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68700" w14:textId="7C6284DF" w:rsidR="00144D0D" w:rsidRPr="002F21D4" w:rsidRDefault="00144D0D" w:rsidP="00B06FB8">
      <w:pPr>
        <w:snapToGrid w:val="0"/>
        <w:jc w:val="center"/>
        <w:rPr>
          <w:b/>
          <w:bCs/>
          <w:sz w:val="22"/>
          <w:szCs w:val="22"/>
        </w:rPr>
      </w:pPr>
      <w:r w:rsidRPr="002F21D4">
        <w:rPr>
          <w:b/>
          <w:bCs/>
          <w:sz w:val="22"/>
          <w:szCs w:val="22"/>
        </w:rPr>
        <w:t>TRIGÉSIMO PRIMER INFORME DEL SECRETARIO GENERAL AL CONSEJO</w:t>
      </w:r>
      <w:r w:rsidRPr="002F21D4">
        <w:rPr>
          <w:b/>
          <w:bCs/>
          <w:sz w:val="22"/>
          <w:szCs w:val="22"/>
        </w:rPr>
        <w:br/>
        <w:t>PERMANENTE SOBRE LA MISIÓN DE APOYO AL PROCESO DE PAZ EN COLOMBIA</w:t>
      </w:r>
      <w:r w:rsidRPr="002F21D4">
        <w:rPr>
          <w:b/>
          <w:bCs/>
          <w:sz w:val="22"/>
          <w:szCs w:val="22"/>
        </w:rPr>
        <w:br/>
        <w:t>DE LA ORGANIZACIÓN DE LOS ESTADOS AMERICANOS (MAPP/OEA)</w:t>
      </w:r>
    </w:p>
    <w:p w14:paraId="43F5BCB3" w14:textId="77777777" w:rsidR="00B06FB8" w:rsidRPr="002F21D4" w:rsidRDefault="00B06FB8" w:rsidP="00B06FB8">
      <w:pPr>
        <w:snapToGrid w:val="0"/>
        <w:ind w:firstLine="426"/>
        <w:jc w:val="both"/>
        <w:rPr>
          <w:sz w:val="22"/>
          <w:szCs w:val="22"/>
        </w:rPr>
      </w:pPr>
    </w:p>
    <w:p w14:paraId="1DCF980E" w14:textId="5364253F" w:rsidR="00931981" w:rsidRPr="002F21D4" w:rsidRDefault="00931981" w:rsidP="00B06FB8">
      <w:pPr>
        <w:snapToGrid w:val="0"/>
        <w:ind w:firstLine="426"/>
        <w:jc w:val="both"/>
        <w:rPr>
          <w:sz w:val="22"/>
          <w:szCs w:val="22"/>
        </w:rPr>
      </w:pPr>
      <w:r w:rsidRPr="002F21D4">
        <w:rPr>
          <w:sz w:val="22"/>
          <w:szCs w:val="22"/>
        </w:rPr>
        <w:t>El siguiente informe se presenta en virtud de la Resolución CP/RES. 859 (1597/04), a través de la cual el Consejo Permanente de la Organización de los Estados Americanos (OEA) solicita al Secretario</w:t>
      </w:r>
      <w:r w:rsidR="00DA317A" w:rsidRPr="002F21D4">
        <w:rPr>
          <w:sz w:val="22"/>
          <w:szCs w:val="22"/>
        </w:rPr>
        <w:t xml:space="preserve"> </w:t>
      </w:r>
      <w:r w:rsidRPr="002F21D4">
        <w:rPr>
          <w:sz w:val="22"/>
          <w:szCs w:val="22"/>
        </w:rPr>
        <w:t>General informar, de manera periódica, sobre las labores de la Misión de Apoyo al Proceso de Paz en Colombia de la Organización de los Estados Americanos</w:t>
      </w:r>
      <w:r w:rsidRPr="002F21D4">
        <w:rPr>
          <w:rStyle w:val="FootnoteReference"/>
          <w:sz w:val="22"/>
          <w:szCs w:val="22"/>
        </w:rPr>
        <w:footnoteReference w:id="2"/>
      </w:r>
      <w:r w:rsidRPr="002F21D4">
        <w:rPr>
          <w:sz w:val="22"/>
          <w:szCs w:val="22"/>
        </w:rPr>
        <w:t xml:space="preserve">, en adelante MAPP/OEA o la Misión. </w:t>
      </w:r>
    </w:p>
    <w:p w14:paraId="68B6A47D" w14:textId="77777777" w:rsidR="00B06FB8" w:rsidRPr="002F21D4" w:rsidRDefault="00B06FB8" w:rsidP="00B06FB8">
      <w:pPr>
        <w:snapToGrid w:val="0"/>
        <w:ind w:firstLine="426"/>
        <w:jc w:val="both"/>
        <w:rPr>
          <w:sz w:val="22"/>
          <w:szCs w:val="22"/>
        </w:rPr>
      </w:pPr>
    </w:p>
    <w:p w14:paraId="3836F4FF" w14:textId="41D148DE" w:rsidR="00931981" w:rsidRPr="002F21D4" w:rsidRDefault="00931981" w:rsidP="00B06FB8">
      <w:pPr>
        <w:snapToGrid w:val="0"/>
        <w:ind w:firstLine="426"/>
        <w:jc w:val="both"/>
        <w:rPr>
          <w:sz w:val="22"/>
          <w:szCs w:val="22"/>
        </w:rPr>
      </w:pPr>
      <w:r w:rsidRPr="002F21D4">
        <w:rPr>
          <w:sz w:val="22"/>
          <w:szCs w:val="22"/>
        </w:rPr>
        <w:t>La información relacionada corresponde a los hallazgos obtenidos entre el 1 de enero y el 30 de junio del</w:t>
      </w:r>
      <w:r w:rsidR="00F05D64" w:rsidRPr="002F21D4">
        <w:rPr>
          <w:sz w:val="22"/>
          <w:szCs w:val="22"/>
        </w:rPr>
        <w:t xml:space="preserve"> año</w:t>
      </w:r>
      <w:r w:rsidR="008B081E" w:rsidRPr="002F21D4">
        <w:rPr>
          <w:sz w:val="22"/>
          <w:szCs w:val="22"/>
          <w:lang w:val="es-US"/>
        </w:rPr>
        <w:t xml:space="preserve"> </w:t>
      </w:r>
      <w:r w:rsidRPr="002F21D4">
        <w:rPr>
          <w:sz w:val="22"/>
          <w:szCs w:val="22"/>
        </w:rPr>
        <w:t>2021. Durante este período, debido a las restricciones de movilidad dispuestas por las autoridades gubernamentales para la contención de la crisis sanitaria causada por el COVID-19, la Misión adaptó su esquema de monitoreo y acompañamiento</w:t>
      </w:r>
      <w:r w:rsidR="005839B3" w:rsidRPr="002F21D4">
        <w:rPr>
          <w:sz w:val="22"/>
          <w:szCs w:val="22"/>
        </w:rPr>
        <w:t>,</w:t>
      </w:r>
      <w:r w:rsidRPr="002F21D4">
        <w:rPr>
          <w:sz w:val="22"/>
          <w:szCs w:val="22"/>
        </w:rPr>
        <w:t xml:space="preserve"> incorporando medios remotos</w:t>
      </w:r>
      <w:r w:rsidRPr="002F21D4">
        <w:rPr>
          <w:rStyle w:val="FootnoteReference"/>
          <w:sz w:val="22"/>
          <w:szCs w:val="22"/>
        </w:rPr>
        <w:footnoteReference w:id="3"/>
      </w:r>
      <w:r w:rsidR="00435D79" w:rsidRPr="002F21D4">
        <w:rPr>
          <w:sz w:val="22"/>
          <w:szCs w:val="22"/>
        </w:rPr>
        <w:t xml:space="preserve"> junto con actividades presenciales</w:t>
      </w:r>
      <w:r w:rsidR="00F05D64" w:rsidRPr="002F21D4">
        <w:rPr>
          <w:sz w:val="22"/>
          <w:szCs w:val="22"/>
        </w:rPr>
        <w:t>,</w:t>
      </w:r>
      <w:r w:rsidR="008B081E" w:rsidRPr="002F21D4">
        <w:rPr>
          <w:sz w:val="22"/>
          <w:szCs w:val="22"/>
        </w:rPr>
        <w:t xml:space="preserve"> cuando fue posible</w:t>
      </w:r>
      <w:r w:rsidRPr="002F21D4">
        <w:rPr>
          <w:sz w:val="22"/>
          <w:szCs w:val="22"/>
        </w:rPr>
        <w:t xml:space="preserve">. </w:t>
      </w:r>
    </w:p>
    <w:p w14:paraId="14E55759" w14:textId="77777777" w:rsidR="00B06FB8" w:rsidRPr="002F21D4" w:rsidRDefault="00B06FB8" w:rsidP="00B06FB8">
      <w:pPr>
        <w:snapToGrid w:val="0"/>
        <w:ind w:firstLine="426"/>
        <w:jc w:val="both"/>
        <w:rPr>
          <w:sz w:val="22"/>
          <w:szCs w:val="22"/>
        </w:rPr>
      </w:pPr>
    </w:p>
    <w:p w14:paraId="080CAA18" w14:textId="3D54BDFC" w:rsidR="00435D79" w:rsidRPr="002F21D4" w:rsidRDefault="00435D79" w:rsidP="00B06FB8">
      <w:pPr>
        <w:snapToGrid w:val="0"/>
        <w:ind w:firstLine="426"/>
        <w:jc w:val="both"/>
        <w:rPr>
          <w:sz w:val="22"/>
          <w:szCs w:val="22"/>
        </w:rPr>
      </w:pPr>
      <w:r w:rsidRPr="002F21D4">
        <w:rPr>
          <w:sz w:val="22"/>
          <w:szCs w:val="22"/>
        </w:rPr>
        <w:t>En este tiempo, y gracias a la confianza construida con actores del territorio colombiano, se llevaron a cabo </w:t>
      </w:r>
      <w:r w:rsidR="00F45732" w:rsidRPr="002F21D4">
        <w:rPr>
          <w:sz w:val="22"/>
          <w:szCs w:val="22"/>
        </w:rPr>
        <w:t xml:space="preserve">6.511 </w:t>
      </w:r>
      <w:r w:rsidRPr="002F21D4">
        <w:rPr>
          <w:sz w:val="22"/>
          <w:szCs w:val="22"/>
        </w:rPr>
        <w:t xml:space="preserve">labores de monitoreo y acompañamiento </w:t>
      </w:r>
      <w:r w:rsidR="00F45732" w:rsidRPr="002F21D4">
        <w:rPr>
          <w:sz w:val="22"/>
          <w:szCs w:val="22"/>
        </w:rPr>
        <w:t>(5.926 no presenciales</w:t>
      </w:r>
      <w:r w:rsidRPr="002F21D4">
        <w:rPr>
          <w:sz w:val="22"/>
          <w:szCs w:val="22"/>
        </w:rPr>
        <w:t xml:space="preserve"> y 585 presenciales</w:t>
      </w:r>
      <w:r w:rsidR="00F45732" w:rsidRPr="002F21D4">
        <w:rPr>
          <w:sz w:val="22"/>
          <w:szCs w:val="22"/>
        </w:rPr>
        <w:t>)</w:t>
      </w:r>
      <w:r w:rsidRPr="002F21D4">
        <w:rPr>
          <w:sz w:val="22"/>
          <w:szCs w:val="22"/>
        </w:rPr>
        <w:t xml:space="preserve">, en 684 centros poblados </w:t>
      </w:r>
      <w:r w:rsidR="00F45732" w:rsidRPr="002F21D4">
        <w:rPr>
          <w:sz w:val="22"/>
          <w:szCs w:val="22"/>
        </w:rPr>
        <w:t>ubicados en</w:t>
      </w:r>
      <w:r w:rsidRPr="002F21D4">
        <w:rPr>
          <w:sz w:val="22"/>
          <w:szCs w:val="22"/>
        </w:rPr>
        <w:t xml:space="preserve"> 193 municipios </w:t>
      </w:r>
      <w:r w:rsidR="00F45732" w:rsidRPr="002F21D4">
        <w:rPr>
          <w:sz w:val="22"/>
          <w:szCs w:val="22"/>
        </w:rPr>
        <w:t xml:space="preserve">de </w:t>
      </w:r>
      <w:r w:rsidRPr="002F21D4">
        <w:rPr>
          <w:sz w:val="22"/>
          <w:szCs w:val="22"/>
        </w:rPr>
        <w:t>26 departamentos. Los centros poblados en los que se desarrollaron estas labores incluyeron cabeceras municipales, corregimientos, veredas, resguardos indígenas y consejos comunitarios.</w:t>
      </w:r>
    </w:p>
    <w:p w14:paraId="77093F6A" w14:textId="77777777" w:rsidR="00B06FB8" w:rsidRPr="002F21D4" w:rsidRDefault="00B06FB8" w:rsidP="00B06FB8">
      <w:pPr>
        <w:snapToGrid w:val="0"/>
        <w:ind w:firstLine="426"/>
        <w:jc w:val="both"/>
        <w:rPr>
          <w:sz w:val="22"/>
          <w:szCs w:val="22"/>
        </w:rPr>
      </w:pPr>
    </w:p>
    <w:p w14:paraId="512DAD8F" w14:textId="53228972" w:rsidR="00931981" w:rsidRPr="002F21D4" w:rsidRDefault="00931981" w:rsidP="00B06FB8">
      <w:pPr>
        <w:snapToGrid w:val="0"/>
        <w:ind w:firstLine="426"/>
        <w:jc w:val="both"/>
        <w:rPr>
          <w:sz w:val="22"/>
          <w:szCs w:val="22"/>
        </w:rPr>
      </w:pPr>
      <w:r w:rsidRPr="002F21D4">
        <w:rPr>
          <w:sz w:val="22"/>
          <w:szCs w:val="22"/>
        </w:rPr>
        <w:t>Debido a su naturaleza y extensión, la Secretaría General de la OEA (SG/OEA) condensa en este informe las principales dinámicas identificadas por la Misión durante el semestre</w:t>
      </w:r>
      <w:r w:rsidR="00F45732" w:rsidRPr="002F21D4">
        <w:rPr>
          <w:sz w:val="22"/>
          <w:szCs w:val="22"/>
        </w:rPr>
        <w:t xml:space="preserve"> referido</w:t>
      </w:r>
      <w:r w:rsidRPr="002F21D4">
        <w:rPr>
          <w:sz w:val="22"/>
          <w:szCs w:val="22"/>
        </w:rPr>
        <w:t>. Además de este informe, de manera regular y en articulación con las entidades del Estado, la MAPP/OEA genera y entrega análisis a profundidad de los temas propios del mandato y/o los territorios cubiertos</w:t>
      </w:r>
      <w:r w:rsidR="00F45732" w:rsidRPr="002F21D4">
        <w:rPr>
          <w:sz w:val="22"/>
          <w:szCs w:val="22"/>
        </w:rPr>
        <w:t>, incluyendo</w:t>
      </w:r>
      <w:r w:rsidRPr="002F21D4">
        <w:rPr>
          <w:sz w:val="22"/>
          <w:szCs w:val="22"/>
        </w:rPr>
        <w:t xml:space="preserve"> recomendaciones específicas para atender las situaciones identificadas y aportar a la construcción de paz. </w:t>
      </w:r>
    </w:p>
    <w:p w14:paraId="085C6FDA" w14:textId="77777777" w:rsidR="00B06FB8" w:rsidRPr="002F21D4" w:rsidRDefault="00B06FB8" w:rsidP="00B06FB8">
      <w:pPr>
        <w:snapToGrid w:val="0"/>
        <w:ind w:firstLine="426"/>
        <w:jc w:val="both"/>
        <w:rPr>
          <w:sz w:val="22"/>
          <w:szCs w:val="22"/>
        </w:rPr>
      </w:pPr>
    </w:p>
    <w:p w14:paraId="16983EE7" w14:textId="38D2C1AA" w:rsidR="00931981" w:rsidRPr="002F21D4" w:rsidRDefault="00931981" w:rsidP="00B06FB8">
      <w:pPr>
        <w:snapToGrid w:val="0"/>
        <w:ind w:firstLine="426"/>
        <w:jc w:val="both"/>
        <w:rPr>
          <w:sz w:val="22"/>
          <w:szCs w:val="22"/>
        </w:rPr>
      </w:pPr>
      <w:r w:rsidRPr="002F21D4">
        <w:rPr>
          <w:sz w:val="22"/>
          <w:szCs w:val="22"/>
        </w:rPr>
        <w:t xml:space="preserve">La implementación del mandato de la MAPP/OEA puede llevarse a cabo gracias a la confianza y apoyo constante de la comunidad internacional que reconoce a la Misión como un actor clave en la construcción de paz en Colombia. La SG/OEA agradece a los Estados miembros y observadores, especialmente a los miembros del Fondo Canasta —Alemania, Canadá, España, Estados Unidos, Reino Unido y Suecia— quienes con su apoyo político y financiero hacen posible el funcionamiento de la Misión. Asimismo, reconoce la importancia de las contribuciones aportadas por Noruega y Suiza; y </w:t>
      </w:r>
      <w:r w:rsidR="002608EB" w:rsidRPr="002F21D4">
        <w:rPr>
          <w:sz w:val="22"/>
          <w:szCs w:val="22"/>
        </w:rPr>
        <w:t xml:space="preserve">el </w:t>
      </w:r>
      <w:r w:rsidRPr="002F21D4">
        <w:rPr>
          <w:sz w:val="22"/>
          <w:szCs w:val="22"/>
        </w:rPr>
        <w:t xml:space="preserve">soporte bajo la modalidad de </w:t>
      </w:r>
      <w:r w:rsidR="008C29C3" w:rsidRPr="002F21D4">
        <w:rPr>
          <w:sz w:val="22"/>
          <w:szCs w:val="22"/>
        </w:rPr>
        <w:t>p</w:t>
      </w:r>
      <w:r w:rsidRPr="002F21D4">
        <w:rPr>
          <w:sz w:val="22"/>
          <w:szCs w:val="22"/>
        </w:rPr>
        <w:t>ersonal asociado (</w:t>
      </w:r>
      <w:proofErr w:type="spellStart"/>
      <w:r w:rsidRPr="002F21D4">
        <w:rPr>
          <w:i/>
          <w:iCs/>
          <w:sz w:val="22"/>
          <w:szCs w:val="22"/>
        </w:rPr>
        <w:t>secondments</w:t>
      </w:r>
      <w:proofErr w:type="spellEnd"/>
      <w:r w:rsidRPr="002F21D4">
        <w:rPr>
          <w:sz w:val="22"/>
          <w:szCs w:val="22"/>
        </w:rPr>
        <w:t>)</w:t>
      </w:r>
      <w:r w:rsidRPr="002F21D4">
        <w:rPr>
          <w:rStyle w:val="FootnoteReference"/>
          <w:sz w:val="22"/>
          <w:szCs w:val="22"/>
        </w:rPr>
        <w:footnoteReference w:id="4"/>
      </w:r>
      <w:r w:rsidRPr="002F21D4">
        <w:rPr>
          <w:sz w:val="22"/>
          <w:szCs w:val="22"/>
        </w:rPr>
        <w:t xml:space="preserve"> de Alemania con la asignación de tres profesionales y de Suiza con dos especialistas, </w:t>
      </w:r>
      <w:bookmarkStart w:id="0" w:name="_Hlk83891110"/>
      <w:r w:rsidRPr="002F21D4">
        <w:rPr>
          <w:sz w:val="22"/>
          <w:szCs w:val="22"/>
        </w:rPr>
        <w:t xml:space="preserve">lo cual constituye un enorme aporte </w:t>
      </w:r>
      <w:r w:rsidR="008B081E" w:rsidRPr="002F21D4">
        <w:rPr>
          <w:sz w:val="22"/>
          <w:szCs w:val="22"/>
        </w:rPr>
        <w:t xml:space="preserve">de talento humano </w:t>
      </w:r>
      <w:r w:rsidR="00C15D82" w:rsidRPr="002F21D4">
        <w:rPr>
          <w:sz w:val="22"/>
          <w:szCs w:val="22"/>
        </w:rPr>
        <w:t>a la Misión</w:t>
      </w:r>
      <w:bookmarkEnd w:id="0"/>
      <w:r w:rsidRPr="002F21D4">
        <w:rPr>
          <w:sz w:val="22"/>
          <w:szCs w:val="22"/>
        </w:rPr>
        <w:t xml:space="preserve">. </w:t>
      </w:r>
    </w:p>
    <w:p w14:paraId="3405EE61" w14:textId="5D3BB08C" w:rsidR="00F34735" w:rsidRPr="002F21D4" w:rsidRDefault="00066750" w:rsidP="00B06FB8">
      <w:pPr>
        <w:pStyle w:val="ListParagraph"/>
        <w:numPr>
          <w:ilvl w:val="0"/>
          <w:numId w:val="1"/>
        </w:numPr>
        <w:snapToGrid w:val="0"/>
        <w:spacing w:after="0" w:line="240" w:lineRule="auto"/>
        <w:contextualSpacing w:val="0"/>
        <w:jc w:val="both"/>
        <w:rPr>
          <w:rFonts w:ascii="Times New Roman" w:hAnsi="Times New Roman" w:cs="Times New Roman"/>
          <w:b/>
          <w:bCs/>
        </w:rPr>
      </w:pPr>
      <w:r w:rsidRPr="002F21D4">
        <w:rPr>
          <w:rFonts w:ascii="Times New Roman" w:hAnsi="Times New Roman" w:cs="Times New Roman"/>
          <w:b/>
          <w:bCs/>
        </w:rPr>
        <w:lastRenderedPageBreak/>
        <w:t>CONSIDERACIONES GENERALES</w:t>
      </w:r>
    </w:p>
    <w:p w14:paraId="55F0C718" w14:textId="77777777" w:rsidR="00B06FB8" w:rsidRPr="002F21D4" w:rsidRDefault="00B06FB8" w:rsidP="00B06FB8">
      <w:pPr>
        <w:pStyle w:val="ListParagraph"/>
        <w:snapToGrid w:val="0"/>
        <w:spacing w:after="0" w:line="240" w:lineRule="auto"/>
        <w:contextualSpacing w:val="0"/>
        <w:jc w:val="both"/>
        <w:rPr>
          <w:rFonts w:ascii="Times New Roman" w:hAnsi="Times New Roman" w:cs="Times New Roman"/>
          <w:b/>
          <w:bCs/>
        </w:rPr>
      </w:pPr>
    </w:p>
    <w:p w14:paraId="3A3F86B4" w14:textId="220D8E0E" w:rsidR="00931981" w:rsidRPr="002F21D4" w:rsidRDefault="00931981" w:rsidP="00B06FB8">
      <w:pPr>
        <w:snapToGrid w:val="0"/>
        <w:ind w:firstLine="360"/>
        <w:jc w:val="both"/>
        <w:rPr>
          <w:sz w:val="22"/>
          <w:szCs w:val="22"/>
        </w:rPr>
      </w:pPr>
      <w:r w:rsidRPr="002F21D4">
        <w:rPr>
          <w:sz w:val="22"/>
          <w:szCs w:val="22"/>
        </w:rPr>
        <w:t>En el quinto año de la implementación del Acuerdo Final para la Terminación del Conflicto y la Construcción de una Paz Estable y Duradera, la SG/OEA reconoce los avances y alienta al</w:t>
      </w:r>
      <w:r w:rsidR="004008FE" w:rsidRPr="002F21D4">
        <w:rPr>
          <w:sz w:val="22"/>
          <w:szCs w:val="22"/>
        </w:rPr>
        <w:t xml:space="preserve"> Estado</w:t>
      </w:r>
      <w:r w:rsidRPr="002F21D4">
        <w:rPr>
          <w:sz w:val="22"/>
          <w:szCs w:val="22"/>
        </w:rPr>
        <w:t xml:space="preserve"> colombiano</w:t>
      </w:r>
      <w:r w:rsidR="002608EB" w:rsidRPr="002F21D4">
        <w:rPr>
          <w:sz w:val="22"/>
          <w:szCs w:val="22"/>
        </w:rPr>
        <w:t xml:space="preserve">, a </w:t>
      </w:r>
      <w:r w:rsidRPr="002F21D4">
        <w:rPr>
          <w:sz w:val="22"/>
          <w:szCs w:val="22"/>
        </w:rPr>
        <w:t xml:space="preserve">sus instituciones </w:t>
      </w:r>
      <w:r w:rsidR="002608EB" w:rsidRPr="002F21D4">
        <w:rPr>
          <w:sz w:val="22"/>
          <w:szCs w:val="22"/>
        </w:rPr>
        <w:t xml:space="preserve">y a la sociedad </w:t>
      </w:r>
      <w:r w:rsidR="004008FE" w:rsidRPr="002F21D4">
        <w:rPr>
          <w:sz w:val="22"/>
          <w:szCs w:val="22"/>
        </w:rPr>
        <w:t xml:space="preserve">en su conjunto </w:t>
      </w:r>
      <w:r w:rsidRPr="002F21D4">
        <w:rPr>
          <w:sz w:val="22"/>
          <w:szCs w:val="22"/>
        </w:rPr>
        <w:t>a mantener una decidida voluntad política y una sólida articulación que, sumada a las alianzas y el constante apoyo de la comunidad internacional, ratifiquen a Colombia en el camino hacia el fortalecimiento de su Estado social de derecho y la búsqueda de una paz completa.</w:t>
      </w:r>
    </w:p>
    <w:p w14:paraId="3D58A42A" w14:textId="77777777" w:rsidR="00B06FB8" w:rsidRPr="002F21D4" w:rsidRDefault="00B06FB8" w:rsidP="00B06FB8">
      <w:pPr>
        <w:snapToGrid w:val="0"/>
        <w:ind w:firstLine="426"/>
        <w:jc w:val="both"/>
        <w:rPr>
          <w:sz w:val="22"/>
          <w:szCs w:val="22"/>
        </w:rPr>
      </w:pPr>
    </w:p>
    <w:p w14:paraId="321F764B" w14:textId="375B1C47" w:rsidR="00931981" w:rsidRPr="002F21D4" w:rsidRDefault="00931981" w:rsidP="00B06FB8">
      <w:pPr>
        <w:snapToGrid w:val="0"/>
        <w:ind w:firstLine="426"/>
        <w:jc w:val="both"/>
        <w:rPr>
          <w:sz w:val="22"/>
          <w:szCs w:val="22"/>
        </w:rPr>
      </w:pPr>
      <w:r w:rsidRPr="002F21D4">
        <w:rPr>
          <w:sz w:val="22"/>
          <w:szCs w:val="22"/>
        </w:rPr>
        <w:t>La continuidad de la pandemia por COVID-19 ha causado impactos sociales y económicos de gran magnitud sobre las comunidades y grupos en situación de vulnerabilidad, profundizando aún más las desigualdades estructurales y las brechas en el acceso a derechos. Esta situación ha configurado un escenario más complejo para la gobernabilidad, especialmente en aquellos territorios con presencia de</w:t>
      </w:r>
      <w:r w:rsidR="00AB3612" w:rsidRPr="002F21D4">
        <w:rPr>
          <w:sz w:val="22"/>
          <w:szCs w:val="22"/>
        </w:rPr>
        <w:t xml:space="preserve"> grupos armados ilegales</w:t>
      </w:r>
      <w:r w:rsidRPr="002F21D4">
        <w:rPr>
          <w:sz w:val="22"/>
          <w:szCs w:val="22"/>
        </w:rPr>
        <w:t xml:space="preserve"> </w:t>
      </w:r>
      <w:r w:rsidR="00AB3612" w:rsidRPr="002F21D4">
        <w:rPr>
          <w:sz w:val="22"/>
          <w:szCs w:val="22"/>
        </w:rPr>
        <w:t>(</w:t>
      </w:r>
      <w:r w:rsidRPr="002F21D4">
        <w:rPr>
          <w:sz w:val="22"/>
          <w:szCs w:val="22"/>
        </w:rPr>
        <w:t>GAI</w:t>
      </w:r>
      <w:r w:rsidR="00AB3612" w:rsidRPr="002F21D4">
        <w:rPr>
          <w:sz w:val="22"/>
          <w:szCs w:val="22"/>
        </w:rPr>
        <w:t>)</w:t>
      </w:r>
      <w:r w:rsidRPr="002F21D4">
        <w:rPr>
          <w:sz w:val="22"/>
          <w:szCs w:val="22"/>
        </w:rPr>
        <w:t xml:space="preserve">, afectando el tejido social y los </w:t>
      </w:r>
      <w:r w:rsidR="002608EB" w:rsidRPr="002F21D4">
        <w:rPr>
          <w:sz w:val="22"/>
          <w:szCs w:val="22"/>
        </w:rPr>
        <w:t>niveles</w:t>
      </w:r>
      <w:r w:rsidRPr="002F21D4">
        <w:rPr>
          <w:sz w:val="22"/>
          <w:szCs w:val="22"/>
        </w:rPr>
        <w:t xml:space="preserve"> de confianza entre ciudadanía y autoridades. </w:t>
      </w:r>
    </w:p>
    <w:p w14:paraId="3D78250D" w14:textId="77777777" w:rsidR="00B06FB8" w:rsidRPr="002F21D4" w:rsidRDefault="00B06FB8" w:rsidP="00B06FB8">
      <w:pPr>
        <w:snapToGrid w:val="0"/>
        <w:ind w:firstLine="426"/>
        <w:jc w:val="both"/>
        <w:rPr>
          <w:sz w:val="22"/>
          <w:szCs w:val="22"/>
        </w:rPr>
      </w:pPr>
    </w:p>
    <w:p w14:paraId="452AAC4B" w14:textId="0C9EA6F8" w:rsidR="004D263B" w:rsidRPr="002F21D4" w:rsidRDefault="004D263B" w:rsidP="00B06FB8">
      <w:pPr>
        <w:snapToGrid w:val="0"/>
        <w:ind w:firstLine="426"/>
        <w:jc w:val="both"/>
        <w:rPr>
          <w:color w:val="000000" w:themeColor="text1"/>
          <w:sz w:val="22"/>
          <w:szCs w:val="22"/>
          <w:bdr w:val="none" w:sz="0" w:space="0" w:color="auto" w:frame="1"/>
        </w:rPr>
      </w:pPr>
      <w:r w:rsidRPr="002F21D4">
        <w:rPr>
          <w:sz w:val="22"/>
          <w:szCs w:val="22"/>
        </w:rPr>
        <w:t xml:space="preserve">Desde el 28 de </w:t>
      </w:r>
      <w:r w:rsidRPr="002F21D4">
        <w:rPr>
          <w:color w:val="000000" w:themeColor="text1"/>
          <w:sz w:val="22"/>
          <w:szCs w:val="22"/>
          <w:bdr w:val="none" w:sz="0" w:space="0" w:color="auto" w:frame="1"/>
        </w:rPr>
        <w:t xml:space="preserve">abril, distintos sectores de la ciudadanía salieron a las calles y carreteras </w:t>
      </w:r>
      <w:r w:rsidR="008B081E" w:rsidRPr="002F21D4">
        <w:rPr>
          <w:color w:val="000000" w:themeColor="text1"/>
          <w:sz w:val="22"/>
          <w:szCs w:val="22"/>
          <w:bdr w:val="none" w:sz="0" w:space="0" w:color="auto" w:frame="1"/>
        </w:rPr>
        <w:t xml:space="preserve">exigiendo </w:t>
      </w:r>
      <w:r w:rsidRPr="002F21D4">
        <w:rPr>
          <w:color w:val="000000" w:themeColor="text1"/>
          <w:sz w:val="22"/>
          <w:szCs w:val="22"/>
          <w:bdr w:val="none" w:sz="0" w:space="0" w:color="auto" w:frame="1"/>
        </w:rPr>
        <w:t>demandas sociales</w:t>
      </w:r>
      <w:r w:rsidR="008B081E" w:rsidRPr="002F21D4">
        <w:rPr>
          <w:color w:val="000000" w:themeColor="text1"/>
          <w:sz w:val="22"/>
          <w:szCs w:val="22"/>
          <w:bdr w:val="none" w:sz="0" w:space="0" w:color="auto" w:frame="1"/>
        </w:rPr>
        <w:t xml:space="preserve"> de carácter coyuntural y estructural</w:t>
      </w:r>
      <w:r w:rsidRPr="002F21D4">
        <w:rPr>
          <w:color w:val="000000" w:themeColor="text1"/>
          <w:sz w:val="22"/>
          <w:szCs w:val="22"/>
          <w:bdr w:val="none" w:sz="0" w:space="0" w:color="auto" w:frame="1"/>
        </w:rPr>
        <w:t xml:space="preserve">. La SG/OEA, a través de la Misión, constató la movilización pacífica de cientos de miles de colombianas y colombianos (juventudes, pueblos indígenas, afrodescendientes y campesinos, trabajadores sindicalizados, organizaciones de derechos humanos, de mujeres, entre otros), muchos de ellos aglutinados en el Comité Nacional del Paro, muchos otros en organizaciones no articuladas con este Comité y numerosa ciudadanía sin pertenencia a organización alguna. </w:t>
      </w:r>
    </w:p>
    <w:p w14:paraId="33599005" w14:textId="77777777" w:rsidR="00B06FB8" w:rsidRPr="002F21D4" w:rsidRDefault="00B06FB8" w:rsidP="00B06FB8">
      <w:pPr>
        <w:ind w:firstLine="426"/>
        <w:jc w:val="both"/>
        <w:rPr>
          <w:color w:val="000000" w:themeColor="text1"/>
          <w:sz w:val="22"/>
          <w:szCs w:val="22"/>
          <w:bdr w:val="none" w:sz="0" w:space="0" w:color="auto" w:frame="1"/>
        </w:rPr>
      </w:pPr>
    </w:p>
    <w:p w14:paraId="0254521A" w14:textId="45323CF6" w:rsidR="004D263B" w:rsidRPr="002F21D4" w:rsidRDefault="004D263B" w:rsidP="00B06FB8">
      <w:pPr>
        <w:ind w:firstLine="426"/>
        <w:jc w:val="both"/>
        <w:rPr>
          <w:color w:val="000000" w:themeColor="text1"/>
          <w:sz w:val="22"/>
          <w:szCs w:val="22"/>
          <w:bdr w:val="none" w:sz="0" w:space="0" w:color="auto" w:frame="1"/>
        </w:rPr>
      </w:pPr>
      <w:r w:rsidRPr="002F21D4">
        <w:rPr>
          <w:color w:val="000000" w:themeColor="text1"/>
          <w:sz w:val="22"/>
          <w:szCs w:val="22"/>
          <w:bdr w:val="none" w:sz="0" w:space="0" w:color="auto" w:frame="1"/>
        </w:rPr>
        <w:t xml:space="preserve">Además de las expresiones pacíficas, también </w:t>
      </w:r>
      <w:r w:rsidR="00A10C62" w:rsidRPr="002F21D4">
        <w:rPr>
          <w:color w:val="000000" w:themeColor="text1"/>
          <w:sz w:val="22"/>
          <w:szCs w:val="22"/>
          <w:bdr w:val="none" w:sz="0" w:space="0" w:color="auto" w:frame="1"/>
        </w:rPr>
        <w:t xml:space="preserve">hubo </w:t>
      </w:r>
      <w:r w:rsidRPr="002F21D4">
        <w:rPr>
          <w:color w:val="000000" w:themeColor="text1"/>
          <w:sz w:val="22"/>
          <w:szCs w:val="22"/>
          <w:bdr w:val="none" w:sz="0" w:space="0" w:color="auto" w:frame="1"/>
        </w:rPr>
        <w:t>graves hechos de violencia</w:t>
      </w:r>
      <w:r w:rsidR="00A10C62" w:rsidRPr="002F21D4">
        <w:rPr>
          <w:color w:val="000000" w:themeColor="text1"/>
          <w:sz w:val="22"/>
          <w:szCs w:val="22"/>
          <w:bdr w:val="none" w:sz="0" w:space="0" w:color="auto" w:frame="1"/>
        </w:rPr>
        <w:t xml:space="preserve"> como </w:t>
      </w:r>
      <w:r w:rsidR="00DD707C" w:rsidRPr="002F21D4">
        <w:rPr>
          <w:color w:val="000000" w:themeColor="text1"/>
          <w:sz w:val="22"/>
          <w:szCs w:val="22"/>
          <w:bdr w:val="none" w:sz="0" w:space="0" w:color="auto" w:frame="1"/>
        </w:rPr>
        <w:t xml:space="preserve">agresiones contra policías y civiles, </w:t>
      </w:r>
      <w:r w:rsidR="008A1D90" w:rsidRPr="002F21D4">
        <w:rPr>
          <w:color w:val="000000" w:themeColor="text1"/>
          <w:sz w:val="22"/>
          <w:szCs w:val="22"/>
          <w:bdr w:val="none" w:sz="0" w:space="0" w:color="auto" w:frame="1"/>
        </w:rPr>
        <w:t xml:space="preserve">uso </w:t>
      </w:r>
      <w:r w:rsidRPr="002F21D4">
        <w:rPr>
          <w:color w:val="000000" w:themeColor="text1"/>
          <w:sz w:val="22"/>
          <w:szCs w:val="22"/>
          <w:bdr w:val="none" w:sz="0" w:space="0" w:color="auto" w:frame="1"/>
        </w:rPr>
        <w:t>exces</w:t>
      </w:r>
      <w:r w:rsidR="008A1D90" w:rsidRPr="002F21D4">
        <w:rPr>
          <w:color w:val="000000" w:themeColor="text1"/>
          <w:sz w:val="22"/>
          <w:szCs w:val="22"/>
          <w:bdr w:val="none" w:sz="0" w:space="0" w:color="auto" w:frame="1"/>
        </w:rPr>
        <w:t>ivo</w:t>
      </w:r>
      <w:r w:rsidR="00A10C62" w:rsidRPr="002F21D4">
        <w:rPr>
          <w:color w:val="000000" w:themeColor="text1"/>
          <w:sz w:val="22"/>
          <w:szCs w:val="22"/>
          <w:bdr w:val="none" w:sz="0" w:space="0" w:color="auto" w:frame="1"/>
        </w:rPr>
        <w:t xml:space="preserve"> de</w:t>
      </w:r>
      <w:r w:rsidR="008A1D90" w:rsidRPr="002F21D4">
        <w:rPr>
          <w:color w:val="000000" w:themeColor="text1"/>
          <w:sz w:val="22"/>
          <w:szCs w:val="22"/>
          <w:bdr w:val="none" w:sz="0" w:space="0" w:color="auto" w:frame="1"/>
        </w:rPr>
        <w:t xml:space="preserve"> </w:t>
      </w:r>
      <w:r w:rsidR="00941DB0" w:rsidRPr="002F21D4">
        <w:rPr>
          <w:color w:val="000000" w:themeColor="text1"/>
          <w:sz w:val="22"/>
          <w:szCs w:val="22"/>
          <w:bdr w:val="none" w:sz="0" w:space="0" w:color="auto" w:frame="1"/>
        </w:rPr>
        <w:t>la fuerza</w:t>
      </w:r>
      <w:r w:rsidRPr="002F21D4">
        <w:rPr>
          <w:color w:val="000000" w:themeColor="text1"/>
          <w:sz w:val="22"/>
          <w:szCs w:val="22"/>
          <w:bdr w:val="none" w:sz="0" w:space="0" w:color="auto" w:frame="1"/>
        </w:rPr>
        <w:t xml:space="preserve"> por parte de</w:t>
      </w:r>
      <w:r w:rsidR="005839B3" w:rsidRPr="002F21D4">
        <w:rPr>
          <w:color w:val="000000" w:themeColor="text1"/>
          <w:sz w:val="22"/>
          <w:szCs w:val="22"/>
          <w:bdr w:val="none" w:sz="0" w:space="0" w:color="auto" w:frame="1"/>
        </w:rPr>
        <w:t xml:space="preserve"> miembros de la Policía Nacional </w:t>
      </w:r>
      <w:r w:rsidRPr="002F21D4">
        <w:rPr>
          <w:color w:val="000000" w:themeColor="text1"/>
          <w:sz w:val="22"/>
          <w:szCs w:val="22"/>
          <w:bdr w:val="none" w:sz="0" w:space="0" w:color="auto" w:frame="1"/>
        </w:rPr>
        <w:t xml:space="preserve">contra civiles manifestantes, vandalismo, bloqueos en vías principales y denuncias de infiltraciones de GAI. Estos hechos produjeron un alto número de personas fallecidas, heridas, sin localización y detenidas; destrucción de bienes públicos y privados; impedimentos al abastecimiento de insumos médicos vitales, alimentos y combustibles; </w:t>
      </w:r>
      <w:r w:rsidR="007D4383" w:rsidRPr="002F21D4">
        <w:rPr>
          <w:color w:val="000000" w:themeColor="text1"/>
          <w:sz w:val="22"/>
          <w:szCs w:val="22"/>
          <w:bdr w:val="none" w:sz="0" w:space="0" w:color="auto" w:frame="1"/>
        </w:rPr>
        <w:t>restriccio</w:t>
      </w:r>
      <w:r w:rsidR="00941DB0" w:rsidRPr="002F21D4">
        <w:rPr>
          <w:color w:val="000000" w:themeColor="text1"/>
          <w:sz w:val="22"/>
          <w:szCs w:val="22"/>
          <w:bdr w:val="none" w:sz="0" w:space="0" w:color="auto" w:frame="1"/>
        </w:rPr>
        <w:t>nes</w:t>
      </w:r>
      <w:r w:rsidRPr="002F21D4">
        <w:rPr>
          <w:color w:val="000000" w:themeColor="text1"/>
          <w:sz w:val="22"/>
          <w:szCs w:val="22"/>
          <w:bdr w:val="none" w:sz="0" w:space="0" w:color="auto" w:frame="1"/>
        </w:rPr>
        <w:t xml:space="preserve"> al acceso a la salud, al trabajo, a la educación, a la justicia, por citar algunas de las principales afectaciones.</w:t>
      </w:r>
      <w:r w:rsidR="00802488" w:rsidRPr="002F21D4">
        <w:rPr>
          <w:color w:val="000000" w:themeColor="text1"/>
          <w:sz w:val="22"/>
          <w:szCs w:val="22"/>
          <w:bdr w:val="none" w:sz="0" w:space="0" w:color="auto" w:frame="1"/>
        </w:rPr>
        <w:t xml:space="preserve"> </w:t>
      </w:r>
      <w:r w:rsidR="00521363" w:rsidRPr="002F21D4">
        <w:rPr>
          <w:color w:val="000000" w:themeColor="text1"/>
          <w:sz w:val="22"/>
          <w:szCs w:val="22"/>
          <w:bdr w:val="none" w:sz="0" w:space="0" w:color="auto" w:frame="1"/>
        </w:rPr>
        <w:t>Al mismo tiempo</w:t>
      </w:r>
      <w:r w:rsidRPr="002F21D4">
        <w:rPr>
          <w:color w:val="000000" w:themeColor="text1"/>
          <w:sz w:val="22"/>
          <w:szCs w:val="22"/>
          <w:bdr w:val="none" w:sz="0" w:space="0" w:color="auto" w:frame="1"/>
        </w:rPr>
        <w:t xml:space="preserve">, se identificó </w:t>
      </w:r>
      <w:r w:rsidR="00521363" w:rsidRPr="002F21D4">
        <w:rPr>
          <w:color w:val="000000" w:themeColor="text1"/>
          <w:sz w:val="22"/>
          <w:szCs w:val="22"/>
          <w:bdr w:val="none" w:sz="0" w:space="0" w:color="auto" w:frame="1"/>
        </w:rPr>
        <w:t>que la</w:t>
      </w:r>
      <w:r w:rsidRPr="002F21D4">
        <w:rPr>
          <w:color w:val="000000" w:themeColor="text1"/>
          <w:sz w:val="22"/>
          <w:szCs w:val="22"/>
          <w:bdr w:val="none" w:sz="0" w:space="0" w:color="auto" w:frame="1"/>
        </w:rPr>
        <w:t xml:space="preserve"> conflictividad </w:t>
      </w:r>
      <w:r w:rsidR="00521363" w:rsidRPr="002F21D4">
        <w:rPr>
          <w:color w:val="000000" w:themeColor="text1"/>
          <w:sz w:val="22"/>
          <w:szCs w:val="22"/>
          <w:bdr w:val="none" w:sz="0" w:space="0" w:color="auto" w:frame="1"/>
        </w:rPr>
        <w:t xml:space="preserve">se </w:t>
      </w:r>
      <w:r w:rsidRPr="002F21D4">
        <w:rPr>
          <w:color w:val="000000" w:themeColor="text1"/>
          <w:sz w:val="22"/>
          <w:szCs w:val="22"/>
          <w:bdr w:val="none" w:sz="0" w:space="0" w:color="auto" w:frame="1"/>
        </w:rPr>
        <w:t>expres</w:t>
      </w:r>
      <w:r w:rsidR="00521363" w:rsidRPr="002F21D4">
        <w:rPr>
          <w:color w:val="000000" w:themeColor="text1"/>
          <w:sz w:val="22"/>
          <w:szCs w:val="22"/>
          <w:bdr w:val="none" w:sz="0" w:space="0" w:color="auto" w:frame="1"/>
        </w:rPr>
        <w:t>ó</w:t>
      </w:r>
      <w:r w:rsidRPr="002F21D4">
        <w:rPr>
          <w:color w:val="000000" w:themeColor="text1"/>
          <w:sz w:val="22"/>
          <w:szCs w:val="22"/>
          <w:bdr w:val="none" w:sz="0" w:space="0" w:color="auto" w:frame="1"/>
        </w:rPr>
        <w:t xml:space="preserve"> en diferentes geografías, sectores diversos, multiplicidad de agendas, variados tipos de acciones de hecho</w:t>
      </w:r>
      <w:r w:rsidR="00802488" w:rsidRPr="002F21D4">
        <w:rPr>
          <w:color w:val="000000" w:themeColor="text1"/>
          <w:sz w:val="22"/>
          <w:szCs w:val="22"/>
          <w:bdr w:val="none" w:sz="0" w:space="0" w:color="auto" w:frame="1"/>
        </w:rPr>
        <w:t xml:space="preserve"> y</w:t>
      </w:r>
      <w:r w:rsidRPr="002F21D4">
        <w:rPr>
          <w:color w:val="000000" w:themeColor="text1"/>
          <w:sz w:val="22"/>
          <w:szCs w:val="22"/>
          <w:bdr w:val="none" w:sz="0" w:space="0" w:color="auto" w:frame="1"/>
        </w:rPr>
        <w:t xml:space="preserve"> niveles de violencia</w:t>
      </w:r>
      <w:r w:rsidR="00802488" w:rsidRPr="002F21D4">
        <w:rPr>
          <w:color w:val="000000" w:themeColor="text1"/>
          <w:sz w:val="22"/>
          <w:szCs w:val="22"/>
          <w:bdr w:val="none" w:sz="0" w:space="0" w:color="auto" w:frame="1"/>
        </w:rPr>
        <w:t>. Esta</w:t>
      </w:r>
      <w:r w:rsidRPr="002F21D4">
        <w:rPr>
          <w:color w:val="000000" w:themeColor="text1"/>
          <w:sz w:val="22"/>
          <w:szCs w:val="22"/>
          <w:bdr w:val="none" w:sz="0" w:space="0" w:color="auto" w:frame="1"/>
        </w:rPr>
        <w:t xml:space="preserve"> diversidad </w:t>
      </w:r>
      <w:r w:rsidR="00802488" w:rsidRPr="002F21D4">
        <w:rPr>
          <w:color w:val="000000" w:themeColor="text1"/>
          <w:sz w:val="22"/>
          <w:szCs w:val="22"/>
          <w:bdr w:val="none" w:sz="0" w:space="0" w:color="auto" w:frame="1"/>
        </w:rPr>
        <w:t>le</w:t>
      </w:r>
      <w:r w:rsidRPr="002F21D4">
        <w:rPr>
          <w:color w:val="000000" w:themeColor="text1"/>
          <w:sz w:val="22"/>
          <w:szCs w:val="22"/>
          <w:bdr w:val="none" w:sz="0" w:space="0" w:color="auto" w:frame="1"/>
        </w:rPr>
        <w:t xml:space="preserve"> agregó a la situación general</w:t>
      </w:r>
      <w:r w:rsidR="00802488" w:rsidRPr="002F21D4">
        <w:rPr>
          <w:color w:val="000000" w:themeColor="text1"/>
          <w:sz w:val="22"/>
          <w:szCs w:val="22"/>
          <w:bdr w:val="none" w:sz="0" w:space="0" w:color="auto" w:frame="1"/>
        </w:rPr>
        <w:t xml:space="preserve"> una alta complejidad que dificulta su comprensión y abordaje</w:t>
      </w:r>
      <w:r w:rsidRPr="002F21D4">
        <w:rPr>
          <w:color w:val="000000" w:themeColor="text1"/>
          <w:sz w:val="22"/>
          <w:szCs w:val="22"/>
          <w:bdr w:val="none" w:sz="0" w:space="0" w:color="auto" w:frame="1"/>
        </w:rPr>
        <w:t xml:space="preserve">. </w:t>
      </w:r>
    </w:p>
    <w:p w14:paraId="67790B4C" w14:textId="77777777" w:rsidR="00521363" w:rsidRPr="002F21D4" w:rsidRDefault="00521363" w:rsidP="00B06FB8">
      <w:pPr>
        <w:jc w:val="both"/>
        <w:rPr>
          <w:color w:val="000000" w:themeColor="text1"/>
          <w:sz w:val="22"/>
          <w:szCs w:val="22"/>
          <w:bdr w:val="none" w:sz="0" w:space="0" w:color="auto" w:frame="1"/>
        </w:rPr>
      </w:pPr>
    </w:p>
    <w:p w14:paraId="20D62F2A" w14:textId="2D6FD83B" w:rsidR="00931981" w:rsidRPr="002F21D4" w:rsidRDefault="00EA30A7" w:rsidP="00B06FB8">
      <w:pPr>
        <w:snapToGrid w:val="0"/>
        <w:ind w:firstLine="426"/>
        <w:jc w:val="both"/>
        <w:rPr>
          <w:sz w:val="22"/>
          <w:szCs w:val="22"/>
        </w:rPr>
      </w:pPr>
      <w:r w:rsidRPr="002F21D4">
        <w:rPr>
          <w:color w:val="000000" w:themeColor="text1"/>
          <w:sz w:val="22"/>
          <w:szCs w:val="22"/>
          <w:bdr w:val="none" w:sz="0" w:space="0" w:color="auto" w:frame="1"/>
        </w:rPr>
        <w:t xml:space="preserve">La </w:t>
      </w:r>
      <w:r w:rsidR="00931981" w:rsidRPr="002F21D4">
        <w:rPr>
          <w:color w:val="000000" w:themeColor="text1"/>
          <w:sz w:val="22"/>
          <w:szCs w:val="22"/>
          <w:bdr w:val="none" w:sz="0" w:space="0" w:color="auto" w:frame="1"/>
        </w:rPr>
        <w:t>SG</w:t>
      </w:r>
      <w:r w:rsidR="008E33EB" w:rsidRPr="002F21D4">
        <w:rPr>
          <w:color w:val="000000" w:themeColor="text1"/>
          <w:sz w:val="22"/>
          <w:szCs w:val="22"/>
          <w:bdr w:val="none" w:sz="0" w:space="0" w:color="auto" w:frame="1"/>
        </w:rPr>
        <w:t>/OEA</w:t>
      </w:r>
      <w:r w:rsidR="00931981" w:rsidRPr="002F21D4">
        <w:rPr>
          <w:color w:val="000000" w:themeColor="text1"/>
          <w:sz w:val="22"/>
          <w:szCs w:val="22"/>
          <w:bdr w:val="none" w:sz="0" w:space="0" w:color="auto" w:frame="1"/>
        </w:rPr>
        <w:t xml:space="preserve"> </w:t>
      </w:r>
      <w:r w:rsidR="00E213EF" w:rsidRPr="002F21D4">
        <w:rPr>
          <w:color w:val="000000" w:themeColor="text1"/>
          <w:sz w:val="22"/>
          <w:szCs w:val="22"/>
          <w:bdr w:val="none" w:sz="0" w:space="0" w:color="auto" w:frame="1"/>
        </w:rPr>
        <w:t xml:space="preserve">alienta al Estado colombiano a dar continuidad a las acciones que </w:t>
      </w:r>
      <w:r w:rsidRPr="002F21D4">
        <w:rPr>
          <w:color w:val="000000" w:themeColor="text1"/>
          <w:sz w:val="22"/>
          <w:szCs w:val="22"/>
          <w:bdr w:val="none" w:sz="0" w:space="0" w:color="auto" w:frame="1"/>
        </w:rPr>
        <w:t xml:space="preserve">garanticen </w:t>
      </w:r>
      <w:r w:rsidR="00931981" w:rsidRPr="002F21D4">
        <w:rPr>
          <w:color w:val="000000" w:themeColor="text1"/>
          <w:sz w:val="22"/>
          <w:szCs w:val="22"/>
          <w:bdr w:val="none" w:sz="0" w:space="0" w:color="auto" w:frame="1"/>
        </w:rPr>
        <w:t xml:space="preserve">la protesta social pacífica, y hace un llamado a condenar </w:t>
      </w:r>
      <w:r w:rsidR="00BD4E9E" w:rsidRPr="002F21D4">
        <w:rPr>
          <w:color w:val="000000" w:themeColor="text1"/>
          <w:sz w:val="22"/>
          <w:szCs w:val="22"/>
          <w:bdr w:val="none" w:sz="0" w:space="0" w:color="auto" w:frame="1"/>
        </w:rPr>
        <w:t xml:space="preserve">todo tipo de </w:t>
      </w:r>
      <w:r w:rsidR="00931981" w:rsidRPr="002F21D4">
        <w:rPr>
          <w:color w:val="000000" w:themeColor="text1"/>
          <w:sz w:val="22"/>
          <w:szCs w:val="22"/>
          <w:bdr w:val="none" w:sz="0" w:space="0" w:color="auto" w:frame="1"/>
        </w:rPr>
        <w:t xml:space="preserve">violencia, a privilegiar los canales de diálogo para abordar </w:t>
      </w:r>
      <w:r w:rsidR="00BD4E9E" w:rsidRPr="002F21D4">
        <w:rPr>
          <w:color w:val="000000" w:themeColor="text1"/>
          <w:sz w:val="22"/>
          <w:szCs w:val="22"/>
          <w:bdr w:val="none" w:sz="0" w:space="0" w:color="auto" w:frame="1"/>
        </w:rPr>
        <w:t>las causas y los efectos de la</w:t>
      </w:r>
      <w:r w:rsidR="00BD4E9E" w:rsidRPr="002F21D4">
        <w:rPr>
          <w:sz w:val="22"/>
          <w:szCs w:val="22"/>
        </w:rPr>
        <w:t xml:space="preserve"> </w:t>
      </w:r>
      <w:r w:rsidR="00931981" w:rsidRPr="002F21D4">
        <w:rPr>
          <w:sz w:val="22"/>
          <w:szCs w:val="22"/>
        </w:rPr>
        <w:t xml:space="preserve">conflictividad, a generar espacios de concertación y cumplir con los acuerdos alcanzados, y a fortalecer y promover mecanismos asertivos de participación y deliberación política y social. Asimismo, a que se </w:t>
      </w:r>
      <w:r w:rsidR="00E213EF" w:rsidRPr="002F21D4">
        <w:rPr>
          <w:sz w:val="22"/>
          <w:szCs w:val="22"/>
        </w:rPr>
        <w:t xml:space="preserve">continúen </w:t>
      </w:r>
      <w:r w:rsidR="00521363" w:rsidRPr="002F21D4">
        <w:rPr>
          <w:sz w:val="22"/>
          <w:szCs w:val="22"/>
        </w:rPr>
        <w:t xml:space="preserve">con la </w:t>
      </w:r>
      <w:r w:rsidR="00E213EF" w:rsidRPr="002F21D4">
        <w:rPr>
          <w:sz w:val="22"/>
          <w:szCs w:val="22"/>
        </w:rPr>
        <w:t xml:space="preserve">investigación y sanción </w:t>
      </w:r>
      <w:r w:rsidR="00931981" w:rsidRPr="002F21D4">
        <w:rPr>
          <w:sz w:val="22"/>
          <w:szCs w:val="22"/>
        </w:rPr>
        <w:t xml:space="preserve">a </w:t>
      </w:r>
      <w:r w:rsidR="00BD4E9E" w:rsidRPr="002F21D4">
        <w:rPr>
          <w:sz w:val="22"/>
          <w:szCs w:val="22"/>
        </w:rPr>
        <w:t xml:space="preserve">todos </w:t>
      </w:r>
      <w:r w:rsidR="00931981" w:rsidRPr="002F21D4">
        <w:rPr>
          <w:sz w:val="22"/>
          <w:szCs w:val="22"/>
        </w:rPr>
        <w:t xml:space="preserve">los responsables por los hechos de violencia durante el </w:t>
      </w:r>
      <w:r w:rsidR="007D4383" w:rsidRPr="002F21D4">
        <w:rPr>
          <w:sz w:val="22"/>
          <w:szCs w:val="22"/>
        </w:rPr>
        <w:t>P</w:t>
      </w:r>
      <w:r w:rsidR="00931981" w:rsidRPr="002F21D4">
        <w:rPr>
          <w:sz w:val="22"/>
          <w:szCs w:val="22"/>
        </w:rPr>
        <w:t>aro</w:t>
      </w:r>
      <w:r w:rsidR="007D4383" w:rsidRPr="002F21D4">
        <w:rPr>
          <w:sz w:val="22"/>
          <w:szCs w:val="22"/>
        </w:rPr>
        <w:t xml:space="preserve"> Nacional</w:t>
      </w:r>
      <w:r w:rsidR="00BD4E9E" w:rsidRPr="002F21D4">
        <w:rPr>
          <w:sz w:val="22"/>
          <w:szCs w:val="22"/>
        </w:rPr>
        <w:t xml:space="preserve"> y se repare a todas las víctimas</w:t>
      </w:r>
      <w:r w:rsidR="00931981" w:rsidRPr="002F21D4">
        <w:rPr>
          <w:sz w:val="22"/>
          <w:szCs w:val="22"/>
        </w:rPr>
        <w:t xml:space="preserve">. Atender los </w:t>
      </w:r>
      <w:r w:rsidR="00BD4E9E" w:rsidRPr="002F21D4">
        <w:rPr>
          <w:sz w:val="22"/>
          <w:szCs w:val="22"/>
        </w:rPr>
        <w:t xml:space="preserve">derechos, necesidades e </w:t>
      </w:r>
      <w:r w:rsidR="00931981" w:rsidRPr="002F21D4">
        <w:rPr>
          <w:sz w:val="22"/>
          <w:szCs w:val="22"/>
        </w:rPr>
        <w:t>intereses de la</w:t>
      </w:r>
      <w:r w:rsidR="00BD4E9E" w:rsidRPr="002F21D4">
        <w:rPr>
          <w:sz w:val="22"/>
          <w:szCs w:val="22"/>
        </w:rPr>
        <w:t xml:space="preserve"> sociedad</w:t>
      </w:r>
      <w:r w:rsidR="00931981" w:rsidRPr="002F21D4">
        <w:rPr>
          <w:sz w:val="22"/>
          <w:szCs w:val="22"/>
        </w:rPr>
        <w:t xml:space="preserve"> y coordinar esfuerzos entre todos los actores sociales </w:t>
      </w:r>
      <w:r w:rsidRPr="002F21D4">
        <w:rPr>
          <w:sz w:val="22"/>
          <w:szCs w:val="22"/>
        </w:rPr>
        <w:t>son</w:t>
      </w:r>
      <w:r w:rsidR="00931981" w:rsidRPr="002F21D4">
        <w:rPr>
          <w:sz w:val="22"/>
          <w:szCs w:val="22"/>
        </w:rPr>
        <w:t xml:space="preserve"> condici</w:t>
      </w:r>
      <w:r w:rsidRPr="002F21D4">
        <w:rPr>
          <w:sz w:val="22"/>
          <w:szCs w:val="22"/>
        </w:rPr>
        <w:t>ones</w:t>
      </w:r>
      <w:r w:rsidR="00931981" w:rsidRPr="002F21D4">
        <w:rPr>
          <w:sz w:val="22"/>
          <w:szCs w:val="22"/>
        </w:rPr>
        <w:t xml:space="preserve"> necesaria</w:t>
      </w:r>
      <w:r w:rsidRPr="002F21D4">
        <w:rPr>
          <w:sz w:val="22"/>
          <w:szCs w:val="22"/>
        </w:rPr>
        <w:t>s</w:t>
      </w:r>
      <w:r w:rsidR="00931981" w:rsidRPr="002F21D4">
        <w:rPr>
          <w:sz w:val="22"/>
          <w:szCs w:val="22"/>
        </w:rPr>
        <w:t xml:space="preserve"> para </w:t>
      </w:r>
      <w:r w:rsidR="0074441F" w:rsidRPr="002F21D4">
        <w:rPr>
          <w:sz w:val="22"/>
          <w:szCs w:val="22"/>
        </w:rPr>
        <w:t>la gobernabilidad democrática.</w:t>
      </w:r>
    </w:p>
    <w:p w14:paraId="538E6DCA" w14:textId="77777777" w:rsidR="00B06FB8" w:rsidRPr="002F21D4" w:rsidRDefault="00B06FB8" w:rsidP="00B06FB8">
      <w:pPr>
        <w:snapToGrid w:val="0"/>
        <w:ind w:firstLine="426"/>
        <w:jc w:val="both"/>
        <w:rPr>
          <w:sz w:val="22"/>
          <w:szCs w:val="22"/>
        </w:rPr>
      </w:pPr>
    </w:p>
    <w:p w14:paraId="53DC1C39" w14:textId="0DF6E3D0" w:rsidR="00931981" w:rsidRPr="002F21D4" w:rsidRDefault="00931981" w:rsidP="00B06FB8">
      <w:pPr>
        <w:snapToGrid w:val="0"/>
        <w:ind w:firstLine="426"/>
        <w:jc w:val="both"/>
        <w:rPr>
          <w:sz w:val="22"/>
          <w:szCs w:val="22"/>
        </w:rPr>
      </w:pPr>
      <w:r w:rsidRPr="002F21D4">
        <w:rPr>
          <w:sz w:val="22"/>
          <w:szCs w:val="22"/>
        </w:rPr>
        <w:t xml:space="preserve">Para el periodo de este informe, la Misión intensificó su presencia en los territorios y observó con preocupación, amenazas para el ejercicio de participación de Organismos de Acción Comunal, de las autoridades étnico-territoriales y </w:t>
      </w:r>
      <w:r w:rsidR="00147F01" w:rsidRPr="002F21D4">
        <w:rPr>
          <w:sz w:val="22"/>
          <w:szCs w:val="22"/>
        </w:rPr>
        <w:t xml:space="preserve">de </w:t>
      </w:r>
      <w:r w:rsidRPr="002F21D4">
        <w:rPr>
          <w:sz w:val="22"/>
          <w:szCs w:val="22"/>
        </w:rPr>
        <w:t>procesos sociales; el aumento de cultivos ilícito</w:t>
      </w:r>
      <w:r w:rsidR="00237F06" w:rsidRPr="002F21D4">
        <w:rPr>
          <w:sz w:val="22"/>
          <w:szCs w:val="22"/>
        </w:rPr>
        <w:t>s</w:t>
      </w:r>
      <w:r w:rsidRPr="002F21D4">
        <w:rPr>
          <w:sz w:val="22"/>
          <w:szCs w:val="22"/>
        </w:rPr>
        <w:t xml:space="preserve"> en algunas zonas, el reclutamiento forzado y otras formas de vinculación de </w:t>
      </w:r>
      <w:r w:rsidR="0074441F" w:rsidRPr="002F21D4">
        <w:rPr>
          <w:sz w:val="22"/>
          <w:szCs w:val="22"/>
        </w:rPr>
        <w:t>niños, niñas y adolescentes (</w:t>
      </w:r>
      <w:r w:rsidRPr="002F21D4">
        <w:rPr>
          <w:sz w:val="22"/>
          <w:szCs w:val="22"/>
        </w:rPr>
        <w:t>NNA</w:t>
      </w:r>
      <w:r w:rsidR="0074441F" w:rsidRPr="002F21D4">
        <w:rPr>
          <w:sz w:val="22"/>
          <w:szCs w:val="22"/>
        </w:rPr>
        <w:t>)</w:t>
      </w:r>
      <w:r w:rsidRPr="002F21D4">
        <w:rPr>
          <w:sz w:val="22"/>
          <w:szCs w:val="22"/>
        </w:rPr>
        <w:t xml:space="preserve"> a los </w:t>
      </w:r>
      <w:r w:rsidR="00AB3612" w:rsidRPr="002F21D4">
        <w:rPr>
          <w:sz w:val="22"/>
          <w:szCs w:val="22"/>
        </w:rPr>
        <w:lastRenderedPageBreak/>
        <w:t>GAI</w:t>
      </w:r>
      <w:r w:rsidRPr="002F21D4">
        <w:rPr>
          <w:sz w:val="22"/>
          <w:szCs w:val="22"/>
        </w:rPr>
        <w:t>. Asimismo, disputas por el control de las economías ilegales y el fortalecimiento de estos grupos en los territorios.</w:t>
      </w:r>
    </w:p>
    <w:p w14:paraId="76C29C10" w14:textId="77777777" w:rsidR="00B06FB8" w:rsidRPr="002F21D4" w:rsidRDefault="00B06FB8" w:rsidP="00B06FB8">
      <w:pPr>
        <w:snapToGrid w:val="0"/>
        <w:ind w:firstLine="426"/>
        <w:jc w:val="both"/>
        <w:rPr>
          <w:sz w:val="22"/>
          <w:szCs w:val="22"/>
        </w:rPr>
      </w:pPr>
    </w:p>
    <w:p w14:paraId="3E3398DD" w14:textId="1A16C650" w:rsidR="00931981" w:rsidRPr="002F21D4" w:rsidRDefault="00931981" w:rsidP="00B06FB8">
      <w:pPr>
        <w:snapToGrid w:val="0"/>
        <w:ind w:firstLine="426"/>
        <w:jc w:val="both"/>
        <w:rPr>
          <w:sz w:val="22"/>
          <w:szCs w:val="22"/>
        </w:rPr>
      </w:pPr>
      <w:r w:rsidRPr="002F21D4">
        <w:rPr>
          <w:sz w:val="22"/>
          <w:szCs w:val="22"/>
        </w:rPr>
        <w:t xml:space="preserve">Ante este contexto, la SG/OEA reconoce los esfuerzos que el Estado colombiano realiza a través de </w:t>
      </w:r>
      <w:r w:rsidR="00E16BF4" w:rsidRPr="002F21D4">
        <w:rPr>
          <w:sz w:val="22"/>
          <w:szCs w:val="22"/>
        </w:rPr>
        <w:t xml:space="preserve">numerosas </w:t>
      </w:r>
      <w:r w:rsidR="005D07EE" w:rsidRPr="002F21D4">
        <w:rPr>
          <w:sz w:val="22"/>
          <w:szCs w:val="22"/>
        </w:rPr>
        <w:t>y</w:t>
      </w:r>
      <w:r w:rsidR="00E16BF4" w:rsidRPr="002F21D4">
        <w:rPr>
          <w:sz w:val="22"/>
          <w:szCs w:val="22"/>
        </w:rPr>
        <w:t xml:space="preserve"> diversas políticas, las cuales son objeto de monitoreo</w:t>
      </w:r>
      <w:r w:rsidR="001F04F1" w:rsidRPr="002F21D4">
        <w:rPr>
          <w:sz w:val="22"/>
          <w:szCs w:val="22"/>
        </w:rPr>
        <w:t xml:space="preserve"> y </w:t>
      </w:r>
      <w:r w:rsidR="00E16BF4" w:rsidRPr="002F21D4">
        <w:rPr>
          <w:sz w:val="22"/>
          <w:szCs w:val="22"/>
        </w:rPr>
        <w:t>seguimiento por parte de la MAPP/OEA, entre estas:</w:t>
      </w:r>
      <w:r w:rsidR="00CE7244" w:rsidRPr="002F21D4">
        <w:rPr>
          <w:sz w:val="22"/>
          <w:szCs w:val="22"/>
        </w:rPr>
        <w:t xml:space="preserve"> Paz con Legalidad</w:t>
      </w:r>
      <w:r w:rsidR="00532BA8" w:rsidRPr="002F21D4">
        <w:rPr>
          <w:sz w:val="22"/>
          <w:szCs w:val="22"/>
        </w:rPr>
        <w:t>, la política pública para la atención y reparación integral a las víctimas</w:t>
      </w:r>
      <w:r w:rsidR="003506A9" w:rsidRPr="002F21D4">
        <w:rPr>
          <w:sz w:val="22"/>
          <w:szCs w:val="22"/>
        </w:rPr>
        <w:t xml:space="preserve">, </w:t>
      </w:r>
      <w:r w:rsidR="00B3413A" w:rsidRPr="002F21D4">
        <w:rPr>
          <w:sz w:val="22"/>
          <w:szCs w:val="22"/>
        </w:rPr>
        <w:t xml:space="preserve">Ruta Futuro: política para enfrentar el problema de las drogas, </w:t>
      </w:r>
      <w:r w:rsidR="003506A9" w:rsidRPr="002F21D4">
        <w:rPr>
          <w:sz w:val="22"/>
          <w:szCs w:val="22"/>
        </w:rPr>
        <w:t>la política pública de garantía y respeto a la labor de defensa de los derechos humanos;</w:t>
      </w:r>
      <w:r w:rsidR="00CE7244" w:rsidRPr="002F21D4">
        <w:rPr>
          <w:sz w:val="22"/>
          <w:szCs w:val="22"/>
        </w:rPr>
        <w:t xml:space="preserve"> y</w:t>
      </w:r>
      <w:r w:rsidR="00CE7244" w:rsidRPr="002F21D4">
        <w:rPr>
          <w:color w:val="FF0000"/>
          <w:sz w:val="22"/>
          <w:szCs w:val="22"/>
        </w:rPr>
        <w:t xml:space="preserve"> </w:t>
      </w:r>
      <w:r w:rsidRPr="002F21D4">
        <w:rPr>
          <w:sz w:val="22"/>
          <w:szCs w:val="22"/>
        </w:rPr>
        <w:t>estrategias concretas como</w:t>
      </w:r>
      <w:r w:rsidR="00B3413A" w:rsidRPr="002F21D4">
        <w:rPr>
          <w:sz w:val="22"/>
          <w:szCs w:val="22"/>
        </w:rPr>
        <w:t>: los Programas de Desarrollo con Enfoque Territorial (PDET),</w:t>
      </w:r>
      <w:r w:rsidRPr="002F21D4">
        <w:rPr>
          <w:sz w:val="22"/>
          <w:szCs w:val="22"/>
        </w:rPr>
        <w:t xml:space="preserve"> el </w:t>
      </w:r>
      <w:r w:rsidR="00F41B5C" w:rsidRPr="002F21D4">
        <w:rPr>
          <w:rFonts w:eastAsia="Calibri"/>
          <w:sz w:val="22"/>
          <w:szCs w:val="22"/>
        </w:rPr>
        <w:t>Programa Nacional Integral de Sustitución de Cultivos Ilícitos</w:t>
      </w:r>
      <w:r w:rsidR="00F41B5C" w:rsidRPr="002F21D4">
        <w:rPr>
          <w:sz w:val="22"/>
          <w:szCs w:val="22"/>
        </w:rPr>
        <w:t xml:space="preserve"> (</w:t>
      </w:r>
      <w:r w:rsidRPr="002F21D4">
        <w:rPr>
          <w:sz w:val="22"/>
          <w:szCs w:val="22"/>
        </w:rPr>
        <w:t>PNIS</w:t>
      </w:r>
      <w:r w:rsidR="00F41B5C" w:rsidRPr="002F21D4">
        <w:rPr>
          <w:sz w:val="22"/>
          <w:szCs w:val="22"/>
        </w:rPr>
        <w:t>)</w:t>
      </w:r>
      <w:r w:rsidRPr="002F21D4">
        <w:rPr>
          <w:sz w:val="22"/>
          <w:szCs w:val="22"/>
        </w:rPr>
        <w:t xml:space="preserve">, los </w:t>
      </w:r>
      <w:r w:rsidR="00F41B5C" w:rsidRPr="002F21D4">
        <w:rPr>
          <w:rFonts w:eastAsia="Calibri"/>
          <w:sz w:val="22"/>
          <w:szCs w:val="22"/>
        </w:rPr>
        <w:t>Planes Integrales de Sustitución y Desarrollo Alternativo</w:t>
      </w:r>
      <w:r w:rsidR="00F41B5C" w:rsidRPr="002F21D4">
        <w:rPr>
          <w:sz w:val="22"/>
          <w:szCs w:val="22"/>
        </w:rPr>
        <w:t xml:space="preserve"> (</w:t>
      </w:r>
      <w:r w:rsidRPr="002F21D4">
        <w:rPr>
          <w:sz w:val="22"/>
          <w:szCs w:val="22"/>
        </w:rPr>
        <w:t>PISDA</w:t>
      </w:r>
      <w:r w:rsidR="00F41B5C" w:rsidRPr="002F21D4">
        <w:rPr>
          <w:sz w:val="22"/>
          <w:szCs w:val="22"/>
        </w:rPr>
        <w:t>)</w:t>
      </w:r>
      <w:r w:rsidRPr="002F21D4">
        <w:rPr>
          <w:sz w:val="22"/>
          <w:szCs w:val="22"/>
        </w:rPr>
        <w:t xml:space="preserve">, </w:t>
      </w:r>
      <w:r w:rsidR="003506A9" w:rsidRPr="002F21D4">
        <w:rPr>
          <w:sz w:val="22"/>
          <w:szCs w:val="22"/>
        </w:rPr>
        <w:t>las Zonas Estratégicas de Intervención Integral (ZEII), la reincorporación social y económica de excombatientes</w:t>
      </w:r>
      <w:r w:rsidR="0099525A" w:rsidRPr="002F21D4">
        <w:rPr>
          <w:rStyle w:val="FootnoteReference"/>
          <w:sz w:val="22"/>
          <w:szCs w:val="22"/>
        </w:rPr>
        <w:footnoteReference w:id="5"/>
      </w:r>
      <w:r w:rsidR="003506A9" w:rsidRPr="002F21D4">
        <w:rPr>
          <w:sz w:val="22"/>
          <w:szCs w:val="22"/>
        </w:rPr>
        <w:t xml:space="preserve">, </w:t>
      </w:r>
      <w:r w:rsidR="00AC210D" w:rsidRPr="002F21D4">
        <w:rPr>
          <w:sz w:val="22"/>
          <w:szCs w:val="22"/>
        </w:rPr>
        <w:t>la prevención del reclutamiento, u</w:t>
      </w:r>
      <w:r w:rsidR="00E71F6F" w:rsidRPr="002F21D4">
        <w:rPr>
          <w:sz w:val="22"/>
          <w:szCs w:val="22"/>
        </w:rPr>
        <w:t xml:space="preserve">so, utilización y violencia sexual contra niños, niñas y adolescentes a través de la estrategia “Súmate por mí”, </w:t>
      </w:r>
      <w:r w:rsidR="003506A9" w:rsidRPr="002F21D4">
        <w:rPr>
          <w:sz w:val="22"/>
          <w:szCs w:val="22"/>
        </w:rPr>
        <w:t xml:space="preserve">la </w:t>
      </w:r>
      <w:r w:rsidR="00F41B5C" w:rsidRPr="002F21D4">
        <w:rPr>
          <w:rFonts w:eastAsia="Calibri"/>
          <w:sz w:val="22"/>
          <w:szCs w:val="22"/>
        </w:rPr>
        <w:t>Acción Integral Contra Minas</w:t>
      </w:r>
      <w:r w:rsidR="00F41B5C" w:rsidRPr="002F21D4">
        <w:rPr>
          <w:sz w:val="22"/>
          <w:szCs w:val="22"/>
        </w:rPr>
        <w:t xml:space="preserve"> (</w:t>
      </w:r>
      <w:r w:rsidRPr="002F21D4">
        <w:rPr>
          <w:sz w:val="22"/>
          <w:szCs w:val="22"/>
        </w:rPr>
        <w:t>AICMA</w:t>
      </w:r>
      <w:r w:rsidR="00F41B5C" w:rsidRPr="002F21D4">
        <w:rPr>
          <w:sz w:val="22"/>
          <w:szCs w:val="22"/>
        </w:rPr>
        <w:t>)</w:t>
      </w:r>
      <w:r w:rsidR="00AC210D" w:rsidRPr="002F21D4">
        <w:rPr>
          <w:sz w:val="22"/>
          <w:szCs w:val="22"/>
        </w:rPr>
        <w:t xml:space="preserve">, </w:t>
      </w:r>
      <w:r w:rsidR="00B3413A" w:rsidRPr="002F21D4">
        <w:rPr>
          <w:sz w:val="22"/>
          <w:szCs w:val="22"/>
        </w:rPr>
        <w:t>el acceso y</w:t>
      </w:r>
      <w:r w:rsidR="00B8299D" w:rsidRPr="002F21D4">
        <w:rPr>
          <w:sz w:val="22"/>
          <w:szCs w:val="22"/>
        </w:rPr>
        <w:t xml:space="preserve"> la</w:t>
      </w:r>
      <w:r w:rsidR="00B3413A" w:rsidRPr="002F21D4">
        <w:rPr>
          <w:sz w:val="22"/>
          <w:szCs w:val="22"/>
        </w:rPr>
        <w:t xml:space="preserve"> formalización</w:t>
      </w:r>
      <w:r w:rsidR="00AC210D" w:rsidRPr="002F21D4">
        <w:rPr>
          <w:sz w:val="22"/>
          <w:szCs w:val="22"/>
        </w:rPr>
        <w:t xml:space="preserve"> de tierras</w:t>
      </w:r>
      <w:r w:rsidR="00B60D4F" w:rsidRPr="002F21D4">
        <w:rPr>
          <w:sz w:val="22"/>
          <w:szCs w:val="22"/>
        </w:rPr>
        <w:t>, el Plan Decenal de Justicia</w:t>
      </w:r>
      <w:r w:rsidRPr="002F21D4">
        <w:rPr>
          <w:sz w:val="22"/>
          <w:szCs w:val="22"/>
        </w:rPr>
        <w:t xml:space="preserve">; y </w:t>
      </w:r>
      <w:r w:rsidR="00E71F6F" w:rsidRPr="002F21D4">
        <w:rPr>
          <w:sz w:val="22"/>
          <w:szCs w:val="22"/>
        </w:rPr>
        <w:t xml:space="preserve">el Plan Nacional de política criminal que incluye </w:t>
      </w:r>
      <w:r w:rsidRPr="002F21D4">
        <w:rPr>
          <w:sz w:val="22"/>
          <w:szCs w:val="22"/>
        </w:rPr>
        <w:t xml:space="preserve">acciones para debilitar la capacidad militar y financiera de los GAI, reducir las condiciones de vulnerabilidad de las personas y </w:t>
      </w:r>
      <w:r w:rsidR="00E71F6F" w:rsidRPr="002F21D4">
        <w:rPr>
          <w:sz w:val="22"/>
          <w:szCs w:val="22"/>
        </w:rPr>
        <w:t xml:space="preserve">la disrupción de economías ilegales. </w:t>
      </w:r>
    </w:p>
    <w:p w14:paraId="079142EA" w14:textId="77777777" w:rsidR="00B06FB8" w:rsidRPr="002F21D4" w:rsidRDefault="00B06FB8" w:rsidP="00B06FB8">
      <w:pPr>
        <w:snapToGrid w:val="0"/>
        <w:ind w:firstLine="426"/>
        <w:jc w:val="both"/>
        <w:rPr>
          <w:sz w:val="22"/>
          <w:szCs w:val="22"/>
        </w:rPr>
      </w:pPr>
    </w:p>
    <w:p w14:paraId="7A68FE3E" w14:textId="02619B2F" w:rsidR="001F04F1" w:rsidRPr="002F21D4" w:rsidRDefault="001F04F1" w:rsidP="00B06FB8">
      <w:pPr>
        <w:snapToGrid w:val="0"/>
        <w:ind w:firstLine="426"/>
        <w:jc w:val="both"/>
        <w:rPr>
          <w:sz w:val="22"/>
          <w:szCs w:val="22"/>
        </w:rPr>
      </w:pPr>
      <w:r w:rsidRPr="002F21D4">
        <w:rPr>
          <w:sz w:val="22"/>
          <w:szCs w:val="22"/>
        </w:rPr>
        <w:t>De igual manera, la SG/OEA saluda la extensión del mandato de la Comisión para el Esclarecimiento de la Verdad</w:t>
      </w:r>
      <w:r w:rsidR="002F7EF7" w:rsidRPr="002F21D4">
        <w:rPr>
          <w:sz w:val="22"/>
          <w:szCs w:val="22"/>
        </w:rPr>
        <w:t>, la Convivencia y la No repetición (CEV)</w:t>
      </w:r>
      <w:r w:rsidR="005D07EE" w:rsidRPr="002F21D4">
        <w:rPr>
          <w:sz w:val="22"/>
          <w:szCs w:val="22"/>
        </w:rPr>
        <w:t xml:space="preserve"> por nueve meses más,</w:t>
      </w:r>
      <w:r w:rsidR="002F7EF7" w:rsidRPr="002F21D4">
        <w:rPr>
          <w:sz w:val="22"/>
          <w:szCs w:val="22"/>
        </w:rPr>
        <w:t xml:space="preserve"> hasta el 27 de agosto de 2022</w:t>
      </w:r>
      <w:r w:rsidR="0034189C" w:rsidRPr="002F21D4">
        <w:rPr>
          <w:sz w:val="22"/>
          <w:szCs w:val="22"/>
        </w:rPr>
        <w:t xml:space="preserve">. </w:t>
      </w:r>
      <w:r w:rsidR="000F02BF" w:rsidRPr="002F21D4">
        <w:rPr>
          <w:sz w:val="22"/>
          <w:szCs w:val="22"/>
        </w:rPr>
        <w:t>Esta es una oportunidad para</w:t>
      </w:r>
      <w:r w:rsidR="005D07EE" w:rsidRPr="002F21D4">
        <w:rPr>
          <w:sz w:val="22"/>
          <w:szCs w:val="22"/>
        </w:rPr>
        <w:t xml:space="preserve"> superar los impactos que tuvo la pandemia sobre las labores de la </w:t>
      </w:r>
      <w:r w:rsidR="00652B0E" w:rsidRPr="002F21D4">
        <w:rPr>
          <w:sz w:val="22"/>
          <w:szCs w:val="22"/>
        </w:rPr>
        <w:t>CEV</w:t>
      </w:r>
      <w:r w:rsidR="00065B44" w:rsidRPr="002F21D4">
        <w:rPr>
          <w:sz w:val="22"/>
          <w:szCs w:val="22"/>
        </w:rPr>
        <w:t xml:space="preserve"> y </w:t>
      </w:r>
      <w:r w:rsidR="0007749B" w:rsidRPr="002F21D4">
        <w:rPr>
          <w:sz w:val="22"/>
          <w:szCs w:val="22"/>
        </w:rPr>
        <w:t xml:space="preserve">para </w:t>
      </w:r>
      <w:r w:rsidR="00065B44" w:rsidRPr="002F21D4">
        <w:rPr>
          <w:sz w:val="22"/>
          <w:szCs w:val="22"/>
        </w:rPr>
        <w:t>lograr avanzar en la consolidación del Informe Final</w:t>
      </w:r>
      <w:r w:rsidR="00652B0E" w:rsidRPr="002F21D4">
        <w:rPr>
          <w:sz w:val="22"/>
          <w:szCs w:val="22"/>
        </w:rPr>
        <w:t xml:space="preserve"> con énfasis en la profundización de los hallazgos y las recomendaciones para la no repetición</w:t>
      </w:r>
      <w:r w:rsidR="004863BC" w:rsidRPr="002F21D4">
        <w:rPr>
          <w:sz w:val="22"/>
          <w:szCs w:val="22"/>
        </w:rPr>
        <w:t>, así como en la preparación y</w:t>
      </w:r>
      <w:r w:rsidR="00065B44" w:rsidRPr="002F21D4">
        <w:rPr>
          <w:sz w:val="22"/>
          <w:szCs w:val="22"/>
        </w:rPr>
        <w:t xml:space="preserve"> la entrega del El Legado</w:t>
      </w:r>
      <w:r w:rsidR="001D0222" w:rsidRPr="002F21D4">
        <w:rPr>
          <w:rStyle w:val="FootnoteReference"/>
          <w:sz w:val="22"/>
          <w:szCs w:val="22"/>
        </w:rPr>
        <w:footnoteReference w:id="6"/>
      </w:r>
      <w:r w:rsidR="00065B44" w:rsidRPr="002F21D4">
        <w:rPr>
          <w:sz w:val="22"/>
          <w:szCs w:val="22"/>
        </w:rPr>
        <w:t xml:space="preserve"> a la sociedad </w:t>
      </w:r>
      <w:r w:rsidR="00652B0E" w:rsidRPr="002F21D4">
        <w:rPr>
          <w:sz w:val="22"/>
          <w:szCs w:val="22"/>
        </w:rPr>
        <w:t>colombiana</w:t>
      </w:r>
      <w:r w:rsidR="004863BC" w:rsidRPr="002F21D4">
        <w:rPr>
          <w:sz w:val="22"/>
          <w:szCs w:val="22"/>
        </w:rPr>
        <w:t xml:space="preserve">. </w:t>
      </w:r>
      <w:r w:rsidR="0007749B" w:rsidRPr="002F21D4">
        <w:rPr>
          <w:sz w:val="22"/>
          <w:szCs w:val="22"/>
        </w:rPr>
        <w:t xml:space="preserve">Y </w:t>
      </w:r>
      <w:r w:rsidR="004863BC" w:rsidRPr="002F21D4">
        <w:rPr>
          <w:sz w:val="22"/>
          <w:szCs w:val="22"/>
        </w:rPr>
        <w:t xml:space="preserve">alienta a fortalecer el trabajo conjunto con </w:t>
      </w:r>
      <w:r w:rsidR="004863BC" w:rsidRPr="002F21D4">
        <w:rPr>
          <w:sz w:val="22"/>
          <w:szCs w:val="22"/>
          <w:lang w:val="es-ES"/>
        </w:rPr>
        <w:t>la Unidad de Búsqueda de Personas dadas por Desaparecidas (UBPD) y la Jurisdicción Especial para la Paz (JEP)</w:t>
      </w:r>
      <w:r w:rsidR="001D0222" w:rsidRPr="002F21D4">
        <w:rPr>
          <w:sz w:val="22"/>
          <w:szCs w:val="22"/>
          <w:lang w:val="es-ES"/>
        </w:rPr>
        <w:t xml:space="preserve"> </w:t>
      </w:r>
      <w:r w:rsidR="00F95D56" w:rsidRPr="002F21D4">
        <w:rPr>
          <w:sz w:val="22"/>
          <w:szCs w:val="22"/>
          <w:lang w:val="es-ES"/>
        </w:rPr>
        <w:t>para avanzar en la garantía integral de los derechos de las víctimas</w:t>
      </w:r>
      <w:r w:rsidR="001D0222" w:rsidRPr="002F21D4">
        <w:rPr>
          <w:sz w:val="22"/>
          <w:szCs w:val="22"/>
          <w:lang w:val="es-ES"/>
        </w:rPr>
        <w:t xml:space="preserve"> y en la apropiación del </w:t>
      </w:r>
      <w:r w:rsidR="00F95D56" w:rsidRPr="002F21D4">
        <w:rPr>
          <w:sz w:val="22"/>
          <w:szCs w:val="22"/>
          <w:lang w:val="es-ES"/>
        </w:rPr>
        <w:t>Legado de la CEV</w:t>
      </w:r>
      <w:r w:rsidR="001D0222" w:rsidRPr="002F21D4">
        <w:rPr>
          <w:sz w:val="22"/>
          <w:szCs w:val="22"/>
        </w:rPr>
        <w:t>.</w:t>
      </w:r>
      <w:r w:rsidR="00B3338F" w:rsidRPr="002F21D4">
        <w:rPr>
          <w:sz w:val="22"/>
          <w:szCs w:val="22"/>
        </w:rPr>
        <w:t xml:space="preserve"> </w:t>
      </w:r>
    </w:p>
    <w:p w14:paraId="7CCBEA13" w14:textId="77777777" w:rsidR="00B06FB8" w:rsidRPr="002F21D4" w:rsidRDefault="00B06FB8" w:rsidP="00B06FB8">
      <w:pPr>
        <w:snapToGrid w:val="0"/>
        <w:ind w:firstLine="426"/>
        <w:jc w:val="both"/>
        <w:rPr>
          <w:sz w:val="22"/>
          <w:szCs w:val="22"/>
          <w:lang w:val="es-ES"/>
        </w:rPr>
      </w:pPr>
    </w:p>
    <w:p w14:paraId="230450A9" w14:textId="6AC0AD79" w:rsidR="00931981" w:rsidRPr="002F21D4" w:rsidRDefault="00931981" w:rsidP="00B06FB8">
      <w:pPr>
        <w:snapToGrid w:val="0"/>
        <w:ind w:firstLine="426"/>
        <w:jc w:val="both"/>
        <w:rPr>
          <w:sz w:val="22"/>
          <w:szCs w:val="22"/>
          <w:lang w:val="es-ES"/>
        </w:rPr>
      </w:pPr>
      <w:r w:rsidRPr="002F21D4">
        <w:rPr>
          <w:sz w:val="22"/>
          <w:szCs w:val="22"/>
          <w:lang w:val="es-ES"/>
        </w:rPr>
        <w:t xml:space="preserve">La SG/OEA reconoce como un hecho de paz la reactivación de las Circunscripciones Especiales Transitorias para la Paz, que hacen parte del </w:t>
      </w:r>
      <w:r w:rsidR="009B5424" w:rsidRPr="002F21D4">
        <w:rPr>
          <w:sz w:val="22"/>
          <w:szCs w:val="22"/>
          <w:lang w:val="es-ES"/>
        </w:rPr>
        <w:t xml:space="preserve">Acuerdo Final para la Terminación del Conflicto y la Construcción de una Paz Estable y Duradera, </w:t>
      </w:r>
      <w:r w:rsidRPr="002F21D4">
        <w:rPr>
          <w:sz w:val="22"/>
          <w:szCs w:val="22"/>
          <w:lang w:val="es-ES"/>
        </w:rPr>
        <w:t xml:space="preserve">y que buscan dar vocería en el Congreso de la República a víctimas del conflicto armado lo que, sin lugar a duda, se traduce en un fortalecimiento de la participación política </w:t>
      </w:r>
      <w:r w:rsidR="00D100C5" w:rsidRPr="002F21D4">
        <w:rPr>
          <w:sz w:val="22"/>
          <w:szCs w:val="22"/>
          <w:lang w:val="es-ES"/>
        </w:rPr>
        <w:t>en Colombia.</w:t>
      </w:r>
      <w:r w:rsidRPr="002F21D4">
        <w:rPr>
          <w:sz w:val="22"/>
          <w:szCs w:val="22"/>
          <w:lang w:val="es-ES"/>
        </w:rPr>
        <w:t xml:space="preserve"> La SG</w:t>
      </w:r>
      <w:r w:rsidR="00F41B5C" w:rsidRPr="002F21D4">
        <w:rPr>
          <w:sz w:val="22"/>
          <w:szCs w:val="22"/>
          <w:lang w:val="es-ES"/>
        </w:rPr>
        <w:t>/OEA</w:t>
      </w:r>
      <w:r w:rsidRPr="002F21D4">
        <w:rPr>
          <w:sz w:val="22"/>
          <w:szCs w:val="22"/>
          <w:lang w:val="es-ES"/>
        </w:rPr>
        <w:t xml:space="preserve"> advierte que para garantizar el potencial de este ejercicio democrático se necesitará un esfuerzo sin precedentes de preparación y promoción de la participación, por parte de todos los actores, así como de la voluntad institucional para respaldar las garantías</w:t>
      </w:r>
      <w:r w:rsidR="00D100C5" w:rsidRPr="002F21D4">
        <w:rPr>
          <w:sz w:val="22"/>
          <w:szCs w:val="22"/>
          <w:lang w:val="es-ES"/>
        </w:rPr>
        <w:t xml:space="preserve"> electorales y de seguridad</w:t>
      </w:r>
      <w:r w:rsidRPr="002F21D4">
        <w:rPr>
          <w:sz w:val="22"/>
          <w:szCs w:val="22"/>
          <w:lang w:val="es-ES"/>
        </w:rPr>
        <w:t xml:space="preserve"> en los territorios involucrados.</w:t>
      </w:r>
    </w:p>
    <w:p w14:paraId="644AB624" w14:textId="77777777" w:rsidR="00B06FB8" w:rsidRPr="002F21D4" w:rsidRDefault="00B06FB8" w:rsidP="00B06FB8">
      <w:pPr>
        <w:snapToGrid w:val="0"/>
        <w:ind w:firstLine="360"/>
        <w:jc w:val="both"/>
        <w:rPr>
          <w:sz w:val="22"/>
          <w:szCs w:val="22"/>
          <w:lang w:val="es-ES"/>
        </w:rPr>
      </w:pPr>
    </w:p>
    <w:p w14:paraId="779734D7" w14:textId="35DFC30E" w:rsidR="00931981" w:rsidRPr="002F21D4" w:rsidRDefault="00931981" w:rsidP="00B06FB8">
      <w:pPr>
        <w:snapToGrid w:val="0"/>
        <w:ind w:firstLine="360"/>
        <w:jc w:val="both"/>
        <w:rPr>
          <w:sz w:val="22"/>
          <w:szCs w:val="22"/>
          <w:lang w:val="es-ES"/>
        </w:rPr>
      </w:pPr>
      <w:r w:rsidRPr="002F21D4">
        <w:rPr>
          <w:sz w:val="22"/>
          <w:szCs w:val="22"/>
          <w:lang w:val="es-ES"/>
        </w:rPr>
        <w:t xml:space="preserve">Respecto al fenómeno migratorio y particularmente, a la atención, protección e integración de la población venezolana, Colombia expidió el Estatuto Temporal de Protección para Migrantes </w:t>
      </w:r>
      <w:r w:rsidRPr="002F21D4">
        <w:rPr>
          <w:sz w:val="22"/>
          <w:szCs w:val="22"/>
          <w:lang w:val="es-ES"/>
        </w:rPr>
        <w:lastRenderedPageBreak/>
        <w:t>Venezolanos, entre otras acciones, lo que ha demostrado su compromiso real con los migrantes y la atención a esta crisis sin precedentes. La SG</w:t>
      </w:r>
      <w:r w:rsidR="00F41B5C" w:rsidRPr="002F21D4">
        <w:rPr>
          <w:sz w:val="22"/>
          <w:szCs w:val="22"/>
          <w:lang w:val="es-ES"/>
        </w:rPr>
        <w:t>/OEA</w:t>
      </w:r>
      <w:r w:rsidRPr="002F21D4">
        <w:rPr>
          <w:sz w:val="22"/>
          <w:szCs w:val="22"/>
          <w:lang w:val="es-ES"/>
        </w:rPr>
        <w:t xml:space="preserve"> considera </w:t>
      </w:r>
      <w:r w:rsidR="00D02343" w:rsidRPr="002F21D4">
        <w:rPr>
          <w:sz w:val="22"/>
          <w:szCs w:val="22"/>
          <w:lang w:val="es-ES"/>
        </w:rPr>
        <w:t xml:space="preserve">ejemplar </w:t>
      </w:r>
      <w:r w:rsidRPr="002F21D4">
        <w:rPr>
          <w:sz w:val="22"/>
          <w:szCs w:val="22"/>
          <w:lang w:val="es-ES"/>
        </w:rPr>
        <w:t>esta decisión</w:t>
      </w:r>
      <w:r w:rsidR="00D02343" w:rsidRPr="002F21D4">
        <w:rPr>
          <w:sz w:val="22"/>
          <w:szCs w:val="22"/>
          <w:lang w:val="es-ES"/>
        </w:rPr>
        <w:t xml:space="preserve">, y </w:t>
      </w:r>
      <w:r w:rsidRPr="002F21D4">
        <w:rPr>
          <w:sz w:val="22"/>
          <w:szCs w:val="22"/>
          <w:lang w:val="es-ES"/>
        </w:rPr>
        <w:t xml:space="preserve">muestra de fraternidad y solidaridad </w:t>
      </w:r>
      <w:r w:rsidR="0074441F" w:rsidRPr="002F21D4">
        <w:rPr>
          <w:sz w:val="22"/>
          <w:szCs w:val="22"/>
          <w:lang w:val="es-ES"/>
        </w:rPr>
        <w:t>con la ciudadanía</w:t>
      </w:r>
      <w:r w:rsidR="004C6D43" w:rsidRPr="002F21D4">
        <w:rPr>
          <w:sz w:val="22"/>
          <w:szCs w:val="22"/>
          <w:lang w:val="es-ES"/>
        </w:rPr>
        <w:t xml:space="preserve"> </w:t>
      </w:r>
      <w:r w:rsidRPr="002F21D4">
        <w:rPr>
          <w:sz w:val="22"/>
          <w:szCs w:val="22"/>
          <w:lang w:val="es-ES"/>
        </w:rPr>
        <w:t>de las Américas.</w:t>
      </w:r>
    </w:p>
    <w:p w14:paraId="620BBFD9" w14:textId="77777777" w:rsidR="00B06FB8" w:rsidRPr="002F21D4" w:rsidRDefault="00B06FB8" w:rsidP="00B06FB8">
      <w:pPr>
        <w:snapToGrid w:val="0"/>
        <w:ind w:firstLine="360"/>
        <w:jc w:val="both"/>
        <w:rPr>
          <w:sz w:val="22"/>
          <w:szCs w:val="22"/>
          <w:lang w:val="es-ES"/>
        </w:rPr>
      </w:pPr>
    </w:p>
    <w:p w14:paraId="7ED306F3" w14:textId="724BCF21" w:rsidR="00931981" w:rsidRPr="002F21D4" w:rsidRDefault="00931981" w:rsidP="00B06FB8">
      <w:pPr>
        <w:snapToGrid w:val="0"/>
        <w:ind w:firstLine="360"/>
        <w:jc w:val="both"/>
        <w:rPr>
          <w:sz w:val="22"/>
          <w:szCs w:val="22"/>
          <w:lang w:val="es-ES"/>
        </w:rPr>
      </w:pPr>
      <w:r w:rsidRPr="002F21D4">
        <w:rPr>
          <w:sz w:val="22"/>
          <w:szCs w:val="22"/>
          <w:lang w:val="es-ES"/>
        </w:rPr>
        <w:t xml:space="preserve">Si bien se han logrado </w:t>
      </w:r>
      <w:r w:rsidR="00D02343" w:rsidRPr="002F21D4">
        <w:rPr>
          <w:sz w:val="22"/>
          <w:szCs w:val="22"/>
          <w:lang w:val="es-ES"/>
        </w:rPr>
        <w:t xml:space="preserve">innegables </w:t>
      </w:r>
      <w:r w:rsidRPr="002F21D4">
        <w:rPr>
          <w:sz w:val="22"/>
          <w:szCs w:val="22"/>
          <w:lang w:val="es-ES"/>
        </w:rPr>
        <w:t xml:space="preserve">avances en la construcción de la paz, </w:t>
      </w:r>
      <w:r w:rsidR="00D02343" w:rsidRPr="002F21D4">
        <w:rPr>
          <w:sz w:val="22"/>
          <w:szCs w:val="22"/>
          <w:lang w:val="es-ES"/>
        </w:rPr>
        <w:t>per</w:t>
      </w:r>
      <w:r w:rsidRPr="002F21D4">
        <w:rPr>
          <w:sz w:val="22"/>
          <w:szCs w:val="22"/>
          <w:lang w:val="es-ES"/>
        </w:rPr>
        <w:t>s</w:t>
      </w:r>
      <w:r w:rsidR="00D02343" w:rsidRPr="002F21D4">
        <w:rPr>
          <w:sz w:val="22"/>
          <w:szCs w:val="22"/>
          <w:lang w:val="es-ES"/>
        </w:rPr>
        <w:t>is</w:t>
      </w:r>
      <w:r w:rsidRPr="002F21D4">
        <w:rPr>
          <w:sz w:val="22"/>
          <w:szCs w:val="22"/>
          <w:lang w:val="es-ES"/>
        </w:rPr>
        <w:t xml:space="preserve">ten enormes desafíos </w:t>
      </w:r>
      <w:r w:rsidR="00D02343" w:rsidRPr="002F21D4">
        <w:rPr>
          <w:sz w:val="22"/>
          <w:szCs w:val="22"/>
          <w:lang w:val="es-ES"/>
        </w:rPr>
        <w:t>como</w:t>
      </w:r>
      <w:r w:rsidRPr="002F21D4">
        <w:rPr>
          <w:sz w:val="22"/>
          <w:szCs w:val="22"/>
          <w:lang w:val="es-ES"/>
        </w:rPr>
        <w:t xml:space="preserve"> la dispersión y reacomodo de grupos armados ilegales, especialmente en zonas que se configuran como corredores de movilidad en función del narcotráfico, el contrabando y las rentas provenientes de la extracción ilícita de yacimientos mineros. Con preocupación se han observado acciones violentas en contra de servidores públicos, como</w:t>
      </w:r>
      <w:r w:rsidR="00D100C5" w:rsidRPr="002F21D4">
        <w:rPr>
          <w:sz w:val="22"/>
          <w:szCs w:val="22"/>
          <w:lang w:val="es-ES"/>
        </w:rPr>
        <w:t xml:space="preserve"> los ataques en contra de una aeronave en la que se transportaba el Presidente de la República, la instalación de un artefacto explosivo en la Trigésima Brigada del Ejército Nacional ubicada en la ciudad fronteriza de Cúcuta, y </w:t>
      </w:r>
      <w:r w:rsidRPr="002F21D4">
        <w:rPr>
          <w:sz w:val="22"/>
          <w:szCs w:val="22"/>
          <w:lang w:val="es-ES"/>
        </w:rPr>
        <w:t xml:space="preserve">la retención y </w:t>
      </w:r>
      <w:r w:rsidR="00147F01" w:rsidRPr="002F21D4">
        <w:rPr>
          <w:sz w:val="22"/>
          <w:szCs w:val="22"/>
          <w:lang w:val="es-ES"/>
        </w:rPr>
        <w:t>asesinato</w:t>
      </w:r>
      <w:r w:rsidRPr="002F21D4">
        <w:rPr>
          <w:sz w:val="22"/>
          <w:szCs w:val="22"/>
          <w:lang w:val="es-ES"/>
        </w:rPr>
        <w:t xml:space="preserve"> de </w:t>
      </w:r>
      <w:r w:rsidR="00147F01" w:rsidRPr="002F21D4">
        <w:rPr>
          <w:sz w:val="22"/>
          <w:szCs w:val="22"/>
          <w:lang w:val="es-ES"/>
        </w:rPr>
        <w:t xml:space="preserve">cuatro personas que conformaban </w:t>
      </w:r>
      <w:r w:rsidRPr="002F21D4">
        <w:rPr>
          <w:sz w:val="22"/>
          <w:szCs w:val="22"/>
          <w:lang w:val="es-ES"/>
        </w:rPr>
        <w:t>una comisión de la Unidad de Restitución de Tierras en el departamento del Meta</w:t>
      </w:r>
      <w:r w:rsidR="00D100C5" w:rsidRPr="002F21D4">
        <w:rPr>
          <w:sz w:val="22"/>
          <w:szCs w:val="22"/>
          <w:lang w:val="es-ES"/>
        </w:rPr>
        <w:t>.</w:t>
      </w:r>
      <w:r w:rsidR="00B3338F" w:rsidRPr="002F21D4">
        <w:rPr>
          <w:sz w:val="22"/>
          <w:szCs w:val="22"/>
          <w:lang w:val="es-ES"/>
        </w:rPr>
        <w:t xml:space="preserve"> </w:t>
      </w:r>
    </w:p>
    <w:p w14:paraId="5FC04A6C" w14:textId="77777777" w:rsidR="00B06FB8" w:rsidRPr="002F21D4" w:rsidRDefault="00B06FB8" w:rsidP="00B06FB8">
      <w:pPr>
        <w:snapToGrid w:val="0"/>
        <w:ind w:firstLine="360"/>
        <w:jc w:val="both"/>
        <w:rPr>
          <w:sz w:val="22"/>
          <w:szCs w:val="22"/>
          <w:lang w:val="es-ES"/>
        </w:rPr>
      </w:pPr>
    </w:p>
    <w:p w14:paraId="00BE9962" w14:textId="77CBC7E3" w:rsidR="00931981" w:rsidRPr="002F21D4" w:rsidRDefault="00931981" w:rsidP="00B06FB8">
      <w:pPr>
        <w:snapToGrid w:val="0"/>
        <w:ind w:firstLine="360"/>
        <w:jc w:val="both"/>
        <w:rPr>
          <w:sz w:val="22"/>
          <w:szCs w:val="22"/>
          <w:lang w:val="es-ES"/>
        </w:rPr>
      </w:pPr>
      <w:r w:rsidRPr="002F21D4">
        <w:rPr>
          <w:sz w:val="22"/>
          <w:szCs w:val="22"/>
          <w:lang w:val="es-ES"/>
        </w:rPr>
        <w:t xml:space="preserve">Asimismo, se mantienen dinámicas de violencia con impactos diferenciados e interseccionales sobre los derechos individuales y colectivos para poblaciones en situación de vulnerabilidad. </w:t>
      </w:r>
      <w:r w:rsidR="001D5CA1" w:rsidRPr="002F21D4">
        <w:rPr>
          <w:sz w:val="22"/>
          <w:szCs w:val="22"/>
          <w:lang w:val="es-ES"/>
        </w:rPr>
        <w:t>L</w:t>
      </w:r>
      <w:r w:rsidRPr="002F21D4">
        <w:rPr>
          <w:sz w:val="22"/>
          <w:szCs w:val="22"/>
          <w:lang w:val="es-ES"/>
        </w:rPr>
        <w:t xml:space="preserve">a presencia y accionar de </w:t>
      </w:r>
      <w:r w:rsidR="00F41B5C" w:rsidRPr="002F21D4">
        <w:rPr>
          <w:sz w:val="22"/>
          <w:szCs w:val="22"/>
          <w:lang w:val="es-ES"/>
        </w:rPr>
        <w:t>GAI</w:t>
      </w:r>
      <w:r w:rsidR="001D5CA1" w:rsidRPr="002F21D4">
        <w:rPr>
          <w:sz w:val="22"/>
          <w:szCs w:val="22"/>
          <w:lang w:val="es-ES"/>
        </w:rPr>
        <w:t xml:space="preserve"> afectan gravemente a</w:t>
      </w:r>
      <w:r w:rsidRPr="002F21D4">
        <w:rPr>
          <w:sz w:val="22"/>
          <w:szCs w:val="22"/>
          <w:lang w:val="es-ES"/>
        </w:rPr>
        <w:t xml:space="preserve"> mujeres, NNA, liderazgos sociales, comunidades indígenas, afrodescendientes, reclamantes de tierras, víctimas del conflicto armado, defensores de derechos humanos, promotores de la implementación de políticas de paz como la sustitución de cultivos ilícitos</w:t>
      </w:r>
      <w:r w:rsidR="001D5CA1" w:rsidRPr="002F21D4">
        <w:rPr>
          <w:sz w:val="22"/>
          <w:szCs w:val="22"/>
          <w:lang w:val="es-ES"/>
        </w:rPr>
        <w:t xml:space="preserve">, </w:t>
      </w:r>
      <w:r w:rsidRPr="002F21D4">
        <w:rPr>
          <w:sz w:val="22"/>
          <w:szCs w:val="22"/>
          <w:lang w:val="es-ES"/>
        </w:rPr>
        <w:t>personas en proceso de reincorporación de las FARC-EP</w:t>
      </w:r>
      <w:r w:rsidR="001D5CA1" w:rsidRPr="002F21D4">
        <w:rPr>
          <w:sz w:val="22"/>
          <w:szCs w:val="22"/>
          <w:lang w:val="es-ES"/>
        </w:rPr>
        <w:t xml:space="preserve"> y agentes del Estado</w:t>
      </w:r>
      <w:r w:rsidRPr="002F21D4">
        <w:rPr>
          <w:sz w:val="22"/>
          <w:szCs w:val="22"/>
          <w:lang w:val="es-ES"/>
        </w:rPr>
        <w:t xml:space="preserve">. </w:t>
      </w:r>
    </w:p>
    <w:p w14:paraId="1EFB44AA" w14:textId="77777777" w:rsidR="00B06FB8" w:rsidRPr="002F21D4" w:rsidRDefault="00B06FB8" w:rsidP="00B06FB8">
      <w:pPr>
        <w:snapToGrid w:val="0"/>
        <w:ind w:firstLine="360"/>
        <w:jc w:val="both"/>
        <w:rPr>
          <w:sz w:val="22"/>
          <w:szCs w:val="22"/>
          <w:lang w:val="es-ES"/>
        </w:rPr>
      </w:pPr>
    </w:p>
    <w:p w14:paraId="2B0EF6E1" w14:textId="6EF3EDEB" w:rsidR="00931981" w:rsidRPr="002F21D4" w:rsidRDefault="001D5CA1" w:rsidP="00B06FB8">
      <w:pPr>
        <w:snapToGrid w:val="0"/>
        <w:ind w:firstLine="360"/>
        <w:jc w:val="both"/>
        <w:rPr>
          <w:sz w:val="22"/>
          <w:szCs w:val="22"/>
          <w:lang w:val="es-ES"/>
        </w:rPr>
      </w:pPr>
      <w:r w:rsidRPr="002F21D4">
        <w:rPr>
          <w:sz w:val="22"/>
          <w:szCs w:val="22"/>
          <w:lang w:val="es-ES"/>
        </w:rPr>
        <w:t xml:space="preserve">Se identifican </w:t>
      </w:r>
      <w:r w:rsidR="00931981" w:rsidRPr="002F21D4">
        <w:rPr>
          <w:sz w:val="22"/>
          <w:szCs w:val="22"/>
          <w:lang w:val="es-ES"/>
        </w:rPr>
        <w:t>las principales afectaciones que impactan los procesos organizativos, la participación ciudadana, la gobernabilidad territorial, el acceso a derechos y la construcción de confianza</w:t>
      </w:r>
      <w:r w:rsidR="00A54252" w:rsidRPr="002F21D4">
        <w:rPr>
          <w:sz w:val="22"/>
          <w:szCs w:val="22"/>
          <w:lang w:val="es-ES"/>
        </w:rPr>
        <w:t xml:space="preserve"> entre</w:t>
      </w:r>
      <w:r w:rsidR="00931981" w:rsidRPr="002F21D4">
        <w:rPr>
          <w:sz w:val="22"/>
          <w:szCs w:val="22"/>
          <w:lang w:val="es-ES"/>
        </w:rPr>
        <w:t xml:space="preserve"> ciudadanía-institucionalidad</w:t>
      </w:r>
      <w:r w:rsidR="00F41B5C" w:rsidRPr="002F21D4">
        <w:rPr>
          <w:sz w:val="22"/>
          <w:szCs w:val="22"/>
          <w:lang w:val="es-ES"/>
        </w:rPr>
        <w:t>:</w:t>
      </w:r>
      <w:r w:rsidR="000716FC" w:rsidRPr="002F21D4">
        <w:rPr>
          <w:sz w:val="22"/>
          <w:szCs w:val="22"/>
          <w:lang w:val="es-ES"/>
        </w:rPr>
        <w:t xml:space="preserve"> </w:t>
      </w:r>
      <w:r w:rsidR="00D100C5" w:rsidRPr="002F21D4">
        <w:rPr>
          <w:sz w:val="22"/>
          <w:szCs w:val="22"/>
          <w:lang w:val="es-ES"/>
        </w:rPr>
        <w:t>desplazamientos</w:t>
      </w:r>
      <w:r w:rsidR="00025C00" w:rsidRPr="002F21D4">
        <w:rPr>
          <w:sz w:val="22"/>
          <w:szCs w:val="22"/>
          <w:lang w:val="es-ES"/>
        </w:rPr>
        <w:t xml:space="preserve"> forzado</w:t>
      </w:r>
      <w:r w:rsidR="0074441F" w:rsidRPr="002F21D4">
        <w:rPr>
          <w:sz w:val="22"/>
          <w:szCs w:val="22"/>
          <w:lang w:val="es-ES"/>
        </w:rPr>
        <w:t>s</w:t>
      </w:r>
      <w:r w:rsidR="00D100C5" w:rsidRPr="002F21D4">
        <w:rPr>
          <w:sz w:val="22"/>
          <w:szCs w:val="22"/>
          <w:lang w:val="es-ES"/>
        </w:rPr>
        <w:t xml:space="preserve">, </w:t>
      </w:r>
      <w:r w:rsidR="00931981" w:rsidRPr="002F21D4">
        <w:rPr>
          <w:sz w:val="22"/>
          <w:szCs w:val="22"/>
          <w:lang w:val="es-ES"/>
        </w:rPr>
        <w:t>amenazas, homicidios, desapariciones, reclutamiento forzado, confinamientos,</w:t>
      </w:r>
      <w:r w:rsidR="00E75073" w:rsidRPr="002F21D4">
        <w:rPr>
          <w:sz w:val="22"/>
          <w:szCs w:val="22"/>
          <w:lang w:val="es-ES"/>
        </w:rPr>
        <w:t xml:space="preserve"> y</w:t>
      </w:r>
      <w:r w:rsidR="00931981" w:rsidRPr="002F21D4">
        <w:rPr>
          <w:sz w:val="22"/>
          <w:szCs w:val="22"/>
          <w:lang w:val="es-ES"/>
        </w:rPr>
        <w:t xml:space="preserve"> restricciones a la movilidad a causa de minas antipersonal (MAP)</w:t>
      </w:r>
      <w:r w:rsidR="00E75073" w:rsidRPr="002F21D4">
        <w:rPr>
          <w:sz w:val="22"/>
          <w:szCs w:val="22"/>
          <w:lang w:val="es-ES"/>
        </w:rPr>
        <w:t>,</w:t>
      </w:r>
      <w:r w:rsidR="00931981" w:rsidRPr="002F21D4">
        <w:rPr>
          <w:sz w:val="22"/>
          <w:szCs w:val="22"/>
          <w:lang w:val="es-ES"/>
        </w:rPr>
        <w:t xml:space="preserve"> artefactos explosivos improvisados (AEI);</w:t>
      </w:r>
      <w:r w:rsidR="00C72629" w:rsidRPr="002F21D4">
        <w:rPr>
          <w:sz w:val="22"/>
          <w:szCs w:val="22"/>
          <w:lang w:val="es-ES"/>
        </w:rPr>
        <w:t xml:space="preserve"> </w:t>
      </w:r>
      <w:r w:rsidR="00E75073" w:rsidRPr="002F21D4">
        <w:rPr>
          <w:sz w:val="22"/>
          <w:szCs w:val="22"/>
          <w:lang w:val="es-ES"/>
        </w:rPr>
        <w:t xml:space="preserve">y </w:t>
      </w:r>
      <w:r w:rsidR="00931981" w:rsidRPr="002F21D4">
        <w:rPr>
          <w:sz w:val="22"/>
          <w:szCs w:val="22"/>
          <w:lang w:val="es-ES"/>
        </w:rPr>
        <w:t>municiones sin explosionar (MSE).</w:t>
      </w:r>
    </w:p>
    <w:p w14:paraId="329492AD" w14:textId="77777777" w:rsidR="00B06FB8" w:rsidRPr="002F21D4" w:rsidRDefault="00B06FB8" w:rsidP="00B06FB8">
      <w:pPr>
        <w:snapToGrid w:val="0"/>
        <w:ind w:firstLine="360"/>
        <w:jc w:val="both"/>
        <w:rPr>
          <w:sz w:val="22"/>
          <w:szCs w:val="22"/>
          <w:lang w:val="es-ES"/>
        </w:rPr>
      </w:pPr>
    </w:p>
    <w:p w14:paraId="7821EB01" w14:textId="2885DDA4" w:rsidR="00931981" w:rsidRPr="002F21D4" w:rsidRDefault="00931981" w:rsidP="00B06FB8">
      <w:pPr>
        <w:snapToGrid w:val="0"/>
        <w:ind w:firstLine="360"/>
        <w:jc w:val="both"/>
        <w:rPr>
          <w:sz w:val="22"/>
          <w:szCs w:val="22"/>
          <w:lang w:val="es-ES"/>
        </w:rPr>
      </w:pPr>
      <w:r w:rsidRPr="002F21D4">
        <w:rPr>
          <w:sz w:val="22"/>
          <w:szCs w:val="22"/>
          <w:lang w:val="es-ES"/>
        </w:rPr>
        <w:t>De otra parte, la elección de los Organismos de Acción Comunal</w:t>
      </w:r>
      <w:r w:rsidR="00AB3612" w:rsidRPr="002F21D4">
        <w:rPr>
          <w:sz w:val="22"/>
          <w:szCs w:val="22"/>
          <w:lang w:val="es-ES"/>
        </w:rPr>
        <w:t xml:space="preserve"> (OAC)</w:t>
      </w:r>
      <w:r w:rsidRPr="002F21D4">
        <w:rPr>
          <w:sz w:val="22"/>
          <w:szCs w:val="22"/>
          <w:lang w:val="es-ES"/>
        </w:rPr>
        <w:t xml:space="preserve"> ha sido aplazada en dos ocasiones desde 2020, en atención a la emergencia de salud pública. </w:t>
      </w:r>
      <w:r w:rsidR="001D5CA1" w:rsidRPr="002F21D4">
        <w:rPr>
          <w:sz w:val="22"/>
          <w:szCs w:val="22"/>
          <w:lang w:val="es-ES"/>
        </w:rPr>
        <w:t xml:space="preserve">Si bien las </w:t>
      </w:r>
      <w:r w:rsidRPr="002F21D4">
        <w:rPr>
          <w:sz w:val="22"/>
          <w:szCs w:val="22"/>
          <w:lang w:val="es-ES"/>
        </w:rPr>
        <w:t xml:space="preserve">autoridades y actores involucrados en la concertación y preparación del proceso electoral han mantenido </w:t>
      </w:r>
      <w:r w:rsidR="001D5CA1" w:rsidRPr="002F21D4">
        <w:rPr>
          <w:sz w:val="22"/>
          <w:szCs w:val="22"/>
          <w:lang w:val="es-ES"/>
        </w:rPr>
        <w:t xml:space="preserve">sus </w:t>
      </w:r>
      <w:r w:rsidRPr="002F21D4">
        <w:rPr>
          <w:sz w:val="22"/>
          <w:szCs w:val="22"/>
          <w:lang w:val="es-ES"/>
        </w:rPr>
        <w:t xml:space="preserve">esfuerzos, la SG/OEA </w:t>
      </w:r>
      <w:r w:rsidR="001D5CA1" w:rsidRPr="002F21D4">
        <w:rPr>
          <w:sz w:val="22"/>
          <w:szCs w:val="22"/>
          <w:lang w:val="es-ES"/>
        </w:rPr>
        <w:t xml:space="preserve">constata serios riesgos </w:t>
      </w:r>
      <w:r w:rsidRPr="002F21D4">
        <w:rPr>
          <w:sz w:val="22"/>
          <w:szCs w:val="22"/>
          <w:lang w:val="es-ES"/>
        </w:rPr>
        <w:t>para el rol</w:t>
      </w:r>
      <w:r w:rsidR="009B5424" w:rsidRPr="002F21D4">
        <w:rPr>
          <w:sz w:val="22"/>
          <w:szCs w:val="22"/>
          <w:lang w:val="es-ES"/>
        </w:rPr>
        <w:t xml:space="preserve"> de la acción</w:t>
      </w:r>
      <w:r w:rsidRPr="002F21D4">
        <w:rPr>
          <w:sz w:val="22"/>
          <w:szCs w:val="22"/>
          <w:lang w:val="es-ES"/>
        </w:rPr>
        <w:t xml:space="preserve"> comunal a nivel territorial, tales como</w:t>
      </w:r>
      <w:r w:rsidR="001D5CA1" w:rsidRPr="002F21D4">
        <w:rPr>
          <w:sz w:val="22"/>
          <w:szCs w:val="22"/>
          <w:lang w:val="es-ES"/>
        </w:rPr>
        <w:t xml:space="preserve"> el </w:t>
      </w:r>
      <w:r w:rsidRPr="002F21D4">
        <w:rPr>
          <w:sz w:val="22"/>
          <w:szCs w:val="22"/>
          <w:lang w:val="es-ES"/>
        </w:rPr>
        <w:t>aumento de amenazas contra dignatarios comunales, una sensación generalizada de resignación, frustración y fatiga en el ejercicio del rol, lo que se traduce en renuncias a cargos directivos, y la disminución de actividades propias</w:t>
      </w:r>
      <w:r w:rsidR="0024574F" w:rsidRPr="002F21D4">
        <w:rPr>
          <w:sz w:val="22"/>
          <w:szCs w:val="22"/>
          <w:lang w:val="es-ES"/>
        </w:rPr>
        <w:t>, que</w:t>
      </w:r>
      <w:r w:rsidRPr="002F21D4">
        <w:rPr>
          <w:sz w:val="22"/>
          <w:szCs w:val="22"/>
          <w:lang w:val="es-ES"/>
        </w:rPr>
        <w:t xml:space="preserve"> impactan la legitimidad y confianza ganada por la organización </w:t>
      </w:r>
      <w:r w:rsidR="001D5CA1" w:rsidRPr="002F21D4">
        <w:rPr>
          <w:sz w:val="22"/>
          <w:szCs w:val="22"/>
          <w:lang w:val="es-ES"/>
        </w:rPr>
        <w:t xml:space="preserve">ante </w:t>
      </w:r>
      <w:r w:rsidRPr="002F21D4">
        <w:rPr>
          <w:sz w:val="22"/>
          <w:szCs w:val="22"/>
          <w:lang w:val="es-ES"/>
        </w:rPr>
        <w:t>sus comunidades.</w:t>
      </w:r>
    </w:p>
    <w:p w14:paraId="0EE6780B" w14:textId="77777777" w:rsidR="00B06FB8" w:rsidRPr="002F21D4" w:rsidRDefault="00B06FB8" w:rsidP="00B06FB8">
      <w:pPr>
        <w:snapToGrid w:val="0"/>
        <w:ind w:firstLine="360"/>
        <w:jc w:val="both"/>
        <w:rPr>
          <w:sz w:val="22"/>
          <w:szCs w:val="22"/>
          <w:lang w:val="es-ES"/>
        </w:rPr>
      </w:pPr>
    </w:p>
    <w:p w14:paraId="484185D4" w14:textId="08CBD63C" w:rsidR="00931981" w:rsidRPr="002F21D4" w:rsidRDefault="001D5CA1" w:rsidP="00B06FB8">
      <w:pPr>
        <w:snapToGrid w:val="0"/>
        <w:ind w:firstLine="360"/>
        <w:jc w:val="both"/>
        <w:rPr>
          <w:sz w:val="22"/>
          <w:szCs w:val="22"/>
          <w:lang w:val="es-ES"/>
        </w:rPr>
      </w:pPr>
      <w:r w:rsidRPr="002F21D4">
        <w:rPr>
          <w:sz w:val="22"/>
          <w:szCs w:val="22"/>
          <w:lang w:val="es-ES"/>
        </w:rPr>
        <w:t>E</w:t>
      </w:r>
      <w:r w:rsidR="00931981" w:rsidRPr="002F21D4">
        <w:rPr>
          <w:sz w:val="22"/>
          <w:szCs w:val="22"/>
          <w:lang w:val="es-ES"/>
        </w:rPr>
        <w:t xml:space="preserve">l último año del Gobierno y del Congreso </w:t>
      </w:r>
      <w:r w:rsidRPr="002F21D4">
        <w:rPr>
          <w:sz w:val="22"/>
          <w:szCs w:val="22"/>
          <w:lang w:val="es-ES"/>
        </w:rPr>
        <w:t>colombiano</w:t>
      </w:r>
      <w:r w:rsidR="00931981" w:rsidRPr="002F21D4">
        <w:rPr>
          <w:sz w:val="22"/>
          <w:szCs w:val="22"/>
          <w:lang w:val="es-ES"/>
        </w:rPr>
        <w:t xml:space="preserve"> </w:t>
      </w:r>
      <w:r w:rsidRPr="002F21D4">
        <w:rPr>
          <w:sz w:val="22"/>
          <w:szCs w:val="22"/>
          <w:lang w:val="es-ES"/>
        </w:rPr>
        <w:t xml:space="preserve">presenta </w:t>
      </w:r>
      <w:r w:rsidR="00931981" w:rsidRPr="002F21D4">
        <w:rPr>
          <w:sz w:val="22"/>
          <w:szCs w:val="22"/>
          <w:lang w:val="es-ES"/>
        </w:rPr>
        <w:t xml:space="preserve">la oportunidad para afianzar </w:t>
      </w:r>
      <w:r w:rsidRPr="002F21D4">
        <w:rPr>
          <w:sz w:val="22"/>
          <w:szCs w:val="22"/>
          <w:lang w:val="es-ES"/>
        </w:rPr>
        <w:t xml:space="preserve">la construcción de paz, </w:t>
      </w:r>
      <w:r w:rsidR="00931981" w:rsidRPr="002F21D4">
        <w:rPr>
          <w:sz w:val="22"/>
          <w:szCs w:val="22"/>
          <w:lang w:val="es-ES"/>
        </w:rPr>
        <w:t xml:space="preserve">los logros alcanzados, </w:t>
      </w:r>
      <w:r w:rsidR="009D3D31" w:rsidRPr="002F21D4">
        <w:rPr>
          <w:sz w:val="22"/>
          <w:szCs w:val="22"/>
          <w:lang w:val="es-ES"/>
        </w:rPr>
        <w:t xml:space="preserve">la superación de </w:t>
      </w:r>
      <w:r w:rsidR="00931981" w:rsidRPr="002F21D4">
        <w:rPr>
          <w:sz w:val="22"/>
          <w:szCs w:val="22"/>
          <w:lang w:val="es-ES"/>
        </w:rPr>
        <w:t>obstáculos</w:t>
      </w:r>
      <w:r w:rsidR="009D3D31" w:rsidRPr="002F21D4">
        <w:rPr>
          <w:sz w:val="22"/>
          <w:szCs w:val="22"/>
          <w:lang w:val="es-ES"/>
        </w:rPr>
        <w:t>, las</w:t>
      </w:r>
      <w:r w:rsidR="00931981" w:rsidRPr="002F21D4">
        <w:rPr>
          <w:sz w:val="22"/>
          <w:szCs w:val="22"/>
          <w:lang w:val="es-ES"/>
        </w:rPr>
        <w:t xml:space="preserve"> </w:t>
      </w:r>
      <w:r w:rsidR="009D3D31" w:rsidRPr="002F21D4">
        <w:rPr>
          <w:sz w:val="22"/>
          <w:szCs w:val="22"/>
          <w:lang w:val="es-ES"/>
        </w:rPr>
        <w:t xml:space="preserve">mejoras en </w:t>
      </w:r>
      <w:r w:rsidR="00931981" w:rsidRPr="002F21D4">
        <w:rPr>
          <w:sz w:val="22"/>
          <w:szCs w:val="22"/>
          <w:lang w:val="es-ES"/>
        </w:rPr>
        <w:t>las condiciones de seguridad</w:t>
      </w:r>
      <w:r w:rsidRPr="002F21D4">
        <w:rPr>
          <w:sz w:val="22"/>
          <w:szCs w:val="22"/>
          <w:lang w:val="es-ES"/>
        </w:rPr>
        <w:t xml:space="preserve"> y desarrollo</w:t>
      </w:r>
      <w:r w:rsidR="009D3D31" w:rsidRPr="002F21D4">
        <w:rPr>
          <w:sz w:val="22"/>
          <w:szCs w:val="22"/>
          <w:lang w:val="es-ES"/>
        </w:rPr>
        <w:t xml:space="preserve">; para encaminar definitivamente el abordaje de la conflictividad social a través del diálogo y la implementación de compromisos, así como para </w:t>
      </w:r>
      <w:r w:rsidR="00931981" w:rsidRPr="002F21D4">
        <w:rPr>
          <w:sz w:val="22"/>
          <w:szCs w:val="22"/>
          <w:lang w:val="es-ES"/>
        </w:rPr>
        <w:t>contrarrestar los efectos negativos de la pandemia.</w:t>
      </w:r>
      <w:r w:rsidR="0078159F" w:rsidRPr="002F21D4">
        <w:rPr>
          <w:sz w:val="22"/>
          <w:szCs w:val="22"/>
          <w:lang w:val="es-ES"/>
        </w:rPr>
        <w:t xml:space="preserve"> </w:t>
      </w:r>
    </w:p>
    <w:p w14:paraId="7250FE0A" w14:textId="77777777" w:rsidR="00B06FB8" w:rsidRPr="002F21D4" w:rsidRDefault="00B06FB8" w:rsidP="00B06FB8">
      <w:pPr>
        <w:snapToGrid w:val="0"/>
        <w:ind w:firstLine="360"/>
        <w:jc w:val="both"/>
        <w:rPr>
          <w:sz w:val="22"/>
          <w:szCs w:val="22"/>
          <w:lang w:val="es-ES"/>
        </w:rPr>
      </w:pPr>
    </w:p>
    <w:p w14:paraId="14B7ED03" w14:textId="3A97F2F9" w:rsidR="00931981" w:rsidRPr="002F21D4" w:rsidRDefault="00931981" w:rsidP="00B06FB8">
      <w:pPr>
        <w:snapToGrid w:val="0"/>
        <w:ind w:firstLine="360"/>
        <w:jc w:val="both"/>
        <w:rPr>
          <w:sz w:val="22"/>
          <w:szCs w:val="22"/>
          <w:lang w:val="es-ES"/>
        </w:rPr>
      </w:pPr>
      <w:r w:rsidRPr="002F21D4">
        <w:rPr>
          <w:sz w:val="22"/>
          <w:szCs w:val="22"/>
          <w:lang w:val="es-ES"/>
        </w:rPr>
        <w:t xml:space="preserve">La SG/OEA agradece especialmente a las integrantes de la Instancia Especial de Mujeres, a la Consejería Presidencial para la Estabilización y Consolidación, así como al componente del Partido Comunes y del Gobierno </w:t>
      </w:r>
      <w:r w:rsidR="00210F4F" w:rsidRPr="002F21D4">
        <w:rPr>
          <w:sz w:val="22"/>
          <w:szCs w:val="22"/>
          <w:lang w:val="es-ES"/>
        </w:rPr>
        <w:t xml:space="preserve">nacional </w:t>
      </w:r>
      <w:r w:rsidRPr="002F21D4">
        <w:rPr>
          <w:sz w:val="22"/>
          <w:szCs w:val="22"/>
          <w:lang w:val="es-ES"/>
        </w:rPr>
        <w:t>de la CSIVI por confiar a la MAPP/OEA el rol de custodia de las 32 asambleas departamentales y las 4 asambleas nacionales para la elección de las nuevas integrantes de la Instancia Especial de Mujeres. Reconocer a este organismo consultivo como mecanismo de participación, es un gran logro en el marco de la justicia transicional en el mundo</w:t>
      </w:r>
      <w:r w:rsidR="00254E95" w:rsidRPr="002F21D4">
        <w:rPr>
          <w:sz w:val="22"/>
          <w:szCs w:val="22"/>
          <w:lang w:val="es-ES"/>
        </w:rPr>
        <w:t>,</w:t>
      </w:r>
      <w:r w:rsidRPr="002F21D4">
        <w:rPr>
          <w:sz w:val="22"/>
          <w:szCs w:val="22"/>
          <w:lang w:val="es-ES"/>
        </w:rPr>
        <w:t xml:space="preserve"> y su renovación ha servido para reactivar el debate sobre los avances y retos de la agenda de género y paz.</w:t>
      </w:r>
    </w:p>
    <w:p w14:paraId="6F0C3B24" w14:textId="282EBFB1" w:rsidR="00931981" w:rsidRPr="002F21D4" w:rsidRDefault="00931981" w:rsidP="00B06FB8">
      <w:pPr>
        <w:snapToGrid w:val="0"/>
        <w:ind w:firstLine="360"/>
        <w:jc w:val="both"/>
        <w:rPr>
          <w:sz w:val="22"/>
          <w:szCs w:val="22"/>
          <w:lang w:val="es-ES"/>
        </w:rPr>
      </w:pPr>
      <w:r w:rsidRPr="002F21D4">
        <w:rPr>
          <w:sz w:val="22"/>
          <w:szCs w:val="22"/>
          <w:lang w:val="es-ES"/>
        </w:rPr>
        <w:lastRenderedPageBreak/>
        <w:t>La SG/OEA</w:t>
      </w:r>
      <w:r w:rsidR="00B867D7" w:rsidRPr="002F21D4">
        <w:rPr>
          <w:sz w:val="22"/>
          <w:szCs w:val="22"/>
          <w:lang w:val="es-ES"/>
        </w:rPr>
        <w:t xml:space="preserve">, a través de la MAPP/OEA, </w:t>
      </w:r>
      <w:r w:rsidR="008D5262" w:rsidRPr="002F21D4">
        <w:rPr>
          <w:sz w:val="22"/>
          <w:szCs w:val="22"/>
          <w:lang w:val="es-ES"/>
        </w:rPr>
        <w:t xml:space="preserve">continúa </w:t>
      </w:r>
      <w:r w:rsidRPr="002F21D4">
        <w:rPr>
          <w:sz w:val="22"/>
          <w:szCs w:val="22"/>
          <w:lang w:val="es-ES"/>
        </w:rPr>
        <w:t>acompaña</w:t>
      </w:r>
      <w:r w:rsidR="008D5262" w:rsidRPr="002F21D4">
        <w:rPr>
          <w:sz w:val="22"/>
          <w:szCs w:val="22"/>
          <w:lang w:val="es-ES"/>
        </w:rPr>
        <w:t>ndo</w:t>
      </w:r>
      <w:r w:rsidRPr="002F21D4">
        <w:rPr>
          <w:sz w:val="22"/>
          <w:szCs w:val="22"/>
          <w:lang w:val="es-ES"/>
        </w:rPr>
        <w:t xml:space="preserve"> </w:t>
      </w:r>
      <w:r w:rsidR="008D5262" w:rsidRPr="002F21D4">
        <w:rPr>
          <w:sz w:val="22"/>
          <w:szCs w:val="22"/>
          <w:lang w:val="es-ES"/>
        </w:rPr>
        <w:t xml:space="preserve">las iniciativas de búsqueda de acercamiento y diálogo </w:t>
      </w:r>
      <w:r w:rsidR="00B867D7" w:rsidRPr="002F21D4">
        <w:rPr>
          <w:sz w:val="22"/>
          <w:szCs w:val="22"/>
          <w:lang w:val="es-ES"/>
        </w:rPr>
        <w:t>entre el Gobierno nacional y el Ejército de Liberación Nacional (ELN)</w:t>
      </w:r>
      <w:r w:rsidR="008D5262" w:rsidRPr="002F21D4">
        <w:rPr>
          <w:sz w:val="22"/>
          <w:szCs w:val="22"/>
          <w:lang w:val="es-ES"/>
        </w:rPr>
        <w:t>.</w:t>
      </w:r>
      <w:r w:rsidR="00B867D7" w:rsidRPr="002F21D4">
        <w:rPr>
          <w:sz w:val="22"/>
          <w:szCs w:val="22"/>
          <w:lang w:val="es-ES"/>
        </w:rPr>
        <w:t xml:space="preserve"> En este contexto, </w:t>
      </w:r>
      <w:r w:rsidRPr="002F21D4">
        <w:rPr>
          <w:sz w:val="22"/>
          <w:szCs w:val="22"/>
          <w:lang w:val="es-ES"/>
        </w:rPr>
        <w:t xml:space="preserve">alienta a </w:t>
      </w:r>
      <w:r w:rsidR="00B867D7" w:rsidRPr="002F21D4">
        <w:rPr>
          <w:sz w:val="22"/>
          <w:szCs w:val="22"/>
          <w:lang w:val="es-ES"/>
        </w:rPr>
        <w:t xml:space="preserve">las partes </w:t>
      </w:r>
      <w:r w:rsidRPr="002F21D4">
        <w:rPr>
          <w:sz w:val="22"/>
          <w:szCs w:val="22"/>
          <w:lang w:val="es-ES"/>
        </w:rPr>
        <w:t xml:space="preserve">a no cesar en los esfuerzos para </w:t>
      </w:r>
      <w:r w:rsidR="00B867D7" w:rsidRPr="002F21D4">
        <w:rPr>
          <w:sz w:val="22"/>
          <w:szCs w:val="22"/>
          <w:lang w:val="es-ES"/>
        </w:rPr>
        <w:t>alcanzar</w:t>
      </w:r>
      <w:r w:rsidRPr="002F21D4">
        <w:rPr>
          <w:sz w:val="22"/>
          <w:szCs w:val="22"/>
          <w:lang w:val="es-ES"/>
        </w:rPr>
        <w:t xml:space="preserve"> la paz, </w:t>
      </w:r>
      <w:r w:rsidR="008D5262" w:rsidRPr="002F21D4">
        <w:rPr>
          <w:sz w:val="22"/>
          <w:szCs w:val="22"/>
          <w:lang w:val="es-ES"/>
        </w:rPr>
        <w:t xml:space="preserve">a plasmar hechos de paz que prioricen la seguridad y el bienestar </w:t>
      </w:r>
      <w:r w:rsidR="00A22C46" w:rsidRPr="002F21D4">
        <w:rPr>
          <w:sz w:val="22"/>
          <w:szCs w:val="22"/>
          <w:lang w:val="es-ES"/>
        </w:rPr>
        <w:t>d</w:t>
      </w:r>
      <w:r w:rsidR="008D5262" w:rsidRPr="002F21D4">
        <w:rPr>
          <w:sz w:val="22"/>
          <w:szCs w:val="22"/>
          <w:lang w:val="es-ES"/>
        </w:rPr>
        <w:t xml:space="preserve">e la </w:t>
      </w:r>
      <w:r w:rsidR="00A22C46" w:rsidRPr="002F21D4">
        <w:rPr>
          <w:sz w:val="22"/>
          <w:szCs w:val="22"/>
          <w:lang w:val="es-ES"/>
        </w:rPr>
        <w:t>población civil</w:t>
      </w:r>
      <w:r w:rsidR="008D5262" w:rsidRPr="002F21D4">
        <w:rPr>
          <w:sz w:val="22"/>
          <w:szCs w:val="22"/>
          <w:lang w:val="es-ES"/>
        </w:rPr>
        <w:t xml:space="preserve">. </w:t>
      </w:r>
      <w:r w:rsidRPr="002F21D4">
        <w:rPr>
          <w:sz w:val="22"/>
          <w:szCs w:val="22"/>
          <w:lang w:val="es-ES"/>
        </w:rPr>
        <w:t>Asimismo, hace un llamado para</w:t>
      </w:r>
      <w:r w:rsidR="00B867D7" w:rsidRPr="002F21D4">
        <w:rPr>
          <w:sz w:val="22"/>
          <w:szCs w:val="22"/>
          <w:lang w:val="es-ES"/>
        </w:rPr>
        <w:t xml:space="preserve"> </w:t>
      </w:r>
      <w:r w:rsidRPr="002F21D4">
        <w:rPr>
          <w:sz w:val="22"/>
          <w:szCs w:val="22"/>
          <w:lang w:val="es-ES"/>
        </w:rPr>
        <w:t>que la sociedad en su conjunto y la comunidad internacional siga apoyando</w:t>
      </w:r>
      <w:r w:rsidR="00FB46AA" w:rsidRPr="002F21D4">
        <w:rPr>
          <w:sz w:val="22"/>
          <w:szCs w:val="22"/>
          <w:lang w:val="es-ES"/>
        </w:rPr>
        <w:t xml:space="preserve"> la construcción de una paz completa. </w:t>
      </w:r>
    </w:p>
    <w:p w14:paraId="247CBF18" w14:textId="77777777" w:rsidR="00B06FB8" w:rsidRPr="002F21D4" w:rsidRDefault="00B06FB8" w:rsidP="00B06FB8">
      <w:pPr>
        <w:snapToGrid w:val="0"/>
        <w:ind w:firstLine="360"/>
        <w:jc w:val="both"/>
        <w:rPr>
          <w:sz w:val="22"/>
          <w:szCs w:val="22"/>
          <w:lang w:val="es-ES"/>
        </w:rPr>
      </w:pPr>
    </w:p>
    <w:p w14:paraId="4345D6FA" w14:textId="60BBD4BB" w:rsidR="00931981" w:rsidRPr="002F21D4" w:rsidRDefault="00931981" w:rsidP="00B06FB8">
      <w:pPr>
        <w:snapToGrid w:val="0"/>
        <w:ind w:firstLine="360"/>
        <w:jc w:val="both"/>
        <w:rPr>
          <w:sz w:val="22"/>
          <w:szCs w:val="22"/>
          <w:lang w:val="es-ES"/>
        </w:rPr>
      </w:pPr>
      <w:r w:rsidRPr="002F21D4">
        <w:rPr>
          <w:sz w:val="22"/>
          <w:szCs w:val="22"/>
          <w:lang w:val="es-ES"/>
        </w:rPr>
        <w:t xml:space="preserve">Igualmente, la SG/OEA extiende un reconocimiento al presidente </w:t>
      </w:r>
      <w:r w:rsidR="00AD35E6" w:rsidRPr="002F21D4">
        <w:rPr>
          <w:sz w:val="22"/>
          <w:szCs w:val="22"/>
          <w:lang w:val="es-ES"/>
        </w:rPr>
        <w:t>Iván</w:t>
      </w:r>
      <w:r w:rsidRPr="002F21D4">
        <w:rPr>
          <w:sz w:val="22"/>
          <w:szCs w:val="22"/>
          <w:lang w:val="es-ES"/>
        </w:rPr>
        <w:t xml:space="preserve"> Duque Márquez </w:t>
      </w:r>
      <w:r w:rsidR="00A22C46" w:rsidRPr="002F21D4">
        <w:rPr>
          <w:sz w:val="22"/>
          <w:szCs w:val="22"/>
          <w:lang w:val="es-ES"/>
        </w:rPr>
        <w:t>por renovar su</w:t>
      </w:r>
      <w:r w:rsidRPr="002F21D4">
        <w:rPr>
          <w:sz w:val="22"/>
          <w:szCs w:val="22"/>
          <w:lang w:val="es-ES"/>
        </w:rPr>
        <w:t xml:space="preserve"> confianza en la labor y la capacidad de la OEA en Colombia y </w:t>
      </w:r>
      <w:r w:rsidR="00DE03B4" w:rsidRPr="002F21D4">
        <w:rPr>
          <w:sz w:val="22"/>
          <w:szCs w:val="22"/>
          <w:lang w:val="es-ES"/>
        </w:rPr>
        <w:t>brindar</w:t>
      </w:r>
      <w:r w:rsidRPr="002F21D4">
        <w:rPr>
          <w:sz w:val="22"/>
          <w:szCs w:val="22"/>
          <w:lang w:val="es-ES"/>
        </w:rPr>
        <w:t xml:space="preserve"> su apoyo para el adecuado desarrollo de las funciones de la Misión. La SG/OEA agradece la </w:t>
      </w:r>
      <w:r w:rsidR="00A22C46" w:rsidRPr="002F21D4">
        <w:rPr>
          <w:sz w:val="22"/>
          <w:szCs w:val="22"/>
          <w:lang w:val="es-ES"/>
        </w:rPr>
        <w:t xml:space="preserve">decisión </w:t>
      </w:r>
      <w:r w:rsidRPr="002F21D4">
        <w:rPr>
          <w:sz w:val="22"/>
          <w:szCs w:val="22"/>
          <w:lang w:val="es-ES"/>
        </w:rPr>
        <w:t xml:space="preserve">del Gobierno </w:t>
      </w:r>
      <w:r w:rsidR="00F33D31" w:rsidRPr="002F21D4">
        <w:rPr>
          <w:sz w:val="22"/>
          <w:szCs w:val="22"/>
          <w:lang w:val="es-ES"/>
        </w:rPr>
        <w:t>n</w:t>
      </w:r>
      <w:r w:rsidRPr="002F21D4">
        <w:rPr>
          <w:sz w:val="22"/>
          <w:szCs w:val="22"/>
          <w:lang w:val="es-ES"/>
        </w:rPr>
        <w:t xml:space="preserve">acional </w:t>
      </w:r>
      <w:r w:rsidR="00A22C46" w:rsidRPr="002F21D4">
        <w:rPr>
          <w:sz w:val="22"/>
          <w:szCs w:val="22"/>
          <w:lang w:val="es-ES"/>
        </w:rPr>
        <w:t>de</w:t>
      </w:r>
      <w:r w:rsidRPr="002F21D4">
        <w:rPr>
          <w:sz w:val="22"/>
          <w:szCs w:val="22"/>
          <w:lang w:val="es-ES"/>
        </w:rPr>
        <w:t xml:space="preserve"> exten</w:t>
      </w:r>
      <w:r w:rsidR="00A22C46" w:rsidRPr="002F21D4">
        <w:rPr>
          <w:sz w:val="22"/>
          <w:szCs w:val="22"/>
          <w:lang w:val="es-ES"/>
        </w:rPr>
        <w:t xml:space="preserve">der </w:t>
      </w:r>
      <w:r w:rsidRPr="002F21D4">
        <w:rPr>
          <w:sz w:val="22"/>
          <w:szCs w:val="22"/>
          <w:lang w:val="es-ES"/>
        </w:rPr>
        <w:t xml:space="preserve">el mandato </w:t>
      </w:r>
      <w:r w:rsidR="00A22C46" w:rsidRPr="002F21D4">
        <w:rPr>
          <w:sz w:val="22"/>
          <w:szCs w:val="22"/>
          <w:lang w:val="es-ES"/>
        </w:rPr>
        <w:t xml:space="preserve">de la MAPP/OEA </w:t>
      </w:r>
      <w:r w:rsidRPr="002F21D4">
        <w:rPr>
          <w:sz w:val="22"/>
          <w:szCs w:val="22"/>
          <w:lang w:val="es-ES"/>
        </w:rPr>
        <w:t xml:space="preserve">por tres años </w:t>
      </w:r>
      <w:r w:rsidR="00A22C46" w:rsidRPr="002F21D4">
        <w:rPr>
          <w:sz w:val="22"/>
          <w:szCs w:val="22"/>
          <w:lang w:val="es-ES"/>
        </w:rPr>
        <w:t xml:space="preserve">a partir de 2022, así como la generosidad y respaldo </w:t>
      </w:r>
      <w:r w:rsidRPr="002F21D4">
        <w:rPr>
          <w:sz w:val="22"/>
          <w:szCs w:val="22"/>
          <w:lang w:val="es-ES"/>
        </w:rPr>
        <w:t>de la comunidad internacional.</w:t>
      </w:r>
    </w:p>
    <w:p w14:paraId="20DD020C" w14:textId="77777777" w:rsidR="00B06FB8" w:rsidRPr="002F21D4" w:rsidRDefault="00B06FB8" w:rsidP="00B06FB8">
      <w:pPr>
        <w:snapToGrid w:val="0"/>
        <w:ind w:firstLine="360"/>
        <w:jc w:val="both"/>
        <w:rPr>
          <w:sz w:val="22"/>
          <w:szCs w:val="22"/>
          <w:lang w:val="es-ES"/>
        </w:rPr>
      </w:pPr>
    </w:p>
    <w:p w14:paraId="583C52A7" w14:textId="0D45AD2B" w:rsidR="009923DF" w:rsidRPr="002F21D4" w:rsidRDefault="00931981" w:rsidP="00B06FB8">
      <w:pPr>
        <w:snapToGrid w:val="0"/>
        <w:ind w:firstLine="360"/>
        <w:jc w:val="both"/>
        <w:rPr>
          <w:sz w:val="22"/>
          <w:szCs w:val="22"/>
          <w:lang w:val="es-ES"/>
        </w:rPr>
      </w:pPr>
      <w:r w:rsidRPr="002F21D4">
        <w:rPr>
          <w:sz w:val="22"/>
          <w:szCs w:val="22"/>
          <w:lang w:val="es-ES"/>
        </w:rPr>
        <w:t>La MAPP/OEA seguirá trabajando y consolidándose como expresión multilateral de apoyo a los esfuerzos de paz en Colombia</w:t>
      </w:r>
      <w:r w:rsidR="00254E95" w:rsidRPr="002F21D4">
        <w:rPr>
          <w:sz w:val="22"/>
          <w:szCs w:val="22"/>
          <w:lang w:val="es-ES"/>
        </w:rPr>
        <w:t>,</w:t>
      </w:r>
      <w:r w:rsidRPr="002F21D4">
        <w:rPr>
          <w:sz w:val="22"/>
          <w:szCs w:val="22"/>
          <w:lang w:val="es-ES"/>
        </w:rPr>
        <w:t xml:space="preserve"> dignificando y reconociendo el esfuerzo de las víctimas, los excombatientes, las instituciones, las comunidades étnicas y campesinas, las organizaciones de mujeres, los líderes y lideresas, quienes, a pesar de sufrir la persistencia del conflicto, le apuestan desde sus territorios a la construcción de paz y </w:t>
      </w:r>
      <w:r w:rsidR="00A22C46" w:rsidRPr="002F21D4">
        <w:rPr>
          <w:sz w:val="22"/>
          <w:szCs w:val="22"/>
          <w:lang w:val="es-ES"/>
        </w:rPr>
        <w:t>a</w:t>
      </w:r>
      <w:r w:rsidR="00D100C5" w:rsidRPr="002F21D4">
        <w:rPr>
          <w:sz w:val="22"/>
          <w:szCs w:val="22"/>
          <w:lang w:val="es-ES"/>
        </w:rPr>
        <w:t>l desarrollo integral de sus comunidades.</w:t>
      </w:r>
    </w:p>
    <w:p w14:paraId="17AF7061" w14:textId="77777777" w:rsidR="009923DF" w:rsidRPr="002F21D4" w:rsidRDefault="009923DF" w:rsidP="00B06FB8">
      <w:pPr>
        <w:snapToGrid w:val="0"/>
        <w:ind w:firstLine="360"/>
        <w:jc w:val="both"/>
        <w:rPr>
          <w:sz w:val="22"/>
          <w:szCs w:val="22"/>
          <w:lang w:val="es-ES"/>
        </w:rPr>
      </w:pPr>
    </w:p>
    <w:p w14:paraId="37D872D3" w14:textId="074930F0" w:rsidR="00782415" w:rsidRPr="002F21D4" w:rsidRDefault="00885A2F" w:rsidP="00B06FB8">
      <w:pPr>
        <w:pStyle w:val="ListParagraph"/>
        <w:numPr>
          <w:ilvl w:val="0"/>
          <w:numId w:val="1"/>
        </w:numPr>
        <w:snapToGrid w:val="0"/>
        <w:spacing w:after="0" w:line="240" w:lineRule="auto"/>
        <w:contextualSpacing w:val="0"/>
        <w:jc w:val="both"/>
        <w:rPr>
          <w:rFonts w:ascii="Times New Roman" w:hAnsi="Times New Roman" w:cs="Times New Roman"/>
          <w:b/>
          <w:bCs/>
        </w:rPr>
      </w:pPr>
      <w:r w:rsidRPr="002F21D4">
        <w:rPr>
          <w:rFonts w:ascii="Times New Roman" w:hAnsi="Times New Roman" w:cs="Times New Roman"/>
          <w:b/>
          <w:bCs/>
        </w:rPr>
        <w:t xml:space="preserve">CONDICIONES DE SEGURIDAD </w:t>
      </w:r>
    </w:p>
    <w:p w14:paraId="35E2CE6C" w14:textId="77777777" w:rsidR="00B06FB8" w:rsidRPr="002F21D4" w:rsidRDefault="00B06FB8" w:rsidP="00B06FB8">
      <w:pPr>
        <w:pStyle w:val="Default"/>
        <w:snapToGrid w:val="0"/>
        <w:ind w:left="720"/>
        <w:jc w:val="both"/>
        <w:rPr>
          <w:b/>
          <w:bCs/>
          <w:color w:val="auto"/>
          <w:sz w:val="22"/>
          <w:szCs w:val="22"/>
        </w:rPr>
      </w:pPr>
    </w:p>
    <w:p w14:paraId="0BBFCD74" w14:textId="4510F063" w:rsidR="00F835B6" w:rsidRPr="002F21D4" w:rsidRDefault="00885A2F" w:rsidP="00B3338F">
      <w:pPr>
        <w:pStyle w:val="Default"/>
        <w:numPr>
          <w:ilvl w:val="1"/>
          <w:numId w:val="1"/>
        </w:numPr>
        <w:snapToGrid w:val="0"/>
        <w:ind w:firstLine="0"/>
        <w:jc w:val="both"/>
        <w:rPr>
          <w:b/>
          <w:bCs/>
          <w:color w:val="auto"/>
          <w:sz w:val="22"/>
          <w:szCs w:val="22"/>
        </w:rPr>
      </w:pPr>
      <w:r w:rsidRPr="002F21D4">
        <w:rPr>
          <w:b/>
          <w:bCs/>
          <w:color w:val="auto"/>
          <w:sz w:val="22"/>
          <w:szCs w:val="22"/>
        </w:rPr>
        <w:t>Presencia y acci</w:t>
      </w:r>
      <w:r w:rsidR="001612BA" w:rsidRPr="002F21D4">
        <w:rPr>
          <w:b/>
          <w:bCs/>
          <w:color w:val="auto"/>
          <w:sz w:val="22"/>
          <w:szCs w:val="22"/>
        </w:rPr>
        <w:t>onar de grupos armados ilegales</w:t>
      </w:r>
      <w:r w:rsidR="005A373A" w:rsidRPr="002F21D4">
        <w:rPr>
          <w:rStyle w:val="FootnoteReference"/>
          <w:b/>
          <w:bCs/>
          <w:color w:val="auto"/>
          <w:sz w:val="22"/>
          <w:szCs w:val="22"/>
        </w:rPr>
        <w:footnoteReference w:id="7"/>
      </w:r>
    </w:p>
    <w:p w14:paraId="351364FC" w14:textId="77777777" w:rsidR="00B06FB8" w:rsidRPr="002F21D4" w:rsidRDefault="00B06FB8" w:rsidP="00B06FB8">
      <w:pPr>
        <w:snapToGrid w:val="0"/>
        <w:ind w:firstLine="357"/>
        <w:jc w:val="both"/>
        <w:rPr>
          <w:rFonts w:eastAsia="Cambria"/>
          <w:sz w:val="22"/>
          <w:szCs w:val="22"/>
          <w:lang w:val="es-ES"/>
        </w:rPr>
      </w:pPr>
    </w:p>
    <w:p w14:paraId="7FCFF10F" w14:textId="5915D183" w:rsidR="008D1CD5" w:rsidRPr="002F21D4" w:rsidRDefault="0089712C" w:rsidP="00B06FB8">
      <w:pPr>
        <w:snapToGrid w:val="0"/>
        <w:ind w:firstLine="357"/>
        <w:jc w:val="both"/>
        <w:rPr>
          <w:rFonts w:eastAsia="Cambria"/>
          <w:sz w:val="22"/>
          <w:szCs w:val="22"/>
          <w:lang w:val="es-ES"/>
        </w:rPr>
      </w:pPr>
      <w:r w:rsidRPr="002F21D4">
        <w:rPr>
          <w:rFonts w:eastAsia="Cambria"/>
          <w:sz w:val="22"/>
          <w:szCs w:val="22"/>
          <w:lang w:val="es-ES"/>
        </w:rPr>
        <w:t xml:space="preserve">En </w:t>
      </w:r>
      <w:r w:rsidR="00A45E06" w:rsidRPr="002F21D4">
        <w:rPr>
          <w:rFonts w:eastAsia="Cambria"/>
          <w:sz w:val="22"/>
          <w:szCs w:val="22"/>
          <w:lang w:val="es-ES"/>
        </w:rPr>
        <w:t xml:space="preserve">los territorios persisten </w:t>
      </w:r>
      <w:r w:rsidR="00A66A36" w:rsidRPr="002F21D4">
        <w:rPr>
          <w:rFonts w:eastAsia="Cambria"/>
          <w:sz w:val="22"/>
          <w:szCs w:val="22"/>
          <w:lang w:val="es-ES"/>
        </w:rPr>
        <w:t>reacomodos y relacionamiento</w:t>
      </w:r>
      <w:r w:rsidR="00637163" w:rsidRPr="002F21D4">
        <w:rPr>
          <w:rFonts w:eastAsia="Cambria"/>
          <w:sz w:val="22"/>
          <w:szCs w:val="22"/>
          <w:lang w:val="es-ES"/>
        </w:rPr>
        <w:t>s</w:t>
      </w:r>
      <w:r w:rsidR="00A66A36" w:rsidRPr="002F21D4">
        <w:rPr>
          <w:rFonts w:eastAsia="Cambria"/>
          <w:sz w:val="22"/>
          <w:szCs w:val="22"/>
          <w:lang w:val="es-ES"/>
        </w:rPr>
        <w:t xml:space="preserve"> cambiante</w:t>
      </w:r>
      <w:r w:rsidR="00637163" w:rsidRPr="002F21D4">
        <w:rPr>
          <w:rFonts w:eastAsia="Cambria"/>
          <w:sz w:val="22"/>
          <w:szCs w:val="22"/>
          <w:lang w:val="es-ES"/>
        </w:rPr>
        <w:t>s</w:t>
      </w:r>
      <w:r w:rsidR="00A66A36" w:rsidRPr="002F21D4">
        <w:rPr>
          <w:rFonts w:eastAsia="Cambria"/>
          <w:sz w:val="22"/>
          <w:szCs w:val="22"/>
          <w:lang w:val="es-ES"/>
        </w:rPr>
        <w:t xml:space="preserve"> </w:t>
      </w:r>
      <w:r w:rsidR="00940C8F" w:rsidRPr="002F21D4">
        <w:rPr>
          <w:rFonts w:eastAsia="Cambria"/>
          <w:sz w:val="22"/>
          <w:szCs w:val="22"/>
          <w:lang w:val="es-ES"/>
        </w:rPr>
        <w:t>entre los</w:t>
      </w:r>
      <w:r w:rsidR="00F16736" w:rsidRPr="002F21D4">
        <w:rPr>
          <w:rFonts w:eastAsia="Cambria"/>
          <w:sz w:val="22"/>
          <w:szCs w:val="22"/>
          <w:lang w:val="es-ES"/>
        </w:rPr>
        <w:t xml:space="preserve"> grupos armados ilegales (GAI)</w:t>
      </w:r>
      <w:r w:rsidRPr="002F21D4">
        <w:rPr>
          <w:rFonts w:eastAsia="Cambria"/>
          <w:sz w:val="22"/>
          <w:szCs w:val="22"/>
          <w:lang w:val="es-ES"/>
        </w:rPr>
        <w:t xml:space="preserve"> </w:t>
      </w:r>
      <w:r w:rsidR="00A66A36" w:rsidRPr="002F21D4">
        <w:rPr>
          <w:rFonts w:eastAsia="Cambria"/>
          <w:sz w:val="22"/>
          <w:szCs w:val="22"/>
          <w:lang w:val="es-ES"/>
        </w:rPr>
        <w:t>que se expresan de manera diferente en cada zona.</w:t>
      </w:r>
      <w:r w:rsidR="0078159F" w:rsidRPr="002F21D4">
        <w:rPr>
          <w:rFonts w:eastAsia="Cambria"/>
          <w:sz w:val="22"/>
          <w:szCs w:val="22"/>
          <w:lang w:val="es-ES"/>
        </w:rPr>
        <w:t xml:space="preserve"> </w:t>
      </w:r>
      <w:r w:rsidR="008D3E17" w:rsidRPr="002F21D4">
        <w:rPr>
          <w:rFonts w:eastAsia="Cambria"/>
          <w:sz w:val="22"/>
          <w:szCs w:val="22"/>
          <w:lang w:val="es-ES"/>
        </w:rPr>
        <w:t>L</w:t>
      </w:r>
      <w:r w:rsidR="008D1CD5" w:rsidRPr="002F21D4">
        <w:rPr>
          <w:rFonts w:eastAsia="Cambria"/>
          <w:sz w:val="22"/>
          <w:szCs w:val="22"/>
          <w:lang w:val="es-ES"/>
        </w:rPr>
        <w:t xml:space="preserve">a importancia geográfica y económica de los </w:t>
      </w:r>
      <w:r w:rsidR="00940C8F" w:rsidRPr="002F21D4">
        <w:rPr>
          <w:rFonts w:eastAsia="Cambria"/>
          <w:sz w:val="22"/>
          <w:szCs w:val="22"/>
          <w:lang w:val="es-ES"/>
        </w:rPr>
        <w:t>lugares</w:t>
      </w:r>
      <w:r w:rsidR="008D1CD5" w:rsidRPr="002F21D4">
        <w:rPr>
          <w:rFonts w:eastAsia="Cambria"/>
          <w:sz w:val="22"/>
          <w:szCs w:val="22"/>
          <w:lang w:val="es-ES"/>
        </w:rPr>
        <w:t xml:space="preserve"> </w:t>
      </w:r>
      <w:r w:rsidR="002262EC" w:rsidRPr="002F21D4">
        <w:rPr>
          <w:rFonts w:eastAsia="Cambria"/>
          <w:sz w:val="22"/>
          <w:szCs w:val="22"/>
          <w:lang w:val="es-ES"/>
        </w:rPr>
        <w:t xml:space="preserve">en los que hacen presencia </w:t>
      </w:r>
      <w:r w:rsidR="002D2F60" w:rsidRPr="002F21D4">
        <w:rPr>
          <w:rFonts w:eastAsia="Cambria"/>
          <w:sz w:val="22"/>
          <w:szCs w:val="22"/>
          <w:lang w:val="es-ES"/>
        </w:rPr>
        <w:t>los</w:t>
      </w:r>
      <w:r w:rsidR="006C78F4" w:rsidRPr="002F21D4">
        <w:rPr>
          <w:rFonts w:eastAsia="Cambria"/>
          <w:sz w:val="22"/>
          <w:szCs w:val="22"/>
          <w:lang w:val="es-ES"/>
        </w:rPr>
        <w:t xml:space="preserve"> GAI</w:t>
      </w:r>
      <w:r w:rsidR="008D1CD5" w:rsidRPr="002F21D4">
        <w:rPr>
          <w:rFonts w:eastAsia="Cambria"/>
          <w:sz w:val="22"/>
          <w:szCs w:val="22"/>
          <w:lang w:val="es-ES"/>
        </w:rPr>
        <w:t xml:space="preserve"> </w:t>
      </w:r>
      <w:r w:rsidR="002D2F60" w:rsidRPr="002F21D4">
        <w:rPr>
          <w:rFonts w:eastAsia="Cambria"/>
          <w:sz w:val="22"/>
          <w:szCs w:val="22"/>
          <w:lang w:val="es-ES"/>
        </w:rPr>
        <w:t xml:space="preserve">son determinantes para estas dinámicas, </w:t>
      </w:r>
      <w:r w:rsidR="008D1CD5" w:rsidRPr="002F21D4">
        <w:rPr>
          <w:rFonts w:eastAsia="Cambria"/>
          <w:sz w:val="22"/>
          <w:szCs w:val="22"/>
          <w:lang w:val="es-ES"/>
        </w:rPr>
        <w:t xml:space="preserve">desde el punto de vista de los beneficios que representan </w:t>
      </w:r>
      <w:r w:rsidR="00940C8F" w:rsidRPr="002F21D4">
        <w:rPr>
          <w:rFonts w:eastAsia="Cambria"/>
          <w:sz w:val="22"/>
          <w:szCs w:val="22"/>
          <w:lang w:val="es-ES"/>
        </w:rPr>
        <w:t>para</w:t>
      </w:r>
      <w:r w:rsidR="008D1CD5" w:rsidRPr="002F21D4">
        <w:rPr>
          <w:rFonts w:eastAsia="Cambria"/>
          <w:sz w:val="22"/>
          <w:szCs w:val="22"/>
          <w:lang w:val="es-ES"/>
        </w:rPr>
        <w:t xml:space="preserve"> su supervivencia y el aprovechamiento económico de contextos de ilegalidad</w:t>
      </w:r>
      <w:r w:rsidR="00A22C46" w:rsidRPr="002F21D4">
        <w:rPr>
          <w:rFonts w:eastAsia="Cambria"/>
          <w:sz w:val="22"/>
          <w:szCs w:val="22"/>
          <w:lang w:val="es-ES"/>
        </w:rPr>
        <w:t xml:space="preserve">, </w:t>
      </w:r>
      <w:r w:rsidR="00AA6CAC" w:rsidRPr="002F21D4">
        <w:rPr>
          <w:rFonts w:eastAsia="Cambria"/>
          <w:sz w:val="22"/>
          <w:szCs w:val="22"/>
          <w:lang w:val="es-ES"/>
        </w:rPr>
        <w:t>como</w:t>
      </w:r>
      <w:r w:rsidR="00A22C46" w:rsidRPr="002F21D4">
        <w:rPr>
          <w:rFonts w:eastAsia="Cambria"/>
          <w:sz w:val="22"/>
          <w:szCs w:val="22"/>
          <w:lang w:val="es-ES"/>
        </w:rPr>
        <w:t xml:space="preserve"> las</w:t>
      </w:r>
      <w:r w:rsidR="0078159F" w:rsidRPr="002F21D4">
        <w:rPr>
          <w:rFonts w:eastAsia="Cambria"/>
          <w:sz w:val="22"/>
          <w:szCs w:val="22"/>
          <w:lang w:val="es-ES"/>
        </w:rPr>
        <w:t xml:space="preserve"> </w:t>
      </w:r>
      <w:r w:rsidR="008D1CD5" w:rsidRPr="002F21D4">
        <w:rPr>
          <w:rFonts w:eastAsia="Cambria"/>
          <w:sz w:val="22"/>
          <w:szCs w:val="22"/>
          <w:lang w:val="es-ES"/>
        </w:rPr>
        <w:t>zonas de grandes extensiones de cultivos de coca</w:t>
      </w:r>
      <w:r w:rsidR="009F67C1" w:rsidRPr="002F21D4">
        <w:rPr>
          <w:rFonts w:eastAsia="Cambria"/>
          <w:sz w:val="22"/>
          <w:szCs w:val="22"/>
          <w:lang w:val="es-ES"/>
        </w:rPr>
        <w:t xml:space="preserve"> y</w:t>
      </w:r>
      <w:r w:rsidR="008D1CD5" w:rsidRPr="002F21D4">
        <w:rPr>
          <w:rFonts w:eastAsia="Cambria"/>
          <w:sz w:val="22"/>
          <w:szCs w:val="22"/>
          <w:lang w:val="es-ES"/>
        </w:rPr>
        <w:t xml:space="preserve"> de minería aurífera, corredores de </w:t>
      </w:r>
      <w:r w:rsidR="00AA6CAC" w:rsidRPr="002F21D4">
        <w:rPr>
          <w:rFonts w:eastAsia="Cambria"/>
          <w:sz w:val="22"/>
          <w:szCs w:val="22"/>
          <w:lang w:val="es-ES"/>
        </w:rPr>
        <w:t xml:space="preserve">tránsito para actividades ilícitas </w:t>
      </w:r>
      <w:r w:rsidR="008D1CD5" w:rsidRPr="002F21D4">
        <w:rPr>
          <w:rFonts w:eastAsia="Cambria"/>
          <w:sz w:val="22"/>
          <w:szCs w:val="22"/>
          <w:lang w:val="es-ES"/>
        </w:rPr>
        <w:t>y zonas de frontera</w:t>
      </w:r>
      <w:r w:rsidR="00AA6CAC" w:rsidRPr="002F21D4">
        <w:rPr>
          <w:rFonts w:eastAsia="Cambria"/>
          <w:sz w:val="22"/>
          <w:szCs w:val="22"/>
          <w:lang w:val="es-ES"/>
        </w:rPr>
        <w:t>.</w:t>
      </w:r>
      <w:r w:rsidR="00940C8F" w:rsidRPr="002F21D4">
        <w:rPr>
          <w:rFonts w:eastAsia="Cambria"/>
          <w:sz w:val="22"/>
          <w:szCs w:val="22"/>
          <w:lang w:val="es-ES"/>
        </w:rPr>
        <w:t xml:space="preserve"> </w:t>
      </w:r>
      <w:r w:rsidR="008D1CD5" w:rsidRPr="002F21D4">
        <w:rPr>
          <w:rFonts w:eastAsia="Cambria"/>
          <w:sz w:val="22"/>
          <w:szCs w:val="22"/>
          <w:lang w:val="es-ES"/>
        </w:rPr>
        <w:t>En est</w:t>
      </w:r>
      <w:r w:rsidR="00A45E06" w:rsidRPr="002F21D4">
        <w:rPr>
          <w:rFonts w:eastAsia="Cambria"/>
          <w:sz w:val="22"/>
          <w:szCs w:val="22"/>
          <w:lang w:val="es-ES"/>
        </w:rPr>
        <w:t>as</w:t>
      </w:r>
      <w:r w:rsidR="006D7B85" w:rsidRPr="002F21D4">
        <w:rPr>
          <w:rFonts w:eastAsia="Cambria"/>
          <w:sz w:val="22"/>
          <w:szCs w:val="22"/>
          <w:lang w:val="es-ES"/>
        </w:rPr>
        <w:t xml:space="preserve"> últimas</w:t>
      </w:r>
      <w:r w:rsidR="008D1CD5" w:rsidRPr="002F21D4">
        <w:rPr>
          <w:rFonts w:eastAsia="Cambria"/>
          <w:sz w:val="22"/>
          <w:szCs w:val="22"/>
          <w:lang w:val="es-ES"/>
        </w:rPr>
        <w:t xml:space="preserve">, </w:t>
      </w:r>
      <w:r w:rsidR="00AA6CAC" w:rsidRPr="002F21D4">
        <w:rPr>
          <w:sz w:val="22"/>
          <w:szCs w:val="22"/>
        </w:rPr>
        <w:t xml:space="preserve">existe </w:t>
      </w:r>
      <w:r w:rsidR="008D1CD5" w:rsidRPr="002F21D4">
        <w:rPr>
          <w:sz w:val="22"/>
          <w:szCs w:val="22"/>
        </w:rPr>
        <w:t>mayor injerencia de GAI interesados en ampliar sus fuentes de financiación</w:t>
      </w:r>
      <w:r w:rsidR="00AA6CAC" w:rsidRPr="002F21D4">
        <w:rPr>
          <w:sz w:val="22"/>
          <w:szCs w:val="22"/>
        </w:rPr>
        <w:t xml:space="preserve">, </w:t>
      </w:r>
      <w:r w:rsidR="00A45E06" w:rsidRPr="002F21D4">
        <w:rPr>
          <w:sz w:val="22"/>
          <w:szCs w:val="22"/>
        </w:rPr>
        <w:t>presentando</w:t>
      </w:r>
      <w:r w:rsidR="008D1CD5" w:rsidRPr="002F21D4">
        <w:rPr>
          <w:sz w:val="22"/>
          <w:szCs w:val="22"/>
        </w:rPr>
        <w:t xml:space="preserve"> cambios en las dinámicas de contrabando de gasolina y bienes de primera necesidad, rutas de marihuana, mayor control sobre el tránsito en pasos no autorizados</w:t>
      </w:r>
      <w:r w:rsidR="008D1CD5" w:rsidRPr="002F21D4">
        <w:rPr>
          <w:rStyle w:val="FootnoteReference"/>
          <w:sz w:val="22"/>
          <w:szCs w:val="22"/>
        </w:rPr>
        <w:footnoteReference w:id="8"/>
      </w:r>
      <w:r w:rsidR="008D1CD5" w:rsidRPr="002F21D4">
        <w:rPr>
          <w:sz w:val="22"/>
          <w:szCs w:val="22"/>
        </w:rPr>
        <w:t xml:space="preserve"> y la trata de personas. </w:t>
      </w:r>
    </w:p>
    <w:p w14:paraId="1595BA46" w14:textId="77777777" w:rsidR="00B06FB8" w:rsidRPr="002F21D4" w:rsidRDefault="00B06FB8" w:rsidP="00B06FB8">
      <w:pPr>
        <w:snapToGrid w:val="0"/>
        <w:ind w:firstLine="357"/>
        <w:jc w:val="both"/>
        <w:rPr>
          <w:rFonts w:eastAsia="Cambria"/>
          <w:sz w:val="22"/>
          <w:szCs w:val="22"/>
          <w:lang w:val="es-ES"/>
        </w:rPr>
      </w:pPr>
    </w:p>
    <w:p w14:paraId="40A0D0A2" w14:textId="2229B35E" w:rsidR="00A66A36" w:rsidRPr="002F21D4" w:rsidRDefault="00940C8F" w:rsidP="00B06FB8">
      <w:pPr>
        <w:snapToGrid w:val="0"/>
        <w:ind w:firstLine="357"/>
        <w:jc w:val="both"/>
        <w:rPr>
          <w:rFonts w:eastAsia="Cambria"/>
          <w:sz w:val="22"/>
          <w:szCs w:val="22"/>
          <w:lang w:val="es-ES"/>
        </w:rPr>
      </w:pPr>
      <w:r w:rsidRPr="002F21D4">
        <w:rPr>
          <w:rFonts w:eastAsia="Cambria"/>
          <w:sz w:val="22"/>
          <w:szCs w:val="22"/>
          <w:lang w:val="es-ES"/>
        </w:rPr>
        <w:t>E</w:t>
      </w:r>
      <w:r w:rsidR="00A66A36" w:rsidRPr="002F21D4">
        <w:rPr>
          <w:rFonts w:eastAsia="Cambria"/>
          <w:sz w:val="22"/>
          <w:szCs w:val="22"/>
          <w:lang w:val="es-ES"/>
        </w:rPr>
        <w:t xml:space="preserve">l ELN </w:t>
      </w:r>
      <w:r w:rsidRPr="002F21D4">
        <w:rPr>
          <w:rFonts w:eastAsia="Cambria"/>
          <w:sz w:val="22"/>
          <w:szCs w:val="22"/>
          <w:lang w:val="es-ES"/>
        </w:rPr>
        <w:t>incrementó</w:t>
      </w:r>
      <w:r w:rsidR="00090596" w:rsidRPr="002F21D4">
        <w:rPr>
          <w:rFonts w:eastAsia="Cambria"/>
          <w:sz w:val="22"/>
          <w:szCs w:val="22"/>
          <w:lang w:val="es-ES"/>
        </w:rPr>
        <w:t xml:space="preserve"> las acciones ilegales de c</w:t>
      </w:r>
      <w:r w:rsidR="00A66A36" w:rsidRPr="002F21D4">
        <w:rPr>
          <w:rFonts w:eastAsia="Cambria"/>
          <w:sz w:val="22"/>
          <w:szCs w:val="22"/>
          <w:lang w:val="es-ES"/>
        </w:rPr>
        <w:t xml:space="preserve">ontrol social y </w:t>
      </w:r>
      <w:r w:rsidR="006D7B85" w:rsidRPr="002F21D4">
        <w:rPr>
          <w:rFonts w:eastAsia="Cambria"/>
          <w:sz w:val="22"/>
          <w:szCs w:val="22"/>
          <w:lang w:val="es-ES"/>
        </w:rPr>
        <w:t>hechos de</w:t>
      </w:r>
      <w:r w:rsidR="00A66A36" w:rsidRPr="002F21D4">
        <w:rPr>
          <w:rFonts w:eastAsia="Cambria"/>
          <w:sz w:val="22"/>
          <w:szCs w:val="22"/>
          <w:lang w:val="es-ES"/>
        </w:rPr>
        <w:t xml:space="preserve"> violen</w:t>
      </w:r>
      <w:r w:rsidR="006D7B85" w:rsidRPr="002F21D4">
        <w:rPr>
          <w:rFonts w:eastAsia="Cambria"/>
          <w:sz w:val="22"/>
          <w:szCs w:val="22"/>
          <w:lang w:val="es-ES"/>
        </w:rPr>
        <w:t>cia</w:t>
      </w:r>
      <w:r w:rsidR="00A66A36" w:rsidRPr="002F21D4">
        <w:rPr>
          <w:rFonts w:eastAsia="Cambria"/>
          <w:sz w:val="22"/>
          <w:szCs w:val="22"/>
          <w:lang w:val="es-ES"/>
        </w:rPr>
        <w:t xml:space="preserve"> en la región del Catatumbo</w:t>
      </w:r>
      <w:r w:rsidR="00F67146" w:rsidRPr="002F21D4">
        <w:rPr>
          <w:rFonts w:eastAsia="Cambria"/>
          <w:sz w:val="22"/>
          <w:szCs w:val="22"/>
          <w:lang w:val="es-ES"/>
        </w:rPr>
        <w:t xml:space="preserve"> y el departamento de Nariño</w:t>
      </w:r>
      <w:r w:rsidR="00A66A36" w:rsidRPr="002F21D4">
        <w:rPr>
          <w:rFonts w:eastAsia="Cambria"/>
          <w:sz w:val="22"/>
          <w:szCs w:val="22"/>
          <w:lang w:val="es-ES"/>
        </w:rPr>
        <w:t xml:space="preserve">, dirigidas no solo hacia la población civil a través de amenazas y homicidios, sino hacia empresas de servicios públicos </w:t>
      </w:r>
      <w:r w:rsidR="006D7B85" w:rsidRPr="002F21D4">
        <w:rPr>
          <w:rFonts w:eastAsia="Cambria"/>
          <w:sz w:val="22"/>
          <w:szCs w:val="22"/>
          <w:lang w:val="es-ES"/>
        </w:rPr>
        <w:t>y</w:t>
      </w:r>
      <w:r w:rsidR="00A66A36" w:rsidRPr="002F21D4">
        <w:rPr>
          <w:rFonts w:eastAsia="Cambria"/>
          <w:sz w:val="22"/>
          <w:szCs w:val="22"/>
          <w:lang w:val="es-ES"/>
        </w:rPr>
        <w:t xml:space="preserve"> organismos de cooperación internacional por </w:t>
      </w:r>
      <w:r w:rsidR="00A66A36" w:rsidRPr="002F21D4">
        <w:rPr>
          <w:rFonts w:eastAsia="Cambria"/>
          <w:sz w:val="22"/>
          <w:szCs w:val="22"/>
          <w:lang w:val="es-ES"/>
        </w:rPr>
        <w:lastRenderedPageBreak/>
        <w:t>medio de retenciones de su</w:t>
      </w:r>
      <w:r w:rsidR="002747E5" w:rsidRPr="002F21D4">
        <w:rPr>
          <w:rFonts w:eastAsia="Cambria"/>
          <w:sz w:val="22"/>
          <w:szCs w:val="22"/>
          <w:lang w:val="es-ES"/>
        </w:rPr>
        <w:t xml:space="preserve"> personal </w:t>
      </w:r>
      <w:r w:rsidR="00A66A36" w:rsidRPr="002F21D4">
        <w:rPr>
          <w:rFonts w:eastAsia="Cambria"/>
          <w:sz w:val="22"/>
          <w:szCs w:val="22"/>
          <w:lang w:val="es-ES"/>
        </w:rPr>
        <w:t>y el hurto de vehículos</w:t>
      </w:r>
      <w:r w:rsidR="00E503BD" w:rsidRPr="002F21D4">
        <w:rPr>
          <w:rStyle w:val="FootnoteReference"/>
          <w:rFonts w:eastAsia="Cambria"/>
          <w:sz w:val="22"/>
          <w:szCs w:val="22"/>
          <w:lang w:val="es-ES"/>
        </w:rPr>
        <w:footnoteReference w:id="9"/>
      </w:r>
      <w:r w:rsidR="00A66A36" w:rsidRPr="002F21D4">
        <w:rPr>
          <w:rFonts w:eastAsia="Cambria"/>
          <w:sz w:val="22"/>
          <w:szCs w:val="22"/>
          <w:lang w:val="es-ES"/>
        </w:rPr>
        <w:t xml:space="preserve">. </w:t>
      </w:r>
      <w:r w:rsidR="004847E2" w:rsidRPr="002F21D4">
        <w:rPr>
          <w:rFonts w:eastAsia="Cambria"/>
          <w:sz w:val="22"/>
          <w:szCs w:val="22"/>
          <w:lang w:val="es-ES"/>
        </w:rPr>
        <w:t xml:space="preserve">La </w:t>
      </w:r>
      <w:r w:rsidR="00165E60" w:rsidRPr="002F21D4">
        <w:rPr>
          <w:rFonts w:eastAsia="Cambria"/>
          <w:sz w:val="22"/>
          <w:szCs w:val="22"/>
          <w:lang w:val="es-ES"/>
        </w:rPr>
        <w:t>fuerza pública</w:t>
      </w:r>
      <w:r w:rsidR="004847E2" w:rsidRPr="002F21D4">
        <w:rPr>
          <w:rFonts w:eastAsia="Cambria"/>
          <w:sz w:val="22"/>
          <w:szCs w:val="22"/>
          <w:lang w:val="es-ES"/>
        </w:rPr>
        <w:t xml:space="preserve"> también ha sido objeto de hostigamientos y ataques con armas de fuego y artefactos explosivos en Antioquia, Arauca </w:t>
      </w:r>
      <w:r w:rsidR="00E70F64" w:rsidRPr="002F21D4">
        <w:rPr>
          <w:rFonts w:eastAsia="Cambria"/>
          <w:sz w:val="22"/>
          <w:szCs w:val="22"/>
          <w:lang w:val="es-ES"/>
        </w:rPr>
        <w:t>y Norte</w:t>
      </w:r>
      <w:r w:rsidR="004847E2" w:rsidRPr="002F21D4">
        <w:rPr>
          <w:rFonts w:eastAsia="Cambria"/>
          <w:sz w:val="22"/>
          <w:szCs w:val="22"/>
          <w:lang w:val="es-ES"/>
        </w:rPr>
        <w:t xml:space="preserve"> de Santander. En algunos casos, estos hechos </w:t>
      </w:r>
      <w:r w:rsidR="002747E5" w:rsidRPr="002F21D4">
        <w:rPr>
          <w:rFonts w:eastAsia="Cambria"/>
          <w:sz w:val="22"/>
          <w:szCs w:val="22"/>
          <w:lang w:val="es-ES"/>
        </w:rPr>
        <w:t xml:space="preserve">contra la </w:t>
      </w:r>
      <w:r w:rsidR="00165E60" w:rsidRPr="002F21D4">
        <w:rPr>
          <w:rFonts w:eastAsia="Cambria"/>
          <w:sz w:val="22"/>
          <w:szCs w:val="22"/>
          <w:lang w:val="es-ES"/>
        </w:rPr>
        <w:t xml:space="preserve">fuerza pública </w:t>
      </w:r>
      <w:r w:rsidR="004847E2" w:rsidRPr="002F21D4">
        <w:rPr>
          <w:rFonts w:eastAsia="Cambria"/>
          <w:sz w:val="22"/>
          <w:szCs w:val="22"/>
          <w:lang w:val="es-ES"/>
        </w:rPr>
        <w:t>se han presentado en áreas urbanas de cabeceras municipales, dificultando la reacción de las autoridades por el riesgo que ello implica para</w:t>
      </w:r>
      <w:r w:rsidR="00E70F64" w:rsidRPr="002F21D4">
        <w:rPr>
          <w:rFonts w:eastAsia="Cambria"/>
          <w:sz w:val="22"/>
          <w:szCs w:val="22"/>
          <w:lang w:val="es-ES"/>
        </w:rPr>
        <w:t xml:space="preserve"> </w:t>
      </w:r>
      <w:r w:rsidR="002747E5" w:rsidRPr="002F21D4">
        <w:rPr>
          <w:rFonts w:eastAsia="Cambria"/>
          <w:sz w:val="22"/>
          <w:szCs w:val="22"/>
          <w:lang w:val="es-ES"/>
        </w:rPr>
        <w:t xml:space="preserve">la población civil </w:t>
      </w:r>
      <w:r w:rsidR="004847E2" w:rsidRPr="002F21D4">
        <w:rPr>
          <w:rFonts w:eastAsia="Cambria"/>
          <w:sz w:val="22"/>
          <w:szCs w:val="22"/>
          <w:lang w:val="es-ES"/>
        </w:rPr>
        <w:t xml:space="preserve">que se encuentra en </w:t>
      </w:r>
      <w:r w:rsidR="002747E5" w:rsidRPr="002F21D4">
        <w:rPr>
          <w:rFonts w:eastAsia="Cambria"/>
          <w:sz w:val="22"/>
          <w:szCs w:val="22"/>
          <w:lang w:val="es-ES"/>
        </w:rPr>
        <w:t>estas zonas</w:t>
      </w:r>
      <w:r w:rsidR="00586E08" w:rsidRPr="002F21D4">
        <w:rPr>
          <w:rFonts w:eastAsia="Cambria"/>
          <w:sz w:val="22"/>
          <w:szCs w:val="22"/>
          <w:lang w:val="es-ES"/>
        </w:rPr>
        <w:t>.</w:t>
      </w:r>
      <w:r w:rsidR="007266ED" w:rsidRPr="002F21D4">
        <w:rPr>
          <w:rFonts w:eastAsia="Cambria"/>
          <w:sz w:val="22"/>
          <w:szCs w:val="22"/>
          <w:lang w:val="es-ES"/>
        </w:rPr>
        <w:t xml:space="preserve"> </w:t>
      </w:r>
    </w:p>
    <w:p w14:paraId="34D2EF1F" w14:textId="77777777" w:rsidR="00B3338F" w:rsidRPr="002F21D4" w:rsidRDefault="00B3338F" w:rsidP="00B06FB8">
      <w:pPr>
        <w:snapToGrid w:val="0"/>
        <w:ind w:firstLine="357"/>
        <w:jc w:val="both"/>
        <w:rPr>
          <w:rFonts w:eastAsia="Cambria"/>
          <w:color w:val="FF0000"/>
          <w:sz w:val="22"/>
          <w:szCs w:val="22"/>
          <w:lang w:val="es-ES"/>
        </w:rPr>
      </w:pPr>
    </w:p>
    <w:p w14:paraId="7F07CE0F" w14:textId="1B2C472A" w:rsidR="007E6775" w:rsidRPr="002F21D4" w:rsidRDefault="007E6775" w:rsidP="00B06FB8">
      <w:pPr>
        <w:snapToGrid w:val="0"/>
        <w:ind w:firstLine="357"/>
        <w:jc w:val="both"/>
        <w:rPr>
          <w:rFonts w:eastAsia="Cambria"/>
          <w:sz w:val="22"/>
          <w:szCs w:val="22"/>
          <w:lang w:val="es-ES"/>
        </w:rPr>
      </w:pPr>
      <w:r w:rsidRPr="002F21D4">
        <w:rPr>
          <w:rFonts w:eastAsia="Cambria"/>
          <w:sz w:val="22"/>
          <w:szCs w:val="22"/>
          <w:lang w:val="es-ES"/>
        </w:rPr>
        <w:t>En cuanto al relacionamiento</w:t>
      </w:r>
      <w:r w:rsidR="003144B6" w:rsidRPr="002F21D4">
        <w:rPr>
          <w:rFonts w:eastAsia="Cambria"/>
          <w:sz w:val="22"/>
          <w:szCs w:val="22"/>
          <w:lang w:val="es-ES"/>
        </w:rPr>
        <w:t xml:space="preserve"> del ELN</w:t>
      </w:r>
      <w:r w:rsidRPr="002F21D4">
        <w:rPr>
          <w:rFonts w:eastAsia="Cambria"/>
          <w:sz w:val="22"/>
          <w:szCs w:val="22"/>
          <w:lang w:val="es-ES"/>
        </w:rPr>
        <w:t xml:space="preserve"> con otros </w:t>
      </w:r>
      <w:r w:rsidR="00A9694D" w:rsidRPr="002F21D4">
        <w:rPr>
          <w:rFonts w:eastAsia="Cambria"/>
          <w:sz w:val="22"/>
          <w:szCs w:val="22"/>
          <w:lang w:val="es-ES"/>
        </w:rPr>
        <w:t>GAI</w:t>
      </w:r>
      <w:r w:rsidRPr="002F21D4">
        <w:rPr>
          <w:rFonts w:eastAsia="Cambria"/>
          <w:sz w:val="22"/>
          <w:szCs w:val="22"/>
          <w:lang w:val="es-ES"/>
        </w:rPr>
        <w:t xml:space="preserve"> se identifican algunas tendencias. En Catatumbo, la confrontación </w:t>
      </w:r>
      <w:r w:rsidR="005A373A" w:rsidRPr="002F21D4">
        <w:rPr>
          <w:rFonts w:eastAsia="Cambria"/>
          <w:sz w:val="22"/>
          <w:szCs w:val="22"/>
          <w:lang w:val="es-ES"/>
        </w:rPr>
        <w:t xml:space="preserve">armada </w:t>
      </w:r>
      <w:r w:rsidRPr="002F21D4">
        <w:rPr>
          <w:rFonts w:eastAsia="Cambria"/>
          <w:sz w:val="22"/>
          <w:szCs w:val="22"/>
          <w:lang w:val="es-ES"/>
        </w:rPr>
        <w:t>con</w:t>
      </w:r>
      <w:r w:rsidR="00A9694D" w:rsidRPr="002F21D4">
        <w:rPr>
          <w:rFonts w:eastAsia="Cambria"/>
          <w:sz w:val="22"/>
          <w:szCs w:val="22"/>
          <w:lang w:val="es-ES"/>
        </w:rPr>
        <w:t xml:space="preserve"> el </w:t>
      </w:r>
      <w:proofErr w:type="spellStart"/>
      <w:r w:rsidR="00A9694D" w:rsidRPr="002F21D4">
        <w:rPr>
          <w:rFonts w:eastAsia="Cambria"/>
          <w:sz w:val="22"/>
          <w:szCs w:val="22"/>
          <w:lang w:val="es-ES"/>
        </w:rPr>
        <w:t>EPL</w:t>
      </w:r>
      <w:proofErr w:type="spellEnd"/>
      <w:r w:rsidR="00A9694D" w:rsidRPr="002F21D4">
        <w:rPr>
          <w:rFonts w:eastAsia="Cambria"/>
          <w:sz w:val="22"/>
          <w:szCs w:val="22"/>
          <w:lang w:val="es-ES"/>
        </w:rPr>
        <w:t>/</w:t>
      </w:r>
      <w:r w:rsidRPr="002F21D4">
        <w:rPr>
          <w:rFonts w:eastAsia="Cambria"/>
          <w:sz w:val="22"/>
          <w:szCs w:val="22"/>
          <w:lang w:val="es-ES"/>
        </w:rPr>
        <w:t xml:space="preserve">Los </w:t>
      </w:r>
      <w:proofErr w:type="spellStart"/>
      <w:r w:rsidRPr="002F21D4">
        <w:rPr>
          <w:rFonts w:eastAsia="Cambria"/>
          <w:sz w:val="22"/>
          <w:szCs w:val="22"/>
          <w:lang w:val="es-ES"/>
        </w:rPr>
        <w:t>Pelusos</w:t>
      </w:r>
      <w:proofErr w:type="spellEnd"/>
      <w:r w:rsidRPr="002F21D4">
        <w:rPr>
          <w:rFonts w:eastAsia="Cambria"/>
          <w:sz w:val="22"/>
          <w:szCs w:val="22"/>
          <w:lang w:val="es-ES"/>
        </w:rPr>
        <w:t xml:space="preserve"> </w:t>
      </w:r>
      <w:r w:rsidR="005A373A" w:rsidRPr="002F21D4">
        <w:rPr>
          <w:rFonts w:eastAsia="Cambria"/>
          <w:sz w:val="22"/>
          <w:szCs w:val="22"/>
          <w:lang w:val="es-ES"/>
        </w:rPr>
        <w:t>baj</w:t>
      </w:r>
      <w:r w:rsidR="00316FC6" w:rsidRPr="002F21D4">
        <w:rPr>
          <w:rFonts w:eastAsia="Cambria"/>
          <w:sz w:val="22"/>
          <w:szCs w:val="22"/>
          <w:lang w:val="es-ES"/>
        </w:rPr>
        <w:t>ó</w:t>
      </w:r>
      <w:r w:rsidR="005A373A" w:rsidRPr="002F21D4">
        <w:rPr>
          <w:rFonts w:eastAsia="Cambria"/>
          <w:sz w:val="22"/>
          <w:szCs w:val="22"/>
          <w:lang w:val="es-ES"/>
        </w:rPr>
        <w:t xml:space="preserve"> su intensidad, </w:t>
      </w:r>
      <w:r w:rsidR="00A9694D" w:rsidRPr="002F21D4">
        <w:rPr>
          <w:rFonts w:eastAsia="Cambria"/>
          <w:sz w:val="22"/>
          <w:szCs w:val="22"/>
          <w:lang w:val="es-ES"/>
        </w:rPr>
        <w:t>aunque en el mes de junio se presentaron enfrentamientos entre estos dos grupos en e</w:t>
      </w:r>
      <w:r w:rsidRPr="002F21D4">
        <w:rPr>
          <w:rFonts w:eastAsia="Cambria"/>
          <w:sz w:val="22"/>
          <w:szCs w:val="22"/>
          <w:lang w:val="es-ES"/>
        </w:rPr>
        <w:t>l municipio de</w:t>
      </w:r>
      <w:r w:rsidR="00A9694D" w:rsidRPr="002F21D4">
        <w:rPr>
          <w:rFonts w:eastAsia="Cambria"/>
          <w:sz w:val="22"/>
          <w:szCs w:val="22"/>
          <w:lang w:val="es-ES"/>
        </w:rPr>
        <w:t xml:space="preserve"> La</w:t>
      </w:r>
      <w:r w:rsidRPr="002F21D4">
        <w:rPr>
          <w:rFonts w:eastAsia="Cambria"/>
          <w:sz w:val="22"/>
          <w:szCs w:val="22"/>
          <w:lang w:val="es-ES"/>
        </w:rPr>
        <w:t xml:space="preserve"> Playa de Belén</w:t>
      </w:r>
      <w:r w:rsidR="00A9694D" w:rsidRPr="002F21D4">
        <w:rPr>
          <w:rFonts w:eastAsia="Cambria"/>
          <w:sz w:val="22"/>
          <w:szCs w:val="22"/>
          <w:lang w:val="es-ES"/>
        </w:rPr>
        <w:t xml:space="preserve"> y homicidios en Ocaña</w:t>
      </w:r>
      <w:r w:rsidR="008B7030" w:rsidRPr="002F21D4">
        <w:rPr>
          <w:rFonts w:eastAsia="Cambria"/>
          <w:sz w:val="22"/>
          <w:szCs w:val="22"/>
          <w:lang w:val="es-ES"/>
        </w:rPr>
        <w:t xml:space="preserve"> (Norte de Santander)</w:t>
      </w:r>
      <w:r w:rsidR="00A9694D" w:rsidRPr="002F21D4">
        <w:rPr>
          <w:rFonts w:eastAsia="Cambria"/>
          <w:sz w:val="22"/>
          <w:szCs w:val="22"/>
          <w:lang w:val="es-ES"/>
        </w:rPr>
        <w:t xml:space="preserve"> que estarían relacionados con esa disputa. </w:t>
      </w:r>
      <w:r w:rsidRPr="002F21D4">
        <w:rPr>
          <w:rFonts w:eastAsia="Cambria"/>
          <w:sz w:val="22"/>
          <w:szCs w:val="22"/>
          <w:lang w:val="es-ES"/>
        </w:rPr>
        <w:t>Por el contrario, en otras zonas como Cauca, Chocó</w:t>
      </w:r>
      <w:r w:rsidR="00316FC6" w:rsidRPr="002F21D4">
        <w:rPr>
          <w:rFonts w:eastAsia="Cambria"/>
          <w:sz w:val="22"/>
          <w:szCs w:val="22"/>
          <w:lang w:val="es-ES"/>
        </w:rPr>
        <w:t xml:space="preserve"> y</w:t>
      </w:r>
      <w:r w:rsidRPr="002F21D4">
        <w:rPr>
          <w:rFonts w:eastAsia="Cambria"/>
          <w:sz w:val="22"/>
          <w:szCs w:val="22"/>
          <w:lang w:val="es-ES"/>
        </w:rPr>
        <w:t xml:space="preserve"> el Área Metropolitana de Cúcuta</w:t>
      </w:r>
      <w:r w:rsidR="006D7B85" w:rsidRPr="002F21D4">
        <w:rPr>
          <w:rFonts w:eastAsia="Cambria"/>
          <w:sz w:val="22"/>
          <w:szCs w:val="22"/>
          <w:lang w:val="es-ES"/>
        </w:rPr>
        <w:t xml:space="preserve"> (</w:t>
      </w:r>
      <w:r w:rsidRPr="002F21D4">
        <w:rPr>
          <w:rFonts w:eastAsia="Cambria"/>
          <w:sz w:val="22"/>
          <w:szCs w:val="22"/>
          <w:lang w:val="es-ES"/>
        </w:rPr>
        <w:t>Norte de Santander</w:t>
      </w:r>
      <w:r w:rsidR="006D7B85" w:rsidRPr="002F21D4">
        <w:rPr>
          <w:rFonts w:eastAsia="Cambria"/>
          <w:sz w:val="22"/>
          <w:szCs w:val="22"/>
          <w:lang w:val="es-ES"/>
        </w:rPr>
        <w:t>)</w:t>
      </w:r>
      <w:r w:rsidRPr="002F21D4">
        <w:rPr>
          <w:rFonts w:eastAsia="Cambria"/>
          <w:sz w:val="22"/>
          <w:szCs w:val="22"/>
          <w:lang w:val="es-ES"/>
        </w:rPr>
        <w:t xml:space="preserve">, el ELN mantiene las confrontaciones con </w:t>
      </w:r>
      <w:r w:rsidR="00482724" w:rsidRPr="002F21D4">
        <w:rPr>
          <w:rFonts w:eastAsia="Cambria"/>
          <w:sz w:val="22"/>
          <w:szCs w:val="22"/>
          <w:lang w:val="es-ES"/>
        </w:rPr>
        <w:t xml:space="preserve">grupos disidentes o residuales de las FARC-EP </w:t>
      </w:r>
      <w:r w:rsidR="00316FC6" w:rsidRPr="002F21D4">
        <w:rPr>
          <w:rFonts w:eastAsia="Cambria"/>
          <w:sz w:val="22"/>
          <w:szCs w:val="22"/>
          <w:lang w:val="es-ES"/>
        </w:rPr>
        <w:t xml:space="preserve">y </w:t>
      </w:r>
      <w:r w:rsidRPr="002F21D4">
        <w:rPr>
          <w:rFonts w:eastAsia="Cambria"/>
          <w:sz w:val="22"/>
          <w:szCs w:val="22"/>
          <w:lang w:val="es-ES"/>
        </w:rPr>
        <w:t>con las AGC</w:t>
      </w:r>
      <w:r w:rsidR="00316FC6" w:rsidRPr="002F21D4">
        <w:rPr>
          <w:rFonts w:eastAsia="Cambria"/>
          <w:sz w:val="22"/>
          <w:szCs w:val="22"/>
          <w:lang w:val="es-ES"/>
        </w:rPr>
        <w:t>/</w:t>
      </w:r>
      <w:r w:rsidRPr="002F21D4">
        <w:rPr>
          <w:rFonts w:eastAsia="Cambria"/>
          <w:sz w:val="22"/>
          <w:szCs w:val="22"/>
          <w:lang w:val="es-ES"/>
        </w:rPr>
        <w:t>Clan del Golfo</w:t>
      </w:r>
      <w:r w:rsidR="001C412B" w:rsidRPr="002F21D4">
        <w:rPr>
          <w:rFonts w:eastAsia="Cambria"/>
          <w:sz w:val="22"/>
          <w:szCs w:val="22"/>
          <w:lang w:val="es-ES"/>
        </w:rPr>
        <w:t>,</w:t>
      </w:r>
      <w:r w:rsidR="00316FC6" w:rsidRPr="002F21D4">
        <w:rPr>
          <w:rFonts w:eastAsia="Cambria"/>
          <w:sz w:val="22"/>
          <w:szCs w:val="22"/>
          <w:lang w:val="es-ES"/>
        </w:rPr>
        <w:t xml:space="preserve"> </w:t>
      </w:r>
      <w:r w:rsidRPr="002F21D4">
        <w:rPr>
          <w:rFonts w:eastAsia="Cambria"/>
          <w:sz w:val="22"/>
          <w:szCs w:val="22"/>
          <w:lang w:val="es-ES"/>
        </w:rPr>
        <w:t>con consecuencias humanitarias para la población civil y funcionarios públicos</w:t>
      </w:r>
      <w:r w:rsidR="00001E40" w:rsidRPr="002F21D4">
        <w:rPr>
          <w:rFonts w:eastAsia="Cambria"/>
          <w:sz w:val="22"/>
          <w:szCs w:val="22"/>
          <w:lang w:val="es-ES"/>
        </w:rPr>
        <w:t>,</w:t>
      </w:r>
      <w:r w:rsidRPr="002F21D4">
        <w:rPr>
          <w:rFonts w:eastAsia="Cambria"/>
          <w:sz w:val="22"/>
          <w:szCs w:val="22"/>
          <w:lang w:val="es-ES"/>
        </w:rPr>
        <w:t xml:space="preserve"> debido a los desplazamientos, confinamientos, amenazas y homi</w:t>
      </w:r>
      <w:r w:rsidR="008941CB" w:rsidRPr="002F21D4">
        <w:rPr>
          <w:rFonts w:eastAsia="Cambria"/>
          <w:sz w:val="22"/>
          <w:szCs w:val="22"/>
          <w:lang w:val="es-ES"/>
        </w:rPr>
        <w:t>cidios a los que se ven expuesto</w:t>
      </w:r>
      <w:r w:rsidRPr="002F21D4">
        <w:rPr>
          <w:rFonts w:eastAsia="Cambria"/>
          <w:sz w:val="22"/>
          <w:szCs w:val="22"/>
          <w:lang w:val="es-ES"/>
        </w:rPr>
        <w:t xml:space="preserve">s. </w:t>
      </w:r>
    </w:p>
    <w:p w14:paraId="0CB2D401" w14:textId="77777777" w:rsidR="00B3338F" w:rsidRPr="002F21D4" w:rsidRDefault="00B3338F" w:rsidP="00B06FB8">
      <w:pPr>
        <w:snapToGrid w:val="0"/>
        <w:ind w:firstLine="357"/>
        <w:jc w:val="both"/>
        <w:rPr>
          <w:rFonts w:eastAsia="Cambria"/>
          <w:sz w:val="22"/>
          <w:szCs w:val="22"/>
          <w:lang w:val="es-ES"/>
        </w:rPr>
      </w:pPr>
    </w:p>
    <w:p w14:paraId="2EFA94D0" w14:textId="437BD140" w:rsidR="00807719" w:rsidRPr="002F21D4" w:rsidRDefault="00A66A36" w:rsidP="00B06FB8">
      <w:pPr>
        <w:snapToGrid w:val="0"/>
        <w:ind w:firstLine="357"/>
        <w:jc w:val="both"/>
        <w:rPr>
          <w:rFonts w:eastAsia="Cambria"/>
          <w:sz w:val="22"/>
          <w:szCs w:val="22"/>
          <w:lang w:val="es-ES"/>
        </w:rPr>
      </w:pPr>
      <w:r w:rsidRPr="002F21D4">
        <w:rPr>
          <w:rFonts w:eastAsia="Cambria"/>
          <w:sz w:val="22"/>
          <w:szCs w:val="22"/>
          <w:lang w:val="es-ES"/>
        </w:rPr>
        <w:t xml:space="preserve">Con relación a los </w:t>
      </w:r>
      <w:r w:rsidR="00482724" w:rsidRPr="002F21D4">
        <w:rPr>
          <w:rFonts w:eastAsia="Cambria"/>
          <w:sz w:val="22"/>
          <w:szCs w:val="22"/>
          <w:lang w:val="es-ES"/>
        </w:rPr>
        <w:t>grupos disidentes o residuales de las FARC-EP</w:t>
      </w:r>
      <w:r w:rsidR="00565FF4" w:rsidRPr="002F21D4">
        <w:rPr>
          <w:rFonts w:eastAsia="Cambria"/>
          <w:sz w:val="22"/>
          <w:szCs w:val="22"/>
          <w:lang w:val="es-ES"/>
        </w:rPr>
        <w:t>, como se mencionó en el XXX Informe Semestral,</w:t>
      </w:r>
      <w:r w:rsidR="00482724" w:rsidRPr="002F21D4">
        <w:rPr>
          <w:rFonts w:eastAsia="Cambria"/>
          <w:sz w:val="22"/>
          <w:szCs w:val="22"/>
          <w:lang w:val="es-ES"/>
        </w:rPr>
        <w:t xml:space="preserve"> </w:t>
      </w:r>
      <w:r w:rsidRPr="002F21D4">
        <w:rPr>
          <w:rFonts w:eastAsia="Cambria"/>
          <w:sz w:val="22"/>
          <w:szCs w:val="22"/>
          <w:lang w:val="es-ES"/>
        </w:rPr>
        <w:t xml:space="preserve">se mantiene la </w:t>
      </w:r>
      <w:r w:rsidR="007E52E1" w:rsidRPr="002F21D4">
        <w:rPr>
          <w:rFonts w:eastAsia="Cambria"/>
          <w:sz w:val="22"/>
          <w:szCs w:val="22"/>
          <w:lang w:val="es-ES"/>
        </w:rPr>
        <w:t xml:space="preserve">dificultad </w:t>
      </w:r>
      <w:r w:rsidRPr="002F21D4">
        <w:rPr>
          <w:rFonts w:eastAsia="Cambria"/>
          <w:sz w:val="22"/>
          <w:szCs w:val="22"/>
          <w:lang w:val="es-ES"/>
        </w:rPr>
        <w:t>de identificar un</w:t>
      </w:r>
      <w:r w:rsidR="00565FF4" w:rsidRPr="002F21D4">
        <w:rPr>
          <w:rFonts w:eastAsia="Cambria"/>
          <w:sz w:val="22"/>
          <w:szCs w:val="22"/>
          <w:lang w:val="es-ES"/>
        </w:rPr>
        <w:t xml:space="preserve"> mando unificado que los agrupe a todos</w:t>
      </w:r>
      <w:r w:rsidR="00807719" w:rsidRPr="002F21D4">
        <w:rPr>
          <w:rFonts w:eastAsia="Cambria"/>
          <w:sz w:val="22"/>
          <w:szCs w:val="22"/>
          <w:lang w:val="es-ES"/>
        </w:rPr>
        <w:t xml:space="preserve">. En algunos casos, parecen cohesionarse bajo estructuras sombrilla como </w:t>
      </w:r>
      <w:r w:rsidRPr="002F21D4">
        <w:rPr>
          <w:rFonts w:eastAsia="Cambria"/>
          <w:sz w:val="22"/>
          <w:szCs w:val="22"/>
          <w:lang w:val="es-ES"/>
        </w:rPr>
        <w:t xml:space="preserve">el “Comando Coordinador de Occidente” que agrupa a facciones </w:t>
      </w:r>
      <w:r w:rsidR="008725E1" w:rsidRPr="002F21D4">
        <w:rPr>
          <w:rFonts w:eastAsia="Cambria"/>
          <w:sz w:val="22"/>
          <w:szCs w:val="22"/>
          <w:lang w:val="es-ES"/>
        </w:rPr>
        <w:t xml:space="preserve">de los </w:t>
      </w:r>
      <w:r w:rsidRPr="002F21D4">
        <w:rPr>
          <w:rFonts w:eastAsia="Cambria"/>
          <w:sz w:val="22"/>
          <w:szCs w:val="22"/>
          <w:lang w:val="es-ES"/>
        </w:rPr>
        <w:t xml:space="preserve">departamentos </w:t>
      </w:r>
      <w:r w:rsidR="008725E1" w:rsidRPr="002F21D4">
        <w:rPr>
          <w:rFonts w:eastAsia="Cambria"/>
          <w:sz w:val="22"/>
          <w:szCs w:val="22"/>
          <w:lang w:val="es-ES"/>
        </w:rPr>
        <w:t>de</w:t>
      </w:r>
      <w:r w:rsidRPr="002F21D4">
        <w:rPr>
          <w:rFonts w:eastAsia="Cambria"/>
          <w:sz w:val="22"/>
          <w:szCs w:val="22"/>
          <w:lang w:val="es-ES"/>
        </w:rPr>
        <w:t xml:space="preserve"> Cauca, Nariño y Valle del Cauca</w:t>
      </w:r>
      <w:r w:rsidR="00807719" w:rsidRPr="002F21D4">
        <w:rPr>
          <w:rFonts w:eastAsia="Cambria"/>
          <w:sz w:val="22"/>
          <w:szCs w:val="22"/>
          <w:lang w:val="es-ES"/>
        </w:rPr>
        <w:t xml:space="preserve">; </w:t>
      </w:r>
      <w:r w:rsidRPr="002F21D4">
        <w:rPr>
          <w:rFonts w:eastAsia="Cambria"/>
          <w:sz w:val="22"/>
          <w:szCs w:val="22"/>
          <w:lang w:val="es-ES"/>
        </w:rPr>
        <w:t>el “Bloque Jorge Briceño Suárez” en Guaviare y Meta, así como el “Bloque Magdalena Medio” en Antioquia, Bolívar y Norte de Santander</w:t>
      </w:r>
      <w:r w:rsidR="00807719" w:rsidRPr="002F21D4">
        <w:rPr>
          <w:rFonts w:eastAsia="Cambria"/>
          <w:sz w:val="22"/>
          <w:szCs w:val="22"/>
          <w:lang w:val="es-ES"/>
        </w:rPr>
        <w:t>.</w:t>
      </w:r>
      <w:r w:rsidRPr="002F21D4">
        <w:rPr>
          <w:rFonts w:eastAsia="Cambria"/>
          <w:sz w:val="22"/>
          <w:szCs w:val="22"/>
          <w:lang w:val="es-ES"/>
        </w:rPr>
        <w:t xml:space="preserve"> </w:t>
      </w:r>
    </w:p>
    <w:p w14:paraId="00176882" w14:textId="77777777" w:rsidR="00B3338F" w:rsidRPr="002F21D4" w:rsidRDefault="00B3338F" w:rsidP="00B06FB8">
      <w:pPr>
        <w:snapToGrid w:val="0"/>
        <w:ind w:firstLine="357"/>
        <w:jc w:val="both"/>
        <w:rPr>
          <w:rFonts w:eastAsia="Cambria"/>
          <w:sz w:val="22"/>
          <w:szCs w:val="22"/>
          <w:lang w:val="es-ES"/>
        </w:rPr>
      </w:pPr>
    </w:p>
    <w:p w14:paraId="7470AA8B" w14:textId="1D10F80E" w:rsidR="00A66A36" w:rsidRPr="002F21D4" w:rsidRDefault="00247AA0" w:rsidP="00B06FB8">
      <w:pPr>
        <w:snapToGrid w:val="0"/>
        <w:ind w:firstLine="357"/>
        <w:jc w:val="both"/>
        <w:rPr>
          <w:rFonts w:eastAsia="Cambria"/>
          <w:sz w:val="22"/>
          <w:szCs w:val="22"/>
          <w:lang w:val="es-ES"/>
        </w:rPr>
      </w:pPr>
      <w:r w:rsidRPr="002F21D4">
        <w:rPr>
          <w:rFonts w:eastAsia="Cambria"/>
          <w:sz w:val="22"/>
          <w:szCs w:val="22"/>
          <w:lang w:val="es-ES"/>
        </w:rPr>
        <w:t>E</w:t>
      </w:r>
      <w:r w:rsidR="00A66A36" w:rsidRPr="002F21D4">
        <w:rPr>
          <w:rFonts w:eastAsia="Cambria"/>
          <w:sz w:val="22"/>
          <w:szCs w:val="22"/>
          <w:lang w:val="es-ES"/>
        </w:rPr>
        <w:t>st</w:t>
      </w:r>
      <w:r w:rsidR="00807719" w:rsidRPr="002F21D4">
        <w:rPr>
          <w:rFonts w:eastAsia="Cambria"/>
          <w:sz w:val="22"/>
          <w:szCs w:val="22"/>
          <w:lang w:val="es-ES"/>
        </w:rPr>
        <w:t xml:space="preserve">as estructuras </w:t>
      </w:r>
      <w:r w:rsidRPr="002F21D4">
        <w:rPr>
          <w:rFonts w:eastAsia="Cambria"/>
          <w:sz w:val="22"/>
          <w:szCs w:val="22"/>
          <w:lang w:val="es-ES"/>
        </w:rPr>
        <w:t>parecieran</w:t>
      </w:r>
      <w:r w:rsidR="00A66A36" w:rsidRPr="002F21D4">
        <w:rPr>
          <w:rFonts w:eastAsia="Cambria"/>
          <w:sz w:val="22"/>
          <w:szCs w:val="22"/>
          <w:lang w:val="es-ES"/>
        </w:rPr>
        <w:t xml:space="preserve"> no menoscaba</w:t>
      </w:r>
      <w:r w:rsidRPr="002F21D4">
        <w:rPr>
          <w:rFonts w:eastAsia="Cambria"/>
          <w:sz w:val="22"/>
          <w:szCs w:val="22"/>
          <w:lang w:val="es-ES"/>
        </w:rPr>
        <w:t>r</w:t>
      </w:r>
      <w:r w:rsidR="00A66A36" w:rsidRPr="002F21D4">
        <w:rPr>
          <w:rFonts w:eastAsia="Cambria"/>
          <w:sz w:val="22"/>
          <w:szCs w:val="22"/>
          <w:lang w:val="es-ES"/>
        </w:rPr>
        <w:t xml:space="preserve"> la autonomía de cada una de las</w:t>
      </w:r>
      <w:r w:rsidR="00807719" w:rsidRPr="002F21D4">
        <w:rPr>
          <w:rFonts w:eastAsia="Cambria"/>
          <w:sz w:val="22"/>
          <w:szCs w:val="22"/>
          <w:lang w:val="es-ES"/>
        </w:rPr>
        <w:t xml:space="preserve"> facciones que la componen</w:t>
      </w:r>
      <w:r w:rsidR="00A66A36" w:rsidRPr="002F21D4">
        <w:rPr>
          <w:rFonts w:eastAsia="Cambria"/>
          <w:sz w:val="22"/>
          <w:szCs w:val="22"/>
          <w:lang w:val="es-ES"/>
        </w:rPr>
        <w:t>, por lo que hasta el momento pueden ser considerad</w:t>
      </w:r>
      <w:r w:rsidR="00A917B7" w:rsidRPr="002F21D4">
        <w:rPr>
          <w:rFonts w:eastAsia="Cambria"/>
          <w:sz w:val="22"/>
          <w:szCs w:val="22"/>
          <w:lang w:val="es-ES"/>
        </w:rPr>
        <w:t>a</w:t>
      </w:r>
      <w:r w:rsidR="00A66A36" w:rsidRPr="002F21D4">
        <w:rPr>
          <w:rFonts w:eastAsia="Cambria"/>
          <w:sz w:val="22"/>
          <w:szCs w:val="22"/>
          <w:lang w:val="es-ES"/>
        </w:rPr>
        <w:t>s como espacios de articulación y coordinación</w:t>
      </w:r>
      <w:r w:rsidR="006D7B85" w:rsidRPr="002F21D4">
        <w:rPr>
          <w:rFonts w:eastAsia="Cambria"/>
          <w:sz w:val="22"/>
          <w:szCs w:val="22"/>
          <w:lang w:val="es-ES"/>
        </w:rPr>
        <w:t>,</w:t>
      </w:r>
      <w:r w:rsidR="00A66A36" w:rsidRPr="002F21D4">
        <w:rPr>
          <w:rFonts w:eastAsia="Cambria"/>
          <w:sz w:val="22"/>
          <w:szCs w:val="22"/>
          <w:lang w:val="es-ES"/>
        </w:rPr>
        <w:t xml:space="preserve"> más que de direccionamiento político o militar. </w:t>
      </w:r>
      <w:r w:rsidR="00CF7165" w:rsidRPr="002F21D4">
        <w:rPr>
          <w:rFonts w:eastAsia="Cambria"/>
          <w:sz w:val="22"/>
          <w:szCs w:val="22"/>
          <w:lang w:val="es-ES"/>
        </w:rPr>
        <w:t>En algunos casos p</w:t>
      </w:r>
      <w:r w:rsidR="008725E1" w:rsidRPr="002F21D4">
        <w:rPr>
          <w:rFonts w:eastAsia="Cambria"/>
          <w:sz w:val="22"/>
          <w:szCs w:val="22"/>
          <w:lang w:val="es-ES"/>
        </w:rPr>
        <w:t>ersiste la tendencia de</w:t>
      </w:r>
      <w:r w:rsidR="00CF7165" w:rsidRPr="002F21D4">
        <w:rPr>
          <w:rFonts w:eastAsia="Cambria"/>
          <w:sz w:val="22"/>
          <w:szCs w:val="22"/>
          <w:lang w:val="es-ES"/>
        </w:rPr>
        <w:t xml:space="preserve"> identificarse </w:t>
      </w:r>
      <w:r w:rsidR="001C412B" w:rsidRPr="002F21D4">
        <w:rPr>
          <w:rFonts w:eastAsia="Cambria"/>
          <w:sz w:val="22"/>
          <w:szCs w:val="22"/>
          <w:lang w:val="es-ES"/>
        </w:rPr>
        <w:t>con</w:t>
      </w:r>
      <w:r w:rsidR="00CF7165" w:rsidRPr="002F21D4">
        <w:rPr>
          <w:rFonts w:eastAsia="Cambria"/>
          <w:sz w:val="22"/>
          <w:szCs w:val="22"/>
          <w:lang w:val="es-ES"/>
        </w:rPr>
        <w:t xml:space="preserve"> la numeración </w:t>
      </w:r>
      <w:r w:rsidR="00807719" w:rsidRPr="002F21D4">
        <w:rPr>
          <w:rFonts w:eastAsia="Cambria"/>
          <w:sz w:val="22"/>
          <w:szCs w:val="22"/>
          <w:lang w:val="es-ES"/>
        </w:rPr>
        <w:t xml:space="preserve">empleada en </w:t>
      </w:r>
      <w:r w:rsidR="00CF7165" w:rsidRPr="002F21D4">
        <w:rPr>
          <w:rFonts w:eastAsia="Cambria"/>
          <w:sz w:val="22"/>
          <w:szCs w:val="22"/>
          <w:lang w:val="es-ES"/>
        </w:rPr>
        <w:t>las FARC-EP</w:t>
      </w:r>
      <w:r w:rsidR="00CA3494" w:rsidRPr="002F21D4">
        <w:rPr>
          <w:rFonts w:eastAsia="Cambria"/>
          <w:sz w:val="22"/>
          <w:szCs w:val="22"/>
          <w:lang w:val="es-ES"/>
        </w:rPr>
        <w:t>,</w:t>
      </w:r>
      <w:r w:rsidR="00CF7165" w:rsidRPr="002F21D4">
        <w:rPr>
          <w:rFonts w:eastAsia="Cambria"/>
          <w:sz w:val="22"/>
          <w:szCs w:val="22"/>
          <w:lang w:val="es-ES"/>
        </w:rPr>
        <w:t xml:space="preserve"> como ocurre</w:t>
      </w:r>
      <w:r w:rsidR="00A917B7" w:rsidRPr="002F21D4">
        <w:rPr>
          <w:rFonts w:eastAsia="Cambria"/>
          <w:sz w:val="22"/>
          <w:szCs w:val="22"/>
          <w:lang w:val="es-ES"/>
        </w:rPr>
        <w:t xml:space="preserve">, entre otros, </w:t>
      </w:r>
      <w:r w:rsidR="00CF7165" w:rsidRPr="002F21D4">
        <w:rPr>
          <w:rFonts w:eastAsia="Cambria"/>
          <w:sz w:val="22"/>
          <w:szCs w:val="22"/>
          <w:lang w:val="es-ES"/>
        </w:rPr>
        <w:t>con el “Fren</w:t>
      </w:r>
      <w:r w:rsidR="008941CB" w:rsidRPr="002F21D4">
        <w:rPr>
          <w:rFonts w:eastAsia="Cambria"/>
          <w:sz w:val="22"/>
          <w:szCs w:val="22"/>
          <w:lang w:val="es-ES"/>
        </w:rPr>
        <w:t xml:space="preserve">te 33”, “Frente 36” </w:t>
      </w:r>
      <w:r w:rsidR="00CA3494" w:rsidRPr="002F21D4">
        <w:rPr>
          <w:rFonts w:eastAsia="Cambria"/>
          <w:sz w:val="22"/>
          <w:szCs w:val="22"/>
          <w:lang w:val="es-ES"/>
        </w:rPr>
        <w:t xml:space="preserve">y </w:t>
      </w:r>
      <w:r w:rsidR="008941CB" w:rsidRPr="002F21D4">
        <w:rPr>
          <w:rFonts w:eastAsia="Cambria"/>
          <w:sz w:val="22"/>
          <w:szCs w:val="22"/>
          <w:lang w:val="es-ES"/>
        </w:rPr>
        <w:t>“Frente 28”</w:t>
      </w:r>
      <w:r w:rsidR="00807719" w:rsidRPr="002F21D4">
        <w:rPr>
          <w:rFonts w:eastAsia="Cambria"/>
          <w:sz w:val="22"/>
          <w:szCs w:val="22"/>
          <w:lang w:val="es-ES"/>
        </w:rPr>
        <w:t xml:space="preserve"> en los departamentos de Norte de Santander, A</w:t>
      </w:r>
      <w:r w:rsidR="00A917B7" w:rsidRPr="002F21D4">
        <w:rPr>
          <w:rFonts w:eastAsia="Cambria"/>
          <w:sz w:val="22"/>
          <w:szCs w:val="22"/>
          <w:lang w:val="es-ES"/>
        </w:rPr>
        <w:t>ntioquia y en la región de los Llanos Orientales, respectivamente</w:t>
      </w:r>
      <w:r w:rsidR="00CF7165" w:rsidRPr="002F21D4">
        <w:rPr>
          <w:rFonts w:eastAsia="Cambria"/>
          <w:sz w:val="22"/>
          <w:szCs w:val="22"/>
          <w:lang w:val="es-ES"/>
        </w:rPr>
        <w:t xml:space="preserve">; mientras que en otros casos </w:t>
      </w:r>
      <w:r w:rsidR="00FA6315" w:rsidRPr="002F21D4">
        <w:rPr>
          <w:rFonts w:eastAsia="Cambria"/>
          <w:sz w:val="22"/>
          <w:szCs w:val="22"/>
          <w:lang w:val="es-ES"/>
        </w:rPr>
        <w:t xml:space="preserve">utilizan </w:t>
      </w:r>
      <w:r w:rsidR="00807719" w:rsidRPr="002F21D4">
        <w:rPr>
          <w:rFonts w:eastAsia="Cambria"/>
          <w:sz w:val="22"/>
          <w:szCs w:val="22"/>
          <w:lang w:val="es-ES"/>
        </w:rPr>
        <w:t xml:space="preserve">diferentes </w:t>
      </w:r>
      <w:r w:rsidR="00FA6315" w:rsidRPr="002F21D4">
        <w:rPr>
          <w:rFonts w:eastAsia="Cambria"/>
          <w:sz w:val="22"/>
          <w:szCs w:val="22"/>
          <w:lang w:val="es-ES"/>
        </w:rPr>
        <w:t xml:space="preserve">denominaciones como el “Frente </w:t>
      </w:r>
      <w:proofErr w:type="spellStart"/>
      <w:r w:rsidR="00FA6315" w:rsidRPr="002F21D4">
        <w:rPr>
          <w:rFonts w:eastAsia="Cambria"/>
          <w:sz w:val="22"/>
          <w:szCs w:val="22"/>
          <w:lang w:val="es-ES"/>
        </w:rPr>
        <w:t>Óliver</w:t>
      </w:r>
      <w:proofErr w:type="spellEnd"/>
      <w:r w:rsidR="00FA6315" w:rsidRPr="002F21D4">
        <w:rPr>
          <w:rFonts w:eastAsia="Cambria"/>
          <w:sz w:val="22"/>
          <w:szCs w:val="22"/>
          <w:lang w:val="es-ES"/>
        </w:rPr>
        <w:t xml:space="preserve"> Sinisterra</w:t>
      </w:r>
      <w:r w:rsidR="00B24454" w:rsidRPr="002F21D4">
        <w:rPr>
          <w:rFonts w:eastAsia="Cambria"/>
          <w:sz w:val="22"/>
          <w:szCs w:val="22"/>
          <w:lang w:val="es-ES"/>
        </w:rPr>
        <w:t xml:space="preserve"> (</w:t>
      </w:r>
      <w:proofErr w:type="spellStart"/>
      <w:r w:rsidR="00B24454" w:rsidRPr="002F21D4">
        <w:rPr>
          <w:rFonts w:eastAsia="Cambria"/>
          <w:sz w:val="22"/>
          <w:szCs w:val="22"/>
          <w:lang w:val="es-ES"/>
        </w:rPr>
        <w:t>FOS</w:t>
      </w:r>
      <w:proofErr w:type="spellEnd"/>
      <w:r w:rsidR="00B24454" w:rsidRPr="002F21D4">
        <w:rPr>
          <w:rFonts w:eastAsia="Cambria"/>
          <w:sz w:val="22"/>
          <w:szCs w:val="22"/>
          <w:lang w:val="es-ES"/>
        </w:rPr>
        <w:t>)</w:t>
      </w:r>
      <w:r w:rsidR="00FA6315" w:rsidRPr="002F21D4">
        <w:rPr>
          <w:rFonts w:eastAsia="Cambria"/>
          <w:sz w:val="22"/>
          <w:szCs w:val="22"/>
          <w:lang w:val="es-ES"/>
        </w:rPr>
        <w:t>”</w:t>
      </w:r>
      <w:r w:rsidR="00A917B7" w:rsidRPr="002F21D4">
        <w:rPr>
          <w:rFonts w:eastAsia="Cambria"/>
          <w:sz w:val="22"/>
          <w:szCs w:val="22"/>
          <w:lang w:val="es-ES"/>
        </w:rPr>
        <w:t xml:space="preserve"> en Tumaco</w:t>
      </w:r>
      <w:r w:rsidR="00FA6315" w:rsidRPr="002F21D4">
        <w:rPr>
          <w:rFonts w:eastAsia="Cambria"/>
          <w:sz w:val="22"/>
          <w:szCs w:val="22"/>
          <w:lang w:val="es-ES"/>
        </w:rPr>
        <w:t xml:space="preserve"> o “Comandos de la Frontera”</w:t>
      </w:r>
      <w:r w:rsidR="00A917B7" w:rsidRPr="002F21D4">
        <w:rPr>
          <w:rFonts w:eastAsia="Cambria"/>
          <w:sz w:val="22"/>
          <w:szCs w:val="22"/>
          <w:lang w:val="es-ES"/>
        </w:rPr>
        <w:t xml:space="preserve"> en Putumayo</w:t>
      </w:r>
      <w:r w:rsidR="00FA6315" w:rsidRPr="002F21D4">
        <w:rPr>
          <w:rFonts w:eastAsia="Cambria"/>
          <w:sz w:val="22"/>
          <w:szCs w:val="22"/>
          <w:lang w:val="es-ES"/>
        </w:rPr>
        <w:t xml:space="preserve">. </w:t>
      </w:r>
    </w:p>
    <w:p w14:paraId="2F08E6BD" w14:textId="77777777" w:rsidR="00B3338F" w:rsidRPr="002F21D4" w:rsidRDefault="00B3338F" w:rsidP="00B06FB8">
      <w:pPr>
        <w:snapToGrid w:val="0"/>
        <w:ind w:firstLine="357"/>
        <w:jc w:val="both"/>
        <w:rPr>
          <w:rFonts w:eastAsia="Cambria"/>
          <w:sz w:val="22"/>
          <w:szCs w:val="22"/>
          <w:lang w:val="es-ES"/>
        </w:rPr>
      </w:pPr>
    </w:p>
    <w:p w14:paraId="214B9294" w14:textId="7828838D" w:rsidR="00A66A36" w:rsidRPr="002F21D4" w:rsidRDefault="001C412B" w:rsidP="00B06FB8">
      <w:pPr>
        <w:snapToGrid w:val="0"/>
        <w:ind w:firstLine="357"/>
        <w:jc w:val="both"/>
        <w:rPr>
          <w:rFonts w:eastAsia="Cambria"/>
          <w:sz w:val="22"/>
          <w:szCs w:val="22"/>
          <w:lang w:val="es-ES"/>
        </w:rPr>
      </w:pPr>
      <w:r w:rsidRPr="002F21D4">
        <w:rPr>
          <w:rFonts w:eastAsia="Cambria"/>
          <w:sz w:val="22"/>
          <w:szCs w:val="22"/>
          <w:lang w:val="es-ES"/>
        </w:rPr>
        <w:t xml:space="preserve"> E</w:t>
      </w:r>
      <w:r w:rsidR="00A917B7" w:rsidRPr="002F21D4">
        <w:rPr>
          <w:rFonts w:eastAsia="Cambria"/>
          <w:sz w:val="22"/>
          <w:szCs w:val="22"/>
          <w:lang w:val="es-ES"/>
        </w:rPr>
        <w:t xml:space="preserve">l </w:t>
      </w:r>
      <w:r w:rsidR="00A66A36" w:rsidRPr="002F21D4">
        <w:rPr>
          <w:rFonts w:eastAsia="Cambria"/>
          <w:sz w:val="22"/>
          <w:szCs w:val="22"/>
          <w:lang w:val="es-ES"/>
        </w:rPr>
        <w:t xml:space="preserve">relacionamiento </w:t>
      </w:r>
      <w:r w:rsidR="00A917B7" w:rsidRPr="002F21D4">
        <w:rPr>
          <w:rFonts w:eastAsia="Cambria"/>
          <w:sz w:val="22"/>
          <w:szCs w:val="22"/>
          <w:lang w:val="es-ES"/>
        </w:rPr>
        <w:t xml:space="preserve">de los grupos disidentes o residuales de las FARC-EP </w:t>
      </w:r>
      <w:r w:rsidR="00A66A36" w:rsidRPr="002F21D4">
        <w:rPr>
          <w:rFonts w:eastAsia="Cambria"/>
          <w:sz w:val="22"/>
          <w:szCs w:val="22"/>
          <w:lang w:val="es-ES"/>
        </w:rPr>
        <w:t xml:space="preserve">con otros </w:t>
      </w:r>
      <w:r w:rsidR="009478A9" w:rsidRPr="002F21D4">
        <w:rPr>
          <w:rFonts w:eastAsia="Cambria"/>
          <w:sz w:val="22"/>
          <w:szCs w:val="22"/>
          <w:lang w:val="es-ES"/>
        </w:rPr>
        <w:t>GAI</w:t>
      </w:r>
      <w:r w:rsidR="00A66A36" w:rsidRPr="002F21D4">
        <w:rPr>
          <w:rFonts w:eastAsia="Cambria"/>
          <w:sz w:val="22"/>
          <w:szCs w:val="22"/>
          <w:lang w:val="es-ES"/>
        </w:rPr>
        <w:t xml:space="preserve"> </w:t>
      </w:r>
      <w:r w:rsidR="00D2607F" w:rsidRPr="002F21D4">
        <w:rPr>
          <w:rFonts w:eastAsia="Cambria"/>
          <w:sz w:val="22"/>
          <w:szCs w:val="22"/>
          <w:lang w:val="es-ES"/>
        </w:rPr>
        <w:t>tiene diferentes patrones</w:t>
      </w:r>
      <w:r w:rsidR="00A66A36" w:rsidRPr="002F21D4">
        <w:rPr>
          <w:rFonts w:eastAsia="Cambria"/>
          <w:sz w:val="22"/>
          <w:szCs w:val="22"/>
          <w:lang w:val="es-ES"/>
        </w:rPr>
        <w:t xml:space="preserve">. </w:t>
      </w:r>
      <w:r w:rsidR="00A917B7" w:rsidRPr="002F21D4">
        <w:rPr>
          <w:rFonts w:eastAsia="Cambria"/>
          <w:sz w:val="22"/>
          <w:szCs w:val="22"/>
          <w:lang w:val="es-ES"/>
        </w:rPr>
        <w:t>E</w:t>
      </w:r>
      <w:r w:rsidR="00A66A36" w:rsidRPr="002F21D4">
        <w:rPr>
          <w:rFonts w:eastAsia="Cambria"/>
          <w:sz w:val="22"/>
          <w:szCs w:val="22"/>
          <w:lang w:val="es-ES"/>
        </w:rPr>
        <w:t>n Cauca sostienen confrontaciones con el ELN en el cañón del río Micay</w:t>
      </w:r>
      <w:r w:rsidR="003B6D73" w:rsidRPr="002F21D4">
        <w:rPr>
          <w:rFonts w:eastAsia="Cambria"/>
          <w:sz w:val="22"/>
          <w:szCs w:val="22"/>
          <w:lang w:val="es-ES"/>
        </w:rPr>
        <w:t xml:space="preserve"> y en la </w:t>
      </w:r>
      <w:r w:rsidR="0032007F" w:rsidRPr="002F21D4">
        <w:rPr>
          <w:rFonts w:eastAsia="Cambria"/>
          <w:sz w:val="22"/>
          <w:szCs w:val="22"/>
          <w:lang w:val="es-ES"/>
        </w:rPr>
        <w:t>C</w:t>
      </w:r>
      <w:r w:rsidR="003B6D73" w:rsidRPr="002F21D4">
        <w:rPr>
          <w:rFonts w:eastAsia="Cambria"/>
          <w:sz w:val="22"/>
          <w:szCs w:val="22"/>
          <w:lang w:val="es-ES"/>
        </w:rPr>
        <w:t>osta pacífica;</w:t>
      </w:r>
      <w:r w:rsidR="00A66A36" w:rsidRPr="002F21D4">
        <w:rPr>
          <w:rFonts w:eastAsia="Cambria"/>
          <w:sz w:val="22"/>
          <w:szCs w:val="22"/>
          <w:lang w:val="es-ES"/>
        </w:rPr>
        <w:t xml:space="preserve"> en el sur de Bolívar</w:t>
      </w:r>
      <w:r w:rsidR="00A66A36" w:rsidRPr="002F21D4">
        <w:rPr>
          <w:rFonts w:eastAsia="Cambria"/>
          <w:sz w:val="22"/>
          <w:szCs w:val="22"/>
          <w:vertAlign w:val="superscript"/>
          <w:lang w:val="es-ES"/>
        </w:rPr>
        <w:footnoteReference w:id="10"/>
      </w:r>
      <w:r w:rsidR="00A66A36" w:rsidRPr="002F21D4">
        <w:rPr>
          <w:rFonts w:eastAsia="Cambria"/>
          <w:sz w:val="22"/>
          <w:szCs w:val="22"/>
          <w:lang w:val="es-ES"/>
        </w:rPr>
        <w:t xml:space="preserve"> y el Catatumbo</w:t>
      </w:r>
      <w:r w:rsidR="00A917B7" w:rsidRPr="002F21D4">
        <w:rPr>
          <w:rFonts w:eastAsia="Cambria"/>
          <w:sz w:val="22"/>
          <w:szCs w:val="22"/>
          <w:vertAlign w:val="superscript"/>
          <w:lang w:val="es-ES"/>
        </w:rPr>
        <w:footnoteReference w:id="11"/>
      </w:r>
      <w:r w:rsidR="00A66A36" w:rsidRPr="002F21D4">
        <w:rPr>
          <w:rFonts w:eastAsia="Cambria"/>
          <w:sz w:val="22"/>
          <w:szCs w:val="22"/>
          <w:lang w:val="es-ES"/>
        </w:rPr>
        <w:t xml:space="preserve"> </w:t>
      </w:r>
      <w:r w:rsidR="002363F8" w:rsidRPr="002F21D4">
        <w:rPr>
          <w:rFonts w:eastAsia="Cambria"/>
          <w:sz w:val="22"/>
          <w:szCs w:val="22"/>
          <w:lang w:val="es-ES"/>
        </w:rPr>
        <w:t>ha incrementado la</w:t>
      </w:r>
      <w:r w:rsidR="00A66A36" w:rsidRPr="002F21D4">
        <w:rPr>
          <w:rFonts w:eastAsia="Cambria"/>
          <w:sz w:val="22"/>
          <w:szCs w:val="22"/>
          <w:lang w:val="es-ES"/>
        </w:rPr>
        <w:t xml:space="preserve"> tensión. En el norte de Antioquia </w:t>
      </w:r>
      <w:r w:rsidR="002363F8" w:rsidRPr="002F21D4">
        <w:rPr>
          <w:rFonts w:eastAsia="Cambria"/>
          <w:sz w:val="22"/>
          <w:szCs w:val="22"/>
          <w:lang w:val="es-ES"/>
        </w:rPr>
        <w:t>hay</w:t>
      </w:r>
      <w:r w:rsidR="00A66A36" w:rsidRPr="002F21D4">
        <w:rPr>
          <w:rFonts w:eastAsia="Cambria"/>
          <w:sz w:val="22"/>
          <w:szCs w:val="22"/>
          <w:lang w:val="es-ES"/>
        </w:rPr>
        <w:t xml:space="preserve"> una disputa con las AGC/Clan del Golfo que </w:t>
      </w:r>
      <w:r w:rsidR="005E36F6" w:rsidRPr="002F21D4">
        <w:rPr>
          <w:rFonts w:eastAsia="Cambria"/>
          <w:sz w:val="22"/>
          <w:szCs w:val="22"/>
          <w:lang w:val="es-ES"/>
        </w:rPr>
        <w:t>continúa</w:t>
      </w:r>
      <w:r w:rsidR="00A66A36" w:rsidRPr="002F21D4">
        <w:rPr>
          <w:rFonts w:eastAsia="Cambria"/>
          <w:sz w:val="22"/>
          <w:szCs w:val="22"/>
          <w:lang w:val="es-ES"/>
        </w:rPr>
        <w:t xml:space="preserve"> generando desplazamientos forzados en el municipio de Ituango. </w:t>
      </w:r>
    </w:p>
    <w:p w14:paraId="454BB20E" w14:textId="77777777" w:rsidR="00B3338F" w:rsidRPr="002F21D4" w:rsidRDefault="00B3338F" w:rsidP="00B06FB8">
      <w:pPr>
        <w:snapToGrid w:val="0"/>
        <w:ind w:firstLine="357"/>
        <w:jc w:val="both"/>
        <w:rPr>
          <w:rFonts w:eastAsia="Cambria"/>
          <w:sz w:val="22"/>
          <w:szCs w:val="22"/>
          <w:lang w:val="es-ES"/>
        </w:rPr>
      </w:pPr>
    </w:p>
    <w:p w14:paraId="6B4309CF" w14:textId="6FEE6823" w:rsidR="00A66A36" w:rsidRPr="002F21D4" w:rsidRDefault="007C2634" w:rsidP="00B06FB8">
      <w:pPr>
        <w:snapToGrid w:val="0"/>
        <w:ind w:firstLine="357"/>
        <w:jc w:val="both"/>
        <w:rPr>
          <w:rFonts w:eastAsia="Cambria"/>
          <w:sz w:val="22"/>
          <w:szCs w:val="22"/>
          <w:lang w:val="es-ES"/>
        </w:rPr>
      </w:pPr>
      <w:r w:rsidRPr="002F21D4">
        <w:rPr>
          <w:rFonts w:eastAsia="Cambria"/>
          <w:sz w:val="22"/>
          <w:szCs w:val="22"/>
          <w:lang w:val="es-ES"/>
        </w:rPr>
        <w:t>De igual manera sucede e</w:t>
      </w:r>
      <w:r w:rsidR="00A66A36" w:rsidRPr="002F21D4">
        <w:rPr>
          <w:rFonts w:eastAsia="Cambria"/>
          <w:sz w:val="22"/>
          <w:szCs w:val="22"/>
          <w:lang w:val="es-ES"/>
        </w:rPr>
        <w:t>ntre los distint</w:t>
      </w:r>
      <w:r w:rsidR="00782415" w:rsidRPr="002F21D4">
        <w:rPr>
          <w:rFonts w:eastAsia="Cambria"/>
          <w:sz w:val="22"/>
          <w:szCs w:val="22"/>
          <w:lang w:val="es-ES"/>
        </w:rPr>
        <w:t xml:space="preserve">os </w:t>
      </w:r>
      <w:r w:rsidR="00FF45BF" w:rsidRPr="002F21D4">
        <w:rPr>
          <w:rFonts w:eastAsia="Cambria"/>
          <w:sz w:val="22"/>
          <w:szCs w:val="22"/>
          <w:lang w:val="es-ES"/>
        </w:rPr>
        <w:t>grupos disidentes o residuales de las FARC-</w:t>
      </w:r>
      <w:r w:rsidRPr="002F21D4">
        <w:rPr>
          <w:rFonts w:eastAsia="Cambria"/>
          <w:sz w:val="22"/>
          <w:szCs w:val="22"/>
          <w:lang w:val="es-ES"/>
        </w:rPr>
        <w:t>EP</w:t>
      </w:r>
      <w:r w:rsidR="00A66A36" w:rsidRPr="002F21D4">
        <w:rPr>
          <w:rFonts w:eastAsia="Cambria"/>
          <w:sz w:val="22"/>
          <w:szCs w:val="22"/>
          <w:lang w:val="es-ES"/>
        </w:rPr>
        <w:t>. Mientras en Putumayo continúan las confrontaciones entre el “Frente 1</w:t>
      </w:r>
      <w:r w:rsidR="005E36F6" w:rsidRPr="002F21D4">
        <w:rPr>
          <w:rFonts w:eastAsia="Cambria"/>
          <w:sz w:val="22"/>
          <w:szCs w:val="22"/>
          <w:lang w:val="es-ES"/>
        </w:rPr>
        <w:t>°</w:t>
      </w:r>
      <w:r w:rsidR="00A66A36" w:rsidRPr="002F21D4">
        <w:rPr>
          <w:rFonts w:eastAsia="Cambria"/>
          <w:sz w:val="22"/>
          <w:szCs w:val="22"/>
          <w:lang w:val="es-ES"/>
        </w:rPr>
        <w:t xml:space="preserve"> Carolina Ramírez” y los </w:t>
      </w:r>
      <w:r w:rsidR="00A66A36" w:rsidRPr="002F21D4">
        <w:rPr>
          <w:rFonts w:eastAsia="Cambria"/>
          <w:sz w:val="22"/>
          <w:szCs w:val="22"/>
          <w:lang w:val="es-ES"/>
        </w:rPr>
        <w:lastRenderedPageBreak/>
        <w:t>“Comandos de la Frontera – Ejército Bolivariano”</w:t>
      </w:r>
      <w:r w:rsidR="00A66A36" w:rsidRPr="002F21D4">
        <w:rPr>
          <w:rFonts w:eastAsia="Cambria"/>
          <w:sz w:val="22"/>
          <w:szCs w:val="22"/>
          <w:vertAlign w:val="superscript"/>
          <w:lang w:val="es-ES"/>
        </w:rPr>
        <w:footnoteReference w:id="12"/>
      </w:r>
      <w:r w:rsidR="00A66A36" w:rsidRPr="002F21D4">
        <w:rPr>
          <w:rFonts w:eastAsia="Cambria"/>
          <w:sz w:val="22"/>
          <w:szCs w:val="22"/>
          <w:lang w:val="es-ES"/>
        </w:rPr>
        <w:t xml:space="preserve">, en Nariño se siguen presentando acuerdos entre el </w:t>
      </w:r>
      <w:r w:rsidR="00B24454" w:rsidRPr="002F21D4">
        <w:rPr>
          <w:rFonts w:eastAsia="Cambria"/>
          <w:sz w:val="22"/>
          <w:szCs w:val="22"/>
          <w:lang w:val="es-ES"/>
        </w:rPr>
        <w:t>FOS</w:t>
      </w:r>
      <w:r w:rsidR="00A66A36" w:rsidRPr="002F21D4">
        <w:rPr>
          <w:rFonts w:eastAsia="Cambria"/>
          <w:sz w:val="22"/>
          <w:szCs w:val="22"/>
          <w:lang w:val="es-ES"/>
        </w:rPr>
        <w:t xml:space="preserve"> y el Bloque Occidental Alfonso Cano con las AGC/Clan del Golfo para contener el avance del “Frente 30” desde </w:t>
      </w:r>
      <w:r w:rsidR="00FF45BF" w:rsidRPr="002F21D4">
        <w:rPr>
          <w:rFonts w:eastAsia="Cambria"/>
          <w:sz w:val="22"/>
          <w:szCs w:val="22"/>
          <w:lang w:val="es-ES"/>
        </w:rPr>
        <w:t>la subregión d</w:t>
      </w:r>
      <w:r w:rsidR="00A66A36" w:rsidRPr="002F21D4">
        <w:rPr>
          <w:rFonts w:eastAsia="Cambria"/>
          <w:sz w:val="22"/>
          <w:szCs w:val="22"/>
          <w:lang w:val="es-ES"/>
        </w:rPr>
        <w:t xml:space="preserve">el </w:t>
      </w:r>
      <w:proofErr w:type="spellStart"/>
      <w:r w:rsidR="00A66A36" w:rsidRPr="002F21D4">
        <w:rPr>
          <w:rFonts w:eastAsia="Cambria"/>
          <w:sz w:val="22"/>
          <w:szCs w:val="22"/>
          <w:lang w:val="es-ES"/>
        </w:rPr>
        <w:t>Sanquianga</w:t>
      </w:r>
      <w:proofErr w:type="spellEnd"/>
      <w:r w:rsidR="00A66A36" w:rsidRPr="002F21D4">
        <w:rPr>
          <w:rFonts w:eastAsia="Cambria"/>
          <w:sz w:val="22"/>
          <w:szCs w:val="22"/>
          <w:lang w:val="es-ES"/>
        </w:rPr>
        <w:t xml:space="preserve"> hacia el sur, </w:t>
      </w:r>
      <w:r w:rsidR="000A36D2" w:rsidRPr="002F21D4">
        <w:rPr>
          <w:rFonts w:eastAsia="Cambria"/>
          <w:sz w:val="22"/>
          <w:szCs w:val="22"/>
          <w:lang w:val="es-ES"/>
        </w:rPr>
        <w:t>vulnerando la integridad de la población</w:t>
      </w:r>
      <w:r w:rsidR="001C412B" w:rsidRPr="002F21D4">
        <w:rPr>
          <w:rFonts w:eastAsia="Cambria"/>
          <w:sz w:val="22"/>
          <w:szCs w:val="22"/>
          <w:lang w:val="es-ES"/>
        </w:rPr>
        <w:t>.</w:t>
      </w:r>
      <w:r w:rsidR="0078159F" w:rsidRPr="002F21D4">
        <w:rPr>
          <w:rFonts w:eastAsia="Cambria"/>
          <w:sz w:val="22"/>
          <w:szCs w:val="22"/>
          <w:lang w:val="es-ES"/>
        </w:rPr>
        <w:t xml:space="preserve"> </w:t>
      </w:r>
    </w:p>
    <w:p w14:paraId="79AAD8B9" w14:textId="77777777" w:rsidR="00B3338F" w:rsidRPr="002F21D4" w:rsidRDefault="00B3338F" w:rsidP="00B06FB8">
      <w:pPr>
        <w:snapToGrid w:val="0"/>
        <w:ind w:firstLine="357"/>
        <w:jc w:val="both"/>
        <w:rPr>
          <w:rFonts w:eastAsia="Cambria"/>
          <w:sz w:val="22"/>
          <w:szCs w:val="22"/>
          <w:lang w:val="es-ES"/>
        </w:rPr>
      </w:pPr>
    </w:p>
    <w:p w14:paraId="7EE62E3E" w14:textId="3ACA3047" w:rsidR="008D1CD5" w:rsidRPr="002F21D4" w:rsidRDefault="00A66A36" w:rsidP="00B06FB8">
      <w:pPr>
        <w:snapToGrid w:val="0"/>
        <w:ind w:firstLine="357"/>
        <w:jc w:val="both"/>
        <w:rPr>
          <w:rFonts w:eastAsia="Cambria"/>
          <w:sz w:val="22"/>
          <w:szCs w:val="22"/>
          <w:lang w:val="es-ES"/>
        </w:rPr>
      </w:pPr>
      <w:r w:rsidRPr="002F21D4">
        <w:rPr>
          <w:rFonts w:eastAsia="Cambria"/>
          <w:sz w:val="22"/>
          <w:szCs w:val="22"/>
          <w:lang w:val="es-ES"/>
        </w:rPr>
        <w:t xml:space="preserve">Las </w:t>
      </w:r>
      <w:proofErr w:type="spellStart"/>
      <w:r w:rsidRPr="002F21D4">
        <w:rPr>
          <w:rFonts w:eastAsia="Cambria"/>
          <w:sz w:val="22"/>
          <w:szCs w:val="22"/>
          <w:lang w:val="es-ES"/>
        </w:rPr>
        <w:t>AGC</w:t>
      </w:r>
      <w:proofErr w:type="spellEnd"/>
      <w:r w:rsidRPr="002F21D4">
        <w:rPr>
          <w:rFonts w:eastAsia="Cambria"/>
          <w:sz w:val="22"/>
          <w:szCs w:val="22"/>
          <w:lang w:val="es-ES"/>
        </w:rPr>
        <w:t xml:space="preserve">/Clan del Golfo </w:t>
      </w:r>
      <w:r w:rsidR="0032007F" w:rsidRPr="002F21D4">
        <w:rPr>
          <w:rFonts w:eastAsia="Cambria"/>
          <w:sz w:val="22"/>
          <w:szCs w:val="22"/>
          <w:lang w:val="es-ES"/>
        </w:rPr>
        <w:t>han consolidado</w:t>
      </w:r>
      <w:r w:rsidRPr="002F21D4">
        <w:rPr>
          <w:rFonts w:eastAsia="Cambria"/>
          <w:sz w:val="22"/>
          <w:szCs w:val="22"/>
          <w:lang w:val="es-ES"/>
        </w:rPr>
        <w:t xml:space="preserve"> su presencia en el Área Metropolitana de Cúcuta </w:t>
      </w:r>
      <w:r w:rsidR="00586020" w:rsidRPr="002F21D4">
        <w:rPr>
          <w:rFonts w:eastAsia="Cambria"/>
          <w:sz w:val="22"/>
          <w:szCs w:val="22"/>
          <w:lang w:val="es-ES"/>
        </w:rPr>
        <w:t>(</w:t>
      </w:r>
      <w:r w:rsidRPr="002F21D4">
        <w:rPr>
          <w:rFonts w:eastAsia="Cambria"/>
          <w:sz w:val="22"/>
          <w:szCs w:val="22"/>
          <w:lang w:val="es-ES"/>
        </w:rPr>
        <w:t>Norte de Santander</w:t>
      </w:r>
      <w:r w:rsidR="00586020" w:rsidRPr="002F21D4">
        <w:rPr>
          <w:rFonts w:eastAsia="Cambria"/>
          <w:sz w:val="22"/>
          <w:szCs w:val="22"/>
          <w:lang w:val="es-ES"/>
        </w:rPr>
        <w:t>)</w:t>
      </w:r>
      <w:r w:rsidRPr="002F21D4">
        <w:rPr>
          <w:rFonts w:eastAsia="Cambria"/>
          <w:sz w:val="22"/>
          <w:szCs w:val="22"/>
          <w:lang w:val="es-ES"/>
        </w:rPr>
        <w:t xml:space="preserve"> sosteniendo una confrontación con el ELN que genera amenazas, homicidios selectivos y desplazamientos forzados. A finales de febrero</w:t>
      </w:r>
      <w:r w:rsidR="001C412B" w:rsidRPr="002F21D4">
        <w:rPr>
          <w:rFonts w:eastAsia="Cambria"/>
          <w:sz w:val="22"/>
          <w:szCs w:val="22"/>
          <w:lang w:val="es-ES"/>
        </w:rPr>
        <w:t>,</w:t>
      </w:r>
      <w:r w:rsidRPr="002F21D4">
        <w:rPr>
          <w:rFonts w:eastAsia="Cambria"/>
          <w:sz w:val="22"/>
          <w:szCs w:val="22"/>
          <w:lang w:val="es-ES"/>
        </w:rPr>
        <w:t xml:space="preserve"> el grupo adelantó un “plan pistola”</w:t>
      </w:r>
      <w:r w:rsidRPr="002F21D4">
        <w:rPr>
          <w:rFonts w:eastAsia="Cambria"/>
          <w:sz w:val="22"/>
          <w:szCs w:val="22"/>
          <w:vertAlign w:val="superscript"/>
          <w:lang w:val="es-ES"/>
        </w:rPr>
        <w:footnoteReference w:id="13"/>
      </w:r>
      <w:r w:rsidRPr="002F21D4">
        <w:rPr>
          <w:rFonts w:eastAsia="Cambria"/>
          <w:sz w:val="22"/>
          <w:szCs w:val="22"/>
          <w:lang w:val="es-ES"/>
        </w:rPr>
        <w:t xml:space="preserve"> contra </w:t>
      </w:r>
      <w:r w:rsidR="008B7030" w:rsidRPr="002F21D4">
        <w:rPr>
          <w:rFonts w:eastAsia="Cambria"/>
          <w:sz w:val="22"/>
          <w:szCs w:val="22"/>
          <w:lang w:val="es-ES"/>
        </w:rPr>
        <w:t xml:space="preserve">integrantes </w:t>
      </w:r>
      <w:r w:rsidRPr="002F21D4">
        <w:rPr>
          <w:rFonts w:eastAsia="Cambria"/>
          <w:sz w:val="22"/>
          <w:szCs w:val="22"/>
          <w:lang w:val="es-ES"/>
        </w:rPr>
        <w:t xml:space="preserve">de la Policía Nacional, concentrado en algunos municipios y zonas rurales de Antioquia, Bolívar, Chocó, </w:t>
      </w:r>
      <w:r w:rsidR="00226869" w:rsidRPr="002F21D4">
        <w:rPr>
          <w:rFonts w:eastAsia="Cambria"/>
          <w:sz w:val="22"/>
          <w:szCs w:val="22"/>
          <w:lang w:val="es-ES"/>
        </w:rPr>
        <w:t xml:space="preserve">y </w:t>
      </w:r>
      <w:r w:rsidRPr="002F21D4">
        <w:rPr>
          <w:rFonts w:eastAsia="Cambria"/>
          <w:sz w:val="22"/>
          <w:szCs w:val="22"/>
          <w:lang w:val="es-ES"/>
        </w:rPr>
        <w:t>Córdoba, dinámica que se presentó como retaliación por</w:t>
      </w:r>
      <w:r w:rsidR="000A312A" w:rsidRPr="002F21D4">
        <w:rPr>
          <w:rFonts w:eastAsia="Cambria"/>
          <w:sz w:val="22"/>
          <w:szCs w:val="22"/>
          <w:lang w:val="es-ES"/>
        </w:rPr>
        <w:t xml:space="preserve"> la muerte </w:t>
      </w:r>
      <w:r w:rsidRPr="002F21D4">
        <w:rPr>
          <w:rFonts w:eastAsia="Cambria"/>
          <w:sz w:val="22"/>
          <w:szCs w:val="22"/>
          <w:lang w:val="es-ES"/>
        </w:rPr>
        <w:t>de alias “</w:t>
      </w:r>
      <w:proofErr w:type="spellStart"/>
      <w:r w:rsidRPr="002F21D4">
        <w:rPr>
          <w:rFonts w:eastAsia="Cambria"/>
          <w:sz w:val="22"/>
          <w:szCs w:val="22"/>
          <w:lang w:val="es-ES"/>
        </w:rPr>
        <w:t>Marihuano</w:t>
      </w:r>
      <w:proofErr w:type="spellEnd"/>
      <w:r w:rsidRPr="002F21D4">
        <w:rPr>
          <w:rFonts w:eastAsia="Cambria"/>
          <w:sz w:val="22"/>
          <w:szCs w:val="22"/>
          <w:lang w:val="es-ES"/>
        </w:rPr>
        <w:t>”, segundo al mando en el grupo luego de alias “Otoniel”</w:t>
      </w:r>
      <w:r w:rsidR="00C9742D" w:rsidRPr="002F21D4">
        <w:rPr>
          <w:rStyle w:val="FootnoteReference"/>
          <w:rFonts w:eastAsia="Cambria"/>
          <w:sz w:val="22"/>
          <w:szCs w:val="22"/>
          <w:lang w:val="es-ES"/>
        </w:rPr>
        <w:footnoteReference w:id="14"/>
      </w:r>
      <w:r w:rsidRPr="002F21D4">
        <w:rPr>
          <w:rFonts w:eastAsia="Cambria"/>
          <w:sz w:val="22"/>
          <w:szCs w:val="22"/>
          <w:lang w:val="es-ES"/>
        </w:rPr>
        <w:t xml:space="preserve">. </w:t>
      </w:r>
    </w:p>
    <w:p w14:paraId="42686A7E" w14:textId="77777777" w:rsidR="00B3338F" w:rsidRPr="002F21D4" w:rsidRDefault="00B3338F" w:rsidP="00B06FB8">
      <w:pPr>
        <w:snapToGrid w:val="0"/>
        <w:ind w:firstLine="357"/>
        <w:jc w:val="both"/>
        <w:rPr>
          <w:rFonts w:eastAsia="Cambria"/>
          <w:sz w:val="22"/>
          <w:szCs w:val="22"/>
          <w:lang w:val="es-ES"/>
        </w:rPr>
      </w:pPr>
    </w:p>
    <w:p w14:paraId="60B3C965" w14:textId="43708137" w:rsidR="00671A9F" w:rsidRPr="002F21D4" w:rsidRDefault="0032007F" w:rsidP="00B06FB8">
      <w:pPr>
        <w:snapToGrid w:val="0"/>
        <w:ind w:firstLine="357"/>
        <w:jc w:val="both"/>
        <w:rPr>
          <w:rFonts w:eastAsia="Cambria"/>
          <w:sz w:val="22"/>
          <w:szCs w:val="22"/>
          <w:lang w:val="es-ES"/>
        </w:rPr>
      </w:pPr>
      <w:r w:rsidRPr="002F21D4">
        <w:rPr>
          <w:rFonts w:eastAsia="Cambria"/>
          <w:sz w:val="22"/>
          <w:szCs w:val="22"/>
          <w:lang w:val="es-ES"/>
        </w:rPr>
        <w:t>Por su parte, e</w:t>
      </w:r>
      <w:r w:rsidR="008D1CD5" w:rsidRPr="002F21D4">
        <w:rPr>
          <w:rFonts w:eastAsia="Cambria"/>
          <w:sz w:val="22"/>
          <w:szCs w:val="22"/>
          <w:lang w:val="es-ES"/>
        </w:rPr>
        <w:t xml:space="preserve">l Estado colombiano ha desarrollado estrategias que han permitido </w:t>
      </w:r>
      <w:r w:rsidR="00D32FAE" w:rsidRPr="002F21D4">
        <w:rPr>
          <w:rFonts w:eastAsia="Cambria"/>
          <w:sz w:val="22"/>
          <w:szCs w:val="22"/>
          <w:lang w:val="es-ES"/>
        </w:rPr>
        <w:t>debilitar</w:t>
      </w:r>
      <w:r w:rsidR="008D1CD5" w:rsidRPr="002F21D4">
        <w:rPr>
          <w:rFonts w:eastAsia="Cambria"/>
          <w:sz w:val="22"/>
          <w:szCs w:val="22"/>
          <w:lang w:val="es-ES"/>
        </w:rPr>
        <w:t xml:space="preserve"> las estructuras militares y financieras de los </w:t>
      </w:r>
      <w:r w:rsidR="001A725B" w:rsidRPr="002F21D4">
        <w:rPr>
          <w:rFonts w:eastAsia="Cambria"/>
          <w:sz w:val="22"/>
          <w:szCs w:val="22"/>
          <w:lang w:val="es-ES"/>
        </w:rPr>
        <w:t>GAI</w:t>
      </w:r>
      <w:r w:rsidR="008D1CD5" w:rsidRPr="002F21D4">
        <w:rPr>
          <w:rFonts w:eastAsia="Cambria"/>
          <w:sz w:val="22"/>
          <w:szCs w:val="22"/>
          <w:lang w:val="es-ES"/>
        </w:rPr>
        <w:t xml:space="preserve">. En particular, para este período se </w:t>
      </w:r>
      <w:r w:rsidR="001A725B" w:rsidRPr="002F21D4">
        <w:rPr>
          <w:rFonts w:eastAsia="Cambria"/>
          <w:sz w:val="22"/>
          <w:szCs w:val="22"/>
          <w:lang w:val="es-ES"/>
        </w:rPr>
        <w:t>capturaron a integrantes de</w:t>
      </w:r>
      <w:r w:rsidR="008D1CD5" w:rsidRPr="002F21D4">
        <w:rPr>
          <w:rFonts w:eastAsia="Cambria"/>
          <w:sz w:val="22"/>
          <w:szCs w:val="22"/>
          <w:lang w:val="es-ES"/>
        </w:rPr>
        <w:t xml:space="preserve"> la línea de mando del </w:t>
      </w:r>
      <w:proofErr w:type="spellStart"/>
      <w:r w:rsidR="008D1CD5" w:rsidRPr="002F21D4">
        <w:rPr>
          <w:rFonts w:eastAsia="Cambria"/>
          <w:sz w:val="22"/>
          <w:szCs w:val="22"/>
          <w:lang w:val="es-ES"/>
        </w:rPr>
        <w:t>EPL</w:t>
      </w:r>
      <w:proofErr w:type="spellEnd"/>
      <w:r w:rsidR="008D1CD5" w:rsidRPr="002F21D4">
        <w:rPr>
          <w:rFonts w:eastAsia="Cambria"/>
          <w:sz w:val="22"/>
          <w:szCs w:val="22"/>
          <w:lang w:val="es-ES"/>
        </w:rPr>
        <w:t xml:space="preserve">/Los </w:t>
      </w:r>
      <w:proofErr w:type="spellStart"/>
      <w:r w:rsidR="008D1CD5" w:rsidRPr="002F21D4">
        <w:rPr>
          <w:rFonts w:eastAsia="Cambria"/>
          <w:sz w:val="22"/>
          <w:szCs w:val="22"/>
          <w:lang w:val="es-ES"/>
        </w:rPr>
        <w:t>Pelusos</w:t>
      </w:r>
      <w:proofErr w:type="spellEnd"/>
      <w:r w:rsidR="008D1CD5" w:rsidRPr="002F21D4">
        <w:rPr>
          <w:rFonts w:eastAsia="Cambria"/>
          <w:sz w:val="22"/>
          <w:szCs w:val="22"/>
          <w:vertAlign w:val="superscript"/>
          <w:lang w:val="es-ES"/>
        </w:rPr>
        <w:footnoteReference w:id="15"/>
      </w:r>
      <w:r w:rsidR="008D1CD5" w:rsidRPr="002F21D4">
        <w:rPr>
          <w:rFonts w:eastAsia="Cambria"/>
          <w:sz w:val="22"/>
          <w:szCs w:val="22"/>
          <w:lang w:val="es-ES"/>
        </w:rPr>
        <w:t xml:space="preserve">, con lo que se </w:t>
      </w:r>
      <w:r w:rsidR="00F1346C" w:rsidRPr="002F21D4">
        <w:rPr>
          <w:rFonts w:eastAsia="Cambria"/>
          <w:sz w:val="22"/>
          <w:szCs w:val="22"/>
          <w:lang w:val="es-ES"/>
        </w:rPr>
        <w:t>continúa</w:t>
      </w:r>
      <w:r w:rsidR="008D1CD5" w:rsidRPr="002F21D4">
        <w:rPr>
          <w:rFonts w:eastAsia="Cambria"/>
          <w:sz w:val="22"/>
          <w:szCs w:val="22"/>
          <w:lang w:val="es-ES"/>
        </w:rPr>
        <w:t xml:space="preserve"> profundizando el declive de este grupo a pesar de sus intentos por mantener su operatividad en Norte de Santander a través de homicidios selectivos y secuestros extorsivos. </w:t>
      </w:r>
      <w:r w:rsidR="007418EC" w:rsidRPr="002F21D4">
        <w:rPr>
          <w:rFonts w:eastAsia="Cambria"/>
          <w:sz w:val="22"/>
          <w:szCs w:val="22"/>
          <w:lang w:val="es-ES"/>
        </w:rPr>
        <w:t>Igualmente</w:t>
      </w:r>
      <w:r w:rsidR="008D1CD5" w:rsidRPr="002F21D4">
        <w:rPr>
          <w:rFonts w:eastAsia="Cambria"/>
          <w:sz w:val="22"/>
          <w:szCs w:val="22"/>
          <w:lang w:val="es-ES"/>
        </w:rPr>
        <w:t xml:space="preserve">, </w:t>
      </w:r>
      <w:r w:rsidR="001A725B" w:rsidRPr="002F21D4">
        <w:rPr>
          <w:rFonts w:eastAsia="Cambria"/>
          <w:sz w:val="22"/>
          <w:szCs w:val="22"/>
          <w:lang w:val="es-ES"/>
        </w:rPr>
        <w:t>el Gobierno nacional anunció en junio la desarticulación del “Bloque Virgilio Peralta Arenas” o “Los Caparros”</w:t>
      </w:r>
      <w:r w:rsidRPr="002F21D4">
        <w:rPr>
          <w:rFonts w:eastAsia="Cambria"/>
          <w:sz w:val="22"/>
          <w:szCs w:val="22"/>
          <w:vertAlign w:val="superscript"/>
          <w:lang w:val="es-ES"/>
        </w:rPr>
        <w:footnoteReference w:id="16"/>
      </w:r>
      <w:r w:rsidR="001A725B" w:rsidRPr="002F21D4">
        <w:rPr>
          <w:rFonts w:eastAsia="Cambria"/>
          <w:sz w:val="22"/>
          <w:szCs w:val="22"/>
          <w:lang w:val="es-ES"/>
        </w:rPr>
        <w:t>, que hasta abril mantuvo una intensa confrontación con las AGC/Clan del Golfo en la subregión del Bajo Cauca Antioqueño.</w:t>
      </w:r>
      <w:r w:rsidRPr="002F21D4">
        <w:rPr>
          <w:rFonts w:eastAsia="Cambria"/>
          <w:sz w:val="22"/>
          <w:szCs w:val="22"/>
          <w:lang w:val="es-ES"/>
        </w:rPr>
        <w:t xml:space="preserve"> Sin embargo,</w:t>
      </w:r>
      <w:r w:rsidR="001A725B" w:rsidRPr="002F21D4">
        <w:rPr>
          <w:rFonts w:eastAsia="Cambria"/>
          <w:sz w:val="22"/>
          <w:szCs w:val="22"/>
          <w:lang w:val="es-ES"/>
        </w:rPr>
        <w:t xml:space="preserve"> </w:t>
      </w:r>
      <w:r w:rsidRPr="002F21D4">
        <w:rPr>
          <w:rFonts w:eastAsia="Cambria"/>
          <w:sz w:val="22"/>
          <w:szCs w:val="22"/>
          <w:lang w:val="es-ES"/>
        </w:rPr>
        <w:t>a</w:t>
      </w:r>
      <w:r w:rsidR="001E3098" w:rsidRPr="002F21D4">
        <w:rPr>
          <w:rFonts w:eastAsia="Cambria"/>
          <w:sz w:val="22"/>
          <w:szCs w:val="22"/>
          <w:lang w:val="es-ES"/>
        </w:rPr>
        <w:t xml:space="preserve">unque en algunos casos el debilitamiento de estos grupos ha sido evidente, el establecimiento de acuerdos coyunturales y la existencia de diversas fuentes de financiación les han permitido reacomodarse </w:t>
      </w:r>
      <w:r w:rsidR="00E22F8A" w:rsidRPr="002F21D4">
        <w:rPr>
          <w:rFonts w:eastAsia="Cambria"/>
          <w:sz w:val="22"/>
          <w:szCs w:val="22"/>
          <w:lang w:val="es-ES"/>
        </w:rPr>
        <w:t>y seguir generando afectaciones a la población.</w:t>
      </w:r>
    </w:p>
    <w:p w14:paraId="4E19FC50" w14:textId="4E88C30A" w:rsidR="009923DF" w:rsidRPr="002F21D4" w:rsidRDefault="009923DF" w:rsidP="00B06FB8">
      <w:pPr>
        <w:snapToGrid w:val="0"/>
        <w:ind w:firstLine="357"/>
        <w:jc w:val="both"/>
        <w:rPr>
          <w:rFonts w:eastAsia="Cambria"/>
          <w:sz w:val="22"/>
          <w:szCs w:val="22"/>
          <w:lang w:val="es-ES"/>
        </w:rPr>
      </w:pPr>
    </w:p>
    <w:p w14:paraId="28786F20" w14:textId="651C295A" w:rsidR="007245D8" w:rsidRPr="002F21D4" w:rsidRDefault="00885A2F" w:rsidP="002F21D4">
      <w:pPr>
        <w:pStyle w:val="Default"/>
        <w:numPr>
          <w:ilvl w:val="1"/>
          <w:numId w:val="1"/>
        </w:numPr>
        <w:snapToGrid w:val="0"/>
        <w:ind w:firstLine="0"/>
        <w:jc w:val="both"/>
        <w:rPr>
          <w:b/>
          <w:bCs/>
          <w:sz w:val="22"/>
          <w:szCs w:val="22"/>
        </w:rPr>
      </w:pPr>
      <w:r w:rsidRPr="002F21D4">
        <w:rPr>
          <w:b/>
          <w:bCs/>
          <w:color w:val="auto"/>
          <w:sz w:val="22"/>
          <w:szCs w:val="22"/>
        </w:rPr>
        <w:t>Afectaciones contra la población civil</w:t>
      </w:r>
      <w:r w:rsidR="00CA2880" w:rsidRPr="002F21D4">
        <w:rPr>
          <w:rStyle w:val="FootnoteReference"/>
          <w:b/>
          <w:bCs/>
          <w:color w:val="auto"/>
          <w:sz w:val="22"/>
          <w:szCs w:val="22"/>
        </w:rPr>
        <w:footnoteReference w:id="17"/>
      </w:r>
    </w:p>
    <w:p w14:paraId="559A53A6" w14:textId="77777777" w:rsidR="00B3338F" w:rsidRPr="002F21D4" w:rsidRDefault="00B3338F" w:rsidP="00B06FB8">
      <w:pPr>
        <w:snapToGrid w:val="0"/>
        <w:ind w:firstLine="357"/>
        <w:jc w:val="both"/>
        <w:rPr>
          <w:rFonts w:eastAsia="Cambria"/>
          <w:sz w:val="22"/>
          <w:szCs w:val="22"/>
        </w:rPr>
      </w:pPr>
    </w:p>
    <w:p w14:paraId="13048985" w14:textId="2A49359B" w:rsidR="00A62091" w:rsidRPr="002F21D4" w:rsidRDefault="00FD2E15" w:rsidP="00B06FB8">
      <w:pPr>
        <w:snapToGrid w:val="0"/>
        <w:ind w:firstLine="357"/>
        <w:jc w:val="both"/>
        <w:rPr>
          <w:color w:val="000000" w:themeColor="text1"/>
          <w:sz w:val="22"/>
          <w:szCs w:val="22"/>
        </w:rPr>
      </w:pPr>
      <w:r w:rsidRPr="002F21D4">
        <w:rPr>
          <w:rFonts w:eastAsia="Cambria"/>
          <w:sz w:val="22"/>
          <w:szCs w:val="22"/>
          <w:lang w:val="es-ES"/>
        </w:rPr>
        <w:t>L</w:t>
      </w:r>
      <w:r w:rsidR="000A71D3" w:rsidRPr="002F21D4">
        <w:rPr>
          <w:rFonts w:eastAsia="Cambria"/>
          <w:sz w:val="22"/>
          <w:szCs w:val="22"/>
          <w:lang w:val="es-ES"/>
        </w:rPr>
        <w:t xml:space="preserve">a población civil </w:t>
      </w:r>
      <w:r w:rsidR="00A62091" w:rsidRPr="002F21D4">
        <w:rPr>
          <w:rFonts w:eastAsia="Cambria"/>
          <w:sz w:val="22"/>
          <w:szCs w:val="22"/>
          <w:lang w:val="es-ES"/>
        </w:rPr>
        <w:t xml:space="preserve">continúa siendo víctima de </w:t>
      </w:r>
      <w:r w:rsidR="00A62091" w:rsidRPr="002F21D4">
        <w:rPr>
          <w:color w:val="000000" w:themeColor="text1"/>
          <w:sz w:val="22"/>
          <w:szCs w:val="22"/>
        </w:rPr>
        <w:t xml:space="preserve">hechos violentos perpetrados por GAI, </w:t>
      </w:r>
      <w:r w:rsidR="00FA0BE7" w:rsidRPr="002F21D4">
        <w:rPr>
          <w:color w:val="000000" w:themeColor="text1"/>
          <w:sz w:val="22"/>
          <w:szCs w:val="22"/>
        </w:rPr>
        <w:t>ya</w:t>
      </w:r>
      <w:r w:rsidR="00A62091" w:rsidRPr="002F21D4">
        <w:rPr>
          <w:rFonts w:eastAsia="Cambria"/>
          <w:sz w:val="22"/>
          <w:szCs w:val="22"/>
          <w:lang w:val="es-ES"/>
        </w:rPr>
        <w:t xml:space="preserve"> sea por enfrentamientos entre ellos que generan desplazamientos forzados o confinamientos, o por acciones ligadas al interés de estos grupos por mantener su control territorial, económico y social.</w:t>
      </w:r>
    </w:p>
    <w:p w14:paraId="452EF79F" w14:textId="1C87E711" w:rsidR="00D40F92" w:rsidRPr="002F21D4" w:rsidRDefault="00473C2B" w:rsidP="00B06FB8">
      <w:pPr>
        <w:snapToGrid w:val="0"/>
        <w:ind w:firstLine="357"/>
        <w:jc w:val="both"/>
        <w:rPr>
          <w:sz w:val="22"/>
          <w:szCs w:val="22"/>
          <w:lang w:val="es-ES"/>
        </w:rPr>
      </w:pPr>
      <w:r w:rsidRPr="002F21D4">
        <w:rPr>
          <w:sz w:val="22"/>
          <w:szCs w:val="22"/>
          <w:lang w:val="es-ES"/>
        </w:rPr>
        <w:lastRenderedPageBreak/>
        <w:t>L</w:t>
      </w:r>
      <w:r w:rsidR="0099538E" w:rsidRPr="002F21D4">
        <w:rPr>
          <w:sz w:val="22"/>
          <w:szCs w:val="22"/>
          <w:lang w:val="es-ES"/>
        </w:rPr>
        <w:t>os niños, niñas y adolescentes</w:t>
      </w:r>
      <w:r w:rsidR="002143E6" w:rsidRPr="002F21D4">
        <w:rPr>
          <w:sz w:val="22"/>
          <w:szCs w:val="22"/>
          <w:lang w:val="es-ES"/>
        </w:rPr>
        <w:t xml:space="preserve"> (NNA)</w:t>
      </w:r>
      <w:r w:rsidR="0099538E" w:rsidRPr="002F21D4">
        <w:rPr>
          <w:sz w:val="22"/>
          <w:szCs w:val="22"/>
          <w:lang w:val="es-ES"/>
        </w:rPr>
        <w:t>, los p</w:t>
      </w:r>
      <w:r w:rsidR="00426F93" w:rsidRPr="002F21D4">
        <w:rPr>
          <w:sz w:val="22"/>
          <w:szCs w:val="22"/>
          <w:lang w:val="es-ES"/>
        </w:rPr>
        <w:t>ueblos indígenas</w:t>
      </w:r>
      <w:r w:rsidR="0099538E" w:rsidRPr="002F21D4">
        <w:rPr>
          <w:sz w:val="22"/>
          <w:szCs w:val="22"/>
          <w:lang w:val="es-ES"/>
        </w:rPr>
        <w:t xml:space="preserve"> y comunidades afrodescendientes,</w:t>
      </w:r>
      <w:r w:rsidR="007D268D" w:rsidRPr="002F21D4">
        <w:rPr>
          <w:sz w:val="22"/>
          <w:szCs w:val="22"/>
          <w:lang w:val="es-ES"/>
        </w:rPr>
        <w:t xml:space="preserve"> y</w:t>
      </w:r>
      <w:r w:rsidR="0099538E" w:rsidRPr="002F21D4">
        <w:rPr>
          <w:sz w:val="22"/>
          <w:szCs w:val="22"/>
          <w:lang w:val="es-ES"/>
        </w:rPr>
        <w:t xml:space="preserve"> las mujeres y sus organizaciones continúan siendo especialmente impactados. Persisten </w:t>
      </w:r>
      <w:r w:rsidR="00EE5094" w:rsidRPr="002F21D4">
        <w:rPr>
          <w:sz w:val="22"/>
          <w:szCs w:val="22"/>
          <w:lang w:val="es-ES"/>
        </w:rPr>
        <w:t xml:space="preserve">dinámicas </w:t>
      </w:r>
      <w:r w:rsidR="0099538E" w:rsidRPr="002F21D4">
        <w:rPr>
          <w:sz w:val="22"/>
          <w:szCs w:val="22"/>
          <w:lang w:val="es-ES"/>
        </w:rPr>
        <w:t>coercitiv</w:t>
      </w:r>
      <w:r w:rsidR="00EE5094" w:rsidRPr="002F21D4">
        <w:rPr>
          <w:sz w:val="22"/>
          <w:szCs w:val="22"/>
          <w:lang w:val="es-ES"/>
        </w:rPr>
        <w:t>a</w:t>
      </w:r>
      <w:r w:rsidR="0099538E" w:rsidRPr="002F21D4">
        <w:rPr>
          <w:sz w:val="22"/>
          <w:szCs w:val="22"/>
          <w:lang w:val="es-ES"/>
        </w:rPr>
        <w:t>s</w:t>
      </w:r>
      <w:r w:rsidRPr="002F21D4">
        <w:rPr>
          <w:sz w:val="22"/>
          <w:szCs w:val="22"/>
          <w:lang w:val="es-ES"/>
        </w:rPr>
        <w:t xml:space="preserve"> en su contra</w:t>
      </w:r>
      <w:r w:rsidR="0099538E" w:rsidRPr="002F21D4">
        <w:rPr>
          <w:sz w:val="22"/>
          <w:szCs w:val="22"/>
          <w:lang w:val="es-ES"/>
        </w:rPr>
        <w:t xml:space="preserve"> que </w:t>
      </w:r>
      <w:r w:rsidR="00A46A82" w:rsidRPr="002F21D4">
        <w:rPr>
          <w:sz w:val="22"/>
          <w:szCs w:val="22"/>
          <w:lang w:val="es-ES"/>
        </w:rPr>
        <w:t xml:space="preserve">limitan </w:t>
      </w:r>
      <w:r w:rsidR="0099538E" w:rsidRPr="002F21D4">
        <w:rPr>
          <w:sz w:val="22"/>
          <w:szCs w:val="22"/>
          <w:lang w:val="es-ES"/>
        </w:rPr>
        <w:t>el ejercicio de sus derechos</w:t>
      </w:r>
      <w:r w:rsidRPr="002F21D4">
        <w:rPr>
          <w:sz w:val="22"/>
          <w:szCs w:val="22"/>
          <w:lang w:val="es-ES"/>
        </w:rPr>
        <w:t xml:space="preserve"> individuales y colectivos</w:t>
      </w:r>
      <w:r w:rsidR="003A5006" w:rsidRPr="002F21D4">
        <w:rPr>
          <w:sz w:val="22"/>
          <w:szCs w:val="22"/>
          <w:lang w:val="es-ES"/>
        </w:rPr>
        <w:t xml:space="preserve">, en particular, el reclutamiento forzado, </w:t>
      </w:r>
      <w:r w:rsidR="003E3275" w:rsidRPr="002F21D4">
        <w:rPr>
          <w:sz w:val="22"/>
          <w:szCs w:val="22"/>
          <w:lang w:val="es-ES"/>
        </w:rPr>
        <w:t xml:space="preserve">el </w:t>
      </w:r>
      <w:r w:rsidR="003A5006" w:rsidRPr="002F21D4">
        <w:rPr>
          <w:sz w:val="22"/>
          <w:szCs w:val="22"/>
          <w:lang w:val="es-ES"/>
        </w:rPr>
        <w:t>uso</w:t>
      </w:r>
      <w:r w:rsidR="00CD1F4B" w:rsidRPr="002F21D4">
        <w:rPr>
          <w:sz w:val="22"/>
          <w:szCs w:val="22"/>
          <w:lang w:val="es-ES"/>
        </w:rPr>
        <w:t>,</w:t>
      </w:r>
      <w:r w:rsidR="003E3275" w:rsidRPr="002F21D4">
        <w:rPr>
          <w:sz w:val="22"/>
          <w:szCs w:val="22"/>
          <w:lang w:val="es-ES"/>
        </w:rPr>
        <w:t xml:space="preserve"> la</w:t>
      </w:r>
      <w:r w:rsidR="003A5006" w:rsidRPr="002F21D4">
        <w:rPr>
          <w:sz w:val="22"/>
          <w:szCs w:val="22"/>
          <w:lang w:val="es-ES"/>
        </w:rPr>
        <w:t xml:space="preserve"> utilización</w:t>
      </w:r>
      <w:r w:rsidR="003E3275" w:rsidRPr="002F21D4">
        <w:rPr>
          <w:sz w:val="22"/>
          <w:szCs w:val="22"/>
          <w:lang w:val="es-ES"/>
        </w:rPr>
        <w:t xml:space="preserve"> y la violencia sexual contra </w:t>
      </w:r>
      <w:r w:rsidR="003A5006" w:rsidRPr="002F21D4">
        <w:rPr>
          <w:sz w:val="22"/>
          <w:szCs w:val="22"/>
          <w:lang w:val="es-ES"/>
        </w:rPr>
        <w:t xml:space="preserve">NNA, las vulneraciones al ejercicio de </w:t>
      </w:r>
      <w:r w:rsidR="00F21133" w:rsidRPr="002F21D4">
        <w:rPr>
          <w:sz w:val="22"/>
          <w:szCs w:val="22"/>
          <w:lang w:val="es-ES"/>
        </w:rPr>
        <w:t>gobierno</w:t>
      </w:r>
      <w:r w:rsidR="003A5006" w:rsidRPr="002F21D4">
        <w:rPr>
          <w:sz w:val="22"/>
          <w:szCs w:val="22"/>
          <w:lang w:val="es-ES"/>
        </w:rPr>
        <w:t xml:space="preserve"> y justicia propia y la persecución a las formas de movilización y organización de las mujeres</w:t>
      </w:r>
      <w:r w:rsidR="00F21133" w:rsidRPr="002F21D4">
        <w:rPr>
          <w:sz w:val="22"/>
          <w:szCs w:val="22"/>
          <w:lang w:val="es-ES"/>
        </w:rPr>
        <w:t xml:space="preserve">. </w:t>
      </w:r>
    </w:p>
    <w:p w14:paraId="24B82FE6" w14:textId="77777777" w:rsidR="00B3338F" w:rsidRPr="002F21D4" w:rsidRDefault="00B3338F" w:rsidP="00B06FB8">
      <w:pPr>
        <w:snapToGrid w:val="0"/>
        <w:ind w:firstLine="357"/>
        <w:jc w:val="both"/>
        <w:rPr>
          <w:sz w:val="22"/>
          <w:szCs w:val="22"/>
          <w:lang w:val="es-ES"/>
        </w:rPr>
      </w:pPr>
    </w:p>
    <w:p w14:paraId="604A5B1E" w14:textId="49125149" w:rsidR="000C7829" w:rsidRPr="002F21D4" w:rsidRDefault="00F21133" w:rsidP="00B06FB8">
      <w:pPr>
        <w:snapToGrid w:val="0"/>
        <w:ind w:firstLine="357"/>
        <w:jc w:val="both"/>
        <w:rPr>
          <w:sz w:val="22"/>
          <w:szCs w:val="22"/>
          <w:lang w:val="es-ES"/>
        </w:rPr>
      </w:pPr>
      <w:r w:rsidRPr="002F21D4">
        <w:rPr>
          <w:sz w:val="22"/>
          <w:szCs w:val="22"/>
          <w:lang w:val="es-ES"/>
        </w:rPr>
        <w:t>C</w:t>
      </w:r>
      <w:r w:rsidR="000C7829" w:rsidRPr="002F21D4">
        <w:rPr>
          <w:sz w:val="22"/>
          <w:szCs w:val="22"/>
          <w:lang w:val="es-ES"/>
        </w:rPr>
        <w:t xml:space="preserve">ifras oficiales de muertes violentas y amenazas contra mujeres dan cuenta de la problemática en municipios como Tibú, Villa del Rosario y Cúcuta </w:t>
      </w:r>
      <w:r w:rsidR="00012B60" w:rsidRPr="002F21D4">
        <w:rPr>
          <w:sz w:val="22"/>
          <w:szCs w:val="22"/>
          <w:lang w:val="es-ES"/>
        </w:rPr>
        <w:t>(</w:t>
      </w:r>
      <w:r w:rsidR="000C7829" w:rsidRPr="002F21D4">
        <w:rPr>
          <w:sz w:val="22"/>
          <w:szCs w:val="22"/>
          <w:lang w:val="es-ES"/>
        </w:rPr>
        <w:t>Norte de Santander</w:t>
      </w:r>
      <w:r w:rsidR="00012B60" w:rsidRPr="002F21D4">
        <w:rPr>
          <w:sz w:val="22"/>
          <w:szCs w:val="22"/>
          <w:lang w:val="es-ES"/>
        </w:rPr>
        <w:t>)</w:t>
      </w:r>
      <w:r w:rsidR="000C7829" w:rsidRPr="002F21D4">
        <w:rPr>
          <w:sz w:val="22"/>
          <w:szCs w:val="22"/>
          <w:lang w:val="es-ES"/>
        </w:rPr>
        <w:t xml:space="preserve">; Cáceres, Valdivia y Yondó </w:t>
      </w:r>
      <w:r w:rsidR="00012B60" w:rsidRPr="002F21D4">
        <w:rPr>
          <w:sz w:val="22"/>
          <w:szCs w:val="22"/>
          <w:lang w:val="es-ES"/>
        </w:rPr>
        <w:t>(</w:t>
      </w:r>
      <w:r w:rsidR="000C7829" w:rsidRPr="002F21D4">
        <w:rPr>
          <w:sz w:val="22"/>
          <w:szCs w:val="22"/>
          <w:lang w:val="es-ES"/>
        </w:rPr>
        <w:t>Antioquia</w:t>
      </w:r>
      <w:r w:rsidR="00012B60" w:rsidRPr="002F21D4">
        <w:rPr>
          <w:sz w:val="22"/>
          <w:szCs w:val="22"/>
          <w:lang w:val="es-ES"/>
        </w:rPr>
        <w:t>)</w:t>
      </w:r>
      <w:r w:rsidR="000C7829" w:rsidRPr="002F21D4">
        <w:rPr>
          <w:sz w:val="22"/>
          <w:szCs w:val="22"/>
          <w:lang w:val="es-ES"/>
        </w:rPr>
        <w:t xml:space="preserve">; Caldono, Guapi, Morales y Toribio </w:t>
      </w:r>
      <w:r w:rsidR="00012B60" w:rsidRPr="002F21D4">
        <w:rPr>
          <w:sz w:val="22"/>
          <w:szCs w:val="22"/>
          <w:lang w:val="es-ES"/>
        </w:rPr>
        <w:t>(</w:t>
      </w:r>
      <w:r w:rsidR="000C7829" w:rsidRPr="002F21D4">
        <w:rPr>
          <w:sz w:val="22"/>
          <w:szCs w:val="22"/>
          <w:lang w:val="es-ES"/>
        </w:rPr>
        <w:t>Cauca</w:t>
      </w:r>
      <w:r w:rsidR="00012B60" w:rsidRPr="002F21D4">
        <w:rPr>
          <w:sz w:val="22"/>
          <w:szCs w:val="22"/>
          <w:lang w:val="es-ES"/>
        </w:rPr>
        <w:t>)</w:t>
      </w:r>
      <w:r w:rsidR="000C7829" w:rsidRPr="002F21D4">
        <w:rPr>
          <w:sz w:val="22"/>
          <w:szCs w:val="22"/>
          <w:lang w:val="es-ES"/>
        </w:rPr>
        <w:t xml:space="preserve">; y Puerto Caicedo, San Miguel y Valle del Guamuez </w:t>
      </w:r>
      <w:r w:rsidR="00012B60" w:rsidRPr="002F21D4">
        <w:rPr>
          <w:sz w:val="22"/>
          <w:szCs w:val="22"/>
          <w:lang w:val="es-ES"/>
        </w:rPr>
        <w:t>(</w:t>
      </w:r>
      <w:r w:rsidR="000C7829" w:rsidRPr="002F21D4">
        <w:rPr>
          <w:sz w:val="22"/>
          <w:szCs w:val="22"/>
          <w:lang w:val="es-ES"/>
        </w:rPr>
        <w:t>Putumayo</w:t>
      </w:r>
      <w:r w:rsidR="00012B60" w:rsidRPr="002F21D4">
        <w:rPr>
          <w:sz w:val="22"/>
          <w:szCs w:val="22"/>
          <w:lang w:val="es-ES"/>
        </w:rPr>
        <w:t>)</w:t>
      </w:r>
      <w:r w:rsidR="000C7829" w:rsidRPr="002F21D4">
        <w:rPr>
          <w:sz w:val="22"/>
          <w:szCs w:val="22"/>
          <w:lang w:val="es-ES"/>
        </w:rPr>
        <w:t>. Según los datos obtenidos del SIEDCO</w:t>
      </w:r>
      <w:r w:rsidR="000C7829" w:rsidRPr="002F21D4">
        <w:rPr>
          <w:rStyle w:val="FootnoteReference"/>
          <w:sz w:val="22"/>
          <w:szCs w:val="22"/>
          <w:lang w:val="es-ES"/>
        </w:rPr>
        <w:footnoteReference w:id="18"/>
      </w:r>
      <w:r w:rsidR="000C7829" w:rsidRPr="002F21D4">
        <w:rPr>
          <w:sz w:val="22"/>
          <w:szCs w:val="22"/>
          <w:lang w:val="es-ES"/>
        </w:rPr>
        <w:t xml:space="preserve"> para estos municipios, durante el primer semestre del año se presentó un aumento </w:t>
      </w:r>
      <w:r w:rsidR="007D268D" w:rsidRPr="002F21D4">
        <w:rPr>
          <w:sz w:val="22"/>
          <w:szCs w:val="22"/>
          <w:lang w:val="es-ES"/>
        </w:rPr>
        <w:t xml:space="preserve">de </w:t>
      </w:r>
      <w:r w:rsidR="000C7829" w:rsidRPr="002F21D4">
        <w:rPr>
          <w:sz w:val="22"/>
          <w:szCs w:val="22"/>
          <w:lang w:val="es-ES"/>
        </w:rPr>
        <w:t>más del 100% en los casos de muertes violentas y amenazas a mujeres</w:t>
      </w:r>
      <w:r w:rsidR="00C4270A" w:rsidRPr="002F21D4">
        <w:rPr>
          <w:sz w:val="22"/>
          <w:szCs w:val="22"/>
          <w:lang w:val="es-ES"/>
        </w:rPr>
        <w:t>,</w:t>
      </w:r>
      <w:r w:rsidR="000C7829" w:rsidRPr="002F21D4">
        <w:rPr>
          <w:sz w:val="22"/>
          <w:szCs w:val="22"/>
          <w:lang w:val="es-ES"/>
        </w:rPr>
        <w:t xml:space="preserve"> </w:t>
      </w:r>
      <w:r w:rsidR="002355C0" w:rsidRPr="002F21D4">
        <w:rPr>
          <w:sz w:val="22"/>
          <w:szCs w:val="22"/>
          <w:lang w:val="es-ES"/>
        </w:rPr>
        <w:t>en comparación con el</w:t>
      </w:r>
      <w:r w:rsidR="000C7829" w:rsidRPr="002F21D4">
        <w:rPr>
          <w:sz w:val="22"/>
          <w:szCs w:val="22"/>
          <w:lang w:val="es-ES"/>
        </w:rPr>
        <w:t xml:space="preserve"> total registrado durante el 2020</w:t>
      </w:r>
      <w:r w:rsidR="000C7829" w:rsidRPr="002F21D4">
        <w:rPr>
          <w:rStyle w:val="FootnoteReference"/>
          <w:sz w:val="22"/>
          <w:szCs w:val="22"/>
          <w:lang w:val="es-ES"/>
        </w:rPr>
        <w:footnoteReference w:id="19"/>
      </w:r>
      <w:r w:rsidR="0032007F" w:rsidRPr="002F21D4">
        <w:rPr>
          <w:sz w:val="22"/>
          <w:szCs w:val="22"/>
          <w:lang w:val="es-ES"/>
        </w:rPr>
        <w:t>.</w:t>
      </w:r>
      <w:r w:rsidR="0078159F" w:rsidRPr="002F21D4">
        <w:rPr>
          <w:sz w:val="22"/>
          <w:szCs w:val="22"/>
          <w:lang w:val="es-ES"/>
        </w:rPr>
        <w:t xml:space="preserve"> </w:t>
      </w:r>
    </w:p>
    <w:p w14:paraId="5EC54957" w14:textId="77777777" w:rsidR="00B3338F" w:rsidRPr="002F21D4" w:rsidRDefault="00B3338F" w:rsidP="00B06FB8">
      <w:pPr>
        <w:snapToGrid w:val="0"/>
        <w:ind w:firstLine="357"/>
        <w:jc w:val="both"/>
        <w:rPr>
          <w:sz w:val="22"/>
          <w:szCs w:val="22"/>
          <w:lang w:val="es-ES"/>
        </w:rPr>
      </w:pPr>
    </w:p>
    <w:p w14:paraId="2235C0D5" w14:textId="519B770E" w:rsidR="003E3275" w:rsidRPr="002F21D4" w:rsidRDefault="00D40F92" w:rsidP="00B06FB8">
      <w:pPr>
        <w:snapToGrid w:val="0"/>
        <w:ind w:firstLine="357"/>
        <w:jc w:val="both"/>
        <w:rPr>
          <w:rFonts w:eastAsia="Calibri"/>
          <w:color w:val="000000" w:themeColor="text1"/>
          <w:sz w:val="22"/>
          <w:szCs w:val="22"/>
          <w:lang w:val="es-ES_tradnl"/>
        </w:rPr>
      </w:pPr>
      <w:r w:rsidRPr="002F21D4">
        <w:rPr>
          <w:rFonts w:eastAsia="Calibri"/>
          <w:color w:val="000000" w:themeColor="text1"/>
          <w:sz w:val="22"/>
          <w:szCs w:val="22"/>
          <w:lang w:val="es-ES_tradnl"/>
        </w:rPr>
        <w:t>Respecto a los escenarios de riesgo para pueblos indígenas y afrodescendientes, los departamentos más críticos fueron Antioquia, Cauca, Chocó, Nariño, Norte de Santander y Valle del Cauca. En la mayoría de los casos, la influencia de uno o más GAI en sus territorios colectivos, genera amenazas, desplazamientos forzados, imposición de medidas de control social</w:t>
      </w:r>
      <w:r w:rsidRPr="002F21D4">
        <w:rPr>
          <w:rFonts w:eastAsia="Calibri"/>
          <w:color w:val="000000" w:themeColor="text1"/>
          <w:sz w:val="22"/>
          <w:szCs w:val="22"/>
          <w:vertAlign w:val="superscript"/>
          <w:lang w:val="es-ES_tradnl"/>
        </w:rPr>
        <w:footnoteReference w:id="20"/>
      </w:r>
      <w:r w:rsidRPr="002F21D4">
        <w:rPr>
          <w:rFonts w:eastAsia="Calibri"/>
          <w:color w:val="000000" w:themeColor="text1"/>
          <w:sz w:val="22"/>
          <w:szCs w:val="22"/>
          <w:lang w:val="es-ES_tradnl"/>
        </w:rPr>
        <w:t xml:space="preserve"> y confinamientos. </w:t>
      </w:r>
      <w:r w:rsidR="003E3275" w:rsidRPr="002F21D4">
        <w:rPr>
          <w:rFonts w:eastAsia="Calibri"/>
          <w:color w:val="000000" w:themeColor="text1"/>
          <w:sz w:val="22"/>
          <w:szCs w:val="22"/>
          <w:lang w:val="es-ES_tradnl"/>
        </w:rPr>
        <w:t xml:space="preserve">En particular, la seguridad alimentaria de la población étnica se ha visto vulnerada por las limitaciones para acceder a la caza, la pesca, la recolección de frutos silvestres y actividades agrícola. </w:t>
      </w:r>
    </w:p>
    <w:p w14:paraId="543335DE" w14:textId="77777777" w:rsidR="00B3338F" w:rsidRPr="002F21D4" w:rsidRDefault="00B3338F" w:rsidP="00B06FB8">
      <w:pPr>
        <w:snapToGrid w:val="0"/>
        <w:ind w:firstLine="357"/>
        <w:jc w:val="both"/>
        <w:rPr>
          <w:rFonts w:eastAsia="Calibri"/>
          <w:color w:val="000000" w:themeColor="text1"/>
          <w:sz w:val="22"/>
          <w:szCs w:val="22"/>
          <w:lang w:val="es-ES_tradnl"/>
        </w:rPr>
      </w:pPr>
    </w:p>
    <w:p w14:paraId="5580A507" w14:textId="4BA66110" w:rsidR="002355C0" w:rsidRPr="002F21D4" w:rsidRDefault="002355C0" w:rsidP="00B06FB8">
      <w:pPr>
        <w:snapToGrid w:val="0"/>
        <w:ind w:firstLine="357"/>
        <w:jc w:val="both"/>
        <w:rPr>
          <w:color w:val="000000" w:themeColor="text1"/>
          <w:sz w:val="22"/>
          <w:szCs w:val="22"/>
        </w:rPr>
      </w:pPr>
      <w:r w:rsidRPr="002F21D4">
        <w:rPr>
          <w:color w:val="000000" w:themeColor="text1"/>
          <w:sz w:val="22"/>
          <w:szCs w:val="22"/>
        </w:rPr>
        <w:t>Particularmente, persisten vulneraciones contra la vida, la integridad y el patrimoni</w:t>
      </w:r>
      <w:r w:rsidR="00CE4EDC" w:rsidRPr="002F21D4">
        <w:rPr>
          <w:color w:val="000000" w:themeColor="text1"/>
          <w:sz w:val="22"/>
          <w:szCs w:val="22"/>
        </w:rPr>
        <w:t>o</w:t>
      </w:r>
      <w:r w:rsidRPr="002F21D4">
        <w:rPr>
          <w:color w:val="000000" w:themeColor="text1"/>
          <w:sz w:val="22"/>
          <w:szCs w:val="22"/>
        </w:rPr>
        <w:t>, que no en todos los casos son visibilizadas o denunciad</w:t>
      </w:r>
      <w:r w:rsidR="00AB357D" w:rsidRPr="002F21D4">
        <w:rPr>
          <w:color w:val="000000" w:themeColor="text1"/>
          <w:sz w:val="22"/>
          <w:szCs w:val="22"/>
        </w:rPr>
        <w:t>a</w:t>
      </w:r>
      <w:r w:rsidRPr="002F21D4">
        <w:rPr>
          <w:color w:val="000000" w:themeColor="text1"/>
          <w:sz w:val="22"/>
          <w:szCs w:val="22"/>
        </w:rPr>
        <w:t>s por el constreñimiento que ejercen los GAI hacia la población, así como por la desconfianza que</w:t>
      </w:r>
      <w:r w:rsidR="00C6227A" w:rsidRPr="002F21D4">
        <w:rPr>
          <w:color w:val="000000" w:themeColor="text1"/>
          <w:sz w:val="22"/>
          <w:szCs w:val="22"/>
        </w:rPr>
        <w:t xml:space="preserve"> existe en algunos territorios</w:t>
      </w:r>
      <w:r w:rsidRPr="002F21D4">
        <w:rPr>
          <w:color w:val="000000" w:themeColor="text1"/>
          <w:sz w:val="22"/>
          <w:szCs w:val="22"/>
        </w:rPr>
        <w:t xml:space="preserve"> hacia la institucionalidad. Su ocurrencia impacta el ejercicio de algunos oficios y roles, especialmente en territorios donde </w:t>
      </w:r>
      <w:r w:rsidR="00AB357D" w:rsidRPr="002F21D4">
        <w:rPr>
          <w:color w:val="000000" w:themeColor="text1"/>
          <w:sz w:val="22"/>
          <w:szCs w:val="22"/>
        </w:rPr>
        <w:t xml:space="preserve">hay </w:t>
      </w:r>
      <w:r w:rsidRPr="002F21D4">
        <w:rPr>
          <w:color w:val="000000" w:themeColor="text1"/>
          <w:sz w:val="22"/>
          <w:szCs w:val="22"/>
        </w:rPr>
        <w:t xml:space="preserve">confrontación armada entre GAI y contextos de ilegalidad. </w:t>
      </w:r>
    </w:p>
    <w:p w14:paraId="48E66D5E" w14:textId="77777777" w:rsidR="00B3338F" w:rsidRPr="002F21D4" w:rsidRDefault="00B3338F" w:rsidP="00B06FB8">
      <w:pPr>
        <w:snapToGrid w:val="0"/>
        <w:ind w:firstLine="357"/>
        <w:jc w:val="both"/>
        <w:rPr>
          <w:color w:val="000000" w:themeColor="text1"/>
          <w:sz w:val="22"/>
          <w:szCs w:val="22"/>
        </w:rPr>
      </w:pPr>
    </w:p>
    <w:p w14:paraId="7BA512AE" w14:textId="7F4C0906" w:rsidR="007E68A6" w:rsidRPr="002F21D4" w:rsidRDefault="00885858" w:rsidP="00B06FB8">
      <w:pPr>
        <w:snapToGrid w:val="0"/>
        <w:ind w:firstLine="357"/>
        <w:jc w:val="both"/>
        <w:rPr>
          <w:color w:val="000000" w:themeColor="text1"/>
          <w:sz w:val="22"/>
          <w:szCs w:val="22"/>
        </w:rPr>
      </w:pPr>
      <w:r w:rsidRPr="002F21D4">
        <w:rPr>
          <w:color w:val="000000" w:themeColor="text1"/>
          <w:sz w:val="22"/>
          <w:szCs w:val="22"/>
        </w:rPr>
        <w:t>El</w:t>
      </w:r>
      <w:r w:rsidR="007E68A6" w:rsidRPr="002F21D4">
        <w:rPr>
          <w:color w:val="000000" w:themeColor="text1"/>
          <w:sz w:val="22"/>
          <w:szCs w:val="22"/>
        </w:rPr>
        <w:t xml:space="preserve"> personal docente y directivo de centros educativos en áreas rurales y urbanas ha sido </w:t>
      </w:r>
      <w:r w:rsidR="00136F6E" w:rsidRPr="002F21D4">
        <w:rPr>
          <w:color w:val="000000" w:themeColor="text1"/>
          <w:sz w:val="22"/>
          <w:szCs w:val="22"/>
        </w:rPr>
        <w:t xml:space="preserve">objeto de </w:t>
      </w:r>
      <w:r w:rsidR="007E68A6" w:rsidRPr="002F21D4">
        <w:rPr>
          <w:color w:val="000000" w:themeColor="text1"/>
          <w:sz w:val="22"/>
          <w:szCs w:val="22"/>
        </w:rPr>
        <w:t>amenazas, extorsiones</w:t>
      </w:r>
      <w:r w:rsidR="005916A6" w:rsidRPr="002F21D4">
        <w:rPr>
          <w:rStyle w:val="FootnoteReference"/>
          <w:color w:val="000000" w:themeColor="text1"/>
          <w:sz w:val="22"/>
          <w:szCs w:val="22"/>
        </w:rPr>
        <w:footnoteReference w:id="21"/>
      </w:r>
      <w:r w:rsidR="007E68A6" w:rsidRPr="002F21D4">
        <w:rPr>
          <w:color w:val="000000" w:themeColor="text1"/>
          <w:sz w:val="22"/>
          <w:szCs w:val="22"/>
        </w:rPr>
        <w:t xml:space="preserve">, hurtos, coacción para no ocupar </w:t>
      </w:r>
      <w:r w:rsidR="007B78F1" w:rsidRPr="002F21D4">
        <w:rPr>
          <w:color w:val="000000" w:themeColor="text1"/>
          <w:sz w:val="22"/>
          <w:szCs w:val="22"/>
        </w:rPr>
        <w:t>sus cargos</w:t>
      </w:r>
      <w:r w:rsidR="007E68A6" w:rsidRPr="002F21D4">
        <w:rPr>
          <w:color w:val="000000" w:themeColor="text1"/>
          <w:sz w:val="22"/>
          <w:szCs w:val="22"/>
        </w:rPr>
        <w:t xml:space="preserve"> o para evitar la </w:t>
      </w:r>
      <w:proofErr w:type="spellStart"/>
      <w:r w:rsidR="007E68A6" w:rsidRPr="002F21D4">
        <w:rPr>
          <w:color w:val="000000" w:themeColor="text1"/>
          <w:sz w:val="22"/>
          <w:szCs w:val="22"/>
        </w:rPr>
        <w:t>visibilización</w:t>
      </w:r>
      <w:proofErr w:type="spellEnd"/>
      <w:r w:rsidR="007E68A6" w:rsidRPr="002F21D4">
        <w:rPr>
          <w:color w:val="000000" w:themeColor="text1"/>
          <w:sz w:val="22"/>
          <w:szCs w:val="22"/>
        </w:rPr>
        <w:t xml:space="preserve"> de </w:t>
      </w:r>
      <w:r w:rsidR="005916A6" w:rsidRPr="002F21D4">
        <w:rPr>
          <w:color w:val="000000" w:themeColor="text1"/>
          <w:sz w:val="22"/>
          <w:szCs w:val="22"/>
        </w:rPr>
        <w:t>acciones cometidas por los GAI</w:t>
      </w:r>
      <w:r w:rsidR="007E68A6" w:rsidRPr="002F21D4">
        <w:rPr>
          <w:color w:val="000000" w:themeColor="text1"/>
          <w:sz w:val="22"/>
          <w:szCs w:val="22"/>
        </w:rPr>
        <w:t xml:space="preserve"> en contra de las comunidades, entre otras. A modo de ejemplo, en el municipio de Ituango</w:t>
      </w:r>
      <w:r w:rsidR="005916A6" w:rsidRPr="002F21D4">
        <w:rPr>
          <w:color w:val="000000" w:themeColor="text1"/>
          <w:sz w:val="22"/>
          <w:szCs w:val="22"/>
        </w:rPr>
        <w:t xml:space="preserve">, </w:t>
      </w:r>
      <w:r w:rsidR="007E68A6" w:rsidRPr="002F21D4">
        <w:rPr>
          <w:color w:val="000000" w:themeColor="text1"/>
          <w:sz w:val="22"/>
          <w:szCs w:val="22"/>
        </w:rPr>
        <w:t xml:space="preserve">Antioquia, las vulneraciones contra </w:t>
      </w:r>
      <w:proofErr w:type="gramStart"/>
      <w:r w:rsidR="00474ED5" w:rsidRPr="002F21D4">
        <w:rPr>
          <w:color w:val="000000" w:themeColor="text1"/>
          <w:sz w:val="22"/>
          <w:szCs w:val="22"/>
        </w:rPr>
        <w:t>educadores y educadoras</w:t>
      </w:r>
      <w:proofErr w:type="gramEnd"/>
      <w:r w:rsidR="007E68A6" w:rsidRPr="002F21D4">
        <w:rPr>
          <w:color w:val="000000" w:themeColor="text1"/>
          <w:sz w:val="22"/>
          <w:szCs w:val="22"/>
        </w:rPr>
        <w:t xml:space="preserve"> corresponden a medidas de control social de </w:t>
      </w:r>
      <w:r w:rsidR="005916A6" w:rsidRPr="002F21D4">
        <w:rPr>
          <w:color w:val="000000" w:themeColor="text1"/>
          <w:sz w:val="22"/>
          <w:szCs w:val="22"/>
        </w:rPr>
        <w:t>grupos disidentes</w:t>
      </w:r>
      <w:r w:rsidR="007E68A6" w:rsidRPr="002F21D4">
        <w:rPr>
          <w:color w:val="000000" w:themeColor="text1"/>
          <w:sz w:val="22"/>
          <w:szCs w:val="22"/>
        </w:rPr>
        <w:t xml:space="preserve"> </w:t>
      </w:r>
      <w:r w:rsidR="00AB357D" w:rsidRPr="002F21D4">
        <w:rPr>
          <w:color w:val="000000" w:themeColor="text1"/>
          <w:sz w:val="22"/>
          <w:szCs w:val="22"/>
        </w:rPr>
        <w:t xml:space="preserve">o residuales </w:t>
      </w:r>
      <w:r w:rsidR="005916A6" w:rsidRPr="002F21D4">
        <w:rPr>
          <w:color w:val="000000" w:themeColor="text1"/>
          <w:sz w:val="22"/>
          <w:szCs w:val="22"/>
        </w:rPr>
        <w:t>de las FARC-EP</w:t>
      </w:r>
      <w:r w:rsidR="007E68A6" w:rsidRPr="002F21D4">
        <w:rPr>
          <w:color w:val="000000" w:themeColor="text1"/>
          <w:sz w:val="22"/>
          <w:szCs w:val="22"/>
        </w:rPr>
        <w:t xml:space="preserve"> </w:t>
      </w:r>
      <w:r w:rsidR="00AB357D" w:rsidRPr="002F21D4">
        <w:rPr>
          <w:color w:val="000000" w:themeColor="text1"/>
          <w:sz w:val="22"/>
          <w:szCs w:val="22"/>
        </w:rPr>
        <w:t>en las que les</w:t>
      </w:r>
      <w:r w:rsidR="003B7820" w:rsidRPr="002F21D4">
        <w:rPr>
          <w:color w:val="000000" w:themeColor="text1"/>
          <w:sz w:val="22"/>
          <w:szCs w:val="22"/>
        </w:rPr>
        <w:t xml:space="preserve"> impiden</w:t>
      </w:r>
      <w:r w:rsidR="00AB357D" w:rsidRPr="002F21D4">
        <w:rPr>
          <w:color w:val="000000" w:themeColor="text1"/>
          <w:sz w:val="22"/>
          <w:szCs w:val="22"/>
        </w:rPr>
        <w:t xml:space="preserve"> ingresar al territorio por ser </w:t>
      </w:r>
      <w:r w:rsidR="007E68A6" w:rsidRPr="002F21D4">
        <w:rPr>
          <w:color w:val="000000" w:themeColor="text1"/>
          <w:sz w:val="22"/>
          <w:szCs w:val="22"/>
        </w:rPr>
        <w:t>personas foráneas</w:t>
      </w:r>
      <w:r w:rsidR="00AB357D" w:rsidRPr="002F21D4">
        <w:rPr>
          <w:color w:val="000000" w:themeColor="text1"/>
          <w:sz w:val="22"/>
          <w:szCs w:val="22"/>
        </w:rPr>
        <w:t xml:space="preserve">. </w:t>
      </w:r>
      <w:r w:rsidR="007E68A6" w:rsidRPr="002F21D4">
        <w:rPr>
          <w:color w:val="000000" w:themeColor="text1"/>
          <w:sz w:val="22"/>
          <w:szCs w:val="22"/>
        </w:rPr>
        <w:t>En esta misma línea,</w:t>
      </w:r>
      <w:r w:rsidR="00AB357D" w:rsidRPr="002F21D4">
        <w:rPr>
          <w:color w:val="000000" w:themeColor="text1"/>
          <w:sz w:val="22"/>
          <w:szCs w:val="22"/>
        </w:rPr>
        <w:t xml:space="preserve"> el personal de la Universidad Tecnológica del Chocó</w:t>
      </w:r>
      <w:r w:rsidR="007E68A6" w:rsidRPr="002F21D4">
        <w:rPr>
          <w:color w:val="000000" w:themeColor="text1"/>
          <w:sz w:val="22"/>
          <w:szCs w:val="22"/>
        </w:rPr>
        <w:t xml:space="preserve"> </w:t>
      </w:r>
      <w:r w:rsidR="00AB357D" w:rsidRPr="002F21D4">
        <w:rPr>
          <w:color w:val="000000" w:themeColor="text1"/>
          <w:sz w:val="22"/>
          <w:szCs w:val="22"/>
        </w:rPr>
        <w:t>ha sido objeto de</w:t>
      </w:r>
      <w:r w:rsidR="007E68A6" w:rsidRPr="002F21D4">
        <w:rPr>
          <w:color w:val="000000" w:themeColor="text1"/>
          <w:sz w:val="22"/>
          <w:szCs w:val="22"/>
        </w:rPr>
        <w:t xml:space="preserve"> amenazas </w:t>
      </w:r>
      <w:r w:rsidR="002511B8" w:rsidRPr="002F21D4">
        <w:rPr>
          <w:color w:val="000000" w:themeColor="text1"/>
          <w:sz w:val="22"/>
          <w:szCs w:val="22"/>
        </w:rPr>
        <w:t>circuladas a través de panfletos</w:t>
      </w:r>
      <w:r w:rsidR="00C6227A" w:rsidRPr="002F21D4">
        <w:rPr>
          <w:color w:val="000000" w:themeColor="text1"/>
          <w:sz w:val="22"/>
          <w:szCs w:val="22"/>
        </w:rPr>
        <w:t xml:space="preserve"> </w:t>
      </w:r>
      <w:r w:rsidR="007E68A6" w:rsidRPr="002F21D4">
        <w:rPr>
          <w:color w:val="000000" w:themeColor="text1"/>
          <w:sz w:val="22"/>
          <w:szCs w:val="22"/>
        </w:rPr>
        <w:t xml:space="preserve">y </w:t>
      </w:r>
      <w:r w:rsidR="00C6227A" w:rsidRPr="002F21D4">
        <w:rPr>
          <w:color w:val="000000" w:themeColor="text1"/>
          <w:sz w:val="22"/>
          <w:szCs w:val="22"/>
        </w:rPr>
        <w:t xml:space="preserve">de </w:t>
      </w:r>
      <w:r w:rsidR="007E68A6" w:rsidRPr="002F21D4">
        <w:rPr>
          <w:color w:val="000000" w:themeColor="text1"/>
          <w:sz w:val="22"/>
          <w:szCs w:val="22"/>
        </w:rPr>
        <w:t>atentados por</w:t>
      </w:r>
      <w:r w:rsidR="00AB357D" w:rsidRPr="002F21D4">
        <w:rPr>
          <w:color w:val="000000" w:themeColor="text1"/>
          <w:sz w:val="22"/>
          <w:szCs w:val="22"/>
        </w:rPr>
        <w:t xml:space="preserve"> parte </w:t>
      </w:r>
      <w:r w:rsidR="002511B8" w:rsidRPr="002F21D4">
        <w:rPr>
          <w:color w:val="000000" w:themeColor="text1"/>
          <w:sz w:val="22"/>
          <w:szCs w:val="22"/>
        </w:rPr>
        <w:t>de grupos armados delincuenciales. Estos panfletos estaban firmados por el grupo “Los Mexicanos”, de quienes se presume que tienen una alianza con el ELN.</w:t>
      </w:r>
    </w:p>
    <w:p w14:paraId="06CA8E0F" w14:textId="4AFE7EB9" w:rsidR="007E68A6" w:rsidRPr="002F21D4" w:rsidRDefault="007E68A6" w:rsidP="00B06FB8">
      <w:pPr>
        <w:snapToGrid w:val="0"/>
        <w:ind w:firstLine="360"/>
        <w:jc w:val="both"/>
        <w:rPr>
          <w:color w:val="000000" w:themeColor="text1"/>
          <w:sz w:val="22"/>
          <w:szCs w:val="22"/>
        </w:rPr>
      </w:pPr>
      <w:r w:rsidRPr="002F21D4">
        <w:rPr>
          <w:color w:val="000000" w:themeColor="text1"/>
          <w:sz w:val="22"/>
          <w:szCs w:val="22"/>
        </w:rPr>
        <w:lastRenderedPageBreak/>
        <w:t xml:space="preserve">De igual manera, las personas </w:t>
      </w:r>
      <w:r w:rsidR="005916A6" w:rsidRPr="002F21D4">
        <w:rPr>
          <w:color w:val="000000" w:themeColor="text1"/>
          <w:sz w:val="22"/>
          <w:szCs w:val="22"/>
        </w:rPr>
        <w:t>que conducen</w:t>
      </w:r>
      <w:r w:rsidRPr="002F21D4">
        <w:rPr>
          <w:color w:val="000000" w:themeColor="text1"/>
          <w:sz w:val="22"/>
          <w:szCs w:val="22"/>
        </w:rPr>
        <w:t xml:space="preserve"> vehículos de servicio público terrestre y fluvial son obligadas a pagar extorsiones, coaccionadas para cumplir con restricciones a la movilidad y constreñidas para trasladar a </w:t>
      </w:r>
      <w:r w:rsidR="008B7030" w:rsidRPr="002F21D4">
        <w:rPr>
          <w:color w:val="000000" w:themeColor="text1"/>
          <w:sz w:val="22"/>
          <w:szCs w:val="22"/>
        </w:rPr>
        <w:t xml:space="preserve">integrantes </w:t>
      </w:r>
      <w:r w:rsidRPr="002F21D4">
        <w:rPr>
          <w:color w:val="000000" w:themeColor="text1"/>
          <w:sz w:val="22"/>
          <w:szCs w:val="22"/>
        </w:rPr>
        <w:t xml:space="preserve">de los GAI o para transportar armas e insumos para </w:t>
      </w:r>
      <w:r w:rsidR="00797B41" w:rsidRPr="002F21D4">
        <w:rPr>
          <w:color w:val="000000" w:themeColor="text1"/>
          <w:sz w:val="22"/>
          <w:szCs w:val="22"/>
        </w:rPr>
        <w:t>las</w:t>
      </w:r>
      <w:r w:rsidRPr="002F21D4">
        <w:rPr>
          <w:color w:val="000000" w:themeColor="text1"/>
          <w:sz w:val="22"/>
          <w:szCs w:val="22"/>
        </w:rPr>
        <w:t xml:space="preserve"> economías ilícitas. Ante el incumplimiento de estas medidas, los vehículos son hurtados, incinerados o utilizados como herramientas para atentar contra la infraestructura pública</w:t>
      </w:r>
      <w:r w:rsidR="00AB357D" w:rsidRPr="002F21D4">
        <w:rPr>
          <w:color w:val="000000" w:themeColor="text1"/>
          <w:sz w:val="22"/>
          <w:szCs w:val="22"/>
        </w:rPr>
        <w:t>,</w:t>
      </w:r>
      <w:r w:rsidRPr="002F21D4">
        <w:rPr>
          <w:color w:val="000000" w:themeColor="text1"/>
          <w:sz w:val="22"/>
          <w:szCs w:val="22"/>
        </w:rPr>
        <w:t xml:space="preserve"> </w:t>
      </w:r>
      <w:r w:rsidR="00F34735" w:rsidRPr="002F21D4">
        <w:rPr>
          <w:color w:val="000000" w:themeColor="text1"/>
          <w:sz w:val="22"/>
          <w:szCs w:val="22"/>
        </w:rPr>
        <w:t>c</w:t>
      </w:r>
      <w:r w:rsidRPr="002F21D4">
        <w:rPr>
          <w:color w:val="000000" w:themeColor="text1"/>
          <w:sz w:val="22"/>
          <w:szCs w:val="22"/>
        </w:rPr>
        <w:t>omo ha ocurrido en Antioquia</w:t>
      </w:r>
      <w:r w:rsidRPr="002F21D4">
        <w:rPr>
          <w:rStyle w:val="FootnoteReference"/>
          <w:color w:val="000000" w:themeColor="text1"/>
          <w:sz w:val="22"/>
          <w:szCs w:val="22"/>
        </w:rPr>
        <w:footnoteReference w:id="22"/>
      </w:r>
      <w:r w:rsidRPr="002F21D4">
        <w:rPr>
          <w:color w:val="000000" w:themeColor="text1"/>
          <w:sz w:val="22"/>
          <w:szCs w:val="22"/>
        </w:rPr>
        <w:t>, Arauca, Cauca, Norte de Santander y Valle del Cauca</w:t>
      </w:r>
      <w:r w:rsidR="00AB357D" w:rsidRPr="002F21D4">
        <w:rPr>
          <w:color w:val="000000" w:themeColor="text1"/>
          <w:sz w:val="22"/>
          <w:szCs w:val="22"/>
        </w:rPr>
        <w:t>,</w:t>
      </w:r>
      <w:r w:rsidRPr="002F21D4">
        <w:rPr>
          <w:color w:val="000000" w:themeColor="text1"/>
          <w:sz w:val="22"/>
          <w:szCs w:val="22"/>
        </w:rPr>
        <w:t xml:space="preserve"> principalmente. </w:t>
      </w:r>
    </w:p>
    <w:p w14:paraId="2050554D" w14:textId="77777777" w:rsidR="00B3338F" w:rsidRPr="002F21D4" w:rsidRDefault="00B3338F" w:rsidP="00B06FB8">
      <w:pPr>
        <w:snapToGrid w:val="0"/>
        <w:ind w:firstLine="360"/>
        <w:jc w:val="both"/>
        <w:rPr>
          <w:color w:val="000000" w:themeColor="text1"/>
          <w:sz w:val="22"/>
          <w:szCs w:val="22"/>
        </w:rPr>
      </w:pPr>
    </w:p>
    <w:p w14:paraId="1D11BF09" w14:textId="44E5397F" w:rsidR="007E68A6" w:rsidRPr="002F21D4" w:rsidRDefault="007E68A6" w:rsidP="00B06FB8">
      <w:pPr>
        <w:pStyle w:val="Default"/>
        <w:snapToGrid w:val="0"/>
        <w:ind w:firstLine="357"/>
        <w:jc w:val="both"/>
        <w:rPr>
          <w:color w:val="000000" w:themeColor="text1"/>
          <w:sz w:val="22"/>
          <w:szCs w:val="22"/>
        </w:rPr>
      </w:pPr>
      <w:r w:rsidRPr="002F21D4">
        <w:rPr>
          <w:color w:val="000000" w:themeColor="text1"/>
          <w:sz w:val="22"/>
          <w:szCs w:val="22"/>
        </w:rPr>
        <w:t>El personal médico y sanitario</w:t>
      </w:r>
      <w:r w:rsidR="00C6227A" w:rsidRPr="002F21D4">
        <w:rPr>
          <w:color w:val="000000" w:themeColor="text1"/>
          <w:sz w:val="22"/>
          <w:szCs w:val="22"/>
        </w:rPr>
        <w:t>,</w:t>
      </w:r>
      <w:r w:rsidRPr="002F21D4">
        <w:rPr>
          <w:color w:val="000000" w:themeColor="text1"/>
          <w:sz w:val="22"/>
          <w:szCs w:val="22"/>
        </w:rPr>
        <w:t xml:space="preserve"> en áreas rurales</w:t>
      </w:r>
      <w:r w:rsidR="00C6227A" w:rsidRPr="002F21D4">
        <w:rPr>
          <w:color w:val="000000" w:themeColor="text1"/>
          <w:sz w:val="22"/>
          <w:szCs w:val="22"/>
        </w:rPr>
        <w:t>,</w:t>
      </w:r>
      <w:r w:rsidRPr="002F21D4">
        <w:rPr>
          <w:color w:val="000000" w:themeColor="text1"/>
          <w:sz w:val="22"/>
          <w:szCs w:val="22"/>
        </w:rPr>
        <w:t xml:space="preserve"> es obligado a atender</w:t>
      </w:r>
      <w:r w:rsidR="00D06705" w:rsidRPr="002F21D4">
        <w:rPr>
          <w:color w:val="000000" w:themeColor="text1"/>
          <w:sz w:val="22"/>
          <w:szCs w:val="22"/>
        </w:rPr>
        <w:t xml:space="preserve"> fuera de los centros de salud</w:t>
      </w:r>
      <w:r w:rsidRPr="002F21D4">
        <w:rPr>
          <w:color w:val="000000" w:themeColor="text1"/>
          <w:sz w:val="22"/>
          <w:szCs w:val="22"/>
        </w:rPr>
        <w:t xml:space="preserve"> a </w:t>
      </w:r>
      <w:r w:rsidR="008B7030" w:rsidRPr="002F21D4">
        <w:rPr>
          <w:color w:val="000000" w:themeColor="text1"/>
          <w:sz w:val="22"/>
          <w:szCs w:val="22"/>
        </w:rPr>
        <w:t xml:space="preserve">integrantes </w:t>
      </w:r>
      <w:r w:rsidRPr="002F21D4">
        <w:rPr>
          <w:color w:val="000000" w:themeColor="text1"/>
          <w:sz w:val="22"/>
          <w:szCs w:val="22"/>
        </w:rPr>
        <w:t>de los GAI que resultan heridos en enfrentamientos armados</w:t>
      </w:r>
      <w:r w:rsidRPr="002F21D4">
        <w:rPr>
          <w:rStyle w:val="FootnoteReference"/>
          <w:color w:val="000000" w:themeColor="text1"/>
          <w:sz w:val="22"/>
          <w:szCs w:val="22"/>
        </w:rPr>
        <w:footnoteReference w:id="23"/>
      </w:r>
      <w:r w:rsidRPr="002F21D4">
        <w:rPr>
          <w:color w:val="000000" w:themeColor="text1"/>
          <w:sz w:val="22"/>
          <w:szCs w:val="22"/>
        </w:rPr>
        <w:t xml:space="preserve"> o que presentan alguna enfermedad. Asimismo, han sido </w:t>
      </w:r>
      <w:r w:rsidR="00846CF8" w:rsidRPr="002F21D4">
        <w:rPr>
          <w:color w:val="000000" w:themeColor="text1"/>
          <w:sz w:val="22"/>
          <w:szCs w:val="22"/>
        </w:rPr>
        <w:t xml:space="preserve">víctimas </w:t>
      </w:r>
      <w:r w:rsidRPr="002F21D4">
        <w:rPr>
          <w:color w:val="000000" w:themeColor="text1"/>
          <w:sz w:val="22"/>
          <w:szCs w:val="22"/>
        </w:rPr>
        <w:t>de hurto durante el desarrollo de misiones médicas</w:t>
      </w:r>
      <w:r w:rsidR="00CA2880" w:rsidRPr="002F21D4">
        <w:rPr>
          <w:color w:val="000000" w:themeColor="text1"/>
          <w:sz w:val="22"/>
          <w:szCs w:val="22"/>
        </w:rPr>
        <w:t>,</w:t>
      </w:r>
      <w:r w:rsidRPr="002F21D4">
        <w:rPr>
          <w:color w:val="000000" w:themeColor="text1"/>
          <w:sz w:val="22"/>
          <w:szCs w:val="22"/>
        </w:rPr>
        <w:t xml:space="preserve"> como ocurrió en el primer trimestre del año en los municipios de Alto Baudó</w:t>
      </w:r>
      <w:r w:rsidR="00CA2880" w:rsidRPr="002F21D4">
        <w:rPr>
          <w:color w:val="000000" w:themeColor="text1"/>
          <w:sz w:val="22"/>
          <w:szCs w:val="22"/>
        </w:rPr>
        <w:t xml:space="preserve"> (</w:t>
      </w:r>
      <w:r w:rsidRPr="002F21D4">
        <w:rPr>
          <w:color w:val="000000" w:themeColor="text1"/>
          <w:sz w:val="22"/>
          <w:szCs w:val="22"/>
        </w:rPr>
        <w:t>Chocó</w:t>
      </w:r>
      <w:r w:rsidR="00CA2880" w:rsidRPr="002F21D4">
        <w:rPr>
          <w:color w:val="000000" w:themeColor="text1"/>
          <w:sz w:val="22"/>
          <w:szCs w:val="22"/>
        </w:rPr>
        <w:t>)</w:t>
      </w:r>
      <w:r w:rsidRPr="002F21D4">
        <w:rPr>
          <w:rStyle w:val="FootnoteReference"/>
          <w:color w:val="000000" w:themeColor="text1"/>
          <w:sz w:val="22"/>
          <w:szCs w:val="22"/>
        </w:rPr>
        <w:footnoteReference w:id="24"/>
      </w:r>
      <w:r w:rsidRPr="002F21D4">
        <w:rPr>
          <w:color w:val="000000" w:themeColor="text1"/>
          <w:sz w:val="22"/>
          <w:szCs w:val="22"/>
        </w:rPr>
        <w:t xml:space="preserve"> y Teorama</w:t>
      </w:r>
      <w:r w:rsidR="00DC4A68" w:rsidRPr="002F21D4">
        <w:rPr>
          <w:color w:val="000000" w:themeColor="text1"/>
          <w:sz w:val="22"/>
          <w:szCs w:val="22"/>
        </w:rPr>
        <w:t xml:space="preserve"> </w:t>
      </w:r>
      <w:r w:rsidR="00CA2880" w:rsidRPr="002F21D4">
        <w:rPr>
          <w:color w:val="000000" w:themeColor="text1"/>
          <w:sz w:val="22"/>
          <w:szCs w:val="22"/>
        </w:rPr>
        <w:t>(</w:t>
      </w:r>
      <w:r w:rsidRPr="002F21D4">
        <w:rPr>
          <w:color w:val="000000" w:themeColor="text1"/>
          <w:sz w:val="22"/>
          <w:szCs w:val="22"/>
        </w:rPr>
        <w:t>Norte de Santander</w:t>
      </w:r>
      <w:r w:rsidR="00CA2880" w:rsidRPr="002F21D4">
        <w:rPr>
          <w:color w:val="000000" w:themeColor="text1"/>
          <w:sz w:val="22"/>
          <w:szCs w:val="22"/>
        </w:rPr>
        <w:t>)</w:t>
      </w:r>
      <w:r w:rsidRPr="002F21D4">
        <w:rPr>
          <w:rStyle w:val="FootnoteReference"/>
          <w:color w:val="000000" w:themeColor="text1"/>
          <w:sz w:val="22"/>
          <w:szCs w:val="22"/>
        </w:rPr>
        <w:footnoteReference w:id="25"/>
      </w:r>
      <w:r w:rsidRPr="002F21D4">
        <w:rPr>
          <w:color w:val="000000" w:themeColor="text1"/>
          <w:sz w:val="22"/>
          <w:szCs w:val="22"/>
        </w:rPr>
        <w:t>.</w:t>
      </w:r>
    </w:p>
    <w:p w14:paraId="28DBA4C4" w14:textId="77777777" w:rsidR="00B3338F" w:rsidRPr="002F21D4" w:rsidRDefault="00B3338F" w:rsidP="00B06FB8">
      <w:pPr>
        <w:pStyle w:val="Default"/>
        <w:snapToGrid w:val="0"/>
        <w:ind w:firstLine="357"/>
        <w:jc w:val="both"/>
        <w:rPr>
          <w:color w:val="000000" w:themeColor="text1"/>
          <w:sz w:val="22"/>
          <w:szCs w:val="22"/>
        </w:rPr>
      </w:pPr>
    </w:p>
    <w:p w14:paraId="4321F47F" w14:textId="0D4CAEB3" w:rsidR="00D40F92" w:rsidRPr="002F21D4" w:rsidRDefault="00C8156E" w:rsidP="00B06FB8">
      <w:pPr>
        <w:snapToGrid w:val="0"/>
        <w:ind w:firstLine="360"/>
        <w:jc w:val="both"/>
        <w:rPr>
          <w:rFonts w:eastAsia="Calibri"/>
          <w:color w:val="000000" w:themeColor="text1"/>
          <w:sz w:val="22"/>
          <w:szCs w:val="22"/>
          <w:lang w:val="es-ES_tradnl"/>
        </w:rPr>
      </w:pPr>
      <w:r w:rsidRPr="002F21D4">
        <w:rPr>
          <w:rFonts w:eastAsia="Calibri"/>
          <w:color w:val="000000" w:themeColor="text1"/>
          <w:sz w:val="22"/>
          <w:szCs w:val="22"/>
          <w:lang w:val="es-ES_tradnl"/>
        </w:rPr>
        <w:t>Cabe destacar que e</w:t>
      </w:r>
      <w:r w:rsidR="00D40F92" w:rsidRPr="002F21D4">
        <w:rPr>
          <w:rFonts w:eastAsia="Calibri"/>
          <w:color w:val="000000" w:themeColor="text1"/>
          <w:sz w:val="22"/>
          <w:szCs w:val="22"/>
          <w:lang w:val="es-ES_tradnl"/>
        </w:rPr>
        <w:t>n el marco del Sistema de Prevención y Alerta para la Reacción Rápida</w:t>
      </w:r>
      <w:r w:rsidR="00D40F92" w:rsidRPr="002F21D4">
        <w:rPr>
          <w:rFonts w:eastAsia="Calibri"/>
          <w:color w:val="000000" w:themeColor="text1"/>
          <w:sz w:val="22"/>
          <w:szCs w:val="22"/>
          <w:vertAlign w:val="superscript"/>
          <w:lang w:val="es-ES_tradnl"/>
        </w:rPr>
        <w:footnoteReference w:id="26"/>
      </w:r>
      <w:r w:rsidR="00D40F92" w:rsidRPr="002F21D4">
        <w:rPr>
          <w:rFonts w:eastAsia="Calibri"/>
          <w:color w:val="000000" w:themeColor="text1"/>
          <w:sz w:val="22"/>
          <w:szCs w:val="22"/>
          <w:lang w:val="es-ES_tradnl"/>
        </w:rPr>
        <w:t xml:space="preserve">, el </w:t>
      </w:r>
      <w:bookmarkStart w:id="2" w:name="_Hlk83374961"/>
      <w:r w:rsidR="00D40F92" w:rsidRPr="002F21D4">
        <w:rPr>
          <w:rFonts w:eastAsia="Calibri"/>
          <w:color w:val="000000" w:themeColor="text1"/>
          <w:sz w:val="22"/>
          <w:szCs w:val="22"/>
          <w:lang w:val="es-ES_tradnl"/>
        </w:rPr>
        <w:t xml:space="preserve">Sistema de Alertas Tempranas (SAT) </w:t>
      </w:r>
      <w:bookmarkEnd w:id="2"/>
      <w:r w:rsidR="00D40F92" w:rsidRPr="002F21D4">
        <w:rPr>
          <w:rFonts w:eastAsia="Calibri"/>
          <w:color w:val="000000" w:themeColor="text1"/>
          <w:sz w:val="22"/>
          <w:szCs w:val="22"/>
          <w:lang w:val="es-ES_tradnl"/>
        </w:rPr>
        <w:t>de la Defensoría del Pueblo monitoreó y advirtió las situaciones de riesgo para la población civil, mediante la emisión de 13 Alertas Tempranas. Debido a esto, la Comisión Intersectorial para la Respuesta Rápida a las Alertas Tempranas (CIPRAT) generó espacios de articulación con la institucionalidad local y nacional del más alto nivel, a través del desarrollo de sesiones territoriales de seguimiento</w:t>
      </w:r>
      <w:r w:rsidR="00C6227A" w:rsidRPr="002F21D4">
        <w:rPr>
          <w:rFonts w:eastAsia="Calibri"/>
          <w:color w:val="000000" w:themeColor="text1"/>
          <w:sz w:val="22"/>
          <w:szCs w:val="22"/>
          <w:lang w:val="es-ES_tradnl"/>
        </w:rPr>
        <w:t xml:space="preserve"> para la atención de las recomendaciones orientadas a mitigar las amenazas contra la seguridad de las comunidades</w:t>
      </w:r>
      <w:r w:rsidR="00C6227A" w:rsidRPr="002F21D4">
        <w:rPr>
          <w:rFonts w:eastAsia="Calibri"/>
          <w:color w:val="000000" w:themeColor="text1"/>
          <w:sz w:val="22"/>
          <w:szCs w:val="22"/>
          <w:vertAlign w:val="superscript"/>
          <w:lang w:val="es-ES_tradnl"/>
        </w:rPr>
        <w:t xml:space="preserve"> </w:t>
      </w:r>
      <w:r w:rsidR="00D40F92" w:rsidRPr="002F21D4">
        <w:rPr>
          <w:rFonts w:eastAsia="Calibri"/>
          <w:color w:val="000000" w:themeColor="text1"/>
          <w:sz w:val="22"/>
          <w:szCs w:val="22"/>
          <w:vertAlign w:val="superscript"/>
          <w:lang w:val="es-ES_tradnl"/>
        </w:rPr>
        <w:footnoteReference w:id="27"/>
      </w:r>
      <w:r w:rsidR="00D40F92" w:rsidRPr="002F21D4">
        <w:rPr>
          <w:rFonts w:eastAsia="Calibri"/>
          <w:color w:val="000000" w:themeColor="text1"/>
          <w:sz w:val="22"/>
          <w:szCs w:val="22"/>
          <w:lang w:val="es-ES_tradnl"/>
        </w:rPr>
        <w:t xml:space="preserve">. </w:t>
      </w:r>
    </w:p>
    <w:p w14:paraId="51D6C50B" w14:textId="77777777" w:rsidR="00B3338F" w:rsidRPr="002F21D4" w:rsidRDefault="00B3338F" w:rsidP="00B06FB8">
      <w:pPr>
        <w:snapToGrid w:val="0"/>
        <w:ind w:firstLine="360"/>
        <w:jc w:val="both"/>
        <w:rPr>
          <w:rFonts w:eastAsia="Calibri"/>
          <w:color w:val="000000" w:themeColor="text1"/>
          <w:sz w:val="22"/>
          <w:szCs w:val="22"/>
          <w:lang w:val="es-ES_tradnl"/>
        </w:rPr>
      </w:pPr>
    </w:p>
    <w:p w14:paraId="08AD8694" w14:textId="77777777" w:rsidR="00D40F92" w:rsidRPr="002F21D4" w:rsidRDefault="00D40F92" w:rsidP="00B06FB8">
      <w:pPr>
        <w:snapToGrid w:val="0"/>
        <w:ind w:firstLine="360"/>
        <w:jc w:val="both"/>
        <w:rPr>
          <w:rFonts w:eastAsia="Calibri"/>
          <w:color w:val="000000" w:themeColor="text1"/>
          <w:sz w:val="22"/>
          <w:szCs w:val="22"/>
          <w:lang w:val="es-ES_tradnl"/>
        </w:rPr>
      </w:pPr>
      <w:r w:rsidRPr="002F21D4">
        <w:rPr>
          <w:rFonts w:eastAsia="Calibri"/>
          <w:color w:val="000000" w:themeColor="text1"/>
          <w:sz w:val="22"/>
          <w:szCs w:val="22"/>
          <w:lang w:val="es-ES_tradnl"/>
        </w:rPr>
        <w:t>En esta misma línea, el Ministerio del Interior lideró las “Instancias territoriales de Respuesta Rápida”, concentradas principalmente en los municipios más afectados por la violencia</w:t>
      </w:r>
      <w:r w:rsidRPr="002F21D4">
        <w:rPr>
          <w:rFonts w:eastAsia="Calibri"/>
          <w:color w:val="000000" w:themeColor="text1"/>
          <w:sz w:val="22"/>
          <w:szCs w:val="22"/>
          <w:vertAlign w:val="superscript"/>
          <w:lang w:val="es-ES_tradnl"/>
        </w:rPr>
        <w:footnoteReference w:id="28"/>
      </w:r>
      <w:r w:rsidRPr="002F21D4">
        <w:rPr>
          <w:rFonts w:eastAsia="Calibri"/>
          <w:color w:val="000000" w:themeColor="text1"/>
          <w:sz w:val="22"/>
          <w:szCs w:val="22"/>
          <w:lang w:val="es-ES_tradnl"/>
        </w:rPr>
        <w:t xml:space="preserve">. Este es un esfuerzo relevante para avanzar en la adopción articulada de medidas preventivas y de reacción inmediata contra los factores de riesgo y amenaza identificados por la institucionalidad. </w:t>
      </w:r>
    </w:p>
    <w:p w14:paraId="0E046EDB" w14:textId="58F28063" w:rsidR="00C36BA5" w:rsidRPr="002F21D4" w:rsidRDefault="00C36BA5" w:rsidP="002F21D4">
      <w:pPr>
        <w:pStyle w:val="Default"/>
        <w:numPr>
          <w:ilvl w:val="2"/>
          <w:numId w:val="1"/>
        </w:numPr>
        <w:snapToGrid w:val="0"/>
        <w:ind w:left="1440" w:firstLine="0"/>
        <w:jc w:val="both"/>
        <w:rPr>
          <w:b/>
          <w:bCs/>
          <w:sz w:val="22"/>
          <w:szCs w:val="22"/>
        </w:rPr>
      </w:pPr>
      <w:r w:rsidRPr="002F21D4">
        <w:rPr>
          <w:b/>
          <w:bCs/>
          <w:sz w:val="22"/>
          <w:szCs w:val="22"/>
        </w:rPr>
        <w:lastRenderedPageBreak/>
        <w:t xml:space="preserve">Imposición de justicia de facto por parte de </w:t>
      </w:r>
      <w:r w:rsidR="00843478" w:rsidRPr="002F21D4">
        <w:rPr>
          <w:b/>
          <w:bCs/>
          <w:sz w:val="22"/>
          <w:szCs w:val="22"/>
        </w:rPr>
        <w:t xml:space="preserve">grupos armados ilegales </w:t>
      </w:r>
    </w:p>
    <w:p w14:paraId="6533F2B1" w14:textId="77777777" w:rsidR="00B3338F" w:rsidRPr="002F21D4" w:rsidRDefault="00B3338F" w:rsidP="00B06FB8">
      <w:pPr>
        <w:snapToGrid w:val="0"/>
        <w:ind w:firstLine="357"/>
        <w:jc w:val="both"/>
        <w:rPr>
          <w:sz w:val="22"/>
          <w:szCs w:val="22"/>
        </w:rPr>
      </w:pPr>
    </w:p>
    <w:p w14:paraId="0D55FA53" w14:textId="375223CB" w:rsidR="00C36BA5" w:rsidRPr="002F21D4" w:rsidRDefault="003650AD" w:rsidP="00B06FB8">
      <w:pPr>
        <w:snapToGrid w:val="0"/>
        <w:ind w:firstLine="357"/>
        <w:jc w:val="both"/>
        <w:rPr>
          <w:sz w:val="22"/>
          <w:szCs w:val="22"/>
        </w:rPr>
      </w:pPr>
      <w:r w:rsidRPr="002F21D4">
        <w:rPr>
          <w:sz w:val="22"/>
          <w:szCs w:val="22"/>
        </w:rPr>
        <w:t>E</w:t>
      </w:r>
      <w:r w:rsidR="00C36BA5" w:rsidRPr="002F21D4">
        <w:rPr>
          <w:sz w:val="22"/>
          <w:szCs w:val="22"/>
        </w:rPr>
        <w:t>n Norte de Santander</w:t>
      </w:r>
      <w:r w:rsidRPr="002F21D4">
        <w:rPr>
          <w:sz w:val="22"/>
          <w:szCs w:val="22"/>
        </w:rPr>
        <w:t xml:space="preserve"> y las regiones de </w:t>
      </w:r>
      <w:r w:rsidR="00C36BA5" w:rsidRPr="002F21D4">
        <w:rPr>
          <w:sz w:val="22"/>
          <w:szCs w:val="22"/>
        </w:rPr>
        <w:t xml:space="preserve">Bajo Cauca </w:t>
      </w:r>
      <w:r w:rsidR="00843478" w:rsidRPr="002F21D4">
        <w:rPr>
          <w:sz w:val="22"/>
          <w:szCs w:val="22"/>
        </w:rPr>
        <w:t>antioqueño</w:t>
      </w:r>
      <w:r w:rsidR="00C36BA5" w:rsidRPr="002F21D4">
        <w:rPr>
          <w:sz w:val="22"/>
          <w:szCs w:val="22"/>
        </w:rPr>
        <w:t xml:space="preserve"> y Pacífico </w:t>
      </w:r>
      <w:r w:rsidR="00843478" w:rsidRPr="002F21D4">
        <w:rPr>
          <w:sz w:val="22"/>
          <w:szCs w:val="22"/>
        </w:rPr>
        <w:t>n</w:t>
      </w:r>
      <w:r w:rsidR="00C36BA5" w:rsidRPr="002F21D4">
        <w:rPr>
          <w:sz w:val="22"/>
          <w:szCs w:val="22"/>
        </w:rPr>
        <w:t>ariñ</w:t>
      </w:r>
      <w:r w:rsidR="00843478" w:rsidRPr="002F21D4">
        <w:rPr>
          <w:sz w:val="22"/>
          <w:szCs w:val="22"/>
        </w:rPr>
        <w:t>ense</w:t>
      </w:r>
      <w:r w:rsidR="00144D0D" w:rsidRPr="002F21D4">
        <w:rPr>
          <w:sz w:val="22"/>
          <w:szCs w:val="22"/>
        </w:rPr>
        <w:t>, los GAI ejercen</w:t>
      </w:r>
      <w:r w:rsidR="00C6227A" w:rsidRPr="002F21D4">
        <w:rPr>
          <w:sz w:val="22"/>
          <w:szCs w:val="22"/>
        </w:rPr>
        <w:t>,</w:t>
      </w:r>
      <w:r w:rsidR="00144D0D" w:rsidRPr="002F21D4">
        <w:rPr>
          <w:sz w:val="22"/>
          <w:szCs w:val="22"/>
        </w:rPr>
        <w:t xml:space="preserve"> en mayor medida, acciones de justicia de facto.</w:t>
      </w:r>
      <w:r w:rsidR="00C36BA5" w:rsidRPr="002F21D4">
        <w:rPr>
          <w:sz w:val="22"/>
          <w:szCs w:val="22"/>
        </w:rPr>
        <w:t xml:space="preserve"> Con respecto a</w:t>
      </w:r>
      <w:r w:rsidR="00144D0D" w:rsidRPr="002F21D4">
        <w:rPr>
          <w:sz w:val="22"/>
          <w:szCs w:val="22"/>
        </w:rPr>
        <w:t xml:space="preserve"> </w:t>
      </w:r>
      <w:r w:rsidR="00C36BA5" w:rsidRPr="002F21D4">
        <w:rPr>
          <w:sz w:val="22"/>
          <w:szCs w:val="22"/>
        </w:rPr>
        <w:t>l</w:t>
      </w:r>
      <w:r w:rsidR="00144D0D" w:rsidRPr="002F21D4">
        <w:rPr>
          <w:sz w:val="22"/>
          <w:szCs w:val="22"/>
        </w:rPr>
        <w:t>a</w:t>
      </w:r>
      <w:r w:rsidR="00C36BA5" w:rsidRPr="002F21D4">
        <w:rPr>
          <w:sz w:val="22"/>
          <w:szCs w:val="22"/>
        </w:rPr>
        <w:t xml:space="preserve"> prime</w:t>
      </w:r>
      <w:r w:rsidR="00144D0D" w:rsidRPr="002F21D4">
        <w:rPr>
          <w:sz w:val="22"/>
          <w:szCs w:val="22"/>
        </w:rPr>
        <w:t>ra</w:t>
      </w:r>
      <w:r w:rsidR="00843478" w:rsidRPr="002F21D4">
        <w:rPr>
          <w:sz w:val="22"/>
          <w:szCs w:val="22"/>
        </w:rPr>
        <w:t xml:space="preserve"> zona</w:t>
      </w:r>
      <w:r w:rsidR="00C36BA5" w:rsidRPr="002F21D4">
        <w:rPr>
          <w:sz w:val="22"/>
          <w:szCs w:val="22"/>
        </w:rPr>
        <w:t>, en municipios como Convención, Hacarí, La Playa, Tibú, Sardinata, Villa del Rosario, Puerto Santander, San Calixto, Ocaña y Teorama, l</w:t>
      </w:r>
      <w:r w:rsidR="00144D0D" w:rsidRPr="002F21D4">
        <w:rPr>
          <w:sz w:val="22"/>
          <w:szCs w:val="22"/>
        </w:rPr>
        <w:t xml:space="preserve">os grupos residuales o </w:t>
      </w:r>
      <w:r w:rsidR="00C36BA5" w:rsidRPr="002F21D4">
        <w:rPr>
          <w:sz w:val="22"/>
          <w:szCs w:val="22"/>
        </w:rPr>
        <w:t>disiden</w:t>
      </w:r>
      <w:r w:rsidR="00144D0D" w:rsidRPr="002F21D4">
        <w:rPr>
          <w:sz w:val="22"/>
          <w:szCs w:val="22"/>
        </w:rPr>
        <w:t>tes</w:t>
      </w:r>
      <w:r w:rsidR="00C36BA5" w:rsidRPr="002F21D4">
        <w:rPr>
          <w:sz w:val="22"/>
          <w:szCs w:val="22"/>
        </w:rPr>
        <w:t xml:space="preserve"> de las </w:t>
      </w:r>
      <w:r w:rsidR="00144D0D" w:rsidRPr="002F21D4">
        <w:rPr>
          <w:sz w:val="22"/>
          <w:szCs w:val="22"/>
        </w:rPr>
        <w:t>FARC</w:t>
      </w:r>
      <w:r w:rsidR="00C36BA5" w:rsidRPr="002F21D4">
        <w:rPr>
          <w:sz w:val="22"/>
          <w:szCs w:val="22"/>
        </w:rPr>
        <w:t>-EP y especialmente el ELN</w:t>
      </w:r>
      <w:r w:rsidR="00144D0D" w:rsidRPr="002F21D4">
        <w:rPr>
          <w:sz w:val="22"/>
          <w:szCs w:val="22"/>
        </w:rPr>
        <w:t xml:space="preserve"> han</w:t>
      </w:r>
      <w:r w:rsidR="00C36BA5" w:rsidRPr="002F21D4">
        <w:rPr>
          <w:sz w:val="22"/>
          <w:szCs w:val="22"/>
        </w:rPr>
        <w:t xml:space="preserve"> </w:t>
      </w:r>
      <w:r w:rsidR="00154972" w:rsidRPr="002F21D4">
        <w:rPr>
          <w:sz w:val="22"/>
          <w:szCs w:val="22"/>
        </w:rPr>
        <w:t>fortalecido</w:t>
      </w:r>
      <w:r w:rsidR="00144D0D" w:rsidRPr="002F21D4">
        <w:rPr>
          <w:sz w:val="22"/>
          <w:szCs w:val="22"/>
        </w:rPr>
        <w:t xml:space="preserve"> su </w:t>
      </w:r>
      <w:r w:rsidR="00C36BA5" w:rsidRPr="002F21D4">
        <w:rPr>
          <w:sz w:val="22"/>
          <w:szCs w:val="22"/>
        </w:rPr>
        <w:t xml:space="preserve">control </w:t>
      </w:r>
      <w:r w:rsidR="00154972" w:rsidRPr="002F21D4">
        <w:rPr>
          <w:sz w:val="22"/>
          <w:szCs w:val="22"/>
        </w:rPr>
        <w:t>sobre</w:t>
      </w:r>
      <w:r w:rsidR="00C36BA5" w:rsidRPr="002F21D4">
        <w:rPr>
          <w:sz w:val="22"/>
          <w:szCs w:val="22"/>
        </w:rPr>
        <w:t xml:space="preserve"> la población, con la imposición de normas de conducta y convivencia cada vez</w:t>
      </w:r>
      <w:r w:rsidR="00843478" w:rsidRPr="002F21D4">
        <w:rPr>
          <w:sz w:val="22"/>
          <w:szCs w:val="22"/>
        </w:rPr>
        <w:t xml:space="preserve"> más</w:t>
      </w:r>
      <w:r w:rsidR="00C36BA5" w:rsidRPr="002F21D4">
        <w:rPr>
          <w:sz w:val="22"/>
          <w:szCs w:val="22"/>
        </w:rPr>
        <w:t xml:space="preserve"> restrictivas</w:t>
      </w:r>
      <w:r w:rsidR="00843478" w:rsidRPr="002F21D4">
        <w:rPr>
          <w:sz w:val="22"/>
          <w:szCs w:val="22"/>
        </w:rPr>
        <w:t>,</w:t>
      </w:r>
      <w:r w:rsidR="00C36BA5" w:rsidRPr="002F21D4">
        <w:rPr>
          <w:sz w:val="22"/>
          <w:szCs w:val="22"/>
        </w:rPr>
        <w:t xml:space="preserve"> como la prohibición de movilidad entre y dentro de los municipios, toques de queda nocturnos y la resolución de conflictos en las comunidades</w:t>
      </w:r>
      <w:r w:rsidR="00A72E84" w:rsidRPr="002F21D4">
        <w:rPr>
          <w:rStyle w:val="FootnoteReference"/>
          <w:sz w:val="22"/>
          <w:szCs w:val="22"/>
        </w:rPr>
        <w:footnoteReference w:id="29"/>
      </w:r>
      <w:r w:rsidR="00843478" w:rsidRPr="002F21D4">
        <w:rPr>
          <w:sz w:val="22"/>
          <w:szCs w:val="22"/>
        </w:rPr>
        <w:t xml:space="preserve">. Esto </w:t>
      </w:r>
      <w:r w:rsidR="00C36BA5" w:rsidRPr="002F21D4">
        <w:rPr>
          <w:sz w:val="22"/>
          <w:szCs w:val="22"/>
        </w:rPr>
        <w:t xml:space="preserve">ha llevado al aumento de homicidios como forma máxima de castigo a quienes infringen las normas impuestas. </w:t>
      </w:r>
    </w:p>
    <w:p w14:paraId="32BC0315" w14:textId="77777777" w:rsidR="00B3338F" w:rsidRPr="002F21D4" w:rsidRDefault="00B3338F" w:rsidP="00B06FB8">
      <w:pPr>
        <w:snapToGrid w:val="0"/>
        <w:ind w:firstLine="357"/>
        <w:jc w:val="both"/>
        <w:rPr>
          <w:sz w:val="22"/>
          <w:szCs w:val="22"/>
        </w:rPr>
      </w:pPr>
    </w:p>
    <w:p w14:paraId="3670F9AD" w14:textId="14F2693D" w:rsidR="00C36BA5" w:rsidRPr="002F21D4" w:rsidRDefault="00C36BA5" w:rsidP="00B06FB8">
      <w:pPr>
        <w:snapToGrid w:val="0"/>
        <w:ind w:firstLine="357"/>
        <w:jc w:val="both"/>
        <w:rPr>
          <w:sz w:val="22"/>
          <w:szCs w:val="22"/>
        </w:rPr>
      </w:pPr>
      <w:r w:rsidRPr="002F21D4">
        <w:rPr>
          <w:sz w:val="22"/>
          <w:szCs w:val="22"/>
        </w:rPr>
        <w:t xml:space="preserve">En la región del Bajo Cauca </w:t>
      </w:r>
      <w:r w:rsidR="00843478" w:rsidRPr="002F21D4">
        <w:rPr>
          <w:sz w:val="22"/>
          <w:szCs w:val="22"/>
        </w:rPr>
        <w:t>a</w:t>
      </w:r>
      <w:r w:rsidRPr="002F21D4">
        <w:rPr>
          <w:sz w:val="22"/>
          <w:szCs w:val="22"/>
        </w:rPr>
        <w:t xml:space="preserve">ntioqueño </w:t>
      </w:r>
      <w:r w:rsidR="00D8466B" w:rsidRPr="002F21D4">
        <w:rPr>
          <w:sz w:val="22"/>
          <w:szCs w:val="22"/>
        </w:rPr>
        <w:t>la imposición de normas ilegales de control social</w:t>
      </w:r>
      <w:r w:rsidRPr="002F21D4">
        <w:rPr>
          <w:sz w:val="22"/>
          <w:szCs w:val="22"/>
        </w:rPr>
        <w:t xml:space="preserve"> </w:t>
      </w:r>
      <w:r w:rsidR="00150149" w:rsidRPr="002F21D4">
        <w:rPr>
          <w:sz w:val="22"/>
          <w:szCs w:val="22"/>
        </w:rPr>
        <w:t>se dio</w:t>
      </w:r>
      <w:r w:rsidR="00451067" w:rsidRPr="002F21D4">
        <w:rPr>
          <w:sz w:val="22"/>
          <w:szCs w:val="22"/>
        </w:rPr>
        <w:t xml:space="preserve"> a inicios de año</w:t>
      </w:r>
      <w:r w:rsidRPr="002F21D4">
        <w:rPr>
          <w:sz w:val="22"/>
          <w:szCs w:val="22"/>
        </w:rPr>
        <w:t xml:space="preserve"> en el marco de la confrontación entre las AGC/Clan del Golfo </w:t>
      </w:r>
      <w:r w:rsidR="00843478" w:rsidRPr="002F21D4">
        <w:rPr>
          <w:sz w:val="22"/>
          <w:szCs w:val="22"/>
        </w:rPr>
        <w:t>y</w:t>
      </w:r>
      <w:r w:rsidRPr="002F21D4">
        <w:rPr>
          <w:sz w:val="22"/>
          <w:szCs w:val="22"/>
        </w:rPr>
        <w:t xml:space="preserve"> </w:t>
      </w:r>
      <w:r w:rsidR="00843478" w:rsidRPr="002F21D4">
        <w:rPr>
          <w:sz w:val="22"/>
          <w:szCs w:val="22"/>
        </w:rPr>
        <w:t>L</w:t>
      </w:r>
      <w:r w:rsidRPr="002F21D4">
        <w:rPr>
          <w:sz w:val="22"/>
          <w:szCs w:val="22"/>
        </w:rPr>
        <w:t>os Caparros, lo cual llevó a confinamientos, toques de queda, homicidios selectivos</w:t>
      </w:r>
      <w:r w:rsidR="0086512B" w:rsidRPr="002F21D4">
        <w:rPr>
          <w:sz w:val="22"/>
          <w:szCs w:val="22"/>
        </w:rPr>
        <w:t xml:space="preserve"> (</w:t>
      </w:r>
      <w:r w:rsidR="00790EBB" w:rsidRPr="002F21D4">
        <w:rPr>
          <w:sz w:val="22"/>
          <w:szCs w:val="22"/>
        </w:rPr>
        <w:t>algunos con signos de tortura</w:t>
      </w:r>
      <w:r w:rsidR="0086512B" w:rsidRPr="002F21D4">
        <w:rPr>
          <w:sz w:val="22"/>
          <w:szCs w:val="22"/>
        </w:rPr>
        <w:t>)</w:t>
      </w:r>
      <w:r w:rsidRPr="002F21D4">
        <w:rPr>
          <w:sz w:val="22"/>
          <w:szCs w:val="22"/>
        </w:rPr>
        <w:t xml:space="preserve"> y aumento en las extorsiones. Estas últimas se presentan principalmente hacia ganaderos, agricultores, comerciantes y mineros. </w:t>
      </w:r>
      <w:r w:rsidR="0006303C" w:rsidRPr="002F21D4">
        <w:rPr>
          <w:sz w:val="22"/>
          <w:szCs w:val="22"/>
        </w:rPr>
        <w:t>E</w:t>
      </w:r>
      <w:r w:rsidRPr="002F21D4">
        <w:rPr>
          <w:sz w:val="22"/>
          <w:szCs w:val="22"/>
        </w:rPr>
        <w:t xml:space="preserve">n el </w:t>
      </w:r>
      <w:r w:rsidR="003650AD" w:rsidRPr="002F21D4">
        <w:rPr>
          <w:sz w:val="22"/>
          <w:szCs w:val="22"/>
        </w:rPr>
        <w:t>P</w:t>
      </w:r>
      <w:r w:rsidRPr="002F21D4">
        <w:rPr>
          <w:sz w:val="22"/>
          <w:szCs w:val="22"/>
        </w:rPr>
        <w:t>acífico nariñense</w:t>
      </w:r>
      <w:r w:rsidR="0006303C" w:rsidRPr="002F21D4">
        <w:rPr>
          <w:sz w:val="22"/>
          <w:szCs w:val="22"/>
        </w:rPr>
        <w:t>,</w:t>
      </w:r>
      <w:r w:rsidRPr="002F21D4">
        <w:rPr>
          <w:sz w:val="22"/>
          <w:szCs w:val="22"/>
        </w:rPr>
        <w:t xml:space="preserve"> las dinámicas de</w:t>
      </w:r>
      <w:r w:rsidR="006370FB" w:rsidRPr="002F21D4">
        <w:rPr>
          <w:sz w:val="22"/>
          <w:szCs w:val="22"/>
        </w:rPr>
        <w:t xml:space="preserve"> criminalidad</w:t>
      </w:r>
      <w:r w:rsidR="0006303C" w:rsidRPr="002F21D4">
        <w:rPr>
          <w:sz w:val="22"/>
          <w:szCs w:val="22"/>
        </w:rPr>
        <w:t xml:space="preserve"> y</w:t>
      </w:r>
      <w:r w:rsidRPr="002F21D4">
        <w:rPr>
          <w:sz w:val="22"/>
          <w:szCs w:val="22"/>
        </w:rPr>
        <w:t xml:space="preserve"> la diversidad de </w:t>
      </w:r>
      <w:r w:rsidR="00843478" w:rsidRPr="002F21D4">
        <w:rPr>
          <w:sz w:val="22"/>
          <w:szCs w:val="22"/>
        </w:rPr>
        <w:t>GAI</w:t>
      </w:r>
      <w:r w:rsidRPr="002F21D4">
        <w:rPr>
          <w:sz w:val="22"/>
          <w:szCs w:val="22"/>
        </w:rPr>
        <w:t xml:space="preserve"> presentes desencadenaron confinamientos, restricciones a la movilidad y extorsiones, con una especial incidencia en los municipios de Roberto Payán, Santa Bárbara, Olaya Herrera y </w:t>
      </w:r>
      <w:proofErr w:type="spellStart"/>
      <w:r w:rsidRPr="002F21D4">
        <w:rPr>
          <w:sz w:val="22"/>
          <w:szCs w:val="22"/>
        </w:rPr>
        <w:t>Magü</w:t>
      </w:r>
      <w:r w:rsidR="0006303C" w:rsidRPr="002F21D4">
        <w:rPr>
          <w:sz w:val="22"/>
          <w:szCs w:val="22"/>
        </w:rPr>
        <w:t>í</w:t>
      </w:r>
      <w:proofErr w:type="spellEnd"/>
      <w:r w:rsidRPr="002F21D4">
        <w:rPr>
          <w:sz w:val="22"/>
          <w:szCs w:val="22"/>
        </w:rPr>
        <w:t xml:space="preserve"> Payán</w:t>
      </w:r>
      <w:r w:rsidR="00012B60" w:rsidRPr="002F21D4">
        <w:rPr>
          <w:sz w:val="22"/>
          <w:szCs w:val="22"/>
        </w:rPr>
        <w:t>.</w:t>
      </w:r>
    </w:p>
    <w:p w14:paraId="2D36D274" w14:textId="77777777" w:rsidR="00B3338F" w:rsidRPr="002F21D4" w:rsidRDefault="00B3338F" w:rsidP="00B06FB8">
      <w:pPr>
        <w:snapToGrid w:val="0"/>
        <w:ind w:firstLine="357"/>
        <w:jc w:val="both"/>
        <w:rPr>
          <w:sz w:val="22"/>
          <w:szCs w:val="22"/>
        </w:rPr>
      </w:pPr>
    </w:p>
    <w:p w14:paraId="3C8B823B" w14:textId="2B34744C" w:rsidR="00A064AB" w:rsidRPr="002F21D4" w:rsidRDefault="00A064AB" w:rsidP="00B06FB8">
      <w:pPr>
        <w:snapToGrid w:val="0"/>
        <w:ind w:firstLine="357"/>
        <w:jc w:val="both"/>
        <w:rPr>
          <w:sz w:val="22"/>
          <w:szCs w:val="22"/>
        </w:rPr>
      </w:pPr>
      <w:r w:rsidRPr="002F21D4">
        <w:rPr>
          <w:sz w:val="22"/>
          <w:szCs w:val="22"/>
        </w:rPr>
        <w:t xml:space="preserve">Finalmente, en Meta y Putumayo durante las jornadas de manifestaciones </w:t>
      </w:r>
      <w:r w:rsidR="00722B7B" w:rsidRPr="002F21D4">
        <w:rPr>
          <w:sz w:val="22"/>
          <w:szCs w:val="22"/>
        </w:rPr>
        <w:t>en el marco del Paro Nacional</w:t>
      </w:r>
      <w:r w:rsidRPr="002F21D4">
        <w:rPr>
          <w:sz w:val="22"/>
          <w:szCs w:val="22"/>
        </w:rPr>
        <w:t>, algunos grupos armados disidentes</w:t>
      </w:r>
      <w:r w:rsidR="00722B7B" w:rsidRPr="002F21D4">
        <w:rPr>
          <w:sz w:val="22"/>
          <w:szCs w:val="22"/>
        </w:rPr>
        <w:t xml:space="preserve"> o residuales de las FARC-EP</w:t>
      </w:r>
      <w:r w:rsidRPr="002F21D4">
        <w:rPr>
          <w:sz w:val="22"/>
          <w:szCs w:val="22"/>
        </w:rPr>
        <w:t xml:space="preserve"> trataron de permear y deslegitimar las protestas sociales</w:t>
      </w:r>
      <w:r w:rsidR="00722B7B" w:rsidRPr="002F21D4">
        <w:rPr>
          <w:sz w:val="22"/>
          <w:szCs w:val="22"/>
        </w:rPr>
        <w:t>,</w:t>
      </w:r>
      <w:r w:rsidRPr="002F21D4">
        <w:rPr>
          <w:sz w:val="22"/>
          <w:szCs w:val="22"/>
        </w:rPr>
        <w:t xml:space="preserve"> presionando a las comunidades y miembros de </w:t>
      </w:r>
      <w:r w:rsidR="00722B7B" w:rsidRPr="002F21D4">
        <w:rPr>
          <w:sz w:val="22"/>
          <w:szCs w:val="22"/>
        </w:rPr>
        <w:t>Juntas de Acción Comunal</w:t>
      </w:r>
      <w:r w:rsidRPr="002F21D4">
        <w:rPr>
          <w:sz w:val="22"/>
          <w:szCs w:val="22"/>
        </w:rPr>
        <w:t xml:space="preserve"> a participar en dichos escenarios, amenazando </w:t>
      </w:r>
      <w:r w:rsidR="00BA0A07" w:rsidRPr="002F21D4">
        <w:rPr>
          <w:sz w:val="22"/>
          <w:szCs w:val="22"/>
        </w:rPr>
        <w:t xml:space="preserve">con el pago de </w:t>
      </w:r>
      <w:r w:rsidR="005D487E" w:rsidRPr="002F21D4">
        <w:rPr>
          <w:sz w:val="22"/>
          <w:szCs w:val="22"/>
        </w:rPr>
        <w:t>dinero</w:t>
      </w:r>
      <w:r w:rsidR="00BA0A07" w:rsidRPr="002F21D4">
        <w:rPr>
          <w:sz w:val="22"/>
          <w:szCs w:val="22"/>
        </w:rPr>
        <w:t xml:space="preserve"> </w:t>
      </w:r>
      <w:r w:rsidRPr="002F21D4">
        <w:rPr>
          <w:sz w:val="22"/>
          <w:szCs w:val="22"/>
        </w:rPr>
        <w:t>a quienes no acataran la orden. De esta manera, muchas de las comunidades decidieron reunirse y cancelar el cobro exigido, con el fin de no participar bajo presión armada en l</w:t>
      </w:r>
      <w:r w:rsidR="005D487E" w:rsidRPr="002F21D4">
        <w:rPr>
          <w:sz w:val="22"/>
          <w:szCs w:val="22"/>
        </w:rPr>
        <w:t>as</w:t>
      </w:r>
      <w:r w:rsidRPr="002F21D4">
        <w:rPr>
          <w:sz w:val="22"/>
          <w:szCs w:val="22"/>
        </w:rPr>
        <w:t xml:space="preserve"> </w:t>
      </w:r>
      <w:r w:rsidR="005D487E" w:rsidRPr="002F21D4">
        <w:rPr>
          <w:sz w:val="22"/>
          <w:szCs w:val="22"/>
        </w:rPr>
        <w:t>movilizaciones</w:t>
      </w:r>
      <w:r w:rsidRPr="002F21D4">
        <w:rPr>
          <w:sz w:val="22"/>
          <w:szCs w:val="22"/>
        </w:rPr>
        <w:t xml:space="preserve"> social</w:t>
      </w:r>
      <w:r w:rsidR="005D487E" w:rsidRPr="002F21D4">
        <w:rPr>
          <w:sz w:val="22"/>
          <w:szCs w:val="22"/>
        </w:rPr>
        <w:t>es</w:t>
      </w:r>
      <w:r w:rsidRPr="002F21D4">
        <w:rPr>
          <w:sz w:val="22"/>
          <w:szCs w:val="22"/>
        </w:rPr>
        <w:t xml:space="preserve">. </w:t>
      </w:r>
    </w:p>
    <w:p w14:paraId="165E5E61" w14:textId="77777777" w:rsidR="00B3338F" w:rsidRPr="002F21D4" w:rsidRDefault="00B3338F" w:rsidP="00B06FB8">
      <w:pPr>
        <w:snapToGrid w:val="0"/>
        <w:ind w:firstLine="357"/>
        <w:jc w:val="both"/>
        <w:rPr>
          <w:sz w:val="22"/>
          <w:szCs w:val="22"/>
        </w:rPr>
      </w:pPr>
    </w:p>
    <w:p w14:paraId="09997897" w14:textId="4305F591" w:rsidR="008F26B9" w:rsidRPr="002F21D4" w:rsidRDefault="008F26B9" w:rsidP="002F21D4">
      <w:pPr>
        <w:pStyle w:val="Default"/>
        <w:numPr>
          <w:ilvl w:val="2"/>
          <w:numId w:val="1"/>
        </w:numPr>
        <w:snapToGrid w:val="0"/>
        <w:ind w:left="2160"/>
        <w:jc w:val="both"/>
        <w:rPr>
          <w:b/>
          <w:bCs/>
          <w:sz w:val="22"/>
          <w:szCs w:val="22"/>
        </w:rPr>
      </w:pPr>
      <w:r w:rsidRPr="002F21D4">
        <w:rPr>
          <w:b/>
          <w:bCs/>
          <w:sz w:val="22"/>
          <w:szCs w:val="22"/>
        </w:rPr>
        <w:t>Vinculación</w:t>
      </w:r>
      <w:r w:rsidRPr="002F21D4">
        <w:rPr>
          <w:b/>
          <w:bCs/>
          <w:color w:val="auto"/>
          <w:sz w:val="22"/>
          <w:szCs w:val="22"/>
        </w:rPr>
        <w:t xml:space="preserve">, reclutamiento forzado, uso, utilización y violencia sexual de </w:t>
      </w:r>
      <w:r w:rsidR="000055B6" w:rsidRPr="002F21D4">
        <w:rPr>
          <w:b/>
          <w:bCs/>
          <w:color w:val="auto"/>
          <w:sz w:val="22"/>
          <w:szCs w:val="22"/>
        </w:rPr>
        <w:t>niños, niñas</w:t>
      </w:r>
      <w:r w:rsidR="00F85943" w:rsidRPr="002F21D4">
        <w:rPr>
          <w:b/>
          <w:bCs/>
          <w:color w:val="auto"/>
          <w:sz w:val="22"/>
          <w:szCs w:val="22"/>
        </w:rPr>
        <w:t xml:space="preserve"> y</w:t>
      </w:r>
      <w:r w:rsidR="000055B6" w:rsidRPr="002F21D4">
        <w:rPr>
          <w:b/>
          <w:bCs/>
          <w:color w:val="auto"/>
          <w:sz w:val="22"/>
          <w:szCs w:val="22"/>
        </w:rPr>
        <w:t xml:space="preserve"> adolescentes (</w:t>
      </w:r>
      <w:r w:rsidRPr="002F21D4">
        <w:rPr>
          <w:b/>
          <w:bCs/>
          <w:color w:val="auto"/>
          <w:sz w:val="22"/>
          <w:szCs w:val="22"/>
        </w:rPr>
        <w:t>NNA</w:t>
      </w:r>
      <w:r w:rsidR="000055B6" w:rsidRPr="002F21D4">
        <w:rPr>
          <w:bCs/>
          <w:color w:val="auto"/>
          <w:sz w:val="22"/>
          <w:szCs w:val="22"/>
        </w:rPr>
        <w:t>)</w:t>
      </w:r>
    </w:p>
    <w:p w14:paraId="5E6701A6" w14:textId="77777777" w:rsidR="00B3338F" w:rsidRPr="002F21D4" w:rsidRDefault="00B3338F" w:rsidP="00B06FB8">
      <w:pPr>
        <w:snapToGrid w:val="0"/>
        <w:ind w:firstLine="357"/>
        <w:jc w:val="both"/>
        <w:rPr>
          <w:rFonts w:eastAsia="Calibri"/>
          <w:sz w:val="22"/>
          <w:szCs w:val="22"/>
        </w:rPr>
      </w:pPr>
    </w:p>
    <w:p w14:paraId="5FB3EB48" w14:textId="30B72289" w:rsidR="008F26B9" w:rsidRPr="002F21D4" w:rsidRDefault="008F26B9" w:rsidP="00B06FB8">
      <w:pPr>
        <w:snapToGrid w:val="0"/>
        <w:ind w:firstLine="357"/>
        <w:jc w:val="both"/>
        <w:rPr>
          <w:rFonts w:eastAsia="Calibri"/>
          <w:sz w:val="22"/>
          <w:szCs w:val="22"/>
        </w:rPr>
      </w:pPr>
      <w:r w:rsidRPr="002F21D4">
        <w:rPr>
          <w:rFonts w:eastAsia="Calibri"/>
          <w:sz w:val="22"/>
          <w:szCs w:val="22"/>
        </w:rPr>
        <w:t>Respecto a las acciones para la protección de la niñez, las 22 entidades que integran la Comisión Intersectorial para la Prevención del Reclutamiento, la Utilización y la Violencia sexual de Niños, Niñas y Adolescentes (CIPRUNNA)</w:t>
      </w:r>
      <w:r w:rsidR="002C395A" w:rsidRPr="002F21D4">
        <w:rPr>
          <w:rStyle w:val="FootnoteReference"/>
          <w:rFonts w:eastAsia="Calibri"/>
          <w:sz w:val="22"/>
          <w:szCs w:val="22"/>
        </w:rPr>
        <w:footnoteReference w:id="30"/>
      </w:r>
      <w:r w:rsidR="002A3A67" w:rsidRPr="002F21D4">
        <w:rPr>
          <w:rFonts w:eastAsia="Calibri"/>
          <w:sz w:val="22"/>
          <w:szCs w:val="22"/>
        </w:rPr>
        <w:t xml:space="preserve">, </w:t>
      </w:r>
      <w:r w:rsidRPr="002F21D4">
        <w:rPr>
          <w:rFonts w:eastAsia="Calibri"/>
          <w:sz w:val="22"/>
          <w:szCs w:val="22"/>
        </w:rPr>
        <w:t xml:space="preserve">lograron </w:t>
      </w:r>
      <w:r w:rsidR="001A4CB5" w:rsidRPr="002F21D4">
        <w:rPr>
          <w:rFonts w:eastAsia="Calibri"/>
          <w:sz w:val="22"/>
          <w:szCs w:val="22"/>
        </w:rPr>
        <w:t>avanzar en la ejecución</w:t>
      </w:r>
      <w:r w:rsidRPr="002F21D4">
        <w:rPr>
          <w:rFonts w:eastAsia="Calibri"/>
          <w:sz w:val="22"/>
          <w:szCs w:val="22"/>
        </w:rPr>
        <w:t xml:space="preserve"> de la estrate</w:t>
      </w:r>
      <w:r w:rsidR="001A4CB5" w:rsidRPr="002F21D4">
        <w:rPr>
          <w:rFonts w:eastAsia="Calibri"/>
          <w:sz w:val="22"/>
          <w:szCs w:val="22"/>
        </w:rPr>
        <w:t>gia “Súmate por Mí</w:t>
      </w:r>
      <w:r w:rsidR="00591958" w:rsidRPr="002F21D4">
        <w:rPr>
          <w:rFonts w:eastAsia="Calibri"/>
          <w:sz w:val="22"/>
          <w:szCs w:val="22"/>
        </w:rPr>
        <w:t>”,</w:t>
      </w:r>
      <w:r w:rsidR="001A4CB5" w:rsidRPr="002F21D4">
        <w:rPr>
          <w:rFonts w:eastAsia="Calibri"/>
          <w:sz w:val="22"/>
          <w:szCs w:val="22"/>
        </w:rPr>
        <w:t xml:space="preserve"> </w:t>
      </w:r>
      <w:r w:rsidRPr="002F21D4">
        <w:rPr>
          <w:rFonts w:eastAsia="Calibri"/>
          <w:sz w:val="22"/>
          <w:szCs w:val="22"/>
        </w:rPr>
        <w:t>a través de actividades virtuales y presenciales en territorio mediante capacitaciones, asistencias técnicas, donaciones para programas de integración social,</w:t>
      </w:r>
      <w:r w:rsidR="00396666" w:rsidRPr="002F21D4">
        <w:rPr>
          <w:rFonts w:eastAsia="Calibri"/>
          <w:sz w:val="22"/>
          <w:szCs w:val="22"/>
        </w:rPr>
        <w:t xml:space="preserve"> acompañamiento psicosocial a las familias,</w:t>
      </w:r>
      <w:r w:rsidRPr="002F21D4">
        <w:rPr>
          <w:rFonts w:eastAsia="Calibri"/>
          <w:sz w:val="22"/>
          <w:szCs w:val="22"/>
        </w:rPr>
        <w:t xml:space="preserve"> </w:t>
      </w:r>
      <w:r w:rsidR="0036291D" w:rsidRPr="002F21D4">
        <w:rPr>
          <w:rFonts w:eastAsia="Calibri"/>
          <w:sz w:val="22"/>
          <w:szCs w:val="22"/>
        </w:rPr>
        <w:t>entre otros</w:t>
      </w:r>
      <w:r w:rsidR="002A3A67" w:rsidRPr="002F21D4">
        <w:rPr>
          <w:rStyle w:val="FootnoteReference"/>
          <w:rFonts w:eastAsia="Calibri"/>
          <w:sz w:val="22"/>
          <w:szCs w:val="22"/>
        </w:rPr>
        <w:footnoteReference w:id="31"/>
      </w:r>
      <w:r w:rsidRPr="002F21D4">
        <w:rPr>
          <w:rFonts w:eastAsia="Calibri"/>
          <w:sz w:val="22"/>
          <w:szCs w:val="22"/>
        </w:rPr>
        <w:t xml:space="preserve">. También se </w:t>
      </w:r>
      <w:r w:rsidR="001A4CB5" w:rsidRPr="002F21D4">
        <w:rPr>
          <w:rFonts w:eastAsia="Calibri"/>
          <w:sz w:val="22"/>
          <w:szCs w:val="22"/>
        </w:rPr>
        <w:t xml:space="preserve">adelantó </w:t>
      </w:r>
      <w:r w:rsidRPr="002F21D4">
        <w:rPr>
          <w:rFonts w:eastAsia="Calibri"/>
          <w:sz w:val="22"/>
          <w:szCs w:val="22"/>
        </w:rPr>
        <w:t xml:space="preserve">la armonización de las rutas de prevención para la población migrante y refugiada, así como la conformación de 91 Equipos de Acción inmediata a nivel municipal, </w:t>
      </w:r>
      <w:r w:rsidRPr="002F21D4">
        <w:rPr>
          <w:rFonts w:eastAsia="Calibri"/>
          <w:sz w:val="22"/>
          <w:szCs w:val="22"/>
        </w:rPr>
        <w:lastRenderedPageBreak/>
        <w:t xml:space="preserve">impactando directamente a 4.393.861 </w:t>
      </w:r>
      <w:r w:rsidR="0036291D" w:rsidRPr="002F21D4">
        <w:rPr>
          <w:rFonts w:eastAsia="Calibri"/>
          <w:sz w:val="22"/>
          <w:szCs w:val="22"/>
        </w:rPr>
        <w:t>NNA</w:t>
      </w:r>
      <w:r w:rsidRPr="002F21D4">
        <w:rPr>
          <w:rFonts w:eastAsia="Calibri"/>
          <w:sz w:val="22"/>
          <w:szCs w:val="22"/>
        </w:rPr>
        <w:t xml:space="preserve"> y jóvenes</w:t>
      </w:r>
      <w:r w:rsidR="0036291D" w:rsidRPr="002F21D4">
        <w:rPr>
          <w:rFonts w:eastAsia="Calibri"/>
          <w:sz w:val="22"/>
          <w:szCs w:val="22"/>
        </w:rPr>
        <w:t xml:space="preserve"> </w:t>
      </w:r>
      <w:r w:rsidRPr="002F21D4">
        <w:rPr>
          <w:rFonts w:eastAsia="Calibri"/>
          <w:sz w:val="22"/>
          <w:szCs w:val="22"/>
        </w:rPr>
        <w:t>y a 2.767 funcionarios públicos</w:t>
      </w:r>
      <w:r w:rsidR="0086512B" w:rsidRPr="002F21D4">
        <w:rPr>
          <w:rFonts w:eastAsia="Calibri"/>
          <w:sz w:val="22"/>
          <w:szCs w:val="22"/>
        </w:rPr>
        <w:t>,</w:t>
      </w:r>
      <w:r w:rsidRPr="002F21D4">
        <w:rPr>
          <w:rFonts w:eastAsia="Calibri"/>
          <w:sz w:val="22"/>
          <w:szCs w:val="22"/>
        </w:rPr>
        <w:t xml:space="preserve"> en 19 departamentos del país</w:t>
      </w:r>
      <w:r w:rsidRPr="002F21D4">
        <w:rPr>
          <w:rFonts w:eastAsia="Calibri"/>
          <w:sz w:val="22"/>
          <w:szCs w:val="22"/>
          <w:vertAlign w:val="superscript"/>
        </w:rPr>
        <w:footnoteReference w:id="32"/>
      </w:r>
      <w:r w:rsidRPr="002F21D4">
        <w:rPr>
          <w:rFonts w:eastAsia="Calibri"/>
          <w:sz w:val="22"/>
          <w:szCs w:val="22"/>
        </w:rPr>
        <w:t xml:space="preserve">. </w:t>
      </w:r>
    </w:p>
    <w:p w14:paraId="7CB4A474" w14:textId="77777777" w:rsidR="00B3338F" w:rsidRPr="002F21D4" w:rsidRDefault="00B3338F" w:rsidP="00B06FB8">
      <w:pPr>
        <w:snapToGrid w:val="0"/>
        <w:ind w:firstLine="357"/>
        <w:jc w:val="both"/>
        <w:rPr>
          <w:rFonts w:eastAsia="Calibri"/>
          <w:sz w:val="22"/>
          <w:szCs w:val="22"/>
        </w:rPr>
      </w:pPr>
    </w:p>
    <w:p w14:paraId="14560C5D" w14:textId="3915E94E" w:rsidR="008F26B9" w:rsidRPr="002F21D4" w:rsidRDefault="001B3E77" w:rsidP="00B06FB8">
      <w:pPr>
        <w:snapToGrid w:val="0"/>
        <w:ind w:firstLine="357"/>
        <w:jc w:val="both"/>
        <w:rPr>
          <w:rFonts w:eastAsia="Calibri"/>
          <w:sz w:val="22"/>
          <w:szCs w:val="22"/>
        </w:rPr>
      </w:pPr>
      <w:r w:rsidRPr="002F21D4">
        <w:rPr>
          <w:rFonts w:eastAsia="Calibri"/>
          <w:sz w:val="22"/>
          <w:szCs w:val="22"/>
        </w:rPr>
        <w:t>En febrero, l</w:t>
      </w:r>
      <w:r w:rsidR="00BD6A6C" w:rsidRPr="002F21D4">
        <w:rPr>
          <w:rFonts w:eastAsia="Calibri"/>
          <w:sz w:val="22"/>
          <w:szCs w:val="22"/>
        </w:rPr>
        <w:t xml:space="preserve">a Defensoría del Pueblo </w:t>
      </w:r>
      <w:r w:rsidRPr="002F21D4">
        <w:rPr>
          <w:rFonts w:eastAsia="Calibri"/>
          <w:sz w:val="22"/>
          <w:szCs w:val="22"/>
        </w:rPr>
        <w:t>lanzó</w:t>
      </w:r>
      <w:r w:rsidR="00BD6A6C" w:rsidRPr="002F21D4">
        <w:rPr>
          <w:rFonts w:eastAsia="Calibri"/>
          <w:sz w:val="22"/>
          <w:szCs w:val="22"/>
        </w:rPr>
        <w:t xml:space="preserve"> la </w:t>
      </w:r>
      <w:r w:rsidR="008F26B9" w:rsidRPr="002F21D4">
        <w:rPr>
          <w:rFonts w:eastAsia="Calibri"/>
          <w:sz w:val="22"/>
          <w:szCs w:val="22"/>
        </w:rPr>
        <w:t xml:space="preserve">estrategia </w:t>
      </w:r>
      <w:r w:rsidR="00BD6A6C" w:rsidRPr="002F21D4">
        <w:rPr>
          <w:rFonts w:eastAsia="Calibri"/>
          <w:sz w:val="22"/>
          <w:szCs w:val="22"/>
        </w:rPr>
        <w:t>denominada</w:t>
      </w:r>
      <w:r w:rsidR="008F26B9" w:rsidRPr="002F21D4">
        <w:rPr>
          <w:rFonts w:eastAsia="Calibri"/>
          <w:sz w:val="22"/>
          <w:szCs w:val="22"/>
        </w:rPr>
        <w:t xml:space="preserve"> “2021, </w:t>
      </w:r>
      <w:r w:rsidR="0036291D" w:rsidRPr="002F21D4">
        <w:rPr>
          <w:rFonts w:eastAsia="Calibri"/>
          <w:sz w:val="22"/>
          <w:szCs w:val="22"/>
        </w:rPr>
        <w:t>a</w:t>
      </w:r>
      <w:r w:rsidR="008F26B9" w:rsidRPr="002F21D4">
        <w:rPr>
          <w:rFonts w:eastAsia="Calibri"/>
          <w:sz w:val="22"/>
          <w:szCs w:val="22"/>
        </w:rPr>
        <w:t xml:space="preserve">ño </w:t>
      </w:r>
      <w:r w:rsidR="0036291D" w:rsidRPr="002F21D4">
        <w:rPr>
          <w:rFonts w:eastAsia="Calibri"/>
          <w:sz w:val="22"/>
          <w:szCs w:val="22"/>
        </w:rPr>
        <w:t>c</w:t>
      </w:r>
      <w:r w:rsidR="008F26B9" w:rsidRPr="002F21D4">
        <w:rPr>
          <w:rFonts w:eastAsia="Calibri"/>
          <w:sz w:val="22"/>
          <w:szCs w:val="22"/>
        </w:rPr>
        <w:t>ontra el Reclutamiento Forzado de Niños, Niñas y Adolescentes”</w:t>
      </w:r>
      <w:r w:rsidR="0036291D" w:rsidRPr="002F21D4">
        <w:rPr>
          <w:rFonts w:eastAsia="Calibri"/>
          <w:sz w:val="22"/>
          <w:szCs w:val="22"/>
        </w:rPr>
        <w:t>,</w:t>
      </w:r>
      <w:r w:rsidR="008F26B9" w:rsidRPr="002F21D4">
        <w:rPr>
          <w:rFonts w:eastAsia="Calibri"/>
          <w:sz w:val="22"/>
          <w:szCs w:val="22"/>
        </w:rPr>
        <w:t xml:space="preserve"> la cual </w:t>
      </w:r>
      <w:r w:rsidRPr="002F21D4">
        <w:rPr>
          <w:rFonts w:eastAsia="Calibri"/>
          <w:sz w:val="22"/>
          <w:szCs w:val="22"/>
        </w:rPr>
        <w:t xml:space="preserve">tiene como propósito </w:t>
      </w:r>
      <w:r w:rsidR="008F26B9" w:rsidRPr="002F21D4">
        <w:rPr>
          <w:rFonts w:eastAsia="Calibri"/>
          <w:sz w:val="22"/>
          <w:szCs w:val="22"/>
        </w:rPr>
        <w:t xml:space="preserve">la atención a menores de edad, sus familiares y la activación del aparato jurisdiccional para la investigación, juzgamiento y sanción </w:t>
      </w:r>
      <w:r w:rsidR="0036291D" w:rsidRPr="002F21D4">
        <w:rPr>
          <w:rFonts w:eastAsia="Calibri"/>
          <w:sz w:val="22"/>
          <w:szCs w:val="22"/>
        </w:rPr>
        <w:t>del</w:t>
      </w:r>
      <w:r w:rsidR="008F26B9" w:rsidRPr="002F21D4">
        <w:rPr>
          <w:rFonts w:eastAsia="Calibri"/>
          <w:sz w:val="22"/>
          <w:szCs w:val="22"/>
        </w:rPr>
        <w:t xml:space="preserve"> reclutamiento forzado. </w:t>
      </w:r>
    </w:p>
    <w:p w14:paraId="18A43639" w14:textId="77777777" w:rsidR="00B3338F" w:rsidRPr="002F21D4" w:rsidRDefault="00B3338F" w:rsidP="00B06FB8">
      <w:pPr>
        <w:snapToGrid w:val="0"/>
        <w:ind w:firstLine="357"/>
        <w:jc w:val="both"/>
        <w:rPr>
          <w:rFonts w:eastAsia="Calibri"/>
          <w:sz w:val="22"/>
          <w:szCs w:val="22"/>
        </w:rPr>
      </w:pPr>
    </w:p>
    <w:p w14:paraId="44251225" w14:textId="6EC0D6DC" w:rsidR="008F26B9" w:rsidRPr="002F21D4" w:rsidRDefault="008F26B9" w:rsidP="00B06FB8">
      <w:pPr>
        <w:snapToGrid w:val="0"/>
        <w:ind w:firstLine="357"/>
        <w:jc w:val="both"/>
        <w:rPr>
          <w:rFonts w:eastAsia="Calibri"/>
          <w:sz w:val="22"/>
          <w:szCs w:val="22"/>
        </w:rPr>
      </w:pPr>
      <w:r w:rsidRPr="002F21D4">
        <w:rPr>
          <w:rFonts w:eastAsia="Calibri"/>
          <w:sz w:val="22"/>
          <w:szCs w:val="22"/>
        </w:rPr>
        <w:t>A pesar de los avances mencionados, los escenarios de riesgo para NNA y jóvenes son una constante. Persiste la deserción escolar sobre todo en zonas</w:t>
      </w:r>
      <w:r w:rsidR="001B3E77" w:rsidRPr="002F21D4">
        <w:rPr>
          <w:rFonts w:eastAsia="Calibri"/>
          <w:sz w:val="22"/>
          <w:szCs w:val="22"/>
        </w:rPr>
        <w:t xml:space="preserve"> rurales dispersas en donde las instituciones educativas carecen</w:t>
      </w:r>
      <w:r w:rsidRPr="002F21D4">
        <w:rPr>
          <w:rFonts w:eastAsia="Calibri"/>
          <w:sz w:val="22"/>
          <w:szCs w:val="22"/>
        </w:rPr>
        <w:t xml:space="preserve"> de servicios de energía e internet, medios tecnológicos, vías de acceso, útiles escolares, entre otros. En algunas zonas el retorno escolar aún no inicia debido a la falta de adecuación de las instalaciones </w:t>
      </w:r>
      <w:r w:rsidR="001B3E77" w:rsidRPr="002F21D4">
        <w:rPr>
          <w:rFonts w:eastAsia="Calibri"/>
          <w:sz w:val="22"/>
          <w:szCs w:val="22"/>
        </w:rPr>
        <w:t>con</w:t>
      </w:r>
      <w:r w:rsidRPr="002F21D4">
        <w:rPr>
          <w:rFonts w:eastAsia="Calibri"/>
          <w:sz w:val="22"/>
          <w:szCs w:val="22"/>
        </w:rPr>
        <w:t xml:space="preserve"> medid</w:t>
      </w:r>
      <w:r w:rsidR="001B3E77" w:rsidRPr="002F21D4">
        <w:rPr>
          <w:rFonts w:eastAsia="Calibri"/>
          <w:sz w:val="22"/>
          <w:szCs w:val="22"/>
        </w:rPr>
        <w:t xml:space="preserve">as de bioseguridad, </w:t>
      </w:r>
      <w:r w:rsidR="0036291D" w:rsidRPr="002F21D4">
        <w:rPr>
          <w:rFonts w:eastAsia="Calibri"/>
          <w:sz w:val="22"/>
          <w:szCs w:val="22"/>
        </w:rPr>
        <w:t xml:space="preserve">lo cual pone en mayor </w:t>
      </w:r>
      <w:r w:rsidR="005A6D02" w:rsidRPr="002F21D4">
        <w:rPr>
          <w:rFonts w:eastAsia="Calibri"/>
          <w:sz w:val="22"/>
          <w:szCs w:val="22"/>
        </w:rPr>
        <w:t>riesgo</w:t>
      </w:r>
      <w:r w:rsidR="0036291D" w:rsidRPr="002F21D4">
        <w:rPr>
          <w:rFonts w:eastAsia="Calibri"/>
          <w:sz w:val="22"/>
          <w:szCs w:val="22"/>
        </w:rPr>
        <w:t xml:space="preserve"> a </w:t>
      </w:r>
      <w:r w:rsidRPr="002F21D4">
        <w:rPr>
          <w:rFonts w:eastAsia="Calibri"/>
          <w:sz w:val="22"/>
          <w:szCs w:val="22"/>
        </w:rPr>
        <w:t>adolescentes y jóvenes</w:t>
      </w:r>
      <w:r w:rsidR="00312470" w:rsidRPr="002F21D4">
        <w:rPr>
          <w:rFonts w:eastAsia="Calibri"/>
          <w:sz w:val="22"/>
          <w:szCs w:val="22"/>
        </w:rPr>
        <w:t>.</w:t>
      </w:r>
    </w:p>
    <w:p w14:paraId="708BE211" w14:textId="77777777" w:rsidR="00B3338F" w:rsidRPr="002F21D4" w:rsidRDefault="00B3338F" w:rsidP="00B06FB8">
      <w:pPr>
        <w:snapToGrid w:val="0"/>
        <w:ind w:firstLine="357"/>
        <w:jc w:val="both"/>
        <w:rPr>
          <w:rFonts w:eastAsia="Calibri"/>
          <w:sz w:val="22"/>
          <w:szCs w:val="22"/>
        </w:rPr>
      </w:pPr>
    </w:p>
    <w:p w14:paraId="4A06DF76" w14:textId="4A59C29D" w:rsidR="00F02F02" w:rsidRPr="002F21D4" w:rsidRDefault="006C1A03" w:rsidP="00B06FB8">
      <w:pPr>
        <w:snapToGrid w:val="0"/>
        <w:ind w:firstLine="357"/>
        <w:jc w:val="both"/>
        <w:rPr>
          <w:rFonts w:eastAsia="Calibri"/>
          <w:sz w:val="22"/>
          <w:szCs w:val="22"/>
        </w:rPr>
      </w:pPr>
      <w:r w:rsidRPr="002F21D4">
        <w:rPr>
          <w:rFonts w:eastAsia="Calibri"/>
          <w:sz w:val="22"/>
          <w:szCs w:val="22"/>
        </w:rPr>
        <w:t xml:space="preserve">Como estrategia de reclutamiento, los GAI </w:t>
      </w:r>
      <w:r w:rsidR="0046449A" w:rsidRPr="002F21D4">
        <w:rPr>
          <w:rFonts w:eastAsia="Calibri"/>
          <w:sz w:val="22"/>
          <w:szCs w:val="22"/>
        </w:rPr>
        <w:t>buscan generar</w:t>
      </w:r>
      <w:r w:rsidRPr="002F21D4">
        <w:rPr>
          <w:rFonts w:eastAsia="Calibri"/>
          <w:sz w:val="22"/>
          <w:szCs w:val="22"/>
        </w:rPr>
        <w:t xml:space="preserve"> relaciones</w:t>
      </w:r>
      <w:r w:rsidR="0046449A" w:rsidRPr="002F21D4">
        <w:rPr>
          <w:rFonts w:eastAsia="Calibri"/>
          <w:sz w:val="22"/>
          <w:szCs w:val="22"/>
        </w:rPr>
        <w:t xml:space="preserve"> de confianza con los</w:t>
      </w:r>
      <w:r w:rsidR="00396666" w:rsidRPr="002F21D4">
        <w:rPr>
          <w:rFonts w:eastAsia="Calibri"/>
          <w:sz w:val="22"/>
          <w:szCs w:val="22"/>
        </w:rPr>
        <w:t xml:space="preserve"> y las</w:t>
      </w:r>
      <w:r w:rsidR="0046449A" w:rsidRPr="002F21D4">
        <w:rPr>
          <w:rFonts w:eastAsia="Calibri"/>
          <w:sz w:val="22"/>
          <w:szCs w:val="22"/>
        </w:rPr>
        <w:t xml:space="preserve"> menores</w:t>
      </w:r>
      <w:r w:rsidR="00396666" w:rsidRPr="002F21D4">
        <w:rPr>
          <w:rFonts w:eastAsia="Calibri"/>
          <w:sz w:val="22"/>
          <w:szCs w:val="22"/>
        </w:rPr>
        <w:t xml:space="preserve"> de edad</w:t>
      </w:r>
      <w:r w:rsidR="0046449A" w:rsidRPr="002F21D4">
        <w:rPr>
          <w:rFonts w:eastAsia="Calibri"/>
          <w:sz w:val="22"/>
          <w:szCs w:val="22"/>
        </w:rPr>
        <w:t xml:space="preserve"> y su entorno protector</w:t>
      </w:r>
      <w:r w:rsidR="006C0339" w:rsidRPr="002F21D4">
        <w:rPr>
          <w:rStyle w:val="FootnoteReference"/>
          <w:rFonts w:eastAsia="Calibri"/>
          <w:sz w:val="22"/>
          <w:szCs w:val="22"/>
        </w:rPr>
        <w:footnoteReference w:id="33"/>
      </w:r>
      <w:r w:rsidR="00BA7EAE" w:rsidRPr="002F21D4">
        <w:rPr>
          <w:rFonts w:eastAsia="Calibri"/>
          <w:sz w:val="22"/>
          <w:szCs w:val="22"/>
        </w:rPr>
        <w:t>,</w:t>
      </w:r>
      <w:r w:rsidR="0046449A" w:rsidRPr="002F21D4">
        <w:rPr>
          <w:rFonts w:eastAsia="Calibri"/>
          <w:sz w:val="22"/>
          <w:szCs w:val="22"/>
        </w:rPr>
        <w:t xml:space="preserve"> a través de </w:t>
      </w:r>
      <w:r w:rsidR="008F26B9" w:rsidRPr="002F21D4">
        <w:rPr>
          <w:rFonts w:eastAsia="Calibri"/>
          <w:sz w:val="22"/>
          <w:szCs w:val="22"/>
        </w:rPr>
        <w:t>actividades deportivas en donde proveen artículos y alimentos que no son fáciles de conseguir en regiones apartadas</w:t>
      </w:r>
      <w:r w:rsidR="0046449A" w:rsidRPr="002F21D4">
        <w:rPr>
          <w:rFonts w:eastAsia="Calibri"/>
          <w:sz w:val="22"/>
          <w:szCs w:val="22"/>
        </w:rPr>
        <w:t xml:space="preserve">. </w:t>
      </w:r>
      <w:r w:rsidR="008F26B9" w:rsidRPr="002F21D4">
        <w:rPr>
          <w:rFonts w:eastAsia="Calibri"/>
          <w:sz w:val="22"/>
          <w:szCs w:val="22"/>
        </w:rPr>
        <w:t>También</w:t>
      </w:r>
      <w:r w:rsidR="0046449A" w:rsidRPr="002F21D4">
        <w:rPr>
          <w:rFonts w:eastAsia="Calibri"/>
          <w:sz w:val="22"/>
          <w:szCs w:val="22"/>
        </w:rPr>
        <w:t>,</w:t>
      </w:r>
      <w:r w:rsidR="008F26B9" w:rsidRPr="002F21D4">
        <w:rPr>
          <w:rFonts w:eastAsia="Calibri"/>
          <w:sz w:val="22"/>
          <w:szCs w:val="22"/>
        </w:rPr>
        <w:t xml:space="preserve"> en esos acercamientos se persuade a la comunidad de que</w:t>
      </w:r>
      <w:r w:rsidR="0046449A" w:rsidRPr="002F21D4">
        <w:rPr>
          <w:rFonts w:eastAsia="Calibri"/>
          <w:sz w:val="22"/>
          <w:szCs w:val="22"/>
        </w:rPr>
        <w:t xml:space="preserve"> la vinculación de NNA </w:t>
      </w:r>
      <w:r w:rsidR="008F26B9" w:rsidRPr="002F21D4">
        <w:rPr>
          <w:rFonts w:eastAsia="Calibri"/>
          <w:sz w:val="22"/>
          <w:szCs w:val="22"/>
        </w:rPr>
        <w:t>al GAI</w:t>
      </w:r>
      <w:r w:rsidR="0046449A" w:rsidRPr="002F21D4">
        <w:rPr>
          <w:rFonts w:eastAsia="Calibri"/>
          <w:sz w:val="22"/>
          <w:szCs w:val="22"/>
        </w:rPr>
        <w:t xml:space="preserve"> no supone una dedicación exclusiva a las actividades ilegales, sino que existe la opción de trabajar</w:t>
      </w:r>
      <w:r w:rsidR="0086512B" w:rsidRPr="002F21D4">
        <w:rPr>
          <w:rFonts w:eastAsia="Calibri"/>
          <w:sz w:val="22"/>
          <w:szCs w:val="22"/>
        </w:rPr>
        <w:t>,</w:t>
      </w:r>
      <w:r w:rsidR="0046449A" w:rsidRPr="002F21D4">
        <w:rPr>
          <w:rFonts w:eastAsia="Calibri"/>
          <w:sz w:val="22"/>
          <w:szCs w:val="22"/>
        </w:rPr>
        <w:t xml:space="preserve"> en paralelo, </w:t>
      </w:r>
      <w:r w:rsidR="008F26B9" w:rsidRPr="002F21D4">
        <w:rPr>
          <w:rFonts w:eastAsia="Calibri"/>
          <w:sz w:val="22"/>
          <w:szCs w:val="22"/>
        </w:rPr>
        <w:t>en actividades agrícolas</w:t>
      </w:r>
      <w:r w:rsidR="0046449A" w:rsidRPr="002F21D4">
        <w:rPr>
          <w:rFonts w:eastAsia="Calibri"/>
          <w:sz w:val="22"/>
          <w:szCs w:val="22"/>
        </w:rPr>
        <w:t xml:space="preserve"> con la posibilidad de permanecer en sus hogares</w:t>
      </w:r>
      <w:r w:rsidR="008F26B9" w:rsidRPr="002F21D4">
        <w:rPr>
          <w:rFonts w:eastAsia="Calibri"/>
          <w:sz w:val="22"/>
          <w:szCs w:val="22"/>
        </w:rPr>
        <w:t xml:space="preserve">. Algunas de estas propuestas </w:t>
      </w:r>
      <w:r w:rsidR="004F64A0" w:rsidRPr="002F21D4">
        <w:rPr>
          <w:rFonts w:eastAsia="Calibri"/>
          <w:sz w:val="22"/>
          <w:szCs w:val="22"/>
        </w:rPr>
        <w:t>ofrecen pagos d</w:t>
      </w:r>
      <w:r w:rsidR="008F26B9" w:rsidRPr="002F21D4">
        <w:rPr>
          <w:rFonts w:eastAsia="Calibri"/>
          <w:sz w:val="22"/>
          <w:szCs w:val="22"/>
        </w:rPr>
        <w:t xml:space="preserve">e hasta COP$ 2.000.000, </w:t>
      </w:r>
      <w:r w:rsidR="004F64A0" w:rsidRPr="002F21D4">
        <w:rPr>
          <w:rFonts w:eastAsia="Calibri"/>
          <w:sz w:val="22"/>
          <w:szCs w:val="22"/>
        </w:rPr>
        <w:t>que</w:t>
      </w:r>
      <w:r w:rsidR="008F26B9" w:rsidRPr="002F21D4">
        <w:rPr>
          <w:rFonts w:eastAsia="Calibri"/>
          <w:sz w:val="22"/>
          <w:szCs w:val="22"/>
        </w:rPr>
        <w:t xml:space="preserve"> </w:t>
      </w:r>
      <w:r w:rsidR="004F64A0" w:rsidRPr="002F21D4">
        <w:rPr>
          <w:rFonts w:eastAsia="Calibri"/>
          <w:sz w:val="22"/>
          <w:szCs w:val="22"/>
        </w:rPr>
        <w:t>en ciertos casos no se efectúan</w:t>
      </w:r>
      <w:r w:rsidR="008F26B9" w:rsidRPr="002F21D4">
        <w:rPr>
          <w:rFonts w:eastAsia="Calibri"/>
          <w:sz w:val="22"/>
          <w:szCs w:val="22"/>
        </w:rPr>
        <w:t xml:space="preserve"> o funcionan como préstamo</w:t>
      </w:r>
      <w:r w:rsidR="00BA7EAE" w:rsidRPr="002F21D4">
        <w:rPr>
          <w:rFonts w:eastAsia="Calibri"/>
          <w:sz w:val="22"/>
          <w:szCs w:val="22"/>
        </w:rPr>
        <w:t>,</w:t>
      </w:r>
      <w:r w:rsidR="008F26B9" w:rsidRPr="002F21D4">
        <w:rPr>
          <w:rFonts w:eastAsia="Calibri"/>
          <w:sz w:val="22"/>
          <w:szCs w:val="22"/>
        </w:rPr>
        <w:t xml:space="preserve"> generando un compromiso y una amenaza ante el no acatamiento de las actividades que posteriormente se les ordene realizar.</w:t>
      </w:r>
    </w:p>
    <w:p w14:paraId="39838A61" w14:textId="77777777" w:rsidR="00B3338F" w:rsidRPr="002F21D4" w:rsidRDefault="00B3338F" w:rsidP="00B06FB8">
      <w:pPr>
        <w:snapToGrid w:val="0"/>
        <w:ind w:firstLine="357"/>
        <w:jc w:val="both"/>
        <w:rPr>
          <w:rFonts w:eastAsia="Calibri"/>
          <w:sz w:val="22"/>
          <w:szCs w:val="22"/>
        </w:rPr>
      </w:pPr>
    </w:p>
    <w:p w14:paraId="3942AADD" w14:textId="134AD96B" w:rsidR="00C8156E" w:rsidRPr="002F21D4" w:rsidRDefault="008E1A53" w:rsidP="00B06FB8">
      <w:pPr>
        <w:snapToGrid w:val="0"/>
        <w:ind w:firstLine="357"/>
        <w:jc w:val="both"/>
        <w:rPr>
          <w:rFonts w:eastAsia="Calibri"/>
          <w:sz w:val="22"/>
          <w:szCs w:val="22"/>
        </w:rPr>
      </w:pPr>
      <w:r w:rsidRPr="002F21D4">
        <w:rPr>
          <w:rFonts w:eastAsia="Calibri"/>
          <w:sz w:val="22"/>
          <w:szCs w:val="22"/>
        </w:rPr>
        <w:t>L</w:t>
      </w:r>
      <w:r w:rsidR="00E548FC" w:rsidRPr="002F21D4">
        <w:rPr>
          <w:rFonts w:eastAsia="Calibri"/>
          <w:sz w:val="22"/>
          <w:szCs w:val="22"/>
        </w:rPr>
        <w:t>os grupos armados residuales o disiden</w:t>
      </w:r>
      <w:r w:rsidR="00511440" w:rsidRPr="002F21D4">
        <w:rPr>
          <w:rFonts w:eastAsia="Calibri"/>
          <w:sz w:val="22"/>
          <w:szCs w:val="22"/>
        </w:rPr>
        <w:t>tes</w:t>
      </w:r>
      <w:r w:rsidR="00E548FC" w:rsidRPr="002F21D4">
        <w:rPr>
          <w:rFonts w:eastAsia="Calibri"/>
          <w:sz w:val="22"/>
          <w:szCs w:val="22"/>
        </w:rPr>
        <w:t xml:space="preserve"> de las FARC-EP desarrollan diferentes modalidades de </w:t>
      </w:r>
      <w:r w:rsidR="006A24DC" w:rsidRPr="002F21D4">
        <w:rPr>
          <w:rFonts w:eastAsia="Calibri"/>
          <w:sz w:val="22"/>
          <w:szCs w:val="22"/>
        </w:rPr>
        <w:t>vinculación</w:t>
      </w:r>
      <w:r w:rsidR="004F46F0" w:rsidRPr="002F21D4">
        <w:rPr>
          <w:rFonts w:eastAsia="Calibri"/>
          <w:sz w:val="22"/>
          <w:szCs w:val="22"/>
        </w:rPr>
        <w:t>;</w:t>
      </w:r>
      <w:r w:rsidR="00274DC8" w:rsidRPr="002F21D4">
        <w:rPr>
          <w:rFonts w:eastAsia="Calibri"/>
          <w:sz w:val="22"/>
          <w:szCs w:val="22"/>
        </w:rPr>
        <w:t xml:space="preserve"> por ejemplo,</w:t>
      </w:r>
      <w:r w:rsidRPr="002F21D4">
        <w:rPr>
          <w:rFonts w:eastAsia="Calibri"/>
          <w:sz w:val="22"/>
          <w:szCs w:val="22"/>
        </w:rPr>
        <w:t xml:space="preserve"> </w:t>
      </w:r>
      <w:r w:rsidR="0086512B" w:rsidRPr="002F21D4">
        <w:rPr>
          <w:rFonts w:eastAsia="Calibri"/>
          <w:sz w:val="22"/>
          <w:szCs w:val="22"/>
        </w:rPr>
        <w:t xml:space="preserve">en </w:t>
      </w:r>
      <w:r w:rsidRPr="002F21D4">
        <w:rPr>
          <w:rFonts w:eastAsia="Calibri"/>
          <w:sz w:val="22"/>
          <w:szCs w:val="22"/>
        </w:rPr>
        <w:t>Putumayo</w:t>
      </w:r>
      <w:r w:rsidR="00274DC8" w:rsidRPr="002F21D4">
        <w:rPr>
          <w:rFonts w:eastAsia="Calibri"/>
          <w:sz w:val="22"/>
          <w:szCs w:val="22"/>
        </w:rPr>
        <w:t xml:space="preserve"> </w:t>
      </w:r>
      <w:r w:rsidR="00E548FC" w:rsidRPr="002F21D4">
        <w:rPr>
          <w:rFonts w:eastAsia="Calibri"/>
          <w:sz w:val="22"/>
          <w:szCs w:val="22"/>
        </w:rPr>
        <w:t>citan a</w:t>
      </w:r>
      <w:r w:rsidR="00D61A2B" w:rsidRPr="002F21D4">
        <w:rPr>
          <w:rFonts w:eastAsia="Calibri"/>
          <w:sz w:val="22"/>
          <w:szCs w:val="22"/>
        </w:rPr>
        <w:t xml:space="preserve"> las comunidades</w:t>
      </w:r>
      <w:r w:rsidR="003C404E" w:rsidRPr="002F21D4">
        <w:rPr>
          <w:rFonts w:eastAsia="Calibri"/>
          <w:sz w:val="22"/>
          <w:szCs w:val="22"/>
        </w:rPr>
        <w:t xml:space="preserve"> </w:t>
      </w:r>
      <w:r w:rsidR="00D61A2B" w:rsidRPr="002F21D4">
        <w:rPr>
          <w:rFonts w:eastAsia="Calibri"/>
          <w:sz w:val="22"/>
          <w:szCs w:val="22"/>
        </w:rPr>
        <w:t xml:space="preserve">para convencer a </w:t>
      </w:r>
      <w:r w:rsidR="00012B60" w:rsidRPr="002F21D4">
        <w:rPr>
          <w:rFonts w:eastAsia="Calibri"/>
          <w:sz w:val="22"/>
          <w:szCs w:val="22"/>
        </w:rPr>
        <w:t>los familiares</w:t>
      </w:r>
      <w:r w:rsidR="00D61A2B" w:rsidRPr="002F21D4">
        <w:rPr>
          <w:rFonts w:eastAsia="Calibri"/>
          <w:sz w:val="22"/>
          <w:szCs w:val="22"/>
        </w:rPr>
        <w:t xml:space="preserve"> </w:t>
      </w:r>
      <w:r w:rsidR="00DC5C5D" w:rsidRPr="002F21D4">
        <w:rPr>
          <w:rFonts w:eastAsia="Calibri"/>
          <w:sz w:val="22"/>
          <w:szCs w:val="22"/>
        </w:rPr>
        <w:t xml:space="preserve">de </w:t>
      </w:r>
      <w:r w:rsidR="00D61A2B" w:rsidRPr="002F21D4">
        <w:rPr>
          <w:rFonts w:eastAsia="Calibri"/>
          <w:sz w:val="22"/>
          <w:szCs w:val="22"/>
        </w:rPr>
        <w:t>que permitan que sus hijos</w:t>
      </w:r>
      <w:r w:rsidR="00012B60" w:rsidRPr="002F21D4">
        <w:rPr>
          <w:rFonts w:eastAsia="Calibri"/>
          <w:sz w:val="22"/>
          <w:szCs w:val="22"/>
        </w:rPr>
        <w:t>(as)</w:t>
      </w:r>
      <w:r w:rsidR="00D61A2B" w:rsidRPr="002F21D4">
        <w:rPr>
          <w:rFonts w:eastAsia="Calibri"/>
          <w:sz w:val="22"/>
          <w:szCs w:val="22"/>
        </w:rPr>
        <w:t xml:space="preserve"> se vinculen</w:t>
      </w:r>
      <w:r w:rsidR="00E548FC" w:rsidRPr="002F21D4">
        <w:rPr>
          <w:rFonts w:eastAsia="Calibri"/>
          <w:sz w:val="22"/>
          <w:szCs w:val="22"/>
        </w:rPr>
        <w:t>,</w:t>
      </w:r>
      <w:r w:rsidR="00EC63AF" w:rsidRPr="002F21D4">
        <w:rPr>
          <w:rFonts w:eastAsia="Calibri"/>
          <w:sz w:val="22"/>
          <w:szCs w:val="22"/>
        </w:rPr>
        <w:t xml:space="preserve"> ya sea</w:t>
      </w:r>
      <w:r w:rsidR="00E548FC" w:rsidRPr="002F21D4">
        <w:rPr>
          <w:rFonts w:eastAsia="Calibri"/>
          <w:sz w:val="22"/>
          <w:szCs w:val="22"/>
        </w:rPr>
        <w:t xml:space="preserve"> utilizando un discurso político </w:t>
      </w:r>
      <w:r w:rsidR="00EC63AF" w:rsidRPr="002F21D4">
        <w:rPr>
          <w:rFonts w:eastAsia="Calibri"/>
          <w:sz w:val="22"/>
          <w:szCs w:val="22"/>
        </w:rPr>
        <w:t>o</w:t>
      </w:r>
      <w:r w:rsidR="00E548FC" w:rsidRPr="002F21D4">
        <w:rPr>
          <w:rFonts w:eastAsia="Calibri"/>
          <w:sz w:val="22"/>
          <w:szCs w:val="22"/>
        </w:rPr>
        <w:t xml:space="preserve"> </w:t>
      </w:r>
      <w:r w:rsidR="00EC63AF" w:rsidRPr="002F21D4">
        <w:rPr>
          <w:rFonts w:eastAsia="Calibri"/>
          <w:sz w:val="22"/>
          <w:szCs w:val="22"/>
        </w:rPr>
        <w:t>a través del ofrecimiento</w:t>
      </w:r>
      <w:r w:rsidR="00E548FC" w:rsidRPr="002F21D4">
        <w:rPr>
          <w:rFonts w:eastAsia="Calibri"/>
          <w:sz w:val="22"/>
          <w:szCs w:val="22"/>
        </w:rPr>
        <w:t xml:space="preserve"> </w:t>
      </w:r>
      <w:r w:rsidR="00EC63AF" w:rsidRPr="002F21D4">
        <w:rPr>
          <w:rFonts w:eastAsia="Calibri"/>
          <w:sz w:val="22"/>
          <w:szCs w:val="22"/>
        </w:rPr>
        <w:t xml:space="preserve">de </w:t>
      </w:r>
      <w:r w:rsidR="00D61A2B" w:rsidRPr="002F21D4">
        <w:rPr>
          <w:rFonts w:eastAsia="Calibri"/>
          <w:sz w:val="22"/>
          <w:szCs w:val="22"/>
        </w:rPr>
        <w:t>una remuneración económica.</w:t>
      </w:r>
      <w:r w:rsidR="00F927D0" w:rsidRPr="002F21D4">
        <w:rPr>
          <w:rFonts w:eastAsia="Calibri"/>
          <w:sz w:val="22"/>
          <w:szCs w:val="22"/>
        </w:rPr>
        <w:t xml:space="preserve"> </w:t>
      </w:r>
      <w:r w:rsidR="00C26969" w:rsidRPr="002F21D4">
        <w:rPr>
          <w:rFonts w:eastAsia="Calibri"/>
          <w:sz w:val="22"/>
          <w:szCs w:val="22"/>
        </w:rPr>
        <w:t>En Norte de Santander, recorren las viviendas</w:t>
      </w:r>
      <w:r w:rsidR="00E64F59" w:rsidRPr="002F21D4">
        <w:rPr>
          <w:rFonts w:eastAsia="Calibri"/>
          <w:sz w:val="22"/>
          <w:szCs w:val="22"/>
        </w:rPr>
        <w:t xml:space="preserve"> y hacen promesas de </w:t>
      </w:r>
      <w:r w:rsidR="0086512B" w:rsidRPr="002F21D4">
        <w:rPr>
          <w:rFonts w:eastAsia="Calibri"/>
          <w:sz w:val="22"/>
          <w:szCs w:val="22"/>
        </w:rPr>
        <w:t xml:space="preserve">entrega de </w:t>
      </w:r>
      <w:r w:rsidR="00E64F59" w:rsidRPr="002F21D4">
        <w:rPr>
          <w:rFonts w:eastAsia="Calibri"/>
          <w:sz w:val="22"/>
          <w:szCs w:val="22"/>
        </w:rPr>
        <w:t>armamento y</w:t>
      </w:r>
      <w:r w:rsidR="0086512B" w:rsidRPr="002F21D4">
        <w:rPr>
          <w:rFonts w:eastAsia="Calibri"/>
          <w:sz w:val="22"/>
          <w:szCs w:val="22"/>
        </w:rPr>
        <w:t xml:space="preserve"> obtención de</w:t>
      </w:r>
      <w:r w:rsidR="00E64F59" w:rsidRPr="002F21D4">
        <w:rPr>
          <w:rFonts w:eastAsia="Calibri"/>
          <w:sz w:val="22"/>
          <w:szCs w:val="22"/>
        </w:rPr>
        <w:t xml:space="preserve"> rango militar.</w:t>
      </w:r>
      <w:r w:rsidR="009E557E" w:rsidRPr="002F21D4">
        <w:rPr>
          <w:rFonts w:eastAsia="Calibri"/>
          <w:sz w:val="22"/>
          <w:szCs w:val="22"/>
        </w:rPr>
        <w:t xml:space="preserve"> </w:t>
      </w:r>
    </w:p>
    <w:p w14:paraId="3F42E8EC" w14:textId="77777777" w:rsidR="00B3338F" w:rsidRPr="002F21D4" w:rsidRDefault="00B3338F" w:rsidP="00B06FB8">
      <w:pPr>
        <w:snapToGrid w:val="0"/>
        <w:ind w:firstLine="357"/>
        <w:jc w:val="both"/>
        <w:rPr>
          <w:rFonts w:eastAsia="Calibri"/>
          <w:sz w:val="22"/>
          <w:szCs w:val="22"/>
        </w:rPr>
      </w:pPr>
    </w:p>
    <w:p w14:paraId="7FF65FF3" w14:textId="06608109" w:rsidR="00511440" w:rsidRPr="002F21D4" w:rsidRDefault="00C8156E" w:rsidP="00B06FB8">
      <w:pPr>
        <w:snapToGrid w:val="0"/>
        <w:ind w:firstLine="357"/>
        <w:jc w:val="both"/>
        <w:rPr>
          <w:rFonts w:eastAsia="Calibri"/>
          <w:sz w:val="22"/>
          <w:szCs w:val="22"/>
        </w:rPr>
      </w:pPr>
      <w:r w:rsidRPr="002F21D4">
        <w:rPr>
          <w:rFonts w:eastAsia="Calibri"/>
          <w:sz w:val="22"/>
          <w:szCs w:val="22"/>
        </w:rPr>
        <w:t>E</w:t>
      </w:r>
      <w:r w:rsidR="00511440" w:rsidRPr="002F21D4">
        <w:rPr>
          <w:rFonts w:eastAsia="Calibri"/>
          <w:sz w:val="22"/>
          <w:szCs w:val="22"/>
        </w:rPr>
        <w:t xml:space="preserve">n la </w:t>
      </w:r>
      <w:r w:rsidR="0086512B" w:rsidRPr="002F21D4">
        <w:rPr>
          <w:rFonts w:eastAsia="Calibri"/>
          <w:sz w:val="22"/>
          <w:szCs w:val="22"/>
        </w:rPr>
        <w:t>C</w:t>
      </w:r>
      <w:r w:rsidR="00511440" w:rsidRPr="002F21D4">
        <w:rPr>
          <w:rFonts w:eastAsia="Calibri"/>
          <w:sz w:val="22"/>
          <w:szCs w:val="22"/>
        </w:rPr>
        <w:t xml:space="preserve">osta </w:t>
      </w:r>
      <w:r w:rsidR="0086512B" w:rsidRPr="002F21D4">
        <w:rPr>
          <w:rFonts w:eastAsia="Calibri"/>
          <w:sz w:val="22"/>
          <w:szCs w:val="22"/>
        </w:rPr>
        <w:t>P</w:t>
      </w:r>
      <w:r w:rsidR="00511440" w:rsidRPr="002F21D4">
        <w:rPr>
          <w:rFonts w:eastAsia="Calibri"/>
          <w:sz w:val="22"/>
          <w:szCs w:val="22"/>
        </w:rPr>
        <w:t xml:space="preserve">acífica </w:t>
      </w:r>
      <w:r w:rsidR="00BA7EAE" w:rsidRPr="002F21D4">
        <w:rPr>
          <w:rFonts w:eastAsia="Calibri"/>
          <w:sz w:val="22"/>
          <w:szCs w:val="22"/>
        </w:rPr>
        <w:t>n</w:t>
      </w:r>
      <w:r w:rsidR="006A24DC" w:rsidRPr="002F21D4">
        <w:rPr>
          <w:rFonts w:eastAsia="Calibri"/>
          <w:sz w:val="22"/>
          <w:szCs w:val="22"/>
        </w:rPr>
        <w:t>ariñense</w:t>
      </w:r>
      <w:r w:rsidR="00511440" w:rsidRPr="002F21D4">
        <w:rPr>
          <w:rFonts w:eastAsia="Calibri"/>
          <w:sz w:val="22"/>
          <w:szCs w:val="22"/>
        </w:rPr>
        <w:t xml:space="preserve"> se han visto más </w:t>
      </w:r>
      <w:r w:rsidR="00D32FAE" w:rsidRPr="002F21D4">
        <w:rPr>
          <w:rFonts w:eastAsia="Calibri"/>
          <w:sz w:val="22"/>
          <w:szCs w:val="22"/>
        </w:rPr>
        <w:t>vulneradas</w:t>
      </w:r>
      <w:r w:rsidR="00511440" w:rsidRPr="002F21D4">
        <w:rPr>
          <w:rFonts w:eastAsia="Calibri"/>
          <w:sz w:val="22"/>
          <w:szCs w:val="22"/>
        </w:rPr>
        <w:t xml:space="preserve"> las poblaciones étnicas</w:t>
      </w:r>
      <w:r w:rsidR="00511440" w:rsidRPr="002F21D4">
        <w:rPr>
          <w:rFonts w:eastAsia="Calibri"/>
          <w:sz w:val="22"/>
          <w:szCs w:val="22"/>
          <w:vertAlign w:val="superscript"/>
        </w:rPr>
        <w:footnoteReference w:id="34"/>
      </w:r>
      <w:r w:rsidR="00BE0F5B" w:rsidRPr="002F21D4">
        <w:rPr>
          <w:rFonts w:eastAsia="Calibri"/>
          <w:sz w:val="22"/>
          <w:szCs w:val="22"/>
        </w:rPr>
        <w:t>;</w:t>
      </w:r>
      <w:r w:rsidR="00511440" w:rsidRPr="002F21D4">
        <w:rPr>
          <w:rFonts w:eastAsia="Calibri"/>
          <w:sz w:val="22"/>
          <w:szCs w:val="22"/>
        </w:rPr>
        <w:t xml:space="preserve"> </w:t>
      </w:r>
      <w:r w:rsidR="00BE0F5B" w:rsidRPr="002F21D4">
        <w:rPr>
          <w:rFonts w:eastAsia="Calibri"/>
          <w:sz w:val="22"/>
          <w:szCs w:val="22"/>
        </w:rPr>
        <w:t>e</w:t>
      </w:r>
      <w:r w:rsidR="00511440" w:rsidRPr="002F21D4">
        <w:rPr>
          <w:rFonts w:eastAsia="Calibri"/>
          <w:sz w:val="22"/>
          <w:szCs w:val="22"/>
        </w:rPr>
        <w:t>n Santa Bárbara se presentó una alerta</w:t>
      </w:r>
      <w:r w:rsidR="006E258A" w:rsidRPr="002F21D4">
        <w:rPr>
          <w:rFonts w:eastAsia="Calibri"/>
          <w:sz w:val="22"/>
          <w:szCs w:val="22"/>
        </w:rPr>
        <w:t xml:space="preserve"> por parte de la comunidad</w:t>
      </w:r>
      <w:r w:rsidR="00511440" w:rsidRPr="002F21D4">
        <w:rPr>
          <w:rFonts w:eastAsia="Calibri"/>
          <w:sz w:val="22"/>
          <w:szCs w:val="22"/>
        </w:rPr>
        <w:t xml:space="preserve"> por el riesgo de reclutamiento de</w:t>
      </w:r>
      <w:r w:rsidR="0086512B" w:rsidRPr="002F21D4">
        <w:rPr>
          <w:rFonts w:eastAsia="Calibri"/>
          <w:sz w:val="22"/>
          <w:szCs w:val="22"/>
        </w:rPr>
        <w:t>,</w:t>
      </w:r>
      <w:r w:rsidR="002548A8" w:rsidRPr="002F21D4">
        <w:rPr>
          <w:rFonts w:eastAsia="Calibri"/>
          <w:sz w:val="22"/>
          <w:szCs w:val="22"/>
        </w:rPr>
        <w:t xml:space="preserve"> al parecer</w:t>
      </w:r>
      <w:r w:rsidR="0086512B" w:rsidRPr="002F21D4">
        <w:rPr>
          <w:rFonts w:eastAsia="Calibri"/>
          <w:sz w:val="22"/>
          <w:szCs w:val="22"/>
        </w:rPr>
        <w:t>,</w:t>
      </w:r>
      <w:r w:rsidR="002548A8" w:rsidRPr="002F21D4">
        <w:rPr>
          <w:rFonts w:eastAsia="Calibri"/>
          <w:sz w:val="22"/>
          <w:szCs w:val="22"/>
        </w:rPr>
        <w:t xml:space="preserve"> 15</w:t>
      </w:r>
      <w:r w:rsidR="00511440" w:rsidRPr="002F21D4">
        <w:rPr>
          <w:rFonts w:eastAsia="Calibri"/>
          <w:sz w:val="22"/>
          <w:szCs w:val="22"/>
        </w:rPr>
        <w:t xml:space="preserve"> </w:t>
      </w:r>
      <w:r w:rsidR="00511440" w:rsidRPr="002F21D4">
        <w:rPr>
          <w:sz w:val="22"/>
          <w:szCs w:val="22"/>
        </w:rPr>
        <w:t>NNA de comunidades afrodescendientes del área rural dispersa. Sin</w:t>
      </w:r>
      <w:r w:rsidR="00511440" w:rsidRPr="002F21D4">
        <w:rPr>
          <w:rFonts w:eastAsia="Calibri"/>
          <w:sz w:val="22"/>
          <w:szCs w:val="22"/>
        </w:rPr>
        <w:t xml:space="preserve"> embargo,</w:t>
      </w:r>
      <w:r w:rsidRPr="002F21D4">
        <w:rPr>
          <w:rFonts w:eastAsia="Calibri"/>
          <w:sz w:val="22"/>
          <w:szCs w:val="22"/>
        </w:rPr>
        <w:t xml:space="preserve"> la institucionalidad encargada</w:t>
      </w:r>
      <w:r w:rsidR="00220A71" w:rsidRPr="002F21D4">
        <w:rPr>
          <w:rFonts w:eastAsia="Calibri"/>
          <w:sz w:val="22"/>
          <w:szCs w:val="22"/>
        </w:rPr>
        <w:t xml:space="preserve"> no </w:t>
      </w:r>
      <w:r w:rsidRPr="002F21D4">
        <w:rPr>
          <w:rFonts w:eastAsia="Calibri"/>
          <w:sz w:val="22"/>
          <w:szCs w:val="22"/>
        </w:rPr>
        <w:t>pudo</w:t>
      </w:r>
      <w:r w:rsidR="00220A71" w:rsidRPr="002F21D4">
        <w:rPr>
          <w:rFonts w:eastAsia="Calibri"/>
          <w:sz w:val="22"/>
          <w:szCs w:val="22"/>
        </w:rPr>
        <w:t xml:space="preserve"> implementar las medidas de protección que implican el traslado o movilización de los</w:t>
      </w:r>
      <w:r w:rsidR="00396666" w:rsidRPr="002F21D4">
        <w:rPr>
          <w:rFonts w:eastAsia="Calibri"/>
          <w:sz w:val="22"/>
          <w:szCs w:val="22"/>
        </w:rPr>
        <w:t xml:space="preserve"> y las</w:t>
      </w:r>
      <w:r w:rsidR="00220A71" w:rsidRPr="002F21D4">
        <w:rPr>
          <w:rFonts w:eastAsia="Calibri"/>
          <w:sz w:val="22"/>
          <w:szCs w:val="22"/>
        </w:rPr>
        <w:t xml:space="preserve"> menores</w:t>
      </w:r>
      <w:r w:rsidR="00396666" w:rsidRPr="002F21D4">
        <w:rPr>
          <w:rFonts w:eastAsia="Calibri"/>
          <w:sz w:val="22"/>
          <w:szCs w:val="22"/>
        </w:rPr>
        <w:t xml:space="preserve"> de edad</w:t>
      </w:r>
      <w:r w:rsidR="00220A71" w:rsidRPr="002F21D4">
        <w:rPr>
          <w:rFonts w:eastAsia="Calibri"/>
          <w:sz w:val="22"/>
          <w:szCs w:val="22"/>
        </w:rPr>
        <w:t>, debido a la presencia de los actores armados en el territorio.</w:t>
      </w:r>
    </w:p>
    <w:p w14:paraId="4B6A8A0A" w14:textId="77777777" w:rsidR="00B3338F" w:rsidRPr="002F21D4" w:rsidRDefault="00B3338F" w:rsidP="00B06FB8">
      <w:pPr>
        <w:snapToGrid w:val="0"/>
        <w:ind w:firstLine="360"/>
        <w:jc w:val="both"/>
        <w:rPr>
          <w:rFonts w:eastAsia="Calibri"/>
          <w:sz w:val="22"/>
          <w:szCs w:val="22"/>
        </w:rPr>
      </w:pPr>
    </w:p>
    <w:p w14:paraId="1A8D12A2" w14:textId="04EE777C" w:rsidR="00FC54B7" w:rsidRPr="002F21D4" w:rsidRDefault="006A24DC" w:rsidP="00B06FB8">
      <w:pPr>
        <w:snapToGrid w:val="0"/>
        <w:ind w:firstLine="360"/>
        <w:jc w:val="both"/>
        <w:rPr>
          <w:rFonts w:eastAsia="Calibri"/>
          <w:sz w:val="22"/>
          <w:szCs w:val="22"/>
        </w:rPr>
      </w:pPr>
      <w:r w:rsidRPr="002F21D4">
        <w:rPr>
          <w:rFonts w:eastAsia="Calibri"/>
          <w:sz w:val="22"/>
          <w:szCs w:val="22"/>
        </w:rPr>
        <w:t>En la región del Catatumbo, el ELN vincula a NNA para labores de vigilancia, sin entregarles armamento;</w:t>
      </w:r>
      <w:r w:rsidR="00977187" w:rsidRPr="002F21D4">
        <w:rPr>
          <w:rFonts w:eastAsia="Calibri"/>
          <w:sz w:val="22"/>
          <w:szCs w:val="22"/>
        </w:rPr>
        <w:t xml:space="preserve"> y</w:t>
      </w:r>
      <w:r w:rsidRPr="002F21D4">
        <w:rPr>
          <w:rFonts w:eastAsia="Calibri"/>
          <w:sz w:val="22"/>
          <w:szCs w:val="22"/>
        </w:rPr>
        <w:t xml:space="preserve"> en el departamento del Cesar son utilizados </w:t>
      </w:r>
      <w:r w:rsidR="00EE4218" w:rsidRPr="002F21D4">
        <w:rPr>
          <w:rFonts w:eastAsia="Calibri"/>
          <w:sz w:val="22"/>
          <w:szCs w:val="22"/>
        </w:rPr>
        <w:t>en</w:t>
      </w:r>
      <w:r w:rsidRPr="002F21D4">
        <w:rPr>
          <w:rFonts w:eastAsia="Calibri"/>
          <w:sz w:val="22"/>
          <w:szCs w:val="22"/>
        </w:rPr>
        <w:t xml:space="preserve"> actividades de microtráfico</w:t>
      </w:r>
      <w:r w:rsidR="0051341A" w:rsidRPr="002F21D4">
        <w:rPr>
          <w:rFonts w:eastAsia="Calibri"/>
          <w:sz w:val="22"/>
          <w:szCs w:val="22"/>
        </w:rPr>
        <w:t>. Por otro lado, en el departamento del Valle del Cauca</w:t>
      </w:r>
      <w:r w:rsidR="00DD3AF5" w:rsidRPr="002F21D4">
        <w:rPr>
          <w:rFonts w:eastAsia="Calibri"/>
          <w:sz w:val="22"/>
          <w:szCs w:val="22"/>
        </w:rPr>
        <w:t>, en zona urbana del Distrito de Buenaventura,</w:t>
      </w:r>
      <w:r w:rsidR="0051341A" w:rsidRPr="002F21D4">
        <w:rPr>
          <w:rFonts w:eastAsia="Calibri"/>
          <w:sz w:val="22"/>
          <w:szCs w:val="22"/>
        </w:rPr>
        <w:t xml:space="preserve"> el</w:t>
      </w:r>
      <w:r w:rsidR="00DD3AF5" w:rsidRPr="002F21D4">
        <w:rPr>
          <w:rFonts w:eastAsia="Calibri"/>
          <w:sz w:val="22"/>
          <w:szCs w:val="22"/>
        </w:rPr>
        <w:t xml:space="preserve"> ELN, con el fin de controlar el tráfico de estupefacientes y armas, ha creado alianzas con el GAI La Empresa para </w:t>
      </w:r>
      <w:r w:rsidR="00DD3AF5" w:rsidRPr="002F21D4">
        <w:rPr>
          <w:rFonts w:eastAsia="Calibri"/>
          <w:sz w:val="22"/>
          <w:szCs w:val="22"/>
        </w:rPr>
        <w:lastRenderedPageBreak/>
        <w:t xml:space="preserve">que, a través de ellos, los NNA sean reclutados </w:t>
      </w:r>
      <w:r w:rsidR="00431813" w:rsidRPr="002F21D4">
        <w:rPr>
          <w:rFonts w:eastAsia="Calibri"/>
          <w:sz w:val="22"/>
          <w:szCs w:val="22"/>
        </w:rPr>
        <w:t xml:space="preserve">forzadamente y desempeñen </w:t>
      </w:r>
      <w:r w:rsidR="00DD3AF5" w:rsidRPr="002F21D4">
        <w:rPr>
          <w:rFonts w:eastAsia="Calibri"/>
          <w:sz w:val="22"/>
          <w:szCs w:val="22"/>
        </w:rPr>
        <w:t>actividades de vigilancia, transporte de estupefacientes,</w:t>
      </w:r>
      <w:r w:rsidR="00431813" w:rsidRPr="002F21D4">
        <w:rPr>
          <w:rFonts w:eastAsia="Calibri"/>
          <w:sz w:val="22"/>
          <w:szCs w:val="22"/>
        </w:rPr>
        <w:t xml:space="preserve"> cobros de</w:t>
      </w:r>
      <w:r w:rsidR="00DD3AF5" w:rsidRPr="002F21D4">
        <w:rPr>
          <w:rFonts w:eastAsia="Calibri"/>
          <w:sz w:val="22"/>
          <w:szCs w:val="22"/>
        </w:rPr>
        <w:t xml:space="preserve"> extorsiones, entre otros.</w:t>
      </w:r>
      <w:r w:rsidR="0078159F" w:rsidRPr="002F21D4">
        <w:rPr>
          <w:rFonts w:eastAsia="Calibri"/>
          <w:sz w:val="22"/>
          <w:szCs w:val="22"/>
        </w:rPr>
        <w:t xml:space="preserve"> </w:t>
      </w:r>
    </w:p>
    <w:p w14:paraId="6877BB92" w14:textId="77777777" w:rsidR="00B3338F" w:rsidRPr="002F21D4" w:rsidRDefault="00B3338F" w:rsidP="00B06FB8">
      <w:pPr>
        <w:autoSpaceDE w:val="0"/>
        <w:autoSpaceDN w:val="0"/>
        <w:adjustRightInd w:val="0"/>
        <w:snapToGrid w:val="0"/>
        <w:ind w:firstLine="357"/>
        <w:jc w:val="both"/>
        <w:rPr>
          <w:rFonts w:eastAsia="Calibri"/>
          <w:sz w:val="22"/>
          <w:szCs w:val="22"/>
        </w:rPr>
      </w:pPr>
    </w:p>
    <w:p w14:paraId="314ED67D" w14:textId="513E9219" w:rsidR="00B96E1D" w:rsidRPr="002F21D4" w:rsidRDefault="003C404E" w:rsidP="00B06FB8">
      <w:pPr>
        <w:autoSpaceDE w:val="0"/>
        <w:autoSpaceDN w:val="0"/>
        <w:adjustRightInd w:val="0"/>
        <w:snapToGrid w:val="0"/>
        <w:ind w:firstLine="357"/>
        <w:jc w:val="both"/>
        <w:rPr>
          <w:rFonts w:eastAsia="Calibri"/>
          <w:sz w:val="22"/>
          <w:szCs w:val="22"/>
        </w:rPr>
      </w:pPr>
      <w:r w:rsidRPr="002F21D4">
        <w:rPr>
          <w:rFonts w:eastAsia="Calibri"/>
          <w:sz w:val="22"/>
          <w:szCs w:val="22"/>
        </w:rPr>
        <w:t xml:space="preserve">Las </w:t>
      </w:r>
      <w:proofErr w:type="spellStart"/>
      <w:r w:rsidRPr="002F21D4">
        <w:rPr>
          <w:rFonts w:eastAsia="Calibri"/>
          <w:bCs/>
          <w:sz w:val="22"/>
          <w:szCs w:val="22"/>
        </w:rPr>
        <w:t>AGC</w:t>
      </w:r>
      <w:proofErr w:type="spellEnd"/>
      <w:r w:rsidRPr="002F21D4">
        <w:rPr>
          <w:rFonts w:eastAsia="Calibri"/>
          <w:bCs/>
          <w:sz w:val="22"/>
          <w:szCs w:val="22"/>
        </w:rPr>
        <w:t>/Clan del Golfo</w:t>
      </w:r>
      <w:r w:rsidR="006050AA" w:rsidRPr="002F21D4">
        <w:rPr>
          <w:rFonts w:eastAsia="Calibri"/>
          <w:bCs/>
          <w:sz w:val="22"/>
          <w:szCs w:val="22"/>
        </w:rPr>
        <w:t>, con el objetivo de fortalecer su capacidad militar para afrontar la disputa territorial con l</w:t>
      </w:r>
      <w:r w:rsidR="00736728" w:rsidRPr="002F21D4">
        <w:rPr>
          <w:rFonts w:eastAsia="Calibri"/>
          <w:bCs/>
          <w:sz w:val="22"/>
          <w:szCs w:val="22"/>
        </w:rPr>
        <w:t xml:space="preserve">os grupos residuales o disidentes de las FARC-EP, amenazan </w:t>
      </w:r>
      <w:r w:rsidR="006050AA" w:rsidRPr="002F21D4">
        <w:rPr>
          <w:rFonts w:eastAsia="Calibri"/>
          <w:bCs/>
          <w:sz w:val="22"/>
          <w:szCs w:val="22"/>
        </w:rPr>
        <w:t xml:space="preserve">a </w:t>
      </w:r>
      <w:r w:rsidR="00012B60" w:rsidRPr="002F21D4">
        <w:rPr>
          <w:rFonts w:eastAsia="Calibri"/>
          <w:bCs/>
          <w:sz w:val="22"/>
          <w:szCs w:val="22"/>
        </w:rPr>
        <w:t>familiares</w:t>
      </w:r>
      <w:r w:rsidR="00736728" w:rsidRPr="002F21D4">
        <w:rPr>
          <w:rFonts w:eastAsia="Calibri"/>
          <w:sz w:val="22"/>
          <w:szCs w:val="22"/>
        </w:rPr>
        <w:t xml:space="preserve"> para que permitan la vinculación de adolescentes, afirmando que </w:t>
      </w:r>
      <w:r w:rsidR="00861120" w:rsidRPr="002F21D4">
        <w:rPr>
          <w:rFonts w:eastAsia="Calibri"/>
          <w:sz w:val="22"/>
          <w:szCs w:val="22"/>
        </w:rPr>
        <w:t>“</w:t>
      </w:r>
      <w:r w:rsidR="00736728" w:rsidRPr="002F21D4">
        <w:rPr>
          <w:rFonts w:eastAsia="Calibri"/>
          <w:sz w:val="22"/>
          <w:szCs w:val="22"/>
        </w:rPr>
        <w:t>están en edad de combatir</w:t>
      </w:r>
      <w:r w:rsidR="00861120" w:rsidRPr="002F21D4">
        <w:rPr>
          <w:rFonts w:eastAsia="Calibri"/>
          <w:sz w:val="22"/>
          <w:szCs w:val="22"/>
        </w:rPr>
        <w:t>”</w:t>
      </w:r>
      <w:r w:rsidR="00736728" w:rsidRPr="002F21D4">
        <w:rPr>
          <w:rFonts w:eastAsia="Calibri"/>
          <w:sz w:val="22"/>
          <w:szCs w:val="22"/>
        </w:rPr>
        <w:t>. Esta dinámica se identific</w:t>
      </w:r>
      <w:r w:rsidR="00B6586A" w:rsidRPr="002F21D4">
        <w:rPr>
          <w:rFonts w:eastAsia="Calibri"/>
          <w:sz w:val="22"/>
          <w:szCs w:val="22"/>
        </w:rPr>
        <w:t>ó</w:t>
      </w:r>
      <w:r w:rsidR="00736728" w:rsidRPr="002F21D4">
        <w:rPr>
          <w:rFonts w:eastAsia="Calibri"/>
          <w:sz w:val="22"/>
          <w:szCs w:val="22"/>
        </w:rPr>
        <w:t xml:space="preserve"> en el municipio de Apartadó</w:t>
      </w:r>
      <w:r w:rsidR="00012B60" w:rsidRPr="002F21D4">
        <w:rPr>
          <w:rFonts w:eastAsia="Calibri"/>
          <w:sz w:val="22"/>
          <w:szCs w:val="22"/>
        </w:rPr>
        <w:t xml:space="preserve"> (Antioquia)</w:t>
      </w:r>
      <w:r w:rsidR="00736728" w:rsidRPr="002F21D4">
        <w:rPr>
          <w:rFonts w:eastAsia="Calibri"/>
          <w:sz w:val="22"/>
          <w:szCs w:val="22"/>
        </w:rPr>
        <w:t xml:space="preserve"> y </w:t>
      </w:r>
      <w:r w:rsidRPr="002F21D4">
        <w:rPr>
          <w:rFonts w:eastAsia="Calibri"/>
          <w:sz w:val="22"/>
          <w:szCs w:val="22"/>
        </w:rPr>
        <w:t>la región del Bajo Cauca antioqueño</w:t>
      </w:r>
      <w:r w:rsidR="00736728" w:rsidRPr="002F21D4">
        <w:rPr>
          <w:rFonts w:eastAsia="Calibri"/>
          <w:sz w:val="22"/>
          <w:szCs w:val="22"/>
        </w:rPr>
        <w:t xml:space="preserve">. </w:t>
      </w:r>
      <w:r w:rsidR="008C6B5C" w:rsidRPr="002F21D4">
        <w:rPr>
          <w:rFonts w:eastAsia="Calibri"/>
          <w:sz w:val="22"/>
          <w:szCs w:val="22"/>
        </w:rPr>
        <w:t>E</w:t>
      </w:r>
      <w:r w:rsidRPr="002F21D4">
        <w:rPr>
          <w:rFonts w:eastAsia="Calibri"/>
          <w:sz w:val="22"/>
          <w:szCs w:val="22"/>
        </w:rPr>
        <w:t>n el Chocó</w:t>
      </w:r>
      <w:r w:rsidR="008C6B5C" w:rsidRPr="002F21D4">
        <w:rPr>
          <w:rFonts w:eastAsia="Calibri"/>
          <w:sz w:val="22"/>
          <w:szCs w:val="22"/>
        </w:rPr>
        <w:t>,</w:t>
      </w:r>
      <w:r w:rsidRPr="002F21D4">
        <w:rPr>
          <w:rFonts w:eastAsia="Calibri"/>
          <w:sz w:val="22"/>
          <w:szCs w:val="22"/>
        </w:rPr>
        <w:t xml:space="preserve"> </w:t>
      </w:r>
      <w:r w:rsidR="008C6B5C" w:rsidRPr="002F21D4">
        <w:rPr>
          <w:rFonts w:eastAsia="Calibri"/>
          <w:sz w:val="22"/>
          <w:szCs w:val="22"/>
        </w:rPr>
        <w:t xml:space="preserve">las </w:t>
      </w:r>
      <w:r w:rsidRPr="002F21D4">
        <w:rPr>
          <w:rFonts w:eastAsia="Calibri"/>
          <w:sz w:val="22"/>
          <w:szCs w:val="22"/>
        </w:rPr>
        <w:t xml:space="preserve">autoridades indígenas del municipio de </w:t>
      </w:r>
      <w:proofErr w:type="spellStart"/>
      <w:r w:rsidRPr="002F21D4">
        <w:rPr>
          <w:rFonts w:eastAsia="Calibri"/>
          <w:sz w:val="22"/>
          <w:szCs w:val="22"/>
        </w:rPr>
        <w:t>Juradó</w:t>
      </w:r>
      <w:proofErr w:type="spellEnd"/>
      <w:r w:rsidR="008C6B5C" w:rsidRPr="002F21D4">
        <w:rPr>
          <w:rFonts w:eastAsia="Calibri"/>
          <w:sz w:val="22"/>
          <w:szCs w:val="22"/>
        </w:rPr>
        <w:t xml:space="preserve"> han sido intimidadas</w:t>
      </w:r>
      <w:r w:rsidRPr="002F21D4">
        <w:rPr>
          <w:rFonts w:eastAsia="Calibri"/>
          <w:sz w:val="22"/>
          <w:szCs w:val="22"/>
        </w:rPr>
        <w:t xml:space="preserve"> </w:t>
      </w:r>
      <w:r w:rsidR="008C6B5C" w:rsidRPr="002F21D4">
        <w:rPr>
          <w:rFonts w:eastAsia="Calibri"/>
          <w:sz w:val="22"/>
          <w:szCs w:val="22"/>
        </w:rPr>
        <w:t>por oponerse al</w:t>
      </w:r>
      <w:r w:rsidRPr="002F21D4">
        <w:rPr>
          <w:rFonts w:eastAsia="Calibri"/>
          <w:sz w:val="22"/>
          <w:szCs w:val="22"/>
        </w:rPr>
        <w:t xml:space="preserve"> reclutamiento forzado de adolescentes</w:t>
      </w:r>
      <w:r w:rsidR="003B198F" w:rsidRPr="002F21D4">
        <w:rPr>
          <w:rFonts w:eastAsia="Calibri"/>
          <w:sz w:val="22"/>
          <w:szCs w:val="22"/>
        </w:rPr>
        <w:t xml:space="preserve"> </w:t>
      </w:r>
      <w:r w:rsidRPr="002F21D4">
        <w:rPr>
          <w:rFonts w:eastAsia="Calibri"/>
          <w:sz w:val="22"/>
          <w:szCs w:val="22"/>
        </w:rPr>
        <w:t>entre 15 y 17 años</w:t>
      </w:r>
      <w:r w:rsidR="003B198F" w:rsidRPr="002F21D4">
        <w:rPr>
          <w:rFonts w:eastAsia="Calibri"/>
          <w:sz w:val="22"/>
          <w:szCs w:val="22"/>
        </w:rPr>
        <w:t xml:space="preserve"> </w:t>
      </w:r>
      <w:r w:rsidRPr="002F21D4">
        <w:rPr>
          <w:rFonts w:eastAsia="Calibri"/>
          <w:sz w:val="22"/>
          <w:szCs w:val="22"/>
        </w:rPr>
        <w:t>de</w:t>
      </w:r>
      <w:r w:rsidR="003B198F" w:rsidRPr="002F21D4">
        <w:rPr>
          <w:rFonts w:eastAsia="Calibri"/>
          <w:sz w:val="22"/>
          <w:szCs w:val="22"/>
        </w:rPr>
        <w:t>l pueblo Emberá</w:t>
      </w:r>
      <w:r w:rsidRPr="002F21D4">
        <w:rPr>
          <w:rFonts w:eastAsia="Calibri"/>
          <w:sz w:val="22"/>
          <w:szCs w:val="22"/>
        </w:rPr>
        <w:t xml:space="preserve">. </w:t>
      </w:r>
      <w:r w:rsidR="003B198F" w:rsidRPr="002F21D4">
        <w:rPr>
          <w:rFonts w:eastAsia="Calibri"/>
          <w:sz w:val="22"/>
          <w:szCs w:val="22"/>
        </w:rPr>
        <w:t xml:space="preserve">En el municipio de </w:t>
      </w:r>
      <w:proofErr w:type="spellStart"/>
      <w:r w:rsidR="003B198F" w:rsidRPr="002F21D4">
        <w:rPr>
          <w:rFonts w:eastAsia="Calibri"/>
          <w:sz w:val="22"/>
          <w:szCs w:val="22"/>
        </w:rPr>
        <w:t>Unguía</w:t>
      </w:r>
      <w:proofErr w:type="spellEnd"/>
      <w:r w:rsidR="003B198F" w:rsidRPr="002F21D4">
        <w:rPr>
          <w:rFonts w:eastAsia="Calibri"/>
          <w:sz w:val="22"/>
          <w:szCs w:val="22"/>
        </w:rPr>
        <w:t>,</w:t>
      </w:r>
      <w:r w:rsidR="000055B6" w:rsidRPr="002F21D4">
        <w:rPr>
          <w:rFonts w:eastAsia="Calibri"/>
          <w:sz w:val="22"/>
          <w:szCs w:val="22"/>
        </w:rPr>
        <w:t xml:space="preserve"> la institucionalidad adelantó acciones tendientes a prevenir el riesgo inminente de reclutamiento forzado y garantizar un entorno protector,</w:t>
      </w:r>
      <w:r w:rsidR="003B198F" w:rsidRPr="002F21D4">
        <w:rPr>
          <w:rFonts w:eastAsia="Calibri"/>
          <w:sz w:val="22"/>
          <w:szCs w:val="22"/>
        </w:rPr>
        <w:t xml:space="preserve"> debido a la existencia de una lista de adolescentes amenazados por no acatar normas de comportamiento</w:t>
      </w:r>
      <w:r w:rsidR="00B96E1D" w:rsidRPr="002F21D4">
        <w:rPr>
          <w:rFonts w:eastAsia="Calibri"/>
          <w:sz w:val="22"/>
          <w:szCs w:val="22"/>
        </w:rPr>
        <w:t xml:space="preserve">. </w:t>
      </w:r>
    </w:p>
    <w:p w14:paraId="119DCA34" w14:textId="77777777" w:rsidR="00B3338F" w:rsidRPr="002F21D4" w:rsidRDefault="00B3338F" w:rsidP="00B06FB8">
      <w:pPr>
        <w:autoSpaceDE w:val="0"/>
        <w:autoSpaceDN w:val="0"/>
        <w:adjustRightInd w:val="0"/>
        <w:snapToGrid w:val="0"/>
        <w:ind w:firstLine="357"/>
        <w:jc w:val="both"/>
        <w:rPr>
          <w:rFonts w:eastAsia="Calibri"/>
          <w:bCs/>
          <w:sz w:val="22"/>
          <w:szCs w:val="22"/>
        </w:rPr>
      </w:pPr>
    </w:p>
    <w:p w14:paraId="3421A7A4" w14:textId="5463BEDB" w:rsidR="00AF55E1" w:rsidRPr="002F21D4" w:rsidRDefault="008E5412" w:rsidP="00B06FB8">
      <w:pPr>
        <w:autoSpaceDE w:val="0"/>
        <w:autoSpaceDN w:val="0"/>
        <w:adjustRightInd w:val="0"/>
        <w:snapToGrid w:val="0"/>
        <w:ind w:firstLine="357"/>
        <w:jc w:val="both"/>
        <w:rPr>
          <w:rFonts w:eastAsia="Calibri"/>
          <w:sz w:val="22"/>
          <w:szCs w:val="22"/>
        </w:rPr>
      </w:pPr>
      <w:r w:rsidRPr="002F21D4">
        <w:rPr>
          <w:rFonts w:eastAsia="Calibri"/>
          <w:bCs/>
          <w:sz w:val="22"/>
          <w:szCs w:val="22"/>
        </w:rPr>
        <w:t>Por su parte, L</w:t>
      </w:r>
      <w:r w:rsidR="00AF55E1" w:rsidRPr="002F21D4">
        <w:rPr>
          <w:rFonts w:eastAsia="Calibri"/>
          <w:bCs/>
          <w:sz w:val="22"/>
          <w:szCs w:val="22"/>
        </w:rPr>
        <w:t>os Caparros</w:t>
      </w:r>
      <w:r w:rsidRPr="002F21D4">
        <w:rPr>
          <w:rFonts w:eastAsia="Calibri"/>
          <w:bCs/>
          <w:sz w:val="22"/>
          <w:szCs w:val="22"/>
        </w:rPr>
        <w:t xml:space="preserve">, en la región del Bajo </w:t>
      </w:r>
      <w:r w:rsidR="00EA5730" w:rsidRPr="002F21D4">
        <w:rPr>
          <w:rFonts w:eastAsia="Calibri"/>
          <w:bCs/>
          <w:sz w:val="22"/>
          <w:szCs w:val="22"/>
        </w:rPr>
        <w:t>Cauca, reclutaron</w:t>
      </w:r>
      <w:r w:rsidR="00AF55E1" w:rsidRPr="002F21D4">
        <w:rPr>
          <w:rFonts w:eastAsia="Calibri"/>
          <w:bCs/>
          <w:sz w:val="22"/>
          <w:szCs w:val="22"/>
        </w:rPr>
        <w:t xml:space="preserve"> ilícitamente</w:t>
      </w:r>
      <w:r w:rsidR="00AF55E1" w:rsidRPr="002F21D4">
        <w:rPr>
          <w:rFonts w:eastAsia="Calibri"/>
          <w:sz w:val="22"/>
          <w:szCs w:val="22"/>
        </w:rPr>
        <w:t xml:space="preserve"> a 8 jóvenes que viajaban como polizones en un camión, y a quienes les ofrecieron COP$1.000.000 por vincularse al GAI, sin embargo, debido a las denuncias </w:t>
      </w:r>
      <w:r w:rsidR="006E3724" w:rsidRPr="002F21D4">
        <w:rPr>
          <w:rFonts w:eastAsia="Calibri"/>
          <w:sz w:val="22"/>
          <w:szCs w:val="22"/>
        </w:rPr>
        <w:t>de</w:t>
      </w:r>
      <w:r w:rsidR="00AF55E1" w:rsidRPr="002F21D4">
        <w:rPr>
          <w:rFonts w:eastAsia="Calibri"/>
          <w:sz w:val="22"/>
          <w:szCs w:val="22"/>
        </w:rPr>
        <w:t xml:space="preserve"> familiares y la </w:t>
      </w:r>
      <w:proofErr w:type="spellStart"/>
      <w:r w:rsidR="00AF55E1" w:rsidRPr="002F21D4">
        <w:rPr>
          <w:rFonts w:eastAsia="Calibri"/>
          <w:sz w:val="22"/>
          <w:szCs w:val="22"/>
        </w:rPr>
        <w:t>visibilización</w:t>
      </w:r>
      <w:proofErr w:type="spellEnd"/>
      <w:r w:rsidR="00AF55E1" w:rsidRPr="002F21D4">
        <w:rPr>
          <w:rFonts w:eastAsia="Calibri"/>
          <w:sz w:val="22"/>
          <w:szCs w:val="22"/>
        </w:rPr>
        <w:t xml:space="preserve"> de este caso en medios de comunicación, fueron liberados 7 de ellos. </w:t>
      </w:r>
    </w:p>
    <w:p w14:paraId="04C20DC6" w14:textId="77777777" w:rsidR="00B3338F" w:rsidRPr="002F21D4" w:rsidRDefault="00B3338F" w:rsidP="00B06FB8">
      <w:pPr>
        <w:pStyle w:val="Default"/>
        <w:snapToGrid w:val="0"/>
        <w:ind w:firstLine="357"/>
        <w:jc w:val="both"/>
        <w:rPr>
          <w:sz w:val="22"/>
          <w:szCs w:val="22"/>
        </w:rPr>
      </w:pPr>
    </w:p>
    <w:p w14:paraId="7801682D" w14:textId="6D62DCEB" w:rsidR="00B6586A" w:rsidRPr="002F21D4" w:rsidRDefault="00B6586A" w:rsidP="00B06FB8">
      <w:pPr>
        <w:pStyle w:val="Default"/>
        <w:snapToGrid w:val="0"/>
        <w:ind w:firstLine="357"/>
        <w:jc w:val="both"/>
        <w:rPr>
          <w:rFonts w:eastAsia="Calibri"/>
          <w:sz w:val="22"/>
          <w:szCs w:val="22"/>
        </w:rPr>
      </w:pPr>
      <w:r w:rsidRPr="002F21D4">
        <w:rPr>
          <w:sz w:val="22"/>
          <w:szCs w:val="22"/>
        </w:rPr>
        <w:t>Constituye un reto seguir fortaleciendo las estrategias para transformar los imaginarios colectivos en algunas comunidades que normalizan la dinámica de reclutamiento como un fenómeno que se da por la voluntariedad de NNA de ingresar a los GAI, sin concebirlo como una vulneración a sus derechos. Asimismo, es un desafío atender este fenómeno desde una perspectiva diferencial e interseccional que atienda los impactos específicos sobre niñas, adolescentes, mujeres, comunidades indígenas y afrodescendientes.</w:t>
      </w:r>
      <w:r w:rsidR="0078159F" w:rsidRPr="002F21D4">
        <w:rPr>
          <w:rFonts w:eastAsia="Calibri"/>
          <w:sz w:val="22"/>
          <w:szCs w:val="22"/>
        </w:rPr>
        <w:t xml:space="preserve"> </w:t>
      </w:r>
    </w:p>
    <w:p w14:paraId="7628A41B" w14:textId="77777777" w:rsidR="00B3338F" w:rsidRPr="002F21D4" w:rsidRDefault="00B3338F" w:rsidP="00B06FB8">
      <w:pPr>
        <w:autoSpaceDE w:val="0"/>
        <w:autoSpaceDN w:val="0"/>
        <w:adjustRightInd w:val="0"/>
        <w:snapToGrid w:val="0"/>
        <w:ind w:firstLine="357"/>
        <w:jc w:val="both"/>
        <w:rPr>
          <w:rFonts w:eastAsia="Calibri"/>
          <w:sz w:val="22"/>
          <w:szCs w:val="22"/>
        </w:rPr>
      </w:pPr>
    </w:p>
    <w:p w14:paraId="690672D7" w14:textId="239715B6" w:rsidR="00B6586A" w:rsidRPr="002F21D4" w:rsidRDefault="00B6586A" w:rsidP="00B06FB8">
      <w:pPr>
        <w:autoSpaceDE w:val="0"/>
        <w:autoSpaceDN w:val="0"/>
        <w:adjustRightInd w:val="0"/>
        <w:snapToGrid w:val="0"/>
        <w:ind w:firstLine="357"/>
        <w:jc w:val="both"/>
        <w:rPr>
          <w:rFonts w:eastAsia="Calibri"/>
          <w:sz w:val="22"/>
          <w:szCs w:val="22"/>
        </w:rPr>
      </w:pPr>
      <w:r w:rsidRPr="002F21D4">
        <w:rPr>
          <w:rFonts w:eastAsia="Calibri"/>
          <w:sz w:val="22"/>
          <w:szCs w:val="22"/>
        </w:rPr>
        <w:t>En particular, como se ha señalado desde el XXVI Informe Semestral</w:t>
      </w:r>
      <w:r w:rsidR="0072259A" w:rsidRPr="002F21D4">
        <w:rPr>
          <w:rFonts w:eastAsia="Calibri"/>
          <w:sz w:val="22"/>
          <w:szCs w:val="22"/>
        </w:rPr>
        <w:t>,</w:t>
      </w:r>
      <w:r w:rsidRPr="002F21D4">
        <w:rPr>
          <w:rFonts w:eastAsia="Calibri"/>
          <w:sz w:val="22"/>
          <w:szCs w:val="22"/>
        </w:rPr>
        <w:t xml:space="preserve"> persisten graves violaciones a los derechos humanos de niñas y adolescentes en el departamento del Chocó. Las comunidades denuncian el hostigamiento sistemático y la violencia sobre el cuerpo y la vida de las niñas y adolescentes por parte de GAI. En el municipio del Alto Baudó, la Misión conoció casos de violencia sexual perpetrados por el ELN contra niñas y adolescentes de comunidades indígenas y afrodescendientes que habitan esta zona. Estos hechos se presentan luego de que el GAI obliga a las familias a entregar a sus hijas. Las comunidades </w:t>
      </w:r>
      <w:r w:rsidR="00455232" w:rsidRPr="002F21D4">
        <w:rPr>
          <w:rFonts w:eastAsia="Calibri"/>
          <w:sz w:val="22"/>
          <w:szCs w:val="22"/>
        </w:rPr>
        <w:t>no denuncian</w:t>
      </w:r>
      <w:r w:rsidRPr="002F21D4">
        <w:rPr>
          <w:rFonts w:eastAsia="Calibri"/>
          <w:sz w:val="22"/>
          <w:szCs w:val="22"/>
        </w:rPr>
        <w:t xml:space="preserve"> formalmente estos casos, por temor a represalias por parte de este grupo. Por otro lado, en Norte de Santander las autoridades indígenas del pueblo Motilón-Barí advirtieron sobre el incremento del reclutamiento forzado de NNA, en su territorio, por parte del ELN. </w:t>
      </w:r>
    </w:p>
    <w:p w14:paraId="1A2EAE69" w14:textId="77777777" w:rsidR="00B3338F" w:rsidRPr="002F21D4" w:rsidRDefault="00B3338F" w:rsidP="00B06FB8">
      <w:pPr>
        <w:snapToGrid w:val="0"/>
        <w:ind w:firstLine="357"/>
        <w:jc w:val="both"/>
        <w:rPr>
          <w:rFonts w:eastAsia="Calibri"/>
          <w:sz w:val="22"/>
          <w:szCs w:val="22"/>
        </w:rPr>
      </w:pPr>
    </w:p>
    <w:p w14:paraId="76A2ABEC" w14:textId="102C9A78" w:rsidR="008F26B9" w:rsidRPr="002F21D4" w:rsidRDefault="00042392" w:rsidP="00B06FB8">
      <w:pPr>
        <w:snapToGrid w:val="0"/>
        <w:ind w:firstLine="357"/>
        <w:jc w:val="both"/>
        <w:rPr>
          <w:rFonts w:eastAsia="Calibri"/>
          <w:sz w:val="22"/>
          <w:szCs w:val="22"/>
        </w:rPr>
      </w:pPr>
      <w:r w:rsidRPr="002F21D4">
        <w:rPr>
          <w:rFonts w:eastAsia="Calibri"/>
          <w:sz w:val="22"/>
          <w:szCs w:val="22"/>
        </w:rPr>
        <w:t xml:space="preserve">En zonas rurales, </w:t>
      </w:r>
      <w:proofErr w:type="spellStart"/>
      <w:r w:rsidRPr="002F21D4">
        <w:rPr>
          <w:rFonts w:eastAsia="Calibri"/>
          <w:sz w:val="22"/>
          <w:szCs w:val="22"/>
        </w:rPr>
        <w:t>NNA</w:t>
      </w:r>
      <w:proofErr w:type="spellEnd"/>
      <w:r w:rsidR="00E523E8" w:rsidRPr="002F21D4">
        <w:rPr>
          <w:rFonts w:eastAsia="Calibri"/>
          <w:sz w:val="22"/>
          <w:szCs w:val="22"/>
        </w:rPr>
        <w:t xml:space="preserve"> han muerto</w:t>
      </w:r>
      <w:r w:rsidRPr="002F21D4">
        <w:rPr>
          <w:rFonts w:eastAsia="Calibri"/>
          <w:sz w:val="22"/>
          <w:szCs w:val="22"/>
        </w:rPr>
        <w:t xml:space="preserve"> d</w:t>
      </w:r>
      <w:r w:rsidR="008F26B9" w:rsidRPr="002F21D4">
        <w:rPr>
          <w:rFonts w:eastAsia="Calibri"/>
          <w:sz w:val="22"/>
          <w:szCs w:val="22"/>
        </w:rPr>
        <w:t xml:space="preserve">urante </w:t>
      </w:r>
      <w:r w:rsidR="00A21290" w:rsidRPr="002F21D4">
        <w:rPr>
          <w:rFonts w:eastAsia="Calibri"/>
          <w:sz w:val="22"/>
          <w:szCs w:val="22"/>
        </w:rPr>
        <w:t xml:space="preserve">acciones armadas </w:t>
      </w:r>
      <w:r w:rsidRPr="002F21D4">
        <w:rPr>
          <w:rFonts w:eastAsia="Calibri"/>
          <w:sz w:val="22"/>
          <w:szCs w:val="22"/>
        </w:rPr>
        <w:t>entre GAI</w:t>
      </w:r>
      <w:r w:rsidR="00A21290" w:rsidRPr="002F21D4">
        <w:rPr>
          <w:rFonts w:eastAsia="Calibri"/>
          <w:sz w:val="22"/>
          <w:szCs w:val="22"/>
        </w:rPr>
        <w:t>,</w:t>
      </w:r>
      <w:r w:rsidR="0078159F" w:rsidRPr="002F21D4">
        <w:rPr>
          <w:rFonts w:eastAsia="Calibri"/>
          <w:sz w:val="22"/>
          <w:szCs w:val="22"/>
        </w:rPr>
        <w:t xml:space="preserve"> </w:t>
      </w:r>
      <w:r w:rsidR="00695BB1" w:rsidRPr="002F21D4">
        <w:rPr>
          <w:rFonts w:eastAsia="Calibri"/>
          <w:sz w:val="22"/>
          <w:szCs w:val="22"/>
        </w:rPr>
        <w:t>entre</w:t>
      </w:r>
      <w:r w:rsidR="008F26B9" w:rsidRPr="002F21D4">
        <w:rPr>
          <w:rFonts w:eastAsia="Calibri"/>
          <w:sz w:val="22"/>
          <w:szCs w:val="22"/>
        </w:rPr>
        <w:t xml:space="preserve"> </w:t>
      </w:r>
      <w:r w:rsidR="00012B60" w:rsidRPr="002F21D4">
        <w:rPr>
          <w:rFonts w:eastAsia="Calibri"/>
          <w:sz w:val="22"/>
          <w:szCs w:val="22"/>
        </w:rPr>
        <w:t>é</w:t>
      </w:r>
      <w:r w:rsidRPr="002F21D4">
        <w:rPr>
          <w:rFonts w:eastAsia="Calibri"/>
          <w:sz w:val="22"/>
          <w:szCs w:val="22"/>
        </w:rPr>
        <w:t>stos</w:t>
      </w:r>
      <w:r w:rsidR="008F26B9" w:rsidRPr="002F21D4">
        <w:rPr>
          <w:rFonts w:eastAsia="Calibri"/>
          <w:sz w:val="22"/>
          <w:szCs w:val="22"/>
        </w:rPr>
        <w:t xml:space="preserve"> y la </w:t>
      </w:r>
      <w:r w:rsidR="00B6586A" w:rsidRPr="002F21D4">
        <w:rPr>
          <w:rFonts w:eastAsia="Calibri"/>
          <w:sz w:val="22"/>
          <w:szCs w:val="22"/>
        </w:rPr>
        <w:t>f</w:t>
      </w:r>
      <w:r w:rsidR="008F26B9" w:rsidRPr="002F21D4">
        <w:rPr>
          <w:rFonts w:eastAsia="Calibri"/>
          <w:sz w:val="22"/>
          <w:szCs w:val="22"/>
        </w:rPr>
        <w:t xml:space="preserve">uerza </w:t>
      </w:r>
      <w:r w:rsidR="00B6586A" w:rsidRPr="002F21D4">
        <w:rPr>
          <w:rFonts w:eastAsia="Calibri"/>
          <w:sz w:val="22"/>
          <w:szCs w:val="22"/>
        </w:rPr>
        <w:t>p</w:t>
      </w:r>
      <w:r w:rsidR="008F26B9" w:rsidRPr="002F21D4">
        <w:rPr>
          <w:rFonts w:eastAsia="Calibri"/>
          <w:sz w:val="22"/>
          <w:szCs w:val="22"/>
        </w:rPr>
        <w:t>ública</w:t>
      </w:r>
      <w:r w:rsidR="00A21290" w:rsidRPr="002F21D4">
        <w:rPr>
          <w:rFonts w:eastAsia="Calibri"/>
          <w:sz w:val="22"/>
          <w:szCs w:val="22"/>
        </w:rPr>
        <w:t xml:space="preserve"> y durante bombardeos a campamentos de ilegales</w:t>
      </w:r>
      <w:r w:rsidRPr="002F21D4">
        <w:rPr>
          <w:rFonts w:eastAsia="Calibri"/>
          <w:sz w:val="22"/>
          <w:szCs w:val="22"/>
        </w:rPr>
        <w:t>. Por su parte, en</w:t>
      </w:r>
      <w:r w:rsidR="008F26B9" w:rsidRPr="002F21D4">
        <w:rPr>
          <w:rFonts w:eastAsia="Calibri"/>
          <w:sz w:val="22"/>
          <w:szCs w:val="22"/>
        </w:rPr>
        <w:t xml:space="preserve"> zonas urbanas</w:t>
      </w:r>
      <w:r w:rsidR="00214124" w:rsidRPr="002F21D4">
        <w:rPr>
          <w:rFonts w:eastAsia="Calibri"/>
          <w:sz w:val="22"/>
          <w:szCs w:val="22"/>
        </w:rPr>
        <w:t>,</w:t>
      </w:r>
      <w:r w:rsidR="008F26B9" w:rsidRPr="002F21D4">
        <w:rPr>
          <w:rFonts w:eastAsia="Calibri"/>
          <w:sz w:val="22"/>
          <w:szCs w:val="22"/>
        </w:rPr>
        <w:t xml:space="preserve"> donde prevalece la utilización de NNA desde los 10 años en actividades de microtráfico y extorsión, los menores de edad </w:t>
      </w:r>
      <w:r w:rsidR="0037413B" w:rsidRPr="002F21D4">
        <w:rPr>
          <w:rFonts w:eastAsia="Calibri"/>
          <w:sz w:val="22"/>
          <w:szCs w:val="22"/>
        </w:rPr>
        <w:t>han sido</w:t>
      </w:r>
      <w:r w:rsidR="008F26B9" w:rsidRPr="002F21D4">
        <w:rPr>
          <w:rFonts w:eastAsia="Calibri"/>
          <w:sz w:val="22"/>
          <w:szCs w:val="22"/>
        </w:rPr>
        <w:t xml:space="preserve"> víctimas de homicidio en disputas entre bandas delincuenciales. </w:t>
      </w:r>
    </w:p>
    <w:p w14:paraId="04BEEE8C" w14:textId="77777777" w:rsidR="00B3338F" w:rsidRPr="002F21D4" w:rsidRDefault="00B3338F" w:rsidP="00B06FB8">
      <w:pPr>
        <w:snapToGrid w:val="0"/>
        <w:ind w:firstLine="357"/>
        <w:jc w:val="both"/>
        <w:rPr>
          <w:rFonts w:eastAsia="Calibri"/>
          <w:sz w:val="22"/>
          <w:szCs w:val="22"/>
        </w:rPr>
      </w:pPr>
    </w:p>
    <w:p w14:paraId="77BD8452" w14:textId="0BE5AA32" w:rsidR="00955E04" w:rsidRPr="002F21D4" w:rsidRDefault="00955E04" w:rsidP="00B06FB8">
      <w:pPr>
        <w:snapToGrid w:val="0"/>
        <w:ind w:firstLine="357"/>
        <w:jc w:val="both"/>
        <w:rPr>
          <w:rFonts w:eastAsia="Calibri"/>
          <w:sz w:val="22"/>
          <w:szCs w:val="22"/>
        </w:rPr>
      </w:pPr>
      <w:r w:rsidRPr="002F21D4">
        <w:rPr>
          <w:rFonts w:eastAsia="Calibri"/>
          <w:sz w:val="22"/>
          <w:szCs w:val="22"/>
        </w:rPr>
        <w:t>En este contexto, es inaplazable fortalecer medidas efectivas para la protección integral de NNA en el marco del conflicto armado y las dinámicas de criminalidad</w:t>
      </w:r>
      <w:r w:rsidR="005754BB" w:rsidRPr="002F21D4">
        <w:rPr>
          <w:rFonts w:eastAsia="Calibri"/>
          <w:sz w:val="22"/>
          <w:szCs w:val="22"/>
        </w:rPr>
        <w:t xml:space="preserve">, priorizando su interés superior. </w:t>
      </w:r>
      <w:r w:rsidR="00A21290" w:rsidRPr="002F21D4">
        <w:rPr>
          <w:rFonts w:eastAsia="Calibri"/>
          <w:sz w:val="22"/>
          <w:szCs w:val="22"/>
        </w:rPr>
        <w:t xml:space="preserve">La </w:t>
      </w:r>
      <w:r w:rsidR="00DE03B4" w:rsidRPr="002F21D4">
        <w:rPr>
          <w:rFonts w:eastAsia="Calibri"/>
          <w:sz w:val="22"/>
          <w:szCs w:val="22"/>
        </w:rPr>
        <w:t>S</w:t>
      </w:r>
      <w:r w:rsidR="00A21290" w:rsidRPr="002F21D4">
        <w:rPr>
          <w:rFonts w:eastAsia="Calibri"/>
          <w:sz w:val="22"/>
          <w:szCs w:val="22"/>
        </w:rPr>
        <w:t xml:space="preserve">G/OEA reitera que los </w:t>
      </w:r>
      <w:r w:rsidR="005754BB" w:rsidRPr="002F21D4">
        <w:rPr>
          <w:rFonts w:eastAsia="Calibri"/>
          <w:sz w:val="22"/>
          <w:szCs w:val="22"/>
        </w:rPr>
        <w:t>NNA debe</w:t>
      </w:r>
      <w:r w:rsidR="00D6276A" w:rsidRPr="002F21D4">
        <w:rPr>
          <w:rFonts w:eastAsia="Calibri"/>
          <w:sz w:val="22"/>
          <w:szCs w:val="22"/>
        </w:rPr>
        <w:t>n quedar por fuera de toda dinámica de conflicto y violencia que, en particular, vulnere sus derechos a la vida, integridad, libertad y seguridad</w:t>
      </w:r>
      <w:r w:rsidR="00027CFA" w:rsidRPr="002F21D4">
        <w:rPr>
          <w:rFonts w:eastAsia="Calibri"/>
          <w:sz w:val="22"/>
          <w:szCs w:val="22"/>
        </w:rPr>
        <w:t xml:space="preserve">. </w:t>
      </w:r>
      <w:r w:rsidR="00E74198" w:rsidRPr="002F21D4">
        <w:rPr>
          <w:rFonts w:eastAsia="Calibri"/>
          <w:sz w:val="22"/>
          <w:szCs w:val="22"/>
        </w:rPr>
        <w:t xml:space="preserve">También resaltan la </w:t>
      </w:r>
      <w:r w:rsidR="0058047D" w:rsidRPr="002F21D4">
        <w:rPr>
          <w:rFonts w:eastAsia="Calibri"/>
          <w:sz w:val="22"/>
          <w:szCs w:val="22"/>
        </w:rPr>
        <w:t>urgen</w:t>
      </w:r>
      <w:r w:rsidR="00E74198" w:rsidRPr="002F21D4">
        <w:rPr>
          <w:rFonts w:eastAsia="Calibri"/>
          <w:sz w:val="22"/>
          <w:szCs w:val="22"/>
        </w:rPr>
        <w:t>cia de</w:t>
      </w:r>
      <w:r w:rsidR="0058047D" w:rsidRPr="002F21D4">
        <w:rPr>
          <w:rFonts w:eastAsia="Calibri"/>
          <w:sz w:val="22"/>
          <w:szCs w:val="22"/>
        </w:rPr>
        <w:t xml:space="preserve"> reforzar su protección, en plena observancia de la normatividad del Estado Colombiano y sus preceptos constitucionales </w:t>
      </w:r>
      <w:r w:rsidR="009C06F3" w:rsidRPr="002F21D4">
        <w:rPr>
          <w:rFonts w:eastAsia="Calibri"/>
          <w:sz w:val="22"/>
          <w:szCs w:val="22"/>
        </w:rPr>
        <w:t xml:space="preserve">de prevalencia de los derechos de los NNA, así como </w:t>
      </w:r>
      <w:r w:rsidR="00E74198" w:rsidRPr="002F21D4">
        <w:rPr>
          <w:rFonts w:eastAsia="Calibri"/>
          <w:sz w:val="22"/>
          <w:szCs w:val="22"/>
        </w:rPr>
        <w:t xml:space="preserve">de </w:t>
      </w:r>
      <w:r w:rsidR="009C06F3" w:rsidRPr="002F21D4">
        <w:rPr>
          <w:rFonts w:eastAsia="Calibri"/>
          <w:sz w:val="22"/>
          <w:szCs w:val="22"/>
        </w:rPr>
        <w:t>lo</w:t>
      </w:r>
      <w:r w:rsidR="00E74198" w:rsidRPr="002F21D4">
        <w:rPr>
          <w:rFonts w:eastAsia="Calibri"/>
          <w:sz w:val="22"/>
          <w:szCs w:val="22"/>
        </w:rPr>
        <w:t>s</w:t>
      </w:r>
      <w:r w:rsidR="009C06F3" w:rsidRPr="002F21D4">
        <w:rPr>
          <w:rFonts w:eastAsia="Calibri"/>
          <w:sz w:val="22"/>
          <w:szCs w:val="22"/>
        </w:rPr>
        <w:t xml:space="preserve"> estándares del </w:t>
      </w:r>
      <w:r w:rsidR="00E74198" w:rsidRPr="002F21D4">
        <w:rPr>
          <w:rFonts w:eastAsia="Calibri"/>
          <w:sz w:val="22"/>
          <w:szCs w:val="22"/>
        </w:rPr>
        <w:t xml:space="preserve">Derecho Internacional </w:t>
      </w:r>
      <w:r w:rsidR="009C06F3" w:rsidRPr="002F21D4">
        <w:rPr>
          <w:rFonts w:eastAsia="Calibri"/>
          <w:sz w:val="22"/>
          <w:szCs w:val="22"/>
        </w:rPr>
        <w:t xml:space="preserve">de los </w:t>
      </w:r>
      <w:r w:rsidR="00E74198" w:rsidRPr="002F21D4">
        <w:rPr>
          <w:rFonts w:eastAsia="Calibri"/>
          <w:sz w:val="22"/>
          <w:szCs w:val="22"/>
        </w:rPr>
        <w:t xml:space="preserve">Derechos Humanos </w:t>
      </w:r>
      <w:r w:rsidR="009C06F3" w:rsidRPr="002F21D4">
        <w:rPr>
          <w:rFonts w:eastAsia="Calibri"/>
          <w:sz w:val="22"/>
          <w:szCs w:val="22"/>
        </w:rPr>
        <w:t xml:space="preserve">y </w:t>
      </w:r>
      <w:r w:rsidR="00E74198" w:rsidRPr="002F21D4">
        <w:rPr>
          <w:rFonts w:eastAsia="Calibri"/>
          <w:sz w:val="22"/>
          <w:szCs w:val="22"/>
        </w:rPr>
        <w:t>d</w:t>
      </w:r>
      <w:r w:rsidR="009C06F3" w:rsidRPr="002F21D4">
        <w:rPr>
          <w:rFonts w:eastAsia="Calibri"/>
          <w:sz w:val="22"/>
          <w:szCs w:val="22"/>
        </w:rPr>
        <w:t xml:space="preserve">el Derecho Internacional Humanitario. </w:t>
      </w:r>
    </w:p>
    <w:p w14:paraId="54CCE09E" w14:textId="2BD2350C" w:rsidR="005D7E24" w:rsidRPr="002F21D4" w:rsidRDefault="00D61A2B" w:rsidP="00B06FB8">
      <w:pPr>
        <w:snapToGrid w:val="0"/>
        <w:ind w:firstLine="357"/>
        <w:jc w:val="both"/>
        <w:rPr>
          <w:rFonts w:eastAsia="Calibri"/>
          <w:sz w:val="22"/>
          <w:szCs w:val="22"/>
        </w:rPr>
      </w:pPr>
      <w:r w:rsidRPr="002F21D4">
        <w:rPr>
          <w:rFonts w:eastAsia="Calibri"/>
          <w:sz w:val="22"/>
          <w:szCs w:val="22"/>
        </w:rPr>
        <w:lastRenderedPageBreak/>
        <w:t>Los</w:t>
      </w:r>
      <w:r w:rsidR="008F26B9" w:rsidRPr="002F21D4">
        <w:rPr>
          <w:rFonts w:eastAsia="Calibri"/>
          <w:sz w:val="22"/>
          <w:szCs w:val="22"/>
        </w:rPr>
        <w:t xml:space="preserve"> casos de desvinculación de NNA </w:t>
      </w:r>
      <w:r w:rsidRPr="002F21D4">
        <w:rPr>
          <w:rFonts w:eastAsia="Calibri"/>
          <w:sz w:val="22"/>
          <w:szCs w:val="22"/>
        </w:rPr>
        <w:t xml:space="preserve">se dan, en mayor medida, </w:t>
      </w:r>
      <w:r w:rsidR="008F26B9" w:rsidRPr="002F21D4">
        <w:rPr>
          <w:rFonts w:eastAsia="Calibri"/>
          <w:sz w:val="22"/>
          <w:szCs w:val="22"/>
        </w:rPr>
        <w:t>a través de sistemas de protección comunitaria como Juntas de Acción Comunal (JAC), docentes o Guardias Indígenas</w:t>
      </w:r>
      <w:r w:rsidRPr="002F21D4">
        <w:rPr>
          <w:rFonts w:eastAsia="Calibri"/>
          <w:sz w:val="22"/>
          <w:szCs w:val="22"/>
        </w:rPr>
        <w:t>,</w:t>
      </w:r>
      <w:r w:rsidR="008F26B9" w:rsidRPr="002F21D4">
        <w:rPr>
          <w:rFonts w:eastAsia="Calibri"/>
          <w:sz w:val="22"/>
          <w:szCs w:val="22"/>
        </w:rPr>
        <w:t xml:space="preserve"> sin </w:t>
      </w:r>
      <w:r w:rsidRPr="002F21D4">
        <w:rPr>
          <w:rFonts w:eastAsia="Calibri"/>
          <w:sz w:val="22"/>
          <w:szCs w:val="22"/>
        </w:rPr>
        <w:t>acompañamiento institucional</w:t>
      </w:r>
      <w:r w:rsidR="00396666" w:rsidRPr="002F21D4">
        <w:rPr>
          <w:rStyle w:val="FootnoteReference"/>
          <w:rFonts w:eastAsia="Calibri"/>
          <w:sz w:val="22"/>
          <w:szCs w:val="22"/>
        </w:rPr>
        <w:footnoteReference w:id="35"/>
      </w:r>
      <w:r w:rsidRPr="002F21D4">
        <w:rPr>
          <w:rFonts w:eastAsia="Calibri"/>
          <w:sz w:val="22"/>
          <w:szCs w:val="22"/>
        </w:rPr>
        <w:t>.</w:t>
      </w:r>
      <w:r w:rsidR="008F26B9" w:rsidRPr="002F21D4">
        <w:rPr>
          <w:rFonts w:eastAsia="Calibri"/>
          <w:sz w:val="22"/>
          <w:szCs w:val="22"/>
        </w:rPr>
        <w:t xml:space="preserve"> </w:t>
      </w:r>
      <w:r w:rsidRPr="002F21D4">
        <w:rPr>
          <w:rFonts w:eastAsia="Calibri"/>
          <w:sz w:val="22"/>
          <w:szCs w:val="22"/>
        </w:rPr>
        <w:t>Esta situación genera que se extiendan</w:t>
      </w:r>
      <w:r w:rsidR="008F26B9" w:rsidRPr="002F21D4">
        <w:rPr>
          <w:rFonts w:eastAsia="Calibri"/>
          <w:sz w:val="22"/>
          <w:szCs w:val="22"/>
        </w:rPr>
        <w:t xml:space="preserve"> las amenazas a la vida e integridad y desplazamientos forzados </w:t>
      </w:r>
      <w:r w:rsidRPr="002F21D4">
        <w:rPr>
          <w:rFonts w:eastAsia="Calibri"/>
          <w:sz w:val="22"/>
          <w:szCs w:val="22"/>
        </w:rPr>
        <w:t>a</w:t>
      </w:r>
      <w:r w:rsidR="008F26B9" w:rsidRPr="002F21D4">
        <w:rPr>
          <w:rFonts w:eastAsia="Calibri"/>
          <w:sz w:val="22"/>
          <w:szCs w:val="22"/>
        </w:rPr>
        <w:t xml:space="preserve"> quienes buscan impedir la vinculación de NNA en actividades ilegales. </w:t>
      </w:r>
      <w:r w:rsidR="00F02F02" w:rsidRPr="002F21D4">
        <w:rPr>
          <w:rFonts w:eastAsia="Calibri"/>
          <w:sz w:val="22"/>
          <w:szCs w:val="22"/>
        </w:rPr>
        <w:t>También</w:t>
      </w:r>
      <w:r w:rsidR="00B6586A" w:rsidRPr="002F21D4">
        <w:rPr>
          <w:rFonts w:eastAsia="Calibri"/>
          <w:sz w:val="22"/>
          <w:szCs w:val="22"/>
        </w:rPr>
        <w:t>,</w:t>
      </w:r>
      <w:r w:rsidR="00F02F02" w:rsidRPr="002F21D4">
        <w:rPr>
          <w:rFonts w:eastAsia="Calibri"/>
          <w:sz w:val="22"/>
          <w:szCs w:val="22"/>
        </w:rPr>
        <w:t xml:space="preserve"> a causa de operaciones del Ejército Nacional se h</w:t>
      </w:r>
      <w:r w:rsidR="00B6586A" w:rsidRPr="002F21D4">
        <w:rPr>
          <w:rFonts w:eastAsia="Calibri"/>
          <w:sz w:val="22"/>
          <w:szCs w:val="22"/>
        </w:rPr>
        <w:t xml:space="preserve">a logrado la desvinculación y se ha </w:t>
      </w:r>
      <w:r w:rsidR="00F02F02" w:rsidRPr="002F21D4">
        <w:rPr>
          <w:rFonts w:eastAsia="Calibri"/>
          <w:sz w:val="22"/>
          <w:szCs w:val="22"/>
        </w:rPr>
        <w:t xml:space="preserve">activado la ruta de restablecimiento de derechos a NNA en varios departamentos del país. </w:t>
      </w:r>
    </w:p>
    <w:p w14:paraId="3A49CC13" w14:textId="77777777" w:rsidR="00B3338F" w:rsidRPr="002F21D4" w:rsidRDefault="00B3338F" w:rsidP="00B06FB8">
      <w:pPr>
        <w:snapToGrid w:val="0"/>
        <w:ind w:firstLine="357"/>
        <w:jc w:val="both"/>
        <w:rPr>
          <w:rFonts w:eastAsia="Calibri"/>
          <w:sz w:val="22"/>
          <w:szCs w:val="22"/>
        </w:rPr>
      </w:pPr>
    </w:p>
    <w:p w14:paraId="20DF7F6C" w14:textId="3F931790" w:rsidR="00EF1119" w:rsidRPr="002F21D4" w:rsidRDefault="00EF1119" w:rsidP="00B06FB8">
      <w:pPr>
        <w:pStyle w:val="ListParagraph"/>
        <w:numPr>
          <w:ilvl w:val="2"/>
          <w:numId w:val="2"/>
        </w:numPr>
        <w:autoSpaceDE w:val="0"/>
        <w:autoSpaceDN w:val="0"/>
        <w:adjustRightInd w:val="0"/>
        <w:snapToGrid w:val="0"/>
        <w:spacing w:after="0" w:line="240" w:lineRule="auto"/>
        <w:contextualSpacing w:val="0"/>
        <w:jc w:val="both"/>
        <w:rPr>
          <w:rFonts w:ascii="Times New Roman" w:hAnsi="Times New Roman" w:cs="Times New Roman"/>
          <w:b/>
          <w:bCs/>
          <w:vanish/>
          <w:color w:val="000000" w:themeColor="text1"/>
        </w:rPr>
      </w:pPr>
      <w:bookmarkStart w:id="4" w:name="_Hlk65351750"/>
    </w:p>
    <w:p w14:paraId="0255E1C6" w14:textId="0157127F" w:rsidR="00EF1119" w:rsidRPr="002F21D4" w:rsidRDefault="00C55342" w:rsidP="002F21D4">
      <w:pPr>
        <w:pStyle w:val="Default"/>
        <w:numPr>
          <w:ilvl w:val="2"/>
          <w:numId w:val="1"/>
        </w:numPr>
        <w:snapToGrid w:val="0"/>
        <w:ind w:left="2160"/>
        <w:jc w:val="both"/>
        <w:rPr>
          <w:b/>
          <w:bCs/>
          <w:color w:val="000000" w:themeColor="text1"/>
          <w:sz w:val="22"/>
          <w:szCs w:val="22"/>
        </w:rPr>
      </w:pPr>
      <w:r w:rsidRPr="002F21D4">
        <w:rPr>
          <w:b/>
          <w:bCs/>
          <w:color w:val="000000" w:themeColor="text1"/>
          <w:sz w:val="22"/>
          <w:szCs w:val="22"/>
        </w:rPr>
        <w:t>P</w:t>
      </w:r>
      <w:r w:rsidR="00EF1119" w:rsidRPr="002F21D4">
        <w:rPr>
          <w:b/>
          <w:bCs/>
          <w:color w:val="000000" w:themeColor="text1"/>
          <w:sz w:val="22"/>
          <w:szCs w:val="22"/>
        </w:rPr>
        <w:t xml:space="preserve">resencia y accidentes con Minas Antipersonal (MAP), Munición </w:t>
      </w:r>
      <w:r w:rsidRPr="002F21D4">
        <w:rPr>
          <w:b/>
          <w:bCs/>
          <w:color w:val="000000" w:themeColor="text1"/>
          <w:sz w:val="22"/>
          <w:szCs w:val="22"/>
        </w:rPr>
        <w:t>S</w:t>
      </w:r>
      <w:r w:rsidR="00EF1119" w:rsidRPr="002F21D4">
        <w:rPr>
          <w:b/>
          <w:bCs/>
          <w:color w:val="000000" w:themeColor="text1"/>
          <w:sz w:val="22"/>
          <w:szCs w:val="22"/>
        </w:rPr>
        <w:t xml:space="preserve">in </w:t>
      </w:r>
      <w:r w:rsidRPr="002F21D4">
        <w:rPr>
          <w:b/>
          <w:bCs/>
          <w:color w:val="000000" w:themeColor="text1"/>
          <w:sz w:val="22"/>
          <w:szCs w:val="22"/>
        </w:rPr>
        <w:t>E</w:t>
      </w:r>
      <w:r w:rsidR="00EF1119" w:rsidRPr="002F21D4">
        <w:rPr>
          <w:b/>
          <w:bCs/>
          <w:color w:val="000000" w:themeColor="text1"/>
          <w:sz w:val="22"/>
          <w:szCs w:val="22"/>
        </w:rPr>
        <w:t xml:space="preserve">xplosionar (MSE) y </w:t>
      </w:r>
      <w:r w:rsidR="00EF1119" w:rsidRPr="002F21D4">
        <w:rPr>
          <w:b/>
          <w:bCs/>
          <w:sz w:val="22"/>
          <w:szCs w:val="22"/>
        </w:rPr>
        <w:t>Trampas</w:t>
      </w:r>
      <w:r w:rsidR="00EF1119" w:rsidRPr="002F21D4">
        <w:rPr>
          <w:b/>
          <w:bCs/>
          <w:color w:val="000000" w:themeColor="text1"/>
          <w:sz w:val="22"/>
          <w:szCs w:val="22"/>
        </w:rPr>
        <w:t xml:space="preserve"> Explosivas (TE)</w:t>
      </w:r>
    </w:p>
    <w:p w14:paraId="3806FE7F" w14:textId="77777777" w:rsidR="00B3338F" w:rsidRPr="002F21D4" w:rsidRDefault="00B3338F" w:rsidP="00B06FB8">
      <w:pPr>
        <w:autoSpaceDE w:val="0"/>
        <w:autoSpaceDN w:val="0"/>
        <w:adjustRightInd w:val="0"/>
        <w:snapToGrid w:val="0"/>
        <w:ind w:firstLine="360"/>
        <w:jc w:val="both"/>
        <w:rPr>
          <w:rFonts w:eastAsia="Calibri"/>
          <w:sz w:val="22"/>
          <w:szCs w:val="22"/>
        </w:rPr>
      </w:pPr>
    </w:p>
    <w:p w14:paraId="2B068C06" w14:textId="07BD3401" w:rsidR="00EF1119" w:rsidRPr="002F21D4" w:rsidRDefault="001D1686" w:rsidP="00B06FB8">
      <w:pPr>
        <w:autoSpaceDE w:val="0"/>
        <w:autoSpaceDN w:val="0"/>
        <w:adjustRightInd w:val="0"/>
        <w:snapToGrid w:val="0"/>
        <w:ind w:firstLine="360"/>
        <w:jc w:val="both"/>
        <w:rPr>
          <w:rFonts w:eastAsia="Calibri"/>
          <w:sz w:val="22"/>
          <w:szCs w:val="22"/>
        </w:rPr>
      </w:pPr>
      <w:r w:rsidRPr="002F21D4">
        <w:rPr>
          <w:rFonts w:eastAsia="Calibri"/>
          <w:sz w:val="22"/>
          <w:szCs w:val="22"/>
        </w:rPr>
        <w:t xml:space="preserve">De acuerdo con la Oficina del Alto Comisionado para la Paz (OACP), al </w:t>
      </w:r>
      <w:r w:rsidR="00EF1119" w:rsidRPr="002F21D4">
        <w:rPr>
          <w:rFonts w:eastAsia="Calibri"/>
          <w:sz w:val="22"/>
          <w:szCs w:val="22"/>
        </w:rPr>
        <w:t xml:space="preserve">25 de junio de 2021 </w:t>
      </w:r>
      <w:r w:rsidRPr="002F21D4">
        <w:rPr>
          <w:rFonts w:eastAsia="Calibri"/>
          <w:sz w:val="22"/>
          <w:szCs w:val="22"/>
        </w:rPr>
        <w:t>se cuenta con 172 municipios declarados como libres de sospecha de minas antipersonal, de los 180 municipios</w:t>
      </w:r>
      <w:r w:rsidR="00EF1119" w:rsidRPr="002F21D4">
        <w:rPr>
          <w:rFonts w:eastAsia="Calibri"/>
          <w:sz w:val="22"/>
          <w:szCs w:val="22"/>
        </w:rPr>
        <w:t xml:space="preserve"> </w:t>
      </w:r>
      <w:r w:rsidRPr="002F21D4">
        <w:rPr>
          <w:rFonts w:eastAsia="Calibri"/>
          <w:sz w:val="22"/>
          <w:szCs w:val="22"/>
        </w:rPr>
        <w:t>establecidos como meta para el 2021</w:t>
      </w:r>
      <w:r w:rsidR="00556090" w:rsidRPr="002F21D4">
        <w:rPr>
          <w:rFonts w:eastAsia="Calibri"/>
          <w:sz w:val="22"/>
          <w:szCs w:val="22"/>
        </w:rPr>
        <w:t xml:space="preserve">. </w:t>
      </w:r>
      <w:r w:rsidR="00EF1119" w:rsidRPr="002F21D4">
        <w:rPr>
          <w:rFonts w:eastAsia="Calibri"/>
          <w:sz w:val="22"/>
          <w:szCs w:val="22"/>
        </w:rPr>
        <w:t xml:space="preserve">Asimismo, </w:t>
      </w:r>
      <w:r w:rsidR="00556090" w:rsidRPr="002F21D4">
        <w:rPr>
          <w:rFonts w:eastAsia="Calibri"/>
          <w:sz w:val="22"/>
          <w:szCs w:val="22"/>
        </w:rPr>
        <w:t>el Gobierno nacional</w:t>
      </w:r>
      <w:r w:rsidR="00EF1119" w:rsidRPr="002F21D4">
        <w:rPr>
          <w:rFonts w:eastAsia="Calibri"/>
          <w:sz w:val="22"/>
          <w:szCs w:val="22"/>
        </w:rPr>
        <w:t xml:space="preserve"> </w:t>
      </w:r>
      <w:r w:rsidR="00556090" w:rsidRPr="002F21D4">
        <w:rPr>
          <w:rFonts w:eastAsia="Calibri"/>
          <w:sz w:val="22"/>
          <w:szCs w:val="22"/>
        </w:rPr>
        <w:t xml:space="preserve">fomentó escenarios </w:t>
      </w:r>
      <w:r w:rsidR="00EF1119" w:rsidRPr="002F21D4">
        <w:rPr>
          <w:rFonts w:eastAsia="Calibri"/>
          <w:sz w:val="22"/>
          <w:szCs w:val="22"/>
        </w:rPr>
        <w:t>de diálogo para fortalecer las capacidades de la Red Nacional de Asociaciones de Sobrevivientes de Minas, los programas de prevención con actividades de Educación en el Riesgo de Minas (ERM)</w:t>
      </w:r>
      <w:r w:rsidR="0099525A" w:rsidRPr="002F21D4">
        <w:rPr>
          <w:rStyle w:val="FootnoteReference"/>
          <w:rFonts w:eastAsia="Calibri"/>
          <w:sz w:val="22"/>
          <w:szCs w:val="22"/>
        </w:rPr>
        <w:footnoteReference w:id="36"/>
      </w:r>
      <w:r w:rsidR="00EF1119" w:rsidRPr="002F21D4">
        <w:rPr>
          <w:rFonts w:eastAsia="Calibri"/>
          <w:sz w:val="22"/>
          <w:szCs w:val="22"/>
        </w:rPr>
        <w:t xml:space="preserve"> y la publicación</w:t>
      </w:r>
      <w:r w:rsidR="0078159F" w:rsidRPr="002F21D4">
        <w:rPr>
          <w:rFonts w:eastAsia="Calibri"/>
          <w:sz w:val="22"/>
          <w:szCs w:val="22"/>
        </w:rPr>
        <w:t xml:space="preserve"> </w:t>
      </w:r>
      <w:r w:rsidR="00556090" w:rsidRPr="002F21D4">
        <w:rPr>
          <w:rFonts w:eastAsia="Calibri"/>
          <w:sz w:val="22"/>
          <w:szCs w:val="22"/>
        </w:rPr>
        <w:t>de</w:t>
      </w:r>
      <w:r w:rsidR="00EF1119" w:rsidRPr="002F21D4">
        <w:rPr>
          <w:rFonts w:eastAsia="Calibri"/>
          <w:sz w:val="22"/>
          <w:szCs w:val="22"/>
        </w:rPr>
        <w:t xml:space="preserve"> datos abiertos en la página oficial de la OACP que detallan el seguimiento al fenómeno, </w:t>
      </w:r>
      <w:r w:rsidR="00556090" w:rsidRPr="002F21D4">
        <w:rPr>
          <w:rFonts w:eastAsia="Calibri"/>
          <w:sz w:val="22"/>
          <w:szCs w:val="22"/>
        </w:rPr>
        <w:t xml:space="preserve">las </w:t>
      </w:r>
      <w:r w:rsidR="00EF1119" w:rsidRPr="002F21D4">
        <w:rPr>
          <w:rFonts w:eastAsia="Calibri"/>
          <w:sz w:val="22"/>
          <w:szCs w:val="22"/>
        </w:rPr>
        <w:t xml:space="preserve">zonas de mayor riesgo, </w:t>
      </w:r>
      <w:r w:rsidR="00556090" w:rsidRPr="002F21D4">
        <w:rPr>
          <w:rFonts w:eastAsia="Calibri"/>
          <w:sz w:val="22"/>
          <w:szCs w:val="22"/>
        </w:rPr>
        <w:t xml:space="preserve">las </w:t>
      </w:r>
      <w:r w:rsidR="00EF1119" w:rsidRPr="002F21D4">
        <w:rPr>
          <w:rFonts w:eastAsia="Calibri"/>
          <w:sz w:val="22"/>
          <w:szCs w:val="22"/>
        </w:rPr>
        <w:t xml:space="preserve">acciones de intervención, </w:t>
      </w:r>
      <w:r w:rsidR="00556090" w:rsidRPr="002F21D4">
        <w:rPr>
          <w:rFonts w:eastAsia="Calibri"/>
          <w:sz w:val="22"/>
          <w:szCs w:val="22"/>
        </w:rPr>
        <w:t xml:space="preserve">las </w:t>
      </w:r>
      <w:r w:rsidR="00EF1119" w:rsidRPr="002F21D4">
        <w:rPr>
          <w:rFonts w:eastAsia="Calibri"/>
          <w:sz w:val="22"/>
          <w:szCs w:val="22"/>
        </w:rPr>
        <w:t>zonas despejadas</w:t>
      </w:r>
      <w:r w:rsidR="00B15DDC" w:rsidRPr="002F21D4">
        <w:rPr>
          <w:rFonts w:eastAsia="Calibri"/>
          <w:sz w:val="22"/>
          <w:szCs w:val="22"/>
        </w:rPr>
        <w:t xml:space="preserve"> </w:t>
      </w:r>
      <w:r w:rsidR="00EF1119" w:rsidRPr="002F21D4">
        <w:rPr>
          <w:rFonts w:eastAsia="Calibri"/>
          <w:sz w:val="22"/>
          <w:szCs w:val="22"/>
        </w:rPr>
        <w:t xml:space="preserve">y </w:t>
      </w:r>
      <w:r w:rsidR="00556090" w:rsidRPr="002F21D4">
        <w:rPr>
          <w:rFonts w:eastAsia="Calibri"/>
          <w:sz w:val="22"/>
          <w:szCs w:val="22"/>
        </w:rPr>
        <w:t xml:space="preserve">las </w:t>
      </w:r>
      <w:r w:rsidR="00EF1119" w:rsidRPr="002F21D4">
        <w:rPr>
          <w:rFonts w:eastAsia="Calibri"/>
          <w:sz w:val="22"/>
          <w:szCs w:val="22"/>
        </w:rPr>
        <w:t xml:space="preserve">actividades de respuesta </w:t>
      </w:r>
      <w:r w:rsidR="00556090" w:rsidRPr="002F21D4">
        <w:rPr>
          <w:rFonts w:eastAsia="Calibri"/>
          <w:sz w:val="22"/>
          <w:szCs w:val="22"/>
        </w:rPr>
        <w:t>de la</w:t>
      </w:r>
      <w:r w:rsidR="00EF1119" w:rsidRPr="002F21D4">
        <w:rPr>
          <w:rFonts w:eastAsia="Calibri"/>
          <w:sz w:val="22"/>
          <w:szCs w:val="22"/>
        </w:rPr>
        <w:t xml:space="preserve"> Acción Integral Contra Minas (AICMA). </w:t>
      </w:r>
    </w:p>
    <w:p w14:paraId="0080AE2F" w14:textId="77777777" w:rsidR="00B3338F" w:rsidRPr="002F21D4" w:rsidRDefault="00B3338F" w:rsidP="00B06FB8">
      <w:pPr>
        <w:autoSpaceDE w:val="0"/>
        <w:autoSpaceDN w:val="0"/>
        <w:adjustRightInd w:val="0"/>
        <w:snapToGrid w:val="0"/>
        <w:ind w:firstLine="360"/>
        <w:jc w:val="both"/>
        <w:rPr>
          <w:rFonts w:eastAsia="Calibri"/>
          <w:sz w:val="22"/>
          <w:szCs w:val="22"/>
        </w:rPr>
      </w:pPr>
    </w:p>
    <w:p w14:paraId="0724063F" w14:textId="6499ECCF" w:rsidR="00EF1119" w:rsidRPr="002F21D4" w:rsidRDefault="00556090" w:rsidP="00B06FB8">
      <w:pPr>
        <w:autoSpaceDE w:val="0"/>
        <w:autoSpaceDN w:val="0"/>
        <w:adjustRightInd w:val="0"/>
        <w:snapToGrid w:val="0"/>
        <w:ind w:firstLine="360"/>
        <w:jc w:val="both"/>
        <w:rPr>
          <w:rFonts w:eastAsia="Calibri"/>
          <w:color w:val="000000" w:themeColor="text1"/>
          <w:sz w:val="22"/>
          <w:szCs w:val="22"/>
        </w:rPr>
      </w:pPr>
      <w:r w:rsidRPr="002F21D4">
        <w:rPr>
          <w:rFonts w:eastAsia="Calibri"/>
          <w:sz w:val="22"/>
          <w:szCs w:val="22"/>
        </w:rPr>
        <w:t>L</w:t>
      </w:r>
      <w:r w:rsidR="00EF1119" w:rsidRPr="002F21D4">
        <w:rPr>
          <w:rFonts w:eastAsia="Calibri"/>
          <w:sz w:val="22"/>
          <w:szCs w:val="22"/>
        </w:rPr>
        <w:t xml:space="preserve">os </w:t>
      </w:r>
      <w:r w:rsidR="00FA7516" w:rsidRPr="002F21D4">
        <w:rPr>
          <w:rFonts w:eastAsia="Calibri"/>
          <w:sz w:val="22"/>
          <w:szCs w:val="22"/>
        </w:rPr>
        <w:t>GAI</w:t>
      </w:r>
      <w:r w:rsidR="00EF1119" w:rsidRPr="002F21D4">
        <w:rPr>
          <w:rFonts w:eastAsia="Calibri"/>
          <w:sz w:val="22"/>
          <w:szCs w:val="22"/>
        </w:rPr>
        <w:t xml:space="preserve"> </w:t>
      </w:r>
      <w:r w:rsidR="005C6DB7" w:rsidRPr="002F21D4">
        <w:rPr>
          <w:rFonts w:eastAsia="Calibri"/>
          <w:sz w:val="22"/>
          <w:szCs w:val="22"/>
        </w:rPr>
        <w:t>siguen</w:t>
      </w:r>
      <w:r w:rsidR="00EF1119" w:rsidRPr="002F21D4">
        <w:rPr>
          <w:rFonts w:eastAsia="Calibri"/>
          <w:sz w:val="22"/>
          <w:szCs w:val="22"/>
        </w:rPr>
        <w:t xml:space="preserve"> empleando </w:t>
      </w:r>
      <w:proofErr w:type="gramStart"/>
      <w:r w:rsidR="00EF1119" w:rsidRPr="002F21D4">
        <w:rPr>
          <w:rFonts w:eastAsia="Calibri"/>
          <w:sz w:val="22"/>
          <w:szCs w:val="22"/>
        </w:rPr>
        <w:t>minas antipersonal</w:t>
      </w:r>
      <w:proofErr w:type="gramEnd"/>
      <w:r w:rsidR="00EF1119" w:rsidRPr="002F21D4">
        <w:rPr>
          <w:rFonts w:eastAsia="Calibri"/>
          <w:sz w:val="22"/>
          <w:szCs w:val="22"/>
        </w:rPr>
        <w:t xml:space="preserve"> y artefactos explosivos como estrategia de guerra o </w:t>
      </w:r>
      <w:r w:rsidR="0079472B" w:rsidRPr="002F21D4">
        <w:rPr>
          <w:rFonts w:eastAsia="Calibri"/>
          <w:sz w:val="22"/>
          <w:szCs w:val="22"/>
        </w:rPr>
        <w:t>para</w:t>
      </w:r>
      <w:r w:rsidR="00EF1119" w:rsidRPr="002F21D4">
        <w:rPr>
          <w:rFonts w:eastAsia="Calibri"/>
          <w:sz w:val="22"/>
          <w:szCs w:val="22"/>
        </w:rPr>
        <w:t xml:space="preserve"> proteger dinámicas de ilegalidad</w:t>
      </w:r>
      <w:r w:rsidR="005C6DB7" w:rsidRPr="002F21D4">
        <w:rPr>
          <w:rFonts w:eastAsia="Calibri"/>
          <w:sz w:val="22"/>
          <w:szCs w:val="22"/>
          <w:vertAlign w:val="superscript"/>
        </w:rPr>
        <w:footnoteReference w:id="37"/>
      </w:r>
      <w:r w:rsidR="005C6DB7" w:rsidRPr="002F21D4">
        <w:rPr>
          <w:rFonts w:eastAsia="Calibri"/>
          <w:sz w:val="22"/>
          <w:szCs w:val="22"/>
        </w:rPr>
        <w:t>, poniendo en riesgo a las comunidades. En particular, en Chocó, Nariño y la región del Catatumbo</w:t>
      </w:r>
      <w:r w:rsidR="00F16736" w:rsidRPr="002F21D4">
        <w:rPr>
          <w:rFonts w:eastAsia="Calibri"/>
          <w:sz w:val="22"/>
          <w:szCs w:val="22"/>
        </w:rPr>
        <w:t xml:space="preserve"> (Norte de Santander)</w:t>
      </w:r>
      <w:r w:rsidR="00C81925" w:rsidRPr="002F21D4">
        <w:rPr>
          <w:rFonts w:eastAsia="Calibri"/>
          <w:sz w:val="22"/>
          <w:szCs w:val="22"/>
        </w:rPr>
        <w:t xml:space="preserve"> la población percibe un incremento de contaminación por MAP o MUSE en lugares que han sido epicentros de confrontación entre GAI</w:t>
      </w:r>
      <w:r w:rsidR="00C81925" w:rsidRPr="002F21D4">
        <w:rPr>
          <w:rFonts w:eastAsia="Calibri"/>
          <w:sz w:val="22"/>
          <w:szCs w:val="22"/>
          <w:vertAlign w:val="superscript"/>
        </w:rPr>
        <w:t xml:space="preserve"> </w:t>
      </w:r>
      <w:r w:rsidR="005C6DB7" w:rsidRPr="002F21D4">
        <w:rPr>
          <w:rFonts w:eastAsia="Calibri"/>
          <w:sz w:val="22"/>
          <w:szCs w:val="22"/>
          <w:vertAlign w:val="superscript"/>
        </w:rPr>
        <w:footnoteReference w:id="38"/>
      </w:r>
      <w:r w:rsidR="00EF1119" w:rsidRPr="002F21D4">
        <w:rPr>
          <w:rFonts w:eastAsia="Calibri"/>
          <w:sz w:val="22"/>
          <w:szCs w:val="22"/>
        </w:rPr>
        <w:t>;</w:t>
      </w:r>
      <w:r w:rsidR="005C6DB7" w:rsidRPr="002F21D4">
        <w:rPr>
          <w:rFonts w:eastAsia="Calibri"/>
          <w:sz w:val="22"/>
          <w:szCs w:val="22"/>
        </w:rPr>
        <w:t xml:space="preserve"> así como</w:t>
      </w:r>
      <w:r w:rsidR="00EF1119" w:rsidRPr="002F21D4">
        <w:rPr>
          <w:rFonts w:eastAsia="Calibri"/>
          <w:sz w:val="22"/>
          <w:szCs w:val="22"/>
        </w:rPr>
        <w:t xml:space="preserve"> la reinstalación de MAP en antiguas zonas declaradas libre de sospecha en Putumayo, Guaviare y Nariño</w:t>
      </w:r>
      <w:r w:rsidR="00EF1119" w:rsidRPr="002F21D4">
        <w:rPr>
          <w:rFonts w:eastAsia="Calibri"/>
          <w:sz w:val="22"/>
          <w:szCs w:val="22"/>
          <w:vertAlign w:val="superscript"/>
        </w:rPr>
        <w:footnoteReference w:id="39"/>
      </w:r>
      <w:r w:rsidR="005C6DB7" w:rsidRPr="002F21D4">
        <w:rPr>
          <w:rFonts w:eastAsia="Calibri"/>
          <w:sz w:val="22"/>
          <w:szCs w:val="22"/>
        </w:rPr>
        <w:t>;</w:t>
      </w:r>
      <w:r w:rsidR="00EF1119" w:rsidRPr="002F21D4">
        <w:rPr>
          <w:rFonts w:eastAsia="Calibri"/>
          <w:sz w:val="22"/>
          <w:szCs w:val="22"/>
        </w:rPr>
        <w:t xml:space="preserve"> y el aumento del uso de TE dentro de centros poblados y zonas de alto tránsito para afectar a la </w:t>
      </w:r>
      <w:r w:rsidR="00C81925" w:rsidRPr="002F21D4">
        <w:rPr>
          <w:rFonts w:eastAsia="Calibri"/>
          <w:sz w:val="22"/>
          <w:szCs w:val="22"/>
        </w:rPr>
        <w:t>f</w:t>
      </w:r>
      <w:r w:rsidR="00EF1119" w:rsidRPr="002F21D4">
        <w:rPr>
          <w:rFonts w:eastAsia="Calibri"/>
          <w:sz w:val="22"/>
          <w:szCs w:val="22"/>
        </w:rPr>
        <w:t xml:space="preserve">uerza </w:t>
      </w:r>
      <w:r w:rsidR="00C81925" w:rsidRPr="002F21D4">
        <w:rPr>
          <w:rFonts w:eastAsia="Calibri"/>
          <w:sz w:val="22"/>
          <w:szCs w:val="22"/>
        </w:rPr>
        <w:t>p</w:t>
      </w:r>
      <w:r w:rsidR="00EF1119" w:rsidRPr="002F21D4">
        <w:rPr>
          <w:rFonts w:eastAsia="Calibri"/>
          <w:sz w:val="22"/>
          <w:szCs w:val="22"/>
        </w:rPr>
        <w:t>ública, sobre todo, en Antioquia</w:t>
      </w:r>
      <w:r w:rsidR="007454C5" w:rsidRPr="002F21D4">
        <w:rPr>
          <w:rFonts w:eastAsia="Calibri"/>
          <w:sz w:val="22"/>
          <w:szCs w:val="22"/>
        </w:rPr>
        <w:t>,</w:t>
      </w:r>
      <w:r w:rsidR="00EF1119" w:rsidRPr="002F21D4">
        <w:rPr>
          <w:rFonts w:eastAsia="Calibri"/>
          <w:sz w:val="22"/>
          <w:szCs w:val="22"/>
        </w:rPr>
        <w:t xml:space="preserve"> </w:t>
      </w:r>
      <w:r w:rsidR="002C2D68" w:rsidRPr="002F21D4">
        <w:rPr>
          <w:rFonts w:eastAsia="Calibri"/>
          <w:sz w:val="22"/>
          <w:szCs w:val="22"/>
        </w:rPr>
        <w:t>Arauca</w:t>
      </w:r>
      <w:r w:rsidR="007454C5" w:rsidRPr="002F21D4">
        <w:rPr>
          <w:rFonts w:eastAsia="Calibri"/>
          <w:sz w:val="22"/>
          <w:szCs w:val="22"/>
        </w:rPr>
        <w:t xml:space="preserve">, </w:t>
      </w:r>
      <w:r w:rsidR="00EF1119" w:rsidRPr="002F21D4">
        <w:rPr>
          <w:rFonts w:eastAsia="Calibri"/>
          <w:sz w:val="22"/>
          <w:szCs w:val="22"/>
        </w:rPr>
        <w:t>Norte de Santander</w:t>
      </w:r>
      <w:r w:rsidR="007454C5" w:rsidRPr="002F21D4">
        <w:rPr>
          <w:rFonts w:eastAsia="Calibri"/>
          <w:sz w:val="22"/>
          <w:szCs w:val="22"/>
        </w:rPr>
        <w:t xml:space="preserve"> y Guaviare. En este último departamento </w:t>
      </w:r>
      <w:r w:rsidR="002C2D68" w:rsidRPr="002F21D4">
        <w:rPr>
          <w:rFonts w:eastAsia="Calibri"/>
          <w:sz w:val="22"/>
          <w:szCs w:val="22"/>
        </w:rPr>
        <w:t>los grupos disidentes o residuales de las FARC-EP</w:t>
      </w:r>
      <w:r w:rsidR="00EF1119" w:rsidRPr="002F21D4">
        <w:rPr>
          <w:rFonts w:eastAsia="Calibri"/>
          <w:color w:val="000000" w:themeColor="text1"/>
          <w:sz w:val="22"/>
          <w:szCs w:val="22"/>
        </w:rPr>
        <w:t xml:space="preserve"> está</w:t>
      </w:r>
      <w:r w:rsidR="002C2D68" w:rsidRPr="002F21D4">
        <w:rPr>
          <w:rFonts w:eastAsia="Calibri"/>
          <w:color w:val="000000" w:themeColor="text1"/>
          <w:sz w:val="22"/>
          <w:szCs w:val="22"/>
        </w:rPr>
        <w:t>n</w:t>
      </w:r>
      <w:r w:rsidR="00EF1119" w:rsidRPr="002F21D4">
        <w:rPr>
          <w:rFonts w:eastAsia="Calibri"/>
          <w:color w:val="000000" w:themeColor="text1"/>
          <w:sz w:val="22"/>
          <w:szCs w:val="22"/>
        </w:rPr>
        <w:t xml:space="preserve"> em</w:t>
      </w:r>
      <w:r w:rsidR="00EF1119" w:rsidRPr="002F21D4">
        <w:rPr>
          <w:rFonts w:eastAsia="Calibri"/>
          <w:sz w:val="22"/>
          <w:szCs w:val="22"/>
        </w:rPr>
        <w:t xml:space="preserve">pleando artefactos que explosionan a la altura del rostro para provocar una mayor afectación </w:t>
      </w:r>
      <w:r w:rsidR="00EF1119" w:rsidRPr="002F21D4">
        <w:rPr>
          <w:rFonts w:eastAsia="Calibri"/>
          <w:color w:val="000000" w:themeColor="text1"/>
          <w:sz w:val="22"/>
          <w:szCs w:val="22"/>
        </w:rPr>
        <w:t>a</w:t>
      </w:r>
      <w:r w:rsidR="007454C5" w:rsidRPr="002F21D4">
        <w:rPr>
          <w:rFonts w:eastAsia="Calibri"/>
          <w:color w:val="000000" w:themeColor="text1"/>
          <w:sz w:val="22"/>
          <w:szCs w:val="22"/>
        </w:rPr>
        <w:t xml:space="preserve"> integrantes de</w:t>
      </w:r>
      <w:r w:rsidR="00EF1119" w:rsidRPr="002F21D4">
        <w:rPr>
          <w:rFonts w:eastAsia="Calibri"/>
          <w:color w:val="000000" w:themeColor="text1"/>
          <w:sz w:val="22"/>
          <w:szCs w:val="22"/>
        </w:rPr>
        <w:t xml:space="preserve"> la </w:t>
      </w:r>
      <w:r w:rsidR="00BA67B0" w:rsidRPr="002F21D4">
        <w:rPr>
          <w:rFonts w:eastAsia="Calibri"/>
          <w:color w:val="000000" w:themeColor="text1"/>
          <w:sz w:val="22"/>
          <w:szCs w:val="22"/>
        </w:rPr>
        <w:t>f</w:t>
      </w:r>
      <w:r w:rsidR="00EF1119" w:rsidRPr="002F21D4">
        <w:rPr>
          <w:rFonts w:eastAsia="Calibri"/>
          <w:color w:val="000000" w:themeColor="text1"/>
          <w:sz w:val="22"/>
          <w:szCs w:val="22"/>
        </w:rPr>
        <w:t xml:space="preserve">uerza </w:t>
      </w:r>
      <w:r w:rsidR="00BA67B0" w:rsidRPr="002F21D4">
        <w:rPr>
          <w:rFonts w:eastAsia="Calibri"/>
          <w:color w:val="000000" w:themeColor="text1"/>
          <w:sz w:val="22"/>
          <w:szCs w:val="22"/>
        </w:rPr>
        <w:t>p</w:t>
      </w:r>
      <w:r w:rsidR="00EF1119" w:rsidRPr="002F21D4">
        <w:rPr>
          <w:rFonts w:eastAsia="Calibri"/>
          <w:color w:val="000000" w:themeColor="text1"/>
          <w:sz w:val="22"/>
          <w:szCs w:val="22"/>
        </w:rPr>
        <w:t xml:space="preserve">ública. </w:t>
      </w:r>
    </w:p>
    <w:p w14:paraId="3C98C452" w14:textId="77777777" w:rsidR="00B3338F" w:rsidRPr="002F21D4" w:rsidRDefault="00B3338F" w:rsidP="00B06FB8">
      <w:pPr>
        <w:autoSpaceDE w:val="0"/>
        <w:autoSpaceDN w:val="0"/>
        <w:adjustRightInd w:val="0"/>
        <w:snapToGrid w:val="0"/>
        <w:ind w:firstLine="360"/>
        <w:jc w:val="both"/>
        <w:rPr>
          <w:rFonts w:eastAsia="Calibri"/>
          <w:sz w:val="22"/>
          <w:szCs w:val="22"/>
        </w:rPr>
      </w:pPr>
    </w:p>
    <w:p w14:paraId="12DE47A7" w14:textId="4BB042DF" w:rsidR="001E25C9" w:rsidRPr="002F21D4" w:rsidRDefault="001E25C9" w:rsidP="00B06FB8">
      <w:pPr>
        <w:autoSpaceDE w:val="0"/>
        <w:autoSpaceDN w:val="0"/>
        <w:adjustRightInd w:val="0"/>
        <w:snapToGrid w:val="0"/>
        <w:ind w:firstLine="360"/>
        <w:jc w:val="both"/>
        <w:rPr>
          <w:rFonts w:eastAsia="Calibri"/>
          <w:sz w:val="22"/>
          <w:szCs w:val="22"/>
        </w:rPr>
      </w:pPr>
      <w:r w:rsidRPr="002F21D4">
        <w:rPr>
          <w:rFonts w:eastAsia="Calibri"/>
          <w:sz w:val="22"/>
          <w:szCs w:val="22"/>
        </w:rPr>
        <w:t xml:space="preserve">La persistencia de contaminación y uso de artefactos explosivos por parte de GAI ha generado que se pierdan las demarcaciones previas de zonas peligrosas </w:t>
      </w:r>
      <w:r w:rsidR="007B65C0" w:rsidRPr="002F21D4">
        <w:rPr>
          <w:rFonts w:eastAsia="Calibri"/>
          <w:sz w:val="22"/>
          <w:szCs w:val="22"/>
        </w:rPr>
        <w:t>y,</w:t>
      </w:r>
      <w:r w:rsidRPr="002F21D4">
        <w:rPr>
          <w:rFonts w:eastAsia="Calibri"/>
          <w:sz w:val="22"/>
          <w:szCs w:val="22"/>
        </w:rPr>
        <w:t xml:space="preserve"> por lo tanto, la información disponible acerca de la presencia de MAP y TE se limita a las advertencias que realizan los GAI a las comunidades </w:t>
      </w:r>
      <w:r w:rsidRPr="002F21D4">
        <w:rPr>
          <w:rFonts w:eastAsia="Calibri"/>
          <w:sz w:val="22"/>
          <w:szCs w:val="22"/>
        </w:rPr>
        <w:lastRenderedPageBreak/>
        <w:t>sobre su ubicación</w:t>
      </w:r>
      <w:r w:rsidR="00977187" w:rsidRPr="002F21D4">
        <w:rPr>
          <w:rFonts w:eastAsia="Calibri"/>
          <w:sz w:val="22"/>
          <w:szCs w:val="22"/>
        </w:rPr>
        <w:t>,</w:t>
      </w:r>
      <w:r w:rsidRPr="002F21D4">
        <w:rPr>
          <w:rFonts w:eastAsia="Calibri"/>
          <w:sz w:val="22"/>
          <w:szCs w:val="22"/>
        </w:rPr>
        <w:t xml:space="preserve"> y a la ocurrencia de eventos. En estos casos, como medida de autoprotección</w:t>
      </w:r>
      <w:r w:rsidR="00977187" w:rsidRPr="002F21D4">
        <w:rPr>
          <w:rFonts w:eastAsia="Calibri"/>
          <w:sz w:val="22"/>
          <w:szCs w:val="22"/>
        </w:rPr>
        <w:t xml:space="preserve"> la población</w:t>
      </w:r>
      <w:r w:rsidRPr="002F21D4">
        <w:rPr>
          <w:rFonts w:eastAsia="Calibri"/>
          <w:sz w:val="22"/>
          <w:szCs w:val="22"/>
        </w:rPr>
        <w:t xml:space="preserve"> decide confinarse o desplazarse forzadamente, como suced</w:t>
      </w:r>
      <w:r w:rsidR="00261821" w:rsidRPr="002F21D4">
        <w:rPr>
          <w:rFonts w:eastAsia="Calibri"/>
          <w:sz w:val="22"/>
          <w:szCs w:val="22"/>
        </w:rPr>
        <w:t>ió</w:t>
      </w:r>
      <w:r w:rsidRPr="002F21D4">
        <w:rPr>
          <w:rFonts w:eastAsia="Calibri"/>
          <w:sz w:val="22"/>
          <w:szCs w:val="22"/>
        </w:rPr>
        <w:t xml:space="preserve"> en Murindó y Bojayá en Chocó y en las regiones de </w:t>
      </w:r>
      <w:proofErr w:type="spellStart"/>
      <w:r w:rsidRPr="002F21D4">
        <w:rPr>
          <w:rFonts w:eastAsia="Calibri"/>
          <w:sz w:val="22"/>
          <w:szCs w:val="22"/>
        </w:rPr>
        <w:t>Telembí</w:t>
      </w:r>
      <w:proofErr w:type="spellEnd"/>
      <w:r w:rsidRPr="002F21D4">
        <w:rPr>
          <w:rFonts w:eastAsia="Calibri"/>
          <w:sz w:val="22"/>
          <w:szCs w:val="22"/>
        </w:rPr>
        <w:t xml:space="preserve"> y </w:t>
      </w:r>
      <w:proofErr w:type="spellStart"/>
      <w:r w:rsidRPr="002F21D4">
        <w:rPr>
          <w:rFonts w:eastAsia="Calibri"/>
          <w:sz w:val="22"/>
          <w:szCs w:val="22"/>
        </w:rPr>
        <w:t>Sanquianga</w:t>
      </w:r>
      <w:proofErr w:type="spellEnd"/>
      <w:r w:rsidRPr="002F21D4">
        <w:rPr>
          <w:rFonts w:eastAsia="Calibri"/>
          <w:sz w:val="22"/>
          <w:szCs w:val="22"/>
        </w:rPr>
        <w:t xml:space="preserve"> en Nariño.</w:t>
      </w:r>
    </w:p>
    <w:p w14:paraId="440250FC" w14:textId="77777777" w:rsidR="00B3338F" w:rsidRPr="002F21D4" w:rsidRDefault="00B3338F" w:rsidP="00B06FB8">
      <w:pPr>
        <w:autoSpaceDE w:val="0"/>
        <w:autoSpaceDN w:val="0"/>
        <w:adjustRightInd w:val="0"/>
        <w:snapToGrid w:val="0"/>
        <w:ind w:firstLine="360"/>
        <w:jc w:val="both"/>
        <w:rPr>
          <w:rFonts w:eastAsia="Calibri"/>
          <w:sz w:val="22"/>
          <w:szCs w:val="22"/>
        </w:rPr>
      </w:pPr>
    </w:p>
    <w:p w14:paraId="1061862C" w14:textId="27E9A392" w:rsidR="00EF1119" w:rsidRPr="002F21D4" w:rsidRDefault="00A827D1" w:rsidP="00B06FB8">
      <w:pPr>
        <w:autoSpaceDE w:val="0"/>
        <w:autoSpaceDN w:val="0"/>
        <w:adjustRightInd w:val="0"/>
        <w:snapToGrid w:val="0"/>
        <w:ind w:firstLine="360"/>
        <w:jc w:val="both"/>
        <w:rPr>
          <w:rFonts w:eastAsia="Calibri"/>
          <w:color w:val="000000" w:themeColor="text1"/>
          <w:sz w:val="22"/>
          <w:szCs w:val="22"/>
        </w:rPr>
      </w:pPr>
      <w:r w:rsidRPr="002F21D4">
        <w:rPr>
          <w:rFonts w:eastAsia="Calibri"/>
          <w:sz w:val="22"/>
          <w:szCs w:val="22"/>
        </w:rPr>
        <w:t>La mayoría</w:t>
      </w:r>
      <w:r w:rsidR="00EF1119" w:rsidRPr="002F21D4">
        <w:rPr>
          <w:rFonts w:eastAsia="Calibri"/>
          <w:sz w:val="22"/>
          <w:szCs w:val="22"/>
        </w:rPr>
        <w:t xml:space="preserve"> de </w:t>
      </w:r>
      <w:r w:rsidR="00312A7A" w:rsidRPr="002F21D4">
        <w:rPr>
          <w:rFonts w:eastAsia="Calibri"/>
          <w:sz w:val="22"/>
          <w:szCs w:val="22"/>
        </w:rPr>
        <w:t>las víctimas</w:t>
      </w:r>
      <w:r w:rsidR="00EF1119" w:rsidRPr="002F21D4">
        <w:rPr>
          <w:rFonts w:eastAsia="Calibri"/>
          <w:sz w:val="22"/>
          <w:szCs w:val="22"/>
        </w:rPr>
        <w:t xml:space="preserve"> por eventos</w:t>
      </w:r>
      <w:r w:rsidR="00DD32C7" w:rsidRPr="002F21D4">
        <w:rPr>
          <w:rStyle w:val="FootnoteReference"/>
          <w:rFonts w:eastAsia="Calibri"/>
          <w:sz w:val="22"/>
          <w:szCs w:val="22"/>
        </w:rPr>
        <w:footnoteReference w:id="40"/>
      </w:r>
      <w:r w:rsidRPr="002F21D4">
        <w:rPr>
          <w:rFonts w:eastAsia="Calibri"/>
          <w:sz w:val="22"/>
          <w:szCs w:val="22"/>
        </w:rPr>
        <w:t xml:space="preserve"> relacionados con MAP/MSE/TE</w:t>
      </w:r>
      <w:r w:rsidR="00EF1119" w:rsidRPr="002F21D4">
        <w:rPr>
          <w:rFonts w:eastAsia="Calibri"/>
          <w:sz w:val="22"/>
          <w:szCs w:val="22"/>
        </w:rPr>
        <w:t xml:space="preserve"> son civiles, siendo NNA y comunidades indígenas</w:t>
      </w:r>
      <w:r w:rsidR="0093594D" w:rsidRPr="002F21D4">
        <w:rPr>
          <w:rFonts w:eastAsia="Calibri"/>
          <w:sz w:val="22"/>
          <w:szCs w:val="22"/>
        </w:rPr>
        <w:t xml:space="preserve"> </w:t>
      </w:r>
      <w:r w:rsidR="00EF1119" w:rsidRPr="002F21D4">
        <w:rPr>
          <w:rFonts w:eastAsia="Calibri"/>
          <w:sz w:val="22"/>
          <w:szCs w:val="22"/>
        </w:rPr>
        <w:t>las más afectadas</w:t>
      </w:r>
      <w:r w:rsidR="0093594D" w:rsidRPr="002F21D4">
        <w:rPr>
          <w:rFonts w:eastAsia="Calibri"/>
          <w:sz w:val="22"/>
          <w:szCs w:val="22"/>
          <w:vertAlign w:val="superscript"/>
        </w:rPr>
        <w:footnoteReference w:id="41"/>
      </w:r>
      <w:r w:rsidR="00EF1119" w:rsidRPr="002F21D4">
        <w:rPr>
          <w:rFonts w:eastAsia="Calibri"/>
          <w:sz w:val="22"/>
          <w:szCs w:val="22"/>
        </w:rPr>
        <w:t xml:space="preserve">. </w:t>
      </w:r>
      <w:r w:rsidR="002C2D68" w:rsidRPr="002F21D4">
        <w:rPr>
          <w:rFonts w:eastAsia="Calibri"/>
          <w:sz w:val="22"/>
          <w:szCs w:val="22"/>
        </w:rPr>
        <w:t>E</w:t>
      </w:r>
      <w:r w:rsidR="00EF1119" w:rsidRPr="002F21D4">
        <w:rPr>
          <w:rFonts w:eastAsia="Calibri"/>
          <w:sz w:val="22"/>
          <w:szCs w:val="22"/>
        </w:rPr>
        <w:t xml:space="preserve">sta situación se debe en parte a que la ubicación de artefactos explosivos se </w:t>
      </w:r>
      <w:r w:rsidR="00EF1119" w:rsidRPr="002F21D4">
        <w:rPr>
          <w:rFonts w:eastAsia="Calibri"/>
          <w:color w:val="000000" w:themeColor="text1"/>
          <w:sz w:val="22"/>
          <w:szCs w:val="22"/>
        </w:rPr>
        <w:t xml:space="preserve">realiza de manera indiscriminada en caminos </w:t>
      </w:r>
      <w:r w:rsidR="00EF1119" w:rsidRPr="002F21D4">
        <w:rPr>
          <w:rFonts w:eastAsia="Calibri"/>
          <w:sz w:val="22"/>
          <w:szCs w:val="22"/>
        </w:rPr>
        <w:t xml:space="preserve">veredales, ríos, cultivos de </w:t>
      </w:r>
      <w:proofErr w:type="spellStart"/>
      <w:r w:rsidR="00EF1119" w:rsidRPr="002F21D4">
        <w:rPr>
          <w:rFonts w:eastAsia="Calibri"/>
          <w:sz w:val="22"/>
          <w:szCs w:val="22"/>
        </w:rPr>
        <w:t>pancoger</w:t>
      </w:r>
      <w:proofErr w:type="spellEnd"/>
      <w:r w:rsidR="006926C0" w:rsidRPr="002F21D4">
        <w:rPr>
          <w:rStyle w:val="FootnoteReference"/>
          <w:rFonts w:eastAsia="Calibri"/>
          <w:sz w:val="22"/>
          <w:szCs w:val="22"/>
        </w:rPr>
        <w:footnoteReference w:id="42"/>
      </w:r>
      <w:r w:rsidR="00EF1119" w:rsidRPr="002F21D4">
        <w:rPr>
          <w:rFonts w:eastAsia="Calibri"/>
          <w:sz w:val="22"/>
          <w:szCs w:val="22"/>
        </w:rPr>
        <w:t>, zonas de tala</w:t>
      </w:r>
      <w:r w:rsidR="008E47D3" w:rsidRPr="002F21D4">
        <w:rPr>
          <w:rFonts w:eastAsia="Calibri"/>
          <w:sz w:val="22"/>
          <w:szCs w:val="22"/>
        </w:rPr>
        <w:t xml:space="preserve"> </w:t>
      </w:r>
      <w:r w:rsidR="00EF1119" w:rsidRPr="002F21D4">
        <w:rPr>
          <w:rFonts w:eastAsia="Calibri"/>
          <w:sz w:val="22"/>
          <w:szCs w:val="22"/>
        </w:rPr>
        <w:t>y cerca de escuelas</w:t>
      </w:r>
      <w:r w:rsidR="008E47D3" w:rsidRPr="002F21D4">
        <w:rPr>
          <w:rFonts w:eastAsia="Calibri"/>
          <w:sz w:val="22"/>
          <w:szCs w:val="22"/>
        </w:rPr>
        <w:t>;</w:t>
      </w:r>
      <w:r w:rsidR="00EF1119" w:rsidRPr="002F21D4">
        <w:rPr>
          <w:rFonts w:eastAsia="Calibri"/>
          <w:sz w:val="22"/>
          <w:szCs w:val="22"/>
        </w:rPr>
        <w:t xml:space="preserve"> lugares que, </w:t>
      </w:r>
      <w:r w:rsidR="00F1562D" w:rsidRPr="002F21D4">
        <w:rPr>
          <w:rFonts w:eastAsia="Calibri"/>
          <w:sz w:val="22"/>
          <w:szCs w:val="22"/>
        </w:rPr>
        <w:t>igualmente,</w:t>
      </w:r>
      <w:r w:rsidR="00EF1119" w:rsidRPr="002F21D4">
        <w:rPr>
          <w:rFonts w:eastAsia="Calibri"/>
          <w:sz w:val="22"/>
          <w:szCs w:val="22"/>
        </w:rPr>
        <w:t xml:space="preserve"> suele transitar la </w:t>
      </w:r>
      <w:r w:rsidR="008E47D3" w:rsidRPr="002F21D4">
        <w:rPr>
          <w:rFonts w:eastAsia="Calibri"/>
          <w:sz w:val="22"/>
          <w:szCs w:val="22"/>
        </w:rPr>
        <w:t>f</w:t>
      </w:r>
      <w:r w:rsidR="00EF1119" w:rsidRPr="002F21D4">
        <w:rPr>
          <w:rFonts w:eastAsia="Calibri"/>
          <w:sz w:val="22"/>
          <w:szCs w:val="22"/>
        </w:rPr>
        <w:t xml:space="preserve">uerza </w:t>
      </w:r>
      <w:r w:rsidR="008E47D3" w:rsidRPr="002F21D4">
        <w:rPr>
          <w:rFonts w:eastAsia="Calibri"/>
          <w:color w:val="000000" w:themeColor="text1"/>
          <w:sz w:val="22"/>
          <w:szCs w:val="22"/>
        </w:rPr>
        <w:t>p</w:t>
      </w:r>
      <w:r w:rsidR="00EF1119" w:rsidRPr="002F21D4">
        <w:rPr>
          <w:rFonts w:eastAsia="Calibri"/>
          <w:color w:val="000000" w:themeColor="text1"/>
          <w:sz w:val="22"/>
          <w:szCs w:val="22"/>
        </w:rPr>
        <w:t xml:space="preserve">ública </w:t>
      </w:r>
      <w:r w:rsidRPr="002F21D4">
        <w:rPr>
          <w:rFonts w:eastAsia="Calibri"/>
          <w:color w:val="000000" w:themeColor="text1"/>
          <w:sz w:val="22"/>
          <w:szCs w:val="22"/>
        </w:rPr>
        <w:t>y</w:t>
      </w:r>
      <w:r w:rsidR="00EF1119" w:rsidRPr="002F21D4">
        <w:rPr>
          <w:rFonts w:eastAsia="Calibri"/>
          <w:color w:val="000000" w:themeColor="text1"/>
          <w:sz w:val="22"/>
          <w:szCs w:val="22"/>
        </w:rPr>
        <w:t xml:space="preserve"> </w:t>
      </w:r>
      <w:proofErr w:type="spellStart"/>
      <w:r w:rsidR="008E47D3" w:rsidRPr="002F21D4">
        <w:rPr>
          <w:rFonts w:eastAsia="Calibri"/>
          <w:color w:val="000000" w:themeColor="text1"/>
          <w:sz w:val="22"/>
          <w:szCs w:val="22"/>
        </w:rPr>
        <w:t>GAI</w:t>
      </w:r>
      <w:proofErr w:type="spellEnd"/>
      <w:r w:rsidR="00AD7959" w:rsidRPr="002F21D4">
        <w:rPr>
          <w:rStyle w:val="FootnoteReference"/>
          <w:rFonts w:eastAsia="Calibri"/>
          <w:color w:val="000000" w:themeColor="text1"/>
          <w:sz w:val="22"/>
          <w:szCs w:val="22"/>
        </w:rPr>
        <w:footnoteReference w:id="43"/>
      </w:r>
      <w:r w:rsidR="00EF1119" w:rsidRPr="002F21D4">
        <w:rPr>
          <w:rFonts w:eastAsia="Calibri"/>
          <w:color w:val="000000" w:themeColor="text1"/>
          <w:sz w:val="22"/>
          <w:szCs w:val="22"/>
        </w:rPr>
        <w:t>.</w:t>
      </w:r>
    </w:p>
    <w:p w14:paraId="4934F194" w14:textId="77777777" w:rsidR="00B3338F" w:rsidRPr="002F21D4" w:rsidRDefault="00B3338F" w:rsidP="00B06FB8">
      <w:pPr>
        <w:autoSpaceDE w:val="0"/>
        <w:autoSpaceDN w:val="0"/>
        <w:adjustRightInd w:val="0"/>
        <w:snapToGrid w:val="0"/>
        <w:ind w:firstLine="360"/>
        <w:jc w:val="both"/>
        <w:rPr>
          <w:rFonts w:eastAsia="Calibri"/>
          <w:color w:val="000000" w:themeColor="text1"/>
          <w:sz w:val="22"/>
          <w:szCs w:val="22"/>
        </w:rPr>
      </w:pPr>
    </w:p>
    <w:p w14:paraId="1A012F36" w14:textId="0F2496EE" w:rsidR="0078448C" w:rsidRPr="002F21D4" w:rsidRDefault="0078448C" w:rsidP="00B06FB8">
      <w:pPr>
        <w:autoSpaceDE w:val="0"/>
        <w:autoSpaceDN w:val="0"/>
        <w:adjustRightInd w:val="0"/>
        <w:snapToGrid w:val="0"/>
        <w:ind w:firstLine="360"/>
        <w:jc w:val="both"/>
        <w:rPr>
          <w:rFonts w:eastAsia="Calibri"/>
          <w:sz w:val="22"/>
          <w:szCs w:val="22"/>
        </w:rPr>
      </w:pPr>
      <w:r w:rsidRPr="002F21D4">
        <w:rPr>
          <w:rFonts w:eastAsia="Calibri"/>
          <w:sz w:val="22"/>
          <w:szCs w:val="22"/>
        </w:rPr>
        <w:t>A su vez, gran parte de los accidentes</w:t>
      </w:r>
      <w:r w:rsidR="00DD32C7" w:rsidRPr="002F21D4">
        <w:rPr>
          <w:rStyle w:val="FootnoteReference"/>
          <w:rFonts w:eastAsia="Calibri"/>
          <w:sz w:val="22"/>
          <w:szCs w:val="22"/>
        </w:rPr>
        <w:footnoteReference w:id="44"/>
      </w:r>
      <w:r w:rsidRPr="002F21D4">
        <w:rPr>
          <w:rFonts w:eastAsia="Calibri"/>
          <w:sz w:val="22"/>
          <w:szCs w:val="22"/>
        </w:rPr>
        <w:t xml:space="preserve"> se produjeron por el desconocimiento de las comunidades sobre los peligros de manipular artefactos explosivos y por el tránsito de personas hacia zonas de riesgo. Por lo anterior, comunidades rurales de Antioquia, Guaviare, Meta, Nariño y Norte de Santander, principalmente, siguen solicitando la intervención de AICMA en operaciones de desminado humanitario.</w:t>
      </w:r>
    </w:p>
    <w:p w14:paraId="09BEEBFA" w14:textId="77777777" w:rsidR="00B3338F" w:rsidRPr="002F21D4" w:rsidRDefault="00B3338F" w:rsidP="00B06FB8">
      <w:pPr>
        <w:autoSpaceDE w:val="0"/>
        <w:autoSpaceDN w:val="0"/>
        <w:adjustRightInd w:val="0"/>
        <w:snapToGrid w:val="0"/>
        <w:ind w:firstLine="360"/>
        <w:jc w:val="both"/>
        <w:rPr>
          <w:sz w:val="22"/>
          <w:szCs w:val="22"/>
        </w:rPr>
      </w:pPr>
    </w:p>
    <w:p w14:paraId="54B9299E" w14:textId="7C6F7C2E" w:rsidR="00F43733" w:rsidRPr="002F21D4" w:rsidRDefault="00047DAF" w:rsidP="00B06FB8">
      <w:pPr>
        <w:autoSpaceDE w:val="0"/>
        <w:autoSpaceDN w:val="0"/>
        <w:adjustRightInd w:val="0"/>
        <w:snapToGrid w:val="0"/>
        <w:ind w:firstLine="360"/>
        <w:jc w:val="both"/>
        <w:rPr>
          <w:rFonts w:eastAsia="Calibri"/>
          <w:sz w:val="22"/>
          <w:szCs w:val="22"/>
        </w:rPr>
      </w:pPr>
      <w:r w:rsidRPr="002F21D4">
        <w:rPr>
          <w:rFonts w:eastAsia="Calibri"/>
          <w:sz w:val="22"/>
          <w:szCs w:val="22"/>
        </w:rPr>
        <w:t>L</w:t>
      </w:r>
      <w:r w:rsidR="00EF1119" w:rsidRPr="002F21D4">
        <w:rPr>
          <w:rFonts w:eastAsia="Calibri"/>
          <w:sz w:val="22"/>
          <w:szCs w:val="22"/>
        </w:rPr>
        <w:t>os</w:t>
      </w:r>
      <w:r w:rsidRPr="002F21D4">
        <w:rPr>
          <w:rFonts w:eastAsia="Calibri"/>
          <w:sz w:val="22"/>
          <w:szCs w:val="22"/>
        </w:rPr>
        <w:t xml:space="preserve"> GAI</w:t>
      </w:r>
      <w:r w:rsidR="00EF1119" w:rsidRPr="002F21D4">
        <w:rPr>
          <w:rFonts w:eastAsia="Calibri"/>
          <w:sz w:val="22"/>
          <w:szCs w:val="22"/>
        </w:rPr>
        <w:t xml:space="preserve"> </w:t>
      </w:r>
      <w:r w:rsidRPr="002F21D4">
        <w:rPr>
          <w:rFonts w:eastAsia="Calibri"/>
          <w:sz w:val="22"/>
          <w:szCs w:val="22"/>
        </w:rPr>
        <w:t xml:space="preserve">también son </w:t>
      </w:r>
      <w:r w:rsidR="00EF1119" w:rsidRPr="002F21D4">
        <w:rPr>
          <w:rFonts w:eastAsia="Calibri"/>
          <w:sz w:val="22"/>
          <w:szCs w:val="22"/>
        </w:rPr>
        <w:t xml:space="preserve">responsables de </w:t>
      </w:r>
      <w:r w:rsidR="00C32737" w:rsidRPr="002F21D4">
        <w:rPr>
          <w:rFonts w:eastAsia="Calibri"/>
          <w:sz w:val="22"/>
          <w:szCs w:val="22"/>
        </w:rPr>
        <w:t xml:space="preserve">amenazas y extorsiones </w:t>
      </w:r>
      <w:r w:rsidR="00EF1119" w:rsidRPr="002F21D4">
        <w:rPr>
          <w:rFonts w:eastAsia="Calibri"/>
          <w:sz w:val="22"/>
          <w:szCs w:val="22"/>
        </w:rPr>
        <w:t>a quienes realizan operaciones de desminado</w:t>
      </w:r>
      <w:r w:rsidRPr="002F21D4">
        <w:rPr>
          <w:rFonts w:eastAsia="Calibri"/>
          <w:sz w:val="22"/>
          <w:szCs w:val="22"/>
        </w:rPr>
        <w:t>, como ha ocurrido en Antioquia, Guaviare y Meta,</w:t>
      </w:r>
      <w:r w:rsidR="00EF1119" w:rsidRPr="002F21D4">
        <w:rPr>
          <w:rFonts w:eastAsia="Calibri"/>
          <w:sz w:val="22"/>
          <w:szCs w:val="22"/>
        </w:rPr>
        <w:t xml:space="preserve"> </w:t>
      </w:r>
      <w:r w:rsidRPr="002F21D4">
        <w:rPr>
          <w:rFonts w:eastAsia="Calibri"/>
          <w:sz w:val="22"/>
          <w:szCs w:val="22"/>
        </w:rPr>
        <w:t>y</w:t>
      </w:r>
      <w:r w:rsidR="00EF1119" w:rsidRPr="002F21D4">
        <w:rPr>
          <w:rFonts w:eastAsia="Calibri"/>
          <w:sz w:val="22"/>
          <w:szCs w:val="22"/>
        </w:rPr>
        <w:t xml:space="preserve"> </w:t>
      </w:r>
      <w:r w:rsidR="00F43733" w:rsidRPr="002F21D4">
        <w:rPr>
          <w:rFonts w:eastAsia="Calibri"/>
          <w:sz w:val="22"/>
          <w:szCs w:val="22"/>
        </w:rPr>
        <w:t xml:space="preserve">de </w:t>
      </w:r>
      <w:r w:rsidR="00C32737" w:rsidRPr="002F21D4">
        <w:rPr>
          <w:rFonts w:eastAsia="Calibri"/>
          <w:sz w:val="22"/>
          <w:szCs w:val="22"/>
        </w:rPr>
        <w:t>intimidaciones</w:t>
      </w:r>
      <w:r w:rsidR="00F43733" w:rsidRPr="002F21D4">
        <w:rPr>
          <w:rFonts w:eastAsia="Calibri"/>
          <w:sz w:val="22"/>
          <w:szCs w:val="22"/>
        </w:rPr>
        <w:t xml:space="preserve"> a </w:t>
      </w:r>
      <w:r w:rsidR="00312A7A" w:rsidRPr="002F21D4">
        <w:rPr>
          <w:rFonts w:eastAsia="Calibri"/>
          <w:sz w:val="22"/>
          <w:szCs w:val="22"/>
        </w:rPr>
        <w:t>aquellas personas</w:t>
      </w:r>
      <w:r w:rsidRPr="002F21D4">
        <w:rPr>
          <w:rFonts w:eastAsia="Calibri"/>
          <w:sz w:val="22"/>
          <w:szCs w:val="22"/>
        </w:rPr>
        <w:t xml:space="preserve"> </w:t>
      </w:r>
      <w:r w:rsidR="00EF1119" w:rsidRPr="002F21D4">
        <w:rPr>
          <w:rFonts w:eastAsia="Calibri"/>
          <w:sz w:val="22"/>
          <w:szCs w:val="22"/>
        </w:rPr>
        <w:t>que denuncian zonas contaminadas</w:t>
      </w:r>
      <w:r w:rsidR="00F43733" w:rsidRPr="002F21D4">
        <w:rPr>
          <w:rFonts w:eastAsia="Calibri"/>
          <w:sz w:val="22"/>
          <w:szCs w:val="22"/>
        </w:rPr>
        <w:t xml:space="preserve"> en Antioquia, Chocó y Valle del Cauca</w:t>
      </w:r>
      <w:r w:rsidRPr="002F21D4">
        <w:rPr>
          <w:rFonts w:eastAsia="Calibri"/>
          <w:sz w:val="22"/>
          <w:szCs w:val="22"/>
        </w:rPr>
        <w:t>,</w:t>
      </w:r>
      <w:r w:rsidR="00F43733" w:rsidRPr="002F21D4">
        <w:rPr>
          <w:rFonts w:eastAsia="Calibri"/>
          <w:sz w:val="22"/>
          <w:szCs w:val="22"/>
        </w:rPr>
        <w:t xml:space="preserve"> lo cual termina</w:t>
      </w:r>
      <w:r w:rsidR="00EF1119" w:rsidRPr="002F21D4">
        <w:rPr>
          <w:rFonts w:eastAsia="Calibri"/>
          <w:sz w:val="22"/>
          <w:szCs w:val="22"/>
        </w:rPr>
        <w:t xml:space="preserve"> obstaculizando o restringiendo actividades para la limpieza de los territorios</w:t>
      </w:r>
      <w:r w:rsidR="00F43733" w:rsidRPr="002F21D4">
        <w:rPr>
          <w:rFonts w:eastAsia="Calibri"/>
          <w:sz w:val="22"/>
          <w:szCs w:val="22"/>
          <w:vertAlign w:val="superscript"/>
        </w:rPr>
        <w:footnoteReference w:id="45"/>
      </w:r>
      <w:r w:rsidR="00EF1119" w:rsidRPr="002F21D4">
        <w:rPr>
          <w:rFonts w:eastAsia="Calibri"/>
          <w:sz w:val="22"/>
          <w:szCs w:val="22"/>
        </w:rPr>
        <w:t xml:space="preserve"> o inclusive, </w:t>
      </w:r>
      <w:r w:rsidR="00F43733" w:rsidRPr="002F21D4">
        <w:rPr>
          <w:rFonts w:eastAsia="Calibri"/>
          <w:sz w:val="22"/>
          <w:szCs w:val="22"/>
        </w:rPr>
        <w:t xml:space="preserve">la realización de </w:t>
      </w:r>
      <w:r w:rsidR="00EF1119" w:rsidRPr="002F21D4">
        <w:rPr>
          <w:rFonts w:eastAsia="Calibri"/>
          <w:sz w:val="22"/>
          <w:szCs w:val="22"/>
        </w:rPr>
        <w:t xml:space="preserve">actividades de ERM. </w:t>
      </w:r>
    </w:p>
    <w:p w14:paraId="5BFBF0E9" w14:textId="77777777" w:rsidR="00B3338F" w:rsidRPr="002F21D4" w:rsidRDefault="00B3338F" w:rsidP="00B06FB8">
      <w:pPr>
        <w:autoSpaceDE w:val="0"/>
        <w:autoSpaceDN w:val="0"/>
        <w:adjustRightInd w:val="0"/>
        <w:snapToGrid w:val="0"/>
        <w:ind w:firstLine="360"/>
        <w:jc w:val="both"/>
        <w:rPr>
          <w:rFonts w:eastAsia="Calibri"/>
          <w:sz w:val="22"/>
          <w:szCs w:val="22"/>
        </w:rPr>
      </w:pPr>
    </w:p>
    <w:p w14:paraId="7A2C7BCD" w14:textId="5F876020" w:rsidR="007E68A6" w:rsidRPr="002F21D4" w:rsidRDefault="007E68A6" w:rsidP="002F21D4">
      <w:pPr>
        <w:pStyle w:val="Default"/>
        <w:numPr>
          <w:ilvl w:val="2"/>
          <w:numId w:val="1"/>
        </w:numPr>
        <w:snapToGrid w:val="0"/>
        <w:ind w:left="2160"/>
        <w:jc w:val="both"/>
        <w:rPr>
          <w:b/>
          <w:bCs/>
          <w:color w:val="000000" w:themeColor="text1"/>
          <w:sz w:val="22"/>
          <w:szCs w:val="22"/>
        </w:rPr>
      </w:pPr>
      <w:r w:rsidRPr="002F21D4">
        <w:rPr>
          <w:b/>
          <w:bCs/>
          <w:color w:val="000000" w:themeColor="text1"/>
          <w:sz w:val="22"/>
          <w:szCs w:val="22"/>
        </w:rPr>
        <w:t>Afectaciones a liderazgos sociales y miembros representativos de la comunidad</w:t>
      </w:r>
      <w:r w:rsidRPr="002F21D4">
        <w:rPr>
          <w:bCs/>
          <w:color w:val="000000" w:themeColor="text1"/>
          <w:sz w:val="22"/>
          <w:szCs w:val="22"/>
        </w:rPr>
        <w:t xml:space="preserve"> </w:t>
      </w:r>
      <w:bookmarkEnd w:id="4"/>
    </w:p>
    <w:p w14:paraId="601A5678" w14:textId="77777777" w:rsidR="00B3338F" w:rsidRPr="002F21D4" w:rsidRDefault="00B3338F" w:rsidP="00B06FB8">
      <w:pPr>
        <w:snapToGrid w:val="0"/>
        <w:ind w:firstLine="360"/>
        <w:jc w:val="both"/>
        <w:rPr>
          <w:rFonts w:eastAsia="Calibri"/>
          <w:color w:val="000000" w:themeColor="text1"/>
          <w:sz w:val="22"/>
          <w:szCs w:val="22"/>
          <w:lang w:val="es-ES_tradnl"/>
        </w:rPr>
      </w:pPr>
    </w:p>
    <w:p w14:paraId="4619320D" w14:textId="6B5612C1" w:rsidR="00EF1119" w:rsidRPr="002F21D4" w:rsidRDefault="00090274" w:rsidP="00B06FB8">
      <w:pPr>
        <w:snapToGrid w:val="0"/>
        <w:ind w:firstLine="360"/>
        <w:jc w:val="both"/>
        <w:rPr>
          <w:rFonts w:eastAsia="Calibri"/>
          <w:color w:val="000000" w:themeColor="text1"/>
          <w:sz w:val="22"/>
          <w:szCs w:val="22"/>
          <w:lang w:val="es-ES_tradnl"/>
        </w:rPr>
      </w:pPr>
      <w:r w:rsidRPr="002F21D4">
        <w:rPr>
          <w:rFonts w:eastAsia="Calibri"/>
          <w:color w:val="000000" w:themeColor="text1"/>
          <w:sz w:val="22"/>
          <w:szCs w:val="22"/>
          <w:lang w:val="es-ES_tradnl"/>
        </w:rPr>
        <w:t>N</w:t>
      </w:r>
      <w:r w:rsidR="005D47CF" w:rsidRPr="002F21D4">
        <w:rPr>
          <w:rFonts w:eastAsia="Calibri"/>
          <w:color w:val="000000" w:themeColor="text1"/>
          <w:sz w:val="22"/>
          <w:szCs w:val="22"/>
          <w:lang w:val="es-ES_tradnl"/>
        </w:rPr>
        <w:t>o cesan las</w:t>
      </w:r>
      <w:r w:rsidR="00EF1119" w:rsidRPr="002F21D4">
        <w:rPr>
          <w:rFonts w:eastAsia="Calibri"/>
          <w:color w:val="000000" w:themeColor="text1"/>
          <w:sz w:val="22"/>
          <w:szCs w:val="22"/>
          <w:lang w:val="es-ES_tradnl"/>
        </w:rPr>
        <w:t xml:space="preserve"> múltiples </w:t>
      </w:r>
      <w:r w:rsidR="00790EBB" w:rsidRPr="002F21D4">
        <w:rPr>
          <w:rFonts w:eastAsia="Calibri"/>
          <w:color w:val="000000" w:themeColor="text1"/>
          <w:sz w:val="22"/>
          <w:szCs w:val="22"/>
          <w:lang w:val="es-ES_tradnl"/>
        </w:rPr>
        <w:t>vulneraciones</w:t>
      </w:r>
      <w:r w:rsidR="00EF1119" w:rsidRPr="002F21D4">
        <w:rPr>
          <w:rFonts w:eastAsia="Calibri"/>
          <w:color w:val="000000" w:themeColor="text1"/>
          <w:sz w:val="22"/>
          <w:szCs w:val="22"/>
          <w:lang w:val="es-ES_tradnl"/>
        </w:rPr>
        <w:t xml:space="preserve"> por parte de los </w:t>
      </w:r>
      <w:r w:rsidR="0080345D" w:rsidRPr="002F21D4">
        <w:rPr>
          <w:rFonts w:eastAsia="Calibri"/>
          <w:color w:val="000000" w:themeColor="text1"/>
          <w:sz w:val="22"/>
          <w:szCs w:val="22"/>
          <w:lang w:val="es-ES_tradnl"/>
        </w:rPr>
        <w:t>GAI</w:t>
      </w:r>
      <w:r w:rsidR="00EF1119" w:rsidRPr="002F21D4">
        <w:rPr>
          <w:rFonts w:eastAsia="Calibri"/>
          <w:color w:val="000000" w:themeColor="text1"/>
          <w:sz w:val="22"/>
          <w:szCs w:val="22"/>
          <w:lang w:val="es-ES_tradnl"/>
        </w:rPr>
        <w:t xml:space="preserve"> en contra de autoridades étnico-territoriales, </w:t>
      </w:r>
      <w:proofErr w:type="gramStart"/>
      <w:r w:rsidR="00EF1119" w:rsidRPr="002F21D4">
        <w:rPr>
          <w:rFonts w:eastAsia="Calibri"/>
          <w:color w:val="000000" w:themeColor="text1"/>
          <w:sz w:val="22"/>
          <w:szCs w:val="22"/>
          <w:lang w:val="es-ES_tradnl"/>
        </w:rPr>
        <w:t>defensores</w:t>
      </w:r>
      <w:r w:rsidR="005D47CF" w:rsidRPr="002F21D4">
        <w:rPr>
          <w:rFonts w:eastAsia="Calibri"/>
          <w:color w:val="000000" w:themeColor="text1"/>
          <w:sz w:val="22"/>
          <w:szCs w:val="22"/>
          <w:lang w:val="es-ES_tradnl"/>
        </w:rPr>
        <w:t xml:space="preserve"> y defensoras</w:t>
      </w:r>
      <w:proofErr w:type="gramEnd"/>
      <w:r w:rsidR="00EF1119" w:rsidRPr="002F21D4">
        <w:rPr>
          <w:rFonts w:eastAsia="Calibri"/>
          <w:color w:val="000000" w:themeColor="text1"/>
          <w:sz w:val="22"/>
          <w:szCs w:val="22"/>
          <w:lang w:val="es-ES_tradnl"/>
        </w:rPr>
        <w:t xml:space="preserve"> </w:t>
      </w:r>
      <w:r w:rsidR="00790EBB" w:rsidRPr="002F21D4">
        <w:rPr>
          <w:rFonts w:eastAsia="Calibri"/>
          <w:color w:val="000000" w:themeColor="text1"/>
          <w:sz w:val="22"/>
          <w:szCs w:val="22"/>
          <w:lang w:val="es-ES_tradnl"/>
        </w:rPr>
        <w:t>de</w:t>
      </w:r>
      <w:r w:rsidR="00EF1119" w:rsidRPr="002F21D4">
        <w:rPr>
          <w:rFonts w:eastAsia="Calibri"/>
          <w:color w:val="000000" w:themeColor="text1"/>
          <w:sz w:val="22"/>
          <w:szCs w:val="22"/>
          <w:lang w:val="es-ES_tradnl"/>
        </w:rPr>
        <w:t xml:space="preserve"> derechos humanos, miembros representativos de las </w:t>
      </w:r>
      <w:r w:rsidR="00EF1119" w:rsidRPr="002F21D4">
        <w:rPr>
          <w:rFonts w:eastAsia="Calibri"/>
          <w:color w:val="000000" w:themeColor="text1"/>
          <w:sz w:val="22"/>
          <w:szCs w:val="22"/>
          <w:lang w:val="es-ES_tradnl"/>
        </w:rPr>
        <w:lastRenderedPageBreak/>
        <w:t>comunidades y liderazgos sociales</w:t>
      </w:r>
      <w:r w:rsidR="00790EBB" w:rsidRPr="002F21D4">
        <w:rPr>
          <w:rFonts w:eastAsia="Calibri"/>
          <w:color w:val="000000" w:themeColor="text1"/>
          <w:sz w:val="22"/>
          <w:szCs w:val="22"/>
          <w:lang w:val="es-ES_tradnl"/>
        </w:rPr>
        <w:t>, comunales</w:t>
      </w:r>
      <w:r w:rsidR="00EF1119" w:rsidRPr="002F21D4">
        <w:rPr>
          <w:rFonts w:eastAsia="Calibri"/>
          <w:color w:val="000000" w:themeColor="text1"/>
          <w:sz w:val="22"/>
          <w:szCs w:val="22"/>
          <w:lang w:val="es-ES_tradnl"/>
        </w:rPr>
        <w:t xml:space="preserve"> y campesinos en Antioquia, Cauca, Caquetá, Chocó, Meta, Nariño, Norte de Santander, Putumayo y Valle del Cauca</w:t>
      </w:r>
      <w:r w:rsidR="003E3275" w:rsidRPr="002F21D4">
        <w:rPr>
          <w:rStyle w:val="FootnoteReference"/>
          <w:rFonts w:eastAsia="Calibri"/>
          <w:color w:val="000000" w:themeColor="text1"/>
          <w:sz w:val="22"/>
          <w:szCs w:val="22"/>
          <w:lang w:val="es-ES_tradnl"/>
        </w:rPr>
        <w:footnoteReference w:id="46"/>
      </w:r>
      <w:r w:rsidR="00EF1119" w:rsidRPr="002F21D4">
        <w:rPr>
          <w:rFonts w:eastAsia="Calibri"/>
          <w:color w:val="000000" w:themeColor="text1"/>
          <w:sz w:val="22"/>
          <w:szCs w:val="22"/>
          <w:lang w:val="es-ES_tradnl"/>
        </w:rPr>
        <w:t>.</w:t>
      </w:r>
    </w:p>
    <w:p w14:paraId="1C8433AF" w14:textId="77777777" w:rsidR="00B3338F" w:rsidRPr="002F21D4" w:rsidRDefault="00B3338F" w:rsidP="00B06FB8">
      <w:pPr>
        <w:snapToGrid w:val="0"/>
        <w:ind w:firstLine="360"/>
        <w:jc w:val="both"/>
        <w:rPr>
          <w:rFonts w:eastAsia="Calibri"/>
          <w:color w:val="000000" w:themeColor="text1"/>
          <w:sz w:val="22"/>
          <w:szCs w:val="22"/>
          <w:lang w:val="es-ES_tradnl"/>
        </w:rPr>
      </w:pPr>
    </w:p>
    <w:p w14:paraId="4FA1F74F" w14:textId="6D742A35" w:rsidR="00EF1119" w:rsidRPr="002F21D4" w:rsidRDefault="00EF1119" w:rsidP="00B06FB8">
      <w:pPr>
        <w:snapToGrid w:val="0"/>
        <w:ind w:firstLine="360"/>
        <w:jc w:val="both"/>
        <w:rPr>
          <w:rFonts w:eastAsia="Calibri"/>
          <w:color w:val="000000" w:themeColor="text1"/>
          <w:sz w:val="22"/>
          <w:szCs w:val="22"/>
          <w:lang w:val="es-ES_tradnl"/>
        </w:rPr>
      </w:pPr>
      <w:r w:rsidRPr="002F21D4">
        <w:rPr>
          <w:rFonts w:eastAsia="Calibri"/>
          <w:color w:val="000000" w:themeColor="text1"/>
          <w:sz w:val="22"/>
          <w:szCs w:val="22"/>
          <w:lang w:val="es-ES_tradnl"/>
        </w:rPr>
        <w:t xml:space="preserve">Las más recurrentes siguen siendo amenaza, homicidio, coacción y desplazamiento forzado. </w:t>
      </w:r>
      <w:r w:rsidR="00BB07F2" w:rsidRPr="002F21D4">
        <w:rPr>
          <w:rFonts w:eastAsia="Calibri"/>
          <w:color w:val="000000" w:themeColor="text1"/>
          <w:sz w:val="22"/>
          <w:szCs w:val="22"/>
          <w:lang w:val="es-ES_tradnl"/>
        </w:rPr>
        <w:t>E</w:t>
      </w:r>
      <w:r w:rsidRPr="002F21D4">
        <w:rPr>
          <w:rFonts w:eastAsia="Calibri"/>
          <w:color w:val="000000" w:themeColor="text1"/>
          <w:sz w:val="22"/>
          <w:szCs w:val="22"/>
          <w:lang w:val="es-ES_tradnl"/>
        </w:rPr>
        <w:t xml:space="preserve">l interés de los </w:t>
      </w:r>
      <w:r w:rsidR="00790EBB" w:rsidRPr="002F21D4">
        <w:rPr>
          <w:rFonts w:eastAsia="Calibri"/>
          <w:color w:val="000000" w:themeColor="text1"/>
          <w:sz w:val="22"/>
          <w:szCs w:val="22"/>
          <w:lang w:val="es-ES_tradnl"/>
        </w:rPr>
        <w:t>GAI</w:t>
      </w:r>
      <w:r w:rsidRPr="002F21D4">
        <w:rPr>
          <w:rFonts w:eastAsia="Calibri"/>
          <w:color w:val="000000" w:themeColor="text1"/>
          <w:sz w:val="22"/>
          <w:szCs w:val="22"/>
          <w:lang w:val="es-ES_tradnl"/>
        </w:rPr>
        <w:t xml:space="preserve"> se enfoca principalmente en exigir a </w:t>
      </w:r>
      <w:r w:rsidR="00BB07F2" w:rsidRPr="002F21D4">
        <w:rPr>
          <w:rFonts w:eastAsia="Calibri"/>
          <w:color w:val="000000" w:themeColor="text1"/>
          <w:sz w:val="22"/>
          <w:szCs w:val="22"/>
          <w:lang w:val="es-ES_tradnl"/>
        </w:rPr>
        <w:t>la población</w:t>
      </w:r>
      <w:r w:rsidRPr="002F21D4">
        <w:rPr>
          <w:rFonts w:eastAsia="Calibri"/>
          <w:color w:val="000000" w:themeColor="text1"/>
          <w:sz w:val="22"/>
          <w:szCs w:val="22"/>
          <w:lang w:val="es-ES_tradnl"/>
        </w:rPr>
        <w:t xml:space="preserve"> que impidan el desarrollo de acciones estatales, cumplan con las normas de control social impuestas, asistan a </w:t>
      </w:r>
      <w:r w:rsidR="00BB07F2" w:rsidRPr="002F21D4">
        <w:rPr>
          <w:rFonts w:eastAsia="Calibri"/>
          <w:color w:val="000000" w:themeColor="text1"/>
          <w:sz w:val="22"/>
          <w:szCs w:val="22"/>
          <w:lang w:val="es-ES_tradnl"/>
        </w:rPr>
        <w:t xml:space="preserve">las </w:t>
      </w:r>
      <w:r w:rsidRPr="002F21D4">
        <w:rPr>
          <w:rFonts w:eastAsia="Calibri"/>
          <w:color w:val="000000" w:themeColor="text1"/>
          <w:sz w:val="22"/>
          <w:szCs w:val="22"/>
          <w:lang w:val="es-ES_tradnl"/>
        </w:rPr>
        <w:t>reuniones</w:t>
      </w:r>
      <w:r w:rsidR="00BB07F2" w:rsidRPr="002F21D4">
        <w:rPr>
          <w:rFonts w:eastAsia="Calibri"/>
          <w:color w:val="000000" w:themeColor="text1"/>
          <w:sz w:val="22"/>
          <w:szCs w:val="22"/>
          <w:lang w:val="es-ES_tradnl"/>
        </w:rPr>
        <w:t xml:space="preserve"> que convocan</w:t>
      </w:r>
      <w:r w:rsidRPr="002F21D4">
        <w:rPr>
          <w:rFonts w:eastAsia="Calibri"/>
          <w:color w:val="000000" w:themeColor="text1"/>
          <w:sz w:val="22"/>
          <w:szCs w:val="22"/>
          <w:lang w:val="es-ES_tradnl"/>
        </w:rPr>
        <w:t>, renuncien a actividades políticas, eviten denunciar o visibilizar cualquier tipo de vulneración ante la institucionalidad</w:t>
      </w:r>
      <w:r w:rsidR="00F73BFC" w:rsidRPr="002F21D4">
        <w:rPr>
          <w:rFonts w:eastAsia="Calibri"/>
          <w:color w:val="000000" w:themeColor="text1"/>
          <w:sz w:val="22"/>
          <w:szCs w:val="22"/>
          <w:lang w:val="es-ES_tradnl"/>
        </w:rPr>
        <w:t xml:space="preserve"> (</w:t>
      </w:r>
      <w:r w:rsidRPr="002F21D4">
        <w:rPr>
          <w:rFonts w:eastAsia="Calibri"/>
          <w:color w:val="000000" w:themeColor="text1"/>
          <w:sz w:val="22"/>
          <w:szCs w:val="22"/>
          <w:lang w:val="es-ES_tradnl"/>
        </w:rPr>
        <w:t>sobre todo el reclutamiento de NNA y las afectaciones a recursos naturale</w:t>
      </w:r>
      <w:r w:rsidR="00F73BFC" w:rsidRPr="002F21D4">
        <w:rPr>
          <w:rFonts w:eastAsia="Calibri"/>
          <w:color w:val="000000" w:themeColor="text1"/>
          <w:sz w:val="22"/>
          <w:szCs w:val="22"/>
          <w:lang w:val="es-ES_tradnl"/>
        </w:rPr>
        <w:t xml:space="preserve">s) </w:t>
      </w:r>
      <w:r w:rsidRPr="002F21D4">
        <w:rPr>
          <w:rFonts w:eastAsia="Calibri"/>
          <w:color w:val="000000" w:themeColor="text1"/>
          <w:sz w:val="22"/>
          <w:szCs w:val="22"/>
          <w:lang w:val="es-ES_tradnl"/>
        </w:rPr>
        <w:t>y</w:t>
      </w:r>
      <w:r w:rsidR="00816C6D" w:rsidRPr="002F21D4">
        <w:rPr>
          <w:rFonts w:eastAsia="Calibri"/>
          <w:color w:val="000000" w:themeColor="text1"/>
          <w:sz w:val="22"/>
          <w:szCs w:val="22"/>
          <w:lang w:val="es-ES_tradnl"/>
        </w:rPr>
        <w:t xml:space="preserve"> que</w:t>
      </w:r>
      <w:r w:rsidRPr="002F21D4">
        <w:rPr>
          <w:rFonts w:eastAsia="Calibri"/>
          <w:color w:val="000000" w:themeColor="text1"/>
          <w:sz w:val="22"/>
          <w:szCs w:val="22"/>
          <w:lang w:val="es-ES_tradnl"/>
        </w:rPr>
        <w:t xml:space="preserve"> abandonen territorios ancestrales. </w:t>
      </w:r>
    </w:p>
    <w:p w14:paraId="4BC25226" w14:textId="77777777" w:rsidR="00B3338F" w:rsidRPr="002F21D4" w:rsidRDefault="00B3338F" w:rsidP="00B06FB8">
      <w:pPr>
        <w:snapToGrid w:val="0"/>
        <w:ind w:firstLine="360"/>
        <w:jc w:val="both"/>
        <w:rPr>
          <w:rFonts w:eastAsia="Calibri"/>
          <w:color w:val="000000" w:themeColor="text1"/>
          <w:sz w:val="22"/>
          <w:szCs w:val="22"/>
          <w:lang w:val="es-ES_tradnl"/>
        </w:rPr>
      </w:pPr>
    </w:p>
    <w:p w14:paraId="033796D9" w14:textId="16BF80F1" w:rsidR="00EF1119" w:rsidRPr="002F21D4" w:rsidRDefault="00D4045B" w:rsidP="00B06FB8">
      <w:pPr>
        <w:snapToGrid w:val="0"/>
        <w:ind w:firstLine="360"/>
        <w:jc w:val="both"/>
        <w:rPr>
          <w:rFonts w:eastAsia="Calibri"/>
          <w:color w:val="000000" w:themeColor="text1"/>
          <w:sz w:val="22"/>
          <w:szCs w:val="22"/>
          <w:lang w:val="es-ES_tradnl"/>
        </w:rPr>
      </w:pPr>
      <w:r w:rsidRPr="002F21D4">
        <w:rPr>
          <w:rFonts w:eastAsia="Calibri"/>
          <w:color w:val="000000" w:themeColor="text1"/>
          <w:sz w:val="22"/>
          <w:szCs w:val="22"/>
          <w:lang w:val="es-ES_tradnl"/>
        </w:rPr>
        <w:t>L</w:t>
      </w:r>
      <w:r w:rsidR="00EF1119" w:rsidRPr="002F21D4">
        <w:rPr>
          <w:rFonts w:eastAsia="Calibri"/>
          <w:color w:val="000000" w:themeColor="text1"/>
          <w:sz w:val="22"/>
          <w:szCs w:val="22"/>
          <w:lang w:val="es-ES_tradnl"/>
        </w:rPr>
        <w:t>a materialización de</w:t>
      </w:r>
      <w:r w:rsidRPr="002F21D4">
        <w:rPr>
          <w:rFonts w:eastAsia="Calibri"/>
          <w:color w:val="000000" w:themeColor="text1"/>
          <w:sz w:val="22"/>
          <w:szCs w:val="22"/>
          <w:lang w:val="es-ES_tradnl"/>
        </w:rPr>
        <w:t>l</w:t>
      </w:r>
      <w:r w:rsidR="00EF1119" w:rsidRPr="002F21D4">
        <w:rPr>
          <w:rFonts w:eastAsia="Calibri"/>
          <w:color w:val="000000" w:themeColor="text1"/>
          <w:sz w:val="22"/>
          <w:szCs w:val="22"/>
          <w:lang w:val="es-ES_tradnl"/>
        </w:rPr>
        <w:t xml:space="preserve"> riesgo </w:t>
      </w:r>
      <w:r w:rsidRPr="002F21D4">
        <w:rPr>
          <w:rFonts w:eastAsia="Calibri"/>
          <w:color w:val="000000" w:themeColor="text1"/>
          <w:sz w:val="22"/>
          <w:szCs w:val="22"/>
          <w:lang w:val="es-ES_tradnl"/>
        </w:rPr>
        <w:t xml:space="preserve">derivado de </w:t>
      </w:r>
      <w:r w:rsidR="00EF1119" w:rsidRPr="002F21D4">
        <w:rPr>
          <w:rFonts w:eastAsia="Calibri"/>
          <w:color w:val="000000" w:themeColor="text1"/>
          <w:sz w:val="22"/>
          <w:szCs w:val="22"/>
          <w:lang w:val="es-ES_tradnl"/>
        </w:rPr>
        <w:t>las confrontaciones armadas y las amenazas contra</w:t>
      </w:r>
      <w:r w:rsidR="00726C4C" w:rsidRPr="002F21D4">
        <w:rPr>
          <w:rFonts w:eastAsia="Calibri"/>
          <w:color w:val="000000" w:themeColor="text1"/>
          <w:sz w:val="22"/>
          <w:szCs w:val="22"/>
          <w:lang w:val="es-ES_tradnl"/>
        </w:rPr>
        <w:t xml:space="preserve"> los</w:t>
      </w:r>
      <w:r w:rsidR="00EF1119" w:rsidRPr="002F21D4">
        <w:rPr>
          <w:rFonts w:eastAsia="Calibri"/>
          <w:color w:val="000000" w:themeColor="text1"/>
          <w:sz w:val="22"/>
          <w:szCs w:val="22"/>
          <w:lang w:val="es-ES_tradnl"/>
        </w:rPr>
        <w:t xml:space="preserve"> liderazgos</w:t>
      </w:r>
      <w:r w:rsidR="00726C4C" w:rsidRPr="002F21D4">
        <w:rPr>
          <w:rFonts w:eastAsia="Calibri"/>
          <w:color w:val="000000" w:themeColor="text1"/>
          <w:sz w:val="22"/>
          <w:szCs w:val="22"/>
          <w:lang w:val="es-ES_tradnl"/>
        </w:rPr>
        <w:t xml:space="preserve"> </w:t>
      </w:r>
      <w:r w:rsidRPr="002F21D4">
        <w:rPr>
          <w:rFonts w:eastAsia="Calibri"/>
          <w:color w:val="000000" w:themeColor="text1"/>
          <w:sz w:val="22"/>
          <w:szCs w:val="22"/>
          <w:lang w:val="es-ES_tradnl"/>
        </w:rPr>
        <w:t>sociales</w:t>
      </w:r>
      <w:r w:rsidR="00EF1119" w:rsidRPr="002F21D4">
        <w:rPr>
          <w:rFonts w:eastAsia="Calibri"/>
          <w:color w:val="000000" w:themeColor="text1"/>
          <w:sz w:val="22"/>
          <w:szCs w:val="22"/>
          <w:lang w:val="es-ES_tradnl"/>
        </w:rPr>
        <w:t xml:space="preserve"> y funcionarios </w:t>
      </w:r>
      <w:r w:rsidR="00726C4C" w:rsidRPr="002F21D4">
        <w:rPr>
          <w:rFonts w:eastAsia="Calibri"/>
          <w:color w:val="000000" w:themeColor="text1"/>
          <w:sz w:val="22"/>
          <w:szCs w:val="22"/>
          <w:lang w:val="es-ES_tradnl"/>
        </w:rPr>
        <w:t>públicos</w:t>
      </w:r>
      <w:r w:rsidR="00EF1119" w:rsidRPr="002F21D4">
        <w:rPr>
          <w:rFonts w:eastAsia="Calibri"/>
          <w:color w:val="000000" w:themeColor="text1"/>
          <w:sz w:val="22"/>
          <w:szCs w:val="22"/>
          <w:lang w:val="es-ES_tradnl"/>
        </w:rPr>
        <w:t xml:space="preserve"> motivan el abandono del territorio como medida para proteger su integridad personal. </w:t>
      </w:r>
      <w:r w:rsidRPr="002F21D4">
        <w:rPr>
          <w:rFonts w:eastAsia="Calibri"/>
          <w:color w:val="000000" w:themeColor="text1"/>
          <w:sz w:val="22"/>
          <w:szCs w:val="22"/>
          <w:lang w:val="es-ES_tradnl"/>
        </w:rPr>
        <w:t>P</w:t>
      </w:r>
      <w:r w:rsidR="00726C4C" w:rsidRPr="002F21D4">
        <w:rPr>
          <w:rFonts w:eastAsia="Calibri"/>
          <w:color w:val="000000" w:themeColor="text1"/>
          <w:sz w:val="22"/>
          <w:szCs w:val="22"/>
          <w:lang w:val="es-ES_tradnl"/>
        </w:rPr>
        <w:t xml:space="preserve">or ejemplo, </w:t>
      </w:r>
      <w:r w:rsidR="00EF1119" w:rsidRPr="002F21D4">
        <w:rPr>
          <w:rFonts w:eastAsia="Calibri"/>
          <w:color w:val="000000" w:themeColor="text1"/>
          <w:sz w:val="22"/>
          <w:szCs w:val="22"/>
          <w:lang w:val="es-ES_tradnl"/>
        </w:rPr>
        <w:t>en enero, once concejales de Argelia</w:t>
      </w:r>
      <w:r w:rsidR="00726C4C" w:rsidRPr="002F21D4">
        <w:rPr>
          <w:rFonts w:eastAsia="Calibri"/>
          <w:color w:val="000000" w:themeColor="text1"/>
          <w:sz w:val="22"/>
          <w:szCs w:val="22"/>
          <w:lang w:val="es-ES_tradnl"/>
        </w:rPr>
        <w:t xml:space="preserve">, </w:t>
      </w:r>
      <w:r w:rsidR="00EF1119" w:rsidRPr="002F21D4">
        <w:rPr>
          <w:rFonts w:eastAsia="Calibri"/>
          <w:color w:val="000000" w:themeColor="text1"/>
          <w:sz w:val="22"/>
          <w:szCs w:val="22"/>
          <w:lang w:val="es-ES_tradnl"/>
        </w:rPr>
        <w:t xml:space="preserve">Cauca se vieron obligados a desplazarse a Popayán por amenazas de </w:t>
      </w:r>
      <w:r w:rsidRPr="002F21D4">
        <w:rPr>
          <w:rFonts w:eastAsia="Calibri"/>
          <w:color w:val="000000" w:themeColor="text1"/>
          <w:sz w:val="22"/>
          <w:szCs w:val="22"/>
          <w:lang w:val="es-ES_tradnl"/>
        </w:rPr>
        <w:t>GAI</w:t>
      </w:r>
      <w:r w:rsidR="00EF1119" w:rsidRPr="002F21D4">
        <w:rPr>
          <w:rFonts w:eastAsia="Calibri"/>
          <w:color w:val="000000" w:themeColor="text1"/>
          <w:sz w:val="22"/>
          <w:szCs w:val="22"/>
          <w:lang w:val="es-ES_tradnl"/>
        </w:rPr>
        <w:t xml:space="preserve">. </w:t>
      </w:r>
    </w:p>
    <w:p w14:paraId="54918ABB" w14:textId="77777777" w:rsidR="00B3338F" w:rsidRPr="002F21D4" w:rsidRDefault="00B3338F" w:rsidP="00B06FB8">
      <w:pPr>
        <w:snapToGrid w:val="0"/>
        <w:ind w:firstLine="360"/>
        <w:jc w:val="both"/>
        <w:rPr>
          <w:sz w:val="22"/>
          <w:szCs w:val="22"/>
          <w:lang w:val="es-ES"/>
        </w:rPr>
      </w:pPr>
    </w:p>
    <w:p w14:paraId="5AD0F36E" w14:textId="6CD9F19B" w:rsidR="00426F93" w:rsidRPr="002F21D4" w:rsidRDefault="00426F93" w:rsidP="00B06FB8">
      <w:pPr>
        <w:snapToGrid w:val="0"/>
        <w:ind w:firstLine="360"/>
        <w:jc w:val="both"/>
        <w:rPr>
          <w:sz w:val="22"/>
          <w:szCs w:val="22"/>
          <w:lang w:val="es-ES"/>
        </w:rPr>
      </w:pPr>
      <w:r w:rsidRPr="002F21D4">
        <w:rPr>
          <w:sz w:val="22"/>
          <w:szCs w:val="22"/>
          <w:lang w:val="es-ES"/>
        </w:rPr>
        <w:t xml:space="preserve">Por otra parte, </w:t>
      </w:r>
      <w:r w:rsidR="002B7585" w:rsidRPr="002F21D4">
        <w:rPr>
          <w:sz w:val="22"/>
          <w:szCs w:val="22"/>
          <w:lang w:val="es-ES"/>
        </w:rPr>
        <w:t>la Misión</w:t>
      </w:r>
      <w:r w:rsidRPr="002F21D4">
        <w:rPr>
          <w:sz w:val="22"/>
          <w:szCs w:val="22"/>
          <w:lang w:val="es-ES"/>
        </w:rPr>
        <w:t xml:space="preserve"> observa con preocupación los patrones de </w:t>
      </w:r>
      <w:bookmarkStart w:id="5" w:name="_Hlk83375799"/>
      <w:r w:rsidRPr="002F21D4">
        <w:rPr>
          <w:sz w:val="22"/>
          <w:szCs w:val="22"/>
          <w:lang w:val="es-ES"/>
        </w:rPr>
        <w:t>V</w:t>
      </w:r>
      <w:r w:rsidR="003029FD" w:rsidRPr="002F21D4">
        <w:rPr>
          <w:sz w:val="22"/>
          <w:szCs w:val="22"/>
          <w:lang w:val="es-ES"/>
        </w:rPr>
        <w:t xml:space="preserve">iolencias </w:t>
      </w:r>
      <w:r w:rsidRPr="002F21D4">
        <w:rPr>
          <w:sz w:val="22"/>
          <w:szCs w:val="22"/>
          <w:lang w:val="es-ES"/>
        </w:rPr>
        <w:t>B</w:t>
      </w:r>
      <w:r w:rsidR="003029FD" w:rsidRPr="002F21D4">
        <w:rPr>
          <w:sz w:val="22"/>
          <w:szCs w:val="22"/>
          <w:lang w:val="es-ES"/>
        </w:rPr>
        <w:t xml:space="preserve">asadas en </w:t>
      </w:r>
      <w:r w:rsidRPr="002F21D4">
        <w:rPr>
          <w:sz w:val="22"/>
          <w:szCs w:val="22"/>
          <w:lang w:val="es-ES"/>
        </w:rPr>
        <w:t>G</w:t>
      </w:r>
      <w:r w:rsidR="003029FD" w:rsidRPr="002F21D4">
        <w:rPr>
          <w:sz w:val="22"/>
          <w:szCs w:val="22"/>
          <w:lang w:val="es-ES"/>
        </w:rPr>
        <w:t>énero (VB</w:t>
      </w:r>
      <w:bookmarkEnd w:id="5"/>
      <w:r w:rsidR="009B5424" w:rsidRPr="002F21D4">
        <w:rPr>
          <w:sz w:val="22"/>
          <w:szCs w:val="22"/>
          <w:lang w:val="es-ES"/>
        </w:rPr>
        <w:t>G</w:t>
      </w:r>
      <w:r w:rsidR="003029FD" w:rsidRPr="002F21D4">
        <w:rPr>
          <w:sz w:val="22"/>
          <w:szCs w:val="22"/>
          <w:lang w:val="es-ES"/>
        </w:rPr>
        <w:t>)</w:t>
      </w:r>
      <w:r w:rsidRPr="002F21D4">
        <w:rPr>
          <w:rStyle w:val="FootnoteReference"/>
          <w:sz w:val="22"/>
          <w:szCs w:val="22"/>
          <w:lang w:val="es-ES"/>
        </w:rPr>
        <w:t xml:space="preserve"> </w:t>
      </w:r>
      <w:r w:rsidRPr="002F21D4">
        <w:rPr>
          <w:sz w:val="22"/>
          <w:szCs w:val="22"/>
          <w:lang w:val="es-ES"/>
        </w:rPr>
        <w:t>y el aumento del riesgo extraordinario de género</w:t>
      </w:r>
      <w:r w:rsidRPr="002F21D4">
        <w:rPr>
          <w:rStyle w:val="FootnoteReference"/>
          <w:sz w:val="22"/>
          <w:szCs w:val="22"/>
          <w:lang w:val="es-ES"/>
        </w:rPr>
        <w:footnoteReference w:id="47"/>
      </w:r>
      <w:r w:rsidRPr="002F21D4">
        <w:rPr>
          <w:rStyle w:val="FootnoteReference"/>
          <w:sz w:val="22"/>
          <w:szCs w:val="22"/>
          <w:lang w:val="es-ES"/>
        </w:rPr>
        <w:t xml:space="preserve"> </w:t>
      </w:r>
      <w:r w:rsidRPr="002F21D4">
        <w:rPr>
          <w:sz w:val="22"/>
          <w:szCs w:val="22"/>
          <w:lang w:val="es-ES"/>
        </w:rPr>
        <w:t xml:space="preserve">para el ejercicio de los liderazgos de las mujeres, </w:t>
      </w:r>
      <w:r w:rsidR="00550F38" w:rsidRPr="002F21D4">
        <w:rPr>
          <w:sz w:val="22"/>
          <w:szCs w:val="22"/>
          <w:lang w:val="es-ES"/>
        </w:rPr>
        <w:t xml:space="preserve">como </w:t>
      </w:r>
      <w:r w:rsidRPr="002F21D4">
        <w:rPr>
          <w:sz w:val="22"/>
          <w:szCs w:val="22"/>
          <w:lang w:val="es-ES"/>
        </w:rPr>
        <w:t>consecuencia del conflicto armado</w:t>
      </w:r>
      <w:r w:rsidR="00C879EA" w:rsidRPr="002F21D4">
        <w:rPr>
          <w:sz w:val="22"/>
          <w:szCs w:val="22"/>
          <w:lang w:val="es-ES"/>
        </w:rPr>
        <w:t xml:space="preserve"> y d</w:t>
      </w:r>
      <w:r w:rsidRPr="002F21D4">
        <w:rPr>
          <w:sz w:val="22"/>
          <w:szCs w:val="22"/>
          <w:lang w:val="es-ES"/>
        </w:rPr>
        <w:t xml:space="preserve">el accionar criminal en algunas zonas del país. En regiones como el Bajo Cauca </w:t>
      </w:r>
      <w:r w:rsidR="003029FD" w:rsidRPr="002F21D4">
        <w:rPr>
          <w:sz w:val="22"/>
          <w:szCs w:val="22"/>
          <w:lang w:val="es-ES"/>
        </w:rPr>
        <w:t>a</w:t>
      </w:r>
      <w:r w:rsidRPr="002F21D4">
        <w:rPr>
          <w:sz w:val="22"/>
          <w:szCs w:val="22"/>
          <w:lang w:val="es-ES"/>
        </w:rPr>
        <w:t xml:space="preserve">ntioqueño, Magdalena Medio y el Catatumbo, así como en municipios del Chocó, Cauca y Putumayo se han consolidado </w:t>
      </w:r>
      <w:r w:rsidR="00090274" w:rsidRPr="002F21D4">
        <w:rPr>
          <w:sz w:val="22"/>
          <w:szCs w:val="22"/>
          <w:lang w:val="es-ES"/>
        </w:rPr>
        <w:t>dinámicas coercitivas</w:t>
      </w:r>
      <w:r w:rsidRPr="002F21D4">
        <w:rPr>
          <w:sz w:val="22"/>
          <w:szCs w:val="22"/>
          <w:lang w:val="es-ES"/>
        </w:rPr>
        <w:t xml:space="preserve"> contra las mujeres, niñas y adolescentes</w:t>
      </w:r>
      <w:r w:rsidRPr="002F21D4">
        <w:rPr>
          <w:rStyle w:val="FootnoteReference"/>
          <w:sz w:val="22"/>
          <w:szCs w:val="22"/>
          <w:lang w:val="es-ES"/>
        </w:rPr>
        <w:footnoteReference w:id="48"/>
      </w:r>
      <w:r w:rsidRPr="002F21D4">
        <w:rPr>
          <w:sz w:val="22"/>
          <w:szCs w:val="22"/>
          <w:lang w:val="es-ES"/>
        </w:rPr>
        <w:t xml:space="preserve">, cuyos impactos individuales y colectivos menoscaban el ejercicio de sus derechos humanos, incluyendo los derechos civiles y políticos que aquellas vienen reclamando tras la firma del Acuerdo </w:t>
      </w:r>
      <w:r w:rsidR="003029FD" w:rsidRPr="002F21D4">
        <w:rPr>
          <w:sz w:val="22"/>
          <w:szCs w:val="22"/>
          <w:lang w:val="es-ES"/>
        </w:rPr>
        <w:t>Final</w:t>
      </w:r>
      <w:r w:rsidRPr="002F21D4">
        <w:rPr>
          <w:sz w:val="22"/>
          <w:szCs w:val="22"/>
          <w:lang w:val="es-ES"/>
        </w:rPr>
        <w:t xml:space="preserve">. </w:t>
      </w:r>
      <w:r w:rsidR="00550F38" w:rsidRPr="002F21D4">
        <w:rPr>
          <w:sz w:val="22"/>
          <w:szCs w:val="22"/>
          <w:lang w:val="es-ES"/>
        </w:rPr>
        <w:t>Persisten</w:t>
      </w:r>
      <w:r w:rsidRPr="002F21D4">
        <w:rPr>
          <w:sz w:val="22"/>
          <w:szCs w:val="22"/>
          <w:lang w:val="es-ES"/>
        </w:rPr>
        <w:t xml:space="preserve"> casos de feminicidio, desaparición forzada, tortura, trata de personas, violencia contra mujeres en política</w:t>
      </w:r>
      <w:r w:rsidR="00986E5E" w:rsidRPr="002F21D4">
        <w:rPr>
          <w:sz w:val="22"/>
          <w:szCs w:val="22"/>
          <w:lang w:val="es-ES"/>
        </w:rPr>
        <w:t>,</w:t>
      </w:r>
      <w:r w:rsidRPr="002F21D4">
        <w:rPr>
          <w:sz w:val="22"/>
          <w:szCs w:val="22"/>
          <w:lang w:val="es-ES"/>
        </w:rPr>
        <w:t xml:space="preserve"> y persecución a las formas de movilización y organización de las mujeres</w:t>
      </w:r>
      <w:r w:rsidR="00C81591" w:rsidRPr="002F21D4">
        <w:rPr>
          <w:sz w:val="22"/>
          <w:szCs w:val="22"/>
          <w:lang w:val="es-ES"/>
        </w:rPr>
        <w:t>.</w:t>
      </w:r>
    </w:p>
    <w:p w14:paraId="0016B934" w14:textId="77777777" w:rsidR="00B3338F" w:rsidRPr="002F21D4" w:rsidRDefault="00B3338F" w:rsidP="00B06FB8">
      <w:pPr>
        <w:snapToGrid w:val="0"/>
        <w:ind w:firstLine="360"/>
        <w:jc w:val="both"/>
        <w:rPr>
          <w:rFonts w:eastAsia="Calibri"/>
          <w:color w:val="000000" w:themeColor="text1"/>
          <w:sz w:val="22"/>
          <w:szCs w:val="22"/>
          <w:lang w:val="es-ES_tradnl"/>
        </w:rPr>
      </w:pPr>
    </w:p>
    <w:p w14:paraId="6EB4DCA0" w14:textId="13C4DEFA" w:rsidR="007E68A6" w:rsidRPr="002F21D4" w:rsidRDefault="007E68A6" w:rsidP="002F21D4">
      <w:pPr>
        <w:pStyle w:val="Default"/>
        <w:numPr>
          <w:ilvl w:val="2"/>
          <w:numId w:val="1"/>
        </w:numPr>
        <w:snapToGrid w:val="0"/>
        <w:ind w:left="2160"/>
        <w:jc w:val="both"/>
        <w:rPr>
          <w:b/>
          <w:bCs/>
          <w:color w:val="000000" w:themeColor="text1"/>
          <w:sz w:val="22"/>
          <w:szCs w:val="22"/>
        </w:rPr>
      </w:pPr>
      <w:r w:rsidRPr="002F21D4">
        <w:rPr>
          <w:b/>
          <w:bCs/>
          <w:color w:val="000000" w:themeColor="text1"/>
          <w:sz w:val="22"/>
          <w:szCs w:val="22"/>
        </w:rPr>
        <w:t>Afectaciones a población en reincorporación y sus familias</w:t>
      </w:r>
    </w:p>
    <w:p w14:paraId="5C36E89D" w14:textId="77777777" w:rsidR="00B3338F" w:rsidRPr="002F21D4" w:rsidRDefault="00B3338F" w:rsidP="00B06FB8">
      <w:pPr>
        <w:snapToGrid w:val="0"/>
        <w:ind w:firstLine="360"/>
        <w:jc w:val="both"/>
        <w:rPr>
          <w:rFonts w:eastAsia="Calibri"/>
          <w:color w:val="000000" w:themeColor="text1"/>
          <w:sz w:val="22"/>
          <w:szCs w:val="22"/>
        </w:rPr>
      </w:pPr>
    </w:p>
    <w:p w14:paraId="2ACEAAF3" w14:textId="02CBB6F8" w:rsidR="00EF1119" w:rsidRPr="002F21D4" w:rsidRDefault="00F95BE3" w:rsidP="00B06FB8">
      <w:pPr>
        <w:snapToGrid w:val="0"/>
        <w:ind w:firstLine="360"/>
        <w:jc w:val="both"/>
        <w:rPr>
          <w:rFonts w:eastAsia="Calibri"/>
          <w:color w:val="000000" w:themeColor="text1"/>
          <w:sz w:val="22"/>
          <w:szCs w:val="22"/>
          <w:lang w:val="es-ES_tradnl"/>
        </w:rPr>
      </w:pPr>
      <w:r w:rsidRPr="002F21D4">
        <w:rPr>
          <w:rFonts w:eastAsia="Calibri"/>
          <w:color w:val="000000" w:themeColor="text1"/>
          <w:sz w:val="22"/>
          <w:szCs w:val="22"/>
        </w:rPr>
        <w:t>La</w:t>
      </w:r>
      <w:r w:rsidR="00EF1119" w:rsidRPr="002F21D4">
        <w:rPr>
          <w:rFonts w:eastAsia="Calibri"/>
          <w:color w:val="000000" w:themeColor="text1"/>
          <w:sz w:val="22"/>
          <w:szCs w:val="22"/>
          <w:lang w:val="es-ES_tradnl"/>
        </w:rPr>
        <w:t xml:space="preserve"> Mesa de Coordinación Interinstitucional para la Seguridad de las Personas en Reincorporación</w:t>
      </w:r>
      <w:r w:rsidR="00EF1119" w:rsidRPr="002F21D4">
        <w:rPr>
          <w:rFonts w:eastAsia="Calibri"/>
          <w:color w:val="000000" w:themeColor="text1"/>
          <w:sz w:val="22"/>
          <w:szCs w:val="22"/>
          <w:vertAlign w:val="superscript"/>
          <w:lang w:val="es-ES_tradnl"/>
        </w:rPr>
        <w:footnoteReference w:id="49"/>
      </w:r>
      <w:r w:rsidR="00EF1119" w:rsidRPr="002F21D4">
        <w:rPr>
          <w:rFonts w:eastAsia="Calibri"/>
          <w:color w:val="000000" w:themeColor="text1"/>
          <w:sz w:val="22"/>
          <w:szCs w:val="22"/>
          <w:lang w:val="es-ES_tradnl"/>
        </w:rPr>
        <w:t xml:space="preserve"> a nivel nacional y territorial </w:t>
      </w:r>
      <w:r w:rsidRPr="002F21D4">
        <w:rPr>
          <w:rFonts w:eastAsia="Calibri"/>
          <w:color w:val="000000" w:themeColor="text1"/>
          <w:sz w:val="22"/>
          <w:szCs w:val="22"/>
          <w:lang w:val="es-ES_tradnl"/>
        </w:rPr>
        <w:t xml:space="preserve">se ha posicionado </w:t>
      </w:r>
      <w:r w:rsidR="00EF1119" w:rsidRPr="002F21D4">
        <w:rPr>
          <w:rFonts w:eastAsia="Calibri"/>
          <w:color w:val="000000" w:themeColor="text1"/>
          <w:sz w:val="22"/>
          <w:szCs w:val="22"/>
          <w:lang w:val="es-ES_tradnl"/>
        </w:rPr>
        <w:t xml:space="preserve">como un espacio clave para la articulación, la socialización de avances y la estimación de acciones de mejora en dicha materia. Igualmente, </w:t>
      </w:r>
      <w:r w:rsidR="005C4A50" w:rsidRPr="002F21D4">
        <w:rPr>
          <w:rFonts w:eastAsia="Calibri"/>
          <w:color w:val="000000" w:themeColor="text1"/>
          <w:sz w:val="22"/>
          <w:szCs w:val="22"/>
          <w:lang w:val="es-ES_tradnl"/>
        </w:rPr>
        <w:t xml:space="preserve">la Unidad </w:t>
      </w:r>
      <w:r w:rsidR="005C4A50" w:rsidRPr="002F21D4">
        <w:rPr>
          <w:rFonts w:eastAsia="Calibri"/>
          <w:color w:val="000000" w:themeColor="text1"/>
          <w:sz w:val="22"/>
          <w:szCs w:val="22"/>
          <w:lang w:val="es-ES_tradnl"/>
        </w:rPr>
        <w:lastRenderedPageBreak/>
        <w:t>Nacional de Protección otorgó 324 esquemas de protección</w:t>
      </w:r>
      <w:r w:rsidR="00EF1119" w:rsidRPr="002F21D4">
        <w:rPr>
          <w:rFonts w:eastAsia="Calibri"/>
          <w:color w:val="000000" w:themeColor="text1"/>
          <w:sz w:val="22"/>
          <w:szCs w:val="22"/>
          <w:vertAlign w:val="superscript"/>
          <w:lang w:val="es-ES_tradnl"/>
        </w:rPr>
        <w:footnoteReference w:id="50"/>
      </w:r>
      <w:r w:rsidR="00EF1119" w:rsidRPr="002F21D4">
        <w:rPr>
          <w:rFonts w:eastAsia="Calibri"/>
          <w:color w:val="000000" w:themeColor="text1"/>
          <w:sz w:val="22"/>
          <w:szCs w:val="22"/>
          <w:lang w:val="es-ES_tradnl"/>
        </w:rPr>
        <w:t xml:space="preserve"> y la Fiscalía General de la Nación (FGN)</w:t>
      </w:r>
      <w:r w:rsidR="00E71776" w:rsidRPr="002F21D4">
        <w:rPr>
          <w:rFonts w:eastAsia="Calibri"/>
          <w:color w:val="000000" w:themeColor="text1"/>
          <w:sz w:val="22"/>
          <w:szCs w:val="22"/>
          <w:lang w:val="es-ES_tradnl"/>
        </w:rPr>
        <w:t>, al 30 de junio del 2021,</w:t>
      </w:r>
      <w:r w:rsidR="00EF1119" w:rsidRPr="002F21D4">
        <w:rPr>
          <w:rFonts w:eastAsia="Calibri"/>
          <w:color w:val="000000" w:themeColor="text1"/>
          <w:sz w:val="22"/>
          <w:szCs w:val="22"/>
          <w:lang w:val="es-ES_tradnl"/>
        </w:rPr>
        <w:t xml:space="preserve"> </w:t>
      </w:r>
      <w:r w:rsidR="005C4A50" w:rsidRPr="002F21D4">
        <w:rPr>
          <w:rFonts w:eastAsia="Calibri"/>
          <w:color w:val="000000" w:themeColor="text1"/>
          <w:sz w:val="22"/>
          <w:szCs w:val="22"/>
          <w:lang w:val="es-ES_tradnl"/>
        </w:rPr>
        <w:t>reportó un avance del 52,9% en los procesos de investigación de los 380 casos conocidos por esta entidad desde la firma del Acuerdo Final</w:t>
      </w:r>
      <w:r w:rsidR="00EF1119" w:rsidRPr="002F21D4">
        <w:rPr>
          <w:rFonts w:eastAsia="Calibri"/>
          <w:color w:val="000000" w:themeColor="text1"/>
          <w:sz w:val="22"/>
          <w:szCs w:val="22"/>
          <w:vertAlign w:val="superscript"/>
          <w:lang w:val="es-ES_tradnl"/>
        </w:rPr>
        <w:footnoteReference w:id="51"/>
      </w:r>
      <w:r w:rsidR="00EF1119" w:rsidRPr="002F21D4">
        <w:rPr>
          <w:rFonts w:eastAsia="Calibri"/>
          <w:color w:val="000000" w:themeColor="text1"/>
          <w:sz w:val="22"/>
          <w:szCs w:val="22"/>
          <w:lang w:val="es-ES_tradnl"/>
        </w:rPr>
        <w:t>.</w:t>
      </w:r>
    </w:p>
    <w:p w14:paraId="671E1694" w14:textId="77777777" w:rsidR="00B3338F" w:rsidRPr="002F21D4" w:rsidRDefault="00B3338F" w:rsidP="00B06FB8">
      <w:pPr>
        <w:snapToGrid w:val="0"/>
        <w:ind w:firstLine="360"/>
        <w:jc w:val="both"/>
        <w:rPr>
          <w:rFonts w:eastAsia="Calibri"/>
          <w:color w:val="000000" w:themeColor="text1"/>
          <w:sz w:val="22"/>
          <w:szCs w:val="22"/>
          <w:lang w:val="es-ES_tradnl"/>
        </w:rPr>
      </w:pPr>
    </w:p>
    <w:p w14:paraId="670E8C84" w14:textId="4186B016" w:rsidR="00793031" w:rsidRPr="002F21D4" w:rsidRDefault="00793031" w:rsidP="00B06FB8">
      <w:pPr>
        <w:snapToGrid w:val="0"/>
        <w:ind w:firstLine="360"/>
        <w:jc w:val="both"/>
        <w:rPr>
          <w:rFonts w:eastAsia="Calibri"/>
          <w:color w:val="000000" w:themeColor="text1"/>
          <w:sz w:val="22"/>
          <w:szCs w:val="22"/>
          <w:lang w:val="es-ES_tradnl"/>
        </w:rPr>
      </w:pPr>
      <w:r w:rsidRPr="002F21D4">
        <w:rPr>
          <w:rFonts w:eastAsia="Calibri"/>
          <w:color w:val="000000" w:themeColor="text1"/>
          <w:sz w:val="22"/>
          <w:szCs w:val="22"/>
          <w:lang w:val="es-ES_tradnl"/>
        </w:rPr>
        <w:t xml:space="preserve">En cuanto a medidas de prevención, existen experiencias a resaltar en Antioquia </w:t>
      </w:r>
      <w:r w:rsidR="003C68B5" w:rsidRPr="002F21D4">
        <w:rPr>
          <w:rFonts w:eastAsia="Calibri"/>
          <w:color w:val="000000" w:themeColor="text1"/>
          <w:sz w:val="22"/>
          <w:szCs w:val="22"/>
          <w:lang w:val="es-ES_tradnl"/>
        </w:rPr>
        <w:t>y</w:t>
      </w:r>
      <w:r w:rsidRPr="002F21D4">
        <w:rPr>
          <w:rFonts w:eastAsia="Calibri"/>
          <w:color w:val="000000" w:themeColor="text1"/>
          <w:sz w:val="22"/>
          <w:szCs w:val="22"/>
          <w:lang w:val="es-ES_tradnl"/>
        </w:rPr>
        <w:t xml:space="preserve"> Cauca, </w:t>
      </w:r>
      <w:r w:rsidR="003C68B5" w:rsidRPr="002F21D4">
        <w:rPr>
          <w:rFonts w:eastAsia="Calibri"/>
          <w:color w:val="000000" w:themeColor="text1"/>
          <w:sz w:val="22"/>
          <w:szCs w:val="22"/>
          <w:lang w:val="es-ES_tradnl"/>
        </w:rPr>
        <w:t xml:space="preserve">en </w:t>
      </w:r>
      <w:r w:rsidRPr="002F21D4">
        <w:rPr>
          <w:rFonts w:eastAsia="Calibri"/>
          <w:color w:val="000000" w:themeColor="text1"/>
          <w:sz w:val="22"/>
          <w:szCs w:val="22"/>
          <w:lang w:val="es-ES_tradnl"/>
        </w:rPr>
        <w:t xml:space="preserve">donde la extracción de la víctima con el apoyo interinstitucional ha representado una respuesta eficaz ante casos de riesgo inminente. Por su parte, en Chocó, estrategias como la “casa de paso”, que brinda albergue y atención médica a </w:t>
      </w:r>
      <w:bookmarkStart w:id="6" w:name="_Hlk83375921"/>
      <w:r w:rsidR="003C68B5" w:rsidRPr="002F21D4">
        <w:rPr>
          <w:rFonts w:eastAsia="Calibri"/>
          <w:color w:val="000000" w:themeColor="text1"/>
          <w:sz w:val="22"/>
          <w:szCs w:val="22"/>
          <w:lang w:val="es-ES_tradnl"/>
        </w:rPr>
        <w:t xml:space="preserve">personas en proceso de reincorporación </w:t>
      </w:r>
      <w:bookmarkEnd w:id="6"/>
      <w:r w:rsidR="003C68B5" w:rsidRPr="002F21D4">
        <w:rPr>
          <w:rFonts w:eastAsia="Calibri"/>
          <w:color w:val="000000" w:themeColor="text1"/>
          <w:sz w:val="22"/>
          <w:szCs w:val="22"/>
          <w:lang w:val="es-ES_tradnl"/>
        </w:rPr>
        <w:t>(</w:t>
      </w:r>
      <w:r w:rsidRPr="002F21D4">
        <w:rPr>
          <w:rFonts w:eastAsia="Calibri"/>
          <w:color w:val="000000" w:themeColor="text1"/>
          <w:sz w:val="22"/>
          <w:szCs w:val="22"/>
          <w:lang w:val="es-ES_tradnl"/>
        </w:rPr>
        <w:t>PPR</w:t>
      </w:r>
      <w:r w:rsidR="003C68B5" w:rsidRPr="002F21D4">
        <w:rPr>
          <w:rFonts w:eastAsia="Calibri"/>
          <w:color w:val="000000" w:themeColor="text1"/>
          <w:sz w:val="22"/>
          <w:szCs w:val="22"/>
          <w:lang w:val="es-ES_tradnl"/>
        </w:rPr>
        <w:t>)</w:t>
      </w:r>
      <w:r w:rsidRPr="002F21D4">
        <w:rPr>
          <w:rFonts w:eastAsia="Calibri"/>
          <w:color w:val="000000" w:themeColor="text1"/>
          <w:sz w:val="22"/>
          <w:szCs w:val="22"/>
          <w:lang w:val="es-ES_tradnl"/>
        </w:rPr>
        <w:t xml:space="preserve"> y sus familiares, son altamente valoradas</w:t>
      </w:r>
      <w:r w:rsidR="00CF2262" w:rsidRPr="002F21D4">
        <w:rPr>
          <w:rStyle w:val="FootnoteReference"/>
          <w:rFonts w:eastAsia="Calibri"/>
          <w:color w:val="000000" w:themeColor="text1"/>
          <w:sz w:val="22"/>
          <w:szCs w:val="22"/>
          <w:lang w:val="es-ES_tradnl"/>
        </w:rPr>
        <w:footnoteReference w:id="52"/>
      </w:r>
      <w:r w:rsidRPr="002F21D4">
        <w:rPr>
          <w:rFonts w:eastAsia="Calibri"/>
          <w:color w:val="000000" w:themeColor="text1"/>
          <w:sz w:val="22"/>
          <w:szCs w:val="22"/>
          <w:lang w:val="es-ES_tradnl"/>
        </w:rPr>
        <w:t>.</w:t>
      </w:r>
    </w:p>
    <w:p w14:paraId="443D1505" w14:textId="77777777" w:rsidR="00B3338F" w:rsidRPr="002F21D4" w:rsidRDefault="00B3338F" w:rsidP="00B06FB8">
      <w:pPr>
        <w:snapToGrid w:val="0"/>
        <w:ind w:firstLine="360"/>
        <w:jc w:val="both"/>
        <w:rPr>
          <w:rFonts w:eastAsia="Calibri"/>
          <w:color w:val="000000" w:themeColor="text1"/>
          <w:sz w:val="22"/>
          <w:szCs w:val="22"/>
          <w:lang w:val="es-ES_tradnl"/>
        </w:rPr>
      </w:pPr>
    </w:p>
    <w:p w14:paraId="29BE44C2" w14:textId="08551CC3" w:rsidR="00CF2262" w:rsidRPr="002F21D4" w:rsidRDefault="00AD483A" w:rsidP="00B06FB8">
      <w:pPr>
        <w:snapToGrid w:val="0"/>
        <w:ind w:firstLine="360"/>
        <w:jc w:val="both"/>
        <w:rPr>
          <w:rFonts w:eastAsia="Calibri"/>
          <w:color w:val="000000" w:themeColor="text1"/>
          <w:sz w:val="22"/>
          <w:szCs w:val="22"/>
          <w:lang w:val="es-ES_tradnl"/>
        </w:rPr>
      </w:pPr>
      <w:r w:rsidRPr="002F21D4">
        <w:rPr>
          <w:rFonts w:eastAsia="Calibri"/>
          <w:color w:val="000000" w:themeColor="text1"/>
          <w:sz w:val="22"/>
          <w:szCs w:val="22"/>
          <w:lang w:val="es-ES_tradnl"/>
        </w:rPr>
        <w:t xml:space="preserve">El Gobierno nacional puso en marcha el Plan Estratégico de Seguridad y Protección, el cual incluye 8 líneas estratégicas: i) prevención, </w:t>
      </w:r>
      <w:proofErr w:type="spellStart"/>
      <w:r w:rsidRPr="002F21D4">
        <w:rPr>
          <w:rFonts w:eastAsia="Calibri"/>
          <w:color w:val="000000" w:themeColor="text1"/>
          <w:sz w:val="22"/>
          <w:szCs w:val="22"/>
          <w:lang w:val="es-ES_tradnl"/>
        </w:rPr>
        <w:t>ii</w:t>
      </w:r>
      <w:proofErr w:type="spellEnd"/>
      <w:r w:rsidRPr="002F21D4">
        <w:rPr>
          <w:rFonts w:eastAsia="Calibri"/>
          <w:color w:val="000000" w:themeColor="text1"/>
          <w:sz w:val="22"/>
          <w:szCs w:val="22"/>
          <w:lang w:val="es-ES_tradnl"/>
        </w:rPr>
        <w:t xml:space="preserve">) acciones inmateriales de prevención, </w:t>
      </w:r>
      <w:proofErr w:type="spellStart"/>
      <w:r w:rsidRPr="002F21D4">
        <w:rPr>
          <w:rFonts w:eastAsia="Calibri"/>
          <w:color w:val="000000" w:themeColor="text1"/>
          <w:sz w:val="22"/>
          <w:szCs w:val="22"/>
          <w:lang w:val="es-ES_tradnl"/>
        </w:rPr>
        <w:t>iii</w:t>
      </w:r>
      <w:proofErr w:type="spellEnd"/>
      <w:r w:rsidRPr="002F21D4">
        <w:rPr>
          <w:rFonts w:eastAsia="Calibri"/>
          <w:color w:val="000000" w:themeColor="text1"/>
          <w:sz w:val="22"/>
          <w:szCs w:val="22"/>
          <w:lang w:val="es-ES_tradnl"/>
        </w:rPr>
        <w:t xml:space="preserve">) protección, </w:t>
      </w:r>
      <w:proofErr w:type="spellStart"/>
      <w:r w:rsidRPr="002F21D4">
        <w:rPr>
          <w:rFonts w:eastAsia="Calibri"/>
          <w:color w:val="000000" w:themeColor="text1"/>
          <w:sz w:val="22"/>
          <w:szCs w:val="22"/>
          <w:lang w:val="es-ES_tradnl"/>
        </w:rPr>
        <w:t>iv</w:t>
      </w:r>
      <w:proofErr w:type="spellEnd"/>
      <w:r w:rsidRPr="002F21D4">
        <w:rPr>
          <w:rFonts w:eastAsia="Calibri"/>
          <w:color w:val="000000" w:themeColor="text1"/>
          <w:sz w:val="22"/>
          <w:szCs w:val="22"/>
          <w:lang w:val="es-ES_tradnl"/>
        </w:rPr>
        <w:t xml:space="preserve">) articulación para la investigación y judicialización, v) seguridad humana integral, vi) enfoque diferencial de género, y, </w:t>
      </w:r>
      <w:proofErr w:type="spellStart"/>
      <w:r w:rsidRPr="002F21D4">
        <w:rPr>
          <w:rFonts w:eastAsia="Calibri"/>
          <w:color w:val="000000" w:themeColor="text1"/>
          <w:sz w:val="22"/>
          <w:szCs w:val="22"/>
          <w:lang w:val="es-ES_tradnl"/>
        </w:rPr>
        <w:t>viii</w:t>
      </w:r>
      <w:proofErr w:type="spellEnd"/>
      <w:r w:rsidRPr="002F21D4">
        <w:rPr>
          <w:rFonts w:eastAsia="Calibri"/>
          <w:color w:val="000000" w:themeColor="text1"/>
          <w:sz w:val="22"/>
          <w:szCs w:val="22"/>
          <w:lang w:val="es-ES_tradnl"/>
        </w:rPr>
        <w:t xml:space="preserve">) garantías de seguridad en la participación electoral. Este plan está previsto en el Decreto Ley 895 de 2017 que establece el Sistema Integral de Seguridad para el Ejercicio de la Política, siendo uno de los puntos contemplados en el Acuerdo Final. </w:t>
      </w:r>
    </w:p>
    <w:p w14:paraId="4A153E48" w14:textId="77777777" w:rsidR="00B3338F" w:rsidRPr="002F21D4" w:rsidRDefault="00B3338F" w:rsidP="00B06FB8">
      <w:pPr>
        <w:snapToGrid w:val="0"/>
        <w:ind w:firstLine="360"/>
        <w:jc w:val="both"/>
        <w:rPr>
          <w:rFonts w:eastAsia="Calibri"/>
          <w:color w:val="000000" w:themeColor="text1"/>
          <w:sz w:val="22"/>
          <w:szCs w:val="22"/>
          <w:lang w:val="es-ES_tradnl"/>
        </w:rPr>
      </w:pPr>
    </w:p>
    <w:p w14:paraId="558101D8" w14:textId="765C32C9" w:rsidR="00EF1119" w:rsidRPr="002F21D4" w:rsidRDefault="00EF1119" w:rsidP="00B06FB8">
      <w:pPr>
        <w:snapToGrid w:val="0"/>
        <w:ind w:firstLine="360"/>
        <w:jc w:val="both"/>
        <w:rPr>
          <w:rFonts w:eastAsia="Calibri"/>
          <w:color w:val="000000" w:themeColor="text1"/>
          <w:sz w:val="22"/>
          <w:szCs w:val="22"/>
          <w:lang w:val="es-ES_tradnl"/>
        </w:rPr>
      </w:pPr>
      <w:r w:rsidRPr="002F21D4">
        <w:rPr>
          <w:rFonts w:eastAsia="Calibri"/>
          <w:color w:val="000000" w:themeColor="text1"/>
          <w:sz w:val="22"/>
          <w:szCs w:val="22"/>
          <w:lang w:val="es-ES_tradnl"/>
        </w:rPr>
        <w:t>En el período de enero a juni</w:t>
      </w:r>
      <w:r w:rsidR="003C68B5" w:rsidRPr="002F21D4">
        <w:rPr>
          <w:rFonts w:eastAsia="Calibri"/>
          <w:color w:val="000000" w:themeColor="text1"/>
          <w:sz w:val="22"/>
          <w:szCs w:val="22"/>
          <w:lang w:val="es-ES_tradnl"/>
        </w:rPr>
        <w:t>o del 2021 la institucionalidad</w:t>
      </w:r>
      <w:r w:rsidR="00F1562D" w:rsidRPr="002F21D4">
        <w:rPr>
          <w:rFonts w:eastAsia="Calibri"/>
          <w:color w:val="000000" w:themeColor="text1"/>
          <w:sz w:val="22"/>
          <w:szCs w:val="22"/>
          <w:lang w:val="es-ES_tradnl"/>
        </w:rPr>
        <w:t xml:space="preserve"> registró 33 hechos violentos en contra de PPR y 3 en contra de sus familiares</w:t>
      </w:r>
      <w:r w:rsidR="00F1562D" w:rsidRPr="002F21D4">
        <w:rPr>
          <w:rFonts w:eastAsia="Calibri"/>
          <w:color w:val="000000" w:themeColor="text1"/>
          <w:sz w:val="22"/>
          <w:szCs w:val="22"/>
          <w:vertAlign w:val="superscript"/>
          <w:lang w:val="es-ES_tradnl"/>
        </w:rPr>
        <w:t xml:space="preserve"> </w:t>
      </w:r>
      <w:r w:rsidRPr="002F21D4">
        <w:rPr>
          <w:rFonts w:eastAsia="Calibri"/>
          <w:color w:val="000000" w:themeColor="text1"/>
          <w:sz w:val="22"/>
          <w:szCs w:val="22"/>
          <w:vertAlign w:val="superscript"/>
          <w:lang w:val="es-ES_tradnl"/>
        </w:rPr>
        <w:footnoteReference w:id="53"/>
      </w:r>
      <w:r w:rsidRPr="002F21D4">
        <w:rPr>
          <w:rFonts w:eastAsia="Calibri"/>
          <w:color w:val="000000" w:themeColor="text1"/>
          <w:sz w:val="22"/>
          <w:szCs w:val="22"/>
          <w:lang w:val="es-ES_tradnl"/>
        </w:rPr>
        <w:t>, clasificados como amenazas, homicidios y tentativa de homicidio. Los departamentos donde se concentraron estos delitos fueron: Antioquia, Cauca, Caquetá, Meta y Nariño. En el ámbito municipal, se han presentado principalmente en Argelia</w:t>
      </w:r>
      <w:r w:rsidR="001A6297" w:rsidRPr="002F21D4">
        <w:rPr>
          <w:rFonts w:eastAsia="Calibri"/>
          <w:color w:val="000000" w:themeColor="text1"/>
          <w:sz w:val="22"/>
          <w:szCs w:val="22"/>
          <w:lang w:val="es-ES_tradnl"/>
        </w:rPr>
        <w:t xml:space="preserve"> (</w:t>
      </w:r>
      <w:r w:rsidRPr="002F21D4">
        <w:rPr>
          <w:rFonts w:eastAsia="Calibri"/>
          <w:color w:val="000000" w:themeColor="text1"/>
          <w:sz w:val="22"/>
          <w:szCs w:val="22"/>
          <w:lang w:val="es-ES_tradnl"/>
        </w:rPr>
        <w:t>Cauca</w:t>
      </w:r>
      <w:r w:rsidR="001A6297" w:rsidRPr="002F21D4">
        <w:rPr>
          <w:rFonts w:eastAsia="Calibri"/>
          <w:color w:val="000000" w:themeColor="text1"/>
          <w:sz w:val="22"/>
          <w:szCs w:val="22"/>
          <w:lang w:val="es-ES_tradnl"/>
        </w:rPr>
        <w:t>)</w:t>
      </w:r>
      <w:r w:rsidR="00F1562D" w:rsidRPr="002F21D4">
        <w:rPr>
          <w:rFonts w:eastAsia="Calibri"/>
          <w:color w:val="000000" w:themeColor="text1"/>
          <w:sz w:val="22"/>
          <w:szCs w:val="22"/>
          <w:lang w:val="es-ES_tradnl"/>
        </w:rPr>
        <w:t>,</w:t>
      </w:r>
      <w:r w:rsidRPr="002F21D4">
        <w:rPr>
          <w:rFonts w:eastAsia="Calibri"/>
          <w:color w:val="000000" w:themeColor="text1"/>
          <w:sz w:val="22"/>
          <w:szCs w:val="22"/>
          <w:lang w:val="es-ES_tradnl"/>
        </w:rPr>
        <w:t xml:space="preserve"> Cali</w:t>
      </w:r>
      <w:r w:rsidR="00E71776" w:rsidRPr="002F21D4">
        <w:rPr>
          <w:rFonts w:eastAsia="Calibri"/>
          <w:color w:val="000000" w:themeColor="text1"/>
          <w:sz w:val="22"/>
          <w:szCs w:val="22"/>
          <w:lang w:val="es-ES_tradnl"/>
        </w:rPr>
        <w:t xml:space="preserve"> </w:t>
      </w:r>
      <w:r w:rsidR="001A6297" w:rsidRPr="002F21D4">
        <w:rPr>
          <w:rFonts w:eastAsia="Calibri"/>
          <w:color w:val="000000" w:themeColor="text1"/>
          <w:sz w:val="22"/>
          <w:szCs w:val="22"/>
          <w:lang w:val="es-ES_tradnl"/>
        </w:rPr>
        <w:t>(</w:t>
      </w:r>
      <w:r w:rsidR="00E71776" w:rsidRPr="002F21D4">
        <w:rPr>
          <w:rFonts w:eastAsia="Calibri"/>
          <w:color w:val="000000" w:themeColor="text1"/>
          <w:sz w:val="22"/>
          <w:szCs w:val="22"/>
          <w:lang w:val="es-ES_tradnl"/>
        </w:rPr>
        <w:t>Valle del Cauca</w:t>
      </w:r>
      <w:r w:rsidR="001A6297" w:rsidRPr="002F21D4">
        <w:rPr>
          <w:rFonts w:eastAsia="Calibri"/>
          <w:color w:val="000000" w:themeColor="text1"/>
          <w:sz w:val="22"/>
          <w:szCs w:val="22"/>
          <w:lang w:val="es-ES_tradnl"/>
        </w:rPr>
        <w:t>)</w:t>
      </w:r>
      <w:r w:rsidR="00F1562D" w:rsidRPr="002F21D4">
        <w:rPr>
          <w:rFonts w:eastAsia="Calibri"/>
          <w:color w:val="000000" w:themeColor="text1"/>
          <w:sz w:val="22"/>
          <w:szCs w:val="22"/>
          <w:lang w:val="es-ES_tradnl"/>
        </w:rPr>
        <w:t>,</w:t>
      </w:r>
      <w:r w:rsidRPr="002F21D4">
        <w:rPr>
          <w:rFonts w:eastAsia="Calibri"/>
          <w:color w:val="000000" w:themeColor="text1"/>
          <w:sz w:val="22"/>
          <w:szCs w:val="22"/>
          <w:lang w:val="es-ES_tradnl"/>
        </w:rPr>
        <w:t xml:space="preserve"> Ituango</w:t>
      </w:r>
      <w:r w:rsidR="00E71776" w:rsidRPr="002F21D4">
        <w:rPr>
          <w:rFonts w:eastAsia="Calibri"/>
          <w:color w:val="000000" w:themeColor="text1"/>
          <w:sz w:val="22"/>
          <w:szCs w:val="22"/>
          <w:lang w:val="es-ES_tradnl"/>
        </w:rPr>
        <w:t xml:space="preserve"> </w:t>
      </w:r>
      <w:r w:rsidR="001A6297" w:rsidRPr="002F21D4">
        <w:rPr>
          <w:rFonts w:eastAsia="Calibri"/>
          <w:color w:val="000000" w:themeColor="text1"/>
          <w:sz w:val="22"/>
          <w:szCs w:val="22"/>
          <w:lang w:val="es-ES_tradnl"/>
        </w:rPr>
        <w:t>(</w:t>
      </w:r>
      <w:r w:rsidR="00E71776" w:rsidRPr="002F21D4">
        <w:rPr>
          <w:rFonts w:eastAsia="Calibri"/>
          <w:color w:val="000000" w:themeColor="text1"/>
          <w:sz w:val="22"/>
          <w:szCs w:val="22"/>
          <w:lang w:val="es-ES_tradnl"/>
        </w:rPr>
        <w:t>Antioquia</w:t>
      </w:r>
      <w:r w:rsidR="001A6297" w:rsidRPr="002F21D4">
        <w:rPr>
          <w:rFonts w:eastAsia="Calibri"/>
          <w:color w:val="000000" w:themeColor="text1"/>
          <w:sz w:val="22"/>
          <w:szCs w:val="22"/>
          <w:lang w:val="es-ES_tradnl"/>
        </w:rPr>
        <w:t>)</w:t>
      </w:r>
      <w:r w:rsidR="00F1562D" w:rsidRPr="002F21D4">
        <w:rPr>
          <w:rFonts w:eastAsia="Calibri"/>
          <w:color w:val="000000" w:themeColor="text1"/>
          <w:sz w:val="22"/>
          <w:szCs w:val="22"/>
          <w:lang w:val="es-ES_tradnl"/>
        </w:rPr>
        <w:t>,</w:t>
      </w:r>
      <w:r w:rsidRPr="002F21D4">
        <w:rPr>
          <w:rFonts w:eastAsia="Calibri"/>
          <w:color w:val="000000" w:themeColor="text1"/>
          <w:sz w:val="22"/>
          <w:szCs w:val="22"/>
          <w:lang w:val="es-ES_tradnl"/>
        </w:rPr>
        <w:t xml:space="preserve"> Puerto Asís</w:t>
      </w:r>
      <w:r w:rsidR="00E71776" w:rsidRPr="002F21D4">
        <w:rPr>
          <w:rFonts w:eastAsia="Calibri"/>
          <w:color w:val="000000" w:themeColor="text1"/>
          <w:sz w:val="22"/>
          <w:szCs w:val="22"/>
          <w:lang w:val="es-ES_tradnl"/>
        </w:rPr>
        <w:t xml:space="preserve"> </w:t>
      </w:r>
      <w:r w:rsidR="001A6297" w:rsidRPr="002F21D4">
        <w:rPr>
          <w:rFonts w:eastAsia="Calibri"/>
          <w:color w:val="000000" w:themeColor="text1"/>
          <w:sz w:val="22"/>
          <w:szCs w:val="22"/>
          <w:lang w:val="es-ES_tradnl"/>
        </w:rPr>
        <w:t>(</w:t>
      </w:r>
      <w:r w:rsidR="00E71776" w:rsidRPr="002F21D4">
        <w:rPr>
          <w:rFonts w:eastAsia="Calibri"/>
          <w:color w:val="000000" w:themeColor="text1"/>
          <w:sz w:val="22"/>
          <w:szCs w:val="22"/>
          <w:lang w:val="es-ES_tradnl"/>
        </w:rPr>
        <w:t>Putumayo</w:t>
      </w:r>
      <w:r w:rsidR="001A6297" w:rsidRPr="002F21D4">
        <w:rPr>
          <w:rFonts w:eastAsia="Calibri"/>
          <w:color w:val="000000" w:themeColor="text1"/>
          <w:sz w:val="22"/>
          <w:szCs w:val="22"/>
          <w:lang w:val="es-ES_tradnl"/>
        </w:rPr>
        <w:t>)</w:t>
      </w:r>
      <w:r w:rsidR="00F1562D" w:rsidRPr="002F21D4">
        <w:rPr>
          <w:rFonts w:eastAsia="Calibri"/>
          <w:color w:val="000000" w:themeColor="text1"/>
          <w:sz w:val="22"/>
          <w:szCs w:val="22"/>
          <w:lang w:val="es-ES_tradnl"/>
        </w:rPr>
        <w:t xml:space="preserve"> </w:t>
      </w:r>
      <w:r w:rsidRPr="002F21D4">
        <w:rPr>
          <w:rFonts w:eastAsia="Calibri"/>
          <w:color w:val="000000" w:themeColor="text1"/>
          <w:sz w:val="22"/>
          <w:szCs w:val="22"/>
          <w:lang w:val="es-ES_tradnl"/>
        </w:rPr>
        <w:t>y Tumaco</w:t>
      </w:r>
      <w:r w:rsidR="001A6297" w:rsidRPr="002F21D4">
        <w:rPr>
          <w:rFonts w:eastAsia="Calibri"/>
          <w:color w:val="000000" w:themeColor="text1"/>
          <w:sz w:val="22"/>
          <w:szCs w:val="22"/>
          <w:lang w:val="es-ES_tradnl"/>
        </w:rPr>
        <w:t xml:space="preserve"> (</w:t>
      </w:r>
      <w:r w:rsidR="00E71776" w:rsidRPr="002F21D4">
        <w:rPr>
          <w:rFonts w:eastAsia="Calibri"/>
          <w:color w:val="000000" w:themeColor="text1"/>
          <w:sz w:val="22"/>
          <w:szCs w:val="22"/>
          <w:lang w:val="es-ES_tradnl"/>
        </w:rPr>
        <w:t>Nariño</w:t>
      </w:r>
      <w:r w:rsidR="001A6297" w:rsidRPr="002F21D4">
        <w:rPr>
          <w:rFonts w:eastAsia="Calibri"/>
          <w:color w:val="000000" w:themeColor="text1"/>
          <w:sz w:val="22"/>
          <w:szCs w:val="22"/>
          <w:lang w:val="es-ES_tradnl"/>
        </w:rPr>
        <w:t>)</w:t>
      </w:r>
      <w:r w:rsidR="00E71776" w:rsidRPr="002F21D4">
        <w:rPr>
          <w:rFonts w:eastAsia="Calibri"/>
          <w:color w:val="000000" w:themeColor="text1"/>
          <w:sz w:val="22"/>
          <w:szCs w:val="22"/>
          <w:lang w:val="es-ES_tradnl"/>
        </w:rPr>
        <w:t>.</w:t>
      </w:r>
    </w:p>
    <w:p w14:paraId="11FB9B77" w14:textId="77777777" w:rsidR="00B3338F" w:rsidRPr="002F21D4" w:rsidRDefault="00B3338F" w:rsidP="00B06FB8">
      <w:pPr>
        <w:snapToGrid w:val="0"/>
        <w:ind w:firstLine="360"/>
        <w:jc w:val="both"/>
        <w:rPr>
          <w:rFonts w:eastAsia="Calibri"/>
          <w:color w:val="000000" w:themeColor="text1"/>
          <w:sz w:val="22"/>
          <w:szCs w:val="22"/>
          <w:lang w:val="es-ES_tradnl"/>
        </w:rPr>
      </w:pPr>
    </w:p>
    <w:p w14:paraId="5130A5F1" w14:textId="2C033456" w:rsidR="00EF1119" w:rsidRPr="002F21D4" w:rsidRDefault="00EF1119" w:rsidP="00B06FB8">
      <w:pPr>
        <w:snapToGrid w:val="0"/>
        <w:ind w:firstLine="360"/>
        <w:jc w:val="both"/>
        <w:rPr>
          <w:rFonts w:eastAsia="Calibri"/>
          <w:color w:val="000000" w:themeColor="text1"/>
          <w:sz w:val="22"/>
          <w:szCs w:val="22"/>
          <w:lang w:val="es-ES_tradnl"/>
        </w:rPr>
      </w:pPr>
      <w:r w:rsidRPr="002F21D4">
        <w:rPr>
          <w:rFonts w:eastAsia="Calibri"/>
          <w:color w:val="000000" w:themeColor="text1"/>
          <w:sz w:val="22"/>
          <w:szCs w:val="22"/>
          <w:lang w:val="es-ES_tradnl"/>
        </w:rPr>
        <w:t xml:space="preserve">Para las mujeres en proceso de reincorporación </w:t>
      </w:r>
      <w:r w:rsidR="003C68B5" w:rsidRPr="002F21D4">
        <w:rPr>
          <w:rFonts w:eastAsia="Calibri"/>
          <w:color w:val="000000" w:themeColor="text1"/>
          <w:sz w:val="22"/>
          <w:szCs w:val="22"/>
          <w:lang w:val="es-ES_tradnl"/>
        </w:rPr>
        <w:t>existe</w:t>
      </w:r>
      <w:r w:rsidRPr="002F21D4">
        <w:rPr>
          <w:rFonts w:eastAsia="Calibri"/>
          <w:color w:val="000000" w:themeColor="text1"/>
          <w:sz w:val="22"/>
          <w:szCs w:val="22"/>
          <w:lang w:val="es-ES_tradnl"/>
        </w:rPr>
        <w:t xml:space="preserve"> un escenario de riesgo adicional</w:t>
      </w:r>
      <w:r w:rsidR="003C68B5" w:rsidRPr="002F21D4">
        <w:rPr>
          <w:rFonts w:eastAsia="Calibri"/>
          <w:color w:val="000000" w:themeColor="text1"/>
          <w:sz w:val="22"/>
          <w:szCs w:val="22"/>
          <w:lang w:val="es-ES_tradnl"/>
        </w:rPr>
        <w:t>. E</w:t>
      </w:r>
      <w:r w:rsidRPr="002F21D4">
        <w:rPr>
          <w:rFonts w:eastAsia="Calibri"/>
          <w:color w:val="000000" w:themeColor="text1"/>
          <w:sz w:val="22"/>
          <w:szCs w:val="22"/>
          <w:lang w:val="es-ES_tradnl"/>
        </w:rPr>
        <w:t xml:space="preserve">s usual que los grupos armados ilegales las señalen de ser supuestas informantes de la </w:t>
      </w:r>
      <w:r w:rsidR="003C68B5" w:rsidRPr="002F21D4">
        <w:rPr>
          <w:rFonts w:eastAsia="Calibri"/>
          <w:color w:val="000000" w:themeColor="text1"/>
          <w:sz w:val="22"/>
          <w:szCs w:val="22"/>
          <w:lang w:val="es-ES_tradnl"/>
        </w:rPr>
        <w:t xml:space="preserve">fuerza pública </w:t>
      </w:r>
      <w:r w:rsidRPr="002F21D4">
        <w:rPr>
          <w:rFonts w:eastAsia="Calibri"/>
          <w:color w:val="000000" w:themeColor="text1"/>
          <w:sz w:val="22"/>
          <w:szCs w:val="22"/>
          <w:lang w:val="es-ES_tradnl"/>
        </w:rPr>
        <w:t xml:space="preserve">o del </w:t>
      </w:r>
      <w:r w:rsidR="00E71776" w:rsidRPr="002F21D4">
        <w:rPr>
          <w:rFonts w:eastAsia="Calibri"/>
          <w:color w:val="000000" w:themeColor="text1"/>
          <w:sz w:val="22"/>
          <w:szCs w:val="22"/>
          <w:lang w:val="es-ES_tradnl"/>
        </w:rPr>
        <w:t>GAI</w:t>
      </w:r>
      <w:r w:rsidRPr="002F21D4">
        <w:rPr>
          <w:rFonts w:eastAsia="Calibri"/>
          <w:color w:val="000000" w:themeColor="text1"/>
          <w:sz w:val="22"/>
          <w:szCs w:val="22"/>
          <w:lang w:val="es-ES_tradnl"/>
        </w:rPr>
        <w:t xml:space="preserve"> contrario</w:t>
      </w:r>
      <w:r w:rsidR="00E71776" w:rsidRPr="002F21D4">
        <w:rPr>
          <w:rFonts w:eastAsia="Calibri"/>
          <w:color w:val="000000" w:themeColor="text1"/>
          <w:sz w:val="22"/>
          <w:szCs w:val="22"/>
          <w:lang w:val="es-ES_tradnl"/>
        </w:rPr>
        <w:t>,</w:t>
      </w:r>
      <w:r w:rsidRPr="002F21D4">
        <w:rPr>
          <w:rFonts w:eastAsia="Calibri"/>
          <w:color w:val="000000" w:themeColor="text1"/>
          <w:sz w:val="22"/>
          <w:szCs w:val="22"/>
          <w:lang w:val="es-ES_tradnl"/>
        </w:rPr>
        <w:t xml:space="preserve"> por tener relaciones afectivas con alguno de sus </w:t>
      </w:r>
      <w:r w:rsidR="008B7030" w:rsidRPr="002F21D4">
        <w:rPr>
          <w:rFonts w:eastAsia="Calibri"/>
          <w:color w:val="000000" w:themeColor="text1"/>
          <w:sz w:val="22"/>
          <w:szCs w:val="22"/>
          <w:lang w:val="es-ES_tradnl"/>
        </w:rPr>
        <w:t>integrantes</w:t>
      </w:r>
      <w:r w:rsidRPr="002F21D4">
        <w:rPr>
          <w:rFonts w:eastAsia="Calibri"/>
          <w:color w:val="000000" w:themeColor="text1"/>
          <w:sz w:val="22"/>
          <w:szCs w:val="22"/>
          <w:lang w:val="es-ES_tradnl"/>
        </w:rPr>
        <w:t xml:space="preserve">, derivándose de ahí </w:t>
      </w:r>
      <w:r w:rsidR="00D9781E" w:rsidRPr="002F21D4">
        <w:rPr>
          <w:rFonts w:eastAsia="Calibri"/>
          <w:color w:val="000000" w:themeColor="text1"/>
          <w:sz w:val="22"/>
          <w:szCs w:val="22"/>
          <w:lang w:val="es-ES_tradnl"/>
        </w:rPr>
        <w:t>agresiones conexas</w:t>
      </w:r>
      <w:r w:rsidRPr="002F21D4">
        <w:rPr>
          <w:rFonts w:eastAsia="Calibri"/>
          <w:color w:val="000000" w:themeColor="text1"/>
          <w:sz w:val="22"/>
          <w:szCs w:val="22"/>
          <w:lang w:val="es-ES_tradnl"/>
        </w:rPr>
        <w:t xml:space="preserve"> hacia su integridad física o la de sus núcleos familiares. </w:t>
      </w:r>
    </w:p>
    <w:p w14:paraId="035C8191" w14:textId="77777777" w:rsidR="00B3338F" w:rsidRPr="002F21D4" w:rsidRDefault="00B3338F" w:rsidP="00B06FB8">
      <w:pPr>
        <w:snapToGrid w:val="0"/>
        <w:ind w:firstLine="360"/>
        <w:jc w:val="both"/>
        <w:rPr>
          <w:rFonts w:eastAsia="Calibri"/>
          <w:color w:val="000000" w:themeColor="text1"/>
          <w:sz w:val="22"/>
          <w:szCs w:val="22"/>
          <w:lang w:val="es-ES_tradnl"/>
        </w:rPr>
      </w:pPr>
    </w:p>
    <w:p w14:paraId="525AECA9" w14:textId="7C87DDFF" w:rsidR="00EF1119" w:rsidRPr="002F21D4" w:rsidRDefault="00EF1119" w:rsidP="00B06FB8">
      <w:pPr>
        <w:snapToGrid w:val="0"/>
        <w:ind w:firstLine="360"/>
        <w:jc w:val="both"/>
        <w:rPr>
          <w:rFonts w:eastAsia="Calibri"/>
          <w:color w:val="000000" w:themeColor="text1"/>
          <w:sz w:val="22"/>
          <w:szCs w:val="22"/>
          <w:lang w:val="es-ES_tradnl"/>
        </w:rPr>
      </w:pPr>
      <w:r w:rsidRPr="002F21D4">
        <w:rPr>
          <w:rFonts w:eastAsia="Calibri"/>
          <w:color w:val="000000" w:themeColor="text1"/>
          <w:sz w:val="22"/>
          <w:szCs w:val="22"/>
          <w:lang w:val="es-ES_tradnl"/>
        </w:rPr>
        <w:t>Las vulneraciones a la vida de l</w:t>
      </w:r>
      <w:r w:rsidR="00C879EA" w:rsidRPr="002F21D4">
        <w:rPr>
          <w:rFonts w:eastAsia="Calibri"/>
          <w:color w:val="000000" w:themeColor="text1"/>
          <w:sz w:val="22"/>
          <w:szCs w:val="22"/>
          <w:lang w:val="es-ES_tradnl"/>
        </w:rPr>
        <w:t>a</w:t>
      </w:r>
      <w:r w:rsidRPr="002F21D4">
        <w:rPr>
          <w:rFonts w:eastAsia="Calibri"/>
          <w:color w:val="000000" w:themeColor="text1"/>
          <w:sz w:val="22"/>
          <w:szCs w:val="22"/>
          <w:lang w:val="es-ES_tradnl"/>
        </w:rPr>
        <w:t xml:space="preserve">s PPR estuvieron asociados principalmente a retaliaciones de </w:t>
      </w:r>
      <w:r w:rsidR="00D9781E" w:rsidRPr="002F21D4">
        <w:rPr>
          <w:rFonts w:eastAsia="Calibri"/>
          <w:color w:val="000000" w:themeColor="text1"/>
          <w:sz w:val="22"/>
          <w:szCs w:val="22"/>
          <w:lang w:val="es-ES_tradnl"/>
        </w:rPr>
        <w:t>GAI</w:t>
      </w:r>
      <w:r w:rsidRPr="002F21D4">
        <w:rPr>
          <w:rFonts w:eastAsia="Calibri"/>
          <w:color w:val="000000" w:themeColor="text1"/>
          <w:sz w:val="22"/>
          <w:szCs w:val="22"/>
          <w:lang w:val="es-ES_tradnl"/>
        </w:rPr>
        <w:t>, mientras que unos pocos casos se dieron en el marco de la convivencia ciudadana. También, se evidenció que gran parte de las víctimas</w:t>
      </w:r>
      <w:r w:rsidR="00F1562D" w:rsidRPr="002F21D4">
        <w:rPr>
          <w:rFonts w:eastAsia="Calibri"/>
          <w:color w:val="000000" w:themeColor="text1"/>
          <w:sz w:val="22"/>
          <w:szCs w:val="22"/>
          <w:lang w:val="es-ES_tradnl"/>
        </w:rPr>
        <w:t xml:space="preserve"> fueron hombres exintegrantes de las FARC-EP </w:t>
      </w:r>
      <w:r w:rsidRPr="002F21D4">
        <w:rPr>
          <w:rFonts w:eastAsia="Calibri"/>
          <w:color w:val="000000" w:themeColor="text1"/>
          <w:sz w:val="22"/>
          <w:szCs w:val="22"/>
          <w:vertAlign w:val="superscript"/>
          <w:lang w:val="es-ES_tradnl"/>
        </w:rPr>
        <w:footnoteReference w:id="54"/>
      </w:r>
      <w:r w:rsidR="008A548D" w:rsidRPr="002F21D4">
        <w:rPr>
          <w:rFonts w:eastAsia="Calibri"/>
          <w:color w:val="000000" w:themeColor="text1"/>
          <w:sz w:val="22"/>
          <w:szCs w:val="22"/>
          <w:lang w:val="es-ES_tradnl"/>
        </w:rPr>
        <w:t xml:space="preserve"> </w:t>
      </w:r>
      <w:r w:rsidRPr="002F21D4">
        <w:rPr>
          <w:rFonts w:eastAsia="Calibri"/>
          <w:color w:val="000000" w:themeColor="text1"/>
          <w:sz w:val="22"/>
          <w:szCs w:val="22"/>
          <w:lang w:val="es-ES_tradnl"/>
        </w:rPr>
        <w:t>y en menor proporción hombres familiares de estos.</w:t>
      </w:r>
    </w:p>
    <w:p w14:paraId="01106B29" w14:textId="5B34F331" w:rsidR="00EF1119" w:rsidRPr="002F21D4" w:rsidRDefault="008A548D" w:rsidP="00B06FB8">
      <w:pPr>
        <w:snapToGrid w:val="0"/>
        <w:ind w:firstLine="360"/>
        <w:jc w:val="both"/>
        <w:rPr>
          <w:rFonts w:eastAsia="Calibri"/>
          <w:color w:val="000000" w:themeColor="text1"/>
          <w:sz w:val="22"/>
          <w:szCs w:val="22"/>
          <w:lang w:val="es-ES_tradnl"/>
        </w:rPr>
      </w:pPr>
      <w:r w:rsidRPr="002F21D4">
        <w:rPr>
          <w:rFonts w:eastAsia="Calibri"/>
          <w:color w:val="000000" w:themeColor="text1"/>
          <w:sz w:val="22"/>
          <w:szCs w:val="22"/>
          <w:lang w:val="es-ES_tradnl"/>
        </w:rPr>
        <w:lastRenderedPageBreak/>
        <w:t>El</w:t>
      </w:r>
      <w:r w:rsidR="00EF1119" w:rsidRPr="002F21D4">
        <w:rPr>
          <w:rFonts w:eastAsia="Calibri"/>
          <w:color w:val="000000" w:themeColor="text1"/>
          <w:sz w:val="22"/>
          <w:szCs w:val="22"/>
          <w:lang w:val="es-ES_tradnl"/>
        </w:rPr>
        <w:t xml:space="preserve"> desplazamiento forzado </w:t>
      </w:r>
      <w:r w:rsidRPr="002F21D4">
        <w:rPr>
          <w:rFonts w:eastAsia="Calibri"/>
          <w:color w:val="000000" w:themeColor="text1"/>
          <w:sz w:val="22"/>
          <w:szCs w:val="22"/>
          <w:lang w:val="es-ES_tradnl"/>
        </w:rPr>
        <w:t>de las PPR y sus núcleos familiares, en algunos casos, obedece a una medida de autoprotección</w:t>
      </w:r>
      <w:r w:rsidR="00EF1119" w:rsidRPr="002F21D4">
        <w:rPr>
          <w:rFonts w:eastAsia="Calibri"/>
          <w:color w:val="000000" w:themeColor="text1"/>
          <w:sz w:val="22"/>
          <w:szCs w:val="22"/>
          <w:lang w:val="es-ES_tradnl"/>
        </w:rPr>
        <w:t xml:space="preserve"> tras recibir alguna amenaza. </w:t>
      </w:r>
      <w:r w:rsidRPr="002F21D4">
        <w:rPr>
          <w:rFonts w:eastAsia="Calibri"/>
          <w:color w:val="000000" w:themeColor="text1"/>
          <w:sz w:val="22"/>
          <w:szCs w:val="22"/>
          <w:lang w:val="es-ES_tradnl"/>
        </w:rPr>
        <w:t>En otros</w:t>
      </w:r>
      <w:r w:rsidR="00EF1119" w:rsidRPr="002F21D4">
        <w:rPr>
          <w:rFonts w:eastAsia="Calibri"/>
          <w:color w:val="000000" w:themeColor="text1"/>
          <w:sz w:val="22"/>
          <w:szCs w:val="22"/>
          <w:lang w:val="es-ES_tradnl"/>
        </w:rPr>
        <w:t>, se d</w:t>
      </w:r>
      <w:r w:rsidRPr="002F21D4">
        <w:rPr>
          <w:rFonts w:eastAsia="Calibri"/>
          <w:color w:val="000000" w:themeColor="text1"/>
          <w:sz w:val="22"/>
          <w:szCs w:val="22"/>
          <w:lang w:val="es-ES_tradnl"/>
        </w:rPr>
        <w:t>a</w:t>
      </w:r>
      <w:r w:rsidR="00EF1119" w:rsidRPr="002F21D4">
        <w:rPr>
          <w:rFonts w:eastAsia="Calibri"/>
          <w:color w:val="000000" w:themeColor="text1"/>
          <w:sz w:val="22"/>
          <w:szCs w:val="22"/>
          <w:lang w:val="es-ES_tradnl"/>
        </w:rPr>
        <w:t xml:space="preserve"> </w:t>
      </w:r>
      <w:r w:rsidR="00F1562D" w:rsidRPr="002F21D4">
        <w:rPr>
          <w:rFonts w:eastAsia="Calibri"/>
          <w:color w:val="000000" w:themeColor="text1"/>
          <w:sz w:val="22"/>
          <w:szCs w:val="22"/>
          <w:lang w:val="es-ES_tradnl"/>
        </w:rPr>
        <w:t>como consecuencia de</w:t>
      </w:r>
      <w:r w:rsidR="00EF1119" w:rsidRPr="002F21D4">
        <w:rPr>
          <w:rFonts w:eastAsia="Calibri"/>
          <w:color w:val="000000" w:themeColor="text1"/>
          <w:sz w:val="22"/>
          <w:szCs w:val="22"/>
          <w:lang w:val="es-ES_tradnl"/>
        </w:rPr>
        <w:t xml:space="preserve"> </w:t>
      </w:r>
      <w:r w:rsidR="002A4B2F" w:rsidRPr="002F21D4">
        <w:rPr>
          <w:rFonts w:eastAsia="Calibri"/>
          <w:color w:val="000000" w:themeColor="text1"/>
          <w:sz w:val="22"/>
          <w:szCs w:val="22"/>
          <w:lang w:val="es-ES_tradnl"/>
        </w:rPr>
        <w:t>la negativa</w:t>
      </w:r>
      <w:r w:rsidR="00EF1119" w:rsidRPr="002F21D4">
        <w:rPr>
          <w:rFonts w:eastAsia="Calibri"/>
          <w:color w:val="000000" w:themeColor="text1"/>
          <w:sz w:val="22"/>
          <w:szCs w:val="22"/>
          <w:lang w:val="es-ES_tradnl"/>
        </w:rPr>
        <w:t xml:space="preserve"> </w:t>
      </w:r>
      <w:r w:rsidRPr="002F21D4">
        <w:rPr>
          <w:rFonts w:eastAsia="Calibri"/>
          <w:color w:val="000000" w:themeColor="text1"/>
          <w:sz w:val="22"/>
          <w:szCs w:val="22"/>
          <w:lang w:val="es-ES_tradnl"/>
        </w:rPr>
        <w:t>de las PPR de</w:t>
      </w:r>
      <w:r w:rsidR="00EF1119" w:rsidRPr="002F21D4">
        <w:rPr>
          <w:rFonts w:eastAsia="Calibri"/>
          <w:color w:val="000000" w:themeColor="text1"/>
          <w:sz w:val="22"/>
          <w:szCs w:val="22"/>
          <w:lang w:val="es-ES_tradnl"/>
        </w:rPr>
        <w:t xml:space="preserve"> vincula</w:t>
      </w:r>
      <w:r w:rsidRPr="002F21D4">
        <w:rPr>
          <w:rFonts w:eastAsia="Calibri"/>
          <w:color w:val="000000" w:themeColor="text1"/>
          <w:sz w:val="22"/>
          <w:szCs w:val="22"/>
          <w:lang w:val="es-ES_tradnl"/>
        </w:rPr>
        <w:t>rse</w:t>
      </w:r>
      <w:r w:rsidR="00EF1119" w:rsidRPr="002F21D4">
        <w:rPr>
          <w:rFonts w:eastAsia="Calibri"/>
          <w:color w:val="000000" w:themeColor="text1"/>
          <w:sz w:val="22"/>
          <w:szCs w:val="22"/>
          <w:lang w:val="es-ES_tradnl"/>
        </w:rPr>
        <w:t xml:space="preserve"> a </w:t>
      </w:r>
      <w:r w:rsidR="00D9781E" w:rsidRPr="002F21D4">
        <w:rPr>
          <w:rFonts w:eastAsia="Calibri"/>
          <w:color w:val="000000" w:themeColor="text1"/>
          <w:sz w:val="22"/>
          <w:szCs w:val="22"/>
          <w:lang w:val="es-ES_tradnl"/>
        </w:rPr>
        <w:t>los GAI</w:t>
      </w:r>
      <w:r w:rsidR="00EF1119" w:rsidRPr="002F21D4">
        <w:rPr>
          <w:rFonts w:eastAsia="Calibri"/>
          <w:color w:val="000000" w:themeColor="text1"/>
          <w:sz w:val="22"/>
          <w:szCs w:val="22"/>
          <w:lang w:val="es-ES_tradnl"/>
        </w:rPr>
        <w:t xml:space="preserve"> o por</w:t>
      </w:r>
      <w:r w:rsidR="00D9781E" w:rsidRPr="002F21D4">
        <w:rPr>
          <w:rFonts w:eastAsia="Calibri"/>
          <w:color w:val="000000" w:themeColor="text1"/>
          <w:sz w:val="22"/>
          <w:szCs w:val="22"/>
          <w:lang w:val="es-ES_tradnl"/>
        </w:rPr>
        <w:t>que son</w:t>
      </w:r>
      <w:r w:rsidR="00EF1119" w:rsidRPr="002F21D4">
        <w:rPr>
          <w:rFonts w:eastAsia="Calibri"/>
          <w:color w:val="000000" w:themeColor="text1"/>
          <w:sz w:val="22"/>
          <w:szCs w:val="22"/>
          <w:lang w:val="es-ES_tradnl"/>
        </w:rPr>
        <w:t xml:space="preserve"> percibi</w:t>
      </w:r>
      <w:r w:rsidR="00D9781E" w:rsidRPr="002F21D4">
        <w:rPr>
          <w:rFonts w:eastAsia="Calibri"/>
          <w:color w:val="000000" w:themeColor="text1"/>
          <w:sz w:val="22"/>
          <w:szCs w:val="22"/>
          <w:lang w:val="es-ES_tradnl"/>
        </w:rPr>
        <w:t>das por estos co</w:t>
      </w:r>
      <w:r w:rsidR="00EF1119" w:rsidRPr="002F21D4">
        <w:rPr>
          <w:rFonts w:eastAsia="Calibri"/>
          <w:color w:val="000000" w:themeColor="text1"/>
          <w:sz w:val="22"/>
          <w:szCs w:val="22"/>
          <w:lang w:val="es-ES_tradnl"/>
        </w:rPr>
        <w:t xml:space="preserve">mo no “confiables”. </w:t>
      </w:r>
      <w:r w:rsidR="00143B2A" w:rsidRPr="002F21D4">
        <w:rPr>
          <w:rFonts w:eastAsia="Calibri"/>
          <w:color w:val="000000" w:themeColor="text1"/>
          <w:sz w:val="22"/>
          <w:szCs w:val="22"/>
          <w:lang w:val="es-ES_tradnl"/>
        </w:rPr>
        <w:t>Por su parte,</w:t>
      </w:r>
      <w:r w:rsidR="00D9781E" w:rsidRPr="002F21D4">
        <w:rPr>
          <w:rFonts w:eastAsia="Calibri"/>
          <w:color w:val="000000" w:themeColor="text1"/>
          <w:sz w:val="22"/>
          <w:szCs w:val="22"/>
          <w:lang w:val="es-ES_tradnl"/>
        </w:rPr>
        <w:t xml:space="preserve"> el secuestro fue </w:t>
      </w:r>
      <w:r w:rsidR="00EF1119" w:rsidRPr="002F21D4">
        <w:rPr>
          <w:rFonts w:eastAsia="Calibri"/>
          <w:color w:val="000000" w:themeColor="text1"/>
          <w:sz w:val="22"/>
          <w:szCs w:val="22"/>
          <w:lang w:val="es-ES_tradnl"/>
        </w:rPr>
        <w:t>menos recurrente contra la población en proceso de reincorporación</w:t>
      </w:r>
      <w:r w:rsidR="00721E2C" w:rsidRPr="002F21D4">
        <w:rPr>
          <w:rFonts w:eastAsia="Calibri"/>
          <w:color w:val="000000" w:themeColor="text1"/>
          <w:sz w:val="22"/>
          <w:szCs w:val="22"/>
          <w:lang w:val="es-ES_tradnl"/>
        </w:rPr>
        <w:t xml:space="preserve"> y cuando se dio, </w:t>
      </w:r>
      <w:r w:rsidR="00143B2A" w:rsidRPr="002F21D4">
        <w:rPr>
          <w:rFonts w:eastAsia="Calibri"/>
          <w:color w:val="000000" w:themeColor="text1"/>
          <w:sz w:val="22"/>
          <w:szCs w:val="22"/>
          <w:lang w:val="es-ES_tradnl"/>
        </w:rPr>
        <w:t>derivó</w:t>
      </w:r>
      <w:r w:rsidR="00EF1119" w:rsidRPr="002F21D4">
        <w:rPr>
          <w:rFonts w:eastAsia="Calibri"/>
          <w:color w:val="000000" w:themeColor="text1"/>
          <w:sz w:val="22"/>
          <w:szCs w:val="22"/>
          <w:lang w:val="es-ES_tradnl"/>
        </w:rPr>
        <w:t xml:space="preserve"> </w:t>
      </w:r>
      <w:r w:rsidR="00143B2A" w:rsidRPr="002F21D4">
        <w:rPr>
          <w:rFonts w:eastAsia="Calibri"/>
          <w:color w:val="000000" w:themeColor="text1"/>
          <w:sz w:val="22"/>
          <w:szCs w:val="22"/>
          <w:lang w:val="es-ES_tradnl"/>
        </w:rPr>
        <w:t xml:space="preserve">en </w:t>
      </w:r>
      <w:r w:rsidR="00EF1119" w:rsidRPr="002F21D4">
        <w:rPr>
          <w:rFonts w:eastAsia="Calibri"/>
          <w:color w:val="000000" w:themeColor="text1"/>
          <w:sz w:val="22"/>
          <w:szCs w:val="22"/>
          <w:lang w:val="es-ES_tradnl"/>
        </w:rPr>
        <w:t>vulneraciones a la vida e integridad física como el homicidio y la tortura</w:t>
      </w:r>
      <w:r w:rsidR="00EF1119" w:rsidRPr="002F21D4">
        <w:rPr>
          <w:rFonts w:eastAsia="Calibri"/>
          <w:color w:val="000000" w:themeColor="text1"/>
          <w:sz w:val="22"/>
          <w:szCs w:val="22"/>
          <w:vertAlign w:val="superscript"/>
          <w:lang w:val="es-ES_tradnl"/>
        </w:rPr>
        <w:footnoteReference w:id="55"/>
      </w:r>
      <w:r w:rsidR="00EF1119" w:rsidRPr="002F21D4">
        <w:rPr>
          <w:rFonts w:eastAsia="Calibri"/>
          <w:color w:val="000000" w:themeColor="text1"/>
          <w:sz w:val="22"/>
          <w:szCs w:val="22"/>
          <w:lang w:val="es-ES_tradnl"/>
        </w:rPr>
        <w:t xml:space="preserve">. </w:t>
      </w:r>
    </w:p>
    <w:p w14:paraId="4098EAE9" w14:textId="77777777" w:rsidR="00B3338F" w:rsidRPr="002F21D4" w:rsidRDefault="00B3338F" w:rsidP="00B06FB8">
      <w:pPr>
        <w:snapToGrid w:val="0"/>
        <w:ind w:firstLine="360"/>
        <w:jc w:val="both"/>
        <w:rPr>
          <w:rFonts w:eastAsia="Calibri"/>
          <w:color w:val="000000" w:themeColor="text1"/>
          <w:sz w:val="22"/>
          <w:szCs w:val="22"/>
          <w:lang w:val="es-ES_tradnl"/>
        </w:rPr>
      </w:pPr>
    </w:p>
    <w:p w14:paraId="6DEBC11C" w14:textId="0EE349F5" w:rsidR="00EF1119" w:rsidRPr="002F21D4" w:rsidRDefault="00EF1119" w:rsidP="00B06FB8">
      <w:pPr>
        <w:snapToGrid w:val="0"/>
        <w:ind w:firstLine="360"/>
        <w:jc w:val="both"/>
        <w:rPr>
          <w:rFonts w:eastAsia="Calibri"/>
          <w:color w:val="000000" w:themeColor="text1"/>
          <w:sz w:val="22"/>
          <w:szCs w:val="22"/>
          <w:lang w:val="es-ES_tradnl"/>
        </w:rPr>
      </w:pPr>
      <w:r w:rsidRPr="002F21D4">
        <w:rPr>
          <w:rFonts w:eastAsia="Calibri"/>
          <w:color w:val="000000" w:themeColor="text1"/>
          <w:sz w:val="22"/>
          <w:szCs w:val="22"/>
          <w:lang w:val="es-ES_tradnl"/>
        </w:rPr>
        <w:t xml:space="preserve">Sumado a ello, factores como el arraigo territorial y familiar, el acceso a fincas y oportunidades laborales en zonas rurales han motivado a las PPR a llevar sus procesos de forma individual, prescindiendo de su permanencia en los </w:t>
      </w:r>
      <w:r w:rsidR="00D9781E" w:rsidRPr="002F21D4">
        <w:rPr>
          <w:rFonts w:eastAsia="Calibri"/>
          <w:color w:val="000000" w:themeColor="text1"/>
          <w:sz w:val="22"/>
          <w:szCs w:val="22"/>
          <w:lang w:val="es-ES_tradnl"/>
        </w:rPr>
        <w:t>Antiguos Espacios Territoriales de Capacitación y Reincorporación (</w:t>
      </w:r>
      <w:r w:rsidRPr="002F21D4">
        <w:rPr>
          <w:rFonts w:eastAsia="Calibri"/>
          <w:color w:val="000000" w:themeColor="text1"/>
          <w:sz w:val="22"/>
          <w:szCs w:val="22"/>
          <w:lang w:val="es-ES_tradnl"/>
        </w:rPr>
        <w:t>AETCR</w:t>
      </w:r>
      <w:r w:rsidR="00D9781E" w:rsidRPr="002F21D4">
        <w:rPr>
          <w:rFonts w:eastAsia="Calibri"/>
          <w:color w:val="000000" w:themeColor="text1"/>
          <w:sz w:val="22"/>
          <w:szCs w:val="22"/>
          <w:lang w:val="es-ES_tradnl"/>
        </w:rPr>
        <w:t>)</w:t>
      </w:r>
      <w:r w:rsidRPr="002F21D4">
        <w:rPr>
          <w:rFonts w:eastAsia="Calibri"/>
          <w:color w:val="000000" w:themeColor="text1"/>
          <w:sz w:val="22"/>
          <w:szCs w:val="22"/>
          <w:lang w:val="es-ES_tradnl"/>
        </w:rPr>
        <w:t xml:space="preserve">, donde muchos iniciaron su reincorporación. Esta salida ha tenido un efecto en su seguridad, </w:t>
      </w:r>
      <w:r w:rsidR="00E50380" w:rsidRPr="002F21D4">
        <w:rPr>
          <w:rFonts w:eastAsia="Calibri"/>
          <w:color w:val="000000" w:themeColor="text1"/>
          <w:sz w:val="22"/>
          <w:szCs w:val="22"/>
          <w:lang w:val="es-ES_tradnl"/>
        </w:rPr>
        <w:t>por las</w:t>
      </w:r>
      <w:r w:rsidRPr="002F21D4">
        <w:rPr>
          <w:rFonts w:eastAsia="Calibri"/>
          <w:color w:val="000000" w:themeColor="text1"/>
          <w:sz w:val="22"/>
          <w:szCs w:val="22"/>
          <w:lang w:val="es-ES_tradnl"/>
        </w:rPr>
        <w:t xml:space="preserve"> amplias distancias</w:t>
      </w:r>
      <w:r w:rsidR="00793031" w:rsidRPr="002F21D4">
        <w:rPr>
          <w:rFonts w:eastAsia="Calibri"/>
          <w:color w:val="000000" w:themeColor="text1"/>
          <w:sz w:val="22"/>
          <w:szCs w:val="22"/>
          <w:lang w:val="es-ES_tradnl"/>
        </w:rPr>
        <w:t xml:space="preserve"> </w:t>
      </w:r>
      <w:r w:rsidR="00E50380" w:rsidRPr="002F21D4">
        <w:rPr>
          <w:rFonts w:eastAsia="Calibri"/>
          <w:color w:val="000000" w:themeColor="text1"/>
          <w:sz w:val="22"/>
          <w:szCs w:val="22"/>
          <w:lang w:val="es-ES_tradnl"/>
        </w:rPr>
        <w:t xml:space="preserve">entre </w:t>
      </w:r>
      <w:r w:rsidR="00793031" w:rsidRPr="002F21D4">
        <w:rPr>
          <w:rFonts w:eastAsia="Calibri"/>
          <w:color w:val="000000" w:themeColor="text1"/>
          <w:sz w:val="22"/>
          <w:szCs w:val="22"/>
          <w:lang w:val="es-ES_tradnl"/>
        </w:rPr>
        <w:t>las zonas en</w:t>
      </w:r>
      <w:r w:rsidRPr="002F21D4">
        <w:rPr>
          <w:rFonts w:eastAsia="Calibri"/>
          <w:color w:val="000000" w:themeColor="text1"/>
          <w:sz w:val="22"/>
          <w:szCs w:val="22"/>
          <w:lang w:val="es-ES_tradnl"/>
        </w:rPr>
        <w:t xml:space="preserve"> donde se reubicaron </w:t>
      </w:r>
      <w:r w:rsidR="00E50380" w:rsidRPr="002F21D4">
        <w:rPr>
          <w:rFonts w:eastAsia="Calibri"/>
          <w:color w:val="000000" w:themeColor="text1"/>
          <w:sz w:val="22"/>
          <w:szCs w:val="22"/>
          <w:lang w:val="es-ES_tradnl"/>
        </w:rPr>
        <w:t>y</w:t>
      </w:r>
      <w:r w:rsidRPr="002F21D4">
        <w:rPr>
          <w:rFonts w:eastAsia="Calibri"/>
          <w:color w:val="000000" w:themeColor="text1"/>
          <w:sz w:val="22"/>
          <w:szCs w:val="22"/>
          <w:lang w:val="es-ES_tradnl"/>
        </w:rPr>
        <w:t xml:space="preserve"> la oferta institucional, implicando que deban recorrer trayectos significativos para asistir a reuniones o contar con servicios de salud y educación. Estos desplazamientos </w:t>
      </w:r>
      <w:r w:rsidR="00793031" w:rsidRPr="002F21D4">
        <w:rPr>
          <w:rFonts w:eastAsia="Calibri"/>
          <w:color w:val="000000" w:themeColor="text1"/>
          <w:sz w:val="22"/>
          <w:szCs w:val="22"/>
          <w:lang w:val="es-ES_tradnl"/>
        </w:rPr>
        <w:t>son uno</w:t>
      </w:r>
      <w:r w:rsidRPr="002F21D4">
        <w:rPr>
          <w:rFonts w:eastAsia="Calibri"/>
          <w:color w:val="000000" w:themeColor="text1"/>
          <w:sz w:val="22"/>
          <w:szCs w:val="22"/>
          <w:lang w:val="es-ES_tradnl"/>
        </w:rPr>
        <w:t xml:space="preserve"> de los escenarios </w:t>
      </w:r>
      <w:r w:rsidR="00793031" w:rsidRPr="002F21D4">
        <w:rPr>
          <w:rFonts w:eastAsia="Calibri"/>
          <w:color w:val="000000" w:themeColor="text1"/>
          <w:sz w:val="22"/>
          <w:szCs w:val="22"/>
          <w:lang w:val="es-ES_tradnl"/>
        </w:rPr>
        <w:t>de mayor vulnerabilidad para la ocurrencia de hechos violentos en contra de las</w:t>
      </w:r>
      <w:r w:rsidRPr="002F21D4">
        <w:rPr>
          <w:rFonts w:eastAsia="Calibri"/>
          <w:color w:val="000000" w:themeColor="text1"/>
          <w:sz w:val="22"/>
          <w:szCs w:val="22"/>
          <w:lang w:val="es-ES_tradnl"/>
        </w:rPr>
        <w:t xml:space="preserve"> PPR.</w:t>
      </w:r>
    </w:p>
    <w:p w14:paraId="35764FB7" w14:textId="77777777" w:rsidR="00013077" w:rsidRPr="002F21D4" w:rsidRDefault="00013077" w:rsidP="00B06FB8">
      <w:pPr>
        <w:snapToGrid w:val="0"/>
        <w:ind w:firstLine="360"/>
        <w:jc w:val="both"/>
        <w:rPr>
          <w:rFonts w:eastAsia="Calibri"/>
          <w:color w:val="000000" w:themeColor="text1"/>
          <w:sz w:val="22"/>
          <w:szCs w:val="22"/>
          <w:lang w:val="es-ES_tradnl"/>
        </w:rPr>
      </w:pPr>
    </w:p>
    <w:p w14:paraId="52D17507" w14:textId="77777777" w:rsidR="00210F4F" w:rsidRPr="002F21D4" w:rsidRDefault="00210F4F" w:rsidP="00B06FB8">
      <w:pPr>
        <w:pStyle w:val="ListParagraph"/>
        <w:numPr>
          <w:ilvl w:val="0"/>
          <w:numId w:val="4"/>
        </w:numPr>
        <w:snapToGrid w:val="0"/>
        <w:spacing w:after="0" w:line="240" w:lineRule="auto"/>
        <w:contextualSpacing w:val="0"/>
        <w:jc w:val="both"/>
        <w:rPr>
          <w:rFonts w:ascii="Times New Roman" w:hAnsi="Times New Roman" w:cs="Times New Roman"/>
          <w:b/>
          <w:vanish/>
        </w:rPr>
      </w:pPr>
    </w:p>
    <w:p w14:paraId="7549FEF3" w14:textId="77777777" w:rsidR="00210F4F" w:rsidRPr="002F21D4" w:rsidRDefault="00210F4F" w:rsidP="00B06FB8">
      <w:pPr>
        <w:pStyle w:val="ListParagraph"/>
        <w:numPr>
          <w:ilvl w:val="0"/>
          <w:numId w:val="4"/>
        </w:numPr>
        <w:snapToGrid w:val="0"/>
        <w:spacing w:after="0" w:line="240" w:lineRule="auto"/>
        <w:contextualSpacing w:val="0"/>
        <w:jc w:val="both"/>
        <w:rPr>
          <w:rFonts w:ascii="Times New Roman" w:hAnsi="Times New Roman" w:cs="Times New Roman"/>
          <w:b/>
          <w:vanish/>
        </w:rPr>
      </w:pPr>
    </w:p>
    <w:p w14:paraId="3CADACD0" w14:textId="1150EBAB" w:rsidR="00A76D1C" w:rsidRPr="002F21D4" w:rsidRDefault="004C5E5C" w:rsidP="002F21D4">
      <w:pPr>
        <w:pStyle w:val="ListParagraph"/>
        <w:numPr>
          <w:ilvl w:val="0"/>
          <w:numId w:val="1"/>
        </w:numPr>
        <w:snapToGrid w:val="0"/>
        <w:spacing w:after="0" w:line="240" w:lineRule="auto"/>
        <w:contextualSpacing w:val="0"/>
        <w:jc w:val="both"/>
        <w:rPr>
          <w:rFonts w:ascii="Times New Roman" w:hAnsi="Times New Roman" w:cs="Times New Roman"/>
          <w:b/>
        </w:rPr>
      </w:pPr>
      <w:r w:rsidRPr="002F21D4">
        <w:rPr>
          <w:rFonts w:ascii="Times New Roman" w:hAnsi="Times New Roman" w:cs="Times New Roman"/>
          <w:b/>
          <w:bCs/>
        </w:rPr>
        <w:t>DINÁMICAS</w:t>
      </w:r>
      <w:r w:rsidRPr="002F21D4">
        <w:rPr>
          <w:rFonts w:ascii="Times New Roman" w:hAnsi="Times New Roman" w:cs="Times New Roman"/>
          <w:b/>
        </w:rPr>
        <w:t xml:space="preserve"> EN ZONAS FRONTERIZAS </w:t>
      </w:r>
    </w:p>
    <w:p w14:paraId="43B4281E" w14:textId="77777777" w:rsidR="00B3338F" w:rsidRPr="002F21D4" w:rsidRDefault="00B3338F" w:rsidP="00B06FB8">
      <w:pPr>
        <w:snapToGrid w:val="0"/>
        <w:ind w:firstLine="360"/>
        <w:jc w:val="both"/>
        <w:rPr>
          <w:sz w:val="22"/>
          <w:szCs w:val="22"/>
        </w:rPr>
      </w:pPr>
    </w:p>
    <w:p w14:paraId="2C547AF1" w14:textId="4578BB3F" w:rsidR="00DE1A3C" w:rsidRPr="002F21D4" w:rsidRDefault="00DE1A3C" w:rsidP="00B06FB8">
      <w:pPr>
        <w:snapToGrid w:val="0"/>
        <w:ind w:firstLine="360"/>
        <w:jc w:val="both"/>
        <w:rPr>
          <w:sz w:val="22"/>
          <w:szCs w:val="22"/>
        </w:rPr>
      </w:pPr>
      <w:r w:rsidRPr="002F21D4">
        <w:rPr>
          <w:sz w:val="22"/>
          <w:szCs w:val="22"/>
        </w:rPr>
        <w:t xml:space="preserve">El </w:t>
      </w:r>
      <w:r w:rsidR="002171B3" w:rsidRPr="002F21D4">
        <w:rPr>
          <w:sz w:val="22"/>
          <w:szCs w:val="22"/>
        </w:rPr>
        <w:t xml:space="preserve">Estado colombiano </w:t>
      </w:r>
      <w:r w:rsidRPr="002F21D4">
        <w:rPr>
          <w:sz w:val="22"/>
          <w:szCs w:val="22"/>
        </w:rPr>
        <w:t>expidió la Política Integral Migratoria</w:t>
      </w:r>
      <w:r w:rsidRPr="002F21D4">
        <w:rPr>
          <w:rStyle w:val="FootnoteReference"/>
          <w:sz w:val="22"/>
          <w:szCs w:val="22"/>
        </w:rPr>
        <w:footnoteReference w:id="56"/>
      </w:r>
      <w:r w:rsidR="00F1562D" w:rsidRPr="002F21D4">
        <w:rPr>
          <w:sz w:val="22"/>
          <w:szCs w:val="22"/>
        </w:rPr>
        <w:t xml:space="preserve"> </w:t>
      </w:r>
      <w:r w:rsidRPr="002F21D4">
        <w:rPr>
          <w:sz w:val="22"/>
          <w:szCs w:val="22"/>
        </w:rPr>
        <w:t xml:space="preserve">que </w:t>
      </w:r>
      <w:r w:rsidR="00C35443" w:rsidRPr="002F21D4">
        <w:rPr>
          <w:sz w:val="22"/>
          <w:szCs w:val="22"/>
        </w:rPr>
        <w:t>establece lineamientos y</w:t>
      </w:r>
      <w:r w:rsidRPr="002F21D4">
        <w:rPr>
          <w:sz w:val="22"/>
          <w:szCs w:val="22"/>
        </w:rPr>
        <w:t xml:space="preserve"> responsabilidades para </w:t>
      </w:r>
      <w:r w:rsidR="00C35443" w:rsidRPr="002F21D4">
        <w:rPr>
          <w:sz w:val="22"/>
          <w:szCs w:val="22"/>
        </w:rPr>
        <w:t xml:space="preserve">el desarrollo de </w:t>
      </w:r>
      <w:r w:rsidRPr="002F21D4">
        <w:rPr>
          <w:sz w:val="22"/>
          <w:szCs w:val="22"/>
        </w:rPr>
        <w:t xml:space="preserve">acciones institucionales que garanticen los derechos </w:t>
      </w:r>
      <w:r w:rsidR="00C35443" w:rsidRPr="002F21D4">
        <w:rPr>
          <w:sz w:val="22"/>
          <w:szCs w:val="22"/>
        </w:rPr>
        <w:t xml:space="preserve">de la población migrante </w:t>
      </w:r>
      <w:r w:rsidRPr="002F21D4">
        <w:rPr>
          <w:sz w:val="22"/>
          <w:szCs w:val="22"/>
        </w:rPr>
        <w:t>en Colombia</w:t>
      </w:r>
      <w:r w:rsidR="002171B3" w:rsidRPr="002F21D4">
        <w:rPr>
          <w:sz w:val="22"/>
          <w:szCs w:val="22"/>
        </w:rPr>
        <w:t xml:space="preserve"> y otras acciones para el fortalecimiento y protección de la comunidad colombiana en el exterior</w:t>
      </w:r>
      <w:r w:rsidR="00F1562D" w:rsidRPr="002F21D4">
        <w:rPr>
          <w:sz w:val="22"/>
          <w:szCs w:val="22"/>
        </w:rPr>
        <w:t>,</w:t>
      </w:r>
      <w:r w:rsidRPr="002F21D4">
        <w:rPr>
          <w:sz w:val="22"/>
          <w:szCs w:val="22"/>
        </w:rPr>
        <w:t xml:space="preserve"> </w:t>
      </w:r>
      <w:r w:rsidR="00C35443" w:rsidRPr="002F21D4">
        <w:rPr>
          <w:sz w:val="22"/>
          <w:szCs w:val="22"/>
        </w:rPr>
        <w:t>con el fin de</w:t>
      </w:r>
      <w:r w:rsidRPr="002F21D4">
        <w:rPr>
          <w:sz w:val="22"/>
          <w:szCs w:val="22"/>
        </w:rPr>
        <w:t xml:space="preserve"> propender por una migración segura, ordenada y regular.</w:t>
      </w:r>
      <w:r w:rsidR="002171B3" w:rsidRPr="002F21D4">
        <w:rPr>
          <w:sz w:val="22"/>
          <w:szCs w:val="22"/>
        </w:rPr>
        <w:t xml:space="preserve"> Asimismo, </w:t>
      </w:r>
      <w:r w:rsidR="00CD3AEA" w:rsidRPr="002F21D4">
        <w:rPr>
          <w:sz w:val="22"/>
          <w:szCs w:val="22"/>
        </w:rPr>
        <w:t xml:space="preserve">promulgó </w:t>
      </w:r>
      <w:r w:rsidRPr="002F21D4">
        <w:rPr>
          <w:sz w:val="22"/>
          <w:szCs w:val="22"/>
        </w:rPr>
        <w:t>la Ley de Fronteras</w:t>
      </w:r>
      <w:r w:rsidRPr="002F21D4">
        <w:rPr>
          <w:rStyle w:val="FootnoteReference"/>
          <w:sz w:val="22"/>
          <w:szCs w:val="22"/>
        </w:rPr>
        <w:footnoteReference w:id="57"/>
      </w:r>
      <w:r w:rsidRPr="002F21D4">
        <w:rPr>
          <w:sz w:val="22"/>
          <w:szCs w:val="22"/>
        </w:rPr>
        <w:t xml:space="preserve"> que </w:t>
      </w:r>
      <w:r w:rsidR="00CD3AEA" w:rsidRPr="002F21D4">
        <w:rPr>
          <w:sz w:val="22"/>
          <w:szCs w:val="22"/>
        </w:rPr>
        <w:t>define</w:t>
      </w:r>
      <w:r w:rsidRPr="002F21D4">
        <w:rPr>
          <w:sz w:val="22"/>
          <w:szCs w:val="22"/>
        </w:rPr>
        <w:t xml:space="preserve"> un régimen especial para fortalecer el desarrollo de los departamentos </w:t>
      </w:r>
      <w:r w:rsidR="00CD3AEA" w:rsidRPr="002F21D4">
        <w:rPr>
          <w:sz w:val="22"/>
          <w:szCs w:val="22"/>
        </w:rPr>
        <w:t xml:space="preserve">y comunidades </w:t>
      </w:r>
      <w:r w:rsidRPr="002F21D4">
        <w:rPr>
          <w:sz w:val="22"/>
          <w:szCs w:val="22"/>
        </w:rPr>
        <w:t>fronteriz</w:t>
      </w:r>
      <w:r w:rsidR="00CD3AEA" w:rsidRPr="002F21D4">
        <w:rPr>
          <w:sz w:val="22"/>
          <w:szCs w:val="22"/>
        </w:rPr>
        <w:t>a</w:t>
      </w:r>
      <w:r w:rsidRPr="002F21D4">
        <w:rPr>
          <w:sz w:val="22"/>
          <w:szCs w:val="22"/>
        </w:rPr>
        <w:t>s</w:t>
      </w:r>
      <w:r w:rsidR="00CD3AEA" w:rsidRPr="002F21D4">
        <w:rPr>
          <w:sz w:val="22"/>
          <w:szCs w:val="22"/>
        </w:rPr>
        <w:t xml:space="preserve">, así como potencializar </w:t>
      </w:r>
      <w:r w:rsidRPr="002F21D4">
        <w:rPr>
          <w:sz w:val="22"/>
          <w:szCs w:val="22"/>
        </w:rPr>
        <w:t>economías locales</w:t>
      </w:r>
      <w:r w:rsidR="00CD3AEA" w:rsidRPr="002F21D4">
        <w:rPr>
          <w:sz w:val="22"/>
          <w:szCs w:val="22"/>
        </w:rPr>
        <w:t xml:space="preserve"> a través del comercio transfronterizo, corredores logísticos y regímenes aduaneros diferenciados. </w:t>
      </w:r>
    </w:p>
    <w:p w14:paraId="0616FD9C" w14:textId="77777777" w:rsidR="00B3338F" w:rsidRPr="002F21D4" w:rsidRDefault="00B3338F" w:rsidP="00B06FB8">
      <w:pPr>
        <w:snapToGrid w:val="0"/>
        <w:ind w:firstLine="360"/>
        <w:jc w:val="both"/>
        <w:rPr>
          <w:sz w:val="22"/>
          <w:szCs w:val="22"/>
        </w:rPr>
      </w:pPr>
    </w:p>
    <w:p w14:paraId="59B5F7FD" w14:textId="7173E4A2" w:rsidR="004914E3" w:rsidRPr="002F21D4" w:rsidRDefault="00CD3AEA" w:rsidP="00B06FB8">
      <w:pPr>
        <w:snapToGrid w:val="0"/>
        <w:ind w:firstLine="360"/>
        <w:jc w:val="both"/>
        <w:rPr>
          <w:sz w:val="22"/>
          <w:szCs w:val="22"/>
        </w:rPr>
      </w:pPr>
      <w:r w:rsidRPr="002F21D4">
        <w:rPr>
          <w:sz w:val="22"/>
          <w:szCs w:val="22"/>
        </w:rPr>
        <w:t xml:space="preserve">Además, el Gobierno nacional </w:t>
      </w:r>
      <w:r w:rsidR="002171B3" w:rsidRPr="002F21D4">
        <w:rPr>
          <w:sz w:val="22"/>
          <w:szCs w:val="22"/>
        </w:rPr>
        <w:t>implementó acciones para acoger e integrar a la población migrante venezolana con el fin de brindar acceso a servicios básicos, regularización laboral, atención en salud y educación, entre otras</w:t>
      </w:r>
      <w:r w:rsidR="002171B3" w:rsidRPr="002F21D4">
        <w:rPr>
          <w:rStyle w:val="FootnoteReference"/>
          <w:sz w:val="22"/>
          <w:szCs w:val="22"/>
        </w:rPr>
        <w:footnoteReference w:id="58"/>
      </w:r>
      <w:r w:rsidR="002171B3" w:rsidRPr="002F21D4">
        <w:rPr>
          <w:sz w:val="22"/>
          <w:szCs w:val="22"/>
        </w:rPr>
        <w:t>.</w:t>
      </w:r>
      <w:r w:rsidR="003A17FF" w:rsidRPr="002F21D4">
        <w:rPr>
          <w:sz w:val="22"/>
          <w:szCs w:val="22"/>
        </w:rPr>
        <w:t xml:space="preserve"> </w:t>
      </w:r>
      <w:r w:rsidR="0019162B" w:rsidRPr="002F21D4">
        <w:rPr>
          <w:sz w:val="22"/>
          <w:szCs w:val="22"/>
        </w:rPr>
        <w:t xml:space="preserve">En mayo, Migración Colombia y la Gerencia de Fronteras pusieron en </w:t>
      </w:r>
      <w:r w:rsidR="00426F93" w:rsidRPr="002F21D4">
        <w:rPr>
          <w:sz w:val="22"/>
          <w:szCs w:val="22"/>
        </w:rPr>
        <w:t>marcha, el</w:t>
      </w:r>
      <w:r w:rsidR="0019162B" w:rsidRPr="002F21D4">
        <w:rPr>
          <w:sz w:val="22"/>
          <w:szCs w:val="22"/>
        </w:rPr>
        <w:t xml:space="preserve"> </w:t>
      </w:r>
      <w:bookmarkStart w:id="7" w:name="_Hlk83376195"/>
      <w:r w:rsidR="0019162B" w:rsidRPr="002F21D4">
        <w:rPr>
          <w:sz w:val="22"/>
          <w:szCs w:val="22"/>
        </w:rPr>
        <w:t xml:space="preserve">Estatuto Temporal de Protección para Migrantes Venezolanos (ETPMV) </w:t>
      </w:r>
      <w:bookmarkEnd w:id="7"/>
      <w:r w:rsidR="0019162B" w:rsidRPr="002F21D4">
        <w:rPr>
          <w:sz w:val="22"/>
          <w:szCs w:val="22"/>
        </w:rPr>
        <w:t>y</w:t>
      </w:r>
      <w:r w:rsidR="003A17FF" w:rsidRPr="002F21D4">
        <w:rPr>
          <w:sz w:val="22"/>
          <w:szCs w:val="22"/>
        </w:rPr>
        <w:t xml:space="preserve"> la inscripción de 968.624</w:t>
      </w:r>
      <w:r w:rsidR="0019162B" w:rsidRPr="002F21D4">
        <w:rPr>
          <w:sz w:val="22"/>
          <w:szCs w:val="22"/>
        </w:rPr>
        <w:t xml:space="preserve"> personas venezolanas</w:t>
      </w:r>
      <w:r w:rsidR="00F32116" w:rsidRPr="002F21D4">
        <w:rPr>
          <w:rStyle w:val="FootnoteReference"/>
          <w:sz w:val="22"/>
          <w:szCs w:val="22"/>
        </w:rPr>
        <w:footnoteReference w:id="59"/>
      </w:r>
      <w:r w:rsidR="0019162B" w:rsidRPr="002F21D4">
        <w:rPr>
          <w:sz w:val="22"/>
          <w:szCs w:val="22"/>
        </w:rPr>
        <w:t>.</w:t>
      </w:r>
      <w:r w:rsidR="00E17527" w:rsidRPr="002F21D4">
        <w:rPr>
          <w:sz w:val="22"/>
          <w:szCs w:val="22"/>
        </w:rPr>
        <w:t xml:space="preserve"> Sin embargo, e</w:t>
      </w:r>
      <w:r w:rsidR="001809C4" w:rsidRPr="002F21D4">
        <w:rPr>
          <w:sz w:val="22"/>
          <w:szCs w:val="22"/>
        </w:rPr>
        <w:t xml:space="preserve">n centros poblados donde se </w:t>
      </w:r>
      <w:r w:rsidR="003A17FF" w:rsidRPr="002F21D4">
        <w:rPr>
          <w:sz w:val="22"/>
          <w:szCs w:val="22"/>
        </w:rPr>
        <w:t xml:space="preserve">inició </w:t>
      </w:r>
      <w:r w:rsidR="00E17527" w:rsidRPr="002F21D4">
        <w:rPr>
          <w:sz w:val="22"/>
          <w:szCs w:val="22"/>
        </w:rPr>
        <w:t xml:space="preserve">su implementación, </w:t>
      </w:r>
      <w:r w:rsidR="003A17FF" w:rsidRPr="002F21D4">
        <w:rPr>
          <w:sz w:val="22"/>
          <w:szCs w:val="22"/>
        </w:rPr>
        <w:t>hubo</w:t>
      </w:r>
      <w:r w:rsidR="006653EA" w:rsidRPr="002F21D4">
        <w:rPr>
          <w:sz w:val="22"/>
          <w:szCs w:val="22"/>
        </w:rPr>
        <w:t xml:space="preserve"> d</w:t>
      </w:r>
      <w:r w:rsidR="001809C4" w:rsidRPr="002F21D4">
        <w:rPr>
          <w:sz w:val="22"/>
          <w:szCs w:val="22"/>
        </w:rPr>
        <w:t>ificultades para el acceso al sistema de registro, baja capacidad institucional, confu</w:t>
      </w:r>
      <w:r w:rsidR="0019162B" w:rsidRPr="002F21D4">
        <w:rPr>
          <w:sz w:val="22"/>
          <w:szCs w:val="22"/>
        </w:rPr>
        <w:t xml:space="preserve">sión de roles entre </w:t>
      </w:r>
      <w:r w:rsidR="0019162B" w:rsidRPr="002F21D4">
        <w:rPr>
          <w:sz w:val="22"/>
          <w:szCs w:val="22"/>
        </w:rPr>
        <w:lastRenderedPageBreak/>
        <w:t>entidades y</w:t>
      </w:r>
      <w:r w:rsidR="001809C4" w:rsidRPr="002F21D4">
        <w:rPr>
          <w:sz w:val="22"/>
          <w:szCs w:val="22"/>
        </w:rPr>
        <w:t xml:space="preserve"> la ocurrencia de irregularidades</w:t>
      </w:r>
      <w:r w:rsidR="006653EA" w:rsidRPr="002F21D4">
        <w:rPr>
          <w:sz w:val="22"/>
          <w:szCs w:val="22"/>
        </w:rPr>
        <w:t xml:space="preserve"> por parte de algunas personas que busca</w:t>
      </w:r>
      <w:r w:rsidR="003A17FF" w:rsidRPr="002F21D4">
        <w:rPr>
          <w:sz w:val="22"/>
          <w:szCs w:val="22"/>
        </w:rPr>
        <w:t>ba</w:t>
      </w:r>
      <w:r w:rsidR="006653EA" w:rsidRPr="002F21D4">
        <w:rPr>
          <w:sz w:val="22"/>
          <w:szCs w:val="22"/>
        </w:rPr>
        <w:t>n acceder a los beneficios del Estatuto</w:t>
      </w:r>
      <w:r w:rsidR="001809C4" w:rsidRPr="002F21D4">
        <w:rPr>
          <w:rStyle w:val="FootnoteReference"/>
          <w:sz w:val="22"/>
          <w:szCs w:val="22"/>
        </w:rPr>
        <w:footnoteReference w:id="60"/>
      </w:r>
      <w:r w:rsidR="001809C4" w:rsidRPr="002F21D4">
        <w:rPr>
          <w:sz w:val="22"/>
          <w:szCs w:val="22"/>
        </w:rPr>
        <w:t xml:space="preserve">. </w:t>
      </w:r>
    </w:p>
    <w:p w14:paraId="58515193" w14:textId="77777777" w:rsidR="00B3338F" w:rsidRPr="002F21D4" w:rsidRDefault="00B3338F" w:rsidP="00B06FB8">
      <w:pPr>
        <w:snapToGrid w:val="0"/>
        <w:ind w:firstLine="360"/>
        <w:jc w:val="both"/>
        <w:rPr>
          <w:sz w:val="22"/>
          <w:szCs w:val="22"/>
        </w:rPr>
      </w:pPr>
    </w:p>
    <w:p w14:paraId="0EB365CD" w14:textId="3B0C0CBC" w:rsidR="00AD483A" w:rsidRPr="002F21D4" w:rsidRDefault="00AD483A" w:rsidP="00B06FB8">
      <w:pPr>
        <w:snapToGrid w:val="0"/>
        <w:ind w:firstLine="360"/>
        <w:jc w:val="both"/>
        <w:rPr>
          <w:sz w:val="22"/>
          <w:szCs w:val="22"/>
        </w:rPr>
      </w:pPr>
      <w:r w:rsidRPr="002F21D4">
        <w:rPr>
          <w:sz w:val="22"/>
          <w:szCs w:val="22"/>
        </w:rPr>
        <w:t>Asimismo, la institucionalidad avanzó en fortalecer la aplicación del ETPMV a través de la articulación de Migración Colombia con el ICBF para la priorización de NNA y jóvenes migrantes con Procedimiento Administrativo de Restablecimiento de Derechos -PARD y vinculados al Sistema de Responsabilidad Penal Adolescente -SRPA. De otro lado, existen acciones del ICBF para ampliar la cobertura de sus programas y estrategias y acercamiento de su oferta institucional a la población migrante</w:t>
      </w:r>
      <w:r w:rsidR="00D978C3" w:rsidRPr="002F21D4">
        <w:rPr>
          <w:rStyle w:val="FootnoteReference"/>
          <w:sz w:val="22"/>
          <w:szCs w:val="22"/>
        </w:rPr>
        <w:footnoteReference w:id="61"/>
      </w:r>
      <w:r w:rsidRPr="002F21D4">
        <w:rPr>
          <w:sz w:val="22"/>
          <w:szCs w:val="22"/>
        </w:rPr>
        <w:t xml:space="preserve">. </w:t>
      </w:r>
    </w:p>
    <w:p w14:paraId="77820784" w14:textId="77777777" w:rsidR="00B3338F" w:rsidRPr="002F21D4" w:rsidRDefault="00B3338F" w:rsidP="00B06FB8">
      <w:pPr>
        <w:snapToGrid w:val="0"/>
        <w:ind w:firstLine="360"/>
        <w:jc w:val="both"/>
        <w:rPr>
          <w:sz w:val="22"/>
          <w:szCs w:val="22"/>
        </w:rPr>
      </w:pPr>
    </w:p>
    <w:p w14:paraId="311BCE7A" w14:textId="42B366F8" w:rsidR="00A450F8" w:rsidRPr="002F21D4" w:rsidRDefault="00A450F8" w:rsidP="00B06FB8">
      <w:pPr>
        <w:snapToGrid w:val="0"/>
        <w:ind w:firstLine="360"/>
        <w:jc w:val="both"/>
        <w:rPr>
          <w:sz w:val="22"/>
          <w:szCs w:val="22"/>
        </w:rPr>
      </w:pPr>
      <w:r w:rsidRPr="002F21D4">
        <w:rPr>
          <w:sz w:val="22"/>
          <w:szCs w:val="22"/>
        </w:rPr>
        <w:t>La reapertura gradual de fronteras</w:t>
      </w:r>
      <w:r w:rsidRPr="002F21D4">
        <w:rPr>
          <w:rStyle w:val="FootnoteReference"/>
          <w:sz w:val="22"/>
          <w:szCs w:val="22"/>
        </w:rPr>
        <w:footnoteReference w:id="62"/>
      </w:r>
      <w:r w:rsidR="00F6209A" w:rsidRPr="002F21D4">
        <w:rPr>
          <w:sz w:val="22"/>
          <w:szCs w:val="22"/>
        </w:rPr>
        <w:t xml:space="preserve"> </w:t>
      </w:r>
      <w:r w:rsidRPr="002F21D4">
        <w:rPr>
          <w:sz w:val="22"/>
          <w:szCs w:val="22"/>
        </w:rPr>
        <w:t>no ha dinamizado la economía local</w:t>
      </w:r>
      <w:r w:rsidR="00B56C93" w:rsidRPr="002F21D4">
        <w:rPr>
          <w:sz w:val="22"/>
          <w:szCs w:val="22"/>
        </w:rPr>
        <w:t xml:space="preserve"> ni </w:t>
      </w:r>
      <w:r w:rsidRPr="002F21D4">
        <w:rPr>
          <w:sz w:val="22"/>
          <w:szCs w:val="22"/>
        </w:rPr>
        <w:t>el comercio en comunidades colombianas fronterizas de la manera esperada,</w:t>
      </w:r>
      <w:r w:rsidR="00721E2C" w:rsidRPr="002F21D4">
        <w:rPr>
          <w:sz w:val="22"/>
          <w:szCs w:val="22"/>
        </w:rPr>
        <w:t xml:space="preserve"> debido,</w:t>
      </w:r>
      <w:r w:rsidRPr="002F21D4">
        <w:rPr>
          <w:sz w:val="22"/>
          <w:szCs w:val="22"/>
        </w:rPr>
        <w:t xml:space="preserve"> entre otros, al bajo flujo migratorio por pasos autorizados</w:t>
      </w:r>
      <w:r w:rsidR="00F6209A" w:rsidRPr="002F21D4">
        <w:rPr>
          <w:rStyle w:val="FootnoteReference"/>
          <w:sz w:val="22"/>
          <w:szCs w:val="22"/>
        </w:rPr>
        <w:footnoteReference w:id="63"/>
      </w:r>
      <w:r w:rsidR="00F6209A" w:rsidRPr="002F21D4">
        <w:rPr>
          <w:sz w:val="22"/>
          <w:szCs w:val="22"/>
        </w:rPr>
        <w:t xml:space="preserve"> </w:t>
      </w:r>
      <w:r w:rsidRPr="002F21D4">
        <w:rPr>
          <w:sz w:val="22"/>
          <w:szCs w:val="22"/>
        </w:rPr>
        <w:t xml:space="preserve">y </w:t>
      </w:r>
      <w:r w:rsidR="00F6209A" w:rsidRPr="002F21D4">
        <w:rPr>
          <w:sz w:val="22"/>
          <w:szCs w:val="22"/>
        </w:rPr>
        <w:t xml:space="preserve">la </w:t>
      </w:r>
      <w:r w:rsidRPr="002F21D4">
        <w:rPr>
          <w:sz w:val="22"/>
          <w:szCs w:val="22"/>
        </w:rPr>
        <w:t xml:space="preserve">persistencia de </w:t>
      </w:r>
      <w:r w:rsidR="00B56C93" w:rsidRPr="002F21D4">
        <w:rPr>
          <w:sz w:val="22"/>
          <w:szCs w:val="22"/>
        </w:rPr>
        <w:t>economías</w:t>
      </w:r>
      <w:r w:rsidRPr="002F21D4">
        <w:rPr>
          <w:sz w:val="22"/>
          <w:szCs w:val="22"/>
        </w:rPr>
        <w:t xml:space="preserve"> informales</w:t>
      </w:r>
      <w:r w:rsidR="00F6209A" w:rsidRPr="002F21D4">
        <w:rPr>
          <w:rStyle w:val="FootnoteReference"/>
          <w:sz w:val="22"/>
          <w:szCs w:val="22"/>
        </w:rPr>
        <w:footnoteReference w:id="64"/>
      </w:r>
      <w:r w:rsidRPr="002F21D4">
        <w:rPr>
          <w:sz w:val="22"/>
          <w:szCs w:val="22"/>
        </w:rPr>
        <w:t xml:space="preserve">. Sin embargo, incrementó la llegada de población venezolana, con interés tanto de permanecer en los departamentos de Nariño, Valle del Cauca, Putumayo y Norte de Santander, como de transitar </w:t>
      </w:r>
      <w:r w:rsidR="00B56C93" w:rsidRPr="002F21D4">
        <w:rPr>
          <w:sz w:val="22"/>
          <w:szCs w:val="22"/>
        </w:rPr>
        <w:t>a</w:t>
      </w:r>
      <w:r w:rsidRPr="002F21D4">
        <w:rPr>
          <w:sz w:val="22"/>
          <w:szCs w:val="22"/>
        </w:rPr>
        <w:t>l territorio colombiano con intención de migrar hacia Perú y Chile.</w:t>
      </w:r>
      <w:r w:rsidR="0078159F" w:rsidRPr="002F21D4">
        <w:rPr>
          <w:sz w:val="22"/>
          <w:szCs w:val="22"/>
        </w:rPr>
        <w:t xml:space="preserve"> </w:t>
      </w:r>
    </w:p>
    <w:p w14:paraId="5E4795CC" w14:textId="77777777" w:rsidR="00B3338F" w:rsidRPr="002F21D4" w:rsidRDefault="00B3338F" w:rsidP="00B06FB8">
      <w:pPr>
        <w:snapToGrid w:val="0"/>
        <w:ind w:firstLine="360"/>
        <w:jc w:val="both"/>
        <w:rPr>
          <w:sz w:val="22"/>
          <w:szCs w:val="22"/>
        </w:rPr>
      </w:pPr>
    </w:p>
    <w:p w14:paraId="4F84860D" w14:textId="52674179" w:rsidR="009641D2" w:rsidRPr="002F21D4" w:rsidRDefault="0022060B" w:rsidP="00B06FB8">
      <w:pPr>
        <w:snapToGrid w:val="0"/>
        <w:ind w:firstLine="360"/>
        <w:jc w:val="both"/>
        <w:rPr>
          <w:sz w:val="22"/>
          <w:szCs w:val="22"/>
        </w:rPr>
      </w:pPr>
      <w:r w:rsidRPr="002F21D4">
        <w:rPr>
          <w:sz w:val="22"/>
          <w:szCs w:val="22"/>
        </w:rPr>
        <w:t>L</w:t>
      </w:r>
      <w:r w:rsidR="00A8224A" w:rsidRPr="002F21D4">
        <w:rPr>
          <w:sz w:val="22"/>
          <w:szCs w:val="22"/>
        </w:rPr>
        <w:t>a llegada masiva al municipio de Necoclí</w:t>
      </w:r>
      <w:r w:rsidR="009500CB" w:rsidRPr="002F21D4">
        <w:rPr>
          <w:sz w:val="22"/>
          <w:szCs w:val="22"/>
        </w:rPr>
        <w:t xml:space="preserve"> (</w:t>
      </w:r>
      <w:r w:rsidR="00A8224A" w:rsidRPr="002F21D4">
        <w:rPr>
          <w:sz w:val="22"/>
          <w:szCs w:val="22"/>
        </w:rPr>
        <w:t>Antioquia</w:t>
      </w:r>
      <w:r w:rsidR="009500CB" w:rsidRPr="002F21D4">
        <w:rPr>
          <w:sz w:val="22"/>
          <w:szCs w:val="22"/>
        </w:rPr>
        <w:t>)</w:t>
      </w:r>
      <w:r w:rsidR="00A8224A" w:rsidRPr="002F21D4">
        <w:rPr>
          <w:sz w:val="22"/>
          <w:szCs w:val="22"/>
        </w:rPr>
        <w:t xml:space="preserve"> de aproximadamente 10.000 migrantes transcontinentales, en su mayoría de nacionalidad haitiana</w:t>
      </w:r>
      <w:r w:rsidR="00D24B9F" w:rsidRPr="002F21D4">
        <w:rPr>
          <w:rStyle w:val="FootnoteReference"/>
          <w:sz w:val="22"/>
          <w:szCs w:val="22"/>
        </w:rPr>
        <w:footnoteReference w:id="65"/>
      </w:r>
      <w:r w:rsidR="00A8224A" w:rsidRPr="002F21D4">
        <w:rPr>
          <w:sz w:val="22"/>
          <w:szCs w:val="22"/>
        </w:rPr>
        <w:t xml:space="preserve">, que buscan cruzar </w:t>
      </w:r>
      <w:r w:rsidR="00C52A64" w:rsidRPr="002F21D4">
        <w:rPr>
          <w:sz w:val="22"/>
          <w:szCs w:val="22"/>
        </w:rPr>
        <w:t>por la zona selvática entre Colombia y P</w:t>
      </w:r>
      <w:r w:rsidR="00A8224A" w:rsidRPr="002F21D4">
        <w:rPr>
          <w:sz w:val="22"/>
          <w:szCs w:val="22"/>
        </w:rPr>
        <w:t>anamá</w:t>
      </w:r>
      <w:r w:rsidR="00C52A64" w:rsidRPr="002F21D4">
        <w:rPr>
          <w:rStyle w:val="FootnoteReference"/>
          <w:sz w:val="22"/>
          <w:szCs w:val="22"/>
        </w:rPr>
        <w:footnoteReference w:id="66"/>
      </w:r>
      <w:r w:rsidR="00C52A64" w:rsidRPr="002F21D4">
        <w:rPr>
          <w:sz w:val="22"/>
          <w:szCs w:val="22"/>
        </w:rPr>
        <w:t xml:space="preserve"> hacia Norteamérica</w:t>
      </w:r>
      <w:r w:rsidRPr="002F21D4">
        <w:rPr>
          <w:sz w:val="22"/>
          <w:szCs w:val="22"/>
        </w:rPr>
        <w:t xml:space="preserve">, </w:t>
      </w:r>
      <w:r w:rsidR="00C2121C" w:rsidRPr="002F21D4">
        <w:rPr>
          <w:sz w:val="22"/>
          <w:szCs w:val="22"/>
        </w:rPr>
        <w:t>evidenció la magnitud de</w:t>
      </w:r>
      <w:r w:rsidR="00CD5467" w:rsidRPr="002F21D4">
        <w:rPr>
          <w:sz w:val="22"/>
          <w:szCs w:val="22"/>
        </w:rPr>
        <w:t xml:space="preserve">l </w:t>
      </w:r>
      <w:r w:rsidR="00C2121C" w:rsidRPr="002F21D4">
        <w:rPr>
          <w:sz w:val="22"/>
          <w:szCs w:val="22"/>
        </w:rPr>
        <w:t>fenómeno migratorio</w:t>
      </w:r>
      <w:r w:rsidR="00225E2B" w:rsidRPr="002F21D4">
        <w:rPr>
          <w:sz w:val="22"/>
          <w:szCs w:val="22"/>
        </w:rPr>
        <w:t xml:space="preserve">. </w:t>
      </w:r>
      <w:r w:rsidR="00656699" w:rsidRPr="002F21D4">
        <w:rPr>
          <w:sz w:val="22"/>
          <w:szCs w:val="22"/>
        </w:rPr>
        <w:t xml:space="preserve">Esto generó impactos en las comunidades fronterizas, especialmente </w:t>
      </w:r>
      <w:r w:rsidR="00D335EB" w:rsidRPr="002F21D4">
        <w:rPr>
          <w:sz w:val="22"/>
          <w:szCs w:val="22"/>
        </w:rPr>
        <w:t>por el c</w:t>
      </w:r>
      <w:r w:rsidR="00811B97" w:rsidRPr="002F21D4">
        <w:rPr>
          <w:sz w:val="22"/>
          <w:szCs w:val="22"/>
        </w:rPr>
        <w:t>olapso de la</w:t>
      </w:r>
      <w:r w:rsidR="00A8224A" w:rsidRPr="002F21D4">
        <w:rPr>
          <w:sz w:val="22"/>
          <w:szCs w:val="22"/>
        </w:rPr>
        <w:t xml:space="preserve"> infraestructura local, el </w:t>
      </w:r>
      <w:r w:rsidRPr="002F21D4">
        <w:rPr>
          <w:sz w:val="22"/>
          <w:szCs w:val="22"/>
        </w:rPr>
        <w:t>incremento del</w:t>
      </w:r>
      <w:r w:rsidR="00A8224A" w:rsidRPr="002F21D4">
        <w:rPr>
          <w:sz w:val="22"/>
          <w:szCs w:val="22"/>
        </w:rPr>
        <w:t xml:space="preserve"> tráfico</w:t>
      </w:r>
      <w:r w:rsidR="00196D0A" w:rsidRPr="002F21D4">
        <w:rPr>
          <w:sz w:val="22"/>
          <w:szCs w:val="22"/>
        </w:rPr>
        <w:t xml:space="preserve"> ilícito</w:t>
      </w:r>
      <w:r w:rsidR="00A8224A" w:rsidRPr="002F21D4">
        <w:rPr>
          <w:sz w:val="22"/>
          <w:szCs w:val="22"/>
        </w:rPr>
        <w:t xml:space="preserve"> de migrantes, la dolarización de la economía local,</w:t>
      </w:r>
      <w:r w:rsidR="0078159F" w:rsidRPr="002F21D4">
        <w:rPr>
          <w:sz w:val="22"/>
          <w:szCs w:val="22"/>
        </w:rPr>
        <w:t xml:space="preserve"> </w:t>
      </w:r>
      <w:r w:rsidR="00576C08" w:rsidRPr="002F21D4">
        <w:rPr>
          <w:sz w:val="22"/>
          <w:szCs w:val="22"/>
        </w:rPr>
        <w:t xml:space="preserve">la </w:t>
      </w:r>
      <w:r w:rsidR="00A8224A" w:rsidRPr="002F21D4">
        <w:rPr>
          <w:sz w:val="22"/>
          <w:szCs w:val="22"/>
        </w:rPr>
        <w:t xml:space="preserve">pérdida de vocación </w:t>
      </w:r>
      <w:r w:rsidR="004541B8" w:rsidRPr="002F21D4">
        <w:rPr>
          <w:sz w:val="22"/>
          <w:szCs w:val="22"/>
        </w:rPr>
        <w:t>turística y</w:t>
      </w:r>
      <w:r w:rsidR="00576C08" w:rsidRPr="002F21D4">
        <w:rPr>
          <w:sz w:val="22"/>
          <w:szCs w:val="22"/>
        </w:rPr>
        <w:t xml:space="preserve"> el </w:t>
      </w:r>
      <w:r w:rsidR="00C52A64" w:rsidRPr="002F21D4">
        <w:rPr>
          <w:sz w:val="22"/>
          <w:szCs w:val="22"/>
        </w:rPr>
        <w:t xml:space="preserve">aumento </w:t>
      </w:r>
      <w:r w:rsidRPr="002F21D4">
        <w:rPr>
          <w:sz w:val="22"/>
          <w:szCs w:val="22"/>
        </w:rPr>
        <w:t>de la delincuencia</w:t>
      </w:r>
      <w:r w:rsidR="00C52A64" w:rsidRPr="002F21D4">
        <w:rPr>
          <w:sz w:val="22"/>
          <w:szCs w:val="22"/>
        </w:rPr>
        <w:t xml:space="preserve">. </w:t>
      </w:r>
      <w:r w:rsidR="00934B39" w:rsidRPr="002F21D4">
        <w:rPr>
          <w:sz w:val="22"/>
          <w:szCs w:val="22"/>
        </w:rPr>
        <w:t>Frente a lo anterior, e</w:t>
      </w:r>
      <w:r w:rsidR="00C2121C" w:rsidRPr="002F21D4">
        <w:rPr>
          <w:sz w:val="22"/>
          <w:szCs w:val="22"/>
        </w:rPr>
        <w:t xml:space="preserve">l Gobierno nacional </w:t>
      </w:r>
      <w:r w:rsidR="00CD5467" w:rsidRPr="002F21D4">
        <w:rPr>
          <w:sz w:val="22"/>
          <w:szCs w:val="22"/>
        </w:rPr>
        <w:t xml:space="preserve">ha atendido </w:t>
      </w:r>
      <w:r w:rsidR="00374AEE" w:rsidRPr="002F21D4">
        <w:rPr>
          <w:sz w:val="22"/>
          <w:szCs w:val="22"/>
        </w:rPr>
        <w:t>esta e</w:t>
      </w:r>
      <w:r w:rsidR="00CD5467" w:rsidRPr="002F21D4">
        <w:rPr>
          <w:sz w:val="22"/>
          <w:szCs w:val="22"/>
        </w:rPr>
        <w:t>mergencia humanitaria</w:t>
      </w:r>
      <w:r w:rsidR="00990239" w:rsidRPr="002F21D4">
        <w:rPr>
          <w:sz w:val="22"/>
          <w:szCs w:val="22"/>
        </w:rPr>
        <w:t xml:space="preserve"> a través del fomento de </w:t>
      </w:r>
      <w:r w:rsidR="00EF4C8F" w:rsidRPr="002F21D4">
        <w:rPr>
          <w:sz w:val="22"/>
          <w:szCs w:val="22"/>
        </w:rPr>
        <w:t>espacios</w:t>
      </w:r>
      <w:r w:rsidR="00C2121C" w:rsidRPr="002F21D4">
        <w:rPr>
          <w:sz w:val="22"/>
          <w:szCs w:val="22"/>
        </w:rPr>
        <w:t xml:space="preserve"> de cooperación internacional y mesas de trabajo </w:t>
      </w:r>
      <w:r w:rsidR="00990239" w:rsidRPr="002F21D4">
        <w:rPr>
          <w:sz w:val="22"/>
          <w:szCs w:val="22"/>
        </w:rPr>
        <w:t>con los</w:t>
      </w:r>
      <w:r w:rsidR="00C2121C" w:rsidRPr="002F21D4">
        <w:rPr>
          <w:sz w:val="22"/>
          <w:szCs w:val="22"/>
        </w:rPr>
        <w:t xml:space="preserve"> Estados </w:t>
      </w:r>
      <w:r w:rsidR="00990239" w:rsidRPr="002F21D4">
        <w:rPr>
          <w:sz w:val="22"/>
          <w:szCs w:val="22"/>
        </w:rPr>
        <w:t>involucrados.</w:t>
      </w:r>
      <w:r w:rsidR="00934B39" w:rsidRPr="002F21D4">
        <w:rPr>
          <w:sz w:val="22"/>
          <w:szCs w:val="22"/>
        </w:rPr>
        <w:t xml:space="preserve"> </w:t>
      </w:r>
    </w:p>
    <w:p w14:paraId="790D956B" w14:textId="77777777" w:rsidR="00B3338F" w:rsidRPr="002F21D4" w:rsidRDefault="00B3338F" w:rsidP="00B06FB8">
      <w:pPr>
        <w:snapToGrid w:val="0"/>
        <w:ind w:firstLine="360"/>
        <w:jc w:val="both"/>
        <w:rPr>
          <w:sz w:val="22"/>
          <w:szCs w:val="22"/>
        </w:rPr>
      </w:pPr>
    </w:p>
    <w:p w14:paraId="0367180A" w14:textId="7B4AA0F3" w:rsidR="00C2121C" w:rsidRPr="002F21D4" w:rsidRDefault="00934B39" w:rsidP="00B06FB8">
      <w:pPr>
        <w:snapToGrid w:val="0"/>
        <w:ind w:firstLine="360"/>
        <w:jc w:val="both"/>
        <w:rPr>
          <w:rFonts w:eastAsia="Cambria"/>
          <w:sz w:val="22"/>
          <w:szCs w:val="22"/>
          <w:lang w:val="es-ES"/>
        </w:rPr>
      </w:pPr>
      <w:r w:rsidRPr="002F21D4">
        <w:rPr>
          <w:sz w:val="22"/>
          <w:szCs w:val="22"/>
        </w:rPr>
        <w:t>Por otro lado, e</w:t>
      </w:r>
      <w:r w:rsidR="00A23FE1" w:rsidRPr="002F21D4">
        <w:rPr>
          <w:sz w:val="22"/>
          <w:szCs w:val="22"/>
        </w:rPr>
        <w:t xml:space="preserve">n </w:t>
      </w:r>
      <w:r w:rsidR="00B56C93" w:rsidRPr="002F21D4">
        <w:rPr>
          <w:sz w:val="22"/>
          <w:szCs w:val="22"/>
        </w:rPr>
        <w:t>la</w:t>
      </w:r>
      <w:r w:rsidR="00990239" w:rsidRPr="002F21D4">
        <w:rPr>
          <w:sz w:val="22"/>
          <w:szCs w:val="22"/>
        </w:rPr>
        <w:t xml:space="preserve"> front</w:t>
      </w:r>
      <w:r w:rsidR="00A23FE1" w:rsidRPr="002F21D4">
        <w:rPr>
          <w:sz w:val="22"/>
          <w:szCs w:val="22"/>
        </w:rPr>
        <w:t>era con Venezuela</w:t>
      </w:r>
      <w:r w:rsidR="00990239" w:rsidRPr="002F21D4">
        <w:rPr>
          <w:sz w:val="22"/>
          <w:szCs w:val="22"/>
        </w:rPr>
        <w:t xml:space="preserve">, </w:t>
      </w:r>
      <w:r w:rsidR="008166AC" w:rsidRPr="002F21D4">
        <w:rPr>
          <w:sz w:val="22"/>
          <w:szCs w:val="22"/>
        </w:rPr>
        <w:t xml:space="preserve">la institucionalidad colombiana </w:t>
      </w:r>
      <w:r w:rsidR="00275B3F" w:rsidRPr="002F21D4">
        <w:rPr>
          <w:sz w:val="22"/>
          <w:szCs w:val="22"/>
        </w:rPr>
        <w:t xml:space="preserve">realizó </w:t>
      </w:r>
      <w:r w:rsidR="00990239" w:rsidRPr="002F21D4">
        <w:rPr>
          <w:sz w:val="22"/>
          <w:szCs w:val="22"/>
        </w:rPr>
        <w:t xml:space="preserve">acciones de asistencia y ayuda humanitaria a la población desplazada de la zona rural La Victoria (estado de Apure, Venezuela) </w:t>
      </w:r>
      <w:r w:rsidR="00266E12" w:rsidRPr="002F21D4">
        <w:rPr>
          <w:sz w:val="22"/>
          <w:szCs w:val="22"/>
        </w:rPr>
        <w:t xml:space="preserve">tras </w:t>
      </w:r>
      <w:r w:rsidR="00102871" w:rsidRPr="002F21D4">
        <w:rPr>
          <w:sz w:val="22"/>
          <w:szCs w:val="22"/>
        </w:rPr>
        <w:t>su</w:t>
      </w:r>
      <w:r w:rsidR="00D844C4" w:rsidRPr="002F21D4">
        <w:rPr>
          <w:sz w:val="22"/>
          <w:szCs w:val="22"/>
        </w:rPr>
        <w:t xml:space="preserve"> llegada</w:t>
      </w:r>
      <w:r w:rsidR="00A23FE1" w:rsidRPr="002F21D4">
        <w:rPr>
          <w:sz w:val="22"/>
          <w:szCs w:val="22"/>
        </w:rPr>
        <w:t xml:space="preserve"> al departamento de </w:t>
      </w:r>
      <w:r w:rsidR="00990239" w:rsidRPr="002F21D4">
        <w:rPr>
          <w:sz w:val="22"/>
          <w:szCs w:val="22"/>
        </w:rPr>
        <w:t>Arauca</w:t>
      </w:r>
      <w:r w:rsidR="00A23FE1" w:rsidRPr="002F21D4">
        <w:rPr>
          <w:sz w:val="22"/>
          <w:szCs w:val="22"/>
        </w:rPr>
        <w:t>, Colombia</w:t>
      </w:r>
      <w:r w:rsidR="00E45BD2" w:rsidRPr="002F21D4">
        <w:rPr>
          <w:sz w:val="22"/>
          <w:szCs w:val="22"/>
        </w:rPr>
        <w:t xml:space="preserve">, producto de los combates entre </w:t>
      </w:r>
      <w:r w:rsidR="00E45BD2" w:rsidRPr="002F21D4">
        <w:rPr>
          <w:sz w:val="22"/>
          <w:szCs w:val="22"/>
        </w:rPr>
        <w:lastRenderedPageBreak/>
        <w:t xml:space="preserve">grupos residuales </w:t>
      </w:r>
      <w:r w:rsidR="008C1FEF" w:rsidRPr="002F21D4">
        <w:rPr>
          <w:sz w:val="22"/>
          <w:szCs w:val="22"/>
        </w:rPr>
        <w:t xml:space="preserve">o </w:t>
      </w:r>
      <w:r w:rsidR="00E45BD2" w:rsidRPr="002F21D4">
        <w:rPr>
          <w:sz w:val="22"/>
          <w:szCs w:val="22"/>
        </w:rPr>
        <w:t xml:space="preserve">disidentes de las FARC-EP y </w:t>
      </w:r>
      <w:r w:rsidR="00E45BD2" w:rsidRPr="002F21D4">
        <w:rPr>
          <w:rFonts w:eastAsia="Cambria"/>
          <w:sz w:val="22"/>
          <w:szCs w:val="22"/>
          <w:lang w:val="es-ES"/>
        </w:rPr>
        <w:t xml:space="preserve">la Fuerza Armada Nacional Bolivariana de Venezuela. </w:t>
      </w:r>
    </w:p>
    <w:p w14:paraId="7DA35A6D" w14:textId="77777777" w:rsidR="00B3338F" w:rsidRPr="002F21D4" w:rsidRDefault="00B3338F" w:rsidP="00B06FB8">
      <w:pPr>
        <w:snapToGrid w:val="0"/>
        <w:ind w:firstLine="360"/>
        <w:jc w:val="both"/>
        <w:rPr>
          <w:bCs/>
          <w:sz w:val="22"/>
          <w:szCs w:val="22"/>
        </w:rPr>
      </w:pPr>
    </w:p>
    <w:p w14:paraId="09665835" w14:textId="192A0F8D" w:rsidR="00550284" w:rsidRPr="002F21D4" w:rsidRDefault="00B13938" w:rsidP="00B06FB8">
      <w:pPr>
        <w:snapToGrid w:val="0"/>
        <w:ind w:firstLine="360"/>
        <w:jc w:val="both"/>
        <w:rPr>
          <w:sz w:val="22"/>
          <w:szCs w:val="22"/>
        </w:rPr>
      </w:pPr>
      <w:r w:rsidRPr="002F21D4">
        <w:rPr>
          <w:bCs/>
          <w:sz w:val="22"/>
          <w:szCs w:val="22"/>
        </w:rPr>
        <w:t>La poblaci</w:t>
      </w:r>
      <w:r w:rsidR="00036409" w:rsidRPr="002F21D4">
        <w:rPr>
          <w:bCs/>
          <w:sz w:val="22"/>
          <w:szCs w:val="22"/>
        </w:rPr>
        <w:t xml:space="preserve">ón extranjera, especialmente, </w:t>
      </w:r>
      <w:r w:rsidR="00036409" w:rsidRPr="002F21D4">
        <w:rPr>
          <w:sz w:val="22"/>
          <w:szCs w:val="22"/>
        </w:rPr>
        <w:t xml:space="preserve">población indígena binacional, NNA, jóvenes y mujeres </w:t>
      </w:r>
      <w:r w:rsidR="00036409" w:rsidRPr="002F21D4">
        <w:rPr>
          <w:bCs/>
          <w:sz w:val="22"/>
          <w:szCs w:val="22"/>
        </w:rPr>
        <w:t>continúa</w:t>
      </w:r>
      <w:r w:rsidRPr="002F21D4">
        <w:rPr>
          <w:bCs/>
          <w:sz w:val="22"/>
          <w:szCs w:val="22"/>
        </w:rPr>
        <w:t xml:space="preserve"> siendo víctima de </w:t>
      </w:r>
      <w:r w:rsidR="00C2121C" w:rsidRPr="002F21D4">
        <w:rPr>
          <w:sz w:val="22"/>
          <w:szCs w:val="22"/>
        </w:rPr>
        <w:t xml:space="preserve">homicidios, </w:t>
      </w:r>
      <w:r w:rsidR="00C941D9" w:rsidRPr="002F21D4">
        <w:rPr>
          <w:sz w:val="22"/>
          <w:szCs w:val="22"/>
        </w:rPr>
        <w:t>feminicidios, violencia sexual, trata de personas</w:t>
      </w:r>
      <w:r w:rsidR="004C47B9" w:rsidRPr="002F21D4">
        <w:rPr>
          <w:rStyle w:val="FootnoteReference"/>
          <w:sz w:val="22"/>
          <w:szCs w:val="22"/>
        </w:rPr>
        <w:footnoteReference w:id="67"/>
      </w:r>
      <w:r w:rsidR="00C941D9" w:rsidRPr="002F21D4">
        <w:rPr>
          <w:sz w:val="22"/>
          <w:szCs w:val="22"/>
        </w:rPr>
        <w:t xml:space="preserve">, </w:t>
      </w:r>
      <w:r w:rsidR="00C2121C" w:rsidRPr="002F21D4">
        <w:rPr>
          <w:sz w:val="22"/>
          <w:szCs w:val="22"/>
        </w:rPr>
        <w:t>desapariciones, desplazamientos forzados, extorsiones</w:t>
      </w:r>
      <w:r w:rsidR="006245AB" w:rsidRPr="002F21D4">
        <w:rPr>
          <w:sz w:val="22"/>
          <w:szCs w:val="22"/>
        </w:rPr>
        <w:t>,</w:t>
      </w:r>
      <w:r w:rsidR="008165C9" w:rsidRPr="002F21D4">
        <w:rPr>
          <w:sz w:val="22"/>
          <w:szCs w:val="22"/>
        </w:rPr>
        <w:t xml:space="preserve"> y</w:t>
      </w:r>
      <w:r w:rsidR="00C2121C" w:rsidRPr="002F21D4">
        <w:rPr>
          <w:sz w:val="22"/>
          <w:szCs w:val="22"/>
        </w:rPr>
        <w:t xml:space="preserve"> </w:t>
      </w:r>
      <w:r w:rsidRPr="002F21D4">
        <w:rPr>
          <w:sz w:val="22"/>
          <w:szCs w:val="22"/>
        </w:rPr>
        <w:t>vinculación</w:t>
      </w:r>
      <w:r w:rsidR="00C2121C" w:rsidRPr="002F21D4">
        <w:rPr>
          <w:sz w:val="22"/>
          <w:szCs w:val="22"/>
        </w:rPr>
        <w:t xml:space="preserve">, uso </w:t>
      </w:r>
      <w:r w:rsidR="008165C9" w:rsidRPr="002F21D4">
        <w:rPr>
          <w:sz w:val="22"/>
          <w:szCs w:val="22"/>
        </w:rPr>
        <w:t>o</w:t>
      </w:r>
      <w:r w:rsidR="00C2121C" w:rsidRPr="002F21D4">
        <w:rPr>
          <w:sz w:val="22"/>
          <w:szCs w:val="22"/>
        </w:rPr>
        <w:t xml:space="preserve"> utilización de NNA</w:t>
      </w:r>
      <w:r w:rsidR="00C2121C" w:rsidRPr="002F21D4">
        <w:rPr>
          <w:rStyle w:val="FootnoteReference"/>
          <w:sz w:val="22"/>
          <w:szCs w:val="22"/>
        </w:rPr>
        <w:footnoteReference w:id="68"/>
      </w:r>
      <w:r w:rsidR="00C721EA" w:rsidRPr="002F21D4">
        <w:rPr>
          <w:sz w:val="22"/>
          <w:szCs w:val="22"/>
        </w:rPr>
        <w:t xml:space="preserve">, </w:t>
      </w:r>
      <w:r w:rsidR="00C2121C" w:rsidRPr="002F21D4">
        <w:rPr>
          <w:sz w:val="22"/>
          <w:szCs w:val="22"/>
        </w:rPr>
        <w:t>producto del control de</w:t>
      </w:r>
      <w:r w:rsidR="00C721EA" w:rsidRPr="002F21D4">
        <w:rPr>
          <w:sz w:val="22"/>
          <w:szCs w:val="22"/>
        </w:rPr>
        <w:t xml:space="preserve"> los</w:t>
      </w:r>
      <w:r w:rsidR="00C2121C" w:rsidRPr="002F21D4">
        <w:rPr>
          <w:sz w:val="22"/>
          <w:szCs w:val="22"/>
        </w:rPr>
        <w:t xml:space="preserve"> GAI en la</w:t>
      </w:r>
      <w:r w:rsidR="00C721EA" w:rsidRPr="002F21D4">
        <w:rPr>
          <w:sz w:val="22"/>
          <w:szCs w:val="22"/>
        </w:rPr>
        <w:t xml:space="preserve">s </w:t>
      </w:r>
      <w:r w:rsidR="00C2121C" w:rsidRPr="002F21D4">
        <w:rPr>
          <w:sz w:val="22"/>
          <w:szCs w:val="22"/>
        </w:rPr>
        <w:t>frontera</w:t>
      </w:r>
      <w:r w:rsidR="00C721EA" w:rsidRPr="002F21D4">
        <w:rPr>
          <w:sz w:val="22"/>
          <w:szCs w:val="22"/>
        </w:rPr>
        <w:t>s</w:t>
      </w:r>
      <w:r w:rsidR="00C2121C" w:rsidRPr="002F21D4">
        <w:rPr>
          <w:sz w:val="22"/>
          <w:szCs w:val="22"/>
        </w:rPr>
        <w:t xml:space="preserve"> con Venezuela, Ecuador y Panamá</w:t>
      </w:r>
      <w:r w:rsidR="005D0DD9" w:rsidRPr="002F21D4">
        <w:rPr>
          <w:sz w:val="22"/>
          <w:szCs w:val="22"/>
        </w:rPr>
        <w:t>,</w:t>
      </w:r>
      <w:r w:rsidR="00C2121C" w:rsidRPr="002F21D4">
        <w:rPr>
          <w:sz w:val="22"/>
          <w:szCs w:val="22"/>
        </w:rPr>
        <w:t xml:space="preserve"> así</w:t>
      </w:r>
      <w:r w:rsidR="00C721EA" w:rsidRPr="002F21D4">
        <w:rPr>
          <w:sz w:val="22"/>
          <w:szCs w:val="22"/>
        </w:rPr>
        <w:t xml:space="preserve"> como en los departamentos de</w:t>
      </w:r>
      <w:r w:rsidR="00C2121C" w:rsidRPr="002F21D4">
        <w:rPr>
          <w:sz w:val="22"/>
          <w:szCs w:val="22"/>
        </w:rPr>
        <w:t xml:space="preserve"> Antioquia, Valle del Cauca</w:t>
      </w:r>
      <w:r w:rsidR="00C721EA" w:rsidRPr="002F21D4">
        <w:rPr>
          <w:sz w:val="22"/>
          <w:szCs w:val="22"/>
        </w:rPr>
        <w:t>, Cauca y Meta</w:t>
      </w:r>
      <w:r w:rsidR="00C2121C" w:rsidRPr="002F21D4">
        <w:rPr>
          <w:sz w:val="22"/>
          <w:szCs w:val="22"/>
        </w:rPr>
        <w:t xml:space="preserve">, </w:t>
      </w:r>
      <w:r w:rsidR="006A415B" w:rsidRPr="002F21D4">
        <w:rPr>
          <w:sz w:val="22"/>
          <w:szCs w:val="22"/>
        </w:rPr>
        <w:t>y en la</w:t>
      </w:r>
      <w:r w:rsidR="00C941D9" w:rsidRPr="002F21D4">
        <w:rPr>
          <w:sz w:val="22"/>
          <w:szCs w:val="22"/>
        </w:rPr>
        <w:t>s regiones</w:t>
      </w:r>
      <w:r w:rsidR="006A415B" w:rsidRPr="002F21D4">
        <w:rPr>
          <w:sz w:val="22"/>
          <w:szCs w:val="22"/>
        </w:rPr>
        <w:t xml:space="preserve"> de </w:t>
      </w:r>
      <w:r w:rsidR="00C721EA" w:rsidRPr="002F21D4">
        <w:rPr>
          <w:sz w:val="22"/>
          <w:szCs w:val="22"/>
        </w:rPr>
        <w:t>C</w:t>
      </w:r>
      <w:r w:rsidR="00C2121C" w:rsidRPr="002F21D4">
        <w:rPr>
          <w:sz w:val="22"/>
          <w:szCs w:val="22"/>
        </w:rPr>
        <w:t xml:space="preserve">ordillera </w:t>
      </w:r>
      <w:r w:rsidR="008165C9" w:rsidRPr="002F21D4">
        <w:rPr>
          <w:sz w:val="22"/>
          <w:szCs w:val="22"/>
        </w:rPr>
        <w:t>nariñense</w:t>
      </w:r>
      <w:r w:rsidR="00C2121C" w:rsidRPr="002F21D4">
        <w:rPr>
          <w:rStyle w:val="FootnoteReference"/>
          <w:sz w:val="22"/>
          <w:szCs w:val="22"/>
        </w:rPr>
        <w:footnoteReference w:id="69"/>
      </w:r>
      <w:r w:rsidR="00C941D9" w:rsidRPr="002F21D4">
        <w:rPr>
          <w:sz w:val="22"/>
          <w:szCs w:val="22"/>
        </w:rPr>
        <w:t xml:space="preserve"> y Sur de Bolívar</w:t>
      </w:r>
      <w:r w:rsidR="00C721EA" w:rsidRPr="002F21D4">
        <w:rPr>
          <w:sz w:val="22"/>
          <w:szCs w:val="22"/>
        </w:rPr>
        <w:t>.</w:t>
      </w:r>
      <w:r w:rsidR="00C2121C" w:rsidRPr="002F21D4">
        <w:rPr>
          <w:sz w:val="22"/>
          <w:szCs w:val="22"/>
        </w:rPr>
        <w:t xml:space="preserve"> </w:t>
      </w:r>
      <w:r w:rsidR="00036409" w:rsidRPr="002F21D4">
        <w:rPr>
          <w:sz w:val="22"/>
          <w:szCs w:val="22"/>
        </w:rPr>
        <w:t>Debido a la falta de denuncia, por temor a represalias de los GAI</w:t>
      </w:r>
      <w:r w:rsidR="004A1133" w:rsidRPr="002F21D4">
        <w:rPr>
          <w:sz w:val="22"/>
          <w:szCs w:val="22"/>
        </w:rPr>
        <w:t>,</w:t>
      </w:r>
      <w:r w:rsidR="00036409" w:rsidRPr="002F21D4">
        <w:rPr>
          <w:sz w:val="22"/>
          <w:szCs w:val="22"/>
        </w:rPr>
        <w:t xml:space="preserve"> e</w:t>
      </w:r>
      <w:r w:rsidR="00C721EA" w:rsidRPr="002F21D4">
        <w:rPr>
          <w:sz w:val="22"/>
          <w:szCs w:val="22"/>
        </w:rPr>
        <w:t>stos hechos presentan</w:t>
      </w:r>
      <w:r w:rsidR="00C2121C" w:rsidRPr="002F21D4">
        <w:rPr>
          <w:sz w:val="22"/>
          <w:szCs w:val="22"/>
        </w:rPr>
        <w:t xml:space="preserve"> un alto subregistro </w:t>
      </w:r>
      <w:r w:rsidR="00036409" w:rsidRPr="002F21D4">
        <w:rPr>
          <w:sz w:val="22"/>
          <w:szCs w:val="22"/>
        </w:rPr>
        <w:t xml:space="preserve">y desconocimiento institucional. </w:t>
      </w:r>
    </w:p>
    <w:p w14:paraId="32D1D8F1" w14:textId="77777777" w:rsidR="00013077" w:rsidRPr="002F21D4" w:rsidRDefault="00013077" w:rsidP="00B06FB8">
      <w:pPr>
        <w:snapToGrid w:val="0"/>
        <w:ind w:firstLine="360"/>
        <w:jc w:val="both"/>
        <w:rPr>
          <w:sz w:val="22"/>
          <w:szCs w:val="22"/>
        </w:rPr>
      </w:pPr>
    </w:p>
    <w:p w14:paraId="21E885B9" w14:textId="2ADCF0DD" w:rsidR="006458E4" w:rsidRPr="002F21D4" w:rsidRDefault="006458E4" w:rsidP="002F21D4">
      <w:pPr>
        <w:pStyle w:val="ListParagraph"/>
        <w:numPr>
          <w:ilvl w:val="0"/>
          <w:numId w:val="1"/>
        </w:numPr>
        <w:snapToGrid w:val="0"/>
        <w:spacing w:after="0" w:line="240" w:lineRule="auto"/>
        <w:contextualSpacing w:val="0"/>
        <w:jc w:val="both"/>
        <w:rPr>
          <w:rFonts w:ascii="Times New Roman" w:hAnsi="Times New Roman" w:cs="Times New Roman"/>
          <w:b/>
          <w:bCs/>
        </w:rPr>
      </w:pPr>
      <w:r w:rsidRPr="002F21D4">
        <w:rPr>
          <w:rFonts w:ascii="Times New Roman" w:hAnsi="Times New Roman" w:cs="Times New Roman"/>
          <w:b/>
          <w:bCs/>
        </w:rPr>
        <w:t>JUSTICIA EN LOS TERRITORIOS</w:t>
      </w:r>
    </w:p>
    <w:p w14:paraId="35476815" w14:textId="77777777" w:rsidR="00B3338F" w:rsidRPr="002F21D4" w:rsidRDefault="00B3338F" w:rsidP="00B06FB8">
      <w:pPr>
        <w:snapToGrid w:val="0"/>
        <w:ind w:firstLine="357"/>
        <w:jc w:val="both"/>
        <w:rPr>
          <w:sz w:val="22"/>
          <w:szCs w:val="22"/>
        </w:rPr>
      </w:pPr>
    </w:p>
    <w:p w14:paraId="369E927E" w14:textId="7ED10F5D" w:rsidR="00B337A7" w:rsidRPr="002F21D4" w:rsidRDefault="00FE1861" w:rsidP="00B06FB8">
      <w:pPr>
        <w:snapToGrid w:val="0"/>
        <w:ind w:firstLine="357"/>
        <w:jc w:val="both"/>
        <w:rPr>
          <w:sz w:val="22"/>
          <w:szCs w:val="22"/>
        </w:rPr>
      </w:pPr>
      <w:r w:rsidRPr="002F21D4">
        <w:rPr>
          <w:sz w:val="22"/>
          <w:szCs w:val="22"/>
        </w:rPr>
        <w:t xml:space="preserve">El Ministerio de Justicia y del Derecho </w:t>
      </w:r>
      <w:r w:rsidR="00203089" w:rsidRPr="002F21D4">
        <w:rPr>
          <w:sz w:val="22"/>
          <w:szCs w:val="22"/>
        </w:rPr>
        <w:t>avanzó en</w:t>
      </w:r>
      <w:r w:rsidR="006458E4" w:rsidRPr="002F21D4">
        <w:rPr>
          <w:sz w:val="22"/>
          <w:szCs w:val="22"/>
        </w:rPr>
        <w:t xml:space="preserve"> procesos de formación y</w:t>
      </w:r>
      <w:r w:rsidR="00B70D00" w:rsidRPr="002F21D4">
        <w:rPr>
          <w:sz w:val="22"/>
          <w:szCs w:val="22"/>
        </w:rPr>
        <w:t xml:space="preserve"> </w:t>
      </w:r>
      <w:r w:rsidR="00366AC4" w:rsidRPr="002F21D4">
        <w:rPr>
          <w:sz w:val="22"/>
          <w:szCs w:val="22"/>
        </w:rPr>
        <w:t xml:space="preserve">en </w:t>
      </w:r>
      <w:r w:rsidR="00B70D00" w:rsidRPr="002F21D4">
        <w:rPr>
          <w:sz w:val="22"/>
          <w:szCs w:val="22"/>
        </w:rPr>
        <w:t xml:space="preserve">el diseño </w:t>
      </w:r>
      <w:r w:rsidR="00663355" w:rsidRPr="002F21D4">
        <w:rPr>
          <w:sz w:val="22"/>
          <w:szCs w:val="22"/>
        </w:rPr>
        <w:t xml:space="preserve">de una </w:t>
      </w:r>
      <w:r w:rsidR="00B70D00" w:rsidRPr="002F21D4">
        <w:rPr>
          <w:sz w:val="22"/>
          <w:szCs w:val="22"/>
        </w:rPr>
        <w:t xml:space="preserve">caja de herramientas con elementos conceptuales, pedagógicos, comunicacionales y prácticos sobre </w:t>
      </w:r>
      <w:r w:rsidR="00981309" w:rsidRPr="002F21D4">
        <w:rPr>
          <w:sz w:val="22"/>
          <w:szCs w:val="22"/>
        </w:rPr>
        <w:t xml:space="preserve">la </w:t>
      </w:r>
      <w:r w:rsidR="00B70D00" w:rsidRPr="002F21D4">
        <w:rPr>
          <w:sz w:val="22"/>
          <w:szCs w:val="22"/>
        </w:rPr>
        <w:t>violencia</w:t>
      </w:r>
      <w:r w:rsidR="00A92B57" w:rsidRPr="002F21D4">
        <w:rPr>
          <w:sz w:val="22"/>
          <w:szCs w:val="22"/>
        </w:rPr>
        <w:t xml:space="preserve"> intrafamiliar y de género</w:t>
      </w:r>
      <w:r w:rsidR="00B70D00" w:rsidRPr="002F21D4">
        <w:rPr>
          <w:sz w:val="22"/>
          <w:szCs w:val="22"/>
        </w:rPr>
        <w:t xml:space="preserve"> </w:t>
      </w:r>
      <w:r w:rsidR="00A92B57" w:rsidRPr="002F21D4">
        <w:rPr>
          <w:sz w:val="22"/>
          <w:szCs w:val="22"/>
        </w:rPr>
        <w:t xml:space="preserve">para </w:t>
      </w:r>
      <w:r w:rsidR="006458E4" w:rsidRPr="002F21D4">
        <w:rPr>
          <w:sz w:val="22"/>
          <w:szCs w:val="22"/>
        </w:rPr>
        <w:t>operadores de justicia local</w:t>
      </w:r>
      <w:r w:rsidR="00A92B57" w:rsidRPr="002F21D4">
        <w:rPr>
          <w:sz w:val="22"/>
          <w:szCs w:val="22"/>
        </w:rPr>
        <w:t xml:space="preserve">. </w:t>
      </w:r>
      <w:r w:rsidR="00600973" w:rsidRPr="002F21D4">
        <w:rPr>
          <w:sz w:val="22"/>
          <w:szCs w:val="22"/>
        </w:rPr>
        <w:t>A</w:t>
      </w:r>
      <w:r w:rsidR="00483C9F" w:rsidRPr="002F21D4">
        <w:rPr>
          <w:sz w:val="22"/>
          <w:szCs w:val="22"/>
        </w:rPr>
        <w:t xml:space="preserve"> través de capacitaciones</w:t>
      </w:r>
      <w:r w:rsidR="00BE732F" w:rsidRPr="002F21D4">
        <w:rPr>
          <w:sz w:val="22"/>
          <w:szCs w:val="22"/>
        </w:rPr>
        <w:t xml:space="preserve"> generó estrategias de </w:t>
      </w:r>
      <w:r w:rsidR="006458E4" w:rsidRPr="002F21D4">
        <w:rPr>
          <w:sz w:val="22"/>
          <w:szCs w:val="22"/>
        </w:rPr>
        <w:t xml:space="preserve">fortalecimiento </w:t>
      </w:r>
      <w:r w:rsidR="00523D3A" w:rsidRPr="002F21D4">
        <w:rPr>
          <w:sz w:val="22"/>
          <w:szCs w:val="22"/>
        </w:rPr>
        <w:t>hacia</w:t>
      </w:r>
      <w:r w:rsidR="00196763" w:rsidRPr="002F21D4">
        <w:rPr>
          <w:sz w:val="22"/>
          <w:szCs w:val="22"/>
        </w:rPr>
        <w:t xml:space="preserve"> instituciones y</w:t>
      </w:r>
      <w:r w:rsidR="006458E4" w:rsidRPr="002F21D4">
        <w:rPr>
          <w:sz w:val="22"/>
          <w:szCs w:val="22"/>
        </w:rPr>
        <w:t xml:space="preserve"> liderazgos</w:t>
      </w:r>
      <w:r w:rsidR="00196763" w:rsidRPr="002F21D4">
        <w:rPr>
          <w:sz w:val="22"/>
          <w:szCs w:val="22"/>
        </w:rPr>
        <w:t xml:space="preserve"> sociales</w:t>
      </w:r>
      <w:r w:rsidR="006458E4" w:rsidRPr="002F21D4">
        <w:rPr>
          <w:sz w:val="22"/>
          <w:szCs w:val="22"/>
        </w:rPr>
        <w:t xml:space="preserve"> para</w:t>
      </w:r>
      <w:r w:rsidR="00483C9F" w:rsidRPr="002F21D4">
        <w:rPr>
          <w:sz w:val="22"/>
          <w:szCs w:val="22"/>
        </w:rPr>
        <w:t xml:space="preserve"> facilitar</w:t>
      </w:r>
      <w:r w:rsidR="006458E4" w:rsidRPr="002F21D4">
        <w:rPr>
          <w:sz w:val="22"/>
          <w:szCs w:val="22"/>
        </w:rPr>
        <w:t xml:space="preserve"> el acceso a la justicia y a la tierra </w:t>
      </w:r>
      <w:r w:rsidR="006245AB" w:rsidRPr="002F21D4">
        <w:rPr>
          <w:sz w:val="22"/>
          <w:szCs w:val="22"/>
        </w:rPr>
        <w:t xml:space="preserve">a </w:t>
      </w:r>
      <w:r w:rsidR="006458E4" w:rsidRPr="002F21D4">
        <w:rPr>
          <w:sz w:val="22"/>
          <w:szCs w:val="22"/>
        </w:rPr>
        <w:t xml:space="preserve">mujeres rurales. Igualmente, </w:t>
      </w:r>
      <w:r w:rsidR="009465BC" w:rsidRPr="002F21D4">
        <w:rPr>
          <w:sz w:val="22"/>
          <w:szCs w:val="22"/>
        </w:rPr>
        <w:t xml:space="preserve">el Ministerio prestó </w:t>
      </w:r>
      <w:r w:rsidR="00986958" w:rsidRPr="002F21D4">
        <w:rPr>
          <w:sz w:val="22"/>
          <w:szCs w:val="22"/>
        </w:rPr>
        <w:t>apoyo técnico</w:t>
      </w:r>
      <w:r w:rsidR="009465BC" w:rsidRPr="002F21D4">
        <w:rPr>
          <w:sz w:val="22"/>
          <w:szCs w:val="22"/>
        </w:rPr>
        <w:t xml:space="preserve"> para </w:t>
      </w:r>
      <w:r w:rsidR="00B24345" w:rsidRPr="002F21D4">
        <w:rPr>
          <w:sz w:val="22"/>
          <w:szCs w:val="22"/>
        </w:rPr>
        <w:t xml:space="preserve">continuar </w:t>
      </w:r>
      <w:r w:rsidR="006C5F30" w:rsidRPr="002F21D4">
        <w:rPr>
          <w:sz w:val="22"/>
          <w:szCs w:val="22"/>
        </w:rPr>
        <w:t xml:space="preserve">la </w:t>
      </w:r>
      <w:r w:rsidR="006458E4" w:rsidRPr="002F21D4">
        <w:rPr>
          <w:sz w:val="22"/>
          <w:szCs w:val="22"/>
        </w:rPr>
        <w:t xml:space="preserve">implementación de los sistemas locales y rurales de justicia, </w:t>
      </w:r>
      <w:r w:rsidR="00E06E1C" w:rsidRPr="002F21D4">
        <w:rPr>
          <w:sz w:val="22"/>
          <w:szCs w:val="22"/>
        </w:rPr>
        <w:t xml:space="preserve">mediante </w:t>
      </w:r>
      <w:r w:rsidR="006458E4" w:rsidRPr="002F21D4">
        <w:rPr>
          <w:sz w:val="22"/>
          <w:szCs w:val="22"/>
        </w:rPr>
        <w:t xml:space="preserve">la conformación de </w:t>
      </w:r>
      <w:r w:rsidR="0071594B" w:rsidRPr="002F21D4">
        <w:rPr>
          <w:sz w:val="22"/>
          <w:szCs w:val="22"/>
        </w:rPr>
        <w:t>c</w:t>
      </w:r>
      <w:r w:rsidR="006458E4" w:rsidRPr="002F21D4">
        <w:rPr>
          <w:sz w:val="22"/>
          <w:szCs w:val="22"/>
        </w:rPr>
        <w:t xml:space="preserve">omités </w:t>
      </w:r>
      <w:r w:rsidR="0071594B" w:rsidRPr="002F21D4">
        <w:rPr>
          <w:sz w:val="22"/>
          <w:szCs w:val="22"/>
        </w:rPr>
        <w:t>d</w:t>
      </w:r>
      <w:r w:rsidR="006458E4" w:rsidRPr="002F21D4">
        <w:rPr>
          <w:sz w:val="22"/>
          <w:szCs w:val="22"/>
        </w:rPr>
        <w:t xml:space="preserve">epartamentales y </w:t>
      </w:r>
      <w:r w:rsidR="0071594B" w:rsidRPr="002F21D4">
        <w:rPr>
          <w:sz w:val="22"/>
          <w:szCs w:val="22"/>
        </w:rPr>
        <w:t>m</w:t>
      </w:r>
      <w:r w:rsidR="006458E4" w:rsidRPr="002F21D4">
        <w:rPr>
          <w:sz w:val="22"/>
          <w:szCs w:val="22"/>
        </w:rPr>
        <w:t>unicipales</w:t>
      </w:r>
      <w:r w:rsidR="0071594B" w:rsidRPr="002F21D4">
        <w:rPr>
          <w:sz w:val="22"/>
          <w:szCs w:val="22"/>
        </w:rPr>
        <w:t xml:space="preserve"> de justicia</w:t>
      </w:r>
      <w:r w:rsidR="006458E4" w:rsidRPr="002F21D4">
        <w:rPr>
          <w:sz w:val="22"/>
          <w:szCs w:val="22"/>
        </w:rPr>
        <w:t xml:space="preserve">. </w:t>
      </w:r>
    </w:p>
    <w:p w14:paraId="75700EF4" w14:textId="77777777" w:rsidR="00B3338F" w:rsidRPr="002F21D4" w:rsidRDefault="00B3338F" w:rsidP="00B06FB8">
      <w:pPr>
        <w:snapToGrid w:val="0"/>
        <w:ind w:firstLine="357"/>
        <w:jc w:val="both"/>
        <w:rPr>
          <w:sz w:val="22"/>
          <w:szCs w:val="22"/>
        </w:rPr>
      </w:pPr>
    </w:p>
    <w:p w14:paraId="2B167611" w14:textId="0F70CCDE" w:rsidR="00753543" w:rsidRPr="002F21D4" w:rsidRDefault="00016164" w:rsidP="00B06FB8">
      <w:pPr>
        <w:snapToGrid w:val="0"/>
        <w:ind w:firstLine="357"/>
        <w:jc w:val="both"/>
        <w:rPr>
          <w:sz w:val="22"/>
          <w:szCs w:val="22"/>
        </w:rPr>
      </w:pPr>
      <w:r w:rsidRPr="002F21D4">
        <w:rPr>
          <w:sz w:val="22"/>
          <w:szCs w:val="22"/>
        </w:rPr>
        <w:t xml:space="preserve">En </w:t>
      </w:r>
      <w:r w:rsidR="00541697" w:rsidRPr="002F21D4">
        <w:rPr>
          <w:sz w:val="22"/>
          <w:szCs w:val="22"/>
        </w:rPr>
        <w:t>junio</w:t>
      </w:r>
      <w:r w:rsidR="00210F4F" w:rsidRPr="002F21D4">
        <w:rPr>
          <w:sz w:val="22"/>
          <w:szCs w:val="22"/>
        </w:rPr>
        <w:t>,</w:t>
      </w:r>
      <w:r w:rsidR="00541697" w:rsidRPr="002F21D4">
        <w:rPr>
          <w:sz w:val="22"/>
          <w:szCs w:val="22"/>
        </w:rPr>
        <w:t xml:space="preserve"> se aprobó </w:t>
      </w:r>
      <w:r w:rsidR="00366AC4" w:rsidRPr="002F21D4">
        <w:rPr>
          <w:sz w:val="22"/>
          <w:szCs w:val="22"/>
        </w:rPr>
        <w:t>la reforma a la Ley Estatutaria de la Administración de Justicia</w:t>
      </w:r>
      <w:r w:rsidR="00360EA3" w:rsidRPr="002F21D4">
        <w:rPr>
          <w:sz w:val="22"/>
          <w:szCs w:val="22"/>
        </w:rPr>
        <w:t xml:space="preserve"> en la que se incrementó el presupuesto para la Rama Judicial</w:t>
      </w:r>
      <w:r w:rsidR="00360EA3" w:rsidRPr="002F21D4">
        <w:rPr>
          <w:rStyle w:val="FootnoteReference"/>
          <w:sz w:val="22"/>
          <w:szCs w:val="22"/>
        </w:rPr>
        <w:t xml:space="preserve"> </w:t>
      </w:r>
      <w:r w:rsidR="00366AC4" w:rsidRPr="002F21D4">
        <w:rPr>
          <w:rStyle w:val="FootnoteReference"/>
          <w:sz w:val="22"/>
          <w:szCs w:val="22"/>
        </w:rPr>
        <w:footnoteReference w:id="70"/>
      </w:r>
      <w:r w:rsidR="00541697" w:rsidRPr="002F21D4">
        <w:rPr>
          <w:sz w:val="22"/>
          <w:szCs w:val="22"/>
        </w:rPr>
        <w:t xml:space="preserve">, </w:t>
      </w:r>
      <w:r w:rsidR="006B28C7" w:rsidRPr="002F21D4">
        <w:rPr>
          <w:sz w:val="22"/>
          <w:szCs w:val="22"/>
        </w:rPr>
        <w:t>con lo cual se</w:t>
      </w:r>
      <w:r w:rsidR="006458E4" w:rsidRPr="002F21D4">
        <w:rPr>
          <w:sz w:val="22"/>
          <w:szCs w:val="22"/>
        </w:rPr>
        <w:t xml:space="preserve"> espera </w:t>
      </w:r>
      <w:r w:rsidR="00B549E3" w:rsidRPr="002F21D4">
        <w:rPr>
          <w:sz w:val="22"/>
          <w:szCs w:val="22"/>
        </w:rPr>
        <w:t>el fortalecimiento de</w:t>
      </w:r>
      <w:r w:rsidR="009E509F" w:rsidRPr="002F21D4">
        <w:rPr>
          <w:sz w:val="22"/>
          <w:szCs w:val="22"/>
        </w:rPr>
        <w:t xml:space="preserve"> su desempeño a nivel local</w:t>
      </w:r>
      <w:r w:rsidR="00E21CF5" w:rsidRPr="002F21D4">
        <w:rPr>
          <w:sz w:val="22"/>
          <w:szCs w:val="22"/>
        </w:rPr>
        <w:t>. Además,</w:t>
      </w:r>
      <w:r w:rsidR="00B201B8" w:rsidRPr="002F21D4">
        <w:rPr>
          <w:sz w:val="22"/>
          <w:szCs w:val="22"/>
        </w:rPr>
        <w:t xml:space="preserve"> se dispuso la ampliación de la digitalización</w:t>
      </w:r>
      <w:r w:rsidR="0085050A" w:rsidRPr="002F21D4">
        <w:rPr>
          <w:sz w:val="22"/>
          <w:szCs w:val="22"/>
        </w:rPr>
        <w:t xml:space="preserve"> y el uso de nuevas tecnologías para la administración de justicia, </w:t>
      </w:r>
      <w:r w:rsidR="00524F5B" w:rsidRPr="002F21D4">
        <w:rPr>
          <w:sz w:val="22"/>
          <w:szCs w:val="22"/>
        </w:rPr>
        <w:t xml:space="preserve">lo </w:t>
      </w:r>
      <w:r w:rsidR="009A4FB2" w:rsidRPr="002F21D4">
        <w:rPr>
          <w:sz w:val="22"/>
          <w:szCs w:val="22"/>
        </w:rPr>
        <w:t>que</w:t>
      </w:r>
      <w:r w:rsidR="00524F5B" w:rsidRPr="002F21D4">
        <w:rPr>
          <w:sz w:val="22"/>
          <w:szCs w:val="22"/>
        </w:rPr>
        <w:t xml:space="preserve"> </w:t>
      </w:r>
      <w:r w:rsidR="003C3E5E" w:rsidRPr="002F21D4">
        <w:rPr>
          <w:sz w:val="22"/>
          <w:szCs w:val="22"/>
        </w:rPr>
        <w:t>constituye un reto</w:t>
      </w:r>
      <w:r w:rsidR="00EA239D" w:rsidRPr="002F21D4">
        <w:rPr>
          <w:sz w:val="22"/>
          <w:szCs w:val="22"/>
        </w:rPr>
        <w:t xml:space="preserve"> por</w:t>
      </w:r>
      <w:r w:rsidR="00DA72F9" w:rsidRPr="002F21D4">
        <w:rPr>
          <w:sz w:val="22"/>
          <w:szCs w:val="22"/>
        </w:rPr>
        <w:t xml:space="preserve"> </w:t>
      </w:r>
      <w:r w:rsidR="00EA239D" w:rsidRPr="002F21D4">
        <w:rPr>
          <w:sz w:val="22"/>
          <w:szCs w:val="22"/>
        </w:rPr>
        <w:t xml:space="preserve">el poco o nulo acceso que tienen </w:t>
      </w:r>
      <w:r w:rsidR="00FE3E25" w:rsidRPr="002F21D4">
        <w:rPr>
          <w:sz w:val="22"/>
          <w:szCs w:val="22"/>
        </w:rPr>
        <w:t xml:space="preserve">algunas </w:t>
      </w:r>
      <w:r w:rsidR="008A7BCF" w:rsidRPr="002F21D4">
        <w:rPr>
          <w:sz w:val="22"/>
          <w:szCs w:val="22"/>
        </w:rPr>
        <w:t>comunidades urbanas y rurales</w:t>
      </w:r>
      <w:r w:rsidR="00EA239D" w:rsidRPr="002F21D4">
        <w:rPr>
          <w:sz w:val="22"/>
          <w:szCs w:val="22"/>
        </w:rPr>
        <w:t xml:space="preserve"> a los servicios eléctricos y de internet</w:t>
      </w:r>
      <w:r w:rsidR="00EA239D" w:rsidRPr="002F21D4">
        <w:rPr>
          <w:rStyle w:val="FootnoteReference"/>
          <w:sz w:val="22"/>
          <w:szCs w:val="22"/>
        </w:rPr>
        <w:footnoteReference w:id="71"/>
      </w:r>
      <w:r w:rsidR="00EA239D" w:rsidRPr="002F21D4">
        <w:rPr>
          <w:sz w:val="22"/>
          <w:szCs w:val="22"/>
        </w:rPr>
        <w:t>, a</w:t>
      </w:r>
      <w:r w:rsidR="00496179" w:rsidRPr="002F21D4">
        <w:rPr>
          <w:sz w:val="22"/>
          <w:szCs w:val="22"/>
        </w:rPr>
        <w:t xml:space="preserve">sí como </w:t>
      </w:r>
      <w:r w:rsidR="00EA239D" w:rsidRPr="002F21D4">
        <w:rPr>
          <w:sz w:val="22"/>
          <w:szCs w:val="22"/>
        </w:rPr>
        <w:t>e</w:t>
      </w:r>
      <w:r w:rsidR="00EB5C11" w:rsidRPr="002F21D4">
        <w:rPr>
          <w:sz w:val="22"/>
          <w:szCs w:val="22"/>
        </w:rPr>
        <w:t xml:space="preserve">l </w:t>
      </w:r>
      <w:r w:rsidR="00EA239D" w:rsidRPr="002F21D4">
        <w:rPr>
          <w:sz w:val="22"/>
          <w:szCs w:val="22"/>
        </w:rPr>
        <w:t>desconocimiento en el manejo de</w:t>
      </w:r>
      <w:r w:rsidR="005D3B62" w:rsidRPr="002F21D4">
        <w:rPr>
          <w:sz w:val="22"/>
          <w:szCs w:val="22"/>
        </w:rPr>
        <w:t xml:space="preserve"> </w:t>
      </w:r>
      <w:r w:rsidR="00EA239D" w:rsidRPr="002F21D4">
        <w:rPr>
          <w:sz w:val="22"/>
          <w:szCs w:val="22"/>
        </w:rPr>
        <w:t>herramientas</w:t>
      </w:r>
      <w:r w:rsidR="005D3B62" w:rsidRPr="002F21D4">
        <w:rPr>
          <w:sz w:val="22"/>
          <w:szCs w:val="22"/>
        </w:rPr>
        <w:t xml:space="preserve"> digitales</w:t>
      </w:r>
      <w:r w:rsidR="006A5A4B" w:rsidRPr="002F21D4">
        <w:rPr>
          <w:sz w:val="22"/>
          <w:szCs w:val="22"/>
        </w:rPr>
        <w:t>.</w:t>
      </w:r>
      <w:r w:rsidR="007978F5" w:rsidRPr="002F21D4">
        <w:rPr>
          <w:sz w:val="22"/>
          <w:szCs w:val="22"/>
        </w:rPr>
        <w:t xml:space="preserve"> </w:t>
      </w:r>
      <w:r w:rsidR="00496179" w:rsidRPr="002F21D4">
        <w:rPr>
          <w:sz w:val="22"/>
          <w:szCs w:val="22"/>
        </w:rPr>
        <w:t xml:space="preserve">Esto aumenta </w:t>
      </w:r>
      <w:r w:rsidR="007978F5" w:rsidRPr="002F21D4">
        <w:rPr>
          <w:sz w:val="22"/>
          <w:szCs w:val="22"/>
        </w:rPr>
        <w:t xml:space="preserve">la </w:t>
      </w:r>
      <w:r w:rsidR="007730AE" w:rsidRPr="002F21D4">
        <w:rPr>
          <w:sz w:val="22"/>
          <w:szCs w:val="22"/>
        </w:rPr>
        <w:t>desconfianza</w:t>
      </w:r>
      <w:r w:rsidR="007978F5" w:rsidRPr="002F21D4">
        <w:rPr>
          <w:sz w:val="22"/>
          <w:szCs w:val="22"/>
        </w:rPr>
        <w:t xml:space="preserve"> y las brechas en el acceso a las instituciones judiciales por parte de </w:t>
      </w:r>
      <w:r w:rsidR="007C39D2" w:rsidRPr="002F21D4">
        <w:rPr>
          <w:sz w:val="22"/>
          <w:szCs w:val="22"/>
        </w:rPr>
        <w:t xml:space="preserve">la </w:t>
      </w:r>
      <w:r w:rsidR="00F9592F" w:rsidRPr="002F21D4">
        <w:rPr>
          <w:sz w:val="22"/>
          <w:szCs w:val="22"/>
        </w:rPr>
        <w:t>población</w:t>
      </w:r>
      <w:r w:rsidR="007978F5" w:rsidRPr="002F21D4">
        <w:rPr>
          <w:sz w:val="22"/>
          <w:szCs w:val="22"/>
        </w:rPr>
        <w:t xml:space="preserve">, </w:t>
      </w:r>
      <w:r w:rsidR="00F9592F" w:rsidRPr="002F21D4">
        <w:rPr>
          <w:sz w:val="22"/>
          <w:szCs w:val="22"/>
        </w:rPr>
        <w:t xml:space="preserve">quienes </w:t>
      </w:r>
      <w:r w:rsidR="007978F5" w:rsidRPr="002F21D4">
        <w:rPr>
          <w:sz w:val="22"/>
          <w:szCs w:val="22"/>
        </w:rPr>
        <w:t xml:space="preserve">prefieren </w:t>
      </w:r>
      <w:r w:rsidR="00E210E9" w:rsidRPr="002F21D4">
        <w:rPr>
          <w:sz w:val="22"/>
          <w:szCs w:val="22"/>
        </w:rPr>
        <w:t>acercarse directamente a</w:t>
      </w:r>
      <w:r w:rsidR="003A09B1" w:rsidRPr="002F21D4">
        <w:rPr>
          <w:sz w:val="22"/>
          <w:szCs w:val="22"/>
        </w:rPr>
        <w:t xml:space="preserve"> los operadores de justicia </w:t>
      </w:r>
      <w:r w:rsidR="00E210E9" w:rsidRPr="002F21D4">
        <w:rPr>
          <w:sz w:val="22"/>
          <w:szCs w:val="22"/>
        </w:rPr>
        <w:t>para resolver dudas e interponer denuncias</w:t>
      </w:r>
      <w:r w:rsidR="007730AE" w:rsidRPr="002F21D4">
        <w:rPr>
          <w:sz w:val="22"/>
          <w:szCs w:val="22"/>
        </w:rPr>
        <w:t xml:space="preserve">. </w:t>
      </w:r>
    </w:p>
    <w:p w14:paraId="34956F9E" w14:textId="77777777" w:rsidR="00B3338F" w:rsidRPr="002F21D4" w:rsidRDefault="00B3338F" w:rsidP="00B06FB8">
      <w:pPr>
        <w:snapToGrid w:val="0"/>
        <w:ind w:firstLine="357"/>
        <w:jc w:val="both"/>
        <w:rPr>
          <w:sz w:val="22"/>
          <w:szCs w:val="22"/>
        </w:rPr>
      </w:pPr>
    </w:p>
    <w:p w14:paraId="63CA9BAB" w14:textId="66FA8A38" w:rsidR="006458E4" w:rsidRPr="002F21D4" w:rsidRDefault="00FE6853" w:rsidP="00B06FB8">
      <w:pPr>
        <w:snapToGrid w:val="0"/>
        <w:ind w:firstLine="357"/>
        <w:jc w:val="both"/>
        <w:rPr>
          <w:sz w:val="22"/>
          <w:szCs w:val="22"/>
        </w:rPr>
      </w:pPr>
      <w:r w:rsidRPr="002F21D4">
        <w:rPr>
          <w:sz w:val="22"/>
          <w:szCs w:val="22"/>
        </w:rPr>
        <w:t xml:space="preserve">Los </w:t>
      </w:r>
      <w:r w:rsidR="006458E4" w:rsidRPr="002F21D4">
        <w:rPr>
          <w:sz w:val="22"/>
          <w:szCs w:val="22"/>
        </w:rPr>
        <w:t xml:space="preserve">Juzgados y Fiscalías </w:t>
      </w:r>
      <w:r w:rsidRPr="002F21D4">
        <w:rPr>
          <w:sz w:val="22"/>
          <w:szCs w:val="22"/>
        </w:rPr>
        <w:t xml:space="preserve">continúan desarrollando trabajo virtual, lo que ha impactado </w:t>
      </w:r>
      <w:r w:rsidR="006458E4" w:rsidRPr="002F21D4">
        <w:rPr>
          <w:sz w:val="22"/>
          <w:szCs w:val="22"/>
        </w:rPr>
        <w:t>la carga laboral de las instancias de justicia administrativa</w:t>
      </w:r>
      <w:r w:rsidRPr="002F21D4">
        <w:rPr>
          <w:sz w:val="22"/>
          <w:szCs w:val="22"/>
        </w:rPr>
        <w:t xml:space="preserve"> </w:t>
      </w:r>
      <w:r w:rsidR="00F2672B" w:rsidRPr="002F21D4">
        <w:rPr>
          <w:sz w:val="22"/>
          <w:szCs w:val="22"/>
        </w:rPr>
        <w:t>que</w:t>
      </w:r>
      <w:r w:rsidRPr="002F21D4">
        <w:rPr>
          <w:sz w:val="22"/>
          <w:szCs w:val="22"/>
        </w:rPr>
        <w:t xml:space="preserve"> </w:t>
      </w:r>
      <w:r w:rsidR="00F2672B" w:rsidRPr="002F21D4">
        <w:rPr>
          <w:sz w:val="22"/>
          <w:szCs w:val="22"/>
        </w:rPr>
        <w:t>desempeñan</w:t>
      </w:r>
      <w:r w:rsidRPr="002F21D4">
        <w:rPr>
          <w:sz w:val="22"/>
          <w:szCs w:val="22"/>
        </w:rPr>
        <w:t xml:space="preserve"> sus labores de manera presencial,</w:t>
      </w:r>
      <w:r w:rsidR="006458E4" w:rsidRPr="002F21D4">
        <w:rPr>
          <w:sz w:val="22"/>
          <w:szCs w:val="22"/>
        </w:rPr>
        <w:t xml:space="preserve"> como las inspecciones de Policía y Comisarías de Familia</w:t>
      </w:r>
      <w:r w:rsidRPr="002F21D4">
        <w:rPr>
          <w:sz w:val="22"/>
          <w:szCs w:val="22"/>
        </w:rPr>
        <w:t>, ya que han tenido que asumir la elaboración de demandas y denuncias</w:t>
      </w:r>
      <w:r w:rsidR="00F2672B" w:rsidRPr="002F21D4">
        <w:rPr>
          <w:sz w:val="22"/>
          <w:szCs w:val="22"/>
        </w:rPr>
        <w:t xml:space="preserve"> ante los requerimientos de la ciudadanía</w:t>
      </w:r>
      <w:r w:rsidRPr="002F21D4">
        <w:rPr>
          <w:sz w:val="22"/>
          <w:szCs w:val="22"/>
        </w:rPr>
        <w:t>.</w:t>
      </w:r>
      <w:r w:rsidR="006458E4" w:rsidRPr="002F21D4">
        <w:rPr>
          <w:sz w:val="22"/>
          <w:szCs w:val="22"/>
        </w:rPr>
        <w:t xml:space="preserve"> </w:t>
      </w:r>
      <w:r w:rsidR="00F2672B" w:rsidRPr="002F21D4">
        <w:rPr>
          <w:sz w:val="22"/>
          <w:szCs w:val="22"/>
        </w:rPr>
        <w:t>Esta dinámica, por</w:t>
      </w:r>
      <w:r w:rsidR="006458E4" w:rsidRPr="002F21D4">
        <w:rPr>
          <w:sz w:val="22"/>
          <w:szCs w:val="22"/>
        </w:rPr>
        <w:t xml:space="preserve"> ejemplo,</w:t>
      </w:r>
      <w:r w:rsidR="00F2672B" w:rsidRPr="002F21D4">
        <w:rPr>
          <w:sz w:val="22"/>
          <w:szCs w:val="22"/>
        </w:rPr>
        <w:t xml:space="preserve"> se ha </w:t>
      </w:r>
      <w:r w:rsidR="00F2672B" w:rsidRPr="002F21D4">
        <w:rPr>
          <w:sz w:val="22"/>
          <w:szCs w:val="22"/>
        </w:rPr>
        <w:lastRenderedPageBreak/>
        <w:t>identificado</w:t>
      </w:r>
      <w:r w:rsidR="006458E4" w:rsidRPr="002F21D4">
        <w:rPr>
          <w:sz w:val="22"/>
          <w:szCs w:val="22"/>
        </w:rPr>
        <w:t xml:space="preserve"> en Hacarí, </w:t>
      </w:r>
      <w:r w:rsidRPr="002F21D4">
        <w:rPr>
          <w:sz w:val="22"/>
          <w:szCs w:val="22"/>
        </w:rPr>
        <w:t xml:space="preserve">Ocaña, Puerto Santander, </w:t>
      </w:r>
      <w:r w:rsidR="006458E4" w:rsidRPr="002F21D4">
        <w:rPr>
          <w:sz w:val="22"/>
          <w:szCs w:val="22"/>
        </w:rPr>
        <w:t>San Calixto</w:t>
      </w:r>
      <w:r w:rsidRPr="002F21D4">
        <w:rPr>
          <w:sz w:val="22"/>
          <w:szCs w:val="22"/>
        </w:rPr>
        <w:t xml:space="preserve"> y </w:t>
      </w:r>
      <w:r w:rsidR="006458E4" w:rsidRPr="002F21D4">
        <w:rPr>
          <w:sz w:val="22"/>
          <w:szCs w:val="22"/>
        </w:rPr>
        <w:t xml:space="preserve">Sardinata </w:t>
      </w:r>
      <w:r w:rsidR="009500CB" w:rsidRPr="002F21D4">
        <w:rPr>
          <w:sz w:val="22"/>
          <w:szCs w:val="22"/>
        </w:rPr>
        <w:t>(</w:t>
      </w:r>
      <w:r w:rsidR="006458E4" w:rsidRPr="002F21D4">
        <w:rPr>
          <w:sz w:val="22"/>
          <w:szCs w:val="22"/>
        </w:rPr>
        <w:t>Norte de Santander</w:t>
      </w:r>
      <w:r w:rsidR="009500CB" w:rsidRPr="002F21D4">
        <w:rPr>
          <w:sz w:val="22"/>
          <w:szCs w:val="22"/>
        </w:rPr>
        <w:t>)</w:t>
      </w:r>
      <w:r w:rsidR="00F2672B" w:rsidRPr="002F21D4">
        <w:rPr>
          <w:sz w:val="22"/>
          <w:szCs w:val="22"/>
        </w:rPr>
        <w:t>.</w:t>
      </w:r>
      <w:r w:rsidR="006458E4" w:rsidRPr="002F21D4">
        <w:rPr>
          <w:sz w:val="22"/>
          <w:szCs w:val="22"/>
        </w:rPr>
        <w:t xml:space="preserve"> </w:t>
      </w:r>
      <w:r w:rsidR="00F2672B" w:rsidRPr="002F21D4">
        <w:rPr>
          <w:sz w:val="22"/>
          <w:szCs w:val="22"/>
        </w:rPr>
        <w:t>C</w:t>
      </w:r>
      <w:r w:rsidR="006458E4" w:rsidRPr="002F21D4">
        <w:rPr>
          <w:sz w:val="22"/>
          <w:szCs w:val="22"/>
        </w:rPr>
        <w:t xml:space="preserve">uando </w:t>
      </w:r>
      <w:r w:rsidR="00F2672B" w:rsidRPr="002F21D4">
        <w:rPr>
          <w:sz w:val="22"/>
          <w:szCs w:val="22"/>
        </w:rPr>
        <w:t>estas instituciones no pueden</w:t>
      </w:r>
      <w:r w:rsidR="006458E4" w:rsidRPr="002F21D4">
        <w:rPr>
          <w:sz w:val="22"/>
          <w:szCs w:val="22"/>
        </w:rPr>
        <w:t xml:space="preserve"> atender todos los casos</w:t>
      </w:r>
      <w:r w:rsidR="00F2672B" w:rsidRPr="002F21D4">
        <w:rPr>
          <w:sz w:val="22"/>
          <w:szCs w:val="22"/>
        </w:rPr>
        <w:t>,</w:t>
      </w:r>
      <w:r w:rsidR="006458E4" w:rsidRPr="002F21D4">
        <w:rPr>
          <w:sz w:val="22"/>
          <w:szCs w:val="22"/>
        </w:rPr>
        <w:t xml:space="preserve"> la ciudadanía debe acudir a asesores particulares, ya que tampoco se cuenta con presencia en todos los municipios de defensoría pública o consultorios jurídicos</w:t>
      </w:r>
      <w:r w:rsidR="00F2672B" w:rsidRPr="002F21D4">
        <w:rPr>
          <w:sz w:val="22"/>
          <w:szCs w:val="22"/>
        </w:rPr>
        <w:t>,</w:t>
      </w:r>
      <w:r w:rsidR="006458E4" w:rsidRPr="002F21D4">
        <w:rPr>
          <w:sz w:val="22"/>
          <w:szCs w:val="22"/>
        </w:rPr>
        <w:t xml:space="preserve"> </w:t>
      </w:r>
      <w:r w:rsidR="00F2672B" w:rsidRPr="002F21D4">
        <w:rPr>
          <w:sz w:val="22"/>
          <w:szCs w:val="22"/>
        </w:rPr>
        <w:t>quienes prestan de manera gratuita este servicio.</w:t>
      </w:r>
    </w:p>
    <w:p w14:paraId="51D9FA41" w14:textId="77777777" w:rsidR="00B3338F" w:rsidRPr="002F21D4" w:rsidRDefault="00B3338F" w:rsidP="00B06FB8">
      <w:pPr>
        <w:snapToGrid w:val="0"/>
        <w:ind w:firstLine="357"/>
        <w:jc w:val="both"/>
        <w:rPr>
          <w:sz w:val="22"/>
          <w:szCs w:val="22"/>
        </w:rPr>
      </w:pPr>
    </w:p>
    <w:p w14:paraId="6EC2D146" w14:textId="32625E4A" w:rsidR="006458E4" w:rsidRPr="002F21D4" w:rsidRDefault="00F2672B" w:rsidP="00B06FB8">
      <w:pPr>
        <w:snapToGrid w:val="0"/>
        <w:ind w:firstLine="357"/>
        <w:jc w:val="both"/>
        <w:rPr>
          <w:sz w:val="22"/>
          <w:szCs w:val="22"/>
        </w:rPr>
      </w:pPr>
      <w:r w:rsidRPr="002F21D4">
        <w:rPr>
          <w:sz w:val="22"/>
          <w:szCs w:val="22"/>
        </w:rPr>
        <w:t>Como se señaló en el XXX Informe Semestral, persiste</w:t>
      </w:r>
      <w:r w:rsidR="006458E4" w:rsidRPr="002F21D4">
        <w:rPr>
          <w:sz w:val="22"/>
          <w:szCs w:val="22"/>
        </w:rPr>
        <w:t xml:space="preserve"> el aumento de casos de violencia intrafamiliar, violencia de género y violencia sexual, con especial </w:t>
      </w:r>
      <w:r w:rsidR="00F8099B" w:rsidRPr="002F21D4">
        <w:rPr>
          <w:sz w:val="22"/>
          <w:szCs w:val="22"/>
        </w:rPr>
        <w:t>impacto en</w:t>
      </w:r>
      <w:r w:rsidR="006458E4" w:rsidRPr="002F21D4">
        <w:rPr>
          <w:sz w:val="22"/>
          <w:szCs w:val="22"/>
        </w:rPr>
        <w:t xml:space="preserve"> las mujeres en Antioquia, Bolívar, Guaviare y Norte de Santander, principalmente. Allí se identificó un desconocimiento de los operadores judiciales sobre la atención de este tipo de casos, llevando</w:t>
      </w:r>
      <w:r w:rsidRPr="002F21D4">
        <w:rPr>
          <w:sz w:val="22"/>
          <w:szCs w:val="22"/>
        </w:rPr>
        <w:t>,</w:t>
      </w:r>
      <w:r w:rsidR="006458E4" w:rsidRPr="002F21D4">
        <w:rPr>
          <w:sz w:val="22"/>
          <w:szCs w:val="22"/>
        </w:rPr>
        <w:t xml:space="preserve"> en muchas ocasiones</w:t>
      </w:r>
      <w:r w:rsidRPr="002F21D4">
        <w:rPr>
          <w:sz w:val="22"/>
          <w:szCs w:val="22"/>
        </w:rPr>
        <w:t>,</w:t>
      </w:r>
      <w:r w:rsidR="006458E4" w:rsidRPr="002F21D4">
        <w:rPr>
          <w:sz w:val="22"/>
          <w:szCs w:val="22"/>
        </w:rPr>
        <w:t xml:space="preserve"> a la revictimización de las denunciantes</w:t>
      </w:r>
      <w:r w:rsidRPr="002F21D4">
        <w:rPr>
          <w:sz w:val="22"/>
          <w:szCs w:val="22"/>
        </w:rPr>
        <w:t>;</w:t>
      </w:r>
      <w:r w:rsidR="006458E4" w:rsidRPr="002F21D4">
        <w:rPr>
          <w:sz w:val="22"/>
          <w:szCs w:val="22"/>
        </w:rPr>
        <w:t xml:space="preserve"> situación </w:t>
      </w:r>
      <w:r w:rsidR="00312A7A" w:rsidRPr="002F21D4">
        <w:rPr>
          <w:sz w:val="22"/>
          <w:szCs w:val="22"/>
        </w:rPr>
        <w:t>que,</w:t>
      </w:r>
      <w:r w:rsidR="006458E4" w:rsidRPr="002F21D4">
        <w:rPr>
          <w:sz w:val="22"/>
          <w:szCs w:val="22"/>
        </w:rPr>
        <w:t xml:space="preserve"> sumada a la normalización de prácticas de violencia, el miedo a la estigmatización social y el poco avance en los procesos judiciales, han limitado</w:t>
      </w:r>
      <w:r w:rsidRPr="002F21D4">
        <w:rPr>
          <w:sz w:val="22"/>
          <w:szCs w:val="22"/>
        </w:rPr>
        <w:t>,</w:t>
      </w:r>
      <w:r w:rsidR="006458E4" w:rsidRPr="002F21D4">
        <w:rPr>
          <w:sz w:val="22"/>
          <w:szCs w:val="22"/>
        </w:rPr>
        <w:t xml:space="preserve"> aún más</w:t>
      </w:r>
      <w:r w:rsidRPr="002F21D4">
        <w:rPr>
          <w:sz w:val="22"/>
          <w:szCs w:val="22"/>
        </w:rPr>
        <w:t>,</w:t>
      </w:r>
      <w:r w:rsidR="006458E4" w:rsidRPr="002F21D4">
        <w:rPr>
          <w:sz w:val="22"/>
          <w:szCs w:val="22"/>
        </w:rPr>
        <w:t xml:space="preserve"> las denuncias ante las autoridades competentes. </w:t>
      </w:r>
    </w:p>
    <w:p w14:paraId="02C80C16" w14:textId="77777777" w:rsidR="00B3338F" w:rsidRPr="002F21D4" w:rsidRDefault="00B3338F" w:rsidP="00B06FB8">
      <w:pPr>
        <w:snapToGrid w:val="0"/>
        <w:ind w:firstLine="357"/>
        <w:jc w:val="both"/>
        <w:rPr>
          <w:sz w:val="22"/>
          <w:szCs w:val="22"/>
        </w:rPr>
      </w:pPr>
    </w:p>
    <w:p w14:paraId="01DA65D6" w14:textId="77777777" w:rsidR="00210F4F" w:rsidRPr="002F21D4" w:rsidRDefault="00210F4F" w:rsidP="00B06FB8">
      <w:pPr>
        <w:pStyle w:val="ListParagraph"/>
        <w:numPr>
          <w:ilvl w:val="0"/>
          <w:numId w:val="5"/>
        </w:numPr>
        <w:autoSpaceDE w:val="0"/>
        <w:autoSpaceDN w:val="0"/>
        <w:adjustRightInd w:val="0"/>
        <w:snapToGrid w:val="0"/>
        <w:spacing w:after="0" w:line="240" w:lineRule="auto"/>
        <w:contextualSpacing w:val="0"/>
        <w:jc w:val="both"/>
        <w:rPr>
          <w:rFonts w:ascii="Times New Roman" w:hAnsi="Times New Roman" w:cs="Times New Roman"/>
          <w:b/>
          <w:vanish/>
          <w:color w:val="000000"/>
        </w:rPr>
      </w:pPr>
    </w:p>
    <w:p w14:paraId="2BBDD2BA" w14:textId="77777777" w:rsidR="00210F4F" w:rsidRPr="002F21D4" w:rsidRDefault="00210F4F" w:rsidP="00B06FB8">
      <w:pPr>
        <w:pStyle w:val="ListParagraph"/>
        <w:numPr>
          <w:ilvl w:val="0"/>
          <w:numId w:val="5"/>
        </w:numPr>
        <w:autoSpaceDE w:val="0"/>
        <w:autoSpaceDN w:val="0"/>
        <w:adjustRightInd w:val="0"/>
        <w:snapToGrid w:val="0"/>
        <w:spacing w:after="0" w:line="240" w:lineRule="auto"/>
        <w:contextualSpacing w:val="0"/>
        <w:jc w:val="both"/>
        <w:rPr>
          <w:rFonts w:ascii="Times New Roman" w:hAnsi="Times New Roman" w:cs="Times New Roman"/>
          <w:b/>
          <w:vanish/>
          <w:color w:val="000000"/>
        </w:rPr>
      </w:pPr>
    </w:p>
    <w:p w14:paraId="2BA5E505" w14:textId="77777777" w:rsidR="00210F4F" w:rsidRPr="002F21D4" w:rsidRDefault="00210F4F" w:rsidP="00B06FB8">
      <w:pPr>
        <w:pStyle w:val="ListParagraph"/>
        <w:numPr>
          <w:ilvl w:val="0"/>
          <w:numId w:val="5"/>
        </w:numPr>
        <w:autoSpaceDE w:val="0"/>
        <w:autoSpaceDN w:val="0"/>
        <w:adjustRightInd w:val="0"/>
        <w:snapToGrid w:val="0"/>
        <w:spacing w:after="0" w:line="240" w:lineRule="auto"/>
        <w:contextualSpacing w:val="0"/>
        <w:jc w:val="both"/>
        <w:rPr>
          <w:rFonts w:ascii="Times New Roman" w:hAnsi="Times New Roman" w:cs="Times New Roman"/>
          <w:b/>
          <w:vanish/>
          <w:color w:val="000000"/>
        </w:rPr>
      </w:pPr>
    </w:p>
    <w:p w14:paraId="0C9A522A" w14:textId="77777777" w:rsidR="00210F4F" w:rsidRPr="002F21D4" w:rsidRDefault="00210F4F" w:rsidP="00B06FB8">
      <w:pPr>
        <w:pStyle w:val="ListParagraph"/>
        <w:numPr>
          <w:ilvl w:val="0"/>
          <w:numId w:val="5"/>
        </w:numPr>
        <w:autoSpaceDE w:val="0"/>
        <w:autoSpaceDN w:val="0"/>
        <w:adjustRightInd w:val="0"/>
        <w:snapToGrid w:val="0"/>
        <w:spacing w:after="0" w:line="240" w:lineRule="auto"/>
        <w:contextualSpacing w:val="0"/>
        <w:jc w:val="both"/>
        <w:rPr>
          <w:rFonts w:ascii="Times New Roman" w:hAnsi="Times New Roman" w:cs="Times New Roman"/>
          <w:b/>
          <w:vanish/>
          <w:color w:val="000000"/>
        </w:rPr>
      </w:pPr>
    </w:p>
    <w:p w14:paraId="04736F5B" w14:textId="164FC08B" w:rsidR="006458E4" w:rsidRPr="002F21D4" w:rsidRDefault="004C5E5C" w:rsidP="00B06FB8">
      <w:pPr>
        <w:pStyle w:val="Default"/>
        <w:numPr>
          <w:ilvl w:val="1"/>
          <w:numId w:val="5"/>
        </w:numPr>
        <w:snapToGrid w:val="0"/>
        <w:ind w:left="717"/>
        <w:jc w:val="both"/>
        <w:rPr>
          <w:b/>
          <w:bCs/>
          <w:color w:val="000000" w:themeColor="text1"/>
          <w:sz w:val="22"/>
          <w:szCs w:val="22"/>
        </w:rPr>
      </w:pPr>
      <w:r w:rsidRPr="002F21D4">
        <w:rPr>
          <w:b/>
          <w:sz w:val="22"/>
          <w:szCs w:val="22"/>
        </w:rPr>
        <w:t>Jurisdicción Especial Indígena</w:t>
      </w:r>
      <w:r w:rsidR="00416857" w:rsidRPr="002F21D4">
        <w:rPr>
          <w:b/>
          <w:sz w:val="22"/>
          <w:szCs w:val="22"/>
        </w:rPr>
        <w:t xml:space="preserve"> (JEI)</w:t>
      </w:r>
    </w:p>
    <w:p w14:paraId="23AD3CA8" w14:textId="77777777" w:rsidR="00B3338F" w:rsidRPr="002F21D4" w:rsidRDefault="00B3338F" w:rsidP="00B06FB8">
      <w:pPr>
        <w:snapToGrid w:val="0"/>
        <w:ind w:firstLine="357"/>
        <w:jc w:val="both"/>
        <w:rPr>
          <w:sz w:val="22"/>
          <w:szCs w:val="22"/>
          <w:lang w:val="es-ES"/>
        </w:rPr>
      </w:pPr>
    </w:p>
    <w:p w14:paraId="612FC60F" w14:textId="4F845B3E" w:rsidR="00E00DB3" w:rsidRPr="002F21D4" w:rsidRDefault="00BD788A" w:rsidP="00B06FB8">
      <w:pPr>
        <w:snapToGrid w:val="0"/>
        <w:ind w:firstLine="357"/>
        <w:jc w:val="both"/>
        <w:rPr>
          <w:sz w:val="22"/>
          <w:szCs w:val="22"/>
          <w:lang w:val="es-ES"/>
        </w:rPr>
      </w:pPr>
      <w:r w:rsidRPr="002F21D4">
        <w:rPr>
          <w:sz w:val="22"/>
          <w:szCs w:val="22"/>
          <w:lang w:val="es-ES"/>
        </w:rPr>
        <w:t>Persisten</w:t>
      </w:r>
      <w:r w:rsidR="006458E4" w:rsidRPr="002F21D4">
        <w:rPr>
          <w:sz w:val="22"/>
          <w:szCs w:val="22"/>
          <w:lang w:val="es-ES"/>
        </w:rPr>
        <w:t xml:space="preserve"> acciones hostiles de l</w:t>
      </w:r>
      <w:r w:rsidR="00E00DB3" w:rsidRPr="002F21D4">
        <w:rPr>
          <w:sz w:val="22"/>
          <w:szCs w:val="22"/>
          <w:lang w:val="es-ES"/>
        </w:rPr>
        <w:t>a</w:t>
      </w:r>
      <w:r w:rsidR="006458E4" w:rsidRPr="002F21D4">
        <w:rPr>
          <w:sz w:val="22"/>
          <w:szCs w:val="22"/>
          <w:lang w:val="es-ES"/>
        </w:rPr>
        <w:t xml:space="preserve">s </w:t>
      </w:r>
      <w:r w:rsidR="00E00DB3" w:rsidRPr="002F21D4">
        <w:rPr>
          <w:sz w:val="22"/>
          <w:szCs w:val="22"/>
          <w:lang w:val="es-ES"/>
        </w:rPr>
        <w:t>AGC/Clan del Golfo, el ELN y los grupos armados residuales o disidentes de las FARC-EP</w:t>
      </w:r>
      <w:r w:rsidR="006458E4" w:rsidRPr="002F21D4">
        <w:rPr>
          <w:sz w:val="22"/>
          <w:szCs w:val="22"/>
          <w:lang w:val="es-ES"/>
        </w:rPr>
        <w:t xml:space="preserve"> en contra de autoridades jurisdiccionales indígenas. </w:t>
      </w:r>
      <w:r w:rsidR="00BA591F" w:rsidRPr="002F21D4">
        <w:rPr>
          <w:sz w:val="22"/>
          <w:szCs w:val="22"/>
          <w:lang w:val="es-ES"/>
        </w:rPr>
        <w:t xml:space="preserve">Las amenazas y límites que se imponían al principio del confinamiento por parte de estas estructuras al ejercicio de la </w:t>
      </w:r>
      <w:r w:rsidR="00312A7A" w:rsidRPr="002F21D4">
        <w:rPr>
          <w:sz w:val="22"/>
          <w:szCs w:val="22"/>
          <w:lang w:val="es-ES"/>
        </w:rPr>
        <w:t>JEI</w:t>
      </w:r>
      <w:r w:rsidR="00BA591F" w:rsidRPr="002F21D4">
        <w:rPr>
          <w:sz w:val="22"/>
          <w:szCs w:val="22"/>
          <w:lang w:val="es-ES"/>
        </w:rPr>
        <w:t xml:space="preserve"> </w:t>
      </w:r>
      <w:r w:rsidR="006458E4" w:rsidRPr="002F21D4">
        <w:rPr>
          <w:sz w:val="22"/>
          <w:szCs w:val="22"/>
          <w:lang w:val="es-ES"/>
        </w:rPr>
        <w:t>han pasado a materializarse en ataques directos.</w:t>
      </w:r>
      <w:r w:rsidR="00E00DB3" w:rsidRPr="002F21D4">
        <w:rPr>
          <w:sz w:val="22"/>
          <w:szCs w:val="22"/>
          <w:lang w:val="es-ES"/>
        </w:rPr>
        <w:t xml:space="preserve"> </w:t>
      </w:r>
    </w:p>
    <w:p w14:paraId="48AE4CA2" w14:textId="77777777" w:rsidR="00B3338F" w:rsidRPr="002F21D4" w:rsidRDefault="00B3338F" w:rsidP="00B06FB8">
      <w:pPr>
        <w:snapToGrid w:val="0"/>
        <w:ind w:firstLine="357"/>
        <w:jc w:val="both"/>
        <w:rPr>
          <w:sz w:val="22"/>
          <w:szCs w:val="22"/>
          <w:lang w:val="es-ES"/>
        </w:rPr>
      </w:pPr>
    </w:p>
    <w:p w14:paraId="39CEB3BA" w14:textId="47FCCF6C" w:rsidR="003951BA" w:rsidRPr="002F21D4" w:rsidRDefault="003951BA" w:rsidP="00B06FB8">
      <w:pPr>
        <w:snapToGrid w:val="0"/>
        <w:ind w:firstLine="357"/>
        <w:jc w:val="both"/>
        <w:rPr>
          <w:sz w:val="22"/>
          <w:szCs w:val="22"/>
          <w:lang w:val="es-ES"/>
        </w:rPr>
      </w:pPr>
      <w:r w:rsidRPr="002F21D4">
        <w:rPr>
          <w:sz w:val="22"/>
          <w:szCs w:val="22"/>
          <w:lang w:val="es-ES"/>
        </w:rPr>
        <w:t xml:space="preserve">En general, </w:t>
      </w:r>
      <w:r w:rsidR="00E00DB3" w:rsidRPr="002F21D4">
        <w:rPr>
          <w:sz w:val="22"/>
          <w:szCs w:val="22"/>
          <w:lang w:val="es-ES"/>
        </w:rPr>
        <w:t>estos hechos se relacionan</w:t>
      </w:r>
      <w:r w:rsidRPr="002F21D4">
        <w:rPr>
          <w:sz w:val="22"/>
          <w:szCs w:val="22"/>
          <w:lang w:val="es-ES"/>
        </w:rPr>
        <w:t xml:space="preserve"> con </w:t>
      </w:r>
      <w:r w:rsidR="00E00DB3" w:rsidRPr="002F21D4">
        <w:rPr>
          <w:sz w:val="22"/>
          <w:szCs w:val="22"/>
          <w:lang w:val="es-ES"/>
        </w:rPr>
        <w:t>d</w:t>
      </w:r>
      <w:r w:rsidRPr="002F21D4">
        <w:rPr>
          <w:sz w:val="22"/>
          <w:szCs w:val="22"/>
          <w:lang w:val="es-ES"/>
        </w:rPr>
        <w:t xml:space="preserve">ecisiones de </w:t>
      </w:r>
      <w:r w:rsidR="00E00DB3" w:rsidRPr="002F21D4">
        <w:rPr>
          <w:sz w:val="22"/>
          <w:szCs w:val="22"/>
          <w:lang w:val="es-ES"/>
        </w:rPr>
        <w:t>j</w:t>
      </w:r>
      <w:r w:rsidRPr="002F21D4">
        <w:rPr>
          <w:sz w:val="22"/>
          <w:szCs w:val="22"/>
          <w:lang w:val="es-ES"/>
        </w:rPr>
        <w:t>usticia propia</w:t>
      </w:r>
      <w:r w:rsidR="00886B53" w:rsidRPr="002F21D4">
        <w:rPr>
          <w:sz w:val="22"/>
          <w:szCs w:val="22"/>
          <w:lang w:val="es-ES"/>
        </w:rPr>
        <w:t xml:space="preserve"> que los </w:t>
      </w:r>
      <w:r w:rsidR="00C70B30" w:rsidRPr="002F21D4">
        <w:rPr>
          <w:sz w:val="22"/>
          <w:szCs w:val="22"/>
          <w:lang w:val="es-ES"/>
        </w:rPr>
        <w:t>GAI</w:t>
      </w:r>
      <w:r w:rsidR="00886B53" w:rsidRPr="002F21D4">
        <w:rPr>
          <w:sz w:val="22"/>
          <w:szCs w:val="22"/>
          <w:lang w:val="es-ES"/>
        </w:rPr>
        <w:t xml:space="preserve"> perciben como un </w:t>
      </w:r>
      <w:r w:rsidR="00E00DB3" w:rsidRPr="002F21D4">
        <w:rPr>
          <w:sz w:val="22"/>
          <w:szCs w:val="22"/>
          <w:lang w:val="es-ES"/>
        </w:rPr>
        <w:t>desafí</w:t>
      </w:r>
      <w:r w:rsidR="00886B53" w:rsidRPr="002F21D4">
        <w:rPr>
          <w:sz w:val="22"/>
          <w:szCs w:val="22"/>
          <w:lang w:val="es-ES"/>
        </w:rPr>
        <w:t>o a</w:t>
      </w:r>
      <w:r w:rsidR="00E00DB3" w:rsidRPr="002F21D4">
        <w:rPr>
          <w:sz w:val="22"/>
          <w:szCs w:val="22"/>
          <w:lang w:val="es-ES"/>
        </w:rPr>
        <w:t xml:space="preserve"> su autoridad </w:t>
      </w:r>
      <w:r w:rsidRPr="002F21D4">
        <w:rPr>
          <w:color w:val="000000"/>
          <w:sz w:val="22"/>
          <w:szCs w:val="22"/>
          <w:lang w:eastAsia="es-ES_tradnl"/>
        </w:rPr>
        <w:t xml:space="preserve">en el territorio; </w:t>
      </w:r>
      <w:r w:rsidR="00886B53" w:rsidRPr="002F21D4">
        <w:rPr>
          <w:sz w:val="22"/>
          <w:szCs w:val="22"/>
          <w:lang w:val="es-ES"/>
        </w:rPr>
        <w:t>acciones</w:t>
      </w:r>
      <w:r w:rsidRPr="002F21D4">
        <w:rPr>
          <w:sz w:val="22"/>
          <w:szCs w:val="22"/>
          <w:lang w:val="es-ES"/>
        </w:rPr>
        <w:t xml:space="preserve"> </w:t>
      </w:r>
      <w:r w:rsidR="00886B53" w:rsidRPr="002F21D4">
        <w:rPr>
          <w:sz w:val="22"/>
          <w:szCs w:val="22"/>
          <w:lang w:val="es-ES"/>
        </w:rPr>
        <w:t xml:space="preserve">por </w:t>
      </w:r>
      <w:r w:rsidRPr="002F21D4">
        <w:rPr>
          <w:sz w:val="22"/>
          <w:szCs w:val="22"/>
          <w:lang w:val="es-ES"/>
        </w:rPr>
        <w:t>el control territorial que realiza la guardia</w:t>
      </w:r>
      <w:r w:rsidR="006245AB" w:rsidRPr="002F21D4">
        <w:rPr>
          <w:sz w:val="22"/>
          <w:szCs w:val="22"/>
          <w:lang w:val="es-ES"/>
        </w:rPr>
        <w:t xml:space="preserve"> indígena</w:t>
      </w:r>
      <w:r w:rsidRPr="002F21D4">
        <w:rPr>
          <w:sz w:val="22"/>
          <w:szCs w:val="22"/>
          <w:lang w:val="es-ES"/>
        </w:rPr>
        <w:t xml:space="preserve"> en </w:t>
      </w:r>
      <w:r w:rsidR="00886B53" w:rsidRPr="002F21D4">
        <w:rPr>
          <w:sz w:val="22"/>
          <w:szCs w:val="22"/>
          <w:lang w:val="es-ES"/>
        </w:rPr>
        <w:t>su jurisdicción</w:t>
      </w:r>
      <w:r w:rsidRPr="002F21D4">
        <w:rPr>
          <w:sz w:val="22"/>
          <w:szCs w:val="22"/>
          <w:lang w:val="es-ES"/>
        </w:rPr>
        <w:t xml:space="preserve">; </w:t>
      </w:r>
      <w:r w:rsidR="00886B53" w:rsidRPr="002F21D4">
        <w:rPr>
          <w:sz w:val="22"/>
          <w:szCs w:val="22"/>
          <w:lang w:val="es-ES"/>
        </w:rPr>
        <w:t>d</w:t>
      </w:r>
      <w:r w:rsidRPr="002F21D4">
        <w:rPr>
          <w:sz w:val="22"/>
          <w:szCs w:val="22"/>
          <w:lang w:val="es-ES"/>
        </w:rPr>
        <w:t xml:space="preserve">ecisiones de gobierno propio, en particular sobre el uso y destinación de recursos, la construcción de </w:t>
      </w:r>
      <w:r w:rsidR="00886B53" w:rsidRPr="002F21D4">
        <w:rPr>
          <w:sz w:val="22"/>
          <w:szCs w:val="22"/>
          <w:lang w:val="es-ES"/>
        </w:rPr>
        <w:t>P</w:t>
      </w:r>
      <w:r w:rsidRPr="002F21D4">
        <w:rPr>
          <w:sz w:val="22"/>
          <w:szCs w:val="22"/>
          <w:lang w:val="es-ES"/>
        </w:rPr>
        <w:t xml:space="preserve">lanes de </w:t>
      </w:r>
      <w:r w:rsidR="00886B53" w:rsidRPr="002F21D4">
        <w:rPr>
          <w:sz w:val="22"/>
          <w:szCs w:val="22"/>
          <w:lang w:val="es-ES"/>
        </w:rPr>
        <w:t>V</w:t>
      </w:r>
      <w:r w:rsidRPr="002F21D4">
        <w:rPr>
          <w:sz w:val="22"/>
          <w:szCs w:val="22"/>
          <w:lang w:val="es-ES"/>
        </w:rPr>
        <w:t>ida, el establecimiento de normativas ambientales</w:t>
      </w:r>
      <w:r w:rsidR="00886B53" w:rsidRPr="002F21D4">
        <w:rPr>
          <w:sz w:val="22"/>
          <w:szCs w:val="22"/>
          <w:lang w:val="es-ES"/>
        </w:rPr>
        <w:t>, la protección de NNA contra el reclutamiento forzado</w:t>
      </w:r>
      <w:r w:rsidR="00886B53" w:rsidRPr="002F21D4">
        <w:rPr>
          <w:rStyle w:val="FootnoteReference"/>
          <w:sz w:val="22"/>
          <w:szCs w:val="22"/>
          <w:lang w:val="es-ES"/>
        </w:rPr>
        <w:footnoteReference w:id="72"/>
      </w:r>
      <w:r w:rsidR="00886B53" w:rsidRPr="002F21D4">
        <w:rPr>
          <w:sz w:val="22"/>
          <w:szCs w:val="22"/>
          <w:lang w:val="es-ES"/>
        </w:rPr>
        <w:t xml:space="preserve"> y </w:t>
      </w:r>
      <w:r w:rsidRPr="002F21D4">
        <w:rPr>
          <w:sz w:val="22"/>
          <w:szCs w:val="22"/>
          <w:lang w:val="es-ES"/>
        </w:rPr>
        <w:t xml:space="preserve">la participación en programas del Gobierno </w:t>
      </w:r>
      <w:r w:rsidR="00886B53" w:rsidRPr="002F21D4">
        <w:rPr>
          <w:sz w:val="22"/>
          <w:szCs w:val="22"/>
          <w:lang w:val="es-ES"/>
        </w:rPr>
        <w:t>n</w:t>
      </w:r>
      <w:r w:rsidRPr="002F21D4">
        <w:rPr>
          <w:sz w:val="22"/>
          <w:szCs w:val="22"/>
          <w:lang w:val="es-ES"/>
        </w:rPr>
        <w:t>acional</w:t>
      </w:r>
      <w:r w:rsidR="00886B53" w:rsidRPr="002F21D4">
        <w:rPr>
          <w:sz w:val="22"/>
          <w:szCs w:val="22"/>
          <w:lang w:val="es-ES"/>
        </w:rPr>
        <w:t>,</w:t>
      </w:r>
      <w:r w:rsidRPr="002F21D4">
        <w:rPr>
          <w:sz w:val="22"/>
          <w:szCs w:val="22"/>
          <w:lang w:val="es-ES"/>
        </w:rPr>
        <w:t xml:space="preserve"> especialmente los relacionados con la </w:t>
      </w:r>
      <w:r w:rsidR="00C70B30" w:rsidRPr="002F21D4">
        <w:rPr>
          <w:sz w:val="22"/>
          <w:szCs w:val="22"/>
          <w:lang w:val="es-ES"/>
        </w:rPr>
        <w:t xml:space="preserve">reducción de </w:t>
      </w:r>
      <w:r w:rsidRPr="002F21D4">
        <w:rPr>
          <w:sz w:val="22"/>
          <w:szCs w:val="22"/>
          <w:lang w:val="es-ES"/>
        </w:rPr>
        <w:t>cultivos ilícitos</w:t>
      </w:r>
      <w:r w:rsidR="00886B53" w:rsidRPr="002F21D4">
        <w:rPr>
          <w:sz w:val="22"/>
          <w:szCs w:val="22"/>
          <w:lang w:val="es-ES"/>
        </w:rPr>
        <w:t>;</w:t>
      </w:r>
      <w:r w:rsidRPr="002F21D4">
        <w:rPr>
          <w:sz w:val="22"/>
          <w:szCs w:val="22"/>
          <w:lang w:val="es-ES"/>
        </w:rPr>
        <w:t xml:space="preserve"> </w:t>
      </w:r>
      <w:r w:rsidR="00886B53" w:rsidRPr="002F21D4">
        <w:rPr>
          <w:sz w:val="22"/>
          <w:szCs w:val="22"/>
          <w:lang w:val="es-ES"/>
        </w:rPr>
        <w:t xml:space="preserve">la </w:t>
      </w:r>
      <w:r w:rsidRPr="002F21D4">
        <w:rPr>
          <w:sz w:val="22"/>
          <w:szCs w:val="22"/>
          <w:lang w:val="es-ES"/>
        </w:rPr>
        <w:t xml:space="preserve">generación de informes </w:t>
      </w:r>
      <w:r w:rsidR="00000A44" w:rsidRPr="002F21D4">
        <w:rPr>
          <w:sz w:val="22"/>
          <w:szCs w:val="22"/>
          <w:lang w:val="es-ES"/>
        </w:rPr>
        <w:t xml:space="preserve">y participación en </w:t>
      </w:r>
      <w:r w:rsidRPr="002F21D4">
        <w:rPr>
          <w:sz w:val="22"/>
          <w:szCs w:val="22"/>
          <w:lang w:val="es-ES"/>
        </w:rPr>
        <w:t>la J</w:t>
      </w:r>
      <w:r w:rsidR="00886B53" w:rsidRPr="002F21D4">
        <w:rPr>
          <w:sz w:val="22"/>
          <w:szCs w:val="22"/>
          <w:lang w:val="es-ES"/>
        </w:rPr>
        <w:t xml:space="preserve">urisdicción </w:t>
      </w:r>
      <w:r w:rsidRPr="002F21D4">
        <w:rPr>
          <w:sz w:val="22"/>
          <w:szCs w:val="22"/>
          <w:lang w:val="es-ES"/>
        </w:rPr>
        <w:t>E</w:t>
      </w:r>
      <w:r w:rsidR="00886B53" w:rsidRPr="002F21D4">
        <w:rPr>
          <w:sz w:val="22"/>
          <w:szCs w:val="22"/>
          <w:lang w:val="es-ES"/>
        </w:rPr>
        <w:t>sp</w:t>
      </w:r>
      <w:r w:rsidR="00000A44" w:rsidRPr="002F21D4">
        <w:rPr>
          <w:sz w:val="22"/>
          <w:szCs w:val="22"/>
          <w:lang w:val="es-ES"/>
        </w:rPr>
        <w:t>e</w:t>
      </w:r>
      <w:r w:rsidR="00886B53" w:rsidRPr="002F21D4">
        <w:rPr>
          <w:sz w:val="22"/>
          <w:szCs w:val="22"/>
          <w:lang w:val="es-ES"/>
        </w:rPr>
        <w:t xml:space="preserve">cial </w:t>
      </w:r>
      <w:r w:rsidR="00000A44" w:rsidRPr="002F21D4">
        <w:rPr>
          <w:sz w:val="22"/>
          <w:szCs w:val="22"/>
          <w:lang w:val="es-ES"/>
        </w:rPr>
        <w:t xml:space="preserve">para la </w:t>
      </w:r>
      <w:r w:rsidRPr="002F21D4">
        <w:rPr>
          <w:sz w:val="22"/>
          <w:szCs w:val="22"/>
          <w:lang w:val="es-ES"/>
        </w:rPr>
        <w:t>P</w:t>
      </w:r>
      <w:r w:rsidR="00886B53" w:rsidRPr="002F21D4">
        <w:rPr>
          <w:sz w:val="22"/>
          <w:szCs w:val="22"/>
          <w:lang w:val="es-ES"/>
        </w:rPr>
        <w:t>az</w:t>
      </w:r>
      <w:r w:rsidR="006D0424" w:rsidRPr="002F21D4">
        <w:rPr>
          <w:sz w:val="22"/>
          <w:szCs w:val="22"/>
          <w:lang w:val="es-ES"/>
        </w:rPr>
        <w:t xml:space="preserve"> (JEP)</w:t>
      </w:r>
      <w:r w:rsidR="00000A44" w:rsidRPr="002F21D4">
        <w:rPr>
          <w:sz w:val="22"/>
          <w:szCs w:val="22"/>
          <w:lang w:val="es-ES"/>
        </w:rPr>
        <w:t xml:space="preserve"> </w:t>
      </w:r>
      <w:r w:rsidRPr="002F21D4">
        <w:rPr>
          <w:sz w:val="22"/>
          <w:szCs w:val="22"/>
          <w:lang w:val="es-ES"/>
        </w:rPr>
        <w:t>y en procesos organizativos regionales.</w:t>
      </w:r>
    </w:p>
    <w:p w14:paraId="6CF228A0" w14:textId="77777777" w:rsidR="00B3338F" w:rsidRPr="002F21D4" w:rsidRDefault="00B3338F" w:rsidP="00B06FB8">
      <w:pPr>
        <w:snapToGrid w:val="0"/>
        <w:ind w:firstLine="357"/>
        <w:jc w:val="both"/>
        <w:rPr>
          <w:sz w:val="22"/>
          <w:szCs w:val="22"/>
          <w:lang w:val="es-ES"/>
        </w:rPr>
      </w:pPr>
    </w:p>
    <w:p w14:paraId="37FBE111" w14:textId="61BEB9FE" w:rsidR="006458E4" w:rsidRPr="002F21D4" w:rsidRDefault="00577E66" w:rsidP="00B06FB8">
      <w:pPr>
        <w:snapToGrid w:val="0"/>
        <w:ind w:firstLine="357"/>
        <w:jc w:val="both"/>
        <w:rPr>
          <w:sz w:val="22"/>
          <w:szCs w:val="22"/>
          <w:lang w:val="es-ES"/>
        </w:rPr>
      </w:pPr>
      <w:r w:rsidRPr="002F21D4">
        <w:rPr>
          <w:sz w:val="22"/>
          <w:szCs w:val="22"/>
          <w:lang w:val="es-ES"/>
        </w:rPr>
        <w:t>E</w:t>
      </w:r>
      <w:r w:rsidR="006458E4" w:rsidRPr="002F21D4">
        <w:rPr>
          <w:sz w:val="22"/>
          <w:szCs w:val="22"/>
          <w:lang w:val="es-ES"/>
        </w:rPr>
        <w:t>n Chocó,</w:t>
      </w:r>
      <w:r w:rsidRPr="002F21D4">
        <w:rPr>
          <w:sz w:val="22"/>
          <w:szCs w:val="22"/>
          <w:lang w:val="es-ES"/>
        </w:rPr>
        <w:t xml:space="preserve"> las </w:t>
      </w:r>
      <w:r w:rsidRPr="002F21D4">
        <w:rPr>
          <w:sz w:val="22"/>
          <w:szCs w:val="22"/>
          <w:lang w:val="es-ES" w:eastAsia="es-ES_tradnl"/>
        </w:rPr>
        <w:t>autoridades jurisdiccionales indígenas y en particular</w:t>
      </w:r>
      <w:r w:rsidRPr="002F21D4">
        <w:rPr>
          <w:sz w:val="22"/>
          <w:szCs w:val="22"/>
          <w:lang w:eastAsia="es-ES_tradnl"/>
        </w:rPr>
        <w:t xml:space="preserve"> la Asociación de Cabildos Indígenas del Alto Baudó</w:t>
      </w:r>
      <w:r w:rsidRPr="002F21D4">
        <w:rPr>
          <w:sz w:val="22"/>
          <w:szCs w:val="22"/>
          <w:lang w:val="es-ES"/>
        </w:rPr>
        <w:t xml:space="preserve"> fueron víctimas de atentados</w:t>
      </w:r>
      <w:r w:rsidR="006458E4" w:rsidRPr="002F21D4">
        <w:rPr>
          <w:sz w:val="22"/>
          <w:szCs w:val="22"/>
          <w:lang w:eastAsia="es-ES_tradnl"/>
        </w:rPr>
        <w:t>. E</w:t>
      </w:r>
      <w:r w:rsidR="006458E4" w:rsidRPr="002F21D4">
        <w:rPr>
          <w:sz w:val="22"/>
          <w:szCs w:val="22"/>
          <w:lang w:val="es-ES"/>
        </w:rPr>
        <w:t xml:space="preserve">n Bajo Baudó fueron asesinados dos guardias indígenas de los Resguardos Río </w:t>
      </w:r>
      <w:proofErr w:type="spellStart"/>
      <w:r w:rsidR="006458E4" w:rsidRPr="002F21D4">
        <w:rPr>
          <w:sz w:val="22"/>
          <w:szCs w:val="22"/>
          <w:lang w:val="es-ES"/>
        </w:rPr>
        <w:t>Purricha</w:t>
      </w:r>
      <w:proofErr w:type="spellEnd"/>
      <w:r w:rsidR="006458E4" w:rsidRPr="002F21D4">
        <w:rPr>
          <w:sz w:val="22"/>
          <w:szCs w:val="22"/>
          <w:lang w:val="es-ES"/>
        </w:rPr>
        <w:t xml:space="preserve"> y </w:t>
      </w:r>
      <w:proofErr w:type="spellStart"/>
      <w:r w:rsidR="006458E4" w:rsidRPr="002F21D4">
        <w:rPr>
          <w:sz w:val="22"/>
          <w:szCs w:val="22"/>
          <w:lang w:val="es-ES"/>
        </w:rPr>
        <w:t>Tahami</w:t>
      </w:r>
      <w:proofErr w:type="spellEnd"/>
      <w:r w:rsidR="006458E4" w:rsidRPr="002F21D4">
        <w:rPr>
          <w:sz w:val="22"/>
          <w:szCs w:val="22"/>
          <w:lang w:val="es-ES"/>
        </w:rPr>
        <w:t xml:space="preserve"> Alto Andágueda; </w:t>
      </w:r>
      <w:r w:rsidRPr="002F21D4">
        <w:rPr>
          <w:sz w:val="22"/>
          <w:szCs w:val="22"/>
          <w:lang w:val="es-ES"/>
        </w:rPr>
        <w:t>y</w:t>
      </w:r>
      <w:r w:rsidR="006458E4" w:rsidRPr="002F21D4">
        <w:rPr>
          <w:sz w:val="22"/>
          <w:szCs w:val="22"/>
          <w:lang w:val="es-ES"/>
        </w:rPr>
        <w:t xml:space="preserve"> en </w:t>
      </w:r>
      <w:r w:rsidRPr="002F21D4">
        <w:rPr>
          <w:sz w:val="22"/>
          <w:szCs w:val="22"/>
          <w:lang w:val="es-ES"/>
        </w:rPr>
        <w:t xml:space="preserve">el </w:t>
      </w:r>
      <w:r w:rsidR="00823048" w:rsidRPr="002F21D4">
        <w:rPr>
          <w:sz w:val="22"/>
          <w:szCs w:val="22"/>
          <w:lang w:val="es-ES"/>
        </w:rPr>
        <w:t>Carmen del Darié</w:t>
      </w:r>
      <w:r w:rsidR="006458E4" w:rsidRPr="002F21D4">
        <w:rPr>
          <w:sz w:val="22"/>
          <w:szCs w:val="22"/>
          <w:lang w:val="es-ES"/>
        </w:rPr>
        <w:t xml:space="preserve">n </w:t>
      </w:r>
      <w:r w:rsidRPr="002F21D4">
        <w:rPr>
          <w:sz w:val="22"/>
          <w:szCs w:val="22"/>
          <w:lang w:val="es-ES"/>
        </w:rPr>
        <w:t xml:space="preserve">el Resguardo </w:t>
      </w:r>
      <w:proofErr w:type="spellStart"/>
      <w:r w:rsidRPr="002F21D4">
        <w:rPr>
          <w:sz w:val="22"/>
          <w:szCs w:val="22"/>
          <w:lang w:val="es-ES"/>
        </w:rPr>
        <w:t>Uradá-Jiguamiandó</w:t>
      </w:r>
      <w:proofErr w:type="spellEnd"/>
      <w:r w:rsidR="006458E4" w:rsidRPr="002F21D4">
        <w:rPr>
          <w:sz w:val="22"/>
          <w:szCs w:val="22"/>
          <w:lang w:val="es-ES"/>
        </w:rPr>
        <w:t xml:space="preserve"> </w:t>
      </w:r>
      <w:r w:rsidRPr="002F21D4">
        <w:rPr>
          <w:sz w:val="22"/>
          <w:szCs w:val="22"/>
          <w:lang w:val="es-ES"/>
        </w:rPr>
        <w:t>fue</w:t>
      </w:r>
      <w:r w:rsidR="006458E4" w:rsidRPr="002F21D4">
        <w:rPr>
          <w:sz w:val="22"/>
          <w:szCs w:val="22"/>
          <w:lang w:val="es-ES"/>
        </w:rPr>
        <w:t xml:space="preserve"> ata</w:t>
      </w:r>
      <w:r w:rsidRPr="002F21D4">
        <w:rPr>
          <w:sz w:val="22"/>
          <w:szCs w:val="22"/>
          <w:lang w:val="es-ES"/>
        </w:rPr>
        <w:t>cado</w:t>
      </w:r>
      <w:r w:rsidR="006458E4" w:rsidRPr="002F21D4">
        <w:rPr>
          <w:sz w:val="22"/>
          <w:szCs w:val="22"/>
          <w:lang w:val="es-ES"/>
        </w:rPr>
        <w:t xml:space="preserve"> con explosivos</w:t>
      </w:r>
      <w:r w:rsidR="00B26BA6" w:rsidRPr="002F21D4">
        <w:rPr>
          <w:sz w:val="22"/>
          <w:szCs w:val="22"/>
          <w:lang w:val="es-ES"/>
        </w:rPr>
        <w:t xml:space="preserve"> </w:t>
      </w:r>
      <w:r w:rsidR="00823048" w:rsidRPr="002F21D4">
        <w:rPr>
          <w:sz w:val="22"/>
          <w:szCs w:val="22"/>
          <w:lang w:val="es-ES"/>
        </w:rPr>
        <w:t>hiriendo</w:t>
      </w:r>
      <w:r w:rsidR="006458E4" w:rsidRPr="002F21D4">
        <w:rPr>
          <w:sz w:val="22"/>
          <w:szCs w:val="22"/>
          <w:lang w:val="es-ES"/>
        </w:rPr>
        <w:t xml:space="preserve"> a dos coordinadores y un guardia</w:t>
      </w:r>
      <w:r w:rsidR="00B26BA6" w:rsidRPr="002F21D4">
        <w:rPr>
          <w:sz w:val="22"/>
          <w:szCs w:val="22"/>
          <w:lang w:val="es-ES"/>
        </w:rPr>
        <w:t xml:space="preserve">, además, </w:t>
      </w:r>
      <w:r w:rsidR="006458E4" w:rsidRPr="002F21D4">
        <w:rPr>
          <w:sz w:val="22"/>
          <w:szCs w:val="22"/>
          <w:lang w:val="es-ES"/>
        </w:rPr>
        <w:t>otro guardia que ya registraba amenazas</w:t>
      </w:r>
      <w:r w:rsidR="00B26BA6" w:rsidRPr="002F21D4">
        <w:rPr>
          <w:sz w:val="22"/>
          <w:szCs w:val="22"/>
          <w:lang w:val="es-ES"/>
        </w:rPr>
        <w:t xml:space="preserve"> fue secuestrado;</w:t>
      </w:r>
      <w:r w:rsidR="006458E4" w:rsidRPr="002F21D4">
        <w:rPr>
          <w:sz w:val="22"/>
          <w:szCs w:val="22"/>
          <w:lang w:val="es-ES"/>
        </w:rPr>
        <w:t xml:space="preserve"> </w:t>
      </w:r>
      <w:r w:rsidR="00B26BA6" w:rsidRPr="002F21D4">
        <w:rPr>
          <w:sz w:val="22"/>
          <w:szCs w:val="22"/>
          <w:lang w:val="es-ES"/>
        </w:rPr>
        <w:t>y en B</w:t>
      </w:r>
      <w:r w:rsidR="006458E4" w:rsidRPr="002F21D4">
        <w:rPr>
          <w:sz w:val="22"/>
          <w:szCs w:val="22"/>
          <w:lang w:val="es-ES"/>
        </w:rPr>
        <w:t>agadó</w:t>
      </w:r>
      <w:r w:rsidR="00B26BA6" w:rsidRPr="002F21D4">
        <w:rPr>
          <w:sz w:val="22"/>
          <w:szCs w:val="22"/>
          <w:lang w:val="es-ES"/>
        </w:rPr>
        <w:t xml:space="preserve"> fue asesinado un médico tradicional y guardia de </w:t>
      </w:r>
      <w:proofErr w:type="spellStart"/>
      <w:r w:rsidR="00B26BA6" w:rsidRPr="002F21D4">
        <w:rPr>
          <w:sz w:val="22"/>
          <w:szCs w:val="22"/>
          <w:lang w:val="es-ES"/>
        </w:rPr>
        <w:t>Cevedé</w:t>
      </w:r>
      <w:proofErr w:type="spellEnd"/>
      <w:r w:rsidR="006458E4" w:rsidRPr="002F21D4">
        <w:rPr>
          <w:sz w:val="22"/>
          <w:szCs w:val="22"/>
          <w:lang w:val="es-ES"/>
        </w:rPr>
        <w:t>.</w:t>
      </w:r>
    </w:p>
    <w:p w14:paraId="1D78EBD6" w14:textId="77777777" w:rsidR="00B3338F" w:rsidRPr="002F21D4" w:rsidRDefault="00B3338F" w:rsidP="00B06FB8">
      <w:pPr>
        <w:snapToGrid w:val="0"/>
        <w:ind w:firstLine="357"/>
        <w:jc w:val="both"/>
        <w:rPr>
          <w:sz w:val="22"/>
          <w:szCs w:val="22"/>
          <w:lang w:val="es-ES"/>
        </w:rPr>
      </w:pPr>
    </w:p>
    <w:p w14:paraId="54F60E69" w14:textId="210D7CC9" w:rsidR="006458E4" w:rsidRPr="002F21D4" w:rsidRDefault="006458E4" w:rsidP="00B06FB8">
      <w:pPr>
        <w:snapToGrid w:val="0"/>
        <w:ind w:firstLine="357"/>
        <w:jc w:val="both"/>
        <w:rPr>
          <w:sz w:val="22"/>
          <w:szCs w:val="22"/>
          <w:lang w:val="es-ES"/>
        </w:rPr>
      </w:pPr>
      <w:r w:rsidRPr="002F21D4">
        <w:rPr>
          <w:sz w:val="22"/>
          <w:szCs w:val="22"/>
          <w:lang w:val="es-ES"/>
        </w:rPr>
        <w:t xml:space="preserve">En Valle del Cauca, </w:t>
      </w:r>
      <w:r w:rsidR="00D76743" w:rsidRPr="002F21D4">
        <w:rPr>
          <w:sz w:val="22"/>
          <w:szCs w:val="22"/>
          <w:lang w:val="es-ES"/>
        </w:rPr>
        <w:t>un</w:t>
      </w:r>
      <w:r w:rsidRPr="002F21D4">
        <w:rPr>
          <w:sz w:val="22"/>
          <w:szCs w:val="22"/>
          <w:lang w:val="es-ES"/>
        </w:rPr>
        <w:t xml:space="preserve"> guardia indígena</w:t>
      </w:r>
      <w:r w:rsidR="00D76743" w:rsidRPr="002F21D4">
        <w:rPr>
          <w:sz w:val="22"/>
          <w:szCs w:val="22"/>
          <w:lang w:val="es-ES"/>
        </w:rPr>
        <w:t xml:space="preserve"> de la comunidad </w:t>
      </w:r>
      <w:proofErr w:type="spellStart"/>
      <w:r w:rsidR="00D76743" w:rsidRPr="002F21D4">
        <w:rPr>
          <w:sz w:val="22"/>
          <w:szCs w:val="22"/>
          <w:lang w:val="es-ES"/>
        </w:rPr>
        <w:t>Nonam</w:t>
      </w:r>
      <w:proofErr w:type="spellEnd"/>
      <w:r w:rsidR="00D76743" w:rsidRPr="002F21D4">
        <w:rPr>
          <w:sz w:val="22"/>
          <w:szCs w:val="22"/>
          <w:lang w:val="es-ES"/>
        </w:rPr>
        <w:t xml:space="preserve"> </w:t>
      </w:r>
      <w:proofErr w:type="spellStart"/>
      <w:r w:rsidR="00D76743" w:rsidRPr="002F21D4">
        <w:rPr>
          <w:sz w:val="22"/>
          <w:szCs w:val="22"/>
          <w:lang w:val="es-ES"/>
        </w:rPr>
        <w:t>Dur</w:t>
      </w:r>
      <w:proofErr w:type="spellEnd"/>
      <w:r w:rsidR="00D76743" w:rsidRPr="002F21D4">
        <w:rPr>
          <w:sz w:val="22"/>
          <w:szCs w:val="22"/>
          <w:lang w:val="es-ES"/>
        </w:rPr>
        <w:t xml:space="preserve"> desapareció</w:t>
      </w:r>
      <w:r w:rsidR="00C90329" w:rsidRPr="002F21D4">
        <w:rPr>
          <w:sz w:val="22"/>
          <w:szCs w:val="22"/>
          <w:lang w:val="es-ES"/>
        </w:rPr>
        <w:t>; el</w:t>
      </w:r>
      <w:r w:rsidR="00D76743" w:rsidRPr="002F21D4">
        <w:rPr>
          <w:sz w:val="22"/>
          <w:szCs w:val="22"/>
          <w:lang w:val="es-ES"/>
        </w:rPr>
        <w:t xml:space="preserve"> </w:t>
      </w:r>
      <w:r w:rsidR="00C90329" w:rsidRPr="002F21D4">
        <w:rPr>
          <w:sz w:val="22"/>
          <w:szCs w:val="22"/>
          <w:lang w:val="es-ES"/>
        </w:rPr>
        <w:t>c</w:t>
      </w:r>
      <w:r w:rsidR="00D76743" w:rsidRPr="002F21D4">
        <w:rPr>
          <w:sz w:val="22"/>
          <w:szCs w:val="22"/>
          <w:lang w:val="es-ES"/>
        </w:rPr>
        <w:t>abildo La Meseta y dos de sus guardias fueron amenazados</w:t>
      </w:r>
      <w:r w:rsidR="00C90329" w:rsidRPr="002F21D4">
        <w:rPr>
          <w:sz w:val="22"/>
          <w:szCs w:val="22"/>
          <w:lang w:val="es-ES"/>
        </w:rPr>
        <w:t>;</w:t>
      </w:r>
      <w:r w:rsidRPr="002F21D4">
        <w:rPr>
          <w:sz w:val="22"/>
          <w:szCs w:val="22"/>
          <w:lang w:val="es-ES"/>
        </w:rPr>
        <w:t xml:space="preserve"> la Guardia del Resguardo Triunfo Cristal Páez</w:t>
      </w:r>
      <w:r w:rsidR="00D76743" w:rsidRPr="002F21D4">
        <w:rPr>
          <w:sz w:val="22"/>
          <w:szCs w:val="22"/>
          <w:lang w:val="es-ES"/>
        </w:rPr>
        <w:t xml:space="preserve"> sufrió un ataque con explosivos</w:t>
      </w:r>
      <w:r w:rsidRPr="002F21D4">
        <w:rPr>
          <w:sz w:val="22"/>
          <w:szCs w:val="22"/>
          <w:lang w:val="es-ES"/>
        </w:rPr>
        <w:t xml:space="preserve"> que dejó herido a su coordinador</w:t>
      </w:r>
      <w:r w:rsidR="00C90329" w:rsidRPr="002F21D4">
        <w:rPr>
          <w:sz w:val="22"/>
          <w:szCs w:val="22"/>
          <w:lang w:val="es-ES"/>
        </w:rPr>
        <w:t>;</w:t>
      </w:r>
      <w:r w:rsidRPr="002F21D4">
        <w:rPr>
          <w:sz w:val="22"/>
          <w:szCs w:val="22"/>
          <w:lang w:val="es-ES"/>
        </w:rPr>
        <w:t xml:space="preserve"> y </w:t>
      </w:r>
      <w:r w:rsidR="00D76743" w:rsidRPr="002F21D4">
        <w:rPr>
          <w:sz w:val="22"/>
          <w:szCs w:val="22"/>
          <w:lang w:val="es-ES"/>
        </w:rPr>
        <w:t xml:space="preserve">cinco autoridades indígenas y representantes de la </w:t>
      </w:r>
      <w:bookmarkStart w:id="8" w:name="_Hlk83376917"/>
      <w:r w:rsidR="00C90329" w:rsidRPr="002F21D4">
        <w:rPr>
          <w:sz w:val="22"/>
          <w:szCs w:val="22"/>
          <w:lang w:val="es-ES"/>
        </w:rPr>
        <w:t xml:space="preserve">Organización Regional Indígena del Valle del Cauca </w:t>
      </w:r>
      <w:bookmarkEnd w:id="8"/>
      <w:r w:rsidR="00C90329" w:rsidRPr="002F21D4">
        <w:rPr>
          <w:sz w:val="22"/>
          <w:szCs w:val="22"/>
          <w:lang w:val="es-ES"/>
        </w:rPr>
        <w:t>(</w:t>
      </w:r>
      <w:r w:rsidR="00D76743" w:rsidRPr="002F21D4">
        <w:rPr>
          <w:sz w:val="22"/>
          <w:szCs w:val="22"/>
          <w:lang w:val="es-ES"/>
        </w:rPr>
        <w:t>ORIVAC</w:t>
      </w:r>
      <w:r w:rsidR="00C90329" w:rsidRPr="002F21D4">
        <w:rPr>
          <w:sz w:val="22"/>
          <w:szCs w:val="22"/>
          <w:lang w:val="es-ES"/>
        </w:rPr>
        <w:t>)</w:t>
      </w:r>
      <w:r w:rsidR="00D76743" w:rsidRPr="002F21D4">
        <w:rPr>
          <w:rStyle w:val="FootnoteReference"/>
          <w:sz w:val="22"/>
          <w:szCs w:val="22"/>
          <w:lang w:val="es-ES"/>
        </w:rPr>
        <w:footnoteReference w:id="73"/>
      </w:r>
      <w:r w:rsidR="00D76743" w:rsidRPr="002F21D4">
        <w:rPr>
          <w:sz w:val="22"/>
          <w:szCs w:val="22"/>
          <w:lang w:val="es-ES"/>
        </w:rPr>
        <w:t xml:space="preserve"> han recibido </w:t>
      </w:r>
      <w:r w:rsidRPr="002F21D4">
        <w:rPr>
          <w:sz w:val="22"/>
          <w:szCs w:val="22"/>
          <w:lang w:val="es-ES"/>
        </w:rPr>
        <w:lastRenderedPageBreak/>
        <w:t xml:space="preserve">constantes amenazas. </w:t>
      </w:r>
      <w:r w:rsidR="00D76743" w:rsidRPr="002F21D4">
        <w:rPr>
          <w:sz w:val="22"/>
          <w:szCs w:val="22"/>
          <w:lang w:val="es-ES"/>
        </w:rPr>
        <w:t xml:space="preserve">En </w:t>
      </w:r>
      <w:r w:rsidRPr="002F21D4">
        <w:rPr>
          <w:sz w:val="22"/>
          <w:szCs w:val="22"/>
          <w:lang w:val="es-ES"/>
        </w:rPr>
        <w:t>Nariño</w:t>
      </w:r>
      <w:r w:rsidR="00D76743" w:rsidRPr="002F21D4">
        <w:rPr>
          <w:sz w:val="22"/>
          <w:szCs w:val="22"/>
          <w:lang w:val="es-ES"/>
        </w:rPr>
        <w:t>,</w:t>
      </w:r>
      <w:r w:rsidR="00F51376" w:rsidRPr="002F21D4">
        <w:rPr>
          <w:sz w:val="22"/>
          <w:szCs w:val="22"/>
          <w:lang w:val="es-ES"/>
        </w:rPr>
        <w:t xml:space="preserve"> en el</w:t>
      </w:r>
      <w:r w:rsidR="00D76743" w:rsidRPr="002F21D4">
        <w:rPr>
          <w:sz w:val="22"/>
          <w:szCs w:val="22"/>
          <w:lang w:val="es-ES"/>
        </w:rPr>
        <w:t xml:space="preserve"> Resguardo </w:t>
      </w:r>
      <w:proofErr w:type="spellStart"/>
      <w:r w:rsidR="00D76743" w:rsidRPr="002F21D4">
        <w:rPr>
          <w:sz w:val="22"/>
          <w:szCs w:val="22"/>
          <w:lang w:val="es-ES"/>
        </w:rPr>
        <w:t>Piguambí</w:t>
      </w:r>
      <w:proofErr w:type="spellEnd"/>
      <w:r w:rsidR="00D76743" w:rsidRPr="002F21D4">
        <w:rPr>
          <w:sz w:val="22"/>
          <w:szCs w:val="22"/>
          <w:lang w:val="es-ES"/>
        </w:rPr>
        <w:t xml:space="preserve"> </w:t>
      </w:r>
      <w:proofErr w:type="spellStart"/>
      <w:r w:rsidR="00D76743" w:rsidRPr="002F21D4">
        <w:rPr>
          <w:sz w:val="22"/>
          <w:szCs w:val="22"/>
          <w:lang w:val="es-ES"/>
        </w:rPr>
        <w:t>Palangala</w:t>
      </w:r>
      <w:proofErr w:type="spellEnd"/>
      <w:r w:rsidR="00D76743" w:rsidRPr="002F21D4">
        <w:rPr>
          <w:sz w:val="22"/>
          <w:szCs w:val="22"/>
          <w:lang w:val="es-ES"/>
        </w:rPr>
        <w:t>,</w:t>
      </w:r>
      <w:r w:rsidRPr="002F21D4">
        <w:rPr>
          <w:sz w:val="22"/>
          <w:szCs w:val="22"/>
          <w:lang w:val="es-ES"/>
        </w:rPr>
        <w:t xml:space="preserve"> </w:t>
      </w:r>
      <w:r w:rsidR="00D76743" w:rsidRPr="002F21D4">
        <w:rPr>
          <w:sz w:val="22"/>
          <w:szCs w:val="22"/>
          <w:lang w:val="es-ES"/>
        </w:rPr>
        <w:t xml:space="preserve">ocurrió el asesinato del Fiscal del </w:t>
      </w:r>
      <w:r w:rsidR="00C90329" w:rsidRPr="002F21D4">
        <w:rPr>
          <w:sz w:val="22"/>
          <w:szCs w:val="22"/>
          <w:lang w:val="es-ES"/>
        </w:rPr>
        <w:t>c</w:t>
      </w:r>
      <w:r w:rsidR="00D76743" w:rsidRPr="002F21D4">
        <w:rPr>
          <w:sz w:val="22"/>
          <w:szCs w:val="22"/>
          <w:lang w:val="es-ES"/>
        </w:rPr>
        <w:t>abildo</w:t>
      </w:r>
      <w:r w:rsidRPr="002F21D4">
        <w:rPr>
          <w:sz w:val="22"/>
          <w:szCs w:val="22"/>
          <w:lang w:val="es-ES"/>
        </w:rPr>
        <w:t>, un ataque a una ex</w:t>
      </w:r>
      <w:r w:rsidR="00D76743" w:rsidRPr="002F21D4">
        <w:rPr>
          <w:sz w:val="22"/>
          <w:szCs w:val="22"/>
          <w:lang w:val="es-ES"/>
        </w:rPr>
        <w:t>g</w:t>
      </w:r>
      <w:r w:rsidRPr="002F21D4">
        <w:rPr>
          <w:sz w:val="22"/>
          <w:szCs w:val="22"/>
          <w:lang w:val="es-ES"/>
        </w:rPr>
        <w:t>obernadora y médica tradicional</w:t>
      </w:r>
      <w:r w:rsidR="00F51376" w:rsidRPr="002F21D4">
        <w:rPr>
          <w:sz w:val="22"/>
          <w:szCs w:val="22"/>
          <w:lang w:val="es-ES"/>
        </w:rPr>
        <w:t>,</w:t>
      </w:r>
      <w:r w:rsidRPr="002F21D4">
        <w:rPr>
          <w:sz w:val="22"/>
          <w:szCs w:val="22"/>
          <w:lang w:val="es-ES"/>
        </w:rPr>
        <w:t xml:space="preserve"> y un incendio provocado en la casa del </w:t>
      </w:r>
      <w:r w:rsidR="00D33FB1" w:rsidRPr="002F21D4">
        <w:rPr>
          <w:sz w:val="22"/>
          <w:szCs w:val="22"/>
          <w:lang w:val="es-ES"/>
        </w:rPr>
        <w:t>c</w:t>
      </w:r>
      <w:r w:rsidRPr="002F21D4">
        <w:rPr>
          <w:sz w:val="22"/>
          <w:szCs w:val="22"/>
          <w:lang w:val="es-ES"/>
        </w:rPr>
        <w:t>oordinador de la Guardi</w:t>
      </w:r>
      <w:r w:rsidR="00D76743" w:rsidRPr="002F21D4">
        <w:rPr>
          <w:sz w:val="22"/>
          <w:szCs w:val="22"/>
          <w:lang w:val="es-ES"/>
        </w:rPr>
        <w:t>a</w:t>
      </w:r>
      <w:r w:rsidRPr="002F21D4">
        <w:rPr>
          <w:sz w:val="22"/>
          <w:szCs w:val="22"/>
          <w:lang w:val="es-ES"/>
        </w:rPr>
        <w:t>.</w:t>
      </w:r>
    </w:p>
    <w:p w14:paraId="5EB5A220" w14:textId="77777777" w:rsidR="00B3338F" w:rsidRPr="002F21D4" w:rsidRDefault="00B3338F" w:rsidP="00B06FB8">
      <w:pPr>
        <w:snapToGrid w:val="0"/>
        <w:ind w:firstLine="357"/>
        <w:jc w:val="both"/>
        <w:rPr>
          <w:sz w:val="22"/>
          <w:szCs w:val="22"/>
          <w:lang w:val="es-ES"/>
        </w:rPr>
      </w:pPr>
    </w:p>
    <w:p w14:paraId="7E93A5B0" w14:textId="42FC28CA" w:rsidR="006458E4" w:rsidRPr="002F21D4" w:rsidRDefault="006458E4" w:rsidP="00B06FB8">
      <w:pPr>
        <w:snapToGrid w:val="0"/>
        <w:ind w:firstLine="357"/>
        <w:jc w:val="both"/>
        <w:rPr>
          <w:sz w:val="22"/>
          <w:szCs w:val="22"/>
          <w:lang w:val="es-ES"/>
        </w:rPr>
      </w:pPr>
      <w:r w:rsidRPr="002F21D4">
        <w:rPr>
          <w:sz w:val="22"/>
          <w:szCs w:val="22"/>
          <w:lang w:val="es-ES"/>
        </w:rPr>
        <w:t xml:space="preserve">En Magdalena hubo un ataque directo en contra de la familia de un </w:t>
      </w:r>
      <w:r w:rsidR="00D33FB1" w:rsidRPr="002F21D4">
        <w:rPr>
          <w:sz w:val="22"/>
          <w:szCs w:val="22"/>
          <w:lang w:val="es-ES"/>
        </w:rPr>
        <w:t>g</w:t>
      </w:r>
      <w:r w:rsidRPr="002F21D4">
        <w:rPr>
          <w:sz w:val="22"/>
          <w:szCs w:val="22"/>
          <w:lang w:val="es-ES"/>
        </w:rPr>
        <w:t xml:space="preserve">obernador </w:t>
      </w:r>
      <w:proofErr w:type="spellStart"/>
      <w:r w:rsidRPr="002F21D4">
        <w:rPr>
          <w:sz w:val="22"/>
          <w:szCs w:val="22"/>
          <w:lang w:val="es-ES"/>
        </w:rPr>
        <w:t>Arhuaco</w:t>
      </w:r>
      <w:proofErr w:type="spellEnd"/>
      <w:r w:rsidRPr="002F21D4">
        <w:rPr>
          <w:sz w:val="22"/>
          <w:szCs w:val="22"/>
          <w:lang w:val="es-ES"/>
        </w:rPr>
        <w:t xml:space="preserve"> y en Norte de Santander </w:t>
      </w:r>
      <w:r w:rsidR="00D33FB1" w:rsidRPr="002F21D4">
        <w:rPr>
          <w:sz w:val="22"/>
          <w:szCs w:val="22"/>
          <w:lang w:val="es-ES"/>
        </w:rPr>
        <w:t>se presentaron</w:t>
      </w:r>
      <w:r w:rsidRPr="002F21D4">
        <w:rPr>
          <w:sz w:val="22"/>
          <w:szCs w:val="22"/>
          <w:lang w:val="es-ES"/>
        </w:rPr>
        <w:t xml:space="preserve"> amenazas </w:t>
      </w:r>
      <w:r w:rsidR="00D33FB1" w:rsidRPr="002F21D4">
        <w:rPr>
          <w:sz w:val="22"/>
          <w:szCs w:val="22"/>
          <w:lang w:val="es-ES"/>
        </w:rPr>
        <w:t>en contra del</w:t>
      </w:r>
      <w:r w:rsidRPr="002F21D4">
        <w:rPr>
          <w:sz w:val="22"/>
          <w:szCs w:val="22"/>
          <w:lang w:val="es-ES"/>
        </w:rPr>
        <w:t xml:space="preserve"> </w:t>
      </w:r>
      <w:r w:rsidR="00D33FB1" w:rsidRPr="002F21D4">
        <w:rPr>
          <w:sz w:val="22"/>
          <w:szCs w:val="22"/>
          <w:lang w:val="es-ES"/>
        </w:rPr>
        <w:t>c</w:t>
      </w:r>
      <w:r w:rsidRPr="002F21D4">
        <w:rPr>
          <w:sz w:val="22"/>
          <w:szCs w:val="22"/>
          <w:lang w:val="es-ES"/>
        </w:rPr>
        <w:t xml:space="preserve">acique y </w:t>
      </w:r>
      <w:r w:rsidR="00D33FB1" w:rsidRPr="002F21D4">
        <w:rPr>
          <w:sz w:val="22"/>
          <w:szCs w:val="22"/>
          <w:lang w:val="es-ES"/>
        </w:rPr>
        <w:t>del</w:t>
      </w:r>
      <w:r w:rsidRPr="002F21D4">
        <w:rPr>
          <w:sz w:val="22"/>
          <w:szCs w:val="22"/>
          <w:lang w:val="es-ES"/>
        </w:rPr>
        <w:t xml:space="preserve"> </w:t>
      </w:r>
      <w:r w:rsidR="00D33FB1" w:rsidRPr="002F21D4">
        <w:rPr>
          <w:sz w:val="22"/>
          <w:szCs w:val="22"/>
          <w:lang w:val="es-ES"/>
        </w:rPr>
        <w:t>c</w:t>
      </w:r>
      <w:r w:rsidRPr="002F21D4">
        <w:rPr>
          <w:sz w:val="22"/>
          <w:szCs w:val="22"/>
          <w:lang w:val="es-ES"/>
        </w:rPr>
        <w:t xml:space="preserve">oordinador de Derechos Humanos </w:t>
      </w:r>
      <w:r w:rsidR="00D33FB1" w:rsidRPr="002F21D4">
        <w:rPr>
          <w:sz w:val="22"/>
          <w:szCs w:val="22"/>
          <w:lang w:val="es-ES"/>
        </w:rPr>
        <w:t>del pueblo Motilón-Barí</w:t>
      </w:r>
      <w:r w:rsidRPr="002F21D4">
        <w:rPr>
          <w:sz w:val="22"/>
          <w:szCs w:val="22"/>
          <w:lang w:val="es-ES"/>
        </w:rPr>
        <w:t xml:space="preserve">. </w:t>
      </w:r>
      <w:r w:rsidR="003951BA" w:rsidRPr="002F21D4">
        <w:rPr>
          <w:sz w:val="22"/>
          <w:szCs w:val="22"/>
          <w:lang w:val="es-ES"/>
        </w:rPr>
        <w:t>En Córdoba se registraron amenazas recurrentes a los gobernadores de los Cabildos Zenú Vende Agujas</w:t>
      </w:r>
      <w:r w:rsidR="003951BA" w:rsidRPr="002F21D4">
        <w:rPr>
          <w:color w:val="000000"/>
          <w:sz w:val="22"/>
          <w:szCs w:val="22"/>
          <w:lang w:eastAsia="es-ES_tradnl"/>
        </w:rPr>
        <w:t xml:space="preserve"> y Santa Fe Las Claras, al capitán del</w:t>
      </w:r>
      <w:r w:rsidR="00E57FA2" w:rsidRPr="002F21D4">
        <w:rPr>
          <w:color w:val="000000"/>
          <w:sz w:val="22"/>
          <w:szCs w:val="22"/>
          <w:lang w:eastAsia="es-ES_tradnl"/>
        </w:rPr>
        <w:t xml:space="preserve"> Cabildo Nueva Victoria y el exg</w:t>
      </w:r>
      <w:r w:rsidR="003951BA" w:rsidRPr="002F21D4">
        <w:rPr>
          <w:color w:val="000000"/>
          <w:sz w:val="22"/>
          <w:szCs w:val="22"/>
          <w:lang w:eastAsia="es-ES_tradnl"/>
        </w:rPr>
        <w:t>obernador del cabildo Santa Fe Alto San Jorge.</w:t>
      </w:r>
      <w:r w:rsidR="003951BA" w:rsidRPr="002F21D4">
        <w:rPr>
          <w:sz w:val="22"/>
          <w:szCs w:val="22"/>
          <w:lang w:val="es-ES"/>
        </w:rPr>
        <w:t xml:space="preserve"> </w:t>
      </w:r>
      <w:r w:rsidRPr="002F21D4">
        <w:rPr>
          <w:sz w:val="22"/>
          <w:szCs w:val="22"/>
          <w:lang w:val="es-ES"/>
        </w:rPr>
        <w:t xml:space="preserve">En Caquetá </w:t>
      </w:r>
      <w:r w:rsidR="003951BA" w:rsidRPr="002F21D4">
        <w:rPr>
          <w:sz w:val="22"/>
          <w:szCs w:val="22"/>
          <w:lang w:val="es-ES"/>
        </w:rPr>
        <w:t xml:space="preserve">se registraron los desplazamientos forzados del secretario del Cabildo </w:t>
      </w:r>
      <w:proofErr w:type="spellStart"/>
      <w:r w:rsidR="003951BA" w:rsidRPr="002F21D4">
        <w:rPr>
          <w:sz w:val="22"/>
          <w:szCs w:val="22"/>
          <w:lang w:val="es-ES"/>
        </w:rPr>
        <w:t>Muruí</w:t>
      </w:r>
      <w:proofErr w:type="spellEnd"/>
      <w:r w:rsidR="003951BA" w:rsidRPr="002F21D4">
        <w:rPr>
          <w:sz w:val="22"/>
          <w:szCs w:val="22"/>
          <w:lang w:val="es-ES"/>
        </w:rPr>
        <w:t xml:space="preserve"> </w:t>
      </w:r>
      <w:proofErr w:type="spellStart"/>
      <w:r w:rsidR="003951BA" w:rsidRPr="002F21D4">
        <w:rPr>
          <w:sz w:val="22"/>
          <w:szCs w:val="22"/>
          <w:lang w:val="es-ES"/>
        </w:rPr>
        <w:t>Ja+en</w:t>
      </w:r>
      <w:proofErr w:type="spellEnd"/>
      <w:r w:rsidR="003951BA" w:rsidRPr="002F21D4">
        <w:rPr>
          <w:sz w:val="22"/>
          <w:szCs w:val="22"/>
          <w:lang w:val="es-ES"/>
        </w:rPr>
        <w:t xml:space="preserve">+ </w:t>
      </w:r>
      <w:proofErr w:type="spellStart"/>
      <w:r w:rsidR="003951BA" w:rsidRPr="002F21D4">
        <w:rPr>
          <w:sz w:val="22"/>
          <w:szCs w:val="22"/>
          <w:lang w:val="es-ES"/>
        </w:rPr>
        <w:t>D+ona</w:t>
      </w:r>
      <w:proofErr w:type="spellEnd"/>
      <w:r w:rsidR="003951BA" w:rsidRPr="002F21D4">
        <w:rPr>
          <w:sz w:val="22"/>
          <w:szCs w:val="22"/>
          <w:lang w:val="es-ES"/>
        </w:rPr>
        <w:t xml:space="preserve"> </w:t>
      </w:r>
      <w:r w:rsidRPr="002F21D4">
        <w:rPr>
          <w:sz w:val="22"/>
          <w:szCs w:val="22"/>
          <w:lang w:val="es-ES"/>
        </w:rPr>
        <w:t>y</w:t>
      </w:r>
      <w:r w:rsidR="003951BA" w:rsidRPr="002F21D4">
        <w:rPr>
          <w:sz w:val="22"/>
          <w:szCs w:val="22"/>
          <w:lang w:val="es-ES"/>
        </w:rPr>
        <w:t xml:space="preserve"> en</w:t>
      </w:r>
      <w:r w:rsidRPr="002F21D4">
        <w:rPr>
          <w:sz w:val="22"/>
          <w:szCs w:val="22"/>
          <w:lang w:val="es-ES"/>
        </w:rPr>
        <w:t xml:space="preserve"> Antioqui</w:t>
      </w:r>
      <w:r w:rsidR="003951BA" w:rsidRPr="002F21D4">
        <w:rPr>
          <w:sz w:val="22"/>
          <w:szCs w:val="22"/>
          <w:lang w:val="es-ES"/>
        </w:rPr>
        <w:t>a</w:t>
      </w:r>
      <w:r w:rsidRPr="002F21D4">
        <w:rPr>
          <w:sz w:val="22"/>
          <w:szCs w:val="22"/>
          <w:lang w:val="es-ES"/>
        </w:rPr>
        <w:t xml:space="preserve"> de dos Caciques </w:t>
      </w:r>
      <w:r w:rsidR="003A763D" w:rsidRPr="002F21D4">
        <w:rPr>
          <w:sz w:val="22"/>
          <w:szCs w:val="22"/>
          <w:lang w:val="es-ES"/>
        </w:rPr>
        <w:t xml:space="preserve">Zenú </w:t>
      </w:r>
      <w:r w:rsidRPr="002F21D4">
        <w:rPr>
          <w:sz w:val="22"/>
          <w:szCs w:val="22"/>
          <w:lang w:val="es-ES"/>
        </w:rPr>
        <w:t>de los resguardos La Amargura y</w:t>
      </w:r>
      <w:r w:rsidR="003A763D" w:rsidRPr="002F21D4">
        <w:rPr>
          <w:sz w:val="22"/>
          <w:szCs w:val="22"/>
          <w:lang w:val="es-ES"/>
        </w:rPr>
        <w:t xml:space="preserve"> Campanario,</w:t>
      </w:r>
      <w:r w:rsidRPr="002F21D4">
        <w:rPr>
          <w:sz w:val="22"/>
          <w:szCs w:val="22"/>
          <w:lang w:val="es-ES"/>
        </w:rPr>
        <w:t xml:space="preserve"> y de la médica ancestral de este último. </w:t>
      </w:r>
    </w:p>
    <w:p w14:paraId="1CEB3FEE" w14:textId="77777777" w:rsidR="002F21D4" w:rsidRPr="002F21D4" w:rsidRDefault="002F21D4" w:rsidP="00B06FB8">
      <w:pPr>
        <w:snapToGrid w:val="0"/>
        <w:ind w:firstLine="357"/>
        <w:jc w:val="both"/>
        <w:rPr>
          <w:sz w:val="22"/>
          <w:szCs w:val="22"/>
          <w:lang w:val="es-ES"/>
        </w:rPr>
      </w:pPr>
    </w:p>
    <w:p w14:paraId="4BA8E311" w14:textId="08004357" w:rsidR="006458E4" w:rsidRPr="002F21D4" w:rsidRDefault="00000A44" w:rsidP="00B06FB8">
      <w:pPr>
        <w:snapToGrid w:val="0"/>
        <w:ind w:firstLine="357"/>
        <w:jc w:val="both"/>
        <w:rPr>
          <w:sz w:val="22"/>
          <w:szCs w:val="22"/>
          <w:lang w:eastAsia="es-ES_tradnl"/>
        </w:rPr>
      </w:pPr>
      <w:r w:rsidRPr="002F21D4">
        <w:rPr>
          <w:sz w:val="22"/>
          <w:szCs w:val="22"/>
          <w:lang w:val="es-ES"/>
        </w:rPr>
        <w:t>Estas dinámicas</w:t>
      </w:r>
      <w:r w:rsidR="0002752A" w:rsidRPr="002F21D4">
        <w:rPr>
          <w:sz w:val="22"/>
          <w:szCs w:val="22"/>
          <w:lang w:val="es-ES"/>
        </w:rPr>
        <w:t xml:space="preserve"> vulneran el proceso de autonomía y control territorial de las autoridades indígenas</w:t>
      </w:r>
      <w:r w:rsidR="006458E4" w:rsidRPr="002F21D4">
        <w:rPr>
          <w:rStyle w:val="FootnoteReference"/>
          <w:color w:val="000000" w:themeColor="text1"/>
          <w:sz w:val="22"/>
          <w:szCs w:val="22"/>
          <w:lang w:eastAsia="es-ES_tradnl"/>
        </w:rPr>
        <w:footnoteReference w:id="74"/>
      </w:r>
      <w:r w:rsidR="006458E4" w:rsidRPr="002F21D4">
        <w:rPr>
          <w:color w:val="000000" w:themeColor="text1"/>
          <w:sz w:val="22"/>
          <w:szCs w:val="22"/>
          <w:lang w:eastAsia="es-ES_tradnl"/>
        </w:rPr>
        <w:t xml:space="preserve">, </w:t>
      </w:r>
      <w:r w:rsidR="006458E4" w:rsidRPr="002F21D4">
        <w:rPr>
          <w:color w:val="000000" w:themeColor="text1"/>
          <w:sz w:val="22"/>
          <w:szCs w:val="22"/>
          <w:lang w:val="es-ES"/>
        </w:rPr>
        <w:t>pues</w:t>
      </w:r>
      <w:r w:rsidR="006458E4" w:rsidRPr="002F21D4">
        <w:rPr>
          <w:color w:val="000000" w:themeColor="text1"/>
          <w:sz w:val="22"/>
          <w:szCs w:val="22"/>
          <w:lang w:eastAsia="es-ES_tradnl"/>
        </w:rPr>
        <w:t xml:space="preserve"> </w:t>
      </w:r>
      <w:r w:rsidR="009C2077" w:rsidRPr="002F21D4">
        <w:rPr>
          <w:color w:val="000000" w:themeColor="text1"/>
          <w:sz w:val="22"/>
          <w:szCs w:val="22"/>
          <w:lang w:eastAsia="es-ES_tradnl"/>
        </w:rPr>
        <w:t>existe</w:t>
      </w:r>
      <w:r w:rsidR="006458E4" w:rsidRPr="002F21D4">
        <w:rPr>
          <w:color w:val="000000" w:themeColor="text1"/>
          <w:sz w:val="22"/>
          <w:szCs w:val="22"/>
          <w:lang w:eastAsia="es-ES_tradnl"/>
        </w:rPr>
        <w:t xml:space="preserve"> una tendencia a castigar procesos de Gobierno y Justicia propia, y a generar un </w:t>
      </w:r>
      <w:r w:rsidR="006458E4" w:rsidRPr="002F21D4">
        <w:rPr>
          <w:sz w:val="22"/>
          <w:szCs w:val="22"/>
          <w:lang w:eastAsia="es-ES_tradnl"/>
        </w:rPr>
        <w:t xml:space="preserve">debilitamiento progresivo de las instituciones de los pueblos de cara a que las mismas no sean problemáticas para los </w:t>
      </w:r>
      <w:r w:rsidR="009C2077" w:rsidRPr="002F21D4">
        <w:rPr>
          <w:sz w:val="22"/>
          <w:szCs w:val="22"/>
          <w:lang w:eastAsia="es-ES_tradnl"/>
        </w:rPr>
        <w:t>GAI</w:t>
      </w:r>
      <w:r w:rsidR="006458E4" w:rsidRPr="002F21D4">
        <w:rPr>
          <w:sz w:val="22"/>
          <w:szCs w:val="22"/>
          <w:lang w:eastAsia="es-ES_tradnl"/>
        </w:rPr>
        <w:t xml:space="preserve"> y las economías ilícitas. Esta situación ha generado un contexto de temor en las autoridades indígenas qui</w:t>
      </w:r>
      <w:r w:rsidR="009C2077" w:rsidRPr="002F21D4">
        <w:rPr>
          <w:sz w:val="22"/>
          <w:szCs w:val="22"/>
          <w:lang w:eastAsia="es-ES_tradnl"/>
        </w:rPr>
        <w:t>e</w:t>
      </w:r>
      <w:r w:rsidR="006458E4" w:rsidRPr="002F21D4">
        <w:rPr>
          <w:sz w:val="22"/>
          <w:szCs w:val="22"/>
          <w:lang w:eastAsia="es-ES_tradnl"/>
        </w:rPr>
        <w:t>nes han cedido espacios relevantes de su actividad, con el objeto de no ser afectadas ni afectar a sus comunidades, limitando sus actividades de organización y bienestar comunitario, lo que genera un daño en la institucionalidad y el tejido social</w:t>
      </w:r>
      <w:r w:rsidR="006B28C7" w:rsidRPr="002F21D4">
        <w:rPr>
          <w:sz w:val="22"/>
          <w:szCs w:val="22"/>
          <w:lang w:eastAsia="es-ES_tradnl"/>
        </w:rPr>
        <w:t>,</w:t>
      </w:r>
      <w:r w:rsidR="006458E4" w:rsidRPr="002F21D4">
        <w:rPr>
          <w:sz w:val="22"/>
          <w:szCs w:val="22"/>
          <w:lang w:eastAsia="es-ES_tradnl"/>
        </w:rPr>
        <w:t xml:space="preserve"> que podría terminar en la desaparición de formas tradicionales de organización, desarrollo y justicia propia de los pueblos. </w:t>
      </w:r>
    </w:p>
    <w:p w14:paraId="0D24103A" w14:textId="3B8F31F6" w:rsidR="002F21D4" w:rsidRPr="002F21D4" w:rsidRDefault="002F21D4" w:rsidP="00B06FB8">
      <w:pPr>
        <w:snapToGrid w:val="0"/>
        <w:ind w:firstLine="357"/>
        <w:jc w:val="both"/>
        <w:rPr>
          <w:sz w:val="22"/>
          <w:szCs w:val="22"/>
          <w:lang w:eastAsia="es-ES_tradnl"/>
        </w:rPr>
      </w:pPr>
    </w:p>
    <w:p w14:paraId="3BACF5F4" w14:textId="1BA48626" w:rsidR="00750E8F" w:rsidRPr="002F21D4" w:rsidRDefault="009C2077" w:rsidP="00B06FB8">
      <w:pPr>
        <w:snapToGrid w:val="0"/>
        <w:ind w:firstLine="357"/>
        <w:jc w:val="both"/>
        <w:rPr>
          <w:sz w:val="22"/>
          <w:szCs w:val="22"/>
          <w:lang w:val="es-ES"/>
        </w:rPr>
      </w:pPr>
      <w:r w:rsidRPr="002F21D4">
        <w:rPr>
          <w:color w:val="000000"/>
          <w:sz w:val="22"/>
          <w:szCs w:val="22"/>
        </w:rPr>
        <w:t xml:space="preserve">En este contexto, </w:t>
      </w:r>
      <w:r w:rsidRPr="002F21D4">
        <w:rPr>
          <w:sz w:val="22"/>
          <w:szCs w:val="22"/>
          <w:lang w:val="es-ES"/>
        </w:rPr>
        <w:t>l</w:t>
      </w:r>
      <w:r w:rsidR="00BA591F" w:rsidRPr="002F21D4">
        <w:rPr>
          <w:sz w:val="22"/>
          <w:szCs w:val="22"/>
          <w:lang w:val="es-ES"/>
        </w:rPr>
        <w:t>a</w:t>
      </w:r>
      <w:r w:rsidRPr="002F21D4">
        <w:rPr>
          <w:sz w:val="22"/>
          <w:szCs w:val="22"/>
          <w:lang w:val="es-ES"/>
        </w:rPr>
        <w:t>s</w:t>
      </w:r>
      <w:r w:rsidR="00BA591F" w:rsidRPr="002F21D4">
        <w:rPr>
          <w:sz w:val="22"/>
          <w:szCs w:val="22"/>
          <w:lang w:val="es-ES"/>
        </w:rPr>
        <w:t xml:space="preserve"> Consejerías Presidenciales para los Derechos Humanos y Asuntos Internacionales, para la Seguridad Nacional, para la Estabilización y la Consolidación y el Ministerio del Interior, </w:t>
      </w:r>
      <w:r w:rsidRPr="002F21D4">
        <w:rPr>
          <w:sz w:val="22"/>
          <w:szCs w:val="22"/>
          <w:lang w:val="es-ES"/>
        </w:rPr>
        <w:t xml:space="preserve">han </w:t>
      </w:r>
      <w:r w:rsidR="00BA591F" w:rsidRPr="002F21D4">
        <w:rPr>
          <w:sz w:val="22"/>
          <w:szCs w:val="22"/>
          <w:lang w:val="es-ES"/>
        </w:rPr>
        <w:t>desarrolla</w:t>
      </w:r>
      <w:r w:rsidRPr="002F21D4">
        <w:rPr>
          <w:sz w:val="22"/>
          <w:szCs w:val="22"/>
          <w:lang w:val="es-ES"/>
        </w:rPr>
        <w:t>do</w:t>
      </w:r>
      <w:r w:rsidR="00BA591F" w:rsidRPr="002F21D4">
        <w:rPr>
          <w:sz w:val="22"/>
          <w:szCs w:val="22"/>
          <w:lang w:val="es-ES"/>
        </w:rPr>
        <w:t xml:space="preserve"> acciones tendientes a fortalec</w:t>
      </w:r>
      <w:r w:rsidRPr="002F21D4">
        <w:rPr>
          <w:sz w:val="22"/>
          <w:szCs w:val="22"/>
          <w:lang w:val="es-ES"/>
        </w:rPr>
        <w:t>er</w:t>
      </w:r>
      <w:r w:rsidR="00BA591F" w:rsidRPr="002F21D4">
        <w:rPr>
          <w:sz w:val="22"/>
          <w:szCs w:val="22"/>
          <w:lang w:val="es-ES"/>
        </w:rPr>
        <w:t xml:space="preserve"> la Guardia Indígena Awá en Nariño</w:t>
      </w:r>
      <w:r w:rsidR="00BA591F" w:rsidRPr="002F21D4">
        <w:rPr>
          <w:rStyle w:val="FootnoteReference"/>
          <w:sz w:val="22"/>
          <w:szCs w:val="22"/>
          <w:lang w:val="es-ES"/>
        </w:rPr>
        <w:footnoteReference w:id="75"/>
      </w:r>
      <w:r w:rsidR="00BA591F" w:rsidRPr="002F21D4">
        <w:rPr>
          <w:sz w:val="22"/>
          <w:szCs w:val="22"/>
          <w:lang w:val="es-ES"/>
        </w:rPr>
        <w:t xml:space="preserve">; </w:t>
      </w:r>
      <w:r w:rsidRPr="002F21D4">
        <w:rPr>
          <w:sz w:val="22"/>
          <w:szCs w:val="22"/>
          <w:lang w:val="es-ES"/>
        </w:rPr>
        <w:t>a crear</w:t>
      </w:r>
      <w:r w:rsidR="00BA591F" w:rsidRPr="002F21D4">
        <w:rPr>
          <w:sz w:val="22"/>
          <w:szCs w:val="22"/>
          <w:lang w:val="es-ES"/>
        </w:rPr>
        <w:t xml:space="preserve"> una Mesa de Derechos Humanos para coordinar intervenciones con los </w:t>
      </w:r>
      <w:r w:rsidR="006245AB" w:rsidRPr="002F21D4">
        <w:rPr>
          <w:sz w:val="22"/>
          <w:szCs w:val="22"/>
          <w:lang w:val="es-ES"/>
        </w:rPr>
        <w:t xml:space="preserve">ocho </w:t>
      </w:r>
      <w:r w:rsidR="00BA591F" w:rsidRPr="002F21D4">
        <w:rPr>
          <w:sz w:val="22"/>
          <w:szCs w:val="22"/>
          <w:lang w:val="es-ES"/>
        </w:rPr>
        <w:t xml:space="preserve">pueblos indígenas del Chocó, que eviten vulneraciones en territorios étnicos; </w:t>
      </w:r>
      <w:r w:rsidRPr="002F21D4">
        <w:rPr>
          <w:sz w:val="22"/>
          <w:szCs w:val="22"/>
          <w:lang w:val="es-ES"/>
        </w:rPr>
        <w:t>apoyar</w:t>
      </w:r>
      <w:r w:rsidR="00BA591F" w:rsidRPr="002F21D4">
        <w:rPr>
          <w:sz w:val="22"/>
          <w:szCs w:val="22"/>
          <w:lang w:val="es-ES"/>
        </w:rPr>
        <w:t xml:space="preserve"> a guardianes del territorio Barí en Norte de Santander; y </w:t>
      </w:r>
      <w:r w:rsidRPr="002F21D4">
        <w:rPr>
          <w:sz w:val="22"/>
          <w:szCs w:val="22"/>
          <w:lang w:val="es-ES"/>
        </w:rPr>
        <w:t>a generar</w:t>
      </w:r>
      <w:r w:rsidR="00BA591F" w:rsidRPr="002F21D4">
        <w:rPr>
          <w:sz w:val="22"/>
          <w:szCs w:val="22"/>
          <w:lang w:val="es-ES"/>
        </w:rPr>
        <w:t xml:space="preserve"> escenarios de articulación y seguimiento del </w:t>
      </w:r>
      <w:r w:rsidRPr="002F21D4">
        <w:rPr>
          <w:sz w:val="22"/>
          <w:szCs w:val="22"/>
          <w:lang w:val="es-ES"/>
        </w:rPr>
        <w:t>c</w:t>
      </w:r>
      <w:r w:rsidR="00BA591F" w:rsidRPr="002F21D4">
        <w:rPr>
          <w:sz w:val="22"/>
          <w:szCs w:val="22"/>
          <w:lang w:val="es-ES"/>
        </w:rPr>
        <w:t xml:space="preserve">apítulo </w:t>
      </w:r>
      <w:r w:rsidRPr="002F21D4">
        <w:rPr>
          <w:sz w:val="22"/>
          <w:szCs w:val="22"/>
          <w:lang w:val="es-ES"/>
        </w:rPr>
        <w:t>é</w:t>
      </w:r>
      <w:r w:rsidR="00BA591F" w:rsidRPr="002F21D4">
        <w:rPr>
          <w:sz w:val="22"/>
          <w:szCs w:val="22"/>
          <w:lang w:val="es-ES"/>
        </w:rPr>
        <w:t>tnico del Plan Marco de Implementación del Acuerdo Final. Por su parte, el Ministerio de Justicia y del Derecho surtió el proceso de aprobación de 90 proyectos para el fortalecimiento de la JEI, y la F</w:t>
      </w:r>
      <w:r w:rsidR="00C22129" w:rsidRPr="002F21D4">
        <w:rPr>
          <w:sz w:val="22"/>
          <w:szCs w:val="22"/>
          <w:lang w:val="es-ES"/>
        </w:rPr>
        <w:t>GN</w:t>
      </w:r>
      <w:r w:rsidR="00BA591F" w:rsidRPr="002F21D4">
        <w:rPr>
          <w:sz w:val="22"/>
          <w:szCs w:val="22"/>
          <w:lang w:val="es-ES"/>
        </w:rPr>
        <w:t xml:space="preserve"> apoyó la coordinación de los procesos de la Escuela de Derecho Propio del Pueblo Zenú.</w:t>
      </w:r>
    </w:p>
    <w:p w14:paraId="11BB3035" w14:textId="77777777" w:rsidR="00013077" w:rsidRPr="002F21D4" w:rsidRDefault="00013077" w:rsidP="00B06FB8">
      <w:pPr>
        <w:snapToGrid w:val="0"/>
        <w:ind w:firstLine="357"/>
        <w:jc w:val="both"/>
        <w:rPr>
          <w:sz w:val="22"/>
          <w:szCs w:val="22"/>
          <w:lang w:val="es-ES"/>
        </w:rPr>
      </w:pPr>
    </w:p>
    <w:p w14:paraId="29FBC10C" w14:textId="5D6F2410" w:rsidR="00E10EAF" w:rsidRPr="002F21D4" w:rsidRDefault="00E10EAF" w:rsidP="002E06D9">
      <w:pPr>
        <w:pStyle w:val="ListParagraph"/>
        <w:numPr>
          <w:ilvl w:val="0"/>
          <w:numId w:val="1"/>
        </w:numPr>
        <w:snapToGrid w:val="0"/>
        <w:spacing w:after="0" w:line="240" w:lineRule="auto"/>
        <w:contextualSpacing w:val="0"/>
        <w:jc w:val="both"/>
        <w:rPr>
          <w:rFonts w:ascii="Times New Roman" w:hAnsi="Times New Roman" w:cs="Times New Roman"/>
          <w:b/>
        </w:rPr>
      </w:pPr>
      <w:r w:rsidRPr="002E06D9">
        <w:rPr>
          <w:rFonts w:ascii="Times New Roman" w:hAnsi="Times New Roman" w:cs="Times New Roman"/>
          <w:b/>
          <w:bCs/>
        </w:rPr>
        <w:t>PARTICIPACIÓN</w:t>
      </w:r>
      <w:r w:rsidRPr="002F21D4">
        <w:rPr>
          <w:rFonts w:ascii="Times New Roman" w:hAnsi="Times New Roman" w:cs="Times New Roman"/>
          <w:b/>
        </w:rPr>
        <w:t xml:space="preserve">, DIÁLOGO Y </w:t>
      </w:r>
      <w:r w:rsidR="00EA313A" w:rsidRPr="002F21D4">
        <w:rPr>
          <w:rFonts w:ascii="Times New Roman" w:hAnsi="Times New Roman" w:cs="Times New Roman"/>
          <w:b/>
        </w:rPr>
        <w:t xml:space="preserve">MOVILIZACIÓN </w:t>
      </w:r>
      <w:r w:rsidRPr="002F21D4">
        <w:rPr>
          <w:rFonts w:ascii="Times New Roman" w:hAnsi="Times New Roman" w:cs="Times New Roman"/>
          <w:b/>
        </w:rPr>
        <w:t xml:space="preserve">SOCIAL </w:t>
      </w:r>
    </w:p>
    <w:p w14:paraId="0EA0638F" w14:textId="77777777" w:rsidR="002F21D4" w:rsidRPr="002F21D4" w:rsidRDefault="002F21D4" w:rsidP="00B06FB8">
      <w:pPr>
        <w:shd w:val="clear" w:color="auto" w:fill="FFFFFF"/>
        <w:snapToGrid w:val="0"/>
        <w:ind w:firstLine="360"/>
        <w:jc w:val="both"/>
        <w:rPr>
          <w:color w:val="000000"/>
          <w:sz w:val="22"/>
          <w:szCs w:val="22"/>
          <w:lang w:val="es-ES" w:eastAsia="en-GB"/>
        </w:rPr>
      </w:pPr>
    </w:p>
    <w:p w14:paraId="7CD30DF6" w14:textId="6706E587" w:rsidR="00277B70" w:rsidRPr="002F21D4" w:rsidRDefault="00750E8F" w:rsidP="00B06FB8">
      <w:pPr>
        <w:shd w:val="clear" w:color="auto" w:fill="FFFFFF"/>
        <w:snapToGrid w:val="0"/>
        <w:ind w:firstLine="360"/>
        <w:jc w:val="both"/>
        <w:rPr>
          <w:color w:val="000000"/>
          <w:sz w:val="22"/>
          <w:szCs w:val="22"/>
          <w:lang w:val="es-ES" w:eastAsia="en-GB"/>
        </w:rPr>
      </w:pPr>
      <w:r w:rsidRPr="002F21D4">
        <w:rPr>
          <w:color w:val="000000"/>
          <w:sz w:val="22"/>
          <w:szCs w:val="22"/>
          <w:lang w:val="es-ES" w:eastAsia="en-GB"/>
        </w:rPr>
        <w:t xml:space="preserve">Las limitaciones </w:t>
      </w:r>
      <w:r w:rsidR="00277B70" w:rsidRPr="002F21D4">
        <w:rPr>
          <w:color w:val="000000"/>
          <w:sz w:val="22"/>
          <w:szCs w:val="22"/>
          <w:lang w:val="es-ES" w:eastAsia="en-GB"/>
        </w:rPr>
        <w:t>impuestas por la emergencia sanitaria</w:t>
      </w:r>
      <w:r w:rsidR="001D7A01" w:rsidRPr="002F21D4">
        <w:rPr>
          <w:color w:val="000000"/>
          <w:sz w:val="22"/>
          <w:szCs w:val="22"/>
          <w:lang w:val="es-ES" w:eastAsia="en-GB"/>
        </w:rPr>
        <w:t xml:space="preserve"> causada por COVID-19</w:t>
      </w:r>
      <w:r w:rsidR="00277B70" w:rsidRPr="002F21D4">
        <w:rPr>
          <w:color w:val="000000"/>
          <w:sz w:val="22"/>
          <w:szCs w:val="22"/>
          <w:lang w:val="es-ES" w:eastAsia="en-GB"/>
        </w:rPr>
        <w:t xml:space="preserve"> frenaron los ejercicios democráticos ciudadanos y afectaron el desarrollo de los espacios, mecanismos y procesos de participación. A pesar de los esfuerzos</w:t>
      </w:r>
      <w:r w:rsidRPr="002F21D4">
        <w:rPr>
          <w:color w:val="000000"/>
          <w:sz w:val="22"/>
          <w:szCs w:val="22"/>
          <w:lang w:val="es-ES" w:eastAsia="en-GB"/>
        </w:rPr>
        <w:t xml:space="preserve"> </w:t>
      </w:r>
      <w:r w:rsidR="00277B70" w:rsidRPr="002F21D4">
        <w:rPr>
          <w:color w:val="000000"/>
          <w:sz w:val="22"/>
          <w:szCs w:val="22"/>
          <w:lang w:val="es-ES" w:eastAsia="en-GB"/>
        </w:rPr>
        <w:t>de la instit</w:t>
      </w:r>
      <w:r w:rsidR="006521EE" w:rsidRPr="002F21D4">
        <w:rPr>
          <w:color w:val="000000"/>
          <w:sz w:val="22"/>
          <w:szCs w:val="22"/>
          <w:lang w:val="es-ES" w:eastAsia="en-GB"/>
        </w:rPr>
        <w:t>ucionalidad y la sociedad civil</w:t>
      </w:r>
      <w:r w:rsidRPr="002F21D4">
        <w:rPr>
          <w:color w:val="000000"/>
          <w:sz w:val="22"/>
          <w:szCs w:val="22"/>
          <w:lang w:val="es-ES" w:eastAsia="en-GB"/>
        </w:rPr>
        <w:t xml:space="preserve"> para </w:t>
      </w:r>
      <w:r w:rsidR="00740BA5" w:rsidRPr="002F21D4">
        <w:rPr>
          <w:color w:val="000000"/>
          <w:sz w:val="22"/>
          <w:szCs w:val="22"/>
          <w:lang w:val="es-ES" w:eastAsia="en-GB"/>
        </w:rPr>
        <w:t>mantenerlos</w:t>
      </w:r>
      <w:r w:rsidRPr="002F21D4">
        <w:rPr>
          <w:color w:val="000000"/>
          <w:sz w:val="22"/>
          <w:szCs w:val="22"/>
          <w:lang w:val="es-ES" w:eastAsia="en-GB"/>
        </w:rPr>
        <w:t xml:space="preserve"> virtualmente,</w:t>
      </w:r>
      <w:r w:rsidR="00277B70" w:rsidRPr="002F21D4">
        <w:rPr>
          <w:color w:val="000000"/>
          <w:sz w:val="22"/>
          <w:szCs w:val="22"/>
          <w:lang w:val="es-ES" w:eastAsia="en-GB"/>
        </w:rPr>
        <w:t xml:space="preserve"> estos</w:t>
      </w:r>
      <w:r w:rsidR="00740BA5" w:rsidRPr="002F21D4">
        <w:rPr>
          <w:color w:val="000000"/>
          <w:sz w:val="22"/>
          <w:szCs w:val="22"/>
          <w:lang w:val="es-ES" w:eastAsia="en-GB"/>
        </w:rPr>
        <w:t xml:space="preserve"> solo</w:t>
      </w:r>
      <w:r w:rsidR="00277B70" w:rsidRPr="002F21D4">
        <w:rPr>
          <w:color w:val="000000"/>
          <w:sz w:val="22"/>
          <w:szCs w:val="22"/>
          <w:lang w:val="es-ES" w:eastAsia="en-GB"/>
        </w:rPr>
        <w:t xml:space="preserve"> </w:t>
      </w:r>
      <w:r w:rsidR="00740BA5" w:rsidRPr="002F21D4">
        <w:rPr>
          <w:color w:val="000000"/>
          <w:sz w:val="22"/>
          <w:szCs w:val="22"/>
          <w:lang w:val="es-ES" w:eastAsia="en-GB"/>
        </w:rPr>
        <w:t xml:space="preserve">se dinamizaron </w:t>
      </w:r>
      <w:r w:rsidR="00277B70" w:rsidRPr="002F21D4">
        <w:rPr>
          <w:color w:val="000000"/>
          <w:sz w:val="22"/>
          <w:szCs w:val="22"/>
          <w:lang w:val="es-ES" w:eastAsia="en-GB"/>
        </w:rPr>
        <w:t>con la reapertura</w:t>
      </w:r>
      <w:r w:rsidRPr="002F21D4">
        <w:rPr>
          <w:color w:val="000000"/>
          <w:sz w:val="22"/>
          <w:szCs w:val="22"/>
          <w:lang w:val="es-ES" w:eastAsia="en-GB"/>
        </w:rPr>
        <w:t xml:space="preserve"> paulatina y la posibilidad de desarrollarlos</w:t>
      </w:r>
      <w:r w:rsidR="00740BA5" w:rsidRPr="002F21D4">
        <w:rPr>
          <w:color w:val="000000"/>
          <w:sz w:val="22"/>
          <w:szCs w:val="22"/>
          <w:lang w:val="es-ES" w:eastAsia="en-GB"/>
        </w:rPr>
        <w:t xml:space="preserve"> de manera presencial</w:t>
      </w:r>
      <w:r w:rsidR="00277B70" w:rsidRPr="002F21D4">
        <w:rPr>
          <w:color w:val="000000"/>
          <w:sz w:val="22"/>
          <w:szCs w:val="22"/>
          <w:lang w:val="es-ES" w:eastAsia="en-GB"/>
        </w:rPr>
        <w:t xml:space="preserve">. </w:t>
      </w:r>
      <w:r w:rsidR="00740BA5" w:rsidRPr="002F21D4">
        <w:rPr>
          <w:color w:val="000000"/>
          <w:sz w:val="22"/>
          <w:szCs w:val="22"/>
          <w:lang w:val="es-ES" w:eastAsia="en-GB"/>
        </w:rPr>
        <w:t>L</w:t>
      </w:r>
      <w:r w:rsidR="00277B70" w:rsidRPr="002F21D4">
        <w:rPr>
          <w:color w:val="000000"/>
          <w:sz w:val="22"/>
          <w:szCs w:val="22"/>
          <w:lang w:val="es-ES" w:eastAsia="en-GB"/>
        </w:rPr>
        <w:t xml:space="preserve">as expectativas de </w:t>
      </w:r>
      <w:r w:rsidR="00740BA5" w:rsidRPr="002F21D4">
        <w:rPr>
          <w:color w:val="000000"/>
          <w:sz w:val="22"/>
          <w:szCs w:val="22"/>
          <w:lang w:val="es-ES" w:eastAsia="en-GB"/>
        </w:rPr>
        <w:t xml:space="preserve">la ciudadanía </w:t>
      </w:r>
      <w:r w:rsidR="00277B70" w:rsidRPr="002F21D4">
        <w:rPr>
          <w:color w:val="000000"/>
          <w:sz w:val="22"/>
          <w:szCs w:val="22"/>
          <w:lang w:val="es-ES" w:eastAsia="en-GB"/>
        </w:rPr>
        <w:t xml:space="preserve">de contribuir a la construcción de Estado con propuestas propias se vieron nuevamente </w:t>
      </w:r>
      <w:r w:rsidR="00740BA5" w:rsidRPr="002F21D4">
        <w:rPr>
          <w:color w:val="000000"/>
          <w:sz w:val="22"/>
          <w:szCs w:val="22"/>
          <w:lang w:val="es-ES" w:eastAsia="en-GB"/>
        </w:rPr>
        <w:t xml:space="preserve">impactadas por </w:t>
      </w:r>
      <w:r w:rsidR="00277B70" w:rsidRPr="002F21D4">
        <w:rPr>
          <w:color w:val="000000"/>
          <w:sz w:val="22"/>
          <w:szCs w:val="22"/>
          <w:lang w:val="es-ES" w:eastAsia="en-GB"/>
        </w:rPr>
        <w:t>los indicadores negativos de salud pública</w:t>
      </w:r>
      <w:r w:rsidR="00740BA5" w:rsidRPr="002F21D4">
        <w:rPr>
          <w:color w:val="000000"/>
          <w:sz w:val="22"/>
          <w:szCs w:val="22"/>
          <w:lang w:val="es-ES" w:eastAsia="en-GB"/>
        </w:rPr>
        <w:t xml:space="preserve"> que restringieron cualquier tipo de</w:t>
      </w:r>
      <w:r w:rsidR="00A6724C" w:rsidRPr="002F21D4">
        <w:rPr>
          <w:color w:val="000000"/>
          <w:sz w:val="22"/>
          <w:szCs w:val="22"/>
          <w:lang w:val="es-ES" w:eastAsia="en-GB"/>
        </w:rPr>
        <w:t xml:space="preserve"> </w:t>
      </w:r>
      <w:r w:rsidR="00740BA5" w:rsidRPr="002F21D4">
        <w:rPr>
          <w:color w:val="000000"/>
          <w:sz w:val="22"/>
          <w:szCs w:val="22"/>
          <w:lang w:val="es-ES" w:eastAsia="en-GB"/>
        </w:rPr>
        <w:t xml:space="preserve">reunión. Esto llevó, por ejemplo, a una </w:t>
      </w:r>
      <w:r w:rsidR="00277B70" w:rsidRPr="002F21D4">
        <w:rPr>
          <w:color w:val="000000"/>
          <w:sz w:val="22"/>
          <w:szCs w:val="22"/>
          <w:lang w:val="es-ES" w:eastAsia="en-GB"/>
        </w:rPr>
        <w:t xml:space="preserve">nueva postergación de las </w:t>
      </w:r>
      <w:r w:rsidR="00277B70" w:rsidRPr="002F21D4">
        <w:rPr>
          <w:color w:val="000000"/>
          <w:sz w:val="22"/>
          <w:szCs w:val="22"/>
          <w:lang w:val="es-ES" w:eastAsia="en-GB"/>
        </w:rPr>
        <w:lastRenderedPageBreak/>
        <w:t>elecciones de</w:t>
      </w:r>
      <w:r w:rsidR="006521EE" w:rsidRPr="002F21D4">
        <w:rPr>
          <w:color w:val="000000"/>
          <w:sz w:val="22"/>
          <w:szCs w:val="22"/>
          <w:lang w:val="es-ES" w:eastAsia="en-GB"/>
        </w:rPr>
        <w:t>l Organismo de</w:t>
      </w:r>
      <w:r w:rsidR="00277B70" w:rsidRPr="002F21D4">
        <w:rPr>
          <w:color w:val="000000"/>
          <w:sz w:val="22"/>
          <w:szCs w:val="22"/>
          <w:lang w:val="es-ES" w:eastAsia="en-GB"/>
        </w:rPr>
        <w:t xml:space="preserve"> Acción Comunal</w:t>
      </w:r>
      <w:r w:rsidR="003D3383" w:rsidRPr="002F21D4">
        <w:rPr>
          <w:color w:val="000000"/>
          <w:sz w:val="22"/>
          <w:szCs w:val="22"/>
          <w:lang w:val="es-ES" w:eastAsia="en-GB"/>
        </w:rPr>
        <w:t xml:space="preserve"> (OAC)</w:t>
      </w:r>
      <w:r w:rsidR="00277B70" w:rsidRPr="002F21D4">
        <w:rPr>
          <w:color w:val="000000"/>
          <w:sz w:val="22"/>
          <w:szCs w:val="22"/>
          <w:lang w:val="es-ES" w:eastAsia="en-GB"/>
        </w:rPr>
        <w:t xml:space="preserve"> que tuvo un </w:t>
      </w:r>
      <w:r w:rsidR="00A6724C" w:rsidRPr="002F21D4">
        <w:rPr>
          <w:color w:val="000000"/>
          <w:sz w:val="22"/>
          <w:szCs w:val="22"/>
          <w:lang w:val="es-ES" w:eastAsia="en-GB"/>
        </w:rPr>
        <w:t>efecto</w:t>
      </w:r>
      <w:r w:rsidR="00277B70" w:rsidRPr="002F21D4">
        <w:rPr>
          <w:color w:val="000000"/>
          <w:sz w:val="22"/>
          <w:szCs w:val="22"/>
          <w:lang w:val="es-ES" w:eastAsia="en-GB"/>
        </w:rPr>
        <w:t xml:space="preserve"> negativo en la labor comunitaria</w:t>
      </w:r>
      <w:r w:rsidR="006C6A28" w:rsidRPr="002F21D4">
        <w:rPr>
          <w:rStyle w:val="FootnoteReference"/>
          <w:color w:val="000000"/>
          <w:sz w:val="22"/>
          <w:szCs w:val="22"/>
          <w:lang w:val="es-ES" w:eastAsia="en-GB"/>
        </w:rPr>
        <w:footnoteReference w:id="76"/>
      </w:r>
      <w:r w:rsidR="00277B70" w:rsidRPr="002F21D4">
        <w:rPr>
          <w:color w:val="000000"/>
          <w:sz w:val="22"/>
          <w:szCs w:val="22"/>
          <w:lang w:val="es-ES" w:eastAsia="en-GB"/>
        </w:rPr>
        <w:t xml:space="preserve">. </w:t>
      </w:r>
      <w:r w:rsidR="00A6724C" w:rsidRPr="002F21D4">
        <w:rPr>
          <w:color w:val="000000"/>
          <w:sz w:val="22"/>
          <w:szCs w:val="22"/>
          <w:lang w:val="es-ES" w:eastAsia="en-GB"/>
        </w:rPr>
        <w:t xml:space="preserve">Asimismo, </w:t>
      </w:r>
      <w:r w:rsidR="00277B70" w:rsidRPr="002F21D4">
        <w:rPr>
          <w:color w:val="000000"/>
          <w:sz w:val="22"/>
          <w:szCs w:val="22"/>
          <w:lang w:val="es-ES" w:eastAsia="en-GB"/>
        </w:rPr>
        <w:t>la disminución del espacio participativo</w:t>
      </w:r>
      <w:r w:rsidR="00A6724C" w:rsidRPr="002F21D4">
        <w:rPr>
          <w:color w:val="000000"/>
          <w:sz w:val="22"/>
          <w:szCs w:val="22"/>
          <w:lang w:val="es-ES" w:eastAsia="en-GB"/>
        </w:rPr>
        <w:t xml:space="preserve"> y </w:t>
      </w:r>
      <w:r w:rsidR="00A6724C" w:rsidRPr="002F21D4">
        <w:rPr>
          <w:color w:val="000000"/>
          <w:sz w:val="22"/>
          <w:szCs w:val="22"/>
          <w:lang w:val="es-ES"/>
        </w:rPr>
        <w:t xml:space="preserve">la </w:t>
      </w:r>
      <w:r w:rsidR="001843A1" w:rsidRPr="002F21D4">
        <w:rPr>
          <w:color w:val="000000"/>
          <w:sz w:val="22"/>
          <w:szCs w:val="22"/>
          <w:lang w:val="es-ES"/>
        </w:rPr>
        <w:t>agudización</w:t>
      </w:r>
      <w:r w:rsidR="00A6724C" w:rsidRPr="002F21D4">
        <w:rPr>
          <w:color w:val="000000"/>
          <w:sz w:val="22"/>
          <w:szCs w:val="22"/>
          <w:lang w:val="es-ES"/>
        </w:rPr>
        <w:t xml:space="preserve"> de necesidades básicas insatisfechas</w:t>
      </w:r>
      <w:r w:rsidR="001843A1" w:rsidRPr="002F21D4">
        <w:rPr>
          <w:color w:val="000000"/>
          <w:sz w:val="22"/>
          <w:szCs w:val="22"/>
          <w:lang w:val="es-ES"/>
        </w:rPr>
        <w:t>,</w:t>
      </w:r>
      <w:r w:rsidR="00A6724C" w:rsidRPr="002F21D4">
        <w:rPr>
          <w:color w:val="000000"/>
          <w:sz w:val="22"/>
          <w:szCs w:val="22"/>
          <w:lang w:val="es-ES"/>
        </w:rPr>
        <w:t xml:space="preserve"> a causa de </w:t>
      </w:r>
      <w:r w:rsidR="00277B70" w:rsidRPr="002F21D4">
        <w:rPr>
          <w:color w:val="000000"/>
          <w:sz w:val="22"/>
          <w:szCs w:val="22"/>
          <w:lang w:val="es-ES"/>
        </w:rPr>
        <w:t>la emergencia sanitaria</w:t>
      </w:r>
      <w:r w:rsidR="001843A1" w:rsidRPr="002F21D4">
        <w:rPr>
          <w:color w:val="000000"/>
          <w:sz w:val="22"/>
          <w:szCs w:val="22"/>
          <w:lang w:val="es-ES"/>
        </w:rPr>
        <w:t>,</w:t>
      </w:r>
      <w:r w:rsidR="00277B70" w:rsidRPr="002F21D4">
        <w:rPr>
          <w:color w:val="000000"/>
          <w:sz w:val="22"/>
          <w:szCs w:val="22"/>
          <w:lang w:val="es-ES"/>
        </w:rPr>
        <w:t xml:space="preserve"> genera</w:t>
      </w:r>
      <w:r w:rsidR="00A6724C" w:rsidRPr="002F21D4">
        <w:rPr>
          <w:color w:val="000000"/>
          <w:sz w:val="22"/>
          <w:szCs w:val="22"/>
          <w:lang w:val="es-ES"/>
        </w:rPr>
        <w:t>ron</w:t>
      </w:r>
      <w:r w:rsidR="00277B70" w:rsidRPr="002F21D4">
        <w:rPr>
          <w:color w:val="000000"/>
          <w:sz w:val="22"/>
          <w:szCs w:val="22"/>
          <w:lang w:val="es-ES"/>
        </w:rPr>
        <w:t xml:space="preserve"> mayores niveles de conflictividad y polarización</w:t>
      </w:r>
      <w:r w:rsidR="00277B70" w:rsidRPr="002F21D4">
        <w:rPr>
          <w:color w:val="000000"/>
          <w:sz w:val="22"/>
          <w:szCs w:val="22"/>
          <w:vertAlign w:val="superscript"/>
          <w:lang w:val="es-ES"/>
        </w:rPr>
        <w:footnoteReference w:id="77"/>
      </w:r>
      <w:r w:rsidRPr="002F21D4">
        <w:rPr>
          <w:color w:val="000000"/>
          <w:sz w:val="22"/>
          <w:szCs w:val="22"/>
          <w:lang w:val="es-ES"/>
        </w:rPr>
        <w:t>.</w:t>
      </w:r>
      <w:r w:rsidRPr="002F21D4">
        <w:rPr>
          <w:color w:val="000000"/>
          <w:sz w:val="22"/>
          <w:szCs w:val="22"/>
          <w:lang w:val="es-ES" w:eastAsia="en-GB"/>
        </w:rPr>
        <w:t xml:space="preserve"> </w:t>
      </w:r>
    </w:p>
    <w:p w14:paraId="47CD1206" w14:textId="77777777" w:rsidR="002F21D4" w:rsidRPr="002F21D4" w:rsidRDefault="002F21D4" w:rsidP="00B06FB8">
      <w:pPr>
        <w:shd w:val="clear" w:color="auto" w:fill="FFFFFF"/>
        <w:snapToGrid w:val="0"/>
        <w:ind w:firstLine="360"/>
        <w:jc w:val="both"/>
        <w:rPr>
          <w:color w:val="000000"/>
          <w:sz w:val="22"/>
          <w:szCs w:val="22"/>
          <w:lang w:val="es-ES" w:eastAsia="en-GB"/>
        </w:rPr>
      </w:pPr>
    </w:p>
    <w:p w14:paraId="47CB8483" w14:textId="3A180D90" w:rsidR="00277B70" w:rsidRPr="002F21D4" w:rsidRDefault="00277B70" w:rsidP="00B06FB8">
      <w:pPr>
        <w:shd w:val="clear" w:color="auto" w:fill="FFFFFF"/>
        <w:snapToGrid w:val="0"/>
        <w:ind w:firstLine="360"/>
        <w:jc w:val="both"/>
        <w:rPr>
          <w:color w:val="000000"/>
          <w:sz w:val="22"/>
          <w:szCs w:val="22"/>
          <w:lang w:val="es-ES" w:eastAsia="en-GB"/>
        </w:rPr>
      </w:pPr>
      <w:r w:rsidRPr="002F21D4">
        <w:rPr>
          <w:color w:val="000000"/>
          <w:sz w:val="22"/>
          <w:szCs w:val="22"/>
          <w:lang w:val="es-ES" w:eastAsia="en-GB"/>
        </w:rPr>
        <w:t>En este contexto de mayor deseo y menor posibilidad de participación, las aspiraciones ciudadanas se vieron volcadas en la reanudación de las movilizaciones sociales que empezaron el 28 de abril y se extendieron hasta finales de junio, a pesar del nuevo pico de contagio</w:t>
      </w:r>
      <w:r w:rsidR="00221D28" w:rsidRPr="002F21D4">
        <w:rPr>
          <w:color w:val="000000"/>
          <w:sz w:val="22"/>
          <w:szCs w:val="22"/>
          <w:lang w:val="es-ES" w:eastAsia="en-GB"/>
        </w:rPr>
        <w:t>s por COVID-19. Estas protestas</w:t>
      </w:r>
      <w:r w:rsidRPr="002F21D4">
        <w:rPr>
          <w:color w:val="000000"/>
          <w:sz w:val="22"/>
          <w:szCs w:val="22"/>
          <w:lang w:val="es-ES" w:eastAsia="en-GB"/>
        </w:rPr>
        <w:t>, en el marco del Paro Nacional, fueron impulsadas por una ciudadanía amplia y diversa. No solo los s</w:t>
      </w:r>
      <w:r w:rsidR="00221D28" w:rsidRPr="002F21D4">
        <w:rPr>
          <w:color w:val="000000"/>
          <w:sz w:val="22"/>
          <w:szCs w:val="22"/>
          <w:lang w:val="es-ES" w:eastAsia="en-GB"/>
        </w:rPr>
        <w:t>ectores tradicionales gremiales</w:t>
      </w:r>
      <w:r w:rsidRPr="002F21D4">
        <w:rPr>
          <w:color w:val="000000"/>
          <w:sz w:val="22"/>
          <w:szCs w:val="22"/>
          <w:lang w:val="es-ES" w:eastAsia="en-GB"/>
        </w:rPr>
        <w:t xml:space="preserve"> representados en el Comité Nacional del Paro se tomaron las calles</w:t>
      </w:r>
      <w:r w:rsidR="00CC3C7C" w:rsidRPr="002F21D4">
        <w:rPr>
          <w:color w:val="000000"/>
          <w:sz w:val="22"/>
          <w:szCs w:val="22"/>
          <w:lang w:val="es-ES" w:eastAsia="en-GB"/>
        </w:rPr>
        <w:t>,</w:t>
      </w:r>
      <w:r w:rsidRPr="002F21D4">
        <w:rPr>
          <w:color w:val="000000"/>
          <w:sz w:val="22"/>
          <w:szCs w:val="22"/>
          <w:lang w:val="es-ES" w:eastAsia="en-GB"/>
        </w:rPr>
        <w:t xml:space="preserve"> sino una multitud variada que manifestó su necesidad de participar en la toma de decisiones que les afectan. En las protestas fue notable la diversidad de las reivindicaciones, posiciones e intereses sectoriales, así como los liderazgos territoriales emergentes. </w:t>
      </w:r>
    </w:p>
    <w:p w14:paraId="2B587054" w14:textId="77777777" w:rsidR="002F21D4" w:rsidRPr="002F21D4" w:rsidRDefault="002F21D4" w:rsidP="00B06FB8">
      <w:pPr>
        <w:shd w:val="clear" w:color="auto" w:fill="FFFFFF"/>
        <w:snapToGrid w:val="0"/>
        <w:ind w:firstLine="284"/>
        <w:jc w:val="both"/>
        <w:rPr>
          <w:color w:val="000000"/>
          <w:sz w:val="22"/>
          <w:szCs w:val="22"/>
          <w:lang w:val="es-ES" w:eastAsia="en-GB"/>
        </w:rPr>
      </w:pPr>
    </w:p>
    <w:p w14:paraId="025C6494" w14:textId="21393950" w:rsidR="006B28C7" w:rsidRPr="002F21D4" w:rsidRDefault="00A5017D" w:rsidP="00B06FB8">
      <w:pPr>
        <w:shd w:val="clear" w:color="auto" w:fill="FFFFFF"/>
        <w:snapToGrid w:val="0"/>
        <w:ind w:firstLine="284"/>
        <w:jc w:val="both"/>
        <w:rPr>
          <w:color w:val="000000"/>
          <w:sz w:val="22"/>
          <w:szCs w:val="22"/>
          <w:lang w:val="es-ES" w:eastAsia="en-GB"/>
        </w:rPr>
      </w:pPr>
      <w:r w:rsidRPr="002F21D4">
        <w:rPr>
          <w:color w:val="000000"/>
          <w:sz w:val="22"/>
          <w:szCs w:val="22"/>
          <w:lang w:val="es-ES" w:eastAsia="en-GB"/>
        </w:rPr>
        <w:t> </w:t>
      </w:r>
      <w:r w:rsidR="001E210A" w:rsidRPr="002F21D4">
        <w:rPr>
          <w:color w:val="000000"/>
          <w:sz w:val="22"/>
          <w:szCs w:val="22"/>
          <w:lang w:val="es-ES" w:eastAsia="en-GB"/>
        </w:rPr>
        <w:t xml:space="preserve">Las ciudades de Cali, Medellín, Bogotá, Barranquilla, Bucaramanga, Pereira y Manizales y los departamentos de Cauca, Nariño, Valle del Cauca, Norte de Santander y Meta fueron los lugares de mayor concentración por la protesta social. La Minga Indígena del Suroccidente también hizo presencia en Cali, volviéndose esta ciudad el punto central de la </w:t>
      </w:r>
      <w:r w:rsidR="001E210A" w:rsidRPr="002F21D4">
        <w:rPr>
          <w:color w:val="000000"/>
          <w:sz w:val="22"/>
          <w:szCs w:val="22"/>
          <w:lang w:val="es-ES"/>
        </w:rPr>
        <w:t>movilización</w:t>
      </w:r>
      <w:r w:rsidR="001E210A" w:rsidRPr="002F21D4">
        <w:rPr>
          <w:color w:val="000000"/>
          <w:sz w:val="22"/>
          <w:szCs w:val="22"/>
          <w:lang w:val="es-ES" w:eastAsia="en-GB"/>
        </w:rPr>
        <w:t xml:space="preserve"> nacional.</w:t>
      </w:r>
      <w:r w:rsidR="006B28C7" w:rsidRPr="002F21D4">
        <w:rPr>
          <w:color w:val="000000"/>
          <w:sz w:val="22"/>
          <w:szCs w:val="22"/>
          <w:lang w:val="es-ES" w:eastAsia="en-GB"/>
        </w:rPr>
        <w:t xml:space="preserve"> </w:t>
      </w:r>
    </w:p>
    <w:p w14:paraId="1CC4B87C" w14:textId="77777777" w:rsidR="002F21D4" w:rsidRPr="002F21D4" w:rsidRDefault="002F21D4" w:rsidP="00B06FB8">
      <w:pPr>
        <w:shd w:val="clear" w:color="auto" w:fill="FFFFFF"/>
        <w:snapToGrid w:val="0"/>
        <w:ind w:firstLine="284"/>
        <w:jc w:val="both"/>
        <w:rPr>
          <w:color w:val="000000"/>
          <w:sz w:val="22"/>
          <w:szCs w:val="22"/>
          <w:lang w:val="es-ES" w:eastAsia="en-GB"/>
        </w:rPr>
      </w:pPr>
    </w:p>
    <w:p w14:paraId="01DE171F" w14:textId="7ADA1E2E" w:rsidR="008A1D90" w:rsidRPr="002F21D4" w:rsidRDefault="008A1D90" w:rsidP="00B06FB8">
      <w:pPr>
        <w:shd w:val="clear" w:color="auto" w:fill="FFFFFF"/>
        <w:snapToGrid w:val="0"/>
        <w:ind w:firstLine="284"/>
        <w:jc w:val="both"/>
        <w:rPr>
          <w:color w:val="000000"/>
          <w:sz w:val="22"/>
          <w:szCs w:val="22"/>
          <w:lang w:val="es-ES" w:eastAsia="en-GB"/>
        </w:rPr>
      </w:pPr>
      <w:r w:rsidRPr="002F21D4">
        <w:rPr>
          <w:color w:val="000000"/>
          <w:sz w:val="22"/>
          <w:szCs w:val="22"/>
          <w:lang w:val="es-ES" w:eastAsia="en-GB"/>
        </w:rPr>
        <w:t xml:space="preserve">El Estado colombiano reportó que, entre el 28 de abril y el 4 de junio, en el marco del paro nacional, se realizaron 12.478 protestas en 862 municipios de los 32 departamentos, que incluyen: 6.328 concentraciones, 2.300 marchas, 3.190 bloqueos, 632 movilizaciones y 28 asambleas. El 89% de las protestas, esto es 11.060, se desarrollaron sin registrar hechos de violencia y contaron con el acompañamiento de las personerías municipales, gestores de convivencia, </w:t>
      </w:r>
      <w:proofErr w:type="gramStart"/>
      <w:r w:rsidRPr="002F21D4">
        <w:rPr>
          <w:color w:val="000000"/>
          <w:sz w:val="22"/>
          <w:szCs w:val="22"/>
          <w:lang w:val="es-ES" w:eastAsia="en-GB"/>
        </w:rPr>
        <w:t>funcionarios</w:t>
      </w:r>
      <w:r w:rsidR="00E34368" w:rsidRPr="002F21D4">
        <w:rPr>
          <w:color w:val="000000"/>
          <w:sz w:val="22"/>
          <w:szCs w:val="22"/>
          <w:lang w:val="es-ES" w:eastAsia="en-GB"/>
        </w:rPr>
        <w:t xml:space="preserve"> y funcionarias</w:t>
      </w:r>
      <w:proofErr w:type="gramEnd"/>
      <w:r w:rsidRPr="002F21D4">
        <w:rPr>
          <w:color w:val="000000"/>
          <w:sz w:val="22"/>
          <w:szCs w:val="22"/>
          <w:lang w:val="es-ES" w:eastAsia="en-GB"/>
        </w:rPr>
        <w:t xml:space="preserve"> de la defensoría del pueblo y agentes policiales</w:t>
      </w:r>
      <w:r w:rsidR="0079794E" w:rsidRPr="002F21D4">
        <w:rPr>
          <w:rStyle w:val="FootnoteReference"/>
          <w:color w:val="000000"/>
          <w:sz w:val="22"/>
          <w:szCs w:val="22"/>
          <w:lang w:val="es-ES" w:eastAsia="en-GB"/>
        </w:rPr>
        <w:footnoteReference w:id="78"/>
      </w:r>
      <w:r w:rsidRPr="002F21D4">
        <w:rPr>
          <w:color w:val="000000"/>
          <w:sz w:val="22"/>
          <w:szCs w:val="22"/>
          <w:lang w:val="es-ES" w:eastAsia="en-GB"/>
        </w:rPr>
        <w:t>.</w:t>
      </w:r>
    </w:p>
    <w:p w14:paraId="3515BF5E" w14:textId="77777777" w:rsidR="002F21D4" w:rsidRPr="002F21D4" w:rsidRDefault="002F21D4" w:rsidP="00B06FB8">
      <w:pPr>
        <w:shd w:val="clear" w:color="auto" w:fill="FFFFFF"/>
        <w:snapToGrid w:val="0"/>
        <w:ind w:firstLine="284"/>
        <w:jc w:val="both"/>
        <w:rPr>
          <w:color w:val="000000"/>
          <w:sz w:val="22"/>
          <w:szCs w:val="22"/>
          <w:lang w:val="es-ES" w:eastAsia="en-GB"/>
        </w:rPr>
      </w:pPr>
    </w:p>
    <w:p w14:paraId="73BB62AB" w14:textId="41E62492" w:rsidR="00A5017D" w:rsidRPr="002F21D4" w:rsidRDefault="00A5017D" w:rsidP="00B06FB8">
      <w:pPr>
        <w:shd w:val="clear" w:color="auto" w:fill="FFFFFF"/>
        <w:snapToGrid w:val="0"/>
        <w:ind w:firstLine="284"/>
        <w:jc w:val="both"/>
        <w:rPr>
          <w:color w:val="000000"/>
          <w:sz w:val="22"/>
          <w:szCs w:val="22"/>
          <w:lang w:val="es-ES" w:eastAsia="en-GB"/>
        </w:rPr>
      </w:pPr>
      <w:r w:rsidRPr="002F21D4">
        <w:rPr>
          <w:color w:val="000000"/>
          <w:sz w:val="22"/>
          <w:szCs w:val="22"/>
          <w:lang w:val="es-ES" w:eastAsia="en-GB"/>
        </w:rPr>
        <w:t>A pesar de</w:t>
      </w:r>
      <w:r w:rsidR="0076499D" w:rsidRPr="002F21D4">
        <w:rPr>
          <w:color w:val="000000"/>
          <w:sz w:val="22"/>
          <w:szCs w:val="22"/>
          <w:lang w:val="es-ES" w:eastAsia="en-GB"/>
        </w:rPr>
        <w:t xml:space="preserve"> haber sido</w:t>
      </w:r>
      <w:r w:rsidRPr="002F21D4">
        <w:rPr>
          <w:color w:val="000000"/>
          <w:sz w:val="22"/>
          <w:szCs w:val="22"/>
          <w:lang w:val="es-ES" w:eastAsia="en-GB"/>
        </w:rPr>
        <w:t xml:space="preserve"> unas </w:t>
      </w:r>
      <w:r w:rsidRPr="002F21D4">
        <w:rPr>
          <w:color w:val="000000"/>
          <w:sz w:val="22"/>
          <w:szCs w:val="22"/>
          <w:lang w:val="es-ES"/>
        </w:rPr>
        <w:t>protestas sociales</w:t>
      </w:r>
      <w:r w:rsidRPr="002F21D4">
        <w:rPr>
          <w:color w:val="000000"/>
          <w:sz w:val="22"/>
          <w:szCs w:val="22"/>
          <w:lang w:val="es-ES" w:eastAsia="en-GB"/>
        </w:rPr>
        <w:t xml:space="preserve"> mayoritariamente pacíficas, algunas escalaron a enfrentamientos violentos</w:t>
      </w:r>
      <w:r w:rsidR="0076499D" w:rsidRPr="002F21D4">
        <w:rPr>
          <w:color w:val="000000"/>
          <w:sz w:val="22"/>
          <w:szCs w:val="22"/>
          <w:lang w:val="es-ES" w:eastAsia="en-GB"/>
        </w:rPr>
        <w:t xml:space="preserve"> con</w:t>
      </w:r>
      <w:r w:rsidRPr="002F21D4">
        <w:rPr>
          <w:color w:val="000000"/>
          <w:sz w:val="22"/>
          <w:szCs w:val="22"/>
          <w:lang w:val="es-ES" w:eastAsia="en-GB"/>
        </w:rPr>
        <w:t xml:space="preserve"> graves </w:t>
      </w:r>
      <w:r w:rsidR="0076499D" w:rsidRPr="002F21D4">
        <w:rPr>
          <w:color w:val="000000"/>
          <w:sz w:val="22"/>
          <w:szCs w:val="22"/>
          <w:lang w:val="es-ES" w:eastAsia="en-GB"/>
        </w:rPr>
        <w:t>afectaciones a</w:t>
      </w:r>
      <w:r w:rsidRPr="002F21D4">
        <w:rPr>
          <w:color w:val="000000"/>
          <w:sz w:val="22"/>
          <w:szCs w:val="22"/>
          <w:lang w:val="es-ES" w:eastAsia="en-GB"/>
        </w:rPr>
        <w:t xml:space="preserve"> la vida</w:t>
      </w:r>
      <w:r w:rsidR="001759D6" w:rsidRPr="002F21D4">
        <w:rPr>
          <w:color w:val="000000"/>
          <w:sz w:val="22"/>
          <w:szCs w:val="22"/>
          <w:lang w:val="es-ES" w:eastAsia="en-GB"/>
        </w:rPr>
        <w:t>, libertad</w:t>
      </w:r>
      <w:r w:rsidR="00E20518" w:rsidRPr="002F21D4">
        <w:rPr>
          <w:color w:val="000000"/>
          <w:sz w:val="22"/>
          <w:szCs w:val="22"/>
          <w:lang w:val="es-ES" w:eastAsia="en-GB"/>
        </w:rPr>
        <w:t xml:space="preserve"> </w:t>
      </w:r>
      <w:r w:rsidRPr="002F21D4">
        <w:rPr>
          <w:color w:val="000000"/>
          <w:sz w:val="22"/>
          <w:szCs w:val="22"/>
          <w:lang w:val="es-ES" w:eastAsia="en-GB"/>
        </w:rPr>
        <w:t>e integridad personal</w:t>
      </w:r>
      <w:r w:rsidR="0076499D" w:rsidRPr="002F21D4">
        <w:rPr>
          <w:color w:val="000000"/>
          <w:sz w:val="22"/>
          <w:szCs w:val="22"/>
          <w:lang w:val="es-ES" w:eastAsia="en-GB"/>
        </w:rPr>
        <w:t xml:space="preserve">. Como consecuencia </w:t>
      </w:r>
      <w:r w:rsidR="00BD5190" w:rsidRPr="002F21D4">
        <w:rPr>
          <w:color w:val="000000"/>
          <w:sz w:val="22"/>
          <w:szCs w:val="22"/>
          <w:lang w:val="es-ES" w:eastAsia="en-GB"/>
        </w:rPr>
        <w:t>decenas de personas resultaron muertas,</w:t>
      </w:r>
      <w:r w:rsidR="001759D6" w:rsidRPr="002F21D4">
        <w:rPr>
          <w:color w:val="000000"/>
          <w:sz w:val="22"/>
          <w:szCs w:val="22"/>
          <w:lang w:val="es-ES" w:eastAsia="en-GB"/>
        </w:rPr>
        <w:t xml:space="preserve"> miles</w:t>
      </w:r>
      <w:r w:rsidR="00BD5190" w:rsidRPr="002F21D4">
        <w:rPr>
          <w:color w:val="000000"/>
          <w:sz w:val="22"/>
          <w:szCs w:val="22"/>
          <w:lang w:val="es-ES" w:eastAsia="en-GB"/>
        </w:rPr>
        <w:t xml:space="preserve"> de personas </w:t>
      </w:r>
      <w:r w:rsidR="001759D6" w:rsidRPr="002F21D4">
        <w:rPr>
          <w:color w:val="000000"/>
          <w:sz w:val="22"/>
          <w:szCs w:val="22"/>
          <w:lang w:val="es-ES" w:eastAsia="en-GB"/>
        </w:rPr>
        <w:t xml:space="preserve">heridas, </w:t>
      </w:r>
      <w:r w:rsidR="001759D6" w:rsidRPr="002F21D4">
        <w:rPr>
          <w:color w:val="000000" w:themeColor="text1"/>
          <w:sz w:val="22"/>
          <w:szCs w:val="22"/>
          <w:bdr w:val="none" w:sz="0" w:space="0" w:color="auto" w:frame="1"/>
        </w:rPr>
        <w:t>sin localización</w:t>
      </w:r>
      <w:r w:rsidR="00E65750" w:rsidRPr="002F21D4">
        <w:rPr>
          <w:rStyle w:val="FootnoteReference"/>
          <w:color w:val="000000" w:themeColor="text1"/>
          <w:sz w:val="22"/>
          <w:szCs w:val="22"/>
          <w:bdr w:val="none" w:sz="0" w:space="0" w:color="auto" w:frame="1"/>
        </w:rPr>
        <w:footnoteReference w:id="79"/>
      </w:r>
      <w:r w:rsidR="001759D6" w:rsidRPr="002F21D4">
        <w:rPr>
          <w:color w:val="000000" w:themeColor="text1"/>
          <w:sz w:val="22"/>
          <w:szCs w:val="22"/>
          <w:bdr w:val="none" w:sz="0" w:space="0" w:color="auto" w:frame="1"/>
        </w:rPr>
        <w:t xml:space="preserve"> y detenidas</w:t>
      </w:r>
      <w:r w:rsidR="00BD5190" w:rsidRPr="002F21D4">
        <w:rPr>
          <w:color w:val="000000" w:themeColor="text1"/>
          <w:sz w:val="22"/>
          <w:szCs w:val="22"/>
          <w:bdr w:val="none" w:sz="0" w:space="0" w:color="auto" w:frame="1"/>
        </w:rPr>
        <w:t>. También se presentaron</w:t>
      </w:r>
      <w:r w:rsidR="001759D6" w:rsidRPr="002F21D4">
        <w:rPr>
          <w:color w:val="000000"/>
          <w:sz w:val="22"/>
          <w:szCs w:val="22"/>
          <w:lang w:val="es-ES" w:eastAsia="en-GB"/>
        </w:rPr>
        <w:t xml:space="preserve"> ataques a misiones médicas</w:t>
      </w:r>
      <w:r w:rsidR="00BD5190" w:rsidRPr="002F21D4">
        <w:rPr>
          <w:color w:val="000000"/>
          <w:sz w:val="22"/>
          <w:szCs w:val="22"/>
          <w:lang w:val="es-ES" w:eastAsia="en-GB"/>
        </w:rPr>
        <w:t xml:space="preserve"> y</w:t>
      </w:r>
      <w:r w:rsidR="001759D6" w:rsidRPr="002F21D4">
        <w:rPr>
          <w:color w:val="000000"/>
          <w:sz w:val="22"/>
          <w:szCs w:val="22"/>
          <w:lang w:val="es-ES" w:eastAsia="en-GB"/>
        </w:rPr>
        <w:t xml:space="preserve"> decenas de casos de violencia de género en contra de mujeres y personas con orientación sexual e identidad de género diversas, entre otras.</w:t>
      </w:r>
      <w:r w:rsidR="00E20518" w:rsidRPr="002F21D4">
        <w:rPr>
          <w:color w:val="000000"/>
          <w:sz w:val="22"/>
          <w:szCs w:val="22"/>
          <w:lang w:val="es-ES" w:eastAsia="en-GB"/>
        </w:rPr>
        <w:t xml:space="preserve"> </w:t>
      </w:r>
      <w:r w:rsidR="00164092" w:rsidRPr="002F21D4">
        <w:rPr>
          <w:color w:val="000000"/>
          <w:sz w:val="22"/>
          <w:szCs w:val="22"/>
          <w:lang w:val="es-ES" w:eastAsia="en-GB"/>
        </w:rPr>
        <w:t>Todos e</w:t>
      </w:r>
      <w:r w:rsidR="00E20518" w:rsidRPr="002F21D4">
        <w:rPr>
          <w:color w:val="000000"/>
          <w:sz w:val="22"/>
          <w:szCs w:val="22"/>
          <w:lang w:val="es-ES" w:eastAsia="en-GB"/>
        </w:rPr>
        <w:t>stos hechos violentos afectaron</w:t>
      </w:r>
      <w:r w:rsidRPr="002F21D4">
        <w:rPr>
          <w:color w:val="000000"/>
          <w:sz w:val="22"/>
          <w:szCs w:val="22"/>
          <w:lang w:val="es-ES" w:eastAsia="en-GB"/>
        </w:rPr>
        <w:t xml:space="preserve"> tanto </w:t>
      </w:r>
      <w:r w:rsidR="00E20518" w:rsidRPr="002F21D4">
        <w:rPr>
          <w:color w:val="000000"/>
          <w:sz w:val="22"/>
          <w:szCs w:val="22"/>
          <w:lang w:val="es-ES" w:eastAsia="en-GB"/>
        </w:rPr>
        <w:t>a</w:t>
      </w:r>
      <w:r w:rsidRPr="002F21D4">
        <w:rPr>
          <w:color w:val="000000"/>
          <w:sz w:val="22"/>
          <w:szCs w:val="22"/>
          <w:lang w:val="es-ES" w:eastAsia="en-GB"/>
        </w:rPr>
        <w:t xml:space="preserve"> participantes de la protesta como </w:t>
      </w:r>
      <w:r w:rsidR="007A0AAF" w:rsidRPr="002F21D4">
        <w:rPr>
          <w:color w:val="000000"/>
          <w:sz w:val="22"/>
          <w:szCs w:val="22"/>
          <w:lang w:val="es-ES" w:eastAsia="en-GB"/>
        </w:rPr>
        <w:t>integrantes</w:t>
      </w:r>
      <w:r w:rsidRPr="002F21D4">
        <w:rPr>
          <w:color w:val="000000"/>
          <w:sz w:val="22"/>
          <w:szCs w:val="22"/>
          <w:lang w:val="es-ES" w:eastAsia="en-GB"/>
        </w:rPr>
        <w:t xml:space="preserve"> de la fuerza pública, principalmente la Policía Nacional.</w:t>
      </w:r>
      <w:r w:rsidR="00B3338F" w:rsidRPr="002F21D4">
        <w:rPr>
          <w:color w:val="000000"/>
          <w:sz w:val="22"/>
          <w:szCs w:val="22"/>
          <w:lang w:val="es-ES" w:eastAsia="en-GB"/>
        </w:rPr>
        <w:t xml:space="preserve"> </w:t>
      </w:r>
      <w:r w:rsidRPr="002F21D4">
        <w:rPr>
          <w:color w:val="000000"/>
          <w:sz w:val="22"/>
          <w:szCs w:val="22"/>
          <w:lang w:val="es-ES" w:eastAsia="en-GB"/>
        </w:rPr>
        <w:t xml:space="preserve">Como tendencia se observó que los disturbios y acciones violentas ocurrieron en horas de la tarde y noche. En esos momentos, igualmente, se presentaron la mayoría de los actos de uso excesivo de la fuerza denunciados por los manifestantes. </w:t>
      </w:r>
    </w:p>
    <w:p w14:paraId="270F63A9" w14:textId="1E5B5A2F" w:rsidR="007B1DCD" w:rsidRPr="002F21D4" w:rsidRDefault="006A1F54" w:rsidP="00B06FB8">
      <w:pPr>
        <w:shd w:val="clear" w:color="auto" w:fill="FFFFFF"/>
        <w:snapToGrid w:val="0"/>
        <w:ind w:firstLine="284"/>
        <w:jc w:val="both"/>
        <w:rPr>
          <w:sz w:val="22"/>
          <w:szCs w:val="22"/>
          <w:lang w:eastAsia="en-GB"/>
        </w:rPr>
      </w:pPr>
      <w:r w:rsidRPr="002F21D4">
        <w:rPr>
          <w:sz w:val="22"/>
          <w:szCs w:val="22"/>
          <w:lang w:eastAsia="en-GB"/>
        </w:rPr>
        <w:lastRenderedPageBreak/>
        <w:t>L</w:t>
      </w:r>
      <w:r w:rsidR="007B1DCD" w:rsidRPr="002F21D4">
        <w:rPr>
          <w:sz w:val="22"/>
          <w:szCs w:val="22"/>
          <w:lang w:eastAsia="en-GB"/>
        </w:rPr>
        <w:t xml:space="preserve">a Consejería Presidencial para los Derechos Humanos y Asuntos Internacionales </w:t>
      </w:r>
      <w:r w:rsidR="002F3EAF" w:rsidRPr="002F21D4">
        <w:rPr>
          <w:sz w:val="22"/>
          <w:szCs w:val="22"/>
          <w:lang w:eastAsia="en-GB"/>
        </w:rPr>
        <w:t>registró</w:t>
      </w:r>
      <w:r w:rsidR="007B1DCD" w:rsidRPr="002F21D4">
        <w:rPr>
          <w:sz w:val="22"/>
          <w:szCs w:val="22"/>
          <w:lang w:eastAsia="en-GB"/>
        </w:rPr>
        <w:t xml:space="preserve"> que</w:t>
      </w:r>
      <w:r w:rsidR="001D3AF6" w:rsidRPr="002F21D4">
        <w:rPr>
          <w:sz w:val="22"/>
          <w:szCs w:val="22"/>
          <w:lang w:eastAsia="en-GB"/>
        </w:rPr>
        <w:t xml:space="preserve">, </w:t>
      </w:r>
      <w:r w:rsidR="007B1DCD" w:rsidRPr="002F21D4">
        <w:rPr>
          <w:sz w:val="22"/>
          <w:szCs w:val="22"/>
          <w:lang w:eastAsia="en-GB"/>
        </w:rPr>
        <w:t>entre el 28 de abril y el 13 de junio</w:t>
      </w:r>
      <w:r w:rsidR="001D3AF6" w:rsidRPr="002F21D4">
        <w:rPr>
          <w:sz w:val="22"/>
          <w:szCs w:val="22"/>
          <w:lang w:eastAsia="en-GB"/>
        </w:rPr>
        <w:t>,</w:t>
      </w:r>
      <w:r w:rsidR="007B1DCD" w:rsidRPr="002F21D4">
        <w:rPr>
          <w:sz w:val="22"/>
          <w:szCs w:val="22"/>
          <w:lang w:eastAsia="en-GB"/>
        </w:rPr>
        <w:t xml:space="preserve"> </w:t>
      </w:r>
      <w:r w:rsidR="007D177E" w:rsidRPr="002F21D4">
        <w:rPr>
          <w:sz w:val="22"/>
          <w:szCs w:val="22"/>
          <w:lang w:eastAsia="en-GB"/>
        </w:rPr>
        <w:t xml:space="preserve">fueron lesionadas </w:t>
      </w:r>
      <w:r w:rsidR="007B1DCD" w:rsidRPr="002F21D4">
        <w:rPr>
          <w:sz w:val="22"/>
          <w:szCs w:val="22"/>
          <w:lang w:eastAsia="en-GB"/>
        </w:rPr>
        <w:t>1.140 personas civiles y 1.454 uniformados</w:t>
      </w:r>
      <w:r w:rsidR="002F3EAF" w:rsidRPr="002F21D4">
        <w:rPr>
          <w:sz w:val="22"/>
          <w:szCs w:val="22"/>
          <w:lang w:eastAsia="en-GB"/>
        </w:rPr>
        <w:t>; y</w:t>
      </w:r>
      <w:r w:rsidR="007B1DCD" w:rsidRPr="002F21D4">
        <w:rPr>
          <w:sz w:val="22"/>
          <w:szCs w:val="22"/>
          <w:lang w:eastAsia="en-GB"/>
        </w:rPr>
        <w:t xml:space="preserve"> </w:t>
      </w:r>
      <w:r w:rsidR="002F3EAF" w:rsidRPr="002F21D4">
        <w:rPr>
          <w:sz w:val="22"/>
          <w:szCs w:val="22"/>
          <w:lang w:eastAsia="en-GB"/>
        </w:rPr>
        <w:t xml:space="preserve">también registró </w:t>
      </w:r>
      <w:r w:rsidR="007B1DCD" w:rsidRPr="002F21D4">
        <w:rPr>
          <w:sz w:val="22"/>
          <w:szCs w:val="22"/>
          <w:lang w:eastAsia="en-GB"/>
        </w:rPr>
        <w:t xml:space="preserve">113 hechos de violencia </w:t>
      </w:r>
      <w:r w:rsidR="002F3EAF" w:rsidRPr="002F21D4">
        <w:rPr>
          <w:sz w:val="22"/>
          <w:szCs w:val="22"/>
          <w:lang w:eastAsia="en-GB"/>
        </w:rPr>
        <w:t>de</w:t>
      </w:r>
      <w:r w:rsidR="007B1DCD" w:rsidRPr="002F21D4">
        <w:rPr>
          <w:sz w:val="22"/>
          <w:szCs w:val="22"/>
          <w:lang w:eastAsia="en-GB"/>
        </w:rPr>
        <w:t xml:space="preserve"> género</w:t>
      </w:r>
      <w:r w:rsidR="007B1DCD" w:rsidRPr="002F21D4">
        <w:rPr>
          <w:sz w:val="22"/>
          <w:szCs w:val="22"/>
          <w:vertAlign w:val="superscript"/>
          <w:lang w:eastAsia="en-GB"/>
        </w:rPr>
        <w:footnoteReference w:id="80"/>
      </w:r>
      <w:r w:rsidR="007B1DCD" w:rsidRPr="002F21D4">
        <w:rPr>
          <w:sz w:val="22"/>
          <w:szCs w:val="22"/>
          <w:lang w:eastAsia="en-GB"/>
        </w:rPr>
        <w:t>. E</w:t>
      </w:r>
      <w:r w:rsidR="00865922" w:rsidRPr="002F21D4">
        <w:rPr>
          <w:sz w:val="22"/>
          <w:szCs w:val="22"/>
          <w:lang w:eastAsia="en-GB"/>
        </w:rPr>
        <w:t>n contraste,</w:t>
      </w:r>
      <w:r w:rsidR="00451F47" w:rsidRPr="002F21D4">
        <w:rPr>
          <w:sz w:val="22"/>
          <w:szCs w:val="22"/>
          <w:lang w:eastAsia="en-GB"/>
        </w:rPr>
        <w:t xml:space="preserve"> </w:t>
      </w:r>
      <w:r w:rsidR="00865922" w:rsidRPr="002F21D4">
        <w:rPr>
          <w:sz w:val="22"/>
          <w:szCs w:val="22"/>
          <w:lang w:eastAsia="en-GB"/>
        </w:rPr>
        <w:t>organizaciones</w:t>
      </w:r>
      <w:r w:rsidR="00451F47" w:rsidRPr="002F21D4">
        <w:rPr>
          <w:sz w:val="22"/>
          <w:szCs w:val="22"/>
          <w:lang w:eastAsia="en-GB"/>
        </w:rPr>
        <w:t xml:space="preserve"> sociales, entre ellas, e</w:t>
      </w:r>
      <w:r w:rsidR="007B1DCD" w:rsidRPr="002F21D4">
        <w:rPr>
          <w:sz w:val="22"/>
          <w:szCs w:val="22"/>
          <w:lang w:eastAsia="en-GB"/>
        </w:rPr>
        <w:t>l Instituto de Estudios para el Desarrollo y la Paz (INDEPAZ) y la ONG Temblores</w:t>
      </w:r>
      <w:r w:rsidR="00451F47" w:rsidRPr="002F21D4">
        <w:rPr>
          <w:sz w:val="22"/>
          <w:szCs w:val="22"/>
          <w:lang w:eastAsia="en-GB"/>
        </w:rPr>
        <w:t xml:space="preserve"> reportaron un total de 3.486 casos de violencia policial dentro de los que se incluyen homicidios con presunta responsabilidad de la fuerza pública, víctimas de violencia ocular, víctimas de agresiones físicas y de violencia sexual</w:t>
      </w:r>
      <w:r w:rsidR="00451F47" w:rsidRPr="002F21D4">
        <w:rPr>
          <w:sz w:val="22"/>
          <w:szCs w:val="22"/>
          <w:vertAlign w:val="superscript"/>
          <w:lang w:eastAsia="en-GB"/>
        </w:rPr>
        <w:footnoteReference w:id="81"/>
      </w:r>
      <w:r w:rsidR="00451F47" w:rsidRPr="002F21D4">
        <w:rPr>
          <w:sz w:val="22"/>
          <w:szCs w:val="22"/>
          <w:lang w:eastAsia="en-GB"/>
        </w:rPr>
        <w:t>; registros producto</w:t>
      </w:r>
      <w:r w:rsidR="007B1DCD" w:rsidRPr="002F21D4">
        <w:rPr>
          <w:sz w:val="22"/>
          <w:szCs w:val="22"/>
          <w:lang w:eastAsia="en-GB"/>
        </w:rPr>
        <w:t xml:space="preserve"> de la recopilación de información brindada por defensores</w:t>
      </w:r>
      <w:r w:rsidR="00AC2499" w:rsidRPr="002F21D4">
        <w:rPr>
          <w:sz w:val="22"/>
          <w:szCs w:val="22"/>
          <w:lang w:eastAsia="en-GB"/>
        </w:rPr>
        <w:t xml:space="preserve"> y defensoras</w:t>
      </w:r>
      <w:r w:rsidR="007B1DCD" w:rsidRPr="002F21D4">
        <w:rPr>
          <w:sz w:val="22"/>
          <w:szCs w:val="22"/>
          <w:lang w:eastAsia="en-GB"/>
        </w:rPr>
        <w:t xml:space="preserve"> de </w:t>
      </w:r>
      <w:r w:rsidR="00AC2499" w:rsidRPr="002F21D4">
        <w:rPr>
          <w:sz w:val="22"/>
          <w:szCs w:val="22"/>
          <w:lang w:eastAsia="en-GB"/>
        </w:rPr>
        <w:t>derechos humanos</w:t>
      </w:r>
      <w:r w:rsidR="007B1DCD" w:rsidRPr="002F21D4">
        <w:rPr>
          <w:sz w:val="22"/>
          <w:szCs w:val="22"/>
          <w:lang w:eastAsia="en-GB"/>
        </w:rPr>
        <w:t>, víctimas y familiares</w:t>
      </w:r>
      <w:r w:rsidR="00451F47" w:rsidRPr="002F21D4">
        <w:rPr>
          <w:sz w:val="22"/>
          <w:szCs w:val="22"/>
          <w:lang w:eastAsia="en-GB"/>
        </w:rPr>
        <w:t xml:space="preserve">. </w:t>
      </w:r>
      <w:r w:rsidR="007B1DCD" w:rsidRPr="002F21D4">
        <w:rPr>
          <w:sz w:val="22"/>
          <w:szCs w:val="22"/>
          <w:lang w:eastAsia="en-GB"/>
        </w:rPr>
        <w:t xml:space="preserve">Asimismo, la Organización Nacional Indígena de Colombia (ONIC) </w:t>
      </w:r>
      <w:r w:rsidR="00935F4F" w:rsidRPr="002F21D4">
        <w:rPr>
          <w:sz w:val="22"/>
          <w:szCs w:val="22"/>
          <w:lang w:eastAsia="en-GB"/>
        </w:rPr>
        <w:t>informó</w:t>
      </w:r>
      <w:r w:rsidR="007B1DCD" w:rsidRPr="002F21D4">
        <w:rPr>
          <w:sz w:val="22"/>
          <w:szCs w:val="22"/>
          <w:lang w:eastAsia="en-GB"/>
        </w:rPr>
        <w:t xml:space="preserve"> que en el marco del Paro Nacional se presentaron 2 homicidios, 3 agresiones físicas, 159 hostigamientos y 21 víctimas de atentados</w:t>
      </w:r>
      <w:r w:rsidR="007B1DCD" w:rsidRPr="002F21D4">
        <w:rPr>
          <w:sz w:val="22"/>
          <w:szCs w:val="22"/>
          <w:vertAlign w:val="superscript"/>
          <w:lang w:eastAsia="en-GB"/>
        </w:rPr>
        <w:footnoteReference w:id="82"/>
      </w:r>
      <w:r w:rsidR="007B1DCD" w:rsidRPr="002F21D4">
        <w:rPr>
          <w:sz w:val="22"/>
          <w:szCs w:val="22"/>
          <w:lang w:eastAsia="en-GB"/>
        </w:rPr>
        <w:t xml:space="preserve">. </w:t>
      </w:r>
    </w:p>
    <w:p w14:paraId="319F792B" w14:textId="77777777" w:rsidR="002F21D4" w:rsidRPr="002F21D4" w:rsidRDefault="002F21D4" w:rsidP="00B06FB8">
      <w:pPr>
        <w:shd w:val="clear" w:color="auto" w:fill="FFFFFF"/>
        <w:snapToGrid w:val="0"/>
        <w:ind w:firstLine="284"/>
        <w:jc w:val="both"/>
        <w:rPr>
          <w:sz w:val="22"/>
          <w:szCs w:val="22"/>
          <w:lang w:eastAsia="en-GB"/>
        </w:rPr>
      </w:pPr>
    </w:p>
    <w:p w14:paraId="080B8F2D" w14:textId="4DF83406" w:rsidR="001D3AF6" w:rsidRPr="002F21D4" w:rsidRDefault="001D3AF6" w:rsidP="00B06FB8">
      <w:pPr>
        <w:shd w:val="clear" w:color="auto" w:fill="FFFFFF"/>
        <w:snapToGrid w:val="0"/>
        <w:ind w:firstLine="360"/>
        <w:jc w:val="both"/>
        <w:rPr>
          <w:color w:val="000000"/>
          <w:sz w:val="22"/>
          <w:szCs w:val="22"/>
          <w:lang w:eastAsia="en-GB"/>
        </w:rPr>
      </w:pPr>
      <w:r w:rsidRPr="002F21D4">
        <w:rPr>
          <w:color w:val="000000"/>
          <w:sz w:val="22"/>
          <w:szCs w:val="22"/>
          <w:lang w:val="es-ES" w:eastAsia="en-GB"/>
        </w:rPr>
        <w:t>En algunas ciudades se presentaron bloqueos viales que se prolongaron por más de un mes,</w:t>
      </w:r>
      <w:r w:rsidR="001303C0" w:rsidRPr="002F21D4">
        <w:rPr>
          <w:color w:val="000000"/>
          <w:sz w:val="22"/>
          <w:szCs w:val="22"/>
          <w:lang w:val="es-ES" w:eastAsia="en-GB"/>
        </w:rPr>
        <w:t xml:space="preserve"> que, </w:t>
      </w:r>
      <w:r w:rsidRPr="002F21D4">
        <w:rPr>
          <w:color w:val="000000"/>
          <w:sz w:val="22"/>
          <w:szCs w:val="22"/>
          <w:lang w:val="es-ES" w:eastAsia="en-GB"/>
        </w:rPr>
        <w:t>en ocasiones, vulneraron el derecho a la vida impidiendo el tránsito de ambulancias y el suministro de insumos médicos</w:t>
      </w:r>
      <w:r w:rsidR="00643BFD" w:rsidRPr="002F21D4">
        <w:rPr>
          <w:color w:val="000000"/>
          <w:sz w:val="22"/>
          <w:szCs w:val="22"/>
          <w:lang w:val="es-ES" w:eastAsia="en-GB"/>
        </w:rPr>
        <w:t>. Estas acciones limitaron el acceso a servicios vitales para la población</w:t>
      </w:r>
      <w:r w:rsidR="00F3091C" w:rsidRPr="002F21D4">
        <w:rPr>
          <w:color w:val="000000"/>
          <w:sz w:val="22"/>
          <w:szCs w:val="22"/>
          <w:lang w:val="es-ES" w:eastAsia="en-GB"/>
        </w:rPr>
        <w:t xml:space="preserve">. También se presentaron ataques a </w:t>
      </w:r>
      <w:r w:rsidR="001303C0" w:rsidRPr="002F21D4">
        <w:rPr>
          <w:color w:val="000000"/>
          <w:sz w:val="22"/>
          <w:szCs w:val="22"/>
          <w:lang w:val="es-ES" w:eastAsia="en-GB"/>
        </w:rPr>
        <w:t>misiones médicas</w:t>
      </w:r>
      <w:r w:rsidR="00643BFD" w:rsidRPr="002F21D4">
        <w:rPr>
          <w:color w:val="000000"/>
          <w:sz w:val="22"/>
          <w:szCs w:val="22"/>
          <w:lang w:val="es-ES" w:eastAsia="en-GB"/>
        </w:rPr>
        <w:t>,</w:t>
      </w:r>
      <w:r w:rsidR="00F3091C" w:rsidRPr="002F21D4">
        <w:rPr>
          <w:sz w:val="22"/>
          <w:szCs w:val="22"/>
        </w:rPr>
        <w:t xml:space="preserve"> </w:t>
      </w:r>
      <w:r w:rsidR="00F3091C" w:rsidRPr="002F21D4">
        <w:rPr>
          <w:color w:val="000000"/>
          <w:sz w:val="22"/>
          <w:szCs w:val="22"/>
          <w:lang w:val="es-ES" w:eastAsia="en-GB"/>
        </w:rPr>
        <w:t>lesiones al personal de salud</w:t>
      </w:r>
      <w:r w:rsidR="007E7BFC" w:rsidRPr="002F21D4">
        <w:rPr>
          <w:color w:val="000000"/>
          <w:sz w:val="22"/>
          <w:szCs w:val="22"/>
          <w:lang w:val="es-ES" w:eastAsia="en-GB"/>
        </w:rPr>
        <w:t xml:space="preserve"> y </w:t>
      </w:r>
      <w:r w:rsidR="00643BFD" w:rsidRPr="002F21D4">
        <w:rPr>
          <w:color w:val="000000"/>
          <w:sz w:val="22"/>
          <w:szCs w:val="22"/>
          <w:lang w:val="es-ES" w:eastAsia="en-GB"/>
        </w:rPr>
        <w:t xml:space="preserve">otras </w:t>
      </w:r>
      <w:r w:rsidR="0090403E" w:rsidRPr="002F21D4">
        <w:rPr>
          <w:color w:val="000000"/>
          <w:sz w:val="22"/>
          <w:szCs w:val="22"/>
          <w:lang w:val="es-ES" w:eastAsia="en-GB"/>
        </w:rPr>
        <w:t xml:space="preserve">vulneraciones </w:t>
      </w:r>
      <w:r w:rsidR="00643BFD" w:rsidRPr="002F21D4">
        <w:rPr>
          <w:color w:val="000000"/>
          <w:sz w:val="22"/>
          <w:szCs w:val="22"/>
          <w:lang w:val="es-ES" w:eastAsia="en-GB"/>
        </w:rPr>
        <w:t xml:space="preserve">como el derecho al trabajo y la libre circulación de la ciudadanía. </w:t>
      </w:r>
      <w:r w:rsidRPr="002F21D4">
        <w:rPr>
          <w:color w:val="000000"/>
          <w:sz w:val="22"/>
          <w:szCs w:val="22"/>
          <w:lang w:val="es-ES" w:eastAsia="en-GB"/>
        </w:rPr>
        <w:t>En medio de estas situaciones, el Gobierno nacional decidió habilitar a las Fuerzas Militares</w:t>
      </w:r>
      <w:r w:rsidRPr="002F21D4">
        <w:rPr>
          <w:rStyle w:val="FootnoteReference"/>
          <w:color w:val="000000"/>
          <w:sz w:val="22"/>
          <w:szCs w:val="22"/>
          <w:lang w:val="es-ES" w:eastAsia="en-GB"/>
        </w:rPr>
        <w:footnoteReference w:id="83"/>
      </w:r>
      <w:r w:rsidRPr="002F21D4">
        <w:rPr>
          <w:color w:val="000000"/>
          <w:sz w:val="22"/>
          <w:szCs w:val="22"/>
          <w:lang w:val="es-ES" w:eastAsia="en-GB"/>
        </w:rPr>
        <w:t xml:space="preserve"> para llevar a cabo acciones de restablecimiento del orden y la seguridad en las vías</w:t>
      </w:r>
      <w:r w:rsidRPr="002F21D4">
        <w:rPr>
          <w:rStyle w:val="FootnoteReference"/>
          <w:color w:val="000000"/>
          <w:sz w:val="22"/>
          <w:szCs w:val="22"/>
          <w:lang w:val="es-ES" w:eastAsia="en-GB"/>
        </w:rPr>
        <w:footnoteReference w:id="84"/>
      </w:r>
      <w:r w:rsidRPr="002F21D4">
        <w:rPr>
          <w:color w:val="000000"/>
          <w:sz w:val="22"/>
          <w:szCs w:val="22"/>
          <w:lang w:val="es-ES" w:eastAsia="en-GB"/>
        </w:rPr>
        <w:t>.</w:t>
      </w:r>
      <w:r w:rsidRPr="002F21D4">
        <w:rPr>
          <w:color w:val="000000"/>
          <w:sz w:val="22"/>
          <w:szCs w:val="22"/>
          <w:lang w:eastAsia="en-GB"/>
        </w:rPr>
        <w:t xml:space="preserve"> </w:t>
      </w:r>
    </w:p>
    <w:p w14:paraId="45F09602" w14:textId="77777777" w:rsidR="002F21D4" w:rsidRPr="002F21D4" w:rsidRDefault="002F21D4" w:rsidP="00B06FB8">
      <w:pPr>
        <w:shd w:val="clear" w:color="auto" w:fill="FFFFFF"/>
        <w:snapToGrid w:val="0"/>
        <w:ind w:firstLine="360"/>
        <w:jc w:val="both"/>
        <w:rPr>
          <w:color w:val="000000"/>
          <w:sz w:val="22"/>
          <w:szCs w:val="22"/>
          <w:lang w:val="es-ES" w:eastAsia="en-GB"/>
        </w:rPr>
      </w:pPr>
    </w:p>
    <w:p w14:paraId="1891ADAA" w14:textId="39B79DAC" w:rsidR="00353E8F" w:rsidRPr="002F21D4" w:rsidRDefault="00D409AE" w:rsidP="00B06FB8">
      <w:pPr>
        <w:shd w:val="clear" w:color="auto" w:fill="FFFFFF"/>
        <w:snapToGrid w:val="0"/>
        <w:ind w:firstLine="360"/>
        <w:jc w:val="both"/>
        <w:rPr>
          <w:color w:val="000000"/>
          <w:sz w:val="22"/>
          <w:szCs w:val="22"/>
          <w:lang w:val="es-ES" w:eastAsia="en-GB"/>
        </w:rPr>
      </w:pPr>
      <w:r w:rsidRPr="002F21D4">
        <w:rPr>
          <w:color w:val="000000"/>
          <w:sz w:val="22"/>
          <w:szCs w:val="22"/>
          <w:lang w:val="es-ES" w:eastAsia="en-GB"/>
        </w:rPr>
        <w:t xml:space="preserve">Adicionalmente, se </w:t>
      </w:r>
      <w:r w:rsidR="00066E95" w:rsidRPr="002F21D4">
        <w:rPr>
          <w:color w:val="000000"/>
          <w:sz w:val="22"/>
          <w:szCs w:val="22"/>
          <w:lang w:val="es-ES" w:eastAsia="en-GB"/>
        </w:rPr>
        <w:t>ocasionaron</w:t>
      </w:r>
      <w:r w:rsidR="00162763" w:rsidRPr="002F21D4">
        <w:rPr>
          <w:color w:val="000000"/>
          <w:sz w:val="22"/>
          <w:szCs w:val="22"/>
          <w:lang w:val="es-ES" w:eastAsia="en-GB"/>
        </w:rPr>
        <w:t xml:space="preserve"> </w:t>
      </w:r>
      <w:r w:rsidRPr="002F21D4">
        <w:rPr>
          <w:color w:val="000000"/>
          <w:sz w:val="22"/>
          <w:szCs w:val="22"/>
          <w:lang w:val="es-ES" w:eastAsia="en-GB"/>
        </w:rPr>
        <w:t xml:space="preserve">daños materiales a bienes públicos y privados y se vulneraron otros derechos de la ciudadanía. Entre </w:t>
      </w:r>
      <w:r w:rsidR="00162763" w:rsidRPr="002F21D4">
        <w:rPr>
          <w:color w:val="000000"/>
          <w:sz w:val="22"/>
          <w:szCs w:val="22"/>
          <w:lang w:val="es-ES" w:eastAsia="en-GB"/>
        </w:rPr>
        <w:t xml:space="preserve">los bienes perjudicados están las </w:t>
      </w:r>
      <w:r w:rsidR="00277B70" w:rsidRPr="002F21D4">
        <w:rPr>
          <w:color w:val="000000"/>
          <w:sz w:val="22"/>
          <w:szCs w:val="22"/>
          <w:lang w:val="es-ES" w:eastAsia="en-GB"/>
        </w:rPr>
        <w:t>instalaciones</w:t>
      </w:r>
      <w:r w:rsidR="00162763" w:rsidRPr="002F21D4">
        <w:rPr>
          <w:color w:val="000000"/>
          <w:sz w:val="22"/>
          <w:szCs w:val="22"/>
          <w:lang w:val="es-ES" w:eastAsia="en-GB"/>
        </w:rPr>
        <w:t xml:space="preserve"> de instituciones y entidades</w:t>
      </w:r>
      <w:r w:rsidR="00277B70" w:rsidRPr="002F21D4">
        <w:rPr>
          <w:color w:val="000000"/>
          <w:sz w:val="22"/>
          <w:szCs w:val="22"/>
          <w:lang w:val="es-ES" w:eastAsia="en-GB"/>
        </w:rPr>
        <w:t xml:space="preserve"> públicas en las ciuda</w:t>
      </w:r>
      <w:r w:rsidR="00162763" w:rsidRPr="002F21D4">
        <w:rPr>
          <w:color w:val="000000"/>
          <w:sz w:val="22"/>
          <w:szCs w:val="22"/>
          <w:lang w:val="es-ES" w:eastAsia="en-GB"/>
        </w:rPr>
        <w:t>des de Popayán, Jamundí y Tuluá;</w:t>
      </w:r>
      <w:r w:rsidR="00277B70" w:rsidRPr="002F21D4">
        <w:rPr>
          <w:color w:val="000000"/>
          <w:sz w:val="22"/>
          <w:szCs w:val="22"/>
          <w:lang w:val="es-ES" w:eastAsia="en-GB"/>
        </w:rPr>
        <w:t xml:space="preserve"> los sistemas de transporte masivo y la infraestructura vial y policial principalmente en Cali, Bogotá, Medellín y Popayán</w:t>
      </w:r>
      <w:r w:rsidR="00162763" w:rsidRPr="002F21D4">
        <w:rPr>
          <w:color w:val="000000"/>
          <w:sz w:val="22"/>
          <w:szCs w:val="22"/>
          <w:lang w:val="es-ES" w:eastAsia="en-GB"/>
        </w:rPr>
        <w:t>;</w:t>
      </w:r>
      <w:r w:rsidR="00277B70" w:rsidRPr="002F21D4">
        <w:rPr>
          <w:color w:val="000000"/>
          <w:sz w:val="22"/>
          <w:szCs w:val="22"/>
          <w:lang w:val="es-ES" w:eastAsia="en-GB"/>
        </w:rPr>
        <w:t xml:space="preserve"> </w:t>
      </w:r>
      <w:r w:rsidR="00162763" w:rsidRPr="002F21D4">
        <w:rPr>
          <w:color w:val="000000"/>
          <w:sz w:val="22"/>
          <w:szCs w:val="22"/>
          <w:lang w:val="es-ES" w:eastAsia="en-GB"/>
        </w:rPr>
        <w:t>l</w:t>
      </w:r>
      <w:r w:rsidR="00277B70" w:rsidRPr="002F21D4">
        <w:rPr>
          <w:color w:val="000000"/>
          <w:sz w:val="22"/>
          <w:szCs w:val="22"/>
          <w:lang w:val="es-ES" w:eastAsia="en-GB"/>
        </w:rPr>
        <w:t>as sedes de m</w:t>
      </w:r>
      <w:r w:rsidR="00353E8F" w:rsidRPr="002F21D4">
        <w:rPr>
          <w:color w:val="000000"/>
          <w:sz w:val="22"/>
          <w:szCs w:val="22"/>
          <w:lang w:val="es-ES" w:eastAsia="en-GB"/>
        </w:rPr>
        <w:t>edios de comunicación en Bogotá;</w:t>
      </w:r>
      <w:r w:rsidR="00277B70" w:rsidRPr="002F21D4">
        <w:rPr>
          <w:color w:val="000000"/>
          <w:sz w:val="22"/>
          <w:szCs w:val="22"/>
          <w:lang w:val="es-ES" w:eastAsia="en-GB"/>
        </w:rPr>
        <w:t xml:space="preserve"> </w:t>
      </w:r>
      <w:r w:rsidR="00353E8F" w:rsidRPr="002F21D4">
        <w:rPr>
          <w:color w:val="000000"/>
          <w:sz w:val="22"/>
          <w:szCs w:val="22"/>
          <w:lang w:val="es-ES" w:eastAsia="en-GB"/>
        </w:rPr>
        <w:t>y de manera general, cajeros electrónicos, bancos</w:t>
      </w:r>
      <w:r w:rsidR="00277B70" w:rsidRPr="002F21D4">
        <w:rPr>
          <w:color w:val="000000"/>
          <w:sz w:val="22"/>
          <w:szCs w:val="22"/>
          <w:lang w:val="es-ES" w:eastAsia="en-GB"/>
        </w:rPr>
        <w:t xml:space="preserve"> y el comercio con el saqueo de almacenes de cadena y supermercados. También hubo </w:t>
      </w:r>
      <w:r w:rsidR="00950A05" w:rsidRPr="002F21D4">
        <w:rPr>
          <w:color w:val="000000"/>
          <w:sz w:val="22"/>
          <w:szCs w:val="22"/>
          <w:lang w:val="es-ES" w:eastAsia="en-GB"/>
        </w:rPr>
        <w:t xml:space="preserve">impactos </w:t>
      </w:r>
      <w:r w:rsidR="00277B70" w:rsidRPr="002F21D4">
        <w:rPr>
          <w:color w:val="000000"/>
          <w:sz w:val="22"/>
          <w:szCs w:val="22"/>
          <w:lang w:val="es-ES" w:eastAsia="en-GB"/>
        </w:rPr>
        <w:t>a bienes culturales</w:t>
      </w:r>
      <w:r w:rsidR="00353E8F" w:rsidRPr="002F21D4">
        <w:rPr>
          <w:color w:val="000000"/>
          <w:sz w:val="22"/>
          <w:szCs w:val="22"/>
          <w:lang w:val="es-ES" w:eastAsia="en-GB"/>
        </w:rPr>
        <w:t>,</w:t>
      </w:r>
      <w:r w:rsidR="00277B70" w:rsidRPr="002F21D4">
        <w:rPr>
          <w:color w:val="000000"/>
          <w:sz w:val="22"/>
          <w:szCs w:val="22"/>
          <w:lang w:val="es-ES" w:eastAsia="en-GB"/>
        </w:rPr>
        <w:t xml:space="preserve"> especi</w:t>
      </w:r>
      <w:r w:rsidR="00282EB4" w:rsidRPr="002F21D4">
        <w:rPr>
          <w:color w:val="000000"/>
          <w:sz w:val="22"/>
          <w:szCs w:val="22"/>
          <w:lang w:val="es-ES" w:eastAsia="en-GB"/>
        </w:rPr>
        <w:t>almente estatuas y monumentos. </w:t>
      </w:r>
    </w:p>
    <w:p w14:paraId="5428AC3F" w14:textId="77777777" w:rsidR="002F21D4" w:rsidRPr="002F21D4" w:rsidRDefault="002F21D4" w:rsidP="00B06FB8">
      <w:pPr>
        <w:shd w:val="clear" w:color="auto" w:fill="FFFFFF"/>
        <w:snapToGrid w:val="0"/>
        <w:ind w:firstLine="360"/>
        <w:jc w:val="both"/>
        <w:rPr>
          <w:color w:val="000000"/>
          <w:sz w:val="22"/>
          <w:szCs w:val="22"/>
          <w:shd w:val="clear" w:color="auto" w:fill="FF00FF"/>
          <w:lang w:val="es-ES" w:eastAsia="en-GB"/>
        </w:rPr>
      </w:pPr>
    </w:p>
    <w:p w14:paraId="25A24475" w14:textId="7DDC4EFB" w:rsidR="00277B70" w:rsidRPr="002F21D4" w:rsidRDefault="00A41010" w:rsidP="00B06FB8">
      <w:pPr>
        <w:shd w:val="clear" w:color="auto" w:fill="FFFFFF"/>
        <w:snapToGrid w:val="0"/>
        <w:ind w:firstLine="360"/>
        <w:jc w:val="both"/>
        <w:rPr>
          <w:color w:val="000000"/>
          <w:sz w:val="22"/>
          <w:szCs w:val="22"/>
          <w:lang w:eastAsia="en-GB"/>
        </w:rPr>
      </w:pPr>
      <w:r w:rsidRPr="002F21D4">
        <w:rPr>
          <w:color w:val="000000"/>
          <w:sz w:val="22"/>
          <w:szCs w:val="22"/>
          <w:lang w:eastAsia="en-GB"/>
        </w:rPr>
        <w:t xml:space="preserve">Si bien </w:t>
      </w:r>
      <w:r w:rsidR="00277B70" w:rsidRPr="002F21D4">
        <w:rPr>
          <w:color w:val="000000"/>
          <w:sz w:val="22"/>
          <w:szCs w:val="22"/>
          <w:lang w:eastAsia="en-GB"/>
        </w:rPr>
        <w:t xml:space="preserve">la convocatoria de la ciudadanía fue amplia, sectores de </w:t>
      </w:r>
      <w:r w:rsidR="009C2519" w:rsidRPr="002F21D4">
        <w:rPr>
          <w:color w:val="000000"/>
          <w:sz w:val="22"/>
          <w:szCs w:val="22"/>
          <w:lang w:eastAsia="en-GB"/>
        </w:rPr>
        <w:t>esta</w:t>
      </w:r>
      <w:r w:rsidR="00277B70" w:rsidRPr="002F21D4">
        <w:rPr>
          <w:color w:val="000000"/>
          <w:sz w:val="22"/>
          <w:szCs w:val="22"/>
          <w:lang w:eastAsia="en-GB"/>
        </w:rPr>
        <w:t xml:space="preserve"> </w:t>
      </w:r>
      <w:r w:rsidRPr="002F21D4">
        <w:rPr>
          <w:color w:val="000000"/>
          <w:sz w:val="22"/>
          <w:szCs w:val="22"/>
          <w:lang w:eastAsia="en-GB"/>
        </w:rPr>
        <w:t>no estuvieron</w:t>
      </w:r>
      <w:r w:rsidR="00277B70" w:rsidRPr="002F21D4">
        <w:rPr>
          <w:color w:val="000000"/>
          <w:sz w:val="22"/>
          <w:szCs w:val="22"/>
          <w:lang w:val="es-ES" w:eastAsia="en-GB"/>
        </w:rPr>
        <w:t xml:space="preserve"> de acuerdo con las protestas y se organizaron para manifestar</w:t>
      </w:r>
      <w:r w:rsidRPr="002F21D4">
        <w:rPr>
          <w:color w:val="000000"/>
          <w:sz w:val="22"/>
          <w:szCs w:val="22"/>
          <w:lang w:val="es-ES" w:eastAsia="en-GB"/>
        </w:rPr>
        <w:t>se</w:t>
      </w:r>
      <w:r w:rsidR="00277B70" w:rsidRPr="002F21D4">
        <w:rPr>
          <w:color w:val="000000"/>
          <w:sz w:val="22"/>
          <w:szCs w:val="22"/>
          <w:lang w:val="es-ES" w:eastAsia="en-GB"/>
        </w:rPr>
        <w:t xml:space="preserve"> en contra</w:t>
      </w:r>
      <w:r w:rsidR="002660AF" w:rsidRPr="002F21D4">
        <w:rPr>
          <w:color w:val="000000"/>
          <w:sz w:val="22"/>
          <w:szCs w:val="22"/>
          <w:lang w:val="es-ES" w:eastAsia="en-GB"/>
        </w:rPr>
        <w:t>,</w:t>
      </w:r>
      <w:r w:rsidR="00277B70" w:rsidRPr="002F21D4">
        <w:rPr>
          <w:color w:val="000000"/>
          <w:sz w:val="22"/>
          <w:szCs w:val="22"/>
          <w:lang w:val="es-ES" w:eastAsia="en-GB"/>
        </w:rPr>
        <w:t xml:space="preserve"> a través de la denominada “Marcha del Silencio” que se desarrolló en Cali, Medellín y Bogotá</w:t>
      </w:r>
      <w:r w:rsidRPr="002F21D4">
        <w:rPr>
          <w:color w:val="000000"/>
          <w:sz w:val="22"/>
          <w:szCs w:val="22"/>
          <w:lang w:val="es-ES" w:eastAsia="en-GB"/>
        </w:rPr>
        <w:t>. En esta</w:t>
      </w:r>
      <w:r w:rsidR="00AB7EF4" w:rsidRPr="002F21D4">
        <w:rPr>
          <w:color w:val="000000"/>
          <w:sz w:val="22"/>
          <w:szCs w:val="22"/>
          <w:lang w:val="es-ES" w:eastAsia="en-GB"/>
        </w:rPr>
        <w:t xml:space="preserve">s </w:t>
      </w:r>
      <w:r w:rsidR="00A35ADE" w:rsidRPr="002F21D4">
        <w:rPr>
          <w:color w:val="000000"/>
          <w:sz w:val="22"/>
          <w:szCs w:val="22"/>
          <w:lang w:val="es-ES" w:eastAsia="en-GB"/>
        </w:rPr>
        <w:t xml:space="preserve">movilizaciones </w:t>
      </w:r>
      <w:r w:rsidR="00AB7EF4" w:rsidRPr="002F21D4">
        <w:rPr>
          <w:color w:val="000000"/>
          <w:sz w:val="22"/>
          <w:szCs w:val="22"/>
          <w:lang w:val="es-ES" w:eastAsia="en-GB"/>
        </w:rPr>
        <w:t>se exig</w:t>
      </w:r>
      <w:r w:rsidR="001D1D8D" w:rsidRPr="002F21D4">
        <w:rPr>
          <w:color w:val="000000"/>
          <w:sz w:val="22"/>
          <w:szCs w:val="22"/>
          <w:lang w:val="es-ES" w:eastAsia="en-GB"/>
        </w:rPr>
        <w:t>ieron</w:t>
      </w:r>
      <w:r w:rsidR="00277B70" w:rsidRPr="002F21D4">
        <w:rPr>
          <w:color w:val="000000"/>
          <w:sz w:val="22"/>
          <w:szCs w:val="22"/>
          <w:lang w:val="es-ES" w:eastAsia="en-GB"/>
        </w:rPr>
        <w:t xml:space="preserve"> </w:t>
      </w:r>
      <w:r w:rsidRPr="002F21D4">
        <w:rPr>
          <w:color w:val="000000"/>
          <w:sz w:val="22"/>
          <w:szCs w:val="22"/>
          <w:lang w:val="es-ES" w:eastAsia="en-GB"/>
        </w:rPr>
        <w:t xml:space="preserve">garantías para </w:t>
      </w:r>
      <w:r w:rsidR="00277B70" w:rsidRPr="002F21D4">
        <w:rPr>
          <w:color w:val="000000"/>
          <w:sz w:val="22"/>
          <w:szCs w:val="22"/>
          <w:lang w:val="es-ES" w:eastAsia="en-GB"/>
        </w:rPr>
        <w:t>el der</w:t>
      </w:r>
      <w:r w:rsidRPr="002F21D4">
        <w:rPr>
          <w:color w:val="000000"/>
          <w:sz w:val="22"/>
          <w:szCs w:val="22"/>
          <w:lang w:val="es-ES" w:eastAsia="en-GB"/>
        </w:rPr>
        <w:t>echo a la vida,</w:t>
      </w:r>
      <w:r w:rsidR="0030704C" w:rsidRPr="002F21D4">
        <w:rPr>
          <w:color w:val="000000"/>
          <w:sz w:val="22"/>
          <w:szCs w:val="22"/>
          <w:lang w:val="es-ES" w:eastAsia="en-GB"/>
        </w:rPr>
        <w:t xml:space="preserve"> al trabajo, </w:t>
      </w:r>
      <w:r w:rsidRPr="002F21D4">
        <w:rPr>
          <w:color w:val="000000"/>
          <w:sz w:val="22"/>
          <w:szCs w:val="22"/>
          <w:lang w:val="es-ES" w:eastAsia="en-GB"/>
        </w:rPr>
        <w:t xml:space="preserve">así como </w:t>
      </w:r>
      <w:r w:rsidR="00277B70" w:rsidRPr="002F21D4">
        <w:rPr>
          <w:color w:val="000000"/>
          <w:sz w:val="22"/>
          <w:szCs w:val="22"/>
          <w:lang w:val="es-ES" w:eastAsia="en-GB"/>
        </w:rPr>
        <w:t>el desbloqueo de vías. </w:t>
      </w:r>
      <w:r w:rsidR="009A74FB" w:rsidRPr="002F21D4">
        <w:rPr>
          <w:color w:val="000000"/>
          <w:sz w:val="22"/>
          <w:szCs w:val="22"/>
          <w:lang w:val="es-ES" w:eastAsia="en-GB"/>
        </w:rPr>
        <w:t>Aunque las movilizaciones desarrolladas en contra del Paro Nacional fueron mayoritariamente pacíficas, se dieron algunos</w:t>
      </w:r>
      <w:r w:rsidR="00D922CA" w:rsidRPr="002F21D4">
        <w:rPr>
          <w:color w:val="000000"/>
          <w:sz w:val="22"/>
          <w:szCs w:val="22"/>
          <w:lang w:val="es-ES" w:eastAsia="en-GB"/>
        </w:rPr>
        <w:t xml:space="preserve"> </w:t>
      </w:r>
      <w:r w:rsidR="00D922CA" w:rsidRPr="002F21D4">
        <w:rPr>
          <w:color w:val="000000"/>
          <w:sz w:val="22"/>
          <w:szCs w:val="22"/>
          <w:lang w:val="es-ES" w:eastAsia="en-GB"/>
        </w:rPr>
        <w:lastRenderedPageBreak/>
        <w:t>pre</w:t>
      </w:r>
      <w:r w:rsidR="00F43B30" w:rsidRPr="002F21D4">
        <w:rPr>
          <w:color w:val="000000"/>
          <w:sz w:val="22"/>
          <w:szCs w:val="22"/>
          <w:lang w:val="es-ES" w:eastAsia="en-GB"/>
        </w:rPr>
        <w:t>ocupantes</w:t>
      </w:r>
      <w:r w:rsidR="009A74FB" w:rsidRPr="002F21D4">
        <w:rPr>
          <w:color w:val="000000"/>
          <w:sz w:val="22"/>
          <w:szCs w:val="22"/>
          <w:lang w:val="es-ES" w:eastAsia="en-GB"/>
        </w:rPr>
        <w:t xml:space="preserve"> hechos violentos </w:t>
      </w:r>
      <w:r w:rsidR="009A74FB" w:rsidRPr="002F21D4">
        <w:rPr>
          <w:color w:val="000000"/>
          <w:sz w:val="22"/>
          <w:szCs w:val="22"/>
          <w:lang w:eastAsia="en-GB"/>
        </w:rPr>
        <w:t xml:space="preserve">donde civiles usaron armas de fuego para disparar contra </w:t>
      </w:r>
      <w:r w:rsidR="00F522E9" w:rsidRPr="002F21D4">
        <w:rPr>
          <w:color w:val="000000"/>
          <w:sz w:val="22"/>
          <w:szCs w:val="22"/>
          <w:lang w:eastAsia="en-GB"/>
        </w:rPr>
        <w:t>manifestantes,</w:t>
      </w:r>
      <w:r w:rsidR="009A74FB" w:rsidRPr="002F21D4">
        <w:rPr>
          <w:color w:val="000000"/>
          <w:sz w:val="22"/>
          <w:szCs w:val="22"/>
          <w:lang w:eastAsia="en-GB"/>
        </w:rPr>
        <w:t xml:space="preserve"> dejando en evidencia la profunda polarización</w:t>
      </w:r>
      <w:r w:rsidR="00F43B30" w:rsidRPr="002F21D4">
        <w:rPr>
          <w:color w:val="000000"/>
          <w:sz w:val="22"/>
          <w:szCs w:val="22"/>
          <w:lang w:eastAsia="en-GB"/>
        </w:rPr>
        <w:t xml:space="preserve"> que afronta</w:t>
      </w:r>
      <w:r w:rsidR="009A74FB" w:rsidRPr="002F21D4">
        <w:rPr>
          <w:color w:val="000000"/>
          <w:sz w:val="22"/>
          <w:szCs w:val="22"/>
          <w:lang w:eastAsia="en-GB"/>
        </w:rPr>
        <w:t xml:space="preserve"> </w:t>
      </w:r>
      <w:r w:rsidR="00F43B30" w:rsidRPr="002F21D4">
        <w:rPr>
          <w:color w:val="000000"/>
          <w:sz w:val="22"/>
          <w:szCs w:val="22"/>
          <w:lang w:eastAsia="en-GB"/>
        </w:rPr>
        <w:t>e</w:t>
      </w:r>
      <w:r w:rsidR="009A74FB" w:rsidRPr="002F21D4">
        <w:rPr>
          <w:color w:val="000000"/>
          <w:sz w:val="22"/>
          <w:szCs w:val="22"/>
          <w:lang w:eastAsia="en-GB"/>
        </w:rPr>
        <w:t>l país.</w:t>
      </w:r>
    </w:p>
    <w:p w14:paraId="2F6AE7C7" w14:textId="77777777" w:rsidR="002F21D4" w:rsidRPr="002F21D4" w:rsidRDefault="002F21D4" w:rsidP="00B06FB8">
      <w:pPr>
        <w:shd w:val="clear" w:color="auto" w:fill="FFFFFF"/>
        <w:snapToGrid w:val="0"/>
        <w:ind w:firstLine="360"/>
        <w:jc w:val="both"/>
        <w:rPr>
          <w:color w:val="000000"/>
          <w:sz w:val="22"/>
          <w:szCs w:val="22"/>
          <w:lang w:val="es-ES" w:eastAsia="en-GB"/>
        </w:rPr>
      </w:pPr>
    </w:p>
    <w:p w14:paraId="5D28FD17" w14:textId="3764C1C8" w:rsidR="00277B70" w:rsidRPr="002F21D4" w:rsidRDefault="00277B70" w:rsidP="00B06FB8">
      <w:pPr>
        <w:shd w:val="clear" w:color="auto" w:fill="FFFFFF"/>
        <w:snapToGrid w:val="0"/>
        <w:ind w:firstLine="360"/>
        <w:jc w:val="both"/>
        <w:rPr>
          <w:color w:val="000000"/>
          <w:sz w:val="22"/>
          <w:szCs w:val="22"/>
          <w:lang w:val="es-ES" w:eastAsia="en-GB"/>
        </w:rPr>
      </w:pPr>
      <w:r w:rsidRPr="002F21D4">
        <w:rPr>
          <w:color w:val="000000"/>
          <w:sz w:val="22"/>
          <w:szCs w:val="22"/>
          <w:lang w:val="es-ES" w:eastAsia="en-GB"/>
        </w:rPr>
        <w:t xml:space="preserve">En este contexto aumentaron las noticias </w:t>
      </w:r>
      <w:r w:rsidR="00907496" w:rsidRPr="002F21D4">
        <w:rPr>
          <w:color w:val="000000"/>
          <w:sz w:val="22"/>
          <w:szCs w:val="22"/>
          <w:lang w:val="es-ES" w:eastAsia="en-GB"/>
        </w:rPr>
        <w:t xml:space="preserve">falsas </w:t>
      </w:r>
      <w:r w:rsidRPr="002F21D4">
        <w:rPr>
          <w:color w:val="000000"/>
          <w:sz w:val="22"/>
          <w:szCs w:val="22"/>
          <w:lang w:val="es-ES" w:eastAsia="en-GB"/>
        </w:rPr>
        <w:t>y la distorsión de la información</w:t>
      </w:r>
      <w:r w:rsidR="00F474DF" w:rsidRPr="002F21D4">
        <w:rPr>
          <w:color w:val="000000"/>
          <w:sz w:val="22"/>
          <w:szCs w:val="22"/>
          <w:lang w:val="es-ES" w:eastAsia="en-GB"/>
        </w:rPr>
        <w:t>,</w:t>
      </w:r>
      <w:r w:rsidRPr="002F21D4">
        <w:rPr>
          <w:color w:val="000000"/>
          <w:sz w:val="22"/>
          <w:szCs w:val="22"/>
          <w:lang w:val="es-ES" w:eastAsia="en-GB"/>
        </w:rPr>
        <w:t xml:space="preserve"> </w:t>
      </w:r>
      <w:r w:rsidR="00D31969" w:rsidRPr="002F21D4">
        <w:rPr>
          <w:color w:val="000000"/>
          <w:sz w:val="22"/>
          <w:szCs w:val="22"/>
          <w:lang w:val="es-ES" w:eastAsia="en-GB"/>
        </w:rPr>
        <w:t xml:space="preserve">llevando a la opinión pública a construir relatos sobre el Paro Nacional como escenarios de marchas pacíficas o como actos de vandalismo sin un propósito. Estos mensajes se difundían principalmente por redes sociales, lo cual profundizó las percepciones de caos y la crisis humanitaria, en lugar de </w:t>
      </w:r>
      <w:proofErr w:type="spellStart"/>
      <w:r w:rsidR="00D31969" w:rsidRPr="002F21D4">
        <w:rPr>
          <w:color w:val="000000"/>
          <w:sz w:val="22"/>
          <w:szCs w:val="22"/>
          <w:lang w:val="es-ES" w:eastAsia="en-GB"/>
        </w:rPr>
        <w:t>desescalar</w:t>
      </w:r>
      <w:proofErr w:type="spellEnd"/>
      <w:r w:rsidR="00D31969" w:rsidRPr="002F21D4">
        <w:rPr>
          <w:color w:val="000000"/>
          <w:sz w:val="22"/>
          <w:szCs w:val="22"/>
          <w:lang w:val="es-ES" w:eastAsia="en-GB"/>
        </w:rPr>
        <w:t xml:space="preserve"> la conflictividad y llamar al diálogo</w:t>
      </w:r>
      <w:r w:rsidRPr="002F21D4">
        <w:rPr>
          <w:color w:val="000000"/>
          <w:sz w:val="22"/>
          <w:szCs w:val="22"/>
          <w:lang w:val="es-ES" w:eastAsia="en-GB"/>
        </w:rPr>
        <w:t xml:space="preserve">. </w:t>
      </w:r>
    </w:p>
    <w:p w14:paraId="5007BFDA" w14:textId="77777777" w:rsidR="002F21D4" w:rsidRPr="002F21D4" w:rsidRDefault="002F21D4" w:rsidP="00B06FB8">
      <w:pPr>
        <w:shd w:val="clear" w:color="auto" w:fill="FFFFFF"/>
        <w:snapToGrid w:val="0"/>
        <w:ind w:firstLine="360"/>
        <w:jc w:val="both"/>
        <w:rPr>
          <w:color w:val="000000"/>
          <w:sz w:val="22"/>
          <w:szCs w:val="22"/>
          <w:lang w:val="es-ES" w:eastAsia="en-GB"/>
        </w:rPr>
      </w:pPr>
    </w:p>
    <w:p w14:paraId="7DDD8743" w14:textId="334A9A21" w:rsidR="00302CD7" w:rsidRPr="002F21D4" w:rsidRDefault="007F638D" w:rsidP="00B06FB8">
      <w:pPr>
        <w:shd w:val="clear" w:color="auto" w:fill="FFFFFF"/>
        <w:snapToGrid w:val="0"/>
        <w:ind w:firstLine="360"/>
        <w:jc w:val="both"/>
        <w:rPr>
          <w:color w:val="000000"/>
          <w:sz w:val="22"/>
          <w:szCs w:val="22"/>
          <w:lang w:val="es-ES" w:eastAsia="en-GB"/>
        </w:rPr>
      </w:pPr>
      <w:r w:rsidRPr="002F21D4">
        <w:rPr>
          <w:color w:val="000000"/>
          <w:sz w:val="22"/>
          <w:szCs w:val="22"/>
          <w:lang w:val="es-ES" w:eastAsia="en-GB"/>
        </w:rPr>
        <w:t>En medio de esta coyuntura, a</w:t>
      </w:r>
      <w:r w:rsidR="00277B70" w:rsidRPr="002F21D4">
        <w:rPr>
          <w:color w:val="000000"/>
          <w:sz w:val="22"/>
          <w:szCs w:val="22"/>
          <w:lang w:val="es-ES" w:eastAsia="en-GB"/>
        </w:rPr>
        <w:t xml:space="preserve">lrededor de 650 organizaciones de la sociedad civil y la Comisión Mixta de Paz del Congreso de la República realizaron un llamado conjunto a la </w:t>
      </w:r>
      <w:bookmarkStart w:id="9" w:name="_Hlk83382682"/>
      <w:r w:rsidR="00277B70" w:rsidRPr="002F21D4">
        <w:rPr>
          <w:color w:val="000000"/>
          <w:sz w:val="22"/>
          <w:szCs w:val="22"/>
          <w:lang w:val="es-ES" w:eastAsia="en-GB"/>
        </w:rPr>
        <w:t>Comisión Interamericana de Derechos Humanos</w:t>
      </w:r>
      <w:bookmarkEnd w:id="9"/>
      <w:r w:rsidR="00277B70" w:rsidRPr="002F21D4">
        <w:rPr>
          <w:color w:val="000000"/>
          <w:sz w:val="22"/>
          <w:szCs w:val="22"/>
          <w:lang w:val="es-ES" w:eastAsia="en-GB"/>
        </w:rPr>
        <w:t xml:space="preserve"> (CIDH) a realizar una visita de trabajo </w:t>
      </w:r>
      <w:r w:rsidR="00277B70" w:rsidRPr="002F21D4">
        <w:rPr>
          <w:sz w:val="22"/>
          <w:szCs w:val="22"/>
          <w:lang w:val="es-ES" w:eastAsia="en-GB"/>
        </w:rPr>
        <w:t xml:space="preserve">para </w:t>
      </w:r>
      <w:r w:rsidR="009E5F6C" w:rsidRPr="002F21D4">
        <w:rPr>
          <w:sz w:val="22"/>
          <w:szCs w:val="22"/>
          <w:lang w:val="es-ES" w:eastAsia="en-GB"/>
        </w:rPr>
        <w:t>observar</w:t>
      </w:r>
      <w:r w:rsidR="00277B70" w:rsidRPr="002F21D4">
        <w:rPr>
          <w:sz w:val="22"/>
          <w:szCs w:val="22"/>
          <w:lang w:val="es-ES" w:eastAsia="en-GB"/>
        </w:rPr>
        <w:t xml:space="preserve"> </w:t>
      </w:r>
      <w:r w:rsidR="00C054E4" w:rsidRPr="002F21D4">
        <w:rPr>
          <w:color w:val="000000"/>
          <w:sz w:val="22"/>
          <w:szCs w:val="22"/>
          <w:lang w:val="es-ES" w:eastAsia="en-GB"/>
        </w:rPr>
        <w:t>la situación</w:t>
      </w:r>
      <w:r w:rsidR="00277B70" w:rsidRPr="002F21D4">
        <w:rPr>
          <w:color w:val="000000"/>
          <w:sz w:val="22"/>
          <w:szCs w:val="22"/>
          <w:lang w:val="es-ES" w:eastAsia="en-GB"/>
        </w:rPr>
        <w:t xml:space="preserve"> de derechos humanos en el marco de las movilizaciones sociales.</w:t>
      </w:r>
      <w:r w:rsidR="00A80B7F" w:rsidRPr="002F21D4">
        <w:rPr>
          <w:color w:val="000000"/>
          <w:sz w:val="22"/>
          <w:szCs w:val="22"/>
          <w:lang w:val="es-ES" w:eastAsia="en-GB"/>
        </w:rPr>
        <w:t xml:space="preserve"> Luego de </w:t>
      </w:r>
      <w:r w:rsidR="00302CD7" w:rsidRPr="002F21D4">
        <w:rPr>
          <w:color w:val="000000"/>
          <w:sz w:val="22"/>
          <w:szCs w:val="22"/>
          <w:lang w:val="es-ES" w:eastAsia="en-GB"/>
        </w:rPr>
        <w:t>conversaciones</w:t>
      </w:r>
      <w:r w:rsidR="00A80B7F" w:rsidRPr="002F21D4">
        <w:rPr>
          <w:color w:val="000000"/>
          <w:sz w:val="22"/>
          <w:szCs w:val="22"/>
          <w:lang w:val="es-ES" w:eastAsia="en-GB"/>
        </w:rPr>
        <w:t xml:space="preserve"> bilaterales entre el Gobierno de Colombia y la CIDH, el 25 de mayo, el Gobierno colombiano extendió la invitación a la Comisión para desarrollar la visita entre el 8 y </w:t>
      </w:r>
      <w:r w:rsidR="00EA731B" w:rsidRPr="002F21D4">
        <w:rPr>
          <w:color w:val="000000"/>
          <w:sz w:val="22"/>
          <w:szCs w:val="22"/>
          <w:lang w:val="es-ES" w:eastAsia="en-GB"/>
        </w:rPr>
        <w:t xml:space="preserve">el </w:t>
      </w:r>
      <w:r w:rsidR="00A80B7F" w:rsidRPr="002F21D4">
        <w:rPr>
          <w:color w:val="000000"/>
          <w:sz w:val="22"/>
          <w:szCs w:val="22"/>
          <w:lang w:val="es-ES" w:eastAsia="en-GB"/>
        </w:rPr>
        <w:t xml:space="preserve">10 de junio. </w:t>
      </w:r>
    </w:p>
    <w:p w14:paraId="49A74760" w14:textId="77777777" w:rsidR="002F21D4" w:rsidRPr="002F21D4" w:rsidRDefault="002F21D4" w:rsidP="00B06FB8">
      <w:pPr>
        <w:shd w:val="clear" w:color="auto" w:fill="FFFFFF"/>
        <w:snapToGrid w:val="0"/>
        <w:ind w:firstLine="360"/>
        <w:jc w:val="both"/>
        <w:rPr>
          <w:color w:val="000000"/>
          <w:sz w:val="22"/>
          <w:szCs w:val="22"/>
          <w:lang w:val="es-ES" w:eastAsia="en-GB"/>
        </w:rPr>
      </w:pPr>
    </w:p>
    <w:p w14:paraId="4E4D2DF2" w14:textId="5457DC32" w:rsidR="006B610C" w:rsidRPr="002F21D4" w:rsidRDefault="00302CD7" w:rsidP="00B06FB8">
      <w:pPr>
        <w:shd w:val="clear" w:color="auto" w:fill="FFFFFF"/>
        <w:snapToGrid w:val="0"/>
        <w:ind w:firstLine="360"/>
        <w:jc w:val="both"/>
        <w:rPr>
          <w:color w:val="000000"/>
          <w:sz w:val="22"/>
          <w:szCs w:val="22"/>
          <w:lang w:val="es-ES" w:eastAsia="en-GB"/>
        </w:rPr>
      </w:pPr>
      <w:r w:rsidRPr="002F21D4">
        <w:rPr>
          <w:color w:val="000000"/>
          <w:sz w:val="22"/>
          <w:szCs w:val="22"/>
          <w:lang w:val="es-ES" w:eastAsia="en-GB"/>
        </w:rPr>
        <w:t xml:space="preserve">Durante </w:t>
      </w:r>
      <w:r w:rsidR="00EA731B" w:rsidRPr="002F21D4">
        <w:rPr>
          <w:color w:val="000000"/>
          <w:sz w:val="22"/>
          <w:szCs w:val="22"/>
          <w:lang w:val="es-ES" w:eastAsia="en-GB"/>
        </w:rPr>
        <w:t>dicha</w:t>
      </w:r>
      <w:r w:rsidRPr="002F21D4">
        <w:rPr>
          <w:color w:val="000000"/>
          <w:sz w:val="22"/>
          <w:szCs w:val="22"/>
          <w:lang w:val="es-ES" w:eastAsia="en-GB"/>
        </w:rPr>
        <w:t xml:space="preserve"> visita, la CIDH sostuvo reuniones con autoridades de las distintas ramas del poder público y órganos de control, a nivel nacional, departamental, distrital y municipal</w:t>
      </w:r>
      <w:r w:rsidR="00BF5675" w:rsidRPr="002F21D4">
        <w:rPr>
          <w:color w:val="000000"/>
          <w:sz w:val="22"/>
          <w:szCs w:val="22"/>
          <w:lang w:val="es-ES" w:eastAsia="en-GB"/>
        </w:rPr>
        <w:t>. A</w:t>
      </w:r>
      <w:r w:rsidRPr="002F21D4">
        <w:rPr>
          <w:color w:val="000000"/>
          <w:sz w:val="22"/>
          <w:szCs w:val="22"/>
          <w:lang w:val="es-ES" w:eastAsia="en-GB"/>
        </w:rPr>
        <w:t>simismo, se reunió con víctimas de violaciones de derechos humanos, personas defensoras, colectivos de mujeres, afrodescendientes, indígenas, periodistas, representantes de movimientos sociales, gremios empresariales, agentes de la fuerza pública</w:t>
      </w:r>
      <w:r w:rsidR="00EA731B" w:rsidRPr="002F21D4">
        <w:rPr>
          <w:color w:val="000000"/>
          <w:sz w:val="22"/>
          <w:szCs w:val="22"/>
          <w:lang w:val="es-ES" w:eastAsia="en-GB"/>
        </w:rPr>
        <w:t xml:space="preserve">; y representantes de organismos multilaterales y </w:t>
      </w:r>
      <w:r w:rsidRPr="002F21D4">
        <w:rPr>
          <w:color w:val="000000"/>
          <w:sz w:val="22"/>
          <w:szCs w:val="22"/>
          <w:lang w:val="es-ES" w:eastAsia="en-GB"/>
        </w:rPr>
        <w:t>del cuerpo diplomático.</w:t>
      </w:r>
      <w:r w:rsidR="003D41B6" w:rsidRPr="002F21D4">
        <w:rPr>
          <w:color w:val="000000"/>
          <w:sz w:val="22"/>
          <w:szCs w:val="22"/>
          <w:lang w:val="es-ES" w:eastAsia="en-GB"/>
        </w:rPr>
        <w:t xml:space="preserve"> </w:t>
      </w:r>
      <w:r w:rsidR="00EA731B" w:rsidRPr="002F21D4">
        <w:rPr>
          <w:color w:val="000000"/>
          <w:sz w:val="22"/>
          <w:szCs w:val="22"/>
          <w:lang w:val="es-ES" w:eastAsia="en-GB"/>
        </w:rPr>
        <w:t>Adicionalmente, recibió información mediante la toma de</w:t>
      </w:r>
      <w:r w:rsidR="003D41B6" w:rsidRPr="002F21D4">
        <w:rPr>
          <w:color w:val="000000"/>
          <w:sz w:val="22"/>
          <w:szCs w:val="22"/>
          <w:lang w:val="es-ES" w:eastAsia="en-GB"/>
        </w:rPr>
        <w:t xml:space="preserve"> 302</w:t>
      </w:r>
      <w:r w:rsidR="00EA731B" w:rsidRPr="002F21D4">
        <w:rPr>
          <w:color w:val="000000"/>
          <w:sz w:val="22"/>
          <w:szCs w:val="22"/>
          <w:lang w:val="es-ES" w:eastAsia="en-GB"/>
        </w:rPr>
        <w:t xml:space="preserve"> testimonios</w:t>
      </w:r>
      <w:r w:rsidR="003D41B6" w:rsidRPr="002F21D4">
        <w:rPr>
          <w:color w:val="000000"/>
          <w:sz w:val="22"/>
          <w:szCs w:val="22"/>
          <w:lang w:val="es-ES" w:eastAsia="en-GB"/>
        </w:rPr>
        <w:t xml:space="preserve"> individuales y colectivos, priorizando criterios de representatividad y diversidad</w:t>
      </w:r>
      <w:r w:rsidR="003D41B6" w:rsidRPr="002F21D4">
        <w:rPr>
          <w:rStyle w:val="FootnoteReference"/>
          <w:color w:val="000000"/>
          <w:sz w:val="22"/>
          <w:szCs w:val="22"/>
          <w:lang w:val="es-ES" w:eastAsia="en-GB"/>
        </w:rPr>
        <w:footnoteReference w:id="85"/>
      </w:r>
      <w:r w:rsidR="00CB2638" w:rsidRPr="002F21D4">
        <w:rPr>
          <w:color w:val="000000"/>
          <w:sz w:val="22"/>
          <w:szCs w:val="22"/>
          <w:lang w:val="es-ES" w:eastAsia="en-GB"/>
        </w:rPr>
        <w:t xml:space="preserve">. </w:t>
      </w:r>
    </w:p>
    <w:p w14:paraId="4B7D4BBD" w14:textId="77777777" w:rsidR="002F21D4" w:rsidRPr="002F21D4" w:rsidRDefault="002F21D4" w:rsidP="00B06FB8">
      <w:pPr>
        <w:shd w:val="clear" w:color="auto" w:fill="FFFFFF"/>
        <w:snapToGrid w:val="0"/>
        <w:ind w:firstLine="360"/>
        <w:jc w:val="both"/>
        <w:rPr>
          <w:color w:val="000000"/>
          <w:sz w:val="22"/>
          <w:szCs w:val="22"/>
          <w:lang w:val="es-ES" w:eastAsia="en-GB"/>
        </w:rPr>
      </w:pPr>
    </w:p>
    <w:p w14:paraId="0E6B49D0" w14:textId="20CF70BF" w:rsidR="00EA731B" w:rsidRPr="002F21D4" w:rsidRDefault="006B610C" w:rsidP="00B06FB8">
      <w:pPr>
        <w:shd w:val="clear" w:color="auto" w:fill="FFFFFF"/>
        <w:snapToGrid w:val="0"/>
        <w:ind w:firstLine="360"/>
        <w:jc w:val="both"/>
        <w:rPr>
          <w:color w:val="000000"/>
          <w:sz w:val="22"/>
          <w:szCs w:val="22"/>
          <w:lang w:val="es-ES" w:eastAsia="en-GB"/>
        </w:rPr>
      </w:pPr>
      <w:r w:rsidRPr="002F21D4">
        <w:rPr>
          <w:color w:val="000000"/>
          <w:sz w:val="22"/>
          <w:szCs w:val="22"/>
          <w:lang w:val="es-ES" w:eastAsia="en-GB"/>
        </w:rPr>
        <w:t xml:space="preserve">A solicitud de la CIDH y con la anuencia del Gobierno nacional y la SG/OEA, la Misión </w:t>
      </w:r>
      <w:r w:rsidR="003026F2" w:rsidRPr="002F21D4">
        <w:rPr>
          <w:color w:val="000000"/>
          <w:sz w:val="22"/>
          <w:szCs w:val="22"/>
          <w:lang w:val="es-ES" w:eastAsia="en-GB"/>
        </w:rPr>
        <w:t>colaboró con la visita. En ese sentido, aportó</w:t>
      </w:r>
      <w:r w:rsidR="003E51D9" w:rsidRPr="002F21D4">
        <w:rPr>
          <w:color w:val="000000"/>
          <w:sz w:val="22"/>
          <w:szCs w:val="22"/>
          <w:lang w:val="es-ES" w:eastAsia="en-GB"/>
        </w:rPr>
        <w:t xml:space="preserve"> con </w:t>
      </w:r>
      <w:r w:rsidR="003026F2" w:rsidRPr="002F21D4">
        <w:rPr>
          <w:color w:val="000000"/>
          <w:sz w:val="22"/>
          <w:szCs w:val="22"/>
          <w:lang w:val="es-ES" w:eastAsia="en-GB"/>
        </w:rPr>
        <w:t xml:space="preserve">lecturas de contexto a nivel nacional y territorial, </w:t>
      </w:r>
      <w:r w:rsidR="003E51D9" w:rsidRPr="002F21D4">
        <w:rPr>
          <w:color w:val="000000"/>
          <w:sz w:val="22"/>
          <w:szCs w:val="22"/>
          <w:lang w:val="es-ES" w:eastAsia="en-GB"/>
        </w:rPr>
        <w:t xml:space="preserve">en </w:t>
      </w:r>
      <w:r w:rsidR="003026F2" w:rsidRPr="002F21D4">
        <w:rPr>
          <w:color w:val="000000"/>
          <w:sz w:val="22"/>
          <w:szCs w:val="22"/>
          <w:lang w:val="es-ES" w:eastAsia="en-GB"/>
        </w:rPr>
        <w:t xml:space="preserve">la construcción de una agenda plural y equilibrada, </w:t>
      </w:r>
      <w:r w:rsidR="003E51D9" w:rsidRPr="002F21D4">
        <w:rPr>
          <w:color w:val="000000"/>
          <w:sz w:val="22"/>
          <w:szCs w:val="22"/>
          <w:lang w:val="es-ES" w:eastAsia="en-GB"/>
        </w:rPr>
        <w:t xml:space="preserve">en </w:t>
      </w:r>
      <w:r w:rsidR="003026F2" w:rsidRPr="002F21D4">
        <w:rPr>
          <w:color w:val="000000"/>
          <w:sz w:val="22"/>
          <w:szCs w:val="22"/>
          <w:lang w:val="es-ES" w:eastAsia="en-GB"/>
        </w:rPr>
        <w:t>el relacionamiento con actores institucionales y de sociedad civil</w:t>
      </w:r>
      <w:r w:rsidR="00CB1181" w:rsidRPr="002F21D4">
        <w:rPr>
          <w:color w:val="000000"/>
          <w:sz w:val="22"/>
          <w:szCs w:val="22"/>
          <w:lang w:val="es-ES" w:eastAsia="en-GB"/>
        </w:rPr>
        <w:t xml:space="preserve"> a nivel nacional y territorial</w:t>
      </w:r>
      <w:r w:rsidR="003026F2" w:rsidRPr="002F21D4">
        <w:rPr>
          <w:color w:val="000000"/>
          <w:sz w:val="22"/>
          <w:szCs w:val="22"/>
          <w:lang w:val="es-ES" w:eastAsia="en-GB"/>
        </w:rPr>
        <w:t>,</w:t>
      </w:r>
      <w:r w:rsidR="003E51D9" w:rsidRPr="002F21D4">
        <w:rPr>
          <w:color w:val="000000"/>
          <w:sz w:val="22"/>
          <w:szCs w:val="22"/>
          <w:lang w:val="es-ES" w:eastAsia="en-GB"/>
        </w:rPr>
        <w:t xml:space="preserve"> en</w:t>
      </w:r>
      <w:r w:rsidR="003026F2" w:rsidRPr="002F21D4">
        <w:rPr>
          <w:color w:val="000000"/>
          <w:sz w:val="22"/>
          <w:szCs w:val="22"/>
          <w:lang w:val="es-ES" w:eastAsia="en-GB"/>
        </w:rPr>
        <w:t xml:space="preserve"> la toma de testimonios </w:t>
      </w:r>
      <w:r w:rsidR="00CB1181" w:rsidRPr="002F21D4">
        <w:rPr>
          <w:color w:val="000000"/>
          <w:sz w:val="22"/>
          <w:szCs w:val="22"/>
          <w:lang w:val="es-ES" w:eastAsia="en-GB"/>
        </w:rPr>
        <w:t>y</w:t>
      </w:r>
      <w:r w:rsidR="003026F2" w:rsidRPr="002F21D4">
        <w:rPr>
          <w:color w:val="000000"/>
          <w:sz w:val="22"/>
          <w:szCs w:val="22"/>
          <w:lang w:val="es-ES" w:eastAsia="en-GB"/>
        </w:rPr>
        <w:t xml:space="preserve"> </w:t>
      </w:r>
      <w:r w:rsidR="003E51D9" w:rsidRPr="002F21D4">
        <w:rPr>
          <w:color w:val="000000"/>
          <w:sz w:val="22"/>
          <w:szCs w:val="22"/>
          <w:lang w:val="es-ES" w:eastAsia="en-GB"/>
        </w:rPr>
        <w:t xml:space="preserve">en </w:t>
      </w:r>
      <w:r w:rsidR="003026F2" w:rsidRPr="002F21D4">
        <w:rPr>
          <w:color w:val="000000"/>
          <w:sz w:val="22"/>
          <w:szCs w:val="22"/>
          <w:lang w:val="es-ES" w:eastAsia="en-GB"/>
        </w:rPr>
        <w:t xml:space="preserve">el monitoreo </w:t>
      </w:r>
      <w:r w:rsidR="003026F2" w:rsidRPr="002F21D4">
        <w:rPr>
          <w:i/>
          <w:iCs/>
          <w:color w:val="000000"/>
          <w:sz w:val="22"/>
          <w:szCs w:val="22"/>
          <w:lang w:val="es-ES" w:eastAsia="en-GB"/>
        </w:rPr>
        <w:t xml:space="preserve">in situ </w:t>
      </w:r>
      <w:r w:rsidR="003026F2" w:rsidRPr="002F21D4">
        <w:rPr>
          <w:color w:val="000000"/>
          <w:sz w:val="22"/>
          <w:szCs w:val="22"/>
          <w:lang w:val="es-ES" w:eastAsia="en-GB"/>
        </w:rPr>
        <w:t xml:space="preserve">de la jornada </w:t>
      </w:r>
      <w:r w:rsidR="00CB1181" w:rsidRPr="002F21D4">
        <w:rPr>
          <w:color w:val="000000"/>
          <w:sz w:val="22"/>
          <w:szCs w:val="22"/>
          <w:lang w:val="es-ES" w:eastAsia="en-GB"/>
        </w:rPr>
        <w:t>del 9 de junio del Paro Nacional en Bogotá, Cali y Popayán</w:t>
      </w:r>
      <w:r w:rsidR="003E51D9" w:rsidRPr="002F21D4">
        <w:rPr>
          <w:color w:val="000000"/>
          <w:sz w:val="22"/>
          <w:szCs w:val="22"/>
          <w:lang w:val="es-ES" w:eastAsia="en-GB"/>
        </w:rPr>
        <w:t>.</w:t>
      </w:r>
    </w:p>
    <w:p w14:paraId="16CE68B9" w14:textId="77777777" w:rsidR="002F21D4" w:rsidRPr="002F21D4" w:rsidRDefault="002F21D4" w:rsidP="00B06FB8">
      <w:pPr>
        <w:shd w:val="clear" w:color="auto" w:fill="FFFFFF"/>
        <w:snapToGrid w:val="0"/>
        <w:ind w:firstLine="360"/>
        <w:jc w:val="both"/>
        <w:rPr>
          <w:color w:val="000000"/>
          <w:sz w:val="22"/>
          <w:szCs w:val="22"/>
          <w:lang w:val="es-ES" w:eastAsia="en-GB"/>
        </w:rPr>
      </w:pPr>
    </w:p>
    <w:p w14:paraId="7481D6FC" w14:textId="5125161E" w:rsidR="00277B70" w:rsidRPr="002F21D4" w:rsidRDefault="007F638D" w:rsidP="00B06FB8">
      <w:pPr>
        <w:shd w:val="clear" w:color="auto" w:fill="FFFFFF"/>
        <w:snapToGrid w:val="0"/>
        <w:ind w:firstLine="360"/>
        <w:jc w:val="both"/>
        <w:rPr>
          <w:color w:val="000000"/>
          <w:sz w:val="22"/>
          <w:szCs w:val="22"/>
          <w:lang w:val="es-ES" w:eastAsia="en-GB"/>
        </w:rPr>
      </w:pPr>
      <w:r w:rsidRPr="002F21D4">
        <w:rPr>
          <w:color w:val="000000"/>
          <w:sz w:val="22"/>
          <w:szCs w:val="22"/>
          <w:lang w:val="es-ES" w:eastAsia="en-GB"/>
        </w:rPr>
        <w:t>Frente a la insistente solicitud de la ciudadanía para dialogar con el Estado y poder iniciar o retomar agendas que condujeran a soluciones pactadas</w:t>
      </w:r>
      <w:r w:rsidR="00FE377A" w:rsidRPr="002F21D4">
        <w:rPr>
          <w:color w:val="000000"/>
          <w:sz w:val="22"/>
          <w:szCs w:val="22"/>
          <w:lang w:val="es-ES" w:eastAsia="en-GB"/>
        </w:rPr>
        <w:t>,</w:t>
      </w:r>
      <w:r w:rsidRPr="002F21D4">
        <w:rPr>
          <w:color w:val="000000"/>
          <w:sz w:val="22"/>
          <w:szCs w:val="22"/>
          <w:lang w:val="es-ES" w:eastAsia="en-GB"/>
        </w:rPr>
        <w:t xml:space="preserve"> </w:t>
      </w:r>
      <w:r w:rsidR="00FE377A" w:rsidRPr="002F21D4">
        <w:rPr>
          <w:color w:val="000000"/>
          <w:sz w:val="22"/>
          <w:szCs w:val="22"/>
          <w:lang w:val="es-ES" w:eastAsia="en-GB"/>
        </w:rPr>
        <w:t xml:space="preserve">las autoridades locales </w:t>
      </w:r>
      <w:r w:rsidR="00277B70" w:rsidRPr="002F21D4">
        <w:rPr>
          <w:color w:val="000000"/>
          <w:sz w:val="22"/>
          <w:szCs w:val="22"/>
          <w:lang w:val="es-ES" w:eastAsia="en-GB"/>
        </w:rPr>
        <w:t>lograron acuerdos para facilita</w:t>
      </w:r>
      <w:r w:rsidR="00FE377A" w:rsidRPr="002F21D4">
        <w:rPr>
          <w:color w:val="000000"/>
          <w:sz w:val="22"/>
          <w:szCs w:val="22"/>
          <w:lang w:val="es-ES" w:eastAsia="en-GB"/>
        </w:rPr>
        <w:t>r</w:t>
      </w:r>
      <w:r w:rsidR="00277B70" w:rsidRPr="002F21D4">
        <w:rPr>
          <w:color w:val="000000"/>
          <w:sz w:val="22"/>
          <w:szCs w:val="22"/>
          <w:lang w:val="es-ES" w:eastAsia="en-GB"/>
        </w:rPr>
        <w:t xml:space="preserve"> corredores humanitarios </w:t>
      </w:r>
      <w:r w:rsidR="00FE377A" w:rsidRPr="002F21D4">
        <w:rPr>
          <w:color w:val="000000"/>
          <w:sz w:val="22"/>
          <w:szCs w:val="22"/>
          <w:lang w:val="es-ES" w:eastAsia="en-GB"/>
        </w:rPr>
        <w:t>en los territorios</w:t>
      </w:r>
      <w:r w:rsidR="008B3D42" w:rsidRPr="002F21D4">
        <w:rPr>
          <w:color w:val="000000"/>
          <w:sz w:val="22"/>
          <w:szCs w:val="22"/>
          <w:lang w:val="es-ES" w:eastAsia="en-GB"/>
        </w:rPr>
        <w:t>,</w:t>
      </w:r>
      <w:r w:rsidR="00FE377A" w:rsidRPr="002F21D4">
        <w:rPr>
          <w:color w:val="000000"/>
          <w:sz w:val="22"/>
          <w:szCs w:val="22"/>
          <w:lang w:val="es-ES" w:eastAsia="en-GB"/>
        </w:rPr>
        <w:t xml:space="preserve"> </w:t>
      </w:r>
      <w:r w:rsidR="00277B70" w:rsidRPr="002F21D4">
        <w:rPr>
          <w:color w:val="000000"/>
          <w:sz w:val="22"/>
          <w:szCs w:val="22"/>
          <w:lang w:val="es-ES" w:eastAsia="en-GB"/>
        </w:rPr>
        <w:t>que en muchas ocasiones fueron acompañados por la MAPP/OEA</w:t>
      </w:r>
      <w:r w:rsidR="00F140D8" w:rsidRPr="002F21D4">
        <w:rPr>
          <w:rStyle w:val="FootnoteReference"/>
          <w:color w:val="000000"/>
          <w:sz w:val="22"/>
          <w:szCs w:val="22"/>
          <w:lang w:val="es-ES" w:eastAsia="en-GB"/>
        </w:rPr>
        <w:footnoteReference w:id="86"/>
      </w:r>
      <w:r w:rsidR="00277B70" w:rsidRPr="002F21D4">
        <w:rPr>
          <w:color w:val="000000"/>
          <w:sz w:val="22"/>
          <w:szCs w:val="22"/>
          <w:lang w:val="es-ES" w:eastAsia="en-GB"/>
        </w:rPr>
        <w:t>. En este sentido</w:t>
      </w:r>
      <w:r w:rsidR="00FE377A" w:rsidRPr="002F21D4">
        <w:rPr>
          <w:color w:val="000000"/>
          <w:sz w:val="22"/>
          <w:szCs w:val="22"/>
          <w:lang w:val="es-ES" w:eastAsia="en-GB"/>
        </w:rPr>
        <w:t>,</w:t>
      </w:r>
      <w:r w:rsidR="00277B70" w:rsidRPr="002F21D4">
        <w:rPr>
          <w:color w:val="000000"/>
          <w:sz w:val="22"/>
          <w:szCs w:val="22"/>
          <w:lang w:val="es-ES" w:eastAsia="en-GB"/>
        </w:rPr>
        <w:t xml:space="preserve"> tuvieron un papel clave</w:t>
      </w:r>
      <w:r w:rsidR="00FE377A" w:rsidRPr="002F21D4">
        <w:rPr>
          <w:color w:val="000000"/>
          <w:sz w:val="22"/>
          <w:szCs w:val="22"/>
          <w:lang w:val="es-ES" w:eastAsia="en-GB"/>
        </w:rPr>
        <w:t xml:space="preserve"> la Iglesia </w:t>
      </w:r>
      <w:r w:rsidR="00B1693F" w:rsidRPr="002F21D4">
        <w:rPr>
          <w:color w:val="000000"/>
          <w:sz w:val="22"/>
          <w:szCs w:val="22"/>
          <w:lang w:val="es-ES" w:eastAsia="en-GB"/>
        </w:rPr>
        <w:t xml:space="preserve">Católica </w:t>
      </w:r>
      <w:r w:rsidR="00FE377A" w:rsidRPr="002F21D4">
        <w:rPr>
          <w:color w:val="000000"/>
          <w:sz w:val="22"/>
          <w:szCs w:val="22"/>
          <w:lang w:val="es-ES" w:eastAsia="en-GB"/>
        </w:rPr>
        <w:t xml:space="preserve">y </w:t>
      </w:r>
      <w:r w:rsidR="00277B70" w:rsidRPr="002F21D4">
        <w:rPr>
          <w:color w:val="000000"/>
          <w:sz w:val="22"/>
          <w:szCs w:val="22"/>
          <w:lang w:val="es-ES" w:eastAsia="en-GB"/>
        </w:rPr>
        <w:t>la sociedad civil que junto</w:t>
      </w:r>
      <w:r w:rsidR="00FE377A" w:rsidRPr="002F21D4">
        <w:rPr>
          <w:color w:val="000000"/>
          <w:sz w:val="22"/>
          <w:szCs w:val="22"/>
          <w:lang w:val="es-ES" w:eastAsia="en-GB"/>
        </w:rPr>
        <w:t xml:space="preserve"> con los gobiernos locales</w:t>
      </w:r>
      <w:r w:rsidR="00277B70" w:rsidRPr="002F21D4">
        <w:rPr>
          <w:color w:val="000000"/>
          <w:sz w:val="22"/>
          <w:szCs w:val="22"/>
          <w:lang w:val="es-ES" w:eastAsia="en-GB"/>
        </w:rPr>
        <w:t xml:space="preserve"> mostraron su apertura al diálogo. También</w:t>
      </w:r>
      <w:r w:rsidR="00B1693F" w:rsidRPr="002F21D4">
        <w:rPr>
          <w:color w:val="000000"/>
          <w:sz w:val="22"/>
          <w:szCs w:val="22"/>
          <w:lang w:val="es-ES" w:eastAsia="en-GB"/>
        </w:rPr>
        <w:t xml:space="preserve"> el </w:t>
      </w:r>
      <w:r w:rsidR="003D3383" w:rsidRPr="002F21D4">
        <w:rPr>
          <w:color w:val="000000"/>
          <w:sz w:val="22"/>
          <w:szCs w:val="22"/>
          <w:lang w:val="es-ES" w:eastAsia="en-GB"/>
        </w:rPr>
        <w:t>O</w:t>
      </w:r>
      <w:r w:rsidR="00452A78" w:rsidRPr="002F21D4">
        <w:rPr>
          <w:color w:val="000000"/>
          <w:sz w:val="22"/>
          <w:szCs w:val="22"/>
          <w:lang w:val="es-ES" w:eastAsia="en-GB"/>
        </w:rPr>
        <w:t xml:space="preserve">rganismo de </w:t>
      </w:r>
      <w:r w:rsidR="003D3383" w:rsidRPr="002F21D4">
        <w:rPr>
          <w:color w:val="000000"/>
          <w:sz w:val="22"/>
          <w:szCs w:val="22"/>
          <w:lang w:val="es-ES" w:eastAsia="en-GB"/>
        </w:rPr>
        <w:t>A</w:t>
      </w:r>
      <w:r w:rsidR="00452A78" w:rsidRPr="002F21D4">
        <w:rPr>
          <w:color w:val="000000"/>
          <w:sz w:val="22"/>
          <w:szCs w:val="22"/>
          <w:lang w:val="es-ES" w:eastAsia="en-GB"/>
        </w:rPr>
        <w:t xml:space="preserve">cción </w:t>
      </w:r>
      <w:r w:rsidR="003D3383" w:rsidRPr="002F21D4">
        <w:rPr>
          <w:color w:val="000000"/>
          <w:sz w:val="22"/>
          <w:szCs w:val="22"/>
          <w:lang w:val="es-ES" w:eastAsia="en-GB"/>
        </w:rPr>
        <w:t>C</w:t>
      </w:r>
      <w:r w:rsidR="00452A78" w:rsidRPr="002F21D4">
        <w:rPr>
          <w:color w:val="000000"/>
          <w:sz w:val="22"/>
          <w:szCs w:val="22"/>
          <w:lang w:val="es-ES" w:eastAsia="en-GB"/>
        </w:rPr>
        <w:t>omunal</w:t>
      </w:r>
      <w:r w:rsidR="00277B70" w:rsidRPr="002F21D4">
        <w:rPr>
          <w:color w:val="000000"/>
          <w:sz w:val="22"/>
          <w:szCs w:val="22"/>
          <w:lang w:val="es-ES" w:eastAsia="en-GB"/>
        </w:rPr>
        <w:t>, como colectivo, reiteró el llamado a la no violencia, facilitó espacios de acercamiento y diálogo y design</w:t>
      </w:r>
      <w:r w:rsidR="00B1693F" w:rsidRPr="002F21D4">
        <w:rPr>
          <w:color w:val="000000"/>
          <w:sz w:val="22"/>
          <w:szCs w:val="22"/>
          <w:lang w:val="es-ES" w:eastAsia="en-GB"/>
        </w:rPr>
        <w:t>ó</w:t>
      </w:r>
      <w:r w:rsidR="00277B70" w:rsidRPr="002F21D4">
        <w:rPr>
          <w:color w:val="000000"/>
          <w:sz w:val="22"/>
          <w:szCs w:val="22"/>
          <w:lang w:val="es-ES" w:eastAsia="en-GB"/>
        </w:rPr>
        <w:t xml:space="preserve"> delegados para hacer parte del Comité Nacional del Paro. De igual manera, las mujeres comunales expresaron la relevancia democrática de brindarle garantías a l</w:t>
      </w:r>
      <w:r w:rsidR="00B1693F" w:rsidRPr="002F21D4">
        <w:rPr>
          <w:color w:val="000000"/>
          <w:sz w:val="22"/>
          <w:szCs w:val="22"/>
          <w:lang w:val="es-ES" w:eastAsia="en-GB"/>
        </w:rPr>
        <w:t>a juventud</w:t>
      </w:r>
      <w:r w:rsidR="00277B70" w:rsidRPr="002F21D4">
        <w:rPr>
          <w:color w:val="000000"/>
          <w:sz w:val="22"/>
          <w:szCs w:val="22"/>
          <w:lang w:val="es-ES" w:eastAsia="en-GB"/>
        </w:rPr>
        <w:t xml:space="preserve"> para que expresen lo que piensan, e invitaron a trabajar en la cultura del diálogo y el respeto a la diferencia</w:t>
      </w:r>
      <w:r w:rsidR="00B1693F" w:rsidRPr="002F21D4">
        <w:rPr>
          <w:color w:val="000000"/>
          <w:sz w:val="22"/>
          <w:szCs w:val="22"/>
          <w:lang w:val="es-ES" w:eastAsia="en-GB"/>
        </w:rPr>
        <w:t>,</w:t>
      </w:r>
      <w:r w:rsidR="00277B70" w:rsidRPr="002F21D4">
        <w:rPr>
          <w:color w:val="000000"/>
          <w:sz w:val="22"/>
          <w:szCs w:val="22"/>
          <w:lang w:val="es-ES" w:eastAsia="en-GB"/>
        </w:rPr>
        <w:t xml:space="preserve"> como el medio para superar la polarización.</w:t>
      </w:r>
    </w:p>
    <w:p w14:paraId="5DE67607" w14:textId="77777777" w:rsidR="002F21D4" w:rsidRPr="002F21D4" w:rsidRDefault="002F21D4" w:rsidP="00B06FB8">
      <w:pPr>
        <w:ind w:firstLine="360"/>
        <w:jc w:val="both"/>
        <w:rPr>
          <w:color w:val="000000"/>
          <w:sz w:val="22"/>
          <w:szCs w:val="22"/>
          <w:lang w:val="es-ES" w:eastAsia="en-GB"/>
        </w:rPr>
      </w:pPr>
    </w:p>
    <w:p w14:paraId="6D301A42" w14:textId="0794434C" w:rsidR="00BF5675" w:rsidRPr="002F21D4" w:rsidRDefault="00277B70" w:rsidP="00B06FB8">
      <w:pPr>
        <w:ind w:firstLine="360"/>
        <w:jc w:val="both"/>
        <w:rPr>
          <w:color w:val="000000"/>
          <w:sz w:val="22"/>
          <w:szCs w:val="22"/>
          <w:lang w:val="es-ES" w:eastAsia="en-GB"/>
        </w:rPr>
      </w:pPr>
      <w:r w:rsidRPr="002F21D4">
        <w:rPr>
          <w:color w:val="000000"/>
          <w:sz w:val="22"/>
          <w:szCs w:val="22"/>
          <w:lang w:val="es-ES" w:eastAsia="en-GB"/>
        </w:rPr>
        <w:lastRenderedPageBreak/>
        <w:t>En es</w:t>
      </w:r>
      <w:r w:rsidR="00865922" w:rsidRPr="002F21D4">
        <w:rPr>
          <w:color w:val="000000"/>
          <w:sz w:val="22"/>
          <w:szCs w:val="22"/>
          <w:lang w:val="es-ES" w:eastAsia="en-GB"/>
        </w:rPr>
        <w:t>t</w:t>
      </w:r>
      <w:r w:rsidRPr="002F21D4">
        <w:rPr>
          <w:color w:val="000000"/>
          <w:sz w:val="22"/>
          <w:szCs w:val="22"/>
          <w:lang w:val="es-ES" w:eastAsia="en-GB"/>
        </w:rPr>
        <w:t>e marco,</w:t>
      </w:r>
      <w:r w:rsidR="00B1693F" w:rsidRPr="002F21D4">
        <w:rPr>
          <w:color w:val="000000"/>
          <w:sz w:val="22"/>
          <w:szCs w:val="22"/>
          <w:lang w:val="es-ES" w:eastAsia="en-GB"/>
        </w:rPr>
        <w:t xml:space="preserve"> </w:t>
      </w:r>
      <w:r w:rsidRPr="002F21D4">
        <w:rPr>
          <w:color w:val="000000"/>
          <w:sz w:val="22"/>
          <w:szCs w:val="22"/>
          <w:lang w:val="es-ES" w:eastAsia="en-GB"/>
        </w:rPr>
        <w:t xml:space="preserve">se </w:t>
      </w:r>
      <w:r w:rsidR="00B1693F" w:rsidRPr="002F21D4">
        <w:rPr>
          <w:color w:val="000000"/>
          <w:sz w:val="22"/>
          <w:szCs w:val="22"/>
          <w:lang w:val="es-ES" w:eastAsia="en-GB"/>
        </w:rPr>
        <w:t xml:space="preserve">instalaron </w:t>
      </w:r>
      <w:r w:rsidRPr="002F21D4">
        <w:rPr>
          <w:color w:val="000000"/>
          <w:sz w:val="22"/>
          <w:szCs w:val="22"/>
          <w:lang w:val="es-ES" w:eastAsia="en-GB"/>
        </w:rPr>
        <w:t xml:space="preserve">múltiples mesas de diálogo, tanto formales como </w:t>
      </w:r>
      <w:r w:rsidRPr="002F21D4">
        <w:rPr>
          <w:i/>
          <w:color w:val="000000"/>
          <w:sz w:val="22"/>
          <w:szCs w:val="22"/>
          <w:lang w:val="es-ES" w:eastAsia="en-GB"/>
        </w:rPr>
        <w:t>ad hoc</w:t>
      </w:r>
      <w:r w:rsidRPr="002F21D4">
        <w:rPr>
          <w:color w:val="000000"/>
          <w:sz w:val="22"/>
          <w:szCs w:val="22"/>
          <w:lang w:val="es-ES" w:eastAsia="en-GB"/>
        </w:rPr>
        <w:t>, en los puntos de concentración</w:t>
      </w:r>
      <w:r w:rsidR="00865922" w:rsidRPr="002F21D4">
        <w:rPr>
          <w:color w:val="000000"/>
          <w:sz w:val="22"/>
          <w:szCs w:val="22"/>
          <w:lang w:val="es-ES" w:eastAsia="en-GB"/>
        </w:rPr>
        <w:t>. E</w:t>
      </w:r>
      <w:r w:rsidR="00B1693F" w:rsidRPr="002F21D4">
        <w:rPr>
          <w:color w:val="000000"/>
          <w:sz w:val="22"/>
          <w:szCs w:val="22"/>
          <w:lang w:val="es-ES" w:eastAsia="en-GB"/>
        </w:rPr>
        <w:t xml:space="preserve">l Gobierno nacional </w:t>
      </w:r>
      <w:r w:rsidR="00865922" w:rsidRPr="002F21D4">
        <w:rPr>
          <w:color w:val="000000"/>
          <w:sz w:val="22"/>
          <w:szCs w:val="22"/>
          <w:lang w:val="es-ES" w:eastAsia="en-GB"/>
        </w:rPr>
        <w:t xml:space="preserve">hizo </w:t>
      </w:r>
      <w:r w:rsidRPr="002F21D4">
        <w:rPr>
          <w:color w:val="000000"/>
          <w:sz w:val="22"/>
          <w:szCs w:val="22"/>
          <w:lang w:val="es-ES" w:eastAsia="en-GB"/>
        </w:rPr>
        <w:t xml:space="preserve">un </w:t>
      </w:r>
      <w:r w:rsidR="00865922" w:rsidRPr="002F21D4">
        <w:rPr>
          <w:color w:val="000000"/>
          <w:sz w:val="22"/>
          <w:szCs w:val="22"/>
          <w:lang w:val="es-ES" w:eastAsia="en-GB"/>
        </w:rPr>
        <w:t xml:space="preserve">gran </w:t>
      </w:r>
      <w:r w:rsidRPr="002F21D4">
        <w:rPr>
          <w:color w:val="000000"/>
          <w:sz w:val="22"/>
          <w:szCs w:val="22"/>
          <w:lang w:val="es-ES" w:eastAsia="en-GB"/>
        </w:rPr>
        <w:t xml:space="preserve">despliegue territorial para participar en estos procesos, con una actitud de escucha en busca de la resolución de las </w:t>
      </w:r>
      <w:r w:rsidR="00282EB4" w:rsidRPr="002F21D4">
        <w:rPr>
          <w:color w:val="000000"/>
          <w:sz w:val="22"/>
          <w:szCs w:val="22"/>
          <w:lang w:val="es-ES" w:eastAsia="en-GB"/>
        </w:rPr>
        <w:t xml:space="preserve">exigencias de la ciudadanía </w:t>
      </w:r>
      <w:r w:rsidRPr="002F21D4">
        <w:rPr>
          <w:color w:val="000000"/>
          <w:sz w:val="22"/>
          <w:szCs w:val="22"/>
          <w:lang w:val="es-ES" w:eastAsia="en-GB"/>
        </w:rPr>
        <w:t xml:space="preserve">a través de acuerdos concretos. </w:t>
      </w:r>
      <w:r w:rsidR="00BF5675" w:rsidRPr="002F21D4">
        <w:rPr>
          <w:color w:val="000000"/>
          <w:sz w:val="22"/>
          <w:szCs w:val="22"/>
          <w:lang w:val="es-ES" w:eastAsia="en-GB"/>
        </w:rPr>
        <w:t>Inicialmente, el positivo llamado gubernamental al diálogo fue suficientemente inclusivo, en particular, con sectores invisibilizados como las mujeres y las juventudes.</w:t>
      </w:r>
    </w:p>
    <w:p w14:paraId="71FEAC17" w14:textId="77777777" w:rsidR="00BF5675" w:rsidRPr="002F21D4" w:rsidRDefault="00BF5675" w:rsidP="00B06FB8">
      <w:pPr>
        <w:jc w:val="both"/>
        <w:rPr>
          <w:color w:val="000000"/>
          <w:sz w:val="22"/>
          <w:szCs w:val="22"/>
          <w:lang w:val="es-ES" w:eastAsia="en-GB"/>
        </w:rPr>
      </w:pPr>
    </w:p>
    <w:p w14:paraId="02003128" w14:textId="696C41F2" w:rsidR="00277B70" w:rsidRPr="002F21D4" w:rsidRDefault="00CC1BDF" w:rsidP="00B06FB8">
      <w:pPr>
        <w:shd w:val="clear" w:color="auto" w:fill="FFFFFF"/>
        <w:snapToGrid w:val="0"/>
        <w:ind w:firstLine="360"/>
        <w:jc w:val="both"/>
        <w:rPr>
          <w:color w:val="000000"/>
          <w:sz w:val="22"/>
          <w:szCs w:val="22"/>
          <w:lang w:val="es-ES" w:eastAsia="en-GB"/>
        </w:rPr>
      </w:pPr>
      <w:r w:rsidRPr="002F21D4">
        <w:rPr>
          <w:color w:val="000000"/>
          <w:sz w:val="22"/>
          <w:szCs w:val="22"/>
          <w:lang w:val="es-ES" w:eastAsia="en-GB"/>
        </w:rPr>
        <w:t xml:space="preserve">Sin embargo, </w:t>
      </w:r>
      <w:r w:rsidR="00277B70" w:rsidRPr="002F21D4">
        <w:rPr>
          <w:color w:val="000000"/>
          <w:sz w:val="22"/>
          <w:szCs w:val="22"/>
          <w:lang w:val="es-ES" w:eastAsia="en-GB"/>
        </w:rPr>
        <w:t>el sector juvenil y estudiantil</w:t>
      </w:r>
      <w:r w:rsidRPr="002F21D4">
        <w:rPr>
          <w:color w:val="000000"/>
          <w:sz w:val="22"/>
          <w:szCs w:val="22"/>
          <w:lang w:val="es-ES" w:eastAsia="en-GB"/>
        </w:rPr>
        <w:t>,</w:t>
      </w:r>
      <w:r w:rsidR="00277B70" w:rsidRPr="002F21D4">
        <w:rPr>
          <w:color w:val="000000"/>
          <w:sz w:val="22"/>
          <w:szCs w:val="22"/>
          <w:lang w:val="es-ES" w:eastAsia="en-GB"/>
        </w:rPr>
        <w:t xml:space="preserve"> </w:t>
      </w:r>
      <w:r w:rsidRPr="002F21D4">
        <w:rPr>
          <w:color w:val="000000"/>
          <w:sz w:val="22"/>
          <w:szCs w:val="22"/>
          <w:lang w:val="es-ES" w:eastAsia="en-GB"/>
        </w:rPr>
        <w:t xml:space="preserve">en su aspiración ciudadana </w:t>
      </w:r>
      <w:r w:rsidR="00277B70" w:rsidRPr="002F21D4">
        <w:rPr>
          <w:color w:val="000000"/>
          <w:sz w:val="22"/>
          <w:szCs w:val="22"/>
          <w:lang w:val="es-ES" w:eastAsia="en-GB"/>
        </w:rPr>
        <w:t>de ser un actor cl</w:t>
      </w:r>
      <w:r w:rsidRPr="002F21D4">
        <w:rPr>
          <w:color w:val="000000"/>
          <w:sz w:val="22"/>
          <w:szCs w:val="22"/>
          <w:lang w:val="es-ES" w:eastAsia="en-GB"/>
        </w:rPr>
        <w:t xml:space="preserve">ave en el ejercicio democrático, </w:t>
      </w:r>
      <w:r w:rsidR="00277B70" w:rsidRPr="002F21D4">
        <w:rPr>
          <w:color w:val="000000"/>
          <w:sz w:val="22"/>
          <w:szCs w:val="22"/>
          <w:lang w:val="es-ES" w:eastAsia="en-GB"/>
        </w:rPr>
        <w:t xml:space="preserve">logró abrirse un espacio </w:t>
      </w:r>
      <w:r w:rsidR="00A7754A" w:rsidRPr="002F21D4">
        <w:rPr>
          <w:color w:val="000000"/>
          <w:sz w:val="22"/>
          <w:szCs w:val="22"/>
          <w:lang w:val="es-ES" w:eastAsia="en-GB"/>
        </w:rPr>
        <w:t>de diálogo directo con representantes del gobierno nacional y territorial para abordar respuestas y soluciones articuladas a las inconformidades sociales.</w:t>
      </w:r>
      <w:r w:rsidR="00277B70" w:rsidRPr="002F21D4">
        <w:rPr>
          <w:color w:val="000000"/>
          <w:sz w:val="22"/>
          <w:szCs w:val="22"/>
          <w:lang w:val="es-ES" w:eastAsia="en-GB"/>
        </w:rPr>
        <w:t xml:space="preserve"> En tal sentido, </w:t>
      </w:r>
      <w:r w:rsidR="00BB79FF" w:rsidRPr="002F21D4">
        <w:rPr>
          <w:color w:val="000000"/>
          <w:sz w:val="22"/>
          <w:szCs w:val="22"/>
          <w:lang w:val="es-ES" w:eastAsia="en-GB"/>
        </w:rPr>
        <w:t xml:space="preserve">el Instituto Colombiano de Bienestar Familiar (ICBF) y </w:t>
      </w:r>
      <w:r w:rsidRPr="002F21D4">
        <w:rPr>
          <w:color w:val="000000"/>
          <w:sz w:val="22"/>
          <w:szCs w:val="22"/>
          <w:lang w:val="es-ES" w:eastAsia="en-GB"/>
        </w:rPr>
        <w:t>la Consejería Presidencial para la Juventud</w:t>
      </w:r>
      <w:r w:rsidR="00330A94" w:rsidRPr="002F21D4">
        <w:rPr>
          <w:color w:val="000000"/>
          <w:sz w:val="22"/>
          <w:szCs w:val="22"/>
          <w:lang w:val="es-ES" w:eastAsia="en-GB"/>
        </w:rPr>
        <w:t xml:space="preserve">, en el marco del “Pacto Colombia con las Juventudes”, </w:t>
      </w:r>
      <w:r w:rsidRPr="002F21D4">
        <w:rPr>
          <w:color w:val="000000"/>
          <w:sz w:val="22"/>
          <w:szCs w:val="22"/>
          <w:lang w:val="es-ES" w:eastAsia="en-GB"/>
        </w:rPr>
        <w:t xml:space="preserve">lideraron </w:t>
      </w:r>
      <w:r w:rsidR="00277B70" w:rsidRPr="002F21D4">
        <w:rPr>
          <w:color w:val="000000"/>
          <w:sz w:val="22"/>
          <w:szCs w:val="22"/>
          <w:lang w:val="es-ES" w:eastAsia="en-GB"/>
        </w:rPr>
        <w:t>proceso</w:t>
      </w:r>
      <w:r w:rsidRPr="002F21D4">
        <w:rPr>
          <w:color w:val="000000"/>
          <w:sz w:val="22"/>
          <w:szCs w:val="22"/>
          <w:lang w:val="es-ES" w:eastAsia="en-GB"/>
        </w:rPr>
        <w:t>s</w:t>
      </w:r>
      <w:r w:rsidR="00277B70" w:rsidRPr="002F21D4">
        <w:rPr>
          <w:color w:val="000000"/>
          <w:sz w:val="22"/>
          <w:szCs w:val="22"/>
          <w:lang w:val="es-ES" w:eastAsia="en-GB"/>
        </w:rPr>
        <w:t xml:space="preserve"> de escucha durante varias semanas</w:t>
      </w:r>
      <w:r w:rsidR="00BB79FF" w:rsidRPr="002F21D4">
        <w:rPr>
          <w:color w:val="000000"/>
          <w:sz w:val="22"/>
          <w:szCs w:val="22"/>
          <w:lang w:val="es-ES" w:eastAsia="en-GB"/>
        </w:rPr>
        <w:t>,</w:t>
      </w:r>
      <w:r w:rsidR="00277B70" w:rsidRPr="002F21D4">
        <w:rPr>
          <w:sz w:val="22"/>
          <w:szCs w:val="22"/>
          <w:lang w:val="es-ES"/>
        </w:rPr>
        <w:t xml:space="preserve"> </w:t>
      </w:r>
      <w:r w:rsidR="00BB79FF" w:rsidRPr="002F21D4">
        <w:rPr>
          <w:color w:val="000000"/>
          <w:sz w:val="22"/>
          <w:szCs w:val="22"/>
          <w:lang w:val="es-ES" w:eastAsia="en-GB"/>
        </w:rPr>
        <w:t xml:space="preserve">en distintos territorios </w:t>
      </w:r>
      <w:r w:rsidR="00277B70" w:rsidRPr="002F21D4">
        <w:rPr>
          <w:color w:val="000000"/>
          <w:sz w:val="22"/>
          <w:szCs w:val="22"/>
          <w:lang w:val="es-ES" w:eastAsia="en-GB"/>
        </w:rPr>
        <w:t>y donde participaron más de 1</w:t>
      </w:r>
      <w:r w:rsidR="00A7754A" w:rsidRPr="002F21D4">
        <w:rPr>
          <w:color w:val="000000"/>
          <w:sz w:val="22"/>
          <w:szCs w:val="22"/>
          <w:lang w:val="es-ES" w:eastAsia="en-GB"/>
        </w:rPr>
        <w:t>5.145</w:t>
      </w:r>
      <w:r w:rsidR="00277B70" w:rsidRPr="002F21D4">
        <w:rPr>
          <w:color w:val="000000"/>
          <w:sz w:val="22"/>
          <w:szCs w:val="22"/>
          <w:lang w:val="es-ES" w:eastAsia="en-GB"/>
        </w:rPr>
        <w:t xml:space="preserve"> jóvenes en un total de </w:t>
      </w:r>
      <w:r w:rsidR="00A7754A" w:rsidRPr="002F21D4">
        <w:rPr>
          <w:color w:val="000000"/>
          <w:sz w:val="22"/>
          <w:szCs w:val="22"/>
          <w:lang w:val="es-ES" w:eastAsia="en-GB"/>
        </w:rPr>
        <w:t>502</w:t>
      </w:r>
      <w:r w:rsidR="00277B70" w:rsidRPr="002F21D4">
        <w:rPr>
          <w:color w:val="000000"/>
          <w:sz w:val="22"/>
          <w:szCs w:val="22"/>
          <w:lang w:val="es-ES" w:eastAsia="en-GB"/>
        </w:rPr>
        <w:t xml:space="preserve"> mesas</w:t>
      </w:r>
      <w:r w:rsidR="00277B70" w:rsidRPr="002F21D4">
        <w:rPr>
          <w:rStyle w:val="FootnoteReference"/>
          <w:color w:val="000000"/>
          <w:sz w:val="22"/>
          <w:szCs w:val="22"/>
          <w:lang w:val="es-ES" w:eastAsia="en-GB"/>
        </w:rPr>
        <w:footnoteReference w:id="87"/>
      </w:r>
      <w:r w:rsidR="00277B70" w:rsidRPr="002F21D4">
        <w:rPr>
          <w:color w:val="000000"/>
          <w:sz w:val="22"/>
          <w:szCs w:val="22"/>
          <w:lang w:val="es-ES" w:eastAsia="en-GB"/>
        </w:rPr>
        <w:t>; muchas de est</w:t>
      </w:r>
      <w:r w:rsidR="00282EB4" w:rsidRPr="002F21D4">
        <w:rPr>
          <w:color w:val="000000"/>
          <w:sz w:val="22"/>
          <w:szCs w:val="22"/>
          <w:lang w:val="es-ES" w:eastAsia="en-GB"/>
        </w:rPr>
        <w:t>as acompañada</w:t>
      </w:r>
      <w:r w:rsidR="00277B70" w:rsidRPr="002F21D4">
        <w:rPr>
          <w:color w:val="000000"/>
          <w:sz w:val="22"/>
          <w:szCs w:val="22"/>
          <w:lang w:val="es-ES" w:eastAsia="en-GB"/>
        </w:rPr>
        <w:t>s por la MAPP/OEA.</w:t>
      </w:r>
      <w:r w:rsidR="0078159F" w:rsidRPr="002F21D4">
        <w:rPr>
          <w:color w:val="000000"/>
          <w:sz w:val="22"/>
          <w:szCs w:val="22"/>
          <w:lang w:val="es-ES" w:eastAsia="en-GB"/>
        </w:rPr>
        <w:t xml:space="preserve"> </w:t>
      </w:r>
    </w:p>
    <w:p w14:paraId="6899128E" w14:textId="77777777" w:rsidR="002F21D4" w:rsidRPr="002F21D4" w:rsidRDefault="002F21D4" w:rsidP="00B06FB8">
      <w:pPr>
        <w:shd w:val="clear" w:color="auto" w:fill="FFFFFF"/>
        <w:snapToGrid w:val="0"/>
        <w:ind w:firstLine="360"/>
        <w:jc w:val="both"/>
        <w:rPr>
          <w:color w:val="000000"/>
          <w:sz w:val="22"/>
          <w:szCs w:val="22"/>
          <w:lang w:val="es-ES" w:eastAsia="en-GB"/>
        </w:rPr>
      </w:pPr>
    </w:p>
    <w:p w14:paraId="047FA40F" w14:textId="6D4AC5F4" w:rsidR="004E0690" w:rsidRPr="002F21D4" w:rsidRDefault="006057EF" w:rsidP="00B06FB8">
      <w:pPr>
        <w:shd w:val="clear" w:color="auto" w:fill="FFFFFF"/>
        <w:snapToGrid w:val="0"/>
        <w:ind w:firstLine="360"/>
        <w:jc w:val="both"/>
        <w:rPr>
          <w:color w:val="000000"/>
          <w:sz w:val="22"/>
          <w:szCs w:val="22"/>
          <w:lang w:val="es-ES" w:eastAsia="en-GB"/>
        </w:rPr>
      </w:pPr>
      <w:r w:rsidRPr="002F21D4">
        <w:rPr>
          <w:color w:val="000000"/>
          <w:sz w:val="22"/>
          <w:szCs w:val="22"/>
          <w:lang w:val="es-ES" w:eastAsia="en-GB"/>
        </w:rPr>
        <w:t>A pesar de los esfuerzos de</w:t>
      </w:r>
      <w:r w:rsidR="00277B70" w:rsidRPr="002F21D4">
        <w:rPr>
          <w:color w:val="000000"/>
          <w:sz w:val="22"/>
          <w:szCs w:val="22"/>
          <w:lang w:val="es-ES" w:eastAsia="en-GB"/>
        </w:rPr>
        <w:t xml:space="preserve">l Gobierno nacional </w:t>
      </w:r>
      <w:r w:rsidRPr="002F21D4">
        <w:rPr>
          <w:color w:val="000000"/>
          <w:sz w:val="22"/>
          <w:szCs w:val="22"/>
          <w:lang w:val="es-ES" w:eastAsia="en-GB"/>
        </w:rPr>
        <w:t>por</w:t>
      </w:r>
      <w:r w:rsidR="00277B70" w:rsidRPr="002F21D4">
        <w:rPr>
          <w:color w:val="000000"/>
          <w:sz w:val="22"/>
          <w:szCs w:val="22"/>
          <w:lang w:val="es-ES" w:eastAsia="en-GB"/>
        </w:rPr>
        <w:t xml:space="preserve"> brinda</w:t>
      </w:r>
      <w:r w:rsidRPr="002F21D4">
        <w:rPr>
          <w:color w:val="000000"/>
          <w:sz w:val="22"/>
          <w:szCs w:val="22"/>
          <w:lang w:val="es-ES" w:eastAsia="en-GB"/>
        </w:rPr>
        <w:t>r</w:t>
      </w:r>
      <w:r w:rsidR="00277B70" w:rsidRPr="002F21D4">
        <w:rPr>
          <w:color w:val="000000"/>
          <w:sz w:val="22"/>
          <w:szCs w:val="22"/>
          <w:lang w:val="es-ES" w:eastAsia="en-GB"/>
        </w:rPr>
        <w:t xml:space="preserve"> reconocimiento a la juventud y su potencial transformador</w:t>
      </w:r>
      <w:r w:rsidRPr="002F21D4">
        <w:rPr>
          <w:color w:val="000000"/>
          <w:sz w:val="22"/>
          <w:szCs w:val="22"/>
          <w:lang w:val="es-ES" w:eastAsia="en-GB"/>
        </w:rPr>
        <w:t xml:space="preserve">, en </w:t>
      </w:r>
      <w:r w:rsidR="000A1C0E" w:rsidRPr="002F21D4">
        <w:rPr>
          <w:color w:val="000000"/>
          <w:sz w:val="22"/>
          <w:szCs w:val="22"/>
          <w:lang w:val="es-ES" w:eastAsia="en-GB"/>
        </w:rPr>
        <w:t xml:space="preserve">los </w:t>
      </w:r>
      <w:r w:rsidRPr="002F21D4">
        <w:rPr>
          <w:color w:val="000000"/>
          <w:sz w:val="22"/>
          <w:szCs w:val="22"/>
          <w:lang w:val="es-ES" w:eastAsia="en-GB"/>
        </w:rPr>
        <w:t>espacios</w:t>
      </w:r>
      <w:r w:rsidR="000A1C0E" w:rsidRPr="002F21D4">
        <w:rPr>
          <w:color w:val="000000"/>
          <w:sz w:val="22"/>
          <w:szCs w:val="22"/>
          <w:lang w:val="es-ES" w:eastAsia="en-GB"/>
        </w:rPr>
        <w:t xml:space="preserve"> de escucha</w:t>
      </w:r>
      <w:r w:rsidRPr="002F21D4">
        <w:rPr>
          <w:color w:val="000000"/>
          <w:sz w:val="22"/>
          <w:szCs w:val="22"/>
          <w:lang w:val="es-ES" w:eastAsia="en-GB"/>
        </w:rPr>
        <w:t xml:space="preserve"> </w:t>
      </w:r>
      <w:r w:rsidR="00282EB4" w:rsidRPr="002F21D4">
        <w:rPr>
          <w:color w:val="000000"/>
          <w:sz w:val="22"/>
          <w:szCs w:val="22"/>
          <w:lang w:val="es-ES" w:eastAsia="en-GB"/>
        </w:rPr>
        <w:t>se</w:t>
      </w:r>
      <w:r w:rsidRPr="002F21D4">
        <w:rPr>
          <w:color w:val="000000"/>
          <w:sz w:val="22"/>
          <w:szCs w:val="22"/>
          <w:lang w:val="es-ES" w:eastAsia="en-GB"/>
        </w:rPr>
        <w:t xml:space="preserve"> presentaron </w:t>
      </w:r>
      <w:r w:rsidR="00282EB4" w:rsidRPr="002F21D4">
        <w:rPr>
          <w:color w:val="000000"/>
          <w:sz w:val="22"/>
          <w:szCs w:val="22"/>
          <w:lang w:val="es-ES" w:eastAsia="en-GB"/>
        </w:rPr>
        <w:t xml:space="preserve">dificultades en el diseño de </w:t>
      </w:r>
      <w:r w:rsidR="000A1C0E" w:rsidRPr="002F21D4">
        <w:rPr>
          <w:color w:val="000000"/>
          <w:sz w:val="22"/>
          <w:szCs w:val="22"/>
          <w:lang w:val="es-ES" w:eastAsia="en-GB"/>
        </w:rPr>
        <w:t>una metodología</w:t>
      </w:r>
      <w:r w:rsidR="00277B70" w:rsidRPr="002F21D4">
        <w:rPr>
          <w:color w:val="000000"/>
          <w:sz w:val="22"/>
          <w:szCs w:val="22"/>
          <w:lang w:val="es-ES" w:eastAsia="en-GB"/>
        </w:rPr>
        <w:t xml:space="preserve"> clara y eficaz</w:t>
      </w:r>
      <w:r w:rsidRPr="002F21D4">
        <w:rPr>
          <w:color w:val="000000"/>
          <w:sz w:val="22"/>
          <w:szCs w:val="22"/>
          <w:lang w:val="es-ES" w:eastAsia="en-GB"/>
        </w:rPr>
        <w:t xml:space="preserve"> que involucrara</w:t>
      </w:r>
      <w:r w:rsidR="00277B70" w:rsidRPr="002F21D4">
        <w:rPr>
          <w:color w:val="000000"/>
          <w:sz w:val="22"/>
          <w:szCs w:val="22"/>
          <w:lang w:val="es-ES" w:eastAsia="en-GB"/>
        </w:rPr>
        <w:t xml:space="preserve"> en sus convocatorias</w:t>
      </w:r>
      <w:r w:rsidRPr="002F21D4">
        <w:rPr>
          <w:color w:val="000000"/>
          <w:sz w:val="22"/>
          <w:szCs w:val="22"/>
          <w:lang w:val="es-ES" w:eastAsia="en-GB"/>
        </w:rPr>
        <w:t xml:space="preserve"> la representación de</w:t>
      </w:r>
      <w:r w:rsidR="00277B70" w:rsidRPr="002F21D4">
        <w:rPr>
          <w:color w:val="000000"/>
          <w:sz w:val="22"/>
          <w:szCs w:val="22"/>
          <w:lang w:val="es-ES" w:eastAsia="en-GB"/>
        </w:rPr>
        <w:t xml:space="preserve"> una juventud amplia y diversa. </w:t>
      </w:r>
      <w:r w:rsidR="000A1C0E" w:rsidRPr="002F21D4">
        <w:rPr>
          <w:color w:val="000000"/>
          <w:sz w:val="22"/>
          <w:szCs w:val="22"/>
          <w:lang w:val="es-ES" w:eastAsia="en-GB"/>
        </w:rPr>
        <w:t xml:space="preserve">Aun así, </w:t>
      </w:r>
      <w:r w:rsidR="00277B70" w:rsidRPr="002F21D4">
        <w:rPr>
          <w:color w:val="000000"/>
          <w:sz w:val="22"/>
          <w:szCs w:val="22"/>
          <w:lang w:val="es-ES" w:eastAsia="en-GB"/>
        </w:rPr>
        <w:t>estos espacios</w:t>
      </w:r>
      <w:r w:rsidR="00AC210D" w:rsidRPr="002F21D4">
        <w:rPr>
          <w:color w:val="000000"/>
          <w:sz w:val="22"/>
          <w:szCs w:val="22"/>
          <w:lang w:val="es-ES" w:eastAsia="en-GB"/>
        </w:rPr>
        <w:t xml:space="preserve"> que</w:t>
      </w:r>
      <w:r w:rsidR="00277B70" w:rsidRPr="002F21D4">
        <w:rPr>
          <w:color w:val="000000"/>
          <w:sz w:val="22"/>
          <w:szCs w:val="22"/>
          <w:lang w:val="es-ES" w:eastAsia="en-GB"/>
        </w:rPr>
        <w:t xml:space="preserve"> iniciaron de manera </w:t>
      </w:r>
      <w:r w:rsidR="000E3407" w:rsidRPr="002F21D4">
        <w:rPr>
          <w:color w:val="000000"/>
          <w:sz w:val="22"/>
          <w:szCs w:val="22"/>
          <w:lang w:val="es-ES" w:eastAsia="en-GB"/>
        </w:rPr>
        <w:t>espontánea</w:t>
      </w:r>
      <w:r w:rsidR="00AC210D" w:rsidRPr="002F21D4">
        <w:rPr>
          <w:color w:val="000000"/>
          <w:sz w:val="22"/>
          <w:szCs w:val="22"/>
          <w:lang w:val="es-ES" w:eastAsia="en-GB"/>
        </w:rPr>
        <w:t xml:space="preserve"> </w:t>
      </w:r>
      <w:r w:rsidR="00277B70" w:rsidRPr="002F21D4">
        <w:rPr>
          <w:color w:val="000000"/>
          <w:sz w:val="22"/>
          <w:szCs w:val="22"/>
          <w:lang w:val="es-ES" w:eastAsia="en-GB"/>
        </w:rPr>
        <w:t xml:space="preserve">se consolidaron paulatinamente y generaron importantes expectativas en el sector juvenil, </w:t>
      </w:r>
      <w:r w:rsidR="00AC210D" w:rsidRPr="002F21D4">
        <w:rPr>
          <w:color w:val="000000"/>
          <w:sz w:val="22"/>
          <w:szCs w:val="22"/>
          <w:lang w:val="es-ES" w:eastAsia="en-GB"/>
        </w:rPr>
        <w:t>las cuales</w:t>
      </w:r>
      <w:r w:rsidR="00277B70" w:rsidRPr="002F21D4">
        <w:rPr>
          <w:color w:val="000000"/>
          <w:sz w:val="22"/>
          <w:szCs w:val="22"/>
          <w:lang w:val="es-ES" w:eastAsia="en-GB"/>
        </w:rPr>
        <w:t xml:space="preserve"> necesitarán ser abordadas en un futuro</w:t>
      </w:r>
      <w:r w:rsidR="000E3407" w:rsidRPr="002F21D4">
        <w:rPr>
          <w:color w:val="000000"/>
          <w:sz w:val="22"/>
          <w:szCs w:val="22"/>
          <w:lang w:val="es-ES" w:eastAsia="en-GB"/>
        </w:rPr>
        <w:t xml:space="preserve"> próximo</w:t>
      </w:r>
      <w:r w:rsidR="00277B70" w:rsidRPr="002F21D4">
        <w:rPr>
          <w:color w:val="000000"/>
          <w:sz w:val="22"/>
          <w:szCs w:val="22"/>
          <w:lang w:val="es-ES" w:eastAsia="en-GB"/>
        </w:rPr>
        <w:t>. </w:t>
      </w:r>
    </w:p>
    <w:p w14:paraId="1C1B15A5" w14:textId="77777777" w:rsidR="002F21D4" w:rsidRPr="002F21D4" w:rsidRDefault="002F21D4" w:rsidP="00B06FB8">
      <w:pPr>
        <w:shd w:val="clear" w:color="auto" w:fill="FFFFFF"/>
        <w:snapToGrid w:val="0"/>
        <w:ind w:firstLine="360"/>
        <w:jc w:val="both"/>
        <w:rPr>
          <w:color w:val="000000"/>
          <w:sz w:val="22"/>
          <w:szCs w:val="22"/>
          <w:lang w:val="es-ES" w:eastAsia="en-GB"/>
        </w:rPr>
      </w:pPr>
    </w:p>
    <w:p w14:paraId="287597D3" w14:textId="5369C799" w:rsidR="004E0690" w:rsidRPr="002F21D4" w:rsidRDefault="00F95D93" w:rsidP="00B06FB8">
      <w:pPr>
        <w:shd w:val="clear" w:color="auto" w:fill="FFFFFF"/>
        <w:snapToGrid w:val="0"/>
        <w:ind w:firstLine="360"/>
        <w:jc w:val="both"/>
        <w:rPr>
          <w:color w:val="000000"/>
          <w:sz w:val="22"/>
          <w:szCs w:val="22"/>
          <w:lang w:val="es-ES" w:eastAsia="en-GB"/>
        </w:rPr>
      </w:pPr>
      <w:r w:rsidRPr="002F21D4">
        <w:rPr>
          <w:color w:val="000000"/>
          <w:sz w:val="22"/>
          <w:szCs w:val="22"/>
          <w:lang w:val="es-ES" w:eastAsia="en-GB"/>
        </w:rPr>
        <w:t>P</w:t>
      </w:r>
      <w:r w:rsidR="004E0690" w:rsidRPr="002F21D4">
        <w:rPr>
          <w:color w:val="000000"/>
          <w:sz w:val="22"/>
          <w:szCs w:val="22"/>
          <w:lang w:val="es-ES" w:eastAsia="en-GB"/>
        </w:rPr>
        <w:t>or es</w:t>
      </w:r>
      <w:r w:rsidRPr="002F21D4">
        <w:rPr>
          <w:color w:val="000000"/>
          <w:sz w:val="22"/>
          <w:szCs w:val="22"/>
          <w:lang w:val="es-ES" w:eastAsia="en-GB"/>
        </w:rPr>
        <w:t xml:space="preserve">to, es indispensable continuar </w:t>
      </w:r>
      <w:r w:rsidR="004E0690" w:rsidRPr="002F21D4">
        <w:rPr>
          <w:color w:val="000000"/>
          <w:sz w:val="22"/>
          <w:szCs w:val="22"/>
          <w:lang w:val="es-ES" w:eastAsia="en-GB"/>
        </w:rPr>
        <w:t>la interacción dialógica con la juventud y canalizar estos espacios de escucha hacia estructuras de mayor impacto para las propuestas juveniles. Asimismo, aprovechar y fomentar las próximas elecciones de los Consejos Municipales y Departamenta</w:t>
      </w:r>
      <w:r w:rsidRPr="002F21D4">
        <w:rPr>
          <w:color w:val="000000"/>
          <w:sz w:val="22"/>
          <w:szCs w:val="22"/>
          <w:lang w:val="es-ES" w:eastAsia="en-GB"/>
        </w:rPr>
        <w:t>les de Juventud</w:t>
      </w:r>
      <w:r w:rsidR="004E0690" w:rsidRPr="002F21D4">
        <w:rPr>
          <w:color w:val="000000"/>
          <w:sz w:val="22"/>
          <w:szCs w:val="22"/>
          <w:lang w:val="es-ES" w:eastAsia="en-GB"/>
        </w:rPr>
        <w:t xml:space="preserve"> para fortalecer las capacidades ciudadanas de </w:t>
      </w:r>
      <w:r w:rsidRPr="002F21D4">
        <w:rPr>
          <w:color w:val="000000"/>
          <w:sz w:val="22"/>
          <w:szCs w:val="22"/>
          <w:lang w:val="es-ES" w:eastAsia="en-GB"/>
        </w:rPr>
        <w:t xml:space="preserve">las y los jóvenes </w:t>
      </w:r>
      <w:r w:rsidR="00451F47" w:rsidRPr="002F21D4">
        <w:rPr>
          <w:color w:val="000000"/>
          <w:sz w:val="22"/>
          <w:szCs w:val="22"/>
          <w:lang w:val="es-ES" w:eastAsia="en-GB"/>
        </w:rPr>
        <w:t>e</w:t>
      </w:r>
      <w:r w:rsidRPr="002F21D4">
        <w:rPr>
          <w:color w:val="000000"/>
          <w:sz w:val="22"/>
          <w:szCs w:val="22"/>
          <w:lang w:val="es-ES" w:eastAsia="en-GB"/>
        </w:rPr>
        <w:t xml:space="preserve"> </w:t>
      </w:r>
      <w:r w:rsidR="00451F47" w:rsidRPr="002F21D4">
        <w:rPr>
          <w:color w:val="000000"/>
          <w:sz w:val="22"/>
          <w:szCs w:val="22"/>
          <w:lang w:val="es-ES" w:eastAsia="en-GB"/>
        </w:rPr>
        <w:t>incentivarles</w:t>
      </w:r>
      <w:r w:rsidR="004E0690" w:rsidRPr="002F21D4">
        <w:rPr>
          <w:color w:val="000000"/>
          <w:sz w:val="22"/>
          <w:szCs w:val="22"/>
          <w:lang w:val="es-ES" w:eastAsia="en-GB"/>
        </w:rPr>
        <w:t xml:space="preserve"> a una mayor participación y construcción democrática</w:t>
      </w:r>
      <w:r w:rsidRPr="002F21D4">
        <w:rPr>
          <w:color w:val="000000"/>
          <w:sz w:val="22"/>
          <w:szCs w:val="22"/>
          <w:lang w:val="es-ES" w:eastAsia="en-GB"/>
        </w:rPr>
        <w:t>.</w:t>
      </w:r>
      <w:r w:rsidR="0078159F" w:rsidRPr="002F21D4">
        <w:rPr>
          <w:color w:val="000000"/>
          <w:sz w:val="22"/>
          <w:szCs w:val="22"/>
          <w:lang w:val="es-ES" w:eastAsia="en-GB"/>
        </w:rPr>
        <w:t xml:space="preserve"> </w:t>
      </w:r>
    </w:p>
    <w:p w14:paraId="441788F8" w14:textId="77777777" w:rsidR="002F21D4" w:rsidRPr="002F21D4" w:rsidRDefault="002F21D4" w:rsidP="00B06FB8">
      <w:pPr>
        <w:shd w:val="clear" w:color="auto" w:fill="FFFFFF"/>
        <w:snapToGrid w:val="0"/>
        <w:ind w:firstLine="360"/>
        <w:jc w:val="both"/>
        <w:rPr>
          <w:color w:val="000000"/>
          <w:sz w:val="22"/>
          <w:szCs w:val="22"/>
          <w:lang w:val="es-ES" w:eastAsia="en-GB"/>
        </w:rPr>
      </w:pPr>
    </w:p>
    <w:p w14:paraId="10A24750" w14:textId="561A2558" w:rsidR="00277B70" w:rsidRPr="002F21D4" w:rsidRDefault="00277B70" w:rsidP="00B06FB8">
      <w:pPr>
        <w:shd w:val="clear" w:color="auto" w:fill="FFFFFF"/>
        <w:snapToGrid w:val="0"/>
        <w:ind w:firstLine="360"/>
        <w:jc w:val="both"/>
        <w:rPr>
          <w:color w:val="000000"/>
          <w:sz w:val="22"/>
          <w:szCs w:val="22"/>
          <w:lang w:val="es-ES" w:eastAsia="en-GB"/>
        </w:rPr>
      </w:pPr>
      <w:r w:rsidRPr="002F21D4">
        <w:rPr>
          <w:color w:val="000000"/>
          <w:sz w:val="22"/>
          <w:szCs w:val="22"/>
          <w:lang w:val="es-ES" w:eastAsia="en-GB"/>
        </w:rPr>
        <w:t>La Misión observa que</w:t>
      </w:r>
      <w:r w:rsidR="006363FE" w:rsidRPr="002F21D4">
        <w:rPr>
          <w:color w:val="000000"/>
          <w:sz w:val="22"/>
          <w:szCs w:val="22"/>
          <w:lang w:val="es-ES" w:eastAsia="en-GB"/>
        </w:rPr>
        <w:t xml:space="preserve"> l</w:t>
      </w:r>
      <w:r w:rsidR="007B36C1" w:rsidRPr="002F21D4">
        <w:rPr>
          <w:color w:val="000000"/>
          <w:sz w:val="22"/>
          <w:szCs w:val="22"/>
          <w:lang w:val="es-ES" w:eastAsia="en-GB"/>
        </w:rPr>
        <w:t>as</w:t>
      </w:r>
      <w:r w:rsidR="006363FE" w:rsidRPr="002F21D4">
        <w:rPr>
          <w:color w:val="000000"/>
          <w:sz w:val="22"/>
          <w:szCs w:val="22"/>
          <w:lang w:val="es-ES" w:eastAsia="en-GB"/>
        </w:rPr>
        <w:t xml:space="preserve"> movilizaci</w:t>
      </w:r>
      <w:r w:rsidR="007B36C1" w:rsidRPr="002F21D4">
        <w:rPr>
          <w:color w:val="000000"/>
          <w:sz w:val="22"/>
          <w:szCs w:val="22"/>
          <w:lang w:val="es-ES" w:eastAsia="en-GB"/>
        </w:rPr>
        <w:t>ones</w:t>
      </w:r>
      <w:r w:rsidR="006363FE" w:rsidRPr="002F21D4">
        <w:rPr>
          <w:color w:val="000000"/>
          <w:sz w:val="22"/>
          <w:szCs w:val="22"/>
          <w:lang w:val="es-ES" w:eastAsia="en-GB"/>
        </w:rPr>
        <w:t xml:space="preserve"> con las diversas agendas reivindicativas de la sociedad civil y</w:t>
      </w:r>
      <w:r w:rsidRPr="002F21D4">
        <w:rPr>
          <w:color w:val="000000"/>
          <w:sz w:val="22"/>
          <w:szCs w:val="22"/>
          <w:lang w:val="es-ES" w:eastAsia="en-GB"/>
        </w:rPr>
        <w:t xml:space="preserve"> las conflictividades </w:t>
      </w:r>
      <w:r w:rsidR="006363FE" w:rsidRPr="002F21D4">
        <w:rPr>
          <w:color w:val="000000"/>
          <w:sz w:val="22"/>
          <w:szCs w:val="22"/>
          <w:lang w:val="es-ES" w:eastAsia="en-GB"/>
        </w:rPr>
        <w:t>territoriales ser</w:t>
      </w:r>
      <w:r w:rsidR="007B36C1" w:rsidRPr="002F21D4">
        <w:rPr>
          <w:color w:val="000000"/>
          <w:sz w:val="22"/>
          <w:szCs w:val="22"/>
          <w:lang w:val="es-ES" w:eastAsia="en-GB"/>
        </w:rPr>
        <w:t>án escenarios que se mantendrán vigentes</w:t>
      </w:r>
      <w:r w:rsidR="006363FE" w:rsidRPr="002F21D4">
        <w:rPr>
          <w:color w:val="000000"/>
          <w:sz w:val="22"/>
          <w:szCs w:val="22"/>
          <w:lang w:val="es-ES" w:eastAsia="en-GB"/>
        </w:rPr>
        <w:t xml:space="preserve">. </w:t>
      </w:r>
      <w:r w:rsidRPr="002F21D4">
        <w:rPr>
          <w:color w:val="000000"/>
          <w:sz w:val="22"/>
          <w:szCs w:val="22"/>
          <w:lang w:val="es-ES" w:eastAsia="en-GB"/>
        </w:rPr>
        <w:t xml:space="preserve">En este sentido, es imprescindible </w:t>
      </w:r>
      <w:r w:rsidR="00D55ECA" w:rsidRPr="002F21D4">
        <w:rPr>
          <w:color w:val="000000"/>
          <w:sz w:val="22"/>
          <w:szCs w:val="22"/>
          <w:lang w:val="es-ES" w:eastAsia="en-GB"/>
        </w:rPr>
        <w:t>garantizar</w:t>
      </w:r>
      <w:r w:rsidRPr="002F21D4">
        <w:rPr>
          <w:color w:val="000000"/>
          <w:sz w:val="22"/>
          <w:szCs w:val="22"/>
          <w:lang w:val="es-ES" w:eastAsia="en-GB"/>
        </w:rPr>
        <w:t xml:space="preserve"> el derecho a la protesta pacífica</w:t>
      </w:r>
      <w:r w:rsidR="007B36C1" w:rsidRPr="002F21D4">
        <w:rPr>
          <w:color w:val="000000"/>
          <w:sz w:val="22"/>
          <w:szCs w:val="22"/>
          <w:lang w:val="es-ES" w:eastAsia="en-GB"/>
        </w:rPr>
        <w:t>,</w:t>
      </w:r>
      <w:r w:rsidRPr="002F21D4">
        <w:rPr>
          <w:color w:val="000000"/>
          <w:sz w:val="22"/>
          <w:szCs w:val="22"/>
          <w:lang w:val="es-ES" w:eastAsia="en-GB"/>
        </w:rPr>
        <w:t xml:space="preserve"> protegiendo la vida y los Derechos Humanos, así como impulsar diálogos amplios, diversos e incluyentes que permitan una participación real de la sociedad colombiana</w:t>
      </w:r>
      <w:r w:rsidR="007B36C1" w:rsidRPr="002F21D4">
        <w:rPr>
          <w:color w:val="000000"/>
          <w:sz w:val="22"/>
          <w:szCs w:val="22"/>
          <w:lang w:val="es-ES" w:eastAsia="en-GB"/>
        </w:rPr>
        <w:t>, la interlocución directa con la institucionalidad</w:t>
      </w:r>
      <w:r w:rsidR="00D55ECA" w:rsidRPr="002F21D4">
        <w:rPr>
          <w:color w:val="000000"/>
          <w:sz w:val="22"/>
          <w:szCs w:val="22"/>
          <w:lang w:val="es-ES" w:eastAsia="en-GB"/>
        </w:rPr>
        <w:t>, el</w:t>
      </w:r>
      <w:r w:rsidR="007B36C1" w:rsidRPr="002F21D4">
        <w:rPr>
          <w:color w:val="000000"/>
          <w:sz w:val="22"/>
          <w:szCs w:val="22"/>
          <w:lang w:val="es-ES" w:eastAsia="en-GB"/>
        </w:rPr>
        <w:t xml:space="preserve"> abordaje preventivo de los conflictos sociales y </w:t>
      </w:r>
      <w:r w:rsidR="00D55ECA" w:rsidRPr="002F21D4">
        <w:rPr>
          <w:color w:val="000000"/>
          <w:sz w:val="22"/>
          <w:szCs w:val="22"/>
          <w:lang w:val="es-ES" w:eastAsia="en-GB"/>
        </w:rPr>
        <w:t xml:space="preserve">el </w:t>
      </w:r>
      <w:r w:rsidR="007B36C1" w:rsidRPr="002F21D4">
        <w:rPr>
          <w:color w:val="000000"/>
          <w:sz w:val="22"/>
          <w:szCs w:val="22"/>
          <w:lang w:val="es-ES" w:eastAsia="en-GB"/>
        </w:rPr>
        <w:t>fortale</w:t>
      </w:r>
      <w:r w:rsidR="00D55ECA" w:rsidRPr="002F21D4">
        <w:rPr>
          <w:color w:val="000000"/>
          <w:sz w:val="22"/>
          <w:szCs w:val="22"/>
          <w:lang w:val="es-ES" w:eastAsia="en-GB"/>
        </w:rPr>
        <w:t>cimiento de</w:t>
      </w:r>
      <w:r w:rsidR="007B36C1" w:rsidRPr="002F21D4">
        <w:rPr>
          <w:color w:val="000000"/>
          <w:sz w:val="22"/>
          <w:szCs w:val="22"/>
          <w:lang w:val="es-ES" w:eastAsia="en-GB"/>
        </w:rPr>
        <w:t xml:space="preserve"> </w:t>
      </w:r>
      <w:r w:rsidRPr="002F21D4">
        <w:rPr>
          <w:color w:val="000000"/>
          <w:sz w:val="22"/>
          <w:szCs w:val="22"/>
          <w:lang w:val="es-ES" w:eastAsia="en-GB"/>
        </w:rPr>
        <w:t>una cultura de diálogo democrático.</w:t>
      </w:r>
    </w:p>
    <w:p w14:paraId="375BF9BD" w14:textId="77777777" w:rsidR="002F21D4" w:rsidRPr="002F21D4" w:rsidRDefault="002F21D4" w:rsidP="00B06FB8">
      <w:pPr>
        <w:shd w:val="clear" w:color="auto" w:fill="FFFFFF"/>
        <w:snapToGrid w:val="0"/>
        <w:ind w:firstLine="360"/>
        <w:jc w:val="both"/>
        <w:rPr>
          <w:color w:val="000000"/>
          <w:sz w:val="22"/>
          <w:szCs w:val="22"/>
          <w:lang w:val="es-ES" w:eastAsia="en-GB"/>
        </w:rPr>
      </w:pPr>
    </w:p>
    <w:p w14:paraId="40AB34A0" w14:textId="5E888FF7" w:rsidR="002463CA" w:rsidRPr="002F21D4" w:rsidRDefault="002463CA" w:rsidP="00B06FB8">
      <w:pPr>
        <w:shd w:val="clear" w:color="auto" w:fill="FFFFFF"/>
        <w:snapToGrid w:val="0"/>
        <w:ind w:firstLine="360"/>
        <w:jc w:val="both"/>
        <w:rPr>
          <w:color w:val="000000"/>
          <w:sz w:val="22"/>
          <w:szCs w:val="22"/>
          <w:lang w:val="es-ES" w:eastAsia="en-GB"/>
        </w:rPr>
      </w:pPr>
      <w:r w:rsidRPr="002F21D4">
        <w:rPr>
          <w:color w:val="000000"/>
          <w:sz w:val="22"/>
          <w:szCs w:val="22"/>
          <w:lang w:val="es-ES" w:eastAsia="en-GB"/>
        </w:rPr>
        <w:t>En contribución con lo anterior, es</w:t>
      </w:r>
      <w:r w:rsidR="003927ED" w:rsidRPr="002F21D4">
        <w:rPr>
          <w:color w:val="000000"/>
          <w:sz w:val="22"/>
          <w:szCs w:val="22"/>
          <w:lang w:val="es-ES" w:eastAsia="en-GB"/>
        </w:rPr>
        <w:t xml:space="preserve"> igualmente</w:t>
      </w:r>
      <w:r w:rsidRPr="002F21D4">
        <w:rPr>
          <w:color w:val="000000"/>
          <w:sz w:val="22"/>
          <w:szCs w:val="22"/>
          <w:lang w:val="es-ES" w:eastAsia="en-GB"/>
        </w:rPr>
        <w:t xml:space="preserve"> necesario continuar con procesos que fortalezcan e incrementen las capacidades para el abordaje colaborativo y responsable de la conflictividad social tanto en la institucionalidad como en la sociedad civil</w:t>
      </w:r>
      <w:r w:rsidR="003927ED" w:rsidRPr="002F21D4">
        <w:rPr>
          <w:color w:val="000000"/>
          <w:sz w:val="22"/>
          <w:szCs w:val="22"/>
          <w:lang w:val="es-ES" w:eastAsia="en-GB"/>
        </w:rPr>
        <w:t>,</w:t>
      </w:r>
      <w:r w:rsidRPr="002F21D4">
        <w:rPr>
          <w:color w:val="000000"/>
          <w:sz w:val="22"/>
          <w:szCs w:val="22"/>
          <w:lang w:val="es-ES" w:eastAsia="en-GB"/>
        </w:rPr>
        <w:t xml:space="preserve"> a modo de avanzar en la </w:t>
      </w:r>
      <w:r w:rsidR="003927ED" w:rsidRPr="002F21D4">
        <w:rPr>
          <w:color w:val="000000"/>
          <w:sz w:val="22"/>
          <w:szCs w:val="22"/>
          <w:lang w:val="es-ES" w:eastAsia="en-GB"/>
        </w:rPr>
        <w:t>construcción de capacidades para</w:t>
      </w:r>
      <w:r w:rsidRPr="002F21D4">
        <w:rPr>
          <w:color w:val="000000"/>
          <w:sz w:val="22"/>
          <w:szCs w:val="22"/>
          <w:lang w:val="es-ES" w:eastAsia="en-GB"/>
        </w:rPr>
        <w:t xml:space="preserve"> el diálogo auténtico y la construcción de consensos para acuerdos sostenibles.</w:t>
      </w:r>
    </w:p>
    <w:p w14:paraId="3807DB6F" w14:textId="77777777" w:rsidR="002F21D4" w:rsidRPr="002F21D4" w:rsidRDefault="002F21D4" w:rsidP="00B06FB8">
      <w:pPr>
        <w:shd w:val="clear" w:color="auto" w:fill="FFFFFF"/>
        <w:snapToGrid w:val="0"/>
        <w:ind w:firstLine="360"/>
        <w:jc w:val="both"/>
        <w:rPr>
          <w:color w:val="000000"/>
          <w:sz w:val="22"/>
          <w:szCs w:val="22"/>
          <w:lang w:val="es-ES" w:eastAsia="en-GB"/>
        </w:rPr>
      </w:pPr>
    </w:p>
    <w:p w14:paraId="6F20BF37" w14:textId="6D40D1A7" w:rsidR="00AE07E1" w:rsidRPr="002F21D4" w:rsidRDefault="00AE07E1" w:rsidP="00B06FB8">
      <w:pPr>
        <w:autoSpaceDE w:val="0"/>
        <w:autoSpaceDN w:val="0"/>
        <w:adjustRightInd w:val="0"/>
        <w:snapToGrid w:val="0"/>
        <w:ind w:left="426" w:hanging="142"/>
        <w:jc w:val="both"/>
        <w:rPr>
          <w:b/>
          <w:sz w:val="22"/>
          <w:szCs w:val="22"/>
          <w:lang w:val="es-ES"/>
        </w:rPr>
      </w:pPr>
      <w:r w:rsidRPr="002F21D4">
        <w:rPr>
          <w:b/>
          <w:sz w:val="22"/>
          <w:szCs w:val="22"/>
          <w:lang w:val="es-ES"/>
        </w:rPr>
        <w:t xml:space="preserve">5.1 </w:t>
      </w:r>
      <w:r w:rsidR="006A1F54" w:rsidRPr="002F21D4">
        <w:rPr>
          <w:b/>
          <w:sz w:val="22"/>
          <w:szCs w:val="22"/>
          <w:lang w:val="es-ES"/>
        </w:rPr>
        <w:t>Investigaciones y j</w:t>
      </w:r>
      <w:r w:rsidRPr="002F21D4">
        <w:rPr>
          <w:b/>
          <w:sz w:val="22"/>
          <w:szCs w:val="22"/>
          <w:lang w:val="es-ES"/>
        </w:rPr>
        <w:t>udicializaciones en el marco de la movilización social</w:t>
      </w:r>
    </w:p>
    <w:p w14:paraId="05C313A8" w14:textId="77777777" w:rsidR="002F21D4" w:rsidRPr="002F21D4" w:rsidRDefault="002F21D4" w:rsidP="00B06FB8">
      <w:pPr>
        <w:autoSpaceDE w:val="0"/>
        <w:autoSpaceDN w:val="0"/>
        <w:adjustRightInd w:val="0"/>
        <w:snapToGrid w:val="0"/>
        <w:ind w:firstLine="284"/>
        <w:jc w:val="both"/>
        <w:rPr>
          <w:sz w:val="22"/>
          <w:szCs w:val="22"/>
          <w:lang w:val="es-ES"/>
        </w:rPr>
      </w:pPr>
    </w:p>
    <w:p w14:paraId="531B7CFA" w14:textId="207A0FF6" w:rsidR="0076606E" w:rsidRPr="002F21D4" w:rsidRDefault="0076606E" w:rsidP="00B06FB8">
      <w:pPr>
        <w:autoSpaceDE w:val="0"/>
        <w:autoSpaceDN w:val="0"/>
        <w:adjustRightInd w:val="0"/>
        <w:snapToGrid w:val="0"/>
        <w:ind w:firstLine="284"/>
        <w:jc w:val="both"/>
        <w:rPr>
          <w:sz w:val="22"/>
          <w:szCs w:val="22"/>
          <w:lang w:val="es-ES"/>
        </w:rPr>
      </w:pPr>
      <w:r w:rsidRPr="002F21D4">
        <w:rPr>
          <w:sz w:val="22"/>
          <w:szCs w:val="22"/>
          <w:lang w:val="es-ES"/>
        </w:rPr>
        <w:t xml:space="preserve">Frente a las investigaciones y judicializaciones de los hechos violentos ocurridos durante la movilización social, la FGN priorizó casos a través de la definición de líneas de investigación y la designación de equipos de fiscales especializados en derechos humanos. Gracias a este despliegue se lograron imputaciones a 251 presuntos responsables de diferentes delitos cometidos en el marco del Paro Nacional y la imposición de 100 medidas de aseguramiento, dejando un balance total de 1.068 </w:t>
      </w:r>
      <w:r w:rsidRPr="002F21D4">
        <w:rPr>
          <w:sz w:val="22"/>
          <w:szCs w:val="22"/>
          <w:lang w:val="es-ES"/>
        </w:rPr>
        <w:lastRenderedPageBreak/>
        <w:t>noticias criminales por lesiones a 1.167 policías y 570 casos de civiles heridos para lo cual se iniciaron 486 investigaciones por presunto abuso de autoridad y lesiones personales</w:t>
      </w:r>
      <w:r w:rsidR="008F5720" w:rsidRPr="002F21D4">
        <w:rPr>
          <w:sz w:val="22"/>
          <w:szCs w:val="22"/>
          <w:vertAlign w:val="superscript"/>
          <w:lang w:val="es-ES"/>
        </w:rPr>
        <w:footnoteReference w:id="88"/>
      </w:r>
      <w:r w:rsidR="008F5720" w:rsidRPr="002F21D4">
        <w:rPr>
          <w:sz w:val="22"/>
          <w:szCs w:val="22"/>
          <w:lang w:val="es-ES"/>
        </w:rPr>
        <w:t xml:space="preserve">. </w:t>
      </w:r>
    </w:p>
    <w:p w14:paraId="4FFA5066" w14:textId="77777777" w:rsidR="002F21D4" w:rsidRPr="002F21D4" w:rsidRDefault="002F21D4" w:rsidP="00B06FB8">
      <w:pPr>
        <w:autoSpaceDE w:val="0"/>
        <w:autoSpaceDN w:val="0"/>
        <w:adjustRightInd w:val="0"/>
        <w:snapToGrid w:val="0"/>
        <w:ind w:firstLine="284"/>
        <w:jc w:val="both"/>
        <w:rPr>
          <w:sz w:val="22"/>
          <w:szCs w:val="22"/>
          <w:lang w:val="es-ES"/>
        </w:rPr>
      </w:pPr>
    </w:p>
    <w:p w14:paraId="6BE12C05" w14:textId="27D5CBDB" w:rsidR="00BC2E71" w:rsidRPr="002F21D4" w:rsidRDefault="00BC2E71" w:rsidP="00B06FB8">
      <w:pPr>
        <w:autoSpaceDE w:val="0"/>
        <w:autoSpaceDN w:val="0"/>
        <w:adjustRightInd w:val="0"/>
        <w:snapToGrid w:val="0"/>
        <w:ind w:firstLine="284"/>
        <w:jc w:val="both"/>
        <w:rPr>
          <w:sz w:val="22"/>
          <w:szCs w:val="22"/>
          <w:lang w:val="es-ES"/>
        </w:rPr>
      </w:pPr>
      <w:r w:rsidRPr="002F21D4">
        <w:rPr>
          <w:sz w:val="22"/>
          <w:szCs w:val="22"/>
          <w:lang w:val="es-ES"/>
        </w:rPr>
        <w:t xml:space="preserve">Por su parte la Procuraduría General de la Nación (PGN) adelantó 268 actuaciones disciplinarias </w:t>
      </w:r>
      <w:r w:rsidR="0076606E" w:rsidRPr="002F21D4">
        <w:rPr>
          <w:sz w:val="22"/>
          <w:szCs w:val="22"/>
          <w:lang w:val="es-ES"/>
        </w:rPr>
        <w:t xml:space="preserve">contra </w:t>
      </w:r>
      <w:r w:rsidRPr="002F21D4">
        <w:rPr>
          <w:sz w:val="22"/>
          <w:szCs w:val="22"/>
          <w:lang w:val="es-ES"/>
        </w:rPr>
        <w:t>funcionarios de la fuerza pública con ocasión de sus intervenciones en los actos de protesta con especial atención en homicidios, tentativas de homicidio, lesiones, violencia sexual y denuncias por desapariciones. Así mismo, la Inspección General de la Policía inició 139 investigaciones disciplinarias a nivel nacional por conductas relacionadas con el presunto exceso en el uso legítimo de la fuerza y la Justicia Penal Militar inició 44 investigaciones por homicidios, lesiones personales y abuso de autoridad acaecidos durante las manifestaciones</w:t>
      </w:r>
      <w:r w:rsidRPr="002F21D4">
        <w:rPr>
          <w:rStyle w:val="FootnoteReference"/>
          <w:sz w:val="22"/>
          <w:szCs w:val="22"/>
          <w:lang w:val="es-ES"/>
        </w:rPr>
        <w:footnoteReference w:id="89"/>
      </w:r>
      <w:r w:rsidRPr="002F21D4">
        <w:rPr>
          <w:sz w:val="22"/>
          <w:szCs w:val="22"/>
          <w:lang w:val="es-ES"/>
        </w:rPr>
        <w:t xml:space="preserve">. Además, la PGN constituyó agencias especiales mediante una comisión de procuradores judiciales que intervienen de manera permanente en el curso de los procesos penales ante la Jurisdicción Ordinaria y la Justicia Penal Militar, con el fin de garantizar el debido proceso, la celeridad de las actuaciones y los derechos de las víctimas. </w:t>
      </w:r>
    </w:p>
    <w:p w14:paraId="68A7DCE6" w14:textId="77777777" w:rsidR="002F21D4" w:rsidRPr="002F21D4" w:rsidRDefault="002F21D4" w:rsidP="00B06FB8">
      <w:pPr>
        <w:autoSpaceDE w:val="0"/>
        <w:autoSpaceDN w:val="0"/>
        <w:adjustRightInd w:val="0"/>
        <w:snapToGrid w:val="0"/>
        <w:ind w:firstLine="284"/>
        <w:jc w:val="both"/>
        <w:rPr>
          <w:sz w:val="22"/>
          <w:szCs w:val="22"/>
          <w:lang w:val="es-ES"/>
        </w:rPr>
      </w:pPr>
    </w:p>
    <w:p w14:paraId="39760B21" w14:textId="50EB299A" w:rsidR="00F444AB" w:rsidRPr="002F21D4" w:rsidRDefault="008F5720" w:rsidP="00B06FB8">
      <w:pPr>
        <w:autoSpaceDE w:val="0"/>
        <w:autoSpaceDN w:val="0"/>
        <w:adjustRightInd w:val="0"/>
        <w:snapToGrid w:val="0"/>
        <w:ind w:firstLine="284"/>
        <w:jc w:val="both"/>
        <w:rPr>
          <w:sz w:val="22"/>
          <w:szCs w:val="22"/>
          <w:lang w:val="es-ES"/>
        </w:rPr>
      </w:pPr>
      <w:r w:rsidRPr="002F21D4">
        <w:rPr>
          <w:sz w:val="22"/>
          <w:szCs w:val="22"/>
          <w:lang w:val="es-ES"/>
        </w:rPr>
        <w:t xml:space="preserve">A pesar de lo anterior, existen retos para llevar a cabo investigaciones y judicializar efectivamente bajo este contexto. Por un lado, </w:t>
      </w:r>
      <w:r w:rsidR="00935077" w:rsidRPr="002F21D4">
        <w:rPr>
          <w:sz w:val="22"/>
          <w:szCs w:val="22"/>
          <w:lang w:val="es-ES"/>
        </w:rPr>
        <w:t xml:space="preserve">se presentan </w:t>
      </w:r>
      <w:r w:rsidRPr="002F21D4">
        <w:rPr>
          <w:sz w:val="22"/>
          <w:szCs w:val="22"/>
          <w:lang w:val="es-ES"/>
        </w:rPr>
        <w:t xml:space="preserve">inconvenientes </w:t>
      </w:r>
      <w:r w:rsidR="00935077" w:rsidRPr="002F21D4">
        <w:rPr>
          <w:sz w:val="22"/>
          <w:szCs w:val="22"/>
          <w:lang w:val="es-ES"/>
        </w:rPr>
        <w:t>en la obtención de</w:t>
      </w:r>
      <w:r w:rsidRPr="002F21D4">
        <w:rPr>
          <w:sz w:val="22"/>
          <w:szCs w:val="22"/>
          <w:lang w:val="es-ES"/>
        </w:rPr>
        <w:t xml:space="preserve"> evidencia física y material probatorio para el esclarecimiento de los hechos y la individualización de responsables de múltiples conductas como los actos de violencia en contra de la población civil, servidores </w:t>
      </w:r>
      <w:r w:rsidR="002937C0" w:rsidRPr="002F21D4">
        <w:rPr>
          <w:sz w:val="22"/>
          <w:szCs w:val="22"/>
          <w:lang w:val="es-ES"/>
        </w:rPr>
        <w:t xml:space="preserve">y entidades </w:t>
      </w:r>
      <w:r w:rsidRPr="002F21D4">
        <w:rPr>
          <w:sz w:val="22"/>
          <w:szCs w:val="22"/>
          <w:lang w:val="es-ES"/>
        </w:rPr>
        <w:t>públic</w:t>
      </w:r>
      <w:r w:rsidR="002937C0" w:rsidRPr="002F21D4">
        <w:rPr>
          <w:sz w:val="22"/>
          <w:szCs w:val="22"/>
          <w:lang w:val="es-ES"/>
        </w:rPr>
        <w:t>as,</w:t>
      </w:r>
      <w:r w:rsidRPr="002F21D4">
        <w:rPr>
          <w:sz w:val="22"/>
          <w:szCs w:val="22"/>
          <w:lang w:val="es-ES"/>
        </w:rPr>
        <w:t xml:space="preserve"> los homicidios y tentativas de homicidio</w:t>
      </w:r>
      <w:r w:rsidR="00935077" w:rsidRPr="002F21D4">
        <w:rPr>
          <w:sz w:val="22"/>
          <w:szCs w:val="22"/>
          <w:lang w:val="es-ES"/>
        </w:rPr>
        <w:t>, así como la</w:t>
      </w:r>
      <w:r w:rsidRPr="002F21D4">
        <w:rPr>
          <w:sz w:val="22"/>
          <w:szCs w:val="22"/>
          <w:lang w:val="es-ES"/>
        </w:rPr>
        <w:t xml:space="preserve"> violencia sexual, entre otros. </w:t>
      </w:r>
    </w:p>
    <w:p w14:paraId="405048EE" w14:textId="77777777" w:rsidR="002F21D4" w:rsidRPr="002F21D4" w:rsidRDefault="002F21D4" w:rsidP="00B06FB8">
      <w:pPr>
        <w:autoSpaceDE w:val="0"/>
        <w:autoSpaceDN w:val="0"/>
        <w:adjustRightInd w:val="0"/>
        <w:snapToGrid w:val="0"/>
        <w:ind w:firstLine="284"/>
        <w:jc w:val="both"/>
        <w:rPr>
          <w:sz w:val="22"/>
          <w:szCs w:val="22"/>
          <w:lang w:val="es-ES"/>
        </w:rPr>
      </w:pPr>
    </w:p>
    <w:p w14:paraId="265CEA42" w14:textId="0AD2493C" w:rsidR="00844739" w:rsidRPr="002F21D4" w:rsidRDefault="008F5720" w:rsidP="00B06FB8">
      <w:pPr>
        <w:autoSpaceDE w:val="0"/>
        <w:autoSpaceDN w:val="0"/>
        <w:adjustRightInd w:val="0"/>
        <w:snapToGrid w:val="0"/>
        <w:ind w:firstLine="284"/>
        <w:jc w:val="both"/>
        <w:rPr>
          <w:sz w:val="22"/>
          <w:szCs w:val="22"/>
          <w:lang w:val="es-ES"/>
        </w:rPr>
      </w:pPr>
      <w:r w:rsidRPr="002F21D4">
        <w:rPr>
          <w:sz w:val="22"/>
          <w:szCs w:val="22"/>
          <w:lang w:val="es-ES"/>
        </w:rPr>
        <w:t xml:space="preserve">Por otro lado, </w:t>
      </w:r>
      <w:r w:rsidR="00F444AB" w:rsidRPr="002F21D4">
        <w:rPr>
          <w:sz w:val="22"/>
          <w:szCs w:val="22"/>
          <w:lang w:val="es-ES"/>
        </w:rPr>
        <w:t xml:space="preserve">está el reto de </w:t>
      </w:r>
      <w:r w:rsidRPr="002F21D4">
        <w:rPr>
          <w:sz w:val="22"/>
          <w:szCs w:val="22"/>
          <w:lang w:val="es-ES"/>
        </w:rPr>
        <w:t>garantizar el debido proceso de las personas capturadas en el marco del Paro Nacional, a través de una defensa técnica adecuada y el acompañamiento del Ministerio Público</w:t>
      </w:r>
      <w:r w:rsidR="002346DA" w:rsidRPr="002F21D4">
        <w:rPr>
          <w:sz w:val="22"/>
          <w:szCs w:val="22"/>
          <w:lang w:val="es-ES"/>
        </w:rPr>
        <w:t xml:space="preserve">, </w:t>
      </w:r>
      <w:r w:rsidRPr="002F21D4">
        <w:rPr>
          <w:sz w:val="22"/>
          <w:szCs w:val="22"/>
          <w:lang w:val="es-ES"/>
        </w:rPr>
        <w:t>teniendo en cuenta que</w:t>
      </w:r>
      <w:r w:rsidR="003927ED" w:rsidRPr="002F21D4">
        <w:rPr>
          <w:sz w:val="22"/>
          <w:szCs w:val="22"/>
          <w:lang w:val="es-ES"/>
        </w:rPr>
        <w:t>,</w:t>
      </w:r>
      <w:r w:rsidRPr="002F21D4">
        <w:rPr>
          <w:sz w:val="22"/>
          <w:szCs w:val="22"/>
          <w:lang w:val="es-ES"/>
        </w:rPr>
        <w:t xml:space="preserve"> por la </w:t>
      </w:r>
      <w:r w:rsidR="00F444AB" w:rsidRPr="002F21D4">
        <w:rPr>
          <w:sz w:val="22"/>
          <w:szCs w:val="22"/>
          <w:lang w:val="es-ES"/>
        </w:rPr>
        <w:t>rapidez</w:t>
      </w:r>
      <w:r w:rsidRPr="002F21D4">
        <w:rPr>
          <w:sz w:val="22"/>
          <w:szCs w:val="22"/>
          <w:lang w:val="es-ES"/>
        </w:rPr>
        <w:t xml:space="preserve"> con la que se llevaron a cabo las audiencias de legalización de captura, imputación e imposición de medida de aseguramiento, a los capturados se les dificultó el contacto con los defensores para construir una tesis defensiva.</w:t>
      </w:r>
      <w:r w:rsidR="0078159F" w:rsidRPr="002F21D4">
        <w:rPr>
          <w:sz w:val="22"/>
          <w:szCs w:val="22"/>
          <w:lang w:val="es-ES"/>
        </w:rPr>
        <w:t xml:space="preserve"> </w:t>
      </w:r>
    </w:p>
    <w:p w14:paraId="034552E2" w14:textId="77777777" w:rsidR="0076606E" w:rsidRPr="002F21D4" w:rsidRDefault="0076606E" w:rsidP="00B06FB8">
      <w:pPr>
        <w:autoSpaceDE w:val="0"/>
        <w:autoSpaceDN w:val="0"/>
        <w:adjustRightInd w:val="0"/>
        <w:snapToGrid w:val="0"/>
        <w:ind w:firstLine="284"/>
        <w:jc w:val="both"/>
        <w:rPr>
          <w:sz w:val="22"/>
          <w:szCs w:val="22"/>
          <w:lang w:val="es-ES"/>
        </w:rPr>
      </w:pPr>
    </w:p>
    <w:p w14:paraId="7C3960EB" w14:textId="630AACE6" w:rsidR="00E10EAF" w:rsidRPr="002F21D4" w:rsidRDefault="00E10EAF" w:rsidP="002E06D9">
      <w:pPr>
        <w:pStyle w:val="ListParagraph"/>
        <w:numPr>
          <w:ilvl w:val="0"/>
          <w:numId w:val="1"/>
        </w:numPr>
        <w:snapToGrid w:val="0"/>
        <w:spacing w:after="0" w:line="240" w:lineRule="auto"/>
        <w:contextualSpacing w:val="0"/>
        <w:jc w:val="both"/>
        <w:rPr>
          <w:rFonts w:ascii="Times New Roman" w:hAnsi="Times New Roman" w:cs="Times New Roman"/>
          <w:b/>
          <w:bCs/>
          <w:lang w:val="es-ES"/>
        </w:rPr>
      </w:pPr>
      <w:r w:rsidRPr="002E06D9">
        <w:rPr>
          <w:rFonts w:ascii="Times New Roman" w:hAnsi="Times New Roman" w:cs="Times New Roman"/>
          <w:b/>
          <w:bCs/>
        </w:rPr>
        <w:t>IMPACTO</w:t>
      </w:r>
      <w:r w:rsidRPr="002F21D4">
        <w:rPr>
          <w:rFonts w:ascii="Times New Roman" w:hAnsi="Times New Roman" w:cs="Times New Roman"/>
          <w:b/>
          <w:bCs/>
          <w:lang w:val="es-ES"/>
        </w:rPr>
        <w:t xml:space="preserve"> DE LAS ESTRATEGIAS Y POLÍTICAS PARA LA TRANSFORMACIÓN TERRITORIAL </w:t>
      </w:r>
    </w:p>
    <w:p w14:paraId="2B97D69D" w14:textId="77777777" w:rsidR="002F21D4" w:rsidRPr="002F21D4" w:rsidRDefault="002F21D4" w:rsidP="002F21D4">
      <w:pPr>
        <w:pStyle w:val="ListParagraph"/>
        <w:snapToGrid w:val="0"/>
        <w:spacing w:after="0" w:line="240" w:lineRule="auto"/>
        <w:contextualSpacing w:val="0"/>
        <w:jc w:val="both"/>
        <w:rPr>
          <w:rFonts w:ascii="Times New Roman" w:hAnsi="Times New Roman" w:cs="Times New Roman"/>
          <w:b/>
          <w:bCs/>
          <w:lang w:val="es-ES"/>
        </w:rPr>
      </w:pPr>
    </w:p>
    <w:p w14:paraId="0510DBFC" w14:textId="77777777" w:rsidR="00907496" w:rsidRPr="002F21D4" w:rsidRDefault="00907496" w:rsidP="00B06FB8">
      <w:pPr>
        <w:pStyle w:val="ListParagraph"/>
        <w:numPr>
          <w:ilvl w:val="0"/>
          <w:numId w:val="5"/>
        </w:numPr>
        <w:autoSpaceDE w:val="0"/>
        <w:autoSpaceDN w:val="0"/>
        <w:adjustRightInd w:val="0"/>
        <w:snapToGrid w:val="0"/>
        <w:spacing w:after="0" w:line="240" w:lineRule="auto"/>
        <w:contextualSpacing w:val="0"/>
        <w:jc w:val="both"/>
        <w:rPr>
          <w:rFonts w:ascii="Times New Roman" w:hAnsi="Times New Roman" w:cs="Times New Roman"/>
          <w:b/>
          <w:vanish/>
          <w:color w:val="000000"/>
        </w:rPr>
      </w:pPr>
      <w:bookmarkStart w:id="10" w:name="_Hlk83992238"/>
    </w:p>
    <w:p w14:paraId="4B7C1FE7" w14:textId="77777777" w:rsidR="00907496" w:rsidRPr="002F21D4" w:rsidRDefault="00907496" w:rsidP="00B06FB8">
      <w:pPr>
        <w:pStyle w:val="ListParagraph"/>
        <w:numPr>
          <w:ilvl w:val="0"/>
          <w:numId w:val="5"/>
        </w:numPr>
        <w:autoSpaceDE w:val="0"/>
        <w:autoSpaceDN w:val="0"/>
        <w:adjustRightInd w:val="0"/>
        <w:snapToGrid w:val="0"/>
        <w:spacing w:after="0" w:line="240" w:lineRule="auto"/>
        <w:contextualSpacing w:val="0"/>
        <w:jc w:val="both"/>
        <w:rPr>
          <w:rFonts w:ascii="Times New Roman" w:hAnsi="Times New Roman" w:cs="Times New Roman"/>
          <w:b/>
          <w:vanish/>
          <w:color w:val="000000"/>
        </w:rPr>
      </w:pPr>
    </w:p>
    <w:p w14:paraId="4048201E" w14:textId="2465C08E" w:rsidR="00E10EAF" w:rsidRPr="002F21D4" w:rsidRDefault="00E10EAF" w:rsidP="002F21D4">
      <w:pPr>
        <w:pStyle w:val="Default"/>
        <w:numPr>
          <w:ilvl w:val="1"/>
          <w:numId w:val="6"/>
        </w:numPr>
        <w:snapToGrid w:val="0"/>
        <w:ind w:firstLine="0"/>
        <w:jc w:val="both"/>
        <w:rPr>
          <w:b/>
          <w:sz w:val="22"/>
          <w:szCs w:val="22"/>
        </w:rPr>
      </w:pPr>
      <w:r w:rsidRPr="002F21D4">
        <w:rPr>
          <w:b/>
          <w:sz w:val="22"/>
          <w:szCs w:val="22"/>
        </w:rPr>
        <w:t xml:space="preserve">Programas de Desarrollo con Enfoque Territorial </w:t>
      </w:r>
      <w:bookmarkEnd w:id="10"/>
      <w:r w:rsidRPr="002F21D4">
        <w:rPr>
          <w:b/>
          <w:sz w:val="22"/>
          <w:szCs w:val="22"/>
        </w:rPr>
        <w:t>(PDET)</w:t>
      </w:r>
    </w:p>
    <w:p w14:paraId="55D842BA" w14:textId="77777777" w:rsidR="002F21D4" w:rsidRPr="002F21D4" w:rsidRDefault="002F21D4" w:rsidP="00B06FB8">
      <w:pPr>
        <w:snapToGrid w:val="0"/>
        <w:ind w:firstLine="360"/>
        <w:jc w:val="both"/>
        <w:rPr>
          <w:sz w:val="22"/>
          <w:szCs w:val="22"/>
          <w:lang w:val="es-ES"/>
        </w:rPr>
      </w:pPr>
    </w:p>
    <w:p w14:paraId="2A04E568" w14:textId="7B10FD74" w:rsidR="00E10EAF" w:rsidRPr="002F21D4" w:rsidRDefault="00E10EAF" w:rsidP="00B06FB8">
      <w:pPr>
        <w:snapToGrid w:val="0"/>
        <w:ind w:firstLine="360"/>
        <w:jc w:val="both"/>
        <w:rPr>
          <w:sz w:val="22"/>
          <w:szCs w:val="22"/>
          <w:lang w:val="es-ES"/>
        </w:rPr>
      </w:pPr>
      <w:r w:rsidRPr="002F21D4">
        <w:rPr>
          <w:sz w:val="22"/>
          <w:szCs w:val="22"/>
          <w:lang w:val="es-ES"/>
        </w:rPr>
        <w:t>Con ocasión del impacto de</w:t>
      </w:r>
      <w:r w:rsidR="001D7A01" w:rsidRPr="002F21D4">
        <w:rPr>
          <w:sz w:val="22"/>
          <w:szCs w:val="22"/>
          <w:lang w:val="es-ES"/>
        </w:rPr>
        <w:t xml:space="preserve"> la emergencia sanitaria por</w:t>
      </w:r>
      <w:r w:rsidRPr="002F21D4">
        <w:rPr>
          <w:sz w:val="22"/>
          <w:szCs w:val="22"/>
          <w:lang w:val="es-ES"/>
        </w:rPr>
        <w:t xml:space="preserve"> COVID</w:t>
      </w:r>
      <w:r w:rsidR="00DB12F3" w:rsidRPr="002F21D4">
        <w:rPr>
          <w:sz w:val="22"/>
          <w:szCs w:val="22"/>
          <w:lang w:val="es-ES"/>
        </w:rPr>
        <w:t>-</w:t>
      </w:r>
      <w:r w:rsidRPr="002F21D4">
        <w:rPr>
          <w:sz w:val="22"/>
          <w:szCs w:val="22"/>
          <w:lang w:val="es-ES"/>
        </w:rPr>
        <w:t xml:space="preserve">19 en los procesos de implementación participativa de los PDET, la Agencia de Renovación del Territorio </w:t>
      </w:r>
      <w:r w:rsidRPr="002F21D4">
        <w:rPr>
          <w:sz w:val="22"/>
          <w:szCs w:val="22"/>
        </w:rPr>
        <w:t>(</w:t>
      </w:r>
      <w:r w:rsidRPr="002F21D4">
        <w:rPr>
          <w:sz w:val="22"/>
          <w:szCs w:val="22"/>
          <w:lang w:val="es-ES"/>
        </w:rPr>
        <w:t xml:space="preserve">ART) ajustó sus canales de comunicación con los delegados de Grupos Motor </w:t>
      </w:r>
      <w:r w:rsidR="00041023" w:rsidRPr="002F21D4">
        <w:rPr>
          <w:sz w:val="22"/>
          <w:szCs w:val="22"/>
          <w:lang w:val="es-ES"/>
        </w:rPr>
        <w:t xml:space="preserve">(GM) </w:t>
      </w:r>
      <w:r w:rsidRPr="002F21D4">
        <w:rPr>
          <w:sz w:val="22"/>
          <w:szCs w:val="22"/>
          <w:lang w:val="es-ES"/>
        </w:rPr>
        <w:t xml:space="preserve">y comunidad en general; desarrolló procesos de capacitación en participación ciudadana y en comunicaciones, facilitando la transmisión de mensajes entre </w:t>
      </w:r>
      <w:r w:rsidR="00DB12F3" w:rsidRPr="002F21D4">
        <w:rPr>
          <w:sz w:val="22"/>
          <w:szCs w:val="22"/>
          <w:lang w:val="es-ES"/>
        </w:rPr>
        <w:t>las delegaciones</w:t>
      </w:r>
      <w:r w:rsidRPr="002F21D4">
        <w:rPr>
          <w:sz w:val="22"/>
          <w:szCs w:val="22"/>
          <w:lang w:val="es-ES"/>
        </w:rPr>
        <w:t xml:space="preserve"> y las comunidades que representan; y desplegó actividades presenciales de validación comunitaria a la propuesta institucional de priorización de iniciativas contenida en la Hoja de Ruta Única (HRU). </w:t>
      </w:r>
    </w:p>
    <w:p w14:paraId="18E19DB3" w14:textId="31547821" w:rsidR="00E10EAF" w:rsidRPr="002F21D4" w:rsidRDefault="00E10EAF" w:rsidP="00B06FB8">
      <w:pPr>
        <w:snapToGrid w:val="0"/>
        <w:ind w:firstLine="360"/>
        <w:jc w:val="both"/>
        <w:rPr>
          <w:sz w:val="22"/>
          <w:szCs w:val="22"/>
          <w:lang w:val="es-ES"/>
        </w:rPr>
      </w:pPr>
      <w:r w:rsidRPr="002F21D4">
        <w:rPr>
          <w:sz w:val="22"/>
          <w:szCs w:val="22"/>
          <w:lang w:val="es-ES"/>
        </w:rPr>
        <w:lastRenderedPageBreak/>
        <w:t xml:space="preserve">Además, </w:t>
      </w:r>
      <w:r w:rsidR="000738D9" w:rsidRPr="002F21D4">
        <w:rPr>
          <w:sz w:val="22"/>
          <w:szCs w:val="22"/>
          <w:lang w:val="es-ES"/>
        </w:rPr>
        <w:t>la ART avanzó</w:t>
      </w:r>
      <w:r w:rsidRPr="002F21D4">
        <w:rPr>
          <w:sz w:val="22"/>
          <w:szCs w:val="22"/>
          <w:lang w:val="es-ES"/>
        </w:rPr>
        <w:t xml:space="preserve"> </w:t>
      </w:r>
      <w:r w:rsidR="000738D9" w:rsidRPr="002F21D4">
        <w:rPr>
          <w:sz w:val="22"/>
          <w:szCs w:val="22"/>
          <w:lang w:val="es-ES"/>
        </w:rPr>
        <w:t xml:space="preserve">en la </w:t>
      </w:r>
      <w:r w:rsidRPr="002F21D4">
        <w:rPr>
          <w:sz w:val="22"/>
          <w:szCs w:val="22"/>
          <w:lang w:val="es-ES"/>
        </w:rPr>
        <w:t xml:space="preserve">constitución de los Mecanismos Especiales de Consulta (MEC) para la incorporación del enfoque étnico y cultural, como garantía de participación efectiva de los pueblos y comunidades </w:t>
      </w:r>
      <w:r w:rsidR="000738D9" w:rsidRPr="002F21D4">
        <w:rPr>
          <w:sz w:val="22"/>
          <w:szCs w:val="22"/>
          <w:lang w:val="es-ES"/>
        </w:rPr>
        <w:t xml:space="preserve">étnicas en </w:t>
      </w:r>
      <w:r w:rsidR="00BC2E71" w:rsidRPr="002F21D4">
        <w:rPr>
          <w:sz w:val="22"/>
          <w:szCs w:val="22"/>
          <w:lang w:val="es-ES"/>
        </w:rPr>
        <w:t>los</w:t>
      </w:r>
      <w:r w:rsidR="000738D9" w:rsidRPr="002F21D4">
        <w:rPr>
          <w:sz w:val="22"/>
          <w:szCs w:val="22"/>
          <w:lang w:val="es-ES"/>
        </w:rPr>
        <w:t xml:space="preserve"> PDET</w:t>
      </w:r>
      <w:r w:rsidRPr="002F21D4">
        <w:rPr>
          <w:rStyle w:val="FootnoteReference"/>
          <w:sz w:val="22"/>
          <w:szCs w:val="22"/>
          <w:lang w:val="es-ES"/>
        </w:rPr>
        <w:footnoteReference w:id="90"/>
      </w:r>
      <w:r w:rsidRPr="002F21D4">
        <w:rPr>
          <w:sz w:val="22"/>
          <w:szCs w:val="22"/>
          <w:lang w:val="es-ES"/>
        </w:rPr>
        <w:t xml:space="preserve">. </w:t>
      </w:r>
      <w:r w:rsidR="000738D9" w:rsidRPr="002F21D4">
        <w:rPr>
          <w:sz w:val="22"/>
          <w:szCs w:val="22"/>
          <w:lang w:val="es-ES"/>
        </w:rPr>
        <w:t>El funcionamiento de estos mecanismos</w:t>
      </w:r>
      <w:r w:rsidRPr="002F21D4">
        <w:rPr>
          <w:sz w:val="22"/>
          <w:szCs w:val="22"/>
          <w:lang w:val="es-ES"/>
        </w:rPr>
        <w:t xml:space="preserve"> representa</w:t>
      </w:r>
      <w:r w:rsidR="000738D9" w:rsidRPr="002F21D4">
        <w:rPr>
          <w:sz w:val="22"/>
          <w:szCs w:val="22"/>
          <w:lang w:val="es-ES"/>
        </w:rPr>
        <w:t xml:space="preserve"> </w:t>
      </w:r>
      <w:r w:rsidRPr="002F21D4">
        <w:rPr>
          <w:sz w:val="22"/>
          <w:szCs w:val="22"/>
          <w:lang w:val="es-ES"/>
        </w:rPr>
        <w:t xml:space="preserve">un desafío </w:t>
      </w:r>
      <w:r w:rsidR="000738D9" w:rsidRPr="002F21D4">
        <w:rPr>
          <w:sz w:val="22"/>
          <w:szCs w:val="22"/>
          <w:lang w:val="es-ES"/>
        </w:rPr>
        <w:t>para</w:t>
      </w:r>
      <w:r w:rsidRPr="002F21D4">
        <w:rPr>
          <w:sz w:val="22"/>
          <w:szCs w:val="22"/>
          <w:lang w:val="es-ES"/>
        </w:rPr>
        <w:t xml:space="preserve"> la capacidad de gestión con enfoque diferencial étnico y articulación institucional para lograr consensos con las más de 100 autoridades </w:t>
      </w:r>
      <w:r w:rsidR="003B2A0D" w:rsidRPr="002F21D4">
        <w:rPr>
          <w:sz w:val="22"/>
          <w:szCs w:val="22"/>
          <w:lang w:val="es-ES"/>
        </w:rPr>
        <w:t>étnicas</w:t>
      </w:r>
      <w:r w:rsidRPr="002F21D4">
        <w:rPr>
          <w:sz w:val="22"/>
          <w:szCs w:val="22"/>
          <w:lang w:val="es-ES"/>
        </w:rPr>
        <w:t xml:space="preserve"> presentes en los territorios PDET. </w:t>
      </w:r>
    </w:p>
    <w:p w14:paraId="109159CA" w14:textId="77777777" w:rsidR="002F21D4" w:rsidRPr="002F21D4" w:rsidRDefault="002F21D4" w:rsidP="00B06FB8">
      <w:pPr>
        <w:snapToGrid w:val="0"/>
        <w:ind w:firstLine="360"/>
        <w:jc w:val="both"/>
        <w:rPr>
          <w:sz w:val="22"/>
          <w:szCs w:val="22"/>
          <w:lang w:val="es-ES"/>
        </w:rPr>
      </w:pPr>
    </w:p>
    <w:p w14:paraId="226BAA7B" w14:textId="332E5F05" w:rsidR="00E10EAF" w:rsidRPr="002F21D4" w:rsidRDefault="00E10EAF" w:rsidP="00B06FB8">
      <w:pPr>
        <w:snapToGrid w:val="0"/>
        <w:ind w:firstLine="360"/>
        <w:jc w:val="both"/>
        <w:rPr>
          <w:sz w:val="22"/>
          <w:szCs w:val="22"/>
          <w:lang w:val="es-ES"/>
        </w:rPr>
      </w:pPr>
      <w:r w:rsidRPr="002F21D4">
        <w:rPr>
          <w:sz w:val="22"/>
          <w:szCs w:val="22"/>
          <w:lang w:val="es-ES"/>
        </w:rPr>
        <w:t>La terminación y entrega de obras PDET</w:t>
      </w:r>
      <w:r w:rsidRPr="002F21D4">
        <w:rPr>
          <w:rStyle w:val="FootnoteReference"/>
          <w:sz w:val="22"/>
          <w:szCs w:val="22"/>
          <w:lang w:val="es-ES"/>
        </w:rPr>
        <w:footnoteReference w:id="91"/>
      </w:r>
      <w:r w:rsidRPr="002F21D4">
        <w:rPr>
          <w:sz w:val="22"/>
          <w:szCs w:val="22"/>
          <w:lang w:val="es-ES"/>
        </w:rPr>
        <w:t>, así como la ejecución de otro tipo de iniciativas de ámbito social o productivo, representan avances en la instalación de bienes, servicios públicos y derechos que impactan de forma positiva la apropiación social de las comunidades y la percepción de confianza, avance e implementación de los PDET y, por ende, del Acuerdo Final. Las estrategias de acercamiento con comunidades permitieron a la Consejería</w:t>
      </w:r>
      <w:r w:rsidR="006671A0" w:rsidRPr="002F21D4">
        <w:rPr>
          <w:sz w:val="22"/>
          <w:szCs w:val="22"/>
          <w:lang w:val="es-ES"/>
        </w:rPr>
        <w:t xml:space="preserve"> Presidencial</w:t>
      </w:r>
      <w:r w:rsidRPr="002F21D4">
        <w:rPr>
          <w:sz w:val="22"/>
          <w:szCs w:val="22"/>
          <w:lang w:val="es-ES"/>
        </w:rPr>
        <w:t xml:space="preserve"> para la Estabilización y Consolidación y </w:t>
      </w:r>
      <w:r w:rsidR="00BC2E71" w:rsidRPr="002F21D4">
        <w:rPr>
          <w:sz w:val="22"/>
          <w:szCs w:val="22"/>
          <w:lang w:val="es-ES"/>
        </w:rPr>
        <w:t xml:space="preserve">a </w:t>
      </w:r>
      <w:r w:rsidRPr="002F21D4">
        <w:rPr>
          <w:sz w:val="22"/>
          <w:szCs w:val="22"/>
          <w:lang w:val="es-ES"/>
        </w:rPr>
        <w:t xml:space="preserve">la ART reforzar el posicionamiento de estos programas y su legitimidad en la mayoría de las subregiones. </w:t>
      </w:r>
    </w:p>
    <w:p w14:paraId="150004FB" w14:textId="77777777" w:rsidR="002F21D4" w:rsidRPr="002F21D4" w:rsidRDefault="002F21D4" w:rsidP="00B06FB8">
      <w:pPr>
        <w:snapToGrid w:val="0"/>
        <w:ind w:firstLine="360"/>
        <w:jc w:val="both"/>
        <w:rPr>
          <w:sz w:val="22"/>
          <w:szCs w:val="22"/>
          <w:lang w:val="es-ES"/>
        </w:rPr>
      </w:pPr>
    </w:p>
    <w:p w14:paraId="72CBEF7C" w14:textId="77777777" w:rsidR="002F21D4" w:rsidRPr="002F21D4" w:rsidRDefault="00E10EAF" w:rsidP="002F21D4">
      <w:pPr>
        <w:snapToGrid w:val="0"/>
        <w:ind w:firstLine="360"/>
        <w:jc w:val="both"/>
        <w:rPr>
          <w:sz w:val="22"/>
          <w:szCs w:val="22"/>
          <w:lang w:val="es-ES"/>
        </w:rPr>
      </w:pPr>
      <w:r w:rsidRPr="002F21D4">
        <w:rPr>
          <w:sz w:val="22"/>
          <w:szCs w:val="22"/>
          <w:lang w:val="es-ES"/>
        </w:rPr>
        <w:t>Las Oficinas Municipales de Tierras y las Gerencias de Proyectos, recientemente creadas en la mayoría de los municipios PDET, sumadas a la reestructuración institucional ejecutada en algunos de ellos, constituyen una oportunidad para instalar capacidades técnicas locales para la formulación participativa, la rendición de cuentas, la gestión y la financiación de proyectos que materialicen las iniciativas PDET priorizadas a través de la HRU y los planes locales de desarrollo</w:t>
      </w:r>
      <w:r w:rsidRPr="002F21D4">
        <w:rPr>
          <w:rStyle w:val="FootnoteReference"/>
          <w:sz w:val="22"/>
          <w:szCs w:val="22"/>
          <w:lang w:val="es-ES"/>
        </w:rPr>
        <w:footnoteReference w:id="92"/>
      </w:r>
      <w:r w:rsidRPr="002F21D4">
        <w:rPr>
          <w:sz w:val="22"/>
          <w:szCs w:val="22"/>
          <w:lang w:val="es-ES"/>
        </w:rPr>
        <w:t xml:space="preserve">. </w:t>
      </w:r>
    </w:p>
    <w:p w14:paraId="28BDAB4F" w14:textId="77777777" w:rsidR="002F21D4" w:rsidRPr="002F21D4" w:rsidRDefault="002F21D4" w:rsidP="002F21D4">
      <w:pPr>
        <w:snapToGrid w:val="0"/>
        <w:ind w:firstLine="360"/>
        <w:jc w:val="both"/>
        <w:rPr>
          <w:sz w:val="22"/>
          <w:szCs w:val="22"/>
          <w:lang w:val="es-ES"/>
        </w:rPr>
      </w:pPr>
    </w:p>
    <w:p w14:paraId="16CD6CD4" w14:textId="14AF6B8D" w:rsidR="00052D49" w:rsidRPr="002F21D4" w:rsidRDefault="00A25FD6" w:rsidP="002F21D4">
      <w:pPr>
        <w:snapToGrid w:val="0"/>
        <w:ind w:firstLine="360"/>
        <w:jc w:val="both"/>
        <w:rPr>
          <w:sz w:val="22"/>
          <w:szCs w:val="22"/>
          <w:lang w:val="es-ES"/>
        </w:rPr>
      </w:pPr>
      <w:r w:rsidRPr="002F21D4">
        <w:rPr>
          <w:sz w:val="22"/>
          <w:szCs w:val="22"/>
          <w:lang w:val="es-ES"/>
        </w:rPr>
        <w:t>L</w:t>
      </w:r>
      <w:r w:rsidR="00E10EAF" w:rsidRPr="002F21D4">
        <w:rPr>
          <w:sz w:val="22"/>
          <w:szCs w:val="22"/>
          <w:lang w:val="es-ES"/>
        </w:rPr>
        <w:t xml:space="preserve">os mecanismos de financiación de los PDET </w:t>
      </w:r>
      <w:r w:rsidRPr="002F21D4">
        <w:rPr>
          <w:sz w:val="22"/>
          <w:szCs w:val="22"/>
          <w:lang w:val="es-ES"/>
        </w:rPr>
        <w:t>fueron fortalecidos mediante</w:t>
      </w:r>
      <w:r w:rsidR="00E10EAF" w:rsidRPr="002F21D4">
        <w:rPr>
          <w:sz w:val="22"/>
          <w:szCs w:val="22"/>
          <w:lang w:val="es-ES"/>
        </w:rPr>
        <w:t xml:space="preserve"> la entrada en funcionamiento del anticipo del Sistema General de Regalías, los aportes de cooperación internacional y un aumento significativo en los recursos del sector privado, a través del mecanismo de Obras por </w:t>
      </w:r>
      <w:r w:rsidRPr="002F21D4">
        <w:rPr>
          <w:sz w:val="22"/>
          <w:szCs w:val="22"/>
          <w:lang w:val="es-ES"/>
        </w:rPr>
        <w:t>I</w:t>
      </w:r>
      <w:r w:rsidR="00E10EAF" w:rsidRPr="002F21D4">
        <w:rPr>
          <w:sz w:val="22"/>
          <w:szCs w:val="22"/>
          <w:lang w:val="es-ES"/>
        </w:rPr>
        <w:t>mpuestos</w:t>
      </w:r>
      <w:r w:rsidR="00E10EAF" w:rsidRPr="002F21D4">
        <w:rPr>
          <w:rStyle w:val="FootnoteReference"/>
          <w:sz w:val="22"/>
          <w:szCs w:val="22"/>
          <w:lang w:val="es-ES"/>
        </w:rPr>
        <w:footnoteReference w:id="93"/>
      </w:r>
      <w:r w:rsidR="00E10EAF" w:rsidRPr="002F21D4">
        <w:rPr>
          <w:sz w:val="22"/>
          <w:szCs w:val="22"/>
          <w:lang w:val="es-ES"/>
        </w:rPr>
        <w:t xml:space="preserve">. De igual manera, </w:t>
      </w:r>
      <w:r w:rsidRPr="002F21D4">
        <w:rPr>
          <w:sz w:val="22"/>
          <w:szCs w:val="22"/>
          <w:lang w:val="es-ES"/>
        </w:rPr>
        <w:t xml:space="preserve">las </w:t>
      </w:r>
      <w:r w:rsidR="006C6F6B" w:rsidRPr="002F21D4">
        <w:rPr>
          <w:sz w:val="22"/>
          <w:szCs w:val="22"/>
          <w:lang w:val="es-ES"/>
        </w:rPr>
        <w:t>a</w:t>
      </w:r>
      <w:r w:rsidRPr="002F21D4">
        <w:rPr>
          <w:sz w:val="22"/>
          <w:szCs w:val="22"/>
          <w:lang w:val="es-ES"/>
        </w:rPr>
        <w:t xml:space="preserve">lcaldías, </w:t>
      </w:r>
      <w:r w:rsidR="006C6F6B" w:rsidRPr="002F21D4">
        <w:rPr>
          <w:sz w:val="22"/>
          <w:szCs w:val="22"/>
          <w:lang w:val="es-ES"/>
        </w:rPr>
        <w:t>g</w:t>
      </w:r>
      <w:r w:rsidRPr="002F21D4">
        <w:rPr>
          <w:sz w:val="22"/>
          <w:szCs w:val="22"/>
          <w:lang w:val="es-ES"/>
        </w:rPr>
        <w:t>obernaciones, cooperación internacional, sector privado y la ART, con la participación de estructuradores públicos y privados, avanzaron</w:t>
      </w:r>
      <w:r w:rsidR="00E10EAF" w:rsidRPr="002F21D4">
        <w:rPr>
          <w:sz w:val="22"/>
          <w:szCs w:val="22"/>
          <w:lang w:val="es-ES"/>
        </w:rPr>
        <w:t xml:space="preserve"> en la formulación de 7</w:t>
      </w:r>
      <w:r w:rsidRPr="002F21D4">
        <w:rPr>
          <w:sz w:val="22"/>
          <w:szCs w:val="22"/>
          <w:lang w:val="es-ES"/>
        </w:rPr>
        <w:t>.</w:t>
      </w:r>
      <w:r w:rsidR="00E10EAF" w:rsidRPr="002F21D4">
        <w:rPr>
          <w:sz w:val="22"/>
          <w:szCs w:val="22"/>
          <w:lang w:val="es-ES"/>
        </w:rPr>
        <w:t xml:space="preserve">942 proyectos e iniciativas. Sin embargo, </w:t>
      </w:r>
      <w:r w:rsidR="00C003CA" w:rsidRPr="002F21D4">
        <w:rPr>
          <w:sz w:val="22"/>
          <w:szCs w:val="22"/>
          <w:lang w:val="es-ES"/>
        </w:rPr>
        <w:t>ante el importante volumen de rechazo de los proyectos estructurados, percibido por las entidades territoriales, es necesario i</w:t>
      </w:r>
      <w:r w:rsidR="00E10EAF" w:rsidRPr="002F21D4">
        <w:rPr>
          <w:sz w:val="22"/>
          <w:szCs w:val="22"/>
          <w:lang w:val="es-ES"/>
        </w:rPr>
        <w:t xml:space="preserve">dentificar </w:t>
      </w:r>
      <w:r w:rsidR="004C1F39" w:rsidRPr="002F21D4">
        <w:rPr>
          <w:sz w:val="22"/>
          <w:szCs w:val="22"/>
          <w:lang w:val="es-ES"/>
        </w:rPr>
        <w:t>las razones más frecuentes</w:t>
      </w:r>
      <w:r w:rsidR="00EC1E80" w:rsidRPr="002F21D4">
        <w:rPr>
          <w:sz w:val="22"/>
          <w:szCs w:val="22"/>
          <w:lang w:val="es-ES"/>
        </w:rPr>
        <w:t xml:space="preserve"> de esta dinámica</w:t>
      </w:r>
      <w:r w:rsidR="004C1F39" w:rsidRPr="002F21D4">
        <w:rPr>
          <w:sz w:val="22"/>
          <w:szCs w:val="22"/>
          <w:lang w:val="es-ES"/>
        </w:rPr>
        <w:t>,</w:t>
      </w:r>
      <w:r w:rsidR="00E10EAF" w:rsidRPr="002F21D4">
        <w:rPr>
          <w:sz w:val="22"/>
          <w:szCs w:val="22"/>
          <w:lang w:val="es-ES"/>
        </w:rPr>
        <w:t xml:space="preserve"> </w:t>
      </w:r>
      <w:r w:rsidR="004C1F39" w:rsidRPr="002F21D4">
        <w:rPr>
          <w:sz w:val="22"/>
          <w:szCs w:val="22"/>
          <w:lang w:val="es-ES"/>
        </w:rPr>
        <w:t xml:space="preserve">con el fin de </w:t>
      </w:r>
      <w:r w:rsidR="00C003CA" w:rsidRPr="002F21D4">
        <w:rPr>
          <w:sz w:val="22"/>
          <w:szCs w:val="22"/>
          <w:lang w:val="es-ES"/>
        </w:rPr>
        <w:t xml:space="preserve">generar </w:t>
      </w:r>
      <w:r w:rsidR="00E10EAF" w:rsidRPr="002F21D4">
        <w:rPr>
          <w:sz w:val="22"/>
          <w:szCs w:val="22"/>
          <w:lang w:val="es-ES"/>
        </w:rPr>
        <w:t>los correctivos necesarios.</w:t>
      </w:r>
    </w:p>
    <w:p w14:paraId="632EC708" w14:textId="77777777" w:rsidR="00F2063B" w:rsidRPr="002F21D4" w:rsidRDefault="00BC2E71" w:rsidP="002F21D4">
      <w:pPr>
        <w:snapToGrid w:val="0"/>
        <w:ind w:firstLine="360"/>
        <w:jc w:val="both"/>
        <w:rPr>
          <w:sz w:val="22"/>
          <w:szCs w:val="22"/>
          <w:lang w:val="es-ES"/>
        </w:rPr>
      </w:pPr>
      <w:r w:rsidRPr="002F21D4">
        <w:rPr>
          <w:sz w:val="22"/>
          <w:szCs w:val="22"/>
          <w:lang w:val="es-ES"/>
        </w:rPr>
        <w:lastRenderedPageBreak/>
        <w:t>De acuerdo con cifras oficiales de la Agencia Nacional de Tierras</w:t>
      </w:r>
      <w:r w:rsidR="00822F88" w:rsidRPr="002F21D4">
        <w:rPr>
          <w:rStyle w:val="FootnoteReference"/>
          <w:sz w:val="22"/>
          <w:szCs w:val="22"/>
          <w:lang w:val="es-ES"/>
        </w:rPr>
        <w:footnoteReference w:id="94"/>
      </w:r>
      <w:r w:rsidRPr="002F21D4">
        <w:rPr>
          <w:sz w:val="22"/>
          <w:szCs w:val="22"/>
          <w:lang w:val="es-ES"/>
        </w:rPr>
        <w:t>, el Fondo Nacional de Tierras, principal herramienta para la democratización y acceso a la tierra a comunidades rurales sin tierra o con tierra insuficiente, cuenta con 1.402.068 hectáreas</w:t>
      </w:r>
      <w:r w:rsidR="00E32DB1" w:rsidRPr="002F21D4">
        <w:rPr>
          <w:sz w:val="22"/>
          <w:szCs w:val="22"/>
          <w:lang w:val="es-ES"/>
        </w:rPr>
        <w:t xml:space="preserve">, </w:t>
      </w:r>
      <w:r w:rsidRPr="002F21D4">
        <w:rPr>
          <w:sz w:val="22"/>
          <w:szCs w:val="22"/>
          <w:lang w:val="es-ES"/>
        </w:rPr>
        <w:t>de</w:t>
      </w:r>
      <w:r w:rsidR="00E32DB1" w:rsidRPr="002F21D4">
        <w:rPr>
          <w:sz w:val="22"/>
          <w:szCs w:val="22"/>
          <w:lang w:val="es-ES"/>
        </w:rPr>
        <w:t xml:space="preserve"> un</w:t>
      </w:r>
      <w:r w:rsidRPr="002F21D4">
        <w:rPr>
          <w:sz w:val="22"/>
          <w:szCs w:val="22"/>
          <w:lang w:val="es-ES"/>
        </w:rPr>
        <w:t xml:space="preserve"> total de 3 millones </w:t>
      </w:r>
      <w:r w:rsidR="00E32DB1" w:rsidRPr="002F21D4">
        <w:rPr>
          <w:sz w:val="22"/>
          <w:szCs w:val="22"/>
          <w:lang w:val="es-ES"/>
        </w:rPr>
        <w:t xml:space="preserve">establecidas como meta en el punto </w:t>
      </w:r>
      <w:r w:rsidR="00822F88" w:rsidRPr="002F21D4">
        <w:rPr>
          <w:sz w:val="22"/>
          <w:szCs w:val="22"/>
          <w:lang w:val="es-ES"/>
        </w:rPr>
        <w:t xml:space="preserve">1.1.1 </w:t>
      </w:r>
      <w:r w:rsidR="00E32DB1" w:rsidRPr="002F21D4">
        <w:rPr>
          <w:sz w:val="22"/>
          <w:szCs w:val="22"/>
          <w:lang w:val="es-ES"/>
        </w:rPr>
        <w:t>del Acuerdo Final. Según el reporte de la ANT, a</w:t>
      </w:r>
      <w:r w:rsidRPr="002F21D4">
        <w:rPr>
          <w:sz w:val="22"/>
          <w:szCs w:val="22"/>
          <w:lang w:val="es-ES"/>
        </w:rPr>
        <w:t xml:space="preserve"> través del Fondo se han adjudicado 244.762 hectáreas a comunidades étnicas beneficiando a 8.410 familias; 247.021 hectáreas en beneficio de 10.032 familias; y, 2.259 hectáreas a 1.173 familias campesinas y </w:t>
      </w:r>
      <w:r w:rsidR="00822F88" w:rsidRPr="002F21D4">
        <w:rPr>
          <w:sz w:val="22"/>
          <w:szCs w:val="22"/>
          <w:lang w:val="es-ES"/>
        </w:rPr>
        <w:t>e</w:t>
      </w:r>
      <w:r w:rsidRPr="002F21D4">
        <w:rPr>
          <w:sz w:val="22"/>
          <w:szCs w:val="22"/>
          <w:lang w:val="es-ES"/>
        </w:rPr>
        <w:t xml:space="preserve">ntidades de </w:t>
      </w:r>
      <w:r w:rsidR="00822F88" w:rsidRPr="002F21D4">
        <w:rPr>
          <w:sz w:val="22"/>
          <w:szCs w:val="22"/>
          <w:lang w:val="es-ES"/>
        </w:rPr>
        <w:t>d</w:t>
      </w:r>
      <w:r w:rsidRPr="002F21D4">
        <w:rPr>
          <w:sz w:val="22"/>
          <w:szCs w:val="22"/>
          <w:lang w:val="es-ES"/>
        </w:rPr>
        <w:t xml:space="preserve">erecho </w:t>
      </w:r>
      <w:r w:rsidR="00822F88" w:rsidRPr="002F21D4">
        <w:rPr>
          <w:sz w:val="22"/>
          <w:szCs w:val="22"/>
          <w:lang w:val="es-ES"/>
        </w:rPr>
        <w:t>p</w:t>
      </w:r>
      <w:r w:rsidRPr="002F21D4">
        <w:rPr>
          <w:sz w:val="22"/>
          <w:szCs w:val="22"/>
          <w:lang w:val="es-ES"/>
        </w:rPr>
        <w:t>úblico, de las cuales 691 (58,90%) son mujeres con títulos otorgados a su nombre o compartido con sus parejas.</w:t>
      </w:r>
    </w:p>
    <w:p w14:paraId="4B697340" w14:textId="77777777" w:rsidR="002F21D4" w:rsidRPr="002F21D4" w:rsidRDefault="002F21D4" w:rsidP="00B06FB8">
      <w:pPr>
        <w:snapToGrid w:val="0"/>
        <w:ind w:firstLine="708"/>
        <w:jc w:val="both"/>
        <w:rPr>
          <w:sz w:val="22"/>
          <w:szCs w:val="22"/>
          <w:lang w:val="es-ES"/>
        </w:rPr>
      </w:pPr>
    </w:p>
    <w:p w14:paraId="40BEA6BB" w14:textId="41D60ACF" w:rsidR="00F2063B" w:rsidRPr="002F21D4" w:rsidRDefault="00BC2E71" w:rsidP="002F21D4">
      <w:pPr>
        <w:snapToGrid w:val="0"/>
        <w:ind w:firstLine="360"/>
        <w:jc w:val="both"/>
        <w:rPr>
          <w:sz w:val="22"/>
          <w:szCs w:val="22"/>
          <w:lang w:val="es-ES"/>
        </w:rPr>
      </w:pPr>
      <w:r w:rsidRPr="002F21D4">
        <w:rPr>
          <w:sz w:val="22"/>
          <w:szCs w:val="22"/>
          <w:lang w:val="es-ES"/>
        </w:rPr>
        <w:t>Ad</w:t>
      </w:r>
      <w:r w:rsidR="00F2063B" w:rsidRPr="002F21D4">
        <w:rPr>
          <w:sz w:val="22"/>
          <w:szCs w:val="22"/>
          <w:lang w:val="es-ES"/>
        </w:rPr>
        <w:t>icionalmente</w:t>
      </w:r>
      <w:r w:rsidRPr="002F21D4">
        <w:rPr>
          <w:sz w:val="22"/>
          <w:szCs w:val="22"/>
          <w:lang w:val="es-ES"/>
        </w:rPr>
        <w:t xml:space="preserve">, </w:t>
      </w:r>
      <w:r w:rsidR="00B6641E" w:rsidRPr="002F21D4">
        <w:rPr>
          <w:sz w:val="22"/>
          <w:szCs w:val="22"/>
          <w:lang w:val="es-ES"/>
        </w:rPr>
        <w:t>se reporta</w:t>
      </w:r>
      <w:r w:rsidR="00822F88" w:rsidRPr="002F21D4">
        <w:rPr>
          <w:sz w:val="22"/>
          <w:szCs w:val="22"/>
        </w:rPr>
        <w:t xml:space="preserve"> l</w:t>
      </w:r>
      <w:r w:rsidR="00822F88" w:rsidRPr="002F21D4">
        <w:rPr>
          <w:sz w:val="22"/>
          <w:szCs w:val="22"/>
          <w:lang w:val="es-ES"/>
        </w:rPr>
        <w:t>a formalización de 2</w:t>
      </w:r>
      <w:r w:rsidR="009E5604" w:rsidRPr="002F21D4">
        <w:rPr>
          <w:sz w:val="22"/>
          <w:szCs w:val="22"/>
          <w:lang w:val="es-ES"/>
        </w:rPr>
        <w:t>.</w:t>
      </w:r>
      <w:r w:rsidR="00822F88" w:rsidRPr="002F21D4">
        <w:rPr>
          <w:sz w:val="22"/>
          <w:szCs w:val="22"/>
          <w:lang w:val="es-ES"/>
        </w:rPr>
        <w:t>233.867 hectáreas</w:t>
      </w:r>
      <w:r w:rsidR="00822F88" w:rsidRPr="002F21D4">
        <w:rPr>
          <w:sz w:val="22"/>
          <w:szCs w:val="22"/>
          <w:vertAlign w:val="superscript"/>
          <w:lang w:val="es-ES"/>
        </w:rPr>
        <w:footnoteReference w:id="95"/>
      </w:r>
      <w:r w:rsidR="00822F88" w:rsidRPr="002F21D4">
        <w:rPr>
          <w:sz w:val="22"/>
          <w:szCs w:val="22"/>
          <w:lang w:val="es-ES"/>
        </w:rPr>
        <w:t>, de un total de 7 millones establecidas como meta</w:t>
      </w:r>
      <w:r w:rsidR="00822F88" w:rsidRPr="002F21D4">
        <w:rPr>
          <w:sz w:val="22"/>
          <w:szCs w:val="22"/>
          <w:vertAlign w:val="superscript"/>
          <w:lang w:val="es-ES"/>
        </w:rPr>
        <w:footnoteReference w:id="96"/>
      </w:r>
      <w:r w:rsidR="00822F88" w:rsidRPr="002F21D4">
        <w:rPr>
          <w:sz w:val="22"/>
          <w:szCs w:val="22"/>
          <w:lang w:val="es-ES"/>
        </w:rPr>
        <w:t>. Esta formalización se aplica a favor de comunidades rurales que poseían materialmente los predios pero que no tenían regularizada su relación a través de un título jurídico registrado</w:t>
      </w:r>
      <w:r w:rsidR="009E5604" w:rsidRPr="002F21D4">
        <w:rPr>
          <w:sz w:val="22"/>
          <w:szCs w:val="22"/>
          <w:lang w:val="es-ES"/>
        </w:rPr>
        <w:t xml:space="preserve">. </w:t>
      </w:r>
      <w:r w:rsidR="00E32DB1" w:rsidRPr="002F21D4">
        <w:rPr>
          <w:sz w:val="22"/>
          <w:szCs w:val="22"/>
          <w:lang w:val="es-ES"/>
        </w:rPr>
        <w:t>Esta</w:t>
      </w:r>
      <w:r w:rsidR="009E5604" w:rsidRPr="002F21D4">
        <w:rPr>
          <w:sz w:val="22"/>
          <w:szCs w:val="22"/>
          <w:lang w:val="es-ES"/>
        </w:rPr>
        <w:t>s</w:t>
      </w:r>
      <w:r w:rsidR="00E32DB1" w:rsidRPr="002F21D4">
        <w:rPr>
          <w:sz w:val="22"/>
          <w:szCs w:val="22"/>
          <w:lang w:val="es-ES"/>
        </w:rPr>
        <w:t xml:space="preserve"> </w:t>
      </w:r>
      <w:r w:rsidR="009E5604" w:rsidRPr="002F21D4">
        <w:rPr>
          <w:sz w:val="22"/>
          <w:szCs w:val="22"/>
          <w:lang w:val="es-ES"/>
        </w:rPr>
        <w:t>acciones están</w:t>
      </w:r>
      <w:r w:rsidR="00E32DB1" w:rsidRPr="002F21D4">
        <w:rPr>
          <w:sz w:val="22"/>
          <w:szCs w:val="22"/>
          <w:lang w:val="es-ES"/>
        </w:rPr>
        <w:t xml:space="preserve"> permitiendo avanzar </w:t>
      </w:r>
      <w:r w:rsidRPr="002F21D4">
        <w:rPr>
          <w:sz w:val="22"/>
          <w:szCs w:val="22"/>
          <w:lang w:val="es-ES"/>
        </w:rPr>
        <w:t>en el acceso y uso adecuado de la tierra con criterios de sostenibilidad ambiental, de vocación del suelo, de ordenamiento territorial y de participación de las comunidades.</w:t>
      </w:r>
    </w:p>
    <w:p w14:paraId="25C923D8" w14:textId="77777777" w:rsidR="002F21D4" w:rsidRPr="002F21D4" w:rsidRDefault="002F21D4" w:rsidP="00B06FB8">
      <w:pPr>
        <w:snapToGrid w:val="0"/>
        <w:ind w:firstLine="708"/>
        <w:jc w:val="both"/>
        <w:rPr>
          <w:sz w:val="22"/>
          <w:szCs w:val="22"/>
          <w:lang w:val="es-ES"/>
        </w:rPr>
      </w:pPr>
    </w:p>
    <w:p w14:paraId="397AF1ED" w14:textId="2777461A" w:rsidR="00E10EAF" w:rsidRPr="002F21D4" w:rsidRDefault="00E10EAF" w:rsidP="002F21D4">
      <w:pPr>
        <w:snapToGrid w:val="0"/>
        <w:ind w:firstLine="360"/>
        <w:jc w:val="both"/>
        <w:rPr>
          <w:sz w:val="22"/>
          <w:szCs w:val="22"/>
          <w:lang w:val="es-ES"/>
        </w:rPr>
      </w:pPr>
      <w:r w:rsidRPr="002F21D4">
        <w:rPr>
          <w:sz w:val="22"/>
          <w:szCs w:val="22"/>
          <w:lang w:val="es-ES"/>
        </w:rPr>
        <w:t>A pesar de los importantes avances,</w:t>
      </w:r>
      <w:r w:rsidR="003C0A40" w:rsidRPr="002F21D4">
        <w:rPr>
          <w:sz w:val="22"/>
          <w:szCs w:val="22"/>
          <w:lang w:val="es-ES"/>
        </w:rPr>
        <w:t xml:space="preserve"> continúa siendo un desafío</w:t>
      </w:r>
      <w:r w:rsidRPr="002F21D4">
        <w:rPr>
          <w:sz w:val="22"/>
          <w:szCs w:val="22"/>
          <w:lang w:val="es-ES"/>
        </w:rPr>
        <w:t xml:space="preserve"> la formalización de predios a favor de entes territoriales, especialmente</w:t>
      </w:r>
      <w:r w:rsidR="00EB63CF" w:rsidRPr="002F21D4">
        <w:rPr>
          <w:sz w:val="22"/>
          <w:szCs w:val="22"/>
          <w:lang w:val="es-ES"/>
        </w:rPr>
        <w:t xml:space="preserve">, para </w:t>
      </w:r>
      <w:r w:rsidRPr="002F21D4">
        <w:rPr>
          <w:sz w:val="22"/>
          <w:szCs w:val="22"/>
          <w:lang w:val="es-ES"/>
        </w:rPr>
        <w:t>escuelas rurales,</w:t>
      </w:r>
      <w:r w:rsidR="006758F0" w:rsidRPr="002F21D4">
        <w:rPr>
          <w:sz w:val="22"/>
          <w:szCs w:val="22"/>
          <w:lang w:val="es-ES"/>
        </w:rPr>
        <w:t xml:space="preserve"> y</w:t>
      </w:r>
      <w:r w:rsidRPr="002F21D4">
        <w:rPr>
          <w:sz w:val="22"/>
          <w:szCs w:val="22"/>
          <w:lang w:val="es-ES"/>
        </w:rPr>
        <w:t xml:space="preserve"> centros de salu</w:t>
      </w:r>
      <w:r w:rsidR="003C0A40" w:rsidRPr="002F21D4">
        <w:rPr>
          <w:sz w:val="22"/>
          <w:szCs w:val="22"/>
          <w:lang w:val="es-ES"/>
        </w:rPr>
        <w:t>d, entre otr</w:t>
      </w:r>
      <w:r w:rsidR="00EB63CF" w:rsidRPr="002F21D4">
        <w:rPr>
          <w:sz w:val="22"/>
          <w:szCs w:val="22"/>
          <w:lang w:val="es-ES"/>
        </w:rPr>
        <w:t>o</w:t>
      </w:r>
      <w:r w:rsidR="003C0A40" w:rsidRPr="002F21D4">
        <w:rPr>
          <w:sz w:val="22"/>
          <w:szCs w:val="22"/>
          <w:lang w:val="es-ES"/>
        </w:rPr>
        <w:t>s</w:t>
      </w:r>
      <w:r w:rsidRPr="002F21D4">
        <w:rPr>
          <w:sz w:val="22"/>
          <w:szCs w:val="22"/>
          <w:lang w:val="es-ES"/>
        </w:rPr>
        <w:t xml:space="preserve">. </w:t>
      </w:r>
      <w:r w:rsidR="003C0A40" w:rsidRPr="002F21D4">
        <w:rPr>
          <w:sz w:val="22"/>
          <w:szCs w:val="22"/>
          <w:lang w:val="es-ES"/>
        </w:rPr>
        <w:t xml:space="preserve">Lograr su </w:t>
      </w:r>
      <w:r w:rsidRPr="002F21D4">
        <w:rPr>
          <w:sz w:val="22"/>
          <w:szCs w:val="22"/>
          <w:lang w:val="es-ES"/>
        </w:rPr>
        <w:t xml:space="preserve">formalización habilita la inversión para </w:t>
      </w:r>
      <w:r w:rsidR="003C0A40" w:rsidRPr="002F21D4">
        <w:rPr>
          <w:sz w:val="22"/>
          <w:szCs w:val="22"/>
          <w:lang w:val="es-ES"/>
        </w:rPr>
        <w:t>la</w:t>
      </w:r>
      <w:r w:rsidRPr="002F21D4">
        <w:rPr>
          <w:sz w:val="22"/>
          <w:szCs w:val="22"/>
          <w:lang w:val="es-ES"/>
        </w:rPr>
        <w:t xml:space="preserve"> construcción, mejoramiento y/o dotación, así como la incorporación de estas sedes en los inventarios de los Ministerios de Educación Nacional y de Salud y Protección Social, garantizando la sostenibilidad de los bienes públicos y los derechos que allí se ejercen. </w:t>
      </w:r>
      <w:r w:rsidR="00EF414C" w:rsidRPr="002F21D4">
        <w:rPr>
          <w:sz w:val="22"/>
          <w:szCs w:val="22"/>
          <w:lang w:val="es-ES"/>
        </w:rPr>
        <w:t>L</w:t>
      </w:r>
      <w:r w:rsidR="00AF1A5E" w:rsidRPr="002F21D4">
        <w:rPr>
          <w:sz w:val="22"/>
          <w:szCs w:val="22"/>
          <w:lang w:val="es-ES"/>
        </w:rPr>
        <w:t>as dificultades</w:t>
      </w:r>
      <w:r w:rsidRPr="002F21D4">
        <w:rPr>
          <w:sz w:val="22"/>
          <w:szCs w:val="22"/>
          <w:lang w:val="es-ES"/>
        </w:rPr>
        <w:t xml:space="preserve"> financier</w:t>
      </w:r>
      <w:r w:rsidR="00AF1A5E" w:rsidRPr="002F21D4">
        <w:rPr>
          <w:sz w:val="22"/>
          <w:szCs w:val="22"/>
          <w:lang w:val="es-ES"/>
        </w:rPr>
        <w:t>a</w:t>
      </w:r>
      <w:r w:rsidRPr="002F21D4">
        <w:rPr>
          <w:sz w:val="22"/>
          <w:szCs w:val="22"/>
          <w:lang w:val="es-ES"/>
        </w:rPr>
        <w:t>s</w:t>
      </w:r>
      <w:r w:rsidR="003C0A40" w:rsidRPr="002F21D4">
        <w:rPr>
          <w:sz w:val="22"/>
          <w:szCs w:val="22"/>
          <w:lang w:val="es-ES"/>
        </w:rPr>
        <w:t xml:space="preserve"> y </w:t>
      </w:r>
      <w:r w:rsidRPr="002F21D4">
        <w:rPr>
          <w:sz w:val="22"/>
          <w:szCs w:val="22"/>
          <w:lang w:val="es-ES"/>
        </w:rPr>
        <w:t xml:space="preserve">de seguridad para el ordenamiento social y ambiental de la propiedad rural han generado una percepción de bajo impacto en los procesos de acceso y formalización de tierras a comunidades campesinas y étnicas; </w:t>
      </w:r>
      <w:r w:rsidR="003C0A40" w:rsidRPr="002F21D4">
        <w:rPr>
          <w:sz w:val="22"/>
          <w:szCs w:val="22"/>
          <w:lang w:val="es-ES"/>
        </w:rPr>
        <w:t>a lo anterior, se suma</w:t>
      </w:r>
      <w:r w:rsidRPr="002F21D4">
        <w:rPr>
          <w:sz w:val="22"/>
          <w:szCs w:val="22"/>
          <w:lang w:val="es-ES"/>
        </w:rPr>
        <w:t xml:space="preserve"> la rápida degradación de los recursos medio ambientales indispensables para la sostenibilidad de las comunidades en los territorios más </w:t>
      </w:r>
      <w:r w:rsidR="00EF414C" w:rsidRPr="002F21D4">
        <w:rPr>
          <w:sz w:val="22"/>
          <w:szCs w:val="22"/>
          <w:lang w:val="es-ES"/>
        </w:rPr>
        <w:t>impactados</w:t>
      </w:r>
      <w:r w:rsidRPr="002F21D4">
        <w:rPr>
          <w:sz w:val="22"/>
          <w:szCs w:val="22"/>
          <w:lang w:val="es-ES"/>
        </w:rPr>
        <w:t xml:space="preserve"> por el conflicto armado</w:t>
      </w:r>
      <w:r w:rsidR="00591A91" w:rsidRPr="002F21D4">
        <w:rPr>
          <w:sz w:val="22"/>
          <w:szCs w:val="22"/>
          <w:lang w:val="es-ES"/>
        </w:rPr>
        <w:t xml:space="preserve"> y la criminalidad</w:t>
      </w:r>
      <w:r w:rsidRPr="002F21D4">
        <w:rPr>
          <w:sz w:val="22"/>
          <w:szCs w:val="22"/>
          <w:lang w:val="es-ES"/>
        </w:rPr>
        <w:t xml:space="preserve">. </w:t>
      </w:r>
    </w:p>
    <w:p w14:paraId="7706E1F7" w14:textId="77777777" w:rsidR="002F21D4" w:rsidRPr="002F21D4" w:rsidRDefault="002F21D4" w:rsidP="00B06FB8">
      <w:pPr>
        <w:snapToGrid w:val="0"/>
        <w:ind w:firstLine="360"/>
        <w:jc w:val="both"/>
        <w:rPr>
          <w:sz w:val="22"/>
          <w:szCs w:val="22"/>
          <w:lang w:val="es-ES"/>
        </w:rPr>
      </w:pPr>
    </w:p>
    <w:p w14:paraId="3C9FD5E2" w14:textId="3070EB7D" w:rsidR="00E10EAF" w:rsidRPr="002F21D4" w:rsidRDefault="00AE4477" w:rsidP="00B06FB8">
      <w:pPr>
        <w:snapToGrid w:val="0"/>
        <w:ind w:firstLine="360"/>
        <w:jc w:val="both"/>
        <w:rPr>
          <w:sz w:val="22"/>
          <w:szCs w:val="22"/>
          <w:lang w:val="es-ES"/>
        </w:rPr>
      </w:pPr>
      <w:r w:rsidRPr="002F21D4">
        <w:rPr>
          <w:sz w:val="22"/>
          <w:szCs w:val="22"/>
          <w:lang w:val="es-ES"/>
        </w:rPr>
        <w:t>Como se señaló en el XXX Informe Semestral, p</w:t>
      </w:r>
      <w:r w:rsidR="00AF1A5E" w:rsidRPr="002F21D4">
        <w:rPr>
          <w:sz w:val="22"/>
          <w:szCs w:val="22"/>
          <w:lang w:val="es-ES"/>
        </w:rPr>
        <w:t>ersisten retos</w:t>
      </w:r>
      <w:r w:rsidR="00E10EAF" w:rsidRPr="002F21D4">
        <w:rPr>
          <w:sz w:val="22"/>
          <w:szCs w:val="22"/>
          <w:lang w:val="es-ES"/>
        </w:rPr>
        <w:t xml:space="preserve"> </w:t>
      </w:r>
      <w:r w:rsidR="00AF1A5E" w:rsidRPr="002F21D4">
        <w:rPr>
          <w:sz w:val="22"/>
          <w:szCs w:val="22"/>
          <w:lang w:val="es-ES"/>
        </w:rPr>
        <w:t xml:space="preserve">en la comunicación </w:t>
      </w:r>
      <w:r w:rsidR="00E10EAF" w:rsidRPr="002F21D4">
        <w:rPr>
          <w:sz w:val="22"/>
          <w:szCs w:val="22"/>
          <w:lang w:val="es-ES"/>
        </w:rPr>
        <w:t>asertiva</w:t>
      </w:r>
      <w:r w:rsidR="00AF1A5E" w:rsidRPr="002F21D4">
        <w:rPr>
          <w:sz w:val="22"/>
          <w:szCs w:val="22"/>
          <w:lang w:val="es-ES"/>
        </w:rPr>
        <w:t xml:space="preserve"> a las comunidades y autoridades locales de los tiempos de ejecución e intervinientes en la implementación</w:t>
      </w:r>
      <w:r w:rsidR="00435983" w:rsidRPr="002F21D4">
        <w:rPr>
          <w:sz w:val="22"/>
          <w:szCs w:val="22"/>
          <w:lang w:val="es-ES"/>
        </w:rPr>
        <w:t xml:space="preserve"> de los programas</w:t>
      </w:r>
      <w:r w:rsidR="00E10EAF" w:rsidRPr="002F21D4">
        <w:rPr>
          <w:sz w:val="22"/>
          <w:szCs w:val="22"/>
          <w:lang w:val="es-ES"/>
        </w:rPr>
        <w:t xml:space="preserve">; los escenarios de participación y veeduría ciudadana; y la efectividad en el reconocimiento de obras y acciones estatales como parte </w:t>
      </w:r>
      <w:r w:rsidR="00435983" w:rsidRPr="002F21D4">
        <w:rPr>
          <w:sz w:val="22"/>
          <w:szCs w:val="22"/>
          <w:lang w:val="es-ES"/>
        </w:rPr>
        <w:t>del PDET</w:t>
      </w:r>
      <w:r w:rsidR="00E10EAF" w:rsidRPr="002F21D4">
        <w:rPr>
          <w:sz w:val="22"/>
          <w:szCs w:val="22"/>
          <w:lang w:val="es-ES"/>
        </w:rPr>
        <w:t xml:space="preserve">. Involucrar a las comunidades y autoridades étnicas en la formulación e implementación de las iniciativas incrementa la percepción de participación, facilita el fortalecimiento de los GM y los MEC y la apropiación social de </w:t>
      </w:r>
      <w:r w:rsidRPr="002F21D4">
        <w:rPr>
          <w:sz w:val="22"/>
          <w:szCs w:val="22"/>
          <w:lang w:val="es-ES"/>
        </w:rPr>
        <w:t xml:space="preserve">las comunidades sobre </w:t>
      </w:r>
      <w:r w:rsidR="00BC1884" w:rsidRPr="002F21D4">
        <w:rPr>
          <w:sz w:val="22"/>
          <w:szCs w:val="22"/>
          <w:lang w:val="es-ES"/>
        </w:rPr>
        <w:t xml:space="preserve">los </w:t>
      </w:r>
      <w:r w:rsidR="00E10EAF" w:rsidRPr="002F21D4">
        <w:rPr>
          <w:sz w:val="22"/>
          <w:szCs w:val="22"/>
          <w:lang w:val="es-ES"/>
        </w:rPr>
        <w:t>PDET, reafirmando así su rol como sujetos activos y responsables de la gobernanza de sus territorios</w:t>
      </w:r>
      <w:r w:rsidR="00E10EAF" w:rsidRPr="002F21D4">
        <w:rPr>
          <w:rStyle w:val="FootnoteReference"/>
          <w:sz w:val="22"/>
          <w:szCs w:val="22"/>
          <w:lang w:val="es-ES"/>
        </w:rPr>
        <w:footnoteReference w:id="97"/>
      </w:r>
      <w:r w:rsidR="00E10EAF" w:rsidRPr="002F21D4">
        <w:rPr>
          <w:sz w:val="22"/>
          <w:szCs w:val="22"/>
          <w:lang w:val="es-ES"/>
        </w:rPr>
        <w:t>.</w:t>
      </w:r>
    </w:p>
    <w:p w14:paraId="4D40A5F4" w14:textId="77777777" w:rsidR="002F21D4" w:rsidRPr="002F21D4" w:rsidRDefault="002F21D4" w:rsidP="00B06FB8">
      <w:pPr>
        <w:snapToGrid w:val="0"/>
        <w:ind w:firstLine="360"/>
        <w:jc w:val="both"/>
        <w:rPr>
          <w:sz w:val="22"/>
          <w:szCs w:val="22"/>
          <w:lang w:val="es-ES"/>
        </w:rPr>
      </w:pPr>
    </w:p>
    <w:p w14:paraId="1675547F" w14:textId="5E17AC7A" w:rsidR="00451398" w:rsidRPr="002F21D4" w:rsidRDefault="00451398" w:rsidP="00B06FB8">
      <w:pPr>
        <w:snapToGrid w:val="0"/>
        <w:ind w:firstLine="360"/>
        <w:jc w:val="both"/>
        <w:rPr>
          <w:sz w:val="22"/>
          <w:szCs w:val="22"/>
          <w:lang w:val="es-ES"/>
        </w:rPr>
      </w:pPr>
      <w:r w:rsidRPr="002F21D4">
        <w:rPr>
          <w:sz w:val="22"/>
          <w:szCs w:val="22"/>
          <w:lang w:val="es-ES"/>
        </w:rPr>
        <w:lastRenderedPageBreak/>
        <w:t xml:space="preserve">Los avances y experiencia articuladora de los PDET y la puesta en marcha de 13 de los 16 Planes Nacionales Sectoriales contemplados en el Acuerdo Final, </w:t>
      </w:r>
      <w:r w:rsidR="00AE4477" w:rsidRPr="002F21D4">
        <w:rPr>
          <w:sz w:val="22"/>
          <w:szCs w:val="22"/>
          <w:lang w:val="es-ES"/>
        </w:rPr>
        <w:t>facilita</w:t>
      </w:r>
      <w:r w:rsidRPr="002F21D4">
        <w:rPr>
          <w:sz w:val="22"/>
          <w:szCs w:val="22"/>
          <w:lang w:val="es-ES"/>
        </w:rPr>
        <w:t xml:space="preserve"> la ejecución articulada de otros compromisos establecidos en el punto 1 sobre Reforma Rural Integral; especialmente aquellos relacionados con una cobertura institucional de bienes y servicios en los municipios no PDET. En este sentido, es necesario avanzar en la aprobación de los 3 planes restantes, en especial el Plan de Formalización Masiva de la Propiedad Rural y el Plan Nacional de Zonificación Ambiental, que junto a la jurisdicción agraria siguen siendo elementos estratégicos indispensables para la superación de las causas estructurales del conflicto armado y la consecución de los objetivos de los PDET</w:t>
      </w:r>
      <w:r w:rsidRPr="002F21D4">
        <w:rPr>
          <w:rStyle w:val="FootnoteReference"/>
          <w:sz w:val="22"/>
          <w:szCs w:val="22"/>
          <w:lang w:val="es-ES"/>
        </w:rPr>
        <w:footnoteReference w:id="98"/>
      </w:r>
      <w:r w:rsidRPr="002F21D4">
        <w:rPr>
          <w:sz w:val="22"/>
          <w:szCs w:val="22"/>
          <w:lang w:val="es-ES"/>
        </w:rPr>
        <w:t>.</w:t>
      </w:r>
    </w:p>
    <w:p w14:paraId="1A8E46A5" w14:textId="77777777" w:rsidR="002F21D4" w:rsidRPr="002F21D4" w:rsidRDefault="002F21D4" w:rsidP="00B06FB8">
      <w:pPr>
        <w:snapToGrid w:val="0"/>
        <w:ind w:firstLine="360"/>
        <w:jc w:val="both"/>
        <w:rPr>
          <w:sz w:val="22"/>
          <w:szCs w:val="22"/>
          <w:lang w:val="es-ES"/>
        </w:rPr>
      </w:pPr>
    </w:p>
    <w:p w14:paraId="681F6A84" w14:textId="3F8751B0" w:rsidR="00590D59" w:rsidRPr="002F21D4" w:rsidRDefault="00E10EAF" w:rsidP="00B06FB8">
      <w:pPr>
        <w:snapToGrid w:val="0"/>
        <w:ind w:firstLine="360"/>
        <w:jc w:val="both"/>
        <w:rPr>
          <w:sz w:val="22"/>
          <w:szCs w:val="22"/>
          <w:lang w:val="es-ES"/>
        </w:rPr>
      </w:pPr>
      <w:r w:rsidRPr="002F21D4">
        <w:rPr>
          <w:sz w:val="22"/>
          <w:szCs w:val="22"/>
          <w:lang w:val="es-ES"/>
        </w:rPr>
        <w:t xml:space="preserve">La participación efectiva que demandan las comunidades étnicas y campesinas en el </w:t>
      </w:r>
      <w:r w:rsidR="0052390A" w:rsidRPr="002F21D4">
        <w:rPr>
          <w:sz w:val="22"/>
          <w:szCs w:val="22"/>
          <w:lang w:val="es-ES"/>
        </w:rPr>
        <w:t>PDET</w:t>
      </w:r>
      <w:r w:rsidRPr="002F21D4">
        <w:rPr>
          <w:sz w:val="22"/>
          <w:szCs w:val="22"/>
          <w:lang w:val="es-ES"/>
        </w:rPr>
        <w:t xml:space="preserve"> representa una oportunidad para </w:t>
      </w:r>
      <w:r w:rsidR="00435983" w:rsidRPr="002F21D4">
        <w:rPr>
          <w:sz w:val="22"/>
          <w:szCs w:val="22"/>
          <w:lang w:val="es-ES"/>
        </w:rPr>
        <w:t>fortalecer el ejercicio de la</w:t>
      </w:r>
      <w:r w:rsidRPr="002F21D4">
        <w:rPr>
          <w:sz w:val="22"/>
          <w:szCs w:val="22"/>
          <w:lang w:val="es-ES"/>
        </w:rPr>
        <w:t xml:space="preserve"> ciudadanía y </w:t>
      </w:r>
      <w:r w:rsidR="00435983" w:rsidRPr="002F21D4">
        <w:rPr>
          <w:sz w:val="22"/>
          <w:szCs w:val="22"/>
          <w:lang w:val="es-ES"/>
        </w:rPr>
        <w:t xml:space="preserve">la </w:t>
      </w:r>
      <w:r w:rsidRPr="002F21D4">
        <w:rPr>
          <w:sz w:val="22"/>
          <w:szCs w:val="22"/>
          <w:lang w:val="es-ES"/>
        </w:rPr>
        <w:t xml:space="preserve">democracia </w:t>
      </w:r>
      <w:r w:rsidR="00435983" w:rsidRPr="002F21D4">
        <w:rPr>
          <w:sz w:val="22"/>
          <w:szCs w:val="22"/>
          <w:lang w:val="es-ES"/>
        </w:rPr>
        <w:t>en</w:t>
      </w:r>
      <w:r w:rsidRPr="002F21D4">
        <w:rPr>
          <w:sz w:val="22"/>
          <w:szCs w:val="22"/>
          <w:lang w:val="es-ES"/>
        </w:rPr>
        <w:t xml:space="preserve"> la ruralidad colombiana y transformar la conflictividad social en los territorios más impactados por el conflicto armado, especialmente ante la activación de las 16 </w:t>
      </w:r>
      <w:r w:rsidR="0052390A" w:rsidRPr="002F21D4">
        <w:rPr>
          <w:sz w:val="22"/>
          <w:szCs w:val="22"/>
          <w:lang w:val="es-ES"/>
        </w:rPr>
        <w:t xml:space="preserve">Circunscripciones Especiales Transitorias para la Paz </w:t>
      </w:r>
      <w:r w:rsidRPr="002F21D4">
        <w:rPr>
          <w:sz w:val="22"/>
          <w:szCs w:val="22"/>
          <w:lang w:val="es-ES"/>
        </w:rPr>
        <w:t xml:space="preserve">en el Congreso de la República, una por cada subregión PDET. </w:t>
      </w:r>
    </w:p>
    <w:p w14:paraId="4555A8E0" w14:textId="77777777" w:rsidR="002F21D4" w:rsidRPr="002F21D4" w:rsidRDefault="002F21D4" w:rsidP="00B06FB8">
      <w:pPr>
        <w:snapToGrid w:val="0"/>
        <w:ind w:firstLine="360"/>
        <w:jc w:val="both"/>
        <w:rPr>
          <w:sz w:val="22"/>
          <w:szCs w:val="22"/>
          <w:lang w:val="es-ES"/>
        </w:rPr>
      </w:pPr>
    </w:p>
    <w:p w14:paraId="3D13BFB6" w14:textId="4B7A1E94" w:rsidR="00941A91" w:rsidRPr="002F21D4" w:rsidRDefault="00BD57C1" w:rsidP="002E06D9">
      <w:pPr>
        <w:pStyle w:val="Default"/>
        <w:numPr>
          <w:ilvl w:val="1"/>
          <w:numId w:val="6"/>
        </w:numPr>
        <w:snapToGrid w:val="0"/>
        <w:ind w:firstLine="0"/>
        <w:jc w:val="both"/>
        <w:rPr>
          <w:b/>
          <w:sz w:val="22"/>
          <w:szCs w:val="22"/>
        </w:rPr>
      </w:pPr>
      <w:r w:rsidRPr="002F21D4">
        <w:rPr>
          <w:b/>
          <w:sz w:val="22"/>
          <w:szCs w:val="22"/>
        </w:rPr>
        <w:t xml:space="preserve">Estrategias para la reducción de cultivos ilícitos </w:t>
      </w:r>
    </w:p>
    <w:p w14:paraId="24D5F792" w14:textId="77777777" w:rsidR="002F21D4" w:rsidRPr="002F21D4" w:rsidRDefault="002F21D4" w:rsidP="00B06FB8">
      <w:pPr>
        <w:snapToGrid w:val="0"/>
        <w:ind w:firstLine="360"/>
        <w:jc w:val="both"/>
        <w:rPr>
          <w:rFonts w:eastAsia="Calibri"/>
          <w:sz w:val="22"/>
          <w:szCs w:val="22"/>
        </w:rPr>
      </w:pPr>
    </w:p>
    <w:p w14:paraId="0950412F" w14:textId="5F38E5D5" w:rsidR="00643E7A" w:rsidRPr="002F21D4" w:rsidRDefault="00643E7A" w:rsidP="00B06FB8">
      <w:pPr>
        <w:snapToGrid w:val="0"/>
        <w:ind w:firstLine="360"/>
        <w:jc w:val="both"/>
        <w:rPr>
          <w:rFonts w:eastAsia="Calibri"/>
          <w:sz w:val="22"/>
          <w:szCs w:val="22"/>
        </w:rPr>
      </w:pPr>
      <w:r w:rsidRPr="002F21D4">
        <w:rPr>
          <w:rFonts w:eastAsia="Calibri"/>
          <w:sz w:val="22"/>
          <w:szCs w:val="22"/>
        </w:rPr>
        <w:t>Colombia registró una disminución del 7% en el área sembrada con cultivos de hoja de coca para el año 2020</w:t>
      </w:r>
      <w:r w:rsidRPr="002F21D4">
        <w:rPr>
          <w:rFonts w:eastAsia="Calibri"/>
          <w:sz w:val="22"/>
          <w:szCs w:val="22"/>
          <w:vertAlign w:val="superscript"/>
        </w:rPr>
        <w:footnoteReference w:id="99"/>
      </w:r>
      <w:r w:rsidRPr="002F21D4">
        <w:rPr>
          <w:rFonts w:eastAsia="Calibri"/>
          <w:sz w:val="22"/>
          <w:szCs w:val="22"/>
        </w:rPr>
        <w:t xml:space="preserve">, no obstante, la presencia de GAI, su interés en controlar la cadena del narcotráfico y la reactivación del mercado de la coca y sus derivados, mantienen la dinámica de los cultivos ilícitos, principalmente, en Antioquia, Caquetá, Guaviare, Nariño, Norte de Santander, Putumayo y Valle del Cauca. </w:t>
      </w:r>
    </w:p>
    <w:p w14:paraId="66E14D76" w14:textId="023C6E59" w:rsidR="00643E7A" w:rsidRPr="002F21D4" w:rsidRDefault="00033324" w:rsidP="00B06FB8">
      <w:pPr>
        <w:snapToGrid w:val="0"/>
        <w:ind w:firstLine="360"/>
        <w:jc w:val="both"/>
        <w:rPr>
          <w:rFonts w:eastAsia="Calibri"/>
          <w:sz w:val="22"/>
          <w:szCs w:val="22"/>
        </w:rPr>
      </w:pPr>
      <w:r w:rsidRPr="002F21D4">
        <w:rPr>
          <w:rFonts w:eastAsia="Calibri"/>
          <w:sz w:val="22"/>
          <w:szCs w:val="22"/>
        </w:rPr>
        <w:t>Adicionalmente,</w:t>
      </w:r>
      <w:r w:rsidR="00643E7A" w:rsidRPr="002F21D4">
        <w:rPr>
          <w:rFonts w:eastAsia="Calibri"/>
          <w:sz w:val="22"/>
          <w:szCs w:val="22"/>
        </w:rPr>
        <w:t xml:space="preserve"> existen </w:t>
      </w:r>
      <w:r w:rsidRPr="002F21D4">
        <w:rPr>
          <w:rFonts w:eastAsia="Calibri"/>
          <w:sz w:val="22"/>
          <w:szCs w:val="22"/>
        </w:rPr>
        <w:t xml:space="preserve">otras </w:t>
      </w:r>
      <w:r w:rsidR="00643E7A" w:rsidRPr="002F21D4">
        <w:rPr>
          <w:rFonts w:eastAsia="Calibri"/>
          <w:sz w:val="22"/>
          <w:szCs w:val="22"/>
        </w:rPr>
        <w:t xml:space="preserve">dos dinámicas particulares frente a la presencia de cultivos ilícitos. En Chocó, se está generando la expansión del área afectada por cultivos de coca en municipios como Carmen del Darién, Medio Baudó, Riosucio y </w:t>
      </w:r>
      <w:proofErr w:type="spellStart"/>
      <w:r w:rsidR="00643E7A" w:rsidRPr="002F21D4">
        <w:rPr>
          <w:rFonts w:eastAsia="Calibri"/>
          <w:sz w:val="22"/>
          <w:szCs w:val="22"/>
        </w:rPr>
        <w:t>Unguía</w:t>
      </w:r>
      <w:proofErr w:type="spellEnd"/>
      <w:r w:rsidR="00643E7A" w:rsidRPr="002F21D4">
        <w:rPr>
          <w:rFonts w:eastAsia="Calibri"/>
          <w:sz w:val="22"/>
          <w:szCs w:val="22"/>
        </w:rPr>
        <w:t>, a pesar de ser uno de los departamentos con menor densidad de cultivos ilícitos.</w:t>
      </w:r>
      <w:r w:rsidR="00B3338F" w:rsidRPr="002F21D4">
        <w:rPr>
          <w:rFonts w:eastAsia="Calibri"/>
          <w:sz w:val="22"/>
          <w:szCs w:val="22"/>
        </w:rPr>
        <w:t xml:space="preserve"> </w:t>
      </w:r>
      <w:r w:rsidR="006758F0" w:rsidRPr="002F21D4">
        <w:rPr>
          <w:rFonts w:eastAsia="Calibri"/>
          <w:sz w:val="22"/>
          <w:szCs w:val="22"/>
        </w:rPr>
        <w:t>E</w:t>
      </w:r>
      <w:r w:rsidR="00643E7A" w:rsidRPr="002F21D4">
        <w:rPr>
          <w:rFonts w:eastAsia="Calibri"/>
          <w:sz w:val="22"/>
          <w:szCs w:val="22"/>
        </w:rPr>
        <w:t>n el Catatumbo</w:t>
      </w:r>
      <w:r w:rsidR="007A0AAF" w:rsidRPr="002F21D4">
        <w:rPr>
          <w:rFonts w:eastAsia="Calibri"/>
          <w:sz w:val="22"/>
          <w:szCs w:val="22"/>
        </w:rPr>
        <w:t xml:space="preserve"> (Norte de Santander)</w:t>
      </w:r>
      <w:r w:rsidR="00643E7A" w:rsidRPr="002F21D4">
        <w:rPr>
          <w:rFonts w:eastAsia="Calibri"/>
          <w:sz w:val="22"/>
          <w:szCs w:val="22"/>
        </w:rPr>
        <w:t xml:space="preserve"> zona con mayor presencia de cultivos de coca, se está facilitando la resiembra de cultivos ilícitos por la aparición de una nueva variedad de hoja de coca denominada “la pinocha”, por su capacidad de resistencia a los pesticidas y herbicidas usados en la erradicación</w:t>
      </w:r>
      <w:r w:rsidR="00643E7A" w:rsidRPr="002F21D4">
        <w:rPr>
          <w:rFonts w:eastAsia="Calibri"/>
          <w:sz w:val="22"/>
          <w:szCs w:val="22"/>
          <w:vertAlign w:val="superscript"/>
        </w:rPr>
        <w:footnoteReference w:id="100"/>
      </w:r>
      <w:r w:rsidR="00643E7A" w:rsidRPr="002F21D4">
        <w:rPr>
          <w:rFonts w:eastAsia="Calibri"/>
          <w:sz w:val="22"/>
          <w:szCs w:val="22"/>
        </w:rPr>
        <w:t xml:space="preserve">. </w:t>
      </w:r>
    </w:p>
    <w:p w14:paraId="6361FF0F" w14:textId="77777777" w:rsidR="002F21D4" w:rsidRPr="002F21D4" w:rsidRDefault="002F21D4" w:rsidP="00B06FB8">
      <w:pPr>
        <w:snapToGrid w:val="0"/>
        <w:ind w:firstLine="360"/>
        <w:jc w:val="both"/>
        <w:rPr>
          <w:rFonts w:eastAsia="Calibri"/>
          <w:sz w:val="22"/>
          <w:szCs w:val="22"/>
        </w:rPr>
      </w:pPr>
    </w:p>
    <w:p w14:paraId="4ACAC17E" w14:textId="4DF90350" w:rsidR="00941A91" w:rsidRPr="002F21D4" w:rsidRDefault="00941A91" w:rsidP="00B06FB8">
      <w:pPr>
        <w:snapToGrid w:val="0"/>
        <w:ind w:firstLine="426"/>
        <w:jc w:val="both"/>
        <w:rPr>
          <w:rFonts w:eastAsia="Calibri"/>
          <w:sz w:val="22"/>
          <w:szCs w:val="22"/>
        </w:rPr>
      </w:pPr>
      <w:r w:rsidRPr="002F21D4">
        <w:rPr>
          <w:rFonts w:eastAsia="Calibri"/>
          <w:sz w:val="22"/>
          <w:szCs w:val="22"/>
        </w:rPr>
        <w:t>Luego de cuatro años de implementación del Programa Nacional Integral de Sustitución de Cultivos Ilícitos (PNIS) se han sustituido voluntariamente 44.185 hectáreas de hoja de coca en 14 departamentos y 56 municipios</w:t>
      </w:r>
      <w:r w:rsidRPr="002F21D4">
        <w:rPr>
          <w:rFonts w:eastAsia="Calibri"/>
          <w:sz w:val="22"/>
          <w:szCs w:val="22"/>
          <w:vertAlign w:val="superscript"/>
        </w:rPr>
        <w:footnoteReference w:id="101"/>
      </w:r>
      <w:r w:rsidRPr="002F21D4">
        <w:rPr>
          <w:rFonts w:eastAsia="Calibri"/>
          <w:sz w:val="22"/>
          <w:szCs w:val="22"/>
        </w:rPr>
        <w:t>. Las instancias participativas del programa han retomado las sesiones presenciales</w:t>
      </w:r>
      <w:r w:rsidR="008F049B" w:rsidRPr="002F21D4">
        <w:rPr>
          <w:rStyle w:val="FootnoteReference"/>
          <w:rFonts w:eastAsia="Calibri"/>
          <w:sz w:val="22"/>
          <w:szCs w:val="22"/>
        </w:rPr>
        <w:footnoteReference w:id="102"/>
      </w:r>
      <w:r w:rsidRPr="002F21D4">
        <w:rPr>
          <w:rFonts w:eastAsia="Calibri"/>
          <w:sz w:val="22"/>
          <w:szCs w:val="22"/>
        </w:rPr>
        <w:t xml:space="preserve"> bajo protocolos de bioseguridad, </w:t>
      </w:r>
      <w:r w:rsidR="009E7C76" w:rsidRPr="002F21D4">
        <w:rPr>
          <w:rFonts w:eastAsia="Calibri"/>
          <w:sz w:val="22"/>
          <w:szCs w:val="22"/>
        </w:rPr>
        <w:t>sin embargo,</w:t>
      </w:r>
      <w:r w:rsidRPr="002F21D4">
        <w:rPr>
          <w:rFonts w:eastAsia="Calibri"/>
          <w:sz w:val="22"/>
          <w:szCs w:val="22"/>
        </w:rPr>
        <w:t xml:space="preserve"> </w:t>
      </w:r>
      <w:r w:rsidR="00426F93" w:rsidRPr="002F21D4">
        <w:rPr>
          <w:rFonts w:eastAsia="Calibri"/>
          <w:sz w:val="22"/>
          <w:szCs w:val="22"/>
        </w:rPr>
        <w:t>los representantes</w:t>
      </w:r>
      <w:r w:rsidRPr="002F21D4">
        <w:rPr>
          <w:rFonts w:eastAsia="Calibri"/>
          <w:sz w:val="22"/>
          <w:szCs w:val="22"/>
        </w:rPr>
        <w:t xml:space="preserve"> de los núcleos veredales</w:t>
      </w:r>
      <w:r w:rsidR="009E7C76" w:rsidRPr="002F21D4">
        <w:rPr>
          <w:rFonts w:eastAsia="Calibri"/>
          <w:sz w:val="22"/>
          <w:szCs w:val="22"/>
        </w:rPr>
        <w:t xml:space="preserve"> los perciben</w:t>
      </w:r>
      <w:r w:rsidRPr="002F21D4">
        <w:rPr>
          <w:rFonts w:eastAsia="Calibri"/>
          <w:sz w:val="22"/>
          <w:szCs w:val="22"/>
        </w:rPr>
        <w:t xml:space="preserve"> como espacios de socialización, imposición o rendición de cuentas más no de </w:t>
      </w:r>
      <w:r w:rsidRPr="002F21D4">
        <w:rPr>
          <w:rFonts w:eastAsia="Calibri"/>
          <w:sz w:val="22"/>
          <w:szCs w:val="22"/>
        </w:rPr>
        <w:lastRenderedPageBreak/>
        <w:t xml:space="preserve">coordinación y participación. Además, </w:t>
      </w:r>
      <w:r w:rsidR="009E7C76" w:rsidRPr="002F21D4">
        <w:rPr>
          <w:rFonts w:eastAsia="Calibri"/>
          <w:sz w:val="22"/>
          <w:szCs w:val="22"/>
        </w:rPr>
        <w:t xml:space="preserve">la Dirección de Sustitución de Cultivos Ilícitos (DSCI) </w:t>
      </w:r>
      <w:r w:rsidR="00446391" w:rsidRPr="002F21D4">
        <w:rPr>
          <w:rFonts w:eastAsia="Calibri"/>
          <w:sz w:val="22"/>
          <w:szCs w:val="22"/>
        </w:rPr>
        <w:t>adelantó</w:t>
      </w:r>
      <w:r w:rsidRPr="002F21D4">
        <w:rPr>
          <w:rFonts w:eastAsia="Calibri"/>
          <w:sz w:val="22"/>
          <w:szCs w:val="22"/>
        </w:rPr>
        <w:t xml:space="preserve"> acciones con población beneficiaria del PNIS que se ubica al interior de seis Parques Nacionales Naturales (PNN)</w:t>
      </w:r>
      <w:r w:rsidRPr="002F21D4">
        <w:rPr>
          <w:rFonts w:eastAsia="Calibri"/>
          <w:sz w:val="22"/>
          <w:szCs w:val="22"/>
          <w:vertAlign w:val="superscript"/>
        </w:rPr>
        <w:footnoteReference w:id="103"/>
      </w:r>
      <w:r w:rsidRPr="002F21D4">
        <w:rPr>
          <w:rFonts w:eastAsia="Calibri"/>
          <w:sz w:val="22"/>
          <w:szCs w:val="22"/>
        </w:rPr>
        <w:t xml:space="preserve"> para desarrollar proyectos ambientalmente sostenibles. Un ejemplo de </w:t>
      </w:r>
      <w:r w:rsidR="00FA4390" w:rsidRPr="002F21D4">
        <w:rPr>
          <w:rFonts w:eastAsia="Calibri"/>
          <w:sz w:val="22"/>
          <w:szCs w:val="22"/>
        </w:rPr>
        <w:t>ello</w:t>
      </w:r>
      <w:r w:rsidRPr="002F21D4">
        <w:rPr>
          <w:rFonts w:eastAsia="Calibri"/>
          <w:sz w:val="22"/>
          <w:szCs w:val="22"/>
        </w:rPr>
        <w:t xml:space="preserve"> es la firma de acuerdos de conservación</w:t>
      </w:r>
      <w:r w:rsidRPr="002F21D4">
        <w:rPr>
          <w:rFonts w:eastAsia="Calibri"/>
          <w:sz w:val="22"/>
          <w:szCs w:val="22"/>
          <w:vertAlign w:val="superscript"/>
        </w:rPr>
        <w:footnoteReference w:id="104"/>
      </w:r>
      <w:r w:rsidRPr="002F21D4">
        <w:rPr>
          <w:rFonts w:eastAsia="Calibri"/>
          <w:sz w:val="22"/>
          <w:szCs w:val="22"/>
        </w:rPr>
        <w:t xml:space="preserve"> con 94 mujeres beneficiarias del </w:t>
      </w:r>
      <w:r w:rsidR="0082440D" w:rsidRPr="002F21D4">
        <w:rPr>
          <w:rFonts w:eastAsia="Calibri"/>
          <w:sz w:val="22"/>
          <w:szCs w:val="22"/>
        </w:rPr>
        <w:t>programa</w:t>
      </w:r>
      <w:r w:rsidRPr="002F21D4">
        <w:rPr>
          <w:rFonts w:eastAsia="Calibri"/>
          <w:sz w:val="22"/>
          <w:szCs w:val="22"/>
        </w:rPr>
        <w:t xml:space="preserve"> que se encuentran en áreas protegidas en el municipio de El Retorno</w:t>
      </w:r>
      <w:r w:rsidR="00446391" w:rsidRPr="002F21D4">
        <w:rPr>
          <w:rFonts w:eastAsia="Calibri"/>
          <w:sz w:val="22"/>
          <w:szCs w:val="22"/>
        </w:rPr>
        <w:t>, G</w:t>
      </w:r>
      <w:r w:rsidRPr="002F21D4">
        <w:rPr>
          <w:rFonts w:eastAsia="Calibri"/>
          <w:sz w:val="22"/>
          <w:szCs w:val="22"/>
        </w:rPr>
        <w:t>uaviare.</w:t>
      </w:r>
      <w:r w:rsidR="0078159F" w:rsidRPr="002F21D4">
        <w:rPr>
          <w:rFonts w:eastAsia="Calibri"/>
          <w:sz w:val="22"/>
          <w:szCs w:val="22"/>
        </w:rPr>
        <w:t xml:space="preserve"> </w:t>
      </w:r>
    </w:p>
    <w:p w14:paraId="4F532D7F" w14:textId="77777777" w:rsidR="002F21D4" w:rsidRPr="002F21D4" w:rsidRDefault="002F21D4" w:rsidP="00B06FB8">
      <w:pPr>
        <w:autoSpaceDE w:val="0"/>
        <w:autoSpaceDN w:val="0"/>
        <w:adjustRightInd w:val="0"/>
        <w:snapToGrid w:val="0"/>
        <w:ind w:firstLine="426"/>
        <w:jc w:val="both"/>
        <w:rPr>
          <w:rFonts w:eastAsia="Calibri"/>
          <w:sz w:val="22"/>
          <w:szCs w:val="22"/>
        </w:rPr>
      </w:pPr>
    </w:p>
    <w:p w14:paraId="5F6DCCB3" w14:textId="4182BB2B" w:rsidR="00941A91" w:rsidRPr="002F21D4" w:rsidRDefault="00941A91" w:rsidP="00B06FB8">
      <w:pPr>
        <w:autoSpaceDE w:val="0"/>
        <w:autoSpaceDN w:val="0"/>
        <w:adjustRightInd w:val="0"/>
        <w:snapToGrid w:val="0"/>
        <w:ind w:firstLine="426"/>
        <w:jc w:val="both"/>
        <w:rPr>
          <w:rFonts w:eastAsia="Calibri"/>
          <w:sz w:val="22"/>
          <w:szCs w:val="22"/>
        </w:rPr>
      </w:pPr>
      <w:r w:rsidRPr="002F21D4">
        <w:rPr>
          <w:rFonts w:eastAsia="Calibri"/>
          <w:sz w:val="22"/>
          <w:szCs w:val="22"/>
        </w:rPr>
        <w:t xml:space="preserve">Respecto a los Planes Integrales de Sustitución y Desarrollo Alternativo (PISDA) en los </w:t>
      </w:r>
      <w:r w:rsidR="00446391" w:rsidRPr="002F21D4">
        <w:rPr>
          <w:rFonts w:eastAsia="Calibri"/>
          <w:sz w:val="22"/>
          <w:szCs w:val="22"/>
        </w:rPr>
        <w:t>8</w:t>
      </w:r>
      <w:r w:rsidRPr="002F21D4">
        <w:rPr>
          <w:rFonts w:eastAsia="Calibri"/>
          <w:sz w:val="22"/>
          <w:szCs w:val="22"/>
        </w:rPr>
        <w:t xml:space="preserve"> municipios PNIS</w:t>
      </w:r>
      <w:r w:rsidR="00446391" w:rsidRPr="002F21D4">
        <w:rPr>
          <w:rFonts w:eastAsia="Calibri"/>
          <w:sz w:val="22"/>
          <w:szCs w:val="22"/>
        </w:rPr>
        <w:t xml:space="preserve"> </w:t>
      </w:r>
      <w:r w:rsidRPr="002F21D4">
        <w:rPr>
          <w:rFonts w:eastAsia="Calibri"/>
          <w:sz w:val="22"/>
          <w:szCs w:val="22"/>
        </w:rPr>
        <w:t>que no hacen parte del PDET</w:t>
      </w:r>
      <w:r w:rsidR="00446391" w:rsidRPr="002F21D4">
        <w:rPr>
          <w:rFonts w:eastAsia="Calibri"/>
          <w:sz w:val="22"/>
          <w:szCs w:val="22"/>
          <w:vertAlign w:val="superscript"/>
        </w:rPr>
        <w:footnoteReference w:id="105"/>
      </w:r>
      <w:r w:rsidRPr="002F21D4">
        <w:rPr>
          <w:rFonts w:eastAsia="Calibri"/>
          <w:sz w:val="22"/>
          <w:szCs w:val="22"/>
        </w:rPr>
        <w:t xml:space="preserve">, la </w:t>
      </w:r>
      <w:r w:rsidR="009E7C76" w:rsidRPr="002F21D4">
        <w:rPr>
          <w:rFonts w:eastAsia="Calibri"/>
          <w:sz w:val="22"/>
          <w:szCs w:val="22"/>
        </w:rPr>
        <w:t>DSCI</w:t>
      </w:r>
      <w:r w:rsidRPr="002F21D4">
        <w:rPr>
          <w:rFonts w:eastAsia="Calibri"/>
          <w:sz w:val="22"/>
          <w:szCs w:val="22"/>
        </w:rPr>
        <w:t xml:space="preserve"> ha desplegado una estrategia que vincula actores del orden nacional, regional y local con el propósito de activar cada una de las iniciativas de desarrollo que integran este componente del PNIS. Sin embargo, en Valle del Cauca, debido al Paro Nacional, no se pudieron desarrollar los espacios participativos del PISDA </w:t>
      </w:r>
      <w:r w:rsidR="0002582B" w:rsidRPr="002F21D4">
        <w:rPr>
          <w:rFonts w:eastAsia="Calibri"/>
          <w:sz w:val="22"/>
          <w:szCs w:val="22"/>
        </w:rPr>
        <w:t>en</w:t>
      </w:r>
      <w:r w:rsidRPr="002F21D4">
        <w:rPr>
          <w:rFonts w:eastAsia="Calibri"/>
          <w:sz w:val="22"/>
          <w:szCs w:val="22"/>
        </w:rPr>
        <w:t xml:space="preserve"> Bolívar, Dagua y El Dovio.</w:t>
      </w:r>
      <w:r w:rsidR="0078159F" w:rsidRPr="002F21D4">
        <w:rPr>
          <w:rFonts w:eastAsia="Calibri"/>
          <w:sz w:val="22"/>
          <w:szCs w:val="22"/>
        </w:rPr>
        <w:t xml:space="preserve"> </w:t>
      </w:r>
    </w:p>
    <w:p w14:paraId="76CB026F" w14:textId="77777777" w:rsidR="002F21D4" w:rsidRPr="002F21D4" w:rsidRDefault="002F21D4" w:rsidP="00B06FB8">
      <w:pPr>
        <w:autoSpaceDE w:val="0"/>
        <w:autoSpaceDN w:val="0"/>
        <w:adjustRightInd w:val="0"/>
        <w:snapToGrid w:val="0"/>
        <w:ind w:firstLine="426"/>
        <w:jc w:val="both"/>
        <w:rPr>
          <w:rFonts w:eastAsia="Calibri"/>
          <w:sz w:val="22"/>
          <w:szCs w:val="22"/>
        </w:rPr>
      </w:pPr>
    </w:p>
    <w:p w14:paraId="0FD93CD4" w14:textId="450548EA" w:rsidR="00941A91" w:rsidRPr="002F21D4" w:rsidRDefault="0065117C" w:rsidP="00B06FB8">
      <w:pPr>
        <w:autoSpaceDE w:val="0"/>
        <w:autoSpaceDN w:val="0"/>
        <w:adjustRightInd w:val="0"/>
        <w:snapToGrid w:val="0"/>
        <w:ind w:firstLine="426"/>
        <w:jc w:val="both"/>
        <w:rPr>
          <w:rFonts w:eastAsia="Calibri"/>
          <w:bCs/>
          <w:sz w:val="22"/>
          <w:szCs w:val="22"/>
        </w:rPr>
      </w:pPr>
      <w:r w:rsidRPr="002F21D4">
        <w:rPr>
          <w:rFonts w:eastAsia="Calibri"/>
          <w:sz w:val="22"/>
          <w:szCs w:val="22"/>
        </w:rPr>
        <w:t>En</w:t>
      </w:r>
      <w:r w:rsidR="00941A91" w:rsidRPr="002F21D4">
        <w:rPr>
          <w:rFonts w:eastAsia="Calibri"/>
          <w:bCs/>
          <w:sz w:val="22"/>
          <w:szCs w:val="22"/>
        </w:rPr>
        <w:t xml:space="preserve"> Antioquia, Bolívar, Cauca, Córdoba, Meta, Norte de Santander</w:t>
      </w:r>
      <w:r w:rsidR="00941A91" w:rsidRPr="002F21D4">
        <w:rPr>
          <w:rFonts w:eastAsia="Calibri"/>
          <w:bCs/>
          <w:sz w:val="22"/>
          <w:szCs w:val="22"/>
          <w:vertAlign w:val="superscript"/>
        </w:rPr>
        <w:footnoteReference w:id="106"/>
      </w:r>
      <w:r w:rsidR="00941A91" w:rsidRPr="002F21D4">
        <w:rPr>
          <w:rFonts w:eastAsia="Calibri"/>
          <w:bCs/>
          <w:sz w:val="22"/>
          <w:szCs w:val="22"/>
        </w:rPr>
        <w:t xml:space="preserve">, Putumayo, Valle del Cauca y Vichada avanza la construcción de propuestas de sustitución voluntaria bajo el modelo Hecho a la Medida que involucra a familias no beneficiarias del PNIS. </w:t>
      </w:r>
      <w:r w:rsidR="00941A91" w:rsidRPr="002F21D4">
        <w:rPr>
          <w:rFonts w:eastAsia="Calibri"/>
          <w:sz w:val="22"/>
          <w:szCs w:val="22"/>
        </w:rPr>
        <w:t xml:space="preserve">En Nariño, </w:t>
      </w:r>
      <w:r w:rsidR="004E76F8" w:rsidRPr="002F21D4">
        <w:rPr>
          <w:rFonts w:eastAsia="Calibri"/>
          <w:sz w:val="22"/>
          <w:szCs w:val="22"/>
        </w:rPr>
        <w:t xml:space="preserve">se desarrolló un trabajo articulado para diseñar un modelo de este tipo, </w:t>
      </w:r>
      <w:r w:rsidRPr="002F21D4">
        <w:rPr>
          <w:rFonts w:eastAsia="Calibri"/>
          <w:sz w:val="22"/>
          <w:szCs w:val="22"/>
        </w:rPr>
        <w:t xml:space="preserve">a partir de la estrategia departamental “Acuerdos de Raíz” </w:t>
      </w:r>
      <w:r w:rsidR="00941A91" w:rsidRPr="002F21D4">
        <w:rPr>
          <w:rFonts w:eastAsia="Calibri"/>
          <w:sz w:val="22"/>
          <w:szCs w:val="22"/>
        </w:rPr>
        <w:t xml:space="preserve">entre la Gobernación, la DSCI y las comunidades campesinas y afrodescendientes de los municipios de </w:t>
      </w:r>
      <w:r w:rsidR="008F049B" w:rsidRPr="002F21D4">
        <w:rPr>
          <w:rFonts w:eastAsia="Calibri"/>
          <w:sz w:val="22"/>
          <w:szCs w:val="22"/>
        </w:rPr>
        <w:t xml:space="preserve">El Charco, </w:t>
      </w:r>
      <w:r w:rsidR="00941A91" w:rsidRPr="002F21D4">
        <w:rPr>
          <w:rFonts w:eastAsia="Calibri"/>
          <w:sz w:val="22"/>
          <w:szCs w:val="22"/>
        </w:rPr>
        <w:t>Cumbitara, El Rosario, Leiva, Policarpa y Samaniego</w:t>
      </w:r>
      <w:r w:rsidRPr="002F21D4">
        <w:rPr>
          <w:rFonts w:eastAsia="Calibri"/>
          <w:sz w:val="22"/>
          <w:szCs w:val="22"/>
        </w:rPr>
        <w:t>.</w:t>
      </w:r>
      <w:r w:rsidR="00941A91" w:rsidRPr="002F21D4">
        <w:rPr>
          <w:rFonts w:eastAsia="Calibri"/>
          <w:sz w:val="22"/>
          <w:szCs w:val="22"/>
        </w:rPr>
        <w:t xml:space="preserve"> </w:t>
      </w:r>
    </w:p>
    <w:p w14:paraId="7EDAF845" w14:textId="77777777" w:rsidR="002F21D4" w:rsidRPr="002F21D4" w:rsidRDefault="002F21D4" w:rsidP="00B06FB8">
      <w:pPr>
        <w:autoSpaceDE w:val="0"/>
        <w:autoSpaceDN w:val="0"/>
        <w:adjustRightInd w:val="0"/>
        <w:snapToGrid w:val="0"/>
        <w:ind w:firstLine="426"/>
        <w:jc w:val="both"/>
        <w:rPr>
          <w:rFonts w:eastAsia="Calibri"/>
          <w:sz w:val="22"/>
          <w:szCs w:val="22"/>
        </w:rPr>
      </w:pPr>
    </w:p>
    <w:p w14:paraId="2BE7BC74" w14:textId="65295CD3" w:rsidR="00941A91" w:rsidRPr="002F21D4" w:rsidRDefault="00941A91" w:rsidP="00B06FB8">
      <w:pPr>
        <w:autoSpaceDE w:val="0"/>
        <w:autoSpaceDN w:val="0"/>
        <w:adjustRightInd w:val="0"/>
        <w:snapToGrid w:val="0"/>
        <w:ind w:firstLine="426"/>
        <w:jc w:val="both"/>
        <w:rPr>
          <w:rFonts w:eastAsia="Calibri"/>
          <w:sz w:val="22"/>
          <w:szCs w:val="22"/>
        </w:rPr>
      </w:pPr>
      <w:r w:rsidRPr="002F21D4">
        <w:rPr>
          <w:rFonts w:eastAsia="Calibri"/>
          <w:sz w:val="22"/>
          <w:szCs w:val="22"/>
        </w:rPr>
        <w:t xml:space="preserve">Con relación al “Plan de articulación de acciones en seguridad para liderazgos que apoyan los modelos de sustitución voluntaria de cultivos ilícitos”, </w:t>
      </w:r>
      <w:r w:rsidR="008601F1" w:rsidRPr="002F21D4">
        <w:rPr>
          <w:rFonts w:eastAsia="Calibri"/>
          <w:sz w:val="22"/>
          <w:szCs w:val="22"/>
        </w:rPr>
        <w:t>la Consejería para la Estabilización y Consolidación en articulación con la DSCI avanzó</w:t>
      </w:r>
      <w:r w:rsidRPr="002F21D4">
        <w:rPr>
          <w:rFonts w:eastAsia="Calibri"/>
          <w:sz w:val="22"/>
          <w:szCs w:val="22"/>
        </w:rPr>
        <w:t xml:space="preserve"> en la formulación de protocolos de atención</w:t>
      </w:r>
      <w:r w:rsidRPr="002F21D4">
        <w:rPr>
          <w:rFonts w:eastAsia="Calibri"/>
          <w:sz w:val="22"/>
          <w:szCs w:val="22"/>
          <w:vertAlign w:val="superscript"/>
        </w:rPr>
        <w:footnoteReference w:id="107"/>
      </w:r>
      <w:r w:rsidRPr="002F21D4">
        <w:rPr>
          <w:rFonts w:eastAsia="Calibri"/>
          <w:sz w:val="22"/>
          <w:szCs w:val="22"/>
        </w:rPr>
        <w:t xml:space="preserve"> para la respuesta institucional</w:t>
      </w:r>
      <w:r w:rsidR="00665E0B" w:rsidRPr="002F21D4">
        <w:rPr>
          <w:rFonts w:eastAsia="Calibri"/>
          <w:sz w:val="22"/>
          <w:szCs w:val="22"/>
        </w:rPr>
        <w:t xml:space="preserve"> y</w:t>
      </w:r>
      <w:r w:rsidRPr="002F21D4">
        <w:rPr>
          <w:rFonts w:eastAsia="Calibri"/>
          <w:sz w:val="22"/>
          <w:szCs w:val="22"/>
        </w:rPr>
        <w:t xml:space="preserve"> coordinada a vulneraciones en contra de liderazgos y</w:t>
      </w:r>
      <w:r w:rsidR="008F049B" w:rsidRPr="002F21D4">
        <w:rPr>
          <w:rFonts w:eastAsia="Calibri"/>
          <w:sz w:val="22"/>
          <w:szCs w:val="22"/>
        </w:rPr>
        <w:t xml:space="preserve"> población beneficiaria</w:t>
      </w:r>
      <w:r w:rsidRPr="002F21D4">
        <w:rPr>
          <w:rFonts w:eastAsia="Calibri"/>
          <w:sz w:val="22"/>
          <w:szCs w:val="22"/>
        </w:rPr>
        <w:t xml:space="preserve"> de sustitución voluntaria, </w:t>
      </w:r>
      <w:r w:rsidR="007B6C76" w:rsidRPr="002F21D4">
        <w:rPr>
          <w:rFonts w:eastAsia="Calibri"/>
          <w:sz w:val="22"/>
          <w:szCs w:val="22"/>
        </w:rPr>
        <w:t xml:space="preserve">así como </w:t>
      </w:r>
      <w:r w:rsidRPr="002F21D4">
        <w:rPr>
          <w:rFonts w:eastAsia="Calibri"/>
          <w:sz w:val="22"/>
          <w:szCs w:val="22"/>
        </w:rPr>
        <w:t>el fortalecimiento de capacidades en prevención y protección de las direcciones territoriales de la DSCI</w:t>
      </w:r>
      <w:r w:rsidR="007B6C76" w:rsidRPr="002F21D4">
        <w:rPr>
          <w:rFonts w:eastAsia="Calibri"/>
          <w:sz w:val="22"/>
          <w:szCs w:val="22"/>
        </w:rPr>
        <w:t xml:space="preserve">. </w:t>
      </w:r>
    </w:p>
    <w:p w14:paraId="33022D17" w14:textId="77777777" w:rsidR="002F21D4" w:rsidRPr="002F21D4" w:rsidRDefault="002F21D4" w:rsidP="00B06FB8">
      <w:pPr>
        <w:autoSpaceDE w:val="0"/>
        <w:autoSpaceDN w:val="0"/>
        <w:adjustRightInd w:val="0"/>
        <w:snapToGrid w:val="0"/>
        <w:ind w:firstLine="426"/>
        <w:jc w:val="both"/>
        <w:rPr>
          <w:rFonts w:eastAsia="Calibri"/>
          <w:sz w:val="22"/>
          <w:szCs w:val="22"/>
        </w:rPr>
      </w:pPr>
    </w:p>
    <w:p w14:paraId="43DCA34C" w14:textId="75889754" w:rsidR="00941A91" w:rsidRPr="002F21D4" w:rsidRDefault="00941A91" w:rsidP="00B06FB8">
      <w:pPr>
        <w:autoSpaceDE w:val="0"/>
        <w:autoSpaceDN w:val="0"/>
        <w:adjustRightInd w:val="0"/>
        <w:snapToGrid w:val="0"/>
        <w:ind w:firstLine="426"/>
        <w:jc w:val="both"/>
        <w:rPr>
          <w:rFonts w:eastAsia="Calibri"/>
          <w:bCs/>
          <w:sz w:val="22"/>
          <w:szCs w:val="22"/>
        </w:rPr>
      </w:pPr>
      <w:r w:rsidRPr="002F21D4">
        <w:rPr>
          <w:rFonts w:eastAsia="Calibri"/>
          <w:sz w:val="22"/>
          <w:szCs w:val="22"/>
        </w:rPr>
        <w:t xml:space="preserve">La implementación de modelos de sustitución voluntaria, incluido el PNIS, continúan siendo un factor de riesgo </w:t>
      </w:r>
      <w:r w:rsidR="008601F1" w:rsidRPr="002F21D4">
        <w:rPr>
          <w:rFonts w:eastAsia="Calibri"/>
          <w:sz w:val="22"/>
          <w:szCs w:val="22"/>
        </w:rPr>
        <w:t xml:space="preserve">para </w:t>
      </w:r>
      <w:r w:rsidRPr="002F21D4">
        <w:rPr>
          <w:rFonts w:eastAsia="Calibri"/>
          <w:sz w:val="22"/>
          <w:szCs w:val="22"/>
        </w:rPr>
        <w:t>la seguridad de las comunidades, los liderazgos que los impulsan y</w:t>
      </w:r>
      <w:r w:rsidR="007A2E71" w:rsidRPr="002F21D4">
        <w:rPr>
          <w:rFonts w:eastAsia="Calibri"/>
          <w:sz w:val="22"/>
          <w:szCs w:val="22"/>
        </w:rPr>
        <w:t xml:space="preserve"> la población beneficiaria, quie</w:t>
      </w:r>
      <w:r w:rsidRPr="002F21D4">
        <w:rPr>
          <w:rFonts w:eastAsia="Calibri"/>
          <w:sz w:val="22"/>
          <w:szCs w:val="22"/>
        </w:rPr>
        <w:t xml:space="preserve">nes han sido objeto de </w:t>
      </w:r>
      <w:r w:rsidRPr="002F21D4">
        <w:rPr>
          <w:rFonts w:eastAsia="Calibri"/>
          <w:bCs/>
          <w:sz w:val="22"/>
          <w:szCs w:val="22"/>
        </w:rPr>
        <w:t>desplazamiento forzado, amenazas y homicidios en Anti</w:t>
      </w:r>
      <w:r w:rsidRPr="002F21D4">
        <w:rPr>
          <w:rFonts w:eastAsia="Calibri"/>
          <w:sz w:val="22"/>
          <w:szCs w:val="22"/>
        </w:rPr>
        <w:t>oquia, Cauca, Córdoba, Meta, Nariño y Putumayo.</w:t>
      </w:r>
      <w:r w:rsidR="008601F1" w:rsidRPr="002F21D4">
        <w:rPr>
          <w:rFonts w:eastAsia="Calibri"/>
          <w:sz w:val="22"/>
          <w:szCs w:val="22"/>
        </w:rPr>
        <w:t xml:space="preserve"> L</w:t>
      </w:r>
      <w:r w:rsidRPr="002F21D4">
        <w:rPr>
          <w:rFonts w:eastAsia="Calibri"/>
          <w:sz w:val="22"/>
          <w:szCs w:val="22"/>
        </w:rPr>
        <w:t xml:space="preserve">a Misión conoció de tres homicidios de población beneficiaria del PNIS ocurridos en los municipios de Tarazá y Cáceres en el Bajo Cauca </w:t>
      </w:r>
      <w:r w:rsidR="007A2E71" w:rsidRPr="002F21D4">
        <w:rPr>
          <w:rFonts w:eastAsia="Calibri"/>
          <w:sz w:val="22"/>
          <w:szCs w:val="22"/>
        </w:rPr>
        <w:t>antioqueño</w:t>
      </w:r>
      <w:r w:rsidRPr="002F21D4">
        <w:rPr>
          <w:rFonts w:eastAsia="Calibri"/>
          <w:sz w:val="22"/>
          <w:szCs w:val="22"/>
        </w:rPr>
        <w:t xml:space="preserve"> y en Tierralta,</w:t>
      </w:r>
      <w:r w:rsidR="008601F1" w:rsidRPr="002F21D4">
        <w:rPr>
          <w:rFonts w:eastAsia="Calibri"/>
          <w:sz w:val="22"/>
          <w:szCs w:val="22"/>
        </w:rPr>
        <w:t xml:space="preserve"> en</w:t>
      </w:r>
      <w:r w:rsidRPr="002F21D4">
        <w:rPr>
          <w:rFonts w:eastAsia="Calibri"/>
          <w:sz w:val="22"/>
          <w:szCs w:val="22"/>
        </w:rPr>
        <w:t xml:space="preserve"> Córdoba; así como de las </w:t>
      </w:r>
      <w:r w:rsidRPr="002F21D4">
        <w:rPr>
          <w:rFonts w:eastAsia="Calibri"/>
          <w:bCs/>
          <w:sz w:val="22"/>
          <w:szCs w:val="22"/>
        </w:rPr>
        <w:t xml:space="preserve">restricciones de GAI a la entrada de la DSCI y operadores de asistencia técnica en los municipios de Anorí e Ituango </w:t>
      </w:r>
      <w:r w:rsidR="007A2E71" w:rsidRPr="002F21D4">
        <w:rPr>
          <w:rFonts w:eastAsia="Calibri"/>
          <w:bCs/>
          <w:sz w:val="22"/>
          <w:szCs w:val="22"/>
        </w:rPr>
        <w:t>en A</w:t>
      </w:r>
      <w:r w:rsidRPr="002F21D4">
        <w:rPr>
          <w:rFonts w:eastAsia="Calibri"/>
          <w:bCs/>
          <w:sz w:val="22"/>
          <w:szCs w:val="22"/>
        </w:rPr>
        <w:t xml:space="preserve">ntioquia, Puerto Concordia, Mesetas y Uribe </w:t>
      </w:r>
      <w:r w:rsidR="007A2E71" w:rsidRPr="002F21D4">
        <w:rPr>
          <w:rFonts w:eastAsia="Calibri"/>
          <w:bCs/>
          <w:sz w:val="22"/>
          <w:szCs w:val="22"/>
        </w:rPr>
        <w:t xml:space="preserve">en </w:t>
      </w:r>
      <w:r w:rsidRPr="002F21D4">
        <w:rPr>
          <w:rFonts w:eastAsia="Calibri"/>
          <w:bCs/>
          <w:sz w:val="22"/>
          <w:szCs w:val="22"/>
        </w:rPr>
        <w:t>Meta y</w:t>
      </w:r>
      <w:r w:rsidR="00175E2E" w:rsidRPr="002F21D4">
        <w:rPr>
          <w:rFonts w:eastAsia="Calibri"/>
          <w:bCs/>
          <w:sz w:val="22"/>
          <w:szCs w:val="22"/>
        </w:rPr>
        <w:t xml:space="preserve"> en</w:t>
      </w:r>
      <w:r w:rsidRPr="002F21D4">
        <w:rPr>
          <w:rFonts w:eastAsia="Calibri"/>
          <w:bCs/>
          <w:sz w:val="22"/>
          <w:szCs w:val="22"/>
        </w:rPr>
        <w:t xml:space="preserve"> Putumayo. </w:t>
      </w:r>
    </w:p>
    <w:p w14:paraId="142278C4" w14:textId="77777777" w:rsidR="002F21D4" w:rsidRPr="002F21D4" w:rsidRDefault="002F21D4" w:rsidP="00B06FB8">
      <w:pPr>
        <w:autoSpaceDE w:val="0"/>
        <w:autoSpaceDN w:val="0"/>
        <w:adjustRightInd w:val="0"/>
        <w:snapToGrid w:val="0"/>
        <w:ind w:firstLine="426"/>
        <w:jc w:val="both"/>
        <w:rPr>
          <w:rFonts w:eastAsia="Calibri"/>
          <w:bCs/>
          <w:sz w:val="22"/>
          <w:szCs w:val="22"/>
        </w:rPr>
      </w:pPr>
    </w:p>
    <w:p w14:paraId="08569E86" w14:textId="097FA570" w:rsidR="00E056FF" w:rsidRPr="002F21D4" w:rsidRDefault="00E056FF" w:rsidP="00B06FB8">
      <w:pPr>
        <w:snapToGrid w:val="0"/>
        <w:ind w:firstLine="426"/>
        <w:jc w:val="both"/>
        <w:rPr>
          <w:rFonts w:eastAsia="Calibri"/>
          <w:sz w:val="22"/>
          <w:szCs w:val="22"/>
        </w:rPr>
      </w:pPr>
      <w:r w:rsidRPr="002F21D4">
        <w:rPr>
          <w:rFonts w:eastAsia="Calibri"/>
          <w:sz w:val="22"/>
          <w:szCs w:val="22"/>
        </w:rPr>
        <w:t xml:space="preserve">La estrategia de erradicación </w:t>
      </w:r>
      <w:r w:rsidR="00022355" w:rsidRPr="002F21D4">
        <w:rPr>
          <w:rFonts w:eastAsia="Calibri"/>
          <w:sz w:val="22"/>
          <w:szCs w:val="22"/>
        </w:rPr>
        <w:t>que adelanta la fuerza pública</w:t>
      </w:r>
      <w:r w:rsidRPr="002F21D4">
        <w:rPr>
          <w:rFonts w:eastAsia="Calibri"/>
          <w:sz w:val="22"/>
          <w:szCs w:val="22"/>
        </w:rPr>
        <w:t xml:space="preserve"> continuó siendo </w:t>
      </w:r>
      <w:r w:rsidR="007F3184" w:rsidRPr="002F21D4">
        <w:rPr>
          <w:rFonts w:eastAsia="Calibri"/>
          <w:sz w:val="22"/>
          <w:szCs w:val="22"/>
        </w:rPr>
        <w:t xml:space="preserve">la principal herramienta para la reducción de cultivos ilícitos por parte del Gobierno nacional. Durante el primer semestre de 2021, la institucionalidad reportó la erradicación de 37.800 hectáreas de cultivos de hoja de coca en </w:t>
      </w:r>
      <w:r w:rsidR="00ED1CD2" w:rsidRPr="002F21D4">
        <w:rPr>
          <w:rFonts w:eastAsia="Calibri"/>
          <w:sz w:val="22"/>
          <w:szCs w:val="22"/>
        </w:rPr>
        <w:t>176</w:t>
      </w:r>
      <w:r w:rsidR="007F3184" w:rsidRPr="002F21D4">
        <w:rPr>
          <w:rFonts w:eastAsia="Calibri"/>
          <w:sz w:val="22"/>
          <w:szCs w:val="22"/>
        </w:rPr>
        <w:t xml:space="preserve"> municipios de </w:t>
      </w:r>
      <w:r w:rsidR="00ED1CD2" w:rsidRPr="002F21D4">
        <w:rPr>
          <w:rFonts w:eastAsia="Calibri"/>
          <w:sz w:val="22"/>
          <w:szCs w:val="22"/>
        </w:rPr>
        <w:t xml:space="preserve">20 </w:t>
      </w:r>
      <w:r w:rsidR="007F3184" w:rsidRPr="002F21D4">
        <w:rPr>
          <w:rFonts w:eastAsia="Calibri"/>
          <w:sz w:val="22"/>
          <w:szCs w:val="22"/>
        </w:rPr>
        <w:t>departamentos</w:t>
      </w:r>
      <w:r w:rsidR="007F3184" w:rsidRPr="002F21D4">
        <w:rPr>
          <w:rFonts w:eastAsia="Calibri"/>
          <w:sz w:val="22"/>
          <w:szCs w:val="22"/>
          <w:vertAlign w:val="superscript"/>
        </w:rPr>
        <w:footnoteReference w:id="108"/>
      </w:r>
      <w:r w:rsidR="007F3184" w:rsidRPr="002F21D4">
        <w:rPr>
          <w:rFonts w:eastAsia="Calibri"/>
          <w:sz w:val="22"/>
          <w:szCs w:val="22"/>
        </w:rPr>
        <w:t>, de las cuales más del 6</w:t>
      </w:r>
      <w:r w:rsidR="00ED1CD2" w:rsidRPr="002F21D4">
        <w:rPr>
          <w:rFonts w:eastAsia="Calibri"/>
          <w:sz w:val="22"/>
          <w:szCs w:val="22"/>
        </w:rPr>
        <w:t>1</w:t>
      </w:r>
      <w:r w:rsidR="007F3184" w:rsidRPr="002F21D4">
        <w:rPr>
          <w:rFonts w:eastAsia="Calibri"/>
          <w:sz w:val="22"/>
          <w:szCs w:val="22"/>
        </w:rPr>
        <w:t xml:space="preserve">% están concentradas en Putumayo, Nariño y Bolívar. </w:t>
      </w:r>
    </w:p>
    <w:p w14:paraId="00FA6FF1" w14:textId="77777777" w:rsidR="002F21D4" w:rsidRPr="002F21D4" w:rsidRDefault="002F21D4" w:rsidP="00B06FB8">
      <w:pPr>
        <w:snapToGrid w:val="0"/>
        <w:ind w:firstLine="426"/>
        <w:jc w:val="both"/>
        <w:rPr>
          <w:rFonts w:eastAsia="Calibri"/>
          <w:sz w:val="22"/>
          <w:szCs w:val="22"/>
        </w:rPr>
      </w:pPr>
    </w:p>
    <w:p w14:paraId="19074F93" w14:textId="2133BA4D" w:rsidR="00941A91" w:rsidRPr="002F21D4" w:rsidRDefault="00941A91" w:rsidP="00B06FB8">
      <w:pPr>
        <w:snapToGrid w:val="0"/>
        <w:ind w:firstLine="426"/>
        <w:jc w:val="both"/>
        <w:rPr>
          <w:rFonts w:eastAsia="Calibri"/>
          <w:sz w:val="22"/>
          <w:szCs w:val="22"/>
        </w:rPr>
      </w:pPr>
      <w:r w:rsidRPr="002F21D4">
        <w:rPr>
          <w:rFonts w:eastAsia="Calibri"/>
          <w:sz w:val="22"/>
          <w:szCs w:val="22"/>
        </w:rPr>
        <w:t xml:space="preserve"> En Nariño, Norte de Santander y Putumayo, se llevaron a cabo movilizaciones sociales motivadas por la oposición de las comunidades a las labores de erradicación forzosa y la exigencia de estrategias para la transición hacia economías lícitas. En la mayoría de los casos, las comunidades enfocaron sus esfuerzos en frenar las jornadas de erradicación forzosa </w:t>
      </w:r>
      <w:r w:rsidRPr="002F21D4">
        <w:rPr>
          <w:rFonts w:eastAsia="Calibri"/>
          <w:i/>
          <w:sz w:val="22"/>
          <w:szCs w:val="22"/>
        </w:rPr>
        <w:t>in situ</w:t>
      </w:r>
      <w:r w:rsidRPr="002F21D4">
        <w:rPr>
          <w:rFonts w:eastAsia="Calibri"/>
          <w:sz w:val="22"/>
          <w:szCs w:val="22"/>
        </w:rPr>
        <w:t>.</w:t>
      </w:r>
      <w:r w:rsidR="0074472E" w:rsidRPr="002F21D4">
        <w:rPr>
          <w:rFonts w:eastAsia="Calibri"/>
          <w:sz w:val="22"/>
          <w:szCs w:val="22"/>
        </w:rPr>
        <w:t xml:space="preserve"> L</w:t>
      </w:r>
      <w:r w:rsidRPr="002F21D4">
        <w:rPr>
          <w:rFonts w:eastAsia="Calibri"/>
          <w:sz w:val="22"/>
          <w:szCs w:val="22"/>
        </w:rPr>
        <w:t xml:space="preserve">as tensiones sociales escalaron hacia alteraciones de orden público entre la población civil y la </w:t>
      </w:r>
      <w:r w:rsidR="00C1637E" w:rsidRPr="002F21D4">
        <w:rPr>
          <w:rFonts w:eastAsia="Calibri"/>
          <w:sz w:val="22"/>
          <w:szCs w:val="22"/>
        </w:rPr>
        <w:t xml:space="preserve">fuerza pública </w:t>
      </w:r>
      <w:r w:rsidRPr="002F21D4">
        <w:rPr>
          <w:rFonts w:eastAsia="Calibri"/>
          <w:sz w:val="22"/>
          <w:szCs w:val="22"/>
        </w:rPr>
        <w:t>o los Grupos Móviles de Erradicación. Por ejemplo, en municipios como Ano</w:t>
      </w:r>
      <w:r w:rsidR="0074472E" w:rsidRPr="002F21D4">
        <w:rPr>
          <w:rFonts w:eastAsia="Calibri"/>
          <w:sz w:val="22"/>
          <w:szCs w:val="22"/>
        </w:rPr>
        <w:t xml:space="preserve">rí, Cáceres y El Bagre en </w:t>
      </w:r>
      <w:r w:rsidRPr="002F21D4">
        <w:rPr>
          <w:rFonts w:eastAsia="Calibri"/>
          <w:sz w:val="22"/>
          <w:szCs w:val="22"/>
        </w:rPr>
        <w:t xml:space="preserve">Antioquia se presentaron altercados entre las comunidades y las tropas que derivaron en la suspensión de los operativos de erradicación forzosa como respuesta rápida para el </w:t>
      </w:r>
      <w:proofErr w:type="spellStart"/>
      <w:r w:rsidRPr="002F21D4">
        <w:rPr>
          <w:rFonts w:eastAsia="Calibri"/>
          <w:sz w:val="22"/>
          <w:szCs w:val="22"/>
        </w:rPr>
        <w:t>desescalamiento</w:t>
      </w:r>
      <w:proofErr w:type="spellEnd"/>
      <w:r w:rsidRPr="002F21D4">
        <w:rPr>
          <w:rFonts w:eastAsia="Calibri"/>
          <w:sz w:val="22"/>
          <w:szCs w:val="22"/>
        </w:rPr>
        <w:t xml:space="preserve"> del conflicto</w:t>
      </w:r>
      <w:r w:rsidRPr="002F21D4">
        <w:rPr>
          <w:rFonts w:eastAsia="Calibri"/>
          <w:sz w:val="22"/>
          <w:szCs w:val="22"/>
          <w:vertAlign w:val="superscript"/>
        </w:rPr>
        <w:footnoteReference w:id="109"/>
      </w:r>
      <w:r w:rsidRPr="002F21D4">
        <w:rPr>
          <w:rFonts w:eastAsia="Calibri"/>
          <w:sz w:val="22"/>
          <w:szCs w:val="22"/>
        </w:rPr>
        <w:t>.</w:t>
      </w:r>
    </w:p>
    <w:p w14:paraId="318F92CF" w14:textId="77777777" w:rsidR="002F21D4" w:rsidRPr="002F21D4" w:rsidRDefault="002F21D4" w:rsidP="00B06FB8">
      <w:pPr>
        <w:snapToGrid w:val="0"/>
        <w:ind w:firstLine="426"/>
        <w:jc w:val="both"/>
        <w:rPr>
          <w:rFonts w:eastAsia="Calibri"/>
          <w:sz w:val="22"/>
          <w:szCs w:val="22"/>
        </w:rPr>
      </w:pPr>
    </w:p>
    <w:p w14:paraId="48847F69" w14:textId="22A51126" w:rsidR="00941A91" w:rsidRPr="002F21D4" w:rsidRDefault="00941A91" w:rsidP="00B06FB8">
      <w:pPr>
        <w:snapToGrid w:val="0"/>
        <w:ind w:firstLine="426"/>
        <w:jc w:val="both"/>
        <w:rPr>
          <w:rFonts w:eastAsia="Calibri"/>
          <w:sz w:val="22"/>
          <w:szCs w:val="22"/>
        </w:rPr>
      </w:pPr>
      <w:r w:rsidRPr="002F21D4">
        <w:rPr>
          <w:rFonts w:eastAsia="Calibri"/>
          <w:sz w:val="22"/>
          <w:szCs w:val="22"/>
        </w:rPr>
        <w:t>En Nariño, los diálogos con el Gobierno nacional, departamental y municipal</w:t>
      </w:r>
      <w:r w:rsidR="0074472E" w:rsidRPr="002F21D4">
        <w:rPr>
          <w:rFonts w:eastAsia="Calibri"/>
          <w:sz w:val="22"/>
          <w:szCs w:val="22"/>
        </w:rPr>
        <w:t>,</w:t>
      </w:r>
      <w:r w:rsidRPr="002F21D4">
        <w:rPr>
          <w:rFonts w:eastAsia="Calibri"/>
          <w:sz w:val="22"/>
          <w:szCs w:val="22"/>
        </w:rPr>
        <w:t xml:space="preserve"> </w:t>
      </w:r>
      <w:r w:rsidR="0074472E" w:rsidRPr="002F21D4">
        <w:rPr>
          <w:rFonts w:eastAsia="Calibri"/>
          <w:sz w:val="22"/>
          <w:szCs w:val="22"/>
        </w:rPr>
        <w:t xml:space="preserve">en el marco del Paro Nacional, </w:t>
      </w:r>
      <w:r w:rsidRPr="002F21D4">
        <w:rPr>
          <w:rFonts w:eastAsia="Calibri"/>
          <w:sz w:val="22"/>
          <w:szCs w:val="22"/>
        </w:rPr>
        <w:t>se centraron en la exigencia</w:t>
      </w:r>
      <w:r w:rsidR="002470A4" w:rsidRPr="002F21D4">
        <w:rPr>
          <w:rFonts w:eastAsia="Calibri"/>
          <w:sz w:val="22"/>
          <w:szCs w:val="22"/>
        </w:rPr>
        <w:t xml:space="preserve"> por parte de las comunidades</w:t>
      </w:r>
      <w:r w:rsidRPr="002F21D4">
        <w:rPr>
          <w:rFonts w:eastAsia="Calibri"/>
          <w:sz w:val="22"/>
          <w:szCs w:val="22"/>
        </w:rPr>
        <w:t xml:space="preserve"> de alternativas a la destrucción manual o con agentes químicos de los cultivos de hoja de coca</w:t>
      </w:r>
      <w:r w:rsidRPr="002F21D4">
        <w:rPr>
          <w:rFonts w:eastAsia="Calibri"/>
          <w:sz w:val="22"/>
          <w:szCs w:val="22"/>
          <w:vertAlign w:val="superscript"/>
        </w:rPr>
        <w:footnoteReference w:id="110"/>
      </w:r>
      <w:r w:rsidR="002470A4" w:rsidRPr="002F21D4">
        <w:rPr>
          <w:rFonts w:eastAsia="Calibri"/>
          <w:sz w:val="22"/>
          <w:szCs w:val="22"/>
        </w:rPr>
        <w:t xml:space="preserve">. Además, las comunidades étnicas exigieron </w:t>
      </w:r>
      <w:r w:rsidRPr="002F21D4">
        <w:rPr>
          <w:rFonts w:eastAsia="Calibri"/>
          <w:sz w:val="22"/>
          <w:szCs w:val="22"/>
        </w:rPr>
        <w:t xml:space="preserve">el </w:t>
      </w:r>
      <w:r w:rsidR="002470A4" w:rsidRPr="002F21D4">
        <w:rPr>
          <w:rFonts w:eastAsia="Calibri"/>
          <w:sz w:val="22"/>
          <w:szCs w:val="22"/>
        </w:rPr>
        <w:t xml:space="preserve">cumplimiento de la consulta previa </w:t>
      </w:r>
      <w:r w:rsidR="00607364" w:rsidRPr="002F21D4">
        <w:rPr>
          <w:rFonts w:eastAsia="Calibri"/>
          <w:sz w:val="22"/>
          <w:szCs w:val="22"/>
        </w:rPr>
        <w:t xml:space="preserve">en la implementación de </w:t>
      </w:r>
      <w:r w:rsidR="002470A4" w:rsidRPr="002F21D4">
        <w:rPr>
          <w:rFonts w:eastAsia="Calibri"/>
          <w:sz w:val="22"/>
          <w:szCs w:val="22"/>
        </w:rPr>
        <w:t>estrategias de erradicación forzosa en sus territorios</w:t>
      </w:r>
      <w:r w:rsidRPr="002F21D4">
        <w:rPr>
          <w:rFonts w:eastAsia="Calibri"/>
          <w:sz w:val="22"/>
          <w:szCs w:val="22"/>
          <w:vertAlign w:val="superscript"/>
        </w:rPr>
        <w:footnoteReference w:id="111"/>
      </w:r>
      <w:r w:rsidR="002470A4" w:rsidRPr="002F21D4">
        <w:rPr>
          <w:rFonts w:eastAsia="Calibri"/>
          <w:sz w:val="22"/>
          <w:szCs w:val="22"/>
        </w:rPr>
        <w:t xml:space="preserve">. </w:t>
      </w:r>
    </w:p>
    <w:p w14:paraId="4FEBB0CA" w14:textId="77777777" w:rsidR="002F21D4" w:rsidRPr="002F21D4" w:rsidRDefault="002F21D4" w:rsidP="00B06FB8">
      <w:pPr>
        <w:snapToGrid w:val="0"/>
        <w:ind w:firstLine="426"/>
        <w:jc w:val="both"/>
        <w:rPr>
          <w:rFonts w:eastAsia="Calibri"/>
          <w:sz w:val="22"/>
          <w:szCs w:val="22"/>
        </w:rPr>
      </w:pPr>
    </w:p>
    <w:p w14:paraId="74443EB8" w14:textId="7EFBD12E" w:rsidR="007147AC" w:rsidRDefault="00941A91" w:rsidP="00B06FB8">
      <w:pPr>
        <w:snapToGrid w:val="0"/>
        <w:ind w:firstLine="426"/>
        <w:jc w:val="both"/>
        <w:rPr>
          <w:rFonts w:eastAsia="Calibri"/>
          <w:sz w:val="22"/>
          <w:szCs w:val="22"/>
        </w:rPr>
      </w:pPr>
      <w:r w:rsidRPr="002F21D4">
        <w:rPr>
          <w:rFonts w:eastAsia="Calibri"/>
          <w:sz w:val="22"/>
          <w:szCs w:val="22"/>
        </w:rPr>
        <w:t xml:space="preserve">Los </w:t>
      </w:r>
      <w:proofErr w:type="spellStart"/>
      <w:r w:rsidRPr="002F21D4">
        <w:rPr>
          <w:rFonts w:eastAsia="Calibri"/>
          <w:sz w:val="22"/>
          <w:szCs w:val="22"/>
        </w:rPr>
        <w:t>GAI</w:t>
      </w:r>
      <w:proofErr w:type="spellEnd"/>
      <w:r w:rsidR="00F34720" w:rsidRPr="002F21D4">
        <w:rPr>
          <w:rFonts w:eastAsia="Calibri"/>
          <w:sz w:val="22"/>
          <w:szCs w:val="22"/>
        </w:rPr>
        <w:t xml:space="preserve"> </w:t>
      </w:r>
      <w:r w:rsidRPr="002F21D4">
        <w:rPr>
          <w:rFonts w:eastAsia="Calibri"/>
          <w:sz w:val="22"/>
          <w:szCs w:val="22"/>
        </w:rPr>
        <w:t xml:space="preserve">han incurrido </w:t>
      </w:r>
      <w:r w:rsidR="00F34720" w:rsidRPr="002F21D4">
        <w:rPr>
          <w:rFonts w:eastAsia="Calibri"/>
          <w:sz w:val="22"/>
          <w:szCs w:val="22"/>
        </w:rPr>
        <w:t xml:space="preserve">en la financiación de la producción de cultivos ilícitos </w:t>
      </w:r>
      <w:r w:rsidRPr="002F21D4">
        <w:rPr>
          <w:rFonts w:eastAsia="Calibri"/>
          <w:sz w:val="22"/>
          <w:szCs w:val="22"/>
        </w:rPr>
        <w:t xml:space="preserve">aprovechando la compleja situación económica derivada de la emergencia sanitaria por COVID-19. </w:t>
      </w:r>
      <w:r w:rsidRPr="002F21D4">
        <w:rPr>
          <w:rFonts w:eastAsia="Calibri"/>
          <w:sz w:val="22"/>
          <w:szCs w:val="22"/>
          <w:lang w:val="es-ES"/>
        </w:rPr>
        <w:t xml:space="preserve">En la región de la Cordillera de Nariño, el grupo disidente o residual de las FARC-EP Comando Coordinador de Occidente ha </w:t>
      </w:r>
      <w:r w:rsidR="00F34720" w:rsidRPr="002F21D4">
        <w:rPr>
          <w:rFonts w:eastAsia="Calibri"/>
          <w:sz w:val="22"/>
          <w:szCs w:val="22"/>
          <w:lang w:val="es-ES"/>
        </w:rPr>
        <w:t>ofrecido</w:t>
      </w:r>
      <w:r w:rsidRPr="002F21D4">
        <w:rPr>
          <w:rFonts w:eastAsia="Calibri"/>
          <w:color w:val="000000"/>
          <w:sz w:val="22"/>
          <w:szCs w:val="22"/>
        </w:rPr>
        <w:t xml:space="preserve"> hasta COP$30 millones </w:t>
      </w:r>
      <w:r w:rsidR="00F34720" w:rsidRPr="002F21D4">
        <w:rPr>
          <w:rFonts w:eastAsia="Calibri"/>
          <w:color w:val="000000"/>
          <w:sz w:val="22"/>
          <w:szCs w:val="22"/>
        </w:rPr>
        <w:t>a la población para mantener la siembra de cultivos de hoja de coca.</w:t>
      </w:r>
      <w:r w:rsidRPr="002F21D4">
        <w:rPr>
          <w:rFonts w:eastAsia="Calibri"/>
          <w:color w:val="000000"/>
          <w:sz w:val="22"/>
          <w:szCs w:val="22"/>
        </w:rPr>
        <w:t xml:space="preserve"> Situación similar ocurre </w:t>
      </w:r>
      <w:r w:rsidR="00F34720" w:rsidRPr="002F21D4">
        <w:rPr>
          <w:rFonts w:eastAsia="Calibri"/>
          <w:color w:val="000000"/>
          <w:sz w:val="22"/>
          <w:szCs w:val="22"/>
        </w:rPr>
        <w:t xml:space="preserve">con el ELN y los grupos disidentes o residuales de las FARC-EP </w:t>
      </w:r>
      <w:r w:rsidRPr="002F21D4">
        <w:rPr>
          <w:rFonts w:eastAsia="Calibri"/>
          <w:color w:val="000000"/>
          <w:sz w:val="22"/>
          <w:szCs w:val="22"/>
        </w:rPr>
        <w:t xml:space="preserve">en los municipios de Tibú y </w:t>
      </w:r>
      <w:r w:rsidR="00F34720" w:rsidRPr="002F21D4">
        <w:rPr>
          <w:rFonts w:eastAsia="Calibri"/>
          <w:color w:val="000000"/>
          <w:sz w:val="22"/>
          <w:szCs w:val="22"/>
        </w:rPr>
        <w:t>Sardinata en Norte de Santander</w:t>
      </w:r>
      <w:r w:rsidRPr="002F21D4">
        <w:rPr>
          <w:rFonts w:eastAsia="Calibri"/>
          <w:color w:val="000000"/>
          <w:sz w:val="22"/>
          <w:szCs w:val="22"/>
        </w:rPr>
        <w:t xml:space="preserve">. </w:t>
      </w:r>
      <w:r w:rsidRPr="002F21D4">
        <w:rPr>
          <w:rFonts w:eastAsia="Calibri"/>
          <w:sz w:val="22"/>
          <w:szCs w:val="22"/>
        </w:rPr>
        <w:t xml:space="preserve">Dicha estrategia ha implicado un mayor </w:t>
      </w:r>
      <w:r w:rsidR="00BE076E" w:rsidRPr="002F21D4">
        <w:rPr>
          <w:rFonts w:eastAsia="Calibri"/>
          <w:sz w:val="22"/>
          <w:szCs w:val="22"/>
        </w:rPr>
        <w:t xml:space="preserve">control social de los GAI sobre las </w:t>
      </w:r>
      <w:r w:rsidR="007147AC" w:rsidRPr="002F21D4">
        <w:rPr>
          <w:rFonts w:eastAsia="Calibri"/>
          <w:sz w:val="22"/>
          <w:szCs w:val="22"/>
        </w:rPr>
        <w:t xml:space="preserve">comunidades ante la exigencia de devolución del dinero otorgado, aumentando el escenario de riesgo en </w:t>
      </w:r>
      <w:r w:rsidRPr="002F21D4">
        <w:rPr>
          <w:rFonts w:eastAsia="Calibri"/>
          <w:sz w:val="22"/>
          <w:szCs w:val="22"/>
        </w:rPr>
        <w:t>contra de la población</w:t>
      </w:r>
      <w:r w:rsidR="007147AC" w:rsidRPr="002F21D4">
        <w:rPr>
          <w:rFonts w:eastAsia="Calibri"/>
          <w:sz w:val="22"/>
          <w:szCs w:val="22"/>
        </w:rPr>
        <w:t>.</w:t>
      </w:r>
      <w:r w:rsidR="0078159F" w:rsidRPr="002F21D4">
        <w:rPr>
          <w:rFonts w:eastAsia="Calibri"/>
          <w:sz w:val="22"/>
          <w:szCs w:val="22"/>
        </w:rPr>
        <w:t xml:space="preserve"> </w:t>
      </w:r>
    </w:p>
    <w:p w14:paraId="1D94D9B5" w14:textId="7270C24D" w:rsidR="002E06D9" w:rsidRDefault="002E06D9" w:rsidP="00B06FB8">
      <w:pPr>
        <w:snapToGrid w:val="0"/>
        <w:ind w:firstLine="426"/>
        <w:jc w:val="both"/>
        <w:rPr>
          <w:rFonts w:eastAsia="Calibri"/>
          <w:sz w:val="22"/>
          <w:szCs w:val="22"/>
        </w:rPr>
      </w:pPr>
    </w:p>
    <w:p w14:paraId="6ADB0419" w14:textId="77777777" w:rsidR="002E06D9" w:rsidRPr="002F21D4" w:rsidRDefault="002E06D9" w:rsidP="00B06FB8">
      <w:pPr>
        <w:snapToGrid w:val="0"/>
        <w:ind w:firstLine="426"/>
        <w:jc w:val="both"/>
        <w:rPr>
          <w:rFonts w:eastAsia="Calibri"/>
          <w:sz w:val="22"/>
          <w:szCs w:val="22"/>
        </w:rPr>
      </w:pPr>
    </w:p>
    <w:p w14:paraId="39E44950" w14:textId="67F6CC63" w:rsidR="00E10EAF" w:rsidRPr="002F21D4" w:rsidRDefault="00E10EAF" w:rsidP="002E06D9">
      <w:pPr>
        <w:pStyle w:val="Default"/>
        <w:numPr>
          <w:ilvl w:val="1"/>
          <w:numId w:val="6"/>
        </w:numPr>
        <w:snapToGrid w:val="0"/>
        <w:ind w:firstLine="0"/>
        <w:jc w:val="both"/>
        <w:rPr>
          <w:b/>
          <w:sz w:val="22"/>
          <w:szCs w:val="22"/>
        </w:rPr>
      </w:pPr>
      <w:r w:rsidRPr="002F21D4">
        <w:rPr>
          <w:b/>
          <w:sz w:val="22"/>
          <w:szCs w:val="22"/>
        </w:rPr>
        <w:lastRenderedPageBreak/>
        <w:t>Ley de Víctimas y Restitución de Tierras</w:t>
      </w:r>
      <w:r w:rsidR="008810B9" w:rsidRPr="002F21D4">
        <w:rPr>
          <w:rStyle w:val="FootnoteReference"/>
          <w:b/>
          <w:sz w:val="22"/>
          <w:szCs w:val="22"/>
        </w:rPr>
        <w:footnoteReference w:id="112"/>
      </w:r>
    </w:p>
    <w:p w14:paraId="700F1E1F" w14:textId="77777777" w:rsidR="002F21D4" w:rsidRPr="002F21D4" w:rsidRDefault="002F21D4" w:rsidP="00B06FB8">
      <w:pPr>
        <w:snapToGrid w:val="0"/>
        <w:ind w:firstLine="357"/>
        <w:jc w:val="both"/>
        <w:rPr>
          <w:sz w:val="22"/>
          <w:szCs w:val="22"/>
          <w:lang w:val="es-ES"/>
        </w:rPr>
      </w:pPr>
    </w:p>
    <w:p w14:paraId="4FD148A2" w14:textId="1FEA06AF" w:rsidR="00A41AA5" w:rsidRPr="002F21D4" w:rsidRDefault="00A41AA5" w:rsidP="00B06FB8">
      <w:pPr>
        <w:snapToGrid w:val="0"/>
        <w:ind w:firstLine="357"/>
        <w:jc w:val="both"/>
        <w:rPr>
          <w:sz w:val="22"/>
          <w:szCs w:val="22"/>
          <w:lang w:val="es-ES"/>
        </w:rPr>
      </w:pPr>
      <w:r w:rsidRPr="002F21D4">
        <w:rPr>
          <w:sz w:val="22"/>
          <w:szCs w:val="22"/>
          <w:lang w:val="es-ES"/>
        </w:rPr>
        <w:t>Las medidas de aislamiento implementadas para reducir el contagio por COVID-19 dificultaron la generación de ingresos, impactando la seguridad alimentaria, especialmente de la población víctima del conflicto armado. En particular, para los liderazgos comunales, esto conllevó la restricción de su campo de acción y redujo el conocimiento sobre las dinámicas de sus territorios y su incidencia en la agenda pública local.</w:t>
      </w:r>
    </w:p>
    <w:p w14:paraId="11A358AD" w14:textId="77777777" w:rsidR="002F21D4" w:rsidRPr="002F21D4" w:rsidRDefault="002F21D4" w:rsidP="00B06FB8">
      <w:pPr>
        <w:snapToGrid w:val="0"/>
        <w:ind w:firstLine="357"/>
        <w:jc w:val="both"/>
        <w:rPr>
          <w:sz w:val="22"/>
          <w:szCs w:val="22"/>
          <w:lang w:val="es-ES"/>
        </w:rPr>
      </w:pPr>
    </w:p>
    <w:p w14:paraId="2ADC4492" w14:textId="0F036E18" w:rsidR="00A41AA5" w:rsidRPr="002F21D4" w:rsidRDefault="00A41AA5" w:rsidP="00B06FB8">
      <w:pPr>
        <w:snapToGrid w:val="0"/>
        <w:ind w:firstLine="357"/>
        <w:jc w:val="both"/>
        <w:rPr>
          <w:sz w:val="22"/>
          <w:szCs w:val="22"/>
          <w:lang w:val="es-ES"/>
        </w:rPr>
      </w:pPr>
      <w:r w:rsidRPr="002F21D4">
        <w:rPr>
          <w:sz w:val="22"/>
          <w:szCs w:val="22"/>
          <w:lang w:val="es-ES"/>
        </w:rPr>
        <w:t xml:space="preserve"> Para los OAC, su activismo comunitario es un factor determinante para la integración social, autonomía personal, identidad y dignidad, y en consecuencia la construcción de ciudadanía. Los liderazgos comunales no identificaron criterios claros de priorización de las víctimas en la ejecución de medidas en marco de la emergencia sanitaria. Adicionalmente</w:t>
      </w:r>
      <w:r w:rsidR="00752F38" w:rsidRPr="002F21D4">
        <w:rPr>
          <w:sz w:val="22"/>
          <w:szCs w:val="22"/>
          <w:lang w:val="es-ES"/>
        </w:rPr>
        <w:t xml:space="preserve"> persistieron los riesgos y victimizaciones a comunales</w:t>
      </w:r>
      <w:r w:rsidRPr="002F21D4">
        <w:rPr>
          <w:sz w:val="22"/>
          <w:szCs w:val="22"/>
          <w:lang w:val="es-ES"/>
        </w:rPr>
        <w:t xml:space="preserve"> en el marco de la pandemia</w:t>
      </w:r>
      <w:r w:rsidR="00752F38" w:rsidRPr="002F21D4">
        <w:rPr>
          <w:sz w:val="22"/>
          <w:szCs w:val="22"/>
          <w:lang w:val="es-ES"/>
        </w:rPr>
        <w:t>;</w:t>
      </w:r>
      <w:r w:rsidRPr="002F21D4">
        <w:rPr>
          <w:sz w:val="22"/>
          <w:szCs w:val="22"/>
          <w:lang w:val="es-ES"/>
        </w:rPr>
        <w:t xml:space="preserve"> </w:t>
      </w:r>
      <w:r w:rsidR="00752F38" w:rsidRPr="002F21D4">
        <w:rPr>
          <w:sz w:val="22"/>
          <w:szCs w:val="22"/>
          <w:lang w:val="es-ES"/>
        </w:rPr>
        <w:t>d</w:t>
      </w:r>
      <w:r w:rsidRPr="002F21D4">
        <w:rPr>
          <w:sz w:val="22"/>
          <w:szCs w:val="22"/>
          <w:lang w:val="es-ES"/>
        </w:rPr>
        <w:t>urante el 2020 se documentaron</w:t>
      </w:r>
      <w:r w:rsidRPr="002F21D4">
        <w:rPr>
          <w:sz w:val="22"/>
          <w:szCs w:val="22"/>
          <w:vertAlign w:val="superscript"/>
        </w:rPr>
        <w:footnoteReference w:id="113"/>
      </w:r>
      <w:r w:rsidRPr="002F21D4">
        <w:rPr>
          <w:sz w:val="22"/>
          <w:szCs w:val="22"/>
          <w:lang w:val="es-ES"/>
        </w:rPr>
        <w:t xml:space="preserve"> 154 amenazas</w:t>
      </w:r>
      <w:r w:rsidRPr="002F21D4">
        <w:rPr>
          <w:sz w:val="22"/>
          <w:szCs w:val="22"/>
          <w:vertAlign w:val="superscript"/>
          <w:lang w:val="es-ES"/>
        </w:rPr>
        <w:footnoteReference w:id="114"/>
      </w:r>
      <w:r w:rsidRPr="002F21D4">
        <w:rPr>
          <w:sz w:val="22"/>
          <w:szCs w:val="22"/>
          <w:lang w:val="es-ES"/>
        </w:rPr>
        <w:t>, 44 homicidios y 29 acciones de persecución y estigmatización</w:t>
      </w:r>
      <w:r w:rsidRPr="002F21D4">
        <w:rPr>
          <w:sz w:val="22"/>
          <w:szCs w:val="22"/>
          <w:vertAlign w:val="superscript"/>
          <w:lang w:val="es-ES"/>
        </w:rPr>
        <w:footnoteReference w:id="115"/>
      </w:r>
      <w:r w:rsidRPr="002F21D4">
        <w:rPr>
          <w:sz w:val="22"/>
          <w:szCs w:val="22"/>
          <w:lang w:val="es-ES"/>
        </w:rPr>
        <w:t>.</w:t>
      </w:r>
    </w:p>
    <w:p w14:paraId="4EB48754" w14:textId="77777777" w:rsidR="002F21D4" w:rsidRPr="002F21D4" w:rsidRDefault="002F21D4" w:rsidP="00B06FB8">
      <w:pPr>
        <w:snapToGrid w:val="0"/>
        <w:ind w:firstLine="357"/>
        <w:jc w:val="both"/>
        <w:rPr>
          <w:sz w:val="22"/>
          <w:szCs w:val="22"/>
          <w:lang w:val="es-ES"/>
        </w:rPr>
      </w:pPr>
    </w:p>
    <w:p w14:paraId="0E639C3B" w14:textId="428DA30A" w:rsidR="00BB539B" w:rsidRPr="002F21D4" w:rsidRDefault="00E93C8E" w:rsidP="00B06FB8">
      <w:pPr>
        <w:snapToGrid w:val="0"/>
        <w:ind w:firstLine="357"/>
        <w:jc w:val="both"/>
        <w:rPr>
          <w:sz w:val="22"/>
          <w:szCs w:val="22"/>
          <w:lang w:val="es-ES"/>
        </w:rPr>
      </w:pPr>
      <w:r w:rsidRPr="002F21D4">
        <w:rPr>
          <w:sz w:val="22"/>
          <w:szCs w:val="22"/>
          <w:lang w:val="es-ES"/>
        </w:rPr>
        <w:t xml:space="preserve">Frente a la reparación colectiva, </w:t>
      </w:r>
      <w:r w:rsidR="00E02A31" w:rsidRPr="002F21D4">
        <w:rPr>
          <w:sz w:val="22"/>
          <w:szCs w:val="22"/>
          <w:lang w:val="es-ES"/>
        </w:rPr>
        <w:t xml:space="preserve">los </w:t>
      </w:r>
      <w:r w:rsidRPr="002F21D4">
        <w:rPr>
          <w:sz w:val="22"/>
          <w:szCs w:val="22"/>
          <w:lang w:val="es-ES"/>
        </w:rPr>
        <w:t>OAC reactivaron el proceso, avanzando en la formulación de su Plan Integral de Reparación, mediante la designación de una comisión redactora y la identificación de posibles acciones reparadoras.</w:t>
      </w:r>
      <w:r w:rsidR="00BB539B" w:rsidRPr="002F21D4">
        <w:rPr>
          <w:sz w:val="22"/>
          <w:szCs w:val="22"/>
          <w:lang w:val="es-ES"/>
        </w:rPr>
        <w:t xml:space="preserve"> Sin embargo, la persistencia del conflicto armado y las dinámicas de criminalidad constituyen un obstáculo para la reparación colectiva y las garantías </w:t>
      </w:r>
      <w:r w:rsidR="00DF16CA" w:rsidRPr="002F21D4">
        <w:rPr>
          <w:sz w:val="22"/>
          <w:szCs w:val="22"/>
          <w:lang w:val="es-ES"/>
        </w:rPr>
        <w:t>de no</w:t>
      </w:r>
      <w:r w:rsidR="00BB539B" w:rsidRPr="002F21D4">
        <w:rPr>
          <w:sz w:val="22"/>
          <w:szCs w:val="22"/>
          <w:lang w:val="es-ES"/>
        </w:rPr>
        <w:t xml:space="preserve"> repetición. En este sentido, es necesario que la institucionalidad </w:t>
      </w:r>
      <w:r w:rsidR="00E02A31" w:rsidRPr="002F21D4">
        <w:rPr>
          <w:sz w:val="22"/>
          <w:szCs w:val="22"/>
          <w:lang w:val="es-ES"/>
        </w:rPr>
        <w:t>continúe brindando respuesta</w:t>
      </w:r>
      <w:r w:rsidR="00BB539B" w:rsidRPr="002F21D4">
        <w:rPr>
          <w:sz w:val="22"/>
          <w:szCs w:val="22"/>
          <w:lang w:val="es-ES"/>
        </w:rPr>
        <w:t xml:space="preserve"> oportuna y pertinente </w:t>
      </w:r>
      <w:r w:rsidR="00E02A31" w:rsidRPr="002F21D4">
        <w:rPr>
          <w:sz w:val="22"/>
          <w:szCs w:val="22"/>
          <w:lang w:val="es-ES"/>
        </w:rPr>
        <w:t>para</w:t>
      </w:r>
      <w:r w:rsidR="00BB539B" w:rsidRPr="002F21D4">
        <w:rPr>
          <w:sz w:val="22"/>
          <w:szCs w:val="22"/>
          <w:lang w:val="es-ES"/>
        </w:rPr>
        <w:t xml:space="preserve"> la reducción de estas condiciones y garantice el acompañamiento célere que contribuya a la construcción de confianza</w:t>
      </w:r>
      <w:r w:rsidR="00E02A31" w:rsidRPr="002F21D4">
        <w:rPr>
          <w:sz w:val="22"/>
          <w:szCs w:val="22"/>
          <w:lang w:val="es-ES"/>
        </w:rPr>
        <w:t xml:space="preserve"> con la ciudadanía.</w:t>
      </w:r>
    </w:p>
    <w:p w14:paraId="09FBDA38" w14:textId="77777777" w:rsidR="002F21D4" w:rsidRPr="002F21D4" w:rsidRDefault="002F21D4" w:rsidP="00B06FB8">
      <w:pPr>
        <w:snapToGrid w:val="0"/>
        <w:ind w:firstLine="360"/>
        <w:jc w:val="both"/>
        <w:rPr>
          <w:sz w:val="22"/>
          <w:szCs w:val="22"/>
          <w:lang w:val="es-ES"/>
        </w:rPr>
      </w:pPr>
    </w:p>
    <w:p w14:paraId="02F09F8C" w14:textId="7EB89367" w:rsidR="00E10EAF" w:rsidRPr="002F21D4" w:rsidRDefault="00E10EAF" w:rsidP="00B06FB8">
      <w:pPr>
        <w:snapToGrid w:val="0"/>
        <w:ind w:firstLine="360"/>
        <w:jc w:val="both"/>
        <w:rPr>
          <w:sz w:val="22"/>
          <w:szCs w:val="22"/>
          <w:lang w:val="es-ES"/>
        </w:rPr>
      </w:pPr>
      <w:r w:rsidRPr="002F21D4">
        <w:rPr>
          <w:sz w:val="22"/>
          <w:szCs w:val="22"/>
          <w:lang w:val="es-ES"/>
        </w:rPr>
        <w:t xml:space="preserve">En cuanto a la restitución de </w:t>
      </w:r>
      <w:r w:rsidR="00A91DDB" w:rsidRPr="002F21D4">
        <w:rPr>
          <w:sz w:val="22"/>
          <w:szCs w:val="22"/>
          <w:lang w:val="es-ES"/>
        </w:rPr>
        <w:t>tierras</w:t>
      </w:r>
      <w:r w:rsidR="00E4465F" w:rsidRPr="002F21D4">
        <w:rPr>
          <w:sz w:val="22"/>
          <w:szCs w:val="22"/>
          <w:lang w:val="es-ES"/>
        </w:rPr>
        <w:t>,</w:t>
      </w:r>
      <w:r w:rsidR="00A91DDB" w:rsidRPr="002F21D4">
        <w:rPr>
          <w:sz w:val="22"/>
          <w:szCs w:val="22"/>
          <w:lang w:val="es-ES"/>
        </w:rPr>
        <w:t xml:space="preserve"> fueron </w:t>
      </w:r>
      <w:proofErr w:type="spellStart"/>
      <w:r w:rsidR="00A91DDB" w:rsidRPr="002F21D4">
        <w:rPr>
          <w:sz w:val="22"/>
          <w:szCs w:val="22"/>
          <w:lang w:val="es-ES"/>
        </w:rPr>
        <w:t>microfocalizadas</w:t>
      </w:r>
      <w:proofErr w:type="spellEnd"/>
      <w:r w:rsidR="00A91DDB" w:rsidRPr="002F21D4">
        <w:rPr>
          <w:rStyle w:val="FootnoteReference"/>
          <w:sz w:val="22"/>
          <w:szCs w:val="22"/>
        </w:rPr>
        <w:footnoteReference w:id="116"/>
      </w:r>
      <w:r w:rsidR="00A91DDB" w:rsidRPr="002F21D4">
        <w:rPr>
          <w:sz w:val="22"/>
          <w:szCs w:val="22"/>
          <w:lang w:val="es-ES"/>
        </w:rPr>
        <w:t xml:space="preserve"> 46 nuevas zonas, ubicadas en 42 municipios. </w:t>
      </w:r>
      <w:r w:rsidR="00D71C36" w:rsidRPr="002F21D4">
        <w:rPr>
          <w:sz w:val="22"/>
          <w:szCs w:val="22"/>
          <w:lang w:val="es-ES"/>
        </w:rPr>
        <w:t>Esto se logró</w:t>
      </w:r>
      <w:r w:rsidR="00A91DDB" w:rsidRPr="002F21D4">
        <w:rPr>
          <w:sz w:val="22"/>
          <w:szCs w:val="22"/>
          <w:lang w:val="es-ES"/>
        </w:rPr>
        <w:t xml:space="preserve">, entre otras, </w:t>
      </w:r>
      <w:r w:rsidR="00D71C36" w:rsidRPr="002F21D4">
        <w:rPr>
          <w:sz w:val="22"/>
          <w:szCs w:val="22"/>
          <w:lang w:val="es-ES"/>
        </w:rPr>
        <w:t>debido</w:t>
      </w:r>
      <w:r w:rsidRPr="002F21D4">
        <w:rPr>
          <w:sz w:val="22"/>
          <w:szCs w:val="22"/>
          <w:lang w:val="es-ES"/>
        </w:rPr>
        <w:t xml:space="preserve"> a la articulación con </w:t>
      </w:r>
      <w:r w:rsidR="00E4465F" w:rsidRPr="002F21D4">
        <w:rPr>
          <w:sz w:val="22"/>
          <w:szCs w:val="22"/>
          <w:lang w:val="es-ES"/>
        </w:rPr>
        <w:t xml:space="preserve">los </w:t>
      </w:r>
      <w:r w:rsidRPr="002F21D4">
        <w:rPr>
          <w:sz w:val="22"/>
          <w:szCs w:val="22"/>
          <w:lang w:val="es-ES"/>
        </w:rPr>
        <w:t xml:space="preserve">PDET, </w:t>
      </w:r>
      <w:r w:rsidR="00D71C36" w:rsidRPr="002F21D4">
        <w:rPr>
          <w:sz w:val="22"/>
          <w:szCs w:val="22"/>
          <w:lang w:val="es-ES"/>
        </w:rPr>
        <w:t xml:space="preserve">permitiendo </w:t>
      </w:r>
      <w:r w:rsidRPr="002F21D4">
        <w:rPr>
          <w:sz w:val="22"/>
          <w:szCs w:val="22"/>
          <w:lang w:val="es-ES"/>
        </w:rPr>
        <w:t xml:space="preserve">que territorios que durante </w:t>
      </w:r>
      <w:r w:rsidR="00D71C36" w:rsidRPr="002F21D4">
        <w:rPr>
          <w:sz w:val="22"/>
          <w:szCs w:val="22"/>
          <w:lang w:val="es-ES"/>
        </w:rPr>
        <w:t xml:space="preserve">los </w:t>
      </w:r>
      <w:r w:rsidRPr="002F21D4">
        <w:rPr>
          <w:sz w:val="22"/>
          <w:szCs w:val="22"/>
          <w:lang w:val="es-ES"/>
        </w:rPr>
        <w:t>10 años de vigencia inicial no habían podido ser intervenidos, cuenten</w:t>
      </w:r>
      <w:r w:rsidR="00D71C36" w:rsidRPr="002F21D4">
        <w:rPr>
          <w:sz w:val="22"/>
          <w:szCs w:val="22"/>
          <w:lang w:val="es-ES"/>
        </w:rPr>
        <w:t xml:space="preserve"> con</w:t>
      </w:r>
      <w:r w:rsidRPr="002F21D4">
        <w:rPr>
          <w:sz w:val="22"/>
          <w:szCs w:val="22"/>
          <w:lang w:val="es-ES"/>
        </w:rPr>
        <w:t xml:space="preserve"> el aval necesario frente a las condiciones de seguridad y garantías para el retorno</w:t>
      </w:r>
      <w:r w:rsidR="00E4465F" w:rsidRPr="002F21D4">
        <w:rPr>
          <w:sz w:val="22"/>
          <w:szCs w:val="22"/>
          <w:lang w:val="es-ES"/>
        </w:rPr>
        <w:t>. Esto</w:t>
      </w:r>
      <w:r w:rsidR="00D71C36" w:rsidRPr="002F21D4">
        <w:rPr>
          <w:sz w:val="22"/>
          <w:szCs w:val="22"/>
          <w:lang w:val="es-ES"/>
        </w:rPr>
        <w:t xml:space="preserve"> aumenta la </w:t>
      </w:r>
      <w:r w:rsidRPr="002F21D4">
        <w:rPr>
          <w:sz w:val="22"/>
          <w:szCs w:val="22"/>
          <w:lang w:val="es-ES"/>
        </w:rPr>
        <w:t xml:space="preserve">confianza institucional y la apertura </w:t>
      </w:r>
      <w:r w:rsidR="00D71C36" w:rsidRPr="002F21D4">
        <w:rPr>
          <w:sz w:val="22"/>
          <w:szCs w:val="22"/>
          <w:lang w:val="es-ES"/>
        </w:rPr>
        <w:t>del</w:t>
      </w:r>
      <w:r w:rsidRPr="002F21D4">
        <w:rPr>
          <w:sz w:val="22"/>
          <w:szCs w:val="22"/>
          <w:lang w:val="es-ES"/>
        </w:rPr>
        <w:t xml:space="preserve"> trámite administrativo </w:t>
      </w:r>
      <w:r w:rsidR="00D71C36" w:rsidRPr="002F21D4">
        <w:rPr>
          <w:sz w:val="22"/>
          <w:szCs w:val="22"/>
          <w:lang w:val="es-ES"/>
        </w:rPr>
        <w:t>a</w:t>
      </w:r>
      <w:r w:rsidRPr="002F21D4">
        <w:rPr>
          <w:sz w:val="22"/>
          <w:szCs w:val="22"/>
          <w:lang w:val="es-ES"/>
        </w:rPr>
        <w:t xml:space="preserve"> más reclamantes. </w:t>
      </w:r>
    </w:p>
    <w:p w14:paraId="02DB2D57" w14:textId="77777777" w:rsidR="002F21D4" w:rsidRPr="002F21D4" w:rsidRDefault="002F21D4" w:rsidP="00B06FB8">
      <w:pPr>
        <w:snapToGrid w:val="0"/>
        <w:ind w:firstLine="360"/>
        <w:jc w:val="both"/>
        <w:rPr>
          <w:sz w:val="22"/>
          <w:szCs w:val="22"/>
          <w:lang w:val="es-ES"/>
        </w:rPr>
      </w:pPr>
    </w:p>
    <w:p w14:paraId="5125B837" w14:textId="1DEF5D4E" w:rsidR="00E007ED" w:rsidRPr="002F21D4" w:rsidRDefault="00E007ED" w:rsidP="00B06FB8">
      <w:pPr>
        <w:snapToGrid w:val="0"/>
        <w:ind w:firstLine="360"/>
        <w:jc w:val="both"/>
        <w:rPr>
          <w:sz w:val="22"/>
          <w:szCs w:val="22"/>
          <w:lang w:val="es-ES"/>
        </w:rPr>
      </w:pPr>
      <w:r w:rsidRPr="002F21D4">
        <w:rPr>
          <w:sz w:val="22"/>
          <w:szCs w:val="22"/>
          <w:lang w:val="es-ES"/>
        </w:rPr>
        <w:t>A pesar de lo anterior, la exacerbación del conflicto armado</w:t>
      </w:r>
      <w:r w:rsidR="00752F38" w:rsidRPr="002F21D4">
        <w:rPr>
          <w:sz w:val="22"/>
          <w:szCs w:val="22"/>
          <w:lang w:val="es-ES"/>
        </w:rPr>
        <w:t xml:space="preserve"> y las dinámicas de criminalidad, así como</w:t>
      </w:r>
      <w:r w:rsidRPr="002F21D4">
        <w:rPr>
          <w:sz w:val="22"/>
          <w:szCs w:val="22"/>
          <w:lang w:val="es-ES"/>
        </w:rPr>
        <w:t xml:space="preserve"> las nuevas victimizaciones a la población civil, incluyendo a solicitantes de restitución de tierras, se constituye</w:t>
      </w:r>
      <w:r w:rsidR="00752F38" w:rsidRPr="002F21D4">
        <w:rPr>
          <w:sz w:val="22"/>
          <w:szCs w:val="22"/>
          <w:lang w:val="es-ES"/>
        </w:rPr>
        <w:t>n</w:t>
      </w:r>
      <w:r w:rsidRPr="002F21D4">
        <w:rPr>
          <w:sz w:val="22"/>
          <w:szCs w:val="22"/>
          <w:lang w:val="es-ES"/>
        </w:rPr>
        <w:t xml:space="preserve"> en la principal barrera para el acceso de comunidades étnicas y campesinas a los derechos derivados de la restitución, tal como sucede en los departamentos del Meta, Nariño y Valle del Cauca y la región del Catatumbo. Esto, no solo por las suspensiones de actuaciones administrativas y judiciales, que retrasan el trámite y la consecución de una decisión definitiva, sino por el impacto en la voluntad de los reclamantes de retornar a los predios de los que fueron despojados u obligados a abandonar. </w:t>
      </w:r>
    </w:p>
    <w:p w14:paraId="671D316C" w14:textId="77777777" w:rsidR="002F21D4" w:rsidRPr="002F21D4" w:rsidRDefault="002F21D4" w:rsidP="00B06FB8">
      <w:pPr>
        <w:snapToGrid w:val="0"/>
        <w:ind w:firstLine="360"/>
        <w:jc w:val="both"/>
        <w:rPr>
          <w:sz w:val="22"/>
          <w:szCs w:val="22"/>
          <w:lang w:val="es-ES"/>
        </w:rPr>
      </w:pPr>
    </w:p>
    <w:p w14:paraId="72B2E0F9" w14:textId="2D671855" w:rsidR="00A10EAB" w:rsidRPr="002F21D4" w:rsidRDefault="00E10EAF" w:rsidP="00B06FB8">
      <w:pPr>
        <w:snapToGrid w:val="0"/>
        <w:ind w:firstLine="360"/>
        <w:jc w:val="both"/>
        <w:rPr>
          <w:sz w:val="22"/>
          <w:szCs w:val="22"/>
          <w:lang w:val="es-ES"/>
        </w:rPr>
      </w:pPr>
      <w:r w:rsidRPr="002F21D4">
        <w:rPr>
          <w:sz w:val="22"/>
          <w:szCs w:val="22"/>
          <w:lang w:val="es-ES"/>
        </w:rPr>
        <w:t>Los cambios en las condiciones de seguridad de los territorios que inicialmente se consideraron aptos para la restitución, han evidenciado que</w:t>
      </w:r>
      <w:r w:rsidR="00CF4726" w:rsidRPr="002F21D4">
        <w:rPr>
          <w:sz w:val="22"/>
          <w:szCs w:val="22"/>
          <w:lang w:val="es-ES"/>
        </w:rPr>
        <w:t xml:space="preserve">, a pesar de su </w:t>
      </w:r>
      <w:proofErr w:type="spellStart"/>
      <w:r w:rsidRPr="002F21D4">
        <w:rPr>
          <w:sz w:val="22"/>
          <w:szCs w:val="22"/>
          <w:lang w:val="es-ES"/>
        </w:rPr>
        <w:t>microfocalización</w:t>
      </w:r>
      <w:proofErr w:type="spellEnd"/>
      <w:r w:rsidRPr="002F21D4">
        <w:rPr>
          <w:rStyle w:val="FootnoteReference"/>
          <w:sz w:val="22"/>
          <w:szCs w:val="22"/>
          <w:lang w:val="es-ES"/>
        </w:rPr>
        <w:t xml:space="preserve"> </w:t>
      </w:r>
      <w:r w:rsidR="00CF4726" w:rsidRPr="002F21D4">
        <w:rPr>
          <w:sz w:val="22"/>
          <w:szCs w:val="22"/>
          <w:lang w:val="es-ES"/>
        </w:rPr>
        <w:t xml:space="preserve">e inicio del trámite, en ocasiones no está garantizada </w:t>
      </w:r>
      <w:r w:rsidRPr="002F21D4">
        <w:rPr>
          <w:sz w:val="22"/>
          <w:szCs w:val="22"/>
          <w:lang w:val="es-ES"/>
        </w:rPr>
        <w:t xml:space="preserve">la estabilidad requerida para el retorno efectivo, el usufructo de los predios restituidos y las garantías de no repetición. </w:t>
      </w:r>
      <w:r w:rsidR="00E007ED" w:rsidRPr="002F21D4">
        <w:rPr>
          <w:sz w:val="22"/>
          <w:szCs w:val="22"/>
          <w:lang w:val="es-ES"/>
        </w:rPr>
        <w:t>Esta situación se hizo evidente en Mesetas</w:t>
      </w:r>
      <w:r w:rsidR="00DF661E" w:rsidRPr="002F21D4">
        <w:rPr>
          <w:sz w:val="22"/>
          <w:szCs w:val="22"/>
          <w:lang w:val="es-ES"/>
        </w:rPr>
        <w:t xml:space="preserve"> (</w:t>
      </w:r>
      <w:r w:rsidR="00E007ED" w:rsidRPr="002F21D4">
        <w:rPr>
          <w:sz w:val="22"/>
          <w:szCs w:val="22"/>
          <w:lang w:val="es-ES"/>
        </w:rPr>
        <w:t>Meta</w:t>
      </w:r>
      <w:r w:rsidR="00DF661E" w:rsidRPr="002F21D4">
        <w:rPr>
          <w:sz w:val="22"/>
          <w:szCs w:val="22"/>
          <w:lang w:val="es-ES"/>
        </w:rPr>
        <w:t>)</w:t>
      </w:r>
      <w:r w:rsidR="00E007ED" w:rsidRPr="002F21D4">
        <w:rPr>
          <w:sz w:val="22"/>
          <w:szCs w:val="22"/>
          <w:lang w:val="es-ES"/>
        </w:rPr>
        <w:t xml:space="preserve">, </w:t>
      </w:r>
      <w:r w:rsidR="00E007ED" w:rsidRPr="002F21D4">
        <w:rPr>
          <w:sz w:val="22"/>
          <w:szCs w:val="22"/>
          <w:lang w:val="es-ES"/>
        </w:rPr>
        <w:lastRenderedPageBreak/>
        <w:t>donde familiares y la institucionalidad reportaron</w:t>
      </w:r>
      <w:r w:rsidR="00586432" w:rsidRPr="002F21D4">
        <w:rPr>
          <w:sz w:val="22"/>
          <w:szCs w:val="22"/>
          <w:lang w:val="es-ES"/>
        </w:rPr>
        <w:t>, a finales de mayo,</w:t>
      </w:r>
      <w:r w:rsidR="00E007ED" w:rsidRPr="002F21D4">
        <w:rPr>
          <w:sz w:val="22"/>
          <w:szCs w:val="22"/>
          <w:lang w:val="es-ES"/>
        </w:rPr>
        <w:t xml:space="preserve"> la desaparición de dos solicitantes, una colaboradora de la Unidad de Restitución de Tierras y un conductor, quienes se encontraban en la ejecución de una diligencia administrativa en el predio pretendido en restitución</w:t>
      </w:r>
      <w:r w:rsidR="003B26AF" w:rsidRPr="002F21D4">
        <w:rPr>
          <w:sz w:val="22"/>
          <w:szCs w:val="22"/>
          <w:lang w:val="es-ES"/>
        </w:rPr>
        <w:t>;</w:t>
      </w:r>
      <w:r w:rsidR="00A72934" w:rsidRPr="002F21D4">
        <w:rPr>
          <w:sz w:val="22"/>
          <w:szCs w:val="22"/>
          <w:lang w:val="es-ES"/>
        </w:rPr>
        <w:t xml:space="preserve"> </w:t>
      </w:r>
      <w:r w:rsidR="00E007ED" w:rsidRPr="002F21D4">
        <w:rPr>
          <w:sz w:val="22"/>
          <w:szCs w:val="22"/>
          <w:lang w:val="es-ES"/>
        </w:rPr>
        <w:t>pasado más de un mes</w:t>
      </w:r>
      <w:r w:rsidR="00A72934" w:rsidRPr="002F21D4">
        <w:rPr>
          <w:sz w:val="22"/>
          <w:szCs w:val="22"/>
          <w:lang w:val="es-ES"/>
        </w:rPr>
        <w:t xml:space="preserve"> del hecho</w:t>
      </w:r>
      <w:r w:rsidR="00E007ED" w:rsidRPr="002F21D4">
        <w:rPr>
          <w:sz w:val="22"/>
          <w:szCs w:val="22"/>
          <w:lang w:val="es-ES"/>
        </w:rPr>
        <w:t xml:space="preserve">, fueron </w:t>
      </w:r>
      <w:r w:rsidR="00586432" w:rsidRPr="002F21D4">
        <w:rPr>
          <w:sz w:val="22"/>
          <w:szCs w:val="22"/>
          <w:lang w:val="es-ES"/>
        </w:rPr>
        <w:t>hallados</w:t>
      </w:r>
      <w:r w:rsidR="00E007ED" w:rsidRPr="002F21D4">
        <w:rPr>
          <w:sz w:val="22"/>
          <w:szCs w:val="22"/>
          <w:lang w:val="es-ES"/>
        </w:rPr>
        <w:t xml:space="preserve"> sus cuerpo</w:t>
      </w:r>
      <w:r w:rsidR="00D71F67" w:rsidRPr="002F21D4">
        <w:rPr>
          <w:sz w:val="22"/>
          <w:szCs w:val="22"/>
          <w:lang w:val="es-ES"/>
        </w:rPr>
        <w:t>s</w:t>
      </w:r>
      <w:r w:rsidR="003B26AF" w:rsidRPr="002F21D4">
        <w:rPr>
          <w:sz w:val="22"/>
          <w:szCs w:val="22"/>
          <w:lang w:val="es-ES"/>
        </w:rPr>
        <w:t xml:space="preserve"> sin vida</w:t>
      </w:r>
      <w:r w:rsidR="00E007ED" w:rsidRPr="002F21D4">
        <w:rPr>
          <w:sz w:val="22"/>
          <w:szCs w:val="22"/>
          <w:lang w:val="es-ES"/>
        </w:rPr>
        <w:t xml:space="preserve"> en</w:t>
      </w:r>
      <w:r w:rsidR="00D71F67" w:rsidRPr="002F21D4">
        <w:rPr>
          <w:sz w:val="22"/>
          <w:szCs w:val="22"/>
          <w:lang w:val="es-ES"/>
        </w:rPr>
        <w:t xml:space="preserve"> los límites de los municipios de Uribe y Mesetas.</w:t>
      </w:r>
      <w:r w:rsidR="0078159F" w:rsidRPr="002F21D4">
        <w:rPr>
          <w:sz w:val="22"/>
          <w:szCs w:val="22"/>
          <w:lang w:val="es-ES"/>
        </w:rPr>
        <w:t xml:space="preserve"> </w:t>
      </w:r>
    </w:p>
    <w:p w14:paraId="5823F064" w14:textId="77777777" w:rsidR="002F21D4" w:rsidRPr="002F21D4" w:rsidRDefault="002F21D4" w:rsidP="00B06FB8">
      <w:pPr>
        <w:snapToGrid w:val="0"/>
        <w:ind w:firstLine="360"/>
        <w:jc w:val="both"/>
        <w:rPr>
          <w:sz w:val="22"/>
          <w:szCs w:val="22"/>
          <w:lang w:val="es-ES"/>
        </w:rPr>
      </w:pPr>
    </w:p>
    <w:p w14:paraId="1DCDBEF6" w14:textId="65FDE415" w:rsidR="009A0C20" w:rsidRPr="002F21D4" w:rsidRDefault="00EA30A7" w:rsidP="00B06FB8">
      <w:pPr>
        <w:snapToGrid w:val="0"/>
        <w:ind w:firstLine="360"/>
        <w:jc w:val="both"/>
        <w:rPr>
          <w:sz w:val="22"/>
          <w:szCs w:val="22"/>
          <w:lang w:val="es-ES"/>
        </w:rPr>
      </w:pPr>
      <w:r w:rsidRPr="002F21D4">
        <w:rPr>
          <w:sz w:val="22"/>
          <w:szCs w:val="22"/>
          <w:lang w:val="es-ES"/>
        </w:rPr>
        <w:t>Por</w:t>
      </w:r>
      <w:r w:rsidR="003927ED" w:rsidRPr="002F21D4">
        <w:rPr>
          <w:sz w:val="22"/>
          <w:szCs w:val="22"/>
          <w:lang w:val="es-ES"/>
        </w:rPr>
        <w:t xml:space="preserve"> otra parte, </w:t>
      </w:r>
      <w:r w:rsidR="009A0C20" w:rsidRPr="002F21D4">
        <w:rPr>
          <w:sz w:val="22"/>
          <w:szCs w:val="22"/>
          <w:lang w:val="es-ES"/>
        </w:rPr>
        <w:t>en varios territorios las personas reclamantes manifiestan preferir la compensación, por temor a retornar y algunos despachos judiciales han referido un aumento en decisiones judiciales en este sentido, lo que constituye un reto financiero, ante la necesidad de mayores recursos para asumir las compensaciones monetarias o mayor cantidad de predios aptos para restituir en equivalencia</w:t>
      </w:r>
      <w:r w:rsidR="00E10EAF" w:rsidRPr="002F21D4">
        <w:rPr>
          <w:rStyle w:val="FootnoteReference"/>
          <w:sz w:val="22"/>
          <w:szCs w:val="22"/>
          <w:lang w:val="es-ES"/>
        </w:rPr>
        <w:footnoteReference w:id="117"/>
      </w:r>
      <w:r w:rsidR="00E10EAF" w:rsidRPr="002F21D4">
        <w:rPr>
          <w:sz w:val="22"/>
          <w:szCs w:val="22"/>
          <w:lang w:val="es-ES"/>
        </w:rPr>
        <w:t xml:space="preserve">. </w:t>
      </w:r>
    </w:p>
    <w:p w14:paraId="61C8D7E3" w14:textId="77777777" w:rsidR="002F21D4" w:rsidRPr="002F21D4" w:rsidRDefault="002F21D4" w:rsidP="00B06FB8">
      <w:pPr>
        <w:snapToGrid w:val="0"/>
        <w:ind w:firstLine="360"/>
        <w:jc w:val="both"/>
        <w:rPr>
          <w:sz w:val="22"/>
          <w:szCs w:val="22"/>
          <w:lang w:val="es-ES"/>
        </w:rPr>
      </w:pPr>
    </w:p>
    <w:p w14:paraId="11D221FF" w14:textId="75CA0258" w:rsidR="00586432" w:rsidRPr="002F21D4" w:rsidRDefault="00586432" w:rsidP="00B06FB8">
      <w:pPr>
        <w:snapToGrid w:val="0"/>
        <w:ind w:firstLine="360"/>
        <w:jc w:val="both"/>
        <w:rPr>
          <w:sz w:val="22"/>
          <w:szCs w:val="22"/>
          <w:lang w:val="es-ES"/>
        </w:rPr>
      </w:pPr>
      <w:r w:rsidRPr="002F21D4">
        <w:rPr>
          <w:sz w:val="22"/>
          <w:szCs w:val="22"/>
          <w:lang w:val="es-ES"/>
        </w:rPr>
        <w:t>F</w:t>
      </w:r>
      <w:r w:rsidR="00E10EAF" w:rsidRPr="002F21D4">
        <w:rPr>
          <w:sz w:val="22"/>
          <w:szCs w:val="22"/>
          <w:lang w:val="es-ES"/>
        </w:rPr>
        <w:t>rente a la ruta étnica de restitución</w:t>
      </w:r>
      <w:r w:rsidR="009B46BD" w:rsidRPr="002F21D4">
        <w:rPr>
          <w:sz w:val="22"/>
          <w:szCs w:val="22"/>
          <w:lang w:val="es-ES"/>
        </w:rPr>
        <w:t xml:space="preserve"> de derechos territoriales</w:t>
      </w:r>
      <w:r w:rsidR="00E10EAF" w:rsidRPr="002F21D4">
        <w:rPr>
          <w:sz w:val="22"/>
          <w:szCs w:val="22"/>
          <w:lang w:val="es-ES"/>
        </w:rPr>
        <w:t xml:space="preserve">, aunque los Despachos Judiciales han sido céleres en resolver las solicitudes de medidas cautelares presentadas, estas no han sido suficientes para mitigar el impacto de la emergencia sanitaria </w:t>
      </w:r>
      <w:r w:rsidR="001D7A01" w:rsidRPr="002F21D4">
        <w:rPr>
          <w:sz w:val="22"/>
          <w:szCs w:val="22"/>
          <w:lang w:val="es-ES"/>
        </w:rPr>
        <w:t xml:space="preserve">por COVID-19 </w:t>
      </w:r>
      <w:r w:rsidR="00E10EAF" w:rsidRPr="002F21D4">
        <w:rPr>
          <w:sz w:val="22"/>
          <w:szCs w:val="22"/>
          <w:lang w:val="es-ES"/>
        </w:rPr>
        <w:t>y la presencia y accionar de los GAI,</w:t>
      </w:r>
      <w:r w:rsidRPr="002F21D4">
        <w:rPr>
          <w:sz w:val="22"/>
          <w:szCs w:val="22"/>
          <w:lang w:val="es-ES"/>
        </w:rPr>
        <w:t xml:space="preserve"> particularmente, en las comunidades </w:t>
      </w:r>
      <w:r w:rsidR="00B67A83" w:rsidRPr="002F21D4">
        <w:rPr>
          <w:sz w:val="22"/>
          <w:szCs w:val="22"/>
          <w:lang w:val="es-ES"/>
        </w:rPr>
        <w:t>indígenas y afrodescendientes</w:t>
      </w:r>
      <w:r w:rsidRPr="002F21D4">
        <w:rPr>
          <w:sz w:val="22"/>
          <w:szCs w:val="22"/>
          <w:lang w:val="es-ES"/>
        </w:rPr>
        <w:t xml:space="preserve"> de los departamentos del Chocó, Valle del Cauca, Nariño y la región del Catatumbo</w:t>
      </w:r>
      <w:r w:rsidR="00B67A83" w:rsidRPr="002F21D4">
        <w:rPr>
          <w:sz w:val="22"/>
          <w:szCs w:val="22"/>
          <w:lang w:val="es-ES"/>
        </w:rPr>
        <w:t xml:space="preserve">; zonas donde </w:t>
      </w:r>
      <w:r w:rsidRPr="002F21D4">
        <w:rPr>
          <w:sz w:val="22"/>
          <w:szCs w:val="22"/>
          <w:lang w:val="es-ES"/>
        </w:rPr>
        <w:t xml:space="preserve">persisten las vulneraciones y situaciones de riesgo ante disputas territoriales de estos grupos. </w:t>
      </w:r>
    </w:p>
    <w:p w14:paraId="6930D7F8" w14:textId="77777777" w:rsidR="002F21D4" w:rsidRPr="002F21D4" w:rsidRDefault="002F21D4" w:rsidP="00B06FB8">
      <w:pPr>
        <w:snapToGrid w:val="0"/>
        <w:ind w:firstLine="360"/>
        <w:jc w:val="both"/>
        <w:rPr>
          <w:sz w:val="22"/>
          <w:szCs w:val="22"/>
          <w:lang w:val="es-ES"/>
        </w:rPr>
      </w:pPr>
    </w:p>
    <w:p w14:paraId="21C85E90" w14:textId="7917FA87" w:rsidR="009B46BD" w:rsidRPr="002F21D4" w:rsidRDefault="009B46BD" w:rsidP="00B06FB8">
      <w:pPr>
        <w:snapToGrid w:val="0"/>
        <w:ind w:firstLine="360"/>
        <w:jc w:val="both"/>
        <w:rPr>
          <w:sz w:val="22"/>
          <w:szCs w:val="22"/>
          <w:lang w:val="es-ES"/>
        </w:rPr>
      </w:pPr>
      <w:r w:rsidRPr="002F21D4">
        <w:rPr>
          <w:sz w:val="22"/>
          <w:szCs w:val="22"/>
          <w:lang w:val="es-ES"/>
        </w:rPr>
        <w:t>En las zonas del norte de Urabá, Bajo Cauca Antioqueño, Norte de Santander y Nariño se presenta una alta afectación en materia de seguridad, que ha perjudicado el avance de los procesos de restitución de tierras, lo cual ha restringido las salidas a terreno y</w:t>
      </w:r>
      <w:r w:rsidR="00775148" w:rsidRPr="002F21D4">
        <w:rPr>
          <w:sz w:val="22"/>
          <w:szCs w:val="22"/>
          <w:lang w:val="es-ES"/>
        </w:rPr>
        <w:t>,</w:t>
      </w:r>
      <w:r w:rsidRPr="002F21D4">
        <w:rPr>
          <w:sz w:val="22"/>
          <w:szCs w:val="22"/>
          <w:lang w:val="es-ES"/>
        </w:rPr>
        <w:t xml:space="preserve"> en consecuencia, el avance en la atención y trámite de solicitudes de restitución de tierras, al tiempo que no ha sido posible generar nuevas </w:t>
      </w:r>
      <w:proofErr w:type="spellStart"/>
      <w:r w:rsidRPr="002F21D4">
        <w:rPr>
          <w:sz w:val="22"/>
          <w:szCs w:val="22"/>
          <w:lang w:val="es-ES"/>
        </w:rPr>
        <w:t>microfocalizaciones</w:t>
      </w:r>
      <w:proofErr w:type="spellEnd"/>
      <w:r w:rsidRPr="002F21D4">
        <w:rPr>
          <w:sz w:val="22"/>
          <w:szCs w:val="22"/>
          <w:lang w:val="es-ES"/>
        </w:rPr>
        <w:t xml:space="preserve"> para ampliar la cobertura del proceso restitutivo.</w:t>
      </w:r>
      <w:r w:rsidR="00BB73AC" w:rsidRPr="002F21D4">
        <w:rPr>
          <w:sz w:val="22"/>
          <w:szCs w:val="22"/>
          <w:lang w:val="es-ES"/>
        </w:rPr>
        <w:t xml:space="preserve"> </w:t>
      </w:r>
      <w:r w:rsidRPr="002F21D4">
        <w:rPr>
          <w:sz w:val="22"/>
          <w:szCs w:val="22"/>
          <w:lang w:val="es-ES"/>
        </w:rPr>
        <w:t>Así mismo, el proceso de restitución de tierras se ve afectado por áreas con sospecha de minas, en los Departamentos de Antioquia, Chocó, Cauca, Guaviare, Norte de Santander, Putumayo, Nariño y Valle del Cauca</w:t>
      </w:r>
      <w:r w:rsidR="002F21D4" w:rsidRPr="002F21D4">
        <w:rPr>
          <w:sz w:val="22"/>
          <w:szCs w:val="22"/>
          <w:lang w:val="es-ES"/>
        </w:rPr>
        <w:t>.</w:t>
      </w:r>
    </w:p>
    <w:p w14:paraId="27F2F5B8" w14:textId="77777777" w:rsidR="002F21D4" w:rsidRPr="002F21D4" w:rsidRDefault="002F21D4" w:rsidP="00B06FB8">
      <w:pPr>
        <w:snapToGrid w:val="0"/>
        <w:ind w:firstLine="360"/>
        <w:jc w:val="both"/>
        <w:rPr>
          <w:sz w:val="22"/>
          <w:szCs w:val="22"/>
          <w:lang w:val="es-ES"/>
        </w:rPr>
      </w:pPr>
    </w:p>
    <w:p w14:paraId="0997D409" w14:textId="2EC9643E" w:rsidR="00E10EAF" w:rsidRPr="002F21D4" w:rsidRDefault="00E10EAF" w:rsidP="00B06FB8">
      <w:pPr>
        <w:snapToGrid w:val="0"/>
        <w:ind w:firstLine="360"/>
        <w:jc w:val="both"/>
        <w:rPr>
          <w:sz w:val="22"/>
          <w:szCs w:val="22"/>
          <w:lang w:val="es-ES"/>
        </w:rPr>
      </w:pPr>
      <w:r w:rsidRPr="002F21D4">
        <w:rPr>
          <w:sz w:val="22"/>
          <w:szCs w:val="22"/>
          <w:lang w:val="es-ES"/>
        </w:rPr>
        <w:t xml:space="preserve">Adicional a lo anterior, sigue siendo un reto el impulso de la restitución de </w:t>
      </w:r>
      <w:r w:rsidR="00D212D2" w:rsidRPr="002F21D4">
        <w:rPr>
          <w:sz w:val="22"/>
          <w:szCs w:val="22"/>
          <w:lang w:val="es-ES"/>
        </w:rPr>
        <w:t>derechos territoriales</w:t>
      </w:r>
      <w:r w:rsidRPr="002F21D4">
        <w:rPr>
          <w:sz w:val="22"/>
          <w:szCs w:val="22"/>
          <w:lang w:val="es-ES"/>
        </w:rPr>
        <w:t>, no solo por la poca cantidad de decisiones definitivas proferidas, sino por el bajo índice de cumplimiento de estas. De las 19 sentencias</w:t>
      </w:r>
      <w:r w:rsidR="00D212D2" w:rsidRPr="002F21D4">
        <w:rPr>
          <w:sz w:val="22"/>
          <w:szCs w:val="22"/>
          <w:lang w:val="es-ES"/>
        </w:rPr>
        <w:t xml:space="preserve"> étnicas</w:t>
      </w:r>
      <w:r w:rsidRPr="002F21D4">
        <w:rPr>
          <w:sz w:val="22"/>
          <w:szCs w:val="22"/>
          <w:lang w:val="es-ES"/>
        </w:rPr>
        <w:t xml:space="preserve"> resueltas</w:t>
      </w:r>
      <w:r w:rsidRPr="002F21D4">
        <w:rPr>
          <w:rStyle w:val="FootnoteReference"/>
          <w:sz w:val="22"/>
          <w:szCs w:val="22"/>
          <w:lang w:val="es-ES"/>
        </w:rPr>
        <w:footnoteReference w:id="118"/>
      </w:r>
      <w:r w:rsidRPr="002F21D4">
        <w:rPr>
          <w:sz w:val="22"/>
          <w:szCs w:val="22"/>
          <w:lang w:val="es-ES"/>
        </w:rPr>
        <w:t xml:space="preserve">, ninguna se ha declarado totalmente cumplida, situación que se acrecentó en el marco de la pandemia, ya que las entidades </w:t>
      </w:r>
      <w:r w:rsidR="00B67A83" w:rsidRPr="002F21D4">
        <w:rPr>
          <w:sz w:val="22"/>
          <w:szCs w:val="22"/>
          <w:lang w:val="es-ES"/>
        </w:rPr>
        <w:t>manifestaron</w:t>
      </w:r>
      <w:r w:rsidRPr="002F21D4">
        <w:rPr>
          <w:sz w:val="22"/>
          <w:szCs w:val="22"/>
          <w:lang w:val="es-ES"/>
        </w:rPr>
        <w:t xml:space="preserve"> dificultades financieras o logísticas para desplazarse a los territorios étnicos y ejecutar las actividades para dar cumplimiento a las órdenes.</w:t>
      </w:r>
      <w:r w:rsidR="0078159F" w:rsidRPr="002F21D4">
        <w:rPr>
          <w:sz w:val="22"/>
          <w:szCs w:val="22"/>
          <w:lang w:val="es-ES"/>
        </w:rPr>
        <w:t xml:space="preserve"> </w:t>
      </w:r>
    </w:p>
    <w:p w14:paraId="7F17748A" w14:textId="77777777" w:rsidR="002F21D4" w:rsidRPr="002F21D4" w:rsidRDefault="002F21D4" w:rsidP="00B06FB8">
      <w:pPr>
        <w:snapToGrid w:val="0"/>
        <w:ind w:firstLine="360"/>
        <w:jc w:val="both"/>
        <w:rPr>
          <w:sz w:val="22"/>
          <w:szCs w:val="22"/>
          <w:lang w:val="es-ES"/>
        </w:rPr>
      </w:pPr>
    </w:p>
    <w:p w14:paraId="06832F91" w14:textId="396F030C" w:rsidR="00BD57C1" w:rsidRPr="002F21D4" w:rsidRDefault="00BD57C1" w:rsidP="002E06D9">
      <w:pPr>
        <w:pStyle w:val="Default"/>
        <w:numPr>
          <w:ilvl w:val="1"/>
          <w:numId w:val="6"/>
        </w:numPr>
        <w:snapToGrid w:val="0"/>
        <w:ind w:firstLine="0"/>
        <w:jc w:val="both"/>
        <w:rPr>
          <w:b/>
          <w:sz w:val="22"/>
          <w:szCs w:val="22"/>
          <w:lang w:val="pt-BR"/>
        </w:rPr>
      </w:pPr>
      <w:r w:rsidRPr="002E06D9">
        <w:rPr>
          <w:b/>
          <w:sz w:val="22"/>
          <w:szCs w:val="22"/>
        </w:rPr>
        <w:t>Zonas</w:t>
      </w:r>
      <w:r w:rsidRPr="002F21D4">
        <w:rPr>
          <w:b/>
          <w:sz w:val="22"/>
          <w:szCs w:val="22"/>
          <w:lang w:val="pt-BR"/>
        </w:rPr>
        <w:t xml:space="preserve"> Estratégicas de Intervención Integral (ZEII) o “Zonas Futuro”</w:t>
      </w:r>
    </w:p>
    <w:p w14:paraId="197A9E8C" w14:textId="77777777" w:rsidR="002F21D4" w:rsidRPr="002F21D4" w:rsidRDefault="002F21D4" w:rsidP="00B06FB8">
      <w:pPr>
        <w:snapToGrid w:val="0"/>
        <w:ind w:firstLine="360"/>
        <w:jc w:val="both"/>
        <w:rPr>
          <w:rFonts w:eastAsia="Calibri"/>
          <w:sz w:val="22"/>
          <w:szCs w:val="22"/>
          <w:lang w:val="es-MX" w:eastAsia="en-US"/>
        </w:rPr>
      </w:pPr>
    </w:p>
    <w:p w14:paraId="12238745" w14:textId="41DEC00E" w:rsidR="007B65C0" w:rsidRPr="002F21D4" w:rsidRDefault="007B65C0" w:rsidP="00B06FB8">
      <w:pPr>
        <w:snapToGrid w:val="0"/>
        <w:ind w:firstLine="360"/>
        <w:jc w:val="both"/>
        <w:rPr>
          <w:rFonts w:eastAsia="Calibri"/>
          <w:sz w:val="22"/>
          <w:szCs w:val="22"/>
          <w:lang w:val="es-MX" w:eastAsia="en-US"/>
        </w:rPr>
      </w:pPr>
      <w:r w:rsidRPr="002F21D4">
        <w:rPr>
          <w:rFonts w:eastAsia="Calibri"/>
          <w:sz w:val="22"/>
          <w:szCs w:val="22"/>
          <w:lang w:val="es-MX" w:eastAsia="en-US"/>
        </w:rPr>
        <w:t xml:space="preserve">La estrategia </w:t>
      </w:r>
      <w:proofErr w:type="spellStart"/>
      <w:r w:rsidRPr="002F21D4">
        <w:rPr>
          <w:rFonts w:eastAsia="Calibri"/>
          <w:sz w:val="22"/>
          <w:szCs w:val="22"/>
          <w:lang w:val="es-MX" w:eastAsia="en-US"/>
        </w:rPr>
        <w:t>ZEII</w:t>
      </w:r>
      <w:proofErr w:type="spellEnd"/>
      <w:r w:rsidRPr="002F21D4">
        <w:rPr>
          <w:rFonts w:eastAsia="Calibri"/>
          <w:sz w:val="22"/>
          <w:szCs w:val="22"/>
          <w:lang w:val="es-MX" w:eastAsia="en-US"/>
        </w:rPr>
        <w:t xml:space="preserve"> </w:t>
      </w:r>
      <w:r w:rsidR="00424BF8" w:rsidRPr="002F21D4">
        <w:rPr>
          <w:rFonts w:eastAsia="Calibri"/>
          <w:sz w:val="22"/>
          <w:szCs w:val="22"/>
          <w:lang w:val="es-MX" w:eastAsia="en-US"/>
        </w:rPr>
        <w:t>avanzó</w:t>
      </w:r>
      <w:r w:rsidRPr="002F21D4">
        <w:rPr>
          <w:rFonts w:eastAsia="Calibri"/>
          <w:sz w:val="22"/>
          <w:szCs w:val="22"/>
          <w:lang w:val="es-MX" w:eastAsia="en-US"/>
        </w:rPr>
        <w:t xml:space="preserve"> </w:t>
      </w:r>
      <w:r w:rsidR="00424BF8" w:rsidRPr="002F21D4">
        <w:rPr>
          <w:rFonts w:eastAsia="Calibri"/>
          <w:sz w:val="22"/>
          <w:szCs w:val="22"/>
          <w:lang w:val="es-MX" w:eastAsia="en-US"/>
        </w:rPr>
        <w:t>en la</w:t>
      </w:r>
      <w:r w:rsidRPr="002F21D4">
        <w:rPr>
          <w:rFonts w:eastAsia="Calibri"/>
          <w:sz w:val="22"/>
          <w:szCs w:val="22"/>
          <w:lang w:val="es-MX" w:eastAsia="en-US"/>
        </w:rPr>
        <w:t xml:space="preserve"> articulación interinstitucional</w:t>
      </w:r>
      <w:r w:rsidR="00424BF8" w:rsidRPr="002F21D4">
        <w:rPr>
          <w:rFonts w:eastAsia="Calibri"/>
          <w:sz w:val="22"/>
          <w:szCs w:val="22"/>
          <w:lang w:val="es-MX" w:eastAsia="en-US"/>
        </w:rPr>
        <w:t xml:space="preserve"> de a</w:t>
      </w:r>
      <w:r w:rsidRPr="002F21D4">
        <w:rPr>
          <w:rFonts w:eastAsia="Calibri"/>
          <w:sz w:val="22"/>
          <w:szCs w:val="22"/>
          <w:lang w:val="es-MX" w:eastAsia="en-US"/>
        </w:rPr>
        <w:t xml:space="preserve">cciones </w:t>
      </w:r>
      <w:r w:rsidR="00424BF8" w:rsidRPr="002F21D4">
        <w:rPr>
          <w:rFonts w:eastAsia="Calibri"/>
          <w:sz w:val="22"/>
          <w:szCs w:val="22"/>
          <w:lang w:val="es-MX" w:eastAsia="en-US"/>
        </w:rPr>
        <w:t>para</w:t>
      </w:r>
      <w:r w:rsidRPr="002F21D4">
        <w:rPr>
          <w:rFonts w:eastAsia="Calibri"/>
          <w:sz w:val="22"/>
          <w:szCs w:val="22"/>
          <w:lang w:val="es-MX" w:eastAsia="en-US"/>
        </w:rPr>
        <w:t xml:space="preserve"> </w:t>
      </w:r>
      <w:r w:rsidR="002F4275" w:rsidRPr="002F21D4">
        <w:rPr>
          <w:rFonts w:eastAsia="Calibri"/>
          <w:sz w:val="22"/>
          <w:szCs w:val="22"/>
          <w:lang w:val="es-MX" w:eastAsia="en-US"/>
        </w:rPr>
        <w:t xml:space="preserve">la </w:t>
      </w:r>
      <w:r w:rsidRPr="002F21D4">
        <w:rPr>
          <w:rFonts w:eastAsia="Calibri"/>
          <w:sz w:val="22"/>
          <w:szCs w:val="22"/>
          <w:lang w:val="es-MX" w:eastAsia="en-US"/>
        </w:rPr>
        <w:t>construcción y adecuación en infraestructura de salud</w:t>
      </w:r>
      <w:r w:rsidR="00E4465F" w:rsidRPr="002F21D4">
        <w:rPr>
          <w:rFonts w:eastAsia="Calibri"/>
          <w:sz w:val="22"/>
          <w:szCs w:val="22"/>
          <w:lang w:val="es-MX" w:eastAsia="en-US"/>
        </w:rPr>
        <w:t xml:space="preserve"> y</w:t>
      </w:r>
      <w:r w:rsidRPr="002F21D4">
        <w:rPr>
          <w:rFonts w:eastAsia="Calibri"/>
          <w:sz w:val="22"/>
          <w:szCs w:val="22"/>
          <w:lang w:val="es-MX" w:eastAsia="en-US"/>
        </w:rPr>
        <w:t xml:space="preserve"> educación y</w:t>
      </w:r>
      <w:r w:rsidR="00826CF1" w:rsidRPr="002F21D4">
        <w:rPr>
          <w:rFonts w:eastAsia="Calibri"/>
          <w:sz w:val="22"/>
          <w:szCs w:val="22"/>
          <w:lang w:val="es-MX" w:eastAsia="en-US"/>
        </w:rPr>
        <w:t xml:space="preserve"> en el desarrollo de</w:t>
      </w:r>
      <w:r w:rsidRPr="002F21D4">
        <w:rPr>
          <w:rFonts w:eastAsia="Calibri"/>
          <w:sz w:val="22"/>
          <w:szCs w:val="22"/>
          <w:lang w:val="es-MX" w:eastAsia="en-US"/>
        </w:rPr>
        <w:t xml:space="preserve"> jornadas de fortalecimiento comunitario en municipios como Bojayá</w:t>
      </w:r>
      <w:r w:rsidR="00424BF8" w:rsidRPr="002F21D4">
        <w:rPr>
          <w:rFonts w:eastAsia="Calibri"/>
          <w:sz w:val="22"/>
          <w:szCs w:val="22"/>
          <w:lang w:val="es-MX" w:eastAsia="en-US"/>
        </w:rPr>
        <w:t xml:space="preserve">, </w:t>
      </w:r>
      <w:r w:rsidRPr="002F21D4">
        <w:rPr>
          <w:rFonts w:eastAsia="Calibri"/>
          <w:sz w:val="22"/>
          <w:szCs w:val="22"/>
          <w:lang w:val="es-MX" w:eastAsia="en-US"/>
        </w:rPr>
        <w:t>Chocó</w:t>
      </w:r>
      <w:r w:rsidR="00424BF8" w:rsidRPr="002F21D4">
        <w:rPr>
          <w:rFonts w:eastAsia="Calibri"/>
          <w:sz w:val="22"/>
          <w:szCs w:val="22"/>
          <w:lang w:val="es-MX" w:eastAsia="en-US"/>
        </w:rPr>
        <w:t>;</w:t>
      </w:r>
      <w:r w:rsidRPr="002F21D4">
        <w:rPr>
          <w:rFonts w:eastAsia="Calibri"/>
          <w:sz w:val="22"/>
          <w:szCs w:val="22"/>
          <w:lang w:val="es-MX" w:eastAsia="en-US"/>
        </w:rPr>
        <w:t xml:space="preserve"> Tumaco</w:t>
      </w:r>
      <w:r w:rsidR="00424BF8" w:rsidRPr="002F21D4">
        <w:rPr>
          <w:rFonts w:eastAsia="Calibri"/>
          <w:sz w:val="22"/>
          <w:szCs w:val="22"/>
          <w:lang w:val="es-MX" w:eastAsia="en-US"/>
        </w:rPr>
        <w:t xml:space="preserve">, </w:t>
      </w:r>
      <w:r w:rsidRPr="002F21D4">
        <w:rPr>
          <w:rFonts w:eastAsia="Calibri"/>
          <w:sz w:val="22"/>
          <w:szCs w:val="22"/>
          <w:lang w:val="es-MX" w:eastAsia="en-US"/>
        </w:rPr>
        <w:t>Nariño</w:t>
      </w:r>
      <w:r w:rsidR="00424BF8" w:rsidRPr="002F21D4">
        <w:rPr>
          <w:rFonts w:eastAsia="Calibri"/>
          <w:sz w:val="22"/>
          <w:szCs w:val="22"/>
          <w:lang w:val="es-MX" w:eastAsia="en-US"/>
        </w:rPr>
        <w:t xml:space="preserve">; </w:t>
      </w:r>
      <w:r w:rsidRPr="002F21D4">
        <w:rPr>
          <w:rFonts w:eastAsia="Calibri"/>
          <w:sz w:val="22"/>
          <w:szCs w:val="22"/>
          <w:lang w:val="es-MX" w:eastAsia="en-US"/>
        </w:rPr>
        <w:t>y San José de</w:t>
      </w:r>
      <w:r w:rsidR="00284E14" w:rsidRPr="002F21D4">
        <w:rPr>
          <w:rFonts w:eastAsia="Calibri"/>
          <w:sz w:val="22"/>
          <w:szCs w:val="22"/>
          <w:lang w:val="es-MX" w:eastAsia="en-US"/>
        </w:rPr>
        <w:t>l</w:t>
      </w:r>
      <w:r w:rsidRPr="002F21D4">
        <w:rPr>
          <w:rFonts w:eastAsia="Calibri"/>
          <w:sz w:val="22"/>
          <w:szCs w:val="22"/>
          <w:lang w:val="es-MX" w:eastAsia="en-US"/>
        </w:rPr>
        <w:t xml:space="preserve"> Guaviare</w:t>
      </w:r>
      <w:r w:rsidR="00424BF8" w:rsidRPr="002F21D4">
        <w:rPr>
          <w:rFonts w:eastAsia="Calibri"/>
          <w:sz w:val="22"/>
          <w:szCs w:val="22"/>
          <w:lang w:val="es-MX" w:eastAsia="en-US"/>
        </w:rPr>
        <w:t xml:space="preserve">, </w:t>
      </w:r>
      <w:r w:rsidRPr="002F21D4">
        <w:rPr>
          <w:rFonts w:eastAsia="Calibri"/>
          <w:sz w:val="22"/>
          <w:szCs w:val="22"/>
          <w:lang w:val="es-MX" w:eastAsia="en-US"/>
        </w:rPr>
        <w:t>Guaviare</w:t>
      </w:r>
      <w:r w:rsidR="00424BF8" w:rsidRPr="002F21D4">
        <w:rPr>
          <w:rFonts w:eastAsia="Calibri"/>
          <w:sz w:val="22"/>
          <w:szCs w:val="22"/>
          <w:lang w:val="es-MX" w:eastAsia="en-US"/>
        </w:rPr>
        <w:t>;</w:t>
      </w:r>
      <w:r w:rsidRPr="002F21D4">
        <w:rPr>
          <w:rFonts w:eastAsia="Calibri"/>
          <w:sz w:val="22"/>
          <w:szCs w:val="22"/>
          <w:lang w:val="es-MX" w:eastAsia="en-US"/>
        </w:rPr>
        <w:t xml:space="preserve"> así como en la formulación de los proyectos a desarrollar </w:t>
      </w:r>
      <w:r w:rsidR="00424BF8" w:rsidRPr="002F21D4">
        <w:rPr>
          <w:rFonts w:eastAsia="Calibri"/>
          <w:sz w:val="22"/>
          <w:szCs w:val="22"/>
          <w:lang w:val="es-MX" w:eastAsia="en-US"/>
        </w:rPr>
        <w:t>en</w:t>
      </w:r>
      <w:r w:rsidR="00FA0877" w:rsidRPr="002F21D4">
        <w:rPr>
          <w:rFonts w:eastAsia="Calibri"/>
          <w:sz w:val="22"/>
          <w:szCs w:val="22"/>
          <w:lang w:val="es-MX" w:eastAsia="en-US"/>
        </w:rPr>
        <w:t xml:space="preserve"> estas mismas áreas</w:t>
      </w:r>
      <w:r w:rsidR="00424BF8" w:rsidRPr="002F21D4">
        <w:rPr>
          <w:rFonts w:eastAsia="Calibri"/>
          <w:sz w:val="22"/>
          <w:szCs w:val="22"/>
          <w:lang w:val="es-MX" w:eastAsia="en-US"/>
        </w:rPr>
        <w:t xml:space="preserve"> </w:t>
      </w:r>
      <w:r w:rsidR="00FA0877" w:rsidRPr="002F21D4">
        <w:rPr>
          <w:rFonts w:eastAsia="Calibri"/>
          <w:sz w:val="22"/>
          <w:szCs w:val="22"/>
          <w:lang w:val="es-MX" w:eastAsia="en-US"/>
        </w:rPr>
        <w:t>en</w:t>
      </w:r>
      <w:r w:rsidRPr="002F21D4">
        <w:rPr>
          <w:rFonts w:eastAsia="Calibri"/>
          <w:sz w:val="22"/>
          <w:szCs w:val="22"/>
          <w:lang w:val="es-MX" w:eastAsia="en-US"/>
        </w:rPr>
        <w:t xml:space="preserve"> Arauca. </w:t>
      </w:r>
    </w:p>
    <w:p w14:paraId="62467FB2" w14:textId="77777777" w:rsidR="002F21D4" w:rsidRPr="002F21D4" w:rsidRDefault="002F21D4" w:rsidP="00B06FB8">
      <w:pPr>
        <w:snapToGrid w:val="0"/>
        <w:ind w:firstLine="360"/>
        <w:jc w:val="both"/>
        <w:rPr>
          <w:rFonts w:eastAsia="Calibri"/>
          <w:sz w:val="22"/>
          <w:szCs w:val="22"/>
          <w:lang w:val="es-MX" w:eastAsia="en-US"/>
        </w:rPr>
      </w:pPr>
    </w:p>
    <w:p w14:paraId="7809183D" w14:textId="102122F3" w:rsidR="007B65C0" w:rsidRPr="002F21D4" w:rsidRDefault="007B65C0" w:rsidP="00B06FB8">
      <w:pPr>
        <w:snapToGrid w:val="0"/>
        <w:ind w:firstLine="360"/>
        <w:jc w:val="both"/>
        <w:rPr>
          <w:rFonts w:eastAsia="Calibri"/>
          <w:sz w:val="22"/>
          <w:szCs w:val="22"/>
          <w:lang w:val="es-MX" w:eastAsia="en-US"/>
        </w:rPr>
      </w:pPr>
      <w:r w:rsidRPr="002F21D4">
        <w:rPr>
          <w:rFonts w:eastAsia="Calibri"/>
          <w:sz w:val="22"/>
          <w:szCs w:val="22"/>
          <w:lang w:val="es-MX" w:eastAsia="en-US"/>
        </w:rPr>
        <w:t xml:space="preserve">En el Pacífico </w:t>
      </w:r>
      <w:r w:rsidR="001E7F65" w:rsidRPr="002F21D4">
        <w:rPr>
          <w:rFonts w:eastAsia="Calibri"/>
          <w:sz w:val="22"/>
          <w:szCs w:val="22"/>
          <w:lang w:val="es-MX" w:eastAsia="en-US"/>
        </w:rPr>
        <w:t>nariñense</w:t>
      </w:r>
      <w:r w:rsidR="00284E14" w:rsidRPr="002F21D4">
        <w:rPr>
          <w:rFonts w:eastAsia="Calibri"/>
          <w:sz w:val="22"/>
          <w:szCs w:val="22"/>
          <w:lang w:val="es-MX" w:eastAsia="en-US"/>
        </w:rPr>
        <w:t>, a través de la</w:t>
      </w:r>
      <w:r w:rsidR="00826CF1" w:rsidRPr="002F21D4">
        <w:rPr>
          <w:rFonts w:eastAsia="Calibri"/>
          <w:sz w:val="22"/>
          <w:szCs w:val="22"/>
          <w:lang w:val="es-MX" w:eastAsia="en-US"/>
        </w:rPr>
        <w:t xml:space="preserve"> ZEII</w:t>
      </w:r>
      <w:r w:rsidR="00284E14" w:rsidRPr="002F21D4">
        <w:rPr>
          <w:rFonts w:eastAsia="Calibri"/>
          <w:sz w:val="22"/>
          <w:szCs w:val="22"/>
          <w:lang w:val="es-MX" w:eastAsia="en-US"/>
        </w:rPr>
        <w:t xml:space="preserve">, se </w:t>
      </w:r>
      <w:r w:rsidRPr="002F21D4">
        <w:rPr>
          <w:rFonts w:eastAsia="Calibri"/>
          <w:sz w:val="22"/>
          <w:szCs w:val="22"/>
          <w:lang w:val="es-MX" w:eastAsia="en-US"/>
        </w:rPr>
        <w:t>aceleró y entregó la obra de infraestructura que comprende el nuevo corredor binacional</w:t>
      </w:r>
      <w:r w:rsidRPr="002F21D4">
        <w:rPr>
          <w:rFonts w:eastAsia="Calibri"/>
          <w:sz w:val="22"/>
          <w:szCs w:val="22"/>
          <w:vertAlign w:val="superscript"/>
          <w:lang w:val="es-MX" w:eastAsia="en-US"/>
        </w:rPr>
        <w:footnoteReference w:id="119"/>
      </w:r>
      <w:r w:rsidRPr="002F21D4">
        <w:rPr>
          <w:rFonts w:eastAsia="Calibri"/>
          <w:sz w:val="22"/>
          <w:szCs w:val="22"/>
          <w:lang w:val="es-MX" w:eastAsia="en-US"/>
        </w:rPr>
        <w:t xml:space="preserve"> en la vía La Espriella-Río Mataje, que permitirá dinamizar </w:t>
      </w:r>
      <w:r w:rsidRPr="002F21D4">
        <w:rPr>
          <w:rFonts w:eastAsia="Calibri"/>
          <w:sz w:val="22"/>
          <w:szCs w:val="22"/>
          <w:lang w:val="es-MX" w:eastAsia="en-US"/>
        </w:rPr>
        <w:lastRenderedPageBreak/>
        <w:t>el comercio entre Colombia y Ecuador, avanzando en la transformación regional y generando mayores oportunidades económicas para estas comunidades.</w:t>
      </w:r>
    </w:p>
    <w:p w14:paraId="4CB8E8D2" w14:textId="77777777" w:rsidR="002F21D4" w:rsidRPr="002F21D4" w:rsidRDefault="002F21D4" w:rsidP="00B06FB8">
      <w:pPr>
        <w:snapToGrid w:val="0"/>
        <w:ind w:firstLine="360"/>
        <w:jc w:val="both"/>
        <w:rPr>
          <w:rFonts w:eastAsia="Calibri"/>
          <w:sz w:val="22"/>
          <w:szCs w:val="22"/>
          <w:lang w:val="es-MX" w:eastAsia="en-US"/>
        </w:rPr>
      </w:pPr>
    </w:p>
    <w:p w14:paraId="0FF3C284" w14:textId="459DAB14" w:rsidR="007B65C0" w:rsidRPr="002F21D4" w:rsidRDefault="007B65C0" w:rsidP="00B06FB8">
      <w:pPr>
        <w:snapToGrid w:val="0"/>
        <w:ind w:firstLine="360"/>
        <w:jc w:val="both"/>
        <w:rPr>
          <w:rFonts w:eastAsia="Calibri"/>
          <w:sz w:val="22"/>
          <w:szCs w:val="22"/>
          <w:lang w:val="es-MX" w:eastAsia="en-US"/>
        </w:rPr>
      </w:pPr>
      <w:r w:rsidRPr="002F21D4">
        <w:rPr>
          <w:rFonts w:eastAsia="Calibri"/>
          <w:sz w:val="22"/>
          <w:szCs w:val="22"/>
          <w:lang w:val="es-MX" w:eastAsia="en-US"/>
        </w:rPr>
        <w:t>El Comité Ejecutivo</w:t>
      </w:r>
      <w:r w:rsidR="00826CF1" w:rsidRPr="002F21D4">
        <w:rPr>
          <w:rFonts w:eastAsia="Calibri"/>
          <w:sz w:val="22"/>
          <w:szCs w:val="22"/>
          <w:lang w:val="es-MX" w:eastAsia="en-US"/>
        </w:rPr>
        <w:t xml:space="preserve"> de la estrategia </w:t>
      </w:r>
      <w:r w:rsidRPr="002F21D4">
        <w:rPr>
          <w:rFonts w:eastAsia="Calibri"/>
          <w:sz w:val="22"/>
          <w:szCs w:val="22"/>
          <w:lang w:val="es-MX" w:eastAsia="en-US"/>
        </w:rPr>
        <w:t>designó nuevos recursos financieros</w:t>
      </w:r>
      <w:r w:rsidR="009B3CA6" w:rsidRPr="002F21D4">
        <w:rPr>
          <w:rFonts w:eastAsia="Calibri"/>
          <w:sz w:val="22"/>
          <w:szCs w:val="22"/>
          <w:lang w:val="es-MX" w:eastAsia="en-US"/>
        </w:rPr>
        <w:t>,</w:t>
      </w:r>
      <w:r w:rsidRPr="002F21D4">
        <w:rPr>
          <w:rFonts w:eastAsia="Calibri"/>
          <w:sz w:val="22"/>
          <w:szCs w:val="22"/>
          <w:lang w:val="es-MX" w:eastAsia="en-US"/>
        </w:rPr>
        <w:t xml:space="preserve"> estimados en COP$ 194.500 millones</w:t>
      </w:r>
      <w:r w:rsidR="009B3CA6" w:rsidRPr="002F21D4">
        <w:rPr>
          <w:rFonts w:eastAsia="Calibri"/>
          <w:sz w:val="22"/>
          <w:szCs w:val="22"/>
          <w:lang w:val="es-MX" w:eastAsia="en-US"/>
        </w:rPr>
        <w:t>,</w:t>
      </w:r>
      <w:r w:rsidRPr="002F21D4">
        <w:rPr>
          <w:rFonts w:eastAsia="Calibri"/>
          <w:sz w:val="22"/>
          <w:szCs w:val="22"/>
          <w:lang w:val="es-MX" w:eastAsia="en-US"/>
        </w:rPr>
        <w:t xml:space="preserve"> para</w:t>
      </w:r>
      <w:r w:rsidR="00913F21" w:rsidRPr="002F21D4">
        <w:rPr>
          <w:rFonts w:eastAsia="Calibri"/>
          <w:sz w:val="22"/>
          <w:szCs w:val="22"/>
          <w:lang w:val="es-MX" w:eastAsia="en-US"/>
        </w:rPr>
        <w:t xml:space="preserve"> la implementación </w:t>
      </w:r>
      <w:r w:rsidRPr="002F21D4">
        <w:rPr>
          <w:rFonts w:eastAsia="Calibri"/>
          <w:sz w:val="22"/>
          <w:szCs w:val="22"/>
          <w:lang w:val="es-MX" w:eastAsia="en-US"/>
        </w:rPr>
        <w:t>de los Planes de Respuesta Inmediata (PRI)</w:t>
      </w:r>
      <w:r w:rsidR="00913F21" w:rsidRPr="002F21D4">
        <w:rPr>
          <w:rFonts w:eastAsia="Calibri"/>
          <w:sz w:val="22"/>
          <w:szCs w:val="22"/>
          <w:lang w:val="es-MX" w:eastAsia="en-US"/>
        </w:rPr>
        <w:t>, en cada una de las ZEII</w:t>
      </w:r>
      <w:r w:rsidRPr="002F21D4">
        <w:rPr>
          <w:rFonts w:eastAsia="Calibri"/>
          <w:sz w:val="22"/>
          <w:szCs w:val="22"/>
          <w:lang w:val="es-MX" w:eastAsia="en-US"/>
        </w:rPr>
        <w:t xml:space="preserve">. Estas acciones contribuyen a que se subsanen necesidades </w:t>
      </w:r>
      <w:r w:rsidR="00FD35F3" w:rsidRPr="002F21D4">
        <w:rPr>
          <w:rFonts w:eastAsia="Calibri"/>
          <w:sz w:val="22"/>
          <w:szCs w:val="22"/>
          <w:lang w:val="es-MX" w:eastAsia="en-US"/>
        </w:rPr>
        <w:t xml:space="preserve">en estos territorios </w:t>
      </w:r>
      <w:r w:rsidR="009B3CA6" w:rsidRPr="002F21D4">
        <w:rPr>
          <w:rFonts w:eastAsia="Calibri"/>
          <w:sz w:val="22"/>
          <w:szCs w:val="22"/>
          <w:lang w:val="es-MX" w:eastAsia="en-US"/>
        </w:rPr>
        <w:t xml:space="preserve">en el </w:t>
      </w:r>
      <w:r w:rsidRPr="002F21D4">
        <w:rPr>
          <w:rFonts w:eastAsia="Calibri"/>
          <w:sz w:val="22"/>
          <w:szCs w:val="22"/>
          <w:lang w:val="es-MX" w:eastAsia="en-US"/>
        </w:rPr>
        <w:t>acceso a salud, educación, conectividad, entre otras</w:t>
      </w:r>
      <w:r w:rsidR="00826CF1" w:rsidRPr="002F21D4">
        <w:rPr>
          <w:rFonts w:eastAsia="Calibri"/>
          <w:sz w:val="22"/>
          <w:szCs w:val="22"/>
          <w:lang w:val="es-MX" w:eastAsia="en-US"/>
        </w:rPr>
        <w:t>,</w:t>
      </w:r>
      <w:r w:rsidRPr="002F21D4">
        <w:rPr>
          <w:rFonts w:eastAsia="Calibri"/>
          <w:sz w:val="22"/>
          <w:szCs w:val="22"/>
          <w:lang w:val="es-MX" w:eastAsia="en-US"/>
        </w:rPr>
        <w:t xml:space="preserve"> </w:t>
      </w:r>
      <w:r w:rsidR="009B3CA6" w:rsidRPr="002F21D4">
        <w:rPr>
          <w:rFonts w:eastAsia="Calibri"/>
          <w:sz w:val="22"/>
          <w:szCs w:val="22"/>
          <w:lang w:val="es-MX" w:eastAsia="en-US"/>
        </w:rPr>
        <w:t>así como</w:t>
      </w:r>
      <w:r w:rsidRPr="002F21D4">
        <w:rPr>
          <w:rFonts w:eastAsia="Calibri"/>
          <w:sz w:val="22"/>
          <w:szCs w:val="22"/>
          <w:lang w:val="es-MX" w:eastAsia="en-US"/>
        </w:rPr>
        <w:t xml:space="preserve"> </w:t>
      </w:r>
      <w:r w:rsidR="009B3CA6" w:rsidRPr="002F21D4">
        <w:rPr>
          <w:rFonts w:eastAsia="Calibri"/>
          <w:sz w:val="22"/>
          <w:szCs w:val="22"/>
          <w:lang w:val="es-MX" w:eastAsia="en-US"/>
        </w:rPr>
        <w:t>la</w:t>
      </w:r>
      <w:r w:rsidRPr="002F21D4">
        <w:rPr>
          <w:rFonts w:eastAsia="Calibri"/>
          <w:sz w:val="22"/>
          <w:szCs w:val="22"/>
          <w:lang w:val="es-MX" w:eastAsia="en-US"/>
        </w:rPr>
        <w:t xml:space="preserve"> consolidación de la oferta institucional y </w:t>
      </w:r>
      <w:r w:rsidR="009B3CA6" w:rsidRPr="002F21D4">
        <w:rPr>
          <w:rFonts w:eastAsia="Calibri"/>
          <w:sz w:val="22"/>
          <w:szCs w:val="22"/>
          <w:lang w:val="es-MX" w:eastAsia="en-US"/>
        </w:rPr>
        <w:t xml:space="preserve">la </w:t>
      </w:r>
      <w:r w:rsidRPr="002F21D4">
        <w:rPr>
          <w:rFonts w:eastAsia="Calibri"/>
          <w:sz w:val="22"/>
          <w:szCs w:val="22"/>
          <w:lang w:val="es-MX" w:eastAsia="en-US"/>
        </w:rPr>
        <w:t>garant</w:t>
      </w:r>
      <w:r w:rsidR="009B3CA6" w:rsidRPr="002F21D4">
        <w:rPr>
          <w:rFonts w:eastAsia="Calibri"/>
          <w:sz w:val="22"/>
          <w:szCs w:val="22"/>
          <w:lang w:val="es-MX" w:eastAsia="en-US"/>
        </w:rPr>
        <w:t>ía de</w:t>
      </w:r>
      <w:r w:rsidRPr="002F21D4">
        <w:rPr>
          <w:rFonts w:eastAsia="Calibri"/>
          <w:sz w:val="22"/>
          <w:szCs w:val="22"/>
          <w:lang w:val="es-MX" w:eastAsia="en-US"/>
        </w:rPr>
        <w:t xml:space="preserve"> las medidas de protección a la población.</w:t>
      </w:r>
    </w:p>
    <w:p w14:paraId="6543E760" w14:textId="77777777" w:rsidR="002F21D4" w:rsidRPr="002F21D4" w:rsidRDefault="002F21D4" w:rsidP="00B06FB8">
      <w:pPr>
        <w:snapToGrid w:val="0"/>
        <w:ind w:firstLine="360"/>
        <w:jc w:val="both"/>
        <w:rPr>
          <w:rFonts w:eastAsia="Calibri"/>
          <w:sz w:val="22"/>
          <w:szCs w:val="22"/>
          <w:lang w:val="es-MX" w:eastAsia="en-US"/>
        </w:rPr>
      </w:pPr>
    </w:p>
    <w:p w14:paraId="49647FD8" w14:textId="6CC88FDC" w:rsidR="00090A3E" w:rsidRPr="002F21D4" w:rsidRDefault="007B65C0" w:rsidP="00B06FB8">
      <w:pPr>
        <w:snapToGrid w:val="0"/>
        <w:ind w:firstLine="360"/>
        <w:jc w:val="both"/>
        <w:rPr>
          <w:rFonts w:eastAsia="Calibri"/>
          <w:sz w:val="22"/>
          <w:szCs w:val="22"/>
          <w:lang w:val="es-MX" w:eastAsia="en-US"/>
        </w:rPr>
      </w:pPr>
      <w:r w:rsidRPr="002F21D4">
        <w:rPr>
          <w:rFonts w:eastAsia="Calibri"/>
          <w:sz w:val="22"/>
          <w:szCs w:val="22"/>
          <w:lang w:val="es-MX" w:eastAsia="en-US"/>
        </w:rPr>
        <w:t>Respecto a las acciones para la protección del agua, la biodiversidad y el medio ambiente,</w:t>
      </w:r>
      <w:r w:rsidR="00090A3E" w:rsidRPr="002F21D4">
        <w:rPr>
          <w:rFonts w:eastAsia="Calibri"/>
          <w:sz w:val="22"/>
          <w:szCs w:val="22"/>
          <w:lang w:val="es-MX" w:eastAsia="en-US"/>
        </w:rPr>
        <w:t xml:space="preserve"> en el marco de la Operación Artemisa,</w:t>
      </w:r>
      <w:r w:rsidRPr="002F21D4">
        <w:rPr>
          <w:rFonts w:eastAsia="Calibri"/>
          <w:sz w:val="22"/>
          <w:szCs w:val="22"/>
          <w:lang w:val="es-MX" w:eastAsia="en-US"/>
        </w:rPr>
        <w:t xml:space="preserve"> </w:t>
      </w:r>
      <w:r w:rsidR="009B3CA6" w:rsidRPr="002F21D4">
        <w:rPr>
          <w:rFonts w:eastAsia="Calibri"/>
          <w:sz w:val="22"/>
          <w:szCs w:val="22"/>
          <w:lang w:val="es-MX" w:eastAsia="en-US"/>
        </w:rPr>
        <w:t>el</w:t>
      </w:r>
      <w:r w:rsidRPr="002F21D4">
        <w:rPr>
          <w:rFonts w:eastAsia="Calibri"/>
          <w:sz w:val="22"/>
          <w:szCs w:val="22"/>
          <w:lang w:val="es-MX" w:eastAsia="en-US"/>
        </w:rPr>
        <w:t xml:space="preserve"> Gobierno nacional </w:t>
      </w:r>
      <w:r w:rsidR="009B3CA6" w:rsidRPr="002F21D4">
        <w:rPr>
          <w:rFonts w:eastAsia="Calibri"/>
          <w:sz w:val="22"/>
          <w:szCs w:val="22"/>
          <w:lang w:val="es-MX" w:eastAsia="en-US"/>
        </w:rPr>
        <w:t>report</w:t>
      </w:r>
      <w:r w:rsidR="00090A3E" w:rsidRPr="002F21D4">
        <w:rPr>
          <w:rFonts w:eastAsia="Calibri"/>
          <w:sz w:val="22"/>
          <w:szCs w:val="22"/>
          <w:lang w:val="es-MX" w:eastAsia="en-US"/>
        </w:rPr>
        <w:t>ó</w:t>
      </w:r>
      <w:r w:rsidR="009B3CA6" w:rsidRPr="002F21D4">
        <w:rPr>
          <w:rFonts w:eastAsia="Calibri"/>
          <w:sz w:val="22"/>
          <w:szCs w:val="22"/>
          <w:lang w:val="es-MX" w:eastAsia="en-US"/>
        </w:rPr>
        <w:t xml:space="preserve"> la</w:t>
      </w:r>
      <w:r w:rsidRPr="002F21D4">
        <w:rPr>
          <w:rFonts w:eastAsia="Calibri"/>
          <w:sz w:val="22"/>
          <w:szCs w:val="22"/>
          <w:lang w:val="es-MX" w:eastAsia="en-US"/>
        </w:rPr>
        <w:t xml:space="preserve"> recupera</w:t>
      </w:r>
      <w:r w:rsidR="009B3CA6" w:rsidRPr="002F21D4">
        <w:rPr>
          <w:rFonts w:eastAsia="Calibri"/>
          <w:sz w:val="22"/>
          <w:szCs w:val="22"/>
          <w:lang w:val="es-MX" w:eastAsia="en-US"/>
        </w:rPr>
        <w:t>ción de</w:t>
      </w:r>
      <w:r w:rsidRPr="002F21D4">
        <w:rPr>
          <w:rFonts w:eastAsia="Calibri"/>
          <w:sz w:val="22"/>
          <w:szCs w:val="22"/>
          <w:lang w:val="es-MX" w:eastAsia="en-US"/>
        </w:rPr>
        <w:t xml:space="preserve"> alrededor de 14.535 </w:t>
      </w:r>
      <w:r w:rsidR="00F83143" w:rsidRPr="002F21D4">
        <w:rPr>
          <w:rFonts w:eastAsia="Calibri"/>
          <w:sz w:val="22"/>
          <w:szCs w:val="22"/>
          <w:lang w:val="es-MX" w:eastAsia="en-US"/>
        </w:rPr>
        <w:t>hectáreas</w:t>
      </w:r>
      <w:r w:rsidR="002F4275" w:rsidRPr="002F21D4">
        <w:rPr>
          <w:rFonts w:eastAsia="Calibri"/>
          <w:sz w:val="22"/>
          <w:szCs w:val="22"/>
          <w:lang w:val="es-MX" w:eastAsia="en-US"/>
        </w:rPr>
        <w:t xml:space="preserve"> </w:t>
      </w:r>
      <w:r w:rsidRPr="002F21D4">
        <w:rPr>
          <w:rFonts w:eastAsia="Calibri"/>
          <w:sz w:val="22"/>
          <w:szCs w:val="22"/>
          <w:lang w:val="es-MX" w:eastAsia="en-US"/>
        </w:rPr>
        <w:t>en los PNN que comprenden la ZEII de Chiribiquete y Parques Aledaños</w:t>
      </w:r>
      <w:r w:rsidR="002F4275" w:rsidRPr="002F21D4">
        <w:rPr>
          <w:rFonts w:eastAsia="Calibri"/>
          <w:sz w:val="22"/>
          <w:szCs w:val="22"/>
          <w:vertAlign w:val="superscript"/>
          <w:lang w:val="es-MX" w:eastAsia="en-US"/>
        </w:rPr>
        <w:footnoteReference w:id="120"/>
      </w:r>
      <w:r w:rsidR="009B3CA6" w:rsidRPr="002F21D4">
        <w:rPr>
          <w:rFonts w:eastAsia="Calibri"/>
          <w:sz w:val="22"/>
          <w:szCs w:val="22"/>
          <w:lang w:val="es-MX" w:eastAsia="en-US"/>
        </w:rPr>
        <w:t>;</w:t>
      </w:r>
      <w:r w:rsidRPr="002F21D4">
        <w:rPr>
          <w:rFonts w:eastAsia="Calibri"/>
          <w:sz w:val="22"/>
          <w:szCs w:val="22"/>
          <w:lang w:val="es-MX" w:eastAsia="en-US"/>
        </w:rPr>
        <w:t xml:space="preserve"> </w:t>
      </w:r>
      <w:r w:rsidR="00090A3E" w:rsidRPr="002F21D4">
        <w:rPr>
          <w:rFonts w:eastAsia="Calibri"/>
          <w:sz w:val="22"/>
          <w:szCs w:val="22"/>
          <w:lang w:val="es-MX" w:eastAsia="en-US"/>
        </w:rPr>
        <w:t>n</w:t>
      </w:r>
      <w:r w:rsidRPr="002F21D4">
        <w:rPr>
          <w:rFonts w:eastAsia="Calibri"/>
          <w:sz w:val="22"/>
          <w:szCs w:val="22"/>
          <w:lang w:val="es-MX" w:eastAsia="en-US"/>
        </w:rPr>
        <w:t>o obstante,</w:t>
      </w:r>
      <w:r w:rsidR="00090A3E" w:rsidRPr="002F21D4">
        <w:rPr>
          <w:rFonts w:eastAsia="Calibri"/>
          <w:sz w:val="22"/>
          <w:szCs w:val="22"/>
          <w:lang w:val="es-MX" w:eastAsia="en-US"/>
        </w:rPr>
        <w:t xml:space="preserve"> estas labores generan tensiones sociales entre las comunidades, la </w:t>
      </w:r>
      <w:r w:rsidR="008C623D" w:rsidRPr="002F21D4">
        <w:rPr>
          <w:rFonts w:eastAsia="Calibri"/>
          <w:sz w:val="22"/>
          <w:szCs w:val="22"/>
          <w:lang w:val="es-MX" w:eastAsia="en-US"/>
        </w:rPr>
        <w:t xml:space="preserve">fuerza pública </w:t>
      </w:r>
      <w:r w:rsidR="00090A3E" w:rsidRPr="002F21D4">
        <w:rPr>
          <w:rFonts w:eastAsia="Calibri"/>
          <w:sz w:val="22"/>
          <w:szCs w:val="22"/>
          <w:lang w:val="es-MX" w:eastAsia="en-US"/>
        </w:rPr>
        <w:t>y las autoridades ambientales, en Caquetá, Meta y Guaviare.</w:t>
      </w:r>
      <w:r w:rsidR="0000187A" w:rsidRPr="002F21D4">
        <w:rPr>
          <w:rFonts w:eastAsia="Calibri"/>
          <w:sz w:val="22"/>
          <w:szCs w:val="22"/>
          <w:lang w:val="es-MX" w:eastAsia="en-US"/>
        </w:rPr>
        <w:t xml:space="preserve"> El principal desafío para recuperar zonas de reserva forestal es la deforestación derivada de la ganadería extensiva</w:t>
      </w:r>
      <w:r w:rsidR="00913F21" w:rsidRPr="002F21D4">
        <w:rPr>
          <w:rFonts w:eastAsia="Calibri"/>
          <w:sz w:val="22"/>
          <w:szCs w:val="22"/>
          <w:lang w:val="es-MX" w:eastAsia="en-US"/>
        </w:rPr>
        <w:t>, la presencia de cultivos ilícitos y la construcción de vías ilegales</w:t>
      </w:r>
      <w:r w:rsidR="0000187A" w:rsidRPr="002F21D4">
        <w:rPr>
          <w:rFonts w:eastAsia="Calibri"/>
          <w:sz w:val="22"/>
          <w:szCs w:val="22"/>
          <w:lang w:val="es-MX" w:eastAsia="en-US"/>
        </w:rPr>
        <w:t xml:space="preserve"> al interior de los PNN.</w:t>
      </w:r>
    </w:p>
    <w:p w14:paraId="7FE0FA55" w14:textId="77777777" w:rsidR="002F21D4" w:rsidRPr="002F21D4" w:rsidRDefault="002F21D4" w:rsidP="00B06FB8">
      <w:pPr>
        <w:snapToGrid w:val="0"/>
        <w:ind w:firstLine="360"/>
        <w:jc w:val="both"/>
        <w:rPr>
          <w:rFonts w:eastAsia="Calibri"/>
          <w:sz w:val="22"/>
          <w:szCs w:val="22"/>
        </w:rPr>
      </w:pPr>
    </w:p>
    <w:p w14:paraId="51CFDC6F" w14:textId="791042D6" w:rsidR="00C37CB3" w:rsidRPr="002F21D4" w:rsidRDefault="00274ABA" w:rsidP="00B06FB8">
      <w:pPr>
        <w:snapToGrid w:val="0"/>
        <w:ind w:firstLine="360"/>
        <w:jc w:val="both"/>
        <w:rPr>
          <w:sz w:val="22"/>
          <w:szCs w:val="22"/>
        </w:rPr>
      </w:pPr>
      <w:r w:rsidRPr="002F21D4">
        <w:rPr>
          <w:rFonts w:eastAsia="Calibri"/>
          <w:sz w:val="22"/>
          <w:szCs w:val="22"/>
        </w:rPr>
        <w:t xml:space="preserve">La </w:t>
      </w:r>
      <w:r w:rsidR="00844832" w:rsidRPr="002F21D4">
        <w:rPr>
          <w:rFonts w:eastAsia="Calibri"/>
          <w:sz w:val="22"/>
          <w:szCs w:val="22"/>
        </w:rPr>
        <w:t xml:space="preserve">fuerza pública </w:t>
      </w:r>
      <w:r w:rsidRPr="002F21D4">
        <w:rPr>
          <w:rFonts w:eastAsia="Calibri"/>
          <w:sz w:val="22"/>
          <w:szCs w:val="22"/>
        </w:rPr>
        <w:t>desarrolló</w:t>
      </w:r>
      <w:r w:rsidR="00090A3E" w:rsidRPr="002F21D4">
        <w:rPr>
          <w:rFonts w:eastAsia="Calibri"/>
          <w:sz w:val="22"/>
          <w:szCs w:val="22"/>
        </w:rPr>
        <w:t xml:space="preserve"> operativos en la región del Bajo Cauca y en Chocó para contrarrestar l</w:t>
      </w:r>
      <w:r w:rsidRPr="002F21D4">
        <w:rPr>
          <w:rFonts w:eastAsia="Calibri"/>
          <w:sz w:val="22"/>
          <w:szCs w:val="22"/>
        </w:rPr>
        <w:t>os daños</w:t>
      </w:r>
      <w:r w:rsidR="00090A3E" w:rsidRPr="002F21D4">
        <w:rPr>
          <w:rFonts w:eastAsia="Calibri"/>
          <w:sz w:val="22"/>
          <w:szCs w:val="22"/>
        </w:rPr>
        <w:t xml:space="preserve"> a las fuentes hídricas ocasionados por la explotación ilícita de yacimientos mineros</w:t>
      </w:r>
      <w:r w:rsidR="00B875F6" w:rsidRPr="002F21D4">
        <w:rPr>
          <w:rStyle w:val="FootnoteReference"/>
          <w:rFonts w:eastAsia="Calibri"/>
          <w:sz w:val="22"/>
          <w:szCs w:val="22"/>
        </w:rPr>
        <w:footnoteReference w:id="121"/>
      </w:r>
      <w:r w:rsidR="00090A3E" w:rsidRPr="002F21D4">
        <w:rPr>
          <w:rFonts w:eastAsia="Calibri"/>
          <w:sz w:val="22"/>
          <w:szCs w:val="22"/>
        </w:rPr>
        <w:t>.</w:t>
      </w:r>
      <w:r w:rsidRPr="002F21D4">
        <w:rPr>
          <w:rFonts w:eastAsia="Calibri"/>
          <w:sz w:val="22"/>
          <w:szCs w:val="22"/>
        </w:rPr>
        <w:t xml:space="preserve"> </w:t>
      </w:r>
      <w:r w:rsidR="00C37CB3" w:rsidRPr="002F21D4">
        <w:rPr>
          <w:sz w:val="22"/>
          <w:szCs w:val="22"/>
        </w:rPr>
        <w:t xml:space="preserve">Sin embargo, persisten desafíos </w:t>
      </w:r>
      <w:r w:rsidR="00FD4074" w:rsidRPr="002F21D4">
        <w:rPr>
          <w:sz w:val="22"/>
          <w:szCs w:val="22"/>
        </w:rPr>
        <w:t>en</w:t>
      </w:r>
      <w:r w:rsidRPr="002F21D4">
        <w:rPr>
          <w:sz w:val="22"/>
          <w:szCs w:val="22"/>
        </w:rPr>
        <w:t xml:space="preserve"> </w:t>
      </w:r>
      <w:r w:rsidR="00C37CB3" w:rsidRPr="002F21D4">
        <w:rPr>
          <w:sz w:val="22"/>
          <w:szCs w:val="22"/>
        </w:rPr>
        <w:t xml:space="preserve">la contaminación </w:t>
      </w:r>
      <w:r w:rsidRPr="002F21D4">
        <w:rPr>
          <w:sz w:val="22"/>
          <w:szCs w:val="22"/>
        </w:rPr>
        <w:t>de los ríos ocasionada</w:t>
      </w:r>
      <w:r w:rsidR="00C37CB3" w:rsidRPr="002F21D4">
        <w:rPr>
          <w:sz w:val="22"/>
          <w:szCs w:val="22"/>
        </w:rPr>
        <w:t xml:space="preserve"> por </w:t>
      </w:r>
      <w:r w:rsidRPr="002F21D4">
        <w:rPr>
          <w:sz w:val="22"/>
          <w:szCs w:val="22"/>
        </w:rPr>
        <w:t>el vertimiento de</w:t>
      </w:r>
      <w:r w:rsidR="00C37CB3" w:rsidRPr="002F21D4">
        <w:rPr>
          <w:sz w:val="22"/>
          <w:szCs w:val="22"/>
        </w:rPr>
        <w:t xml:space="preserve"> </w:t>
      </w:r>
      <w:r w:rsidR="00FD4074" w:rsidRPr="002F21D4">
        <w:rPr>
          <w:sz w:val="22"/>
          <w:szCs w:val="22"/>
        </w:rPr>
        <w:t xml:space="preserve">residuos producto de </w:t>
      </w:r>
      <w:r w:rsidR="00C37CB3" w:rsidRPr="002F21D4">
        <w:rPr>
          <w:sz w:val="22"/>
          <w:szCs w:val="22"/>
        </w:rPr>
        <w:t>la minería ilegal</w:t>
      </w:r>
      <w:r w:rsidRPr="002F21D4">
        <w:rPr>
          <w:sz w:val="22"/>
          <w:szCs w:val="22"/>
        </w:rPr>
        <w:t xml:space="preserve">; situación que </w:t>
      </w:r>
      <w:r w:rsidR="00FD4074" w:rsidRPr="002F21D4">
        <w:rPr>
          <w:sz w:val="22"/>
          <w:szCs w:val="22"/>
        </w:rPr>
        <w:t>continúa</w:t>
      </w:r>
      <w:r w:rsidRPr="002F21D4">
        <w:rPr>
          <w:sz w:val="22"/>
          <w:szCs w:val="22"/>
        </w:rPr>
        <w:t xml:space="preserve"> impactando las actividades </w:t>
      </w:r>
      <w:r w:rsidR="00FD4074" w:rsidRPr="002F21D4">
        <w:rPr>
          <w:sz w:val="22"/>
          <w:szCs w:val="22"/>
        </w:rPr>
        <w:t>s</w:t>
      </w:r>
      <w:r w:rsidRPr="002F21D4">
        <w:rPr>
          <w:sz w:val="22"/>
          <w:szCs w:val="22"/>
        </w:rPr>
        <w:t xml:space="preserve">ocioeconómicas de las comunidades </w:t>
      </w:r>
      <w:r w:rsidR="00FD4074" w:rsidRPr="002F21D4">
        <w:rPr>
          <w:sz w:val="22"/>
          <w:szCs w:val="22"/>
        </w:rPr>
        <w:t xml:space="preserve">ribereñas. </w:t>
      </w:r>
    </w:p>
    <w:p w14:paraId="4C4363A6" w14:textId="77777777" w:rsidR="002F21D4" w:rsidRPr="002F21D4" w:rsidRDefault="002F21D4" w:rsidP="00B06FB8">
      <w:pPr>
        <w:snapToGrid w:val="0"/>
        <w:ind w:firstLine="360"/>
        <w:jc w:val="both"/>
        <w:rPr>
          <w:sz w:val="22"/>
          <w:szCs w:val="22"/>
          <w:lang w:eastAsia="es-CO"/>
        </w:rPr>
      </w:pPr>
    </w:p>
    <w:p w14:paraId="0381465C" w14:textId="74F092F9" w:rsidR="007B65C0" w:rsidRPr="002F21D4" w:rsidRDefault="0000187A" w:rsidP="00B06FB8">
      <w:pPr>
        <w:snapToGrid w:val="0"/>
        <w:ind w:firstLine="360"/>
        <w:jc w:val="both"/>
        <w:rPr>
          <w:sz w:val="22"/>
          <w:szCs w:val="22"/>
          <w:lang w:eastAsia="es-CO"/>
        </w:rPr>
      </w:pPr>
      <w:r w:rsidRPr="002F21D4">
        <w:rPr>
          <w:sz w:val="22"/>
          <w:szCs w:val="22"/>
          <w:lang w:eastAsia="es-CO"/>
        </w:rPr>
        <w:t xml:space="preserve">En </w:t>
      </w:r>
      <w:r w:rsidR="0079794E" w:rsidRPr="002F21D4">
        <w:rPr>
          <w:sz w:val="22"/>
          <w:szCs w:val="22"/>
          <w:lang w:eastAsia="es-CO"/>
        </w:rPr>
        <w:t>42</w:t>
      </w:r>
      <w:r w:rsidRPr="002F21D4">
        <w:rPr>
          <w:sz w:val="22"/>
          <w:szCs w:val="22"/>
          <w:lang w:eastAsia="es-CO"/>
        </w:rPr>
        <w:t xml:space="preserve"> territorios </w:t>
      </w:r>
      <w:proofErr w:type="spellStart"/>
      <w:r w:rsidRPr="002F21D4">
        <w:rPr>
          <w:sz w:val="22"/>
          <w:szCs w:val="22"/>
          <w:lang w:eastAsia="es-CO"/>
        </w:rPr>
        <w:t>PDET</w:t>
      </w:r>
      <w:proofErr w:type="spellEnd"/>
      <w:r w:rsidRPr="002F21D4">
        <w:rPr>
          <w:sz w:val="22"/>
          <w:szCs w:val="22"/>
          <w:vertAlign w:val="superscript"/>
          <w:lang w:eastAsia="es-CO"/>
        </w:rPr>
        <w:footnoteReference w:id="122"/>
      </w:r>
      <w:r w:rsidRPr="002F21D4">
        <w:rPr>
          <w:sz w:val="22"/>
          <w:szCs w:val="22"/>
          <w:lang w:eastAsia="es-CO"/>
        </w:rPr>
        <w:t xml:space="preserve"> fueron formulados </w:t>
      </w:r>
      <w:r w:rsidR="007B65C0" w:rsidRPr="002F21D4">
        <w:rPr>
          <w:sz w:val="22"/>
          <w:szCs w:val="22"/>
          <w:lang w:eastAsia="es-CO"/>
        </w:rPr>
        <w:t xml:space="preserve">los Modelos de Justicia Local y Rural </w:t>
      </w:r>
      <w:r w:rsidRPr="002F21D4">
        <w:rPr>
          <w:sz w:val="22"/>
          <w:szCs w:val="22"/>
          <w:lang w:eastAsia="es-CO"/>
        </w:rPr>
        <w:t>que</w:t>
      </w:r>
      <w:r w:rsidR="007B65C0" w:rsidRPr="002F21D4">
        <w:rPr>
          <w:sz w:val="22"/>
          <w:szCs w:val="22"/>
          <w:lang w:eastAsia="es-CO"/>
        </w:rPr>
        <w:t xml:space="preserve"> permitirán articular y fortalecer el acceso y respuesta de la justicia a nivel territorial; se espera que sea ampliado a 845 municipios del país. Asimismo, </w:t>
      </w:r>
      <w:r w:rsidRPr="002F21D4">
        <w:rPr>
          <w:sz w:val="22"/>
          <w:szCs w:val="22"/>
          <w:lang w:eastAsia="es-CO"/>
        </w:rPr>
        <w:t>el Ministerio de Justicia y del Derecho implementó</w:t>
      </w:r>
      <w:r w:rsidR="007B65C0" w:rsidRPr="002F21D4">
        <w:rPr>
          <w:sz w:val="22"/>
          <w:szCs w:val="22"/>
          <w:lang w:eastAsia="es-CO"/>
        </w:rPr>
        <w:t xml:space="preserve"> acciones </w:t>
      </w:r>
      <w:r w:rsidRPr="002F21D4">
        <w:rPr>
          <w:sz w:val="22"/>
          <w:szCs w:val="22"/>
          <w:lang w:eastAsia="es-CO"/>
        </w:rPr>
        <w:t>para reactivar</w:t>
      </w:r>
      <w:r w:rsidR="007B65C0" w:rsidRPr="002F21D4">
        <w:rPr>
          <w:sz w:val="22"/>
          <w:szCs w:val="22"/>
          <w:lang w:eastAsia="es-CO"/>
        </w:rPr>
        <w:t xml:space="preserve"> la conciliación en equidad, en 16 municipios de los cuales 14</w:t>
      </w:r>
      <w:r w:rsidR="009D52AF" w:rsidRPr="002F21D4">
        <w:rPr>
          <w:sz w:val="22"/>
          <w:szCs w:val="22"/>
          <w:lang w:eastAsia="es-CO"/>
        </w:rPr>
        <w:t xml:space="preserve"> están priorizados por la estrategia</w:t>
      </w:r>
      <w:r w:rsidR="007B65C0" w:rsidRPr="002F21D4">
        <w:rPr>
          <w:sz w:val="22"/>
          <w:szCs w:val="22"/>
          <w:vertAlign w:val="superscript"/>
          <w:lang w:eastAsia="es-CO"/>
        </w:rPr>
        <w:footnoteReference w:id="123"/>
      </w:r>
      <w:r w:rsidR="007B65C0" w:rsidRPr="002F21D4">
        <w:rPr>
          <w:sz w:val="22"/>
          <w:szCs w:val="22"/>
          <w:lang w:eastAsia="es-CO"/>
        </w:rPr>
        <w:t xml:space="preserve">. </w:t>
      </w:r>
      <w:r w:rsidR="009D52AF" w:rsidRPr="002F21D4">
        <w:rPr>
          <w:sz w:val="22"/>
          <w:szCs w:val="22"/>
          <w:lang w:eastAsia="es-CO"/>
        </w:rPr>
        <w:t>Dentro del mismo proceso, culminó</w:t>
      </w:r>
      <w:r w:rsidR="007B65C0" w:rsidRPr="002F21D4">
        <w:rPr>
          <w:sz w:val="22"/>
          <w:szCs w:val="22"/>
          <w:lang w:eastAsia="es-CO"/>
        </w:rPr>
        <w:t xml:space="preserve"> con la ejecución de las dos primeras fases</w:t>
      </w:r>
      <w:r w:rsidRPr="002F21D4">
        <w:rPr>
          <w:sz w:val="22"/>
          <w:szCs w:val="22"/>
          <w:lang w:eastAsia="es-CO"/>
        </w:rPr>
        <w:t xml:space="preserve"> (de cuatro)</w:t>
      </w:r>
      <w:r w:rsidR="007B65C0" w:rsidRPr="002F21D4">
        <w:rPr>
          <w:sz w:val="22"/>
          <w:szCs w:val="22"/>
          <w:lang w:eastAsia="es-CO"/>
        </w:rPr>
        <w:t xml:space="preserve"> correspondientes al diagnóstico de conflictividades</w:t>
      </w:r>
      <w:r w:rsidR="009D52AF" w:rsidRPr="002F21D4">
        <w:rPr>
          <w:sz w:val="22"/>
          <w:szCs w:val="22"/>
          <w:lang w:eastAsia="es-CO"/>
        </w:rPr>
        <w:t>;</w:t>
      </w:r>
      <w:r w:rsidR="007B65C0" w:rsidRPr="002F21D4">
        <w:rPr>
          <w:sz w:val="22"/>
          <w:szCs w:val="22"/>
          <w:lang w:eastAsia="es-CO"/>
        </w:rPr>
        <w:t xml:space="preserve"> y la sensibilización, articulación y postulación de los conciliadores</w:t>
      </w:r>
      <w:r w:rsidR="006926C0" w:rsidRPr="002F21D4">
        <w:rPr>
          <w:sz w:val="22"/>
          <w:szCs w:val="22"/>
          <w:lang w:eastAsia="es-CO"/>
        </w:rPr>
        <w:t>.</w:t>
      </w:r>
    </w:p>
    <w:p w14:paraId="12C10352" w14:textId="77777777" w:rsidR="002F21D4" w:rsidRPr="002F21D4" w:rsidRDefault="002F21D4" w:rsidP="00B06FB8">
      <w:pPr>
        <w:snapToGrid w:val="0"/>
        <w:ind w:firstLine="360"/>
        <w:jc w:val="both"/>
        <w:rPr>
          <w:sz w:val="22"/>
          <w:szCs w:val="22"/>
          <w:lang w:eastAsia="es-CO"/>
        </w:rPr>
      </w:pPr>
    </w:p>
    <w:p w14:paraId="1174EF3F" w14:textId="5052C79F" w:rsidR="007B65C0" w:rsidRPr="002F21D4" w:rsidRDefault="007B65C0" w:rsidP="00B06FB8">
      <w:pPr>
        <w:snapToGrid w:val="0"/>
        <w:ind w:firstLine="360"/>
        <w:jc w:val="both"/>
        <w:rPr>
          <w:sz w:val="22"/>
          <w:szCs w:val="22"/>
          <w:lang w:eastAsia="es-CO"/>
        </w:rPr>
      </w:pPr>
      <w:r w:rsidRPr="002F21D4">
        <w:rPr>
          <w:sz w:val="22"/>
          <w:szCs w:val="22"/>
          <w:lang w:eastAsia="es-CO"/>
        </w:rPr>
        <w:t>La asignación de recursos técnicos y financieros del componente de aceleración PDET ha generado resultados iniciales como la puesta en marcha de Oficinas Municipales de Tierras, la formalización de Entidades de Derecho Público donde se prestan bienes y servicios, la actualización de herramientas de ordenamiento territorial, catastro multipropósito y otras iniciativas contempladas en el pilar 1</w:t>
      </w:r>
      <w:r w:rsidR="00667B31" w:rsidRPr="002F21D4">
        <w:rPr>
          <w:sz w:val="22"/>
          <w:szCs w:val="22"/>
          <w:lang w:eastAsia="es-CO"/>
        </w:rPr>
        <w:t xml:space="preserve"> sobre Reforma Rural Integral</w:t>
      </w:r>
      <w:r w:rsidRPr="002F21D4">
        <w:rPr>
          <w:sz w:val="22"/>
          <w:szCs w:val="22"/>
          <w:lang w:eastAsia="es-CO"/>
        </w:rPr>
        <w:t>.</w:t>
      </w:r>
    </w:p>
    <w:p w14:paraId="763F855B" w14:textId="553510E8" w:rsidR="004B5DB0" w:rsidRPr="002F21D4" w:rsidRDefault="009D52AF" w:rsidP="00B06FB8">
      <w:pPr>
        <w:snapToGrid w:val="0"/>
        <w:ind w:firstLine="360"/>
        <w:jc w:val="both"/>
        <w:rPr>
          <w:sz w:val="22"/>
          <w:szCs w:val="22"/>
          <w:lang w:eastAsia="es-CO"/>
        </w:rPr>
      </w:pPr>
      <w:r w:rsidRPr="002F21D4">
        <w:rPr>
          <w:sz w:val="22"/>
          <w:szCs w:val="22"/>
          <w:lang w:eastAsia="es-CO"/>
        </w:rPr>
        <w:lastRenderedPageBreak/>
        <w:t>P</w:t>
      </w:r>
      <w:r w:rsidR="007B65C0" w:rsidRPr="002F21D4">
        <w:rPr>
          <w:sz w:val="22"/>
          <w:szCs w:val="22"/>
          <w:lang w:eastAsia="es-CO"/>
        </w:rPr>
        <w:t xml:space="preserve">ersisten </w:t>
      </w:r>
      <w:r w:rsidR="007B65C0" w:rsidRPr="002F21D4">
        <w:rPr>
          <w:rFonts w:eastAsia="Calibri"/>
          <w:sz w:val="22"/>
          <w:szCs w:val="22"/>
          <w:lang w:val="es-MX" w:eastAsia="en-US"/>
        </w:rPr>
        <w:t>algunos</w:t>
      </w:r>
      <w:r w:rsidR="00E02A03" w:rsidRPr="002F21D4">
        <w:rPr>
          <w:rFonts w:eastAsia="Calibri"/>
          <w:sz w:val="22"/>
          <w:szCs w:val="22"/>
          <w:lang w:val="es-MX" w:eastAsia="en-US"/>
        </w:rPr>
        <w:t xml:space="preserve"> retos</w:t>
      </w:r>
      <w:r w:rsidR="007B65C0" w:rsidRPr="002F21D4">
        <w:rPr>
          <w:rFonts w:eastAsia="Calibri"/>
          <w:sz w:val="22"/>
          <w:szCs w:val="22"/>
          <w:lang w:val="es-MX" w:eastAsia="en-US"/>
        </w:rPr>
        <w:t xml:space="preserve"> </w:t>
      </w:r>
      <w:r w:rsidR="00E02A03" w:rsidRPr="002F21D4">
        <w:rPr>
          <w:rFonts w:eastAsia="Calibri"/>
          <w:sz w:val="22"/>
          <w:szCs w:val="22"/>
          <w:lang w:val="es-MX" w:eastAsia="en-US"/>
        </w:rPr>
        <w:t xml:space="preserve">en la implementación de la estrategia </w:t>
      </w:r>
      <w:r w:rsidR="007B65C0" w:rsidRPr="002F21D4">
        <w:rPr>
          <w:rFonts w:eastAsia="Calibri"/>
          <w:sz w:val="22"/>
          <w:szCs w:val="22"/>
          <w:lang w:val="es-MX" w:eastAsia="en-US"/>
        </w:rPr>
        <w:t xml:space="preserve">en </w:t>
      </w:r>
      <w:r w:rsidR="00E02A03" w:rsidRPr="002F21D4">
        <w:rPr>
          <w:rFonts w:eastAsia="Calibri"/>
          <w:sz w:val="22"/>
          <w:szCs w:val="22"/>
          <w:lang w:val="es-MX" w:eastAsia="en-US"/>
        </w:rPr>
        <w:t xml:space="preserve">los </w:t>
      </w:r>
      <w:r w:rsidR="007B65C0" w:rsidRPr="002F21D4">
        <w:rPr>
          <w:rFonts w:eastAsia="Calibri"/>
          <w:sz w:val="22"/>
          <w:szCs w:val="22"/>
          <w:lang w:val="es-MX" w:eastAsia="en-US"/>
        </w:rPr>
        <w:t>territorio</w:t>
      </w:r>
      <w:r w:rsidR="00E02A03" w:rsidRPr="002F21D4">
        <w:rPr>
          <w:rFonts w:eastAsia="Calibri"/>
          <w:sz w:val="22"/>
          <w:szCs w:val="22"/>
          <w:lang w:val="es-MX" w:eastAsia="en-US"/>
        </w:rPr>
        <w:t>s</w:t>
      </w:r>
      <w:r w:rsidR="00E4465F" w:rsidRPr="002F21D4">
        <w:rPr>
          <w:rFonts w:eastAsia="Calibri"/>
          <w:sz w:val="22"/>
          <w:szCs w:val="22"/>
          <w:lang w:val="es-MX" w:eastAsia="en-US"/>
        </w:rPr>
        <w:t>, como</w:t>
      </w:r>
      <w:r w:rsidR="007B65C0" w:rsidRPr="002F21D4">
        <w:rPr>
          <w:sz w:val="22"/>
          <w:szCs w:val="22"/>
          <w:lang w:eastAsia="es-CO"/>
        </w:rPr>
        <w:t xml:space="preserve"> la necesidad de fortalecer los mecanismos </w:t>
      </w:r>
      <w:r w:rsidR="00E02A03" w:rsidRPr="002F21D4">
        <w:rPr>
          <w:sz w:val="22"/>
          <w:szCs w:val="22"/>
          <w:lang w:eastAsia="es-CO"/>
        </w:rPr>
        <w:t>de</w:t>
      </w:r>
      <w:r w:rsidR="007B65C0" w:rsidRPr="002F21D4">
        <w:rPr>
          <w:sz w:val="22"/>
          <w:szCs w:val="22"/>
          <w:lang w:eastAsia="es-CO"/>
        </w:rPr>
        <w:t xml:space="preserve"> participación de las comunidades</w:t>
      </w:r>
      <w:r w:rsidR="00B27697" w:rsidRPr="002F21D4">
        <w:rPr>
          <w:rFonts w:eastAsia="Calibri"/>
          <w:sz w:val="22"/>
          <w:szCs w:val="22"/>
          <w:lang w:eastAsia="en-US"/>
        </w:rPr>
        <w:t xml:space="preserve">; superar </w:t>
      </w:r>
      <w:r w:rsidR="00E02A03" w:rsidRPr="002F21D4">
        <w:rPr>
          <w:rFonts w:eastAsia="Calibri"/>
          <w:sz w:val="22"/>
          <w:szCs w:val="22"/>
          <w:lang w:val="es-MX" w:eastAsia="en-US"/>
        </w:rPr>
        <w:t xml:space="preserve">la percepción </w:t>
      </w:r>
      <w:r w:rsidR="00B27697" w:rsidRPr="002F21D4">
        <w:rPr>
          <w:rFonts w:eastAsia="Calibri"/>
          <w:sz w:val="22"/>
          <w:szCs w:val="22"/>
          <w:lang w:val="es-MX" w:eastAsia="en-US"/>
        </w:rPr>
        <w:t xml:space="preserve">de </w:t>
      </w:r>
      <w:r w:rsidR="007B65C0" w:rsidRPr="002F21D4">
        <w:rPr>
          <w:rFonts w:eastAsia="Calibri"/>
          <w:sz w:val="22"/>
          <w:szCs w:val="22"/>
          <w:lang w:val="es-MX" w:eastAsia="en-US"/>
        </w:rPr>
        <w:t xml:space="preserve">militarización </w:t>
      </w:r>
      <w:r w:rsidR="00B27697" w:rsidRPr="002F21D4">
        <w:rPr>
          <w:rFonts w:eastAsia="Calibri"/>
          <w:sz w:val="22"/>
          <w:szCs w:val="22"/>
          <w:lang w:val="es-MX" w:eastAsia="en-US"/>
        </w:rPr>
        <w:t>que se mantiene;</w:t>
      </w:r>
      <w:r w:rsidR="0078159F" w:rsidRPr="002F21D4">
        <w:rPr>
          <w:rFonts w:eastAsia="Calibri"/>
          <w:sz w:val="22"/>
          <w:szCs w:val="22"/>
          <w:lang w:val="es-MX" w:eastAsia="en-US"/>
        </w:rPr>
        <w:t xml:space="preserve"> </w:t>
      </w:r>
      <w:r w:rsidR="00B27697" w:rsidRPr="002F21D4">
        <w:rPr>
          <w:rFonts w:eastAsia="Calibri"/>
          <w:sz w:val="22"/>
          <w:szCs w:val="22"/>
          <w:lang w:val="es-MX" w:eastAsia="en-US"/>
        </w:rPr>
        <w:t xml:space="preserve">mitigar </w:t>
      </w:r>
      <w:r w:rsidR="007B65C0" w:rsidRPr="002F21D4">
        <w:rPr>
          <w:rFonts w:eastAsia="Calibri"/>
          <w:sz w:val="22"/>
          <w:szCs w:val="22"/>
          <w:lang w:val="es-MX" w:eastAsia="en-US"/>
        </w:rPr>
        <w:t>las acciones violentas de los</w:t>
      </w:r>
      <w:r w:rsidR="00B27697" w:rsidRPr="002F21D4">
        <w:rPr>
          <w:rFonts w:eastAsia="Calibri"/>
          <w:sz w:val="22"/>
          <w:szCs w:val="22"/>
          <w:lang w:val="es-MX" w:eastAsia="en-US"/>
        </w:rPr>
        <w:t xml:space="preserve"> </w:t>
      </w:r>
      <w:r w:rsidR="007B65C0" w:rsidRPr="002F21D4">
        <w:rPr>
          <w:rFonts w:eastAsia="Calibri"/>
          <w:sz w:val="22"/>
          <w:szCs w:val="22"/>
          <w:lang w:val="es-MX" w:eastAsia="en-US"/>
        </w:rPr>
        <w:t>GAI</w:t>
      </w:r>
      <w:r w:rsidR="007B65C0" w:rsidRPr="002F21D4">
        <w:rPr>
          <w:rFonts w:eastAsia="Calibri"/>
          <w:sz w:val="22"/>
          <w:szCs w:val="22"/>
          <w:vertAlign w:val="superscript"/>
          <w:lang w:val="es-MX" w:eastAsia="en-US"/>
        </w:rPr>
        <w:footnoteReference w:id="124"/>
      </w:r>
      <w:r w:rsidR="00230981" w:rsidRPr="002F21D4">
        <w:rPr>
          <w:rFonts w:eastAsia="Calibri"/>
          <w:sz w:val="22"/>
          <w:szCs w:val="22"/>
          <w:lang w:val="es-MX" w:eastAsia="en-US"/>
        </w:rPr>
        <w:t xml:space="preserve">; y aumentar la presencia de </w:t>
      </w:r>
      <w:r w:rsidR="00230981" w:rsidRPr="002F21D4">
        <w:rPr>
          <w:sz w:val="22"/>
          <w:szCs w:val="22"/>
          <w:lang w:eastAsia="es-CO"/>
        </w:rPr>
        <w:t xml:space="preserve">personal </w:t>
      </w:r>
      <w:r w:rsidR="002059A9" w:rsidRPr="002F21D4">
        <w:rPr>
          <w:sz w:val="22"/>
          <w:szCs w:val="22"/>
          <w:lang w:eastAsia="es-CO"/>
        </w:rPr>
        <w:t xml:space="preserve">del Cuerpo Técnico de Investigaciones </w:t>
      </w:r>
      <w:r w:rsidR="00230981" w:rsidRPr="002F21D4">
        <w:rPr>
          <w:sz w:val="22"/>
          <w:szCs w:val="22"/>
          <w:lang w:eastAsia="es-CO"/>
        </w:rPr>
        <w:t xml:space="preserve">y </w:t>
      </w:r>
      <w:r w:rsidR="002059A9" w:rsidRPr="002F21D4">
        <w:rPr>
          <w:sz w:val="22"/>
          <w:szCs w:val="22"/>
          <w:lang w:eastAsia="es-CO"/>
        </w:rPr>
        <w:t xml:space="preserve">la Seccional de Investigación Criminal </w:t>
      </w:r>
      <w:r w:rsidR="00230981" w:rsidRPr="002F21D4">
        <w:rPr>
          <w:rFonts w:eastAsia="Calibri"/>
          <w:sz w:val="22"/>
          <w:szCs w:val="22"/>
          <w:lang w:val="es-MX" w:eastAsia="en-US"/>
        </w:rPr>
        <w:t>para a</w:t>
      </w:r>
      <w:r w:rsidR="00B27697" w:rsidRPr="002F21D4">
        <w:rPr>
          <w:rFonts w:eastAsia="Calibri"/>
          <w:sz w:val="22"/>
          <w:szCs w:val="22"/>
          <w:lang w:val="es-MX" w:eastAsia="en-US"/>
        </w:rPr>
        <w:t xml:space="preserve">vanzar en </w:t>
      </w:r>
      <w:r w:rsidR="00230981" w:rsidRPr="002F21D4">
        <w:rPr>
          <w:rFonts w:eastAsia="Calibri"/>
          <w:sz w:val="22"/>
          <w:szCs w:val="22"/>
          <w:lang w:val="es-MX" w:eastAsia="en-US"/>
        </w:rPr>
        <w:t>el</w:t>
      </w:r>
      <w:r w:rsidR="00B27697" w:rsidRPr="002F21D4">
        <w:rPr>
          <w:rFonts w:eastAsia="Calibri"/>
          <w:sz w:val="22"/>
          <w:szCs w:val="22"/>
          <w:lang w:val="es-MX" w:eastAsia="en-US"/>
        </w:rPr>
        <w:t xml:space="preserve"> fortalecimiento de la investigación </w:t>
      </w:r>
      <w:r w:rsidR="00230981" w:rsidRPr="002F21D4">
        <w:rPr>
          <w:rFonts w:eastAsia="Calibri"/>
          <w:sz w:val="22"/>
          <w:szCs w:val="22"/>
          <w:lang w:val="es-MX" w:eastAsia="en-US"/>
        </w:rPr>
        <w:t xml:space="preserve">y </w:t>
      </w:r>
      <w:r w:rsidR="00B27697" w:rsidRPr="002F21D4">
        <w:rPr>
          <w:rFonts w:eastAsia="Calibri"/>
          <w:sz w:val="22"/>
          <w:szCs w:val="22"/>
          <w:lang w:val="es-MX" w:eastAsia="en-US"/>
        </w:rPr>
        <w:t>judicial</w:t>
      </w:r>
      <w:r w:rsidR="00230981" w:rsidRPr="002F21D4">
        <w:rPr>
          <w:rFonts w:eastAsia="Calibri"/>
          <w:sz w:val="22"/>
          <w:szCs w:val="22"/>
          <w:lang w:val="es-MX" w:eastAsia="en-US"/>
        </w:rPr>
        <w:t>ización</w:t>
      </w:r>
      <w:r w:rsidR="004B5DB0" w:rsidRPr="002F21D4">
        <w:rPr>
          <w:rStyle w:val="FootnoteReference"/>
          <w:rFonts w:eastAsia="Calibri"/>
          <w:sz w:val="22"/>
          <w:szCs w:val="22"/>
          <w:lang w:val="es-MX" w:eastAsia="en-US"/>
        </w:rPr>
        <w:footnoteReference w:id="125"/>
      </w:r>
      <w:r w:rsidR="00230981" w:rsidRPr="002F21D4">
        <w:rPr>
          <w:rFonts w:eastAsia="Calibri"/>
          <w:sz w:val="22"/>
          <w:szCs w:val="22"/>
          <w:lang w:val="es-MX" w:eastAsia="en-US"/>
        </w:rPr>
        <w:t>,</w:t>
      </w:r>
      <w:r w:rsidR="004B5DB0" w:rsidRPr="002F21D4">
        <w:rPr>
          <w:sz w:val="22"/>
          <w:szCs w:val="22"/>
          <w:lang w:eastAsia="es-CO"/>
        </w:rPr>
        <w:t xml:space="preserve"> </w:t>
      </w:r>
      <w:r w:rsidR="00230981" w:rsidRPr="002F21D4">
        <w:rPr>
          <w:sz w:val="22"/>
          <w:szCs w:val="22"/>
          <w:lang w:eastAsia="es-CO"/>
        </w:rPr>
        <w:t xml:space="preserve">en el marco de las acciones para el </w:t>
      </w:r>
      <w:r w:rsidR="004B5DB0" w:rsidRPr="002F21D4">
        <w:rPr>
          <w:sz w:val="22"/>
          <w:szCs w:val="22"/>
          <w:lang w:eastAsia="es-CO"/>
        </w:rPr>
        <w:t xml:space="preserve">desmantelamiento de organizaciones criminales. </w:t>
      </w:r>
    </w:p>
    <w:p w14:paraId="6FD68233" w14:textId="134DCA47" w:rsidR="00013077" w:rsidRPr="002F21D4" w:rsidRDefault="00013077" w:rsidP="00B06FB8">
      <w:pPr>
        <w:snapToGrid w:val="0"/>
        <w:ind w:firstLine="360"/>
        <w:jc w:val="both"/>
        <w:rPr>
          <w:sz w:val="22"/>
          <w:szCs w:val="22"/>
          <w:lang w:eastAsia="es-CO"/>
        </w:rPr>
      </w:pPr>
    </w:p>
    <w:p w14:paraId="52CEDBA9" w14:textId="77777777" w:rsidR="00D12F99" w:rsidRPr="002F21D4" w:rsidRDefault="00D12F99" w:rsidP="00B06FB8">
      <w:pPr>
        <w:pStyle w:val="ListParagraph"/>
        <w:numPr>
          <w:ilvl w:val="0"/>
          <w:numId w:val="9"/>
        </w:numPr>
        <w:autoSpaceDE w:val="0"/>
        <w:autoSpaceDN w:val="0"/>
        <w:adjustRightInd w:val="0"/>
        <w:snapToGrid w:val="0"/>
        <w:spacing w:after="0" w:line="240" w:lineRule="auto"/>
        <w:ind w:left="714" w:hanging="357"/>
        <w:contextualSpacing w:val="0"/>
        <w:jc w:val="both"/>
        <w:rPr>
          <w:rFonts w:ascii="Times New Roman" w:hAnsi="Times New Roman" w:cs="Times New Roman"/>
          <w:b/>
          <w:vanish/>
          <w:color w:val="000000"/>
        </w:rPr>
      </w:pPr>
    </w:p>
    <w:p w14:paraId="4459345B" w14:textId="77777777" w:rsidR="00D12F99" w:rsidRPr="002F21D4" w:rsidRDefault="00D12F99" w:rsidP="00B06FB8">
      <w:pPr>
        <w:pStyle w:val="ListParagraph"/>
        <w:numPr>
          <w:ilvl w:val="0"/>
          <w:numId w:val="9"/>
        </w:numPr>
        <w:autoSpaceDE w:val="0"/>
        <w:autoSpaceDN w:val="0"/>
        <w:adjustRightInd w:val="0"/>
        <w:snapToGrid w:val="0"/>
        <w:spacing w:after="0" w:line="240" w:lineRule="auto"/>
        <w:ind w:left="714" w:hanging="357"/>
        <w:contextualSpacing w:val="0"/>
        <w:jc w:val="both"/>
        <w:rPr>
          <w:rFonts w:ascii="Times New Roman" w:hAnsi="Times New Roman" w:cs="Times New Roman"/>
          <w:b/>
          <w:vanish/>
          <w:color w:val="000000"/>
        </w:rPr>
      </w:pPr>
    </w:p>
    <w:p w14:paraId="341A03ED" w14:textId="77777777" w:rsidR="00D12F99" w:rsidRPr="002F21D4" w:rsidRDefault="00D12F99" w:rsidP="00B06FB8">
      <w:pPr>
        <w:pStyle w:val="ListParagraph"/>
        <w:numPr>
          <w:ilvl w:val="0"/>
          <w:numId w:val="9"/>
        </w:numPr>
        <w:autoSpaceDE w:val="0"/>
        <w:autoSpaceDN w:val="0"/>
        <w:adjustRightInd w:val="0"/>
        <w:snapToGrid w:val="0"/>
        <w:spacing w:after="0" w:line="240" w:lineRule="auto"/>
        <w:ind w:left="714" w:hanging="357"/>
        <w:contextualSpacing w:val="0"/>
        <w:jc w:val="both"/>
        <w:rPr>
          <w:rFonts w:ascii="Times New Roman" w:hAnsi="Times New Roman" w:cs="Times New Roman"/>
          <w:b/>
          <w:vanish/>
          <w:color w:val="000000"/>
        </w:rPr>
      </w:pPr>
    </w:p>
    <w:p w14:paraId="00CFA869" w14:textId="77777777" w:rsidR="00D12F99" w:rsidRPr="002F21D4" w:rsidRDefault="00D12F99" w:rsidP="00B06FB8">
      <w:pPr>
        <w:pStyle w:val="ListParagraph"/>
        <w:numPr>
          <w:ilvl w:val="0"/>
          <w:numId w:val="9"/>
        </w:numPr>
        <w:autoSpaceDE w:val="0"/>
        <w:autoSpaceDN w:val="0"/>
        <w:adjustRightInd w:val="0"/>
        <w:snapToGrid w:val="0"/>
        <w:spacing w:after="0" w:line="240" w:lineRule="auto"/>
        <w:ind w:left="714" w:hanging="357"/>
        <w:contextualSpacing w:val="0"/>
        <w:jc w:val="both"/>
        <w:rPr>
          <w:rFonts w:ascii="Times New Roman" w:hAnsi="Times New Roman" w:cs="Times New Roman"/>
          <w:b/>
          <w:vanish/>
          <w:color w:val="000000"/>
        </w:rPr>
      </w:pPr>
    </w:p>
    <w:p w14:paraId="76454919" w14:textId="77777777" w:rsidR="00D12F99" w:rsidRPr="002F21D4" w:rsidRDefault="00D12F99" w:rsidP="00B06FB8">
      <w:pPr>
        <w:pStyle w:val="ListParagraph"/>
        <w:numPr>
          <w:ilvl w:val="0"/>
          <w:numId w:val="9"/>
        </w:numPr>
        <w:autoSpaceDE w:val="0"/>
        <w:autoSpaceDN w:val="0"/>
        <w:adjustRightInd w:val="0"/>
        <w:snapToGrid w:val="0"/>
        <w:spacing w:after="0" w:line="240" w:lineRule="auto"/>
        <w:ind w:left="714" w:hanging="357"/>
        <w:contextualSpacing w:val="0"/>
        <w:jc w:val="both"/>
        <w:rPr>
          <w:rFonts w:ascii="Times New Roman" w:hAnsi="Times New Roman" w:cs="Times New Roman"/>
          <w:b/>
          <w:vanish/>
          <w:color w:val="000000"/>
        </w:rPr>
      </w:pPr>
    </w:p>
    <w:p w14:paraId="63DB9868" w14:textId="77777777" w:rsidR="00D12F99" w:rsidRPr="002F21D4" w:rsidRDefault="00D12F99" w:rsidP="00B06FB8">
      <w:pPr>
        <w:pStyle w:val="ListParagraph"/>
        <w:numPr>
          <w:ilvl w:val="0"/>
          <w:numId w:val="9"/>
        </w:numPr>
        <w:autoSpaceDE w:val="0"/>
        <w:autoSpaceDN w:val="0"/>
        <w:adjustRightInd w:val="0"/>
        <w:snapToGrid w:val="0"/>
        <w:spacing w:after="0" w:line="240" w:lineRule="auto"/>
        <w:ind w:left="714" w:hanging="357"/>
        <w:contextualSpacing w:val="0"/>
        <w:jc w:val="both"/>
        <w:rPr>
          <w:rFonts w:ascii="Times New Roman" w:hAnsi="Times New Roman" w:cs="Times New Roman"/>
          <w:b/>
          <w:vanish/>
          <w:color w:val="000000"/>
        </w:rPr>
      </w:pPr>
    </w:p>
    <w:p w14:paraId="20AE1E3C" w14:textId="6F7C4B06" w:rsidR="00E10EAF" w:rsidRPr="002F21D4" w:rsidRDefault="00F6209A" w:rsidP="002E06D9">
      <w:pPr>
        <w:pStyle w:val="ListParagraph"/>
        <w:numPr>
          <w:ilvl w:val="0"/>
          <w:numId w:val="1"/>
        </w:numPr>
        <w:snapToGrid w:val="0"/>
        <w:spacing w:after="0" w:line="240" w:lineRule="auto"/>
        <w:contextualSpacing w:val="0"/>
        <w:jc w:val="both"/>
        <w:rPr>
          <w:rFonts w:ascii="Times New Roman" w:hAnsi="Times New Roman" w:cs="Times New Roman"/>
          <w:b/>
        </w:rPr>
      </w:pPr>
      <w:r w:rsidRPr="002E06D9">
        <w:rPr>
          <w:rFonts w:ascii="Times New Roman" w:hAnsi="Times New Roman" w:cs="Times New Roman"/>
          <w:b/>
          <w:bCs/>
        </w:rPr>
        <w:t>LIDERAZGO</w:t>
      </w:r>
      <w:r w:rsidRPr="002F21D4">
        <w:rPr>
          <w:rFonts w:ascii="Times New Roman" w:hAnsi="Times New Roman" w:cs="Times New Roman"/>
          <w:b/>
        </w:rPr>
        <w:t xml:space="preserve"> DE LAS MUJERES EN LA AGENDA DE GÉNERO Y PAZ</w:t>
      </w:r>
    </w:p>
    <w:p w14:paraId="1D1C9628" w14:textId="77777777" w:rsidR="002F21D4" w:rsidRPr="002F21D4" w:rsidRDefault="002F21D4" w:rsidP="00B06FB8">
      <w:pPr>
        <w:snapToGrid w:val="0"/>
        <w:ind w:firstLine="357"/>
        <w:jc w:val="both"/>
        <w:rPr>
          <w:sz w:val="22"/>
          <w:szCs w:val="22"/>
          <w:lang w:val="es-ES"/>
        </w:rPr>
      </w:pPr>
    </w:p>
    <w:p w14:paraId="52CAA9C7" w14:textId="11A90B20" w:rsidR="00E10EAF" w:rsidRPr="002F21D4" w:rsidRDefault="008369AD" w:rsidP="00B06FB8">
      <w:pPr>
        <w:snapToGrid w:val="0"/>
        <w:ind w:firstLine="357"/>
        <w:jc w:val="both"/>
        <w:rPr>
          <w:sz w:val="22"/>
          <w:szCs w:val="22"/>
          <w:lang w:val="es-ES"/>
        </w:rPr>
      </w:pPr>
      <w:r w:rsidRPr="002F21D4">
        <w:rPr>
          <w:sz w:val="22"/>
          <w:szCs w:val="22"/>
          <w:lang w:val="es-ES"/>
        </w:rPr>
        <w:t>L</w:t>
      </w:r>
      <w:r w:rsidR="001630F4" w:rsidRPr="002F21D4">
        <w:rPr>
          <w:sz w:val="22"/>
          <w:szCs w:val="22"/>
          <w:lang w:val="es-ES"/>
        </w:rPr>
        <w:t>os gobiernos nacional, departamental y municipal</w:t>
      </w:r>
      <w:r w:rsidR="00E10EAF" w:rsidRPr="002F21D4">
        <w:rPr>
          <w:sz w:val="22"/>
          <w:szCs w:val="22"/>
          <w:lang w:val="es-ES"/>
        </w:rPr>
        <w:t xml:space="preserve"> impuls</w:t>
      </w:r>
      <w:r w:rsidR="001630F4" w:rsidRPr="002F21D4">
        <w:rPr>
          <w:sz w:val="22"/>
          <w:szCs w:val="22"/>
          <w:lang w:val="es-ES"/>
        </w:rPr>
        <w:t>aron</w:t>
      </w:r>
      <w:r w:rsidR="00E10EAF" w:rsidRPr="002F21D4">
        <w:rPr>
          <w:sz w:val="22"/>
          <w:szCs w:val="22"/>
          <w:lang w:val="es-ES"/>
        </w:rPr>
        <w:t xml:space="preserve"> acci</w:t>
      </w:r>
      <w:r w:rsidR="001630F4" w:rsidRPr="002F21D4">
        <w:rPr>
          <w:sz w:val="22"/>
          <w:szCs w:val="22"/>
          <w:lang w:val="es-ES"/>
        </w:rPr>
        <w:t>ones</w:t>
      </w:r>
      <w:r w:rsidR="00E10EAF" w:rsidRPr="002F21D4">
        <w:rPr>
          <w:sz w:val="22"/>
          <w:szCs w:val="22"/>
          <w:lang w:val="es-ES"/>
        </w:rPr>
        <w:t xml:space="preserve"> para estructurar y reactivar las Políticas Públicas de Mujeres y Género en algunas de las zonas de mayor conflictividad en el país</w:t>
      </w:r>
      <w:r w:rsidR="00E10EAF" w:rsidRPr="002F21D4">
        <w:rPr>
          <w:rStyle w:val="FootnoteReference"/>
          <w:sz w:val="22"/>
          <w:szCs w:val="22"/>
          <w:lang w:val="es-ES"/>
        </w:rPr>
        <w:footnoteReference w:id="126"/>
      </w:r>
      <w:r w:rsidR="00E10EAF" w:rsidRPr="002F21D4">
        <w:rPr>
          <w:sz w:val="22"/>
          <w:szCs w:val="22"/>
          <w:lang w:val="es-ES"/>
        </w:rPr>
        <w:t>.</w:t>
      </w:r>
      <w:r w:rsidR="00E367E1" w:rsidRPr="002F21D4">
        <w:rPr>
          <w:sz w:val="22"/>
          <w:szCs w:val="22"/>
          <w:lang w:val="es-ES"/>
        </w:rPr>
        <w:t xml:space="preserve"> </w:t>
      </w:r>
      <w:r w:rsidR="00E10EAF" w:rsidRPr="002F21D4">
        <w:rPr>
          <w:sz w:val="22"/>
          <w:szCs w:val="22"/>
          <w:lang w:val="es-ES"/>
        </w:rPr>
        <w:t xml:space="preserve">Asimismo, el PDET </w:t>
      </w:r>
      <w:r w:rsidR="00A72934" w:rsidRPr="002F21D4">
        <w:rPr>
          <w:sz w:val="22"/>
          <w:szCs w:val="22"/>
          <w:lang w:val="es-ES"/>
        </w:rPr>
        <w:t>apoyó esta reactivación</w:t>
      </w:r>
      <w:r w:rsidR="00E10EAF" w:rsidRPr="002F21D4">
        <w:rPr>
          <w:sz w:val="22"/>
          <w:szCs w:val="22"/>
          <w:lang w:val="es-ES"/>
        </w:rPr>
        <w:t xml:space="preserve"> en algunas regiones, especialmente a través de las iniciativas asociadas con las Casas de las Mujeres, los Consejos Consultivos de Mujeres, las estrategias de prevención, atención y sanción de las VBG, entre otras. </w:t>
      </w:r>
    </w:p>
    <w:p w14:paraId="17FD8832" w14:textId="77777777" w:rsidR="002F21D4" w:rsidRPr="002F21D4" w:rsidRDefault="002F21D4" w:rsidP="00B06FB8">
      <w:pPr>
        <w:snapToGrid w:val="0"/>
        <w:ind w:firstLine="357"/>
        <w:jc w:val="both"/>
        <w:rPr>
          <w:sz w:val="22"/>
          <w:szCs w:val="22"/>
          <w:lang w:val="es-ES"/>
        </w:rPr>
      </w:pPr>
    </w:p>
    <w:p w14:paraId="01B620EE" w14:textId="6CB9339A" w:rsidR="00A344CB" w:rsidRPr="002F21D4" w:rsidRDefault="005F49C8" w:rsidP="00B06FB8">
      <w:pPr>
        <w:snapToGrid w:val="0"/>
        <w:ind w:firstLine="357"/>
        <w:jc w:val="both"/>
        <w:rPr>
          <w:sz w:val="22"/>
          <w:szCs w:val="22"/>
          <w:lang w:val="es-ES"/>
        </w:rPr>
      </w:pPr>
      <w:r w:rsidRPr="002F21D4">
        <w:rPr>
          <w:sz w:val="22"/>
          <w:szCs w:val="22"/>
          <w:lang w:val="es-ES"/>
        </w:rPr>
        <w:t>La Instancia Especial de Mujeres de la CSIVI</w:t>
      </w:r>
      <w:r w:rsidRPr="002F21D4">
        <w:rPr>
          <w:sz w:val="22"/>
          <w:szCs w:val="22"/>
          <w:vertAlign w:val="superscript"/>
          <w:lang w:val="es-ES"/>
        </w:rPr>
        <w:footnoteReference w:id="127"/>
      </w:r>
      <w:r w:rsidR="005A0298" w:rsidRPr="002F21D4">
        <w:rPr>
          <w:sz w:val="22"/>
          <w:szCs w:val="22"/>
          <w:lang w:val="es-ES"/>
        </w:rPr>
        <w:t>,</w:t>
      </w:r>
      <w:r w:rsidR="0078159F" w:rsidRPr="002F21D4">
        <w:rPr>
          <w:sz w:val="22"/>
          <w:szCs w:val="22"/>
          <w:lang w:val="es-ES"/>
        </w:rPr>
        <w:t xml:space="preserve"> </w:t>
      </w:r>
      <w:r w:rsidRPr="002F21D4">
        <w:rPr>
          <w:sz w:val="22"/>
          <w:szCs w:val="22"/>
          <w:lang w:val="es-ES"/>
        </w:rPr>
        <w:t>como mecanismo de participación</w:t>
      </w:r>
      <w:r w:rsidR="005A0298" w:rsidRPr="002F21D4">
        <w:rPr>
          <w:sz w:val="22"/>
          <w:szCs w:val="22"/>
          <w:lang w:val="es-ES"/>
        </w:rPr>
        <w:t>,</w:t>
      </w:r>
      <w:r w:rsidRPr="002F21D4">
        <w:rPr>
          <w:sz w:val="22"/>
          <w:szCs w:val="22"/>
          <w:lang w:val="es-ES"/>
        </w:rPr>
        <w:t xml:space="preserve"> es uno de los logros más reconocidos en las experiencias de justicia transicional en el mundo y su renovación ha servido para reactivar el debate sobre los avances y retos de la agenda de género y paz.</w:t>
      </w:r>
      <w:r w:rsidR="00DF661E" w:rsidRPr="002F21D4">
        <w:rPr>
          <w:sz w:val="22"/>
          <w:szCs w:val="22"/>
          <w:lang w:val="es-ES"/>
        </w:rPr>
        <w:t xml:space="preserve"> </w:t>
      </w:r>
      <w:r w:rsidR="00F6209A" w:rsidRPr="002F21D4">
        <w:rPr>
          <w:sz w:val="22"/>
          <w:szCs w:val="22"/>
          <w:lang w:val="es-ES"/>
        </w:rPr>
        <w:t>Tras un año de aplazamiento</w:t>
      </w:r>
      <w:r w:rsidR="00E367E1" w:rsidRPr="002F21D4">
        <w:rPr>
          <w:sz w:val="22"/>
          <w:szCs w:val="22"/>
          <w:lang w:val="es-ES"/>
        </w:rPr>
        <w:t xml:space="preserve"> por los impactos </w:t>
      </w:r>
      <w:r w:rsidR="001D7A01" w:rsidRPr="002F21D4">
        <w:rPr>
          <w:sz w:val="22"/>
          <w:szCs w:val="22"/>
          <w:lang w:val="es-ES"/>
        </w:rPr>
        <w:t>de la emergencia sanitaria por COVID-19</w:t>
      </w:r>
      <w:r w:rsidR="00F6209A" w:rsidRPr="002F21D4">
        <w:rPr>
          <w:sz w:val="22"/>
          <w:szCs w:val="22"/>
          <w:lang w:val="es-ES"/>
        </w:rPr>
        <w:t xml:space="preserve">, </w:t>
      </w:r>
      <w:r w:rsidR="00E367E1" w:rsidRPr="002F21D4">
        <w:rPr>
          <w:sz w:val="22"/>
          <w:szCs w:val="22"/>
          <w:lang w:val="es-ES"/>
        </w:rPr>
        <w:t xml:space="preserve">avanzó el proceso </w:t>
      </w:r>
      <w:r w:rsidR="003160F5" w:rsidRPr="002F21D4">
        <w:rPr>
          <w:sz w:val="22"/>
          <w:szCs w:val="22"/>
          <w:lang w:val="es-ES"/>
        </w:rPr>
        <w:t>con la realización de las asambleas para la</w:t>
      </w:r>
      <w:r w:rsidR="00E367E1" w:rsidRPr="002F21D4">
        <w:rPr>
          <w:sz w:val="22"/>
          <w:szCs w:val="22"/>
          <w:lang w:val="es-ES"/>
        </w:rPr>
        <w:t xml:space="preserve"> elección </w:t>
      </w:r>
      <w:r w:rsidR="003160F5" w:rsidRPr="002F21D4">
        <w:rPr>
          <w:sz w:val="22"/>
          <w:szCs w:val="22"/>
          <w:lang w:val="es-ES"/>
        </w:rPr>
        <w:t xml:space="preserve">de las nuevas mujeres que representarán esta </w:t>
      </w:r>
      <w:r w:rsidR="00E367E1" w:rsidRPr="002F21D4">
        <w:rPr>
          <w:sz w:val="22"/>
          <w:szCs w:val="22"/>
          <w:lang w:val="es-ES"/>
        </w:rPr>
        <w:t>Instancia</w:t>
      </w:r>
      <w:r w:rsidR="003160F5" w:rsidRPr="002F21D4">
        <w:rPr>
          <w:rStyle w:val="FootnoteReference"/>
          <w:sz w:val="22"/>
          <w:szCs w:val="22"/>
          <w:lang w:val="es-ES"/>
        </w:rPr>
        <w:footnoteReference w:id="128"/>
      </w:r>
      <w:r w:rsidR="00E367E1" w:rsidRPr="002F21D4">
        <w:rPr>
          <w:sz w:val="22"/>
          <w:szCs w:val="22"/>
          <w:lang w:val="es-ES"/>
        </w:rPr>
        <w:t xml:space="preserve">. </w:t>
      </w:r>
      <w:r w:rsidR="003160F5" w:rsidRPr="002F21D4">
        <w:rPr>
          <w:sz w:val="22"/>
          <w:szCs w:val="22"/>
          <w:lang w:val="es-ES"/>
        </w:rPr>
        <w:t>Estas jornadas pudieron desarrollarse a pesar de las diversas dificultades a las que se tuvieron que enfrentar por la pandemia</w:t>
      </w:r>
      <w:r w:rsidR="00F6209A" w:rsidRPr="002F21D4">
        <w:rPr>
          <w:sz w:val="22"/>
          <w:szCs w:val="22"/>
          <w:lang w:val="es-ES"/>
        </w:rPr>
        <w:t xml:space="preserve">, </w:t>
      </w:r>
      <w:r w:rsidR="003160F5" w:rsidRPr="002F21D4">
        <w:rPr>
          <w:sz w:val="22"/>
          <w:szCs w:val="22"/>
          <w:lang w:val="es-ES"/>
        </w:rPr>
        <w:t xml:space="preserve">el </w:t>
      </w:r>
      <w:r w:rsidR="00F6209A" w:rsidRPr="002F21D4">
        <w:rPr>
          <w:sz w:val="22"/>
          <w:szCs w:val="22"/>
          <w:lang w:val="es-ES"/>
        </w:rPr>
        <w:t xml:space="preserve">paro nacional y </w:t>
      </w:r>
      <w:r w:rsidR="003160F5" w:rsidRPr="002F21D4">
        <w:rPr>
          <w:sz w:val="22"/>
          <w:szCs w:val="22"/>
          <w:lang w:val="es-ES"/>
        </w:rPr>
        <w:t>l</w:t>
      </w:r>
      <w:r w:rsidR="00A344CB" w:rsidRPr="002F21D4">
        <w:rPr>
          <w:sz w:val="22"/>
          <w:szCs w:val="22"/>
          <w:lang w:val="es-ES"/>
        </w:rPr>
        <w:t>as complejas condiciones de seguridad en los territorios</w:t>
      </w:r>
      <w:r w:rsidR="00F6209A" w:rsidRPr="002F21D4">
        <w:rPr>
          <w:sz w:val="22"/>
          <w:szCs w:val="22"/>
          <w:lang w:val="es-ES"/>
        </w:rPr>
        <w:t>.</w:t>
      </w:r>
      <w:r w:rsidR="003160F5" w:rsidRPr="002F21D4">
        <w:rPr>
          <w:sz w:val="22"/>
          <w:szCs w:val="22"/>
          <w:lang w:val="es-ES"/>
        </w:rPr>
        <w:t xml:space="preserve"> </w:t>
      </w:r>
      <w:r w:rsidR="00A344CB" w:rsidRPr="002F21D4">
        <w:rPr>
          <w:sz w:val="22"/>
          <w:szCs w:val="22"/>
          <w:lang w:val="es-ES"/>
        </w:rPr>
        <w:t>En el marco de e</w:t>
      </w:r>
      <w:r w:rsidR="003160F5" w:rsidRPr="002F21D4">
        <w:rPr>
          <w:sz w:val="22"/>
          <w:szCs w:val="22"/>
          <w:lang w:val="es-ES"/>
        </w:rPr>
        <w:t>sta</w:t>
      </w:r>
      <w:r w:rsidR="00A344CB" w:rsidRPr="002F21D4">
        <w:rPr>
          <w:sz w:val="22"/>
          <w:szCs w:val="22"/>
          <w:lang w:val="es-ES"/>
        </w:rPr>
        <w:t>s</w:t>
      </w:r>
      <w:r w:rsidR="00F6209A" w:rsidRPr="002F21D4">
        <w:rPr>
          <w:sz w:val="22"/>
          <w:szCs w:val="22"/>
          <w:lang w:val="es-ES"/>
        </w:rPr>
        <w:t xml:space="preserve"> última</w:t>
      </w:r>
      <w:r w:rsidR="00A344CB" w:rsidRPr="002F21D4">
        <w:rPr>
          <w:sz w:val="22"/>
          <w:szCs w:val="22"/>
          <w:lang w:val="es-ES"/>
        </w:rPr>
        <w:t xml:space="preserve">s, se produjo </w:t>
      </w:r>
      <w:r w:rsidR="00F6209A" w:rsidRPr="002F21D4">
        <w:rPr>
          <w:sz w:val="22"/>
          <w:szCs w:val="22"/>
          <w:lang w:val="es-ES"/>
        </w:rPr>
        <w:t xml:space="preserve">el </w:t>
      </w:r>
      <w:r w:rsidR="003160F5" w:rsidRPr="002F21D4">
        <w:rPr>
          <w:sz w:val="22"/>
          <w:szCs w:val="22"/>
          <w:lang w:val="es-ES"/>
        </w:rPr>
        <w:t>homicidio</w:t>
      </w:r>
      <w:r w:rsidR="00F6209A" w:rsidRPr="002F21D4">
        <w:rPr>
          <w:sz w:val="22"/>
          <w:szCs w:val="22"/>
          <w:lang w:val="es-ES"/>
        </w:rPr>
        <w:t xml:space="preserve"> de Derly Pastrana, reconocida lideresa del Huila, </w:t>
      </w:r>
      <w:r w:rsidR="00A344CB" w:rsidRPr="002F21D4">
        <w:rPr>
          <w:sz w:val="22"/>
          <w:szCs w:val="22"/>
          <w:lang w:val="es-ES"/>
        </w:rPr>
        <w:t xml:space="preserve">postulada para el proceso de renovación de la </w:t>
      </w:r>
      <w:r w:rsidR="00506489" w:rsidRPr="002F21D4">
        <w:rPr>
          <w:sz w:val="22"/>
          <w:szCs w:val="22"/>
          <w:lang w:val="es-ES"/>
        </w:rPr>
        <w:t>I</w:t>
      </w:r>
      <w:r w:rsidR="00A344CB" w:rsidRPr="002F21D4">
        <w:rPr>
          <w:sz w:val="22"/>
          <w:szCs w:val="22"/>
          <w:lang w:val="es-ES"/>
        </w:rPr>
        <w:t>nstancia</w:t>
      </w:r>
      <w:r w:rsidR="00F6209A" w:rsidRPr="002F21D4">
        <w:rPr>
          <w:sz w:val="22"/>
          <w:szCs w:val="22"/>
          <w:lang w:val="es-ES"/>
        </w:rPr>
        <w:t xml:space="preserve">. </w:t>
      </w:r>
    </w:p>
    <w:p w14:paraId="6B47851C" w14:textId="77777777" w:rsidR="002F21D4" w:rsidRPr="002F21D4" w:rsidRDefault="002F21D4" w:rsidP="00B06FB8">
      <w:pPr>
        <w:snapToGrid w:val="0"/>
        <w:ind w:firstLine="357"/>
        <w:jc w:val="both"/>
        <w:rPr>
          <w:sz w:val="22"/>
          <w:szCs w:val="22"/>
          <w:lang w:val="es-ES"/>
        </w:rPr>
      </w:pPr>
    </w:p>
    <w:p w14:paraId="0E08DF41" w14:textId="745E9358" w:rsidR="00D26EA0" w:rsidRPr="002F21D4" w:rsidRDefault="00454768" w:rsidP="00B06FB8">
      <w:pPr>
        <w:snapToGrid w:val="0"/>
        <w:ind w:firstLine="357"/>
        <w:jc w:val="both"/>
        <w:rPr>
          <w:sz w:val="22"/>
          <w:szCs w:val="22"/>
          <w:lang w:val="es-ES"/>
        </w:rPr>
      </w:pPr>
      <w:r w:rsidRPr="002F21D4">
        <w:rPr>
          <w:sz w:val="22"/>
          <w:szCs w:val="22"/>
          <w:lang w:val="es-ES"/>
        </w:rPr>
        <w:t>Como se señaló en el apartado 2.</w:t>
      </w:r>
      <w:r w:rsidR="00C241FD" w:rsidRPr="002F21D4">
        <w:rPr>
          <w:sz w:val="22"/>
          <w:szCs w:val="22"/>
          <w:lang w:val="es-ES"/>
        </w:rPr>
        <w:t>2.</w:t>
      </w:r>
      <w:r w:rsidR="00C3179B" w:rsidRPr="002F21D4">
        <w:rPr>
          <w:sz w:val="22"/>
          <w:szCs w:val="22"/>
          <w:lang w:val="es-ES"/>
        </w:rPr>
        <w:t>4</w:t>
      </w:r>
      <w:r w:rsidRPr="002F21D4">
        <w:rPr>
          <w:sz w:val="22"/>
          <w:szCs w:val="22"/>
          <w:lang w:val="es-ES"/>
        </w:rPr>
        <w:t xml:space="preserve">, </w:t>
      </w:r>
      <w:r w:rsidR="00572566" w:rsidRPr="002F21D4">
        <w:rPr>
          <w:sz w:val="22"/>
          <w:szCs w:val="22"/>
          <w:lang w:val="es-ES"/>
        </w:rPr>
        <w:t>las dinámicas de conflicto armado y criminalidad, así como los efectos socioeconómicos directos de la pandemia sobre las mujeres</w:t>
      </w:r>
      <w:r w:rsidR="00572566" w:rsidRPr="002F21D4">
        <w:rPr>
          <w:rStyle w:val="FootnoteReference"/>
          <w:sz w:val="22"/>
          <w:szCs w:val="22"/>
          <w:lang w:val="es-ES"/>
        </w:rPr>
        <w:footnoteReference w:id="129"/>
      </w:r>
      <w:r w:rsidR="00572566" w:rsidRPr="002F21D4">
        <w:rPr>
          <w:sz w:val="22"/>
          <w:szCs w:val="22"/>
          <w:lang w:val="es-ES"/>
        </w:rPr>
        <w:t>, aumentaron</w:t>
      </w:r>
      <w:r w:rsidR="00F6209A" w:rsidRPr="002F21D4">
        <w:rPr>
          <w:sz w:val="22"/>
          <w:szCs w:val="22"/>
          <w:lang w:val="es-ES"/>
        </w:rPr>
        <w:t xml:space="preserve"> el riesgo extraordinario de género</w:t>
      </w:r>
      <w:r w:rsidR="00F6209A" w:rsidRPr="002F21D4">
        <w:rPr>
          <w:sz w:val="22"/>
          <w:szCs w:val="22"/>
          <w:vertAlign w:val="superscript"/>
          <w:lang w:val="es-ES"/>
        </w:rPr>
        <w:footnoteReference w:id="130"/>
      </w:r>
      <w:r w:rsidR="00F6209A" w:rsidRPr="002F21D4">
        <w:rPr>
          <w:sz w:val="22"/>
          <w:szCs w:val="22"/>
          <w:lang w:val="es-ES"/>
        </w:rPr>
        <w:t xml:space="preserve"> para el ejercicio de </w:t>
      </w:r>
      <w:r w:rsidR="00572566" w:rsidRPr="002F21D4">
        <w:rPr>
          <w:sz w:val="22"/>
          <w:szCs w:val="22"/>
          <w:lang w:val="es-ES"/>
        </w:rPr>
        <w:t>sus</w:t>
      </w:r>
      <w:r w:rsidR="00F6209A" w:rsidRPr="002F21D4">
        <w:rPr>
          <w:sz w:val="22"/>
          <w:szCs w:val="22"/>
          <w:lang w:val="es-ES"/>
        </w:rPr>
        <w:t xml:space="preserve"> liderazgos. </w:t>
      </w:r>
      <w:r w:rsidR="00E12B45" w:rsidRPr="002F21D4">
        <w:rPr>
          <w:sz w:val="22"/>
          <w:szCs w:val="22"/>
          <w:lang w:val="es-ES"/>
        </w:rPr>
        <w:t xml:space="preserve">Lo anterior implica que las lideresas y </w:t>
      </w:r>
      <w:r w:rsidR="00E12B45" w:rsidRPr="002F21D4">
        <w:rPr>
          <w:sz w:val="22"/>
          <w:szCs w:val="22"/>
          <w:lang w:val="es-ES"/>
        </w:rPr>
        <w:lastRenderedPageBreak/>
        <w:t>defensoras</w:t>
      </w:r>
      <w:r w:rsidR="00120A54" w:rsidRPr="002F21D4">
        <w:rPr>
          <w:sz w:val="22"/>
          <w:szCs w:val="22"/>
          <w:lang w:val="es-ES"/>
        </w:rPr>
        <w:t>,</w:t>
      </w:r>
      <w:r w:rsidR="00E12B45" w:rsidRPr="002F21D4">
        <w:rPr>
          <w:sz w:val="22"/>
          <w:szCs w:val="22"/>
          <w:lang w:val="es-ES"/>
        </w:rPr>
        <w:t xml:space="preserve"> en algunos territorios en las regiones del Catatumbo, Bajo Cauca Antioqueño,</w:t>
      </w:r>
      <w:r w:rsidR="00572566" w:rsidRPr="002F21D4">
        <w:rPr>
          <w:sz w:val="22"/>
          <w:szCs w:val="22"/>
          <w:lang w:val="es-ES"/>
        </w:rPr>
        <w:t xml:space="preserve"> Magdalena Medi</w:t>
      </w:r>
      <w:r w:rsidR="00A64B93" w:rsidRPr="002F21D4">
        <w:rPr>
          <w:sz w:val="22"/>
          <w:szCs w:val="22"/>
          <w:lang w:val="es-ES"/>
        </w:rPr>
        <w:t>o</w:t>
      </w:r>
      <w:r w:rsidR="00572566" w:rsidRPr="002F21D4">
        <w:rPr>
          <w:sz w:val="22"/>
          <w:szCs w:val="22"/>
          <w:lang w:val="es-ES"/>
        </w:rPr>
        <w:t xml:space="preserve"> y los departamentos de</w:t>
      </w:r>
      <w:r w:rsidR="00E12B45" w:rsidRPr="002F21D4">
        <w:rPr>
          <w:sz w:val="22"/>
          <w:szCs w:val="22"/>
          <w:lang w:val="es-ES"/>
        </w:rPr>
        <w:t xml:space="preserve"> Putumayo</w:t>
      </w:r>
      <w:r w:rsidR="00572566" w:rsidRPr="002F21D4">
        <w:rPr>
          <w:sz w:val="22"/>
          <w:szCs w:val="22"/>
          <w:lang w:val="es-ES"/>
        </w:rPr>
        <w:t>,</w:t>
      </w:r>
      <w:r w:rsidR="00E12B45" w:rsidRPr="002F21D4">
        <w:rPr>
          <w:sz w:val="22"/>
          <w:szCs w:val="22"/>
          <w:lang w:val="es-ES"/>
        </w:rPr>
        <w:t xml:space="preserve"> Cauca</w:t>
      </w:r>
      <w:r w:rsidR="00572566" w:rsidRPr="002F21D4">
        <w:rPr>
          <w:sz w:val="22"/>
          <w:szCs w:val="22"/>
          <w:lang w:val="es-ES"/>
        </w:rPr>
        <w:t xml:space="preserve"> y Chocó</w:t>
      </w:r>
      <w:r w:rsidR="00120A54" w:rsidRPr="002F21D4">
        <w:rPr>
          <w:sz w:val="22"/>
          <w:szCs w:val="22"/>
          <w:lang w:val="es-ES"/>
        </w:rPr>
        <w:t>,</w:t>
      </w:r>
      <w:r w:rsidR="00E12B45" w:rsidRPr="002F21D4">
        <w:rPr>
          <w:sz w:val="22"/>
          <w:szCs w:val="22"/>
          <w:lang w:val="es-ES"/>
        </w:rPr>
        <w:t xml:space="preserve"> se encuentren a merced del contro</w:t>
      </w:r>
      <w:r w:rsidR="00120A54" w:rsidRPr="002F21D4">
        <w:rPr>
          <w:sz w:val="22"/>
          <w:szCs w:val="22"/>
          <w:lang w:val="es-ES"/>
        </w:rPr>
        <w:t>l social de los GAI</w:t>
      </w:r>
      <w:r w:rsidR="00A64B93" w:rsidRPr="002F21D4">
        <w:rPr>
          <w:sz w:val="22"/>
          <w:szCs w:val="22"/>
          <w:lang w:val="es-ES"/>
        </w:rPr>
        <w:t>,</w:t>
      </w:r>
      <w:r w:rsidR="00120A54" w:rsidRPr="002F21D4">
        <w:rPr>
          <w:sz w:val="22"/>
          <w:szCs w:val="22"/>
          <w:lang w:val="es-ES"/>
        </w:rPr>
        <w:t xml:space="preserve"> siendo víctimas de persecución </w:t>
      </w:r>
      <w:r w:rsidR="00D22FC1" w:rsidRPr="002F21D4">
        <w:rPr>
          <w:sz w:val="22"/>
          <w:szCs w:val="22"/>
          <w:lang w:val="es-ES"/>
        </w:rPr>
        <w:t>en</w:t>
      </w:r>
      <w:r w:rsidR="00120A54" w:rsidRPr="002F21D4">
        <w:rPr>
          <w:sz w:val="22"/>
          <w:szCs w:val="22"/>
          <w:lang w:val="es-ES"/>
        </w:rPr>
        <w:t xml:space="preserve"> sus formas de movilización y organización, así como de </w:t>
      </w:r>
      <w:r w:rsidR="00E12B45" w:rsidRPr="002F21D4">
        <w:rPr>
          <w:sz w:val="22"/>
          <w:szCs w:val="22"/>
          <w:lang w:val="es-ES"/>
        </w:rPr>
        <w:t>violencia política</w:t>
      </w:r>
      <w:r w:rsidR="00120A54" w:rsidRPr="002F21D4">
        <w:rPr>
          <w:sz w:val="22"/>
          <w:szCs w:val="22"/>
          <w:lang w:val="es-ES"/>
        </w:rPr>
        <w:t>.</w:t>
      </w:r>
      <w:r w:rsidR="00E12B45" w:rsidRPr="002F21D4">
        <w:rPr>
          <w:sz w:val="22"/>
          <w:szCs w:val="22"/>
          <w:lang w:val="es-ES"/>
        </w:rPr>
        <w:t xml:space="preserve"> </w:t>
      </w:r>
      <w:r w:rsidR="00F6209A" w:rsidRPr="002F21D4">
        <w:rPr>
          <w:sz w:val="22"/>
          <w:szCs w:val="22"/>
          <w:lang w:val="es-ES"/>
        </w:rPr>
        <w:t>A</w:t>
      </w:r>
      <w:r w:rsidR="00120A54" w:rsidRPr="002F21D4">
        <w:rPr>
          <w:sz w:val="22"/>
          <w:szCs w:val="22"/>
          <w:lang w:val="es-ES"/>
        </w:rPr>
        <w:t xml:space="preserve">dicionalmente, </w:t>
      </w:r>
      <w:r w:rsidR="00F6209A" w:rsidRPr="002F21D4">
        <w:rPr>
          <w:sz w:val="22"/>
          <w:szCs w:val="22"/>
          <w:lang w:val="es-ES"/>
        </w:rPr>
        <w:t xml:space="preserve">el predominio de la virtualidad en el accionar estatal incide en que las lideresas perciban </w:t>
      </w:r>
      <w:r w:rsidR="00120A54" w:rsidRPr="002F21D4">
        <w:rPr>
          <w:sz w:val="22"/>
          <w:szCs w:val="22"/>
          <w:lang w:val="es-ES"/>
        </w:rPr>
        <w:t>que la respuesta institucional frente a l</w:t>
      </w:r>
      <w:r w:rsidR="00F6209A" w:rsidRPr="002F21D4">
        <w:rPr>
          <w:sz w:val="22"/>
          <w:szCs w:val="22"/>
          <w:lang w:val="es-ES"/>
        </w:rPr>
        <w:t>as garantías integrales de seguridad</w:t>
      </w:r>
      <w:r w:rsidR="00120A54" w:rsidRPr="002F21D4">
        <w:rPr>
          <w:sz w:val="22"/>
          <w:szCs w:val="22"/>
          <w:lang w:val="es-ES"/>
        </w:rPr>
        <w:t xml:space="preserve"> es</w:t>
      </w:r>
      <w:r w:rsidR="00F6209A" w:rsidRPr="002F21D4">
        <w:rPr>
          <w:sz w:val="22"/>
          <w:szCs w:val="22"/>
          <w:lang w:val="es-ES"/>
        </w:rPr>
        <w:t xml:space="preserve"> ineficaz, ralentizada y descontextualizada de su propia realidad. </w:t>
      </w:r>
    </w:p>
    <w:p w14:paraId="4135CA96" w14:textId="77777777" w:rsidR="002F21D4" w:rsidRPr="002F21D4" w:rsidRDefault="002F21D4" w:rsidP="00B06FB8">
      <w:pPr>
        <w:snapToGrid w:val="0"/>
        <w:ind w:firstLine="357"/>
        <w:jc w:val="both"/>
        <w:rPr>
          <w:sz w:val="22"/>
          <w:szCs w:val="22"/>
          <w:lang w:val="es-ES"/>
        </w:rPr>
      </w:pPr>
    </w:p>
    <w:p w14:paraId="7559B3F5" w14:textId="31CA83FA" w:rsidR="00F6209A" w:rsidRPr="002F21D4" w:rsidRDefault="00634554" w:rsidP="00B06FB8">
      <w:pPr>
        <w:snapToGrid w:val="0"/>
        <w:ind w:firstLine="357"/>
        <w:jc w:val="both"/>
        <w:rPr>
          <w:sz w:val="22"/>
          <w:szCs w:val="22"/>
          <w:lang w:val="es-ES"/>
        </w:rPr>
      </w:pPr>
      <w:r w:rsidRPr="002F21D4">
        <w:rPr>
          <w:sz w:val="22"/>
          <w:szCs w:val="22"/>
          <w:lang w:val="es-ES"/>
        </w:rPr>
        <w:t>L</w:t>
      </w:r>
      <w:r w:rsidR="00F6209A" w:rsidRPr="002F21D4">
        <w:rPr>
          <w:sz w:val="22"/>
          <w:szCs w:val="22"/>
          <w:lang w:val="es-ES"/>
        </w:rPr>
        <w:t>a suspensión del proceso de incorporación del enfoque de género en la CNGS</w:t>
      </w:r>
      <w:r w:rsidR="00F6209A" w:rsidRPr="002F21D4">
        <w:rPr>
          <w:sz w:val="22"/>
          <w:szCs w:val="22"/>
          <w:vertAlign w:val="superscript"/>
          <w:lang w:val="es-ES"/>
        </w:rPr>
        <w:footnoteReference w:id="131"/>
      </w:r>
      <w:r w:rsidR="00F6209A" w:rsidRPr="002F21D4">
        <w:rPr>
          <w:sz w:val="22"/>
          <w:szCs w:val="22"/>
          <w:lang w:val="es-ES"/>
        </w:rPr>
        <w:t xml:space="preserve"> y en el SISEP</w:t>
      </w:r>
      <w:r w:rsidR="00F6209A" w:rsidRPr="002F21D4">
        <w:rPr>
          <w:sz w:val="22"/>
          <w:szCs w:val="22"/>
          <w:vertAlign w:val="superscript"/>
          <w:lang w:val="es-ES"/>
        </w:rPr>
        <w:footnoteReference w:id="132"/>
      </w:r>
      <w:r w:rsidR="00EE73FF" w:rsidRPr="002F21D4">
        <w:rPr>
          <w:sz w:val="22"/>
          <w:szCs w:val="22"/>
          <w:lang w:val="es-ES"/>
        </w:rPr>
        <w:t xml:space="preserve"> impacta el diseño e implementación de políticas públicas para mitigar los efectos de la violencia de las mujeres en el ejercicio de su liderazgo. </w:t>
      </w:r>
      <w:r w:rsidRPr="002F21D4">
        <w:rPr>
          <w:sz w:val="22"/>
          <w:szCs w:val="22"/>
          <w:lang w:val="es-ES"/>
        </w:rPr>
        <w:t xml:space="preserve">En este sentido, se alienta a retomar las acciones para su incorporación y, a su vez, </w:t>
      </w:r>
      <w:r w:rsidR="00F6209A" w:rsidRPr="002F21D4">
        <w:rPr>
          <w:sz w:val="22"/>
          <w:szCs w:val="22"/>
          <w:lang w:val="es-ES"/>
        </w:rPr>
        <w:t xml:space="preserve">acelerar la </w:t>
      </w:r>
      <w:r w:rsidR="00EE73FF" w:rsidRPr="002F21D4">
        <w:rPr>
          <w:sz w:val="22"/>
          <w:szCs w:val="22"/>
          <w:lang w:val="es-ES"/>
        </w:rPr>
        <w:t>puesta en marcha</w:t>
      </w:r>
      <w:r w:rsidR="00F6209A" w:rsidRPr="002F21D4">
        <w:rPr>
          <w:sz w:val="22"/>
          <w:szCs w:val="22"/>
          <w:lang w:val="es-ES"/>
        </w:rPr>
        <w:t xml:space="preserve"> del </w:t>
      </w:r>
      <w:r w:rsidR="00EE73FF" w:rsidRPr="002F21D4">
        <w:rPr>
          <w:sz w:val="22"/>
          <w:szCs w:val="22"/>
          <w:lang w:val="es-ES"/>
        </w:rPr>
        <w:t>Programa Integral de Garantías para Mujeres Lideresas</w:t>
      </w:r>
      <w:r w:rsidRPr="002F21D4">
        <w:rPr>
          <w:sz w:val="22"/>
          <w:szCs w:val="22"/>
          <w:lang w:val="es-ES"/>
        </w:rPr>
        <w:t xml:space="preserve"> (PIG-Mujeres)</w:t>
      </w:r>
      <w:r w:rsidR="00F6209A" w:rsidRPr="002F21D4">
        <w:rPr>
          <w:sz w:val="22"/>
          <w:szCs w:val="22"/>
          <w:lang w:val="es-ES"/>
        </w:rPr>
        <w:t xml:space="preserve"> en Antioquia, Norte de Santander, Cauca y Chocó</w:t>
      </w:r>
      <w:r w:rsidR="00EE73FF" w:rsidRPr="002F21D4">
        <w:rPr>
          <w:sz w:val="22"/>
          <w:szCs w:val="22"/>
          <w:lang w:val="es-ES"/>
        </w:rPr>
        <w:t>,</w:t>
      </w:r>
      <w:r w:rsidR="00F6209A" w:rsidRPr="002F21D4">
        <w:rPr>
          <w:sz w:val="22"/>
          <w:szCs w:val="22"/>
          <w:lang w:val="es-ES"/>
        </w:rPr>
        <w:t xml:space="preserve"> y redoblar esfuerzos </w:t>
      </w:r>
      <w:r w:rsidR="00EE73FF" w:rsidRPr="002F21D4">
        <w:rPr>
          <w:sz w:val="22"/>
          <w:szCs w:val="22"/>
          <w:lang w:val="es-ES"/>
        </w:rPr>
        <w:t xml:space="preserve">por parte del Gobierno nacional y los gobiernos locales para </w:t>
      </w:r>
      <w:r w:rsidR="00F6209A" w:rsidRPr="002F21D4">
        <w:rPr>
          <w:sz w:val="22"/>
          <w:szCs w:val="22"/>
          <w:lang w:val="es-ES"/>
        </w:rPr>
        <w:t>la eliminación de las VBG, incluyendo la violencia contra mujeres en política</w:t>
      </w:r>
      <w:r w:rsidR="00EE73FF" w:rsidRPr="002F21D4">
        <w:rPr>
          <w:sz w:val="22"/>
          <w:szCs w:val="22"/>
          <w:lang w:val="es-ES"/>
        </w:rPr>
        <w:t>.</w:t>
      </w:r>
      <w:r w:rsidR="0078159F" w:rsidRPr="002F21D4">
        <w:rPr>
          <w:sz w:val="22"/>
          <w:szCs w:val="22"/>
          <w:lang w:val="es-ES"/>
        </w:rPr>
        <w:t xml:space="preserve"> </w:t>
      </w:r>
    </w:p>
    <w:p w14:paraId="3D00F9AE" w14:textId="69775709" w:rsidR="00013077" w:rsidRPr="002F21D4" w:rsidRDefault="00013077" w:rsidP="00B06FB8">
      <w:pPr>
        <w:snapToGrid w:val="0"/>
        <w:ind w:firstLine="357"/>
        <w:jc w:val="both"/>
        <w:rPr>
          <w:sz w:val="22"/>
          <w:szCs w:val="22"/>
          <w:lang w:val="es-ES"/>
        </w:rPr>
      </w:pPr>
    </w:p>
    <w:p w14:paraId="37492ED4" w14:textId="77777777" w:rsidR="00912B02" w:rsidRPr="002F21D4" w:rsidRDefault="00912B02" w:rsidP="00B06FB8">
      <w:pPr>
        <w:pStyle w:val="ListParagraph"/>
        <w:numPr>
          <w:ilvl w:val="0"/>
          <w:numId w:val="6"/>
        </w:numPr>
        <w:autoSpaceDE w:val="0"/>
        <w:autoSpaceDN w:val="0"/>
        <w:adjustRightInd w:val="0"/>
        <w:snapToGrid w:val="0"/>
        <w:spacing w:after="0" w:line="240" w:lineRule="auto"/>
        <w:contextualSpacing w:val="0"/>
        <w:jc w:val="both"/>
        <w:rPr>
          <w:rFonts w:ascii="Times New Roman" w:hAnsi="Times New Roman" w:cs="Times New Roman"/>
          <w:b/>
          <w:vanish/>
          <w:color w:val="000000"/>
        </w:rPr>
      </w:pPr>
    </w:p>
    <w:p w14:paraId="59FA75F9" w14:textId="77777777" w:rsidR="00912B02" w:rsidRPr="002F21D4" w:rsidRDefault="00912B02" w:rsidP="00B06FB8">
      <w:pPr>
        <w:pStyle w:val="ListParagraph"/>
        <w:numPr>
          <w:ilvl w:val="0"/>
          <w:numId w:val="6"/>
        </w:numPr>
        <w:autoSpaceDE w:val="0"/>
        <w:autoSpaceDN w:val="0"/>
        <w:adjustRightInd w:val="0"/>
        <w:snapToGrid w:val="0"/>
        <w:spacing w:after="0" w:line="240" w:lineRule="auto"/>
        <w:contextualSpacing w:val="0"/>
        <w:jc w:val="both"/>
        <w:rPr>
          <w:rFonts w:ascii="Times New Roman" w:hAnsi="Times New Roman" w:cs="Times New Roman"/>
          <w:b/>
          <w:vanish/>
          <w:color w:val="000000"/>
        </w:rPr>
      </w:pPr>
    </w:p>
    <w:p w14:paraId="796B2A48" w14:textId="2E47571A" w:rsidR="00052E72" w:rsidRPr="002F21D4" w:rsidRDefault="00E10EAF" w:rsidP="002E06D9">
      <w:pPr>
        <w:pStyle w:val="ListParagraph"/>
        <w:numPr>
          <w:ilvl w:val="0"/>
          <w:numId w:val="1"/>
        </w:numPr>
        <w:snapToGrid w:val="0"/>
        <w:spacing w:after="0" w:line="240" w:lineRule="auto"/>
        <w:contextualSpacing w:val="0"/>
        <w:jc w:val="both"/>
        <w:rPr>
          <w:rFonts w:ascii="Times New Roman" w:hAnsi="Times New Roman" w:cs="Times New Roman"/>
          <w:b/>
        </w:rPr>
      </w:pPr>
      <w:r w:rsidRPr="002E06D9">
        <w:rPr>
          <w:rFonts w:ascii="Times New Roman" w:hAnsi="Times New Roman" w:cs="Times New Roman"/>
          <w:b/>
          <w:bCs/>
        </w:rPr>
        <w:t>SISTEMA</w:t>
      </w:r>
      <w:r w:rsidRPr="002F21D4">
        <w:rPr>
          <w:rFonts w:ascii="Times New Roman" w:hAnsi="Times New Roman" w:cs="Times New Roman"/>
          <w:b/>
        </w:rPr>
        <w:t xml:space="preserve"> INTEGRAL DE VERDAD, JUSTICIA, REPARACIÓN Y NO REPETICIÓN (SIVJRNR)</w:t>
      </w:r>
    </w:p>
    <w:p w14:paraId="568DB7FD" w14:textId="77777777" w:rsidR="002F21D4" w:rsidRPr="002F21D4" w:rsidRDefault="002F21D4" w:rsidP="00B06FB8">
      <w:pPr>
        <w:autoSpaceDE w:val="0"/>
        <w:autoSpaceDN w:val="0"/>
        <w:adjustRightInd w:val="0"/>
        <w:snapToGrid w:val="0"/>
        <w:ind w:left="357"/>
        <w:jc w:val="both"/>
        <w:rPr>
          <w:b/>
          <w:sz w:val="22"/>
          <w:szCs w:val="22"/>
        </w:rPr>
      </w:pPr>
    </w:p>
    <w:p w14:paraId="7D2D16CF" w14:textId="77777777" w:rsidR="00330DD0" w:rsidRPr="002F21D4" w:rsidRDefault="00330DD0" w:rsidP="00B06FB8">
      <w:pPr>
        <w:pStyle w:val="ListParagraph"/>
        <w:numPr>
          <w:ilvl w:val="0"/>
          <w:numId w:val="10"/>
        </w:numPr>
        <w:autoSpaceDE w:val="0"/>
        <w:autoSpaceDN w:val="0"/>
        <w:adjustRightInd w:val="0"/>
        <w:snapToGrid w:val="0"/>
        <w:spacing w:after="0" w:line="240" w:lineRule="auto"/>
        <w:contextualSpacing w:val="0"/>
        <w:jc w:val="both"/>
        <w:rPr>
          <w:rFonts w:ascii="Times New Roman" w:hAnsi="Times New Roman" w:cs="Times New Roman"/>
          <w:b/>
          <w:vanish/>
          <w:color w:val="000000"/>
        </w:rPr>
      </w:pPr>
    </w:p>
    <w:p w14:paraId="3C3FF6B3" w14:textId="1D2BBBCB" w:rsidR="00E10EAF" w:rsidRPr="002E06D9" w:rsidRDefault="00E10EAF" w:rsidP="002E06D9">
      <w:pPr>
        <w:pStyle w:val="ListParagraph"/>
        <w:numPr>
          <w:ilvl w:val="1"/>
          <w:numId w:val="24"/>
        </w:numPr>
        <w:autoSpaceDE w:val="0"/>
        <w:autoSpaceDN w:val="0"/>
        <w:adjustRightInd w:val="0"/>
        <w:snapToGrid w:val="0"/>
        <w:spacing w:after="0" w:line="240" w:lineRule="auto"/>
        <w:ind w:left="1440" w:hanging="720"/>
        <w:contextualSpacing w:val="0"/>
        <w:jc w:val="both"/>
        <w:rPr>
          <w:rFonts w:ascii="Times New Roman" w:hAnsi="Times New Roman" w:cs="Times New Roman"/>
          <w:b/>
        </w:rPr>
      </w:pPr>
      <w:bookmarkStart w:id="13" w:name="_Hlk84337154"/>
      <w:r w:rsidRPr="002E06D9">
        <w:rPr>
          <w:rFonts w:ascii="Times New Roman" w:hAnsi="Times New Roman" w:cs="Times New Roman"/>
          <w:b/>
        </w:rPr>
        <w:t>Unidad de Búsqueda de Personas dadas por Desaparecidas (UBPD)</w:t>
      </w:r>
      <w:bookmarkEnd w:id="13"/>
    </w:p>
    <w:p w14:paraId="72A5B268" w14:textId="77777777" w:rsidR="002F21D4" w:rsidRPr="002F21D4" w:rsidRDefault="002F21D4" w:rsidP="00B06FB8">
      <w:pPr>
        <w:snapToGrid w:val="0"/>
        <w:ind w:firstLine="360"/>
        <w:jc w:val="both"/>
        <w:rPr>
          <w:sz w:val="22"/>
          <w:szCs w:val="22"/>
        </w:rPr>
      </w:pPr>
    </w:p>
    <w:p w14:paraId="0879C784" w14:textId="01C4B6CE" w:rsidR="009D217F" w:rsidRPr="002F21D4" w:rsidRDefault="005A5409" w:rsidP="00B06FB8">
      <w:pPr>
        <w:snapToGrid w:val="0"/>
        <w:ind w:firstLine="360"/>
        <w:jc w:val="both"/>
        <w:rPr>
          <w:sz w:val="22"/>
          <w:szCs w:val="22"/>
        </w:rPr>
      </w:pPr>
      <w:r w:rsidRPr="002F21D4">
        <w:rPr>
          <w:sz w:val="22"/>
          <w:szCs w:val="22"/>
        </w:rPr>
        <w:t xml:space="preserve">La </w:t>
      </w:r>
      <w:proofErr w:type="spellStart"/>
      <w:r w:rsidR="00151DCA" w:rsidRPr="002F21D4">
        <w:rPr>
          <w:sz w:val="22"/>
          <w:szCs w:val="22"/>
        </w:rPr>
        <w:t>UBPD</w:t>
      </w:r>
      <w:proofErr w:type="spellEnd"/>
      <w:r w:rsidR="003F20B7" w:rsidRPr="002F21D4">
        <w:rPr>
          <w:sz w:val="22"/>
          <w:szCs w:val="22"/>
        </w:rPr>
        <w:t xml:space="preserve">, </w:t>
      </w:r>
      <w:r w:rsidRPr="002F21D4">
        <w:rPr>
          <w:sz w:val="22"/>
          <w:szCs w:val="22"/>
        </w:rPr>
        <w:t>organizaciones, pueblos étnicos</w:t>
      </w:r>
      <w:r w:rsidR="00B27E81" w:rsidRPr="002F21D4">
        <w:rPr>
          <w:sz w:val="22"/>
          <w:szCs w:val="22"/>
        </w:rPr>
        <w:t xml:space="preserve"> </w:t>
      </w:r>
      <w:r w:rsidRPr="002F21D4">
        <w:rPr>
          <w:sz w:val="22"/>
          <w:szCs w:val="22"/>
        </w:rPr>
        <w:t>y entidades estatales prioriza</w:t>
      </w:r>
      <w:r w:rsidR="009D217F" w:rsidRPr="002F21D4">
        <w:rPr>
          <w:sz w:val="22"/>
          <w:szCs w:val="22"/>
        </w:rPr>
        <w:t>ron</w:t>
      </w:r>
      <w:r w:rsidRPr="002F21D4">
        <w:rPr>
          <w:sz w:val="22"/>
          <w:szCs w:val="22"/>
        </w:rPr>
        <w:t xml:space="preserve"> zonas </w:t>
      </w:r>
      <w:r w:rsidR="003F20B7" w:rsidRPr="002F21D4">
        <w:rPr>
          <w:sz w:val="22"/>
          <w:szCs w:val="22"/>
        </w:rPr>
        <w:t xml:space="preserve">a intervenir </w:t>
      </w:r>
      <w:r w:rsidR="00E442C3" w:rsidRPr="002F21D4">
        <w:rPr>
          <w:sz w:val="22"/>
          <w:szCs w:val="22"/>
        </w:rPr>
        <w:t>en el</w:t>
      </w:r>
      <w:r w:rsidRPr="002F21D4">
        <w:rPr>
          <w:sz w:val="22"/>
          <w:szCs w:val="22"/>
        </w:rPr>
        <w:t xml:space="preserve"> corto y mediano plazo, según las líneas de investigación</w:t>
      </w:r>
      <w:r w:rsidR="00B27E81" w:rsidRPr="002F21D4">
        <w:rPr>
          <w:sz w:val="22"/>
          <w:szCs w:val="22"/>
        </w:rPr>
        <w:t xml:space="preserve"> extrajudicial establecidas</w:t>
      </w:r>
      <w:r w:rsidRPr="002F21D4">
        <w:rPr>
          <w:rStyle w:val="FootnoteReference"/>
          <w:sz w:val="22"/>
          <w:szCs w:val="22"/>
        </w:rPr>
        <w:footnoteReference w:id="133"/>
      </w:r>
      <w:r w:rsidRPr="002F21D4">
        <w:rPr>
          <w:sz w:val="22"/>
          <w:szCs w:val="22"/>
        </w:rPr>
        <w:t>,</w:t>
      </w:r>
      <w:r w:rsidR="009D217F" w:rsidRPr="002F21D4">
        <w:rPr>
          <w:sz w:val="22"/>
          <w:szCs w:val="22"/>
        </w:rPr>
        <w:t xml:space="preserve"> logrando</w:t>
      </w:r>
      <w:r w:rsidRPr="002F21D4">
        <w:rPr>
          <w:sz w:val="22"/>
          <w:szCs w:val="22"/>
        </w:rPr>
        <w:t xml:space="preserve"> consolida</w:t>
      </w:r>
      <w:r w:rsidR="009D217F" w:rsidRPr="002F21D4">
        <w:rPr>
          <w:sz w:val="22"/>
          <w:szCs w:val="22"/>
        </w:rPr>
        <w:t>r</w:t>
      </w:r>
      <w:r w:rsidRPr="002F21D4">
        <w:rPr>
          <w:sz w:val="22"/>
          <w:szCs w:val="22"/>
        </w:rPr>
        <w:t xml:space="preserve"> 16 Planes Regionales de Búsqueda</w:t>
      </w:r>
      <w:r w:rsidRPr="002F21D4">
        <w:rPr>
          <w:rStyle w:val="FootnoteReference"/>
          <w:sz w:val="22"/>
          <w:szCs w:val="22"/>
        </w:rPr>
        <w:footnoteReference w:id="134"/>
      </w:r>
      <w:r w:rsidRPr="002F21D4">
        <w:rPr>
          <w:sz w:val="22"/>
          <w:szCs w:val="22"/>
        </w:rPr>
        <w:t>.</w:t>
      </w:r>
      <w:r w:rsidR="009D217F" w:rsidRPr="002F21D4">
        <w:rPr>
          <w:sz w:val="22"/>
          <w:szCs w:val="22"/>
        </w:rPr>
        <w:t xml:space="preserve"> Estos planes </w:t>
      </w:r>
      <w:r w:rsidRPr="002F21D4">
        <w:rPr>
          <w:sz w:val="22"/>
          <w:szCs w:val="22"/>
        </w:rPr>
        <w:t>están concebidos como procesos dinámicos e interconectados que se nutren de los datos y relatos para localizar a las personas dadas por desaparecidas</w:t>
      </w:r>
      <w:r w:rsidR="00A069DE" w:rsidRPr="002F21D4">
        <w:rPr>
          <w:sz w:val="22"/>
          <w:szCs w:val="22"/>
        </w:rPr>
        <w:t xml:space="preserve"> (PDD)</w:t>
      </w:r>
      <w:r w:rsidR="001E6596" w:rsidRPr="002F21D4">
        <w:rPr>
          <w:sz w:val="22"/>
          <w:szCs w:val="22"/>
        </w:rPr>
        <w:t>, y debido a su enfoque colectivo y masivo, los avances de un caso contribuyen a otros.</w:t>
      </w:r>
    </w:p>
    <w:p w14:paraId="587AB7B4" w14:textId="77777777" w:rsidR="002F21D4" w:rsidRPr="002F21D4" w:rsidRDefault="002F21D4" w:rsidP="00B06FB8">
      <w:pPr>
        <w:snapToGrid w:val="0"/>
        <w:ind w:firstLine="360"/>
        <w:jc w:val="both"/>
        <w:rPr>
          <w:sz w:val="22"/>
          <w:szCs w:val="22"/>
        </w:rPr>
      </w:pPr>
    </w:p>
    <w:p w14:paraId="35306882" w14:textId="59BA3B1D" w:rsidR="003C79FE" w:rsidRPr="002F21D4" w:rsidRDefault="005A5409" w:rsidP="00B06FB8">
      <w:pPr>
        <w:snapToGrid w:val="0"/>
        <w:ind w:firstLine="360"/>
        <w:jc w:val="both"/>
        <w:rPr>
          <w:sz w:val="22"/>
          <w:szCs w:val="22"/>
          <w:lang w:val="es-MX"/>
        </w:rPr>
      </w:pPr>
      <w:r w:rsidRPr="002F21D4">
        <w:rPr>
          <w:sz w:val="22"/>
          <w:szCs w:val="22"/>
        </w:rPr>
        <w:t>Las contribuciones de las organizaciones buscadoras</w:t>
      </w:r>
      <w:r w:rsidR="00A069DE" w:rsidRPr="002F21D4">
        <w:rPr>
          <w:sz w:val="22"/>
          <w:szCs w:val="22"/>
        </w:rPr>
        <w:t>,</w:t>
      </w:r>
      <w:r w:rsidRPr="002F21D4">
        <w:rPr>
          <w:sz w:val="22"/>
          <w:szCs w:val="22"/>
        </w:rPr>
        <w:t xml:space="preserve"> por medio de la presentación de informes, solicitudes de búsqueda o la documentación de casos, aportan al esclarecimiento de otros sucesos. Así mismo, la entrega de información del ex</w:t>
      </w:r>
      <w:r w:rsidR="00612588" w:rsidRPr="002F21D4">
        <w:rPr>
          <w:sz w:val="22"/>
          <w:szCs w:val="22"/>
        </w:rPr>
        <w:t xml:space="preserve"> S</w:t>
      </w:r>
      <w:r w:rsidRPr="002F21D4">
        <w:rPr>
          <w:sz w:val="22"/>
          <w:szCs w:val="22"/>
        </w:rPr>
        <w:t xml:space="preserve">ecretariado de las FARC-EP en el marco </w:t>
      </w:r>
      <w:r w:rsidR="00A069DE" w:rsidRPr="002F21D4">
        <w:rPr>
          <w:sz w:val="22"/>
          <w:szCs w:val="22"/>
        </w:rPr>
        <w:t xml:space="preserve">del Caso 01 “Toma de rehenes y graves privaciones de la libertad” </w:t>
      </w:r>
      <w:r w:rsidRPr="002F21D4">
        <w:rPr>
          <w:sz w:val="22"/>
          <w:szCs w:val="22"/>
        </w:rPr>
        <w:t xml:space="preserve">de la </w:t>
      </w:r>
      <w:r w:rsidR="00FA4390" w:rsidRPr="002F21D4">
        <w:rPr>
          <w:sz w:val="22"/>
          <w:szCs w:val="22"/>
        </w:rPr>
        <w:t>JEP</w:t>
      </w:r>
      <w:r w:rsidRPr="002F21D4">
        <w:rPr>
          <w:sz w:val="22"/>
          <w:szCs w:val="22"/>
        </w:rPr>
        <w:t>, se suma a los aportes de las personas que participaron directa o indirectamente en las hostilidades. L</w:t>
      </w:r>
      <w:r w:rsidRPr="002F21D4">
        <w:rPr>
          <w:sz w:val="22"/>
          <w:szCs w:val="22"/>
          <w:lang w:val="es-MX"/>
        </w:rPr>
        <w:t>a magnitud del universo estimado de personas desaparecidas requiere una contribución de información masiva, decidida, célere y correspondiente para mitigar la incertidumbre de sus familiares.</w:t>
      </w:r>
    </w:p>
    <w:p w14:paraId="7BD864AA" w14:textId="77777777" w:rsidR="002F21D4" w:rsidRPr="002F21D4" w:rsidRDefault="002F21D4" w:rsidP="00B06FB8">
      <w:pPr>
        <w:snapToGrid w:val="0"/>
        <w:ind w:firstLine="426"/>
        <w:jc w:val="both"/>
        <w:rPr>
          <w:sz w:val="22"/>
          <w:szCs w:val="22"/>
          <w:lang w:val="es-ES"/>
        </w:rPr>
      </w:pPr>
    </w:p>
    <w:p w14:paraId="56F24E3E" w14:textId="76E64B01" w:rsidR="005A5409" w:rsidRPr="002F21D4" w:rsidRDefault="00CB4E42" w:rsidP="00B06FB8">
      <w:pPr>
        <w:snapToGrid w:val="0"/>
        <w:ind w:firstLine="426"/>
        <w:jc w:val="both"/>
        <w:rPr>
          <w:sz w:val="22"/>
          <w:szCs w:val="22"/>
        </w:rPr>
      </w:pPr>
      <w:r w:rsidRPr="002F21D4">
        <w:rPr>
          <w:sz w:val="22"/>
          <w:szCs w:val="22"/>
          <w:lang w:val="es-ES"/>
        </w:rPr>
        <w:t>El mandato</w:t>
      </w:r>
      <w:r w:rsidR="003C79FE" w:rsidRPr="002F21D4">
        <w:rPr>
          <w:sz w:val="22"/>
          <w:szCs w:val="22"/>
          <w:lang w:val="es-ES"/>
        </w:rPr>
        <w:t xml:space="preserve"> de la UBPD</w:t>
      </w:r>
      <w:r w:rsidR="003C79FE" w:rsidRPr="002F21D4">
        <w:rPr>
          <w:rStyle w:val="FootnoteReference"/>
          <w:sz w:val="22"/>
          <w:szCs w:val="22"/>
          <w:lang w:val="es-ES"/>
        </w:rPr>
        <w:t xml:space="preserve"> </w:t>
      </w:r>
      <w:r w:rsidR="003C79FE" w:rsidRPr="002F21D4">
        <w:rPr>
          <w:sz w:val="22"/>
          <w:szCs w:val="22"/>
          <w:lang w:val="es-ES"/>
        </w:rPr>
        <w:t xml:space="preserve">es la respuesta a la deuda existente con miles de familias que, durante décadas, han buscado a las PDD en el marco del conflicto armado. El Estado colombiano, a través de la Unidad, visibiliza y prioriza humanitaria y extrajudicialmente estas victimizaciones, considerando </w:t>
      </w:r>
      <w:r w:rsidR="003C79FE" w:rsidRPr="002F21D4">
        <w:rPr>
          <w:sz w:val="22"/>
          <w:szCs w:val="22"/>
          <w:lang w:val="es-ES"/>
        </w:rPr>
        <w:lastRenderedPageBreak/>
        <w:t>las necesidades y expectativas de</w:t>
      </w:r>
      <w:r w:rsidR="00660CAB" w:rsidRPr="002F21D4">
        <w:rPr>
          <w:sz w:val="22"/>
          <w:szCs w:val="22"/>
          <w:lang w:val="es-ES"/>
        </w:rPr>
        <w:t xml:space="preserve"> las</w:t>
      </w:r>
      <w:r w:rsidR="003C79FE" w:rsidRPr="002F21D4">
        <w:rPr>
          <w:sz w:val="22"/>
          <w:szCs w:val="22"/>
          <w:lang w:val="es-ES"/>
        </w:rPr>
        <w:t xml:space="preserve"> familias buscadoras y dando centralidad a las víctimas, como lo contempla el Acuerdo Final. </w:t>
      </w:r>
      <w:r w:rsidR="003C79FE" w:rsidRPr="002F21D4">
        <w:rPr>
          <w:sz w:val="22"/>
          <w:szCs w:val="22"/>
        </w:rPr>
        <w:t>A través de acciones</w:t>
      </w:r>
      <w:r w:rsidR="005A5409" w:rsidRPr="002F21D4">
        <w:rPr>
          <w:sz w:val="22"/>
          <w:szCs w:val="22"/>
        </w:rPr>
        <w:t xml:space="preserve"> coordinadas con la JEP, se han proferido medidas cautelares</w:t>
      </w:r>
      <w:r w:rsidR="003C79FE" w:rsidRPr="002F21D4">
        <w:rPr>
          <w:sz w:val="22"/>
          <w:szCs w:val="22"/>
        </w:rPr>
        <w:t xml:space="preserve"> en lugares donde la búsqueda de PDD se debe emprender</w:t>
      </w:r>
      <w:r w:rsidR="003C79FE" w:rsidRPr="002F21D4">
        <w:rPr>
          <w:rStyle w:val="FootnoteReference"/>
          <w:sz w:val="22"/>
          <w:szCs w:val="22"/>
        </w:rPr>
        <w:t xml:space="preserve"> </w:t>
      </w:r>
      <w:r w:rsidR="005A5409" w:rsidRPr="002F21D4">
        <w:rPr>
          <w:rStyle w:val="FootnoteReference"/>
          <w:sz w:val="22"/>
          <w:szCs w:val="22"/>
        </w:rPr>
        <w:footnoteReference w:id="135"/>
      </w:r>
      <w:r w:rsidR="003C79FE" w:rsidRPr="002F21D4">
        <w:rPr>
          <w:sz w:val="22"/>
          <w:szCs w:val="22"/>
        </w:rPr>
        <w:t>,</w:t>
      </w:r>
      <w:r w:rsidR="005A5409" w:rsidRPr="002F21D4">
        <w:rPr>
          <w:sz w:val="22"/>
          <w:szCs w:val="22"/>
        </w:rPr>
        <w:t xml:space="preserve"> </w:t>
      </w:r>
      <w:r w:rsidR="00660CAB" w:rsidRPr="002F21D4">
        <w:rPr>
          <w:sz w:val="22"/>
          <w:szCs w:val="22"/>
        </w:rPr>
        <w:t>incentivando al</w:t>
      </w:r>
      <w:r w:rsidR="005A5409" w:rsidRPr="002F21D4">
        <w:rPr>
          <w:sz w:val="22"/>
          <w:szCs w:val="22"/>
        </w:rPr>
        <w:t xml:space="preserve"> SIVJRNR </w:t>
      </w:r>
      <w:r w:rsidR="00660CAB" w:rsidRPr="002F21D4">
        <w:rPr>
          <w:sz w:val="22"/>
          <w:szCs w:val="22"/>
        </w:rPr>
        <w:t xml:space="preserve">a realizar </w:t>
      </w:r>
      <w:r w:rsidR="005A5409" w:rsidRPr="002F21D4">
        <w:rPr>
          <w:sz w:val="22"/>
          <w:szCs w:val="22"/>
        </w:rPr>
        <w:t xml:space="preserve">aportes </w:t>
      </w:r>
      <w:r w:rsidR="003C79FE" w:rsidRPr="002F21D4">
        <w:rPr>
          <w:sz w:val="22"/>
          <w:szCs w:val="22"/>
        </w:rPr>
        <w:t>articulados par</w:t>
      </w:r>
      <w:r w:rsidR="005A5409" w:rsidRPr="002F21D4">
        <w:rPr>
          <w:sz w:val="22"/>
          <w:szCs w:val="22"/>
        </w:rPr>
        <w:t xml:space="preserve">a </w:t>
      </w:r>
      <w:r w:rsidR="003C79FE" w:rsidRPr="002F21D4">
        <w:rPr>
          <w:sz w:val="22"/>
          <w:szCs w:val="22"/>
        </w:rPr>
        <w:t xml:space="preserve">la </w:t>
      </w:r>
      <w:r w:rsidR="005A5409" w:rsidRPr="002F21D4">
        <w:rPr>
          <w:sz w:val="22"/>
          <w:szCs w:val="22"/>
        </w:rPr>
        <w:t>paz</w:t>
      </w:r>
      <w:r w:rsidR="003C79FE" w:rsidRPr="002F21D4">
        <w:rPr>
          <w:sz w:val="22"/>
          <w:szCs w:val="22"/>
        </w:rPr>
        <w:t>,</w:t>
      </w:r>
      <w:r w:rsidR="005A5409" w:rsidRPr="002F21D4">
        <w:rPr>
          <w:sz w:val="22"/>
          <w:szCs w:val="22"/>
        </w:rPr>
        <w:t xml:space="preserve"> </w:t>
      </w:r>
      <w:r w:rsidR="003C79FE" w:rsidRPr="002F21D4">
        <w:rPr>
          <w:sz w:val="22"/>
          <w:szCs w:val="22"/>
        </w:rPr>
        <w:t xml:space="preserve">en favor de </w:t>
      </w:r>
      <w:r w:rsidR="005A5409" w:rsidRPr="002F21D4">
        <w:rPr>
          <w:sz w:val="22"/>
          <w:szCs w:val="22"/>
        </w:rPr>
        <w:t>los derechos de las víctimas.</w:t>
      </w:r>
    </w:p>
    <w:p w14:paraId="469D41FB" w14:textId="77777777" w:rsidR="002F21D4" w:rsidRPr="002F21D4" w:rsidRDefault="002F21D4" w:rsidP="00B06FB8">
      <w:pPr>
        <w:snapToGrid w:val="0"/>
        <w:ind w:firstLine="426"/>
        <w:jc w:val="both"/>
        <w:rPr>
          <w:sz w:val="22"/>
          <w:szCs w:val="22"/>
        </w:rPr>
      </w:pPr>
    </w:p>
    <w:p w14:paraId="5D2DEA4F" w14:textId="379ABEFA" w:rsidR="009C1881" w:rsidRPr="002F21D4" w:rsidRDefault="009C1881" w:rsidP="00B06FB8">
      <w:pPr>
        <w:snapToGrid w:val="0"/>
        <w:ind w:firstLine="426"/>
        <w:jc w:val="both"/>
        <w:rPr>
          <w:sz w:val="22"/>
          <w:szCs w:val="22"/>
        </w:rPr>
      </w:pPr>
      <w:r w:rsidRPr="002F21D4">
        <w:rPr>
          <w:sz w:val="22"/>
          <w:szCs w:val="22"/>
        </w:rPr>
        <w:t xml:space="preserve">La </w:t>
      </w:r>
      <w:proofErr w:type="spellStart"/>
      <w:r w:rsidRPr="002F21D4">
        <w:rPr>
          <w:sz w:val="22"/>
          <w:szCs w:val="22"/>
        </w:rPr>
        <w:t>UBPD</w:t>
      </w:r>
      <w:proofErr w:type="spellEnd"/>
      <w:r w:rsidRPr="002F21D4">
        <w:rPr>
          <w:sz w:val="22"/>
          <w:szCs w:val="22"/>
        </w:rPr>
        <w:t xml:space="preserve"> desarrolló acciones para el despliegue territorial y difusión en los territorios, mediante emisoras comunitarias, elaboración de líneas de tiempo, recolección de información, campañas de </w:t>
      </w:r>
      <w:proofErr w:type="spellStart"/>
      <w:r w:rsidRPr="002F21D4">
        <w:rPr>
          <w:sz w:val="22"/>
          <w:szCs w:val="22"/>
        </w:rPr>
        <w:t>visibilización</w:t>
      </w:r>
      <w:proofErr w:type="spellEnd"/>
      <w:r w:rsidRPr="002F21D4">
        <w:rPr>
          <w:sz w:val="22"/>
          <w:szCs w:val="22"/>
        </w:rPr>
        <w:t xml:space="preserve"> del mandato, sensibilización en colegios y capacitaciones para la sociedad civil, el sector judicial y la fuerza pública, entre otras. Estas labores, además, están dirigidas a generar confianza en las comunidades para acceder a casos y se complementan con la coordinación de las instituciones competentes. </w:t>
      </w:r>
    </w:p>
    <w:p w14:paraId="018532BF" w14:textId="77777777" w:rsidR="002F21D4" w:rsidRPr="002F21D4" w:rsidRDefault="002F21D4" w:rsidP="00B06FB8">
      <w:pPr>
        <w:snapToGrid w:val="0"/>
        <w:ind w:firstLine="426"/>
        <w:jc w:val="both"/>
        <w:rPr>
          <w:sz w:val="22"/>
          <w:szCs w:val="22"/>
          <w:lang w:val="es-ES"/>
        </w:rPr>
      </w:pPr>
    </w:p>
    <w:p w14:paraId="12E97BB5" w14:textId="19F906C3" w:rsidR="000B2526" w:rsidRPr="002F21D4" w:rsidRDefault="000B2526" w:rsidP="00B06FB8">
      <w:pPr>
        <w:snapToGrid w:val="0"/>
        <w:ind w:firstLine="426"/>
        <w:jc w:val="both"/>
        <w:rPr>
          <w:sz w:val="22"/>
          <w:szCs w:val="22"/>
          <w:lang w:val="es-ES"/>
        </w:rPr>
      </w:pPr>
      <w:r w:rsidRPr="002F21D4">
        <w:rPr>
          <w:sz w:val="22"/>
          <w:szCs w:val="22"/>
          <w:lang w:val="es-ES"/>
        </w:rPr>
        <w:t xml:space="preserve">La </w:t>
      </w:r>
      <w:r w:rsidR="00CB4E42" w:rsidRPr="002F21D4">
        <w:rPr>
          <w:sz w:val="22"/>
          <w:szCs w:val="22"/>
          <w:lang w:val="es-ES"/>
        </w:rPr>
        <w:t>Unidad</w:t>
      </w:r>
      <w:r w:rsidRPr="002F21D4">
        <w:rPr>
          <w:sz w:val="22"/>
          <w:szCs w:val="22"/>
          <w:lang w:val="es-ES"/>
        </w:rPr>
        <w:t xml:space="preserve"> tiene la tarea de posicionar local y nacionalmente el reconocimiento de la desaparición</w:t>
      </w:r>
      <w:r w:rsidR="00CB4E42" w:rsidRPr="002F21D4">
        <w:rPr>
          <w:sz w:val="22"/>
          <w:szCs w:val="22"/>
          <w:lang w:val="es-ES"/>
        </w:rPr>
        <w:t xml:space="preserve"> de</w:t>
      </w:r>
      <w:r w:rsidRPr="002F21D4">
        <w:rPr>
          <w:sz w:val="22"/>
          <w:szCs w:val="22"/>
          <w:lang w:val="es-ES"/>
        </w:rPr>
        <w:t xml:space="preserve"> personas</w:t>
      </w:r>
      <w:r w:rsidRPr="002F21D4">
        <w:rPr>
          <w:rStyle w:val="FootnoteReference"/>
          <w:sz w:val="22"/>
          <w:szCs w:val="22"/>
        </w:rPr>
        <w:t xml:space="preserve"> </w:t>
      </w:r>
      <w:r w:rsidRPr="002F21D4">
        <w:rPr>
          <w:sz w:val="22"/>
          <w:szCs w:val="22"/>
          <w:lang w:val="es-ES"/>
        </w:rPr>
        <w:t xml:space="preserve">y la búsqueda como una labor que convoca a toda la sociedad. </w:t>
      </w:r>
      <w:r w:rsidR="00660CAB" w:rsidRPr="002F21D4">
        <w:rPr>
          <w:sz w:val="22"/>
          <w:szCs w:val="22"/>
          <w:lang w:val="es-ES"/>
        </w:rPr>
        <w:t>En este contexto, i</w:t>
      </w:r>
      <w:r w:rsidR="00CB4E42" w:rsidRPr="002F21D4">
        <w:rPr>
          <w:sz w:val="22"/>
          <w:szCs w:val="22"/>
          <w:lang w:val="es-ES"/>
        </w:rPr>
        <w:t>mpulsó</w:t>
      </w:r>
      <w:r w:rsidRPr="002F21D4">
        <w:rPr>
          <w:sz w:val="22"/>
          <w:szCs w:val="22"/>
          <w:lang w:val="es-ES"/>
        </w:rPr>
        <w:t xml:space="preserve"> la firma de </w:t>
      </w:r>
      <w:r w:rsidR="00442926" w:rsidRPr="002F21D4">
        <w:rPr>
          <w:sz w:val="22"/>
          <w:szCs w:val="22"/>
          <w:lang w:val="es-ES"/>
        </w:rPr>
        <w:t>8</w:t>
      </w:r>
      <w:r w:rsidRPr="002F21D4">
        <w:rPr>
          <w:sz w:val="22"/>
          <w:szCs w:val="22"/>
          <w:lang w:val="es-ES"/>
        </w:rPr>
        <w:t xml:space="preserve"> Pactos Regionales</w:t>
      </w:r>
      <w:r w:rsidRPr="002F21D4">
        <w:rPr>
          <w:rStyle w:val="FootnoteReference"/>
          <w:sz w:val="22"/>
          <w:szCs w:val="22"/>
        </w:rPr>
        <w:footnoteReference w:id="136"/>
      </w:r>
      <w:r w:rsidRPr="002F21D4">
        <w:rPr>
          <w:sz w:val="22"/>
          <w:szCs w:val="22"/>
          <w:lang w:val="es-ES"/>
        </w:rPr>
        <w:t xml:space="preserve"> que son la expresión de la voluntad política local, nacional e internacional en torno al tema, instando por una respuesta institucional </w:t>
      </w:r>
      <w:r w:rsidR="00660CAB" w:rsidRPr="002F21D4">
        <w:rPr>
          <w:sz w:val="22"/>
          <w:szCs w:val="22"/>
          <w:lang w:val="es-ES"/>
        </w:rPr>
        <w:t>coordinada</w:t>
      </w:r>
      <w:r w:rsidRPr="002F21D4">
        <w:rPr>
          <w:sz w:val="22"/>
          <w:szCs w:val="22"/>
          <w:lang w:val="es-ES"/>
        </w:rPr>
        <w:t>, y reafirmando la importancia de la intervención de las organizaciones buscadoras, como un aporte a la garantía de la participación y a los derechos de verdad y reparación de las víctimas. La Misión acompaña estos espacios y promueve activamente la inclusión de la búsqueda en las agendas públicas locales y nacional</w:t>
      </w:r>
      <w:r w:rsidR="00A64B93" w:rsidRPr="002F21D4">
        <w:rPr>
          <w:sz w:val="22"/>
          <w:szCs w:val="22"/>
          <w:lang w:val="es-ES"/>
        </w:rPr>
        <w:t>es</w:t>
      </w:r>
      <w:r w:rsidRPr="002F21D4">
        <w:rPr>
          <w:sz w:val="22"/>
          <w:szCs w:val="22"/>
          <w:lang w:val="es-ES"/>
        </w:rPr>
        <w:t>.</w:t>
      </w:r>
    </w:p>
    <w:p w14:paraId="70DDDBD4" w14:textId="77777777" w:rsidR="002F21D4" w:rsidRPr="002F21D4" w:rsidRDefault="002F21D4" w:rsidP="00B06FB8">
      <w:pPr>
        <w:snapToGrid w:val="0"/>
        <w:ind w:firstLine="360"/>
        <w:jc w:val="both"/>
        <w:rPr>
          <w:sz w:val="22"/>
          <w:szCs w:val="22"/>
          <w:lang w:val="es-ES"/>
        </w:rPr>
      </w:pPr>
    </w:p>
    <w:p w14:paraId="66D63BD0" w14:textId="6FD4FE6A" w:rsidR="00D81E62" w:rsidRPr="002F21D4" w:rsidRDefault="00D81E62" w:rsidP="00B06FB8">
      <w:pPr>
        <w:snapToGrid w:val="0"/>
        <w:ind w:firstLine="360"/>
        <w:jc w:val="both"/>
        <w:rPr>
          <w:sz w:val="22"/>
          <w:szCs w:val="22"/>
          <w:lang w:val="es-ES"/>
        </w:rPr>
      </w:pPr>
      <w:r w:rsidRPr="002F21D4">
        <w:rPr>
          <w:sz w:val="22"/>
          <w:szCs w:val="22"/>
          <w:lang w:val="es-ES"/>
        </w:rPr>
        <w:t>La sociedad en su conjunto y el Estado deben a</w:t>
      </w:r>
      <w:proofErr w:type="spellStart"/>
      <w:r w:rsidRPr="002F21D4">
        <w:rPr>
          <w:sz w:val="22"/>
          <w:szCs w:val="22"/>
        </w:rPr>
        <w:t>rticular</w:t>
      </w:r>
      <w:proofErr w:type="spellEnd"/>
      <w:r w:rsidRPr="002F21D4">
        <w:rPr>
          <w:sz w:val="22"/>
          <w:szCs w:val="22"/>
        </w:rPr>
        <w:t xml:space="preserve"> esfuerzos alrededor de la búsqueda de PDD, </w:t>
      </w:r>
      <w:r w:rsidRPr="002F21D4">
        <w:rPr>
          <w:sz w:val="22"/>
          <w:szCs w:val="22"/>
          <w:lang w:val="es-MX"/>
        </w:rPr>
        <w:t xml:space="preserve">garantizar mecanismos de información, </w:t>
      </w:r>
      <w:r w:rsidRPr="002F21D4">
        <w:rPr>
          <w:sz w:val="22"/>
          <w:szCs w:val="22"/>
        </w:rPr>
        <w:t xml:space="preserve">agilizar respuestas que alivien la incertidumbre </w:t>
      </w:r>
      <w:r w:rsidRPr="002F21D4">
        <w:rPr>
          <w:sz w:val="22"/>
          <w:szCs w:val="22"/>
          <w:lang w:val="es-MX"/>
        </w:rPr>
        <w:t>de las personas buscadoras y propender por el cese de la desaparición en el marco de las garantías de no repetición</w:t>
      </w:r>
      <w:r w:rsidR="00BD1CE6" w:rsidRPr="002F21D4">
        <w:rPr>
          <w:sz w:val="22"/>
          <w:szCs w:val="22"/>
          <w:lang w:val="es-MX"/>
        </w:rPr>
        <w:t xml:space="preserve">, </w:t>
      </w:r>
      <w:r w:rsidR="00BD1CE6" w:rsidRPr="002F21D4">
        <w:rPr>
          <w:sz w:val="22"/>
          <w:szCs w:val="22"/>
          <w:lang w:val="es-ES"/>
        </w:rPr>
        <w:t>particularmente en un contexto impactado por la pandemia por COVID-19</w:t>
      </w:r>
      <w:r w:rsidR="00BD1CE6" w:rsidRPr="002F21D4">
        <w:rPr>
          <w:sz w:val="22"/>
          <w:szCs w:val="22"/>
        </w:rPr>
        <w:t xml:space="preserve"> y las movilizaciones sociales</w:t>
      </w:r>
      <w:r w:rsidR="00BD1CE6" w:rsidRPr="002F21D4">
        <w:rPr>
          <w:rStyle w:val="FootnoteReference"/>
          <w:sz w:val="22"/>
          <w:szCs w:val="22"/>
        </w:rPr>
        <w:footnoteReference w:id="137"/>
      </w:r>
      <w:r w:rsidR="00BD1CE6" w:rsidRPr="002F21D4">
        <w:rPr>
          <w:sz w:val="22"/>
          <w:szCs w:val="22"/>
        </w:rPr>
        <w:t>, donde persisten los escenarios de riesgo contra liderazgos sociales.</w:t>
      </w:r>
      <w:r w:rsidR="00BD1CE6" w:rsidRPr="002F21D4">
        <w:rPr>
          <w:sz w:val="22"/>
          <w:szCs w:val="22"/>
          <w:lang w:val="es-MX"/>
        </w:rPr>
        <w:t xml:space="preserve"> P</w:t>
      </w:r>
      <w:r w:rsidRPr="002F21D4">
        <w:rPr>
          <w:sz w:val="22"/>
          <w:szCs w:val="22"/>
          <w:lang w:val="es-MX"/>
        </w:rPr>
        <w:t>ara ello es necesario</w:t>
      </w:r>
      <w:r w:rsidRPr="002F21D4">
        <w:rPr>
          <w:sz w:val="22"/>
          <w:szCs w:val="22"/>
          <w:lang w:val="es-ES"/>
        </w:rPr>
        <w:t xml:space="preserve"> determinar cuántas personas están desaparecidas y en dónde están ubicadas</w:t>
      </w:r>
      <w:r w:rsidR="00BD1CE6" w:rsidRPr="002F21D4">
        <w:rPr>
          <w:sz w:val="22"/>
          <w:szCs w:val="22"/>
          <w:lang w:val="es-ES"/>
        </w:rPr>
        <w:t>.</w:t>
      </w:r>
    </w:p>
    <w:p w14:paraId="593115D4" w14:textId="77777777" w:rsidR="002F21D4" w:rsidRPr="002F21D4" w:rsidRDefault="002F21D4" w:rsidP="00B06FB8">
      <w:pPr>
        <w:snapToGrid w:val="0"/>
        <w:ind w:firstLine="360"/>
        <w:jc w:val="both"/>
        <w:rPr>
          <w:sz w:val="22"/>
          <w:szCs w:val="22"/>
          <w:lang w:val="es-MX"/>
        </w:rPr>
      </w:pPr>
    </w:p>
    <w:p w14:paraId="1B278F17" w14:textId="1BCDDDA2" w:rsidR="00E10EAF" w:rsidRPr="002F21D4" w:rsidRDefault="00E10EAF" w:rsidP="002E06D9">
      <w:pPr>
        <w:pStyle w:val="ListParagraph"/>
        <w:numPr>
          <w:ilvl w:val="1"/>
          <w:numId w:val="24"/>
        </w:numPr>
        <w:autoSpaceDE w:val="0"/>
        <w:autoSpaceDN w:val="0"/>
        <w:adjustRightInd w:val="0"/>
        <w:snapToGrid w:val="0"/>
        <w:spacing w:after="0" w:line="240" w:lineRule="auto"/>
        <w:ind w:left="1440" w:hanging="720"/>
        <w:contextualSpacing w:val="0"/>
        <w:jc w:val="both"/>
        <w:rPr>
          <w:rFonts w:ascii="Times New Roman" w:hAnsi="Times New Roman" w:cs="Times New Roman"/>
          <w:b/>
        </w:rPr>
      </w:pPr>
      <w:r w:rsidRPr="002F21D4">
        <w:rPr>
          <w:rFonts w:ascii="Times New Roman" w:hAnsi="Times New Roman" w:cs="Times New Roman"/>
          <w:b/>
        </w:rPr>
        <w:t xml:space="preserve">Comisión </w:t>
      </w:r>
      <w:r w:rsidR="005B212B" w:rsidRPr="002F21D4">
        <w:rPr>
          <w:rFonts w:ascii="Times New Roman" w:hAnsi="Times New Roman" w:cs="Times New Roman"/>
          <w:b/>
        </w:rPr>
        <w:t>para el</w:t>
      </w:r>
      <w:r w:rsidRPr="002F21D4">
        <w:rPr>
          <w:rFonts w:ascii="Times New Roman" w:hAnsi="Times New Roman" w:cs="Times New Roman"/>
          <w:b/>
        </w:rPr>
        <w:t xml:space="preserve"> Esclarecimiento de la Verdad (CEV)</w:t>
      </w:r>
    </w:p>
    <w:p w14:paraId="68C53026" w14:textId="77777777" w:rsidR="002F21D4" w:rsidRPr="002E06D9" w:rsidRDefault="002F21D4" w:rsidP="00B06FB8">
      <w:pPr>
        <w:snapToGrid w:val="0"/>
        <w:ind w:firstLine="360"/>
        <w:jc w:val="both"/>
        <w:rPr>
          <w:sz w:val="22"/>
          <w:szCs w:val="22"/>
        </w:rPr>
      </w:pPr>
    </w:p>
    <w:p w14:paraId="11D4F5BD" w14:textId="0A4734E7" w:rsidR="00E10EAF" w:rsidRPr="002F21D4" w:rsidRDefault="00A94FEF" w:rsidP="00B06FB8">
      <w:pPr>
        <w:snapToGrid w:val="0"/>
        <w:ind w:firstLine="360"/>
        <w:jc w:val="both"/>
        <w:rPr>
          <w:sz w:val="22"/>
          <w:szCs w:val="22"/>
          <w:lang w:val="es-ES"/>
        </w:rPr>
      </w:pPr>
      <w:r w:rsidRPr="002F21D4">
        <w:rPr>
          <w:sz w:val="22"/>
          <w:szCs w:val="22"/>
          <w:lang w:val="es-ES"/>
        </w:rPr>
        <w:t xml:space="preserve">En el marco de la justicia transicional, conocer lo que sucedió, no sólo contribuye a la reparación de las víctimas, sino que aporta a forjar conciencia, a partir de la memoria, sobre la importancia de la convivencia y </w:t>
      </w:r>
      <w:r w:rsidR="00E442C3" w:rsidRPr="002F21D4">
        <w:rPr>
          <w:sz w:val="22"/>
          <w:szCs w:val="22"/>
          <w:lang w:val="es-ES"/>
        </w:rPr>
        <w:t>la</w:t>
      </w:r>
      <w:r w:rsidRPr="002F21D4">
        <w:rPr>
          <w:sz w:val="22"/>
          <w:szCs w:val="22"/>
          <w:lang w:val="es-ES"/>
        </w:rPr>
        <w:t xml:space="preserve"> no repeti</w:t>
      </w:r>
      <w:r w:rsidR="00E442C3" w:rsidRPr="002F21D4">
        <w:rPr>
          <w:sz w:val="22"/>
          <w:szCs w:val="22"/>
          <w:lang w:val="es-ES"/>
        </w:rPr>
        <w:t>ción</w:t>
      </w:r>
      <w:r w:rsidRPr="002F21D4">
        <w:rPr>
          <w:sz w:val="22"/>
          <w:szCs w:val="22"/>
          <w:lang w:val="es-ES"/>
        </w:rPr>
        <w:t>, facilitando así, el proceso de reconciliación.</w:t>
      </w:r>
      <w:r w:rsidR="009C1881" w:rsidRPr="002F21D4">
        <w:rPr>
          <w:sz w:val="22"/>
          <w:szCs w:val="22"/>
          <w:lang w:val="es-ES"/>
        </w:rPr>
        <w:t xml:space="preserve"> En este contexto, </w:t>
      </w:r>
      <w:r w:rsidR="00F936A1" w:rsidRPr="002F21D4">
        <w:rPr>
          <w:sz w:val="22"/>
          <w:szCs w:val="22"/>
          <w:lang w:val="es-ES"/>
        </w:rPr>
        <w:t>la CEV</w:t>
      </w:r>
      <w:r w:rsidR="009C1881" w:rsidRPr="002F21D4">
        <w:rPr>
          <w:sz w:val="22"/>
          <w:szCs w:val="22"/>
          <w:lang w:val="es-ES"/>
        </w:rPr>
        <w:t xml:space="preserve"> en su tercer año</w:t>
      </w:r>
      <w:r w:rsidR="00F936A1" w:rsidRPr="002F21D4">
        <w:rPr>
          <w:sz w:val="22"/>
          <w:szCs w:val="22"/>
          <w:lang w:val="es-ES"/>
        </w:rPr>
        <w:t xml:space="preserve"> </w:t>
      </w:r>
      <w:r w:rsidR="00E10EAF" w:rsidRPr="002F21D4">
        <w:rPr>
          <w:sz w:val="22"/>
          <w:szCs w:val="22"/>
          <w:lang w:val="es-ES"/>
        </w:rPr>
        <w:t xml:space="preserve">se ha movilizado </w:t>
      </w:r>
      <w:r w:rsidR="006959C5" w:rsidRPr="002F21D4">
        <w:rPr>
          <w:sz w:val="22"/>
          <w:szCs w:val="22"/>
          <w:lang w:val="es-ES"/>
        </w:rPr>
        <w:t>para escuchar a diferentes actores</w:t>
      </w:r>
      <w:r w:rsidR="00E10EAF" w:rsidRPr="002F21D4">
        <w:rPr>
          <w:sz w:val="22"/>
          <w:szCs w:val="22"/>
          <w:lang w:val="es-ES"/>
        </w:rPr>
        <w:t>,</w:t>
      </w:r>
      <w:r w:rsidR="006959C5" w:rsidRPr="002F21D4">
        <w:rPr>
          <w:sz w:val="22"/>
          <w:szCs w:val="22"/>
          <w:lang w:val="es-ES"/>
        </w:rPr>
        <w:t xml:space="preserve"> de manera</w:t>
      </w:r>
      <w:r w:rsidR="00E10EAF" w:rsidRPr="002F21D4">
        <w:rPr>
          <w:sz w:val="22"/>
          <w:szCs w:val="22"/>
          <w:lang w:val="es-ES"/>
        </w:rPr>
        <w:t xml:space="preserve"> incluyente, </w:t>
      </w:r>
      <w:r w:rsidR="006959C5" w:rsidRPr="002F21D4">
        <w:rPr>
          <w:sz w:val="22"/>
          <w:szCs w:val="22"/>
          <w:lang w:val="es-ES"/>
        </w:rPr>
        <w:t xml:space="preserve">propendiendo por </w:t>
      </w:r>
      <w:r w:rsidR="00E10EAF" w:rsidRPr="002F21D4">
        <w:rPr>
          <w:sz w:val="22"/>
          <w:szCs w:val="22"/>
          <w:lang w:val="es-ES"/>
        </w:rPr>
        <w:t>la devolución a la sociedad colombiana de los hallazgos obtenido</w:t>
      </w:r>
      <w:r w:rsidR="006959C5" w:rsidRPr="002F21D4">
        <w:rPr>
          <w:sz w:val="22"/>
          <w:szCs w:val="22"/>
          <w:lang w:val="es-ES"/>
        </w:rPr>
        <w:t>s, a través de la presentación del Informe Final</w:t>
      </w:r>
      <w:r w:rsidR="00EF0911" w:rsidRPr="002F21D4">
        <w:rPr>
          <w:rStyle w:val="FootnoteReference"/>
          <w:sz w:val="22"/>
          <w:szCs w:val="22"/>
        </w:rPr>
        <w:footnoteReference w:id="138"/>
      </w:r>
      <w:r w:rsidR="006959C5" w:rsidRPr="002F21D4">
        <w:rPr>
          <w:sz w:val="22"/>
          <w:szCs w:val="22"/>
          <w:lang w:val="es-ES"/>
        </w:rPr>
        <w:t>.</w:t>
      </w:r>
      <w:r w:rsidR="00EF0911" w:rsidRPr="002F21D4">
        <w:rPr>
          <w:sz w:val="22"/>
          <w:szCs w:val="22"/>
          <w:lang w:val="es-ES"/>
        </w:rPr>
        <w:t xml:space="preserve"> </w:t>
      </w:r>
      <w:r w:rsidR="00367755" w:rsidRPr="002F21D4">
        <w:rPr>
          <w:sz w:val="22"/>
          <w:szCs w:val="22"/>
          <w:lang w:val="es-ES"/>
        </w:rPr>
        <w:t>La presentación de este Informe</w:t>
      </w:r>
      <w:r w:rsidR="00EF0911" w:rsidRPr="002F21D4">
        <w:rPr>
          <w:sz w:val="22"/>
          <w:szCs w:val="22"/>
          <w:lang w:val="es-ES"/>
        </w:rPr>
        <w:t xml:space="preserve">, enfrenta </w:t>
      </w:r>
      <w:r w:rsidR="008D6A0C" w:rsidRPr="002F21D4">
        <w:rPr>
          <w:sz w:val="22"/>
          <w:szCs w:val="22"/>
          <w:lang w:val="es-ES"/>
        </w:rPr>
        <w:t>diversos retos como lograr tener relevancia</w:t>
      </w:r>
      <w:r w:rsidR="00E10EAF" w:rsidRPr="002F21D4">
        <w:rPr>
          <w:sz w:val="22"/>
          <w:szCs w:val="22"/>
          <w:lang w:val="es-ES"/>
        </w:rPr>
        <w:t xml:space="preserve"> para múltiples sectores y actores; no profundizar la polarización del país, y, por el </w:t>
      </w:r>
      <w:r w:rsidR="00E10EAF" w:rsidRPr="002F21D4">
        <w:rPr>
          <w:sz w:val="22"/>
          <w:szCs w:val="22"/>
          <w:lang w:val="es-ES"/>
        </w:rPr>
        <w:lastRenderedPageBreak/>
        <w:t xml:space="preserve">contrario, adherir voluntades para </w:t>
      </w:r>
      <w:r w:rsidR="008D6A0C" w:rsidRPr="002F21D4">
        <w:rPr>
          <w:sz w:val="22"/>
          <w:szCs w:val="22"/>
          <w:lang w:val="es-ES"/>
        </w:rPr>
        <w:t xml:space="preserve">su </w:t>
      </w:r>
      <w:r w:rsidR="00E10EAF" w:rsidRPr="002F21D4">
        <w:rPr>
          <w:sz w:val="22"/>
          <w:szCs w:val="22"/>
          <w:lang w:val="es-ES"/>
        </w:rPr>
        <w:t>comprensión y apropiación; llegar a todo el territorio nacional; ser parte activa de la historia y construcción colectiva del país, de la dignificación y reconocimiento de las víctimas</w:t>
      </w:r>
      <w:r w:rsidR="00F936A1" w:rsidRPr="002F21D4">
        <w:rPr>
          <w:sz w:val="22"/>
          <w:szCs w:val="22"/>
          <w:lang w:val="es-ES"/>
        </w:rPr>
        <w:t xml:space="preserve"> como sujetos políticos</w:t>
      </w:r>
      <w:r w:rsidR="00830EBE" w:rsidRPr="002F21D4">
        <w:rPr>
          <w:sz w:val="22"/>
          <w:szCs w:val="22"/>
          <w:lang w:val="es-ES"/>
        </w:rPr>
        <w:t xml:space="preserve">; </w:t>
      </w:r>
      <w:r w:rsidR="00F936A1" w:rsidRPr="002F21D4">
        <w:rPr>
          <w:sz w:val="22"/>
          <w:szCs w:val="22"/>
          <w:lang w:val="es-ES"/>
        </w:rPr>
        <w:t xml:space="preserve">y contribuir a consolidar el diálogo social como una herramienta central en la construcción de paz. </w:t>
      </w:r>
    </w:p>
    <w:p w14:paraId="08F88533" w14:textId="77777777" w:rsidR="002F21D4" w:rsidRPr="002F21D4" w:rsidRDefault="002F21D4" w:rsidP="00B06FB8">
      <w:pPr>
        <w:snapToGrid w:val="0"/>
        <w:ind w:firstLine="360"/>
        <w:jc w:val="both"/>
        <w:rPr>
          <w:sz w:val="22"/>
          <w:szCs w:val="22"/>
          <w:lang w:val="es-ES"/>
        </w:rPr>
      </w:pPr>
    </w:p>
    <w:p w14:paraId="31E3FC0C" w14:textId="4B1F4074" w:rsidR="00E10EAF" w:rsidRPr="002F21D4" w:rsidRDefault="00367755" w:rsidP="00B06FB8">
      <w:pPr>
        <w:snapToGrid w:val="0"/>
        <w:ind w:firstLine="360"/>
        <w:jc w:val="both"/>
        <w:rPr>
          <w:sz w:val="22"/>
          <w:szCs w:val="22"/>
          <w:lang w:val="es-ES"/>
        </w:rPr>
      </w:pPr>
      <w:r w:rsidRPr="002F21D4">
        <w:rPr>
          <w:sz w:val="22"/>
          <w:szCs w:val="22"/>
          <w:lang w:val="es-ES"/>
        </w:rPr>
        <w:t>Adicionalmente, l</w:t>
      </w:r>
      <w:r w:rsidR="0040752D" w:rsidRPr="002F21D4">
        <w:rPr>
          <w:sz w:val="22"/>
          <w:szCs w:val="22"/>
          <w:lang w:val="es-ES"/>
        </w:rPr>
        <w:t>as</w:t>
      </w:r>
      <w:r w:rsidR="00E10EAF" w:rsidRPr="002F21D4">
        <w:rPr>
          <w:sz w:val="22"/>
          <w:szCs w:val="22"/>
          <w:lang w:val="es-ES"/>
        </w:rPr>
        <w:t xml:space="preserve"> recomendaciones presentadas por la CEV </w:t>
      </w:r>
      <w:r w:rsidRPr="002F21D4">
        <w:rPr>
          <w:sz w:val="22"/>
          <w:szCs w:val="22"/>
          <w:lang w:val="es-ES"/>
        </w:rPr>
        <w:t>en el Informe Final deberán</w:t>
      </w:r>
      <w:r w:rsidR="00E10EAF" w:rsidRPr="002F21D4">
        <w:rPr>
          <w:sz w:val="22"/>
          <w:szCs w:val="22"/>
          <w:lang w:val="es-ES"/>
        </w:rPr>
        <w:t xml:space="preserve"> tener una amplia difusión </w:t>
      </w:r>
      <w:r w:rsidR="00830EBE" w:rsidRPr="002F21D4">
        <w:rPr>
          <w:sz w:val="22"/>
          <w:szCs w:val="22"/>
          <w:lang w:val="es-ES"/>
        </w:rPr>
        <w:t xml:space="preserve">en </w:t>
      </w:r>
      <w:r w:rsidR="00E10EAF" w:rsidRPr="002F21D4">
        <w:rPr>
          <w:sz w:val="22"/>
          <w:szCs w:val="22"/>
          <w:lang w:val="es-ES"/>
        </w:rPr>
        <w:t>la población colombiana para así aportar al seguimiento de su implementación y a la incorporación en la agenda pública que dé cuenta de la efectiva transformación institucional, cultural, política y social que se busca en la Justicia Transicional.</w:t>
      </w:r>
      <w:r w:rsidR="0078159F" w:rsidRPr="002F21D4">
        <w:rPr>
          <w:sz w:val="22"/>
          <w:szCs w:val="22"/>
          <w:lang w:val="es-ES"/>
        </w:rPr>
        <w:t xml:space="preserve"> </w:t>
      </w:r>
    </w:p>
    <w:p w14:paraId="37901480" w14:textId="77777777" w:rsidR="002F21D4" w:rsidRPr="002F21D4" w:rsidRDefault="002F21D4" w:rsidP="00B06FB8">
      <w:pPr>
        <w:snapToGrid w:val="0"/>
        <w:ind w:firstLine="360"/>
        <w:jc w:val="both"/>
        <w:rPr>
          <w:sz w:val="22"/>
          <w:szCs w:val="22"/>
          <w:lang w:val="es-ES"/>
        </w:rPr>
      </w:pPr>
    </w:p>
    <w:p w14:paraId="1C8AC68A" w14:textId="411AADF3" w:rsidR="00E10EAF" w:rsidRPr="002F21D4" w:rsidRDefault="008C5DB2" w:rsidP="00B06FB8">
      <w:pPr>
        <w:snapToGrid w:val="0"/>
        <w:ind w:firstLine="360"/>
        <w:jc w:val="both"/>
        <w:rPr>
          <w:sz w:val="22"/>
          <w:szCs w:val="22"/>
          <w:lang w:val="es-ES"/>
        </w:rPr>
      </w:pPr>
      <w:r w:rsidRPr="002F21D4">
        <w:rPr>
          <w:sz w:val="22"/>
          <w:szCs w:val="22"/>
          <w:lang w:val="es-ES"/>
        </w:rPr>
        <w:t xml:space="preserve">Entre los avances de la CEV está el acercamiento y la escucha de sectores de la sociedad colombiana como </w:t>
      </w:r>
      <w:r w:rsidR="0040752D" w:rsidRPr="002F21D4">
        <w:rPr>
          <w:sz w:val="22"/>
          <w:szCs w:val="22"/>
          <w:lang w:val="es-ES"/>
        </w:rPr>
        <w:t>el empresarial</w:t>
      </w:r>
      <w:r w:rsidR="00072C44" w:rsidRPr="002F21D4">
        <w:rPr>
          <w:sz w:val="22"/>
          <w:szCs w:val="22"/>
          <w:lang w:val="es-ES"/>
        </w:rPr>
        <w:t xml:space="preserve"> </w:t>
      </w:r>
      <w:r w:rsidRPr="002F21D4">
        <w:rPr>
          <w:sz w:val="22"/>
          <w:szCs w:val="22"/>
          <w:lang w:val="es-ES"/>
        </w:rPr>
        <w:t>quienes no siempre se definen como actor</w:t>
      </w:r>
      <w:r w:rsidR="00830EBE" w:rsidRPr="002F21D4">
        <w:rPr>
          <w:sz w:val="22"/>
          <w:szCs w:val="22"/>
          <w:lang w:val="es-ES"/>
        </w:rPr>
        <w:t>es</w:t>
      </w:r>
      <w:r w:rsidRPr="002F21D4">
        <w:rPr>
          <w:sz w:val="22"/>
          <w:szCs w:val="22"/>
          <w:lang w:val="es-ES"/>
        </w:rPr>
        <w:t xml:space="preserve"> fundamental</w:t>
      </w:r>
      <w:r w:rsidR="00830EBE" w:rsidRPr="002F21D4">
        <w:rPr>
          <w:sz w:val="22"/>
          <w:szCs w:val="22"/>
          <w:lang w:val="es-ES"/>
        </w:rPr>
        <w:t>es</w:t>
      </w:r>
      <w:r w:rsidRPr="002F21D4">
        <w:rPr>
          <w:sz w:val="22"/>
          <w:szCs w:val="22"/>
          <w:lang w:val="es-ES"/>
        </w:rPr>
        <w:t xml:space="preserve"> para narrar lo ocurrido y contribuir a la no repetición. </w:t>
      </w:r>
      <w:r w:rsidR="00E10EAF" w:rsidRPr="002F21D4">
        <w:rPr>
          <w:sz w:val="22"/>
          <w:szCs w:val="22"/>
          <w:lang w:val="es-ES"/>
        </w:rPr>
        <w:t>Durante el periodo de desarrollo del mandato, la Comisión ha realizado un total de 13.449 entrevistas y escuchado a 24.887 personas, en diferentes ejercicios individuales y colectivos en todo el país</w:t>
      </w:r>
      <w:r w:rsidR="00E10EAF" w:rsidRPr="002F21D4">
        <w:rPr>
          <w:rStyle w:val="FootnoteReference"/>
          <w:sz w:val="22"/>
          <w:szCs w:val="22"/>
        </w:rPr>
        <w:footnoteReference w:id="139"/>
      </w:r>
      <w:r w:rsidR="00E10EAF" w:rsidRPr="002F21D4">
        <w:rPr>
          <w:rStyle w:val="FootnoteReference"/>
          <w:sz w:val="22"/>
          <w:szCs w:val="22"/>
          <w:lang w:val="es-ES"/>
        </w:rPr>
        <w:t xml:space="preserve"> </w:t>
      </w:r>
      <w:r w:rsidR="00E10EAF" w:rsidRPr="002F21D4">
        <w:rPr>
          <w:sz w:val="22"/>
          <w:szCs w:val="22"/>
          <w:lang w:val="es-ES"/>
        </w:rPr>
        <w:t>y en el extranjero</w:t>
      </w:r>
      <w:r w:rsidRPr="002F21D4">
        <w:rPr>
          <w:sz w:val="22"/>
          <w:szCs w:val="22"/>
          <w:lang w:val="es-ES"/>
        </w:rPr>
        <w:t>; y</w:t>
      </w:r>
      <w:r w:rsidR="00E10EAF" w:rsidRPr="002F21D4">
        <w:rPr>
          <w:sz w:val="22"/>
          <w:szCs w:val="22"/>
          <w:lang w:val="es-ES"/>
        </w:rPr>
        <w:t xml:space="preserve"> ha promovido más de 30 actos de reconocimiento de responsabilidad (públicos y privados</w:t>
      </w:r>
      <w:r w:rsidRPr="002F21D4">
        <w:rPr>
          <w:sz w:val="22"/>
          <w:szCs w:val="22"/>
          <w:lang w:val="es-ES"/>
        </w:rPr>
        <w:t>)</w:t>
      </w:r>
      <w:r w:rsidR="00E10EAF" w:rsidRPr="002F21D4">
        <w:rPr>
          <w:rStyle w:val="FootnoteReference"/>
          <w:sz w:val="22"/>
          <w:szCs w:val="22"/>
        </w:rPr>
        <w:footnoteReference w:id="140"/>
      </w:r>
      <w:r w:rsidR="00E10EAF" w:rsidRPr="002F21D4">
        <w:rPr>
          <w:sz w:val="22"/>
          <w:szCs w:val="22"/>
          <w:lang w:val="es-ES"/>
        </w:rPr>
        <w:t xml:space="preserve">. </w:t>
      </w:r>
    </w:p>
    <w:p w14:paraId="213AFE01" w14:textId="77777777" w:rsidR="002F21D4" w:rsidRPr="002F21D4" w:rsidRDefault="002F21D4" w:rsidP="00B06FB8">
      <w:pPr>
        <w:snapToGrid w:val="0"/>
        <w:ind w:firstLine="357"/>
        <w:jc w:val="both"/>
        <w:rPr>
          <w:color w:val="000000"/>
          <w:sz w:val="22"/>
          <w:szCs w:val="22"/>
          <w:shd w:val="clear" w:color="auto" w:fill="FFFFFF"/>
        </w:rPr>
      </w:pPr>
    </w:p>
    <w:p w14:paraId="2955AC1B" w14:textId="2D6F4872" w:rsidR="00A94FEF" w:rsidRPr="002F21D4" w:rsidRDefault="00FE7B27" w:rsidP="00B06FB8">
      <w:pPr>
        <w:snapToGrid w:val="0"/>
        <w:ind w:firstLine="357"/>
        <w:jc w:val="both"/>
        <w:rPr>
          <w:color w:val="000000"/>
          <w:sz w:val="22"/>
          <w:szCs w:val="22"/>
          <w:shd w:val="clear" w:color="auto" w:fill="FFFFFF"/>
        </w:rPr>
      </w:pPr>
      <w:r w:rsidRPr="002F21D4">
        <w:rPr>
          <w:color w:val="000000"/>
          <w:sz w:val="22"/>
          <w:szCs w:val="22"/>
          <w:shd w:val="clear" w:color="auto" w:fill="FFFFFF"/>
        </w:rPr>
        <w:t xml:space="preserve">La </w:t>
      </w:r>
      <w:proofErr w:type="spellStart"/>
      <w:r w:rsidRPr="002F21D4">
        <w:rPr>
          <w:color w:val="000000"/>
          <w:sz w:val="22"/>
          <w:szCs w:val="22"/>
          <w:shd w:val="clear" w:color="auto" w:fill="FFFFFF"/>
        </w:rPr>
        <w:t>CEV</w:t>
      </w:r>
      <w:proofErr w:type="spellEnd"/>
      <w:r w:rsidRPr="002F21D4">
        <w:rPr>
          <w:color w:val="000000"/>
          <w:sz w:val="22"/>
          <w:szCs w:val="22"/>
          <w:shd w:val="clear" w:color="auto" w:fill="FFFFFF"/>
        </w:rPr>
        <w:t xml:space="preserve"> realizó</w:t>
      </w:r>
      <w:r w:rsidR="00A94FEF" w:rsidRPr="002F21D4">
        <w:rPr>
          <w:color w:val="000000"/>
          <w:sz w:val="22"/>
          <w:szCs w:val="22"/>
          <w:shd w:val="clear" w:color="auto" w:fill="FFFFFF"/>
        </w:rPr>
        <w:t xml:space="preserve"> acciones territoriales y nacionales que contribuyen a superar la normalización de la violencia y la indiferencia generalizada</w:t>
      </w:r>
      <w:r w:rsidR="00246FF7" w:rsidRPr="002F21D4">
        <w:rPr>
          <w:color w:val="000000"/>
          <w:sz w:val="22"/>
          <w:szCs w:val="22"/>
          <w:shd w:val="clear" w:color="auto" w:fill="FFFFFF"/>
        </w:rPr>
        <w:t>,</w:t>
      </w:r>
      <w:r w:rsidR="00A94FEF" w:rsidRPr="002F21D4">
        <w:rPr>
          <w:color w:val="000000"/>
          <w:sz w:val="22"/>
          <w:szCs w:val="22"/>
          <w:shd w:val="clear" w:color="auto" w:fill="FFFFFF"/>
        </w:rPr>
        <w:t xml:space="preserve"> a través </w:t>
      </w:r>
      <w:r w:rsidR="00246FF7" w:rsidRPr="002F21D4">
        <w:rPr>
          <w:color w:val="000000"/>
          <w:sz w:val="22"/>
          <w:szCs w:val="22"/>
          <w:shd w:val="clear" w:color="auto" w:fill="FFFFFF"/>
        </w:rPr>
        <w:t xml:space="preserve">de </w:t>
      </w:r>
      <w:r w:rsidR="00A94FEF" w:rsidRPr="002F21D4">
        <w:rPr>
          <w:color w:val="000000"/>
          <w:sz w:val="22"/>
          <w:szCs w:val="22"/>
          <w:shd w:val="clear" w:color="auto" w:fill="FFFFFF"/>
        </w:rPr>
        <w:t xml:space="preserve">diversos espacios de escucha </w:t>
      </w:r>
      <w:r w:rsidR="008C5DB2" w:rsidRPr="002F21D4">
        <w:rPr>
          <w:color w:val="000000"/>
          <w:sz w:val="22"/>
          <w:szCs w:val="22"/>
          <w:shd w:val="clear" w:color="auto" w:fill="FFFFFF"/>
        </w:rPr>
        <w:t xml:space="preserve">en </w:t>
      </w:r>
      <w:r w:rsidR="00A94FEF" w:rsidRPr="002F21D4">
        <w:rPr>
          <w:color w:val="000000"/>
          <w:sz w:val="22"/>
          <w:szCs w:val="22"/>
          <w:shd w:val="clear" w:color="auto" w:fill="FFFFFF"/>
        </w:rPr>
        <w:t>Meta, Nariño, Cauca</w:t>
      </w:r>
      <w:r w:rsidR="00246FF7" w:rsidRPr="002F21D4">
        <w:rPr>
          <w:color w:val="000000"/>
          <w:sz w:val="22"/>
          <w:szCs w:val="22"/>
          <w:shd w:val="clear" w:color="auto" w:fill="FFFFFF"/>
        </w:rPr>
        <w:t xml:space="preserve"> y </w:t>
      </w:r>
      <w:r w:rsidR="00A94FEF" w:rsidRPr="002F21D4">
        <w:rPr>
          <w:color w:val="000000"/>
          <w:sz w:val="22"/>
          <w:szCs w:val="22"/>
          <w:shd w:val="clear" w:color="auto" w:fill="FFFFFF"/>
        </w:rPr>
        <w:t>Guaviare</w:t>
      </w:r>
      <w:r w:rsidR="00246FF7" w:rsidRPr="002F21D4">
        <w:rPr>
          <w:color w:val="000000"/>
          <w:sz w:val="22"/>
          <w:szCs w:val="22"/>
          <w:shd w:val="clear" w:color="auto" w:fill="FFFFFF"/>
        </w:rPr>
        <w:t>;</w:t>
      </w:r>
      <w:r w:rsidR="00A94FEF" w:rsidRPr="002F21D4">
        <w:rPr>
          <w:color w:val="000000"/>
          <w:sz w:val="22"/>
          <w:szCs w:val="22"/>
          <w:shd w:val="clear" w:color="auto" w:fill="FFFFFF"/>
        </w:rPr>
        <w:t xml:space="preserve"> actos de reconocimiento </w:t>
      </w:r>
      <w:r w:rsidR="008C5DB2" w:rsidRPr="002F21D4">
        <w:rPr>
          <w:color w:val="000000"/>
          <w:sz w:val="22"/>
          <w:szCs w:val="22"/>
          <w:shd w:val="clear" w:color="auto" w:fill="FFFFFF"/>
        </w:rPr>
        <w:t xml:space="preserve">en el </w:t>
      </w:r>
      <w:r w:rsidR="00A94FEF" w:rsidRPr="002F21D4">
        <w:rPr>
          <w:color w:val="000000"/>
          <w:sz w:val="22"/>
          <w:szCs w:val="22"/>
          <w:shd w:val="clear" w:color="auto" w:fill="FFFFFF"/>
        </w:rPr>
        <w:t>Cauca y Valle del Cauca</w:t>
      </w:r>
      <w:r w:rsidR="00246FF7" w:rsidRPr="002F21D4">
        <w:rPr>
          <w:color w:val="000000"/>
          <w:sz w:val="22"/>
          <w:szCs w:val="22"/>
          <w:shd w:val="clear" w:color="auto" w:fill="FFFFFF"/>
        </w:rPr>
        <w:t>;</w:t>
      </w:r>
      <w:r w:rsidR="008C5DB2" w:rsidRPr="002F21D4">
        <w:rPr>
          <w:color w:val="000000"/>
          <w:sz w:val="22"/>
          <w:szCs w:val="22"/>
          <w:shd w:val="clear" w:color="auto" w:fill="FFFFFF"/>
        </w:rPr>
        <w:t xml:space="preserve"> </w:t>
      </w:r>
      <w:r w:rsidR="00A94FEF" w:rsidRPr="002F21D4">
        <w:rPr>
          <w:color w:val="000000"/>
          <w:sz w:val="22"/>
          <w:szCs w:val="22"/>
          <w:shd w:val="clear" w:color="auto" w:fill="FFFFFF"/>
        </w:rPr>
        <w:t>y diálogos para la no repetición con la presencia de víctimas, responsables y testigos de todos los sectores. </w:t>
      </w:r>
    </w:p>
    <w:p w14:paraId="013266C2" w14:textId="77777777" w:rsidR="002F21D4" w:rsidRPr="002F21D4" w:rsidRDefault="002F21D4" w:rsidP="00B06FB8">
      <w:pPr>
        <w:snapToGrid w:val="0"/>
        <w:ind w:firstLine="357"/>
        <w:jc w:val="both"/>
        <w:rPr>
          <w:color w:val="000000"/>
          <w:sz w:val="22"/>
          <w:szCs w:val="22"/>
          <w:shd w:val="clear" w:color="auto" w:fill="FFFFFF"/>
        </w:rPr>
      </w:pPr>
    </w:p>
    <w:p w14:paraId="7EB9155F" w14:textId="6F2F35DE" w:rsidR="00FE7B27" w:rsidRPr="002F21D4" w:rsidRDefault="00FE7B27" w:rsidP="00B06FB8">
      <w:pPr>
        <w:snapToGrid w:val="0"/>
        <w:ind w:firstLine="357"/>
        <w:jc w:val="both"/>
        <w:rPr>
          <w:color w:val="000000"/>
          <w:sz w:val="22"/>
          <w:szCs w:val="22"/>
          <w:shd w:val="clear" w:color="auto" w:fill="FFFFFF"/>
        </w:rPr>
      </w:pPr>
      <w:r w:rsidRPr="002F21D4">
        <w:rPr>
          <w:color w:val="000000"/>
          <w:sz w:val="22"/>
          <w:szCs w:val="22"/>
          <w:shd w:val="clear" w:color="auto" w:fill="FFFFFF"/>
        </w:rPr>
        <w:t xml:space="preserve">La </w:t>
      </w:r>
      <w:r w:rsidR="006D7B85" w:rsidRPr="002F21D4">
        <w:rPr>
          <w:color w:val="000000"/>
          <w:sz w:val="22"/>
          <w:szCs w:val="22"/>
          <w:shd w:val="clear" w:color="auto" w:fill="FFFFFF"/>
        </w:rPr>
        <w:t xml:space="preserve">SG/OEA </w:t>
      </w:r>
      <w:r w:rsidRPr="002F21D4">
        <w:rPr>
          <w:color w:val="000000"/>
          <w:sz w:val="22"/>
          <w:szCs w:val="22"/>
          <w:shd w:val="clear" w:color="auto" w:fill="FFFFFF"/>
        </w:rPr>
        <w:t>renueva el compromiso por la paz a través de la construcción de la verdad, reconoce el aporte fundamental de la CEV a través de El Legado</w:t>
      </w:r>
      <w:r w:rsidR="00152D9A" w:rsidRPr="002F21D4">
        <w:rPr>
          <w:color w:val="000000"/>
          <w:sz w:val="22"/>
          <w:szCs w:val="22"/>
          <w:shd w:val="clear" w:color="auto" w:fill="FFFFFF"/>
        </w:rPr>
        <w:t xml:space="preserve">, por esta razón, </w:t>
      </w:r>
      <w:r w:rsidRPr="002F21D4">
        <w:rPr>
          <w:color w:val="000000"/>
          <w:sz w:val="22"/>
          <w:szCs w:val="22"/>
          <w:shd w:val="clear" w:color="auto" w:fill="FFFFFF"/>
        </w:rPr>
        <w:t>apoyar</w:t>
      </w:r>
      <w:r w:rsidR="00152D9A" w:rsidRPr="002F21D4">
        <w:rPr>
          <w:color w:val="000000"/>
          <w:sz w:val="22"/>
          <w:szCs w:val="22"/>
          <w:shd w:val="clear" w:color="auto" w:fill="FFFFFF"/>
        </w:rPr>
        <w:t>á</w:t>
      </w:r>
      <w:r w:rsidRPr="002F21D4">
        <w:rPr>
          <w:color w:val="000000"/>
          <w:sz w:val="22"/>
          <w:szCs w:val="22"/>
          <w:shd w:val="clear" w:color="auto" w:fill="FFFFFF"/>
        </w:rPr>
        <w:t xml:space="preserve"> la apropiación y seguimiento al Informe Final y sus recomendaciones, </w:t>
      </w:r>
      <w:r w:rsidR="00B867D7" w:rsidRPr="002F21D4">
        <w:rPr>
          <w:color w:val="000000"/>
          <w:sz w:val="22"/>
          <w:szCs w:val="22"/>
          <w:shd w:val="clear" w:color="auto" w:fill="FFFFFF"/>
        </w:rPr>
        <w:t>y</w:t>
      </w:r>
      <w:r w:rsidRPr="002F21D4">
        <w:rPr>
          <w:color w:val="000000"/>
          <w:sz w:val="22"/>
          <w:szCs w:val="22"/>
          <w:shd w:val="clear" w:color="auto" w:fill="FFFFFF"/>
        </w:rPr>
        <w:t xml:space="preserve"> </w:t>
      </w:r>
      <w:r w:rsidR="00F14A41" w:rsidRPr="002F21D4">
        <w:rPr>
          <w:color w:val="000000"/>
          <w:sz w:val="22"/>
          <w:szCs w:val="22"/>
          <w:shd w:val="clear" w:color="auto" w:fill="FFFFFF"/>
        </w:rPr>
        <w:t xml:space="preserve">continuará </w:t>
      </w:r>
      <w:r w:rsidRPr="002F21D4">
        <w:rPr>
          <w:color w:val="000000"/>
          <w:sz w:val="22"/>
          <w:szCs w:val="22"/>
          <w:shd w:val="clear" w:color="auto" w:fill="FFFFFF"/>
        </w:rPr>
        <w:t>respalda</w:t>
      </w:r>
      <w:r w:rsidR="00F14A41" w:rsidRPr="002F21D4">
        <w:rPr>
          <w:color w:val="000000"/>
          <w:sz w:val="22"/>
          <w:szCs w:val="22"/>
          <w:shd w:val="clear" w:color="auto" w:fill="FFFFFF"/>
        </w:rPr>
        <w:t>ndo</w:t>
      </w:r>
      <w:r w:rsidRPr="002F21D4">
        <w:rPr>
          <w:color w:val="000000"/>
          <w:sz w:val="22"/>
          <w:szCs w:val="22"/>
          <w:shd w:val="clear" w:color="auto" w:fill="FFFFFF"/>
        </w:rPr>
        <w:t xml:space="preserve"> el derecho de las víctimas para ser escuchadas por parte de la entidad, acceso que se vio limitado en el marco de la emergencia sanitaria, por lo que saluda la</w:t>
      </w:r>
      <w:r w:rsidR="00FA4390" w:rsidRPr="002F21D4">
        <w:rPr>
          <w:color w:val="000000"/>
          <w:sz w:val="22"/>
          <w:szCs w:val="22"/>
          <w:shd w:val="clear" w:color="auto" w:fill="FFFFFF"/>
        </w:rPr>
        <w:t xml:space="preserve"> extensión de su mandato hasta el 27 de agosto de 2022</w:t>
      </w:r>
      <w:r w:rsidR="00FA4390" w:rsidRPr="002F21D4">
        <w:rPr>
          <w:rStyle w:val="FootnoteReference"/>
          <w:color w:val="000000"/>
          <w:sz w:val="22"/>
          <w:szCs w:val="22"/>
          <w:shd w:val="clear" w:color="auto" w:fill="FFFFFF"/>
        </w:rPr>
        <w:footnoteReference w:id="141"/>
      </w:r>
      <w:r w:rsidR="003D26E8" w:rsidRPr="002F21D4">
        <w:rPr>
          <w:color w:val="000000"/>
          <w:sz w:val="22"/>
          <w:szCs w:val="22"/>
          <w:shd w:val="clear" w:color="auto" w:fill="FFFFFF"/>
        </w:rPr>
        <w:t xml:space="preserve">. </w:t>
      </w:r>
      <w:r w:rsidRPr="002F21D4">
        <w:rPr>
          <w:color w:val="000000"/>
          <w:sz w:val="22"/>
          <w:szCs w:val="22"/>
          <w:shd w:val="clear" w:color="auto" w:fill="FFFFFF"/>
        </w:rPr>
        <w:t>Finalmente, a las instituciones del Estado</w:t>
      </w:r>
      <w:r w:rsidR="003D26E8" w:rsidRPr="002F21D4">
        <w:rPr>
          <w:color w:val="000000"/>
          <w:sz w:val="22"/>
          <w:szCs w:val="22"/>
          <w:shd w:val="clear" w:color="auto" w:fill="FFFFFF"/>
        </w:rPr>
        <w:t xml:space="preserve"> se alienta</w:t>
      </w:r>
      <w:r w:rsidRPr="002F21D4">
        <w:rPr>
          <w:color w:val="000000"/>
          <w:sz w:val="22"/>
          <w:szCs w:val="22"/>
          <w:shd w:val="clear" w:color="auto" w:fill="FFFFFF"/>
        </w:rPr>
        <w:t xml:space="preserve"> a apoyar al SIVJRNR a través de la Comisión y su Legado, ya que la sostenibilidad de la propuesta en su concepto de apropiación requiere de un esfuerzo colectivo para conocer la ve</w:t>
      </w:r>
      <w:r w:rsidR="009B5424" w:rsidRPr="002F21D4">
        <w:rPr>
          <w:color w:val="000000"/>
          <w:sz w:val="22"/>
          <w:szCs w:val="22"/>
          <w:shd w:val="clear" w:color="auto" w:fill="FFFFFF"/>
        </w:rPr>
        <w:t>r</w:t>
      </w:r>
      <w:r w:rsidRPr="002F21D4">
        <w:rPr>
          <w:color w:val="000000"/>
          <w:sz w:val="22"/>
          <w:szCs w:val="22"/>
          <w:shd w:val="clear" w:color="auto" w:fill="FFFFFF"/>
        </w:rPr>
        <w:t>dad como una condición hacia la transformación.</w:t>
      </w:r>
    </w:p>
    <w:p w14:paraId="597FCFA5" w14:textId="77777777" w:rsidR="00013077" w:rsidRPr="002F21D4" w:rsidRDefault="00013077" w:rsidP="00B06FB8">
      <w:pPr>
        <w:snapToGrid w:val="0"/>
        <w:ind w:firstLine="357"/>
        <w:jc w:val="both"/>
        <w:rPr>
          <w:color w:val="000000"/>
          <w:sz w:val="22"/>
          <w:szCs w:val="22"/>
          <w:shd w:val="clear" w:color="auto" w:fill="FFFFFF"/>
        </w:rPr>
      </w:pPr>
    </w:p>
    <w:p w14:paraId="4FF1A60D" w14:textId="545CE9CD" w:rsidR="00D36BF3" w:rsidRPr="002F21D4" w:rsidRDefault="00052E72" w:rsidP="002E06D9">
      <w:pPr>
        <w:pStyle w:val="ListParagraph"/>
        <w:numPr>
          <w:ilvl w:val="1"/>
          <w:numId w:val="24"/>
        </w:numPr>
        <w:autoSpaceDE w:val="0"/>
        <w:autoSpaceDN w:val="0"/>
        <w:adjustRightInd w:val="0"/>
        <w:snapToGrid w:val="0"/>
        <w:spacing w:after="0" w:line="240" w:lineRule="auto"/>
        <w:ind w:left="1440" w:hanging="720"/>
        <w:contextualSpacing w:val="0"/>
        <w:jc w:val="both"/>
        <w:rPr>
          <w:rFonts w:ascii="Times New Roman" w:hAnsi="Times New Roman" w:cs="Times New Roman"/>
          <w:b/>
        </w:rPr>
      </w:pPr>
      <w:r w:rsidRPr="002F21D4">
        <w:rPr>
          <w:rFonts w:ascii="Times New Roman" w:hAnsi="Times New Roman" w:cs="Times New Roman"/>
          <w:b/>
        </w:rPr>
        <w:t>Jurisdicción Especial Para La Paz</w:t>
      </w:r>
      <w:r w:rsidR="00BB13D0" w:rsidRPr="002F21D4">
        <w:rPr>
          <w:rFonts w:ascii="Times New Roman" w:hAnsi="Times New Roman" w:cs="Times New Roman"/>
          <w:b/>
        </w:rPr>
        <w:t xml:space="preserve"> (JEP)</w:t>
      </w:r>
    </w:p>
    <w:p w14:paraId="6ED1EE69" w14:textId="77777777" w:rsidR="002F21D4" w:rsidRPr="002F21D4" w:rsidRDefault="002F21D4" w:rsidP="00B06FB8">
      <w:pPr>
        <w:snapToGrid w:val="0"/>
        <w:ind w:firstLine="426"/>
        <w:jc w:val="both"/>
        <w:rPr>
          <w:sz w:val="22"/>
          <w:szCs w:val="22"/>
          <w:lang w:val="es-ES"/>
        </w:rPr>
      </w:pPr>
    </w:p>
    <w:p w14:paraId="3918596F" w14:textId="059CE38B" w:rsidR="001C6F3B" w:rsidRPr="002F21D4" w:rsidRDefault="007536DA" w:rsidP="00B06FB8">
      <w:pPr>
        <w:snapToGrid w:val="0"/>
        <w:ind w:firstLine="426"/>
        <w:jc w:val="both"/>
        <w:rPr>
          <w:sz w:val="22"/>
          <w:szCs w:val="22"/>
          <w:lang w:val="es-ES"/>
        </w:rPr>
      </w:pPr>
      <w:r w:rsidRPr="002F21D4">
        <w:rPr>
          <w:sz w:val="22"/>
          <w:szCs w:val="22"/>
          <w:lang w:val="es-ES"/>
        </w:rPr>
        <w:t xml:space="preserve">La </w:t>
      </w:r>
      <w:proofErr w:type="spellStart"/>
      <w:r w:rsidRPr="002F21D4">
        <w:rPr>
          <w:sz w:val="22"/>
          <w:szCs w:val="22"/>
          <w:lang w:val="es-ES"/>
        </w:rPr>
        <w:t>JEP</w:t>
      </w:r>
      <w:proofErr w:type="spellEnd"/>
      <w:r w:rsidRPr="002F21D4">
        <w:rPr>
          <w:sz w:val="22"/>
          <w:szCs w:val="22"/>
          <w:lang w:val="es-ES"/>
        </w:rPr>
        <w:t>, c</w:t>
      </w:r>
      <w:r w:rsidR="00254696" w:rsidRPr="002F21D4">
        <w:rPr>
          <w:sz w:val="22"/>
          <w:szCs w:val="22"/>
          <w:lang w:val="es-ES"/>
        </w:rPr>
        <w:t>on el fin de garantizar una participación efectiva de las víctimas</w:t>
      </w:r>
      <w:r w:rsidRPr="002F21D4">
        <w:rPr>
          <w:sz w:val="22"/>
          <w:szCs w:val="22"/>
          <w:lang w:val="es-ES"/>
        </w:rPr>
        <w:t xml:space="preserve"> y dadas las dificultades ocasionadas por la </w:t>
      </w:r>
      <w:r w:rsidR="00D37FFA" w:rsidRPr="002F21D4">
        <w:rPr>
          <w:sz w:val="22"/>
          <w:szCs w:val="22"/>
          <w:lang w:val="es-ES"/>
        </w:rPr>
        <w:t>emergencia sanitaria</w:t>
      </w:r>
      <w:r w:rsidRPr="002F21D4">
        <w:rPr>
          <w:sz w:val="22"/>
          <w:szCs w:val="22"/>
          <w:lang w:val="es-ES"/>
        </w:rPr>
        <w:t>,</w:t>
      </w:r>
      <w:r w:rsidR="00254696" w:rsidRPr="002F21D4">
        <w:rPr>
          <w:sz w:val="22"/>
          <w:szCs w:val="22"/>
          <w:lang w:val="es-ES"/>
        </w:rPr>
        <w:t xml:space="preserve"> decidió prorrogar de forma definitiva el plazo para la presentación de informes por parte de organizaciones de víctimas, étnicas y de derechos humanos hasta el 21 de marzo de 2022. </w:t>
      </w:r>
      <w:r w:rsidRPr="002F21D4">
        <w:rPr>
          <w:sz w:val="22"/>
          <w:szCs w:val="22"/>
          <w:lang w:val="es-ES"/>
        </w:rPr>
        <w:t xml:space="preserve">Con esta decisión se espera incentivar la participación en los </w:t>
      </w:r>
      <w:proofErr w:type="spellStart"/>
      <w:r w:rsidRPr="002F21D4">
        <w:rPr>
          <w:sz w:val="22"/>
          <w:szCs w:val="22"/>
          <w:lang w:val="es-ES"/>
        </w:rPr>
        <w:t>macrocasos</w:t>
      </w:r>
      <w:proofErr w:type="spellEnd"/>
      <w:r w:rsidRPr="002F21D4">
        <w:rPr>
          <w:sz w:val="22"/>
          <w:szCs w:val="22"/>
          <w:lang w:val="es-ES"/>
        </w:rPr>
        <w:t xml:space="preserve"> que han sido priorizados, especialmente en aquellos que cuentan con una baja acreditación a la fecha, como sucede con el Caso No. 07</w:t>
      </w:r>
      <w:r w:rsidR="00E2571B" w:rsidRPr="002F21D4">
        <w:rPr>
          <w:sz w:val="22"/>
          <w:szCs w:val="22"/>
          <w:lang w:val="es-ES"/>
        </w:rPr>
        <w:t>:</w:t>
      </w:r>
      <w:r w:rsidR="001C6F3B" w:rsidRPr="002F21D4">
        <w:rPr>
          <w:sz w:val="22"/>
          <w:szCs w:val="22"/>
          <w:lang w:val="es-ES"/>
        </w:rPr>
        <w:t xml:space="preserve"> “Reclutamiento y utilización de </w:t>
      </w:r>
      <w:proofErr w:type="gramStart"/>
      <w:r w:rsidR="001C6F3B" w:rsidRPr="002F21D4">
        <w:rPr>
          <w:sz w:val="22"/>
          <w:szCs w:val="22"/>
          <w:lang w:val="es-ES"/>
        </w:rPr>
        <w:t>niños y niñas</w:t>
      </w:r>
      <w:proofErr w:type="gramEnd"/>
      <w:r w:rsidR="001C6F3B" w:rsidRPr="002F21D4">
        <w:rPr>
          <w:sz w:val="22"/>
          <w:szCs w:val="22"/>
          <w:lang w:val="es-ES"/>
        </w:rPr>
        <w:t xml:space="preserve"> en el conflicto armado”.</w:t>
      </w:r>
    </w:p>
    <w:p w14:paraId="49AA37CC" w14:textId="77777777" w:rsidR="002F21D4" w:rsidRPr="002F21D4" w:rsidRDefault="002F21D4" w:rsidP="00B06FB8">
      <w:pPr>
        <w:snapToGrid w:val="0"/>
        <w:ind w:firstLine="426"/>
        <w:jc w:val="both"/>
        <w:rPr>
          <w:sz w:val="22"/>
          <w:szCs w:val="22"/>
          <w:lang w:val="es-ES"/>
        </w:rPr>
      </w:pPr>
    </w:p>
    <w:p w14:paraId="786EF3BD" w14:textId="06B43036" w:rsidR="00254696" w:rsidRPr="002F21D4" w:rsidRDefault="00254696" w:rsidP="00B06FB8">
      <w:pPr>
        <w:snapToGrid w:val="0"/>
        <w:ind w:firstLine="426"/>
        <w:jc w:val="both"/>
        <w:rPr>
          <w:sz w:val="22"/>
          <w:szCs w:val="22"/>
          <w:lang w:val="es-ES"/>
        </w:rPr>
      </w:pPr>
      <w:r w:rsidRPr="002F21D4">
        <w:rPr>
          <w:sz w:val="22"/>
          <w:szCs w:val="22"/>
          <w:lang w:val="es-ES"/>
        </w:rPr>
        <w:lastRenderedPageBreak/>
        <w:t xml:space="preserve">Como medida, </w:t>
      </w:r>
      <w:r w:rsidR="007536DA" w:rsidRPr="002F21D4">
        <w:rPr>
          <w:sz w:val="22"/>
          <w:szCs w:val="22"/>
          <w:lang w:val="es-ES"/>
        </w:rPr>
        <w:t xml:space="preserve">la jurisdicción dispuso implementar un </w:t>
      </w:r>
      <w:r w:rsidRPr="002F21D4">
        <w:rPr>
          <w:sz w:val="22"/>
          <w:szCs w:val="22"/>
          <w:lang w:val="es-ES"/>
        </w:rPr>
        <w:t xml:space="preserve">plan que identifique a aquellas organizaciones que, a pesar de tener la voluntad para participar en la realización de estos informes, no lo han podido hacer. Con </w:t>
      </w:r>
      <w:r w:rsidR="007536DA" w:rsidRPr="002F21D4">
        <w:rPr>
          <w:sz w:val="22"/>
          <w:szCs w:val="22"/>
          <w:lang w:val="es-ES"/>
        </w:rPr>
        <w:t xml:space="preserve">esto, </w:t>
      </w:r>
      <w:r w:rsidRPr="002F21D4">
        <w:rPr>
          <w:sz w:val="22"/>
          <w:szCs w:val="22"/>
          <w:lang w:val="es-ES"/>
        </w:rPr>
        <w:t>se buscaría orientar y fortalecer las capacidades de las comunidades a la hora de presentar sus informes.</w:t>
      </w:r>
    </w:p>
    <w:p w14:paraId="74EB7787" w14:textId="77777777" w:rsidR="002F21D4" w:rsidRPr="002F21D4" w:rsidRDefault="002F21D4" w:rsidP="00B06FB8">
      <w:pPr>
        <w:snapToGrid w:val="0"/>
        <w:ind w:firstLine="426"/>
        <w:jc w:val="both"/>
        <w:rPr>
          <w:sz w:val="22"/>
          <w:szCs w:val="22"/>
          <w:lang w:val="es-ES"/>
        </w:rPr>
      </w:pPr>
    </w:p>
    <w:p w14:paraId="3DBF2989" w14:textId="222B5F15" w:rsidR="00254696" w:rsidRPr="002F21D4" w:rsidRDefault="00254696" w:rsidP="00B06FB8">
      <w:pPr>
        <w:snapToGrid w:val="0"/>
        <w:ind w:firstLine="426"/>
        <w:jc w:val="both"/>
        <w:rPr>
          <w:sz w:val="22"/>
          <w:szCs w:val="22"/>
          <w:lang w:val="es-ES"/>
        </w:rPr>
      </w:pPr>
      <w:r w:rsidRPr="002F21D4">
        <w:rPr>
          <w:sz w:val="22"/>
          <w:szCs w:val="22"/>
          <w:lang w:val="es-ES"/>
        </w:rPr>
        <w:t>Por otra parte, se espera que la entrega de nuevos hechos y su contrastación con los informes remitidos por organizaciones de la sociedad civil, organismos internacionales e instituciones del Estado</w:t>
      </w:r>
      <w:r w:rsidR="00422087" w:rsidRPr="002F21D4">
        <w:rPr>
          <w:sz w:val="22"/>
          <w:szCs w:val="22"/>
          <w:lang w:val="es-ES"/>
        </w:rPr>
        <w:t>,</w:t>
      </w:r>
      <w:r w:rsidRPr="002F21D4">
        <w:rPr>
          <w:sz w:val="22"/>
          <w:szCs w:val="22"/>
          <w:lang w:val="es-ES"/>
        </w:rPr>
        <w:t xml:space="preserve"> conlleve a la apertura de más </w:t>
      </w:r>
      <w:proofErr w:type="spellStart"/>
      <w:r w:rsidRPr="002F21D4">
        <w:rPr>
          <w:sz w:val="22"/>
          <w:szCs w:val="22"/>
          <w:lang w:val="es-ES"/>
        </w:rPr>
        <w:t>macrocasos</w:t>
      </w:r>
      <w:proofErr w:type="spellEnd"/>
      <w:r w:rsidRPr="002F21D4">
        <w:rPr>
          <w:sz w:val="22"/>
          <w:szCs w:val="22"/>
          <w:lang w:val="es-ES"/>
        </w:rPr>
        <w:t xml:space="preserve"> y de un proceso enfocado exclusivamente en violencia sexual y de género, </w:t>
      </w:r>
      <w:r w:rsidRPr="002F21D4">
        <w:rPr>
          <w:color w:val="000000"/>
          <w:sz w:val="22"/>
          <w:szCs w:val="22"/>
          <w:shd w:val="clear" w:color="auto" w:fill="FFFFFF"/>
          <w:lang w:val="es-ES"/>
        </w:rPr>
        <w:t>en donde se analice el uso de la violencia sexual como pr</w:t>
      </w:r>
      <w:r w:rsidR="001C6F3B" w:rsidRPr="002F21D4">
        <w:rPr>
          <w:color w:val="000000"/>
          <w:sz w:val="22"/>
          <w:szCs w:val="22"/>
          <w:shd w:val="clear" w:color="auto" w:fill="FFFFFF"/>
          <w:lang w:val="es-ES"/>
        </w:rPr>
        <w:t>á</w:t>
      </w:r>
      <w:r w:rsidRPr="002F21D4">
        <w:rPr>
          <w:color w:val="000000"/>
          <w:sz w:val="22"/>
          <w:szCs w:val="22"/>
          <w:shd w:val="clear" w:color="auto" w:fill="FFFFFF"/>
          <w:lang w:val="es-ES"/>
        </w:rPr>
        <w:t xml:space="preserve">ctica recurrente en </w:t>
      </w:r>
      <w:r w:rsidR="001C6F3B" w:rsidRPr="002F21D4">
        <w:rPr>
          <w:color w:val="000000"/>
          <w:sz w:val="22"/>
          <w:szCs w:val="22"/>
          <w:shd w:val="clear" w:color="auto" w:fill="FFFFFF"/>
          <w:lang w:val="es-ES"/>
        </w:rPr>
        <w:t>el</w:t>
      </w:r>
      <w:r w:rsidRPr="002F21D4">
        <w:rPr>
          <w:color w:val="000000"/>
          <w:sz w:val="22"/>
          <w:szCs w:val="22"/>
          <w:shd w:val="clear" w:color="auto" w:fill="FFFFFF"/>
          <w:lang w:val="es-ES"/>
        </w:rPr>
        <w:t xml:space="preserve"> conflicto armado y en muchos casos como estrategia para castigar, aterrorizar o destruir a la población civil.</w:t>
      </w:r>
    </w:p>
    <w:p w14:paraId="4D70310E" w14:textId="77777777" w:rsidR="002F21D4" w:rsidRPr="002F21D4" w:rsidRDefault="002F21D4" w:rsidP="00B06FB8">
      <w:pPr>
        <w:snapToGrid w:val="0"/>
        <w:ind w:firstLine="426"/>
        <w:jc w:val="both"/>
        <w:rPr>
          <w:sz w:val="22"/>
          <w:szCs w:val="22"/>
          <w:lang w:val="es-ES"/>
        </w:rPr>
      </w:pPr>
    </w:p>
    <w:p w14:paraId="1E349E47" w14:textId="08555A27" w:rsidR="00254696" w:rsidRPr="002F21D4" w:rsidRDefault="00254696" w:rsidP="00B06FB8">
      <w:pPr>
        <w:snapToGrid w:val="0"/>
        <w:ind w:firstLine="426"/>
        <w:jc w:val="both"/>
        <w:rPr>
          <w:sz w:val="22"/>
          <w:szCs w:val="22"/>
          <w:lang w:val="es-ES"/>
        </w:rPr>
      </w:pPr>
      <w:r w:rsidRPr="002F21D4">
        <w:rPr>
          <w:sz w:val="22"/>
          <w:szCs w:val="22"/>
          <w:lang w:val="es-ES"/>
        </w:rPr>
        <w:t xml:space="preserve">Para apoyar a las comunidades de víctimas, étnicas y de derechos humanos en la presentación de </w:t>
      </w:r>
      <w:r w:rsidR="001C6F3B" w:rsidRPr="002F21D4">
        <w:rPr>
          <w:sz w:val="22"/>
          <w:szCs w:val="22"/>
          <w:lang w:val="es-ES"/>
        </w:rPr>
        <w:t>los</w:t>
      </w:r>
      <w:r w:rsidRPr="002F21D4">
        <w:rPr>
          <w:sz w:val="22"/>
          <w:szCs w:val="22"/>
          <w:lang w:val="es-ES"/>
        </w:rPr>
        <w:t xml:space="preserve"> informes, la MAPP/OEA ha venido acompañando alrededor de 17 iniciativas </w:t>
      </w:r>
      <w:r w:rsidR="001C6F3B" w:rsidRPr="002F21D4">
        <w:rPr>
          <w:sz w:val="22"/>
          <w:szCs w:val="22"/>
          <w:lang w:val="es-ES"/>
        </w:rPr>
        <w:t xml:space="preserve">para la </w:t>
      </w:r>
      <w:r w:rsidRPr="002F21D4">
        <w:rPr>
          <w:sz w:val="22"/>
          <w:szCs w:val="22"/>
          <w:lang w:val="es-ES"/>
        </w:rPr>
        <w:t>construcción</w:t>
      </w:r>
      <w:r w:rsidR="001C6F3B" w:rsidRPr="002F21D4">
        <w:rPr>
          <w:sz w:val="22"/>
          <w:szCs w:val="22"/>
          <w:lang w:val="es-ES"/>
        </w:rPr>
        <w:t xml:space="preserve"> de estos, </w:t>
      </w:r>
      <w:r w:rsidRPr="002F21D4">
        <w:rPr>
          <w:sz w:val="22"/>
          <w:szCs w:val="22"/>
          <w:lang w:val="es-ES"/>
        </w:rPr>
        <w:t xml:space="preserve">en Antioquia, Arauca, Bolívar, Cauca, Caquetá, Chocó, Córdoba, Guaviare, Nariño, Norte de Santander y Putumayo. </w:t>
      </w:r>
      <w:r w:rsidR="001C6F3B" w:rsidRPr="002F21D4">
        <w:rPr>
          <w:sz w:val="22"/>
          <w:szCs w:val="22"/>
          <w:lang w:val="es-ES"/>
        </w:rPr>
        <w:t xml:space="preserve">Tal es el caso de las Mujeres del Plantón </w:t>
      </w:r>
      <w:r w:rsidR="00C75B8C" w:rsidRPr="002F21D4">
        <w:rPr>
          <w:sz w:val="22"/>
          <w:szCs w:val="22"/>
          <w:lang w:val="es-ES"/>
        </w:rPr>
        <w:t xml:space="preserve">quienes </w:t>
      </w:r>
      <w:r w:rsidR="000E39FB" w:rsidRPr="002F21D4">
        <w:rPr>
          <w:sz w:val="22"/>
          <w:szCs w:val="22"/>
          <w:lang w:val="es-ES"/>
        </w:rPr>
        <w:t>el 8 de julio</w:t>
      </w:r>
      <w:r w:rsidR="00C75B8C" w:rsidRPr="002F21D4">
        <w:rPr>
          <w:sz w:val="22"/>
          <w:szCs w:val="22"/>
          <w:lang w:val="es-ES"/>
        </w:rPr>
        <w:t xml:space="preserve"> presentaron su</w:t>
      </w:r>
      <w:r w:rsidRPr="002F21D4">
        <w:rPr>
          <w:sz w:val="22"/>
          <w:szCs w:val="22"/>
          <w:lang w:val="es-ES"/>
        </w:rPr>
        <w:t xml:space="preserve"> </w:t>
      </w:r>
      <w:r w:rsidR="00C75B8C" w:rsidRPr="002F21D4">
        <w:rPr>
          <w:sz w:val="22"/>
          <w:szCs w:val="22"/>
          <w:lang w:val="es-ES"/>
        </w:rPr>
        <w:t>caso</w:t>
      </w:r>
      <w:r w:rsidRPr="002F21D4">
        <w:rPr>
          <w:sz w:val="22"/>
          <w:szCs w:val="22"/>
          <w:lang w:val="es-ES"/>
        </w:rPr>
        <w:t xml:space="preserve"> ante la Sala de Reconocimiento de la JEP. De igual manera, con el apoyo del Gobierno de Alemania</w:t>
      </w:r>
      <w:r w:rsidR="001C6F3B" w:rsidRPr="002F21D4">
        <w:rPr>
          <w:sz w:val="22"/>
          <w:szCs w:val="22"/>
          <w:lang w:val="es-ES"/>
        </w:rPr>
        <w:t>,</w:t>
      </w:r>
      <w:r w:rsidRPr="002F21D4">
        <w:rPr>
          <w:sz w:val="22"/>
          <w:szCs w:val="22"/>
          <w:lang w:val="es-ES"/>
        </w:rPr>
        <w:t xml:space="preserve"> se dio inicio al proyecto “</w:t>
      </w:r>
      <w:r w:rsidR="001C6F3B" w:rsidRPr="002F21D4">
        <w:rPr>
          <w:sz w:val="22"/>
          <w:szCs w:val="22"/>
          <w:lang w:val="es-ES"/>
        </w:rPr>
        <w:t>C</w:t>
      </w:r>
      <w:r w:rsidRPr="002F21D4">
        <w:rPr>
          <w:sz w:val="22"/>
          <w:szCs w:val="22"/>
          <w:lang w:val="es-ES"/>
        </w:rPr>
        <w:t>omunidades camino a la justicia”, que brinda apoyo técnico y logístico en el proceso de construcción y presentación de 8 informes ante la JEP, por parte de comunidades indígenas, organizaciones de víctimas y organizaciones de mujeres.</w:t>
      </w:r>
      <w:r w:rsidR="0078159F" w:rsidRPr="002F21D4">
        <w:rPr>
          <w:sz w:val="22"/>
          <w:szCs w:val="22"/>
          <w:lang w:val="es-ES"/>
        </w:rPr>
        <w:t xml:space="preserve"> </w:t>
      </w:r>
    </w:p>
    <w:p w14:paraId="595D46CB" w14:textId="77777777" w:rsidR="002F21D4" w:rsidRPr="002F21D4" w:rsidRDefault="002F21D4" w:rsidP="00B06FB8">
      <w:pPr>
        <w:snapToGrid w:val="0"/>
        <w:ind w:firstLine="426"/>
        <w:jc w:val="both"/>
        <w:rPr>
          <w:sz w:val="22"/>
          <w:szCs w:val="22"/>
          <w:lang w:val="es-ES"/>
        </w:rPr>
      </w:pPr>
    </w:p>
    <w:p w14:paraId="3B7A56B9" w14:textId="6416CA57" w:rsidR="002074D4" w:rsidRPr="002F21D4" w:rsidRDefault="00C75B8C" w:rsidP="00B06FB8">
      <w:pPr>
        <w:snapToGrid w:val="0"/>
        <w:ind w:firstLine="426"/>
        <w:jc w:val="both"/>
        <w:rPr>
          <w:sz w:val="22"/>
          <w:szCs w:val="22"/>
          <w:lang w:val="es-ES"/>
        </w:rPr>
      </w:pPr>
      <w:r w:rsidRPr="002F21D4">
        <w:rPr>
          <w:sz w:val="22"/>
          <w:szCs w:val="22"/>
          <w:lang w:val="es-ES"/>
        </w:rPr>
        <w:t>A pesar de las medidas dispuestas, persisten retos relacionados</w:t>
      </w:r>
      <w:r w:rsidR="00254696" w:rsidRPr="002F21D4">
        <w:rPr>
          <w:sz w:val="22"/>
          <w:szCs w:val="22"/>
          <w:lang w:val="es-ES"/>
        </w:rPr>
        <w:t xml:space="preserve"> </w:t>
      </w:r>
      <w:r w:rsidRPr="002F21D4">
        <w:rPr>
          <w:sz w:val="22"/>
          <w:szCs w:val="22"/>
          <w:lang w:val="es-ES"/>
        </w:rPr>
        <w:t xml:space="preserve">con los procesos organizativos </w:t>
      </w:r>
      <w:r w:rsidR="002074D4" w:rsidRPr="002F21D4">
        <w:rPr>
          <w:sz w:val="22"/>
          <w:szCs w:val="22"/>
          <w:lang w:val="es-ES"/>
        </w:rPr>
        <w:t>qu</w:t>
      </w:r>
      <w:r w:rsidRPr="002F21D4">
        <w:rPr>
          <w:sz w:val="22"/>
          <w:szCs w:val="22"/>
          <w:lang w:val="es-ES"/>
        </w:rPr>
        <w:t>e implica la construcción de informes</w:t>
      </w:r>
      <w:r w:rsidR="002074D4" w:rsidRPr="002F21D4">
        <w:rPr>
          <w:sz w:val="22"/>
          <w:szCs w:val="22"/>
          <w:lang w:val="es-ES"/>
        </w:rPr>
        <w:t xml:space="preserve">, los cuales requieren </w:t>
      </w:r>
      <w:r w:rsidRPr="002F21D4">
        <w:rPr>
          <w:sz w:val="22"/>
          <w:szCs w:val="22"/>
          <w:lang w:val="es-ES"/>
        </w:rPr>
        <w:t>de un apoyo económico significativo.</w:t>
      </w:r>
      <w:r w:rsidR="002074D4" w:rsidRPr="002F21D4">
        <w:rPr>
          <w:sz w:val="22"/>
          <w:szCs w:val="22"/>
          <w:lang w:val="es-ES"/>
        </w:rPr>
        <w:t xml:space="preserve"> Además, las condiciones de seguridad desincentivan la participación de las víctimas en el proceso, especialmente en regiones donde los grupos armados residuales o disidentes de las FARC-EP han expandido su presencia y</w:t>
      </w:r>
      <w:r w:rsidR="00422087" w:rsidRPr="002F21D4">
        <w:rPr>
          <w:sz w:val="22"/>
          <w:szCs w:val="22"/>
          <w:lang w:val="es-ES"/>
        </w:rPr>
        <w:t xml:space="preserve"> </w:t>
      </w:r>
      <w:r w:rsidR="002074D4" w:rsidRPr="002F21D4">
        <w:rPr>
          <w:sz w:val="22"/>
          <w:szCs w:val="22"/>
          <w:lang w:val="es-ES"/>
        </w:rPr>
        <w:t xml:space="preserve">ven en la construcción de informes una amenaza para su accionar criminal, tal como ocurre en Chocó, Cauca, y Meta, así como en las regiones del Pacífico </w:t>
      </w:r>
      <w:r w:rsidR="00422087" w:rsidRPr="002F21D4">
        <w:rPr>
          <w:sz w:val="22"/>
          <w:szCs w:val="22"/>
          <w:lang w:val="es-ES"/>
        </w:rPr>
        <w:t>n</w:t>
      </w:r>
      <w:r w:rsidR="002074D4" w:rsidRPr="002F21D4">
        <w:rPr>
          <w:sz w:val="22"/>
          <w:szCs w:val="22"/>
          <w:lang w:val="es-ES"/>
        </w:rPr>
        <w:t>ariñense y Catatumbo.</w:t>
      </w:r>
    </w:p>
    <w:p w14:paraId="2756AF6A" w14:textId="77777777" w:rsidR="002F21D4" w:rsidRPr="002F21D4" w:rsidRDefault="002F21D4" w:rsidP="00B06FB8">
      <w:pPr>
        <w:snapToGrid w:val="0"/>
        <w:ind w:firstLine="426"/>
        <w:jc w:val="both"/>
        <w:rPr>
          <w:sz w:val="22"/>
          <w:szCs w:val="22"/>
          <w:lang w:val="es-ES"/>
        </w:rPr>
      </w:pPr>
    </w:p>
    <w:p w14:paraId="3C97EAF9" w14:textId="6A71B5C1" w:rsidR="00254696" w:rsidRPr="002F21D4" w:rsidRDefault="00254696" w:rsidP="00B06FB8">
      <w:pPr>
        <w:snapToGrid w:val="0"/>
        <w:ind w:firstLine="426"/>
        <w:jc w:val="both"/>
        <w:rPr>
          <w:sz w:val="22"/>
          <w:szCs w:val="22"/>
          <w:lang w:val="es-ES"/>
        </w:rPr>
      </w:pPr>
      <w:r w:rsidRPr="002F21D4">
        <w:rPr>
          <w:sz w:val="22"/>
          <w:szCs w:val="22"/>
          <w:lang w:val="es-ES"/>
        </w:rPr>
        <w:t xml:space="preserve">Respecto </w:t>
      </w:r>
      <w:r w:rsidR="000E39FB" w:rsidRPr="002F21D4">
        <w:rPr>
          <w:sz w:val="22"/>
          <w:szCs w:val="22"/>
          <w:lang w:val="es-ES"/>
        </w:rPr>
        <w:t xml:space="preserve">al Caso 001 “Retención ilegal de personas por parte de las FARC-EP” </w:t>
      </w:r>
      <w:r w:rsidRPr="002F21D4">
        <w:rPr>
          <w:sz w:val="22"/>
          <w:szCs w:val="22"/>
          <w:lang w:val="es-ES"/>
        </w:rPr>
        <w:t xml:space="preserve">la Sala de Reconocimiento </w:t>
      </w:r>
      <w:r w:rsidR="000E39FB" w:rsidRPr="002F21D4">
        <w:rPr>
          <w:sz w:val="22"/>
          <w:szCs w:val="22"/>
          <w:lang w:val="es-ES"/>
        </w:rPr>
        <w:t>expidió</w:t>
      </w:r>
      <w:r w:rsidRPr="002F21D4">
        <w:rPr>
          <w:sz w:val="22"/>
          <w:szCs w:val="22"/>
          <w:lang w:val="es-ES"/>
        </w:rPr>
        <w:t xml:space="preserve"> del </w:t>
      </w:r>
      <w:r w:rsidR="002074D4" w:rsidRPr="002F21D4">
        <w:rPr>
          <w:sz w:val="22"/>
          <w:szCs w:val="22"/>
          <w:lang w:val="es-ES"/>
        </w:rPr>
        <w:t>A</w:t>
      </w:r>
      <w:r w:rsidRPr="002F21D4">
        <w:rPr>
          <w:sz w:val="22"/>
          <w:szCs w:val="22"/>
          <w:lang w:val="es-ES"/>
        </w:rPr>
        <w:t xml:space="preserve">uto </w:t>
      </w:r>
      <w:r w:rsidR="00B16666" w:rsidRPr="002F21D4">
        <w:rPr>
          <w:sz w:val="22"/>
          <w:szCs w:val="22"/>
          <w:lang w:val="es-ES"/>
        </w:rPr>
        <w:t>19 de 2021</w:t>
      </w:r>
      <w:r w:rsidRPr="002F21D4">
        <w:rPr>
          <w:sz w:val="22"/>
          <w:szCs w:val="22"/>
          <w:lang w:val="es-ES"/>
        </w:rPr>
        <w:t xml:space="preserve">, con el cual se establece la responsabilidad penal de los </w:t>
      </w:r>
      <w:r w:rsidR="008B7030" w:rsidRPr="002F21D4">
        <w:rPr>
          <w:sz w:val="22"/>
          <w:szCs w:val="22"/>
          <w:lang w:val="es-ES"/>
        </w:rPr>
        <w:t>y las integrantes</w:t>
      </w:r>
      <w:r w:rsidRPr="002F21D4">
        <w:rPr>
          <w:sz w:val="22"/>
          <w:szCs w:val="22"/>
          <w:lang w:val="es-ES"/>
        </w:rPr>
        <w:t xml:space="preserve"> del Secretariado </w:t>
      </w:r>
      <w:r w:rsidR="00B16666" w:rsidRPr="002F21D4">
        <w:rPr>
          <w:sz w:val="22"/>
          <w:szCs w:val="22"/>
          <w:lang w:val="es-ES"/>
        </w:rPr>
        <w:t xml:space="preserve">de la antigua guerrilla de las FARC-EP, </w:t>
      </w:r>
      <w:r w:rsidRPr="002F21D4">
        <w:rPr>
          <w:sz w:val="22"/>
          <w:szCs w:val="22"/>
          <w:lang w:val="es-ES"/>
        </w:rPr>
        <w:t xml:space="preserve">como autores mediatos de crímenes de guerra y de lesa humanidad, así como su responsabilidad de mando por omitir el control </w:t>
      </w:r>
      <w:r w:rsidR="00422087" w:rsidRPr="002F21D4">
        <w:rPr>
          <w:sz w:val="22"/>
          <w:szCs w:val="22"/>
          <w:lang w:val="es-ES"/>
        </w:rPr>
        <w:t>en</w:t>
      </w:r>
      <w:r w:rsidRPr="002F21D4">
        <w:rPr>
          <w:sz w:val="22"/>
          <w:szCs w:val="22"/>
          <w:lang w:val="es-ES"/>
        </w:rPr>
        <w:t xml:space="preserve"> la comisión de delitos por sus subalternos. Con esta providencia, la Sala ofrece la oportunidad </w:t>
      </w:r>
      <w:r w:rsidR="00422087" w:rsidRPr="002F21D4">
        <w:rPr>
          <w:sz w:val="22"/>
          <w:szCs w:val="22"/>
          <w:lang w:val="es-ES"/>
        </w:rPr>
        <w:t>a</w:t>
      </w:r>
      <w:r w:rsidRPr="002F21D4">
        <w:rPr>
          <w:sz w:val="22"/>
          <w:szCs w:val="22"/>
          <w:lang w:val="es-ES"/>
        </w:rPr>
        <w:t xml:space="preserve"> los comparecientes</w:t>
      </w:r>
      <w:r w:rsidR="00422087" w:rsidRPr="002F21D4">
        <w:rPr>
          <w:sz w:val="22"/>
          <w:szCs w:val="22"/>
          <w:lang w:val="es-ES"/>
        </w:rPr>
        <w:t xml:space="preserve"> de aceptar </w:t>
      </w:r>
      <w:r w:rsidRPr="002F21D4">
        <w:rPr>
          <w:sz w:val="22"/>
          <w:szCs w:val="22"/>
          <w:lang w:val="es-ES"/>
        </w:rPr>
        <w:t xml:space="preserve">responsabilidad de los hechos atribuidos y </w:t>
      </w:r>
      <w:r w:rsidR="00422087" w:rsidRPr="002F21D4">
        <w:rPr>
          <w:sz w:val="22"/>
          <w:szCs w:val="22"/>
          <w:lang w:val="es-ES"/>
        </w:rPr>
        <w:t>a</w:t>
      </w:r>
      <w:r w:rsidRPr="002F21D4">
        <w:rPr>
          <w:sz w:val="22"/>
          <w:szCs w:val="22"/>
          <w:lang w:val="es-ES"/>
        </w:rPr>
        <w:t xml:space="preserve"> las víctimas</w:t>
      </w:r>
      <w:r w:rsidR="00422087" w:rsidRPr="002F21D4">
        <w:rPr>
          <w:sz w:val="22"/>
          <w:szCs w:val="22"/>
          <w:lang w:val="es-ES"/>
        </w:rPr>
        <w:t xml:space="preserve"> de</w:t>
      </w:r>
      <w:r w:rsidRPr="002F21D4">
        <w:rPr>
          <w:sz w:val="22"/>
          <w:szCs w:val="22"/>
          <w:lang w:val="es-ES"/>
        </w:rPr>
        <w:t xml:space="preserve"> aportar pruebas respecto </w:t>
      </w:r>
      <w:r w:rsidR="00B16666" w:rsidRPr="002F21D4">
        <w:rPr>
          <w:sz w:val="22"/>
          <w:szCs w:val="22"/>
          <w:lang w:val="es-ES"/>
        </w:rPr>
        <w:t>al caso</w:t>
      </w:r>
      <w:r w:rsidRPr="002F21D4">
        <w:rPr>
          <w:sz w:val="22"/>
          <w:szCs w:val="22"/>
          <w:lang w:val="es-ES"/>
        </w:rPr>
        <w:t xml:space="preserve">. </w:t>
      </w:r>
    </w:p>
    <w:p w14:paraId="2AFA0369" w14:textId="77777777" w:rsidR="002F21D4" w:rsidRPr="002F21D4" w:rsidRDefault="002F21D4" w:rsidP="00B06FB8">
      <w:pPr>
        <w:snapToGrid w:val="0"/>
        <w:ind w:firstLine="426"/>
        <w:jc w:val="both"/>
        <w:rPr>
          <w:sz w:val="22"/>
          <w:szCs w:val="22"/>
          <w:lang w:val="es-ES"/>
        </w:rPr>
      </w:pPr>
    </w:p>
    <w:p w14:paraId="3F233674" w14:textId="43944A7A" w:rsidR="00254696" w:rsidRPr="002F21D4" w:rsidRDefault="00B16666" w:rsidP="00B06FB8">
      <w:pPr>
        <w:snapToGrid w:val="0"/>
        <w:ind w:firstLine="426"/>
        <w:jc w:val="both"/>
        <w:rPr>
          <w:sz w:val="22"/>
          <w:szCs w:val="22"/>
          <w:lang w:val="es-ES"/>
        </w:rPr>
      </w:pPr>
      <w:r w:rsidRPr="002F21D4">
        <w:rPr>
          <w:sz w:val="22"/>
          <w:szCs w:val="22"/>
          <w:lang w:val="es-ES"/>
        </w:rPr>
        <w:t>E</w:t>
      </w:r>
      <w:r w:rsidR="00254696" w:rsidRPr="002F21D4">
        <w:rPr>
          <w:sz w:val="22"/>
          <w:szCs w:val="22"/>
          <w:lang w:val="es-ES"/>
        </w:rPr>
        <w:t xml:space="preserve">n el marco de la centralidad de las víctimas, </w:t>
      </w:r>
      <w:r w:rsidRPr="002F21D4">
        <w:rPr>
          <w:sz w:val="22"/>
          <w:szCs w:val="22"/>
          <w:lang w:val="es-ES"/>
        </w:rPr>
        <w:t>es importante intensifi</w:t>
      </w:r>
      <w:r w:rsidR="007750C8" w:rsidRPr="002F21D4">
        <w:rPr>
          <w:sz w:val="22"/>
          <w:szCs w:val="22"/>
          <w:lang w:val="es-ES"/>
        </w:rPr>
        <w:t>car</w:t>
      </w:r>
      <w:r w:rsidR="00254696" w:rsidRPr="002F21D4">
        <w:rPr>
          <w:sz w:val="22"/>
          <w:szCs w:val="22"/>
          <w:lang w:val="es-ES"/>
        </w:rPr>
        <w:t xml:space="preserve"> estrategias que favorezcan su participación en escenarios judiciales, </w:t>
      </w:r>
      <w:r w:rsidR="007750C8" w:rsidRPr="002F21D4">
        <w:rPr>
          <w:sz w:val="22"/>
          <w:szCs w:val="22"/>
          <w:lang w:val="es-ES"/>
        </w:rPr>
        <w:t>a través de la implementación de</w:t>
      </w:r>
      <w:r w:rsidR="00254696" w:rsidRPr="002F21D4">
        <w:rPr>
          <w:sz w:val="22"/>
          <w:szCs w:val="22"/>
          <w:lang w:val="es-ES"/>
        </w:rPr>
        <w:t xml:space="preserve"> </w:t>
      </w:r>
      <w:r w:rsidR="007750C8" w:rsidRPr="002F21D4">
        <w:rPr>
          <w:sz w:val="22"/>
          <w:szCs w:val="22"/>
          <w:lang w:val="es-ES"/>
        </w:rPr>
        <w:t>más</w:t>
      </w:r>
      <w:r w:rsidR="00254696" w:rsidRPr="002F21D4">
        <w:rPr>
          <w:sz w:val="22"/>
          <w:szCs w:val="22"/>
          <w:lang w:val="es-ES"/>
        </w:rPr>
        <w:t xml:space="preserve"> salas espejos</w:t>
      </w:r>
      <w:r w:rsidR="00E85093" w:rsidRPr="002F21D4">
        <w:rPr>
          <w:rStyle w:val="FootnoteReference"/>
          <w:sz w:val="22"/>
          <w:szCs w:val="22"/>
          <w:lang w:val="es-ES"/>
        </w:rPr>
        <w:footnoteReference w:id="142"/>
      </w:r>
      <w:r w:rsidR="00254696" w:rsidRPr="002F21D4">
        <w:rPr>
          <w:sz w:val="22"/>
          <w:szCs w:val="22"/>
          <w:lang w:val="es-ES"/>
        </w:rPr>
        <w:t xml:space="preserve"> en versiones y otras diligencias</w:t>
      </w:r>
      <w:r w:rsidR="00E85093" w:rsidRPr="002F21D4">
        <w:rPr>
          <w:sz w:val="22"/>
          <w:szCs w:val="22"/>
          <w:lang w:val="es-ES"/>
        </w:rPr>
        <w:t>,</w:t>
      </w:r>
      <w:r w:rsidR="00254696" w:rsidRPr="002F21D4">
        <w:rPr>
          <w:sz w:val="22"/>
          <w:szCs w:val="22"/>
          <w:lang w:val="es-ES"/>
        </w:rPr>
        <w:t xml:space="preserve"> </w:t>
      </w:r>
      <w:r w:rsidR="00805DAD" w:rsidRPr="002F21D4">
        <w:rPr>
          <w:sz w:val="22"/>
          <w:szCs w:val="22"/>
          <w:lang w:val="es-ES"/>
        </w:rPr>
        <w:t>particularmente en</w:t>
      </w:r>
      <w:r w:rsidR="00254696" w:rsidRPr="002F21D4">
        <w:rPr>
          <w:sz w:val="22"/>
          <w:szCs w:val="22"/>
          <w:lang w:val="es-ES"/>
        </w:rPr>
        <w:t xml:space="preserve"> las audiencias de reconocimiento. Por otro lado, </w:t>
      </w:r>
      <w:r w:rsidR="00E85093" w:rsidRPr="002F21D4">
        <w:rPr>
          <w:sz w:val="22"/>
          <w:szCs w:val="22"/>
          <w:lang w:val="es-ES"/>
        </w:rPr>
        <w:t>frente a</w:t>
      </w:r>
      <w:r w:rsidR="00254696" w:rsidRPr="002F21D4">
        <w:rPr>
          <w:sz w:val="22"/>
          <w:szCs w:val="22"/>
          <w:lang w:val="es-ES"/>
        </w:rPr>
        <w:t xml:space="preserve"> la construcción de sentencias será necesario un proceso de alistamiento y acercamiento de la Sección de Reconocimiento a las víctimas y a las comunidades</w:t>
      </w:r>
      <w:r w:rsidR="00805DAD" w:rsidRPr="002F21D4">
        <w:rPr>
          <w:sz w:val="22"/>
          <w:szCs w:val="22"/>
          <w:lang w:val="es-ES"/>
        </w:rPr>
        <w:t>,</w:t>
      </w:r>
      <w:r w:rsidR="00254696" w:rsidRPr="002F21D4">
        <w:rPr>
          <w:sz w:val="22"/>
          <w:szCs w:val="22"/>
          <w:lang w:val="es-ES"/>
        </w:rPr>
        <w:t xml:space="preserve"> esto con el fin de evitar </w:t>
      </w:r>
      <w:r w:rsidR="00805DAD" w:rsidRPr="002F21D4">
        <w:rPr>
          <w:sz w:val="22"/>
          <w:szCs w:val="22"/>
          <w:lang w:val="es-ES"/>
        </w:rPr>
        <w:t>múltiples</w:t>
      </w:r>
      <w:r w:rsidR="00254696" w:rsidRPr="002F21D4">
        <w:rPr>
          <w:sz w:val="22"/>
          <w:szCs w:val="22"/>
          <w:lang w:val="es-ES"/>
        </w:rPr>
        <w:t xml:space="preserve"> interpretac</w:t>
      </w:r>
      <w:r w:rsidR="00805DAD" w:rsidRPr="002F21D4">
        <w:rPr>
          <w:sz w:val="22"/>
          <w:szCs w:val="22"/>
          <w:lang w:val="es-ES"/>
        </w:rPr>
        <w:t>iones</w:t>
      </w:r>
      <w:r w:rsidR="00254696" w:rsidRPr="002F21D4">
        <w:rPr>
          <w:sz w:val="22"/>
          <w:szCs w:val="22"/>
          <w:lang w:val="es-ES"/>
        </w:rPr>
        <w:t xml:space="preserve"> </w:t>
      </w:r>
      <w:r w:rsidR="00805DAD" w:rsidRPr="002F21D4">
        <w:rPr>
          <w:sz w:val="22"/>
          <w:szCs w:val="22"/>
          <w:lang w:val="es-ES"/>
        </w:rPr>
        <w:t>de</w:t>
      </w:r>
      <w:r w:rsidR="00254696" w:rsidRPr="002F21D4">
        <w:rPr>
          <w:sz w:val="22"/>
          <w:szCs w:val="22"/>
          <w:lang w:val="es-ES"/>
        </w:rPr>
        <w:t xml:space="preserve"> lo</w:t>
      </w:r>
      <w:r w:rsidR="00805DAD" w:rsidRPr="002F21D4">
        <w:rPr>
          <w:sz w:val="22"/>
          <w:szCs w:val="22"/>
          <w:lang w:val="es-ES"/>
        </w:rPr>
        <w:t xml:space="preserve"> </w:t>
      </w:r>
      <w:r w:rsidR="00254696" w:rsidRPr="002F21D4">
        <w:rPr>
          <w:sz w:val="22"/>
          <w:szCs w:val="22"/>
          <w:lang w:val="es-ES"/>
        </w:rPr>
        <w:t>que serán las sanciones propias.</w:t>
      </w:r>
    </w:p>
    <w:p w14:paraId="420AF329" w14:textId="77777777" w:rsidR="002F21D4" w:rsidRPr="002F21D4" w:rsidRDefault="002F21D4" w:rsidP="00B06FB8">
      <w:pPr>
        <w:snapToGrid w:val="0"/>
        <w:ind w:firstLine="426"/>
        <w:jc w:val="both"/>
        <w:rPr>
          <w:sz w:val="22"/>
          <w:szCs w:val="22"/>
          <w:lang w:val="es-ES"/>
        </w:rPr>
      </w:pPr>
    </w:p>
    <w:p w14:paraId="4F16F0F9" w14:textId="5461ABDC" w:rsidR="00254696" w:rsidRPr="002F21D4" w:rsidRDefault="00254696" w:rsidP="00B06FB8">
      <w:pPr>
        <w:snapToGrid w:val="0"/>
        <w:ind w:firstLine="426"/>
        <w:jc w:val="both"/>
        <w:rPr>
          <w:sz w:val="22"/>
          <w:szCs w:val="22"/>
          <w:lang w:val="es-ES"/>
        </w:rPr>
      </w:pPr>
      <w:r w:rsidRPr="002F21D4">
        <w:rPr>
          <w:sz w:val="22"/>
          <w:szCs w:val="22"/>
          <w:lang w:val="es-ES"/>
        </w:rPr>
        <w:t xml:space="preserve">En </w:t>
      </w:r>
      <w:r w:rsidR="00695467" w:rsidRPr="002F21D4">
        <w:rPr>
          <w:sz w:val="22"/>
          <w:szCs w:val="22"/>
          <w:lang w:val="es-ES"/>
        </w:rPr>
        <w:t xml:space="preserve">mayo la </w:t>
      </w:r>
      <w:proofErr w:type="spellStart"/>
      <w:r w:rsidR="00695467" w:rsidRPr="002F21D4">
        <w:rPr>
          <w:sz w:val="22"/>
          <w:szCs w:val="22"/>
          <w:lang w:val="es-ES"/>
        </w:rPr>
        <w:t>JEP</w:t>
      </w:r>
      <w:proofErr w:type="spellEnd"/>
      <w:r w:rsidR="00695467" w:rsidRPr="002F21D4">
        <w:rPr>
          <w:sz w:val="22"/>
          <w:szCs w:val="22"/>
          <w:lang w:val="es-ES"/>
        </w:rPr>
        <w:t xml:space="preserve"> lanzó el </w:t>
      </w:r>
      <w:r w:rsidR="00FB46AA" w:rsidRPr="002F21D4">
        <w:rPr>
          <w:sz w:val="22"/>
          <w:szCs w:val="22"/>
          <w:lang w:val="es-ES"/>
        </w:rPr>
        <w:t>p</w:t>
      </w:r>
      <w:r w:rsidRPr="002F21D4">
        <w:rPr>
          <w:sz w:val="22"/>
          <w:szCs w:val="22"/>
          <w:lang w:val="es-ES"/>
        </w:rPr>
        <w:t xml:space="preserve">rotocolo para el relacionamiento </w:t>
      </w:r>
      <w:r w:rsidR="00695467" w:rsidRPr="002F21D4">
        <w:rPr>
          <w:sz w:val="22"/>
          <w:szCs w:val="22"/>
          <w:lang w:val="es-ES"/>
        </w:rPr>
        <w:t>con</w:t>
      </w:r>
      <w:r w:rsidRPr="002F21D4">
        <w:rPr>
          <w:sz w:val="22"/>
          <w:szCs w:val="22"/>
          <w:lang w:val="es-ES"/>
        </w:rPr>
        <w:t xml:space="preserve"> los pueblos negros, afrocolombianos, raizales</w:t>
      </w:r>
      <w:r w:rsidR="00695467" w:rsidRPr="002F21D4">
        <w:rPr>
          <w:sz w:val="22"/>
          <w:szCs w:val="22"/>
          <w:lang w:val="es-ES"/>
        </w:rPr>
        <w:t xml:space="preserve">, el cual </w:t>
      </w:r>
      <w:r w:rsidRPr="002F21D4">
        <w:rPr>
          <w:sz w:val="22"/>
          <w:szCs w:val="22"/>
          <w:lang w:val="es-ES"/>
        </w:rPr>
        <w:t>se constituye como el primer instrumento del Estado colombiano</w:t>
      </w:r>
      <w:r w:rsidR="00695467" w:rsidRPr="002F21D4">
        <w:rPr>
          <w:sz w:val="22"/>
          <w:szCs w:val="22"/>
          <w:lang w:val="es-ES"/>
        </w:rPr>
        <w:t>,</w:t>
      </w:r>
      <w:r w:rsidRPr="002F21D4">
        <w:rPr>
          <w:sz w:val="22"/>
          <w:szCs w:val="22"/>
          <w:lang w:val="es-ES"/>
        </w:rPr>
        <w:t xml:space="preserve"> jurídicamente vinculante</w:t>
      </w:r>
      <w:r w:rsidR="00695467" w:rsidRPr="002F21D4">
        <w:rPr>
          <w:sz w:val="22"/>
          <w:szCs w:val="22"/>
          <w:lang w:val="es-ES"/>
        </w:rPr>
        <w:t>,</w:t>
      </w:r>
      <w:r w:rsidRPr="002F21D4">
        <w:rPr>
          <w:sz w:val="22"/>
          <w:szCs w:val="22"/>
          <w:lang w:val="es-ES"/>
        </w:rPr>
        <w:t xml:space="preserve"> que plantea escenarios de diálogo intercultural y coordinación </w:t>
      </w:r>
      <w:proofErr w:type="spellStart"/>
      <w:r w:rsidRPr="002F21D4">
        <w:rPr>
          <w:sz w:val="22"/>
          <w:szCs w:val="22"/>
          <w:lang w:val="es-ES"/>
        </w:rPr>
        <w:t>interjusticias</w:t>
      </w:r>
      <w:proofErr w:type="spellEnd"/>
      <w:r w:rsidRPr="002F21D4">
        <w:rPr>
          <w:sz w:val="22"/>
          <w:szCs w:val="22"/>
          <w:lang w:val="es-ES"/>
        </w:rPr>
        <w:t xml:space="preserve"> </w:t>
      </w:r>
      <w:r w:rsidRPr="002F21D4">
        <w:rPr>
          <w:sz w:val="22"/>
          <w:szCs w:val="22"/>
          <w:lang w:val="es-ES"/>
        </w:rPr>
        <w:lastRenderedPageBreak/>
        <w:t xml:space="preserve">con estos pueblos. Igualmente, </w:t>
      </w:r>
      <w:r w:rsidR="00695467" w:rsidRPr="002F21D4">
        <w:rPr>
          <w:sz w:val="22"/>
          <w:szCs w:val="22"/>
          <w:lang w:val="es-ES"/>
        </w:rPr>
        <w:t>la Unidad de Investigación y Acusación fortaleció</w:t>
      </w:r>
      <w:r w:rsidRPr="002F21D4">
        <w:rPr>
          <w:sz w:val="22"/>
          <w:szCs w:val="22"/>
          <w:lang w:val="es-ES"/>
        </w:rPr>
        <w:t xml:space="preserve"> </w:t>
      </w:r>
      <w:r w:rsidR="00695467" w:rsidRPr="002F21D4">
        <w:rPr>
          <w:sz w:val="22"/>
          <w:szCs w:val="22"/>
          <w:lang w:val="es-ES"/>
        </w:rPr>
        <w:t xml:space="preserve">el </w:t>
      </w:r>
      <w:r w:rsidRPr="002F21D4">
        <w:rPr>
          <w:sz w:val="22"/>
          <w:szCs w:val="22"/>
          <w:lang w:val="es-ES"/>
        </w:rPr>
        <w:t xml:space="preserve">enfoque diferencial étnico </w:t>
      </w:r>
      <w:r w:rsidR="00695467" w:rsidRPr="002F21D4">
        <w:rPr>
          <w:sz w:val="22"/>
          <w:szCs w:val="22"/>
          <w:lang w:val="es-ES"/>
        </w:rPr>
        <w:t xml:space="preserve">a través de la </w:t>
      </w:r>
      <w:r w:rsidRPr="002F21D4">
        <w:rPr>
          <w:sz w:val="22"/>
          <w:szCs w:val="22"/>
          <w:lang w:val="es-ES"/>
        </w:rPr>
        <w:t xml:space="preserve">articulación interjurisdiccional con los pueblos </w:t>
      </w:r>
      <w:proofErr w:type="spellStart"/>
      <w:r w:rsidRPr="002F21D4">
        <w:rPr>
          <w:sz w:val="22"/>
          <w:szCs w:val="22"/>
          <w:lang w:val="es-ES"/>
        </w:rPr>
        <w:t>Wouna</w:t>
      </w:r>
      <w:r w:rsidR="00BB13D0" w:rsidRPr="002F21D4">
        <w:rPr>
          <w:sz w:val="22"/>
          <w:szCs w:val="22"/>
          <w:lang w:val="es-ES"/>
        </w:rPr>
        <w:t>n</w:t>
      </w:r>
      <w:proofErr w:type="spellEnd"/>
      <w:r w:rsidRPr="002F21D4">
        <w:rPr>
          <w:sz w:val="22"/>
          <w:szCs w:val="22"/>
          <w:lang w:val="es-ES"/>
        </w:rPr>
        <w:t xml:space="preserve">, Wayuu, Palenquero y Afro para la construcción de un manual de investigación judicial con pertinencia étnica y componentes de coordinación. No obstante, </w:t>
      </w:r>
      <w:r w:rsidR="00695467" w:rsidRPr="002F21D4">
        <w:rPr>
          <w:sz w:val="22"/>
          <w:szCs w:val="22"/>
          <w:lang w:val="es-ES"/>
        </w:rPr>
        <w:t>es importante que</w:t>
      </w:r>
      <w:r w:rsidRPr="002F21D4">
        <w:rPr>
          <w:sz w:val="22"/>
          <w:szCs w:val="22"/>
          <w:lang w:val="es-ES"/>
        </w:rPr>
        <w:t xml:space="preserve"> la Jurisdicción </w:t>
      </w:r>
      <w:r w:rsidR="00805DAD" w:rsidRPr="002F21D4">
        <w:rPr>
          <w:sz w:val="22"/>
          <w:szCs w:val="22"/>
          <w:lang w:val="es-ES"/>
        </w:rPr>
        <w:t>considere</w:t>
      </w:r>
      <w:r w:rsidRPr="002F21D4">
        <w:rPr>
          <w:sz w:val="22"/>
          <w:szCs w:val="22"/>
          <w:lang w:val="es-ES"/>
        </w:rPr>
        <w:t xml:space="preserve"> </w:t>
      </w:r>
      <w:r w:rsidR="00805DAD" w:rsidRPr="002F21D4">
        <w:rPr>
          <w:sz w:val="22"/>
          <w:szCs w:val="22"/>
          <w:lang w:val="es-ES"/>
        </w:rPr>
        <w:t xml:space="preserve">la </w:t>
      </w:r>
      <w:r w:rsidRPr="002F21D4">
        <w:rPr>
          <w:sz w:val="22"/>
          <w:szCs w:val="22"/>
          <w:lang w:val="es-ES"/>
        </w:rPr>
        <w:t xml:space="preserve">apertura de un </w:t>
      </w:r>
      <w:proofErr w:type="spellStart"/>
      <w:r w:rsidRPr="002F21D4">
        <w:rPr>
          <w:sz w:val="22"/>
          <w:szCs w:val="22"/>
          <w:lang w:val="es-ES"/>
        </w:rPr>
        <w:t>macrocaso</w:t>
      </w:r>
      <w:proofErr w:type="spellEnd"/>
      <w:r w:rsidRPr="002F21D4">
        <w:rPr>
          <w:sz w:val="22"/>
          <w:szCs w:val="22"/>
          <w:lang w:val="es-ES"/>
        </w:rPr>
        <w:t xml:space="preserve"> que </w:t>
      </w:r>
      <w:r w:rsidR="00805DAD" w:rsidRPr="002F21D4">
        <w:rPr>
          <w:sz w:val="22"/>
          <w:szCs w:val="22"/>
          <w:lang w:val="es-ES"/>
        </w:rPr>
        <w:t>indague</w:t>
      </w:r>
      <w:r w:rsidRPr="002F21D4">
        <w:rPr>
          <w:sz w:val="22"/>
          <w:szCs w:val="22"/>
          <w:lang w:val="es-ES"/>
        </w:rPr>
        <w:t xml:space="preserve"> sobre</w:t>
      </w:r>
      <w:r w:rsidR="00805DAD" w:rsidRPr="002F21D4">
        <w:rPr>
          <w:sz w:val="22"/>
          <w:szCs w:val="22"/>
          <w:lang w:val="es-ES"/>
        </w:rPr>
        <w:t xml:space="preserve"> las</w:t>
      </w:r>
      <w:r w:rsidRPr="002F21D4">
        <w:rPr>
          <w:sz w:val="22"/>
          <w:szCs w:val="22"/>
          <w:lang w:val="es-ES"/>
        </w:rPr>
        <w:t xml:space="preserve"> afectaciones a pueblos étnicos</w:t>
      </w:r>
      <w:r w:rsidR="00805DAD" w:rsidRPr="002F21D4">
        <w:rPr>
          <w:sz w:val="22"/>
          <w:szCs w:val="22"/>
          <w:lang w:val="es-ES"/>
        </w:rPr>
        <w:t>,</w:t>
      </w:r>
      <w:r w:rsidRPr="002F21D4">
        <w:rPr>
          <w:sz w:val="22"/>
          <w:szCs w:val="22"/>
          <w:lang w:val="es-ES"/>
        </w:rPr>
        <w:t xml:space="preserve"> en el</w:t>
      </w:r>
      <w:r w:rsidR="00805DAD" w:rsidRPr="002F21D4">
        <w:rPr>
          <w:sz w:val="22"/>
          <w:szCs w:val="22"/>
          <w:lang w:val="es-ES"/>
        </w:rPr>
        <w:t xml:space="preserve"> marco del</w:t>
      </w:r>
      <w:r w:rsidRPr="002F21D4">
        <w:rPr>
          <w:sz w:val="22"/>
          <w:szCs w:val="22"/>
          <w:lang w:val="es-ES"/>
        </w:rPr>
        <w:t xml:space="preserve"> conflicto armado.</w:t>
      </w:r>
    </w:p>
    <w:p w14:paraId="0C00DBCC" w14:textId="77777777" w:rsidR="00013077" w:rsidRPr="002F21D4" w:rsidRDefault="00013077" w:rsidP="00B06FB8">
      <w:pPr>
        <w:snapToGrid w:val="0"/>
        <w:ind w:firstLine="426"/>
        <w:jc w:val="both"/>
        <w:rPr>
          <w:sz w:val="22"/>
          <w:szCs w:val="22"/>
          <w:lang w:val="es-ES"/>
        </w:rPr>
      </w:pPr>
    </w:p>
    <w:p w14:paraId="4046A4CE" w14:textId="0D7F1C5B" w:rsidR="004450AD" w:rsidRPr="002F21D4" w:rsidRDefault="004450AD" w:rsidP="002E06D9">
      <w:pPr>
        <w:pStyle w:val="ListParagraph"/>
        <w:numPr>
          <w:ilvl w:val="0"/>
          <w:numId w:val="1"/>
        </w:numPr>
        <w:snapToGrid w:val="0"/>
        <w:spacing w:after="0" w:line="240" w:lineRule="auto"/>
        <w:contextualSpacing w:val="0"/>
        <w:jc w:val="both"/>
        <w:rPr>
          <w:rFonts w:ascii="Times New Roman" w:hAnsi="Times New Roman" w:cs="Times New Roman"/>
          <w:b/>
        </w:rPr>
      </w:pPr>
      <w:r w:rsidRPr="002E06D9">
        <w:rPr>
          <w:rFonts w:ascii="Times New Roman" w:hAnsi="Times New Roman" w:cs="Times New Roman"/>
          <w:b/>
          <w:bCs/>
        </w:rPr>
        <w:t>JUSTICIA</w:t>
      </w:r>
      <w:r w:rsidRPr="002F21D4">
        <w:rPr>
          <w:rFonts w:ascii="Times New Roman" w:hAnsi="Times New Roman" w:cs="Times New Roman"/>
          <w:b/>
        </w:rPr>
        <w:t xml:space="preserve"> Y PAZ</w:t>
      </w:r>
    </w:p>
    <w:p w14:paraId="7D75C97A" w14:textId="77777777" w:rsidR="002F21D4" w:rsidRPr="002F21D4" w:rsidRDefault="002F21D4" w:rsidP="00B06FB8">
      <w:pPr>
        <w:snapToGrid w:val="0"/>
        <w:ind w:firstLine="357"/>
        <w:jc w:val="both"/>
        <w:rPr>
          <w:sz w:val="22"/>
          <w:szCs w:val="22"/>
          <w:lang w:val="es-ES"/>
        </w:rPr>
      </w:pPr>
    </w:p>
    <w:p w14:paraId="57231D8A" w14:textId="391F3660" w:rsidR="008B14F6" w:rsidRPr="002F21D4" w:rsidRDefault="008B14F6" w:rsidP="00B06FB8">
      <w:pPr>
        <w:snapToGrid w:val="0"/>
        <w:ind w:firstLine="357"/>
        <w:jc w:val="both"/>
        <w:rPr>
          <w:b/>
          <w:sz w:val="22"/>
          <w:szCs w:val="22"/>
        </w:rPr>
      </w:pPr>
      <w:r w:rsidRPr="002F21D4">
        <w:rPr>
          <w:sz w:val="22"/>
          <w:szCs w:val="22"/>
          <w:lang w:val="es-ES"/>
        </w:rPr>
        <w:t>Desde su llegada a Colombia</w:t>
      </w:r>
      <w:r w:rsidR="00E2571B" w:rsidRPr="002F21D4">
        <w:rPr>
          <w:sz w:val="22"/>
          <w:szCs w:val="22"/>
          <w:lang w:val="es-ES"/>
        </w:rPr>
        <w:t>,</w:t>
      </w:r>
      <w:r w:rsidRPr="002F21D4">
        <w:rPr>
          <w:sz w:val="22"/>
          <w:szCs w:val="22"/>
          <w:lang w:val="es-ES"/>
        </w:rPr>
        <w:t xml:space="preserve"> la MAPP/OEA ha acompañado y monitoreado la implementación de distintos mecanismos de justicia transicional que buscan dar garantía a los derechos de las víctimas en el marco de la consecución de la paz. A la fecha, la implementación de la Ley 975 de 2005 (Justicia y Paz) continúa siendo un componente relevante y a la vez un antecedente para lograr la consolidación de un marco integral de justicia transicional</w:t>
      </w:r>
      <w:r w:rsidR="00805DAD" w:rsidRPr="002F21D4">
        <w:rPr>
          <w:sz w:val="22"/>
          <w:szCs w:val="22"/>
          <w:lang w:val="es-ES"/>
        </w:rPr>
        <w:t>,</w:t>
      </w:r>
      <w:r w:rsidRPr="002F21D4">
        <w:rPr>
          <w:sz w:val="22"/>
          <w:szCs w:val="22"/>
          <w:lang w:val="es-ES"/>
        </w:rPr>
        <w:t xml:space="preserve"> que busque construir memoria</w:t>
      </w:r>
      <w:r w:rsidR="00A64B93" w:rsidRPr="002F21D4">
        <w:rPr>
          <w:sz w:val="22"/>
          <w:szCs w:val="22"/>
          <w:lang w:val="es-ES"/>
        </w:rPr>
        <w:t xml:space="preserve"> y</w:t>
      </w:r>
      <w:r w:rsidRPr="002F21D4">
        <w:rPr>
          <w:sz w:val="22"/>
          <w:szCs w:val="22"/>
          <w:lang w:val="es-ES"/>
        </w:rPr>
        <w:t xml:space="preserve"> verdad, obtener justicia</w:t>
      </w:r>
      <w:r w:rsidR="00A64B93" w:rsidRPr="002F21D4">
        <w:rPr>
          <w:sz w:val="22"/>
          <w:szCs w:val="22"/>
          <w:lang w:val="es-ES"/>
        </w:rPr>
        <w:t xml:space="preserve"> y</w:t>
      </w:r>
      <w:r w:rsidRPr="002F21D4">
        <w:rPr>
          <w:sz w:val="22"/>
          <w:szCs w:val="22"/>
          <w:lang w:val="es-ES"/>
        </w:rPr>
        <w:t xml:space="preserve"> reparación, </w:t>
      </w:r>
      <w:r w:rsidR="00A64B93" w:rsidRPr="002F21D4">
        <w:rPr>
          <w:sz w:val="22"/>
          <w:szCs w:val="22"/>
          <w:lang w:val="es-ES"/>
        </w:rPr>
        <w:t xml:space="preserve">y </w:t>
      </w:r>
      <w:r w:rsidRPr="002F21D4">
        <w:rPr>
          <w:sz w:val="22"/>
          <w:szCs w:val="22"/>
          <w:lang w:val="es-ES"/>
        </w:rPr>
        <w:t xml:space="preserve">garantizar </w:t>
      </w:r>
      <w:r w:rsidR="00A64B93" w:rsidRPr="002F21D4">
        <w:rPr>
          <w:sz w:val="22"/>
          <w:szCs w:val="22"/>
          <w:lang w:val="es-ES"/>
        </w:rPr>
        <w:t xml:space="preserve">la </w:t>
      </w:r>
      <w:r w:rsidRPr="002F21D4">
        <w:rPr>
          <w:sz w:val="22"/>
          <w:szCs w:val="22"/>
          <w:lang w:val="es-ES"/>
        </w:rPr>
        <w:t xml:space="preserve">participación y la no repetición. </w:t>
      </w:r>
    </w:p>
    <w:p w14:paraId="081C3EB5" w14:textId="77777777" w:rsidR="002F21D4" w:rsidRPr="002F21D4" w:rsidRDefault="002F21D4" w:rsidP="00B06FB8">
      <w:pPr>
        <w:snapToGrid w:val="0"/>
        <w:ind w:firstLine="357"/>
        <w:jc w:val="both"/>
        <w:rPr>
          <w:sz w:val="22"/>
          <w:szCs w:val="22"/>
          <w:lang w:val="es-ES"/>
        </w:rPr>
      </w:pPr>
    </w:p>
    <w:p w14:paraId="79311FF4" w14:textId="2ABF4DE6" w:rsidR="008B14F6" w:rsidRPr="002F21D4" w:rsidRDefault="008B14F6" w:rsidP="00B06FB8">
      <w:pPr>
        <w:snapToGrid w:val="0"/>
        <w:ind w:firstLine="357"/>
        <w:jc w:val="both"/>
        <w:rPr>
          <w:sz w:val="22"/>
          <w:szCs w:val="22"/>
          <w:lang w:val="es-ES"/>
        </w:rPr>
      </w:pPr>
      <w:r w:rsidRPr="002F21D4">
        <w:rPr>
          <w:sz w:val="22"/>
          <w:szCs w:val="22"/>
          <w:lang w:val="es-ES"/>
        </w:rPr>
        <w:t>A 1</w:t>
      </w:r>
      <w:r w:rsidR="00805DAD" w:rsidRPr="002F21D4">
        <w:rPr>
          <w:sz w:val="22"/>
          <w:szCs w:val="22"/>
          <w:lang w:val="es-ES"/>
        </w:rPr>
        <w:t>6</w:t>
      </w:r>
      <w:r w:rsidRPr="002F21D4">
        <w:rPr>
          <w:sz w:val="22"/>
          <w:szCs w:val="22"/>
          <w:lang w:val="es-ES"/>
        </w:rPr>
        <w:t xml:space="preserve"> años de la expedición de la Ley de Justicia y Paz, se observa que el apoyo institucional al proceso ha decrecido, aun cuando en el marco de este permanece la expectativa de aproximadamente </w:t>
      </w:r>
      <w:r w:rsidR="002B69C5" w:rsidRPr="002F21D4">
        <w:rPr>
          <w:sz w:val="22"/>
          <w:szCs w:val="22"/>
          <w:lang w:val="es-ES"/>
        </w:rPr>
        <w:t>400.000</w:t>
      </w:r>
      <w:r w:rsidRPr="002F21D4">
        <w:rPr>
          <w:sz w:val="22"/>
          <w:szCs w:val="22"/>
          <w:lang w:val="es-ES"/>
        </w:rPr>
        <w:t xml:space="preserve"> víctimas por respuesta judicial y una importante cantidad de postulados con voluntad para reintegrarse a la sociedad. </w:t>
      </w:r>
    </w:p>
    <w:p w14:paraId="5E6A003B" w14:textId="77777777" w:rsidR="002F21D4" w:rsidRPr="002F21D4" w:rsidRDefault="002F21D4" w:rsidP="00B06FB8">
      <w:pPr>
        <w:snapToGrid w:val="0"/>
        <w:ind w:firstLine="357"/>
        <w:jc w:val="both"/>
        <w:rPr>
          <w:sz w:val="22"/>
          <w:szCs w:val="22"/>
          <w:lang w:val="es-ES"/>
        </w:rPr>
      </w:pPr>
    </w:p>
    <w:p w14:paraId="701D2EF3" w14:textId="3E9E6A8A" w:rsidR="004450AD" w:rsidRPr="002F21D4" w:rsidRDefault="004450AD" w:rsidP="00B06FB8">
      <w:pPr>
        <w:snapToGrid w:val="0"/>
        <w:ind w:firstLine="357"/>
        <w:jc w:val="both"/>
        <w:rPr>
          <w:sz w:val="22"/>
          <w:szCs w:val="22"/>
          <w:lang w:val="es-ES"/>
        </w:rPr>
      </w:pPr>
      <w:r w:rsidRPr="002F21D4">
        <w:rPr>
          <w:sz w:val="22"/>
          <w:szCs w:val="22"/>
          <w:lang w:val="es-ES"/>
        </w:rPr>
        <w:t>La Ley 1592 de 2012</w:t>
      </w:r>
      <w:r w:rsidR="00E2571B" w:rsidRPr="002F21D4">
        <w:rPr>
          <w:sz w:val="22"/>
          <w:szCs w:val="22"/>
          <w:lang w:val="es-ES"/>
        </w:rPr>
        <w:t>,</w:t>
      </w:r>
      <w:r w:rsidRPr="002F21D4">
        <w:rPr>
          <w:rStyle w:val="FootnoteReference"/>
          <w:sz w:val="22"/>
          <w:szCs w:val="22"/>
          <w:lang w:val="es-ES"/>
        </w:rPr>
        <w:footnoteReference w:id="143"/>
      </w:r>
      <w:r w:rsidRPr="002F21D4">
        <w:rPr>
          <w:sz w:val="22"/>
          <w:szCs w:val="22"/>
          <w:lang w:val="es-ES"/>
        </w:rPr>
        <w:t xml:space="preserve"> dentro de sus medidas dispuso la priorización de casos y la identificación de patrones </w:t>
      </w:r>
      <w:proofErr w:type="spellStart"/>
      <w:r w:rsidRPr="002F21D4">
        <w:rPr>
          <w:sz w:val="22"/>
          <w:szCs w:val="22"/>
          <w:lang w:val="es-ES"/>
        </w:rPr>
        <w:t>macrocriminales</w:t>
      </w:r>
      <w:proofErr w:type="spellEnd"/>
      <w:r w:rsidRPr="002F21D4">
        <w:rPr>
          <w:sz w:val="22"/>
          <w:szCs w:val="22"/>
          <w:lang w:val="es-ES"/>
        </w:rPr>
        <w:t xml:space="preserve"> para la investigación y judicialización</w:t>
      </w:r>
      <w:r w:rsidR="009B5311" w:rsidRPr="002F21D4">
        <w:rPr>
          <w:sz w:val="22"/>
          <w:szCs w:val="22"/>
          <w:lang w:val="es-ES"/>
        </w:rPr>
        <w:t xml:space="preserve">, </w:t>
      </w:r>
      <w:r w:rsidRPr="002F21D4">
        <w:rPr>
          <w:sz w:val="22"/>
          <w:szCs w:val="22"/>
          <w:lang w:val="es-ES"/>
        </w:rPr>
        <w:t>con lo cual se esperaba mayor efectividad en el esclarecimiento de los hechos ocurridos.</w:t>
      </w:r>
      <w:r w:rsidR="00B3338F" w:rsidRPr="002F21D4">
        <w:rPr>
          <w:sz w:val="22"/>
          <w:szCs w:val="22"/>
          <w:lang w:val="es-ES"/>
        </w:rPr>
        <w:t xml:space="preserve"> </w:t>
      </w:r>
      <w:r w:rsidR="00BE5167" w:rsidRPr="002F21D4">
        <w:rPr>
          <w:sz w:val="22"/>
          <w:szCs w:val="22"/>
          <w:lang w:val="es-ES"/>
        </w:rPr>
        <w:t xml:space="preserve">El Ministerio de Justicia y del Derecho junto con entidades como la </w:t>
      </w:r>
      <w:r w:rsidR="008A3A01" w:rsidRPr="002F21D4">
        <w:rPr>
          <w:sz w:val="22"/>
          <w:szCs w:val="22"/>
          <w:lang w:val="es-ES"/>
        </w:rPr>
        <w:t>FGN</w:t>
      </w:r>
      <w:r w:rsidR="00BE5167" w:rsidRPr="002F21D4">
        <w:rPr>
          <w:sz w:val="22"/>
          <w:szCs w:val="22"/>
          <w:lang w:val="es-ES"/>
        </w:rPr>
        <w:t xml:space="preserve"> y el Consejo Superior de la Judicatura ha</w:t>
      </w:r>
      <w:r w:rsidR="0004049B" w:rsidRPr="002F21D4">
        <w:rPr>
          <w:sz w:val="22"/>
          <w:szCs w:val="22"/>
          <w:lang w:val="es-ES"/>
        </w:rPr>
        <w:t>n</w:t>
      </w:r>
      <w:r w:rsidR="00BE5167" w:rsidRPr="002F21D4">
        <w:rPr>
          <w:sz w:val="22"/>
          <w:szCs w:val="22"/>
          <w:lang w:val="es-ES"/>
        </w:rPr>
        <w:t xml:space="preserve"> realizado importantes esfuerzos para fortalecer la capacidad de jueces y fiscales </w:t>
      </w:r>
      <w:r w:rsidR="009A0C20" w:rsidRPr="002F21D4">
        <w:rPr>
          <w:sz w:val="22"/>
          <w:szCs w:val="22"/>
          <w:lang w:val="es-ES"/>
        </w:rPr>
        <w:t xml:space="preserve">con el </w:t>
      </w:r>
      <w:r w:rsidR="00BE5167" w:rsidRPr="002F21D4">
        <w:rPr>
          <w:sz w:val="22"/>
          <w:szCs w:val="22"/>
          <w:lang w:val="es-ES"/>
        </w:rPr>
        <w:t>propósito de descongest</w:t>
      </w:r>
      <w:r w:rsidR="009A0C20" w:rsidRPr="002F21D4">
        <w:rPr>
          <w:sz w:val="22"/>
          <w:szCs w:val="22"/>
          <w:lang w:val="es-ES"/>
        </w:rPr>
        <w:t>ionar</w:t>
      </w:r>
      <w:r w:rsidR="00BE5167" w:rsidRPr="002F21D4">
        <w:rPr>
          <w:sz w:val="22"/>
          <w:szCs w:val="22"/>
          <w:lang w:val="es-ES"/>
        </w:rPr>
        <w:t xml:space="preserve"> los procesos de justicia y paz. </w:t>
      </w:r>
      <w:r w:rsidRPr="002F21D4">
        <w:rPr>
          <w:sz w:val="22"/>
          <w:szCs w:val="22"/>
          <w:lang w:val="es-ES"/>
        </w:rPr>
        <w:t>A pesar de ello, los tribunales de conocimiento y las magistraturas con función de control de garantías, así como la judicatura de ejecución de penas</w:t>
      </w:r>
      <w:r w:rsidR="009B5311" w:rsidRPr="002F21D4">
        <w:rPr>
          <w:sz w:val="22"/>
          <w:szCs w:val="22"/>
          <w:lang w:val="es-ES"/>
        </w:rPr>
        <w:t>,</w:t>
      </w:r>
      <w:r w:rsidRPr="002F21D4">
        <w:rPr>
          <w:sz w:val="22"/>
          <w:szCs w:val="22"/>
          <w:lang w:val="es-ES"/>
        </w:rPr>
        <w:t xml:space="preserve"> hoy se encuentran abarrotadas de expedientes, sin la suficiente capacidad para responder, pues cada despacho cuenta con solo dos profesionales.</w:t>
      </w:r>
    </w:p>
    <w:p w14:paraId="0E787098" w14:textId="77777777" w:rsidR="002F21D4" w:rsidRPr="002F21D4" w:rsidRDefault="002F21D4" w:rsidP="00B06FB8">
      <w:pPr>
        <w:snapToGrid w:val="0"/>
        <w:ind w:firstLine="357"/>
        <w:jc w:val="both"/>
        <w:rPr>
          <w:sz w:val="22"/>
          <w:szCs w:val="22"/>
          <w:lang w:val="es-ES"/>
        </w:rPr>
      </w:pPr>
    </w:p>
    <w:p w14:paraId="2A9F1EFC" w14:textId="2397B7F1" w:rsidR="004450AD" w:rsidRPr="002F21D4" w:rsidRDefault="004450AD" w:rsidP="00B06FB8">
      <w:pPr>
        <w:snapToGrid w:val="0"/>
        <w:ind w:firstLine="357"/>
        <w:jc w:val="both"/>
        <w:rPr>
          <w:sz w:val="22"/>
          <w:szCs w:val="22"/>
          <w:lang w:val="es-ES"/>
        </w:rPr>
      </w:pPr>
      <w:r w:rsidRPr="002F21D4">
        <w:rPr>
          <w:sz w:val="22"/>
          <w:szCs w:val="22"/>
          <w:lang w:val="es-ES"/>
        </w:rPr>
        <w:t>Existe una obligatoriedad de coordinación interinstitucional</w:t>
      </w:r>
      <w:r w:rsidRPr="002F21D4">
        <w:rPr>
          <w:rStyle w:val="FootnoteReference"/>
          <w:sz w:val="22"/>
          <w:szCs w:val="22"/>
          <w:lang w:val="es-ES"/>
        </w:rPr>
        <w:footnoteReference w:id="144"/>
      </w:r>
      <w:r w:rsidRPr="002F21D4">
        <w:rPr>
          <w:sz w:val="22"/>
          <w:szCs w:val="22"/>
          <w:lang w:val="es-ES"/>
        </w:rPr>
        <w:t xml:space="preserve"> que facilita la amplia participación de las víctimas en versiones libres y audiencias judiciales, entre ellas el incidente de reparación integral</w:t>
      </w:r>
      <w:r w:rsidR="009B5311" w:rsidRPr="002F21D4">
        <w:rPr>
          <w:rStyle w:val="FootnoteReference"/>
          <w:sz w:val="22"/>
          <w:szCs w:val="22"/>
          <w:lang w:val="es-ES"/>
        </w:rPr>
        <w:footnoteReference w:id="145"/>
      </w:r>
      <w:r w:rsidRPr="002F21D4">
        <w:rPr>
          <w:sz w:val="22"/>
          <w:szCs w:val="22"/>
          <w:lang w:val="es-ES"/>
        </w:rPr>
        <w:t xml:space="preserve"> </w:t>
      </w:r>
      <w:r w:rsidR="006D116E" w:rsidRPr="002F21D4">
        <w:rPr>
          <w:sz w:val="22"/>
          <w:szCs w:val="22"/>
          <w:lang w:val="es-ES"/>
        </w:rPr>
        <w:t>que,</w:t>
      </w:r>
      <w:r w:rsidRPr="002F21D4">
        <w:rPr>
          <w:sz w:val="22"/>
          <w:szCs w:val="22"/>
          <w:lang w:val="es-ES"/>
        </w:rPr>
        <w:t xml:space="preserve"> aunque constituye el momento cúspide de participación, en la práctica </w:t>
      </w:r>
      <w:r w:rsidR="009B5311" w:rsidRPr="002F21D4">
        <w:rPr>
          <w:sz w:val="22"/>
          <w:szCs w:val="22"/>
          <w:lang w:val="es-ES"/>
        </w:rPr>
        <w:t>cuenta</w:t>
      </w:r>
      <w:r w:rsidRPr="002F21D4">
        <w:rPr>
          <w:sz w:val="22"/>
          <w:szCs w:val="22"/>
          <w:lang w:val="es-ES"/>
        </w:rPr>
        <w:t xml:space="preserve"> con muy poco acceso de las víctimas y no responde al objetivo para el cual fue creado. Además, los continuos cambios de fiscales a otras direcciones de la Fiscalía están ralentizando el proceso judicial, las versiones son repetitivas temáticamente, y en muchos casos, las diligencias de cotejo investigativo son duplicadas.</w:t>
      </w:r>
    </w:p>
    <w:p w14:paraId="35746305" w14:textId="3FF65C8A" w:rsidR="004450AD" w:rsidRPr="002F21D4" w:rsidRDefault="004450AD" w:rsidP="00B06FB8">
      <w:pPr>
        <w:snapToGrid w:val="0"/>
        <w:ind w:firstLine="357"/>
        <w:jc w:val="both"/>
        <w:rPr>
          <w:sz w:val="22"/>
          <w:szCs w:val="22"/>
          <w:lang w:val="es-ES"/>
        </w:rPr>
      </w:pPr>
      <w:r w:rsidRPr="002F21D4">
        <w:rPr>
          <w:sz w:val="22"/>
          <w:szCs w:val="22"/>
          <w:lang w:val="es-ES"/>
        </w:rPr>
        <w:lastRenderedPageBreak/>
        <w:t xml:space="preserve">Bajo este panorama, el proceso judicial especial de Justicia y Paz demoraría aproximadamente </w:t>
      </w:r>
      <w:r w:rsidR="002B69C5" w:rsidRPr="002F21D4">
        <w:rPr>
          <w:sz w:val="22"/>
          <w:szCs w:val="22"/>
          <w:lang w:val="es-ES"/>
        </w:rPr>
        <w:t>32</w:t>
      </w:r>
      <w:r w:rsidRPr="002F21D4">
        <w:rPr>
          <w:sz w:val="22"/>
          <w:szCs w:val="22"/>
          <w:lang w:val="es-ES"/>
        </w:rPr>
        <w:t xml:space="preserve"> años</w:t>
      </w:r>
      <w:r w:rsidR="00B2697F" w:rsidRPr="002F21D4">
        <w:rPr>
          <w:sz w:val="22"/>
          <w:szCs w:val="22"/>
          <w:lang w:val="es-ES"/>
        </w:rPr>
        <w:t xml:space="preserve"> más</w:t>
      </w:r>
      <w:r w:rsidRPr="002F21D4">
        <w:rPr>
          <w:rStyle w:val="FootnoteReference"/>
          <w:sz w:val="22"/>
          <w:szCs w:val="22"/>
          <w:lang w:val="es-ES"/>
        </w:rPr>
        <w:footnoteReference w:id="146"/>
      </w:r>
      <w:r w:rsidRPr="002F21D4">
        <w:rPr>
          <w:sz w:val="22"/>
          <w:szCs w:val="22"/>
          <w:lang w:val="es-ES"/>
        </w:rPr>
        <w:t xml:space="preserve">, hasta que se dé la última audiencia de verificación de cumplimiento del fallo. </w:t>
      </w:r>
      <w:r w:rsidR="002B69C5" w:rsidRPr="002F21D4">
        <w:rPr>
          <w:sz w:val="22"/>
          <w:szCs w:val="22"/>
          <w:lang w:val="es-ES"/>
        </w:rPr>
        <w:t>N</w:t>
      </w:r>
      <w:r w:rsidRPr="002F21D4">
        <w:rPr>
          <w:sz w:val="22"/>
          <w:szCs w:val="22"/>
          <w:lang w:val="es-ES"/>
        </w:rPr>
        <w:t xml:space="preserve">o constituye una alternativa viable considerar a la justicia ordinaria como posible solución a esta problemática, debido al riesgo de impunidad y lo que implicaría la curva de aprendizaje en temas de crímenes internacionales. Toda dilación genera una vulneración al debido proceso y afecta directamente a las víctimas y </w:t>
      </w:r>
      <w:r w:rsidR="004A1CBF" w:rsidRPr="002F21D4">
        <w:rPr>
          <w:sz w:val="22"/>
          <w:szCs w:val="22"/>
          <w:lang w:val="es-ES"/>
        </w:rPr>
        <w:t>a los postulados; m</w:t>
      </w:r>
      <w:r w:rsidRPr="002F21D4">
        <w:rPr>
          <w:sz w:val="22"/>
          <w:szCs w:val="22"/>
          <w:lang w:val="es-ES"/>
        </w:rPr>
        <w:t>ientras las víctimas no ven satisfechas sus expectativas frente al proceso de reparación integral, los postulados se ven anclados en procesos judiciales que han impactado negativamente su vida hacia la reintegración</w:t>
      </w:r>
      <w:r w:rsidRPr="002F21D4">
        <w:rPr>
          <w:rStyle w:val="FootnoteReference"/>
          <w:sz w:val="22"/>
          <w:szCs w:val="22"/>
          <w:lang w:val="es-ES"/>
        </w:rPr>
        <w:footnoteReference w:id="147"/>
      </w:r>
      <w:r w:rsidRPr="002F21D4">
        <w:rPr>
          <w:sz w:val="22"/>
          <w:szCs w:val="22"/>
          <w:lang w:val="es-ES"/>
        </w:rPr>
        <w:t>.</w:t>
      </w:r>
      <w:r w:rsidR="0078159F" w:rsidRPr="002F21D4">
        <w:rPr>
          <w:sz w:val="22"/>
          <w:szCs w:val="22"/>
          <w:lang w:val="es-ES"/>
        </w:rPr>
        <w:t xml:space="preserve"> </w:t>
      </w:r>
    </w:p>
    <w:p w14:paraId="14DC4404" w14:textId="77777777" w:rsidR="002F21D4" w:rsidRPr="002F21D4" w:rsidRDefault="002F21D4" w:rsidP="00B06FB8">
      <w:pPr>
        <w:snapToGrid w:val="0"/>
        <w:ind w:firstLine="357"/>
        <w:jc w:val="both"/>
        <w:rPr>
          <w:sz w:val="22"/>
          <w:szCs w:val="22"/>
          <w:lang w:val="es-ES"/>
        </w:rPr>
      </w:pPr>
    </w:p>
    <w:p w14:paraId="46A41087" w14:textId="3D843B1B" w:rsidR="00C14B7E" w:rsidRPr="002F21D4" w:rsidRDefault="004450AD" w:rsidP="00B06FB8">
      <w:pPr>
        <w:snapToGrid w:val="0"/>
        <w:ind w:firstLine="357"/>
        <w:jc w:val="both"/>
        <w:rPr>
          <w:sz w:val="22"/>
          <w:szCs w:val="22"/>
          <w:lang w:val="es-ES"/>
        </w:rPr>
      </w:pPr>
      <w:r w:rsidRPr="002F21D4">
        <w:rPr>
          <w:sz w:val="22"/>
          <w:szCs w:val="22"/>
          <w:lang w:val="es-ES"/>
        </w:rPr>
        <w:t>Esta situación se suma al</w:t>
      </w:r>
      <w:r w:rsidR="000356C0" w:rsidRPr="002F21D4">
        <w:rPr>
          <w:sz w:val="22"/>
          <w:szCs w:val="22"/>
          <w:lang w:val="es-ES"/>
        </w:rPr>
        <w:t xml:space="preserve"> difícil</w:t>
      </w:r>
      <w:r w:rsidRPr="002F21D4">
        <w:rPr>
          <w:sz w:val="22"/>
          <w:szCs w:val="22"/>
          <w:lang w:val="es-ES"/>
        </w:rPr>
        <w:t xml:space="preserve"> contexto de seguridad que viven los desmovilizados de las A</w:t>
      </w:r>
      <w:r w:rsidR="00217C86" w:rsidRPr="002F21D4">
        <w:rPr>
          <w:sz w:val="22"/>
          <w:szCs w:val="22"/>
          <w:lang w:val="es-ES"/>
        </w:rPr>
        <w:t>utodefensas Unidas de Colombia</w:t>
      </w:r>
      <w:r w:rsidRPr="002F21D4">
        <w:rPr>
          <w:sz w:val="22"/>
          <w:szCs w:val="22"/>
          <w:lang w:val="es-ES"/>
        </w:rPr>
        <w:t xml:space="preserve">. </w:t>
      </w:r>
      <w:r w:rsidR="00883FEB" w:rsidRPr="002F21D4">
        <w:rPr>
          <w:sz w:val="22"/>
          <w:szCs w:val="22"/>
          <w:lang w:val="es-ES"/>
        </w:rPr>
        <w:t>Según cifras institucionales, m</w:t>
      </w:r>
      <w:r w:rsidR="00217C86" w:rsidRPr="002F21D4">
        <w:rPr>
          <w:sz w:val="22"/>
          <w:szCs w:val="22"/>
          <w:lang w:val="es-ES"/>
        </w:rPr>
        <w:t>ás de 4</w:t>
      </w:r>
      <w:r w:rsidR="002B69C5" w:rsidRPr="002F21D4">
        <w:rPr>
          <w:sz w:val="22"/>
          <w:szCs w:val="22"/>
          <w:lang w:val="es-ES"/>
        </w:rPr>
        <w:t>.</w:t>
      </w:r>
      <w:r w:rsidR="00217C86" w:rsidRPr="002F21D4">
        <w:rPr>
          <w:sz w:val="22"/>
          <w:szCs w:val="22"/>
          <w:lang w:val="es-ES"/>
        </w:rPr>
        <w:t>600 fueron asesinados</w:t>
      </w:r>
      <w:r w:rsidR="00552A02" w:rsidRPr="002F21D4">
        <w:rPr>
          <w:rStyle w:val="FootnoteReference"/>
          <w:sz w:val="22"/>
          <w:szCs w:val="22"/>
          <w:lang w:val="es-ES"/>
        </w:rPr>
        <w:footnoteReference w:id="148"/>
      </w:r>
      <w:r w:rsidRPr="002F21D4">
        <w:rPr>
          <w:sz w:val="22"/>
          <w:szCs w:val="22"/>
          <w:lang w:val="es-ES"/>
        </w:rPr>
        <w:t xml:space="preserve"> por causas violentas desde el año 2004 y en algunos casos hay indicios de que dichos hechos tuvieron relación con las versiones libres, tal e</w:t>
      </w:r>
      <w:r w:rsidR="00883FEB" w:rsidRPr="002F21D4">
        <w:rPr>
          <w:sz w:val="22"/>
          <w:szCs w:val="22"/>
          <w:lang w:val="es-ES"/>
        </w:rPr>
        <w:t>s e</w:t>
      </w:r>
      <w:r w:rsidRPr="002F21D4">
        <w:rPr>
          <w:sz w:val="22"/>
          <w:szCs w:val="22"/>
          <w:lang w:val="es-ES"/>
        </w:rPr>
        <w:t>l caso de Danilo José Hernández</w:t>
      </w:r>
      <w:r w:rsidR="00883FEB" w:rsidRPr="002F21D4">
        <w:rPr>
          <w:sz w:val="22"/>
          <w:szCs w:val="22"/>
          <w:lang w:val="es-ES"/>
        </w:rPr>
        <w:t xml:space="preserve"> </w:t>
      </w:r>
      <w:r w:rsidRPr="002F21D4">
        <w:rPr>
          <w:sz w:val="22"/>
          <w:szCs w:val="22"/>
          <w:lang w:val="es-ES"/>
        </w:rPr>
        <w:t>“El Indio”</w:t>
      </w:r>
      <w:r w:rsidR="00883FEB" w:rsidRPr="002F21D4">
        <w:rPr>
          <w:sz w:val="22"/>
          <w:szCs w:val="22"/>
          <w:lang w:val="es-ES"/>
        </w:rPr>
        <w:t>,</w:t>
      </w:r>
      <w:r w:rsidRPr="002F21D4">
        <w:rPr>
          <w:sz w:val="22"/>
          <w:szCs w:val="22"/>
          <w:lang w:val="es-ES"/>
        </w:rPr>
        <w:t xml:space="preserve"> quien fue asesinado </w:t>
      </w:r>
      <w:r w:rsidR="006D116E" w:rsidRPr="002F21D4">
        <w:rPr>
          <w:sz w:val="22"/>
          <w:szCs w:val="22"/>
          <w:lang w:val="es-ES"/>
        </w:rPr>
        <w:t>en</w:t>
      </w:r>
      <w:r w:rsidRPr="002F21D4">
        <w:rPr>
          <w:sz w:val="22"/>
          <w:szCs w:val="22"/>
          <w:lang w:val="es-ES"/>
        </w:rPr>
        <w:t xml:space="preserve"> mayo</w:t>
      </w:r>
      <w:r w:rsidR="00883FEB" w:rsidRPr="002F21D4">
        <w:rPr>
          <w:sz w:val="22"/>
          <w:szCs w:val="22"/>
          <w:lang w:val="es-ES"/>
        </w:rPr>
        <w:t xml:space="preserve"> de 2021</w:t>
      </w:r>
      <w:r w:rsidRPr="002F21D4">
        <w:rPr>
          <w:sz w:val="22"/>
          <w:szCs w:val="22"/>
          <w:lang w:val="es-ES"/>
        </w:rPr>
        <w:t xml:space="preserve"> en Valledupar</w:t>
      </w:r>
      <w:r w:rsidR="00883FEB" w:rsidRPr="002F21D4">
        <w:rPr>
          <w:sz w:val="22"/>
          <w:szCs w:val="22"/>
          <w:lang w:val="es-ES"/>
        </w:rPr>
        <w:t>, Cesar</w:t>
      </w:r>
      <w:r w:rsidRPr="002F21D4">
        <w:rPr>
          <w:sz w:val="22"/>
          <w:szCs w:val="22"/>
          <w:lang w:val="es-ES"/>
        </w:rPr>
        <w:t xml:space="preserve">. La </w:t>
      </w:r>
      <w:r w:rsidR="008B6B19" w:rsidRPr="002F21D4">
        <w:rPr>
          <w:sz w:val="22"/>
          <w:szCs w:val="22"/>
          <w:lang w:val="es-ES"/>
        </w:rPr>
        <w:t>SG/OEA a través de la MAPP/OEA</w:t>
      </w:r>
      <w:r w:rsidR="004713E5" w:rsidRPr="002F21D4">
        <w:rPr>
          <w:sz w:val="22"/>
          <w:szCs w:val="22"/>
          <w:lang w:val="es-ES"/>
        </w:rPr>
        <w:t xml:space="preserve"> </w:t>
      </w:r>
      <w:r w:rsidRPr="002F21D4">
        <w:rPr>
          <w:sz w:val="22"/>
          <w:szCs w:val="22"/>
          <w:lang w:val="es-ES"/>
        </w:rPr>
        <w:t>está contribuyendo en la generación de espacios regionales para mitigar los riesgos procesales y físicos</w:t>
      </w:r>
      <w:r w:rsidR="002B69C5" w:rsidRPr="002F21D4">
        <w:rPr>
          <w:sz w:val="22"/>
          <w:szCs w:val="22"/>
          <w:lang w:val="es-ES"/>
        </w:rPr>
        <w:t>,</w:t>
      </w:r>
      <w:r w:rsidRPr="002F21D4">
        <w:rPr>
          <w:sz w:val="22"/>
          <w:szCs w:val="22"/>
          <w:lang w:val="es-ES"/>
        </w:rPr>
        <w:t xml:space="preserve"> y de forma simultánea fortalecer la centralidad de las víctimas.</w:t>
      </w:r>
    </w:p>
    <w:p w14:paraId="2105D358" w14:textId="77777777" w:rsidR="00013077" w:rsidRPr="002F21D4" w:rsidRDefault="00013077" w:rsidP="00B06FB8">
      <w:pPr>
        <w:snapToGrid w:val="0"/>
        <w:ind w:firstLine="357"/>
        <w:jc w:val="both"/>
        <w:rPr>
          <w:sz w:val="22"/>
          <w:szCs w:val="22"/>
          <w:lang w:val="es-ES"/>
        </w:rPr>
      </w:pPr>
    </w:p>
    <w:p w14:paraId="389442A8" w14:textId="24D4B77C" w:rsidR="00781B65" w:rsidRPr="002F21D4" w:rsidRDefault="00781B65" w:rsidP="002E06D9">
      <w:pPr>
        <w:pStyle w:val="ListParagraph"/>
        <w:numPr>
          <w:ilvl w:val="0"/>
          <w:numId w:val="1"/>
        </w:numPr>
        <w:snapToGrid w:val="0"/>
        <w:spacing w:after="0" w:line="240" w:lineRule="auto"/>
        <w:contextualSpacing w:val="0"/>
        <w:jc w:val="both"/>
        <w:rPr>
          <w:rFonts w:ascii="Times New Roman" w:hAnsi="Times New Roman" w:cs="Times New Roman"/>
          <w:b/>
          <w:color w:val="000000" w:themeColor="text1"/>
          <w:lang w:val="es-ES_tradnl"/>
        </w:rPr>
      </w:pPr>
      <w:r w:rsidRPr="002E06D9">
        <w:rPr>
          <w:rFonts w:ascii="Times New Roman" w:hAnsi="Times New Roman" w:cs="Times New Roman"/>
          <w:b/>
          <w:bCs/>
        </w:rPr>
        <w:t>RECOMENDACIONES</w:t>
      </w:r>
    </w:p>
    <w:p w14:paraId="261BBD7C" w14:textId="77777777" w:rsidR="002F21D4" w:rsidRPr="002F21D4" w:rsidRDefault="002F21D4" w:rsidP="00B06FB8">
      <w:pPr>
        <w:shd w:val="clear" w:color="auto" w:fill="FFFFFF"/>
        <w:snapToGrid w:val="0"/>
        <w:ind w:left="142"/>
        <w:jc w:val="both"/>
        <w:rPr>
          <w:b/>
          <w:color w:val="000000" w:themeColor="text1"/>
          <w:sz w:val="22"/>
          <w:szCs w:val="22"/>
          <w:lang w:val="es-ES_tradnl"/>
        </w:rPr>
      </w:pPr>
    </w:p>
    <w:p w14:paraId="7F2B111B" w14:textId="3DEC22E7" w:rsidR="002B03BA" w:rsidRPr="002F21D4" w:rsidRDefault="002B03BA" w:rsidP="002E06D9">
      <w:pPr>
        <w:pStyle w:val="ListParagraph"/>
        <w:numPr>
          <w:ilvl w:val="1"/>
          <w:numId w:val="11"/>
        </w:numPr>
        <w:snapToGrid w:val="0"/>
        <w:spacing w:after="0" w:line="240" w:lineRule="auto"/>
        <w:ind w:left="1440" w:hanging="720"/>
        <w:contextualSpacing w:val="0"/>
        <w:jc w:val="both"/>
        <w:rPr>
          <w:rFonts w:ascii="Times New Roman" w:hAnsi="Times New Roman" w:cs="Times New Roman"/>
          <w:b/>
          <w:bCs/>
        </w:rPr>
      </w:pPr>
      <w:r w:rsidRPr="002F21D4">
        <w:rPr>
          <w:rFonts w:ascii="Times New Roman" w:hAnsi="Times New Roman" w:cs="Times New Roman"/>
          <w:b/>
          <w:bCs/>
        </w:rPr>
        <w:t>Al Ministerio de Defensa Nacional</w:t>
      </w:r>
    </w:p>
    <w:p w14:paraId="786EFD61" w14:textId="77777777" w:rsidR="002F21D4" w:rsidRPr="002F21D4" w:rsidRDefault="002F21D4" w:rsidP="00B06FB8">
      <w:pPr>
        <w:snapToGrid w:val="0"/>
        <w:jc w:val="both"/>
        <w:rPr>
          <w:i/>
          <w:iCs/>
          <w:sz w:val="22"/>
          <w:szCs w:val="22"/>
        </w:rPr>
      </w:pPr>
    </w:p>
    <w:p w14:paraId="323C3A83" w14:textId="54FB74FD" w:rsidR="002B03BA" w:rsidRPr="002F21D4" w:rsidRDefault="005B348E" w:rsidP="00B06FB8">
      <w:pPr>
        <w:snapToGrid w:val="0"/>
        <w:jc w:val="both"/>
        <w:rPr>
          <w:sz w:val="22"/>
          <w:szCs w:val="22"/>
        </w:rPr>
      </w:pPr>
      <w:r w:rsidRPr="002F21D4">
        <w:rPr>
          <w:i/>
          <w:iCs/>
          <w:sz w:val="22"/>
          <w:szCs w:val="22"/>
        </w:rPr>
        <w:t>10.1.1.</w:t>
      </w:r>
      <w:r w:rsidRPr="002F21D4">
        <w:rPr>
          <w:sz w:val="22"/>
          <w:szCs w:val="22"/>
        </w:rPr>
        <w:t xml:space="preserve"> </w:t>
      </w:r>
      <w:r w:rsidR="002B03BA" w:rsidRPr="002F21D4">
        <w:rPr>
          <w:sz w:val="22"/>
          <w:szCs w:val="22"/>
        </w:rPr>
        <w:t>Continuar la ejecución de acciones para evitar el surgimiento, reconfiguración, reagrupamiento, expansión y consolidación territorial de los GAI, con el fin de mitigar los impactos de su accionar en la población civil, con especial observancia de los Derechos Humanos y el Derecho Internacional Humanitario, que contribuya a g</w:t>
      </w:r>
      <w:r w:rsidR="00E74198" w:rsidRPr="002F21D4">
        <w:rPr>
          <w:sz w:val="22"/>
          <w:szCs w:val="22"/>
        </w:rPr>
        <w:t>arantizar</w:t>
      </w:r>
      <w:r w:rsidR="002B03BA" w:rsidRPr="002F21D4">
        <w:rPr>
          <w:sz w:val="22"/>
          <w:szCs w:val="22"/>
        </w:rPr>
        <w:t xml:space="preserve"> condiciones de seguridad y a fortalecer la construcción de paz en los territorios.</w:t>
      </w:r>
      <w:r w:rsidR="0078159F" w:rsidRPr="002F21D4">
        <w:rPr>
          <w:sz w:val="22"/>
          <w:szCs w:val="22"/>
        </w:rPr>
        <w:t xml:space="preserve"> </w:t>
      </w:r>
    </w:p>
    <w:p w14:paraId="4DC3E666" w14:textId="77777777" w:rsidR="002F21D4" w:rsidRPr="002F21D4" w:rsidRDefault="002F21D4" w:rsidP="00B06FB8">
      <w:pPr>
        <w:snapToGrid w:val="0"/>
        <w:jc w:val="both"/>
        <w:rPr>
          <w:sz w:val="22"/>
          <w:szCs w:val="22"/>
        </w:rPr>
      </w:pPr>
    </w:p>
    <w:p w14:paraId="54849D2B" w14:textId="386413E1" w:rsidR="0069221D" w:rsidRPr="002F21D4" w:rsidRDefault="0069221D" w:rsidP="00B06FB8">
      <w:pPr>
        <w:pStyle w:val="ListParagraph"/>
        <w:numPr>
          <w:ilvl w:val="2"/>
          <w:numId w:val="12"/>
        </w:numPr>
        <w:snapToGrid w:val="0"/>
        <w:spacing w:after="0" w:line="240" w:lineRule="auto"/>
        <w:ind w:left="0" w:firstLine="0"/>
        <w:contextualSpacing w:val="0"/>
        <w:jc w:val="both"/>
        <w:rPr>
          <w:rFonts w:ascii="Times New Roman" w:hAnsi="Times New Roman" w:cs="Times New Roman"/>
        </w:rPr>
      </w:pPr>
      <w:r w:rsidRPr="002F21D4">
        <w:rPr>
          <w:rFonts w:ascii="Times New Roman" w:hAnsi="Times New Roman" w:cs="Times New Roman"/>
        </w:rPr>
        <w:t xml:space="preserve">Garantizar la seguridad en los territorios no </w:t>
      </w:r>
      <w:proofErr w:type="spellStart"/>
      <w:r w:rsidRPr="002F21D4">
        <w:rPr>
          <w:rFonts w:ascii="Times New Roman" w:hAnsi="Times New Roman" w:cs="Times New Roman"/>
        </w:rPr>
        <w:t>microfocalizados</w:t>
      </w:r>
      <w:proofErr w:type="spellEnd"/>
      <w:r w:rsidRPr="002F21D4">
        <w:rPr>
          <w:rFonts w:ascii="Times New Roman" w:hAnsi="Times New Roman" w:cs="Times New Roman"/>
        </w:rPr>
        <w:t xml:space="preserve"> y la estabilidad de los que ya cuentan con </w:t>
      </w:r>
      <w:proofErr w:type="spellStart"/>
      <w:r w:rsidRPr="002F21D4">
        <w:rPr>
          <w:rFonts w:ascii="Times New Roman" w:hAnsi="Times New Roman" w:cs="Times New Roman"/>
        </w:rPr>
        <w:t>microfocalización</w:t>
      </w:r>
      <w:proofErr w:type="spellEnd"/>
      <w:r w:rsidRPr="002F21D4">
        <w:rPr>
          <w:rFonts w:ascii="Times New Roman" w:hAnsi="Times New Roman" w:cs="Times New Roman"/>
        </w:rPr>
        <w:t xml:space="preserve">, robusteciendo la presencia estatal, que asegure los retornos efectivos, la confianza comunitaria y la sostenibilidad de la política de restitución de tierras y territorios. </w:t>
      </w:r>
    </w:p>
    <w:p w14:paraId="725B7B46" w14:textId="77777777" w:rsidR="002F21D4" w:rsidRPr="002F21D4" w:rsidRDefault="002F21D4" w:rsidP="002F21D4">
      <w:pPr>
        <w:pStyle w:val="ListParagraph"/>
        <w:snapToGrid w:val="0"/>
        <w:spacing w:after="0" w:line="240" w:lineRule="auto"/>
        <w:ind w:left="0"/>
        <w:contextualSpacing w:val="0"/>
        <w:jc w:val="both"/>
        <w:rPr>
          <w:rFonts w:ascii="Times New Roman" w:hAnsi="Times New Roman" w:cs="Times New Roman"/>
        </w:rPr>
      </w:pPr>
    </w:p>
    <w:p w14:paraId="3E14665A" w14:textId="454E0302" w:rsidR="002B03BA" w:rsidRPr="002F21D4" w:rsidRDefault="002B03BA" w:rsidP="002E06D9">
      <w:pPr>
        <w:pStyle w:val="ListParagraph"/>
        <w:numPr>
          <w:ilvl w:val="1"/>
          <w:numId w:val="11"/>
        </w:numPr>
        <w:snapToGrid w:val="0"/>
        <w:spacing w:after="0" w:line="240" w:lineRule="auto"/>
        <w:ind w:left="1440" w:hanging="720"/>
        <w:contextualSpacing w:val="0"/>
        <w:jc w:val="both"/>
        <w:rPr>
          <w:rFonts w:ascii="Times New Roman" w:hAnsi="Times New Roman" w:cs="Times New Roman"/>
          <w:b/>
        </w:rPr>
      </w:pPr>
      <w:r w:rsidRPr="002F21D4">
        <w:rPr>
          <w:rFonts w:ascii="Times New Roman" w:hAnsi="Times New Roman" w:cs="Times New Roman"/>
          <w:b/>
        </w:rPr>
        <w:t xml:space="preserve">A la </w:t>
      </w:r>
      <w:r w:rsidRPr="002E06D9">
        <w:rPr>
          <w:rFonts w:ascii="Times New Roman" w:hAnsi="Times New Roman" w:cs="Times New Roman"/>
          <w:b/>
          <w:bCs/>
        </w:rPr>
        <w:t>Oficina</w:t>
      </w:r>
      <w:r w:rsidRPr="002F21D4">
        <w:rPr>
          <w:rFonts w:ascii="Times New Roman" w:hAnsi="Times New Roman" w:cs="Times New Roman"/>
          <w:b/>
        </w:rPr>
        <w:t xml:space="preserve"> del Alto Comisionado para la Paz </w:t>
      </w:r>
    </w:p>
    <w:p w14:paraId="2B70DC89" w14:textId="77777777" w:rsidR="002F21D4" w:rsidRPr="002F21D4" w:rsidRDefault="002F21D4" w:rsidP="002F21D4">
      <w:pPr>
        <w:pStyle w:val="ListParagraph"/>
        <w:snapToGrid w:val="0"/>
        <w:spacing w:after="0" w:line="240" w:lineRule="auto"/>
        <w:ind w:left="540"/>
        <w:contextualSpacing w:val="0"/>
        <w:jc w:val="both"/>
        <w:rPr>
          <w:rFonts w:ascii="Times New Roman" w:hAnsi="Times New Roman" w:cs="Times New Roman"/>
        </w:rPr>
      </w:pPr>
    </w:p>
    <w:p w14:paraId="2FA768CE" w14:textId="2DA1E3A3" w:rsidR="002B03BA" w:rsidRDefault="002B03BA" w:rsidP="00B06FB8">
      <w:pPr>
        <w:snapToGrid w:val="0"/>
        <w:jc w:val="both"/>
        <w:rPr>
          <w:rFonts w:eastAsiaTheme="minorHAnsi"/>
          <w:sz w:val="22"/>
          <w:szCs w:val="22"/>
          <w:lang w:eastAsia="en-US"/>
        </w:rPr>
      </w:pPr>
      <w:r w:rsidRPr="002F21D4">
        <w:rPr>
          <w:rFonts w:eastAsiaTheme="minorHAnsi"/>
          <w:sz w:val="22"/>
          <w:szCs w:val="22"/>
          <w:lang w:eastAsia="en-US"/>
        </w:rPr>
        <w:t>Continuar con las acciones para generar sostenibilidad en la Educación en el Riesgo de Minas, principalmente en lugares receptores de población desplazada o disputa entre GAI, con el fin de incrementar la adopción de comportamientos seguros en las comunidades considerando el enfoque de género, etario y étnico.</w:t>
      </w:r>
    </w:p>
    <w:p w14:paraId="36A6AAF3" w14:textId="32F8F1BD" w:rsidR="002E06D9" w:rsidRDefault="002E06D9" w:rsidP="00B06FB8">
      <w:pPr>
        <w:snapToGrid w:val="0"/>
        <w:jc w:val="both"/>
        <w:rPr>
          <w:rFonts w:eastAsiaTheme="minorHAnsi"/>
          <w:sz w:val="22"/>
          <w:szCs w:val="22"/>
          <w:lang w:eastAsia="en-US"/>
        </w:rPr>
      </w:pPr>
    </w:p>
    <w:p w14:paraId="135EA1C0" w14:textId="306FFE2B" w:rsidR="002E06D9" w:rsidRDefault="002E06D9" w:rsidP="00B06FB8">
      <w:pPr>
        <w:snapToGrid w:val="0"/>
        <w:jc w:val="both"/>
        <w:rPr>
          <w:rFonts w:eastAsiaTheme="minorHAnsi"/>
          <w:sz w:val="22"/>
          <w:szCs w:val="22"/>
          <w:lang w:eastAsia="en-US"/>
        </w:rPr>
      </w:pPr>
    </w:p>
    <w:p w14:paraId="53769308" w14:textId="77777777" w:rsidR="002E06D9" w:rsidRDefault="002E06D9" w:rsidP="00B06FB8">
      <w:pPr>
        <w:snapToGrid w:val="0"/>
        <w:jc w:val="both"/>
        <w:rPr>
          <w:rFonts w:eastAsiaTheme="minorHAnsi"/>
          <w:sz w:val="22"/>
          <w:szCs w:val="22"/>
          <w:lang w:eastAsia="en-US"/>
        </w:rPr>
      </w:pPr>
    </w:p>
    <w:p w14:paraId="7421FD0B" w14:textId="77777777" w:rsidR="002E06D9" w:rsidRPr="002F21D4" w:rsidRDefault="002E06D9" w:rsidP="00B06FB8">
      <w:pPr>
        <w:snapToGrid w:val="0"/>
        <w:jc w:val="both"/>
        <w:rPr>
          <w:rFonts w:eastAsiaTheme="minorHAnsi"/>
          <w:sz w:val="22"/>
          <w:szCs w:val="22"/>
          <w:lang w:eastAsia="en-US"/>
        </w:rPr>
      </w:pPr>
    </w:p>
    <w:p w14:paraId="27806361" w14:textId="06F38AD4" w:rsidR="002B03BA" w:rsidRPr="002E06D9" w:rsidRDefault="002B03BA" w:rsidP="002E06D9">
      <w:pPr>
        <w:pStyle w:val="ListParagraph"/>
        <w:numPr>
          <w:ilvl w:val="1"/>
          <w:numId w:val="11"/>
        </w:numPr>
        <w:snapToGrid w:val="0"/>
        <w:spacing w:after="0" w:line="240" w:lineRule="auto"/>
        <w:ind w:left="1440" w:hanging="720"/>
        <w:contextualSpacing w:val="0"/>
        <w:jc w:val="both"/>
        <w:rPr>
          <w:rFonts w:ascii="Times New Roman" w:hAnsi="Times New Roman" w:cs="Times New Roman"/>
          <w:b/>
          <w:bCs/>
          <w:lang w:val="es-ES"/>
        </w:rPr>
      </w:pPr>
      <w:r w:rsidRPr="002F21D4">
        <w:rPr>
          <w:rFonts w:ascii="Times New Roman" w:hAnsi="Times New Roman" w:cs="Times New Roman"/>
          <w:b/>
          <w:bCs/>
          <w:lang w:val="es-ES"/>
        </w:rPr>
        <w:lastRenderedPageBreak/>
        <w:t xml:space="preserve">Al Ministerio del </w:t>
      </w:r>
      <w:r w:rsidRPr="002E06D9">
        <w:rPr>
          <w:rFonts w:ascii="Times New Roman" w:hAnsi="Times New Roman" w:cs="Times New Roman"/>
          <w:b/>
        </w:rPr>
        <w:t>Interior</w:t>
      </w:r>
    </w:p>
    <w:p w14:paraId="4821903A" w14:textId="77777777" w:rsidR="002E06D9" w:rsidRPr="002F21D4" w:rsidRDefault="002E06D9" w:rsidP="002E06D9">
      <w:pPr>
        <w:pStyle w:val="ListParagraph"/>
        <w:snapToGrid w:val="0"/>
        <w:spacing w:after="0" w:line="240" w:lineRule="auto"/>
        <w:ind w:left="1440"/>
        <w:contextualSpacing w:val="0"/>
        <w:jc w:val="both"/>
        <w:rPr>
          <w:rFonts w:ascii="Times New Roman" w:hAnsi="Times New Roman" w:cs="Times New Roman"/>
          <w:b/>
          <w:bCs/>
          <w:lang w:val="es-ES"/>
        </w:rPr>
      </w:pPr>
    </w:p>
    <w:p w14:paraId="0371513D" w14:textId="4AA6D72A" w:rsidR="002B03BA" w:rsidRDefault="002B03BA" w:rsidP="00B06FB8">
      <w:pPr>
        <w:pStyle w:val="ListParagraph"/>
        <w:numPr>
          <w:ilvl w:val="2"/>
          <w:numId w:val="13"/>
        </w:numPr>
        <w:snapToGrid w:val="0"/>
        <w:spacing w:after="0" w:line="240" w:lineRule="auto"/>
        <w:ind w:left="0" w:firstLine="0"/>
        <w:contextualSpacing w:val="0"/>
        <w:jc w:val="both"/>
        <w:rPr>
          <w:rFonts w:ascii="Times New Roman" w:hAnsi="Times New Roman" w:cs="Times New Roman"/>
          <w:lang w:val="es-ES"/>
        </w:rPr>
      </w:pPr>
      <w:r w:rsidRPr="002F21D4">
        <w:rPr>
          <w:rFonts w:ascii="Times New Roman" w:hAnsi="Times New Roman" w:cs="Times New Roman"/>
          <w:lang w:val="es-ES"/>
        </w:rPr>
        <w:t xml:space="preserve">Fortalecer las Mesas de Seguridad Comunal con implementación de planes de acción y seguimiento, para que sean espacios de diálogo y concertación entre los liderazgos comunales y la institucionalidad en materia de seguridad. </w:t>
      </w:r>
    </w:p>
    <w:p w14:paraId="7D9934C7" w14:textId="77777777" w:rsidR="002E06D9" w:rsidRPr="002F21D4" w:rsidRDefault="002E06D9" w:rsidP="002E06D9">
      <w:pPr>
        <w:pStyle w:val="ListParagraph"/>
        <w:snapToGrid w:val="0"/>
        <w:spacing w:after="0" w:line="240" w:lineRule="auto"/>
        <w:ind w:left="0"/>
        <w:contextualSpacing w:val="0"/>
        <w:jc w:val="both"/>
        <w:rPr>
          <w:rFonts w:ascii="Times New Roman" w:hAnsi="Times New Roman" w:cs="Times New Roman"/>
          <w:lang w:val="es-ES"/>
        </w:rPr>
      </w:pPr>
    </w:p>
    <w:p w14:paraId="2D465233" w14:textId="5B4A121C" w:rsidR="002B03BA" w:rsidRDefault="002B03BA" w:rsidP="00B06FB8">
      <w:pPr>
        <w:pStyle w:val="NoSpacing"/>
        <w:numPr>
          <w:ilvl w:val="2"/>
          <w:numId w:val="13"/>
        </w:numPr>
        <w:snapToGrid w:val="0"/>
        <w:ind w:left="0" w:firstLine="0"/>
        <w:jc w:val="both"/>
        <w:rPr>
          <w:rFonts w:ascii="Times New Roman" w:eastAsia="Calibri" w:hAnsi="Times New Roman" w:cs="Times New Roman"/>
          <w:lang w:val="es-ES"/>
        </w:rPr>
      </w:pPr>
      <w:r w:rsidRPr="002F21D4">
        <w:rPr>
          <w:rFonts w:ascii="Times New Roman" w:eastAsia="Calibri" w:hAnsi="Times New Roman" w:cs="Times New Roman"/>
        </w:rPr>
        <w:t>Avanzar en la expedición d</w:t>
      </w:r>
      <w:r w:rsidRPr="002F21D4">
        <w:rPr>
          <w:rFonts w:ascii="Times New Roman" w:eastAsia="Calibri" w:hAnsi="Times New Roman" w:cs="Times New Roman"/>
          <w:lang w:val="es-ES"/>
        </w:rPr>
        <w:t>el decreto reglamentario para las Circunscripciones Especiales Transitorias para la Paz, que garantice un proceso electoral transparente, amplio e incluyente.</w:t>
      </w:r>
    </w:p>
    <w:p w14:paraId="440570EA" w14:textId="77777777" w:rsidR="002E06D9" w:rsidRDefault="002E06D9" w:rsidP="002E06D9">
      <w:pPr>
        <w:pStyle w:val="ListParagraph"/>
        <w:rPr>
          <w:rFonts w:ascii="Times New Roman" w:eastAsia="Calibri" w:hAnsi="Times New Roman" w:cs="Times New Roman"/>
          <w:lang w:val="es-ES"/>
        </w:rPr>
      </w:pPr>
    </w:p>
    <w:p w14:paraId="1F12A611" w14:textId="1FC9A125" w:rsidR="002B03BA" w:rsidRDefault="002B03BA" w:rsidP="00B06FB8">
      <w:pPr>
        <w:pStyle w:val="NoSpacing"/>
        <w:numPr>
          <w:ilvl w:val="2"/>
          <w:numId w:val="13"/>
        </w:numPr>
        <w:snapToGrid w:val="0"/>
        <w:ind w:left="0" w:firstLine="0"/>
        <w:jc w:val="both"/>
        <w:rPr>
          <w:rFonts w:ascii="Times New Roman" w:eastAsia="Calibri" w:hAnsi="Times New Roman" w:cs="Times New Roman"/>
          <w:lang w:val="es-ES"/>
        </w:rPr>
      </w:pPr>
      <w:r w:rsidRPr="002F21D4">
        <w:rPr>
          <w:rFonts w:ascii="Times New Roman" w:eastAsia="Calibri" w:hAnsi="Times New Roman" w:cs="Times New Roman"/>
          <w:lang w:val="es-ES"/>
        </w:rPr>
        <w:t xml:space="preserve">En articulación </w:t>
      </w:r>
      <w:r w:rsidR="00822CDF" w:rsidRPr="002F21D4">
        <w:rPr>
          <w:rFonts w:ascii="Times New Roman" w:eastAsia="Calibri" w:hAnsi="Times New Roman" w:cs="Times New Roman"/>
          <w:lang w:val="es-ES"/>
        </w:rPr>
        <w:t xml:space="preserve">con </w:t>
      </w:r>
      <w:r w:rsidRPr="002F21D4">
        <w:rPr>
          <w:rFonts w:ascii="Times New Roman" w:eastAsia="Calibri" w:hAnsi="Times New Roman" w:cs="Times New Roman"/>
          <w:lang w:val="es-ES"/>
        </w:rPr>
        <w:t>la Consejería Presidencial para la Juventud</w:t>
      </w:r>
      <w:r w:rsidR="00822CDF" w:rsidRPr="002F21D4">
        <w:rPr>
          <w:rFonts w:ascii="Times New Roman" w:eastAsia="Calibri" w:hAnsi="Times New Roman" w:cs="Times New Roman"/>
          <w:lang w:val="es-ES"/>
        </w:rPr>
        <w:t xml:space="preserve"> y con el apoyo del ICBF</w:t>
      </w:r>
      <w:r w:rsidRPr="002F21D4">
        <w:rPr>
          <w:rFonts w:ascii="Times New Roman" w:eastAsia="Calibri" w:hAnsi="Times New Roman" w:cs="Times New Roman"/>
          <w:lang w:val="es-ES"/>
        </w:rPr>
        <w:t xml:space="preserve"> fortalecer las capacidades ciudadanas y políticas de jóvenes para garantizar su plena participación en el proceso electoral de los Consejos Territoriales de Juventud, acompañando las diversas candidaturas, con un enfoque particular de género y preparando al electorado en los distintos territorios, haciendo énfasis en las regiones rurales. </w:t>
      </w:r>
    </w:p>
    <w:p w14:paraId="16731512" w14:textId="77777777" w:rsidR="002E06D9" w:rsidRDefault="002E06D9" w:rsidP="002E06D9">
      <w:pPr>
        <w:pStyle w:val="ListParagraph"/>
        <w:rPr>
          <w:rFonts w:ascii="Times New Roman" w:eastAsia="Calibri" w:hAnsi="Times New Roman" w:cs="Times New Roman"/>
          <w:lang w:val="es-ES"/>
        </w:rPr>
      </w:pPr>
    </w:p>
    <w:p w14:paraId="154B7629" w14:textId="6E079B1A" w:rsidR="002B03BA" w:rsidRDefault="002B03BA" w:rsidP="002E06D9">
      <w:pPr>
        <w:pStyle w:val="ListParagraph"/>
        <w:numPr>
          <w:ilvl w:val="1"/>
          <w:numId w:val="11"/>
        </w:numPr>
        <w:snapToGrid w:val="0"/>
        <w:spacing w:after="0" w:line="240" w:lineRule="auto"/>
        <w:ind w:left="1440" w:hanging="720"/>
        <w:contextualSpacing w:val="0"/>
        <w:jc w:val="both"/>
        <w:rPr>
          <w:rFonts w:ascii="Times New Roman" w:hAnsi="Times New Roman" w:cs="Times New Roman"/>
          <w:color w:val="000000" w:themeColor="text1"/>
          <w:lang w:val="es-ES_tradnl"/>
        </w:rPr>
      </w:pPr>
      <w:r w:rsidRPr="002F21D4">
        <w:rPr>
          <w:rFonts w:ascii="Times New Roman" w:hAnsi="Times New Roman" w:cs="Times New Roman"/>
          <w:b/>
          <w:color w:val="000000" w:themeColor="text1"/>
          <w:lang w:val="es-ES_tradnl"/>
        </w:rPr>
        <w:t>Al Ministerio del Interior, la Consejería Presidencial para los Derechos Humanos, el Ministerio de Justicia y el Ministerio de Defensa</w:t>
      </w:r>
      <w:r w:rsidRPr="002F21D4">
        <w:rPr>
          <w:rFonts w:ascii="Times New Roman" w:hAnsi="Times New Roman" w:cs="Times New Roman"/>
          <w:color w:val="000000" w:themeColor="text1"/>
          <w:lang w:val="es-ES_tradnl"/>
        </w:rPr>
        <w:t xml:space="preserve"> </w:t>
      </w:r>
    </w:p>
    <w:p w14:paraId="03EE7938" w14:textId="77777777" w:rsidR="002E06D9" w:rsidRPr="002F21D4" w:rsidRDefault="002E06D9" w:rsidP="002E06D9">
      <w:pPr>
        <w:pStyle w:val="ListParagraph"/>
        <w:snapToGrid w:val="0"/>
        <w:spacing w:after="0" w:line="240" w:lineRule="auto"/>
        <w:ind w:left="1440"/>
        <w:contextualSpacing w:val="0"/>
        <w:jc w:val="both"/>
        <w:rPr>
          <w:rFonts w:ascii="Times New Roman" w:hAnsi="Times New Roman" w:cs="Times New Roman"/>
          <w:color w:val="000000" w:themeColor="text1"/>
          <w:lang w:val="es-ES_tradnl"/>
        </w:rPr>
      </w:pPr>
    </w:p>
    <w:p w14:paraId="0B00B2A1" w14:textId="34D62C7B" w:rsidR="002B03BA" w:rsidRDefault="002B03BA" w:rsidP="002E06D9">
      <w:pPr>
        <w:shd w:val="clear" w:color="auto" w:fill="FFFFFF"/>
        <w:snapToGrid w:val="0"/>
        <w:jc w:val="both"/>
        <w:rPr>
          <w:color w:val="000000" w:themeColor="text1"/>
          <w:sz w:val="22"/>
          <w:szCs w:val="22"/>
          <w:lang w:val="es-ES_tradnl"/>
        </w:rPr>
      </w:pPr>
      <w:r w:rsidRPr="002F21D4">
        <w:rPr>
          <w:color w:val="000000" w:themeColor="text1"/>
          <w:sz w:val="22"/>
          <w:szCs w:val="22"/>
          <w:lang w:val="es-ES_tradnl"/>
        </w:rPr>
        <w:t>Avanzar en la consolidación de mecanismos de protección que ayuden a contrarrestar los escenarios de riesgo contra las autoridades indígenas y sus comunidades, a través de la protocolización del Decreto de Protección Colectiva para pueblos indígenas que se ha venido trabajando en conjunto con la Comisión Nacional de Derechos Humanos de los Pueblos Indígenas. Asimismo, realizar, con el apoyo de la Delegada para Asuntos Étnicos de la Defensoría del Pueblo, un acompañamiento continuo a las autoridades indígenas con el objeto de proteger las instituciones y procesos propios.</w:t>
      </w:r>
    </w:p>
    <w:p w14:paraId="1775443A" w14:textId="77777777" w:rsidR="002E06D9" w:rsidRPr="002F21D4" w:rsidRDefault="002E06D9" w:rsidP="002E06D9">
      <w:pPr>
        <w:shd w:val="clear" w:color="auto" w:fill="FFFFFF"/>
        <w:snapToGrid w:val="0"/>
        <w:ind w:firstLine="708"/>
        <w:jc w:val="both"/>
        <w:rPr>
          <w:color w:val="000000" w:themeColor="text1"/>
          <w:sz w:val="22"/>
          <w:szCs w:val="22"/>
          <w:lang w:val="es-ES_tradnl"/>
        </w:rPr>
      </w:pPr>
    </w:p>
    <w:p w14:paraId="54DBDEED" w14:textId="471E7C96" w:rsidR="002B03BA" w:rsidRPr="002F21D4" w:rsidRDefault="002B03BA" w:rsidP="002E06D9">
      <w:pPr>
        <w:pStyle w:val="ListParagraph"/>
        <w:numPr>
          <w:ilvl w:val="1"/>
          <w:numId w:val="11"/>
        </w:numPr>
        <w:snapToGrid w:val="0"/>
        <w:spacing w:after="0" w:line="240" w:lineRule="auto"/>
        <w:ind w:left="1440" w:hanging="720"/>
        <w:contextualSpacing w:val="0"/>
        <w:jc w:val="both"/>
        <w:rPr>
          <w:rFonts w:ascii="Times New Roman" w:hAnsi="Times New Roman" w:cs="Times New Roman"/>
          <w:b/>
          <w:color w:val="000000" w:themeColor="text1"/>
          <w:lang w:val="es-ES"/>
        </w:rPr>
      </w:pPr>
      <w:r w:rsidRPr="002F21D4">
        <w:rPr>
          <w:rFonts w:ascii="Times New Roman" w:hAnsi="Times New Roman" w:cs="Times New Roman"/>
          <w:b/>
          <w:color w:val="000000" w:themeColor="text1"/>
          <w:lang w:val="es-ES"/>
        </w:rPr>
        <w:t xml:space="preserve">Al </w:t>
      </w:r>
      <w:r w:rsidRPr="002E06D9">
        <w:rPr>
          <w:rFonts w:ascii="Times New Roman" w:hAnsi="Times New Roman" w:cs="Times New Roman"/>
          <w:b/>
          <w:color w:val="000000" w:themeColor="text1"/>
          <w:lang w:val="es-ES_tradnl"/>
        </w:rPr>
        <w:t>Ministerio</w:t>
      </w:r>
      <w:r w:rsidRPr="002F21D4">
        <w:rPr>
          <w:rFonts w:ascii="Times New Roman" w:hAnsi="Times New Roman" w:cs="Times New Roman"/>
          <w:b/>
          <w:color w:val="000000" w:themeColor="text1"/>
          <w:lang w:val="es-ES"/>
        </w:rPr>
        <w:t xml:space="preserve"> de Justicia y del</w:t>
      </w:r>
      <w:r w:rsidRPr="002F21D4">
        <w:rPr>
          <w:rFonts w:ascii="Times New Roman" w:hAnsi="Times New Roman" w:cs="Times New Roman"/>
          <w:color w:val="000000" w:themeColor="text1"/>
          <w:lang w:val="es-ES"/>
        </w:rPr>
        <w:t xml:space="preserve"> </w:t>
      </w:r>
      <w:r w:rsidRPr="002F21D4">
        <w:rPr>
          <w:rFonts w:ascii="Times New Roman" w:hAnsi="Times New Roman" w:cs="Times New Roman"/>
          <w:b/>
          <w:color w:val="000000" w:themeColor="text1"/>
          <w:lang w:val="es-ES"/>
        </w:rPr>
        <w:t xml:space="preserve">Derecho </w:t>
      </w:r>
    </w:p>
    <w:p w14:paraId="595EA085" w14:textId="77777777" w:rsidR="002E06D9" w:rsidRDefault="002E06D9" w:rsidP="00B06FB8">
      <w:pPr>
        <w:shd w:val="clear" w:color="auto" w:fill="FFFFFF"/>
        <w:snapToGrid w:val="0"/>
        <w:jc w:val="both"/>
        <w:rPr>
          <w:color w:val="000000" w:themeColor="text1"/>
          <w:sz w:val="22"/>
          <w:szCs w:val="22"/>
          <w:lang w:val="es-ES"/>
        </w:rPr>
      </w:pPr>
    </w:p>
    <w:p w14:paraId="12041878" w14:textId="08C71ADF" w:rsidR="002B03BA" w:rsidRPr="002F21D4" w:rsidRDefault="00217BF6" w:rsidP="00B06FB8">
      <w:pPr>
        <w:shd w:val="clear" w:color="auto" w:fill="FFFFFF"/>
        <w:snapToGrid w:val="0"/>
        <w:jc w:val="both"/>
        <w:rPr>
          <w:color w:val="000000" w:themeColor="text1"/>
          <w:sz w:val="22"/>
          <w:szCs w:val="22"/>
          <w:lang w:val="es-ES"/>
        </w:rPr>
      </w:pPr>
      <w:r w:rsidRPr="002F21D4">
        <w:rPr>
          <w:color w:val="000000" w:themeColor="text1"/>
          <w:sz w:val="22"/>
          <w:szCs w:val="22"/>
          <w:lang w:val="es-ES"/>
        </w:rPr>
        <w:t>Potencializar</w:t>
      </w:r>
      <w:r w:rsidR="002B03BA" w:rsidRPr="002F21D4">
        <w:rPr>
          <w:color w:val="000000" w:themeColor="text1"/>
          <w:sz w:val="22"/>
          <w:szCs w:val="22"/>
          <w:lang w:val="es-ES"/>
        </w:rPr>
        <w:t xml:space="preserve"> el Comité Interinstitucional de Justicia y Paz con el fin de buscar una solución integral para dar celeridad procesal, así como garantía jurídica y física de las partes involucradas. </w:t>
      </w:r>
    </w:p>
    <w:p w14:paraId="3EDFCC9F" w14:textId="77777777" w:rsidR="002E06D9" w:rsidRDefault="002E06D9" w:rsidP="00B06FB8">
      <w:pPr>
        <w:shd w:val="clear" w:color="auto" w:fill="FFFFFF"/>
        <w:snapToGrid w:val="0"/>
        <w:jc w:val="both"/>
        <w:rPr>
          <w:b/>
          <w:color w:val="000000" w:themeColor="text1"/>
          <w:sz w:val="22"/>
          <w:szCs w:val="22"/>
          <w:lang w:val="es-ES_tradnl"/>
        </w:rPr>
      </w:pPr>
    </w:p>
    <w:p w14:paraId="30D8C2AD" w14:textId="3E6DEE28" w:rsidR="00781B65" w:rsidRPr="002F21D4" w:rsidRDefault="00781B65" w:rsidP="002E06D9">
      <w:pPr>
        <w:pStyle w:val="ListParagraph"/>
        <w:numPr>
          <w:ilvl w:val="1"/>
          <w:numId w:val="11"/>
        </w:numPr>
        <w:snapToGrid w:val="0"/>
        <w:spacing w:after="0" w:line="240" w:lineRule="auto"/>
        <w:ind w:left="1440" w:hanging="720"/>
        <w:contextualSpacing w:val="0"/>
        <w:jc w:val="both"/>
        <w:rPr>
          <w:rFonts w:ascii="Times New Roman" w:hAnsi="Times New Roman" w:cs="Times New Roman"/>
          <w:b/>
          <w:color w:val="000000" w:themeColor="text1"/>
          <w:lang w:val="es-ES_tradnl"/>
        </w:rPr>
      </w:pPr>
      <w:r w:rsidRPr="002F21D4">
        <w:rPr>
          <w:rFonts w:ascii="Times New Roman" w:hAnsi="Times New Roman" w:cs="Times New Roman"/>
          <w:b/>
          <w:color w:val="000000" w:themeColor="text1"/>
          <w:lang w:val="es-ES_tradnl"/>
        </w:rPr>
        <w:t>Al Ministerio de Justicia y del Derecho, Consejo Superior de la Judicatura y Fiscalía General de la Nación</w:t>
      </w:r>
    </w:p>
    <w:p w14:paraId="333E98B7" w14:textId="77777777" w:rsidR="002E06D9" w:rsidRDefault="002E06D9" w:rsidP="00B06FB8">
      <w:pPr>
        <w:shd w:val="clear" w:color="auto" w:fill="FFFFFF"/>
        <w:snapToGrid w:val="0"/>
        <w:jc w:val="both"/>
        <w:rPr>
          <w:color w:val="000000" w:themeColor="text1"/>
          <w:sz w:val="22"/>
          <w:szCs w:val="22"/>
          <w:lang w:val="es-ES_tradnl"/>
        </w:rPr>
      </w:pPr>
    </w:p>
    <w:p w14:paraId="62E214EB" w14:textId="2AB9C16F" w:rsidR="00781B65" w:rsidRPr="002F21D4" w:rsidRDefault="00781B65" w:rsidP="00B06FB8">
      <w:pPr>
        <w:shd w:val="clear" w:color="auto" w:fill="FFFFFF"/>
        <w:snapToGrid w:val="0"/>
        <w:jc w:val="both"/>
        <w:rPr>
          <w:color w:val="000000" w:themeColor="text1"/>
          <w:sz w:val="22"/>
          <w:szCs w:val="22"/>
          <w:lang w:val="es-ES_tradnl"/>
        </w:rPr>
      </w:pPr>
      <w:r w:rsidRPr="002F21D4">
        <w:rPr>
          <w:color w:val="000000" w:themeColor="text1"/>
          <w:sz w:val="22"/>
          <w:szCs w:val="22"/>
          <w:lang w:val="es-ES_tradnl"/>
        </w:rPr>
        <w:t xml:space="preserve">Evaluar por territorio la pertinencia de implementar los servicios judiciales principalmente de manera virtual, teniendo en cuenta la capacidad eléctrica y de telecomunicaciones con las que cuente el municipio. De lo contrario, continuar y fortalecer la prestación de los servicios de justicia de manera presencial, especialmente en Fiscalías y Juzgados. </w:t>
      </w:r>
      <w:r w:rsidR="00294B6F" w:rsidRPr="002F21D4">
        <w:rPr>
          <w:color w:val="000000" w:themeColor="text1"/>
          <w:sz w:val="22"/>
          <w:szCs w:val="22"/>
          <w:lang w:val="es-ES_tradnl"/>
        </w:rPr>
        <w:t>Asimismo, avanzar en la atención y respuesta judicial de violencia intrafamiliar y de género, que permita mejorar la percepción de impunidad y generar mejores canales de confianza con la población víctima.</w:t>
      </w:r>
    </w:p>
    <w:p w14:paraId="4BBE5582" w14:textId="77777777" w:rsidR="002E06D9" w:rsidRDefault="002E06D9" w:rsidP="00B06FB8">
      <w:pPr>
        <w:snapToGrid w:val="0"/>
        <w:jc w:val="both"/>
        <w:rPr>
          <w:b/>
          <w:sz w:val="22"/>
          <w:szCs w:val="22"/>
        </w:rPr>
      </w:pPr>
    </w:p>
    <w:p w14:paraId="5A80BFAA" w14:textId="6CEB10A1" w:rsidR="002B03BA" w:rsidRPr="002F21D4" w:rsidRDefault="002B03BA" w:rsidP="002E06D9">
      <w:pPr>
        <w:pStyle w:val="ListParagraph"/>
        <w:numPr>
          <w:ilvl w:val="1"/>
          <w:numId w:val="11"/>
        </w:numPr>
        <w:snapToGrid w:val="0"/>
        <w:spacing w:after="0" w:line="240" w:lineRule="auto"/>
        <w:ind w:left="1440" w:hanging="720"/>
        <w:contextualSpacing w:val="0"/>
        <w:jc w:val="both"/>
        <w:rPr>
          <w:rFonts w:ascii="Times New Roman" w:hAnsi="Times New Roman" w:cs="Times New Roman"/>
        </w:rPr>
      </w:pPr>
      <w:r w:rsidRPr="002F21D4">
        <w:rPr>
          <w:rFonts w:ascii="Times New Roman" w:hAnsi="Times New Roman" w:cs="Times New Roman"/>
          <w:b/>
        </w:rPr>
        <w:t xml:space="preserve">Al </w:t>
      </w:r>
      <w:r w:rsidRPr="002E06D9">
        <w:rPr>
          <w:rFonts w:ascii="Times New Roman" w:hAnsi="Times New Roman" w:cs="Times New Roman"/>
          <w:b/>
          <w:color w:val="000000" w:themeColor="text1"/>
          <w:lang w:val="es-ES_tradnl"/>
        </w:rPr>
        <w:t>Ministerio</w:t>
      </w:r>
      <w:r w:rsidRPr="002F21D4">
        <w:rPr>
          <w:rFonts w:ascii="Times New Roman" w:hAnsi="Times New Roman" w:cs="Times New Roman"/>
          <w:b/>
        </w:rPr>
        <w:t xml:space="preserve"> de Justicia y del Derecho, al Consejo Superior de la Judicatura y a la Fiscalía General de la Nación</w:t>
      </w:r>
    </w:p>
    <w:p w14:paraId="288A33C6" w14:textId="77777777" w:rsidR="002E06D9" w:rsidRDefault="002E06D9" w:rsidP="00B06FB8">
      <w:pPr>
        <w:snapToGrid w:val="0"/>
        <w:jc w:val="both"/>
        <w:rPr>
          <w:sz w:val="22"/>
          <w:szCs w:val="22"/>
        </w:rPr>
      </w:pPr>
    </w:p>
    <w:p w14:paraId="1845C044" w14:textId="5FE32834" w:rsidR="002B03BA" w:rsidRPr="002F21D4" w:rsidRDefault="002B03BA" w:rsidP="00B06FB8">
      <w:pPr>
        <w:snapToGrid w:val="0"/>
        <w:jc w:val="both"/>
        <w:rPr>
          <w:sz w:val="22"/>
          <w:szCs w:val="22"/>
        </w:rPr>
      </w:pPr>
      <w:r w:rsidRPr="002F21D4">
        <w:rPr>
          <w:sz w:val="22"/>
          <w:szCs w:val="22"/>
        </w:rPr>
        <w:t>Robustecer la articulación interinstitucional para el fortalecimiento de la justicia a nivel local, con el fin de lograr mayores avances en la implementación de los Planes Estratégicos de Intervención Integral (PEII).</w:t>
      </w:r>
    </w:p>
    <w:p w14:paraId="0A705287" w14:textId="6A43E02D" w:rsidR="002E06D9" w:rsidRDefault="002E06D9" w:rsidP="00B06FB8">
      <w:pPr>
        <w:snapToGrid w:val="0"/>
        <w:jc w:val="both"/>
        <w:rPr>
          <w:b/>
          <w:sz w:val="22"/>
          <w:szCs w:val="22"/>
        </w:rPr>
      </w:pPr>
    </w:p>
    <w:p w14:paraId="48FBFDCE" w14:textId="77777777" w:rsidR="002E06D9" w:rsidRDefault="002E06D9" w:rsidP="00B06FB8">
      <w:pPr>
        <w:snapToGrid w:val="0"/>
        <w:jc w:val="both"/>
        <w:rPr>
          <w:b/>
          <w:sz w:val="22"/>
          <w:szCs w:val="22"/>
        </w:rPr>
      </w:pPr>
    </w:p>
    <w:p w14:paraId="367C0BBA" w14:textId="46199084" w:rsidR="002B03BA" w:rsidRPr="002F21D4" w:rsidRDefault="002B03BA" w:rsidP="002E06D9">
      <w:pPr>
        <w:pStyle w:val="ListParagraph"/>
        <w:numPr>
          <w:ilvl w:val="1"/>
          <w:numId w:val="11"/>
        </w:numPr>
        <w:snapToGrid w:val="0"/>
        <w:spacing w:after="0" w:line="240" w:lineRule="auto"/>
        <w:ind w:left="1440" w:hanging="720"/>
        <w:contextualSpacing w:val="0"/>
        <w:jc w:val="both"/>
        <w:rPr>
          <w:rFonts w:ascii="Times New Roman" w:hAnsi="Times New Roman" w:cs="Times New Roman"/>
          <w:b/>
        </w:rPr>
      </w:pPr>
      <w:r w:rsidRPr="002F21D4">
        <w:rPr>
          <w:rFonts w:ascii="Times New Roman" w:hAnsi="Times New Roman" w:cs="Times New Roman"/>
          <w:b/>
        </w:rPr>
        <w:lastRenderedPageBreak/>
        <w:t xml:space="preserve">A la </w:t>
      </w:r>
      <w:r w:rsidRPr="00437B36">
        <w:rPr>
          <w:rFonts w:ascii="Times New Roman" w:hAnsi="Times New Roman" w:cs="Times New Roman"/>
          <w:b/>
          <w:color w:val="000000" w:themeColor="text1"/>
          <w:lang w:val="es-ES_tradnl"/>
        </w:rPr>
        <w:t>Consejería</w:t>
      </w:r>
      <w:r w:rsidRPr="002F21D4">
        <w:rPr>
          <w:rFonts w:ascii="Times New Roman" w:hAnsi="Times New Roman" w:cs="Times New Roman"/>
          <w:b/>
        </w:rPr>
        <w:t xml:space="preserve"> Presidencial para la Estabilización y la Consolidación</w:t>
      </w:r>
    </w:p>
    <w:p w14:paraId="3E4F5C57" w14:textId="77777777" w:rsidR="00437B36" w:rsidRDefault="00437B36" w:rsidP="00B06FB8">
      <w:pPr>
        <w:snapToGrid w:val="0"/>
        <w:jc w:val="both"/>
        <w:rPr>
          <w:color w:val="000000" w:themeColor="text1"/>
          <w:sz w:val="22"/>
          <w:szCs w:val="22"/>
          <w:lang w:val="es-ES_tradnl"/>
        </w:rPr>
      </w:pPr>
    </w:p>
    <w:p w14:paraId="4FDAAFF1" w14:textId="3F9B27B7" w:rsidR="002B03BA" w:rsidRDefault="002B03BA" w:rsidP="00B06FB8">
      <w:pPr>
        <w:snapToGrid w:val="0"/>
        <w:jc w:val="both"/>
        <w:rPr>
          <w:color w:val="000000" w:themeColor="text1"/>
          <w:sz w:val="22"/>
          <w:szCs w:val="22"/>
          <w:lang w:val="es-ES_tradnl"/>
        </w:rPr>
      </w:pPr>
      <w:r w:rsidRPr="002F21D4">
        <w:rPr>
          <w:color w:val="000000" w:themeColor="text1"/>
          <w:sz w:val="22"/>
          <w:szCs w:val="22"/>
          <w:lang w:val="es-ES_tradnl"/>
        </w:rPr>
        <w:t xml:space="preserve">Considerar la instalación de </w:t>
      </w:r>
      <w:r w:rsidR="004713E5" w:rsidRPr="002F21D4">
        <w:rPr>
          <w:color w:val="000000" w:themeColor="text1"/>
          <w:sz w:val="22"/>
          <w:szCs w:val="22"/>
          <w:lang w:val="es-ES_tradnl"/>
        </w:rPr>
        <w:t xml:space="preserve">más </w:t>
      </w:r>
      <w:r w:rsidRPr="002F21D4">
        <w:rPr>
          <w:color w:val="000000" w:themeColor="text1"/>
          <w:sz w:val="22"/>
          <w:szCs w:val="22"/>
          <w:lang w:val="es-ES_tradnl"/>
        </w:rPr>
        <w:t xml:space="preserve">“casas de paso” para albergar a PPR y sus familiares que se encuentran en situaciones de riesgo inminente </w:t>
      </w:r>
      <w:r w:rsidR="008E1B38" w:rsidRPr="002F21D4">
        <w:rPr>
          <w:color w:val="000000" w:themeColor="text1"/>
          <w:sz w:val="22"/>
          <w:szCs w:val="22"/>
          <w:lang w:val="es-ES_tradnl"/>
        </w:rPr>
        <w:t xml:space="preserve">de </w:t>
      </w:r>
      <w:r w:rsidRPr="002F21D4">
        <w:rPr>
          <w:color w:val="000000" w:themeColor="text1"/>
          <w:sz w:val="22"/>
          <w:szCs w:val="22"/>
          <w:lang w:val="es-ES_tradnl"/>
        </w:rPr>
        <w:t xml:space="preserve">seguridad y continuar con la estrategia de extracciones por vía aérea apoyada por la Fuerza Pública. </w:t>
      </w:r>
    </w:p>
    <w:p w14:paraId="29D1AD73" w14:textId="77777777" w:rsidR="002E06D9" w:rsidRPr="002F21D4" w:rsidRDefault="002E06D9" w:rsidP="00B06FB8">
      <w:pPr>
        <w:snapToGrid w:val="0"/>
        <w:jc w:val="both"/>
        <w:rPr>
          <w:color w:val="000000" w:themeColor="text1"/>
          <w:sz w:val="22"/>
          <w:szCs w:val="22"/>
          <w:lang w:val="es-ES_tradnl"/>
        </w:rPr>
      </w:pPr>
    </w:p>
    <w:p w14:paraId="78F71EAB" w14:textId="7FD88232" w:rsidR="002B03BA" w:rsidRPr="002F21D4" w:rsidRDefault="002B03BA" w:rsidP="00437B36">
      <w:pPr>
        <w:pStyle w:val="ListParagraph"/>
        <w:numPr>
          <w:ilvl w:val="1"/>
          <w:numId w:val="11"/>
        </w:numPr>
        <w:snapToGrid w:val="0"/>
        <w:spacing w:after="0" w:line="240" w:lineRule="auto"/>
        <w:ind w:left="1440" w:hanging="720"/>
        <w:contextualSpacing w:val="0"/>
        <w:jc w:val="both"/>
        <w:rPr>
          <w:rFonts w:ascii="Times New Roman" w:hAnsi="Times New Roman" w:cs="Times New Roman"/>
          <w:b/>
        </w:rPr>
      </w:pPr>
      <w:r w:rsidRPr="002F21D4">
        <w:rPr>
          <w:rFonts w:ascii="Times New Roman" w:hAnsi="Times New Roman" w:cs="Times New Roman"/>
          <w:b/>
        </w:rPr>
        <w:t xml:space="preserve">A la Consejería Presidencial para los Derechos Humanos y Asuntos Internacionales y CIPRUNNA </w:t>
      </w:r>
    </w:p>
    <w:p w14:paraId="211CB9FD" w14:textId="77777777" w:rsidR="002E06D9" w:rsidRDefault="002E06D9" w:rsidP="00B06FB8">
      <w:pPr>
        <w:snapToGrid w:val="0"/>
        <w:jc w:val="both"/>
        <w:rPr>
          <w:color w:val="000000" w:themeColor="text1"/>
          <w:sz w:val="22"/>
          <w:szCs w:val="22"/>
          <w:lang w:val="es-ES_tradnl"/>
        </w:rPr>
      </w:pPr>
    </w:p>
    <w:p w14:paraId="3B6076BD" w14:textId="6BF7EBC4" w:rsidR="002B03BA" w:rsidRPr="002F21D4" w:rsidRDefault="002B03BA" w:rsidP="00B06FB8">
      <w:pPr>
        <w:snapToGrid w:val="0"/>
        <w:jc w:val="both"/>
        <w:rPr>
          <w:color w:val="000000" w:themeColor="text1"/>
          <w:sz w:val="22"/>
          <w:szCs w:val="22"/>
          <w:lang w:val="es-ES_tradnl"/>
        </w:rPr>
      </w:pPr>
      <w:r w:rsidRPr="002F21D4">
        <w:rPr>
          <w:color w:val="000000" w:themeColor="text1"/>
          <w:sz w:val="22"/>
          <w:szCs w:val="22"/>
          <w:lang w:val="es-ES_tradnl"/>
        </w:rPr>
        <w:t>Fortalecer la estrategia Súmate por Mí</w:t>
      </w:r>
      <w:r w:rsidR="00237F06" w:rsidRPr="002F21D4">
        <w:rPr>
          <w:color w:val="000000" w:themeColor="text1"/>
          <w:sz w:val="22"/>
          <w:szCs w:val="22"/>
          <w:lang w:val="es-ES_tradnl"/>
        </w:rPr>
        <w:t xml:space="preserve"> – Entornos de protección para la</w:t>
      </w:r>
      <w:r w:rsidR="00B3338F" w:rsidRPr="002F21D4">
        <w:rPr>
          <w:color w:val="000000" w:themeColor="text1"/>
          <w:sz w:val="22"/>
          <w:szCs w:val="22"/>
          <w:lang w:val="es-ES_tradnl"/>
        </w:rPr>
        <w:t xml:space="preserve"> </w:t>
      </w:r>
      <w:r w:rsidR="00237F06" w:rsidRPr="002F21D4">
        <w:rPr>
          <w:color w:val="000000" w:themeColor="text1"/>
          <w:sz w:val="22"/>
          <w:szCs w:val="22"/>
          <w:lang w:val="es-ES_tradnl"/>
        </w:rPr>
        <w:t>niñez y adolescencia</w:t>
      </w:r>
      <w:r w:rsidRPr="002F21D4">
        <w:rPr>
          <w:color w:val="000000" w:themeColor="text1"/>
          <w:sz w:val="22"/>
          <w:szCs w:val="22"/>
          <w:lang w:val="es-ES_tradnl"/>
        </w:rPr>
        <w:t>, a través de:</w:t>
      </w:r>
      <w:r w:rsidR="0078159F" w:rsidRPr="002F21D4">
        <w:rPr>
          <w:color w:val="000000" w:themeColor="text1"/>
          <w:sz w:val="22"/>
          <w:szCs w:val="22"/>
          <w:lang w:val="es-ES_tradnl"/>
        </w:rPr>
        <w:t xml:space="preserve"> </w:t>
      </w:r>
      <w:r w:rsidRPr="002F21D4">
        <w:rPr>
          <w:color w:val="000000" w:themeColor="text1"/>
          <w:sz w:val="22"/>
          <w:szCs w:val="22"/>
          <w:lang w:val="es-ES_tradnl"/>
        </w:rPr>
        <w:t xml:space="preserve">i) la coordinación con las autoridades étnicas para la prevención y protección de los NNA indígenas y afrodescendientes; </w:t>
      </w:r>
      <w:proofErr w:type="spellStart"/>
      <w:r w:rsidRPr="002F21D4">
        <w:rPr>
          <w:color w:val="000000" w:themeColor="text1"/>
          <w:sz w:val="22"/>
          <w:szCs w:val="22"/>
          <w:lang w:val="es-ES_tradnl"/>
        </w:rPr>
        <w:t>ii</w:t>
      </w:r>
      <w:proofErr w:type="spellEnd"/>
      <w:r w:rsidRPr="002F21D4">
        <w:rPr>
          <w:color w:val="000000" w:themeColor="text1"/>
          <w:sz w:val="22"/>
          <w:szCs w:val="22"/>
          <w:lang w:val="es-ES_tradnl"/>
        </w:rPr>
        <w:t xml:space="preserve">) la creación de plataformas y programas de juventud que incrementen su participación en las decisiones que se toman en materia de prevención y protección; y </w:t>
      </w:r>
      <w:proofErr w:type="spellStart"/>
      <w:r w:rsidRPr="002F21D4">
        <w:rPr>
          <w:color w:val="000000" w:themeColor="text1"/>
          <w:sz w:val="22"/>
          <w:szCs w:val="22"/>
          <w:lang w:val="es-ES_tradnl"/>
        </w:rPr>
        <w:t>iii</w:t>
      </w:r>
      <w:proofErr w:type="spellEnd"/>
      <w:r w:rsidRPr="002F21D4">
        <w:rPr>
          <w:color w:val="000000" w:themeColor="text1"/>
          <w:sz w:val="22"/>
          <w:szCs w:val="22"/>
          <w:lang w:val="es-ES_tradnl"/>
        </w:rPr>
        <w:t>) la generación de confianza en la institucionalidad para denunciar los casos de vinculación de NNA y jóvenes.</w:t>
      </w:r>
    </w:p>
    <w:p w14:paraId="7F73E957" w14:textId="77777777" w:rsidR="002E06D9" w:rsidRDefault="002E06D9" w:rsidP="00B06FB8">
      <w:pPr>
        <w:pBdr>
          <w:top w:val="nil"/>
          <w:left w:val="nil"/>
          <w:bottom w:val="nil"/>
          <w:right w:val="nil"/>
          <w:between w:val="nil"/>
        </w:pBdr>
        <w:snapToGrid w:val="0"/>
        <w:jc w:val="both"/>
        <w:rPr>
          <w:rFonts w:eastAsia="Calibri"/>
          <w:b/>
          <w:bCs/>
          <w:color w:val="000000"/>
          <w:sz w:val="22"/>
          <w:szCs w:val="22"/>
          <w:lang w:val="es-ES"/>
        </w:rPr>
      </w:pPr>
    </w:p>
    <w:p w14:paraId="09B2A865" w14:textId="4B124157" w:rsidR="002B03BA" w:rsidRPr="002F21D4" w:rsidRDefault="002B03BA" w:rsidP="00437B36">
      <w:pPr>
        <w:pStyle w:val="ListParagraph"/>
        <w:numPr>
          <w:ilvl w:val="1"/>
          <w:numId w:val="11"/>
        </w:numPr>
        <w:snapToGrid w:val="0"/>
        <w:spacing w:after="0" w:line="240" w:lineRule="auto"/>
        <w:ind w:left="1440" w:hanging="720"/>
        <w:contextualSpacing w:val="0"/>
        <w:jc w:val="both"/>
        <w:rPr>
          <w:rFonts w:ascii="Times New Roman" w:eastAsia="Calibri" w:hAnsi="Times New Roman" w:cs="Times New Roman"/>
          <w:b/>
          <w:bCs/>
          <w:color w:val="000000"/>
          <w:lang w:val="es-ES"/>
        </w:rPr>
      </w:pPr>
      <w:r w:rsidRPr="002F21D4">
        <w:rPr>
          <w:rFonts w:ascii="Times New Roman" w:eastAsia="Calibri" w:hAnsi="Times New Roman" w:cs="Times New Roman"/>
          <w:b/>
          <w:bCs/>
          <w:color w:val="000000"/>
          <w:lang w:val="es-ES"/>
        </w:rPr>
        <w:t xml:space="preserve">A </w:t>
      </w:r>
      <w:r w:rsidRPr="00437B36">
        <w:rPr>
          <w:rFonts w:ascii="Times New Roman" w:hAnsi="Times New Roman" w:cs="Times New Roman"/>
          <w:b/>
          <w:color w:val="000000" w:themeColor="text1"/>
          <w:lang w:val="es-ES_tradnl"/>
        </w:rPr>
        <w:t>la</w:t>
      </w:r>
      <w:r w:rsidRPr="002F21D4">
        <w:rPr>
          <w:rFonts w:ascii="Times New Roman" w:eastAsia="Calibri" w:hAnsi="Times New Roman" w:cs="Times New Roman"/>
          <w:b/>
          <w:bCs/>
          <w:color w:val="000000"/>
          <w:lang w:val="es-ES"/>
        </w:rPr>
        <w:t xml:space="preserve"> Consejería Presidencial para la Estabilización y Consolidación, a la Consejería Presidencial para la Equidad de la Mujer, la Oficina del Alto Comisionado para la Paz, al Ministerio del Interior, la Fiscalía</w:t>
      </w:r>
      <w:r w:rsidR="00F474DF" w:rsidRPr="002F21D4">
        <w:rPr>
          <w:rFonts w:ascii="Times New Roman" w:eastAsia="Calibri" w:hAnsi="Times New Roman" w:cs="Times New Roman"/>
          <w:b/>
          <w:bCs/>
          <w:color w:val="000000"/>
          <w:lang w:val="es-ES"/>
        </w:rPr>
        <w:t xml:space="preserve"> </w:t>
      </w:r>
      <w:r w:rsidRPr="002F21D4">
        <w:rPr>
          <w:rFonts w:ascii="Times New Roman" w:eastAsia="Calibri" w:hAnsi="Times New Roman" w:cs="Times New Roman"/>
          <w:b/>
          <w:bCs/>
          <w:color w:val="000000"/>
          <w:lang w:val="es-ES"/>
        </w:rPr>
        <w:t xml:space="preserve">General de la Nación, la Defensoría del Pueblo y a la Procuraduría General de la Nación </w:t>
      </w:r>
    </w:p>
    <w:p w14:paraId="4E513DAF" w14:textId="77777777" w:rsidR="002E06D9" w:rsidRDefault="002E06D9" w:rsidP="00B06FB8">
      <w:pPr>
        <w:snapToGrid w:val="0"/>
        <w:jc w:val="both"/>
        <w:rPr>
          <w:color w:val="000000" w:themeColor="text1"/>
          <w:sz w:val="22"/>
          <w:szCs w:val="22"/>
          <w:lang w:val="es-ES_tradnl"/>
        </w:rPr>
      </w:pPr>
    </w:p>
    <w:p w14:paraId="7158E841" w14:textId="1CCBB7A7" w:rsidR="002B03BA" w:rsidRPr="002F21D4" w:rsidRDefault="002B03BA" w:rsidP="00B06FB8">
      <w:pPr>
        <w:snapToGrid w:val="0"/>
        <w:jc w:val="both"/>
        <w:rPr>
          <w:color w:val="000000" w:themeColor="text1"/>
          <w:sz w:val="22"/>
          <w:szCs w:val="22"/>
          <w:lang w:val="es-ES_tradnl"/>
        </w:rPr>
      </w:pPr>
      <w:r w:rsidRPr="002F21D4">
        <w:rPr>
          <w:color w:val="000000" w:themeColor="text1"/>
          <w:sz w:val="22"/>
          <w:szCs w:val="22"/>
          <w:lang w:val="es-ES_tradnl"/>
        </w:rPr>
        <w:t xml:space="preserve">Redoblar esfuerzos para avanzar integralmente en: i) el </w:t>
      </w:r>
      <w:proofErr w:type="spellStart"/>
      <w:r w:rsidRPr="002F21D4">
        <w:rPr>
          <w:color w:val="000000" w:themeColor="text1"/>
          <w:sz w:val="22"/>
          <w:szCs w:val="22"/>
          <w:lang w:val="es-ES_tradnl"/>
        </w:rPr>
        <w:t>PIG</w:t>
      </w:r>
      <w:proofErr w:type="spellEnd"/>
      <w:r w:rsidRPr="002F21D4">
        <w:rPr>
          <w:color w:val="000000" w:themeColor="text1"/>
          <w:sz w:val="22"/>
          <w:szCs w:val="22"/>
          <w:lang w:val="es-ES_tradnl"/>
        </w:rPr>
        <w:t>-Mujeres</w:t>
      </w:r>
      <w:r w:rsidRPr="002F21D4">
        <w:rPr>
          <w:color w:val="000000" w:themeColor="text1"/>
          <w:sz w:val="22"/>
          <w:szCs w:val="22"/>
          <w:vertAlign w:val="superscript"/>
          <w:lang w:val="es-ES_tradnl"/>
        </w:rPr>
        <w:footnoteReference w:id="149"/>
      </w:r>
      <w:r w:rsidRPr="002F21D4">
        <w:rPr>
          <w:color w:val="000000" w:themeColor="text1"/>
          <w:sz w:val="22"/>
          <w:szCs w:val="22"/>
          <w:lang w:val="es-ES_tradnl"/>
        </w:rPr>
        <w:t xml:space="preserve">; </w:t>
      </w:r>
      <w:proofErr w:type="spellStart"/>
      <w:r w:rsidRPr="002F21D4">
        <w:rPr>
          <w:color w:val="000000" w:themeColor="text1"/>
          <w:sz w:val="22"/>
          <w:szCs w:val="22"/>
          <w:lang w:val="es-ES_tradnl"/>
        </w:rPr>
        <w:t>ii</w:t>
      </w:r>
      <w:proofErr w:type="spellEnd"/>
      <w:r w:rsidRPr="002F21D4">
        <w:rPr>
          <w:color w:val="000000" w:themeColor="text1"/>
          <w:sz w:val="22"/>
          <w:szCs w:val="22"/>
          <w:lang w:val="es-ES_tradnl"/>
        </w:rPr>
        <w:t xml:space="preserve">) la Política de Desmantelamiento con enfoque de género en el marco de la </w:t>
      </w:r>
      <w:proofErr w:type="spellStart"/>
      <w:r w:rsidRPr="002F21D4">
        <w:rPr>
          <w:color w:val="000000" w:themeColor="text1"/>
          <w:sz w:val="22"/>
          <w:szCs w:val="22"/>
          <w:lang w:val="es-ES_tradnl"/>
        </w:rPr>
        <w:t>CNGS</w:t>
      </w:r>
      <w:proofErr w:type="spellEnd"/>
      <w:r w:rsidRPr="002F21D4">
        <w:rPr>
          <w:color w:val="000000" w:themeColor="text1"/>
          <w:sz w:val="22"/>
          <w:szCs w:val="22"/>
          <w:lang w:val="es-ES_tradnl"/>
        </w:rPr>
        <w:t xml:space="preserve">; </w:t>
      </w:r>
      <w:proofErr w:type="spellStart"/>
      <w:r w:rsidRPr="002F21D4">
        <w:rPr>
          <w:color w:val="000000" w:themeColor="text1"/>
          <w:sz w:val="22"/>
          <w:szCs w:val="22"/>
          <w:lang w:val="es-ES_tradnl"/>
        </w:rPr>
        <w:t>iii</w:t>
      </w:r>
      <w:proofErr w:type="spellEnd"/>
      <w:r w:rsidRPr="002F21D4">
        <w:rPr>
          <w:color w:val="000000" w:themeColor="text1"/>
          <w:sz w:val="22"/>
          <w:szCs w:val="22"/>
          <w:lang w:val="es-ES_tradnl"/>
        </w:rPr>
        <w:t xml:space="preserve">) las Garantías Integrales para el Ejercicio de la Política con enfoque de género en el marco del </w:t>
      </w:r>
      <w:proofErr w:type="spellStart"/>
      <w:r w:rsidRPr="002F21D4">
        <w:rPr>
          <w:color w:val="000000" w:themeColor="text1"/>
          <w:sz w:val="22"/>
          <w:szCs w:val="22"/>
          <w:lang w:val="es-ES_tradnl"/>
        </w:rPr>
        <w:t>SISEP</w:t>
      </w:r>
      <w:proofErr w:type="spellEnd"/>
      <w:r w:rsidRPr="002F21D4">
        <w:rPr>
          <w:color w:val="000000" w:themeColor="text1"/>
          <w:sz w:val="22"/>
          <w:szCs w:val="22"/>
          <w:lang w:val="es-ES_tradnl"/>
        </w:rPr>
        <w:t xml:space="preserve">; y </w:t>
      </w:r>
      <w:proofErr w:type="spellStart"/>
      <w:r w:rsidRPr="002F21D4">
        <w:rPr>
          <w:color w:val="000000" w:themeColor="text1"/>
          <w:sz w:val="22"/>
          <w:szCs w:val="22"/>
          <w:lang w:val="es-ES_tradnl"/>
        </w:rPr>
        <w:t>iv</w:t>
      </w:r>
      <w:proofErr w:type="spellEnd"/>
      <w:r w:rsidRPr="002F21D4">
        <w:rPr>
          <w:color w:val="000000" w:themeColor="text1"/>
          <w:sz w:val="22"/>
          <w:szCs w:val="22"/>
          <w:lang w:val="es-ES_tradnl"/>
        </w:rPr>
        <w:t>)</w:t>
      </w:r>
      <w:r w:rsidR="0078159F" w:rsidRPr="002F21D4">
        <w:rPr>
          <w:color w:val="000000" w:themeColor="text1"/>
          <w:sz w:val="22"/>
          <w:szCs w:val="22"/>
          <w:lang w:val="es-ES_tradnl"/>
        </w:rPr>
        <w:t xml:space="preserve"> </w:t>
      </w:r>
      <w:r w:rsidRPr="002F21D4">
        <w:rPr>
          <w:color w:val="000000" w:themeColor="text1"/>
          <w:sz w:val="22"/>
          <w:szCs w:val="22"/>
          <w:lang w:val="es-ES_tradnl"/>
        </w:rPr>
        <w:t>el diseño e implementación de los indicadores de género del PMI, especialmente, los relacionados con las garantías de seguridad y no repetición. Lo anterior, con el fin de mitigar y contrarrestar los impactos diferenciales y desproporcionados del conflicto armado sobre la vida de las mujeres, niñas y adolescentes.</w:t>
      </w:r>
    </w:p>
    <w:p w14:paraId="42C9BF76" w14:textId="77777777" w:rsidR="002E06D9" w:rsidRDefault="002E06D9" w:rsidP="00B06FB8">
      <w:pPr>
        <w:pBdr>
          <w:top w:val="nil"/>
          <w:left w:val="nil"/>
          <w:bottom w:val="nil"/>
          <w:right w:val="nil"/>
          <w:between w:val="nil"/>
        </w:pBdr>
        <w:snapToGrid w:val="0"/>
        <w:jc w:val="both"/>
        <w:rPr>
          <w:rFonts w:eastAsia="Calibri"/>
          <w:b/>
          <w:bCs/>
          <w:color w:val="000000"/>
          <w:sz w:val="22"/>
          <w:szCs w:val="22"/>
          <w:lang w:val="es-ES"/>
        </w:rPr>
      </w:pPr>
    </w:p>
    <w:p w14:paraId="0D50AC24" w14:textId="7A22BCC3" w:rsidR="002B03BA" w:rsidRPr="002F21D4" w:rsidRDefault="002B03BA" w:rsidP="00437B36">
      <w:pPr>
        <w:pStyle w:val="ListParagraph"/>
        <w:numPr>
          <w:ilvl w:val="1"/>
          <w:numId w:val="11"/>
        </w:numPr>
        <w:snapToGrid w:val="0"/>
        <w:spacing w:after="0" w:line="240" w:lineRule="auto"/>
        <w:ind w:left="1440" w:hanging="720"/>
        <w:contextualSpacing w:val="0"/>
        <w:jc w:val="both"/>
        <w:rPr>
          <w:rFonts w:ascii="Times New Roman" w:eastAsia="Calibri" w:hAnsi="Times New Roman" w:cs="Times New Roman"/>
          <w:b/>
          <w:bCs/>
          <w:color w:val="000000"/>
          <w:lang w:val="es-ES"/>
        </w:rPr>
      </w:pPr>
      <w:r w:rsidRPr="002F21D4">
        <w:rPr>
          <w:rFonts w:ascii="Times New Roman" w:eastAsia="Calibri" w:hAnsi="Times New Roman" w:cs="Times New Roman"/>
          <w:b/>
          <w:bCs/>
          <w:color w:val="000000"/>
          <w:lang w:val="es-ES"/>
        </w:rPr>
        <w:t>A la Consejería Presidencial para la Estabilización y Consolidación, la Consejería Presidencia para la Equidad de la Mujer</w:t>
      </w:r>
    </w:p>
    <w:p w14:paraId="5FC27CF8" w14:textId="77777777" w:rsidR="002E06D9" w:rsidRDefault="002E06D9" w:rsidP="00B06FB8">
      <w:pPr>
        <w:pStyle w:val="NormalWeb"/>
        <w:snapToGrid w:val="0"/>
        <w:jc w:val="both"/>
        <w:rPr>
          <w:rFonts w:ascii="Times New Roman" w:eastAsia="Calibri" w:hAnsi="Times New Roman" w:cs="Times New Roman"/>
          <w:color w:val="000000"/>
          <w:lang w:val="es-ES_tradnl"/>
        </w:rPr>
      </w:pPr>
    </w:p>
    <w:p w14:paraId="781097D3" w14:textId="50C2E470" w:rsidR="002B03BA" w:rsidRPr="002F21D4" w:rsidRDefault="002B03BA" w:rsidP="00B06FB8">
      <w:pPr>
        <w:pStyle w:val="NormalWeb"/>
        <w:snapToGrid w:val="0"/>
        <w:jc w:val="both"/>
        <w:rPr>
          <w:rFonts w:ascii="Times New Roman" w:eastAsia="Calibri" w:hAnsi="Times New Roman" w:cs="Times New Roman"/>
          <w:color w:val="000000"/>
          <w:lang w:val="es-ES_tradnl"/>
        </w:rPr>
      </w:pPr>
      <w:r w:rsidRPr="002F21D4">
        <w:rPr>
          <w:rFonts w:ascii="Times New Roman" w:eastAsia="Calibri" w:hAnsi="Times New Roman" w:cs="Times New Roman"/>
          <w:color w:val="000000"/>
          <w:lang w:val="es-ES_tradnl"/>
        </w:rPr>
        <w:t xml:space="preserve">Brindar mayores garantías para el ejercicio de la Instancia Especial de Mujeres de la CSIVI mediante el diseño e implementación de una arquitectura operativa y política territorializada que vincule a las autoridades departamentales y municipales frente a la gobernanza de género y paz, viabilizando así el plan de acción de la Instancia y su representación a nivel local. </w:t>
      </w:r>
      <w:r w:rsidR="00086A7C" w:rsidRPr="002F21D4">
        <w:rPr>
          <w:rFonts w:ascii="Times New Roman" w:eastAsia="Calibri" w:hAnsi="Times New Roman" w:cs="Times New Roman"/>
          <w:color w:val="000000"/>
          <w:lang w:val="es-ES_tradnl"/>
        </w:rPr>
        <w:t>Además, aplicar</w:t>
      </w:r>
      <w:r w:rsidRPr="002F21D4">
        <w:rPr>
          <w:rFonts w:ascii="Times New Roman" w:eastAsia="Calibri" w:hAnsi="Times New Roman" w:cs="Times New Roman"/>
          <w:color w:val="000000"/>
          <w:lang w:val="es-ES_tradnl"/>
        </w:rPr>
        <w:t xml:space="preserve"> el principio de igualdad para que este mecanismo tenga las garantías que le han sido otorgadas a otros esquemas de participación de víctimas y/o de sociedad civil en torno a la construcción de paz.</w:t>
      </w:r>
    </w:p>
    <w:p w14:paraId="3465DA78" w14:textId="77777777" w:rsidR="002E06D9" w:rsidRDefault="002E06D9" w:rsidP="00B06FB8">
      <w:pPr>
        <w:shd w:val="clear" w:color="auto" w:fill="FFFFFF"/>
        <w:snapToGrid w:val="0"/>
        <w:jc w:val="both"/>
        <w:rPr>
          <w:b/>
          <w:color w:val="000000" w:themeColor="text1"/>
          <w:sz w:val="22"/>
          <w:szCs w:val="22"/>
          <w:lang w:val="es-ES"/>
        </w:rPr>
      </w:pPr>
    </w:p>
    <w:p w14:paraId="4EE220EC" w14:textId="355BA0DF" w:rsidR="002B03BA" w:rsidRPr="002F21D4" w:rsidRDefault="002B03BA" w:rsidP="00437B36">
      <w:pPr>
        <w:pStyle w:val="ListParagraph"/>
        <w:numPr>
          <w:ilvl w:val="1"/>
          <w:numId w:val="11"/>
        </w:numPr>
        <w:snapToGrid w:val="0"/>
        <w:spacing w:after="0" w:line="240" w:lineRule="auto"/>
        <w:ind w:left="1440" w:hanging="720"/>
        <w:contextualSpacing w:val="0"/>
        <w:jc w:val="both"/>
        <w:rPr>
          <w:rFonts w:ascii="Times New Roman" w:hAnsi="Times New Roman" w:cs="Times New Roman"/>
          <w:b/>
          <w:color w:val="000000" w:themeColor="text1"/>
          <w:lang w:val="es-ES"/>
        </w:rPr>
      </w:pPr>
      <w:r w:rsidRPr="002F21D4">
        <w:rPr>
          <w:rFonts w:ascii="Times New Roman" w:hAnsi="Times New Roman" w:cs="Times New Roman"/>
          <w:b/>
          <w:color w:val="000000" w:themeColor="text1"/>
          <w:lang w:val="es-ES"/>
        </w:rPr>
        <w:t>A la Agencia de Renovación del Territorio</w:t>
      </w:r>
    </w:p>
    <w:p w14:paraId="022FBDA6" w14:textId="77777777" w:rsidR="002E06D9" w:rsidRDefault="002E06D9" w:rsidP="00B06FB8">
      <w:pPr>
        <w:pStyle w:val="ListParagraph"/>
        <w:snapToGrid w:val="0"/>
        <w:spacing w:after="0" w:line="240" w:lineRule="auto"/>
        <w:ind w:left="0"/>
        <w:contextualSpacing w:val="0"/>
        <w:jc w:val="both"/>
        <w:rPr>
          <w:rFonts w:ascii="Times New Roman" w:hAnsi="Times New Roman" w:cs="Times New Roman"/>
          <w:i/>
          <w:iCs/>
        </w:rPr>
      </w:pPr>
    </w:p>
    <w:p w14:paraId="5415DE04" w14:textId="427AF5AD" w:rsidR="002B03BA" w:rsidRPr="002F21D4" w:rsidRDefault="00D26EA0" w:rsidP="00B06FB8">
      <w:pPr>
        <w:pStyle w:val="ListParagraph"/>
        <w:snapToGrid w:val="0"/>
        <w:spacing w:after="0" w:line="240" w:lineRule="auto"/>
        <w:ind w:left="0"/>
        <w:contextualSpacing w:val="0"/>
        <w:jc w:val="both"/>
        <w:rPr>
          <w:rFonts w:ascii="Times New Roman" w:hAnsi="Times New Roman" w:cs="Times New Roman"/>
        </w:rPr>
      </w:pPr>
      <w:r w:rsidRPr="002F21D4">
        <w:rPr>
          <w:rFonts w:ascii="Times New Roman" w:hAnsi="Times New Roman" w:cs="Times New Roman"/>
          <w:i/>
          <w:iCs/>
        </w:rPr>
        <w:t>10.1</w:t>
      </w:r>
      <w:r w:rsidR="004C0897" w:rsidRPr="002F21D4">
        <w:rPr>
          <w:rFonts w:ascii="Times New Roman" w:hAnsi="Times New Roman" w:cs="Times New Roman"/>
          <w:i/>
          <w:iCs/>
        </w:rPr>
        <w:t>2</w:t>
      </w:r>
      <w:r w:rsidRPr="002F21D4">
        <w:rPr>
          <w:rFonts w:ascii="Times New Roman" w:hAnsi="Times New Roman" w:cs="Times New Roman"/>
          <w:i/>
          <w:iCs/>
        </w:rPr>
        <w:t>.</w:t>
      </w:r>
      <w:r w:rsidR="009C2519" w:rsidRPr="002F21D4">
        <w:rPr>
          <w:rFonts w:ascii="Times New Roman" w:hAnsi="Times New Roman" w:cs="Times New Roman"/>
          <w:i/>
          <w:iCs/>
        </w:rPr>
        <w:t>1.</w:t>
      </w:r>
      <w:r w:rsidR="009C2519" w:rsidRPr="002F21D4">
        <w:rPr>
          <w:rFonts w:ascii="Times New Roman" w:hAnsi="Times New Roman" w:cs="Times New Roman"/>
        </w:rPr>
        <w:t xml:space="preserve"> En</w:t>
      </w:r>
      <w:r w:rsidR="002B03BA" w:rsidRPr="002F21D4">
        <w:rPr>
          <w:rFonts w:ascii="Times New Roman" w:hAnsi="Times New Roman" w:cs="Times New Roman"/>
        </w:rPr>
        <w:t xml:space="preserve"> articulación con el Ministerio Público y el Ministerio del Interior, promover y fortalecer las capacidades organizativas de las comunidades rurales, la participación ciudadana y la veeduría PDET, especialmente con los delegados de Grupos Motor y los Mecanismos Especiales de Consulta, así como otros liderazgos sociales activos y responsables de la gobernanza de sus territorios. Lo anterior permitirá encausar las reivindicaciones de participación alrededor de la implementación de los PDET, reforzar el posicionamiento de las iniciativas en la política local, la apropiación, gestión y control social </w:t>
      </w:r>
      <w:r w:rsidR="002B03BA" w:rsidRPr="002F21D4">
        <w:rPr>
          <w:rFonts w:ascii="Times New Roman" w:hAnsi="Times New Roman" w:cs="Times New Roman"/>
        </w:rPr>
        <w:lastRenderedPageBreak/>
        <w:t>de los recursos, así como la sostenibilidad de los proyectos que materializan la transformación estructural y el cierre de brechas de la ruralidad colombiana.</w:t>
      </w:r>
    </w:p>
    <w:p w14:paraId="40507175" w14:textId="77777777" w:rsidR="00437B36" w:rsidRDefault="00437B36" w:rsidP="00B06FB8">
      <w:pPr>
        <w:pStyle w:val="NoSpacing"/>
        <w:snapToGrid w:val="0"/>
        <w:jc w:val="both"/>
        <w:rPr>
          <w:rFonts w:ascii="Times New Roman" w:eastAsia="Times New Roman" w:hAnsi="Times New Roman" w:cs="Times New Roman"/>
          <w:i/>
          <w:iCs/>
        </w:rPr>
      </w:pPr>
    </w:p>
    <w:p w14:paraId="65F328F3" w14:textId="173751F9" w:rsidR="002B03BA" w:rsidRDefault="00D26EA0" w:rsidP="00B06FB8">
      <w:pPr>
        <w:pStyle w:val="NoSpacing"/>
        <w:snapToGrid w:val="0"/>
        <w:jc w:val="both"/>
        <w:rPr>
          <w:rFonts w:ascii="Times New Roman" w:eastAsia="Times New Roman" w:hAnsi="Times New Roman" w:cs="Times New Roman"/>
        </w:rPr>
      </w:pPr>
      <w:r w:rsidRPr="002F21D4">
        <w:rPr>
          <w:rFonts w:ascii="Times New Roman" w:eastAsia="Times New Roman" w:hAnsi="Times New Roman" w:cs="Times New Roman"/>
          <w:i/>
          <w:iCs/>
        </w:rPr>
        <w:t>10.1</w:t>
      </w:r>
      <w:r w:rsidR="004C0897" w:rsidRPr="002F21D4">
        <w:rPr>
          <w:rFonts w:ascii="Times New Roman" w:eastAsia="Times New Roman" w:hAnsi="Times New Roman" w:cs="Times New Roman"/>
          <w:i/>
          <w:iCs/>
        </w:rPr>
        <w:t>2</w:t>
      </w:r>
      <w:r w:rsidRPr="002F21D4">
        <w:rPr>
          <w:rFonts w:ascii="Times New Roman" w:eastAsia="Times New Roman" w:hAnsi="Times New Roman" w:cs="Times New Roman"/>
          <w:i/>
          <w:iCs/>
        </w:rPr>
        <w:t>.2.</w:t>
      </w:r>
      <w:r w:rsidR="00822CDF" w:rsidRPr="002F21D4">
        <w:rPr>
          <w:rFonts w:ascii="Times New Roman" w:eastAsia="Times New Roman" w:hAnsi="Times New Roman" w:cs="Times New Roman"/>
          <w:i/>
          <w:iCs/>
        </w:rPr>
        <w:t xml:space="preserve"> </w:t>
      </w:r>
      <w:r w:rsidR="00822CDF" w:rsidRPr="002F21D4">
        <w:rPr>
          <w:rFonts w:ascii="Times New Roman" w:eastAsia="Times New Roman" w:hAnsi="Times New Roman" w:cs="Times New Roman"/>
        </w:rPr>
        <w:t>Desde</w:t>
      </w:r>
      <w:r w:rsidR="002B03BA" w:rsidRPr="002F21D4">
        <w:rPr>
          <w:rFonts w:ascii="Times New Roman" w:eastAsia="Times New Roman" w:hAnsi="Times New Roman" w:cs="Times New Roman"/>
        </w:rPr>
        <w:t xml:space="preserve"> la Dirección de Sustitución de Cultivos Ilícitos, implementar modelos de sustitución voluntaria con enfoque diferencial étnico y territorial en áreas no priorizados para el PNIS o donde la erradicación forzosa ha encontrado obstáculos para su implementación, con el objetivo de reducir la amenaza de expansión de los cultivos de coca, al interior de áreas ambientalmente protegidas como parques nacionales naturales, zonas de reserva forestal, resguardos indígenas y territorios de comunidades negras. </w:t>
      </w:r>
    </w:p>
    <w:p w14:paraId="3AD42210" w14:textId="77777777" w:rsidR="002E06D9" w:rsidRPr="002F21D4" w:rsidRDefault="002E06D9" w:rsidP="00B06FB8">
      <w:pPr>
        <w:pStyle w:val="NoSpacing"/>
        <w:snapToGrid w:val="0"/>
        <w:jc w:val="both"/>
        <w:rPr>
          <w:rFonts w:ascii="Times New Roman" w:eastAsia="Calibri" w:hAnsi="Times New Roman" w:cs="Times New Roman"/>
          <w:lang w:val="es-ES"/>
        </w:rPr>
      </w:pPr>
    </w:p>
    <w:p w14:paraId="4EFF3CFD" w14:textId="63062563" w:rsidR="002B03BA" w:rsidRPr="002F21D4" w:rsidRDefault="002B03BA" w:rsidP="00437B36">
      <w:pPr>
        <w:pStyle w:val="ListParagraph"/>
        <w:numPr>
          <w:ilvl w:val="1"/>
          <w:numId w:val="11"/>
        </w:numPr>
        <w:snapToGrid w:val="0"/>
        <w:spacing w:after="0" w:line="240" w:lineRule="auto"/>
        <w:ind w:left="1440" w:hanging="720"/>
        <w:contextualSpacing w:val="0"/>
        <w:jc w:val="both"/>
        <w:rPr>
          <w:rFonts w:ascii="Times New Roman" w:hAnsi="Times New Roman" w:cs="Times New Roman"/>
          <w:color w:val="000000" w:themeColor="text1"/>
          <w:lang w:val="es-ES"/>
        </w:rPr>
      </w:pPr>
      <w:r w:rsidRPr="002F21D4">
        <w:rPr>
          <w:rFonts w:ascii="Times New Roman" w:hAnsi="Times New Roman" w:cs="Times New Roman"/>
          <w:b/>
          <w:color w:val="000000" w:themeColor="text1"/>
          <w:lang w:val="es-ES"/>
        </w:rPr>
        <w:t>Al Consejo Superior de la Judicatura</w:t>
      </w:r>
      <w:r w:rsidRPr="002F21D4">
        <w:rPr>
          <w:rFonts w:ascii="Times New Roman" w:hAnsi="Times New Roman" w:cs="Times New Roman"/>
          <w:color w:val="000000" w:themeColor="text1"/>
          <w:lang w:val="es-ES"/>
        </w:rPr>
        <w:t xml:space="preserve"> </w:t>
      </w:r>
    </w:p>
    <w:p w14:paraId="5B0C375F" w14:textId="77777777" w:rsidR="002E06D9" w:rsidRDefault="002E06D9" w:rsidP="00B06FB8">
      <w:pPr>
        <w:shd w:val="clear" w:color="auto" w:fill="FFFFFF"/>
        <w:snapToGrid w:val="0"/>
        <w:jc w:val="both"/>
        <w:rPr>
          <w:color w:val="000000" w:themeColor="text1"/>
          <w:sz w:val="22"/>
          <w:szCs w:val="22"/>
          <w:lang w:val="es-ES"/>
        </w:rPr>
      </w:pPr>
    </w:p>
    <w:p w14:paraId="30D3A122" w14:textId="2A33F002" w:rsidR="002B03BA" w:rsidRDefault="002B03BA" w:rsidP="00B06FB8">
      <w:pPr>
        <w:shd w:val="clear" w:color="auto" w:fill="FFFFFF"/>
        <w:snapToGrid w:val="0"/>
        <w:jc w:val="both"/>
        <w:rPr>
          <w:color w:val="000000" w:themeColor="text1"/>
          <w:sz w:val="22"/>
          <w:szCs w:val="22"/>
          <w:lang w:val="es-ES"/>
        </w:rPr>
      </w:pPr>
      <w:r w:rsidRPr="002F21D4">
        <w:rPr>
          <w:color w:val="000000" w:themeColor="text1"/>
          <w:sz w:val="22"/>
          <w:szCs w:val="22"/>
          <w:lang w:val="es-ES"/>
        </w:rPr>
        <w:t>Asignar mayores recursos financieros y humanos para fortalecer la capacidad de los despachos de Justicia y Paz, con el fin de impulsar y acelerar la investigación y judicialización.</w:t>
      </w:r>
    </w:p>
    <w:p w14:paraId="258B3839" w14:textId="77777777" w:rsidR="002E06D9" w:rsidRPr="002F21D4" w:rsidRDefault="002E06D9" w:rsidP="00B06FB8">
      <w:pPr>
        <w:shd w:val="clear" w:color="auto" w:fill="FFFFFF"/>
        <w:snapToGrid w:val="0"/>
        <w:jc w:val="both"/>
        <w:rPr>
          <w:color w:val="000000" w:themeColor="text1"/>
          <w:sz w:val="22"/>
          <w:szCs w:val="22"/>
          <w:lang w:val="es-ES"/>
        </w:rPr>
      </w:pPr>
    </w:p>
    <w:p w14:paraId="6AD74A42" w14:textId="070163D7" w:rsidR="002B03BA" w:rsidRPr="002F21D4" w:rsidRDefault="002B03BA" w:rsidP="00437B36">
      <w:pPr>
        <w:pStyle w:val="ListParagraph"/>
        <w:numPr>
          <w:ilvl w:val="1"/>
          <w:numId w:val="11"/>
        </w:numPr>
        <w:snapToGrid w:val="0"/>
        <w:spacing w:after="0" w:line="240" w:lineRule="auto"/>
        <w:ind w:left="1440" w:hanging="720"/>
        <w:contextualSpacing w:val="0"/>
        <w:jc w:val="both"/>
        <w:rPr>
          <w:rFonts w:ascii="Times New Roman" w:hAnsi="Times New Roman" w:cs="Times New Roman"/>
          <w:color w:val="000000" w:themeColor="text1"/>
          <w:lang w:val="es-ES_tradnl"/>
        </w:rPr>
      </w:pPr>
      <w:r w:rsidRPr="002F21D4">
        <w:rPr>
          <w:rFonts w:ascii="Times New Roman" w:hAnsi="Times New Roman" w:cs="Times New Roman"/>
          <w:b/>
          <w:color w:val="000000" w:themeColor="text1"/>
          <w:lang w:val="es-ES_tradnl"/>
        </w:rPr>
        <w:t>A la Fiscalía General de la Nación</w:t>
      </w:r>
    </w:p>
    <w:p w14:paraId="02D7C1D6" w14:textId="77777777" w:rsidR="002E06D9" w:rsidRDefault="002E06D9" w:rsidP="00B06FB8">
      <w:pPr>
        <w:shd w:val="clear" w:color="auto" w:fill="FFFFFF"/>
        <w:snapToGrid w:val="0"/>
        <w:jc w:val="both"/>
        <w:rPr>
          <w:color w:val="000000" w:themeColor="text1"/>
          <w:sz w:val="22"/>
          <w:szCs w:val="22"/>
          <w:lang w:val="es-ES_tradnl"/>
        </w:rPr>
      </w:pPr>
    </w:p>
    <w:p w14:paraId="6048B2FF" w14:textId="68F8B5BA" w:rsidR="002B03BA" w:rsidRDefault="002B03BA" w:rsidP="00B06FB8">
      <w:pPr>
        <w:shd w:val="clear" w:color="auto" w:fill="FFFFFF"/>
        <w:snapToGrid w:val="0"/>
        <w:jc w:val="both"/>
        <w:rPr>
          <w:color w:val="000000" w:themeColor="text1"/>
          <w:sz w:val="22"/>
          <w:szCs w:val="22"/>
          <w:lang w:val="es-ES_tradnl"/>
        </w:rPr>
      </w:pPr>
      <w:r w:rsidRPr="002F21D4">
        <w:rPr>
          <w:color w:val="000000" w:themeColor="text1"/>
          <w:sz w:val="22"/>
          <w:szCs w:val="22"/>
          <w:lang w:val="es-ES_tradnl"/>
        </w:rPr>
        <w:t>Abrir una línea especial para la investigación de amenazas y ataques a autoridades indígenas, toda vez que estos casos parecen cumplir patrones específicos distintos a los de afectaciones correspondientes a otros grupos poblacionales. Puede ser de utilidad el estudio de los supuestos fácticos y factores criminógenos señalados en el presente informe para el desarrollo de las mencionadas investigaciones.</w:t>
      </w:r>
    </w:p>
    <w:p w14:paraId="2860844D" w14:textId="77777777" w:rsidR="002E06D9" w:rsidRPr="002F21D4" w:rsidRDefault="002E06D9" w:rsidP="00B06FB8">
      <w:pPr>
        <w:shd w:val="clear" w:color="auto" w:fill="FFFFFF"/>
        <w:snapToGrid w:val="0"/>
        <w:jc w:val="both"/>
        <w:rPr>
          <w:color w:val="000000" w:themeColor="text1"/>
          <w:sz w:val="22"/>
          <w:szCs w:val="22"/>
          <w:lang w:val="es-ES_tradnl"/>
        </w:rPr>
      </w:pPr>
    </w:p>
    <w:p w14:paraId="162BAC3B" w14:textId="591BD9E8" w:rsidR="00781B65" w:rsidRPr="002F21D4" w:rsidRDefault="00781B65" w:rsidP="00437B36">
      <w:pPr>
        <w:pStyle w:val="ListParagraph"/>
        <w:numPr>
          <w:ilvl w:val="1"/>
          <w:numId w:val="11"/>
        </w:numPr>
        <w:snapToGrid w:val="0"/>
        <w:spacing w:after="0" w:line="240" w:lineRule="auto"/>
        <w:ind w:left="1440" w:hanging="720"/>
        <w:contextualSpacing w:val="0"/>
        <w:jc w:val="both"/>
        <w:rPr>
          <w:rFonts w:ascii="Times New Roman" w:hAnsi="Times New Roman" w:cs="Times New Roman"/>
          <w:b/>
          <w:color w:val="000000" w:themeColor="text1"/>
          <w:lang w:val="es-ES"/>
        </w:rPr>
      </w:pPr>
      <w:r w:rsidRPr="002F21D4">
        <w:rPr>
          <w:rFonts w:ascii="Times New Roman" w:hAnsi="Times New Roman" w:cs="Times New Roman"/>
          <w:b/>
          <w:color w:val="000000" w:themeColor="text1"/>
          <w:lang w:val="es-ES"/>
        </w:rPr>
        <w:t xml:space="preserve">A la Fiscalía General de la Nación, </w:t>
      </w:r>
      <w:r w:rsidR="00794493" w:rsidRPr="002F21D4">
        <w:rPr>
          <w:rFonts w:ascii="Times New Roman" w:hAnsi="Times New Roman" w:cs="Times New Roman"/>
          <w:b/>
          <w:color w:val="000000" w:themeColor="text1"/>
          <w:lang w:val="es-ES"/>
        </w:rPr>
        <w:t xml:space="preserve">el </w:t>
      </w:r>
      <w:r w:rsidRPr="002F21D4">
        <w:rPr>
          <w:rFonts w:ascii="Times New Roman" w:hAnsi="Times New Roman" w:cs="Times New Roman"/>
          <w:b/>
          <w:color w:val="000000" w:themeColor="text1"/>
          <w:lang w:val="es-ES"/>
        </w:rPr>
        <w:t xml:space="preserve">Consejo Superior de la Judicatura y </w:t>
      </w:r>
      <w:r w:rsidR="00794493" w:rsidRPr="002F21D4">
        <w:rPr>
          <w:rFonts w:ascii="Times New Roman" w:hAnsi="Times New Roman" w:cs="Times New Roman"/>
          <w:b/>
          <w:color w:val="000000" w:themeColor="text1"/>
          <w:lang w:val="es-ES"/>
        </w:rPr>
        <w:t xml:space="preserve">la </w:t>
      </w:r>
      <w:r w:rsidRPr="002F21D4">
        <w:rPr>
          <w:rFonts w:ascii="Times New Roman" w:hAnsi="Times New Roman" w:cs="Times New Roman"/>
          <w:b/>
          <w:color w:val="000000" w:themeColor="text1"/>
          <w:lang w:val="es-ES"/>
        </w:rPr>
        <w:t>Procuraduría General de la Nación</w:t>
      </w:r>
    </w:p>
    <w:p w14:paraId="0199C7E3" w14:textId="77777777" w:rsidR="002E06D9" w:rsidRDefault="002E06D9" w:rsidP="00B06FB8">
      <w:pPr>
        <w:pStyle w:val="ListParagraph"/>
        <w:shd w:val="clear" w:color="auto" w:fill="FFFFFF"/>
        <w:snapToGrid w:val="0"/>
        <w:spacing w:after="0" w:line="240" w:lineRule="auto"/>
        <w:ind w:left="0"/>
        <w:contextualSpacing w:val="0"/>
        <w:jc w:val="both"/>
        <w:rPr>
          <w:rFonts w:ascii="Times New Roman" w:hAnsi="Times New Roman" w:cs="Times New Roman"/>
          <w:i/>
          <w:iCs/>
          <w:color w:val="000000" w:themeColor="text1"/>
          <w:lang w:val="es-ES"/>
        </w:rPr>
      </w:pPr>
    </w:p>
    <w:p w14:paraId="37136007" w14:textId="19C04EBF" w:rsidR="00794493" w:rsidRPr="002F21D4" w:rsidRDefault="00D26EA0" w:rsidP="00B06FB8">
      <w:pPr>
        <w:pStyle w:val="ListParagraph"/>
        <w:shd w:val="clear" w:color="auto" w:fill="FFFFFF"/>
        <w:snapToGrid w:val="0"/>
        <w:spacing w:after="0" w:line="240" w:lineRule="auto"/>
        <w:ind w:left="0"/>
        <w:contextualSpacing w:val="0"/>
        <w:jc w:val="both"/>
        <w:rPr>
          <w:rFonts w:ascii="Times New Roman" w:hAnsi="Times New Roman" w:cs="Times New Roman"/>
          <w:color w:val="000000" w:themeColor="text1"/>
          <w:lang w:val="es-ES"/>
        </w:rPr>
      </w:pPr>
      <w:r w:rsidRPr="002F21D4">
        <w:rPr>
          <w:rFonts w:ascii="Times New Roman" w:hAnsi="Times New Roman" w:cs="Times New Roman"/>
          <w:i/>
          <w:iCs/>
          <w:color w:val="000000" w:themeColor="text1"/>
          <w:lang w:val="es-ES"/>
        </w:rPr>
        <w:t>10.1</w:t>
      </w:r>
      <w:r w:rsidR="004C0897" w:rsidRPr="002F21D4">
        <w:rPr>
          <w:rFonts w:ascii="Times New Roman" w:hAnsi="Times New Roman" w:cs="Times New Roman"/>
          <w:i/>
          <w:iCs/>
          <w:color w:val="000000" w:themeColor="text1"/>
          <w:lang w:val="es-ES"/>
        </w:rPr>
        <w:t>5</w:t>
      </w:r>
      <w:r w:rsidRPr="002F21D4">
        <w:rPr>
          <w:rFonts w:ascii="Times New Roman" w:hAnsi="Times New Roman" w:cs="Times New Roman"/>
          <w:i/>
          <w:iCs/>
          <w:color w:val="000000" w:themeColor="text1"/>
          <w:lang w:val="es-ES"/>
        </w:rPr>
        <w:t>.1.</w:t>
      </w:r>
      <w:r w:rsidRPr="002F21D4">
        <w:rPr>
          <w:rFonts w:ascii="Times New Roman" w:hAnsi="Times New Roman" w:cs="Times New Roman"/>
          <w:color w:val="000000" w:themeColor="text1"/>
          <w:lang w:val="es-ES"/>
        </w:rPr>
        <w:t xml:space="preserve"> </w:t>
      </w:r>
      <w:r w:rsidR="00794493" w:rsidRPr="002F21D4">
        <w:rPr>
          <w:rFonts w:ascii="Times New Roman" w:hAnsi="Times New Roman" w:cs="Times New Roman"/>
          <w:color w:val="000000" w:themeColor="text1"/>
          <w:lang w:val="es-ES"/>
        </w:rPr>
        <w:t xml:space="preserve">Continuar impulsando los procesos de investigación y judicialización en el marco de la protesta social, garantizando la no estigmatización </w:t>
      </w:r>
      <w:r w:rsidR="00844739" w:rsidRPr="002F21D4">
        <w:rPr>
          <w:rFonts w:ascii="Times New Roman" w:hAnsi="Times New Roman" w:cs="Times New Roman"/>
          <w:color w:val="000000" w:themeColor="text1"/>
          <w:lang w:val="es-ES"/>
        </w:rPr>
        <w:t xml:space="preserve">de los participantes en esta </w:t>
      </w:r>
      <w:r w:rsidR="00794493" w:rsidRPr="002F21D4">
        <w:rPr>
          <w:rFonts w:ascii="Times New Roman" w:hAnsi="Times New Roman" w:cs="Times New Roman"/>
          <w:color w:val="000000" w:themeColor="text1"/>
          <w:lang w:val="es-ES"/>
        </w:rPr>
        <w:t xml:space="preserve">y el debido proceso en la sanción penal de </w:t>
      </w:r>
      <w:r w:rsidR="00844739" w:rsidRPr="002F21D4">
        <w:rPr>
          <w:rFonts w:ascii="Times New Roman" w:hAnsi="Times New Roman" w:cs="Times New Roman"/>
          <w:color w:val="000000" w:themeColor="text1"/>
          <w:lang w:val="es-ES"/>
        </w:rPr>
        <w:t>las personas capturadas durante los hechos violentos ocurridos.</w:t>
      </w:r>
    </w:p>
    <w:p w14:paraId="2CE78A21" w14:textId="77777777" w:rsidR="002E06D9" w:rsidRDefault="002E06D9" w:rsidP="00B06FB8">
      <w:pPr>
        <w:pStyle w:val="ListParagraph"/>
        <w:autoSpaceDE w:val="0"/>
        <w:autoSpaceDN w:val="0"/>
        <w:adjustRightInd w:val="0"/>
        <w:snapToGrid w:val="0"/>
        <w:spacing w:after="0" w:line="240" w:lineRule="auto"/>
        <w:ind w:left="0"/>
        <w:contextualSpacing w:val="0"/>
        <w:jc w:val="both"/>
        <w:rPr>
          <w:rFonts w:ascii="Times New Roman" w:hAnsi="Times New Roman" w:cs="Times New Roman"/>
          <w:i/>
          <w:iCs/>
          <w:color w:val="000000" w:themeColor="text1"/>
          <w:lang w:val="es-ES"/>
        </w:rPr>
      </w:pPr>
    </w:p>
    <w:p w14:paraId="0F586B01" w14:textId="0396026C" w:rsidR="00297BCC" w:rsidRPr="002F21D4" w:rsidRDefault="00D26EA0" w:rsidP="00B06FB8">
      <w:pPr>
        <w:pStyle w:val="ListParagraph"/>
        <w:autoSpaceDE w:val="0"/>
        <w:autoSpaceDN w:val="0"/>
        <w:adjustRightInd w:val="0"/>
        <w:snapToGrid w:val="0"/>
        <w:spacing w:after="0" w:line="240" w:lineRule="auto"/>
        <w:ind w:left="0"/>
        <w:contextualSpacing w:val="0"/>
        <w:jc w:val="both"/>
        <w:rPr>
          <w:rFonts w:ascii="Times New Roman" w:hAnsi="Times New Roman" w:cs="Times New Roman"/>
          <w:color w:val="000000" w:themeColor="text1"/>
          <w:lang w:val="es-ES"/>
        </w:rPr>
      </w:pPr>
      <w:proofErr w:type="spellStart"/>
      <w:r w:rsidRPr="002F21D4">
        <w:rPr>
          <w:rFonts w:ascii="Times New Roman" w:hAnsi="Times New Roman" w:cs="Times New Roman"/>
          <w:i/>
          <w:iCs/>
          <w:color w:val="000000" w:themeColor="text1"/>
          <w:lang w:val="es-ES"/>
        </w:rPr>
        <w:t>10.1</w:t>
      </w:r>
      <w:r w:rsidR="004C0897" w:rsidRPr="002F21D4">
        <w:rPr>
          <w:rFonts w:ascii="Times New Roman" w:hAnsi="Times New Roman" w:cs="Times New Roman"/>
          <w:i/>
          <w:iCs/>
          <w:color w:val="000000" w:themeColor="text1"/>
          <w:lang w:val="es-ES"/>
        </w:rPr>
        <w:t>5</w:t>
      </w:r>
      <w:r w:rsidRPr="002F21D4">
        <w:rPr>
          <w:rFonts w:ascii="Times New Roman" w:hAnsi="Times New Roman" w:cs="Times New Roman"/>
          <w:i/>
          <w:iCs/>
          <w:color w:val="000000" w:themeColor="text1"/>
          <w:lang w:val="es-ES"/>
        </w:rPr>
        <w:t>.2.</w:t>
      </w:r>
      <w:r w:rsidR="00297BCC" w:rsidRPr="002F21D4">
        <w:rPr>
          <w:rFonts w:ascii="Times New Roman" w:hAnsi="Times New Roman" w:cs="Times New Roman"/>
          <w:color w:val="000000" w:themeColor="text1"/>
          <w:lang w:val="es-ES"/>
        </w:rPr>
        <w:t>Intensificar</w:t>
      </w:r>
      <w:proofErr w:type="spellEnd"/>
      <w:r w:rsidR="00297BCC" w:rsidRPr="002F21D4">
        <w:rPr>
          <w:rFonts w:ascii="Times New Roman" w:hAnsi="Times New Roman" w:cs="Times New Roman"/>
          <w:color w:val="000000" w:themeColor="text1"/>
          <w:lang w:val="es-ES"/>
        </w:rPr>
        <w:t xml:space="preserve"> la investigación, judicialización y oportuna sanción de: i)homicidios contra servidores públicos y ciudadanía; </w:t>
      </w:r>
      <w:proofErr w:type="spellStart"/>
      <w:r w:rsidR="00297BCC" w:rsidRPr="002F21D4">
        <w:rPr>
          <w:rFonts w:ascii="Times New Roman" w:hAnsi="Times New Roman" w:cs="Times New Roman"/>
          <w:color w:val="000000" w:themeColor="text1"/>
          <w:lang w:val="es-ES"/>
        </w:rPr>
        <w:t>ii</w:t>
      </w:r>
      <w:proofErr w:type="spellEnd"/>
      <w:r w:rsidR="00297BCC" w:rsidRPr="002F21D4">
        <w:rPr>
          <w:rFonts w:ascii="Times New Roman" w:hAnsi="Times New Roman" w:cs="Times New Roman"/>
          <w:color w:val="000000" w:themeColor="text1"/>
          <w:lang w:val="es-ES"/>
        </w:rPr>
        <w:t xml:space="preserve">) casos de violencia sexual como los presentados en las ciudades de Popayán y Bogotá; </w:t>
      </w:r>
      <w:proofErr w:type="spellStart"/>
      <w:r w:rsidR="00297BCC" w:rsidRPr="002F21D4">
        <w:rPr>
          <w:rFonts w:ascii="Times New Roman" w:hAnsi="Times New Roman" w:cs="Times New Roman"/>
          <w:color w:val="000000" w:themeColor="text1"/>
          <w:lang w:val="es-ES"/>
        </w:rPr>
        <w:t>iii</w:t>
      </w:r>
      <w:proofErr w:type="spellEnd"/>
      <w:r w:rsidR="00297BCC" w:rsidRPr="002F21D4">
        <w:rPr>
          <w:rFonts w:ascii="Times New Roman" w:hAnsi="Times New Roman" w:cs="Times New Roman"/>
          <w:color w:val="000000" w:themeColor="text1"/>
          <w:lang w:val="es-ES"/>
        </w:rPr>
        <w:t xml:space="preserve">) agresiones por parte de civiles armados en contra de manifestantes e indígenas realizadas en el sur de la ciudad de Cali; </w:t>
      </w:r>
      <w:proofErr w:type="spellStart"/>
      <w:r w:rsidR="00297BCC" w:rsidRPr="002F21D4">
        <w:rPr>
          <w:rFonts w:ascii="Times New Roman" w:hAnsi="Times New Roman" w:cs="Times New Roman"/>
          <w:color w:val="000000" w:themeColor="text1"/>
          <w:lang w:val="es-ES"/>
        </w:rPr>
        <w:t>iv</w:t>
      </w:r>
      <w:proofErr w:type="spellEnd"/>
      <w:r w:rsidR="00297BCC" w:rsidRPr="002F21D4">
        <w:rPr>
          <w:rFonts w:ascii="Times New Roman" w:hAnsi="Times New Roman" w:cs="Times New Roman"/>
          <w:color w:val="000000" w:themeColor="text1"/>
          <w:lang w:val="es-ES"/>
        </w:rPr>
        <w:t xml:space="preserve">) amenazas en contra de 30 liderazgos sociales, vocerías del paro y funcionarios y funcionarias públicas; v) ataques violentos contra Comisiones Humanitarias; vi) los culpables de la retención y agresión que sufrieron 8 </w:t>
      </w:r>
      <w:r w:rsidR="008B7030" w:rsidRPr="002F21D4">
        <w:rPr>
          <w:rFonts w:ascii="Times New Roman" w:hAnsi="Times New Roman" w:cs="Times New Roman"/>
          <w:color w:val="000000" w:themeColor="text1"/>
          <w:lang w:val="es-ES"/>
        </w:rPr>
        <w:t xml:space="preserve">integrantes </w:t>
      </w:r>
      <w:r w:rsidR="00297BCC" w:rsidRPr="002F21D4">
        <w:rPr>
          <w:rFonts w:ascii="Times New Roman" w:hAnsi="Times New Roman" w:cs="Times New Roman"/>
          <w:color w:val="000000" w:themeColor="text1"/>
          <w:lang w:val="es-ES"/>
        </w:rPr>
        <w:t xml:space="preserve">de la Policía Nacional en Palmira; </w:t>
      </w:r>
      <w:proofErr w:type="spellStart"/>
      <w:r w:rsidR="00297BCC" w:rsidRPr="002F21D4">
        <w:rPr>
          <w:rFonts w:ascii="Times New Roman" w:hAnsi="Times New Roman" w:cs="Times New Roman"/>
          <w:color w:val="000000" w:themeColor="text1"/>
          <w:lang w:val="es-ES"/>
        </w:rPr>
        <w:t>vii</w:t>
      </w:r>
      <w:proofErr w:type="spellEnd"/>
      <w:r w:rsidR="00297BCC" w:rsidRPr="002F21D4">
        <w:rPr>
          <w:rFonts w:ascii="Times New Roman" w:hAnsi="Times New Roman" w:cs="Times New Roman"/>
          <w:color w:val="000000" w:themeColor="text1"/>
          <w:lang w:val="es-ES"/>
        </w:rPr>
        <w:t>)</w:t>
      </w:r>
      <w:r w:rsidR="0078159F" w:rsidRPr="002F21D4">
        <w:rPr>
          <w:rFonts w:ascii="Times New Roman" w:hAnsi="Times New Roman" w:cs="Times New Roman"/>
          <w:color w:val="000000" w:themeColor="text1"/>
          <w:lang w:val="es-ES"/>
        </w:rPr>
        <w:t xml:space="preserve"> </w:t>
      </w:r>
      <w:r w:rsidR="00297BCC" w:rsidRPr="002F21D4">
        <w:rPr>
          <w:rFonts w:ascii="Times New Roman" w:hAnsi="Times New Roman" w:cs="Times New Roman"/>
          <w:color w:val="000000" w:themeColor="text1"/>
          <w:lang w:val="es-ES"/>
        </w:rPr>
        <w:t xml:space="preserve">destrucción del Palacio de Justicia de Tuluá; y, </w:t>
      </w:r>
      <w:proofErr w:type="spellStart"/>
      <w:r w:rsidR="00297BCC" w:rsidRPr="002F21D4">
        <w:rPr>
          <w:rFonts w:ascii="Times New Roman" w:hAnsi="Times New Roman" w:cs="Times New Roman"/>
          <w:color w:val="000000" w:themeColor="text1"/>
          <w:lang w:val="es-ES"/>
        </w:rPr>
        <w:t>viii</w:t>
      </w:r>
      <w:proofErr w:type="spellEnd"/>
      <w:r w:rsidR="00297BCC" w:rsidRPr="002F21D4">
        <w:rPr>
          <w:rFonts w:ascii="Times New Roman" w:hAnsi="Times New Roman" w:cs="Times New Roman"/>
          <w:color w:val="000000" w:themeColor="text1"/>
          <w:lang w:val="es-ES"/>
        </w:rPr>
        <w:t xml:space="preserve">) daños ocasionados a los comerciantes por los saqueos y la destrucción de sus negocios. </w:t>
      </w:r>
    </w:p>
    <w:p w14:paraId="548C5B38" w14:textId="77777777" w:rsidR="00013077" w:rsidRPr="002F21D4" w:rsidRDefault="00013077" w:rsidP="00B06FB8">
      <w:pPr>
        <w:pStyle w:val="ListParagraph"/>
        <w:autoSpaceDE w:val="0"/>
        <w:autoSpaceDN w:val="0"/>
        <w:adjustRightInd w:val="0"/>
        <w:snapToGrid w:val="0"/>
        <w:spacing w:after="0" w:line="240" w:lineRule="auto"/>
        <w:ind w:left="0"/>
        <w:contextualSpacing w:val="0"/>
        <w:jc w:val="both"/>
        <w:rPr>
          <w:rFonts w:ascii="Times New Roman" w:hAnsi="Times New Roman" w:cs="Times New Roman"/>
          <w:color w:val="000000" w:themeColor="text1"/>
          <w:lang w:val="es-ES"/>
        </w:rPr>
      </w:pPr>
    </w:p>
    <w:p w14:paraId="7D436C6D" w14:textId="1081B0E4" w:rsidR="00F35355" w:rsidRPr="002F21D4" w:rsidRDefault="00F35355" w:rsidP="00437B36">
      <w:pPr>
        <w:pStyle w:val="ListParagraph"/>
        <w:numPr>
          <w:ilvl w:val="1"/>
          <w:numId w:val="11"/>
        </w:numPr>
        <w:snapToGrid w:val="0"/>
        <w:spacing w:after="0" w:line="240" w:lineRule="auto"/>
        <w:ind w:left="1440" w:hanging="720"/>
        <w:contextualSpacing w:val="0"/>
        <w:jc w:val="both"/>
        <w:rPr>
          <w:rFonts w:ascii="Times New Roman" w:hAnsi="Times New Roman" w:cs="Times New Roman"/>
          <w:b/>
          <w:bCs/>
        </w:rPr>
      </w:pPr>
      <w:r w:rsidRPr="002F21D4">
        <w:rPr>
          <w:rFonts w:ascii="Times New Roman" w:hAnsi="Times New Roman" w:cs="Times New Roman"/>
          <w:b/>
          <w:bCs/>
        </w:rPr>
        <w:t xml:space="preserve">Al </w:t>
      </w:r>
      <w:r w:rsidRPr="00437B36">
        <w:rPr>
          <w:rFonts w:ascii="Times New Roman" w:hAnsi="Times New Roman" w:cs="Times New Roman"/>
          <w:b/>
          <w:color w:val="000000" w:themeColor="text1"/>
          <w:lang w:val="es-ES"/>
        </w:rPr>
        <w:t>Ministerio</w:t>
      </w:r>
      <w:r w:rsidRPr="002F21D4">
        <w:rPr>
          <w:rFonts w:ascii="Times New Roman" w:hAnsi="Times New Roman" w:cs="Times New Roman"/>
          <w:b/>
          <w:bCs/>
        </w:rPr>
        <w:t xml:space="preserve"> de Relaciones Exteriores</w:t>
      </w:r>
    </w:p>
    <w:p w14:paraId="3DAD6F08" w14:textId="77777777" w:rsidR="002E06D9" w:rsidRDefault="002E06D9" w:rsidP="00B06FB8">
      <w:pPr>
        <w:autoSpaceDE w:val="0"/>
        <w:autoSpaceDN w:val="0"/>
        <w:adjustRightInd w:val="0"/>
        <w:snapToGrid w:val="0"/>
        <w:jc w:val="both"/>
        <w:rPr>
          <w:rFonts w:eastAsiaTheme="minorHAnsi"/>
          <w:color w:val="000000" w:themeColor="text1"/>
          <w:sz w:val="22"/>
          <w:szCs w:val="22"/>
          <w:lang w:val="es-ES" w:eastAsia="en-US"/>
        </w:rPr>
      </w:pPr>
    </w:p>
    <w:p w14:paraId="24E660F9" w14:textId="3EB5C73C" w:rsidR="00FE7B27" w:rsidRDefault="00F35355" w:rsidP="00B06FB8">
      <w:pPr>
        <w:autoSpaceDE w:val="0"/>
        <w:autoSpaceDN w:val="0"/>
        <w:adjustRightInd w:val="0"/>
        <w:snapToGrid w:val="0"/>
        <w:jc w:val="both"/>
        <w:rPr>
          <w:rFonts w:eastAsiaTheme="minorHAnsi"/>
          <w:color w:val="000000" w:themeColor="text1"/>
          <w:sz w:val="22"/>
          <w:szCs w:val="22"/>
          <w:lang w:val="es-ES" w:eastAsia="en-US"/>
        </w:rPr>
      </w:pPr>
      <w:r w:rsidRPr="002F21D4">
        <w:rPr>
          <w:rFonts w:eastAsiaTheme="minorHAnsi"/>
          <w:color w:val="000000" w:themeColor="text1"/>
          <w:sz w:val="22"/>
          <w:szCs w:val="22"/>
          <w:lang w:val="es-ES" w:eastAsia="en-US"/>
        </w:rPr>
        <w:t xml:space="preserve">Continuar el fortalecimiento y articulación de las </w:t>
      </w:r>
      <w:r w:rsidR="00F24CA3" w:rsidRPr="002F21D4">
        <w:rPr>
          <w:rFonts w:eastAsiaTheme="minorHAnsi"/>
          <w:color w:val="000000" w:themeColor="text1"/>
          <w:sz w:val="22"/>
          <w:szCs w:val="22"/>
          <w:lang w:val="es-ES" w:eastAsia="en-US"/>
        </w:rPr>
        <w:t>acciones</w:t>
      </w:r>
      <w:r w:rsidRPr="002F21D4">
        <w:rPr>
          <w:rFonts w:eastAsiaTheme="minorHAnsi"/>
          <w:color w:val="000000" w:themeColor="text1"/>
          <w:sz w:val="22"/>
          <w:szCs w:val="22"/>
          <w:lang w:val="es-ES" w:eastAsia="en-US"/>
        </w:rPr>
        <w:t xml:space="preserve"> dirigidas a la atención de población migrante</w:t>
      </w:r>
      <w:r w:rsidR="00F24CA3" w:rsidRPr="002F21D4">
        <w:rPr>
          <w:rFonts w:eastAsiaTheme="minorHAnsi"/>
          <w:color w:val="000000" w:themeColor="text1"/>
          <w:sz w:val="22"/>
          <w:szCs w:val="22"/>
          <w:lang w:val="es-ES" w:eastAsia="en-US"/>
        </w:rPr>
        <w:t>,</w:t>
      </w:r>
      <w:r w:rsidRPr="002F21D4">
        <w:rPr>
          <w:rFonts w:eastAsiaTheme="minorHAnsi"/>
          <w:color w:val="000000" w:themeColor="text1"/>
          <w:sz w:val="22"/>
          <w:szCs w:val="22"/>
          <w:lang w:val="es-ES" w:eastAsia="en-US"/>
        </w:rPr>
        <w:t xml:space="preserve"> </w:t>
      </w:r>
      <w:r w:rsidR="00CF072A" w:rsidRPr="002F21D4">
        <w:rPr>
          <w:rFonts w:eastAsiaTheme="minorHAnsi"/>
          <w:color w:val="000000" w:themeColor="text1"/>
          <w:sz w:val="22"/>
          <w:szCs w:val="22"/>
          <w:lang w:val="es-ES" w:eastAsia="en-US"/>
        </w:rPr>
        <w:t xml:space="preserve">especialmente a </w:t>
      </w:r>
      <w:r w:rsidR="00F24CA3" w:rsidRPr="002F21D4">
        <w:rPr>
          <w:rFonts w:eastAsiaTheme="minorHAnsi"/>
          <w:color w:val="000000" w:themeColor="text1"/>
          <w:sz w:val="22"/>
          <w:szCs w:val="22"/>
          <w:lang w:val="es-ES" w:eastAsia="en-US"/>
        </w:rPr>
        <w:t>mujeres, NNA y comunidades indígenas binacionales</w:t>
      </w:r>
      <w:r w:rsidR="004D740B" w:rsidRPr="002F21D4">
        <w:rPr>
          <w:rFonts w:eastAsiaTheme="minorHAnsi"/>
          <w:color w:val="000000" w:themeColor="text1"/>
          <w:sz w:val="22"/>
          <w:szCs w:val="22"/>
          <w:lang w:val="es-ES" w:eastAsia="en-US"/>
        </w:rPr>
        <w:t xml:space="preserve"> qui</w:t>
      </w:r>
      <w:r w:rsidR="00A64B93" w:rsidRPr="002F21D4">
        <w:rPr>
          <w:rFonts w:eastAsiaTheme="minorHAnsi"/>
          <w:color w:val="000000" w:themeColor="text1"/>
          <w:sz w:val="22"/>
          <w:szCs w:val="22"/>
          <w:lang w:val="es-ES" w:eastAsia="en-US"/>
        </w:rPr>
        <w:t>e</w:t>
      </w:r>
      <w:r w:rsidR="004D740B" w:rsidRPr="002F21D4">
        <w:rPr>
          <w:rFonts w:eastAsiaTheme="minorHAnsi"/>
          <w:color w:val="000000" w:themeColor="text1"/>
          <w:sz w:val="22"/>
          <w:szCs w:val="22"/>
          <w:lang w:val="es-ES" w:eastAsia="en-US"/>
        </w:rPr>
        <w:t xml:space="preserve">nes se encuentran </w:t>
      </w:r>
      <w:r w:rsidR="00F24CA3" w:rsidRPr="002F21D4">
        <w:rPr>
          <w:rFonts w:eastAsiaTheme="minorHAnsi"/>
          <w:color w:val="000000" w:themeColor="text1"/>
          <w:sz w:val="22"/>
          <w:szCs w:val="22"/>
          <w:lang w:val="es-ES" w:eastAsia="en-US"/>
        </w:rPr>
        <w:t xml:space="preserve">en </w:t>
      </w:r>
      <w:r w:rsidR="00CF072A" w:rsidRPr="002F21D4">
        <w:rPr>
          <w:rFonts w:eastAsiaTheme="minorHAnsi"/>
          <w:color w:val="000000" w:themeColor="text1"/>
          <w:sz w:val="22"/>
          <w:szCs w:val="22"/>
          <w:lang w:val="es-ES" w:eastAsia="en-US"/>
        </w:rPr>
        <w:t xml:space="preserve">estado de vulnerabilidad, </w:t>
      </w:r>
      <w:r w:rsidRPr="002F21D4">
        <w:rPr>
          <w:rFonts w:eastAsiaTheme="minorHAnsi"/>
          <w:color w:val="000000" w:themeColor="text1"/>
          <w:sz w:val="22"/>
          <w:szCs w:val="22"/>
          <w:lang w:val="es-ES" w:eastAsia="en-US"/>
        </w:rPr>
        <w:t xml:space="preserve">y </w:t>
      </w:r>
      <w:r w:rsidR="00CF072A" w:rsidRPr="002F21D4">
        <w:rPr>
          <w:rFonts w:eastAsiaTheme="minorHAnsi"/>
          <w:color w:val="000000" w:themeColor="text1"/>
          <w:sz w:val="22"/>
          <w:szCs w:val="22"/>
          <w:lang w:val="es-ES" w:eastAsia="en-US"/>
        </w:rPr>
        <w:t xml:space="preserve">propender por </w:t>
      </w:r>
      <w:r w:rsidRPr="002F21D4">
        <w:rPr>
          <w:rFonts w:eastAsiaTheme="minorHAnsi"/>
          <w:color w:val="000000" w:themeColor="text1"/>
          <w:sz w:val="22"/>
          <w:szCs w:val="22"/>
          <w:lang w:val="es-ES" w:eastAsia="en-US"/>
        </w:rPr>
        <w:t>su</w:t>
      </w:r>
      <w:r w:rsidR="00CF072A" w:rsidRPr="002F21D4">
        <w:rPr>
          <w:rFonts w:eastAsiaTheme="minorHAnsi"/>
          <w:color w:val="000000" w:themeColor="text1"/>
          <w:sz w:val="22"/>
          <w:szCs w:val="22"/>
          <w:lang w:val="es-ES" w:eastAsia="en-US"/>
        </w:rPr>
        <w:t xml:space="preserve"> integración económica y social.</w:t>
      </w:r>
      <w:r w:rsidRPr="002F21D4">
        <w:rPr>
          <w:rFonts w:eastAsiaTheme="minorHAnsi"/>
          <w:color w:val="000000" w:themeColor="text1"/>
          <w:sz w:val="22"/>
          <w:szCs w:val="22"/>
          <w:lang w:val="es-ES" w:eastAsia="en-US"/>
        </w:rPr>
        <w:t xml:space="preserve"> </w:t>
      </w:r>
      <w:r w:rsidR="004D740B" w:rsidRPr="002F21D4">
        <w:rPr>
          <w:rFonts w:eastAsiaTheme="minorHAnsi"/>
          <w:color w:val="000000" w:themeColor="text1"/>
          <w:sz w:val="22"/>
          <w:szCs w:val="22"/>
          <w:lang w:val="es-ES" w:eastAsia="en-US"/>
        </w:rPr>
        <w:t xml:space="preserve">Así mismo, mantener </w:t>
      </w:r>
      <w:r w:rsidR="00074989" w:rsidRPr="002F21D4">
        <w:rPr>
          <w:rFonts w:eastAsiaTheme="minorHAnsi"/>
          <w:color w:val="000000" w:themeColor="text1"/>
          <w:sz w:val="22"/>
          <w:szCs w:val="22"/>
          <w:lang w:val="es-ES" w:eastAsia="en-US"/>
        </w:rPr>
        <w:t xml:space="preserve">los </w:t>
      </w:r>
      <w:r w:rsidRPr="002F21D4">
        <w:rPr>
          <w:rFonts w:eastAsiaTheme="minorHAnsi"/>
          <w:color w:val="000000" w:themeColor="text1"/>
          <w:sz w:val="22"/>
          <w:szCs w:val="22"/>
          <w:lang w:val="es-ES" w:eastAsia="en-US"/>
        </w:rPr>
        <w:t>planes de contingencia con países vecinos</w:t>
      </w:r>
      <w:r w:rsidR="004D740B" w:rsidRPr="002F21D4">
        <w:rPr>
          <w:rFonts w:eastAsiaTheme="minorHAnsi"/>
          <w:color w:val="000000" w:themeColor="text1"/>
          <w:sz w:val="22"/>
          <w:szCs w:val="22"/>
          <w:lang w:val="es-ES" w:eastAsia="en-US"/>
        </w:rPr>
        <w:t xml:space="preserve"> y espacios de interlocución en la región </w:t>
      </w:r>
      <w:r w:rsidRPr="002F21D4">
        <w:rPr>
          <w:rFonts w:eastAsiaTheme="minorHAnsi"/>
          <w:color w:val="000000" w:themeColor="text1"/>
          <w:sz w:val="22"/>
          <w:szCs w:val="22"/>
          <w:lang w:val="es-ES" w:eastAsia="en-US"/>
        </w:rPr>
        <w:t>para atender crisis humanitarias</w:t>
      </w:r>
      <w:r w:rsidR="00074989" w:rsidRPr="002F21D4">
        <w:rPr>
          <w:rFonts w:eastAsiaTheme="minorHAnsi"/>
          <w:color w:val="000000" w:themeColor="text1"/>
          <w:sz w:val="22"/>
          <w:szCs w:val="22"/>
          <w:lang w:val="es-ES" w:eastAsia="en-US"/>
        </w:rPr>
        <w:t xml:space="preserve"> de migrantes.</w:t>
      </w:r>
      <w:r w:rsidR="0078159F" w:rsidRPr="002F21D4">
        <w:rPr>
          <w:rFonts w:eastAsiaTheme="minorHAnsi"/>
          <w:color w:val="000000" w:themeColor="text1"/>
          <w:sz w:val="22"/>
          <w:szCs w:val="22"/>
          <w:lang w:val="es-ES" w:eastAsia="en-US"/>
        </w:rPr>
        <w:t xml:space="preserve"> </w:t>
      </w:r>
    </w:p>
    <w:p w14:paraId="5EA91F56" w14:textId="19241E94" w:rsidR="00437B36" w:rsidRDefault="00437B36" w:rsidP="00B06FB8">
      <w:pPr>
        <w:autoSpaceDE w:val="0"/>
        <w:autoSpaceDN w:val="0"/>
        <w:adjustRightInd w:val="0"/>
        <w:snapToGrid w:val="0"/>
        <w:jc w:val="both"/>
        <w:rPr>
          <w:rFonts w:eastAsiaTheme="minorHAnsi"/>
          <w:color w:val="000000" w:themeColor="text1"/>
          <w:sz w:val="22"/>
          <w:szCs w:val="22"/>
          <w:lang w:val="es-ES" w:eastAsia="en-US"/>
        </w:rPr>
      </w:pPr>
    </w:p>
    <w:p w14:paraId="19B5E2AB" w14:textId="77777777" w:rsidR="00437B36" w:rsidRDefault="00437B36" w:rsidP="00B06FB8">
      <w:pPr>
        <w:autoSpaceDE w:val="0"/>
        <w:autoSpaceDN w:val="0"/>
        <w:adjustRightInd w:val="0"/>
        <w:snapToGrid w:val="0"/>
        <w:jc w:val="both"/>
        <w:rPr>
          <w:rFonts w:eastAsiaTheme="minorHAnsi"/>
          <w:color w:val="000000" w:themeColor="text1"/>
          <w:sz w:val="22"/>
          <w:szCs w:val="22"/>
          <w:lang w:val="es-ES" w:eastAsia="en-US"/>
        </w:rPr>
      </w:pPr>
    </w:p>
    <w:p w14:paraId="4CC963F7" w14:textId="77777777" w:rsidR="002E06D9" w:rsidRPr="002F21D4" w:rsidRDefault="002E06D9" w:rsidP="00B06FB8">
      <w:pPr>
        <w:autoSpaceDE w:val="0"/>
        <w:autoSpaceDN w:val="0"/>
        <w:adjustRightInd w:val="0"/>
        <w:snapToGrid w:val="0"/>
        <w:jc w:val="both"/>
        <w:rPr>
          <w:rFonts w:eastAsiaTheme="minorHAnsi"/>
          <w:color w:val="000000" w:themeColor="text1"/>
          <w:sz w:val="22"/>
          <w:szCs w:val="22"/>
          <w:lang w:val="es-ES" w:eastAsia="en-US"/>
        </w:rPr>
      </w:pPr>
    </w:p>
    <w:p w14:paraId="12AF8DFF" w14:textId="64581A75" w:rsidR="002B03BA" w:rsidRPr="002F21D4" w:rsidRDefault="002B03BA" w:rsidP="00437B36">
      <w:pPr>
        <w:pStyle w:val="ListParagraph"/>
        <w:numPr>
          <w:ilvl w:val="1"/>
          <w:numId w:val="11"/>
        </w:numPr>
        <w:snapToGrid w:val="0"/>
        <w:spacing w:after="0" w:line="240" w:lineRule="auto"/>
        <w:ind w:left="1440" w:hanging="720"/>
        <w:contextualSpacing w:val="0"/>
        <w:jc w:val="both"/>
        <w:rPr>
          <w:rFonts w:ascii="Times New Roman" w:hAnsi="Times New Roman" w:cs="Times New Roman"/>
          <w:b/>
          <w:color w:val="000000" w:themeColor="text1"/>
          <w:lang w:val="es-ES"/>
        </w:rPr>
      </w:pPr>
      <w:r w:rsidRPr="002F21D4">
        <w:rPr>
          <w:rFonts w:ascii="Times New Roman" w:hAnsi="Times New Roman" w:cs="Times New Roman"/>
          <w:b/>
          <w:color w:val="000000" w:themeColor="text1"/>
          <w:lang w:val="es-ES"/>
        </w:rPr>
        <w:lastRenderedPageBreak/>
        <w:t>A la Jurisdicción Especial para la Paz</w:t>
      </w:r>
      <w:r w:rsidR="002463CA" w:rsidRPr="002F21D4">
        <w:rPr>
          <w:rFonts w:ascii="Times New Roman" w:hAnsi="Times New Roman" w:cs="Times New Roman"/>
          <w:b/>
          <w:color w:val="000000" w:themeColor="text1"/>
          <w:lang w:val="es-ES"/>
        </w:rPr>
        <w:t xml:space="preserve"> (JEP)</w:t>
      </w:r>
    </w:p>
    <w:p w14:paraId="396BC964" w14:textId="77777777" w:rsidR="002E06D9" w:rsidRDefault="002E06D9" w:rsidP="00B06FB8">
      <w:pPr>
        <w:pStyle w:val="ListParagraph"/>
        <w:widowControl w:val="0"/>
        <w:shd w:val="clear" w:color="auto" w:fill="FFFFFF"/>
        <w:snapToGrid w:val="0"/>
        <w:spacing w:after="0" w:line="240" w:lineRule="auto"/>
        <w:ind w:left="0"/>
        <w:contextualSpacing w:val="0"/>
        <w:jc w:val="both"/>
        <w:rPr>
          <w:rFonts w:ascii="Times New Roman" w:hAnsi="Times New Roman" w:cs="Times New Roman"/>
          <w:i/>
          <w:iCs/>
          <w:color w:val="000000" w:themeColor="text1"/>
          <w:lang w:val="es-ES"/>
        </w:rPr>
      </w:pPr>
    </w:p>
    <w:p w14:paraId="73E724E8" w14:textId="13C7C493" w:rsidR="002B03BA" w:rsidRDefault="00D26EA0" w:rsidP="00B06FB8">
      <w:pPr>
        <w:pStyle w:val="ListParagraph"/>
        <w:widowControl w:val="0"/>
        <w:shd w:val="clear" w:color="auto" w:fill="FFFFFF"/>
        <w:snapToGrid w:val="0"/>
        <w:spacing w:after="0" w:line="240" w:lineRule="auto"/>
        <w:ind w:left="0"/>
        <w:contextualSpacing w:val="0"/>
        <w:jc w:val="both"/>
        <w:rPr>
          <w:rFonts w:ascii="Times New Roman" w:hAnsi="Times New Roman" w:cs="Times New Roman"/>
          <w:color w:val="000000" w:themeColor="text1"/>
          <w:lang w:val="es-ES"/>
        </w:rPr>
      </w:pPr>
      <w:r w:rsidRPr="002F21D4">
        <w:rPr>
          <w:rFonts w:ascii="Times New Roman" w:hAnsi="Times New Roman" w:cs="Times New Roman"/>
          <w:i/>
          <w:iCs/>
          <w:color w:val="000000" w:themeColor="text1"/>
          <w:lang w:val="es-ES"/>
        </w:rPr>
        <w:t>10.1</w:t>
      </w:r>
      <w:r w:rsidR="004C0897" w:rsidRPr="002F21D4">
        <w:rPr>
          <w:rFonts w:ascii="Times New Roman" w:hAnsi="Times New Roman" w:cs="Times New Roman"/>
          <w:i/>
          <w:iCs/>
          <w:color w:val="000000" w:themeColor="text1"/>
          <w:lang w:val="es-ES"/>
        </w:rPr>
        <w:t>7</w:t>
      </w:r>
      <w:r w:rsidRPr="002F21D4">
        <w:rPr>
          <w:rFonts w:ascii="Times New Roman" w:hAnsi="Times New Roman" w:cs="Times New Roman"/>
          <w:i/>
          <w:iCs/>
          <w:color w:val="000000" w:themeColor="text1"/>
          <w:lang w:val="es-ES"/>
        </w:rPr>
        <w:t>.</w:t>
      </w:r>
      <w:r w:rsidR="006D7B85" w:rsidRPr="002F21D4">
        <w:rPr>
          <w:rFonts w:ascii="Times New Roman" w:hAnsi="Times New Roman" w:cs="Times New Roman"/>
          <w:i/>
          <w:iCs/>
          <w:color w:val="000000" w:themeColor="text1"/>
          <w:lang w:val="es-ES"/>
        </w:rPr>
        <w:t>1.</w:t>
      </w:r>
      <w:r w:rsidR="006D7B85" w:rsidRPr="002F21D4">
        <w:rPr>
          <w:rFonts w:ascii="Times New Roman" w:hAnsi="Times New Roman" w:cs="Times New Roman"/>
          <w:color w:val="000000" w:themeColor="text1"/>
          <w:lang w:val="es-ES"/>
        </w:rPr>
        <w:t xml:space="preserve"> Consultar</w:t>
      </w:r>
      <w:r w:rsidR="002B03BA" w:rsidRPr="002F21D4">
        <w:rPr>
          <w:rFonts w:ascii="Times New Roman" w:hAnsi="Times New Roman" w:cs="Times New Roman"/>
          <w:color w:val="000000" w:themeColor="text1"/>
          <w:lang w:val="es-ES"/>
        </w:rPr>
        <w:t xml:space="preserve"> con instituciones, organizaciones de la sociedad civil, y otras agencias, la posibilidad de apoyar económica y técnicamente en el proceso de construcción y presentación de informes por parte de aquellas organizaciones que han tenido dificultades para hacerlo. Asimismo, garantizar su participación, teniendo en cuenta los riesgos existentes en territorios con alta influencia de </w:t>
      </w:r>
      <w:proofErr w:type="spellStart"/>
      <w:r w:rsidR="002B03BA" w:rsidRPr="002F21D4">
        <w:rPr>
          <w:rFonts w:ascii="Times New Roman" w:hAnsi="Times New Roman" w:cs="Times New Roman"/>
          <w:color w:val="000000" w:themeColor="text1"/>
          <w:lang w:val="es-ES"/>
        </w:rPr>
        <w:t>GAI</w:t>
      </w:r>
      <w:proofErr w:type="spellEnd"/>
      <w:r w:rsidR="002B03BA" w:rsidRPr="002F21D4">
        <w:rPr>
          <w:rFonts w:ascii="Times New Roman" w:hAnsi="Times New Roman" w:cs="Times New Roman"/>
          <w:color w:val="000000" w:themeColor="text1"/>
          <w:lang w:val="es-ES"/>
        </w:rPr>
        <w:t>.</w:t>
      </w:r>
    </w:p>
    <w:p w14:paraId="71CCF851" w14:textId="77777777" w:rsidR="00437B36" w:rsidRPr="002F21D4" w:rsidRDefault="00437B36" w:rsidP="00B06FB8">
      <w:pPr>
        <w:pStyle w:val="ListParagraph"/>
        <w:widowControl w:val="0"/>
        <w:shd w:val="clear" w:color="auto" w:fill="FFFFFF"/>
        <w:snapToGrid w:val="0"/>
        <w:spacing w:after="0" w:line="240" w:lineRule="auto"/>
        <w:ind w:left="0"/>
        <w:contextualSpacing w:val="0"/>
        <w:jc w:val="both"/>
        <w:rPr>
          <w:rFonts w:ascii="Times New Roman" w:eastAsia="Times New Roman" w:hAnsi="Times New Roman" w:cs="Times New Roman"/>
          <w:color w:val="000000"/>
          <w:shd w:val="clear" w:color="auto" w:fill="FFFFFF"/>
          <w:lang w:val="es-ES"/>
        </w:rPr>
      </w:pPr>
    </w:p>
    <w:p w14:paraId="057FDE1B" w14:textId="481DBF34" w:rsidR="002B03BA" w:rsidRDefault="00D26EA0" w:rsidP="00B06FB8">
      <w:pPr>
        <w:pStyle w:val="ListParagraph"/>
        <w:snapToGrid w:val="0"/>
        <w:spacing w:after="0" w:line="240" w:lineRule="auto"/>
        <w:ind w:left="0"/>
        <w:contextualSpacing w:val="0"/>
        <w:jc w:val="both"/>
        <w:rPr>
          <w:rFonts w:ascii="Times New Roman" w:hAnsi="Times New Roman" w:cs="Times New Roman"/>
          <w:color w:val="000000" w:themeColor="text1"/>
          <w:lang w:val="es-ES"/>
        </w:rPr>
      </w:pPr>
      <w:r w:rsidRPr="002F21D4">
        <w:rPr>
          <w:rFonts w:ascii="Times New Roman" w:hAnsi="Times New Roman" w:cs="Times New Roman"/>
          <w:i/>
          <w:iCs/>
          <w:color w:val="000000" w:themeColor="text1"/>
          <w:lang w:val="es-ES"/>
        </w:rPr>
        <w:t>10.1</w:t>
      </w:r>
      <w:r w:rsidR="004C0897" w:rsidRPr="002F21D4">
        <w:rPr>
          <w:rFonts w:ascii="Times New Roman" w:hAnsi="Times New Roman" w:cs="Times New Roman"/>
          <w:i/>
          <w:iCs/>
          <w:color w:val="000000" w:themeColor="text1"/>
          <w:lang w:val="es-ES"/>
        </w:rPr>
        <w:t>7</w:t>
      </w:r>
      <w:r w:rsidRPr="002F21D4">
        <w:rPr>
          <w:rFonts w:ascii="Times New Roman" w:hAnsi="Times New Roman" w:cs="Times New Roman"/>
          <w:i/>
          <w:iCs/>
          <w:color w:val="000000" w:themeColor="text1"/>
          <w:lang w:val="es-ES"/>
        </w:rPr>
        <w:t>.2.</w:t>
      </w:r>
      <w:r w:rsidRPr="002F21D4">
        <w:rPr>
          <w:rFonts w:ascii="Times New Roman" w:hAnsi="Times New Roman" w:cs="Times New Roman"/>
          <w:color w:val="000000" w:themeColor="text1"/>
          <w:lang w:val="es-ES"/>
        </w:rPr>
        <w:t xml:space="preserve"> </w:t>
      </w:r>
      <w:r w:rsidR="002B03BA" w:rsidRPr="002F21D4">
        <w:rPr>
          <w:rFonts w:ascii="Times New Roman" w:hAnsi="Times New Roman" w:cs="Times New Roman"/>
          <w:color w:val="000000" w:themeColor="text1"/>
          <w:lang w:val="es-ES"/>
        </w:rPr>
        <w:t xml:space="preserve">A la Sala de Reconocimiento de la JEP, estudiar la posibilidad de dar apertura a un nuevo </w:t>
      </w:r>
      <w:proofErr w:type="spellStart"/>
      <w:r w:rsidR="002B03BA" w:rsidRPr="002F21D4">
        <w:rPr>
          <w:rFonts w:ascii="Times New Roman" w:hAnsi="Times New Roman" w:cs="Times New Roman"/>
          <w:color w:val="000000" w:themeColor="text1"/>
          <w:lang w:val="es-ES"/>
        </w:rPr>
        <w:t>macrocaso</w:t>
      </w:r>
      <w:proofErr w:type="spellEnd"/>
      <w:r w:rsidR="002B03BA" w:rsidRPr="002F21D4">
        <w:rPr>
          <w:rFonts w:ascii="Times New Roman" w:hAnsi="Times New Roman" w:cs="Times New Roman"/>
          <w:color w:val="000000" w:themeColor="text1"/>
          <w:lang w:val="es-ES"/>
        </w:rPr>
        <w:t xml:space="preserve"> enfocado específicamente en hechos de violencia sexual y de género, así como otro que indague sobre las vulneraciones a pueblos étnicos cometidos en el marco conflicto armado.</w:t>
      </w:r>
    </w:p>
    <w:p w14:paraId="383D03D6" w14:textId="77777777" w:rsidR="00437B36" w:rsidRPr="002F21D4" w:rsidRDefault="00437B36" w:rsidP="00B06FB8">
      <w:pPr>
        <w:pStyle w:val="ListParagraph"/>
        <w:snapToGrid w:val="0"/>
        <w:spacing w:after="0" w:line="240" w:lineRule="auto"/>
        <w:ind w:left="0"/>
        <w:contextualSpacing w:val="0"/>
        <w:jc w:val="both"/>
        <w:rPr>
          <w:rFonts w:ascii="Times New Roman" w:hAnsi="Times New Roman" w:cs="Times New Roman"/>
          <w:color w:val="000000" w:themeColor="text1"/>
          <w:lang w:val="es-ES"/>
        </w:rPr>
      </w:pPr>
    </w:p>
    <w:p w14:paraId="224332D6" w14:textId="76D3E89D" w:rsidR="00F35355" w:rsidRPr="002F21D4" w:rsidRDefault="00F35355" w:rsidP="00437B36">
      <w:pPr>
        <w:pStyle w:val="ListParagraph"/>
        <w:numPr>
          <w:ilvl w:val="1"/>
          <w:numId w:val="11"/>
        </w:numPr>
        <w:snapToGrid w:val="0"/>
        <w:spacing w:after="0" w:line="240" w:lineRule="auto"/>
        <w:ind w:left="1440" w:hanging="720"/>
        <w:contextualSpacing w:val="0"/>
        <w:jc w:val="both"/>
        <w:rPr>
          <w:rFonts w:ascii="Times New Roman" w:hAnsi="Times New Roman" w:cs="Times New Roman"/>
          <w:b/>
          <w:bCs/>
          <w:lang w:val="es-ES"/>
        </w:rPr>
      </w:pPr>
      <w:r w:rsidRPr="002F21D4">
        <w:rPr>
          <w:rFonts w:ascii="Times New Roman" w:hAnsi="Times New Roman" w:cs="Times New Roman"/>
          <w:b/>
          <w:bCs/>
          <w:lang w:val="es-ES"/>
        </w:rPr>
        <w:t xml:space="preserve">A la Unidad de Búsqueda de Personas dadas por Desaparecidas (UBPD) </w:t>
      </w:r>
    </w:p>
    <w:p w14:paraId="11AC2B63" w14:textId="77777777" w:rsidR="00437B36" w:rsidRDefault="00437B36" w:rsidP="00B06FB8">
      <w:pPr>
        <w:snapToGrid w:val="0"/>
        <w:jc w:val="both"/>
        <w:rPr>
          <w:rFonts w:eastAsia="Calibri"/>
          <w:color w:val="000000"/>
          <w:sz w:val="22"/>
          <w:szCs w:val="22"/>
          <w:lang w:val="es-ES_tradnl" w:eastAsia="es-CO"/>
        </w:rPr>
      </w:pPr>
    </w:p>
    <w:p w14:paraId="1C781C2E" w14:textId="77777777" w:rsidR="00437B36" w:rsidRDefault="00437B36" w:rsidP="00B06FB8">
      <w:pPr>
        <w:snapToGrid w:val="0"/>
        <w:jc w:val="both"/>
        <w:rPr>
          <w:rFonts w:eastAsia="Calibri"/>
          <w:color w:val="000000"/>
          <w:sz w:val="22"/>
          <w:szCs w:val="22"/>
          <w:lang w:val="es-ES_tradnl" w:eastAsia="es-CO"/>
        </w:rPr>
      </w:pPr>
    </w:p>
    <w:p w14:paraId="05A31D95" w14:textId="46DDD9FE" w:rsidR="0030466B" w:rsidRDefault="00F35355" w:rsidP="00B06FB8">
      <w:pPr>
        <w:snapToGrid w:val="0"/>
        <w:jc w:val="both"/>
        <w:rPr>
          <w:rFonts w:eastAsia="Calibri"/>
          <w:color w:val="000000"/>
          <w:sz w:val="22"/>
          <w:szCs w:val="22"/>
          <w:lang w:val="es-ES_tradnl" w:eastAsia="es-CO"/>
        </w:rPr>
      </w:pPr>
      <w:r w:rsidRPr="002F21D4">
        <w:rPr>
          <w:rFonts w:eastAsia="Calibri"/>
          <w:color w:val="000000"/>
          <w:sz w:val="22"/>
          <w:szCs w:val="22"/>
          <w:lang w:val="es-ES_tradnl" w:eastAsia="es-CO"/>
        </w:rPr>
        <w:t>Reforzar las estrategias de sensibilización</w:t>
      </w:r>
      <w:r w:rsidR="00753E9E" w:rsidRPr="002F21D4">
        <w:rPr>
          <w:rFonts w:eastAsia="Calibri"/>
          <w:color w:val="000000"/>
          <w:sz w:val="22"/>
          <w:szCs w:val="22"/>
          <w:lang w:val="es-ES_tradnl" w:eastAsia="es-CO"/>
        </w:rPr>
        <w:t>, especialmente con población excombatiente,</w:t>
      </w:r>
      <w:r w:rsidRPr="002F21D4">
        <w:rPr>
          <w:rFonts w:eastAsia="Calibri"/>
          <w:color w:val="000000"/>
          <w:sz w:val="22"/>
          <w:szCs w:val="22"/>
          <w:lang w:val="es-ES_tradnl" w:eastAsia="es-CO"/>
        </w:rPr>
        <w:t xml:space="preserve"> para </w:t>
      </w:r>
      <w:r w:rsidR="00753E9E" w:rsidRPr="002F21D4">
        <w:rPr>
          <w:rFonts w:eastAsia="Calibri"/>
          <w:color w:val="000000"/>
          <w:sz w:val="22"/>
          <w:szCs w:val="22"/>
          <w:lang w:val="es-ES_tradnl" w:eastAsia="es-CO"/>
        </w:rPr>
        <w:t xml:space="preserve">que se fortalezca su </w:t>
      </w:r>
      <w:r w:rsidRPr="002F21D4">
        <w:rPr>
          <w:rFonts w:eastAsia="Calibri"/>
          <w:color w:val="000000"/>
          <w:sz w:val="22"/>
          <w:szCs w:val="22"/>
          <w:lang w:val="es-ES_tradnl" w:eastAsia="es-CO"/>
        </w:rPr>
        <w:t>contribu</w:t>
      </w:r>
      <w:r w:rsidR="00753E9E" w:rsidRPr="002F21D4">
        <w:rPr>
          <w:rFonts w:eastAsia="Calibri"/>
          <w:color w:val="000000"/>
          <w:sz w:val="22"/>
          <w:szCs w:val="22"/>
          <w:lang w:val="es-ES_tradnl" w:eastAsia="es-CO"/>
        </w:rPr>
        <w:t>ción en la</w:t>
      </w:r>
      <w:r w:rsidRPr="002F21D4">
        <w:rPr>
          <w:rFonts w:eastAsia="Calibri"/>
          <w:color w:val="000000"/>
          <w:sz w:val="22"/>
          <w:szCs w:val="22"/>
          <w:lang w:val="es-ES_tradnl" w:eastAsia="es-CO"/>
        </w:rPr>
        <w:t xml:space="preserve"> localización de personas dadas por desaparecidas. </w:t>
      </w:r>
    </w:p>
    <w:p w14:paraId="4800B17A" w14:textId="77777777" w:rsidR="00437B36" w:rsidRPr="002F21D4" w:rsidRDefault="00437B36" w:rsidP="00B06FB8">
      <w:pPr>
        <w:snapToGrid w:val="0"/>
        <w:jc w:val="both"/>
        <w:rPr>
          <w:rFonts w:eastAsia="Calibri"/>
          <w:color w:val="000000"/>
          <w:sz w:val="22"/>
          <w:szCs w:val="22"/>
          <w:lang w:val="es-ES_tradnl" w:eastAsia="es-CO"/>
        </w:rPr>
      </w:pPr>
    </w:p>
    <w:p w14:paraId="758FCBF9" w14:textId="38D435E3" w:rsidR="00F35355" w:rsidRPr="002F21D4" w:rsidRDefault="00F35355" w:rsidP="00437B36">
      <w:pPr>
        <w:pStyle w:val="ListParagraph"/>
        <w:numPr>
          <w:ilvl w:val="1"/>
          <w:numId w:val="11"/>
        </w:numPr>
        <w:snapToGrid w:val="0"/>
        <w:spacing w:after="0" w:line="240" w:lineRule="auto"/>
        <w:ind w:left="1440" w:hanging="720"/>
        <w:contextualSpacing w:val="0"/>
        <w:jc w:val="both"/>
        <w:rPr>
          <w:rFonts w:ascii="Times New Roman" w:hAnsi="Times New Roman" w:cs="Times New Roman"/>
          <w:b/>
          <w:bCs/>
          <w:lang w:val="es-ES"/>
        </w:rPr>
      </w:pPr>
      <w:r w:rsidRPr="002F21D4">
        <w:rPr>
          <w:rFonts w:ascii="Times New Roman" w:hAnsi="Times New Roman" w:cs="Times New Roman"/>
          <w:b/>
          <w:bCs/>
          <w:lang w:val="es-ES"/>
        </w:rPr>
        <w:t xml:space="preserve">A la Comisión </w:t>
      </w:r>
      <w:r w:rsidR="00EF30F1" w:rsidRPr="002F21D4">
        <w:rPr>
          <w:rFonts w:ascii="Times New Roman" w:hAnsi="Times New Roman" w:cs="Times New Roman"/>
          <w:b/>
          <w:bCs/>
          <w:lang w:val="es-ES"/>
        </w:rPr>
        <w:t xml:space="preserve">para el </w:t>
      </w:r>
      <w:r w:rsidRPr="002F21D4">
        <w:rPr>
          <w:rFonts w:ascii="Times New Roman" w:hAnsi="Times New Roman" w:cs="Times New Roman"/>
          <w:b/>
          <w:bCs/>
          <w:lang w:val="es-ES"/>
        </w:rPr>
        <w:t xml:space="preserve">Esclarecimiento </w:t>
      </w:r>
      <w:r w:rsidR="00EF30F1" w:rsidRPr="002F21D4">
        <w:rPr>
          <w:rFonts w:ascii="Times New Roman" w:hAnsi="Times New Roman" w:cs="Times New Roman"/>
          <w:b/>
          <w:bCs/>
          <w:lang w:val="es-ES"/>
        </w:rPr>
        <w:t>de la</w:t>
      </w:r>
      <w:r w:rsidRPr="002F21D4">
        <w:rPr>
          <w:rFonts w:ascii="Times New Roman" w:hAnsi="Times New Roman" w:cs="Times New Roman"/>
          <w:b/>
          <w:bCs/>
          <w:lang w:val="es-ES"/>
        </w:rPr>
        <w:t xml:space="preserve"> Verdad</w:t>
      </w:r>
      <w:r w:rsidR="00EF30F1" w:rsidRPr="002F21D4">
        <w:rPr>
          <w:rFonts w:ascii="Times New Roman" w:hAnsi="Times New Roman" w:cs="Times New Roman"/>
          <w:b/>
          <w:bCs/>
          <w:lang w:val="es-ES"/>
        </w:rPr>
        <w:t>, la Convivencia y la No Repetición</w:t>
      </w:r>
    </w:p>
    <w:p w14:paraId="2D16BB8B" w14:textId="77777777" w:rsidR="00437B36" w:rsidRDefault="00437B36" w:rsidP="00B06FB8">
      <w:pPr>
        <w:pStyle w:val="ListParagraph"/>
        <w:snapToGrid w:val="0"/>
        <w:spacing w:after="0" w:line="240" w:lineRule="auto"/>
        <w:ind w:left="0"/>
        <w:contextualSpacing w:val="0"/>
        <w:jc w:val="both"/>
        <w:rPr>
          <w:rFonts w:ascii="Times New Roman" w:hAnsi="Times New Roman" w:cs="Times New Roman"/>
          <w:i/>
          <w:iCs/>
          <w:lang w:val="es-ES"/>
        </w:rPr>
      </w:pPr>
    </w:p>
    <w:p w14:paraId="2F0A0E46" w14:textId="5DA564BE" w:rsidR="008E778D" w:rsidRPr="002F21D4" w:rsidRDefault="00D26EA0" w:rsidP="00B06FB8">
      <w:pPr>
        <w:pStyle w:val="ListParagraph"/>
        <w:snapToGrid w:val="0"/>
        <w:spacing w:after="0" w:line="240" w:lineRule="auto"/>
        <w:ind w:left="0"/>
        <w:contextualSpacing w:val="0"/>
        <w:jc w:val="both"/>
        <w:rPr>
          <w:rFonts w:ascii="Times New Roman" w:hAnsi="Times New Roman" w:cs="Times New Roman"/>
          <w:lang w:val="es-ES"/>
        </w:rPr>
      </w:pPr>
      <w:r w:rsidRPr="002F21D4">
        <w:rPr>
          <w:rFonts w:ascii="Times New Roman" w:hAnsi="Times New Roman" w:cs="Times New Roman"/>
          <w:i/>
          <w:iCs/>
          <w:lang w:val="es-ES"/>
        </w:rPr>
        <w:t>10.</w:t>
      </w:r>
      <w:r w:rsidR="004C0897" w:rsidRPr="002F21D4">
        <w:rPr>
          <w:rFonts w:ascii="Times New Roman" w:hAnsi="Times New Roman" w:cs="Times New Roman"/>
          <w:i/>
          <w:iCs/>
          <w:lang w:val="es-ES"/>
        </w:rPr>
        <w:t>19</w:t>
      </w:r>
      <w:r w:rsidRPr="002F21D4">
        <w:rPr>
          <w:rFonts w:ascii="Times New Roman" w:hAnsi="Times New Roman" w:cs="Times New Roman"/>
          <w:i/>
          <w:iCs/>
          <w:lang w:val="es-ES"/>
        </w:rPr>
        <w:t>.</w:t>
      </w:r>
      <w:r w:rsidR="006D7B85" w:rsidRPr="002F21D4">
        <w:rPr>
          <w:rFonts w:ascii="Times New Roman" w:hAnsi="Times New Roman" w:cs="Times New Roman"/>
          <w:i/>
          <w:iCs/>
          <w:lang w:val="es-ES"/>
        </w:rPr>
        <w:t>1.</w:t>
      </w:r>
      <w:r w:rsidR="006D7B85" w:rsidRPr="002F21D4">
        <w:rPr>
          <w:rFonts w:ascii="Times New Roman" w:hAnsi="Times New Roman" w:cs="Times New Roman"/>
          <w:lang w:val="es-ES"/>
        </w:rPr>
        <w:t xml:space="preserve"> Realizar</w:t>
      </w:r>
      <w:r w:rsidR="0030466B" w:rsidRPr="002F21D4">
        <w:rPr>
          <w:rFonts w:ascii="Times New Roman" w:hAnsi="Times New Roman" w:cs="Times New Roman"/>
          <w:lang w:val="es-ES"/>
        </w:rPr>
        <w:t xml:space="preserve"> un trabajo previo con la red de aliados</w:t>
      </w:r>
      <w:r w:rsidR="00D3761F" w:rsidRPr="002F21D4">
        <w:rPr>
          <w:rStyle w:val="FootnoteReference"/>
          <w:rFonts w:ascii="Times New Roman" w:hAnsi="Times New Roman" w:cs="Times New Roman"/>
          <w:lang w:val="es-ES"/>
        </w:rPr>
        <w:footnoteReference w:id="150"/>
      </w:r>
      <w:r w:rsidR="00D3761F" w:rsidRPr="002F21D4">
        <w:rPr>
          <w:rFonts w:ascii="Times New Roman" w:hAnsi="Times New Roman" w:cs="Times New Roman"/>
          <w:lang w:val="es-ES"/>
        </w:rPr>
        <w:t xml:space="preserve"> y las Mesas de Participación Efectiva de Víctimas</w:t>
      </w:r>
      <w:r w:rsidR="0030466B" w:rsidRPr="002F21D4">
        <w:rPr>
          <w:rFonts w:ascii="Times New Roman" w:hAnsi="Times New Roman" w:cs="Times New Roman"/>
          <w:lang w:val="es-ES"/>
        </w:rPr>
        <w:t xml:space="preserve"> para dar a conocer el</w:t>
      </w:r>
      <w:r w:rsidR="00943E7F" w:rsidRPr="002F21D4">
        <w:rPr>
          <w:rFonts w:ascii="Times New Roman" w:hAnsi="Times New Roman" w:cs="Times New Roman"/>
          <w:lang w:val="es-ES"/>
        </w:rPr>
        <w:t xml:space="preserve"> objetivo, contenido y alcance del Informe Final con el fin de considerar su uso en espacios estratégicos y sirva como guía y herramienta </w:t>
      </w:r>
      <w:r w:rsidR="00120325" w:rsidRPr="002F21D4">
        <w:rPr>
          <w:rFonts w:ascii="Times New Roman" w:hAnsi="Times New Roman" w:cs="Times New Roman"/>
          <w:lang w:val="es-ES"/>
        </w:rPr>
        <w:t>para</w:t>
      </w:r>
      <w:r w:rsidR="00943E7F" w:rsidRPr="002F21D4">
        <w:rPr>
          <w:rFonts w:ascii="Times New Roman" w:hAnsi="Times New Roman" w:cs="Times New Roman"/>
          <w:lang w:val="es-ES"/>
        </w:rPr>
        <w:t xml:space="preserve"> la no repetición.</w:t>
      </w:r>
    </w:p>
    <w:p w14:paraId="299BE338" w14:textId="77777777" w:rsidR="00437B36" w:rsidRDefault="00437B36" w:rsidP="00B06FB8">
      <w:pPr>
        <w:pStyle w:val="ListParagraph"/>
        <w:snapToGrid w:val="0"/>
        <w:spacing w:after="0" w:line="240" w:lineRule="auto"/>
        <w:ind w:left="0"/>
        <w:contextualSpacing w:val="0"/>
        <w:jc w:val="both"/>
        <w:rPr>
          <w:rFonts w:ascii="Times New Roman" w:hAnsi="Times New Roman" w:cs="Times New Roman"/>
          <w:i/>
          <w:iCs/>
          <w:lang w:val="es-ES"/>
        </w:rPr>
      </w:pPr>
    </w:p>
    <w:p w14:paraId="3E608B04" w14:textId="5C259A43" w:rsidR="002463CA" w:rsidRPr="002F21D4" w:rsidRDefault="00D26EA0" w:rsidP="00B06FB8">
      <w:pPr>
        <w:pStyle w:val="ListParagraph"/>
        <w:snapToGrid w:val="0"/>
        <w:spacing w:after="0" w:line="240" w:lineRule="auto"/>
        <w:ind w:left="0"/>
        <w:contextualSpacing w:val="0"/>
        <w:jc w:val="both"/>
        <w:rPr>
          <w:rFonts w:ascii="Times New Roman" w:hAnsi="Times New Roman" w:cs="Times New Roman"/>
          <w:lang w:val="es-ES"/>
        </w:rPr>
      </w:pPr>
      <w:r w:rsidRPr="002F21D4">
        <w:rPr>
          <w:rFonts w:ascii="Times New Roman" w:hAnsi="Times New Roman" w:cs="Times New Roman"/>
          <w:i/>
          <w:iCs/>
          <w:lang w:val="es-ES"/>
        </w:rPr>
        <w:t>10.</w:t>
      </w:r>
      <w:r w:rsidR="004C0897" w:rsidRPr="002F21D4">
        <w:rPr>
          <w:rFonts w:ascii="Times New Roman" w:hAnsi="Times New Roman" w:cs="Times New Roman"/>
          <w:i/>
          <w:iCs/>
          <w:lang w:val="es-ES"/>
        </w:rPr>
        <w:t>19</w:t>
      </w:r>
      <w:r w:rsidRPr="002F21D4">
        <w:rPr>
          <w:rFonts w:ascii="Times New Roman" w:hAnsi="Times New Roman" w:cs="Times New Roman"/>
          <w:i/>
          <w:iCs/>
          <w:lang w:val="es-ES"/>
        </w:rPr>
        <w:t>.</w:t>
      </w:r>
      <w:r w:rsidR="006D7B85" w:rsidRPr="002F21D4">
        <w:rPr>
          <w:rFonts w:ascii="Times New Roman" w:hAnsi="Times New Roman" w:cs="Times New Roman"/>
          <w:i/>
          <w:iCs/>
          <w:lang w:val="es-ES"/>
        </w:rPr>
        <w:t>2.</w:t>
      </w:r>
      <w:r w:rsidR="006D7B85" w:rsidRPr="002F21D4">
        <w:rPr>
          <w:rFonts w:ascii="Times New Roman" w:hAnsi="Times New Roman" w:cs="Times New Roman"/>
          <w:lang w:val="es-ES"/>
        </w:rPr>
        <w:t xml:space="preserve"> Llevar</w:t>
      </w:r>
      <w:r w:rsidR="008E778D" w:rsidRPr="002F21D4">
        <w:rPr>
          <w:rFonts w:ascii="Times New Roman" w:hAnsi="Times New Roman" w:cs="Times New Roman"/>
          <w:lang w:val="es-ES"/>
        </w:rPr>
        <w:t xml:space="preserve"> a cabo acciones que </w:t>
      </w:r>
      <w:r w:rsidR="007C757B" w:rsidRPr="002F21D4">
        <w:rPr>
          <w:rFonts w:ascii="Times New Roman" w:hAnsi="Times New Roman" w:cs="Times New Roman"/>
          <w:lang w:val="es-ES"/>
        </w:rPr>
        <w:t>contribuyan a</w:t>
      </w:r>
      <w:r w:rsidR="008E778D" w:rsidRPr="002F21D4">
        <w:rPr>
          <w:rFonts w:ascii="Times New Roman" w:hAnsi="Times New Roman" w:cs="Times New Roman"/>
          <w:lang w:val="es-ES"/>
        </w:rPr>
        <w:t xml:space="preserve"> la apropiación del Informe Final y </w:t>
      </w:r>
      <w:r w:rsidR="000A5DEF" w:rsidRPr="002F21D4">
        <w:rPr>
          <w:rFonts w:ascii="Times New Roman" w:hAnsi="Times New Roman" w:cs="Times New Roman"/>
          <w:lang w:val="es-ES"/>
        </w:rPr>
        <w:t>su legado</w:t>
      </w:r>
      <w:r w:rsidR="008E778D" w:rsidRPr="002F21D4">
        <w:rPr>
          <w:rFonts w:ascii="Times New Roman" w:hAnsi="Times New Roman" w:cs="Times New Roman"/>
          <w:lang w:val="es-ES"/>
        </w:rPr>
        <w:t xml:space="preserve"> </w:t>
      </w:r>
      <w:r w:rsidR="005F11B8" w:rsidRPr="002F21D4">
        <w:rPr>
          <w:rFonts w:ascii="Times New Roman" w:hAnsi="Times New Roman" w:cs="Times New Roman"/>
          <w:lang w:val="es-ES"/>
        </w:rPr>
        <w:t xml:space="preserve">por parte de la UBPD y la JEP, </w:t>
      </w:r>
      <w:r w:rsidR="008E778D" w:rsidRPr="002F21D4">
        <w:rPr>
          <w:rFonts w:ascii="Times New Roman" w:hAnsi="Times New Roman" w:cs="Times New Roman"/>
          <w:lang w:val="es-ES"/>
        </w:rPr>
        <w:t xml:space="preserve">para el avance en la </w:t>
      </w:r>
      <w:r w:rsidR="007C757B" w:rsidRPr="002F21D4">
        <w:rPr>
          <w:rFonts w:ascii="Times New Roman" w:hAnsi="Times New Roman" w:cs="Times New Roman"/>
          <w:lang w:val="es-ES"/>
        </w:rPr>
        <w:t xml:space="preserve">garantía integral de los derechos de las víctimas. </w:t>
      </w:r>
    </w:p>
    <w:p w14:paraId="2A6AA5F3" w14:textId="586D24B5" w:rsidR="004C0897" w:rsidRPr="002F21D4" w:rsidRDefault="004C0897" w:rsidP="00B06FB8">
      <w:pPr>
        <w:pStyle w:val="ListParagraph"/>
        <w:snapToGrid w:val="0"/>
        <w:spacing w:after="0" w:line="240" w:lineRule="auto"/>
        <w:ind w:left="0"/>
        <w:contextualSpacing w:val="0"/>
        <w:jc w:val="both"/>
        <w:rPr>
          <w:rFonts w:ascii="Times New Roman" w:hAnsi="Times New Roman" w:cs="Times New Roman"/>
          <w:lang w:val="es-ES"/>
        </w:rPr>
      </w:pPr>
    </w:p>
    <w:p w14:paraId="6E260DE4" w14:textId="44EFD160" w:rsidR="004C0897" w:rsidRPr="002F21D4" w:rsidRDefault="004C0897" w:rsidP="00B06FB8">
      <w:pPr>
        <w:pStyle w:val="ListParagraph"/>
        <w:snapToGrid w:val="0"/>
        <w:spacing w:after="0" w:line="240" w:lineRule="auto"/>
        <w:ind w:left="0"/>
        <w:contextualSpacing w:val="0"/>
        <w:jc w:val="both"/>
        <w:rPr>
          <w:rFonts w:ascii="Times New Roman" w:hAnsi="Times New Roman" w:cs="Times New Roman"/>
          <w:lang w:val="es-ES"/>
        </w:rPr>
      </w:pPr>
    </w:p>
    <w:p w14:paraId="3F4018EE" w14:textId="19094020" w:rsidR="004C0897" w:rsidRPr="002F21D4" w:rsidRDefault="004C0897" w:rsidP="00B06FB8">
      <w:pPr>
        <w:pStyle w:val="ListParagraph"/>
        <w:snapToGrid w:val="0"/>
        <w:spacing w:after="0" w:line="240" w:lineRule="auto"/>
        <w:ind w:left="0"/>
        <w:contextualSpacing w:val="0"/>
        <w:jc w:val="both"/>
        <w:rPr>
          <w:rFonts w:ascii="Times New Roman" w:hAnsi="Times New Roman" w:cs="Times New Roman"/>
          <w:lang w:val="es-ES"/>
        </w:rPr>
      </w:pPr>
    </w:p>
    <w:p w14:paraId="12EDC10D" w14:textId="4613D6C1" w:rsidR="004C0897" w:rsidRPr="002F21D4" w:rsidRDefault="004C0897" w:rsidP="00B06FB8">
      <w:pPr>
        <w:pStyle w:val="ListParagraph"/>
        <w:snapToGrid w:val="0"/>
        <w:spacing w:after="0" w:line="240" w:lineRule="auto"/>
        <w:ind w:left="0"/>
        <w:contextualSpacing w:val="0"/>
        <w:jc w:val="both"/>
        <w:rPr>
          <w:rFonts w:ascii="Times New Roman" w:hAnsi="Times New Roman" w:cs="Times New Roman"/>
          <w:lang w:val="es-ES"/>
        </w:rPr>
      </w:pPr>
    </w:p>
    <w:p w14:paraId="02228B73" w14:textId="024C6C62" w:rsidR="004C0897" w:rsidRPr="002F21D4" w:rsidRDefault="004C0897" w:rsidP="00B06FB8">
      <w:pPr>
        <w:pStyle w:val="ListParagraph"/>
        <w:snapToGrid w:val="0"/>
        <w:spacing w:after="0" w:line="240" w:lineRule="auto"/>
        <w:ind w:left="0"/>
        <w:contextualSpacing w:val="0"/>
        <w:jc w:val="both"/>
        <w:rPr>
          <w:rFonts w:ascii="Times New Roman" w:hAnsi="Times New Roman" w:cs="Times New Roman"/>
          <w:lang w:val="es-ES"/>
        </w:rPr>
      </w:pPr>
    </w:p>
    <w:p w14:paraId="48E6A885" w14:textId="53DBDAA4" w:rsidR="004C0897" w:rsidRPr="002F21D4" w:rsidRDefault="004C0897" w:rsidP="00B06FB8">
      <w:pPr>
        <w:pStyle w:val="ListParagraph"/>
        <w:snapToGrid w:val="0"/>
        <w:spacing w:after="0" w:line="240" w:lineRule="auto"/>
        <w:ind w:left="0"/>
        <w:contextualSpacing w:val="0"/>
        <w:jc w:val="both"/>
        <w:rPr>
          <w:rFonts w:ascii="Times New Roman" w:hAnsi="Times New Roman" w:cs="Times New Roman"/>
          <w:lang w:val="es-ES"/>
        </w:rPr>
      </w:pPr>
    </w:p>
    <w:p w14:paraId="345FA018" w14:textId="538D7C61" w:rsidR="004C0897" w:rsidRPr="002F21D4" w:rsidRDefault="004C0897" w:rsidP="00B06FB8">
      <w:pPr>
        <w:pStyle w:val="ListParagraph"/>
        <w:snapToGrid w:val="0"/>
        <w:spacing w:after="0" w:line="240" w:lineRule="auto"/>
        <w:ind w:left="0"/>
        <w:contextualSpacing w:val="0"/>
        <w:jc w:val="both"/>
        <w:rPr>
          <w:rFonts w:ascii="Times New Roman" w:hAnsi="Times New Roman" w:cs="Times New Roman"/>
          <w:lang w:val="es-ES"/>
        </w:rPr>
      </w:pPr>
    </w:p>
    <w:p w14:paraId="75E96FE6" w14:textId="1776C285" w:rsidR="004C0897" w:rsidRPr="002F21D4" w:rsidRDefault="004C0897" w:rsidP="00B06FB8">
      <w:pPr>
        <w:pStyle w:val="ListParagraph"/>
        <w:snapToGrid w:val="0"/>
        <w:spacing w:after="0" w:line="240" w:lineRule="auto"/>
        <w:ind w:left="0"/>
        <w:contextualSpacing w:val="0"/>
        <w:jc w:val="both"/>
        <w:rPr>
          <w:rFonts w:ascii="Times New Roman" w:hAnsi="Times New Roman" w:cs="Times New Roman"/>
          <w:lang w:val="es-ES"/>
        </w:rPr>
      </w:pPr>
    </w:p>
    <w:p w14:paraId="42111473" w14:textId="244A5918" w:rsidR="004C0897" w:rsidRPr="002F21D4" w:rsidRDefault="004C0897" w:rsidP="00B06FB8">
      <w:pPr>
        <w:pStyle w:val="ListParagraph"/>
        <w:snapToGrid w:val="0"/>
        <w:spacing w:after="0" w:line="240" w:lineRule="auto"/>
        <w:ind w:left="0"/>
        <w:contextualSpacing w:val="0"/>
        <w:jc w:val="both"/>
        <w:rPr>
          <w:rFonts w:ascii="Times New Roman" w:hAnsi="Times New Roman" w:cs="Times New Roman"/>
          <w:lang w:val="es-ES"/>
        </w:rPr>
      </w:pPr>
    </w:p>
    <w:p w14:paraId="5348B4FA" w14:textId="2753AAB2" w:rsidR="004C0897" w:rsidRPr="002F21D4" w:rsidRDefault="004C0897" w:rsidP="00B06FB8">
      <w:pPr>
        <w:pStyle w:val="ListParagraph"/>
        <w:snapToGrid w:val="0"/>
        <w:spacing w:after="0" w:line="240" w:lineRule="auto"/>
        <w:ind w:left="0"/>
        <w:contextualSpacing w:val="0"/>
        <w:jc w:val="both"/>
        <w:rPr>
          <w:rFonts w:ascii="Times New Roman" w:hAnsi="Times New Roman" w:cs="Times New Roman"/>
          <w:lang w:val="es-ES"/>
        </w:rPr>
      </w:pPr>
    </w:p>
    <w:p w14:paraId="4FC83A44" w14:textId="4F70271B" w:rsidR="004C0897" w:rsidRPr="002F21D4" w:rsidRDefault="004C0897" w:rsidP="00B06FB8">
      <w:pPr>
        <w:pStyle w:val="ListParagraph"/>
        <w:snapToGrid w:val="0"/>
        <w:spacing w:after="0" w:line="240" w:lineRule="auto"/>
        <w:ind w:left="0"/>
        <w:contextualSpacing w:val="0"/>
        <w:jc w:val="both"/>
        <w:rPr>
          <w:rFonts w:ascii="Times New Roman" w:hAnsi="Times New Roman" w:cs="Times New Roman"/>
          <w:lang w:val="es-ES"/>
        </w:rPr>
      </w:pPr>
    </w:p>
    <w:p w14:paraId="1C991FEF" w14:textId="396AE798" w:rsidR="004C0897" w:rsidRPr="002F21D4" w:rsidRDefault="004C0897" w:rsidP="00B06FB8">
      <w:pPr>
        <w:pStyle w:val="ListParagraph"/>
        <w:snapToGrid w:val="0"/>
        <w:spacing w:after="0" w:line="240" w:lineRule="auto"/>
        <w:ind w:left="0"/>
        <w:contextualSpacing w:val="0"/>
        <w:jc w:val="both"/>
        <w:rPr>
          <w:rFonts w:ascii="Times New Roman" w:hAnsi="Times New Roman" w:cs="Times New Roman"/>
          <w:lang w:val="es-ES"/>
        </w:rPr>
      </w:pPr>
    </w:p>
    <w:p w14:paraId="55438EE7" w14:textId="1BCE2836" w:rsidR="004C0897" w:rsidRPr="002F21D4" w:rsidRDefault="004C0897" w:rsidP="00B06FB8">
      <w:pPr>
        <w:pStyle w:val="ListParagraph"/>
        <w:snapToGrid w:val="0"/>
        <w:spacing w:after="0" w:line="240" w:lineRule="auto"/>
        <w:ind w:left="0"/>
        <w:contextualSpacing w:val="0"/>
        <w:jc w:val="both"/>
        <w:rPr>
          <w:rFonts w:ascii="Times New Roman" w:hAnsi="Times New Roman" w:cs="Times New Roman"/>
          <w:lang w:val="es-ES"/>
        </w:rPr>
      </w:pPr>
    </w:p>
    <w:p w14:paraId="071652C3" w14:textId="778994A2" w:rsidR="004C0897" w:rsidRPr="002F21D4" w:rsidRDefault="004C0897" w:rsidP="00B06FB8">
      <w:pPr>
        <w:pStyle w:val="ListParagraph"/>
        <w:snapToGrid w:val="0"/>
        <w:spacing w:after="0" w:line="240" w:lineRule="auto"/>
        <w:ind w:left="0"/>
        <w:contextualSpacing w:val="0"/>
        <w:jc w:val="both"/>
        <w:rPr>
          <w:rFonts w:ascii="Times New Roman" w:hAnsi="Times New Roman" w:cs="Times New Roman"/>
          <w:lang w:val="es-ES"/>
        </w:rPr>
      </w:pPr>
    </w:p>
    <w:p w14:paraId="7417F77F" w14:textId="77777777" w:rsidR="00013077" w:rsidRPr="002F21D4" w:rsidRDefault="00013077" w:rsidP="00B06FB8">
      <w:pPr>
        <w:pStyle w:val="ListParagraph"/>
        <w:snapToGrid w:val="0"/>
        <w:spacing w:after="0" w:line="240" w:lineRule="auto"/>
        <w:ind w:left="0"/>
        <w:contextualSpacing w:val="0"/>
        <w:jc w:val="both"/>
        <w:rPr>
          <w:rFonts w:ascii="Times New Roman" w:hAnsi="Times New Roman" w:cs="Times New Roman"/>
          <w:lang w:val="es-ES"/>
        </w:rPr>
      </w:pPr>
    </w:p>
    <w:p w14:paraId="23ADE42B" w14:textId="77777777" w:rsidR="00437B36" w:rsidRDefault="00437B36" w:rsidP="00B06FB8">
      <w:pPr>
        <w:pStyle w:val="ListParagraph"/>
        <w:snapToGrid w:val="0"/>
        <w:spacing w:after="0" w:line="240" w:lineRule="auto"/>
        <w:ind w:left="0"/>
        <w:contextualSpacing w:val="0"/>
        <w:jc w:val="both"/>
        <w:rPr>
          <w:rFonts w:ascii="Times New Roman" w:hAnsi="Times New Roman" w:cs="Times New Roman"/>
          <w:b/>
          <w:bCs/>
          <w:lang w:val="es-ES"/>
        </w:rPr>
      </w:pPr>
    </w:p>
    <w:p w14:paraId="4C3C04C6" w14:textId="77777777" w:rsidR="00437B36" w:rsidRDefault="00437B36" w:rsidP="00B06FB8">
      <w:pPr>
        <w:pStyle w:val="ListParagraph"/>
        <w:snapToGrid w:val="0"/>
        <w:spacing w:after="0" w:line="240" w:lineRule="auto"/>
        <w:ind w:left="0"/>
        <w:contextualSpacing w:val="0"/>
        <w:jc w:val="both"/>
        <w:rPr>
          <w:rFonts w:ascii="Times New Roman" w:hAnsi="Times New Roman" w:cs="Times New Roman"/>
          <w:b/>
          <w:bCs/>
          <w:lang w:val="es-ES"/>
        </w:rPr>
      </w:pPr>
    </w:p>
    <w:p w14:paraId="72DA84CB" w14:textId="77777777" w:rsidR="00437B36" w:rsidRDefault="00437B36" w:rsidP="00B06FB8">
      <w:pPr>
        <w:pStyle w:val="ListParagraph"/>
        <w:snapToGrid w:val="0"/>
        <w:spacing w:after="0" w:line="240" w:lineRule="auto"/>
        <w:ind w:left="0"/>
        <w:contextualSpacing w:val="0"/>
        <w:jc w:val="both"/>
        <w:rPr>
          <w:rFonts w:ascii="Times New Roman" w:hAnsi="Times New Roman" w:cs="Times New Roman"/>
          <w:b/>
          <w:bCs/>
          <w:lang w:val="es-ES"/>
        </w:rPr>
      </w:pPr>
    </w:p>
    <w:p w14:paraId="689C55DB" w14:textId="3590109F" w:rsidR="006A2B83" w:rsidRPr="002F21D4" w:rsidRDefault="004E4EFB" w:rsidP="00B06FB8">
      <w:pPr>
        <w:pStyle w:val="ListParagraph"/>
        <w:snapToGrid w:val="0"/>
        <w:spacing w:after="0" w:line="240" w:lineRule="auto"/>
        <w:ind w:left="0"/>
        <w:contextualSpacing w:val="0"/>
        <w:jc w:val="both"/>
        <w:rPr>
          <w:rFonts w:ascii="Times New Roman" w:hAnsi="Times New Roman" w:cs="Times New Roman"/>
          <w:b/>
          <w:bCs/>
          <w:lang w:val="es-ES"/>
        </w:rPr>
      </w:pPr>
      <w:r w:rsidRPr="002F21D4">
        <w:rPr>
          <w:rFonts w:ascii="Times New Roman" w:hAnsi="Times New Roman" w:cs="Times New Roman"/>
          <w:b/>
          <w:bCs/>
          <w:lang w:val="es-ES"/>
        </w:rPr>
        <w:lastRenderedPageBreak/>
        <w:t xml:space="preserve">LISTADO DE SIGLAS Y </w:t>
      </w:r>
      <w:r w:rsidR="0040752D" w:rsidRPr="002F21D4">
        <w:rPr>
          <w:rFonts w:ascii="Times New Roman" w:hAnsi="Times New Roman" w:cs="Times New Roman"/>
          <w:b/>
          <w:bCs/>
          <w:lang w:val="es-ES"/>
        </w:rPr>
        <w:t xml:space="preserve">ACRÓNIMOS UTILIZADOS </w:t>
      </w:r>
      <w:r w:rsidRPr="002F21D4">
        <w:rPr>
          <w:rFonts w:ascii="Times New Roman" w:hAnsi="Times New Roman" w:cs="Times New Roman"/>
          <w:b/>
          <w:bCs/>
          <w:lang w:val="es-ES"/>
        </w:rPr>
        <w:t xml:space="preserve">EN EL INFORME </w:t>
      </w:r>
    </w:p>
    <w:p w14:paraId="5A675A77" w14:textId="77777777" w:rsidR="004E4EFB" w:rsidRPr="002F21D4" w:rsidRDefault="004E4EFB" w:rsidP="00B06FB8">
      <w:pPr>
        <w:shd w:val="clear" w:color="auto" w:fill="FFFFFF"/>
        <w:snapToGrid w:val="0"/>
        <w:jc w:val="both"/>
        <w:rPr>
          <w:color w:val="000000" w:themeColor="text1"/>
          <w:sz w:val="22"/>
          <w:szCs w:val="22"/>
          <w:lang w:val="es-ES"/>
        </w:rPr>
      </w:pPr>
      <w:r w:rsidRPr="002F21D4">
        <w:rPr>
          <w:color w:val="000000" w:themeColor="text1"/>
          <w:sz w:val="22"/>
          <w:szCs w:val="22"/>
          <w:lang w:val="es-ES"/>
        </w:rPr>
        <w:t>ACIN - Asociación de Cabildos Indígenas del Norte del Cauca</w:t>
      </w:r>
    </w:p>
    <w:p w14:paraId="4A067719" w14:textId="77777777" w:rsidR="004E4EFB" w:rsidRPr="002F21D4" w:rsidRDefault="004E4EFB" w:rsidP="00B06FB8">
      <w:pPr>
        <w:shd w:val="clear" w:color="auto" w:fill="FFFFFF"/>
        <w:snapToGrid w:val="0"/>
        <w:jc w:val="both"/>
        <w:rPr>
          <w:color w:val="000000" w:themeColor="text1"/>
          <w:sz w:val="22"/>
          <w:szCs w:val="22"/>
          <w:lang w:val="es-ES"/>
        </w:rPr>
      </w:pPr>
      <w:r w:rsidRPr="002F21D4">
        <w:rPr>
          <w:color w:val="000000" w:themeColor="text1"/>
          <w:sz w:val="22"/>
          <w:szCs w:val="22"/>
          <w:lang w:val="es-ES"/>
        </w:rPr>
        <w:t>AETCR - Antiguos Espacios Territoriales de Capacitación y Reincorporación</w:t>
      </w:r>
    </w:p>
    <w:p w14:paraId="7513DB30" w14:textId="77777777" w:rsidR="004E4EFB" w:rsidRPr="002F21D4" w:rsidRDefault="004E4EFB" w:rsidP="00B06FB8">
      <w:pPr>
        <w:shd w:val="clear" w:color="auto" w:fill="FFFFFF"/>
        <w:snapToGrid w:val="0"/>
        <w:jc w:val="both"/>
        <w:rPr>
          <w:color w:val="000000" w:themeColor="text1"/>
          <w:sz w:val="22"/>
          <w:szCs w:val="22"/>
          <w:lang w:val="es-ES"/>
        </w:rPr>
      </w:pPr>
      <w:proofErr w:type="spellStart"/>
      <w:r w:rsidRPr="002F21D4">
        <w:rPr>
          <w:color w:val="000000" w:themeColor="text1"/>
          <w:sz w:val="22"/>
          <w:szCs w:val="22"/>
          <w:lang w:val="es-ES"/>
        </w:rPr>
        <w:t>AGC</w:t>
      </w:r>
      <w:proofErr w:type="spellEnd"/>
      <w:r w:rsidRPr="002F21D4">
        <w:rPr>
          <w:color w:val="000000" w:themeColor="text1"/>
          <w:sz w:val="22"/>
          <w:szCs w:val="22"/>
          <w:lang w:val="es-ES"/>
        </w:rPr>
        <w:t xml:space="preserve"> – Autodefensas </w:t>
      </w:r>
      <w:proofErr w:type="spellStart"/>
      <w:r w:rsidRPr="002F21D4">
        <w:rPr>
          <w:color w:val="000000" w:themeColor="text1"/>
          <w:sz w:val="22"/>
          <w:szCs w:val="22"/>
          <w:lang w:val="es-ES"/>
        </w:rPr>
        <w:t>Gaitanistas</w:t>
      </w:r>
      <w:proofErr w:type="spellEnd"/>
      <w:r w:rsidRPr="002F21D4">
        <w:rPr>
          <w:color w:val="000000" w:themeColor="text1"/>
          <w:sz w:val="22"/>
          <w:szCs w:val="22"/>
          <w:lang w:val="es-ES"/>
        </w:rPr>
        <w:t xml:space="preserve"> de Colombia</w:t>
      </w:r>
    </w:p>
    <w:p w14:paraId="15CCA9DD" w14:textId="77777777" w:rsidR="004E4EFB" w:rsidRPr="002F21D4" w:rsidRDefault="004E4EFB" w:rsidP="00B06FB8">
      <w:pPr>
        <w:shd w:val="clear" w:color="auto" w:fill="FFFFFF"/>
        <w:snapToGrid w:val="0"/>
        <w:jc w:val="both"/>
        <w:rPr>
          <w:color w:val="000000" w:themeColor="text1"/>
          <w:sz w:val="22"/>
          <w:szCs w:val="22"/>
          <w:lang w:val="es-ES"/>
        </w:rPr>
      </w:pPr>
      <w:r w:rsidRPr="002F21D4">
        <w:rPr>
          <w:color w:val="000000" w:themeColor="text1"/>
          <w:sz w:val="22"/>
          <w:szCs w:val="22"/>
          <w:lang w:val="es-ES"/>
        </w:rPr>
        <w:t>AICMA - Acción Integral Contra Minas Antipersonal</w:t>
      </w:r>
    </w:p>
    <w:p w14:paraId="679D4CA3" w14:textId="77777777" w:rsidR="004E4EFB" w:rsidRPr="002F21D4" w:rsidRDefault="004E4EFB" w:rsidP="00B06FB8">
      <w:pPr>
        <w:shd w:val="clear" w:color="auto" w:fill="FFFFFF"/>
        <w:snapToGrid w:val="0"/>
        <w:jc w:val="both"/>
        <w:rPr>
          <w:color w:val="000000" w:themeColor="text1"/>
          <w:sz w:val="22"/>
          <w:szCs w:val="22"/>
          <w:lang w:val="es-ES"/>
        </w:rPr>
      </w:pPr>
      <w:r w:rsidRPr="002F21D4">
        <w:rPr>
          <w:color w:val="000000" w:themeColor="text1"/>
          <w:sz w:val="22"/>
          <w:szCs w:val="22"/>
          <w:lang w:val="es-ES"/>
        </w:rPr>
        <w:t>ART - Agencia de Renovación del Territorio</w:t>
      </w:r>
    </w:p>
    <w:p w14:paraId="189202C0" w14:textId="77777777" w:rsidR="004E4EFB" w:rsidRPr="002F21D4" w:rsidRDefault="004E4EFB" w:rsidP="00B06FB8">
      <w:pPr>
        <w:shd w:val="clear" w:color="auto" w:fill="FFFFFF"/>
        <w:snapToGrid w:val="0"/>
        <w:jc w:val="both"/>
        <w:rPr>
          <w:color w:val="000000" w:themeColor="text1"/>
          <w:sz w:val="22"/>
          <w:szCs w:val="22"/>
          <w:lang w:val="es-ES"/>
        </w:rPr>
      </w:pPr>
      <w:r w:rsidRPr="002F21D4">
        <w:rPr>
          <w:color w:val="000000" w:themeColor="text1"/>
          <w:sz w:val="22"/>
          <w:szCs w:val="22"/>
          <w:lang w:val="es-ES"/>
        </w:rPr>
        <w:t>CEDISCO - Centro de Diálogo Social y Convivencia de la Oficina del Alto Comisionado para la Paz</w:t>
      </w:r>
    </w:p>
    <w:p w14:paraId="34804B0E" w14:textId="77777777" w:rsidR="004E4EFB" w:rsidRPr="002F21D4" w:rsidRDefault="004E4EFB" w:rsidP="00B06FB8">
      <w:pPr>
        <w:shd w:val="clear" w:color="auto" w:fill="FFFFFF"/>
        <w:snapToGrid w:val="0"/>
        <w:jc w:val="both"/>
        <w:rPr>
          <w:color w:val="000000" w:themeColor="text1"/>
          <w:sz w:val="22"/>
          <w:szCs w:val="22"/>
          <w:lang w:val="es-ES"/>
        </w:rPr>
      </w:pPr>
      <w:r w:rsidRPr="002F21D4">
        <w:rPr>
          <w:color w:val="000000" w:themeColor="text1"/>
          <w:sz w:val="22"/>
          <w:szCs w:val="22"/>
          <w:lang w:val="es-ES"/>
        </w:rPr>
        <w:t>CEP – Cuerpo Élite Policial</w:t>
      </w:r>
    </w:p>
    <w:p w14:paraId="38CC209E" w14:textId="77777777" w:rsidR="004E4EFB" w:rsidRPr="002F21D4" w:rsidRDefault="004E4EFB" w:rsidP="00B06FB8">
      <w:pPr>
        <w:shd w:val="clear" w:color="auto" w:fill="FFFFFF"/>
        <w:snapToGrid w:val="0"/>
        <w:jc w:val="both"/>
        <w:rPr>
          <w:color w:val="000000" w:themeColor="text1"/>
          <w:sz w:val="22"/>
          <w:szCs w:val="22"/>
          <w:lang w:val="es-ES"/>
        </w:rPr>
      </w:pPr>
      <w:r w:rsidRPr="002F21D4">
        <w:rPr>
          <w:color w:val="000000" w:themeColor="text1"/>
          <w:sz w:val="22"/>
          <w:szCs w:val="22"/>
          <w:lang w:val="es-ES"/>
        </w:rPr>
        <w:t>CEV - Comisión para el Esclarecimiento de la Verdad, la Convivencia y la No repetición</w:t>
      </w:r>
    </w:p>
    <w:p w14:paraId="0A0C20A6" w14:textId="77777777" w:rsidR="004E4EFB" w:rsidRPr="002F21D4" w:rsidRDefault="004E4EFB" w:rsidP="00B06FB8">
      <w:pPr>
        <w:shd w:val="clear" w:color="auto" w:fill="FFFFFF"/>
        <w:snapToGrid w:val="0"/>
        <w:jc w:val="both"/>
        <w:rPr>
          <w:color w:val="000000" w:themeColor="text1"/>
          <w:sz w:val="22"/>
          <w:szCs w:val="22"/>
          <w:lang w:val="es-ES"/>
        </w:rPr>
      </w:pPr>
      <w:r w:rsidRPr="002F21D4">
        <w:rPr>
          <w:color w:val="000000" w:themeColor="text1"/>
          <w:sz w:val="22"/>
          <w:szCs w:val="22"/>
          <w:lang w:val="es-ES"/>
        </w:rPr>
        <w:t>CIDH - Comisión Interamericana de Derechos Humanos</w:t>
      </w:r>
    </w:p>
    <w:p w14:paraId="0E4D2C37" w14:textId="77777777" w:rsidR="004E4EFB" w:rsidRPr="002F21D4" w:rsidRDefault="004E4EFB" w:rsidP="00B06FB8">
      <w:pPr>
        <w:shd w:val="clear" w:color="auto" w:fill="FFFFFF"/>
        <w:snapToGrid w:val="0"/>
        <w:jc w:val="both"/>
        <w:rPr>
          <w:color w:val="000000" w:themeColor="text1"/>
          <w:sz w:val="22"/>
          <w:szCs w:val="22"/>
          <w:lang w:val="es-ES"/>
        </w:rPr>
      </w:pPr>
      <w:r w:rsidRPr="002F21D4">
        <w:rPr>
          <w:color w:val="000000" w:themeColor="text1"/>
          <w:sz w:val="22"/>
          <w:szCs w:val="22"/>
          <w:lang w:val="es-ES"/>
        </w:rPr>
        <w:t>CIPRAT - Comisión Interinstitucional para la Respuesta Rápida a las Alertas Tempranas</w:t>
      </w:r>
    </w:p>
    <w:p w14:paraId="41A5FE64" w14:textId="77777777" w:rsidR="004E4EFB" w:rsidRPr="002F21D4" w:rsidRDefault="004E4EFB" w:rsidP="00B06FB8">
      <w:pPr>
        <w:shd w:val="clear" w:color="auto" w:fill="FFFFFF"/>
        <w:snapToGrid w:val="0"/>
        <w:jc w:val="both"/>
        <w:rPr>
          <w:color w:val="000000" w:themeColor="text1"/>
          <w:sz w:val="22"/>
          <w:szCs w:val="22"/>
          <w:lang w:val="es-ES"/>
        </w:rPr>
      </w:pPr>
      <w:r w:rsidRPr="002F21D4">
        <w:rPr>
          <w:color w:val="000000" w:themeColor="text1"/>
          <w:sz w:val="22"/>
          <w:szCs w:val="22"/>
          <w:lang w:val="es-ES"/>
        </w:rPr>
        <w:t>CIPRUNNA - Comisión Intersectorial para la prevención del reclutamiento, el uso, la utilización y la violencia sexual contra niños, niñas y adolescentes</w:t>
      </w:r>
    </w:p>
    <w:p w14:paraId="181D15F3" w14:textId="77777777" w:rsidR="004E4EFB" w:rsidRPr="002F21D4" w:rsidRDefault="004E4EFB" w:rsidP="00B06FB8">
      <w:pPr>
        <w:shd w:val="clear" w:color="auto" w:fill="FFFFFF"/>
        <w:snapToGrid w:val="0"/>
        <w:jc w:val="both"/>
        <w:rPr>
          <w:color w:val="000000" w:themeColor="text1"/>
          <w:sz w:val="22"/>
          <w:szCs w:val="22"/>
          <w:lang w:val="es-ES"/>
        </w:rPr>
      </w:pPr>
      <w:r w:rsidRPr="002F21D4">
        <w:rPr>
          <w:color w:val="000000" w:themeColor="text1"/>
          <w:sz w:val="22"/>
          <w:szCs w:val="22"/>
          <w:lang w:val="es-ES"/>
        </w:rPr>
        <w:t>CNGS - Comisión Nacional de Garantías de Seguridad</w:t>
      </w:r>
    </w:p>
    <w:p w14:paraId="2EDFDA07" w14:textId="77777777" w:rsidR="004E4EFB" w:rsidRPr="002F21D4" w:rsidRDefault="004E4EFB" w:rsidP="00B06FB8">
      <w:pPr>
        <w:shd w:val="clear" w:color="auto" w:fill="FFFFFF"/>
        <w:snapToGrid w:val="0"/>
        <w:jc w:val="both"/>
        <w:rPr>
          <w:color w:val="000000" w:themeColor="text1"/>
          <w:sz w:val="22"/>
          <w:szCs w:val="22"/>
          <w:lang w:val="es-ES"/>
        </w:rPr>
      </w:pPr>
      <w:r w:rsidRPr="002F21D4">
        <w:rPr>
          <w:color w:val="000000" w:themeColor="text1"/>
          <w:sz w:val="22"/>
          <w:szCs w:val="22"/>
          <w:lang w:val="es-ES"/>
        </w:rPr>
        <w:t>CSIVI -Comisión de Seguimiento, Impulso y Verificación a la Implementación</w:t>
      </w:r>
    </w:p>
    <w:p w14:paraId="5CBC14B6" w14:textId="77777777" w:rsidR="004E4EFB" w:rsidRPr="002F21D4" w:rsidRDefault="004E4EFB" w:rsidP="00B06FB8">
      <w:pPr>
        <w:shd w:val="clear" w:color="auto" w:fill="FFFFFF"/>
        <w:snapToGrid w:val="0"/>
        <w:jc w:val="both"/>
        <w:rPr>
          <w:color w:val="000000" w:themeColor="text1"/>
          <w:sz w:val="22"/>
          <w:szCs w:val="22"/>
          <w:lang w:val="es-ES"/>
        </w:rPr>
      </w:pPr>
      <w:r w:rsidRPr="002F21D4">
        <w:rPr>
          <w:color w:val="000000" w:themeColor="text1"/>
          <w:sz w:val="22"/>
          <w:szCs w:val="22"/>
          <w:lang w:val="es-ES"/>
        </w:rPr>
        <w:t>DSCI - Dirección de Sustitución de Cultivos Ilícitos</w:t>
      </w:r>
    </w:p>
    <w:p w14:paraId="36735F9C" w14:textId="77777777" w:rsidR="004E4EFB" w:rsidRPr="002F21D4" w:rsidRDefault="004E4EFB" w:rsidP="00B06FB8">
      <w:pPr>
        <w:shd w:val="clear" w:color="auto" w:fill="FFFFFF"/>
        <w:snapToGrid w:val="0"/>
        <w:jc w:val="both"/>
        <w:rPr>
          <w:color w:val="000000" w:themeColor="text1"/>
          <w:sz w:val="22"/>
          <w:szCs w:val="22"/>
          <w:lang w:val="es-ES"/>
        </w:rPr>
      </w:pPr>
      <w:r w:rsidRPr="002F21D4">
        <w:rPr>
          <w:color w:val="000000" w:themeColor="text1"/>
          <w:sz w:val="22"/>
          <w:szCs w:val="22"/>
          <w:lang w:val="es-ES"/>
        </w:rPr>
        <w:t>ELN - Ejército de Liberación Nacional</w:t>
      </w:r>
    </w:p>
    <w:p w14:paraId="0327C72E" w14:textId="77777777" w:rsidR="004E4EFB" w:rsidRPr="002F21D4" w:rsidRDefault="004E4EFB" w:rsidP="00B06FB8">
      <w:pPr>
        <w:shd w:val="clear" w:color="auto" w:fill="FFFFFF"/>
        <w:snapToGrid w:val="0"/>
        <w:jc w:val="both"/>
        <w:rPr>
          <w:color w:val="000000" w:themeColor="text1"/>
          <w:sz w:val="22"/>
          <w:szCs w:val="22"/>
          <w:lang w:val="es-ES"/>
        </w:rPr>
      </w:pPr>
      <w:r w:rsidRPr="002F21D4">
        <w:rPr>
          <w:color w:val="000000" w:themeColor="text1"/>
          <w:sz w:val="22"/>
          <w:szCs w:val="22"/>
          <w:lang w:val="es-ES"/>
        </w:rPr>
        <w:t>EPL - Ejército Popular de Liberación</w:t>
      </w:r>
    </w:p>
    <w:p w14:paraId="2810EB95" w14:textId="77777777" w:rsidR="004E4EFB" w:rsidRPr="002F21D4" w:rsidRDefault="004E4EFB" w:rsidP="00B06FB8">
      <w:pPr>
        <w:shd w:val="clear" w:color="auto" w:fill="FFFFFF"/>
        <w:snapToGrid w:val="0"/>
        <w:jc w:val="both"/>
        <w:rPr>
          <w:color w:val="000000" w:themeColor="text1"/>
          <w:sz w:val="22"/>
          <w:szCs w:val="22"/>
          <w:lang w:val="es-ES"/>
        </w:rPr>
      </w:pPr>
      <w:r w:rsidRPr="002F21D4">
        <w:rPr>
          <w:color w:val="000000" w:themeColor="text1"/>
          <w:sz w:val="22"/>
          <w:szCs w:val="22"/>
          <w:lang w:val="es-ES"/>
        </w:rPr>
        <w:t>ERM - Educación en el Riesgo de Minas Antipersonal</w:t>
      </w:r>
    </w:p>
    <w:p w14:paraId="2C2A6BA1" w14:textId="77777777" w:rsidR="004E4EFB" w:rsidRPr="002F21D4" w:rsidRDefault="004E4EFB" w:rsidP="00B06FB8">
      <w:pPr>
        <w:shd w:val="clear" w:color="auto" w:fill="FFFFFF"/>
        <w:snapToGrid w:val="0"/>
        <w:jc w:val="both"/>
        <w:rPr>
          <w:color w:val="000000" w:themeColor="text1"/>
          <w:sz w:val="22"/>
          <w:szCs w:val="22"/>
          <w:lang w:val="es-ES"/>
        </w:rPr>
      </w:pPr>
      <w:r w:rsidRPr="002F21D4">
        <w:rPr>
          <w:color w:val="000000" w:themeColor="text1"/>
          <w:sz w:val="22"/>
          <w:szCs w:val="22"/>
          <w:lang w:val="es-ES"/>
        </w:rPr>
        <w:t>ETPMV - Estatuto Temporal de Protección para Migrantes Venezolanos</w:t>
      </w:r>
    </w:p>
    <w:p w14:paraId="726FC851" w14:textId="77777777" w:rsidR="004E4EFB" w:rsidRPr="002F21D4" w:rsidRDefault="004E4EFB" w:rsidP="00B06FB8">
      <w:pPr>
        <w:shd w:val="clear" w:color="auto" w:fill="FFFFFF"/>
        <w:snapToGrid w:val="0"/>
        <w:jc w:val="both"/>
        <w:rPr>
          <w:color w:val="000000" w:themeColor="text1"/>
          <w:sz w:val="22"/>
          <w:szCs w:val="22"/>
          <w:lang w:val="es-ES"/>
        </w:rPr>
      </w:pPr>
      <w:r w:rsidRPr="002F21D4">
        <w:rPr>
          <w:color w:val="000000" w:themeColor="text1"/>
          <w:sz w:val="22"/>
          <w:szCs w:val="22"/>
          <w:lang w:val="es-ES"/>
        </w:rPr>
        <w:t>FARC - Fuerzas Armadas Revolucionarias de Colombia</w:t>
      </w:r>
    </w:p>
    <w:p w14:paraId="4564BA8B" w14:textId="77777777" w:rsidR="004E4EFB" w:rsidRPr="002F21D4" w:rsidRDefault="004E4EFB" w:rsidP="00B06FB8">
      <w:pPr>
        <w:shd w:val="clear" w:color="auto" w:fill="FFFFFF"/>
        <w:snapToGrid w:val="0"/>
        <w:jc w:val="both"/>
        <w:rPr>
          <w:color w:val="000000" w:themeColor="text1"/>
          <w:sz w:val="22"/>
          <w:szCs w:val="22"/>
          <w:lang w:val="es-ES"/>
        </w:rPr>
      </w:pPr>
      <w:r w:rsidRPr="002F21D4">
        <w:rPr>
          <w:color w:val="000000" w:themeColor="text1"/>
          <w:sz w:val="22"/>
          <w:szCs w:val="22"/>
          <w:lang w:val="es-ES"/>
        </w:rPr>
        <w:t>FARC-EP - Fuerzas Armadas Revolucionarias de Colombia – Ejército del Pueblo</w:t>
      </w:r>
    </w:p>
    <w:p w14:paraId="44554EB9" w14:textId="77777777" w:rsidR="004E4EFB" w:rsidRPr="002F21D4" w:rsidRDefault="004E4EFB" w:rsidP="00B06FB8">
      <w:pPr>
        <w:shd w:val="clear" w:color="auto" w:fill="FFFFFF"/>
        <w:snapToGrid w:val="0"/>
        <w:jc w:val="both"/>
        <w:rPr>
          <w:color w:val="000000" w:themeColor="text1"/>
          <w:sz w:val="22"/>
          <w:szCs w:val="22"/>
          <w:lang w:val="es-ES"/>
        </w:rPr>
      </w:pPr>
      <w:r w:rsidRPr="002F21D4">
        <w:rPr>
          <w:color w:val="000000" w:themeColor="text1"/>
          <w:sz w:val="22"/>
          <w:szCs w:val="22"/>
          <w:lang w:val="es-ES"/>
        </w:rPr>
        <w:t>FGN - Fiscalía General de la Nación</w:t>
      </w:r>
    </w:p>
    <w:p w14:paraId="17B9DC16" w14:textId="77777777" w:rsidR="004E4EFB" w:rsidRPr="002F21D4" w:rsidRDefault="004E4EFB" w:rsidP="00B06FB8">
      <w:pPr>
        <w:shd w:val="clear" w:color="auto" w:fill="FFFFFF"/>
        <w:snapToGrid w:val="0"/>
        <w:jc w:val="both"/>
        <w:rPr>
          <w:color w:val="000000" w:themeColor="text1"/>
          <w:sz w:val="22"/>
          <w:szCs w:val="22"/>
          <w:lang w:val="pt-BR"/>
        </w:rPr>
      </w:pPr>
      <w:r w:rsidRPr="002F21D4">
        <w:rPr>
          <w:color w:val="000000" w:themeColor="text1"/>
          <w:sz w:val="22"/>
          <w:szCs w:val="22"/>
          <w:lang w:val="pt-BR"/>
        </w:rPr>
        <w:t>FOS - Frente Oliver Sinisterra</w:t>
      </w:r>
    </w:p>
    <w:p w14:paraId="6217418D" w14:textId="400BDEBC" w:rsidR="00735E35" w:rsidRPr="002F21D4" w:rsidRDefault="00735E35" w:rsidP="00B06FB8">
      <w:pPr>
        <w:shd w:val="clear" w:color="auto" w:fill="FFFFFF"/>
        <w:snapToGrid w:val="0"/>
        <w:jc w:val="both"/>
        <w:rPr>
          <w:color w:val="000000" w:themeColor="text1"/>
          <w:sz w:val="22"/>
          <w:szCs w:val="22"/>
          <w:lang w:val="pt-BR"/>
        </w:rPr>
      </w:pPr>
      <w:r w:rsidRPr="002F21D4">
        <w:rPr>
          <w:color w:val="000000" w:themeColor="text1"/>
          <w:sz w:val="22"/>
          <w:szCs w:val="22"/>
          <w:lang w:val="pt-BR"/>
        </w:rPr>
        <w:t xml:space="preserve">GAI – Grupos </w:t>
      </w:r>
      <w:r w:rsidR="0008142E" w:rsidRPr="002F21D4">
        <w:rPr>
          <w:color w:val="000000" w:themeColor="text1"/>
          <w:sz w:val="22"/>
          <w:szCs w:val="22"/>
          <w:lang w:val="pt-BR"/>
        </w:rPr>
        <w:t>Armados Ilegales</w:t>
      </w:r>
    </w:p>
    <w:p w14:paraId="503CF967" w14:textId="5DA6C66E" w:rsidR="004E4EFB" w:rsidRPr="002F21D4" w:rsidRDefault="004E4EFB" w:rsidP="00B06FB8">
      <w:pPr>
        <w:shd w:val="clear" w:color="auto" w:fill="FFFFFF"/>
        <w:snapToGrid w:val="0"/>
        <w:jc w:val="both"/>
        <w:rPr>
          <w:color w:val="000000" w:themeColor="text1"/>
          <w:sz w:val="22"/>
          <w:szCs w:val="22"/>
          <w:lang w:val="es-ES"/>
        </w:rPr>
      </w:pPr>
      <w:r w:rsidRPr="002F21D4">
        <w:rPr>
          <w:color w:val="000000" w:themeColor="text1"/>
          <w:sz w:val="22"/>
          <w:szCs w:val="22"/>
          <w:lang w:val="es-ES"/>
        </w:rPr>
        <w:t>GM – Grupos Motor</w:t>
      </w:r>
    </w:p>
    <w:p w14:paraId="4E38D436" w14:textId="77777777" w:rsidR="004E4EFB" w:rsidRPr="002F21D4" w:rsidRDefault="004E4EFB" w:rsidP="00B06FB8">
      <w:pPr>
        <w:shd w:val="clear" w:color="auto" w:fill="FFFFFF"/>
        <w:snapToGrid w:val="0"/>
        <w:jc w:val="both"/>
        <w:rPr>
          <w:color w:val="000000" w:themeColor="text1"/>
          <w:sz w:val="22"/>
          <w:szCs w:val="22"/>
          <w:lang w:val="es-ES"/>
        </w:rPr>
      </w:pPr>
      <w:r w:rsidRPr="002F21D4">
        <w:rPr>
          <w:color w:val="000000" w:themeColor="text1"/>
          <w:sz w:val="22"/>
          <w:szCs w:val="22"/>
          <w:lang w:val="es-ES"/>
        </w:rPr>
        <w:t>HRU – Hoja de Ruta Única</w:t>
      </w:r>
    </w:p>
    <w:p w14:paraId="7531F5C1" w14:textId="77777777" w:rsidR="004E4EFB" w:rsidRPr="002F21D4" w:rsidRDefault="004E4EFB" w:rsidP="00B06FB8">
      <w:pPr>
        <w:shd w:val="clear" w:color="auto" w:fill="FFFFFF"/>
        <w:snapToGrid w:val="0"/>
        <w:jc w:val="both"/>
        <w:rPr>
          <w:color w:val="000000" w:themeColor="text1"/>
          <w:sz w:val="22"/>
          <w:szCs w:val="22"/>
          <w:lang w:val="es-ES"/>
        </w:rPr>
      </w:pPr>
      <w:r w:rsidRPr="002F21D4">
        <w:rPr>
          <w:color w:val="000000" w:themeColor="text1"/>
          <w:sz w:val="22"/>
          <w:szCs w:val="22"/>
          <w:lang w:val="es-ES"/>
        </w:rPr>
        <w:t>ICBF - Instituto Colombiano de Bienestar Familiar</w:t>
      </w:r>
    </w:p>
    <w:p w14:paraId="18ADDAA9" w14:textId="77777777" w:rsidR="004E4EFB" w:rsidRPr="002F21D4" w:rsidRDefault="004E4EFB" w:rsidP="00B06FB8">
      <w:pPr>
        <w:shd w:val="clear" w:color="auto" w:fill="FFFFFF"/>
        <w:snapToGrid w:val="0"/>
        <w:jc w:val="both"/>
        <w:rPr>
          <w:color w:val="000000" w:themeColor="text1"/>
          <w:sz w:val="22"/>
          <w:szCs w:val="22"/>
          <w:lang w:val="es-ES"/>
        </w:rPr>
      </w:pPr>
      <w:r w:rsidRPr="002F21D4">
        <w:rPr>
          <w:color w:val="000000" w:themeColor="text1"/>
          <w:sz w:val="22"/>
          <w:szCs w:val="22"/>
          <w:lang w:val="es-ES"/>
        </w:rPr>
        <w:t>JAC - Juntas de Acción Comunal</w:t>
      </w:r>
    </w:p>
    <w:p w14:paraId="60AA4E73" w14:textId="77777777" w:rsidR="004E4EFB" w:rsidRPr="002F21D4" w:rsidRDefault="004E4EFB" w:rsidP="00B06FB8">
      <w:pPr>
        <w:shd w:val="clear" w:color="auto" w:fill="FFFFFF"/>
        <w:snapToGrid w:val="0"/>
        <w:jc w:val="both"/>
        <w:rPr>
          <w:color w:val="000000" w:themeColor="text1"/>
          <w:sz w:val="22"/>
          <w:szCs w:val="22"/>
          <w:lang w:val="es-ES"/>
        </w:rPr>
      </w:pPr>
      <w:r w:rsidRPr="002F21D4">
        <w:rPr>
          <w:color w:val="000000" w:themeColor="text1"/>
          <w:sz w:val="22"/>
          <w:szCs w:val="22"/>
          <w:lang w:val="es-ES"/>
        </w:rPr>
        <w:t>JEI - Jurisdicción Especial Indígena</w:t>
      </w:r>
    </w:p>
    <w:p w14:paraId="00906F71" w14:textId="77777777" w:rsidR="004E4EFB" w:rsidRPr="002F21D4" w:rsidRDefault="004E4EFB" w:rsidP="00B06FB8">
      <w:pPr>
        <w:shd w:val="clear" w:color="auto" w:fill="FFFFFF"/>
        <w:snapToGrid w:val="0"/>
        <w:jc w:val="both"/>
        <w:rPr>
          <w:color w:val="000000" w:themeColor="text1"/>
          <w:sz w:val="22"/>
          <w:szCs w:val="22"/>
          <w:lang w:val="es-ES"/>
        </w:rPr>
      </w:pPr>
      <w:r w:rsidRPr="002F21D4">
        <w:rPr>
          <w:color w:val="000000" w:themeColor="text1"/>
          <w:sz w:val="22"/>
          <w:szCs w:val="22"/>
          <w:lang w:val="es-ES"/>
        </w:rPr>
        <w:t>JEP - Jurisdicción Especial para la Paz</w:t>
      </w:r>
    </w:p>
    <w:p w14:paraId="400FF77A" w14:textId="77777777" w:rsidR="004E4EFB" w:rsidRPr="002F21D4" w:rsidRDefault="004E4EFB" w:rsidP="00B06FB8">
      <w:pPr>
        <w:shd w:val="clear" w:color="auto" w:fill="FFFFFF"/>
        <w:snapToGrid w:val="0"/>
        <w:jc w:val="both"/>
        <w:rPr>
          <w:color w:val="000000" w:themeColor="text1"/>
          <w:sz w:val="22"/>
          <w:szCs w:val="22"/>
          <w:lang w:val="es-ES"/>
        </w:rPr>
      </w:pPr>
      <w:r w:rsidRPr="002F21D4">
        <w:rPr>
          <w:color w:val="000000" w:themeColor="text1"/>
          <w:sz w:val="22"/>
          <w:szCs w:val="22"/>
          <w:lang w:val="es-ES"/>
        </w:rPr>
        <w:t>MAP - Minas Antipersonal</w:t>
      </w:r>
    </w:p>
    <w:p w14:paraId="3F95CA5B" w14:textId="77777777" w:rsidR="004E4EFB" w:rsidRPr="002F21D4" w:rsidRDefault="004E4EFB" w:rsidP="00B06FB8">
      <w:pPr>
        <w:shd w:val="clear" w:color="auto" w:fill="FFFFFF"/>
        <w:snapToGrid w:val="0"/>
        <w:jc w:val="both"/>
        <w:rPr>
          <w:color w:val="000000" w:themeColor="text1"/>
          <w:sz w:val="22"/>
          <w:szCs w:val="22"/>
          <w:lang w:val="es-ES"/>
        </w:rPr>
      </w:pPr>
      <w:r w:rsidRPr="002F21D4">
        <w:rPr>
          <w:color w:val="000000" w:themeColor="text1"/>
          <w:sz w:val="22"/>
          <w:szCs w:val="22"/>
          <w:lang w:val="es-ES"/>
        </w:rPr>
        <w:t>MAPP/OEA - Misión de Apoyo al Proceso de Paz en Colombia de la Organización de los Estados Americanos</w:t>
      </w:r>
    </w:p>
    <w:p w14:paraId="7080CB7D" w14:textId="77777777" w:rsidR="004E4EFB" w:rsidRPr="002F21D4" w:rsidRDefault="004E4EFB" w:rsidP="00B06FB8">
      <w:pPr>
        <w:shd w:val="clear" w:color="auto" w:fill="FFFFFF"/>
        <w:snapToGrid w:val="0"/>
        <w:jc w:val="both"/>
        <w:rPr>
          <w:color w:val="000000" w:themeColor="text1"/>
          <w:sz w:val="22"/>
          <w:szCs w:val="22"/>
          <w:lang w:val="es-ES"/>
        </w:rPr>
      </w:pPr>
      <w:r w:rsidRPr="002F21D4">
        <w:rPr>
          <w:color w:val="000000" w:themeColor="text1"/>
          <w:sz w:val="22"/>
          <w:szCs w:val="22"/>
          <w:lang w:val="es-ES"/>
        </w:rPr>
        <w:t>MEC- Mecanismos Especiales de Consulta</w:t>
      </w:r>
    </w:p>
    <w:p w14:paraId="180B70BA" w14:textId="77777777" w:rsidR="004E4EFB" w:rsidRPr="002F21D4" w:rsidRDefault="004E4EFB" w:rsidP="00B06FB8">
      <w:pPr>
        <w:shd w:val="clear" w:color="auto" w:fill="FFFFFF"/>
        <w:snapToGrid w:val="0"/>
        <w:rPr>
          <w:color w:val="000000" w:themeColor="text1"/>
          <w:sz w:val="22"/>
          <w:szCs w:val="22"/>
          <w:lang w:val="es-ES"/>
        </w:rPr>
      </w:pPr>
      <w:r w:rsidRPr="002F21D4">
        <w:rPr>
          <w:color w:val="000000" w:themeColor="text1"/>
          <w:sz w:val="22"/>
          <w:szCs w:val="22"/>
          <w:lang w:val="es-ES"/>
        </w:rPr>
        <w:t>MSE - Munición sin explosionar</w:t>
      </w:r>
    </w:p>
    <w:p w14:paraId="09F03BDB" w14:textId="77777777" w:rsidR="004E4EFB" w:rsidRPr="002F21D4" w:rsidRDefault="004E4EFB" w:rsidP="00B06FB8">
      <w:pPr>
        <w:shd w:val="clear" w:color="auto" w:fill="FFFFFF"/>
        <w:snapToGrid w:val="0"/>
        <w:jc w:val="both"/>
        <w:rPr>
          <w:color w:val="000000" w:themeColor="text1"/>
          <w:sz w:val="22"/>
          <w:szCs w:val="22"/>
          <w:lang w:val="es-ES"/>
        </w:rPr>
      </w:pPr>
      <w:r w:rsidRPr="002F21D4">
        <w:rPr>
          <w:color w:val="000000" w:themeColor="text1"/>
          <w:sz w:val="22"/>
          <w:szCs w:val="22"/>
          <w:lang w:val="es-ES"/>
        </w:rPr>
        <w:t>NNA - Niños, niñas y adolescentes</w:t>
      </w:r>
    </w:p>
    <w:p w14:paraId="60350172" w14:textId="77777777" w:rsidR="004E4EFB" w:rsidRPr="002F21D4" w:rsidRDefault="004E4EFB" w:rsidP="00B06FB8">
      <w:pPr>
        <w:shd w:val="clear" w:color="auto" w:fill="FFFFFF"/>
        <w:snapToGrid w:val="0"/>
        <w:jc w:val="both"/>
        <w:rPr>
          <w:color w:val="000000" w:themeColor="text1"/>
          <w:sz w:val="22"/>
          <w:szCs w:val="22"/>
          <w:lang w:val="es-ES"/>
        </w:rPr>
      </w:pPr>
      <w:r w:rsidRPr="002F21D4">
        <w:rPr>
          <w:color w:val="000000" w:themeColor="text1"/>
          <w:sz w:val="22"/>
          <w:szCs w:val="22"/>
          <w:lang w:val="es-ES"/>
        </w:rPr>
        <w:t>OAC - Organismos de Acción Comunal</w:t>
      </w:r>
    </w:p>
    <w:p w14:paraId="6C8557CA" w14:textId="77777777" w:rsidR="004E4EFB" w:rsidRPr="002F21D4" w:rsidRDefault="004E4EFB" w:rsidP="00B06FB8">
      <w:pPr>
        <w:shd w:val="clear" w:color="auto" w:fill="FFFFFF"/>
        <w:snapToGrid w:val="0"/>
        <w:jc w:val="both"/>
        <w:rPr>
          <w:color w:val="000000" w:themeColor="text1"/>
          <w:sz w:val="22"/>
          <w:szCs w:val="22"/>
          <w:lang w:val="es-ES"/>
        </w:rPr>
      </w:pPr>
      <w:r w:rsidRPr="002F21D4">
        <w:rPr>
          <w:color w:val="000000" w:themeColor="text1"/>
          <w:sz w:val="22"/>
          <w:szCs w:val="22"/>
          <w:lang w:val="es-ES"/>
        </w:rPr>
        <w:t>OACP - Oficina del Alto Comisionado para la Paz</w:t>
      </w:r>
    </w:p>
    <w:p w14:paraId="5285D75E" w14:textId="77777777" w:rsidR="004E4EFB" w:rsidRPr="002F21D4" w:rsidRDefault="004E4EFB" w:rsidP="00B06FB8">
      <w:pPr>
        <w:shd w:val="clear" w:color="auto" w:fill="FFFFFF"/>
        <w:snapToGrid w:val="0"/>
        <w:jc w:val="both"/>
        <w:rPr>
          <w:color w:val="000000" w:themeColor="text1"/>
          <w:sz w:val="22"/>
          <w:szCs w:val="22"/>
          <w:lang w:val="es-ES"/>
        </w:rPr>
      </w:pPr>
      <w:r w:rsidRPr="002F21D4">
        <w:rPr>
          <w:color w:val="000000" w:themeColor="text1"/>
          <w:sz w:val="22"/>
          <w:szCs w:val="22"/>
          <w:lang w:val="es-ES"/>
        </w:rPr>
        <w:t>OCAD-Paz -Órgano Colegiado de Administración y Decisión</w:t>
      </w:r>
    </w:p>
    <w:p w14:paraId="73A41C11" w14:textId="77777777" w:rsidR="004E4EFB" w:rsidRPr="002F21D4" w:rsidRDefault="004E4EFB" w:rsidP="00B06FB8">
      <w:pPr>
        <w:shd w:val="clear" w:color="auto" w:fill="FFFFFF"/>
        <w:snapToGrid w:val="0"/>
        <w:jc w:val="both"/>
        <w:rPr>
          <w:color w:val="000000" w:themeColor="text1"/>
          <w:sz w:val="22"/>
          <w:szCs w:val="22"/>
          <w:lang w:val="es-ES"/>
        </w:rPr>
      </w:pPr>
      <w:r w:rsidRPr="002F21D4">
        <w:rPr>
          <w:color w:val="000000" w:themeColor="text1"/>
          <w:sz w:val="22"/>
          <w:szCs w:val="22"/>
          <w:lang w:val="es-ES"/>
        </w:rPr>
        <w:t>PDD – Personas Dadas por Desaparecidas</w:t>
      </w:r>
    </w:p>
    <w:p w14:paraId="79D5C018" w14:textId="77777777" w:rsidR="004E4EFB" w:rsidRPr="002F21D4" w:rsidRDefault="004E4EFB" w:rsidP="00B06FB8">
      <w:pPr>
        <w:shd w:val="clear" w:color="auto" w:fill="FFFFFF"/>
        <w:snapToGrid w:val="0"/>
        <w:jc w:val="both"/>
        <w:rPr>
          <w:color w:val="000000" w:themeColor="text1"/>
          <w:sz w:val="22"/>
          <w:szCs w:val="22"/>
          <w:lang w:val="es-ES"/>
        </w:rPr>
      </w:pPr>
      <w:r w:rsidRPr="002F21D4">
        <w:rPr>
          <w:color w:val="000000" w:themeColor="text1"/>
          <w:sz w:val="22"/>
          <w:szCs w:val="22"/>
          <w:lang w:val="es-ES"/>
        </w:rPr>
        <w:t>PDET - Programas de desarrollo con Enfoque Territorial</w:t>
      </w:r>
    </w:p>
    <w:p w14:paraId="183745BE" w14:textId="77777777" w:rsidR="004E4EFB" w:rsidRPr="002F21D4" w:rsidRDefault="004E4EFB" w:rsidP="00B06FB8">
      <w:pPr>
        <w:shd w:val="clear" w:color="auto" w:fill="FFFFFF"/>
        <w:snapToGrid w:val="0"/>
        <w:jc w:val="both"/>
        <w:rPr>
          <w:color w:val="000000" w:themeColor="text1"/>
          <w:sz w:val="22"/>
          <w:szCs w:val="22"/>
          <w:lang w:val="es-ES"/>
        </w:rPr>
      </w:pPr>
      <w:r w:rsidRPr="002F21D4">
        <w:rPr>
          <w:color w:val="000000" w:themeColor="text1"/>
          <w:sz w:val="22"/>
          <w:szCs w:val="22"/>
          <w:lang w:val="es-ES"/>
        </w:rPr>
        <w:t>PECIG - Plan de Manejo Ambiental del Programa de Erradicación de Cultivos Ilícitos con el Herbicida Glifosato</w:t>
      </w:r>
    </w:p>
    <w:p w14:paraId="1B7B4897" w14:textId="77777777" w:rsidR="004E4EFB" w:rsidRPr="002F21D4" w:rsidRDefault="004E4EFB" w:rsidP="00B06FB8">
      <w:pPr>
        <w:shd w:val="clear" w:color="auto" w:fill="FFFFFF"/>
        <w:snapToGrid w:val="0"/>
        <w:jc w:val="both"/>
        <w:rPr>
          <w:color w:val="000000" w:themeColor="text1"/>
          <w:sz w:val="22"/>
          <w:szCs w:val="22"/>
          <w:lang w:val="es-ES"/>
        </w:rPr>
      </w:pPr>
      <w:r w:rsidRPr="002F21D4">
        <w:rPr>
          <w:color w:val="000000" w:themeColor="text1"/>
          <w:sz w:val="22"/>
          <w:szCs w:val="22"/>
          <w:lang w:val="es-ES"/>
        </w:rPr>
        <w:t>PGN – Procuraduría General de la Nación</w:t>
      </w:r>
    </w:p>
    <w:p w14:paraId="639C9608" w14:textId="77777777" w:rsidR="004E4EFB" w:rsidRPr="002F21D4" w:rsidRDefault="004E4EFB" w:rsidP="00B06FB8">
      <w:pPr>
        <w:shd w:val="clear" w:color="auto" w:fill="FFFFFF"/>
        <w:snapToGrid w:val="0"/>
        <w:jc w:val="both"/>
        <w:rPr>
          <w:color w:val="000000" w:themeColor="text1"/>
          <w:sz w:val="22"/>
          <w:szCs w:val="22"/>
          <w:lang w:val="es-ES"/>
        </w:rPr>
      </w:pPr>
      <w:r w:rsidRPr="002F21D4">
        <w:rPr>
          <w:color w:val="000000" w:themeColor="text1"/>
          <w:sz w:val="22"/>
          <w:szCs w:val="22"/>
          <w:lang w:val="es-ES"/>
        </w:rPr>
        <w:t>PIG-Mujeres - Programa Integral de Garantías a Lideresas y Defensoras de Derechos Humanos</w:t>
      </w:r>
    </w:p>
    <w:p w14:paraId="09348E32" w14:textId="77777777" w:rsidR="004E4EFB" w:rsidRPr="002F21D4" w:rsidRDefault="004E4EFB" w:rsidP="00B06FB8">
      <w:pPr>
        <w:shd w:val="clear" w:color="auto" w:fill="FFFFFF"/>
        <w:snapToGrid w:val="0"/>
        <w:jc w:val="both"/>
        <w:rPr>
          <w:color w:val="000000" w:themeColor="text1"/>
          <w:sz w:val="22"/>
          <w:szCs w:val="22"/>
          <w:lang w:val="es-ES"/>
        </w:rPr>
      </w:pPr>
      <w:r w:rsidRPr="002F21D4">
        <w:rPr>
          <w:color w:val="000000" w:themeColor="text1"/>
          <w:sz w:val="22"/>
          <w:szCs w:val="22"/>
          <w:lang w:val="es-ES"/>
        </w:rPr>
        <w:t>PISDA - Planes Integrales de Sustitución y Desarrollo Alternativo</w:t>
      </w:r>
    </w:p>
    <w:p w14:paraId="403FCD1C" w14:textId="77777777" w:rsidR="004E4EFB" w:rsidRPr="002F21D4" w:rsidRDefault="004E4EFB" w:rsidP="00B06FB8">
      <w:pPr>
        <w:shd w:val="clear" w:color="auto" w:fill="FFFFFF"/>
        <w:snapToGrid w:val="0"/>
        <w:jc w:val="both"/>
        <w:rPr>
          <w:color w:val="000000" w:themeColor="text1"/>
          <w:sz w:val="22"/>
          <w:szCs w:val="22"/>
          <w:lang w:val="es-ES"/>
        </w:rPr>
      </w:pPr>
      <w:r w:rsidRPr="002F21D4">
        <w:rPr>
          <w:color w:val="000000" w:themeColor="text1"/>
          <w:sz w:val="22"/>
          <w:szCs w:val="22"/>
          <w:lang w:val="es-ES"/>
        </w:rPr>
        <w:t>PMU – Puesto de Mando Unificado</w:t>
      </w:r>
    </w:p>
    <w:p w14:paraId="6AAC86CF" w14:textId="77777777" w:rsidR="004E4EFB" w:rsidRPr="002F21D4" w:rsidRDefault="004E4EFB" w:rsidP="00B06FB8">
      <w:pPr>
        <w:shd w:val="clear" w:color="auto" w:fill="FFFFFF"/>
        <w:snapToGrid w:val="0"/>
        <w:jc w:val="both"/>
        <w:rPr>
          <w:color w:val="000000" w:themeColor="text1"/>
          <w:sz w:val="22"/>
          <w:szCs w:val="22"/>
          <w:lang w:val="es-ES"/>
        </w:rPr>
      </w:pPr>
      <w:r w:rsidRPr="002F21D4">
        <w:rPr>
          <w:color w:val="000000" w:themeColor="text1"/>
          <w:sz w:val="22"/>
          <w:szCs w:val="22"/>
          <w:lang w:val="es-ES"/>
        </w:rPr>
        <w:lastRenderedPageBreak/>
        <w:t>PNIS - Programa Nacional Integral de Sustitución de Cultivos Ilícitos</w:t>
      </w:r>
    </w:p>
    <w:p w14:paraId="77BC92A8" w14:textId="77777777" w:rsidR="004E4EFB" w:rsidRPr="002F21D4" w:rsidRDefault="004E4EFB" w:rsidP="00B06FB8">
      <w:pPr>
        <w:shd w:val="clear" w:color="auto" w:fill="FFFFFF"/>
        <w:snapToGrid w:val="0"/>
        <w:jc w:val="both"/>
        <w:rPr>
          <w:color w:val="000000" w:themeColor="text1"/>
          <w:sz w:val="22"/>
          <w:szCs w:val="22"/>
          <w:lang w:val="es-ES"/>
        </w:rPr>
      </w:pPr>
      <w:r w:rsidRPr="002F21D4">
        <w:rPr>
          <w:color w:val="000000" w:themeColor="text1"/>
          <w:sz w:val="22"/>
          <w:szCs w:val="22"/>
          <w:lang w:val="es-ES"/>
        </w:rPr>
        <w:t>PPR - Personas en Proceso de Reincorporación</w:t>
      </w:r>
    </w:p>
    <w:p w14:paraId="1853209C" w14:textId="77777777" w:rsidR="004E4EFB" w:rsidRPr="002F21D4" w:rsidRDefault="004E4EFB" w:rsidP="00B06FB8">
      <w:pPr>
        <w:shd w:val="clear" w:color="auto" w:fill="FFFFFF"/>
        <w:snapToGrid w:val="0"/>
        <w:jc w:val="both"/>
        <w:rPr>
          <w:color w:val="000000" w:themeColor="text1"/>
          <w:sz w:val="22"/>
          <w:szCs w:val="22"/>
          <w:lang w:val="es-ES"/>
        </w:rPr>
      </w:pPr>
      <w:r w:rsidRPr="002F21D4">
        <w:rPr>
          <w:color w:val="000000" w:themeColor="text1"/>
          <w:sz w:val="22"/>
          <w:szCs w:val="22"/>
          <w:lang w:val="es-ES"/>
        </w:rPr>
        <w:t>PNN - Parques Nacionales Naturales</w:t>
      </w:r>
    </w:p>
    <w:p w14:paraId="4816B19A" w14:textId="77777777" w:rsidR="004E4EFB" w:rsidRPr="002F21D4" w:rsidRDefault="004E4EFB" w:rsidP="00B06FB8">
      <w:pPr>
        <w:shd w:val="clear" w:color="auto" w:fill="FFFFFF"/>
        <w:snapToGrid w:val="0"/>
        <w:jc w:val="both"/>
        <w:rPr>
          <w:color w:val="000000" w:themeColor="text1"/>
          <w:sz w:val="22"/>
          <w:szCs w:val="22"/>
          <w:lang w:val="es-ES"/>
        </w:rPr>
      </w:pPr>
      <w:r w:rsidRPr="002F21D4">
        <w:rPr>
          <w:color w:val="000000" w:themeColor="text1"/>
          <w:sz w:val="22"/>
          <w:szCs w:val="22"/>
          <w:lang w:val="es-ES"/>
        </w:rPr>
        <w:t>PRI - Planes de Respuesta Inmediata</w:t>
      </w:r>
    </w:p>
    <w:p w14:paraId="29A82BE0" w14:textId="77777777" w:rsidR="004E4EFB" w:rsidRPr="002F21D4" w:rsidRDefault="004E4EFB" w:rsidP="00B06FB8">
      <w:pPr>
        <w:shd w:val="clear" w:color="auto" w:fill="FFFFFF"/>
        <w:snapToGrid w:val="0"/>
        <w:jc w:val="both"/>
        <w:rPr>
          <w:color w:val="000000" w:themeColor="text1"/>
          <w:sz w:val="22"/>
          <w:szCs w:val="22"/>
          <w:lang w:val="es-ES"/>
        </w:rPr>
      </w:pPr>
      <w:r w:rsidRPr="002F21D4">
        <w:rPr>
          <w:color w:val="000000" w:themeColor="text1"/>
          <w:sz w:val="22"/>
          <w:szCs w:val="22"/>
          <w:lang w:val="es-ES"/>
        </w:rPr>
        <w:t>REDPHANA - Red de Derechos Humanos del Pacífico Nariñense</w:t>
      </w:r>
    </w:p>
    <w:p w14:paraId="33A7FC6E" w14:textId="77777777" w:rsidR="004E4EFB" w:rsidRPr="002F21D4" w:rsidRDefault="004E4EFB" w:rsidP="00B06FB8">
      <w:pPr>
        <w:shd w:val="clear" w:color="auto" w:fill="FFFFFF"/>
        <w:snapToGrid w:val="0"/>
        <w:jc w:val="both"/>
        <w:rPr>
          <w:color w:val="000000" w:themeColor="text1"/>
          <w:sz w:val="22"/>
          <w:szCs w:val="22"/>
          <w:lang w:val="es-ES"/>
        </w:rPr>
      </w:pPr>
      <w:r w:rsidRPr="002F21D4">
        <w:rPr>
          <w:color w:val="000000" w:themeColor="text1"/>
          <w:sz w:val="22"/>
          <w:szCs w:val="22"/>
          <w:lang w:val="es-ES"/>
        </w:rPr>
        <w:t>SISEP - Sistema Integral de Seguridad para el Ejercicio de la Política</w:t>
      </w:r>
    </w:p>
    <w:p w14:paraId="4E8BC973" w14:textId="77777777" w:rsidR="004E4EFB" w:rsidRPr="002F21D4" w:rsidRDefault="004E4EFB" w:rsidP="00B06FB8">
      <w:pPr>
        <w:shd w:val="clear" w:color="auto" w:fill="FFFFFF"/>
        <w:snapToGrid w:val="0"/>
        <w:jc w:val="both"/>
        <w:rPr>
          <w:color w:val="000000" w:themeColor="text1"/>
          <w:sz w:val="22"/>
          <w:szCs w:val="22"/>
          <w:lang w:val="es-ES"/>
        </w:rPr>
      </w:pPr>
      <w:r w:rsidRPr="002F21D4">
        <w:rPr>
          <w:color w:val="000000" w:themeColor="text1"/>
          <w:sz w:val="22"/>
          <w:szCs w:val="22"/>
          <w:lang w:val="es-ES"/>
        </w:rPr>
        <w:t>SIVJRNR - Sistema Integral de Verdad, Justicia, Reparación y No Repetición</w:t>
      </w:r>
    </w:p>
    <w:p w14:paraId="63BC112C" w14:textId="77777777" w:rsidR="004E4EFB" w:rsidRPr="002F21D4" w:rsidRDefault="004E4EFB" w:rsidP="00B06FB8">
      <w:pPr>
        <w:shd w:val="clear" w:color="auto" w:fill="FFFFFF"/>
        <w:snapToGrid w:val="0"/>
        <w:jc w:val="both"/>
        <w:rPr>
          <w:color w:val="000000" w:themeColor="text1"/>
          <w:sz w:val="22"/>
          <w:szCs w:val="22"/>
          <w:lang w:val="es-ES"/>
        </w:rPr>
      </w:pPr>
      <w:r w:rsidRPr="002F21D4">
        <w:rPr>
          <w:color w:val="000000" w:themeColor="text1"/>
          <w:sz w:val="22"/>
          <w:szCs w:val="22"/>
          <w:lang w:val="es-ES"/>
        </w:rPr>
        <w:t>SAT - Sistema de Alertas</w:t>
      </w:r>
    </w:p>
    <w:p w14:paraId="40EBC15E" w14:textId="77777777" w:rsidR="004E4EFB" w:rsidRPr="002F21D4" w:rsidRDefault="004E4EFB" w:rsidP="00B06FB8">
      <w:pPr>
        <w:shd w:val="clear" w:color="auto" w:fill="FFFFFF"/>
        <w:snapToGrid w:val="0"/>
        <w:jc w:val="both"/>
        <w:rPr>
          <w:color w:val="000000" w:themeColor="text1"/>
          <w:sz w:val="22"/>
          <w:szCs w:val="22"/>
          <w:lang w:val="es-ES"/>
        </w:rPr>
      </w:pPr>
      <w:r w:rsidRPr="002F21D4">
        <w:rPr>
          <w:color w:val="000000" w:themeColor="text1"/>
          <w:sz w:val="22"/>
          <w:szCs w:val="22"/>
          <w:lang w:val="es-ES"/>
        </w:rPr>
        <w:t>SIEDCO - Sistema de Información Estadístico, Delincuencial Contravencional y Operativo de la Policía Nacional</w:t>
      </w:r>
    </w:p>
    <w:p w14:paraId="2F65FAB5" w14:textId="77777777" w:rsidR="004E4EFB" w:rsidRPr="002F21D4" w:rsidRDefault="004E4EFB" w:rsidP="00B06FB8">
      <w:pPr>
        <w:shd w:val="clear" w:color="auto" w:fill="FFFFFF"/>
        <w:snapToGrid w:val="0"/>
        <w:jc w:val="both"/>
        <w:rPr>
          <w:color w:val="000000" w:themeColor="text1"/>
          <w:sz w:val="22"/>
          <w:szCs w:val="22"/>
          <w:lang w:val="es-ES"/>
        </w:rPr>
      </w:pPr>
      <w:r w:rsidRPr="002F21D4">
        <w:rPr>
          <w:color w:val="000000" w:themeColor="text1"/>
          <w:sz w:val="22"/>
          <w:szCs w:val="22"/>
          <w:lang w:val="es-ES"/>
        </w:rPr>
        <w:t>TE - Trampas Explosivas</w:t>
      </w:r>
    </w:p>
    <w:p w14:paraId="764FB722" w14:textId="77777777" w:rsidR="004E4EFB" w:rsidRPr="002F21D4" w:rsidRDefault="004E4EFB" w:rsidP="00B06FB8">
      <w:pPr>
        <w:shd w:val="clear" w:color="auto" w:fill="FFFFFF"/>
        <w:snapToGrid w:val="0"/>
        <w:jc w:val="both"/>
        <w:rPr>
          <w:color w:val="000000" w:themeColor="text1"/>
          <w:sz w:val="22"/>
          <w:szCs w:val="22"/>
          <w:lang w:val="es-ES"/>
        </w:rPr>
      </w:pPr>
      <w:r w:rsidRPr="002F21D4">
        <w:rPr>
          <w:color w:val="000000" w:themeColor="text1"/>
          <w:sz w:val="22"/>
          <w:szCs w:val="22"/>
          <w:lang w:val="es-ES"/>
        </w:rPr>
        <w:t>UBPD - Unidad de Búsqueda de personas dadas por Desaparecidas</w:t>
      </w:r>
    </w:p>
    <w:p w14:paraId="6B319B32" w14:textId="77777777" w:rsidR="004E4EFB" w:rsidRPr="002F21D4" w:rsidRDefault="004E4EFB" w:rsidP="00B06FB8">
      <w:pPr>
        <w:shd w:val="clear" w:color="auto" w:fill="FFFFFF"/>
        <w:snapToGrid w:val="0"/>
        <w:jc w:val="both"/>
        <w:rPr>
          <w:color w:val="000000" w:themeColor="text1"/>
          <w:sz w:val="22"/>
          <w:szCs w:val="22"/>
          <w:lang w:val="es-ES"/>
        </w:rPr>
      </w:pPr>
      <w:r w:rsidRPr="002F21D4">
        <w:rPr>
          <w:color w:val="000000" w:themeColor="text1"/>
          <w:sz w:val="22"/>
          <w:szCs w:val="22"/>
          <w:lang w:val="es-ES"/>
        </w:rPr>
        <w:t>UNIPA - Unidad Indígena del Pueblo Awá</w:t>
      </w:r>
    </w:p>
    <w:p w14:paraId="691BB324" w14:textId="77777777" w:rsidR="004E4EFB" w:rsidRPr="002F21D4" w:rsidRDefault="004E4EFB" w:rsidP="00B06FB8">
      <w:pPr>
        <w:shd w:val="clear" w:color="auto" w:fill="FFFFFF"/>
        <w:snapToGrid w:val="0"/>
        <w:jc w:val="both"/>
        <w:rPr>
          <w:color w:val="000000" w:themeColor="text1"/>
          <w:sz w:val="22"/>
          <w:szCs w:val="22"/>
          <w:lang w:val="es-ES"/>
        </w:rPr>
      </w:pPr>
      <w:r w:rsidRPr="002F21D4">
        <w:rPr>
          <w:color w:val="000000" w:themeColor="text1"/>
          <w:sz w:val="22"/>
          <w:szCs w:val="22"/>
          <w:lang w:val="es-ES"/>
        </w:rPr>
        <w:t>VGB - Violencias Basadas en Género</w:t>
      </w:r>
    </w:p>
    <w:p w14:paraId="7F06A830" w14:textId="66B44E28" w:rsidR="00F35355" w:rsidRPr="002F21D4" w:rsidRDefault="004E4EFB" w:rsidP="00B06FB8">
      <w:pPr>
        <w:shd w:val="clear" w:color="auto" w:fill="FFFFFF"/>
        <w:snapToGrid w:val="0"/>
        <w:jc w:val="both"/>
        <w:rPr>
          <w:color w:val="000000" w:themeColor="text1"/>
          <w:sz w:val="22"/>
          <w:szCs w:val="22"/>
          <w:lang w:val="es-ES"/>
        </w:rPr>
      </w:pPr>
      <w:r w:rsidRPr="002F21D4">
        <w:rPr>
          <w:color w:val="000000" w:themeColor="text1"/>
          <w:sz w:val="22"/>
          <w:szCs w:val="22"/>
          <w:lang w:val="es-ES"/>
        </w:rPr>
        <w:t>ZEII- Zona Estratégica de Intervención Integral</w:t>
      </w:r>
    </w:p>
    <w:sectPr w:rsidR="00F35355" w:rsidRPr="002F21D4" w:rsidSect="00437B36">
      <w:headerReference w:type="even" r:id="rId8"/>
      <w:headerReference w:type="default" r:id="rId9"/>
      <w:footerReference w:type="even" r:id="rId10"/>
      <w:footerReference w:type="default" r:id="rId11"/>
      <w:headerReference w:type="first" r:id="rId12"/>
      <w:footerReference w:type="first" r:id="rId13"/>
      <w:pgSz w:w="12240" w:h="15840" w:code="1"/>
      <w:pgMar w:top="2160" w:right="1570" w:bottom="1296" w:left="1699" w:header="1296" w:footer="72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58B88" w14:textId="77777777" w:rsidR="00890648" w:rsidRDefault="00890648" w:rsidP="00675DD3">
      <w:r>
        <w:separator/>
      </w:r>
    </w:p>
  </w:endnote>
  <w:endnote w:type="continuationSeparator" w:id="0">
    <w:p w14:paraId="2E67C1FE" w14:textId="77777777" w:rsidR="00890648" w:rsidRDefault="00890648" w:rsidP="00675DD3">
      <w:r>
        <w:continuationSeparator/>
      </w:r>
    </w:p>
  </w:endnote>
  <w:endnote w:type="continuationNotice" w:id="1">
    <w:p w14:paraId="132B961E" w14:textId="77777777" w:rsidR="00890648" w:rsidRDefault="00890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3070872"/>
      <w:docPartObj>
        <w:docPartGallery w:val="Page Numbers (Bottom of Page)"/>
        <w:docPartUnique/>
      </w:docPartObj>
    </w:sdtPr>
    <w:sdtEndPr>
      <w:rPr>
        <w:rStyle w:val="PageNumber"/>
      </w:rPr>
    </w:sdtEndPr>
    <w:sdtContent>
      <w:p w14:paraId="209D4CEA" w14:textId="05D78813" w:rsidR="009F67C1" w:rsidRDefault="009F67C1" w:rsidP="008641D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855A3D" w14:textId="77777777" w:rsidR="009F67C1" w:rsidRDefault="009F67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7EE31" w14:textId="77777777" w:rsidR="00437B36" w:rsidRDefault="00437B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06C8" w14:textId="77777777" w:rsidR="00437B36" w:rsidRDefault="00437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AAD2A" w14:textId="77777777" w:rsidR="00890648" w:rsidRDefault="00890648" w:rsidP="00675DD3">
      <w:r>
        <w:separator/>
      </w:r>
    </w:p>
  </w:footnote>
  <w:footnote w:type="continuationSeparator" w:id="0">
    <w:p w14:paraId="2AEEC51C" w14:textId="77777777" w:rsidR="00890648" w:rsidRDefault="00890648" w:rsidP="00675DD3">
      <w:r>
        <w:continuationSeparator/>
      </w:r>
    </w:p>
  </w:footnote>
  <w:footnote w:type="continuationNotice" w:id="1">
    <w:p w14:paraId="6F6EF394" w14:textId="77777777" w:rsidR="00890648" w:rsidRDefault="00890648"/>
  </w:footnote>
  <w:footnote w:id="2">
    <w:p w14:paraId="0D68DD2B" w14:textId="3438540D" w:rsidR="00931981" w:rsidRPr="00B06FB8" w:rsidRDefault="00931981" w:rsidP="00B06FB8">
      <w:pPr>
        <w:tabs>
          <w:tab w:val="left" w:pos="720"/>
        </w:tabs>
        <w:ind w:left="720" w:hanging="360"/>
        <w:jc w:val="both"/>
        <w:rPr>
          <w:sz w:val="20"/>
          <w:szCs w:val="20"/>
        </w:rPr>
      </w:pPr>
      <w:r w:rsidRPr="00B06FB8">
        <w:rPr>
          <w:rStyle w:val="FootnoteReference"/>
          <w:sz w:val="20"/>
          <w:szCs w:val="20"/>
          <w:vertAlign w:val="baseline"/>
        </w:rPr>
        <w:footnoteRef/>
      </w:r>
      <w:r w:rsidR="00B06FB8">
        <w:rPr>
          <w:sz w:val="20"/>
          <w:szCs w:val="20"/>
        </w:rPr>
        <w:t>.</w:t>
      </w:r>
      <w:r w:rsidR="00B06FB8">
        <w:rPr>
          <w:sz w:val="20"/>
          <w:szCs w:val="20"/>
        </w:rPr>
        <w:tab/>
      </w:r>
      <w:r w:rsidRPr="00B06FB8">
        <w:rPr>
          <w:rFonts w:eastAsiaTheme="minorHAnsi"/>
          <w:sz w:val="20"/>
          <w:szCs w:val="20"/>
          <w:lang w:eastAsia="en-US"/>
        </w:rPr>
        <w:t xml:space="preserve">El mandato de la MAPP/OEA emana del convenio suscrito entre el Gobierno de la República de Colombia y la Secretaría General de la OEA firmado el día 23 de enero de 2004, así como de la Resolución CP/RES.859 (1397/04) del Consejo Permanente aprobada el día 6 de febrero de 2004. Dicho mandato ha sido ampliado y prorrogado en </w:t>
      </w:r>
      <w:r w:rsidR="0074441F" w:rsidRPr="00B06FB8">
        <w:rPr>
          <w:rFonts w:eastAsiaTheme="minorHAnsi"/>
          <w:sz w:val="20"/>
          <w:szCs w:val="20"/>
          <w:lang w:eastAsia="en-US"/>
        </w:rPr>
        <w:t xml:space="preserve">ocho </w:t>
      </w:r>
      <w:r w:rsidRPr="00B06FB8">
        <w:rPr>
          <w:rFonts w:eastAsiaTheme="minorHAnsi"/>
          <w:sz w:val="20"/>
          <w:szCs w:val="20"/>
          <w:lang w:eastAsia="en-US"/>
        </w:rPr>
        <w:t>ocasiones, la última extendiendo el mandato de la Misión hasta</w:t>
      </w:r>
      <w:r w:rsidR="00F05D64" w:rsidRPr="00B06FB8">
        <w:rPr>
          <w:rFonts w:eastAsiaTheme="minorHAnsi"/>
          <w:sz w:val="20"/>
          <w:szCs w:val="20"/>
          <w:lang w:eastAsia="en-US"/>
        </w:rPr>
        <w:t xml:space="preserve"> el 24 de enero de 2025. </w:t>
      </w:r>
    </w:p>
  </w:footnote>
  <w:footnote w:id="3">
    <w:p w14:paraId="04F106BB" w14:textId="3A1278C5" w:rsidR="00931981" w:rsidRPr="00B06FB8" w:rsidRDefault="00931981" w:rsidP="00B06FB8">
      <w:pPr>
        <w:tabs>
          <w:tab w:val="left" w:pos="720"/>
        </w:tabs>
        <w:ind w:left="720" w:hanging="360"/>
        <w:jc w:val="both"/>
        <w:rPr>
          <w:sz w:val="20"/>
          <w:szCs w:val="20"/>
        </w:rPr>
      </w:pPr>
      <w:r w:rsidRPr="00B06FB8">
        <w:rPr>
          <w:rFonts w:eastAsiaTheme="minorHAnsi"/>
          <w:sz w:val="20"/>
          <w:szCs w:val="20"/>
          <w:lang w:eastAsia="en-US"/>
        </w:rPr>
        <w:footnoteRef/>
      </w:r>
      <w:r w:rsidR="00B06FB8">
        <w:rPr>
          <w:rFonts w:eastAsiaTheme="minorHAnsi"/>
          <w:sz w:val="20"/>
          <w:szCs w:val="20"/>
          <w:lang w:eastAsia="en-US"/>
        </w:rPr>
        <w:t>.</w:t>
      </w:r>
      <w:r w:rsidR="00B06FB8">
        <w:rPr>
          <w:rFonts w:eastAsiaTheme="minorHAnsi"/>
          <w:sz w:val="20"/>
          <w:szCs w:val="20"/>
          <w:lang w:eastAsia="en-US"/>
        </w:rPr>
        <w:tab/>
      </w:r>
      <w:r w:rsidRPr="00B06FB8">
        <w:rPr>
          <w:rFonts w:eastAsiaTheme="minorHAnsi"/>
          <w:sz w:val="20"/>
          <w:szCs w:val="20"/>
          <w:lang w:eastAsia="en-US"/>
        </w:rPr>
        <w:t>Realizado a través de videoconferencias, comunicaciones telefónicas, correos electrónicos, entre otro</w:t>
      </w:r>
      <w:r w:rsidR="0074441F" w:rsidRPr="00B06FB8">
        <w:rPr>
          <w:rFonts w:eastAsiaTheme="minorHAnsi"/>
          <w:sz w:val="20"/>
          <w:szCs w:val="20"/>
          <w:lang w:eastAsia="en-US"/>
        </w:rPr>
        <w:t>s. M</w:t>
      </w:r>
      <w:r w:rsidRPr="00B06FB8">
        <w:rPr>
          <w:rFonts w:eastAsiaTheme="minorHAnsi"/>
          <w:sz w:val="20"/>
          <w:szCs w:val="20"/>
          <w:lang w:eastAsia="en-US"/>
        </w:rPr>
        <w:t xml:space="preserve">anteniendo comunicación fluida con liderazgos comunitarios, con representantes de la sociedad civil y con las instituciones locales. Esto ha permitido tener información oportuna y en tiempo real de los temas relacionados con el mandato de la </w:t>
      </w:r>
      <w:proofErr w:type="spellStart"/>
      <w:r w:rsidRPr="00B06FB8">
        <w:rPr>
          <w:rFonts w:eastAsiaTheme="minorHAnsi"/>
          <w:sz w:val="20"/>
          <w:szCs w:val="20"/>
          <w:lang w:eastAsia="en-US"/>
        </w:rPr>
        <w:t>MAPP</w:t>
      </w:r>
      <w:proofErr w:type="spellEnd"/>
      <w:r w:rsidRPr="00B06FB8">
        <w:rPr>
          <w:rFonts w:eastAsiaTheme="minorHAnsi"/>
          <w:sz w:val="20"/>
          <w:szCs w:val="20"/>
          <w:lang w:eastAsia="en-US"/>
        </w:rPr>
        <w:t>/OEA.</w:t>
      </w:r>
    </w:p>
  </w:footnote>
  <w:footnote w:id="4">
    <w:p w14:paraId="0E530CAD" w14:textId="234396C7" w:rsidR="00931981" w:rsidRPr="00B06FB8" w:rsidRDefault="00931981" w:rsidP="00B06FB8">
      <w:pPr>
        <w:tabs>
          <w:tab w:val="left" w:pos="720"/>
        </w:tabs>
        <w:ind w:left="720" w:hanging="360"/>
        <w:rPr>
          <w:sz w:val="20"/>
          <w:szCs w:val="20"/>
        </w:rPr>
      </w:pPr>
      <w:r w:rsidRPr="00B06FB8">
        <w:rPr>
          <w:rStyle w:val="FootnoteReference"/>
          <w:sz w:val="20"/>
          <w:szCs w:val="20"/>
          <w:vertAlign w:val="baseline"/>
        </w:rPr>
        <w:footnoteRef/>
      </w:r>
      <w:r w:rsidR="00B06FB8">
        <w:rPr>
          <w:sz w:val="20"/>
          <w:szCs w:val="20"/>
        </w:rPr>
        <w:t>.</w:t>
      </w:r>
      <w:r w:rsidR="00B06FB8">
        <w:rPr>
          <w:sz w:val="20"/>
          <w:szCs w:val="20"/>
        </w:rPr>
        <w:tab/>
      </w:r>
      <w:r w:rsidRPr="00B06FB8">
        <w:rPr>
          <w:sz w:val="20"/>
          <w:szCs w:val="20"/>
        </w:rPr>
        <w:t>A través de esta modalidad se comisiona un profesional de su nacionalidad para que desempeñen funciones durante un tiempo determinado</w:t>
      </w:r>
      <w:r w:rsidR="008B7030" w:rsidRPr="00B06FB8">
        <w:rPr>
          <w:sz w:val="20"/>
          <w:szCs w:val="20"/>
        </w:rPr>
        <w:t>.</w:t>
      </w:r>
    </w:p>
  </w:footnote>
  <w:footnote w:id="5">
    <w:p w14:paraId="6AD7CDA5" w14:textId="5D089FB2" w:rsidR="0099525A" w:rsidRPr="00B06FB8" w:rsidRDefault="0099525A" w:rsidP="00B06FB8">
      <w:pPr>
        <w:pStyle w:val="FootnoteText"/>
        <w:tabs>
          <w:tab w:val="left" w:pos="720"/>
        </w:tabs>
        <w:ind w:left="720" w:hanging="360"/>
        <w:jc w:val="both"/>
        <w:rPr>
          <w:rFonts w:ascii="Times New Roman" w:hAnsi="Times New Roman" w:cs="Times New Roman"/>
          <w:lang w:val="es-MX"/>
        </w:rPr>
      </w:pPr>
      <w:r w:rsidRPr="00B06FB8">
        <w:rPr>
          <w:rStyle w:val="FootnoteReference"/>
          <w:rFonts w:ascii="Times New Roman" w:hAnsi="Times New Roman" w:cs="Times New Roman"/>
          <w:vertAlign w:val="baseline"/>
        </w:rPr>
        <w:footnoteRef/>
      </w:r>
      <w:r w:rsidR="00B06FB8">
        <w:rPr>
          <w:rFonts w:ascii="Times New Roman" w:hAnsi="Times New Roman" w:cs="Times New Roman"/>
        </w:rPr>
        <w:t>.</w:t>
      </w:r>
      <w:r w:rsidR="00B06FB8">
        <w:rPr>
          <w:rFonts w:ascii="Times New Roman" w:hAnsi="Times New Roman" w:cs="Times New Roman"/>
        </w:rPr>
        <w:tab/>
      </w:r>
      <w:r w:rsidRPr="00B06FB8">
        <w:rPr>
          <w:rFonts w:ascii="Times New Roman" w:hAnsi="Times New Roman" w:cs="Times New Roman"/>
          <w:lang w:val="es-ES"/>
        </w:rPr>
        <w:t>Se resalta</w:t>
      </w:r>
      <w:r w:rsidR="0007749B" w:rsidRPr="00B06FB8">
        <w:rPr>
          <w:rFonts w:ascii="Times New Roman" w:hAnsi="Times New Roman" w:cs="Times New Roman"/>
          <w:lang w:val="es-ES"/>
        </w:rPr>
        <w:t xml:space="preserve">n los avances en la </w:t>
      </w:r>
      <w:r w:rsidRPr="00B06FB8">
        <w:rPr>
          <w:rFonts w:ascii="Times New Roman" w:hAnsi="Times New Roman" w:cs="Times New Roman"/>
          <w:lang w:val="es-ES"/>
        </w:rPr>
        <w:t>atención en salud</w:t>
      </w:r>
      <w:r w:rsidR="0007749B" w:rsidRPr="00B06FB8">
        <w:rPr>
          <w:rFonts w:ascii="Times New Roman" w:hAnsi="Times New Roman" w:cs="Times New Roman"/>
          <w:lang w:val="es-ES"/>
        </w:rPr>
        <w:t xml:space="preserve"> y</w:t>
      </w:r>
      <w:r w:rsidRPr="00B06FB8">
        <w:rPr>
          <w:rFonts w:ascii="Times New Roman" w:hAnsi="Times New Roman" w:cs="Times New Roman"/>
          <w:lang w:val="es-ES"/>
        </w:rPr>
        <w:t xml:space="preserve"> educación</w:t>
      </w:r>
      <w:r w:rsidR="004C0897" w:rsidRPr="00B06FB8">
        <w:rPr>
          <w:rFonts w:ascii="Times New Roman" w:hAnsi="Times New Roman" w:cs="Times New Roman"/>
          <w:lang w:val="es-ES"/>
        </w:rPr>
        <w:t>,</w:t>
      </w:r>
      <w:r w:rsidRPr="00B06FB8">
        <w:rPr>
          <w:rFonts w:ascii="Times New Roman" w:hAnsi="Times New Roman" w:cs="Times New Roman"/>
          <w:lang w:val="es-ES"/>
        </w:rPr>
        <w:t xml:space="preserve"> así como en la articulación interinstitucional para</w:t>
      </w:r>
      <w:r w:rsidR="00C351A3" w:rsidRPr="00B06FB8">
        <w:rPr>
          <w:rFonts w:ascii="Times New Roman" w:hAnsi="Times New Roman" w:cs="Times New Roman"/>
          <w:lang w:val="es-ES"/>
        </w:rPr>
        <w:t xml:space="preserve"> </w:t>
      </w:r>
      <w:r w:rsidRPr="00B06FB8">
        <w:rPr>
          <w:rFonts w:ascii="Times New Roman" w:hAnsi="Times New Roman" w:cs="Times New Roman"/>
          <w:lang w:val="es-ES"/>
        </w:rPr>
        <w:t xml:space="preserve">mejorar la oferta hacia los </w:t>
      </w:r>
      <w:r w:rsidR="0007749B" w:rsidRPr="00B06FB8">
        <w:rPr>
          <w:rFonts w:ascii="Times New Roman" w:hAnsi="Times New Roman" w:cs="Times New Roman"/>
          <w:lang w:val="es-ES"/>
        </w:rPr>
        <w:t>excombatientes</w:t>
      </w:r>
      <w:r w:rsidRPr="00B06FB8">
        <w:rPr>
          <w:rFonts w:ascii="Times New Roman" w:hAnsi="Times New Roman" w:cs="Times New Roman"/>
          <w:lang w:val="es-ES"/>
        </w:rPr>
        <w:t>, hecho</w:t>
      </w:r>
      <w:r w:rsidR="009923DF" w:rsidRPr="00B06FB8">
        <w:rPr>
          <w:rFonts w:ascii="Times New Roman" w:hAnsi="Times New Roman" w:cs="Times New Roman"/>
          <w:lang w:val="es-ES"/>
        </w:rPr>
        <w:t>s</w:t>
      </w:r>
      <w:r w:rsidRPr="00B06FB8">
        <w:rPr>
          <w:rFonts w:ascii="Times New Roman" w:hAnsi="Times New Roman" w:cs="Times New Roman"/>
          <w:lang w:val="es-ES"/>
        </w:rPr>
        <w:t xml:space="preserve"> que se traduce</w:t>
      </w:r>
      <w:r w:rsidR="009923DF" w:rsidRPr="00B06FB8">
        <w:rPr>
          <w:rFonts w:ascii="Times New Roman" w:hAnsi="Times New Roman" w:cs="Times New Roman"/>
          <w:lang w:val="es-ES"/>
        </w:rPr>
        <w:t>n</w:t>
      </w:r>
      <w:r w:rsidRPr="00B06FB8">
        <w:rPr>
          <w:rFonts w:ascii="Times New Roman" w:hAnsi="Times New Roman" w:cs="Times New Roman"/>
          <w:lang w:val="es-ES"/>
        </w:rPr>
        <w:t xml:space="preserve"> en índices positivos de satisfacción</w:t>
      </w:r>
      <w:r w:rsidR="009923DF" w:rsidRPr="00B06FB8">
        <w:rPr>
          <w:rFonts w:ascii="Times New Roman" w:hAnsi="Times New Roman" w:cs="Times New Roman"/>
          <w:lang w:val="es-ES"/>
        </w:rPr>
        <w:t>. A</w:t>
      </w:r>
      <w:r w:rsidRPr="00B06FB8">
        <w:rPr>
          <w:rFonts w:ascii="Times New Roman" w:hAnsi="Times New Roman" w:cs="Times New Roman"/>
          <w:lang w:val="es-ES"/>
        </w:rPr>
        <w:t xml:space="preserve"> pesar de ello</w:t>
      </w:r>
      <w:r w:rsidR="009923DF" w:rsidRPr="00B06FB8">
        <w:rPr>
          <w:rFonts w:ascii="Times New Roman" w:hAnsi="Times New Roman" w:cs="Times New Roman"/>
          <w:lang w:val="es-ES"/>
        </w:rPr>
        <w:t>,</w:t>
      </w:r>
      <w:r w:rsidRPr="00B06FB8">
        <w:rPr>
          <w:rFonts w:ascii="Times New Roman" w:hAnsi="Times New Roman" w:cs="Times New Roman"/>
          <w:lang w:val="es-ES"/>
        </w:rPr>
        <w:t xml:space="preserve"> </w:t>
      </w:r>
      <w:r w:rsidR="009923DF" w:rsidRPr="00B06FB8">
        <w:rPr>
          <w:rFonts w:ascii="Times New Roman" w:hAnsi="Times New Roman" w:cs="Times New Roman"/>
          <w:lang w:val="es-ES"/>
        </w:rPr>
        <w:t xml:space="preserve">se debe seguir </w:t>
      </w:r>
      <w:r w:rsidRPr="00B06FB8">
        <w:rPr>
          <w:rFonts w:ascii="Times New Roman" w:hAnsi="Times New Roman" w:cs="Times New Roman"/>
          <w:lang w:val="es-ES"/>
        </w:rPr>
        <w:t>avanzando en la política con base en las lecciones aprendidas de anteriores procesos para lograr un mayor anclaje de los participantes</w:t>
      </w:r>
      <w:r w:rsidR="009923DF" w:rsidRPr="00B06FB8">
        <w:rPr>
          <w:rFonts w:ascii="Times New Roman" w:hAnsi="Times New Roman" w:cs="Times New Roman"/>
          <w:lang w:val="es-ES"/>
        </w:rPr>
        <w:t xml:space="preserve"> (excombatientes)</w:t>
      </w:r>
      <w:r w:rsidRPr="00B06FB8">
        <w:rPr>
          <w:rFonts w:ascii="Times New Roman" w:hAnsi="Times New Roman" w:cs="Times New Roman"/>
          <w:lang w:val="es-ES"/>
        </w:rPr>
        <w:t xml:space="preserve"> en los programas.</w:t>
      </w:r>
    </w:p>
  </w:footnote>
  <w:footnote w:id="6">
    <w:p w14:paraId="01BECD9D" w14:textId="11EC279E" w:rsidR="001D0222" w:rsidRPr="00B06FB8" w:rsidRDefault="001D0222" w:rsidP="00B06FB8">
      <w:pPr>
        <w:pStyle w:val="FootnoteText"/>
        <w:tabs>
          <w:tab w:val="left" w:pos="720"/>
        </w:tabs>
        <w:ind w:left="720" w:hanging="360"/>
        <w:jc w:val="both"/>
        <w:rPr>
          <w:rFonts w:ascii="Times New Roman" w:hAnsi="Times New Roman" w:cs="Times New Roman"/>
          <w:lang w:val="es-MX"/>
        </w:rPr>
      </w:pPr>
      <w:r w:rsidRPr="00B06FB8">
        <w:rPr>
          <w:rStyle w:val="FootnoteReference"/>
          <w:rFonts w:ascii="Times New Roman" w:hAnsi="Times New Roman" w:cs="Times New Roman"/>
          <w:vertAlign w:val="baseline"/>
        </w:rPr>
        <w:footnoteRef/>
      </w:r>
      <w:r w:rsidR="00B06FB8">
        <w:rPr>
          <w:rFonts w:ascii="Times New Roman" w:hAnsi="Times New Roman" w:cs="Times New Roman"/>
        </w:rPr>
        <w:t>.</w:t>
      </w:r>
      <w:r w:rsidR="00B06FB8">
        <w:rPr>
          <w:rFonts w:ascii="Times New Roman" w:hAnsi="Times New Roman" w:cs="Times New Roman"/>
        </w:rPr>
        <w:tab/>
      </w:r>
      <w:r w:rsidRPr="00B06FB8">
        <w:rPr>
          <w:rFonts w:ascii="Times New Roman" w:hAnsi="Times New Roman" w:cs="Times New Roman"/>
          <w:lang w:val="es-ES"/>
        </w:rPr>
        <w:t xml:space="preserve">El legado es una estrategia que se conforma de 3 componentes: </w:t>
      </w:r>
      <w:r w:rsidR="0007749B" w:rsidRPr="00B06FB8">
        <w:rPr>
          <w:rFonts w:ascii="Times New Roman" w:hAnsi="Times New Roman" w:cs="Times New Roman"/>
          <w:lang w:val="es-ES"/>
        </w:rPr>
        <w:t xml:space="preserve">la </w:t>
      </w:r>
      <w:r w:rsidRPr="00B06FB8">
        <w:rPr>
          <w:rFonts w:ascii="Times New Roman" w:hAnsi="Times New Roman" w:cs="Times New Roman"/>
          <w:lang w:val="es-ES"/>
        </w:rPr>
        <w:t xml:space="preserve">red de </w:t>
      </w:r>
      <w:r w:rsidR="0007749B" w:rsidRPr="00B06FB8">
        <w:rPr>
          <w:rFonts w:ascii="Times New Roman" w:hAnsi="Times New Roman" w:cs="Times New Roman"/>
          <w:lang w:val="es-ES"/>
        </w:rPr>
        <w:t>a</w:t>
      </w:r>
      <w:r w:rsidRPr="00B06FB8">
        <w:rPr>
          <w:rFonts w:ascii="Times New Roman" w:hAnsi="Times New Roman" w:cs="Times New Roman"/>
          <w:lang w:val="es-ES"/>
        </w:rPr>
        <w:t>liados de la que hacen partes organizaciones de la sociedad civil entidades, instituciones, sectores y organismos internacionales</w:t>
      </w:r>
      <w:r w:rsidR="0007749B" w:rsidRPr="00B06FB8">
        <w:rPr>
          <w:rFonts w:ascii="Times New Roman" w:hAnsi="Times New Roman" w:cs="Times New Roman"/>
          <w:lang w:val="es-ES"/>
        </w:rPr>
        <w:t>; e</w:t>
      </w:r>
      <w:r w:rsidRPr="00B06FB8">
        <w:rPr>
          <w:rFonts w:ascii="Times New Roman" w:hAnsi="Times New Roman" w:cs="Times New Roman"/>
          <w:lang w:val="es-ES"/>
        </w:rPr>
        <w:t>l Informe Final que es el documento narrativo</w:t>
      </w:r>
      <w:r w:rsidR="0007749B" w:rsidRPr="00B06FB8">
        <w:rPr>
          <w:rFonts w:ascii="Times New Roman" w:hAnsi="Times New Roman" w:cs="Times New Roman"/>
          <w:lang w:val="es-ES"/>
        </w:rPr>
        <w:t xml:space="preserve"> que</w:t>
      </w:r>
      <w:r w:rsidRPr="00B06FB8">
        <w:rPr>
          <w:rFonts w:ascii="Times New Roman" w:hAnsi="Times New Roman" w:cs="Times New Roman"/>
          <w:lang w:val="es-ES"/>
        </w:rPr>
        <w:t xml:space="preserve"> </w:t>
      </w:r>
      <w:r w:rsidR="0007749B" w:rsidRPr="00B06FB8">
        <w:rPr>
          <w:rFonts w:ascii="Times New Roman" w:hAnsi="Times New Roman" w:cs="Times New Roman"/>
          <w:lang w:val="es-ES"/>
        </w:rPr>
        <w:t xml:space="preserve">haría </w:t>
      </w:r>
      <w:r w:rsidRPr="00B06FB8">
        <w:rPr>
          <w:rFonts w:ascii="Times New Roman" w:hAnsi="Times New Roman" w:cs="Times New Roman"/>
          <w:lang w:val="es-ES"/>
        </w:rPr>
        <w:t xml:space="preserve">un relato sobre el conflicto y los factores de persistencia en clave de no repetición y convivencia; y la </w:t>
      </w:r>
      <w:r w:rsidR="0007749B" w:rsidRPr="00B06FB8">
        <w:rPr>
          <w:rFonts w:ascii="Times New Roman" w:hAnsi="Times New Roman" w:cs="Times New Roman"/>
          <w:lang w:val="es-ES"/>
        </w:rPr>
        <w:t xml:space="preserve">narración </w:t>
      </w:r>
      <w:proofErr w:type="spellStart"/>
      <w:r w:rsidRPr="00B06FB8">
        <w:rPr>
          <w:rFonts w:ascii="Times New Roman" w:hAnsi="Times New Roman" w:cs="Times New Roman"/>
          <w:lang w:val="es-ES"/>
        </w:rPr>
        <w:t>transmedia</w:t>
      </w:r>
      <w:proofErr w:type="spellEnd"/>
      <w:r w:rsidRPr="00B06FB8">
        <w:rPr>
          <w:rFonts w:ascii="Times New Roman" w:hAnsi="Times New Roman" w:cs="Times New Roman"/>
          <w:lang w:val="es-ES"/>
        </w:rPr>
        <w:t>, que son iniciativas digitales que van a apoyar y maximizar el ejercicio de conocimiento y apropiación del Informe Final</w:t>
      </w:r>
      <w:r w:rsidR="0007749B" w:rsidRPr="00B06FB8">
        <w:rPr>
          <w:rFonts w:ascii="Times New Roman" w:hAnsi="Times New Roman" w:cs="Times New Roman"/>
          <w:lang w:val="es-ES"/>
        </w:rPr>
        <w:t>.</w:t>
      </w:r>
    </w:p>
  </w:footnote>
  <w:footnote w:id="7">
    <w:p w14:paraId="42E6BD02" w14:textId="3B4612BA" w:rsidR="009F67C1" w:rsidRPr="00B06FB8" w:rsidRDefault="009F67C1" w:rsidP="00B06FB8">
      <w:pPr>
        <w:pStyle w:val="FootnoteText"/>
        <w:tabs>
          <w:tab w:val="left" w:pos="720"/>
        </w:tabs>
        <w:ind w:left="720" w:hanging="360"/>
        <w:jc w:val="both"/>
        <w:rPr>
          <w:rFonts w:ascii="Times New Roman" w:hAnsi="Times New Roman" w:cs="Times New Roman"/>
          <w:color w:val="FF0000"/>
        </w:rPr>
      </w:pPr>
      <w:r w:rsidRPr="00B06FB8">
        <w:rPr>
          <w:rStyle w:val="FootnoteReference"/>
          <w:rFonts w:ascii="Times New Roman" w:hAnsi="Times New Roman" w:cs="Times New Roman"/>
          <w:vertAlign w:val="baseline"/>
        </w:rPr>
        <w:footnoteRef/>
      </w:r>
      <w:r w:rsidR="00B06FB8">
        <w:rPr>
          <w:rFonts w:ascii="Times New Roman" w:hAnsi="Times New Roman" w:cs="Times New Roman"/>
        </w:rPr>
        <w:t>.</w:t>
      </w:r>
      <w:r w:rsidR="00B06FB8">
        <w:rPr>
          <w:rFonts w:ascii="Times New Roman" w:hAnsi="Times New Roman" w:cs="Times New Roman"/>
        </w:rPr>
        <w:tab/>
      </w:r>
      <w:r w:rsidRPr="00B06FB8">
        <w:rPr>
          <w:rFonts w:ascii="Times New Roman" w:hAnsi="Times New Roman" w:cs="Times New Roman"/>
        </w:rPr>
        <w:t>En el presente informe se hará referencia a los grupos armados ilegales (</w:t>
      </w:r>
      <w:proofErr w:type="spellStart"/>
      <w:r w:rsidRPr="00B06FB8">
        <w:rPr>
          <w:rFonts w:ascii="Times New Roman" w:hAnsi="Times New Roman" w:cs="Times New Roman"/>
        </w:rPr>
        <w:t>GAI</w:t>
      </w:r>
      <w:proofErr w:type="spellEnd"/>
      <w:r w:rsidRPr="00B06FB8">
        <w:rPr>
          <w:rFonts w:ascii="Times New Roman" w:hAnsi="Times New Roman" w:cs="Times New Roman"/>
        </w:rPr>
        <w:t xml:space="preserve">) con las siguientes denominaciones que combinan decisiones gubernamentales y la forma como son reconocidos en los territorios: Ejército de Liberación Nacional (ELN), Grupos disidentes o residuales de las FARC-EP, Ejército Popular de Liberación o Los </w:t>
      </w:r>
      <w:proofErr w:type="spellStart"/>
      <w:r w:rsidRPr="00B06FB8">
        <w:rPr>
          <w:rFonts w:ascii="Times New Roman" w:hAnsi="Times New Roman" w:cs="Times New Roman"/>
        </w:rPr>
        <w:t>Pelusos</w:t>
      </w:r>
      <w:proofErr w:type="spellEnd"/>
      <w:r w:rsidRPr="00B06FB8">
        <w:rPr>
          <w:rFonts w:ascii="Times New Roman" w:hAnsi="Times New Roman" w:cs="Times New Roman"/>
        </w:rPr>
        <w:t xml:space="preserve"> (</w:t>
      </w:r>
      <w:proofErr w:type="spellStart"/>
      <w:r w:rsidRPr="00B06FB8">
        <w:rPr>
          <w:rFonts w:ascii="Times New Roman" w:hAnsi="Times New Roman" w:cs="Times New Roman"/>
        </w:rPr>
        <w:t>EPL</w:t>
      </w:r>
      <w:proofErr w:type="spellEnd"/>
      <w:r w:rsidRPr="00B06FB8">
        <w:rPr>
          <w:rFonts w:ascii="Times New Roman" w:hAnsi="Times New Roman" w:cs="Times New Roman"/>
        </w:rPr>
        <w:t>/</w:t>
      </w:r>
      <w:proofErr w:type="spellStart"/>
      <w:r w:rsidRPr="00B06FB8">
        <w:rPr>
          <w:rFonts w:ascii="Times New Roman" w:hAnsi="Times New Roman" w:cs="Times New Roman"/>
        </w:rPr>
        <w:t>Pelusos</w:t>
      </w:r>
      <w:proofErr w:type="spellEnd"/>
      <w:r w:rsidRPr="00B06FB8">
        <w:rPr>
          <w:rFonts w:ascii="Times New Roman" w:hAnsi="Times New Roman" w:cs="Times New Roman"/>
        </w:rPr>
        <w:t xml:space="preserve">), Autodefensas </w:t>
      </w:r>
      <w:proofErr w:type="spellStart"/>
      <w:r w:rsidRPr="00B06FB8">
        <w:rPr>
          <w:rFonts w:ascii="Times New Roman" w:hAnsi="Times New Roman" w:cs="Times New Roman"/>
        </w:rPr>
        <w:t>Gaitanistas</w:t>
      </w:r>
      <w:proofErr w:type="spellEnd"/>
      <w:r w:rsidRPr="00B06FB8">
        <w:rPr>
          <w:rFonts w:ascii="Times New Roman" w:hAnsi="Times New Roman" w:cs="Times New Roman"/>
        </w:rPr>
        <w:t xml:space="preserve"> de Colombia o Clan del Golfo (</w:t>
      </w:r>
      <w:proofErr w:type="spellStart"/>
      <w:r w:rsidRPr="00B06FB8">
        <w:rPr>
          <w:rFonts w:ascii="Times New Roman" w:hAnsi="Times New Roman" w:cs="Times New Roman"/>
        </w:rPr>
        <w:t>AGC</w:t>
      </w:r>
      <w:proofErr w:type="spellEnd"/>
      <w:r w:rsidRPr="00B06FB8">
        <w:rPr>
          <w:rFonts w:ascii="Times New Roman" w:hAnsi="Times New Roman" w:cs="Times New Roman"/>
        </w:rPr>
        <w:t>/Clan del Golfo), Bloque Virgilio Peralta Arenas o Los Caparros.</w:t>
      </w:r>
    </w:p>
  </w:footnote>
  <w:footnote w:id="8">
    <w:p w14:paraId="5A5E1BD6" w14:textId="54891A14" w:rsidR="009F67C1" w:rsidRPr="00B06FB8" w:rsidRDefault="009F67C1" w:rsidP="00B06FB8">
      <w:pPr>
        <w:pStyle w:val="FootnoteText"/>
        <w:tabs>
          <w:tab w:val="left" w:pos="720"/>
        </w:tabs>
        <w:ind w:left="720" w:hanging="360"/>
        <w:jc w:val="both"/>
        <w:rPr>
          <w:rFonts w:ascii="Times New Roman" w:hAnsi="Times New Roman" w:cs="Times New Roman"/>
        </w:rPr>
      </w:pPr>
      <w:r w:rsidRPr="00B06FB8">
        <w:rPr>
          <w:rStyle w:val="FootnoteReference"/>
          <w:rFonts w:ascii="Times New Roman" w:hAnsi="Times New Roman" w:cs="Times New Roman"/>
          <w:vertAlign w:val="baseline"/>
        </w:rPr>
        <w:footnoteRef/>
      </w:r>
      <w:r w:rsidR="00B06FB8">
        <w:rPr>
          <w:rFonts w:ascii="Times New Roman" w:hAnsi="Times New Roman" w:cs="Times New Roman"/>
        </w:rPr>
        <w:t>.</w:t>
      </w:r>
      <w:r w:rsidR="00B06FB8">
        <w:rPr>
          <w:rFonts w:ascii="Times New Roman" w:hAnsi="Times New Roman" w:cs="Times New Roman"/>
        </w:rPr>
        <w:tab/>
      </w:r>
      <w:r w:rsidRPr="00B06FB8">
        <w:rPr>
          <w:rFonts w:ascii="Times New Roman" w:hAnsi="Times New Roman" w:cs="Times New Roman"/>
        </w:rPr>
        <w:t xml:space="preserve">En pasos informales o “trochas” existen diversas normas de comportamiento y control por parte de </w:t>
      </w:r>
      <w:proofErr w:type="spellStart"/>
      <w:r w:rsidRPr="00B06FB8">
        <w:rPr>
          <w:rFonts w:ascii="Times New Roman" w:hAnsi="Times New Roman" w:cs="Times New Roman"/>
        </w:rPr>
        <w:t>GAI</w:t>
      </w:r>
      <w:proofErr w:type="spellEnd"/>
      <w:r w:rsidRPr="00B06FB8">
        <w:rPr>
          <w:rFonts w:ascii="Times New Roman" w:hAnsi="Times New Roman" w:cs="Times New Roman"/>
        </w:rPr>
        <w:t xml:space="preserve"> que no solo están dirigidas a la población transeúnte sino también a maleteros, mototaxistas, contrabandistas e informantes. Cuando alguna de estas normas no se cumple, las sanciones pueden ser la tortura y tratos crueles hasta el homicidio; estas prácticas involucran a todos los </w:t>
      </w:r>
      <w:proofErr w:type="spellStart"/>
      <w:r w:rsidRPr="00B06FB8">
        <w:rPr>
          <w:rFonts w:ascii="Times New Roman" w:hAnsi="Times New Roman" w:cs="Times New Roman"/>
        </w:rPr>
        <w:t>GAI</w:t>
      </w:r>
      <w:proofErr w:type="spellEnd"/>
      <w:r w:rsidRPr="00B06FB8">
        <w:rPr>
          <w:rFonts w:ascii="Times New Roman" w:hAnsi="Times New Roman" w:cs="Times New Roman"/>
        </w:rPr>
        <w:t>.</w:t>
      </w:r>
    </w:p>
  </w:footnote>
  <w:footnote w:id="9">
    <w:p w14:paraId="6F05AC91" w14:textId="3042A4DE" w:rsidR="00E503BD" w:rsidRPr="00B06FB8" w:rsidRDefault="00E503BD" w:rsidP="00B06FB8">
      <w:pPr>
        <w:pStyle w:val="FootnoteText"/>
        <w:tabs>
          <w:tab w:val="left" w:pos="720"/>
        </w:tabs>
        <w:ind w:left="720" w:hanging="360"/>
        <w:jc w:val="both"/>
        <w:rPr>
          <w:rFonts w:ascii="Times New Roman" w:hAnsi="Times New Roman" w:cs="Times New Roman"/>
        </w:rPr>
      </w:pPr>
      <w:r w:rsidRPr="00B06FB8">
        <w:rPr>
          <w:rStyle w:val="FootnoteReference"/>
          <w:rFonts w:ascii="Times New Roman" w:hAnsi="Times New Roman" w:cs="Times New Roman"/>
          <w:vertAlign w:val="baseline"/>
        </w:rPr>
        <w:footnoteRef/>
      </w:r>
      <w:r w:rsidR="00B06FB8">
        <w:rPr>
          <w:rFonts w:ascii="Times New Roman" w:hAnsi="Times New Roman" w:cs="Times New Roman"/>
        </w:rPr>
        <w:t>.</w:t>
      </w:r>
      <w:r w:rsidR="00B06FB8">
        <w:rPr>
          <w:rFonts w:ascii="Times New Roman" w:hAnsi="Times New Roman" w:cs="Times New Roman"/>
        </w:rPr>
        <w:tab/>
      </w:r>
      <w:r w:rsidR="0018494B" w:rsidRPr="00B06FB8">
        <w:rPr>
          <w:rFonts w:ascii="Times New Roman" w:hAnsi="Times New Roman" w:cs="Times New Roman"/>
        </w:rPr>
        <w:t xml:space="preserve">Este es el caso de la organización </w:t>
      </w:r>
      <w:proofErr w:type="spellStart"/>
      <w:r w:rsidR="0018494B" w:rsidRPr="00B06FB8">
        <w:rPr>
          <w:rFonts w:ascii="Times New Roman" w:hAnsi="Times New Roman" w:cs="Times New Roman"/>
        </w:rPr>
        <w:t>Save</w:t>
      </w:r>
      <w:proofErr w:type="spellEnd"/>
      <w:r w:rsidR="0018494B" w:rsidRPr="00B06FB8">
        <w:rPr>
          <w:rFonts w:ascii="Times New Roman" w:hAnsi="Times New Roman" w:cs="Times New Roman"/>
        </w:rPr>
        <w:t xml:space="preserve"> The </w:t>
      </w:r>
      <w:proofErr w:type="spellStart"/>
      <w:r w:rsidR="0018494B" w:rsidRPr="00B06FB8">
        <w:rPr>
          <w:rFonts w:ascii="Times New Roman" w:hAnsi="Times New Roman" w:cs="Times New Roman"/>
        </w:rPr>
        <w:t>Children</w:t>
      </w:r>
      <w:proofErr w:type="spellEnd"/>
      <w:r w:rsidR="0018494B" w:rsidRPr="00B06FB8">
        <w:rPr>
          <w:rFonts w:ascii="Times New Roman" w:hAnsi="Times New Roman" w:cs="Times New Roman"/>
        </w:rPr>
        <w:t>, quienes el</w:t>
      </w:r>
      <w:r w:rsidR="0051217B" w:rsidRPr="00B06FB8">
        <w:rPr>
          <w:rFonts w:ascii="Times New Roman" w:hAnsi="Times New Roman" w:cs="Times New Roman"/>
        </w:rPr>
        <w:t xml:space="preserve"> 12 de marzo del 2021</w:t>
      </w:r>
      <w:r w:rsidR="0018494B" w:rsidRPr="00B06FB8">
        <w:rPr>
          <w:rFonts w:ascii="Times New Roman" w:hAnsi="Times New Roman" w:cs="Times New Roman"/>
        </w:rPr>
        <w:t xml:space="preserve"> publicaron </w:t>
      </w:r>
      <w:r w:rsidR="0051217B" w:rsidRPr="00B06FB8">
        <w:rPr>
          <w:rFonts w:ascii="Times New Roman" w:hAnsi="Times New Roman" w:cs="Times New Roman"/>
        </w:rPr>
        <w:t>en su página web un comunicado en el que describía</w:t>
      </w:r>
      <w:r w:rsidR="006D7B85" w:rsidRPr="00B06FB8">
        <w:rPr>
          <w:rFonts w:ascii="Times New Roman" w:hAnsi="Times New Roman" w:cs="Times New Roman"/>
        </w:rPr>
        <w:t>n</w:t>
      </w:r>
      <w:r w:rsidR="0051217B" w:rsidRPr="00B06FB8">
        <w:rPr>
          <w:rFonts w:ascii="Times New Roman" w:hAnsi="Times New Roman" w:cs="Times New Roman"/>
        </w:rPr>
        <w:t xml:space="preserve"> que </w:t>
      </w:r>
      <w:r w:rsidR="0091563B" w:rsidRPr="00B06FB8">
        <w:rPr>
          <w:rFonts w:ascii="Times New Roman" w:hAnsi="Times New Roman" w:cs="Times New Roman"/>
        </w:rPr>
        <w:t xml:space="preserve">habían sido víctimas de incidentes de seguridad en </w:t>
      </w:r>
      <w:r w:rsidR="00FA7A06" w:rsidRPr="00B06FB8">
        <w:rPr>
          <w:rFonts w:ascii="Times New Roman" w:hAnsi="Times New Roman" w:cs="Times New Roman"/>
        </w:rPr>
        <w:t>el municipio de Teorama (Norte de Santander)</w:t>
      </w:r>
      <w:r w:rsidR="0091563B" w:rsidRPr="00B06FB8">
        <w:rPr>
          <w:rFonts w:ascii="Times New Roman" w:hAnsi="Times New Roman" w:cs="Times New Roman"/>
        </w:rPr>
        <w:t xml:space="preserve">. Disponible en: </w:t>
      </w:r>
      <w:hyperlink r:id="rId1" w:history="1">
        <w:r w:rsidR="00744C46" w:rsidRPr="00B06FB8">
          <w:rPr>
            <w:rFonts w:ascii="Times New Roman" w:hAnsi="Times New Roman" w:cs="Times New Roman"/>
          </w:rPr>
          <w:t>https://savethechildren.org.co/save-the-children-colombia-suspende-operacion-en-teorama-y-convencion-norte-de-santander-debido-a-incidentes-de-seguridad/</w:t>
        </w:r>
      </w:hyperlink>
      <w:r w:rsidR="0018494B" w:rsidRPr="00B06FB8">
        <w:rPr>
          <w:rFonts w:ascii="Times New Roman" w:hAnsi="Times New Roman" w:cs="Times New Roman"/>
        </w:rPr>
        <w:t xml:space="preserve"> </w:t>
      </w:r>
    </w:p>
  </w:footnote>
  <w:footnote w:id="10">
    <w:p w14:paraId="7FEAC7D3" w14:textId="32F578E0" w:rsidR="009F67C1" w:rsidRPr="00B06FB8" w:rsidRDefault="009F67C1" w:rsidP="00B06FB8">
      <w:pPr>
        <w:pStyle w:val="FootnoteText"/>
        <w:tabs>
          <w:tab w:val="left" w:pos="720"/>
        </w:tabs>
        <w:ind w:left="720" w:hanging="360"/>
        <w:jc w:val="both"/>
        <w:rPr>
          <w:rFonts w:ascii="Times New Roman" w:hAnsi="Times New Roman" w:cs="Times New Roman"/>
          <w:lang w:val="es-ES_tradnl"/>
        </w:rPr>
      </w:pPr>
      <w:r w:rsidRPr="00B06FB8">
        <w:rPr>
          <w:rStyle w:val="FootnoteReference"/>
          <w:rFonts w:ascii="Times New Roman" w:hAnsi="Times New Roman" w:cs="Times New Roman"/>
          <w:vertAlign w:val="baseline"/>
        </w:rPr>
        <w:footnoteRef/>
      </w:r>
      <w:r w:rsidR="00B06FB8">
        <w:rPr>
          <w:rFonts w:ascii="Times New Roman" w:hAnsi="Times New Roman" w:cs="Times New Roman"/>
        </w:rPr>
        <w:t>.</w:t>
      </w:r>
      <w:r w:rsidR="00B06FB8">
        <w:rPr>
          <w:rFonts w:ascii="Times New Roman" w:hAnsi="Times New Roman" w:cs="Times New Roman"/>
        </w:rPr>
        <w:tab/>
      </w:r>
      <w:r w:rsidRPr="00B06FB8">
        <w:rPr>
          <w:rFonts w:ascii="Times New Roman" w:hAnsi="Times New Roman" w:cs="Times New Roman"/>
        </w:rPr>
        <w:t xml:space="preserve">A comienzos del mes de julio de 2021 se presentaron enfrentamientos entre el ELN y el “Frente 37” en límites entre los municipios de Montecristo y Santa Rosa del Sur, Bolívar. </w:t>
      </w:r>
    </w:p>
  </w:footnote>
  <w:footnote w:id="11">
    <w:p w14:paraId="3AC00C63" w14:textId="02CED34F" w:rsidR="009F67C1" w:rsidRPr="00B06FB8" w:rsidRDefault="009F67C1" w:rsidP="00B06FB8">
      <w:pPr>
        <w:pStyle w:val="FootnoteText"/>
        <w:tabs>
          <w:tab w:val="left" w:pos="720"/>
        </w:tabs>
        <w:ind w:left="720" w:hanging="360"/>
        <w:jc w:val="both"/>
        <w:rPr>
          <w:rFonts w:ascii="Times New Roman" w:hAnsi="Times New Roman" w:cs="Times New Roman"/>
          <w:lang w:val="es-ES_tradnl"/>
        </w:rPr>
      </w:pPr>
      <w:r w:rsidRPr="00B06FB8">
        <w:rPr>
          <w:rStyle w:val="FootnoteReference"/>
          <w:rFonts w:ascii="Times New Roman" w:hAnsi="Times New Roman" w:cs="Times New Roman"/>
          <w:vertAlign w:val="baseline"/>
        </w:rPr>
        <w:footnoteRef/>
      </w:r>
      <w:r w:rsidR="00B06FB8">
        <w:rPr>
          <w:rFonts w:ascii="Times New Roman" w:hAnsi="Times New Roman" w:cs="Times New Roman"/>
        </w:rPr>
        <w:t>.</w:t>
      </w:r>
      <w:r w:rsidR="00B06FB8">
        <w:rPr>
          <w:rFonts w:ascii="Times New Roman" w:hAnsi="Times New Roman" w:cs="Times New Roman"/>
        </w:rPr>
        <w:tab/>
      </w:r>
      <w:r w:rsidRPr="00B06FB8">
        <w:rPr>
          <w:rFonts w:ascii="Times New Roman" w:hAnsi="Times New Roman" w:cs="Times New Roman"/>
        </w:rPr>
        <w:t>A mediados del mes de julio de 2021 se presentó un enfrentamiento entre el ELN y el “Frente 33” en zona rural del municipio de Convención</w:t>
      </w:r>
      <w:r w:rsidR="008B7030" w:rsidRPr="00B06FB8">
        <w:rPr>
          <w:rFonts w:ascii="Times New Roman" w:hAnsi="Times New Roman" w:cs="Times New Roman"/>
        </w:rPr>
        <w:t xml:space="preserve"> (</w:t>
      </w:r>
      <w:r w:rsidRPr="00B06FB8">
        <w:rPr>
          <w:rFonts w:ascii="Times New Roman" w:hAnsi="Times New Roman" w:cs="Times New Roman"/>
        </w:rPr>
        <w:t>Norte de Santander</w:t>
      </w:r>
      <w:r w:rsidR="008B7030" w:rsidRPr="00B06FB8">
        <w:rPr>
          <w:rFonts w:ascii="Times New Roman" w:hAnsi="Times New Roman" w:cs="Times New Roman"/>
        </w:rPr>
        <w:t>).</w:t>
      </w:r>
    </w:p>
  </w:footnote>
  <w:footnote w:id="12">
    <w:p w14:paraId="549FE4C2" w14:textId="24BFDE6B" w:rsidR="009F67C1" w:rsidRPr="00B06FB8" w:rsidRDefault="009F67C1" w:rsidP="00B06FB8">
      <w:pPr>
        <w:pStyle w:val="FootnoteText"/>
        <w:tabs>
          <w:tab w:val="left" w:pos="720"/>
        </w:tabs>
        <w:ind w:left="708" w:hanging="348"/>
        <w:jc w:val="both"/>
        <w:rPr>
          <w:rFonts w:ascii="Times New Roman" w:hAnsi="Times New Roman" w:cs="Times New Roman"/>
          <w:lang w:val="es-ES_tradnl"/>
        </w:rPr>
      </w:pPr>
      <w:r w:rsidRPr="00B06FB8">
        <w:rPr>
          <w:rStyle w:val="FootnoteReference"/>
          <w:rFonts w:ascii="Times New Roman" w:hAnsi="Times New Roman" w:cs="Times New Roman"/>
          <w:vertAlign w:val="baseline"/>
        </w:rPr>
        <w:footnoteRef/>
      </w:r>
      <w:r w:rsidR="00B06FB8">
        <w:rPr>
          <w:rFonts w:ascii="Times New Roman" w:hAnsi="Times New Roman" w:cs="Times New Roman"/>
        </w:rPr>
        <w:t>.</w:t>
      </w:r>
      <w:r w:rsidR="00B06FB8">
        <w:rPr>
          <w:rFonts w:ascii="Times New Roman" w:hAnsi="Times New Roman" w:cs="Times New Roman"/>
        </w:rPr>
        <w:tab/>
      </w:r>
      <w:r w:rsidRPr="00B06FB8">
        <w:rPr>
          <w:rFonts w:ascii="Times New Roman" w:hAnsi="Times New Roman" w:cs="Times New Roman"/>
          <w:lang w:val="es-ES_tradnl"/>
        </w:rPr>
        <w:t>Este grupo era percibido como disidente o residual del Frente 48. En 2020</w:t>
      </w:r>
      <w:r w:rsidR="008205A8" w:rsidRPr="00B06FB8">
        <w:rPr>
          <w:rFonts w:ascii="Times New Roman" w:hAnsi="Times New Roman" w:cs="Times New Roman"/>
          <w:lang w:val="es-ES_tradnl"/>
        </w:rPr>
        <w:t>,</w:t>
      </w:r>
      <w:r w:rsidRPr="00B06FB8">
        <w:rPr>
          <w:rFonts w:ascii="Times New Roman" w:hAnsi="Times New Roman" w:cs="Times New Roman"/>
          <w:lang w:val="es-ES_tradnl"/>
        </w:rPr>
        <w:t xml:space="preserve"> asumió el nombre de “Comandos de la Frontera” y en un video que circuló en marzo de 2021 anunció su adherencia a la “Segunda Marquetalia”, por lo que el nombre con el que actualmente se está haciendo conocer es “Comandos de la Frontera- Ejército Bolivariano”. </w:t>
      </w:r>
    </w:p>
  </w:footnote>
  <w:footnote w:id="13">
    <w:p w14:paraId="4A1A4208" w14:textId="3A4CB3DC" w:rsidR="009F67C1" w:rsidRPr="00B06FB8" w:rsidRDefault="009F67C1" w:rsidP="00B06FB8">
      <w:pPr>
        <w:pStyle w:val="FootnoteText"/>
        <w:tabs>
          <w:tab w:val="left" w:pos="720"/>
        </w:tabs>
        <w:ind w:left="720" w:hanging="360"/>
        <w:jc w:val="both"/>
        <w:rPr>
          <w:rFonts w:ascii="Times New Roman" w:hAnsi="Times New Roman" w:cs="Times New Roman"/>
        </w:rPr>
      </w:pPr>
      <w:r w:rsidRPr="00B06FB8">
        <w:rPr>
          <w:rStyle w:val="FootnoteReference"/>
          <w:rFonts w:ascii="Times New Roman" w:hAnsi="Times New Roman" w:cs="Times New Roman"/>
          <w:vertAlign w:val="baseline"/>
        </w:rPr>
        <w:footnoteRef/>
      </w:r>
      <w:r w:rsidR="00B06FB8">
        <w:rPr>
          <w:rFonts w:ascii="Times New Roman" w:hAnsi="Times New Roman" w:cs="Times New Roman"/>
        </w:rPr>
        <w:t>.</w:t>
      </w:r>
      <w:r w:rsidR="00B06FB8">
        <w:rPr>
          <w:rFonts w:ascii="Times New Roman" w:hAnsi="Times New Roman" w:cs="Times New Roman"/>
        </w:rPr>
        <w:tab/>
      </w:r>
      <w:r w:rsidRPr="00B06FB8">
        <w:rPr>
          <w:rFonts w:ascii="Times New Roman" w:hAnsi="Times New Roman" w:cs="Times New Roman"/>
        </w:rPr>
        <w:t>Consiste en ataques con armas de fuego a uniformados que se encuentran en pequeños grupos y que son afectados por personas que actúan individualmente.</w:t>
      </w:r>
    </w:p>
  </w:footnote>
  <w:footnote w:id="14">
    <w:p w14:paraId="01B73AAA" w14:textId="0874D394" w:rsidR="00C9742D" w:rsidRPr="00B06FB8" w:rsidRDefault="00C9742D" w:rsidP="00B06FB8">
      <w:pPr>
        <w:pStyle w:val="FootnoteText"/>
        <w:tabs>
          <w:tab w:val="left" w:pos="720"/>
        </w:tabs>
        <w:ind w:left="720" w:hanging="360"/>
        <w:jc w:val="both"/>
        <w:rPr>
          <w:rFonts w:ascii="Times New Roman" w:hAnsi="Times New Roman" w:cs="Times New Roman"/>
          <w:lang w:val="es-ES_tradnl"/>
        </w:rPr>
      </w:pPr>
      <w:r w:rsidRPr="00B06FB8">
        <w:rPr>
          <w:rStyle w:val="FootnoteReference"/>
          <w:rFonts w:ascii="Times New Roman" w:hAnsi="Times New Roman" w:cs="Times New Roman"/>
          <w:vertAlign w:val="baseline"/>
        </w:rPr>
        <w:footnoteRef/>
      </w:r>
      <w:r w:rsidR="00B06FB8">
        <w:rPr>
          <w:rStyle w:val="FootnoteReference"/>
          <w:rFonts w:ascii="Times New Roman" w:hAnsi="Times New Roman" w:cs="Times New Roman"/>
          <w:vertAlign w:val="baseline"/>
        </w:rPr>
        <w:t>.</w:t>
      </w:r>
      <w:r w:rsidR="00B06FB8">
        <w:rPr>
          <w:rStyle w:val="FootnoteReference"/>
          <w:rFonts w:ascii="Times New Roman" w:hAnsi="Times New Roman" w:cs="Times New Roman"/>
          <w:vertAlign w:val="baseline"/>
        </w:rPr>
        <w:tab/>
      </w:r>
      <w:r w:rsidR="00287535" w:rsidRPr="00B06FB8">
        <w:rPr>
          <w:rFonts w:ascii="Times New Roman" w:hAnsi="Times New Roman" w:cs="Times New Roman"/>
          <w:lang w:val="es-ES_tradnl"/>
        </w:rPr>
        <w:t xml:space="preserve">Además, según lo informado por el Ministerio de </w:t>
      </w:r>
      <w:r w:rsidR="009923DF" w:rsidRPr="00B06FB8">
        <w:rPr>
          <w:rFonts w:ascii="Times New Roman" w:hAnsi="Times New Roman" w:cs="Times New Roman"/>
          <w:lang w:val="es-ES_tradnl"/>
        </w:rPr>
        <w:t>D</w:t>
      </w:r>
      <w:r w:rsidR="00287535" w:rsidRPr="00B06FB8">
        <w:rPr>
          <w:rFonts w:ascii="Times New Roman" w:hAnsi="Times New Roman" w:cs="Times New Roman"/>
          <w:lang w:val="es-ES_tradnl"/>
        </w:rPr>
        <w:t>efensa</w:t>
      </w:r>
      <w:r w:rsidR="009923DF" w:rsidRPr="00B06FB8">
        <w:rPr>
          <w:rFonts w:ascii="Times New Roman" w:hAnsi="Times New Roman" w:cs="Times New Roman"/>
          <w:lang w:val="es-ES_tradnl"/>
        </w:rPr>
        <w:t xml:space="preserve"> Nacional</w:t>
      </w:r>
      <w:r w:rsidR="00287535" w:rsidRPr="00B06FB8">
        <w:rPr>
          <w:rFonts w:ascii="Times New Roman" w:hAnsi="Times New Roman" w:cs="Times New Roman"/>
          <w:lang w:val="es-ES_tradnl"/>
        </w:rPr>
        <w:t xml:space="preserve"> a la </w:t>
      </w:r>
      <w:proofErr w:type="spellStart"/>
      <w:r w:rsidR="00287535" w:rsidRPr="00B06FB8">
        <w:rPr>
          <w:rFonts w:ascii="Times New Roman" w:hAnsi="Times New Roman" w:cs="Times New Roman"/>
          <w:lang w:val="es-ES_tradnl"/>
        </w:rPr>
        <w:t>MAPP</w:t>
      </w:r>
      <w:proofErr w:type="spellEnd"/>
      <w:r w:rsidR="00287535" w:rsidRPr="00B06FB8">
        <w:rPr>
          <w:rFonts w:ascii="Times New Roman" w:hAnsi="Times New Roman" w:cs="Times New Roman"/>
          <w:lang w:val="es-ES_tradnl"/>
        </w:rPr>
        <w:t>/OEA, los casos de asesinatos de la Policía Nacional en Antioquia aumentaron de cero (0) casos en el primer semestre de 2020 a siete (7) casos en el primer semestre de 2021. Igualmente, en los departamentos de Chocó y Córdoba se presentó un aumento, pasando de cero (0) casos en el 2020 a dos (2) casos en el 2021 durante el primer semestre. En materia de heridos, en Antioquia se pasó de 15 casos en el primer semestre en el 2020 a 37 casos en el mismo periodo de 2021, mientras que en el departamento de Chocó paso de ceros (0) heridos en el primer semestre de 2020 a tres (3) casos en el 2021.</w:t>
      </w:r>
    </w:p>
  </w:footnote>
  <w:footnote w:id="15">
    <w:p w14:paraId="07AE8C17" w14:textId="646A06E9" w:rsidR="009F67C1" w:rsidRPr="00B06FB8" w:rsidRDefault="009F67C1" w:rsidP="00B06FB8">
      <w:pPr>
        <w:pStyle w:val="FootnoteText"/>
        <w:tabs>
          <w:tab w:val="left" w:pos="720"/>
        </w:tabs>
        <w:ind w:left="720" w:hanging="360"/>
        <w:jc w:val="both"/>
        <w:rPr>
          <w:rFonts w:ascii="Times New Roman" w:hAnsi="Times New Roman" w:cs="Times New Roman"/>
          <w:lang w:val="es-ES_tradnl"/>
        </w:rPr>
      </w:pPr>
      <w:r w:rsidRPr="00B06FB8">
        <w:rPr>
          <w:rStyle w:val="FootnoteReference"/>
          <w:rFonts w:ascii="Times New Roman" w:hAnsi="Times New Roman" w:cs="Times New Roman"/>
          <w:vertAlign w:val="baseline"/>
        </w:rPr>
        <w:footnoteRef/>
      </w:r>
      <w:r w:rsidR="00B06FB8">
        <w:rPr>
          <w:rFonts w:ascii="Times New Roman" w:hAnsi="Times New Roman" w:cs="Times New Roman"/>
        </w:rPr>
        <w:t>.</w:t>
      </w:r>
      <w:r w:rsidR="00B06FB8">
        <w:rPr>
          <w:rFonts w:ascii="Times New Roman" w:hAnsi="Times New Roman" w:cs="Times New Roman"/>
        </w:rPr>
        <w:tab/>
      </w:r>
      <w:r w:rsidRPr="00B06FB8">
        <w:rPr>
          <w:rFonts w:ascii="Times New Roman" w:hAnsi="Times New Roman" w:cs="Times New Roman"/>
        </w:rPr>
        <w:t>En los meses de enero, marzo y junio de 2021</w:t>
      </w:r>
      <w:r w:rsidRPr="00B06FB8">
        <w:rPr>
          <w:rFonts w:ascii="Times New Roman" w:hAnsi="Times New Roman" w:cs="Times New Roman"/>
          <w:lang w:val="es-ES_tradnl"/>
        </w:rPr>
        <w:t xml:space="preserve"> se registraron las capturas de alias “Milton”, alias “Sato”, y alias “Macho”, respectivamente, quienes se perfilaban como los reemplazos de alias “Cóndor” y alias “Japonés”, capturados en 2020.</w:t>
      </w:r>
    </w:p>
  </w:footnote>
  <w:footnote w:id="16">
    <w:p w14:paraId="2DD26F95" w14:textId="552E87A7" w:rsidR="0032007F" w:rsidRPr="00B06FB8" w:rsidRDefault="0032007F" w:rsidP="00B06FB8">
      <w:pPr>
        <w:pStyle w:val="FootnoteText"/>
        <w:tabs>
          <w:tab w:val="left" w:pos="720"/>
        </w:tabs>
        <w:ind w:left="720" w:hanging="360"/>
        <w:jc w:val="both"/>
        <w:rPr>
          <w:rFonts w:ascii="Times New Roman" w:hAnsi="Times New Roman" w:cs="Times New Roman"/>
          <w:lang w:val="es-ES_tradnl"/>
        </w:rPr>
      </w:pPr>
      <w:r w:rsidRPr="00B06FB8">
        <w:rPr>
          <w:rStyle w:val="FootnoteReference"/>
          <w:rFonts w:ascii="Times New Roman" w:hAnsi="Times New Roman" w:cs="Times New Roman"/>
          <w:vertAlign w:val="baseline"/>
        </w:rPr>
        <w:footnoteRef/>
      </w:r>
      <w:r w:rsidR="00B06FB8">
        <w:rPr>
          <w:rFonts w:ascii="Times New Roman" w:hAnsi="Times New Roman" w:cs="Times New Roman"/>
        </w:rPr>
        <w:t>.</w:t>
      </w:r>
      <w:r w:rsidR="00B06FB8">
        <w:rPr>
          <w:rFonts w:ascii="Times New Roman" w:hAnsi="Times New Roman" w:cs="Times New Roman"/>
        </w:rPr>
        <w:tab/>
      </w:r>
      <w:r w:rsidRPr="00B06FB8">
        <w:rPr>
          <w:rFonts w:ascii="Times New Roman" w:hAnsi="Times New Roman" w:cs="Times New Roman"/>
          <w:lang w:val="es-ES_tradnl"/>
        </w:rPr>
        <w:t>Luego de la muerte de alias “Caín” en un operativo del Ejército Nacional en noviembre de 2020, en abril de 2021 se entregó a las autoridades alias “El Evangélico” y en mayo del mismo año se presentó la muerte de alias “Flechas” en una operación conjunta de la Policía Nacional y el Ejército Nacional.</w:t>
      </w:r>
    </w:p>
  </w:footnote>
  <w:footnote w:id="17">
    <w:p w14:paraId="046B4175" w14:textId="4EC6D08B" w:rsidR="00CA2880" w:rsidRPr="00B06FB8" w:rsidRDefault="00CA2880" w:rsidP="00B06FB8">
      <w:pPr>
        <w:tabs>
          <w:tab w:val="left" w:pos="720"/>
        </w:tabs>
        <w:ind w:left="720" w:hanging="360"/>
        <w:jc w:val="both"/>
        <w:rPr>
          <w:sz w:val="20"/>
          <w:szCs w:val="20"/>
        </w:rPr>
      </w:pPr>
      <w:r w:rsidRPr="00B06FB8">
        <w:rPr>
          <w:rStyle w:val="FootnoteReference"/>
          <w:sz w:val="20"/>
          <w:szCs w:val="20"/>
          <w:vertAlign w:val="baseline"/>
        </w:rPr>
        <w:footnoteRef/>
      </w:r>
      <w:r w:rsidR="00B06FB8">
        <w:rPr>
          <w:rFonts w:eastAsiaTheme="minorHAnsi"/>
          <w:sz w:val="20"/>
          <w:szCs w:val="20"/>
          <w:lang w:eastAsia="en-US"/>
        </w:rPr>
        <w:t>.</w:t>
      </w:r>
      <w:r w:rsidR="00B06FB8">
        <w:rPr>
          <w:rFonts w:eastAsiaTheme="minorHAnsi"/>
          <w:sz w:val="20"/>
          <w:szCs w:val="20"/>
          <w:lang w:eastAsia="en-US"/>
        </w:rPr>
        <w:tab/>
      </w:r>
      <w:r w:rsidRPr="00B06FB8">
        <w:rPr>
          <w:rFonts w:eastAsiaTheme="minorHAnsi"/>
          <w:sz w:val="20"/>
          <w:szCs w:val="20"/>
          <w:lang w:eastAsia="en-US"/>
        </w:rPr>
        <w:t>Se entiende por afectaciones las acciones, hechos o conductas violentas o irregulares perpetradas en el marco y con ocasión del conflicto armado colombiano y las dinámicas de criminalidad.</w:t>
      </w:r>
      <w:r w:rsidRPr="00B06FB8">
        <w:rPr>
          <w:sz w:val="20"/>
          <w:szCs w:val="20"/>
        </w:rPr>
        <w:t xml:space="preserve"> </w:t>
      </w:r>
    </w:p>
  </w:footnote>
  <w:footnote w:id="18">
    <w:p w14:paraId="685B8C3A" w14:textId="48B650B2" w:rsidR="009F67C1" w:rsidRPr="00B06FB8" w:rsidRDefault="009F67C1" w:rsidP="00B06FB8">
      <w:pPr>
        <w:pStyle w:val="FootnoteText"/>
        <w:tabs>
          <w:tab w:val="left" w:pos="720"/>
        </w:tabs>
        <w:ind w:left="720" w:hanging="360"/>
        <w:jc w:val="both"/>
        <w:rPr>
          <w:rFonts w:ascii="Times New Roman" w:hAnsi="Times New Roman" w:cs="Times New Roman"/>
        </w:rPr>
      </w:pPr>
      <w:r w:rsidRPr="00B06FB8">
        <w:rPr>
          <w:rStyle w:val="FootnoteReference"/>
          <w:rFonts w:ascii="Times New Roman" w:hAnsi="Times New Roman" w:cs="Times New Roman"/>
          <w:vertAlign w:val="baseline"/>
        </w:rPr>
        <w:footnoteRef/>
      </w:r>
      <w:r w:rsidR="00B06FB8">
        <w:rPr>
          <w:rFonts w:ascii="Times New Roman" w:hAnsi="Times New Roman" w:cs="Times New Roman"/>
        </w:rPr>
        <w:t>.</w:t>
      </w:r>
      <w:r w:rsidR="00B06FB8">
        <w:rPr>
          <w:rFonts w:ascii="Times New Roman" w:hAnsi="Times New Roman" w:cs="Times New Roman"/>
        </w:rPr>
        <w:tab/>
      </w:r>
      <w:r w:rsidRPr="00B06FB8">
        <w:rPr>
          <w:rFonts w:ascii="Times New Roman" w:hAnsi="Times New Roman" w:cs="Times New Roman"/>
        </w:rPr>
        <w:t>S</w:t>
      </w:r>
      <w:bookmarkStart w:id="1" w:name="_Hlk83374719"/>
      <w:r w:rsidRPr="00B06FB8">
        <w:rPr>
          <w:rFonts w:ascii="Times New Roman" w:hAnsi="Times New Roman" w:cs="Times New Roman"/>
        </w:rPr>
        <w:t xml:space="preserve">istema de Información Estadístico, Delincuencial Contravencional y Operativo de la Policía Nacional – </w:t>
      </w:r>
      <w:proofErr w:type="spellStart"/>
      <w:r w:rsidRPr="00B06FB8">
        <w:rPr>
          <w:rFonts w:ascii="Times New Roman" w:hAnsi="Times New Roman" w:cs="Times New Roman"/>
        </w:rPr>
        <w:t>SIEDCO</w:t>
      </w:r>
      <w:proofErr w:type="spellEnd"/>
      <w:r w:rsidRPr="00B06FB8">
        <w:rPr>
          <w:rFonts w:ascii="Times New Roman" w:hAnsi="Times New Roman" w:cs="Times New Roman"/>
        </w:rPr>
        <w:t>.</w:t>
      </w:r>
      <w:bookmarkEnd w:id="1"/>
    </w:p>
  </w:footnote>
  <w:footnote w:id="19">
    <w:p w14:paraId="1B1F76A6" w14:textId="3429430F" w:rsidR="009F67C1" w:rsidRPr="00B06FB8" w:rsidRDefault="009F67C1" w:rsidP="00B06FB8">
      <w:pPr>
        <w:pStyle w:val="FootnoteText"/>
        <w:tabs>
          <w:tab w:val="left" w:pos="720"/>
        </w:tabs>
        <w:ind w:left="720" w:hanging="360"/>
        <w:jc w:val="both"/>
        <w:rPr>
          <w:rFonts w:ascii="Times New Roman" w:hAnsi="Times New Roman" w:cs="Times New Roman"/>
        </w:rPr>
      </w:pPr>
      <w:r w:rsidRPr="00B06FB8">
        <w:rPr>
          <w:rStyle w:val="FootnoteReference"/>
          <w:rFonts w:ascii="Times New Roman" w:hAnsi="Times New Roman" w:cs="Times New Roman"/>
          <w:vertAlign w:val="baseline"/>
        </w:rPr>
        <w:footnoteRef/>
      </w:r>
      <w:r w:rsidR="00B06FB8">
        <w:rPr>
          <w:rFonts w:ascii="Times New Roman" w:hAnsi="Times New Roman" w:cs="Times New Roman"/>
        </w:rPr>
        <w:t>.</w:t>
      </w:r>
      <w:r w:rsidR="00B06FB8">
        <w:rPr>
          <w:rFonts w:ascii="Times New Roman" w:hAnsi="Times New Roman" w:cs="Times New Roman"/>
        </w:rPr>
        <w:tab/>
      </w:r>
      <w:r w:rsidRPr="00B06FB8">
        <w:rPr>
          <w:rFonts w:ascii="Times New Roman" w:hAnsi="Times New Roman" w:cs="Times New Roman"/>
        </w:rPr>
        <w:t xml:space="preserve">Datos estadísticos obtenidos por la </w:t>
      </w:r>
      <w:proofErr w:type="spellStart"/>
      <w:r w:rsidRPr="00B06FB8">
        <w:rPr>
          <w:rFonts w:ascii="Times New Roman" w:hAnsi="Times New Roman" w:cs="Times New Roman"/>
        </w:rPr>
        <w:t>MAPP</w:t>
      </w:r>
      <w:proofErr w:type="spellEnd"/>
      <w:r w:rsidRPr="00B06FB8">
        <w:rPr>
          <w:rFonts w:ascii="Times New Roman" w:hAnsi="Times New Roman" w:cs="Times New Roman"/>
        </w:rPr>
        <w:t xml:space="preserve">/OEA de la consulta en las bases de datos del </w:t>
      </w:r>
      <w:proofErr w:type="spellStart"/>
      <w:r w:rsidRPr="00B06FB8">
        <w:rPr>
          <w:rFonts w:ascii="Times New Roman" w:hAnsi="Times New Roman" w:cs="Times New Roman"/>
        </w:rPr>
        <w:t>SIEDCO</w:t>
      </w:r>
      <w:proofErr w:type="spellEnd"/>
      <w:r w:rsidRPr="00B06FB8">
        <w:rPr>
          <w:rFonts w:ascii="Times New Roman" w:hAnsi="Times New Roman" w:cs="Times New Roman"/>
        </w:rPr>
        <w:t xml:space="preserve">. Recuperado el 10 de agosto de 2021 de </w:t>
      </w:r>
      <w:hyperlink r:id="rId2" w:history="1">
        <w:r w:rsidRPr="00B06FB8">
          <w:rPr>
            <w:rStyle w:val="Hyperlink"/>
            <w:rFonts w:ascii="Times New Roman" w:hAnsi="Times New Roman" w:cs="Times New Roman"/>
          </w:rPr>
          <w:t>https://www.policia.gov.co/grupo-informacion-criminalidad/estadistica-delictiva</w:t>
        </w:r>
      </w:hyperlink>
      <w:r w:rsidRPr="00B06FB8">
        <w:rPr>
          <w:rStyle w:val="Hyperlink"/>
          <w:rFonts w:ascii="Times New Roman" w:hAnsi="Times New Roman" w:cs="Times New Roman"/>
        </w:rPr>
        <w:t>.</w:t>
      </w:r>
    </w:p>
  </w:footnote>
  <w:footnote w:id="20">
    <w:p w14:paraId="337F3A7D" w14:textId="2DDF3163" w:rsidR="00D40F92" w:rsidRPr="00B06FB8" w:rsidRDefault="00D40F92" w:rsidP="00B06FB8">
      <w:pPr>
        <w:pStyle w:val="FootnoteText"/>
        <w:tabs>
          <w:tab w:val="left" w:pos="720"/>
        </w:tabs>
        <w:ind w:left="720" w:hanging="360"/>
        <w:jc w:val="both"/>
        <w:rPr>
          <w:rFonts w:ascii="Times New Roman" w:hAnsi="Times New Roman" w:cs="Times New Roman"/>
          <w:color w:val="000000" w:themeColor="text1"/>
        </w:rPr>
      </w:pPr>
      <w:r w:rsidRPr="00B06FB8">
        <w:rPr>
          <w:rStyle w:val="FootnoteReference"/>
          <w:rFonts w:ascii="Times New Roman" w:hAnsi="Times New Roman" w:cs="Times New Roman"/>
          <w:color w:val="000000" w:themeColor="text1"/>
          <w:vertAlign w:val="baseline"/>
        </w:rPr>
        <w:footnoteRef/>
      </w:r>
      <w:r w:rsidR="00B06FB8">
        <w:rPr>
          <w:rFonts w:ascii="Times New Roman" w:hAnsi="Times New Roman" w:cs="Times New Roman"/>
          <w:color w:val="000000" w:themeColor="text1"/>
        </w:rPr>
        <w:t>.</w:t>
      </w:r>
      <w:r w:rsidR="00B06FB8">
        <w:rPr>
          <w:rFonts w:ascii="Times New Roman" w:hAnsi="Times New Roman" w:cs="Times New Roman"/>
          <w:color w:val="000000" w:themeColor="text1"/>
        </w:rPr>
        <w:tab/>
      </w:r>
      <w:r w:rsidRPr="00B06FB8">
        <w:rPr>
          <w:rFonts w:ascii="Times New Roman" w:hAnsi="Times New Roman" w:cs="Times New Roman"/>
          <w:color w:val="000000" w:themeColor="text1"/>
        </w:rPr>
        <w:t xml:space="preserve">En el resguardo indígena </w:t>
      </w:r>
      <w:proofErr w:type="spellStart"/>
      <w:r w:rsidRPr="00B06FB8">
        <w:rPr>
          <w:rFonts w:ascii="Times New Roman" w:hAnsi="Times New Roman" w:cs="Times New Roman"/>
          <w:color w:val="000000" w:themeColor="text1"/>
        </w:rPr>
        <w:t>Mayasquer</w:t>
      </w:r>
      <w:proofErr w:type="spellEnd"/>
      <w:r w:rsidRPr="00B06FB8">
        <w:rPr>
          <w:rFonts w:ascii="Times New Roman" w:hAnsi="Times New Roman" w:cs="Times New Roman"/>
          <w:color w:val="000000" w:themeColor="text1"/>
        </w:rPr>
        <w:t xml:space="preserve"> (Cumbal), el control social por parte del ELN se ha intensificado a través de la implementación de horarios de movilidad, la solicitud de certificados de residencia para el ingreso al territorio y la vigilancia en el uso de medios de comunicación (celular e internet). </w:t>
      </w:r>
      <w:r w:rsidRPr="00B06FB8">
        <w:rPr>
          <w:rFonts w:ascii="Times New Roman" w:hAnsi="Times New Roman" w:cs="Times New Roman"/>
          <w:color w:val="000000" w:themeColor="text1"/>
          <w:lang w:val="es-ES"/>
        </w:rPr>
        <w:t xml:space="preserve">Igualmente, se evidenció un incremento del control social sobre las comunidades del pueblo indígena Barí y la ocurrencia de un evento de enfrentamiento entre el </w:t>
      </w:r>
      <w:proofErr w:type="spellStart"/>
      <w:r w:rsidRPr="00B06FB8">
        <w:rPr>
          <w:rFonts w:ascii="Times New Roman" w:hAnsi="Times New Roman" w:cs="Times New Roman"/>
          <w:color w:val="000000" w:themeColor="text1"/>
          <w:lang w:val="es-ES"/>
        </w:rPr>
        <w:t>GAOR</w:t>
      </w:r>
      <w:proofErr w:type="spellEnd"/>
      <w:r w:rsidRPr="00B06FB8">
        <w:rPr>
          <w:rFonts w:ascii="Times New Roman" w:hAnsi="Times New Roman" w:cs="Times New Roman"/>
          <w:color w:val="000000" w:themeColor="text1"/>
          <w:lang w:val="es-ES"/>
        </w:rPr>
        <w:t xml:space="preserve"> 33 y el ELN al interior de su territorio colectivo.</w:t>
      </w:r>
    </w:p>
  </w:footnote>
  <w:footnote w:id="21">
    <w:p w14:paraId="489D6567" w14:textId="6303F598" w:rsidR="009F67C1" w:rsidRPr="00B06FB8" w:rsidRDefault="009F67C1" w:rsidP="00B06FB8">
      <w:pPr>
        <w:pStyle w:val="FootnoteText"/>
        <w:tabs>
          <w:tab w:val="left" w:pos="720"/>
        </w:tabs>
        <w:ind w:left="720" w:hanging="360"/>
        <w:jc w:val="both"/>
        <w:rPr>
          <w:rFonts w:ascii="Times New Roman" w:hAnsi="Times New Roman" w:cs="Times New Roman"/>
        </w:rPr>
      </w:pPr>
      <w:r w:rsidRPr="00B06FB8">
        <w:rPr>
          <w:rStyle w:val="FootnoteReference"/>
          <w:rFonts w:ascii="Times New Roman" w:hAnsi="Times New Roman" w:cs="Times New Roman"/>
          <w:color w:val="000000" w:themeColor="text1"/>
          <w:vertAlign w:val="baseline"/>
        </w:rPr>
        <w:footnoteRef/>
      </w:r>
      <w:r w:rsidR="00B06FB8">
        <w:rPr>
          <w:rFonts w:ascii="Times New Roman" w:hAnsi="Times New Roman" w:cs="Times New Roman"/>
          <w:color w:val="000000" w:themeColor="text1"/>
        </w:rPr>
        <w:t>.</w:t>
      </w:r>
      <w:r w:rsidR="00B06FB8">
        <w:rPr>
          <w:rFonts w:ascii="Times New Roman" w:hAnsi="Times New Roman" w:cs="Times New Roman"/>
          <w:color w:val="000000" w:themeColor="text1"/>
        </w:rPr>
        <w:tab/>
      </w:r>
      <w:r w:rsidRPr="00B06FB8">
        <w:rPr>
          <w:rFonts w:ascii="Times New Roman" w:hAnsi="Times New Roman" w:cs="Times New Roman"/>
          <w:color w:val="000000" w:themeColor="text1"/>
        </w:rPr>
        <w:t>La extorsión es recurrente por ser los</w:t>
      </w:r>
      <w:r w:rsidR="00012B60" w:rsidRPr="00B06FB8">
        <w:rPr>
          <w:rFonts w:ascii="Times New Roman" w:hAnsi="Times New Roman" w:cs="Times New Roman"/>
          <w:color w:val="000000" w:themeColor="text1"/>
        </w:rPr>
        <w:t xml:space="preserve"> y las</w:t>
      </w:r>
      <w:r w:rsidRPr="00B06FB8">
        <w:rPr>
          <w:rFonts w:ascii="Times New Roman" w:hAnsi="Times New Roman" w:cs="Times New Roman"/>
          <w:color w:val="000000" w:themeColor="text1"/>
        </w:rPr>
        <w:t xml:space="preserve"> </w:t>
      </w:r>
      <w:r w:rsidR="00012B60" w:rsidRPr="00B06FB8">
        <w:rPr>
          <w:rFonts w:ascii="Times New Roman" w:hAnsi="Times New Roman" w:cs="Times New Roman"/>
          <w:color w:val="000000" w:themeColor="text1"/>
        </w:rPr>
        <w:t xml:space="preserve">docentes </w:t>
      </w:r>
      <w:r w:rsidRPr="00B06FB8">
        <w:rPr>
          <w:rFonts w:ascii="Times New Roman" w:hAnsi="Times New Roman" w:cs="Times New Roman"/>
          <w:color w:val="000000" w:themeColor="text1"/>
        </w:rPr>
        <w:t>beneficiarios de un pago de nómina mensual en zonas donde la mayoría de las fuentes de ingreso son informales.</w:t>
      </w:r>
    </w:p>
  </w:footnote>
  <w:footnote w:id="22">
    <w:p w14:paraId="31EBB8E3" w14:textId="1FFEF989" w:rsidR="009F67C1" w:rsidRPr="00B06FB8" w:rsidRDefault="009F67C1" w:rsidP="00B06FB8">
      <w:pPr>
        <w:pStyle w:val="FootnoteText"/>
        <w:tabs>
          <w:tab w:val="left" w:pos="720"/>
        </w:tabs>
        <w:ind w:left="720" w:hanging="360"/>
        <w:jc w:val="both"/>
        <w:rPr>
          <w:rFonts w:ascii="Times New Roman" w:hAnsi="Times New Roman" w:cs="Times New Roman"/>
          <w:color w:val="000000" w:themeColor="text1"/>
          <w:lang w:val="es-ES"/>
        </w:rPr>
      </w:pPr>
      <w:r w:rsidRPr="00B06FB8">
        <w:rPr>
          <w:rStyle w:val="FootnoteReference"/>
          <w:rFonts w:ascii="Times New Roman" w:hAnsi="Times New Roman" w:cs="Times New Roman"/>
          <w:color w:val="000000" w:themeColor="text1"/>
          <w:vertAlign w:val="baseline"/>
        </w:rPr>
        <w:footnoteRef/>
      </w:r>
      <w:r w:rsidR="00B06FB8">
        <w:rPr>
          <w:rFonts w:ascii="Times New Roman" w:hAnsi="Times New Roman" w:cs="Times New Roman"/>
          <w:color w:val="000000" w:themeColor="text1"/>
          <w:lang w:val="es-ES"/>
        </w:rPr>
        <w:t>.</w:t>
      </w:r>
      <w:r w:rsidR="00B06FB8">
        <w:rPr>
          <w:rFonts w:ascii="Times New Roman" w:hAnsi="Times New Roman" w:cs="Times New Roman"/>
          <w:color w:val="000000" w:themeColor="text1"/>
          <w:lang w:val="es-ES"/>
        </w:rPr>
        <w:tab/>
      </w:r>
      <w:r w:rsidRPr="00B06FB8">
        <w:rPr>
          <w:rFonts w:ascii="Times New Roman" w:hAnsi="Times New Roman" w:cs="Times New Roman"/>
          <w:color w:val="000000" w:themeColor="text1"/>
          <w:lang w:val="es-ES"/>
        </w:rPr>
        <w:t xml:space="preserve">Entre los municipios de Tarazá y Valdivia el ELN ha sido el principal responsable de la incineración a vehículos que transitan por la Troncal del Caribe. Comúnmente, los miembros de este </w:t>
      </w:r>
      <w:proofErr w:type="spellStart"/>
      <w:r w:rsidRPr="00B06FB8">
        <w:rPr>
          <w:rFonts w:ascii="Times New Roman" w:hAnsi="Times New Roman" w:cs="Times New Roman"/>
          <w:color w:val="000000" w:themeColor="text1"/>
          <w:lang w:val="es-ES"/>
        </w:rPr>
        <w:t>GAI</w:t>
      </w:r>
      <w:proofErr w:type="spellEnd"/>
      <w:r w:rsidRPr="00B06FB8">
        <w:rPr>
          <w:rFonts w:ascii="Times New Roman" w:hAnsi="Times New Roman" w:cs="Times New Roman"/>
          <w:color w:val="000000" w:themeColor="text1"/>
          <w:lang w:val="es-ES"/>
        </w:rPr>
        <w:t xml:space="preserve"> obligan a </w:t>
      </w:r>
      <w:r w:rsidRPr="00B06FB8">
        <w:rPr>
          <w:rFonts w:ascii="Times New Roman" w:hAnsi="Times New Roman" w:cs="Times New Roman"/>
          <w:color w:val="000000" w:themeColor="text1"/>
        </w:rPr>
        <w:t>bajar a pasajeros</w:t>
      </w:r>
      <w:r w:rsidR="00012B60" w:rsidRPr="00B06FB8">
        <w:rPr>
          <w:rFonts w:ascii="Times New Roman" w:hAnsi="Times New Roman" w:cs="Times New Roman"/>
          <w:color w:val="000000" w:themeColor="text1"/>
        </w:rPr>
        <w:t>(as)</w:t>
      </w:r>
      <w:r w:rsidRPr="00B06FB8">
        <w:rPr>
          <w:rFonts w:ascii="Times New Roman" w:hAnsi="Times New Roman" w:cs="Times New Roman"/>
          <w:color w:val="000000" w:themeColor="text1"/>
        </w:rPr>
        <w:t xml:space="preserve"> para luego prenderles fuego a los automotores y dejar banderas alusivas a su estructura.</w:t>
      </w:r>
    </w:p>
  </w:footnote>
  <w:footnote w:id="23">
    <w:p w14:paraId="6DF682EC" w14:textId="23C417AE" w:rsidR="009F67C1" w:rsidRPr="00B06FB8" w:rsidRDefault="009F67C1" w:rsidP="00B06FB8">
      <w:pPr>
        <w:pStyle w:val="FootnoteText"/>
        <w:tabs>
          <w:tab w:val="left" w:pos="720"/>
        </w:tabs>
        <w:ind w:left="720" w:hanging="360"/>
        <w:jc w:val="both"/>
        <w:rPr>
          <w:rFonts w:ascii="Times New Roman" w:hAnsi="Times New Roman" w:cs="Times New Roman"/>
          <w:color w:val="000000" w:themeColor="text1"/>
          <w:lang w:val="es-ES"/>
        </w:rPr>
      </w:pPr>
      <w:r w:rsidRPr="00B06FB8">
        <w:rPr>
          <w:rStyle w:val="FootnoteReference"/>
          <w:rFonts w:ascii="Times New Roman" w:hAnsi="Times New Roman" w:cs="Times New Roman"/>
          <w:color w:val="000000" w:themeColor="text1"/>
          <w:vertAlign w:val="baseline"/>
        </w:rPr>
        <w:footnoteRef/>
      </w:r>
      <w:r w:rsidR="00B06FB8">
        <w:rPr>
          <w:rFonts w:ascii="Times New Roman" w:hAnsi="Times New Roman" w:cs="Times New Roman"/>
          <w:color w:val="000000" w:themeColor="text1"/>
        </w:rPr>
        <w:t>.</w:t>
      </w:r>
      <w:r w:rsidR="00B06FB8">
        <w:rPr>
          <w:rFonts w:ascii="Times New Roman" w:hAnsi="Times New Roman" w:cs="Times New Roman"/>
          <w:color w:val="000000" w:themeColor="text1"/>
        </w:rPr>
        <w:tab/>
      </w:r>
      <w:r w:rsidR="00CA2880" w:rsidRPr="00B06FB8">
        <w:rPr>
          <w:rFonts w:ascii="Times New Roman" w:hAnsi="Times New Roman" w:cs="Times New Roman"/>
          <w:color w:val="000000" w:themeColor="text1"/>
          <w:lang w:val="es-ES"/>
        </w:rPr>
        <w:t>Esta dinámica se presenta en la región del Catatumbo</w:t>
      </w:r>
      <w:r w:rsidR="00012B60" w:rsidRPr="00B06FB8">
        <w:rPr>
          <w:rFonts w:ascii="Times New Roman" w:hAnsi="Times New Roman" w:cs="Times New Roman"/>
          <w:color w:val="000000" w:themeColor="text1"/>
          <w:lang w:val="es-ES"/>
        </w:rPr>
        <w:t xml:space="preserve"> (</w:t>
      </w:r>
      <w:r w:rsidR="00CA2880" w:rsidRPr="00B06FB8">
        <w:rPr>
          <w:rFonts w:ascii="Times New Roman" w:hAnsi="Times New Roman" w:cs="Times New Roman"/>
          <w:color w:val="000000" w:themeColor="text1"/>
          <w:lang w:val="es-ES"/>
        </w:rPr>
        <w:t>Norte de Santander</w:t>
      </w:r>
      <w:r w:rsidR="00012B60" w:rsidRPr="00B06FB8">
        <w:rPr>
          <w:rFonts w:ascii="Times New Roman" w:hAnsi="Times New Roman" w:cs="Times New Roman"/>
          <w:color w:val="000000" w:themeColor="text1"/>
          <w:lang w:val="es-ES"/>
        </w:rPr>
        <w:t>)</w:t>
      </w:r>
      <w:r w:rsidR="00CA2880" w:rsidRPr="00B06FB8">
        <w:rPr>
          <w:rFonts w:ascii="Times New Roman" w:hAnsi="Times New Roman" w:cs="Times New Roman"/>
          <w:color w:val="000000" w:themeColor="text1"/>
          <w:lang w:val="es-ES"/>
        </w:rPr>
        <w:t xml:space="preserve"> pero también es evidente en muchas otras regiones del país. </w:t>
      </w:r>
      <w:r w:rsidRPr="00B06FB8">
        <w:rPr>
          <w:rFonts w:ascii="Times New Roman" w:hAnsi="Times New Roman" w:cs="Times New Roman"/>
          <w:color w:val="000000" w:themeColor="text1"/>
        </w:rPr>
        <w:t xml:space="preserve">De manera similar, </w:t>
      </w:r>
      <w:r w:rsidRPr="00B06FB8">
        <w:rPr>
          <w:rFonts w:ascii="Times New Roman" w:eastAsia="Calibri" w:hAnsi="Times New Roman" w:cs="Times New Roman"/>
          <w:color w:val="000000" w:themeColor="text1"/>
          <w:lang w:val="es-ES_tradnl"/>
        </w:rPr>
        <w:t>coaccionan a las comunidades étnicas para que brinden apoyo, por ejemplo, a heridos en combates. Esto propicia retaliación por parte de los adversarios que los señalan como supuestos colaboradores.</w:t>
      </w:r>
    </w:p>
  </w:footnote>
  <w:footnote w:id="24">
    <w:p w14:paraId="250997A4" w14:textId="3D89637D" w:rsidR="009F67C1" w:rsidRPr="00B06FB8" w:rsidRDefault="009F67C1" w:rsidP="00B06FB8">
      <w:pPr>
        <w:pStyle w:val="Default"/>
        <w:tabs>
          <w:tab w:val="left" w:pos="720"/>
        </w:tabs>
        <w:ind w:left="720" w:hanging="360"/>
        <w:jc w:val="both"/>
        <w:rPr>
          <w:color w:val="000000" w:themeColor="text1"/>
          <w:sz w:val="20"/>
          <w:szCs w:val="20"/>
        </w:rPr>
      </w:pPr>
      <w:r w:rsidRPr="00B06FB8">
        <w:rPr>
          <w:rStyle w:val="FootnoteReference"/>
          <w:color w:val="000000" w:themeColor="text1"/>
          <w:sz w:val="20"/>
          <w:szCs w:val="20"/>
          <w:vertAlign w:val="baseline"/>
        </w:rPr>
        <w:footnoteRef/>
      </w:r>
      <w:r w:rsidR="00B06FB8">
        <w:rPr>
          <w:color w:val="000000" w:themeColor="text1"/>
          <w:sz w:val="20"/>
          <w:szCs w:val="20"/>
        </w:rPr>
        <w:t>.</w:t>
      </w:r>
      <w:r w:rsidR="00B06FB8">
        <w:rPr>
          <w:color w:val="000000" w:themeColor="text1"/>
          <w:sz w:val="20"/>
          <w:szCs w:val="20"/>
        </w:rPr>
        <w:tab/>
      </w:r>
      <w:r w:rsidRPr="00B06FB8">
        <w:rPr>
          <w:color w:val="000000" w:themeColor="text1"/>
          <w:sz w:val="20"/>
          <w:szCs w:val="20"/>
        </w:rPr>
        <w:t xml:space="preserve">En el mes de enero, se dirigía una misión médica hacia la comunidad de </w:t>
      </w:r>
      <w:proofErr w:type="spellStart"/>
      <w:r w:rsidRPr="00B06FB8">
        <w:rPr>
          <w:color w:val="000000" w:themeColor="text1"/>
          <w:sz w:val="20"/>
          <w:szCs w:val="20"/>
        </w:rPr>
        <w:t>Miácora</w:t>
      </w:r>
      <w:proofErr w:type="spellEnd"/>
      <w:r w:rsidRPr="00B06FB8">
        <w:rPr>
          <w:color w:val="000000" w:themeColor="text1"/>
          <w:sz w:val="20"/>
          <w:szCs w:val="20"/>
        </w:rPr>
        <w:t xml:space="preserve">, Alto Baudó y fue abordada en el trayecto fluvial presuntamente por miembros de las </w:t>
      </w:r>
      <w:proofErr w:type="spellStart"/>
      <w:r w:rsidRPr="00B06FB8">
        <w:rPr>
          <w:color w:val="000000" w:themeColor="text1"/>
          <w:sz w:val="20"/>
          <w:szCs w:val="20"/>
        </w:rPr>
        <w:t>AGC</w:t>
      </w:r>
      <w:proofErr w:type="spellEnd"/>
      <w:r w:rsidRPr="00B06FB8">
        <w:rPr>
          <w:color w:val="000000" w:themeColor="text1"/>
          <w:sz w:val="20"/>
          <w:szCs w:val="20"/>
        </w:rPr>
        <w:t>/Clan del Golfo, quienes hurtaron al personal médico y les impidieron continuar con su viaje.</w:t>
      </w:r>
    </w:p>
  </w:footnote>
  <w:footnote w:id="25">
    <w:p w14:paraId="7C0B2473" w14:textId="0C62F91F" w:rsidR="009F67C1" w:rsidRPr="00B06FB8" w:rsidRDefault="009F67C1" w:rsidP="00B06FB8">
      <w:pPr>
        <w:pStyle w:val="FootnoteText"/>
        <w:tabs>
          <w:tab w:val="left" w:pos="720"/>
        </w:tabs>
        <w:ind w:left="720" w:hanging="360"/>
        <w:jc w:val="both"/>
        <w:rPr>
          <w:rFonts w:ascii="Times New Roman" w:hAnsi="Times New Roman" w:cs="Times New Roman"/>
          <w:color w:val="000000" w:themeColor="text1"/>
          <w:lang w:val="es-ES"/>
        </w:rPr>
      </w:pPr>
      <w:r w:rsidRPr="00B06FB8">
        <w:rPr>
          <w:rStyle w:val="FootnoteReference"/>
          <w:rFonts w:ascii="Times New Roman" w:hAnsi="Times New Roman" w:cs="Times New Roman"/>
          <w:color w:val="000000" w:themeColor="text1"/>
          <w:vertAlign w:val="baseline"/>
        </w:rPr>
        <w:footnoteRef/>
      </w:r>
      <w:r w:rsidR="00B06FB8">
        <w:rPr>
          <w:rFonts w:ascii="Times New Roman" w:hAnsi="Times New Roman" w:cs="Times New Roman"/>
          <w:color w:val="000000" w:themeColor="text1"/>
        </w:rPr>
        <w:t>.</w:t>
      </w:r>
      <w:r w:rsidR="00B06FB8">
        <w:rPr>
          <w:rFonts w:ascii="Times New Roman" w:hAnsi="Times New Roman" w:cs="Times New Roman"/>
          <w:color w:val="000000" w:themeColor="text1"/>
        </w:rPr>
        <w:tab/>
      </w:r>
      <w:r w:rsidRPr="00B06FB8">
        <w:rPr>
          <w:rFonts w:ascii="Times New Roman" w:hAnsi="Times New Roman" w:cs="Times New Roman"/>
          <w:color w:val="000000" w:themeColor="text1"/>
        </w:rPr>
        <w:t>En el sector de El Aserrío se presentó el hurto a una camioneta de la misión médica. Este hecho se presume que fue perpetrado por el ELN, quien ha incurrido en acciones similares contra vehículos de organismos de cooperación internacional y de instituciones estatales, como parte de sus estrategias de control territorial en este sector y en la vía Teorama-Ocaña.</w:t>
      </w:r>
    </w:p>
  </w:footnote>
  <w:footnote w:id="26">
    <w:p w14:paraId="682D00C0" w14:textId="3B6D583B" w:rsidR="00D40F92" w:rsidRPr="00B06FB8" w:rsidRDefault="00D40F92" w:rsidP="00B06FB8">
      <w:pPr>
        <w:pStyle w:val="FootnoteText"/>
        <w:tabs>
          <w:tab w:val="left" w:pos="720"/>
        </w:tabs>
        <w:ind w:left="720" w:hanging="360"/>
        <w:jc w:val="both"/>
        <w:rPr>
          <w:rFonts w:ascii="Times New Roman" w:hAnsi="Times New Roman" w:cs="Times New Roman"/>
          <w:color w:val="000000" w:themeColor="text1"/>
          <w:lang w:val="es-ES"/>
        </w:rPr>
      </w:pPr>
      <w:r w:rsidRPr="00B06FB8">
        <w:rPr>
          <w:rStyle w:val="FootnoteReference"/>
          <w:rFonts w:ascii="Times New Roman" w:hAnsi="Times New Roman" w:cs="Times New Roman"/>
          <w:color w:val="000000" w:themeColor="text1"/>
          <w:vertAlign w:val="baseline"/>
        </w:rPr>
        <w:footnoteRef/>
      </w:r>
      <w:r w:rsidR="00B06FB8">
        <w:rPr>
          <w:rFonts w:ascii="Times New Roman" w:hAnsi="Times New Roman" w:cs="Times New Roman"/>
          <w:color w:val="000000" w:themeColor="text1"/>
        </w:rPr>
        <w:t>.</w:t>
      </w:r>
      <w:r w:rsidR="00B06FB8">
        <w:rPr>
          <w:rFonts w:ascii="Times New Roman" w:hAnsi="Times New Roman" w:cs="Times New Roman"/>
          <w:color w:val="000000" w:themeColor="text1"/>
        </w:rPr>
        <w:tab/>
      </w:r>
      <w:r w:rsidRPr="00B06FB8">
        <w:rPr>
          <w:rFonts w:ascii="Times New Roman" w:hAnsi="Times New Roman" w:cs="Times New Roman"/>
          <w:color w:val="000000" w:themeColor="text1"/>
          <w:lang w:val="es-ES"/>
        </w:rPr>
        <w:t>Decreto 2124 del 18 de diciembre de 2017 del Ministerio del Interior.</w:t>
      </w:r>
    </w:p>
  </w:footnote>
  <w:footnote w:id="27">
    <w:p w14:paraId="2182ACB4" w14:textId="3780128E" w:rsidR="00D40F92" w:rsidRPr="00B06FB8" w:rsidRDefault="00D40F92" w:rsidP="00B06FB8">
      <w:pPr>
        <w:pStyle w:val="FootnoteText"/>
        <w:tabs>
          <w:tab w:val="left" w:pos="720"/>
        </w:tabs>
        <w:ind w:left="720" w:hanging="360"/>
        <w:jc w:val="both"/>
        <w:rPr>
          <w:rFonts w:ascii="Times New Roman" w:hAnsi="Times New Roman" w:cs="Times New Roman"/>
          <w:color w:val="000000" w:themeColor="text1"/>
        </w:rPr>
      </w:pPr>
      <w:r w:rsidRPr="00B06FB8">
        <w:rPr>
          <w:rStyle w:val="FootnoteReference"/>
          <w:rFonts w:ascii="Times New Roman" w:hAnsi="Times New Roman" w:cs="Times New Roman"/>
          <w:color w:val="000000" w:themeColor="text1"/>
          <w:vertAlign w:val="baseline"/>
        </w:rPr>
        <w:footnoteRef/>
      </w:r>
      <w:r w:rsidR="00B06FB8">
        <w:rPr>
          <w:rFonts w:ascii="Times New Roman" w:hAnsi="Times New Roman" w:cs="Times New Roman"/>
          <w:color w:val="000000" w:themeColor="text1"/>
        </w:rPr>
        <w:t>.</w:t>
      </w:r>
      <w:r w:rsidR="00B06FB8">
        <w:rPr>
          <w:rFonts w:ascii="Times New Roman" w:hAnsi="Times New Roman" w:cs="Times New Roman"/>
          <w:color w:val="000000" w:themeColor="text1"/>
        </w:rPr>
        <w:tab/>
      </w:r>
      <w:r w:rsidRPr="00B06FB8">
        <w:rPr>
          <w:rFonts w:ascii="Times New Roman" w:hAnsi="Times New Roman" w:cs="Times New Roman"/>
          <w:color w:val="000000" w:themeColor="text1"/>
        </w:rPr>
        <w:t xml:space="preserve">En el período de enero a junio del 2021 la </w:t>
      </w:r>
      <w:proofErr w:type="spellStart"/>
      <w:r w:rsidRPr="00B06FB8">
        <w:rPr>
          <w:rFonts w:ascii="Times New Roman" w:hAnsi="Times New Roman" w:cs="Times New Roman"/>
          <w:color w:val="000000" w:themeColor="text1"/>
        </w:rPr>
        <w:t>CIPRAT</w:t>
      </w:r>
      <w:proofErr w:type="spellEnd"/>
      <w:r w:rsidRPr="00B06FB8">
        <w:rPr>
          <w:rFonts w:ascii="Times New Roman" w:hAnsi="Times New Roman" w:cs="Times New Roman"/>
          <w:color w:val="000000" w:themeColor="text1"/>
        </w:rPr>
        <w:t xml:space="preserve"> realizó Talleres de Seguimiento Territorial para las 12 alertas tempranas emitidas. Estas sesiones fueron presenciales y presididas por el Ministro del Interior o Viceministros de la cartera</w:t>
      </w:r>
      <w:r w:rsidR="00287535" w:rsidRPr="00B06FB8">
        <w:rPr>
          <w:rFonts w:ascii="Times New Roman" w:hAnsi="Times New Roman" w:cs="Times New Roman"/>
          <w:color w:val="000000" w:themeColor="text1"/>
        </w:rPr>
        <w:t xml:space="preserve">, y cuentan con la participación del </w:t>
      </w:r>
      <w:r w:rsidR="004C0897" w:rsidRPr="00B06FB8">
        <w:rPr>
          <w:rFonts w:ascii="Times New Roman" w:hAnsi="Times New Roman" w:cs="Times New Roman"/>
          <w:color w:val="000000" w:themeColor="text1"/>
        </w:rPr>
        <w:t>s</w:t>
      </w:r>
      <w:r w:rsidR="00287535" w:rsidRPr="00B06FB8">
        <w:rPr>
          <w:rFonts w:ascii="Times New Roman" w:hAnsi="Times New Roman" w:cs="Times New Roman"/>
          <w:color w:val="000000" w:themeColor="text1"/>
        </w:rPr>
        <w:t xml:space="preserve">ector </w:t>
      </w:r>
      <w:r w:rsidR="009923DF" w:rsidRPr="00B06FB8">
        <w:rPr>
          <w:rFonts w:ascii="Times New Roman" w:hAnsi="Times New Roman" w:cs="Times New Roman"/>
          <w:color w:val="000000" w:themeColor="text1"/>
        </w:rPr>
        <w:t>de D</w:t>
      </w:r>
      <w:r w:rsidR="00287535" w:rsidRPr="00B06FB8">
        <w:rPr>
          <w:rFonts w:ascii="Times New Roman" w:hAnsi="Times New Roman" w:cs="Times New Roman"/>
          <w:color w:val="000000" w:themeColor="text1"/>
        </w:rPr>
        <w:t>efensa</w:t>
      </w:r>
      <w:r w:rsidR="009923DF" w:rsidRPr="00B06FB8">
        <w:rPr>
          <w:rFonts w:ascii="Times New Roman" w:hAnsi="Times New Roman" w:cs="Times New Roman"/>
          <w:color w:val="000000" w:themeColor="text1"/>
        </w:rPr>
        <w:t xml:space="preserve"> Nacional</w:t>
      </w:r>
      <w:r w:rsidR="00287535" w:rsidRPr="00B06FB8">
        <w:rPr>
          <w:rFonts w:ascii="Times New Roman" w:hAnsi="Times New Roman" w:cs="Times New Roman"/>
          <w:color w:val="000000" w:themeColor="text1"/>
        </w:rPr>
        <w:t>, el Ministerio del Interior, la Unidad Nacional de Protección (</w:t>
      </w:r>
      <w:proofErr w:type="spellStart"/>
      <w:r w:rsidR="00287535" w:rsidRPr="00B06FB8">
        <w:rPr>
          <w:rFonts w:ascii="Times New Roman" w:hAnsi="Times New Roman" w:cs="Times New Roman"/>
          <w:color w:val="000000" w:themeColor="text1"/>
        </w:rPr>
        <w:t>UNP</w:t>
      </w:r>
      <w:proofErr w:type="spellEnd"/>
      <w:r w:rsidR="00287535" w:rsidRPr="00B06FB8">
        <w:rPr>
          <w:rFonts w:ascii="Times New Roman" w:hAnsi="Times New Roman" w:cs="Times New Roman"/>
          <w:color w:val="000000" w:themeColor="text1"/>
        </w:rPr>
        <w:t>), gobernaciones, alcaldías, entre otras</w:t>
      </w:r>
      <w:r w:rsidRPr="00B06FB8">
        <w:rPr>
          <w:rFonts w:ascii="Times New Roman" w:hAnsi="Times New Roman" w:cs="Times New Roman"/>
          <w:color w:val="000000" w:themeColor="text1"/>
        </w:rPr>
        <w:t>.</w:t>
      </w:r>
    </w:p>
  </w:footnote>
  <w:footnote w:id="28">
    <w:p w14:paraId="2D283EE6" w14:textId="5F5BB2C3" w:rsidR="00D40F92" w:rsidRPr="00B06FB8" w:rsidRDefault="00D40F92" w:rsidP="00B06FB8">
      <w:pPr>
        <w:pStyle w:val="FootnoteText"/>
        <w:tabs>
          <w:tab w:val="left" w:pos="720"/>
        </w:tabs>
        <w:ind w:left="720" w:hanging="360"/>
        <w:jc w:val="both"/>
        <w:rPr>
          <w:rFonts w:ascii="Times New Roman" w:hAnsi="Times New Roman" w:cs="Times New Roman"/>
          <w:color w:val="000000" w:themeColor="text1"/>
        </w:rPr>
      </w:pPr>
      <w:r w:rsidRPr="00B06FB8">
        <w:rPr>
          <w:rStyle w:val="FootnoteReference"/>
          <w:rFonts w:ascii="Times New Roman" w:hAnsi="Times New Roman" w:cs="Times New Roman"/>
          <w:color w:val="000000" w:themeColor="text1"/>
          <w:vertAlign w:val="baseline"/>
        </w:rPr>
        <w:footnoteRef/>
      </w:r>
      <w:r w:rsidR="00B06FB8">
        <w:rPr>
          <w:rFonts w:ascii="Times New Roman" w:hAnsi="Times New Roman" w:cs="Times New Roman"/>
          <w:color w:val="000000" w:themeColor="text1"/>
        </w:rPr>
        <w:t>.</w:t>
      </w:r>
      <w:r w:rsidR="00B06FB8">
        <w:rPr>
          <w:rFonts w:ascii="Times New Roman" w:hAnsi="Times New Roman" w:cs="Times New Roman"/>
          <w:color w:val="000000" w:themeColor="text1"/>
        </w:rPr>
        <w:tab/>
        <w:t>E</w:t>
      </w:r>
      <w:r w:rsidRPr="00B06FB8">
        <w:rPr>
          <w:rFonts w:ascii="Times New Roman" w:hAnsi="Times New Roman" w:cs="Times New Roman"/>
          <w:color w:val="000000" w:themeColor="text1"/>
        </w:rPr>
        <w:t>n el período de enero a junio del 2021 el Ministerio del Interior brindó asistencia técnica a 93 municipios priorizados en el Programa de Desarrollo con Enfoque Territorial (</w:t>
      </w:r>
      <w:proofErr w:type="spellStart"/>
      <w:r w:rsidRPr="00B06FB8">
        <w:rPr>
          <w:rFonts w:ascii="Times New Roman" w:hAnsi="Times New Roman" w:cs="Times New Roman"/>
          <w:color w:val="000000" w:themeColor="text1"/>
        </w:rPr>
        <w:t>PDET</w:t>
      </w:r>
      <w:proofErr w:type="spellEnd"/>
      <w:r w:rsidRPr="00B06FB8">
        <w:rPr>
          <w:rFonts w:ascii="Times New Roman" w:hAnsi="Times New Roman" w:cs="Times New Roman"/>
          <w:color w:val="000000" w:themeColor="text1"/>
        </w:rPr>
        <w:t xml:space="preserve">) para la creación de la “Instancia Territorial de Respuesta Rápida”. Para este fin se realizaron 13 sesiones presenciales y dos virtuales. “Estrategia de asistencia técnica para la constitución de la instancia de respuesta rápida en municipios </w:t>
      </w:r>
      <w:proofErr w:type="spellStart"/>
      <w:r w:rsidRPr="00B06FB8">
        <w:rPr>
          <w:rFonts w:ascii="Times New Roman" w:hAnsi="Times New Roman" w:cs="Times New Roman"/>
          <w:color w:val="000000" w:themeColor="text1"/>
        </w:rPr>
        <w:t>PDET</w:t>
      </w:r>
      <w:proofErr w:type="spellEnd"/>
      <w:r w:rsidRPr="00B06FB8">
        <w:rPr>
          <w:rFonts w:ascii="Times New Roman" w:hAnsi="Times New Roman" w:cs="Times New Roman"/>
          <w:color w:val="000000" w:themeColor="text1"/>
        </w:rPr>
        <w:t xml:space="preserve"> priorizados, en el marco de las Alertas Tempranas”, (</w:t>
      </w:r>
      <w:proofErr w:type="spellStart"/>
      <w:r w:rsidRPr="00B06FB8">
        <w:rPr>
          <w:rFonts w:ascii="Times New Roman" w:hAnsi="Times New Roman" w:cs="Times New Roman"/>
          <w:color w:val="000000" w:themeColor="text1"/>
        </w:rPr>
        <w:t>CIPRAT</w:t>
      </w:r>
      <w:proofErr w:type="spellEnd"/>
      <w:r w:rsidRPr="00B06FB8">
        <w:rPr>
          <w:rFonts w:ascii="Times New Roman" w:hAnsi="Times New Roman" w:cs="Times New Roman"/>
          <w:color w:val="000000" w:themeColor="text1"/>
        </w:rPr>
        <w:t xml:space="preserve">, 2021) </w:t>
      </w:r>
      <w:proofErr w:type="spellStart"/>
      <w:r w:rsidRPr="00B06FB8">
        <w:rPr>
          <w:rFonts w:ascii="Times New Roman" w:hAnsi="Times New Roman" w:cs="Times New Roman"/>
          <w:color w:val="000000" w:themeColor="text1"/>
        </w:rPr>
        <w:t>p.1</w:t>
      </w:r>
      <w:proofErr w:type="spellEnd"/>
      <w:r w:rsidRPr="00B06FB8">
        <w:rPr>
          <w:rFonts w:ascii="Times New Roman" w:hAnsi="Times New Roman" w:cs="Times New Roman"/>
          <w:color w:val="000000" w:themeColor="text1"/>
        </w:rPr>
        <w:t>-2.</w:t>
      </w:r>
    </w:p>
  </w:footnote>
  <w:footnote w:id="29">
    <w:p w14:paraId="314D715F" w14:textId="35625857" w:rsidR="00A72E84" w:rsidRPr="00B06FB8" w:rsidRDefault="00A72E84" w:rsidP="00B06FB8">
      <w:pPr>
        <w:pStyle w:val="FootnoteText"/>
        <w:tabs>
          <w:tab w:val="left" w:pos="720"/>
        </w:tabs>
        <w:ind w:left="720" w:hanging="360"/>
        <w:jc w:val="both"/>
        <w:rPr>
          <w:rFonts w:ascii="Times New Roman" w:hAnsi="Times New Roman" w:cs="Times New Roman"/>
        </w:rPr>
      </w:pPr>
      <w:r w:rsidRPr="00B06FB8">
        <w:rPr>
          <w:rStyle w:val="FootnoteReference"/>
          <w:rFonts w:ascii="Times New Roman" w:hAnsi="Times New Roman" w:cs="Times New Roman"/>
          <w:vertAlign w:val="baseline"/>
        </w:rPr>
        <w:footnoteRef/>
      </w:r>
      <w:r w:rsidR="00B06FB8">
        <w:rPr>
          <w:rFonts w:ascii="Times New Roman" w:hAnsi="Times New Roman" w:cs="Times New Roman"/>
        </w:rPr>
        <w:t>.</w:t>
      </w:r>
      <w:r w:rsidR="00B06FB8">
        <w:rPr>
          <w:rFonts w:ascii="Times New Roman" w:hAnsi="Times New Roman" w:cs="Times New Roman"/>
        </w:rPr>
        <w:tab/>
      </w:r>
      <w:r w:rsidRPr="00B06FB8">
        <w:rPr>
          <w:rFonts w:ascii="Times New Roman" w:hAnsi="Times New Roman" w:cs="Times New Roman"/>
          <w:color w:val="000000" w:themeColor="text1"/>
        </w:rPr>
        <w:t xml:space="preserve">Los </w:t>
      </w:r>
      <w:proofErr w:type="spellStart"/>
      <w:r w:rsidRPr="00B06FB8">
        <w:rPr>
          <w:rFonts w:ascii="Times New Roman" w:hAnsi="Times New Roman" w:cs="Times New Roman"/>
          <w:color w:val="000000" w:themeColor="text1"/>
        </w:rPr>
        <w:t>GAI</w:t>
      </w:r>
      <w:proofErr w:type="spellEnd"/>
      <w:r w:rsidRPr="00B06FB8">
        <w:rPr>
          <w:rFonts w:ascii="Times New Roman" w:hAnsi="Times New Roman" w:cs="Times New Roman"/>
          <w:color w:val="000000" w:themeColor="text1"/>
        </w:rPr>
        <w:t xml:space="preserve"> </w:t>
      </w:r>
      <w:r w:rsidR="00A71926" w:rsidRPr="00B06FB8">
        <w:rPr>
          <w:rFonts w:ascii="Times New Roman" w:hAnsi="Times New Roman" w:cs="Times New Roman"/>
          <w:color w:val="000000" w:themeColor="text1"/>
        </w:rPr>
        <w:t>anuncian</w:t>
      </w:r>
      <w:r w:rsidR="00477105" w:rsidRPr="00B06FB8">
        <w:rPr>
          <w:rFonts w:ascii="Times New Roman" w:hAnsi="Times New Roman" w:cs="Times New Roman"/>
          <w:color w:val="000000" w:themeColor="text1"/>
        </w:rPr>
        <w:t xml:space="preserve"> a las comunidades que deben dirigirse a ellos cuando existan problemas o conflictos por resolver.</w:t>
      </w:r>
      <w:r w:rsidR="00477105" w:rsidRPr="00B06FB8">
        <w:rPr>
          <w:rFonts w:ascii="Times New Roman" w:hAnsi="Times New Roman" w:cs="Times New Roman"/>
        </w:rPr>
        <w:t xml:space="preserve"> </w:t>
      </w:r>
    </w:p>
  </w:footnote>
  <w:footnote w:id="30">
    <w:p w14:paraId="331D8891" w14:textId="76A32A63" w:rsidR="002C395A" w:rsidRPr="00B06FB8" w:rsidRDefault="002C395A" w:rsidP="00B06FB8">
      <w:pPr>
        <w:pStyle w:val="FootnoteText"/>
        <w:tabs>
          <w:tab w:val="left" w:pos="720"/>
        </w:tabs>
        <w:ind w:left="708" w:hanging="348"/>
        <w:jc w:val="both"/>
        <w:rPr>
          <w:rFonts w:ascii="Times New Roman" w:hAnsi="Times New Roman" w:cs="Times New Roman"/>
          <w:lang w:val="es-ES"/>
        </w:rPr>
      </w:pPr>
      <w:r w:rsidRPr="00B06FB8">
        <w:rPr>
          <w:rStyle w:val="FootnoteReference"/>
          <w:rFonts w:ascii="Times New Roman" w:hAnsi="Times New Roman" w:cs="Times New Roman"/>
          <w:vertAlign w:val="baseline"/>
        </w:rPr>
        <w:footnoteRef/>
      </w:r>
      <w:r w:rsidR="00B06FB8">
        <w:rPr>
          <w:rFonts w:ascii="Times New Roman" w:hAnsi="Times New Roman" w:cs="Times New Roman"/>
        </w:rPr>
        <w:t>.</w:t>
      </w:r>
      <w:r w:rsidR="00B06FB8">
        <w:rPr>
          <w:rFonts w:ascii="Times New Roman" w:hAnsi="Times New Roman" w:cs="Times New Roman"/>
        </w:rPr>
        <w:tab/>
      </w:r>
      <w:r w:rsidR="00FD4697" w:rsidRPr="00B06FB8">
        <w:rPr>
          <w:rFonts w:ascii="Times New Roman" w:hAnsi="Times New Roman" w:cs="Times New Roman"/>
        </w:rPr>
        <w:t>Particularmente la Consejería Presidencial para los Derechos Humanos y los Asuntos Internacionales, el Instituto Colombiano de Bienestar Familiar (ICBF), el Ministerio de Educación Nacional y la Agencia para la Reincorporación y la Normalización y sus socios implementadores.</w:t>
      </w:r>
    </w:p>
  </w:footnote>
  <w:footnote w:id="31">
    <w:p w14:paraId="788325CC" w14:textId="0926A806" w:rsidR="002A3A67" w:rsidRPr="00B06FB8" w:rsidRDefault="002A3A67" w:rsidP="00B06FB8">
      <w:pPr>
        <w:pStyle w:val="FootnoteText"/>
        <w:tabs>
          <w:tab w:val="left" w:pos="720"/>
        </w:tabs>
        <w:ind w:left="720" w:hanging="360"/>
        <w:jc w:val="both"/>
        <w:rPr>
          <w:rFonts w:ascii="Times New Roman" w:hAnsi="Times New Roman" w:cs="Times New Roman"/>
        </w:rPr>
      </w:pPr>
      <w:r w:rsidRPr="00B06FB8">
        <w:rPr>
          <w:rStyle w:val="FootnoteReference"/>
          <w:rFonts w:ascii="Times New Roman" w:hAnsi="Times New Roman" w:cs="Times New Roman"/>
          <w:vertAlign w:val="baseline"/>
        </w:rPr>
        <w:footnoteRef/>
      </w:r>
      <w:bookmarkStart w:id="3" w:name="_Hlk87270224"/>
      <w:r w:rsidR="00B06FB8">
        <w:rPr>
          <w:rFonts w:ascii="Times New Roman" w:hAnsi="Times New Roman" w:cs="Times New Roman"/>
        </w:rPr>
        <w:t>.</w:t>
      </w:r>
      <w:r w:rsidR="00B06FB8">
        <w:rPr>
          <w:rFonts w:ascii="Times New Roman" w:hAnsi="Times New Roman" w:cs="Times New Roman"/>
        </w:rPr>
        <w:tab/>
      </w:r>
      <w:r w:rsidRPr="00B06FB8">
        <w:rPr>
          <w:rFonts w:ascii="Times New Roman" w:hAnsi="Times New Roman" w:cs="Times New Roman"/>
        </w:rPr>
        <w:t xml:space="preserve">Según lo informado por el ICBF a la </w:t>
      </w:r>
      <w:proofErr w:type="spellStart"/>
      <w:r w:rsidRPr="00B06FB8">
        <w:rPr>
          <w:rFonts w:ascii="Times New Roman" w:hAnsi="Times New Roman" w:cs="Times New Roman"/>
        </w:rPr>
        <w:t>MAPP</w:t>
      </w:r>
      <w:proofErr w:type="spellEnd"/>
      <w:r w:rsidRPr="00B06FB8">
        <w:rPr>
          <w:rFonts w:ascii="Times New Roman" w:hAnsi="Times New Roman" w:cs="Times New Roman"/>
        </w:rPr>
        <w:t>/OEA,</w:t>
      </w:r>
      <w:bookmarkEnd w:id="3"/>
      <w:r w:rsidRPr="00B06FB8">
        <w:rPr>
          <w:rFonts w:ascii="Times New Roman" w:hAnsi="Times New Roman" w:cs="Times New Roman"/>
        </w:rPr>
        <w:t xml:space="preserve"> esta estrategia atendió a 11.265 niños, niñas y adolescentes en territorios priorizados de 15 departamentos y fortaleció como entornos protectores a 2.242 familias, 1.243 actores comunitarios, 629 agentes educativos y 515 funcionarios territoriales.</w:t>
      </w:r>
    </w:p>
  </w:footnote>
  <w:footnote w:id="32">
    <w:p w14:paraId="7DA3BC33" w14:textId="3DF2717F" w:rsidR="009F67C1" w:rsidRPr="00B06FB8" w:rsidRDefault="009F67C1" w:rsidP="00B06FB8">
      <w:pPr>
        <w:pStyle w:val="FootnoteText"/>
        <w:tabs>
          <w:tab w:val="left" w:pos="720"/>
        </w:tabs>
        <w:ind w:left="720" w:hanging="360"/>
        <w:jc w:val="both"/>
        <w:rPr>
          <w:rFonts w:ascii="Times New Roman" w:hAnsi="Times New Roman" w:cs="Times New Roman"/>
          <w:lang w:val="es-MX"/>
        </w:rPr>
      </w:pPr>
      <w:r w:rsidRPr="00B06FB8">
        <w:rPr>
          <w:rStyle w:val="FootnoteReference"/>
          <w:rFonts w:ascii="Times New Roman" w:hAnsi="Times New Roman" w:cs="Times New Roman"/>
          <w:vertAlign w:val="baseline"/>
        </w:rPr>
        <w:footnoteRef/>
      </w:r>
      <w:r w:rsidR="00B06FB8">
        <w:rPr>
          <w:rFonts w:ascii="Times New Roman" w:hAnsi="Times New Roman" w:cs="Times New Roman"/>
        </w:rPr>
        <w:t>.</w:t>
      </w:r>
      <w:r w:rsidR="00B06FB8">
        <w:rPr>
          <w:rFonts w:ascii="Times New Roman" w:hAnsi="Times New Roman" w:cs="Times New Roman"/>
        </w:rPr>
        <w:tab/>
      </w:r>
      <w:r w:rsidRPr="00B06FB8">
        <w:rPr>
          <w:rFonts w:ascii="Times New Roman" w:hAnsi="Times New Roman" w:cs="Times New Roman"/>
        </w:rPr>
        <w:t xml:space="preserve">Comisión Intersectorial para la Prevención del Reclutamiento, la Utilización y la violencia sexual de Niños, Niñas y Adolescentes por parte de grupos armados al margen de la ley y grupos delincuenciales organizadas – </w:t>
      </w:r>
      <w:proofErr w:type="spellStart"/>
      <w:r w:rsidRPr="00B06FB8">
        <w:rPr>
          <w:rFonts w:ascii="Times New Roman" w:hAnsi="Times New Roman" w:cs="Times New Roman"/>
        </w:rPr>
        <w:t>CIPRUNNA</w:t>
      </w:r>
      <w:proofErr w:type="spellEnd"/>
      <w:r w:rsidRPr="00B06FB8">
        <w:rPr>
          <w:rFonts w:ascii="Times New Roman" w:hAnsi="Times New Roman" w:cs="Times New Roman"/>
        </w:rPr>
        <w:t xml:space="preserve">- </w:t>
      </w:r>
      <w:proofErr w:type="spellStart"/>
      <w:r w:rsidRPr="00B06FB8">
        <w:rPr>
          <w:rFonts w:ascii="Times New Roman" w:hAnsi="Times New Roman" w:cs="Times New Roman"/>
        </w:rPr>
        <w:t>OFI21</w:t>
      </w:r>
      <w:proofErr w:type="spellEnd"/>
      <w:r w:rsidRPr="00B06FB8">
        <w:rPr>
          <w:rFonts w:ascii="Times New Roman" w:hAnsi="Times New Roman" w:cs="Times New Roman"/>
        </w:rPr>
        <w:t xml:space="preserve">-00116338 / </w:t>
      </w:r>
      <w:proofErr w:type="spellStart"/>
      <w:r w:rsidRPr="00B06FB8">
        <w:rPr>
          <w:rFonts w:ascii="Times New Roman" w:hAnsi="Times New Roman" w:cs="Times New Roman"/>
        </w:rPr>
        <w:t>IDM</w:t>
      </w:r>
      <w:proofErr w:type="spellEnd"/>
      <w:r w:rsidRPr="00B06FB8">
        <w:rPr>
          <w:rFonts w:ascii="Times New Roman" w:hAnsi="Times New Roman" w:cs="Times New Roman"/>
        </w:rPr>
        <w:t xml:space="preserve"> 13050000 (2021). </w:t>
      </w:r>
    </w:p>
  </w:footnote>
  <w:footnote w:id="33">
    <w:p w14:paraId="666ADE63" w14:textId="75AC1AB7" w:rsidR="006C0339" w:rsidRPr="00B06FB8" w:rsidRDefault="006C0339" w:rsidP="00B06FB8">
      <w:pPr>
        <w:pStyle w:val="FootnoteText"/>
        <w:tabs>
          <w:tab w:val="left" w:pos="720"/>
        </w:tabs>
        <w:ind w:left="720" w:hanging="360"/>
        <w:jc w:val="both"/>
        <w:rPr>
          <w:rFonts w:ascii="Times New Roman" w:hAnsi="Times New Roman" w:cs="Times New Roman"/>
        </w:rPr>
      </w:pPr>
      <w:r w:rsidRPr="00B06FB8">
        <w:rPr>
          <w:rStyle w:val="FootnoteReference"/>
          <w:rFonts w:ascii="Times New Roman" w:hAnsi="Times New Roman" w:cs="Times New Roman"/>
          <w:vertAlign w:val="baseline"/>
        </w:rPr>
        <w:footnoteRef/>
      </w:r>
      <w:r w:rsidR="00B06FB8">
        <w:rPr>
          <w:rFonts w:ascii="Times New Roman" w:hAnsi="Times New Roman" w:cs="Times New Roman"/>
        </w:rPr>
        <w:t>.</w:t>
      </w:r>
      <w:r w:rsidR="00B06FB8">
        <w:rPr>
          <w:rFonts w:ascii="Times New Roman" w:hAnsi="Times New Roman" w:cs="Times New Roman"/>
        </w:rPr>
        <w:tab/>
      </w:r>
      <w:r w:rsidRPr="00B06FB8">
        <w:rPr>
          <w:rFonts w:ascii="Times New Roman" w:hAnsi="Times New Roman" w:cs="Times New Roman"/>
        </w:rPr>
        <w:t xml:space="preserve">Un entorno protector se desarrolla en un espacio libre de cualquier forma de violencia, abuso o explotación en </w:t>
      </w:r>
      <w:r w:rsidR="00AE1675" w:rsidRPr="00B06FB8">
        <w:rPr>
          <w:rFonts w:ascii="Times New Roman" w:hAnsi="Times New Roman" w:cs="Times New Roman"/>
        </w:rPr>
        <w:t>donde</w:t>
      </w:r>
      <w:r w:rsidRPr="00B06FB8">
        <w:rPr>
          <w:rFonts w:ascii="Times New Roman" w:hAnsi="Times New Roman" w:cs="Times New Roman"/>
        </w:rPr>
        <w:t xml:space="preserve"> </w:t>
      </w:r>
      <w:r w:rsidR="008B7030" w:rsidRPr="00B06FB8">
        <w:rPr>
          <w:rFonts w:ascii="Times New Roman" w:hAnsi="Times New Roman" w:cs="Times New Roman"/>
        </w:rPr>
        <w:t xml:space="preserve">integrantes </w:t>
      </w:r>
      <w:r w:rsidRPr="00B06FB8">
        <w:rPr>
          <w:rFonts w:ascii="Times New Roman" w:hAnsi="Times New Roman" w:cs="Times New Roman"/>
        </w:rPr>
        <w:t xml:space="preserve">de las familias y comunidades velan por el respeto a los derechos e intereses de </w:t>
      </w:r>
      <w:proofErr w:type="spellStart"/>
      <w:r w:rsidRPr="00B06FB8">
        <w:rPr>
          <w:rFonts w:ascii="Times New Roman" w:hAnsi="Times New Roman" w:cs="Times New Roman"/>
        </w:rPr>
        <w:t>NNA</w:t>
      </w:r>
      <w:proofErr w:type="spellEnd"/>
      <w:r w:rsidRPr="00B06FB8">
        <w:rPr>
          <w:rFonts w:ascii="Times New Roman" w:hAnsi="Times New Roman" w:cs="Times New Roman"/>
        </w:rPr>
        <w:t>.</w:t>
      </w:r>
    </w:p>
  </w:footnote>
  <w:footnote w:id="34">
    <w:p w14:paraId="7FD39FA6" w14:textId="15F289D4" w:rsidR="009F67C1" w:rsidRPr="00B06FB8" w:rsidRDefault="009F67C1" w:rsidP="00B06FB8">
      <w:pPr>
        <w:pStyle w:val="FootnoteText"/>
        <w:tabs>
          <w:tab w:val="left" w:pos="720"/>
        </w:tabs>
        <w:ind w:left="720" w:hanging="360"/>
        <w:jc w:val="both"/>
        <w:rPr>
          <w:rFonts w:ascii="Times New Roman" w:hAnsi="Times New Roman" w:cs="Times New Roman"/>
        </w:rPr>
      </w:pPr>
      <w:r w:rsidRPr="00B06FB8">
        <w:rPr>
          <w:rStyle w:val="FootnoteReference"/>
          <w:rFonts w:ascii="Times New Roman" w:hAnsi="Times New Roman" w:cs="Times New Roman"/>
          <w:vertAlign w:val="baseline"/>
        </w:rPr>
        <w:footnoteRef/>
      </w:r>
      <w:r w:rsidR="00B06FB8">
        <w:rPr>
          <w:rFonts w:ascii="Times New Roman" w:hAnsi="Times New Roman" w:cs="Times New Roman"/>
        </w:rPr>
        <w:t>.</w:t>
      </w:r>
      <w:r w:rsidR="00B06FB8">
        <w:rPr>
          <w:rFonts w:ascii="Times New Roman" w:hAnsi="Times New Roman" w:cs="Times New Roman"/>
        </w:rPr>
        <w:tab/>
      </w:r>
      <w:r w:rsidRPr="00B06FB8">
        <w:rPr>
          <w:rFonts w:ascii="Times New Roman" w:hAnsi="Times New Roman" w:cs="Times New Roman"/>
        </w:rPr>
        <w:t xml:space="preserve">Resguardo Indígena Awá Inda </w:t>
      </w:r>
      <w:proofErr w:type="spellStart"/>
      <w:r w:rsidRPr="00B06FB8">
        <w:rPr>
          <w:rFonts w:ascii="Times New Roman" w:hAnsi="Times New Roman" w:cs="Times New Roman"/>
        </w:rPr>
        <w:t>Guacaray</w:t>
      </w:r>
      <w:proofErr w:type="spellEnd"/>
      <w:r w:rsidRPr="00B06FB8">
        <w:rPr>
          <w:rFonts w:ascii="Times New Roman" w:hAnsi="Times New Roman" w:cs="Times New Roman"/>
        </w:rPr>
        <w:t xml:space="preserve"> y los Consejos Comunitarios Recuerdo de Nuestros Ancestros del río Mejicano y Rescate Las Varas, de los municipios de Tumaco y Barbacoas.</w:t>
      </w:r>
    </w:p>
  </w:footnote>
  <w:footnote w:id="35">
    <w:p w14:paraId="7B80DB59" w14:textId="59A2B336" w:rsidR="00396666" w:rsidRPr="00B06FB8" w:rsidRDefault="00396666" w:rsidP="00B06FB8">
      <w:pPr>
        <w:pStyle w:val="FootnoteText"/>
        <w:tabs>
          <w:tab w:val="left" w:pos="720"/>
        </w:tabs>
        <w:ind w:left="720" w:hanging="360"/>
        <w:jc w:val="both"/>
        <w:rPr>
          <w:rFonts w:ascii="Times New Roman" w:eastAsia="Times New Roman" w:hAnsi="Times New Roman" w:cs="Times New Roman"/>
          <w:lang w:eastAsia="es-MX"/>
        </w:rPr>
      </w:pPr>
      <w:r w:rsidRPr="00B06FB8">
        <w:rPr>
          <w:rStyle w:val="FootnoteReference"/>
          <w:rFonts w:ascii="Times New Roman" w:eastAsia="Times New Roman" w:hAnsi="Times New Roman" w:cs="Times New Roman"/>
          <w:vertAlign w:val="baseline"/>
          <w:lang w:eastAsia="es-MX"/>
        </w:rPr>
        <w:footnoteRef/>
      </w:r>
      <w:r w:rsidR="00B06FB8">
        <w:rPr>
          <w:rStyle w:val="FootnoteReference"/>
          <w:rFonts w:ascii="Times New Roman" w:eastAsia="Times New Roman" w:hAnsi="Times New Roman" w:cs="Times New Roman"/>
          <w:vertAlign w:val="baseline"/>
          <w:lang w:eastAsia="es-MX"/>
        </w:rPr>
        <w:t>.</w:t>
      </w:r>
      <w:r w:rsidR="00B06FB8">
        <w:rPr>
          <w:rStyle w:val="FootnoteReference"/>
          <w:rFonts w:ascii="Times New Roman" w:eastAsia="Times New Roman" w:hAnsi="Times New Roman" w:cs="Times New Roman"/>
          <w:vertAlign w:val="baseline"/>
          <w:lang w:eastAsia="es-MX"/>
        </w:rPr>
        <w:tab/>
      </w:r>
      <w:r w:rsidRPr="00B06FB8">
        <w:rPr>
          <w:rFonts w:ascii="Times New Roman" w:eastAsia="Times New Roman" w:hAnsi="Times New Roman" w:cs="Times New Roman"/>
          <w:lang w:eastAsia="es-MX"/>
        </w:rPr>
        <w:t>Debido a que</w:t>
      </w:r>
      <w:r w:rsidR="0088604E" w:rsidRPr="00B06FB8">
        <w:rPr>
          <w:rFonts w:ascii="Times New Roman" w:eastAsia="Times New Roman" w:hAnsi="Times New Roman" w:cs="Times New Roman"/>
          <w:lang w:eastAsia="es-MX"/>
        </w:rPr>
        <w:t xml:space="preserve"> </w:t>
      </w:r>
      <w:r w:rsidRPr="00B06FB8">
        <w:rPr>
          <w:rFonts w:ascii="Times New Roman" w:eastAsia="Times New Roman" w:hAnsi="Times New Roman" w:cs="Times New Roman"/>
          <w:lang w:eastAsia="es-MX"/>
        </w:rPr>
        <w:t xml:space="preserve">estos casos no son puestos en conocimiento de ninguna entidad estatal. </w:t>
      </w:r>
    </w:p>
  </w:footnote>
  <w:footnote w:id="36">
    <w:p w14:paraId="054AE0AE" w14:textId="6CFF1EBC" w:rsidR="0099525A" w:rsidRPr="00B06FB8" w:rsidRDefault="0099525A" w:rsidP="00B06FB8">
      <w:pPr>
        <w:pStyle w:val="FootnoteText"/>
        <w:tabs>
          <w:tab w:val="left" w:pos="720"/>
        </w:tabs>
        <w:ind w:left="720" w:hanging="360"/>
        <w:jc w:val="both"/>
        <w:rPr>
          <w:rFonts w:ascii="Times New Roman" w:hAnsi="Times New Roman" w:cs="Times New Roman"/>
        </w:rPr>
      </w:pPr>
      <w:r w:rsidRPr="00B06FB8">
        <w:rPr>
          <w:rStyle w:val="FootnoteReference"/>
          <w:rFonts w:ascii="Times New Roman" w:eastAsia="Times New Roman" w:hAnsi="Times New Roman" w:cs="Times New Roman"/>
          <w:vertAlign w:val="baseline"/>
          <w:lang w:eastAsia="es-MX"/>
        </w:rPr>
        <w:footnoteRef/>
      </w:r>
      <w:r w:rsidR="00B06FB8">
        <w:rPr>
          <w:rFonts w:ascii="Times New Roman" w:hAnsi="Times New Roman" w:cs="Times New Roman"/>
        </w:rPr>
        <w:t>.</w:t>
      </w:r>
      <w:r w:rsidR="00B06FB8">
        <w:rPr>
          <w:rFonts w:ascii="Times New Roman" w:hAnsi="Times New Roman" w:cs="Times New Roman"/>
        </w:rPr>
        <w:tab/>
      </w:r>
      <w:r w:rsidRPr="00B06FB8">
        <w:rPr>
          <w:rFonts w:ascii="Times New Roman" w:eastAsia="Times New Roman" w:hAnsi="Times New Roman" w:cs="Times New Roman"/>
          <w:lang w:eastAsia="es-MX"/>
        </w:rPr>
        <w:t>En especial la realización de 20.973 actividades de prevención en los territorios de alta afectación y apropiación en 6 lenguas nativas.</w:t>
      </w:r>
    </w:p>
  </w:footnote>
  <w:footnote w:id="37">
    <w:p w14:paraId="524C46C6" w14:textId="22B9C71C" w:rsidR="009F67C1" w:rsidRPr="00B06FB8" w:rsidRDefault="009F67C1" w:rsidP="00B06FB8">
      <w:pPr>
        <w:tabs>
          <w:tab w:val="left" w:pos="720"/>
        </w:tabs>
        <w:autoSpaceDE w:val="0"/>
        <w:autoSpaceDN w:val="0"/>
        <w:adjustRightInd w:val="0"/>
        <w:ind w:left="720" w:hanging="360"/>
        <w:jc w:val="both"/>
        <w:rPr>
          <w:sz w:val="20"/>
          <w:szCs w:val="20"/>
        </w:rPr>
      </w:pPr>
      <w:r w:rsidRPr="00B06FB8">
        <w:rPr>
          <w:rStyle w:val="FootnoteReference"/>
          <w:sz w:val="20"/>
          <w:szCs w:val="20"/>
          <w:vertAlign w:val="baseline"/>
        </w:rPr>
        <w:footnoteRef/>
      </w:r>
      <w:r w:rsidR="00B06FB8">
        <w:rPr>
          <w:sz w:val="20"/>
          <w:szCs w:val="20"/>
        </w:rPr>
        <w:t>.</w:t>
      </w:r>
      <w:r w:rsidR="00B06FB8">
        <w:rPr>
          <w:sz w:val="20"/>
          <w:szCs w:val="20"/>
        </w:rPr>
        <w:tab/>
      </w:r>
      <w:r w:rsidRPr="00B06FB8">
        <w:rPr>
          <w:sz w:val="20"/>
          <w:szCs w:val="20"/>
        </w:rPr>
        <w:t xml:space="preserve">Como se mencionó en el Informe Semestral XXX, según el monitoreo, la contaminación por </w:t>
      </w:r>
      <w:proofErr w:type="spellStart"/>
      <w:r w:rsidRPr="00B06FB8">
        <w:rPr>
          <w:sz w:val="20"/>
          <w:szCs w:val="20"/>
        </w:rPr>
        <w:t>MAP</w:t>
      </w:r>
      <w:proofErr w:type="spellEnd"/>
      <w:r w:rsidRPr="00B06FB8">
        <w:rPr>
          <w:sz w:val="20"/>
          <w:szCs w:val="20"/>
        </w:rPr>
        <w:t xml:space="preserve">/MUSE en los territorios por parte de los </w:t>
      </w:r>
      <w:proofErr w:type="spellStart"/>
      <w:r w:rsidRPr="00B06FB8">
        <w:rPr>
          <w:sz w:val="20"/>
          <w:szCs w:val="20"/>
        </w:rPr>
        <w:t>GAI</w:t>
      </w:r>
      <w:proofErr w:type="spellEnd"/>
      <w:r w:rsidRPr="00B06FB8">
        <w:rPr>
          <w:sz w:val="20"/>
          <w:szCs w:val="20"/>
        </w:rPr>
        <w:t xml:space="preserve"> suele realizarse para: i) delimitar el territorio que buscan controlar, </w:t>
      </w:r>
      <w:proofErr w:type="spellStart"/>
      <w:r w:rsidRPr="00B06FB8">
        <w:rPr>
          <w:sz w:val="20"/>
          <w:szCs w:val="20"/>
        </w:rPr>
        <w:t>ii</w:t>
      </w:r>
      <w:proofErr w:type="spellEnd"/>
      <w:r w:rsidRPr="00B06FB8">
        <w:rPr>
          <w:sz w:val="20"/>
          <w:szCs w:val="20"/>
        </w:rPr>
        <w:t xml:space="preserve">) impedir que la Fuerza Pública avance a zonas donde ejercen mayor control, </w:t>
      </w:r>
      <w:proofErr w:type="spellStart"/>
      <w:r w:rsidRPr="00B06FB8">
        <w:rPr>
          <w:sz w:val="20"/>
          <w:szCs w:val="20"/>
        </w:rPr>
        <w:t>iii</w:t>
      </w:r>
      <w:proofErr w:type="spellEnd"/>
      <w:r w:rsidRPr="00B06FB8">
        <w:rPr>
          <w:sz w:val="20"/>
          <w:szCs w:val="20"/>
        </w:rPr>
        <w:t xml:space="preserve">) para generar cercos de protección de los cultivos ilícitos frente a la erradicación forzosa, y </w:t>
      </w:r>
      <w:proofErr w:type="spellStart"/>
      <w:r w:rsidRPr="00B06FB8">
        <w:rPr>
          <w:sz w:val="20"/>
          <w:szCs w:val="20"/>
        </w:rPr>
        <w:t>iv</w:t>
      </w:r>
      <w:proofErr w:type="spellEnd"/>
      <w:r w:rsidRPr="00B06FB8">
        <w:rPr>
          <w:sz w:val="20"/>
          <w:szCs w:val="20"/>
        </w:rPr>
        <w:t xml:space="preserve">) en confrontaciones con otros </w:t>
      </w:r>
      <w:proofErr w:type="spellStart"/>
      <w:r w:rsidRPr="00B06FB8">
        <w:rPr>
          <w:sz w:val="20"/>
          <w:szCs w:val="20"/>
        </w:rPr>
        <w:t>GAI</w:t>
      </w:r>
      <w:proofErr w:type="spellEnd"/>
      <w:r w:rsidRPr="00B06FB8">
        <w:rPr>
          <w:sz w:val="20"/>
          <w:szCs w:val="20"/>
        </w:rPr>
        <w:t>.</w:t>
      </w:r>
    </w:p>
  </w:footnote>
  <w:footnote w:id="38">
    <w:p w14:paraId="287755CF" w14:textId="77777777" w:rsidR="009F67C1" w:rsidRPr="00B06FB8" w:rsidRDefault="009F67C1" w:rsidP="00B06FB8">
      <w:pPr>
        <w:pStyle w:val="FootnoteText"/>
        <w:tabs>
          <w:tab w:val="left" w:pos="720"/>
        </w:tabs>
        <w:ind w:left="720" w:hanging="360"/>
        <w:jc w:val="both"/>
        <w:rPr>
          <w:rFonts w:ascii="Times New Roman" w:hAnsi="Times New Roman" w:cs="Times New Roman"/>
        </w:rPr>
      </w:pPr>
      <w:r w:rsidRPr="00B06FB8">
        <w:rPr>
          <w:rStyle w:val="FootnoteReference"/>
          <w:rFonts w:ascii="Times New Roman" w:hAnsi="Times New Roman" w:cs="Times New Roman"/>
          <w:vertAlign w:val="baseline"/>
        </w:rPr>
        <w:footnoteRef/>
      </w:r>
      <w:r w:rsidRPr="00B06FB8">
        <w:rPr>
          <w:rFonts w:ascii="Times New Roman" w:hAnsi="Times New Roman" w:cs="Times New Roman"/>
        </w:rPr>
        <w:t xml:space="preserve"> Estas dinámicas también ocurren en Bajo Putumayo (Puerto Leguizamo), Valle del Cauca (Jamundí), Antioquia (Caucasia y Tarazá) y en la zona de frontera de Arauca (Arauquita). Esta contaminación suele realizarse para la eventual protección de campamentos o para proteger su retirada en combates con grupos rivales.</w:t>
      </w:r>
    </w:p>
  </w:footnote>
  <w:footnote w:id="39">
    <w:p w14:paraId="22EDA5DD" w14:textId="450D3390" w:rsidR="009F67C1" w:rsidRPr="00B06FB8" w:rsidRDefault="009F67C1" w:rsidP="00B06FB8">
      <w:pPr>
        <w:pStyle w:val="FootnoteText"/>
        <w:tabs>
          <w:tab w:val="left" w:pos="720"/>
        </w:tabs>
        <w:ind w:left="720" w:hanging="360"/>
        <w:jc w:val="both"/>
        <w:rPr>
          <w:rFonts w:ascii="Times New Roman" w:hAnsi="Times New Roman" w:cs="Times New Roman"/>
        </w:rPr>
      </w:pPr>
      <w:r w:rsidRPr="00B06FB8">
        <w:rPr>
          <w:rStyle w:val="FootnoteReference"/>
          <w:rFonts w:ascii="Times New Roman" w:hAnsi="Times New Roman" w:cs="Times New Roman"/>
          <w:vertAlign w:val="baseline"/>
        </w:rPr>
        <w:footnoteRef/>
      </w:r>
      <w:r w:rsidR="00B06FB8">
        <w:rPr>
          <w:rFonts w:ascii="Times New Roman" w:hAnsi="Times New Roman" w:cs="Times New Roman"/>
        </w:rPr>
        <w:t>.</w:t>
      </w:r>
      <w:r w:rsidR="00B06FB8">
        <w:rPr>
          <w:rFonts w:ascii="Times New Roman" w:hAnsi="Times New Roman" w:cs="Times New Roman"/>
        </w:rPr>
        <w:tab/>
      </w:r>
      <w:r w:rsidRPr="00B06FB8">
        <w:rPr>
          <w:rFonts w:ascii="Times New Roman" w:hAnsi="Times New Roman" w:cs="Times New Roman"/>
        </w:rPr>
        <w:t xml:space="preserve">Se han conocido advertencias de mayor contaminación por </w:t>
      </w:r>
      <w:proofErr w:type="spellStart"/>
      <w:r w:rsidRPr="00B06FB8">
        <w:rPr>
          <w:rFonts w:ascii="Times New Roman" w:hAnsi="Times New Roman" w:cs="Times New Roman"/>
        </w:rPr>
        <w:t>MAP</w:t>
      </w:r>
      <w:proofErr w:type="spellEnd"/>
      <w:r w:rsidRPr="00B06FB8">
        <w:rPr>
          <w:rFonts w:ascii="Times New Roman" w:hAnsi="Times New Roman" w:cs="Times New Roman"/>
        </w:rPr>
        <w:t xml:space="preserve"> en caso de llegada de la fuerza pública en la implementación de estrategias gubernamentales como se presentó en Samaniego, Nariño, con la incorporación del municipio al programa de Zonas Futuro y en Guaviare como una práctica para la protección de cultivos ilícitos. </w:t>
      </w:r>
    </w:p>
  </w:footnote>
  <w:footnote w:id="40">
    <w:p w14:paraId="2443866E" w14:textId="4966A629" w:rsidR="009F67C1" w:rsidRPr="00B06FB8" w:rsidRDefault="009F67C1" w:rsidP="00B06FB8">
      <w:pPr>
        <w:pStyle w:val="FootnoteText"/>
        <w:tabs>
          <w:tab w:val="left" w:pos="720"/>
        </w:tabs>
        <w:ind w:left="720" w:hanging="360"/>
        <w:jc w:val="both"/>
        <w:rPr>
          <w:rFonts w:ascii="Times New Roman" w:hAnsi="Times New Roman" w:cs="Times New Roman"/>
        </w:rPr>
      </w:pPr>
      <w:r w:rsidRPr="00B06FB8">
        <w:rPr>
          <w:rStyle w:val="FootnoteReference"/>
          <w:rFonts w:ascii="Times New Roman" w:hAnsi="Times New Roman" w:cs="Times New Roman"/>
          <w:vertAlign w:val="baseline"/>
        </w:rPr>
        <w:footnoteRef/>
      </w:r>
      <w:r w:rsidR="00B06FB8">
        <w:rPr>
          <w:rFonts w:ascii="Times New Roman" w:hAnsi="Times New Roman" w:cs="Times New Roman"/>
        </w:rPr>
        <w:t>.</w:t>
      </w:r>
      <w:r w:rsidR="00B06FB8">
        <w:rPr>
          <w:rFonts w:ascii="Times New Roman" w:hAnsi="Times New Roman" w:cs="Times New Roman"/>
        </w:rPr>
        <w:tab/>
      </w:r>
      <w:r w:rsidRPr="00B06FB8">
        <w:rPr>
          <w:rFonts w:ascii="Times New Roman" w:hAnsi="Times New Roman" w:cs="Times New Roman"/>
        </w:rPr>
        <w:t>Denominación genérica que corresponde tanto a accidentes como a incidentes causados por Minas Antipersonal (</w:t>
      </w:r>
      <w:proofErr w:type="spellStart"/>
      <w:r w:rsidRPr="00B06FB8">
        <w:rPr>
          <w:rFonts w:ascii="Times New Roman" w:hAnsi="Times New Roman" w:cs="Times New Roman"/>
        </w:rPr>
        <w:t>MAP</w:t>
      </w:r>
      <w:proofErr w:type="spellEnd"/>
      <w:r w:rsidRPr="00B06FB8">
        <w:rPr>
          <w:rFonts w:ascii="Times New Roman" w:hAnsi="Times New Roman" w:cs="Times New Roman"/>
        </w:rPr>
        <w:t>), Municiones sin Explosionar (</w:t>
      </w:r>
      <w:proofErr w:type="spellStart"/>
      <w:r w:rsidRPr="00B06FB8">
        <w:rPr>
          <w:rFonts w:ascii="Times New Roman" w:hAnsi="Times New Roman" w:cs="Times New Roman"/>
        </w:rPr>
        <w:t>MSE</w:t>
      </w:r>
      <w:proofErr w:type="spellEnd"/>
      <w:r w:rsidRPr="00B06FB8">
        <w:rPr>
          <w:rFonts w:ascii="Times New Roman" w:hAnsi="Times New Roman" w:cs="Times New Roman"/>
        </w:rPr>
        <w:t>) y/o Artefactos Explosivos Improvisados (</w:t>
      </w:r>
      <w:proofErr w:type="spellStart"/>
      <w:r w:rsidRPr="00B06FB8">
        <w:rPr>
          <w:rFonts w:ascii="Times New Roman" w:hAnsi="Times New Roman" w:cs="Times New Roman"/>
        </w:rPr>
        <w:t>AEI</w:t>
      </w:r>
      <w:proofErr w:type="spellEnd"/>
      <w:r w:rsidRPr="00B06FB8">
        <w:rPr>
          <w:rFonts w:ascii="Times New Roman" w:hAnsi="Times New Roman" w:cs="Times New Roman"/>
        </w:rPr>
        <w:t>).</w:t>
      </w:r>
    </w:p>
  </w:footnote>
  <w:footnote w:id="41">
    <w:p w14:paraId="1445AE59" w14:textId="0DDD28CC" w:rsidR="009F67C1" w:rsidRPr="00B06FB8" w:rsidRDefault="009F67C1" w:rsidP="00B06FB8">
      <w:pPr>
        <w:pStyle w:val="FootnoteText"/>
        <w:tabs>
          <w:tab w:val="left" w:pos="720"/>
        </w:tabs>
        <w:ind w:left="720" w:hanging="360"/>
        <w:jc w:val="both"/>
        <w:rPr>
          <w:rFonts w:ascii="Times New Roman" w:hAnsi="Times New Roman" w:cs="Times New Roman"/>
        </w:rPr>
      </w:pPr>
      <w:r w:rsidRPr="00B06FB8">
        <w:rPr>
          <w:rStyle w:val="FootnoteReference"/>
          <w:rFonts w:ascii="Times New Roman" w:hAnsi="Times New Roman" w:cs="Times New Roman"/>
          <w:vertAlign w:val="baseline"/>
        </w:rPr>
        <w:footnoteRef/>
      </w:r>
      <w:r w:rsidR="00B06FB8">
        <w:rPr>
          <w:rFonts w:ascii="Times New Roman" w:hAnsi="Times New Roman" w:cs="Times New Roman"/>
        </w:rPr>
        <w:t>.</w:t>
      </w:r>
      <w:r w:rsidR="00B06FB8">
        <w:rPr>
          <w:rFonts w:ascii="Times New Roman" w:hAnsi="Times New Roman" w:cs="Times New Roman"/>
        </w:rPr>
        <w:tab/>
      </w:r>
      <w:r w:rsidRPr="00B06FB8">
        <w:rPr>
          <w:rFonts w:ascii="Times New Roman" w:hAnsi="Times New Roman" w:cs="Times New Roman"/>
        </w:rPr>
        <w:t>Entre los afectados también se encuentran mujeres, población campesina y migrante venezolana. Preocupa el riesgo en el que se encuentran comunidades indígenas en Bajo Cauca (Antioquia) y en Catatumbo</w:t>
      </w:r>
      <w:r w:rsidR="001A6297" w:rsidRPr="00B06FB8">
        <w:rPr>
          <w:rFonts w:ascii="Times New Roman" w:hAnsi="Times New Roman" w:cs="Times New Roman"/>
        </w:rPr>
        <w:t xml:space="preserve"> (Norte de Santander)</w:t>
      </w:r>
      <w:r w:rsidRPr="00B06FB8">
        <w:rPr>
          <w:rFonts w:ascii="Times New Roman" w:hAnsi="Times New Roman" w:cs="Times New Roman"/>
        </w:rPr>
        <w:t xml:space="preserve">, especialmente el pueblo indígena Motilón- Barí. </w:t>
      </w:r>
    </w:p>
  </w:footnote>
  <w:footnote w:id="42">
    <w:p w14:paraId="017D5EAA" w14:textId="42FEBD75" w:rsidR="006926C0" w:rsidRPr="00B06FB8" w:rsidRDefault="006926C0" w:rsidP="00B06FB8">
      <w:pPr>
        <w:pStyle w:val="FootnoteText"/>
        <w:tabs>
          <w:tab w:val="left" w:pos="720"/>
        </w:tabs>
        <w:ind w:left="720" w:hanging="360"/>
        <w:jc w:val="both"/>
        <w:rPr>
          <w:rFonts w:ascii="Times New Roman" w:hAnsi="Times New Roman" w:cs="Times New Roman"/>
          <w:lang w:val="es-MX"/>
        </w:rPr>
      </w:pPr>
      <w:r w:rsidRPr="00B06FB8">
        <w:rPr>
          <w:rStyle w:val="FootnoteReference"/>
          <w:rFonts w:ascii="Times New Roman" w:hAnsi="Times New Roman" w:cs="Times New Roman"/>
          <w:vertAlign w:val="baseline"/>
        </w:rPr>
        <w:footnoteRef/>
      </w:r>
      <w:r w:rsidR="00B06FB8">
        <w:rPr>
          <w:rFonts w:ascii="Times New Roman" w:hAnsi="Times New Roman" w:cs="Times New Roman"/>
        </w:rPr>
        <w:t>.</w:t>
      </w:r>
      <w:r w:rsidR="00B06FB8">
        <w:rPr>
          <w:rFonts w:ascii="Times New Roman" w:hAnsi="Times New Roman" w:cs="Times New Roman"/>
        </w:rPr>
        <w:tab/>
      </w:r>
      <w:r w:rsidRPr="00B06FB8">
        <w:rPr>
          <w:rFonts w:ascii="Times New Roman" w:eastAsia="Times New Roman" w:hAnsi="Times New Roman" w:cs="Times New Roman"/>
          <w:lang w:eastAsia="es-CO"/>
        </w:rPr>
        <w:t>Se denominan así aquellos cultivos que satisfacen parte de las necesidades alimenticias de una población determinada, dentro de los cuales se destacan: el maíz, la yuca, el plátano, entre otros.</w:t>
      </w:r>
    </w:p>
  </w:footnote>
  <w:footnote w:id="43">
    <w:p w14:paraId="7EAEA93B" w14:textId="4EBE752A" w:rsidR="00AD7959" w:rsidRPr="00B06FB8" w:rsidRDefault="00AD7959" w:rsidP="00B06FB8">
      <w:pPr>
        <w:pStyle w:val="FootnoteText"/>
        <w:tabs>
          <w:tab w:val="left" w:pos="720"/>
        </w:tabs>
        <w:ind w:left="720" w:hanging="360"/>
        <w:jc w:val="both"/>
        <w:rPr>
          <w:rFonts w:ascii="Times New Roman" w:hAnsi="Times New Roman" w:cs="Times New Roman"/>
        </w:rPr>
      </w:pPr>
      <w:r w:rsidRPr="00B06FB8">
        <w:rPr>
          <w:rStyle w:val="FootnoteReference"/>
          <w:rFonts w:ascii="Times New Roman" w:hAnsi="Times New Roman" w:cs="Times New Roman"/>
          <w:vertAlign w:val="baseline"/>
        </w:rPr>
        <w:footnoteRef/>
      </w:r>
      <w:r w:rsidR="00B06FB8">
        <w:rPr>
          <w:rFonts w:ascii="Times New Roman" w:hAnsi="Times New Roman" w:cs="Times New Roman"/>
        </w:rPr>
        <w:t>.</w:t>
      </w:r>
      <w:r w:rsidR="00B06FB8">
        <w:rPr>
          <w:rFonts w:ascii="Times New Roman" w:hAnsi="Times New Roman" w:cs="Times New Roman"/>
        </w:rPr>
        <w:tab/>
      </w:r>
      <w:r w:rsidRPr="00B06FB8">
        <w:rPr>
          <w:rFonts w:ascii="Times New Roman" w:hAnsi="Times New Roman" w:cs="Times New Roman"/>
        </w:rPr>
        <w:t>Para el primer semestre de 2021, según lo informado por el Ministerio de Defensa Nacional a la Misión, en comparación con el mismo período en 2020, se ha presentado una disminución consider</w:t>
      </w:r>
      <w:r w:rsidR="00AC1C02" w:rsidRPr="00B06FB8">
        <w:rPr>
          <w:rFonts w:ascii="Times New Roman" w:hAnsi="Times New Roman" w:cs="Times New Roman"/>
        </w:rPr>
        <w:t>able</w:t>
      </w:r>
      <w:r w:rsidRPr="00B06FB8">
        <w:rPr>
          <w:rFonts w:ascii="Times New Roman" w:hAnsi="Times New Roman" w:cs="Times New Roman"/>
        </w:rPr>
        <w:t xml:space="preserve"> de heridos civiles por </w:t>
      </w:r>
      <w:proofErr w:type="spellStart"/>
      <w:r w:rsidRPr="00B06FB8">
        <w:rPr>
          <w:rFonts w:ascii="Times New Roman" w:hAnsi="Times New Roman" w:cs="Times New Roman"/>
        </w:rPr>
        <w:t>MAP</w:t>
      </w:r>
      <w:proofErr w:type="spellEnd"/>
      <w:r w:rsidRPr="00B06FB8">
        <w:rPr>
          <w:rFonts w:ascii="Times New Roman" w:hAnsi="Times New Roman" w:cs="Times New Roman"/>
        </w:rPr>
        <w:t xml:space="preserve"> mientras que, respecto a los heridos civiles por MUSE ha presentado un aumento considera</w:t>
      </w:r>
      <w:r w:rsidR="00AC1C02" w:rsidRPr="00B06FB8">
        <w:rPr>
          <w:rFonts w:ascii="Times New Roman" w:hAnsi="Times New Roman" w:cs="Times New Roman"/>
        </w:rPr>
        <w:t>ble</w:t>
      </w:r>
      <w:r w:rsidRPr="00B06FB8">
        <w:rPr>
          <w:rFonts w:ascii="Times New Roman" w:hAnsi="Times New Roman" w:cs="Times New Roman"/>
        </w:rPr>
        <w:t xml:space="preserve"> comparado con el mismo periodo en 2020. Respecto al número de muertes reportadas por artefactos explosivos la tendencia disminuye levemente comparado con el primer semestre de 2020.</w:t>
      </w:r>
    </w:p>
  </w:footnote>
  <w:footnote w:id="44">
    <w:p w14:paraId="3A918858" w14:textId="578F98D9" w:rsidR="009F67C1" w:rsidRPr="00B06FB8" w:rsidRDefault="009F67C1" w:rsidP="00B06FB8">
      <w:pPr>
        <w:pStyle w:val="Default"/>
        <w:tabs>
          <w:tab w:val="left" w:pos="720"/>
        </w:tabs>
        <w:ind w:left="720" w:hanging="360"/>
        <w:jc w:val="both"/>
        <w:rPr>
          <w:sz w:val="20"/>
          <w:szCs w:val="20"/>
        </w:rPr>
      </w:pPr>
      <w:r w:rsidRPr="00B06FB8">
        <w:rPr>
          <w:rStyle w:val="FootnoteReference"/>
          <w:sz w:val="20"/>
          <w:szCs w:val="20"/>
          <w:vertAlign w:val="baseline"/>
        </w:rPr>
        <w:footnoteRef/>
      </w:r>
      <w:r w:rsidRPr="00B06FB8">
        <w:rPr>
          <w:sz w:val="20"/>
          <w:szCs w:val="20"/>
        </w:rPr>
        <w:t xml:space="preserve"> Acontecimiento indeseado causado por </w:t>
      </w:r>
      <w:proofErr w:type="spellStart"/>
      <w:r w:rsidRPr="00B06FB8">
        <w:rPr>
          <w:sz w:val="20"/>
          <w:szCs w:val="20"/>
        </w:rPr>
        <w:t>MAP</w:t>
      </w:r>
      <w:proofErr w:type="spellEnd"/>
      <w:r w:rsidRPr="00B06FB8">
        <w:rPr>
          <w:sz w:val="20"/>
          <w:szCs w:val="20"/>
        </w:rPr>
        <w:t xml:space="preserve">, </w:t>
      </w:r>
      <w:proofErr w:type="spellStart"/>
      <w:r w:rsidRPr="00B06FB8">
        <w:rPr>
          <w:sz w:val="20"/>
          <w:szCs w:val="20"/>
        </w:rPr>
        <w:t>MSE</w:t>
      </w:r>
      <w:proofErr w:type="spellEnd"/>
      <w:r w:rsidRPr="00B06FB8">
        <w:rPr>
          <w:sz w:val="20"/>
          <w:szCs w:val="20"/>
        </w:rPr>
        <w:t xml:space="preserve"> y </w:t>
      </w:r>
      <w:proofErr w:type="spellStart"/>
      <w:r w:rsidRPr="00B06FB8">
        <w:rPr>
          <w:sz w:val="20"/>
          <w:szCs w:val="20"/>
        </w:rPr>
        <w:t>AEI</w:t>
      </w:r>
      <w:proofErr w:type="spellEnd"/>
      <w:r w:rsidRPr="00B06FB8">
        <w:rPr>
          <w:sz w:val="20"/>
          <w:szCs w:val="20"/>
        </w:rPr>
        <w:t xml:space="preserve"> que causa daño físico y/o psicológico a una o más personas.</w:t>
      </w:r>
    </w:p>
  </w:footnote>
  <w:footnote w:id="45">
    <w:p w14:paraId="28FD13DA" w14:textId="6841A719" w:rsidR="009F67C1" w:rsidRPr="00B06FB8" w:rsidRDefault="009F67C1" w:rsidP="00B06FB8">
      <w:pPr>
        <w:pStyle w:val="FootnoteText"/>
        <w:tabs>
          <w:tab w:val="left" w:pos="720"/>
        </w:tabs>
        <w:ind w:left="720" w:hanging="360"/>
        <w:jc w:val="both"/>
        <w:rPr>
          <w:rFonts w:ascii="Times New Roman" w:hAnsi="Times New Roman" w:cs="Times New Roman"/>
        </w:rPr>
      </w:pPr>
      <w:r w:rsidRPr="00B06FB8">
        <w:rPr>
          <w:rStyle w:val="FootnoteReference"/>
          <w:rFonts w:ascii="Times New Roman" w:hAnsi="Times New Roman" w:cs="Times New Roman"/>
          <w:vertAlign w:val="baseline"/>
        </w:rPr>
        <w:footnoteRef/>
      </w:r>
      <w:r w:rsidRPr="00B06FB8">
        <w:rPr>
          <w:rFonts w:ascii="Times New Roman" w:hAnsi="Times New Roman" w:cs="Times New Roman"/>
        </w:rPr>
        <w:t xml:space="preserve"> Por conceptos desfavorables de condiciones de seguridad, los operadores civiles han desistido de continuar o desarrollar actividades de desminado humanitario en San Andrés de Cuerquia y Cáceres (Antioquia), Miraflores (Guaviare) y La Macarena (Meta).</w:t>
      </w:r>
    </w:p>
  </w:footnote>
  <w:footnote w:id="46">
    <w:p w14:paraId="682B3A3B" w14:textId="47D2CC05" w:rsidR="003E3275" w:rsidRPr="00B06FB8" w:rsidRDefault="003E3275" w:rsidP="00B06FB8">
      <w:pPr>
        <w:pStyle w:val="FootnoteText"/>
        <w:tabs>
          <w:tab w:val="left" w:pos="720"/>
        </w:tabs>
        <w:ind w:left="720" w:hanging="360"/>
        <w:jc w:val="both"/>
        <w:rPr>
          <w:rFonts w:ascii="Times New Roman" w:hAnsi="Times New Roman" w:cs="Times New Roman"/>
        </w:rPr>
      </w:pPr>
      <w:r w:rsidRPr="00B06FB8">
        <w:rPr>
          <w:rFonts w:ascii="Times New Roman" w:hAnsi="Times New Roman" w:cs="Times New Roman"/>
          <w:lang w:val="es-ES"/>
        </w:rPr>
        <w:footnoteRef/>
      </w:r>
      <w:r w:rsidRPr="00B06FB8">
        <w:rPr>
          <w:rFonts w:ascii="Times New Roman" w:hAnsi="Times New Roman" w:cs="Times New Roman"/>
          <w:lang w:val="es-ES"/>
        </w:rPr>
        <w:t xml:space="preserve"> El Cuerpo Elite a cargo de la Policía Nacional tiene 14 comisiones, 3 de las cuales fueron creadas en 2021 para fortalecer el análisis criminal y de contexto que genere una respuesta policial oportuna en Chocó, Arauca y la subregión de sur de Bolívar. </w:t>
      </w:r>
    </w:p>
  </w:footnote>
  <w:footnote w:id="47">
    <w:p w14:paraId="2E37B286" w14:textId="77777777" w:rsidR="009F67C1" w:rsidRPr="00B06FB8" w:rsidRDefault="009F67C1" w:rsidP="00B06FB8">
      <w:pPr>
        <w:pStyle w:val="FootnoteText"/>
        <w:tabs>
          <w:tab w:val="left" w:pos="720"/>
        </w:tabs>
        <w:ind w:left="720" w:hanging="360"/>
        <w:jc w:val="both"/>
        <w:rPr>
          <w:rFonts w:ascii="Times New Roman" w:hAnsi="Times New Roman" w:cs="Times New Roman"/>
          <w:lang w:val="es-ES"/>
        </w:rPr>
      </w:pPr>
      <w:r w:rsidRPr="00B06FB8">
        <w:rPr>
          <w:rFonts w:ascii="Times New Roman" w:hAnsi="Times New Roman" w:cs="Times New Roman"/>
          <w:lang w:val="es-ES"/>
        </w:rPr>
        <w:footnoteRef/>
      </w:r>
      <w:r w:rsidRPr="00B06FB8">
        <w:rPr>
          <w:rFonts w:ascii="Times New Roman" w:hAnsi="Times New Roman" w:cs="Times New Roman"/>
          <w:lang w:val="es-ES"/>
        </w:rPr>
        <w:t xml:space="preserve"> Según el Auto 098/2013 y sucesivos, la presunción de riesgo extraordinario de género debe aplicarse en los casos de amenazas a lideresas y defensoras. Esta presunción “a favor de las lideresas debe concretarse en que, en los eventos en que ellas acudan a las autoridades para solicitar protección, la autoridad competente debe partir de que la solicitante, en efecto, se encuentra en riesgo extraordinario contra su vida, seguridad e integridad personal y tales riesgos se concretarían con actos de violencia de género”.</w:t>
      </w:r>
    </w:p>
  </w:footnote>
  <w:footnote w:id="48">
    <w:p w14:paraId="29C897C5" w14:textId="47039DD1" w:rsidR="009F67C1" w:rsidRPr="00B06FB8" w:rsidRDefault="009F67C1" w:rsidP="00B06FB8">
      <w:pPr>
        <w:pStyle w:val="FootnoteText"/>
        <w:tabs>
          <w:tab w:val="left" w:pos="720"/>
        </w:tabs>
        <w:ind w:left="720" w:hanging="360"/>
        <w:jc w:val="both"/>
        <w:rPr>
          <w:rFonts w:ascii="Times New Roman" w:hAnsi="Times New Roman" w:cs="Times New Roman"/>
          <w:lang w:val="es-ES"/>
        </w:rPr>
      </w:pPr>
      <w:r w:rsidRPr="00B06FB8">
        <w:rPr>
          <w:rFonts w:ascii="Times New Roman" w:hAnsi="Times New Roman" w:cs="Times New Roman"/>
          <w:lang w:val="es-ES"/>
        </w:rPr>
        <w:footnoteRef/>
      </w:r>
      <w:r w:rsidRPr="00B06FB8">
        <w:rPr>
          <w:rFonts w:ascii="Times New Roman" w:hAnsi="Times New Roman" w:cs="Times New Roman"/>
          <w:lang w:val="es-ES"/>
        </w:rPr>
        <w:t xml:space="preserve"> Existen contextos coercitivos contra las mujeres, niñas y adolescentes cuando en un determinado territorio la coacción y/o el constreñimiento ilegal se refuerza por medio de las relaciones familiares e interpersonales, públicas y privadas, que están estereotipadas por los roles de género y reforzadas sobre la subordinación, discriminación y </w:t>
      </w:r>
      <w:proofErr w:type="spellStart"/>
      <w:r w:rsidRPr="00B06FB8">
        <w:rPr>
          <w:rFonts w:ascii="Times New Roman" w:hAnsi="Times New Roman" w:cs="Times New Roman"/>
          <w:lang w:val="es-ES"/>
        </w:rPr>
        <w:t>VBG</w:t>
      </w:r>
      <w:proofErr w:type="spellEnd"/>
      <w:r w:rsidRPr="00B06FB8">
        <w:rPr>
          <w:rFonts w:ascii="Times New Roman" w:hAnsi="Times New Roman" w:cs="Times New Roman"/>
          <w:lang w:val="es-ES"/>
        </w:rPr>
        <w:t xml:space="preserve">. El poder criminal se refuerza sobre este tipo de relaciones desiguales de género y, a su vez, terminan sometidas al accionar criminal y </w:t>
      </w:r>
      <w:proofErr w:type="spellStart"/>
      <w:r w:rsidRPr="00B06FB8">
        <w:rPr>
          <w:rFonts w:ascii="Times New Roman" w:hAnsi="Times New Roman" w:cs="Times New Roman"/>
          <w:lang w:val="es-ES"/>
        </w:rPr>
        <w:t>macrocriminal</w:t>
      </w:r>
      <w:proofErr w:type="spellEnd"/>
      <w:r w:rsidRPr="00B06FB8">
        <w:rPr>
          <w:rFonts w:ascii="Times New Roman" w:hAnsi="Times New Roman" w:cs="Times New Roman"/>
          <w:lang w:val="es-ES"/>
        </w:rPr>
        <w:t xml:space="preserve"> de esa estructura.</w:t>
      </w:r>
    </w:p>
  </w:footnote>
  <w:footnote w:id="49">
    <w:p w14:paraId="54EB7ACA" w14:textId="54BAD3B5" w:rsidR="009F67C1" w:rsidRPr="00B06FB8" w:rsidRDefault="009F67C1" w:rsidP="00B06FB8">
      <w:pPr>
        <w:pStyle w:val="NormalWeb"/>
        <w:tabs>
          <w:tab w:val="left" w:pos="720"/>
        </w:tabs>
        <w:ind w:left="720" w:hanging="360"/>
        <w:jc w:val="both"/>
        <w:rPr>
          <w:rFonts w:ascii="Times New Roman" w:eastAsia="Calibri" w:hAnsi="Times New Roman" w:cs="Times New Roman"/>
          <w:color w:val="000000" w:themeColor="text1"/>
          <w:sz w:val="20"/>
          <w:szCs w:val="20"/>
          <w:lang w:eastAsia="en-US"/>
        </w:rPr>
      </w:pPr>
      <w:r w:rsidRPr="00B06FB8">
        <w:rPr>
          <w:rFonts w:ascii="Times New Roman" w:eastAsia="Calibri" w:hAnsi="Times New Roman" w:cs="Times New Roman"/>
          <w:color w:val="000000" w:themeColor="text1"/>
          <w:sz w:val="20"/>
          <w:szCs w:val="20"/>
          <w:lang w:eastAsia="en-US"/>
        </w:rPr>
        <w:footnoteRef/>
      </w:r>
      <w:r w:rsidR="00057F1A">
        <w:rPr>
          <w:rFonts w:ascii="Times New Roman" w:eastAsia="Calibri" w:hAnsi="Times New Roman" w:cs="Times New Roman"/>
          <w:color w:val="000000" w:themeColor="text1"/>
          <w:sz w:val="20"/>
          <w:szCs w:val="20"/>
          <w:lang w:eastAsia="en-US"/>
        </w:rPr>
        <w:t>.</w:t>
      </w:r>
      <w:r w:rsidR="00057F1A">
        <w:rPr>
          <w:rFonts w:ascii="Times New Roman" w:eastAsia="Calibri" w:hAnsi="Times New Roman" w:cs="Times New Roman"/>
          <w:color w:val="000000" w:themeColor="text1"/>
          <w:sz w:val="20"/>
          <w:szCs w:val="20"/>
          <w:lang w:eastAsia="en-US"/>
        </w:rPr>
        <w:tab/>
      </w:r>
      <w:r w:rsidRPr="00B06FB8">
        <w:rPr>
          <w:rFonts w:ascii="Times New Roman" w:eastAsia="Calibri" w:hAnsi="Times New Roman" w:cs="Times New Roman"/>
          <w:color w:val="000000" w:themeColor="text1"/>
          <w:sz w:val="20"/>
          <w:szCs w:val="20"/>
          <w:lang w:eastAsia="en-US"/>
        </w:rPr>
        <w:t>En el período de enero a junio del 2021 la mesa realizó 16 sesiones (</w:t>
      </w:r>
      <w:r w:rsidRPr="00B06FB8">
        <w:rPr>
          <w:rFonts w:ascii="Times New Roman" w:hAnsi="Times New Roman" w:cs="Times New Roman"/>
          <w:color w:val="000000" w:themeColor="text1"/>
          <w:sz w:val="20"/>
          <w:szCs w:val="20"/>
        </w:rPr>
        <w:t>2 presenciales, 4 mixtas y 10 virtuales).</w:t>
      </w:r>
    </w:p>
  </w:footnote>
  <w:footnote w:id="50">
    <w:p w14:paraId="68D26EE6" w14:textId="12A2B950" w:rsidR="009F67C1" w:rsidRPr="00B06FB8" w:rsidRDefault="009F67C1" w:rsidP="00B06FB8">
      <w:pPr>
        <w:pStyle w:val="FootnoteText"/>
        <w:tabs>
          <w:tab w:val="left" w:pos="720"/>
        </w:tabs>
        <w:ind w:left="720" w:hanging="360"/>
        <w:jc w:val="both"/>
        <w:rPr>
          <w:rFonts w:ascii="Times New Roman" w:hAnsi="Times New Roman" w:cs="Times New Roman"/>
          <w:color w:val="000000" w:themeColor="text1"/>
        </w:rPr>
      </w:pPr>
      <w:r w:rsidRPr="00B06FB8">
        <w:rPr>
          <w:rStyle w:val="FootnoteReference"/>
          <w:rFonts w:ascii="Times New Roman" w:hAnsi="Times New Roman" w:cs="Times New Roman"/>
          <w:color w:val="000000" w:themeColor="text1"/>
          <w:vertAlign w:val="baseline"/>
        </w:rPr>
        <w:footnoteRef/>
      </w:r>
      <w:r w:rsidR="00057F1A">
        <w:rPr>
          <w:rFonts w:ascii="Times New Roman" w:hAnsi="Times New Roman" w:cs="Times New Roman"/>
          <w:color w:val="000000" w:themeColor="text1"/>
        </w:rPr>
        <w:t>.</w:t>
      </w:r>
      <w:r w:rsidR="00057F1A">
        <w:rPr>
          <w:rFonts w:ascii="Times New Roman" w:hAnsi="Times New Roman" w:cs="Times New Roman"/>
          <w:color w:val="000000" w:themeColor="text1"/>
        </w:rPr>
        <w:tab/>
      </w:r>
      <w:r w:rsidRPr="00B06FB8">
        <w:rPr>
          <w:rFonts w:ascii="Times New Roman" w:hAnsi="Times New Roman" w:cs="Times New Roman"/>
          <w:color w:val="000000" w:themeColor="text1"/>
        </w:rPr>
        <w:t>264 individuales, 26 para los antiguos Espacios Territoriales de Capacitación y Reincorporación (</w:t>
      </w:r>
      <w:proofErr w:type="spellStart"/>
      <w:r w:rsidRPr="00B06FB8">
        <w:rPr>
          <w:rFonts w:ascii="Times New Roman" w:hAnsi="Times New Roman" w:cs="Times New Roman"/>
          <w:color w:val="000000" w:themeColor="text1"/>
        </w:rPr>
        <w:t>AETCR</w:t>
      </w:r>
      <w:proofErr w:type="spellEnd"/>
      <w:r w:rsidRPr="00B06FB8">
        <w:rPr>
          <w:rFonts w:ascii="Times New Roman" w:hAnsi="Times New Roman" w:cs="Times New Roman"/>
          <w:color w:val="000000" w:themeColor="text1"/>
        </w:rPr>
        <w:t xml:space="preserve">), 32 para colectivos fuera de los </w:t>
      </w:r>
      <w:proofErr w:type="spellStart"/>
      <w:r w:rsidRPr="00B06FB8">
        <w:rPr>
          <w:rFonts w:ascii="Times New Roman" w:hAnsi="Times New Roman" w:cs="Times New Roman"/>
          <w:color w:val="000000" w:themeColor="text1"/>
        </w:rPr>
        <w:t>AETCR</w:t>
      </w:r>
      <w:proofErr w:type="spellEnd"/>
      <w:r w:rsidRPr="00B06FB8">
        <w:rPr>
          <w:rFonts w:ascii="Times New Roman" w:hAnsi="Times New Roman" w:cs="Times New Roman"/>
          <w:color w:val="000000" w:themeColor="text1"/>
        </w:rPr>
        <w:t xml:space="preserve"> y 2 para sedes). Consejería Presidencial para la Estabilización y la Consolidación, “Informe de seguridad y protección ex integrantes Farc”. Enero – junio del </w:t>
      </w:r>
      <w:proofErr w:type="spellStart"/>
      <w:r w:rsidRPr="00B06FB8">
        <w:rPr>
          <w:rFonts w:ascii="Times New Roman" w:hAnsi="Times New Roman" w:cs="Times New Roman"/>
          <w:color w:val="000000" w:themeColor="text1"/>
        </w:rPr>
        <w:t>2021.p1</w:t>
      </w:r>
      <w:proofErr w:type="spellEnd"/>
      <w:r w:rsidRPr="00B06FB8">
        <w:rPr>
          <w:rFonts w:ascii="Times New Roman" w:hAnsi="Times New Roman" w:cs="Times New Roman"/>
          <w:color w:val="000000" w:themeColor="text1"/>
        </w:rPr>
        <w:t xml:space="preserve">. </w:t>
      </w:r>
    </w:p>
  </w:footnote>
  <w:footnote w:id="51">
    <w:p w14:paraId="6BF54D63" w14:textId="76A9A4A8" w:rsidR="009F67C1" w:rsidRPr="00B06FB8" w:rsidRDefault="009F67C1" w:rsidP="00B06FB8">
      <w:pPr>
        <w:pStyle w:val="FootnoteText"/>
        <w:tabs>
          <w:tab w:val="left" w:pos="720"/>
        </w:tabs>
        <w:ind w:left="720" w:hanging="360"/>
        <w:jc w:val="both"/>
        <w:rPr>
          <w:rFonts w:ascii="Times New Roman" w:hAnsi="Times New Roman" w:cs="Times New Roman"/>
          <w:color w:val="000000" w:themeColor="text1"/>
        </w:rPr>
      </w:pPr>
      <w:r w:rsidRPr="00B06FB8">
        <w:rPr>
          <w:rStyle w:val="FootnoteReference"/>
          <w:rFonts w:ascii="Times New Roman" w:hAnsi="Times New Roman" w:cs="Times New Roman"/>
          <w:color w:val="000000" w:themeColor="text1"/>
          <w:vertAlign w:val="baseline"/>
        </w:rPr>
        <w:footnoteRef/>
      </w:r>
      <w:r w:rsidR="00057F1A">
        <w:rPr>
          <w:rFonts w:ascii="Times New Roman" w:hAnsi="Times New Roman" w:cs="Times New Roman"/>
          <w:color w:val="000000" w:themeColor="text1"/>
        </w:rPr>
        <w:t>.</w:t>
      </w:r>
      <w:r w:rsidR="00057F1A">
        <w:rPr>
          <w:rFonts w:ascii="Times New Roman" w:hAnsi="Times New Roman" w:cs="Times New Roman"/>
          <w:color w:val="000000" w:themeColor="text1"/>
        </w:rPr>
        <w:tab/>
      </w:r>
      <w:r w:rsidRPr="00B06FB8">
        <w:rPr>
          <w:rFonts w:ascii="Times New Roman" w:hAnsi="Times New Roman" w:cs="Times New Roman"/>
          <w:color w:val="000000" w:themeColor="text1"/>
        </w:rPr>
        <w:t xml:space="preserve">De las 380 afectaciones contra </w:t>
      </w:r>
      <w:proofErr w:type="spellStart"/>
      <w:r w:rsidRPr="00B06FB8">
        <w:rPr>
          <w:rFonts w:ascii="Times New Roman" w:hAnsi="Times New Roman" w:cs="Times New Roman"/>
          <w:color w:val="000000" w:themeColor="text1"/>
        </w:rPr>
        <w:t>PPR</w:t>
      </w:r>
      <w:proofErr w:type="spellEnd"/>
      <w:r w:rsidRPr="00B06FB8">
        <w:rPr>
          <w:rFonts w:ascii="Times New Roman" w:hAnsi="Times New Roman" w:cs="Times New Roman"/>
          <w:color w:val="000000" w:themeColor="text1"/>
        </w:rPr>
        <w:t xml:space="preserve"> y sus familiares que se han perpetrado desde la firma del Acuerdo Final hasta el 30 de junio del 2021, la </w:t>
      </w:r>
      <w:proofErr w:type="spellStart"/>
      <w:r w:rsidRPr="00B06FB8">
        <w:rPr>
          <w:rFonts w:ascii="Times New Roman" w:hAnsi="Times New Roman" w:cs="Times New Roman"/>
          <w:color w:val="000000" w:themeColor="text1"/>
        </w:rPr>
        <w:t>FGN</w:t>
      </w:r>
      <w:proofErr w:type="spellEnd"/>
      <w:r w:rsidRPr="00B06FB8">
        <w:rPr>
          <w:rFonts w:ascii="Times New Roman" w:hAnsi="Times New Roman" w:cs="Times New Roman"/>
          <w:color w:val="000000" w:themeColor="text1"/>
        </w:rPr>
        <w:t xml:space="preserve"> reporta un 52,9% de avance en las investigaciones. Centro de articulación Cuerpo Élite Policial, “Análisis táctico delictual, 7 de julio del 2021”, (</w:t>
      </w:r>
      <w:proofErr w:type="spellStart"/>
      <w:r w:rsidRPr="00B06FB8">
        <w:rPr>
          <w:rFonts w:ascii="Times New Roman" w:hAnsi="Times New Roman" w:cs="Times New Roman"/>
          <w:color w:val="000000" w:themeColor="text1"/>
        </w:rPr>
        <w:t>CEP</w:t>
      </w:r>
      <w:proofErr w:type="spellEnd"/>
      <w:r w:rsidRPr="00B06FB8">
        <w:rPr>
          <w:rFonts w:ascii="Times New Roman" w:hAnsi="Times New Roman" w:cs="Times New Roman"/>
          <w:color w:val="000000" w:themeColor="text1"/>
        </w:rPr>
        <w:t xml:space="preserve">, 2021) </w:t>
      </w:r>
      <w:proofErr w:type="spellStart"/>
      <w:r w:rsidRPr="00B06FB8">
        <w:rPr>
          <w:rFonts w:ascii="Times New Roman" w:hAnsi="Times New Roman" w:cs="Times New Roman"/>
          <w:color w:val="000000" w:themeColor="text1"/>
        </w:rPr>
        <w:t>p.1</w:t>
      </w:r>
      <w:proofErr w:type="spellEnd"/>
      <w:r w:rsidRPr="00B06FB8">
        <w:rPr>
          <w:rFonts w:ascii="Times New Roman" w:hAnsi="Times New Roman" w:cs="Times New Roman"/>
          <w:color w:val="000000" w:themeColor="text1"/>
        </w:rPr>
        <w:t>.</w:t>
      </w:r>
      <w:r w:rsidR="0078159F" w:rsidRPr="00B06FB8">
        <w:rPr>
          <w:rFonts w:ascii="Times New Roman" w:hAnsi="Times New Roman" w:cs="Times New Roman"/>
          <w:color w:val="000000" w:themeColor="text1"/>
        </w:rPr>
        <w:t xml:space="preserve"> </w:t>
      </w:r>
    </w:p>
  </w:footnote>
  <w:footnote w:id="52">
    <w:p w14:paraId="28A86839" w14:textId="1481E9EA" w:rsidR="00CF2262" w:rsidRPr="00B06FB8" w:rsidRDefault="00CF2262" w:rsidP="00B06FB8">
      <w:pPr>
        <w:pStyle w:val="FootnoteText"/>
        <w:tabs>
          <w:tab w:val="left" w:pos="720"/>
        </w:tabs>
        <w:ind w:left="720" w:hanging="360"/>
        <w:jc w:val="both"/>
        <w:rPr>
          <w:rFonts w:ascii="Times New Roman" w:hAnsi="Times New Roman" w:cs="Times New Roman"/>
          <w:color w:val="000000" w:themeColor="text1"/>
        </w:rPr>
      </w:pPr>
      <w:r w:rsidRPr="00B06FB8">
        <w:rPr>
          <w:rStyle w:val="FootnoteReference"/>
          <w:rFonts w:ascii="Times New Roman" w:hAnsi="Times New Roman" w:cs="Times New Roman"/>
          <w:color w:val="000000" w:themeColor="text1"/>
          <w:vertAlign w:val="baseline"/>
        </w:rPr>
        <w:footnoteRef/>
      </w:r>
      <w:r w:rsidR="00057F1A">
        <w:rPr>
          <w:rFonts w:ascii="Times New Roman" w:hAnsi="Times New Roman" w:cs="Times New Roman"/>
        </w:rPr>
        <w:t>.</w:t>
      </w:r>
      <w:r w:rsidR="00057F1A">
        <w:rPr>
          <w:rFonts w:ascii="Times New Roman" w:hAnsi="Times New Roman" w:cs="Times New Roman"/>
        </w:rPr>
        <w:tab/>
      </w:r>
      <w:r w:rsidRPr="00B06FB8">
        <w:rPr>
          <w:rFonts w:ascii="Times New Roman" w:hAnsi="Times New Roman" w:cs="Times New Roman"/>
          <w:color w:val="000000" w:themeColor="text1"/>
        </w:rPr>
        <w:t xml:space="preserve">Las medidas de prevención de riesgos y promoción de derechos también se han enfocado en los grupos familiares de </w:t>
      </w:r>
      <w:proofErr w:type="spellStart"/>
      <w:r w:rsidRPr="00B06FB8">
        <w:rPr>
          <w:rFonts w:ascii="Times New Roman" w:hAnsi="Times New Roman" w:cs="Times New Roman"/>
          <w:color w:val="000000" w:themeColor="text1"/>
        </w:rPr>
        <w:t>PPR</w:t>
      </w:r>
      <w:proofErr w:type="spellEnd"/>
      <w:r w:rsidRPr="00B06FB8">
        <w:rPr>
          <w:rFonts w:ascii="Times New Roman" w:hAnsi="Times New Roman" w:cs="Times New Roman"/>
          <w:color w:val="000000" w:themeColor="text1"/>
        </w:rPr>
        <w:t>. Por ejemplo, el ICBF ha implementado modalidades de promoción de derechos y prevención de riesgos para atender a niñas, niños, adolescentes, jóvenes y sus familias. Al igual que ha adelantado procesos administrativos de restablecimiento de derechos ante casos de amenaza y vulneración. En el primer semestre de 2021 más de 2.000 menores de edad han sido atendidos por dicha entidad.</w:t>
      </w:r>
    </w:p>
  </w:footnote>
  <w:footnote w:id="53">
    <w:p w14:paraId="3CA6B505" w14:textId="0BD4FB85" w:rsidR="009F67C1" w:rsidRPr="00B06FB8" w:rsidRDefault="009F67C1" w:rsidP="00B06FB8">
      <w:pPr>
        <w:pStyle w:val="FootnoteText"/>
        <w:tabs>
          <w:tab w:val="left" w:pos="720"/>
        </w:tabs>
        <w:ind w:left="720" w:hanging="360"/>
        <w:jc w:val="both"/>
        <w:rPr>
          <w:rFonts w:ascii="Times New Roman" w:hAnsi="Times New Roman" w:cs="Times New Roman"/>
          <w:color w:val="000000" w:themeColor="text1"/>
          <w:lang w:val="es-ES"/>
        </w:rPr>
      </w:pPr>
      <w:r w:rsidRPr="00B06FB8">
        <w:rPr>
          <w:rStyle w:val="FootnoteReference"/>
          <w:rFonts w:ascii="Times New Roman" w:hAnsi="Times New Roman" w:cs="Times New Roman"/>
          <w:color w:val="000000" w:themeColor="text1"/>
          <w:vertAlign w:val="baseline"/>
        </w:rPr>
        <w:footnoteRef/>
      </w:r>
      <w:r w:rsidR="00057F1A">
        <w:rPr>
          <w:rFonts w:ascii="Times New Roman" w:hAnsi="Times New Roman" w:cs="Times New Roman"/>
          <w:color w:val="000000" w:themeColor="text1"/>
        </w:rPr>
        <w:t>.</w:t>
      </w:r>
      <w:r w:rsidR="00057F1A">
        <w:rPr>
          <w:rFonts w:ascii="Times New Roman" w:hAnsi="Times New Roman" w:cs="Times New Roman"/>
          <w:color w:val="000000" w:themeColor="text1"/>
        </w:rPr>
        <w:tab/>
      </w:r>
      <w:r w:rsidR="00FD4697" w:rsidRPr="00B06FB8">
        <w:rPr>
          <w:rFonts w:ascii="Times New Roman" w:hAnsi="Times New Roman" w:cs="Times New Roman"/>
          <w:color w:val="000000" w:themeColor="text1"/>
        </w:rPr>
        <w:t>Ibidem</w:t>
      </w:r>
    </w:p>
  </w:footnote>
  <w:footnote w:id="54">
    <w:p w14:paraId="627B4393" w14:textId="4C02F983" w:rsidR="009F67C1" w:rsidRPr="00B06FB8" w:rsidRDefault="009F67C1" w:rsidP="00B06FB8">
      <w:pPr>
        <w:pStyle w:val="FootnoteText"/>
        <w:tabs>
          <w:tab w:val="left" w:pos="720"/>
        </w:tabs>
        <w:ind w:left="720" w:hanging="360"/>
        <w:jc w:val="both"/>
        <w:rPr>
          <w:rFonts w:ascii="Times New Roman" w:hAnsi="Times New Roman" w:cs="Times New Roman"/>
          <w:color w:val="000000" w:themeColor="text1"/>
          <w:lang w:val="es-ES"/>
        </w:rPr>
      </w:pPr>
      <w:r w:rsidRPr="00B06FB8">
        <w:rPr>
          <w:rStyle w:val="FootnoteReference"/>
          <w:rFonts w:ascii="Times New Roman" w:hAnsi="Times New Roman" w:cs="Times New Roman"/>
          <w:color w:val="000000" w:themeColor="text1"/>
          <w:vertAlign w:val="baseline"/>
        </w:rPr>
        <w:footnoteRef/>
      </w:r>
      <w:r w:rsidR="00057F1A">
        <w:rPr>
          <w:rFonts w:ascii="Times New Roman" w:hAnsi="Times New Roman" w:cs="Times New Roman"/>
          <w:color w:val="000000" w:themeColor="text1"/>
        </w:rPr>
        <w:t>.</w:t>
      </w:r>
      <w:r w:rsidR="00057F1A">
        <w:rPr>
          <w:rFonts w:ascii="Times New Roman" w:hAnsi="Times New Roman" w:cs="Times New Roman"/>
          <w:color w:val="000000" w:themeColor="text1"/>
        </w:rPr>
        <w:tab/>
      </w:r>
      <w:r w:rsidRPr="00B06FB8">
        <w:rPr>
          <w:rFonts w:ascii="Times New Roman" w:hAnsi="Times New Roman" w:cs="Times New Roman"/>
          <w:color w:val="000000" w:themeColor="text1"/>
        </w:rPr>
        <w:t xml:space="preserve">Se identificaron tanto </w:t>
      </w:r>
      <w:r w:rsidR="008B7030" w:rsidRPr="00B06FB8">
        <w:rPr>
          <w:rFonts w:ascii="Times New Roman" w:hAnsi="Times New Roman" w:cs="Times New Roman"/>
          <w:color w:val="000000" w:themeColor="text1"/>
        </w:rPr>
        <w:t xml:space="preserve">exintegrantes </w:t>
      </w:r>
      <w:r w:rsidRPr="00B06FB8">
        <w:rPr>
          <w:rFonts w:ascii="Times New Roman" w:hAnsi="Times New Roman" w:cs="Times New Roman"/>
          <w:color w:val="000000" w:themeColor="text1"/>
        </w:rPr>
        <w:t xml:space="preserve">de las FARC-EP que se mantuvieron en la legalidad, como aquellos que se habrían vinculado a actividades delictivas de </w:t>
      </w:r>
      <w:proofErr w:type="spellStart"/>
      <w:r w:rsidRPr="00B06FB8">
        <w:rPr>
          <w:rFonts w:ascii="Times New Roman" w:hAnsi="Times New Roman" w:cs="Times New Roman"/>
          <w:color w:val="000000" w:themeColor="text1"/>
        </w:rPr>
        <w:t>GAI</w:t>
      </w:r>
      <w:proofErr w:type="spellEnd"/>
      <w:r w:rsidRPr="00B06FB8">
        <w:rPr>
          <w:rFonts w:ascii="Times New Roman" w:hAnsi="Times New Roman" w:cs="Times New Roman"/>
          <w:color w:val="000000" w:themeColor="text1"/>
        </w:rPr>
        <w:t xml:space="preserve"> o bandas delincuenciales, estando dentro del proceso de reincorporación. </w:t>
      </w:r>
    </w:p>
  </w:footnote>
  <w:footnote w:id="55">
    <w:p w14:paraId="2DDC5889" w14:textId="157D8372" w:rsidR="009F67C1" w:rsidRPr="00B06FB8" w:rsidRDefault="009F67C1" w:rsidP="00B06FB8">
      <w:pPr>
        <w:tabs>
          <w:tab w:val="left" w:pos="720"/>
        </w:tabs>
        <w:ind w:left="720" w:hanging="360"/>
        <w:jc w:val="both"/>
        <w:rPr>
          <w:color w:val="000000" w:themeColor="text1"/>
          <w:sz w:val="20"/>
          <w:szCs w:val="20"/>
        </w:rPr>
      </w:pPr>
      <w:r w:rsidRPr="00B06FB8">
        <w:rPr>
          <w:rStyle w:val="FootnoteReference"/>
          <w:color w:val="000000" w:themeColor="text1"/>
          <w:sz w:val="20"/>
          <w:szCs w:val="20"/>
          <w:vertAlign w:val="baseline"/>
        </w:rPr>
        <w:footnoteRef/>
      </w:r>
      <w:r w:rsidR="00057F1A">
        <w:rPr>
          <w:color w:val="000000" w:themeColor="text1"/>
          <w:sz w:val="20"/>
          <w:szCs w:val="20"/>
        </w:rPr>
        <w:t>.</w:t>
      </w:r>
      <w:r w:rsidR="00057F1A">
        <w:rPr>
          <w:color w:val="000000" w:themeColor="text1"/>
          <w:sz w:val="20"/>
          <w:szCs w:val="20"/>
        </w:rPr>
        <w:tab/>
      </w:r>
      <w:r w:rsidRPr="00B06FB8">
        <w:rPr>
          <w:color w:val="000000" w:themeColor="text1"/>
          <w:sz w:val="20"/>
          <w:szCs w:val="20"/>
        </w:rPr>
        <w:t xml:space="preserve">A modo de ejemplo, un líder representativo de las </w:t>
      </w:r>
      <w:proofErr w:type="spellStart"/>
      <w:r w:rsidRPr="00B06FB8">
        <w:rPr>
          <w:color w:val="000000" w:themeColor="text1"/>
          <w:sz w:val="20"/>
          <w:szCs w:val="20"/>
        </w:rPr>
        <w:t>PPR</w:t>
      </w:r>
      <w:proofErr w:type="spellEnd"/>
      <w:r w:rsidRPr="00B06FB8">
        <w:rPr>
          <w:color w:val="000000" w:themeColor="text1"/>
          <w:sz w:val="20"/>
          <w:szCs w:val="20"/>
        </w:rPr>
        <w:t xml:space="preserve"> en </w:t>
      </w:r>
      <w:r w:rsidR="00FD4697" w:rsidRPr="00B06FB8">
        <w:rPr>
          <w:color w:val="000000" w:themeColor="text1"/>
          <w:sz w:val="20"/>
          <w:szCs w:val="20"/>
        </w:rPr>
        <w:t>Antioquia</w:t>
      </w:r>
      <w:r w:rsidRPr="00B06FB8">
        <w:rPr>
          <w:color w:val="000000" w:themeColor="text1"/>
          <w:sz w:val="20"/>
          <w:szCs w:val="20"/>
        </w:rPr>
        <w:t xml:space="preserve"> fue secuestrado el 23 de enero por hombres armados cuando se movilizaba en una motocicleta por la vía San Andrés de Cuerquia-Toledo. El 13 de febrero fue hallado su cadáver en zona rural. Presuntamente el móvil de este hecho fue la negativa del señor a unirse a la banda delincuencial “Los </w:t>
      </w:r>
      <w:proofErr w:type="spellStart"/>
      <w:r w:rsidRPr="00B06FB8">
        <w:rPr>
          <w:color w:val="000000" w:themeColor="text1"/>
          <w:sz w:val="20"/>
          <w:szCs w:val="20"/>
        </w:rPr>
        <w:t>Pachelly</w:t>
      </w:r>
      <w:proofErr w:type="spellEnd"/>
      <w:r w:rsidRPr="00B06FB8">
        <w:rPr>
          <w:color w:val="000000" w:themeColor="text1"/>
          <w:sz w:val="20"/>
          <w:szCs w:val="20"/>
        </w:rPr>
        <w:t xml:space="preserve">”, por lo que este grupo tomó retaliaciones en su contra. </w:t>
      </w:r>
    </w:p>
  </w:footnote>
  <w:footnote w:id="56">
    <w:p w14:paraId="5F51DDEF" w14:textId="77777777" w:rsidR="00057F1A" w:rsidRDefault="009F67C1" w:rsidP="00B06FB8">
      <w:pPr>
        <w:pStyle w:val="FootnoteText"/>
        <w:tabs>
          <w:tab w:val="left" w:pos="720"/>
        </w:tabs>
        <w:ind w:left="720" w:hanging="360"/>
        <w:jc w:val="both"/>
        <w:rPr>
          <w:rFonts w:ascii="Times New Roman" w:hAnsi="Times New Roman" w:cs="Times New Roman"/>
        </w:rPr>
      </w:pPr>
      <w:r w:rsidRPr="00B06FB8">
        <w:rPr>
          <w:rStyle w:val="FootnoteReference"/>
          <w:rFonts w:ascii="Times New Roman" w:hAnsi="Times New Roman" w:cs="Times New Roman"/>
          <w:vertAlign w:val="baseline"/>
        </w:rPr>
        <w:footnoteRef/>
      </w:r>
      <w:r w:rsidR="00057F1A">
        <w:rPr>
          <w:rFonts w:ascii="Times New Roman" w:hAnsi="Times New Roman" w:cs="Times New Roman"/>
        </w:rPr>
        <w:t>.</w:t>
      </w:r>
      <w:r w:rsidR="00057F1A">
        <w:rPr>
          <w:rFonts w:ascii="Times New Roman" w:hAnsi="Times New Roman" w:cs="Times New Roman"/>
        </w:rPr>
        <w:tab/>
      </w:r>
      <w:r w:rsidRPr="00B06FB8">
        <w:rPr>
          <w:rFonts w:ascii="Times New Roman" w:hAnsi="Times New Roman" w:cs="Times New Roman"/>
        </w:rPr>
        <w:t xml:space="preserve">Ley 2136 del 4 de agosto de 2021. Disponible en: </w:t>
      </w:r>
    </w:p>
    <w:p w14:paraId="427F5EC6" w14:textId="58220FA0" w:rsidR="009F67C1" w:rsidRPr="00B06FB8" w:rsidRDefault="00057F1A" w:rsidP="00B06FB8">
      <w:pPr>
        <w:pStyle w:val="FootnoteText"/>
        <w:tabs>
          <w:tab w:val="left" w:pos="720"/>
        </w:tabs>
        <w:ind w:left="720" w:hanging="360"/>
        <w:jc w:val="both"/>
        <w:rPr>
          <w:rFonts w:ascii="Times New Roman" w:hAnsi="Times New Roman" w:cs="Times New Roman"/>
        </w:rPr>
      </w:pPr>
      <w:r>
        <w:rPr>
          <w:rFonts w:ascii="Times New Roman" w:hAnsi="Times New Roman" w:cs="Times New Roman"/>
        </w:rPr>
        <w:tab/>
      </w:r>
      <w:hyperlink r:id="rId3" w:history="1">
        <w:r w:rsidRPr="00501CB5">
          <w:rPr>
            <w:rStyle w:val="Hyperlink"/>
            <w:rFonts w:ascii="Times New Roman" w:hAnsi="Times New Roman" w:cs="Times New Roman"/>
          </w:rPr>
          <w:t>https://dapre.presidencia.gov.co/normativa/normativa/LEY%202136%20DEL%204%20DE%20AGOSTO%20DE%202021.pdf</w:t>
        </w:r>
      </w:hyperlink>
      <w:r w:rsidR="009F67C1" w:rsidRPr="00B06FB8">
        <w:rPr>
          <w:rFonts w:ascii="Times New Roman" w:hAnsi="Times New Roman" w:cs="Times New Roman"/>
        </w:rPr>
        <w:t xml:space="preserve"> </w:t>
      </w:r>
    </w:p>
  </w:footnote>
  <w:footnote w:id="57">
    <w:p w14:paraId="04743B01" w14:textId="77777777" w:rsidR="00057F1A" w:rsidRDefault="009F67C1" w:rsidP="00057F1A">
      <w:pPr>
        <w:pStyle w:val="FootnoteText"/>
        <w:tabs>
          <w:tab w:val="left" w:pos="720"/>
        </w:tabs>
        <w:ind w:left="708" w:hanging="348"/>
        <w:jc w:val="both"/>
        <w:rPr>
          <w:rFonts w:ascii="Times New Roman" w:eastAsia="Times New Roman" w:hAnsi="Times New Roman" w:cs="Times New Roman"/>
          <w:lang w:eastAsia="es-MX"/>
        </w:rPr>
      </w:pPr>
      <w:r w:rsidRPr="00B06FB8">
        <w:rPr>
          <w:rFonts w:ascii="Times New Roman" w:eastAsia="Times New Roman" w:hAnsi="Times New Roman" w:cs="Times New Roman"/>
          <w:lang w:eastAsia="es-MX"/>
        </w:rPr>
        <w:footnoteRef/>
      </w:r>
      <w:r w:rsidR="00057F1A">
        <w:rPr>
          <w:rFonts w:ascii="Times New Roman" w:eastAsia="Times New Roman" w:hAnsi="Times New Roman" w:cs="Times New Roman"/>
          <w:lang w:eastAsia="es-MX"/>
        </w:rPr>
        <w:t>.</w:t>
      </w:r>
      <w:r w:rsidR="00057F1A">
        <w:rPr>
          <w:rFonts w:ascii="Times New Roman" w:eastAsia="Times New Roman" w:hAnsi="Times New Roman" w:cs="Times New Roman"/>
          <w:lang w:eastAsia="es-MX"/>
        </w:rPr>
        <w:tab/>
      </w:r>
      <w:r w:rsidRPr="00B06FB8">
        <w:rPr>
          <w:rFonts w:ascii="Times New Roman" w:eastAsia="Times New Roman" w:hAnsi="Times New Roman" w:cs="Times New Roman"/>
          <w:lang w:eastAsia="es-MX"/>
        </w:rPr>
        <w:t>Ley 2135 de 4 de agosto de 2021. Disponible en:</w:t>
      </w:r>
    </w:p>
    <w:p w14:paraId="0AAFB4A2" w14:textId="2A8615CA" w:rsidR="009F67C1" w:rsidRPr="00B06FB8" w:rsidRDefault="00057F1A" w:rsidP="00057F1A">
      <w:pPr>
        <w:pStyle w:val="FootnoteText"/>
        <w:tabs>
          <w:tab w:val="left" w:pos="720"/>
        </w:tabs>
        <w:ind w:left="708" w:hanging="348"/>
        <w:jc w:val="both"/>
        <w:rPr>
          <w:rFonts w:ascii="Times New Roman" w:hAnsi="Times New Roman" w:cs="Times New Roman"/>
        </w:rPr>
      </w:pPr>
      <w:r>
        <w:rPr>
          <w:rFonts w:ascii="Times New Roman" w:hAnsi="Times New Roman" w:cs="Times New Roman"/>
          <w:bdr w:val="none" w:sz="0" w:space="0" w:color="auto" w:frame="1"/>
          <w:shd w:val="clear" w:color="auto" w:fill="FFFFFF"/>
        </w:rPr>
        <w:tab/>
      </w:r>
      <w:hyperlink r:id="rId4" w:history="1">
        <w:r w:rsidRPr="00501CB5">
          <w:rPr>
            <w:rStyle w:val="Hyperlink"/>
            <w:rFonts w:ascii="Times New Roman" w:hAnsi="Times New Roman" w:cs="Times New Roman"/>
            <w:bdr w:val="none" w:sz="0" w:space="0" w:color="auto" w:frame="1"/>
            <w:shd w:val="clear" w:color="auto" w:fill="FFFFFF"/>
          </w:rPr>
          <w:t>https://dapre.presidencia.gov.co/normativa/normativa/LEY%202135%20DEL%204%20DE%20AGOSTO%20DE%202021.pdf</w:t>
        </w:r>
      </w:hyperlink>
    </w:p>
  </w:footnote>
  <w:footnote w:id="58">
    <w:p w14:paraId="54CD1663" w14:textId="65929CD3" w:rsidR="009F67C1" w:rsidRPr="00B06FB8" w:rsidRDefault="009F67C1" w:rsidP="00B06FB8">
      <w:pPr>
        <w:tabs>
          <w:tab w:val="left" w:pos="720"/>
        </w:tabs>
        <w:autoSpaceDE w:val="0"/>
        <w:autoSpaceDN w:val="0"/>
        <w:adjustRightInd w:val="0"/>
        <w:ind w:left="720" w:hanging="360"/>
        <w:jc w:val="both"/>
        <w:rPr>
          <w:sz w:val="20"/>
          <w:szCs w:val="20"/>
        </w:rPr>
      </w:pPr>
      <w:r w:rsidRPr="00B06FB8">
        <w:rPr>
          <w:rStyle w:val="FootnoteReference"/>
          <w:sz w:val="20"/>
          <w:szCs w:val="20"/>
          <w:vertAlign w:val="baseline"/>
        </w:rPr>
        <w:footnoteRef/>
      </w:r>
      <w:r w:rsidR="00057F1A">
        <w:rPr>
          <w:sz w:val="20"/>
          <w:szCs w:val="20"/>
        </w:rPr>
        <w:t>.</w:t>
      </w:r>
      <w:r w:rsidR="00057F1A">
        <w:rPr>
          <w:sz w:val="20"/>
          <w:szCs w:val="20"/>
        </w:rPr>
        <w:tab/>
      </w:r>
      <w:r w:rsidRPr="00B06FB8">
        <w:rPr>
          <w:sz w:val="20"/>
          <w:szCs w:val="20"/>
        </w:rPr>
        <w:t>Como la habilitación de corredores humanitarios, la facilidad de transferencias monetarias, la atención por medio del programa Ingreso Solidario, programas y coordinación de medidas en puntos críticos de migración como Maicao, Villa del Rosario e Ipiales. Presidencia de La República, “</w:t>
      </w:r>
      <w:proofErr w:type="spellStart"/>
      <w:r w:rsidRPr="00B06FB8">
        <w:rPr>
          <w:sz w:val="20"/>
          <w:szCs w:val="20"/>
        </w:rPr>
        <w:t>Brief</w:t>
      </w:r>
      <w:proofErr w:type="spellEnd"/>
      <w:r w:rsidRPr="00B06FB8">
        <w:rPr>
          <w:sz w:val="20"/>
          <w:szCs w:val="20"/>
        </w:rPr>
        <w:t>: Respuesta a fenómeno migratorio. Abril de 2021” (Gerencia para la migración desde Venezuela, 2021)</w:t>
      </w:r>
    </w:p>
  </w:footnote>
  <w:footnote w:id="59">
    <w:p w14:paraId="294CFF07" w14:textId="7DB172BC" w:rsidR="009F67C1" w:rsidRPr="00B06FB8" w:rsidRDefault="009F67C1" w:rsidP="00B06FB8">
      <w:pPr>
        <w:pStyle w:val="FootnoteText"/>
        <w:tabs>
          <w:tab w:val="left" w:pos="720"/>
        </w:tabs>
        <w:ind w:left="720" w:hanging="360"/>
        <w:jc w:val="both"/>
        <w:rPr>
          <w:rFonts w:ascii="Times New Roman" w:hAnsi="Times New Roman" w:cs="Times New Roman"/>
        </w:rPr>
      </w:pPr>
      <w:r w:rsidRPr="00B06FB8">
        <w:rPr>
          <w:rStyle w:val="FootnoteReference"/>
          <w:rFonts w:ascii="Times New Roman" w:hAnsi="Times New Roman" w:cs="Times New Roman"/>
          <w:vertAlign w:val="baseline"/>
        </w:rPr>
        <w:footnoteRef/>
      </w:r>
      <w:r w:rsidR="00057F1A">
        <w:rPr>
          <w:rFonts w:ascii="Times New Roman" w:hAnsi="Times New Roman" w:cs="Times New Roman"/>
        </w:rPr>
        <w:t>.</w:t>
      </w:r>
      <w:r w:rsidR="00057F1A">
        <w:rPr>
          <w:rFonts w:ascii="Times New Roman" w:hAnsi="Times New Roman" w:cs="Times New Roman"/>
        </w:rPr>
        <w:tab/>
      </w:r>
      <w:r w:rsidRPr="00B06FB8">
        <w:rPr>
          <w:rFonts w:ascii="Times New Roman" w:hAnsi="Times New Roman" w:cs="Times New Roman"/>
        </w:rPr>
        <w:t xml:space="preserve">Consultado en: </w:t>
      </w:r>
      <w:hyperlink r:id="rId5" w:history="1">
        <w:r w:rsidRPr="00B06FB8">
          <w:rPr>
            <w:rStyle w:val="Hyperlink"/>
            <w:rFonts w:ascii="Times New Roman" w:hAnsi="Times New Roman" w:cs="Times New Roman"/>
          </w:rPr>
          <w:t>https://idm.presidencia.gov.co/prensa/mas-de-968000-personas-registrado-estatuto-temporal-proteccion-migrantes-210610</w:t>
        </w:r>
      </w:hyperlink>
      <w:r w:rsidRPr="00B06FB8">
        <w:rPr>
          <w:rFonts w:ascii="Times New Roman" w:hAnsi="Times New Roman" w:cs="Times New Roman"/>
        </w:rPr>
        <w:t xml:space="preserve"> </w:t>
      </w:r>
    </w:p>
  </w:footnote>
  <w:footnote w:id="60">
    <w:p w14:paraId="28414A39" w14:textId="0726BED0" w:rsidR="009F67C1" w:rsidRPr="00B06FB8" w:rsidRDefault="009F67C1" w:rsidP="00B06FB8">
      <w:pPr>
        <w:pStyle w:val="FootnoteText"/>
        <w:tabs>
          <w:tab w:val="left" w:pos="720"/>
        </w:tabs>
        <w:ind w:left="720" w:hanging="360"/>
        <w:jc w:val="both"/>
        <w:rPr>
          <w:rFonts w:ascii="Times New Roman" w:hAnsi="Times New Roman" w:cs="Times New Roman"/>
        </w:rPr>
      </w:pPr>
      <w:r w:rsidRPr="00B06FB8">
        <w:rPr>
          <w:rStyle w:val="FootnoteReference"/>
          <w:rFonts w:ascii="Times New Roman" w:hAnsi="Times New Roman" w:cs="Times New Roman"/>
          <w:vertAlign w:val="baseline"/>
        </w:rPr>
        <w:footnoteRef/>
      </w:r>
      <w:r w:rsidR="00057F1A">
        <w:rPr>
          <w:rFonts w:ascii="Times New Roman" w:hAnsi="Times New Roman" w:cs="Times New Roman"/>
        </w:rPr>
        <w:t>.</w:t>
      </w:r>
      <w:r w:rsidR="00057F1A">
        <w:rPr>
          <w:rFonts w:ascii="Times New Roman" w:hAnsi="Times New Roman" w:cs="Times New Roman"/>
        </w:rPr>
        <w:tab/>
      </w:r>
      <w:r w:rsidRPr="00B06FB8">
        <w:rPr>
          <w:rFonts w:ascii="Times New Roman" w:hAnsi="Times New Roman" w:cs="Times New Roman"/>
        </w:rPr>
        <w:t xml:space="preserve">La Misión conoció casos de algunas personas migrantes en situación irregular que ofrecieron dinero a arrendatarios, integrantes de </w:t>
      </w:r>
      <w:proofErr w:type="spellStart"/>
      <w:r w:rsidRPr="00B06FB8">
        <w:rPr>
          <w:rFonts w:ascii="Times New Roman" w:hAnsi="Times New Roman" w:cs="Times New Roman"/>
        </w:rPr>
        <w:t>JAC</w:t>
      </w:r>
      <w:proofErr w:type="spellEnd"/>
      <w:r w:rsidRPr="00B06FB8">
        <w:rPr>
          <w:rFonts w:ascii="Times New Roman" w:hAnsi="Times New Roman" w:cs="Times New Roman"/>
        </w:rPr>
        <w:t xml:space="preserve"> o funcionarios públicos a cambio de la expedición de un documento que acredite una prueba sumaria de su estancia en Colombia. </w:t>
      </w:r>
    </w:p>
  </w:footnote>
  <w:footnote w:id="61">
    <w:p w14:paraId="12341E9C" w14:textId="53562C80" w:rsidR="00D978C3" w:rsidRPr="00B06FB8" w:rsidRDefault="00D978C3" w:rsidP="00B06FB8">
      <w:pPr>
        <w:pStyle w:val="FootnoteText"/>
        <w:tabs>
          <w:tab w:val="left" w:pos="720"/>
        </w:tabs>
        <w:ind w:left="720" w:hanging="360"/>
        <w:jc w:val="both"/>
        <w:rPr>
          <w:rFonts w:ascii="Times New Roman" w:eastAsia="Times New Roman" w:hAnsi="Times New Roman" w:cs="Times New Roman"/>
          <w:lang w:eastAsia="es-MX"/>
        </w:rPr>
      </w:pPr>
      <w:r w:rsidRPr="00B06FB8">
        <w:rPr>
          <w:rStyle w:val="FootnoteReference"/>
          <w:rFonts w:ascii="Times New Roman" w:hAnsi="Times New Roman" w:cs="Times New Roman"/>
          <w:vertAlign w:val="baseline"/>
        </w:rPr>
        <w:footnoteRef/>
      </w:r>
      <w:r w:rsidR="00057F1A">
        <w:rPr>
          <w:rStyle w:val="FootnoteReference"/>
          <w:rFonts w:ascii="Times New Roman" w:hAnsi="Times New Roman" w:cs="Times New Roman"/>
          <w:vertAlign w:val="baseline"/>
        </w:rPr>
        <w:t>.</w:t>
      </w:r>
      <w:r w:rsidR="00057F1A">
        <w:rPr>
          <w:rStyle w:val="FootnoteReference"/>
          <w:rFonts w:ascii="Times New Roman" w:hAnsi="Times New Roman" w:cs="Times New Roman"/>
          <w:vertAlign w:val="baseline"/>
        </w:rPr>
        <w:tab/>
      </w:r>
      <w:r w:rsidR="00FD4697" w:rsidRPr="00B06FB8">
        <w:rPr>
          <w:rFonts w:ascii="Times New Roman" w:hAnsi="Times New Roman" w:cs="Times New Roman"/>
        </w:rPr>
        <w:t xml:space="preserve">En este periodo, la Misión conoció de </w:t>
      </w:r>
      <w:r w:rsidRPr="00B06FB8">
        <w:rPr>
          <w:rFonts w:ascii="Times New Roman" w:eastAsia="Times New Roman" w:hAnsi="Times New Roman" w:cs="Times New Roman"/>
          <w:lang w:eastAsia="es-MX"/>
        </w:rPr>
        <w:t xml:space="preserve">las gestiones realizadas en torno a la coordinación interinstitucional entre el ICBF y Migración Colombia en las 25 jornadas de </w:t>
      </w:r>
      <w:proofErr w:type="spellStart"/>
      <w:r w:rsidRPr="00B06FB8">
        <w:rPr>
          <w:rFonts w:ascii="Times New Roman" w:eastAsia="Times New Roman" w:hAnsi="Times New Roman" w:cs="Times New Roman"/>
          <w:lang w:eastAsia="es-MX"/>
        </w:rPr>
        <w:t>pre-registro</w:t>
      </w:r>
      <w:proofErr w:type="spellEnd"/>
      <w:r w:rsidRPr="00B06FB8">
        <w:rPr>
          <w:rFonts w:ascii="Times New Roman" w:eastAsia="Times New Roman" w:hAnsi="Times New Roman" w:cs="Times New Roman"/>
          <w:lang w:eastAsia="es-MX"/>
        </w:rPr>
        <w:t xml:space="preserve"> con la participación de 2.088 beneficiarios, la elaboración de la circular conjunta de orientaciones</w:t>
      </w:r>
      <w:r w:rsidR="00FD4697" w:rsidRPr="00B06FB8">
        <w:rPr>
          <w:rFonts w:ascii="Times New Roman" w:eastAsia="Times New Roman" w:hAnsi="Times New Roman" w:cs="Times New Roman"/>
          <w:lang w:eastAsia="es-MX"/>
        </w:rPr>
        <w:t xml:space="preserve"> y </w:t>
      </w:r>
      <w:r w:rsidRPr="00B06FB8">
        <w:rPr>
          <w:rFonts w:ascii="Times New Roman" w:eastAsia="Times New Roman" w:hAnsi="Times New Roman" w:cs="Times New Roman"/>
          <w:lang w:eastAsia="es-MX"/>
        </w:rPr>
        <w:t xml:space="preserve">el convenio de intercambio de información para el </w:t>
      </w:r>
      <w:proofErr w:type="spellStart"/>
      <w:r w:rsidRPr="00B06FB8">
        <w:rPr>
          <w:rFonts w:ascii="Times New Roman" w:eastAsia="Times New Roman" w:hAnsi="Times New Roman" w:cs="Times New Roman"/>
          <w:lang w:eastAsia="es-MX"/>
        </w:rPr>
        <w:t>pre-registro</w:t>
      </w:r>
      <w:proofErr w:type="spellEnd"/>
      <w:r w:rsidRPr="00B06FB8">
        <w:rPr>
          <w:rFonts w:ascii="Times New Roman" w:eastAsia="Times New Roman" w:hAnsi="Times New Roman" w:cs="Times New Roman"/>
          <w:lang w:eastAsia="es-MX"/>
        </w:rPr>
        <w:t xml:space="preserve"> virtual de </w:t>
      </w:r>
      <w:proofErr w:type="spellStart"/>
      <w:r w:rsidRPr="00B06FB8">
        <w:rPr>
          <w:rFonts w:ascii="Times New Roman" w:eastAsia="Times New Roman" w:hAnsi="Times New Roman" w:cs="Times New Roman"/>
          <w:lang w:eastAsia="es-MX"/>
        </w:rPr>
        <w:t>NNA</w:t>
      </w:r>
      <w:proofErr w:type="spellEnd"/>
      <w:r w:rsidRPr="00B06FB8">
        <w:rPr>
          <w:rFonts w:ascii="Times New Roman" w:eastAsia="Times New Roman" w:hAnsi="Times New Roman" w:cs="Times New Roman"/>
          <w:lang w:eastAsia="es-MX"/>
        </w:rPr>
        <w:t xml:space="preserve"> y jóvenes con </w:t>
      </w:r>
      <w:proofErr w:type="spellStart"/>
      <w:r w:rsidRPr="00B06FB8">
        <w:rPr>
          <w:rFonts w:ascii="Times New Roman" w:eastAsia="Times New Roman" w:hAnsi="Times New Roman" w:cs="Times New Roman"/>
          <w:lang w:eastAsia="es-MX"/>
        </w:rPr>
        <w:t>PARD</w:t>
      </w:r>
      <w:proofErr w:type="spellEnd"/>
      <w:r w:rsidRPr="00B06FB8">
        <w:rPr>
          <w:rFonts w:ascii="Times New Roman" w:eastAsia="Times New Roman" w:hAnsi="Times New Roman" w:cs="Times New Roman"/>
          <w:lang w:eastAsia="es-MX"/>
        </w:rPr>
        <w:t xml:space="preserve"> o en el </w:t>
      </w:r>
      <w:proofErr w:type="spellStart"/>
      <w:r w:rsidRPr="00B06FB8">
        <w:rPr>
          <w:rFonts w:ascii="Times New Roman" w:eastAsia="Times New Roman" w:hAnsi="Times New Roman" w:cs="Times New Roman"/>
          <w:lang w:eastAsia="es-MX"/>
        </w:rPr>
        <w:t>SRPA</w:t>
      </w:r>
      <w:proofErr w:type="spellEnd"/>
      <w:r w:rsidRPr="00B06FB8">
        <w:rPr>
          <w:rFonts w:ascii="Times New Roman" w:eastAsia="Times New Roman" w:hAnsi="Times New Roman" w:cs="Times New Roman"/>
          <w:lang w:eastAsia="es-MX"/>
        </w:rPr>
        <w:t xml:space="preserve"> institucionalizados.</w:t>
      </w:r>
    </w:p>
  </w:footnote>
  <w:footnote w:id="62">
    <w:p w14:paraId="1023B296" w14:textId="751A18ED" w:rsidR="009F67C1" w:rsidRPr="00B06FB8" w:rsidRDefault="009F67C1" w:rsidP="00B06FB8">
      <w:pPr>
        <w:tabs>
          <w:tab w:val="left" w:pos="720"/>
        </w:tabs>
        <w:ind w:left="720" w:hanging="360"/>
        <w:jc w:val="both"/>
        <w:rPr>
          <w:sz w:val="20"/>
          <w:szCs w:val="20"/>
        </w:rPr>
      </w:pPr>
      <w:r w:rsidRPr="00B06FB8">
        <w:rPr>
          <w:rStyle w:val="FootnoteReference"/>
          <w:sz w:val="20"/>
          <w:szCs w:val="20"/>
          <w:vertAlign w:val="baseline"/>
        </w:rPr>
        <w:footnoteRef/>
      </w:r>
      <w:r w:rsidR="00057F1A">
        <w:rPr>
          <w:sz w:val="20"/>
          <w:szCs w:val="20"/>
        </w:rPr>
        <w:t>.</w:t>
      </w:r>
      <w:r w:rsidR="00057F1A">
        <w:rPr>
          <w:sz w:val="20"/>
          <w:szCs w:val="20"/>
        </w:rPr>
        <w:tab/>
      </w:r>
      <w:r w:rsidRPr="00B06FB8">
        <w:rPr>
          <w:color w:val="000000"/>
          <w:sz w:val="20"/>
          <w:szCs w:val="20"/>
          <w:shd w:val="clear" w:color="auto" w:fill="FFFFFF"/>
        </w:rPr>
        <w:t>Tras la emisión de la Resolución 0667 del 19 de mayo y la Resolución 0746 del 1° de junio ambas de 2021</w:t>
      </w:r>
    </w:p>
  </w:footnote>
  <w:footnote w:id="63">
    <w:p w14:paraId="4845A7DA" w14:textId="257AF509" w:rsidR="009F67C1" w:rsidRPr="00B06FB8" w:rsidRDefault="009F67C1" w:rsidP="00B06FB8">
      <w:pPr>
        <w:tabs>
          <w:tab w:val="left" w:pos="720"/>
        </w:tabs>
        <w:ind w:left="720" w:hanging="360"/>
        <w:jc w:val="both"/>
        <w:rPr>
          <w:color w:val="000000"/>
          <w:sz w:val="20"/>
          <w:szCs w:val="20"/>
          <w:shd w:val="clear" w:color="auto" w:fill="FFFFFF"/>
        </w:rPr>
      </w:pPr>
      <w:r w:rsidRPr="00B06FB8">
        <w:rPr>
          <w:rStyle w:val="FootnoteReference"/>
          <w:sz w:val="20"/>
          <w:szCs w:val="20"/>
          <w:vertAlign w:val="baseline"/>
        </w:rPr>
        <w:footnoteRef/>
      </w:r>
      <w:r w:rsidR="00057F1A">
        <w:rPr>
          <w:sz w:val="20"/>
          <w:szCs w:val="20"/>
        </w:rPr>
        <w:t>.</w:t>
      </w:r>
      <w:r w:rsidR="00057F1A">
        <w:rPr>
          <w:sz w:val="20"/>
          <w:szCs w:val="20"/>
        </w:rPr>
        <w:tab/>
      </w:r>
      <w:r w:rsidRPr="00B06FB8">
        <w:rPr>
          <w:color w:val="000000"/>
          <w:sz w:val="20"/>
          <w:szCs w:val="20"/>
          <w:shd w:val="clear" w:color="auto" w:fill="FFFFFF"/>
        </w:rPr>
        <w:t>Esta dinámica exceptúa aquellas comunidades que han recibido flujo migratorio transcontinental proveniente de Suramérica pues, estas sí han reactivado su economía debido al poder adquisitivo en dólares de este tipo de migración.</w:t>
      </w:r>
    </w:p>
  </w:footnote>
  <w:footnote w:id="64">
    <w:p w14:paraId="2D28D213" w14:textId="15A41751" w:rsidR="009F67C1" w:rsidRPr="00B06FB8" w:rsidRDefault="009F67C1" w:rsidP="00B06FB8">
      <w:pPr>
        <w:pStyle w:val="FootnoteText"/>
        <w:tabs>
          <w:tab w:val="left" w:pos="720"/>
        </w:tabs>
        <w:ind w:left="720" w:hanging="360"/>
        <w:jc w:val="both"/>
        <w:rPr>
          <w:rFonts w:ascii="Times New Roman" w:hAnsi="Times New Roman" w:cs="Times New Roman"/>
        </w:rPr>
      </w:pPr>
      <w:r w:rsidRPr="00B06FB8">
        <w:rPr>
          <w:rFonts w:ascii="Times New Roman" w:eastAsia="Times New Roman" w:hAnsi="Times New Roman" w:cs="Times New Roman"/>
          <w:color w:val="000000"/>
          <w:shd w:val="clear" w:color="auto" w:fill="FFFFFF"/>
          <w:lang w:eastAsia="es-MX"/>
        </w:rPr>
        <w:footnoteRef/>
      </w:r>
      <w:r w:rsidR="00057F1A">
        <w:rPr>
          <w:rFonts w:ascii="Times New Roman" w:eastAsia="Times New Roman" w:hAnsi="Times New Roman" w:cs="Times New Roman"/>
          <w:color w:val="000000"/>
          <w:shd w:val="clear" w:color="auto" w:fill="FFFFFF"/>
          <w:lang w:eastAsia="es-MX"/>
        </w:rPr>
        <w:t>.</w:t>
      </w:r>
      <w:r w:rsidR="00057F1A">
        <w:rPr>
          <w:rFonts w:ascii="Times New Roman" w:eastAsia="Times New Roman" w:hAnsi="Times New Roman" w:cs="Times New Roman"/>
          <w:color w:val="000000"/>
          <w:shd w:val="clear" w:color="auto" w:fill="FFFFFF"/>
          <w:lang w:eastAsia="es-MX"/>
        </w:rPr>
        <w:tab/>
      </w:r>
      <w:r w:rsidRPr="00B06FB8">
        <w:rPr>
          <w:rFonts w:ascii="Times New Roman" w:eastAsia="Times New Roman" w:hAnsi="Times New Roman" w:cs="Times New Roman"/>
          <w:color w:val="000000"/>
          <w:shd w:val="clear" w:color="auto" w:fill="FFFFFF"/>
          <w:lang w:eastAsia="es-MX"/>
        </w:rPr>
        <w:t>El contrabando, comercio informal y mano de obra informal continúan siendo principales obstáculos para fortalecer economías locales fronterizas.</w:t>
      </w:r>
    </w:p>
  </w:footnote>
  <w:footnote w:id="65">
    <w:p w14:paraId="5F3B6F69" w14:textId="65570F8B" w:rsidR="009F67C1" w:rsidRPr="00B06FB8" w:rsidRDefault="009F67C1" w:rsidP="00B06FB8">
      <w:pPr>
        <w:pStyle w:val="FootnoteText"/>
        <w:tabs>
          <w:tab w:val="left" w:pos="720"/>
        </w:tabs>
        <w:ind w:left="720" w:hanging="360"/>
        <w:jc w:val="both"/>
        <w:rPr>
          <w:rFonts w:ascii="Times New Roman" w:hAnsi="Times New Roman" w:cs="Times New Roman"/>
        </w:rPr>
      </w:pPr>
      <w:r w:rsidRPr="00B06FB8">
        <w:rPr>
          <w:rStyle w:val="FootnoteReference"/>
          <w:rFonts w:ascii="Times New Roman" w:hAnsi="Times New Roman" w:cs="Times New Roman"/>
          <w:vertAlign w:val="baseline"/>
        </w:rPr>
        <w:footnoteRef/>
      </w:r>
      <w:r w:rsidR="00057F1A">
        <w:rPr>
          <w:rFonts w:ascii="Times New Roman" w:hAnsi="Times New Roman" w:cs="Times New Roman"/>
        </w:rPr>
        <w:t>.</w:t>
      </w:r>
      <w:r w:rsidR="00057F1A">
        <w:rPr>
          <w:rFonts w:ascii="Times New Roman" w:hAnsi="Times New Roman" w:cs="Times New Roman"/>
        </w:rPr>
        <w:tab/>
      </w:r>
      <w:r w:rsidRPr="00B06FB8">
        <w:rPr>
          <w:rFonts w:ascii="Times New Roman" w:hAnsi="Times New Roman" w:cs="Times New Roman"/>
        </w:rPr>
        <w:t xml:space="preserve">De acuerdo </w:t>
      </w:r>
      <w:r w:rsidR="007D7808" w:rsidRPr="00B06FB8">
        <w:rPr>
          <w:rFonts w:ascii="Times New Roman" w:hAnsi="Times New Roman" w:cs="Times New Roman"/>
        </w:rPr>
        <w:t>con</w:t>
      </w:r>
      <w:r w:rsidRPr="00B06FB8">
        <w:rPr>
          <w:rFonts w:ascii="Times New Roman" w:hAnsi="Times New Roman" w:cs="Times New Roman"/>
        </w:rPr>
        <w:t xml:space="preserve"> cifras de la Alcaldía de Necoclí, Antioquia. </w:t>
      </w:r>
    </w:p>
  </w:footnote>
  <w:footnote w:id="66">
    <w:p w14:paraId="7BE2A0EF" w14:textId="751208D6" w:rsidR="009F67C1" w:rsidRPr="00B06FB8" w:rsidRDefault="009F67C1" w:rsidP="00057F1A">
      <w:pPr>
        <w:tabs>
          <w:tab w:val="left" w:pos="720"/>
        </w:tabs>
        <w:ind w:left="708" w:hanging="348"/>
        <w:jc w:val="both"/>
        <w:rPr>
          <w:sz w:val="20"/>
          <w:szCs w:val="20"/>
        </w:rPr>
      </w:pPr>
      <w:r w:rsidRPr="00B06FB8">
        <w:rPr>
          <w:rStyle w:val="FootnoteReference"/>
          <w:sz w:val="20"/>
          <w:szCs w:val="20"/>
          <w:vertAlign w:val="baseline"/>
        </w:rPr>
        <w:footnoteRef/>
      </w:r>
      <w:r w:rsidR="00057F1A">
        <w:rPr>
          <w:sz w:val="20"/>
          <w:szCs w:val="20"/>
        </w:rPr>
        <w:t>.</w:t>
      </w:r>
      <w:r w:rsidR="00057F1A">
        <w:rPr>
          <w:sz w:val="20"/>
          <w:szCs w:val="20"/>
        </w:rPr>
        <w:tab/>
      </w:r>
      <w:r w:rsidRPr="00B06FB8">
        <w:rPr>
          <w:sz w:val="20"/>
          <w:szCs w:val="20"/>
        </w:rPr>
        <w:t xml:space="preserve">Caracterizado por ser un paso agreste y de alto riesgo para su seguridad física, especialmente de </w:t>
      </w:r>
      <w:proofErr w:type="spellStart"/>
      <w:r w:rsidRPr="00B06FB8">
        <w:rPr>
          <w:sz w:val="20"/>
          <w:szCs w:val="20"/>
        </w:rPr>
        <w:t>NNA</w:t>
      </w:r>
      <w:proofErr w:type="spellEnd"/>
      <w:r w:rsidRPr="00B06FB8">
        <w:rPr>
          <w:sz w:val="20"/>
          <w:szCs w:val="20"/>
        </w:rPr>
        <w:t xml:space="preserve"> y mujeres. Sumado a ello, allí operan </w:t>
      </w:r>
      <w:proofErr w:type="spellStart"/>
      <w:r w:rsidRPr="00B06FB8">
        <w:rPr>
          <w:sz w:val="20"/>
          <w:szCs w:val="20"/>
        </w:rPr>
        <w:t>GAI</w:t>
      </w:r>
      <w:proofErr w:type="spellEnd"/>
      <w:r w:rsidRPr="00B06FB8">
        <w:rPr>
          <w:sz w:val="20"/>
          <w:szCs w:val="20"/>
        </w:rPr>
        <w:t xml:space="preserve"> que cometen hurtos, violencia sexual, desapariciones y homicidios dirigidos a la población migrante.</w:t>
      </w:r>
      <w:r w:rsidR="0078159F" w:rsidRPr="00B06FB8">
        <w:rPr>
          <w:sz w:val="20"/>
          <w:szCs w:val="20"/>
        </w:rPr>
        <w:t xml:space="preserve"> </w:t>
      </w:r>
    </w:p>
  </w:footnote>
  <w:footnote w:id="67">
    <w:p w14:paraId="07DDC4A0" w14:textId="5EF6F1C5" w:rsidR="009F67C1" w:rsidRPr="00B06FB8" w:rsidRDefault="009F67C1" w:rsidP="00B06FB8">
      <w:pPr>
        <w:tabs>
          <w:tab w:val="left" w:pos="720"/>
        </w:tabs>
        <w:ind w:left="720" w:hanging="360"/>
        <w:jc w:val="both"/>
        <w:rPr>
          <w:sz w:val="20"/>
          <w:szCs w:val="20"/>
        </w:rPr>
      </w:pPr>
      <w:r w:rsidRPr="00B06FB8">
        <w:rPr>
          <w:rStyle w:val="FootnoteReference"/>
          <w:sz w:val="20"/>
          <w:szCs w:val="20"/>
          <w:vertAlign w:val="baseline"/>
        </w:rPr>
        <w:footnoteRef/>
      </w:r>
      <w:r w:rsidR="00057F1A">
        <w:rPr>
          <w:sz w:val="20"/>
          <w:szCs w:val="20"/>
        </w:rPr>
        <w:t>.</w:t>
      </w:r>
      <w:r w:rsidR="00057F1A">
        <w:rPr>
          <w:sz w:val="20"/>
          <w:szCs w:val="20"/>
        </w:rPr>
        <w:tab/>
      </w:r>
      <w:r w:rsidRPr="00B06FB8">
        <w:rPr>
          <w:sz w:val="20"/>
          <w:szCs w:val="20"/>
        </w:rPr>
        <w:t xml:space="preserve">En la zona fronteriza con Venezuela, las víctimas de trata de personas son aprehendidas y encerradas por meses para ser forzadas a trabajar en diversos oficios, la mayoría de ellos de tipo sexual. En algunos casos, sus familias las entregan a los traficantes a cambio de dinero. </w:t>
      </w:r>
    </w:p>
  </w:footnote>
  <w:footnote w:id="68">
    <w:p w14:paraId="5A06470B" w14:textId="056F41A9" w:rsidR="009F67C1" w:rsidRPr="00B06FB8" w:rsidRDefault="009F67C1" w:rsidP="00B06FB8">
      <w:pPr>
        <w:tabs>
          <w:tab w:val="left" w:pos="720"/>
        </w:tabs>
        <w:ind w:left="720" w:hanging="360"/>
        <w:jc w:val="both"/>
        <w:rPr>
          <w:sz w:val="20"/>
          <w:szCs w:val="20"/>
        </w:rPr>
      </w:pPr>
      <w:r w:rsidRPr="00B06FB8">
        <w:rPr>
          <w:rStyle w:val="FootnoteReference"/>
          <w:sz w:val="20"/>
          <w:szCs w:val="20"/>
          <w:vertAlign w:val="baseline"/>
        </w:rPr>
        <w:footnoteRef/>
      </w:r>
      <w:r w:rsidR="00057F1A">
        <w:rPr>
          <w:sz w:val="20"/>
          <w:szCs w:val="20"/>
        </w:rPr>
        <w:t>.</w:t>
      </w:r>
      <w:r w:rsidR="00057F1A">
        <w:rPr>
          <w:sz w:val="20"/>
          <w:szCs w:val="20"/>
        </w:rPr>
        <w:tab/>
      </w:r>
      <w:r w:rsidRPr="00B06FB8">
        <w:rPr>
          <w:sz w:val="20"/>
          <w:szCs w:val="20"/>
        </w:rPr>
        <w:t xml:space="preserve">La vinculación de </w:t>
      </w:r>
      <w:proofErr w:type="spellStart"/>
      <w:r w:rsidRPr="00B06FB8">
        <w:rPr>
          <w:sz w:val="20"/>
          <w:szCs w:val="20"/>
        </w:rPr>
        <w:t>NNA</w:t>
      </w:r>
      <w:proofErr w:type="spellEnd"/>
      <w:r w:rsidRPr="00B06FB8">
        <w:rPr>
          <w:sz w:val="20"/>
          <w:szCs w:val="20"/>
        </w:rPr>
        <w:t xml:space="preserve"> y jóvenes extranjeros e indígenas binacionales de los pueblos Wayuu, Yukpa y Motilón-Barí en </w:t>
      </w:r>
      <w:r w:rsidRPr="00B06FB8">
        <w:rPr>
          <w:color w:val="000000"/>
          <w:sz w:val="20"/>
          <w:szCs w:val="20"/>
          <w:lang w:eastAsia="es-CO"/>
        </w:rPr>
        <w:t>la cadena de producción de cultivos ilícitos</w:t>
      </w:r>
      <w:r w:rsidRPr="00B06FB8">
        <w:rPr>
          <w:sz w:val="20"/>
          <w:szCs w:val="20"/>
        </w:rPr>
        <w:t xml:space="preserve">, así como reclutamiento forzado de </w:t>
      </w:r>
      <w:proofErr w:type="spellStart"/>
      <w:r w:rsidRPr="00B06FB8">
        <w:rPr>
          <w:sz w:val="20"/>
          <w:szCs w:val="20"/>
        </w:rPr>
        <w:t>NNA</w:t>
      </w:r>
      <w:proofErr w:type="spellEnd"/>
      <w:r w:rsidRPr="00B06FB8">
        <w:rPr>
          <w:sz w:val="20"/>
          <w:szCs w:val="20"/>
        </w:rPr>
        <w:t xml:space="preserve"> en territorio venezolano y su posterior traslado a Colombia. </w:t>
      </w:r>
    </w:p>
  </w:footnote>
  <w:footnote w:id="69">
    <w:p w14:paraId="3DE060CA" w14:textId="32BCB26E" w:rsidR="009F67C1" w:rsidRPr="00B06FB8" w:rsidRDefault="009F67C1" w:rsidP="00B06FB8">
      <w:pPr>
        <w:pStyle w:val="FootnoteText"/>
        <w:tabs>
          <w:tab w:val="left" w:pos="720"/>
        </w:tabs>
        <w:ind w:left="720" w:hanging="360"/>
        <w:jc w:val="both"/>
        <w:rPr>
          <w:rFonts w:ascii="Times New Roman" w:hAnsi="Times New Roman" w:cs="Times New Roman"/>
        </w:rPr>
      </w:pPr>
      <w:r w:rsidRPr="00B06FB8">
        <w:rPr>
          <w:rStyle w:val="FootnoteReference"/>
          <w:rFonts w:ascii="Times New Roman" w:hAnsi="Times New Roman" w:cs="Times New Roman"/>
          <w:vertAlign w:val="baseline"/>
        </w:rPr>
        <w:footnoteRef/>
      </w:r>
      <w:r w:rsidR="00057F1A">
        <w:rPr>
          <w:rFonts w:ascii="Times New Roman" w:hAnsi="Times New Roman" w:cs="Times New Roman"/>
        </w:rPr>
        <w:t>.</w:t>
      </w:r>
      <w:r w:rsidR="00057F1A">
        <w:rPr>
          <w:rFonts w:ascii="Times New Roman" w:hAnsi="Times New Roman" w:cs="Times New Roman"/>
        </w:rPr>
        <w:tab/>
      </w:r>
      <w:r w:rsidRPr="00B06FB8">
        <w:rPr>
          <w:rFonts w:ascii="Times New Roman" w:hAnsi="Times New Roman" w:cs="Times New Roman"/>
        </w:rPr>
        <w:t xml:space="preserve">En Leiva, Nariño los grupos residuales o disidentes de las FARC-EP acusaron a población venezolana de colaborar con las </w:t>
      </w:r>
      <w:proofErr w:type="spellStart"/>
      <w:r w:rsidRPr="00B06FB8">
        <w:rPr>
          <w:rFonts w:ascii="Times New Roman" w:hAnsi="Times New Roman" w:cs="Times New Roman"/>
        </w:rPr>
        <w:t>AGC</w:t>
      </w:r>
      <w:proofErr w:type="spellEnd"/>
      <w:r w:rsidRPr="00B06FB8">
        <w:rPr>
          <w:rFonts w:ascii="Times New Roman" w:hAnsi="Times New Roman" w:cs="Times New Roman"/>
        </w:rPr>
        <w:t xml:space="preserve">/Clan del Golfo lo que produjo un desplazamiento masivo. </w:t>
      </w:r>
    </w:p>
  </w:footnote>
  <w:footnote w:id="70">
    <w:p w14:paraId="24A2A86B" w14:textId="2EC41B6B" w:rsidR="009F67C1" w:rsidRPr="00B06FB8" w:rsidRDefault="009F67C1" w:rsidP="00B06FB8">
      <w:pPr>
        <w:pStyle w:val="FootnoteText"/>
        <w:tabs>
          <w:tab w:val="left" w:pos="720"/>
        </w:tabs>
        <w:ind w:left="720" w:hanging="360"/>
        <w:jc w:val="both"/>
        <w:rPr>
          <w:rFonts w:ascii="Times New Roman" w:hAnsi="Times New Roman" w:cs="Times New Roman"/>
          <w:lang w:val="es-ES"/>
        </w:rPr>
      </w:pPr>
      <w:r w:rsidRPr="00B06FB8">
        <w:rPr>
          <w:rStyle w:val="FootnoteReference"/>
          <w:rFonts w:ascii="Times New Roman" w:hAnsi="Times New Roman" w:cs="Times New Roman"/>
          <w:vertAlign w:val="baseline"/>
        </w:rPr>
        <w:footnoteRef/>
      </w:r>
      <w:r w:rsidR="00057F1A">
        <w:rPr>
          <w:rFonts w:ascii="Times New Roman" w:hAnsi="Times New Roman" w:cs="Times New Roman"/>
        </w:rPr>
        <w:t>.</w:t>
      </w:r>
      <w:r w:rsidR="00057F1A">
        <w:rPr>
          <w:rFonts w:ascii="Times New Roman" w:hAnsi="Times New Roman" w:cs="Times New Roman"/>
        </w:rPr>
        <w:tab/>
      </w:r>
      <w:r w:rsidRPr="00B06FB8">
        <w:rPr>
          <w:rFonts w:ascii="Times New Roman" w:hAnsi="Times New Roman" w:cs="Times New Roman"/>
          <w:lang w:val="es-ES"/>
        </w:rPr>
        <w:t>Ley 270 de 1996 – Estatutaria de la Administración de Justicia, reformada el pasado 16 de junio mediante la aprobación del proyecto de ley 475 de 2021 de Senado de la República. Allí se determinó un porcentaje fijo del 3% anual del presupuesto de rentas y de recursos de capital del tesoro nacional.</w:t>
      </w:r>
    </w:p>
  </w:footnote>
  <w:footnote w:id="71">
    <w:p w14:paraId="57CC4CD6" w14:textId="55B6ED00" w:rsidR="009F67C1" w:rsidRPr="00B06FB8" w:rsidRDefault="009F67C1" w:rsidP="00B06FB8">
      <w:pPr>
        <w:pStyle w:val="FootnoteText"/>
        <w:tabs>
          <w:tab w:val="left" w:pos="720"/>
        </w:tabs>
        <w:ind w:left="720" w:hanging="360"/>
        <w:jc w:val="both"/>
        <w:rPr>
          <w:rFonts w:ascii="Times New Roman" w:hAnsi="Times New Roman" w:cs="Times New Roman"/>
          <w:lang w:val="es-ES"/>
        </w:rPr>
      </w:pPr>
      <w:r w:rsidRPr="00B06FB8">
        <w:rPr>
          <w:rStyle w:val="FootnoteReference"/>
          <w:rFonts w:ascii="Times New Roman" w:hAnsi="Times New Roman" w:cs="Times New Roman"/>
          <w:vertAlign w:val="baseline"/>
        </w:rPr>
        <w:footnoteRef/>
      </w:r>
      <w:r w:rsidR="00057F1A">
        <w:rPr>
          <w:rFonts w:ascii="Times New Roman" w:hAnsi="Times New Roman" w:cs="Times New Roman"/>
        </w:rPr>
        <w:t>.</w:t>
      </w:r>
      <w:r w:rsidR="00057F1A">
        <w:rPr>
          <w:rFonts w:ascii="Times New Roman" w:hAnsi="Times New Roman" w:cs="Times New Roman"/>
        </w:rPr>
        <w:tab/>
      </w:r>
      <w:r w:rsidRPr="00B06FB8">
        <w:rPr>
          <w:rFonts w:ascii="Times New Roman" w:hAnsi="Times New Roman" w:cs="Times New Roman"/>
          <w:lang w:val="es-ES"/>
        </w:rPr>
        <w:t>Una de las regiones que mejor ejemplifica esta situación es el Alto y Medio Baudó en el Chocó, en donde las conexiones eléctricas son escasas e intermitentes, así como el acceso a internet, situación que ha dificultado al fiscal local la conexión a audiencias virtuales, por lo cual ha tenido que desplazarse a centros urbanos como Quibdó, Chocó para atender dichas diligencias.</w:t>
      </w:r>
    </w:p>
  </w:footnote>
  <w:footnote w:id="72">
    <w:p w14:paraId="3C3B8BBB" w14:textId="177BC8CF" w:rsidR="009F67C1" w:rsidRPr="00B06FB8" w:rsidRDefault="009F67C1" w:rsidP="00B06FB8">
      <w:pPr>
        <w:pStyle w:val="FootnoteText"/>
        <w:tabs>
          <w:tab w:val="left" w:pos="720"/>
        </w:tabs>
        <w:ind w:left="720" w:hanging="360"/>
        <w:jc w:val="both"/>
        <w:rPr>
          <w:rFonts w:ascii="Times New Roman" w:hAnsi="Times New Roman" w:cs="Times New Roman"/>
          <w:lang w:val="es-ES"/>
        </w:rPr>
      </w:pPr>
      <w:r w:rsidRPr="00B06FB8">
        <w:rPr>
          <w:rStyle w:val="FootnoteReference"/>
          <w:rFonts w:ascii="Times New Roman" w:hAnsi="Times New Roman" w:cs="Times New Roman"/>
          <w:vertAlign w:val="baseline"/>
        </w:rPr>
        <w:footnoteRef/>
      </w:r>
      <w:r w:rsidR="00057F1A">
        <w:rPr>
          <w:rFonts w:ascii="Times New Roman" w:hAnsi="Times New Roman" w:cs="Times New Roman"/>
        </w:rPr>
        <w:t>.</w:t>
      </w:r>
      <w:r w:rsidR="00057F1A">
        <w:rPr>
          <w:rFonts w:ascii="Times New Roman" w:hAnsi="Times New Roman" w:cs="Times New Roman"/>
        </w:rPr>
        <w:tab/>
      </w:r>
      <w:r w:rsidRPr="00B06FB8">
        <w:rPr>
          <w:rFonts w:ascii="Times New Roman" w:hAnsi="Times New Roman" w:cs="Times New Roman"/>
        </w:rPr>
        <w:t xml:space="preserve">Es de resaltar el papel que las autoridades indígenas y guardias han asumido de cara a enfrentar los </w:t>
      </w:r>
      <w:proofErr w:type="spellStart"/>
      <w:r w:rsidRPr="00B06FB8">
        <w:rPr>
          <w:rFonts w:ascii="Times New Roman" w:hAnsi="Times New Roman" w:cs="Times New Roman"/>
        </w:rPr>
        <w:t>GAI</w:t>
      </w:r>
      <w:proofErr w:type="spellEnd"/>
      <w:r w:rsidRPr="00B06FB8">
        <w:rPr>
          <w:rFonts w:ascii="Times New Roman" w:hAnsi="Times New Roman" w:cs="Times New Roman"/>
        </w:rPr>
        <w:t xml:space="preserve"> para la recuperación de niños, niñas y jóvenes indígenas reclutados de manera forzada como ha ocurrido en </w:t>
      </w:r>
      <w:proofErr w:type="spellStart"/>
      <w:r w:rsidRPr="00B06FB8">
        <w:rPr>
          <w:rFonts w:ascii="Times New Roman" w:hAnsi="Times New Roman" w:cs="Times New Roman"/>
        </w:rPr>
        <w:t>Juradó</w:t>
      </w:r>
      <w:proofErr w:type="spellEnd"/>
      <w:r w:rsidRPr="00B06FB8">
        <w:rPr>
          <w:rFonts w:ascii="Times New Roman" w:hAnsi="Times New Roman" w:cs="Times New Roman"/>
        </w:rPr>
        <w:t xml:space="preserve"> (Chocó) y en Barbacoas (Nariño), así mismo el ejercicio de Justicia Propia realizado con los adultos que se vinculan de alguna manera a grupos armados como ocurre en comunidades de Chocó, Cauca y Valle del Cauca, labores que les ha conllevado a recibir amenazas e intimidaciones</w:t>
      </w:r>
    </w:p>
  </w:footnote>
  <w:footnote w:id="73">
    <w:p w14:paraId="3060C37F" w14:textId="4CDE7F96" w:rsidR="009F67C1" w:rsidRPr="00B06FB8" w:rsidRDefault="009F67C1" w:rsidP="00B06FB8">
      <w:pPr>
        <w:tabs>
          <w:tab w:val="left" w:pos="720"/>
        </w:tabs>
        <w:ind w:left="720" w:hanging="360"/>
        <w:jc w:val="both"/>
        <w:rPr>
          <w:sz w:val="20"/>
          <w:szCs w:val="20"/>
          <w:lang w:val="es-ES"/>
        </w:rPr>
      </w:pPr>
      <w:r w:rsidRPr="00B06FB8">
        <w:rPr>
          <w:rStyle w:val="FootnoteReference"/>
          <w:sz w:val="20"/>
          <w:szCs w:val="20"/>
          <w:vertAlign w:val="baseline"/>
        </w:rPr>
        <w:footnoteRef/>
      </w:r>
      <w:r w:rsidR="00057F1A">
        <w:rPr>
          <w:sz w:val="20"/>
          <w:szCs w:val="20"/>
        </w:rPr>
        <w:t>.</w:t>
      </w:r>
      <w:r w:rsidR="00057F1A">
        <w:rPr>
          <w:sz w:val="20"/>
          <w:szCs w:val="20"/>
        </w:rPr>
        <w:tab/>
      </w:r>
      <w:r w:rsidRPr="00B06FB8">
        <w:rPr>
          <w:sz w:val="20"/>
          <w:szCs w:val="20"/>
          <w:lang w:val="es-ES"/>
        </w:rPr>
        <w:t>Al cierre de este informe, la Misión conoció un panfleto en el que se amenazaba a la Asociación de Cabildos Indígenas del Norte del Cauca (</w:t>
      </w:r>
      <w:proofErr w:type="spellStart"/>
      <w:r w:rsidRPr="00B06FB8">
        <w:rPr>
          <w:sz w:val="20"/>
          <w:szCs w:val="20"/>
          <w:lang w:val="es-ES"/>
        </w:rPr>
        <w:t>ACIN</w:t>
      </w:r>
      <w:proofErr w:type="spellEnd"/>
      <w:r w:rsidRPr="00B06FB8">
        <w:rPr>
          <w:sz w:val="20"/>
          <w:szCs w:val="20"/>
          <w:lang w:val="es-ES"/>
        </w:rPr>
        <w:t xml:space="preserve">) y a la </w:t>
      </w:r>
      <w:proofErr w:type="spellStart"/>
      <w:r w:rsidRPr="00B06FB8">
        <w:rPr>
          <w:sz w:val="20"/>
          <w:szCs w:val="20"/>
          <w:lang w:val="es-ES"/>
        </w:rPr>
        <w:t>ORIVAC</w:t>
      </w:r>
      <w:proofErr w:type="spellEnd"/>
      <w:r w:rsidRPr="00B06FB8">
        <w:rPr>
          <w:sz w:val="20"/>
          <w:szCs w:val="20"/>
          <w:lang w:val="es-ES"/>
        </w:rPr>
        <w:t>, incluyendo al senador indígena Feliciano Valencia.</w:t>
      </w:r>
    </w:p>
  </w:footnote>
  <w:footnote w:id="74">
    <w:p w14:paraId="2E694093" w14:textId="49D1F315" w:rsidR="009F67C1" w:rsidRPr="00B06FB8" w:rsidRDefault="009F67C1" w:rsidP="00B06FB8">
      <w:pPr>
        <w:tabs>
          <w:tab w:val="left" w:pos="720"/>
        </w:tabs>
        <w:ind w:left="720" w:hanging="360"/>
        <w:jc w:val="both"/>
        <w:rPr>
          <w:sz w:val="20"/>
          <w:szCs w:val="20"/>
          <w:lang w:val="es-ES"/>
        </w:rPr>
      </w:pPr>
      <w:r w:rsidRPr="00B06FB8">
        <w:rPr>
          <w:rStyle w:val="FootnoteReference"/>
          <w:sz w:val="20"/>
          <w:szCs w:val="20"/>
          <w:vertAlign w:val="baseline"/>
        </w:rPr>
        <w:footnoteRef/>
      </w:r>
      <w:r w:rsidR="00057F1A">
        <w:rPr>
          <w:sz w:val="20"/>
          <w:szCs w:val="20"/>
        </w:rPr>
        <w:t>.</w:t>
      </w:r>
      <w:r w:rsidR="00057F1A">
        <w:rPr>
          <w:sz w:val="20"/>
          <w:szCs w:val="20"/>
        </w:rPr>
        <w:tab/>
      </w:r>
      <w:r w:rsidRPr="00B06FB8">
        <w:rPr>
          <w:sz w:val="20"/>
          <w:szCs w:val="20"/>
          <w:lang w:val="es-ES"/>
        </w:rPr>
        <w:t xml:space="preserve">Es importante resaltar que en Antioquia, Cauca, Chocó, Córdoba, Nariño y Norte de Santander estas acciones contra las autoridades han estado acompañadas de otra serie de ataques por parte de los </w:t>
      </w:r>
      <w:proofErr w:type="spellStart"/>
      <w:r w:rsidRPr="00B06FB8">
        <w:rPr>
          <w:sz w:val="20"/>
          <w:szCs w:val="20"/>
          <w:lang w:val="es-ES"/>
        </w:rPr>
        <w:t>GAI</w:t>
      </w:r>
      <w:proofErr w:type="spellEnd"/>
      <w:r w:rsidRPr="00B06FB8">
        <w:rPr>
          <w:sz w:val="20"/>
          <w:szCs w:val="20"/>
          <w:lang w:val="es-ES"/>
        </w:rPr>
        <w:t xml:space="preserve"> que incluyen en algunos casos confinamientos, instalación de </w:t>
      </w:r>
      <w:proofErr w:type="spellStart"/>
      <w:r w:rsidRPr="00B06FB8">
        <w:rPr>
          <w:sz w:val="20"/>
          <w:szCs w:val="20"/>
          <w:lang w:val="es-ES"/>
        </w:rPr>
        <w:t>MAP</w:t>
      </w:r>
      <w:proofErr w:type="spellEnd"/>
      <w:r w:rsidRPr="00B06FB8">
        <w:rPr>
          <w:sz w:val="20"/>
          <w:szCs w:val="20"/>
          <w:lang w:val="es-ES"/>
        </w:rPr>
        <w:t>, escenarios de fuego cruzado, desplazamientos y reclutamiento forzado.</w:t>
      </w:r>
    </w:p>
  </w:footnote>
  <w:footnote w:id="75">
    <w:p w14:paraId="60AE8F39" w14:textId="624CB6C3" w:rsidR="009F67C1" w:rsidRPr="00B06FB8" w:rsidRDefault="009F67C1" w:rsidP="00B06FB8">
      <w:pPr>
        <w:pStyle w:val="FootnoteText"/>
        <w:tabs>
          <w:tab w:val="left" w:pos="720"/>
        </w:tabs>
        <w:ind w:left="720" w:hanging="360"/>
        <w:jc w:val="both"/>
        <w:rPr>
          <w:rFonts w:ascii="Times New Roman" w:hAnsi="Times New Roman" w:cs="Times New Roman"/>
          <w:lang w:val="es-ES"/>
        </w:rPr>
      </w:pPr>
      <w:r w:rsidRPr="00B06FB8">
        <w:rPr>
          <w:rStyle w:val="FootnoteReference"/>
          <w:rFonts w:ascii="Times New Roman" w:hAnsi="Times New Roman" w:cs="Times New Roman"/>
          <w:vertAlign w:val="baseline"/>
        </w:rPr>
        <w:footnoteRef/>
      </w:r>
      <w:r w:rsidR="00057F1A">
        <w:rPr>
          <w:rFonts w:ascii="Times New Roman" w:hAnsi="Times New Roman" w:cs="Times New Roman"/>
        </w:rPr>
        <w:t>.</w:t>
      </w:r>
      <w:r w:rsidR="00057F1A">
        <w:rPr>
          <w:rFonts w:ascii="Times New Roman" w:hAnsi="Times New Roman" w:cs="Times New Roman"/>
        </w:rPr>
        <w:tab/>
      </w:r>
      <w:r w:rsidRPr="00B06FB8">
        <w:rPr>
          <w:rFonts w:ascii="Times New Roman" w:hAnsi="Times New Roman" w:cs="Times New Roman"/>
        </w:rPr>
        <w:t xml:space="preserve">De acuerdo con la </w:t>
      </w:r>
      <w:proofErr w:type="spellStart"/>
      <w:r w:rsidRPr="00B06FB8">
        <w:rPr>
          <w:rFonts w:ascii="Times New Roman" w:hAnsi="Times New Roman" w:cs="Times New Roman"/>
        </w:rPr>
        <w:t>UNIPA</w:t>
      </w:r>
      <w:proofErr w:type="spellEnd"/>
      <w:r w:rsidR="00210F4F" w:rsidRPr="00B06FB8">
        <w:rPr>
          <w:rFonts w:ascii="Times New Roman" w:hAnsi="Times New Roman" w:cs="Times New Roman"/>
        </w:rPr>
        <w:t>,</w:t>
      </w:r>
      <w:r w:rsidRPr="00B06FB8">
        <w:rPr>
          <w:rFonts w:ascii="Times New Roman" w:hAnsi="Times New Roman" w:cs="Times New Roman"/>
        </w:rPr>
        <w:t xml:space="preserve"> de marzo de 2020 a agosto de 2021</w:t>
      </w:r>
      <w:r w:rsidR="00210F4F" w:rsidRPr="00B06FB8">
        <w:rPr>
          <w:rFonts w:ascii="Times New Roman" w:hAnsi="Times New Roman" w:cs="Times New Roman"/>
        </w:rPr>
        <w:t>,</w:t>
      </w:r>
      <w:r w:rsidRPr="00B06FB8">
        <w:rPr>
          <w:rFonts w:ascii="Times New Roman" w:hAnsi="Times New Roman" w:cs="Times New Roman"/>
        </w:rPr>
        <w:t xml:space="preserve"> el pueblo Awá tuvo un total de 109 hechos </w:t>
      </w:r>
      <w:proofErr w:type="spellStart"/>
      <w:r w:rsidRPr="00B06FB8">
        <w:rPr>
          <w:rFonts w:ascii="Times New Roman" w:hAnsi="Times New Roman" w:cs="Times New Roman"/>
        </w:rPr>
        <w:t>victimizantes</w:t>
      </w:r>
      <w:proofErr w:type="spellEnd"/>
      <w:r w:rsidRPr="00B06FB8">
        <w:rPr>
          <w:rFonts w:ascii="Times New Roman" w:hAnsi="Times New Roman" w:cs="Times New Roman"/>
        </w:rPr>
        <w:t>: 29 amenazas, 2 extorsiones, 8 desplazamientos forzados, 6 desapariciones,</w:t>
      </w:r>
      <w:r w:rsidR="007A0AAF" w:rsidRPr="00B06FB8">
        <w:rPr>
          <w:rFonts w:ascii="Times New Roman" w:hAnsi="Times New Roman" w:cs="Times New Roman"/>
        </w:rPr>
        <w:t xml:space="preserve"> </w:t>
      </w:r>
      <w:r w:rsidRPr="00B06FB8">
        <w:rPr>
          <w:rFonts w:ascii="Times New Roman" w:hAnsi="Times New Roman" w:cs="Times New Roman"/>
        </w:rPr>
        <w:t xml:space="preserve">8 situaciones de afectación en fuego cruzado, 44 homicidios, 6 hostigamientos, 4 confinamientos, 4 afectaciones por </w:t>
      </w:r>
      <w:proofErr w:type="spellStart"/>
      <w:r w:rsidRPr="00B06FB8">
        <w:rPr>
          <w:rFonts w:ascii="Times New Roman" w:hAnsi="Times New Roman" w:cs="Times New Roman"/>
        </w:rPr>
        <w:t>MAP</w:t>
      </w:r>
      <w:proofErr w:type="spellEnd"/>
      <w:r w:rsidRPr="00B06FB8">
        <w:rPr>
          <w:rFonts w:ascii="Times New Roman" w:hAnsi="Times New Roman" w:cs="Times New Roman"/>
        </w:rPr>
        <w:t>/MUSE.</w:t>
      </w:r>
    </w:p>
  </w:footnote>
  <w:footnote w:id="76">
    <w:p w14:paraId="57235707" w14:textId="297B1AD2" w:rsidR="009F67C1" w:rsidRPr="00B06FB8" w:rsidRDefault="009F67C1" w:rsidP="00B06FB8">
      <w:pPr>
        <w:pStyle w:val="FootnoteText"/>
        <w:tabs>
          <w:tab w:val="left" w:pos="720"/>
        </w:tabs>
        <w:ind w:left="720" w:hanging="360"/>
        <w:jc w:val="both"/>
        <w:rPr>
          <w:rFonts w:ascii="Times New Roman" w:hAnsi="Times New Roman" w:cs="Times New Roman"/>
        </w:rPr>
      </w:pPr>
      <w:r w:rsidRPr="00B06FB8">
        <w:rPr>
          <w:rFonts w:ascii="Times New Roman" w:hAnsi="Times New Roman" w:cs="Times New Roman"/>
          <w:color w:val="000000"/>
        </w:rPr>
        <w:footnoteRef/>
      </w:r>
      <w:r w:rsidR="00057F1A">
        <w:rPr>
          <w:rFonts w:ascii="Times New Roman" w:hAnsi="Times New Roman" w:cs="Times New Roman"/>
          <w:color w:val="000000"/>
        </w:rPr>
        <w:t>.</w:t>
      </w:r>
      <w:r w:rsidR="00057F1A">
        <w:rPr>
          <w:rFonts w:ascii="Times New Roman" w:hAnsi="Times New Roman" w:cs="Times New Roman"/>
          <w:color w:val="000000"/>
        </w:rPr>
        <w:tab/>
      </w:r>
      <w:r w:rsidRPr="00B06FB8">
        <w:rPr>
          <w:rFonts w:ascii="Times New Roman" w:hAnsi="Times New Roman" w:cs="Times New Roman"/>
          <w:color w:val="000000"/>
        </w:rPr>
        <w:t xml:space="preserve">Se presentó un aumento en renuncias a cargos directivos y una disminución en el desarrollo de actividades; así mismo, los integrantes de la Acción Comunal refieren el aumento en las amenazas contra su integridad física y alertan sobre una sensación generalizada de resignación, frustración y fatiga. </w:t>
      </w:r>
    </w:p>
  </w:footnote>
  <w:footnote w:id="77">
    <w:p w14:paraId="2425E29A" w14:textId="7942075C" w:rsidR="009F67C1" w:rsidRPr="00B06FB8" w:rsidRDefault="009F67C1" w:rsidP="00B06FB8">
      <w:pPr>
        <w:pStyle w:val="FootnoteText"/>
        <w:tabs>
          <w:tab w:val="left" w:pos="720"/>
        </w:tabs>
        <w:ind w:left="720" w:hanging="360"/>
        <w:jc w:val="both"/>
        <w:rPr>
          <w:rFonts w:ascii="Times New Roman" w:hAnsi="Times New Roman" w:cs="Times New Roman"/>
          <w:color w:val="000000"/>
        </w:rPr>
      </w:pPr>
      <w:r w:rsidRPr="00B06FB8">
        <w:rPr>
          <w:rStyle w:val="FootnoteReference"/>
          <w:rFonts w:ascii="Times New Roman" w:hAnsi="Times New Roman" w:cs="Times New Roman"/>
          <w:vertAlign w:val="baseline"/>
        </w:rPr>
        <w:footnoteRef/>
      </w:r>
      <w:r w:rsidR="00057F1A">
        <w:rPr>
          <w:rFonts w:ascii="Times New Roman" w:hAnsi="Times New Roman" w:cs="Times New Roman"/>
        </w:rPr>
        <w:t>.</w:t>
      </w:r>
      <w:r w:rsidR="00057F1A">
        <w:rPr>
          <w:rFonts w:ascii="Times New Roman" w:hAnsi="Times New Roman" w:cs="Times New Roman"/>
        </w:rPr>
        <w:tab/>
      </w:r>
      <w:r w:rsidRPr="00B06FB8">
        <w:rPr>
          <w:rFonts w:ascii="Times New Roman" w:hAnsi="Times New Roman" w:cs="Times New Roman"/>
          <w:color w:val="000000"/>
        </w:rPr>
        <w:t>Para abril, a los escenarios de movilización social ya existentes se sumó la expresión de rechazo ante la expedición del Decreto 380 del 2021, el cual busca regular el control de los riesgos para la salud y el medio ambiente en el marco de la erradicación de cultivos ilícitos mediante el método de aspersión aérea con glifosato, así como por el proyecto de Ley de Solidaridad Sostenible presentado al Congreso de la República por el Gobierno nacional.</w:t>
      </w:r>
    </w:p>
  </w:footnote>
  <w:footnote w:id="78">
    <w:p w14:paraId="450B0FB1" w14:textId="77777777" w:rsidR="00057F1A" w:rsidRDefault="0079794E" w:rsidP="00B06FB8">
      <w:pPr>
        <w:pStyle w:val="FootnoteText"/>
        <w:tabs>
          <w:tab w:val="left" w:pos="720"/>
        </w:tabs>
        <w:ind w:left="720" w:hanging="360"/>
        <w:jc w:val="both"/>
        <w:rPr>
          <w:rFonts w:ascii="Times New Roman" w:hAnsi="Times New Roman" w:cs="Times New Roman"/>
          <w:color w:val="000000"/>
        </w:rPr>
      </w:pPr>
      <w:r w:rsidRPr="00B06FB8">
        <w:rPr>
          <w:rStyle w:val="FootnoteReference"/>
          <w:rFonts w:ascii="Times New Roman" w:hAnsi="Times New Roman" w:cs="Times New Roman"/>
          <w:vertAlign w:val="baseline"/>
        </w:rPr>
        <w:footnoteRef/>
      </w:r>
      <w:r w:rsidR="00057F1A">
        <w:rPr>
          <w:rFonts w:ascii="Times New Roman" w:hAnsi="Times New Roman" w:cs="Times New Roman"/>
          <w:color w:val="000000"/>
        </w:rPr>
        <w:t>.</w:t>
      </w:r>
      <w:r w:rsidR="00057F1A">
        <w:rPr>
          <w:rFonts w:ascii="Times New Roman" w:hAnsi="Times New Roman" w:cs="Times New Roman"/>
          <w:color w:val="000000"/>
        </w:rPr>
        <w:tab/>
      </w:r>
      <w:r w:rsidRPr="00B06FB8">
        <w:rPr>
          <w:rFonts w:ascii="Times New Roman" w:hAnsi="Times New Roman" w:cs="Times New Roman"/>
          <w:color w:val="000000"/>
        </w:rPr>
        <w:t xml:space="preserve">Disponible en: </w:t>
      </w:r>
    </w:p>
    <w:p w14:paraId="05A88061" w14:textId="6BE438AD" w:rsidR="0079794E" w:rsidRPr="00B06FB8" w:rsidRDefault="00057F1A" w:rsidP="00B06FB8">
      <w:pPr>
        <w:pStyle w:val="FootnoteText"/>
        <w:tabs>
          <w:tab w:val="left" w:pos="720"/>
        </w:tabs>
        <w:ind w:left="720" w:hanging="360"/>
        <w:jc w:val="both"/>
        <w:rPr>
          <w:rFonts w:ascii="Times New Roman" w:hAnsi="Times New Roman" w:cs="Times New Roman"/>
          <w:color w:val="000000"/>
        </w:rPr>
      </w:pPr>
      <w:r>
        <w:rPr>
          <w:rFonts w:ascii="Times New Roman" w:hAnsi="Times New Roman" w:cs="Times New Roman"/>
          <w:color w:val="000000"/>
        </w:rPr>
        <w:tab/>
      </w:r>
      <w:hyperlink r:id="rId6" w:history="1">
        <w:r w:rsidRPr="00501CB5">
          <w:rPr>
            <w:rStyle w:val="Hyperlink"/>
            <w:rFonts w:ascii="Times New Roman" w:hAnsi="Times New Roman" w:cs="Times New Roman"/>
          </w:rPr>
          <w:t>https://www.oas.org/es/cidh/informes/pdfs/ObservacionesVisita_CIDH_Colombia_SPA.pdf</w:t>
        </w:r>
      </w:hyperlink>
      <w:r>
        <w:rPr>
          <w:rFonts w:ascii="Times New Roman" w:hAnsi="Times New Roman" w:cs="Times New Roman"/>
          <w:color w:val="000000"/>
        </w:rPr>
        <w:t xml:space="preserve"> </w:t>
      </w:r>
    </w:p>
  </w:footnote>
  <w:footnote w:id="79">
    <w:p w14:paraId="0C0A7AD9" w14:textId="095C3540" w:rsidR="00E65750" w:rsidRPr="00B06FB8" w:rsidRDefault="00E65750" w:rsidP="00B06FB8">
      <w:pPr>
        <w:pStyle w:val="FootnoteText"/>
        <w:tabs>
          <w:tab w:val="left" w:pos="720"/>
        </w:tabs>
        <w:ind w:left="720" w:hanging="360"/>
        <w:jc w:val="both"/>
        <w:rPr>
          <w:rFonts w:ascii="Times New Roman" w:hAnsi="Times New Roman" w:cs="Times New Roman"/>
        </w:rPr>
      </w:pPr>
      <w:r w:rsidRPr="00B06FB8">
        <w:rPr>
          <w:rStyle w:val="FootnoteReference"/>
          <w:rFonts w:ascii="Times New Roman" w:hAnsi="Times New Roman" w:cs="Times New Roman"/>
          <w:vertAlign w:val="baseline"/>
        </w:rPr>
        <w:footnoteRef/>
      </w:r>
      <w:r w:rsidR="00057F1A">
        <w:rPr>
          <w:rStyle w:val="FootnoteReference"/>
          <w:rFonts w:ascii="Times New Roman" w:hAnsi="Times New Roman" w:cs="Times New Roman"/>
          <w:vertAlign w:val="baseline"/>
        </w:rPr>
        <w:t>.</w:t>
      </w:r>
      <w:r w:rsidR="00057F1A">
        <w:rPr>
          <w:rStyle w:val="FootnoteReference"/>
          <w:rFonts w:ascii="Times New Roman" w:hAnsi="Times New Roman" w:cs="Times New Roman"/>
          <w:vertAlign w:val="baseline"/>
        </w:rPr>
        <w:tab/>
      </w:r>
      <w:r w:rsidR="00E4794A" w:rsidRPr="00B06FB8">
        <w:rPr>
          <w:rFonts w:ascii="Times New Roman" w:hAnsi="Times New Roman" w:cs="Times New Roman"/>
          <w:color w:val="000000"/>
        </w:rPr>
        <w:t>De acuerdo con cifras de la Consejería Presidencial de Derechos Humanos y asuntos internacionales al 10 de junio de 2021 falta localizar a 84 personas de los 572 registros iniciales. Respecto a estas 84 personas a octubre de 2021 se mantiene activo el mecanismo de búsqueda urgente. Y existen 4 denuncias formales por presunta desaparición.</w:t>
      </w:r>
      <w:r w:rsidR="00E4794A" w:rsidRPr="00B06FB8">
        <w:rPr>
          <w:rFonts w:ascii="Times New Roman" w:hAnsi="Times New Roman" w:cs="Times New Roman"/>
        </w:rPr>
        <w:t xml:space="preserve"> </w:t>
      </w:r>
    </w:p>
  </w:footnote>
  <w:footnote w:id="80">
    <w:p w14:paraId="38A77189" w14:textId="77777777" w:rsidR="00057F1A" w:rsidRDefault="007B1DCD" w:rsidP="00B06FB8">
      <w:pPr>
        <w:tabs>
          <w:tab w:val="left" w:pos="720"/>
        </w:tabs>
        <w:ind w:left="720" w:hanging="360"/>
        <w:jc w:val="both"/>
        <w:rPr>
          <w:sz w:val="20"/>
          <w:szCs w:val="20"/>
        </w:rPr>
      </w:pPr>
      <w:r w:rsidRPr="00B06FB8">
        <w:rPr>
          <w:rStyle w:val="FootnoteReference"/>
          <w:sz w:val="20"/>
          <w:szCs w:val="20"/>
          <w:vertAlign w:val="baseline"/>
        </w:rPr>
        <w:footnoteRef/>
      </w:r>
      <w:r w:rsidRPr="00B06FB8">
        <w:rPr>
          <w:color w:val="FF0000"/>
          <w:sz w:val="20"/>
          <w:szCs w:val="20"/>
        </w:rPr>
        <w:t xml:space="preserve"> </w:t>
      </w:r>
      <w:r w:rsidRPr="00B06FB8">
        <w:rPr>
          <w:sz w:val="20"/>
          <w:szCs w:val="20"/>
        </w:rPr>
        <w:t xml:space="preserve">Consejería Presidencial para los Derechos Humanos y Asuntos Internacionales, Boletín No. 32: Derechos Humanos en el Marco de Paro Nacional 2021, </w:t>
      </w:r>
      <w:proofErr w:type="spellStart"/>
      <w:r w:rsidRPr="00B06FB8">
        <w:rPr>
          <w:sz w:val="20"/>
          <w:szCs w:val="20"/>
        </w:rPr>
        <w:t>p.1</w:t>
      </w:r>
      <w:proofErr w:type="spellEnd"/>
      <w:r w:rsidRPr="00B06FB8">
        <w:rPr>
          <w:sz w:val="20"/>
          <w:szCs w:val="20"/>
        </w:rPr>
        <w:t xml:space="preserve">. </w:t>
      </w:r>
    </w:p>
    <w:p w14:paraId="146F10C1" w14:textId="66750145" w:rsidR="007B1DCD" w:rsidRPr="00B06FB8" w:rsidRDefault="00057F1A" w:rsidP="00B06FB8">
      <w:pPr>
        <w:tabs>
          <w:tab w:val="left" w:pos="720"/>
        </w:tabs>
        <w:ind w:left="720" w:hanging="360"/>
        <w:jc w:val="both"/>
        <w:rPr>
          <w:sz w:val="20"/>
          <w:szCs w:val="20"/>
          <w:lang w:val="es-ES"/>
        </w:rPr>
      </w:pPr>
      <w:r>
        <w:rPr>
          <w:sz w:val="20"/>
          <w:szCs w:val="20"/>
        </w:rPr>
        <w:tab/>
      </w:r>
      <w:hyperlink r:id="rId7" w:history="1">
        <w:r w:rsidRPr="00501CB5">
          <w:rPr>
            <w:rStyle w:val="Hyperlink"/>
            <w:sz w:val="20"/>
            <w:szCs w:val="20"/>
          </w:rPr>
          <w:t>http://www.derechoshumanos.gov.co/Prensa/2021/Documents/250621-ESP-Infografia-DDHH-Paro-Nacional-2021.pdf</w:t>
        </w:r>
      </w:hyperlink>
      <w:r w:rsidR="007B1DCD" w:rsidRPr="00B06FB8">
        <w:rPr>
          <w:sz w:val="20"/>
          <w:szCs w:val="20"/>
        </w:rPr>
        <w:t xml:space="preserve"> </w:t>
      </w:r>
    </w:p>
  </w:footnote>
  <w:footnote w:id="81">
    <w:p w14:paraId="54067B15" w14:textId="3CB04AA8" w:rsidR="00451F47" w:rsidRPr="00B06FB8" w:rsidRDefault="00451F47" w:rsidP="00B06FB8">
      <w:pPr>
        <w:pStyle w:val="FootnoteText"/>
        <w:tabs>
          <w:tab w:val="left" w:pos="720"/>
        </w:tabs>
        <w:ind w:left="720" w:hanging="360"/>
        <w:jc w:val="both"/>
        <w:rPr>
          <w:rFonts w:ascii="Times New Roman" w:hAnsi="Times New Roman" w:cs="Times New Roman"/>
        </w:rPr>
      </w:pPr>
      <w:r w:rsidRPr="00B06FB8">
        <w:rPr>
          <w:rFonts w:ascii="Times New Roman" w:hAnsi="Times New Roman" w:cs="Times New Roman"/>
        </w:rPr>
        <w:footnoteRef/>
      </w:r>
      <w:r w:rsidR="00057F1A">
        <w:rPr>
          <w:rFonts w:ascii="Times New Roman" w:hAnsi="Times New Roman" w:cs="Times New Roman"/>
        </w:rPr>
        <w:t>.</w:t>
      </w:r>
      <w:r w:rsidR="00057F1A">
        <w:rPr>
          <w:rFonts w:ascii="Times New Roman" w:hAnsi="Times New Roman" w:cs="Times New Roman"/>
        </w:rPr>
        <w:tab/>
      </w:r>
      <w:r w:rsidRPr="00B06FB8">
        <w:rPr>
          <w:rFonts w:ascii="Times New Roman" w:hAnsi="Times New Roman" w:cs="Times New Roman"/>
        </w:rPr>
        <w:t xml:space="preserve">INDEPAZ y TEMBLORES ONG, Registros del observatorio de conflictividades y </w:t>
      </w:r>
      <w:proofErr w:type="spellStart"/>
      <w:r w:rsidRPr="00B06FB8">
        <w:rPr>
          <w:rFonts w:ascii="Times New Roman" w:hAnsi="Times New Roman" w:cs="Times New Roman"/>
        </w:rPr>
        <w:t>DDHH</w:t>
      </w:r>
      <w:proofErr w:type="spellEnd"/>
      <w:r w:rsidRPr="00B06FB8">
        <w:rPr>
          <w:rFonts w:ascii="Times New Roman" w:hAnsi="Times New Roman" w:cs="Times New Roman"/>
        </w:rPr>
        <w:t xml:space="preserve"> de INDEPAZ y TEMBLORES ONG. </w:t>
      </w:r>
      <w:hyperlink r:id="rId8" w:history="1">
        <w:r w:rsidR="00057F1A" w:rsidRPr="00501CB5">
          <w:rPr>
            <w:rStyle w:val="Hyperlink"/>
            <w:rFonts w:ascii="Times New Roman" w:hAnsi="Times New Roman" w:cs="Times New Roman"/>
          </w:rPr>
          <w:t>http://www.indepaz.org.co/wp-content/uploads/2021/06/3.-INFORME-VIOLENCIAS-EN-EL-MARCO-DEL-PARO-NACIONAL-2021.pdf</w:t>
        </w:r>
      </w:hyperlink>
      <w:r w:rsidR="00B3338F">
        <w:rPr>
          <w:rStyle w:val="Hyperlink"/>
          <w:rFonts w:ascii="Times New Roman" w:hAnsi="Times New Roman" w:cs="Times New Roman"/>
          <w:color w:val="auto"/>
        </w:rPr>
        <w:t xml:space="preserve"> </w:t>
      </w:r>
    </w:p>
  </w:footnote>
  <w:footnote w:id="82">
    <w:p w14:paraId="2418C06A" w14:textId="47C1FD8A" w:rsidR="007B1DCD" w:rsidRPr="00057F1A" w:rsidRDefault="007B1DCD" w:rsidP="00B06FB8">
      <w:pPr>
        <w:pStyle w:val="FootnoteText"/>
        <w:tabs>
          <w:tab w:val="left" w:pos="720"/>
        </w:tabs>
        <w:ind w:left="720" w:hanging="360"/>
        <w:jc w:val="both"/>
        <w:rPr>
          <w:rFonts w:ascii="Times New Roman" w:hAnsi="Times New Roman" w:cs="Times New Roman"/>
          <w:color w:val="FF0000"/>
        </w:rPr>
      </w:pPr>
      <w:r w:rsidRPr="00B06FB8">
        <w:rPr>
          <w:rFonts w:ascii="Times New Roman" w:hAnsi="Times New Roman" w:cs="Times New Roman"/>
        </w:rPr>
        <w:footnoteRef/>
      </w:r>
      <w:r w:rsidR="00057F1A">
        <w:rPr>
          <w:rFonts w:ascii="Times New Roman" w:hAnsi="Times New Roman" w:cs="Times New Roman"/>
        </w:rPr>
        <w:t>.</w:t>
      </w:r>
      <w:r w:rsidR="00057F1A">
        <w:rPr>
          <w:rFonts w:ascii="Times New Roman" w:hAnsi="Times New Roman" w:cs="Times New Roman"/>
        </w:rPr>
        <w:tab/>
      </w:r>
      <w:r w:rsidRPr="00B06FB8">
        <w:rPr>
          <w:rFonts w:ascii="Times New Roman" w:hAnsi="Times New Roman" w:cs="Times New Roman"/>
        </w:rPr>
        <w:t xml:space="preserve">Organización Nacional Indígena de Colombia </w:t>
      </w:r>
      <w:proofErr w:type="spellStart"/>
      <w:r w:rsidRPr="00B06FB8">
        <w:rPr>
          <w:rFonts w:ascii="Times New Roman" w:hAnsi="Times New Roman" w:cs="Times New Roman"/>
        </w:rPr>
        <w:t>ONIC</w:t>
      </w:r>
      <w:proofErr w:type="spellEnd"/>
      <w:r w:rsidRPr="00B06FB8">
        <w:rPr>
          <w:rFonts w:ascii="Times New Roman" w:hAnsi="Times New Roman" w:cs="Times New Roman"/>
        </w:rPr>
        <w:t xml:space="preserve">. Informe Ejecutivo sobre el contexto y las afectaciones a los derechos de los Pueblos Indígenas dentro del Paro y Minga Nacional en Colombia. </w:t>
      </w:r>
      <w:proofErr w:type="spellStart"/>
      <w:r w:rsidRPr="00B06FB8">
        <w:rPr>
          <w:rFonts w:ascii="Times New Roman" w:hAnsi="Times New Roman" w:cs="Times New Roman"/>
          <w:lang w:val="en-US"/>
        </w:rPr>
        <w:t>P12</w:t>
      </w:r>
      <w:proofErr w:type="spellEnd"/>
      <w:r w:rsidRPr="00B06FB8">
        <w:rPr>
          <w:rFonts w:ascii="Times New Roman" w:hAnsi="Times New Roman" w:cs="Times New Roman"/>
          <w:lang w:val="en-US"/>
        </w:rPr>
        <w:t xml:space="preserve">. </w:t>
      </w:r>
      <w:hyperlink r:id="rId9" w:history="1">
        <w:r w:rsidR="00057F1A" w:rsidRPr="00501CB5">
          <w:rPr>
            <w:rStyle w:val="Hyperlink"/>
            <w:rFonts w:ascii="Times New Roman" w:hAnsi="Times New Roman" w:cs="Times New Roman"/>
          </w:rPr>
          <w:t>https://www.onic.org.co/comunicados-onic/4304-informe-ejecutivo-sobre-el-contexto-y-las-afectaciones-a-los-derechos-de-los-pueblos-indigenas-dentro-del-paro-y-minga-nacional-en-colombia</w:t>
        </w:r>
      </w:hyperlink>
      <w:r w:rsidR="00B3338F">
        <w:rPr>
          <w:rFonts w:ascii="Times New Roman" w:hAnsi="Times New Roman" w:cs="Times New Roman"/>
        </w:rPr>
        <w:t xml:space="preserve"> </w:t>
      </w:r>
    </w:p>
  </w:footnote>
  <w:footnote w:id="83">
    <w:p w14:paraId="7132CD52" w14:textId="7FA7F538" w:rsidR="001D3AF6" w:rsidRPr="00B06FB8" w:rsidRDefault="001D3AF6" w:rsidP="00B06FB8">
      <w:pPr>
        <w:pStyle w:val="FootnoteText"/>
        <w:tabs>
          <w:tab w:val="left" w:pos="720"/>
        </w:tabs>
        <w:ind w:left="720" w:hanging="360"/>
        <w:jc w:val="both"/>
        <w:rPr>
          <w:rFonts w:ascii="Times New Roman" w:hAnsi="Times New Roman" w:cs="Times New Roman"/>
        </w:rPr>
      </w:pPr>
      <w:r w:rsidRPr="00B06FB8">
        <w:rPr>
          <w:rStyle w:val="FootnoteReference"/>
          <w:rFonts w:ascii="Times New Roman" w:hAnsi="Times New Roman" w:cs="Times New Roman"/>
          <w:vertAlign w:val="baseline"/>
        </w:rPr>
        <w:footnoteRef/>
      </w:r>
      <w:r w:rsidR="00057F1A">
        <w:rPr>
          <w:rStyle w:val="FootnoteReference"/>
          <w:rFonts w:ascii="Times New Roman" w:hAnsi="Times New Roman" w:cs="Times New Roman"/>
          <w:vertAlign w:val="baseline"/>
        </w:rPr>
        <w:t>.</w:t>
      </w:r>
      <w:r w:rsidR="00057F1A">
        <w:rPr>
          <w:rStyle w:val="FootnoteReference"/>
          <w:rFonts w:ascii="Times New Roman" w:hAnsi="Times New Roman" w:cs="Times New Roman"/>
          <w:vertAlign w:val="baseline"/>
        </w:rPr>
        <w:tab/>
      </w:r>
      <w:r w:rsidR="00BF5675" w:rsidRPr="00B06FB8">
        <w:rPr>
          <w:rFonts w:ascii="Times New Roman" w:hAnsi="Times New Roman" w:cs="Times New Roman"/>
        </w:rPr>
        <w:t xml:space="preserve">Conforme </w:t>
      </w:r>
      <w:r w:rsidRPr="00B06FB8">
        <w:rPr>
          <w:rFonts w:ascii="Times New Roman" w:hAnsi="Times New Roman" w:cs="Times New Roman"/>
          <w:color w:val="000000"/>
        </w:rPr>
        <w:t xml:space="preserve">lo </w:t>
      </w:r>
      <w:r w:rsidR="00BF5675" w:rsidRPr="00B06FB8">
        <w:rPr>
          <w:rFonts w:ascii="Times New Roman" w:hAnsi="Times New Roman" w:cs="Times New Roman"/>
          <w:color w:val="000000"/>
        </w:rPr>
        <w:t xml:space="preserve">dispuesto </w:t>
      </w:r>
      <w:r w:rsidRPr="00B06FB8">
        <w:rPr>
          <w:rFonts w:ascii="Times New Roman" w:hAnsi="Times New Roman" w:cs="Times New Roman"/>
          <w:color w:val="000000"/>
        </w:rPr>
        <w:t xml:space="preserve">en el Código Nacional de Seguridad y Convivencia Ciudadana. </w:t>
      </w:r>
    </w:p>
  </w:footnote>
  <w:footnote w:id="84">
    <w:p w14:paraId="44FBC8D6" w14:textId="6B2E94A1" w:rsidR="001D3AF6" w:rsidRPr="00B06FB8" w:rsidRDefault="001D3AF6" w:rsidP="00B06FB8">
      <w:pPr>
        <w:pStyle w:val="FootnoteText"/>
        <w:tabs>
          <w:tab w:val="left" w:pos="720"/>
        </w:tabs>
        <w:ind w:left="720" w:hanging="360"/>
        <w:jc w:val="both"/>
        <w:rPr>
          <w:rFonts w:ascii="Times New Roman" w:hAnsi="Times New Roman" w:cs="Times New Roman"/>
          <w:lang w:val="es-ES"/>
        </w:rPr>
      </w:pPr>
      <w:r w:rsidRPr="00B06FB8">
        <w:rPr>
          <w:rStyle w:val="FootnoteReference"/>
          <w:rFonts w:ascii="Times New Roman" w:hAnsi="Times New Roman" w:cs="Times New Roman"/>
          <w:vertAlign w:val="baseline"/>
        </w:rPr>
        <w:footnoteRef/>
      </w:r>
      <w:r w:rsidR="00057F1A">
        <w:rPr>
          <w:rFonts w:ascii="Times New Roman" w:hAnsi="Times New Roman" w:cs="Times New Roman"/>
        </w:rPr>
        <w:t>.</w:t>
      </w:r>
      <w:r w:rsidR="00057F1A">
        <w:rPr>
          <w:rFonts w:ascii="Times New Roman" w:hAnsi="Times New Roman" w:cs="Times New Roman"/>
        </w:rPr>
        <w:tab/>
      </w:r>
      <w:r w:rsidRPr="00B06FB8">
        <w:rPr>
          <w:rFonts w:ascii="Times New Roman" w:hAnsi="Times New Roman" w:cs="Times New Roman"/>
          <w:color w:val="000000"/>
        </w:rPr>
        <w:t xml:space="preserve">Ministerio del Interior de Colombia, Decreto 575, 28 de mayo de 2021, mediante el cual se ordenó a varios gobernadores y alcaldes coordinar la asistencia militar para “afrontar y superar los hechos que dan lugar a la grave alteración de la seguridad y la convivencia en las vías de sus jurisdicciones”. </w:t>
      </w:r>
      <w:r w:rsidRPr="00B06FB8">
        <w:rPr>
          <w:rFonts w:ascii="Times New Roman" w:hAnsi="Times New Roman" w:cs="Times New Roman"/>
          <w:color w:val="000000"/>
          <w:lang w:val="es-MX"/>
        </w:rPr>
        <w:t>No obstante, el decreto fue suspendido transitoriamente por el Consejo de Estado hasta que se establezca que no representa un posible riesgo al ejercicio de la protesta social.</w:t>
      </w:r>
    </w:p>
  </w:footnote>
  <w:footnote w:id="85">
    <w:p w14:paraId="05445CC9" w14:textId="77777777" w:rsidR="00057F1A" w:rsidRDefault="003D41B6" w:rsidP="00B06FB8">
      <w:pPr>
        <w:pStyle w:val="FootnoteText"/>
        <w:tabs>
          <w:tab w:val="left" w:pos="720"/>
        </w:tabs>
        <w:ind w:left="720" w:hanging="360"/>
        <w:jc w:val="both"/>
        <w:rPr>
          <w:rFonts w:ascii="Times New Roman" w:hAnsi="Times New Roman" w:cs="Times New Roman"/>
        </w:rPr>
      </w:pPr>
      <w:r w:rsidRPr="00B06FB8">
        <w:rPr>
          <w:rStyle w:val="FootnoteReference"/>
          <w:rFonts w:ascii="Times New Roman" w:hAnsi="Times New Roman" w:cs="Times New Roman"/>
          <w:vertAlign w:val="baseline"/>
        </w:rPr>
        <w:footnoteRef/>
      </w:r>
      <w:r w:rsidR="00057F1A">
        <w:rPr>
          <w:rStyle w:val="FootnoteReference"/>
          <w:rFonts w:ascii="Times New Roman" w:hAnsi="Times New Roman" w:cs="Times New Roman"/>
          <w:vertAlign w:val="baseline"/>
        </w:rPr>
        <w:t>.</w:t>
      </w:r>
      <w:r w:rsidR="00057F1A">
        <w:rPr>
          <w:rStyle w:val="FootnoteReference"/>
          <w:rFonts w:ascii="Times New Roman" w:hAnsi="Times New Roman" w:cs="Times New Roman"/>
          <w:vertAlign w:val="baseline"/>
        </w:rPr>
        <w:tab/>
      </w:r>
      <w:r w:rsidRPr="00B06FB8">
        <w:rPr>
          <w:rFonts w:ascii="Times New Roman" w:hAnsi="Times New Roman" w:cs="Times New Roman"/>
        </w:rPr>
        <w:t>Al final de la visita, la CIDH destacó haber recibido un total de 2.908 solicitudes para brindar testimonio, de las cuales se logró recabar, priorizando criterios de representatividad y diversidad, al menos 302 testimonios de forma individual y colectiva, lo que implicó escuchar a más de 500 personas.</w:t>
      </w:r>
      <w:r w:rsidR="00367755" w:rsidRPr="00B06FB8">
        <w:rPr>
          <w:rFonts w:ascii="Times New Roman" w:hAnsi="Times New Roman" w:cs="Times New Roman"/>
        </w:rPr>
        <w:t xml:space="preserve"> Disponible en: </w:t>
      </w:r>
    </w:p>
    <w:p w14:paraId="3DA51332" w14:textId="333B018B" w:rsidR="003D41B6" w:rsidRPr="00B06FB8" w:rsidRDefault="00057F1A" w:rsidP="00B06FB8">
      <w:pPr>
        <w:pStyle w:val="FootnoteText"/>
        <w:tabs>
          <w:tab w:val="left" w:pos="720"/>
        </w:tabs>
        <w:ind w:left="720" w:hanging="360"/>
        <w:jc w:val="both"/>
        <w:rPr>
          <w:rFonts w:ascii="Times New Roman" w:hAnsi="Times New Roman" w:cs="Times New Roman"/>
        </w:rPr>
      </w:pPr>
      <w:r>
        <w:rPr>
          <w:rFonts w:ascii="Times New Roman" w:hAnsi="Times New Roman" w:cs="Times New Roman"/>
        </w:rPr>
        <w:tab/>
      </w:r>
      <w:hyperlink r:id="rId10" w:history="1">
        <w:r w:rsidRPr="00501CB5">
          <w:rPr>
            <w:rStyle w:val="Hyperlink"/>
            <w:rFonts w:ascii="Times New Roman" w:hAnsi="Times New Roman" w:cs="Times New Roman"/>
          </w:rPr>
          <w:t>https://www.oas.org/es/CIDH/jsForm/?File=/es/cidh/prensa/comunicados/2021/167.asp</w:t>
        </w:r>
      </w:hyperlink>
      <w:r w:rsidR="00367755" w:rsidRPr="00B06FB8">
        <w:rPr>
          <w:rFonts w:ascii="Times New Roman" w:hAnsi="Times New Roman" w:cs="Times New Roman"/>
        </w:rPr>
        <w:t xml:space="preserve"> </w:t>
      </w:r>
    </w:p>
  </w:footnote>
  <w:footnote w:id="86">
    <w:p w14:paraId="4350430B" w14:textId="702D81DB" w:rsidR="009F67C1" w:rsidRPr="00B06FB8" w:rsidRDefault="009F67C1" w:rsidP="00B06FB8">
      <w:pPr>
        <w:pStyle w:val="FootnoteText"/>
        <w:tabs>
          <w:tab w:val="left" w:pos="720"/>
        </w:tabs>
        <w:ind w:left="720" w:hanging="360"/>
        <w:jc w:val="both"/>
        <w:rPr>
          <w:rFonts w:ascii="Times New Roman" w:hAnsi="Times New Roman" w:cs="Times New Roman"/>
        </w:rPr>
      </w:pPr>
      <w:r w:rsidRPr="00B06FB8">
        <w:rPr>
          <w:rStyle w:val="FootnoteReference"/>
          <w:rFonts w:ascii="Times New Roman" w:hAnsi="Times New Roman" w:cs="Times New Roman"/>
          <w:vertAlign w:val="baseline"/>
        </w:rPr>
        <w:footnoteRef/>
      </w:r>
      <w:r w:rsidR="00057F1A">
        <w:rPr>
          <w:rFonts w:ascii="Times New Roman" w:hAnsi="Times New Roman" w:cs="Times New Roman"/>
        </w:rPr>
        <w:t>.</w:t>
      </w:r>
      <w:r w:rsidR="00057F1A">
        <w:rPr>
          <w:rFonts w:ascii="Times New Roman" w:hAnsi="Times New Roman" w:cs="Times New Roman"/>
        </w:rPr>
        <w:tab/>
      </w:r>
      <w:r w:rsidRPr="00B06FB8">
        <w:rPr>
          <w:rFonts w:ascii="Times New Roman" w:hAnsi="Times New Roman" w:cs="Times New Roman"/>
        </w:rPr>
        <w:t>En los departamentos de Arauca, Cauca, Valle del Cauca y Nariño.</w:t>
      </w:r>
      <w:r w:rsidR="0078159F" w:rsidRPr="00B06FB8">
        <w:rPr>
          <w:rFonts w:ascii="Times New Roman" w:hAnsi="Times New Roman" w:cs="Times New Roman"/>
        </w:rPr>
        <w:t xml:space="preserve"> </w:t>
      </w:r>
    </w:p>
  </w:footnote>
  <w:footnote w:id="87">
    <w:p w14:paraId="49A582BF" w14:textId="791EA8E5" w:rsidR="009F67C1" w:rsidRPr="00B06FB8" w:rsidRDefault="009F67C1" w:rsidP="00B06FB8">
      <w:pPr>
        <w:pStyle w:val="FootnoteText"/>
        <w:tabs>
          <w:tab w:val="left" w:pos="720"/>
        </w:tabs>
        <w:ind w:left="720" w:hanging="360"/>
        <w:jc w:val="both"/>
        <w:rPr>
          <w:rFonts w:ascii="Times New Roman" w:hAnsi="Times New Roman" w:cs="Times New Roman"/>
          <w:lang w:val="es-ES"/>
        </w:rPr>
      </w:pPr>
      <w:r w:rsidRPr="00B06FB8">
        <w:rPr>
          <w:rFonts w:ascii="Times New Roman" w:hAnsi="Times New Roman" w:cs="Times New Roman"/>
          <w:color w:val="000000"/>
        </w:rPr>
        <w:footnoteRef/>
      </w:r>
      <w:r w:rsidR="00057F1A">
        <w:rPr>
          <w:rFonts w:ascii="Times New Roman" w:hAnsi="Times New Roman" w:cs="Times New Roman"/>
          <w:color w:val="000000"/>
        </w:rPr>
        <w:t>.</w:t>
      </w:r>
      <w:r w:rsidR="00057F1A">
        <w:rPr>
          <w:rFonts w:ascii="Times New Roman" w:hAnsi="Times New Roman" w:cs="Times New Roman"/>
          <w:color w:val="000000"/>
        </w:rPr>
        <w:tab/>
      </w:r>
      <w:r w:rsidR="00A7754A" w:rsidRPr="00B06FB8">
        <w:rPr>
          <w:rFonts w:ascii="Times New Roman" w:hAnsi="Times New Roman" w:cs="Times New Roman"/>
          <w:color w:val="000000"/>
        </w:rPr>
        <w:t xml:space="preserve">Según lo informado por el Instituto Colombiano de Bienestar Familiar (ICBF) a la </w:t>
      </w:r>
      <w:proofErr w:type="spellStart"/>
      <w:r w:rsidR="00A7754A" w:rsidRPr="00B06FB8">
        <w:rPr>
          <w:rFonts w:ascii="Times New Roman" w:hAnsi="Times New Roman" w:cs="Times New Roman"/>
          <w:color w:val="000000"/>
        </w:rPr>
        <w:t>MAPP</w:t>
      </w:r>
      <w:proofErr w:type="spellEnd"/>
      <w:r w:rsidR="00A7754A" w:rsidRPr="00B06FB8">
        <w:rPr>
          <w:rFonts w:ascii="Times New Roman" w:hAnsi="Times New Roman" w:cs="Times New Roman"/>
          <w:color w:val="000000"/>
        </w:rPr>
        <w:t>/OEA</w:t>
      </w:r>
      <w:r w:rsidR="00865922" w:rsidRPr="00B06FB8">
        <w:rPr>
          <w:rFonts w:ascii="Times New Roman" w:hAnsi="Times New Roman" w:cs="Times New Roman"/>
          <w:color w:val="000000"/>
        </w:rPr>
        <w:t xml:space="preserve"> c</w:t>
      </w:r>
      <w:r w:rsidR="00A7754A" w:rsidRPr="00B06FB8">
        <w:rPr>
          <w:rFonts w:ascii="Times New Roman" w:hAnsi="Times New Roman" w:cs="Times New Roman"/>
          <w:color w:val="000000"/>
        </w:rPr>
        <w:t xml:space="preserve">on corte al 13 de agosto de 2021. </w:t>
      </w:r>
    </w:p>
  </w:footnote>
  <w:footnote w:id="88">
    <w:p w14:paraId="156F054F" w14:textId="503EB754" w:rsidR="009F67C1" w:rsidRPr="00B06FB8" w:rsidRDefault="009F67C1" w:rsidP="00B06FB8">
      <w:pPr>
        <w:tabs>
          <w:tab w:val="left" w:pos="720"/>
        </w:tabs>
        <w:ind w:left="720" w:hanging="360"/>
        <w:jc w:val="both"/>
        <w:rPr>
          <w:sz w:val="20"/>
          <w:szCs w:val="20"/>
          <w:lang w:eastAsia="es-ES_tradnl"/>
        </w:rPr>
      </w:pPr>
      <w:r w:rsidRPr="00B06FB8">
        <w:rPr>
          <w:rStyle w:val="FootnoteReference"/>
          <w:sz w:val="20"/>
          <w:szCs w:val="20"/>
          <w:vertAlign w:val="baseline"/>
        </w:rPr>
        <w:footnoteRef/>
      </w:r>
      <w:r w:rsidR="00057F1A">
        <w:rPr>
          <w:sz w:val="20"/>
          <w:szCs w:val="20"/>
        </w:rPr>
        <w:t>.</w:t>
      </w:r>
      <w:r w:rsidR="00057F1A">
        <w:rPr>
          <w:sz w:val="20"/>
          <w:szCs w:val="20"/>
        </w:rPr>
        <w:tab/>
      </w:r>
      <w:r w:rsidRPr="00B06FB8">
        <w:rPr>
          <w:sz w:val="20"/>
          <w:szCs w:val="20"/>
        </w:rPr>
        <w:t>Fiscalía General de la Nación “</w:t>
      </w:r>
      <w:r w:rsidRPr="00B06FB8">
        <w:rPr>
          <w:color w:val="0F1419"/>
          <w:sz w:val="20"/>
          <w:szCs w:val="20"/>
          <w:shd w:val="clear" w:color="auto" w:fill="FFFFFF"/>
          <w:lang w:eastAsia="es-ES_tradnl"/>
        </w:rPr>
        <w:t>Consolidado de acciones judiciales realizadas y hechos conocidos por la entidad, en el marco del Puesto de Mando Unificado Judicial (</w:t>
      </w:r>
      <w:proofErr w:type="spellStart"/>
      <w:r w:rsidRPr="00B06FB8">
        <w:rPr>
          <w:color w:val="0F1419"/>
          <w:sz w:val="20"/>
          <w:szCs w:val="20"/>
          <w:shd w:val="clear" w:color="auto" w:fill="FFFFFF"/>
          <w:lang w:eastAsia="es-ES_tradnl"/>
        </w:rPr>
        <w:t>PMU</w:t>
      </w:r>
      <w:proofErr w:type="spellEnd"/>
      <w:r w:rsidRPr="00B06FB8">
        <w:rPr>
          <w:color w:val="0F1419"/>
          <w:sz w:val="20"/>
          <w:szCs w:val="20"/>
          <w:shd w:val="clear" w:color="auto" w:fill="FFFFFF"/>
          <w:lang w:eastAsia="es-ES_tradnl"/>
        </w:rPr>
        <w:t xml:space="preserve">)”, </w:t>
      </w:r>
      <w:hyperlink r:id="rId11" w:history="1">
        <w:r w:rsidRPr="00B06FB8">
          <w:rPr>
            <w:sz w:val="20"/>
            <w:szCs w:val="20"/>
            <w:lang w:val="es-ES"/>
          </w:rPr>
          <w:t>https://twitter.com/FiscaliaCol/status/1404773347930542087/photo/1</w:t>
        </w:r>
      </w:hyperlink>
      <w:r w:rsidRPr="00B06FB8">
        <w:rPr>
          <w:sz w:val="20"/>
          <w:szCs w:val="20"/>
          <w:lang w:val="es-ES"/>
        </w:rPr>
        <w:t xml:space="preserve"> (consultado el 15 de junio de 2021).</w:t>
      </w:r>
    </w:p>
  </w:footnote>
  <w:footnote w:id="89">
    <w:p w14:paraId="514E1B8A" w14:textId="77777777" w:rsidR="002F21D4" w:rsidRDefault="00BC2E71" w:rsidP="00B06FB8">
      <w:pPr>
        <w:tabs>
          <w:tab w:val="left" w:pos="720"/>
        </w:tabs>
        <w:ind w:left="720" w:hanging="360"/>
        <w:jc w:val="both"/>
        <w:rPr>
          <w:sz w:val="20"/>
          <w:szCs w:val="20"/>
        </w:rPr>
      </w:pPr>
      <w:r w:rsidRPr="00B06FB8">
        <w:rPr>
          <w:rStyle w:val="FootnoteReference"/>
          <w:rFonts w:eastAsiaTheme="minorHAnsi"/>
          <w:sz w:val="20"/>
          <w:szCs w:val="20"/>
          <w:vertAlign w:val="baseline"/>
          <w:lang w:eastAsia="en-US"/>
        </w:rPr>
        <w:footnoteRef/>
      </w:r>
      <w:r w:rsidR="00057F1A">
        <w:rPr>
          <w:sz w:val="20"/>
          <w:szCs w:val="20"/>
        </w:rPr>
        <w:t>.</w:t>
      </w:r>
      <w:r w:rsidR="00057F1A">
        <w:rPr>
          <w:sz w:val="20"/>
          <w:szCs w:val="20"/>
        </w:rPr>
        <w:tab/>
      </w:r>
      <w:r w:rsidRPr="00B06FB8">
        <w:rPr>
          <w:sz w:val="20"/>
          <w:szCs w:val="20"/>
        </w:rPr>
        <w:t xml:space="preserve">Ministerio de Defensa Nacional, República de Colombia “Garantías a la manifestación pacífica y control de acciones violentas. Periodo 28 de abril a 4 de junio de 2021”, </w:t>
      </w:r>
    </w:p>
    <w:p w14:paraId="1EC81638" w14:textId="1BA74318" w:rsidR="00BC2E71" w:rsidRPr="00B06FB8" w:rsidRDefault="002F21D4" w:rsidP="00B06FB8">
      <w:pPr>
        <w:tabs>
          <w:tab w:val="left" w:pos="720"/>
        </w:tabs>
        <w:ind w:left="720" w:hanging="360"/>
        <w:jc w:val="both"/>
        <w:rPr>
          <w:sz w:val="20"/>
          <w:szCs w:val="20"/>
          <w:lang w:val="es-ES"/>
        </w:rPr>
      </w:pPr>
      <w:r>
        <w:rPr>
          <w:sz w:val="20"/>
          <w:szCs w:val="20"/>
        </w:rPr>
        <w:tab/>
      </w:r>
      <w:hyperlink r:id="rId12" w:history="1">
        <w:r w:rsidRPr="00501CB5">
          <w:rPr>
            <w:rStyle w:val="Hyperlink"/>
            <w:sz w:val="20"/>
            <w:szCs w:val="20"/>
          </w:rPr>
          <w:t>https://www.policia.gov.co/sites/default/files/informe_sector_defensa_-_garantias_a_la_manifestacion_pacifica_y_control_de_acciones_violentas_-_28_de_abril_a_4_de_junio_de_2021_20210609_vf.pdf</w:t>
        </w:r>
      </w:hyperlink>
    </w:p>
  </w:footnote>
  <w:footnote w:id="90">
    <w:p w14:paraId="0CA587BD" w14:textId="05A1AFC7" w:rsidR="009F67C1" w:rsidRPr="00B06FB8" w:rsidRDefault="009F67C1" w:rsidP="00B06FB8">
      <w:pPr>
        <w:pStyle w:val="FootnoteText"/>
        <w:tabs>
          <w:tab w:val="left" w:pos="720"/>
        </w:tabs>
        <w:ind w:left="720" w:hanging="360"/>
        <w:jc w:val="both"/>
        <w:rPr>
          <w:rFonts w:ascii="Times New Roman" w:hAnsi="Times New Roman" w:cs="Times New Roman"/>
        </w:rPr>
      </w:pPr>
      <w:r w:rsidRPr="00B06FB8">
        <w:rPr>
          <w:rStyle w:val="FootnoteReference"/>
          <w:rFonts w:ascii="Times New Roman" w:hAnsi="Times New Roman" w:cs="Times New Roman"/>
          <w:vertAlign w:val="baseline"/>
        </w:rPr>
        <w:footnoteRef/>
      </w:r>
      <w:r w:rsidR="00057F1A">
        <w:rPr>
          <w:rFonts w:ascii="Times New Roman" w:hAnsi="Times New Roman" w:cs="Times New Roman"/>
        </w:rPr>
        <w:t>.</w:t>
      </w:r>
      <w:r w:rsidR="00057F1A">
        <w:rPr>
          <w:rFonts w:ascii="Times New Roman" w:hAnsi="Times New Roman" w:cs="Times New Roman"/>
        </w:rPr>
        <w:tab/>
        <w:t>S</w:t>
      </w:r>
      <w:r w:rsidRPr="00B06FB8">
        <w:rPr>
          <w:rFonts w:ascii="Times New Roman" w:hAnsi="Times New Roman" w:cs="Times New Roman"/>
        </w:rPr>
        <w:t xml:space="preserve">e construyeron tres (3) “Lineamientos Técnico – Operativos para la Participación de los Pueblos Indígenas, Comunidades Negras y Afrocolombianas durante las fases de implementación y seguimiento del componente étnico del </w:t>
      </w:r>
      <w:proofErr w:type="spellStart"/>
      <w:r w:rsidRPr="00B06FB8">
        <w:rPr>
          <w:rFonts w:ascii="Times New Roman" w:hAnsi="Times New Roman" w:cs="Times New Roman"/>
        </w:rPr>
        <w:t>PDET</w:t>
      </w:r>
      <w:proofErr w:type="spellEnd"/>
      <w:r w:rsidRPr="00B06FB8">
        <w:rPr>
          <w:rFonts w:ascii="Times New Roman" w:hAnsi="Times New Roman" w:cs="Times New Roman"/>
        </w:rPr>
        <w:t>”, alcanzando un total de 11 lineamientos construidos desde 2019 correspondientes a igual número de subregiones, a saber: Sierra Nevada – Perijá (2019); Putumayo, Sur de Córdoba, Montes de María, Chocó, Pacífico y Frontera Nariñense, Sur de Tolima y Arauca (2020); y Bajo Cauca y Nordeste Antioqueño, Urabá Antioqueño y Alto Patía y Norte del Cauca (2021).</w:t>
      </w:r>
    </w:p>
  </w:footnote>
  <w:footnote w:id="91">
    <w:p w14:paraId="45551974" w14:textId="1708340D" w:rsidR="009F67C1" w:rsidRPr="00B06FB8" w:rsidRDefault="009F67C1" w:rsidP="00B06FB8">
      <w:pPr>
        <w:pStyle w:val="FootnoteText"/>
        <w:tabs>
          <w:tab w:val="left" w:pos="720"/>
        </w:tabs>
        <w:ind w:left="720" w:hanging="360"/>
        <w:jc w:val="both"/>
        <w:rPr>
          <w:rFonts w:ascii="Times New Roman" w:hAnsi="Times New Roman" w:cs="Times New Roman"/>
          <w:lang w:val="es-ES"/>
        </w:rPr>
      </w:pPr>
      <w:r w:rsidRPr="00B06FB8">
        <w:rPr>
          <w:rStyle w:val="FootnoteReference"/>
          <w:rFonts w:ascii="Times New Roman" w:hAnsi="Times New Roman" w:cs="Times New Roman"/>
          <w:vertAlign w:val="baseline"/>
        </w:rPr>
        <w:footnoteRef/>
      </w:r>
      <w:r w:rsidR="00057F1A">
        <w:rPr>
          <w:rFonts w:ascii="Times New Roman" w:hAnsi="Times New Roman" w:cs="Times New Roman"/>
        </w:rPr>
        <w:t>.</w:t>
      </w:r>
      <w:r w:rsidR="00057F1A">
        <w:rPr>
          <w:rFonts w:ascii="Times New Roman" w:hAnsi="Times New Roman" w:cs="Times New Roman"/>
        </w:rPr>
        <w:tab/>
      </w:r>
      <w:r w:rsidRPr="00B06FB8">
        <w:rPr>
          <w:rFonts w:ascii="Times New Roman" w:hAnsi="Times New Roman" w:cs="Times New Roman"/>
        </w:rPr>
        <w:t>La ART reporta 1.</w:t>
      </w:r>
      <w:r w:rsidR="003841AC" w:rsidRPr="00B06FB8">
        <w:rPr>
          <w:rFonts w:ascii="Times New Roman" w:hAnsi="Times New Roman" w:cs="Times New Roman"/>
        </w:rPr>
        <w:t>320</w:t>
      </w:r>
      <w:r w:rsidRPr="00B06FB8">
        <w:rPr>
          <w:rFonts w:ascii="Times New Roman" w:hAnsi="Times New Roman" w:cs="Times New Roman"/>
        </w:rPr>
        <w:t xml:space="preserve"> obras terminadas y entregadas con corte a 31 </w:t>
      </w:r>
      <w:r w:rsidR="003841AC" w:rsidRPr="00B06FB8">
        <w:rPr>
          <w:rFonts w:ascii="Times New Roman" w:hAnsi="Times New Roman" w:cs="Times New Roman"/>
        </w:rPr>
        <w:t>de julio</w:t>
      </w:r>
      <w:r w:rsidRPr="00B06FB8">
        <w:rPr>
          <w:rFonts w:ascii="Times New Roman" w:hAnsi="Times New Roman" w:cs="Times New Roman"/>
        </w:rPr>
        <w:t xml:space="preserve"> de 2021. Aunque algunas de estas representan obras importantes como vías, centros de acopio y transformación de productos agrícolas, escuelas rurales, centros de salud, infraestructura</w:t>
      </w:r>
      <w:r w:rsidRPr="00B06FB8">
        <w:rPr>
          <w:rFonts w:ascii="Times New Roman" w:hAnsi="Times New Roman" w:cs="Times New Roman"/>
          <w:lang w:val="es-ES"/>
        </w:rPr>
        <w:t xml:space="preserve"> comunitaria, entre otras, es frecuente que las comunidades adviertan su inconformidad respecto de lo </w:t>
      </w:r>
      <w:r w:rsidRPr="00B06FB8">
        <w:rPr>
          <w:rFonts w:ascii="Times New Roman" w:hAnsi="Times New Roman" w:cs="Times New Roman"/>
          <w:i/>
          <w:iCs/>
          <w:lang w:val="es-ES"/>
        </w:rPr>
        <w:t>“transformadoras”</w:t>
      </w:r>
      <w:r w:rsidRPr="00B06FB8">
        <w:rPr>
          <w:rFonts w:ascii="Times New Roman" w:hAnsi="Times New Roman" w:cs="Times New Roman"/>
          <w:lang w:val="es-ES"/>
        </w:rPr>
        <w:t xml:space="preserve"> o no que resultan las obras entregadas y manifiestan su expectativa frente a aquellas obras de</w:t>
      </w:r>
      <w:r w:rsidRPr="00B06FB8">
        <w:rPr>
          <w:rFonts w:ascii="Times New Roman" w:hAnsi="Times New Roman" w:cs="Times New Roman"/>
          <w:i/>
          <w:iCs/>
          <w:lang w:val="es-ES"/>
        </w:rPr>
        <w:t xml:space="preserve"> “gran infraestructura”</w:t>
      </w:r>
      <w:r w:rsidRPr="00B06FB8">
        <w:rPr>
          <w:rFonts w:ascii="Times New Roman" w:hAnsi="Times New Roman" w:cs="Times New Roman"/>
          <w:lang w:val="es-ES"/>
        </w:rPr>
        <w:t xml:space="preserve">. </w:t>
      </w:r>
    </w:p>
  </w:footnote>
  <w:footnote w:id="92">
    <w:p w14:paraId="0E96631B" w14:textId="77777777" w:rsidR="00057F1A" w:rsidRDefault="009F67C1" w:rsidP="00B06FB8">
      <w:pPr>
        <w:pStyle w:val="FootnoteText"/>
        <w:tabs>
          <w:tab w:val="left" w:pos="720"/>
        </w:tabs>
        <w:ind w:left="720" w:hanging="360"/>
        <w:jc w:val="both"/>
        <w:rPr>
          <w:rFonts w:ascii="Times New Roman" w:hAnsi="Times New Roman" w:cs="Times New Roman"/>
        </w:rPr>
      </w:pPr>
      <w:r w:rsidRPr="00B06FB8">
        <w:rPr>
          <w:rStyle w:val="FootnoteReference"/>
          <w:rFonts w:ascii="Times New Roman" w:hAnsi="Times New Roman" w:cs="Times New Roman"/>
          <w:vertAlign w:val="baseline"/>
        </w:rPr>
        <w:footnoteRef/>
      </w:r>
      <w:r w:rsidR="00057F1A">
        <w:rPr>
          <w:rFonts w:ascii="Times New Roman" w:hAnsi="Times New Roman" w:cs="Times New Roman"/>
        </w:rPr>
        <w:t>.</w:t>
      </w:r>
      <w:r w:rsidR="00057F1A">
        <w:rPr>
          <w:rFonts w:ascii="Times New Roman" w:hAnsi="Times New Roman" w:cs="Times New Roman"/>
        </w:rPr>
        <w:tab/>
      </w:r>
      <w:r w:rsidRPr="00B06FB8">
        <w:rPr>
          <w:rFonts w:ascii="Times New Roman" w:hAnsi="Times New Roman" w:cs="Times New Roman"/>
        </w:rPr>
        <w:t xml:space="preserve">De las 32.808 iniciativas </w:t>
      </w:r>
      <w:proofErr w:type="spellStart"/>
      <w:r w:rsidRPr="00B06FB8">
        <w:rPr>
          <w:rFonts w:ascii="Times New Roman" w:hAnsi="Times New Roman" w:cs="Times New Roman"/>
        </w:rPr>
        <w:t>PDET</w:t>
      </w:r>
      <w:proofErr w:type="spellEnd"/>
      <w:r w:rsidRPr="00B06FB8">
        <w:rPr>
          <w:rFonts w:ascii="Times New Roman" w:hAnsi="Times New Roman" w:cs="Times New Roman"/>
        </w:rPr>
        <w:t xml:space="preserve">, a desarrollarse en 15 años de implementación del Acuerdo Final, se incorporaron 11.913 (36,31%) en los planes locales y departamentales de desarrollo que estarán vigentes en el periodo 2020-2023. Consultado en: </w:t>
      </w:r>
    </w:p>
    <w:p w14:paraId="6CBE4F07" w14:textId="18BE5A5F" w:rsidR="009F67C1" w:rsidRPr="00B06FB8" w:rsidRDefault="00057F1A" w:rsidP="00B06FB8">
      <w:pPr>
        <w:pStyle w:val="FootnoteText"/>
        <w:tabs>
          <w:tab w:val="left" w:pos="720"/>
        </w:tabs>
        <w:ind w:left="720" w:hanging="360"/>
        <w:jc w:val="both"/>
        <w:rPr>
          <w:rFonts w:ascii="Times New Roman" w:hAnsi="Times New Roman" w:cs="Times New Roman"/>
          <w:lang w:val="es-ES"/>
        </w:rPr>
      </w:pPr>
      <w:r>
        <w:rPr>
          <w:rFonts w:ascii="Times New Roman" w:hAnsi="Times New Roman" w:cs="Times New Roman"/>
        </w:rPr>
        <w:tab/>
      </w:r>
      <w:hyperlink r:id="rId13" w:history="1">
        <w:r w:rsidRPr="00501CB5">
          <w:rPr>
            <w:rStyle w:val="Hyperlink"/>
            <w:rFonts w:ascii="Times New Roman" w:hAnsi="Times New Roman" w:cs="Times New Roman"/>
          </w:rPr>
          <w:t>https://www.renovacionterritorio.gov.co/descargar.php?idFile=33303</w:t>
        </w:r>
      </w:hyperlink>
      <w:r w:rsidR="009F67C1" w:rsidRPr="00B06FB8">
        <w:rPr>
          <w:rFonts w:ascii="Times New Roman" w:hAnsi="Times New Roman" w:cs="Times New Roman"/>
        </w:rPr>
        <w:t xml:space="preserve"> </w:t>
      </w:r>
    </w:p>
  </w:footnote>
  <w:footnote w:id="93">
    <w:p w14:paraId="5BEAC237" w14:textId="052E78B3" w:rsidR="009F67C1" w:rsidRPr="00B06FB8" w:rsidRDefault="009F67C1" w:rsidP="00B06FB8">
      <w:pPr>
        <w:pStyle w:val="FootnoteText"/>
        <w:tabs>
          <w:tab w:val="left" w:pos="720"/>
        </w:tabs>
        <w:ind w:left="720" w:hanging="360"/>
        <w:jc w:val="both"/>
        <w:rPr>
          <w:rFonts w:ascii="Times New Roman" w:hAnsi="Times New Roman" w:cs="Times New Roman"/>
        </w:rPr>
      </w:pPr>
      <w:r w:rsidRPr="00B06FB8">
        <w:rPr>
          <w:rStyle w:val="FootnoteReference"/>
          <w:rFonts w:ascii="Times New Roman" w:hAnsi="Times New Roman" w:cs="Times New Roman"/>
          <w:vertAlign w:val="baseline"/>
        </w:rPr>
        <w:footnoteRef/>
      </w:r>
      <w:r w:rsidR="00057F1A">
        <w:rPr>
          <w:rFonts w:ascii="Times New Roman" w:hAnsi="Times New Roman" w:cs="Times New Roman"/>
        </w:rPr>
        <w:t>.</w:t>
      </w:r>
      <w:r w:rsidR="00057F1A">
        <w:rPr>
          <w:rFonts w:ascii="Times New Roman" w:hAnsi="Times New Roman" w:cs="Times New Roman"/>
        </w:rPr>
        <w:tab/>
      </w:r>
      <w:r w:rsidRPr="00B06FB8">
        <w:rPr>
          <w:rFonts w:ascii="Times New Roman" w:hAnsi="Times New Roman" w:cs="Times New Roman"/>
        </w:rPr>
        <w:t xml:space="preserve">De acuerdo con la ART, durante el actual gobierno se han movilizado $9,37 billones de pesos para la implementación de los </w:t>
      </w:r>
      <w:proofErr w:type="spellStart"/>
      <w:r w:rsidRPr="00B06FB8">
        <w:rPr>
          <w:rFonts w:ascii="Times New Roman" w:hAnsi="Times New Roman" w:cs="Times New Roman"/>
        </w:rPr>
        <w:t>PDET</w:t>
      </w:r>
      <w:proofErr w:type="spellEnd"/>
      <w:r w:rsidRPr="00B06FB8">
        <w:rPr>
          <w:rFonts w:ascii="Times New Roman" w:hAnsi="Times New Roman" w:cs="Times New Roman"/>
        </w:rPr>
        <w:t xml:space="preserve">: </w:t>
      </w:r>
      <w:proofErr w:type="spellStart"/>
      <w:r w:rsidRPr="00B06FB8">
        <w:rPr>
          <w:rFonts w:ascii="Times New Roman" w:hAnsi="Times New Roman" w:cs="Times New Roman"/>
        </w:rPr>
        <w:t>OCAD</w:t>
      </w:r>
      <w:proofErr w:type="spellEnd"/>
      <w:r w:rsidRPr="00B06FB8">
        <w:rPr>
          <w:rFonts w:ascii="Times New Roman" w:hAnsi="Times New Roman" w:cs="Times New Roman"/>
        </w:rPr>
        <w:t>-Paz, $4,7 billones (50.21%); Trazador de paz del Presupuesto General de la Nación, $2,8 billones (30.18%); ART – Fondo Colombia en Paz, $838.632 millones (8.95%); obras por impuestos, $613.253 millones (6.54%); y cooperación internacional, $385.630 millones (4.11%).</w:t>
      </w:r>
    </w:p>
  </w:footnote>
  <w:footnote w:id="94">
    <w:p w14:paraId="3713B3A2" w14:textId="6DC297F6" w:rsidR="00822F88" w:rsidRPr="00B06FB8" w:rsidRDefault="00822F88" w:rsidP="00B06FB8">
      <w:pPr>
        <w:pStyle w:val="FootnoteText"/>
        <w:tabs>
          <w:tab w:val="left" w:pos="720"/>
        </w:tabs>
        <w:ind w:left="720" w:hanging="360"/>
        <w:jc w:val="both"/>
        <w:rPr>
          <w:rFonts w:ascii="Times New Roman" w:hAnsi="Times New Roman" w:cs="Times New Roman"/>
        </w:rPr>
      </w:pPr>
      <w:r w:rsidRPr="00B06FB8">
        <w:rPr>
          <w:rStyle w:val="FootnoteReference"/>
          <w:rFonts w:ascii="Times New Roman" w:hAnsi="Times New Roman" w:cs="Times New Roman"/>
          <w:vertAlign w:val="baseline"/>
        </w:rPr>
        <w:footnoteRef/>
      </w:r>
      <w:r w:rsidR="00057F1A">
        <w:rPr>
          <w:rFonts w:ascii="Times New Roman" w:hAnsi="Times New Roman" w:cs="Times New Roman"/>
        </w:rPr>
        <w:t>.</w:t>
      </w:r>
      <w:r w:rsidR="00057F1A">
        <w:rPr>
          <w:rFonts w:ascii="Times New Roman" w:hAnsi="Times New Roman" w:cs="Times New Roman"/>
        </w:rPr>
        <w:tab/>
      </w:r>
      <w:r w:rsidRPr="00B06FB8">
        <w:rPr>
          <w:rFonts w:ascii="Times New Roman" w:hAnsi="Times New Roman" w:cs="Times New Roman"/>
        </w:rPr>
        <w:t xml:space="preserve">Con corte al 30 de septiembre de 2021. </w:t>
      </w:r>
    </w:p>
  </w:footnote>
  <w:footnote w:id="95">
    <w:p w14:paraId="1A79DF15" w14:textId="2ABCFA86" w:rsidR="00822F88" w:rsidRPr="00B06FB8" w:rsidRDefault="00822F88" w:rsidP="00B06FB8">
      <w:pPr>
        <w:pStyle w:val="FootnoteText"/>
        <w:tabs>
          <w:tab w:val="left" w:pos="720"/>
        </w:tabs>
        <w:ind w:left="720" w:hanging="360"/>
        <w:jc w:val="both"/>
        <w:rPr>
          <w:rFonts w:ascii="Times New Roman" w:hAnsi="Times New Roman" w:cs="Times New Roman"/>
          <w:lang w:val="es-ES"/>
        </w:rPr>
      </w:pPr>
      <w:r w:rsidRPr="00B06FB8">
        <w:rPr>
          <w:rStyle w:val="FootnoteReference"/>
          <w:rFonts w:ascii="Times New Roman" w:hAnsi="Times New Roman" w:cs="Times New Roman"/>
          <w:vertAlign w:val="baseline"/>
        </w:rPr>
        <w:footnoteRef/>
      </w:r>
      <w:r w:rsidR="00057F1A">
        <w:rPr>
          <w:rFonts w:ascii="Times New Roman" w:hAnsi="Times New Roman" w:cs="Times New Roman"/>
        </w:rPr>
        <w:t>.</w:t>
      </w:r>
      <w:r w:rsidR="00057F1A">
        <w:rPr>
          <w:rFonts w:ascii="Times New Roman" w:hAnsi="Times New Roman" w:cs="Times New Roman"/>
        </w:rPr>
        <w:tab/>
      </w:r>
      <w:r w:rsidRPr="00B06FB8">
        <w:rPr>
          <w:rFonts w:ascii="Times New Roman" w:hAnsi="Times New Roman" w:cs="Times New Roman"/>
        </w:rPr>
        <w:t xml:space="preserve">De acuerdo con las cifras compartidas por la </w:t>
      </w:r>
      <w:proofErr w:type="spellStart"/>
      <w:r w:rsidRPr="00B06FB8">
        <w:rPr>
          <w:rFonts w:ascii="Times New Roman" w:hAnsi="Times New Roman" w:cs="Times New Roman"/>
        </w:rPr>
        <w:t>ANT</w:t>
      </w:r>
      <w:proofErr w:type="spellEnd"/>
      <w:r w:rsidRPr="00B06FB8">
        <w:rPr>
          <w:rFonts w:ascii="Times New Roman" w:hAnsi="Times New Roman" w:cs="Times New Roman"/>
        </w:rPr>
        <w:t>, 1.164.042,82 hectáreas (52,10%) corresponden a 54.833 títulos expedidos y registrados, en beneficio de 54.625 familias campesinas y 1.069.824,25 hectáreas (47,89%) en 113 títulos en beneficio de comunidades étnicas.</w:t>
      </w:r>
    </w:p>
  </w:footnote>
  <w:footnote w:id="96">
    <w:p w14:paraId="506FF368" w14:textId="25C26654" w:rsidR="00822F88" w:rsidRPr="00B06FB8" w:rsidRDefault="00822F88" w:rsidP="00B06FB8">
      <w:pPr>
        <w:pStyle w:val="FootnoteText"/>
        <w:tabs>
          <w:tab w:val="left" w:pos="720"/>
        </w:tabs>
        <w:ind w:left="720" w:hanging="360"/>
        <w:jc w:val="both"/>
        <w:rPr>
          <w:rFonts w:ascii="Times New Roman" w:hAnsi="Times New Roman" w:cs="Times New Roman"/>
          <w:lang w:val="es-ES"/>
        </w:rPr>
      </w:pPr>
      <w:r w:rsidRPr="00B06FB8">
        <w:rPr>
          <w:rStyle w:val="FootnoteReference"/>
          <w:rFonts w:ascii="Times New Roman" w:hAnsi="Times New Roman" w:cs="Times New Roman"/>
          <w:vertAlign w:val="baseline"/>
        </w:rPr>
        <w:footnoteRef/>
      </w:r>
      <w:r w:rsidR="00057F1A">
        <w:rPr>
          <w:rFonts w:ascii="Times New Roman" w:hAnsi="Times New Roman" w:cs="Times New Roman"/>
        </w:rPr>
        <w:t>.</w:t>
      </w:r>
      <w:r w:rsidR="00057F1A">
        <w:rPr>
          <w:rFonts w:ascii="Times New Roman" w:hAnsi="Times New Roman" w:cs="Times New Roman"/>
        </w:rPr>
        <w:tab/>
      </w:r>
      <w:r w:rsidRPr="00B06FB8">
        <w:rPr>
          <w:rFonts w:ascii="Times New Roman" w:hAnsi="Times New Roman" w:cs="Times New Roman"/>
        </w:rPr>
        <w:t>Durante el Gobierno actual se han formalizado 730.000 hectáreas, que favorecieron a 39.927 familias, es decir 10,42%. Según la misma entidad, a través del Fondo se han formalizado 496.230 hectáreas a favor de comunidades étnicas y 175.119 hectáreas a población campesina, de estas últimas, 75.339 hectáreas beneficiaron a 15.248 mujeres rurales (56,24%).</w:t>
      </w:r>
    </w:p>
  </w:footnote>
  <w:footnote w:id="97">
    <w:p w14:paraId="5249C33B" w14:textId="79528650" w:rsidR="009F67C1" w:rsidRPr="00B06FB8" w:rsidRDefault="009F67C1" w:rsidP="00B06FB8">
      <w:pPr>
        <w:pStyle w:val="FootnoteText"/>
        <w:tabs>
          <w:tab w:val="left" w:pos="720"/>
        </w:tabs>
        <w:ind w:left="720" w:hanging="360"/>
        <w:jc w:val="both"/>
        <w:rPr>
          <w:rFonts w:ascii="Times New Roman" w:hAnsi="Times New Roman" w:cs="Times New Roman"/>
          <w:lang w:val="es-ES"/>
        </w:rPr>
      </w:pPr>
      <w:r w:rsidRPr="00B06FB8">
        <w:rPr>
          <w:rStyle w:val="FootnoteReference"/>
          <w:rFonts w:ascii="Times New Roman" w:hAnsi="Times New Roman" w:cs="Times New Roman"/>
          <w:vertAlign w:val="baseline"/>
        </w:rPr>
        <w:footnoteRef/>
      </w:r>
      <w:r w:rsidR="00057F1A">
        <w:rPr>
          <w:rFonts w:ascii="Times New Roman" w:hAnsi="Times New Roman" w:cs="Times New Roman"/>
        </w:rPr>
        <w:t>.</w:t>
      </w:r>
      <w:r w:rsidR="00057F1A">
        <w:rPr>
          <w:rFonts w:ascii="Times New Roman" w:hAnsi="Times New Roman" w:cs="Times New Roman"/>
        </w:rPr>
        <w:tab/>
      </w:r>
      <w:r w:rsidRPr="00B06FB8">
        <w:rPr>
          <w:rFonts w:ascii="Times New Roman" w:hAnsi="Times New Roman" w:cs="Times New Roman"/>
        </w:rPr>
        <w:t>Además, esto permitiría a las comunidades reconocer los esfuerzos de planeación, ajuste a la norma, formulación y gestión de recursos financieros que adelanta la institucionalidad y que actualmente no son ponderados por las comunidades.</w:t>
      </w:r>
    </w:p>
  </w:footnote>
  <w:footnote w:id="98">
    <w:p w14:paraId="14F6801A" w14:textId="77777777" w:rsidR="00057F1A" w:rsidRDefault="009F67C1" w:rsidP="00B06FB8">
      <w:pPr>
        <w:pStyle w:val="FootnoteText"/>
        <w:tabs>
          <w:tab w:val="left" w:pos="720"/>
        </w:tabs>
        <w:ind w:left="720" w:hanging="360"/>
        <w:jc w:val="both"/>
        <w:rPr>
          <w:rFonts w:ascii="Times New Roman" w:hAnsi="Times New Roman" w:cs="Times New Roman"/>
        </w:rPr>
      </w:pPr>
      <w:r w:rsidRPr="00B06FB8">
        <w:rPr>
          <w:rStyle w:val="FootnoteReference"/>
          <w:rFonts w:ascii="Times New Roman" w:hAnsi="Times New Roman" w:cs="Times New Roman"/>
          <w:vertAlign w:val="baseline"/>
        </w:rPr>
        <w:footnoteRef/>
      </w:r>
      <w:r w:rsidR="00057F1A">
        <w:rPr>
          <w:rFonts w:ascii="Times New Roman" w:hAnsi="Times New Roman" w:cs="Times New Roman"/>
        </w:rPr>
        <w:t>.</w:t>
      </w:r>
      <w:r w:rsidR="00057F1A">
        <w:rPr>
          <w:rFonts w:ascii="Times New Roman" w:hAnsi="Times New Roman" w:cs="Times New Roman"/>
        </w:rPr>
        <w:tab/>
      </w:r>
      <w:r w:rsidRPr="00B06FB8">
        <w:rPr>
          <w:rFonts w:ascii="Times New Roman" w:hAnsi="Times New Roman" w:cs="Times New Roman"/>
        </w:rPr>
        <w:t xml:space="preserve">Asegurar el bienestar y el buen vivir de las poblaciones rurales haciendo efectivos sus derechos políticos, económicos, sociales y culturales. Punto 1.2.1 Objetivos de los Programas de Desarrollo con Enfoque Territorial en el Acuerdo Final. Consultado en: </w:t>
      </w:r>
    </w:p>
    <w:p w14:paraId="2E375BA3" w14:textId="60787532" w:rsidR="009F67C1" w:rsidRPr="00B06FB8" w:rsidRDefault="00057F1A" w:rsidP="00B06FB8">
      <w:pPr>
        <w:pStyle w:val="FootnoteText"/>
        <w:tabs>
          <w:tab w:val="left" w:pos="720"/>
        </w:tabs>
        <w:ind w:left="720" w:hanging="360"/>
        <w:jc w:val="both"/>
        <w:rPr>
          <w:rFonts w:ascii="Times New Roman" w:hAnsi="Times New Roman" w:cs="Times New Roman"/>
          <w:lang w:val="es-ES"/>
        </w:rPr>
      </w:pPr>
      <w:r>
        <w:rPr>
          <w:rFonts w:ascii="Times New Roman" w:hAnsi="Times New Roman" w:cs="Times New Roman"/>
        </w:rPr>
        <w:tab/>
      </w:r>
      <w:hyperlink r:id="rId14" w:history="1">
        <w:r w:rsidRPr="00501CB5">
          <w:rPr>
            <w:rStyle w:val="Hyperlink"/>
            <w:rFonts w:ascii="Times New Roman" w:hAnsi="Times New Roman" w:cs="Times New Roman"/>
          </w:rPr>
          <w:t>https://www.jep.gov.co/Marco%20Normativo/Normativa_v2/01%20ACUERDOS/N01.pdf</w:t>
        </w:r>
      </w:hyperlink>
      <w:r w:rsidR="009F67C1" w:rsidRPr="00B06FB8">
        <w:rPr>
          <w:rFonts w:ascii="Times New Roman" w:hAnsi="Times New Roman" w:cs="Times New Roman"/>
        </w:rPr>
        <w:t xml:space="preserve"> </w:t>
      </w:r>
    </w:p>
  </w:footnote>
  <w:footnote w:id="99">
    <w:p w14:paraId="4B4BB768" w14:textId="77777777" w:rsidR="00057F1A" w:rsidRDefault="00643E7A" w:rsidP="00B06FB8">
      <w:pPr>
        <w:pStyle w:val="FootnoteText"/>
        <w:tabs>
          <w:tab w:val="left" w:pos="720"/>
        </w:tabs>
        <w:ind w:left="720" w:hanging="360"/>
        <w:jc w:val="both"/>
        <w:rPr>
          <w:rFonts w:ascii="Times New Roman" w:hAnsi="Times New Roman" w:cs="Times New Roman"/>
        </w:rPr>
      </w:pPr>
      <w:r w:rsidRPr="00B06FB8">
        <w:rPr>
          <w:rStyle w:val="FootnoteReference"/>
          <w:rFonts w:ascii="Times New Roman" w:hAnsi="Times New Roman" w:cs="Times New Roman"/>
          <w:vertAlign w:val="baseline"/>
        </w:rPr>
        <w:footnoteRef/>
      </w:r>
      <w:r w:rsidR="00057F1A">
        <w:rPr>
          <w:rFonts w:ascii="Times New Roman" w:hAnsi="Times New Roman" w:cs="Times New Roman"/>
        </w:rPr>
        <w:t>.</w:t>
      </w:r>
      <w:r w:rsidR="00057F1A">
        <w:rPr>
          <w:rFonts w:ascii="Times New Roman" w:hAnsi="Times New Roman" w:cs="Times New Roman"/>
        </w:rPr>
        <w:tab/>
      </w:r>
      <w:r w:rsidRPr="00B06FB8">
        <w:rPr>
          <w:rFonts w:ascii="Times New Roman" w:hAnsi="Times New Roman" w:cs="Times New Roman"/>
        </w:rPr>
        <w:t xml:space="preserve">Pasó de 154.476 hectáreas en 2019 a 143.000 hectáreas en el año siguiente. </w:t>
      </w:r>
      <w:r w:rsidRPr="00B06FB8">
        <w:rPr>
          <w:rFonts w:ascii="Times New Roman" w:hAnsi="Times New Roman" w:cs="Times New Roman"/>
          <w:iCs/>
        </w:rPr>
        <w:t xml:space="preserve">Monitoreo de territorios afectados por cultivos ilícitos 2020 </w:t>
      </w:r>
      <w:r w:rsidRPr="00B06FB8">
        <w:rPr>
          <w:rFonts w:ascii="Times New Roman" w:hAnsi="Times New Roman" w:cs="Times New Roman"/>
        </w:rPr>
        <w:t xml:space="preserve">(Bogotá: </w:t>
      </w:r>
      <w:proofErr w:type="spellStart"/>
      <w:r w:rsidRPr="00B06FB8">
        <w:rPr>
          <w:rFonts w:ascii="Times New Roman" w:hAnsi="Times New Roman" w:cs="Times New Roman"/>
        </w:rPr>
        <w:t>UNODC-SIMCI</w:t>
      </w:r>
      <w:proofErr w:type="spellEnd"/>
      <w:r w:rsidRPr="00B06FB8">
        <w:rPr>
          <w:rFonts w:ascii="Times New Roman" w:hAnsi="Times New Roman" w:cs="Times New Roman"/>
        </w:rPr>
        <w:t xml:space="preserve">, 2021). Disponible en: </w:t>
      </w:r>
    </w:p>
    <w:p w14:paraId="184B0CCD" w14:textId="5C3BD917" w:rsidR="00643E7A" w:rsidRPr="00B06FB8" w:rsidRDefault="00057F1A" w:rsidP="00B06FB8">
      <w:pPr>
        <w:pStyle w:val="FootnoteText"/>
        <w:tabs>
          <w:tab w:val="left" w:pos="720"/>
        </w:tabs>
        <w:ind w:left="720" w:hanging="360"/>
        <w:jc w:val="both"/>
        <w:rPr>
          <w:rFonts w:ascii="Times New Roman" w:hAnsi="Times New Roman" w:cs="Times New Roman"/>
        </w:rPr>
      </w:pPr>
      <w:r>
        <w:rPr>
          <w:rFonts w:ascii="Times New Roman" w:hAnsi="Times New Roman" w:cs="Times New Roman"/>
        </w:rPr>
        <w:tab/>
      </w:r>
      <w:hyperlink r:id="rId15" w:history="1">
        <w:r w:rsidRPr="00501CB5">
          <w:rPr>
            <w:rStyle w:val="Hyperlink"/>
            <w:rFonts w:ascii="Times New Roman" w:hAnsi="Times New Roman" w:cs="Times New Roman"/>
          </w:rPr>
          <w:t>https://biesimci.org/fileadmin/2020/documentos/censo/censo_2020.pdf</w:t>
        </w:r>
      </w:hyperlink>
      <w:r w:rsidR="0078159F" w:rsidRPr="00B06FB8">
        <w:rPr>
          <w:rStyle w:val="Hyperlink"/>
          <w:rFonts w:ascii="Times New Roman" w:hAnsi="Times New Roman" w:cs="Times New Roman"/>
        </w:rPr>
        <w:t xml:space="preserve"> </w:t>
      </w:r>
    </w:p>
  </w:footnote>
  <w:footnote w:id="100">
    <w:p w14:paraId="1236D105" w14:textId="28E7FB8C" w:rsidR="00643E7A" w:rsidRPr="00B06FB8" w:rsidRDefault="00643E7A" w:rsidP="00B06FB8">
      <w:pPr>
        <w:pStyle w:val="FootnoteText"/>
        <w:tabs>
          <w:tab w:val="left" w:pos="720"/>
        </w:tabs>
        <w:ind w:left="720" w:hanging="360"/>
        <w:jc w:val="both"/>
        <w:rPr>
          <w:rFonts w:ascii="Times New Roman" w:hAnsi="Times New Roman" w:cs="Times New Roman"/>
        </w:rPr>
      </w:pPr>
      <w:r w:rsidRPr="00B06FB8">
        <w:rPr>
          <w:rStyle w:val="FootnoteReference"/>
          <w:rFonts w:ascii="Times New Roman" w:hAnsi="Times New Roman" w:cs="Times New Roman"/>
          <w:vertAlign w:val="baseline"/>
        </w:rPr>
        <w:footnoteRef/>
      </w:r>
      <w:r w:rsidR="00057F1A">
        <w:rPr>
          <w:rFonts w:ascii="Times New Roman" w:hAnsi="Times New Roman" w:cs="Times New Roman"/>
        </w:rPr>
        <w:t>.</w:t>
      </w:r>
      <w:r w:rsidR="00057F1A">
        <w:rPr>
          <w:rFonts w:ascii="Times New Roman" w:hAnsi="Times New Roman" w:cs="Times New Roman"/>
        </w:rPr>
        <w:tab/>
      </w:r>
      <w:r w:rsidRPr="00B06FB8">
        <w:rPr>
          <w:rFonts w:ascii="Times New Roman" w:hAnsi="Times New Roman" w:cs="Times New Roman"/>
        </w:rPr>
        <w:t xml:space="preserve">Esto, aunado a otros factores como la ubicación en zona de frontera, el reacomodo de los </w:t>
      </w:r>
      <w:proofErr w:type="spellStart"/>
      <w:r w:rsidRPr="00B06FB8">
        <w:rPr>
          <w:rFonts w:ascii="Times New Roman" w:hAnsi="Times New Roman" w:cs="Times New Roman"/>
        </w:rPr>
        <w:t>GAI</w:t>
      </w:r>
      <w:proofErr w:type="spellEnd"/>
      <w:r w:rsidRPr="00B06FB8">
        <w:rPr>
          <w:rFonts w:ascii="Times New Roman" w:hAnsi="Times New Roman" w:cs="Times New Roman"/>
        </w:rPr>
        <w:t xml:space="preserve"> y la disputa por economías ilícitas.</w:t>
      </w:r>
      <w:r w:rsidR="0078159F" w:rsidRPr="00B06FB8">
        <w:rPr>
          <w:rFonts w:ascii="Times New Roman" w:hAnsi="Times New Roman" w:cs="Times New Roman"/>
        </w:rPr>
        <w:t xml:space="preserve"> </w:t>
      </w:r>
    </w:p>
  </w:footnote>
  <w:footnote w:id="101">
    <w:p w14:paraId="704C66BB" w14:textId="390D122D" w:rsidR="009F67C1" w:rsidRPr="00B06FB8" w:rsidRDefault="009F67C1" w:rsidP="00B06FB8">
      <w:pPr>
        <w:pStyle w:val="FootnoteText"/>
        <w:tabs>
          <w:tab w:val="left" w:pos="720"/>
        </w:tabs>
        <w:ind w:left="720" w:hanging="360"/>
        <w:jc w:val="both"/>
        <w:rPr>
          <w:rFonts w:ascii="Times New Roman" w:hAnsi="Times New Roman" w:cs="Times New Roman"/>
        </w:rPr>
      </w:pPr>
      <w:r w:rsidRPr="00B06FB8">
        <w:rPr>
          <w:rStyle w:val="FootnoteReference"/>
          <w:rFonts w:ascii="Times New Roman" w:hAnsi="Times New Roman" w:cs="Times New Roman"/>
          <w:vertAlign w:val="baseline"/>
        </w:rPr>
        <w:footnoteRef/>
      </w:r>
      <w:r w:rsidR="00057F1A">
        <w:rPr>
          <w:rFonts w:ascii="Times New Roman" w:hAnsi="Times New Roman" w:cs="Times New Roman"/>
        </w:rPr>
        <w:t xml:space="preserve">. </w:t>
      </w:r>
      <w:r w:rsidRPr="00B06FB8">
        <w:rPr>
          <w:rFonts w:ascii="Times New Roman" w:hAnsi="Times New Roman" w:cs="Times New Roman"/>
        </w:rPr>
        <w:t xml:space="preserve">Consejería Presidencial para la Estabilización y Consolidación, “Informe Avanza la sustitución con legalidad – junio 2021”. p. 5 y p. 13. </w:t>
      </w:r>
    </w:p>
  </w:footnote>
  <w:footnote w:id="102">
    <w:p w14:paraId="12335170" w14:textId="5CDEE91A" w:rsidR="009F67C1" w:rsidRPr="00B06FB8" w:rsidRDefault="009F67C1" w:rsidP="00B06FB8">
      <w:pPr>
        <w:pStyle w:val="FootnoteText"/>
        <w:tabs>
          <w:tab w:val="left" w:pos="720"/>
        </w:tabs>
        <w:ind w:left="720" w:hanging="360"/>
        <w:jc w:val="both"/>
        <w:rPr>
          <w:rFonts w:ascii="Times New Roman" w:hAnsi="Times New Roman" w:cs="Times New Roman"/>
        </w:rPr>
      </w:pPr>
      <w:r w:rsidRPr="00B06FB8">
        <w:rPr>
          <w:rStyle w:val="FootnoteReference"/>
          <w:rFonts w:ascii="Times New Roman" w:hAnsi="Times New Roman" w:cs="Times New Roman"/>
          <w:vertAlign w:val="baseline"/>
        </w:rPr>
        <w:footnoteRef/>
      </w:r>
      <w:r w:rsidR="00057F1A">
        <w:rPr>
          <w:rFonts w:ascii="Times New Roman" w:hAnsi="Times New Roman" w:cs="Times New Roman"/>
        </w:rPr>
        <w:t xml:space="preserve">. </w:t>
      </w:r>
      <w:r w:rsidRPr="00B06FB8">
        <w:rPr>
          <w:rFonts w:ascii="Times New Roman" w:hAnsi="Times New Roman" w:cs="Times New Roman"/>
        </w:rPr>
        <w:t xml:space="preserve">Entre enero y junio de 2021, se llevaron a cabo 131 espacios de instancias participativas del </w:t>
      </w:r>
      <w:proofErr w:type="spellStart"/>
      <w:r w:rsidRPr="00B06FB8">
        <w:rPr>
          <w:rFonts w:ascii="Times New Roman" w:hAnsi="Times New Roman" w:cs="Times New Roman"/>
        </w:rPr>
        <w:t>PNIS</w:t>
      </w:r>
      <w:proofErr w:type="spellEnd"/>
      <w:r w:rsidRPr="00B06FB8">
        <w:rPr>
          <w:rFonts w:ascii="Times New Roman" w:hAnsi="Times New Roman" w:cs="Times New Roman"/>
        </w:rPr>
        <w:t xml:space="preserve"> (7 Consejos Asesores Territoriales, 75 Comisiones Municipales de Planeación Participativa y 49 Consejos Municipales de Evaluación y Seguimiento. </w:t>
      </w:r>
    </w:p>
  </w:footnote>
  <w:footnote w:id="103">
    <w:p w14:paraId="3E0E126A" w14:textId="206A853C" w:rsidR="009F67C1" w:rsidRPr="00B06FB8" w:rsidRDefault="009F67C1" w:rsidP="00B06FB8">
      <w:pPr>
        <w:pStyle w:val="FootnoteText"/>
        <w:tabs>
          <w:tab w:val="left" w:pos="720"/>
        </w:tabs>
        <w:ind w:left="720" w:hanging="360"/>
        <w:jc w:val="both"/>
        <w:rPr>
          <w:rFonts w:ascii="Times New Roman" w:hAnsi="Times New Roman" w:cs="Times New Roman"/>
        </w:rPr>
      </w:pPr>
      <w:r w:rsidRPr="00B06FB8">
        <w:rPr>
          <w:rFonts w:ascii="Times New Roman" w:hAnsi="Times New Roman" w:cs="Times New Roman"/>
        </w:rPr>
        <w:footnoteRef/>
      </w:r>
      <w:r w:rsidR="00057F1A">
        <w:rPr>
          <w:rFonts w:ascii="Times New Roman" w:hAnsi="Times New Roman" w:cs="Times New Roman"/>
        </w:rPr>
        <w:t xml:space="preserve">. </w:t>
      </w:r>
      <w:r w:rsidRPr="00B06FB8">
        <w:rPr>
          <w:rFonts w:ascii="Times New Roman" w:hAnsi="Times New Roman" w:cs="Times New Roman"/>
        </w:rPr>
        <w:t xml:space="preserve">Las acciones mencionadas se concentrarán en: Paramillo, Macarena, </w:t>
      </w:r>
      <w:proofErr w:type="spellStart"/>
      <w:r w:rsidRPr="00B06FB8">
        <w:rPr>
          <w:rFonts w:ascii="Times New Roman" w:hAnsi="Times New Roman" w:cs="Times New Roman"/>
        </w:rPr>
        <w:t>Tinigua</w:t>
      </w:r>
      <w:proofErr w:type="spellEnd"/>
      <w:r w:rsidRPr="00B06FB8">
        <w:rPr>
          <w:rFonts w:ascii="Times New Roman" w:hAnsi="Times New Roman" w:cs="Times New Roman"/>
        </w:rPr>
        <w:t xml:space="preserve">, Farallones, Alto Fragua y La Paya. Consejería Presidencial para la Estabilización y Consolidación, “Informe Avanza la sustitución con legalidad – junio 2021”. p. 15. </w:t>
      </w:r>
    </w:p>
  </w:footnote>
  <w:footnote w:id="104">
    <w:p w14:paraId="3CE5375D" w14:textId="02032415" w:rsidR="009F67C1" w:rsidRPr="00B06FB8" w:rsidRDefault="009F67C1" w:rsidP="00B06FB8">
      <w:pPr>
        <w:pStyle w:val="FootnoteText"/>
        <w:tabs>
          <w:tab w:val="left" w:pos="720"/>
        </w:tabs>
        <w:ind w:left="720" w:hanging="360"/>
        <w:jc w:val="both"/>
        <w:rPr>
          <w:rFonts w:ascii="Times New Roman" w:hAnsi="Times New Roman" w:cs="Times New Roman"/>
        </w:rPr>
      </w:pPr>
      <w:r w:rsidRPr="00B06FB8">
        <w:rPr>
          <w:rStyle w:val="FootnoteReference"/>
          <w:rFonts w:ascii="Times New Roman" w:hAnsi="Times New Roman" w:cs="Times New Roman"/>
          <w:vertAlign w:val="baseline"/>
        </w:rPr>
        <w:footnoteRef/>
      </w:r>
      <w:r w:rsidR="00057F1A">
        <w:rPr>
          <w:rFonts w:ascii="Times New Roman" w:hAnsi="Times New Roman" w:cs="Times New Roman"/>
        </w:rPr>
        <w:t xml:space="preserve">. </w:t>
      </w:r>
      <w:r w:rsidRPr="00B06FB8">
        <w:rPr>
          <w:rFonts w:ascii="Times New Roman" w:hAnsi="Times New Roman" w:cs="Times New Roman"/>
        </w:rPr>
        <w:t xml:space="preserve">Contratos de derecho de uso por 10 años para resolver conflictos de ocupación y tenencia de la tierra. Su objetivo es beneficiar a familias que no tienen titulación de sus predios por estar en estas áreas protegidas y a quienes están en el </w:t>
      </w:r>
      <w:proofErr w:type="spellStart"/>
      <w:r w:rsidRPr="00B06FB8">
        <w:rPr>
          <w:rFonts w:ascii="Times New Roman" w:hAnsi="Times New Roman" w:cs="Times New Roman"/>
        </w:rPr>
        <w:t>PNIS</w:t>
      </w:r>
      <w:proofErr w:type="spellEnd"/>
      <w:r w:rsidRPr="00B06FB8">
        <w:rPr>
          <w:rFonts w:ascii="Times New Roman" w:hAnsi="Times New Roman" w:cs="Times New Roman"/>
        </w:rPr>
        <w:t xml:space="preserve"> o que quieran erradicar sus cultivos de coca voluntariamente.</w:t>
      </w:r>
    </w:p>
  </w:footnote>
  <w:footnote w:id="105">
    <w:p w14:paraId="64C04A4C" w14:textId="6B230E8A" w:rsidR="009F67C1" w:rsidRPr="00B06FB8" w:rsidRDefault="009F67C1" w:rsidP="00B06FB8">
      <w:pPr>
        <w:pStyle w:val="FootnoteText"/>
        <w:tabs>
          <w:tab w:val="left" w:pos="720"/>
        </w:tabs>
        <w:ind w:left="720" w:hanging="360"/>
        <w:jc w:val="both"/>
        <w:rPr>
          <w:rFonts w:ascii="Times New Roman" w:hAnsi="Times New Roman" w:cs="Times New Roman"/>
        </w:rPr>
      </w:pPr>
      <w:r w:rsidRPr="00B06FB8">
        <w:rPr>
          <w:rStyle w:val="FootnoteReference"/>
          <w:rFonts w:ascii="Times New Roman" w:hAnsi="Times New Roman" w:cs="Times New Roman"/>
          <w:vertAlign w:val="baseline"/>
        </w:rPr>
        <w:footnoteRef/>
      </w:r>
      <w:r w:rsidR="00057F1A">
        <w:rPr>
          <w:rFonts w:ascii="Times New Roman" w:hAnsi="Times New Roman" w:cs="Times New Roman"/>
        </w:rPr>
        <w:t xml:space="preserve">. </w:t>
      </w:r>
      <w:r w:rsidRPr="00B06FB8">
        <w:rPr>
          <w:rFonts w:ascii="Times New Roman" w:hAnsi="Times New Roman" w:cs="Times New Roman"/>
        </w:rPr>
        <w:t xml:space="preserve">Rosas y Piamonte en Cauca; Ipiales en Nariño; Bolívar, Dagua y El Dovio en Valle del Cauca; Cumaribo en Vichada; y </w:t>
      </w:r>
      <w:proofErr w:type="spellStart"/>
      <w:r w:rsidRPr="00B06FB8">
        <w:rPr>
          <w:rFonts w:ascii="Times New Roman" w:hAnsi="Times New Roman" w:cs="Times New Roman"/>
        </w:rPr>
        <w:t>Barrancominas</w:t>
      </w:r>
      <w:proofErr w:type="spellEnd"/>
      <w:r w:rsidRPr="00B06FB8">
        <w:rPr>
          <w:rFonts w:ascii="Times New Roman" w:hAnsi="Times New Roman" w:cs="Times New Roman"/>
        </w:rPr>
        <w:t xml:space="preserve"> en Guainía. </w:t>
      </w:r>
    </w:p>
  </w:footnote>
  <w:footnote w:id="106">
    <w:p w14:paraId="39597AC9" w14:textId="3DEE47CD" w:rsidR="009F67C1" w:rsidRPr="00B06FB8" w:rsidRDefault="009F67C1" w:rsidP="00B06FB8">
      <w:pPr>
        <w:pStyle w:val="FootnoteText"/>
        <w:tabs>
          <w:tab w:val="left" w:pos="720"/>
        </w:tabs>
        <w:ind w:left="720" w:hanging="360"/>
        <w:jc w:val="both"/>
        <w:rPr>
          <w:rFonts w:ascii="Times New Roman" w:hAnsi="Times New Roman" w:cs="Times New Roman"/>
        </w:rPr>
      </w:pPr>
      <w:r w:rsidRPr="00B06FB8">
        <w:rPr>
          <w:rStyle w:val="FootnoteReference"/>
          <w:rFonts w:ascii="Times New Roman" w:hAnsi="Times New Roman" w:cs="Times New Roman"/>
          <w:vertAlign w:val="baseline"/>
        </w:rPr>
        <w:footnoteRef/>
      </w:r>
      <w:r w:rsidR="00057F1A">
        <w:rPr>
          <w:rFonts w:ascii="Times New Roman" w:hAnsi="Times New Roman" w:cs="Times New Roman"/>
        </w:rPr>
        <w:t xml:space="preserve">. </w:t>
      </w:r>
      <w:r w:rsidRPr="00B06FB8">
        <w:rPr>
          <w:rFonts w:ascii="Times New Roman" w:hAnsi="Times New Roman" w:cs="Times New Roman"/>
        </w:rPr>
        <w:t>Especialmente la iniciativa de la Alcaldía de Cúcuta en la Vereda El 25 en zona rural del municipio; y en el corregimiento de Las Mercedes, en Sardinata como iniciativa de la Gobernación.</w:t>
      </w:r>
    </w:p>
  </w:footnote>
  <w:footnote w:id="107">
    <w:p w14:paraId="38C84A8F" w14:textId="54DB0F73" w:rsidR="009F67C1" w:rsidRPr="00B06FB8" w:rsidRDefault="009F67C1" w:rsidP="00B06FB8">
      <w:pPr>
        <w:pStyle w:val="Default"/>
        <w:tabs>
          <w:tab w:val="left" w:pos="720"/>
        </w:tabs>
        <w:ind w:left="720" w:hanging="360"/>
        <w:jc w:val="both"/>
        <w:rPr>
          <w:color w:val="auto"/>
          <w:sz w:val="20"/>
          <w:szCs w:val="20"/>
        </w:rPr>
      </w:pPr>
      <w:r w:rsidRPr="00B06FB8">
        <w:rPr>
          <w:rStyle w:val="FootnoteReference"/>
          <w:color w:val="auto"/>
          <w:sz w:val="20"/>
          <w:szCs w:val="20"/>
          <w:vertAlign w:val="baseline"/>
        </w:rPr>
        <w:footnoteRef/>
      </w:r>
      <w:r w:rsidR="00057F1A">
        <w:rPr>
          <w:color w:val="auto"/>
          <w:sz w:val="20"/>
          <w:szCs w:val="20"/>
        </w:rPr>
        <w:t xml:space="preserve">. </w:t>
      </w:r>
      <w:r w:rsidRPr="00B06FB8">
        <w:rPr>
          <w:color w:val="auto"/>
          <w:sz w:val="20"/>
          <w:szCs w:val="20"/>
        </w:rPr>
        <w:t xml:space="preserve">En el marco de la Mesa de Coordinación Interinstitucional y su Comisión de Apoyo y Seguimiento a afectaciones a población en modelos de sustitución voluntaria de cultivos ilícitos, se han diseñado los siguientes protocolos: i) de atención inmediata a casos que lo requieren; </w:t>
      </w:r>
      <w:proofErr w:type="spellStart"/>
      <w:r w:rsidRPr="00B06FB8">
        <w:rPr>
          <w:color w:val="auto"/>
          <w:sz w:val="20"/>
          <w:szCs w:val="20"/>
        </w:rPr>
        <w:t>ii</w:t>
      </w:r>
      <w:proofErr w:type="spellEnd"/>
      <w:r w:rsidRPr="00B06FB8">
        <w:rPr>
          <w:color w:val="auto"/>
          <w:sz w:val="20"/>
          <w:szCs w:val="20"/>
        </w:rPr>
        <w:t xml:space="preserve">) de articulación para atención a alertas tempranas y </w:t>
      </w:r>
      <w:proofErr w:type="spellStart"/>
      <w:r w:rsidRPr="00B06FB8">
        <w:rPr>
          <w:color w:val="auto"/>
          <w:sz w:val="20"/>
          <w:szCs w:val="20"/>
        </w:rPr>
        <w:t>iii</w:t>
      </w:r>
      <w:proofErr w:type="spellEnd"/>
      <w:r w:rsidRPr="00B06FB8">
        <w:rPr>
          <w:color w:val="auto"/>
          <w:sz w:val="20"/>
          <w:szCs w:val="20"/>
        </w:rPr>
        <w:t xml:space="preserve">) de mujer y género para la seguridad de lideresas del </w:t>
      </w:r>
      <w:proofErr w:type="spellStart"/>
      <w:r w:rsidRPr="00B06FB8">
        <w:rPr>
          <w:color w:val="auto"/>
          <w:sz w:val="20"/>
          <w:szCs w:val="20"/>
        </w:rPr>
        <w:t>PNIS</w:t>
      </w:r>
      <w:proofErr w:type="spellEnd"/>
      <w:r w:rsidRPr="00B06FB8">
        <w:rPr>
          <w:color w:val="auto"/>
          <w:sz w:val="20"/>
          <w:szCs w:val="20"/>
        </w:rPr>
        <w:t xml:space="preserve">. </w:t>
      </w:r>
    </w:p>
  </w:footnote>
  <w:footnote w:id="108">
    <w:p w14:paraId="07447356" w14:textId="77777777" w:rsidR="00057F1A" w:rsidRDefault="007F3184" w:rsidP="00B06FB8">
      <w:pPr>
        <w:pStyle w:val="FootnoteText"/>
        <w:tabs>
          <w:tab w:val="left" w:pos="720"/>
        </w:tabs>
        <w:ind w:left="720" w:hanging="360"/>
        <w:jc w:val="both"/>
        <w:rPr>
          <w:rFonts w:ascii="Times New Roman" w:hAnsi="Times New Roman" w:cs="Times New Roman"/>
          <w:lang w:val="es-ES"/>
        </w:rPr>
      </w:pPr>
      <w:r w:rsidRPr="00B06FB8">
        <w:rPr>
          <w:rStyle w:val="FootnoteReference"/>
          <w:rFonts w:ascii="Times New Roman" w:hAnsi="Times New Roman" w:cs="Times New Roman"/>
          <w:vertAlign w:val="baseline"/>
        </w:rPr>
        <w:footnoteRef/>
      </w:r>
      <w:r w:rsidR="00057F1A">
        <w:rPr>
          <w:rFonts w:ascii="Times New Roman" w:hAnsi="Times New Roman" w:cs="Times New Roman"/>
        </w:rPr>
        <w:t xml:space="preserve">. </w:t>
      </w:r>
      <w:r w:rsidRPr="00B06FB8">
        <w:rPr>
          <w:rFonts w:ascii="Times New Roman" w:hAnsi="Times New Roman" w:cs="Times New Roman"/>
          <w:lang w:val="es-ES"/>
        </w:rPr>
        <w:t>Observatorio de Drogas de Colombia del Ministerio de Justicia y del Derecho, “Cifras erradicación de cultivos de hoja de coca año 2021”, (</w:t>
      </w:r>
      <w:proofErr w:type="spellStart"/>
      <w:r w:rsidRPr="00B06FB8">
        <w:rPr>
          <w:rFonts w:ascii="Times New Roman" w:hAnsi="Times New Roman" w:cs="Times New Roman"/>
          <w:lang w:val="es-ES"/>
        </w:rPr>
        <w:t>ODC</w:t>
      </w:r>
      <w:proofErr w:type="spellEnd"/>
      <w:r w:rsidRPr="00B06FB8">
        <w:rPr>
          <w:rFonts w:ascii="Times New Roman" w:hAnsi="Times New Roman" w:cs="Times New Roman"/>
          <w:lang w:val="es-ES"/>
        </w:rPr>
        <w:t xml:space="preserve">, 2021). Consultado en: </w:t>
      </w:r>
    </w:p>
    <w:p w14:paraId="24535C25" w14:textId="18AB65DD" w:rsidR="007F3184" w:rsidRPr="00B06FB8" w:rsidRDefault="00057F1A" w:rsidP="00B06FB8">
      <w:pPr>
        <w:pStyle w:val="FootnoteText"/>
        <w:tabs>
          <w:tab w:val="left" w:pos="720"/>
        </w:tabs>
        <w:ind w:left="720" w:hanging="360"/>
        <w:jc w:val="both"/>
        <w:rPr>
          <w:rFonts w:ascii="Times New Roman" w:hAnsi="Times New Roman" w:cs="Times New Roman"/>
          <w:lang w:val="es-ES"/>
        </w:rPr>
      </w:pPr>
      <w:r>
        <w:rPr>
          <w:rFonts w:ascii="Times New Roman" w:hAnsi="Times New Roman" w:cs="Times New Roman"/>
          <w:lang w:val="es-ES"/>
        </w:rPr>
        <w:tab/>
      </w:r>
      <w:hyperlink r:id="rId16" w:history="1">
        <w:r w:rsidRPr="00501CB5">
          <w:rPr>
            <w:rStyle w:val="Hyperlink"/>
            <w:rFonts w:ascii="Times New Roman" w:hAnsi="Times New Roman" w:cs="Times New Roman"/>
          </w:rPr>
          <w:t>http://www.odc.gov.co/sidco/oferta/erradicacion</w:t>
        </w:r>
      </w:hyperlink>
      <w:r w:rsidR="007F3184" w:rsidRPr="00B06FB8">
        <w:rPr>
          <w:rFonts w:ascii="Times New Roman" w:hAnsi="Times New Roman" w:cs="Times New Roman"/>
          <w:lang w:val="es-ES"/>
        </w:rPr>
        <w:t xml:space="preserve"> </w:t>
      </w:r>
    </w:p>
  </w:footnote>
  <w:footnote w:id="109">
    <w:p w14:paraId="62B55129" w14:textId="1A71EA4A" w:rsidR="009F67C1" w:rsidRPr="00B06FB8" w:rsidRDefault="009F67C1" w:rsidP="00B06FB8">
      <w:pPr>
        <w:pStyle w:val="FootnoteText"/>
        <w:tabs>
          <w:tab w:val="left" w:pos="720"/>
        </w:tabs>
        <w:ind w:left="720" w:hanging="360"/>
        <w:jc w:val="both"/>
        <w:rPr>
          <w:rFonts w:ascii="Times New Roman" w:hAnsi="Times New Roman" w:cs="Times New Roman"/>
          <w:lang w:val="es-ES"/>
        </w:rPr>
      </w:pPr>
      <w:r w:rsidRPr="00B06FB8">
        <w:rPr>
          <w:rStyle w:val="FootnoteReference"/>
          <w:rFonts w:ascii="Times New Roman" w:hAnsi="Times New Roman" w:cs="Times New Roman"/>
          <w:vertAlign w:val="baseline"/>
        </w:rPr>
        <w:footnoteRef/>
      </w:r>
      <w:r w:rsidR="00057F1A">
        <w:rPr>
          <w:rFonts w:ascii="Times New Roman" w:hAnsi="Times New Roman" w:cs="Times New Roman"/>
        </w:rPr>
        <w:t xml:space="preserve">. </w:t>
      </w:r>
      <w:r w:rsidRPr="00B06FB8">
        <w:rPr>
          <w:rFonts w:ascii="Times New Roman" w:hAnsi="Times New Roman" w:cs="Times New Roman"/>
        </w:rPr>
        <w:t xml:space="preserve">Una </w:t>
      </w:r>
      <w:r w:rsidRPr="00B06FB8">
        <w:rPr>
          <w:rFonts w:ascii="Times New Roman" w:hAnsi="Times New Roman" w:cs="Times New Roman"/>
          <w:lang w:val="es-ES"/>
        </w:rPr>
        <w:t xml:space="preserve">dinámica similar se presentó en los municipios de Puerto Asís y San Miguel </w:t>
      </w:r>
      <w:r w:rsidR="00DF661E" w:rsidRPr="00B06FB8">
        <w:rPr>
          <w:rFonts w:ascii="Times New Roman" w:hAnsi="Times New Roman" w:cs="Times New Roman"/>
          <w:lang w:val="es-ES"/>
        </w:rPr>
        <w:t>(</w:t>
      </w:r>
      <w:r w:rsidRPr="00B06FB8">
        <w:rPr>
          <w:rFonts w:ascii="Times New Roman" w:hAnsi="Times New Roman" w:cs="Times New Roman"/>
          <w:lang w:val="es-ES"/>
        </w:rPr>
        <w:t>Putumayo</w:t>
      </w:r>
      <w:r w:rsidR="00DF661E" w:rsidRPr="00B06FB8">
        <w:rPr>
          <w:rFonts w:ascii="Times New Roman" w:hAnsi="Times New Roman" w:cs="Times New Roman"/>
          <w:lang w:val="es-ES"/>
        </w:rPr>
        <w:t>),</w:t>
      </w:r>
      <w:r w:rsidRPr="00B06FB8">
        <w:rPr>
          <w:rFonts w:ascii="Times New Roman" w:hAnsi="Times New Roman" w:cs="Times New Roman"/>
          <w:lang w:val="es-ES"/>
        </w:rPr>
        <w:t xml:space="preserve"> Montelíbano </w:t>
      </w:r>
      <w:r w:rsidR="00DF661E" w:rsidRPr="00B06FB8">
        <w:rPr>
          <w:rFonts w:ascii="Times New Roman" w:hAnsi="Times New Roman" w:cs="Times New Roman"/>
          <w:lang w:val="es-ES"/>
        </w:rPr>
        <w:t>(</w:t>
      </w:r>
      <w:r w:rsidRPr="00B06FB8">
        <w:rPr>
          <w:rFonts w:ascii="Times New Roman" w:hAnsi="Times New Roman" w:cs="Times New Roman"/>
          <w:lang w:val="es-ES"/>
        </w:rPr>
        <w:t>Córdoba</w:t>
      </w:r>
      <w:r w:rsidR="00DF661E" w:rsidRPr="00B06FB8">
        <w:rPr>
          <w:rFonts w:ascii="Times New Roman" w:hAnsi="Times New Roman" w:cs="Times New Roman"/>
          <w:lang w:val="es-ES"/>
        </w:rPr>
        <w:t>)</w:t>
      </w:r>
      <w:r w:rsidRPr="00B06FB8">
        <w:rPr>
          <w:rFonts w:ascii="Times New Roman" w:hAnsi="Times New Roman" w:cs="Times New Roman"/>
          <w:lang w:val="es-ES"/>
        </w:rPr>
        <w:t xml:space="preserve">, Riosucio </w:t>
      </w:r>
      <w:r w:rsidR="00DF661E" w:rsidRPr="00B06FB8">
        <w:rPr>
          <w:rFonts w:ascii="Times New Roman" w:hAnsi="Times New Roman" w:cs="Times New Roman"/>
          <w:lang w:val="es-ES"/>
        </w:rPr>
        <w:t>(</w:t>
      </w:r>
      <w:r w:rsidRPr="00B06FB8">
        <w:rPr>
          <w:rFonts w:ascii="Times New Roman" w:hAnsi="Times New Roman" w:cs="Times New Roman"/>
          <w:lang w:val="es-ES"/>
        </w:rPr>
        <w:t>Chocó</w:t>
      </w:r>
      <w:r w:rsidR="00DF661E" w:rsidRPr="00B06FB8">
        <w:rPr>
          <w:rFonts w:ascii="Times New Roman" w:hAnsi="Times New Roman" w:cs="Times New Roman"/>
          <w:lang w:val="es-ES"/>
        </w:rPr>
        <w:t>)</w:t>
      </w:r>
      <w:r w:rsidRPr="00B06FB8">
        <w:rPr>
          <w:rFonts w:ascii="Times New Roman" w:hAnsi="Times New Roman" w:cs="Times New Roman"/>
          <w:lang w:val="es-ES"/>
        </w:rPr>
        <w:t xml:space="preserve">, Sardinata </w:t>
      </w:r>
      <w:r w:rsidR="00DF661E" w:rsidRPr="00B06FB8">
        <w:rPr>
          <w:rFonts w:ascii="Times New Roman" w:hAnsi="Times New Roman" w:cs="Times New Roman"/>
          <w:lang w:val="es-ES"/>
        </w:rPr>
        <w:t>(</w:t>
      </w:r>
      <w:r w:rsidRPr="00B06FB8">
        <w:rPr>
          <w:rFonts w:ascii="Times New Roman" w:hAnsi="Times New Roman" w:cs="Times New Roman"/>
          <w:lang w:val="es-ES"/>
        </w:rPr>
        <w:t>Norte de Santander</w:t>
      </w:r>
      <w:r w:rsidR="00DF661E" w:rsidRPr="00B06FB8">
        <w:rPr>
          <w:rFonts w:ascii="Times New Roman" w:hAnsi="Times New Roman" w:cs="Times New Roman"/>
          <w:lang w:val="es-ES"/>
        </w:rPr>
        <w:t>)</w:t>
      </w:r>
      <w:r w:rsidRPr="00B06FB8">
        <w:rPr>
          <w:rFonts w:ascii="Times New Roman" w:hAnsi="Times New Roman" w:cs="Times New Roman"/>
          <w:lang w:val="es-ES"/>
        </w:rPr>
        <w:t xml:space="preserve"> y Argelia y El Tambo </w:t>
      </w:r>
      <w:r w:rsidR="00DF661E" w:rsidRPr="00B06FB8">
        <w:rPr>
          <w:rFonts w:ascii="Times New Roman" w:hAnsi="Times New Roman" w:cs="Times New Roman"/>
          <w:lang w:val="es-ES"/>
        </w:rPr>
        <w:t>(</w:t>
      </w:r>
      <w:r w:rsidRPr="00B06FB8">
        <w:rPr>
          <w:rFonts w:ascii="Times New Roman" w:hAnsi="Times New Roman" w:cs="Times New Roman"/>
          <w:lang w:val="es-ES"/>
        </w:rPr>
        <w:t>Cauca</w:t>
      </w:r>
      <w:r w:rsidR="00DF661E" w:rsidRPr="00B06FB8">
        <w:rPr>
          <w:rFonts w:ascii="Times New Roman" w:hAnsi="Times New Roman" w:cs="Times New Roman"/>
          <w:lang w:val="es-ES"/>
        </w:rPr>
        <w:t>)</w:t>
      </w:r>
      <w:r w:rsidRPr="00B06FB8">
        <w:rPr>
          <w:rFonts w:ascii="Times New Roman" w:hAnsi="Times New Roman" w:cs="Times New Roman"/>
          <w:lang w:val="es-ES"/>
        </w:rPr>
        <w:t xml:space="preserve">. </w:t>
      </w:r>
    </w:p>
  </w:footnote>
  <w:footnote w:id="110">
    <w:p w14:paraId="60F772B3" w14:textId="1F35CB14" w:rsidR="009F67C1" w:rsidRPr="00B06FB8" w:rsidRDefault="009F67C1" w:rsidP="00B06FB8">
      <w:pPr>
        <w:pStyle w:val="FootnoteText"/>
        <w:tabs>
          <w:tab w:val="left" w:pos="720"/>
        </w:tabs>
        <w:ind w:left="720" w:hanging="360"/>
        <w:jc w:val="both"/>
        <w:rPr>
          <w:rFonts w:ascii="Times New Roman" w:hAnsi="Times New Roman" w:cs="Times New Roman"/>
          <w:lang w:val="es-ES"/>
        </w:rPr>
      </w:pPr>
      <w:r w:rsidRPr="00B06FB8">
        <w:rPr>
          <w:rStyle w:val="FootnoteReference"/>
          <w:rFonts w:ascii="Times New Roman" w:hAnsi="Times New Roman" w:cs="Times New Roman"/>
          <w:vertAlign w:val="baseline"/>
        </w:rPr>
        <w:footnoteRef/>
      </w:r>
      <w:r w:rsidR="00057F1A">
        <w:rPr>
          <w:rFonts w:ascii="Times New Roman" w:hAnsi="Times New Roman" w:cs="Times New Roman"/>
        </w:rPr>
        <w:t>.</w:t>
      </w:r>
      <w:r w:rsidRPr="00B06FB8">
        <w:rPr>
          <w:rFonts w:ascii="Times New Roman" w:hAnsi="Times New Roman" w:cs="Times New Roman"/>
        </w:rPr>
        <w:t xml:space="preserve"> </w:t>
      </w:r>
      <w:r w:rsidRPr="00B06FB8">
        <w:rPr>
          <w:rFonts w:ascii="Times New Roman" w:hAnsi="Times New Roman" w:cs="Times New Roman"/>
          <w:lang w:val="es-ES"/>
        </w:rPr>
        <w:t xml:space="preserve">En el departamento de Putumayo y en las regiones de Catatumbo </w:t>
      </w:r>
      <w:r w:rsidR="00DF661E" w:rsidRPr="00B06FB8">
        <w:rPr>
          <w:rFonts w:ascii="Times New Roman" w:hAnsi="Times New Roman" w:cs="Times New Roman"/>
          <w:lang w:val="es-ES"/>
        </w:rPr>
        <w:t>(</w:t>
      </w:r>
      <w:r w:rsidRPr="00B06FB8">
        <w:rPr>
          <w:rFonts w:ascii="Times New Roman" w:hAnsi="Times New Roman" w:cs="Times New Roman"/>
          <w:lang w:val="es-ES"/>
        </w:rPr>
        <w:t>Norte de Santander</w:t>
      </w:r>
      <w:r w:rsidR="00DF661E" w:rsidRPr="00B06FB8">
        <w:rPr>
          <w:rFonts w:ascii="Times New Roman" w:hAnsi="Times New Roman" w:cs="Times New Roman"/>
          <w:lang w:val="es-ES"/>
        </w:rPr>
        <w:t>)</w:t>
      </w:r>
      <w:r w:rsidRPr="00B06FB8">
        <w:rPr>
          <w:rFonts w:ascii="Times New Roman" w:hAnsi="Times New Roman" w:cs="Times New Roman"/>
          <w:lang w:val="es-ES"/>
        </w:rPr>
        <w:t xml:space="preserve"> y del Río Guayabero en Meta y Guaviare, los pliegos de peticiones compartieron esta demanda como uno de los puntos centrales a dialogar con el Gobierno nacional.</w:t>
      </w:r>
    </w:p>
  </w:footnote>
  <w:footnote w:id="111">
    <w:p w14:paraId="0FF830F2" w14:textId="3F040946" w:rsidR="009F67C1" w:rsidRPr="00B06FB8" w:rsidRDefault="009F67C1" w:rsidP="00B06FB8">
      <w:pPr>
        <w:tabs>
          <w:tab w:val="left" w:pos="720"/>
        </w:tabs>
        <w:ind w:left="720" w:hanging="360"/>
        <w:jc w:val="both"/>
        <w:rPr>
          <w:sz w:val="20"/>
          <w:szCs w:val="20"/>
        </w:rPr>
      </w:pPr>
      <w:r w:rsidRPr="00B06FB8">
        <w:rPr>
          <w:rStyle w:val="FootnoteReference"/>
          <w:sz w:val="20"/>
          <w:szCs w:val="20"/>
          <w:vertAlign w:val="baseline"/>
        </w:rPr>
        <w:footnoteRef/>
      </w:r>
      <w:r w:rsidR="00057F1A">
        <w:rPr>
          <w:sz w:val="20"/>
          <w:szCs w:val="20"/>
        </w:rPr>
        <w:t xml:space="preserve">. </w:t>
      </w:r>
      <w:r w:rsidRPr="00B06FB8">
        <w:rPr>
          <w:sz w:val="20"/>
          <w:szCs w:val="20"/>
        </w:rPr>
        <w:t xml:space="preserve">A través de instrumentos jurídicos como la acción de tutela interpuesta por </w:t>
      </w:r>
      <w:bookmarkStart w:id="11" w:name="_Hlk83383787"/>
      <w:r w:rsidRPr="00B06FB8">
        <w:rPr>
          <w:sz w:val="20"/>
          <w:szCs w:val="20"/>
        </w:rPr>
        <w:t xml:space="preserve">Red de Derechos Humanos del Pacífico Nariñense </w:t>
      </w:r>
      <w:bookmarkEnd w:id="11"/>
      <w:r w:rsidRPr="00B06FB8">
        <w:rPr>
          <w:sz w:val="20"/>
          <w:szCs w:val="20"/>
        </w:rPr>
        <w:t>(</w:t>
      </w:r>
      <w:proofErr w:type="spellStart"/>
      <w:r w:rsidRPr="00B06FB8">
        <w:rPr>
          <w:sz w:val="20"/>
          <w:szCs w:val="20"/>
        </w:rPr>
        <w:t>REDPHANA</w:t>
      </w:r>
      <w:proofErr w:type="spellEnd"/>
      <w:r w:rsidRPr="00B06FB8">
        <w:rPr>
          <w:sz w:val="20"/>
          <w:szCs w:val="20"/>
        </w:rPr>
        <w:t>) ante el Tribunal Superior del Distrito Judicial de Pasto, dada la presunta vulneración al derecho a la consulta previa de las comunidades indígenas y afrodescendientes de la región pacífico de Nariño, en el marco del trámite de modificación del Plan de Manejo Ambiental (</w:t>
      </w:r>
      <w:proofErr w:type="spellStart"/>
      <w:r w:rsidRPr="00B06FB8">
        <w:rPr>
          <w:sz w:val="20"/>
          <w:szCs w:val="20"/>
        </w:rPr>
        <w:t>PMA</w:t>
      </w:r>
      <w:proofErr w:type="spellEnd"/>
      <w:r w:rsidRPr="00B06FB8">
        <w:rPr>
          <w:sz w:val="20"/>
          <w:szCs w:val="20"/>
        </w:rPr>
        <w:t>) del Programa de Erradicación de Cultivos Ilícitos mediante aspersión aérea con el herbicida Glifosato (</w:t>
      </w:r>
      <w:proofErr w:type="spellStart"/>
      <w:r w:rsidRPr="00B06FB8">
        <w:rPr>
          <w:sz w:val="20"/>
          <w:szCs w:val="20"/>
        </w:rPr>
        <w:t>PECIG</w:t>
      </w:r>
      <w:proofErr w:type="spellEnd"/>
      <w:r w:rsidRPr="00B06FB8">
        <w:rPr>
          <w:sz w:val="20"/>
          <w:szCs w:val="20"/>
        </w:rPr>
        <w:t xml:space="preserve">). Controversia fallada a favor de </w:t>
      </w:r>
      <w:proofErr w:type="spellStart"/>
      <w:r w:rsidRPr="00B06FB8">
        <w:rPr>
          <w:sz w:val="20"/>
          <w:szCs w:val="20"/>
        </w:rPr>
        <w:t>REDPHANA</w:t>
      </w:r>
      <w:proofErr w:type="spellEnd"/>
      <w:r w:rsidRPr="00B06FB8">
        <w:rPr>
          <w:sz w:val="20"/>
          <w:szCs w:val="20"/>
        </w:rPr>
        <w:t xml:space="preserve"> con la orden al Gobierno nacional de realizar y garantizar la consulta previa con la población étnica de esta zona.</w:t>
      </w:r>
    </w:p>
  </w:footnote>
  <w:footnote w:id="112">
    <w:p w14:paraId="020BD4E0" w14:textId="18E49B86" w:rsidR="008810B9" w:rsidRPr="00B06FB8" w:rsidRDefault="008810B9" w:rsidP="00B06FB8">
      <w:pPr>
        <w:pStyle w:val="FootnoteText"/>
        <w:tabs>
          <w:tab w:val="left" w:pos="720"/>
        </w:tabs>
        <w:ind w:left="720" w:hanging="360"/>
        <w:jc w:val="both"/>
        <w:rPr>
          <w:rFonts w:ascii="Times New Roman" w:eastAsia="Times New Roman" w:hAnsi="Times New Roman" w:cs="Times New Roman"/>
          <w:lang w:eastAsia="es-MX"/>
        </w:rPr>
      </w:pPr>
      <w:r w:rsidRPr="00B06FB8">
        <w:rPr>
          <w:rStyle w:val="FootnoteReference"/>
          <w:rFonts w:ascii="Times New Roman" w:eastAsia="Times New Roman" w:hAnsi="Times New Roman" w:cs="Times New Roman"/>
          <w:vertAlign w:val="baseline"/>
          <w:lang w:eastAsia="es-MX"/>
        </w:rPr>
        <w:footnoteRef/>
      </w:r>
      <w:r w:rsidR="00057F1A">
        <w:rPr>
          <w:rFonts w:ascii="Times New Roman" w:hAnsi="Times New Roman" w:cs="Times New Roman"/>
        </w:rPr>
        <w:t>.</w:t>
      </w:r>
      <w:r w:rsidRPr="00B06FB8">
        <w:rPr>
          <w:rFonts w:ascii="Times New Roman" w:hAnsi="Times New Roman" w:cs="Times New Roman"/>
        </w:rPr>
        <w:t xml:space="preserve"> </w:t>
      </w:r>
      <w:r w:rsidRPr="00B06FB8">
        <w:rPr>
          <w:rFonts w:ascii="Times New Roman" w:eastAsia="Times New Roman" w:hAnsi="Times New Roman" w:cs="Times New Roman"/>
          <w:lang w:eastAsia="es-MX"/>
        </w:rPr>
        <w:t>Ley 1448 de 2011 prorrogada por la Ley 2078 del 8 enero de 2021.</w:t>
      </w:r>
    </w:p>
  </w:footnote>
  <w:footnote w:id="113">
    <w:p w14:paraId="34E5A909" w14:textId="152F1609" w:rsidR="00A41AA5" w:rsidRPr="00B06FB8" w:rsidRDefault="00A41AA5" w:rsidP="00B06FB8">
      <w:pPr>
        <w:pStyle w:val="FootnoteText"/>
        <w:tabs>
          <w:tab w:val="left" w:pos="720"/>
        </w:tabs>
        <w:ind w:left="720" w:hanging="360"/>
        <w:jc w:val="both"/>
        <w:rPr>
          <w:rFonts w:ascii="Times New Roman" w:hAnsi="Times New Roman" w:cs="Times New Roman"/>
          <w:lang w:val="es-ES"/>
        </w:rPr>
      </w:pPr>
      <w:r w:rsidRPr="00B06FB8">
        <w:rPr>
          <w:rStyle w:val="FootnoteReference"/>
          <w:rFonts w:ascii="Times New Roman" w:hAnsi="Times New Roman" w:cs="Times New Roman"/>
          <w:vertAlign w:val="baseline"/>
        </w:rPr>
        <w:footnoteRef/>
      </w:r>
      <w:r w:rsidR="00057F1A">
        <w:rPr>
          <w:rFonts w:ascii="Times New Roman" w:hAnsi="Times New Roman" w:cs="Times New Roman"/>
        </w:rPr>
        <w:t>.</w:t>
      </w:r>
      <w:r w:rsidRPr="00B06FB8">
        <w:rPr>
          <w:rFonts w:ascii="Times New Roman" w:hAnsi="Times New Roman" w:cs="Times New Roman"/>
        </w:rPr>
        <w:t xml:space="preserve"> Cifras consolidadas durante el primer semestre de 2021 en la base de datos </w:t>
      </w:r>
      <w:proofErr w:type="spellStart"/>
      <w:r w:rsidRPr="00B06FB8">
        <w:rPr>
          <w:rFonts w:ascii="Times New Roman" w:hAnsi="Times New Roman" w:cs="Times New Roman"/>
        </w:rPr>
        <w:t>MAPP</w:t>
      </w:r>
      <w:proofErr w:type="spellEnd"/>
      <w:r w:rsidRPr="00B06FB8">
        <w:rPr>
          <w:rFonts w:ascii="Times New Roman" w:hAnsi="Times New Roman" w:cs="Times New Roman"/>
        </w:rPr>
        <w:t xml:space="preserve">/OEA sobre ataques y vulneraciones a comunales. </w:t>
      </w:r>
    </w:p>
  </w:footnote>
  <w:footnote w:id="114">
    <w:p w14:paraId="69929C27" w14:textId="4A6D0D25" w:rsidR="00A41AA5" w:rsidRPr="00B06FB8" w:rsidRDefault="00A41AA5" w:rsidP="00B06FB8">
      <w:pPr>
        <w:pStyle w:val="FootnoteText"/>
        <w:tabs>
          <w:tab w:val="left" w:pos="720"/>
        </w:tabs>
        <w:ind w:left="720" w:hanging="360"/>
        <w:jc w:val="both"/>
        <w:rPr>
          <w:rFonts w:ascii="Times New Roman" w:hAnsi="Times New Roman" w:cs="Times New Roman"/>
        </w:rPr>
      </w:pPr>
      <w:r w:rsidRPr="00B06FB8">
        <w:rPr>
          <w:rStyle w:val="FootnoteReference"/>
          <w:rFonts w:ascii="Times New Roman" w:hAnsi="Times New Roman" w:cs="Times New Roman"/>
          <w:vertAlign w:val="baseline"/>
        </w:rPr>
        <w:footnoteRef/>
      </w:r>
      <w:r w:rsidR="00057F1A">
        <w:rPr>
          <w:rFonts w:ascii="Times New Roman" w:hAnsi="Times New Roman" w:cs="Times New Roman"/>
        </w:rPr>
        <w:t>.</w:t>
      </w:r>
      <w:r w:rsidRPr="00B06FB8">
        <w:rPr>
          <w:rFonts w:ascii="Times New Roman" w:hAnsi="Times New Roman" w:cs="Times New Roman"/>
        </w:rPr>
        <w:t xml:space="preserve"> 9 colectivas y 145 individuales</w:t>
      </w:r>
    </w:p>
  </w:footnote>
  <w:footnote w:id="115">
    <w:p w14:paraId="387D74DC" w14:textId="549E0EEB" w:rsidR="00A41AA5" w:rsidRPr="00B06FB8" w:rsidRDefault="00A41AA5" w:rsidP="00B06FB8">
      <w:pPr>
        <w:pStyle w:val="FootnoteText"/>
        <w:tabs>
          <w:tab w:val="left" w:pos="720"/>
        </w:tabs>
        <w:ind w:left="720" w:hanging="360"/>
        <w:jc w:val="both"/>
        <w:rPr>
          <w:rFonts w:ascii="Times New Roman" w:hAnsi="Times New Roman" w:cs="Times New Roman"/>
        </w:rPr>
      </w:pPr>
      <w:r w:rsidRPr="00B06FB8">
        <w:rPr>
          <w:rStyle w:val="FootnoteReference"/>
          <w:rFonts w:ascii="Times New Roman" w:hAnsi="Times New Roman" w:cs="Times New Roman"/>
          <w:vertAlign w:val="baseline"/>
        </w:rPr>
        <w:footnoteRef/>
      </w:r>
      <w:r w:rsidR="00057F1A">
        <w:rPr>
          <w:rFonts w:ascii="Times New Roman" w:hAnsi="Times New Roman" w:cs="Times New Roman"/>
        </w:rPr>
        <w:t>.</w:t>
      </w:r>
      <w:r w:rsidRPr="00B06FB8">
        <w:rPr>
          <w:rFonts w:ascii="Times New Roman" w:hAnsi="Times New Roman" w:cs="Times New Roman"/>
        </w:rPr>
        <w:t xml:space="preserve"> 20 persecuciones y 9 estigmatizaciones.</w:t>
      </w:r>
    </w:p>
  </w:footnote>
  <w:footnote w:id="116">
    <w:p w14:paraId="63CD9368" w14:textId="4EAF3C57" w:rsidR="009F67C1" w:rsidRPr="00B06FB8" w:rsidRDefault="009F67C1" w:rsidP="00B06FB8">
      <w:pPr>
        <w:pStyle w:val="FootnoteText"/>
        <w:tabs>
          <w:tab w:val="left" w:pos="720"/>
        </w:tabs>
        <w:ind w:left="720" w:hanging="360"/>
        <w:jc w:val="both"/>
        <w:rPr>
          <w:rFonts w:ascii="Times New Roman" w:hAnsi="Times New Roman" w:cs="Times New Roman"/>
        </w:rPr>
      </w:pPr>
      <w:r w:rsidRPr="00B06FB8">
        <w:rPr>
          <w:rStyle w:val="FootnoteReference"/>
          <w:rFonts w:ascii="Times New Roman" w:hAnsi="Times New Roman" w:cs="Times New Roman"/>
          <w:vertAlign w:val="baseline"/>
        </w:rPr>
        <w:footnoteRef/>
      </w:r>
      <w:r w:rsidR="00057F1A">
        <w:rPr>
          <w:rFonts w:ascii="Times New Roman" w:hAnsi="Times New Roman" w:cs="Times New Roman"/>
          <w:lang w:val="es-ES"/>
        </w:rPr>
        <w:t>.</w:t>
      </w:r>
      <w:r w:rsidRPr="00B06FB8">
        <w:rPr>
          <w:rFonts w:ascii="Times New Roman" w:hAnsi="Times New Roman" w:cs="Times New Roman"/>
          <w:lang w:val="es-ES"/>
        </w:rPr>
        <w:t xml:space="preserve"> </w:t>
      </w:r>
      <w:r w:rsidRPr="00B06FB8">
        <w:rPr>
          <w:rFonts w:ascii="Times New Roman" w:hAnsi="Times New Roman" w:cs="Times New Roman"/>
        </w:rPr>
        <w:t xml:space="preserve">Determinación de qué un área geográfica es apta para iniciar el trámite de restitución. </w:t>
      </w:r>
    </w:p>
  </w:footnote>
  <w:footnote w:id="117">
    <w:p w14:paraId="3CD739E1" w14:textId="33AAAFD2" w:rsidR="009F67C1" w:rsidRPr="00B06FB8" w:rsidRDefault="009F67C1" w:rsidP="00B06FB8">
      <w:pPr>
        <w:pStyle w:val="FootnoteText"/>
        <w:tabs>
          <w:tab w:val="left" w:pos="720"/>
        </w:tabs>
        <w:ind w:left="720" w:hanging="360"/>
        <w:jc w:val="both"/>
        <w:rPr>
          <w:rFonts w:ascii="Times New Roman" w:hAnsi="Times New Roman" w:cs="Times New Roman"/>
          <w:lang w:val="es-ES"/>
        </w:rPr>
      </w:pPr>
      <w:r w:rsidRPr="00B06FB8">
        <w:rPr>
          <w:rStyle w:val="FootnoteReference"/>
          <w:rFonts w:ascii="Times New Roman" w:hAnsi="Times New Roman" w:cs="Times New Roman"/>
          <w:vertAlign w:val="baseline"/>
        </w:rPr>
        <w:footnoteRef/>
      </w:r>
      <w:r w:rsidR="00057F1A">
        <w:rPr>
          <w:rFonts w:ascii="Times New Roman" w:hAnsi="Times New Roman" w:cs="Times New Roman"/>
          <w:lang w:val="es-ES"/>
        </w:rPr>
        <w:t>.</w:t>
      </w:r>
      <w:r w:rsidRPr="00B06FB8">
        <w:rPr>
          <w:rFonts w:ascii="Times New Roman" w:hAnsi="Times New Roman" w:cs="Times New Roman"/>
          <w:lang w:val="es-ES"/>
        </w:rPr>
        <w:t xml:space="preserve"> Mecanismo de restitución, por el cuál a la persona restituida se le entrega un predio con avalúo equivalente al que reclamaba en restitución.</w:t>
      </w:r>
      <w:r w:rsidR="0078159F" w:rsidRPr="00B06FB8">
        <w:rPr>
          <w:rFonts w:ascii="Times New Roman" w:hAnsi="Times New Roman" w:cs="Times New Roman"/>
          <w:lang w:val="es-ES"/>
        </w:rPr>
        <w:t xml:space="preserve"> </w:t>
      </w:r>
    </w:p>
  </w:footnote>
  <w:footnote w:id="118">
    <w:p w14:paraId="27D43100" w14:textId="3627D971" w:rsidR="009F67C1" w:rsidRPr="00B06FB8" w:rsidRDefault="009F67C1" w:rsidP="00B06FB8">
      <w:pPr>
        <w:pStyle w:val="FootnoteText"/>
        <w:tabs>
          <w:tab w:val="left" w:pos="720"/>
        </w:tabs>
        <w:ind w:left="720" w:hanging="360"/>
        <w:jc w:val="both"/>
        <w:rPr>
          <w:rFonts w:ascii="Times New Roman" w:hAnsi="Times New Roman" w:cs="Times New Roman"/>
          <w:lang w:val="es-ES"/>
        </w:rPr>
      </w:pPr>
      <w:r w:rsidRPr="00B06FB8">
        <w:rPr>
          <w:rStyle w:val="FootnoteReference"/>
          <w:rFonts w:ascii="Times New Roman" w:hAnsi="Times New Roman" w:cs="Times New Roman"/>
          <w:vertAlign w:val="baseline"/>
        </w:rPr>
        <w:footnoteRef/>
      </w:r>
      <w:r w:rsidR="00057F1A">
        <w:rPr>
          <w:rFonts w:ascii="Times New Roman" w:hAnsi="Times New Roman" w:cs="Times New Roman"/>
          <w:lang w:val="es-ES"/>
        </w:rPr>
        <w:t>.</w:t>
      </w:r>
      <w:r w:rsidRPr="00B06FB8">
        <w:rPr>
          <w:rFonts w:ascii="Times New Roman" w:hAnsi="Times New Roman" w:cs="Times New Roman"/>
          <w:lang w:val="es-ES"/>
        </w:rPr>
        <w:t xml:space="preserve"> En </w:t>
      </w:r>
      <w:r w:rsidR="00D12F99" w:rsidRPr="00B06FB8">
        <w:rPr>
          <w:rFonts w:ascii="Times New Roman" w:hAnsi="Times New Roman" w:cs="Times New Roman"/>
          <w:lang w:val="es-ES"/>
        </w:rPr>
        <w:t xml:space="preserve">total </w:t>
      </w:r>
      <w:r w:rsidRPr="00B06FB8">
        <w:rPr>
          <w:rFonts w:ascii="Times New Roman" w:hAnsi="Times New Roman" w:cs="Times New Roman"/>
          <w:lang w:val="es-ES"/>
        </w:rPr>
        <w:t xml:space="preserve">son </w:t>
      </w:r>
      <w:r w:rsidR="00D212D2" w:rsidRPr="00B06FB8">
        <w:rPr>
          <w:rFonts w:ascii="Times New Roman" w:hAnsi="Times New Roman" w:cs="Times New Roman"/>
          <w:lang w:val="es-ES"/>
        </w:rPr>
        <w:t>21</w:t>
      </w:r>
      <w:r w:rsidRPr="00B06FB8">
        <w:rPr>
          <w:rFonts w:ascii="Times New Roman" w:hAnsi="Times New Roman" w:cs="Times New Roman"/>
          <w:lang w:val="es-ES"/>
        </w:rPr>
        <w:t xml:space="preserve"> al momento de </w:t>
      </w:r>
      <w:r w:rsidR="00D12F99" w:rsidRPr="00B06FB8">
        <w:rPr>
          <w:rFonts w:ascii="Times New Roman" w:hAnsi="Times New Roman" w:cs="Times New Roman"/>
          <w:lang w:val="es-ES"/>
        </w:rPr>
        <w:t xml:space="preserve">la </w:t>
      </w:r>
      <w:r w:rsidRPr="00B06FB8">
        <w:rPr>
          <w:rFonts w:ascii="Times New Roman" w:hAnsi="Times New Roman" w:cs="Times New Roman"/>
          <w:lang w:val="es-ES"/>
        </w:rPr>
        <w:t>presentación del presente informe</w:t>
      </w:r>
      <w:r w:rsidR="00D12F99" w:rsidRPr="00B06FB8">
        <w:rPr>
          <w:rFonts w:ascii="Times New Roman" w:hAnsi="Times New Roman" w:cs="Times New Roman"/>
          <w:lang w:val="es-ES"/>
        </w:rPr>
        <w:t>.</w:t>
      </w:r>
    </w:p>
  </w:footnote>
  <w:footnote w:id="119">
    <w:p w14:paraId="4B7B69DF" w14:textId="31CD88D6" w:rsidR="009F67C1" w:rsidRPr="00B06FB8" w:rsidRDefault="009F67C1" w:rsidP="00B06FB8">
      <w:pPr>
        <w:shd w:val="clear" w:color="auto" w:fill="FFFFFF"/>
        <w:tabs>
          <w:tab w:val="left" w:pos="720"/>
        </w:tabs>
        <w:ind w:left="720" w:hanging="360"/>
        <w:jc w:val="both"/>
        <w:rPr>
          <w:sz w:val="20"/>
          <w:szCs w:val="20"/>
          <w:lang w:val="es-MX"/>
        </w:rPr>
      </w:pPr>
      <w:r w:rsidRPr="00B06FB8">
        <w:rPr>
          <w:rStyle w:val="FootnoteReference"/>
          <w:sz w:val="20"/>
          <w:szCs w:val="20"/>
          <w:vertAlign w:val="baseline"/>
        </w:rPr>
        <w:footnoteRef/>
      </w:r>
      <w:r w:rsidR="00057F1A">
        <w:rPr>
          <w:sz w:val="20"/>
          <w:szCs w:val="20"/>
        </w:rPr>
        <w:t>.</w:t>
      </w:r>
      <w:r w:rsidRPr="00B06FB8">
        <w:rPr>
          <w:sz w:val="20"/>
          <w:szCs w:val="20"/>
        </w:rPr>
        <w:t xml:space="preserve"> </w:t>
      </w:r>
      <w:r w:rsidRPr="00B06FB8">
        <w:rPr>
          <w:sz w:val="20"/>
          <w:szCs w:val="20"/>
          <w:lang w:val="es-MX"/>
        </w:rPr>
        <w:t>Con la presencia de diferentes instituciones del Gobierno nacional y en compañía del Gobierno de la República de Ecuador, se realizó la entrega del Puente Binacional, la obra de infraestructura más importante en la historia de la región. De igual forma, se señala que, a través del Instituto Nacional de Vías como la entidad encargada de la ejecución, se logró la generación de empleo para los habitantes de la región.</w:t>
      </w:r>
    </w:p>
  </w:footnote>
  <w:footnote w:id="120">
    <w:p w14:paraId="75F8128B" w14:textId="350749D7" w:rsidR="009F67C1" w:rsidRPr="00B06FB8" w:rsidRDefault="009F67C1" w:rsidP="00B06FB8">
      <w:pPr>
        <w:pStyle w:val="FootnoteText"/>
        <w:tabs>
          <w:tab w:val="left" w:pos="720"/>
        </w:tabs>
        <w:ind w:left="720" w:hanging="360"/>
        <w:jc w:val="both"/>
        <w:rPr>
          <w:rFonts w:ascii="Times New Roman" w:hAnsi="Times New Roman" w:cs="Times New Roman"/>
          <w:lang w:val="es-MX"/>
        </w:rPr>
      </w:pPr>
      <w:r w:rsidRPr="00B06FB8">
        <w:rPr>
          <w:rStyle w:val="FootnoteReference"/>
          <w:rFonts w:ascii="Times New Roman" w:hAnsi="Times New Roman" w:cs="Times New Roman"/>
          <w:vertAlign w:val="baseline"/>
        </w:rPr>
        <w:footnoteRef/>
      </w:r>
      <w:r w:rsidR="00057F1A">
        <w:rPr>
          <w:rFonts w:ascii="Times New Roman" w:hAnsi="Times New Roman" w:cs="Times New Roman"/>
        </w:rPr>
        <w:t>.</w:t>
      </w:r>
      <w:r w:rsidRPr="00B06FB8">
        <w:rPr>
          <w:rFonts w:ascii="Times New Roman" w:hAnsi="Times New Roman" w:cs="Times New Roman"/>
        </w:rPr>
        <w:t xml:space="preserve"> </w:t>
      </w:r>
      <w:r w:rsidRPr="00B06FB8">
        <w:rPr>
          <w:rFonts w:ascii="Times New Roman" w:hAnsi="Times New Roman" w:cs="Times New Roman"/>
          <w:lang w:val="es-MX"/>
        </w:rPr>
        <w:t xml:space="preserve">En los PNN Serranía de Chiribiquete, </w:t>
      </w:r>
      <w:proofErr w:type="spellStart"/>
      <w:r w:rsidRPr="00B06FB8">
        <w:rPr>
          <w:rFonts w:ascii="Times New Roman" w:hAnsi="Times New Roman" w:cs="Times New Roman"/>
          <w:lang w:val="es-MX"/>
        </w:rPr>
        <w:t>Tinigua</w:t>
      </w:r>
      <w:proofErr w:type="spellEnd"/>
      <w:r w:rsidRPr="00B06FB8">
        <w:rPr>
          <w:rFonts w:ascii="Times New Roman" w:hAnsi="Times New Roman" w:cs="Times New Roman"/>
          <w:lang w:val="es-MX"/>
        </w:rPr>
        <w:t>, cordillera de Los Picachos y serranía de La Macarena</w:t>
      </w:r>
      <w:r w:rsidR="00913F21" w:rsidRPr="00B06FB8">
        <w:rPr>
          <w:rFonts w:ascii="Times New Roman" w:hAnsi="Times New Roman" w:cs="Times New Roman"/>
          <w:lang w:val="es-MX"/>
        </w:rPr>
        <w:t xml:space="preserve">; </w:t>
      </w:r>
      <w:r w:rsidRPr="00B06FB8">
        <w:rPr>
          <w:rFonts w:ascii="Times New Roman" w:hAnsi="Times New Roman" w:cs="Times New Roman"/>
          <w:lang w:val="es-MX"/>
        </w:rPr>
        <w:t>y la Zona de Reserva Forestal de la Amazonía.</w:t>
      </w:r>
    </w:p>
  </w:footnote>
  <w:footnote w:id="121">
    <w:p w14:paraId="3B34E5C8" w14:textId="73A89D9C" w:rsidR="009F67C1" w:rsidRPr="00B06FB8" w:rsidRDefault="009F67C1" w:rsidP="00B06FB8">
      <w:pPr>
        <w:pStyle w:val="FootnoteText"/>
        <w:tabs>
          <w:tab w:val="left" w:pos="720"/>
        </w:tabs>
        <w:ind w:left="720" w:hanging="360"/>
        <w:jc w:val="both"/>
        <w:rPr>
          <w:rFonts w:ascii="Times New Roman" w:hAnsi="Times New Roman" w:cs="Times New Roman"/>
        </w:rPr>
      </w:pPr>
      <w:r w:rsidRPr="00B06FB8">
        <w:rPr>
          <w:rStyle w:val="FootnoteReference"/>
          <w:rFonts w:ascii="Times New Roman" w:hAnsi="Times New Roman" w:cs="Times New Roman"/>
          <w:vertAlign w:val="baseline"/>
        </w:rPr>
        <w:footnoteRef/>
      </w:r>
      <w:r w:rsidR="00057F1A">
        <w:rPr>
          <w:rFonts w:ascii="Times New Roman" w:hAnsi="Times New Roman" w:cs="Times New Roman"/>
        </w:rPr>
        <w:t>.</w:t>
      </w:r>
      <w:r w:rsidRPr="00B06FB8">
        <w:rPr>
          <w:rFonts w:ascii="Times New Roman" w:hAnsi="Times New Roman" w:cs="Times New Roman"/>
        </w:rPr>
        <w:t xml:space="preserve"> Según datos del Ministerio de Defensa, las principales acciones para contrarrestar la explotación ilícita de yacimientos mineros en la región del Bajo Cauca fueron; la intervención de 187 minas ilegales; la captura de 129 personas y la incautación de 44 equipos de maquinaria amarilla utilizadas para esta actividad ilícita. De igual forma, en Chocó, estos operativos lograron la intervención de 47 minas ilegales, la captura de 19 personas y la incautación de 29 equipos de maquinaria amarilla. </w:t>
      </w:r>
    </w:p>
  </w:footnote>
  <w:footnote w:id="122">
    <w:p w14:paraId="3BEE23F3" w14:textId="26B36814" w:rsidR="009F67C1" w:rsidRPr="00B06FB8" w:rsidRDefault="009F67C1" w:rsidP="00B06FB8">
      <w:pPr>
        <w:tabs>
          <w:tab w:val="left" w:pos="720"/>
        </w:tabs>
        <w:ind w:left="720" w:hanging="360"/>
        <w:jc w:val="both"/>
        <w:rPr>
          <w:sz w:val="20"/>
          <w:szCs w:val="20"/>
          <w:lang w:eastAsia="es-CO"/>
        </w:rPr>
      </w:pPr>
      <w:r w:rsidRPr="00B06FB8">
        <w:rPr>
          <w:rStyle w:val="FootnoteReference"/>
          <w:sz w:val="20"/>
          <w:szCs w:val="20"/>
          <w:vertAlign w:val="baseline"/>
        </w:rPr>
        <w:footnoteRef/>
      </w:r>
      <w:r w:rsidR="00057F1A">
        <w:rPr>
          <w:sz w:val="20"/>
          <w:szCs w:val="20"/>
        </w:rPr>
        <w:t>.</w:t>
      </w:r>
      <w:r w:rsidRPr="00B06FB8">
        <w:rPr>
          <w:sz w:val="20"/>
          <w:szCs w:val="20"/>
        </w:rPr>
        <w:t xml:space="preserve"> </w:t>
      </w:r>
      <w:r w:rsidR="0079794E" w:rsidRPr="00B06FB8">
        <w:rPr>
          <w:sz w:val="20"/>
          <w:szCs w:val="20"/>
          <w:lang w:eastAsia="es-CO"/>
        </w:rPr>
        <w:t>A octubre 2021.</w:t>
      </w:r>
    </w:p>
  </w:footnote>
  <w:footnote w:id="123">
    <w:p w14:paraId="279199D1" w14:textId="25243200" w:rsidR="009F67C1" w:rsidRPr="00B06FB8" w:rsidRDefault="009F67C1" w:rsidP="00B06FB8">
      <w:pPr>
        <w:tabs>
          <w:tab w:val="left" w:pos="720"/>
        </w:tabs>
        <w:ind w:left="720" w:hanging="360"/>
        <w:jc w:val="both"/>
        <w:rPr>
          <w:sz w:val="20"/>
          <w:szCs w:val="20"/>
          <w:lang w:eastAsia="es-CO"/>
        </w:rPr>
      </w:pPr>
      <w:r w:rsidRPr="00B06FB8">
        <w:rPr>
          <w:rStyle w:val="FootnoteReference"/>
          <w:sz w:val="20"/>
          <w:szCs w:val="20"/>
          <w:vertAlign w:val="baseline"/>
        </w:rPr>
        <w:footnoteRef/>
      </w:r>
      <w:r w:rsidR="00057F1A">
        <w:rPr>
          <w:sz w:val="20"/>
          <w:szCs w:val="20"/>
        </w:rPr>
        <w:t xml:space="preserve">. </w:t>
      </w:r>
      <w:r w:rsidRPr="00B06FB8">
        <w:rPr>
          <w:sz w:val="20"/>
          <w:szCs w:val="20"/>
          <w:lang w:eastAsia="es-CO"/>
        </w:rPr>
        <w:t>El Charco, La Tola, Olaya Herrera, Santa Bárbara, Mosquera y Roberto Payán (Nariño), Convención, El Carmen, Hacarí y San Calixto (Norte de Santander), Calamar, El Retorno (Guaviare) y Puerto Concordia y Vista Hermosa (Meta).</w:t>
      </w:r>
    </w:p>
  </w:footnote>
  <w:footnote w:id="124">
    <w:p w14:paraId="39DBEA8E" w14:textId="79329E64" w:rsidR="009F67C1" w:rsidRPr="00B06FB8" w:rsidRDefault="009F67C1" w:rsidP="00B06FB8">
      <w:pPr>
        <w:pStyle w:val="FootnoteText"/>
        <w:tabs>
          <w:tab w:val="left" w:pos="720"/>
        </w:tabs>
        <w:ind w:left="720" w:hanging="360"/>
        <w:jc w:val="both"/>
        <w:rPr>
          <w:rFonts w:ascii="Times New Roman" w:eastAsia="Times New Roman" w:hAnsi="Times New Roman" w:cs="Times New Roman"/>
          <w:lang w:eastAsia="es-CO"/>
        </w:rPr>
      </w:pPr>
      <w:r w:rsidRPr="00B06FB8">
        <w:rPr>
          <w:rStyle w:val="FootnoteReference"/>
          <w:rFonts w:ascii="Times New Roman" w:hAnsi="Times New Roman" w:cs="Times New Roman"/>
          <w:vertAlign w:val="baseline"/>
        </w:rPr>
        <w:footnoteRef/>
      </w:r>
      <w:r w:rsidR="00057F1A">
        <w:rPr>
          <w:rFonts w:ascii="Times New Roman" w:hAnsi="Times New Roman" w:cs="Times New Roman"/>
        </w:rPr>
        <w:t xml:space="preserve">. </w:t>
      </w:r>
      <w:r w:rsidRPr="00B06FB8">
        <w:rPr>
          <w:rFonts w:ascii="Times New Roman" w:hAnsi="Times New Roman" w:cs="Times New Roman"/>
        </w:rPr>
        <w:t xml:space="preserve">En Arauca, </w:t>
      </w:r>
      <w:r w:rsidRPr="00B06FB8">
        <w:rPr>
          <w:rFonts w:ascii="Times New Roman" w:eastAsia="Times New Roman" w:hAnsi="Times New Roman" w:cs="Times New Roman"/>
          <w:lang w:eastAsia="es-CO"/>
        </w:rPr>
        <w:t xml:space="preserve">estas acciones violentas se han manifestado principalmente en atentados hacia </w:t>
      </w:r>
      <w:r w:rsidR="008B7030" w:rsidRPr="00B06FB8">
        <w:rPr>
          <w:rFonts w:ascii="Times New Roman" w:eastAsia="Times New Roman" w:hAnsi="Times New Roman" w:cs="Times New Roman"/>
          <w:lang w:eastAsia="es-CO"/>
        </w:rPr>
        <w:t xml:space="preserve">integrantes </w:t>
      </w:r>
      <w:r w:rsidRPr="00B06FB8">
        <w:rPr>
          <w:rFonts w:ascii="Times New Roman" w:eastAsia="Times New Roman" w:hAnsi="Times New Roman" w:cs="Times New Roman"/>
          <w:lang w:eastAsia="es-CO"/>
        </w:rPr>
        <w:t>de la fuerza pública; así como la infraestructura petrolera del departamento.</w:t>
      </w:r>
    </w:p>
  </w:footnote>
  <w:footnote w:id="125">
    <w:p w14:paraId="7B9D8D5D" w14:textId="0740EAD4" w:rsidR="009F67C1" w:rsidRPr="00B06FB8" w:rsidRDefault="009F67C1" w:rsidP="00B06FB8">
      <w:pPr>
        <w:pStyle w:val="FootnoteText"/>
        <w:tabs>
          <w:tab w:val="left" w:pos="720"/>
        </w:tabs>
        <w:ind w:left="720" w:hanging="360"/>
        <w:jc w:val="both"/>
        <w:rPr>
          <w:rFonts w:ascii="Times New Roman" w:hAnsi="Times New Roman" w:cs="Times New Roman"/>
        </w:rPr>
      </w:pPr>
      <w:r w:rsidRPr="00B06FB8">
        <w:rPr>
          <w:rStyle w:val="FootnoteReference"/>
          <w:rFonts w:ascii="Times New Roman" w:hAnsi="Times New Roman" w:cs="Times New Roman"/>
          <w:vertAlign w:val="baseline"/>
        </w:rPr>
        <w:footnoteRef/>
      </w:r>
      <w:r w:rsidR="00B3338F">
        <w:rPr>
          <w:rFonts w:ascii="Times New Roman" w:hAnsi="Times New Roman" w:cs="Times New Roman"/>
        </w:rPr>
        <w:t>.</w:t>
      </w:r>
      <w:r w:rsidRPr="00B06FB8">
        <w:rPr>
          <w:rFonts w:ascii="Times New Roman" w:hAnsi="Times New Roman" w:cs="Times New Roman"/>
        </w:rPr>
        <w:t xml:space="preserve"> </w:t>
      </w:r>
      <w:r w:rsidRPr="00B06FB8">
        <w:rPr>
          <w:rFonts w:ascii="Times New Roman" w:eastAsia="Times New Roman" w:hAnsi="Times New Roman" w:cs="Times New Roman"/>
          <w:lang w:eastAsia="es-CO"/>
        </w:rPr>
        <w:t>En las Zonas Futuro, las actuales condiciones de seguridad, sumadas a los impactos de la pandemia, han limitado aún más el desplazamiento del personal de investigación judicial y de los operadores de justicia en general.</w:t>
      </w:r>
    </w:p>
  </w:footnote>
  <w:footnote w:id="126">
    <w:p w14:paraId="50D01A91" w14:textId="607D84E8" w:rsidR="009F67C1" w:rsidRPr="00B06FB8" w:rsidRDefault="009F67C1" w:rsidP="00B06FB8">
      <w:pPr>
        <w:pStyle w:val="FootnoteText"/>
        <w:tabs>
          <w:tab w:val="left" w:pos="720"/>
        </w:tabs>
        <w:ind w:left="720" w:hanging="360"/>
        <w:jc w:val="both"/>
        <w:rPr>
          <w:rFonts w:ascii="Times New Roman" w:hAnsi="Times New Roman" w:cs="Times New Roman"/>
          <w:lang w:val="es-ES"/>
        </w:rPr>
      </w:pPr>
      <w:r w:rsidRPr="00B06FB8">
        <w:rPr>
          <w:rStyle w:val="FootnoteReference"/>
          <w:rFonts w:ascii="Times New Roman" w:hAnsi="Times New Roman" w:cs="Times New Roman"/>
          <w:vertAlign w:val="baseline"/>
        </w:rPr>
        <w:footnoteRef/>
      </w:r>
      <w:r w:rsidR="00B3338F">
        <w:rPr>
          <w:rFonts w:ascii="Times New Roman" w:hAnsi="Times New Roman" w:cs="Times New Roman"/>
        </w:rPr>
        <w:t>.</w:t>
      </w:r>
      <w:r w:rsidRPr="00B06FB8">
        <w:rPr>
          <w:rFonts w:ascii="Times New Roman" w:hAnsi="Times New Roman" w:cs="Times New Roman"/>
        </w:rPr>
        <w:t xml:space="preserve"> E</w:t>
      </w:r>
      <w:r w:rsidRPr="00B06FB8">
        <w:rPr>
          <w:rFonts w:ascii="Times New Roman" w:hAnsi="Times New Roman" w:cs="Times New Roman"/>
          <w:lang w:val="es-ES"/>
        </w:rPr>
        <w:t xml:space="preserve">n los departamentos del Caquetá, Cesar, La Guajira y los municipios de San Andrés de Cuerquia y El Bagre </w:t>
      </w:r>
      <w:r w:rsidR="00DF661E" w:rsidRPr="00B06FB8">
        <w:rPr>
          <w:rFonts w:ascii="Times New Roman" w:hAnsi="Times New Roman" w:cs="Times New Roman"/>
          <w:lang w:val="es-ES"/>
        </w:rPr>
        <w:t>(</w:t>
      </w:r>
      <w:r w:rsidRPr="00B06FB8">
        <w:rPr>
          <w:rFonts w:ascii="Times New Roman" w:hAnsi="Times New Roman" w:cs="Times New Roman"/>
          <w:lang w:val="es-ES"/>
        </w:rPr>
        <w:t>Antioquia</w:t>
      </w:r>
      <w:r w:rsidR="00DF661E" w:rsidRPr="00B06FB8">
        <w:rPr>
          <w:rFonts w:ascii="Times New Roman" w:hAnsi="Times New Roman" w:cs="Times New Roman"/>
          <w:lang w:val="es-ES"/>
        </w:rPr>
        <w:t>)</w:t>
      </w:r>
      <w:r w:rsidRPr="00B06FB8">
        <w:rPr>
          <w:rFonts w:ascii="Times New Roman" w:hAnsi="Times New Roman" w:cs="Times New Roman"/>
          <w:lang w:val="es-ES"/>
        </w:rPr>
        <w:t xml:space="preserve">, San José de Fragua </w:t>
      </w:r>
      <w:r w:rsidR="00DF661E" w:rsidRPr="00B06FB8">
        <w:rPr>
          <w:rFonts w:ascii="Times New Roman" w:hAnsi="Times New Roman" w:cs="Times New Roman"/>
          <w:lang w:val="es-ES"/>
        </w:rPr>
        <w:t>(</w:t>
      </w:r>
      <w:r w:rsidRPr="00B06FB8">
        <w:rPr>
          <w:rFonts w:ascii="Times New Roman" w:hAnsi="Times New Roman" w:cs="Times New Roman"/>
          <w:lang w:val="es-ES"/>
        </w:rPr>
        <w:t>Caquetá</w:t>
      </w:r>
      <w:r w:rsidR="00DF661E" w:rsidRPr="00B06FB8">
        <w:rPr>
          <w:rFonts w:ascii="Times New Roman" w:hAnsi="Times New Roman" w:cs="Times New Roman"/>
          <w:lang w:val="es-ES"/>
        </w:rPr>
        <w:t>)</w:t>
      </w:r>
      <w:r w:rsidRPr="00B06FB8">
        <w:rPr>
          <w:rFonts w:ascii="Times New Roman" w:hAnsi="Times New Roman" w:cs="Times New Roman"/>
          <w:lang w:val="es-ES"/>
        </w:rPr>
        <w:t xml:space="preserve">, Manaure y La Paz </w:t>
      </w:r>
      <w:r w:rsidR="00DF661E" w:rsidRPr="00B06FB8">
        <w:rPr>
          <w:rFonts w:ascii="Times New Roman" w:hAnsi="Times New Roman" w:cs="Times New Roman"/>
          <w:lang w:val="es-ES"/>
        </w:rPr>
        <w:t>(</w:t>
      </w:r>
      <w:r w:rsidRPr="00B06FB8">
        <w:rPr>
          <w:rFonts w:ascii="Times New Roman" w:hAnsi="Times New Roman" w:cs="Times New Roman"/>
          <w:lang w:val="es-ES"/>
        </w:rPr>
        <w:t>Cesar</w:t>
      </w:r>
      <w:r w:rsidR="00DF661E" w:rsidRPr="00B06FB8">
        <w:rPr>
          <w:rFonts w:ascii="Times New Roman" w:hAnsi="Times New Roman" w:cs="Times New Roman"/>
          <w:lang w:val="es-ES"/>
        </w:rPr>
        <w:t>)</w:t>
      </w:r>
      <w:r w:rsidRPr="00B06FB8">
        <w:rPr>
          <w:rFonts w:ascii="Times New Roman" w:hAnsi="Times New Roman" w:cs="Times New Roman"/>
          <w:lang w:val="es-ES"/>
        </w:rPr>
        <w:t xml:space="preserve">, así como Fonseca y San Juan del Cesar </w:t>
      </w:r>
      <w:r w:rsidR="00DF661E" w:rsidRPr="00B06FB8">
        <w:rPr>
          <w:rFonts w:ascii="Times New Roman" w:hAnsi="Times New Roman" w:cs="Times New Roman"/>
          <w:lang w:val="es-ES"/>
        </w:rPr>
        <w:t>(</w:t>
      </w:r>
      <w:r w:rsidRPr="00B06FB8">
        <w:rPr>
          <w:rFonts w:ascii="Times New Roman" w:hAnsi="Times New Roman" w:cs="Times New Roman"/>
          <w:lang w:val="es-ES"/>
        </w:rPr>
        <w:t>La Guajira</w:t>
      </w:r>
      <w:r w:rsidR="00DF661E" w:rsidRPr="00B06FB8">
        <w:rPr>
          <w:rFonts w:ascii="Times New Roman" w:hAnsi="Times New Roman" w:cs="Times New Roman"/>
          <w:lang w:val="es-ES"/>
        </w:rPr>
        <w:t>)</w:t>
      </w:r>
      <w:r w:rsidRPr="00B06FB8">
        <w:rPr>
          <w:rFonts w:ascii="Times New Roman" w:hAnsi="Times New Roman" w:cs="Times New Roman"/>
          <w:lang w:val="es-ES"/>
        </w:rPr>
        <w:t>.</w:t>
      </w:r>
    </w:p>
  </w:footnote>
  <w:footnote w:id="127">
    <w:p w14:paraId="19081A97" w14:textId="4A609378" w:rsidR="009F67C1" w:rsidRPr="00B06FB8" w:rsidRDefault="009F67C1" w:rsidP="00B06FB8">
      <w:pPr>
        <w:pStyle w:val="FootnoteText"/>
        <w:tabs>
          <w:tab w:val="left" w:pos="720"/>
        </w:tabs>
        <w:ind w:left="720" w:hanging="360"/>
        <w:jc w:val="both"/>
        <w:rPr>
          <w:rFonts w:ascii="Times New Roman" w:hAnsi="Times New Roman" w:cs="Times New Roman"/>
          <w:lang w:val="es-ES"/>
        </w:rPr>
      </w:pPr>
      <w:r w:rsidRPr="00B06FB8">
        <w:rPr>
          <w:rStyle w:val="FootnoteReference"/>
          <w:rFonts w:ascii="Times New Roman" w:hAnsi="Times New Roman" w:cs="Times New Roman"/>
          <w:vertAlign w:val="baseline"/>
        </w:rPr>
        <w:footnoteRef/>
      </w:r>
      <w:r w:rsidR="00B3338F">
        <w:rPr>
          <w:rFonts w:ascii="Times New Roman" w:hAnsi="Times New Roman" w:cs="Times New Roman"/>
        </w:rPr>
        <w:t>.</w:t>
      </w:r>
      <w:r w:rsidRPr="00B06FB8">
        <w:rPr>
          <w:rFonts w:ascii="Times New Roman" w:hAnsi="Times New Roman" w:cs="Times New Roman"/>
        </w:rPr>
        <w:t xml:space="preserve"> </w:t>
      </w:r>
      <w:r w:rsidRPr="00B06FB8">
        <w:rPr>
          <w:rFonts w:ascii="Times New Roman" w:hAnsi="Times New Roman" w:cs="Times New Roman"/>
          <w:lang w:val="es-ES"/>
        </w:rPr>
        <w:t xml:space="preserve">Comisión de Seguimiento, Impulso y Verificación a la Implementación del Acuerdo Final entre las FARC-EP y el Gobierno colombiano. </w:t>
      </w:r>
    </w:p>
  </w:footnote>
  <w:footnote w:id="128">
    <w:p w14:paraId="77EA7D5D" w14:textId="76063E9A" w:rsidR="009F67C1" w:rsidRPr="00B06FB8" w:rsidRDefault="009F67C1" w:rsidP="00B06FB8">
      <w:pPr>
        <w:pStyle w:val="FootnoteText"/>
        <w:tabs>
          <w:tab w:val="left" w:pos="720"/>
        </w:tabs>
        <w:ind w:left="720" w:hanging="360"/>
        <w:jc w:val="both"/>
        <w:rPr>
          <w:rFonts w:ascii="Times New Roman" w:hAnsi="Times New Roman" w:cs="Times New Roman"/>
        </w:rPr>
      </w:pPr>
      <w:r w:rsidRPr="00B06FB8">
        <w:rPr>
          <w:rStyle w:val="FootnoteReference"/>
          <w:rFonts w:ascii="Times New Roman" w:hAnsi="Times New Roman" w:cs="Times New Roman"/>
          <w:vertAlign w:val="baseline"/>
        </w:rPr>
        <w:footnoteRef/>
      </w:r>
      <w:r w:rsidR="00B3338F">
        <w:rPr>
          <w:rStyle w:val="FootnoteReference"/>
          <w:rFonts w:ascii="Times New Roman" w:hAnsi="Times New Roman" w:cs="Times New Roman"/>
          <w:vertAlign w:val="baseline"/>
        </w:rPr>
        <w:t>.</w:t>
      </w:r>
      <w:r w:rsidRPr="00B06FB8">
        <w:rPr>
          <w:rStyle w:val="FootnoteReference"/>
          <w:rFonts w:ascii="Times New Roman" w:hAnsi="Times New Roman" w:cs="Times New Roman"/>
          <w:vertAlign w:val="baseline"/>
        </w:rPr>
        <w:t xml:space="preserve"> Esta Instancia comenzó sus labores en el 2017 con siete lideresas representantes de las organizaciones de mujeres en Colombia, quienes lograron incluir un octavo cupo para las mujeres negras, afrocolombianas, raizales y palenqueras, así como crear un reglamento que hoy permite la elección de ocho integrantes principales, ocho suplentes y la participación de una mujer excombatiente como invitada permanente.</w:t>
      </w:r>
    </w:p>
  </w:footnote>
  <w:footnote w:id="129">
    <w:p w14:paraId="3A415F59" w14:textId="689C9C3E" w:rsidR="009F67C1" w:rsidRPr="00B06FB8" w:rsidRDefault="009F67C1" w:rsidP="00B06FB8">
      <w:pPr>
        <w:pStyle w:val="FootnoteText"/>
        <w:tabs>
          <w:tab w:val="left" w:pos="720"/>
        </w:tabs>
        <w:ind w:left="720" w:hanging="360"/>
        <w:jc w:val="both"/>
        <w:rPr>
          <w:rFonts w:ascii="Times New Roman" w:hAnsi="Times New Roman" w:cs="Times New Roman"/>
        </w:rPr>
      </w:pPr>
      <w:r w:rsidRPr="00B06FB8">
        <w:rPr>
          <w:rStyle w:val="FootnoteReference"/>
          <w:rFonts w:ascii="Times New Roman" w:hAnsi="Times New Roman" w:cs="Times New Roman"/>
          <w:vertAlign w:val="baseline"/>
        </w:rPr>
        <w:footnoteRef/>
      </w:r>
      <w:r w:rsidR="00B3338F">
        <w:rPr>
          <w:rFonts w:ascii="Times New Roman" w:hAnsi="Times New Roman" w:cs="Times New Roman"/>
        </w:rPr>
        <w:t>.</w:t>
      </w:r>
      <w:r w:rsidRPr="00B06FB8">
        <w:rPr>
          <w:rFonts w:ascii="Times New Roman" w:hAnsi="Times New Roman" w:cs="Times New Roman"/>
        </w:rPr>
        <w:t xml:space="preserve"> El aumento del desempleo y pobreza de las mujeres que genera como consecuencia el debilitamiento de su rol de liderazgo y participación en diferentes organizaciones.</w:t>
      </w:r>
    </w:p>
  </w:footnote>
  <w:footnote w:id="130">
    <w:p w14:paraId="0C3EB550" w14:textId="5B22F1EE" w:rsidR="009F67C1" w:rsidRPr="00B06FB8" w:rsidRDefault="009F67C1" w:rsidP="00B06FB8">
      <w:pPr>
        <w:pStyle w:val="FootnoteText"/>
        <w:tabs>
          <w:tab w:val="left" w:pos="720"/>
        </w:tabs>
        <w:ind w:left="720" w:hanging="360"/>
        <w:jc w:val="both"/>
        <w:rPr>
          <w:rFonts w:ascii="Times New Roman" w:hAnsi="Times New Roman" w:cs="Times New Roman"/>
        </w:rPr>
      </w:pPr>
      <w:r w:rsidRPr="00B06FB8">
        <w:rPr>
          <w:rStyle w:val="FootnoteReference"/>
          <w:rFonts w:ascii="Times New Roman" w:hAnsi="Times New Roman" w:cs="Times New Roman"/>
          <w:vertAlign w:val="baseline"/>
        </w:rPr>
        <w:footnoteRef/>
      </w:r>
      <w:r w:rsidR="00B3338F">
        <w:rPr>
          <w:rFonts w:ascii="Times New Roman" w:hAnsi="Times New Roman" w:cs="Times New Roman"/>
        </w:rPr>
        <w:t>.</w:t>
      </w:r>
      <w:r w:rsidRPr="00B06FB8">
        <w:rPr>
          <w:rFonts w:ascii="Times New Roman" w:hAnsi="Times New Roman" w:cs="Times New Roman"/>
        </w:rPr>
        <w:t xml:space="preserve"> Según el Auto 098/2013 y sucesivos, la presunción de riesgo extraordinario de género debe aplicarse en los casos de amenazas a lideresas y defensoras. Esta presunción “a favor de las lideresas debe concretarse en que, en los eventos en que ellas acudan a las autoridades para solicitar protección, la autoridad competente debe partir de que la solicitante, en efecto, se encuentra en riesgo extraordinario contra su vida, seguridad e integridad personal y tales riesgos se concretarían con actos de violencia de género”.</w:t>
      </w:r>
    </w:p>
  </w:footnote>
  <w:footnote w:id="131">
    <w:p w14:paraId="5CBE7DD3" w14:textId="66A81784" w:rsidR="009F67C1" w:rsidRPr="00B06FB8" w:rsidRDefault="009F67C1" w:rsidP="00B06FB8">
      <w:pPr>
        <w:pStyle w:val="FootnoteText"/>
        <w:tabs>
          <w:tab w:val="left" w:pos="720"/>
        </w:tabs>
        <w:ind w:left="720" w:hanging="360"/>
        <w:jc w:val="both"/>
        <w:rPr>
          <w:rFonts w:ascii="Times New Roman" w:hAnsi="Times New Roman" w:cs="Times New Roman"/>
        </w:rPr>
      </w:pPr>
      <w:r w:rsidRPr="00B06FB8">
        <w:rPr>
          <w:rStyle w:val="FootnoteReference"/>
          <w:rFonts w:ascii="Times New Roman" w:hAnsi="Times New Roman" w:cs="Times New Roman"/>
          <w:vertAlign w:val="baseline"/>
        </w:rPr>
        <w:footnoteRef/>
      </w:r>
      <w:r w:rsidR="00B3338F">
        <w:rPr>
          <w:rFonts w:ascii="Times New Roman" w:hAnsi="Times New Roman" w:cs="Times New Roman"/>
        </w:rPr>
        <w:t>.</w:t>
      </w:r>
      <w:r w:rsidRPr="00B06FB8">
        <w:rPr>
          <w:rFonts w:ascii="Times New Roman" w:hAnsi="Times New Roman" w:cs="Times New Roman"/>
        </w:rPr>
        <w:t xml:space="preserve"> Comisión Nacional de Garantías de Seguridad (</w:t>
      </w:r>
      <w:proofErr w:type="spellStart"/>
      <w:r w:rsidRPr="00B06FB8">
        <w:rPr>
          <w:rFonts w:ascii="Times New Roman" w:hAnsi="Times New Roman" w:cs="Times New Roman"/>
        </w:rPr>
        <w:t>CNGS</w:t>
      </w:r>
      <w:proofErr w:type="spellEnd"/>
      <w:r w:rsidRPr="00B06FB8">
        <w:rPr>
          <w:rFonts w:ascii="Times New Roman" w:hAnsi="Times New Roman" w:cs="Times New Roman"/>
        </w:rPr>
        <w:t>)</w:t>
      </w:r>
    </w:p>
  </w:footnote>
  <w:footnote w:id="132">
    <w:p w14:paraId="12EDF799" w14:textId="599B1DE9" w:rsidR="009F67C1" w:rsidRPr="00B06FB8" w:rsidRDefault="009F67C1" w:rsidP="00B06FB8">
      <w:pPr>
        <w:pStyle w:val="FootnoteText"/>
        <w:tabs>
          <w:tab w:val="left" w:pos="720"/>
        </w:tabs>
        <w:ind w:left="720" w:hanging="360"/>
        <w:jc w:val="both"/>
        <w:rPr>
          <w:rFonts w:ascii="Times New Roman" w:hAnsi="Times New Roman" w:cs="Times New Roman"/>
        </w:rPr>
      </w:pPr>
      <w:r w:rsidRPr="00B06FB8">
        <w:rPr>
          <w:rStyle w:val="FootnoteReference"/>
          <w:rFonts w:ascii="Times New Roman" w:hAnsi="Times New Roman" w:cs="Times New Roman"/>
          <w:vertAlign w:val="baseline"/>
        </w:rPr>
        <w:footnoteRef/>
      </w:r>
      <w:r w:rsidR="00B3338F">
        <w:rPr>
          <w:rFonts w:ascii="Times New Roman" w:hAnsi="Times New Roman" w:cs="Times New Roman"/>
        </w:rPr>
        <w:t>.</w:t>
      </w:r>
      <w:r w:rsidRPr="00B06FB8">
        <w:rPr>
          <w:rFonts w:ascii="Times New Roman" w:hAnsi="Times New Roman" w:cs="Times New Roman"/>
        </w:rPr>
        <w:t xml:space="preserve"> </w:t>
      </w:r>
      <w:bookmarkStart w:id="12" w:name="_Hlk83384022"/>
      <w:r w:rsidRPr="00B06FB8">
        <w:rPr>
          <w:rFonts w:ascii="Times New Roman" w:hAnsi="Times New Roman" w:cs="Times New Roman"/>
        </w:rPr>
        <w:t>Sistema Integral de Seguridad para el Ejercicio de la Política (</w:t>
      </w:r>
      <w:proofErr w:type="spellStart"/>
      <w:r w:rsidRPr="00B06FB8">
        <w:rPr>
          <w:rFonts w:ascii="Times New Roman" w:hAnsi="Times New Roman" w:cs="Times New Roman"/>
        </w:rPr>
        <w:t>SISEP</w:t>
      </w:r>
      <w:proofErr w:type="spellEnd"/>
      <w:r w:rsidRPr="00B06FB8">
        <w:rPr>
          <w:rFonts w:ascii="Times New Roman" w:hAnsi="Times New Roman" w:cs="Times New Roman"/>
        </w:rPr>
        <w:t>)</w:t>
      </w:r>
      <w:bookmarkEnd w:id="12"/>
    </w:p>
  </w:footnote>
  <w:footnote w:id="133">
    <w:p w14:paraId="14299268" w14:textId="2ED75042" w:rsidR="009F67C1" w:rsidRPr="00B06FB8" w:rsidRDefault="009F67C1" w:rsidP="00B06FB8">
      <w:pPr>
        <w:pStyle w:val="FootnoteText"/>
        <w:tabs>
          <w:tab w:val="left" w:pos="720"/>
        </w:tabs>
        <w:ind w:left="720" w:hanging="360"/>
        <w:jc w:val="both"/>
        <w:rPr>
          <w:rFonts w:ascii="Times New Roman" w:hAnsi="Times New Roman" w:cs="Times New Roman"/>
        </w:rPr>
      </w:pPr>
      <w:r w:rsidRPr="00B06FB8">
        <w:rPr>
          <w:rStyle w:val="FootnoteReference"/>
          <w:rFonts w:ascii="Times New Roman" w:hAnsi="Times New Roman" w:cs="Times New Roman"/>
          <w:vertAlign w:val="baseline"/>
        </w:rPr>
        <w:footnoteRef/>
      </w:r>
      <w:r w:rsidR="00B3338F">
        <w:rPr>
          <w:rFonts w:ascii="Times New Roman" w:hAnsi="Times New Roman" w:cs="Times New Roman"/>
        </w:rPr>
        <w:t>.</w:t>
      </w:r>
      <w:r w:rsidRPr="00B06FB8">
        <w:rPr>
          <w:rFonts w:ascii="Times New Roman" w:hAnsi="Times New Roman" w:cs="Times New Roman"/>
        </w:rPr>
        <w:t xml:space="preserve"> Desaparición forzada, secuestro, participación en las hostilidades, reclutamiento, impulso a la identificación de cuerpos no identificados</w:t>
      </w:r>
    </w:p>
  </w:footnote>
  <w:footnote w:id="134">
    <w:p w14:paraId="19E251FC" w14:textId="152EBAF0" w:rsidR="009F67C1" w:rsidRPr="00B06FB8" w:rsidRDefault="009F67C1" w:rsidP="00B06FB8">
      <w:pPr>
        <w:pStyle w:val="FootnoteText"/>
        <w:tabs>
          <w:tab w:val="left" w:pos="720"/>
        </w:tabs>
        <w:ind w:left="720" w:hanging="360"/>
        <w:jc w:val="both"/>
        <w:rPr>
          <w:rFonts w:ascii="Times New Roman" w:hAnsi="Times New Roman" w:cs="Times New Roman"/>
        </w:rPr>
      </w:pPr>
      <w:r w:rsidRPr="00B06FB8">
        <w:rPr>
          <w:rStyle w:val="FootnoteReference"/>
          <w:rFonts w:ascii="Times New Roman" w:hAnsi="Times New Roman" w:cs="Times New Roman"/>
          <w:vertAlign w:val="baseline"/>
        </w:rPr>
        <w:footnoteRef/>
      </w:r>
      <w:r w:rsidR="00B3338F">
        <w:rPr>
          <w:rFonts w:ascii="Times New Roman" w:hAnsi="Times New Roman" w:cs="Times New Roman"/>
        </w:rPr>
        <w:t>.</w:t>
      </w:r>
      <w:r w:rsidRPr="00B06FB8">
        <w:rPr>
          <w:rFonts w:ascii="Times New Roman" w:hAnsi="Times New Roman" w:cs="Times New Roman"/>
        </w:rPr>
        <w:t xml:space="preserve"> Centro-Oriente del Meta, Magdalena Medio Caldense, Caquetá, Bajo Putumayo, Sur del Huila, Alto y Medio Atrato, Pacífico Sur, Suroccidente del Casanare, Oriente y Centro del Cauca, </w:t>
      </w:r>
      <w:proofErr w:type="spellStart"/>
      <w:r w:rsidRPr="00B06FB8">
        <w:rPr>
          <w:rFonts w:ascii="Times New Roman" w:hAnsi="Times New Roman" w:cs="Times New Roman"/>
        </w:rPr>
        <w:t>Sarare</w:t>
      </w:r>
      <w:proofErr w:type="spellEnd"/>
      <w:r w:rsidRPr="00B06FB8">
        <w:rPr>
          <w:rFonts w:ascii="Times New Roman" w:hAnsi="Times New Roman" w:cs="Times New Roman"/>
        </w:rPr>
        <w:t>, Catatumbo, San Juanito, Pacifico Vallecaucano, Centro del Cesar y Militares Desaparecidos.</w:t>
      </w:r>
    </w:p>
  </w:footnote>
  <w:footnote w:id="135">
    <w:p w14:paraId="1A2B884F" w14:textId="3CC63D30" w:rsidR="009F67C1" w:rsidRPr="00B06FB8" w:rsidRDefault="009F67C1" w:rsidP="00B06FB8">
      <w:pPr>
        <w:pStyle w:val="FootnoteText"/>
        <w:tabs>
          <w:tab w:val="left" w:pos="720"/>
        </w:tabs>
        <w:ind w:left="720" w:hanging="360"/>
        <w:jc w:val="both"/>
        <w:rPr>
          <w:rFonts w:ascii="Times New Roman" w:hAnsi="Times New Roman" w:cs="Times New Roman"/>
        </w:rPr>
      </w:pPr>
      <w:r w:rsidRPr="00B06FB8">
        <w:rPr>
          <w:rStyle w:val="FootnoteReference"/>
          <w:rFonts w:ascii="Times New Roman" w:hAnsi="Times New Roman" w:cs="Times New Roman"/>
          <w:vertAlign w:val="baseline"/>
        </w:rPr>
        <w:footnoteRef/>
      </w:r>
      <w:r w:rsidR="00B3338F">
        <w:rPr>
          <w:rFonts w:ascii="Times New Roman" w:hAnsi="Times New Roman" w:cs="Times New Roman"/>
        </w:rPr>
        <w:t>.</w:t>
      </w:r>
      <w:r w:rsidRPr="00B06FB8">
        <w:rPr>
          <w:rFonts w:ascii="Times New Roman" w:hAnsi="Times New Roman" w:cs="Times New Roman"/>
        </w:rPr>
        <w:t xml:space="preserve"> En Magdalena Medio Caldense, Centro- Oriente del Meta, Morrosquillo y Pacífico Vallecaucano.</w:t>
      </w:r>
      <w:r w:rsidR="0078159F" w:rsidRPr="00B06FB8">
        <w:rPr>
          <w:rFonts w:ascii="Times New Roman" w:hAnsi="Times New Roman" w:cs="Times New Roman"/>
        </w:rPr>
        <w:t xml:space="preserve"> </w:t>
      </w:r>
    </w:p>
  </w:footnote>
  <w:footnote w:id="136">
    <w:p w14:paraId="223B878D" w14:textId="1C263687" w:rsidR="009F67C1" w:rsidRPr="00B06FB8" w:rsidRDefault="009F67C1" w:rsidP="00B06FB8">
      <w:pPr>
        <w:pStyle w:val="FootnoteText"/>
        <w:tabs>
          <w:tab w:val="left" w:pos="720"/>
        </w:tabs>
        <w:ind w:left="720" w:hanging="360"/>
        <w:jc w:val="both"/>
        <w:rPr>
          <w:rFonts w:ascii="Times New Roman" w:hAnsi="Times New Roman" w:cs="Times New Roman"/>
          <w:lang w:val="es-ES"/>
        </w:rPr>
      </w:pPr>
      <w:r w:rsidRPr="00B06FB8">
        <w:rPr>
          <w:rFonts w:ascii="Times New Roman" w:hAnsi="Times New Roman" w:cs="Times New Roman"/>
          <w:lang w:val="es-ES"/>
        </w:rPr>
        <w:footnoteRef/>
      </w:r>
      <w:r w:rsidR="00B3338F">
        <w:rPr>
          <w:rFonts w:ascii="Times New Roman" w:hAnsi="Times New Roman" w:cs="Times New Roman"/>
          <w:lang w:val="es-ES"/>
        </w:rPr>
        <w:t>.</w:t>
      </w:r>
      <w:r w:rsidRPr="00B06FB8">
        <w:rPr>
          <w:rFonts w:ascii="Times New Roman" w:hAnsi="Times New Roman" w:cs="Times New Roman"/>
          <w:lang w:val="es-ES"/>
        </w:rPr>
        <w:t xml:space="preserve"> </w:t>
      </w:r>
      <w:r w:rsidR="00442926" w:rsidRPr="00B06FB8">
        <w:rPr>
          <w:rFonts w:ascii="Times New Roman" w:hAnsi="Times New Roman" w:cs="Times New Roman"/>
          <w:lang w:val="es-ES"/>
        </w:rPr>
        <w:t xml:space="preserve">Con corte al 3 de junio del 2021: </w:t>
      </w:r>
      <w:r w:rsidRPr="00B06FB8">
        <w:rPr>
          <w:rFonts w:ascii="Times New Roman" w:hAnsi="Times New Roman" w:cs="Times New Roman"/>
          <w:lang w:val="es-ES"/>
        </w:rPr>
        <w:t>Meta, Magdalena, Antioquia, Puerto Berrio, Bogotá</w:t>
      </w:r>
      <w:r w:rsidR="00442926" w:rsidRPr="00B06FB8">
        <w:rPr>
          <w:rFonts w:ascii="Times New Roman" w:hAnsi="Times New Roman" w:cs="Times New Roman"/>
          <w:lang w:val="es-ES"/>
        </w:rPr>
        <w:t>-Cundinamarca</w:t>
      </w:r>
      <w:r w:rsidRPr="00B06FB8">
        <w:rPr>
          <w:rFonts w:ascii="Times New Roman" w:hAnsi="Times New Roman" w:cs="Times New Roman"/>
          <w:lang w:val="es-ES"/>
        </w:rPr>
        <w:t>, Caquetá, Buenaventura</w:t>
      </w:r>
      <w:r w:rsidR="00442926" w:rsidRPr="00B06FB8">
        <w:rPr>
          <w:rFonts w:ascii="Times New Roman" w:hAnsi="Times New Roman" w:cs="Times New Roman"/>
          <w:lang w:val="es-ES"/>
        </w:rPr>
        <w:t>-Valle del Cauca</w:t>
      </w:r>
      <w:r w:rsidRPr="00B06FB8">
        <w:rPr>
          <w:rFonts w:ascii="Times New Roman" w:hAnsi="Times New Roman" w:cs="Times New Roman"/>
          <w:lang w:val="es-ES"/>
        </w:rPr>
        <w:t>, Norte de Santander</w:t>
      </w:r>
      <w:r w:rsidR="0040752D" w:rsidRPr="00B06FB8">
        <w:rPr>
          <w:rFonts w:ascii="Times New Roman" w:hAnsi="Times New Roman" w:cs="Times New Roman"/>
          <w:lang w:val="es-ES"/>
        </w:rPr>
        <w:t>.</w:t>
      </w:r>
    </w:p>
  </w:footnote>
  <w:footnote w:id="137">
    <w:p w14:paraId="7B91B5E4" w14:textId="01069597" w:rsidR="00BD1CE6" w:rsidRPr="00B06FB8" w:rsidRDefault="00BD1CE6" w:rsidP="00B06FB8">
      <w:pPr>
        <w:pStyle w:val="FootnoteText"/>
        <w:tabs>
          <w:tab w:val="left" w:pos="720"/>
        </w:tabs>
        <w:ind w:left="720" w:hanging="360"/>
        <w:jc w:val="both"/>
        <w:rPr>
          <w:rFonts w:ascii="Times New Roman" w:hAnsi="Times New Roman" w:cs="Times New Roman"/>
        </w:rPr>
      </w:pPr>
      <w:r w:rsidRPr="00B06FB8">
        <w:rPr>
          <w:rStyle w:val="FootnoteReference"/>
          <w:rFonts w:ascii="Times New Roman" w:hAnsi="Times New Roman" w:cs="Times New Roman"/>
          <w:vertAlign w:val="baseline"/>
        </w:rPr>
        <w:footnoteRef/>
      </w:r>
      <w:r w:rsidR="00B3338F">
        <w:rPr>
          <w:rFonts w:ascii="Times New Roman" w:hAnsi="Times New Roman" w:cs="Times New Roman"/>
        </w:rPr>
        <w:t>.</w:t>
      </w:r>
      <w:r w:rsidRPr="00B06FB8">
        <w:rPr>
          <w:rFonts w:ascii="Times New Roman" w:hAnsi="Times New Roman" w:cs="Times New Roman"/>
        </w:rPr>
        <w:t xml:space="preserve"> Durante las movilizaciones sociales del primer semestre del año 2021, la desaparición de personas fue evidenciada, lo cual suscitó la solicitud de acciones hacia esta entidad. Aunque la posibilidad de trabajar sobre estos nuevos casos no está abierta, ya que cubre hechos hasta la firma del Acuerdo Final, la </w:t>
      </w:r>
      <w:proofErr w:type="spellStart"/>
      <w:r w:rsidRPr="00B06FB8">
        <w:rPr>
          <w:rFonts w:ascii="Times New Roman" w:hAnsi="Times New Roman" w:cs="Times New Roman"/>
        </w:rPr>
        <w:t>UBPD</w:t>
      </w:r>
      <w:proofErr w:type="spellEnd"/>
      <w:r w:rsidRPr="00B06FB8">
        <w:rPr>
          <w:rFonts w:ascii="Times New Roman" w:hAnsi="Times New Roman" w:cs="Times New Roman"/>
        </w:rPr>
        <w:t xml:space="preserve"> ha impulsado un papel activo en el llamamiento de la sociedad para que no se repitan las desapariciones. </w:t>
      </w:r>
    </w:p>
  </w:footnote>
  <w:footnote w:id="138">
    <w:p w14:paraId="0054024E" w14:textId="74A56C56" w:rsidR="009F67C1" w:rsidRPr="00B06FB8" w:rsidRDefault="009F67C1" w:rsidP="00B06FB8">
      <w:pPr>
        <w:pStyle w:val="FootnoteText"/>
        <w:tabs>
          <w:tab w:val="left" w:pos="720"/>
        </w:tabs>
        <w:ind w:left="720" w:hanging="360"/>
        <w:jc w:val="both"/>
        <w:rPr>
          <w:rFonts w:ascii="Times New Roman" w:hAnsi="Times New Roman" w:cs="Times New Roman"/>
          <w:lang w:val="es-ES"/>
        </w:rPr>
      </w:pPr>
      <w:r w:rsidRPr="00B06FB8">
        <w:rPr>
          <w:rFonts w:ascii="Times New Roman" w:hAnsi="Times New Roman" w:cs="Times New Roman"/>
          <w:lang w:val="es-ES"/>
        </w:rPr>
        <w:footnoteRef/>
      </w:r>
      <w:r w:rsidR="00B3338F">
        <w:rPr>
          <w:rFonts w:ascii="Times New Roman" w:hAnsi="Times New Roman" w:cs="Times New Roman"/>
          <w:lang w:val="es-ES"/>
        </w:rPr>
        <w:t>.</w:t>
      </w:r>
      <w:r w:rsidRPr="00B06FB8">
        <w:rPr>
          <w:rFonts w:ascii="Times New Roman" w:hAnsi="Times New Roman" w:cs="Times New Roman"/>
          <w:lang w:val="es-ES"/>
        </w:rPr>
        <w:t xml:space="preserve"> El informe está acompañado por la </w:t>
      </w:r>
      <w:proofErr w:type="spellStart"/>
      <w:r w:rsidRPr="00B06FB8">
        <w:rPr>
          <w:rFonts w:ascii="Times New Roman" w:hAnsi="Times New Roman" w:cs="Times New Roman"/>
          <w:lang w:val="es-ES"/>
        </w:rPr>
        <w:t>transmedia</w:t>
      </w:r>
      <w:proofErr w:type="spellEnd"/>
      <w:r w:rsidRPr="00B06FB8">
        <w:rPr>
          <w:rFonts w:ascii="Times New Roman" w:hAnsi="Times New Roman" w:cs="Times New Roman"/>
          <w:lang w:val="es-ES"/>
        </w:rPr>
        <w:t xml:space="preserve"> y la Red de Aliados. Tiene el propósito de dar a conocer lo ocurrido en el marco del conflicto, propiciando reflexiones e identificando tanto factores de persistencia de este, como condiciones que deben conducir hacia transformaciones sociales que permitan transitar hacia la paz</w:t>
      </w:r>
      <w:r w:rsidR="0040752D" w:rsidRPr="00B06FB8">
        <w:rPr>
          <w:rFonts w:ascii="Times New Roman" w:hAnsi="Times New Roman" w:cs="Times New Roman"/>
          <w:lang w:val="es-ES"/>
        </w:rPr>
        <w:t>.</w:t>
      </w:r>
    </w:p>
  </w:footnote>
  <w:footnote w:id="139">
    <w:p w14:paraId="459F71D3" w14:textId="093A1F13" w:rsidR="009F67C1" w:rsidRPr="00B06FB8" w:rsidRDefault="009F67C1" w:rsidP="00B06FB8">
      <w:pPr>
        <w:pStyle w:val="FootnoteText"/>
        <w:tabs>
          <w:tab w:val="left" w:pos="720"/>
        </w:tabs>
        <w:ind w:left="720" w:hanging="360"/>
        <w:jc w:val="both"/>
        <w:rPr>
          <w:rFonts w:ascii="Times New Roman" w:hAnsi="Times New Roman" w:cs="Times New Roman"/>
          <w:lang w:val="es-ES"/>
        </w:rPr>
      </w:pPr>
      <w:r w:rsidRPr="00B06FB8">
        <w:rPr>
          <w:rStyle w:val="FootnoteReference"/>
          <w:rFonts w:ascii="Times New Roman" w:hAnsi="Times New Roman" w:cs="Times New Roman"/>
          <w:vertAlign w:val="baseline"/>
        </w:rPr>
        <w:footnoteRef/>
      </w:r>
      <w:r w:rsidR="00B3338F">
        <w:rPr>
          <w:rFonts w:ascii="Times New Roman" w:hAnsi="Times New Roman" w:cs="Times New Roman"/>
        </w:rPr>
        <w:t>.</w:t>
      </w:r>
      <w:r w:rsidRPr="00B06FB8">
        <w:rPr>
          <w:rFonts w:ascii="Times New Roman" w:hAnsi="Times New Roman" w:cs="Times New Roman"/>
        </w:rPr>
        <w:t xml:space="preserve"> </w:t>
      </w:r>
      <w:r w:rsidRPr="00B06FB8">
        <w:rPr>
          <w:rFonts w:ascii="Times New Roman" w:hAnsi="Times New Roman" w:cs="Times New Roman"/>
          <w:lang w:val="es-ES"/>
        </w:rPr>
        <w:t xml:space="preserve">Como ejemplo, la </w:t>
      </w:r>
      <w:proofErr w:type="spellStart"/>
      <w:r w:rsidRPr="00B06FB8">
        <w:rPr>
          <w:rFonts w:ascii="Times New Roman" w:hAnsi="Times New Roman" w:cs="Times New Roman"/>
          <w:lang w:val="es-ES"/>
        </w:rPr>
        <w:t>CEV</w:t>
      </w:r>
      <w:proofErr w:type="spellEnd"/>
      <w:r w:rsidRPr="00B06FB8">
        <w:rPr>
          <w:rFonts w:ascii="Times New Roman" w:hAnsi="Times New Roman" w:cs="Times New Roman"/>
          <w:lang w:val="es-ES"/>
        </w:rPr>
        <w:t xml:space="preserve"> – Guaviare ha impulsado diálogos para la no repetición en La Trocha Ganadera, y ha desarrollado acciones audiovisuales para sensibilizar sobre los eventos ocurridos en el marco del conflicto armado. Desde el territorio, se han recopilado más de 600 testimonios.</w:t>
      </w:r>
    </w:p>
  </w:footnote>
  <w:footnote w:id="140">
    <w:p w14:paraId="10DE9767" w14:textId="15C6D646" w:rsidR="009F67C1" w:rsidRPr="00B06FB8" w:rsidRDefault="009F67C1" w:rsidP="00B06FB8">
      <w:pPr>
        <w:pStyle w:val="FootnoteText"/>
        <w:tabs>
          <w:tab w:val="left" w:pos="720"/>
        </w:tabs>
        <w:ind w:left="720" w:hanging="360"/>
        <w:jc w:val="both"/>
        <w:rPr>
          <w:rFonts w:ascii="Times New Roman" w:hAnsi="Times New Roman" w:cs="Times New Roman"/>
          <w:lang w:val="es-ES"/>
        </w:rPr>
      </w:pPr>
      <w:r w:rsidRPr="00B06FB8">
        <w:rPr>
          <w:rFonts w:ascii="Times New Roman" w:hAnsi="Times New Roman" w:cs="Times New Roman"/>
          <w:lang w:val="es-ES"/>
        </w:rPr>
        <w:footnoteRef/>
      </w:r>
      <w:r w:rsidR="00B3338F">
        <w:rPr>
          <w:rFonts w:ascii="Times New Roman" w:hAnsi="Times New Roman" w:cs="Times New Roman"/>
          <w:lang w:val="es-ES"/>
        </w:rPr>
        <w:t>.</w:t>
      </w:r>
      <w:r w:rsidRPr="00B06FB8">
        <w:rPr>
          <w:rFonts w:ascii="Times New Roman" w:hAnsi="Times New Roman" w:cs="Times New Roman"/>
          <w:lang w:val="es-ES"/>
        </w:rPr>
        <w:t xml:space="preserve"> Fecha de corte al 20 de agosto del 2021.</w:t>
      </w:r>
    </w:p>
  </w:footnote>
  <w:footnote w:id="141">
    <w:p w14:paraId="003EBC8A" w14:textId="08170204" w:rsidR="00FA4390" w:rsidRPr="00B06FB8" w:rsidRDefault="00FA4390" w:rsidP="00B06FB8">
      <w:pPr>
        <w:pStyle w:val="FootnoteText"/>
        <w:tabs>
          <w:tab w:val="left" w:pos="720"/>
        </w:tabs>
        <w:ind w:left="720" w:hanging="360"/>
        <w:jc w:val="both"/>
        <w:rPr>
          <w:rFonts w:ascii="Times New Roman" w:hAnsi="Times New Roman" w:cs="Times New Roman"/>
          <w:lang w:val="es-MX"/>
        </w:rPr>
      </w:pPr>
      <w:r w:rsidRPr="00B06FB8">
        <w:rPr>
          <w:rFonts w:ascii="Times New Roman" w:hAnsi="Times New Roman" w:cs="Times New Roman"/>
          <w:lang w:val="es-ES"/>
        </w:rPr>
        <w:footnoteRef/>
      </w:r>
      <w:r w:rsidR="00B3338F">
        <w:rPr>
          <w:rFonts w:ascii="Times New Roman" w:hAnsi="Times New Roman" w:cs="Times New Roman"/>
          <w:lang w:val="es-ES"/>
        </w:rPr>
        <w:t>.</w:t>
      </w:r>
      <w:r w:rsidRPr="00B06FB8">
        <w:rPr>
          <w:rFonts w:ascii="Times New Roman" w:hAnsi="Times New Roman" w:cs="Times New Roman"/>
          <w:lang w:val="es-ES"/>
        </w:rPr>
        <w:t xml:space="preserve"> El 1 de octubre de 2021, la Corte Constitucional, de manera unánime, tomó la decisión de prolongar el mandato de la </w:t>
      </w:r>
      <w:proofErr w:type="spellStart"/>
      <w:r w:rsidRPr="00B06FB8">
        <w:rPr>
          <w:rFonts w:ascii="Times New Roman" w:hAnsi="Times New Roman" w:cs="Times New Roman"/>
          <w:lang w:val="es-ES"/>
        </w:rPr>
        <w:t>CEV</w:t>
      </w:r>
      <w:proofErr w:type="spellEnd"/>
      <w:r w:rsidRPr="00B06FB8">
        <w:rPr>
          <w:rFonts w:ascii="Times New Roman" w:hAnsi="Times New Roman" w:cs="Times New Roman"/>
          <w:lang w:val="es-ES"/>
        </w:rPr>
        <w:t xml:space="preserve"> por 9 meses más: siete meses para el Informe Final y la consolidación del Legado, y dos meses adicionales para la socialización del Informe al país.</w:t>
      </w:r>
    </w:p>
  </w:footnote>
  <w:footnote w:id="142">
    <w:p w14:paraId="25BF602F" w14:textId="75B50AF9" w:rsidR="009F67C1" w:rsidRPr="00B06FB8" w:rsidRDefault="009F67C1" w:rsidP="00B06FB8">
      <w:pPr>
        <w:tabs>
          <w:tab w:val="left" w:pos="720"/>
        </w:tabs>
        <w:ind w:left="720" w:hanging="360"/>
        <w:jc w:val="both"/>
        <w:rPr>
          <w:sz w:val="20"/>
          <w:szCs w:val="20"/>
        </w:rPr>
      </w:pPr>
      <w:r w:rsidRPr="00B06FB8">
        <w:rPr>
          <w:rStyle w:val="FootnoteReference"/>
          <w:sz w:val="20"/>
          <w:szCs w:val="20"/>
          <w:vertAlign w:val="baseline"/>
        </w:rPr>
        <w:footnoteRef/>
      </w:r>
      <w:r w:rsidR="00B3338F">
        <w:rPr>
          <w:sz w:val="20"/>
          <w:szCs w:val="20"/>
        </w:rPr>
        <w:t>.</w:t>
      </w:r>
      <w:r w:rsidRPr="00B06FB8">
        <w:rPr>
          <w:sz w:val="20"/>
          <w:szCs w:val="20"/>
        </w:rPr>
        <w:t xml:space="preserve"> Son salas contiguas, donde se encuentran las víctimas en la diligencia y esta es retransmitida en tiempo real o diferido. </w:t>
      </w:r>
    </w:p>
  </w:footnote>
  <w:footnote w:id="143">
    <w:p w14:paraId="2E6F6413" w14:textId="3D72E326" w:rsidR="009F67C1" w:rsidRPr="00B06FB8" w:rsidRDefault="009F67C1" w:rsidP="00B06FB8">
      <w:pPr>
        <w:pStyle w:val="FootnoteText"/>
        <w:tabs>
          <w:tab w:val="left" w:pos="720"/>
        </w:tabs>
        <w:ind w:left="720" w:hanging="360"/>
        <w:jc w:val="both"/>
        <w:rPr>
          <w:rFonts w:ascii="Times New Roman" w:hAnsi="Times New Roman" w:cs="Times New Roman"/>
          <w:lang w:val="es-ES"/>
        </w:rPr>
      </w:pPr>
      <w:r w:rsidRPr="00B06FB8">
        <w:rPr>
          <w:rStyle w:val="FootnoteReference"/>
          <w:rFonts w:ascii="Times New Roman" w:hAnsi="Times New Roman" w:cs="Times New Roman"/>
          <w:vertAlign w:val="baseline"/>
        </w:rPr>
        <w:footnoteRef/>
      </w:r>
      <w:r w:rsidR="00B3338F">
        <w:rPr>
          <w:rFonts w:ascii="Times New Roman" w:hAnsi="Times New Roman" w:cs="Times New Roman"/>
        </w:rPr>
        <w:t>.</w:t>
      </w:r>
      <w:r w:rsidRPr="00B06FB8">
        <w:rPr>
          <w:rFonts w:ascii="Times New Roman" w:hAnsi="Times New Roman" w:cs="Times New Roman"/>
        </w:rPr>
        <w:t xml:space="preserve"> </w:t>
      </w:r>
      <w:r w:rsidRPr="00B06FB8">
        <w:rPr>
          <w:rFonts w:ascii="Times New Roman" w:hAnsi="Times New Roman" w:cs="Times New Roman"/>
          <w:lang w:val="es-ES"/>
        </w:rPr>
        <w:t xml:space="preserve">Por medio de la cual se introducen modificaciones a la Ley 975 de 2005 “por la cual se dictan disposiciones para la reincorporación de </w:t>
      </w:r>
      <w:r w:rsidR="008B7030" w:rsidRPr="00B06FB8">
        <w:rPr>
          <w:rFonts w:ascii="Times New Roman" w:hAnsi="Times New Roman" w:cs="Times New Roman"/>
          <w:lang w:val="es-ES"/>
        </w:rPr>
        <w:t xml:space="preserve">integrantes </w:t>
      </w:r>
      <w:r w:rsidRPr="00B06FB8">
        <w:rPr>
          <w:rFonts w:ascii="Times New Roman" w:hAnsi="Times New Roman" w:cs="Times New Roman"/>
          <w:lang w:val="es-ES"/>
        </w:rPr>
        <w:t>de grupos armados organizados al margen de la ley, que contribuyan de manera efectiva a la consecución de la paz nacional y se dictan otras disposiciones para acuerdos humanitarios” y se dictan otras disposiciones.</w:t>
      </w:r>
    </w:p>
  </w:footnote>
  <w:footnote w:id="144">
    <w:p w14:paraId="025F0A31" w14:textId="7B8109D5" w:rsidR="009F67C1" w:rsidRPr="00B06FB8" w:rsidRDefault="009F67C1" w:rsidP="00B06FB8">
      <w:pPr>
        <w:pStyle w:val="FootnoteText"/>
        <w:tabs>
          <w:tab w:val="left" w:pos="720"/>
        </w:tabs>
        <w:ind w:left="720" w:hanging="360"/>
        <w:jc w:val="both"/>
        <w:rPr>
          <w:rFonts w:ascii="Times New Roman" w:hAnsi="Times New Roman" w:cs="Times New Roman"/>
        </w:rPr>
      </w:pPr>
      <w:r w:rsidRPr="00B06FB8">
        <w:rPr>
          <w:rStyle w:val="FootnoteReference"/>
          <w:rFonts w:ascii="Times New Roman" w:hAnsi="Times New Roman" w:cs="Times New Roman"/>
          <w:vertAlign w:val="baseline"/>
        </w:rPr>
        <w:footnoteRef/>
      </w:r>
      <w:r w:rsidR="00B3338F">
        <w:rPr>
          <w:rFonts w:ascii="Times New Roman" w:hAnsi="Times New Roman" w:cs="Times New Roman"/>
        </w:rPr>
        <w:t>.</w:t>
      </w:r>
      <w:r w:rsidRPr="00B06FB8">
        <w:rPr>
          <w:rFonts w:ascii="Times New Roman" w:hAnsi="Times New Roman" w:cs="Times New Roman"/>
        </w:rPr>
        <w:t xml:space="preserve"> </w:t>
      </w:r>
      <w:r w:rsidRPr="00B06FB8">
        <w:rPr>
          <w:rFonts w:ascii="Times New Roman" w:hAnsi="Times New Roman" w:cs="Times New Roman"/>
          <w:lang w:val="es-ES"/>
        </w:rPr>
        <w:t>Decreto 3391 de 2006</w:t>
      </w:r>
    </w:p>
  </w:footnote>
  <w:footnote w:id="145">
    <w:p w14:paraId="09C5DE93" w14:textId="20633933" w:rsidR="009F67C1" w:rsidRPr="00B06FB8" w:rsidRDefault="009F67C1" w:rsidP="00B06FB8">
      <w:pPr>
        <w:pStyle w:val="FootnoteText"/>
        <w:tabs>
          <w:tab w:val="left" w:pos="720"/>
        </w:tabs>
        <w:ind w:left="720" w:hanging="360"/>
        <w:jc w:val="both"/>
        <w:rPr>
          <w:rFonts w:ascii="Times New Roman" w:hAnsi="Times New Roman" w:cs="Times New Roman"/>
        </w:rPr>
      </w:pPr>
      <w:r w:rsidRPr="00B06FB8">
        <w:rPr>
          <w:rStyle w:val="FootnoteReference"/>
          <w:rFonts w:ascii="Times New Roman" w:hAnsi="Times New Roman" w:cs="Times New Roman"/>
          <w:vertAlign w:val="baseline"/>
        </w:rPr>
        <w:footnoteRef/>
      </w:r>
      <w:r w:rsidR="00B3338F">
        <w:rPr>
          <w:rFonts w:ascii="Times New Roman" w:hAnsi="Times New Roman" w:cs="Times New Roman"/>
        </w:rPr>
        <w:t>.</w:t>
      </w:r>
      <w:r w:rsidRPr="00B06FB8">
        <w:rPr>
          <w:rFonts w:ascii="Times New Roman" w:hAnsi="Times New Roman" w:cs="Times New Roman"/>
        </w:rPr>
        <w:t xml:space="preserve"> Parte del proceso penal que se realiza, a solicitud de la víctima, de manera posterior a la audiencia de juicio oral en donde la </w:t>
      </w:r>
      <w:proofErr w:type="spellStart"/>
      <w:r w:rsidRPr="00B06FB8">
        <w:rPr>
          <w:rFonts w:ascii="Times New Roman" w:hAnsi="Times New Roman" w:cs="Times New Roman"/>
        </w:rPr>
        <w:t>FGN</w:t>
      </w:r>
      <w:proofErr w:type="spellEnd"/>
      <w:r w:rsidRPr="00B06FB8">
        <w:rPr>
          <w:rFonts w:ascii="Times New Roman" w:hAnsi="Times New Roman" w:cs="Times New Roman"/>
        </w:rPr>
        <w:t xml:space="preserve"> o </w:t>
      </w:r>
      <w:proofErr w:type="spellStart"/>
      <w:r w:rsidRPr="00B06FB8">
        <w:rPr>
          <w:rFonts w:ascii="Times New Roman" w:hAnsi="Times New Roman" w:cs="Times New Roman"/>
        </w:rPr>
        <w:t>PGN</w:t>
      </w:r>
      <w:proofErr w:type="spellEnd"/>
      <w:r w:rsidRPr="00B06FB8">
        <w:rPr>
          <w:rFonts w:ascii="Times New Roman" w:hAnsi="Times New Roman" w:cs="Times New Roman"/>
        </w:rPr>
        <w:t xml:space="preserve"> solicitan la reparación de los daños causados a la víctima de un delito.</w:t>
      </w:r>
    </w:p>
  </w:footnote>
  <w:footnote w:id="146">
    <w:p w14:paraId="1316B2C0" w14:textId="19962715" w:rsidR="009F67C1" w:rsidRPr="00B06FB8" w:rsidRDefault="009F67C1" w:rsidP="00B06FB8">
      <w:pPr>
        <w:pStyle w:val="FootnoteText"/>
        <w:tabs>
          <w:tab w:val="left" w:pos="720"/>
        </w:tabs>
        <w:ind w:left="720" w:hanging="360"/>
        <w:jc w:val="both"/>
        <w:rPr>
          <w:rFonts w:ascii="Times New Roman" w:hAnsi="Times New Roman" w:cs="Times New Roman"/>
          <w:lang w:val="es-ES"/>
        </w:rPr>
      </w:pPr>
      <w:r w:rsidRPr="00B06FB8">
        <w:rPr>
          <w:rStyle w:val="FootnoteReference"/>
          <w:rFonts w:ascii="Times New Roman" w:hAnsi="Times New Roman" w:cs="Times New Roman"/>
          <w:vertAlign w:val="baseline"/>
        </w:rPr>
        <w:footnoteRef/>
      </w:r>
      <w:r w:rsidR="00B3338F">
        <w:rPr>
          <w:rFonts w:ascii="Times New Roman" w:hAnsi="Times New Roman" w:cs="Times New Roman"/>
        </w:rPr>
        <w:t>.</w:t>
      </w:r>
      <w:r w:rsidRPr="00B06FB8">
        <w:rPr>
          <w:rFonts w:ascii="Times New Roman" w:hAnsi="Times New Roman" w:cs="Times New Roman"/>
        </w:rPr>
        <w:t xml:space="preserve"> </w:t>
      </w:r>
      <w:r w:rsidRPr="00B06FB8">
        <w:rPr>
          <w:rFonts w:ascii="Times New Roman" w:hAnsi="Times New Roman" w:cs="Times New Roman"/>
          <w:lang w:val="es-ES"/>
        </w:rPr>
        <w:t xml:space="preserve">Cálculo realizado por la </w:t>
      </w:r>
      <w:proofErr w:type="spellStart"/>
      <w:r w:rsidRPr="00B06FB8">
        <w:rPr>
          <w:rFonts w:ascii="Times New Roman" w:hAnsi="Times New Roman" w:cs="Times New Roman"/>
          <w:lang w:val="es-ES"/>
        </w:rPr>
        <w:t>MAPP</w:t>
      </w:r>
      <w:proofErr w:type="spellEnd"/>
      <w:r w:rsidRPr="00B06FB8">
        <w:rPr>
          <w:rFonts w:ascii="Times New Roman" w:hAnsi="Times New Roman" w:cs="Times New Roman"/>
          <w:lang w:val="es-ES"/>
        </w:rPr>
        <w:t>/OEA en base a la carga horaria (12 horarios por funcionario), número de casos por resolver, número de juzgados y el tiempo promedio de audiencias judiciales.</w:t>
      </w:r>
    </w:p>
  </w:footnote>
  <w:footnote w:id="147">
    <w:p w14:paraId="68D42506" w14:textId="30660408" w:rsidR="009F67C1" w:rsidRPr="00B06FB8" w:rsidRDefault="009F67C1" w:rsidP="00B06FB8">
      <w:pPr>
        <w:pStyle w:val="FootnoteText"/>
        <w:tabs>
          <w:tab w:val="left" w:pos="720"/>
        </w:tabs>
        <w:ind w:left="720" w:hanging="360"/>
        <w:jc w:val="both"/>
        <w:rPr>
          <w:rFonts w:ascii="Times New Roman" w:hAnsi="Times New Roman" w:cs="Times New Roman"/>
        </w:rPr>
      </w:pPr>
      <w:r w:rsidRPr="00B06FB8">
        <w:rPr>
          <w:rStyle w:val="FootnoteReference"/>
          <w:rFonts w:ascii="Times New Roman" w:hAnsi="Times New Roman" w:cs="Times New Roman"/>
          <w:vertAlign w:val="baseline"/>
        </w:rPr>
        <w:footnoteRef/>
      </w:r>
      <w:r w:rsidR="00B3338F">
        <w:rPr>
          <w:rFonts w:ascii="Times New Roman" w:hAnsi="Times New Roman" w:cs="Times New Roman"/>
        </w:rPr>
        <w:t>.</w:t>
      </w:r>
      <w:r w:rsidRPr="00B06FB8">
        <w:rPr>
          <w:rFonts w:ascii="Times New Roman" w:hAnsi="Times New Roman" w:cs="Times New Roman"/>
        </w:rPr>
        <w:t xml:space="preserve"> </w:t>
      </w:r>
      <w:r w:rsidRPr="00B06FB8">
        <w:rPr>
          <w:rFonts w:ascii="Times New Roman" w:hAnsi="Times New Roman" w:cs="Times New Roman"/>
          <w:lang w:val="es-ES"/>
        </w:rPr>
        <w:t>Existen evidencias de muchos postulados hoy en libertad que han pasado más días en diligencias judiciales que en el goce efectivo de dicha libertad, hecho que impide la posibilidad de incorporarse a la formalidad laboral de manera efectiva.</w:t>
      </w:r>
    </w:p>
  </w:footnote>
  <w:footnote w:id="148">
    <w:p w14:paraId="771E0248" w14:textId="54B5719C" w:rsidR="009F67C1" w:rsidRPr="00B06FB8" w:rsidRDefault="009F67C1" w:rsidP="00B06FB8">
      <w:pPr>
        <w:pStyle w:val="FootnoteText"/>
        <w:tabs>
          <w:tab w:val="left" w:pos="720"/>
        </w:tabs>
        <w:ind w:left="720" w:hanging="360"/>
        <w:jc w:val="both"/>
        <w:rPr>
          <w:rFonts w:ascii="Times New Roman" w:hAnsi="Times New Roman" w:cs="Times New Roman"/>
          <w:lang w:val="es-ES"/>
        </w:rPr>
      </w:pPr>
      <w:r w:rsidRPr="00B06FB8">
        <w:rPr>
          <w:rFonts w:ascii="Times New Roman" w:hAnsi="Times New Roman" w:cs="Times New Roman"/>
          <w:lang w:val="es-ES"/>
        </w:rPr>
        <w:footnoteRef/>
      </w:r>
      <w:r w:rsidR="00B3338F">
        <w:rPr>
          <w:rFonts w:ascii="Times New Roman" w:hAnsi="Times New Roman" w:cs="Times New Roman"/>
          <w:lang w:val="es-ES"/>
        </w:rPr>
        <w:t>.</w:t>
      </w:r>
      <w:r w:rsidRPr="00B06FB8">
        <w:rPr>
          <w:rFonts w:ascii="Times New Roman" w:hAnsi="Times New Roman" w:cs="Times New Roman"/>
          <w:lang w:val="es-ES"/>
        </w:rPr>
        <w:t xml:space="preserve"> Ministerio de Justicia y del Derecho. Sistema de Información Interinstitucional de Justicia Transicional. Disponible en</w:t>
      </w:r>
      <w:r w:rsidR="002463CA" w:rsidRPr="00B06FB8">
        <w:rPr>
          <w:rFonts w:ascii="Times New Roman" w:hAnsi="Times New Roman" w:cs="Times New Roman"/>
          <w:lang w:val="es-ES"/>
        </w:rPr>
        <w:t>:</w:t>
      </w:r>
      <w:r w:rsidRPr="00B06FB8">
        <w:rPr>
          <w:rFonts w:ascii="Times New Roman" w:hAnsi="Times New Roman" w:cs="Times New Roman"/>
          <w:lang w:val="es-ES"/>
        </w:rPr>
        <w:t xml:space="preserve"> https://sej.minjusticia.gov.co/JusticiaTransicional/Paginas/SIIJT.aspx</w:t>
      </w:r>
    </w:p>
  </w:footnote>
  <w:footnote w:id="149">
    <w:p w14:paraId="7957286C" w14:textId="4FD44B2F" w:rsidR="009F67C1" w:rsidRPr="00B06FB8" w:rsidRDefault="009F67C1" w:rsidP="00B06FB8">
      <w:pPr>
        <w:pStyle w:val="FootnoteText"/>
        <w:tabs>
          <w:tab w:val="left" w:pos="720"/>
        </w:tabs>
        <w:ind w:left="720" w:hanging="360"/>
        <w:jc w:val="both"/>
        <w:rPr>
          <w:rFonts w:ascii="Times New Roman" w:hAnsi="Times New Roman" w:cs="Times New Roman"/>
          <w:lang w:val="es-ES"/>
        </w:rPr>
      </w:pPr>
      <w:r w:rsidRPr="00B06FB8">
        <w:rPr>
          <w:rStyle w:val="FootnoteReference"/>
          <w:rFonts w:ascii="Times New Roman" w:hAnsi="Times New Roman" w:cs="Times New Roman"/>
          <w:vertAlign w:val="baseline"/>
        </w:rPr>
        <w:footnoteRef/>
      </w:r>
      <w:r w:rsidR="00B3338F">
        <w:rPr>
          <w:rFonts w:ascii="Times New Roman" w:hAnsi="Times New Roman" w:cs="Times New Roman"/>
        </w:rPr>
        <w:t>.</w:t>
      </w:r>
      <w:r w:rsidRPr="00B06FB8">
        <w:rPr>
          <w:rFonts w:ascii="Times New Roman" w:hAnsi="Times New Roman" w:cs="Times New Roman"/>
        </w:rPr>
        <w:t xml:space="preserve"> </w:t>
      </w:r>
      <w:r w:rsidRPr="00B06FB8">
        <w:rPr>
          <w:rFonts w:ascii="Times New Roman" w:eastAsia="Calibri" w:hAnsi="Times New Roman" w:cs="Times New Roman"/>
          <w:color w:val="000000"/>
        </w:rPr>
        <w:t>En Putumayo, Chocó, Cauca, Antioquia y Norte de Santander</w:t>
      </w:r>
    </w:p>
  </w:footnote>
  <w:footnote w:id="150">
    <w:p w14:paraId="4726A4F6" w14:textId="1E5517ED" w:rsidR="009F67C1" w:rsidRPr="00B06FB8" w:rsidRDefault="009F67C1" w:rsidP="00B06FB8">
      <w:pPr>
        <w:pStyle w:val="FootnoteText"/>
        <w:tabs>
          <w:tab w:val="left" w:pos="720"/>
        </w:tabs>
        <w:ind w:left="720" w:hanging="360"/>
        <w:jc w:val="both"/>
        <w:rPr>
          <w:rFonts w:ascii="Times New Roman" w:hAnsi="Times New Roman" w:cs="Times New Roman"/>
        </w:rPr>
      </w:pPr>
      <w:r w:rsidRPr="00B06FB8">
        <w:rPr>
          <w:rStyle w:val="FootnoteReference"/>
          <w:rFonts w:ascii="Times New Roman" w:hAnsi="Times New Roman" w:cs="Times New Roman"/>
          <w:vertAlign w:val="baseline"/>
        </w:rPr>
        <w:footnoteRef/>
      </w:r>
      <w:r w:rsidR="00B3338F">
        <w:rPr>
          <w:rFonts w:ascii="Times New Roman" w:hAnsi="Times New Roman" w:cs="Times New Roman"/>
        </w:rPr>
        <w:t>.</w:t>
      </w:r>
      <w:r w:rsidRPr="00B06FB8">
        <w:rPr>
          <w:rFonts w:ascii="Times New Roman" w:hAnsi="Times New Roman" w:cs="Times New Roman"/>
        </w:rPr>
        <w:t xml:space="preserve"> Actores de cooperación internacional, academia, víctimas, excombatientes, actores políticos y Fuerza Pública que han contribuido con la lectura de los factores de persistencia del conflicto y los ejercicios de construcción de la verdad.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3D06" w14:textId="77777777" w:rsidR="00437B36" w:rsidRDefault="00437B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021972"/>
      <w:docPartObj>
        <w:docPartGallery w:val="Page Numbers (Top of Page)"/>
        <w:docPartUnique/>
      </w:docPartObj>
    </w:sdtPr>
    <w:sdtEndPr>
      <w:rPr>
        <w:noProof/>
      </w:rPr>
    </w:sdtEndPr>
    <w:sdtContent>
      <w:p w14:paraId="3D26EEAA" w14:textId="791C419C" w:rsidR="00437B36" w:rsidRDefault="00437B36">
        <w:pPr>
          <w:pStyle w:val="Header"/>
          <w:jc w:val="center"/>
        </w:pPr>
        <w:r w:rsidRPr="00437B36">
          <w:rPr>
            <w:rFonts w:ascii="Times New Roman" w:hAnsi="Times New Roman" w:cs="Times New Roman"/>
          </w:rPr>
          <w:fldChar w:fldCharType="begin"/>
        </w:r>
        <w:r w:rsidRPr="00437B36">
          <w:rPr>
            <w:rFonts w:ascii="Times New Roman" w:hAnsi="Times New Roman" w:cs="Times New Roman"/>
          </w:rPr>
          <w:instrText xml:space="preserve"> PAGE   \* MERGEFORMAT </w:instrText>
        </w:r>
        <w:r w:rsidRPr="00437B36">
          <w:rPr>
            <w:rFonts w:ascii="Times New Roman" w:hAnsi="Times New Roman" w:cs="Times New Roman"/>
          </w:rPr>
          <w:fldChar w:fldCharType="separate"/>
        </w:r>
        <w:r w:rsidRPr="00437B36">
          <w:rPr>
            <w:rFonts w:ascii="Times New Roman" w:hAnsi="Times New Roman" w:cs="Times New Roman"/>
            <w:noProof/>
          </w:rPr>
          <w:t>2</w:t>
        </w:r>
        <w:r w:rsidRPr="00437B36">
          <w:rPr>
            <w:rFonts w:ascii="Times New Roman" w:hAnsi="Times New Roman" w:cs="Times New Roman"/>
            <w:noProof/>
          </w:rPr>
          <w:fldChar w:fldCharType="end"/>
        </w:r>
      </w:p>
    </w:sdtContent>
  </w:sdt>
  <w:p w14:paraId="60CB60E8" w14:textId="77777777" w:rsidR="00437B36" w:rsidRDefault="00437B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5A153" w14:textId="77777777" w:rsidR="00437B36" w:rsidRDefault="00437B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84A7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F4B08"/>
    <w:multiLevelType w:val="multilevel"/>
    <w:tmpl w:val="4016F77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2A47451"/>
    <w:multiLevelType w:val="hybridMultilevel"/>
    <w:tmpl w:val="126ABAF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9BB755D"/>
    <w:multiLevelType w:val="multilevel"/>
    <w:tmpl w:val="75945250"/>
    <w:lvl w:ilvl="0">
      <w:start w:val="2"/>
      <w:numFmt w:val="decimal"/>
      <w:lvlText w:val="%1."/>
      <w:lvlJc w:val="left"/>
      <w:pPr>
        <w:ind w:left="540" w:hanging="540"/>
      </w:pPr>
      <w:rPr>
        <w:rFonts w:hint="default"/>
      </w:rPr>
    </w:lvl>
    <w:lvl w:ilvl="1">
      <w:start w:val="2"/>
      <w:numFmt w:val="decimal"/>
      <w:lvlText w:val="%1.%2."/>
      <w:lvlJc w:val="left"/>
      <w:pPr>
        <w:ind w:left="1078" w:hanging="540"/>
      </w:pPr>
      <w:rPr>
        <w:rFonts w:hint="default"/>
      </w:rPr>
    </w:lvl>
    <w:lvl w:ilvl="2">
      <w:start w:val="5"/>
      <w:numFmt w:val="decimal"/>
      <w:lvlText w:val="%1.%2.%3."/>
      <w:lvlJc w:val="left"/>
      <w:pPr>
        <w:ind w:left="1796" w:hanging="720"/>
      </w:pPr>
      <w:rPr>
        <w:rFonts w:hint="default"/>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6104" w:hanging="1800"/>
      </w:pPr>
      <w:rPr>
        <w:rFonts w:hint="default"/>
      </w:rPr>
    </w:lvl>
  </w:abstractNum>
  <w:abstractNum w:abstractNumId="4" w15:restartNumberingAfterBreak="0">
    <w:nsid w:val="19F44D35"/>
    <w:multiLevelType w:val="multilevel"/>
    <w:tmpl w:val="24ECCDAA"/>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i/>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035539"/>
    <w:multiLevelType w:val="multilevel"/>
    <w:tmpl w:val="3A9E514E"/>
    <w:lvl w:ilvl="0">
      <w:start w:val="10"/>
      <w:numFmt w:val="decimal"/>
      <w:lvlText w:val="%1"/>
      <w:lvlJc w:val="left"/>
      <w:pPr>
        <w:ind w:left="380" w:hanging="380"/>
      </w:pPr>
      <w:rPr>
        <w:rFonts w:hint="default"/>
      </w:rPr>
    </w:lvl>
    <w:lvl w:ilvl="1">
      <w:start w:val="1"/>
      <w:numFmt w:val="decimal"/>
      <w:lvlText w:val="%1.%2"/>
      <w:lvlJc w:val="left"/>
      <w:pPr>
        <w:ind w:left="380" w:hanging="3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522AF2"/>
    <w:multiLevelType w:val="hybridMultilevel"/>
    <w:tmpl w:val="7758EC3A"/>
    <w:lvl w:ilvl="0" w:tplc="86A6315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E441CE"/>
    <w:multiLevelType w:val="multilevel"/>
    <w:tmpl w:val="138C4FC6"/>
    <w:lvl w:ilvl="0">
      <w:start w:val="10"/>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i/>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4F7D9A"/>
    <w:multiLevelType w:val="hybridMultilevel"/>
    <w:tmpl w:val="346C66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1CF185E"/>
    <w:multiLevelType w:val="multilevel"/>
    <w:tmpl w:val="2526862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7DD5381"/>
    <w:multiLevelType w:val="hybridMultilevel"/>
    <w:tmpl w:val="1AF45F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ECD0E8F"/>
    <w:multiLevelType w:val="multilevel"/>
    <w:tmpl w:val="4016F77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3B95973"/>
    <w:multiLevelType w:val="hybridMultilevel"/>
    <w:tmpl w:val="98509A0C"/>
    <w:lvl w:ilvl="0" w:tplc="FE50CC92">
      <w:start w:val="1"/>
      <w:numFmt w:val="decimal"/>
      <w:lvlText w:val="3.%1"/>
      <w:lvlJc w:val="left"/>
      <w:pPr>
        <w:ind w:left="720" w:hanging="360"/>
      </w:pPr>
      <w:rPr>
        <w:rFonts w:hint="default"/>
      </w:rPr>
    </w:lvl>
    <w:lvl w:ilvl="1" w:tplc="86A63158">
      <w:start w:val="1"/>
      <w:numFmt w:val="decimal"/>
      <w:lvlText w:val="3.%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3030B1"/>
    <w:multiLevelType w:val="multilevel"/>
    <w:tmpl w:val="7096A028"/>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4" w15:restartNumberingAfterBreak="0">
    <w:nsid w:val="4FDF5E0E"/>
    <w:multiLevelType w:val="multilevel"/>
    <w:tmpl w:val="EE8633FE"/>
    <w:lvl w:ilvl="0">
      <w:start w:val="2"/>
      <w:numFmt w:val="decimal"/>
      <w:lvlText w:val="%1"/>
      <w:lvlJc w:val="left"/>
      <w:pPr>
        <w:ind w:left="480" w:hanging="480"/>
      </w:pPr>
      <w:rPr>
        <w:rFonts w:hint="default"/>
      </w:rPr>
    </w:lvl>
    <w:lvl w:ilvl="1">
      <w:start w:val="2"/>
      <w:numFmt w:val="decimal"/>
      <w:lvlText w:val="%1.%2"/>
      <w:lvlJc w:val="left"/>
      <w:pPr>
        <w:ind w:left="749" w:hanging="480"/>
      </w:pPr>
      <w:rPr>
        <w:rFonts w:hint="default"/>
      </w:rPr>
    </w:lvl>
    <w:lvl w:ilvl="2">
      <w:start w:val="5"/>
      <w:numFmt w:val="decimal"/>
      <w:lvlText w:val="%1.%2.%3"/>
      <w:lvlJc w:val="left"/>
      <w:pPr>
        <w:ind w:left="1258" w:hanging="720"/>
      </w:pPr>
      <w:rPr>
        <w:rFonts w:hint="default"/>
      </w:rPr>
    </w:lvl>
    <w:lvl w:ilvl="3">
      <w:start w:val="1"/>
      <w:numFmt w:val="decimal"/>
      <w:lvlText w:val="%1.%2.%3.%4"/>
      <w:lvlJc w:val="left"/>
      <w:pPr>
        <w:ind w:left="1527" w:hanging="720"/>
      </w:pPr>
      <w:rPr>
        <w:rFonts w:hint="default"/>
      </w:rPr>
    </w:lvl>
    <w:lvl w:ilvl="4">
      <w:start w:val="1"/>
      <w:numFmt w:val="decimal"/>
      <w:lvlText w:val="%1.%2.%3.%4.%5"/>
      <w:lvlJc w:val="left"/>
      <w:pPr>
        <w:ind w:left="2156" w:hanging="1080"/>
      </w:pPr>
      <w:rPr>
        <w:rFonts w:hint="default"/>
      </w:rPr>
    </w:lvl>
    <w:lvl w:ilvl="5">
      <w:start w:val="1"/>
      <w:numFmt w:val="decimal"/>
      <w:lvlText w:val="%1.%2.%3.%4.%5.%6"/>
      <w:lvlJc w:val="left"/>
      <w:pPr>
        <w:ind w:left="2425" w:hanging="1080"/>
      </w:pPr>
      <w:rPr>
        <w:rFonts w:hint="default"/>
      </w:rPr>
    </w:lvl>
    <w:lvl w:ilvl="6">
      <w:start w:val="1"/>
      <w:numFmt w:val="decimal"/>
      <w:lvlText w:val="%1.%2.%3.%4.%5.%6.%7"/>
      <w:lvlJc w:val="left"/>
      <w:pPr>
        <w:ind w:left="3054" w:hanging="1440"/>
      </w:pPr>
      <w:rPr>
        <w:rFonts w:hint="default"/>
      </w:rPr>
    </w:lvl>
    <w:lvl w:ilvl="7">
      <w:start w:val="1"/>
      <w:numFmt w:val="decimal"/>
      <w:lvlText w:val="%1.%2.%3.%4.%5.%6.%7.%8"/>
      <w:lvlJc w:val="left"/>
      <w:pPr>
        <w:ind w:left="3323" w:hanging="1440"/>
      </w:pPr>
      <w:rPr>
        <w:rFonts w:hint="default"/>
      </w:rPr>
    </w:lvl>
    <w:lvl w:ilvl="8">
      <w:start w:val="1"/>
      <w:numFmt w:val="decimal"/>
      <w:lvlText w:val="%1.%2.%3.%4.%5.%6.%7.%8.%9"/>
      <w:lvlJc w:val="left"/>
      <w:pPr>
        <w:ind w:left="3592" w:hanging="1440"/>
      </w:pPr>
      <w:rPr>
        <w:rFonts w:hint="default"/>
      </w:rPr>
    </w:lvl>
  </w:abstractNum>
  <w:abstractNum w:abstractNumId="15" w15:restartNumberingAfterBreak="0">
    <w:nsid w:val="5347076F"/>
    <w:multiLevelType w:val="multilevel"/>
    <w:tmpl w:val="C69E5352"/>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5BDF5699"/>
    <w:multiLevelType w:val="multilevel"/>
    <w:tmpl w:val="CC70A45C"/>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614601E9"/>
    <w:multiLevelType w:val="multilevel"/>
    <w:tmpl w:val="4016F77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6B057924"/>
    <w:multiLevelType w:val="hybridMultilevel"/>
    <w:tmpl w:val="634CE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9C2E8A"/>
    <w:multiLevelType w:val="multilevel"/>
    <w:tmpl w:val="8B245F0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70C87640"/>
    <w:multiLevelType w:val="multilevel"/>
    <w:tmpl w:val="94ACE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BD69F5"/>
    <w:multiLevelType w:val="hybridMultilevel"/>
    <w:tmpl w:val="4A1C96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677E54"/>
    <w:multiLevelType w:val="hybridMultilevel"/>
    <w:tmpl w:val="30FEF1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E236410"/>
    <w:multiLevelType w:val="multilevel"/>
    <w:tmpl w:val="041E4032"/>
    <w:lvl w:ilvl="0">
      <w:start w:val="10"/>
      <w:numFmt w:val="decimal"/>
      <w:lvlText w:val="%1."/>
      <w:lvlJc w:val="left"/>
      <w:pPr>
        <w:ind w:left="780" w:hanging="780"/>
      </w:pPr>
      <w:rPr>
        <w:rFonts w:hint="default"/>
      </w:rPr>
    </w:lvl>
    <w:lvl w:ilvl="1">
      <w:start w:val="13"/>
      <w:numFmt w:val="decimal"/>
      <w:lvlText w:val="%1.%2."/>
      <w:lvlJc w:val="left"/>
      <w:pPr>
        <w:ind w:left="780" w:hanging="780"/>
      </w:pPr>
      <w:rPr>
        <w:rFonts w:hint="default"/>
        <w:b/>
        <w:bCs/>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7"/>
  </w:num>
  <w:num w:numId="3">
    <w:abstractNumId w:val="21"/>
  </w:num>
  <w:num w:numId="4">
    <w:abstractNumId w:val="18"/>
  </w:num>
  <w:num w:numId="5">
    <w:abstractNumId w:val="1"/>
  </w:num>
  <w:num w:numId="6">
    <w:abstractNumId w:val="19"/>
  </w:num>
  <w:num w:numId="7">
    <w:abstractNumId w:val="12"/>
  </w:num>
  <w:num w:numId="8">
    <w:abstractNumId w:val="16"/>
  </w:num>
  <w:num w:numId="9">
    <w:abstractNumId w:val="15"/>
  </w:num>
  <w:num w:numId="10">
    <w:abstractNumId w:val="6"/>
  </w:num>
  <w:num w:numId="11">
    <w:abstractNumId w:val="5"/>
  </w:num>
  <w:num w:numId="12">
    <w:abstractNumId w:val="4"/>
  </w:num>
  <w:num w:numId="13">
    <w:abstractNumId w:val="7"/>
  </w:num>
  <w:num w:numId="14">
    <w:abstractNumId w:val="23"/>
  </w:num>
  <w:num w:numId="15">
    <w:abstractNumId w:val="10"/>
  </w:num>
  <w:num w:numId="16">
    <w:abstractNumId w:val="8"/>
  </w:num>
  <w:num w:numId="17">
    <w:abstractNumId w:val="3"/>
  </w:num>
  <w:num w:numId="18">
    <w:abstractNumId w:val="14"/>
  </w:num>
  <w:num w:numId="19">
    <w:abstractNumId w:val="13"/>
  </w:num>
  <w:num w:numId="20">
    <w:abstractNumId w:val="2"/>
  </w:num>
  <w:num w:numId="21">
    <w:abstractNumId w:val="0"/>
  </w:num>
  <w:num w:numId="22">
    <w:abstractNumId w:val="20"/>
  </w:num>
  <w:num w:numId="23">
    <w:abstractNumId w:val="22"/>
  </w:num>
  <w:num w:numId="2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A2F"/>
    <w:rsid w:val="000003B0"/>
    <w:rsid w:val="00000A44"/>
    <w:rsid w:val="0000123E"/>
    <w:rsid w:val="0000187A"/>
    <w:rsid w:val="00001E40"/>
    <w:rsid w:val="00002741"/>
    <w:rsid w:val="00002EC5"/>
    <w:rsid w:val="00003C80"/>
    <w:rsid w:val="0000415F"/>
    <w:rsid w:val="000055B6"/>
    <w:rsid w:val="000055D2"/>
    <w:rsid w:val="00006DE4"/>
    <w:rsid w:val="00010460"/>
    <w:rsid w:val="00010560"/>
    <w:rsid w:val="000118B2"/>
    <w:rsid w:val="000123F0"/>
    <w:rsid w:val="00012ABE"/>
    <w:rsid w:val="00012B60"/>
    <w:rsid w:val="00013077"/>
    <w:rsid w:val="0001323A"/>
    <w:rsid w:val="000134F8"/>
    <w:rsid w:val="000147A3"/>
    <w:rsid w:val="00014D4D"/>
    <w:rsid w:val="00015A41"/>
    <w:rsid w:val="000160FE"/>
    <w:rsid w:val="00016164"/>
    <w:rsid w:val="00016ADE"/>
    <w:rsid w:val="00016DCC"/>
    <w:rsid w:val="00016F5D"/>
    <w:rsid w:val="000201D0"/>
    <w:rsid w:val="00020884"/>
    <w:rsid w:val="000218B6"/>
    <w:rsid w:val="0002194E"/>
    <w:rsid w:val="00021A07"/>
    <w:rsid w:val="00021D1F"/>
    <w:rsid w:val="00022355"/>
    <w:rsid w:val="00022988"/>
    <w:rsid w:val="00023D59"/>
    <w:rsid w:val="00023D6F"/>
    <w:rsid w:val="00023EC2"/>
    <w:rsid w:val="00024A38"/>
    <w:rsid w:val="00025060"/>
    <w:rsid w:val="00025271"/>
    <w:rsid w:val="0002582B"/>
    <w:rsid w:val="00025C00"/>
    <w:rsid w:val="000261EF"/>
    <w:rsid w:val="0002752A"/>
    <w:rsid w:val="00027CFA"/>
    <w:rsid w:val="00030A41"/>
    <w:rsid w:val="00033324"/>
    <w:rsid w:val="00033A65"/>
    <w:rsid w:val="00033C7F"/>
    <w:rsid w:val="000353E6"/>
    <w:rsid w:val="000356C0"/>
    <w:rsid w:val="00036409"/>
    <w:rsid w:val="00036643"/>
    <w:rsid w:val="00036971"/>
    <w:rsid w:val="00036AC9"/>
    <w:rsid w:val="0004049B"/>
    <w:rsid w:val="0004083A"/>
    <w:rsid w:val="00040A62"/>
    <w:rsid w:val="00040C79"/>
    <w:rsid w:val="00040F19"/>
    <w:rsid w:val="00041023"/>
    <w:rsid w:val="00041131"/>
    <w:rsid w:val="00042016"/>
    <w:rsid w:val="00042392"/>
    <w:rsid w:val="0004327C"/>
    <w:rsid w:val="000437B5"/>
    <w:rsid w:val="00043F92"/>
    <w:rsid w:val="00045C4B"/>
    <w:rsid w:val="000464C8"/>
    <w:rsid w:val="00047745"/>
    <w:rsid w:val="00047DAF"/>
    <w:rsid w:val="000500B9"/>
    <w:rsid w:val="00050875"/>
    <w:rsid w:val="00051679"/>
    <w:rsid w:val="00052D49"/>
    <w:rsid w:val="00052E72"/>
    <w:rsid w:val="00053170"/>
    <w:rsid w:val="000532AD"/>
    <w:rsid w:val="000535BD"/>
    <w:rsid w:val="00054C45"/>
    <w:rsid w:val="000552DF"/>
    <w:rsid w:val="000555E1"/>
    <w:rsid w:val="00055C30"/>
    <w:rsid w:val="000567D7"/>
    <w:rsid w:val="00057D36"/>
    <w:rsid w:val="00057F1A"/>
    <w:rsid w:val="0006208A"/>
    <w:rsid w:val="00062A42"/>
    <w:rsid w:val="00062FA4"/>
    <w:rsid w:val="0006303C"/>
    <w:rsid w:val="000630FE"/>
    <w:rsid w:val="000631A9"/>
    <w:rsid w:val="000634BC"/>
    <w:rsid w:val="000645D6"/>
    <w:rsid w:val="000647B7"/>
    <w:rsid w:val="00064A81"/>
    <w:rsid w:val="00064F1C"/>
    <w:rsid w:val="00065B44"/>
    <w:rsid w:val="00066750"/>
    <w:rsid w:val="00066E95"/>
    <w:rsid w:val="000678B1"/>
    <w:rsid w:val="00067B91"/>
    <w:rsid w:val="00070927"/>
    <w:rsid w:val="000714A9"/>
    <w:rsid w:val="00071538"/>
    <w:rsid w:val="0007161A"/>
    <w:rsid w:val="000716FC"/>
    <w:rsid w:val="0007213A"/>
    <w:rsid w:val="00072753"/>
    <w:rsid w:val="00072C44"/>
    <w:rsid w:val="000738D9"/>
    <w:rsid w:val="00074989"/>
    <w:rsid w:val="00074A2F"/>
    <w:rsid w:val="00074F41"/>
    <w:rsid w:val="000751A3"/>
    <w:rsid w:val="00075FAB"/>
    <w:rsid w:val="0007749B"/>
    <w:rsid w:val="00080DAB"/>
    <w:rsid w:val="00081346"/>
    <w:rsid w:val="0008136E"/>
    <w:rsid w:val="0008142E"/>
    <w:rsid w:val="00083E56"/>
    <w:rsid w:val="00083EEE"/>
    <w:rsid w:val="00084168"/>
    <w:rsid w:val="00084ABE"/>
    <w:rsid w:val="00085144"/>
    <w:rsid w:val="00086029"/>
    <w:rsid w:val="00086117"/>
    <w:rsid w:val="0008621F"/>
    <w:rsid w:val="00086A7C"/>
    <w:rsid w:val="00090274"/>
    <w:rsid w:val="00090596"/>
    <w:rsid w:val="00090A3E"/>
    <w:rsid w:val="000911C8"/>
    <w:rsid w:val="00093879"/>
    <w:rsid w:val="000943A3"/>
    <w:rsid w:val="000956BC"/>
    <w:rsid w:val="00095773"/>
    <w:rsid w:val="000967E1"/>
    <w:rsid w:val="00096D79"/>
    <w:rsid w:val="000A1C0E"/>
    <w:rsid w:val="000A1C8C"/>
    <w:rsid w:val="000A312A"/>
    <w:rsid w:val="000A36D2"/>
    <w:rsid w:val="000A4575"/>
    <w:rsid w:val="000A5D20"/>
    <w:rsid w:val="000A5DEF"/>
    <w:rsid w:val="000A612A"/>
    <w:rsid w:val="000A6DED"/>
    <w:rsid w:val="000A71D3"/>
    <w:rsid w:val="000A7D43"/>
    <w:rsid w:val="000B2526"/>
    <w:rsid w:val="000B3126"/>
    <w:rsid w:val="000B4124"/>
    <w:rsid w:val="000B7804"/>
    <w:rsid w:val="000C19D1"/>
    <w:rsid w:val="000C2E27"/>
    <w:rsid w:val="000C2E4A"/>
    <w:rsid w:val="000C36E5"/>
    <w:rsid w:val="000C43A7"/>
    <w:rsid w:val="000C47C9"/>
    <w:rsid w:val="000C60E9"/>
    <w:rsid w:val="000C72A5"/>
    <w:rsid w:val="000C7829"/>
    <w:rsid w:val="000D0639"/>
    <w:rsid w:val="000D1389"/>
    <w:rsid w:val="000D1641"/>
    <w:rsid w:val="000D1CD1"/>
    <w:rsid w:val="000D2029"/>
    <w:rsid w:val="000D35B1"/>
    <w:rsid w:val="000D4E82"/>
    <w:rsid w:val="000D5C71"/>
    <w:rsid w:val="000D6C79"/>
    <w:rsid w:val="000E02A3"/>
    <w:rsid w:val="000E12EC"/>
    <w:rsid w:val="000E1435"/>
    <w:rsid w:val="000E14B1"/>
    <w:rsid w:val="000E1B3A"/>
    <w:rsid w:val="000E245F"/>
    <w:rsid w:val="000E24E5"/>
    <w:rsid w:val="000E259A"/>
    <w:rsid w:val="000E3407"/>
    <w:rsid w:val="000E351A"/>
    <w:rsid w:val="000E39FB"/>
    <w:rsid w:val="000E59DA"/>
    <w:rsid w:val="000E639F"/>
    <w:rsid w:val="000F02BF"/>
    <w:rsid w:val="000F0D0B"/>
    <w:rsid w:val="000F1688"/>
    <w:rsid w:val="000F1BF6"/>
    <w:rsid w:val="000F1F7C"/>
    <w:rsid w:val="000F24A1"/>
    <w:rsid w:val="000F24FC"/>
    <w:rsid w:val="000F4285"/>
    <w:rsid w:val="000F6B2E"/>
    <w:rsid w:val="0010004A"/>
    <w:rsid w:val="00100A46"/>
    <w:rsid w:val="00102871"/>
    <w:rsid w:val="00102C0F"/>
    <w:rsid w:val="00102E8F"/>
    <w:rsid w:val="001046DD"/>
    <w:rsid w:val="00105B9E"/>
    <w:rsid w:val="001067DA"/>
    <w:rsid w:val="00107B16"/>
    <w:rsid w:val="001102E0"/>
    <w:rsid w:val="001104ED"/>
    <w:rsid w:val="001108C2"/>
    <w:rsid w:val="00112CB9"/>
    <w:rsid w:val="001130DA"/>
    <w:rsid w:val="0011323A"/>
    <w:rsid w:val="001140F7"/>
    <w:rsid w:val="00114234"/>
    <w:rsid w:val="00114AA7"/>
    <w:rsid w:val="00114E8F"/>
    <w:rsid w:val="001151C6"/>
    <w:rsid w:val="00116933"/>
    <w:rsid w:val="00116AD2"/>
    <w:rsid w:val="00116B2E"/>
    <w:rsid w:val="001176A2"/>
    <w:rsid w:val="001179F3"/>
    <w:rsid w:val="00120218"/>
    <w:rsid w:val="00120325"/>
    <w:rsid w:val="00120A54"/>
    <w:rsid w:val="00122453"/>
    <w:rsid w:val="00123835"/>
    <w:rsid w:val="00123AD7"/>
    <w:rsid w:val="001251E3"/>
    <w:rsid w:val="00126D3C"/>
    <w:rsid w:val="001303C0"/>
    <w:rsid w:val="0013042C"/>
    <w:rsid w:val="001312A5"/>
    <w:rsid w:val="00131945"/>
    <w:rsid w:val="0013679B"/>
    <w:rsid w:val="0013689F"/>
    <w:rsid w:val="00136B67"/>
    <w:rsid w:val="00136C28"/>
    <w:rsid w:val="00136F6E"/>
    <w:rsid w:val="001419D9"/>
    <w:rsid w:val="001431E7"/>
    <w:rsid w:val="001438C9"/>
    <w:rsid w:val="00143AFE"/>
    <w:rsid w:val="00143B2A"/>
    <w:rsid w:val="00143C16"/>
    <w:rsid w:val="00143EB4"/>
    <w:rsid w:val="0014449C"/>
    <w:rsid w:val="00144571"/>
    <w:rsid w:val="001448A8"/>
    <w:rsid w:val="00144D0D"/>
    <w:rsid w:val="00146A7F"/>
    <w:rsid w:val="00146E6C"/>
    <w:rsid w:val="00147F01"/>
    <w:rsid w:val="00150149"/>
    <w:rsid w:val="00150C06"/>
    <w:rsid w:val="001519A3"/>
    <w:rsid w:val="00151DCA"/>
    <w:rsid w:val="00151E3D"/>
    <w:rsid w:val="001526D7"/>
    <w:rsid w:val="00152D9A"/>
    <w:rsid w:val="0015458A"/>
    <w:rsid w:val="0015472A"/>
    <w:rsid w:val="001548B1"/>
    <w:rsid w:val="00154972"/>
    <w:rsid w:val="00156BB8"/>
    <w:rsid w:val="001602A0"/>
    <w:rsid w:val="001612BA"/>
    <w:rsid w:val="00162594"/>
    <w:rsid w:val="00162763"/>
    <w:rsid w:val="001630F4"/>
    <w:rsid w:val="00163AF0"/>
    <w:rsid w:val="00163EA9"/>
    <w:rsid w:val="00163FB7"/>
    <w:rsid w:val="00164092"/>
    <w:rsid w:val="00164141"/>
    <w:rsid w:val="00165E60"/>
    <w:rsid w:val="001662E2"/>
    <w:rsid w:val="0016728B"/>
    <w:rsid w:val="0016791B"/>
    <w:rsid w:val="00167B3A"/>
    <w:rsid w:val="00167FDF"/>
    <w:rsid w:val="00171F71"/>
    <w:rsid w:val="001726CF"/>
    <w:rsid w:val="00172994"/>
    <w:rsid w:val="0017341F"/>
    <w:rsid w:val="001755FD"/>
    <w:rsid w:val="001759D6"/>
    <w:rsid w:val="00175B3D"/>
    <w:rsid w:val="00175E2E"/>
    <w:rsid w:val="00176645"/>
    <w:rsid w:val="00180651"/>
    <w:rsid w:val="001809C4"/>
    <w:rsid w:val="00181373"/>
    <w:rsid w:val="00181C64"/>
    <w:rsid w:val="00181C8E"/>
    <w:rsid w:val="001826AC"/>
    <w:rsid w:val="00183432"/>
    <w:rsid w:val="00183993"/>
    <w:rsid w:val="001843A1"/>
    <w:rsid w:val="001848C3"/>
    <w:rsid w:val="0018494B"/>
    <w:rsid w:val="00184AB4"/>
    <w:rsid w:val="00184DFC"/>
    <w:rsid w:val="001910E7"/>
    <w:rsid w:val="0019162B"/>
    <w:rsid w:val="00192D8F"/>
    <w:rsid w:val="00193A78"/>
    <w:rsid w:val="0019407A"/>
    <w:rsid w:val="001943E3"/>
    <w:rsid w:val="001944CA"/>
    <w:rsid w:val="00194C16"/>
    <w:rsid w:val="00194DC2"/>
    <w:rsid w:val="001953AB"/>
    <w:rsid w:val="00195F86"/>
    <w:rsid w:val="00196027"/>
    <w:rsid w:val="00196763"/>
    <w:rsid w:val="00196AF7"/>
    <w:rsid w:val="00196D0A"/>
    <w:rsid w:val="00196EF4"/>
    <w:rsid w:val="00197E5A"/>
    <w:rsid w:val="001A016A"/>
    <w:rsid w:val="001A01D8"/>
    <w:rsid w:val="001A025D"/>
    <w:rsid w:val="001A07DE"/>
    <w:rsid w:val="001A173A"/>
    <w:rsid w:val="001A1FE8"/>
    <w:rsid w:val="001A2701"/>
    <w:rsid w:val="001A2F28"/>
    <w:rsid w:val="001A2F76"/>
    <w:rsid w:val="001A3E2F"/>
    <w:rsid w:val="001A4CB5"/>
    <w:rsid w:val="001A6297"/>
    <w:rsid w:val="001A702B"/>
    <w:rsid w:val="001A725B"/>
    <w:rsid w:val="001B01B2"/>
    <w:rsid w:val="001B0FEA"/>
    <w:rsid w:val="001B113F"/>
    <w:rsid w:val="001B1A69"/>
    <w:rsid w:val="001B249F"/>
    <w:rsid w:val="001B25E4"/>
    <w:rsid w:val="001B2845"/>
    <w:rsid w:val="001B2AE8"/>
    <w:rsid w:val="001B3E77"/>
    <w:rsid w:val="001B5F5E"/>
    <w:rsid w:val="001B6EED"/>
    <w:rsid w:val="001B78A5"/>
    <w:rsid w:val="001C060D"/>
    <w:rsid w:val="001C084D"/>
    <w:rsid w:val="001C0D45"/>
    <w:rsid w:val="001C1F62"/>
    <w:rsid w:val="001C2BE7"/>
    <w:rsid w:val="001C2FEA"/>
    <w:rsid w:val="001C412B"/>
    <w:rsid w:val="001C478C"/>
    <w:rsid w:val="001C4AAF"/>
    <w:rsid w:val="001C5086"/>
    <w:rsid w:val="001C5A7E"/>
    <w:rsid w:val="001C6261"/>
    <w:rsid w:val="001C6F3B"/>
    <w:rsid w:val="001C6FBE"/>
    <w:rsid w:val="001C7247"/>
    <w:rsid w:val="001C7F66"/>
    <w:rsid w:val="001D0222"/>
    <w:rsid w:val="001D07B4"/>
    <w:rsid w:val="001D1213"/>
    <w:rsid w:val="001D148B"/>
    <w:rsid w:val="001D1686"/>
    <w:rsid w:val="001D1D8D"/>
    <w:rsid w:val="001D246C"/>
    <w:rsid w:val="001D2B12"/>
    <w:rsid w:val="001D3AF6"/>
    <w:rsid w:val="001D4406"/>
    <w:rsid w:val="001D46B7"/>
    <w:rsid w:val="001D544D"/>
    <w:rsid w:val="001D5CA1"/>
    <w:rsid w:val="001D715B"/>
    <w:rsid w:val="001D7A01"/>
    <w:rsid w:val="001D7CDC"/>
    <w:rsid w:val="001E09A9"/>
    <w:rsid w:val="001E0D9A"/>
    <w:rsid w:val="001E11A2"/>
    <w:rsid w:val="001E15BF"/>
    <w:rsid w:val="001E210A"/>
    <w:rsid w:val="001E25C9"/>
    <w:rsid w:val="001E3098"/>
    <w:rsid w:val="001E42A1"/>
    <w:rsid w:val="001E4C51"/>
    <w:rsid w:val="001E4CBE"/>
    <w:rsid w:val="001E576A"/>
    <w:rsid w:val="001E6596"/>
    <w:rsid w:val="001E665E"/>
    <w:rsid w:val="001E6A6B"/>
    <w:rsid w:val="001E7ACE"/>
    <w:rsid w:val="001E7F65"/>
    <w:rsid w:val="001F04F1"/>
    <w:rsid w:val="001F05C5"/>
    <w:rsid w:val="001F0CC6"/>
    <w:rsid w:val="001F3065"/>
    <w:rsid w:val="001F4C28"/>
    <w:rsid w:val="001F53A8"/>
    <w:rsid w:val="001F545E"/>
    <w:rsid w:val="001F60BC"/>
    <w:rsid w:val="001F6247"/>
    <w:rsid w:val="001F627E"/>
    <w:rsid w:val="001F6CAD"/>
    <w:rsid w:val="002025A0"/>
    <w:rsid w:val="00202D96"/>
    <w:rsid w:val="00203089"/>
    <w:rsid w:val="002059A9"/>
    <w:rsid w:val="00206627"/>
    <w:rsid w:val="002066D1"/>
    <w:rsid w:val="002073D2"/>
    <w:rsid w:val="002074D4"/>
    <w:rsid w:val="00207AE9"/>
    <w:rsid w:val="00210D02"/>
    <w:rsid w:val="00210F4F"/>
    <w:rsid w:val="00211388"/>
    <w:rsid w:val="00212C06"/>
    <w:rsid w:val="002131CC"/>
    <w:rsid w:val="00214124"/>
    <w:rsid w:val="002143E6"/>
    <w:rsid w:val="00216760"/>
    <w:rsid w:val="002171B3"/>
    <w:rsid w:val="0021748A"/>
    <w:rsid w:val="00217BF6"/>
    <w:rsid w:val="00217C86"/>
    <w:rsid w:val="00217ECA"/>
    <w:rsid w:val="0022060B"/>
    <w:rsid w:val="00220A71"/>
    <w:rsid w:val="00221D28"/>
    <w:rsid w:val="00223340"/>
    <w:rsid w:val="002233D4"/>
    <w:rsid w:val="0022420C"/>
    <w:rsid w:val="00224FD8"/>
    <w:rsid w:val="00225C78"/>
    <w:rsid w:val="00225E2B"/>
    <w:rsid w:val="0022617C"/>
    <w:rsid w:val="002262EC"/>
    <w:rsid w:val="00226869"/>
    <w:rsid w:val="00230411"/>
    <w:rsid w:val="00230981"/>
    <w:rsid w:val="00230D17"/>
    <w:rsid w:val="00231369"/>
    <w:rsid w:val="00231374"/>
    <w:rsid w:val="00232542"/>
    <w:rsid w:val="002335EA"/>
    <w:rsid w:val="0023430D"/>
    <w:rsid w:val="00234560"/>
    <w:rsid w:val="002346DA"/>
    <w:rsid w:val="002355C0"/>
    <w:rsid w:val="002356BD"/>
    <w:rsid w:val="002363F8"/>
    <w:rsid w:val="00236471"/>
    <w:rsid w:val="00237CD9"/>
    <w:rsid w:val="00237F06"/>
    <w:rsid w:val="002414FA"/>
    <w:rsid w:val="00243E60"/>
    <w:rsid w:val="0024435E"/>
    <w:rsid w:val="00245398"/>
    <w:rsid w:val="0024574F"/>
    <w:rsid w:val="00245A18"/>
    <w:rsid w:val="002463CA"/>
    <w:rsid w:val="00246AAC"/>
    <w:rsid w:val="00246ACF"/>
    <w:rsid w:val="00246FF7"/>
    <w:rsid w:val="00247015"/>
    <w:rsid w:val="002470A4"/>
    <w:rsid w:val="002471E8"/>
    <w:rsid w:val="00247433"/>
    <w:rsid w:val="002474C2"/>
    <w:rsid w:val="00247AA0"/>
    <w:rsid w:val="002508F3"/>
    <w:rsid w:val="002511B8"/>
    <w:rsid w:val="00251672"/>
    <w:rsid w:val="002540F2"/>
    <w:rsid w:val="00254696"/>
    <w:rsid w:val="00254833"/>
    <w:rsid w:val="002548A8"/>
    <w:rsid w:val="00254C8B"/>
    <w:rsid w:val="00254E95"/>
    <w:rsid w:val="002556F3"/>
    <w:rsid w:val="00255D56"/>
    <w:rsid w:val="00256499"/>
    <w:rsid w:val="0025750E"/>
    <w:rsid w:val="002608EB"/>
    <w:rsid w:val="00261821"/>
    <w:rsid w:val="002647C6"/>
    <w:rsid w:val="00265C48"/>
    <w:rsid w:val="002660AF"/>
    <w:rsid w:val="00266C44"/>
    <w:rsid w:val="00266E12"/>
    <w:rsid w:val="002702FA"/>
    <w:rsid w:val="00270369"/>
    <w:rsid w:val="00270505"/>
    <w:rsid w:val="00270871"/>
    <w:rsid w:val="00270A50"/>
    <w:rsid w:val="00270E20"/>
    <w:rsid w:val="0027240C"/>
    <w:rsid w:val="00272A68"/>
    <w:rsid w:val="0027380C"/>
    <w:rsid w:val="00273900"/>
    <w:rsid w:val="002739C2"/>
    <w:rsid w:val="002747E5"/>
    <w:rsid w:val="00274ABA"/>
    <w:rsid w:val="00274DC8"/>
    <w:rsid w:val="00275B3F"/>
    <w:rsid w:val="00275E2F"/>
    <w:rsid w:val="002769FA"/>
    <w:rsid w:val="00277672"/>
    <w:rsid w:val="00277B70"/>
    <w:rsid w:val="0028211E"/>
    <w:rsid w:val="00282EB4"/>
    <w:rsid w:val="00282F8C"/>
    <w:rsid w:val="002831A1"/>
    <w:rsid w:val="00284B2D"/>
    <w:rsid w:val="00284E14"/>
    <w:rsid w:val="0028537A"/>
    <w:rsid w:val="00285EA5"/>
    <w:rsid w:val="0028713D"/>
    <w:rsid w:val="00287188"/>
    <w:rsid w:val="00287535"/>
    <w:rsid w:val="00290399"/>
    <w:rsid w:val="00290682"/>
    <w:rsid w:val="00290E9A"/>
    <w:rsid w:val="002912C7"/>
    <w:rsid w:val="002915BB"/>
    <w:rsid w:val="0029249C"/>
    <w:rsid w:val="002937A3"/>
    <w:rsid w:val="002937C0"/>
    <w:rsid w:val="00294B6F"/>
    <w:rsid w:val="00295607"/>
    <w:rsid w:val="00295824"/>
    <w:rsid w:val="00295BA1"/>
    <w:rsid w:val="002961C8"/>
    <w:rsid w:val="00296638"/>
    <w:rsid w:val="0029785A"/>
    <w:rsid w:val="00297BCC"/>
    <w:rsid w:val="002A1481"/>
    <w:rsid w:val="002A180B"/>
    <w:rsid w:val="002A2633"/>
    <w:rsid w:val="002A337C"/>
    <w:rsid w:val="002A36F4"/>
    <w:rsid w:val="002A3A67"/>
    <w:rsid w:val="002A45A6"/>
    <w:rsid w:val="002A4B2F"/>
    <w:rsid w:val="002A4F67"/>
    <w:rsid w:val="002A53EC"/>
    <w:rsid w:val="002A5571"/>
    <w:rsid w:val="002A5EA8"/>
    <w:rsid w:val="002A5EBF"/>
    <w:rsid w:val="002A65C4"/>
    <w:rsid w:val="002A7868"/>
    <w:rsid w:val="002A793F"/>
    <w:rsid w:val="002A799E"/>
    <w:rsid w:val="002A7AAB"/>
    <w:rsid w:val="002B0073"/>
    <w:rsid w:val="002B01D7"/>
    <w:rsid w:val="002B03BA"/>
    <w:rsid w:val="002B0C7C"/>
    <w:rsid w:val="002B1F76"/>
    <w:rsid w:val="002B25C8"/>
    <w:rsid w:val="002B2612"/>
    <w:rsid w:val="002B3453"/>
    <w:rsid w:val="002B40DD"/>
    <w:rsid w:val="002B4316"/>
    <w:rsid w:val="002B5D67"/>
    <w:rsid w:val="002B69C5"/>
    <w:rsid w:val="002B7585"/>
    <w:rsid w:val="002B75D3"/>
    <w:rsid w:val="002C1E85"/>
    <w:rsid w:val="002C2BB9"/>
    <w:rsid w:val="002C2D68"/>
    <w:rsid w:val="002C2EB4"/>
    <w:rsid w:val="002C2EE2"/>
    <w:rsid w:val="002C395A"/>
    <w:rsid w:val="002C4287"/>
    <w:rsid w:val="002C5049"/>
    <w:rsid w:val="002C5B81"/>
    <w:rsid w:val="002C7238"/>
    <w:rsid w:val="002D05DD"/>
    <w:rsid w:val="002D0603"/>
    <w:rsid w:val="002D1164"/>
    <w:rsid w:val="002D1AF9"/>
    <w:rsid w:val="002D21F1"/>
    <w:rsid w:val="002D27BA"/>
    <w:rsid w:val="002D2B1F"/>
    <w:rsid w:val="002D2B7C"/>
    <w:rsid w:val="002D2F60"/>
    <w:rsid w:val="002D3C7C"/>
    <w:rsid w:val="002D4AD4"/>
    <w:rsid w:val="002D4C9D"/>
    <w:rsid w:val="002D521E"/>
    <w:rsid w:val="002D5427"/>
    <w:rsid w:val="002D5439"/>
    <w:rsid w:val="002D5D5B"/>
    <w:rsid w:val="002D6B81"/>
    <w:rsid w:val="002D71DB"/>
    <w:rsid w:val="002D748D"/>
    <w:rsid w:val="002E06D9"/>
    <w:rsid w:val="002E1826"/>
    <w:rsid w:val="002E1DCA"/>
    <w:rsid w:val="002E4AAD"/>
    <w:rsid w:val="002E4BEE"/>
    <w:rsid w:val="002E57E4"/>
    <w:rsid w:val="002E5AD8"/>
    <w:rsid w:val="002E5D60"/>
    <w:rsid w:val="002E62D0"/>
    <w:rsid w:val="002E63FC"/>
    <w:rsid w:val="002E67A0"/>
    <w:rsid w:val="002E6AC0"/>
    <w:rsid w:val="002E72E3"/>
    <w:rsid w:val="002F0B6B"/>
    <w:rsid w:val="002F11C1"/>
    <w:rsid w:val="002F1803"/>
    <w:rsid w:val="002F21D4"/>
    <w:rsid w:val="002F259B"/>
    <w:rsid w:val="002F3275"/>
    <w:rsid w:val="002F3EAF"/>
    <w:rsid w:val="002F4275"/>
    <w:rsid w:val="002F4617"/>
    <w:rsid w:val="002F7440"/>
    <w:rsid w:val="002F7AD7"/>
    <w:rsid w:val="002F7EF7"/>
    <w:rsid w:val="003004C6"/>
    <w:rsid w:val="00301C13"/>
    <w:rsid w:val="0030241F"/>
    <w:rsid w:val="003026F2"/>
    <w:rsid w:val="003029FD"/>
    <w:rsid w:val="00302CD7"/>
    <w:rsid w:val="00302F63"/>
    <w:rsid w:val="00303C44"/>
    <w:rsid w:val="0030466B"/>
    <w:rsid w:val="003059DF"/>
    <w:rsid w:val="00306D83"/>
    <w:rsid w:val="00306F3A"/>
    <w:rsid w:val="0030704C"/>
    <w:rsid w:val="003077D8"/>
    <w:rsid w:val="00310BE1"/>
    <w:rsid w:val="00312056"/>
    <w:rsid w:val="00312470"/>
    <w:rsid w:val="00312797"/>
    <w:rsid w:val="00312A7A"/>
    <w:rsid w:val="00313396"/>
    <w:rsid w:val="00313A60"/>
    <w:rsid w:val="00313B75"/>
    <w:rsid w:val="003144B6"/>
    <w:rsid w:val="00314EEA"/>
    <w:rsid w:val="003160F5"/>
    <w:rsid w:val="00316829"/>
    <w:rsid w:val="00316FC6"/>
    <w:rsid w:val="003170D0"/>
    <w:rsid w:val="00317509"/>
    <w:rsid w:val="0032007F"/>
    <w:rsid w:val="003207ED"/>
    <w:rsid w:val="00321295"/>
    <w:rsid w:val="00322F3B"/>
    <w:rsid w:val="003247CA"/>
    <w:rsid w:val="003248C3"/>
    <w:rsid w:val="00325638"/>
    <w:rsid w:val="00326BDA"/>
    <w:rsid w:val="00327DD5"/>
    <w:rsid w:val="00330A94"/>
    <w:rsid w:val="00330DD0"/>
    <w:rsid w:val="003317E6"/>
    <w:rsid w:val="00331C9F"/>
    <w:rsid w:val="0033255A"/>
    <w:rsid w:val="0033347D"/>
    <w:rsid w:val="003334C0"/>
    <w:rsid w:val="00334D62"/>
    <w:rsid w:val="0034021D"/>
    <w:rsid w:val="003403B2"/>
    <w:rsid w:val="0034189C"/>
    <w:rsid w:val="00341ECB"/>
    <w:rsid w:val="003455BB"/>
    <w:rsid w:val="00346C84"/>
    <w:rsid w:val="003470FD"/>
    <w:rsid w:val="003506A9"/>
    <w:rsid w:val="00352BC4"/>
    <w:rsid w:val="00352DAF"/>
    <w:rsid w:val="0035380F"/>
    <w:rsid w:val="00353E8F"/>
    <w:rsid w:val="00354BBB"/>
    <w:rsid w:val="00354D37"/>
    <w:rsid w:val="003552DA"/>
    <w:rsid w:val="00355776"/>
    <w:rsid w:val="00355ABC"/>
    <w:rsid w:val="003578F2"/>
    <w:rsid w:val="003609BE"/>
    <w:rsid w:val="00360EA3"/>
    <w:rsid w:val="003613DE"/>
    <w:rsid w:val="00361409"/>
    <w:rsid w:val="00361649"/>
    <w:rsid w:val="00361C46"/>
    <w:rsid w:val="003626F9"/>
    <w:rsid w:val="0036291D"/>
    <w:rsid w:val="00363FD1"/>
    <w:rsid w:val="0036413B"/>
    <w:rsid w:val="003650AD"/>
    <w:rsid w:val="00366AC4"/>
    <w:rsid w:val="00367033"/>
    <w:rsid w:val="00367755"/>
    <w:rsid w:val="00370AFE"/>
    <w:rsid w:val="003714D0"/>
    <w:rsid w:val="00371824"/>
    <w:rsid w:val="00372046"/>
    <w:rsid w:val="00372A39"/>
    <w:rsid w:val="00372FC9"/>
    <w:rsid w:val="0037334D"/>
    <w:rsid w:val="0037413B"/>
    <w:rsid w:val="00374582"/>
    <w:rsid w:val="00374AEE"/>
    <w:rsid w:val="00375152"/>
    <w:rsid w:val="00376CAD"/>
    <w:rsid w:val="003777D7"/>
    <w:rsid w:val="00377C07"/>
    <w:rsid w:val="00380018"/>
    <w:rsid w:val="003806F3"/>
    <w:rsid w:val="00380A81"/>
    <w:rsid w:val="00380BB2"/>
    <w:rsid w:val="00381752"/>
    <w:rsid w:val="00381AE0"/>
    <w:rsid w:val="0038235B"/>
    <w:rsid w:val="003841AC"/>
    <w:rsid w:val="003862A2"/>
    <w:rsid w:val="0038653A"/>
    <w:rsid w:val="00387946"/>
    <w:rsid w:val="00390DA4"/>
    <w:rsid w:val="0039231D"/>
    <w:rsid w:val="003927ED"/>
    <w:rsid w:val="00394181"/>
    <w:rsid w:val="0039432E"/>
    <w:rsid w:val="0039433F"/>
    <w:rsid w:val="003951BA"/>
    <w:rsid w:val="00395514"/>
    <w:rsid w:val="00395722"/>
    <w:rsid w:val="0039656F"/>
    <w:rsid w:val="00396666"/>
    <w:rsid w:val="00397DB8"/>
    <w:rsid w:val="003A09B1"/>
    <w:rsid w:val="003A09D4"/>
    <w:rsid w:val="003A17FF"/>
    <w:rsid w:val="003A1F3F"/>
    <w:rsid w:val="003A5006"/>
    <w:rsid w:val="003A51EF"/>
    <w:rsid w:val="003A54CF"/>
    <w:rsid w:val="003A62F4"/>
    <w:rsid w:val="003A763D"/>
    <w:rsid w:val="003A7808"/>
    <w:rsid w:val="003B04D8"/>
    <w:rsid w:val="003B0506"/>
    <w:rsid w:val="003B0710"/>
    <w:rsid w:val="003B150D"/>
    <w:rsid w:val="003B198F"/>
    <w:rsid w:val="003B19BF"/>
    <w:rsid w:val="003B26AF"/>
    <w:rsid w:val="003B2709"/>
    <w:rsid w:val="003B2A0D"/>
    <w:rsid w:val="003B35C0"/>
    <w:rsid w:val="003B3907"/>
    <w:rsid w:val="003B5184"/>
    <w:rsid w:val="003B617B"/>
    <w:rsid w:val="003B6839"/>
    <w:rsid w:val="003B6D73"/>
    <w:rsid w:val="003B71CD"/>
    <w:rsid w:val="003B7820"/>
    <w:rsid w:val="003B7D72"/>
    <w:rsid w:val="003C0A40"/>
    <w:rsid w:val="003C142D"/>
    <w:rsid w:val="003C2068"/>
    <w:rsid w:val="003C3E5E"/>
    <w:rsid w:val="003C404E"/>
    <w:rsid w:val="003C4E11"/>
    <w:rsid w:val="003C521F"/>
    <w:rsid w:val="003C5557"/>
    <w:rsid w:val="003C68B5"/>
    <w:rsid w:val="003C6A1C"/>
    <w:rsid w:val="003C6ED9"/>
    <w:rsid w:val="003C79FE"/>
    <w:rsid w:val="003D1726"/>
    <w:rsid w:val="003D26E8"/>
    <w:rsid w:val="003D29A2"/>
    <w:rsid w:val="003D2FDC"/>
    <w:rsid w:val="003D3383"/>
    <w:rsid w:val="003D35D4"/>
    <w:rsid w:val="003D41B6"/>
    <w:rsid w:val="003D501B"/>
    <w:rsid w:val="003D5289"/>
    <w:rsid w:val="003D537B"/>
    <w:rsid w:val="003D55C8"/>
    <w:rsid w:val="003E06C6"/>
    <w:rsid w:val="003E0E3F"/>
    <w:rsid w:val="003E15E3"/>
    <w:rsid w:val="003E19E0"/>
    <w:rsid w:val="003E277E"/>
    <w:rsid w:val="003E2CC7"/>
    <w:rsid w:val="003E3275"/>
    <w:rsid w:val="003E36F4"/>
    <w:rsid w:val="003E3F71"/>
    <w:rsid w:val="003E44CE"/>
    <w:rsid w:val="003E51D9"/>
    <w:rsid w:val="003E53FE"/>
    <w:rsid w:val="003E5641"/>
    <w:rsid w:val="003E6B2C"/>
    <w:rsid w:val="003E6D70"/>
    <w:rsid w:val="003E7DD1"/>
    <w:rsid w:val="003F20B7"/>
    <w:rsid w:val="003F2698"/>
    <w:rsid w:val="003F2891"/>
    <w:rsid w:val="003F2A3E"/>
    <w:rsid w:val="003F2C45"/>
    <w:rsid w:val="003F2D2B"/>
    <w:rsid w:val="003F601E"/>
    <w:rsid w:val="003F6C40"/>
    <w:rsid w:val="003F7956"/>
    <w:rsid w:val="003F7C83"/>
    <w:rsid w:val="004008FE"/>
    <w:rsid w:val="004013A7"/>
    <w:rsid w:val="00402FDF"/>
    <w:rsid w:val="00404535"/>
    <w:rsid w:val="0040587A"/>
    <w:rsid w:val="00405950"/>
    <w:rsid w:val="00405D38"/>
    <w:rsid w:val="0040752D"/>
    <w:rsid w:val="00410106"/>
    <w:rsid w:val="00411A46"/>
    <w:rsid w:val="00411D47"/>
    <w:rsid w:val="004120E5"/>
    <w:rsid w:val="0041236A"/>
    <w:rsid w:val="0041371B"/>
    <w:rsid w:val="004137A6"/>
    <w:rsid w:val="00413C2F"/>
    <w:rsid w:val="00414410"/>
    <w:rsid w:val="00414550"/>
    <w:rsid w:val="004149E4"/>
    <w:rsid w:val="00415982"/>
    <w:rsid w:val="00416857"/>
    <w:rsid w:val="00417AB0"/>
    <w:rsid w:val="00417EFF"/>
    <w:rsid w:val="00417FC4"/>
    <w:rsid w:val="00420020"/>
    <w:rsid w:val="00420926"/>
    <w:rsid w:val="00421D50"/>
    <w:rsid w:val="00422087"/>
    <w:rsid w:val="004226C5"/>
    <w:rsid w:val="00422D01"/>
    <w:rsid w:val="00424BF8"/>
    <w:rsid w:val="00426F2E"/>
    <w:rsid w:val="00426F93"/>
    <w:rsid w:val="00426F96"/>
    <w:rsid w:val="004272C4"/>
    <w:rsid w:val="00430E72"/>
    <w:rsid w:val="00431813"/>
    <w:rsid w:val="00432E5D"/>
    <w:rsid w:val="00435983"/>
    <w:rsid w:val="00435D79"/>
    <w:rsid w:val="00437A1E"/>
    <w:rsid w:val="00437B36"/>
    <w:rsid w:val="00437C18"/>
    <w:rsid w:val="00440149"/>
    <w:rsid w:val="00440B02"/>
    <w:rsid w:val="004414B2"/>
    <w:rsid w:val="00442926"/>
    <w:rsid w:val="00443A8D"/>
    <w:rsid w:val="0044429E"/>
    <w:rsid w:val="00444CF0"/>
    <w:rsid w:val="004450AD"/>
    <w:rsid w:val="00446391"/>
    <w:rsid w:val="0044676E"/>
    <w:rsid w:val="0045027D"/>
    <w:rsid w:val="00450296"/>
    <w:rsid w:val="00450B91"/>
    <w:rsid w:val="00451067"/>
    <w:rsid w:val="00451398"/>
    <w:rsid w:val="0045162C"/>
    <w:rsid w:val="00451F47"/>
    <w:rsid w:val="00452A78"/>
    <w:rsid w:val="00453DA5"/>
    <w:rsid w:val="004541B8"/>
    <w:rsid w:val="00454768"/>
    <w:rsid w:val="00454C8D"/>
    <w:rsid w:val="00455232"/>
    <w:rsid w:val="004568CE"/>
    <w:rsid w:val="00456F29"/>
    <w:rsid w:val="00457DC7"/>
    <w:rsid w:val="00460458"/>
    <w:rsid w:val="00460879"/>
    <w:rsid w:val="0046190E"/>
    <w:rsid w:val="004628F5"/>
    <w:rsid w:val="00462A2E"/>
    <w:rsid w:val="00463A74"/>
    <w:rsid w:val="00464259"/>
    <w:rsid w:val="0046449A"/>
    <w:rsid w:val="00464675"/>
    <w:rsid w:val="00464D3F"/>
    <w:rsid w:val="0046556B"/>
    <w:rsid w:val="00466567"/>
    <w:rsid w:val="0046769B"/>
    <w:rsid w:val="00467F23"/>
    <w:rsid w:val="00470521"/>
    <w:rsid w:val="0047095F"/>
    <w:rsid w:val="00470C45"/>
    <w:rsid w:val="00470F48"/>
    <w:rsid w:val="004713E5"/>
    <w:rsid w:val="004720D1"/>
    <w:rsid w:val="004738AB"/>
    <w:rsid w:val="00473C2B"/>
    <w:rsid w:val="00474B3B"/>
    <w:rsid w:val="00474ED5"/>
    <w:rsid w:val="004752EC"/>
    <w:rsid w:val="004757DE"/>
    <w:rsid w:val="004763F7"/>
    <w:rsid w:val="00477105"/>
    <w:rsid w:val="00477CEA"/>
    <w:rsid w:val="00477E1A"/>
    <w:rsid w:val="0048071C"/>
    <w:rsid w:val="0048096D"/>
    <w:rsid w:val="00481620"/>
    <w:rsid w:val="00481F8C"/>
    <w:rsid w:val="004820F6"/>
    <w:rsid w:val="00482724"/>
    <w:rsid w:val="00483252"/>
    <w:rsid w:val="00483551"/>
    <w:rsid w:val="00483C9F"/>
    <w:rsid w:val="0048454E"/>
    <w:rsid w:val="004847E2"/>
    <w:rsid w:val="004859C3"/>
    <w:rsid w:val="004863BC"/>
    <w:rsid w:val="004871E7"/>
    <w:rsid w:val="00487202"/>
    <w:rsid w:val="004872BD"/>
    <w:rsid w:val="004878E8"/>
    <w:rsid w:val="00487DA4"/>
    <w:rsid w:val="00491094"/>
    <w:rsid w:val="0049112F"/>
    <w:rsid w:val="004914E3"/>
    <w:rsid w:val="00494449"/>
    <w:rsid w:val="00494943"/>
    <w:rsid w:val="004953D7"/>
    <w:rsid w:val="00496111"/>
    <w:rsid w:val="00496179"/>
    <w:rsid w:val="00496870"/>
    <w:rsid w:val="00496C02"/>
    <w:rsid w:val="004979B8"/>
    <w:rsid w:val="004A0222"/>
    <w:rsid w:val="004A1133"/>
    <w:rsid w:val="004A1CBF"/>
    <w:rsid w:val="004A3537"/>
    <w:rsid w:val="004A4F88"/>
    <w:rsid w:val="004A56B9"/>
    <w:rsid w:val="004A723A"/>
    <w:rsid w:val="004A75E5"/>
    <w:rsid w:val="004B0B19"/>
    <w:rsid w:val="004B0F5F"/>
    <w:rsid w:val="004B1766"/>
    <w:rsid w:val="004B32D8"/>
    <w:rsid w:val="004B3A2F"/>
    <w:rsid w:val="004B4180"/>
    <w:rsid w:val="004B489F"/>
    <w:rsid w:val="004B5606"/>
    <w:rsid w:val="004B5DB0"/>
    <w:rsid w:val="004B6170"/>
    <w:rsid w:val="004B7B52"/>
    <w:rsid w:val="004C032C"/>
    <w:rsid w:val="004C07F6"/>
    <w:rsid w:val="004C0897"/>
    <w:rsid w:val="004C0FE2"/>
    <w:rsid w:val="004C1001"/>
    <w:rsid w:val="004C1598"/>
    <w:rsid w:val="004C1F39"/>
    <w:rsid w:val="004C22F9"/>
    <w:rsid w:val="004C247F"/>
    <w:rsid w:val="004C2C6B"/>
    <w:rsid w:val="004C2EC9"/>
    <w:rsid w:val="004C3730"/>
    <w:rsid w:val="004C3EEF"/>
    <w:rsid w:val="004C47B9"/>
    <w:rsid w:val="004C5C9C"/>
    <w:rsid w:val="004C5E5C"/>
    <w:rsid w:val="004C6D43"/>
    <w:rsid w:val="004C7F5E"/>
    <w:rsid w:val="004D14B7"/>
    <w:rsid w:val="004D1736"/>
    <w:rsid w:val="004D19BD"/>
    <w:rsid w:val="004D263B"/>
    <w:rsid w:val="004D28F4"/>
    <w:rsid w:val="004D2A65"/>
    <w:rsid w:val="004D62EA"/>
    <w:rsid w:val="004D7139"/>
    <w:rsid w:val="004D740B"/>
    <w:rsid w:val="004D7DD8"/>
    <w:rsid w:val="004E0690"/>
    <w:rsid w:val="004E0748"/>
    <w:rsid w:val="004E0791"/>
    <w:rsid w:val="004E1BDA"/>
    <w:rsid w:val="004E1CF6"/>
    <w:rsid w:val="004E2203"/>
    <w:rsid w:val="004E4458"/>
    <w:rsid w:val="004E4EFB"/>
    <w:rsid w:val="004E57E2"/>
    <w:rsid w:val="004E5EF5"/>
    <w:rsid w:val="004E5F54"/>
    <w:rsid w:val="004E730E"/>
    <w:rsid w:val="004E76F8"/>
    <w:rsid w:val="004E7BC6"/>
    <w:rsid w:val="004E7C12"/>
    <w:rsid w:val="004F09AB"/>
    <w:rsid w:val="004F0AF0"/>
    <w:rsid w:val="004F1D78"/>
    <w:rsid w:val="004F2222"/>
    <w:rsid w:val="004F34D7"/>
    <w:rsid w:val="004F46F0"/>
    <w:rsid w:val="004F473D"/>
    <w:rsid w:val="004F5F52"/>
    <w:rsid w:val="004F64A0"/>
    <w:rsid w:val="004F7722"/>
    <w:rsid w:val="004F7737"/>
    <w:rsid w:val="005040D2"/>
    <w:rsid w:val="005045ED"/>
    <w:rsid w:val="0050555A"/>
    <w:rsid w:val="005055B3"/>
    <w:rsid w:val="00505FA7"/>
    <w:rsid w:val="00506489"/>
    <w:rsid w:val="005069D8"/>
    <w:rsid w:val="00507462"/>
    <w:rsid w:val="00511440"/>
    <w:rsid w:val="00511BF5"/>
    <w:rsid w:val="0051217B"/>
    <w:rsid w:val="00512C09"/>
    <w:rsid w:val="0051341A"/>
    <w:rsid w:val="00513E35"/>
    <w:rsid w:val="005146D6"/>
    <w:rsid w:val="00515B31"/>
    <w:rsid w:val="00517175"/>
    <w:rsid w:val="00517384"/>
    <w:rsid w:val="0051764C"/>
    <w:rsid w:val="0051791F"/>
    <w:rsid w:val="00517C10"/>
    <w:rsid w:val="00520A3B"/>
    <w:rsid w:val="005211E0"/>
    <w:rsid w:val="00521363"/>
    <w:rsid w:val="00521BE7"/>
    <w:rsid w:val="00521C8B"/>
    <w:rsid w:val="00521F24"/>
    <w:rsid w:val="0052261E"/>
    <w:rsid w:val="005226AD"/>
    <w:rsid w:val="0052271B"/>
    <w:rsid w:val="00522B85"/>
    <w:rsid w:val="00522EEE"/>
    <w:rsid w:val="005232F7"/>
    <w:rsid w:val="00523743"/>
    <w:rsid w:val="0052390A"/>
    <w:rsid w:val="00523A35"/>
    <w:rsid w:val="00523D3A"/>
    <w:rsid w:val="00524AF7"/>
    <w:rsid w:val="00524F5B"/>
    <w:rsid w:val="005267D0"/>
    <w:rsid w:val="005279D3"/>
    <w:rsid w:val="00527CBA"/>
    <w:rsid w:val="005301D2"/>
    <w:rsid w:val="00532A7D"/>
    <w:rsid w:val="00532BA8"/>
    <w:rsid w:val="00532FCF"/>
    <w:rsid w:val="0053332C"/>
    <w:rsid w:val="00533373"/>
    <w:rsid w:val="00533CC7"/>
    <w:rsid w:val="0053410F"/>
    <w:rsid w:val="005349D5"/>
    <w:rsid w:val="00534D21"/>
    <w:rsid w:val="00535043"/>
    <w:rsid w:val="0053622C"/>
    <w:rsid w:val="0054044D"/>
    <w:rsid w:val="0054097E"/>
    <w:rsid w:val="00541697"/>
    <w:rsid w:val="00542C04"/>
    <w:rsid w:val="00543683"/>
    <w:rsid w:val="00543C90"/>
    <w:rsid w:val="005443F2"/>
    <w:rsid w:val="00544DD6"/>
    <w:rsid w:val="005452CF"/>
    <w:rsid w:val="00545AAE"/>
    <w:rsid w:val="00546023"/>
    <w:rsid w:val="00546279"/>
    <w:rsid w:val="00546810"/>
    <w:rsid w:val="0054739D"/>
    <w:rsid w:val="00547F72"/>
    <w:rsid w:val="00550050"/>
    <w:rsid w:val="00550284"/>
    <w:rsid w:val="00550F38"/>
    <w:rsid w:val="005516B7"/>
    <w:rsid w:val="00551A23"/>
    <w:rsid w:val="00552032"/>
    <w:rsid w:val="00552A02"/>
    <w:rsid w:val="005547A4"/>
    <w:rsid w:val="00555ACD"/>
    <w:rsid w:val="00555DEC"/>
    <w:rsid w:val="00556090"/>
    <w:rsid w:val="00556566"/>
    <w:rsid w:val="00557AC0"/>
    <w:rsid w:val="00557DD6"/>
    <w:rsid w:val="00560C41"/>
    <w:rsid w:val="00562057"/>
    <w:rsid w:val="0056211A"/>
    <w:rsid w:val="00562AC4"/>
    <w:rsid w:val="00565057"/>
    <w:rsid w:val="00565DD5"/>
    <w:rsid w:val="00565FF4"/>
    <w:rsid w:val="005666D8"/>
    <w:rsid w:val="00566A20"/>
    <w:rsid w:val="00566C13"/>
    <w:rsid w:val="00567209"/>
    <w:rsid w:val="0057070A"/>
    <w:rsid w:val="00571212"/>
    <w:rsid w:val="00572566"/>
    <w:rsid w:val="00573FEB"/>
    <w:rsid w:val="005742DB"/>
    <w:rsid w:val="00574CE1"/>
    <w:rsid w:val="005754BB"/>
    <w:rsid w:val="00576C08"/>
    <w:rsid w:val="0057779A"/>
    <w:rsid w:val="0057785A"/>
    <w:rsid w:val="00577A50"/>
    <w:rsid w:val="00577CA4"/>
    <w:rsid w:val="00577E66"/>
    <w:rsid w:val="0058047D"/>
    <w:rsid w:val="00582466"/>
    <w:rsid w:val="005824E1"/>
    <w:rsid w:val="0058357D"/>
    <w:rsid w:val="005839B3"/>
    <w:rsid w:val="00583E3F"/>
    <w:rsid w:val="00584154"/>
    <w:rsid w:val="005845AA"/>
    <w:rsid w:val="005845C5"/>
    <w:rsid w:val="00586020"/>
    <w:rsid w:val="00586432"/>
    <w:rsid w:val="005867B2"/>
    <w:rsid w:val="00586AC8"/>
    <w:rsid w:val="00586E08"/>
    <w:rsid w:val="005879E8"/>
    <w:rsid w:val="00587DBE"/>
    <w:rsid w:val="00590D59"/>
    <w:rsid w:val="00590D6A"/>
    <w:rsid w:val="005915E4"/>
    <w:rsid w:val="005916A6"/>
    <w:rsid w:val="00591958"/>
    <w:rsid w:val="00591A91"/>
    <w:rsid w:val="00591F2C"/>
    <w:rsid w:val="00592416"/>
    <w:rsid w:val="00592461"/>
    <w:rsid w:val="005930C2"/>
    <w:rsid w:val="005935C8"/>
    <w:rsid w:val="0059395F"/>
    <w:rsid w:val="00593A30"/>
    <w:rsid w:val="00593B92"/>
    <w:rsid w:val="00594D5E"/>
    <w:rsid w:val="005A0298"/>
    <w:rsid w:val="005A1277"/>
    <w:rsid w:val="005A31E9"/>
    <w:rsid w:val="005A3225"/>
    <w:rsid w:val="005A373A"/>
    <w:rsid w:val="005A5409"/>
    <w:rsid w:val="005A54D8"/>
    <w:rsid w:val="005A6D02"/>
    <w:rsid w:val="005B0248"/>
    <w:rsid w:val="005B177A"/>
    <w:rsid w:val="005B212B"/>
    <w:rsid w:val="005B348E"/>
    <w:rsid w:val="005B3788"/>
    <w:rsid w:val="005B4069"/>
    <w:rsid w:val="005B48B5"/>
    <w:rsid w:val="005B5789"/>
    <w:rsid w:val="005B5BDD"/>
    <w:rsid w:val="005B607D"/>
    <w:rsid w:val="005B6634"/>
    <w:rsid w:val="005B77D1"/>
    <w:rsid w:val="005C0C83"/>
    <w:rsid w:val="005C1AEE"/>
    <w:rsid w:val="005C1EB0"/>
    <w:rsid w:val="005C3C04"/>
    <w:rsid w:val="005C4416"/>
    <w:rsid w:val="005C4A50"/>
    <w:rsid w:val="005C565B"/>
    <w:rsid w:val="005C669C"/>
    <w:rsid w:val="005C6DB7"/>
    <w:rsid w:val="005C76AC"/>
    <w:rsid w:val="005D07EE"/>
    <w:rsid w:val="005D0DD9"/>
    <w:rsid w:val="005D1111"/>
    <w:rsid w:val="005D12E1"/>
    <w:rsid w:val="005D15CE"/>
    <w:rsid w:val="005D1D56"/>
    <w:rsid w:val="005D3B62"/>
    <w:rsid w:val="005D47CF"/>
    <w:rsid w:val="005D487E"/>
    <w:rsid w:val="005D5F95"/>
    <w:rsid w:val="005D7E24"/>
    <w:rsid w:val="005E0681"/>
    <w:rsid w:val="005E0757"/>
    <w:rsid w:val="005E1795"/>
    <w:rsid w:val="005E24F3"/>
    <w:rsid w:val="005E36D2"/>
    <w:rsid w:val="005E36F6"/>
    <w:rsid w:val="005E4E7F"/>
    <w:rsid w:val="005E5413"/>
    <w:rsid w:val="005E67A5"/>
    <w:rsid w:val="005E6FDF"/>
    <w:rsid w:val="005F0BE6"/>
    <w:rsid w:val="005F11B8"/>
    <w:rsid w:val="005F22EA"/>
    <w:rsid w:val="005F396F"/>
    <w:rsid w:val="005F3BB8"/>
    <w:rsid w:val="005F483D"/>
    <w:rsid w:val="005F4886"/>
    <w:rsid w:val="005F49C8"/>
    <w:rsid w:val="005F58A9"/>
    <w:rsid w:val="005F5C8A"/>
    <w:rsid w:val="005F6D61"/>
    <w:rsid w:val="005F79F5"/>
    <w:rsid w:val="006000CB"/>
    <w:rsid w:val="00600973"/>
    <w:rsid w:val="00600FCB"/>
    <w:rsid w:val="00601536"/>
    <w:rsid w:val="006034CC"/>
    <w:rsid w:val="0060433A"/>
    <w:rsid w:val="00604FDA"/>
    <w:rsid w:val="006050AA"/>
    <w:rsid w:val="006057EF"/>
    <w:rsid w:val="00605F15"/>
    <w:rsid w:val="00605FF4"/>
    <w:rsid w:val="00606185"/>
    <w:rsid w:val="0060638A"/>
    <w:rsid w:val="0060720C"/>
    <w:rsid w:val="00607364"/>
    <w:rsid w:val="0060759A"/>
    <w:rsid w:val="00607F9E"/>
    <w:rsid w:val="006103E0"/>
    <w:rsid w:val="006108E8"/>
    <w:rsid w:val="0061188B"/>
    <w:rsid w:val="0061256D"/>
    <w:rsid w:val="00612588"/>
    <w:rsid w:val="00614077"/>
    <w:rsid w:val="0061568E"/>
    <w:rsid w:val="00615ADF"/>
    <w:rsid w:val="00615CB5"/>
    <w:rsid w:val="00616759"/>
    <w:rsid w:val="00616EF7"/>
    <w:rsid w:val="00617DED"/>
    <w:rsid w:val="00621B07"/>
    <w:rsid w:val="00622EE5"/>
    <w:rsid w:val="0062348B"/>
    <w:rsid w:val="0062348C"/>
    <w:rsid w:val="006245AB"/>
    <w:rsid w:val="00624816"/>
    <w:rsid w:val="006255EB"/>
    <w:rsid w:val="00625A19"/>
    <w:rsid w:val="006263D5"/>
    <w:rsid w:val="006265C1"/>
    <w:rsid w:val="00627865"/>
    <w:rsid w:val="006279F4"/>
    <w:rsid w:val="00627E67"/>
    <w:rsid w:val="006301A3"/>
    <w:rsid w:val="0063187D"/>
    <w:rsid w:val="00631A28"/>
    <w:rsid w:val="00631F08"/>
    <w:rsid w:val="006322BF"/>
    <w:rsid w:val="00632BA6"/>
    <w:rsid w:val="006336BF"/>
    <w:rsid w:val="00633ED9"/>
    <w:rsid w:val="0063436B"/>
    <w:rsid w:val="00634554"/>
    <w:rsid w:val="006348DC"/>
    <w:rsid w:val="00635ACA"/>
    <w:rsid w:val="00635D12"/>
    <w:rsid w:val="006363FE"/>
    <w:rsid w:val="0063675E"/>
    <w:rsid w:val="006370FB"/>
    <w:rsid w:val="00637163"/>
    <w:rsid w:val="00637EEF"/>
    <w:rsid w:val="0064167F"/>
    <w:rsid w:val="00641811"/>
    <w:rsid w:val="00643435"/>
    <w:rsid w:val="00643BFD"/>
    <w:rsid w:val="00643E7A"/>
    <w:rsid w:val="0064423D"/>
    <w:rsid w:val="0064428C"/>
    <w:rsid w:val="00644AA9"/>
    <w:rsid w:val="006458E4"/>
    <w:rsid w:val="00645F1E"/>
    <w:rsid w:val="006462AB"/>
    <w:rsid w:val="00647033"/>
    <w:rsid w:val="00647165"/>
    <w:rsid w:val="00647611"/>
    <w:rsid w:val="00650378"/>
    <w:rsid w:val="0065057A"/>
    <w:rsid w:val="0065093B"/>
    <w:rsid w:val="006509B1"/>
    <w:rsid w:val="00650F74"/>
    <w:rsid w:val="0065117C"/>
    <w:rsid w:val="00652185"/>
    <w:rsid w:val="006521EE"/>
    <w:rsid w:val="00652636"/>
    <w:rsid w:val="00652B0E"/>
    <w:rsid w:val="00653633"/>
    <w:rsid w:val="006538E5"/>
    <w:rsid w:val="00653EA0"/>
    <w:rsid w:val="00654EB5"/>
    <w:rsid w:val="006554D7"/>
    <w:rsid w:val="00655C06"/>
    <w:rsid w:val="0065618F"/>
    <w:rsid w:val="00656699"/>
    <w:rsid w:val="00656E39"/>
    <w:rsid w:val="006572B5"/>
    <w:rsid w:val="0066069F"/>
    <w:rsid w:val="006607A2"/>
    <w:rsid w:val="00660CAB"/>
    <w:rsid w:val="006615D2"/>
    <w:rsid w:val="006616B9"/>
    <w:rsid w:val="00662053"/>
    <w:rsid w:val="00663355"/>
    <w:rsid w:val="006653EA"/>
    <w:rsid w:val="00665E0B"/>
    <w:rsid w:val="006671A0"/>
    <w:rsid w:val="00667B31"/>
    <w:rsid w:val="00670E65"/>
    <w:rsid w:val="00671A9F"/>
    <w:rsid w:val="0067206D"/>
    <w:rsid w:val="00672271"/>
    <w:rsid w:val="00675583"/>
    <w:rsid w:val="006758F0"/>
    <w:rsid w:val="00675DD3"/>
    <w:rsid w:val="006768D7"/>
    <w:rsid w:val="006772D6"/>
    <w:rsid w:val="00677D17"/>
    <w:rsid w:val="00681832"/>
    <w:rsid w:val="00681F36"/>
    <w:rsid w:val="00681FC3"/>
    <w:rsid w:val="00682EED"/>
    <w:rsid w:val="0068453B"/>
    <w:rsid w:val="00686131"/>
    <w:rsid w:val="00686472"/>
    <w:rsid w:val="00687059"/>
    <w:rsid w:val="0068717C"/>
    <w:rsid w:val="006873F7"/>
    <w:rsid w:val="00687414"/>
    <w:rsid w:val="006874DB"/>
    <w:rsid w:val="00687ED2"/>
    <w:rsid w:val="006911FC"/>
    <w:rsid w:val="006914C1"/>
    <w:rsid w:val="0069221D"/>
    <w:rsid w:val="006926C0"/>
    <w:rsid w:val="00692731"/>
    <w:rsid w:val="00693CE5"/>
    <w:rsid w:val="0069460D"/>
    <w:rsid w:val="00695467"/>
    <w:rsid w:val="006959C5"/>
    <w:rsid w:val="00695BB1"/>
    <w:rsid w:val="0069719F"/>
    <w:rsid w:val="0069780E"/>
    <w:rsid w:val="006A108B"/>
    <w:rsid w:val="006A1F54"/>
    <w:rsid w:val="006A1FC1"/>
    <w:rsid w:val="006A24B7"/>
    <w:rsid w:val="006A24DC"/>
    <w:rsid w:val="006A2B83"/>
    <w:rsid w:val="006A2EB2"/>
    <w:rsid w:val="006A33D8"/>
    <w:rsid w:val="006A415B"/>
    <w:rsid w:val="006A4FD9"/>
    <w:rsid w:val="006A5201"/>
    <w:rsid w:val="006A5A4B"/>
    <w:rsid w:val="006A6954"/>
    <w:rsid w:val="006A6F4D"/>
    <w:rsid w:val="006A77D3"/>
    <w:rsid w:val="006A7A71"/>
    <w:rsid w:val="006B18EA"/>
    <w:rsid w:val="006B1CA9"/>
    <w:rsid w:val="006B28C7"/>
    <w:rsid w:val="006B37CB"/>
    <w:rsid w:val="006B3E64"/>
    <w:rsid w:val="006B5BC6"/>
    <w:rsid w:val="006B610C"/>
    <w:rsid w:val="006B616F"/>
    <w:rsid w:val="006B7646"/>
    <w:rsid w:val="006B780A"/>
    <w:rsid w:val="006C0339"/>
    <w:rsid w:val="006C0773"/>
    <w:rsid w:val="006C0911"/>
    <w:rsid w:val="006C0CC9"/>
    <w:rsid w:val="006C1A03"/>
    <w:rsid w:val="006C1D8B"/>
    <w:rsid w:val="006C26B0"/>
    <w:rsid w:val="006C281F"/>
    <w:rsid w:val="006C2D4A"/>
    <w:rsid w:val="006C40A5"/>
    <w:rsid w:val="006C5F30"/>
    <w:rsid w:val="006C6A28"/>
    <w:rsid w:val="006C6B24"/>
    <w:rsid w:val="006C6C67"/>
    <w:rsid w:val="006C6F6B"/>
    <w:rsid w:val="006C743E"/>
    <w:rsid w:val="006C78F4"/>
    <w:rsid w:val="006D0424"/>
    <w:rsid w:val="006D0606"/>
    <w:rsid w:val="006D116E"/>
    <w:rsid w:val="006D24AC"/>
    <w:rsid w:val="006D27F5"/>
    <w:rsid w:val="006D2F28"/>
    <w:rsid w:val="006D321B"/>
    <w:rsid w:val="006D35C2"/>
    <w:rsid w:val="006D3683"/>
    <w:rsid w:val="006D408A"/>
    <w:rsid w:val="006D4394"/>
    <w:rsid w:val="006D4860"/>
    <w:rsid w:val="006D4D1A"/>
    <w:rsid w:val="006D5086"/>
    <w:rsid w:val="006D66B1"/>
    <w:rsid w:val="006D68A4"/>
    <w:rsid w:val="006D72EE"/>
    <w:rsid w:val="006D774B"/>
    <w:rsid w:val="006D7904"/>
    <w:rsid w:val="006D7B85"/>
    <w:rsid w:val="006E04BE"/>
    <w:rsid w:val="006E0E02"/>
    <w:rsid w:val="006E258A"/>
    <w:rsid w:val="006E2F19"/>
    <w:rsid w:val="006E3724"/>
    <w:rsid w:val="006E3CDF"/>
    <w:rsid w:val="006E4450"/>
    <w:rsid w:val="006E47AF"/>
    <w:rsid w:val="006E5CF2"/>
    <w:rsid w:val="006E5D6B"/>
    <w:rsid w:val="006E7015"/>
    <w:rsid w:val="006E7EC2"/>
    <w:rsid w:val="006E7FA8"/>
    <w:rsid w:val="006F0966"/>
    <w:rsid w:val="006F0DFA"/>
    <w:rsid w:val="006F1CD5"/>
    <w:rsid w:val="006F2CB6"/>
    <w:rsid w:val="006F3347"/>
    <w:rsid w:val="006F4B2D"/>
    <w:rsid w:val="006F4CF3"/>
    <w:rsid w:val="006F68E9"/>
    <w:rsid w:val="00701362"/>
    <w:rsid w:val="00701470"/>
    <w:rsid w:val="0070159E"/>
    <w:rsid w:val="00702027"/>
    <w:rsid w:val="007036C8"/>
    <w:rsid w:val="007057AF"/>
    <w:rsid w:val="007060E1"/>
    <w:rsid w:val="0070664A"/>
    <w:rsid w:val="00710004"/>
    <w:rsid w:val="007103C0"/>
    <w:rsid w:val="007104FA"/>
    <w:rsid w:val="00711D64"/>
    <w:rsid w:val="007124CF"/>
    <w:rsid w:val="00713461"/>
    <w:rsid w:val="007147AC"/>
    <w:rsid w:val="007156D6"/>
    <w:rsid w:val="0071594B"/>
    <w:rsid w:val="007159E2"/>
    <w:rsid w:val="007165F5"/>
    <w:rsid w:val="007166FC"/>
    <w:rsid w:val="0072010B"/>
    <w:rsid w:val="00720D72"/>
    <w:rsid w:val="007215E6"/>
    <w:rsid w:val="00721E2C"/>
    <w:rsid w:val="00721F3B"/>
    <w:rsid w:val="00721FE4"/>
    <w:rsid w:val="0072259A"/>
    <w:rsid w:val="00722B7B"/>
    <w:rsid w:val="00722C13"/>
    <w:rsid w:val="00723846"/>
    <w:rsid w:val="00723C43"/>
    <w:rsid w:val="00723EBE"/>
    <w:rsid w:val="007245D8"/>
    <w:rsid w:val="00725E99"/>
    <w:rsid w:val="00725EE3"/>
    <w:rsid w:val="00726488"/>
    <w:rsid w:val="007266ED"/>
    <w:rsid w:val="007267AF"/>
    <w:rsid w:val="00726C4C"/>
    <w:rsid w:val="007272F6"/>
    <w:rsid w:val="00727E29"/>
    <w:rsid w:val="007301D1"/>
    <w:rsid w:val="00730931"/>
    <w:rsid w:val="0073117C"/>
    <w:rsid w:val="0073185D"/>
    <w:rsid w:val="007324C5"/>
    <w:rsid w:val="007329F1"/>
    <w:rsid w:val="00734D7F"/>
    <w:rsid w:val="00735E35"/>
    <w:rsid w:val="00736133"/>
    <w:rsid w:val="0073667D"/>
    <w:rsid w:val="00736728"/>
    <w:rsid w:val="007367A6"/>
    <w:rsid w:val="00736921"/>
    <w:rsid w:val="00736D7C"/>
    <w:rsid w:val="00740BA5"/>
    <w:rsid w:val="007414D8"/>
    <w:rsid w:val="00741702"/>
    <w:rsid w:val="007418EC"/>
    <w:rsid w:val="007421F2"/>
    <w:rsid w:val="007427E3"/>
    <w:rsid w:val="00742882"/>
    <w:rsid w:val="0074348B"/>
    <w:rsid w:val="00743F05"/>
    <w:rsid w:val="0074424F"/>
    <w:rsid w:val="0074441F"/>
    <w:rsid w:val="00744615"/>
    <w:rsid w:val="0074472E"/>
    <w:rsid w:val="00744C46"/>
    <w:rsid w:val="007454C5"/>
    <w:rsid w:val="007476C7"/>
    <w:rsid w:val="0075025E"/>
    <w:rsid w:val="00750E8F"/>
    <w:rsid w:val="007513FB"/>
    <w:rsid w:val="00752005"/>
    <w:rsid w:val="00752F38"/>
    <w:rsid w:val="00753543"/>
    <w:rsid w:val="00753668"/>
    <w:rsid w:val="007536DA"/>
    <w:rsid w:val="00753E9E"/>
    <w:rsid w:val="00754346"/>
    <w:rsid w:val="00754A78"/>
    <w:rsid w:val="00755585"/>
    <w:rsid w:val="007555A4"/>
    <w:rsid w:val="00756784"/>
    <w:rsid w:val="00756BB9"/>
    <w:rsid w:val="00756FBE"/>
    <w:rsid w:val="00760ECC"/>
    <w:rsid w:val="007620DF"/>
    <w:rsid w:val="007630CB"/>
    <w:rsid w:val="007646AD"/>
    <w:rsid w:val="0076499D"/>
    <w:rsid w:val="00765E90"/>
    <w:rsid w:val="00765FC9"/>
    <w:rsid w:val="0076606E"/>
    <w:rsid w:val="00770226"/>
    <w:rsid w:val="00770816"/>
    <w:rsid w:val="00771A9C"/>
    <w:rsid w:val="00771B20"/>
    <w:rsid w:val="00771E5E"/>
    <w:rsid w:val="0077298E"/>
    <w:rsid w:val="007730AE"/>
    <w:rsid w:val="0077351B"/>
    <w:rsid w:val="007737D1"/>
    <w:rsid w:val="007738AD"/>
    <w:rsid w:val="00773D4F"/>
    <w:rsid w:val="007750C8"/>
    <w:rsid w:val="00775148"/>
    <w:rsid w:val="00775A7E"/>
    <w:rsid w:val="00775B8C"/>
    <w:rsid w:val="00777704"/>
    <w:rsid w:val="00777953"/>
    <w:rsid w:val="00777B28"/>
    <w:rsid w:val="00777DF9"/>
    <w:rsid w:val="007801D6"/>
    <w:rsid w:val="0078159F"/>
    <w:rsid w:val="00781B65"/>
    <w:rsid w:val="00782415"/>
    <w:rsid w:val="00783F0F"/>
    <w:rsid w:val="0078410E"/>
    <w:rsid w:val="0078448C"/>
    <w:rsid w:val="00784896"/>
    <w:rsid w:val="00785C51"/>
    <w:rsid w:val="00786283"/>
    <w:rsid w:val="00787385"/>
    <w:rsid w:val="00787B93"/>
    <w:rsid w:val="00790A30"/>
    <w:rsid w:val="00790EBB"/>
    <w:rsid w:val="00792E19"/>
    <w:rsid w:val="00793031"/>
    <w:rsid w:val="007937BA"/>
    <w:rsid w:val="00794493"/>
    <w:rsid w:val="0079472B"/>
    <w:rsid w:val="00794AB3"/>
    <w:rsid w:val="007968E5"/>
    <w:rsid w:val="00796CC1"/>
    <w:rsid w:val="0079743B"/>
    <w:rsid w:val="007978F5"/>
    <w:rsid w:val="0079794E"/>
    <w:rsid w:val="00797B41"/>
    <w:rsid w:val="007A0970"/>
    <w:rsid w:val="007A0AAF"/>
    <w:rsid w:val="007A0CBA"/>
    <w:rsid w:val="007A1BCA"/>
    <w:rsid w:val="007A1F44"/>
    <w:rsid w:val="007A1FB6"/>
    <w:rsid w:val="007A2513"/>
    <w:rsid w:val="007A2A51"/>
    <w:rsid w:val="007A2E71"/>
    <w:rsid w:val="007A2F6D"/>
    <w:rsid w:val="007A3786"/>
    <w:rsid w:val="007A5BC3"/>
    <w:rsid w:val="007A5CB1"/>
    <w:rsid w:val="007A5EFA"/>
    <w:rsid w:val="007A5F58"/>
    <w:rsid w:val="007A6583"/>
    <w:rsid w:val="007A67C2"/>
    <w:rsid w:val="007A6A9F"/>
    <w:rsid w:val="007B0A88"/>
    <w:rsid w:val="007B1DCD"/>
    <w:rsid w:val="007B36C1"/>
    <w:rsid w:val="007B38C4"/>
    <w:rsid w:val="007B4BC2"/>
    <w:rsid w:val="007B65C0"/>
    <w:rsid w:val="007B6C76"/>
    <w:rsid w:val="007B747A"/>
    <w:rsid w:val="007B78F1"/>
    <w:rsid w:val="007C0E8F"/>
    <w:rsid w:val="007C1401"/>
    <w:rsid w:val="007C1ECB"/>
    <w:rsid w:val="007C2634"/>
    <w:rsid w:val="007C308E"/>
    <w:rsid w:val="007C39D2"/>
    <w:rsid w:val="007C4FBD"/>
    <w:rsid w:val="007C5323"/>
    <w:rsid w:val="007C57B3"/>
    <w:rsid w:val="007C5B31"/>
    <w:rsid w:val="007C5CB0"/>
    <w:rsid w:val="007C657D"/>
    <w:rsid w:val="007C65D1"/>
    <w:rsid w:val="007C6C86"/>
    <w:rsid w:val="007C7027"/>
    <w:rsid w:val="007C757B"/>
    <w:rsid w:val="007C7B03"/>
    <w:rsid w:val="007D177E"/>
    <w:rsid w:val="007D245F"/>
    <w:rsid w:val="007D268D"/>
    <w:rsid w:val="007D4383"/>
    <w:rsid w:val="007D701B"/>
    <w:rsid w:val="007D71CD"/>
    <w:rsid w:val="007D757C"/>
    <w:rsid w:val="007D7808"/>
    <w:rsid w:val="007D7C4A"/>
    <w:rsid w:val="007E07A0"/>
    <w:rsid w:val="007E18A0"/>
    <w:rsid w:val="007E2B0A"/>
    <w:rsid w:val="007E2F67"/>
    <w:rsid w:val="007E52E1"/>
    <w:rsid w:val="007E59AB"/>
    <w:rsid w:val="007E601A"/>
    <w:rsid w:val="007E6775"/>
    <w:rsid w:val="007E68A6"/>
    <w:rsid w:val="007E7BFC"/>
    <w:rsid w:val="007E7D7D"/>
    <w:rsid w:val="007F12A9"/>
    <w:rsid w:val="007F13C0"/>
    <w:rsid w:val="007F1AF0"/>
    <w:rsid w:val="007F3184"/>
    <w:rsid w:val="007F3558"/>
    <w:rsid w:val="007F435A"/>
    <w:rsid w:val="007F5D95"/>
    <w:rsid w:val="007F638D"/>
    <w:rsid w:val="007F6899"/>
    <w:rsid w:val="007F7A5D"/>
    <w:rsid w:val="008013FA"/>
    <w:rsid w:val="00801C20"/>
    <w:rsid w:val="00802488"/>
    <w:rsid w:val="008029C7"/>
    <w:rsid w:val="0080345D"/>
    <w:rsid w:val="008037CA"/>
    <w:rsid w:val="008049BE"/>
    <w:rsid w:val="008058DF"/>
    <w:rsid w:val="00805DAD"/>
    <w:rsid w:val="00806279"/>
    <w:rsid w:val="00807334"/>
    <w:rsid w:val="008074AF"/>
    <w:rsid w:val="00807719"/>
    <w:rsid w:val="0081014D"/>
    <w:rsid w:val="008111C2"/>
    <w:rsid w:val="00811B97"/>
    <w:rsid w:val="008129A4"/>
    <w:rsid w:val="00813261"/>
    <w:rsid w:val="00813B0A"/>
    <w:rsid w:val="00813E02"/>
    <w:rsid w:val="00814A03"/>
    <w:rsid w:val="00815012"/>
    <w:rsid w:val="00815470"/>
    <w:rsid w:val="008165C9"/>
    <w:rsid w:val="008166AC"/>
    <w:rsid w:val="0081690E"/>
    <w:rsid w:val="008169AD"/>
    <w:rsid w:val="00816C6D"/>
    <w:rsid w:val="00820434"/>
    <w:rsid w:val="008205A8"/>
    <w:rsid w:val="00820E09"/>
    <w:rsid w:val="00821CC9"/>
    <w:rsid w:val="00822CDF"/>
    <w:rsid w:val="00822F88"/>
    <w:rsid w:val="00823048"/>
    <w:rsid w:val="008236F9"/>
    <w:rsid w:val="0082440D"/>
    <w:rsid w:val="00824914"/>
    <w:rsid w:val="008262EC"/>
    <w:rsid w:val="00826CF1"/>
    <w:rsid w:val="00830E10"/>
    <w:rsid w:val="00830EBE"/>
    <w:rsid w:val="0083129C"/>
    <w:rsid w:val="00831817"/>
    <w:rsid w:val="008319BB"/>
    <w:rsid w:val="00832642"/>
    <w:rsid w:val="008327D3"/>
    <w:rsid w:val="008332FC"/>
    <w:rsid w:val="00834857"/>
    <w:rsid w:val="008369AD"/>
    <w:rsid w:val="008370C7"/>
    <w:rsid w:val="0084075B"/>
    <w:rsid w:val="00840D1F"/>
    <w:rsid w:val="008414AE"/>
    <w:rsid w:val="008417B9"/>
    <w:rsid w:val="00841F34"/>
    <w:rsid w:val="00842035"/>
    <w:rsid w:val="00843478"/>
    <w:rsid w:val="0084348C"/>
    <w:rsid w:val="0084395E"/>
    <w:rsid w:val="00844478"/>
    <w:rsid w:val="00844562"/>
    <w:rsid w:val="00844739"/>
    <w:rsid w:val="00844832"/>
    <w:rsid w:val="00846864"/>
    <w:rsid w:val="00846CF8"/>
    <w:rsid w:val="00846DC3"/>
    <w:rsid w:val="00847F6E"/>
    <w:rsid w:val="0085050A"/>
    <w:rsid w:val="00852701"/>
    <w:rsid w:val="008534B8"/>
    <w:rsid w:val="00853E45"/>
    <w:rsid w:val="00854092"/>
    <w:rsid w:val="008540B3"/>
    <w:rsid w:val="0085494D"/>
    <w:rsid w:val="00854F95"/>
    <w:rsid w:val="00855A97"/>
    <w:rsid w:val="00855FED"/>
    <w:rsid w:val="0085685A"/>
    <w:rsid w:val="0085766F"/>
    <w:rsid w:val="008601F1"/>
    <w:rsid w:val="00860282"/>
    <w:rsid w:val="00860F90"/>
    <w:rsid w:val="00861120"/>
    <w:rsid w:val="0086303C"/>
    <w:rsid w:val="00863DC6"/>
    <w:rsid w:val="008641DA"/>
    <w:rsid w:val="00864719"/>
    <w:rsid w:val="0086512B"/>
    <w:rsid w:val="00865223"/>
    <w:rsid w:val="008655B0"/>
    <w:rsid w:val="00865638"/>
    <w:rsid w:val="00865922"/>
    <w:rsid w:val="00866894"/>
    <w:rsid w:val="00866EEC"/>
    <w:rsid w:val="008674F5"/>
    <w:rsid w:val="00867EDA"/>
    <w:rsid w:val="00871BF2"/>
    <w:rsid w:val="008724CF"/>
    <w:rsid w:val="008725E1"/>
    <w:rsid w:val="00872B95"/>
    <w:rsid w:val="00873BBD"/>
    <w:rsid w:val="00874A0E"/>
    <w:rsid w:val="00875611"/>
    <w:rsid w:val="00875661"/>
    <w:rsid w:val="00875AB6"/>
    <w:rsid w:val="008801EF"/>
    <w:rsid w:val="00880AE2"/>
    <w:rsid w:val="00880C88"/>
    <w:rsid w:val="008810B9"/>
    <w:rsid w:val="008819E9"/>
    <w:rsid w:val="00881BDE"/>
    <w:rsid w:val="008825BE"/>
    <w:rsid w:val="00883FEB"/>
    <w:rsid w:val="008854F0"/>
    <w:rsid w:val="00885858"/>
    <w:rsid w:val="00885A2F"/>
    <w:rsid w:val="0088604E"/>
    <w:rsid w:val="00886B53"/>
    <w:rsid w:val="00887030"/>
    <w:rsid w:val="008870AA"/>
    <w:rsid w:val="00890648"/>
    <w:rsid w:val="00890916"/>
    <w:rsid w:val="008937B8"/>
    <w:rsid w:val="008941CB"/>
    <w:rsid w:val="00894735"/>
    <w:rsid w:val="0089712C"/>
    <w:rsid w:val="008975D5"/>
    <w:rsid w:val="00897AB7"/>
    <w:rsid w:val="008A11B3"/>
    <w:rsid w:val="008A1D90"/>
    <w:rsid w:val="008A3A01"/>
    <w:rsid w:val="008A4A4D"/>
    <w:rsid w:val="008A4D81"/>
    <w:rsid w:val="008A548D"/>
    <w:rsid w:val="008A6C21"/>
    <w:rsid w:val="008A71C0"/>
    <w:rsid w:val="008A7982"/>
    <w:rsid w:val="008A7B2D"/>
    <w:rsid w:val="008A7BCF"/>
    <w:rsid w:val="008B081E"/>
    <w:rsid w:val="008B0AE2"/>
    <w:rsid w:val="008B1243"/>
    <w:rsid w:val="008B14F6"/>
    <w:rsid w:val="008B1A19"/>
    <w:rsid w:val="008B21DA"/>
    <w:rsid w:val="008B2A02"/>
    <w:rsid w:val="008B2D70"/>
    <w:rsid w:val="008B3D42"/>
    <w:rsid w:val="008B4A83"/>
    <w:rsid w:val="008B5E31"/>
    <w:rsid w:val="008B659C"/>
    <w:rsid w:val="008B6A17"/>
    <w:rsid w:val="008B6ADD"/>
    <w:rsid w:val="008B6B19"/>
    <w:rsid w:val="008B7030"/>
    <w:rsid w:val="008C0C2C"/>
    <w:rsid w:val="008C11F9"/>
    <w:rsid w:val="008C1329"/>
    <w:rsid w:val="008C1FEF"/>
    <w:rsid w:val="008C27C2"/>
    <w:rsid w:val="008C29C3"/>
    <w:rsid w:val="008C2B63"/>
    <w:rsid w:val="008C5DB2"/>
    <w:rsid w:val="008C623D"/>
    <w:rsid w:val="008C6B5C"/>
    <w:rsid w:val="008C75A8"/>
    <w:rsid w:val="008D1CD5"/>
    <w:rsid w:val="008D31DC"/>
    <w:rsid w:val="008D3E17"/>
    <w:rsid w:val="008D3E38"/>
    <w:rsid w:val="008D4307"/>
    <w:rsid w:val="008D5262"/>
    <w:rsid w:val="008D54D0"/>
    <w:rsid w:val="008D6400"/>
    <w:rsid w:val="008D6A0C"/>
    <w:rsid w:val="008D76AB"/>
    <w:rsid w:val="008E0240"/>
    <w:rsid w:val="008E1A53"/>
    <w:rsid w:val="008E1B38"/>
    <w:rsid w:val="008E33EB"/>
    <w:rsid w:val="008E434B"/>
    <w:rsid w:val="008E47D3"/>
    <w:rsid w:val="008E5043"/>
    <w:rsid w:val="008E5412"/>
    <w:rsid w:val="008E602E"/>
    <w:rsid w:val="008E622A"/>
    <w:rsid w:val="008E65FB"/>
    <w:rsid w:val="008E6F1F"/>
    <w:rsid w:val="008E778D"/>
    <w:rsid w:val="008F049B"/>
    <w:rsid w:val="008F0A0D"/>
    <w:rsid w:val="008F0DAB"/>
    <w:rsid w:val="008F1836"/>
    <w:rsid w:val="008F18CD"/>
    <w:rsid w:val="008F19F8"/>
    <w:rsid w:val="008F1AF8"/>
    <w:rsid w:val="008F1FD6"/>
    <w:rsid w:val="008F25D5"/>
    <w:rsid w:val="008F26B9"/>
    <w:rsid w:val="008F353A"/>
    <w:rsid w:val="008F3AB3"/>
    <w:rsid w:val="008F3B12"/>
    <w:rsid w:val="008F5720"/>
    <w:rsid w:val="008F6288"/>
    <w:rsid w:val="008F64C5"/>
    <w:rsid w:val="008F6C01"/>
    <w:rsid w:val="008F6E5B"/>
    <w:rsid w:val="008F7F61"/>
    <w:rsid w:val="0090144E"/>
    <w:rsid w:val="00901C8E"/>
    <w:rsid w:val="00902B40"/>
    <w:rsid w:val="00902E40"/>
    <w:rsid w:val="0090403E"/>
    <w:rsid w:val="00905415"/>
    <w:rsid w:val="0090629C"/>
    <w:rsid w:val="00906CA7"/>
    <w:rsid w:val="00907326"/>
    <w:rsid w:val="00907496"/>
    <w:rsid w:val="00907B8C"/>
    <w:rsid w:val="009114BF"/>
    <w:rsid w:val="00912238"/>
    <w:rsid w:val="00912B02"/>
    <w:rsid w:val="00913F21"/>
    <w:rsid w:val="00914B23"/>
    <w:rsid w:val="009150E4"/>
    <w:rsid w:val="0091563B"/>
    <w:rsid w:val="00915CE1"/>
    <w:rsid w:val="00915F82"/>
    <w:rsid w:val="0091692F"/>
    <w:rsid w:val="00916E7B"/>
    <w:rsid w:val="009177BB"/>
    <w:rsid w:val="00917A9B"/>
    <w:rsid w:val="00921415"/>
    <w:rsid w:val="00921ABD"/>
    <w:rsid w:val="00925E82"/>
    <w:rsid w:val="009300ED"/>
    <w:rsid w:val="00931377"/>
    <w:rsid w:val="00931981"/>
    <w:rsid w:val="0093235B"/>
    <w:rsid w:val="0093380D"/>
    <w:rsid w:val="009340A4"/>
    <w:rsid w:val="009347B3"/>
    <w:rsid w:val="00934A78"/>
    <w:rsid w:val="00934B39"/>
    <w:rsid w:val="00934E60"/>
    <w:rsid w:val="00935077"/>
    <w:rsid w:val="0093594D"/>
    <w:rsid w:val="00935EF0"/>
    <w:rsid w:val="00935F4F"/>
    <w:rsid w:val="00936388"/>
    <w:rsid w:val="0094006A"/>
    <w:rsid w:val="00940487"/>
    <w:rsid w:val="009407B3"/>
    <w:rsid w:val="00940C8F"/>
    <w:rsid w:val="00940E13"/>
    <w:rsid w:val="00940F6A"/>
    <w:rsid w:val="00941A91"/>
    <w:rsid w:val="00941D53"/>
    <w:rsid w:val="00941DB0"/>
    <w:rsid w:val="009434DA"/>
    <w:rsid w:val="00943E7F"/>
    <w:rsid w:val="00943F65"/>
    <w:rsid w:val="009447E1"/>
    <w:rsid w:val="00944F27"/>
    <w:rsid w:val="00944F8E"/>
    <w:rsid w:val="0094527F"/>
    <w:rsid w:val="00946383"/>
    <w:rsid w:val="0094654D"/>
    <w:rsid w:val="009465BC"/>
    <w:rsid w:val="009478A9"/>
    <w:rsid w:val="009500CB"/>
    <w:rsid w:val="00950A05"/>
    <w:rsid w:val="009514F5"/>
    <w:rsid w:val="0095361F"/>
    <w:rsid w:val="00954312"/>
    <w:rsid w:val="00954F97"/>
    <w:rsid w:val="00955C16"/>
    <w:rsid w:val="00955E04"/>
    <w:rsid w:val="009564D7"/>
    <w:rsid w:val="00956B8A"/>
    <w:rsid w:val="00957AC5"/>
    <w:rsid w:val="00962684"/>
    <w:rsid w:val="00963020"/>
    <w:rsid w:val="00963046"/>
    <w:rsid w:val="00963EE5"/>
    <w:rsid w:val="009641D2"/>
    <w:rsid w:val="009657C4"/>
    <w:rsid w:val="00966038"/>
    <w:rsid w:val="009679A7"/>
    <w:rsid w:val="00967C58"/>
    <w:rsid w:val="009700C6"/>
    <w:rsid w:val="00970F37"/>
    <w:rsid w:val="00971508"/>
    <w:rsid w:val="009715AC"/>
    <w:rsid w:val="009718B1"/>
    <w:rsid w:val="00972A2B"/>
    <w:rsid w:val="00973990"/>
    <w:rsid w:val="00973BF5"/>
    <w:rsid w:val="00973C42"/>
    <w:rsid w:val="00974AE0"/>
    <w:rsid w:val="00975BBD"/>
    <w:rsid w:val="0097614D"/>
    <w:rsid w:val="00977187"/>
    <w:rsid w:val="0097734F"/>
    <w:rsid w:val="009778D2"/>
    <w:rsid w:val="00977E76"/>
    <w:rsid w:val="0098037E"/>
    <w:rsid w:val="00980399"/>
    <w:rsid w:val="009808C4"/>
    <w:rsid w:val="00980A50"/>
    <w:rsid w:val="00981309"/>
    <w:rsid w:val="00981425"/>
    <w:rsid w:val="0098199F"/>
    <w:rsid w:val="0098216D"/>
    <w:rsid w:val="00982920"/>
    <w:rsid w:val="009842D4"/>
    <w:rsid w:val="00986710"/>
    <w:rsid w:val="00986958"/>
    <w:rsid w:val="00986E49"/>
    <w:rsid w:val="00986E5E"/>
    <w:rsid w:val="009874D5"/>
    <w:rsid w:val="00990239"/>
    <w:rsid w:val="009923DF"/>
    <w:rsid w:val="009946ED"/>
    <w:rsid w:val="0099525A"/>
    <w:rsid w:val="0099538E"/>
    <w:rsid w:val="00995E07"/>
    <w:rsid w:val="0099732D"/>
    <w:rsid w:val="009A0C20"/>
    <w:rsid w:val="009A2802"/>
    <w:rsid w:val="009A3F0B"/>
    <w:rsid w:val="009A4FB2"/>
    <w:rsid w:val="009A73A1"/>
    <w:rsid w:val="009A74FB"/>
    <w:rsid w:val="009A77AD"/>
    <w:rsid w:val="009A7936"/>
    <w:rsid w:val="009B0DE8"/>
    <w:rsid w:val="009B1009"/>
    <w:rsid w:val="009B119B"/>
    <w:rsid w:val="009B159F"/>
    <w:rsid w:val="009B3195"/>
    <w:rsid w:val="009B321F"/>
    <w:rsid w:val="009B385C"/>
    <w:rsid w:val="009B3CA6"/>
    <w:rsid w:val="009B3D7F"/>
    <w:rsid w:val="009B46BD"/>
    <w:rsid w:val="009B5311"/>
    <w:rsid w:val="009B5424"/>
    <w:rsid w:val="009B656F"/>
    <w:rsid w:val="009B6FB5"/>
    <w:rsid w:val="009B7886"/>
    <w:rsid w:val="009C02B7"/>
    <w:rsid w:val="009C06F3"/>
    <w:rsid w:val="009C1064"/>
    <w:rsid w:val="009C1171"/>
    <w:rsid w:val="009C16BE"/>
    <w:rsid w:val="009C1881"/>
    <w:rsid w:val="009C1CFF"/>
    <w:rsid w:val="009C2077"/>
    <w:rsid w:val="009C2519"/>
    <w:rsid w:val="009C2B55"/>
    <w:rsid w:val="009C35A5"/>
    <w:rsid w:val="009C3903"/>
    <w:rsid w:val="009C3DF7"/>
    <w:rsid w:val="009C42E7"/>
    <w:rsid w:val="009C50F7"/>
    <w:rsid w:val="009C6171"/>
    <w:rsid w:val="009C64C5"/>
    <w:rsid w:val="009D0413"/>
    <w:rsid w:val="009D0444"/>
    <w:rsid w:val="009D0901"/>
    <w:rsid w:val="009D0D09"/>
    <w:rsid w:val="009D217F"/>
    <w:rsid w:val="009D239E"/>
    <w:rsid w:val="009D24AA"/>
    <w:rsid w:val="009D3D31"/>
    <w:rsid w:val="009D52AF"/>
    <w:rsid w:val="009D56C4"/>
    <w:rsid w:val="009D6FE2"/>
    <w:rsid w:val="009D7C83"/>
    <w:rsid w:val="009E1107"/>
    <w:rsid w:val="009E2C94"/>
    <w:rsid w:val="009E3373"/>
    <w:rsid w:val="009E35CC"/>
    <w:rsid w:val="009E391D"/>
    <w:rsid w:val="009E3986"/>
    <w:rsid w:val="009E509F"/>
    <w:rsid w:val="009E5320"/>
    <w:rsid w:val="009E557E"/>
    <w:rsid w:val="009E5604"/>
    <w:rsid w:val="009E5F6C"/>
    <w:rsid w:val="009E5F9D"/>
    <w:rsid w:val="009E691D"/>
    <w:rsid w:val="009E75FF"/>
    <w:rsid w:val="009E7C1C"/>
    <w:rsid w:val="009E7C76"/>
    <w:rsid w:val="009F00F0"/>
    <w:rsid w:val="009F04BF"/>
    <w:rsid w:val="009F110A"/>
    <w:rsid w:val="009F157A"/>
    <w:rsid w:val="009F3B33"/>
    <w:rsid w:val="009F3F88"/>
    <w:rsid w:val="009F4ACB"/>
    <w:rsid w:val="009F54DB"/>
    <w:rsid w:val="009F5E9E"/>
    <w:rsid w:val="009F6658"/>
    <w:rsid w:val="009F67C1"/>
    <w:rsid w:val="009F714D"/>
    <w:rsid w:val="00A02628"/>
    <w:rsid w:val="00A04150"/>
    <w:rsid w:val="00A04C15"/>
    <w:rsid w:val="00A04FF5"/>
    <w:rsid w:val="00A064AB"/>
    <w:rsid w:val="00A069DE"/>
    <w:rsid w:val="00A06A93"/>
    <w:rsid w:val="00A10C62"/>
    <w:rsid w:val="00A10EAB"/>
    <w:rsid w:val="00A1215B"/>
    <w:rsid w:val="00A140A8"/>
    <w:rsid w:val="00A1434A"/>
    <w:rsid w:val="00A14AC5"/>
    <w:rsid w:val="00A15473"/>
    <w:rsid w:val="00A154F9"/>
    <w:rsid w:val="00A15BF0"/>
    <w:rsid w:val="00A162BB"/>
    <w:rsid w:val="00A168CB"/>
    <w:rsid w:val="00A16CD1"/>
    <w:rsid w:val="00A20327"/>
    <w:rsid w:val="00A203BA"/>
    <w:rsid w:val="00A20401"/>
    <w:rsid w:val="00A20FCA"/>
    <w:rsid w:val="00A21290"/>
    <w:rsid w:val="00A220EE"/>
    <w:rsid w:val="00A22C46"/>
    <w:rsid w:val="00A234A8"/>
    <w:rsid w:val="00A23FE1"/>
    <w:rsid w:val="00A243F3"/>
    <w:rsid w:val="00A25E60"/>
    <w:rsid w:val="00A25FD6"/>
    <w:rsid w:val="00A26BC3"/>
    <w:rsid w:val="00A26C24"/>
    <w:rsid w:val="00A26FAD"/>
    <w:rsid w:val="00A27661"/>
    <w:rsid w:val="00A30604"/>
    <w:rsid w:val="00A311EE"/>
    <w:rsid w:val="00A344CB"/>
    <w:rsid w:val="00A352A2"/>
    <w:rsid w:val="00A35651"/>
    <w:rsid w:val="00A35722"/>
    <w:rsid w:val="00A35ADE"/>
    <w:rsid w:val="00A35B8C"/>
    <w:rsid w:val="00A36487"/>
    <w:rsid w:val="00A3785F"/>
    <w:rsid w:val="00A37AC7"/>
    <w:rsid w:val="00A40B82"/>
    <w:rsid w:val="00A41010"/>
    <w:rsid w:val="00A419F7"/>
    <w:rsid w:val="00A41AA5"/>
    <w:rsid w:val="00A42D9E"/>
    <w:rsid w:val="00A43F7D"/>
    <w:rsid w:val="00A4413A"/>
    <w:rsid w:val="00A45011"/>
    <w:rsid w:val="00A450F8"/>
    <w:rsid w:val="00A45E06"/>
    <w:rsid w:val="00A460AB"/>
    <w:rsid w:val="00A464B7"/>
    <w:rsid w:val="00A46688"/>
    <w:rsid w:val="00A466D6"/>
    <w:rsid w:val="00A466DA"/>
    <w:rsid w:val="00A46A82"/>
    <w:rsid w:val="00A47233"/>
    <w:rsid w:val="00A4754D"/>
    <w:rsid w:val="00A5017D"/>
    <w:rsid w:val="00A514CE"/>
    <w:rsid w:val="00A519F3"/>
    <w:rsid w:val="00A51B4D"/>
    <w:rsid w:val="00A529E7"/>
    <w:rsid w:val="00A53427"/>
    <w:rsid w:val="00A53E14"/>
    <w:rsid w:val="00A54252"/>
    <w:rsid w:val="00A55DA6"/>
    <w:rsid w:val="00A577A2"/>
    <w:rsid w:val="00A57B6C"/>
    <w:rsid w:val="00A57C9D"/>
    <w:rsid w:val="00A605E1"/>
    <w:rsid w:val="00A613B6"/>
    <w:rsid w:val="00A62091"/>
    <w:rsid w:val="00A6362F"/>
    <w:rsid w:val="00A638E8"/>
    <w:rsid w:val="00A649FE"/>
    <w:rsid w:val="00A64B93"/>
    <w:rsid w:val="00A656E0"/>
    <w:rsid w:val="00A661B0"/>
    <w:rsid w:val="00A66A36"/>
    <w:rsid w:val="00A66AF9"/>
    <w:rsid w:val="00A671B7"/>
    <w:rsid w:val="00A6724C"/>
    <w:rsid w:val="00A70515"/>
    <w:rsid w:val="00A70CAB"/>
    <w:rsid w:val="00A71926"/>
    <w:rsid w:val="00A71D39"/>
    <w:rsid w:val="00A72934"/>
    <w:rsid w:val="00A72E84"/>
    <w:rsid w:val="00A73954"/>
    <w:rsid w:val="00A740D1"/>
    <w:rsid w:val="00A743AB"/>
    <w:rsid w:val="00A74BCA"/>
    <w:rsid w:val="00A75703"/>
    <w:rsid w:val="00A759D9"/>
    <w:rsid w:val="00A76D1C"/>
    <w:rsid w:val="00A7754A"/>
    <w:rsid w:val="00A80B7F"/>
    <w:rsid w:val="00A8224A"/>
    <w:rsid w:val="00A82762"/>
    <w:rsid w:val="00A827D1"/>
    <w:rsid w:val="00A8345B"/>
    <w:rsid w:val="00A83AD2"/>
    <w:rsid w:val="00A83FE6"/>
    <w:rsid w:val="00A84B5D"/>
    <w:rsid w:val="00A8673E"/>
    <w:rsid w:val="00A86E6D"/>
    <w:rsid w:val="00A8730B"/>
    <w:rsid w:val="00A917B7"/>
    <w:rsid w:val="00A91DDB"/>
    <w:rsid w:val="00A92B57"/>
    <w:rsid w:val="00A9317E"/>
    <w:rsid w:val="00A93EA5"/>
    <w:rsid w:val="00A94FEF"/>
    <w:rsid w:val="00A9694D"/>
    <w:rsid w:val="00AA111E"/>
    <w:rsid w:val="00AA3F95"/>
    <w:rsid w:val="00AA49B3"/>
    <w:rsid w:val="00AA4D8C"/>
    <w:rsid w:val="00AA527A"/>
    <w:rsid w:val="00AA634F"/>
    <w:rsid w:val="00AA6CAC"/>
    <w:rsid w:val="00AA7B78"/>
    <w:rsid w:val="00AA7D75"/>
    <w:rsid w:val="00AB14F8"/>
    <w:rsid w:val="00AB164F"/>
    <w:rsid w:val="00AB2787"/>
    <w:rsid w:val="00AB357D"/>
    <w:rsid w:val="00AB3612"/>
    <w:rsid w:val="00AB7EF4"/>
    <w:rsid w:val="00AC0258"/>
    <w:rsid w:val="00AC0E2D"/>
    <w:rsid w:val="00AC1C02"/>
    <w:rsid w:val="00AC207A"/>
    <w:rsid w:val="00AC210D"/>
    <w:rsid w:val="00AC227F"/>
    <w:rsid w:val="00AC2499"/>
    <w:rsid w:val="00AC2D30"/>
    <w:rsid w:val="00AC2DEF"/>
    <w:rsid w:val="00AC37ED"/>
    <w:rsid w:val="00AC3871"/>
    <w:rsid w:val="00AC4AF4"/>
    <w:rsid w:val="00AC5354"/>
    <w:rsid w:val="00AC5938"/>
    <w:rsid w:val="00AC5F04"/>
    <w:rsid w:val="00AC63CF"/>
    <w:rsid w:val="00AC66AB"/>
    <w:rsid w:val="00AD05EB"/>
    <w:rsid w:val="00AD06DC"/>
    <w:rsid w:val="00AD083E"/>
    <w:rsid w:val="00AD1F1C"/>
    <w:rsid w:val="00AD35E6"/>
    <w:rsid w:val="00AD3ED1"/>
    <w:rsid w:val="00AD444E"/>
    <w:rsid w:val="00AD483A"/>
    <w:rsid w:val="00AD48A4"/>
    <w:rsid w:val="00AD5AA2"/>
    <w:rsid w:val="00AD7959"/>
    <w:rsid w:val="00AE07E1"/>
    <w:rsid w:val="00AE1675"/>
    <w:rsid w:val="00AE17F8"/>
    <w:rsid w:val="00AE25BB"/>
    <w:rsid w:val="00AE2FD0"/>
    <w:rsid w:val="00AE30CE"/>
    <w:rsid w:val="00AE33E0"/>
    <w:rsid w:val="00AE396F"/>
    <w:rsid w:val="00AE4477"/>
    <w:rsid w:val="00AE6372"/>
    <w:rsid w:val="00AE7D28"/>
    <w:rsid w:val="00AF1228"/>
    <w:rsid w:val="00AF1A5E"/>
    <w:rsid w:val="00AF1F7E"/>
    <w:rsid w:val="00AF22E0"/>
    <w:rsid w:val="00AF23C2"/>
    <w:rsid w:val="00AF2ACF"/>
    <w:rsid w:val="00AF3651"/>
    <w:rsid w:val="00AF514C"/>
    <w:rsid w:val="00AF55E1"/>
    <w:rsid w:val="00AF5A8A"/>
    <w:rsid w:val="00AF7042"/>
    <w:rsid w:val="00B002C1"/>
    <w:rsid w:val="00B00A4B"/>
    <w:rsid w:val="00B00BDB"/>
    <w:rsid w:val="00B00FBC"/>
    <w:rsid w:val="00B02685"/>
    <w:rsid w:val="00B02D83"/>
    <w:rsid w:val="00B03334"/>
    <w:rsid w:val="00B053E9"/>
    <w:rsid w:val="00B066E2"/>
    <w:rsid w:val="00B06FB8"/>
    <w:rsid w:val="00B07980"/>
    <w:rsid w:val="00B10A6A"/>
    <w:rsid w:val="00B10C81"/>
    <w:rsid w:val="00B12985"/>
    <w:rsid w:val="00B131D8"/>
    <w:rsid w:val="00B13938"/>
    <w:rsid w:val="00B141C7"/>
    <w:rsid w:val="00B143E1"/>
    <w:rsid w:val="00B1465E"/>
    <w:rsid w:val="00B14A9A"/>
    <w:rsid w:val="00B15DDC"/>
    <w:rsid w:val="00B16666"/>
    <w:rsid w:val="00B1693F"/>
    <w:rsid w:val="00B17BF5"/>
    <w:rsid w:val="00B17ECE"/>
    <w:rsid w:val="00B201B8"/>
    <w:rsid w:val="00B208CB"/>
    <w:rsid w:val="00B208DD"/>
    <w:rsid w:val="00B209D4"/>
    <w:rsid w:val="00B20D06"/>
    <w:rsid w:val="00B213D1"/>
    <w:rsid w:val="00B2195D"/>
    <w:rsid w:val="00B2264A"/>
    <w:rsid w:val="00B2356F"/>
    <w:rsid w:val="00B24345"/>
    <w:rsid w:val="00B24454"/>
    <w:rsid w:val="00B244D2"/>
    <w:rsid w:val="00B2697F"/>
    <w:rsid w:val="00B26BA6"/>
    <w:rsid w:val="00B271A1"/>
    <w:rsid w:val="00B27697"/>
    <w:rsid w:val="00B27E81"/>
    <w:rsid w:val="00B304F3"/>
    <w:rsid w:val="00B305C1"/>
    <w:rsid w:val="00B31216"/>
    <w:rsid w:val="00B31549"/>
    <w:rsid w:val="00B31C5E"/>
    <w:rsid w:val="00B31D0D"/>
    <w:rsid w:val="00B3338F"/>
    <w:rsid w:val="00B337A7"/>
    <w:rsid w:val="00B33C4F"/>
    <w:rsid w:val="00B3413A"/>
    <w:rsid w:val="00B35AC2"/>
    <w:rsid w:val="00B36575"/>
    <w:rsid w:val="00B36E5B"/>
    <w:rsid w:val="00B37375"/>
    <w:rsid w:val="00B413E5"/>
    <w:rsid w:val="00B4577C"/>
    <w:rsid w:val="00B45C29"/>
    <w:rsid w:val="00B46563"/>
    <w:rsid w:val="00B465C3"/>
    <w:rsid w:val="00B47678"/>
    <w:rsid w:val="00B5076D"/>
    <w:rsid w:val="00B50B27"/>
    <w:rsid w:val="00B516EF"/>
    <w:rsid w:val="00B532E5"/>
    <w:rsid w:val="00B53919"/>
    <w:rsid w:val="00B53D9A"/>
    <w:rsid w:val="00B54785"/>
    <w:rsid w:val="00B549E3"/>
    <w:rsid w:val="00B55067"/>
    <w:rsid w:val="00B56C93"/>
    <w:rsid w:val="00B56D28"/>
    <w:rsid w:val="00B57487"/>
    <w:rsid w:val="00B60D4F"/>
    <w:rsid w:val="00B61A4D"/>
    <w:rsid w:val="00B61AD7"/>
    <w:rsid w:val="00B64CBB"/>
    <w:rsid w:val="00B651F2"/>
    <w:rsid w:val="00B6586A"/>
    <w:rsid w:val="00B66237"/>
    <w:rsid w:val="00B6641E"/>
    <w:rsid w:val="00B669E1"/>
    <w:rsid w:val="00B66EC8"/>
    <w:rsid w:val="00B67024"/>
    <w:rsid w:val="00B67A83"/>
    <w:rsid w:val="00B67B7B"/>
    <w:rsid w:val="00B70A4B"/>
    <w:rsid w:val="00B70D00"/>
    <w:rsid w:val="00B739BE"/>
    <w:rsid w:val="00B75957"/>
    <w:rsid w:val="00B765E0"/>
    <w:rsid w:val="00B76F5D"/>
    <w:rsid w:val="00B776AC"/>
    <w:rsid w:val="00B8085D"/>
    <w:rsid w:val="00B81450"/>
    <w:rsid w:val="00B823D9"/>
    <w:rsid w:val="00B8299D"/>
    <w:rsid w:val="00B83CBA"/>
    <w:rsid w:val="00B83F37"/>
    <w:rsid w:val="00B84E2F"/>
    <w:rsid w:val="00B867D7"/>
    <w:rsid w:val="00B875F6"/>
    <w:rsid w:val="00B91CDF"/>
    <w:rsid w:val="00B924A5"/>
    <w:rsid w:val="00B9283C"/>
    <w:rsid w:val="00B929AB"/>
    <w:rsid w:val="00B9451E"/>
    <w:rsid w:val="00B94764"/>
    <w:rsid w:val="00B961A0"/>
    <w:rsid w:val="00B96E1D"/>
    <w:rsid w:val="00B97B74"/>
    <w:rsid w:val="00BA0A07"/>
    <w:rsid w:val="00BA0A48"/>
    <w:rsid w:val="00BA39DA"/>
    <w:rsid w:val="00BA3FE4"/>
    <w:rsid w:val="00BA52F2"/>
    <w:rsid w:val="00BA5784"/>
    <w:rsid w:val="00BA591F"/>
    <w:rsid w:val="00BA67B0"/>
    <w:rsid w:val="00BA721A"/>
    <w:rsid w:val="00BA7291"/>
    <w:rsid w:val="00BA7572"/>
    <w:rsid w:val="00BA7A13"/>
    <w:rsid w:val="00BA7BD2"/>
    <w:rsid w:val="00BA7EAE"/>
    <w:rsid w:val="00BB0516"/>
    <w:rsid w:val="00BB07F2"/>
    <w:rsid w:val="00BB09AF"/>
    <w:rsid w:val="00BB13D0"/>
    <w:rsid w:val="00BB3DDB"/>
    <w:rsid w:val="00BB539B"/>
    <w:rsid w:val="00BB6EEE"/>
    <w:rsid w:val="00BB73AC"/>
    <w:rsid w:val="00BB7419"/>
    <w:rsid w:val="00BB79FF"/>
    <w:rsid w:val="00BB7E28"/>
    <w:rsid w:val="00BC03DA"/>
    <w:rsid w:val="00BC04F6"/>
    <w:rsid w:val="00BC0574"/>
    <w:rsid w:val="00BC1884"/>
    <w:rsid w:val="00BC2239"/>
    <w:rsid w:val="00BC2E71"/>
    <w:rsid w:val="00BC3A1A"/>
    <w:rsid w:val="00BC4196"/>
    <w:rsid w:val="00BC448D"/>
    <w:rsid w:val="00BC4A2E"/>
    <w:rsid w:val="00BC4B43"/>
    <w:rsid w:val="00BC4D6E"/>
    <w:rsid w:val="00BC5CC2"/>
    <w:rsid w:val="00BD096D"/>
    <w:rsid w:val="00BD0AD5"/>
    <w:rsid w:val="00BD0EAE"/>
    <w:rsid w:val="00BD1093"/>
    <w:rsid w:val="00BD1537"/>
    <w:rsid w:val="00BD153D"/>
    <w:rsid w:val="00BD1CE6"/>
    <w:rsid w:val="00BD386D"/>
    <w:rsid w:val="00BD3903"/>
    <w:rsid w:val="00BD4ACB"/>
    <w:rsid w:val="00BD4E52"/>
    <w:rsid w:val="00BD4E9E"/>
    <w:rsid w:val="00BD5190"/>
    <w:rsid w:val="00BD57C1"/>
    <w:rsid w:val="00BD5CDE"/>
    <w:rsid w:val="00BD6A6C"/>
    <w:rsid w:val="00BD6C4C"/>
    <w:rsid w:val="00BD6C59"/>
    <w:rsid w:val="00BD788A"/>
    <w:rsid w:val="00BE076E"/>
    <w:rsid w:val="00BE0BE0"/>
    <w:rsid w:val="00BE0F5B"/>
    <w:rsid w:val="00BE1A0F"/>
    <w:rsid w:val="00BE2112"/>
    <w:rsid w:val="00BE310E"/>
    <w:rsid w:val="00BE41BF"/>
    <w:rsid w:val="00BE5167"/>
    <w:rsid w:val="00BE564A"/>
    <w:rsid w:val="00BE5E86"/>
    <w:rsid w:val="00BE606D"/>
    <w:rsid w:val="00BE62E0"/>
    <w:rsid w:val="00BE732F"/>
    <w:rsid w:val="00BE7F3A"/>
    <w:rsid w:val="00BF11F2"/>
    <w:rsid w:val="00BF1684"/>
    <w:rsid w:val="00BF38AC"/>
    <w:rsid w:val="00BF3E50"/>
    <w:rsid w:val="00BF5021"/>
    <w:rsid w:val="00BF5675"/>
    <w:rsid w:val="00BF5C3A"/>
    <w:rsid w:val="00BF6B4A"/>
    <w:rsid w:val="00BF78F3"/>
    <w:rsid w:val="00BF7B92"/>
    <w:rsid w:val="00BF7E17"/>
    <w:rsid w:val="00C003CA"/>
    <w:rsid w:val="00C01247"/>
    <w:rsid w:val="00C01FD0"/>
    <w:rsid w:val="00C02634"/>
    <w:rsid w:val="00C027ED"/>
    <w:rsid w:val="00C03202"/>
    <w:rsid w:val="00C040EF"/>
    <w:rsid w:val="00C0425E"/>
    <w:rsid w:val="00C04458"/>
    <w:rsid w:val="00C046BF"/>
    <w:rsid w:val="00C04CDB"/>
    <w:rsid w:val="00C054E4"/>
    <w:rsid w:val="00C0596C"/>
    <w:rsid w:val="00C10975"/>
    <w:rsid w:val="00C126AA"/>
    <w:rsid w:val="00C12871"/>
    <w:rsid w:val="00C12B04"/>
    <w:rsid w:val="00C13597"/>
    <w:rsid w:val="00C1433A"/>
    <w:rsid w:val="00C14B7E"/>
    <w:rsid w:val="00C15D82"/>
    <w:rsid w:val="00C15DB6"/>
    <w:rsid w:val="00C1637E"/>
    <w:rsid w:val="00C1641C"/>
    <w:rsid w:val="00C208D2"/>
    <w:rsid w:val="00C2121C"/>
    <w:rsid w:val="00C22129"/>
    <w:rsid w:val="00C22E22"/>
    <w:rsid w:val="00C23FD5"/>
    <w:rsid w:val="00C241FD"/>
    <w:rsid w:val="00C24879"/>
    <w:rsid w:val="00C25030"/>
    <w:rsid w:val="00C26632"/>
    <w:rsid w:val="00C26969"/>
    <w:rsid w:val="00C27CE6"/>
    <w:rsid w:val="00C30C06"/>
    <w:rsid w:val="00C30E01"/>
    <w:rsid w:val="00C3179B"/>
    <w:rsid w:val="00C317C8"/>
    <w:rsid w:val="00C3195F"/>
    <w:rsid w:val="00C32737"/>
    <w:rsid w:val="00C33572"/>
    <w:rsid w:val="00C3385B"/>
    <w:rsid w:val="00C351A3"/>
    <w:rsid w:val="00C35443"/>
    <w:rsid w:val="00C35D91"/>
    <w:rsid w:val="00C36BA5"/>
    <w:rsid w:val="00C37CB3"/>
    <w:rsid w:val="00C4077A"/>
    <w:rsid w:val="00C4176F"/>
    <w:rsid w:val="00C4270A"/>
    <w:rsid w:val="00C449AF"/>
    <w:rsid w:val="00C45452"/>
    <w:rsid w:val="00C463B8"/>
    <w:rsid w:val="00C5004F"/>
    <w:rsid w:val="00C50154"/>
    <w:rsid w:val="00C50770"/>
    <w:rsid w:val="00C514CD"/>
    <w:rsid w:val="00C515EC"/>
    <w:rsid w:val="00C52A64"/>
    <w:rsid w:val="00C52F33"/>
    <w:rsid w:val="00C53288"/>
    <w:rsid w:val="00C533B9"/>
    <w:rsid w:val="00C5414E"/>
    <w:rsid w:val="00C54F23"/>
    <w:rsid w:val="00C55342"/>
    <w:rsid w:val="00C56EA9"/>
    <w:rsid w:val="00C60FAA"/>
    <w:rsid w:val="00C6227A"/>
    <w:rsid w:val="00C629E3"/>
    <w:rsid w:val="00C648BF"/>
    <w:rsid w:val="00C64D31"/>
    <w:rsid w:val="00C650ED"/>
    <w:rsid w:val="00C655C9"/>
    <w:rsid w:val="00C65B08"/>
    <w:rsid w:val="00C65F8C"/>
    <w:rsid w:val="00C662BC"/>
    <w:rsid w:val="00C668E8"/>
    <w:rsid w:val="00C66998"/>
    <w:rsid w:val="00C66C66"/>
    <w:rsid w:val="00C66DDD"/>
    <w:rsid w:val="00C67727"/>
    <w:rsid w:val="00C67ED0"/>
    <w:rsid w:val="00C709ED"/>
    <w:rsid w:val="00C70B30"/>
    <w:rsid w:val="00C71135"/>
    <w:rsid w:val="00C71A4C"/>
    <w:rsid w:val="00C71CE4"/>
    <w:rsid w:val="00C71E0A"/>
    <w:rsid w:val="00C720C7"/>
    <w:rsid w:val="00C721EA"/>
    <w:rsid w:val="00C72629"/>
    <w:rsid w:val="00C72C4D"/>
    <w:rsid w:val="00C74651"/>
    <w:rsid w:val="00C7489C"/>
    <w:rsid w:val="00C74A3B"/>
    <w:rsid w:val="00C75B8C"/>
    <w:rsid w:val="00C7606D"/>
    <w:rsid w:val="00C76505"/>
    <w:rsid w:val="00C77ED7"/>
    <w:rsid w:val="00C8156E"/>
    <w:rsid w:val="00C81591"/>
    <w:rsid w:val="00C81925"/>
    <w:rsid w:val="00C836D9"/>
    <w:rsid w:val="00C83811"/>
    <w:rsid w:val="00C83912"/>
    <w:rsid w:val="00C8492C"/>
    <w:rsid w:val="00C8642C"/>
    <w:rsid w:val="00C867E8"/>
    <w:rsid w:val="00C879EA"/>
    <w:rsid w:val="00C90273"/>
    <w:rsid w:val="00C90329"/>
    <w:rsid w:val="00C90EEB"/>
    <w:rsid w:val="00C91282"/>
    <w:rsid w:val="00C91519"/>
    <w:rsid w:val="00C916C5"/>
    <w:rsid w:val="00C93940"/>
    <w:rsid w:val="00C93CCA"/>
    <w:rsid w:val="00C941D9"/>
    <w:rsid w:val="00C9428E"/>
    <w:rsid w:val="00C948AE"/>
    <w:rsid w:val="00C95EBE"/>
    <w:rsid w:val="00C96762"/>
    <w:rsid w:val="00C9742D"/>
    <w:rsid w:val="00C97CAF"/>
    <w:rsid w:val="00CA011E"/>
    <w:rsid w:val="00CA0BCB"/>
    <w:rsid w:val="00CA2880"/>
    <w:rsid w:val="00CA3275"/>
    <w:rsid w:val="00CA3494"/>
    <w:rsid w:val="00CA3C4A"/>
    <w:rsid w:val="00CA3DAC"/>
    <w:rsid w:val="00CA489A"/>
    <w:rsid w:val="00CA4C63"/>
    <w:rsid w:val="00CA54FB"/>
    <w:rsid w:val="00CA56BF"/>
    <w:rsid w:val="00CA5FA0"/>
    <w:rsid w:val="00CA6A84"/>
    <w:rsid w:val="00CB1181"/>
    <w:rsid w:val="00CB228E"/>
    <w:rsid w:val="00CB234F"/>
    <w:rsid w:val="00CB2638"/>
    <w:rsid w:val="00CB43A1"/>
    <w:rsid w:val="00CB49F9"/>
    <w:rsid w:val="00CB4E42"/>
    <w:rsid w:val="00CB51AD"/>
    <w:rsid w:val="00CB5DF6"/>
    <w:rsid w:val="00CB6455"/>
    <w:rsid w:val="00CB7031"/>
    <w:rsid w:val="00CB7A83"/>
    <w:rsid w:val="00CC0602"/>
    <w:rsid w:val="00CC0C73"/>
    <w:rsid w:val="00CC1948"/>
    <w:rsid w:val="00CC1BDF"/>
    <w:rsid w:val="00CC2EA0"/>
    <w:rsid w:val="00CC39C2"/>
    <w:rsid w:val="00CC3C7C"/>
    <w:rsid w:val="00CC3E33"/>
    <w:rsid w:val="00CC5294"/>
    <w:rsid w:val="00CC635C"/>
    <w:rsid w:val="00CC772D"/>
    <w:rsid w:val="00CD055A"/>
    <w:rsid w:val="00CD1AAD"/>
    <w:rsid w:val="00CD1E22"/>
    <w:rsid w:val="00CD1F4B"/>
    <w:rsid w:val="00CD26E5"/>
    <w:rsid w:val="00CD2ED1"/>
    <w:rsid w:val="00CD364D"/>
    <w:rsid w:val="00CD3AEA"/>
    <w:rsid w:val="00CD3BEB"/>
    <w:rsid w:val="00CD3D4F"/>
    <w:rsid w:val="00CD41A5"/>
    <w:rsid w:val="00CD4F0C"/>
    <w:rsid w:val="00CD5467"/>
    <w:rsid w:val="00CD5A89"/>
    <w:rsid w:val="00CD6623"/>
    <w:rsid w:val="00CD797A"/>
    <w:rsid w:val="00CD7EE5"/>
    <w:rsid w:val="00CE0235"/>
    <w:rsid w:val="00CE34B6"/>
    <w:rsid w:val="00CE3511"/>
    <w:rsid w:val="00CE3599"/>
    <w:rsid w:val="00CE4EDC"/>
    <w:rsid w:val="00CE5055"/>
    <w:rsid w:val="00CE5F5F"/>
    <w:rsid w:val="00CE70E5"/>
    <w:rsid w:val="00CE7244"/>
    <w:rsid w:val="00CE741B"/>
    <w:rsid w:val="00CF072A"/>
    <w:rsid w:val="00CF0797"/>
    <w:rsid w:val="00CF07AC"/>
    <w:rsid w:val="00CF1429"/>
    <w:rsid w:val="00CF17E6"/>
    <w:rsid w:val="00CF2262"/>
    <w:rsid w:val="00CF2AE1"/>
    <w:rsid w:val="00CF3278"/>
    <w:rsid w:val="00CF4726"/>
    <w:rsid w:val="00CF5C6B"/>
    <w:rsid w:val="00CF6B1E"/>
    <w:rsid w:val="00CF7165"/>
    <w:rsid w:val="00D01922"/>
    <w:rsid w:val="00D02343"/>
    <w:rsid w:val="00D0247A"/>
    <w:rsid w:val="00D02B9E"/>
    <w:rsid w:val="00D04210"/>
    <w:rsid w:val="00D045CA"/>
    <w:rsid w:val="00D04EF4"/>
    <w:rsid w:val="00D06705"/>
    <w:rsid w:val="00D0737B"/>
    <w:rsid w:val="00D076BB"/>
    <w:rsid w:val="00D07F77"/>
    <w:rsid w:val="00D100C5"/>
    <w:rsid w:val="00D12F99"/>
    <w:rsid w:val="00D13BAD"/>
    <w:rsid w:val="00D13E48"/>
    <w:rsid w:val="00D144E4"/>
    <w:rsid w:val="00D14D9C"/>
    <w:rsid w:val="00D15502"/>
    <w:rsid w:val="00D1597F"/>
    <w:rsid w:val="00D1606D"/>
    <w:rsid w:val="00D16495"/>
    <w:rsid w:val="00D164CB"/>
    <w:rsid w:val="00D168C8"/>
    <w:rsid w:val="00D16B96"/>
    <w:rsid w:val="00D17766"/>
    <w:rsid w:val="00D17CF9"/>
    <w:rsid w:val="00D20601"/>
    <w:rsid w:val="00D20747"/>
    <w:rsid w:val="00D207CD"/>
    <w:rsid w:val="00D20CFE"/>
    <w:rsid w:val="00D20D0D"/>
    <w:rsid w:val="00D2108F"/>
    <w:rsid w:val="00D212D2"/>
    <w:rsid w:val="00D21B9A"/>
    <w:rsid w:val="00D22FC1"/>
    <w:rsid w:val="00D24B9F"/>
    <w:rsid w:val="00D25BBB"/>
    <w:rsid w:val="00D2607F"/>
    <w:rsid w:val="00D26BF4"/>
    <w:rsid w:val="00D26EA0"/>
    <w:rsid w:val="00D2743A"/>
    <w:rsid w:val="00D277CB"/>
    <w:rsid w:val="00D30606"/>
    <w:rsid w:val="00D31439"/>
    <w:rsid w:val="00D31969"/>
    <w:rsid w:val="00D31AD0"/>
    <w:rsid w:val="00D31C82"/>
    <w:rsid w:val="00D32037"/>
    <w:rsid w:val="00D32358"/>
    <w:rsid w:val="00D32C9A"/>
    <w:rsid w:val="00D32FAE"/>
    <w:rsid w:val="00D335EB"/>
    <w:rsid w:val="00D33669"/>
    <w:rsid w:val="00D33FB1"/>
    <w:rsid w:val="00D344BB"/>
    <w:rsid w:val="00D3520A"/>
    <w:rsid w:val="00D355EE"/>
    <w:rsid w:val="00D358B9"/>
    <w:rsid w:val="00D35A3C"/>
    <w:rsid w:val="00D36BF3"/>
    <w:rsid w:val="00D37072"/>
    <w:rsid w:val="00D371A1"/>
    <w:rsid w:val="00D3761F"/>
    <w:rsid w:val="00D37E89"/>
    <w:rsid w:val="00D37FFA"/>
    <w:rsid w:val="00D40010"/>
    <w:rsid w:val="00D4045B"/>
    <w:rsid w:val="00D409AE"/>
    <w:rsid w:val="00D40E8E"/>
    <w:rsid w:val="00D40F92"/>
    <w:rsid w:val="00D415CA"/>
    <w:rsid w:val="00D4199D"/>
    <w:rsid w:val="00D41A80"/>
    <w:rsid w:val="00D43AE6"/>
    <w:rsid w:val="00D456CC"/>
    <w:rsid w:val="00D479CF"/>
    <w:rsid w:val="00D503B8"/>
    <w:rsid w:val="00D51E6A"/>
    <w:rsid w:val="00D52AD4"/>
    <w:rsid w:val="00D553DE"/>
    <w:rsid w:val="00D55403"/>
    <w:rsid w:val="00D55ECA"/>
    <w:rsid w:val="00D5699B"/>
    <w:rsid w:val="00D56AD2"/>
    <w:rsid w:val="00D57DE5"/>
    <w:rsid w:val="00D60E67"/>
    <w:rsid w:val="00D61A2B"/>
    <w:rsid w:val="00D6276A"/>
    <w:rsid w:val="00D6287C"/>
    <w:rsid w:val="00D62C73"/>
    <w:rsid w:val="00D64940"/>
    <w:rsid w:val="00D66A74"/>
    <w:rsid w:val="00D675C3"/>
    <w:rsid w:val="00D70C2E"/>
    <w:rsid w:val="00D71C36"/>
    <w:rsid w:val="00D71F67"/>
    <w:rsid w:val="00D7378F"/>
    <w:rsid w:val="00D738D8"/>
    <w:rsid w:val="00D73A34"/>
    <w:rsid w:val="00D7434F"/>
    <w:rsid w:val="00D7506C"/>
    <w:rsid w:val="00D763B5"/>
    <w:rsid w:val="00D76743"/>
    <w:rsid w:val="00D76C61"/>
    <w:rsid w:val="00D77211"/>
    <w:rsid w:val="00D801EF"/>
    <w:rsid w:val="00D80658"/>
    <w:rsid w:val="00D80C4D"/>
    <w:rsid w:val="00D80C52"/>
    <w:rsid w:val="00D8140C"/>
    <w:rsid w:val="00D81E62"/>
    <w:rsid w:val="00D81E92"/>
    <w:rsid w:val="00D82A00"/>
    <w:rsid w:val="00D844C4"/>
    <w:rsid w:val="00D8466B"/>
    <w:rsid w:val="00D84A2E"/>
    <w:rsid w:val="00D856D6"/>
    <w:rsid w:val="00D8646C"/>
    <w:rsid w:val="00D9002D"/>
    <w:rsid w:val="00D9031F"/>
    <w:rsid w:val="00D9044B"/>
    <w:rsid w:val="00D913C2"/>
    <w:rsid w:val="00D91C6F"/>
    <w:rsid w:val="00D920B9"/>
    <w:rsid w:val="00D922CA"/>
    <w:rsid w:val="00D9263A"/>
    <w:rsid w:val="00D952E6"/>
    <w:rsid w:val="00D959E5"/>
    <w:rsid w:val="00D96CC8"/>
    <w:rsid w:val="00D96EAD"/>
    <w:rsid w:val="00D970FA"/>
    <w:rsid w:val="00D9781E"/>
    <w:rsid w:val="00D978C3"/>
    <w:rsid w:val="00DA101F"/>
    <w:rsid w:val="00DA12F9"/>
    <w:rsid w:val="00DA1B9F"/>
    <w:rsid w:val="00DA317A"/>
    <w:rsid w:val="00DA3A23"/>
    <w:rsid w:val="00DA445A"/>
    <w:rsid w:val="00DA4B38"/>
    <w:rsid w:val="00DA5204"/>
    <w:rsid w:val="00DA5C43"/>
    <w:rsid w:val="00DA5ED7"/>
    <w:rsid w:val="00DA6316"/>
    <w:rsid w:val="00DA72F9"/>
    <w:rsid w:val="00DB03C3"/>
    <w:rsid w:val="00DB0A6A"/>
    <w:rsid w:val="00DB0FDC"/>
    <w:rsid w:val="00DB12F3"/>
    <w:rsid w:val="00DB247E"/>
    <w:rsid w:val="00DB7293"/>
    <w:rsid w:val="00DB744F"/>
    <w:rsid w:val="00DC0410"/>
    <w:rsid w:val="00DC0E96"/>
    <w:rsid w:val="00DC143F"/>
    <w:rsid w:val="00DC165B"/>
    <w:rsid w:val="00DC248C"/>
    <w:rsid w:val="00DC337E"/>
    <w:rsid w:val="00DC3E18"/>
    <w:rsid w:val="00DC41A6"/>
    <w:rsid w:val="00DC4A68"/>
    <w:rsid w:val="00DC542B"/>
    <w:rsid w:val="00DC583A"/>
    <w:rsid w:val="00DC5C5D"/>
    <w:rsid w:val="00DC68FD"/>
    <w:rsid w:val="00DC7B8C"/>
    <w:rsid w:val="00DD219D"/>
    <w:rsid w:val="00DD26CB"/>
    <w:rsid w:val="00DD2BEF"/>
    <w:rsid w:val="00DD32C7"/>
    <w:rsid w:val="00DD3AF5"/>
    <w:rsid w:val="00DD3B3C"/>
    <w:rsid w:val="00DD4935"/>
    <w:rsid w:val="00DD4F9E"/>
    <w:rsid w:val="00DD4FC7"/>
    <w:rsid w:val="00DD5591"/>
    <w:rsid w:val="00DD56A4"/>
    <w:rsid w:val="00DD5EB0"/>
    <w:rsid w:val="00DD707C"/>
    <w:rsid w:val="00DE0219"/>
    <w:rsid w:val="00DE03B4"/>
    <w:rsid w:val="00DE1A3C"/>
    <w:rsid w:val="00DE1A58"/>
    <w:rsid w:val="00DE1F21"/>
    <w:rsid w:val="00DE2D5A"/>
    <w:rsid w:val="00DE31E7"/>
    <w:rsid w:val="00DE3F28"/>
    <w:rsid w:val="00DE46BF"/>
    <w:rsid w:val="00DE560F"/>
    <w:rsid w:val="00DE7843"/>
    <w:rsid w:val="00DE7A2F"/>
    <w:rsid w:val="00DE7F69"/>
    <w:rsid w:val="00DF0CF8"/>
    <w:rsid w:val="00DF13DC"/>
    <w:rsid w:val="00DF16CA"/>
    <w:rsid w:val="00DF35AF"/>
    <w:rsid w:val="00DF45D2"/>
    <w:rsid w:val="00DF4EE7"/>
    <w:rsid w:val="00DF5D94"/>
    <w:rsid w:val="00DF661E"/>
    <w:rsid w:val="00DF7418"/>
    <w:rsid w:val="00DF7C6F"/>
    <w:rsid w:val="00E007ED"/>
    <w:rsid w:val="00E00DB3"/>
    <w:rsid w:val="00E020E0"/>
    <w:rsid w:val="00E02169"/>
    <w:rsid w:val="00E02A03"/>
    <w:rsid w:val="00E02A31"/>
    <w:rsid w:val="00E03BF8"/>
    <w:rsid w:val="00E04875"/>
    <w:rsid w:val="00E04F4B"/>
    <w:rsid w:val="00E051D2"/>
    <w:rsid w:val="00E056FF"/>
    <w:rsid w:val="00E06E1C"/>
    <w:rsid w:val="00E071CA"/>
    <w:rsid w:val="00E074E3"/>
    <w:rsid w:val="00E07E71"/>
    <w:rsid w:val="00E100AA"/>
    <w:rsid w:val="00E10EAF"/>
    <w:rsid w:val="00E1186B"/>
    <w:rsid w:val="00E12B45"/>
    <w:rsid w:val="00E133FD"/>
    <w:rsid w:val="00E140F0"/>
    <w:rsid w:val="00E16B52"/>
    <w:rsid w:val="00E16BF4"/>
    <w:rsid w:val="00E17527"/>
    <w:rsid w:val="00E175A9"/>
    <w:rsid w:val="00E20339"/>
    <w:rsid w:val="00E20518"/>
    <w:rsid w:val="00E2069A"/>
    <w:rsid w:val="00E20B91"/>
    <w:rsid w:val="00E210E9"/>
    <w:rsid w:val="00E213EF"/>
    <w:rsid w:val="00E21CF5"/>
    <w:rsid w:val="00E2202E"/>
    <w:rsid w:val="00E22195"/>
    <w:rsid w:val="00E22E2C"/>
    <w:rsid w:val="00E22F8A"/>
    <w:rsid w:val="00E2571B"/>
    <w:rsid w:val="00E2581D"/>
    <w:rsid w:val="00E266F7"/>
    <w:rsid w:val="00E275E8"/>
    <w:rsid w:val="00E27EC0"/>
    <w:rsid w:val="00E306D7"/>
    <w:rsid w:val="00E30C26"/>
    <w:rsid w:val="00E32711"/>
    <w:rsid w:val="00E32DB1"/>
    <w:rsid w:val="00E337EA"/>
    <w:rsid w:val="00E33946"/>
    <w:rsid w:val="00E33C06"/>
    <w:rsid w:val="00E3426C"/>
    <w:rsid w:val="00E34368"/>
    <w:rsid w:val="00E34C0F"/>
    <w:rsid w:val="00E367E1"/>
    <w:rsid w:val="00E36EA8"/>
    <w:rsid w:val="00E4068D"/>
    <w:rsid w:val="00E41FFC"/>
    <w:rsid w:val="00E442C3"/>
    <w:rsid w:val="00E4465F"/>
    <w:rsid w:val="00E44AF1"/>
    <w:rsid w:val="00E44B63"/>
    <w:rsid w:val="00E45A7F"/>
    <w:rsid w:val="00E45BD2"/>
    <w:rsid w:val="00E45D8B"/>
    <w:rsid w:val="00E4794A"/>
    <w:rsid w:val="00E50380"/>
    <w:rsid w:val="00E503BD"/>
    <w:rsid w:val="00E51168"/>
    <w:rsid w:val="00E523E8"/>
    <w:rsid w:val="00E53CCC"/>
    <w:rsid w:val="00E548FC"/>
    <w:rsid w:val="00E5599D"/>
    <w:rsid w:val="00E55BBB"/>
    <w:rsid w:val="00E55CA7"/>
    <w:rsid w:val="00E5624C"/>
    <w:rsid w:val="00E56A61"/>
    <w:rsid w:val="00E56D35"/>
    <w:rsid w:val="00E56DB3"/>
    <w:rsid w:val="00E57327"/>
    <w:rsid w:val="00E57B2A"/>
    <w:rsid w:val="00E57FA2"/>
    <w:rsid w:val="00E600E4"/>
    <w:rsid w:val="00E601F6"/>
    <w:rsid w:val="00E6091C"/>
    <w:rsid w:val="00E61588"/>
    <w:rsid w:val="00E64922"/>
    <w:rsid w:val="00E6494D"/>
    <w:rsid w:val="00E64D0F"/>
    <w:rsid w:val="00E64F59"/>
    <w:rsid w:val="00E656C2"/>
    <w:rsid w:val="00E65750"/>
    <w:rsid w:val="00E65F4F"/>
    <w:rsid w:val="00E664A9"/>
    <w:rsid w:val="00E66B74"/>
    <w:rsid w:val="00E67016"/>
    <w:rsid w:val="00E6701B"/>
    <w:rsid w:val="00E70F64"/>
    <w:rsid w:val="00E71776"/>
    <w:rsid w:val="00E71A53"/>
    <w:rsid w:val="00E71F6F"/>
    <w:rsid w:val="00E72AC3"/>
    <w:rsid w:val="00E7336D"/>
    <w:rsid w:val="00E74198"/>
    <w:rsid w:val="00E7496E"/>
    <w:rsid w:val="00E74A85"/>
    <w:rsid w:val="00E75073"/>
    <w:rsid w:val="00E75113"/>
    <w:rsid w:val="00E75994"/>
    <w:rsid w:val="00E76A4D"/>
    <w:rsid w:val="00E76BBE"/>
    <w:rsid w:val="00E76BC7"/>
    <w:rsid w:val="00E770F5"/>
    <w:rsid w:val="00E77DA0"/>
    <w:rsid w:val="00E77DC0"/>
    <w:rsid w:val="00E802B4"/>
    <w:rsid w:val="00E81848"/>
    <w:rsid w:val="00E8306F"/>
    <w:rsid w:val="00E83C91"/>
    <w:rsid w:val="00E8494F"/>
    <w:rsid w:val="00E84A30"/>
    <w:rsid w:val="00E84E8B"/>
    <w:rsid w:val="00E85093"/>
    <w:rsid w:val="00E87B5A"/>
    <w:rsid w:val="00E91A50"/>
    <w:rsid w:val="00E9241E"/>
    <w:rsid w:val="00E93709"/>
    <w:rsid w:val="00E93C8E"/>
    <w:rsid w:val="00E94D7F"/>
    <w:rsid w:val="00E9542C"/>
    <w:rsid w:val="00E96040"/>
    <w:rsid w:val="00E962FF"/>
    <w:rsid w:val="00E96A3D"/>
    <w:rsid w:val="00E96A4B"/>
    <w:rsid w:val="00E9756A"/>
    <w:rsid w:val="00E9798D"/>
    <w:rsid w:val="00EA0088"/>
    <w:rsid w:val="00EA0315"/>
    <w:rsid w:val="00EA0A5C"/>
    <w:rsid w:val="00EA0BD4"/>
    <w:rsid w:val="00EA126C"/>
    <w:rsid w:val="00EA2243"/>
    <w:rsid w:val="00EA239D"/>
    <w:rsid w:val="00EA2528"/>
    <w:rsid w:val="00EA30A7"/>
    <w:rsid w:val="00EA313A"/>
    <w:rsid w:val="00EA3EBC"/>
    <w:rsid w:val="00EA450C"/>
    <w:rsid w:val="00EA532C"/>
    <w:rsid w:val="00EA5730"/>
    <w:rsid w:val="00EA5E8B"/>
    <w:rsid w:val="00EA6023"/>
    <w:rsid w:val="00EA6AEA"/>
    <w:rsid w:val="00EA731B"/>
    <w:rsid w:val="00EA7B6F"/>
    <w:rsid w:val="00EA7E09"/>
    <w:rsid w:val="00EB1006"/>
    <w:rsid w:val="00EB1513"/>
    <w:rsid w:val="00EB2B0C"/>
    <w:rsid w:val="00EB2BD1"/>
    <w:rsid w:val="00EB55E8"/>
    <w:rsid w:val="00EB5C11"/>
    <w:rsid w:val="00EB63CF"/>
    <w:rsid w:val="00EB6DA8"/>
    <w:rsid w:val="00EB7185"/>
    <w:rsid w:val="00EB762F"/>
    <w:rsid w:val="00EC1647"/>
    <w:rsid w:val="00EC1E80"/>
    <w:rsid w:val="00EC23B3"/>
    <w:rsid w:val="00EC317C"/>
    <w:rsid w:val="00EC3E66"/>
    <w:rsid w:val="00EC4BB9"/>
    <w:rsid w:val="00EC4E0E"/>
    <w:rsid w:val="00EC6048"/>
    <w:rsid w:val="00EC63AF"/>
    <w:rsid w:val="00EC7E70"/>
    <w:rsid w:val="00ED1215"/>
    <w:rsid w:val="00ED1CD2"/>
    <w:rsid w:val="00ED24C8"/>
    <w:rsid w:val="00ED2783"/>
    <w:rsid w:val="00ED2A28"/>
    <w:rsid w:val="00ED3963"/>
    <w:rsid w:val="00ED39D2"/>
    <w:rsid w:val="00ED39FD"/>
    <w:rsid w:val="00ED45E5"/>
    <w:rsid w:val="00ED4A9C"/>
    <w:rsid w:val="00ED5262"/>
    <w:rsid w:val="00ED5663"/>
    <w:rsid w:val="00ED67B0"/>
    <w:rsid w:val="00ED6AD0"/>
    <w:rsid w:val="00ED7C0C"/>
    <w:rsid w:val="00EE0A0C"/>
    <w:rsid w:val="00EE11B5"/>
    <w:rsid w:val="00EE1DD3"/>
    <w:rsid w:val="00EE3075"/>
    <w:rsid w:val="00EE4218"/>
    <w:rsid w:val="00EE5094"/>
    <w:rsid w:val="00EE61BA"/>
    <w:rsid w:val="00EE73FF"/>
    <w:rsid w:val="00EE7C56"/>
    <w:rsid w:val="00EF0911"/>
    <w:rsid w:val="00EF0B3F"/>
    <w:rsid w:val="00EF1119"/>
    <w:rsid w:val="00EF30F1"/>
    <w:rsid w:val="00EF36AE"/>
    <w:rsid w:val="00EF3C85"/>
    <w:rsid w:val="00EF3D5B"/>
    <w:rsid w:val="00EF414C"/>
    <w:rsid w:val="00EF440D"/>
    <w:rsid w:val="00EF4C8B"/>
    <w:rsid w:val="00EF4C8F"/>
    <w:rsid w:val="00EF4F38"/>
    <w:rsid w:val="00EF5D2A"/>
    <w:rsid w:val="00EF5FB9"/>
    <w:rsid w:val="00EF6D71"/>
    <w:rsid w:val="00EF6DD9"/>
    <w:rsid w:val="00EF702F"/>
    <w:rsid w:val="00EF7E4B"/>
    <w:rsid w:val="00F000FE"/>
    <w:rsid w:val="00F00B1B"/>
    <w:rsid w:val="00F00E1D"/>
    <w:rsid w:val="00F00F0F"/>
    <w:rsid w:val="00F01FBB"/>
    <w:rsid w:val="00F029B2"/>
    <w:rsid w:val="00F02F02"/>
    <w:rsid w:val="00F04E61"/>
    <w:rsid w:val="00F053D7"/>
    <w:rsid w:val="00F05B78"/>
    <w:rsid w:val="00F05D64"/>
    <w:rsid w:val="00F05FB9"/>
    <w:rsid w:val="00F06439"/>
    <w:rsid w:val="00F0652F"/>
    <w:rsid w:val="00F07194"/>
    <w:rsid w:val="00F10C60"/>
    <w:rsid w:val="00F113D2"/>
    <w:rsid w:val="00F1346C"/>
    <w:rsid w:val="00F140D8"/>
    <w:rsid w:val="00F148AF"/>
    <w:rsid w:val="00F14A41"/>
    <w:rsid w:val="00F14E1B"/>
    <w:rsid w:val="00F1562D"/>
    <w:rsid w:val="00F15891"/>
    <w:rsid w:val="00F1645A"/>
    <w:rsid w:val="00F16736"/>
    <w:rsid w:val="00F16F6F"/>
    <w:rsid w:val="00F2063B"/>
    <w:rsid w:val="00F20F5F"/>
    <w:rsid w:val="00F21133"/>
    <w:rsid w:val="00F21C95"/>
    <w:rsid w:val="00F21D58"/>
    <w:rsid w:val="00F2400F"/>
    <w:rsid w:val="00F24CA3"/>
    <w:rsid w:val="00F253A8"/>
    <w:rsid w:val="00F265C2"/>
    <w:rsid w:val="00F2672B"/>
    <w:rsid w:val="00F277C8"/>
    <w:rsid w:val="00F278AA"/>
    <w:rsid w:val="00F2792D"/>
    <w:rsid w:val="00F30884"/>
    <w:rsid w:val="00F3091C"/>
    <w:rsid w:val="00F310DB"/>
    <w:rsid w:val="00F3184F"/>
    <w:rsid w:val="00F32116"/>
    <w:rsid w:val="00F32C3C"/>
    <w:rsid w:val="00F3331B"/>
    <w:rsid w:val="00F33D31"/>
    <w:rsid w:val="00F34720"/>
    <w:rsid w:val="00F34735"/>
    <w:rsid w:val="00F35355"/>
    <w:rsid w:val="00F35B4F"/>
    <w:rsid w:val="00F36560"/>
    <w:rsid w:val="00F40711"/>
    <w:rsid w:val="00F40A3C"/>
    <w:rsid w:val="00F4140F"/>
    <w:rsid w:val="00F4145B"/>
    <w:rsid w:val="00F416A7"/>
    <w:rsid w:val="00F41A88"/>
    <w:rsid w:val="00F41B5C"/>
    <w:rsid w:val="00F426C6"/>
    <w:rsid w:val="00F43733"/>
    <w:rsid w:val="00F43B30"/>
    <w:rsid w:val="00F43BE7"/>
    <w:rsid w:val="00F444AB"/>
    <w:rsid w:val="00F45732"/>
    <w:rsid w:val="00F45AC9"/>
    <w:rsid w:val="00F466D0"/>
    <w:rsid w:val="00F474DF"/>
    <w:rsid w:val="00F50767"/>
    <w:rsid w:val="00F50C97"/>
    <w:rsid w:val="00F51376"/>
    <w:rsid w:val="00F51A6C"/>
    <w:rsid w:val="00F51D25"/>
    <w:rsid w:val="00F522E9"/>
    <w:rsid w:val="00F54067"/>
    <w:rsid w:val="00F54F12"/>
    <w:rsid w:val="00F559A0"/>
    <w:rsid w:val="00F561B2"/>
    <w:rsid w:val="00F5726E"/>
    <w:rsid w:val="00F57D6B"/>
    <w:rsid w:val="00F57DFF"/>
    <w:rsid w:val="00F608E5"/>
    <w:rsid w:val="00F61175"/>
    <w:rsid w:val="00F6209A"/>
    <w:rsid w:val="00F62371"/>
    <w:rsid w:val="00F629A5"/>
    <w:rsid w:val="00F6434A"/>
    <w:rsid w:val="00F64BA4"/>
    <w:rsid w:val="00F65E03"/>
    <w:rsid w:val="00F662F8"/>
    <w:rsid w:val="00F669BF"/>
    <w:rsid w:val="00F670BE"/>
    <w:rsid w:val="00F67146"/>
    <w:rsid w:val="00F725A2"/>
    <w:rsid w:val="00F733A1"/>
    <w:rsid w:val="00F73AAF"/>
    <w:rsid w:val="00F73BFC"/>
    <w:rsid w:val="00F74756"/>
    <w:rsid w:val="00F7521B"/>
    <w:rsid w:val="00F77B01"/>
    <w:rsid w:val="00F8099B"/>
    <w:rsid w:val="00F819B8"/>
    <w:rsid w:val="00F83143"/>
    <w:rsid w:val="00F835B6"/>
    <w:rsid w:val="00F85099"/>
    <w:rsid w:val="00F85943"/>
    <w:rsid w:val="00F872B4"/>
    <w:rsid w:val="00F900F5"/>
    <w:rsid w:val="00F9195B"/>
    <w:rsid w:val="00F926C4"/>
    <w:rsid w:val="00F927D0"/>
    <w:rsid w:val="00F936A1"/>
    <w:rsid w:val="00F93DF1"/>
    <w:rsid w:val="00F9506D"/>
    <w:rsid w:val="00F9592F"/>
    <w:rsid w:val="00F95BE3"/>
    <w:rsid w:val="00F95D56"/>
    <w:rsid w:val="00F95D93"/>
    <w:rsid w:val="00F96153"/>
    <w:rsid w:val="00F968D2"/>
    <w:rsid w:val="00FA0443"/>
    <w:rsid w:val="00FA0611"/>
    <w:rsid w:val="00FA0877"/>
    <w:rsid w:val="00FA0BE7"/>
    <w:rsid w:val="00FA1058"/>
    <w:rsid w:val="00FA1262"/>
    <w:rsid w:val="00FA2D77"/>
    <w:rsid w:val="00FA366B"/>
    <w:rsid w:val="00FA3B3F"/>
    <w:rsid w:val="00FA40F8"/>
    <w:rsid w:val="00FA4182"/>
    <w:rsid w:val="00FA4339"/>
    <w:rsid w:val="00FA4390"/>
    <w:rsid w:val="00FA4527"/>
    <w:rsid w:val="00FA4821"/>
    <w:rsid w:val="00FA4BE3"/>
    <w:rsid w:val="00FA58E8"/>
    <w:rsid w:val="00FA6315"/>
    <w:rsid w:val="00FA7516"/>
    <w:rsid w:val="00FA7A06"/>
    <w:rsid w:val="00FB074C"/>
    <w:rsid w:val="00FB0990"/>
    <w:rsid w:val="00FB2790"/>
    <w:rsid w:val="00FB3134"/>
    <w:rsid w:val="00FB4416"/>
    <w:rsid w:val="00FB46AA"/>
    <w:rsid w:val="00FB5ADD"/>
    <w:rsid w:val="00FB5EC4"/>
    <w:rsid w:val="00FB6641"/>
    <w:rsid w:val="00FB7415"/>
    <w:rsid w:val="00FB7660"/>
    <w:rsid w:val="00FB7C07"/>
    <w:rsid w:val="00FB7E0D"/>
    <w:rsid w:val="00FC0160"/>
    <w:rsid w:val="00FC16A5"/>
    <w:rsid w:val="00FC304B"/>
    <w:rsid w:val="00FC3A6D"/>
    <w:rsid w:val="00FC4284"/>
    <w:rsid w:val="00FC4BD3"/>
    <w:rsid w:val="00FC54B7"/>
    <w:rsid w:val="00FC793D"/>
    <w:rsid w:val="00FC7C66"/>
    <w:rsid w:val="00FC7FF8"/>
    <w:rsid w:val="00FD2380"/>
    <w:rsid w:val="00FD2E15"/>
    <w:rsid w:val="00FD35F3"/>
    <w:rsid w:val="00FD4074"/>
    <w:rsid w:val="00FD4697"/>
    <w:rsid w:val="00FD6D9E"/>
    <w:rsid w:val="00FE023F"/>
    <w:rsid w:val="00FE0E81"/>
    <w:rsid w:val="00FE1563"/>
    <w:rsid w:val="00FE1861"/>
    <w:rsid w:val="00FE377A"/>
    <w:rsid w:val="00FE3C43"/>
    <w:rsid w:val="00FE3E25"/>
    <w:rsid w:val="00FE465E"/>
    <w:rsid w:val="00FE482F"/>
    <w:rsid w:val="00FE4AA8"/>
    <w:rsid w:val="00FE55C4"/>
    <w:rsid w:val="00FE6463"/>
    <w:rsid w:val="00FE6853"/>
    <w:rsid w:val="00FE7B27"/>
    <w:rsid w:val="00FE7E5D"/>
    <w:rsid w:val="00FF1F07"/>
    <w:rsid w:val="00FF3315"/>
    <w:rsid w:val="00FF3A3D"/>
    <w:rsid w:val="00FF45BF"/>
    <w:rsid w:val="00FF5053"/>
    <w:rsid w:val="00FF5CE9"/>
    <w:rsid w:val="00FF7090"/>
    <w:rsid w:val="00FF70FB"/>
    <w:rsid w:val="00FF768C"/>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4E5CCD"/>
  <w15:docId w15:val="{166D4C9C-651A-4C00-9884-A2176ED4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5C9"/>
    <w:pPr>
      <w:spacing w:after="0" w:line="240" w:lineRule="auto"/>
    </w:pPr>
    <w:rPr>
      <w:rFonts w:ascii="Times New Roman" w:eastAsia="Times New Roman" w:hAnsi="Times New Roman" w:cs="Times New Roman"/>
      <w:sz w:val="24"/>
      <w:szCs w:val="24"/>
      <w:lang w:eastAsia="es-MX"/>
    </w:rPr>
  </w:style>
  <w:style w:type="paragraph" w:styleId="Heading2">
    <w:name w:val="heading 2"/>
    <w:basedOn w:val="Normal"/>
    <w:next w:val="Normal"/>
    <w:link w:val="Heading2Char"/>
    <w:uiPriority w:val="9"/>
    <w:unhideWhenUsed/>
    <w:qFormat/>
    <w:rsid w:val="00A57B6C"/>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titulo 3,Ha,Párrafo de lista2,Bullets,Lista vistosa - Énfasis 11,Cuadrícula clara - Énfasis 31,Párrafo de lista1,List Paragraph1,Dot pt,F5 List Paragraph,No Spacing1,List Paragraph Char Char Char,Indicator Text,l,lp1"/>
    <w:basedOn w:val="Normal"/>
    <w:link w:val="ListParagraphChar"/>
    <w:uiPriority w:val="34"/>
    <w:qFormat/>
    <w:rsid w:val="00885A2F"/>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885A2F"/>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t,Footnote Text Char Char Char Char Char,Footnote Text Char Char Char Char,Footnote reference,FA Fu,texto de nota al pie,Footnote Text Char Char Char,Texto nota pie Car Car Car Car Car Car,Texto nota pie Car Car Car Car Car,fn,Car,Char"/>
    <w:basedOn w:val="Normal"/>
    <w:link w:val="FootnoteTextChar"/>
    <w:uiPriority w:val="99"/>
    <w:unhideWhenUsed/>
    <w:qFormat/>
    <w:rsid w:val="00675DD3"/>
    <w:rPr>
      <w:rFonts w:asciiTheme="minorHAnsi" w:eastAsiaTheme="minorHAnsi" w:hAnsiTheme="minorHAnsi" w:cstheme="minorBidi"/>
      <w:sz w:val="20"/>
      <w:szCs w:val="20"/>
      <w:lang w:eastAsia="en-US"/>
    </w:rPr>
  </w:style>
  <w:style w:type="character" w:customStyle="1" w:styleId="FootnoteTextChar">
    <w:name w:val="Footnote Text Char"/>
    <w:aliases w:val="ft Char,Footnote Text Char Char Char Char Char Char,Footnote Text Char Char Char Char Char1,Footnote reference Char,FA Fu Char,texto de nota al pie Char,Footnote Text Char Char Char Char1,Texto nota pie Car Car Car Car Car Car Char"/>
    <w:basedOn w:val="DefaultParagraphFont"/>
    <w:link w:val="FootnoteText"/>
    <w:uiPriority w:val="99"/>
    <w:rsid w:val="00675DD3"/>
    <w:rPr>
      <w:sz w:val="20"/>
      <w:szCs w:val="20"/>
    </w:rPr>
  </w:style>
  <w:style w:type="character" w:styleId="FootnoteReference">
    <w:name w:val="footnote reference"/>
    <w:aliases w:val="Ref. de nota al pie 2,Texto de nota al pie,Appel note de bas de page,referencia nota al pie,BVI fnr,Footnote symbol,Footnote,Ref. de nota al pie2,Nota de pie,Ref,de nota al pie,Pie de pagina,Ref. ...,Ref1,FC,Footnotes refss,f,4_G,o"/>
    <w:basedOn w:val="DefaultParagraphFont"/>
    <w:link w:val="Char2"/>
    <w:uiPriority w:val="99"/>
    <w:unhideWhenUsed/>
    <w:qFormat/>
    <w:rsid w:val="00675DD3"/>
    <w:rPr>
      <w:vertAlign w:val="superscript"/>
    </w:rPr>
  </w:style>
  <w:style w:type="paragraph" w:customStyle="1" w:styleId="Char2">
    <w:name w:val="Char2"/>
    <w:basedOn w:val="Normal"/>
    <w:link w:val="FootnoteReference"/>
    <w:uiPriority w:val="99"/>
    <w:rsid w:val="00675DD3"/>
    <w:pPr>
      <w:spacing w:after="160" w:line="240" w:lineRule="exact"/>
    </w:pPr>
    <w:rPr>
      <w:rFonts w:asciiTheme="minorHAnsi" w:eastAsiaTheme="minorHAnsi" w:hAnsiTheme="minorHAnsi" w:cstheme="minorBidi"/>
      <w:sz w:val="22"/>
      <w:szCs w:val="22"/>
      <w:vertAlign w:val="superscript"/>
      <w:lang w:eastAsia="en-US"/>
    </w:rPr>
  </w:style>
  <w:style w:type="character" w:styleId="CommentReference">
    <w:name w:val="annotation reference"/>
    <w:basedOn w:val="DefaultParagraphFont"/>
    <w:uiPriority w:val="99"/>
    <w:semiHidden/>
    <w:unhideWhenUsed/>
    <w:rsid w:val="00F466D0"/>
    <w:rPr>
      <w:sz w:val="16"/>
      <w:szCs w:val="16"/>
    </w:rPr>
  </w:style>
  <w:style w:type="paragraph" w:styleId="CommentText">
    <w:name w:val="annotation text"/>
    <w:basedOn w:val="Normal"/>
    <w:link w:val="CommentTextChar"/>
    <w:uiPriority w:val="99"/>
    <w:unhideWhenUsed/>
    <w:rsid w:val="00F466D0"/>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F466D0"/>
    <w:rPr>
      <w:sz w:val="20"/>
      <w:szCs w:val="20"/>
    </w:rPr>
  </w:style>
  <w:style w:type="paragraph" w:styleId="CommentSubject">
    <w:name w:val="annotation subject"/>
    <w:basedOn w:val="CommentText"/>
    <w:next w:val="CommentText"/>
    <w:link w:val="CommentSubjectChar"/>
    <w:uiPriority w:val="99"/>
    <w:semiHidden/>
    <w:unhideWhenUsed/>
    <w:rsid w:val="00F466D0"/>
    <w:rPr>
      <w:b/>
      <w:bCs/>
    </w:rPr>
  </w:style>
  <w:style w:type="character" w:customStyle="1" w:styleId="CommentSubjectChar">
    <w:name w:val="Comment Subject Char"/>
    <w:basedOn w:val="CommentTextChar"/>
    <w:link w:val="CommentSubject"/>
    <w:uiPriority w:val="99"/>
    <w:semiHidden/>
    <w:rsid w:val="00F466D0"/>
    <w:rPr>
      <w:b/>
      <w:bCs/>
      <w:sz w:val="20"/>
      <w:szCs w:val="20"/>
    </w:rPr>
  </w:style>
  <w:style w:type="paragraph" w:styleId="BalloonText">
    <w:name w:val="Balloon Text"/>
    <w:basedOn w:val="Normal"/>
    <w:link w:val="BalloonTextChar"/>
    <w:uiPriority w:val="99"/>
    <w:semiHidden/>
    <w:unhideWhenUsed/>
    <w:rsid w:val="00F466D0"/>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F466D0"/>
    <w:rPr>
      <w:rFonts w:ascii="Segoe UI" w:hAnsi="Segoe UI" w:cs="Segoe UI"/>
      <w:sz w:val="18"/>
      <w:szCs w:val="18"/>
    </w:rPr>
  </w:style>
  <w:style w:type="character" w:customStyle="1" w:styleId="Heading2Char">
    <w:name w:val="Heading 2 Char"/>
    <w:basedOn w:val="DefaultParagraphFont"/>
    <w:link w:val="Heading2"/>
    <w:uiPriority w:val="9"/>
    <w:rsid w:val="00A57B6C"/>
    <w:rPr>
      <w:rFonts w:asciiTheme="majorHAnsi" w:eastAsiaTheme="majorEastAsia" w:hAnsiTheme="majorHAnsi" w:cstheme="majorBidi"/>
      <w:color w:val="2E74B5" w:themeColor="accent1" w:themeShade="BF"/>
      <w:sz w:val="26"/>
      <w:szCs w:val="26"/>
      <w:lang w:val="es-ES"/>
    </w:rPr>
  </w:style>
  <w:style w:type="paragraph" w:styleId="Header">
    <w:name w:val="header"/>
    <w:basedOn w:val="Normal"/>
    <w:link w:val="HeaderChar"/>
    <w:uiPriority w:val="99"/>
    <w:unhideWhenUsed/>
    <w:rsid w:val="00A168CB"/>
    <w:pPr>
      <w:tabs>
        <w:tab w:val="center" w:pos="4419"/>
        <w:tab w:val="right" w:pos="8838"/>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168CB"/>
  </w:style>
  <w:style w:type="paragraph" w:styleId="Footer">
    <w:name w:val="footer"/>
    <w:basedOn w:val="Normal"/>
    <w:link w:val="FooterChar"/>
    <w:uiPriority w:val="99"/>
    <w:unhideWhenUsed/>
    <w:rsid w:val="00A168CB"/>
    <w:pPr>
      <w:tabs>
        <w:tab w:val="center" w:pos="4419"/>
        <w:tab w:val="right" w:pos="8838"/>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168CB"/>
  </w:style>
  <w:style w:type="character" w:styleId="Hyperlink">
    <w:name w:val="Hyperlink"/>
    <w:basedOn w:val="DefaultParagraphFont"/>
    <w:uiPriority w:val="99"/>
    <w:unhideWhenUsed/>
    <w:rsid w:val="007103C0"/>
    <w:rPr>
      <w:color w:val="0563C1" w:themeColor="hyperlink"/>
      <w:u w:val="single"/>
    </w:rPr>
  </w:style>
  <w:style w:type="paragraph" w:styleId="NormalWeb">
    <w:name w:val="Normal (Web)"/>
    <w:basedOn w:val="Normal"/>
    <w:uiPriority w:val="99"/>
    <w:unhideWhenUsed/>
    <w:rsid w:val="009E75FF"/>
    <w:rPr>
      <w:rFonts w:ascii="Calibri" w:eastAsiaTheme="minorHAnsi" w:hAnsi="Calibri" w:cs="Calibri"/>
      <w:sz w:val="22"/>
      <w:szCs w:val="22"/>
      <w:lang w:eastAsia="es-CO"/>
    </w:rPr>
  </w:style>
  <w:style w:type="paragraph" w:styleId="Revision">
    <w:name w:val="Revision"/>
    <w:hidden/>
    <w:uiPriority w:val="99"/>
    <w:semiHidden/>
    <w:rsid w:val="00F50C97"/>
    <w:pPr>
      <w:spacing w:after="0" w:line="240" w:lineRule="auto"/>
    </w:pPr>
  </w:style>
  <w:style w:type="table" w:styleId="TableGrid">
    <w:name w:val="Table Grid"/>
    <w:basedOn w:val="TableNormal"/>
    <w:uiPriority w:val="39"/>
    <w:rsid w:val="00874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0160FE"/>
  </w:style>
  <w:style w:type="paragraph" w:styleId="NoSpacing">
    <w:name w:val="No Spacing"/>
    <w:uiPriority w:val="1"/>
    <w:qFormat/>
    <w:rsid w:val="000160FE"/>
    <w:pPr>
      <w:spacing w:after="0" w:line="240" w:lineRule="auto"/>
    </w:pPr>
  </w:style>
  <w:style w:type="character" w:customStyle="1" w:styleId="ListParagraphChar">
    <w:name w:val="List Paragraph Char"/>
    <w:aliases w:val="List Char,titulo 3 Char,Ha Char,Párrafo de lista2 Char,Bullets Char,Lista vistosa - Énfasis 11 Char,Cuadrícula clara - Énfasis 31 Char,Párrafo de lista1 Char,List Paragraph1 Char,Dot pt Char,F5 List Paragraph Char,No Spacing1 Char"/>
    <w:link w:val="ListParagraph"/>
    <w:uiPriority w:val="99"/>
    <w:qFormat/>
    <w:locked/>
    <w:rsid w:val="00181C64"/>
  </w:style>
  <w:style w:type="paragraph" w:customStyle="1" w:styleId="paragraph">
    <w:name w:val="paragraph"/>
    <w:basedOn w:val="Normal"/>
    <w:rsid w:val="008169AD"/>
    <w:pPr>
      <w:spacing w:before="100" w:beforeAutospacing="1" w:after="100" w:afterAutospacing="1"/>
    </w:pPr>
    <w:rPr>
      <w:lang w:eastAsia="es-CO"/>
    </w:rPr>
  </w:style>
  <w:style w:type="character" w:customStyle="1" w:styleId="normaltextrun">
    <w:name w:val="normaltextrun"/>
    <w:basedOn w:val="DefaultParagraphFont"/>
    <w:rsid w:val="008169AD"/>
  </w:style>
  <w:style w:type="paragraph" w:customStyle="1" w:styleId="xmsonormal">
    <w:name w:val="x_msonormal"/>
    <w:basedOn w:val="Normal"/>
    <w:rsid w:val="003334C0"/>
    <w:pPr>
      <w:spacing w:before="100" w:beforeAutospacing="1" w:after="100" w:afterAutospacing="1"/>
    </w:pPr>
    <w:rPr>
      <w:lang w:val="en-US" w:eastAsia="en-US"/>
    </w:rPr>
  </w:style>
  <w:style w:type="character" w:styleId="FollowedHyperlink">
    <w:name w:val="FollowedHyperlink"/>
    <w:basedOn w:val="DefaultParagraphFont"/>
    <w:uiPriority w:val="99"/>
    <w:semiHidden/>
    <w:unhideWhenUsed/>
    <w:rsid w:val="00F16F6F"/>
    <w:rPr>
      <w:color w:val="954F72" w:themeColor="followedHyperlink"/>
      <w:u w:val="single"/>
    </w:rPr>
  </w:style>
  <w:style w:type="character" w:customStyle="1" w:styleId="Mencinsinresolver1">
    <w:name w:val="Mención sin resolver1"/>
    <w:basedOn w:val="DefaultParagraphFont"/>
    <w:uiPriority w:val="99"/>
    <w:semiHidden/>
    <w:unhideWhenUsed/>
    <w:rsid w:val="000437B5"/>
    <w:rPr>
      <w:color w:val="605E5C"/>
      <w:shd w:val="clear" w:color="auto" w:fill="E1DFDD"/>
    </w:rPr>
  </w:style>
  <w:style w:type="character" w:customStyle="1" w:styleId="Mencinsinresolver2">
    <w:name w:val="Mención sin resolver2"/>
    <w:basedOn w:val="DefaultParagraphFont"/>
    <w:uiPriority w:val="99"/>
    <w:semiHidden/>
    <w:unhideWhenUsed/>
    <w:rsid w:val="00DB0A6A"/>
    <w:rPr>
      <w:color w:val="605E5C"/>
      <w:shd w:val="clear" w:color="auto" w:fill="E1DFDD"/>
    </w:rPr>
  </w:style>
  <w:style w:type="character" w:styleId="PageNumber">
    <w:name w:val="page number"/>
    <w:basedOn w:val="DefaultParagraphFont"/>
    <w:uiPriority w:val="99"/>
    <w:semiHidden/>
    <w:unhideWhenUsed/>
    <w:rsid w:val="00144D0D"/>
  </w:style>
  <w:style w:type="character" w:customStyle="1" w:styleId="Mencinsinresolver3">
    <w:name w:val="Mención sin resolver3"/>
    <w:basedOn w:val="DefaultParagraphFont"/>
    <w:uiPriority w:val="99"/>
    <w:semiHidden/>
    <w:unhideWhenUsed/>
    <w:rsid w:val="00A450F8"/>
    <w:rPr>
      <w:color w:val="605E5C"/>
      <w:shd w:val="clear" w:color="auto" w:fill="E1DFDD"/>
    </w:rPr>
  </w:style>
  <w:style w:type="character" w:styleId="UnresolvedMention">
    <w:name w:val="Unresolved Mention"/>
    <w:basedOn w:val="DefaultParagraphFont"/>
    <w:uiPriority w:val="99"/>
    <w:semiHidden/>
    <w:unhideWhenUsed/>
    <w:rsid w:val="00744C46"/>
    <w:rPr>
      <w:color w:val="605E5C"/>
      <w:shd w:val="clear" w:color="auto" w:fill="E1DFDD"/>
    </w:rPr>
  </w:style>
  <w:style w:type="paragraph" w:styleId="ListBullet">
    <w:name w:val="List Bullet"/>
    <w:basedOn w:val="Normal"/>
    <w:uiPriority w:val="99"/>
    <w:unhideWhenUsed/>
    <w:rsid w:val="0040752D"/>
    <w:pPr>
      <w:numPr>
        <w:numId w:val="2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3665">
      <w:bodyDiv w:val="1"/>
      <w:marLeft w:val="0"/>
      <w:marRight w:val="0"/>
      <w:marTop w:val="0"/>
      <w:marBottom w:val="0"/>
      <w:divBdr>
        <w:top w:val="none" w:sz="0" w:space="0" w:color="auto"/>
        <w:left w:val="none" w:sz="0" w:space="0" w:color="auto"/>
        <w:bottom w:val="none" w:sz="0" w:space="0" w:color="auto"/>
        <w:right w:val="none" w:sz="0" w:space="0" w:color="auto"/>
      </w:divBdr>
      <w:divsChild>
        <w:div w:id="499853642">
          <w:marLeft w:val="0"/>
          <w:marRight w:val="0"/>
          <w:marTop w:val="0"/>
          <w:marBottom w:val="0"/>
          <w:divBdr>
            <w:top w:val="none" w:sz="0" w:space="0" w:color="auto"/>
            <w:left w:val="none" w:sz="0" w:space="0" w:color="auto"/>
            <w:bottom w:val="none" w:sz="0" w:space="0" w:color="auto"/>
            <w:right w:val="none" w:sz="0" w:space="0" w:color="auto"/>
          </w:divBdr>
        </w:div>
      </w:divsChild>
    </w:div>
    <w:div w:id="61106616">
      <w:bodyDiv w:val="1"/>
      <w:marLeft w:val="0"/>
      <w:marRight w:val="0"/>
      <w:marTop w:val="0"/>
      <w:marBottom w:val="0"/>
      <w:divBdr>
        <w:top w:val="none" w:sz="0" w:space="0" w:color="auto"/>
        <w:left w:val="none" w:sz="0" w:space="0" w:color="auto"/>
        <w:bottom w:val="none" w:sz="0" w:space="0" w:color="auto"/>
        <w:right w:val="none" w:sz="0" w:space="0" w:color="auto"/>
      </w:divBdr>
    </w:div>
    <w:div w:id="104738912">
      <w:bodyDiv w:val="1"/>
      <w:marLeft w:val="0"/>
      <w:marRight w:val="0"/>
      <w:marTop w:val="0"/>
      <w:marBottom w:val="0"/>
      <w:divBdr>
        <w:top w:val="none" w:sz="0" w:space="0" w:color="auto"/>
        <w:left w:val="none" w:sz="0" w:space="0" w:color="auto"/>
        <w:bottom w:val="none" w:sz="0" w:space="0" w:color="auto"/>
        <w:right w:val="none" w:sz="0" w:space="0" w:color="auto"/>
      </w:divBdr>
    </w:div>
    <w:div w:id="140854693">
      <w:bodyDiv w:val="1"/>
      <w:marLeft w:val="0"/>
      <w:marRight w:val="0"/>
      <w:marTop w:val="0"/>
      <w:marBottom w:val="0"/>
      <w:divBdr>
        <w:top w:val="none" w:sz="0" w:space="0" w:color="auto"/>
        <w:left w:val="none" w:sz="0" w:space="0" w:color="auto"/>
        <w:bottom w:val="none" w:sz="0" w:space="0" w:color="auto"/>
        <w:right w:val="none" w:sz="0" w:space="0" w:color="auto"/>
      </w:divBdr>
      <w:divsChild>
        <w:div w:id="1007828059">
          <w:marLeft w:val="0"/>
          <w:marRight w:val="0"/>
          <w:marTop w:val="0"/>
          <w:marBottom w:val="0"/>
          <w:divBdr>
            <w:top w:val="none" w:sz="0" w:space="0" w:color="auto"/>
            <w:left w:val="none" w:sz="0" w:space="0" w:color="auto"/>
            <w:bottom w:val="none" w:sz="0" w:space="0" w:color="auto"/>
            <w:right w:val="none" w:sz="0" w:space="0" w:color="auto"/>
          </w:divBdr>
          <w:divsChild>
            <w:div w:id="1855025355">
              <w:marLeft w:val="0"/>
              <w:marRight w:val="0"/>
              <w:marTop w:val="0"/>
              <w:marBottom w:val="0"/>
              <w:divBdr>
                <w:top w:val="none" w:sz="0" w:space="0" w:color="auto"/>
                <w:left w:val="none" w:sz="0" w:space="0" w:color="auto"/>
                <w:bottom w:val="none" w:sz="0" w:space="0" w:color="auto"/>
                <w:right w:val="none" w:sz="0" w:space="0" w:color="auto"/>
              </w:divBdr>
              <w:divsChild>
                <w:div w:id="908076424">
                  <w:marLeft w:val="0"/>
                  <w:marRight w:val="0"/>
                  <w:marTop w:val="0"/>
                  <w:marBottom w:val="0"/>
                  <w:divBdr>
                    <w:top w:val="none" w:sz="0" w:space="0" w:color="auto"/>
                    <w:left w:val="none" w:sz="0" w:space="0" w:color="auto"/>
                    <w:bottom w:val="none" w:sz="0" w:space="0" w:color="auto"/>
                    <w:right w:val="none" w:sz="0" w:space="0" w:color="auto"/>
                  </w:divBdr>
                  <w:divsChild>
                    <w:div w:id="208955024">
                      <w:marLeft w:val="0"/>
                      <w:marRight w:val="0"/>
                      <w:marTop w:val="0"/>
                      <w:marBottom w:val="0"/>
                      <w:divBdr>
                        <w:top w:val="none" w:sz="0" w:space="0" w:color="auto"/>
                        <w:left w:val="none" w:sz="0" w:space="0" w:color="auto"/>
                        <w:bottom w:val="none" w:sz="0" w:space="0" w:color="auto"/>
                        <w:right w:val="none" w:sz="0" w:space="0" w:color="auto"/>
                      </w:divBdr>
                      <w:divsChild>
                        <w:div w:id="156581249">
                          <w:marLeft w:val="0"/>
                          <w:marRight w:val="0"/>
                          <w:marTop w:val="0"/>
                          <w:marBottom w:val="0"/>
                          <w:divBdr>
                            <w:top w:val="none" w:sz="0" w:space="0" w:color="auto"/>
                            <w:left w:val="none" w:sz="0" w:space="0" w:color="auto"/>
                            <w:bottom w:val="none" w:sz="0" w:space="0" w:color="auto"/>
                            <w:right w:val="none" w:sz="0" w:space="0" w:color="auto"/>
                          </w:divBdr>
                          <w:divsChild>
                            <w:div w:id="1484466486">
                              <w:marLeft w:val="0"/>
                              <w:marRight w:val="0"/>
                              <w:marTop w:val="0"/>
                              <w:marBottom w:val="0"/>
                              <w:divBdr>
                                <w:top w:val="none" w:sz="0" w:space="0" w:color="auto"/>
                                <w:left w:val="none" w:sz="0" w:space="0" w:color="auto"/>
                                <w:bottom w:val="none" w:sz="0" w:space="0" w:color="auto"/>
                                <w:right w:val="none" w:sz="0" w:space="0" w:color="auto"/>
                              </w:divBdr>
                              <w:divsChild>
                                <w:div w:id="134887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85932">
      <w:bodyDiv w:val="1"/>
      <w:marLeft w:val="0"/>
      <w:marRight w:val="0"/>
      <w:marTop w:val="0"/>
      <w:marBottom w:val="0"/>
      <w:divBdr>
        <w:top w:val="none" w:sz="0" w:space="0" w:color="auto"/>
        <w:left w:val="none" w:sz="0" w:space="0" w:color="auto"/>
        <w:bottom w:val="none" w:sz="0" w:space="0" w:color="auto"/>
        <w:right w:val="none" w:sz="0" w:space="0" w:color="auto"/>
      </w:divBdr>
      <w:divsChild>
        <w:div w:id="2064012888">
          <w:marLeft w:val="0"/>
          <w:marRight w:val="0"/>
          <w:marTop w:val="0"/>
          <w:marBottom w:val="0"/>
          <w:divBdr>
            <w:top w:val="none" w:sz="0" w:space="0" w:color="auto"/>
            <w:left w:val="none" w:sz="0" w:space="0" w:color="auto"/>
            <w:bottom w:val="none" w:sz="0" w:space="0" w:color="auto"/>
            <w:right w:val="none" w:sz="0" w:space="0" w:color="auto"/>
          </w:divBdr>
        </w:div>
      </w:divsChild>
    </w:div>
    <w:div w:id="239022862">
      <w:bodyDiv w:val="1"/>
      <w:marLeft w:val="0"/>
      <w:marRight w:val="0"/>
      <w:marTop w:val="0"/>
      <w:marBottom w:val="0"/>
      <w:divBdr>
        <w:top w:val="none" w:sz="0" w:space="0" w:color="auto"/>
        <w:left w:val="none" w:sz="0" w:space="0" w:color="auto"/>
        <w:bottom w:val="none" w:sz="0" w:space="0" w:color="auto"/>
        <w:right w:val="none" w:sz="0" w:space="0" w:color="auto"/>
      </w:divBdr>
    </w:div>
    <w:div w:id="293760464">
      <w:bodyDiv w:val="1"/>
      <w:marLeft w:val="0"/>
      <w:marRight w:val="0"/>
      <w:marTop w:val="0"/>
      <w:marBottom w:val="0"/>
      <w:divBdr>
        <w:top w:val="none" w:sz="0" w:space="0" w:color="auto"/>
        <w:left w:val="none" w:sz="0" w:space="0" w:color="auto"/>
        <w:bottom w:val="none" w:sz="0" w:space="0" w:color="auto"/>
        <w:right w:val="none" w:sz="0" w:space="0" w:color="auto"/>
      </w:divBdr>
      <w:divsChild>
        <w:div w:id="1225870315">
          <w:marLeft w:val="0"/>
          <w:marRight w:val="0"/>
          <w:marTop w:val="0"/>
          <w:marBottom w:val="0"/>
          <w:divBdr>
            <w:top w:val="none" w:sz="0" w:space="0" w:color="auto"/>
            <w:left w:val="none" w:sz="0" w:space="0" w:color="auto"/>
            <w:bottom w:val="none" w:sz="0" w:space="0" w:color="auto"/>
            <w:right w:val="none" w:sz="0" w:space="0" w:color="auto"/>
          </w:divBdr>
          <w:divsChild>
            <w:div w:id="1777561419">
              <w:marLeft w:val="0"/>
              <w:marRight w:val="0"/>
              <w:marTop w:val="0"/>
              <w:marBottom w:val="0"/>
              <w:divBdr>
                <w:top w:val="none" w:sz="0" w:space="0" w:color="auto"/>
                <w:left w:val="none" w:sz="0" w:space="0" w:color="auto"/>
                <w:bottom w:val="none" w:sz="0" w:space="0" w:color="auto"/>
                <w:right w:val="none" w:sz="0" w:space="0" w:color="auto"/>
              </w:divBdr>
              <w:divsChild>
                <w:div w:id="864908646">
                  <w:marLeft w:val="0"/>
                  <w:marRight w:val="0"/>
                  <w:marTop w:val="0"/>
                  <w:marBottom w:val="0"/>
                  <w:divBdr>
                    <w:top w:val="none" w:sz="0" w:space="0" w:color="auto"/>
                    <w:left w:val="none" w:sz="0" w:space="0" w:color="auto"/>
                    <w:bottom w:val="none" w:sz="0" w:space="0" w:color="auto"/>
                    <w:right w:val="none" w:sz="0" w:space="0" w:color="auto"/>
                  </w:divBdr>
                  <w:divsChild>
                    <w:div w:id="182959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628405">
      <w:bodyDiv w:val="1"/>
      <w:marLeft w:val="0"/>
      <w:marRight w:val="0"/>
      <w:marTop w:val="0"/>
      <w:marBottom w:val="0"/>
      <w:divBdr>
        <w:top w:val="none" w:sz="0" w:space="0" w:color="auto"/>
        <w:left w:val="none" w:sz="0" w:space="0" w:color="auto"/>
        <w:bottom w:val="none" w:sz="0" w:space="0" w:color="auto"/>
        <w:right w:val="none" w:sz="0" w:space="0" w:color="auto"/>
      </w:divBdr>
    </w:div>
    <w:div w:id="342898972">
      <w:bodyDiv w:val="1"/>
      <w:marLeft w:val="0"/>
      <w:marRight w:val="0"/>
      <w:marTop w:val="0"/>
      <w:marBottom w:val="0"/>
      <w:divBdr>
        <w:top w:val="none" w:sz="0" w:space="0" w:color="auto"/>
        <w:left w:val="none" w:sz="0" w:space="0" w:color="auto"/>
        <w:bottom w:val="none" w:sz="0" w:space="0" w:color="auto"/>
        <w:right w:val="none" w:sz="0" w:space="0" w:color="auto"/>
      </w:divBdr>
    </w:div>
    <w:div w:id="353771171">
      <w:bodyDiv w:val="1"/>
      <w:marLeft w:val="0"/>
      <w:marRight w:val="0"/>
      <w:marTop w:val="0"/>
      <w:marBottom w:val="0"/>
      <w:divBdr>
        <w:top w:val="none" w:sz="0" w:space="0" w:color="auto"/>
        <w:left w:val="none" w:sz="0" w:space="0" w:color="auto"/>
        <w:bottom w:val="none" w:sz="0" w:space="0" w:color="auto"/>
        <w:right w:val="none" w:sz="0" w:space="0" w:color="auto"/>
      </w:divBdr>
      <w:divsChild>
        <w:div w:id="1073356806">
          <w:marLeft w:val="0"/>
          <w:marRight w:val="0"/>
          <w:marTop w:val="0"/>
          <w:marBottom w:val="0"/>
          <w:divBdr>
            <w:top w:val="none" w:sz="0" w:space="0" w:color="auto"/>
            <w:left w:val="none" w:sz="0" w:space="0" w:color="auto"/>
            <w:bottom w:val="none" w:sz="0" w:space="0" w:color="auto"/>
            <w:right w:val="none" w:sz="0" w:space="0" w:color="auto"/>
          </w:divBdr>
          <w:divsChild>
            <w:div w:id="1676036399">
              <w:marLeft w:val="0"/>
              <w:marRight w:val="0"/>
              <w:marTop w:val="0"/>
              <w:marBottom w:val="0"/>
              <w:divBdr>
                <w:top w:val="none" w:sz="0" w:space="0" w:color="auto"/>
                <w:left w:val="none" w:sz="0" w:space="0" w:color="auto"/>
                <w:bottom w:val="none" w:sz="0" w:space="0" w:color="auto"/>
                <w:right w:val="none" w:sz="0" w:space="0" w:color="auto"/>
              </w:divBdr>
              <w:divsChild>
                <w:div w:id="21747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202668">
      <w:bodyDiv w:val="1"/>
      <w:marLeft w:val="0"/>
      <w:marRight w:val="0"/>
      <w:marTop w:val="0"/>
      <w:marBottom w:val="0"/>
      <w:divBdr>
        <w:top w:val="none" w:sz="0" w:space="0" w:color="auto"/>
        <w:left w:val="none" w:sz="0" w:space="0" w:color="auto"/>
        <w:bottom w:val="none" w:sz="0" w:space="0" w:color="auto"/>
        <w:right w:val="none" w:sz="0" w:space="0" w:color="auto"/>
      </w:divBdr>
      <w:divsChild>
        <w:div w:id="2021617098">
          <w:marLeft w:val="0"/>
          <w:marRight w:val="0"/>
          <w:marTop w:val="0"/>
          <w:marBottom w:val="0"/>
          <w:divBdr>
            <w:top w:val="none" w:sz="0" w:space="0" w:color="auto"/>
            <w:left w:val="none" w:sz="0" w:space="0" w:color="auto"/>
            <w:bottom w:val="none" w:sz="0" w:space="0" w:color="auto"/>
            <w:right w:val="none" w:sz="0" w:space="0" w:color="auto"/>
          </w:divBdr>
          <w:divsChild>
            <w:div w:id="1358240970">
              <w:marLeft w:val="0"/>
              <w:marRight w:val="0"/>
              <w:marTop w:val="0"/>
              <w:marBottom w:val="0"/>
              <w:divBdr>
                <w:top w:val="none" w:sz="0" w:space="0" w:color="auto"/>
                <w:left w:val="none" w:sz="0" w:space="0" w:color="auto"/>
                <w:bottom w:val="none" w:sz="0" w:space="0" w:color="auto"/>
                <w:right w:val="none" w:sz="0" w:space="0" w:color="auto"/>
              </w:divBdr>
              <w:divsChild>
                <w:div w:id="152351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77725">
      <w:bodyDiv w:val="1"/>
      <w:marLeft w:val="0"/>
      <w:marRight w:val="0"/>
      <w:marTop w:val="0"/>
      <w:marBottom w:val="0"/>
      <w:divBdr>
        <w:top w:val="none" w:sz="0" w:space="0" w:color="auto"/>
        <w:left w:val="none" w:sz="0" w:space="0" w:color="auto"/>
        <w:bottom w:val="none" w:sz="0" w:space="0" w:color="auto"/>
        <w:right w:val="none" w:sz="0" w:space="0" w:color="auto"/>
      </w:divBdr>
    </w:div>
    <w:div w:id="482426650">
      <w:bodyDiv w:val="1"/>
      <w:marLeft w:val="0"/>
      <w:marRight w:val="0"/>
      <w:marTop w:val="0"/>
      <w:marBottom w:val="0"/>
      <w:divBdr>
        <w:top w:val="none" w:sz="0" w:space="0" w:color="auto"/>
        <w:left w:val="none" w:sz="0" w:space="0" w:color="auto"/>
        <w:bottom w:val="none" w:sz="0" w:space="0" w:color="auto"/>
        <w:right w:val="none" w:sz="0" w:space="0" w:color="auto"/>
      </w:divBdr>
    </w:div>
    <w:div w:id="493186672">
      <w:bodyDiv w:val="1"/>
      <w:marLeft w:val="0"/>
      <w:marRight w:val="0"/>
      <w:marTop w:val="0"/>
      <w:marBottom w:val="0"/>
      <w:divBdr>
        <w:top w:val="none" w:sz="0" w:space="0" w:color="auto"/>
        <w:left w:val="none" w:sz="0" w:space="0" w:color="auto"/>
        <w:bottom w:val="none" w:sz="0" w:space="0" w:color="auto"/>
        <w:right w:val="none" w:sz="0" w:space="0" w:color="auto"/>
      </w:divBdr>
    </w:div>
    <w:div w:id="496770774">
      <w:bodyDiv w:val="1"/>
      <w:marLeft w:val="0"/>
      <w:marRight w:val="0"/>
      <w:marTop w:val="0"/>
      <w:marBottom w:val="0"/>
      <w:divBdr>
        <w:top w:val="none" w:sz="0" w:space="0" w:color="auto"/>
        <w:left w:val="none" w:sz="0" w:space="0" w:color="auto"/>
        <w:bottom w:val="none" w:sz="0" w:space="0" w:color="auto"/>
        <w:right w:val="none" w:sz="0" w:space="0" w:color="auto"/>
      </w:divBdr>
      <w:divsChild>
        <w:div w:id="941375533">
          <w:marLeft w:val="0"/>
          <w:marRight w:val="0"/>
          <w:marTop w:val="0"/>
          <w:marBottom w:val="0"/>
          <w:divBdr>
            <w:top w:val="none" w:sz="0" w:space="0" w:color="auto"/>
            <w:left w:val="none" w:sz="0" w:space="0" w:color="auto"/>
            <w:bottom w:val="none" w:sz="0" w:space="0" w:color="auto"/>
            <w:right w:val="none" w:sz="0" w:space="0" w:color="auto"/>
          </w:divBdr>
        </w:div>
      </w:divsChild>
    </w:div>
    <w:div w:id="510990128">
      <w:bodyDiv w:val="1"/>
      <w:marLeft w:val="0"/>
      <w:marRight w:val="0"/>
      <w:marTop w:val="0"/>
      <w:marBottom w:val="0"/>
      <w:divBdr>
        <w:top w:val="none" w:sz="0" w:space="0" w:color="auto"/>
        <w:left w:val="none" w:sz="0" w:space="0" w:color="auto"/>
        <w:bottom w:val="none" w:sz="0" w:space="0" w:color="auto"/>
        <w:right w:val="none" w:sz="0" w:space="0" w:color="auto"/>
      </w:divBdr>
    </w:div>
    <w:div w:id="564267397">
      <w:bodyDiv w:val="1"/>
      <w:marLeft w:val="0"/>
      <w:marRight w:val="0"/>
      <w:marTop w:val="0"/>
      <w:marBottom w:val="0"/>
      <w:divBdr>
        <w:top w:val="none" w:sz="0" w:space="0" w:color="auto"/>
        <w:left w:val="none" w:sz="0" w:space="0" w:color="auto"/>
        <w:bottom w:val="none" w:sz="0" w:space="0" w:color="auto"/>
        <w:right w:val="none" w:sz="0" w:space="0" w:color="auto"/>
      </w:divBdr>
    </w:div>
    <w:div w:id="596253491">
      <w:bodyDiv w:val="1"/>
      <w:marLeft w:val="0"/>
      <w:marRight w:val="0"/>
      <w:marTop w:val="0"/>
      <w:marBottom w:val="0"/>
      <w:divBdr>
        <w:top w:val="none" w:sz="0" w:space="0" w:color="auto"/>
        <w:left w:val="none" w:sz="0" w:space="0" w:color="auto"/>
        <w:bottom w:val="none" w:sz="0" w:space="0" w:color="auto"/>
        <w:right w:val="none" w:sz="0" w:space="0" w:color="auto"/>
      </w:divBdr>
    </w:div>
    <w:div w:id="616915591">
      <w:bodyDiv w:val="1"/>
      <w:marLeft w:val="0"/>
      <w:marRight w:val="0"/>
      <w:marTop w:val="0"/>
      <w:marBottom w:val="0"/>
      <w:divBdr>
        <w:top w:val="none" w:sz="0" w:space="0" w:color="auto"/>
        <w:left w:val="none" w:sz="0" w:space="0" w:color="auto"/>
        <w:bottom w:val="none" w:sz="0" w:space="0" w:color="auto"/>
        <w:right w:val="none" w:sz="0" w:space="0" w:color="auto"/>
      </w:divBdr>
      <w:divsChild>
        <w:div w:id="931355220">
          <w:marLeft w:val="0"/>
          <w:marRight w:val="0"/>
          <w:marTop w:val="0"/>
          <w:marBottom w:val="0"/>
          <w:divBdr>
            <w:top w:val="none" w:sz="0" w:space="0" w:color="auto"/>
            <w:left w:val="none" w:sz="0" w:space="0" w:color="auto"/>
            <w:bottom w:val="none" w:sz="0" w:space="0" w:color="auto"/>
            <w:right w:val="none" w:sz="0" w:space="0" w:color="auto"/>
          </w:divBdr>
        </w:div>
        <w:div w:id="1800806997">
          <w:marLeft w:val="0"/>
          <w:marRight w:val="0"/>
          <w:marTop w:val="0"/>
          <w:marBottom w:val="0"/>
          <w:divBdr>
            <w:top w:val="none" w:sz="0" w:space="0" w:color="auto"/>
            <w:left w:val="none" w:sz="0" w:space="0" w:color="auto"/>
            <w:bottom w:val="none" w:sz="0" w:space="0" w:color="auto"/>
            <w:right w:val="none" w:sz="0" w:space="0" w:color="auto"/>
          </w:divBdr>
        </w:div>
        <w:div w:id="839001271">
          <w:marLeft w:val="0"/>
          <w:marRight w:val="0"/>
          <w:marTop w:val="0"/>
          <w:marBottom w:val="0"/>
          <w:divBdr>
            <w:top w:val="none" w:sz="0" w:space="0" w:color="auto"/>
            <w:left w:val="none" w:sz="0" w:space="0" w:color="auto"/>
            <w:bottom w:val="none" w:sz="0" w:space="0" w:color="auto"/>
            <w:right w:val="none" w:sz="0" w:space="0" w:color="auto"/>
          </w:divBdr>
        </w:div>
      </w:divsChild>
    </w:div>
    <w:div w:id="659232365">
      <w:bodyDiv w:val="1"/>
      <w:marLeft w:val="0"/>
      <w:marRight w:val="0"/>
      <w:marTop w:val="0"/>
      <w:marBottom w:val="0"/>
      <w:divBdr>
        <w:top w:val="none" w:sz="0" w:space="0" w:color="auto"/>
        <w:left w:val="none" w:sz="0" w:space="0" w:color="auto"/>
        <w:bottom w:val="none" w:sz="0" w:space="0" w:color="auto"/>
        <w:right w:val="none" w:sz="0" w:space="0" w:color="auto"/>
      </w:divBdr>
    </w:div>
    <w:div w:id="792335011">
      <w:bodyDiv w:val="1"/>
      <w:marLeft w:val="0"/>
      <w:marRight w:val="0"/>
      <w:marTop w:val="0"/>
      <w:marBottom w:val="0"/>
      <w:divBdr>
        <w:top w:val="none" w:sz="0" w:space="0" w:color="auto"/>
        <w:left w:val="none" w:sz="0" w:space="0" w:color="auto"/>
        <w:bottom w:val="none" w:sz="0" w:space="0" w:color="auto"/>
        <w:right w:val="none" w:sz="0" w:space="0" w:color="auto"/>
      </w:divBdr>
    </w:div>
    <w:div w:id="831025132">
      <w:bodyDiv w:val="1"/>
      <w:marLeft w:val="0"/>
      <w:marRight w:val="0"/>
      <w:marTop w:val="0"/>
      <w:marBottom w:val="0"/>
      <w:divBdr>
        <w:top w:val="none" w:sz="0" w:space="0" w:color="auto"/>
        <w:left w:val="none" w:sz="0" w:space="0" w:color="auto"/>
        <w:bottom w:val="none" w:sz="0" w:space="0" w:color="auto"/>
        <w:right w:val="none" w:sz="0" w:space="0" w:color="auto"/>
      </w:divBdr>
    </w:div>
    <w:div w:id="836111423">
      <w:bodyDiv w:val="1"/>
      <w:marLeft w:val="0"/>
      <w:marRight w:val="0"/>
      <w:marTop w:val="0"/>
      <w:marBottom w:val="0"/>
      <w:divBdr>
        <w:top w:val="none" w:sz="0" w:space="0" w:color="auto"/>
        <w:left w:val="none" w:sz="0" w:space="0" w:color="auto"/>
        <w:bottom w:val="none" w:sz="0" w:space="0" w:color="auto"/>
        <w:right w:val="none" w:sz="0" w:space="0" w:color="auto"/>
      </w:divBdr>
    </w:div>
    <w:div w:id="873424785">
      <w:bodyDiv w:val="1"/>
      <w:marLeft w:val="0"/>
      <w:marRight w:val="0"/>
      <w:marTop w:val="0"/>
      <w:marBottom w:val="0"/>
      <w:divBdr>
        <w:top w:val="none" w:sz="0" w:space="0" w:color="auto"/>
        <w:left w:val="none" w:sz="0" w:space="0" w:color="auto"/>
        <w:bottom w:val="none" w:sz="0" w:space="0" w:color="auto"/>
        <w:right w:val="none" w:sz="0" w:space="0" w:color="auto"/>
      </w:divBdr>
    </w:div>
    <w:div w:id="880017646">
      <w:bodyDiv w:val="1"/>
      <w:marLeft w:val="0"/>
      <w:marRight w:val="0"/>
      <w:marTop w:val="0"/>
      <w:marBottom w:val="0"/>
      <w:divBdr>
        <w:top w:val="none" w:sz="0" w:space="0" w:color="auto"/>
        <w:left w:val="none" w:sz="0" w:space="0" w:color="auto"/>
        <w:bottom w:val="none" w:sz="0" w:space="0" w:color="auto"/>
        <w:right w:val="none" w:sz="0" w:space="0" w:color="auto"/>
      </w:divBdr>
    </w:div>
    <w:div w:id="888684171">
      <w:bodyDiv w:val="1"/>
      <w:marLeft w:val="0"/>
      <w:marRight w:val="0"/>
      <w:marTop w:val="0"/>
      <w:marBottom w:val="0"/>
      <w:divBdr>
        <w:top w:val="none" w:sz="0" w:space="0" w:color="auto"/>
        <w:left w:val="none" w:sz="0" w:space="0" w:color="auto"/>
        <w:bottom w:val="none" w:sz="0" w:space="0" w:color="auto"/>
        <w:right w:val="none" w:sz="0" w:space="0" w:color="auto"/>
      </w:divBdr>
    </w:div>
    <w:div w:id="897936551">
      <w:bodyDiv w:val="1"/>
      <w:marLeft w:val="0"/>
      <w:marRight w:val="0"/>
      <w:marTop w:val="0"/>
      <w:marBottom w:val="0"/>
      <w:divBdr>
        <w:top w:val="none" w:sz="0" w:space="0" w:color="auto"/>
        <w:left w:val="none" w:sz="0" w:space="0" w:color="auto"/>
        <w:bottom w:val="none" w:sz="0" w:space="0" w:color="auto"/>
        <w:right w:val="none" w:sz="0" w:space="0" w:color="auto"/>
      </w:divBdr>
    </w:div>
    <w:div w:id="1006058003">
      <w:bodyDiv w:val="1"/>
      <w:marLeft w:val="0"/>
      <w:marRight w:val="0"/>
      <w:marTop w:val="0"/>
      <w:marBottom w:val="0"/>
      <w:divBdr>
        <w:top w:val="none" w:sz="0" w:space="0" w:color="auto"/>
        <w:left w:val="none" w:sz="0" w:space="0" w:color="auto"/>
        <w:bottom w:val="none" w:sz="0" w:space="0" w:color="auto"/>
        <w:right w:val="none" w:sz="0" w:space="0" w:color="auto"/>
      </w:divBdr>
      <w:divsChild>
        <w:div w:id="1885094111">
          <w:marLeft w:val="0"/>
          <w:marRight w:val="0"/>
          <w:marTop w:val="0"/>
          <w:marBottom w:val="0"/>
          <w:divBdr>
            <w:top w:val="none" w:sz="0" w:space="0" w:color="auto"/>
            <w:left w:val="none" w:sz="0" w:space="0" w:color="auto"/>
            <w:bottom w:val="none" w:sz="0" w:space="0" w:color="auto"/>
            <w:right w:val="none" w:sz="0" w:space="0" w:color="auto"/>
          </w:divBdr>
          <w:divsChild>
            <w:div w:id="128846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1702">
      <w:bodyDiv w:val="1"/>
      <w:marLeft w:val="0"/>
      <w:marRight w:val="0"/>
      <w:marTop w:val="0"/>
      <w:marBottom w:val="0"/>
      <w:divBdr>
        <w:top w:val="none" w:sz="0" w:space="0" w:color="auto"/>
        <w:left w:val="none" w:sz="0" w:space="0" w:color="auto"/>
        <w:bottom w:val="none" w:sz="0" w:space="0" w:color="auto"/>
        <w:right w:val="none" w:sz="0" w:space="0" w:color="auto"/>
      </w:divBdr>
      <w:divsChild>
        <w:div w:id="461776530">
          <w:marLeft w:val="0"/>
          <w:marRight w:val="0"/>
          <w:marTop w:val="0"/>
          <w:marBottom w:val="0"/>
          <w:divBdr>
            <w:top w:val="none" w:sz="0" w:space="0" w:color="auto"/>
            <w:left w:val="none" w:sz="0" w:space="0" w:color="auto"/>
            <w:bottom w:val="none" w:sz="0" w:space="0" w:color="auto"/>
            <w:right w:val="none" w:sz="0" w:space="0" w:color="auto"/>
          </w:divBdr>
          <w:divsChild>
            <w:div w:id="1562518731">
              <w:marLeft w:val="0"/>
              <w:marRight w:val="0"/>
              <w:marTop w:val="0"/>
              <w:marBottom w:val="0"/>
              <w:divBdr>
                <w:top w:val="none" w:sz="0" w:space="0" w:color="auto"/>
                <w:left w:val="none" w:sz="0" w:space="0" w:color="auto"/>
                <w:bottom w:val="none" w:sz="0" w:space="0" w:color="auto"/>
                <w:right w:val="none" w:sz="0" w:space="0" w:color="auto"/>
              </w:divBdr>
              <w:divsChild>
                <w:div w:id="171758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435890">
      <w:bodyDiv w:val="1"/>
      <w:marLeft w:val="0"/>
      <w:marRight w:val="0"/>
      <w:marTop w:val="0"/>
      <w:marBottom w:val="0"/>
      <w:divBdr>
        <w:top w:val="none" w:sz="0" w:space="0" w:color="auto"/>
        <w:left w:val="none" w:sz="0" w:space="0" w:color="auto"/>
        <w:bottom w:val="none" w:sz="0" w:space="0" w:color="auto"/>
        <w:right w:val="none" w:sz="0" w:space="0" w:color="auto"/>
      </w:divBdr>
    </w:div>
    <w:div w:id="1247762784">
      <w:bodyDiv w:val="1"/>
      <w:marLeft w:val="0"/>
      <w:marRight w:val="0"/>
      <w:marTop w:val="0"/>
      <w:marBottom w:val="0"/>
      <w:divBdr>
        <w:top w:val="none" w:sz="0" w:space="0" w:color="auto"/>
        <w:left w:val="none" w:sz="0" w:space="0" w:color="auto"/>
        <w:bottom w:val="none" w:sz="0" w:space="0" w:color="auto"/>
        <w:right w:val="none" w:sz="0" w:space="0" w:color="auto"/>
      </w:divBdr>
    </w:div>
    <w:div w:id="1291009929">
      <w:bodyDiv w:val="1"/>
      <w:marLeft w:val="0"/>
      <w:marRight w:val="0"/>
      <w:marTop w:val="0"/>
      <w:marBottom w:val="0"/>
      <w:divBdr>
        <w:top w:val="none" w:sz="0" w:space="0" w:color="auto"/>
        <w:left w:val="none" w:sz="0" w:space="0" w:color="auto"/>
        <w:bottom w:val="none" w:sz="0" w:space="0" w:color="auto"/>
        <w:right w:val="none" w:sz="0" w:space="0" w:color="auto"/>
      </w:divBdr>
    </w:div>
    <w:div w:id="1351298861">
      <w:bodyDiv w:val="1"/>
      <w:marLeft w:val="0"/>
      <w:marRight w:val="0"/>
      <w:marTop w:val="0"/>
      <w:marBottom w:val="0"/>
      <w:divBdr>
        <w:top w:val="none" w:sz="0" w:space="0" w:color="auto"/>
        <w:left w:val="none" w:sz="0" w:space="0" w:color="auto"/>
        <w:bottom w:val="none" w:sz="0" w:space="0" w:color="auto"/>
        <w:right w:val="none" w:sz="0" w:space="0" w:color="auto"/>
      </w:divBdr>
    </w:div>
    <w:div w:id="1370763669">
      <w:bodyDiv w:val="1"/>
      <w:marLeft w:val="0"/>
      <w:marRight w:val="0"/>
      <w:marTop w:val="0"/>
      <w:marBottom w:val="0"/>
      <w:divBdr>
        <w:top w:val="none" w:sz="0" w:space="0" w:color="auto"/>
        <w:left w:val="none" w:sz="0" w:space="0" w:color="auto"/>
        <w:bottom w:val="none" w:sz="0" w:space="0" w:color="auto"/>
        <w:right w:val="none" w:sz="0" w:space="0" w:color="auto"/>
      </w:divBdr>
    </w:div>
    <w:div w:id="1370952200">
      <w:bodyDiv w:val="1"/>
      <w:marLeft w:val="0"/>
      <w:marRight w:val="0"/>
      <w:marTop w:val="0"/>
      <w:marBottom w:val="0"/>
      <w:divBdr>
        <w:top w:val="none" w:sz="0" w:space="0" w:color="auto"/>
        <w:left w:val="none" w:sz="0" w:space="0" w:color="auto"/>
        <w:bottom w:val="none" w:sz="0" w:space="0" w:color="auto"/>
        <w:right w:val="none" w:sz="0" w:space="0" w:color="auto"/>
      </w:divBdr>
    </w:div>
    <w:div w:id="1418286214">
      <w:bodyDiv w:val="1"/>
      <w:marLeft w:val="0"/>
      <w:marRight w:val="0"/>
      <w:marTop w:val="0"/>
      <w:marBottom w:val="0"/>
      <w:divBdr>
        <w:top w:val="none" w:sz="0" w:space="0" w:color="auto"/>
        <w:left w:val="none" w:sz="0" w:space="0" w:color="auto"/>
        <w:bottom w:val="none" w:sz="0" w:space="0" w:color="auto"/>
        <w:right w:val="none" w:sz="0" w:space="0" w:color="auto"/>
      </w:divBdr>
    </w:div>
    <w:div w:id="1419256269">
      <w:bodyDiv w:val="1"/>
      <w:marLeft w:val="0"/>
      <w:marRight w:val="0"/>
      <w:marTop w:val="0"/>
      <w:marBottom w:val="0"/>
      <w:divBdr>
        <w:top w:val="none" w:sz="0" w:space="0" w:color="auto"/>
        <w:left w:val="none" w:sz="0" w:space="0" w:color="auto"/>
        <w:bottom w:val="none" w:sz="0" w:space="0" w:color="auto"/>
        <w:right w:val="none" w:sz="0" w:space="0" w:color="auto"/>
      </w:divBdr>
    </w:div>
    <w:div w:id="1460028107">
      <w:bodyDiv w:val="1"/>
      <w:marLeft w:val="0"/>
      <w:marRight w:val="0"/>
      <w:marTop w:val="0"/>
      <w:marBottom w:val="0"/>
      <w:divBdr>
        <w:top w:val="none" w:sz="0" w:space="0" w:color="auto"/>
        <w:left w:val="none" w:sz="0" w:space="0" w:color="auto"/>
        <w:bottom w:val="none" w:sz="0" w:space="0" w:color="auto"/>
        <w:right w:val="none" w:sz="0" w:space="0" w:color="auto"/>
      </w:divBdr>
    </w:div>
    <w:div w:id="1492990499">
      <w:bodyDiv w:val="1"/>
      <w:marLeft w:val="0"/>
      <w:marRight w:val="0"/>
      <w:marTop w:val="0"/>
      <w:marBottom w:val="0"/>
      <w:divBdr>
        <w:top w:val="none" w:sz="0" w:space="0" w:color="auto"/>
        <w:left w:val="none" w:sz="0" w:space="0" w:color="auto"/>
        <w:bottom w:val="none" w:sz="0" w:space="0" w:color="auto"/>
        <w:right w:val="none" w:sz="0" w:space="0" w:color="auto"/>
      </w:divBdr>
    </w:div>
    <w:div w:id="1516337294">
      <w:bodyDiv w:val="1"/>
      <w:marLeft w:val="0"/>
      <w:marRight w:val="0"/>
      <w:marTop w:val="0"/>
      <w:marBottom w:val="0"/>
      <w:divBdr>
        <w:top w:val="none" w:sz="0" w:space="0" w:color="auto"/>
        <w:left w:val="none" w:sz="0" w:space="0" w:color="auto"/>
        <w:bottom w:val="none" w:sz="0" w:space="0" w:color="auto"/>
        <w:right w:val="none" w:sz="0" w:space="0" w:color="auto"/>
      </w:divBdr>
    </w:div>
    <w:div w:id="1565291771">
      <w:bodyDiv w:val="1"/>
      <w:marLeft w:val="0"/>
      <w:marRight w:val="0"/>
      <w:marTop w:val="0"/>
      <w:marBottom w:val="0"/>
      <w:divBdr>
        <w:top w:val="none" w:sz="0" w:space="0" w:color="auto"/>
        <w:left w:val="none" w:sz="0" w:space="0" w:color="auto"/>
        <w:bottom w:val="none" w:sz="0" w:space="0" w:color="auto"/>
        <w:right w:val="none" w:sz="0" w:space="0" w:color="auto"/>
      </w:divBdr>
      <w:divsChild>
        <w:div w:id="1077092497">
          <w:marLeft w:val="0"/>
          <w:marRight w:val="0"/>
          <w:marTop w:val="0"/>
          <w:marBottom w:val="0"/>
          <w:divBdr>
            <w:top w:val="none" w:sz="0" w:space="0" w:color="auto"/>
            <w:left w:val="none" w:sz="0" w:space="0" w:color="auto"/>
            <w:bottom w:val="none" w:sz="0" w:space="0" w:color="auto"/>
            <w:right w:val="none" w:sz="0" w:space="0" w:color="auto"/>
          </w:divBdr>
        </w:div>
      </w:divsChild>
    </w:div>
    <w:div w:id="1578324726">
      <w:bodyDiv w:val="1"/>
      <w:marLeft w:val="0"/>
      <w:marRight w:val="0"/>
      <w:marTop w:val="0"/>
      <w:marBottom w:val="0"/>
      <w:divBdr>
        <w:top w:val="none" w:sz="0" w:space="0" w:color="auto"/>
        <w:left w:val="none" w:sz="0" w:space="0" w:color="auto"/>
        <w:bottom w:val="none" w:sz="0" w:space="0" w:color="auto"/>
        <w:right w:val="none" w:sz="0" w:space="0" w:color="auto"/>
      </w:divBdr>
    </w:div>
    <w:div w:id="1579288903">
      <w:bodyDiv w:val="1"/>
      <w:marLeft w:val="0"/>
      <w:marRight w:val="0"/>
      <w:marTop w:val="0"/>
      <w:marBottom w:val="0"/>
      <w:divBdr>
        <w:top w:val="none" w:sz="0" w:space="0" w:color="auto"/>
        <w:left w:val="none" w:sz="0" w:space="0" w:color="auto"/>
        <w:bottom w:val="none" w:sz="0" w:space="0" w:color="auto"/>
        <w:right w:val="none" w:sz="0" w:space="0" w:color="auto"/>
      </w:divBdr>
    </w:div>
    <w:div w:id="1610622801">
      <w:bodyDiv w:val="1"/>
      <w:marLeft w:val="0"/>
      <w:marRight w:val="0"/>
      <w:marTop w:val="0"/>
      <w:marBottom w:val="0"/>
      <w:divBdr>
        <w:top w:val="none" w:sz="0" w:space="0" w:color="auto"/>
        <w:left w:val="none" w:sz="0" w:space="0" w:color="auto"/>
        <w:bottom w:val="none" w:sz="0" w:space="0" w:color="auto"/>
        <w:right w:val="none" w:sz="0" w:space="0" w:color="auto"/>
      </w:divBdr>
    </w:div>
    <w:div w:id="1706364853">
      <w:bodyDiv w:val="1"/>
      <w:marLeft w:val="0"/>
      <w:marRight w:val="0"/>
      <w:marTop w:val="0"/>
      <w:marBottom w:val="0"/>
      <w:divBdr>
        <w:top w:val="none" w:sz="0" w:space="0" w:color="auto"/>
        <w:left w:val="none" w:sz="0" w:space="0" w:color="auto"/>
        <w:bottom w:val="none" w:sz="0" w:space="0" w:color="auto"/>
        <w:right w:val="none" w:sz="0" w:space="0" w:color="auto"/>
      </w:divBdr>
      <w:divsChild>
        <w:div w:id="1943148782">
          <w:marLeft w:val="0"/>
          <w:marRight w:val="0"/>
          <w:marTop w:val="0"/>
          <w:marBottom w:val="0"/>
          <w:divBdr>
            <w:top w:val="none" w:sz="0" w:space="0" w:color="auto"/>
            <w:left w:val="none" w:sz="0" w:space="0" w:color="auto"/>
            <w:bottom w:val="none" w:sz="0" w:space="0" w:color="auto"/>
            <w:right w:val="none" w:sz="0" w:space="0" w:color="auto"/>
          </w:divBdr>
          <w:divsChild>
            <w:div w:id="289559150">
              <w:marLeft w:val="0"/>
              <w:marRight w:val="0"/>
              <w:marTop w:val="0"/>
              <w:marBottom w:val="0"/>
              <w:divBdr>
                <w:top w:val="none" w:sz="0" w:space="0" w:color="auto"/>
                <w:left w:val="none" w:sz="0" w:space="0" w:color="auto"/>
                <w:bottom w:val="none" w:sz="0" w:space="0" w:color="auto"/>
                <w:right w:val="none" w:sz="0" w:space="0" w:color="auto"/>
              </w:divBdr>
              <w:divsChild>
                <w:div w:id="15927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837671">
      <w:bodyDiv w:val="1"/>
      <w:marLeft w:val="0"/>
      <w:marRight w:val="0"/>
      <w:marTop w:val="0"/>
      <w:marBottom w:val="0"/>
      <w:divBdr>
        <w:top w:val="none" w:sz="0" w:space="0" w:color="auto"/>
        <w:left w:val="none" w:sz="0" w:space="0" w:color="auto"/>
        <w:bottom w:val="none" w:sz="0" w:space="0" w:color="auto"/>
        <w:right w:val="none" w:sz="0" w:space="0" w:color="auto"/>
      </w:divBdr>
    </w:div>
    <w:div w:id="1769344692">
      <w:bodyDiv w:val="1"/>
      <w:marLeft w:val="0"/>
      <w:marRight w:val="0"/>
      <w:marTop w:val="0"/>
      <w:marBottom w:val="0"/>
      <w:divBdr>
        <w:top w:val="none" w:sz="0" w:space="0" w:color="auto"/>
        <w:left w:val="none" w:sz="0" w:space="0" w:color="auto"/>
        <w:bottom w:val="none" w:sz="0" w:space="0" w:color="auto"/>
        <w:right w:val="none" w:sz="0" w:space="0" w:color="auto"/>
      </w:divBdr>
    </w:div>
    <w:div w:id="1785810993">
      <w:bodyDiv w:val="1"/>
      <w:marLeft w:val="0"/>
      <w:marRight w:val="0"/>
      <w:marTop w:val="0"/>
      <w:marBottom w:val="0"/>
      <w:divBdr>
        <w:top w:val="none" w:sz="0" w:space="0" w:color="auto"/>
        <w:left w:val="none" w:sz="0" w:space="0" w:color="auto"/>
        <w:bottom w:val="none" w:sz="0" w:space="0" w:color="auto"/>
        <w:right w:val="none" w:sz="0" w:space="0" w:color="auto"/>
      </w:divBdr>
    </w:div>
    <w:div w:id="1816068865">
      <w:bodyDiv w:val="1"/>
      <w:marLeft w:val="0"/>
      <w:marRight w:val="0"/>
      <w:marTop w:val="0"/>
      <w:marBottom w:val="0"/>
      <w:divBdr>
        <w:top w:val="none" w:sz="0" w:space="0" w:color="auto"/>
        <w:left w:val="none" w:sz="0" w:space="0" w:color="auto"/>
        <w:bottom w:val="none" w:sz="0" w:space="0" w:color="auto"/>
        <w:right w:val="none" w:sz="0" w:space="0" w:color="auto"/>
      </w:divBdr>
    </w:div>
    <w:div w:id="1817718243">
      <w:bodyDiv w:val="1"/>
      <w:marLeft w:val="0"/>
      <w:marRight w:val="0"/>
      <w:marTop w:val="0"/>
      <w:marBottom w:val="0"/>
      <w:divBdr>
        <w:top w:val="none" w:sz="0" w:space="0" w:color="auto"/>
        <w:left w:val="none" w:sz="0" w:space="0" w:color="auto"/>
        <w:bottom w:val="none" w:sz="0" w:space="0" w:color="auto"/>
        <w:right w:val="none" w:sz="0" w:space="0" w:color="auto"/>
      </w:divBdr>
    </w:div>
    <w:div w:id="1835028676">
      <w:bodyDiv w:val="1"/>
      <w:marLeft w:val="0"/>
      <w:marRight w:val="0"/>
      <w:marTop w:val="0"/>
      <w:marBottom w:val="0"/>
      <w:divBdr>
        <w:top w:val="none" w:sz="0" w:space="0" w:color="auto"/>
        <w:left w:val="none" w:sz="0" w:space="0" w:color="auto"/>
        <w:bottom w:val="none" w:sz="0" w:space="0" w:color="auto"/>
        <w:right w:val="none" w:sz="0" w:space="0" w:color="auto"/>
      </w:divBdr>
    </w:div>
    <w:div w:id="1839809687">
      <w:bodyDiv w:val="1"/>
      <w:marLeft w:val="0"/>
      <w:marRight w:val="0"/>
      <w:marTop w:val="0"/>
      <w:marBottom w:val="0"/>
      <w:divBdr>
        <w:top w:val="none" w:sz="0" w:space="0" w:color="auto"/>
        <w:left w:val="none" w:sz="0" w:space="0" w:color="auto"/>
        <w:bottom w:val="none" w:sz="0" w:space="0" w:color="auto"/>
        <w:right w:val="none" w:sz="0" w:space="0" w:color="auto"/>
      </w:divBdr>
    </w:div>
    <w:div w:id="1871839644">
      <w:bodyDiv w:val="1"/>
      <w:marLeft w:val="0"/>
      <w:marRight w:val="0"/>
      <w:marTop w:val="0"/>
      <w:marBottom w:val="0"/>
      <w:divBdr>
        <w:top w:val="none" w:sz="0" w:space="0" w:color="auto"/>
        <w:left w:val="none" w:sz="0" w:space="0" w:color="auto"/>
        <w:bottom w:val="none" w:sz="0" w:space="0" w:color="auto"/>
        <w:right w:val="none" w:sz="0" w:space="0" w:color="auto"/>
      </w:divBdr>
    </w:div>
    <w:div w:id="193242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indepaz.org.co/wp-content/uploads/2021/06/3.-INFORME-VIOLENCIAS-EN-EL-MARCO-DEL-PARO-NACIONAL-2021.pdf" TargetMode="External"/><Relationship Id="rId13" Type="http://schemas.openxmlformats.org/officeDocument/2006/relationships/hyperlink" Target="https://www.renovacionterritorio.gov.co/descargar.php?idFile=33303" TargetMode="External"/><Relationship Id="rId3" Type="http://schemas.openxmlformats.org/officeDocument/2006/relationships/hyperlink" Target="https://dapre.presidencia.gov.co/normativa/normativa/LEY%202136%20DEL%204%20DE%20AGOSTO%20DE%202021.pdf" TargetMode="External"/><Relationship Id="rId7" Type="http://schemas.openxmlformats.org/officeDocument/2006/relationships/hyperlink" Target="http://www.derechoshumanos.gov.co/Prensa/2021/Documents/250621-ESP-Infografia-DDHH-Paro-Nacional-2021.pdf" TargetMode="External"/><Relationship Id="rId12" Type="http://schemas.openxmlformats.org/officeDocument/2006/relationships/hyperlink" Target="https://www.policia.gov.co/sites/default/files/informe_sector_defensa_-_garantias_a_la_manifestacion_pacifica_y_control_de_acciones_violentas_-_28_de_abril_a_4_de_junio_de_2021_20210609_vf.pdf" TargetMode="External"/><Relationship Id="rId2" Type="http://schemas.openxmlformats.org/officeDocument/2006/relationships/hyperlink" Target="https://www.policia.gov.co/grupo-informacion-criminalidad/estadistica-delictiva" TargetMode="External"/><Relationship Id="rId16" Type="http://schemas.openxmlformats.org/officeDocument/2006/relationships/hyperlink" Target="http://www.odc.gov.co/sidco/oferta/erradicacion" TargetMode="External"/><Relationship Id="rId1" Type="http://schemas.openxmlformats.org/officeDocument/2006/relationships/hyperlink" Target="https://savethechildren.org.co/save-the-children-colombia-suspende-operacion-en-teorama-y-convencion-norte-de-santander-debido-a-incidentes-de-seguridad/" TargetMode="External"/><Relationship Id="rId6" Type="http://schemas.openxmlformats.org/officeDocument/2006/relationships/hyperlink" Target="https://www.oas.org/es/cidh/informes/pdfs/ObservacionesVisita_CIDH_Colombia_SPA.pdf" TargetMode="External"/><Relationship Id="rId11" Type="http://schemas.openxmlformats.org/officeDocument/2006/relationships/hyperlink" Target="https://twitter.com/FiscaliaCol/status/1404773347930542087/photo/1" TargetMode="External"/><Relationship Id="rId5" Type="http://schemas.openxmlformats.org/officeDocument/2006/relationships/hyperlink" Target="https://idm.presidencia.gov.co/prensa/mas-de-968000-personas-registrado-estatuto-temporal-proteccion-migrantes-210610" TargetMode="External"/><Relationship Id="rId15" Type="http://schemas.openxmlformats.org/officeDocument/2006/relationships/hyperlink" Target="https://biesimci.org/fileadmin/2020/documentos/censo/censo_2020.pdf" TargetMode="External"/><Relationship Id="rId10" Type="http://schemas.openxmlformats.org/officeDocument/2006/relationships/hyperlink" Target="https://www.oas.org/es/CIDH/jsForm/?File=/es/cidh/prensa/comunicados/2021/167.asp" TargetMode="External"/><Relationship Id="rId4" Type="http://schemas.openxmlformats.org/officeDocument/2006/relationships/hyperlink" Target="https://dapre.presidencia.gov.co/normativa/normativa/LEY%202135%20DEL%204%20DE%20AGOSTO%20DE%202021.pdf" TargetMode="External"/><Relationship Id="rId9" Type="http://schemas.openxmlformats.org/officeDocument/2006/relationships/hyperlink" Target="https://www.onic.org.co/comunicados-onic/4304-informe-ejecutivo-sobre-el-contexto-y-las-afectaciones-a-los-derechos-de-los-pueblos-indigenas-dentro-del-paro-y-minga-nacional-en-colombia" TargetMode="External"/><Relationship Id="rId14" Type="http://schemas.openxmlformats.org/officeDocument/2006/relationships/hyperlink" Target="https://www.jep.gov.co/Marco%20Normativo/Normativa_v2/01%20ACUERDOS/N0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878A0-7705-4CF0-BF48-2A797C978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19518</Words>
  <Characters>111258</Characters>
  <Application>Microsoft Office Word</Application>
  <DocSecurity>0</DocSecurity>
  <Lines>927</Lines>
  <Paragraphs>261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Dinámicas Territoriales</dc:creator>
  <cp:keywords/>
  <dc:description/>
  <cp:lastModifiedBy>Cortes, Rodrigo</cp:lastModifiedBy>
  <cp:revision>2</cp:revision>
  <cp:lastPrinted>2019-11-26T14:17:00Z</cp:lastPrinted>
  <dcterms:created xsi:type="dcterms:W3CDTF">2022-01-26T15:40:00Z</dcterms:created>
  <dcterms:modified xsi:type="dcterms:W3CDTF">2022-01-26T15:40:00Z</dcterms:modified>
</cp:coreProperties>
</file>