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21B9" w14:textId="77777777" w:rsidR="00816097" w:rsidRPr="00960D8B" w:rsidRDefault="00816097" w:rsidP="00816097">
      <w:pPr>
        <w:tabs>
          <w:tab w:val="left" w:pos="7560"/>
        </w:tabs>
        <w:ind w:right="-1109"/>
        <w:rPr>
          <w:szCs w:val="22"/>
          <w:lang w:val="pt-BR"/>
        </w:rPr>
      </w:pPr>
    </w:p>
    <w:p w14:paraId="17D79C43" w14:textId="77777777" w:rsidR="00816097" w:rsidRPr="00960D8B" w:rsidRDefault="00816097" w:rsidP="00816097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960D8B">
        <w:rPr>
          <w:szCs w:val="22"/>
          <w:lang w:val="pt-BR"/>
        </w:rPr>
        <w:t>QUINQUAGÉSIMO</w:t>
      </w:r>
      <w:r w:rsidRPr="00960D8B">
        <w:rPr>
          <w:b/>
          <w:bCs/>
          <w:szCs w:val="22"/>
          <w:lang w:val="pt-BR"/>
        </w:rPr>
        <w:t xml:space="preserve"> </w:t>
      </w:r>
      <w:r w:rsidRPr="00960D8B">
        <w:rPr>
          <w:szCs w:val="22"/>
          <w:lang w:val="pt-BR"/>
        </w:rPr>
        <w:t>PRIMEIRO PERÍODO ORDINÁRIO DE SESSÕES</w:t>
      </w:r>
      <w:r w:rsidRPr="00960D8B">
        <w:rPr>
          <w:szCs w:val="22"/>
          <w:lang w:val="pt-BR"/>
        </w:rPr>
        <w:tab/>
        <w:t>OEA/Ser.P</w:t>
      </w:r>
    </w:p>
    <w:p w14:paraId="459278F3" w14:textId="4C6A2043" w:rsidR="00816097" w:rsidRPr="00960D8B" w:rsidRDefault="00816097" w:rsidP="00816097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960D8B">
        <w:rPr>
          <w:szCs w:val="22"/>
          <w:lang w:val="pt-BR"/>
        </w:rPr>
        <w:t>De 10 a 12 de novembro de 2021</w:t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  <w:t>AG/CG/doc.3/21</w:t>
      </w:r>
      <w:r w:rsidR="000E273C">
        <w:rPr>
          <w:szCs w:val="22"/>
          <w:lang w:val="pt-BR"/>
        </w:rPr>
        <w:t xml:space="preserve"> </w:t>
      </w:r>
      <w:r w:rsidRPr="00960D8B">
        <w:rPr>
          <w:szCs w:val="22"/>
          <w:lang w:val="pt-BR"/>
        </w:rPr>
        <w:t>rev. 1</w:t>
      </w:r>
    </w:p>
    <w:p w14:paraId="1F36EE7A" w14:textId="77777777" w:rsidR="00816097" w:rsidRPr="00960D8B" w:rsidRDefault="00816097" w:rsidP="00816097">
      <w:pPr>
        <w:tabs>
          <w:tab w:val="left" w:pos="7560"/>
        </w:tabs>
        <w:ind w:right="-1109"/>
        <w:rPr>
          <w:szCs w:val="22"/>
          <w:lang w:val="pt-BR"/>
        </w:rPr>
      </w:pPr>
      <w:r w:rsidRPr="00960D8B">
        <w:rPr>
          <w:szCs w:val="22"/>
          <w:lang w:val="pt-BR"/>
        </w:rPr>
        <w:t>Cidade da Guatemala, Guatemala</w:t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  <w:t>12 novembro 2021</w:t>
      </w:r>
    </w:p>
    <w:p w14:paraId="19677CE3" w14:textId="77777777" w:rsidR="00816097" w:rsidRPr="00960D8B" w:rsidRDefault="00816097" w:rsidP="00816097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960D8B">
        <w:rPr>
          <w:szCs w:val="22"/>
          <w:lang w:val="pt-BR"/>
        </w:rPr>
        <w:t>VIRTUAL</w:t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</w:r>
      <w:r w:rsidRPr="00960D8B">
        <w:rPr>
          <w:szCs w:val="22"/>
          <w:lang w:val="pt-BR"/>
        </w:rPr>
        <w:tab/>
        <w:t>Original: espanhol</w:t>
      </w:r>
    </w:p>
    <w:p w14:paraId="322EDDA4" w14:textId="77777777" w:rsidR="00816097" w:rsidRPr="00960D8B" w:rsidRDefault="00816097" w:rsidP="00816097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4AF9B9DD" w14:textId="77777777" w:rsidR="00816097" w:rsidRPr="00960D8B" w:rsidRDefault="00816097" w:rsidP="00816097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695C3297" w14:textId="77777777" w:rsidR="00816097" w:rsidRPr="00960D8B" w:rsidRDefault="00816097" w:rsidP="00816097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110DCCDC" w14:textId="77777777" w:rsidR="00816097" w:rsidRPr="00960D8B" w:rsidRDefault="00816097" w:rsidP="00816097">
      <w:pPr>
        <w:widowControl/>
        <w:jc w:val="center"/>
        <w:rPr>
          <w:rFonts w:eastAsia="Calibri"/>
          <w:bCs/>
          <w:szCs w:val="22"/>
          <w:lang w:val="pt-BR" w:eastAsia="en-US"/>
        </w:rPr>
      </w:pPr>
      <w:r w:rsidRPr="00960D8B">
        <w:rPr>
          <w:rFonts w:eastAsia="Calibri"/>
          <w:bCs/>
          <w:szCs w:val="22"/>
          <w:lang w:val="pt-BR"/>
        </w:rPr>
        <w:t xml:space="preserve">PROJETO DE RESOLUÇÃO </w:t>
      </w:r>
    </w:p>
    <w:p w14:paraId="5978CD04" w14:textId="77777777" w:rsidR="00816097" w:rsidRPr="00960D8B" w:rsidRDefault="00816097" w:rsidP="00816097">
      <w:pPr>
        <w:pStyle w:val="Style1"/>
        <w:kinsoku w:val="0"/>
        <w:autoSpaceDE/>
        <w:adjustRightInd/>
        <w:jc w:val="center"/>
        <w:rPr>
          <w:sz w:val="22"/>
          <w:szCs w:val="22"/>
          <w:lang w:val="pt-BR"/>
        </w:rPr>
      </w:pPr>
      <w:r w:rsidRPr="00960D8B">
        <w:rPr>
          <w:rFonts w:eastAsia="Calibri"/>
          <w:bCs/>
          <w:sz w:val="22"/>
          <w:szCs w:val="22"/>
          <w:lang w:val="pt-BR"/>
        </w:rPr>
        <w:t>EVOLUÇÃO DA PANDEMIA DE COVID-19 E SEU IMPACTO NO HEMISFÉRIO</w:t>
      </w:r>
    </w:p>
    <w:p w14:paraId="0A5DFC08" w14:textId="77777777" w:rsidR="00816097" w:rsidRPr="00960D8B" w:rsidRDefault="00816097" w:rsidP="00816097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529A6FC2" w14:textId="68217881" w:rsidR="00816097" w:rsidRPr="00960D8B" w:rsidRDefault="00816097" w:rsidP="00816097">
      <w:pPr>
        <w:pStyle w:val="Style1"/>
        <w:kinsoku w:val="0"/>
        <w:jc w:val="center"/>
        <w:rPr>
          <w:sz w:val="22"/>
          <w:szCs w:val="22"/>
          <w:lang w:val="pt-BR"/>
        </w:rPr>
      </w:pPr>
      <w:r w:rsidRPr="00960D8B">
        <w:rPr>
          <w:sz w:val="22"/>
          <w:szCs w:val="22"/>
          <w:lang w:val="pt-BR"/>
        </w:rPr>
        <w:t>(Acordado pela Comissão Geral em 12 de novembro de 2021 e</w:t>
      </w:r>
    </w:p>
    <w:p w14:paraId="09BE4FCE" w14:textId="3FA2112C" w:rsidR="00816097" w:rsidRPr="00960D8B" w:rsidRDefault="00816097" w:rsidP="00816097">
      <w:pPr>
        <w:pStyle w:val="Style1"/>
        <w:kinsoku w:val="0"/>
        <w:jc w:val="center"/>
        <w:rPr>
          <w:sz w:val="22"/>
          <w:szCs w:val="22"/>
          <w:lang w:val="pt-BR"/>
        </w:rPr>
      </w:pPr>
      <w:r w:rsidRPr="00960D8B">
        <w:rPr>
          <w:sz w:val="22"/>
          <w:szCs w:val="22"/>
          <w:lang w:val="pt-BR"/>
        </w:rPr>
        <w:t>submetido à consideração do plenário)</w:t>
      </w:r>
    </w:p>
    <w:p w14:paraId="65083BA5" w14:textId="77777777" w:rsidR="00816097" w:rsidRPr="00960D8B" w:rsidRDefault="00816097" w:rsidP="00816097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  <w:lang w:val="pt-BR"/>
        </w:rPr>
      </w:pPr>
    </w:p>
    <w:p w14:paraId="07E5106C" w14:textId="77777777" w:rsidR="00816097" w:rsidRPr="00960D8B" w:rsidRDefault="00816097" w:rsidP="00816097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  <w:lang w:val="pt-BR"/>
        </w:rPr>
      </w:pPr>
    </w:p>
    <w:p w14:paraId="79B3ACCA" w14:textId="77777777" w:rsidR="00816097" w:rsidRPr="00960D8B" w:rsidRDefault="00816097" w:rsidP="00816097">
      <w:pPr>
        <w:pStyle w:val="Style2"/>
        <w:kinsoku w:val="0"/>
        <w:autoSpaceDE/>
        <w:spacing w:before="0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hAnsi="Times New Roman" w:cs="Times New Roman"/>
          <w:color w:val="000000"/>
          <w:sz w:val="22"/>
          <w:szCs w:val="22"/>
          <w:lang w:val="pt-BR"/>
        </w:rPr>
        <w:t>A ASSEMBLEIA GERAL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,</w:t>
      </w:r>
    </w:p>
    <w:p w14:paraId="7CF8AC01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AEB8E7C" w14:textId="2AED5611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RECONHECENDO que os povos das Américas continuam enfrentando os efeitos sem precedentes da pandemia de covid-19 em vidas e meios de subsistência</w:t>
      </w:r>
      <w:r w:rsidR="004619D8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e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economias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69C60914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D5742F8" w14:textId="68DEF020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RECONHECENDO COM APREENSÃO que a covid-19 teve impacto desproporcional na população mais vulnerável da região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7B103DA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CEDA16D" w14:textId="768A8EC6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RECONHECENDO TAMBÉM que a crise econômica e social desencadeada pela pandemia de covid-19 aumentou o hiato social e de gênero </w:t>
      </w:r>
      <w:r w:rsidR="009772C0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que já existia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356CDA1" w14:textId="77777777" w:rsidR="00816097" w:rsidRPr="00960D8B" w:rsidRDefault="00816097" w:rsidP="00816097">
      <w:pPr>
        <w:pStyle w:val="Style1"/>
        <w:kinsoku w:val="0"/>
        <w:autoSpaceDE/>
        <w:adjustRightInd/>
        <w:jc w:val="both"/>
        <w:rPr>
          <w:sz w:val="22"/>
          <w:szCs w:val="22"/>
          <w:highlight w:val="yellow"/>
          <w:lang w:val="pt-BR"/>
        </w:rPr>
      </w:pPr>
    </w:p>
    <w:p w14:paraId="641B7D37" w14:textId="4CCA74D5" w:rsidR="00816097" w:rsidRPr="00960D8B" w:rsidRDefault="00816097" w:rsidP="00816097">
      <w:pPr>
        <w:pStyle w:val="Style1"/>
        <w:kinsoku w:val="0"/>
        <w:autoSpaceDE/>
        <w:adjustRightInd/>
        <w:ind w:firstLine="720"/>
        <w:jc w:val="both"/>
        <w:rPr>
          <w:sz w:val="22"/>
          <w:szCs w:val="22"/>
          <w:lang w:val="pt-BR"/>
        </w:rPr>
      </w:pPr>
      <w:r w:rsidRPr="00960D8B">
        <w:rPr>
          <w:rStyle w:val="CharacterStyle2"/>
          <w:spacing w:val="-5"/>
          <w:sz w:val="22"/>
          <w:szCs w:val="22"/>
          <w:lang w:val="pt-BR"/>
        </w:rPr>
        <w:t xml:space="preserve">CONSCIENTE de que a pandemia de covid-19 exacerbou as vulnerabilidades inerentes e estruturais dos </w:t>
      </w:r>
      <w:r w:rsidR="004619D8" w:rsidRPr="00960D8B">
        <w:rPr>
          <w:rStyle w:val="CharacterStyle2"/>
          <w:spacing w:val="-5"/>
          <w:sz w:val="22"/>
          <w:szCs w:val="22"/>
          <w:lang w:val="pt-BR"/>
        </w:rPr>
        <w:t>pequenos Estados insulares e de zonas litorâneas baixas em desenvolvimento</w:t>
      </w:r>
      <w:r w:rsidRPr="00960D8B">
        <w:rPr>
          <w:rStyle w:val="CharacterStyle2"/>
          <w:spacing w:val="-5"/>
          <w:sz w:val="22"/>
          <w:szCs w:val="22"/>
          <w:lang w:val="pt-BR"/>
        </w:rPr>
        <w:t>, em virtude da pequena extensão, das restrições financeiras e de recursos humanos e da susceptibilidade a choques exógenos</w:t>
      </w:r>
      <w:r w:rsidRPr="00960D8B">
        <w:rPr>
          <w:sz w:val="22"/>
          <w:szCs w:val="22"/>
          <w:lang w:val="pt-BR"/>
        </w:rPr>
        <w:t>;</w:t>
      </w:r>
    </w:p>
    <w:p w14:paraId="0D9F9E32" w14:textId="77777777" w:rsidR="00816097" w:rsidRPr="00960D8B" w:rsidRDefault="00816097" w:rsidP="00816097">
      <w:pPr>
        <w:pStyle w:val="Style1"/>
        <w:kinsoku w:val="0"/>
        <w:autoSpaceDE/>
        <w:adjustRightInd/>
        <w:jc w:val="both"/>
        <w:rPr>
          <w:sz w:val="22"/>
          <w:szCs w:val="22"/>
          <w:lang w:val="pt-BR"/>
        </w:rPr>
      </w:pPr>
    </w:p>
    <w:p w14:paraId="3F849744" w14:textId="01250557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RECONHECENDO AINDA que a pandemia de covid-19 aprofundou carências e desigualdades para obter acesso a medicamentos, como produtos farmacêuticos, vacinas e outras tecnologias sanitárias, afetando a capacidade de resposta dos sistemas de saúde e limitando a prestação de serviços de saúde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CABE0E5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8DF9F30" w14:textId="5E2072B8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TENDO PRESENTE que a crise sanitária mostrou a alta dependência da América Latina e do Caribe das importações de medicamentos e outras tecnologias sanitárias, a vulnerabilidade das cadeias de abastecimento mundiais em situações de emergência e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 desigualdade em termos de capacidade de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pesquisa, desenvolvimento e produção de vacinas nas Américas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5EAC0CA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9F2E2BE" w14:textId="355DBACC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RECONHECENDO que, em geral, a pandemia agravou as fragilidades regionais em planejamento, preparação, detecção e coordenação de resposta em matéria de saúde pública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5F1794D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194DD93F" w14:textId="7E1C4D4B" w:rsidR="00816097" w:rsidRPr="00960D8B" w:rsidRDefault="00816097" w:rsidP="00816097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TENDO PRESENTE que, na sessão extraordinária do Conselho Permanente para considerar a evolução da pandemia de covid-19 e seu impacto no Hemisfério, realizada em 30 de setembro de 2021, os representantes dos Chefes de Estado e de Governo e Ministros da Saúde</w:t>
      </w:r>
      <w:r w:rsidRPr="00960D8B">
        <w:rPr>
          <w:rStyle w:val="CharacterStyle2"/>
          <w:rFonts w:ascii="Times New Roman" w:hAnsi="Times New Roman" w:cs="Times New Roman"/>
          <w:spacing w:val="-5"/>
          <w:sz w:val="22"/>
          <w:szCs w:val="22"/>
          <w:lang w:val="pt-BR"/>
        </w:rPr>
        <w:t xml:space="preserve">, juntamente com as </w:t>
      </w:r>
      <w:r w:rsidR="000962A9" w:rsidRPr="00960D8B">
        <w:rPr>
          <w:rStyle w:val="CharacterStyle2"/>
          <w:rFonts w:ascii="Times New Roman" w:hAnsi="Times New Roman" w:cs="Times New Roman"/>
          <w:spacing w:val="-5"/>
          <w:sz w:val="22"/>
          <w:szCs w:val="22"/>
          <w:lang w:val="pt-BR"/>
        </w:rPr>
        <w:t>máximas</w:t>
      </w:r>
      <w:r w:rsidRPr="00960D8B">
        <w:rPr>
          <w:rStyle w:val="CharacterStyle2"/>
          <w:rFonts w:ascii="Times New Roman" w:hAnsi="Times New Roman" w:cs="Times New Roman"/>
          <w:spacing w:val="-6"/>
          <w:w w:val="105"/>
          <w:sz w:val="22"/>
          <w:szCs w:val="22"/>
          <w:lang w:val="pt-BR"/>
        </w:rPr>
        <w:t xml:space="preserve">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autoridades sanitárias </w:t>
      </w:r>
      <w:r w:rsidRPr="00960D8B">
        <w:rPr>
          <w:rStyle w:val="CharacterStyle2"/>
          <w:rFonts w:ascii="Times New Roman" w:hAnsi="Times New Roman" w:cs="Times New Roman"/>
          <w:spacing w:val="-5"/>
          <w:sz w:val="22"/>
          <w:szCs w:val="22"/>
          <w:lang w:val="pt-BR"/>
        </w:rPr>
        <w:t>mundiais e hemisféricas, salientaram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a necessidade de levar adiante ações coordenadas para melhorar a resposta da região ante a pandemia de covid-19 e futuras crises sanitárias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BA6C160" w14:textId="629FD26B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lastRenderedPageBreak/>
        <w:t>REAFIRMANDO que a solidariedade hemisférica e a cooperação conjuntas e coordenadas ajudarão a desacelerar e prevenir a propagação da covid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-19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e contribuir para o fortalecimento da resposta regional e para os esforços de recuperação; e reconhecendo o papel que a Organização dos Estados Americanos, a Organização Pan-Americana da Saúde e as instituições sub-regionais de saúde no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H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emisfério, especificamente a Agência de Saúde Pública do Caribe, podem desempenhar nessa matéria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47556C12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31FD378" w14:textId="2828E3D3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APREENSIVA pela falta de distribuição equitativa de vacinas, que redund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em que os países em desenvolvimento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dependam de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doações filantrópicas de vacinas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67006FC5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6CCB5DB" w14:textId="7FD90EF3" w:rsidR="00816097" w:rsidRPr="00960D8B" w:rsidRDefault="005E7A06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RECONHECENDO a necessidade urgente de criar unidades de produção nos países em desenvolvimento que tenham as condições técnicas necessárias para a produção de vacinas e outras tecnologias sanitárias seguras, efetivas, de qualidade e acessíveis, e que possam ser realizadas mediante a colaboração regional e o intercâmbio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de conhecimentos científicos e técnicos pertinentes nos termos mutuamente acordados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;</w:t>
      </w:r>
    </w:p>
    <w:p w14:paraId="46694B81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0826F80" w14:textId="451F7949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CONSIDERANDO que é necessário que se alcance maior concertação política na região, para que apoiemos ações transformadoras estruturais que construam sociedades e sistemas de saúde resilientes, que sejam capazes de gerir ameaças atuais e futuras, promovendo, ao mesmo tempo, o acesso universal à saúde e à cobertura universal de saúde para suas populações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36FC60F6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B208095" w14:textId="694F4291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REAFIRMANDO a importância de financiamento e assistência técnica que possibilitem aos Estados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m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embros, em particular às nações mais vulneráveis, reduzir as perdas econômicas causadas pela pandemia de covid-19 e prepar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ar-se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para futuras pandemias e outras ameaças à saúde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8F184FB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4877B81" w14:textId="6CCCD409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LEVANDO EM CONTA a resolução CP/RES. 1151 (2280/20), “Resposta da OEA à pandemia de covid-19”, aprovada pelo Conselho Permanente na sessão extraordinária virtual realizada em 16 de abril de 2020, e a resolução CP/RES 1165 (2312/21) “A distribuição equitativa de vacinas contra a covid-19”, aprovada pelo Conselho Permanente na sessão ordinária virtual realizada em 17 de fevereiro de 2021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3C99FA7A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A2AE266" w14:textId="2B4E3449" w:rsidR="00816097" w:rsidRPr="00960D8B" w:rsidRDefault="00816097" w:rsidP="00816097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LEVANDO EM CONTA TAMBÉM as resoluções CD59.R3, “Aumento da capacidade de produção de medicamentos e tecnologias em saúde essenciais”, e CD59.R13, “Revigoramento da imunização como um bem público para a saúde universal”, aprovadas pelo </w:t>
      </w:r>
      <w:r w:rsidR="000962A9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Quinquagésimo Nono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Conselho Diretor da Organização Pan-Americana da Saúde (OPAS), na sessão de setembro de 2021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5A3C5937" w14:textId="77777777" w:rsidR="00816097" w:rsidRPr="00960D8B" w:rsidRDefault="00816097" w:rsidP="00816097">
      <w:pPr>
        <w:pStyle w:val="Style1"/>
        <w:kinsoku w:val="0"/>
        <w:autoSpaceDE/>
        <w:adjustRightInd/>
        <w:ind w:right="-29"/>
        <w:jc w:val="both"/>
        <w:rPr>
          <w:sz w:val="22"/>
          <w:szCs w:val="22"/>
          <w:lang w:val="pt-BR"/>
        </w:rPr>
      </w:pPr>
    </w:p>
    <w:p w14:paraId="58377E0D" w14:textId="36979C7C" w:rsidR="00816097" w:rsidRPr="00960D8B" w:rsidRDefault="004619D8" w:rsidP="00816097">
      <w:pPr>
        <w:pStyle w:val="Style1"/>
        <w:kinsoku w:val="0"/>
        <w:autoSpaceDE/>
        <w:adjustRightInd/>
        <w:ind w:right="-29" w:firstLine="720"/>
        <w:jc w:val="both"/>
        <w:rPr>
          <w:b/>
          <w:bCs/>
          <w:sz w:val="22"/>
          <w:szCs w:val="22"/>
          <w:lang w:val="pt-BR"/>
        </w:rPr>
      </w:pPr>
      <w:r w:rsidRPr="00960D8B">
        <w:rPr>
          <w:rFonts w:eastAsia="Calibri"/>
          <w:sz w:val="22"/>
          <w:szCs w:val="22"/>
          <w:lang w:val="pt-BR"/>
        </w:rPr>
        <w:t>EXPRESSANDO</w:t>
      </w:r>
      <w:r w:rsidR="00816097" w:rsidRPr="00960D8B">
        <w:rPr>
          <w:rFonts w:eastAsia="Calibri"/>
          <w:sz w:val="22"/>
          <w:szCs w:val="22"/>
          <w:lang w:val="pt-BR"/>
        </w:rPr>
        <w:t xml:space="preserve"> sua gratidão contínua à Organização Pan-Americana da Saúde, à Organização Mundial da Saúde, aos Estados membros, às agências regionais de saúde, incluindo a Agência de Saúde Pública do Caribe, pelo empenho em proteger a saúde dos povos das Américas sempre e, em especial, durante a pandemia de covid-19,</w:t>
      </w:r>
      <w:r w:rsidR="00816097" w:rsidRPr="00960D8B">
        <w:rPr>
          <w:b/>
          <w:bCs/>
          <w:sz w:val="22"/>
          <w:szCs w:val="22"/>
          <w:lang w:val="pt-BR"/>
        </w:rPr>
        <w:br w:type="page"/>
      </w:r>
    </w:p>
    <w:p w14:paraId="63EBA837" w14:textId="77777777" w:rsidR="00816097" w:rsidRPr="00960D8B" w:rsidRDefault="00816097" w:rsidP="00816097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hAnsi="Times New Roman" w:cs="Times New Roman"/>
          <w:sz w:val="22"/>
          <w:szCs w:val="22"/>
          <w:lang w:val="pt-BR"/>
        </w:rPr>
        <w:lastRenderedPageBreak/>
        <w:t>RESOLVE:</w:t>
      </w:r>
    </w:p>
    <w:p w14:paraId="62A12A9B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BEC7A56" w14:textId="486AF366" w:rsidR="00816097" w:rsidRPr="00960D8B" w:rsidRDefault="000962A9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Encarregar </w:t>
      </w:r>
      <w:r w:rsidR="00816097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o Conselho Permanente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de </w:t>
      </w:r>
      <w:r w:rsidR="00816097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que continue facilitando o diálogo e atualizações regulares com a Organização Pan-Americana da Saúde (OPAS), com vistas a reforçar a coordenação e a cooperação hemisféricas para o combate efetivo da covid-19 e a fazer frente a seus efeitos socioeconômicos devastadores</w:t>
      </w:r>
      <w:r w:rsidR="00816097" w:rsidRPr="00960D8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1A1E2304" w14:textId="77777777" w:rsidR="00816097" w:rsidRPr="00960D8B" w:rsidRDefault="00816097" w:rsidP="00816097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13207E7" w14:textId="44E8CEC2" w:rsidR="00816097" w:rsidRPr="00960D8B" w:rsidRDefault="00816097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Exortar os Estados membros a que promovam a solidariedade mútua hemisférica no desenvolvimento e na aquisição de vacinas e outras tecnologias sanitárias seguras, acessíveis e efetivas e, nesse âmbito, convidar os Estados membros a que apoiem o desenvolvimento voluntário de plataformas regionais, em consonância com os esforços multilaterais mundiais, como o Acelerador de Acesso a Ferramentas contra a </w:t>
      </w:r>
      <w:r w:rsidR="002B2B16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C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ovid-19; a Plataforma Regional para o Avanço na Produção de Vacinas e outras Tecnologias de Saúde nas Américas, lançada pela Organização Pan-Americana da Saúde (OPAS); bem como a iniciativa apoiada pela Organização Mundial da Saúde (OMS) e pela OPAS sobre Transferência de Tecnologia para Produção de Vacinas de mRNA nas Américas; e o Repositório de Acesso a Tecnologias para a </w:t>
      </w:r>
      <w:r w:rsidR="002B2B16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C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ovid-19 (C-TAP), iniciativa apoiada pela OMS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4765EC47" w14:textId="77777777" w:rsidR="00816097" w:rsidRPr="00960D8B" w:rsidRDefault="00816097" w:rsidP="00816097">
      <w:pPr>
        <w:rPr>
          <w:szCs w:val="22"/>
          <w:lang w:val="pt-BR"/>
        </w:rPr>
      </w:pPr>
    </w:p>
    <w:p w14:paraId="2C2644F3" w14:textId="0C630011" w:rsidR="00816097" w:rsidRPr="00960D8B" w:rsidRDefault="00816097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Instar os Estados membros a que envidem os maiores esforços possíveis para continuar fortalecendo o investimento público em saúde, de modo a permitir que se melhore e amplie a capacidade nacional e regional de desenvolvimento e produção de matérias-primas, vacinas, testes de diagnóstico e tratamentos, a fim de conseguir uma pronta recuperação sanitária e econômica e superar a vulnerabilidade e a dependência externa ante as emergências sanitárias mundiais, alcançando uma preparação adequada e de capacidades de resposta em nossa região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32FD9FF" w14:textId="77777777" w:rsidR="00816097" w:rsidRPr="00960D8B" w:rsidRDefault="00816097" w:rsidP="00816097">
      <w:pPr>
        <w:rPr>
          <w:b/>
          <w:szCs w:val="22"/>
          <w:lang w:val="pt-BR"/>
        </w:rPr>
      </w:pPr>
    </w:p>
    <w:p w14:paraId="6DCADC8F" w14:textId="795F9307" w:rsidR="00816097" w:rsidRPr="00960D8B" w:rsidRDefault="00960D8B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 w:eastAsia="es-US"/>
        </w:rPr>
      </w:pPr>
      <w:r w:rsidRPr="00960D8B">
        <w:rPr>
          <w:rFonts w:ascii="Times New Roman" w:hAnsi="Times New Roman" w:cs="Times New Roman"/>
          <w:sz w:val="22"/>
          <w:szCs w:val="22"/>
          <w:lang w:val="pt-BR" w:eastAsia="es-US"/>
        </w:rPr>
        <w:t>Instar</w:t>
      </w:r>
      <w:r w:rsidR="00816097" w:rsidRPr="00960D8B">
        <w:rPr>
          <w:rFonts w:ascii="Times New Roman" w:hAnsi="Times New Roman" w:cs="Times New Roman"/>
          <w:sz w:val="22"/>
          <w:szCs w:val="22"/>
          <w:lang w:val="pt-BR" w:eastAsia="es-US"/>
        </w:rPr>
        <w:t xml:space="preserve"> os Estados </w:t>
      </w:r>
      <w:r w:rsidRPr="00960D8B">
        <w:rPr>
          <w:rFonts w:ascii="Times New Roman" w:hAnsi="Times New Roman" w:cs="Times New Roman"/>
          <w:sz w:val="22"/>
          <w:szCs w:val="22"/>
          <w:lang w:val="pt-BR" w:eastAsia="es-US"/>
        </w:rPr>
        <w:t>m</w:t>
      </w:r>
      <w:r w:rsidR="00816097" w:rsidRPr="00960D8B">
        <w:rPr>
          <w:rFonts w:ascii="Times New Roman" w:hAnsi="Times New Roman" w:cs="Times New Roman"/>
          <w:sz w:val="22"/>
          <w:szCs w:val="22"/>
          <w:lang w:val="pt-BR" w:eastAsia="es-US"/>
        </w:rPr>
        <w:t>embros a adotarem medidas estratégicas e específicas para alcançar sistemas de saúde resilientes por meio de um rápido progresso no acesso e cobertura da saúde, abordando as deficiências sistêmicas e estruturais dos sistemas de saúde expostas pela pandemia de covid-19, abordar as desigualdades de saúde e os fatores de risco ambientais, garantindo a adoção e consolidação das inovações introduzidas nos sistemas de saúde durante a resposta à pandemia.</w:t>
      </w:r>
    </w:p>
    <w:p w14:paraId="1A7C3A62" w14:textId="77777777" w:rsidR="00816097" w:rsidRPr="00960D8B" w:rsidRDefault="00816097" w:rsidP="00816097">
      <w:pPr>
        <w:widowControl/>
        <w:shd w:val="clear" w:color="auto" w:fill="F8F9FA"/>
        <w:jc w:val="left"/>
        <w:rPr>
          <w:b/>
          <w:szCs w:val="22"/>
          <w:lang w:val="pt-BR"/>
        </w:rPr>
      </w:pPr>
    </w:p>
    <w:p w14:paraId="2AD892C0" w14:textId="7DCF6016" w:rsidR="00816097" w:rsidRPr="00960D8B" w:rsidRDefault="00816097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Fazer um apelo aos Estados membros </w:t>
      </w:r>
      <w:r w:rsidR="00960D8B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que apliquem políticas econômicas consistentes, que contribuam de maneira sustentada para gerar postos de trabalho, aumentar a produtividade econômica e promover a inovação, </w:t>
      </w:r>
      <w:r w:rsidR="00960D8B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inclusive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fortalecendo a infraestrutura, as tecnologias e a alfabetização digitais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1829EB9" w14:textId="77777777" w:rsidR="00816097" w:rsidRPr="00960D8B" w:rsidRDefault="00816097" w:rsidP="00816097">
      <w:pPr>
        <w:rPr>
          <w:szCs w:val="22"/>
          <w:lang w:val="pt-BR"/>
        </w:rPr>
      </w:pPr>
    </w:p>
    <w:p w14:paraId="1B100A48" w14:textId="5076574B" w:rsidR="00816097" w:rsidRPr="00960D8B" w:rsidRDefault="00960D8B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Fazer um apelo</w:t>
      </w:r>
      <w:r w:rsidR="00816097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aos Estados membros e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aos </w:t>
      </w:r>
      <w:r w:rsidR="00816097"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Observadores Permanentes a que coordenem posições comuns em organismos multilaterais, com vistas a facilitar solidariamente a recuperação pós-pandemia, atendendo especialmente às dificuldades econômicas, produtivas e financeiras agravadas pela pandemia</w:t>
      </w:r>
      <w:r w:rsidR="00816097" w:rsidRPr="00960D8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1673549" w14:textId="77777777" w:rsidR="00816097" w:rsidRPr="00960D8B" w:rsidRDefault="00816097" w:rsidP="00816097">
      <w:pPr>
        <w:rPr>
          <w:rFonts w:eastAsia="Calibri"/>
          <w:szCs w:val="22"/>
          <w:lang w:val="pt-BR"/>
        </w:rPr>
      </w:pPr>
    </w:p>
    <w:p w14:paraId="7F741625" w14:textId="753CAFC3" w:rsidR="00816097" w:rsidRPr="00960D8B" w:rsidRDefault="004619D8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Apoiar o papel de uma imunização extensiva contra a covid-19 como bem público global e reiterar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os Estados membros e Observadores Permanentes que estejam em condições de fazê-lo que tomem medidas para facilitar a distribuição equitativa de vacinas no Hemisfério, 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 xml:space="preserve">considerando que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um elemento-chave para superar</w:t>
      </w:r>
      <w:r w:rsidRPr="00960D8B">
        <w:rPr>
          <w:rFonts w:ascii="Times New Roman" w:hAnsi="Times New Roman" w:cs="Times New Roman"/>
          <w:sz w:val="22"/>
          <w:szCs w:val="22"/>
          <w:lang w:val="pt-BR"/>
        </w:rPr>
        <w:t xml:space="preserve"> esta </w:t>
      </w:r>
      <w:r w:rsidRPr="00960D8B">
        <w:rPr>
          <w:rFonts w:ascii="Times New Roman" w:eastAsia="Calibri" w:hAnsi="Times New Roman" w:cs="Times New Roman"/>
          <w:sz w:val="22"/>
          <w:szCs w:val="22"/>
          <w:lang w:val="pt-BR"/>
        </w:rPr>
        <w:t>emergência é a aceleração do acesso equitativo e necessário a vacinas de covid-19 seguras, efetivas, acessíveis e de qualidade.</w:t>
      </w:r>
    </w:p>
    <w:p w14:paraId="23828779" w14:textId="77777777" w:rsidR="00816097" w:rsidRPr="00960D8B" w:rsidRDefault="00816097" w:rsidP="00816097">
      <w:pPr>
        <w:ind w:left="720" w:hanging="720"/>
        <w:rPr>
          <w:szCs w:val="22"/>
          <w:lang w:val="pt-BR"/>
        </w:rPr>
      </w:pPr>
    </w:p>
    <w:p w14:paraId="6193F483" w14:textId="18525EA3" w:rsidR="00816097" w:rsidRPr="00960D8B" w:rsidRDefault="004619D8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Fazer um apelo às instituições financeiras internacionais a que ofereçam financiamento em condições favoráveis aos países em desenvolvimento, especialmente os pequenos Estados, com </w:t>
      </w:r>
      <w:r w:rsidRPr="00960D8B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lastRenderedPageBreak/>
        <w:t xml:space="preserve">base na </w:t>
      </w:r>
      <w:r w:rsidR="00960D8B" w:rsidRPr="00960D8B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sua </w:t>
      </w:r>
      <w:r w:rsidRPr="00960D8B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vulnerabilidade, a fim de reduzir as perdas econômicas provocadas pela pandemia de </w:t>
      </w:r>
      <w:r w:rsidRPr="00960D8B">
        <w:rPr>
          <w:rStyle w:val="CharacterStyle3"/>
          <w:rFonts w:ascii="Times New Roman" w:hAnsi="Times New Roman" w:cs="Times New Roman"/>
          <w:color w:val="auto"/>
          <w:spacing w:val="-5"/>
          <w:sz w:val="22"/>
          <w:szCs w:val="22"/>
          <w:lang w:val="pt-BR"/>
        </w:rPr>
        <w:t>covid-19. [EUA: apresentarão nota de rodapé]</w:t>
      </w:r>
    </w:p>
    <w:p w14:paraId="04183157" w14:textId="77777777" w:rsidR="00816097" w:rsidRPr="00960D8B" w:rsidRDefault="00816097" w:rsidP="00816097">
      <w:pPr>
        <w:pStyle w:val="Style3"/>
        <w:kinsoku w:val="0"/>
        <w:autoSpaceDE/>
        <w:spacing w:before="0"/>
        <w:ind w:left="0" w:right="-29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2F2991BA" w14:textId="4A5A2E9A" w:rsidR="00816097" w:rsidRPr="00960D8B" w:rsidRDefault="00816097" w:rsidP="00816097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60D8B">
        <w:rPr>
          <w:rFonts w:ascii="Times New Roman" w:hAnsi="Times New Roman" w:cs="Times New Roman"/>
          <w:sz w:val="22"/>
          <w:szCs w:val="22"/>
          <w:lang w:val="pt-BR"/>
        </w:rPr>
        <w:t>Estimular os Estados membros a que implementem estratégias de comunicação e participação social destinadas a recobrar a confiança da população nas vacinas, com vistas a que se atinja a imunidade em cada um deles.</w:t>
      </w:r>
    </w:p>
    <w:p w14:paraId="68C84C1B" w14:textId="77777777" w:rsidR="00816097" w:rsidRPr="00960D8B" w:rsidRDefault="00816097" w:rsidP="00816097">
      <w:pPr>
        <w:pStyle w:val="Style3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671CA935" w14:textId="00BAA1FE" w:rsidR="00816097" w:rsidRPr="00960D8B" w:rsidRDefault="00816097" w:rsidP="00816097">
      <w:pPr>
        <w:pStyle w:val="ListParagraph"/>
        <w:widowControl/>
        <w:numPr>
          <w:ilvl w:val="0"/>
          <w:numId w:val="6"/>
        </w:numPr>
        <w:kinsoku w:val="0"/>
        <w:ind w:left="0" w:right="-29" w:firstLine="720"/>
        <w:rPr>
          <w:szCs w:val="22"/>
          <w:lang w:val="pt-BR"/>
        </w:rPr>
      </w:pPr>
      <w:r w:rsidRPr="00960D8B">
        <w:rPr>
          <w:rFonts w:eastAsia="Calibri"/>
          <w:szCs w:val="22"/>
          <w:lang w:val="pt-BR"/>
        </w:rPr>
        <w:t>Exortar os Estados membros, segundo seu contexto e prioridades nacionais, a que, no âmbito da pandemia de covid-19, e em especial no contexto mundial da imunização e dos requisitos das viagens internacionais, apliquem, conforme seja procedente, medidas para facilitar a livre circulação dos viajantes, em consonância com o Regulamento Sanitário Internacional e levando em conta as recomendações e orientações da OMS sobre a imunização e as viagens</w:t>
      </w:r>
      <w:r w:rsidRPr="00960D8B">
        <w:rPr>
          <w:szCs w:val="22"/>
          <w:lang w:val="pt-BR"/>
        </w:rPr>
        <w:t>.</w:t>
      </w:r>
    </w:p>
    <w:p w14:paraId="51944AB1" w14:textId="1E648E85" w:rsidR="00816097" w:rsidRPr="00960D8B" w:rsidRDefault="00816097" w:rsidP="00816097">
      <w:pPr>
        <w:rPr>
          <w:szCs w:val="22"/>
          <w:lang w:val="pt-BR"/>
        </w:rPr>
      </w:pPr>
      <w:r w:rsidRPr="00960D8B"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DE1F70" wp14:editId="12BC588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68E334" w14:textId="1C3A22AA" w:rsidR="00816097" w:rsidRDefault="00816097" w:rsidP="008160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619D8">
                              <w:rPr>
                                <w:noProof/>
                                <w:sz w:val="18"/>
                              </w:rPr>
                              <w:t>AG08456P0</w:t>
                            </w:r>
                            <w:r w:rsidR="000E273C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E1F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66.4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" filled="f" stroked="f">
                <v:stroke joinstyle="round"/>
                <v:textbox>
                  <w:txbxContent>
                    <w:p w14:paraId="4668E334" w14:textId="1C3A22AA" w:rsidR="00816097" w:rsidRDefault="00816097" w:rsidP="008160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619D8">
                        <w:rPr>
                          <w:noProof/>
                          <w:sz w:val="18"/>
                        </w:rPr>
                        <w:t>AG08456P0</w:t>
                      </w:r>
                      <w:r w:rsidR="000E273C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8491695" w14:textId="46CD143F" w:rsidR="0093192D" w:rsidRPr="00960D8B" w:rsidRDefault="000C6F28" w:rsidP="00816097">
      <w:pPr>
        <w:rPr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1EE60D" wp14:editId="6E73CF44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2470" cy="71247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92D" w:rsidRPr="00960D8B" w:rsidSect="00570151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64C0" w14:textId="77777777" w:rsidR="00353BA9" w:rsidRPr="0093192D" w:rsidRDefault="00353BA9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617A3D26" w14:textId="77777777" w:rsidR="00353BA9" w:rsidRPr="0093192D" w:rsidRDefault="00353BA9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  <w:endnote w:type="continuationNotice" w:id="1">
    <w:p w14:paraId="7C86EF9C" w14:textId="77777777" w:rsidR="00353BA9" w:rsidRDefault="00353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E9E3" w14:textId="77777777" w:rsidR="00353BA9" w:rsidRPr="0093192D" w:rsidRDefault="00353BA9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688BD691" w14:textId="77777777" w:rsidR="00353BA9" w:rsidRPr="0093192D" w:rsidRDefault="00353BA9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  <w:footnote w:type="continuationNotice" w:id="1">
    <w:p w14:paraId="16239B9C" w14:textId="77777777" w:rsidR="00353BA9" w:rsidRDefault="00353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11E" w14:textId="3FDBED73" w:rsidR="00B77A2D" w:rsidRDefault="00B77A2D">
    <w:pPr>
      <w:pStyle w:val="Header"/>
      <w:jc w:val="center"/>
    </w:pPr>
  </w:p>
  <w:p w14:paraId="5D13FD6A" w14:textId="73312A91" w:rsidR="00B77A2D" w:rsidRDefault="00180B5E">
    <w:pPr>
      <w:pStyle w:val="Header"/>
    </w:pPr>
    <w:r>
      <w:rPr>
        <w:noProof/>
      </w:rPr>
      <w:object w:dxaOrig="1440" w:dyaOrig="1440" w14:anchorId="2430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8.35pt;margin-top:31.35pt;width:320.05pt;height:27.9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424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35F4C"/>
    <w:multiLevelType w:val="hybridMultilevel"/>
    <w:tmpl w:val="9938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F0BF70-E88A-4A49-8251-BA98CE695020}"/>
    <w:docVar w:name="dgnword-eventsink" w:val="2727811559248"/>
  </w:docVars>
  <w:rsids>
    <w:rsidRoot w:val="004A75B2"/>
    <w:rsid w:val="00040AB3"/>
    <w:rsid w:val="000723DC"/>
    <w:rsid w:val="00086C09"/>
    <w:rsid w:val="0009069D"/>
    <w:rsid w:val="0009108C"/>
    <w:rsid w:val="000962A9"/>
    <w:rsid w:val="000B571D"/>
    <w:rsid w:val="000C6F28"/>
    <w:rsid w:val="000E07BE"/>
    <w:rsid w:val="000E273C"/>
    <w:rsid w:val="000E67E9"/>
    <w:rsid w:val="0010274F"/>
    <w:rsid w:val="001152AD"/>
    <w:rsid w:val="001417FA"/>
    <w:rsid w:val="00162FDE"/>
    <w:rsid w:val="001744FE"/>
    <w:rsid w:val="001806AB"/>
    <w:rsid w:val="00180B5E"/>
    <w:rsid w:val="00190DFB"/>
    <w:rsid w:val="001A0418"/>
    <w:rsid w:val="001A045D"/>
    <w:rsid w:val="001D495F"/>
    <w:rsid w:val="00206720"/>
    <w:rsid w:val="00210203"/>
    <w:rsid w:val="002352FF"/>
    <w:rsid w:val="00237664"/>
    <w:rsid w:val="00251819"/>
    <w:rsid w:val="00256D9B"/>
    <w:rsid w:val="00264D40"/>
    <w:rsid w:val="00291497"/>
    <w:rsid w:val="002932C5"/>
    <w:rsid w:val="00295E3B"/>
    <w:rsid w:val="002A5811"/>
    <w:rsid w:val="002B2B16"/>
    <w:rsid w:val="002C5E41"/>
    <w:rsid w:val="00316726"/>
    <w:rsid w:val="003322FF"/>
    <w:rsid w:val="00353BA9"/>
    <w:rsid w:val="00356163"/>
    <w:rsid w:val="00357E23"/>
    <w:rsid w:val="00364E0E"/>
    <w:rsid w:val="00396381"/>
    <w:rsid w:val="003B6485"/>
    <w:rsid w:val="003E45C3"/>
    <w:rsid w:val="004275B6"/>
    <w:rsid w:val="00427F7E"/>
    <w:rsid w:val="00446C9D"/>
    <w:rsid w:val="004619D8"/>
    <w:rsid w:val="00484219"/>
    <w:rsid w:val="0049161E"/>
    <w:rsid w:val="00491D81"/>
    <w:rsid w:val="004A75B2"/>
    <w:rsid w:val="004B1F17"/>
    <w:rsid w:val="004E23B3"/>
    <w:rsid w:val="00504B3F"/>
    <w:rsid w:val="00507111"/>
    <w:rsid w:val="00510F2B"/>
    <w:rsid w:val="00563E06"/>
    <w:rsid w:val="00570151"/>
    <w:rsid w:val="00584C3A"/>
    <w:rsid w:val="005B4596"/>
    <w:rsid w:val="005B53B4"/>
    <w:rsid w:val="005C6830"/>
    <w:rsid w:val="005E7A06"/>
    <w:rsid w:val="006022A6"/>
    <w:rsid w:val="00621E75"/>
    <w:rsid w:val="00645801"/>
    <w:rsid w:val="006536DF"/>
    <w:rsid w:val="00692E8D"/>
    <w:rsid w:val="006B5F4F"/>
    <w:rsid w:val="006C036C"/>
    <w:rsid w:val="006D79E4"/>
    <w:rsid w:val="006E0DC7"/>
    <w:rsid w:val="006E505D"/>
    <w:rsid w:val="006F5448"/>
    <w:rsid w:val="0070001F"/>
    <w:rsid w:val="007127A9"/>
    <w:rsid w:val="00714AD7"/>
    <w:rsid w:val="00732D20"/>
    <w:rsid w:val="00746B18"/>
    <w:rsid w:val="007568A5"/>
    <w:rsid w:val="00770656"/>
    <w:rsid w:val="00790094"/>
    <w:rsid w:val="007D6D82"/>
    <w:rsid w:val="007F61D1"/>
    <w:rsid w:val="00804A1C"/>
    <w:rsid w:val="00816097"/>
    <w:rsid w:val="00820E03"/>
    <w:rsid w:val="00865E7D"/>
    <w:rsid w:val="00886B30"/>
    <w:rsid w:val="0089206D"/>
    <w:rsid w:val="008D356B"/>
    <w:rsid w:val="008E22EE"/>
    <w:rsid w:val="008E4AC5"/>
    <w:rsid w:val="008E6962"/>
    <w:rsid w:val="00902134"/>
    <w:rsid w:val="00910883"/>
    <w:rsid w:val="009142D5"/>
    <w:rsid w:val="0093192D"/>
    <w:rsid w:val="00941217"/>
    <w:rsid w:val="00947882"/>
    <w:rsid w:val="00960D8B"/>
    <w:rsid w:val="009768AA"/>
    <w:rsid w:val="009772C0"/>
    <w:rsid w:val="009867B2"/>
    <w:rsid w:val="00987E5B"/>
    <w:rsid w:val="009B78E1"/>
    <w:rsid w:val="009D1688"/>
    <w:rsid w:val="009F445A"/>
    <w:rsid w:val="00A11EE4"/>
    <w:rsid w:val="00A2788F"/>
    <w:rsid w:val="00A5242B"/>
    <w:rsid w:val="00A943D8"/>
    <w:rsid w:val="00AB018C"/>
    <w:rsid w:val="00AB5331"/>
    <w:rsid w:val="00AD1605"/>
    <w:rsid w:val="00AF76D6"/>
    <w:rsid w:val="00B12F78"/>
    <w:rsid w:val="00B2293A"/>
    <w:rsid w:val="00B268C8"/>
    <w:rsid w:val="00B549C1"/>
    <w:rsid w:val="00B555EB"/>
    <w:rsid w:val="00B60A56"/>
    <w:rsid w:val="00B67219"/>
    <w:rsid w:val="00B77A2D"/>
    <w:rsid w:val="00BA0A70"/>
    <w:rsid w:val="00BA5C2A"/>
    <w:rsid w:val="00BB3760"/>
    <w:rsid w:val="00BC650A"/>
    <w:rsid w:val="00BD6258"/>
    <w:rsid w:val="00BE0612"/>
    <w:rsid w:val="00BE4C28"/>
    <w:rsid w:val="00BE562D"/>
    <w:rsid w:val="00C10F4C"/>
    <w:rsid w:val="00C427D2"/>
    <w:rsid w:val="00C54E0C"/>
    <w:rsid w:val="00C62345"/>
    <w:rsid w:val="00C640AC"/>
    <w:rsid w:val="00C66B45"/>
    <w:rsid w:val="00C76B19"/>
    <w:rsid w:val="00CB1641"/>
    <w:rsid w:val="00CD4DDA"/>
    <w:rsid w:val="00CD718F"/>
    <w:rsid w:val="00CE4881"/>
    <w:rsid w:val="00D013B5"/>
    <w:rsid w:val="00D06441"/>
    <w:rsid w:val="00D1512B"/>
    <w:rsid w:val="00D2458D"/>
    <w:rsid w:val="00D26022"/>
    <w:rsid w:val="00D34029"/>
    <w:rsid w:val="00D401E9"/>
    <w:rsid w:val="00D424EC"/>
    <w:rsid w:val="00D5094A"/>
    <w:rsid w:val="00D611D3"/>
    <w:rsid w:val="00D62B27"/>
    <w:rsid w:val="00D65C83"/>
    <w:rsid w:val="00D678A5"/>
    <w:rsid w:val="00D777B6"/>
    <w:rsid w:val="00DB5D49"/>
    <w:rsid w:val="00DF0E90"/>
    <w:rsid w:val="00DF7627"/>
    <w:rsid w:val="00E027E8"/>
    <w:rsid w:val="00E04604"/>
    <w:rsid w:val="00E158B0"/>
    <w:rsid w:val="00E40C75"/>
    <w:rsid w:val="00E466B8"/>
    <w:rsid w:val="00E4796E"/>
    <w:rsid w:val="00E60C2A"/>
    <w:rsid w:val="00E7167D"/>
    <w:rsid w:val="00EA684E"/>
    <w:rsid w:val="00EE2253"/>
    <w:rsid w:val="00EE398E"/>
    <w:rsid w:val="00EF05E4"/>
    <w:rsid w:val="00F12F9B"/>
    <w:rsid w:val="00F434DE"/>
    <w:rsid w:val="00F43954"/>
    <w:rsid w:val="00F44E5F"/>
    <w:rsid w:val="00F64DF0"/>
    <w:rsid w:val="00F656D7"/>
    <w:rsid w:val="00F822C3"/>
    <w:rsid w:val="00F86010"/>
    <w:rsid w:val="00F87E30"/>
    <w:rsid w:val="00FA4176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  <w:style w:type="character" w:customStyle="1" w:styleId="chat-content">
    <w:name w:val="chat-content"/>
    <w:basedOn w:val="DefaultParagraphFont"/>
    <w:rsid w:val="001A04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60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605"/>
    <w:rPr>
      <w:rFonts w:ascii="Consolas" w:eastAsia="Times New Roman" w:hAnsi="Consola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60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07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Resendiz, Francisco</dc:creator>
  <cp:lastModifiedBy>Loredo, Carmen</cp:lastModifiedBy>
  <cp:revision>8</cp:revision>
  <cp:lastPrinted>2021-11-10T21:47:00Z</cp:lastPrinted>
  <dcterms:created xsi:type="dcterms:W3CDTF">2021-11-12T21:02:00Z</dcterms:created>
  <dcterms:modified xsi:type="dcterms:W3CDTF">2021-11-12T22:15:00Z</dcterms:modified>
</cp:coreProperties>
</file>