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EEF9" w14:textId="77777777" w:rsidR="00913D5F" w:rsidRPr="009F7FDD" w:rsidRDefault="002919EF" w:rsidP="008432A5">
      <w:pPr>
        <w:tabs>
          <w:tab w:val="left" w:pos="7200"/>
        </w:tabs>
        <w:ind w:right="-1109"/>
        <w:rPr>
          <w:szCs w:val="22"/>
        </w:rPr>
      </w:pPr>
      <w:r>
        <w:rPr>
          <w:szCs w:val="22"/>
          <w:lang w:val="es-ES"/>
        </w:rPr>
        <w:object w:dxaOrig="1440" w:dyaOrig="1440" w14:anchorId="4A80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33.85pt;margin-top:-45.45pt;width:320.1pt;height:28.05pt;z-index:251660288;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41" DrawAspect="Content" ObjectID="_1699866470" r:id="rId8"/>
        </w:object>
      </w:r>
      <w:r w:rsidR="00913D5F" w:rsidRPr="009F7FDD">
        <w:rPr>
          <w:szCs w:val="22"/>
        </w:rPr>
        <w:t>QUINQUAGÉSIMO PRIMEIRO PERÍODO ORDINÁRIO DE SESSÕES</w:t>
      </w:r>
      <w:r w:rsidR="00913D5F" w:rsidRPr="009F7FDD">
        <w:rPr>
          <w:szCs w:val="22"/>
        </w:rPr>
        <w:tab/>
        <w:t>OEA/Ser.P</w:t>
      </w:r>
    </w:p>
    <w:p w14:paraId="27EBBA4C" w14:textId="11924745" w:rsidR="00913D5F" w:rsidRPr="009F7FDD" w:rsidRDefault="00913D5F" w:rsidP="008432A5">
      <w:pPr>
        <w:tabs>
          <w:tab w:val="left" w:pos="7200"/>
        </w:tabs>
        <w:ind w:right="-1109"/>
        <w:rPr>
          <w:szCs w:val="22"/>
        </w:rPr>
      </w:pPr>
      <w:r w:rsidRPr="009F7FDD">
        <w:rPr>
          <w:szCs w:val="22"/>
        </w:rPr>
        <w:t>10 a 12 de novembro de 2021</w:t>
      </w:r>
      <w:r w:rsidRPr="009F7FDD">
        <w:rPr>
          <w:szCs w:val="22"/>
        </w:rPr>
        <w:tab/>
        <w:t>AG/doc</w:t>
      </w:r>
      <w:r>
        <w:rPr>
          <w:szCs w:val="22"/>
        </w:rPr>
        <w:t>.5744/</w:t>
      </w:r>
      <w:r w:rsidRPr="00476316">
        <w:rPr>
          <w:szCs w:val="22"/>
        </w:rPr>
        <w:t>2</w:t>
      </w:r>
      <w:r w:rsidRPr="009F7FDD">
        <w:rPr>
          <w:szCs w:val="22"/>
        </w:rPr>
        <w:t>1</w:t>
      </w:r>
      <w:r w:rsidR="008432A5">
        <w:rPr>
          <w:szCs w:val="22"/>
        </w:rPr>
        <w:t xml:space="preserve"> rev. 1</w:t>
      </w:r>
    </w:p>
    <w:p w14:paraId="1956C88F" w14:textId="77EBC6D7" w:rsidR="00913D5F" w:rsidRPr="009F7FDD" w:rsidRDefault="00913D5F" w:rsidP="008432A5">
      <w:pPr>
        <w:tabs>
          <w:tab w:val="left" w:pos="7200"/>
        </w:tabs>
        <w:ind w:right="-1109"/>
        <w:rPr>
          <w:szCs w:val="22"/>
        </w:rPr>
      </w:pPr>
      <w:r w:rsidRPr="009F7FDD">
        <w:rPr>
          <w:color w:val="0D0C12"/>
          <w:spacing w:val="-1"/>
          <w:szCs w:val="22"/>
        </w:rPr>
        <w:t>Cidade da Guatemala</w:t>
      </w:r>
      <w:r w:rsidRPr="009F7FDD">
        <w:rPr>
          <w:szCs w:val="22"/>
        </w:rPr>
        <w:t>, Guatemala</w:t>
      </w:r>
      <w:r w:rsidRPr="009F7FDD">
        <w:rPr>
          <w:szCs w:val="22"/>
        </w:rPr>
        <w:tab/>
      </w:r>
      <w:r w:rsidR="008432A5">
        <w:rPr>
          <w:szCs w:val="22"/>
        </w:rPr>
        <w:t>23</w:t>
      </w:r>
      <w:r>
        <w:rPr>
          <w:szCs w:val="22"/>
        </w:rPr>
        <w:t xml:space="preserve"> novembro</w:t>
      </w:r>
      <w:r w:rsidRPr="009F7FDD">
        <w:rPr>
          <w:szCs w:val="22"/>
        </w:rPr>
        <w:t xml:space="preserve"> </w:t>
      </w:r>
      <w:r>
        <w:rPr>
          <w:szCs w:val="22"/>
        </w:rPr>
        <w:t>2021</w:t>
      </w:r>
    </w:p>
    <w:p w14:paraId="3158CC59" w14:textId="10BE39C5" w:rsidR="00913D5F" w:rsidRDefault="00913D5F" w:rsidP="008432A5">
      <w:pPr>
        <w:tabs>
          <w:tab w:val="left" w:pos="7200"/>
        </w:tabs>
        <w:ind w:right="-1109"/>
        <w:rPr>
          <w:szCs w:val="22"/>
        </w:rPr>
      </w:pPr>
      <w:r>
        <w:rPr>
          <w:szCs w:val="22"/>
        </w:rPr>
        <w:t>VIRTUAL</w:t>
      </w:r>
      <w:r w:rsidRPr="009F7FDD">
        <w:rPr>
          <w:szCs w:val="22"/>
        </w:rPr>
        <w:tab/>
        <w:t>Original: espanhol</w:t>
      </w:r>
    </w:p>
    <w:p w14:paraId="36A4473A" w14:textId="77777777" w:rsidR="00913D5F" w:rsidRDefault="00913D5F" w:rsidP="008432A5">
      <w:pPr>
        <w:tabs>
          <w:tab w:val="center" w:pos="2160"/>
          <w:tab w:val="left" w:pos="7560"/>
        </w:tabs>
        <w:ind w:right="-1109"/>
        <w:rPr>
          <w:szCs w:val="22"/>
        </w:rPr>
      </w:pPr>
    </w:p>
    <w:p w14:paraId="43D13522" w14:textId="72492CC5" w:rsidR="00A76A82" w:rsidRDefault="00913D5F" w:rsidP="008432A5">
      <w:pPr>
        <w:tabs>
          <w:tab w:val="left" w:pos="7200"/>
        </w:tabs>
        <w:ind w:right="-1379"/>
        <w:rPr>
          <w:lang w:eastAsia="pt-BR"/>
        </w:rPr>
      </w:pPr>
      <w:r>
        <w:rPr>
          <w:lang w:eastAsia="pt-BR"/>
        </w:rPr>
        <w:tab/>
      </w:r>
      <w:r w:rsidR="00A76A82">
        <w:rPr>
          <w:u w:val="single"/>
          <w:lang w:eastAsia="pt-BR"/>
        </w:rPr>
        <w:t xml:space="preserve">Tema </w:t>
      </w:r>
      <w:r w:rsidR="0005642C">
        <w:rPr>
          <w:u w:val="single"/>
          <w:lang w:eastAsia="pt-BR"/>
        </w:rPr>
        <w:t>4</w:t>
      </w:r>
      <w:r w:rsidR="00A76A82">
        <w:rPr>
          <w:u w:val="single"/>
          <w:lang w:eastAsia="pt-BR"/>
        </w:rPr>
        <w:t xml:space="preserve"> da agenda</w:t>
      </w:r>
    </w:p>
    <w:p w14:paraId="4BF0428D" w14:textId="77777777" w:rsidR="007D72B6" w:rsidRDefault="007D72B6" w:rsidP="008432A5">
      <w:pPr>
        <w:rPr>
          <w:szCs w:val="22"/>
        </w:rPr>
      </w:pPr>
    </w:p>
    <w:p w14:paraId="5B35F5F6" w14:textId="77777777" w:rsidR="00981ADE" w:rsidRDefault="00981ADE" w:rsidP="008432A5">
      <w:pPr>
        <w:rPr>
          <w:szCs w:val="22"/>
        </w:rPr>
      </w:pPr>
    </w:p>
    <w:p w14:paraId="4029B6EF" w14:textId="77777777" w:rsidR="007D72B6" w:rsidRPr="004208D2" w:rsidRDefault="007D72B6" w:rsidP="008432A5">
      <w:pPr>
        <w:rPr>
          <w:szCs w:val="22"/>
        </w:rPr>
      </w:pPr>
    </w:p>
    <w:p w14:paraId="1B5BBD20" w14:textId="06BF4ED5" w:rsidR="007D72B6" w:rsidRPr="004208D2" w:rsidRDefault="007D72B6" w:rsidP="008432A5">
      <w:pPr>
        <w:jc w:val="center"/>
        <w:rPr>
          <w:szCs w:val="22"/>
        </w:rPr>
      </w:pPr>
      <w:r w:rsidRPr="004208D2">
        <w:t>RELATÓRIO DO SECRETÁRIO-GERAL SOBRE</w:t>
      </w:r>
      <w:r w:rsidRPr="004208D2">
        <w:br/>
        <w:t>A APRESENTAÇÃO DE CREDENCIAIS DAS DELEGAÇÕES PARTICIPANTES</w:t>
      </w:r>
      <w:r w:rsidRPr="004208D2">
        <w:br/>
        <w:t xml:space="preserve">DO QUADRAGÉSIMO </w:t>
      </w:r>
      <w:r w:rsidR="00074D7D">
        <w:rPr>
          <w:rFonts w:eastAsia="Calibri"/>
          <w:szCs w:val="22"/>
        </w:rPr>
        <w:t>NON</w:t>
      </w:r>
      <w:r w:rsidR="008F3ED9" w:rsidRPr="008F3ED9">
        <w:rPr>
          <w:rFonts w:eastAsia="Calibri"/>
          <w:szCs w:val="22"/>
        </w:rPr>
        <w:t>O</w:t>
      </w:r>
      <w:r w:rsidRPr="004208D2">
        <w:t xml:space="preserve"> PERÍODO ORDINÁRIO DE SESSÕES</w:t>
      </w:r>
      <w:r w:rsidRPr="004208D2">
        <w:br/>
        <w:t>DA ASSEMBLEIA GERAL</w:t>
      </w:r>
      <w:r w:rsidR="008432A5" w:rsidRPr="004208D2">
        <w:rPr>
          <w:rStyle w:val="FootnoteReference"/>
          <w:u w:val="single"/>
          <w:vertAlign w:val="superscript"/>
        </w:rPr>
        <w:footnoteReference w:id="1"/>
      </w:r>
      <w:r w:rsidR="008432A5" w:rsidRPr="008432A5">
        <w:rPr>
          <w:vertAlign w:val="superscript"/>
        </w:rPr>
        <w:t>/</w:t>
      </w:r>
      <w:r w:rsidR="008432A5" w:rsidRPr="004208D2">
        <w:rPr>
          <w:rStyle w:val="FootnoteReference"/>
          <w:u w:val="single"/>
          <w:vertAlign w:val="superscript"/>
        </w:rPr>
        <w:footnoteReference w:id="2"/>
      </w:r>
      <w:r w:rsidR="008432A5" w:rsidRPr="008432A5">
        <w:rPr>
          <w:vertAlign w:val="superscript"/>
        </w:rPr>
        <w:t>/</w:t>
      </w:r>
      <w:r w:rsidR="008432A5" w:rsidRPr="004208D2">
        <w:rPr>
          <w:rStyle w:val="FootnoteReference"/>
          <w:u w:val="single"/>
          <w:vertAlign w:val="superscript"/>
        </w:rPr>
        <w:footnoteReference w:id="3"/>
      </w:r>
      <w:r w:rsidR="008432A5" w:rsidRPr="008432A5">
        <w:rPr>
          <w:vertAlign w:val="superscript"/>
        </w:rPr>
        <w:t>/</w:t>
      </w:r>
      <w:r w:rsidR="008432A5" w:rsidRPr="004208D2">
        <w:rPr>
          <w:rStyle w:val="FootnoteReference"/>
          <w:u w:val="single"/>
          <w:vertAlign w:val="superscript"/>
        </w:rPr>
        <w:footnoteReference w:id="4"/>
      </w:r>
      <w:r w:rsidR="008432A5" w:rsidRPr="008432A5">
        <w:rPr>
          <w:vertAlign w:val="superscript"/>
        </w:rPr>
        <w:t>/</w:t>
      </w:r>
      <w:r w:rsidR="008432A5" w:rsidRPr="004208D2">
        <w:rPr>
          <w:rStyle w:val="FootnoteReference"/>
          <w:u w:val="single"/>
          <w:vertAlign w:val="superscript"/>
        </w:rPr>
        <w:footnoteReference w:id="5"/>
      </w:r>
      <w:r w:rsidR="008432A5" w:rsidRPr="008432A5">
        <w:rPr>
          <w:vertAlign w:val="superscript"/>
        </w:rPr>
        <w:t>/</w:t>
      </w:r>
      <w:r w:rsidR="008432A5" w:rsidRPr="004208D2">
        <w:rPr>
          <w:rStyle w:val="FootnoteReference"/>
          <w:u w:val="single"/>
          <w:vertAlign w:val="superscript"/>
        </w:rPr>
        <w:footnoteReference w:id="6"/>
      </w:r>
      <w:r w:rsidR="008432A5" w:rsidRPr="008432A5">
        <w:rPr>
          <w:vertAlign w:val="superscript"/>
        </w:rPr>
        <w:t>/</w:t>
      </w:r>
      <w:r w:rsidR="008432A5" w:rsidRPr="004208D2">
        <w:rPr>
          <w:rStyle w:val="FootnoteReference"/>
          <w:u w:val="single"/>
          <w:vertAlign w:val="superscript"/>
        </w:rPr>
        <w:footnoteReference w:id="7"/>
      </w:r>
      <w:r w:rsidR="008432A5" w:rsidRPr="008432A5">
        <w:rPr>
          <w:vertAlign w:val="superscript"/>
        </w:rPr>
        <w:t>/</w:t>
      </w:r>
      <w:r w:rsidR="008432A5" w:rsidRPr="004208D2">
        <w:rPr>
          <w:rStyle w:val="FootnoteReference"/>
          <w:u w:val="single"/>
          <w:vertAlign w:val="superscript"/>
        </w:rPr>
        <w:footnoteReference w:id="8"/>
      </w:r>
      <w:r w:rsidR="008432A5" w:rsidRPr="008432A5">
        <w:rPr>
          <w:vertAlign w:val="superscript"/>
        </w:rPr>
        <w:t>/</w:t>
      </w:r>
      <w:r w:rsidR="008432A5" w:rsidRPr="004208D2">
        <w:rPr>
          <w:rStyle w:val="FootnoteReference"/>
          <w:u w:val="single"/>
          <w:vertAlign w:val="superscript"/>
        </w:rPr>
        <w:footnoteReference w:id="9"/>
      </w:r>
      <w:r w:rsidR="008432A5" w:rsidRPr="008432A5">
        <w:rPr>
          <w:vertAlign w:val="superscript"/>
        </w:rPr>
        <w:t>/</w:t>
      </w:r>
      <w:r w:rsidR="008432A5" w:rsidRPr="004208D2">
        <w:rPr>
          <w:rStyle w:val="FootnoteReference"/>
          <w:u w:val="single"/>
          <w:vertAlign w:val="superscript"/>
        </w:rPr>
        <w:footnoteReference w:id="10"/>
      </w:r>
      <w:r w:rsidR="008432A5" w:rsidRPr="008432A5">
        <w:rPr>
          <w:vertAlign w:val="superscript"/>
        </w:rPr>
        <w:t>/</w:t>
      </w:r>
    </w:p>
    <w:p w14:paraId="4684E930" w14:textId="77777777" w:rsidR="00994B59" w:rsidRPr="004208D2" w:rsidRDefault="00994B59" w:rsidP="008432A5">
      <w:pPr>
        <w:rPr>
          <w:szCs w:val="22"/>
        </w:rPr>
      </w:pPr>
    </w:p>
    <w:p w14:paraId="73F2B7B1" w14:textId="77777777" w:rsidR="007D72B6" w:rsidRPr="004208D2" w:rsidRDefault="007D72B6" w:rsidP="008432A5">
      <w:pPr>
        <w:rPr>
          <w:szCs w:val="22"/>
        </w:rPr>
      </w:pPr>
    </w:p>
    <w:p w14:paraId="417DF8A9" w14:textId="2B382F27" w:rsidR="007D72B6" w:rsidRPr="004208D2" w:rsidRDefault="007D72B6" w:rsidP="008432A5">
      <w:pPr>
        <w:jc w:val="both"/>
        <w:rPr>
          <w:szCs w:val="22"/>
        </w:rPr>
      </w:pPr>
      <w:r w:rsidRPr="004208D2">
        <w:tab/>
        <w:t xml:space="preserve">Em conformidade com o disposto no Artigo 27 do Regulamento da Assembleia Geral, tenho a satisfação de informar ao plenário que todas as credenciais apresentadas pelas delegações dos Estados membros e dos Observadores Permanentes foram </w:t>
      </w:r>
      <w:r w:rsidR="001E39EC">
        <w:t>recebidas e registradas</w:t>
      </w:r>
      <w:r w:rsidRPr="004208D2">
        <w:t>.</w:t>
      </w:r>
    </w:p>
    <w:p w14:paraId="18B952E0" w14:textId="235BC674" w:rsidR="007D72B6" w:rsidRPr="004208D2" w:rsidRDefault="007D72B6" w:rsidP="008432A5">
      <w:pPr>
        <w:jc w:val="both"/>
        <w:rPr>
          <w:szCs w:val="22"/>
        </w:rPr>
      </w:pPr>
    </w:p>
    <w:p w14:paraId="18AD08EF" w14:textId="44FA30F2" w:rsidR="007D72B6" w:rsidRPr="004208D2" w:rsidRDefault="007D72B6" w:rsidP="008432A5">
      <w:pPr>
        <w:pStyle w:val="BodyText"/>
        <w:spacing w:line="240" w:lineRule="auto"/>
        <w:rPr>
          <w:szCs w:val="22"/>
          <w:lang w:val="pt-BR"/>
        </w:rPr>
      </w:pPr>
      <w:r w:rsidRPr="004208D2">
        <w:rPr>
          <w:lang w:val="pt-BR"/>
        </w:rPr>
        <w:tab/>
        <w:t xml:space="preserve">Também se encontram </w:t>
      </w:r>
      <w:r w:rsidR="001E39EC">
        <w:rPr>
          <w:lang w:val="pt-BR"/>
        </w:rPr>
        <w:t xml:space="preserve">devidamente registradas </w:t>
      </w:r>
      <w:r w:rsidRPr="004208D2">
        <w:rPr>
          <w:lang w:val="pt-BR"/>
        </w:rPr>
        <w:t>as credenciais dos representantes dos órgãos, organismos e entidades do Sistema Interamericano, das entidades e organismos interamericanos governamentais regionais ou sub-regionais, dos organismos especializados vinculados às Nações Unidas, de outros organismos internacionais e dos convidados especiais.</w:t>
      </w:r>
    </w:p>
    <w:p w14:paraId="413C7D16" w14:textId="2CCCBD25" w:rsidR="007D72B6" w:rsidRPr="004208D2" w:rsidRDefault="007D72B6" w:rsidP="008432A5">
      <w:pPr>
        <w:pStyle w:val="BodyText"/>
        <w:spacing w:line="240" w:lineRule="auto"/>
        <w:rPr>
          <w:szCs w:val="22"/>
          <w:lang w:val="pt-BR"/>
        </w:rPr>
      </w:pPr>
    </w:p>
    <w:p w14:paraId="48977AAD" w14:textId="5275B97D" w:rsidR="008432A5" w:rsidRDefault="007D72B6" w:rsidP="008432A5">
      <w:pPr>
        <w:jc w:val="both"/>
        <w:rPr>
          <w:vertAlign w:val="superscript"/>
        </w:rPr>
      </w:pPr>
      <w:r w:rsidRPr="004208D2">
        <w:tab/>
        <w:t>Os nomes de todos os participantes do presente período ordinário de sessões da Assembleia Geral figuram na Lista de Participantes</w:t>
      </w:r>
      <w:r w:rsidR="001E39EC">
        <w:t>.</w:t>
      </w:r>
      <w:r w:rsidRPr="004208D2">
        <w:rPr>
          <w:rStyle w:val="FootnoteReference"/>
          <w:u w:val="single"/>
          <w:vertAlign w:val="superscript"/>
        </w:rPr>
        <w:footnoteReference w:id="11"/>
      </w:r>
      <w:r w:rsidR="008432A5" w:rsidRPr="008432A5">
        <w:rPr>
          <w:vertAlign w:val="superscript"/>
        </w:rPr>
        <w:t>/</w:t>
      </w:r>
    </w:p>
    <w:p w14:paraId="577629D4" w14:textId="0FDAC9EE" w:rsidR="008432A5" w:rsidRDefault="008432A5">
      <w:pPr>
        <w:rPr>
          <w:vertAlign w:val="superscript"/>
        </w:rPr>
      </w:pPr>
      <w:r>
        <w:rPr>
          <w:vertAlign w:val="superscript"/>
        </w:rPr>
        <w:br w:type="page"/>
      </w:r>
    </w:p>
    <w:p w14:paraId="7C3C71B7" w14:textId="77777777" w:rsidR="008432A5" w:rsidRPr="00065941" w:rsidRDefault="008432A5" w:rsidP="008432A5">
      <w:pPr>
        <w:jc w:val="center"/>
        <w:rPr>
          <w:sz w:val="20"/>
        </w:rPr>
      </w:pPr>
      <w:r w:rsidRPr="00065941">
        <w:rPr>
          <w:sz w:val="20"/>
        </w:rPr>
        <w:lastRenderedPageBreak/>
        <w:t>NOTAS DE RODAPÉ</w:t>
      </w:r>
    </w:p>
    <w:p w14:paraId="35E36215" w14:textId="77777777" w:rsidR="008432A5" w:rsidRDefault="008432A5" w:rsidP="008432A5"/>
    <w:p w14:paraId="6F3688FB" w14:textId="77777777" w:rsidR="008432A5" w:rsidRPr="002D7870" w:rsidRDefault="008432A5" w:rsidP="008432A5">
      <w:pPr>
        <w:rPr>
          <w:sz w:val="20"/>
        </w:rPr>
      </w:pPr>
    </w:p>
    <w:p w14:paraId="1A31FEB8" w14:textId="77777777" w:rsidR="008432A5" w:rsidRPr="002D7870" w:rsidRDefault="008432A5" w:rsidP="008432A5">
      <w:pPr>
        <w:pStyle w:val="FootnoteText"/>
        <w:tabs>
          <w:tab w:val="clear" w:pos="360"/>
        </w:tabs>
        <w:ind w:left="0" w:firstLine="720"/>
        <w:rPr>
          <w:rFonts w:hAnsi="Times New Roman"/>
          <w:sz w:val="20"/>
          <w:lang w:val="pt-BR"/>
        </w:rPr>
      </w:pPr>
      <w:r w:rsidRPr="002D7870">
        <w:rPr>
          <w:rFonts w:hAnsi="Times New Roman"/>
          <w:sz w:val="20"/>
          <w:lang w:val="pt-BR"/>
        </w:rPr>
        <w:t>1.</w:t>
      </w:r>
      <w:r w:rsidRPr="002D7870">
        <w:rPr>
          <w:rFonts w:hAnsi="Times New Roman"/>
          <w:sz w:val="20"/>
          <w:lang w:val="pt-BR"/>
        </w:rPr>
        <w:tab/>
        <w:t>(...) Quinquag</w:t>
      </w:r>
      <w:r w:rsidRPr="002D7870">
        <w:rPr>
          <w:rFonts w:hAnsi="Times New Roman"/>
          <w:sz w:val="20"/>
          <w:lang w:val="pt-BR"/>
        </w:rPr>
        <w:t>é</w:t>
      </w:r>
      <w:r w:rsidRPr="002D7870">
        <w:rPr>
          <w:rFonts w:hAnsi="Times New Roman"/>
          <w:sz w:val="20"/>
          <w:lang w:val="pt-BR"/>
        </w:rPr>
        <w:t>simo Primeiro Per</w:t>
      </w:r>
      <w:r w:rsidRPr="002D7870">
        <w:rPr>
          <w:rFonts w:hAnsi="Times New Roman"/>
          <w:sz w:val="20"/>
          <w:lang w:val="pt-BR"/>
        </w:rPr>
        <w:t>í</w:t>
      </w:r>
      <w:r w:rsidRPr="002D7870">
        <w:rPr>
          <w:rFonts w:hAnsi="Times New Roman"/>
          <w:sz w:val="20"/>
          <w:lang w:val="pt-BR"/>
        </w:rPr>
        <w:t>odo Ordin</w:t>
      </w:r>
      <w:r w:rsidRPr="002D7870">
        <w:rPr>
          <w:rFonts w:hAnsi="Times New Roman"/>
          <w:sz w:val="20"/>
          <w:lang w:val="pt-BR"/>
        </w:rPr>
        <w:t>á</w:t>
      </w:r>
      <w:r w:rsidRPr="002D7870">
        <w:rPr>
          <w:rFonts w:hAnsi="Times New Roman"/>
          <w:sz w:val="20"/>
          <w:lang w:val="pt-BR"/>
        </w:rPr>
        <w:t>rio de Sess</w:t>
      </w:r>
      <w:r w:rsidRPr="002D7870">
        <w:rPr>
          <w:rFonts w:hAnsi="Times New Roman"/>
          <w:sz w:val="20"/>
          <w:lang w:val="pt-BR"/>
        </w:rPr>
        <w:t>õ</w:t>
      </w:r>
      <w:r w:rsidRPr="002D7870">
        <w:rPr>
          <w:rFonts w:hAnsi="Times New Roman"/>
          <w:sz w:val="20"/>
          <w:lang w:val="pt-BR"/>
        </w:rPr>
        <w:t>es da Assembleia Geral da Organiza</w:t>
      </w:r>
      <w:r w:rsidRPr="002D7870">
        <w:rPr>
          <w:rFonts w:hAnsi="Times New Roman"/>
          <w:sz w:val="20"/>
          <w:lang w:val="pt-BR"/>
        </w:rPr>
        <w:t>çã</w:t>
      </w:r>
      <w:r w:rsidRPr="002D7870">
        <w:rPr>
          <w:rFonts w:hAnsi="Times New Roman"/>
          <w:sz w:val="20"/>
          <w:lang w:val="pt-BR"/>
        </w:rPr>
        <w:t>o dos Estados Americanos (OEA), que redundam em atos contr</w:t>
      </w:r>
      <w:r w:rsidRPr="002D7870">
        <w:rPr>
          <w:rFonts w:hAnsi="Times New Roman"/>
          <w:sz w:val="20"/>
          <w:lang w:val="pt-BR"/>
        </w:rPr>
        <w:t>á</w:t>
      </w:r>
      <w:r w:rsidRPr="002D7870">
        <w:rPr>
          <w:rFonts w:hAnsi="Times New Roman"/>
          <w:sz w:val="20"/>
          <w:lang w:val="pt-BR"/>
        </w:rPr>
        <w:t>rios ao Direito Internacional.</w:t>
      </w:r>
    </w:p>
    <w:p w14:paraId="0B05A44D" w14:textId="77777777" w:rsidR="008432A5" w:rsidRPr="002D7870" w:rsidRDefault="008432A5" w:rsidP="008432A5">
      <w:pPr>
        <w:pStyle w:val="FootnoteText"/>
        <w:tabs>
          <w:tab w:val="clear" w:pos="360"/>
        </w:tabs>
        <w:ind w:left="0" w:firstLine="720"/>
        <w:rPr>
          <w:sz w:val="20"/>
          <w:lang w:val="pt-BR"/>
        </w:rPr>
      </w:pPr>
    </w:p>
    <w:p w14:paraId="727CCE13" w14:textId="77777777" w:rsidR="008432A5" w:rsidRPr="002D7870" w:rsidRDefault="008432A5" w:rsidP="008432A5">
      <w:pPr>
        <w:pStyle w:val="FootnoteText"/>
        <w:tabs>
          <w:tab w:val="clear" w:pos="360"/>
        </w:tabs>
        <w:ind w:left="0" w:firstLine="720"/>
        <w:rPr>
          <w:sz w:val="20"/>
          <w:lang w:val="pt-BR"/>
        </w:rPr>
      </w:pPr>
      <w:r w:rsidRPr="002D7870">
        <w:rPr>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38FAA045" w14:textId="77777777" w:rsidR="008432A5" w:rsidRPr="002D7870" w:rsidRDefault="008432A5" w:rsidP="008432A5">
      <w:pPr>
        <w:pStyle w:val="FootnoteText"/>
        <w:tabs>
          <w:tab w:val="clear" w:pos="360"/>
        </w:tabs>
        <w:ind w:left="0" w:firstLine="720"/>
        <w:rPr>
          <w:sz w:val="20"/>
          <w:lang w:val="pt-BR"/>
        </w:rPr>
      </w:pPr>
    </w:p>
    <w:p w14:paraId="01E34A2A" w14:textId="77777777" w:rsidR="008432A5" w:rsidRPr="002D7870" w:rsidRDefault="008432A5" w:rsidP="008432A5">
      <w:pPr>
        <w:pStyle w:val="FootnoteText"/>
        <w:tabs>
          <w:tab w:val="clear" w:pos="360"/>
        </w:tabs>
        <w:ind w:left="0" w:firstLine="720"/>
        <w:rPr>
          <w:sz w:val="20"/>
          <w:lang w:val="pt-BR"/>
        </w:rPr>
      </w:pPr>
      <w:r w:rsidRPr="002D7870">
        <w:rPr>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7A0F199" w14:textId="77777777" w:rsidR="008432A5" w:rsidRPr="002D7870" w:rsidRDefault="008432A5" w:rsidP="008432A5">
      <w:pPr>
        <w:pStyle w:val="FootnoteText"/>
        <w:tabs>
          <w:tab w:val="clear" w:pos="360"/>
        </w:tabs>
        <w:ind w:left="0" w:firstLine="720"/>
        <w:rPr>
          <w:sz w:val="20"/>
          <w:lang w:val="pt-BR"/>
        </w:rPr>
      </w:pPr>
    </w:p>
    <w:p w14:paraId="446120DF" w14:textId="77777777" w:rsidR="008432A5" w:rsidRPr="002D7870" w:rsidRDefault="008432A5" w:rsidP="008432A5">
      <w:pPr>
        <w:pStyle w:val="FootnoteText"/>
        <w:tabs>
          <w:tab w:val="clear" w:pos="360"/>
        </w:tabs>
        <w:ind w:left="0" w:firstLine="720"/>
        <w:rPr>
          <w:sz w:val="20"/>
          <w:lang w:val="pt-BR"/>
        </w:rPr>
      </w:pPr>
      <w:r w:rsidRPr="002D7870">
        <w:rPr>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5D36F4E0" w14:textId="77777777" w:rsidR="008432A5" w:rsidRPr="002D7870" w:rsidRDefault="008432A5" w:rsidP="008432A5">
      <w:pPr>
        <w:pStyle w:val="FootnoteText"/>
        <w:tabs>
          <w:tab w:val="clear" w:pos="360"/>
        </w:tabs>
        <w:ind w:left="0" w:firstLine="720"/>
        <w:rPr>
          <w:sz w:val="20"/>
          <w:lang w:val="pt-BR"/>
        </w:rPr>
      </w:pPr>
    </w:p>
    <w:p w14:paraId="205D192F" w14:textId="77777777" w:rsidR="008432A5" w:rsidRPr="002D7870" w:rsidRDefault="008432A5" w:rsidP="008432A5">
      <w:pPr>
        <w:pStyle w:val="FootnoteText"/>
        <w:tabs>
          <w:tab w:val="clear" w:pos="360"/>
        </w:tabs>
        <w:ind w:left="0" w:firstLine="720"/>
        <w:rPr>
          <w:sz w:val="20"/>
          <w:lang w:val="pt-BR"/>
        </w:rPr>
      </w:pPr>
      <w:r w:rsidRPr="002D7870">
        <w:rPr>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2E9BD174" w14:textId="77777777" w:rsidR="008432A5" w:rsidRPr="002D7870" w:rsidRDefault="008432A5" w:rsidP="008432A5">
      <w:pPr>
        <w:pStyle w:val="FootnoteText"/>
        <w:tabs>
          <w:tab w:val="clear" w:pos="360"/>
        </w:tabs>
        <w:ind w:left="0" w:firstLine="720"/>
        <w:rPr>
          <w:sz w:val="20"/>
          <w:lang w:val="pt-BR"/>
        </w:rPr>
      </w:pPr>
    </w:p>
    <w:p w14:paraId="2ABF1D84" w14:textId="77777777" w:rsidR="008432A5" w:rsidRPr="002D7870" w:rsidRDefault="008432A5" w:rsidP="008432A5">
      <w:pPr>
        <w:pStyle w:val="FootnoteText"/>
        <w:tabs>
          <w:tab w:val="clear" w:pos="360"/>
        </w:tabs>
        <w:ind w:left="0" w:firstLine="720"/>
        <w:rPr>
          <w:sz w:val="20"/>
          <w:lang w:val="pt-BR"/>
        </w:rPr>
      </w:pPr>
      <w:r w:rsidRPr="002D7870">
        <w:rPr>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0DC2AA5" w14:textId="77777777" w:rsidR="008432A5" w:rsidRPr="002D7870" w:rsidRDefault="008432A5" w:rsidP="008432A5">
      <w:pPr>
        <w:pStyle w:val="FootnoteText"/>
        <w:tabs>
          <w:tab w:val="clear" w:pos="360"/>
        </w:tabs>
        <w:ind w:left="0" w:firstLine="720"/>
        <w:rPr>
          <w:sz w:val="20"/>
          <w:lang w:val="pt-BR"/>
        </w:rPr>
      </w:pPr>
    </w:p>
    <w:p w14:paraId="195CBFAE" w14:textId="1403EC5D" w:rsidR="008432A5" w:rsidRDefault="008432A5" w:rsidP="008432A5">
      <w:pPr>
        <w:pStyle w:val="FootnoteText"/>
        <w:tabs>
          <w:tab w:val="clear" w:pos="360"/>
        </w:tabs>
        <w:ind w:left="0" w:firstLine="720"/>
        <w:rPr>
          <w:sz w:val="20"/>
          <w:lang w:val="pt-BR"/>
        </w:rPr>
      </w:pPr>
      <w:r w:rsidRPr="002D7870">
        <w:rPr>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758F6135" w14:textId="18912727" w:rsidR="001F1B53" w:rsidRDefault="001F1B53" w:rsidP="008432A5">
      <w:pPr>
        <w:pStyle w:val="FootnoteText"/>
        <w:tabs>
          <w:tab w:val="clear" w:pos="360"/>
        </w:tabs>
        <w:ind w:left="0" w:firstLine="720"/>
        <w:rPr>
          <w:sz w:val="20"/>
          <w:lang w:val="pt-BR"/>
        </w:rPr>
      </w:pPr>
    </w:p>
    <w:p w14:paraId="2DD46C12" w14:textId="77777777" w:rsidR="001F1B53" w:rsidRPr="001F1B53" w:rsidRDefault="001F1B53" w:rsidP="001F1B53">
      <w:pPr>
        <w:pStyle w:val="FootnoteText"/>
        <w:tabs>
          <w:tab w:val="clear" w:pos="360"/>
        </w:tabs>
        <w:ind w:left="0" w:firstLine="720"/>
        <w:rPr>
          <w:sz w:val="20"/>
          <w:lang w:val="pt-BR"/>
        </w:rPr>
      </w:pPr>
      <w:r>
        <w:rPr>
          <w:sz w:val="20"/>
          <w:lang w:val="pt-BR"/>
        </w:rPr>
        <w:t>2.</w:t>
      </w:r>
      <w:r>
        <w:rPr>
          <w:sz w:val="20"/>
          <w:lang w:val="pt-BR"/>
        </w:rPr>
        <w:tab/>
        <w:t xml:space="preserve">(...) </w:t>
      </w:r>
      <w:r w:rsidRPr="001F1B53">
        <w:rPr>
          <w:sz w:val="20"/>
          <w:lang w:val="pt-BR"/>
        </w:rPr>
        <w:t xml:space="preserve">Sessões da Assembleia Geral contradiz o Direito Internacional e o princípio de integração regional. Em 2017, a República Bolivariana da Venezuela, no âmbito de sua soberania, denunciou a Carta da Organização dos Estados Americanos, a qual, segundo o artigo 143, transcorridos dois anos da data da denúncia, cessa em seus efeitos a respeito do Estado denunciante, e este é desligado da Organização. </w:t>
      </w:r>
    </w:p>
    <w:p w14:paraId="08FD19EE" w14:textId="77777777" w:rsidR="001F1B53" w:rsidRDefault="001F1B53" w:rsidP="001F1B53">
      <w:pPr>
        <w:pStyle w:val="FootnoteText"/>
        <w:tabs>
          <w:tab w:val="clear" w:pos="360"/>
        </w:tabs>
        <w:ind w:left="0" w:firstLine="720"/>
        <w:rPr>
          <w:sz w:val="20"/>
          <w:lang w:val="pt-BR"/>
        </w:rPr>
      </w:pPr>
    </w:p>
    <w:p w14:paraId="1397CCD3" w14:textId="062B76E3" w:rsidR="001F1B53" w:rsidRDefault="001F1B53" w:rsidP="001F1B53">
      <w:pPr>
        <w:pStyle w:val="FootnoteText"/>
        <w:tabs>
          <w:tab w:val="clear" w:pos="360"/>
        </w:tabs>
        <w:ind w:left="0" w:firstLine="720"/>
        <w:rPr>
          <w:sz w:val="20"/>
          <w:lang w:val="pt-BR"/>
        </w:rPr>
      </w:pPr>
      <w:r w:rsidRPr="001F1B53">
        <w:rPr>
          <w:sz w:val="20"/>
          <w:lang w:val="pt-BR"/>
        </w:rPr>
        <w:t>Transcorridos quatro anos da denúncia da Carta pela República Bolivariana da Venezuela, não cabe o reconhecimento de nenhuma delegação desse Estado.  Essa ação da Secretaria-Geral suprime a legalidade dos atos da Organização dos Estados Americanos e viola abertamente a soberania dos Estados. Portanto, o Estado Plurinacional da Bolívia observa e não aceita as credenciais de uma suposta delegação da República Bolivariana da Venezuela.</w:t>
      </w:r>
    </w:p>
    <w:p w14:paraId="4C7C9B8F" w14:textId="6368A685" w:rsidR="001F1B53" w:rsidRDefault="001F1B53" w:rsidP="001F1B53">
      <w:pPr>
        <w:pStyle w:val="FootnoteText"/>
        <w:tabs>
          <w:tab w:val="clear" w:pos="360"/>
        </w:tabs>
        <w:ind w:left="0" w:firstLine="720"/>
        <w:rPr>
          <w:sz w:val="20"/>
          <w:lang w:val="pt-BR"/>
        </w:rPr>
      </w:pPr>
    </w:p>
    <w:p w14:paraId="7BDAE37E" w14:textId="77777777" w:rsidR="001F1B53" w:rsidRPr="001F1B53" w:rsidRDefault="001F1B53" w:rsidP="001F1B53">
      <w:pPr>
        <w:pStyle w:val="FootnoteText"/>
        <w:tabs>
          <w:tab w:val="clear" w:pos="360"/>
        </w:tabs>
        <w:ind w:left="0" w:firstLine="720"/>
        <w:rPr>
          <w:sz w:val="20"/>
          <w:lang w:val="pt-BR"/>
        </w:rPr>
      </w:pPr>
      <w:r>
        <w:rPr>
          <w:sz w:val="20"/>
          <w:lang w:val="pt-BR"/>
        </w:rPr>
        <w:t>3.</w:t>
      </w:r>
      <w:r>
        <w:rPr>
          <w:sz w:val="20"/>
          <w:lang w:val="pt-BR"/>
        </w:rPr>
        <w:tab/>
        <w:t xml:space="preserve">(...) </w:t>
      </w:r>
      <w:r w:rsidRPr="001F1B53">
        <w:rPr>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88A56D3" w14:textId="77777777" w:rsidR="001F1B53" w:rsidRDefault="001F1B53" w:rsidP="001F1B53">
      <w:pPr>
        <w:pStyle w:val="FootnoteText"/>
        <w:tabs>
          <w:tab w:val="clear" w:pos="360"/>
        </w:tabs>
        <w:ind w:left="0" w:firstLine="720"/>
        <w:rPr>
          <w:sz w:val="20"/>
          <w:lang w:val="pt-BR"/>
        </w:rPr>
      </w:pPr>
    </w:p>
    <w:p w14:paraId="40C939E6" w14:textId="10026184" w:rsidR="001F1B53" w:rsidRDefault="001F1B53" w:rsidP="001F1B53">
      <w:pPr>
        <w:pStyle w:val="FootnoteText"/>
        <w:tabs>
          <w:tab w:val="clear" w:pos="360"/>
        </w:tabs>
        <w:ind w:left="0" w:firstLine="720"/>
        <w:rPr>
          <w:sz w:val="20"/>
          <w:lang w:val="pt-BR"/>
        </w:rPr>
      </w:pPr>
      <w:r w:rsidRPr="001F1B53">
        <w:rPr>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4663C924" w14:textId="7D283FCB" w:rsidR="001F1B53" w:rsidRDefault="001F1B53" w:rsidP="001F1B53">
      <w:pPr>
        <w:pStyle w:val="FootnoteText"/>
        <w:tabs>
          <w:tab w:val="clear" w:pos="360"/>
        </w:tabs>
        <w:ind w:left="0" w:firstLine="720"/>
        <w:rPr>
          <w:sz w:val="20"/>
          <w:lang w:val="pt-BR"/>
        </w:rPr>
      </w:pPr>
    </w:p>
    <w:p w14:paraId="0C244729" w14:textId="4946FA48" w:rsidR="001F1B53" w:rsidRDefault="001F1B53" w:rsidP="001F1B53">
      <w:pPr>
        <w:pStyle w:val="FootnoteText"/>
        <w:tabs>
          <w:tab w:val="clear" w:pos="360"/>
        </w:tabs>
        <w:ind w:left="0" w:firstLine="720"/>
        <w:rPr>
          <w:rFonts w:ascii="Times New Roman" w:hAnsi="Times New Roman"/>
          <w:sz w:val="20"/>
          <w:lang w:val="fr-CA"/>
        </w:rPr>
      </w:pPr>
      <w:r w:rsidRPr="001F1B53">
        <w:rPr>
          <w:sz w:val="20"/>
          <w:lang w:val="fr-CA"/>
        </w:rPr>
        <w:t>4.</w:t>
      </w:r>
      <w:r w:rsidRPr="001F1B53">
        <w:rPr>
          <w:sz w:val="20"/>
          <w:lang w:val="fr-CA"/>
        </w:rPr>
        <w:tab/>
        <w:t xml:space="preserve">(...) </w:t>
      </w:r>
      <w:r w:rsidRPr="001F1B53">
        <w:rPr>
          <w:rFonts w:ascii="Times New Roman" w:hAnsi="Times New Roman"/>
          <w:sz w:val="20"/>
          <w:lang w:val="fr-CA"/>
        </w:rPr>
        <w:t xml:space="preserve">personnes qui prétendent usurper la représentation légale de la République bolivarienne du Venezuela et du Gouvernement légitime du Président </w:t>
      </w:r>
      <w:proofErr w:type="spellStart"/>
      <w:r w:rsidRPr="001F1B53">
        <w:rPr>
          <w:rFonts w:ascii="Times New Roman" w:hAnsi="Times New Roman"/>
          <w:sz w:val="20"/>
          <w:lang w:val="fr-CA"/>
        </w:rPr>
        <w:t>Nicolás</w:t>
      </w:r>
      <w:proofErr w:type="spellEnd"/>
      <w:r w:rsidRPr="001F1B53">
        <w:rPr>
          <w:rFonts w:ascii="Times New Roman" w:hAnsi="Times New Roman"/>
          <w:sz w:val="20"/>
          <w:lang w:val="fr-CA"/>
        </w:rPr>
        <w:t xml:space="preserve"> </w:t>
      </w:r>
      <w:proofErr w:type="spellStart"/>
      <w:r w:rsidRPr="001F1B53">
        <w:rPr>
          <w:rFonts w:ascii="Times New Roman" w:hAnsi="Times New Roman"/>
          <w:sz w:val="20"/>
          <w:lang w:val="fr-CA"/>
        </w:rPr>
        <w:t>Maduro</w:t>
      </w:r>
      <w:proofErr w:type="spellEnd"/>
      <w:r w:rsidRPr="001F1B53">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42FC7206" w14:textId="69AF3029" w:rsidR="001F1B53" w:rsidRDefault="001F1B53" w:rsidP="001F1B53">
      <w:pPr>
        <w:pStyle w:val="FootnoteText"/>
        <w:tabs>
          <w:tab w:val="clear" w:pos="360"/>
        </w:tabs>
        <w:ind w:left="0" w:firstLine="720"/>
        <w:rPr>
          <w:rFonts w:ascii="Times New Roman" w:hAnsi="Times New Roman"/>
          <w:sz w:val="20"/>
          <w:lang w:val="fr-CA"/>
        </w:rPr>
      </w:pPr>
    </w:p>
    <w:p w14:paraId="7EDB5333" w14:textId="77777777" w:rsidR="001F1B53" w:rsidRPr="001F1B53" w:rsidRDefault="001F1B53" w:rsidP="001F1B53">
      <w:pPr>
        <w:pStyle w:val="FootnoteText"/>
        <w:tabs>
          <w:tab w:val="clear" w:pos="360"/>
        </w:tabs>
        <w:ind w:left="0" w:firstLine="720"/>
        <w:rPr>
          <w:rFonts w:ascii="Times New Roman" w:hAnsi="Times New Roman"/>
          <w:sz w:val="20"/>
          <w:lang w:val="fr-CA"/>
        </w:rPr>
      </w:pPr>
      <w:r>
        <w:rPr>
          <w:rFonts w:ascii="Times New Roman" w:hAnsi="Times New Roman"/>
          <w:sz w:val="20"/>
          <w:lang w:val="fr-CA"/>
        </w:rPr>
        <w:t>5.</w:t>
      </w:r>
      <w:r>
        <w:rPr>
          <w:rFonts w:ascii="Times New Roman" w:hAnsi="Times New Roman"/>
          <w:sz w:val="20"/>
          <w:lang w:val="fr-CA"/>
        </w:rPr>
        <w:tab/>
        <w:t xml:space="preserve">(…) </w:t>
      </w:r>
      <w:proofErr w:type="spellStart"/>
      <w:r w:rsidRPr="001F1B53">
        <w:rPr>
          <w:rFonts w:ascii="Times New Roman" w:hAnsi="Times New Roman"/>
          <w:sz w:val="20"/>
          <w:lang w:val="fr-CA"/>
        </w:rPr>
        <w:t>Nicolás</w:t>
      </w:r>
      <w:proofErr w:type="spellEnd"/>
      <w:r w:rsidRPr="001F1B53">
        <w:rPr>
          <w:rFonts w:ascii="Times New Roman" w:hAnsi="Times New Roman"/>
          <w:sz w:val="20"/>
          <w:lang w:val="fr-CA"/>
        </w:rPr>
        <w:t xml:space="preserve"> </w:t>
      </w:r>
      <w:proofErr w:type="spellStart"/>
      <w:r w:rsidRPr="001F1B53">
        <w:rPr>
          <w:rFonts w:ascii="Times New Roman" w:hAnsi="Times New Roman"/>
          <w:sz w:val="20"/>
          <w:lang w:val="fr-CA"/>
        </w:rPr>
        <w:t>Maduro</w:t>
      </w:r>
      <w:proofErr w:type="spellEnd"/>
      <w:r w:rsidRPr="001F1B53">
        <w:rPr>
          <w:rFonts w:ascii="Times New Roman" w:hAnsi="Times New Roman"/>
          <w:sz w:val="20"/>
          <w:lang w:val="fr-CA"/>
        </w:rPr>
        <w:t xml:space="preserve"> au Secrétariat général au cours du mois d’avril 2017 relativement à la décision de ce pays de dénoncer la Charte de l’Organisme.</w:t>
      </w:r>
    </w:p>
    <w:p w14:paraId="49EA2650" w14:textId="77777777" w:rsidR="001F1B53" w:rsidRDefault="001F1B53" w:rsidP="001F1B53">
      <w:pPr>
        <w:pStyle w:val="FootnoteText"/>
        <w:tabs>
          <w:tab w:val="clear" w:pos="360"/>
        </w:tabs>
        <w:ind w:left="0" w:firstLine="720"/>
        <w:rPr>
          <w:rFonts w:ascii="Times New Roman" w:hAnsi="Times New Roman"/>
          <w:sz w:val="20"/>
          <w:lang w:val="fr-CA"/>
        </w:rPr>
      </w:pPr>
    </w:p>
    <w:p w14:paraId="00D788E3" w14:textId="7199CE5F" w:rsidR="001F1B53" w:rsidRDefault="001F1B53" w:rsidP="001F1B53">
      <w:pPr>
        <w:pStyle w:val="FootnoteText"/>
        <w:tabs>
          <w:tab w:val="clear" w:pos="360"/>
        </w:tabs>
        <w:ind w:left="0" w:firstLine="720"/>
        <w:rPr>
          <w:rFonts w:ascii="Times New Roman" w:hAnsi="Times New Roman"/>
          <w:sz w:val="20"/>
          <w:lang w:val="fr-CA"/>
        </w:rPr>
      </w:pPr>
      <w:r w:rsidRPr="00C36A6C">
        <w:rPr>
          <w:rFonts w:ascii="Times New Roman" w:hAnsi="Times New Roman"/>
          <w:sz w:val="20"/>
          <w:lang w:val="fr-CA"/>
        </w:rPr>
        <w:t>En vertu de ce qui précède, la République bolivarienne du Venezuela a cessé d’être membre de l’Organisation et, par conséquent, l’Argentine estime nécessaire d’évaluer cette situation et, en tout cas, n’est pas en mesure de reconnaître les lettres de créances d’aucun représentant désigné du Venezuela à cette Assemblée générale.</w:t>
      </w:r>
    </w:p>
    <w:p w14:paraId="348EF63E" w14:textId="6B89795E" w:rsidR="001F1B53" w:rsidRDefault="001F1B53" w:rsidP="001F1B53">
      <w:pPr>
        <w:pStyle w:val="FootnoteText"/>
        <w:tabs>
          <w:tab w:val="clear" w:pos="360"/>
        </w:tabs>
        <w:ind w:left="0" w:firstLine="720"/>
        <w:rPr>
          <w:rFonts w:ascii="Times New Roman" w:hAnsi="Times New Roman"/>
          <w:sz w:val="20"/>
          <w:lang w:val="fr-CA"/>
        </w:rPr>
      </w:pPr>
    </w:p>
    <w:p w14:paraId="1F80D1BE" w14:textId="77777777" w:rsidR="001F1B53" w:rsidRPr="00461AC0" w:rsidRDefault="001F1B53" w:rsidP="001F1B53">
      <w:pPr>
        <w:pStyle w:val="FootnoteText"/>
        <w:tabs>
          <w:tab w:val="clear" w:pos="360"/>
        </w:tabs>
        <w:ind w:left="0" w:firstLine="720"/>
        <w:rPr>
          <w:rFonts w:ascii="Times New Roman" w:hAnsi="Times New Roman"/>
          <w:sz w:val="20"/>
          <w:lang w:val="pt-BR"/>
        </w:rPr>
      </w:pPr>
      <w:r w:rsidRPr="00461AC0">
        <w:rPr>
          <w:rFonts w:ascii="Times New Roman" w:hAnsi="Times New Roman"/>
          <w:sz w:val="20"/>
          <w:lang w:val="pt-BR"/>
        </w:rPr>
        <w:t>6.</w:t>
      </w:r>
      <w:r w:rsidRPr="00461AC0">
        <w:rPr>
          <w:rFonts w:ascii="Times New Roman" w:hAnsi="Times New Roman"/>
          <w:sz w:val="20"/>
          <w:lang w:val="pt-BR"/>
        </w:rPr>
        <w:tab/>
        <w:t>(…) que estipula que a denúncia por um Estado membro terá efeito dois anos após o recebimento, momento em que deixará de vigorar em relação ao Estado denunciante, o qual ficará sem direitos e deveres, e desvinculado de todas as ações e decisões da Organização.</w:t>
      </w:r>
    </w:p>
    <w:p w14:paraId="6A468137" w14:textId="77777777" w:rsidR="001F1B53" w:rsidRPr="00461AC0" w:rsidRDefault="001F1B53" w:rsidP="001F1B53">
      <w:pPr>
        <w:pStyle w:val="FootnoteText"/>
        <w:tabs>
          <w:tab w:val="clear" w:pos="360"/>
        </w:tabs>
        <w:ind w:left="0" w:firstLine="720"/>
        <w:rPr>
          <w:rFonts w:ascii="Times New Roman" w:hAnsi="Times New Roman"/>
          <w:sz w:val="20"/>
          <w:lang w:val="pt-BR"/>
        </w:rPr>
      </w:pPr>
    </w:p>
    <w:p w14:paraId="2BFB2DE2" w14:textId="7197DEAD" w:rsidR="001F1B53" w:rsidRPr="001F1B53" w:rsidRDefault="001F1B53" w:rsidP="001F1B53">
      <w:pPr>
        <w:pStyle w:val="FootnoteText"/>
        <w:tabs>
          <w:tab w:val="clear" w:pos="360"/>
        </w:tabs>
        <w:ind w:left="0" w:firstLine="720"/>
        <w:rPr>
          <w:rFonts w:ascii="Times New Roman" w:hAnsi="Times New Roman"/>
          <w:sz w:val="20"/>
          <w:lang w:val="pt-BR"/>
        </w:rPr>
      </w:pPr>
      <w:r w:rsidRPr="001F1B53">
        <w:rPr>
          <w:rFonts w:ascii="Times New Roman" w:hAnsi="Times New Roman"/>
          <w:sz w:val="20"/>
          <w:lang w:val="pt-BR"/>
        </w:rPr>
        <w:t>Antígua e Barbuda considera que a República Bolivariana da Venezuela não é um Estado membro da Organização dos Estados Americanos, visto que, em 27 de abril de 2017, o Governo da República Bolivariana da Venezuela notificou devidamente o Secretário-Geral sobre sua denúncia da Carta, em conformidade com o artigo 143 da Carta da Organização dos Estados Americanos, e a Carta deixou de vigorar em relação à República Bolivariana da Venezuela, que deixou de pertencer à organização em 27 de abril de 2019.</w:t>
      </w:r>
    </w:p>
    <w:p w14:paraId="540E08F9" w14:textId="77777777" w:rsidR="001F1B53" w:rsidRPr="00461AC0" w:rsidRDefault="001F1B53" w:rsidP="001F1B53">
      <w:pPr>
        <w:pStyle w:val="FootnoteText"/>
        <w:tabs>
          <w:tab w:val="clear" w:pos="360"/>
        </w:tabs>
        <w:ind w:left="0" w:firstLine="720"/>
        <w:rPr>
          <w:rFonts w:ascii="Times New Roman" w:hAnsi="Times New Roman"/>
          <w:sz w:val="20"/>
          <w:lang w:val="pt-BR"/>
        </w:rPr>
      </w:pPr>
    </w:p>
    <w:p w14:paraId="14020AFB" w14:textId="0BB5AF5A" w:rsidR="001F1B53" w:rsidRDefault="001F1B53" w:rsidP="001F1B53">
      <w:pPr>
        <w:pStyle w:val="FootnoteText"/>
        <w:tabs>
          <w:tab w:val="clear" w:pos="360"/>
        </w:tabs>
        <w:ind w:left="0" w:firstLine="720"/>
        <w:rPr>
          <w:rFonts w:ascii="Times New Roman" w:hAnsi="Times New Roman"/>
          <w:sz w:val="20"/>
          <w:lang w:val="pt-BR"/>
        </w:rPr>
      </w:pPr>
      <w:r w:rsidRPr="001F1B53">
        <w:rPr>
          <w:rFonts w:ascii="Times New Roman" w:hAnsi="Times New Roman"/>
          <w:sz w:val="20"/>
          <w:lang w:val="pt-BR"/>
        </w:rPr>
        <w:t>Portanto, Antígua e Barbuda rejeita a validade das credenciais de um suposto representante da Venezuela na 51ª Assembleia Geral e em quaisquer órgãos da Organização, em particular o Conselho Permanente, e não reconhecerá ou será obrigada por qualquer declaração, resolução ou afirmação de qualquer órgão da OEA que dependa, por maioria absoluta ou de dois terços, do voto do suposto representante venezuelano.</w:t>
      </w:r>
    </w:p>
    <w:p w14:paraId="5414BCCD" w14:textId="3A9BEBA6" w:rsidR="001F1B53" w:rsidRDefault="001F1B53" w:rsidP="001F1B53">
      <w:pPr>
        <w:pStyle w:val="FootnoteText"/>
        <w:tabs>
          <w:tab w:val="clear" w:pos="360"/>
        </w:tabs>
        <w:ind w:left="0" w:firstLine="720"/>
        <w:rPr>
          <w:rFonts w:ascii="Times New Roman" w:hAnsi="Times New Roman"/>
          <w:sz w:val="20"/>
          <w:lang w:val="pt-BR"/>
        </w:rPr>
      </w:pPr>
    </w:p>
    <w:p w14:paraId="0AAC1DB8" w14:textId="2CB676B2" w:rsidR="001F1B53" w:rsidRDefault="001F1B53" w:rsidP="001F1B53">
      <w:pPr>
        <w:pStyle w:val="FootnoteText"/>
        <w:tabs>
          <w:tab w:val="clear" w:pos="360"/>
        </w:tabs>
        <w:ind w:left="0" w:firstLine="720"/>
        <w:rPr>
          <w:rFonts w:ascii="Times New Roman" w:hAnsi="Times New Roman"/>
          <w:sz w:val="20"/>
          <w:lang w:val="pt-BR"/>
        </w:rPr>
      </w:pPr>
      <w:r>
        <w:rPr>
          <w:rFonts w:ascii="Times New Roman" w:hAnsi="Times New Roman"/>
          <w:sz w:val="20"/>
          <w:lang w:val="pt-BR"/>
        </w:rPr>
        <w:t>7</w:t>
      </w:r>
      <w:r>
        <w:rPr>
          <w:rFonts w:ascii="Times New Roman" w:hAnsi="Times New Roman"/>
          <w:sz w:val="20"/>
          <w:lang w:val="pt-BR"/>
        </w:rPr>
        <w:tab/>
        <w:t xml:space="preserve">(...) </w:t>
      </w:r>
      <w:r w:rsidRPr="00C36A6C">
        <w:rPr>
          <w:rFonts w:ascii="Times New Roman" w:hAnsi="Times New Roman"/>
          <w:sz w:val="20"/>
          <w:lang w:val="pt-BR"/>
        </w:rPr>
        <w:t>designado pela Assembleia Nacional, e não aceita as credenciais das autoridades que pretendem representar a República Bolivariana da Venezuela no Quinquagésimo Primeiro Período Ordinário de Sessões da Assembleia Geral da OEA. O Governo de Belize, portanto, reserva seu direito, até comunicação posterior, de não se obrigar por quaisquer decisões ou resoluções aprovadas por esta Assembleia Geral das quais a República Bolivariana da Venezuela tenha participado</w:t>
      </w:r>
      <w:r w:rsidRPr="00EB0DC7">
        <w:rPr>
          <w:rFonts w:ascii="Times New Roman" w:hAnsi="Times New Roman"/>
          <w:sz w:val="20"/>
          <w:lang w:val="pt-BR"/>
        </w:rPr>
        <w:t>.</w:t>
      </w:r>
    </w:p>
    <w:p w14:paraId="6EF45DE8" w14:textId="2FC385EB" w:rsidR="001F1B53" w:rsidRDefault="001F1B53" w:rsidP="001F1B53">
      <w:pPr>
        <w:pStyle w:val="FootnoteText"/>
        <w:tabs>
          <w:tab w:val="clear" w:pos="360"/>
        </w:tabs>
        <w:ind w:left="0" w:firstLine="720"/>
        <w:rPr>
          <w:rFonts w:ascii="Times New Roman" w:hAnsi="Times New Roman"/>
          <w:sz w:val="20"/>
          <w:lang w:val="pt-BR"/>
        </w:rPr>
      </w:pPr>
    </w:p>
    <w:p w14:paraId="7AF54CED" w14:textId="207C5B59" w:rsidR="001F1B53" w:rsidRDefault="001F1B53" w:rsidP="001F1B53">
      <w:pPr>
        <w:pStyle w:val="FootnoteText"/>
        <w:tabs>
          <w:tab w:val="clear" w:pos="360"/>
        </w:tabs>
        <w:ind w:left="0" w:firstLine="720"/>
        <w:rPr>
          <w:rFonts w:ascii="Times New Roman" w:hAnsi="Times New Roman"/>
          <w:sz w:val="20"/>
          <w:lang w:val="pt-BR"/>
        </w:rPr>
      </w:pPr>
      <w:r>
        <w:rPr>
          <w:rFonts w:ascii="Times New Roman" w:hAnsi="Times New Roman"/>
          <w:sz w:val="20"/>
          <w:lang w:val="pt-BR"/>
        </w:rPr>
        <w:t>8.</w:t>
      </w:r>
      <w:r>
        <w:rPr>
          <w:rFonts w:ascii="Times New Roman" w:hAnsi="Times New Roman"/>
          <w:sz w:val="20"/>
          <w:lang w:val="pt-BR"/>
        </w:rPr>
        <w:tab/>
        <w:t xml:space="preserve">(...) </w:t>
      </w:r>
      <w:r w:rsidRPr="00C36A6C">
        <w:rPr>
          <w:rFonts w:ascii="Times New Roman" w:hAnsi="Times New Roman"/>
          <w:sz w:val="20"/>
          <w:lang w:val="pt-BR"/>
        </w:rPr>
        <w:t>Assembleia</w:t>
      </w:r>
      <w:r>
        <w:rPr>
          <w:rFonts w:ascii="Times New Roman" w:hAnsi="Times New Roman"/>
          <w:sz w:val="20"/>
          <w:lang w:val="pt-BR"/>
        </w:rPr>
        <w:t xml:space="preserve"> </w:t>
      </w:r>
      <w:r w:rsidRPr="00C36A6C">
        <w:rPr>
          <w:rFonts w:ascii="Times New Roman" w:hAnsi="Times New Roman"/>
          <w:sz w:val="20"/>
          <w:lang w:val="pt-BR"/>
        </w:rPr>
        <w:t xml:space="preserve"> Geral da Organização dos Estados Americanos e, portanto, reserva-se o direito de, até indicação em contrário, não reconhecer ou não se vincular a decisões, declarações ou resoluções adotadas por esta Assembleia Geral nas quais essas partes tenham participado</w:t>
      </w:r>
      <w:r w:rsidRPr="00EB0DC7">
        <w:rPr>
          <w:rFonts w:ascii="Times New Roman" w:hAnsi="Times New Roman"/>
          <w:sz w:val="20"/>
          <w:lang w:val="pt-BR"/>
        </w:rPr>
        <w:t>.</w:t>
      </w:r>
    </w:p>
    <w:p w14:paraId="5DC93A60" w14:textId="0BD154F0" w:rsidR="001F1B53" w:rsidRDefault="001F1B53" w:rsidP="001F1B53">
      <w:pPr>
        <w:pStyle w:val="FootnoteText"/>
        <w:tabs>
          <w:tab w:val="clear" w:pos="360"/>
        </w:tabs>
        <w:ind w:left="0" w:firstLine="720"/>
        <w:rPr>
          <w:rFonts w:ascii="Times New Roman" w:hAnsi="Times New Roman"/>
          <w:sz w:val="20"/>
          <w:lang w:val="pt-BR"/>
        </w:rPr>
      </w:pPr>
    </w:p>
    <w:p w14:paraId="78B4296A" w14:textId="38C2908F" w:rsidR="001F1B53" w:rsidRPr="001F1B53" w:rsidRDefault="001F1B53" w:rsidP="001F1B53">
      <w:pPr>
        <w:pStyle w:val="FootnoteText"/>
        <w:tabs>
          <w:tab w:val="clear" w:pos="360"/>
        </w:tabs>
        <w:ind w:left="0" w:firstLine="720"/>
        <w:rPr>
          <w:rFonts w:ascii="Times New Roman" w:hAnsi="Times New Roman"/>
          <w:sz w:val="20"/>
          <w:lang w:val="pt-BR"/>
        </w:rPr>
      </w:pPr>
      <w:r>
        <w:rPr>
          <w:rFonts w:ascii="Times New Roman" w:hAnsi="Times New Roman"/>
          <w:sz w:val="20"/>
          <w:lang w:val="pt-BR"/>
        </w:rPr>
        <w:t>9.</w:t>
      </w:r>
      <w:r>
        <w:rPr>
          <w:rFonts w:ascii="Times New Roman" w:hAnsi="Times New Roman"/>
          <w:sz w:val="20"/>
          <w:lang w:val="pt-BR"/>
        </w:rPr>
        <w:tab/>
        <w:t xml:space="preserve">(...) </w:t>
      </w:r>
      <w:r w:rsidRPr="00C36A6C">
        <w:rPr>
          <w:rFonts w:ascii="Times New Roman" w:hAnsi="Times New Roman"/>
          <w:sz w:val="20"/>
          <w:lang w:val="pt-BR"/>
        </w:rPr>
        <w:t>direito internacional, nenhuma outra entidade pode assumir validamente a representação do Governo da República Bolivariana da Venezuela</w:t>
      </w:r>
      <w:r w:rsidRPr="00EB0DC7">
        <w:rPr>
          <w:rFonts w:ascii="Times New Roman" w:hAnsi="Times New Roman"/>
          <w:sz w:val="20"/>
          <w:lang w:val="pt-BR"/>
        </w:rPr>
        <w:t>.</w:t>
      </w:r>
    </w:p>
    <w:p w14:paraId="065B06C2" w14:textId="77777777" w:rsidR="007D72B6" w:rsidRPr="001F1B53" w:rsidRDefault="007D72B6" w:rsidP="008432A5">
      <w:pPr>
        <w:jc w:val="both"/>
        <w:rPr>
          <w:szCs w:val="22"/>
        </w:rPr>
      </w:pPr>
    </w:p>
    <w:p w14:paraId="764A15D6" w14:textId="216DD477" w:rsidR="007D72B6" w:rsidRPr="001F1B53" w:rsidRDefault="007D72B6" w:rsidP="008432A5">
      <w:pPr>
        <w:pStyle w:val="Footnotetype"/>
        <w:jc w:val="both"/>
        <w:rPr>
          <w:szCs w:val="22"/>
          <w:vertAlign w:val="baseline"/>
          <w:lang w:val="pt-BR"/>
        </w:rPr>
      </w:pPr>
    </w:p>
    <w:p w14:paraId="1334AE87" w14:textId="2775F3BF" w:rsidR="00391A8F" w:rsidRPr="001F1B53" w:rsidRDefault="00461AC0" w:rsidP="008432A5">
      <w:r>
        <w:rPr>
          <w:noProof/>
        </w:rPr>
        <w:drawing>
          <wp:anchor distT="0" distB="0" distL="114300" distR="114300" simplePos="0" relativeHeight="251662336" behindDoc="0" locked="0" layoutInCell="1" allowOverlap="1" wp14:anchorId="408623E1" wp14:editId="3D294A46">
            <wp:simplePos x="0" y="0"/>
            <wp:positionH relativeFrom="margin">
              <wp:align>right</wp:align>
            </wp:positionH>
            <wp:positionV relativeFrom="page">
              <wp:posOffset>8883979</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EF">
        <w:rPr>
          <w:noProof/>
        </w:rPr>
        <mc:AlternateContent>
          <mc:Choice Requires="wps">
            <w:drawing>
              <wp:anchor distT="0" distB="0" distL="114300" distR="114300" simplePos="0" relativeHeight="251663360" behindDoc="0" locked="1" layoutInCell="1" allowOverlap="1" wp14:anchorId="7314B8E1" wp14:editId="7A093ED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5998F0" w14:textId="4D12C793" w:rsidR="002919EF" w:rsidRPr="002919EF" w:rsidRDefault="002919EF">
                            <w:pPr>
                              <w:rPr>
                                <w:sz w:val="18"/>
                              </w:rPr>
                            </w:pPr>
                            <w:r>
                              <w:rPr>
                                <w:sz w:val="18"/>
                              </w:rPr>
                              <w:fldChar w:fldCharType="begin"/>
                            </w:r>
                            <w:r>
                              <w:rPr>
                                <w:sz w:val="18"/>
                              </w:rPr>
                              <w:instrText xml:space="preserve"> FILENAME  \* MERGEFORMAT </w:instrText>
                            </w:r>
                            <w:r>
                              <w:rPr>
                                <w:sz w:val="18"/>
                              </w:rPr>
                              <w:fldChar w:fldCharType="separate"/>
                            </w:r>
                            <w:r>
                              <w:rPr>
                                <w:noProof/>
                                <w:sz w:val="18"/>
                              </w:rPr>
                              <w:t>AG08467P01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4B8E1" id="_x0000_t202" coordsize="21600,21600" o:spt="202" path="m,l,21600r21600,l21600,xe">
                <v:stroke joinstyle="miter"/>
                <v:path gradientshapeok="t" o:connecttype="rect"/>
              </v:shapetype>
              <v:shape id="Text Box 1" o:spid="_x0000_s1026"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305998F0" w14:textId="4D12C793" w:rsidR="002919EF" w:rsidRPr="002919EF" w:rsidRDefault="002919EF">
                      <w:pPr>
                        <w:rPr>
                          <w:sz w:val="18"/>
                        </w:rPr>
                      </w:pPr>
                      <w:r>
                        <w:rPr>
                          <w:sz w:val="18"/>
                        </w:rPr>
                        <w:fldChar w:fldCharType="begin"/>
                      </w:r>
                      <w:r>
                        <w:rPr>
                          <w:sz w:val="18"/>
                        </w:rPr>
                        <w:instrText xml:space="preserve"> FILENAME  \* MERGEFORMAT </w:instrText>
                      </w:r>
                      <w:r>
                        <w:rPr>
                          <w:sz w:val="18"/>
                        </w:rPr>
                        <w:fldChar w:fldCharType="separate"/>
                      </w:r>
                      <w:r>
                        <w:rPr>
                          <w:noProof/>
                          <w:sz w:val="18"/>
                        </w:rPr>
                        <w:t>AG08467P01</w:t>
                      </w:r>
                      <w:r>
                        <w:rPr>
                          <w:sz w:val="18"/>
                        </w:rPr>
                        <w:fldChar w:fldCharType="end"/>
                      </w:r>
                    </w:p>
                  </w:txbxContent>
                </v:textbox>
                <w10:wrap anchory="page"/>
                <w10:anchorlock/>
              </v:shape>
            </w:pict>
          </mc:Fallback>
        </mc:AlternateContent>
      </w:r>
    </w:p>
    <w:sectPr w:rsidR="00391A8F" w:rsidRPr="001F1B53" w:rsidSect="001169A9">
      <w:headerReference w:type="default" r:id="rId10"/>
      <w:type w:val="oddPage"/>
      <w:pgSz w:w="12240" w:h="15840" w:code="1"/>
      <w:pgMar w:top="2160" w:right="1570" w:bottom="1296" w:left="1699" w:header="1296" w:footer="1296" w:gutter="0"/>
      <w:pgNumType w:start="1"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C5CD" w14:textId="77777777" w:rsidR="00C36791" w:rsidRDefault="00C36791">
      <w:r>
        <w:separator/>
      </w:r>
    </w:p>
  </w:endnote>
  <w:endnote w:type="continuationSeparator" w:id="0">
    <w:p w14:paraId="1BC8413A" w14:textId="77777777" w:rsidR="00C36791" w:rsidRDefault="00C3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4E5C" w14:textId="77777777" w:rsidR="00C36791" w:rsidRDefault="00C36791">
      <w:r>
        <w:separator/>
      </w:r>
    </w:p>
  </w:footnote>
  <w:footnote w:type="continuationSeparator" w:id="0">
    <w:p w14:paraId="3B79EB90" w14:textId="77777777" w:rsidR="00C36791" w:rsidRDefault="00C36791">
      <w:r>
        <w:continuationSeparator/>
      </w:r>
    </w:p>
  </w:footnote>
  <w:footnote w:id="1">
    <w:p w14:paraId="1E170D61" w14:textId="127D7817" w:rsidR="008432A5" w:rsidRPr="00EB0DC7" w:rsidRDefault="008432A5" w:rsidP="008432A5">
      <w:pPr>
        <w:pStyle w:val="FootnoteText"/>
        <w:tabs>
          <w:tab w:val="clear" w:pos="360"/>
        </w:tabs>
        <w:ind w:left="720"/>
        <w:rPr>
          <w:rFonts w:ascii="Times New Roman" w:hAnsi="Times New Roman"/>
          <w:sz w:val="20"/>
          <w:lang w:val="pt-BR"/>
        </w:rPr>
      </w:pPr>
      <w:r w:rsidRPr="00EB0DC7">
        <w:rPr>
          <w:rStyle w:val="FootnoteReference"/>
          <w:rFonts w:ascii="Times New Roman" w:hAnsi="Times New Roman"/>
          <w:sz w:val="20"/>
        </w:rPr>
        <w:footnoteRef/>
      </w:r>
      <w:r w:rsidRPr="00EB0DC7">
        <w:rPr>
          <w:rFonts w:ascii="Times New Roman" w:hAnsi="Times New Roman"/>
          <w:sz w:val="20"/>
          <w:lang w:val="pt-BR"/>
        </w:rPr>
        <w:t>.</w:t>
      </w:r>
      <w:r w:rsidRPr="00EB0DC7">
        <w:rPr>
          <w:rFonts w:ascii="Times New Roman" w:hAnsi="Times New Roman"/>
          <w:sz w:val="20"/>
          <w:lang w:val="pt-BR"/>
        </w:rPr>
        <w:tab/>
      </w:r>
      <w:r w:rsidRPr="00C4663B">
        <w:rPr>
          <w:rFonts w:ascii="Times New Roman" w:hAnsi="Times New Roman"/>
          <w:sz w:val="20"/>
          <w:lang w:val="pt-BR"/>
        </w:rPr>
        <w:t>O México identifica com preocupação, uma vez mais, incoerências e irregularidades no Relatório do Secretário-Geral sobre a apresentação de credenciais das delegações participantes do (...)</w:t>
      </w:r>
    </w:p>
  </w:footnote>
  <w:footnote w:id="2">
    <w:p w14:paraId="5AC62FB0" w14:textId="00749850" w:rsidR="008432A5" w:rsidRPr="00EB0DC7" w:rsidRDefault="008432A5" w:rsidP="001F1B53">
      <w:pPr>
        <w:pStyle w:val="FootnoteText"/>
        <w:tabs>
          <w:tab w:val="clear" w:pos="360"/>
        </w:tabs>
        <w:ind w:left="720"/>
        <w:rPr>
          <w:rFonts w:ascii="Times New Roman" w:hAnsi="Times New Roman"/>
          <w:sz w:val="20"/>
          <w:lang w:val="pt-BR"/>
        </w:rPr>
      </w:pPr>
      <w:r w:rsidRPr="00C36A6C">
        <w:rPr>
          <w:rFonts w:ascii="Times New Roman" w:hAnsi="Times New Roman"/>
          <w:sz w:val="20"/>
          <w:lang w:val="pt-BR"/>
        </w:rPr>
        <w:footnoteRef/>
      </w:r>
      <w:r w:rsidRPr="00EB0DC7">
        <w:rPr>
          <w:rFonts w:ascii="Times New Roman" w:hAnsi="Times New Roman"/>
          <w:sz w:val="20"/>
          <w:lang w:val="pt-BR"/>
        </w:rPr>
        <w:t>.</w:t>
      </w:r>
      <w:r w:rsidRPr="00EB0DC7">
        <w:rPr>
          <w:rFonts w:ascii="Times New Roman" w:hAnsi="Times New Roman"/>
          <w:sz w:val="20"/>
          <w:lang w:val="pt-BR"/>
        </w:rPr>
        <w:tab/>
      </w:r>
      <w:r w:rsidRPr="00C36A6C">
        <w:rPr>
          <w:rFonts w:ascii="Times New Roman" w:hAnsi="Times New Roman"/>
          <w:sz w:val="20"/>
          <w:lang w:val="pt-BR"/>
        </w:rPr>
        <w:t xml:space="preserve">A Bolívia declara, com preocupação, que o Relatório do Secretário-Geral sobre a Apresentação de Credenciais das Delegações Participantes do Quinquagésimo Primeiro Período Ordinário de </w:t>
      </w:r>
      <w:r w:rsidR="001F1B53">
        <w:rPr>
          <w:rFonts w:ascii="Times New Roman" w:hAnsi="Times New Roman"/>
          <w:sz w:val="20"/>
          <w:lang w:val="pt-BR"/>
        </w:rPr>
        <w:t xml:space="preserve">(...) </w:t>
      </w:r>
    </w:p>
  </w:footnote>
  <w:footnote w:id="3">
    <w:p w14:paraId="756FDA75" w14:textId="4FAEF64B" w:rsidR="008432A5" w:rsidRPr="00461AC0" w:rsidRDefault="008432A5" w:rsidP="001F1B53">
      <w:pPr>
        <w:pStyle w:val="FootnoteText"/>
        <w:tabs>
          <w:tab w:val="clear" w:pos="360"/>
        </w:tabs>
        <w:ind w:left="720"/>
        <w:rPr>
          <w:rFonts w:ascii="Times New Roman" w:hAnsi="Times New Roman"/>
          <w:sz w:val="20"/>
          <w:lang w:val="fr-FR"/>
        </w:rPr>
      </w:pPr>
      <w:r w:rsidRPr="00C36A6C">
        <w:rPr>
          <w:lang w:val="pt-BR"/>
        </w:rPr>
        <w:footnoteRef/>
      </w:r>
      <w:r w:rsidRPr="00EB0DC7">
        <w:rPr>
          <w:rFonts w:ascii="Times New Roman" w:hAnsi="Times New Roman"/>
          <w:sz w:val="20"/>
          <w:lang w:val="pt-BR"/>
        </w:rPr>
        <w:t>.</w:t>
      </w:r>
      <w:r w:rsidRPr="00EB0DC7">
        <w:rPr>
          <w:rFonts w:ascii="Times New Roman" w:hAnsi="Times New Roman"/>
          <w:sz w:val="20"/>
          <w:lang w:val="pt-BR"/>
        </w:rPr>
        <w:tab/>
      </w:r>
      <w:r w:rsidRPr="00C36A6C">
        <w:rPr>
          <w:rFonts w:ascii="Times New Roman" w:hAnsi="Times New Roman"/>
          <w:sz w:val="20"/>
          <w:lang w:val="pt-BR"/>
        </w:rPr>
        <w:t xml:space="preserve">São Vicente faz registrar seu não reconhecimento e não aceitação das credenciais da suposta Delegação da Assembleia Nacional da República Bolivariana da Venezuela. </w:t>
      </w:r>
      <w:r w:rsidRPr="00461AC0">
        <w:rPr>
          <w:rFonts w:ascii="Times New Roman" w:hAnsi="Times New Roman"/>
          <w:sz w:val="20"/>
          <w:lang w:val="fr-FR"/>
        </w:rPr>
        <w:t>Em 2017, o governo devidamente</w:t>
      </w:r>
      <w:r w:rsidR="001F1B53" w:rsidRPr="00461AC0">
        <w:rPr>
          <w:rFonts w:ascii="Times New Roman" w:hAnsi="Times New Roman"/>
          <w:sz w:val="20"/>
          <w:lang w:val="fr-FR"/>
        </w:rPr>
        <w:t xml:space="preserve"> (...)</w:t>
      </w:r>
    </w:p>
  </w:footnote>
  <w:footnote w:id="4">
    <w:p w14:paraId="6B421CBF" w14:textId="01AAC98A" w:rsidR="008432A5" w:rsidRPr="00461AC0" w:rsidRDefault="008432A5" w:rsidP="008432A5">
      <w:pPr>
        <w:pStyle w:val="FootnoteText"/>
        <w:tabs>
          <w:tab w:val="clear" w:pos="360"/>
        </w:tabs>
        <w:ind w:left="720"/>
        <w:rPr>
          <w:rFonts w:ascii="Times New Roman" w:hAnsi="Times New Roman"/>
          <w:sz w:val="20"/>
          <w:lang w:val="fr-FR"/>
        </w:rPr>
      </w:pPr>
      <w:r w:rsidRPr="00C36A6C">
        <w:rPr>
          <w:lang w:val="pt-BR"/>
        </w:rPr>
        <w:footnoteRef/>
      </w:r>
      <w:r w:rsidRPr="001F1B53">
        <w:rPr>
          <w:rFonts w:ascii="Times New Roman" w:hAnsi="Times New Roman"/>
          <w:sz w:val="20"/>
          <w:lang w:val="fr-CA"/>
        </w:rPr>
        <w:t>.</w:t>
      </w:r>
      <w:r w:rsidRPr="001F1B53">
        <w:rPr>
          <w:rFonts w:ascii="Times New Roman" w:hAnsi="Times New Roman"/>
          <w:sz w:val="20"/>
          <w:lang w:val="fr-CA"/>
        </w:rPr>
        <w:tab/>
        <w:t>Le Nicaragua se prévaut des déclarations des délégations de Saint-Vincent-et-Grenadines, des États-Unis du Mexique ainsi que de l’État plurinational de Bolivie et rejette l’accréditation irrégulière de</w:t>
      </w:r>
      <w:r w:rsidR="001F1B53" w:rsidRPr="001F1B53">
        <w:rPr>
          <w:rFonts w:ascii="Times New Roman" w:hAnsi="Times New Roman"/>
          <w:sz w:val="20"/>
          <w:lang w:val="fr-CA"/>
        </w:rPr>
        <w:t xml:space="preserve"> </w:t>
      </w:r>
      <w:r w:rsidR="001F1B53">
        <w:rPr>
          <w:rFonts w:ascii="Times New Roman" w:hAnsi="Times New Roman"/>
          <w:sz w:val="20"/>
          <w:lang w:val="fr-CA"/>
        </w:rPr>
        <w:t>(…)</w:t>
      </w:r>
    </w:p>
  </w:footnote>
  <w:footnote w:id="5">
    <w:p w14:paraId="10D4CD27" w14:textId="43204D6C" w:rsidR="008432A5" w:rsidRPr="00C36A6C" w:rsidRDefault="008432A5" w:rsidP="001F1B53">
      <w:pPr>
        <w:pStyle w:val="FootnoteText"/>
        <w:tabs>
          <w:tab w:val="clear" w:pos="360"/>
        </w:tabs>
        <w:ind w:left="720"/>
        <w:rPr>
          <w:rFonts w:ascii="Times New Roman" w:hAnsi="Times New Roman"/>
          <w:sz w:val="20"/>
          <w:lang w:val="fr-CA"/>
        </w:rPr>
      </w:pPr>
      <w:r w:rsidRPr="00C36A6C">
        <w:rPr>
          <w:lang w:val="pt-BR"/>
        </w:rPr>
        <w:footnoteRef/>
      </w:r>
      <w:r w:rsidRPr="001F1B53">
        <w:rPr>
          <w:rFonts w:ascii="Times New Roman" w:hAnsi="Times New Roman"/>
          <w:sz w:val="20"/>
          <w:lang w:val="fr-CA"/>
        </w:rPr>
        <w:t>.</w:t>
      </w:r>
      <w:r w:rsidRPr="001F1B53">
        <w:rPr>
          <w:rFonts w:ascii="Times New Roman" w:hAnsi="Times New Roman"/>
          <w:sz w:val="20"/>
          <w:lang w:val="fr-CA"/>
        </w:rPr>
        <w:tab/>
        <w:t xml:space="preserve">La République argentine entend que le retrait de la République bolivarienne du Venezuela de l’Organisation des États Américains s’est effectué en vertu de l’avis envoyé par le Président </w:t>
      </w:r>
      <w:r w:rsidR="001F1B53">
        <w:rPr>
          <w:rFonts w:ascii="Times New Roman" w:hAnsi="Times New Roman"/>
          <w:sz w:val="20"/>
          <w:lang w:val="fr-CA"/>
        </w:rPr>
        <w:t xml:space="preserve">(…) </w:t>
      </w:r>
    </w:p>
  </w:footnote>
  <w:footnote w:id="6">
    <w:p w14:paraId="7A58F86D" w14:textId="73006FD9" w:rsidR="008432A5" w:rsidRPr="00EB0DC7" w:rsidRDefault="008432A5" w:rsidP="003865E8">
      <w:pPr>
        <w:pStyle w:val="FootnoteText"/>
        <w:tabs>
          <w:tab w:val="clear" w:pos="360"/>
        </w:tabs>
        <w:ind w:left="720"/>
        <w:rPr>
          <w:rFonts w:ascii="Times New Roman" w:hAnsi="Times New Roman"/>
          <w:sz w:val="20"/>
          <w:lang w:val="pt-BR"/>
        </w:rPr>
      </w:pPr>
      <w:r w:rsidRPr="00C36A6C">
        <w:rPr>
          <w:lang w:val="pt-BR"/>
        </w:rPr>
        <w:footnoteRef/>
      </w:r>
      <w:r w:rsidRPr="00EB0DC7">
        <w:rPr>
          <w:rFonts w:ascii="Times New Roman" w:hAnsi="Times New Roman"/>
          <w:sz w:val="20"/>
          <w:lang w:val="pt-BR"/>
        </w:rPr>
        <w:t>.</w:t>
      </w:r>
      <w:r w:rsidRPr="00EB0DC7">
        <w:rPr>
          <w:rFonts w:ascii="Times New Roman" w:hAnsi="Times New Roman"/>
          <w:sz w:val="20"/>
          <w:lang w:val="pt-BR"/>
        </w:rPr>
        <w:tab/>
      </w:r>
      <w:r w:rsidR="003865E8" w:rsidRPr="00C36A6C">
        <w:rPr>
          <w:rFonts w:ascii="Times New Roman" w:hAnsi="Times New Roman"/>
          <w:sz w:val="20"/>
          <w:lang w:val="pt-BR"/>
        </w:rPr>
        <w:t xml:space="preserve">A aceitação de credenciais de qualquer pessoa ou entidade que pretenda representar um Estado membro que se retirou da Organização dos Estados Americanos é contrária ao artigo 143 da Carta da OEA, </w:t>
      </w:r>
      <w:r w:rsidR="001F1B53">
        <w:rPr>
          <w:rFonts w:ascii="Times New Roman" w:hAnsi="Times New Roman"/>
          <w:sz w:val="20"/>
          <w:lang w:val="pt-BR"/>
        </w:rPr>
        <w:t xml:space="preserve">(...) </w:t>
      </w:r>
    </w:p>
  </w:footnote>
  <w:footnote w:id="7">
    <w:p w14:paraId="132B2844" w14:textId="2B1625D2" w:rsidR="008432A5" w:rsidRPr="00EB0DC7" w:rsidRDefault="008432A5" w:rsidP="008432A5">
      <w:pPr>
        <w:pStyle w:val="FootnoteText"/>
        <w:tabs>
          <w:tab w:val="clear" w:pos="360"/>
        </w:tabs>
        <w:ind w:left="720"/>
        <w:rPr>
          <w:rFonts w:ascii="Times New Roman" w:hAnsi="Times New Roman"/>
          <w:sz w:val="20"/>
          <w:lang w:val="pt-BR"/>
        </w:rPr>
      </w:pPr>
      <w:r w:rsidRPr="00C36A6C">
        <w:rPr>
          <w:lang w:val="pt-BR"/>
        </w:rPr>
        <w:footnoteRef/>
      </w:r>
      <w:r w:rsidRPr="00EB0DC7">
        <w:rPr>
          <w:rFonts w:ascii="Times New Roman" w:hAnsi="Times New Roman"/>
          <w:sz w:val="20"/>
          <w:lang w:val="pt-BR"/>
        </w:rPr>
        <w:t>.</w:t>
      </w:r>
      <w:r w:rsidRPr="00EB0DC7">
        <w:rPr>
          <w:rFonts w:ascii="Times New Roman" w:hAnsi="Times New Roman"/>
          <w:sz w:val="20"/>
          <w:lang w:val="pt-BR"/>
        </w:rPr>
        <w:tab/>
      </w:r>
      <w:r w:rsidR="003865E8" w:rsidRPr="00C36A6C">
        <w:rPr>
          <w:rFonts w:ascii="Times New Roman" w:hAnsi="Times New Roman"/>
          <w:sz w:val="20"/>
          <w:lang w:val="pt-BR"/>
        </w:rPr>
        <w:t xml:space="preserve">O Governo de Belize não apoiou a resolução CP/RES. 1124 (2217/19), de 9 de abril de 2019, cuja intenção era indicar o Senhor Gustavo Tarre como Representante Permanente junto à OEA, </w:t>
      </w:r>
      <w:r w:rsidR="001F1B53">
        <w:rPr>
          <w:rFonts w:ascii="Times New Roman" w:hAnsi="Times New Roman"/>
          <w:sz w:val="20"/>
          <w:lang w:val="pt-BR"/>
        </w:rPr>
        <w:t xml:space="preserve">(...) </w:t>
      </w:r>
    </w:p>
  </w:footnote>
  <w:footnote w:id="8">
    <w:p w14:paraId="189B9E6A" w14:textId="40D7AA8B" w:rsidR="008432A5" w:rsidRPr="00EB0DC7" w:rsidRDefault="008432A5" w:rsidP="008432A5">
      <w:pPr>
        <w:pStyle w:val="FootnoteText"/>
        <w:tabs>
          <w:tab w:val="clear" w:pos="360"/>
        </w:tabs>
        <w:ind w:left="720"/>
        <w:rPr>
          <w:rFonts w:ascii="Times New Roman" w:hAnsi="Times New Roman"/>
          <w:sz w:val="20"/>
          <w:lang w:val="pt-BR"/>
        </w:rPr>
      </w:pPr>
      <w:r w:rsidRPr="00C36A6C">
        <w:rPr>
          <w:lang w:val="pt-BR"/>
        </w:rPr>
        <w:footnoteRef/>
      </w:r>
      <w:r w:rsidRPr="00EB0DC7">
        <w:rPr>
          <w:rFonts w:ascii="Times New Roman" w:hAnsi="Times New Roman"/>
          <w:sz w:val="20"/>
          <w:lang w:val="pt-BR"/>
        </w:rPr>
        <w:t>.</w:t>
      </w:r>
      <w:r w:rsidRPr="00EB0DC7">
        <w:rPr>
          <w:rFonts w:ascii="Times New Roman" w:hAnsi="Times New Roman"/>
          <w:sz w:val="20"/>
          <w:lang w:val="pt-BR"/>
        </w:rPr>
        <w:tab/>
      </w:r>
      <w:r w:rsidR="00C36A6C" w:rsidRPr="00C36A6C">
        <w:rPr>
          <w:rFonts w:ascii="Times New Roman" w:hAnsi="Times New Roman"/>
          <w:sz w:val="20"/>
          <w:lang w:val="pt-BR"/>
        </w:rPr>
        <w:t xml:space="preserve">O Governo de Santa Lúcia não aceita credenciais de partes que reivindiquem representar a República Bolivariana da Venezuela neste Quinquagésimo Primeiro Período Ordinário de Sessões da </w:t>
      </w:r>
      <w:r w:rsidR="001F1B53">
        <w:rPr>
          <w:rFonts w:ascii="Times New Roman" w:hAnsi="Times New Roman"/>
          <w:sz w:val="20"/>
          <w:lang w:val="pt-BR"/>
        </w:rPr>
        <w:t xml:space="preserve">(...) </w:t>
      </w:r>
    </w:p>
  </w:footnote>
  <w:footnote w:id="9">
    <w:p w14:paraId="4A6B0583" w14:textId="1E25856D" w:rsidR="008432A5" w:rsidRPr="00EB0DC7" w:rsidRDefault="008432A5" w:rsidP="008432A5">
      <w:pPr>
        <w:pStyle w:val="FootnoteText"/>
        <w:tabs>
          <w:tab w:val="clear" w:pos="360"/>
        </w:tabs>
        <w:ind w:left="720"/>
        <w:rPr>
          <w:rFonts w:ascii="Times New Roman" w:hAnsi="Times New Roman"/>
          <w:sz w:val="20"/>
          <w:lang w:val="pt-BR"/>
        </w:rPr>
      </w:pPr>
      <w:r w:rsidRPr="00C36A6C">
        <w:rPr>
          <w:lang w:val="pt-BR"/>
        </w:rPr>
        <w:footnoteRef/>
      </w:r>
      <w:r w:rsidRPr="00EB0DC7">
        <w:rPr>
          <w:rFonts w:ascii="Times New Roman" w:hAnsi="Times New Roman"/>
          <w:sz w:val="20"/>
          <w:lang w:val="pt-BR"/>
        </w:rPr>
        <w:t>.</w:t>
      </w:r>
      <w:r w:rsidRPr="00EB0DC7">
        <w:rPr>
          <w:rFonts w:ascii="Times New Roman" w:hAnsi="Times New Roman"/>
          <w:sz w:val="20"/>
          <w:lang w:val="pt-BR"/>
        </w:rPr>
        <w:tab/>
      </w:r>
      <w:r w:rsidR="00C36A6C" w:rsidRPr="00C36A6C">
        <w:rPr>
          <w:rFonts w:ascii="Times New Roman" w:hAnsi="Times New Roman"/>
          <w:sz w:val="20"/>
          <w:lang w:val="pt-BR"/>
        </w:rPr>
        <w:t xml:space="preserve">O Peru mantém relações diplomáticas com a República Bolivariana da Venezuela. A República Bolivariana da Venezuela deixou de ser um Estado membro da OEA e, portanto, de acordo com o </w:t>
      </w:r>
      <w:r w:rsidR="001F1B53">
        <w:rPr>
          <w:rFonts w:ascii="Times New Roman" w:hAnsi="Times New Roman"/>
          <w:sz w:val="20"/>
          <w:lang w:val="pt-BR"/>
        </w:rPr>
        <w:t xml:space="preserve">(...) </w:t>
      </w:r>
    </w:p>
  </w:footnote>
  <w:footnote w:id="10">
    <w:p w14:paraId="743FE57E" w14:textId="2E9BC88C" w:rsidR="008432A5" w:rsidRPr="00EB0DC7" w:rsidRDefault="008432A5" w:rsidP="008432A5">
      <w:pPr>
        <w:pStyle w:val="FootnoteText"/>
        <w:tabs>
          <w:tab w:val="clear" w:pos="360"/>
        </w:tabs>
        <w:ind w:left="720"/>
        <w:rPr>
          <w:rFonts w:ascii="Times New Roman" w:hAnsi="Times New Roman"/>
          <w:sz w:val="20"/>
          <w:lang w:val="pt-BR"/>
        </w:rPr>
      </w:pPr>
      <w:r w:rsidRPr="00C36A6C">
        <w:rPr>
          <w:lang w:val="pt-BR"/>
        </w:rPr>
        <w:footnoteRef/>
      </w:r>
      <w:r w:rsidRPr="00EB0DC7">
        <w:rPr>
          <w:rFonts w:ascii="Times New Roman" w:hAnsi="Times New Roman"/>
          <w:sz w:val="20"/>
          <w:lang w:val="pt-BR"/>
        </w:rPr>
        <w:t>.</w:t>
      </w:r>
      <w:r w:rsidRPr="00EB0DC7">
        <w:rPr>
          <w:rFonts w:ascii="Times New Roman" w:hAnsi="Times New Roman"/>
          <w:sz w:val="20"/>
          <w:lang w:val="pt-BR"/>
        </w:rPr>
        <w:tab/>
      </w:r>
      <w:r w:rsidR="00C36A6C" w:rsidRPr="00C36A6C">
        <w:rPr>
          <w:rFonts w:ascii="Times New Roman" w:hAnsi="Times New Roman"/>
          <w:sz w:val="20"/>
          <w:lang w:val="pt-BR"/>
        </w:rPr>
        <w:t>A delegação de Trinidad e Tobago anunciou que apresentará uma nota de rodapé</w:t>
      </w:r>
      <w:r w:rsidRPr="00EB0DC7">
        <w:rPr>
          <w:rFonts w:ascii="Times New Roman" w:hAnsi="Times New Roman"/>
          <w:sz w:val="20"/>
          <w:lang w:val="pt-BR"/>
        </w:rPr>
        <w:t>.</w:t>
      </w:r>
    </w:p>
  </w:footnote>
  <w:footnote w:id="11">
    <w:p w14:paraId="1B4D3429" w14:textId="16932032" w:rsidR="007D72B6" w:rsidRPr="00EB0DC7" w:rsidRDefault="007D72B6" w:rsidP="008432A5">
      <w:pPr>
        <w:pStyle w:val="FootnoteText"/>
        <w:tabs>
          <w:tab w:val="clear" w:pos="360"/>
        </w:tabs>
        <w:ind w:left="720"/>
        <w:rPr>
          <w:rFonts w:ascii="Times New Roman" w:hAnsi="Times New Roman"/>
          <w:sz w:val="20"/>
          <w:lang w:val="pt-BR"/>
        </w:rPr>
      </w:pPr>
      <w:r w:rsidRPr="00EB0DC7">
        <w:rPr>
          <w:rStyle w:val="FootnoteReference"/>
          <w:rFonts w:ascii="Times New Roman" w:hAnsi="Times New Roman"/>
          <w:sz w:val="20"/>
        </w:rPr>
        <w:footnoteRef/>
      </w:r>
      <w:r w:rsidRPr="00EB0DC7">
        <w:rPr>
          <w:rFonts w:ascii="Times New Roman" w:hAnsi="Times New Roman"/>
          <w:sz w:val="20"/>
          <w:lang w:val="pt-BR"/>
        </w:rPr>
        <w:t>.</w:t>
      </w:r>
      <w:r w:rsidRPr="00EB0DC7">
        <w:rPr>
          <w:rFonts w:ascii="Times New Roman" w:hAnsi="Times New Roman"/>
          <w:sz w:val="20"/>
          <w:lang w:val="pt-BR"/>
        </w:rPr>
        <w:tab/>
        <w:t xml:space="preserve">Publicada separadamente como documento </w:t>
      </w:r>
      <w:r w:rsidR="002919EF">
        <w:fldChar w:fldCharType="begin"/>
      </w:r>
      <w:r w:rsidR="002919EF" w:rsidRPr="00461AC0">
        <w:rPr>
          <w:lang w:val="pt-BR"/>
        </w:rPr>
        <w:instrText xml:space="preserve"> HYPERLINK "http://scm.oas.org/doc_public/SPANISH/HIST_21/AG08458T03.docx" </w:instrText>
      </w:r>
      <w:r w:rsidR="002919EF">
        <w:fldChar w:fldCharType="separate"/>
      </w:r>
      <w:r w:rsidRPr="008432A5">
        <w:rPr>
          <w:rStyle w:val="Hyperlink"/>
          <w:rFonts w:ascii="Times New Roman" w:hAnsi="Times New Roman"/>
          <w:sz w:val="20"/>
          <w:lang w:val="pt-BR"/>
        </w:rPr>
        <w:t>AG/doc.</w:t>
      </w:r>
      <w:r w:rsidR="00913D5F" w:rsidRPr="008432A5">
        <w:rPr>
          <w:rStyle w:val="Hyperlink"/>
          <w:rFonts w:ascii="Times New Roman" w:hAnsi="Times New Roman"/>
          <w:sz w:val="20"/>
          <w:lang w:val="pt-BR"/>
        </w:rPr>
        <w:t>5743</w:t>
      </w:r>
      <w:r w:rsidRPr="008432A5">
        <w:rPr>
          <w:rStyle w:val="Hyperlink"/>
          <w:rFonts w:ascii="Times New Roman" w:hAnsi="Times New Roman"/>
          <w:sz w:val="20"/>
          <w:lang w:val="pt-BR"/>
        </w:rPr>
        <w:t>/</w:t>
      </w:r>
      <w:r w:rsidR="00913D5F" w:rsidRPr="008432A5">
        <w:rPr>
          <w:rStyle w:val="Hyperlink"/>
          <w:rFonts w:ascii="Times New Roman" w:hAnsi="Times New Roman"/>
          <w:sz w:val="20"/>
          <w:lang w:val="pt-BR"/>
        </w:rPr>
        <w:t>21</w:t>
      </w:r>
      <w:r w:rsidR="002919EF">
        <w:rPr>
          <w:rStyle w:val="Hyperlink"/>
          <w:rFonts w:ascii="Times New Roman" w:hAnsi="Times New Roman"/>
          <w:sz w:val="20"/>
          <w:lang w:val="pt-BR"/>
        </w:rPr>
        <w:fldChar w:fldCharType="end"/>
      </w:r>
      <w:r w:rsidR="008432A5">
        <w:rPr>
          <w:rFonts w:ascii="Times New Roman" w:hAnsi="Times New Roman"/>
          <w:sz w:val="20"/>
          <w:lang w:val="pt-BR"/>
        </w:rPr>
        <w:t xml:space="preserve"> rev.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4EE4" w14:textId="77777777" w:rsidR="00087443" w:rsidRDefault="00087443" w:rsidP="001169A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12F9D">
      <w:rPr>
        <w:rStyle w:val="PageNumber"/>
        <w:noProof/>
      </w:rPr>
      <w:t>2</w:t>
    </w:r>
    <w:r>
      <w:rPr>
        <w:rStyle w:val="PageNumb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885"/>
    <w:multiLevelType w:val="singleLevel"/>
    <w:tmpl w:val="B42ED950"/>
    <w:lvl w:ilvl="0">
      <w:numFmt w:val="decimal"/>
      <w:lvlText w:val="%1"/>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pt-BR" w:vendorID="64" w:dllVersion="6"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3"/>
    <w:rsid w:val="00040F44"/>
    <w:rsid w:val="000458BA"/>
    <w:rsid w:val="0005642C"/>
    <w:rsid w:val="00073F78"/>
    <w:rsid w:val="00074D7D"/>
    <w:rsid w:val="00080259"/>
    <w:rsid w:val="00087443"/>
    <w:rsid w:val="000A08F4"/>
    <w:rsid w:val="000E325E"/>
    <w:rsid w:val="001169A9"/>
    <w:rsid w:val="00117D68"/>
    <w:rsid w:val="001373C8"/>
    <w:rsid w:val="00152306"/>
    <w:rsid w:val="00186BB2"/>
    <w:rsid w:val="001B376B"/>
    <w:rsid w:val="001E198F"/>
    <w:rsid w:val="001E39EC"/>
    <w:rsid w:val="001E6FF1"/>
    <w:rsid w:val="001F1B53"/>
    <w:rsid w:val="001F5758"/>
    <w:rsid w:val="00204D6C"/>
    <w:rsid w:val="0026271E"/>
    <w:rsid w:val="0026493D"/>
    <w:rsid w:val="00266EED"/>
    <w:rsid w:val="002919EF"/>
    <w:rsid w:val="002D73CB"/>
    <w:rsid w:val="0032123C"/>
    <w:rsid w:val="003865E8"/>
    <w:rsid w:val="00390DFA"/>
    <w:rsid w:val="00391A8F"/>
    <w:rsid w:val="003A5B0A"/>
    <w:rsid w:val="003B6971"/>
    <w:rsid w:val="00403AD5"/>
    <w:rsid w:val="004208D2"/>
    <w:rsid w:val="00424434"/>
    <w:rsid w:val="00461AC0"/>
    <w:rsid w:val="0046267A"/>
    <w:rsid w:val="00484A5D"/>
    <w:rsid w:val="004A3E8C"/>
    <w:rsid w:val="004F7EA7"/>
    <w:rsid w:val="00512F9D"/>
    <w:rsid w:val="00525C8D"/>
    <w:rsid w:val="00553C83"/>
    <w:rsid w:val="0056514A"/>
    <w:rsid w:val="00576C53"/>
    <w:rsid w:val="005A5C4A"/>
    <w:rsid w:val="005F4489"/>
    <w:rsid w:val="005F7077"/>
    <w:rsid w:val="00611D4C"/>
    <w:rsid w:val="006222E7"/>
    <w:rsid w:val="0063739B"/>
    <w:rsid w:val="00694B6A"/>
    <w:rsid w:val="0069573B"/>
    <w:rsid w:val="00697ACE"/>
    <w:rsid w:val="006D2B91"/>
    <w:rsid w:val="00724903"/>
    <w:rsid w:val="00736E2C"/>
    <w:rsid w:val="00737795"/>
    <w:rsid w:val="007517C0"/>
    <w:rsid w:val="0077053E"/>
    <w:rsid w:val="00773A31"/>
    <w:rsid w:val="00774B43"/>
    <w:rsid w:val="0079635B"/>
    <w:rsid w:val="007A6AF9"/>
    <w:rsid w:val="007D72B6"/>
    <w:rsid w:val="008432A5"/>
    <w:rsid w:val="00846F50"/>
    <w:rsid w:val="00881033"/>
    <w:rsid w:val="008D1406"/>
    <w:rsid w:val="008F0C15"/>
    <w:rsid w:val="008F3ED9"/>
    <w:rsid w:val="008F5DF0"/>
    <w:rsid w:val="00910896"/>
    <w:rsid w:val="00913D5F"/>
    <w:rsid w:val="00924E04"/>
    <w:rsid w:val="009416D7"/>
    <w:rsid w:val="00943C23"/>
    <w:rsid w:val="009571F8"/>
    <w:rsid w:val="00977D55"/>
    <w:rsid w:val="00981ADE"/>
    <w:rsid w:val="00990248"/>
    <w:rsid w:val="00992DA2"/>
    <w:rsid w:val="00994B59"/>
    <w:rsid w:val="00A25A7B"/>
    <w:rsid w:val="00A76A82"/>
    <w:rsid w:val="00A76AC1"/>
    <w:rsid w:val="00A806A9"/>
    <w:rsid w:val="00A92922"/>
    <w:rsid w:val="00A9297E"/>
    <w:rsid w:val="00A97B26"/>
    <w:rsid w:val="00AC5164"/>
    <w:rsid w:val="00AC5641"/>
    <w:rsid w:val="00AC7B0F"/>
    <w:rsid w:val="00B10410"/>
    <w:rsid w:val="00B31377"/>
    <w:rsid w:val="00B47447"/>
    <w:rsid w:val="00B84E92"/>
    <w:rsid w:val="00C03664"/>
    <w:rsid w:val="00C12987"/>
    <w:rsid w:val="00C174AD"/>
    <w:rsid w:val="00C36791"/>
    <w:rsid w:val="00C36A6C"/>
    <w:rsid w:val="00C461FD"/>
    <w:rsid w:val="00C57287"/>
    <w:rsid w:val="00CC643D"/>
    <w:rsid w:val="00CD1462"/>
    <w:rsid w:val="00D02AC5"/>
    <w:rsid w:val="00D471C9"/>
    <w:rsid w:val="00D5570D"/>
    <w:rsid w:val="00D57A85"/>
    <w:rsid w:val="00D610A2"/>
    <w:rsid w:val="00D815FE"/>
    <w:rsid w:val="00D8502C"/>
    <w:rsid w:val="00D866BA"/>
    <w:rsid w:val="00D91C4E"/>
    <w:rsid w:val="00D979A0"/>
    <w:rsid w:val="00DC234B"/>
    <w:rsid w:val="00E17FAB"/>
    <w:rsid w:val="00E86F67"/>
    <w:rsid w:val="00EA3A1E"/>
    <w:rsid w:val="00EB0DC7"/>
    <w:rsid w:val="00EB2149"/>
    <w:rsid w:val="00EC3C7F"/>
    <w:rsid w:val="00F26D76"/>
    <w:rsid w:val="00F636A2"/>
    <w:rsid w:val="00F760B3"/>
    <w:rsid w:val="00F80916"/>
    <w:rsid w:val="00FB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6D8946"/>
  <w15:chartTrackingRefBased/>
  <w15:docId w15:val="{9A50E94C-7809-4446-BE9A-D4F875E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443"/>
    <w:rPr>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087443"/>
    <w:pPr>
      <w:tabs>
        <w:tab w:val="center" w:pos="4320"/>
        <w:tab w:val="right" w:pos="8640"/>
      </w:tabs>
    </w:pPr>
  </w:style>
  <w:style w:type="character" w:styleId="PageNumber">
    <w:name w:val="page number"/>
    <w:basedOn w:val="DefaultParagraphFont"/>
    <w:rsid w:val="00087443"/>
  </w:style>
  <w:style w:type="paragraph" w:customStyle="1" w:styleId="TitleUppercase">
    <w:name w:val="Title Uppercase"/>
    <w:basedOn w:val="Normal"/>
    <w:rsid w:val="00087443"/>
    <w:pPr>
      <w:tabs>
        <w:tab w:val="left" w:pos="720"/>
        <w:tab w:val="left" w:pos="1440"/>
        <w:tab w:val="left" w:pos="2160"/>
        <w:tab w:val="left" w:pos="2880"/>
        <w:tab w:val="left" w:pos="7200"/>
        <w:tab w:val="left" w:pos="7920"/>
        <w:tab w:val="left" w:pos="8640"/>
      </w:tabs>
      <w:jc w:val="center"/>
    </w:pPr>
  </w:style>
  <w:style w:type="character" w:styleId="FootnoteReference">
    <w:name w:val="footnote reference"/>
    <w:semiHidden/>
    <w:rsid w:val="00087443"/>
    <w:rPr>
      <w:color w:val="auto"/>
      <w:vertAlign w:val="baseline"/>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087443"/>
    <w:pPr>
      <w:tabs>
        <w:tab w:val="left" w:pos="360"/>
      </w:tabs>
      <w:ind w:left="360" w:hanging="360"/>
      <w:jc w:val="both"/>
    </w:pPr>
    <w:rPr>
      <w:rFonts w:ascii="CG Times" w:hAnsi="CG Times"/>
      <w:sz w:val="18"/>
      <w:lang w:val="es-ES"/>
    </w:rPr>
  </w:style>
  <w:style w:type="paragraph" w:customStyle="1" w:styleId="Footnotetype">
    <w:name w:val="Footnote type"/>
    <w:basedOn w:val="Normal"/>
    <w:rsid w:val="00087443"/>
    <w:rPr>
      <w:u w:val="single"/>
      <w:vertAlign w:val="superscript"/>
      <w:lang w:val="es-ES"/>
    </w:rPr>
  </w:style>
  <w:style w:type="paragraph" w:styleId="BodyText">
    <w:name w:val="Body Text"/>
    <w:basedOn w:val="Normal"/>
    <w:link w:val="BodyTextChar"/>
    <w:rsid w:val="00087443"/>
    <w:pPr>
      <w:spacing w:line="480" w:lineRule="auto"/>
      <w:jc w:val="both"/>
    </w:pPr>
    <w:rPr>
      <w:lang w:val="es-ES"/>
    </w:rPr>
  </w:style>
  <w:style w:type="character" w:customStyle="1" w:styleId="HeaderChar">
    <w:name w:val="Header Char"/>
    <w:aliases w:val="encabezado Char"/>
    <w:link w:val="Header"/>
    <w:locked/>
    <w:rsid w:val="0026493D"/>
    <w:rPr>
      <w:sz w:val="22"/>
    </w:rPr>
  </w:style>
  <w:style w:type="paragraph" w:styleId="Footer">
    <w:name w:val="footer"/>
    <w:basedOn w:val="Normal"/>
    <w:rsid w:val="00512F9D"/>
    <w:pPr>
      <w:tabs>
        <w:tab w:val="center" w:pos="4320"/>
        <w:tab w:val="right" w:pos="8640"/>
      </w:tabs>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rsid w:val="007D72B6"/>
    <w:rPr>
      <w:rFonts w:ascii="CG Times" w:hAnsi="CG Times"/>
      <w:sz w:val="18"/>
      <w:lang w:val="es-ES" w:eastAsia="en-US"/>
    </w:rPr>
  </w:style>
  <w:style w:type="character" w:customStyle="1" w:styleId="BodyTextChar">
    <w:name w:val="Body Text Char"/>
    <w:link w:val="BodyText"/>
    <w:rsid w:val="007D72B6"/>
    <w:rPr>
      <w:sz w:val="22"/>
      <w:lang w:val="es-ES" w:eastAsia="en-US"/>
    </w:rPr>
  </w:style>
  <w:style w:type="character" w:styleId="Hyperlink">
    <w:name w:val="Hyperlink"/>
    <w:rsid w:val="00D866BA"/>
    <w:rPr>
      <w:color w:val="0000FF"/>
      <w:u w:val="single"/>
    </w:rPr>
  </w:style>
  <w:style w:type="character" w:styleId="FollowedHyperlink">
    <w:name w:val="FollowedHyperlink"/>
    <w:rsid w:val="00040F44"/>
    <w:rPr>
      <w:color w:val="954F72"/>
      <w:u w:val="single"/>
    </w:rPr>
  </w:style>
  <w:style w:type="character" w:styleId="UnresolvedMention">
    <w:name w:val="Unresolved Mention"/>
    <w:basedOn w:val="DefaultParagraphFont"/>
    <w:uiPriority w:val="99"/>
    <w:semiHidden/>
    <w:unhideWhenUsed/>
    <w:rsid w:val="008432A5"/>
    <w:rPr>
      <w:color w:val="605E5C"/>
      <w:shd w:val="clear" w:color="auto" w:fill="E1DFDD"/>
    </w:rPr>
  </w:style>
  <w:style w:type="paragraph" w:customStyle="1" w:styleId="Style1">
    <w:name w:val="Style 1"/>
    <w:basedOn w:val="Normal"/>
    <w:uiPriority w:val="99"/>
    <w:rsid w:val="008432A5"/>
    <w:pPr>
      <w:widowControl w:val="0"/>
      <w:autoSpaceDE w:val="0"/>
      <w:autoSpaceDN w:val="0"/>
      <w:adjustRightInd w:val="0"/>
    </w:pPr>
    <w:rPr>
      <w:rFonts w:eastAsiaTheme="minorEastAsia"/>
      <w:sz w:val="20"/>
      <w:lang w:val="en-US"/>
    </w:rPr>
  </w:style>
  <w:style w:type="character" w:customStyle="1" w:styleId="CharacterStyle2">
    <w:name w:val="Character Style 2"/>
    <w:uiPriority w:val="99"/>
    <w:rsid w:val="008432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5491">
      <w:bodyDiv w:val="1"/>
      <w:marLeft w:val="0"/>
      <w:marRight w:val="0"/>
      <w:marTop w:val="0"/>
      <w:marBottom w:val="0"/>
      <w:divBdr>
        <w:top w:val="none" w:sz="0" w:space="0" w:color="auto"/>
        <w:left w:val="none" w:sz="0" w:space="0" w:color="auto"/>
        <w:bottom w:val="none" w:sz="0" w:space="0" w:color="auto"/>
        <w:right w:val="none" w:sz="0" w:space="0" w:color="auto"/>
      </w:divBdr>
    </w:div>
    <w:div w:id="1240793698">
      <w:bodyDiv w:val="1"/>
      <w:marLeft w:val="0"/>
      <w:marRight w:val="0"/>
      <w:marTop w:val="0"/>
      <w:marBottom w:val="0"/>
      <w:divBdr>
        <w:top w:val="none" w:sz="0" w:space="0" w:color="auto"/>
        <w:left w:val="none" w:sz="0" w:space="0" w:color="auto"/>
        <w:bottom w:val="none" w:sz="0" w:space="0" w:color="auto"/>
        <w:right w:val="none" w:sz="0" w:space="0" w:color="auto"/>
      </w:divBdr>
    </w:div>
    <w:div w:id="18278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7258</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DEL SECRETARIO GENERAL SOBRE</vt:lpstr>
      <vt:lpstr>INFORME DEL SECRETARIO GENERAL SOBRE</vt:lpstr>
    </vt:vector>
  </TitlesOfParts>
  <Company>OAS</Company>
  <LinksUpToDate>false</LinksUpToDate>
  <CharactersWithSpaces>8533</CharactersWithSpaces>
  <SharedDoc>false</SharedDoc>
  <HLinks>
    <vt:vector size="6" baseType="variant">
      <vt:variant>
        <vt:i4>1507342</vt:i4>
      </vt:variant>
      <vt:variant>
        <vt:i4>0</vt:i4>
      </vt:variant>
      <vt:variant>
        <vt:i4>0</vt:i4>
      </vt:variant>
      <vt:variant>
        <vt:i4>5</vt:i4>
      </vt:variant>
      <vt:variant>
        <vt:lpwstr>http://scm.oas.org/IDMS/Redirectpage.aspx?class=AG/doc.&amp;classNum=5634&amp;lang=t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SECRETARIO GENERAL SOBRE</dc:title>
  <dc:subject/>
  <dc:creator>Estela Diaz-Avalos</dc:creator>
  <cp:keywords/>
  <cp:lastModifiedBy>Mayorga, Georgina</cp:lastModifiedBy>
  <cp:revision>3</cp:revision>
  <dcterms:created xsi:type="dcterms:W3CDTF">2021-12-01T17:15:00Z</dcterms:created>
  <dcterms:modified xsi:type="dcterms:W3CDTF">2021-12-01T17:15:00Z</dcterms:modified>
</cp:coreProperties>
</file>