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34E6" w14:textId="7600B8E0" w:rsidR="008E6689" w:rsidRPr="002C2DB4" w:rsidRDefault="00887F35" w:rsidP="00D64ACC">
      <w:pPr>
        <w:tabs>
          <w:tab w:val="left" w:pos="7560"/>
        </w:tabs>
        <w:ind w:right="-1109"/>
        <w:rPr>
          <w:szCs w:val="22"/>
          <w:lang w:val="es-AR"/>
        </w:rPr>
      </w:pPr>
      <w:r>
        <w:rPr>
          <w:szCs w:val="22"/>
        </w:rPr>
        <w:object w:dxaOrig="1440" w:dyaOrig="1440" w14:anchorId="377D5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30.85pt;margin-top:-45.45pt;width:320.05pt;height:28.05pt;z-index:251660288;mso-wrap-edited:f" wrapcoords="3572 1580 2041 2634 170 7376 170 11590 2381 19493 5272 20020 11055 20020 17008 20020 21260 12117 21600 4215 18709 2107 9524 1580 3572 1580" o:allowincell="f" fillcolor="window">
            <v:imagedata r:id="rId6" o:title=""/>
          </v:shape>
          <o:OLEObject Type="Embed" ProgID="Word.Picture.8" ShapeID="_x0000_s2059" DrawAspect="Content" ObjectID="_1699194418" r:id="rId7"/>
        </w:object>
      </w:r>
      <w:r w:rsidR="008E6689" w:rsidRPr="002C2DB4">
        <w:rPr>
          <w:szCs w:val="22"/>
          <w:lang w:val="es-AR"/>
        </w:rPr>
        <w:t>QUINCUAGÉSIMO PRIMER PERÍODO ORDINARIO DE SESIONES</w:t>
      </w:r>
      <w:r w:rsidR="008E6689" w:rsidRPr="002C2DB4">
        <w:rPr>
          <w:szCs w:val="22"/>
          <w:lang w:val="es-AR"/>
        </w:rPr>
        <w:tab/>
        <w:t>OEA/</w:t>
      </w:r>
      <w:proofErr w:type="spellStart"/>
      <w:r w:rsidR="008E6689" w:rsidRPr="002C2DB4">
        <w:rPr>
          <w:szCs w:val="22"/>
          <w:lang w:val="es-AR"/>
        </w:rPr>
        <w:t>Ser.P</w:t>
      </w:r>
      <w:proofErr w:type="spellEnd"/>
    </w:p>
    <w:p w14:paraId="27754E1F" w14:textId="0D1E3FC4" w:rsidR="008E6689" w:rsidRPr="002C2DB4" w:rsidRDefault="008E6689" w:rsidP="00D64ACC">
      <w:pPr>
        <w:tabs>
          <w:tab w:val="center" w:pos="2160"/>
          <w:tab w:val="left" w:pos="7560"/>
        </w:tabs>
        <w:ind w:right="-1469"/>
        <w:rPr>
          <w:szCs w:val="22"/>
          <w:lang w:val="es-AR"/>
        </w:rPr>
      </w:pPr>
      <w:r w:rsidRPr="002C2DB4">
        <w:rPr>
          <w:szCs w:val="22"/>
          <w:lang w:val="es-AR"/>
        </w:rPr>
        <w:t>Del 10 al 12 de noviembre de 2021</w:t>
      </w:r>
      <w:r w:rsidRPr="002C2DB4">
        <w:rPr>
          <w:szCs w:val="22"/>
          <w:lang w:val="es-AR"/>
        </w:rPr>
        <w:tab/>
        <w:t>AG/doc.57</w:t>
      </w:r>
      <w:r w:rsidR="00943ABC" w:rsidRPr="002C2DB4">
        <w:rPr>
          <w:szCs w:val="22"/>
          <w:lang w:val="es-AR"/>
        </w:rPr>
        <w:t>44</w:t>
      </w:r>
      <w:r w:rsidRPr="002C2DB4">
        <w:rPr>
          <w:szCs w:val="22"/>
          <w:lang w:val="es-AR"/>
        </w:rPr>
        <w:t>/21</w:t>
      </w:r>
      <w:r w:rsidR="00D64ACC">
        <w:rPr>
          <w:szCs w:val="22"/>
          <w:lang w:val="es-AR"/>
        </w:rPr>
        <w:t xml:space="preserve"> </w:t>
      </w:r>
      <w:proofErr w:type="spellStart"/>
      <w:r w:rsidR="00D64ACC">
        <w:rPr>
          <w:szCs w:val="22"/>
          <w:lang w:val="es-AR"/>
        </w:rPr>
        <w:t>rev.</w:t>
      </w:r>
      <w:proofErr w:type="spellEnd"/>
      <w:r w:rsidR="00D64ACC">
        <w:rPr>
          <w:szCs w:val="22"/>
          <w:lang w:val="es-AR"/>
        </w:rPr>
        <w:t xml:space="preserve"> 1</w:t>
      </w:r>
    </w:p>
    <w:p w14:paraId="5A42CAC2" w14:textId="2CADBC8C" w:rsidR="008E6689" w:rsidRPr="002C2DB4" w:rsidRDefault="008E6689" w:rsidP="00D64ACC">
      <w:pPr>
        <w:tabs>
          <w:tab w:val="left" w:pos="7560"/>
        </w:tabs>
        <w:ind w:right="-1109"/>
        <w:rPr>
          <w:szCs w:val="22"/>
          <w:lang w:val="es-US"/>
        </w:rPr>
      </w:pPr>
      <w:r w:rsidRPr="002C2DB4">
        <w:rPr>
          <w:szCs w:val="22"/>
          <w:lang w:val="es-US"/>
        </w:rPr>
        <w:t xml:space="preserve">Ciudad de Guatemala, Guatemala </w:t>
      </w:r>
      <w:r w:rsidRPr="002C2DB4">
        <w:rPr>
          <w:szCs w:val="22"/>
          <w:lang w:val="es-US"/>
        </w:rPr>
        <w:tab/>
      </w:r>
      <w:r w:rsidR="003F12A8">
        <w:rPr>
          <w:szCs w:val="22"/>
          <w:lang w:val="es-US"/>
        </w:rPr>
        <w:t>23</w:t>
      </w:r>
      <w:r w:rsidRPr="002C2DB4">
        <w:rPr>
          <w:szCs w:val="22"/>
          <w:lang w:val="es-US"/>
        </w:rPr>
        <w:t xml:space="preserve"> noviembre 2021</w:t>
      </w:r>
    </w:p>
    <w:p w14:paraId="4F6969F7" w14:textId="73A2509D" w:rsidR="008E6689" w:rsidRPr="002C2DB4" w:rsidRDefault="008E6689" w:rsidP="00D64ACC">
      <w:pPr>
        <w:tabs>
          <w:tab w:val="center" w:pos="2160"/>
          <w:tab w:val="left" w:pos="7560"/>
        </w:tabs>
        <w:ind w:right="-1109"/>
        <w:rPr>
          <w:szCs w:val="22"/>
          <w:lang w:val="es-AR"/>
        </w:rPr>
      </w:pPr>
      <w:r w:rsidRPr="002C2DB4">
        <w:rPr>
          <w:szCs w:val="22"/>
          <w:lang w:val="es-US"/>
        </w:rPr>
        <w:t>VIRTUAL</w:t>
      </w:r>
      <w:r w:rsidRPr="002C2DB4">
        <w:rPr>
          <w:szCs w:val="22"/>
          <w:lang w:val="es-US"/>
        </w:rPr>
        <w:tab/>
      </w:r>
      <w:r w:rsidRPr="002C2DB4">
        <w:rPr>
          <w:szCs w:val="22"/>
          <w:lang w:val="es-US"/>
        </w:rPr>
        <w:tab/>
      </w:r>
      <w:r w:rsidRPr="002C2DB4">
        <w:rPr>
          <w:szCs w:val="22"/>
          <w:lang w:val="es-AR"/>
        </w:rPr>
        <w:t>Original: español</w:t>
      </w:r>
    </w:p>
    <w:p w14:paraId="5C210698" w14:textId="77777777" w:rsidR="00484FBA" w:rsidRPr="002C2DB4" w:rsidRDefault="00484FBA" w:rsidP="00D64ACC">
      <w:pPr>
        <w:rPr>
          <w:rFonts w:eastAsia="Calibri"/>
          <w:szCs w:val="22"/>
          <w:lang w:val="es-ES"/>
        </w:rPr>
      </w:pPr>
    </w:p>
    <w:p w14:paraId="7A06E2FC" w14:textId="3C326B15" w:rsidR="00484FBA" w:rsidRPr="008E6689" w:rsidRDefault="008E6689" w:rsidP="00D64ACC">
      <w:pPr>
        <w:tabs>
          <w:tab w:val="left" w:pos="7560"/>
        </w:tabs>
        <w:ind w:right="-569"/>
        <w:rPr>
          <w:rFonts w:eastAsia="Calibri"/>
          <w:szCs w:val="22"/>
          <w:u w:val="single"/>
          <w:lang w:val="es-ES"/>
        </w:rPr>
      </w:pPr>
      <w:r w:rsidRPr="002C2DB4">
        <w:rPr>
          <w:rFonts w:eastAsia="Calibri"/>
          <w:szCs w:val="22"/>
          <w:lang w:val="es-ES"/>
        </w:rPr>
        <w:tab/>
      </w:r>
      <w:r w:rsidR="00484FBA" w:rsidRPr="002C2DB4">
        <w:rPr>
          <w:rFonts w:eastAsia="Calibri"/>
          <w:szCs w:val="22"/>
          <w:u w:val="single"/>
          <w:lang w:val="es-ES"/>
        </w:rPr>
        <w:t xml:space="preserve">Punto </w:t>
      </w:r>
      <w:r w:rsidR="00D95022" w:rsidRPr="002C2DB4">
        <w:rPr>
          <w:rFonts w:eastAsia="Calibri"/>
          <w:szCs w:val="22"/>
          <w:u w:val="single"/>
          <w:lang w:val="es-ES"/>
        </w:rPr>
        <w:t>4</w:t>
      </w:r>
      <w:r w:rsidR="00484FBA" w:rsidRPr="002C2DB4">
        <w:rPr>
          <w:rFonts w:eastAsia="Calibri"/>
          <w:szCs w:val="22"/>
          <w:u w:val="single"/>
          <w:lang w:val="es-ES"/>
        </w:rPr>
        <w:t xml:space="preserve"> del temario</w:t>
      </w:r>
    </w:p>
    <w:p w14:paraId="753EE1B8" w14:textId="77777777" w:rsidR="00484FBA" w:rsidRPr="00484FBA" w:rsidRDefault="00484FBA" w:rsidP="00D64ACC">
      <w:pPr>
        <w:rPr>
          <w:rFonts w:eastAsia="Calibri"/>
          <w:szCs w:val="22"/>
          <w:lang w:val="es-ES"/>
        </w:rPr>
      </w:pPr>
    </w:p>
    <w:p w14:paraId="31B50AF8" w14:textId="77777777" w:rsidR="00512F9D" w:rsidRDefault="00512F9D" w:rsidP="00D64ACC">
      <w:pPr>
        <w:rPr>
          <w:szCs w:val="22"/>
          <w:lang w:val="es-AR"/>
        </w:rPr>
      </w:pPr>
    </w:p>
    <w:p w14:paraId="0C606A01" w14:textId="113F83B7" w:rsidR="00087443" w:rsidRPr="00730459" w:rsidRDefault="00087443" w:rsidP="00D64ACC">
      <w:pPr>
        <w:jc w:val="center"/>
        <w:rPr>
          <w:szCs w:val="22"/>
          <w:lang w:val="es-US"/>
        </w:rPr>
      </w:pPr>
      <w:r w:rsidRPr="00CB44E6">
        <w:rPr>
          <w:szCs w:val="22"/>
          <w:lang w:val="es-AR"/>
        </w:rPr>
        <w:t>INFORME DEL SECRETARIO GENERAL SOBRE</w:t>
      </w:r>
      <w:r w:rsidRPr="00CB44E6">
        <w:rPr>
          <w:szCs w:val="22"/>
          <w:lang w:val="es-AR"/>
        </w:rPr>
        <w:br/>
        <w:t>LA PRESENTACIÓN DE CREDENCIALES DE LAS DELEGACIONES PARTICIPANTES</w:t>
      </w:r>
      <w:r w:rsidRPr="00CB44E6">
        <w:rPr>
          <w:szCs w:val="22"/>
          <w:lang w:val="es-AR"/>
        </w:rPr>
        <w:br/>
        <w:t xml:space="preserve">EN EL </w:t>
      </w:r>
      <w:r w:rsidR="008C70F5" w:rsidRPr="008E6689">
        <w:rPr>
          <w:szCs w:val="22"/>
          <w:lang w:val="es-AR"/>
        </w:rPr>
        <w:t xml:space="preserve">QUINCUAGÉSIMO PRIMER </w:t>
      </w:r>
      <w:r w:rsidRPr="00CB44E6">
        <w:rPr>
          <w:szCs w:val="22"/>
          <w:lang w:val="es-AR"/>
        </w:rPr>
        <w:t>PERÍODO ORDINARIO DE SESIONES</w:t>
      </w:r>
      <w:r w:rsidRPr="00CB44E6">
        <w:rPr>
          <w:szCs w:val="22"/>
          <w:lang w:val="es-AR"/>
        </w:rPr>
        <w:br/>
        <w:t>DE LA ASAMBLEA GENERAL</w:t>
      </w:r>
      <w:r w:rsidR="00D64ACC" w:rsidRPr="00BF0C02">
        <w:rPr>
          <w:rStyle w:val="FootnoteReference"/>
          <w:szCs w:val="22"/>
          <w:u w:val="single"/>
          <w:vertAlign w:val="superscript"/>
          <w:lang w:val="pt-BR"/>
        </w:rPr>
        <w:footnoteReference w:id="1"/>
      </w:r>
      <w:r w:rsidR="00D64ACC" w:rsidRPr="00BF0C02">
        <w:rPr>
          <w:szCs w:val="22"/>
          <w:vertAlign w:val="superscript"/>
          <w:lang w:val="es-US"/>
        </w:rPr>
        <w:t>/</w:t>
      </w:r>
      <w:r w:rsidR="00D64ACC" w:rsidRPr="00BF0C02">
        <w:rPr>
          <w:rStyle w:val="FootnoteReference"/>
          <w:szCs w:val="22"/>
          <w:u w:val="single"/>
          <w:vertAlign w:val="superscript"/>
          <w:lang w:val="pt-BR"/>
        </w:rPr>
        <w:footnoteReference w:id="2"/>
      </w:r>
      <w:r w:rsidR="00D64ACC" w:rsidRPr="00BF0C02">
        <w:rPr>
          <w:szCs w:val="22"/>
          <w:vertAlign w:val="superscript"/>
          <w:lang w:val="es-US"/>
        </w:rPr>
        <w:t>/</w:t>
      </w:r>
      <w:r w:rsidR="008770EA" w:rsidRPr="00BF0C02">
        <w:rPr>
          <w:rStyle w:val="FootnoteReference"/>
          <w:szCs w:val="22"/>
          <w:u w:val="single"/>
          <w:vertAlign w:val="superscript"/>
          <w:lang w:val="pt-BR"/>
        </w:rPr>
        <w:footnoteReference w:id="3"/>
      </w:r>
      <w:r w:rsidR="008770EA" w:rsidRPr="00BF0C02">
        <w:rPr>
          <w:szCs w:val="22"/>
          <w:vertAlign w:val="superscript"/>
          <w:lang w:val="es-US"/>
        </w:rPr>
        <w:t>/</w:t>
      </w:r>
      <w:r w:rsidR="0098091B" w:rsidRPr="00BF0C02">
        <w:rPr>
          <w:rStyle w:val="FootnoteReference"/>
          <w:szCs w:val="22"/>
          <w:u w:val="single"/>
          <w:vertAlign w:val="superscript"/>
          <w:lang w:val="pt-BR"/>
        </w:rPr>
        <w:footnoteReference w:id="4"/>
      </w:r>
      <w:r w:rsidR="0098091B" w:rsidRPr="00BF0C02">
        <w:rPr>
          <w:szCs w:val="22"/>
          <w:vertAlign w:val="superscript"/>
          <w:lang w:val="es-US"/>
        </w:rPr>
        <w:t>/</w:t>
      </w:r>
      <w:r w:rsidR="000C08C6" w:rsidRPr="00BF0C02">
        <w:rPr>
          <w:rStyle w:val="FootnoteReference"/>
          <w:szCs w:val="22"/>
          <w:u w:val="single"/>
          <w:vertAlign w:val="superscript"/>
          <w:lang w:val="pt-BR"/>
        </w:rPr>
        <w:footnoteReference w:id="5"/>
      </w:r>
      <w:r w:rsidR="000C08C6" w:rsidRPr="00BF0C02">
        <w:rPr>
          <w:szCs w:val="22"/>
          <w:vertAlign w:val="superscript"/>
          <w:lang w:val="es-US"/>
        </w:rPr>
        <w:t>/</w:t>
      </w:r>
      <w:r w:rsidR="00730459" w:rsidRPr="00BF0C02">
        <w:rPr>
          <w:rStyle w:val="FootnoteReference"/>
          <w:szCs w:val="22"/>
          <w:u w:val="single"/>
          <w:vertAlign w:val="superscript"/>
          <w:lang w:val="pt-BR"/>
        </w:rPr>
        <w:footnoteReference w:id="6"/>
      </w:r>
      <w:r w:rsidR="00730459" w:rsidRPr="00BF0C02">
        <w:rPr>
          <w:szCs w:val="22"/>
          <w:vertAlign w:val="superscript"/>
          <w:lang w:val="es-US"/>
        </w:rPr>
        <w:t>/</w:t>
      </w:r>
      <w:r w:rsidR="00730459" w:rsidRPr="00BF0C02">
        <w:rPr>
          <w:rStyle w:val="FootnoteReference"/>
          <w:szCs w:val="22"/>
          <w:u w:val="single"/>
          <w:vertAlign w:val="superscript"/>
          <w:lang w:val="pt-BR"/>
        </w:rPr>
        <w:footnoteReference w:id="7"/>
      </w:r>
      <w:r w:rsidR="00730459" w:rsidRPr="00BF0C02">
        <w:rPr>
          <w:szCs w:val="22"/>
          <w:vertAlign w:val="superscript"/>
          <w:lang w:val="es-US"/>
        </w:rPr>
        <w:t>/</w:t>
      </w:r>
      <w:r w:rsidR="00730459" w:rsidRPr="00BF0C02">
        <w:rPr>
          <w:rStyle w:val="FootnoteReference"/>
          <w:szCs w:val="22"/>
          <w:u w:val="single"/>
          <w:vertAlign w:val="superscript"/>
          <w:lang w:val="pt-BR"/>
        </w:rPr>
        <w:footnoteReference w:id="8"/>
      </w:r>
      <w:r w:rsidR="00730459" w:rsidRPr="00BF0C02">
        <w:rPr>
          <w:szCs w:val="22"/>
          <w:vertAlign w:val="superscript"/>
          <w:lang w:val="es-US"/>
        </w:rPr>
        <w:t>/</w:t>
      </w:r>
      <w:r w:rsidR="00730459" w:rsidRPr="00BF0C02">
        <w:rPr>
          <w:rStyle w:val="FootnoteReference"/>
          <w:szCs w:val="22"/>
          <w:u w:val="single"/>
          <w:vertAlign w:val="superscript"/>
          <w:lang w:val="pt-BR"/>
        </w:rPr>
        <w:footnoteReference w:id="9"/>
      </w:r>
      <w:r w:rsidR="00730459" w:rsidRPr="00BF0C02">
        <w:rPr>
          <w:szCs w:val="22"/>
          <w:vertAlign w:val="superscript"/>
          <w:lang w:val="es-US"/>
        </w:rPr>
        <w:t>/</w:t>
      </w:r>
      <w:r w:rsidR="003C6C56" w:rsidRPr="00BF0C02">
        <w:rPr>
          <w:rStyle w:val="FootnoteReference"/>
          <w:szCs w:val="22"/>
          <w:u w:val="single"/>
          <w:vertAlign w:val="superscript"/>
          <w:lang w:val="pt-BR"/>
        </w:rPr>
        <w:footnoteReference w:id="10"/>
      </w:r>
      <w:r w:rsidR="003C6C56" w:rsidRPr="00BF0C02">
        <w:rPr>
          <w:szCs w:val="22"/>
          <w:vertAlign w:val="superscript"/>
          <w:lang w:val="es-US"/>
        </w:rPr>
        <w:t>/</w:t>
      </w:r>
    </w:p>
    <w:p w14:paraId="69CF4F8C" w14:textId="07C483F5" w:rsidR="00087443" w:rsidRPr="00CB44E6" w:rsidRDefault="00087443" w:rsidP="00D64ACC">
      <w:pPr>
        <w:rPr>
          <w:szCs w:val="22"/>
          <w:lang w:val="es-AR"/>
        </w:rPr>
      </w:pPr>
    </w:p>
    <w:p w14:paraId="512BADFC" w14:textId="77777777" w:rsidR="00087443" w:rsidRPr="00CB44E6" w:rsidRDefault="00087443" w:rsidP="00D64ACC">
      <w:pPr>
        <w:rPr>
          <w:szCs w:val="22"/>
          <w:lang w:val="es-AR"/>
        </w:rPr>
      </w:pPr>
    </w:p>
    <w:p w14:paraId="13BE8D9E" w14:textId="77777777" w:rsidR="00087443" w:rsidRPr="00CB44E6" w:rsidRDefault="00087443" w:rsidP="00D64ACC">
      <w:pPr>
        <w:jc w:val="both"/>
        <w:rPr>
          <w:szCs w:val="22"/>
          <w:lang w:val="es-AR"/>
        </w:rPr>
      </w:pPr>
      <w:r w:rsidRPr="00CB44E6">
        <w:rPr>
          <w:szCs w:val="22"/>
          <w:lang w:val="es-AR"/>
        </w:rPr>
        <w:tab/>
        <w:t xml:space="preserve">De acuerdo con lo dispuesto en el artículo 27 del Reglamento de la Asamblea General, cumplo en informar al plenario que todas las credenciales presentadas por las delegaciones de los Estados Miembros y de los países Observadores Permanentes han sido </w:t>
      </w:r>
      <w:r w:rsidR="008A5CDC">
        <w:rPr>
          <w:szCs w:val="22"/>
          <w:lang w:val="es-AR"/>
        </w:rPr>
        <w:t>recibidas y registradas</w:t>
      </w:r>
      <w:r w:rsidR="006D1774">
        <w:rPr>
          <w:szCs w:val="22"/>
          <w:lang w:val="es-AR"/>
        </w:rPr>
        <w:t>.</w:t>
      </w:r>
      <w:r w:rsidR="008A5CDC">
        <w:rPr>
          <w:szCs w:val="22"/>
          <w:lang w:val="es-AR"/>
        </w:rPr>
        <w:t xml:space="preserve"> </w:t>
      </w:r>
    </w:p>
    <w:p w14:paraId="104B9D8D" w14:textId="77777777" w:rsidR="00087443" w:rsidRPr="00CB44E6" w:rsidRDefault="00087443" w:rsidP="00D64ACC">
      <w:pPr>
        <w:jc w:val="both"/>
        <w:rPr>
          <w:szCs w:val="22"/>
          <w:lang w:val="es-AR"/>
        </w:rPr>
      </w:pPr>
    </w:p>
    <w:p w14:paraId="3FE7D1B6" w14:textId="77777777" w:rsidR="00087443" w:rsidRPr="00CB44E6" w:rsidRDefault="00087443" w:rsidP="00D64ACC">
      <w:pPr>
        <w:pStyle w:val="BodyText"/>
        <w:spacing w:line="240" w:lineRule="auto"/>
        <w:rPr>
          <w:szCs w:val="22"/>
          <w:lang w:val="es-AR"/>
        </w:rPr>
      </w:pPr>
      <w:r w:rsidRPr="00CB44E6">
        <w:rPr>
          <w:szCs w:val="22"/>
          <w:lang w:val="es-AR"/>
        </w:rPr>
        <w:tab/>
        <w:t xml:space="preserve">También se encontraron </w:t>
      </w:r>
      <w:r w:rsidR="008A5CDC">
        <w:rPr>
          <w:szCs w:val="22"/>
          <w:lang w:val="es-AR"/>
        </w:rPr>
        <w:t xml:space="preserve">registradas </w:t>
      </w:r>
      <w:r w:rsidRPr="00CB44E6">
        <w:rPr>
          <w:szCs w:val="22"/>
          <w:lang w:val="es-AR"/>
        </w:rPr>
        <w:t>en debida forma las credenciales correspondientes a los representantes de los órganos, organismos y entidades del sistema interamericano, las entidades y organismos interamericanos gubernamentales de carácter regional o subregional, los organismos especializados vinculados con las Naciones Unidas, otros organismos internacionales e invitados especiales.</w:t>
      </w:r>
    </w:p>
    <w:p w14:paraId="3B650264" w14:textId="77777777" w:rsidR="00087443" w:rsidRPr="00CB44E6" w:rsidRDefault="00087443" w:rsidP="00D64ACC">
      <w:pPr>
        <w:pStyle w:val="BodyText"/>
        <w:spacing w:line="240" w:lineRule="auto"/>
        <w:rPr>
          <w:szCs w:val="22"/>
          <w:lang w:val="es-AR"/>
        </w:rPr>
      </w:pPr>
    </w:p>
    <w:p w14:paraId="2D1996EA" w14:textId="677B8420" w:rsidR="00087443" w:rsidRDefault="00087443" w:rsidP="00D64ACC">
      <w:pPr>
        <w:jc w:val="both"/>
        <w:rPr>
          <w:szCs w:val="22"/>
          <w:vertAlign w:val="superscript"/>
          <w:lang w:val="es-AR"/>
        </w:rPr>
      </w:pPr>
      <w:r w:rsidRPr="00CB44E6">
        <w:rPr>
          <w:szCs w:val="22"/>
          <w:lang w:val="es-AR"/>
        </w:rPr>
        <w:tab/>
        <w:t>Los nombres de todos los participantes en el presente período ordinario de sesiones de la Asamblea General figuran en la Lista de Participantes.</w:t>
      </w:r>
      <w:r w:rsidRPr="00CB44E6">
        <w:rPr>
          <w:rStyle w:val="FootnoteReference"/>
          <w:szCs w:val="22"/>
          <w:u w:val="single"/>
          <w:vertAlign w:val="superscript"/>
          <w:lang w:val="es-AR"/>
        </w:rPr>
        <w:footnoteReference w:id="11"/>
      </w:r>
      <w:r w:rsidRPr="00CB44E6">
        <w:rPr>
          <w:szCs w:val="22"/>
          <w:vertAlign w:val="superscript"/>
          <w:lang w:val="es-AR"/>
        </w:rPr>
        <w:t>/</w:t>
      </w:r>
    </w:p>
    <w:p w14:paraId="0888B724" w14:textId="63DE434B" w:rsidR="00D64ACC" w:rsidRDefault="00D64ACC">
      <w:pPr>
        <w:rPr>
          <w:szCs w:val="22"/>
          <w:vertAlign w:val="superscript"/>
          <w:lang w:val="es-AR"/>
        </w:rPr>
      </w:pPr>
      <w:r>
        <w:rPr>
          <w:szCs w:val="22"/>
          <w:vertAlign w:val="superscript"/>
          <w:lang w:val="es-AR"/>
        </w:rPr>
        <w:br w:type="page"/>
      </w:r>
    </w:p>
    <w:p w14:paraId="1931C4FB" w14:textId="77777777" w:rsidR="00D64ACC" w:rsidRPr="00A123DC" w:rsidRDefault="00D64ACC" w:rsidP="00D64ACC">
      <w:pPr>
        <w:ind w:right="-29"/>
        <w:jc w:val="center"/>
        <w:rPr>
          <w:sz w:val="20"/>
          <w:lang w:val="es-MX"/>
        </w:rPr>
      </w:pPr>
      <w:r w:rsidRPr="00A123DC">
        <w:rPr>
          <w:sz w:val="20"/>
          <w:lang w:val="es-MX"/>
        </w:rPr>
        <w:lastRenderedPageBreak/>
        <w:t>NOTAS A PIE DE PÁGINA</w:t>
      </w:r>
    </w:p>
    <w:p w14:paraId="255E8A48" w14:textId="77777777" w:rsidR="00D64ACC" w:rsidRDefault="00D64ACC" w:rsidP="00D64ACC">
      <w:pPr>
        <w:ind w:right="-29"/>
        <w:rPr>
          <w:szCs w:val="22"/>
          <w:lang w:val="es-MX"/>
        </w:rPr>
      </w:pPr>
    </w:p>
    <w:p w14:paraId="36EBAF5E" w14:textId="77777777" w:rsidR="00D64ACC" w:rsidRDefault="00D64ACC" w:rsidP="00D64ACC">
      <w:pPr>
        <w:ind w:right="-29"/>
        <w:rPr>
          <w:szCs w:val="22"/>
          <w:lang w:val="es-MX"/>
        </w:rPr>
      </w:pPr>
    </w:p>
    <w:p w14:paraId="0AB3805E" w14:textId="77777777" w:rsidR="00D64ACC" w:rsidRPr="003D78F2" w:rsidRDefault="00D64ACC" w:rsidP="0098091B">
      <w:pPr>
        <w:ind w:right="-29"/>
        <w:jc w:val="both"/>
        <w:rPr>
          <w:rStyle w:val="CharacterStyle2"/>
          <w:spacing w:val="-1"/>
          <w:lang w:val="es-US"/>
        </w:rPr>
      </w:pPr>
      <w:r>
        <w:rPr>
          <w:szCs w:val="22"/>
          <w:lang w:val="es-MX"/>
        </w:rPr>
        <w:tab/>
      </w:r>
      <w:r w:rsidRPr="003D78F2">
        <w:rPr>
          <w:sz w:val="20"/>
          <w:lang w:val="es-MX"/>
        </w:rPr>
        <w:t>1.</w:t>
      </w:r>
      <w:r w:rsidRPr="003D78F2">
        <w:rPr>
          <w:sz w:val="20"/>
          <w:lang w:val="es-MX"/>
        </w:rPr>
        <w:tab/>
        <w:t>…</w:t>
      </w:r>
      <w:r w:rsidRPr="003D78F2">
        <w:rPr>
          <w:spacing w:val="-1"/>
          <w:sz w:val="20"/>
          <w:lang w:val="es-US"/>
        </w:rPr>
        <w:t xml:space="preserve"> </w:t>
      </w:r>
      <w:r w:rsidRPr="003D78F2">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23505A1C" w14:textId="77777777" w:rsidR="00D64ACC" w:rsidRPr="003D78F2" w:rsidRDefault="00D64ACC" w:rsidP="00D64ACC">
      <w:pPr>
        <w:ind w:right="-29"/>
        <w:rPr>
          <w:sz w:val="20"/>
          <w:lang w:val="es-MX"/>
        </w:rPr>
      </w:pPr>
    </w:p>
    <w:p w14:paraId="5C9DB458" w14:textId="77777777" w:rsidR="00D64ACC" w:rsidRPr="003D78F2" w:rsidRDefault="00D64ACC" w:rsidP="00D64ACC">
      <w:pPr>
        <w:pStyle w:val="Style1"/>
        <w:kinsoku w:val="0"/>
        <w:autoSpaceDE/>
        <w:autoSpaceDN/>
        <w:adjustRightInd/>
        <w:ind w:firstLine="720"/>
        <w:jc w:val="both"/>
        <w:rPr>
          <w:rStyle w:val="CharacterStyle2"/>
          <w:spacing w:val="-1"/>
          <w:lang w:val="es-US"/>
        </w:rPr>
      </w:pPr>
      <w:r w:rsidRPr="003D78F2">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291C7B72" w14:textId="77777777" w:rsidR="00D64ACC" w:rsidRPr="003D78F2" w:rsidRDefault="00D64ACC" w:rsidP="00D64ACC">
      <w:pPr>
        <w:pStyle w:val="Style1"/>
        <w:kinsoku w:val="0"/>
        <w:autoSpaceDE/>
        <w:autoSpaceDN/>
        <w:adjustRightInd/>
        <w:jc w:val="both"/>
        <w:rPr>
          <w:rStyle w:val="CharacterStyle2"/>
          <w:spacing w:val="-1"/>
          <w:lang w:val="es-US"/>
        </w:rPr>
      </w:pPr>
    </w:p>
    <w:p w14:paraId="44B89855" w14:textId="77777777" w:rsidR="00D64ACC" w:rsidRPr="003D78F2" w:rsidRDefault="00D64ACC" w:rsidP="00D64ACC">
      <w:pPr>
        <w:pStyle w:val="Style1"/>
        <w:kinsoku w:val="0"/>
        <w:autoSpaceDE/>
        <w:autoSpaceDN/>
        <w:adjustRightInd/>
        <w:ind w:firstLine="720"/>
        <w:jc w:val="both"/>
        <w:rPr>
          <w:rStyle w:val="CharacterStyle2"/>
          <w:spacing w:val="-1"/>
          <w:lang w:val="es-US"/>
        </w:rPr>
      </w:pPr>
      <w:r w:rsidRPr="003D78F2">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78B8DF80" w14:textId="77777777" w:rsidR="00D64ACC" w:rsidRPr="003D78F2" w:rsidRDefault="00D64ACC" w:rsidP="00D64ACC">
      <w:pPr>
        <w:pStyle w:val="Style1"/>
        <w:kinsoku w:val="0"/>
        <w:autoSpaceDE/>
        <w:autoSpaceDN/>
        <w:adjustRightInd/>
        <w:jc w:val="both"/>
        <w:rPr>
          <w:rStyle w:val="CharacterStyle2"/>
          <w:spacing w:val="-1"/>
          <w:lang w:val="es-US"/>
        </w:rPr>
      </w:pPr>
    </w:p>
    <w:p w14:paraId="67631D8B" w14:textId="77777777" w:rsidR="00D64ACC" w:rsidRPr="003D78F2" w:rsidRDefault="00D64ACC" w:rsidP="00D64ACC">
      <w:pPr>
        <w:pStyle w:val="Style1"/>
        <w:kinsoku w:val="0"/>
        <w:autoSpaceDE/>
        <w:autoSpaceDN/>
        <w:adjustRightInd/>
        <w:ind w:firstLine="720"/>
        <w:jc w:val="both"/>
        <w:rPr>
          <w:rStyle w:val="CharacterStyle2"/>
          <w:spacing w:val="-1"/>
          <w:lang w:val="es-US"/>
        </w:rPr>
      </w:pPr>
      <w:r w:rsidRPr="003D78F2">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60715B00" w14:textId="77777777" w:rsidR="00D64ACC" w:rsidRPr="003D78F2" w:rsidRDefault="00D64ACC" w:rsidP="00D64ACC">
      <w:pPr>
        <w:pStyle w:val="Style1"/>
        <w:kinsoku w:val="0"/>
        <w:autoSpaceDE/>
        <w:autoSpaceDN/>
        <w:adjustRightInd/>
        <w:jc w:val="both"/>
        <w:rPr>
          <w:rStyle w:val="CharacterStyle2"/>
          <w:spacing w:val="-1"/>
          <w:lang w:val="es-US"/>
        </w:rPr>
      </w:pPr>
    </w:p>
    <w:p w14:paraId="77BCF25A" w14:textId="77777777" w:rsidR="00D64ACC" w:rsidRPr="003D78F2" w:rsidRDefault="00D64ACC" w:rsidP="00D64ACC">
      <w:pPr>
        <w:pStyle w:val="Style1"/>
        <w:kinsoku w:val="0"/>
        <w:autoSpaceDE/>
        <w:autoSpaceDN/>
        <w:adjustRightInd/>
        <w:ind w:firstLine="720"/>
        <w:jc w:val="both"/>
        <w:rPr>
          <w:rStyle w:val="CharacterStyle2"/>
          <w:spacing w:val="-1"/>
          <w:lang w:val="es-US"/>
        </w:rPr>
      </w:pPr>
      <w:r w:rsidRPr="003D78F2">
        <w:rPr>
          <w:rStyle w:val="CharacterStyle2"/>
          <w:spacing w:val="-1"/>
          <w:lang w:val="es-US"/>
        </w:rPr>
        <w:t xml:space="preserve">Por lo anterior, en tanto cualquier persona permanezca acreditada como Representante de la República Bolivariana de Venezuela ante la OEA con base en actos </w:t>
      </w:r>
      <w:r w:rsidRPr="003D78F2">
        <w:rPr>
          <w:rStyle w:val="CharacterStyle2"/>
          <w:i/>
          <w:iCs/>
          <w:spacing w:val="-1"/>
          <w:lang w:val="es-US"/>
        </w:rPr>
        <w:t>ultra vires</w:t>
      </w:r>
      <w:r w:rsidRPr="003D78F2">
        <w:rPr>
          <w:rStyle w:val="CharacterStyle2"/>
          <w:spacing w:val="-1"/>
          <w:lang w:val="es-US"/>
        </w:rPr>
        <w:t xml:space="preserve">, México continuará participando y ejerciendo sus prerrogativas y derechos al interior de </w:t>
      </w:r>
      <w:r w:rsidRPr="003D78F2">
        <w:rPr>
          <w:rStyle w:val="CharacterStyle2"/>
          <w:lang w:val="es-US"/>
        </w:rPr>
        <w:t xml:space="preserve">sus órganos, organismos y entidades, sin que ello deba considerarse aquiescencia en el </w:t>
      </w:r>
      <w:r w:rsidRPr="003D78F2">
        <w:rPr>
          <w:rStyle w:val="CharacterStyle2"/>
          <w:spacing w:val="-1"/>
          <w:lang w:val="es-US"/>
        </w:rPr>
        <w:t>reconocimiento a ningún gobierno.</w:t>
      </w:r>
    </w:p>
    <w:p w14:paraId="26AA615B" w14:textId="77777777" w:rsidR="00D64ACC" w:rsidRPr="003D78F2" w:rsidRDefault="00D64ACC" w:rsidP="00D64ACC">
      <w:pPr>
        <w:pStyle w:val="Style1"/>
        <w:kinsoku w:val="0"/>
        <w:autoSpaceDE/>
        <w:autoSpaceDN/>
        <w:adjustRightInd/>
        <w:jc w:val="both"/>
        <w:rPr>
          <w:rStyle w:val="CharacterStyle2"/>
          <w:spacing w:val="-1"/>
          <w:lang w:val="es-US"/>
        </w:rPr>
      </w:pPr>
    </w:p>
    <w:p w14:paraId="7165A0DE" w14:textId="77777777" w:rsidR="00D64ACC" w:rsidRPr="003D78F2" w:rsidRDefault="00D64ACC" w:rsidP="00D64ACC">
      <w:pPr>
        <w:pStyle w:val="Style1"/>
        <w:kinsoku w:val="0"/>
        <w:autoSpaceDE/>
        <w:autoSpaceDN/>
        <w:adjustRightInd/>
        <w:ind w:firstLine="720"/>
        <w:jc w:val="both"/>
        <w:rPr>
          <w:rStyle w:val="CharacterStyle2"/>
          <w:spacing w:val="-1"/>
          <w:lang w:val="es-US"/>
        </w:rPr>
      </w:pPr>
      <w:r w:rsidRPr="003D78F2">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62D9696B" w14:textId="77777777" w:rsidR="00D64ACC" w:rsidRPr="003D78F2" w:rsidRDefault="00D64ACC" w:rsidP="00D64ACC">
      <w:pPr>
        <w:pStyle w:val="Style1"/>
        <w:kinsoku w:val="0"/>
        <w:autoSpaceDE/>
        <w:autoSpaceDN/>
        <w:adjustRightInd/>
        <w:jc w:val="both"/>
        <w:rPr>
          <w:rStyle w:val="CharacterStyle2"/>
          <w:spacing w:val="-1"/>
          <w:lang w:val="es-US"/>
        </w:rPr>
      </w:pPr>
    </w:p>
    <w:p w14:paraId="49AE28FA" w14:textId="343CB143" w:rsidR="00D64ACC" w:rsidRDefault="00D64ACC" w:rsidP="00D64ACC">
      <w:pPr>
        <w:pStyle w:val="Style1"/>
        <w:kinsoku w:val="0"/>
        <w:autoSpaceDE/>
        <w:autoSpaceDN/>
        <w:adjustRightInd/>
        <w:ind w:firstLine="720"/>
        <w:jc w:val="both"/>
        <w:rPr>
          <w:rStyle w:val="CharacterStyle2"/>
          <w:spacing w:val="-1"/>
          <w:lang w:val="es-US"/>
        </w:rPr>
      </w:pPr>
      <w:r w:rsidRPr="003D78F2">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17691DB3" w14:textId="36A52502" w:rsidR="00D64ACC" w:rsidRDefault="00D64ACC" w:rsidP="00D64ACC">
      <w:pPr>
        <w:pStyle w:val="Style1"/>
        <w:kinsoku w:val="0"/>
        <w:autoSpaceDE/>
        <w:autoSpaceDN/>
        <w:adjustRightInd/>
        <w:ind w:firstLine="720"/>
        <w:jc w:val="both"/>
        <w:rPr>
          <w:rStyle w:val="CharacterStyle2"/>
          <w:spacing w:val="-1"/>
          <w:lang w:val="es-US"/>
        </w:rPr>
      </w:pPr>
    </w:p>
    <w:p w14:paraId="333A1F2A" w14:textId="77777777" w:rsidR="0098091B" w:rsidRDefault="00D64ACC" w:rsidP="0098091B">
      <w:pPr>
        <w:pStyle w:val="Style1"/>
        <w:kinsoku w:val="0"/>
        <w:autoSpaceDE/>
        <w:autoSpaceDN/>
        <w:adjustRightInd/>
        <w:ind w:firstLine="720"/>
        <w:jc w:val="both"/>
        <w:rPr>
          <w:rStyle w:val="CharacterStyle2"/>
          <w:spacing w:val="-1"/>
          <w:lang w:val="es-US"/>
        </w:rPr>
      </w:pPr>
      <w:r>
        <w:rPr>
          <w:rStyle w:val="CharacterStyle2"/>
          <w:spacing w:val="-1"/>
          <w:lang w:val="es-US"/>
        </w:rPr>
        <w:t>2.</w:t>
      </w:r>
      <w:r>
        <w:rPr>
          <w:rStyle w:val="CharacterStyle2"/>
          <w:spacing w:val="-1"/>
          <w:lang w:val="es-US"/>
        </w:rPr>
        <w:tab/>
        <w:t xml:space="preserve">… </w:t>
      </w:r>
      <w:r w:rsidRPr="0098091B">
        <w:rPr>
          <w:rStyle w:val="CharacterStyle2"/>
          <w:spacing w:val="-1"/>
          <w:lang w:val="es-US"/>
        </w:rPr>
        <w:t xml:space="preserve">de </w:t>
      </w:r>
      <w:r w:rsidR="0098091B" w:rsidRPr="0098091B">
        <w:rPr>
          <w:rStyle w:val="CharacterStyle2"/>
          <w:spacing w:val="-1"/>
          <w:lang w:val="es-US"/>
        </w:rPr>
        <w:t xml:space="preserve">sesiones </w:t>
      </w:r>
      <w:r w:rsidRPr="0098091B">
        <w:rPr>
          <w:rStyle w:val="CharacterStyle2"/>
          <w:spacing w:val="-1"/>
          <w:lang w:val="es-US"/>
        </w:rPr>
        <w:t xml:space="preserve">en la Asamblea General, posee contradicciones con el derecho internacional y con el principio de </w:t>
      </w:r>
      <w:r w:rsidR="0098091B" w:rsidRPr="0098091B">
        <w:rPr>
          <w:rStyle w:val="CharacterStyle2"/>
          <w:spacing w:val="-1"/>
          <w:lang w:val="es-US"/>
        </w:rPr>
        <w:t>integración</w:t>
      </w:r>
      <w:r w:rsidRPr="0098091B">
        <w:rPr>
          <w:rStyle w:val="CharacterStyle2"/>
          <w:spacing w:val="-1"/>
          <w:lang w:val="es-US"/>
        </w:rPr>
        <w:t xml:space="preserve"> regional, el </w:t>
      </w:r>
      <w:r w:rsidR="0098091B">
        <w:rPr>
          <w:rStyle w:val="CharacterStyle2"/>
          <w:spacing w:val="-1"/>
          <w:lang w:val="es-US"/>
        </w:rPr>
        <w:t xml:space="preserve">año </w:t>
      </w:r>
      <w:r w:rsidRPr="0098091B">
        <w:rPr>
          <w:rStyle w:val="CharacterStyle2"/>
          <w:spacing w:val="-1"/>
          <w:lang w:val="es-US"/>
        </w:rPr>
        <w:t xml:space="preserve">2017 la </w:t>
      </w:r>
      <w:r w:rsidR="0098091B" w:rsidRPr="0098091B">
        <w:rPr>
          <w:rStyle w:val="CharacterStyle2"/>
          <w:spacing w:val="-1"/>
          <w:lang w:val="es-US"/>
        </w:rPr>
        <w:t>República</w:t>
      </w:r>
      <w:r w:rsidRPr="0098091B">
        <w:rPr>
          <w:rStyle w:val="CharacterStyle2"/>
          <w:spacing w:val="-1"/>
          <w:lang w:val="es-US"/>
        </w:rPr>
        <w:t xml:space="preserve"> Bolivariana de Venezuela, en el marco de su </w:t>
      </w:r>
      <w:r w:rsidR="0098091B" w:rsidRPr="0098091B">
        <w:rPr>
          <w:rStyle w:val="CharacterStyle2"/>
          <w:spacing w:val="-1"/>
          <w:lang w:val="es-US"/>
        </w:rPr>
        <w:t>soberanía</w:t>
      </w:r>
      <w:r w:rsidRPr="0098091B">
        <w:rPr>
          <w:rStyle w:val="CharacterStyle2"/>
          <w:spacing w:val="-1"/>
          <w:lang w:val="es-US"/>
        </w:rPr>
        <w:t xml:space="preserve">, </w:t>
      </w:r>
      <w:r w:rsidR="0098091B" w:rsidRPr="0098091B">
        <w:rPr>
          <w:rStyle w:val="CharacterStyle2"/>
          <w:spacing w:val="-1"/>
          <w:lang w:val="es-US"/>
        </w:rPr>
        <w:t>denunció</w:t>
      </w:r>
      <w:r w:rsidRPr="0098091B">
        <w:rPr>
          <w:rStyle w:val="CharacterStyle2"/>
          <w:spacing w:val="-1"/>
          <w:lang w:val="es-US"/>
        </w:rPr>
        <w:t xml:space="preserve"> la Carta de la </w:t>
      </w:r>
      <w:r w:rsidR="0098091B">
        <w:rPr>
          <w:rStyle w:val="CharacterStyle2"/>
          <w:spacing w:val="-1"/>
          <w:lang w:val="es-US"/>
        </w:rPr>
        <w:t>O</w:t>
      </w:r>
      <w:r w:rsidR="0098091B" w:rsidRPr="0098091B">
        <w:rPr>
          <w:rStyle w:val="CharacterStyle2"/>
          <w:spacing w:val="-1"/>
          <w:lang w:val="es-US"/>
        </w:rPr>
        <w:t>rganización</w:t>
      </w:r>
      <w:r w:rsidRPr="0098091B">
        <w:rPr>
          <w:rStyle w:val="CharacterStyle2"/>
          <w:spacing w:val="-1"/>
          <w:lang w:val="es-US"/>
        </w:rPr>
        <w:t xml:space="preserve"> de </w:t>
      </w:r>
      <w:r w:rsidR="0098091B">
        <w:rPr>
          <w:rStyle w:val="CharacterStyle2"/>
          <w:spacing w:val="-1"/>
          <w:lang w:val="es-US"/>
        </w:rPr>
        <w:t xml:space="preserve">los </w:t>
      </w:r>
      <w:r w:rsidRPr="0098091B">
        <w:rPr>
          <w:rStyle w:val="CharacterStyle2"/>
          <w:spacing w:val="-1"/>
          <w:lang w:val="es-US"/>
        </w:rPr>
        <w:t xml:space="preserve">Estados Americanos, que de acuerdo at </w:t>
      </w:r>
      <w:r w:rsidR="0098091B" w:rsidRPr="0098091B">
        <w:rPr>
          <w:rStyle w:val="CharacterStyle2"/>
          <w:spacing w:val="-1"/>
          <w:lang w:val="es-US"/>
        </w:rPr>
        <w:t>artículo</w:t>
      </w:r>
      <w:r w:rsidRPr="0098091B">
        <w:rPr>
          <w:rStyle w:val="CharacterStyle2"/>
          <w:spacing w:val="-1"/>
          <w:lang w:val="es-US"/>
        </w:rPr>
        <w:t xml:space="preserve"> 143, transcurridos dos </w:t>
      </w:r>
      <w:r w:rsidR="0098091B" w:rsidRPr="0098091B">
        <w:rPr>
          <w:rStyle w:val="CharacterStyle2"/>
          <w:spacing w:val="-1"/>
          <w:lang w:val="es-US"/>
        </w:rPr>
        <w:t>años</w:t>
      </w:r>
      <w:r w:rsidRPr="0098091B">
        <w:rPr>
          <w:rStyle w:val="CharacterStyle2"/>
          <w:spacing w:val="-1"/>
          <w:lang w:val="es-US"/>
        </w:rPr>
        <w:t xml:space="preserve"> a partir de la fecha de su denuncia, la Carta cesa en sus efectos respecto del Estado denunciante, y </w:t>
      </w:r>
      <w:r w:rsidR="0098091B">
        <w:rPr>
          <w:rStyle w:val="CharacterStyle2"/>
          <w:spacing w:val="-1"/>
          <w:lang w:val="es-US"/>
        </w:rPr>
        <w:t>é</w:t>
      </w:r>
      <w:r w:rsidRPr="0098091B">
        <w:rPr>
          <w:rStyle w:val="CharacterStyle2"/>
          <w:spacing w:val="-1"/>
          <w:lang w:val="es-US"/>
        </w:rPr>
        <w:t xml:space="preserve">ste </w:t>
      </w:r>
      <w:r w:rsidR="0098091B" w:rsidRPr="0098091B">
        <w:rPr>
          <w:rStyle w:val="CharacterStyle2"/>
          <w:spacing w:val="-1"/>
          <w:lang w:val="es-US"/>
        </w:rPr>
        <w:t>quedar</w:t>
      </w:r>
      <w:r w:rsidR="0098091B">
        <w:rPr>
          <w:rStyle w:val="CharacterStyle2"/>
          <w:spacing w:val="-1"/>
          <w:lang w:val="es-US"/>
        </w:rPr>
        <w:t xml:space="preserve">á </w:t>
      </w:r>
      <w:r w:rsidRPr="0098091B">
        <w:rPr>
          <w:rStyle w:val="CharacterStyle2"/>
          <w:spacing w:val="-1"/>
          <w:lang w:val="es-US"/>
        </w:rPr>
        <w:t xml:space="preserve">desligado de la </w:t>
      </w:r>
      <w:r w:rsidR="0098091B">
        <w:rPr>
          <w:rStyle w:val="CharacterStyle2"/>
          <w:spacing w:val="-1"/>
          <w:lang w:val="es-US"/>
        </w:rPr>
        <w:t>O</w:t>
      </w:r>
      <w:r w:rsidR="0098091B" w:rsidRPr="0098091B">
        <w:rPr>
          <w:rStyle w:val="CharacterStyle2"/>
          <w:spacing w:val="-1"/>
          <w:lang w:val="es-US"/>
        </w:rPr>
        <w:t>rganización</w:t>
      </w:r>
      <w:r w:rsidRPr="0098091B">
        <w:rPr>
          <w:rStyle w:val="CharacterStyle2"/>
          <w:spacing w:val="-1"/>
          <w:lang w:val="es-US"/>
        </w:rPr>
        <w:t>.</w:t>
      </w:r>
    </w:p>
    <w:p w14:paraId="08F7708E" w14:textId="77777777" w:rsidR="0098091B" w:rsidRDefault="0098091B" w:rsidP="0098091B">
      <w:pPr>
        <w:pStyle w:val="Style1"/>
        <w:kinsoku w:val="0"/>
        <w:autoSpaceDE/>
        <w:autoSpaceDN/>
        <w:adjustRightInd/>
        <w:ind w:firstLine="720"/>
        <w:jc w:val="both"/>
        <w:rPr>
          <w:rStyle w:val="CharacterStyle2"/>
          <w:spacing w:val="-1"/>
          <w:lang w:val="es-US"/>
        </w:rPr>
      </w:pPr>
    </w:p>
    <w:p w14:paraId="1E1ED8F0" w14:textId="77777777" w:rsidR="002E62AE" w:rsidRDefault="00D64ACC" w:rsidP="002E62AE">
      <w:pPr>
        <w:pStyle w:val="Style1"/>
        <w:kinsoku w:val="0"/>
        <w:autoSpaceDE/>
        <w:autoSpaceDN/>
        <w:adjustRightInd/>
        <w:ind w:firstLine="720"/>
        <w:jc w:val="both"/>
        <w:rPr>
          <w:rStyle w:val="CharacterStyle2"/>
          <w:spacing w:val="-1"/>
          <w:lang w:val="es-US"/>
        </w:rPr>
      </w:pPr>
      <w:r w:rsidRPr="0098091B">
        <w:rPr>
          <w:rStyle w:val="CharacterStyle2"/>
          <w:spacing w:val="-1"/>
          <w:lang w:val="es-US"/>
        </w:rPr>
        <w:t xml:space="preserve">Habiendo transcurrido cuatro </w:t>
      </w:r>
      <w:r w:rsidR="0098091B" w:rsidRPr="0098091B">
        <w:rPr>
          <w:rStyle w:val="CharacterStyle2"/>
          <w:spacing w:val="-1"/>
          <w:lang w:val="es-US"/>
        </w:rPr>
        <w:t>a</w:t>
      </w:r>
      <w:r w:rsidR="0098091B">
        <w:rPr>
          <w:rStyle w:val="CharacterStyle2"/>
          <w:spacing w:val="-1"/>
          <w:lang w:val="es-US"/>
        </w:rPr>
        <w:t xml:space="preserve">ños </w:t>
      </w:r>
      <w:r w:rsidRPr="0098091B">
        <w:rPr>
          <w:rStyle w:val="CharacterStyle2"/>
          <w:spacing w:val="-1"/>
          <w:lang w:val="es-US"/>
        </w:rPr>
        <w:t xml:space="preserve">de la denuncia a la Carta por la </w:t>
      </w:r>
      <w:r w:rsidR="0098091B" w:rsidRPr="0098091B">
        <w:rPr>
          <w:rStyle w:val="CharacterStyle2"/>
          <w:spacing w:val="-1"/>
          <w:lang w:val="es-US"/>
        </w:rPr>
        <w:t>República</w:t>
      </w:r>
      <w:r w:rsidRPr="0098091B">
        <w:rPr>
          <w:rStyle w:val="CharacterStyle2"/>
          <w:spacing w:val="-1"/>
          <w:lang w:val="es-US"/>
        </w:rPr>
        <w:t xml:space="preserve"> Bolivariana de Venezuela, no corresponde el reconocimiento de ninguna </w:t>
      </w:r>
      <w:r w:rsidR="0098091B" w:rsidRPr="0098091B">
        <w:rPr>
          <w:rStyle w:val="CharacterStyle2"/>
          <w:spacing w:val="-1"/>
          <w:lang w:val="es-US"/>
        </w:rPr>
        <w:t>delegación</w:t>
      </w:r>
      <w:r w:rsidRPr="0098091B">
        <w:rPr>
          <w:rStyle w:val="CharacterStyle2"/>
          <w:spacing w:val="-1"/>
          <w:lang w:val="es-US"/>
        </w:rPr>
        <w:t xml:space="preserve"> de este Estado. Esta </w:t>
      </w:r>
      <w:r w:rsidR="0098091B" w:rsidRPr="0098091B">
        <w:rPr>
          <w:rStyle w:val="CharacterStyle2"/>
          <w:spacing w:val="-1"/>
          <w:lang w:val="es-US"/>
        </w:rPr>
        <w:t>acción</w:t>
      </w:r>
      <w:r w:rsidRPr="0098091B">
        <w:rPr>
          <w:rStyle w:val="CharacterStyle2"/>
          <w:spacing w:val="-1"/>
          <w:lang w:val="es-US"/>
        </w:rPr>
        <w:t xml:space="preserve"> de la Secretar</w:t>
      </w:r>
      <w:r w:rsidR="0098091B">
        <w:rPr>
          <w:rStyle w:val="CharacterStyle2"/>
          <w:spacing w:val="-1"/>
          <w:lang w:val="es-US"/>
        </w:rPr>
        <w:t>í</w:t>
      </w:r>
      <w:r w:rsidRPr="0098091B">
        <w:rPr>
          <w:rStyle w:val="CharacterStyle2"/>
          <w:spacing w:val="-1"/>
          <w:lang w:val="es-US"/>
        </w:rPr>
        <w:t xml:space="preserve">a General quita legalidad a los actos de la </w:t>
      </w:r>
      <w:r w:rsidR="0098091B">
        <w:rPr>
          <w:rStyle w:val="CharacterStyle2"/>
          <w:spacing w:val="-1"/>
          <w:lang w:val="es-US"/>
        </w:rPr>
        <w:t>O</w:t>
      </w:r>
      <w:r w:rsidR="0098091B" w:rsidRPr="0098091B">
        <w:rPr>
          <w:rStyle w:val="CharacterStyle2"/>
          <w:spacing w:val="-1"/>
          <w:lang w:val="es-US"/>
        </w:rPr>
        <w:t>rganización</w:t>
      </w:r>
      <w:r w:rsidRPr="0098091B">
        <w:rPr>
          <w:rStyle w:val="CharacterStyle2"/>
          <w:spacing w:val="-1"/>
          <w:lang w:val="es-US"/>
        </w:rPr>
        <w:t xml:space="preserve"> de </w:t>
      </w:r>
      <w:r w:rsidR="0098091B">
        <w:rPr>
          <w:rStyle w:val="CharacterStyle2"/>
          <w:spacing w:val="-1"/>
          <w:lang w:val="es-US"/>
        </w:rPr>
        <w:t xml:space="preserve">los </w:t>
      </w:r>
      <w:r w:rsidRPr="0098091B">
        <w:rPr>
          <w:rStyle w:val="CharacterStyle2"/>
          <w:spacing w:val="-1"/>
          <w:lang w:val="es-US"/>
        </w:rPr>
        <w:t xml:space="preserve">Estados Americanos y vulnera abiertamente la </w:t>
      </w:r>
      <w:r w:rsidR="0098091B" w:rsidRPr="0098091B">
        <w:rPr>
          <w:rStyle w:val="CharacterStyle2"/>
          <w:spacing w:val="-1"/>
          <w:lang w:val="es-US"/>
        </w:rPr>
        <w:t>soberanía</w:t>
      </w:r>
      <w:r w:rsidRPr="0098091B">
        <w:rPr>
          <w:rStyle w:val="CharacterStyle2"/>
          <w:spacing w:val="-1"/>
          <w:lang w:val="es-US"/>
        </w:rPr>
        <w:t xml:space="preserve"> de los Estados. Por tanto, el Estado Plurinacional de</w:t>
      </w:r>
      <w:r w:rsidR="0098091B">
        <w:rPr>
          <w:rStyle w:val="CharacterStyle2"/>
          <w:spacing w:val="-1"/>
          <w:lang w:val="es-US"/>
        </w:rPr>
        <w:t xml:space="preserve"> Bolivia, </w:t>
      </w:r>
      <w:r w:rsidRPr="0098091B">
        <w:rPr>
          <w:rStyle w:val="CharacterStyle2"/>
          <w:spacing w:val="-1"/>
          <w:lang w:val="es-US"/>
        </w:rPr>
        <w:t xml:space="preserve">observa y no acepta las credenciales de una supuesta </w:t>
      </w:r>
      <w:r w:rsidR="0098091B" w:rsidRPr="0098091B">
        <w:rPr>
          <w:rStyle w:val="CharacterStyle2"/>
          <w:spacing w:val="-1"/>
          <w:lang w:val="es-US"/>
        </w:rPr>
        <w:t>delegación</w:t>
      </w:r>
      <w:r w:rsidRPr="0098091B">
        <w:rPr>
          <w:rStyle w:val="CharacterStyle2"/>
          <w:spacing w:val="-1"/>
          <w:lang w:val="es-US"/>
        </w:rPr>
        <w:t xml:space="preserve"> de la </w:t>
      </w:r>
      <w:r w:rsidR="0098091B" w:rsidRPr="0098091B">
        <w:rPr>
          <w:rStyle w:val="CharacterStyle2"/>
          <w:spacing w:val="-1"/>
          <w:lang w:val="es-US"/>
        </w:rPr>
        <w:t>República</w:t>
      </w:r>
      <w:r w:rsidRPr="0098091B">
        <w:rPr>
          <w:rStyle w:val="CharacterStyle2"/>
          <w:spacing w:val="-1"/>
          <w:lang w:val="es-US"/>
        </w:rPr>
        <w:t xml:space="preserve"> Bolivariana de Venezuela</w:t>
      </w:r>
      <w:r w:rsidR="0098091B">
        <w:rPr>
          <w:rStyle w:val="CharacterStyle2"/>
          <w:spacing w:val="-1"/>
          <w:lang w:val="es-US"/>
        </w:rPr>
        <w:t>.</w:t>
      </w:r>
    </w:p>
    <w:p w14:paraId="4B35401C" w14:textId="77777777" w:rsidR="002E62AE" w:rsidRDefault="002E62AE" w:rsidP="002E62AE">
      <w:pPr>
        <w:pStyle w:val="Style1"/>
        <w:kinsoku w:val="0"/>
        <w:autoSpaceDE/>
        <w:autoSpaceDN/>
        <w:adjustRightInd/>
        <w:ind w:firstLine="720"/>
        <w:jc w:val="both"/>
        <w:rPr>
          <w:rStyle w:val="CharacterStyle2"/>
          <w:spacing w:val="-1"/>
          <w:lang w:val="es-US"/>
        </w:rPr>
      </w:pPr>
    </w:p>
    <w:p w14:paraId="7736D1EB" w14:textId="20753314" w:rsidR="002E62AE" w:rsidRPr="002E62AE" w:rsidRDefault="002E62AE" w:rsidP="002E62AE">
      <w:pPr>
        <w:pStyle w:val="Style1"/>
        <w:kinsoku w:val="0"/>
        <w:autoSpaceDE/>
        <w:autoSpaceDN/>
        <w:adjustRightInd/>
        <w:ind w:firstLine="720"/>
        <w:jc w:val="both"/>
        <w:rPr>
          <w:spacing w:val="-1"/>
          <w:lang w:val="es-US"/>
        </w:rPr>
      </w:pPr>
      <w:r>
        <w:rPr>
          <w:rStyle w:val="CharacterStyle2"/>
          <w:spacing w:val="-1"/>
          <w:lang w:val="es-US"/>
        </w:rPr>
        <w:t>3.</w:t>
      </w:r>
      <w:r>
        <w:rPr>
          <w:rStyle w:val="CharacterStyle2"/>
          <w:spacing w:val="-1"/>
          <w:lang w:val="es-US"/>
        </w:rPr>
        <w:tab/>
        <w:t xml:space="preserve">… </w:t>
      </w:r>
      <w:r w:rsidRPr="002E62AE">
        <w:rPr>
          <w:lang w:val="es-ES"/>
        </w:rPr>
        <w:t>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0D2013B8" w14:textId="77777777" w:rsidR="002E62AE" w:rsidRPr="002E62AE" w:rsidRDefault="002E62AE" w:rsidP="002E62AE">
      <w:pPr>
        <w:pStyle w:val="FootnoteText"/>
        <w:tabs>
          <w:tab w:val="clear" w:pos="360"/>
          <w:tab w:val="left" w:pos="720"/>
        </w:tabs>
        <w:ind w:left="720"/>
        <w:rPr>
          <w:rFonts w:ascii="Times New Roman" w:hAnsi="Times New Roman"/>
          <w:sz w:val="20"/>
        </w:rPr>
      </w:pPr>
    </w:p>
    <w:p w14:paraId="620A518D" w14:textId="54E954B4" w:rsidR="002E62AE" w:rsidRPr="002E62AE" w:rsidRDefault="002E62AE" w:rsidP="002E62AE">
      <w:pPr>
        <w:pStyle w:val="Style1"/>
        <w:kinsoku w:val="0"/>
        <w:autoSpaceDE/>
        <w:autoSpaceDN/>
        <w:adjustRightInd/>
        <w:ind w:firstLine="720"/>
        <w:jc w:val="both"/>
        <w:rPr>
          <w:rStyle w:val="CharacterStyle2"/>
          <w:spacing w:val="-1"/>
          <w:lang w:val="es-US"/>
        </w:rPr>
      </w:pPr>
      <w:r w:rsidRPr="002E62AE">
        <w:rPr>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r>
        <w:rPr>
          <w:lang w:val="es-US"/>
        </w:rPr>
        <w:t>.</w:t>
      </w:r>
    </w:p>
    <w:p w14:paraId="03DE764C" w14:textId="086CE308" w:rsidR="000C08C6" w:rsidRDefault="000C08C6" w:rsidP="00D64ACC">
      <w:pPr>
        <w:pStyle w:val="Style1"/>
        <w:kinsoku w:val="0"/>
        <w:autoSpaceDE/>
        <w:autoSpaceDN/>
        <w:adjustRightInd/>
        <w:ind w:firstLine="720"/>
        <w:jc w:val="both"/>
        <w:rPr>
          <w:rStyle w:val="CharacterStyle2"/>
          <w:spacing w:val="-1"/>
          <w:lang w:val="es-US"/>
        </w:rPr>
      </w:pPr>
    </w:p>
    <w:p w14:paraId="544E5DD5" w14:textId="72FC394D" w:rsidR="000C08C6" w:rsidRDefault="008770EA" w:rsidP="00D64ACC">
      <w:pPr>
        <w:pStyle w:val="Style1"/>
        <w:kinsoku w:val="0"/>
        <w:autoSpaceDE/>
        <w:autoSpaceDN/>
        <w:adjustRightInd/>
        <w:ind w:firstLine="720"/>
        <w:jc w:val="both"/>
        <w:rPr>
          <w:color w:val="000000"/>
          <w:lang w:val="es-US"/>
        </w:rPr>
      </w:pPr>
      <w:r>
        <w:rPr>
          <w:rStyle w:val="CharacterStyle2"/>
          <w:spacing w:val="-1"/>
          <w:lang w:val="es-US"/>
        </w:rPr>
        <w:t>4</w:t>
      </w:r>
      <w:r w:rsidR="000C08C6">
        <w:rPr>
          <w:rStyle w:val="CharacterStyle2"/>
          <w:spacing w:val="-1"/>
          <w:lang w:val="es-US"/>
        </w:rPr>
        <w:t>.</w:t>
      </w:r>
      <w:r w:rsidR="000C08C6">
        <w:rPr>
          <w:rStyle w:val="CharacterStyle2"/>
          <w:spacing w:val="-1"/>
          <w:lang w:val="es-US"/>
        </w:rPr>
        <w:tab/>
        <w:t xml:space="preserve">… </w:t>
      </w:r>
      <w:r w:rsidR="000C08C6" w:rsidRPr="000C08C6">
        <w:rPr>
          <w:color w:val="000000"/>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r w:rsidR="000C08C6">
        <w:rPr>
          <w:color w:val="000000"/>
          <w:lang w:val="es-US"/>
        </w:rPr>
        <w:t>.</w:t>
      </w:r>
    </w:p>
    <w:p w14:paraId="1F744027" w14:textId="49CDE4E5" w:rsidR="000C08C6" w:rsidRDefault="000C08C6" w:rsidP="00D64ACC">
      <w:pPr>
        <w:pStyle w:val="Style1"/>
        <w:kinsoku w:val="0"/>
        <w:autoSpaceDE/>
        <w:autoSpaceDN/>
        <w:adjustRightInd/>
        <w:ind w:firstLine="720"/>
        <w:jc w:val="both"/>
        <w:rPr>
          <w:color w:val="000000"/>
          <w:lang w:val="es-US"/>
        </w:rPr>
      </w:pPr>
    </w:p>
    <w:p w14:paraId="7AD2FF07" w14:textId="1B07E500" w:rsidR="000C08C6" w:rsidRDefault="008770EA" w:rsidP="00D64ACC">
      <w:pPr>
        <w:pStyle w:val="Style1"/>
        <w:kinsoku w:val="0"/>
        <w:autoSpaceDE/>
        <w:autoSpaceDN/>
        <w:adjustRightInd/>
        <w:ind w:firstLine="720"/>
        <w:jc w:val="both"/>
        <w:rPr>
          <w:color w:val="000000"/>
          <w:lang w:val="es-US"/>
        </w:rPr>
      </w:pPr>
      <w:r>
        <w:rPr>
          <w:color w:val="000000"/>
          <w:lang w:val="es-US"/>
        </w:rPr>
        <w:t>5</w:t>
      </w:r>
      <w:r w:rsidR="000C08C6">
        <w:rPr>
          <w:color w:val="000000"/>
          <w:lang w:val="es-US"/>
        </w:rPr>
        <w:t>.</w:t>
      </w:r>
      <w:r w:rsidR="000C08C6">
        <w:rPr>
          <w:color w:val="000000"/>
          <w:lang w:val="es-US"/>
        </w:rPr>
        <w:tab/>
        <w:t xml:space="preserve">… Nicolás Maduro a la Secretaría General en el mes de abril de 2017 respecto de la decisión de ese país de denunciar la Carta del Organismo. </w:t>
      </w:r>
    </w:p>
    <w:p w14:paraId="3A67F4C9" w14:textId="4126967D" w:rsidR="000C08C6" w:rsidRDefault="000C08C6" w:rsidP="00D64ACC">
      <w:pPr>
        <w:pStyle w:val="Style1"/>
        <w:kinsoku w:val="0"/>
        <w:autoSpaceDE/>
        <w:autoSpaceDN/>
        <w:adjustRightInd/>
        <w:ind w:firstLine="720"/>
        <w:jc w:val="both"/>
        <w:rPr>
          <w:color w:val="000000"/>
          <w:lang w:val="es-US"/>
        </w:rPr>
      </w:pPr>
    </w:p>
    <w:p w14:paraId="00682097" w14:textId="0B700108" w:rsidR="000C08C6" w:rsidRDefault="000C08C6" w:rsidP="00D64ACC">
      <w:pPr>
        <w:pStyle w:val="Style1"/>
        <w:kinsoku w:val="0"/>
        <w:autoSpaceDE/>
        <w:autoSpaceDN/>
        <w:adjustRightInd/>
        <w:ind w:firstLine="720"/>
        <w:jc w:val="both"/>
        <w:rPr>
          <w:color w:val="000000"/>
          <w:lang w:val="es-US"/>
        </w:rPr>
      </w:pPr>
      <w:r>
        <w:rPr>
          <w:color w:val="000000"/>
          <w:lang w:val="es-US"/>
        </w:rPr>
        <w:t xml:space="preserve">En virtud de ello, la República Bolivariana de Venezuela ha dejado de ser miembro de la Organización y, en consecuencia, la Argentina considera que es necesario evaluar esta situación y, en todo caso, no está en condiciones de reconocer las credenciales de ningún designado Representante de Venezuela en esta Asamblea General. </w:t>
      </w:r>
    </w:p>
    <w:p w14:paraId="62E447BA" w14:textId="6AA090C5" w:rsidR="00730459" w:rsidRDefault="00730459" w:rsidP="00D64ACC">
      <w:pPr>
        <w:pStyle w:val="Style1"/>
        <w:kinsoku w:val="0"/>
        <w:autoSpaceDE/>
        <w:autoSpaceDN/>
        <w:adjustRightInd/>
        <w:ind w:firstLine="720"/>
        <w:jc w:val="both"/>
        <w:rPr>
          <w:color w:val="000000"/>
          <w:lang w:val="es-US"/>
        </w:rPr>
      </w:pPr>
    </w:p>
    <w:p w14:paraId="43BD119F" w14:textId="31678931" w:rsidR="00730459" w:rsidRPr="00730459" w:rsidRDefault="00755F78" w:rsidP="00730459">
      <w:pPr>
        <w:pStyle w:val="Style1"/>
        <w:kinsoku w:val="0"/>
        <w:autoSpaceDE/>
        <w:autoSpaceDN/>
        <w:adjustRightInd/>
        <w:ind w:firstLine="720"/>
        <w:jc w:val="both"/>
        <w:rPr>
          <w:color w:val="000000"/>
          <w:lang w:val="es-US"/>
        </w:rPr>
      </w:pPr>
      <w:r>
        <w:rPr>
          <w:color w:val="000000"/>
          <w:lang w:val="es-US"/>
        </w:rPr>
        <w:t>6</w:t>
      </w:r>
      <w:r w:rsidR="00730459">
        <w:rPr>
          <w:color w:val="000000"/>
          <w:lang w:val="es-US"/>
        </w:rPr>
        <w:t>.</w:t>
      </w:r>
      <w:r w:rsidR="00730459">
        <w:rPr>
          <w:color w:val="000000"/>
          <w:lang w:val="es-US"/>
        </w:rPr>
        <w:tab/>
        <w:t xml:space="preserve">… </w:t>
      </w:r>
      <w:r w:rsidR="00730459" w:rsidRPr="00730459">
        <w:rPr>
          <w:color w:val="000000"/>
          <w:lang w:val="es-US"/>
        </w:rPr>
        <w:t>República Bolivariana de Venezuela notificó debidamente al Secretario General su denuncia de la Carta de conformidad con el artículo 143 de la Carta de la Organización de los Estados Americanos y la Carta cesó en sus efectos respecto de la República Bolivariana de Venezuela que dejó de pertenecer a la Organización el 27 de abril de 2019.</w:t>
      </w:r>
    </w:p>
    <w:p w14:paraId="14CC4335" w14:textId="77777777" w:rsidR="00730459" w:rsidRDefault="00730459" w:rsidP="00730459">
      <w:pPr>
        <w:pStyle w:val="Style1"/>
        <w:kinsoku w:val="0"/>
        <w:autoSpaceDE/>
        <w:autoSpaceDN/>
        <w:adjustRightInd/>
        <w:ind w:firstLine="720"/>
        <w:jc w:val="both"/>
        <w:rPr>
          <w:color w:val="000000"/>
          <w:lang w:val="es-US"/>
        </w:rPr>
      </w:pPr>
      <w:r w:rsidRPr="00730459">
        <w:rPr>
          <w:color w:val="000000"/>
          <w:lang w:val="es-US"/>
        </w:rPr>
        <w:tab/>
      </w:r>
    </w:p>
    <w:p w14:paraId="2CDECC7B" w14:textId="6202A621" w:rsidR="00730459" w:rsidRDefault="00730459" w:rsidP="00730459">
      <w:pPr>
        <w:pStyle w:val="Style1"/>
        <w:kinsoku w:val="0"/>
        <w:autoSpaceDE/>
        <w:autoSpaceDN/>
        <w:adjustRightInd/>
        <w:ind w:firstLine="720"/>
        <w:jc w:val="both"/>
        <w:rPr>
          <w:color w:val="000000"/>
          <w:lang w:val="es-US"/>
        </w:rPr>
      </w:pPr>
      <w:r w:rsidRPr="00730459">
        <w:rPr>
          <w:color w:val="000000"/>
          <w:lang w:val="es-US"/>
        </w:rPr>
        <w:t>Por lo tanto, Antigua y Barbuda rechaza la validez de las credenciales de un supuesto representante de Venezuela ante el quincuagésimo primer período ordinario de sesiones de la Asamblea General y cualquier órgano de la Organización, en particular el Consejo Permanente, y no reconocerá ni estará obligado por ninguna declaración, resolución o manifestación de cualquier órgano de la OEA que dependa, para una mayoría absoluta o de dos tercios, del voto del presunto representante de Venezuela</w:t>
      </w:r>
      <w:r>
        <w:rPr>
          <w:color w:val="000000"/>
          <w:lang w:val="es-US"/>
        </w:rPr>
        <w:t>.</w:t>
      </w:r>
    </w:p>
    <w:p w14:paraId="1AAC266B" w14:textId="594A95F6" w:rsidR="00B6460F" w:rsidRDefault="00B6460F" w:rsidP="00730459">
      <w:pPr>
        <w:pStyle w:val="Style1"/>
        <w:kinsoku w:val="0"/>
        <w:autoSpaceDE/>
        <w:autoSpaceDN/>
        <w:adjustRightInd/>
        <w:ind w:firstLine="720"/>
        <w:jc w:val="both"/>
        <w:rPr>
          <w:color w:val="000000"/>
          <w:lang w:val="es-US"/>
        </w:rPr>
      </w:pPr>
    </w:p>
    <w:p w14:paraId="1D67D5F6" w14:textId="60DC2A85" w:rsidR="00B6460F" w:rsidRDefault="00B6460F" w:rsidP="00730459">
      <w:pPr>
        <w:pStyle w:val="Style1"/>
        <w:kinsoku w:val="0"/>
        <w:autoSpaceDE/>
        <w:autoSpaceDN/>
        <w:adjustRightInd/>
        <w:ind w:firstLine="720"/>
        <w:jc w:val="both"/>
        <w:rPr>
          <w:lang w:val="es-US"/>
        </w:rPr>
      </w:pPr>
      <w:r>
        <w:rPr>
          <w:color w:val="000000"/>
          <w:lang w:val="es-US"/>
        </w:rPr>
        <w:t>7.</w:t>
      </w:r>
      <w:r>
        <w:rPr>
          <w:color w:val="000000"/>
          <w:lang w:val="es-US"/>
        </w:rPr>
        <w:tab/>
        <w:t xml:space="preserve">… </w:t>
      </w:r>
      <w:r w:rsidRPr="00B6460F">
        <w:rPr>
          <w:lang w:val="es-US"/>
        </w:rPr>
        <w:t>Asamblea Nacional y no acepta las credenciales de los funcionarios que pretenden representar a la República Bolivariana de Venezuela en este quincuagésimo primer período ordinario de sesiones de la Asamblea General de la OEA. Por lo tanto, el Gobierno de Belize se reserva el derecho, hasta nuevo aviso, de no estar obligado por ninguna decisión ni resolución aprobada en esta Asamblea General en la que participó la República Bolivariana de Venezuela.</w:t>
      </w:r>
    </w:p>
    <w:p w14:paraId="79581325" w14:textId="42E362AF" w:rsidR="003C6C56" w:rsidRDefault="003C6C56" w:rsidP="00730459">
      <w:pPr>
        <w:pStyle w:val="Style1"/>
        <w:kinsoku w:val="0"/>
        <w:autoSpaceDE/>
        <w:autoSpaceDN/>
        <w:adjustRightInd/>
        <w:ind w:firstLine="720"/>
        <w:jc w:val="both"/>
        <w:rPr>
          <w:lang w:val="es-US"/>
        </w:rPr>
      </w:pPr>
    </w:p>
    <w:p w14:paraId="284DB150" w14:textId="60BACC5E" w:rsidR="003C6C56" w:rsidRPr="003C6C56" w:rsidRDefault="003C6C56" w:rsidP="00730459">
      <w:pPr>
        <w:pStyle w:val="Style1"/>
        <w:kinsoku w:val="0"/>
        <w:autoSpaceDE/>
        <w:autoSpaceDN/>
        <w:adjustRightInd/>
        <w:ind w:firstLine="720"/>
        <w:jc w:val="both"/>
        <w:rPr>
          <w:color w:val="000000"/>
          <w:lang w:val="es-US"/>
        </w:rPr>
      </w:pPr>
      <w:r>
        <w:rPr>
          <w:lang w:val="es-US"/>
        </w:rPr>
        <w:t>8.</w:t>
      </w:r>
      <w:r>
        <w:rPr>
          <w:lang w:val="es-US"/>
        </w:rPr>
        <w:tab/>
        <w:t xml:space="preserve">… </w:t>
      </w:r>
      <w:r w:rsidRPr="003C6C56">
        <w:rPr>
          <w:lang w:val="es-US"/>
        </w:rPr>
        <w:t>General de la Organización de los Estados Americanos y, por lo tanto, se reserva sus derechos hasta nuevo aviso y no reconoce ni se siente obligada por ninguna decisión, declaraciones o resoluciones adoptadas en esta Asamblea General en la que hayan participado esas partes.</w:t>
      </w:r>
    </w:p>
    <w:p w14:paraId="04D21899" w14:textId="0B0647FA" w:rsidR="00444304" w:rsidRDefault="00444304" w:rsidP="00730459">
      <w:pPr>
        <w:pStyle w:val="Style1"/>
        <w:kinsoku w:val="0"/>
        <w:autoSpaceDE/>
        <w:autoSpaceDN/>
        <w:adjustRightInd/>
        <w:ind w:firstLine="720"/>
        <w:jc w:val="both"/>
        <w:rPr>
          <w:color w:val="000000"/>
          <w:lang w:val="es-US"/>
        </w:rPr>
      </w:pPr>
    </w:p>
    <w:p w14:paraId="32A00604" w14:textId="40E01972" w:rsidR="00391A8F" w:rsidRPr="00087443" w:rsidRDefault="00444304" w:rsidP="00444304">
      <w:pPr>
        <w:pStyle w:val="Style1"/>
        <w:kinsoku w:val="0"/>
        <w:autoSpaceDE/>
        <w:autoSpaceDN/>
        <w:adjustRightInd/>
        <w:ind w:firstLine="720"/>
        <w:jc w:val="both"/>
        <w:rPr>
          <w:lang w:val="es-ES_tradnl"/>
        </w:rPr>
      </w:pPr>
      <w:r>
        <w:rPr>
          <w:color w:val="000000"/>
          <w:lang w:val="es-US"/>
        </w:rPr>
        <w:t>9.</w:t>
      </w:r>
      <w:r>
        <w:rPr>
          <w:color w:val="000000"/>
          <w:lang w:val="es-US"/>
        </w:rPr>
        <w:tab/>
        <w:t xml:space="preserve">… </w:t>
      </w:r>
      <w:r w:rsidRPr="00444304">
        <w:rPr>
          <w:lang w:val="es-ES"/>
        </w:rPr>
        <w:t>internacional, ninguna otra entidad puede asumir válidamente la representación del Gobierno de dicho país</w:t>
      </w:r>
      <w:r>
        <w:rPr>
          <w:lang w:val="es-ES"/>
        </w:rPr>
        <w:t>.</w:t>
      </w:r>
      <w:r w:rsidR="00BE17DE">
        <w:rPr>
          <w:noProof/>
          <w:lang w:val="es-ES_tradnl"/>
        </w:rPr>
        <mc:AlternateContent>
          <mc:Choice Requires="wps">
            <w:drawing>
              <wp:anchor distT="0" distB="0" distL="114300" distR="114300" simplePos="0" relativeHeight="251661312" behindDoc="0" locked="1" layoutInCell="1" allowOverlap="1" wp14:anchorId="703D1243" wp14:editId="48D5B19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058EBC" w14:textId="721A4567" w:rsidR="00BE17DE" w:rsidRPr="00BE17DE" w:rsidRDefault="00BE17DE">
                            <w:pPr>
                              <w:rPr>
                                <w:sz w:val="18"/>
                              </w:rPr>
                            </w:pPr>
                            <w:r>
                              <w:rPr>
                                <w:sz w:val="18"/>
                              </w:rPr>
                              <w:fldChar w:fldCharType="begin"/>
                            </w:r>
                            <w:r>
                              <w:rPr>
                                <w:sz w:val="18"/>
                              </w:rPr>
                              <w:instrText xml:space="preserve"> FILENAME  \* MERGEFORMAT </w:instrText>
                            </w:r>
                            <w:r>
                              <w:rPr>
                                <w:sz w:val="18"/>
                              </w:rPr>
                              <w:fldChar w:fldCharType="separate"/>
                            </w:r>
                            <w:r>
                              <w:rPr>
                                <w:noProof/>
                                <w:sz w:val="18"/>
                              </w:rPr>
                              <w:t>AG08467S01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D124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29058EBC" w14:textId="721A4567" w:rsidR="00BE17DE" w:rsidRPr="00BE17DE" w:rsidRDefault="00BE17DE">
                      <w:pPr>
                        <w:rPr>
                          <w:sz w:val="18"/>
                        </w:rPr>
                      </w:pPr>
                      <w:r>
                        <w:rPr>
                          <w:sz w:val="18"/>
                        </w:rPr>
                        <w:fldChar w:fldCharType="begin"/>
                      </w:r>
                      <w:r>
                        <w:rPr>
                          <w:sz w:val="18"/>
                        </w:rPr>
                        <w:instrText xml:space="preserve"> FILENAME  \* MERGEFORMAT </w:instrText>
                      </w:r>
                      <w:r>
                        <w:rPr>
                          <w:sz w:val="18"/>
                        </w:rPr>
                        <w:fldChar w:fldCharType="separate"/>
                      </w:r>
                      <w:r>
                        <w:rPr>
                          <w:noProof/>
                          <w:sz w:val="18"/>
                        </w:rPr>
                        <w:t>AG08467S01</w:t>
                      </w:r>
                      <w:r>
                        <w:rPr>
                          <w:sz w:val="18"/>
                        </w:rPr>
                        <w:fldChar w:fldCharType="end"/>
                      </w:r>
                    </w:p>
                  </w:txbxContent>
                </v:textbox>
                <w10:wrap anchory="page"/>
                <w10:anchorlock/>
              </v:shape>
            </w:pict>
          </mc:Fallback>
        </mc:AlternateContent>
      </w:r>
    </w:p>
    <w:sectPr w:rsidR="00391A8F" w:rsidRPr="00087443" w:rsidSect="00157F3B">
      <w:headerReference w:type="default" r:id="rId8"/>
      <w:footerReference w:type="default" r:id="rId9"/>
      <w:type w:val="oddPage"/>
      <w:pgSz w:w="12240" w:h="15840" w:code="1"/>
      <w:pgMar w:top="2160" w:right="1296" w:bottom="1296" w:left="1699" w:header="1296" w:footer="1296" w:gutter="0"/>
      <w:pgNumType w:start="1" w:chapSep="em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7EBC" w14:textId="77777777" w:rsidR="00231C4D" w:rsidRDefault="00231C4D">
      <w:r>
        <w:separator/>
      </w:r>
    </w:p>
  </w:endnote>
  <w:endnote w:type="continuationSeparator" w:id="0">
    <w:p w14:paraId="1C84ED5A" w14:textId="77777777" w:rsidR="00231C4D" w:rsidRDefault="0023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96AB" w14:textId="23A9A985" w:rsidR="00887F35" w:rsidRDefault="00887F35">
    <w:pPr>
      <w:pStyle w:val="Footer"/>
    </w:pPr>
    <w:r>
      <w:rPr>
        <w:noProof/>
      </w:rPr>
      <w:drawing>
        <wp:anchor distT="0" distB="0" distL="114300" distR="114300" simplePos="0" relativeHeight="251658240" behindDoc="0" locked="0" layoutInCell="1" allowOverlap="1" wp14:anchorId="017A0BDB" wp14:editId="55B7F43A">
          <wp:simplePos x="0" y="0"/>
          <wp:positionH relativeFrom="column">
            <wp:posOffset>5127503</wp:posOffset>
          </wp:positionH>
          <wp:positionV relativeFrom="paragraph">
            <wp:posOffset>-350763</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688C" w14:textId="77777777" w:rsidR="00231C4D" w:rsidRDefault="00231C4D">
      <w:r>
        <w:separator/>
      </w:r>
    </w:p>
  </w:footnote>
  <w:footnote w:type="continuationSeparator" w:id="0">
    <w:p w14:paraId="68A470F5" w14:textId="77777777" w:rsidR="00231C4D" w:rsidRDefault="00231C4D">
      <w:r>
        <w:continuationSeparator/>
      </w:r>
    </w:p>
  </w:footnote>
  <w:footnote w:id="1">
    <w:p w14:paraId="724D52C4" w14:textId="77777777" w:rsidR="00D64ACC" w:rsidRPr="002E62AE" w:rsidRDefault="00D64ACC" w:rsidP="00D64ACC">
      <w:pPr>
        <w:pStyle w:val="FootnoteText"/>
        <w:tabs>
          <w:tab w:val="clear" w:pos="360"/>
          <w:tab w:val="left" w:pos="720"/>
        </w:tabs>
        <w:ind w:left="720"/>
        <w:rPr>
          <w:rFonts w:ascii="Times New Roman" w:hAnsi="Times New Roman"/>
          <w:sz w:val="20"/>
        </w:rPr>
      </w:pPr>
      <w:r w:rsidRPr="002E62AE">
        <w:rPr>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t>México identifica con preocupación, una vez más, inconsistencias e irregularidades en el Informe del Secretario General sobre la presentación de credenciales de las delegaciones participantes en el…</w:t>
      </w:r>
    </w:p>
  </w:footnote>
  <w:footnote w:id="2">
    <w:p w14:paraId="389D6816" w14:textId="79752332" w:rsidR="00D64ACC" w:rsidRPr="002E62AE" w:rsidRDefault="00D64ACC" w:rsidP="00D64ACC">
      <w:pPr>
        <w:pStyle w:val="FootnoteText"/>
        <w:tabs>
          <w:tab w:val="clear" w:pos="360"/>
          <w:tab w:val="left" w:pos="720"/>
        </w:tabs>
        <w:ind w:left="720"/>
        <w:rPr>
          <w:rFonts w:ascii="Times New Roman" w:hAnsi="Times New Roman"/>
          <w:sz w:val="20"/>
        </w:rPr>
      </w:pPr>
      <w:r w:rsidRPr="002E62AE">
        <w:rPr>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t xml:space="preserve">Bolivia manifiesta con preocupación, que el Informe del Secretario General sobre la presentación de credenciales de las delegaciones participantes en el quincuagésimo primer período ordinario de… </w:t>
      </w:r>
    </w:p>
  </w:footnote>
  <w:footnote w:id="3">
    <w:p w14:paraId="3ACED0CB" w14:textId="7A4D3AF9" w:rsidR="008770EA" w:rsidRPr="002E62AE" w:rsidRDefault="008770EA" w:rsidP="002E62AE">
      <w:pPr>
        <w:pStyle w:val="FootnoteText"/>
        <w:tabs>
          <w:tab w:val="clear" w:pos="360"/>
          <w:tab w:val="left" w:pos="720"/>
        </w:tabs>
        <w:ind w:left="720"/>
        <w:rPr>
          <w:rFonts w:ascii="Times New Roman" w:hAnsi="Times New Roman"/>
          <w:sz w:val="20"/>
          <w:lang w:val="es-US"/>
        </w:rPr>
      </w:pPr>
      <w:r w:rsidRPr="002E62AE">
        <w:rPr>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r>
      <w:r w:rsidR="002E62AE" w:rsidRPr="002E62AE">
        <w:rPr>
          <w:rFonts w:ascii="Times New Roman" w:hAnsi="Times New Roman"/>
          <w:sz w:val="20"/>
        </w:rPr>
        <w:t>San Vicente y las Granadinas hace constar que no reconoce ni acepta las credenciales de la susodicha delegación de la Asamblea Nacional de la República Bolivariana de Venezuela. En 2017, el Gobierno…</w:t>
      </w:r>
    </w:p>
  </w:footnote>
  <w:footnote w:id="4">
    <w:p w14:paraId="63777796" w14:textId="164A71DB" w:rsidR="0098091B" w:rsidRPr="002E62AE" w:rsidRDefault="0098091B" w:rsidP="0098091B">
      <w:pPr>
        <w:pStyle w:val="FootnoteText"/>
        <w:tabs>
          <w:tab w:val="clear" w:pos="360"/>
          <w:tab w:val="left" w:pos="720"/>
        </w:tabs>
        <w:ind w:left="720"/>
        <w:rPr>
          <w:rFonts w:ascii="Times New Roman" w:hAnsi="Times New Roman"/>
          <w:sz w:val="20"/>
          <w:lang w:val="es-US"/>
        </w:rPr>
      </w:pPr>
      <w:r w:rsidRPr="002E62AE">
        <w:rPr>
          <w:rStyle w:val="FootnoteReference"/>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r>
      <w:r w:rsidRPr="002E62AE">
        <w:rPr>
          <w:rFonts w:ascii="Times New Roman" w:hAnsi="Times New Roman"/>
          <w:color w:val="000000"/>
          <w:sz w:val="20"/>
        </w:rPr>
        <w:t>Nicaragua se acoge a las declaraciones de las Delegaciones de San Vicente y las Granadinas, los Estados Unidos Mexicanos y el Estado Plurinacional de Bolivia en rechazo a la acreditación irregular de</w:t>
      </w:r>
      <w:r w:rsidR="000C08C6" w:rsidRPr="002E62AE">
        <w:rPr>
          <w:rFonts w:ascii="Times New Roman" w:hAnsi="Times New Roman"/>
          <w:color w:val="000000"/>
          <w:sz w:val="20"/>
        </w:rPr>
        <w:t>…</w:t>
      </w:r>
    </w:p>
  </w:footnote>
  <w:footnote w:id="5">
    <w:p w14:paraId="3E390F86" w14:textId="04302353" w:rsidR="000C08C6" w:rsidRPr="002E62AE" w:rsidRDefault="000C08C6" w:rsidP="000C08C6">
      <w:pPr>
        <w:pStyle w:val="FootnoteText"/>
        <w:tabs>
          <w:tab w:val="clear" w:pos="360"/>
          <w:tab w:val="left" w:pos="720"/>
        </w:tabs>
        <w:ind w:left="720"/>
        <w:rPr>
          <w:rFonts w:ascii="Times New Roman" w:hAnsi="Times New Roman"/>
          <w:sz w:val="20"/>
          <w:lang w:val="es-US"/>
        </w:rPr>
      </w:pPr>
      <w:r w:rsidRPr="002E62AE">
        <w:rPr>
          <w:rStyle w:val="FootnoteReference"/>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t xml:space="preserve">La República Argentina entiende que ha operado el retiro de la República Bolivariana de Venezuela de la Organización de los Estados Americanos, en virtud de la notificación que hiciera el Presidente… </w:t>
      </w:r>
    </w:p>
  </w:footnote>
  <w:footnote w:id="6">
    <w:p w14:paraId="69CDDBD7" w14:textId="19451CD6" w:rsidR="00730459" w:rsidRPr="00B6460F" w:rsidRDefault="00730459" w:rsidP="00730459">
      <w:pPr>
        <w:pStyle w:val="FootnoteText"/>
        <w:tabs>
          <w:tab w:val="clear" w:pos="360"/>
          <w:tab w:val="left" w:pos="720"/>
        </w:tabs>
        <w:ind w:left="720"/>
        <w:rPr>
          <w:rFonts w:ascii="Times New Roman" w:hAnsi="Times New Roman"/>
          <w:sz w:val="20"/>
        </w:rPr>
      </w:pPr>
      <w:r w:rsidRPr="002E62AE">
        <w:rPr>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t>Antigua y Barbuda considera que la República Bolivariana de Venezuela no es un Estado Miembro de la Organización de los Estados Americanos puesto que, el 27 de abril de 2017, el Gobierno de la…</w:t>
      </w:r>
    </w:p>
  </w:footnote>
  <w:footnote w:id="7">
    <w:p w14:paraId="274D94EF" w14:textId="40769A1E" w:rsidR="00730459" w:rsidRPr="00E04C07" w:rsidRDefault="00730459" w:rsidP="00730459">
      <w:pPr>
        <w:pStyle w:val="FootnoteText"/>
        <w:tabs>
          <w:tab w:val="clear" w:pos="360"/>
          <w:tab w:val="left" w:pos="720"/>
        </w:tabs>
        <w:ind w:left="720"/>
        <w:rPr>
          <w:rFonts w:ascii="Times New Roman" w:hAnsi="Times New Roman"/>
          <w:sz w:val="20"/>
        </w:rPr>
      </w:pPr>
      <w:r w:rsidRPr="00B6460F">
        <w:footnoteRef/>
      </w:r>
      <w:r w:rsidRPr="002E62AE">
        <w:rPr>
          <w:rFonts w:ascii="Times New Roman" w:hAnsi="Times New Roman"/>
          <w:sz w:val="20"/>
        </w:rPr>
        <w:t>.</w:t>
      </w:r>
      <w:r w:rsidRPr="002E62AE">
        <w:rPr>
          <w:rFonts w:ascii="Times New Roman" w:hAnsi="Times New Roman"/>
          <w:sz w:val="20"/>
        </w:rPr>
        <w:tab/>
      </w:r>
      <w:r w:rsidR="00B6460F" w:rsidRPr="00B6460F">
        <w:rPr>
          <w:rFonts w:ascii="Times New Roman" w:hAnsi="Times New Roman"/>
          <w:sz w:val="20"/>
        </w:rPr>
        <w:t>El Gobierno de Belize no apoyó la resolución CP/RES.</w:t>
      </w:r>
      <w:r w:rsidR="00B55940">
        <w:rPr>
          <w:rFonts w:ascii="Times New Roman" w:hAnsi="Times New Roman"/>
          <w:sz w:val="20"/>
        </w:rPr>
        <w:t xml:space="preserve"> </w:t>
      </w:r>
      <w:r w:rsidR="00B6460F" w:rsidRPr="00B6460F">
        <w:rPr>
          <w:rFonts w:ascii="Times New Roman" w:hAnsi="Times New Roman"/>
          <w:sz w:val="20"/>
        </w:rPr>
        <w:t xml:space="preserve">1124 (2217/19) del 9 de abril de 2019, que intentó nombrar al señor Gustavo </w:t>
      </w:r>
      <w:proofErr w:type="spellStart"/>
      <w:r w:rsidR="00B6460F" w:rsidRPr="00B6460F">
        <w:rPr>
          <w:rFonts w:ascii="Times New Roman" w:hAnsi="Times New Roman"/>
          <w:sz w:val="20"/>
        </w:rPr>
        <w:t>Tarre</w:t>
      </w:r>
      <w:proofErr w:type="spellEnd"/>
      <w:r w:rsidR="00B6460F" w:rsidRPr="00B6460F">
        <w:rPr>
          <w:rFonts w:ascii="Times New Roman" w:hAnsi="Times New Roman"/>
          <w:sz w:val="20"/>
        </w:rPr>
        <w:t xml:space="preserve"> como el Representante Permanente ante la OEA designado por la</w:t>
      </w:r>
      <w:r w:rsidR="00B6460F">
        <w:rPr>
          <w:rFonts w:ascii="Times New Roman" w:hAnsi="Times New Roman"/>
          <w:sz w:val="20"/>
        </w:rPr>
        <w:t>…</w:t>
      </w:r>
    </w:p>
  </w:footnote>
  <w:footnote w:id="8">
    <w:p w14:paraId="17A8E0F1" w14:textId="428A6DE8" w:rsidR="00730459" w:rsidRPr="002E62AE" w:rsidRDefault="00730459" w:rsidP="00730459">
      <w:pPr>
        <w:pStyle w:val="FootnoteText"/>
        <w:tabs>
          <w:tab w:val="clear" w:pos="360"/>
          <w:tab w:val="left" w:pos="720"/>
        </w:tabs>
        <w:ind w:left="720"/>
        <w:rPr>
          <w:rFonts w:ascii="Times New Roman" w:hAnsi="Times New Roman"/>
          <w:sz w:val="20"/>
          <w:lang w:val="es-US"/>
        </w:rPr>
      </w:pPr>
      <w:r w:rsidRPr="00E04C07">
        <w:footnoteRef/>
      </w:r>
      <w:r w:rsidRPr="002E62AE">
        <w:rPr>
          <w:rFonts w:ascii="Times New Roman" w:hAnsi="Times New Roman"/>
          <w:sz w:val="20"/>
        </w:rPr>
        <w:t>.</w:t>
      </w:r>
      <w:r w:rsidRPr="002E62AE">
        <w:rPr>
          <w:rFonts w:ascii="Times New Roman" w:hAnsi="Times New Roman"/>
          <w:sz w:val="20"/>
        </w:rPr>
        <w:tab/>
      </w:r>
      <w:r w:rsidR="00E04C07" w:rsidRPr="00E04C07">
        <w:rPr>
          <w:rFonts w:ascii="Times New Roman" w:hAnsi="Times New Roman"/>
          <w:sz w:val="20"/>
        </w:rPr>
        <w:t>El Gobierno de Santa Lucía no acepta las credenciales de personas que pretenden representar a la República Bolivariana de Venezuela en el quincuagésimo primer período ordinario de sesiones de la Asamblea</w:t>
      </w:r>
      <w:r w:rsidR="00E04C07">
        <w:rPr>
          <w:rFonts w:ascii="Times New Roman" w:hAnsi="Times New Roman"/>
          <w:sz w:val="20"/>
        </w:rPr>
        <w:t>…</w:t>
      </w:r>
    </w:p>
  </w:footnote>
  <w:footnote w:id="9">
    <w:p w14:paraId="12D8A041" w14:textId="36F15341" w:rsidR="00730459" w:rsidRPr="002E62AE" w:rsidRDefault="00730459" w:rsidP="00730459">
      <w:pPr>
        <w:pStyle w:val="FootnoteText"/>
        <w:tabs>
          <w:tab w:val="clear" w:pos="360"/>
          <w:tab w:val="left" w:pos="720"/>
        </w:tabs>
        <w:ind w:left="720"/>
        <w:rPr>
          <w:rFonts w:ascii="Times New Roman" w:hAnsi="Times New Roman"/>
          <w:sz w:val="20"/>
          <w:lang w:val="es-US"/>
        </w:rPr>
      </w:pPr>
      <w:r w:rsidRPr="002E62AE">
        <w:rPr>
          <w:rFonts w:ascii="Times New Roman" w:hAnsi="Times New Roman"/>
          <w:sz w:val="20"/>
        </w:rPr>
        <w:footnoteRef/>
      </w:r>
      <w:r w:rsidRPr="002E62AE">
        <w:rPr>
          <w:rFonts w:ascii="Times New Roman" w:hAnsi="Times New Roman"/>
          <w:sz w:val="20"/>
        </w:rPr>
        <w:t>.</w:t>
      </w:r>
      <w:r w:rsidRPr="002E62AE">
        <w:rPr>
          <w:rFonts w:ascii="Times New Roman" w:hAnsi="Times New Roman"/>
          <w:sz w:val="20"/>
        </w:rPr>
        <w:tab/>
      </w:r>
      <w:r w:rsidR="00444304" w:rsidRPr="002E62AE">
        <w:rPr>
          <w:rFonts w:ascii="Times New Roman" w:hAnsi="Times New Roman"/>
          <w:sz w:val="20"/>
        </w:rPr>
        <w:t>El Perú mantiene relaciones diplomáticas con la República Bolivariana de Venezuela. La República Bolivariana de Venezuela dejó de ser Estado miembro de la OEA, por lo que, conforme con el derecho…</w:t>
      </w:r>
    </w:p>
  </w:footnote>
  <w:footnote w:id="10">
    <w:p w14:paraId="4CACC485" w14:textId="45653BE2" w:rsidR="003C6C56" w:rsidRPr="002E62AE" w:rsidRDefault="003C6C56" w:rsidP="003C6C56">
      <w:pPr>
        <w:pStyle w:val="FootnoteText"/>
        <w:tabs>
          <w:tab w:val="clear" w:pos="360"/>
          <w:tab w:val="left" w:pos="720"/>
        </w:tabs>
        <w:ind w:left="720"/>
        <w:rPr>
          <w:rFonts w:ascii="Times New Roman" w:hAnsi="Times New Roman"/>
          <w:sz w:val="20"/>
          <w:lang w:val="es-US"/>
        </w:rPr>
      </w:pPr>
      <w:r w:rsidRPr="007F5CCF">
        <w:rPr>
          <w:rStyle w:val="FootnoteReference"/>
          <w:rFonts w:ascii="Times New Roman" w:hAnsi="Times New Roman"/>
          <w:sz w:val="20"/>
        </w:rPr>
        <w:footnoteRef/>
      </w:r>
      <w:r w:rsidRPr="007F5CCF">
        <w:rPr>
          <w:rFonts w:ascii="Times New Roman" w:hAnsi="Times New Roman"/>
          <w:sz w:val="20"/>
        </w:rPr>
        <w:t>.</w:t>
      </w:r>
      <w:r w:rsidRPr="007F5CCF">
        <w:rPr>
          <w:rFonts w:ascii="Times New Roman" w:hAnsi="Times New Roman"/>
          <w:sz w:val="20"/>
        </w:rPr>
        <w:tab/>
      </w:r>
      <w:r w:rsidR="007F5CCF">
        <w:rPr>
          <w:rFonts w:ascii="Times New Roman" w:hAnsi="Times New Roman"/>
          <w:sz w:val="20"/>
        </w:rPr>
        <w:t xml:space="preserve">La Delegación de </w:t>
      </w:r>
      <w:r w:rsidRPr="007F5CCF">
        <w:rPr>
          <w:rFonts w:ascii="Times New Roman" w:hAnsi="Times New Roman"/>
          <w:sz w:val="20"/>
        </w:rPr>
        <w:t>Trinidad y Tobago anunció que presentará una nota a pie de página.</w:t>
      </w:r>
    </w:p>
  </w:footnote>
  <w:footnote w:id="11">
    <w:p w14:paraId="3FA51DD6" w14:textId="21095644" w:rsidR="00087443" w:rsidRPr="002E62AE" w:rsidRDefault="00087443" w:rsidP="00E41F79">
      <w:pPr>
        <w:pStyle w:val="FootnoteText"/>
        <w:tabs>
          <w:tab w:val="clear" w:pos="360"/>
          <w:tab w:val="left" w:pos="720"/>
        </w:tabs>
        <w:ind w:left="0" w:firstLine="360"/>
        <w:rPr>
          <w:rFonts w:ascii="Times New Roman" w:hAnsi="Times New Roman"/>
          <w:sz w:val="20"/>
          <w:lang w:val="es-AR"/>
        </w:rPr>
      </w:pPr>
      <w:r w:rsidRPr="002E62AE">
        <w:rPr>
          <w:rStyle w:val="FootnoteReference"/>
          <w:rFonts w:ascii="Times New Roman" w:hAnsi="Times New Roman"/>
          <w:sz w:val="20"/>
        </w:rPr>
        <w:footnoteRef/>
      </w:r>
      <w:r w:rsidRPr="002E62AE">
        <w:rPr>
          <w:rFonts w:ascii="Times New Roman" w:hAnsi="Times New Roman"/>
          <w:sz w:val="20"/>
          <w:lang w:val="es-AR"/>
        </w:rPr>
        <w:t>.</w:t>
      </w:r>
      <w:r w:rsidRPr="002E62AE">
        <w:rPr>
          <w:rFonts w:ascii="Times New Roman" w:hAnsi="Times New Roman"/>
          <w:sz w:val="20"/>
          <w:lang w:val="es-AR"/>
        </w:rPr>
        <w:tab/>
        <w:t>Se publica por separado como documento</w:t>
      </w:r>
      <w:r w:rsidR="001B4AEA" w:rsidRPr="002E62AE">
        <w:rPr>
          <w:rFonts w:ascii="Times New Roman" w:hAnsi="Times New Roman"/>
          <w:sz w:val="20"/>
          <w:lang w:val="es-AR"/>
        </w:rPr>
        <w:t xml:space="preserve"> </w:t>
      </w:r>
      <w:hyperlink r:id="rId1" w:history="1">
        <w:r w:rsidR="001B4AEA" w:rsidRPr="002E62AE">
          <w:rPr>
            <w:rStyle w:val="Hyperlink"/>
            <w:rFonts w:ascii="Times New Roman" w:hAnsi="Times New Roman"/>
            <w:sz w:val="20"/>
            <w:lang w:val="es-AR"/>
          </w:rPr>
          <w:t>AG/doc.</w:t>
        </w:r>
        <w:r w:rsidR="001D79C5" w:rsidRPr="002E62AE">
          <w:rPr>
            <w:rStyle w:val="Hyperlink"/>
            <w:rFonts w:ascii="Times New Roman" w:hAnsi="Times New Roman"/>
            <w:sz w:val="20"/>
            <w:lang w:val="es-AR"/>
          </w:rPr>
          <w:t xml:space="preserve"> </w:t>
        </w:r>
        <w:r w:rsidR="008E6689" w:rsidRPr="002E62AE">
          <w:rPr>
            <w:rStyle w:val="Hyperlink"/>
            <w:rFonts w:ascii="Times New Roman" w:hAnsi="Times New Roman"/>
            <w:sz w:val="20"/>
            <w:lang w:val="es-AR"/>
          </w:rPr>
          <w:t>5743</w:t>
        </w:r>
        <w:r w:rsidR="001B4AEA" w:rsidRPr="002E62AE">
          <w:rPr>
            <w:rStyle w:val="Hyperlink"/>
            <w:rFonts w:ascii="Times New Roman" w:hAnsi="Times New Roman"/>
            <w:sz w:val="20"/>
            <w:lang w:val="es-AR"/>
          </w:rPr>
          <w:t>/</w:t>
        </w:r>
        <w:r w:rsidR="008E6689" w:rsidRPr="002E62AE">
          <w:rPr>
            <w:rStyle w:val="Hyperlink"/>
            <w:rFonts w:ascii="Times New Roman" w:hAnsi="Times New Roman"/>
            <w:sz w:val="20"/>
            <w:lang w:val="es-AR"/>
          </w:rPr>
          <w:t>2</w:t>
        </w:r>
        <w:r w:rsidR="008C70F5" w:rsidRPr="002E62AE">
          <w:rPr>
            <w:rStyle w:val="Hyperlink"/>
            <w:rFonts w:ascii="Times New Roman" w:hAnsi="Times New Roman"/>
            <w:sz w:val="20"/>
            <w:lang w:val="es-AR"/>
          </w:rPr>
          <w:t>1</w:t>
        </w:r>
      </w:hyperlink>
      <w:r w:rsidR="00B078A6" w:rsidRPr="002E62AE">
        <w:rPr>
          <w:rFonts w:ascii="Times New Roman" w:hAnsi="Times New Roman"/>
          <w:sz w:val="20"/>
          <w:lang w:val="es-AR"/>
        </w:rPr>
        <w:t xml:space="preserve"> rev. </w:t>
      </w:r>
      <w:r w:rsidR="009B51C3" w:rsidRPr="002E62AE">
        <w:rPr>
          <w:rFonts w:ascii="Times New Roman" w:hAnsi="Times New Roman"/>
          <w:sz w:val="20"/>
          <w:lang w:val="es-AR"/>
        </w:rPr>
        <w:t>1</w:t>
      </w:r>
      <w:r w:rsidRPr="002E62AE">
        <w:rPr>
          <w:rFonts w:ascii="Times New Roman" w:hAnsi="Times New Roman"/>
          <w:sz w:val="20"/>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D265" w14:textId="77777777" w:rsidR="00087443" w:rsidRDefault="00087443" w:rsidP="001169A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484FBA">
      <w:rPr>
        <w:rStyle w:val="PageNumber"/>
        <w:noProof/>
      </w:rPr>
      <w:t>2</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3"/>
    <w:rsid w:val="00024D56"/>
    <w:rsid w:val="00042D9E"/>
    <w:rsid w:val="00073F78"/>
    <w:rsid w:val="00080259"/>
    <w:rsid w:val="00083921"/>
    <w:rsid w:val="00087443"/>
    <w:rsid w:val="000A5BF3"/>
    <w:rsid w:val="000C08C6"/>
    <w:rsid w:val="000E325E"/>
    <w:rsid w:val="001169A9"/>
    <w:rsid w:val="00117D68"/>
    <w:rsid w:val="001316AA"/>
    <w:rsid w:val="00157F3B"/>
    <w:rsid w:val="00173CA8"/>
    <w:rsid w:val="001764A9"/>
    <w:rsid w:val="001973C1"/>
    <w:rsid w:val="001B4AEA"/>
    <w:rsid w:val="001D0671"/>
    <w:rsid w:val="001D79C5"/>
    <w:rsid w:val="001E1AD0"/>
    <w:rsid w:val="00204D6C"/>
    <w:rsid w:val="00205F3D"/>
    <w:rsid w:val="00231C4D"/>
    <w:rsid w:val="00242A22"/>
    <w:rsid w:val="0026271E"/>
    <w:rsid w:val="0026493D"/>
    <w:rsid w:val="002719CA"/>
    <w:rsid w:val="00284D0C"/>
    <w:rsid w:val="002866CC"/>
    <w:rsid w:val="00286DE3"/>
    <w:rsid w:val="00293C67"/>
    <w:rsid w:val="0029463E"/>
    <w:rsid w:val="002C2DB4"/>
    <w:rsid w:val="002D1E34"/>
    <w:rsid w:val="002E62AE"/>
    <w:rsid w:val="003158D8"/>
    <w:rsid w:val="00322C6B"/>
    <w:rsid w:val="003352E2"/>
    <w:rsid w:val="00361BDC"/>
    <w:rsid w:val="0036331A"/>
    <w:rsid w:val="00391A8F"/>
    <w:rsid w:val="003A5B0A"/>
    <w:rsid w:val="003B6971"/>
    <w:rsid w:val="003C6C56"/>
    <w:rsid w:val="003F12A8"/>
    <w:rsid w:val="003F241B"/>
    <w:rsid w:val="00403AD5"/>
    <w:rsid w:val="00424434"/>
    <w:rsid w:val="00443B89"/>
    <w:rsid w:val="00443E71"/>
    <w:rsid w:val="00444304"/>
    <w:rsid w:val="004640CF"/>
    <w:rsid w:val="004652ED"/>
    <w:rsid w:val="00484FBA"/>
    <w:rsid w:val="004E12E0"/>
    <w:rsid w:val="004E2451"/>
    <w:rsid w:val="00500D86"/>
    <w:rsid w:val="00512F9D"/>
    <w:rsid w:val="00576C53"/>
    <w:rsid w:val="005F4489"/>
    <w:rsid w:val="00611D4C"/>
    <w:rsid w:val="00673889"/>
    <w:rsid w:val="00695BCF"/>
    <w:rsid w:val="006B32F0"/>
    <w:rsid w:val="006D1774"/>
    <w:rsid w:val="006D2B91"/>
    <w:rsid w:val="006D2F8D"/>
    <w:rsid w:val="006F4C4C"/>
    <w:rsid w:val="006F58A4"/>
    <w:rsid w:val="00730459"/>
    <w:rsid w:val="00736E2C"/>
    <w:rsid w:val="00737795"/>
    <w:rsid w:val="00755F78"/>
    <w:rsid w:val="0079635B"/>
    <w:rsid w:val="007A6AF9"/>
    <w:rsid w:val="007F0225"/>
    <w:rsid w:val="007F5CCF"/>
    <w:rsid w:val="0080133E"/>
    <w:rsid w:val="00813760"/>
    <w:rsid w:val="0082387D"/>
    <w:rsid w:val="00846F50"/>
    <w:rsid w:val="00847CDB"/>
    <w:rsid w:val="00852ECB"/>
    <w:rsid w:val="008770EA"/>
    <w:rsid w:val="00887F35"/>
    <w:rsid w:val="008A5CDC"/>
    <w:rsid w:val="008C70F5"/>
    <w:rsid w:val="008D1406"/>
    <w:rsid w:val="008E6689"/>
    <w:rsid w:val="00943ABC"/>
    <w:rsid w:val="0095523F"/>
    <w:rsid w:val="00960EB8"/>
    <w:rsid w:val="00961F2D"/>
    <w:rsid w:val="00961F85"/>
    <w:rsid w:val="00965FC7"/>
    <w:rsid w:val="00974761"/>
    <w:rsid w:val="00977D55"/>
    <w:rsid w:val="0098091B"/>
    <w:rsid w:val="00990248"/>
    <w:rsid w:val="0099490C"/>
    <w:rsid w:val="009A0B6E"/>
    <w:rsid w:val="009B28AC"/>
    <w:rsid w:val="009B51C3"/>
    <w:rsid w:val="00A123DC"/>
    <w:rsid w:val="00A53176"/>
    <w:rsid w:val="00A56FE7"/>
    <w:rsid w:val="00A66660"/>
    <w:rsid w:val="00A66CC7"/>
    <w:rsid w:val="00A806A9"/>
    <w:rsid w:val="00A90535"/>
    <w:rsid w:val="00A955BB"/>
    <w:rsid w:val="00AA23AD"/>
    <w:rsid w:val="00AA76FB"/>
    <w:rsid w:val="00AB03EB"/>
    <w:rsid w:val="00AC5641"/>
    <w:rsid w:val="00B078A6"/>
    <w:rsid w:val="00B10410"/>
    <w:rsid w:val="00B453CF"/>
    <w:rsid w:val="00B542E7"/>
    <w:rsid w:val="00B55940"/>
    <w:rsid w:val="00B6460F"/>
    <w:rsid w:val="00B72045"/>
    <w:rsid w:val="00BE17DE"/>
    <w:rsid w:val="00BF5F18"/>
    <w:rsid w:val="00C03664"/>
    <w:rsid w:val="00C31E01"/>
    <w:rsid w:val="00C42F52"/>
    <w:rsid w:val="00C461FD"/>
    <w:rsid w:val="00C55256"/>
    <w:rsid w:val="00C678DC"/>
    <w:rsid w:val="00C978C5"/>
    <w:rsid w:val="00CB08D4"/>
    <w:rsid w:val="00CC069C"/>
    <w:rsid w:val="00D4028C"/>
    <w:rsid w:val="00D57A85"/>
    <w:rsid w:val="00D610A2"/>
    <w:rsid w:val="00D64ACC"/>
    <w:rsid w:val="00D95022"/>
    <w:rsid w:val="00DC234B"/>
    <w:rsid w:val="00DF37F4"/>
    <w:rsid w:val="00E04C07"/>
    <w:rsid w:val="00E22230"/>
    <w:rsid w:val="00E41F79"/>
    <w:rsid w:val="00E43A78"/>
    <w:rsid w:val="00E76950"/>
    <w:rsid w:val="00E948CF"/>
    <w:rsid w:val="00E9738B"/>
    <w:rsid w:val="00EA3A1E"/>
    <w:rsid w:val="00EA4BBB"/>
    <w:rsid w:val="00EB3368"/>
    <w:rsid w:val="00EC3C7F"/>
    <w:rsid w:val="00EC49CB"/>
    <w:rsid w:val="00F218FC"/>
    <w:rsid w:val="00F33752"/>
    <w:rsid w:val="00F760B3"/>
    <w:rsid w:val="00F80916"/>
    <w:rsid w:val="00F87A70"/>
    <w:rsid w:val="00FA02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40849A0D"/>
  <w15:chartTrackingRefBased/>
  <w15:docId w15:val="{83BA2241-2ACF-43D4-ACF8-FA67ACAB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44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087443"/>
    <w:pPr>
      <w:tabs>
        <w:tab w:val="center" w:pos="4320"/>
        <w:tab w:val="right" w:pos="8640"/>
      </w:tabs>
    </w:pPr>
  </w:style>
  <w:style w:type="character" w:styleId="PageNumber">
    <w:name w:val="page number"/>
    <w:basedOn w:val="DefaultParagraphFont"/>
    <w:rsid w:val="00087443"/>
  </w:style>
  <w:style w:type="paragraph" w:customStyle="1" w:styleId="TitleUppercase">
    <w:name w:val="Title Uppercase"/>
    <w:basedOn w:val="Normal"/>
    <w:rsid w:val="00087443"/>
    <w:pPr>
      <w:tabs>
        <w:tab w:val="left" w:pos="720"/>
        <w:tab w:val="left" w:pos="1440"/>
        <w:tab w:val="left" w:pos="2160"/>
        <w:tab w:val="left" w:pos="2880"/>
        <w:tab w:val="left" w:pos="7200"/>
        <w:tab w:val="left" w:pos="7920"/>
        <w:tab w:val="left" w:pos="8640"/>
      </w:tabs>
      <w:jc w:val="center"/>
    </w:pPr>
  </w:style>
  <w:style w:type="character" w:styleId="FootnoteReference">
    <w:name w:val="footnote reference"/>
    <w:semiHidden/>
    <w:rsid w:val="00087443"/>
    <w:rPr>
      <w:color w:val="auto"/>
      <w:vertAlign w:val="baseline"/>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semiHidden/>
    <w:rsid w:val="00087443"/>
    <w:pPr>
      <w:tabs>
        <w:tab w:val="left" w:pos="360"/>
      </w:tabs>
      <w:ind w:left="360" w:hanging="360"/>
      <w:jc w:val="both"/>
    </w:pPr>
    <w:rPr>
      <w:rFonts w:ascii="CG Times" w:hAnsi="CG Times"/>
      <w:sz w:val="18"/>
      <w:lang w:val="es-ES"/>
    </w:rPr>
  </w:style>
  <w:style w:type="paragraph" w:customStyle="1" w:styleId="Footnotetype">
    <w:name w:val="Footnote type"/>
    <w:basedOn w:val="Normal"/>
    <w:rsid w:val="00087443"/>
    <w:rPr>
      <w:u w:val="single"/>
      <w:vertAlign w:val="superscript"/>
      <w:lang w:val="es-ES"/>
    </w:rPr>
  </w:style>
  <w:style w:type="paragraph" w:styleId="BodyText">
    <w:name w:val="Body Text"/>
    <w:basedOn w:val="Normal"/>
    <w:rsid w:val="00087443"/>
    <w:pPr>
      <w:spacing w:line="480" w:lineRule="auto"/>
      <w:jc w:val="both"/>
    </w:pPr>
    <w:rPr>
      <w:lang w:val="es-ES"/>
    </w:rPr>
  </w:style>
  <w:style w:type="character" w:customStyle="1" w:styleId="HeaderChar">
    <w:name w:val="Header Char"/>
    <w:aliases w:val="encabezado Char"/>
    <w:link w:val="Header"/>
    <w:locked/>
    <w:rsid w:val="0026493D"/>
    <w:rPr>
      <w:sz w:val="22"/>
    </w:rPr>
  </w:style>
  <w:style w:type="paragraph" w:styleId="Footer">
    <w:name w:val="footer"/>
    <w:basedOn w:val="Normal"/>
    <w:link w:val="FooterChar"/>
    <w:uiPriority w:val="99"/>
    <w:rsid w:val="00512F9D"/>
    <w:pPr>
      <w:tabs>
        <w:tab w:val="center" w:pos="4320"/>
        <w:tab w:val="right" w:pos="8640"/>
      </w:tabs>
    </w:pPr>
  </w:style>
  <w:style w:type="character" w:styleId="Hyperlink">
    <w:name w:val="Hyperlink"/>
    <w:rsid w:val="009A0B6E"/>
    <w:rPr>
      <w:color w:val="0000FF"/>
      <w:u w:val="single"/>
    </w:rPr>
  </w:style>
  <w:style w:type="paragraph" w:styleId="BalloonText">
    <w:name w:val="Balloon Text"/>
    <w:basedOn w:val="Normal"/>
    <w:link w:val="BalloonTextChar"/>
    <w:rsid w:val="006D1774"/>
    <w:rPr>
      <w:rFonts w:ascii="Segoe UI" w:hAnsi="Segoe UI" w:cs="Segoe UI"/>
      <w:sz w:val="18"/>
      <w:szCs w:val="18"/>
    </w:rPr>
  </w:style>
  <w:style w:type="character" w:customStyle="1" w:styleId="BalloonTextChar">
    <w:name w:val="Balloon Text Char"/>
    <w:link w:val="BalloonText"/>
    <w:rsid w:val="006D1774"/>
    <w:rPr>
      <w:rFonts w:ascii="Segoe UI" w:hAnsi="Segoe UI" w:cs="Segoe UI"/>
      <w:sz w:val="18"/>
      <w:szCs w:val="18"/>
    </w:rPr>
  </w:style>
  <w:style w:type="character" w:styleId="FollowedHyperlink">
    <w:name w:val="FollowedHyperlink"/>
    <w:rsid w:val="001B4AEA"/>
    <w:rPr>
      <w:color w:val="954F72"/>
      <w:u w:val="single"/>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semiHidden/>
    <w:locked/>
    <w:rsid w:val="00D64ACC"/>
    <w:rPr>
      <w:rFonts w:ascii="CG Times" w:hAnsi="CG Times"/>
      <w:sz w:val="18"/>
      <w:lang w:val="es-ES"/>
    </w:rPr>
  </w:style>
  <w:style w:type="character" w:customStyle="1" w:styleId="CharacterStyle2">
    <w:name w:val="Character Style 2"/>
    <w:uiPriority w:val="99"/>
    <w:rsid w:val="00D64ACC"/>
    <w:rPr>
      <w:sz w:val="20"/>
      <w:szCs w:val="20"/>
    </w:rPr>
  </w:style>
  <w:style w:type="paragraph" w:customStyle="1" w:styleId="Style1">
    <w:name w:val="Style 1"/>
    <w:basedOn w:val="Normal"/>
    <w:uiPriority w:val="99"/>
    <w:rsid w:val="00D64ACC"/>
    <w:pPr>
      <w:widowControl w:val="0"/>
      <w:autoSpaceDE w:val="0"/>
      <w:autoSpaceDN w:val="0"/>
      <w:adjustRightInd w:val="0"/>
    </w:pPr>
    <w:rPr>
      <w:rFonts w:eastAsiaTheme="minorEastAsia"/>
      <w:sz w:val="20"/>
    </w:rPr>
  </w:style>
  <w:style w:type="character" w:styleId="UnresolvedMention">
    <w:name w:val="Unresolved Mention"/>
    <w:basedOn w:val="DefaultParagraphFont"/>
    <w:uiPriority w:val="99"/>
    <w:semiHidden/>
    <w:unhideWhenUsed/>
    <w:rsid w:val="00961F85"/>
    <w:rPr>
      <w:color w:val="605E5C"/>
      <w:shd w:val="clear" w:color="auto" w:fill="E1DFDD"/>
    </w:rPr>
  </w:style>
  <w:style w:type="character" w:customStyle="1" w:styleId="FooterChar">
    <w:name w:val="Footer Char"/>
    <w:basedOn w:val="DefaultParagraphFont"/>
    <w:link w:val="Footer"/>
    <w:uiPriority w:val="99"/>
    <w:rsid w:val="002E62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445">
      <w:bodyDiv w:val="1"/>
      <w:marLeft w:val="0"/>
      <w:marRight w:val="0"/>
      <w:marTop w:val="0"/>
      <w:marBottom w:val="0"/>
      <w:divBdr>
        <w:top w:val="none" w:sz="0" w:space="0" w:color="auto"/>
        <w:left w:val="none" w:sz="0" w:space="0" w:color="auto"/>
        <w:bottom w:val="none" w:sz="0" w:space="0" w:color="auto"/>
        <w:right w:val="none" w:sz="0" w:space="0" w:color="auto"/>
      </w:divBdr>
    </w:div>
    <w:div w:id="18278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m.oas.org/IDMS/Redirectpage.aspx?class=AG/doc.&amp;classNum=5743&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INFORME DEL SECRETARIO GENERAL SOBRE</vt:lpstr>
    </vt:vector>
  </TitlesOfParts>
  <Company>OAS</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SECRETARIO GENERAL SOBRE</dc:title>
  <dc:subject/>
  <dc:creator>Rodrigo Cortés</dc:creator>
  <cp:keywords/>
  <cp:lastModifiedBy>Mayorga, Georgina</cp:lastModifiedBy>
  <cp:revision>3</cp:revision>
  <cp:lastPrinted>2019-06-26T16:52:00Z</cp:lastPrinted>
  <dcterms:created xsi:type="dcterms:W3CDTF">2021-11-23T22:31:00Z</dcterms:created>
  <dcterms:modified xsi:type="dcterms:W3CDTF">2021-11-23T22:33:00Z</dcterms:modified>
</cp:coreProperties>
</file>