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2E25" w14:textId="77777777" w:rsidR="004519B2" w:rsidRPr="00563D52" w:rsidRDefault="007A1CF5" w:rsidP="004519B2">
      <w:pPr>
        <w:tabs>
          <w:tab w:val="left" w:pos="7560"/>
        </w:tabs>
        <w:ind w:right="-1109"/>
        <w:rPr>
          <w:szCs w:val="22"/>
          <w:lang w:val="pt-BR"/>
        </w:rPr>
      </w:pPr>
      <w:r>
        <w:rPr>
          <w:szCs w:val="22"/>
          <w:lang w:val="pt-BR"/>
        </w:rPr>
        <w:object w:dxaOrig="1440" w:dyaOrig="1440" w14:anchorId="6C3BD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3.85pt;margin-top:-45.45pt;width:320.1pt;height:28.05pt;z-index:251659264;mso-wrap-edited:f" wrapcoords="3572 1580 2041 2634 170 7376 170 11590 2381 19493 5272 20020 11055 20020 17008 20020 21260 12117 21600 4215 18709 2107 9524 1580 3572 1580" o:allowincell="f" fillcolor="window">
            <v:imagedata r:id="rId8" o:title=""/>
          </v:shape>
          <o:OLEObject Type="Embed" ProgID="Word.Picture.8" ShapeID="_x0000_s2053" DrawAspect="Content" ObjectID="_1699101721" r:id="rId9"/>
        </w:object>
      </w:r>
      <w:r w:rsidR="004519B2" w:rsidRPr="00563D52">
        <w:rPr>
          <w:szCs w:val="22"/>
          <w:lang w:val="pt-BR"/>
        </w:rPr>
        <w:t>QUINQUAGÉSIMO PRIMEIRO PERÍODO ORDINÁRIO DE SESSÕES</w:t>
      </w:r>
      <w:r w:rsidR="004519B2" w:rsidRPr="00563D52">
        <w:rPr>
          <w:szCs w:val="22"/>
          <w:lang w:val="pt-BR"/>
        </w:rPr>
        <w:tab/>
        <w:t>OEA/Ser.P</w:t>
      </w:r>
    </w:p>
    <w:p w14:paraId="340D1463" w14:textId="5725F459" w:rsidR="004519B2" w:rsidRPr="00563D52" w:rsidRDefault="004519B2" w:rsidP="004519B2">
      <w:pPr>
        <w:tabs>
          <w:tab w:val="center" w:pos="2160"/>
          <w:tab w:val="left" w:pos="7560"/>
        </w:tabs>
        <w:ind w:right="-1469"/>
        <w:jc w:val="left"/>
        <w:rPr>
          <w:szCs w:val="22"/>
          <w:lang w:val="pt-BR"/>
        </w:rPr>
      </w:pPr>
      <w:r w:rsidRPr="00563D52">
        <w:rPr>
          <w:szCs w:val="22"/>
          <w:lang w:val="pt-BR"/>
        </w:rPr>
        <w:t>10 a 12 de novembro de 2021</w:t>
      </w:r>
      <w:r w:rsidRPr="00563D52">
        <w:rPr>
          <w:szCs w:val="22"/>
          <w:lang w:val="pt-BR"/>
        </w:rPr>
        <w:tab/>
        <w:t>AG/doc</w:t>
      </w:r>
      <w:r w:rsidR="00483FC2" w:rsidRPr="00563D52">
        <w:rPr>
          <w:szCs w:val="22"/>
          <w:lang w:val="pt-BR"/>
        </w:rPr>
        <w:t>.5723/</w:t>
      </w:r>
      <w:r w:rsidRPr="00563D52">
        <w:rPr>
          <w:szCs w:val="22"/>
          <w:lang w:val="pt-BR"/>
        </w:rPr>
        <w:t>21</w:t>
      </w:r>
      <w:r w:rsidR="00B332FB">
        <w:rPr>
          <w:szCs w:val="22"/>
          <w:lang w:val="pt-BR"/>
        </w:rPr>
        <w:t xml:space="preserve"> rev. </w:t>
      </w:r>
      <w:r w:rsidR="00CB5625">
        <w:rPr>
          <w:szCs w:val="22"/>
          <w:lang w:val="pt-BR"/>
        </w:rPr>
        <w:t>2</w:t>
      </w:r>
    </w:p>
    <w:p w14:paraId="74D3F6B9" w14:textId="58B41D21" w:rsidR="004519B2" w:rsidRPr="00563D52" w:rsidRDefault="004519B2" w:rsidP="004519B2">
      <w:pPr>
        <w:tabs>
          <w:tab w:val="left" w:pos="7560"/>
        </w:tabs>
        <w:ind w:right="-1109"/>
        <w:rPr>
          <w:szCs w:val="22"/>
          <w:lang w:val="pt-BR"/>
        </w:rPr>
      </w:pPr>
      <w:r w:rsidRPr="00563D52">
        <w:rPr>
          <w:color w:val="0D0C12"/>
          <w:spacing w:val="-1"/>
          <w:szCs w:val="22"/>
          <w:lang w:val="pt-BR"/>
        </w:rPr>
        <w:t>Cidade da Guatemala</w:t>
      </w:r>
      <w:r w:rsidRPr="00563D52">
        <w:rPr>
          <w:szCs w:val="22"/>
          <w:lang w:val="pt-BR"/>
        </w:rPr>
        <w:t>, Guatemala</w:t>
      </w:r>
      <w:r w:rsidRPr="00563D52">
        <w:rPr>
          <w:szCs w:val="22"/>
          <w:lang w:val="pt-BR"/>
        </w:rPr>
        <w:tab/>
      </w:r>
      <w:r w:rsidR="00CB5625">
        <w:rPr>
          <w:szCs w:val="22"/>
          <w:lang w:val="pt-BR"/>
        </w:rPr>
        <w:t>12</w:t>
      </w:r>
      <w:r w:rsidR="00B332FB">
        <w:rPr>
          <w:szCs w:val="22"/>
          <w:lang w:val="pt-BR"/>
        </w:rPr>
        <w:t xml:space="preserve"> novembro</w:t>
      </w:r>
      <w:r w:rsidRPr="00563D52">
        <w:rPr>
          <w:szCs w:val="22"/>
          <w:lang w:val="pt-BR"/>
        </w:rPr>
        <w:t xml:space="preserve"> 2021</w:t>
      </w:r>
    </w:p>
    <w:p w14:paraId="757FD8E6" w14:textId="77777777" w:rsidR="004519B2" w:rsidRPr="00563D52" w:rsidRDefault="004519B2" w:rsidP="004519B2">
      <w:pPr>
        <w:tabs>
          <w:tab w:val="center" w:pos="2160"/>
          <w:tab w:val="left" w:pos="7560"/>
        </w:tabs>
        <w:ind w:right="-1109"/>
        <w:rPr>
          <w:szCs w:val="22"/>
          <w:lang w:val="pt-BR"/>
        </w:rPr>
      </w:pPr>
      <w:r w:rsidRPr="00563D52">
        <w:rPr>
          <w:szCs w:val="22"/>
          <w:lang w:val="pt-BR"/>
        </w:rPr>
        <w:t>VIRTUAL</w:t>
      </w:r>
      <w:r w:rsidRPr="00563D52">
        <w:rPr>
          <w:szCs w:val="22"/>
          <w:lang w:val="pt-BR"/>
        </w:rPr>
        <w:tab/>
      </w:r>
      <w:r w:rsidRPr="00563D52">
        <w:rPr>
          <w:szCs w:val="22"/>
          <w:lang w:val="pt-BR"/>
        </w:rPr>
        <w:tab/>
        <w:t>Original: espanhol</w:t>
      </w:r>
    </w:p>
    <w:p w14:paraId="51EDC29A" w14:textId="77777777" w:rsidR="004519B2" w:rsidRPr="00563D52" w:rsidRDefault="004519B2" w:rsidP="004519B2">
      <w:pPr>
        <w:tabs>
          <w:tab w:val="center" w:pos="2160"/>
          <w:tab w:val="left" w:pos="7560"/>
        </w:tabs>
        <w:ind w:right="-1109"/>
        <w:rPr>
          <w:szCs w:val="22"/>
          <w:lang w:val="pt-BR"/>
        </w:rPr>
      </w:pPr>
    </w:p>
    <w:p w14:paraId="7D9F589E" w14:textId="40923B35" w:rsidR="004519B2" w:rsidRPr="00563D52" w:rsidRDefault="004519B2" w:rsidP="004519B2">
      <w:pPr>
        <w:tabs>
          <w:tab w:val="center" w:pos="2160"/>
          <w:tab w:val="left" w:pos="7560"/>
        </w:tabs>
        <w:ind w:right="-1109"/>
        <w:rPr>
          <w:szCs w:val="22"/>
          <w:lang w:val="pt-BR"/>
        </w:rPr>
      </w:pPr>
      <w:r w:rsidRPr="00563D52">
        <w:rPr>
          <w:szCs w:val="22"/>
          <w:lang w:val="pt-BR"/>
        </w:rPr>
        <w:tab/>
      </w:r>
      <w:r w:rsidRPr="00563D52">
        <w:rPr>
          <w:szCs w:val="22"/>
          <w:lang w:val="pt-BR"/>
        </w:rPr>
        <w:tab/>
      </w:r>
      <w:r w:rsidRPr="00563D52">
        <w:rPr>
          <w:szCs w:val="22"/>
          <w:u w:val="single"/>
          <w:lang w:val="pt-BR"/>
        </w:rPr>
        <w:t>Tema 1</w:t>
      </w:r>
      <w:r w:rsidRPr="00563D52">
        <w:rPr>
          <w:szCs w:val="22"/>
          <w:u w:val="single"/>
          <w:vertAlign w:val="superscript"/>
          <w:lang w:val="pt-BR"/>
        </w:rPr>
        <w:t>o</w:t>
      </w:r>
      <w:r w:rsidRPr="00563D52">
        <w:rPr>
          <w:szCs w:val="22"/>
          <w:u w:val="single"/>
          <w:lang w:val="pt-BR"/>
        </w:rPr>
        <w:t xml:space="preserve"> da agenda</w:t>
      </w:r>
    </w:p>
    <w:p w14:paraId="59AA8439" w14:textId="31363B55" w:rsidR="004519B2" w:rsidRPr="00563D52" w:rsidRDefault="004519B2" w:rsidP="004519B2">
      <w:pPr>
        <w:tabs>
          <w:tab w:val="center" w:pos="2160"/>
          <w:tab w:val="left" w:pos="7560"/>
        </w:tabs>
        <w:ind w:right="-1109"/>
        <w:rPr>
          <w:szCs w:val="22"/>
          <w:lang w:val="pt-BR"/>
        </w:rPr>
      </w:pPr>
    </w:p>
    <w:p w14:paraId="088EEB7F" w14:textId="77777777" w:rsidR="004519B2" w:rsidRPr="00563D52" w:rsidRDefault="004519B2" w:rsidP="004519B2">
      <w:pPr>
        <w:tabs>
          <w:tab w:val="center" w:pos="2160"/>
          <w:tab w:val="left" w:pos="7560"/>
        </w:tabs>
        <w:ind w:right="-1109"/>
        <w:rPr>
          <w:szCs w:val="22"/>
          <w:lang w:val="pt-BR"/>
        </w:rPr>
      </w:pPr>
    </w:p>
    <w:p w14:paraId="419583FE" w14:textId="68622DF4" w:rsidR="00C8347B" w:rsidRPr="00563D52" w:rsidRDefault="00C8347B" w:rsidP="00C8347B">
      <w:pPr>
        <w:pStyle w:val="Header"/>
        <w:tabs>
          <w:tab w:val="left" w:pos="720"/>
          <w:tab w:val="left" w:pos="1440"/>
          <w:tab w:val="left" w:pos="2160"/>
          <w:tab w:val="left" w:pos="2880"/>
        </w:tabs>
        <w:ind w:right="24"/>
        <w:jc w:val="center"/>
        <w:rPr>
          <w:szCs w:val="22"/>
          <w:lang w:val="pt-BR"/>
        </w:rPr>
      </w:pPr>
      <w:r w:rsidRPr="00563D52">
        <w:rPr>
          <w:szCs w:val="22"/>
          <w:lang w:val="pt-BR"/>
        </w:rPr>
        <w:t>AGENDA</w:t>
      </w:r>
      <w:r w:rsidR="00B332FB">
        <w:rPr>
          <w:szCs w:val="22"/>
          <w:lang w:val="pt-BR"/>
        </w:rPr>
        <w:t xml:space="preserve"> </w:t>
      </w:r>
      <w:r w:rsidRPr="00563D52">
        <w:rPr>
          <w:szCs w:val="22"/>
          <w:lang w:val="pt-BR"/>
        </w:rPr>
        <w:t xml:space="preserve">DO QUINQUAGÉSIMO </w:t>
      </w:r>
      <w:r w:rsidR="00DC1C92" w:rsidRPr="00563D52">
        <w:rPr>
          <w:szCs w:val="22"/>
          <w:lang w:val="pt-BR"/>
        </w:rPr>
        <w:t xml:space="preserve">PRIMEIRO </w:t>
      </w:r>
      <w:r w:rsidRPr="00563D52">
        <w:rPr>
          <w:szCs w:val="22"/>
          <w:lang w:val="pt-BR"/>
        </w:rPr>
        <w:t xml:space="preserve">PERÍODO ORDINÁRIO </w:t>
      </w:r>
      <w:r w:rsidR="00B332FB">
        <w:rPr>
          <w:szCs w:val="22"/>
          <w:lang w:val="pt-BR"/>
        </w:rPr>
        <w:br/>
      </w:r>
      <w:r w:rsidRPr="00563D52">
        <w:rPr>
          <w:szCs w:val="22"/>
          <w:lang w:val="pt-BR"/>
        </w:rPr>
        <w:t>DE SESSÕES</w:t>
      </w:r>
      <w:r w:rsidR="00B332FB">
        <w:rPr>
          <w:szCs w:val="22"/>
          <w:lang w:val="pt-BR"/>
        </w:rPr>
        <w:t xml:space="preserve"> </w:t>
      </w:r>
      <w:r w:rsidRPr="00563D52">
        <w:rPr>
          <w:szCs w:val="22"/>
          <w:lang w:val="pt-BR"/>
        </w:rPr>
        <w:t>DA ASSEMBLEIA GERAL</w:t>
      </w:r>
      <w:r w:rsidR="00CB5625" w:rsidRPr="002D7870">
        <w:rPr>
          <w:rStyle w:val="FootnoteReference"/>
          <w:szCs w:val="22"/>
          <w:u w:val="single"/>
          <w:vertAlign w:val="superscript"/>
          <w:lang w:val="pt-BR"/>
        </w:rPr>
        <w:footnoteReference w:id="1"/>
      </w:r>
      <w:r w:rsidR="00CB5625" w:rsidRPr="002D7870">
        <w:rPr>
          <w:szCs w:val="22"/>
          <w:vertAlign w:val="superscript"/>
          <w:lang w:val="pt-BR"/>
        </w:rPr>
        <w:t>/</w:t>
      </w:r>
      <w:r w:rsidR="00CB5625" w:rsidRPr="002D7870">
        <w:rPr>
          <w:rStyle w:val="FootnoteReference"/>
          <w:szCs w:val="22"/>
          <w:u w:val="single"/>
          <w:vertAlign w:val="superscript"/>
          <w:lang w:val="pt-BR"/>
        </w:rPr>
        <w:footnoteReference w:id="2"/>
      </w:r>
      <w:r w:rsidR="00CB5625" w:rsidRPr="002D7870">
        <w:rPr>
          <w:szCs w:val="22"/>
          <w:vertAlign w:val="superscript"/>
          <w:lang w:val="pt-BR"/>
        </w:rPr>
        <w:t>/</w:t>
      </w:r>
      <w:r w:rsidR="00CB5625" w:rsidRPr="002D7870">
        <w:rPr>
          <w:rStyle w:val="FootnoteReference"/>
          <w:szCs w:val="22"/>
          <w:u w:val="single"/>
          <w:vertAlign w:val="superscript"/>
          <w:lang w:val="pt-BR"/>
        </w:rPr>
        <w:footnoteReference w:id="3"/>
      </w:r>
      <w:r w:rsidR="00CB5625" w:rsidRPr="002D7870">
        <w:rPr>
          <w:szCs w:val="22"/>
          <w:vertAlign w:val="superscript"/>
          <w:lang w:val="pt-BR"/>
        </w:rPr>
        <w:t>/</w:t>
      </w:r>
      <w:r w:rsidR="00CB5625" w:rsidRPr="002D7870">
        <w:rPr>
          <w:rStyle w:val="FootnoteReference"/>
          <w:szCs w:val="22"/>
          <w:u w:val="single"/>
          <w:vertAlign w:val="superscript"/>
          <w:lang w:val="pt-BR"/>
        </w:rPr>
        <w:footnoteReference w:id="4"/>
      </w:r>
      <w:r w:rsidR="00CB5625" w:rsidRPr="002D7870">
        <w:rPr>
          <w:szCs w:val="22"/>
          <w:vertAlign w:val="superscript"/>
          <w:lang w:val="pt-BR"/>
        </w:rPr>
        <w:t>/</w:t>
      </w:r>
    </w:p>
    <w:p w14:paraId="08CB3569" w14:textId="1181B22E" w:rsidR="000D7D88" w:rsidRPr="00563D52" w:rsidRDefault="000D7D88" w:rsidP="00CF58A9">
      <w:pPr>
        <w:pStyle w:val="Header"/>
        <w:tabs>
          <w:tab w:val="left" w:pos="720"/>
          <w:tab w:val="left" w:pos="1440"/>
          <w:tab w:val="left" w:pos="2160"/>
          <w:tab w:val="left" w:pos="2880"/>
        </w:tabs>
        <w:ind w:right="24"/>
        <w:rPr>
          <w:szCs w:val="22"/>
          <w:lang w:val="pt-BR"/>
        </w:rPr>
      </w:pPr>
    </w:p>
    <w:p w14:paraId="48FE65B0" w14:textId="31B03C27" w:rsidR="000D7D88" w:rsidRPr="00563D52" w:rsidRDefault="00B332FB" w:rsidP="000D7D88">
      <w:pPr>
        <w:pStyle w:val="TitleUppercase"/>
        <w:tabs>
          <w:tab w:val="clear" w:pos="720"/>
          <w:tab w:val="clear" w:pos="1440"/>
          <w:tab w:val="clear" w:pos="2160"/>
          <w:tab w:val="clear" w:pos="2880"/>
          <w:tab w:val="clear" w:pos="7200"/>
          <w:tab w:val="clear" w:pos="7920"/>
          <w:tab w:val="clear" w:pos="8640"/>
        </w:tabs>
        <w:rPr>
          <w:szCs w:val="22"/>
        </w:rPr>
      </w:pPr>
      <w:r w:rsidRPr="007E34FB">
        <w:rPr>
          <w:szCs w:val="22"/>
        </w:rPr>
        <w:t xml:space="preserve">(Aprovado na Primeira Sessão Plenária, realizada em </w:t>
      </w:r>
      <w:r>
        <w:rPr>
          <w:szCs w:val="22"/>
        </w:rPr>
        <w:t>11</w:t>
      </w:r>
      <w:r w:rsidRPr="007E34FB">
        <w:rPr>
          <w:szCs w:val="22"/>
        </w:rPr>
        <w:t xml:space="preserve"> de </w:t>
      </w:r>
      <w:r>
        <w:rPr>
          <w:szCs w:val="22"/>
        </w:rPr>
        <w:t xml:space="preserve">novembro </w:t>
      </w:r>
      <w:r w:rsidRPr="007E34FB">
        <w:rPr>
          <w:szCs w:val="22"/>
        </w:rPr>
        <w:t xml:space="preserve">de </w:t>
      </w:r>
      <w:r w:rsidR="00FE2609">
        <w:rPr>
          <w:szCs w:val="22"/>
        </w:rPr>
        <w:t>2021</w:t>
      </w:r>
      <w:r w:rsidRPr="007E34FB">
        <w:rPr>
          <w:szCs w:val="22"/>
        </w:rPr>
        <w:t>)</w:t>
      </w:r>
    </w:p>
    <w:p w14:paraId="2578C8F7" w14:textId="604AF6CC" w:rsidR="00C8347B" w:rsidRPr="00563D52" w:rsidRDefault="00C8347B" w:rsidP="00C8347B">
      <w:pPr>
        <w:tabs>
          <w:tab w:val="left" w:pos="720"/>
          <w:tab w:val="left" w:pos="1440"/>
          <w:tab w:val="left" w:pos="2160"/>
          <w:tab w:val="left" w:pos="2880"/>
        </w:tabs>
        <w:ind w:right="24"/>
        <w:rPr>
          <w:szCs w:val="22"/>
          <w:lang w:val="pt-BR"/>
        </w:rPr>
      </w:pPr>
    </w:p>
    <w:p w14:paraId="36EAE154" w14:textId="77777777" w:rsidR="000D7D88" w:rsidRPr="00563D52" w:rsidRDefault="000D7D88" w:rsidP="00C8347B">
      <w:pPr>
        <w:tabs>
          <w:tab w:val="left" w:pos="720"/>
          <w:tab w:val="left" w:pos="1440"/>
          <w:tab w:val="left" w:pos="2160"/>
          <w:tab w:val="left" w:pos="2880"/>
        </w:tabs>
        <w:ind w:right="24"/>
        <w:rPr>
          <w:szCs w:val="22"/>
          <w:lang w:val="pt-BR"/>
        </w:rPr>
      </w:pPr>
    </w:p>
    <w:p w14:paraId="26D9CF11" w14:textId="3D5C1C9C" w:rsidR="00C8347B" w:rsidRPr="00563D52" w:rsidRDefault="00C8347B" w:rsidP="00C8347B">
      <w:pPr>
        <w:numPr>
          <w:ilvl w:val="0"/>
          <w:numId w:val="22"/>
        </w:numPr>
        <w:ind w:right="24"/>
        <w:rPr>
          <w:szCs w:val="22"/>
          <w:lang w:val="pt-BR"/>
        </w:rPr>
      </w:pPr>
      <w:r w:rsidRPr="00563D52">
        <w:rPr>
          <w:szCs w:val="22"/>
          <w:lang w:val="pt-BR"/>
        </w:rPr>
        <w:t>Aprovação do projeto de agenda da Assembleia Geral</w:t>
      </w:r>
    </w:p>
    <w:p w14:paraId="0CE99246" w14:textId="77777777" w:rsidR="00C8347B" w:rsidRPr="00563D52" w:rsidRDefault="00C8347B" w:rsidP="00C8347B">
      <w:pPr>
        <w:ind w:right="24"/>
        <w:rPr>
          <w:szCs w:val="22"/>
          <w:lang w:val="pt-BR"/>
        </w:rPr>
      </w:pPr>
    </w:p>
    <w:p w14:paraId="779D4BC3" w14:textId="6B816EA3" w:rsidR="00C8347B" w:rsidRPr="00563D52" w:rsidRDefault="00C8347B" w:rsidP="00C8347B">
      <w:pPr>
        <w:numPr>
          <w:ilvl w:val="0"/>
          <w:numId w:val="22"/>
        </w:numPr>
        <w:ind w:right="24"/>
        <w:rPr>
          <w:szCs w:val="22"/>
          <w:lang w:val="pt-BR"/>
        </w:rPr>
      </w:pPr>
      <w:r w:rsidRPr="00563D52">
        <w:rPr>
          <w:szCs w:val="22"/>
          <w:lang w:val="pt-BR"/>
        </w:rPr>
        <w:t xml:space="preserve">Aprovação das recomendações da Comissão Preparatória do Quinquagésimo </w:t>
      </w:r>
      <w:r w:rsidR="00DC1C92" w:rsidRPr="00563D52">
        <w:rPr>
          <w:szCs w:val="22"/>
          <w:lang w:val="pt-BR"/>
        </w:rPr>
        <w:t xml:space="preserve">Primeiro </w:t>
      </w:r>
      <w:r w:rsidRPr="00563D52">
        <w:rPr>
          <w:szCs w:val="22"/>
          <w:lang w:val="pt-BR"/>
        </w:rPr>
        <w:t xml:space="preserve">Período Ordinário de Sessões da Assembleia Geral </w:t>
      </w:r>
    </w:p>
    <w:p w14:paraId="68706ADA" w14:textId="77777777" w:rsidR="00C8347B" w:rsidRPr="00563D52" w:rsidRDefault="00C8347B" w:rsidP="00C8347B">
      <w:pPr>
        <w:ind w:right="24"/>
        <w:rPr>
          <w:szCs w:val="22"/>
          <w:lang w:val="pt-BR"/>
        </w:rPr>
      </w:pPr>
    </w:p>
    <w:p w14:paraId="3BC02681" w14:textId="0BF5B16F" w:rsidR="00C8347B" w:rsidRPr="00563D52" w:rsidRDefault="00C8347B" w:rsidP="00C8347B">
      <w:pPr>
        <w:numPr>
          <w:ilvl w:val="0"/>
          <w:numId w:val="22"/>
        </w:numPr>
        <w:ind w:right="24"/>
        <w:rPr>
          <w:i/>
          <w:szCs w:val="22"/>
          <w:lang w:val="pt-BR"/>
        </w:rPr>
      </w:pPr>
      <w:r w:rsidRPr="00563D52">
        <w:rPr>
          <w:szCs w:val="22"/>
          <w:lang w:val="pt-BR"/>
        </w:rPr>
        <w:t>Relatório Anual da Secretaria-Geral sobre as atividades e a situação financeira da Organização</w:t>
      </w:r>
    </w:p>
    <w:p w14:paraId="5591FFA0" w14:textId="77777777" w:rsidR="00C8347B" w:rsidRPr="00563D52" w:rsidRDefault="00C8347B" w:rsidP="00C8347B">
      <w:pPr>
        <w:ind w:right="24"/>
        <w:rPr>
          <w:szCs w:val="22"/>
          <w:lang w:val="pt-BR"/>
        </w:rPr>
      </w:pPr>
    </w:p>
    <w:p w14:paraId="5D087204" w14:textId="29731CB4" w:rsidR="00C8347B" w:rsidRPr="00563D52" w:rsidRDefault="00C8347B" w:rsidP="00C8347B">
      <w:pPr>
        <w:pStyle w:val="19"/>
        <w:widowControl/>
        <w:numPr>
          <w:ilvl w:val="0"/>
          <w:numId w:val="22"/>
        </w:numPr>
        <w:snapToGrid w:val="0"/>
        <w:spacing w:line="240" w:lineRule="auto"/>
        <w:ind w:right="24"/>
        <w:jc w:val="both"/>
        <w:rPr>
          <w:sz w:val="22"/>
          <w:szCs w:val="22"/>
          <w:lang w:val="pt-BR"/>
        </w:rPr>
      </w:pPr>
      <w:r w:rsidRPr="00563D52">
        <w:rPr>
          <w:sz w:val="22"/>
          <w:szCs w:val="22"/>
          <w:lang w:val="pt-BR"/>
        </w:rPr>
        <w:t>Relatório do Secretário-Geral sobre Credenciais</w:t>
      </w:r>
    </w:p>
    <w:p w14:paraId="280AFBF1" w14:textId="77777777" w:rsidR="00C8347B" w:rsidRPr="00563D52" w:rsidRDefault="00C8347B" w:rsidP="00C8347B">
      <w:pPr>
        <w:pStyle w:val="19"/>
        <w:widowControl/>
        <w:spacing w:line="240" w:lineRule="auto"/>
        <w:ind w:right="24"/>
        <w:jc w:val="both"/>
        <w:rPr>
          <w:sz w:val="22"/>
          <w:szCs w:val="22"/>
          <w:lang w:val="pt-BR"/>
        </w:rPr>
      </w:pPr>
    </w:p>
    <w:p w14:paraId="48700306" w14:textId="4879FF51" w:rsidR="00C8347B" w:rsidRPr="00563D52" w:rsidRDefault="00C8347B" w:rsidP="00C8347B">
      <w:pPr>
        <w:numPr>
          <w:ilvl w:val="0"/>
          <w:numId w:val="22"/>
        </w:numPr>
        <w:ind w:right="24"/>
        <w:rPr>
          <w:szCs w:val="22"/>
          <w:lang w:val="pt-BR"/>
        </w:rPr>
      </w:pPr>
      <w:r w:rsidRPr="00563D52">
        <w:rPr>
          <w:szCs w:val="22"/>
          <w:lang w:val="pt-BR"/>
        </w:rPr>
        <w:t>Relatório Anual do Conselho Permanente</w:t>
      </w:r>
    </w:p>
    <w:p w14:paraId="0C30D90C" w14:textId="77777777" w:rsidR="00C8347B" w:rsidRPr="00563D52" w:rsidRDefault="00C8347B" w:rsidP="00C8347B">
      <w:pPr>
        <w:ind w:right="24"/>
        <w:rPr>
          <w:szCs w:val="22"/>
          <w:lang w:val="pt-BR"/>
        </w:rPr>
      </w:pPr>
    </w:p>
    <w:p w14:paraId="490348FF" w14:textId="65CD3F74" w:rsidR="00C8347B" w:rsidRPr="00563D52" w:rsidRDefault="00C8347B" w:rsidP="00C8347B">
      <w:pPr>
        <w:numPr>
          <w:ilvl w:val="0"/>
          <w:numId w:val="22"/>
        </w:numPr>
        <w:ind w:right="24"/>
        <w:rPr>
          <w:szCs w:val="22"/>
          <w:lang w:val="pt-BR"/>
        </w:rPr>
      </w:pPr>
      <w:r w:rsidRPr="00563D52">
        <w:rPr>
          <w:szCs w:val="22"/>
          <w:lang w:val="pt-BR"/>
        </w:rPr>
        <w:t>Relatório Anual do Conselho Interamericano de Desenvolvimento Integral (CIDI)</w:t>
      </w:r>
    </w:p>
    <w:p w14:paraId="1E143BDA" w14:textId="77777777" w:rsidR="00C8347B" w:rsidRPr="00563D52" w:rsidRDefault="00C8347B" w:rsidP="00C8347B">
      <w:pPr>
        <w:pStyle w:val="ListParagraph"/>
        <w:ind w:left="0"/>
        <w:rPr>
          <w:szCs w:val="22"/>
          <w:lang w:val="pt-BR"/>
        </w:rPr>
      </w:pPr>
    </w:p>
    <w:p w14:paraId="0948CC2D" w14:textId="0E0844BF" w:rsidR="00C8347B" w:rsidRPr="00563D52" w:rsidRDefault="00C8347B" w:rsidP="00C8347B">
      <w:pPr>
        <w:numPr>
          <w:ilvl w:val="0"/>
          <w:numId w:val="22"/>
        </w:numPr>
        <w:ind w:right="24"/>
        <w:rPr>
          <w:szCs w:val="22"/>
          <w:lang w:val="pt-BR"/>
        </w:rPr>
      </w:pPr>
      <w:r w:rsidRPr="00563D52">
        <w:rPr>
          <w:szCs w:val="22"/>
          <w:lang w:val="pt-BR"/>
        </w:rPr>
        <w:t>Observações e recomendações do Conselho Permanente sobre os relatórios anuais dos órgãos, organismos e entidades da Organização</w:t>
      </w:r>
    </w:p>
    <w:p w14:paraId="48CD93BE" w14:textId="77777777" w:rsidR="00C8347B" w:rsidRPr="00563D52" w:rsidRDefault="00C8347B" w:rsidP="00C8347B">
      <w:pPr>
        <w:ind w:right="24"/>
        <w:rPr>
          <w:szCs w:val="22"/>
          <w:lang w:val="pt-BR"/>
        </w:rPr>
      </w:pPr>
    </w:p>
    <w:p w14:paraId="11A9BF1C" w14:textId="77777777" w:rsidR="00C8347B" w:rsidRPr="00563D52" w:rsidRDefault="00C8347B" w:rsidP="00C8347B">
      <w:pPr>
        <w:pStyle w:val="0"/>
        <w:widowControl/>
        <w:numPr>
          <w:ilvl w:val="1"/>
          <w:numId w:val="23"/>
        </w:numPr>
        <w:tabs>
          <w:tab w:val="left" w:pos="720"/>
          <w:tab w:val="left" w:pos="1080"/>
          <w:tab w:val="left" w:pos="1440"/>
        </w:tabs>
        <w:spacing w:line="240" w:lineRule="auto"/>
        <w:ind w:right="24"/>
        <w:jc w:val="both"/>
        <w:rPr>
          <w:sz w:val="22"/>
          <w:szCs w:val="22"/>
          <w:lang w:val="pt-BR"/>
        </w:rPr>
      </w:pPr>
      <w:r w:rsidRPr="00563D52">
        <w:rPr>
          <w:sz w:val="22"/>
          <w:szCs w:val="22"/>
          <w:lang w:val="pt-BR"/>
        </w:rPr>
        <w:t>Conselho Interamericano de Desenvolvimento Integral (CIDI)</w:t>
      </w:r>
    </w:p>
    <w:p w14:paraId="38155BE8" w14:textId="77777777" w:rsidR="00C8347B" w:rsidRPr="00563D52" w:rsidRDefault="00C8347B" w:rsidP="00C8347B">
      <w:pPr>
        <w:pStyle w:val="0"/>
        <w:widowControl/>
        <w:numPr>
          <w:ilvl w:val="1"/>
          <w:numId w:val="23"/>
        </w:numPr>
        <w:tabs>
          <w:tab w:val="left" w:pos="720"/>
          <w:tab w:val="left" w:pos="1080"/>
          <w:tab w:val="left" w:pos="1440"/>
        </w:tabs>
        <w:spacing w:line="240" w:lineRule="auto"/>
        <w:ind w:right="24"/>
        <w:jc w:val="both"/>
        <w:rPr>
          <w:sz w:val="22"/>
          <w:szCs w:val="22"/>
          <w:lang w:val="pt-BR"/>
        </w:rPr>
      </w:pPr>
      <w:r w:rsidRPr="00563D52">
        <w:rPr>
          <w:sz w:val="22"/>
          <w:szCs w:val="22"/>
          <w:lang w:val="pt-BR"/>
        </w:rPr>
        <w:t xml:space="preserve">Comissão Jurídica Interamericana (CJI) </w:t>
      </w:r>
    </w:p>
    <w:p w14:paraId="267398BE" w14:textId="77777777" w:rsidR="00C8347B" w:rsidRPr="00563D52" w:rsidRDefault="00C8347B" w:rsidP="00C8347B">
      <w:pPr>
        <w:pStyle w:val="0"/>
        <w:widowControl/>
        <w:numPr>
          <w:ilvl w:val="1"/>
          <w:numId w:val="23"/>
        </w:numPr>
        <w:tabs>
          <w:tab w:val="left" w:pos="720"/>
          <w:tab w:val="left" w:pos="1080"/>
          <w:tab w:val="left" w:pos="1440"/>
        </w:tabs>
        <w:spacing w:line="240" w:lineRule="auto"/>
        <w:ind w:right="24"/>
        <w:jc w:val="both"/>
        <w:rPr>
          <w:sz w:val="22"/>
          <w:szCs w:val="22"/>
          <w:lang w:val="pt-BR"/>
        </w:rPr>
      </w:pPr>
      <w:r w:rsidRPr="00563D52">
        <w:rPr>
          <w:sz w:val="22"/>
          <w:szCs w:val="22"/>
          <w:lang w:val="pt-BR"/>
        </w:rPr>
        <w:t>Comissão Interamericana de Direitos Humanos (CIDH)</w:t>
      </w:r>
    </w:p>
    <w:p w14:paraId="3BB7731C" w14:textId="77777777" w:rsidR="00C8347B" w:rsidRPr="00563D52" w:rsidRDefault="00C8347B" w:rsidP="00C8347B">
      <w:pPr>
        <w:pStyle w:val="0"/>
        <w:widowControl/>
        <w:numPr>
          <w:ilvl w:val="1"/>
          <w:numId w:val="23"/>
        </w:numPr>
        <w:tabs>
          <w:tab w:val="left" w:pos="720"/>
          <w:tab w:val="left" w:pos="1080"/>
          <w:tab w:val="left" w:pos="1440"/>
        </w:tabs>
        <w:spacing w:line="240" w:lineRule="auto"/>
        <w:ind w:right="24"/>
        <w:jc w:val="both"/>
        <w:rPr>
          <w:sz w:val="22"/>
          <w:szCs w:val="22"/>
          <w:lang w:val="pt-BR"/>
        </w:rPr>
      </w:pPr>
      <w:r w:rsidRPr="00563D52">
        <w:rPr>
          <w:sz w:val="22"/>
          <w:szCs w:val="22"/>
          <w:lang w:val="pt-BR"/>
        </w:rPr>
        <w:t>Corte Interamericana de Direitos Humanos</w:t>
      </w:r>
    </w:p>
    <w:p w14:paraId="07C7DAF5" w14:textId="77777777" w:rsidR="00C8347B" w:rsidRPr="00563D52" w:rsidRDefault="00C8347B" w:rsidP="00C8347B">
      <w:pPr>
        <w:pStyle w:val="0"/>
        <w:widowControl/>
        <w:numPr>
          <w:ilvl w:val="1"/>
          <w:numId w:val="23"/>
        </w:numPr>
        <w:tabs>
          <w:tab w:val="left" w:pos="720"/>
          <w:tab w:val="left" w:pos="1080"/>
          <w:tab w:val="left" w:pos="1440"/>
        </w:tabs>
        <w:spacing w:line="240" w:lineRule="auto"/>
        <w:ind w:right="24"/>
        <w:jc w:val="both"/>
        <w:rPr>
          <w:sz w:val="22"/>
          <w:szCs w:val="22"/>
          <w:lang w:val="pt-BR"/>
        </w:rPr>
      </w:pPr>
      <w:r w:rsidRPr="00563D52">
        <w:rPr>
          <w:sz w:val="22"/>
          <w:szCs w:val="22"/>
          <w:lang w:val="pt-BR"/>
        </w:rPr>
        <w:t>Instituto Interamericano de Cooperação para a Agricultura (IICA)</w:t>
      </w:r>
    </w:p>
    <w:p w14:paraId="19279E0E" w14:textId="77777777" w:rsidR="00C8347B" w:rsidRPr="00563D52" w:rsidRDefault="00C8347B" w:rsidP="00C8347B">
      <w:pPr>
        <w:pStyle w:val="0"/>
        <w:widowControl/>
        <w:numPr>
          <w:ilvl w:val="1"/>
          <w:numId w:val="23"/>
        </w:numPr>
        <w:tabs>
          <w:tab w:val="left" w:pos="720"/>
          <w:tab w:val="left" w:pos="1080"/>
        </w:tabs>
        <w:spacing w:line="240" w:lineRule="auto"/>
        <w:ind w:right="24"/>
        <w:jc w:val="both"/>
        <w:rPr>
          <w:sz w:val="22"/>
          <w:szCs w:val="22"/>
          <w:lang w:val="pt-BR"/>
        </w:rPr>
      </w:pPr>
      <w:r w:rsidRPr="00563D52">
        <w:rPr>
          <w:sz w:val="22"/>
          <w:szCs w:val="22"/>
          <w:lang w:val="pt-BR"/>
        </w:rPr>
        <w:t>Organização Pan-Americana da Saúde (OPAS)</w:t>
      </w:r>
    </w:p>
    <w:p w14:paraId="1FE749A4" w14:textId="77777777" w:rsidR="00C8347B" w:rsidRPr="00563D52" w:rsidRDefault="00C8347B" w:rsidP="00C8347B">
      <w:pPr>
        <w:pStyle w:val="0"/>
        <w:widowControl/>
        <w:numPr>
          <w:ilvl w:val="1"/>
          <w:numId w:val="23"/>
        </w:numPr>
        <w:tabs>
          <w:tab w:val="left" w:pos="720"/>
          <w:tab w:val="left" w:pos="1080"/>
          <w:tab w:val="left" w:pos="1440"/>
          <w:tab w:val="left" w:pos="2880"/>
        </w:tabs>
        <w:spacing w:line="240" w:lineRule="auto"/>
        <w:ind w:right="24"/>
        <w:jc w:val="both"/>
        <w:rPr>
          <w:sz w:val="22"/>
          <w:szCs w:val="22"/>
          <w:lang w:val="pt-BR"/>
        </w:rPr>
      </w:pPr>
      <w:r w:rsidRPr="00563D52">
        <w:rPr>
          <w:sz w:val="22"/>
          <w:szCs w:val="22"/>
          <w:lang w:val="pt-BR"/>
        </w:rPr>
        <w:t>Tribunal Administrativo (TRIBAD)</w:t>
      </w:r>
    </w:p>
    <w:p w14:paraId="0700E828" w14:textId="77777777" w:rsidR="00C8347B" w:rsidRPr="00563D52" w:rsidRDefault="00C8347B" w:rsidP="00C8347B">
      <w:pPr>
        <w:pStyle w:val="0"/>
        <w:widowControl/>
        <w:numPr>
          <w:ilvl w:val="1"/>
          <w:numId w:val="23"/>
        </w:numPr>
        <w:tabs>
          <w:tab w:val="left" w:pos="720"/>
          <w:tab w:val="left" w:pos="1080"/>
          <w:tab w:val="left" w:pos="1440"/>
          <w:tab w:val="left" w:pos="2880"/>
        </w:tabs>
        <w:spacing w:line="240" w:lineRule="auto"/>
        <w:ind w:right="24"/>
        <w:jc w:val="both"/>
        <w:rPr>
          <w:sz w:val="22"/>
          <w:szCs w:val="22"/>
          <w:lang w:val="pt-BR"/>
        </w:rPr>
      </w:pPr>
      <w:r w:rsidRPr="00563D52">
        <w:rPr>
          <w:sz w:val="22"/>
          <w:szCs w:val="22"/>
          <w:lang w:val="pt-BR"/>
        </w:rPr>
        <w:t>Comissão Interamericana de Mulheres (CIM)</w:t>
      </w:r>
    </w:p>
    <w:p w14:paraId="48D6F643" w14:textId="77777777" w:rsidR="00C8347B" w:rsidRPr="00563D52" w:rsidRDefault="00C8347B" w:rsidP="00C8347B">
      <w:pPr>
        <w:pStyle w:val="0"/>
        <w:widowControl/>
        <w:numPr>
          <w:ilvl w:val="1"/>
          <w:numId w:val="23"/>
        </w:numPr>
        <w:tabs>
          <w:tab w:val="left" w:pos="720"/>
          <w:tab w:val="left" w:pos="1080"/>
          <w:tab w:val="left" w:pos="1440"/>
          <w:tab w:val="left" w:pos="2880"/>
        </w:tabs>
        <w:spacing w:line="240" w:lineRule="auto"/>
        <w:ind w:right="24"/>
        <w:jc w:val="both"/>
        <w:rPr>
          <w:sz w:val="22"/>
          <w:szCs w:val="22"/>
          <w:lang w:val="pt-BR"/>
        </w:rPr>
      </w:pPr>
      <w:r w:rsidRPr="00563D52">
        <w:rPr>
          <w:sz w:val="22"/>
          <w:szCs w:val="22"/>
          <w:lang w:val="pt-BR"/>
        </w:rPr>
        <w:lastRenderedPageBreak/>
        <w:t xml:space="preserve">Comissão Interamericana de Telecomunicações (CITEL) </w:t>
      </w:r>
    </w:p>
    <w:p w14:paraId="79B236DD" w14:textId="77777777" w:rsidR="00C8347B" w:rsidRPr="00563D52" w:rsidRDefault="00C8347B" w:rsidP="00C8347B">
      <w:pPr>
        <w:pStyle w:val="0"/>
        <w:widowControl/>
        <w:numPr>
          <w:ilvl w:val="1"/>
          <w:numId w:val="23"/>
        </w:numPr>
        <w:tabs>
          <w:tab w:val="left" w:pos="720"/>
          <w:tab w:val="left" w:pos="1080"/>
          <w:tab w:val="left" w:pos="1440"/>
          <w:tab w:val="left" w:pos="2880"/>
        </w:tabs>
        <w:spacing w:line="240" w:lineRule="auto"/>
        <w:ind w:right="24"/>
        <w:jc w:val="both"/>
        <w:rPr>
          <w:sz w:val="22"/>
          <w:szCs w:val="22"/>
          <w:lang w:val="pt-BR"/>
        </w:rPr>
      </w:pPr>
      <w:r w:rsidRPr="00563D52">
        <w:rPr>
          <w:sz w:val="22"/>
          <w:szCs w:val="22"/>
          <w:lang w:val="pt-BR"/>
        </w:rPr>
        <w:t>Comissão Interamericana para o Controle do Abuso de Drogas (CICAD)</w:t>
      </w:r>
    </w:p>
    <w:p w14:paraId="44EFA3E9" w14:textId="77777777" w:rsidR="00C8347B" w:rsidRPr="00563D52" w:rsidRDefault="00C8347B" w:rsidP="00C8347B">
      <w:pPr>
        <w:pStyle w:val="0"/>
        <w:widowControl/>
        <w:numPr>
          <w:ilvl w:val="1"/>
          <w:numId w:val="23"/>
        </w:numPr>
        <w:tabs>
          <w:tab w:val="left" w:pos="720"/>
          <w:tab w:val="left" w:pos="1080"/>
          <w:tab w:val="left" w:pos="1440"/>
          <w:tab w:val="left" w:pos="2880"/>
        </w:tabs>
        <w:spacing w:line="240" w:lineRule="auto"/>
        <w:ind w:right="24"/>
        <w:jc w:val="both"/>
        <w:rPr>
          <w:sz w:val="22"/>
          <w:szCs w:val="22"/>
          <w:lang w:val="pt-BR"/>
        </w:rPr>
      </w:pPr>
      <w:r w:rsidRPr="00563D52">
        <w:rPr>
          <w:sz w:val="22"/>
          <w:szCs w:val="22"/>
          <w:lang w:val="pt-BR"/>
        </w:rPr>
        <w:t>Instituto Interamericano da Criança e do Adolescente (IIN)</w:t>
      </w:r>
    </w:p>
    <w:p w14:paraId="38700394" w14:textId="77777777" w:rsidR="00C8347B" w:rsidRPr="00563D52" w:rsidRDefault="00C8347B" w:rsidP="00C8347B">
      <w:pPr>
        <w:pStyle w:val="0"/>
        <w:widowControl/>
        <w:numPr>
          <w:ilvl w:val="1"/>
          <w:numId w:val="23"/>
        </w:numPr>
        <w:tabs>
          <w:tab w:val="left" w:pos="720"/>
          <w:tab w:val="left" w:pos="1080"/>
          <w:tab w:val="left" w:pos="1440"/>
          <w:tab w:val="left" w:pos="2880"/>
        </w:tabs>
        <w:spacing w:line="240" w:lineRule="auto"/>
        <w:ind w:right="24"/>
        <w:rPr>
          <w:sz w:val="22"/>
          <w:szCs w:val="22"/>
          <w:lang w:val="pt-BR"/>
        </w:rPr>
      </w:pPr>
      <w:r w:rsidRPr="00563D52">
        <w:rPr>
          <w:sz w:val="22"/>
          <w:szCs w:val="22"/>
          <w:lang w:val="pt-BR"/>
        </w:rPr>
        <w:t>Instituto Pan-Americano de Geografia e História (IPGH)</w:t>
      </w:r>
    </w:p>
    <w:p w14:paraId="3C4607C1" w14:textId="77777777" w:rsidR="00C8347B" w:rsidRPr="00563D52" w:rsidRDefault="00C8347B" w:rsidP="00C8347B">
      <w:pPr>
        <w:pStyle w:val="0"/>
        <w:widowControl/>
        <w:numPr>
          <w:ilvl w:val="1"/>
          <w:numId w:val="23"/>
        </w:numPr>
        <w:tabs>
          <w:tab w:val="left" w:pos="720"/>
          <w:tab w:val="left" w:pos="1080"/>
          <w:tab w:val="left" w:pos="1440"/>
          <w:tab w:val="left" w:pos="2880"/>
        </w:tabs>
        <w:spacing w:line="240" w:lineRule="auto"/>
        <w:ind w:right="24"/>
        <w:rPr>
          <w:sz w:val="22"/>
          <w:szCs w:val="22"/>
          <w:lang w:val="pt-BR"/>
        </w:rPr>
      </w:pPr>
      <w:r w:rsidRPr="00563D52">
        <w:rPr>
          <w:sz w:val="22"/>
          <w:szCs w:val="22"/>
          <w:lang w:val="pt-BR"/>
        </w:rPr>
        <w:t>Centro de Estudos da Justiça das Américas (CEJA)</w:t>
      </w:r>
    </w:p>
    <w:p w14:paraId="65A4396C" w14:textId="77777777" w:rsidR="00C8347B" w:rsidRPr="00563D52" w:rsidRDefault="00C8347B" w:rsidP="00C8347B">
      <w:pPr>
        <w:pStyle w:val="0"/>
        <w:widowControl/>
        <w:numPr>
          <w:ilvl w:val="1"/>
          <w:numId w:val="23"/>
        </w:numPr>
        <w:tabs>
          <w:tab w:val="left" w:pos="720"/>
          <w:tab w:val="left" w:pos="1080"/>
          <w:tab w:val="left" w:pos="1440"/>
          <w:tab w:val="left" w:pos="2880"/>
        </w:tabs>
        <w:spacing w:line="240" w:lineRule="auto"/>
        <w:ind w:right="24"/>
        <w:rPr>
          <w:sz w:val="22"/>
          <w:szCs w:val="22"/>
          <w:lang w:val="pt-BR"/>
        </w:rPr>
      </w:pPr>
      <w:r w:rsidRPr="00563D52">
        <w:rPr>
          <w:sz w:val="22"/>
          <w:szCs w:val="22"/>
          <w:lang w:val="pt-BR"/>
        </w:rPr>
        <w:t>Comitê Interamericano contra o Terrorismo (CICTE)</w:t>
      </w:r>
    </w:p>
    <w:p w14:paraId="683BDAEB" w14:textId="77777777" w:rsidR="00C8347B" w:rsidRPr="00563D52" w:rsidRDefault="00C8347B" w:rsidP="00C8347B">
      <w:pPr>
        <w:pStyle w:val="0"/>
        <w:widowControl/>
        <w:numPr>
          <w:ilvl w:val="1"/>
          <w:numId w:val="23"/>
        </w:numPr>
        <w:tabs>
          <w:tab w:val="left" w:pos="720"/>
          <w:tab w:val="left" w:pos="1080"/>
          <w:tab w:val="left" w:pos="1440"/>
          <w:tab w:val="left" w:pos="2880"/>
        </w:tabs>
        <w:spacing w:line="240" w:lineRule="auto"/>
        <w:ind w:right="24"/>
        <w:rPr>
          <w:sz w:val="22"/>
          <w:szCs w:val="22"/>
          <w:lang w:val="pt-BR"/>
        </w:rPr>
      </w:pPr>
      <w:r w:rsidRPr="00563D52">
        <w:rPr>
          <w:sz w:val="22"/>
          <w:szCs w:val="22"/>
          <w:lang w:val="pt-BR"/>
        </w:rPr>
        <w:t>Junta Interamericana de Defesa (JID)</w:t>
      </w:r>
    </w:p>
    <w:p w14:paraId="5B4A5EC8" w14:textId="77777777" w:rsidR="00C8347B" w:rsidRPr="00563D52" w:rsidRDefault="00C8347B" w:rsidP="00C8347B">
      <w:pPr>
        <w:pStyle w:val="0"/>
        <w:widowControl/>
        <w:tabs>
          <w:tab w:val="left" w:pos="360"/>
          <w:tab w:val="left" w:pos="720"/>
          <w:tab w:val="left" w:pos="1440"/>
          <w:tab w:val="left" w:pos="2160"/>
          <w:tab w:val="left" w:pos="2880"/>
        </w:tabs>
        <w:spacing w:line="240" w:lineRule="auto"/>
        <w:ind w:right="24"/>
        <w:rPr>
          <w:sz w:val="22"/>
          <w:szCs w:val="22"/>
          <w:lang w:val="pt-BR"/>
        </w:rPr>
      </w:pPr>
    </w:p>
    <w:p w14:paraId="4F2310B2" w14:textId="4622A7A8" w:rsidR="00C8347B" w:rsidRPr="00563D52" w:rsidRDefault="00C8347B" w:rsidP="00C8347B">
      <w:pPr>
        <w:numPr>
          <w:ilvl w:val="0"/>
          <w:numId w:val="22"/>
        </w:numPr>
        <w:ind w:right="24"/>
        <w:rPr>
          <w:szCs w:val="22"/>
          <w:lang w:val="pt-BR"/>
        </w:rPr>
      </w:pPr>
      <w:r w:rsidRPr="00563D52">
        <w:rPr>
          <w:szCs w:val="22"/>
          <w:lang w:val="pt-BR"/>
        </w:rPr>
        <w:t xml:space="preserve">Determinação da sede e data do Quinquagésimo </w:t>
      </w:r>
      <w:r w:rsidR="00DC1C92" w:rsidRPr="00563D52">
        <w:rPr>
          <w:szCs w:val="22"/>
          <w:lang w:val="pt-BR"/>
        </w:rPr>
        <w:t>Segundo</w:t>
      </w:r>
      <w:r w:rsidRPr="00563D52">
        <w:rPr>
          <w:szCs w:val="22"/>
          <w:lang w:val="pt-BR"/>
        </w:rPr>
        <w:t xml:space="preserve"> Período Ordinário de Sessões </w:t>
      </w:r>
    </w:p>
    <w:p w14:paraId="0F44680A" w14:textId="77777777" w:rsidR="00C8347B" w:rsidRPr="00563D52" w:rsidRDefault="00C8347B" w:rsidP="00C8347B">
      <w:pPr>
        <w:ind w:right="24"/>
        <w:rPr>
          <w:szCs w:val="22"/>
          <w:lang w:val="pt-BR"/>
        </w:rPr>
      </w:pPr>
    </w:p>
    <w:p w14:paraId="4E580646" w14:textId="5CB8C5CD" w:rsidR="00C8347B" w:rsidRPr="00563D52" w:rsidRDefault="00C8347B" w:rsidP="00C8347B">
      <w:pPr>
        <w:numPr>
          <w:ilvl w:val="0"/>
          <w:numId w:val="22"/>
        </w:numPr>
        <w:ind w:right="24"/>
        <w:rPr>
          <w:szCs w:val="22"/>
          <w:lang w:val="pt-BR"/>
        </w:rPr>
      </w:pPr>
      <w:r w:rsidRPr="00563D52">
        <w:rPr>
          <w:szCs w:val="22"/>
          <w:lang w:val="pt-BR"/>
        </w:rPr>
        <w:t>Eleição das autoridades dos órgãos, organismos e entidades da Organização</w:t>
      </w:r>
    </w:p>
    <w:p w14:paraId="21F57F94" w14:textId="77777777" w:rsidR="00C8347B" w:rsidRPr="00563D52" w:rsidRDefault="00C8347B" w:rsidP="00C8347B">
      <w:pPr>
        <w:ind w:right="24"/>
        <w:rPr>
          <w:szCs w:val="22"/>
          <w:lang w:val="pt-BR"/>
        </w:rPr>
      </w:pPr>
    </w:p>
    <w:p w14:paraId="1CB902CA" w14:textId="652774F2" w:rsidR="00DC1C92" w:rsidRPr="00563D52" w:rsidRDefault="00C8347B" w:rsidP="00C8347B">
      <w:pPr>
        <w:pStyle w:val="0"/>
        <w:widowControl/>
        <w:numPr>
          <w:ilvl w:val="2"/>
          <w:numId w:val="24"/>
        </w:numPr>
        <w:tabs>
          <w:tab w:val="left" w:pos="720"/>
          <w:tab w:val="left" w:pos="1080"/>
          <w:tab w:val="left" w:pos="1440"/>
          <w:tab w:val="num" w:pos="2160"/>
        </w:tabs>
        <w:spacing w:line="240" w:lineRule="auto"/>
        <w:ind w:hanging="1080"/>
        <w:jc w:val="both"/>
        <w:rPr>
          <w:sz w:val="22"/>
          <w:szCs w:val="22"/>
          <w:lang w:val="pt-BR"/>
        </w:rPr>
      </w:pPr>
      <w:r w:rsidRPr="00563D52">
        <w:rPr>
          <w:sz w:val="22"/>
          <w:szCs w:val="22"/>
          <w:lang w:val="pt-BR"/>
        </w:rPr>
        <w:t xml:space="preserve">Três membros da </w:t>
      </w:r>
      <w:r w:rsidR="00DC1C92" w:rsidRPr="00563D52">
        <w:rPr>
          <w:sz w:val="22"/>
          <w:szCs w:val="22"/>
          <w:lang w:val="pt-BR"/>
        </w:rPr>
        <w:t>Comissão Interamericana de Direitos Humanos (CIDH)</w:t>
      </w:r>
    </w:p>
    <w:p w14:paraId="622C0391" w14:textId="0621E2B9" w:rsidR="00C8347B" w:rsidRPr="00563D52" w:rsidRDefault="00DC1C92" w:rsidP="00C8347B">
      <w:pPr>
        <w:pStyle w:val="0"/>
        <w:widowControl/>
        <w:numPr>
          <w:ilvl w:val="2"/>
          <w:numId w:val="24"/>
        </w:numPr>
        <w:tabs>
          <w:tab w:val="left" w:pos="720"/>
          <w:tab w:val="left" w:pos="1080"/>
          <w:tab w:val="left" w:pos="1440"/>
          <w:tab w:val="num" w:pos="2160"/>
        </w:tabs>
        <w:spacing w:line="240" w:lineRule="auto"/>
        <w:ind w:hanging="1080"/>
        <w:jc w:val="both"/>
        <w:rPr>
          <w:sz w:val="22"/>
          <w:szCs w:val="22"/>
          <w:lang w:val="pt-BR"/>
        </w:rPr>
      </w:pPr>
      <w:r w:rsidRPr="00563D52">
        <w:rPr>
          <w:sz w:val="22"/>
          <w:szCs w:val="22"/>
          <w:lang w:val="pt-BR"/>
        </w:rPr>
        <w:t>Quatro membros da Corte Interamericana de Direitos Humanos</w:t>
      </w:r>
    </w:p>
    <w:p w14:paraId="69FF8881" w14:textId="624C9D9E" w:rsidR="00DC1C92" w:rsidRPr="00563D52" w:rsidRDefault="00C8347B" w:rsidP="00C8347B">
      <w:pPr>
        <w:pStyle w:val="0"/>
        <w:widowControl/>
        <w:numPr>
          <w:ilvl w:val="2"/>
          <w:numId w:val="24"/>
        </w:numPr>
        <w:tabs>
          <w:tab w:val="left" w:pos="720"/>
          <w:tab w:val="left" w:pos="1080"/>
          <w:tab w:val="left" w:pos="1440"/>
          <w:tab w:val="num" w:pos="2160"/>
        </w:tabs>
        <w:spacing w:line="240" w:lineRule="auto"/>
        <w:ind w:hanging="1080"/>
        <w:jc w:val="both"/>
        <w:rPr>
          <w:sz w:val="22"/>
          <w:szCs w:val="22"/>
          <w:lang w:val="pt-BR"/>
        </w:rPr>
      </w:pPr>
      <w:r w:rsidRPr="00563D52">
        <w:rPr>
          <w:sz w:val="22"/>
          <w:szCs w:val="22"/>
          <w:lang w:val="pt-BR"/>
        </w:rPr>
        <w:t>Três membros d</w:t>
      </w:r>
      <w:r w:rsidR="00DC1C92" w:rsidRPr="00563D52">
        <w:rPr>
          <w:sz w:val="22"/>
          <w:szCs w:val="22"/>
          <w:lang w:val="pt-BR"/>
        </w:rPr>
        <w:t>a Comissão Jurídica Interamericana (CJI)</w:t>
      </w:r>
    </w:p>
    <w:p w14:paraId="4D91B15C" w14:textId="5B9EEF37" w:rsidR="00C8347B" w:rsidRPr="00563D52" w:rsidRDefault="00DC1C92" w:rsidP="00C8347B">
      <w:pPr>
        <w:pStyle w:val="0"/>
        <w:widowControl/>
        <w:numPr>
          <w:ilvl w:val="2"/>
          <w:numId w:val="24"/>
        </w:numPr>
        <w:tabs>
          <w:tab w:val="left" w:pos="720"/>
          <w:tab w:val="left" w:pos="1080"/>
          <w:tab w:val="left" w:pos="1440"/>
          <w:tab w:val="num" w:pos="2160"/>
        </w:tabs>
        <w:spacing w:line="240" w:lineRule="auto"/>
        <w:ind w:hanging="1080"/>
        <w:jc w:val="both"/>
        <w:rPr>
          <w:sz w:val="22"/>
          <w:szCs w:val="22"/>
          <w:lang w:val="pt-BR"/>
        </w:rPr>
      </w:pPr>
      <w:r w:rsidRPr="00563D52">
        <w:rPr>
          <w:sz w:val="22"/>
          <w:szCs w:val="22"/>
          <w:lang w:val="pt-BR"/>
        </w:rPr>
        <w:t>Dois membros do C</w:t>
      </w:r>
      <w:r w:rsidR="00C8347B" w:rsidRPr="00563D52">
        <w:rPr>
          <w:sz w:val="22"/>
          <w:szCs w:val="22"/>
          <w:lang w:val="pt-BR"/>
        </w:rPr>
        <w:t>entro de Estudos da Justiça das Américas</w:t>
      </w:r>
      <w:r w:rsidRPr="00563D52">
        <w:rPr>
          <w:sz w:val="22"/>
          <w:szCs w:val="22"/>
          <w:lang w:val="pt-BR"/>
        </w:rPr>
        <w:t xml:space="preserve"> (CEJA)</w:t>
      </w:r>
    </w:p>
    <w:p w14:paraId="694DEE89" w14:textId="02F7912A" w:rsidR="00C8347B" w:rsidRPr="00563D52" w:rsidRDefault="00C8347B" w:rsidP="00C8347B">
      <w:pPr>
        <w:pStyle w:val="0"/>
        <w:widowControl/>
        <w:numPr>
          <w:ilvl w:val="2"/>
          <w:numId w:val="24"/>
        </w:numPr>
        <w:tabs>
          <w:tab w:val="left" w:pos="720"/>
          <w:tab w:val="left" w:pos="1080"/>
          <w:tab w:val="left" w:pos="1440"/>
          <w:tab w:val="num" w:pos="2160"/>
        </w:tabs>
        <w:spacing w:line="240" w:lineRule="auto"/>
        <w:ind w:left="2160"/>
        <w:jc w:val="both"/>
        <w:rPr>
          <w:sz w:val="22"/>
          <w:szCs w:val="22"/>
          <w:lang w:val="pt-BR"/>
        </w:rPr>
      </w:pPr>
      <w:r w:rsidRPr="00563D52">
        <w:rPr>
          <w:sz w:val="22"/>
          <w:szCs w:val="22"/>
          <w:lang w:val="pt-BR"/>
        </w:rPr>
        <w:t xml:space="preserve">Um membro do Tribunal Administrativo </w:t>
      </w:r>
      <w:r w:rsidR="00DC1C92" w:rsidRPr="00563D52">
        <w:rPr>
          <w:sz w:val="22"/>
          <w:szCs w:val="22"/>
          <w:lang w:val="pt-BR"/>
        </w:rPr>
        <w:t>(TRIBAD)</w:t>
      </w:r>
      <w:r w:rsidRPr="00563D52">
        <w:rPr>
          <w:sz w:val="22"/>
          <w:szCs w:val="22"/>
          <w:lang w:val="pt-BR"/>
        </w:rPr>
        <w:t xml:space="preserve"> </w:t>
      </w:r>
    </w:p>
    <w:p w14:paraId="371124FF" w14:textId="54AE1DC4" w:rsidR="00C8347B" w:rsidRPr="00563D52" w:rsidRDefault="00C8347B" w:rsidP="007E7075">
      <w:pPr>
        <w:pStyle w:val="0"/>
        <w:widowControl/>
        <w:numPr>
          <w:ilvl w:val="2"/>
          <w:numId w:val="24"/>
        </w:numPr>
        <w:tabs>
          <w:tab w:val="left" w:pos="720"/>
          <w:tab w:val="left" w:pos="1080"/>
          <w:tab w:val="left" w:pos="1440"/>
          <w:tab w:val="num" w:pos="2160"/>
        </w:tabs>
        <w:spacing w:line="240" w:lineRule="auto"/>
        <w:ind w:left="2160" w:right="24"/>
        <w:jc w:val="both"/>
        <w:rPr>
          <w:sz w:val="22"/>
          <w:szCs w:val="22"/>
          <w:lang w:val="pt-BR"/>
        </w:rPr>
      </w:pPr>
      <w:r w:rsidRPr="00563D52">
        <w:rPr>
          <w:sz w:val="22"/>
          <w:szCs w:val="22"/>
          <w:lang w:val="pt-BR"/>
        </w:rPr>
        <w:t>Um membro da Junta de Auditores Externos</w:t>
      </w:r>
    </w:p>
    <w:p w14:paraId="36B8DBD2" w14:textId="77777777" w:rsidR="00DC1C92" w:rsidRPr="00563D52" w:rsidRDefault="00DC1C92" w:rsidP="00CF58A9">
      <w:pPr>
        <w:pStyle w:val="0"/>
        <w:widowControl/>
        <w:tabs>
          <w:tab w:val="left" w:pos="720"/>
          <w:tab w:val="left" w:pos="1080"/>
          <w:tab w:val="left" w:pos="1440"/>
        </w:tabs>
        <w:spacing w:line="240" w:lineRule="auto"/>
        <w:ind w:right="24"/>
        <w:jc w:val="both"/>
        <w:rPr>
          <w:sz w:val="22"/>
          <w:szCs w:val="22"/>
          <w:lang w:val="pt-BR"/>
        </w:rPr>
      </w:pPr>
    </w:p>
    <w:p w14:paraId="27C51066" w14:textId="57AEFBB0" w:rsidR="00C8347B" w:rsidRPr="00563D52" w:rsidRDefault="00C8347B" w:rsidP="00C8347B">
      <w:pPr>
        <w:numPr>
          <w:ilvl w:val="0"/>
          <w:numId w:val="22"/>
        </w:numPr>
        <w:ind w:right="24"/>
        <w:rPr>
          <w:szCs w:val="22"/>
          <w:lang w:val="pt-BR"/>
        </w:rPr>
      </w:pPr>
      <w:r w:rsidRPr="00563D52">
        <w:rPr>
          <w:szCs w:val="22"/>
          <w:lang w:val="pt-BR"/>
        </w:rPr>
        <w:t>A questão das Ilhas Malvinas</w:t>
      </w:r>
    </w:p>
    <w:p w14:paraId="42DB67F7" w14:textId="77777777" w:rsidR="00C8347B" w:rsidRPr="00563D52" w:rsidRDefault="00C8347B" w:rsidP="00C8347B">
      <w:pPr>
        <w:rPr>
          <w:szCs w:val="22"/>
          <w:lang w:val="pt-BR"/>
        </w:rPr>
      </w:pPr>
    </w:p>
    <w:p w14:paraId="6F864719" w14:textId="77777777" w:rsidR="00C8347B" w:rsidRPr="00563D52" w:rsidRDefault="00C8347B" w:rsidP="00C8347B">
      <w:pPr>
        <w:numPr>
          <w:ilvl w:val="0"/>
          <w:numId w:val="22"/>
        </w:numPr>
        <w:ind w:right="24"/>
        <w:rPr>
          <w:lang w:val="pt-BR"/>
        </w:rPr>
      </w:pPr>
      <w:r w:rsidRPr="00563D52">
        <w:rPr>
          <w:lang w:val="pt-BR"/>
        </w:rPr>
        <w:t>Projeto de resolução: “Promoção e proteção dos direitos humanos”</w:t>
      </w:r>
    </w:p>
    <w:p w14:paraId="28669ADA" w14:textId="77777777" w:rsidR="004519B2" w:rsidRPr="00563D52" w:rsidRDefault="004519B2" w:rsidP="00CF58A9">
      <w:pPr>
        <w:ind w:right="24"/>
        <w:rPr>
          <w:lang w:val="pt-BR"/>
        </w:rPr>
      </w:pPr>
    </w:p>
    <w:p w14:paraId="0D626EA4" w14:textId="4E583142" w:rsidR="00C8347B" w:rsidRPr="00563D52" w:rsidRDefault="00C8347B" w:rsidP="00C8347B">
      <w:pPr>
        <w:numPr>
          <w:ilvl w:val="0"/>
          <w:numId w:val="22"/>
        </w:numPr>
        <w:ind w:right="24"/>
        <w:rPr>
          <w:lang w:val="pt-BR"/>
        </w:rPr>
      </w:pPr>
      <w:r w:rsidRPr="00563D52">
        <w:rPr>
          <w:lang w:val="pt-BR"/>
        </w:rPr>
        <w:t>Projeto de resolução: “Fortalecimento da democracia”</w:t>
      </w:r>
    </w:p>
    <w:p w14:paraId="189F5C93" w14:textId="77777777" w:rsidR="004519B2" w:rsidRPr="00563D52" w:rsidRDefault="004519B2" w:rsidP="00CF58A9">
      <w:pPr>
        <w:ind w:right="24"/>
        <w:rPr>
          <w:lang w:val="pt-BR"/>
        </w:rPr>
      </w:pPr>
    </w:p>
    <w:p w14:paraId="143B3411" w14:textId="034F69ED" w:rsidR="00C8347B" w:rsidRPr="00563D52" w:rsidRDefault="00C8347B" w:rsidP="00C8347B">
      <w:pPr>
        <w:numPr>
          <w:ilvl w:val="0"/>
          <w:numId w:val="22"/>
        </w:numPr>
        <w:ind w:right="24"/>
        <w:rPr>
          <w:lang w:val="pt-BR"/>
        </w:rPr>
      </w:pPr>
      <w:r w:rsidRPr="00563D52">
        <w:rPr>
          <w:lang w:val="pt-BR"/>
        </w:rPr>
        <w:t>Projeto de resolução: “Direito Internacional”</w:t>
      </w:r>
    </w:p>
    <w:p w14:paraId="42F9DA4C" w14:textId="77777777" w:rsidR="004519B2" w:rsidRPr="00563D52" w:rsidRDefault="004519B2" w:rsidP="00CF58A9">
      <w:pPr>
        <w:ind w:right="24"/>
        <w:rPr>
          <w:lang w:val="pt-BR"/>
        </w:rPr>
      </w:pPr>
    </w:p>
    <w:p w14:paraId="16DB2FFD" w14:textId="34AF4514" w:rsidR="00C8347B" w:rsidRPr="00563D52" w:rsidRDefault="00C8347B" w:rsidP="00C8347B">
      <w:pPr>
        <w:numPr>
          <w:ilvl w:val="0"/>
          <w:numId w:val="22"/>
        </w:numPr>
        <w:ind w:right="24"/>
        <w:rPr>
          <w:lang w:val="pt-BR"/>
        </w:rPr>
      </w:pPr>
      <w:r w:rsidRPr="00563D52">
        <w:rPr>
          <w:lang w:val="pt-BR"/>
        </w:rPr>
        <w:t>Projeto de resolução: “Promoção da segurança hemisférica: um enfoque multidimensional”</w:t>
      </w:r>
    </w:p>
    <w:p w14:paraId="3AFF0425" w14:textId="77777777" w:rsidR="004519B2" w:rsidRPr="00563D52" w:rsidRDefault="004519B2" w:rsidP="00CF58A9">
      <w:pPr>
        <w:ind w:right="24"/>
        <w:rPr>
          <w:lang w:val="pt-BR"/>
        </w:rPr>
      </w:pPr>
    </w:p>
    <w:p w14:paraId="71CCC48A" w14:textId="06385AC6" w:rsidR="00C8347B" w:rsidRPr="00563D52" w:rsidRDefault="00C8347B" w:rsidP="00C8347B">
      <w:pPr>
        <w:numPr>
          <w:ilvl w:val="0"/>
          <w:numId w:val="22"/>
        </w:numPr>
        <w:ind w:right="24"/>
        <w:rPr>
          <w:lang w:val="pt-BR"/>
        </w:rPr>
      </w:pPr>
      <w:r w:rsidRPr="00563D52">
        <w:rPr>
          <w:lang w:val="pt-BR"/>
        </w:rPr>
        <w:t xml:space="preserve">Projeto de resolução: “Orçamento-programa da Organização </w:t>
      </w:r>
      <w:r w:rsidR="00DC1C92" w:rsidRPr="00563D52">
        <w:rPr>
          <w:lang w:val="pt-BR"/>
        </w:rPr>
        <w:t xml:space="preserve">para </w:t>
      </w:r>
      <w:r w:rsidRPr="00563D52">
        <w:rPr>
          <w:lang w:val="pt-BR"/>
        </w:rPr>
        <w:t>202</w:t>
      </w:r>
      <w:r w:rsidR="00DC1C92" w:rsidRPr="00563D52">
        <w:rPr>
          <w:lang w:val="pt-BR"/>
        </w:rPr>
        <w:t>2</w:t>
      </w:r>
      <w:r w:rsidRPr="00563D52">
        <w:rPr>
          <w:lang w:val="pt-BR"/>
        </w:rPr>
        <w:t>”</w:t>
      </w:r>
    </w:p>
    <w:p w14:paraId="3DDBC8E2" w14:textId="77777777" w:rsidR="004519B2" w:rsidRPr="00563D52" w:rsidRDefault="004519B2" w:rsidP="00CF58A9">
      <w:pPr>
        <w:ind w:right="24"/>
        <w:rPr>
          <w:lang w:val="pt-BR"/>
        </w:rPr>
      </w:pPr>
    </w:p>
    <w:p w14:paraId="579CD4D9" w14:textId="644ECB58" w:rsidR="00C8347B" w:rsidRPr="00563D52" w:rsidRDefault="00C8347B" w:rsidP="00C8347B">
      <w:pPr>
        <w:numPr>
          <w:ilvl w:val="0"/>
          <w:numId w:val="22"/>
        </w:numPr>
        <w:ind w:right="24"/>
        <w:rPr>
          <w:lang w:val="pt-BR"/>
        </w:rPr>
      </w:pPr>
      <w:r w:rsidRPr="00563D52">
        <w:rPr>
          <w:lang w:val="pt-BR"/>
        </w:rPr>
        <w:t>Projeto de resolução: “Apoio e acompanhamento do processo de Cúpulas das Américas”</w:t>
      </w:r>
    </w:p>
    <w:p w14:paraId="765D744A" w14:textId="77777777" w:rsidR="004519B2" w:rsidRPr="00563D52" w:rsidRDefault="004519B2" w:rsidP="00CF58A9">
      <w:pPr>
        <w:ind w:right="24"/>
        <w:rPr>
          <w:lang w:val="pt-BR"/>
        </w:rPr>
      </w:pPr>
    </w:p>
    <w:p w14:paraId="369E6645" w14:textId="33B65EBE" w:rsidR="00C8347B" w:rsidRPr="00563D52" w:rsidRDefault="00C8347B" w:rsidP="00C8347B">
      <w:pPr>
        <w:numPr>
          <w:ilvl w:val="0"/>
          <w:numId w:val="22"/>
        </w:numPr>
        <w:ind w:right="24"/>
        <w:rPr>
          <w:lang w:val="pt-BR"/>
        </w:rPr>
      </w:pPr>
      <w:r w:rsidRPr="00563D52">
        <w:rPr>
          <w:lang w:val="pt-BR"/>
        </w:rPr>
        <w:t xml:space="preserve">Projeto de resolução: “Aumento e fortalecimento da participação da </w:t>
      </w:r>
      <w:r w:rsidRPr="00563D52">
        <w:rPr>
          <w:sz w:val="24"/>
          <w:lang w:val="pt-BR"/>
        </w:rPr>
        <w:t>so</w:t>
      </w:r>
      <w:r w:rsidRPr="00563D52">
        <w:rPr>
          <w:lang w:val="pt-BR"/>
        </w:rPr>
        <w:t xml:space="preserve">ciedade civil e dos atores sociais nas atividades da Organização dos Estados Americanos e no </w:t>
      </w:r>
      <w:r w:rsidR="00DC1C92" w:rsidRPr="00563D52">
        <w:rPr>
          <w:lang w:val="pt-BR"/>
        </w:rPr>
        <w:t>p</w:t>
      </w:r>
      <w:r w:rsidRPr="00563D52">
        <w:rPr>
          <w:lang w:val="pt-BR"/>
        </w:rPr>
        <w:t>rocesso de Cúpulas das Américas”</w:t>
      </w:r>
    </w:p>
    <w:p w14:paraId="7E8F6022" w14:textId="77777777" w:rsidR="004519B2" w:rsidRPr="00563D52" w:rsidRDefault="004519B2" w:rsidP="00CF58A9">
      <w:pPr>
        <w:ind w:right="24"/>
        <w:rPr>
          <w:lang w:val="pt-BR"/>
        </w:rPr>
      </w:pPr>
    </w:p>
    <w:p w14:paraId="78BE4DC1" w14:textId="7A432FD8" w:rsidR="00DC1C92" w:rsidRPr="00563D52" w:rsidRDefault="00C8347B" w:rsidP="000B238F">
      <w:pPr>
        <w:numPr>
          <w:ilvl w:val="0"/>
          <w:numId w:val="22"/>
        </w:numPr>
        <w:ind w:right="24"/>
        <w:rPr>
          <w:lang w:val="pt-BR"/>
        </w:rPr>
      </w:pPr>
      <w:r w:rsidRPr="00563D52">
        <w:rPr>
          <w:lang w:val="pt-BR"/>
        </w:rPr>
        <w:t>Projeto de resolução: “Promovendo iniciativas hemisféricas em matéria de desenvolvimento integral: Promoção da resiliência”</w:t>
      </w:r>
    </w:p>
    <w:p w14:paraId="7A5ADE73" w14:textId="77777777" w:rsidR="004519B2" w:rsidRPr="00563D52" w:rsidRDefault="004519B2" w:rsidP="00CF58A9">
      <w:pPr>
        <w:ind w:right="24"/>
        <w:rPr>
          <w:szCs w:val="22"/>
          <w:lang w:val="pt-BR"/>
        </w:rPr>
      </w:pPr>
    </w:p>
    <w:p w14:paraId="119FEC5A" w14:textId="5D68037E" w:rsidR="00DC1C92" w:rsidRPr="00563D52" w:rsidRDefault="00B87990" w:rsidP="00DC1C92">
      <w:pPr>
        <w:numPr>
          <w:ilvl w:val="0"/>
          <w:numId w:val="22"/>
        </w:numPr>
        <w:ind w:right="24"/>
        <w:rPr>
          <w:szCs w:val="22"/>
          <w:lang w:val="pt-BR"/>
        </w:rPr>
      </w:pPr>
      <w:r w:rsidRPr="00563D52">
        <w:rPr>
          <w:lang w:val="pt-BR"/>
        </w:rPr>
        <w:t>Projeto de resolução</w:t>
      </w:r>
      <w:r w:rsidR="00DC1C92" w:rsidRPr="00563D52">
        <w:rPr>
          <w:szCs w:val="22"/>
          <w:lang w:val="pt-BR"/>
        </w:rPr>
        <w:t>: “Coord</w:t>
      </w:r>
      <w:r w:rsidR="006C5CD1" w:rsidRPr="00563D52">
        <w:rPr>
          <w:szCs w:val="22"/>
          <w:lang w:val="pt-BR"/>
        </w:rPr>
        <w:t>enação de volunt</w:t>
      </w:r>
      <w:r w:rsidR="00A253D2" w:rsidRPr="00563D52">
        <w:rPr>
          <w:szCs w:val="22"/>
          <w:lang w:val="pt-BR"/>
        </w:rPr>
        <w:t>á</w:t>
      </w:r>
      <w:r w:rsidR="006C5CD1" w:rsidRPr="00563D52">
        <w:rPr>
          <w:szCs w:val="22"/>
          <w:lang w:val="pt-BR"/>
        </w:rPr>
        <w:t>rios no Hemisf</w:t>
      </w:r>
      <w:r w:rsidR="00A253D2" w:rsidRPr="00563D52">
        <w:rPr>
          <w:szCs w:val="22"/>
          <w:lang w:val="pt-BR"/>
        </w:rPr>
        <w:t>é</w:t>
      </w:r>
      <w:r w:rsidR="006C5CD1" w:rsidRPr="00563D52">
        <w:rPr>
          <w:szCs w:val="22"/>
          <w:lang w:val="pt-BR"/>
        </w:rPr>
        <w:t xml:space="preserve">rio para a resposta a desastres e o combate à fome e à pobreza </w:t>
      </w:r>
      <w:r w:rsidR="00DC1C92" w:rsidRPr="00563D52">
        <w:rPr>
          <w:szCs w:val="22"/>
          <w:lang w:val="pt-BR"/>
        </w:rPr>
        <w:t>-</w:t>
      </w:r>
      <w:r w:rsidR="007722AA" w:rsidRPr="00563D52">
        <w:rPr>
          <w:szCs w:val="22"/>
          <w:lang w:val="pt-BR"/>
        </w:rPr>
        <w:t xml:space="preserve"> </w:t>
      </w:r>
      <w:r w:rsidR="00DC1C92" w:rsidRPr="00563D52">
        <w:rPr>
          <w:szCs w:val="22"/>
          <w:lang w:val="pt-BR"/>
        </w:rPr>
        <w:t xml:space="preserve">Iniciativa </w:t>
      </w:r>
      <w:r w:rsidR="007722AA" w:rsidRPr="00563D52">
        <w:rPr>
          <w:szCs w:val="22"/>
          <w:lang w:val="pt-BR"/>
        </w:rPr>
        <w:t>Capacetes Brancos</w:t>
      </w:r>
      <w:r w:rsidR="00DC1C92" w:rsidRPr="00563D52">
        <w:rPr>
          <w:szCs w:val="22"/>
          <w:lang w:val="pt-BR"/>
        </w:rPr>
        <w:t>”</w:t>
      </w:r>
    </w:p>
    <w:p w14:paraId="383A2DDE" w14:textId="77777777" w:rsidR="004519B2" w:rsidRPr="00563D52" w:rsidRDefault="004519B2" w:rsidP="00CF58A9">
      <w:pPr>
        <w:ind w:right="24"/>
        <w:rPr>
          <w:szCs w:val="22"/>
          <w:lang w:val="pt-BR"/>
        </w:rPr>
      </w:pPr>
    </w:p>
    <w:p w14:paraId="3F3AE594" w14:textId="0B14CE47" w:rsidR="00DC1C92" w:rsidRPr="00563D52" w:rsidRDefault="00B87990" w:rsidP="00DC1C92">
      <w:pPr>
        <w:numPr>
          <w:ilvl w:val="0"/>
          <w:numId w:val="22"/>
        </w:numPr>
        <w:ind w:right="24"/>
        <w:rPr>
          <w:szCs w:val="22"/>
          <w:lang w:val="pt-BR"/>
        </w:rPr>
      </w:pPr>
      <w:r w:rsidRPr="00563D52">
        <w:rPr>
          <w:lang w:val="pt-BR"/>
        </w:rPr>
        <w:t>Projeto de resolução</w:t>
      </w:r>
      <w:r w:rsidR="00DC1C92" w:rsidRPr="00563D52">
        <w:rPr>
          <w:szCs w:val="22"/>
          <w:lang w:val="pt-BR"/>
        </w:rPr>
        <w:t>: “Carta Empresarial Interamericana”</w:t>
      </w:r>
    </w:p>
    <w:p w14:paraId="009C582E" w14:textId="77777777" w:rsidR="004519B2" w:rsidRPr="00563D52" w:rsidRDefault="004519B2" w:rsidP="00CF58A9">
      <w:pPr>
        <w:ind w:right="24"/>
        <w:rPr>
          <w:szCs w:val="22"/>
          <w:lang w:val="pt-BR"/>
        </w:rPr>
      </w:pPr>
    </w:p>
    <w:p w14:paraId="51863109" w14:textId="2AFE80B5" w:rsidR="00DC1C92" w:rsidRPr="00563D52" w:rsidRDefault="00B87990" w:rsidP="00DC1C92">
      <w:pPr>
        <w:numPr>
          <w:ilvl w:val="0"/>
          <w:numId w:val="22"/>
        </w:numPr>
        <w:ind w:right="24"/>
        <w:rPr>
          <w:szCs w:val="22"/>
          <w:lang w:val="pt-BR"/>
        </w:rPr>
      </w:pPr>
      <w:r w:rsidRPr="00563D52">
        <w:rPr>
          <w:lang w:val="pt-BR"/>
        </w:rPr>
        <w:t>Projeto de resolução</w:t>
      </w:r>
      <w:r w:rsidR="00DC1C92" w:rsidRPr="00563D52">
        <w:rPr>
          <w:szCs w:val="22"/>
          <w:lang w:val="pt-BR"/>
        </w:rPr>
        <w:t>: “Papel priorit</w:t>
      </w:r>
      <w:r w:rsidR="00A253D2" w:rsidRPr="00563D52">
        <w:rPr>
          <w:szCs w:val="22"/>
          <w:lang w:val="pt-BR"/>
        </w:rPr>
        <w:t>á</w:t>
      </w:r>
      <w:r w:rsidR="00DC1C92" w:rsidRPr="00563D52">
        <w:rPr>
          <w:szCs w:val="22"/>
          <w:lang w:val="pt-BR"/>
        </w:rPr>
        <w:t>rio d</w:t>
      </w:r>
      <w:r w:rsidR="00A253D2" w:rsidRPr="00563D52">
        <w:rPr>
          <w:szCs w:val="22"/>
          <w:lang w:val="pt-BR"/>
        </w:rPr>
        <w:t xml:space="preserve">a Organização dos Estados Americanos no desenvolvimento das </w:t>
      </w:r>
      <w:r w:rsidR="00DC1C92" w:rsidRPr="00563D52">
        <w:rPr>
          <w:szCs w:val="22"/>
          <w:lang w:val="pt-BR"/>
        </w:rPr>
        <w:t>telecomunica</w:t>
      </w:r>
      <w:r w:rsidR="00A253D2" w:rsidRPr="00563D52">
        <w:rPr>
          <w:szCs w:val="22"/>
          <w:lang w:val="pt-BR"/>
        </w:rPr>
        <w:t>ções/</w:t>
      </w:r>
      <w:r w:rsidR="00DC1C92" w:rsidRPr="00563D52">
        <w:rPr>
          <w:szCs w:val="22"/>
          <w:lang w:val="pt-BR"/>
        </w:rPr>
        <w:t>tecnolog</w:t>
      </w:r>
      <w:r w:rsidR="00A253D2" w:rsidRPr="00563D52">
        <w:rPr>
          <w:szCs w:val="22"/>
          <w:lang w:val="pt-BR"/>
        </w:rPr>
        <w:t xml:space="preserve">ias da </w:t>
      </w:r>
      <w:r w:rsidR="00DC1C92" w:rsidRPr="00563D52">
        <w:rPr>
          <w:szCs w:val="22"/>
          <w:lang w:val="pt-BR"/>
        </w:rPr>
        <w:t>informa</w:t>
      </w:r>
      <w:r w:rsidR="00A253D2" w:rsidRPr="00563D52">
        <w:rPr>
          <w:szCs w:val="22"/>
          <w:lang w:val="pt-BR"/>
        </w:rPr>
        <w:t>ção e da</w:t>
      </w:r>
      <w:r w:rsidR="008120AC" w:rsidRPr="00563D52">
        <w:rPr>
          <w:szCs w:val="22"/>
          <w:lang w:val="pt-BR"/>
        </w:rPr>
        <w:t>s</w:t>
      </w:r>
      <w:r w:rsidR="00A253D2" w:rsidRPr="00563D52">
        <w:rPr>
          <w:szCs w:val="22"/>
          <w:lang w:val="pt-BR"/>
        </w:rPr>
        <w:t xml:space="preserve"> </w:t>
      </w:r>
      <w:r w:rsidR="00DC1C92" w:rsidRPr="00563D52">
        <w:rPr>
          <w:szCs w:val="22"/>
          <w:lang w:val="pt-BR"/>
        </w:rPr>
        <w:t>comunica</w:t>
      </w:r>
      <w:r w:rsidR="008120AC" w:rsidRPr="00563D52">
        <w:rPr>
          <w:szCs w:val="22"/>
          <w:lang w:val="pt-BR"/>
        </w:rPr>
        <w:t>ções</w:t>
      </w:r>
      <w:r w:rsidR="00A253D2" w:rsidRPr="00563D52">
        <w:rPr>
          <w:szCs w:val="22"/>
          <w:lang w:val="pt-BR"/>
        </w:rPr>
        <w:t xml:space="preserve"> por meio da </w:t>
      </w:r>
      <w:r w:rsidR="00DC1C92" w:rsidRPr="00563D52">
        <w:rPr>
          <w:szCs w:val="22"/>
          <w:lang w:val="pt-BR"/>
        </w:rPr>
        <w:t>Comis</w:t>
      </w:r>
      <w:r w:rsidR="00A253D2" w:rsidRPr="00563D52">
        <w:rPr>
          <w:szCs w:val="22"/>
          <w:lang w:val="pt-BR"/>
        </w:rPr>
        <w:t xml:space="preserve">são </w:t>
      </w:r>
      <w:r w:rsidR="00DC1C92" w:rsidRPr="00563D52">
        <w:rPr>
          <w:szCs w:val="22"/>
          <w:lang w:val="pt-BR"/>
        </w:rPr>
        <w:t>Interamericana de Telecomunica</w:t>
      </w:r>
      <w:r w:rsidR="00A253D2" w:rsidRPr="00563D52">
        <w:rPr>
          <w:szCs w:val="22"/>
          <w:lang w:val="pt-BR"/>
        </w:rPr>
        <w:t xml:space="preserve">ções </w:t>
      </w:r>
      <w:r w:rsidR="00DC1C92" w:rsidRPr="00563D52">
        <w:rPr>
          <w:szCs w:val="22"/>
          <w:lang w:val="pt-BR"/>
        </w:rPr>
        <w:t xml:space="preserve">(CITEL)” </w:t>
      </w:r>
    </w:p>
    <w:p w14:paraId="6830C1FB" w14:textId="77777777" w:rsidR="004519B2" w:rsidRPr="00563D52" w:rsidRDefault="004519B2" w:rsidP="00CF58A9">
      <w:pPr>
        <w:ind w:right="24"/>
        <w:rPr>
          <w:lang w:val="pt-BR"/>
        </w:rPr>
      </w:pPr>
    </w:p>
    <w:p w14:paraId="54FD6B73" w14:textId="08EF8793" w:rsidR="00DC1C92" w:rsidRPr="00563D52" w:rsidRDefault="00B87990" w:rsidP="00DC1C92">
      <w:pPr>
        <w:numPr>
          <w:ilvl w:val="0"/>
          <w:numId w:val="22"/>
        </w:numPr>
        <w:ind w:right="24"/>
        <w:rPr>
          <w:lang w:val="pt-BR"/>
        </w:rPr>
      </w:pPr>
      <w:r w:rsidRPr="00563D52">
        <w:rPr>
          <w:lang w:val="pt-BR"/>
        </w:rPr>
        <w:t>Projeto de resolução</w:t>
      </w:r>
      <w:r w:rsidR="00DC1C92" w:rsidRPr="00563D52">
        <w:rPr>
          <w:szCs w:val="22"/>
          <w:lang w:val="pt-BR"/>
        </w:rPr>
        <w:t>: “Iniciativas para a expans</w:t>
      </w:r>
      <w:r w:rsidR="008120AC" w:rsidRPr="00563D52">
        <w:rPr>
          <w:szCs w:val="22"/>
          <w:lang w:val="pt-BR"/>
        </w:rPr>
        <w:t>ão das telecomunicações</w:t>
      </w:r>
      <w:r w:rsidR="00645832" w:rsidRPr="00563D52">
        <w:rPr>
          <w:szCs w:val="22"/>
          <w:lang w:val="pt-BR"/>
        </w:rPr>
        <w:t>/TICs em áreas rurais e em áreas sem atendimento ou com atendimento insuficiente</w:t>
      </w:r>
      <w:r w:rsidR="008120AC" w:rsidRPr="00563D52">
        <w:rPr>
          <w:szCs w:val="22"/>
          <w:lang w:val="pt-BR"/>
        </w:rPr>
        <w:t>”</w:t>
      </w:r>
    </w:p>
    <w:p w14:paraId="1C63918E" w14:textId="7589093C" w:rsidR="000D7D88" w:rsidRPr="00563D52" w:rsidRDefault="00C673F7" w:rsidP="0036611D">
      <w:pPr>
        <w:numPr>
          <w:ilvl w:val="0"/>
          <w:numId w:val="22"/>
        </w:numPr>
        <w:ind w:right="24"/>
        <w:rPr>
          <w:lang w:val="pt-BR"/>
        </w:rPr>
      </w:pPr>
      <w:r w:rsidRPr="00563D52">
        <w:rPr>
          <w:lang w:val="pt-BR"/>
        </w:rPr>
        <w:t xml:space="preserve">Promover a </w:t>
      </w:r>
      <w:r w:rsidR="004519B2" w:rsidRPr="00563D52">
        <w:rPr>
          <w:lang w:val="pt-BR"/>
        </w:rPr>
        <w:t>resiliência a desastres</w:t>
      </w:r>
      <w:r w:rsidRPr="00563D52">
        <w:rPr>
          <w:lang w:val="pt-BR"/>
        </w:rPr>
        <w:t xml:space="preserve"> no Hemisfério</w:t>
      </w:r>
    </w:p>
    <w:p w14:paraId="012D4E16" w14:textId="77777777" w:rsidR="000D7D88" w:rsidRPr="00563D52" w:rsidRDefault="000D7D88" w:rsidP="00CF58A9">
      <w:pPr>
        <w:ind w:right="24"/>
        <w:rPr>
          <w:lang w:val="pt-BR"/>
        </w:rPr>
      </w:pPr>
    </w:p>
    <w:p w14:paraId="0F0C785C" w14:textId="5EC21AA4" w:rsidR="000D7D88" w:rsidRPr="00563D52" w:rsidRDefault="000D7D88" w:rsidP="000D7D88">
      <w:pPr>
        <w:numPr>
          <w:ilvl w:val="0"/>
          <w:numId w:val="22"/>
        </w:numPr>
        <w:ind w:right="24"/>
        <w:rPr>
          <w:lang w:val="pt-BR"/>
        </w:rPr>
      </w:pPr>
      <w:r w:rsidRPr="00563D52">
        <w:rPr>
          <w:szCs w:val="22"/>
          <w:lang w:val="pt-BR"/>
        </w:rPr>
        <w:t xml:space="preserve">A </w:t>
      </w:r>
      <w:r w:rsidR="004519B2" w:rsidRPr="00563D52">
        <w:rPr>
          <w:szCs w:val="22"/>
          <w:lang w:val="pt-BR"/>
        </w:rPr>
        <w:t xml:space="preserve">situação </w:t>
      </w:r>
      <w:r w:rsidRPr="00563D52">
        <w:rPr>
          <w:szCs w:val="22"/>
          <w:lang w:val="pt-BR"/>
        </w:rPr>
        <w:t>na Nicarágua</w:t>
      </w:r>
      <w:r w:rsidR="004519B2" w:rsidRPr="00563D52">
        <w:rPr>
          <w:rStyle w:val="FootnoteReference"/>
          <w:szCs w:val="22"/>
          <w:u w:val="single"/>
          <w:vertAlign w:val="superscript"/>
          <w:lang w:val="pt-BR"/>
        </w:rPr>
        <w:footnoteReference w:id="5"/>
      </w:r>
      <w:r w:rsidR="004519B2" w:rsidRPr="00563D52">
        <w:rPr>
          <w:szCs w:val="22"/>
          <w:vertAlign w:val="superscript"/>
          <w:lang w:val="pt-BR"/>
        </w:rPr>
        <w:t>/</w:t>
      </w:r>
    </w:p>
    <w:p w14:paraId="6C72180B" w14:textId="77777777" w:rsidR="000D7D88" w:rsidRPr="00CF58A9" w:rsidRDefault="000D7D88" w:rsidP="00CF58A9">
      <w:pPr>
        <w:rPr>
          <w:szCs w:val="22"/>
          <w:lang w:val="pt-BR"/>
        </w:rPr>
      </w:pPr>
    </w:p>
    <w:p w14:paraId="72AEE2AF" w14:textId="5DC97CF9" w:rsidR="004519B2" w:rsidRPr="00563D52" w:rsidRDefault="000D7D88" w:rsidP="00D107C3">
      <w:pPr>
        <w:numPr>
          <w:ilvl w:val="0"/>
          <w:numId w:val="22"/>
        </w:numPr>
        <w:ind w:right="24"/>
        <w:rPr>
          <w:lang w:val="pt-BR"/>
        </w:rPr>
      </w:pPr>
      <w:r w:rsidRPr="00563D52">
        <w:rPr>
          <w:szCs w:val="22"/>
          <w:lang w:val="pt-BR"/>
        </w:rPr>
        <w:t xml:space="preserve">A evolução da pandemia da </w:t>
      </w:r>
      <w:r w:rsidR="00CF58A9">
        <w:rPr>
          <w:szCs w:val="22"/>
          <w:lang w:val="pt-BR"/>
        </w:rPr>
        <w:t>covid</w:t>
      </w:r>
      <w:r w:rsidRPr="00563D52">
        <w:rPr>
          <w:szCs w:val="22"/>
          <w:lang w:val="pt-BR"/>
        </w:rPr>
        <w:t xml:space="preserve">-19 e o seu impacto no </w:t>
      </w:r>
      <w:r w:rsidR="004519B2" w:rsidRPr="00563D52">
        <w:rPr>
          <w:szCs w:val="22"/>
          <w:lang w:val="pt-BR"/>
        </w:rPr>
        <w:t>H</w:t>
      </w:r>
      <w:r w:rsidRPr="00563D52">
        <w:rPr>
          <w:szCs w:val="22"/>
          <w:lang w:val="pt-BR"/>
        </w:rPr>
        <w:t>emisfério</w:t>
      </w:r>
    </w:p>
    <w:p w14:paraId="3A3B35BB" w14:textId="77777777" w:rsidR="004519B2" w:rsidRPr="00CF58A9" w:rsidRDefault="004519B2" w:rsidP="00CF58A9">
      <w:pPr>
        <w:rPr>
          <w:lang w:val="pt-BR"/>
        </w:rPr>
      </w:pPr>
    </w:p>
    <w:p w14:paraId="699ABED2" w14:textId="03B099CD" w:rsidR="000D7D88" w:rsidRDefault="004519B2" w:rsidP="00D107C3">
      <w:pPr>
        <w:numPr>
          <w:ilvl w:val="0"/>
          <w:numId w:val="22"/>
        </w:numPr>
        <w:ind w:right="24"/>
        <w:rPr>
          <w:lang w:val="pt-BR"/>
        </w:rPr>
      </w:pPr>
      <w:r w:rsidRPr="00563D52">
        <w:rPr>
          <w:lang w:val="pt-BR"/>
        </w:rPr>
        <w:t>Renovação do compromisso com o desenvolvimento sustentável nas Américas pós-</w:t>
      </w:r>
      <w:r w:rsidR="00CF58A9">
        <w:rPr>
          <w:lang w:val="pt-BR"/>
        </w:rPr>
        <w:t>covid</w:t>
      </w:r>
      <w:r w:rsidRPr="00563D52">
        <w:rPr>
          <w:lang w:val="pt-BR"/>
        </w:rPr>
        <w:t>-19</w:t>
      </w:r>
    </w:p>
    <w:p w14:paraId="57C42F7A" w14:textId="77777777" w:rsidR="00B332FB" w:rsidRDefault="00B332FB" w:rsidP="00B332FB">
      <w:pPr>
        <w:pStyle w:val="ListParagraph"/>
        <w:rPr>
          <w:lang w:val="pt-BR"/>
        </w:rPr>
      </w:pPr>
    </w:p>
    <w:p w14:paraId="2908F5A3" w14:textId="0DCD0124" w:rsidR="00B332FB" w:rsidRPr="00563D52" w:rsidRDefault="00B332FB" w:rsidP="00D107C3">
      <w:pPr>
        <w:numPr>
          <w:ilvl w:val="0"/>
          <w:numId w:val="22"/>
        </w:numPr>
        <w:ind w:right="24"/>
        <w:rPr>
          <w:lang w:val="pt-BR"/>
        </w:rPr>
      </w:pPr>
      <w:r>
        <w:rPr>
          <w:lang w:val="pt-BR"/>
        </w:rPr>
        <w:t xml:space="preserve">A </w:t>
      </w:r>
      <w:r w:rsidRPr="00563D52">
        <w:rPr>
          <w:szCs w:val="22"/>
          <w:lang w:val="pt-BR"/>
        </w:rPr>
        <w:t>situação n</w:t>
      </w:r>
      <w:r>
        <w:rPr>
          <w:szCs w:val="22"/>
          <w:lang w:val="pt-BR"/>
        </w:rPr>
        <w:t xml:space="preserve">o </w:t>
      </w:r>
      <w:r w:rsidRPr="0040267C">
        <w:rPr>
          <w:bCs/>
          <w:szCs w:val="22"/>
          <w:lang w:val="pt-BR"/>
        </w:rPr>
        <w:t>Haiti</w:t>
      </w:r>
    </w:p>
    <w:p w14:paraId="2C1A897E" w14:textId="77777777" w:rsidR="004519B2" w:rsidRPr="00563D52" w:rsidRDefault="004519B2" w:rsidP="004519B2">
      <w:pPr>
        <w:pStyle w:val="ListParagraph"/>
        <w:rPr>
          <w:lang w:val="pt-BR"/>
        </w:rPr>
      </w:pPr>
    </w:p>
    <w:p w14:paraId="0EF019CD" w14:textId="11196D36" w:rsidR="004519B2" w:rsidRPr="00BE031F" w:rsidRDefault="004519B2">
      <w:pPr>
        <w:jc w:val="left"/>
        <w:rPr>
          <w:lang w:val="pt-BR"/>
        </w:rPr>
      </w:pPr>
      <w:r w:rsidRPr="00BE031F">
        <w:rPr>
          <w:lang w:val="pt-BR"/>
        </w:rPr>
        <w:br w:type="page"/>
      </w:r>
    </w:p>
    <w:p w14:paraId="79802780" w14:textId="77777777" w:rsidR="004519B2" w:rsidRPr="00BE031F" w:rsidRDefault="004519B2" w:rsidP="004519B2">
      <w:pPr>
        <w:jc w:val="center"/>
        <w:rPr>
          <w:bCs/>
          <w:sz w:val="20"/>
          <w:lang w:val="pt-BR"/>
        </w:rPr>
      </w:pPr>
      <w:r w:rsidRPr="00BE031F">
        <w:rPr>
          <w:sz w:val="20"/>
          <w:lang w:val="pt-BR"/>
        </w:rPr>
        <w:lastRenderedPageBreak/>
        <w:t>NOTA DE RODAPÉ</w:t>
      </w:r>
    </w:p>
    <w:p w14:paraId="44785788" w14:textId="77777777" w:rsidR="004519B2" w:rsidRPr="00BE031F" w:rsidRDefault="004519B2" w:rsidP="00CF58A9">
      <w:pPr>
        <w:rPr>
          <w:bCs/>
          <w:sz w:val="20"/>
          <w:lang w:val="pt-BR"/>
        </w:rPr>
      </w:pPr>
    </w:p>
    <w:p w14:paraId="57C2C3F6" w14:textId="75A08BF1" w:rsidR="004519B2" w:rsidRDefault="004519B2" w:rsidP="00CF58A9">
      <w:pPr>
        <w:rPr>
          <w:bCs/>
          <w:sz w:val="20"/>
          <w:lang w:val="pt-BR"/>
        </w:rPr>
      </w:pPr>
    </w:p>
    <w:p w14:paraId="5C51D16A" w14:textId="77777777" w:rsidR="00CB5625" w:rsidRPr="002D7870" w:rsidRDefault="00CB5625" w:rsidP="00CB5625">
      <w:pPr>
        <w:pStyle w:val="FootnoteText"/>
        <w:tabs>
          <w:tab w:val="clear" w:pos="360"/>
        </w:tabs>
        <w:ind w:left="0" w:firstLine="720"/>
        <w:rPr>
          <w:rFonts w:ascii="Times New Roman" w:hAnsi="Times New Roman"/>
          <w:sz w:val="20"/>
          <w:lang w:val="pt-BR"/>
        </w:rPr>
      </w:pPr>
      <w:r w:rsidRPr="002D7870">
        <w:rPr>
          <w:rFonts w:ascii="Times New Roman" w:hAnsi="Times New Roman"/>
          <w:sz w:val="20"/>
          <w:lang w:val="pt-BR"/>
        </w:rPr>
        <w:t>1.</w:t>
      </w:r>
      <w:r w:rsidRPr="002D7870">
        <w:rPr>
          <w:rFonts w:ascii="Times New Roman" w:hAnsi="Times New Roman"/>
          <w:sz w:val="20"/>
          <w:lang w:val="pt-BR"/>
        </w:rPr>
        <w:tab/>
        <w:t>(...) Quinquagésimo Primeiro Período Ordinário de Sessões da Assembleia Geral da Organização dos Estados Americanos (OEA), que redundam em atos contrários ao Direito Internacional.</w:t>
      </w:r>
    </w:p>
    <w:p w14:paraId="49DBB5DC" w14:textId="77777777" w:rsidR="00CB5625" w:rsidRPr="002D7870" w:rsidRDefault="00CB5625" w:rsidP="00CB5625">
      <w:pPr>
        <w:pStyle w:val="FootnoteText"/>
        <w:tabs>
          <w:tab w:val="clear" w:pos="360"/>
        </w:tabs>
        <w:ind w:left="0" w:firstLine="720"/>
        <w:rPr>
          <w:sz w:val="20"/>
          <w:lang w:val="pt-BR"/>
        </w:rPr>
      </w:pPr>
    </w:p>
    <w:p w14:paraId="0CDC9769" w14:textId="77777777" w:rsidR="00CB5625" w:rsidRPr="002D7870" w:rsidRDefault="00CB5625" w:rsidP="00CB5625">
      <w:pPr>
        <w:pStyle w:val="FootnoteText"/>
        <w:tabs>
          <w:tab w:val="clear" w:pos="360"/>
        </w:tabs>
        <w:ind w:left="0" w:firstLine="720"/>
        <w:rPr>
          <w:sz w:val="20"/>
          <w:lang w:val="pt-BR"/>
        </w:rPr>
      </w:pPr>
      <w:r w:rsidRPr="002D7870">
        <w:rPr>
          <w:sz w:val="20"/>
          <w:lang w:val="pt-BR"/>
        </w:rPr>
        <w:t>Em virtude do exposto, o Governo do México gostaria de registrar que o credenciamento das delegações participantes da Assembleia Geral representa 1) um ato de natureza declarativa, cuja validade decorre da condição de membro concedida ao Estado; 2) que se limita ao âmbito material da participação dessa delegação nos trabalhos do órgão de que se trate; e 3) que não constitui direitos especiais para nenhum governo ou Estado, em descumprimento do disposto pela Carta da OEA ou pelo Direito Internacional.</w:t>
      </w:r>
    </w:p>
    <w:p w14:paraId="05A94C7F" w14:textId="77777777" w:rsidR="00CB5625" w:rsidRPr="002D7870" w:rsidRDefault="00CB5625" w:rsidP="00CB5625">
      <w:pPr>
        <w:pStyle w:val="FootnoteText"/>
        <w:tabs>
          <w:tab w:val="clear" w:pos="360"/>
        </w:tabs>
        <w:ind w:left="0" w:firstLine="720"/>
        <w:rPr>
          <w:sz w:val="20"/>
          <w:lang w:val="pt-BR"/>
        </w:rPr>
      </w:pPr>
    </w:p>
    <w:p w14:paraId="4AE86433" w14:textId="77777777" w:rsidR="00CB5625" w:rsidRPr="002D7870" w:rsidRDefault="00CB5625" w:rsidP="00CB5625">
      <w:pPr>
        <w:pStyle w:val="FootnoteText"/>
        <w:tabs>
          <w:tab w:val="clear" w:pos="360"/>
        </w:tabs>
        <w:ind w:left="0" w:firstLine="720"/>
        <w:rPr>
          <w:sz w:val="20"/>
          <w:lang w:val="pt-BR"/>
        </w:rPr>
      </w:pPr>
      <w:r w:rsidRPr="002D7870">
        <w:rPr>
          <w:sz w:val="20"/>
          <w:lang w:val="pt-BR"/>
        </w:rPr>
        <w:t>O credenciamento de qualquer pessoa que diga representar o Estado venezuelano na esfera da OEA se converte em ato que viola o Direito Internacional, uma vez que a República Bolivariana da Venezuela denunciou a Carta da Organização em abril de 2017, razão pela qual, desde abril de 2019, esta cessou seus efeitos sobre esse país. O vínculo jurídico que a Venezuela mantém com a Organização se limita, segundo o disposto no artigo 143 da Carta, às obrigações internacionais pendentes de cumprimento.</w:t>
      </w:r>
    </w:p>
    <w:p w14:paraId="5058DDFB" w14:textId="77777777" w:rsidR="00CB5625" w:rsidRPr="002D7870" w:rsidRDefault="00CB5625" w:rsidP="00CB5625">
      <w:pPr>
        <w:pStyle w:val="FootnoteText"/>
        <w:tabs>
          <w:tab w:val="clear" w:pos="360"/>
        </w:tabs>
        <w:ind w:left="0" w:firstLine="720"/>
        <w:rPr>
          <w:sz w:val="20"/>
          <w:lang w:val="pt-BR"/>
        </w:rPr>
      </w:pPr>
    </w:p>
    <w:p w14:paraId="7C48BDC5" w14:textId="77777777" w:rsidR="00CB5625" w:rsidRPr="002D7870" w:rsidRDefault="00CB5625" w:rsidP="00CB5625">
      <w:pPr>
        <w:pStyle w:val="FootnoteText"/>
        <w:tabs>
          <w:tab w:val="clear" w:pos="360"/>
        </w:tabs>
        <w:ind w:left="0" w:firstLine="720"/>
        <w:rPr>
          <w:sz w:val="20"/>
          <w:lang w:val="pt-BR"/>
        </w:rPr>
      </w:pPr>
      <w:r w:rsidRPr="002D7870">
        <w:rPr>
          <w:sz w:val="20"/>
          <w:lang w:val="pt-BR"/>
        </w:rPr>
        <w:t>O reconhecimento de governos é um ato soberano dos Estados, não dos organismos internacionais. A OEA não possui, bem pode arrogar-se, faculdades de reconhecimento coletivo oponíveis aos membros, razão pela qual qualquer ato destinado a esse propósito está fora de seu âmbito de competência e é nulo materialmente.</w:t>
      </w:r>
    </w:p>
    <w:p w14:paraId="0DA53BBC" w14:textId="77777777" w:rsidR="00CB5625" w:rsidRPr="002D7870" w:rsidRDefault="00CB5625" w:rsidP="00CB5625">
      <w:pPr>
        <w:pStyle w:val="FootnoteText"/>
        <w:tabs>
          <w:tab w:val="clear" w:pos="360"/>
        </w:tabs>
        <w:ind w:left="0" w:firstLine="720"/>
        <w:rPr>
          <w:sz w:val="20"/>
          <w:lang w:val="pt-BR"/>
        </w:rPr>
      </w:pPr>
    </w:p>
    <w:p w14:paraId="16F156DE" w14:textId="77777777" w:rsidR="00CB5625" w:rsidRPr="002D7870" w:rsidRDefault="00CB5625" w:rsidP="00CB5625">
      <w:pPr>
        <w:pStyle w:val="FootnoteText"/>
        <w:tabs>
          <w:tab w:val="clear" w:pos="360"/>
        </w:tabs>
        <w:ind w:left="0" w:firstLine="720"/>
        <w:rPr>
          <w:sz w:val="20"/>
          <w:lang w:val="pt-BR"/>
        </w:rPr>
      </w:pPr>
      <w:r w:rsidRPr="002D7870">
        <w:rPr>
          <w:sz w:val="20"/>
          <w:lang w:val="pt-BR"/>
        </w:rPr>
        <w:t>Em vista do exposto, enquanto qualquer pessoa permaneça credenciada como Representante da República Bolivariana da Venezuela junto à OEA, com base em atos ultra vires, o México continuará participando e exercendo suas prerrogativas e direitos no interior de seus órgãos, organismos e entidades, sem que isso deva ser considerado aquiescência ao reconhecimento de nenhum governo.</w:t>
      </w:r>
    </w:p>
    <w:p w14:paraId="439E45A2" w14:textId="77777777" w:rsidR="00CB5625" w:rsidRPr="002D7870" w:rsidRDefault="00CB5625" w:rsidP="00CB5625">
      <w:pPr>
        <w:pStyle w:val="FootnoteText"/>
        <w:tabs>
          <w:tab w:val="clear" w:pos="360"/>
        </w:tabs>
        <w:ind w:left="0" w:firstLine="720"/>
        <w:rPr>
          <w:sz w:val="20"/>
          <w:lang w:val="pt-BR"/>
        </w:rPr>
      </w:pPr>
    </w:p>
    <w:p w14:paraId="29E24087" w14:textId="77777777" w:rsidR="00CB5625" w:rsidRPr="002D7870" w:rsidRDefault="00CB5625" w:rsidP="00CB5625">
      <w:pPr>
        <w:pStyle w:val="FootnoteText"/>
        <w:tabs>
          <w:tab w:val="clear" w:pos="360"/>
        </w:tabs>
        <w:ind w:left="0" w:firstLine="720"/>
        <w:rPr>
          <w:sz w:val="20"/>
          <w:lang w:val="pt-BR"/>
        </w:rPr>
      </w:pPr>
      <w:r w:rsidRPr="002D7870">
        <w:rPr>
          <w:sz w:val="20"/>
          <w:lang w:val="pt-BR"/>
        </w:rPr>
        <w:t>Nesse sentido, o México declara que exercerá seu direito de manter ou suspender relações diplomáticas com qualquer país, sem qualificar o direito de nenhum povo de aceitar, manter ou substituir seus governos ou autoridades, e sem que isso impacte sua participação como Estado membro da OEA ou represente reconhecimento algum quanto aos governos do Hemisfério.</w:t>
      </w:r>
    </w:p>
    <w:p w14:paraId="67D24B5D" w14:textId="77777777" w:rsidR="00CB5625" w:rsidRPr="002D7870" w:rsidRDefault="00CB5625" w:rsidP="00CB5625">
      <w:pPr>
        <w:pStyle w:val="FootnoteText"/>
        <w:tabs>
          <w:tab w:val="clear" w:pos="360"/>
        </w:tabs>
        <w:ind w:left="0" w:firstLine="720"/>
        <w:rPr>
          <w:sz w:val="20"/>
          <w:lang w:val="pt-BR"/>
        </w:rPr>
      </w:pPr>
    </w:p>
    <w:p w14:paraId="09A22434" w14:textId="77777777" w:rsidR="00CB5625" w:rsidRPr="002D7870" w:rsidRDefault="00CB5625" w:rsidP="00CB5625">
      <w:pPr>
        <w:pStyle w:val="FootnoteText"/>
        <w:tabs>
          <w:tab w:val="clear" w:pos="360"/>
        </w:tabs>
        <w:ind w:left="0" w:firstLine="720"/>
        <w:rPr>
          <w:sz w:val="20"/>
          <w:lang w:val="pt-BR"/>
        </w:rPr>
      </w:pPr>
      <w:r w:rsidRPr="002D7870">
        <w:rPr>
          <w:sz w:val="20"/>
          <w:lang w:val="pt-BR"/>
        </w:rPr>
        <w:t>Por conseguinte, o México se reserva o direito de questionar a validade dos atos e decisões emanados dos órgãos, organismos e entidades da Organização, quando sejam contrários ao Direito Internacional, e a expressar que esses atos e decisões não lhe são aplicáveis quando excedam o âmbito de competência da OEA, sem prejuízo dos direitos e obrigações que lhe caibam como Estado membro da Organização.</w:t>
      </w:r>
    </w:p>
    <w:p w14:paraId="2C538435" w14:textId="77777777" w:rsidR="00CB5625" w:rsidRPr="002D7870" w:rsidRDefault="00CB5625" w:rsidP="00CB5625">
      <w:pPr>
        <w:pStyle w:val="FootnoteText"/>
        <w:tabs>
          <w:tab w:val="clear" w:pos="360"/>
        </w:tabs>
        <w:ind w:left="0" w:firstLine="720"/>
        <w:rPr>
          <w:sz w:val="20"/>
          <w:lang w:val="pt-BR"/>
        </w:rPr>
      </w:pPr>
    </w:p>
    <w:p w14:paraId="1B03AA44" w14:textId="77777777" w:rsidR="00CB5625" w:rsidRPr="002D7870" w:rsidRDefault="00CB5625" w:rsidP="00CB5625">
      <w:pPr>
        <w:pStyle w:val="FootnoteText"/>
        <w:tabs>
          <w:tab w:val="clear" w:pos="360"/>
        </w:tabs>
        <w:ind w:left="0" w:firstLine="720"/>
        <w:rPr>
          <w:rFonts w:ascii="Times New Roman" w:hAnsi="Times New Roman"/>
          <w:sz w:val="20"/>
          <w:lang w:val="pt-BR"/>
        </w:rPr>
      </w:pPr>
      <w:r w:rsidRPr="002D7870">
        <w:rPr>
          <w:sz w:val="20"/>
          <w:lang w:val="pt-BR"/>
        </w:rPr>
        <w:t>2.</w:t>
      </w:r>
      <w:r w:rsidRPr="002D7870">
        <w:rPr>
          <w:sz w:val="20"/>
          <w:lang w:val="pt-BR"/>
        </w:rPr>
        <w:tab/>
        <w:t xml:space="preserve">(...) </w:t>
      </w:r>
      <w:r w:rsidRPr="002D7870">
        <w:rPr>
          <w:rFonts w:ascii="Times New Roman" w:hAnsi="Times New Roman"/>
          <w:sz w:val="20"/>
          <w:lang w:val="pt-BR"/>
        </w:rPr>
        <w:t>que pretendem usurpar a representação legal da República Bolivariana da Venezuela e do Governo Legítimo do Presidente Nicolás Maduro Moros. Solicitamos que esse repúdio conste de todos os documentos a ser considerados neste Quinquagésimo Primeiro Período Ordinário de Sessões da Assembleia Geral da OEA.</w:t>
      </w:r>
    </w:p>
    <w:p w14:paraId="76A7B157" w14:textId="77777777" w:rsidR="00CB5625" w:rsidRPr="002D7870" w:rsidRDefault="00CB5625" w:rsidP="00CB5625">
      <w:pPr>
        <w:pStyle w:val="FootnoteText"/>
        <w:tabs>
          <w:tab w:val="clear" w:pos="360"/>
        </w:tabs>
        <w:ind w:left="0" w:firstLine="720"/>
        <w:rPr>
          <w:rFonts w:ascii="Times New Roman" w:hAnsi="Times New Roman"/>
          <w:sz w:val="20"/>
          <w:lang w:val="pt-BR"/>
        </w:rPr>
      </w:pPr>
    </w:p>
    <w:p w14:paraId="1A4B511E" w14:textId="77777777" w:rsidR="00CB5625" w:rsidRPr="002D7870" w:rsidRDefault="00CB5625" w:rsidP="00CB5625">
      <w:pPr>
        <w:pStyle w:val="FootnoteText"/>
        <w:tabs>
          <w:tab w:val="clear" w:pos="360"/>
        </w:tabs>
        <w:ind w:left="0" w:firstLine="720"/>
        <w:rPr>
          <w:rFonts w:ascii="Times New Roman" w:hAnsi="Times New Roman"/>
          <w:sz w:val="20"/>
          <w:lang w:val="pt-BR"/>
        </w:rPr>
      </w:pPr>
      <w:r w:rsidRPr="002D7870">
        <w:rPr>
          <w:rFonts w:ascii="Times New Roman" w:hAnsi="Times New Roman"/>
          <w:sz w:val="20"/>
          <w:lang w:val="pt-BR"/>
        </w:rPr>
        <w:t>3.</w:t>
      </w:r>
      <w:r w:rsidRPr="002D7870">
        <w:rPr>
          <w:rFonts w:ascii="Times New Roman" w:hAnsi="Times New Roman"/>
          <w:sz w:val="20"/>
          <w:lang w:val="pt-BR"/>
        </w:rPr>
        <w:tab/>
        <w:t>(...) Bolivariana da Venezuela notificou adequadamente a Secretaria-Geral de sua denúncia da Carta da Organização dos Estados Americanos, de acordo com o Artigo 143, e a Carta cessou seus efeitos em relação à República Bolivariana da Venezuela em 27 de abril de 2019, data em que o país deixou de pertencer à Organização.</w:t>
      </w:r>
    </w:p>
    <w:p w14:paraId="56739EC6" w14:textId="77777777" w:rsidR="00CB5625" w:rsidRPr="002D7870" w:rsidRDefault="00CB5625" w:rsidP="00CB5625">
      <w:pPr>
        <w:pStyle w:val="FootnoteText"/>
        <w:tabs>
          <w:tab w:val="clear" w:pos="360"/>
        </w:tabs>
        <w:ind w:left="0" w:firstLine="720"/>
        <w:rPr>
          <w:rFonts w:ascii="Times New Roman" w:hAnsi="Times New Roman"/>
          <w:sz w:val="20"/>
          <w:lang w:val="pt-BR"/>
        </w:rPr>
      </w:pPr>
    </w:p>
    <w:p w14:paraId="2C9EF895" w14:textId="77777777" w:rsidR="00CB5625" w:rsidRPr="002D7870" w:rsidRDefault="00CB5625" w:rsidP="00CB5625">
      <w:pPr>
        <w:pStyle w:val="FootnoteText"/>
        <w:tabs>
          <w:tab w:val="clear" w:pos="360"/>
        </w:tabs>
        <w:ind w:left="0" w:firstLine="720"/>
        <w:rPr>
          <w:rFonts w:ascii="Times New Roman" w:hAnsi="Times New Roman"/>
          <w:sz w:val="20"/>
          <w:lang w:val="pt-BR"/>
        </w:rPr>
      </w:pPr>
      <w:r w:rsidRPr="002D7870">
        <w:rPr>
          <w:rFonts w:ascii="Times New Roman" w:hAnsi="Times New Roman"/>
          <w:sz w:val="20"/>
          <w:lang w:val="pt-BR"/>
        </w:rPr>
        <w:t xml:space="preserve">Antígua e Barbuda não apoiou a resolução CP/RES. 1124 (2217/19), de 9 de abril de 2019, que tencionou nomear o Senhor Gustavo Tarre como Representante da Assembleia Nacional junto à OEA, e não aceitou as credenciais das autoridades que pretendiam representar a República Bolivariana da Venezuela no Quadragésimo Nono, Quinquagésimo e no Quinquagésimo Primeiro Período Ordinário de Sessões da Assembleia Geral. </w:t>
      </w:r>
    </w:p>
    <w:p w14:paraId="69B3401F" w14:textId="77777777" w:rsidR="00CB5625" w:rsidRPr="002D7870" w:rsidRDefault="00CB5625" w:rsidP="00CB5625">
      <w:pPr>
        <w:pStyle w:val="FootnoteText"/>
        <w:tabs>
          <w:tab w:val="clear" w:pos="360"/>
        </w:tabs>
        <w:ind w:left="0" w:firstLine="720"/>
        <w:rPr>
          <w:rFonts w:ascii="Times New Roman" w:hAnsi="Times New Roman"/>
          <w:sz w:val="20"/>
          <w:lang w:val="pt-BR"/>
        </w:rPr>
      </w:pPr>
    </w:p>
    <w:p w14:paraId="1CAFD6DB" w14:textId="77777777" w:rsidR="00CB5625" w:rsidRPr="002D7870" w:rsidRDefault="00CB5625" w:rsidP="00CB5625">
      <w:pPr>
        <w:pStyle w:val="FootnoteText"/>
        <w:tabs>
          <w:tab w:val="clear" w:pos="360"/>
        </w:tabs>
        <w:ind w:left="0" w:firstLine="720"/>
        <w:rPr>
          <w:rFonts w:ascii="Times New Roman" w:hAnsi="Times New Roman"/>
          <w:sz w:val="20"/>
          <w:lang w:val="pt-BR"/>
        </w:rPr>
      </w:pPr>
      <w:r w:rsidRPr="002D7870">
        <w:rPr>
          <w:rFonts w:ascii="Times New Roman" w:hAnsi="Times New Roman"/>
          <w:sz w:val="20"/>
          <w:lang w:val="pt-BR"/>
        </w:rPr>
        <w:t>Desse modo, Antígua e Barbuda notifica a todos os Estados membros e à Secretaria Geral da Organização dos Estados Americanos que, até novo aviso, não se considerará vinculada a qualquer declaração ou resolução do Quinquagésimo Primeiro Período Ordinário de Sessões da Assembléia Geral ou qualquer declaração ou resolução futura de qualquer Conselho ou órgão da Organização que inclua a participação de qualquer pessoa ou entidade que pretenda falar ou agir em nome da República Bolivariana da Venezuela e/ou na qual uma maioria absoluta ou de dois terços seja alcançada com a participação de um suposto representante da República Bolivariana da Venezuela.</w:t>
      </w:r>
    </w:p>
    <w:p w14:paraId="20D25120" w14:textId="77777777" w:rsidR="00CB5625" w:rsidRPr="002D7870" w:rsidRDefault="00CB5625" w:rsidP="00CB5625">
      <w:pPr>
        <w:pStyle w:val="FootnoteText"/>
        <w:tabs>
          <w:tab w:val="clear" w:pos="360"/>
        </w:tabs>
        <w:ind w:left="0" w:firstLine="720"/>
        <w:rPr>
          <w:rFonts w:ascii="Times New Roman" w:hAnsi="Times New Roman"/>
          <w:sz w:val="20"/>
          <w:lang w:val="pt-BR"/>
        </w:rPr>
      </w:pPr>
    </w:p>
    <w:p w14:paraId="3F7EE9A1" w14:textId="77777777" w:rsidR="00CB5625" w:rsidRPr="002D7870" w:rsidRDefault="00CB5625" w:rsidP="00CB5625">
      <w:pPr>
        <w:pStyle w:val="FootnoteText"/>
        <w:tabs>
          <w:tab w:val="clear" w:pos="360"/>
        </w:tabs>
        <w:ind w:left="0" w:firstLine="720"/>
        <w:rPr>
          <w:rFonts w:ascii="Times New Roman" w:hAnsi="Times New Roman"/>
          <w:sz w:val="20"/>
          <w:lang w:val="pt-BR"/>
        </w:rPr>
      </w:pPr>
      <w:r w:rsidRPr="002D7870">
        <w:rPr>
          <w:rFonts w:ascii="Times New Roman" w:hAnsi="Times New Roman"/>
          <w:sz w:val="20"/>
          <w:lang w:val="pt-BR"/>
        </w:rPr>
        <w:t>4.</w:t>
      </w:r>
      <w:r w:rsidRPr="002D7870">
        <w:rPr>
          <w:rFonts w:ascii="Times New Roman" w:hAnsi="Times New Roman"/>
          <w:sz w:val="20"/>
          <w:lang w:val="pt-BR"/>
        </w:rPr>
        <w:tab/>
        <w:t>(...) eleito da República Bolivariana da Venezuela apresentou à Organização dos Estados Americanos sua denúncia por escrito da Carta da Organização dos Estados Americanos e, em conformidade com as disposições do artigo 143 da referida Carta, deixou de ser membro da Organização.</w:t>
      </w:r>
    </w:p>
    <w:p w14:paraId="02D59764" w14:textId="77777777" w:rsidR="00CB5625" w:rsidRPr="002D7870" w:rsidRDefault="00CB5625" w:rsidP="00CB5625">
      <w:pPr>
        <w:pStyle w:val="FootnoteText"/>
        <w:tabs>
          <w:tab w:val="clear" w:pos="360"/>
        </w:tabs>
        <w:ind w:left="0" w:firstLine="720"/>
        <w:rPr>
          <w:rFonts w:ascii="Times New Roman" w:hAnsi="Times New Roman"/>
          <w:sz w:val="20"/>
          <w:lang w:val="pt-BR"/>
        </w:rPr>
      </w:pPr>
    </w:p>
    <w:p w14:paraId="571D78E5" w14:textId="77777777" w:rsidR="00CB5625" w:rsidRPr="002D7870" w:rsidRDefault="00CB5625" w:rsidP="00CB5625">
      <w:pPr>
        <w:pStyle w:val="FootnoteText"/>
        <w:tabs>
          <w:tab w:val="clear" w:pos="360"/>
        </w:tabs>
        <w:ind w:left="0" w:firstLine="720"/>
        <w:rPr>
          <w:rFonts w:ascii="Times New Roman" w:hAnsi="Times New Roman"/>
          <w:lang w:val="pt-BR"/>
        </w:rPr>
      </w:pPr>
      <w:r w:rsidRPr="002D7870">
        <w:rPr>
          <w:rFonts w:ascii="Times New Roman" w:hAnsi="Times New Roman"/>
          <w:sz w:val="20"/>
          <w:lang w:val="pt-BR"/>
        </w:rPr>
        <w:t>São Vicente e Granadinas não apoiou a resolução CP/RES. 1124 (2217/19) de 9 de abril de 2019, que, em uma farsa processual, empossou o suposto representante.  São Vicente e Granadinas, portanto, informa a esta Assembleia Geral que, até aviso em contrário, se reserva o pleno direito quanto a ser vinculado a qualquer declaração ou resolução que emane deste Quinquagésimo Primeiro Período Ordinário de Sessões da Assembleia Geral ou a futuras declarações ou resoluções de qualquer Conselho ou órgão da Organização, quando incluam a participação de qualquer pessoa ou entidade que pretensamente fale pela República Bolivariana da Venezuela, ou aja em seu nome, e cujo voto permita obter maioria.</w:t>
      </w:r>
    </w:p>
    <w:p w14:paraId="2B259855" w14:textId="77777777" w:rsidR="00CB5625" w:rsidRPr="00BE031F" w:rsidRDefault="00CB5625" w:rsidP="00CF58A9">
      <w:pPr>
        <w:rPr>
          <w:bCs/>
          <w:sz w:val="20"/>
          <w:lang w:val="pt-BR"/>
        </w:rPr>
      </w:pPr>
    </w:p>
    <w:p w14:paraId="177F5A35" w14:textId="5ADCBFCA" w:rsidR="004519B2" w:rsidRPr="00563D52" w:rsidRDefault="00CB5625" w:rsidP="00CB5625">
      <w:pPr>
        <w:ind w:firstLine="720"/>
        <w:rPr>
          <w:lang w:val="pt-BR"/>
        </w:rPr>
      </w:pPr>
      <w:r>
        <w:rPr>
          <w:sz w:val="20"/>
          <w:lang w:val="pt-BR"/>
        </w:rPr>
        <w:t>5</w:t>
      </w:r>
      <w:r w:rsidR="004519B2" w:rsidRPr="00BE031F">
        <w:rPr>
          <w:sz w:val="20"/>
          <w:lang w:val="pt-BR"/>
        </w:rPr>
        <w:t>.</w:t>
      </w:r>
      <w:r w:rsidR="004519B2" w:rsidRPr="00BE031F">
        <w:rPr>
          <w:sz w:val="20"/>
          <w:lang w:val="pt-BR"/>
        </w:rPr>
        <w:tab/>
        <w:t>(...)</w:t>
      </w:r>
      <w:r w:rsidR="00096509">
        <w:rPr>
          <w:sz w:val="20"/>
          <w:lang w:val="pt-BR"/>
        </w:rPr>
        <w:t xml:space="preserve"> </w:t>
      </w:r>
      <w:r w:rsidR="004519B2" w:rsidRPr="00BE031F">
        <w:rPr>
          <w:sz w:val="20"/>
          <w:lang w:val="pt-BR" w:eastAsia="es-NI"/>
        </w:rPr>
        <w:t>denominado “</w:t>
      </w:r>
      <w:r w:rsidR="00DC1FB8" w:rsidRPr="00BE031F">
        <w:rPr>
          <w:sz w:val="20"/>
          <w:lang w:val="pt-BR" w:eastAsia="es-NI"/>
        </w:rPr>
        <w:t>A</w:t>
      </w:r>
      <w:r w:rsidR="004519B2" w:rsidRPr="00BE031F">
        <w:rPr>
          <w:sz w:val="20"/>
          <w:lang w:val="pt-BR" w:eastAsia="es-NI"/>
        </w:rPr>
        <w:t xml:space="preserve"> situa</w:t>
      </w:r>
      <w:r w:rsidR="00563D52" w:rsidRPr="00BE031F">
        <w:rPr>
          <w:sz w:val="20"/>
          <w:lang w:val="pt-BR" w:eastAsia="es-NI"/>
        </w:rPr>
        <w:t>ç</w:t>
      </w:r>
      <w:r w:rsidR="00DC1FB8" w:rsidRPr="00BE031F">
        <w:rPr>
          <w:sz w:val="20"/>
          <w:lang w:val="pt-BR" w:eastAsia="es-NI"/>
        </w:rPr>
        <w:t>ão na</w:t>
      </w:r>
      <w:r w:rsidR="004519B2" w:rsidRPr="00BE031F">
        <w:rPr>
          <w:sz w:val="20"/>
          <w:lang w:val="pt-BR" w:eastAsia="es-NI"/>
        </w:rPr>
        <w:t xml:space="preserve"> Nicar</w:t>
      </w:r>
      <w:r w:rsidR="00DC1FB8" w:rsidRPr="00BE031F">
        <w:rPr>
          <w:sz w:val="20"/>
          <w:lang w:val="pt-BR" w:eastAsia="es-NI"/>
        </w:rPr>
        <w:t>á</w:t>
      </w:r>
      <w:r w:rsidR="004519B2" w:rsidRPr="00BE031F">
        <w:rPr>
          <w:sz w:val="20"/>
          <w:lang w:val="pt-BR" w:eastAsia="es-NI"/>
        </w:rPr>
        <w:t>gua”</w:t>
      </w:r>
      <w:r w:rsidR="00DC1FB8" w:rsidRPr="00BE031F">
        <w:rPr>
          <w:sz w:val="20"/>
          <w:lang w:val="pt-BR" w:eastAsia="es-NI"/>
        </w:rPr>
        <w:t xml:space="preserve"> e a ela se opõe</w:t>
      </w:r>
      <w:r w:rsidR="004519B2" w:rsidRPr="00BE031F">
        <w:rPr>
          <w:sz w:val="20"/>
          <w:lang w:val="pt-BR" w:eastAsia="es-NI"/>
        </w:rPr>
        <w:t xml:space="preserve">.  </w:t>
      </w:r>
      <w:r w:rsidR="00DC1FB8" w:rsidRPr="00BE031F">
        <w:rPr>
          <w:sz w:val="20"/>
          <w:lang w:val="pt-BR" w:eastAsia="es-NI"/>
        </w:rPr>
        <w:t>O Governo da</w:t>
      </w:r>
      <w:r w:rsidR="004519B2" w:rsidRPr="00BE031F">
        <w:rPr>
          <w:sz w:val="20"/>
          <w:lang w:val="pt-BR" w:eastAsia="es-NI"/>
        </w:rPr>
        <w:t xml:space="preserve"> República d</w:t>
      </w:r>
      <w:r w:rsidR="00DC1FB8" w:rsidRPr="00BE031F">
        <w:rPr>
          <w:sz w:val="20"/>
          <w:lang w:val="pt-BR" w:eastAsia="es-NI"/>
        </w:rPr>
        <w:t>a</w:t>
      </w:r>
      <w:r w:rsidR="004519B2" w:rsidRPr="00BE031F">
        <w:rPr>
          <w:sz w:val="20"/>
          <w:lang w:val="pt-BR" w:eastAsia="es-NI"/>
        </w:rPr>
        <w:t xml:space="preserve"> Nicar</w:t>
      </w:r>
      <w:r w:rsidR="00DC1FB8" w:rsidRPr="00BE031F">
        <w:rPr>
          <w:sz w:val="20"/>
          <w:lang w:val="pt-BR" w:eastAsia="es-NI"/>
        </w:rPr>
        <w:t>á</w:t>
      </w:r>
      <w:r w:rsidR="004519B2" w:rsidRPr="00BE031F">
        <w:rPr>
          <w:sz w:val="20"/>
          <w:lang w:val="pt-BR" w:eastAsia="es-NI"/>
        </w:rPr>
        <w:t xml:space="preserve">gua denuncia </w:t>
      </w:r>
      <w:r w:rsidR="00DC1FB8" w:rsidRPr="00BE031F">
        <w:rPr>
          <w:sz w:val="20"/>
          <w:lang w:val="pt-BR" w:eastAsia="es-NI"/>
        </w:rPr>
        <w:t>e</w:t>
      </w:r>
      <w:r w:rsidR="004519B2" w:rsidRPr="00BE031F">
        <w:rPr>
          <w:sz w:val="20"/>
          <w:lang w:val="pt-BR" w:eastAsia="es-NI"/>
        </w:rPr>
        <w:t xml:space="preserve"> condena es</w:t>
      </w:r>
      <w:r w:rsidR="00DC1FB8" w:rsidRPr="00BE031F">
        <w:rPr>
          <w:sz w:val="20"/>
          <w:lang w:val="pt-BR" w:eastAsia="es-NI"/>
        </w:rPr>
        <w:t>s</w:t>
      </w:r>
      <w:r w:rsidR="004519B2" w:rsidRPr="00BE031F">
        <w:rPr>
          <w:sz w:val="20"/>
          <w:lang w:val="pt-BR" w:eastAsia="es-NI"/>
        </w:rPr>
        <w:t xml:space="preserve">a prática </w:t>
      </w:r>
      <w:r w:rsidR="00DC1FB8" w:rsidRPr="00BE031F">
        <w:rPr>
          <w:sz w:val="20"/>
          <w:lang w:val="pt-BR" w:eastAsia="es-NI"/>
        </w:rPr>
        <w:t>de ingerência e</w:t>
      </w:r>
      <w:r w:rsidR="004519B2" w:rsidRPr="00BE031F">
        <w:rPr>
          <w:sz w:val="20"/>
          <w:lang w:val="pt-BR" w:eastAsia="es-NI"/>
        </w:rPr>
        <w:t xml:space="preserve"> exige respe</w:t>
      </w:r>
      <w:r w:rsidR="00DC1FB8" w:rsidRPr="00BE031F">
        <w:rPr>
          <w:sz w:val="20"/>
          <w:lang w:val="pt-BR" w:eastAsia="es-NI"/>
        </w:rPr>
        <w:t>i</w:t>
      </w:r>
      <w:r w:rsidR="004519B2" w:rsidRPr="00BE031F">
        <w:rPr>
          <w:sz w:val="20"/>
          <w:lang w:val="pt-BR" w:eastAsia="es-NI"/>
        </w:rPr>
        <w:t xml:space="preserve">to </w:t>
      </w:r>
      <w:r w:rsidR="00DC1FB8" w:rsidRPr="00BE031F">
        <w:rPr>
          <w:sz w:val="20"/>
          <w:lang w:val="pt-BR" w:eastAsia="es-NI"/>
        </w:rPr>
        <w:t>à sua</w:t>
      </w:r>
      <w:r w:rsidR="004519B2" w:rsidRPr="00BE031F">
        <w:rPr>
          <w:sz w:val="20"/>
          <w:lang w:val="pt-BR" w:eastAsia="es-NI"/>
        </w:rPr>
        <w:t xml:space="preserve"> integridad</w:t>
      </w:r>
      <w:r w:rsidR="00DC1FB8" w:rsidRPr="00BE031F">
        <w:rPr>
          <w:sz w:val="20"/>
          <w:lang w:val="pt-BR" w:eastAsia="es-NI"/>
        </w:rPr>
        <w:t>e</w:t>
      </w:r>
      <w:r w:rsidR="004519B2" w:rsidRPr="00BE031F">
        <w:rPr>
          <w:sz w:val="20"/>
          <w:lang w:val="pt-BR" w:eastAsia="es-NI"/>
        </w:rPr>
        <w:t xml:space="preserve"> </w:t>
      </w:r>
      <w:r w:rsidR="00DC1FB8" w:rsidRPr="00BE031F">
        <w:rPr>
          <w:sz w:val="20"/>
          <w:lang w:val="pt-BR" w:eastAsia="es-NI"/>
        </w:rPr>
        <w:t>e à sua</w:t>
      </w:r>
      <w:r w:rsidR="004519B2" w:rsidRPr="00BE031F">
        <w:rPr>
          <w:sz w:val="20"/>
          <w:lang w:val="pt-BR" w:eastAsia="es-NI"/>
        </w:rPr>
        <w:t xml:space="preserve"> soberan</w:t>
      </w:r>
      <w:r w:rsidR="00DC1FB8" w:rsidRPr="00BE031F">
        <w:rPr>
          <w:sz w:val="20"/>
          <w:lang w:val="pt-BR" w:eastAsia="es-NI"/>
        </w:rPr>
        <w:t>i</w:t>
      </w:r>
      <w:r w:rsidR="004519B2" w:rsidRPr="00BE031F">
        <w:rPr>
          <w:sz w:val="20"/>
          <w:lang w:val="pt-BR" w:eastAsia="es-NI"/>
        </w:rPr>
        <w:t>a nacional</w:t>
      </w:r>
      <w:r w:rsidR="004519B2" w:rsidRPr="00BE031F">
        <w:rPr>
          <w:sz w:val="20"/>
          <w:lang w:val="pt-BR"/>
        </w:rPr>
        <w:t>.</w:t>
      </w:r>
      <w:r w:rsidR="00017F9B">
        <w:rPr>
          <w:noProof/>
        </w:rPr>
        <w:drawing>
          <wp:anchor distT="0" distB="0" distL="114300" distR="114300" simplePos="0" relativeHeight="251661312" behindDoc="0" locked="0" layoutInCell="1" allowOverlap="1" wp14:anchorId="18997425" wp14:editId="7960BA0B">
            <wp:simplePos x="0" y="0"/>
            <wp:positionH relativeFrom="margin">
              <wp:align>right</wp:align>
            </wp:positionH>
            <wp:positionV relativeFrom="paragraph">
              <wp:posOffset>6233160</wp:posOffset>
            </wp:positionV>
            <wp:extent cx="576000" cy="576000"/>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CF5">
        <w:rPr>
          <w:noProof/>
          <w:lang w:val="pt-BR"/>
        </w:rPr>
        <mc:AlternateContent>
          <mc:Choice Requires="wps">
            <w:drawing>
              <wp:anchor distT="0" distB="0" distL="118745" distR="118745" simplePos="0" relativeHeight="251662336" behindDoc="0" locked="1" layoutInCell="1" allowOverlap="1" wp14:anchorId="61B69C98" wp14:editId="6F9E96BE">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E639616" w14:textId="4A5EBC3A" w:rsidR="007A1CF5" w:rsidRPr="007A1CF5" w:rsidRDefault="007A1CF5">
                            <w:pPr>
                              <w:rPr>
                                <w:sz w:val="18"/>
                              </w:rPr>
                            </w:pPr>
                            <w:r>
                              <w:rPr>
                                <w:sz w:val="18"/>
                              </w:rPr>
                              <w:fldChar w:fldCharType="begin"/>
                            </w:r>
                            <w:r>
                              <w:rPr>
                                <w:sz w:val="18"/>
                              </w:rPr>
                              <w:instrText xml:space="preserve"> FILENAME  \* MERGEFORMAT </w:instrText>
                            </w:r>
                            <w:r>
                              <w:rPr>
                                <w:sz w:val="18"/>
                              </w:rPr>
                              <w:fldChar w:fldCharType="separate"/>
                            </w:r>
                            <w:r>
                              <w:rPr>
                                <w:noProof/>
                                <w:sz w:val="18"/>
                              </w:rPr>
                              <w:t>AG08463P01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B69C98"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62336;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KFRJ9J+AgAA&#10;CQUAAA4AAAAAAAAAAAAAAAAALgIAAGRycy9lMm9Eb2MueG1sUEsBAi0AFAAGAAgAAAAhAKIiY4/e&#10;AAAADQEAAA8AAAAAAAAAAAAAAAAA2AQAAGRycy9kb3ducmV2LnhtbFBLBQYAAAAABAAEAPMAAADj&#10;BQAAAAA=&#10;" filled="f" stroked="f">
                <v:stroke joinstyle="round"/>
                <v:textbox>
                  <w:txbxContent>
                    <w:p w14:paraId="5E639616" w14:textId="4A5EBC3A" w:rsidR="007A1CF5" w:rsidRPr="007A1CF5" w:rsidRDefault="007A1CF5">
                      <w:pPr>
                        <w:rPr>
                          <w:sz w:val="18"/>
                        </w:rPr>
                      </w:pPr>
                      <w:r>
                        <w:rPr>
                          <w:sz w:val="18"/>
                        </w:rPr>
                        <w:fldChar w:fldCharType="begin"/>
                      </w:r>
                      <w:r>
                        <w:rPr>
                          <w:sz w:val="18"/>
                        </w:rPr>
                        <w:instrText xml:space="preserve"> FILENAME  \* MERGEFORMAT </w:instrText>
                      </w:r>
                      <w:r>
                        <w:rPr>
                          <w:sz w:val="18"/>
                        </w:rPr>
                        <w:fldChar w:fldCharType="separate"/>
                      </w:r>
                      <w:r>
                        <w:rPr>
                          <w:noProof/>
                          <w:sz w:val="18"/>
                        </w:rPr>
                        <w:t>AG08463P01</w:t>
                      </w:r>
                      <w:r>
                        <w:rPr>
                          <w:sz w:val="18"/>
                        </w:rPr>
                        <w:fldChar w:fldCharType="end"/>
                      </w:r>
                    </w:p>
                  </w:txbxContent>
                </v:textbox>
                <w10:wrap anchory="page"/>
                <w10:anchorlock/>
              </v:shape>
            </w:pict>
          </mc:Fallback>
        </mc:AlternateContent>
      </w:r>
    </w:p>
    <w:sectPr w:rsidR="004519B2" w:rsidRPr="00563D52" w:rsidSect="006D4D6B">
      <w:headerReference w:type="default" r:id="rId11"/>
      <w:footerReference w:type="default" r:id="rId12"/>
      <w:headerReference w:type="first" r:id="rId13"/>
      <w:footerReference w:type="first" r:id="rId14"/>
      <w:endnotePr>
        <w:numFmt w:val="decimal"/>
      </w:endnotePr>
      <w:type w:val="oddPage"/>
      <w:pgSz w:w="12240" w:h="15840" w:code="1"/>
      <w:pgMar w:top="2160" w:right="1570" w:bottom="1296" w:left="1699" w:header="1296" w:footer="129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C82F" w14:textId="77777777" w:rsidR="00D56D95" w:rsidRDefault="00D56D95">
      <w:r>
        <w:separator/>
      </w:r>
    </w:p>
  </w:endnote>
  <w:endnote w:type="continuationSeparator" w:id="0">
    <w:p w14:paraId="113635F7" w14:textId="77777777" w:rsidR="00D56D95" w:rsidRDefault="00D5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B458" w14:textId="77777777" w:rsidR="00897B8C" w:rsidRDefault="00897B8C" w:rsidP="008A5B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931E" w14:textId="77777777" w:rsidR="00897B8C" w:rsidRDefault="00897B8C" w:rsidP="008A5B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A05A" w14:textId="77777777" w:rsidR="00D56D95" w:rsidRDefault="00D56D95">
      <w:r>
        <w:separator/>
      </w:r>
    </w:p>
  </w:footnote>
  <w:footnote w:type="continuationSeparator" w:id="0">
    <w:p w14:paraId="3A7F1656" w14:textId="77777777" w:rsidR="00D56D95" w:rsidRDefault="00D56D95">
      <w:r>
        <w:continuationSeparator/>
      </w:r>
    </w:p>
  </w:footnote>
  <w:footnote w:id="1">
    <w:p w14:paraId="1989CA13" w14:textId="77777777" w:rsidR="00CB5625" w:rsidRPr="00C4663B" w:rsidRDefault="00CB5625" w:rsidP="00CB5625">
      <w:pPr>
        <w:pStyle w:val="FootnoteText"/>
        <w:tabs>
          <w:tab w:val="clear" w:pos="360"/>
        </w:tabs>
        <w:ind w:left="720"/>
        <w:rPr>
          <w:rFonts w:ascii="Times New Roman" w:hAnsi="Times New Roman"/>
          <w:sz w:val="20"/>
          <w:lang w:val="pt-BR"/>
        </w:rPr>
      </w:pPr>
      <w:r w:rsidRPr="00C4663B">
        <w:rPr>
          <w:rFonts w:ascii="Times New Roman" w:hAnsi="Times New Roman"/>
          <w:sz w:val="20"/>
          <w:lang w:val="es-US"/>
        </w:rPr>
        <w:footnoteRef/>
      </w:r>
      <w:r w:rsidRPr="00C4663B">
        <w:rPr>
          <w:rFonts w:ascii="Times New Roman" w:hAnsi="Times New Roman"/>
          <w:sz w:val="20"/>
          <w:lang w:val="pt-BR"/>
        </w:rPr>
        <w:t>.</w:t>
      </w:r>
      <w:r w:rsidRPr="00C4663B">
        <w:rPr>
          <w:rFonts w:ascii="Times New Roman" w:hAnsi="Times New Roman"/>
          <w:sz w:val="20"/>
          <w:lang w:val="pt-BR"/>
        </w:rPr>
        <w:tab/>
        <w:t>O México identifica com preocupação, uma vez mais, incoerências e irregularidades no Relatório do Secretário-Geral sobre a apresentação de credenciais das delegações participantes do (...)</w:t>
      </w:r>
    </w:p>
  </w:footnote>
  <w:footnote w:id="2">
    <w:p w14:paraId="561A0BF9" w14:textId="77777777" w:rsidR="00CB5625" w:rsidRPr="00C4663B" w:rsidRDefault="00CB5625" w:rsidP="00CB5625">
      <w:pPr>
        <w:pStyle w:val="FootnoteText"/>
        <w:tabs>
          <w:tab w:val="clear" w:pos="360"/>
        </w:tabs>
        <w:ind w:left="720"/>
        <w:rPr>
          <w:rFonts w:ascii="Times New Roman" w:hAnsi="Times New Roman"/>
          <w:sz w:val="20"/>
          <w:lang w:val="pt-BR"/>
        </w:rPr>
      </w:pPr>
      <w:r w:rsidRPr="006154A3">
        <w:rPr>
          <w:rFonts w:ascii="Times New Roman" w:hAnsi="Times New Roman"/>
          <w:sz w:val="20"/>
          <w:lang w:val="pt-BR"/>
        </w:rPr>
        <w:footnoteRef/>
      </w:r>
      <w:r w:rsidRPr="00C4663B">
        <w:rPr>
          <w:rFonts w:ascii="Times New Roman" w:hAnsi="Times New Roman"/>
          <w:sz w:val="20"/>
          <w:lang w:val="pt-BR"/>
        </w:rPr>
        <w:t>.</w:t>
      </w:r>
      <w:r w:rsidRPr="00C4663B">
        <w:rPr>
          <w:rFonts w:ascii="Times New Roman" w:hAnsi="Times New Roman"/>
          <w:sz w:val="20"/>
          <w:lang w:val="pt-BR"/>
        </w:rPr>
        <w:tab/>
      </w:r>
      <w:r w:rsidRPr="00C4663B">
        <w:rPr>
          <w:rFonts w:ascii="Times New Roman" w:hAnsi="Times New Roman"/>
          <w:sz w:val="20"/>
          <w:lang w:val="pt-BR"/>
        </w:rPr>
        <w:t>A Nicarágua endossa as declarações das delegações de São Vicente e Granadinas, dos Estados Unidos Mexicanos e do Estado Plurinacional da Bolívia em repúdio ao credenciamento irregular de pessoas (...)</w:t>
      </w:r>
    </w:p>
  </w:footnote>
  <w:footnote w:id="3">
    <w:p w14:paraId="404A3DD4" w14:textId="77777777" w:rsidR="00CB5625" w:rsidRPr="00C4663B" w:rsidRDefault="00CB5625" w:rsidP="00CB5625">
      <w:pPr>
        <w:pStyle w:val="FootnoteText"/>
        <w:tabs>
          <w:tab w:val="clear" w:pos="360"/>
        </w:tabs>
        <w:ind w:left="720"/>
        <w:rPr>
          <w:rFonts w:ascii="Times New Roman" w:hAnsi="Times New Roman"/>
          <w:sz w:val="20"/>
          <w:lang w:val="pt-BR"/>
        </w:rPr>
      </w:pPr>
      <w:r w:rsidRPr="006154A3">
        <w:rPr>
          <w:rFonts w:ascii="Times New Roman" w:hAnsi="Times New Roman"/>
          <w:sz w:val="20"/>
          <w:lang w:val="pt-BR"/>
        </w:rPr>
        <w:footnoteRef/>
      </w:r>
      <w:r w:rsidRPr="00C4663B">
        <w:rPr>
          <w:rFonts w:ascii="Times New Roman" w:hAnsi="Times New Roman"/>
          <w:sz w:val="20"/>
          <w:lang w:val="pt-BR"/>
        </w:rPr>
        <w:t>.</w:t>
      </w:r>
      <w:r w:rsidRPr="00C4663B">
        <w:rPr>
          <w:rFonts w:ascii="Times New Roman" w:hAnsi="Times New Roman"/>
          <w:sz w:val="20"/>
          <w:lang w:val="pt-BR"/>
        </w:rPr>
        <w:tab/>
      </w:r>
      <w:r w:rsidRPr="00C4663B">
        <w:rPr>
          <w:rFonts w:ascii="Times New Roman" w:hAnsi="Times New Roman"/>
          <w:sz w:val="20"/>
          <w:lang w:val="pt-BR"/>
        </w:rPr>
        <w:t>Antígua e Barbuda considera que a República Bolivariana da Venezuela não é um Estado membro da Organização dos Estados Americanos pois, em 27 de abril de 2017, o Governo da República (...)</w:t>
      </w:r>
    </w:p>
  </w:footnote>
  <w:footnote w:id="4">
    <w:p w14:paraId="7B32B6D8" w14:textId="77777777" w:rsidR="00CB5625" w:rsidRPr="006154A3" w:rsidRDefault="00CB5625" w:rsidP="00CB5625">
      <w:pPr>
        <w:pStyle w:val="FootnoteText"/>
        <w:tabs>
          <w:tab w:val="clear" w:pos="360"/>
        </w:tabs>
        <w:ind w:left="720"/>
        <w:rPr>
          <w:rFonts w:ascii="Times New Roman" w:hAnsi="Times New Roman"/>
          <w:sz w:val="20"/>
          <w:lang w:val="pt-BR"/>
        </w:rPr>
      </w:pPr>
      <w:r w:rsidRPr="006154A3">
        <w:rPr>
          <w:rFonts w:ascii="Times New Roman" w:hAnsi="Times New Roman"/>
          <w:sz w:val="20"/>
          <w:lang w:val="pt-BR"/>
        </w:rPr>
        <w:footnoteRef/>
      </w:r>
      <w:r w:rsidRPr="00C4663B">
        <w:rPr>
          <w:rFonts w:ascii="Times New Roman" w:hAnsi="Times New Roman"/>
          <w:sz w:val="20"/>
          <w:lang w:val="pt-BR"/>
        </w:rPr>
        <w:t>.</w:t>
      </w:r>
      <w:r w:rsidRPr="00C4663B">
        <w:rPr>
          <w:rFonts w:ascii="Times New Roman" w:hAnsi="Times New Roman"/>
          <w:sz w:val="20"/>
          <w:lang w:val="pt-BR"/>
        </w:rPr>
        <w:tab/>
      </w:r>
      <w:r w:rsidRPr="006154A3">
        <w:rPr>
          <w:rFonts w:ascii="Times New Roman" w:hAnsi="Times New Roman"/>
          <w:sz w:val="20"/>
          <w:lang w:val="pt-BR"/>
        </w:rPr>
        <w:t>São Vicente faz registrar seu não reconhecimento e não aceitação das credenciais da suposta Delegação da Assembleia Nacional da República Bolivariana da Venezuela. Em 2017, o governo devidamente</w:t>
      </w:r>
      <w:r>
        <w:rPr>
          <w:rFonts w:ascii="Times New Roman" w:hAnsi="Times New Roman"/>
          <w:sz w:val="20"/>
          <w:lang w:val="pt-BR"/>
        </w:rPr>
        <w:t xml:space="preserve"> (...)</w:t>
      </w:r>
    </w:p>
  </w:footnote>
  <w:footnote w:id="5">
    <w:p w14:paraId="5784DCC2" w14:textId="1BA870E1" w:rsidR="004519B2" w:rsidRPr="00CF58A9" w:rsidRDefault="004519B2" w:rsidP="00096509">
      <w:pPr>
        <w:pStyle w:val="FootnoteText"/>
        <w:tabs>
          <w:tab w:val="clear" w:pos="360"/>
        </w:tabs>
        <w:ind w:left="720"/>
        <w:rPr>
          <w:sz w:val="20"/>
          <w:lang w:val="pt-BR" w:eastAsia="es-NI"/>
        </w:rPr>
      </w:pPr>
      <w:r w:rsidRPr="00BE031F">
        <w:rPr>
          <w:rStyle w:val="FootnoteReference"/>
          <w:sz w:val="20"/>
        </w:rPr>
        <w:footnoteRef/>
      </w:r>
      <w:r w:rsidRPr="00CF58A9">
        <w:rPr>
          <w:sz w:val="20"/>
          <w:lang w:val="pt-BR"/>
        </w:rPr>
        <w:t>.</w:t>
      </w:r>
      <w:r w:rsidRPr="00CF58A9">
        <w:rPr>
          <w:sz w:val="20"/>
          <w:lang w:val="pt-BR"/>
        </w:rPr>
        <w:tab/>
      </w:r>
      <w:r w:rsidR="00DC1FB8" w:rsidRPr="00BE031F">
        <w:rPr>
          <w:sz w:val="20"/>
          <w:lang w:val="pt-BR" w:eastAsia="es-NI"/>
        </w:rPr>
        <w:t>A</w:t>
      </w:r>
      <w:r w:rsidRPr="00BE031F">
        <w:rPr>
          <w:sz w:val="20"/>
          <w:lang w:val="pt-BR" w:eastAsia="es-NI"/>
        </w:rPr>
        <w:t xml:space="preserve"> Mis</w:t>
      </w:r>
      <w:r w:rsidR="00DC1FB8" w:rsidRPr="00BE031F">
        <w:rPr>
          <w:sz w:val="20"/>
          <w:lang w:val="pt-BR" w:eastAsia="es-NI"/>
        </w:rPr>
        <w:t>são</w:t>
      </w:r>
      <w:r w:rsidRPr="00BE031F">
        <w:rPr>
          <w:sz w:val="20"/>
          <w:lang w:val="pt-BR" w:eastAsia="es-NI"/>
        </w:rPr>
        <w:t xml:space="preserve"> Permanente da República d</w:t>
      </w:r>
      <w:r w:rsidR="00DC1FB8" w:rsidRPr="00BE031F">
        <w:rPr>
          <w:sz w:val="20"/>
          <w:lang w:val="pt-BR" w:eastAsia="es-NI"/>
        </w:rPr>
        <w:t>a</w:t>
      </w:r>
      <w:r w:rsidRPr="00BE031F">
        <w:rPr>
          <w:sz w:val="20"/>
          <w:lang w:val="pt-BR" w:eastAsia="es-NI"/>
        </w:rPr>
        <w:t xml:space="preserve"> Nicar</w:t>
      </w:r>
      <w:r w:rsidR="00DC1FB8" w:rsidRPr="00BE031F">
        <w:rPr>
          <w:sz w:val="20"/>
          <w:lang w:val="pt-BR" w:eastAsia="es-NI"/>
        </w:rPr>
        <w:t>á</w:t>
      </w:r>
      <w:r w:rsidRPr="00BE031F">
        <w:rPr>
          <w:sz w:val="20"/>
          <w:lang w:val="pt-BR" w:eastAsia="es-NI"/>
        </w:rPr>
        <w:t xml:space="preserve">gua </w:t>
      </w:r>
      <w:r w:rsidR="00DC1FB8" w:rsidRPr="00BE031F">
        <w:rPr>
          <w:sz w:val="20"/>
          <w:lang w:val="pt-BR" w:eastAsia="es-NI"/>
        </w:rPr>
        <w:t>repudia</w:t>
      </w:r>
      <w:r w:rsidRPr="00BE031F">
        <w:rPr>
          <w:sz w:val="20"/>
          <w:lang w:val="pt-BR" w:eastAsia="es-NI"/>
        </w:rPr>
        <w:t xml:space="preserve"> </w:t>
      </w:r>
      <w:r w:rsidR="00DC1FB8" w:rsidRPr="00BE031F">
        <w:rPr>
          <w:sz w:val="20"/>
          <w:lang w:val="pt-BR" w:eastAsia="es-NI"/>
        </w:rPr>
        <w:t>a</w:t>
      </w:r>
      <w:r w:rsidRPr="00BE031F">
        <w:rPr>
          <w:sz w:val="20"/>
          <w:lang w:val="pt-BR" w:eastAsia="es-NI"/>
        </w:rPr>
        <w:t xml:space="preserve"> prop</w:t>
      </w:r>
      <w:r w:rsidR="00DC1FB8" w:rsidRPr="00BE031F">
        <w:rPr>
          <w:sz w:val="20"/>
          <w:lang w:val="pt-BR" w:eastAsia="es-NI"/>
        </w:rPr>
        <w:t>o</w:t>
      </w:r>
      <w:r w:rsidRPr="00BE031F">
        <w:rPr>
          <w:sz w:val="20"/>
          <w:lang w:val="pt-BR" w:eastAsia="es-NI"/>
        </w:rPr>
        <w:t xml:space="preserve">sta </w:t>
      </w:r>
      <w:r w:rsidR="00DC1FB8" w:rsidRPr="00BE031F">
        <w:rPr>
          <w:sz w:val="20"/>
          <w:lang w:val="pt-BR" w:eastAsia="es-NI"/>
        </w:rPr>
        <w:t>a</w:t>
      </w:r>
      <w:r w:rsidRPr="00BE031F">
        <w:rPr>
          <w:sz w:val="20"/>
          <w:lang w:val="pt-BR" w:eastAsia="es-NI"/>
        </w:rPr>
        <w:t>presentada por Canadá, Col</w:t>
      </w:r>
      <w:r w:rsidR="00DC1FB8" w:rsidRPr="00BE031F">
        <w:rPr>
          <w:sz w:val="20"/>
          <w:lang w:val="pt-BR" w:eastAsia="es-NI"/>
        </w:rPr>
        <w:t>ô</w:t>
      </w:r>
      <w:r w:rsidRPr="00BE031F">
        <w:rPr>
          <w:sz w:val="20"/>
          <w:lang w:val="pt-BR" w:eastAsia="es-NI"/>
        </w:rPr>
        <w:t xml:space="preserve">mbia, Costa Rica, Estados Unidos </w:t>
      </w:r>
      <w:r w:rsidR="00DC1FB8" w:rsidRPr="00BE031F">
        <w:rPr>
          <w:sz w:val="20"/>
          <w:lang w:val="pt-BR" w:eastAsia="es-NI"/>
        </w:rPr>
        <w:t>e</w:t>
      </w:r>
      <w:r w:rsidRPr="00BE031F">
        <w:rPr>
          <w:sz w:val="20"/>
          <w:lang w:val="pt-BR" w:eastAsia="es-NI"/>
        </w:rPr>
        <w:t xml:space="preserve"> Paragua</w:t>
      </w:r>
      <w:r w:rsidR="00DC1FB8" w:rsidRPr="00BE031F">
        <w:rPr>
          <w:sz w:val="20"/>
          <w:lang w:val="pt-BR" w:eastAsia="es-NI"/>
        </w:rPr>
        <w:t>i</w:t>
      </w:r>
      <w:r w:rsidRPr="00BE031F">
        <w:rPr>
          <w:sz w:val="20"/>
          <w:lang w:val="pt-BR" w:eastAsia="es-NI"/>
        </w:rPr>
        <w:t xml:space="preserve"> de incluir </w:t>
      </w:r>
      <w:r w:rsidR="00DC1FB8" w:rsidRPr="00BE031F">
        <w:rPr>
          <w:sz w:val="20"/>
          <w:lang w:val="pt-BR" w:eastAsia="es-NI"/>
        </w:rPr>
        <w:t>na agenda</w:t>
      </w:r>
      <w:r w:rsidRPr="00BE031F">
        <w:rPr>
          <w:sz w:val="20"/>
          <w:lang w:val="pt-BR" w:eastAsia="es-NI"/>
        </w:rPr>
        <w:t xml:space="preserve"> da A</w:t>
      </w:r>
      <w:r w:rsidR="00DC1FB8" w:rsidRPr="00BE031F">
        <w:rPr>
          <w:sz w:val="20"/>
          <w:lang w:val="pt-BR" w:eastAsia="es-NI"/>
        </w:rPr>
        <w:t>s</w:t>
      </w:r>
      <w:r w:rsidRPr="00BE031F">
        <w:rPr>
          <w:sz w:val="20"/>
          <w:lang w:val="pt-BR" w:eastAsia="es-NI"/>
        </w:rPr>
        <w:t>s</w:t>
      </w:r>
      <w:r w:rsidR="00DC1FB8" w:rsidRPr="00BE031F">
        <w:rPr>
          <w:sz w:val="20"/>
          <w:lang w:val="pt-BR" w:eastAsia="es-NI"/>
        </w:rPr>
        <w:t>embleia-</w:t>
      </w:r>
      <w:r w:rsidR="00BE031F">
        <w:rPr>
          <w:sz w:val="20"/>
          <w:lang w:val="pt-BR" w:eastAsia="es-NI"/>
        </w:rPr>
        <w:t>Geral</w:t>
      </w:r>
      <w:r w:rsidR="00096509">
        <w:rPr>
          <w:sz w:val="20"/>
          <w:lang w:val="pt-BR" w:eastAsia="es-NI"/>
        </w:rPr>
        <w:t xml:space="preserve"> </w:t>
      </w:r>
      <w:r w:rsidR="00096509" w:rsidRPr="00BE031F">
        <w:rPr>
          <w:sz w:val="20"/>
          <w:lang w:val="pt-BR" w:eastAsia="es-NI"/>
        </w:rPr>
        <w:t xml:space="preserve">o tema </w:t>
      </w:r>
      <w:r w:rsidR="00096509">
        <w:rPr>
          <w:sz w:val="20"/>
          <w:lang w:val="pt-BR" w:eastAsia="es-NI"/>
        </w:rPr>
        <w:t>(</w:t>
      </w:r>
      <w:r w:rsidRPr="00BE031F">
        <w:rPr>
          <w:sz w:val="20"/>
          <w:lang w:val="pt-BR" w:eastAsia="es-NI"/>
        </w:rPr>
        <w:t>…</w:t>
      </w:r>
      <w:r w:rsidR="00096509">
        <w:rPr>
          <w:sz w:val="20"/>
          <w:lang w:val="pt-BR" w:eastAsia="es-N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F18E" w14:textId="77777777" w:rsidR="00897B8C" w:rsidRPr="00C92999" w:rsidRDefault="00897B8C" w:rsidP="008A5B98">
    <w:pPr>
      <w:pStyle w:val="Header"/>
      <w:jc w:val="center"/>
      <w:rPr>
        <w:szCs w:val="22"/>
      </w:rPr>
    </w:pPr>
    <w:r w:rsidRPr="00C92999">
      <w:rPr>
        <w:szCs w:val="22"/>
      </w:rPr>
      <w:t xml:space="preserve">- </w:t>
    </w:r>
    <w:r w:rsidRPr="00C92999">
      <w:rPr>
        <w:rStyle w:val="PageNumber"/>
        <w:szCs w:val="22"/>
      </w:rPr>
      <w:fldChar w:fldCharType="begin"/>
    </w:r>
    <w:r w:rsidRPr="00C92999">
      <w:rPr>
        <w:rStyle w:val="PageNumber"/>
        <w:szCs w:val="22"/>
      </w:rPr>
      <w:instrText xml:space="preserve"> PAGE </w:instrText>
    </w:r>
    <w:r w:rsidRPr="00C92999">
      <w:rPr>
        <w:rStyle w:val="PageNumber"/>
        <w:szCs w:val="22"/>
      </w:rPr>
      <w:fldChar w:fldCharType="separate"/>
    </w:r>
    <w:r w:rsidR="00B1746C">
      <w:rPr>
        <w:rStyle w:val="PageNumber"/>
        <w:noProof/>
        <w:szCs w:val="22"/>
      </w:rPr>
      <w:t>4</w:t>
    </w:r>
    <w:r w:rsidRPr="00C92999">
      <w:rPr>
        <w:rStyle w:val="PageNumber"/>
        <w:szCs w:val="22"/>
      </w:rPr>
      <w:fldChar w:fldCharType="end"/>
    </w:r>
    <w:r w:rsidRPr="00C92999">
      <w:rPr>
        <w:rStyle w:val="PageNumbe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49AA" w14:textId="77777777" w:rsidR="00F144E8" w:rsidRDefault="00F144E8">
    <w:pPr>
      <w:pStyle w:val="Header"/>
      <w:jc w:val="center"/>
    </w:pPr>
  </w:p>
  <w:p w14:paraId="3C36E6E9" w14:textId="77777777" w:rsidR="00C75DF5" w:rsidRDefault="00C75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9F9"/>
    <w:multiLevelType w:val="hybridMultilevel"/>
    <w:tmpl w:val="CD523FC2"/>
    <w:lvl w:ilvl="0" w:tplc="C9A42CA2">
      <w:start w:val="11"/>
      <w:numFmt w:val="decimal"/>
      <w:lvlText w:val="%1."/>
      <w:lvlJc w:val="left"/>
      <w:pPr>
        <w:tabs>
          <w:tab w:val="num" w:pos="3420"/>
        </w:tabs>
        <w:ind w:left="34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8602EF"/>
    <w:multiLevelType w:val="hybridMultilevel"/>
    <w:tmpl w:val="FFB67918"/>
    <w:lvl w:ilvl="0" w:tplc="DE92293E">
      <w:start w:val="1"/>
      <w:numFmt w:val="upperRoman"/>
      <w:lvlText w:val="%1."/>
      <w:lvlJc w:val="left"/>
      <w:pPr>
        <w:tabs>
          <w:tab w:val="num" w:pos="360"/>
        </w:tabs>
        <w:ind w:left="360" w:hanging="360"/>
      </w:pPr>
      <w:rPr>
        <w:rFonts w:hint="default"/>
        <w:i w:val="0"/>
        <w:color w:val="auto"/>
      </w:rPr>
    </w:lvl>
    <w:lvl w:ilvl="1" w:tplc="BCE2A3F2">
      <w:start w:val="1"/>
      <w:numFmt w:val="lowerLetter"/>
      <w:lvlText w:val="%2."/>
      <w:lvlJc w:val="left"/>
      <w:pPr>
        <w:tabs>
          <w:tab w:val="num" w:pos="2160"/>
        </w:tabs>
        <w:ind w:left="2160" w:hanging="720"/>
      </w:pPr>
      <w:rPr>
        <w:rFonts w:ascii="Times New Roman" w:hAnsi="Times New Roman" w:hint="default"/>
        <w:i w:val="0"/>
        <w:color w:val="auto"/>
        <w:sz w:val="22"/>
        <w:szCs w:val="22"/>
      </w:rPr>
    </w:lvl>
    <w:lvl w:ilvl="2" w:tplc="79007154">
      <w:start w:val="1"/>
      <w:numFmt w:val="lowerLetter"/>
      <w:lvlText w:val="%3."/>
      <w:lvlJc w:val="left"/>
      <w:pPr>
        <w:tabs>
          <w:tab w:val="num" w:pos="2520"/>
        </w:tabs>
        <w:ind w:left="2520" w:hanging="720"/>
      </w:pPr>
      <w:rPr>
        <w:rFonts w:hint="default"/>
        <w:i w:val="0"/>
        <w:color w:val="auto"/>
      </w:rPr>
    </w:lvl>
    <w:lvl w:ilvl="3" w:tplc="FAAE73DA">
      <w:start w:val="1"/>
      <w:numFmt w:val="decimal"/>
      <w:lvlText w:val="%4."/>
      <w:lvlJc w:val="left"/>
      <w:pPr>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4541FB5"/>
    <w:multiLevelType w:val="hybridMultilevel"/>
    <w:tmpl w:val="86643B34"/>
    <w:lvl w:ilvl="0" w:tplc="E4202EC2">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65293F"/>
    <w:multiLevelType w:val="multilevel"/>
    <w:tmpl w:val="61709392"/>
    <w:lvl w:ilvl="0">
      <w:start w:val="1"/>
      <w:numFmt w:val="upperRoman"/>
      <w:lvlText w:val="%1."/>
      <w:lvlJc w:val="left"/>
      <w:pPr>
        <w:tabs>
          <w:tab w:val="num" w:pos="360"/>
        </w:tabs>
        <w:ind w:left="360" w:hanging="360"/>
      </w:pPr>
      <w:rPr>
        <w:strike w:val="0"/>
        <w:dstrike w:val="0"/>
        <w:u w:val="none"/>
        <w:effect w:val="none"/>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037640E"/>
    <w:multiLevelType w:val="hybridMultilevel"/>
    <w:tmpl w:val="FF5CFAD0"/>
    <w:lvl w:ilvl="0" w:tplc="DE92293E">
      <w:start w:val="1"/>
      <w:numFmt w:val="upperRoman"/>
      <w:lvlText w:val="%1."/>
      <w:lvlJc w:val="left"/>
      <w:pPr>
        <w:tabs>
          <w:tab w:val="num" w:pos="360"/>
        </w:tabs>
        <w:ind w:left="360" w:hanging="360"/>
      </w:pPr>
      <w:rPr>
        <w:i w:val="0"/>
        <w:color w:val="auto"/>
      </w:rPr>
    </w:lvl>
    <w:lvl w:ilvl="1" w:tplc="BCE2A3F2">
      <w:start w:val="1"/>
      <w:numFmt w:val="lowerLetter"/>
      <w:lvlText w:val="%2."/>
      <w:lvlJc w:val="left"/>
      <w:pPr>
        <w:tabs>
          <w:tab w:val="num" w:pos="2160"/>
        </w:tabs>
        <w:ind w:left="2160" w:hanging="720"/>
      </w:pPr>
      <w:rPr>
        <w:rFonts w:ascii="Times New Roman" w:hAnsi="Times New Roman" w:cs="Times New Roman" w:hint="default"/>
        <w:i w:val="0"/>
        <w:color w:val="auto"/>
        <w:sz w:val="22"/>
        <w:szCs w:val="22"/>
      </w:rPr>
    </w:lvl>
    <w:lvl w:ilvl="2" w:tplc="A7B43948">
      <w:start w:val="1"/>
      <w:numFmt w:val="lowerLetter"/>
      <w:lvlText w:val="%3)"/>
      <w:lvlJc w:val="left"/>
      <w:pPr>
        <w:tabs>
          <w:tab w:val="num" w:pos="2520"/>
        </w:tabs>
        <w:ind w:left="2520" w:hanging="720"/>
      </w:pPr>
      <w:rPr>
        <w:rFonts w:ascii="Times New Roman" w:eastAsia="Times New Roman" w:hAnsi="Times New Roman" w:cs="Times New Roman" w:hint="default"/>
        <w:i w:val="0"/>
        <w:color w:val="auto"/>
      </w:rPr>
    </w:lvl>
    <w:lvl w:ilvl="3" w:tplc="CA860C66">
      <w:start w:val="1"/>
      <w:numFmt w:val="upperLetter"/>
      <w:lvlText w:val="%4."/>
      <w:lvlJc w:val="left"/>
      <w:pPr>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5" w15:restartNumberingAfterBreak="0">
    <w:nsid w:val="31247B74"/>
    <w:multiLevelType w:val="multilevel"/>
    <w:tmpl w:val="6170939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9A07B31"/>
    <w:multiLevelType w:val="hybridMultilevel"/>
    <w:tmpl w:val="D2AA6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E825EB"/>
    <w:multiLevelType w:val="singleLevel"/>
    <w:tmpl w:val="B63485B6"/>
    <w:lvl w:ilvl="0">
      <w:numFmt w:val="decimal"/>
      <w:lvlText w:val="%1"/>
      <w:legacy w:legacy="1" w:legacySpace="0" w:legacyIndent="0"/>
      <w:lvlJc w:val="left"/>
    </w:lvl>
  </w:abstractNum>
  <w:abstractNum w:abstractNumId="8" w15:restartNumberingAfterBreak="0">
    <w:nsid w:val="3B7128B7"/>
    <w:multiLevelType w:val="hybridMultilevel"/>
    <w:tmpl w:val="7242D742"/>
    <w:lvl w:ilvl="0" w:tplc="DE92293E">
      <w:start w:val="1"/>
      <w:numFmt w:val="upperRoman"/>
      <w:lvlText w:val="%1."/>
      <w:lvlJc w:val="left"/>
      <w:pPr>
        <w:tabs>
          <w:tab w:val="num" w:pos="360"/>
        </w:tabs>
        <w:ind w:left="360" w:hanging="360"/>
      </w:pPr>
      <w:rPr>
        <w:i w:val="0"/>
        <w:color w:val="auto"/>
      </w:rPr>
    </w:lvl>
    <w:lvl w:ilvl="1" w:tplc="A7B43948">
      <w:start w:val="1"/>
      <w:numFmt w:val="lowerLetter"/>
      <w:lvlText w:val="%2)"/>
      <w:lvlJc w:val="left"/>
      <w:pPr>
        <w:tabs>
          <w:tab w:val="num" w:pos="2160"/>
        </w:tabs>
        <w:ind w:left="2160" w:hanging="720"/>
      </w:pPr>
      <w:rPr>
        <w:rFonts w:ascii="Times New Roman" w:eastAsia="Times New Roman" w:hAnsi="Times New Roman" w:cs="Times New Roman" w:hint="default"/>
        <w:i w:val="0"/>
        <w:color w:val="auto"/>
        <w:sz w:val="22"/>
        <w:szCs w:val="22"/>
      </w:rPr>
    </w:lvl>
    <w:lvl w:ilvl="2" w:tplc="79007154">
      <w:start w:val="1"/>
      <w:numFmt w:val="lowerLetter"/>
      <w:lvlText w:val="%3."/>
      <w:lvlJc w:val="left"/>
      <w:pPr>
        <w:tabs>
          <w:tab w:val="num" w:pos="2520"/>
        </w:tabs>
        <w:ind w:left="2520" w:hanging="720"/>
      </w:pPr>
      <w:rPr>
        <w:i w:val="0"/>
        <w:color w:val="auto"/>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9" w15:restartNumberingAfterBreak="0">
    <w:nsid w:val="3CB956AB"/>
    <w:multiLevelType w:val="hybridMultilevel"/>
    <w:tmpl w:val="D0CEEAC2"/>
    <w:lvl w:ilvl="0" w:tplc="0416000F">
      <w:start w:val="1"/>
      <w:numFmt w:val="decimal"/>
      <w:lvlText w:val="%1."/>
      <w:lvlJc w:val="left"/>
      <w:pPr>
        <w:tabs>
          <w:tab w:val="num" w:pos="1440"/>
        </w:tabs>
        <w:ind w:left="1440" w:hanging="720"/>
      </w:pPr>
      <w:rPr>
        <w:i w:val="0"/>
        <w:color w:val="auto"/>
      </w:rPr>
    </w:lvl>
    <w:lvl w:ilvl="1" w:tplc="04090001">
      <w:numFmt w:val="decimal"/>
      <w:lvlText w:val=""/>
      <w:lvlJc w:val="left"/>
      <w:pPr>
        <w:tabs>
          <w:tab w:val="num" w:pos="1440"/>
        </w:tabs>
        <w:ind w:left="1440" w:hanging="360"/>
      </w:pPr>
      <w:rPr>
        <w:rFonts w:ascii="Symbol" w:hAnsi="Symbol" w:hint="default"/>
        <w:i w:val="0"/>
        <w:color w:val="auto"/>
      </w:rPr>
    </w:lvl>
    <w:lvl w:ilvl="2" w:tplc="03FACBE0">
      <w:start w:val="1"/>
      <w:numFmt w:val="decimal"/>
      <w:lvlText w:val="%3."/>
      <w:lvlJc w:val="left"/>
      <w:pPr>
        <w:tabs>
          <w:tab w:val="num" w:pos="3420"/>
        </w:tabs>
        <w:ind w:left="3420" w:hanging="1440"/>
      </w:pPr>
      <w:rPr>
        <w:rFonts w:ascii="Times New Roman" w:hAnsi="Times New Roman" w:cs="Times New Roman" w:hint="default"/>
        <w:color w:val="000000"/>
      </w:rPr>
    </w:lvl>
    <w:lvl w:ilvl="3" w:tplc="BB089504">
      <w:start w:val="66"/>
      <w:numFmt w:val="decimal"/>
      <w:lvlText w:val="%4."/>
      <w:lvlJc w:val="left"/>
      <w:pPr>
        <w:tabs>
          <w:tab w:val="num" w:pos="1440"/>
        </w:tabs>
        <w:ind w:left="1440" w:hanging="720"/>
      </w:pPr>
      <w:rPr>
        <w:i w:val="0"/>
        <w:color w:val="auto"/>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D552F5B"/>
    <w:multiLevelType w:val="singleLevel"/>
    <w:tmpl w:val="B63485B6"/>
    <w:lvl w:ilvl="0">
      <w:numFmt w:val="decimal"/>
      <w:lvlText w:val="%1"/>
      <w:legacy w:legacy="1" w:legacySpace="0" w:legacyIndent="0"/>
      <w:lvlJc w:val="left"/>
    </w:lvl>
  </w:abstractNum>
  <w:abstractNum w:abstractNumId="11" w15:restartNumberingAfterBreak="0">
    <w:nsid w:val="3DC163FD"/>
    <w:multiLevelType w:val="hybridMultilevel"/>
    <w:tmpl w:val="68781CC0"/>
    <w:lvl w:ilvl="0" w:tplc="6BA86B64">
      <w:start w:val="1"/>
      <w:numFmt w:val="decimal"/>
      <w:lvlText w:val="%1."/>
      <w:lvlJc w:val="left"/>
      <w:pPr>
        <w:ind w:left="1080" w:hanging="360"/>
      </w:pPr>
      <w:rPr>
        <w:rFonts w:ascii="Times New Roman" w:hAnsi="Times New Roman" w:cs="Times New Roman" w:hint="default"/>
        <w:b w:val="0"/>
        <w:i w:val="0"/>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BC1CA3"/>
    <w:multiLevelType w:val="singleLevel"/>
    <w:tmpl w:val="B63485B6"/>
    <w:lvl w:ilvl="0">
      <w:numFmt w:val="decimal"/>
      <w:lvlText w:val="%1"/>
      <w:legacy w:legacy="1" w:legacySpace="0" w:legacyIndent="0"/>
      <w:lvlJc w:val="left"/>
    </w:lvl>
  </w:abstractNum>
  <w:abstractNum w:abstractNumId="13" w15:restartNumberingAfterBreak="0">
    <w:nsid w:val="58CB2E8E"/>
    <w:multiLevelType w:val="hybridMultilevel"/>
    <w:tmpl w:val="24E007D2"/>
    <w:lvl w:ilvl="0" w:tplc="6DD2A456">
      <w:start w:val="1"/>
      <w:numFmt w:val="decimal"/>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21115B"/>
    <w:multiLevelType w:val="singleLevel"/>
    <w:tmpl w:val="B63485B6"/>
    <w:lvl w:ilvl="0">
      <w:numFmt w:val="decimal"/>
      <w:lvlText w:val="%1"/>
      <w:legacy w:legacy="1" w:legacySpace="0" w:legacyIndent="0"/>
      <w:lvlJc w:val="left"/>
    </w:lvl>
  </w:abstractNum>
  <w:abstractNum w:abstractNumId="15" w15:restartNumberingAfterBreak="0">
    <w:nsid w:val="5EBB00A9"/>
    <w:multiLevelType w:val="hybridMultilevel"/>
    <w:tmpl w:val="24E007D2"/>
    <w:lvl w:ilvl="0" w:tplc="6DD2A456">
      <w:start w:val="1"/>
      <w:numFmt w:val="decimal"/>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0E3849"/>
    <w:multiLevelType w:val="multilevel"/>
    <w:tmpl w:val="BD48F432"/>
    <w:lvl w:ilvl="0">
      <w:start w:val="9"/>
      <w:numFmt w:val="decimal"/>
      <w:lvlText w:val="%1."/>
      <w:lvlJc w:val="left"/>
      <w:pPr>
        <w:tabs>
          <w:tab w:val="num" w:pos="3420"/>
        </w:tabs>
        <w:ind w:left="3420" w:hanging="720"/>
      </w:pPr>
      <w:rPr>
        <w:rFonts w:hint="default"/>
        <w:i w:val="0"/>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17" w15:restartNumberingAfterBreak="0">
    <w:nsid w:val="622159A4"/>
    <w:multiLevelType w:val="hybridMultilevel"/>
    <w:tmpl w:val="BD48F432"/>
    <w:lvl w:ilvl="0" w:tplc="A22A968E">
      <w:start w:val="9"/>
      <w:numFmt w:val="decimal"/>
      <w:lvlText w:val="%1."/>
      <w:lvlJc w:val="left"/>
      <w:pPr>
        <w:tabs>
          <w:tab w:val="num" w:pos="3420"/>
        </w:tabs>
        <w:ind w:left="3420" w:hanging="720"/>
      </w:pPr>
      <w:rPr>
        <w:rFonts w:hint="default"/>
        <w:i w:val="0"/>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8" w15:restartNumberingAfterBreak="0">
    <w:nsid w:val="67B84B30"/>
    <w:multiLevelType w:val="singleLevel"/>
    <w:tmpl w:val="B63485B6"/>
    <w:lvl w:ilvl="0">
      <w:numFmt w:val="decimal"/>
      <w:lvlText w:val="%1"/>
      <w:legacy w:legacy="1" w:legacySpace="0" w:legacyIndent="0"/>
      <w:lvlJc w:val="left"/>
    </w:lvl>
  </w:abstractNum>
  <w:abstractNum w:abstractNumId="19" w15:restartNumberingAfterBreak="0">
    <w:nsid w:val="689C71A0"/>
    <w:multiLevelType w:val="hybridMultilevel"/>
    <w:tmpl w:val="C8586BDC"/>
    <w:lvl w:ilvl="0" w:tplc="1038AF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840"/>
    <w:multiLevelType w:val="singleLevel"/>
    <w:tmpl w:val="B63485B6"/>
    <w:lvl w:ilvl="0">
      <w:numFmt w:val="decimal"/>
      <w:lvlText w:val="%1"/>
      <w:legacy w:legacy="1" w:legacySpace="0" w:legacyIndent="0"/>
      <w:lvlJc w:val="left"/>
    </w:lvl>
  </w:abstractNum>
  <w:abstractNum w:abstractNumId="21" w15:restartNumberingAfterBreak="0">
    <w:nsid w:val="6F1C51B9"/>
    <w:multiLevelType w:val="hybridMultilevel"/>
    <w:tmpl w:val="BDC6D53E"/>
    <w:lvl w:ilvl="0" w:tplc="DB2488B0">
      <w:start w:val="3"/>
      <w:numFmt w:val="upperRoman"/>
      <w:lvlText w:val="%1."/>
      <w:lvlJc w:val="left"/>
      <w:pPr>
        <w:tabs>
          <w:tab w:val="num" w:pos="1080"/>
        </w:tabs>
        <w:ind w:left="1080" w:hanging="360"/>
      </w:pPr>
      <w:rPr>
        <w:i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795D2853"/>
    <w:multiLevelType w:val="hybridMultilevel"/>
    <w:tmpl w:val="A15CC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C8A0C3A"/>
    <w:multiLevelType w:val="hybridMultilevel"/>
    <w:tmpl w:val="8AE602E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CF47BE9"/>
    <w:multiLevelType w:val="singleLevel"/>
    <w:tmpl w:val="B63485B6"/>
    <w:lvl w:ilvl="0">
      <w:numFmt w:val="decimal"/>
      <w:lvlText w:val="%1"/>
      <w:legacy w:legacy="1" w:legacySpace="0" w:legacyIndent="0"/>
      <w:lvlJc w:val="left"/>
    </w:lvl>
  </w:abstractNum>
  <w:abstractNum w:abstractNumId="25" w15:restartNumberingAfterBreak="0">
    <w:nsid w:val="7F912BA5"/>
    <w:multiLevelType w:val="singleLevel"/>
    <w:tmpl w:val="B63485B6"/>
    <w:lvl w:ilvl="0">
      <w:numFmt w:val="decimal"/>
      <w:lvlText w:val="%1"/>
      <w:legacy w:legacy="1" w:legacySpace="0" w:legacyIndent="0"/>
      <w:lvlJc w:val="left"/>
    </w:lvl>
  </w:abstractNum>
  <w:num w:numId="1">
    <w:abstractNumId w:val="1"/>
  </w:num>
  <w:num w:numId="2">
    <w:abstractNumId w:val="13"/>
  </w:num>
  <w:num w:numId="3">
    <w:abstractNumId w:val="2"/>
  </w:num>
  <w:num w:numId="4">
    <w:abstractNumId w:val="17"/>
  </w:num>
  <w:num w:numId="5">
    <w:abstractNumId w:val="5"/>
  </w:num>
  <w:num w:numId="6">
    <w:abstractNumId w:val="20"/>
  </w:num>
  <w:num w:numId="7">
    <w:abstractNumId w:val="10"/>
  </w:num>
  <w:num w:numId="8">
    <w:abstractNumId w:val="24"/>
  </w:num>
  <w:num w:numId="9">
    <w:abstractNumId w:val="7"/>
  </w:num>
  <w:num w:numId="10">
    <w:abstractNumId w:val="25"/>
  </w:num>
  <w:num w:numId="11">
    <w:abstractNumId w:val="19"/>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14"/>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81"/>
    <w:rsid w:val="00000D2B"/>
    <w:rsid w:val="000021BF"/>
    <w:rsid w:val="00005403"/>
    <w:rsid w:val="000054D3"/>
    <w:rsid w:val="00006F59"/>
    <w:rsid w:val="000107AC"/>
    <w:rsid w:val="000111FF"/>
    <w:rsid w:val="00012B40"/>
    <w:rsid w:val="00012CC8"/>
    <w:rsid w:val="00012EBE"/>
    <w:rsid w:val="000139C5"/>
    <w:rsid w:val="000152AD"/>
    <w:rsid w:val="00017F9B"/>
    <w:rsid w:val="000215F4"/>
    <w:rsid w:val="000236C8"/>
    <w:rsid w:val="0002437B"/>
    <w:rsid w:val="00030A03"/>
    <w:rsid w:val="00031345"/>
    <w:rsid w:val="00031935"/>
    <w:rsid w:val="00032DA7"/>
    <w:rsid w:val="000351E6"/>
    <w:rsid w:val="00036BD6"/>
    <w:rsid w:val="0003700F"/>
    <w:rsid w:val="000370D6"/>
    <w:rsid w:val="00040414"/>
    <w:rsid w:val="000455A9"/>
    <w:rsid w:val="00056CC7"/>
    <w:rsid w:val="00057021"/>
    <w:rsid w:val="00060022"/>
    <w:rsid w:val="00061CB0"/>
    <w:rsid w:val="00061CD7"/>
    <w:rsid w:val="00062511"/>
    <w:rsid w:val="0006609F"/>
    <w:rsid w:val="00067679"/>
    <w:rsid w:val="000677BB"/>
    <w:rsid w:val="00071CC8"/>
    <w:rsid w:val="00073B54"/>
    <w:rsid w:val="00075259"/>
    <w:rsid w:val="00075660"/>
    <w:rsid w:val="00080330"/>
    <w:rsid w:val="00082959"/>
    <w:rsid w:val="00085C56"/>
    <w:rsid w:val="00086A02"/>
    <w:rsid w:val="00086C48"/>
    <w:rsid w:val="00091D45"/>
    <w:rsid w:val="000930D9"/>
    <w:rsid w:val="00096509"/>
    <w:rsid w:val="000979A5"/>
    <w:rsid w:val="000A3DE8"/>
    <w:rsid w:val="000B02B9"/>
    <w:rsid w:val="000B1AD7"/>
    <w:rsid w:val="000B71F5"/>
    <w:rsid w:val="000C4746"/>
    <w:rsid w:val="000C5937"/>
    <w:rsid w:val="000C5C8D"/>
    <w:rsid w:val="000C63A1"/>
    <w:rsid w:val="000C750F"/>
    <w:rsid w:val="000D7115"/>
    <w:rsid w:val="000D7D88"/>
    <w:rsid w:val="000E025E"/>
    <w:rsid w:val="000E2824"/>
    <w:rsid w:val="000E3305"/>
    <w:rsid w:val="000E648F"/>
    <w:rsid w:val="000F143C"/>
    <w:rsid w:val="000F3B5D"/>
    <w:rsid w:val="000F3EC1"/>
    <w:rsid w:val="000F43AC"/>
    <w:rsid w:val="000F757A"/>
    <w:rsid w:val="00101F79"/>
    <w:rsid w:val="00103491"/>
    <w:rsid w:val="00107D23"/>
    <w:rsid w:val="00112C28"/>
    <w:rsid w:val="00115935"/>
    <w:rsid w:val="0011655F"/>
    <w:rsid w:val="0012629F"/>
    <w:rsid w:val="00133F15"/>
    <w:rsid w:val="00140156"/>
    <w:rsid w:val="001412CF"/>
    <w:rsid w:val="00143EBB"/>
    <w:rsid w:val="0014425C"/>
    <w:rsid w:val="00145DAD"/>
    <w:rsid w:val="001465AF"/>
    <w:rsid w:val="00146E08"/>
    <w:rsid w:val="0015256E"/>
    <w:rsid w:val="0015268B"/>
    <w:rsid w:val="00156FCA"/>
    <w:rsid w:val="00161694"/>
    <w:rsid w:val="00164407"/>
    <w:rsid w:val="0016572A"/>
    <w:rsid w:val="00165A1B"/>
    <w:rsid w:val="00165EF4"/>
    <w:rsid w:val="00167022"/>
    <w:rsid w:val="001670A5"/>
    <w:rsid w:val="00171C4A"/>
    <w:rsid w:val="00172B77"/>
    <w:rsid w:val="00174099"/>
    <w:rsid w:val="00174280"/>
    <w:rsid w:val="00176183"/>
    <w:rsid w:val="00177A64"/>
    <w:rsid w:val="00183386"/>
    <w:rsid w:val="00183F4A"/>
    <w:rsid w:val="001A06B1"/>
    <w:rsid w:val="001A3273"/>
    <w:rsid w:val="001A4189"/>
    <w:rsid w:val="001A4520"/>
    <w:rsid w:val="001A70DE"/>
    <w:rsid w:val="001B628F"/>
    <w:rsid w:val="001B79BC"/>
    <w:rsid w:val="001B79C1"/>
    <w:rsid w:val="001B7AC6"/>
    <w:rsid w:val="001C7866"/>
    <w:rsid w:val="001D0D30"/>
    <w:rsid w:val="001D0FEB"/>
    <w:rsid w:val="001D149D"/>
    <w:rsid w:val="001D3AD8"/>
    <w:rsid w:val="001D4072"/>
    <w:rsid w:val="001D6FFC"/>
    <w:rsid w:val="001D72C0"/>
    <w:rsid w:val="001E133C"/>
    <w:rsid w:val="001E28F9"/>
    <w:rsid w:val="001E4400"/>
    <w:rsid w:val="001E4ACD"/>
    <w:rsid w:val="001E6255"/>
    <w:rsid w:val="001E6377"/>
    <w:rsid w:val="001E77A2"/>
    <w:rsid w:val="001F0A62"/>
    <w:rsid w:val="001F60BC"/>
    <w:rsid w:val="002020F2"/>
    <w:rsid w:val="00203086"/>
    <w:rsid w:val="00204110"/>
    <w:rsid w:val="00204D4F"/>
    <w:rsid w:val="00211B0D"/>
    <w:rsid w:val="00215705"/>
    <w:rsid w:val="00221584"/>
    <w:rsid w:val="00223481"/>
    <w:rsid w:val="00226434"/>
    <w:rsid w:val="002271F8"/>
    <w:rsid w:val="0022782D"/>
    <w:rsid w:val="00232A50"/>
    <w:rsid w:val="002332C2"/>
    <w:rsid w:val="00234238"/>
    <w:rsid w:val="00234FB3"/>
    <w:rsid w:val="00240041"/>
    <w:rsid w:val="002419C2"/>
    <w:rsid w:val="00243AE2"/>
    <w:rsid w:val="00243BD5"/>
    <w:rsid w:val="00247D51"/>
    <w:rsid w:val="00250B20"/>
    <w:rsid w:val="0025195D"/>
    <w:rsid w:val="00252450"/>
    <w:rsid w:val="002570D1"/>
    <w:rsid w:val="00257BA4"/>
    <w:rsid w:val="00263254"/>
    <w:rsid w:val="00264954"/>
    <w:rsid w:val="00267A22"/>
    <w:rsid w:val="00267D52"/>
    <w:rsid w:val="0027209F"/>
    <w:rsid w:val="00272AAF"/>
    <w:rsid w:val="00276FE9"/>
    <w:rsid w:val="00277DD2"/>
    <w:rsid w:val="00277EC6"/>
    <w:rsid w:val="00280247"/>
    <w:rsid w:val="002802AB"/>
    <w:rsid w:val="00282CCC"/>
    <w:rsid w:val="00284EB2"/>
    <w:rsid w:val="00285A9F"/>
    <w:rsid w:val="002876C6"/>
    <w:rsid w:val="0029007E"/>
    <w:rsid w:val="002910CA"/>
    <w:rsid w:val="00292B6D"/>
    <w:rsid w:val="00294CBD"/>
    <w:rsid w:val="002A29B5"/>
    <w:rsid w:val="002A3082"/>
    <w:rsid w:val="002A7AB6"/>
    <w:rsid w:val="002A7FB8"/>
    <w:rsid w:val="002B1684"/>
    <w:rsid w:val="002B2B01"/>
    <w:rsid w:val="002B3106"/>
    <w:rsid w:val="002B336E"/>
    <w:rsid w:val="002B769A"/>
    <w:rsid w:val="002C18BD"/>
    <w:rsid w:val="002C1F06"/>
    <w:rsid w:val="002C38A5"/>
    <w:rsid w:val="002C4ED0"/>
    <w:rsid w:val="002D08F8"/>
    <w:rsid w:val="002D1564"/>
    <w:rsid w:val="002D15FF"/>
    <w:rsid w:val="002D208D"/>
    <w:rsid w:val="002D44EE"/>
    <w:rsid w:val="002D4574"/>
    <w:rsid w:val="002E3E4C"/>
    <w:rsid w:val="002E5B27"/>
    <w:rsid w:val="002F0D43"/>
    <w:rsid w:val="002F3434"/>
    <w:rsid w:val="002F76D2"/>
    <w:rsid w:val="002F7ECC"/>
    <w:rsid w:val="0030049F"/>
    <w:rsid w:val="00302896"/>
    <w:rsid w:val="00303FBF"/>
    <w:rsid w:val="003067A2"/>
    <w:rsid w:val="0030753E"/>
    <w:rsid w:val="00310E56"/>
    <w:rsid w:val="0031121F"/>
    <w:rsid w:val="003133F6"/>
    <w:rsid w:val="00313AE8"/>
    <w:rsid w:val="00313E36"/>
    <w:rsid w:val="003165D3"/>
    <w:rsid w:val="00316696"/>
    <w:rsid w:val="0031713F"/>
    <w:rsid w:val="0031774B"/>
    <w:rsid w:val="0032116B"/>
    <w:rsid w:val="00321F5A"/>
    <w:rsid w:val="00323831"/>
    <w:rsid w:val="00323B79"/>
    <w:rsid w:val="003242E9"/>
    <w:rsid w:val="003263EA"/>
    <w:rsid w:val="00327802"/>
    <w:rsid w:val="003407F1"/>
    <w:rsid w:val="00340D7B"/>
    <w:rsid w:val="00341A25"/>
    <w:rsid w:val="00345BCB"/>
    <w:rsid w:val="00351CC1"/>
    <w:rsid w:val="0035426A"/>
    <w:rsid w:val="00354480"/>
    <w:rsid w:val="0035482F"/>
    <w:rsid w:val="0035541E"/>
    <w:rsid w:val="003575DF"/>
    <w:rsid w:val="003621D1"/>
    <w:rsid w:val="00362560"/>
    <w:rsid w:val="00364271"/>
    <w:rsid w:val="003665F3"/>
    <w:rsid w:val="003709C0"/>
    <w:rsid w:val="00373F2E"/>
    <w:rsid w:val="00374ECA"/>
    <w:rsid w:val="003759B4"/>
    <w:rsid w:val="00382077"/>
    <w:rsid w:val="00382501"/>
    <w:rsid w:val="00383EE2"/>
    <w:rsid w:val="00385188"/>
    <w:rsid w:val="00385747"/>
    <w:rsid w:val="003862B0"/>
    <w:rsid w:val="00387372"/>
    <w:rsid w:val="00391A7F"/>
    <w:rsid w:val="00391A8F"/>
    <w:rsid w:val="0039519A"/>
    <w:rsid w:val="003A0970"/>
    <w:rsid w:val="003A0A63"/>
    <w:rsid w:val="003A32F5"/>
    <w:rsid w:val="003A49DA"/>
    <w:rsid w:val="003A4FC3"/>
    <w:rsid w:val="003A75D8"/>
    <w:rsid w:val="003B1287"/>
    <w:rsid w:val="003B1ECD"/>
    <w:rsid w:val="003B475D"/>
    <w:rsid w:val="003B509D"/>
    <w:rsid w:val="003C0B10"/>
    <w:rsid w:val="003C48E9"/>
    <w:rsid w:val="003C5781"/>
    <w:rsid w:val="003C79FF"/>
    <w:rsid w:val="003D05BF"/>
    <w:rsid w:val="003D513D"/>
    <w:rsid w:val="003D5C06"/>
    <w:rsid w:val="003D696B"/>
    <w:rsid w:val="003D7916"/>
    <w:rsid w:val="003E1876"/>
    <w:rsid w:val="003E3806"/>
    <w:rsid w:val="003E6665"/>
    <w:rsid w:val="003E6800"/>
    <w:rsid w:val="003E74F9"/>
    <w:rsid w:val="003F38A0"/>
    <w:rsid w:val="004016A3"/>
    <w:rsid w:val="00403F6B"/>
    <w:rsid w:val="00404573"/>
    <w:rsid w:val="00404E75"/>
    <w:rsid w:val="00405BF3"/>
    <w:rsid w:val="0040637B"/>
    <w:rsid w:val="0040746D"/>
    <w:rsid w:val="00407E17"/>
    <w:rsid w:val="00411D43"/>
    <w:rsid w:val="00414877"/>
    <w:rsid w:val="004215D0"/>
    <w:rsid w:val="004217A8"/>
    <w:rsid w:val="00423ED6"/>
    <w:rsid w:val="00426385"/>
    <w:rsid w:val="00427D6A"/>
    <w:rsid w:val="00430EF2"/>
    <w:rsid w:val="00433B51"/>
    <w:rsid w:val="004369B6"/>
    <w:rsid w:val="00436E2A"/>
    <w:rsid w:val="00440036"/>
    <w:rsid w:val="00440691"/>
    <w:rsid w:val="004427FB"/>
    <w:rsid w:val="00444D1E"/>
    <w:rsid w:val="00444DF9"/>
    <w:rsid w:val="0044738C"/>
    <w:rsid w:val="00451756"/>
    <w:rsid w:val="004519B2"/>
    <w:rsid w:val="0045312B"/>
    <w:rsid w:val="00453ACC"/>
    <w:rsid w:val="00454A0F"/>
    <w:rsid w:val="00457CE9"/>
    <w:rsid w:val="004603C0"/>
    <w:rsid w:val="00461500"/>
    <w:rsid w:val="00461C52"/>
    <w:rsid w:val="00462162"/>
    <w:rsid w:val="004629BD"/>
    <w:rsid w:val="0046585F"/>
    <w:rsid w:val="004667CA"/>
    <w:rsid w:val="00476DB8"/>
    <w:rsid w:val="004770C5"/>
    <w:rsid w:val="00480715"/>
    <w:rsid w:val="004836BC"/>
    <w:rsid w:val="00483FC2"/>
    <w:rsid w:val="00487EAF"/>
    <w:rsid w:val="00490A9B"/>
    <w:rsid w:val="00491C50"/>
    <w:rsid w:val="00493930"/>
    <w:rsid w:val="00496B71"/>
    <w:rsid w:val="00496C63"/>
    <w:rsid w:val="004A022C"/>
    <w:rsid w:val="004A5147"/>
    <w:rsid w:val="004B0013"/>
    <w:rsid w:val="004B0764"/>
    <w:rsid w:val="004B0D8B"/>
    <w:rsid w:val="004B20C6"/>
    <w:rsid w:val="004B2613"/>
    <w:rsid w:val="004C2FCC"/>
    <w:rsid w:val="004C3095"/>
    <w:rsid w:val="004C4DE0"/>
    <w:rsid w:val="004D2E11"/>
    <w:rsid w:val="004D53EE"/>
    <w:rsid w:val="004D57E7"/>
    <w:rsid w:val="004D5B01"/>
    <w:rsid w:val="004D5D9C"/>
    <w:rsid w:val="004E2594"/>
    <w:rsid w:val="004E4D07"/>
    <w:rsid w:val="004E70DE"/>
    <w:rsid w:val="004F0BD9"/>
    <w:rsid w:val="004F78A0"/>
    <w:rsid w:val="004F78DB"/>
    <w:rsid w:val="00506CF5"/>
    <w:rsid w:val="00510842"/>
    <w:rsid w:val="005116CE"/>
    <w:rsid w:val="00513210"/>
    <w:rsid w:val="00533E50"/>
    <w:rsid w:val="005374C4"/>
    <w:rsid w:val="00537894"/>
    <w:rsid w:val="005433D7"/>
    <w:rsid w:val="005448BB"/>
    <w:rsid w:val="00545EF3"/>
    <w:rsid w:val="00555821"/>
    <w:rsid w:val="00557351"/>
    <w:rsid w:val="005626F0"/>
    <w:rsid w:val="005637D6"/>
    <w:rsid w:val="00563D52"/>
    <w:rsid w:val="00563D6B"/>
    <w:rsid w:val="0056525C"/>
    <w:rsid w:val="00565A92"/>
    <w:rsid w:val="00566E02"/>
    <w:rsid w:val="00571715"/>
    <w:rsid w:val="00574DAE"/>
    <w:rsid w:val="00584590"/>
    <w:rsid w:val="00585049"/>
    <w:rsid w:val="005858E5"/>
    <w:rsid w:val="005903AE"/>
    <w:rsid w:val="00591DDA"/>
    <w:rsid w:val="005931AD"/>
    <w:rsid w:val="00593C5A"/>
    <w:rsid w:val="00596731"/>
    <w:rsid w:val="005A0D25"/>
    <w:rsid w:val="005A4D38"/>
    <w:rsid w:val="005A517C"/>
    <w:rsid w:val="005A6ACA"/>
    <w:rsid w:val="005B2523"/>
    <w:rsid w:val="005C1C38"/>
    <w:rsid w:val="005C3CE1"/>
    <w:rsid w:val="005C4138"/>
    <w:rsid w:val="005C4A3B"/>
    <w:rsid w:val="005C6544"/>
    <w:rsid w:val="005D5C59"/>
    <w:rsid w:val="005E0DD4"/>
    <w:rsid w:val="005E28F8"/>
    <w:rsid w:val="005E3489"/>
    <w:rsid w:val="005E6039"/>
    <w:rsid w:val="005E6A25"/>
    <w:rsid w:val="005E7C9F"/>
    <w:rsid w:val="005F0447"/>
    <w:rsid w:val="005F0878"/>
    <w:rsid w:val="005F6F7B"/>
    <w:rsid w:val="00600636"/>
    <w:rsid w:val="006054DC"/>
    <w:rsid w:val="00607521"/>
    <w:rsid w:val="00610369"/>
    <w:rsid w:val="00611E44"/>
    <w:rsid w:val="006126BC"/>
    <w:rsid w:val="006158A9"/>
    <w:rsid w:val="00617FE1"/>
    <w:rsid w:val="00622ACE"/>
    <w:rsid w:val="006239A9"/>
    <w:rsid w:val="00624333"/>
    <w:rsid w:val="00624DC8"/>
    <w:rsid w:val="0063152F"/>
    <w:rsid w:val="006326D9"/>
    <w:rsid w:val="00633CDE"/>
    <w:rsid w:val="00635621"/>
    <w:rsid w:val="00635CD6"/>
    <w:rsid w:val="00641AE0"/>
    <w:rsid w:val="00642274"/>
    <w:rsid w:val="0064550C"/>
    <w:rsid w:val="00645832"/>
    <w:rsid w:val="0064782D"/>
    <w:rsid w:val="0065085D"/>
    <w:rsid w:val="006516F1"/>
    <w:rsid w:val="00652CD9"/>
    <w:rsid w:val="00654EBA"/>
    <w:rsid w:val="006579CE"/>
    <w:rsid w:val="00660676"/>
    <w:rsid w:val="00661E95"/>
    <w:rsid w:val="00664E23"/>
    <w:rsid w:val="006740DE"/>
    <w:rsid w:val="0067703B"/>
    <w:rsid w:val="00680320"/>
    <w:rsid w:val="00683096"/>
    <w:rsid w:val="006847B2"/>
    <w:rsid w:val="0068783E"/>
    <w:rsid w:val="00690833"/>
    <w:rsid w:val="00693965"/>
    <w:rsid w:val="006943AA"/>
    <w:rsid w:val="00695672"/>
    <w:rsid w:val="006A07FB"/>
    <w:rsid w:val="006A5AAF"/>
    <w:rsid w:val="006B016D"/>
    <w:rsid w:val="006B0AFA"/>
    <w:rsid w:val="006B11FB"/>
    <w:rsid w:val="006B3468"/>
    <w:rsid w:val="006C2565"/>
    <w:rsid w:val="006C2785"/>
    <w:rsid w:val="006C4503"/>
    <w:rsid w:val="006C5CD1"/>
    <w:rsid w:val="006D3C03"/>
    <w:rsid w:val="006D4D6B"/>
    <w:rsid w:val="006D5348"/>
    <w:rsid w:val="006D66C8"/>
    <w:rsid w:val="006D7F40"/>
    <w:rsid w:val="006E3D4A"/>
    <w:rsid w:val="006E73CC"/>
    <w:rsid w:val="006F1F03"/>
    <w:rsid w:val="006F62F3"/>
    <w:rsid w:val="0070390C"/>
    <w:rsid w:val="00705CB4"/>
    <w:rsid w:val="00707216"/>
    <w:rsid w:val="0070781A"/>
    <w:rsid w:val="00711226"/>
    <w:rsid w:val="0071271C"/>
    <w:rsid w:val="00714460"/>
    <w:rsid w:val="00714C3C"/>
    <w:rsid w:val="00715F9E"/>
    <w:rsid w:val="00717710"/>
    <w:rsid w:val="00717B13"/>
    <w:rsid w:val="0072313E"/>
    <w:rsid w:val="00723406"/>
    <w:rsid w:val="0073070D"/>
    <w:rsid w:val="00732631"/>
    <w:rsid w:val="007401A8"/>
    <w:rsid w:val="00742138"/>
    <w:rsid w:val="0074346B"/>
    <w:rsid w:val="0075040F"/>
    <w:rsid w:val="00755004"/>
    <w:rsid w:val="00757B8D"/>
    <w:rsid w:val="00762305"/>
    <w:rsid w:val="0076295A"/>
    <w:rsid w:val="00764075"/>
    <w:rsid w:val="00764BC5"/>
    <w:rsid w:val="00764FA0"/>
    <w:rsid w:val="00765D61"/>
    <w:rsid w:val="00767694"/>
    <w:rsid w:val="00767F2F"/>
    <w:rsid w:val="007722AA"/>
    <w:rsid w:val="00772F6C"/>
    <w:rsid w:val="007734A6"/>
    <w:rsid w:val="00773CDE"/>
    <w:rsid w:val="007809DF"/>
    <w:rsid w:val="00787590"/>
    <w:rsid w:val="00792905"/>
    <w:rsid w:val="0079330E"/>
    <w:rsid w:val="0079569B"/>
    <w:rsid w:val="00797FBF"/>
    <w:rsid w:val="007A1CF5"/>
    <w:rsid w:val="007A3793"/>
    <w:rsid w:val="007B51E1"/>
    <w:rsid w:val="007B7F4D"/>
    <w:rsid w:val="007C1359"/>
    <w:rsid w:val="007C4333"/>
    <w:rsid w:val="007C58AD"/>
    <w:rsid w:val="007D3991"/>
    <w:rsid w:val="007D5CBD"/>
    <w:rsid w:val="007D67F1"/>
    <w:rsid w:val="007D6A81"/>
    <w:rsid w:val="007E1C6A"/>
    <w:rsid w:val="007E4636"/>
    <w:rsid w:val="007E4C1D"/>
    <w:rsid w:val="007E52A5"/>
    <w:rsid w:val="007E54F4"/>
    <w:rsid w:val="00801288"/>
    <w:rsid w:val="008012D8"/>
    <w:rsid w:val="00801BDA"/>
    <w:rsid w:val="00802C99"/>
    <w:rsid w:val="00804CAA"/>
    <w:rsid w:val="008060FE"/>
    <w:rsid w:val="008063ED"/>
    <w:rsid w:val="008120AC"/>
    <w:rsid w:val="0081743B"/>
    <w:rsid w:val="008206C1"/>
    <w:rsid w:val="0082124C"/>
    <w:rsid w:val="00824845"/>
    <w:rsid w:val="00826D2A"/>
    <w:rsid w:val="00827E3F"/>
    <w:rsid w:val="00830C6C"/>
    <w:rsid w:val="008368F6"/>
    <w:rsid w:val="008378A7"/>
    <w:rsid w:val="00841237"/>
    <w:rsid w:val="00842F3C"/>
    <w:rsid w:val="008442AC"/>
    <w:rsid w:val="00844455"/>
    <w:rsid w:val="00845C9F"/>
    <w:rsid w:val="00846FBC"/>
    <w:rsid w:val="0085171B"/>
    <w:rsid w:val="008553B9"/>
    <w:rsid w:val="008565A4"/>
    <w:rsid w:val="00860C2D"/>
    <w:rsid w:val="00863C12"/>
    <w:rsid w:val="0086409F"/>
    <w:rsid w:val="00865C47"/>
    <w:rsid w:val="00865DE5"/>
    <w:rsid w:val="0086694A"/>
    <w:rsid w:val="00866BEC"/>
    <w:rsid w:val="00867DC0"/>
    <w:rsid w:val="00870C1A"/>
    <w:rsid w:val="00872D31"/>
    <w:rsid w:val="00872D32"/>
    <w:rsid w:val="00874991"/>
    <w:rsid w:val="0087736E"/>
    <w:rsid w:val="008800D7"/>
    <w:rsid w:val="00885DC8"/>
    <w:rsid w:val="00890DFD"/>
    <w:rsid w:val="008923A1"/>
    <w:rsid w:val="008932F6"/>
    <w:rsid w:val="0089557F"/>
    <w:rsid w:val="0089619F"/>
    <w:rsid w:val="008976D1"/>
    <w:rsid w:val="00897B8C"/>
    <w:rsid w:val="008A1ABC"/>
    <w:rsid w:val="008A399A"/>
    <w:rsid w:val="008A5B98"/>
    <w:rsid w:val="008B0806"/>
    <w:rsid w:val="008C1548"/>
    <w:rsid w:val="008C2D2E"/>
    <w:rsid w:val="008C448A"/>
    <w:rsid w:val="008D0F81"/>
    <w:rsid w:val="008D1406"/>
    <w:rsid w:val="008D2DD2"/>
    <w:rsid w:val="008D3AF6"/>
    <w:rsid w:val="008E6438"/>
    <w:rsid w:val="008F0FEA"/>
    <w:rsid w:val="008F1AB8"/>
    <w:rsid w:val="008F3F67"/>
    <w:rsid w:val="008F64CD"/>
    <w:rsid w:val="0090141D"/>
    <w:rsid w:val="00902B0E"/>
    <w:rsid w:val="00905A8B"/>
    <w:rsid w:val="0091369B"/>
    <w:rsid w:val="00913B9D"/>
    <w:rsid w:val="009141AF"/>
    <w:rsid w:val="00916F5D"/>
    <w:rsid w:val="00921064"/>
    <w:rsid w:val="009268AB"/>
    <w:rsid w:val="00926C0F"/>
    <w:rsid w:val="00927F82"/>
    <w:rsid w:val="00930444"/>
    <w:rsid w:val="0093385E"/>
    <w:rsid w:val="00933AA0"/>
    <w:rsid w:val="00933B20"/>
    <w:rsid w:val="009343FA"/>
    <w:rsid w:val="009372E0"/>
    <w:rsid w:val="00937DED"/>
    <w:rsid w:val="00940335"/>
    <w:rsid w:val="00943686"/>
    <w:rsid w:val="009441E3"/>
    <w:rsid w:val="009446C5"/>
    <w:rsid w:val="00947A4D"/>
    <w:rsid w:val="00956C8E"/>
    <w:rsid w:val="00957F22"/>
    <w:rsid w:val="00961CB7"/>
    <w:rsid w:val="00961DCF"/>
    <w:rsid w:val="00964616"/>
    <w:rsid w:val="009646FC"/>
    <w:rsid w:val="00971012"/>
    <w:rsid w:val="00973A0B"/>
    <w:rsid w:val="00973D8A"/>
    <w:rsid w:val="00974710"/>
    <w:rsid w:val="00975771"/>
    <w:rsid w:val="00975792"/>
    <w:rsid w:val="009766F1"/>
    <w:rsid w:val="00976C49"/>
    <w:rsid w:val="00977426"/>
    <w:rsid w:val="009802C9"/>
    <w:rsid w:val="009818C8"/>
    <w:rsid w:val="00981B71"/>
    <w:rsid w:val="00985AB5"/>
    <w:rsid w:val="00986401"/>
    <w:rsid w:val="009868A9"/>
    <w:rsid w:val="00986B12"/>
    <w:rsid w:val="00991A54"/>
    <w:rsid w:val="00996EE9"/>
    <w:rsid w:val="009A154F"/>
    <w:rsid w:val="009A2779"/>
    <w:rsid w:val="009A2A33"/>
    <w:rsid w:val="009A5197"/>
    <w:rsid w:val="009A6897"/>
    <w:rsid w:val="009B0DCB"/>
    <w:rsid w:val="009B5A1B"/>
    <w:rsid w:val="009C02E9"/>
    <w:rsid w:val="009C2A18"/>
    <w:rsid w:val="009C3649"/>
    <w:rsid w:val="009C41FC"/>
    <w:rsid w:val="009C5A16"/>
    <w:rsid w:val="009C66D2"/>
    <w:rsid w:val="009C7C3A"/>
    <w:rsid w:val="009D1C20"/>
    <w:rsid w:val="009D1F1C"/>
    <w:rsid w:val="009D34D6"/>
    <w:rsid w:val="009D5FE7"/>
    <w:rsid w:val="009D65EA"/>
    <w:rsid w:val="009E5102"/>
    <w:rsid w:val="009F1236"/>
    <w:rsid w:val="009F28BC"/>
    <w:rsid w:val="009F339D"/>
    <w:rsid w:val="009F3CCA"/>
    <w:rsid w:val="009F526B"/>
    <w:rsid w:val="009F596C"/>
    <w:rsid w:val="009F7326"/>
    <w:rsid w:val="00A01E2E"/>
    <w:rsid w:val="00A02131"/>
    <w:rsid w:val="00A02664"/>
    <w:rsid w:val="00A041C4"/>
    <w:rsid w:val="00A0507B"/>
    <w:rsid w:val="00A0699D"/>
    <w:rsid w:val="00A07058"/>
    <w:rsid w:val="00A0786E"/>
    <w:rsid w:val="00A11C92"/>
    <w:rsid w:val="00A11CAD"/>
    <w:rsid w:val="00A143F5"/>
    <w:rsid w:val="00A16E41"/>
    <w:rsid w:val="00A17C3C"/>
    <w:rsid w:val="00A20539"/>
    <w:rsid w:val="00A21A4B"/>
    <w:rsid w:val="00A22044"/>
    <w:rsid w:val="00A253D2"/>
    <w:rsid w:val="00A34D95"/>
    <w:rsid w:val="00A368C3"/>
    <w:rsid w:val="00A37022"/>
    <w:rsid w:val="00A421AF"/>
    <w:rsid w:val="00A47589"/>
    <w:rsid w:val="00A51A51"/>
    <w:rsid w:val="00A52435"/>
    <w:rsid w:val="00A52961"/>
    <w:rsid w:val="00A557F9"/>
    <w:rsid w:val="00A55A2B"/>
    <w:rsid w:val="00A635BC"/>
    <w:rsid w:val="00A64925"/>
    <w:rsid w:val="00A67239"/>
    <w:rsid w:val="00A751E2"/>
    <w:rsid w:val="00A84271"/>
    <w:rsid w:val="00A85F66"/>
    <w:rsid w:val="00A91425"/>
    <w:rsid w:val="00A91474"/>
    <w:rsid w:val="00A917E8"/>
    <w:rsid w:val="00A92B57"/>
    <w:rsid w:val="00A964E9"/>
    <w:rsid w:val="00AA0297"/>
    <w:rsid w:val="00AA2CF1"/>
    <w:rsid w:val="00AA3026"/>
    <w:rsid w:val="00AA5736"/>
    <w:rsid w:val="00AB21FB"/>
    <w:rsid w:val="00AB7F5E"/>
    <w:rsid w:val="00AC060E"/>
    <w:rsid w:val="00AC589D"/>
    <w:rsid w:val="00AC6FA2"/>
    <w:rsid w:val="00AD1CB9"/>
    <w:rsid w:val="00AD2853"/>
    <w:rsid w:val="00AD51F2"/>
    <w:rsid w:val="00AD62CB"/>
    <w:rsid w:val="00AD6E8C"/>
    <w:rsid w:val="00AE0765"/>
    <w:rsid w:val="00AE1FEF"/>
    <w:rsid w:val="00AE273B"/>
    <w:rsid w:val="00AE2CC1"/>
    <w:rsid w:val="00AE541D"/>
    <w:rsid w:val="00AE66CF"/>
    <w:rsid w:val="00AF2DCD"/>
    <w:rsid w:val="00AF3FDB"/>
    <w:rsid w:val="00AF43A4"/>
    <w:rsid w:val="00AF7381"/>
    <w:rsid w:val="00AF7EFF"/>
    <w:rsid w:val="00B017C4"/>
    <w:rsid w:val="00B01D7F"/>
    <w:rsid w:val="00B055BD"/>
    <w:rsid w:val="00B07CEF"/>
    <w:rsid w:val="00B10219"/>
    <w:rsid w:val="00B1447C"/>
    <w:rsid w:val="00B14B71"/>
    <w:rsid w:val="00B1513A"/>
    <w:rsid w:val="00B17122"/>
    <w:rsid w:val="00B1746C"/>
    <w:rsid w:val="00B2163C"/>
    <w:rsid w:val="00B223CB"/>
    <w:rsid w:val="00B22533"/>
    <w:rsid w:val="00B227BC"/>
    <w:rsid w:val="00B25113"/>
    <w:rsid w:val="00B261FD"/>
    <w:rsid w:val="00B26B73"/>
    <w:rsid w:val="00B31414"/>
    <w:rsid w:val="00B32C03"/>
    <w:rsid w:val="00B332FB"/>
    <w:rsid w:val="00B35A58"/>
    <w:rsid w:val="00B36648"/>
    <w:rsid w:val="00B373FA"/>
    <w:rsid w:val="00B42DA1"/>
    <w:rsid w:val="00B43262"/>
    <w:rsid w:val="00B469DB"/>
    <w:rsid w:val="00B474C8"/>
    <w:rsid w:val="00B52F7E"/>
    <w:rsid w:val="00B62798"/>
    <w:rsid w:val="00B705D6"/>
    <w:rsid w:val="00B71369"/>
    <w:rsid w:val="00B75493"/>
    <w:rsid w:val="00B75F01"/>
    <w:rsid w:val="00B77077"/>
    <w:rsid w:val="00B81391"/>
    <w:rsid w:val="00B852F4"/>
    <w:rsid w:val="00B85C1E"/>
    <w:rsid w:val="00B87514"/>
    <w:rsid w:val="00B87990"/>
    <w:rsid w:val="00B90E3B"/>
    <w:rsid w:val="00B9311C"/>
    <w:rsid w:val="00B9570F"/>
    <w:rsid w:val="00B9711B"/>
    <w:rsid w:val="00BA20B6"/>
    <w:rsid w:val="00BA7737"/>
    <w:rsid w:val="00BB0B72"/>
    <w:rsid w:val="00BB0CCC"/>
    <w:rsid w:val="00BB27D8"/>
    <w:rsid w:val="00BB3035"/>
    <w:rsid w:val="00BB34A9"/>
    <w:rsid w:val="00BB46C5"/>
    <w:rsid w:val="00BB5474"/>
    <w:rsid w:val="00BC38BF"/>
    <w:rsid w:val="00BC5753"/>
    <w:rsid w:val="00BC5E2E"/>
    <w:rsid w:val="00BD0CEF"/>
    <w:rsid w:val="00BD27DC"/>
    <w:rsid w:val="00BD50B8"/>
    <w:rsid w:val="00BD6350"/>
    <w:rsid w:val="00BE031F"/>
    <w:rsid w:val="00BE194B"/>
    <w:rsid w:val="00BE3408"/>
    <w:rsid w:val="00BF10AF"/>
    <w:rsid w:val="00BF2258"/>
    <w:rsid w:val="00BF23A2"/>
    <w:rsid w:val="00BF5353"/>
    <w:rsid w:val="00C03CF2"/>
    <w:rsid w:val="00C054C1"/>
    <w:rsid w:val="00C05CF1"/>
    <w:rsid w:val="00C06118"/>
    <w:rsid w:val="00C12D50"/>
    <w:rsid w:val="00C1615C"/>
    <w:rsid w:val="00C2073E"/>
    <w:rsid w:val="00C213E9"/>
    <w:rsid w:val="00C21F4D"/>
    <w:rsid w:val="00C2345B"/>
    <w:rsid w:val="00C24E67"/>
    <w:rsid w:val="00C24FEF"/>
    <w:rsid w:val="00C26456"/>
    <w:rsid w:val="00C34D97"/>
    <w:rsid w:val="00C372C7"/>
    <w:rsid w:val="00C410B1"/>
    <w:rsid w:val="00C44B3D"/>
    <w:rsid w:val="00C465C0"/>
    <w:rsid w:val="00C47799"/>
    <w:rsid w:val="00C6558E"/>
    <w:rsid w:val="00C673F7"/>
    <w:rsid w:val="00C700B9"/>
    <w:rsid w:val="00C7293D"/>
    <w:rsid w:val="00C7495F"/>
    <w:rsid w:val="00C74BE9"/>
    <w:rsid w:val="00C75DF5"/>
    <w:rsid w:val="00C82B73"/>
    <w:rsid w:val="00C8347B"/>
    <w:rsid w:val="00C84D4E"/>
    <w:rsid w:val="00C87D7A"/>
    <w:rsid w:val="00C92999"/>
    <w:rsid w:val="00C93C62"/>
    <w:rsid w:val="00C964E8"/>
    <w:rsid w:val="00C975C8"/>
    <w:rsid w:val="00CA1064"/>
    <w:rsid w:val="00CA1EB8"/>
    <w:rsid w:val="00CB318D"/>
    <w:rsid w:val="00CB33B0"/>
    <w:rsid w:val="00CB5625"/>
    <w:rsid w:val="00CC18F6"/>
    <w:rsid w:val="00CC1D99"/>
    <w:rsid w:val="00CC3E75"/>
    <w:rsid w:val="00CC6F7B"/>
    <w:rsid w:val="00CC7B8A"/>
    <w:rsid w:val="00CD2BAF"/>
    <w:rsid w:val="00CD78BE"/>
    <w:rsid w:val="00CD7CD3"/>
    <w:rsid w:val="00CE2D64"/>
    <w:rsid w:val="00CE523C"/>
    <w:rsid w:val="00CE62DE"/>
    <w:rsid w:val="00CE6AF1"/>
    <w:rsid w:val="00CF20AC"/>
    <w:rsid w:val="00CF256F"/>
    <w:rsid w:val="00CF2EC1"/>
    <w:rsid w:val="00CF48EC"/>
    <w:rsid w:val="00CF58A9"/>
    <w:rsid w:val="00D012BD"/>
    <w:rsid w:val="00D05002"/>
    <w:rsid w:val="00D05287"/>
    <w:rsid w:val="00D1370F"/>
    <w:rsid w:val="00D15130"/>
    <w:rsid w:val="00D15C48"/>
    <w:rsid w:val="00D1619E"/>
    <w:rsid w:val="00D20155"/>
    <w:rsid w:val="00D20FFD"/>
    <w:rsid w:val="00D26931"/>
    <w:rsid w:val="00D2781F"/>
    <w:rsid w:val="00D301D8"/>
    <w:rsid w:val="00D316A5"/>
    <w:rsid w:val="00D37A77"/>
    <w:rsid w:val="00D408FD"/>
    <w:rsid w:val="00D42E96"/>
    <w:rsid w:val="00D43F94"/>
    <w:rsid w:val="00D449C3"/>
    <w:rsid w:val="00D45C99"/>
    <w:rsid w:val="00D47B83"/>
    <w:rsid w:val="00D52FAA"/>
    <w:rsid w:val="00D56BFF"/>
    <w:rsid w:val="00D56D95"/>
    <w:rsid w:val="00D57810"/>
    <w:rsid w:val="00D60652"/>
    <w:rsid w:val="00D6410A"/>
    <w:rsid w:val="00D65675"/>
    <w:rsid w:val="00D703DC"/>
    <w:rsid w:val="00D726A4"/>
    <w:rsid w:val="00D75FC6"/>
    <w:rsid w:val="00D76122"/>
    <w:rsid w:val="00D769A4"/>
    <w:rsid w:val="00D83864"/>
    <w:rsid w:val="00D84709"/>
    <w:rsid w:val="00D8486A"/>
    <w:rsid w:val="00D84E5F"/>
    <w:rsid w:val="00D8765C"/>
    <w:rsid w:val="00DA1F13"/>
    <w:rsid w:val="00DA5529"/>
    <w:rsid w:val="00DA76BE"/>
    <w:rsid w:val="00DB555C"/>
    <w:rsid w:val="00DB73ED"/>
    <w:rsid w:val="00DC1282"/>
    <w:rsid w:val="00DC1C92"/>
    <w:rsid w:val="00DC1FB8"/>
    <w:rsid w:val="00DC24C8"/>
    <w:rsid w:val="00DC3915"/>
    <w:rsid w:val="00DC3CC1"/>
    <w:rsid w:val="00DC47E4"/>
    <w:rsid w:val="00DC4A84"/>
    <w:rsid w:val="00DD0F22"/>
    <w:rsid w:val="00DD4A74"/>
    <w:rsid w:val="00DD7095"/>
    <w:rsid w:val="00DE4936"/>
    <w:rsid w:val="00DE60C1"/>
    <w:rsid w:val="00DE7834"/>
    <w:rsid w:val="00DF1583"/>
    <w:rsid w:val="00DF3EB6"/>
    <w:rsid w:val="00DF5609"/>
    <w:rsid w:val="00DF6C75"/>
    <w:rsid w:val="00E02692"/>
    <w:rsid w:val="00E065B1"/>
    <w:rsid w:val="00E13E43"/>
    <w:rsid w:val="00E15854"/>
    <w:rsid w:val="00E159A4"/>
    <w:rsid w:val="00E16968"/>
    <w:rsid w:val="00E20213"/>
    <w:rsid w:val="00E20976"/>
    <w:rsid w:val="00E21857"/>
    <w:rsid w:val="00E22979"/>
    <w:rsid w:val="00E22D70"/>
    <w:rsid w:val="00E368FD"/>
    <w:rsid w:val="00E36F1B"/>
    <w:rsid w:val="00E409A0"/>
    <w:rsid w:val="00E410AF"/>
    <w:rsid w:val="00E41187"/>
    <w:rsid w:val="00E44D8C"/>
    <w:rsid w:val="00E461EC"/>
    <w:rsid w:val="00E51FE9"/>
    <w:rsid w:val="00E5345A"/>
    <w:rsid w:val="00E57678"/>
    <w:rsid w:val="00E62ADD"/>
    <w:rsid w:val="00E6318E"/>
    <w:rsid w:val="00E64C33"/>
    <w:rsid w:val="00E65F55"/>
    <w:rsid w:val="00E72177"/>
    <w:rsid w:val="00E730F0"/>
    <w:rsid w:val="00E73DFE"/>
    <w:rsid w:val="00E742BA"/>
    <w:rsid w:val="00E809BE"/>
    <w:rsid w:val="00E864DB"/>
    <w:rsid w:val="00E91CB0"/>
    <w:rsid w:val="00E94F50"/>
    <w:rsid w:val="00E962CF"/>
    <w:rsid w:val="00E963F9"/>
    <w:rsid w:val="00E96715"/>
    <w:rsid w:val="00EA1F3F"/>
    <w:rsid w:val="00EA2374"/>
    <w:rsid w:val="00EA3E22"/>
    <w:rsid w:val="00EA60DE"/>
    <w:rsid w:val="00EA7D13"/>
    <w:rsid w:val="00EB0BE4"/>
    <w:rsid w:val="00EB0BF8"/>
    <w:rsid w:val="00EB3B63"/>
    <w:rsid w:val="00EB3E9C"/>
    <w:rsid w:val="00EB5393"/>
    <w:rsid w:val="00EB7BBA"/>
    <w:rsid w:val="00ED0C89"/>
    <w:rsid w:val="00ED126F"/>
    <w:rsid w:val="00ED6847"/>
    <w:rsid w:val="00ED79ED"/>
    <w:rsid w:val="00ED7FAC"/>
    <w:rsid w:val="00EE1429"/>
    <w:rsid w:val="00EE2314"/>
    <w:rsid w:val="00EE268A"/>
    <w:rsid w:val="00EE4222"/>
    <w:rsid w:val="00EE6961"/>
    <w:rsid w:val="00EF0B69"/>
    <w:rsid w:val="00F01B16"/>
    <w:rsid w:val="00F04F68"/>
    <w:rsid w:val="00F06818"/>
    <w:rsid w:val="00F0744C"/>
    <w:rsid w:val="00F078C4"/>
    <w:rsid w:val="00F144E8"/>
    <w:rsid w:val="00F14926"/>
    <w:rsid w:val="00F14DCA"/>
    <w:rsid w:val="00F153A5"/>
    <w:rsid w:val="00F163C1"/>
    <w:rsid w:val="00F24D49"/>
    <w:rsid w:val="00F250AF"/>
    <w:rsid w:val="00F302CD"/>
    <w:rsid w:val="00F30820"/>
    <w:rsid w:val="00F34D53"/>
    <w:rsid w:val="00F35461"/>
    <w:rsid w:val="00F358EA"/>
    <w:rsid w:val="00F376B8"/>
    <w:rsid w:val="00F46A6F"/>
    <w:rsid w:val="00F50488"/>
    <w:rsid w:val="00F50760"/>
    <w:rsid w:val="00F54630"/>
    <w:rsid w:val="00F56505"/>
    <w:rsid w:val="00F6008E"/>
    <w:rsid w:val="00F71E79"/>
    <w:rsid w:val="00F74326"/>
    <w:rsid w:val="00F808B8"/>
    <w:rsid w:val="00F8348A"/>
    <w:rsid w:val="00F843CA"/>
    <w:rsid w:val="00F94BE3"/>
    <w:rsid w:val="00FA281E"/>
    <w:rsid w:val="00FB0EA8"/>
    <w:rsid w:val="00FB0FD4"/>
    <w:rsid w:val="00FB1A21"/>
    <w:rsid w:val="00FB3079"/>
    <w:rsid w:val="00FB77E2"/>
    <w:rsid w:val="00FC05BF"/>
    <w:rsid w:val="00FC296D"/>
    <w:rsid w:val="00FC58EA"/>
    <w:rsid w:val="00FC5E37"/>
    <w:rsid w:val="00FC6B04"/>
    <w:rsid w:val="00FD1911"/>
    <w:rsid w:val="00FD2E8A"/>
    <w:rsid w:val="00FD3E29"/>
    <w:rsid w:val="00FD63C4"/>
    <w:rsid w:val="00FE010D"/>
    <w:rsid w:val="00FE04DB"/>
    <w:rsid w:val="00FE2609"/>
    <w:rsid w:val="00FE3423"/>
    <w:rsid w:val="00FE6725"/>
    <w:rsid w:val="00FE6A71"/>
    <w:rsid w:val="00FE6AA0"/>
    <w:rsid w:val="00FF0A99"/>
    <w:rsid w:val="00FF41A4"/>
    <w:rsid w:val="00FF540B"/>
    <w:rsid w:val="00FF576D"/>
    <w:rsid w:val="00FF740B"/>
    <w:rsid w:val="00FF799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B3B319F"/>
  <w15:docId w15:val="{8C77CB43-EDBC-447A-88A2-5F083CA6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EA8"/>
    <w:pPr>
      <w:jc w:val="both"/>
    </w:pPr>
    <w:rPr>
      <w:sz w:val="22"/>
      <w:lang w:val="es-AR"/>
    </w:rPr>
  </w:style>
  <w:style w:type="paragraph" w:styleId="Heading1">
    <w:name w:val="heading 1"/>
    <w:basedOn w:val="Normal"/>
    <w:next w:val="Normal"/>
    <w:link w:val="Heading1Char"/>
    <w:qFormat/>
    <w:rsid w:val="00327802"/>
    <w:pPr>
      <w:keepNext/>
      <w:jc w:val="left"/>
      <w:outlineLvl w:val="0"/>
    </w:pPr>
    <w:rPr>
      <w:rFonts w:eastAsia="MS Mincho"/>
      <w:sz w:val="28"/>
      <w:szCs w:val="24"/>
      <w:lang w:val="es-ES" w:eastAsia="es-ES"/>
    </w:rPr>
  </w:style>
  <w:style w:type="paragraph" w:styleId="Heading2">
    <w:name w:val="heading 2"/>
    <w:basedOn w:val="Normal"/>
    <w:next w:val="Normal"/>
    <w:link w:val="Heading2Char"/>
    <w:qFormat/>
    <w:rsid w:val="007039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0786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8D0F81"/>
    <w:pPr>
      <w:tabs>
        <w:tab w:val="center" w:pos="4320"/>
        <w:tab w:val="right" w:pos="8640"/>
      </w:tabs>
    </w:pPr>
  </w:style>
  <w:style w:type="paragraph" w:customStyle="1" w:styleId="CPTitle">
    <w:name w:val="CP Title"/>
    <w:basedOn w:val="Normal"/>
    <w:rsid w:val="008D0F81"/>
    <w:pPr>
      <w:tabs>
        <w:tab w:val="left" w:pos="720"/>
        <w:tab w:val="left" w:pos="1440"/>
        <w:tab w:val="left" w:pos="2160"/>
        <w:tab w:val="left" w:pos="2880"/>
        <w:tab w:val="left" w:pos="7200"/>
        <w:tab w:val="left" w:pos="7920"/>
        <w:tab w:val="left" w:pos="8640"/>
      </w:tabs>
      <w:jc w:val="center"/>
    </w:pPr>
    <w:rPr>
      <w:lang w:val="pt-PT"/>
    </w:rPr>
  </w:style>
  <w:style w:type="paragraph" w:styleId="BodyTextIndent3">
    <w:name w:val="Body Text Indent 3"/>
    <w:basedOn w:val="Normal"/>
    <w:rsid w:val="008D0F81"/>
    <w:pPr>
      <w:snapToGrid w:val="0"/>
      <w:spacing w:line="480" w:lineRule="auto"/>
      <w:ind w:left="90" w:firstLine="630"/>
    </w:pPr>
    <w:rPr>
      <w:rFonts w:eastAsia="Batang"/>
      <w:szCs w:val="22"/>
      <w:lang w:val="en-US" w:eastAsia="ko-KR"/>
    </w:rPr>
  </w:style>
  <w:style w:type="character" w:styleId="PageNumber">
    <w:name w:val="page number"/>
    <w:basedOn w:val="DefaultParagraphFont"/>
    <w:rsid w:val="008D0F81"/>
  </w:style>
  <w:style w:type="character" w:customStyle="1" w:styleId="Heading1Char">
    <w:name w:val="Heading 1 Char"/>
    <w:link w:val="Heading1"/>
    <w:rsid w:val="00327802"/>
    <w:rPr>
      <w:rFonts w:eastAsia="MS Mincho"/>
      <w:sz w:val="28"/>
      <w:szCs w:val="24"/>
      <w:lang w:val="es-ES" w:eastAsia="es-ES" w:bidi="ar-SA"/>
    </w:rPr>
  </w:style>
  <w:style w:type="paragraph" w:styleId="BalloonText">
    <w:name w:val="Balloon Text"/>
    <w:basedOn w:val="Normal"/>
    <w:semiHidden/>
    <w:rsid w:val="00755004"/>
    <w:rPr>
      <w:rFonts w:ascii="Tahoma" w:hAnsi="Tahoma" w:cs="Tahoma"/>
      <w:sz w:val="16"/>
      <w:szCs w:val="16"/>
    </w:rPr>
  </w:style>
  <w:style w:type="paragraph" w:styleId="EndnoteText">
    <w:name w:val="endnote text"/>
    <w:basedOn w:val="Normal"/>
    <w:semiHidden/>
    <w:rsid w:val="002B3106"/>
    <w:pPr>
      <w:widowControl w:val="0"/>
      <w:tabs>
        <w:tab w:val="left" w:pos="720"/>
        <w:tab w:val="left" w:pos="1440"/>
        <w:tab w:val="left" w:pos="2160"/>
        <w:tab w:val="left" w:pos="2880"/>
        <w:tab w:val="left" w:pos="3600"/>
        <w:tab w:val="left" w:pos="4320"/>
        <w:tab w:val="left" w:pos="5760"/>
        <w:tab w:val="left" w:pos="6480"/>
        <w:tab w:val="left" w:pos="7200"/>
        <w:tab w:val="left" w:pos="7920"/>
      </w:tabs>
    </w:pPr>
    <w:rPr>
      <w:rFonts w:ascii="CG Times" w:hAnsi="CG Times"/>
      <w:lang w:val="es-ES"/>
    </w:rPr>
  </w:style>
  <w:style w:type="paragraph" w:customStyle="1" w:styleId="0">
    <w:name w:val="0"/>
    <w:basedOn w:val="Normal"/>
    <w:rsid w:val="002B3106"/>
    <w:pPr>
      <w:widowControl w:val="0"/>
      <w:autoSpaceDE w:val="0"/>
      <w:autoSpaceDN w:val="0"/>
      <w:adjustRightInd w:val="0"/>
      <w:spacing w:line="240" w:lineRule="atLeast"/>
      <w:jc w:val="left"/>
    </w:pPr>
    <w:rPr>
      <w:sz w:val="24"/>
      <w:szCs w:val="24"/>
      <w:lang w:val="es-ES"/>
    </w:rPr>
  </w:style>
  <w:style w:type="paragraph" w:styleId="Footer">
    <w:name w:val="footer"/>
    <w:basedOn w:val="Normal"/>
    <w:rsid w:val="002B3106"/>
    <w:pPr>
      <w:tabs>
        <w:tab w:val="center" w:pos="4320"/>
        <w:tab w:val="right" w:pos="8640"/>
      </w:tabs>
      <w:jc w:val="left"/>
    </w:pPr>
    <w:rPr>
      <w:sz w:val="24"/>
      <w:szCs w:val="24"/>
      <w:lang w:val="en-US"/>
    </w:rPr>
  </w:style>
  <w:style w:type="paragraph" w:styleId="NormalWeb">
    <w:name w:val="Normal (Web)"/>
    <w:basedOn w:val="Normal"/>
    <w:rsid w:val="002B3106"/>
    <w:pPr>
      <w:spacing w:before="100" w:beforeAutospacing="1" w:after="100" w:afterAutospacing="1"/>
      <w:jc w:val="left"/>
    </w:pPr>
    <w:rPr>
      <w:sz w:val="24"/>
      <w:szCs w:val="24"/>
      <w:lang w:val="en-US"/>
    </w:rPr>
  </w:style>
  <w:style w:type="paragraph" w:styleId="FootnoteText">
    <w:name w:val="footnote text"/>
    <w:aliases w:val="footnote text,Footnote reference,FA Fu,Footnote Text Char Char Char Char Char,Footnote Text Char Char Char Char,Footnote Text Char Char Char,Texto nota pie [MM],FA Fußnotentext,FA Fuﬂnotentext,ft,texto de nota al pie,Car1"/>
    <w:basedOn w:val="Normal"/>
    <w:link w:val="FootnoteTextChar"/>
    <w:rsid w:val="002B3106"/>
    <w:pPr>
      <w:tabs>
        <w:tab w:val="left" w:pos="360"/>
      </w:tabs>
      <w:ind w:left="360" w:hanging="360"/>
    </w:pPr>
    <w:rPr>
      <w:rFonts w:ascii="CG Times" w:hAnsi="CG Times"/>
      <w:sz w:val="18"/>
      <w:lang w:val="es-ES"/>
    </w:rPr>
  </w:style>
  <w:style w:type="character" w:styleId="FootnoteReference">
    <w:name w:val="footnote reference"/>
    <w:rsid w:val="002B3106"/>
    <w:rPr>
      <w:color w:val="auto"/>
      <w:vertAlign w:val="baseline"/>
    </w:rPr>
  </w:style>
  <w:style w:type="paragraph" w:customStyle="1" w:styleId="19">
    <w:name w:val="19"/>
    <w:basedOn w:val="0"/>
    <w:rsid w:val="000236C8"/>
    <w:rPr>
      <w:snapToGrid w:val="0"/>
    </w:rPr>
  </w:style>
  <w:style w:type="character" w:styleId="Hyperlink">
    <w:name w:val="Hyperlink"/>
    <w:semiHidden/>
    <w:rsid w:val="00A07058"/>
    <w:rPr>
      <w:color w:val="0000FF"/>
      <w:u w:val="single"/>
    </w:rPr>
  </w:style>
  <w:style w:type="paragraph" w:styleId="ListParagraph">
    <w:name w:val="List Paragraph"/>
    <w:basedOn w:val="Normal"/>
    <w:link w:val="ListParagraphChar"/>
    <w:uiPriority w:val="34"/>
    <w:qFormat/>
    <w:rsid w:val="00A07058"/>
    <w:pPr>
      <w:ind w:left="720"/>
      <w:jc w:val="left"/>
    </w:pPr>
    <w:rPr>
      <w:sz w:val="24"/>
      <w:szCs w:val="24"/>
      <w:lang w:val="en-US"/>
    </w:rPr>
  </w:style>
  <w:style w:type="paragraph" w:customStyle="1" w:styleId="CPClassification">
    <w:name w:val="CP Classification"/>
    <w:basedOn w:val="Normal"/>
    <w:rsid w:val="005858E5"/>
    <w:pPr>
      <w:tabs>
        <w:tab w:val="center" w:pos="2160"/>
        <w:tab w:val="left" w:pos="7200"/>
      </w:tabs>
      <w:ind w:left="7200" w:right="-360"/>
    </w:pPr>
    <w:rPr>
      <w:lang w:val="pt-PT"/>
    </w:rPr>
  </w:style>
  <w:style w:type="character" w:styleId="CommentReference">
    <w:name w:val="annotation reference"/>
    <w:semiHidden/>
    <w:rsid w:val="00C964E8"/>
    <w:rPr>
      <w:sz w:val="16"/>
      <w:szCs w:val="16"/>
    </w:rPr>
  </w:style>
  <w:style w:type="paragraph" w:styleId="CommentText">
    <w:name w:val="annotation text"/>
    <w:basedOn w:val="Normal"/>
    <w:semiHidden/>
    <w:rsid w:val="00C964E8"/>
    <w:rPr>
      <w:sz w:val="20"/>
    </w:rPr>
  </w:style>
  <w:style w:type="paragraph" w:styleId="CommentSubject">
    <w:name w:val="annotation subject"/>
    <w:basedOn w:val="CommentText"/>
    <w:next w:val="CommentText"/>
    <w:semiHidden/>
    <w:rsid w:val="00C964E8"/>
    <w:rPr>
      <w:b/>
      <w:bCs/>
    </w:rPr>
  </w:style>
  <w:style w:type="paragraph" w:customStyle="1" w:styleId="Style2">
    <w:name w:val="Style2"/>
    <w:basedOn w:val="Heading2"/>
    <w:link w:val="Style2Char"/>
    <w:autoRedefine/>
    <w:rsid w:val="0070390C"/>
    <w:pPr>
      <w:keepNext w:val="0"/>
      <w:tabs>
        <w:tab w:val="left" w:pos="720"/>
        <w:tab w:val="left" w:pos="1440"/>
        <w:tab w:val="left" w:pos="2160"/>
        <w:tab w:val="left" w:pos="2880"/>
        <w:tab w:val="left" w:pos="3600"/>
      </w:tabs>
      <w:spacing w:before="0" w:after="0"/>
      <w:jc w:val="center"/>
    </w:pPr>
    <w:rPr>
      <w:rFonts w:ascii="Times New Roman" w:hAnsi="Times New Roman"/>
      <w:b w:val="0"/>
      <w:bCs w:val="0"/>
      <w:i w:val="0"/>
      <w:caps/>
      <w:noProof/>
      <w:kern w:val="32"/>
      <w:sz w:val="22"/>
      <w:szCs w:val="22"/>
      <w:lang w:val="pt-BR"/>
    </w:rPr>
  </w:style>
  <w:style w:type="character" w:customStyle="1" w:styleId="Style2Char">
    <w:name w:val="Style2 Char"/>
    <w:link w:val="Style2"/>
    <w:locked/>
    <w:rsid w:val="0070390C"/>
    <w:rPr>
      <w:rFonts w:cs="Arial"/>
      <w:iCs/>
      <w:caps/>
      <w:noProof/>
      <w:kern w:val="32"/>
      <w:sz w:val="22"/>
      <w:szCs w:val="22"/>
      <w:lang w:val="pt-BR" w:eastAsia="en-US" w:bidi="ar-SA"/>
    </w:rPr>
  </w:style>
  <w:style w:type="character" w:customStyle="1" w:styleId="HeaderChar">
    <w:name w:val="Header Char"/>
    <w:aliases w:val="encabezado Char"/>
    <w:link w:val="Header"/>
    <w:uiPriority w:val="99"/>
    <w:rsid w:val="00C75DF5"/>
    <w:rPr>
      <w:sz w:val="22"/>
      <w:lang w:val="es-AR"/>
    </w:rPr>
  </w:style>
  <w:style w:type="character" w:customStyle="1" w:styleId="CharChar1">
    <w:name w:val="Char Char1"/>
    <w:rsid w:val="00F376B8"/>
    <w:rPr>
      <w:sz w:val="22"/>
      <w:lang w:val="es-AR" w:eastAsia="en-US" w:bidi="ar-SA"/>
    </w:rPr>
  </w:style>
  <w:style w:type="character" w:styleId="FollowedHyperlink">
    <w:name w:val="FollowedHyperlink"/>
    <w:rsid w:val="00A557F9"/>
    <w:rPr>
      <w:color w:val="800080"/>
      <w:u w:val="single"/>
    </w:rPr>
  </w:style>
  <w:style w:type="character" w:customStyle="1" w:styleId="apple-style-span">
    <w:name w:val="apple-style-span"/>
    <w:basedOn w:val="DefaultParagraphFont"/>
    <w:rsid w:val="006158A9"/>
  </w:style>
  <w:style w:type="character" w:customStyle="1" w:styleId="Heading1CharCharChar">
    <w:name w:val="Heading 1 Char Char Char"/>
    <w:aliases w:val="Heading 1 Char1 Char,Heading 1 Char1 Car Char Char"/>
    <w:rsid w:val="00082959"/>
    <w:rPr>
      <w:rFonts w:eastAsia="Calibri"/>
      <w:bCs/>
      <w:color w:val="000000"/>
      <w:sz w:val="22"/>
      <w:szCs w:val="28"/>
      <w:lang w:val="es-ES" w:eastAsia="es-ES"/>
    </w:rPr>
  </w:style>
  <w:style w:type="character" w:customStyle="1" w:styleId="Heading2Char">
    <w:name w:val="Heading 2 Char"/>
    <w:link w:val="Heading2"/>
    <w:rsid w:val="00082959"/>
    <w:rPr>
      <w:rFonts w:ascii="Arial" w:hAnsi="Arial" w:cs="Arial"/>
      <w:b/>
      <w:bCs/>
      <w:i/>
      <w:iCs/>
      <w:sz w:val="28"/>
      <w:szCs w:val="28"/>
      <w:lang w:val="es-AR" w:eastAsia="en-US" w:bidi="ar-SA"/>
    </w:rPr>
  </w:style>
  <w:style w:type="paragraph" w:styleId="TOC1">
    <w:name w:val="toc 1"/>
    <w:basedOn w:val="Normal"/>
    <w:next w:val="Normal"/>
    <w:autoRedefine/>
    <w:semiHidden/>
    <w:rsid w:val="004F78DB"/>
    <w:pPr>
      <w:tabs>
        <w:tab w:val="left" w:pos="720"/>
      </w:tabs>
      <w:ind w:left="720" w:hanging="720"/>
    </w:pPr>
    <w:rPr>
      <w:bCs/>
      <w:noProof/>
      <w:color w:val="000000"/>
      <w:szCs w:val="22"/>
      <w:lang w:val="es-ES"/>
    </w:rPr>
  </w:style>
  <w:style w:type="paragraph" w:styleId="PlainText">
    <w:name w:val="Plain Text"/>
    <w:basedOn w:val="Normal"/>
    <w:link w:val="PlainTextChar"/>
    <w:rsid w:val="00F843CA"/>
    <w:pPr>
      <w:jc w:val="left"/>
    </w:pPr>
    <w:rPr>
      <w:rFonts w:ascii="Calibri" w:hAnsi="Calibri"/>
      <w:szCs w:val="21"/>
      <w:lang w:val="en-US"/>
    </w:rPr>
  </w:style>
  <w:style w:type="character" w:customStyle="1" w:styleId="PlainTextChar">
    <w:name w:val="Plain Text Char"/>
    <w:link w:val="PlainText"/>
    <w:locked/>
    <w:rsid w:val="00F843CA"/>
    <w:rPr>
      <w:rFonts w:ascii="Calibri" w:hAnsi="Calibri"/>
      <w:sz w:val="22"/>
      <w:szCs w:val="21"/>
      <w:lang w:val="en-US" w:eastAsia="en-US" w:bidi="ar-SA"/>
    </w:rPr>
  </w:style>
  <w:style w:type="paragraph" w:customStyle="1" w:styleId="msolistparagraph0">
    <w:name w:val="msolistparagraph"/>
    <w:basedOn w:val="Normal"/>
    <w:rsid w:val="00133F15"/>
    <w:pPr>
      <w:ind w:left="720"/>
      <w:jc w:val="left"/>
    </w:pPr>
    <w:rPr>
      <w:sz w:val="24"/>
      <w:szCs w:val="24"/>
      <w:lang w:val="en-US"/>
    </w:rPr>
  </w:style>
  <w:style w:type="paragraph" w:styleId="Title">
    <w:name w:val="Title"/>
    <w:basedOn w:val="Normal"/>
    <w:link w:val="TitleChar"/>
    <w:qFormat/>
    <w:rsid w:val="004E2594"/>
    <w:pPr>
      <w:spacing w:before="240" w:after="60"/>
      <w:jc w:val="center"/>
      <w:outlineLvl w:val="0"/>
    </w:pPr>
    <w:rPr>
      <w:b/>
      <w:bCs/>
      <w:caps/>
      <w:snapToGrid w:val="0"/>
      <w:kern w:val="28"/>
      <w:szCs w:val="22"/>
      <w:lang w:val="es-ES" w:eastAsia="es-ES"/>
    </w:rPr>
  </w:style>
  <w:style w:type="character" w:customStyle="1" w:styleId="TitleChar">
    <w:name w:val="Title Char"/>
    <w:link w:val="Title"/>
    <w:rsid w:val="004E2594"/>
    <w:rPr>
      <w:b/>
      <w:bCs/>
      <w:caps/>
      <w:snapToGrid w:val="0"/>
      <w:kern w:val="28"/>
      <w:sz w:val="22"/>
      <w:szCs w:val="22"/>
      <w:lang w:val="es-ES" w:eastAsia="es-ES" w:bidi="ar-SA"/>
    </w:rPr>
  </w:style>
  <w:style w:type="character" w:customStyle="1" w:styleId="FootnoteTextChar">
    <w:name w:val="Footnote Text Char"/>
    <w:aliases w:val="footnote text Char,Footnote reference Char,FA Fu Char,Footnote Text Char Char Char Char Char Char,Footnote Text Char Char Char Char Char1,Footnote Text Char Char Char Char1,Texto nota pie [MM] Char,FA Fußnotentext Char,ft Char"/>
    <w:basedOn w:val="DefaultParagraphFont"/>
    <w:link w:val="FootnoteText"/>
    <w:locked/>
    <w:rsid w:val="00C8347B"/>
    <w:rPr>
      <w:rFonts w:ascii="CG Times" w:hAnsi="CG Times"/>
      <w:sz w:val="18"/>
      <w:lang w:val="es-ES"/>
    </w:rPr>
  </w:style>
  <w:style w:type="character" w:styleId="UnresolvedMention">
    <w:name w:val="Unresolved Mention"/>
    <w:basedOn w:val="DefaultParagraphFont"/>
    <w:uiPriority w:val="99"/>
    <w:semiHidden/>
    <w:unhideWhenUsed/>
    <w:rsid w:val="00143EBB"/>
    <w:rPr>
      <w:color w:val="605E5C"/>
      <w:shd w:val="clear" w:color="auto" w:fill="E1DFDD"/>
    </w:rPr>
  </w:style>
  <w:style w:type="paragraph" w:customStyle="1" w:styleId="TitleUppercase">
    <w:name w:val="Title Uppercase"/>
    <w:basedOn w:val="Normal"/>
    <w:rsid w:val="000D7D88"/>
    <w:pPr>
      <w:tabs>
        <w:tab w:val="left" w:pos="720"/>
        <w:tab w:val="left" w:pos="1440"/>
        <w:tab w:val="left" w:pos="2160"/>
        <w:tab w:val="left" w:pos="2880"/>
        <w:tab w:val="left" w:pos="7200"/>
        <w:tab w:val="left" w:pos="7920"/>
        <w:tab w:val="left" w:pos="8640"/>
      </w:tabs>
      <w:jc w:val="center"/>
    </w:pPr>
    <w:rPr>
      <w:lang w:val="pt-BR"/>
    </w:rPr>
  </w:style>
  <w:style w:type="character" w:customStyle="1" w:styleId="ListParagraphChar">
    <w:name w:val="List Paragraph Char"/>
    <w:link w:val="ListParagraph"/>
    <w:uiPriority w:val="34"/>
    <w:locked/>
    <w:rsid w:val="000D7D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1325">
      <w:bodyDiv w:val="1"/>
      <w:marLeft w:val="0"/>
      <w:marRight w:val="0"/>
      <w:marTop w:val="0"/>
      <w:marBottom w:val="0"/>
      <w:divBdr>
        <w:top w:val="none" w:sz="0" w:space="0" w:color="auto"/>
        <w:left w:val="none" w:sz="0" w:space="0" w:color="auto"/>
        <w:bottom w:val="none" w:sz="0" w:space="0" w:color="auto"/>
        <w:right w:val="none" w:sz="0" w:space="0" w:color="auto"/>
      </w:divBdr>
    </w:div>
    <w:div w:id="296836406">
      <w:bodyDiv w:val="1"/>
      <w:marLeft w:val="0"/>
      <w:marRight w:val="0"/>
      <w:marTop w:val="0"/>
      <w:marBottom w:val="0"/>
      <w:divBdr>
        <w:top w:val="none" w:sz="0" w:space="0" w:color="auto"/>
        <w:left w:val="none" w:sz="0" w:space="0" w:color="auto"/>
        <w:bottom w:val="none" w:sz="0" w:space="0" w:color="auto"/>
        <w:right w:val="none" w:sz="0" w:space="0" w:color="auto"/>
      </w:divBdr>
    </w:div>
    <w:div w:id="303702366">
      <w:bodyDiv w:val="1"/>
      <w:marLeft w:val="0"/>
      <w:marRight w:val="0"/>
      <w:marTop w:val="0"/>
      <w:marBottom w:val="0"/>
      <w:divBdr>
        <w:top w:val="none" w:sz="0" w:space="0" w:color="auto"/>
        <w:left w:val="none" w:sz="0" w:space="0" w:color="auto"/>
        <w:bottom w:val="none" w:sz="0" w:space="0" w:color="auto"/>
        <w:right w:val="none" w:sz="0" w:space="0" w:color="auto"/>
      </w:divBdr>
    </w:div>
    <w:div w:id="356587110">
      <w:bodyDiv w:val="1"/>
      <w:marLeft w:val="0"/>
      <w:marRight w:val="0"/>
      <w:marTop w:val="0"/>
      <w:marBottom w:val="0"/>
      <w:divBdr>
        <w:top w:val="none" w:sz="0" w:space="0" w:color="auto"/>
        <w:left w:val="none" w:sz="0" w:space="0" w:color="auto"/>
        <w:bottom w:val="none" w:sz="0" w:space="0" w:color="auto"/>
        <w:right w:val="none" w:sz="0" w:space="0" w:color="auto"/>
      </w:divBdr>
    </w:div>
    <w:div w:id="360857757">
      <w:bodyDiv w:val="1"/>
      <w:marLeft w:val="0"/>
      <w:marRight w:val="0"/>
      <w:marTop w:val="0"/>
      <w:marBottom w:val="0"/>
      <w:divBdr>
        <w:top w:val="none" w:sz="0" w:space="0" w:color="auto"/>
        <w:left w:val="none" w:sz="0" w:space="0" w:color="auto"/>
        <w:bottom w:val="none" w:sz="0" w:space="0" w:color="auto"/>
        <w:right w:val="none" w:sz="0" w:space="0" w:color="auto"/>
      </w:divBdr>
    </w:div>
    <w:div w:id="708191145">
      <w:bodyDiv w:val="1"/>
      <w:marLeft w:val="0"/>
      <w:marRight w:val="0"/>
      <w:marTop w:val="0"/>
      <w:marBottom w:val="0"/>
      <w:divBdr>
        <w:top w:val="none" w:sz="0" w:space="0" w:color="auto"/>
        <w:left w:val="none" w:sz="0" w:space="0" w:color="auto"/>
        <w:bottom w:val="none" w:sz="0" w:space="0" w:color="auto"/>
        <w:right w:val="none" w:sz="0" w:space="0" w:color="auto"/>
      </w:divBdr>
    </w:div>
    <w:div w:id="1038093849">
      <w:bodyDiv w:val="1"/>
      <w:marLeft w:val="0"/>
      <w:marRight w:val="0"/>
      <w:marTop w:val="0"/>
      <w:marBottom w:val="0"/>
      <w:divBdr>
        <w:top w:val="none" w:sz="0" w:space="0" w:color="auto"/>
        <w:left w:val="none" w:sz="0" w:space="0" w:color="auto"/>
        <w:bottom w:val="none" w:sz="0" w:space="0" w:color="auto"/>
        <w:right w:val="none" w:sz="0" w:space="0" w:color="auto"/>
      </w:divBdr>
    </w:div>
    <w:div w:id="1142650950">
      <w:bodyDiv w:val="1"/>
      <w:marLeft w:val="0"/>
      <w:marRight w:val="0"/>
      <w:marTop w:val="0"/>
      <w:marBottom w:val="0"/>
      <w:divBdr>
        <w:top w:val="none" w:sz="0" w:space="0" w:color="auto"/>
        <w:left w:val="none" w:sz="0" w:space="0" w:color="auto"/>
        <w:bottom w:val="none" w:sz="0" w:space="0" w:color="auto"/>
        <w:right w:val="none" w:sz="0" w:space="0" w:color="auto"/>
      </w:divBdr>
    </w:div>
    <w:div w:id="1216358998">
      <w:bodyDiv w:val="1"/>
      <w:marLeft w:val="0"/>
      <w:marRight w:val="0"/>
      <w:marTop w:val="0"/>
      <w:marBottom w:val="0"/>
      <w:divBdr>
        <w:top w:val="none" w:sz="0" w:space="0" w:color="auto"/>
        <w:left w:val="none" w:sz="0" w:space="0" w:color="auto"/>
        <w:bottom w:val="none" w:sz="0" w:space="0" w:color="auto"/>
        <w:right w:val="none" w:sz="0" w:space="0" w:color="auto"/>
      </w:divBdr>
    </w:div>
    <w:div w:id="1402754728">
      <w:bodyDiv w:val="1"/>
      <w:marLeft w:val="0"/>
      <w:marRight w:val="0"/>
      <w:marTop w:val="0"/>
      <w:marBottom w:val="0"/>
      <w:divBdr>
        <w:top w:val="none" w:sz="0" w:space="0" w:color="auto"/>
        <w:left w:val="none" w:sz="0" w:space="0" w:color="auto"/>
        <w:bottom w:val="none" w:sz="0" w:space="0" w:color="auto"/>
        <w:right w:val="none" w:sz="0" w:space="0" w:color="auto"/>
      </w:divBdr>
    </w:div>
    <w:div w:id="1480345313">
      <w:bodyDiv w:val="1"/>
      <w:marLeft w:val="0"/>
      <w:marRight w:val="0"/>
      <w:marTop w:val="0"/>
      <w:marBottom w:val="0"/>
      <w:divBdr>
        <w:top w:val="none" w:sz="0" w:space="0" w:color="auto"/>
        <w:left w:val="none" w:sz="0" w:space="0" w:color="auto"/>
        <w:bottom w:val="none" w:sz="0" w:space="0" w:color="auto"/>
        <w:right w:val="none" w:sz="0" w:space="0" w:color="auto"/>
      </w:divBdr>
    </w:div>
    <w:div w:id="1593274303">
      <w:bodyDiv w:val="1"/>
      <w:marLeft w:val="0"/>
      <w:marRight w:val="0"/>
      <w:marTop w:val="0"/>
      <w:marBottom w:val="0"/>
      <w:divBdr>
        <w:top w:val="none" w:sz="0" w:space="0" w:color="auto"/>
        <w:left w:val="none" w:sz="0" w:space="0" w:color="auto"/>
        <w:bottom w:val="none" w:sz="0" w:space="0" w:color="auto"/>
        <w:right w:val="none" w:sz="0" w:space="0" w:color="auto"/>
      </w:divBdr>
    </w:div>
    <w:div w:id="2005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261BE-DFF7-416D-A556-A662374F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1415</Words>
  <Characters>7954</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COMISIÓN PREPARATORIA</vt:lpstr>
      <vt:lpstr>COMISIÓN PREPARATORIA</vt:lpstr>
    </vt:vector>
  </TitlesOfParts>
  <Company>OAS</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PREPARATORIA</dc:title>
  <dc:creator>Rodrigo Cortes</dc:creator>
  <cp:lastModifiedBy>Loredo, Carmen</cp:lastModifiedBy>
  <cp:revision>5</cp:revision>
  <cp:lastPrinted>2019-05-16T20:00:00Z</cp:lastPrinted>
  <dcterms:created xsi:type="dcterms:W3CDTF">2021-11-22T16:43:00Z</dcterms:created>
  <dcterms:modified xsi:type="dcterms:W3CDTF">2021-11-22T20:56:00Z</dcterms:modified>
</cp:coreProperties>
</file>