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63F9" w14:textId="5376DAA7" w:rsidR="000502D4" w:rsidRPr="0026653F" w:rsidRDefault="00B44AA1" w:rsidP="00C618DD">
      <w:pPr>
        <w:tabs>
          <w:tab w:val="left" w:pos="7200"/>
        </w:tabs>
        <w:ind w:right="-1109"/>
        <w:rPr>
          <w:szCs w:val="22"/>
          <w:lang w:val="fr-FR"/>
        </w:rPr>
      </w:pPr>
      <w:r>
        <w:rPr>
          <w:szCs w:val="22"/>
          <w:lang w:val="fr-FR"/>
        </w:rPr>
        <w:object w:dxaOrig="1440" w:dyaOrig="1440" w14:anchorId="1461E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3pt;margin-top:69pt;width:320.1pt;height:28.05pt;z-index:-25165516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26" DrawAspect="Content" ObjectID="_1685797764" r:id="rId9"/>
        </w:object>
      </w:r>
      <w:r w:rsidR="006125C4" w:rsidRPr="0026653F">
        <w:rPr>
          <w:szCs w:val="22"/>
          <w:lang w:val="fr-FR"/>
        </w:rPr>
        <w:t>CINQUANTIÈME SESSION ORDINAIRE</w:t>
      </w:r>
      <w:r w:rsidR="006125C4" w:rsidRPr="0026653F">
        <w:rPr>
          <w:szCs w:val="22"/>
          <w:lang w:val="fr-FR"/>
        </w:rPr>
        <w:tab/>
      </w:r>
      <w:r w:rsidR="000502D4" w:rsidRPr="0026653F">
        <w:rPr>
          <w:szCs w:val="22"/>
          <w:lang w:val="fr-FR"/>
        </w:rPr>
        <w:t>OEA/Ser.P</w:t>
      </w:r>
    </w:p>
    <w:p w14:paraId="28DC3AB3" w14:textId="77777777" w:rsidR="000502D4" w:rsidRPr="0026653F" w:rsidRDefault="000502D4" w:rsidP="00C618DD">
      <w:pPr>
        <w:tabs>
          <w:tab w:val="left" w:pos="7200"/>
        </w:tabs>
        <w:ind w:right="-1109"/>
        <w:rPr>
          <w:szCs w:val="22"/>
          <w:lang w:val="fr-FR"/>
        </w:rPr>
      </w:pPr>
      <w:r w:rsidRPr="0026653F">
        <w:rPr>
          <w:szCs w:val="22"/>
          <w:lang w:val="fr-FR"/>
        </w:rPr>
        <w:t xml:space="preserve">20 </w:t>
      </w:r>
      <w:r w:rsidR="006125C4" w:rsidRPr="0026653F">
        <w:rPr>
          <w:szCs w:val="22"/>
          <w:lang w:val="fr-FR"/>
        </w:rPr>
        <w:t>et</w:t>
      </w:r>
      <w:r w:rsidRPr="0026653F">
        <w:rPr>
          <w:szCs w:val="22"/>
          <w:lang w:val="fr-FR"/>
        </w:rPr>
        <w:t xml:space="preserve"> 21 oct</w:t>
      </w:r>
      <w:r w:rsidR="006125C4" w:rsidRPr="0026653F">
        <w:rPr>
          <w:szCs w:val="22"/>
          <w:lang w:val="fr-FR"/>
        </w:rPr>
        <w:t>o</w:t>
      </w:r>
      <w:r w:rsidRPr="0026653F">
        <w:rPr>
          <w:szCs w:val="22"/>
          <w:lang w:val="fr-FR"/>
        </w:rPr>
        <w:t>bre 2020</w:t>
      </w:r>
      <w:r w:rsidR="006125C4" w:rsidRPr="0026653F">
        <w:rPr>
          <w:szCs w:val="22"/>
          <w:lang w:val="fr-FR"/>
        </w:rPr>
        <w:tab/>
      </w:r>
      <w:r w:rsidRPr="0026653F">
        <w:rPr>
          <w:szCs w:val="22"/>
          <w:lang w:val="fr-FR"/>
        </w:rPr>
        <w:t>AG/doc.</w:t>
      </w:r>
      <w:r w:rsidR="000503DB" w:rsidRPr="0026653F">
        <w:rPr>
          <w:szCs w:val="22"/>
          <w:lang w:val="fr-FR"/>
        </w:rPr>
        <w:t>5717</w:t>
      </w:r>
      <w:r w:rsidRPr="0026653F">
        <w:rPr>
          <w:szCs w:val="22"/>
          <w:lang w:val="fr-FR"/>
        </w:rPr>
        <w:t>/20</w:t>
      </w:r>
      <w:r w:rsidR="000A5FB5" w:rsidRPr="0026653F">
        <w:rPr>
          <w:szCs w:val="22"/>
          <w:lang w:val="fr-FR"/>
        </w:rPr>
        <w:t xml:space="preserve"> rev. 1</w:t>
      </w:r>
    </w:p>
    <w:p w14:paraId="23C4A671" w14:textId="75057278" w:rsidR="000502D4" w:rsidRPr="0026653F" w:rsidRDefault="000502D4" w:rsidP="00C618DD">
      <w:pPr>
        <w:tabs>
          <w:tab w:val="left" w:pos="7200"/>
        </w:tabs>
        <w:ind w:right="-1109"/>
        <w:rPr>
          <w:szCs w:val="22"/>
          <w:lang w:val="fr-FR"/>
        </w:rPr>
      </w:pPr>
      <w:r w:rsidRPr="0026653F">
        <w:rPr>
          <w:szCs w:val="22"/>
          <w:lang w:val="fr-FR"/>
        </w:rPr>
        <w:t xml:space="preserve">Washington, D.C., </w:t>
      </w:r>
      <w:r w:rsidR="006125C4" w:rsidRPr="0026653F">
        <w:rPr>
          <w:szCs w:val="22"/>
          <w:lang w:val="fr-FR"/>
        </w:rPr>
        <w:t>États-Unis d’Amérique</w:t>
      </w:r>
      <w:r w:rsidRPr="0026653F">
        <w:rPr>
          <w:szCs w:val="22"/>
          <w:lang w:val="fr-FR"/>
        </w:rPr>
        <w:tab/>
      </w:r>
      <w:r w:rsidR="00D544B0">
        <w:rPr>
          <w:szCs w:val="22"/>
          <w:lang w:val="fr-FR"/>
        </w:rPr>
        <w:t>2</w:t>
      </w:r>
      <w:r w:rsidR="004014D3" w:rsidRPr="004014D3">
        <w:rPr>
          <w:szCs w:val="22"/>
          <w:lang w:val="fr-FR"/>
        </w:rPr>
        <w:t>1</w:t>
      </w:r>
      <w:r w:rsidR="0023148D" w:rsidRPr="004014D3">
        <w:rPr>
          <w:szCs w:val="22"/>
          <w:lang w:val="fr-FR"/>
        </w:rPr>
        <w:t xml:space="preserve"> </w:t>
      </w:r>
      <w:r w:rsidR="005B1330" w:rsidRPr="004014D3">
        <w:rPr>
          <w:szCs w:val="22"/>
          <w:lang w:val="fr-FR"/>
        </w:rPr>
        <w:t>juin</w:t>
      </w:r>
      <w:r w:rsidR="000A5FB5" w:rsidRPr="004014D3">
        <w:rPr>
          <w:szCs w:val="22"/>
          <w:lang w:val="fr-FR"/>
        </w:rPr>
        <w:t xml:space="preserve"> </w:t>
      </w:r>
      <w:r w:rsidRPr="004014D3">
        <w:rPr>
          <w:szCs w:val="22"/>
          <w:lang w:val="fr-FR"/>
        </w:rPr>
        <w:t>202</w:t>
      </w:r>
      <w:r w:rsidR="009465D6" w:rsidRPr="004014D3">
        <w:rPr>
          <w:szCs w:val="22"/>
          <w:lang w:val="fr-FR"/>
        </w:rPr>
        <w:t>1</w:t>
      </w:r>
    </w:p>
    <w:p w14:paraId="4A32067B" w14:textId="77777777" w:rsidR="000502D4" w:rsidRPr="0026653F" w:rsidRDefault="006125C4" w:rsidP="00C618DD">
      <w:pPr>
        <w:tabs>
          <w:tab w:val="left" w:pos="7200"/>
        </w:tabs>
        <w:ind w:right="-1109"/>
        <w:rPr>
          <w:szCs w:val="22"/>
          <w:lang w:val="fr-FR"/>
        </w:rPr>
      </w:pPr>
      <w:r w:rsidRPr="0026653F">
        <w:rPr>
          <w:szCs w:val="22"/>
          <w:lang w:val="fr-FR"/>
        </w:rPr>
        <w:t xml:space="preserve">SESSION </w:t>
      </w:r>
      <w:r w:rsidR="0014539D" w:rsidRPr="0026653F">
        <w:rPr>
          <w:szCs w:val="22"/>
          <w:lang w:val="fr-FR"/>
        </w:rPr>
        <w:t>VIRTU</w:t>
      </w:r>
      <w:r w:rsidRPr="0026653F">
        <w:rPr>
          <w:szCs w:val="22"/>
          <w:lang w:val="fr-FR"/>
        </w:rPr>
        <w:t>ELLE</w:t>
      </w:r>
      <w:r w:rsidR="000502D4" w:rsidRPr="0026653F">
        <w:rPr>
          <w:szCs w:val="22"/>
          <w:lang w:val="fr-FR"/>
        </w:rPr>
        <w:tab/>
      </w:r>
      <w:proofErr w:type="gramStart"/>
      <w:r w:rsidR="000502D4" w:rsidRPr="0026653F">
        <w:rPr>
          <w:szCs w:val="22"/>
          <w:lang w:val="fr-FR"/>
        </w:rPr>
        <w:t>Original:</w:t>
      </w:r>
      <w:proofErr w:type="gramEnd"/>
      <w:r w:rsidR="000502D4" w:rsidRPr="0026653F">
        <w:rPr>
          <w:szCs w:val="22"/>
          <w:lang w:val="fr-FR"/>
        </w:rPr>
        <w:t xml:space="preserve"> </w:t>
      </w:r>
      <w:r w:rsidRPr="0026653F">
        <w:rPr>
          <w:szCs w:val="22"/>
          <w:lang w:val="fr-FR"/>
        </w:rPr>
        <w:t>espagnol</w:t>
      </w:r>
    </w:p>
    <w:p w14:paraId="7C2F76D2" w14:textId="77777777" w:rsidR="000502D4" w:rsidRPr="0026653F" w:rsidRDefault="000502D4" w:rsidP="00C618DD">
      <w:pPr>
        <w:rPr>
          <w:szCs w:val="22"/>
          <w:lang w:val="fr-FR"/>
        </w:rPr>
      </w:pPr>
    </w:p>
    <w:p w14:paraId="43EE43D6" w14:textId="77777777" w:rsidR="0014539D" w:rsidRPr="0026653F" w:rsidRDefault="0014539D" w:rsidP="00C618DD">
      <w:pPr>
        <w:rPr>
          <w:szCs w:val="22"/>
          <w:lang w:val="fr-FR"/>
        </w:rPr>
      </w:pPr>
    </w:p>
    <w:p w14:paraId="26AD31CD" w14:textId="77777777" w:rsidR="00E82D5A" w:rsidRPr="0026653F" w:rsidRDefault="00E82D5A" w:rsidP="00C618DD">
      <w:pPr>
        <w:rPr>
          <w:szCs w:val="22"/>
          <w:lang w:val="fr-FR"/>
        </w:rPr>
      </w:pPr>
    </w:p>
    <w:p w14:paraId="5D5C3CC5" w14:textId="77777777" w:rsidR="000502D4" w:rsidRPr="0026653F" w:rsidRDefault="000502D4" w:rsidP="00C618DD">
      <w:pPr>
        <w:rPr>
          <w:szCs w:val="22"/>
          <w:lang w:val="fr-FR"/>
        </w:rPr>
      </w:pPr>
    </w:p>
    <w:p w14:paraId="36942D5B" w14:textId="77777777" w:rsidR="00605B3C" w:rsidRPr="0026653F" w:rsidRDefault="00605B3C" w:rsidP="00C618DD">
      <w:pPr>
        <w:rPr>
          <w:szCs w:val="22"/>
          <w:lang w:val="fr-FR"/>
        </w:rPr>
      </w:pPr>
    </w:p>
    <w:p w14:paraId="6D9CC317" w14:textId="77777777" w:rsidR="00E82D5A" w:rsidRPr="0026653F" w:rsidRDefault="00E82D5A" w:rsidP="00C618DD">
      <w:pPr>
        <w:rPr>
          <w:szCs w:val="22"/>
          <w:lang w:val="fr-FR"/>
        </w:rPr>
      </w:pPr>
    </w:p>
    <w:p w14:paraId="31F52AB0" w14:textId="77777777" w:rsidR="00E82D5A" w:rsidRPr="0026653F" w:rsidRDefault="00E82D5A" w:rsidP="00C618DD">
      <w:pPr>
        <w:rPr>
          <w:szCs w:val="22"/>
          <w:lang w:val="fr-FR"/>
        </w:rPr>
      </w:pPr>
    </w:p>
    <w:p w14:paraId="257379FB" w14:textId="77777777" w:rsidR="00E82D5A" w:rsidRPr="0026653F" w:rsidRDefault="00E82D5A" w:rsidP="00C618DD">
      <w:pPr>
        <w:rPr>
          <w:szCs w:val="22"/>
          <w:lang w:val="fr-FR"/>
        </w:rPr>
      </w:pPr>
    </w:p>
    <w:p w14:paraId="5A1B5611" w14:textId="77777777" w:rsidR="00E82D5A" w:rsidRPr="0026653F" w:rsidRDefault="00E82D5A" w:rsidP="00C618DD">
      <w:pPr>
        <w:rPr>
          <w:szCs w:val="22"/>
          <w:lang w:val="fr-FR"/>
        </w:rPr>
      </w:pPr>
    </w:p>
    <w:p w14:paraId="65C1B9BE" w14:textId="77777777" w:rsidR="00605B3C" w:rsidRPr="0026653F" w:rsidRDefault="00605B3C" w:rsidP="00C618DD">
      <w:pPr>
        <w:rPr>
          <w:szCs w:val="22"/>
          <w:lang w:val="fr-FR"/>
        </w:rPr>
      </w:pPr>
    </w:p>
    <w:p w14:paraId="53FF999F" w14:textId="77777777" w:rsidR="00605B3C" w:rsidRPr="0026653F" w:rsidRDefault="00605B3C" w:rsidP="00C618DD">
      <w:pPr>
        <w:rPr>
          <w:szCs w:val="22"/>
          <w:lang w:val="fr-FR"/>
        </w:rPr>
      </w:pPr>
    </w:p>
    <w:p w14:paraId="0FB53C4F" w14:textId="77777777" w:rsidR="00605B3C" w:rsidRPr="0026653F" w:rsidRDefault="00605B3C" w:rsidP="00C618DD">
      <w:pPr>
        <w:rPr>
          <w:szCs w:val="22"/>
          <w:lang w:val="fr-FR"/>
        </w:rPr>
      </w:pPr>
    </w:p>
    <w:p w14:paraId="36D76A7B" w14:textId="77777777" w:rsidR="00AA025A" w:rsidRPr="0026653F" w:rsidRDefault="00AA025A" w:rsidP="00C618DD">
      <w:pPr>
        <w:rPr>
          <w:szCs w:val="22"/>
          <w:lang w:val="fr-FR"/>
        </w:rPr>
      </w:pPr>
    </w:p>
    <w:p w14:paraId="011CCAFA" w14:textId="77777777" w:rsidR="00AA025A" w:rsidRPr="0026653F" w:rsidRDefault="00AA025A" w:rsidP="00C618DD">
      <w:pPr>
        <w:rPr>
          <w:szCs w:val="22"/>
          <w:lang w:val="fr-FR"/>
        </w:rPr>
      </w:pPr>
    </w:p>
    <w:p w14:paraId="48A38793" w14:textId="77777777" w:rsidR="00AA025A" w:rsidRPr="0026653F" w:rsidRDefault="00AA025A" w:rsidP="00C618DD">
      <w:pPr>
        <w:rPr>
          <w:szCs w:val="22"/>
          <w:lang w:val="fr-FR"/>
        </w:rPr>
      </w:pPr>
    </w:p>
    <w:p w14:paraId="4494F96E" w14:textId="77777777" w:rsidR="00605B3C" w:rsidRPr="0026653F" w:rsidRDefault="00605B3C" w:rsidP="00C618DD">
      <w:pPr>
        <w:rPr>
          <w:szCs w:val="22"/>
          <w:lang w:val="fr-FR"/>
        </w:rPr>
      </w:pPr>
    </w:p>
    <w:p w14:paraId="2231CCE6" w14:textId="77777777" w:rsidR="00605B3C" w:rsidRPr="0026653F" w:rsidRDefault="00605B3C" w:rsidP="00C618DD">
      <w:pPr>
        <w:rPr>
          <w:szCs w:val="22"/>
          <w:lang w:val="fr-FR"/>
        </w:rPr>
      </w:pPr>
    </w:p>
    <w:p w14:paraId="6B8E6885" w14:textId="77777777" w:rsidR="00AA025A" w:rsidRPr="0026653F" w:rsidRDefault="006125C4" w:rsidP="00C618DD">
      <w:pPr>
        <w:jc w:val="center"/>
        <w:rPr>
          <w:szCs w:val="22"/>
          <w:lang w:val="fr-FR"/>
        </w:rPr>
      </w:pPr>
      <w:r w:rsidRPr="0026653F">
        <w:rPr>
          <w:szCs w:val="22"/>
          <w:lang w:val="fr-FR"/>
        </w:rPr>
        <w:t>DÉCLARATION ET RÉSOLUTIONS ADOPTÉES PAR L'ASSEMBLÉE GÉNÉRALE</w:t>
      </w:r>
    </w:p>
    <w:p w14:paraId="514CB5C5" w14:textId="77777777" w:rsidR="00AA025A" w:rsidRPr="0026653F" w:rsidRDefault="00AA025A" w:rsidP="00C618DD">
      <w:pPr>
        <w:rPr>
          <w:szCs w:val="22"/>
          <w:lang w:val="fr-FR"/>
        </w:rPr>
      </w:pPr>
    </w:p>
    <w:p w14:paraId="06E61F5C" w14:textId="7FC22E3A" w:rsidR="00AA025A" w:rsidRPr="0026653F" w:rsidRDefault="00AA025A" w:rsidP="00C618DD">
      <w:pPr>
        <w:jc w:val="center"/>
        <w:rPr>
          <w:szCs w:val="22"/>
          <w:lang w:val="fr-FR"/>
        </w:rPr>
      </w:pPr>
      <w:r w:rsidRPr="0026653F">
        <w:rPr>
          <w:szCs w:val="22"/>
          <w:lang w:val="fr-FR"/>
        </w:rPr>
        <w:t>(</w:t>
      </w:r>
      <w:r w:rsidR="000A5FB5" w:rsidRPr="0026653F">
        <w:rPr>
          <w:szCs w:val="22"/>
          <w:lang w:val="fr-FR"/>
        </w:rPr>
        <w:t>Révisées par la</w:t>
      </w:r>
      <w:r w:rsidR="006125C4" w:rsidRPr="0026653F">
        <w:rPr>
          <w:szCs w:val="22"/>
          <w:lang w:val="fr-FR"/>
        </w:rPr>
        <w:t xml:space="preserve"> Commission de style</w:t>
      </w:r>
      <w:r w:rsidRPr="0026653F">
        <w:rPr>
          <w:szCs w:val="22"/>
          <w:lang w:val="fr-FR"/>
        </w:rPr>
        <w:t>)</w:t>
      </w:r>
    </w:p>
    <w:p w14:paraId="454DC943" w14:textId="77777777" w:rsidR="00605B3C" w:rsidRPr="0026653F" w:rsidRDefault="00605B3C" w:rsidP="00C618DD">
      <w:pPr>
        <w:rPr>
          <w:szCs w:val="22"/>
          <w:lang w:val="fr-FR"/>
        </w:rPr>
      </w:pPr>
    </w:p>
    <w:p w14:paraId="542EFC0F" w14:textId="77777777" w:rsidR="00605B3C" w:rsidRPr="0026653F" w:rsidRDefault="00605B3C" w:rsidP="00C618DD">
      <w:pPr>
        <w:rPr>
          <w:szCs w:val="22"/>
          <w:lang w:val="fr-FR"/>
        </w:rPr>
      </w:pPr>
    </w:p>
    <w:p w14:paraId="2988BACB" w14:textId="77777777" w:rsidR="00605B3C" w:rsidRPr="0026653F" w:rsidRDefault="00605B3C" w:rsidP="00C618DD">
      <w:pPr>
        <w:rPr>
          <w:szCs w:val="22"/>
          <w:lang w:val="fr-FR"/>
        </w:rPr>
        <w:sectPr w:rsidR="00605B3C" w:rsidRPr="0026653F" w:rsidSect="00FE7DD6">
          <w:headerReference w:type="default" r:id="rId10"/>
          <w:footerReference w:type="default" r:id="rId11"/>
          <w:endnotePr>
            <w:numFmt w:val="decimal"/>
          </w:endnotePr>
          <w:type w:val="oddPage"/>
          <w:pgSz w:w="12240" w:h="15840" w:code="1"/>
          <w:pgMar w:top="2160" w:right="1570" w:bottom="1296" w:left="1699" w:header="1296" w:footer="1296" w:gutter="0"/>
          <w:pgNumType w:start="1"/>
          <w:cols w:space="720"/>
          <w:noEndnote/>
          <w:titlePg/>
        </w:sectPr>
      </w:pPr>
    </w:p>
    <w:p w14:paraId="7D72D46F" w14:textId="77777777" w:rsidR="00C74F8B" w:rsidRPr="0026653F" w:rsidRDefault="00C74F8B" w:rsidP="00C618DD">
      <w:pPr>
        <w:jc w:val="center"/>
        <w:rPr>
          <w:szCs w:val="22"/>
          <w:lang w:val="fr-FR"/>
        </w:rPr>
      </w:pPr>
      <w:r w:rsidRPr="0026653F">
        <w:rPr>
          <w:szCs w:val="22"/>
          <w:lang w:val="fr-FR"/>
        </w:rPr>
        <w:lastRenderedPageBreak/>
        <w:t>TABLE DES MATIÈRES</w:t>
      </w:r>
    </w:p>
    <w:p w14:paraId="394CAC99" w14:textId="77777777" w:rsidR="001D4952" w:rsidRPr="0026653F" w:rsidRDefault="001D4952" w:rsidP="00C618DD">
      <w:pPr>
        <w:rPr>
          <w:szCs w:val="22"/>
          <w:lang w:val="fr-FR"/>
        </w:rPr>
      </w:pPr>
    </w:p>
    <w:p w14:paraId="4D86303D" w14:textId="77777777" w:rsidR="00F97C5E" w:rsidRPr="0026653F" w:rsidRDefault="00F97C5E" w:rsidP="00C618DD">
      <w:pPr>
        <w:rPr>
          <w:szCs w:val="22"/>
          <w:lang w:val="fr-FR"/>
        </w:rPr>
      </w:pPr>
    </w:p>
    <w:p w14:paraId="2FF57904" w14:textId="77777777" w:rsidR="00C74F8B" w:rsidRPr="0026653F" w:rsidRDefault="00C74F8B" w:rsidP="00C618DD">
      <w:pPr>
        <w:jc w:val="right"/>
        <w:rPr>
          <w:szCs w:val="22"/>
          <w:u w:val="single"/>
          <w:lang w:val="fr-FR"/>
        </w:rPr>
      </w:pPr>
      <w:r w:rsidRPr="0026653F">
        <w:rPr>
          <w:szCs w:val="22"/>
          <w:u w:val="single"/>
          <w:lang w:val="fr-FR"/>
        </w:rPr>
        <w:t>Page</w:t>
      </w:r>
    </w:p>
    <w:p w14:paraId="773054A8" w14:textId="77777777" w:rsidR="0001129F" w:rsidRPr="0026653F" w:rsidRDefault="0001129F" w:rsidP="00C618DD">
      <w:pPr>
        <w:pStyle w:val="TOC1"/>
        <w:tabs>
          <w:tab w:val="clear" w:pos="9360"/>
          <w:tab w:val="left" w:pos="2880"/>
          <w:tab w:val="right" w:leader="dot" w:pos="8928"/>
        </w:tabs>
        <w:spacing w:before="0"/>
        <w:ind w:left="2880" w:right="1080" w:hanging="2880"/>
        <w:rPr>
          <w:szCs w:val="22"/>
          <w:lang w:val="fr-FR"/>
        </w:rPr>
      </w:pPr>
    </w:p>
    <w:p w14:paraId="243B8A87" w14:textId="4048F584" w:rsidR="00F322B8" w:rsidRPr="009B4E6E" w:rsidRDefault="00C74F8B" w:rsidP="00292D44">
      <w:pPr>
        <w:pStyle w:val="TOC1"/>
        <w:tabs>
          <w:tab w:val="clear" w:pos="9360"/>
          <w:tab w:val="left" w:pos="2880"/>
          <w:tab w:val="right" w:leader="dot" w:pos="8928"/>
        </w:tabs>
        <w:spacing w:before="0"/>
        <w:ind w:left="2880" w:right="871" w:hanging="2880"/>
        <w:rPr>
          <w:noProof/>
          <w:szCs w:val="22"/>
          <w:lang w:val="fr-FR"/>
        </w:rPr>
      </w:pPr>
      <w:r w:rsidRPr="0026653F">
        <w:rPr>
          <w:szCs w:val="22"/>
          <w:lang w:val="fr-FR"/>
        </w:rPr>
        <w:fldChar w:fldCharType="begin"/>
      </w:r>
      <w:r w:rsidRPr="0026653F">
        <w:rPr>
          <w:szCs w:val="22"/>
          <w:lang w:val="fr-FR"/>
        </w:rPr>
        <w:instrText xml:space="preserve"> TOC \o "1-1" \h \z \u </w:instrText>
      </w:r>
      <w:r w:rsidRPr="0026653F">
        <w:rPr>
          <w:szCs w:val="22"/>
          <w:lang w:val="fr-FR"/>
        </w:rPr>
        <w:fldChar w:fldCharType="separate"/>
      </w:r>
      <w:hyperlink w:anchor="_Toc74732013" w:history="1">
        <w:r w:rsidR="00F322B8" w:rsidRPr="009B4E6E">
          <w:rPr>
            <w:noProof/>
            <w:szCs w:val="22"/>
          </w:rPr>
          <w:t>AG/DEC. 102 (L-O/20)</w:t>
        </w:r>
        <w:r w:rsidR="00F322B8" w:rsidRPr="009B4E6E">
          <w:rPr>
            <w:noProof/>
            <w:szCs w:val="22"/>
          </w:rPr>
          <w:tab/>
        </w:r>
        <w:r w:rsidR="00F322B8" w:rsidRPr="009B4E6E">
          <w:rPr>
            <w:noProof/>
            <w:szCs w:val="22"/>
            <w:lang w:val="fr-FR"/>
          </w:rPr>
          <w:t>Déclaration sur « La Question des Îles Malouines »</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_Toc74732013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w:t>
        </w:r>
        <w:r w:rsidR="00F322B8" w:rsidRPr="009B4E6E">
          <w:rPr>
            <w:noProof/>
            <w:webHidden/>
            <w:szCs w:val="22"/>
            <w:lang w:val="fr-FR"/>
          </w:rPr>
          <w:fldChar w:fldCharType="end"/>
        </w:r>
      </w:hyperlink>
    </w:p>
    <w:p w14:paraId="6FF75724" w14:textId="77777777" w:rsidR="00F322B8" w:rsidRPr="009B4E6E" w:rsidRDefault="00F322B8" w:rsidP="00292D44">
      <w:pPr>
        <w:pStyle w:val="TOC1"/>
        <w:tabs>
          <w:tab w:val="clear" w:pos="9360"/>
          <w:tab w:val="left" w:pos="2880"/>
          <w:tab w:val="right" w:leader="dot" w:pos="8928"/>
        </w:tabs>
        <w:spacing w:before="0"/>
        <w:ind w:left="2880" w:right="871" w:hanging="2880"/>
        <w:rPr>
          <w:noProof/>
          <w:szCs w:val="22"/>
          <w:lang w:val="fr-FR"/>
        </w:rPr>
      </w:pPr>
    </w:p>
    <w:p w14:paraId="1B3E29B2" w14:textId="705CC8AC"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4" w:history="1">
        <w:r w:rsidR="00F322B8" w:rsidRPr="009B4E6E">
          <w:rPr>
            <w:noProof/>
            <w:szCs w:val="22"/>
          </w:rPr>
          <w:t>AG/RES. 2948 (L-O/20)</w:t>
        </w:r>
        <w:r w:rsidR="00F322B8" w:rsidRPr="009B4E6E">
          <w:rPr>
            <w:noProof/>
            <w:szCs w:val="22"/>
          </w:rPr>
          <w:tab/>
        </w:r>
        <w:r w:rsidR="00F322B8" w:rsidRPr="009B4E6E">
          <w:rPr>
            <w:noProof/>
            <w:szCs w:val="22"/>
            <w:lang w:val="fr-FR"/>
          </w:rPr>
          <w:t>Soutien et suivi du processus des Sommets des Amériques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_Toc74732014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5</w:t>
        </w:r>
        <w:r w:rsidR="00F322B8" w:rsidRPr="009B4E6E">
          <w:rPr>
            <w:noProof/>
            <w:webHidden/>
            <w:szCs w:val="22"/>
            <w:lang w:val="fr-FR"/>
          </w:rPr>
          <w:fldChar w:fldCharType="end"/>
        </w:r>
      </w:hyperlink>
    </w:p>
    <w:p w14:paraId="45C397A2" w14:textId="77777777" w:rsidR="00F322B8" w:rsidRPr="009B4E6E" w:rsidRDefault="00F322B8" w:rsidP="00292D44">
      <w:pPr>
        <w:pStyle w:val="TOC1"/>
        <w:tabs>
          <w:tab w:val="clear" w:pos="9360"/>
          <w:tab w:val="left" w:pos="2880"/>
          <w:tab w:val="right" w:leader="dot" w:pos="8928"/>
        </w:tabs>
        <w:spacing w:before="0"/>
        <w:ind w:left="2880" w:right="871" w:hanging="2880"/>
        <w:rPr>
          <w:noProof/>
          <w:szCs w:val="22"/>
          <w:lang w:val="fr-FR"/>
        </w:rPr>
      </w:pPr>
    </w:p>
    <w:p w14:paraId="3AD26489" w14:textId="28A6B8C2"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5" w:history="1">
        <w:r w:rsidR="00F322B8" w:rsidRPr="009B4E6E">
          <w:rPr>
            <w:noProof/>
            <w:szCs w:val="22"/>
          </w:rPr>
          <w:t>AG/RES. 2949 (L-O/20)</w:t>
        </w:r>
        <w:r w:rsidR="00F322B8" w:rsidRPr="009B4E6E">
          <w:rPr>
            <w:noProof/>
            <w:szCs w:val="22"/>
          </w:rPr>
          <w:tab/>
        </w:r>
        <w:r w:rsidR="00F322B8" w:rsidRPr="009B4E6E">
          <w:rPr>
            <w:noProof/>
            <w:szCs w:val="22"/>
            <w:lang w:val="fr-FR"/>
          </w:rPr>
          <w:t>Accroissement et renforcement de la participation de la société civile et des acteurs sociaux aux activités de l’Organisation des États Américains et au processus des Sommets des Amériques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_Toc74732015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9</w:t>
        </w:r>
        <w:r w:rsidR="00F322B8" w:rsidRPr="009B4E6E">
          <w:rPr>
            <w:noProof/>
            <w:webHidden/>
            <w:szCs w:val="22"/>
            <w:lang w:val="fr-FR"/>
          </w:rPr>
          <w:fldChar w:fldCharType="end"/>
        </w:r>
      </w:hyperlink>
    </w:p>
    <w:p w14:paraId="251FEB01" w14:textId="77777777" w:rsidR="00F322B8" w:rsidRPr="009B4E6E" w:rsidRDefault="00F322B8" w:rsidP="00292D44">
      <w:pPr>
        <w:pStyle w:val="TOC1"/>
        <w:tabs>
          <w:tab w:val="clear" w:pos="9360"/>
          <w:tab w:val="left" w:pos="2880"/>
          <w:tab w:val="right" w:leader="dot" w:pos="8928"/>
        </w:tabs>
        <w:spacing w:before="0"/>
        <w:ind w:left="2880" w:right="871" w:hanging="2880"/>
        <w:rPr>
          <w:noProof/>
          <w:szCs w:val="22"/>
          <w:lang w:val="fr-FR"/>
        </w:rPr>
      </w:pPr>
    </w:p>
    <w:p w14:paraId="3467B190" w14:textId="775CF429"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6" w:history="1">
        <w:r w:rsidR="00F322B8" w:rsidRPr="009B4E6E">
          <w:rPr>
            <w:noProof/>
            <w:szCs w:val="22"/>
          </w:rPr>
          <w:t>AG/RES. 2950 (L-O/20)</w:t>
        </w:r>
        <w:r w:rsidR="00F322B8" w:rsidRPr="009B4E6E">
          <w:rPr>
            <w:noProof/>
            <w:szCs w:val="22"/>
          </w:rPr>
          <w:tab/>
        </w:r>
        <w:r w:rsidR="00F322B8" w:rsidRPr="009B4E6E">
          <w:rPr>
            <w:noProof/>
            <w:szCs w:val="22"/>
            <w:lang w:val="fr-FR"/>
          </w:rPr>
          <w:t>Promotion de la sécurité continentale :  Une approche multidimensionnelle</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_Toc74732016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13</w:t>
        </w:r>
        <w:r w:rsidR="00F322B8" w:rsidRPr="009B4E6E">
          <w:rPr>
            <w:noProof/>
            <w:webHidden/>
            <w:szCs w:val="22"/>
            <w:lang w:val="fr-FR"/>
          </w:rPr>
          <w:fldChar w:fldCharType="end"/>
        </w:r>
      </w:hyperlink>
    </w:p>
    <w:p w14:paraId="62F13C72" w14:textId="77777777" w:rsidR="00F322B8" w:rsidRPr="009B4E6E" w:rsidRDefault="00F322B8" w:rsidP="00292D44">
      <w:pPr>
        <w:pStyle w:val="TOC1"/>
        <w:tabs>
          <w:tab w:val="clear" w:pos="9360"/>
          <w:tab w:val="left" w:pos="2880"/>
          <w:tab w:val="right" w:leader="dot" w:pos="8928"/>
        </w:tabs>
        <w:spacing w:before="0"/>
        <w:ind w:left="2880" w:right="871" w:hanging="2880"/>
        <w:rPr>
          <w:noProof/>
          <w:szCs w:val="22"/>
          <w:lang w:val="fr-FR"/>
        </w:rPr>
      </w:pPr>
    </w:p>
    <w:p w14:paraId="0913BA55" w14:textId="2B4105AA"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7" w:history="1">
        <w:r w:rsidR="00F322B8" w:rsidRPr="009B4E6E">
          <w:rPr>
            <w:noProof/>
            <w:szCs w:val="22"/>
          </w:rPr>
          <w:t>AG/RES. 2951 (L-O/20)</w:t>
        </w:r>
        <w:r w:rsidR="00427803" w:rsidRPr="009B4E6E">
          <w:rPr>
            <w:noProof/>
            <w:szCs w:val="22"/>
          </w:rPr>
          <w:tab/>
        </w:r>
        <w:r w:rsidR="00292D44" w:rsidRPr="009B4E6E">
          <w:rPr>
            <w:noProof/>
            <w:szCs w:val="22"/>
            <w:lang w:val="fr-FR"/>
          </w:rPr>
          <w:t>Actualisation des règlements du Conseil permanent et de ses organes</w:t>
        </w:r>
        <w:r w:rsidR="00F322B8" w:rsidRPr="009B4E6E">
          <w:rPr>
            <w:noProof/>
            <w:szCs w:val="22"/>
          </w:rPr>
          <w:t xml:space="preserve"> </w:t>
        </w:r>
        <w:r w:rsidR="00292D44" w:rsidRPr="009B4E6E">
          <w:rPr>
            <w:noProof/>
            <w:szCs w:val="22"/>
            <w:lang w:val="fr-FR"/>
          </w:rPr>
          <w:t>subsidiaires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_Toc74732017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49</w:t>
        </w:r>
        <w:r w:rsidR="00F322B8" w:rsidRPr="009B4E6E">
          <w:rPr>
            <w:noProof/>
            <w:webHidden/>
            <w:szCs w:val="22"/>
            <w:lang w:val="fr-FR"/>
          </w:rPr>
          <w:fldChar w:fldCharType="end"/>
        </w:r>
      </w:hyperlink>
    </w:p>
    <w:p w14:paraId="130A3A1C" w14:textId="77777777" w:rsidR="00427803" w:rsidRPr="009B4E6E" w:rsidRDefault="00427803" w:rsidP="00292D44">
      <w:pPr>
        <w:pStyle w:val="TOC1"/>
        <w:tabs>
          <w:tab w:val="clear" w:pos="9360"/>
          <w:tab w:val="left" w:pos="2880"/>
          <w:tab w:val="right" w:leader="dot" w:pos="8928"/>
        </w:tabs>
        <w:spacing w:before="0"/>
        <w:ind w:left="2880" w:right="871" w:hanging="2880"/>
        <w:rPr>
          <w:noProof/>
          <w:szCs w:val="22"/>
          <w:lang w:val="fr-FR"/>
        </w:rPr>
      </w:pPr>
    </w:p>
    <w:p w14:paraId="54DFFA43" w14:textId="55882826"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8" w:history="1">
        <w:r w:rsidR="00F322B8" w:rsidRPr="009B4E6E">
          <w:rPr>
            <w:noProof/>
            <w:szCs w:val="22"/>
          </w:rPr>
          <w:t>AG/RES. 2952 (L-O/20)</w:t>
        </w:r>
        <w:r w:rsidR="00B24583" w:rsidRPr="009B4E6E">
          <w:rPr>
            <w:noProof/>
            <w:szCs w:val="22"/>
          </w:rPr>
          <w:tab/>
        </w:r>
        <w:r w:rsidR="00292D44" w:rsidRPr="009B4E6E">
          <w:rPr>
            <w:noProof/>
            <w:szCs w:val="22"/>
            <w:lang w:val="fr-FR"/>
          </w:rPr>
          <w:t xml:space="preserve">Promotion de la riposte continentale au changement climatique  dans le contexte de la pandémie de </w:t>
        </w:r>
        <w:r w:rsidR="00292D44" w:rsidRPr="009B4E6E">
          <w:rPr>
            <w:noProof/>
            <w:szCs w:val="22"/>
            <w:lang w:val="fr-FR"/>
          </w:rPr>
          <w:br/>
          <w:t>COVID-19</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_Toc74732018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53</w:t>
        </w:r>
        <w:r w:rsidR="00F322B8" w:rsidRPr="009B4E6E">
          <w:rPr>
            <w:noProof/>
            <w:webHidden/>
            <w:szCs w:val="22"/>
            <w:lang w:val="fr-FR"/>
          </w:rPr>
          <w:fldChar w:fldCharType="end"/>
        </w:r>
      </w:hyperlink>
    </w:p>
    <w:p w14:paraId="3917B8DC" w14:textId="77777777" w:rsidR="00427803" w:rsidRPr="009B4E6E" w:rsidRDefault="00427803" w:rsidP="00292D44">
      <w:pPr>
        <w:pStyle w:val="TOC1"/>
        <w:tabs>
          <w:tab w:val="clear" w:pos="9360"/>
          <w:tab w:val="left" w:pos="2880"/>
          <w:tab w:val="right" w:leader="dot" w:pos="8928"/>
        </w:tabs>
        <w:spacing w:before="0"/>
        <w:ind w:left="2880" w:right="871" w:hanging="2880"/>
        <w:rPr>
          <w:noProof/>
          <w:szCs w:val="22"/>
          <w:lang w:val="fr-FR"/>
        </w:rPr>
      </w:pPr>
    </w:p>
    <w:p w14:paraId="2F90BCB3" w14:textId="36863787"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19" w:history="1">
        <w:r w:rsidR="00F322B8" w:rsidRPr="009B4E6E">
          <w:rPr>
            <w:noProof/>
            <w:szCs w:val="22"/>
          </w:rPr>
          <w:t>AG/RES. 2953 (L-O/20)</w:t>
        </w:r>
        <w:r w:rsidR="00292D44" w:rsidRPr="009B4E6E">
          <w:rPr>
            <w:noProof/>
            <w:szCs w:val="22"/>
          </w:rPr>
          <w:tab/>
        </w:r>
        <w:r w:rsidR="00292D44" w:rsidRPr="009B4E6E">
          <w:rPr>
            <w:noProof/>
            <w:szCs w:val="22"/>
            <w:lang w:val="fr-FR"/>
          </w:rPr>
          <w:t>Rôle prioritaire de l’Organisation des États Américains dans le développement des télécommunications/technologies de l’information et des communications par l’intermédiaire de la Commission interaméricaine des télécommunications (CITEL)</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_Toc74732019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57</w:t>
        </w:r>
        <w:r w:rsidR="00F322B8" w:rsidRPr="009B4E6E">
          <w:rPr>
            <w:noProof/>
            <w:webHidden/>
            <w:szCs w:val="22"/>
            <w:lang w:val="fr-FR"/>
          </w:rPr>
          <w:fldChar w:fldCharType="end"/>
        </w:r>
      </w:hyperlink>
    </w:p>
    <w:p w14:paraId="6380AFB6" w14:textId="77777777" w:rsidR="00427803" w:rsidRPr="009B4E6E" w:rsidRDefault="00427803" w:rsidP="00292D44">
      <w:pPr>
        <w:pStyle w:val="TOC1"/>
        <w:tabs>
          <w:tab w:val="clear" w:pos="9360"/>
          <w:tab w:val="left" w:pos="2880"/>
          <w:tab w:val="right" w:leader="dot" w:pos="8928"/>
        </w:tabs>
        <w:spacing w:before="0"/>
        <w:ind w:left="2880" w:right="871" w:hanging="2880"/>
        <w:rPr>
          <w:noProof/>
          <w:szCs w:val="22"/>
          <w:lang w:val="fr-FR"/>
        </w:rPr>
      </w:pPr>
    </w:p>
    <w:p w14:paraId="5EA3E921" w14:textId="4E8E9E1E"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0" w:history="1">
        <w:r w:rsidR="00F322B8" w:rsidRPr="009B4E6E">
          <w:rPr>
            <w:noProof/>
            <w:szCs w:val="22"/>
          </w:rPr>
          <w:t>AG/RES. 2954 (L-O/20)</w:t>
        </w:r>
        <w:r w:rsidR="00292D44" w:rsidRPr="009B4E6E">
          <w:rPr>
            <w:noProof/>
            <w:szCs w:val="22"/>
          </w:rPr>
          <w:tab/>
        </w:r>
        <w:r w:rsidR="00292D44" w:rsidRPr="009B4E6E">
          <w:rPr>
            <w:noProof/>
            <w:szCs w:val="22"/>
            <w:lang w:val="fr-FR"/>
          </w:rPr>
          <w:t>Vers une Charte interaméricaine des entreprises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_Toc74732020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61</w:t>
        </w:r>
        <w:r w:rsidR="00F322B8" w:rsidRPr="009B4E6E">
          <w:rPr>
            <w:noProof/>
            <w:webHidden/>
            <w:szCs w:val="22"/>
            <w:lang w:val="fr-FR"/>
          </w:rPr>
          <w:fldChar w:fldCharType="end"/>
        </w:r>
      </w:hyperlink>
    </w:p>
    <w:p w14:paraId="227F7D84" w14:textId="77777777" w:rsidR="00B24583" w:rsidRPr="009B4E6E" w:rsidRDefault="00B24583" w:rsidP="00292D44">
      <w:pPr>
        <w:pStyle w:val="TOC1"/>
        <w:tabs>
          <w:tab w:val="clear" w:pos="9360"/>
          <w:tab w:val="left" w:pos="2880"/>
          <w:tab w:val="right" w:leader="dot" w:pos="8928"/>
        </w:tabs>
        <w:spacing w:before="0"/>
        <w:ind w:left="2880" w:right="871" w:hanging="2880"/>
        <w:rPr>
          <w:noProof/>
          <w:szCs w:val="22"/>
          <w:lang w:val="fr-FR"/>
        </w:rPr>
      </w:pPr>
    </w:p>
    <w:p w14:paraId="5133897A" w14:textId="5ED86250"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1" w:history="1">
        <w:r w:rsidR="00F322B8" w:rsidRPr="009B4E6E">
          <w:rPr>
            <w:noProof/>
            <w:szCs w:val="22"/>
          </w:rPr>
          <w:t>AG/RES. 2955 (L-O/20)</w:t>
        </w:r>
        <w:r w:rsidR="00292D44" w:rsidRPr="009B4E6E">
          <w:rPr>
            <w:noProof/>
            <w:szCs w:val="22"/>
          </w:rPr>
          <w:tab/>
        </w:r>
        <w:r w:rsidR="003A08DD" w:rsidRPr="009B4E6E">
          <w:rPr>
            <w:noProof/>
            <w:szCs w:val="22"/>
            <w:lang w:val="fr-FR"/>
          </w:rPr>
          <w:t>Encourager les initiatives continentales en matière de  développement intégré : Promotion de la résilience</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_Toc74732021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73</w:t>
        </w:r>
        <w:r w:rsidR="00F322B8" w:rsidRPr="009B4E6E">
          <w:rPr>
            <w:noProof/>
            <w:webHidden/>
            <w:szCs w:val="22"/>
            <w:lang w:val="fr-FR"/>
          </w:rPr>
          <w:fldChar w:fldCharType="end"/>
        </w:r>
      </w:hyperlink>
    </w:p>
    <w:p w14:paraId="42994A18" w14:textId="77777777" w:rsidR="00B24583" w:rsidRPr="009B4E6E" w:rsidRDefault="00B24583" w:rsidP="00292D44">
      <w:pPr>
        <w:pStyle w:val="TOC1"/>
        <w:tabs>
          <w:tab w:val="clear" w:pos="9360"/>
          <w:tab w:val="left" w:pos="2880"/>
          <w:tab w:val="right" w:leader="dot" w:pos="8928"/>
        </w:tabs>
        <w:spacing w:before="0"/>
        <w:ind w:left="2880" w:right="871" w:hanging="2880"/>
        <w:rPr>
          <w:noProof/>
          <w:szCs w:val="22"/>
          <w:lang w:val="fr-FR"/>
        </w:rPr>
      </w:pPr>
    </w:p>
    <w:p w14:paraId="412DFC24" w14:textId="7B1B09DC"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2" w:history="1">
        <w:r w:rsidR="00F322B8" w:rsidRPr="009B4E6E">
          <w:rPr>
            <w:noProof/>
            <w:szCs w:val="22"/>
          </w:rPr>
          <w:t>AG/RES. 2956 (L-O/20)</w:t>
        </w:r>
        <w:r w:rsidR="003A08DD" w:rsidRPr="009B4E6E">
          <w:rPr>
            <w:noProof/>
            <w:szCs w:val="22"/>
          </w:rPr>
          <w:tab/>
        </w:r>
        <w:r w:rsidR="003A08DD" w:rsidRPr="009B4E6E">
          <w:rPr>
            <w:noProof/>
            <w:szCs w:val="22"/>
            <w:lang w:val="fr-FR"/>
          </w:rPr>
          <w:t>Défis pour la sécurité alimentaire et nutritionnelle dans les Amériques face à la pandémie de COVID-19 dans le cadre  du Plan d’action de Guatemala 2019</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_Toc74732022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93</w:t>
        </w:r>
        <w:r w:rsidR="00F322B8" w:rsidRPr="009B4E6E">
          <w:rPr>
            <w:noProof/>
            <w:webHidden/>
            <w:szCs w:val="22"/>
            <w:lang w:val="fr-FR"/>
          </w:rPr>
          <w:fldChar w:fldCharType="end"/>
        </w:r>
      </w:hyperlink>
    </w:p>
    <w:p w14:paraId="4E4FF9E3" w14:textId="77777777" w:rsidR="003A08DD" w:rsidRPr="009B4E6E" w:rsidRDefault="003A08DD" w:rsidP="003A08DD">
      <w:pPr>
        <w:rPr>
          <w:rFonts w:eastAsiaTheme="minorEastAsia"/>
          <w:noProof/>
          <w:szCs w:val="22"/>
          <w:lang w:val="fr-FR"/>
        </w:rPr>
      </w:pPr>
    </w:p>
    <w:p w14:paraId="1C2EBD5C" w14:textId="221D8A41"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3" w:history="1">
        <w:r w:rsidR="00F322B8" w:rsidRPr="009B4E6E">
          <w:rPr>
            <w:noProof/>
            <w:szCs w:val="22"/>
          </w:rPr>
          <w:t>AG/RES. 2957 (L-O/20)</w:t>
        </w:r>
        <w:r w:rsidR="003A08DD" w:rsidRPr="009B4E6E">
          <w:rPr>
            <w:noProof/>
            <w:szCs w:val="22"/>
          </w:rPr>
          <w:tab/>
        </w:r>
        <w:r w:rsidR="003A08DD" w:rsidRPr="009B4E6E">
          <w:rPr>
            <w:noProof/>
            <w:szCs w:val="22"/>
            <w:lang w:val="fr-FR"/>
          </w:rPr>
          <w:t>Programme-budget 2021 de l’Organisation</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_Toc74732023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101</w:t>
        </w:r>
        <w:r w:rsidR="00F322B8" w:rsidRPr="009B4E6E">
          <w:rPr>
            <w:noProof/>
            <w:webHidden/>
            <w:szCs w:val="22"/>
            <w:lang w:val="fr-FR"/>
          </w:rPr>
          <w:fldChar w:fldCharType="end"/>
        </w:r>
      </w:hyperlink>
    </w:p>
    <w:p w14:paraId="41088E1C" w14:textId="77777777" w:rsidR="003A08DD" w:rsidRPr="009B4E6E" w:rsidRDefault="003A08DD" w:rsidP="003A08DD">
      <w:pPr>
        <w:rPr>
          <w:rFonts w:eastAsiaTheme="minorEastAsia"/>
          <w:noProof/>
          <w:szCs w:val="22"/>
          <w:lang w:val="fr-FR"/>
        </w:rPr>
      </w:pPr>
    </w:p>
    <w:p w14:paraId="48232273" w14:textId="57527108"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4" w:history="1">
        <w:r w:rsidR="00F322B8" w:rsidRPr="009B4E6E">
          <w:rPr>
            <w:noProof/>
            <w:szCs w:val="22"/>
          </w:rPr>
          <w:t>AG/RES. 2958 (L-O/20)</w:t>
        </w:r>
        <w:r w:rsidR="003A08DD" w:rsidRPr="009B4E6E">
          <w:rPr>
            <w:noProof/>
            <w:szCs w:val="22"/>
          </w:rPr>
          <w:tab/>
        </w:r>
        <w:r w:rsidR="003A08DD" w:rsidRPr="009B4E6E">
          <w:rPr>
            <w:noProof/>
            <w:szCs w:val="22"/>
            <w:lang w:val="fr-FR"/>
          </w:rPr>
          <w:t>Renforcement de la démocratie</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_Toc74732024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127</w:t>
        </w:r>
        <w:r w:rsidR="00F322B8" w:rsidRPr="009B4E6E">
          <w:rPr>
            <w:noProof/>
            <w:webHidden/>
            <w:szCs w:val="22"/>
            <w:lang w:val="fr-FR"/>
          </w:rPr>
          <w:fldChar w:fldCharType="end"/>
        </w:r>
      </w:hyperlink>
    </w:p>
    <w:p w14:paraId="488EB60A" w14:textId="77777777" w:rsidR="003A08DD" w:rsidRPr="009B4E6E" w:rsidRDefault="003A08DD" w:rsidP="003A08DD">
      <w:pPr>
        <w:rPr>
          <w:rFonts w:eastAsiaTheme="minorEastAsia"/>
          <w:noProof/>
          <w:szCs w:val="22"/>
          <w:lang w:val="fr-FR"/>
        </w:rPr>
      </w:pPr>
    </w:p>
    <w:p w14:paraId="06ED802E" w14:textId="437B0BCE"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5" w:history="1">
        <w:r w:rsidR="00F322B8" w:rsidRPr="009B4E6E">
          <w:rPr>
            <w:noProof/>
            <w:szCs w:val="22"/>
          </w:rPr>
          <w:t>AG/RES. 2959 (L-O/20)</w:t>
        </w:r>
        <w:r w:rsidR="003A08DD" w:rsidRPr="009B4E6E">
          <w:rPr>
            <w:noProof/>
            <w:szCs w:val="22"/>
          </w:rPr>
          <w:tab/>
        </w:r>
        <w:r w:rsidR="003A08DD" w:rsidRPr="009B4E6E">
          <w:rPr>
            <w:noProof/>
            <w:szCs w:val="22"/>
            <w:lang w:val="fr-FR"/>
          </w:rPr>
          <w:t>Droit international</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_Toc74732025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145</w:t>
        </w:r>
        <w:r w:rsidR="00F322B8" w:rsidRPr="009B4E6E">
          <w:rPr>
            <w:noProof/>
            <w:webHidden/>
            <w:szCs w:val="22"/>
            <w:lang w:val="fr-FR"/>
          </w:rPr>
          <w:fldChar w:fldCharType="end"/>
        </w:r>
      </w:hyperlink>
    </w:p>
    <w:p w14:paraId="605B157D" w14:textId="001E8D7F"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6" w:history="1">
        <w:r w:rsidR="00F322B8" w:rsidRPr="009B4E6E">
          <w:rPr>
            <w:noProof/>
            <w:szCs w:val="22"/>
          </w:rPr>
          <w:t>AG/RES. 2960 (L-O/20)</w:t>
        </w:r>
        <w:r w:rsidR="008B5739" w:rsidRPr="009B4E6E">
          <w:rPr>
            <w:noProof/>
            <w:szCs w:val="22"/>
          </w:rPr>
          <w:tab/>
        </w:r>
        <w:r w:rsidR="008B5739" w:rsidRPr="009B4E6E">
          <w:rPr>
            <w:noProof/>
            <w:szCs w:val="22"/>
            <w:lang w:val="fr-FR"/>
          </w:rPr>
          <w:t>Renforcement de la participation des observateurs permanents aux activités de l’Organisation des États Américains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_Toc74732026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155</w:t>
        </w:r>
        <w:r w:rsidR="00F322B8" w:rsidRPr="009B4E6E">
          <w:rPr>
            <w:noProof/>
            <w:webHidden/>
            <w:szCs w:val="22"/>
            <w:lang w:val="fr-FR"/>
          </w:rPr>
          <w:fldChar w:fldCharType="end"/>
        </w:r>
      </w:hyperlink>
    </w:p>
    <w:p w14:paraId="30D3678C" w14:textId="77777777" w:rsidR="003A08DD" w:rsidRPr="009B4E6E" w:rsidRDefault="003A08DD" w:rsidP="003A08DD">
      <w:pPr>
        <w:rPr>
          <w:rFonts w:eastAsiaTheme="minorEastAsia"/>
          <w:noProof/>
          <w:szCs w:val="22"/>
          <w:lang w:val="fr-FR"/>
        </w:rPr>
      </w:pPr>
    </w:p>
    <w:p w14:paraId="21543FC4" w14:textId="04801CD7"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7" w:history="1">
        <w:r w:rsidR="00F322B8" w:rsidRPr="009B4E6E">
          <w:rPr>
            <w:noProof/>
            <w:szCs w:val="22"/>
          </w:rPr>
          <w:t>AG/RES. 2961 (L-O/20)</w:t>
        </w:r>
        <w:r w:rsidR="008B5739" w:rsidRPr="009B4E6E">
          <w:rPr>
            <w:noProof/>
            <w:szCs w:val="22"/>
          </w:rPr>
          <w:tab/>
        </w:r>
        <w:r w:rsidR="008B5739" w:rsidRPr="009B4E6E">
          <w:rPr>
            <w:noProof/>
            <w:szCs w:val="22"/>
            <w:lang w:val="fr-FR"/>
          </w:rPr>
          <w:t>Promotion et protection des droits de la personne</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_Toc74732027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159</w:t>
        </w:r>
        <w:r w:rsidR="00F322B8" w:rsidRPr="009B4E6E">
          <w:rPr>
            <w:noProof/>
            <w:webHidden/>
            <w:szCs w:val="22"/>
            <w:lang w:val="fr-FR"/>
          </w:rPr>
          <w:fldChar w:fldCharType="end"/>
        </w:r>
      </w:hyperlink>
    </w:p>
    <w:p w14:paraId="3E1E85A1" w14:textId="77777777" w:rsidR="003A08DD" w:rsidRPr="009B4E6E" w:rsidRDefault="003A08DD" w:rsidP="003A08DD">
      <w:pPr>
        <w:rPr>
          <w:rFonts w:eastAsiaTheme="minorEastAsia"/>
          <w:noProof/>
          <w:szCs w:val="22"/>
          <w:lang w:val="fr-FR"/>
        </w:rPr>
      </w:pPr>
    </w:p>
    <w:p w14:paraId="381F1680" w14:textId="294D41A3"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8" w:history="1">
        <w:r w:rsidR="00F322B8" w:rsidRPr="009B4E6E">
          <w:rPr>
            <w:noProof/>
            <w:szCs w:val="22"/>
          </w:rPr>
          <w:t>AG/RES. 2962 (L-O/20)</w:t>
        </w:r>
        <w:r w:rsidR="008B5739" w:rsidRPr="009B4E6E">
          <w:rPr>
            <w:noProof/>
            <w:szCs w:val="22"/>
          </w:rPr>
          <w:tab/>
        </w:r>
        <w:r w:rsidR="008B5739" w:rsidRPr="009B4E6E">
          <w:rPr>
            <w:noProof/>
            <w:szCs w:val="22"/>
            <w:lang w:val="fr-FR"/>
          </w:rPr>
          <w:t>Rétablissement des institutions démocratiques et du respect des droits de la personne au Nicaragua par le biais d’élections libres et justes</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_Toc74732028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195</w:t>
        </w:r>
        <w:r w:rsidR="00F322B8" w:rsidRPr="009B4E6E">
          <w:rPr>
            <w:noProof/>
            <w:webHidden/>
            <w:szCs w:val="22"/>
            <w:lang w:val="fr-FR"/>
          </w:rPr>
          <w:fldChar w:fldCharType="end"/>
        </w:r>
      </w:hyperlink>
    </w:p>
    <w:p w14:paraId="7F585556" w14:textId="77777777" w:rsidR="003A08DD" w:rsidRPr="009B4E6E" w:rsidRDefault="003A08DD" w:rsidP="003A08DD">
      <w:pPr>
        <w:rPr>
          <w:rFonts w:eastAsiaTheme="minorEastAsia"/>
          <w:noProof/>
          <w:szCs w:val="22"/>
          <w:lang w:val="fr-FR"/>
        </w:rPr>
      </w:pPr>
    </w:p>
    <w:p w14:paraId="1BAEED3E" w14:textId="709B9A60" w:rsidR="00F322B8" w:rsidRPr="009B4E6E" w:rsidRDefault="00B44AA1" w:rsidP="00292D44">
      <w:pPr>
        <w:pStyle w:val="TOC1"/>
        <w:tabs>
          <w:tab w:val="clear" w:pos="9360"/>
          <w:tab w:val="left" w:pos="2880"/>
          <w:tab w:val="right" w:leader="dot" w:pos="8928"/>
        </w:tabs>
        <w:spacing w:before="0"/>
        <w:ind w:left="2880" w:right="871" w:hanging="2880"/>
        <w:rPr>
          <w:noProof/>
          <w:szCs w:val="22"/>
          <w:lang w:val="fr-FR"/>
        </w:rPr>
      </w:pPr>
      <w:hyperlink w:anchor="_Toc74732029" w:history="1">
        <w:r w:rsidR="00F322B8" w:rsidRPr="009B4E6E">
          <w:rPr>
            <w:noProof/>
            <w:szCs w:val="22"/>
          </w:rPr>
          <w:t>AG/RES. 2963 (L-O/20)</w:t>
        </w:r>
        <w:r w:rsidR="008B5739" w:rsidRPr="009B4E6E">
          <w:rPr>
            <w:noProof/>
            <w:szCs w:val="22"/>
          </w:rPr>
          <w:tab/>
        </w:r>
        <w:r w:rsidR="008B5739" w:rsidRPr="009B4E6E">
          <w:rPr>
            <w:noProof/>
            <w:szCs w:val="22"/>
            <w:lang w:val="fr-FR"/>
          </w:rPr>
          <w:t>L’absence de conditions démocratiques minimales pour garantir des élections libres, régulières et transparentes en République bolivarienne du Venezuela</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_Toc74732029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203</w:t>
        </w:r>
        <w:r w:rsidR="00F322B8" w:rsidRPr="009B4E6E">
          <w:rPr>
            <w:noProof/>
            <w:webHidden/>
            <w:szCs w:val="22"/>
            <w:lang w:val="fr-FR"/>
          </w:rPr>
          <w:fldChar w:fldCharType="end"/>
        </w:r>
      </w:hyperlink>
    </w:p>
    <w:p w14:paraId="6A44904C" w14:textId="77777777" w:rsidR="003A08DD" w:rsidRPr="009B4E6E" w:rsidRDefault="003A08DD" w:rsidP="003A08DD">
      <w:pPr>
        <w:rPr>
          <w:rFonts w:eastAsiaTheme="minorEastAsia"/>
          <w:noProof/>
          <w:szCs w:val="22"/>
          <w:lang w:val="fr-FR"/>
        </w:rPr>
      </w:pPr>
    </w:p>
    <w:p w14:paraId="20D0149B" w14:textId="32C13266" w:rsidR="00F322B8" w:rsidRPr="009B4E6E" w:rsidRDefault="00B44AA1" w:rsidP="00292D44">
      <w:pPr>
        <w:pStyle w:val="TOC1"/>
        <w:tabs>
          <w:tab w:val="clear" w:pos="9360"/>
          <w:tab w:val="left" w:pos="2880"/>
          <w:tab w:val="right" w:leader="dot" w:pos="8928"/>
        </w:tabs>
        <w:spacing w:before="0"/>
        <w:ind w:left="2880" w:right="871" w:hanging="2880"/>
        <w:rPr>
          <w:rFonts w:eastAsiaTheme="minorEastAsia"/>
          <w:noProof/>
          <w:szCs w:val="22"/>
          <w:lang w:val="en-US"/>
        </w:rPr>
      </w:pPr>
      <w:hyperlink w:anchor="_Toc74732030" w:history="1">
        <w:r w:rsidR="00F322B8" w:rsidRPr="009B4E6E">
          <w:rPr>
            <w:noProof/>
            <w:szCs w:val="22"/>
          </w:rPr>
          <w:t>AG/RES. 2964 (L-O/20)</w:t>
        </w:r>
        <w:r w:rsidR="008B5739" w:rsidRPr="009B4E6E">
          <w:rPr>
            <w:noProof/>
            <w:szCs w:val="22"/>
          </w:rPr>
          <w:tab/>
        </w:r>
        <w:r w:rsidR="008B5739" w:rsidRPr="009B4E6E">
          <w:rPr>
            <w:noProof/>
            <w:szCs w:val="22"/>
            <w:lang w:val="fr-FR"/>
          </w:rPr>
          <w:t>Lieu et date de la cinquante-et-unième session ordinaire de l’Assemblée générale</w:t>
        </w:r>
        <w:r w:rsidR="00F322B8" w:rsidRPr="009B4E6E">
          <w:rPr>
            <w:noProof/>
            <w:webHidden/>
            <w:szCs w:val="22"/>
            <w:lang w:val="fr-FR"/>
          </w:rPr>
          <w:tab/>
        </w:r>
        <w:r w:rsidR="00F322B8" w:rsidRPr="009B4E6E">
          <w:rPr>
            <w:noProof/>
            <w:webHidden/>
            <w:szCs w:val="22"/>
            <w:lang w:val="fr-FR"/>
          </w:rPr>
          <w:fldChar w:fldCharType="begin"/>
        </w:r>
        <w:r w:rsidR="00F322B8" w:rsidRPr="009B4E6E">
          <w:rPr>
            <w:noProof/>
            <w:webHidden/>
            <w:szCs w:val="22"/>
            <w:lang w:val="fr-FR"/>
          </w:rPr>
          <w:instrText xml:space="preserve"> PAGEREF _Toc74732030 \h </w:instrText>
        </w:r>
        <w:r w:rsidR="00F322B8" w:rsidRPr="009B4E6E">
          <w:rPr>
            <w:noProof/>
            <w:webHidden/>
            <w:szCs w:val="22"/>
            <w:lang w:val="fr-FR"/>
          </w:rPr>
        </w:r>
        <w:r w:rsidR="00F322B8" w:rsidRPr="009B4E6E">
          <w:rPr>
            <w:noProof/>
            <w:webHidden/>
            <w:szCs w:val="22"/>
            <w:lang w:val="fr-FR"/>
          </w:rPr>
          <w:fldChar w:fldCharType="separate"/>
        </w:r>
        <w:r w:rsidR="00915421">
          <w:rPr>
            <w:noProof/>
            <w:webHidden/>
            <w:szCs w:val="22"/>
            <w:lang w:val="fr-FR"/>
          </w:rPr>
          <w:t>209</w:t>
        </w:r>
        <w:r w:rsidR="00F322B8" w:rsidRPr="009B4E6E">
          <w:rPr>
            <w:noProof/>
            <w:webHidden/>
            <w:szCs w:val="22"/>
            <w:lang w:val="fr-FR"/>
          </w:rPr>
          <w:fldChar w:fldCharType="end"/>
        </w:r>
      </w:hyperlink>
    </w:p>
    <w:p w14:paraId="4771AB2A" w14:textId="69B330CF" w:rsidR="00F97C5E" w:rsidRPr="0026653F" w:rsidRDefault="00C74F8B" w:rsidP="00C618DD">
      <w:pPr>
        <w:tabs>
          <w:tab w:val="left" w:pos="8010"/>
          <w:tab w:val="left" w:pos="8190"/>
        </w:tabs>
        <w:rPr>
          <w:szCs w:val="22"/>
          <w:lang w:val="fr-FR"/>
        </w:rPr>
      </w:pPr>
      <w:r w:rsidRPr="0026653F">
        <w:rPr>
          <w:szCs w:val="22"/>
          <w:lang w:val="fr-FR"/>
        </w:rPr>
        <w:fldChar w:fldCharType="end"/>
      </w:r>
    </w:p>
    <w:p w14:paraId="6EC056E7" w14:textId="77777777" w:rsidR="00C74F8B" w:rsidRPr="0026653F" w:rsidRDefault="00C74F8B" w:rsidP="00C618DD">
      <w:pPr>
        <w:rPr>
          <w:szCs w:val="22"/>
          <w:lang w:val="fr-FR"/>
        </w:rPr>
      </w:pPr>
    </w:p>
    <w:p w14:paraId="63D2C44B" w14:textId="77777777" w:rsidR="00F97C5E" w:rsidRPr="0026653F" w:rsidRDefault="00F97C5E" w:rsidP="00C618DD">
      <w:pPr>
        <w:rPr>
          <w:szCs w:val="22"/>
          <w:lang w:val="fr-FR"/>
        </w:rPr>
        <w:sectPr w:rsidR="00F97C5E" w:rsidRPr="0026653F" w:rsidSect="00FE7DD6">
          <w:headerReference w:type="default" r:id="rId12"/>
          <w:footerReference w:type="first" r:id="rId13"/>
          <w:endnotePr>
            <w:numFmt w:val="decimal"/>
          </w:endnotePr>
          <w:type w:val="oddPage"/>
          <w:pgSz w:w="12240" w:h="15840" w:code="1"/>
          <w:pgMar w:top="2160" w:right="1570" w:bottom="1296" w:left="1699" w:header="1296" w:footer="1296" w:gutter="0"/>
          <w:pgNumType w:fmt="lowerRoman" w:start="3"/>
          <w:cols w:space="720"/>
          <w:noEndnote/>
          <w:titlePg/>
        </w:sectPr>
      </w:pPr>
    </w:p>
    <w:p w14:paraId="27C14C23" w14:textId="4BFF81AE" w:rsidR="00074474" w:rsidRPr="0026653F" w:rsidRDefault="00EA1936" w:rsidP="00C618DD">
      <w:pPr>
        <w:pStyle w:val="Heading1"/>
        <w:rPr>
          <w:szCs w:val="22"/>
          <w:lang w:val="fr-FR"/>
        </w:rPr>
      </w:pPr>
      <w:bookmarkStart w:id="0" w:name="_Toc74732013"/>
      <w:r w:rsidRPr="0026653F">
        <w:rPr>
          <w:rStyle w:val="Heading1Char"/>
          <w:rFonts w:eastAsia="Calibri"/>
          <w:szCs w:val="22"/>
          <w:lang w:val="fr-FR"/>
        </w:rPr>
        <w:lastRenderedPageBreak/>
        <w:t>AG/DEC. 102 (L-O/20)</w:t>
      </w:r>
      <w:r w:rsidR="00CB0E24" w:rsidRPr="0026653F">
        <w:rPr>
          <w:rStyle w:val="Heading1Char"/>
          <w:rFonts w:eastAsia="Calibri"/>
          <w:szCs w:val="22"/>
          <w:lang w:val="fr-FR"/>
        </w:rPr>
        <w:br/>
      </w:r>
      <w:r w:rsidR="00CB0E24" w:rsidRPr="0026653F">
        <w:rPr>
          <w:rStyle w:val="Heading1Char"/>
          <w:rFonts w:eastAsia="Calibri"/>
          <w:szCs w:val="22"/>
          <w:lang w:val="fr-FR"/>
        </w:rPr>
        <w:br/>
      </w:r>
      <w:r w:rsidR="00074474" w:rsidRPr="0026653F">
        <w:rPr>
          <w:szCs w:val="22"/>
          <w:lang w:val="fr-FR"/>
        </w:rPr>
        <w:t>DÉCLARATION SUR «</w:t>
      </w:r>
      <w:r w:rsidR="001C404A" w:rsidRPr="0026653F">
        <w:rPr>
          <w:szCs w:val="22"/>
          <w:lang w:val="fr-FR"/>
        </w:rPr>
        <w:t> </w:t>
      </w:r>
      <w:r w:rsidR="00074474" w:rsidRPr="0026653F">
        <w:rPr>
          <w:szCs w:val="22"/>
          <w:lang w:val="fr-FR"/>
        </w:rPr>
        <w:t>LA QUESTION DES ÎLES MALOUINES</w:t>
      </w:r>
      <w:r w:rsidR="001C404A" w:rsidRPr="0026653F">
        <w:rPr>
          <w:szCs w:val="22"/>
          <w:lang w:val="fr-FR"/>
        </w:rPr>
        <w:t> </w:t>
      </w:r>
      <w:r w:rsidR="00074474" w:rsidRPr="0026653F">
        <w:rPr>
          <w:szCs w:val="22"/>
          <w:lang w:val="fr-FR"/>
        </w:rPr>
        <w:t>»</w:t>
      </w:r>
      <w:r w:rsidR="00074474" w:rsidRPr="0026653F">
        <w:rPr>
          <w:szCs w:val="22"/>
          <w:u w:val="single"/>
          <w:vertAlign w:val="superscript"/>
          <w:lang w:val="fr-FR"/>
        </w:rPr>
        <w:footnoteReference w:id="2"/>
      </w:r>
      <w:r w:rsidR="00074474" w:rsidRPr="0026653F">
        <w:rPr>
          <w:szCs w:val="22"/>
          <w:vertAlign w:val="superscript"/>
          <w:lang w:val="fr-FR"/>
        </w:rPr>
        <w:t>/</w:t>
      </w:r>
      <w:r w:rsidR="00960729" w:rsidRPr="0026653F">
        <w:rPr>
          <w:rStyle w:val="FootnoteReference"/>
          <w:szCs w:val="22"/>
          <w:u w:val="single"/>
          <w:vertAlign w:val="superscript"/>
          <w:lang w:val="fr-FR"/>
        </w:rPr>
        <w:footnoteReference w:id="3"/>
      </w:r>
      <w:r w:rsidR="00960729" w:rsidRPr="0026653F">
        <w:rPr>
          <w:szCs w:val="22"/>
          <w:vertAlign w:val="superscript"/>
          <w:lang w:val="fr-FR"/>
        </w:rPr>
        <w:t>/</w:t>
      </w:r>
      <w:bookmarkEnd w:id="0"/>
    </w:p>
    <w:p w14:paraId="3D929ADB" w14:textId="77777777" w:rsidR="00074474" w:rsidRPr="0026653F" w:rsidRDefault="00074474" w:rsidP="00C618DD">
      <w:pPr>
        <w:rPr>
          <w:szCs w:val="22"/>
          <w:lang w:val="fr-FR"/>
        </w:rPr>
      </w:pPr>
    </w:p>
    <w:p w14:paraId="3C4B899E" w14:textId="77777777" w:rsidR="00074474" w:rsidRPr="0026653F" w:rsidRDefault="00074474" w:rsidP="00C618DD">
      <w:pPr>
        <w:jc w:val="center"/>
        <w:rPr>
          <w:szCs w:val="22"/>
          <w:lang w:val="fr-FR"/>
        </w:rPr>
      </w:pPr>
      <w:r w:rsidRPr="0026653F">
        <w:rPr>
          <w:szCs w:val="22"/>
          <w:lang w:val="fr-FR"/>
        </w:rPr>
        <w:t>(Déclaration adoptée à la première séance plénière, le 20 octobre 2020)</w:t>
      </w:r>
    </w:p>
    <w:p w14:paraId="34E43CD3" w14:textId="77777777" w:rsidR="008A0E01" w:rsidRPr="0026653F" w:rsidRDefault="008A0E01" w:rsidP="00C618DD">
      <w:pPr>
        <w:suppressAutoHyphens/>
        <w:rPr>
          <w:szCs w:val="22"/>
          <w:lang w:val="fr-FR"/>
        </w:rPr>
      </w:pPr>
    </w:p>
    <w:p w14:paraId="32FE4910" w14:textId="77777777" w:rsidR="008A0E01" w:rsidRPr="0026653F" w:rsidRDefault="008A0E01" w:rsidP="00C618DD">
      <w:pPr>
        <w:suppressAutoHyphens/>
        <w:rPr>
          <w:szCs w:val="22"/>
          <w:lang w:val="fr-FR"/>
        </w:rPr>
      </w:pPr>
    </w:p>
    <w:p w14:paraId="6045BF8E" w14:textId="77777777" w:rsidR="008A0E01" w:rsidRPr="0026653F" w:rsidRDefault="008A0E01" w:rsidP="00C618DD">
      <w:pPr>
        <w:suppressAutoHyphens/>
        <w:ind w:firstLine="720"/>
        <w:rPr>
          <w:bCs/>
          <w:iCs/>
          <w:szCs w:val="22"/>
          <w:lang w:val="fr-FR" w:eastAsia="es-ES"/>
        </w:rPr>
      </w:pPr>
      <w:r w:rsidRPr="0026653F">
        <w:rPr>
          <w:bCs/>
          <w:iCs/>
          <w:szCs w:val="22"/>
          <w:lang w:val="fr-FR" w:eastAsia="es-ES"/>
        </w:rPr>
        <w:t>L’ASSEMBLÉE GÉNÉRALE,</w:t>
      </w:r>
    </w:p>
    <w:p w14:paraId="6ED29522" w14:textId="77777777" w:rsidR="008A0E01" w:rsidRPr="0026653F" w:rsidRDefault="008A0E01" w:rsidP="00C618DD">
      <w:pPr>
        <w:suppressAutoHyphens/>
        <w:rPr>
          <w:bCs/>
          <w:iCs/>
          <w:szCs w:val="22"/>
          <w:lang w:val="fr-FR" w:eastAsia="es-ES"/>
        </w:rPr>
      </w:pPr>
    </w:p>
    <w:p w14:paraId="1FB01E6F" w14:textId="439FF42B" w:rsidR="008A0E01" w:rsidRPr="0026653F" w:rsidRDefault="008A0E01" w:rsidP="00C618DD">
      <w:pPr>
        <w:suppressAutoHyphens/>
        <w:ind w:firstLine="720"/>
        <w:rPr>
          <w:bCs/>
          <w:iCs/>
          <w:szCs w:val="22"/>
          <w:lang w:val="fr-FR" w:eastAsia="es-ES"/>
        </w:rPr>
      </w:pPr>
      <w:r w:rsidRPr="0026653F">
        <w:rPr>
          <w:bCs/>
          <w:iCs/>
          <w:szCs w:val="22"/>
          <w:lang w:val="fr-FR" w:eastAsia="es-ES"/>
        </w:rPr>
        <w:t>CONSIDÉRANT qu’à plusieurs reprises, elle a déclaré que la question des Îles Malouines constitue un dossier d’intérêt permanent pour le continent américain,</w:t>
      </w:r>
    </w:p>
    <w:p w14:paraId="428C3D26" w14:textId="77777777" w:rsidR="008A0E01" w:rsidRPr="0026653F" w:rsidRDefault="008A0E01" w:rsidP="00C618DD">
      <w:pPr>
        <w:suppressAutoHyphens/>
        <w:rPr>
          <w:bCs/>
          <w:iCs/>
          <w:szCs w:val="22"/>
          <w:lang w:val="fr-FR" w:eastAsia="es-ES"/>
        </w:rPr>
      </w:pPr>
    </w:p>
    <w:p w14:paraId="1912B6D2" w14:textId="7D269F7C" w:rsidR="008A0E01" w:rsidRPr="0026653F" w:rsidRDefault="008A0E01" w:rsidP="00C618DD">
      <w:pPr>
        <w:suppressAutoHyphens/>
        <w:ind w:firstLine="720"/>
        <w:rPr>
          <w:bCs/>
          <w:iCs/>
          <w:szCs w:val="22"/>
          <w:lang w:val="fr-FR" w:eastAsia="es-ES"/>
        </w:rPr>
      </w:pPr>
      <w:r w:rsidRPr="0026653F">
        <w:rPr>
          <w:bCs/>
          <w:iCs/>
          <w:szCs w:val="22"/>
          <w:lang w:val="fr-FR" w:eastAsia="es-ES"/>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7DFC4BDC" w14:textId="77777777" w:rsidR="008A0E01" w:rsidRPr="0026653F" w:rsidRDefault="008A0E01" w:rsidP="00C618DD">
      <w:pPr>
        <w:suppressAutoHyphens/>
        <w:rPr>
          <w:bCs/>
          <w:iCs/>
          <w:szCs w:val="22"/>
          <w:lang w:val="fr-FR" w:eastAsia="es-ES"/>
        </w:rPr>
      </w:pPr>
    </w:p>
    <w:p w14:paraId="52F73241" w14:textId="77777777" w:rsidR="008A0E01" w:rsidRPr="0026653F" w:rsidRDefault="008A0E01" w:rsidP="00C618DD">
      <w:pPr>
        <w:suppressAutoHyphens/>
        <w:ind w:firstLine="720"/>
        <w:rPr>
          <w:bCs/>
          <w:iCs/>
          <w:szCs w:val="22"/>
          <w:lang w:val="fr-FR" w:eastAsia="es-ES"/>
        </w:rPr>
      </w:pPr>
      <w:r w:rsidRPr="0026653F">
        <w:rPr>
          <w:bCs/>
          <w:iCs/>
          <w:szCs w:val="22"/>
          <w:lang w:val="fr-FR" w:eastAsia="es-ES"/>
        </w:rPr>
        <w:t>PRENANT EN COMPTE que dans sa résolution AG/RES. 1049 (XX-O/90), elle a exprimé sa satisfaction pour la reprise des relations diplomatiques entre les deux pays,</w:t>
      </w:r>
    </w:p>
    <w:p w14:paraId="704FC0DA" w14:textId="77777777" w:rsidR="008A0E01" w:rsidRPr="0026653F" w:rsidRDefault="008A0E01" w:rsidP="00C618DD">
      <w:pPr>
        <w:suppressAutoHyphens/>
        <w:rPr>
          <w:bCs/>
          <w:iCs/>
          <w:szCs w:val="22"/>
          <w:lang w:val="fr-FR" w:eastAsia="es-ES"/>
        </w:rPr>
      </w:pPr>
    </w:p>
    <w:p w14:paraId="3EA651D9" w14:textId="0A425070" w:rsidR="008A0E01" w:rsidRPr="0026653F" w:rsidRDefault="008A0E01" w:rsidP="00C618DD">
      <w:pPr>
        <w:suppressAutoHyphens/>
        <w:ind w:firstLine="720"/>
        <w:rPr>
          <w:bCs/>
          <w:iCs/>
          <w:szCs w:val="22"/>
          <w:lang w:val="fr-FR" w:eastAsia="es-ES"/>
        </w:rPr>
      </w:pPr>
      <w:r w:rsidRPr="0026653F">
        <w:rPr>
          <w:bCs/>
          <w:iCs/>
          <w:szCs w:val="22"/>
          <w:lang w:val="fr-FR" w:eastAsia="es-ES"/>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0D9EC5FB" w14:textId="77777777" w:rsidR="008A0E01" w:rsidRPr="0026653F" w:rsidRDefault="008A0E01" w:rsidP="00C618DD">
      <w:pPr>
        <w:suppressAutoHyphens/>
        <w:rPr>
          <w:bCs/>
          <w:iCs/>
          <w:szCs w:val="22"/>
          <w:lang w:val="fr-FR" w:eastAsia="es-ES"/>
        </w:rPr>
      </w:pPr>
    </w:p>
    <w:p w14:paraId="1F1DE0FD" w14:textId="6CC444C9" w:rsidR="008A0E01" w:rsidRPr="0026653F" w:rsidRDefault="008A0E01" w:rsidP="00C618DD">
      <w:pPr>
        <w:suppressAutoHyphens/>
        <w:ind w:firstLine="720"/>
        <w:rPr>
          <w:bCs/>
          <w:iCs/>
          <w:szCs w:val="22"/>
          <w:lang w:val="fr-FR" w:eastAsia="es-ES"/>
        </w:rPr>
      </w:pPr>
      <w:r w:rsidRPr="0026653F">
        <w:rPr>
          <w:bCs/>
          <w:iCs/>
          <w:szCs w:val="22"/>
          <w:lang w:val="fr-FR" w:eastAsia="es-ES"/>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584D033B" w14:textId="77777777" w:rsidR="008A0E01" w:rsidRPr="0026653F" w:rsidRDefault="008A0E01" w:rsidP="00C618DD">
      <w:pPr>
        <w:suppressAutoHyphens/>
        <w:rPr>
          <w:bCs/>
          <w:iCs/>
          <w:szCs w:val="22"/>
          <w:lang w:val="fr-FR" w:eastAsia="es-ES"/>
        </w:rPr>
      </w:pPr>
    </w:p>
    <w:p w14:paraId="1D81C68D" w14:textId="784C9300" w:rsidR="008A0E01" w:rsidRPr="0026653F" w:rsidRDefault="008A0E01" w:rsidP="00C618DD">
      <w:pPr>
        <w:suppressAutoHyphens/>
        <w:ind w:firstLine="720"/>
        <w:rPr>
          <w:bCs/>
          <w:iCs/>
          <w:szCs w:val="22"/>
          <w:lang w:val="fr-FR" w:eastAsia="es-ES"/>
        </w:rPr>
      </w:pPr>
      <w:r w:rsidRPr="0026653F">
        <w:rPr>
          <w:bCs/>
          <w:iCs/>
          <w:szCs w:val="22"/>
          <w:lang w:val="fr-FR" w:eastAsia="es-ES"/>
        </w:rPr>
        <w:t xml:space="preserve">PRENANT EN COMPTE que, malgré les valeurs et les liens communs susmentionnés, il n’a pas encore été possible de reprendre les négociations afin de régler le différend sur la question de la souveraineté entre les deux pays sur les Îles Malouines, les Îles </w:t>
      </w:r>
      <w:r w:rsidR="00074474" w:rsidRPr="0026653F">
        <w:rPr>
          <w:rFonts w:eastAsia="Arial Unicode MS"/>
          <w:color w:val="000000"/>
          <w:szCs w:val="22"/>
          <w:u w:color="000000"/>
          <w:lang w:val="fr-FR"/>
        </w:rPr>
        <w:t>Géorgies</w:t>
      </w:r>
      <w:r w:rsidRPr="0026653F">
        <w:rPr>
          <w:bCs/>
          <w:iCs/>
          <w:szCs w:val="22"/>
          <w:lang w:val="fr-FR" w:eastAsia="es-ES"/>
        </w:rPr>
        <w:t xml:space="preserve"> du Sud, et les Îles Sandwich du Sud et les espaces maritimes environnants, dans le cadre des résolutions 2065 (XX), 3160 (XXVIII), 31/49, 37/9, 38/12, 39/6, 40/21, 41/40, 42/19 et 43/25 de l’Assemblée générale des Nations Unies, </w:t>
      </w:r>
      <w:r w:rsidR="006970C2" w:rsidRPr="0026653F">
        <w:rPr>
          <w:bCs/>
          <w:iCs/>
          <w:szCs w:val="22"/>
          <w:lang w:val="fr-FR" w:eastAsia="es-ES"/>
        </w:rPr>
        <w:t>d</w:t>
      </w:r>
      <w:r w:rsidR="00074474" w:rsidRPr="0026653F">
        <w:rPr>
          <w:rFonts w:eastAsia="Arial Unicode MS"/>
          <w:color w:val="000000"/>
          <w:szCs w:val="22"/>
          <w:u w:color="000000"/>
          <w:lang w:val="fr-FR"/>
        </w:rPr>
        <w:t>es</w:t>
      </w:r>
      <w:r w:rsidRPr="0026653F">
        <w:rPr>
          <w:bCs/>
          <w:iCs/>
          <w:szCs w:val="22"/>
          <w:lang w:val="fr-FR" w:eastAsia="es-ES"/>
        </w:rPr>
        <w:t xml:space="preserve"> décisions adoptées par cet organe sur le même sujet, émanées du Comité spécial de la décolonisation, ainsi que </w:t>
      </w:r>
      <w:r w:rsidR="006970C2" w:rsidRPr="0026653F">
        <w:rPr>
          <w:bCs/>
          <w:iCs/>
          <w:szCs w:val="22"/>
          <w:lang w:val="fr-FR" w:eastAsia="es-ES"/>
        </w:rPr>
        <w:t>d</w:t>
      </w:r>
      <w:r w:rsidR="00074474" w:rsidRPr="0026653F">
        <w:rPr>
          <w:rFonts w:eastAsia="Arial Unicode MS"/>
          <w:color w:val="000000"/>
          <w:szCs w:val="22"/>
          <w:u w:color="000000"/>
          <w:lang w:val="fr-FR"/>
        </w:rPr>
        <w:t>es</w:t>
      </w:r>
      <w:r w:rsidRPr="0026653F">
        <w:rPr>
          <w:bCs/>
          <w:iCs/>
          <w:szCs w:val="22"/>
          <w:lang w:val="fr-FR" w:eastAsia="es-ES"/>
        </w:rPr>
        <w:t xml:space="preserve"> résolutions et déclarations répétées qui ont été adoptées par cette Assemblée générale,</w:t>
      </w:r>
    </w:p>
    <w:p w14:paraId="16AADA14" w14:textId="77777777" w:rsidR="008A0E01" w:rsidRPr="0026653F" w:rsidRDefault="008A0E01" w:rsidP="00C618DD">
      <w:pPr>
        <w:suppressAutoHyphens/>
        <w:rPr>
          <w:bCs/>
          <w:iCs/>
          <w:szCs w:val="22"/>
          <w:lang w:val="fr-FR" w:eastAsia="es-ES"/>
        </w:rPr>
      </w:pPr>
    </w:p>
    <w:p w14:paraId="337CF65A" w14:textId="18AC6C34" w:rsidR="008A0E01" w:rsidRPr="0026653F" w:rsidRDefault="008A0E01" w:rsidP="00C618DD">
      <w:pPr>
        <w:suppressAutoHyphens/>
        <w:ind w:firstLine="720"/>
        <w:rPr>
          <w:bCs/>
          <w:iCs/>
          <w:szCs w:val="22"/>
          <w:lang w:val="fr-FR" w:eastAsia="es-ES"/>
        </w:rPr>
      </w:pPr>
      <w:r w:rsidRPr="0026653F">
        <w:rPr>
          <w:bCs/>
          <w:iCs/>
          <w:szCs w:val="22"/>
          <w:lang w:val="fr-FR" w:eastAsia="es-ES"/>
        </w:rPr>
        <w:t>AYANT ÉCOUTÉ l’exposé fait par le chef de la Délégation de la République argentine,</w:t>
      </w:r>
    </w:p>
    <w:p w14:paraId="5C03A04D" w14:textId="77777777" w:rsidR="008A0E01" w:rsidRPr="0026653F" w:rsidRDefault="008A0E01" w:rsidP="00C618DD">
      <w:pPr>
        <w:suppressAutoHyphens/>
        <w:rPr>
          <w:bCs/>
          <w:iCs/>
          <w:szCs w:val="22"/>
          <w:lang w:val="fr-FR" w:eastAsia="es-ES"/>
        </w:rPr>
      </w:pPr>
    </w:p>
    <w:p w14:paraId="1229A05D" w14:textId="2CB04E7A" w:rsidR="008A0E01" w:rsidRPr="0026653F" w:rsidRDefault="008A0E01" w:rsidP="00C618DD">
      <w:pPr>
        <w:suppressAutoHyphens/>
        <w:ind w:firstLine="720"/>
        <w:rPr>
          <w:bCs/>
          <w:iCs/>
          <w:szCs w:val="22"/>
          <w:lang w:val="fr-FR" w:eastAsia="es-ES"/>
        </w:rPr>
      </w:pPr>
      <w:r w:rsidRPr="0026653F">
        <w:rPr>
          <w:bCs/>
          <w:iCs/>
          <w:szCs w:val="22"/>
          <w:lang w:val="fr-FR" w:eastAsia="es-ES"/>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61F9C2F6" w14:textId="77777777" w:rsidR="008A0E01" w:rsidRPr="0026653F" w:rsidRDefault="008A0E01" w:rsidP="00C618DD">
      <w:pPr>
        <w:suppressAutoHyphens/>
        <w:rPr>
          <w:bCs/>
          <w:iCs/>
          <w:szCs w:val="22"/>
          <w:lang w:val="fr-FR" w:eastAsia="es-ES"/>
        </w:rPr>
      </w:pPr>
    </w:p>
    <w:p w14:paraId="45B93387" w14:textId="02BF7252" w:rsidR="008A0E01" w:rsidRPr="0026653F" w:rsidRDefault="008A0E01" w:rsidP="00C618DD">
      <w:pPr>
        <w:suppressAutoHyphens/>
        <w:ind w:firstLine="720"/>
        <w:rPr>
          <w:bCs/>
          <w:iCs/>
          <w:szCs w:val="22"/>
          <w:lang w:val="fr-FR" w:eastAsia="es-ES"/>
        </w:rPr>
      </w:pPr>
      <w:r w:rsidRPr="0026653F">
        <w:rPr>
          <w:bCs/>
          <w:iCs/>
          <w:szCs w:val="22"/>
          <w:lang w:val="fr-FR" w:eastAsia="es-ES"/>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6CFAABEA" w14:textId="77777777" w:rsidR="008A0E01" w:rsidRPr="0026653F" w:rsidRDefault="008A0E01" w:rsidP="00C618DD">
      <w:pPr>
        <w:suppressAutoHyphens/>
        <w:rPr>
          <w:bCs/>
          <w:iCs/>
          <w:szCs w:val="22"/>
          <w:lang w:val="fr-FR" w:eastAsia="es-ES"/>
        </w:rPr>
      </w:pPr>
    </w:p>
    <w:p w14:paraId="67A22318" w14:textId="34A99821" w:rsidR="00074474" w:rsidRPr="0026653F" w:rsidRDefault="008A0E01" w:rsidP="00C618DD">
      <w:pPr>
        <w:ind w:firstLine="720"/>
        <w:rPr>
          <w:rFonts w:eastAsia="Arial Unicode MS"/>
          <w:color w:val="000000"/>
          <w:szCs w:val="22"/>
          <w:u w:color="000000"/>
          <w:lang w:val="fr-FR"/>
        </w:rPr>
      </w:pPr>
      <w:r w:rsidRPr="0026653F">
        <w:rPr>
          <w:szCs w:val="22"/>
          <w:lang w:val="fr-FR"/>
        </w:rPr>
        <w:t>DÉCIDE de continuer à examiner la Question des Îles Malouines lors des prochaines sessions ordinaires de l’Assemblée générale jusqu’à son règlement définitif.</w:t>
      </w:r>
    </w:p>
    <w:p w14:paraId="52294FEC" w14:textId="77777777" w:rsidR="00074474" w:rsidRPr="0026653F" w:rsidRDefault="00074474" w:rsidP="00C618DD">
      <w:pPr>
        <w:jc w:val="left"/>
        <w:rPr>
          <w:rFonts w:eastAsia="Arial Unicode MS"/>
          <w:color w:val="000000"/>
          <w:szCs w:val="22"/>
          <w:u w:color="000000"/>
          <w:lang w:val="fr-FR"/>
        </w:rPr>
      </w:pPr>
      <w:r w:rsidRPr="0026653F">
        <w:rPr>
          <w:szCs w:val="22"/>
          <w:lang w:val="fr-FR"/>
        </w:rPr>
        <w:br w:type="page"/>
      </w:r>
    </w:p>
    <w:p w14:paraId="15EBE269" w14:textId="059158A8" w:rsidR="00074474" w:rsidRPr="0026653F" w:rsidRDefault="00074474" w:rsidP="00C618DD">
      <w:pPr>
        <w:jc w:val="center"/>
        <w:rPr>
          <w:sz w:val="20"/>
          <w:lang w:val="fr-FR"/>
        </w:rPr>
      </w:pPr>
      <w:r w:rsidRPr="0026653F">
        <w:rPr>
          <w:sz w:val="20"/>
          <w:lang w:val="fr-FR"/>
        </w:rPr>
        <w:lastRenderedPageBreak/>
        <w:t>NOTE</w:t>
      </w:r>
      <w:r w:rsidR="004221FF" w:rsidRPr="0026653F">
        <w:rPr>
          <w:sz w:val="20"/>
          <w:lang w:val="fr-FR"/>
        </w:rPr>
        <w:t>S</w:t>
      </w:r>
      <w:r w:rsidRPr="0026653F">
        <w:rPr>
          <w:sz w:val="20"/>
          <w:lang w:val="fr-FR"/>
        </w:rPr>
        <w:t xml:space="preserve"> DE BAS DE PAGE</w:t>
      </w:r>
    </w:p>
    <w:p w14:paraId="1559892C" w14:textId="77777777" w:rsidR="00074474" w:rsidRPr="0026653F" w:rsidRDefault="00074474" w:rsidP="00C618DD">
      <w:pPr>
        <w:rPr>
          <w:sz w:val="20"/>
          <w:lang w:val="fr-FR"/>
        </w:rPr>
      </w:pPr>
    </w:p>
    <w:p w14:paraId="26F02B36" w14:textId="77777777" w:rsidR="00074474" w:rsidRPr="0026653F" w:rsidRDefault="00074474" w:rsidP="00C618DD">
      <w:pPr>
        <w:rPr>
          <w:sz w:val="20"/>
          <w:lang w:val="fr-FR"/>
        </w:rPr>
      </w:pPr>
    </w:p>
    <w:p w14:paraId="66B6825E" w14:textId="77777777" w:rsidR="00074474" w:rsidRPr="0026653F" w:rsidRDefault="00074474"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2B4427E" w14:textId="77777777" w:rsidR="00074474" w:rsidRPr="0026653F" w:rsidRDefault="00074474" w:rsidP="00C618DD">
      <w:pPr>
        <w:rPr>
          <w:sz w:val="20"/>
          <w:lang w:val="fr-FR"/>
        </w:rPr>
      </w:pPr>
    </w:p>
    <w:p w14:paraId="5867964B" w14:textId="77777777" w:rsidR="00074474" w:rsidRPr="0026653F" w:rsidRDefault="00074474" w:rsidP="00C618DD">
      <w:pPr>
        <w:ind w:firstLine="720"/>
        <w:rPr>
          <w:sz w:val="20"/>
          <w:lang w:val="fr-FR"/>
        </w:rPr>
      </w:pPr>
      <w:r w:rsidRPr="0026653F">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18FD8FC5" w14:textId="77777777" w:rsidR="00074474" w:rsidRPr="0026653F" w:rsidRDefault="00074474" w:rsidP="00C618DD">
      <w:pPr>
        <w:rPr>
          <w:sz w:val="20"/>
          <w:lang w:val="fr-FR"/>
        </w:rPr>
      </w:pPr>
    </w:p>
    <w:p w14:paraId="52813ED9" w14:textId="77777777" w:rsidR="00074474" w:rsidRPr="0026653F" w:rsidRDefault="00074474"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4354F335" w14:textId="07BDCECA" w:rsidR="00EA1936" w:rsidRPr="0026653F" w:rsidRDefault="00EA1936" w:rsidP="00C618DD">
      <w:pPr>
        <w:rPr>
          <w:sz w:val="20"/>
          <w:lang w:val="fr-FR"/>
        </w:rPr>
      </w:pPr>
    </w:p>
    <w:p w14:paraId="2D031312" w14:textId="77777777" w:rsidR="00EA1936" w:rsidRPr="0026653F" w:rsidRDefault="00EA1936" w:rsidP="00C618DD">
      <w:pPr>
        <w:pStyle w:val="Body"/>
        <w:widowControl/>
        <w:rPr>
          <w:rStyle w:val="FootnoteReference"/>
          <w:rFonts w:ascii="Times New Roman" w:hAnsi="Times New Roman" w:cs="Times New Roman"/>
          <w:sz w:val="20"/>
          <w:szCs w:val="20"/>
          <w:lang w:val="fr-FR"/>
        </w:rPr>
      </w:pPr>
    </w:p>
    <w:p w14:paraId="69FF52B5" w14:textId="77777777" w:rsidR="00EA1936" w:rsidRPr="0026653F" w:rsidRDefault="00EA1936" w:rsidP="00C618DD">
      <w:pPr>
        <w:rPr>
          <w:szCs w:val="22"/>
          <w:lang w:val="fr-FR"/>
        </w:rPr>
        <w:sectPr w:rsidR="00EA1936" w:rsidRPr="0026653F" w:rsidSect="00FE7DD6">
          <w:headerReference w:type="default" r:id="rId14"/>
          <w:footerReference w:type="default" r:id="rId15"/>
          <w:headerReference w:type="first" r:id="rId16"/>
          <w:footerReference w:type="first" r:id="rId17"/>
          <w:endnotePr>
            <w:numFmt w:val="decimal"/>
          </w:endnotePr>
          <w:type w:val="oddPage"/>
          <w:pgSz w:w="12240" w:h="15840" w:code="1"/>
          <w:pgMar w:top="2160" w:right="1570" w:bottom="1296" w:left="1699" w:header="1296" w:footer="1296" w:gutter="0"/>
          <w:pgNumType w:start="1"/>
          <w:cols w:space="720"/>
          <w:noEndnote/>
          <w:titlePg/>
        </w:sectPr>
      </w:pPr>
    </w:p>
    <w:p w14:paraId="0314DA4D" w14:textId="5D3D0225" w:rsidR="001C6FB1" w:rsidRPr="0026653F" w:rsidRDefault="00EA1936" w:rsidP="00C618DD">
      <w:pPr>
        <w:pStyle w:val="Heading1"/>
        <w:rPr>
          <w:szCs w:val="22"/>
          <w:lang w:val="fr-FR"/>
        </w:rPr>
      </w:pPr>
      <w:bookmarkStart w:id="1" w:name="_Toc74732014"/>
      <w:r w:rsidRPr="0026653F">
        <w:rPr>
          <w:rStyle w:val="Heading1Char"/>
          <w:szCs w:val="22"/>
          <w:lang w:val="fr-FR"/>
        </w:rPr>
        <w:lastRenderedPageBreak/>
        <w:t>AG/RES. 2948 (L-O/20)</w:t>
      </w:r>
      <w:r w:rsidR="00CB0E24" w:rsidRPr="0026653F">
        <w:rPr>
          <w:rStyle w:val="Heading1Char"/>
          <w:szCs w:val="22"/>
          <w:lang w:val="fr-FR"/>
        </w:rPr>
        <w:br/>
      </w:r>
      <w:r w:rsidR="00CB0E24" w:rsidRPr="0026653F">
        <w:rPr>
          <w:rStyle w:val="Heading1Char"/>
          <w:szCs w:val="22"/>
          <w:lang w:val="fr-FR"/>
        </w:rPr>
        <w:br/>
      </w:r>
      <w:r w:rsidR="001C6FB1" w:rsidRPr="0026653F">
        <w:rPr>
          <w:szCs w:val="22"/>
          <w:lang w:val="fr-FR"/>
        </w:rPr>
        <w:t>SOUTIEN ET SUIVI DU PROCESSUS DES SOMMETS DES AMÉRIQUES</w:t>
      </w:r>
      <w:r w:rsidR="001C6FB1" w:rsidRPr="0026653F">
        <w:rPr>
          <w:szCs w:val="22"/>
          <w:u w:val="single"/>
          <w:vertAlign w:val="superscript"/>
          <w:lang w:val="fr-FR"/>
        </w:rPr>
        <w:footnoteReference w:id="4"/>
      </w:r>
      <w:r w:rsidR="001C6FB1" w:rsidRPr="0026653F">
        <w:rPr>
          <w:szCs w:val="22"/>
          <w:vertAlign w:val="superscript"/>
          <w:lang w:val="fr-FR"/>
        </w:rPr>
        <w:t>/</w:t>
      </w:r>
      <w:r w:rsidR="004221FF" w:rsidRPr="0026653F">
        <w:rPr>
          <w:rStyle w:val="FootnoteReference"/>
          <w:szCs w:val="22"/>
          <w:u w:val="single"/>
          <w:vertAlign w:val="superscript"/>
          <w:lang w:val="fr-FR"/>
        </w:rPr>
        <w:footnoteReference w:id="5"/>
      </w:r>
      <w:r w:rsidR="004221FF" w:rsidRPr="0026653F">
        <w:rPr>
          <w:szCs w:val="22"/>
          <w:vertAlign w:val="superscript"/>
          <w:lang w:val="fr-FR"/>
        </w:rPr>
        <w:t>/</w:t>
      </w:r>
      <w:bookmarkEnd w:id="1"/>
    </w:p>
    <w:p w14:paraId="520768B4" w14:textId="77777777" w:rsidR="001C6FB1" w:rsidRPr="0026653F" w:rsidRDefault="001C6FB1" w:rsidP="00EE12F6">
      <w:pPr>
        <w:outlineLvl w:val="0"/>
        <w:rPr>
          <w:bCs/>
          <w:szCs w:val="22"/>
          <w:lang w:val="fr-FR" w:eastAsia="es-ES"/>
        </w:rPr>
      </w:pPr>
    </w:p>
    <w:p w14:paraId="0148AC18" w14:textId="77777777" w:rsidR="001C6FB1" w:rsidRPr="0026653F" w:rsidRDefault="001C6FB1" w:rsidP="00C618DD">
      <w:pPr>
        <w:jc w:val="center"/>
        <w:rPr>
          <w:szCs w:val="22"/>
          <w:lang w:val="fr-FR" w:eastAsia="es-ES"/>
        </w:rPr>
      </w:pPr>
      <w:r w:rsidRPr="0026653F">
        <w:rPr>
          <w:szCs w:val="22"/>
          <w:lang w:val="fr-FR" w:eastAsia="es-ES"/>
        </w:rPr>
        <w:t>(Résolution adoptée à la première séance plénière, le 20 octobre 2020)</w:t>
      </w:r>
    </w:p>
    <w:p w14:paraId="5BFED202" w14:textId="77777777" w:rsidR="001C6FB1" w:rsidRPr="0026653F" w:rsidRDefault="001C6FB1" w:rsidP="00C618DD">
      <w:pPr>
        <w:jc w:val="left"/>
        <w:rPr>
          <w:szCs w:val="22"/>
          <w:lang w:val="fr-FR"/>
        </w:rPr>
      </w:pPr>
    </w:p>
    <w:p w14:paraId="59CB86E5" w14:textId="77777777" w:rsidR="001C6FB1" w:rsidRPr="0026653F" w:rsidRDefault="001C6FB1" w:rsidP="00C618DD">
      <w:pPr>
        <w:jc w:val="left"/>
        <w:rPr>
          <w:szCs w:val="22"/>
          <w:lang w:val="fr-FR"/>
        </w:rPr>
      </w:pPr>
    </w:p>
    <w:p w14:paraId="7002E145" w14:textId="77777777" w:rsidR="001C6FB1" w:rsidRPr="0026653F" w:rsidRDefault="001C6FB1" w:rsidP="00C618DD">
      <w:pPr>
        <w:ind w:firstLine="720"/>
        <w:rPr>
          <w:szCs w:val="22"/>
          <w:lang w:val="fr-FR"/>
        </w:rPr>
      </w:pPr>
      <w:r w:rsidRPr="0026653F">
        <w:rPr>
          <w:szCs w:val="22"/>
          <w:lang w:val="fr-FR"/>
        </w:rPr>
        <w:t>L’ASSEMBLÉE GÉNÉRALE,</w:t>
      </w:r>
    </w:p>
    <w:p w14:paraId="39890B5A" w14:textId="77777777" w:rsidR="001C6FB1" w:rsidRPr="0026653F" w:rsidRDefault="001C6FB1" w:rsidP="00C618DD">
      <w:pPr>
        <w:rPr>
          <w:szCs w:val="22"/>
          <w:lang w:val="fr-FR"/>
        </w:rPr>
      </w:pPr>
    </w:p>
    <w:p w14:paraId="59855C20" w14:textId="7F25BCDB" w:rsidR="001C6FB1" w:rsidRPr="0026653F" w:rsidRDefault="001C6FB1" w:rsidP="00C618DD">
      <w:pPr>
        <w:ind w:firstLine="720"/>
        <w:rPr>
          <w:szCs w:val="22"/>
          <w:lang w:val="fr-FR"/>
        </w:rPr>
      </w:pPr>
      <w:r w:rsidRPr="0026653F">
        <w:rPr>
          <w:szCs w:val="22"/>
          <w:lang w:val="fr-FR"/>
        </w:rPr>
        <w:t xml:space="preserve">PRENANT EN COMPTE </w:t>
      </w:r>
      <w:r w:rsidRPr="0026653F">
        <w:rPr>
          <w:bCs/>
          <w:color w:val="000000"/>
          <w:szCs w:val="22"/>
          <w:lang w:val="fr-FR" w:eastAsia="es-ES"/>
        </w:rPr>
        <w:t>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Plata, 2005), du Cinquième Sommet des Amériques (Port of Spain, 2009), du Sixième Sommet des Amériques (Cartagena de Indias, 2012), du Septième Sommet des Amériques (Panama, 2015</w:t>
      </w:r>
      <w:r w:rsidRPr="0026653F">
        <w:rPr>
          <w:bCs/>
          <w:szCs w:val="22"/>
          <w:lang w:val="fr-FR" w:eastAsia="es-ES"/>
        </w:rPr>
        <w:t>)</w:t>
      </w:r>
      <w:r w:rsidRPr="0026653F">
        <w:rPr>
          <w:bCs/>
          <w:szCs w:val="22"/>
          <w:u w:val="single"/>
          <w:vertAlign w:val="superscript"/>
          <w:lang w:val="fr-FR" w:eastAsia="es-ES"/>
        </w:rPr>
        <w:footnoteReference w:id="6"/>
      </w:r>
      <w:r w:rsidRPr="0026653F">
        <w:rPr>
          <w:bCs/>
          <w:szCs w:val="22"/>
          <w:vertAlign w:val="superscript"/>
          <w:lang w:val="fr-FR" w:eastAsia="es-ES"/>
        </w:rPr>
        <w:t>/</w:t>
      </w:r>
      <w:r w:rsidRPr="0026653F">
        <w:rPr>
          <w:bCs/>
          <w:szCs w:val="22"/>
          <w:lang w:val="fr-FR" w:eastAsia="es-ES"/>
        </w:rPr>
        <w:t xml:space="preserve"> et du Huitième Sommet des Amériques (Lima, 2018</w:t>
      </w:r>
      <w:r w:rsidRPr="0026653F">
        <w:rPr>
          <w:szCs w:val="22"/>
          <w:lang w:val="fr-FR"/>
        </w:rPr>
        <w:t>)</w:t>
      </w:r>
      <w:r w:rsidRPr="0026653F">
        <w:rPr>
          <w:bCs/>
          <w:szCs w:val="22"/>
          <w:u w:val="single"/>
          <w:vertAlign w:val="superscript"/>
          <w:lang w:val="fr-FR" w:eastAsia="es-ES"/>
        </w:rPr>
        <w:footnoteReference w:id="7"/>
      </w:r>
      <w:r w:rsidRPr="0026653F">
        <w:rPr>
          <w:bCs/>
          <w:szCs w:val="22"/>
          <w:vertAlign w:val="superscript"/>
          <w:lang w:val="fr-FR" w:eastAsia="es-ES"/>
        </w:rPr>
        <w:t>/</w:t>
      </w:r>
      <w:r w:rsidRPr="0026653F">
        <w:rPr>
          <w:szCs w:val="22"/>
          <w:lang w:val="fr-FR"/>
        </w:rPr>
        <w:t>,</w:t>
      </w:r>
    </w:p>
    <w:p w14:paraId="6C2C2F0F" w14:textId="77777777" w:rsidR="001C6FB1" w:rsidRPr="0026653F" w:rsidRDefault="001C6FB1" w:rsidP="00C618DD">
      <w:pPr>
        <w:rPr>
          <w:szCs w:val="22"/>
          <w:lang w:val="fr-FR"/>
        </w:rPr>
      </w:pPr>
    </w:p>
    <w:p w14:paraId="761640D1" w14:textId="4E03B439" w:rsidR="001C6FB1" w:rsidRPr="0026653F" w:rsidRDefault="001C6FB1" w:rsidP="00C618DD">
      <w:pPr>
        <w:ind w:firstLine="720"/>
        <w:rPr>
          <w:szCs w:val="22"/>
          <w:lang w:val="fr-FR"/>
        </w:rPr>
      </w:pPr>
      <w:r w:rsidRPr="0026653F">
        <w:rPr>
          <w:szCs w:val="22"/>
          <w:lang w:val="fr-FR"/>
        </w:rPr>
        <w:t xml:space="preserve">GARDANT PRÉSENT À L’ESPRIT que la Charte démocratique interaméricaine est une réalisation fondamentale du processus des Sommets des Amériques, </w:t>
      </w:r>
      <w:r w:rsidR="00715DB3" w:rsidRPr="0026653F">
        <w:rPr>
          <w:szCs w:val="22"/>
          <w:lang w:val="fr-FR"/>
        </w:rPr>
        <w:t xml:space="preserve">sur la base des </w:t>
      </w:r>
      <w:r w:rsidRPr="0026653F">
        <w:rPr>
          <w:szCs w:val="22"/>
          <w:lang w:val="fr-FR"/>
        </w:rPr>
        <w:t xml:space="preserve">engagements des </w:t>
      </w:r>
      <w:r w:rsidR="00715DB3" w:rsidRPr="0026653F">
        <w:rPr>
          <w:szCs w:val="22"/>
          <w:lang w:val="fr-FR"/>
        </w:rPr>
        <w:t>dirigeants souscri</w:t>
      </w:r>
      <w:r w:rsidR="00633CC4" w:rsidRPr="0026653F">
        <w:rPr>
          <w:szCs w:val="22"/>
          <w:lang w:val="fr-FR"/>
        </w:rPr>
        <w:t>t</w:t>
      </w:r>
      <w:r w:rsidR="00715DB3" w:rsidRPr="0026653F">
        <w:rPr>
          <w:szCs w:val="22"/>
          <w:lang w:val="fr-FR"/>
        </w:rPr>
        <w:t>s</w:t>
      </w:r>
      <w:r w:rsidRPr="0026653F">
        <w:rPr>
          <w:szCs w:val="22"/>
          <w:lang w:val="fr-FR"/>
        </w:rPr>
        <w:t xml:space="preserve"> lors du Sommet des Amérique</w:t>
      </w:r>
      <w:r w:rsidR="00715DB3" w:rsidRPr="0026653F">
        <w:rPr>
          <w:szCs w:val="22"/>
          <w:lang w:val="fr-FR"/>
        </w:rPr>
        <w:t>s</w:t>
      </w:r>
      <w:r w:rsidRPr="0026653F">
        <w:rPr>
          <w:szCs w:val="22"/>
          <w:lang w:val="fr-FR"/>
        </w:rPr>
        <w:t xml:space="preserve"> </w:t>
      </w:r>
      <w:r w:rsidR="00715DB3" w:rsidRPr="0026653F">
        <w:rPr>
          <w:szCs w:val="22"/>
          <w:lang w:val="fr-FR"/>
        </w:rPr>
        <w:t xml:space="preserve">tenu </w:t>
      </w:r>
      <w:r w:rsidRPr="0026653F">
        <w:rPr>
          <w:szCs w:val="22"/>
          <w:lang w:val="fr-FR"/>
        </w:rPr>
        <w:t xml:space="preserve">à Québec en 2001, et adoptée </w:t>
      </w:r>
      <w:r w:rsidR="00715DB3" w:rsidRPr="0026653F">
        <w:rPr>
          <w:szCs w:val="22"/>
          <w:lang w:val="fr-FR"/>
        </w:rPr>
        <w:t xml:space="preserve">par </w:t>
      </w:r>
      <w:r w:rsidRPr="0026653F">
        <w:rPr>
          <w:szCs w:val="22"/>
          <w:lang w:val="fr-FR"/>
        </w:rPr>
        <w:t xml:space="preserve">l’Assemblée générale </w:t>
      </w:r>
      <w:r w:rsidR="00715DB3" w:rsidRPr="0026653F">
        <w:rPr>
          <w:szCs w:val="22"/>
          <w:lang w:val="fr-FR"/>
        </w:rPr>
        <w:t xml:space="preserve">lors d’une session extraordinaire tenue </w:t>
      </w:r>
      <w:r w:rsidRPr="0026653F">
        <w:rPr>
          <w:szCs w:val="22"/>
          <w:lang w:val="fr-FR"/>
        </w:rPr>
        <w:t>à Lima (Pérou) le 11 septembre 2001,</w:t>
      </w:r>
    </w:p>
    <w:p w14:paraId="4EC18132" w14:textId="77777777" w:rsidR="001C6FB1" w:rsidRPr="0026653F" w:rsidRDefault="001C6FB1" w:rsidP="00C618DD">
      <w:pPr>
        <w:rPr>
          <w:szCs w:val="22"/>
          <w:lang w:val="fr-FR"/>
        </w:rPr>
      </w:pPr>
    </w:p>
    <w:p w14:paraId="70862AF6" w14:textId="7F0A6CFA" w:rsidR="001C6FB1" w:rsidRPr="0026653F" w:rsidRDefault="001C6FB1" w:rsidP="00C618DD">
      <w:pPr>
        <w:ind w:firstLine="720"/>
        <w:rPr>
          <w:szCs w:val="22"/>
          <w:lang w:val="fr-FR"/>
        </w:rPr>
      </w:pPr>
      <w:r w:rsidRPr="0026653F">
        <w:rPr>
          <w:bCs/>
          <w:color w:val="000000"/>
          <w:szCs w:val="22"/>
          <w:lang w:val="fr-FR" w:eastAsia="es-ES"/>
        </w:rPr>
        <w:t xml:space="preserve">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w:t>
      </w:r>
      <w:r w:rsidR="00715DB3" w:rsidRPr="0026653F">
        <w:rPr>
          <w:bCs/>
          <w:color w:val="000000"/>
          <w:szCs w:val="22"/>
          <w:lang w:val="fr-FR" w:eastAsia="es-ES"/>
        </w:rPr>
        <w:t xml:space="preserve">à l’appui </w:t>
      </w:r>
      <w:r w:rsidRPr="0026653F">
        <w:rPr>
          <w:bCs/>
          <w:color w:val="000000"/>
          <w:szCs w:val="22"/>
          <w:lang w:val="fr-FR" w:eastAsia="es-ES"/>
        </w:rPr>
        <w:t>du processus des Sommets des Amériques et en tant que tribune qui permet à la société civile de contribuer audit processus, ainsi que la mise sur pied du Secrétariat aux Sommets,</w:t>
      </w:r>
    </w:p>
    <w:p w14:paraId="662B0A5D" w14:textId="77777777" w:rsidR="001C6FB1" w:rsidRPr="0026653F" w:rsidRDefault="001C6FB1" w:rsidP="00C618DD">
      <w:pPr>
        <w:rPr>
          <w:szCs w:val="22"/>
          <w:lang w:val="fr-FR"/>
        </w:rPr>
      </w:pPr>
    </w:p>
    <w:p w14:paraId="1C397A50" w14:textId="00EC7297" w:rsidR="001C6FB1" w:rsidRPr="0026653F" w:rsidRDefault="001C6FB1" w:rsidP="00C618DD">
      <w:pPr>
        <w:ind w:firstLine="720"/>
        <w:rPr>
          <w:szCs w:val="22"/>
          <w:lang w:val="fr-FR"/>
        </w:rPr>
      </w:pPr>
      <w:r w:rsidRPr="0026653F">
        <w:rPr>
          <w:bCs/>
          <w:color w:val="000000"/>
          <w:szCs w:val="22"/>
          <w:lang w:val="fr-FR" w:eastAsia="es-ES"/>
        </w:rPr>
        <w:t xml:space="preserve">SOULIGNANT l’importance </w:t>
      </w:r>
      <w:r w:rsidRPr="0026653F">
        <w:rPr>
          <w:bCs/>
          <w:szCs w:val="22"/>
          <w:lang w:val="fr-FR" w:eastAsia="es-ES"/>
        </w:rPr>
        <w:t>d’assurer un suivi coordonné, opportun et efficace des mandats et initiatives issus des Sommets des Amériques ainsi que l’important soutien technique fourni par l’OEA et le Groupe de travail mixte sur les Sommets</w:t>
      </w:r>
      <w:r w:rsidRPr="0026653F">
        <w:rPr>
          <w:szCs w:val="22"/>
          <w:lang w:val="fr-FR"/>
        </w:rPr>
        <w:t>,</w:t>
      </w:r>
    </w:p>
    <w:p w14:paraId="64161172" w14:textId="77777777" w:rsidR="001C6FB1" w:rsidRPr="0026653F" w:rsidRDefault="001C6FB1" w:rsidP="00C618DD">
      <w:pPr>
        <w:rPr>
          <w:szCs w:val="22"/>
          <w:lang w:val="fr-FR"/>
        </w:rPr>
      </w:pPr>
    </w:p>
    <w:p w14:paraId="3DA84012" w14:textId="77777777" w:rsidR="001C6FB1" w:rsidRPr="0026653F" w:rsidRDefault="001C6FB1" w:rsidP="00C618DD">
      <w:pPr>
        <w:rPr>
          <w:szCs w:val="22"/>
          <w:lang w:val="fr-FR"/>
        </w:rPr>
      </w:pPr>
      <w:r w:rsidRPr="0026653F">
        <w:rPr>
          <w:szCs w:val="22"/>
          <w:lang w:val="fr-FR"/>
        </w:rPr>
        <w:t>DÉCIDE :</w:t>
      </w:r>
    </w:p>
    <w:p w14:paraId="7AAEBD77" w14:textId="77777777" w:rsidR="001C6FB1" w:rsidRPr="0026653F" w:rsidRDefault="001C6FB1" w:rsidP="00C618DD">
      <w:pPr>
        <w:rPr>
          <w:szCs w:val="22"/>
          <w:lang w:val="fr-FR"/>
        </w:rPr>
      </w:pPr>
    </w:p>
    <w:p w14:paraId="1CA770A6" w14:textId="2F4D4EBE" w:rsidR="001C6FB1" w:rsidRPr="0026653F" w:rsidRDefault="001C6FB1" w:rsidP="00C618DD">
      <w:pPr>
        <w:ind w:firstLine="720"/>
        <w:rPr>
          <w:szCs w:val="22"/>
          <w:lang w:val="fr-FR"/>
        </w:rPr>
      </w:pPr>
      <w:r w:rsidRPr="0026653F">
        <w:rPr>
          <w:szCs w:val="22"/>
          <w:lang w:val="fr-FR"/>
        </w:rPr>
        <w:t>1.</w:t>
      </w:r>
      <w:r w:rsidRPr="0026653F">
        <w:rPr>
          <w:szCs w:val="22"/>
          <w:lang w:val="fr-FR"/>
        </w:rPr>
        <w:tab/>
      </w:r>
      <w:r w:rsidRPr="0026653F">
        <w:rPr>
          <w:bCs/>
          <w:color w:val="000000"/>
          <w:szCs w:val="22"/>
          <w:lang w:val="fr-FR" w:eastAsia="es-ES"/>
        </w:rPr>
        <w:t xml:space="preserve">De continuer de mettre en application les engagements souscrits dans la résolution AG/RES. 2846 (XLIV-O/14) afin de soutenir le processus des Sommets et de demander au Secrétariat général de continuer d’exercer, par le truchement du Secrétariat aux Sommets, les attributions de mémoire institutionnelle et de secrétariat technique dudit processus en fournissant des conseils au pays hôte du Neuvième Sommet des Amériques ainsi qu’aux États membres, sur demande, sur toutes les </w:t>
      </w:r>
      <w:r w:rsidRPr="0026653F">
        <w:rPr>
          <w:bCs/>
          <w:color w:val="000000"/>
          <w:szCs w:val="22"/>
          <w:lang w:val="fr-FR" w:eastAsia="es-ES"/>
        </w:rPr>
        <w:lastRenderedPageBreak/>
        <w:t xml:space="preserve">facettes relatives au processus ; enfin, d’appuyer les préparatifs et la coordination technique pour le prochain Sommet, qui se tiendra aux États-Unis, ainsi qu’aux activités </w:t>
      </w:r>
      <w:r w:rsidR="005D555A" w:rsidRPr="0026653F">
        <w:rPr>
          <w:bCs/>
          <w:color w:val="000000"/>
          <w:szCs w:val="22"/>
          <w:lang w:val="fr-FR" w:eastAsia="es-ES"/>
        </w:rPr>
        <w:t xml:space="preserve">du </w:t>
      </w:r>
      <w:r w:rsidRPr="0026653F">
        <w:rPr>
          <w:bCs/>
          <w:color w:val="000000"/>
          <w:szCs w:val="22"/>
          <w:lang w:val="fr-FR" w:eastAsia="es-ES"/>
        </w:rPr>
        <w:t>Sommet associées au vingtième anniversaire de l’adoption de la Charte démocratique interaméricaine.</w:t>
      </w:r>
    </w:p>
    <w:p w14:paraId="5E9951DE" w14:textId="77777777" w:rsidR="001C6FB1" w:rsidRPr="0026653F" w:rsidRDefault="001C6FB1" w:rsidP="00C618DD">
      <w:pPr>
        <w:rPr>
          <w:szCs w:val="22"/>
          <w:lang w:val="fr-FR"/>
        </w:rPr>
      </w:pPr>
    </w:p>
    <w:p w14:paraId="3AE68904" w14:textId="43D28A24" w:rsidR="001C6FB1" w:rsidRPr="0026653F" w:rsidRDefault="001C6FB1" w:rsidP="00C618DD">
      <w:pPr>
        <w:ind w:firstLine="720"/>
        <w:rPr>
          <w:szCs w:val="22"/>
          <w:lang w:val="fr-FR"/>
        </w:rPr>
      </w:pPr>
      <w:r w:rsidRPr="0026653F">
        <w:rPr>
          <w:szCs w:val="22"/>
          <w:lang w:val="fr-FR"/>
        </w:rPr>
        <w:t>2.</w:t>
      </w:r>
      <w:r w:rsidRPr="0026653F">
        <w:rPr>
          <w:szCs w:val="22"/>
          <w:lang w:val="fr-FR"/>
        </w:rPr>
        <w:tab/>
        <w:t>De demander au Secrétariat général de continuer, par le truchement du Secrétariat aux Sommets :</w:t>
      </w:r>
    </w:p>
    <w:p w14:paraId="3923305A" w14:textId="77777777" w:rsidR="001C6FB1" w:rsidRPr="0026653F" w:rsidRDefault="001C6FB1" w:rsidP="00C618DD">
      <w:pPr>
        <w:rPr>
          <w:szCs w:val="22"/>
          <w:lang w:val="fr-FR"/>
        </w:rPr>
      </w:pPr>
    </w:p>
    <w:p w14:paraId="1602B4A1" w14:textId="4E410443" w:rsidR="001C6FB1" w:rsidRPr="0026653F" w:rsidRDefault="001C6FB1" w:rsidP="00C618DD">
      <w:pPr>
        <w:ind w:left="2160" w:hanging="720"/>
        <w:rPr>
          <w:szCs w:val="22"/>
          <w:lang w:val="fr-FR"/>
        </w:rPr>
      </w:pPr>
      <w:r w:rsidRPr="0026653F">
        <w:rPr>
          <w:szCs w:val="22"/>
          <w:lang w:val="fr-FR"/>
        </w:rPr>
        <w:t>a.</w:t>
      </w:r>
      <w:r w:rsidRPr="0026653F">
        <w:rPr>
          <w:szCs w:val="22"/>
          <w:lang w:val="fr-FR"/>
        </w:rPr>
        <w:tab/>
      </w:r>
      <w:r w:rsidRPr="0026653F">
        <w:rPr>
          <w:szCs w:val="22"/>
          <w:lang w:val="fr-FR" w:eastAsia="es-ES"/>
        </w:rPr>
        <w:t>à appuyer le suivi et la diffusion des mandats et initiatives des Sommets, le cas échéant, y compris en faisant participer les processus ministériels</w:t>
      </w:r>
      <w:r w:rsidRPr="0026653F">
        <w:rPr>
          <w:bCs/>
          <w:szCs w:val="22"/>
          <w:lang w:val="fr-FR" w:eastAsia="es-ES"/>
        </w:rPr>
        <w:t> </w:t>
      </w:r>
      <w:r w:rsidRPr="0026653F">
        <w:rPr>
          <w:szCs w:val="22"/>
          <w:lang w:val="fr-FR"/>
        </w:rPr>
        <w:t>;</w:t>
      </w:r>
    </w:p>
    <w:p w14:paraId="00D8465B" w14:textId="77777777" w:rsidR="001C6FB1" w:rsidRPr="0026653F" w:rsidRDefault="001C6FB1" w:rsidP="00C618DD">
      <w:pPr>
        <w:rPr>
          <w:szCs w:val="22"/>
          <w:lang w:val="fr-FR"/>
        </w:rPr>
      </w:pPr>
    </w:p>
    <w:p w14:paraId="040FB793" w14:textId="0C3C7FCF" w:rsidR="001C6FB1" w:rsidRPr="0026653F" w:rsidRDefault="001C6FB1" w:rsidP="00C618DD">
      <w:pPr>
        <w:ind w:left="2160" w:hanging="720"/>
        <w:rPr>
          <w:szCs w:val="22"/>
          <w:lang w:val="fr-FR"/>
        </w:rPr>
      </w:pPr>
      <w:r w:rsidRPr="0026653F">
        <w:rPr>
          <w:szCs w:val="22"/>
          <w:lang w:val="fr-FR"/>
        </w:rPr>
        <w:t>b.</w:t>
      </w:r>
      <w:r w:rsidRPr="0026653F">
        <w:rPr>
          <w:szCs w:val="22"/>
          <w:lang w:val="fr-FR"/>
        </w:rPr>
        <w:tab/>
      </w:r>
      <w:r w:rsidRPr="0026653F">
        <w:rPr>
          <w:szCs w:val="22"/>
          <w:lang w:val="fr-FR" w:eastAsia="es-ES"/>
        </w:rPr>
        <w:t xml:space="preserve">à offrir un soutien aux États membres pour la mise en œuvre des mandats et initiatives des Sommets et </w:t>
      </w:r>
      <w:r w:rsidRPr="0026653F">
        <w:rPr>
          <w:bCs/>
          <w:szCs w:val="22"/>
          <w:lang w:val="fr-FR" w:eastAsia="es-ES"/>
        </w:rPr>
        <w:t xml:space="preserve">à apporter un soutien technique au Système de suivi des Sommets des Amériques (SISCA) et à conseiller </w:t>
      </w:r>
      <w:r w:rsidRPr="0026653F">
        <w:rPr>
          <w:szCs w:val="22"/>
          <w:lang w:val="fr-FR" w:eastAsia="es-ES"/>
        </w:rPr>
        <w:t>les</w:t>
      </w:r>
      <w:r w:rsidRPr="0026653F">
        <w:rPr>
          <w:bCs/>
          <w:szCs w:val="22"/>
          <w:lang w:val="fr-FR" w:eastAsia="es-ES"/>
        </w:rPr>
        <w:t xml:space="preserve"> États membres, sur demande, sur toutes les facettes relatives au processus et à appuyer les activités de suivi </w:t>
      </w:r>
      <w:r w:rsidR="00DF6B07" w:rsidRPr="0026653F">
        <w:rPr>
          <w:bCs/>
          <w:szCs w:val="22"/>
          <w:lang w:val="fr-FR" w:eastAsia="es-ES"/>
        </w:rPr>
        <w:t>liées a</w:t>
      </w:r>
      <w:r w:rsidRPr="0026653F">
        <w:rPr>
          <w:bCs/>
          <w:szCs w:val="22"/>
          <w:lang w:val="fr-FR" w:eastAsia="es-ES"/>
        </w:rPr>
        <w:t>u Huitième Sommet</w:t>
      </w:r>
      <w:r w:rsidRPr="0026653F">
        <w:rPr>
          <w:bCs/>
          <w:szCs w:val="22"/>
          <w:u w:val="single"/>
          <w:vertAlign w:val="superscript"/>
          <w:lang w:val="fr-FR" w:eastAsia="es-ES"/>
        </w:rPr>
        <w:footnoteReference w:id="8"/>
      </w:r>
      <w:r w:rsidRPr="0026653F">
        <w:rPr>
          <w:bCs/>
          <w:szCs w:val="22"/>
          <w:vertAlign w:val="superscript"/>
          <w:lang w:val="fr-FR" w:eastAsia="es-ES"/>
        </w:rPr>
        <w:t>/</w:t>
      </w:r>
      <w:r w:rsidRPr="0026653F">
        <w:rPr>
          <w:bCs/>
          <w:szCs w:val="22"/>
          <w:lang w:val="fr-FR" w:eastAsia="es-ES"/>
        </w:rPr>
        <w:t>, tenu à Lima (Pérou) en avril 2018, principalement en ce qui a rapport à la mise en œuvre de l’Engagement de Lima</w:t>
      </w:r>
      <w:r w:rsidR="008A7618" w:rsidRPr="0026653F">
        <w:rPr>
          <w:bCs/>
          <w:szCs w:val="22"/>
          <w:lang w:val="fr-FR" w:eastAsia="es-ES"/>
        </w:rPr>
        <w:t> ;</w:t>
      </w:r>
    </w:p>
    <w:p w14:paraId="6A0243D0" w14:textId="77777777" w:rsidR="001C6FB1" w:rsidRPr="0026653F" w:rsidRDefault="001C6FB1" w:rsidP="00C618DD">
      <w:pPr>
        <w:rPr>
          <w:szCs w:val="22"/>
          <w:lang w:val="fr-FR"/>
        </w:rPr>
      </w:pPr>
    </w:p>
    <w:p w14:paraId="73F07DD9" w14:textId="00AED57E" w:rsidR="001C6FB1" w:rsidRPr="0026653F" w:rsidRDefault="001C6FB1" w:rsidP="00C618DD">
      <w:pPr>
        <w:ind w:left="2160" w:hanging="720"/>
        <w:rPr>
          <w:szCs w:val="22"/>
          <w:lang w:val="fr-FR"/>
        </w:rPr>
      </w:pPr>
      <w:r w:rsidRPr="0026653F">
        <w:rPr>
          <w:szCs w:val="22"/>
          <w:lang w:val="fr-FR"/>
        </w:rPr>
        <w:t>c.</w:t>
      </w:r>
      <w:r w:rsidRPr="0026653F">
        <w:rPr>
          <w:szCs w:val="22"/>
          <w:lang w:val="fr-FR"/>
        </w:rPr>
        <w:tab/>
      </w:r>
      <w:r w:rsidRPr="0026653F">
        <w:rPr>
          <w:szCs w:val="22"/>
          <w:lang w:val="fr-FR" w:eastAsia="es-ES"/>
        </w:rPr>
        <w:t>à déployer des efforts afin de promouvoir et de diffuser les mandats et initiatives auprès des parties prenantes pour faciliter leur contribution et leur participation au suivi et à la mise en œuvre</w:t>
      </w:r>
      <w:r w:rsidRPr="0026653F">
        <w:rPr>
          <w:bCs/>
          <w:szCs w:val="22"/>
          <w:lang w:val="fr-FR" w:eastAsia="es-ES"/>
        </w:rPr>
        <w:t xml:space="preserve">, par le biais des </w:t>
      </w:r>
      <w:r w:rsidRPr="0026653F">
        <w:rPr>
          <w:szCs w:val="22"/>
          <w:lang w:val="fr-FR" w:eastAsia="es-ES"/>
        </w:rPr>
        <w:t>plateformes d’information et de communication</w:t>
      </w:r>
      <w:r w:rsidRPr="0026653F">
        <w:rPr>
          <w:bCs/>
          <w:szCs w:val="22"/>
          <w:lang w:val="fr-FR" w:eastAsia="es-ES"/>
        </w:rPr>
        <w:t xml:space="preserve"> disponibles, y compris les réseaux sociaux et </w:t>
      </w:r>
      <w:r w:rsidRPr="0026653F">
        <w:rPr>
          <w:szCs w:val="22"/>
          <w:lang w:val="fr-FR" w:eastAsia="es-ES"/>
        </w:rPr>
        <w:t>la Communauté virtuelle des Sommets des Amériques</w:t>
      </w:r>
      <w:r w:rsidRPr="0026653F">
        <w:rPr>
          <w:szCs w:val="22"/>
          <w:lang w:val="fr-FR"/>
        </w:rPr>
        <w:t>.</w:t>
      </w:r>
      <w:r w:rsidRPr="0026653F">
        <w:rPr>
          <w:bCs/>
          <w:szCs w:val="22"/>
          <w:u w:val="single"/>
          <w:vertAlign w:val="superscript"/>
          <w:lang w:val="fr-FR" w:eastAsia="es-ES"/>
        </w:rPr>
        <w:footnoteReference w:id="9"/>
      </w:r>
      <w:r w:rsidRPr="0026653F">
        <w:rPr>
          <w:bCs/>
          <w:szCs w:val="22"/>
          <w:vertAlign w:val="superscript"/>
          <w:lang w:val="fr-FR" w:eastAsia="es-ES"/>
        </w:rPr>
        <w:t>/</w:t>
      </w:r>
    </w:p>
    <w:p w14:paraId="6C18F560" w14:textId="77777777" w:rsidR="001C6FB1" w:rsidRPr="0026653F" w:rsidRDefault="001C6FB1" w:rsidP="00C618DD">
      <w:pPr>
        <w:rPr>
          <w:szCs w:val="22"/>
          <w:lang w:val="fr-FR"/>
        </w:rPr>
      </w:pPr>
    </w:p>
    <w:p w14:paraId="148A5458" w14:textId="533DB0A7" w:rsidR="001C6FB1" w:rsidRPr="0026653F" w:rsidRDefault="001C6FB1" w:rsidP="00C618DD">
      <w:pPr>
        <w:ind w:firstLine="720"/>
        <w:rPr>
          <w:szCs w:val="22"/>
          <w:lang w:val="fr-FR"/>
        </w:rPr>
      </w:pPr>
      <w:r w:rsidRPr="0026653F">
        <w:rPr>
          <w:szCs w:val="22"/>
          <w:lang w:val="fr-FR"/>
        </w:rPr>
        <w:t>3.</w:t>
      </w:r>
      <w:r w:rsidRPr="0026653F">
        <w:rPr>
          <w:szCs w:val="22"/>
          <w:lang w:val="fr-FR"/>
        </w:rPr>
        <w:tab/>
      </w:r>
      <w:r w:rsidRPr="0026653F">
        <w:rPr>
          <w:bCs/>
          <w:color w:val="000000"/>
          <w:szCs w:val="22"/>
          <w:lang w:val="fr-FR" w:eastAsia="es-ES"/>
        </w:rPr>
        <w:t xml:space="preserve">De charger le Secrétariat général de continuer à coordonner et à promouvoir, en sa qualité de président du Groupe de travail mixte sur les Sommets (GTCC), la mise en œuvre et le suivi des mandats issus des Sommets des Amériques auprès des institutions membres du GTCC, et de tenir au moins une réunion annuelle des dirigeants de ces institutions afin de passer en revue les progrès accomplis et de planifier des activités conjointes, en faisant rapport à la Commission sur la gestion des Sommets interaméricains et la participation de la société civile aux activités de l’OEA </w:t>
      </w:r>
      <w:r w:rsidR="008A7618" w:rsidRPr="0026653F">
        <w:rPr>
          <w:bCs/>
          <w:color w:val="000000"/>
          <w:szCs w:val="22"/>
          <w:lang w:val="fr-FR" w:eastAsia="es-ES"/>
        </w:rPr>
        <w:t xml:space="preserve">(CISC) </w:t>
      </w:r>
      <w:r w:rsidRPr="0026653F">
        <w:rPr>
          <w:bCs/>
          <w:color w:val="000000"/>
          <w:szCs w:val="22"/>
          <w:lang w:val="fr-FR" w:eastAsia="es-ES"/>
        </w:rPr>
        <w:t xml:space="preserve">et au Groupe d’évaluation de la mise en œuvre des initiatives des Sommets des Amériques </w:t>
      </w:r>
      <w:r w:rsidRPr="0026653F">
        <w:rPr>
          <w:bCs/>
          <w:szCs w:val="22"/>
          <w:lang w:val="fr-FR" w:eastAsia="es-ES"/>
        </w:rPr>
        <w:t>(GRIC)</w:t>
      </w:r>
      <w:r w:rsidRPr="0026653F">
        <w:rPr>
          <w:szCs w:val="22"/>
          <w:lang w:val="fr-FR"/>
        </w:rPr>
        <w:t>.</w:t>
      </w:r>
    </w:p>
    <w:p w14:paraId="19D2802C" w14:textId="77777777" w:rsidR="001C6FB1" w:rsidRPr="0026653F" w:rsidRDefault="001C6FB1" w:rsidP="00C618DD">
      <w:pPr>
        <w:rPr>
          <w:szCs w:val="22"/>
          <w:lang w:val="fr-FR"/>
        </w:rPr>
      </w:pPr>
    </w:p>
    <w:p w14:paraId="3B8BE769" w14:textId="3299D99A" w:rsidR="001C6FB1" w:rsidRPr="0026653F" w:rsidRDefault="001C6FB1" w:rsidP="00C618DD">
      <w:pPr>
        <w:ind w:firstLine="720"/>
        <w:rPr>
          <w:szCs w:val="22"/>
          <w:lang w:val="fr-FR"/>
        </w:rPr>
      </w:pPr>
      <w:r w:rsidRPr="0026653F">
        <w:rPr>
          <w:szCs w:val="22"/>
          <w:lang w:val="fr-FR"/>
        </w:rPr>
        <w:t>4.</w:t>
      </w:r>
      <w:r w:rsidRPr="0026653F">
        <w:rPr>
          <w:szCs w:val="22"/>
          <w:lang w:val="fr-FR"/>
        </w:rPr>
        <w:tab/>
        <w:t xml:space="preserve">De demander à la CISC de collaborer avec la Commission des questions juridiques et politiques pour aider à organiser, en coordination avec le Secrétariat aux Sommets, une réunion mixte extraordinaire au cours du premier trimestre de 2021 sur </w:t>
      </w:r>
      <w:r w:rsidR="00987376" w:rsidRPr="0026653F">
        <w:rPr>
          <w:szCs w:val="22"/>
          <w:lang w:val="fr-FR"/>
        </w:rPr>
        <w:t xml:space="preserve">le thème </w:t>
      </w:r>
      <w:r w:rsidRPr="0026653F">
        <w:rPr>
          <w:szCs w:val="22"/>
          <w:lang w:val="fr-FR"/>
        </w:rPr>
        <w:t>« Résilience démocratique, rôle de la Charte démocratique interaméricaine et processus des Sommets », dans le but de partager des recommandations éventuelles pour examen avec le GRIC avant le Neuvième Sommet des Amériques.</w:t>
      </w:r>
    </w:p>
    <w:p w14:paraId="01396F4E" w14:textId="77777777" w:rsidR="001C6FB1" w:rsidRPr="0026653F" w:rsidRDefault="001C6FB1" w:rsidP="00C618DD">
      <w:pPr>
        <w:rPr>
          <w:szCs w:val="22"/>
          <w:lang w:val="fr-FR"/>
        </w:rPr>
      </w:pPr>
    </w:p>
    <w:p w14:paraId="136FB3BE" w14:textId="0154F078" w:rsidR="001C6FB1" w:rsidRPr="0026653F" w:rsidRDefault="001C6FB1" w:rsidP="00C618DD">
      <w:pPr>
        <w:ind w:firstLine="720"/>
        <w:rPr>
          <w:szCs w:val="22"/>
          <w:lang w:val="fr-FR"/>
        </w:rPr>
      </w:pPr>
      <w:r w:rsidRPr="0026653F">
        <w:rPr>
          <w:szCs w:val="22"/>
          <w:lang w:val="fr-FR"/>
        </w:rPr>
        <w:t>5.</w:t>
      </w:r>
      <w:r w:rsidRPr="0026653F">
        <w:rPr>
          <w:szCs w:val="22"/>
          <w:lang w:val="fr-FR"/>
        </w:rPr>
        <w:tab/>
        <w:t>De demander instamment aux États membres de faire rapport régulièrement, par l’intermédiaire du GRIC, sur la mise en œuvre et le suivi des mandats et initiatives établis par le processus des Sommets des Amériques</w:t>
      </w:r>
      <w:r w:rsidR="00987376" w:rsidRPr="0026653F">
        <w:rPr>
          <w:szCs w:val="22"/>
          <w:lang w:val="fr-FR"/>
        </w:rPr>
        <w:t xml:space="preserve">, </w:t>
      </w:r>
      <w:r w:rsidRPr="0026653F">
        <w:rPr>
          <w:szCs w:val="22"/>
          <w:lang w:val="fr-FR"/>
        </w:rPr>
        <w:t>et de demander aux États et aux organisations qui composent le GTCC qui n</w:t>
      </w:r>
      <w:r w:rsidR="00987376" w:rsidRPr="0026653F">
        <w:rPr>
          <w:szCs w:val="22"/>
          <w:lang w:val="fr-FR"/>
        </w:rPr>
        <w:t>e l</w:t>
      </w:r>
      <w:r w:rsidRPr="0026653F">
        <w:rPr>
          <w:szCs w:val="22"/>
          <w:lang w:val="fr-FR"/>
        </w:rPr>
        <w:t xml:space="preserve">’ont pas encore </w:t>
      </w:r>
      <w:r w:rsidR="00987376" w:rsidRPr="0026653F">
        <w:rPr>
          <w:szCs w:val="22"/>
          <w:lang w:val="fr-FR"/>
        </w:rPr>
        <w:t xml:space="preserve">fait de transmettre </w:t>
      </w:r>
      <w:r w:rsidRPr="0026653F">
        <w:rPr>
          <w:szCs w:val="22"/>
          <w:lang w:val="fr-FR"/>
        </w:rPr>
        <w:t xml:space="preserve">leurs renseignements au </w:t>
      </w:r>
      <w:r w:rsidRPr="0026653F">
        <w:rPr>
          <w:bCs/>
          <w:szCs w:val="22"/>
          <w:lang w:val="fr-FR" w:eastAsia="es-ES"/>
        </w:rPr>
        <w:t>Mécanisme de suivi et de mise en œuvre de l’Engagement de Lima</w:t>
      </w:r>
      <w:r w:rsidRPr="0026653F">
        <w:rPr>
          <w:szCs w:val="22"/>
          <w:lang w:val="fr-FR"/>
        </w:rPr>
        <w:t>.</w:t>
      </w:r>
    </w:p>
    <w:p w14:paraId="3F4F408A" w14:textId="77777777" w:rsidR="001C6FB1" w:rsidRPr="0026653F" w:rsidRDefault="001C6FB1" w:rsidP="00C618DD">
      <w:pPr>
        <w:rPr>
          <w:szCs w:val="22"/>
          <w:lang w:val="fr-FR"/>
        </w:rPr>
      </w:pPr>
    </w:p>
    <w:p w14:paraId="5E6BBC2B" w14:textId="3A920ADC" w:rsidR="001C6FB1" w:rsidRPr="0026653F" w:rsidRDefault="001C6FB1" w:rsidP="00C618DD">
      <w:pPr>
        <w:ind w:firstLine="720"/>
        <w:rPr>
          <w:szCs w:val="22"/>
          <w:lang w:val="fr-FR"/>
        </w:rPr>
      </w:pPr>
      <w:r w:rsidRPr="0026653F">
        <w:rPr>
          <w:szCs w:val="22"/>
          <w:lang w:val="fr-FR"/>
        </w:rPr>
        <w:lastRenderedPageBreak/>
        <w:t>6.</w:t>
      </w:r>
      <w:r w:rsidRPr="0026653F">
        <w:rPr>
          <w:szCs w:val="22"/>
          <w:lang w:val="fr-FR"/>
        </w:rPr>
        <w:tab/>
      </w:r>
      <w:r w:rsidRPr="0026653F">
        <w:rPr>
          <w:bCs/>
          <w:color w:val="000000"/>
          <w:szCs w:val="22"/>
          <w:lang w:val="fr-FR" w:eastAsia="es-ES"/>
        </w:rPr>
        <w:t xml:space="preserve">D’établir que l’exécution des activités prévues dans la présente résolution dépendra de la disponibilité de ressources financières dans le programme-budget de l’Organisation ainsi que d’autres ressources, de charger le Secrétariat général d’utiliser ses ressources </w:t>
      </w:r>
      <w:r w:rsidR="00987376" w:rsidRPr="0026653F">
        <w:rPr>
          <w:bCs/>
          <w:color w:val="000000"/>
          <w:szCs w:val="22"/>
          <w:lang w:val="fr-FR" w:eastAsia="es-ES"/>
        </w:rPr>
        <w:t>selon le</w:t>
      </w:r>
      <w:r w:rsidRPr="0026653F">
        <w:rPr>
          <w:bCs/>
          <w:color w:val="000000"/>
          <w:szCs w:val="22"/>
          <w:lang w:val="fr-FR" w:eastAsia="es-ES"/>
        </w:rPr>
        <w:t xml:space="preserve"> besoin et de gérer et de mobiliser des fonds volontaires et des ressources techniques</w:t>
      </w:r>
      <w:r w:rsidR="00987376" w:rsidRPr="0026653F">
        <w:rPr>
          <w:bCs/>
          <w:color w:val="000000"/>
          <w:szCs w:val="22"/>
          <w:lang w:val="fr-FR" w:eastAsia="es-ES"/>
        </w:rPr>
        <w:t xml:space="preserve"> auprès</w:t>
      </w:r>
      <w:r w:rsidRPr="0026653F">
        <w:rPr>
          <w:bCs/>
          <w:color w:val="000000"/>
          <w:szCs w:val="22"/>
          <w:lang w:val="fr-FR" w:eastAsia="es-ES"/>
        </w:rPr>
        <w:t xml:space="preserve"> de</w:t>
      </w:r>
      <w:r w:rsidR="00FA2EEA" w:rsidRPr="0026653F">
        <w:rPr>
          <w:bCs/>
          <w:color w:val="000000"/>
          <w:szCs w:val="22"/>
          <w:lang w:val="fr-FR" w:eastAsia="es-ES"/>
        </w:rPr>
        <w:t xml:space="preserve">s organismes non </w:t>
      </w:r>
      <w:r w:rsidRPr="0026653F">
        <w:rPr>
          <w:bCs/>
          <w:color w:val="000000"/>
          <w:szCs w:val="22"/>
          <w:lang w:val="fr-FR" w:eastAsia="es-ES"/>
        </w:rPr>
        <w:t>gouvernementaux</w:t>
      </w:r>
      <w:r w:rsidR="00F05573" w:rsidRPr="0026653F">
        <w:rPr>
          <w:bCs/>
          <w:color w:val="000000"/>
          <w:szCs w:val="22"/>
          <w:lang w:val="fr-FR" w:eastAsia="es-ES"/>
        </w:rPr>
        <w:t> </w:t>
      </w:r>
      <w:r w:rsidR="00FA2EEA" w:rsidRPr="0026653F">
        <w:rPr>
          <w:bCs/>
          <w:color w:val="000000"/>
          <w:szCs w:val="22"/>
          <w:lang w:val="fr-FR" w:eastAsia="es-ES"/>
        </w:rPr>
        <w:t xml:space="preserve">et de coopération </w:t>
      </w:r>
      <w:r w:rsidR="005D555A" w:rsidRPr="0026653F">
        <w:rPr>
          <w:bCs/>
          <w:color w:val="000000"/>
          <w:szCs w:val="22"/>
          <w:lang w:val="fr-FR" w:eastAsia="es-ES"/>
        </w:rPr>
        <w:t xml:space="preserve">d’envergure </w:t>
      </w:r>
      <w:r w:rsidR="00FA2EEA" w:rsidRPr="0026653F">
        <w:rPr>
          <w:bCs/>
          <w:color w:val="000000"/>
          <w:szCs w:val="22"/>
          <w:lang w:val="fr-FR" w:eastAsia="es-ES"/>
        </w:rPr>
        <w:t>internationale</w:t>
      </w:r>
      <w:r w:rsidR="00F05573" w:rsidRPr="0026653F">
        <w:rPr>
          <w:bCs/>
          <w:color w:val="000000"/>
          <w:szCs w:val="22"/>
          <w:lang w:val="fr-FR" w:eastAsia="es-ES"/>
        </w:rPr>
        <w:t xml:space="preserve"> </w:t>
      </w:r>
      <w:r w:rsidRPr="0026653F">
        <w:rPr>
          <w:bCs/>
          <w:color w:val="000000"/>
          <w:szCs w:val="22"/>
          <w:lang w:val="fr-FR" w:eastAsia="es-ES"/>
        </w:rPr>
        <w:t>pour réaliser les activités mentionnées dans la présente résolution, et de prier instamment les États membres de contribuer au financement des activités précitées</w:t>
      </w:r>
      <w:r w:rsidRPr="0026653F">
        <w:rPr>
          <w:szCs w:val="22"/>
          <w:lang w:val="fr-FR"/>
        </w:rPr>
        <w:t>.</w:t>
      </w:r>
    </w:p>
    <w:p w14:paraId="661EB175" w14:textId="77777777" w:rsidR="001C6FB1" w:rsidRPr="0026653F" w:rsidRDefault="001C6FB1" w:rsidP="00C618DD">
      <w:pPr>
        <w:jc w:val="center"/>
        <w:rPr>
          <w:sz w:val="20"/>
          <w:lang w:val="fr-FR"/>
        </w:rPr>
      </w:pPr>
      <w:r w:rsidRPr="0026653F">
        <w:rPr>
          <w:szCs w:val="22"/>
          <w:lang w:val="fr-FR"/>
        </w:rPr>
        <w:br w:type="page"/>
      </w:r>
      <w:r w:rsidRPr="0026653F">
        <w:rPr>
          <w:sz w:val="20"/>
          <w:lang w:val="fr-FR"/>
        </w:rPr>
        <w:lastRenderedPageBreak/>
        <w:t>NOTES DE BAS DE PAGE</w:t>
      </w:r>
    </w:p>
    <w:p w14:paraId="428ACEAA" w14:textId="77777777" w:rsidR="001C6FB1" w:rsidRPr="0026653F" w:rsidRDefault="001C6FB1" w:rsidP="00C618DD">
      <w:pPr>
        <w:outlineLvl w:val="0"/>
        <w:rPr>
          <w:iCs/>
          <w:sz w:val="20"/>
          <w:lang w:val="fr-FR" w:eastAsia="es-ES"/>
        </w:rPr>
      </w:pPr>
    </w:p>
    <w:p w14:paraId="62271E95" w14:textId="77777777" w:rsidR="00F33E8D" w:rsidRPr="0026653F" w:rsidRDefault="00F33E8D" w:rsidP="00C618DD">
      <w:pPr>
        <w:outlineLvl w:val="0"/>
        <w:rPr>
          <w:iCs/>
          <w:sz w:val="20"/>
          <w:lang w:val="fr-FR" w:eastAsia="es-ES"/>
        </w:rPr>
      </w:pPr>
    </w:p>
    <w:p w14:paraId="11CD1745" w14:textId="77777777" w:rsidR="001C6FB1" w:rsidRPr="0026653F" w:rsidRDefault="001C6FB1"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4025D14" w14:textId="77777777" w:rsidR="001C6FB1" w:rsidRPr="0026653F" w:rsidRDefault="001C6FB1" w:rsidP="00C618DD">
      <w:pPr>
        <w:rPr>
          <w:sz w:val="20"/>
          <w:lang w:val="fr-FR"/>
        </w:rPr>
      </w:pPr>
    </w:p>
    <w:p w14:paraId="69B985C8" w14:textId="77777777" w:rsidR="001C6FB1" w:rsidRPr="0026653F" w:rsidRDefault="001C6FB1" w:rsidP="00C618DD">
      <w:pPr>
        <w:ind w:firstLine="720"/>
        <w:rPr>
          <w:sz w:val="20"/>
          <w:lang w:val="fr-FR"/>
        </w:rPr>
      </w:pPr>
      <w:r w:rsidRPr="0026653F">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0D4E285E" w14:textId="77777777" w:rsidR="001C6FB1" w:rsidRPr="0026653F" w:rsidRDefault="001C6FB1" w:rsidP="00C618DD">
      <w:pPr>
        <w:rPr>
          <w:sz w:val="20"/>
          <w:lang w:val="fr-FR"/>
        </w:rPr>
      </w:pPr>
    </w:p>
    <w:p w14:paraId="0A6F6868" w14:textId="77777777" w:rsidR="001C6FB1" w:rsidRPr="0026653F" w:rsidRDefault="001C6FB1"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F05117B" w14:textId="77777777" w:rsidR="001C6FB1" w:rsidRPr="0026653F" w:rsidRDefault="001C6FB1" w:rsidP="00C618DD">
      <w:pPr>
        <w:rPr>
          <w:sz w:val="20"/>
          <w:lang w:val="fr-FR"/>
        </w:rPr>
      </w:pPr>
    </w:p>
    <w:p w14:paraId="7D98EACB" w14:textId="03332685" w:rsidR="004221FF" w:rsidRPr="0026653F" w:rsidRDefault="001C6FB1" w:rsidP="00C618DD">
      <w:pPr>
        <w:ind w:firstLine="720"/>
        <w:rPr>
          <w:sz w:val="20"/>
          <w:lang w:val="fr-FR"/>
        </w:rPr>
      </w:pPr>
      <w:r w:rsidRPr="0026653F">
        <w:rPr>
          <w:sz w:val="20"/>
          <w:lang w:val="fr-FR"/>
        </w:rPr>
        <w:t>2.</w:t>
      </w:r>
      <w:r w:rsidRPr="0026653F">
        <w:rPr>
          <w:sz w:val="20"/>
          <w:lang w:val="fr-FR"/>
        </w:rPr>
        <w:tab/>
        <w:t xml:space="preserve">… </w:t>
      </w:r>
      <w:r w:rsidR="004221FF" w:rsidRPr="0026653F">
        <w:rPr>
          <w:sz w:val="20"/>
          <w:lang w:val="fr-FR"/>
        </w:rPr>
        <w:t>de l'Assemblée générale.</w:t>
      </w:r>
    </w:p>
    <w:p w14:paraId="03C793BC" w14:textId="77777777" w:rsidR="004221FF" w:rsidRPr="0026653F" w:rsidRDefault="004221FF" w:rsidP="00C618DD">
      <w:pPr>
        <w:rPr>
          <w:sz w:val="20"/>
          <w:lang w:val="fr-FR"/>
        </w:rPr>
      </w:pPr>
    </w:p>
    <w:p w14:paraId="307C8243" w14:textId="3CD25FFC" w:rsidR="001C6FB1" w:rsidRPr="0026653F" w:rsidRDefault="004221FF" w:rsidP="00C618DD">
      <w:pPr>
        <w:ind w:firstLine="720"/>
        <w:rPr>
          <w:sz w:val="20"/>
          <w:lang w:val="fr-FR"/>
        </w:rPr>
      </w:pPr>
      <w:r w:rsidRPr="0026653F">
        <w:rPr>
          <w:sz w:val="20"/>
          <w:lang w:val="fr-FR"/>
        </w:rPr>
        <w:t>3.</w:t>
      </w:r>
      <w:r w:rsidRPr="0026653F">
        <w:rPr>
          <w:sz w:val="20"/>
          <w:lang w:val="fr-FR"/>
        </w:rPr>
        <w:tab/>
        <w:t xml:space="preserve">… </w:t>
      </w:r>
      <w:r w:rsidR="001C6FB1" w:rsidRPr="0026653F">
        <w:rPr>
          <w:sz w:val="20"/>
          <w:lang w:val="fr-FR"/>
        </w:rPr>
        <w:t>étant donné que pendant le déroulement de ceux-ci les chefs d’État et de gouvernement n’ont pas pu aborder et n’ont pas approuvé les déclarations politiques de ces Sommets. Les mandats et les parties du dispositif des axes thématiques faisaient partie des déclarations politiques et comme ces dernières n’ont pas été approuvées, ceux-là n’ont pas été approuvés non plus. Pour cette raison, le Nicaragua n’est pas d’accord de mentionner ces documents et mandats, qui n’ont pas été approuvés.</w:t>
      </w:r>
    </w:p>
    <w:p w14:paraId="339E1171" w14:textId="77777777" w:rsidR="001C6FB1" w:rsidRPr="0026653F" w:rsidRDefault="001C6FB1" w:rsidP="00C618DD">
      <w:pPr>
        <w:rPr>
          <w:sz w:val="20"/>
          <w:lang w:val="fr-FR"/>
        </w:rPr>
      </w:pPr>
    </w:p>
    <w:p w14:paraId="520FF25E" w14:textId="6DB9112C" w:rsidR="001C6FB1" w:rsidRPr="0026653F" w:rsidRDefault="009465D6" w:rsidP="00C618DD">
      <w:pPr>
        <w:ind w:firstLine="720"/>
        <w:rPr>
          <w:sz w:val="20"/>
          <w:lang w:val="fr-FR"/>
        </w:rPr>
      </w:pPr>
      <w:r w:rsidRPr="0026653F">
        <w:rPr>
          <w:sz w:val="20"/>
          <w:lang w:val="fr-FR"/>
        </w:rPr>
        <w:t>4</w:t>
      </w:r>
      <w:r w:rsidR="001C6FB1" w:rsidRPr="0026653F">
        <w:rPr>
          <w:sz w:val="20"/>
          <w:lang w:val="fr-FR"/>
        </w:rPr>
        <w:t>.</w:t>
      </w:r>
      <w:r w:rsidR="001C6FB1" w:rsidRPr="0026653F">
        <w:rPr>
          <w:sz w:val="20"/>
          <w:lang w:val="fr-FR"/>
        </w:rPr>
        <w:tab/>
        <w:t>… au Huitième Sommet des Amériques que le Nicaragua n’approuve pas l’Engagement de Lima : « La gouvernance démocratique face à la corruption », ni d’autres documents, déclarations, communiqués ou résolutions émanés de ce Sommet, car il n’a pas participé à la négociation de ceux-ci.</w:t>
      </w:r>
    </w:p>
    <w:p w14:paraId="48D1E394" w14:textId="77777777" w:rsidR="00EA1936" w:rsidRPr="0026653F" w:rsidRDefault="00EA1936" w:rsidP="00C618DD">
      <w:pPr>
        <w:jc w:val="center"/>
        <w:rPr>
          <w:szCs w:val="22"/>
          <w:lang w:val="fr-FR"/>
        </w:rPr>
      </w:pPr>
    </w:p>
    <w:p w14:paraId="37148007" w14:textId="77777777" w:rsidR="00CB0E24" w:rsidRPr="0026653F" w:rsidRDefault="00CB0E24" w:rsidP="00C618DD">
      <w:pPr>
        <w:jc w:val="left"/>
        <w:rPr>
          <w:szCs w:val="22"/>
          <w:lang w:val="fr-FR"/>
        </w:rPr>
        <w:sectPr w:rsidR="00CB0E24" w:rsidRPr="0026653F" w:rsidSect="00FE7DD6">
          <w:footerReference w:type="default" r:id="rId18"/>
          <w:headerReference w:type="first" r:id="rId19"/>
          <w:footnotePr>
            <w:numRestart w:val="eachSect"/>
          </w:footnotePr>
          <w:type w:val="oddPage"/>
          <w:pgSz w:w="12240" w:h="15840" w:code="1"/>
          <w:pgMar w:top="2160" w:right="1570" w:bottom="1296" w:left="1699" w:header="1296" w:footer="1296" w:gutter="0"/>
          <w:pgNumType w:start="5"/>
          <w:cols w:space="720"/>
          <w:titlePg/>
          <w:docGrid w:linePitch="360"/>
        </w:sectPr>
      </w:pPr>
    </w:p>
    <w:p w14:paraId="28806F86" w14:textId="0090F5F8" w:rsidR="003F1273" w:rsidRPr="0026653F" w:rsidRDefault="00CB0E24" w:rsidP="00C618DD">
      <w:pPr>
        <w:pStyle w:val="Heading1"/>
        <w:rPr>
          <w:szCs w:val="22"/>
          <w:lang w:val="fr-FR"/>
        </w:rPr>
      </w:pPr>
      <w:bookmarkStart w:id="2" w:name="_Toc74732015"/>
      <w:r w:rsidRPr="0026653F">
        <w:rPr>
          <w:color w:val="000000"/>
          <w:szCs w:val="22"/>
          <w:lang w:val="fr-FR" w:eastAsia="en-US"/>
        </w:rPr>
        <w:lastRenderedPageBreak/>
        <w:t>AG/RES. 2949 (L-O/20)</w:t>
      </w:r>
      <w:r w:rsidRPr="0026653F">
        <w:rPr>
          <w:color w:val="000000"/>
          <w:szCs w:val="22"/>
          <w:lang w:val="fr-FR" w:eastAsia="en-US"/>
        </w:rPr>
        <w:br/>
      </w:r>
      <w:r w:rsidRPr="0026653F">
        <w:rPr>
          <w:color w:val="000000"/>
          <w:szCs w:val="22"/>
          <w:lang w:val="fr-FR" w:eastAsia="en-US"/>
        </w:rPr>
        <w:br/>
      </w:r>
      <w:r w:rsidR="003F1273" w:rsidRPr="0026653F">
        <w:rPr>
          <w:szCs w:val="22"/>
          <w:lang w:val="fr-FR"/>
        </w:rPr>
        <w:t>ACCROISSEMENT ET RENFORCEMENT DE LA PARTICIPATION DE LA SOCIÉTÉ CIVILE ET DES ACTEURS SOCIAUX AUX ACTIVITÉS DE L’ORGANISATION DES ÉTATS AMÉRICAINS ET AU PROCESSUS DES SOMMETS DES AMÉRIQUES</w:t>
      </w:r>
      <w:r w:rsidR="003F1273" w:rsidRPr="0026653F">
        <w:rPr>
          <w:szCs w:val="22"/>
          <w:u w:val="single"/>
          <w:vertAlign w:val="superscript"/>
          <w:lang w:val="fr-FR"/>
        </w:rPr>
        <w:footnoteReference w:id="10"/>
      </w:r>
      <w:r w:rsidR="003F1273" w:rsidRPr="0026653F">
        <w:rPr>
          <w:szCs w:val="22"/>
          <w:vertAlign w:val="superscript"/>
          <w:lang w:val="fr-FR"/>
        </w:rPr>
        <w:t>/</w:t>
      </w:r>
      <w:r w:rsidR="004221FF" w:rsidRPr="0026653F">
        <w:rPr>
          <w:rStyle w:val="FootnoteReference"/>
          <w:szCs w:val="22"/>
          <w:u w:val="single"/>
          <w:vertAlign w:val="superscript"/>
          <w:lang w:val="fr-FR"/>
        </w:rPr>
        <w:footnoteReference w:id="11"/>
      </w:r>
      <w:r w:rsidR="004221FF" w:rsidRPr="0026653F">
        <w:rPr>
          <w:szCs w:val="22"/>
          <w:vertAlign w:val="superscript"/>
          <w:lang w:val="fr-FR"/>
        </w:rPr>
        <w:t>/</w:t>
      </w:r>
      <w:bookmarkEnd w:id="2"/>
    </w:p>
    <w:p w14:paraId="62433F7E" w14:textId="77777777" w:rsidR="003F1273" w:rsidRPr="0026653F" w:rsidRDefault="003F1273" w:rsidP="00C618DD">
      <w:pPr>
        <w:jc w:val="left"/>
        <w:outlineLvl w:val="0"/>
        <w:rPr>
          <w:bCs/>
          <w:szCs w:val="22"/>
          <w:lang w:val="fr-FR" w:eastAsia="es-ES"/>
        </w:rPr>
      </w:pPr>
    </w:p>
    <w:p w14:paraId="48E7C07B" w14:textId="77777777" w:rsidR="003F1273" w:rsidRPr="0026653F" w:rsidRDefault="003F1273" w:rsidP="00C618DD">
      <w:pPr>
        <w:jc w:val="center"/>
        <w:rPr>
          <w:szCs w:val="22"/>
          <w:lang w:val="fr-FR" w:eastAsia="es-ES"/>
        </w:rPr>
      </w:pPr>
      <w:r w:rsidRPr="0026653F">
        <w:rPr>
          <w:szCs w:val="22"/>
          <w:lang w:val="fr-FR" w:eastAsia="es-ES"/>
        </w:rPr>
        <w:t>(Résolution adoptée à la première séance plénière, le 20 octobre 2020)</w:t>
      </w:r>
    </w:p>
    <w:p w14:paraId="7DD00440" w14:textId="77777777" w:rsidR="003F1273" w:rsidRPr="0026653F" w:rsidRDefault="003F1273" w:rsidP="00C618DD">
      <w:pPr>
        <w:jc w:val="left"/>
        <w:outlineLvl w:val="0"/>
        <w:rPr>
          <w:bCs/>
          <w:szCs w:val="22"/>
          <w:lang w:val="fr-FR" w:eastAsia="es-ES"/>
        </w:rPr>
      </w:pPr>
    </w:p>
    <w:p w14:paraId="303FF5B9" w14:textId="77777777" w:rsidR="003F1273" w:rsidRPr="0026653F" w:rsidRDefault="003F1273" w:rsidP="00C618DD">
      <w:pPr>
        <w:jc w:val="left"/>
        <w:outlineLvl w:val="0"/>
        <w:rPr>
          <w:bCs/>
          <w:szCs w:val="22"/>
          <w:lang w:val="fr-FR" w:eastAsia="es-ES"/>
        </w:rPr>
      </w:pPr>
    </w:p>
    <w:p w14:paraId="20C29865" w14:textId="77777777" w:rsidR="003F1273" w:rsidRPr="0026653F" w:rsidRDefault="003F1273" w:rsidP="00C618DD">
      <w:pPr>
        <w:ind w:firstLine="720"/>
        <w:rPr>
          <w:szCs w:val="22"/>
          <w:lang w:val="fr-FR" w:eastAsia="es-ES"/>
        </w:rPr>
      </w:pPr>
      <w:r w:rsidRPr="0026653F">
        <w:rPr>
          <w:szCs w:val="22"/>
          <w:lang w:val="fr-FR" w:eastAsia="es-ES"/>
        </w:rPr>
        <w:t>L’ASSEMBLÉE GÉNÉRALE,</w:t>
      </w:r>
    </w:p>
    <w:p w14:paraId="645D1A87" w14:textId="77777777" w:rsidR="003F1273" w:rsidRPr="0026653F" w:rsidRDefault="003F1273" w:rsidP="00C618DD">
      <w:pPr>
        <w:rPr>
          <w:szCs w:val="22"/>
          <w:lang w:val="fr-FR"/>
        </w:rPr>
      </w:pPr>
    </w:p>
    <w:p w14:paraId="62CFA3F4" w14:textId="6FD4C1E3" w:rsidR="003F1273" w:rsidRPr="0026653F" w:rsidRDefault="003F1273" w:rsidP="00C618DD">
      <w:pPr>
        <w:ind w:firstLine="720"/>
        <w:rPr>
          <w:szCs w:val="22"/>
          <w:lang w:val="fr-FR"/>
        </w:rPr>
      </w:pPr>
      <w:r w:rsidRPr="0026653F">
        <w:rPr>
          <w:szCs w:val="22"/>
          <w:lang w:val="fr-FR"/>
        </w:rPr>
        <w:t>RECONNAISSANT l’importance de la participation des organisations de la société civile et d’autres acteurs sociaux au renforcement de la démocratie, au développement intégré, à la promotion et la protection des droits de la personne et à la sécurité multidimensionnelle dans tous les États membres</w:t>
      </w:r>
      <w:r w:rsidR="009E3880" w:rsidRPr="0026653F">
        <w:rPr>
          <w:szCs w:val="22"/>
          <w:lang w:val="fr-FR"/>
        </w:rPr>
        <w:t>,</w:t>
      </w:r>
      <w:r w:rsidRPr="0026653F">
        <w:rPr>
          <w:szCs w:val="22"/>
          <w:lang w:val="fr-FR"/>
        </w:rPr>
        <w:t xml:space="preserve">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w:t>
      </w:r>
      <w:r w:rsidR="009E3880" w:rsidRPr="0026653F">
        <w:rPr>
          <w:szCs w:val="22"/>
          <w:lang w:val="fr-FR"/>
        </w:rPr>
        <w:t xml:space="preserve">EA </w:t>
      </w:r>
      <w:r w:rsidRPr="0026653F">
        <w:rPr>
          <w:szCs w:val="22"/>
          <w:lang w:val="fr-FR"/>
        </w:rPr>
        <w:t>et de la résolution CP/RES. 759 (1217/99), « Directives pour la participation des institutions de la société civile aux activités de l’Organisation des États Américains »,</w:t>
      </w:r>
    </w:p>
    <w:p w14:paraId="52D1AB98" w14:textId="77777777" w:rsidR="003F1273" w:rsidRPr="0026653F" w:rsidRDefault="003F1273" w:rsidP="00C618DD">
      <w:pPr>
        <w:rPr>
          <w:szCs w:val="22"/>
          <w:lang w:val="fr-FR"/>
        </w:rPr>
      </w:pPr>
    </w:p>
    <w:p w14:paraId="50B0CBE5" w14:textId="1AF7C8F5" w:rsidR="003F1273" w:rsidRPr="0026653F" w:rsidRDefault="003F1273" w:rsidP="00C618DD">
      <w:pPr>
        <w:ind w:firstLine="720"/>
        <w:rPr>
          <w:szCs w:val="22"/>
          <w:lang w:val="fr-FR"/>
        </w:rPr>
      </w:pPr>
      <w:r w:rsidRPr="0026653F">
        <w:rPr>
          <w:szCs w:val="22"/>
          <w:lang w:val="fr-FR"/>
        </w:rPr>
        <w:t>PRENANT EN COMPTE</w:t>
      </w:r>
      <w:r w:rsidR="009E3880" w:rsidRPr="0026653F">
        <w:rPr>
          <w:szCs w:val="22"/>
          <w:lang w:val="fr-FR"/>
        </w:rPr>
        <w:t xml:space="preserve"> l</w:t>
      </w:r>
      <w:r w:rsidRPr="0026653F">
        <w:rPr>
          <w:szCs w:val="22"/>
          <w:lang w:val="fr-FR"/>
        </w:rPr>
        <w:t>es résolutions AG/RES. 1915 (XXXIII-O/03), AG/RES. 2901 (XLVII-O/17), AG/RES. 2902 (XLVII-O/17), AG/RES. 2920 (XLVIII-O/18), AG/RES. 29</w:t>
      </w:r>
      <w:r w:rsidR="009E3880" w:rsidRPr="0026653F">
        <w:rPr>
          <w:szCs w:val="22"/>
          <w:lang w:val="fr-FR"/>
        </w:rPr>
        <w:t>2</w:t>
      </w:r>
      <w:r w:rsidRPr="0026653F">
        <w:rPr>
          <w:szCs w:val="22"/>
          <w:lang w:val="fr-FR"/>
        </w:rPr>
        <w:t xml:space="preserve">4 (XLVIII-O/18), </w:t>
      </w:r>
      <w:r w:rsidR="00F57B28" w:rsidRPr="0026653F">
        <w:rPr>
          <w:bCs/>
          <w:szCs w:val="22"/>
          <w:lang w:val="fr-FR"/>
        </w:rPr>
        <w:t>AG/RES. 2933 (XLIX-O/19),</w:t>
      </w:r>
      <w:r w:rsidR="00F57B28" w:rsidRPr="0026653F">
        <w:rPr>
          <w:szCs w:val="22"/>
          <w:lang w:val="fr-FR"/>
        </w:rPr>
        <w:t xml:space="preserve"> </w:t>
      </w:r>
      <w:r w:rsidRPr="0026653F">
        <w:rPr>
          <w:szCs w:val="22"/>
          <w:lang w:val="fr-FR"/>
        </w:rPr>
        <w:t>CP/RES. 759 (1217/99) et CP/RES. 864 (1413/04) ainsi que toutes les résolutions antérieures adoptées sur cette question,</w:t>
      </w:r>
    </w:p>
    <w:p w14:paraId="298AFCB0" w14:textId="77777777" w:rsidR="003F1273" w:rsidRPr="0026653F" w:rsidRDefault="003F1273" w:rsidP="00C618DD">
      <w:pPr>
        <w:rPr>
          <w:szCs w:val="22"/>
          <w:lang w:val="fr-FR"/>
        </w:rPr>
      </w:pPr>
    </w:p>
    <w:p w14:paraId="540CC660" w14:textId="77777777" w:rsidR="003F1273" w:rsidRPr="0026653F" w:rsidRDefault="003F1273" w:rsidP="00C618DD">
      <w:pPr>
        <w:rPr>
          <w:szCs w:val="22"/>
          <w:lang w:val="fr-FR"/>
        </w:rPr>
      </w:pPr>
      <w:r w:rsidRPr="0026653F">
        <w:rPr>
          <w:szCs w:val="22"/>
          <w:lang w:val="fr-FR"/>
        </w:rPr>
        <w:t>DÉCIDE :</w:t>
      </w:r>
    </w:p>
    <w:p w14:paraId="092333EF" w14:textId="77777777" w:rsidR="003F1273" w:rsidRPr="0026653F" w:rsidRDefault="003F1273" w:rsidP="00C618DD">
      <w:pPr>
        <w:rPr>
          <w:szCs w:val="22"/>
          <w:lang w:val="fr-FR"/>
        </w:rPr>
      </w:pPr>
    </w:p>
    <w:p w14:paraId="268C103F" w14:textId="2EE52F2E" w:rsidR="003F1273" w:rsidRPr="0026653F" w:rsidRDefault="003F1273" w:rsidP="00C618DD">
      <w:pPr>
        <w:ind w:firstLine="720"/>
        <w:rPr>
          <w:szCs w:val="22"/>
          <w:lang w:val="fr-FR"/>
        </w:rPr>
      </w:pPr>
      <w:r w:rsidRPr="0026653F">
        <w:rPr>
          <w:szCs w:val="22"/>
          <w:lang w:val="fr-FR"/>
        </w:rPr>
        <w:t>1.</w:t>
      </w:r>
      <w:r w:rsidRPr="0026653F">
        <w:rPr>
          <w:szCs w:val="22"/>
          <w:lang w:val="fr-FR"/>
        </w:rPr>
        <w:tab/>
        <w:t>De réaffirmer l’engagement et la volonté des États membres de l’Organisation des États Américains (OEA) </w:t>
      </w:r>
      <w:r w:rsidR="00B73B53" w:rsidRPr="0026653F">
        <w:rPr>
          <w:szCs w:val="22"/>
          <w:lang w:val="fr-FR"/>
        </w:rPr>
        <w:t xml:space="preserve">de </w:t>
      </w:r>
      <w:r w:rsidRPr="0026653F">
        <w:rPr>
          <w:szCs w:val="22"/>
          <w:lang w:val="fr-FR"/>
        </w:rPr>
        <w:t>: a) continuer à renforcer et à mettre en œuvre des espaces et des mécanismes efficaces qui amènent des mesures concrètes afin d’appuyer et de promouvoir activement l’inscription des organisations de la société civile et d’autres acteurs sociaux, ainsi que les initiatives mises en œuvre aux niveaux national et multilatéral pour que les organisations de la société civile et les acteurs sociaux participent aux activités de l’OEA conformément aux normes et règlements de l’Organisation et b) continuer à participer au Dialogue des chefs de délégation avec les représentants des organisations de la société civile dans le cadre des sessions ordinaires de l’Assemblée générale et du processus des Sommets des Amériques.</w:t>
      </w:r>
    </w:p>
    <w:p w14:paraId="6658121B" w14:textId="77777777" w:rsidR="003F1273" w:rsidRPr="0026653F" w:rsidRDefault="003F1273" w:rsidP="00C618DD">
      <w:pPr>
        <w:rPr>
          <w:szCs w:val="22"/>
          <w:lang w:val="fr-FR"/>
        </w:rPr>
      </w:pPr>
    </w:p>
    <w:p w14:paraId="5BBB921D" w14:textId="294FB8D3" w:rsidR="003F1273" w:rsidRPr="0026653F" w:rsidRDefault="003F1273" w:rsidP="00C618DD">
      <w:pPr>
        <w:ind w:firstLine="720"/>
        <w:rPr>
          <w:szCs w:val="22"/>
          <w:lang w:val="fr-FR"/>
        </w:rPr>
      </w:pPr>
      <w:r w:rsidRPr="0026653F">
        <w:rPr>
          <w:szCs w:val="22"/>
          <w:lang w:val="fr-FR"/>
        </w:rPr>
        <w:t>2.</w:t>
      </w:r>
      <w:r w:rsidRPr="0026653F">
        <w:rPr>
          <w:szCs w:val="22"/>
          <w:lang w:val="fr-FR"/>
        </w:rPr>
        <w:tab/>
        <w:t>De charger le Conseil permanent, le Conseil interaméricain pour le développement intégré et le Secrétariat général de continuer à faciliter la mise en œuvre des stratégies, des espaces et des mécanismes visant à promouvoir, à accroître et à renforcer la participation des organisations de la société civile et d’autres acteurs sociaux aux Sommets des Amériques et aux activités de l’OEA.</w:t>
      </w:r>
    </w:p>
    <w:p w14:paraId="45E1497D" w14:textId="77777777" w:rsidR="003F1273" w:rsidRPr="0026653F" w:rsidRDefault="003F1273" w:rsidP="00C618DD">
      <w:pPr>
        <w:rPr>
          <w:szCs w:val="22"/>
          <w:lang w:val="fr-FR"/>
        </w:rPr>
      </w:pPr>
    </w:p>
    <w:p w14:paraId="6ECD09EA" w14:textId="4BEB64AB" w:rsidR="003F1273" w:rsidRPr="0026653F" w:rsidRDefault="003F1273" w:rsidP="00C618DD">
      <w:pPr>
        <w:ind w:firstLine="720"/>
        <w:rPr>
          <w:szCs w:val="22"/>
          <w:lang w:val="fr-FR"/>
        </w:rPr>
      </w:pPr>
      <w:r w:rsidRPr="0026653F">
        <w:rPr>
          <w:szCs w:val="22"/>
          <w:lang w:val="fr-FR"/>
        </w:rPr>
        <w:lastRenderedPageBreak/>
        <w:t>3.</w:t>
      </w:r>
      <w:r w:rsidRPr="0026653F">
        <w:rPr>
          <w:szCs w:val="22"/>
          <w:lang w:val="fr-FR"/>
        </w:rPr>
        <w:tab/>
        <w:t>De charger le Secrétariat général de continuer d’inviter les peuples autochtones et les communautés d’ascendance africaine des États membres ou leurs représentants à participer au Dialogue des chefs de délégation avec des représentants des organisations de la société civile et d’autres acteurs sociaux dans le cadre des sessions ordinaires de l’Assemblée générale de l’OEA afin que ces représentants formulent des recommandations et des propositions d’initiatives liées au thème de l’Assemblée générale.</w:t>
      </w:r>
    </w:p>
    <w:p w14:paraId="4B02371D" w14:textId="77777777" w:rsidR="003F1273" w:rsidRPr="0026653F" w:rsidRDefault="003F1273" w:rsidP="00C618DD">
      <w:pPr>
        <w:rPr>
          <w:szCs w:val="22"/>
          <w:lang w:val="fr-FR"/>
        </w:rPr>
      </w:pPr>
    </w:p>
    <w:p w14:paraId="2F093CF6" w14:textId="2081E364" w:rsidR="003F1273" w:rsidRPr="0048605A" w:rsidRDefault="003F1273" w:rsidP="00C618DD">
      <w:pPr>
        <w:ind w:firstLine="720"/>
        <w:rPr>
          <w:iCs/>
          <w:szCs w:val="22"/>
          <w:lang w:val="fr-FR"/>
        </w:rPr>
      </w:pPr>
      <w:r w:rsidRPr="0026653F">
        <w:rPr>
          <w:szCs w:val="22"/>
          <w:lang w:val="fr-FR"/>
        </w:rPr>
        <w:t>4.</w:t>
      </w:r>
      <w:r w:rsidRPr="0026653F">
        <w:rPr>
          <w:szCs w:val="22"/>
          <w:lang w:val="fr-FR"/>
        </w:rPr>
        <w:tab/>
        <w:t>De demander au Secrétariat général de continuer à appuyer les États membres</w:t>
      </w:r>
      <w:r w:rsidR="007531DB" w:rsidRPr="0026653F">
        <w:rPr>
          <w:szCs w:val="22"/>
          <w:lang w:val="fr-FR"/>
        </w:rPr>
        <w:t xml:space="preserve"> qui en font la demande</w:t>
      </w:r>
      <w:r w:rsidRPr="0026653F">
        <w:rPr>
          <w:szCs w:val="22"/>
          <w:lang w:val="fr-FR"/>
        </w:rPr>
        <w:t xml:space="preserve"> dans les efforts qu’ils déploient pour accroître et renforcer la capacité institutionnelle de leurs gouvernements à accueillir, intégrer et incorporer les contributions et les suggestions de la société civile et des </w:t>
      </w:r>
      <w:r w:rsidR="009465D6" w:rsidRPr="0026653F">
        <w:rPr>
          <w:szCs w:val="22"/>
          <w:lang w:val="fr-FR"/>
        </w:rPr>
        <w:t xml:space="preserve">autres </w:t>
      </w:r>
      <w:r w:rsidRPr="0026653F">
        <w:rPr>
          <w:szCs w:val="22"/>
          <w:lang w:val="fr-FR"/>
        </w:rPr>
        <w:t>acteurs sociaux.</w:t>
      </w:r>
    </w:p>
    <w:p w14:paraId="107472A6" w14:textId="77777777" w:rsidR="003F1273" w:rsidRPr="0026653F" w:rsidRDefault="003F1273" w:rsidP="00C618DD">
      <w:pPr>
        <w:rPr>
          <w:szCs w:val="22"/>
          <w:lang w:val="fr-FR"/>
        </w:rPr>
      </w:pPr>
    </w:p>
    <w:p w14:paraId="5E5F1681" w14:textId="31FD430E" w:rsidR="003F1273" w:rsidRPr="0026653F" w:rsidRDefault="003F1273" w:rsidP="00C618DD">
      <w:pPr>
        <w:ind w:firstLine="720"/>
        <w:rPr>
          <w:szCs w:val="22"/>
          <w:lang w:val="fr-FR"/>
        </w:rPr>
      </w:pPr>
      <w:r w:rsidRPr="0026653F">
        <w:rPr>
          <w:szCs w:val="22"/>
          <w:lang w:val="fr-FR"/>
        </w:rPr>
        <w:t>5.</w:t>
      </w:r>
      <w:r w:rsidRPr="0026653F">
        <w:rPr>
          <w:szCs w:val="22"/>
          <w:lang w:val="fr-FR"/>
        </w:rPr>
        <w:tab/>
        <w:t>D’encourager tous les États membres, les observateurs permanents et les autres donateurs, selon la définition figurant à l’article 74 des Normes générales de fonctionnement du Secrétariat général et les autres normes et règlements de l’Organisation, à envisager de verser des contributions au Fonds spécifique pour le financement de la participation des organisations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l’Organisation, en accord avec les buts établis par l’Assemblée générale et par les chefs d’État et de gouvernement dans le cadre du processus des Sommets des Amériques, y compris le Dialogue entre les chefs de délégation des États membres, le Secrétaire général et les représentants des organisations de la société civile.</w:t>
      </w:r>
    </w:p>
    <w:p w14:paraId="00EF48A8" w14:textId="77777777" w:rsidR="003F1273" w:rsidRPr="0026653F" w:rsidRDefault="003F1273" w:rsidP="00C618DD">
      <w:pPr>
        <w:rPr>
          <w:szCs w:val="22"/>
          <w:lang w:val="fr-FR"/>
        </w:rPr>
      </w:pPr>
    </w:p>
    <w:p w14:paraId="76C2F6D2" w14:textId="77777777" w:rsidR="003F1273" w:rsidRPr="0026653F" w:rsidRDefault="003F1273" w:rsidP="00C618DD">
      <w:pPr>
        <w:ind w:firstLine="720"/>
        <w:rPr>
          <w:szCs w:val="22"/>
          <w:lang w:val="fr-FR" w:eastAsia="es-ES"/>
        </w:rPr>
      </w:pPr>
      <w:r w:rsidRPr="0026653F">
        <w:rPr>
          <w:szCs w:val="22"/>
          <w:lang w:val="fr-FR" w:eastAsia="es-ES"/>
        </w:rPr>
        <w:t>6.</w:t>
      </w:r>
      <w:r w:rsidRPr="0026653F">
        <w:rPr>
          <w:szCs w:val="22"/>
          <w:lang w:val="fr-FR" w:eastAsia="es-ES"/>
        </w:rPr>
        <w:tab/>
        <w:t xml:space="preserve">De charger le Secrétariat général </w:t>
      </w:r>
      <w:r w:rsidRPr="0026653F">
        <w:rPr>
          <w:szCs w:val="22"/>
          <w:lang w:val="fr-FR"/>
        </w:rPr>
        <w:t>d’identifier</w:t>
      </w:r>
      <w:r w:rsidRPr="0026653F">
        <w:rPr>
          <w:szCs w:val="22"/>
          <w:lang w:val="fr-FR" w:eastAsia="es-ES"/>
        </w:rPr>
        <w:t xml:space="preserve"> les ressources humaines nécessaires afin de réaliser les mandats confiés par les États membres concernant la Section des relations avec la société civile du Secrétariat à l’accès aux droits et à l’équité.</w:t>
      </w:r>
    </w:p>
    <w:p w14:paraId="3083D36C" w14:textId="77777777" w:rsidR="003F1273" w:rsidRPr="0026653F" w:rsidRDefault="003F1273" w:rsidP="00C618DD">
      <w:pPr>
        <w:jc w:val="left"/>
        <w:rPr>
          <w:szCs w:val="22"/>
          <w:lang w:val="fr-FR" w:eastAsia="es-ES"/>
        </w:rPr>
      </w:pPr>
      <w:r w:rsidRPr="0026653F">
        <w:rPr>
          <w:szCs w:val="22"/>
          <w:lang w:val="fr-FR" w:eastAsia="es-ES"/>
        </w:rPr>
        <w:br w:type="page"/>
      </w:r>
    </w:p>
    <w:p w14:paraId="4C52A249" w14:textId="23836251" w:rsidR="003F1273" w:rsidRPr="0026653F" w:rsidRDefault="003F1273" w:rsidP="00C618DD">
      <w:pPr>
        <w:jc w:val="center"/>
        <w:rPr>
          <w:sz w:val="20"/>
          <w:lang w:val="fr-FR"/>
        </w:rPr>
      </w:pPr>
      <w:r w:rsidRPr="0026653F">
        <w:rPr>
          <w:sz w:val="20"/>
          <w:lang w:val="fr-FR"/>
        </w:rPr>
        <w:lastRenderedPageBreak/>
        <w:t>NOTE</w:t>
      </w:r>
      <w:r w:rsidR="004221FF" w:rsidRPr="0026653F">
        <w:rPr>
          <w:sz w:val="20"/>
          <w:lang w:val="fr-FR"/>
        </w:rPr>
        <w:t>S</w:t>
      </w:r>
      <w:r w:rsidRPr="0026653F">
        <w:rPr>
          <w:sz w:val="20"/>
          <w:lang w:val="fr-FR"/>
        </w:rPr>
        <w:t xml:space="preserve"> DE BAS DE PAGE</w:t>
      </w:r>
    </w:p>
    <w:p w14:paraId="1928B25F" w14:textId="77777777" w:rsidR="003F1273" w:rsidRPr="0026653F" w:rsidRDefault="003F1273" w:rsidP="00C618DD">
      <w:pPr>
        <w:jc w:val="center"/>
        <w:rPr>
          <w:sz w:val="20"/>
          <w:lang w:val="fr-FR"/>
        </w:rPr>
      </w:pPr>
    </w:p>
    <w:p w14:paraId="494FB6E9" w14:textId="77777777" w:rsidR="003F1273" w:rsidRPr="0026653F" w:rsidRDefault="003F1273" w:rsidP="00C618DD">
      <w:pPr>
        <w:jc w:val="center"/>
        <w:rPr>
          <w:sz w:val="20"/>
          <w:lang w:val="fr-FR"/>
        </w:rPr>
      </w:pPr>
    </w:p>
    <w:p w14:paraId="1228DEAA" w14:textId="77777777" w:rsidR="003F1273" w:rsidRPr="0026653F" w:rsidRDefault="003F1273"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44F2E750" w14:textId="77777777" w:rsidR="003F1273" w:rsidRPr="0026653F" w:rsidRDefault="003F1273" w:rsidP="00C618DD">
      <w:pPr>
        <w:rPr>
          <w:sz w:val="20"/>
          <w:lang w:val="fr-FR"/>
        </w:rPr>
      </w:pPr>
    </w:p>
    <w:p w14:paraId="35A0D3CF" w14:textId="77777777" w:rsidR="003F1273" w:rsidRPr="0026653F" w:rsidRDefault="003F1273" w:rsidP="00C618DD">
      <w:pPr>
        <w:ind w:firstLine="720"/>
        <w:rPr>
          <w:sz w:val="20"/>
          <w:lang w:val="fr-FR"/>
        </w:rPr>
      </w:pPr>
      <w:r w:rsidRPr="0026653F">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75EA8DAE" w14:textId="77777777" w:rsidR="003F1273" w:rsidRPr="0026653F" w:rsidRDefault="003F1273" w:rsidP="00C618DD">
      <w:pPr>
        <w:rPr>
          <w:sz w:val="20"/>
          <w:lang w:val="fr-FR"/>
        </w:rPr>
      </w:pPr>
    </w:p>
    <w:p w14:paraId="424A321D" w14:textId="7814D690" w:rsidR="003F1273" w:rsidRPr="0026653F" w:rsidRDefault="003F1273"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527851EA" w14:textId="6CEB64BB" w:rsidR="004221FF" w:rsidRPr="0026653F" w:rsidRDefault="004221FF" w:rsidP="00C618DD">
      <w:pPr>
        <w:rPr>
          <w:szCs w:val="22"/>
          <w:lang w:val="fr-FR"/>
        </w:rPr>
      </w:pPr>
    </w:p>
    <w:p w14:paraId="1F1F9E7B" w14:textId="77777777" w:rsidR="00CB0E24" w:rsidRPr="0026653F" w:rsidRDefault="00CB0E24" w:rsidP="00C618DD">
      <w:pPr>
        <w:jc w:val="left"/>
        <w:rPr>
          <w:szCs w:val="22"/>
          <w:lang w:val="fr-FR"/>
        </w:rPr>
      </w:pPr>
    </w:p>
    <w:p w14:paraId="1B0F9281" w14:textId="77777777" w:rsidR="00841D65" w:rsidRPr="0026653F" w:rsidRDefault="00841D65" w:rsidP="00C618DD">
      <w:pPr>
        <w:rPr>
          <w:szCs w:val="22"/>
          <w:lang w:val="fr-FR"/>
        </w:rPr>
        <w:sectPr w:rsidR="00841D65" w:rsidRPr="0026653F" w:rsidSect="00FE7DD6">
          <w:footerReference w:type="default" r:id="rId20"/>
          <w:headerReference w:type="first" r:id="rId21"/>
          <w:footnotePr>
            <w:numRestart w:val="eachSect"/>
          </w:footnotePr>
          <w:type w:val="oddPage"/>
          <w:pgSz w:w="12240" w:h="15840" w:code="1"/>
          <w:pgMar w:top="2160" w:right="1570" w:bottom="1296" w:left="1699" w:header="1296" w:footer="1296" w:gutter="0"/>
          <w:pgNumType w:start="9"/>
          <w:cols w:space="720"/>
          <w:titlePg/>
          <w:docGrid w:linePitch="360"/>
        </w:sectPr>
      </w:pPr>
    </w:p>
    <w:p w14:paraId="3F740CB8" w14:textId="541F6322" w:rsidR="00293B12" w:rsidRPr="0026653F" w:rsidRDefault="009260F8" w:rsidP="00C618DD">
      <w:pPr>
        <w:pStyle w:val="Heading1"/>
        <w:rPr>
          <w:szCs w:val="22"/>
          <w:lang w:val="fr-FR"/>
        </w:rPr>
      </w:pPr>
      <w:bookmarkStart w:id="3" w:name="_Toc74732016"/>
      <w:r w:rsidRPr="0026653F">
        <w:rPr>
          <w:rFonts w:eastAsia="Calibri"/>
          <w:szCs w:val="22"/>
          <w:lang w:val="fr-FR"/>
        </w:rPr>
        <w:lastRenderedPageBreak/>
        <w:t>AG/RES. 2950 (L-O/20)</w:t>
      </w:r>
      <w:r w:rsidRPr="0026653F">
        <w:rPr>
          <w:rFonts w:eastAsia="Calibri"/>
          <w:szCs w:val="22"/>
          <w:lang w:val="fr-FR"/>
        </w:rPr>
        <w:br/>
      </w:r>
      <w:r w:rsidRPr="0026653F">
        <w:rPr>
          <w:rFonts w:eastAsia="Calibri"/>
          <w:szCs w:val="22"/>
          <w:lang w:val="fr-FR"/>
        </w:rPr>
        <w:br/>
      </w:r>
      <w:r w:rsidR="00293B12" w:rsidRPr="0026653F">
        <w:rPr>
          <w:szCs w:val="22"/>
          <w:lang w:val="fr-FR"/>
        </w:rPr>
        <w:t xml:space="preserve">PROMOTION DE LA </w:t>
      </w:r>
      <w:r w:rsidR="00293B12" w:rsidRPr="0026653F">
        <w:rPr>
          <w:rFonts w:eastAsia="Calibri"/>
          <w:szCs w:val="22"/>
          <w:lang w:val="fr-FR"/>
        </w:rPr>
        <w:t>SÉCURITÉ</w:t>
      </w:r>
      <w:r w:rsidR="00293B12" w:rsidRPr="0026653F">
        <w:rPr>
          <w:szCs w:val="22"/>
          <w:lang w:val="fr-FR"/>
        </w:rPr>
        <w:t xml:space="preserve"> CONTINENTALE : </w:t>
      </w:r>
      <w:r w:rsidR="00293B12" w:rsidRPr="0026653F">
        <w:rPr>
          <w:szCs w:val="22"/>
          <w:lang w:val="fr-FR"/>
        </w:rPr>
        <w:br/>
        <w:t>UNE APPROCHE MULTIDIMENSIONNELLE</w:t>
      </w:r>
      <w:r w:rsidR="00293B12" w:rsidRPr="0026653F">
        <w:rPr>
          <w:szCs w:val="22"/>
          <w:u w:val="single"/>
          <w:vertAlign w:val="superscript"/>
          <w:lang w:val="fr-FR"/>
        </w:rPr>
        <w:footnoteReference w:id="12"/>
      </w:r>
      <w:r w:rsidR="00293B12" w:rsidRPr="0026653F">
        <w:rPr>
          <w:szCs w:val="22"/>
          <w:vertAlign w:val="superscript"/>
          <w:lang w:val="fr-FR"/>
        </w:rPr>
        <w:t>/</w:t>
      </w:r>
      <w:r w:rsidR="00895634" w:rsidRPr="0026653F">
        <w:rPr>
          <w:rStyle w:val="FootnoteReference"/>
          <w:szCs w:val="22"/>
          <w:u w:val="single"/>
          <w:vertAlign w:val="superscript"/>
          <w:lang w:val="fr-FR"/>
        </w:rPr>
        <w:footnoteReference w:id="13"/>
      </w:r>
      <w:r w:rsidR="00895634" w:rsidRPr="0026653F">
        <w:rPr>
          <w:szCs w:val="22"/>
          <w:vertAlign w:val="superscript"/>
          <w:lang w:val="fr-FR"/>
        </w:rPr>
        <w:t>/</w:t>
      </w:r>
      <w:bookmarkEnd w:id="3"/>
    </w:p>
    <w:p w14:paraId="6218CEFA" w14:textId="77777777" w:rsidR="00293B12" w:rsidRPr="0026653F" w:rsidRDefault="00293B12" w:rsidP="00C618DD">
      <w:pPr>
        <w:rPr>
          <w:szCs w:val="22"/>
          <w:lang w:val="fr-FR"/>
        </w:rPr>
      </w:pPr>
    </w:p>
    <w:p w14:paraId="6CC92861" w14:textId="67893816" w:rsidR="00293B12" w:rsidRPr="0026653F" w:rsidRDefault="00293B12" w:rsidP="00C618DD">
      <w:pPr>
        <w:jc w:val="center"/>
        <w:rPr>
          <w:szCs w:val="22"/>
          <w:lang w:val="fr-FR"/>
        </w:rPr>
      </w:pPr>
      <w:r w:rsidRPr="0026653F">
        <w:rPr>
          <w:szCs w:val="22"/>
          <w:lang w:val="fr-FR"/>
        </w:rPr>
        <w:t>(</w:t>
      </w:r>
      <w:r w:rsidR="004C5D48" w:rsidRPr="0026653F">
        <w:rPr>
          <w:szCs w:val="22"/>
          <w:lang w:val="fr-FR"/>
        </w:rPr>
        <w:t>Résolution a</w:t>
      </w:r>
      <w:r w:rsidRPr="0026653F">
        <w:rPr>
          <w:szCs w:val="22"/>
          <w:lang w:val="fr-FR"/>
        </w:rPr>
        <w:t>dopté</w:t>
      </w:r>
      <w:r w:rsidR="004C5D48" w:rsidRPr="0026653F">
        <w:rPr>
          <w:szCs w:val="22"/>
          <w:lang w:val="fr-FR"/>
        </w:rPr>
        <w:t>e</w:t>
      </w:r>
      <w:r w:rsidRPr="0026653F">
        <w:rPr>
          <w:szCs w:val="22"/>
          <w:lang w:val="fr-FR"/>
        </w:rPr>
        <w:t xml:space="preserve"> </w:t>
      </w:r>
      <w:r w:rsidR="004C5D48" w:rsidRPr="0026653F">
        <w:rPr>
          <w:szCs w:val="22"/>
          <w:lang w:val="fr-FR"/>
        </w:rPr>
        <w:t>à</w:t>
      </w:r>
      <w:r w:rsidRPr="0026653F">
        <w:rPr>
          <w:szCs w:val="22"/>
          <w:lang w:val="fr-FR"/>
        </w:rPr>
        <w:t xml:space="preserve"> la quatrième séance plénière, le 21 octobre 2020)</w:t>
      </w:r>
    </w:p>
    <w:p w14:paraId="7C1F1017" w14:textId="77777777" w:rsidR="00293B12" w:rsidRPr="0026653F" w:rsidRDefault="00293B12" w:rsidP="00C618DD">
      <w:pPr>
        <w:suppressAutoHyphens/>
        <w:rPr>
          <w:szCs w:val="22"/>
          <w:lang w:val="fr-FR"/>
        </w:rPr>
      </w:pPr>
    </w:p>
    <w:p w14:paraId="4EB93020" w14:textId="77777777" w:rsidR="00293B12" w:rsidRPr="0026653F" w:rsidRDefault="00293B12" w:rsidP="00C618DD">
      <w:pPr>
        <w:suppressAutoHyphens/>
        <w:rPr>
          <w:szCs w:val="22"/>
          <w:lang w:val="fr-FR"/>
        </w:rPr>
      </w:pPr>
    </w:p>
    <w:p w14:paraId="31781983" w14:textId="77777777" w:rsidR="00293B12" w:rsidRPr="0026653F" w:rsidRDefault="00293B12" w:rsidP="00C618DD">
      <w:pPr>
        <w:suppressAutoHyphens/>
        <w:ind w:firstLine="720"/>
        <w:rPr>
          <w:color w:val="000000"/>
          <w:szCs w:val="22"/>
          <w:lang w:val="fr-FR"/>
        </w:rPr>
      </w:pPr>
      <w:r w:rsidRPr="0026653F">
        <w:rPr>
          <w:color w:val="000000"/>
          <w:szCs w:val="22"/>
          <w:lang w:val="fr-FR"/>
        </w:rPr>
        <w:t>L’ASSEMBLÉE GÉNÉRALE,</w:t>
      </w:r>
    </w:p>
    <w:p w14:paraId="677780EB" w14:textId="77777777" w:rsidR="00293B12" w:rsidRPr="0026653F" w:rsidRDefault="00293B12" w:rsidP="00C618DD">
      <w:pPr>
        <w:suppressAutoHyphens/>
        <w:rPr>
          <w:color w:val="000000"/>
          <w:szCs w:val="22"/>
          <w:lang w:val="fr-FR"/>
        </w:rPr>
      </w:pPr>
    </w:p>
    <w:p w14:paraId="6E999867" w14:textId="163988EC" w:rsidR="00293B12" w:rsidRPr="0026653F" w:rsidRDefault="00293B12" w:rsidP="00C618DD">
      <w:pPr>
        <w:suppressAutoHyphens/>
        <w:rPr>
          <w:rFonts w:eastAsia="MS Mincho"/>
          <w:b/>
          <w:bCs/>
          <w:color w:val="000000"/>
          <w:szCs w:val="22"/>
          <w:lang w:val="fr-FR"/>
        </w:rPr>
      </w:pPr>
      <w:r w:rsidRPr="0026653F">
        <w:rPr>
          <w:color w:val="000000"/>
          <w:szCs w:val="22"/>
          <w:lang w:val="fr-FR"/>
        </w:rPr>
        <w:tab/>
        <w:t xml:space="preserve">AYANT VU le « Rapport annuel du Conseil permanent adressé à l’Assemblée générale – </w:t>
      </w:r>
      <w:r w:rsidR="00DA2E8B" w:rsidRPr="0026653F">
        <w:rPr>
          <w:color w:val="000000"/>
          <w:szCs w:val="22"/>
          <w:lang w:val="fr-FR"/>
        </w:rPr>
        <w:t>J</w:t>
      </w:r>
      <w:r w:rsidRPr="0026653F">
        <w:rPr>
          <w:color w:val="000000"/>
          <w:szCs w:val="22"/>
          <w:lang w:val="fr-FR"/>
        </w:rPr>
        <w:t>u</w:t>
      </w:r>
      <w:r w:rsidR="00D00AA6" w:rsidRPr="0026653F">
        <w:rPr>
          <w:color w:val="000000"/>
          <w:szCs w:val="22"/>
          <w:lang w:val="fr-FR"/>
        </w:rPr>
        <w:t>illet</w:t>
      </w:r>
      <w:r w:rsidRPr="0026653F">
        <w:rPr>
          <w:color w:val="000000"/>
          <w:szCs w:val="22"/>
          <w:lang w:val="fr-FR"/>
        </w:rPr>
        <w:t xml:space="preserve"> 2019-</w:t>
      </w:r>
      <w:r w:rsidR="00DA2E8B" w:rsidRPr="0026653F">
        <w:rPr>
          <w:color w:val="000000"/>
          <w:szCs w:val="22"/>
          <w:lang w:val="fr-FR"/>
        </w:rPr>
        <w:t>O</w:t>
      </w:r>
      <w:r w:rsidRPr="0026653F">
        <w:rPr>
          <w:color w:val="000000"/>
          <w:szCs w:val="22"/>
          <w:lang w:val="fr-FR"/>
        </w:rPr>
        <w:t>ctobre 2020 » (</w:t>
      </w:r>
      <w:hyperlink r:id="rId22" w:history="1">
        <w:r w:rsidRPr="0026653F">
          <w:rPr>
            <w:color w:val="0000FF"/>
            <w:szCs w:val="22"/>
            <w:u w:val="single"/>
            <w:lang w:val="fr-FR"/>
          </w:rPr>
          <w:t>AG/doc.5691/20 add. 1</w:t>
        </w:r>
      </w:hyperlink>
      <w:r w:rsidRPr="0026653F">
        <w:rPr>
          <w:color w:val="000000"/>
          <w:szCs w:val="22"/>
          <w:lang w:val="fr-FR"/>
        </w:rPr>
        <w:t>), en particulier la section qui se réfère aux activités de la Commission sur la sécurité continentale (CSH),</w:t>
      </w:r>
    </w:p>
    <w:p w14:paraId="157889E0" w14:textId="77777777" w:rsidR="00293B12" w:rsidRPr="0026653F" w:rsidRDefault="00293B12" w:rsidP="00C618DD">
      <w:pPr>
        <w:suppressAutoHyphens/>
        <w:rPr>
          <w:color w:val="000000"/>
          <w:szCs w:val="22"/>
          <w:lang w:val="fr-FR"/>
        </w:rPr>
      </w:pPr>
    </w:p>
    <w:p w14:paraId="4C4E23ED" w14:textId="0A207977" w:rsidR="00293B12" w:rsidRPr="0026653F" w:rsidRDefault="00293B12" w:rsidP="00C618DD">
      <w:pPr>
        <w:suppressAutoHyphens/>
        <w:rPr>
          <w:color w:val="000000"/>
          <w:szCs w:val="22"/>
          <w:lang w:val="fr-FR"/>
        </w:rPr>
      </w:pPr>
      <w:r w:rsidRPr="0026653F">
        <w:rPr>
          <w:color w:val="000000"/>
          <w:szCs w:val="22"/>
          <w:lang w:val="fr-FR"/>
        </w:rPr>
        <w:tab/>
        <w:t xml:space="preserve">RÉAFFIRMANT </w:t>
      </w:r>
      <w:r w:rsidR="0077591D" w:rsidRPr="0026653F">
        <w:rPr>
          <w:color w:val="000000"/>
          <w:szCs w:val="22"/>
          <w:lang w:val="fr-FR"/>
        </w:rPr>
        <w:t xml:space="preserve">son </w:t>
      </w:r>
      <w:r w:rsidRPr="0026653F">
        <w:rPr>
          <w:color w:val="000000"/>
          <w:szCs w:val="22"/>
          <w:lang w:val="fr-FR"/>
        </w:rPr>
        <w:t>engagement en faveur de la promotion et du renforcement de la paix dans le continent américain, dans le plein respect de la souveraineté de chaque État et du droit international, et en conformité avec les lois nationales de chaque pays et les principes</w:t>
      </w:r>
      <w:r w:rsidR="00E2553A" w:rsidRPr="0026653F">
        <w:rPr>
          <w:color w:val="000000"/>
          <w:szCs w:val="22"/>
          <w:lang w:val="fr-FR"/>
        </w:rPr>
        <w:t xml:space="preserve"> et </w:t>
      </w:r>
      <w:r w:rsidRPr="0026653F">
        <w:rPr>
          <w:color w:val="000000"/>
          <w:szCs w:val="22"/>
          <w:lang w:val="fr-FR"/>
        </w:rPr>
        <w:t>valeurs partagés</w:t>
      </w:r>
      <w:r w:rsidR="00E2553A" w:rsidRPr="0026653F">
        <w:rPr>
          <w:color w:val="000000"/>
          <w:szCs w:val="22"/>
          <w:lang w:val="fr-FR"/>
        </w:rPr>
        <w:t>,</w:t>
      </w:r>
      <w:r w:rsidRPr="0026653F">
        <w:rPr>
          <w:color w:val="000000"/>
          <w:szCs w:val="22"/>
          <w:lang w:val="fr-FR"/>
        </w:rPr>
        <w:t xml:space="preserve"> les approches</w:t>
      </w:r>
      <w:r w:rsidR="00E2553A" w:rsidRPr="0026653F">
        <w:rPr>
          <w:color w:val="000000"/>
          <w:szCs w:val="22"/>
          <w:lang w:val="fr-FR"/>
        </w:rPr>
        <w:t xml:space="preserve"> et</w:t>
      </w:r>
      <w:r w:rsidRPr="0026653F">
        <w:rPr>
          <w:color w:val="000000"/>
          <w:szCs w:val="22"/>
          <w:lang w:val="fr-FR"/>
        </w:rPr>
        <w:t xml:space="preserve"> les engagements </w:t>
      </w:r>
      <w:r w:rsidR="00E2553A" w:rsidRPr="0026653F">
        <w:rPr>
          <w:color w:val="000000"/>
          <w:szCs w:val="22"/>
          <w:lang w:val="fr-FR"/>
        </w:rPr>
        <w:t xml:space="preserve">communs, de même que </w:t>
      </w:r>
      <w:r w:rsidRPr="0026653F">
        <w:rPr>
          <w:color w:val="000000"/>
          <w:szCs w:val="22"/>
          <w:lang w:val="fr-FR"/>
        </w:rPr>
        <w:t xml:space="preserve">les mesures de coopération </w:t>
      </w:r>
      <w:r w:rsidR="0087333D" w:rsidRPr="0026653F">
        <w:rPr>
          <w:color w:val="000000"/>
          <w:szCs w:val="22"/>
          <w:lang w:val="fr-FR"/>
        </w:rPr>
        <w:t>énoncées</w:t>
      </w:r>
      <w:r w:rsidRPr="0026653F">
        <w:rPr>
          <w:color w:val="000000"/>
          <w:szCs w:val="22"/>
          <w:lang w:val="fr-FR"/>
        </w:rPr>
        <w:t xml:space="preserve"> dans la Charte de l’</w:t>
      </w:r>
      <w:r w:rsidR="00E2553A" w:rsidRPr="0026653F">
        <w:rPr>
          <w:color w:val="000000"/>
          <w:szCs w:val="22"/>
          <w:lang w:val="fr-FR"/>
        </w:rPr>
        <w:t xml:space="preserve">Organisation des États Américains (OEA) et </w:t>
      </w:r>
      <w:r w:rsidRPr="0026653F">
        <w:rPr>
          <w:color w:val="000000"/>
          <w:szCs w:val="22"/>
          <w:lang w:val="fr-FR"/>
        </w:rPr>
        <w:t>la Déclaration sur la sécurité dans les Amériques,</w:t>
      </w:r>
    </w:p>
    <w:p w14:paraId="6CC514DC" w14:textId="77777777" w:rsidR="00293B12" w:rsidRPr="0026653F" w:rsidRDefault="00293B12" w:rsidP="00C618DD">
      <w:pPr>
        <w:suppressAutoHyphens/>
        <w:rPr>
          <w:color w:val="000000"/>
          <w:szCs w:val="22"/>
          <w:lang w:val="fr-FR"/>
        </w:rPr>
      </w:pPr>
    </w:p>
    <w:p w14:paraId="5FBE2CFD" w14:textId="1AE0740B" w:rsidR="00293B12" w:rsidRPr="0026653F" w:rsidRDefault="00293B12" w:rsidP="00C618DD">
      <w:pPr>
        <w:suppressAutoHyphens/>
        <w:rPr>
          <w:color w:val="000000"/>
          <w:szCs w:val="22"/>
          <w:lang w:val="fr-FR"/>
        </w:rPr>
      </w:pPr>
      <w:r w:rsidRPr="0026653F">
        <w:rPr>
          <w:color w:val="000000"/>
          <w:szCs w:val="22"/>
          <w:lang w:val="fr-FR"/>
        </w:rPr>
        <w:tab/>
        <w:t>PRENANT EN COMPTE l’impact sans précédent de la pandémie de COVID-19 sur la santé, la sécurité et le bien-être des peuples des Amériques et réaffirmant l’importance de l’O</w:t>
      </w:r>
      <w:r w:rsidR="00E2553A" w:rsidRPr="0026653F">
        <w:rPr>
          <w:color w:val="000000"/>
          <w:szCs w:val="22"/>
          <w:lang w:val="fr-FR"/>
        </w:rPr>
        <w:t xml:space="preserve">EA </w:t>
      </w:r>
      <w:r w:rsidRPr="0026653F">
        <w:rPr>
          <w:color w:val="000000"/>
          <w:szCs w:val="22"/>
          <w:lang w:val="fr-FR"/>
        </w:rPr>
        <w:t>pour contribuer aux efforts déployés sur les plans national et régional visant la réduction de l’incidence de la pandémie sur la sécurité continentale dans une perspective multidimensionnelle,</w:t>
      </w:r>
    </w:p>
    <w:p w14:paraId="1DD0C37F" w14:textId="77777777" w:rsidR="00293B12" w:rsidRPr="0026653F" w:rsidRDefault="00293B12" w:rsidP="00C618DD">
      <w:pPr>
        <w:suppressAutoHyphens/>
        <w:rPr>
          <w:color w:val="000000"/>
          <w:szCs w:val="22"/>
          <w:lang w:val="fr-FR"/>
        </w:rPr>
      </w:pPr>
    </w:p>
    <w:p w14:paraId="6CE8B3F4" w14:textId="581FDA29" w:rsidR="00293B12" w:rsidRPr="00155E8B" w:rsidRDefault="00293B12" w:rsidP="00C618DD">
      <w:pPr>
        <w:suppressAutoHyphens/>
        <w:rPr>
          <w:szCs w:val="22"/>
          <w:u w:val="single"/>
          <w:lang w:val="fr-FR"/>
        </w:rPr>
      </w:pPr>
      <w:r w:rsidRPr="0026653F">
        <w:rPr>
          <w:color w:val="000000"/>
          <w:szCs w:val="22"/>
          <w:lang w:val="fr-FR"/>
        </w:rPr>
        <w:tab/>
      </w:r>
      <w:r w:rsidRPr="0026653F">
        <w:rPr>
          <w:szCs w:val="22"/>
          <w:lang w:val="fr-FR"/>
        </w:rPr>
        <w:t>AYANT VU les rapports annuels présentés à l’Assemblée générale réunie à l’occasion de sa cinquantième session ordinaire par la Commission interaméricaine de lutte contre l’abus des drogues</w:t>
      </w:r>
      <w:r w:rsidR="009404E2" w:rsidRPr="0026653F">
        <w:rPr>
          <w:szCs w:val="22"/>
          <w:lang w:val="fr-FR"/>
        </w:rPr>
        <w:t xml:space="preserve"> </w:t>
      </w:r>
      <w:r w:rsidRPr="0026653F">
        <w:rPr>
          <w:szCs w:val="22"/>
          <w:lang w:val="fr-FR"/>
        </w:rPr>
        <w:t>(</w:t>
      </w:r>
      <w:hyperlink r:id="rId23" w:history="1">
        <w:r w:rsidRPr="0026653F">
          <w:rPr>
            <w:color w:val="0000FF"/>
            <w:szCs w:val="22"/>
            <w:u w:val="single"/>
            <w:lang w:val="fr-FR"/>
          </w:rPr>
          <w:t>CP/doc.5625/20</w:t>
        </w:r>
      </w:hyperlink>
      <w:r w:rsidRPr="0026653F">
        <w:rPr>
          <w:szCs w:val="22"/>
          <w:lang w:val="fr-FR"/>
        </w:rPr>
        <w:t>), le Comité interaméricain contre le terrorisme (</w:t>
      </w:r>
      <w:hyperlink r:id="rId24" w:history="1">
        <w:r w:rsidRPr="0026653F">
          <w:rPr>
            <w:color w:val="0000FF"/>
            <w:szCs w:val="22"/>
            <w:u w:val="single"/>
            <w:lang w:val="fr-FR"/>
          </w:rPr>
          <w:t>CP/doc.5612/20</w:t>
        </w:r>
      </w:hyperlink>
      <w:r w:rsidRPr="0026653F">
        <w:rPr>
          <w:szCs w:val="22"/>
          <w:lang w:val="fr-FR"/>
        </w:rPr>
        <w:t>) et l’Organisation interaméricaine de défense (</w:t>
      </w:r>
      <w:hyperlink r:id="rId25" w:history="1">
        <w:r w:rsidRPr="0026653F">
          <w:rPr>
            <w:color w:val="0000FF"/>
            <w:szCs w:val="22"/>
            <w:u w:val="single"/>
            <w:lang w:val="fr-FR"/>
          </w:rPr>
          <w:t>CP/doc.5598/20 corr.</w:t>
        </w:r>
      </w:hyperlink>
      <w:hyperlink r:id="rId26" w:history="1">
        <w:r w:rsidRPr="0026653F">
          <w:rPr>
            <w:color w:val="0000FF"/>
            <w:szCs w:val="22"/>
            <w:u w:val="single"/>
            <w:lang w:val="fr-FR"/>
          </w:rPr>
          <w:t xml:space="preserve"> 1</w:t>
        </w:r>
      </w:hyperlink>
      <w:r w:rsidRPr="0026653F">
        <w:rPr>
          <w:color w:val="0000FF"/>
          <w:szCs w:val="22"/>
          <w:u w:val="single"/>
          <w:lang w:val="fr-FR"/>
        </w:rPr>
        <w:t>)</w:t>
      </w:r>
      <w:r w:rsidRPr="0026653F">
        <w:rPr>
          <w:szCs w:val="22"/>
          <w:lang w:val="fr-FR"/>
        </w:rPr>
        <w:t>,</w:t>
      </w:r>
    </w:p>
    <w:p w14:paraId="364C8928" w14:textId="77777777" w:rsidR="00293B12" w:rsidRPr="0026653F" w:rsidRDefault="00293B12" w:rsidP="00C618DD">
      <w:pPr>
        <w:suppressAutoHyphens/>
        <w:rPr>
          <w:color w:val="000000"/>
          <w:szCs w:val="22"/>
          <w:lang w:val="fr-FR"/>
        </w:rPr>
      </w:pPr>
    </w:p>
    <w:p w14:paraId="3136A491" w14:textId="2FD08B1C" w:rsidR="00293B12" w:rsidRPr="0026653F" w:rsidRDefault="00293B12" w:rsidP="00C618DD">
      <w:pPr>
        <w:suppressAutoHyphens/>
        <w:rPr>
          <w:color w:val="000000"/>
          <w:szCs w:val="22"/>
          <w:lang w:val="fr-FR"/>
        </w:rPr>
      </w:pPr>
      <w:r w:rsidRPr="0026653F">
        <w:rPr>
          <w:color w:val="000000"/>
          <w:szCs w:val="22"/>
          <w:lang w:val="fr-FR"/>
        </w:rPr>
        <w:tab/>
        <w:t>PRENANT EN COMPTE les résultats, rapports et recommandations des réunions et conférences sur des thèmes de sécurité en vertu des mandats de l’Assemblée générale</w:t>
      </w:r>
      <w:r w:rsidRPr="0026653F">
        <w:rPr>
          <w:szCs w:val="22"/>
          <w:u w:val="single"/>
          <w:vertAlign w:val="superscript"/>
          <w:lang w:val="fr-FR"/>
        </w:rPr>
        <w:footnoteReference w:id="14"/>
      </w:r>
      <w:r w:rsidR="00E2553A" w:rsidRPr="0026653F">
        <w:rPr>
          <w:color w:val="000000"/>
          <w:szCs w:val="22"/>
          <w:vertAlign w:val="superscript"/>
          <w:lang w:val="fr-FR"/>
        </w:rPr>
        <w:t>/</w:t>
      </w:r>
      <w:r w:rsidRPr="0026653F">
        <w:rPr>
          <w:color w:val="000000"/>
          <w:szCs w:val="22"/>
          <w:lang w:val="fr-FR"/>
        </w:rPr>
        <w:t>,</w:t>
      </w:r>
    </w:p>
    <w:p w14:paraId="18540AC5" w14:textId="77777777" w:rsidR="00293B12" w:rsidRPr="0026653F" w:rsidRDefault="00293B12" w:rsidP="00C618DD">
      <w:pPr>
        <w:suppressAutoHyphens/>
        <w:rPr>
          <w:rFonts w:eastAsia="MS Mincho"/>
          <w:color w:val="000000"/>
          <w:szCs w:val="22"/>
          <w:lang w:val="fr-FR" w:eastAsia="es-ES"/>
        </w:rPr>
      </w:pPr>
    </w:p>
    <w:p w14:paraId="6B2DF4F7" w14:textId="06026A84" w:rsidR="00293B12" w:rsidRPr="0026653F" w:rsidRDefault="00293B12" w:rsidP="00C618DD">
      <w:pPr>
        <w:suppressAutoHyphens/>
        <w:ind w:firstLine="720"/>
        <w:rPr>
          <w:color w:val="000000"/>
          <w:szCs w:val="22"/>
          <w:lang w:val="fr-FR"/>
        </w:rPr>
      </w:pPr>
      <w:r w:rsidRPr="0026653F">
        <w:rPr>
          <w:color w:val="000000"/>
          <w:szCs w:val="22"/>
          <w:lang w:val="fr-FR"/>
        </w:rPr>
        <w:t>RECONNAISSANT avec préoccupation la grave situation mondiale qui touche les États membres à cause de la pandémie de COVID-19, de même que les dommages économiques et sociaux qui y sont associés</w:t>
      </w:r>
      <w:r w:rsidR="00E2553A" w:rsidRPr="0026653F">
        <w:rPr>
          <w:color w:val="000000"/>
          <w:szCs w:val="22"/>
          <w:lang w:val="fr-FR"/>
        </w:rPr>
        <w:t xml:space="preserve">, d’où la nécessité de </w:t>
      </w:r>
      <w:r w:rsidRPr="0026653F">
        <w:rPr>
          <w:color w:val="000000"/>
          <w:szCs w:val="22"/>
          <w:lang w:val="fr-FR"/>
        </w:rPr>
        <w:t>renforcer l’Organisation sans négliger les progrès réalisés en matière de sécurité afin de lutter contre la violence et la criminalité transnationale organisée, et consolider la coopération avec d’autres institutions internationales dans le domaine de leurs compétences, en vue de contribuer aux efforts déployés pour protéger la sécurité citoyenne et faire face à l’épidémie dans les Amériques, l</w:t>
      </w:r>
      <w:r w:rsidR="00E2553A" w:rsidRPr="0026653F">
        <w:rPr>
          <w:color w:val="000000"/>
          <w:szCs w:val="22"/>
          <w:lang w:val="fr-FR"/>
        </w:rPr>
        <w:t xml:space="preserve">’atténuer </w:t>
      </w:r>
      <w:r w:rsidRPr="0026653F">
        <w:rPr>
          <w:color w:val="000000"/>
          <w:szCs w:val="22"/>
          <w:lang w:val="fr-FR"/>
        </w:rPr>
        <w:t>et y répondre</w:t>
      </w:r>
      <w:r w:rsidR="00E2553A" w:rsidRPr="0026653F">
        <w:rPr>
          <w:color w:val="000000"/>
          <w:szCs w:val="22"/>
          <w:lang w:val="fr-FR"/>
        </w:rPr>
        <w:t>,</w:t>
      </w:r>
    </w:p>
    <w:p w14:paraId="5D1B99EB" w14:textId="77777777" w:rsidR="00293B12" w:rsidRPr="0026653F" w:rsidRDefault="00293B12" w:rsidP="00C618DD">
      <w:pPr>
        <w:suppressAutoHyphens/>
        <w:rPr>
          <w:color w:val="000000"/>
          <w:szCs w:val="22"/>
          <w:lang w:val="fr-FR"/>
        </w:rPr>
      </w:pPr>
    </w:p>
    <w:p w14:paraId="06ECC5AF" w14:textId="77777777" w:rsidR="00293B12" w:rsidRPr="0026653F" w:rsidRDefault="00293B12" w:rsidP="00C618DD">
      <w:pPr>
        <w:keepNext/>
        <w:suppressAutoHyphens/>
        <w:rPr>
          <w:color w:val="000000"/>
          <w:szCs w:val="22"/>
          <w:lang w:val="fr-FR"/>
        </w:rPr>
      </w:pPr>
      <w:r w:rsidRPr="0026653F">
        <w:rPr>
          <w:color w:val="000000"/>
          <w:szCs w:val="22"/>
          <w:lang w:val="fr-FR"/>
        </w:rPr>
        <w:t>DÉCIDE :</w:t>
      </w:r>
    </w:p>
    <w:p w14:paraId="446880F9" w14:textId="77777777" w:rsidR="00293B12" w:rsidRPr="0026653F" w:rsidRDefault="00293B12" w:rsidP="00C618DD">
      <w:pPr>
        <w:suppressAutoHyphens/>
        <w:rPr>
          <w:rFonts w:eastAsia="Batang"/>
          <w:bCs/>
          <w:color w:val="000000"/>
          <w:szCs w:val="22"/>
          <w:u w:val="single"/>
          <w:lang w:val="fr-FR"/>
        </w:rPr>
      </w:pPr>
    </w:p>
    <w:p w14:paraId="7828A559" w14:textId="77777777" w:rsidR="00293B12" w:rsidRPr="0026653F" w:rsidRDefault="00293B12" w:rsidP="00C618DD">
      <w:pPr>
        <w:suppressAutoHyphens/>
        <w:jc w:val="center"/>
        <w:rPr>
          <w:rFonts w:eastAsia="MS Mincho"/>
          <w:color w:val="000000"/>
          <w:szCs w:val="22"/>
          <w:lang w:val="fr-FR"/>
        </w:rPr>
      </w:pPr>
      <w:r w:rsidRPr="0026653F">
        <w:rPr>
          <w:color w:val="000000"/>
          <w:szCs w:val="22"/>
          <w:lang w:val="fr-FR"/>
        </w:rPr>
        <w:t>I.</w:t>
      </w:r>
      <w:r w:rsidRPr="0026653F">
        <w:rPr>
          <w:color w:val="000000"/>
          <w:szCs w:val="22"/>
          <w:lang w:val="fr-FR"/>
        </w:rPr>
        <w:tab/>
        <w:t xml:space="preserve">ACTIVITÉS DE LA COMMISSION SUR LA SÉCURITÉ CONTINENTALE </w:t>
      </w:r>
    </w:p>
    <w:p w14:paraId="4A5C3FD1" w14:textId="77777777" w:rsidR="00293B12" w:rsidRPr="0026653F" w:rsidRDefault="00293B12" w:rsidP="00C618DD">
      <w:pPr>
        <w:suppressAutoHyphens/>
        <w:jc w:val="center"/>
        <w:rPr>
          <w:color w:val="000000"/>
          <w:szCs w:val="22"/>
          <w:lang w:val="fr-FR"/>
        </w:rPr>
      </w:pPr>
      <w:r w:rsidRPr="0026653F">
        <w:rPr>
          <w:color w:val="000000"/>
          <w:szCs w:val="22"/>
          <w:lang w:val="fr-FR"/>
        </w:rPr>
        <w:t>ET DES ÉTATS MEMBRES</w:t>
      </w:r>
    </w:p>
    <w:p w14:paraId="500911C3" w14:textId="77777777" w:rsidR="00293B12" w:rsidRPr="0026653F" w:rsidRDefault="00293B12" w:rsidP="00C618DD">
      <w:pPr>
        <w:suppressAutoHyphens/>
        <w:rPr>
          <w:color w:val="000000"/>
          <w:szCs w:val="22"/>
          <w:lang w:val="fr-FR"/>
        </w:rPr>
      </w:pPr>
    </w:p>
    <w:p w14:paraId="06FB41B5" w14:textId="1A8B453F" w:rsidR="00293B12" w:rsidRPr="0026653F" w:rsidRDefault="00293B12" w:rsidP="00C618DD">
      <w:pPr>
        <w:numPr>
          <w:ilvl w:val="0"/>
          <w:numId w:val="25"/>
        </w:numPr>
        <w:suppressAutoHyphens/>
        <w:ind w:left="0"/>
        <w:rPr>
          <w:color w:val="000000"/>
          <w:szCs w:val="22"/>
          <w:lang w:val="fr-FR"/>
        </w:rPr>
      </w:pPr>
      <w:r w:rsidRPr="0026653F">
        <w:rPr>
          <w:szCs w:val="22"/>
          <w:lang w:val="fr-FR"/>
        </w:rPr>
        <w:t xml:space="preserve">De réaffirmer la validité des mandats applicables de l’Assemblée générale en matière de sécurité continentale énoncés dans le </w:t>
      </w:r>
      <w:r w:rsidRPr="0026653F">
        <w:rPr>
          <w:color w:val="000000"/>
          <w:szCs w:val="22"/>
          <w:lang w:val="fr-FR"/>
        </w:rPr>
        <w:t xml:space="preserve">document </w:t>
      </w:r>
      <w:hyperlink r:id="rId27" w:history="1">
        <w:r w:rsidRPr="0026653F">
          <w:rPr>
            <w:color w:val="0000FF"/>
            <w:szCs w:val="22"/>
            <w:u w:val="single"/>
            <w:lang w:val="fr-FR"/>
          </w:rPr>
          <w:t>CP/CSH/INF.502/20</w:t>
        </w:r>
      </w:hyperlink>
      <w:r w:rsidR="00E2553A" w:rsidRPr="0026653F">
        <w:rPr>
          <w:szCs w:val="22"/>
          <w:lang w:val="fr-FR"/>
        </w:rPr>
        <w:t> ;</w:t>
      </w:r>
      <w:r w:rsidRPr="0026653F">
        <w:rPr>
          <w:color w:val="000000"/>
          <w:szCs w:val="22"/>
          <w:lang w:val="fr-FR"/>
        </w:rPr>
        <w:t xml:space="preserve"> </w:t>
      </w:r>
      <w:r w:rsidRPr="0026653F">
        <w:rPr>
          <w:szCs w:val="22"/>
          <w:lang w:val="fr-FR"/>
        </w:rPr>
        <w:t xml:space="preserve">d’exhorter le Conseil permanent, par le truchement de la </w:t>
      </w:r>
      <w:r w:rsidR="00E2553A" w:rsidRPr="0026653F">
        <w:rPr>
          <w:szCs w:val="22"/>
          <w:lang w:val="fr-FR"/>
        </w:rPr>
        <w:t>Commission sur la sécurité continentale (C</w:t>
      </w:r>
      <w:r w:rsidRPr="0026653F">
        <w:rPr>
          <w:szCs w:val="22"/>
          <w:lang w:val="fr-FR"/>
        </w:rPr>
        <w:t>SH</w:t>
      </w:r>
      <w:r w:rsidR="00E2553A" w:rsidRPr="0026653F">
        <w:rPr>
          <w:szCs w:val="22"/>
          <w:lang w:val="fr-FR"/>
        </w:rPr>
        <w:t>)</w:t>
      </w:r>
      <w:r w:rsidRPr="0026653F">
        <w:rPr>
          <w:szCs w:val="22"/>
          <w:lang w:val="fr-FR"/>
        </w:rPr>
        <w:t>, ainsi que les États membres</w:t>
      </w:r>
      <w:r w:rsidR="002A61D5" w:rsidRPr="0026653F">
        <w:rPr>
          <w:szCs w:val="22"/>
          <w:lang w:val="fr-FR"/>
        </w:rPr>
        <w:t>,</w:t>
      </w:r>
      <w:r w:rsidRPr="0026653F">
        <w:rPr>
          <w:szCs w:val="22"/>
          <w:lang w:val="fr-FR"/>
        </w:rPr>
        <w:t xml:space="preserve"> à continuer de contribuer à l’atteinte des objectifs établis dans ces mandats au moyen de l’élaboration, de l’exécution, de l’évaluation et de la présentation de rapports </w:t>
      </w:r>
      <w:r w:rsidR="00B50FF9" w:rsidRPr="0026653F">
        <w:rPr>
          <w:szCs w:val="22"/>
          <w:lang w:val="fr-FR"/>
        </w:rPr>
        <w:t>relatifs aux programmes,</w:t>
      </w:r>
      <w:r w:rsidRPr="0026653F">
        <w:rPr>
          <w:szCs w:val="22"/>
          <w:lang w:val="fr-FR"/>
        </w:rPr>
        <w:t xml:space="preserve">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p>
    <w:p w14:paraId="70146463" w14:textId="77777777" w:rsidR="00293B12" w:rsidRPr="0026653F" w:rsidRDefault="00293B12" w:rsidP="00161AFF">
      <w:pPr>
        <w:suppressAutoHyphens/>
        <w:rPr>
          <w:color w:val="000000"/>
          <w:szCs w:val="22"/>
          <w:lang w:val="fr-FR"/>
        </w:rPr>
      </w:pPr>
    </w:p>
    <w:p w14:paraId="595C2D8A" w14:textId="77777777" w:rsidR="00293B12" w:rsidRPr="0026653F" w:rsidRDefault="00293B12" w:rsidP="00161AFF">
      <w:pPr>
        <w:numPr>
          <w:ilvl w:val="0"/>
          <w:numId w:val="24"/>
        </w:numPr>
        <w:suppressAutoHyphens/>
        <w:ind w:left="720"/>
        <w:rPr>
          <w:color w:val="000000"/>
          <w:szCs w:val="22"/>
          <w:u w:val="single"/>
          <w:lang w:val="fr-FR"/>
        </w:rPr>
      </w:pPr>
      <w:r w:rsidRPr="0026653F">
        <w:rPr>
          <w:color w:val="000000"/>
          <w:szCs w:val="22"/>
          <w:u w:val="single"/>
          <w:lang w:val="fr-FR"/>
        </w:rPr>
        <w:t>Perspective et examen de la sécurité multidimensionnelle dans le continent américain</w:t>
      </w:r>
    </w:p>
    <w:p w14:paraId="404BDF79" w14:textId="77777777" w:rsidR="00293B12" w:rsidRPr="0026653F" w:rsidRDefault="00293B12" w:rsidP="00161AFF">
      <w:pPr>
        <w:suppressAutoHyphens/>
        <w:rPr>
          <w:rFonts w:eastAsia="MS Mincho"/>
          <w:color w:val="000000"/>
          <w:szCs w:val="22"/>
          <w:u w:val="single"/>
          <w:lang w:val="fr-FR"/>
        </w:rPr>
      </w:pPr>
    </w:p>
    <w:p w14:paraId="39C904B7" w14:textId="77777777" w:rsidR="00293B12" w:rsidRPr="0026653F" w:rsidRDefault="00293B12" w:rsidP="00C618DD">
      <w:pPr>
        <w:numPr>
          <w:ilvl w:val="0"/>
          <w:numId w:val="1"/>
        </w:numPr>
        <w:suppressAutoHyphens/>
        <w:ind w:firstLine="0"/>
        <w:rPr>
          <w:color w:val="000000"/>
          <w:szCs w:val="22"/>
          <w:u w:val="single"/>
          <w:lang w:val="fr-FR"/>
        </w:rPr>
      </w:pPr>
      <w:r w:rsidRPr="0026653F">
        <w:rPr>
          <w:color w:val="000000"/>
          <w:szCs w:val="22"/>
          <w:u w:val="single"/>
          <w:lang w:val="fr-FR"/>
        </w:rPr>
        <w:t>Déclaration sur la sécurité dans les Amériques</w:t>
      </w:r>
    </w:p>
    <w:p w14:paraId="6FC6BF90" w14:textId="77777777" w:rsidR="00293B12" w:rsidRPr="0026653F" w:rsidRDefault="00293B12" w:rsidP="00C618DD">
      <w:pPr>
        <w:suppressAutoHyphens/>
        <w:jc w:val="left"/>
        <w:rPr>
          <w:color w:val="000000"/>
          <w:szCs w:val="22"/>
          <w:u w:val="single"/>
          <w:lang w:val="fr-FR"/>
        </w:rPr>
      </w:pPr>
    </w:p>
    <w:p w14:paraId="36AFE469" w14:textId="77777777" w:rsidR="00293B12" w:rsidRPr="0026653F" w:rsidRDefault="00293B12" w:rsidP="00C618DD">
      <w:pPr>
        <w:numPr>
          <w:ilvl w:val="0"/>
          <w:numId w:val="26"/>
        </w:numPr>
        <w:suppressAutoHyphens/>
        <w:ind w:left="0" w:firstLine="720"/>
        <w:rPr>
          <w:color w:val="000000"/>
          <w:szCs w:val="22"/>
          <w:lang w:val="fr-FR"/>
        </w:rPr>
      </w:pPr>
      <w:r w:rsidRPr="0026653F">
        <w:rPr>
          <w:color w:val="000000"/>
          <w:szCs w:val="22"/>
          <w:lang w:val="fr-FR"/>
        </w:rPr>
        <w:t>De charger la CSH de tenir, au cours du premier semestre de 2021, une réunion pour examiner la Déclaration sur la sécurité dans les Amériques en tenant compte des nouvelles menaces, préoccupations et autres défis et d’évaluer la pertinence de convoquer une conférence spéciale sur la sécurité afin de continuer à renforcer la sécurité continentale. De demander aux États membres de donner leur avis par écrit à la CSH au plus tard le 15 février 2021.</w:t>
      </w:r>
    </w:p>
    <w:p w14:paraId="14DA559B" w14:textId="77777777" w:rsidR="00293B12" w:rsidRPr="0026653F" w:rsidRDefault="00293B12" w:rsidP="00C618DD">
      <w:pPr>
        <w:suppressAutoHyphens/>
        <w:rPr>
          <w:color w:val="000000"/>
          <w:szCs w:val="22"/>
          <w:lang w:val="fr-FR"/>
        </w:rPr>
      </w:pPr>
    </w:p>
    <w:p w14:paraId="1712DD66" w14:textId="799818E6" w:rsidR="00293B12" w:rsidRPr="0026653F" w:rsidRDefault="00293B12" w:rsidP="00C618DD">
      <w:pPr>
        <w:numPr>
          <w:ilvl w:val="0"/>
          <w:numId w:val="26"/>
        </w:numPr>
        <w:suppressAutoHyphens/>
        <w:ind w:left="0" w:firstLine="720"/>
        <w:rPr>
          <w:color w:val="000000"/>
          <w:szCs w:val="22"/>
          <w:lang w:val="fr-FR"/>
        </w:rPr>
      </w:pPr>
      <w:r w:rsidRPr="0026653F">
        <w:rPr>
          <w:color w:val="000000"/>
          <w:szCs w:val="22"/>
          <w:lang w:val="fr-FR"/>
        </w:rPr>
        <w:t>D’inviter instamment les États membres à promouvoir la représentation équitable des femmes dans tous les processus d’adoption de décisions relatives aux questions de sécurité, et de demander au S</w:t>
      </w:r>
      <w:r w:rsidR="00726B30" w:rsidRPr="0026653F">
        <w:rPr>
          <w:color w:val="000000"/>
          <w:szCs w:val="22"/>
          <w:lang w:val="fr-FR"/>
        </w:rPr>
        <w:t>ecrétariat à la sécurité multidimensionnelle (</w:t>
      </w:r>
      <w:r w:rsidRPr="0026653F">
        <w:rPr>
          <w:color w:val="000000"/>
          <w:szCs w:val="22"/>
          <w:lang w:val="fr-FR"/>
        </w:rPr>
        <w:t>S</w:t>
      </w:r>
      <w:r w:rsidR="00726B30" w:rsidRPr="0026653F">
        <w:rPr>
          <w:color w:val="000000"/>
          <w:szCs w:val="22"/>
          <w:lang w:val="fr-FR"/>
        </w:rPr>
        <w:t>S</w:t>
      </w:r>
      <w:r w:rsidRPr="0026653F">
        <w:rPr>
          <w:color w:val="000000"/>
          <w:szCs w:val="22"/>
          <w:lang w:val="fr-FR"/>
        </w:rPr>
        <w:t>M</w:t>
      </w:r>
      <w:r w:rsidR="00726B30" w:rsidRPr="0026653F">
        <w:rPr>
          <w:color w:val="000000"/>
          <w:szCs w:val="22"/>
          <w:lang w:val="fr-FR"/>
        </w:rPr>
        <w:t>)</w:t>
      </w:r>
      <w:r w:rsidRPr="0026653F">
        <w:rPr>
          <w:color w:val="000000"/>
          <w:szCs w:val="22"/>
          <w:lang w:val="fr-FR"/>
        </w:rPr>
        <w:t xml:space="preserve"> d’inclure dans ses activités la promotion de la participation effective des femmes à ces processus.</w:t>
      </w:r>
    </w:p>
    <w:p w14:paraId="49C44D79" w14:textId="77777777" w:rsidR="00293B12" w:rsidRPr="0026653F" w:rsidRDefault="00293B12" w:rsidP="00C618DD">
      <w:pPr>
        <w:jc w:val="left"/>
        <w:rPr>
          <w:color w:val="000000"/>
          <w:szCs w:val="22"/>
          <w:lang w:val="fr-FR"/>
        </w:rPr>
      </w:pPr>
    </w:p>
    <w:p w14:paraId="0ADCF660" w14:textId="38C566CD" w:rsidR="00293B12" w:rsidRPr="0026653F" w:rsidRDefault="00293B12" w:rsidP="00C618DD">
      <w:pPr>
        <w:numPr>
          <w:ilvl w:val="0"/>
          <w:numId w:val="26"/>
        </w:numPr>
        <w:suppressAutoHyphens/>
        <w:ind w:left="0" w:firstLine="720"/>
        <w:rPr>
          <w:color w:val="000000"/>
          <w:szCs w:val="22"/>
          <w:lang w:val="fr-FR"/>
        </w:rPr>
      </w:pPr>
      <w:r w:rsidRPr="0026653F">
        <w:rPr>
          <w:color w:val="000000"/>
          <w:szCs w:val="22"/>
          <w:lang w:val="fr-FR"/>
        </w:rPr>
        <w:t>De réaffirmer le vingtième anniversaire de la résolution 1325</w:t>
      </w:r>
      <w:r w:rsidR="00CD5D04" w:rsidRPr="0026653F">
        <w:rPr>
          <w:color w:val="000000"/>
          <w:szCs w:val="22"/>
          <w:lang w:val="fr-FR"/>
        </w:rPr>
        <w:t xml:space="preserve"> (2000)</w:t>
      </w:r>
      <w:r w:rsidRPr="0026653F">
        <w:rPr>
          <w:color w:val="000000"/>
          <w:szCs w:val="22"/>
          <w:lang w:val="fr-FR"/>
        </w:rPr>
        <w:t xml:space="preserve"> du Conseil de sécurité des Nations Unies sur les femmes, la paix et la sécurité</w:t>
      </w:r>
      <w:r w:rsidR="008771EC" w:rsidRPr="0026653F">
        <w:rPr>
          <w:color w:val="000000"/>
          <w:szCs w:val="22"/>
          <w:lang w:val="fr-FR"/>
        </w:rPr>
        <w:t>,</w:t>
      </w:r>
      <w:r w:rsidRPr="0026653F">
        <w:rPr>
          <w:color w:val="000000"/>
          <w:szCs w:val="22"/>
          <w:lang w:val="fr-FR"/>
        </w:rPr>
        <w:t xml:space="preserve"> qui souligne l’importance de la participation des femmes sur un plan d’égalité à la construction de la paix, à la négociation et à la prévention des conflits.</w:t>
      </w:r>
    </w:p>
    <w:p w14:paraId="59E46510" w14:textId="77777777" w:rsidR="00293B12" w:rsidRPr="0026653F" w:rsidRDefault="00293B12" w:rsidP="00C618DD">
      <w:pPr>
        <w:suppressAutoHyphens/>
        <w:jc w:val="left"/>
        <w:rPr>
          <w:color w:val="000000"/>
          <w:szCs w:val="22"/>
          <w:u w:val="single"/>
          <w:lang w:val="fr-FR"/>
        </w:rPr>
      </w:pPr>
    </w:p>
    <w:p w14:paraId="2A060CC0" w14:textId="77777777" w:rsidR="00293B12" w:rsidRPr="0026653F" w:rsidRDefault="00293B12" w:rsidP="00C618DD">
      <w:pPr>
        <w:numPr>
          <w:ilvl w:val="0"/>
          <w:numId w:val="1"/>
        </w:numPr>
        <w:suppressAutoHyphens/>
        <w:ind w:left="1418" w:hanging="709"/>
        <w:rPr>
          <w:color w:val="000000"/>
          <w:szCs w:val="22"/>
          <w:u w:val="single"/>
          <w:lang w:val="fr-FR"/>
        </w:rPr>
      </w:pPr>
      <w:r w:rsidRPr="0026653F">
        <w:rPr>
          <w:color w:val="000000"/>
          <w:szCs w:val="22"/>
          <w:u w:val="single"/>
          <w:lang w:val="fr-FR"/>
        </w:rPr>
        <w:t>Effets de la pandémie de COVID-19 sur la sécurité continentale</w:t>
      </w:r>
    </w:p>
    <w:p w14:paraId="4523F7D8" w14:textId="77777777" w:rsidR="00293B12" w:rsidRPr="0026653F" w:rsidRDefault="00293B12" w:rsidP="00C618DD">
      <w:pPr>
        <w:suppressAutoHyphens/>
        <w:rPr>
          <w:color w:val="000000"/>
          <w:szCs w:val="22"/>
          <w:lang w:val="fr-FR"/>
        </w:rPr>
      </w:pPr>
    </w:p>
    <w:p w14:paraId="0FE7E7FF" w14:textId="5CFAACEA" w:rsidR="00293B12" w:rsidRPr="0026653F" w:rsidRDefault="00293B12" w:rsidP="00C618DD">
      <w:pPr>
        <w:numPr>
          <w:ilvl w:val="0"/>
          <w:numId w:val="26"/>
        </w:numPr>
        <w:suppressAutoHyphens/>
        <w:ind w:left="0" w:firstLine="720"/>
        <w:rPr>
          <w:rFonts w:eastAsia="MS Mincho"/>
          <w:color w:val="000000"/>
          <w:szCs w:val="22"/>
          <w:lang w:val="fr-FR"/>
        </w:rPr>
      </w:pPr>
      <w:r w:rsidRPr="0026653F">
        <w:rPr>
          <w:color w:val="000000"/>
          <w:szCs w:val="22"/>
          <w:lang w:val="fr-FR"/>
        </w:rPr>
        <w:t xml:space="preserve">De demander au SSM d’élaborer des programmes spécifiques d’assistance technique </w:t>
      </w:r>
      <w:r w:rsidR="008771EC" w:rsidRPr="0026653F">
        <w:rPr>
          <w:color w:val="000000"/>
          <w:szCs w:val="22"/>
          <w:lang w:val="fr-FR"/>
        </w:rPr>
        <w:t>pour les</w:t>
      </w:r>
      <w:r w:rsidRPr="0026653F">
        <w:rPr>
          <w:color w:val="000000"/>
          <w:szCs w:val="22"/>
          <w:lang w:val="fr-FR"/>
        </w:rPr>
        <w:t xml:space="preserve"> États membres, en tenant compte de la disponibilité des ressources financières, dans le but d’améliorer ou de renforcer les capacités institutionnelles dans les </w:t>
      </w:r>
      <w:r w:rsidR="008771EC" w:rsidRPr="0026653F">
        <w:rPr>
          <w:color w:val="000000"/>
          <w:szCs w:val="22"/>
          <w:lang w:val="fr-FR"/>
        </w:rPr>
        <w:t xml:space="preserve">aspects </w:t>
      </w:r>
      <w:r w:rsidRPr="0026653F">
        <w:rPr>
          <w:color w:val="000000"/>
          <w:szCs w:val="22"/>
          <w:lang w:val="fr-FR"/>
        </w:rPr>
        <w:t>de la sécurité continentale</w:t>
      </w:r>
      <w:r w:rsidR="00B50FF9" w:rsidRPr="0026653F">
        <w:rPr>
          <w:color w:val="000000"/>
          <w:szCs w:val="22"/>
          <w:lang w:val="fr-FR"/>
        </w:rPr>
        <w:t xml:space="preserve"> qui sont </w:t>
      </w:r>
      <w:r w:rsidRPr="0026653F">
        <w:rPr>
          <w:color w:val="000000"/>
          <w:szCs w:val="22"/>
          <w:lang w:val="fr-FR"/>
        </w:rPr>
        <w:t>exacerbé</w:t>
      </w:r>
      <w:r w:rsidR="00B50FF9" w:rsidRPr="0026653F">
        <w:rPr>
          <w:color w:val="000000"/>
          <w:szCs w:val="22"/>
          <w:lang w:val="fr-FR"/>
        </w:rPr>
        <w:t>s</w:t>
      </w:r>
      <w:r w:rsidRPr="0026653F">
        <w:rPr>
          <w:color w:val="000000"/>
          <w:szCs w:val="22"/>
          <w:lang w:val="fr-FR"/>
        </w:rPr>
        <w:t xml:space="preserve"> par la pandémie </w:t>
      </w:r>
      <w:r w:rsidR="00765734" w:rsidRPr="0026653F">
        <w:rPr>
          <w:color w:val="000000"/>
          <w:szCs w:val="22"/>
          <w:lang w:val="fr-FR"/>
        </w:rPr>
        <w:t>actuelle</w:t>
      </w:r>
      <w:r w:rsidRPr="0026653F">
        <w:rPr>
          <w:color w:val="000000"/>
          <w:szCs w:val="22"/>
          <w:lang w:val="fr-FR"/>
        </w:rPr>
        <w:t xml:space="preserve"> de COVID-19 comme </w:t>
      </w:r>
      <w:r w:rsidRPr="0026653F">
        <w:rPr>
          <w:iCs/>
          <w:color w:val="000000"/>
          <w:szCs w:val="22"/>
          <w:lang w:val="fr-FR"/>
        </w:rPr>
        <w:t>:</w:t>
      </w:r>
    </w:p>
    <w:p w14:paraId="4EBBE2E6" w14:textId="77777777" w:rsidR="00293B12" w:rsidRPr="0026653F" w:rsidRDefault="00293B12" w:rsidP="00C618DD">
      <w:pPr>
        <w:suppressAutoHyphens/>
        <w:rPr>
          <w:rFonts w:eastAsia="MS Mincho"/>
          <w:color w:val="000000"/>
          <w:szCs w:val="22"/>
          <w:lang w:val="fr-FR" w:eastAsia="es-ES_tradnl"/>
        </w:rPr>
      </w:pPr>
    </w:p>
    <w:p w14:paraId="18FC736A" w14:textId="77777777"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La sécurité publique</w:t>
      </w:r>
    </w:p>
    <w:p w14:paraId="27E46587" w14:textId="339AA1CD"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 xml:space="preserve">Les menaces à la cybersécurité et la sécurité des infrastructures </w:t>
      </w:r>
      <w:r w:rsidR="00765734" w:rsidRPr="0026653F">
        <w:rPr>
          <w:bCs/>
          <w:color w:val="000000"/>
          <w:szCs w:val="22"/>
          <w:lang w:val="fr-FR"/>
        </w:rPr>
        <w:t>essentielles</w:t>
      </w:r>
    </w:p>
    <w:p w14:paraId="0017B27B" w14:textId="77777777"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La falsification et la contrebande de médicaments et de facteurs de production médicaux</w:t>
      </w:r>
    </w:p>
    <w:p w14:paraId="2826C245" w14:textId="77777777"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La traite des personnes et le trafic illicite des migrants</w:t>
      </w:r>
    </w:p>
    <w:p w14:paraId="71F7A3A3" w14:textId="3EB5D809"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lastRenderedPageBreak/>
        <w:t xml:space="preserve">La </w:t>
      </w:r>
      <w:r w:rsidR="00DC3049" w:rsidRPr="0026653F">
        <w:rPr>
          <w:bCs/>
          <w:color w:val="000000"/>
          <w:szCs w:val="22"/>
          <w:lang w:val="fr-FR"/>
        </w:rPr>
        <w:t>c</w:t>
      </w:r>
      <w:r w:rsidRPr="0026653F">
        <w:rPr>
          <w:bCs/>
          <w:color w:val="000000"/>
          <w:szCs w:val="22"/>
          <w:lang w:val="fr-FR"/>
        </w:rPr>
        <w:t xml:space="preserve">riminalité transnationale organisée et </w:t>
      </w:r>
      <w:r w:rsidR="00DC3049" w:rsidRPr="0026653F">
        <w:rPr>
          <w:bCs/>
          <w:color w:val="000000"/>
          <w:szCs w:val="22"/>
          <w:lang w:val="fr-FR"/>
        </w:rPr>
        <w:t>l</w:t>
      </w:r>
      <w:r w:rsidRPr="0026653F">
        <w:rPr>
          <w:bCs/>
          <w:color w:val="000000"/>
          <w:szCs w:val="22"/>
          <w:lang w:val="fr-FR"/>
        </w:rPr>
        <w:t xml:space="preserve">es activités </w:t>
      </w:r>
      <w:r w:rsidR="00765734" w:rsidRPr="0026653F">
        <w:rPr>
          <w:bCs/>
          <w:color w:val="000000"/>
          <w:szCs w:val="22"/>
          <w:lang w:val="fr-FR"/>
        </w:rPr>
        <w:t xml:space="preserve">illicites </w:t>
      </w:r>
      <w:r w:rsidR="00DC3049" w:rsidRPr="0026653F">
        <w:rPr>
          <w:bCs/>
          <w:color w:val="000000"/>
          <w:szCs w:val="22"/>
          <w:lang w:val="fr-FR"/>
        </w:rPr>
        <w:t>s’y rapportant</w:t>
      </w:r>
    </w:p>
    <w:p w14:paraId="444D9222" w14:textId="77777777"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L’abus de drogues</w:t>
      </w:r>
    </w:p>
    <w:p w14:paraId="6EEC0E2C" w14:textId="77777777" w:rsidR="00293B12" w:rsidRPr="0026653F" w:rsidRDefault="00293B12" w:rsidP="00C618DD">
      <w:pPr>
        <w:numPr>
          <w:ilvl w:val="0"/>
          <w:numId w:val="28"/>
        </w:numPr>
        <w:suppressAutoHyphens/>
        <w:ind w:left="2160" w:hanging="720"/>
        <w:rPr>
          <w:rFonts w:eastAsia="MS Mincho"/>
          <w:bCs/>
          <w:color w:val="000000"/>
          <w:szCs w:val="22"/>
          <w:lang w:val="fr-FR"/>
        </w:rPr>
      </w:pPr>
      <w:r w:rsidRPr="0026653F">
        <w:rPr>
          <w:bCs/>
          <w:color w:val="000000"/>
          <w:szCs w:val="22"/>
          <w:lang w:val="fr-FR"/>
        </w:rPr>
        <w:t>La violence domestique</w:t>
      </w:r>
    </w:p>
    <w:p w14:paraId="70E8966F" w14:textId="77777777" w:rsidR="00293B12" w:rsidRPr="0026653F" w:rsidRDefault="00293B12" w:rsidP="00C618DD">
      <w:pPr>
        <w:suppressAutoHyphens/>
        <w:rPr>
          <w:color w:val="000000"/>
          <w:szCs w:val="22"/>
          <w:lang w:val="fr-FR"/>
        </w:rPr>
      </w:pPr>
    </w:p>
    <w:p w14:paraId="25E00242" w14:textId="79314483" w:rsidR="00293B12" w:rsidRPr="0026653F" w:rsidRDefault="00293B12" w:rsidP="00946B99">
      <w:pPr>
        <w:numPr>
          <w:ilvl w:val="0"/>
          <w:numId w:val="26"/>
        </w:numPr>
        <w:suppressAutoHyphens/>
        <w:ind w:left="0" w:firstLine="720"/>
        <w:rPr>
          <w:rFonts w:eastAsia="MS Mincho"/>
          <w:b/>
          <w:bCs/>
          <w:color w:val="000000"/>
          <w:szCs w:val="22"/>
          <w:lang w:val="fr-FR"/>
        </w:rPr>
      </w:pPr>
      <w:r w:rsidRPr="0026653F">
        <w:rPr>
          <w:color w:val="000000"/>
          <w:szCs w:val="22"/>
          <w:lang w:val="fr-FR"/>
        </w:rPr>
        <w:t>De demander au SSM de faire rapport à la CSH sur les progrès réalisés au titre du suivi mentionné au paragraphe précédent et d’identifier, sur la base des renseignements fournis par les États membres, d’autres aspects de la sécurité continentale touchés par la pandémie de COVID-19 pour lesquels il pourrait apporter une assistance technique.</w:t>
      </w:r>
    </w:p>
    <w:p w14:paraId="1DC3610A" w14:textId="77777777" w:rsidR="00293B12" w:rsidRPr="0026653F" w:rsidRDefault="00293B12" w:rsidP="00C618DD">
      <w:pPr>
        <w:suppressAutoHyphens/>
        <w:rPr>
          <w:rFonts w:eastAsia="MS Mincho"/>
          <w:color w:val="000000"/>
          <w:szCs w:val="22"/>
          <w:lang w:val="fr-FR" w:eastAsia="es-ES_tradnl"/>
        </w:rPr>
      </w:pPr>
    </w:p>
    <w:p w14:paraId="6B6E85E9" w14:textId="5B00239E" w:rsidR="00293B12" w:rsidRPr="0026653F" w:rsidRDefault="00293B12" w:rsidP="00946B99">
      <w:pPr>
        <w:numPr>
          <w:ilvl w:val="0"/>
          <w:numId w:val="26"/>
        </w:numPr>
        <w:suppressAutoHyphens/>
        <w:ind w:left="0" w:firstLine="720"/>
        <w:rPr>
          <w:rFonts w:eastAsia="MS Mincho"/>
          <w:color w:val="000000"/>
          <w:szCs w:val="22"/>
          <w:lang w:val="fr-FR"/>
        </w:rPr>
      </w:pPr>
      <w:r w:rsidRPr="0026653F">
        <w:rPr>
          <w:color w:val="000000"/>
          <w:szCs w:val="22"/>
          <w:lang w:val="fr-FR"/>
        </w:rPr>
        <w:t>D’inviter instamment les États membres à tenir des échanges sur les bonnes pratiques et les défis qui se posent pour faire face à une pandémie selon la perspective de la sécurité, dans le but que la CSH, avec le concours du SSM, élabore un document qui serve de guide aux États membres.</w:t>
      </w:r>
    </w:p>
    <w:p w14:paraId="0A142E37" w14:textId="77777777" w:rsidR="00293B12" w:rsidRPr="0026653F" w:rsidRDefault="00293B12" w:rsidP="00C618DD">
      <w:pPr>
        <w:suppressAutoHyphens/>
        <w:jc w:val="left"/>
        <w:rPr>
          <w:iCs/>
          <w:color w:val="000000"/>
          <w:szCs w:val="22"/>
          <w:lang w:val="fr-FR"/>
        </w:rPr>
      </w:pPr>
    </w:p>
    <w:p w14:paraId="433D9D1E" w14:textId="2F634C2D" w:rsidR="00293B12" w:rsidRPr="0026653F" w:rsidRDefault="00293B12" w:rsidP="00946B99">
      <w:pPr>
        <w:numPr>
          <w:ilvl w:val="0"/>
          <w:numId w:val="26"/>
        </w:numPr>
        <w:suppressAutoHyphens/>
        <w:ind w:left="0" w:firstLine="720"/>
        <w:rPr>
          <w:color w:val="000000"/>
          <w:szCs w:val="22"/>
          <w:lang w:val="fr-FR"/>
        </w:rPr>
      </w:pPr>
      <w:r w:rsidRPr="0026653F">
        <w:rPr>
          <w:color w:val="000000"/>
          <w:szCs w:val="22"/>
          <w:lang w:val="fr-FR"/>
        </w:rPr>
        <w:t xml:space="preserve">D’encourager les États </w:t>
      </w:r>
      <w:r w:rsidR="00690EDB" w:rsidRPr="0026653F">
        <w:rPr>
          <w:color w:val="000000"/>
          <w:szCs w:val="22"/>
          <w:lang w:val="fr-FR"/>
        </w:rPr>
        <w:t xml:space="preserve">membres </w:t>
      </w:r>
      <w:r w:rsidRPr="0026653F">
        <w:rPr>
          <w:color w:val="000000"/>
          <w:szCs w:val="22"/>
          <w:lang w:val="fr-FR"/>
        </w:rPr>
        <w:t>à élaborer et mettre en œuvre, de concert avec les organismes spécialisés de l’</w:t>
      </w:r>
      <w:r w:rsidR="00690EDB" w:rsidRPr="0026653F">
        <w:rPr>
          <w:color w:val="000000"/>
          <w:szCs w:val="22"/>
          <w:lang w:val="fr-FR"/>
        </w:rPr>
        <w:t>Organisation des États Américains (OE</w:t>
      </w:r>
      <w:r w:rsidRPr="0026653F">
        <w:rPr>
          <w:color w:val="000000"/>
          <w:szCs w:val="22"/>
          <w:lang w:val="fr-FR"/>
        </w:rPr>
        <w:t>A</w:t>
      </w:r>
      <w:r w:rsidR="00690EDB" w:rsidRPr="0026653F">
        <w:rPr>
          <w:color w:val="000000"/>
          <w:szCs w:val="22"/>
          <w:lang w:val="fr-FR"/>
        </w:rPr>
        <w:t>)</w:t>
      </w:r>
      <w:r w:rsidRPr="0026653F">
        <w:rPr>
          <w:color w:val="000000"/>
          <w:szCs w:val="22"/>
          <w:lang w:val="fr-FR"/>
        </w:rPr>
        <w:t xml:space="preserve">, des mesures soucieuses de la perspective des droits fondamentaux et des droits des enfants, de sorte que, dans le contexte de la situation que connaissent les États </w:t>
      </w:r>
      <w:r w:rsidR="00690EDB" w:rsidRPr="0026653F">
        <w:rPr>
          <w:color w:val="000000"/>
          <w:szCs w:val="22"/>
          <w:lang w:val="fr-FR"/>
        </w:rPr>
        <w:t xml:space="preserve">membres </w:t>
      </w:r>
      <w:r w:rsidRPr="0026653F">
        <w:rPr>
          <w:color w:val="000000"/>
          <w:szCs w:val="22"/>
          <w:lang w:val="fr-FR"/>
        </w:rPr>
        <w:t xml:space="preserve">du fait de l’affaiblissement de leurs économies face à la pandémie de COVID-19, ils prennent des actions concrètes pour protéger convenablement les enfants et les adolescents ainsi que d’autres </w:t>
      </w:r>
      <w:r w:rsidR="008771EC" w:rsidRPr="0026653F">
        <w:rPr>
          <w:color w:val="000000"/>
          <w:szCs w:val="22"/>
          <w:lang w:val="fr-FR"/>
        </w:rPr>
        <w:t>secteurs</w:t>
      </w:r>
      <w:r w:rsidRPr="0026653F">
        <w:rPr>
          <w:color w:val="000000"/>
          <w:szCs w:val="22"/>
          <w:lang w:val="fr-FR"/>
        </w:rPr>
        <w:t xml:space="preserve"> vulnérables de la population face à la menace</w:t>
      </w:r>
      <w:r w:rsidR="008771EC" w:rsidRPr="0026653F">
        <w:rPr>
          <w:color w:val="000000"/>
          <w:szCs w:val="22"/>
          <w:lang w:val="fr-FR"/>
        </w:rPr>
        <w:t xml:space="preserve"> que posent</w:t>
      </w:r>
      <w:r w:rsidRPr="0026653F">
        <w:rPr>
          <w:color w:val="000000"/>
          <w:szCs w:val="22"/>
          <w:lang w:val="fr-FR"/>
        </w:rPr>
        <w:t xml:space="preserve"> l’augmentation du travail des enfants, la traite des personnes sous toutes ses formes, l</w:t>
      </w:r>
      <w:r w:rsidR="008771EC" w:rsidRPr="0026653F">
        <w:rPr>
          <w:color w:val="000000"/>
          <w:szCs w:val="22"/>
          <w:lang w:val="fr-FR"/>
        </w:rPr>
        <w:t xml:space="preserve">es </w:t>
      </w:r>
      <w:r w:rsidRPr="0026653F">
        <w:rPr>
          <w:color w:val="000000"/>
          <w:szCs w:val="22"/>
          <w:lang w:val="fr-FR"/>
        </w:rPr>
        <w:t xml:space="preserve">abus </w:t>
      </w:r>
      <w:r w:rsidR="008771EC" w:rsidRPr="0026653F">
        <w:rPr>
          <w:color w:val="000000"/>
          <w:szCs w:val="22"/>
          <w:lang w:val="fr-FR"/>
        </w:rPr>
        <w:t xml:space="preserve">et </w:t>
      </w:r>
      <w:r w:rsidRPr="0026653F">
        <w:rPr>
          <w:color w:val="000000"/>
          <w:szCs w:val="22"/>
          <w:lang w:val="fr-FR"/>
        </w:rPr>
        <w:t xml:space="preserve">l’exploitation sexuelle, </w:t>
      </w:r>
      <w:r w:rsidR="008771EC" w:rsidRPr="0026653F">
        <w:rPr>
          <w:color w:val="000000"/>
          <w:szCs w:val="22"/>
          <w:lang w:val="fr-FR"/>
        </w:rPr>
        <w:t>l</w:t>
      </w:r>
      <w:r w:rsidR="00765734" w:rsidRPr="0026653F">
        <w:rPr>
          <w:color w:val="000000"/>
          <w:szCs w:val="22"/>
          <w:lang w:val="fr-FR"/>
        </w:rPr>
        <w:t xml:space="preserve">es </w:t>
      </w:r>
      <w:r w:rsidRPr="0026653F">
        <w:rPr>
          <w:color w:val="000000"/>
          <w:szCs w:val="22"/>
          <w:lang w:val="fr-FR"/>
        </w:rPr>
        <w:t xml:space="preserve">menaces de mort envers les enfants et les adolescents et </w:t>
      </w:r>
      <w:r w:rsidR="008771EC" w:rsidRPr="0026653F">
        <w:rPr>
          <w:color w:val="000000"/>
          <w:szCs w:val="22"/>
          <w:lang w:val="fr-FR"/>
        </w:rPr>
        <w:t>le</w:t>
      </w:r>
      <w:r w:rsidRPr="0026653F">
        <w:rPr>
          <w:color w:val="000000"/>
          <w:szCs w:val="22"/>
          <w:lang w:val="fr-FR"/>
        </w:rPr>
        <w:t xml:space="preserve"> recrutement dans des groupes criminels et des groupes armés.</w:t>
      </w:r>
    </w:p>
    <w:p w14:paraId="2DC15706" w14:textId="77777777" w:rsidR="00293B12" w:rsidRPr="0026653F" w:rsidRDefault="00293B12" w:rsidP="00C618DD">
      <w:pPr>
        <w:suppressAutoHyphens/>
        <w:rPr>
          <w:color w:val="000000"/>
          <w:szCs w:val="22"/>
          <w:lang w:val="fr-FR"/>
        </w:rPr>
      </w:pPr>
    </w:p>
    <w:p w14:paraId="6D3453D3" w14:textId="77777777" w:rsidR="00293B12" w:rsidRPr="0026653F" w:rsidRDefault="00293B12" w:rsidP="00C618DD">
      <w:pPr>
        <w:numPr>
          <w:ilvl w:val="0"/>
          <w:numId w:val="24"/>
        </w:numPr>
        <w:suppressAutoHyphens/>
        <w:ind w:left="720"/>
        <w:rPr>
          <w:color w:val="000000"/>
          <w:szCs w:val="22"/>
          <w:lang w:val="fr-FR"/>
        </w:rPr>
      </w:pPr>
      <w:r w:rsidRPr="0026653F">
        <w:rPr>
          <w:color w:val="000000"/>
          <w:szCs w:val="22"/>
          <w:u w:val="single"/>
          <w:lang w:val="fr-FR"/>
        </w:rPr>
        <w:t>Engagements en faveur de la paix, du désarmement et de la non-prolifération</w:t>
      </w:r>
    </w:p>
    <w:p w14:paraId="0B80ACE8" w14:textId="77777777" w:rsidR="00293B12" w:rsidRPr="0026653F" w:rsidRDefault="00293B12" w:rsidP="00C618DD">
      <w:pPr>
        <w:suppressAutoHyphens/>
        <w:contextualSpacing/>
        <w:jc w:val="left"/>
        <w:rPr>
          <w:color w:val="000000"/>
          <w:szCs w:val="22"/>
          <w:lang w:val="fr-FR"/>
        </w:rPr>
      </w:pPr>
    </w:p>
    <w:p w14:paraId="6275FF72" w14:textId="77777777" w:rsidR="00293B12" w:rsidRPr="0026653F" w:rsidRDefault="00293B12" w:rsidP="00C618DD">
      <w:pPr>
        <w:numPr>
          <w:ilvl w:val="0"/>
          <w:numId w:val="2"/>
        </w:numPr>
        <w:suppressAutoHyphens/>
        <w:ind w:firstLine="0"/>
        <w:rPr>
          <w:rFonts w:eastAsia="SimSun"/>
          <w:color w:val="000000"/>
          <w:szCs w:val="22"/>
          <w:u w:val="single"/>
          <w:lang w:val="fr-FR"/>
        </w:rPr>
      </w:pPr>
      <w:r w:rsidRPr="0026653F">
        <w:rPr>
          <w:color w:val="000000"/>
          <w:szCs w:val="22"/>
          <w:u w:val="single"/>
          <w:lang w:val="fr-FR"/>
        </w:rPr>
        <w:t>Les Amériques en tant que zone de paix</w:t>
      </w:r>
    </w:p>
    <w:p w14:paraId="63D596F9" w14:textId="77777777" w:rsidR="00293B12" w:rsidRPr="0026653F" w:rsidRDefault="00293B12" w:rsidP="00C618DD">
      <w:pPr>
        <w:suppressAutoHyphens/>
        <w:outlineLvl w:val="2"/>
        <w:rPr>
          <w:rFonts w:eastAsia="Batang"/>
          <w:bCs/>
          <w:color w:val="000000"/>
          <w:szCs w:val="22"/>
          <w:u w:val="single"/>
          <w:lang w:val="fr-FR"/>
        </w:rPr>
      </w:pPr>
    </w:p>
    <w:p w14:paraId="140DB124" w14:textId="615BA812" w:rsidR="00293B12" w:rsidRPr="0026653F" w:rsidRDefault="00293B12" w:rsidP="00C618DD">
      <w:pPr>
        <w:numPr>
          <w:ilvl w:val="0"/>
          <w:numId w:val="29"/>
        </w:numPr>
        <w:suppressAutoHyphens/>
        <w:autoSpaceDE w:val="0"/>
        <w:autoSpaceDN w:val="0"/>
        <w:adjustRightInd w:val="0"/>
        <w:ind w:left="0"/>
        <w:rPr>
          <w:szCs w:val="22"/>
          <w:lang w:val="fr-FR"/>
        </w:rPr>
      </w:pPr>
      <w:r w:rsidRPr="0026653F">
        <w:rPr>
          <w:szCs w:val="22"/>
          <w:lang w:val="fr-FR"/>
        </w:rPr>
        <w:t>De réaffirmer l’engagement des États membres de poursuivre le travail consistant à consolider les Amériques en tant que zone de paix, d’où l’importance de renforcer les processus démocratiques, dans le plein respect de la souveraineté et de l’indépendance de chaque État et du droit international, de la justice, des droits de la personne, de la solidarité et de la sécurité, conformément à la législation interne de chaque pays.</w:t>
      </w:r>
    </w:p>
    <w:p w14:paraId="6C516E05" w14:textId="77777777" w:rsidR="00293B12" w:rsidRPr="0026653F" w:rsidRDefault="00293B12" w:rsidP="00C618DD">
      <w:pPr>
        <w:suppressAutoHyphens/>
        <w:autoSpaceDE w:val="0"/>
        <w:autoSpaceDN w:val="0"/>
        <w:adjustRightInd w:val="0"/>
        <w:rPr>
          <w:szCs w:val="22"/>
          <w:lang w:val="fr-FR"/>
        </w:rPr>
      </w:pPr>
    </w:p>
    <w:p w14:paraId="0AF69BA6" w14:textId="34A48699" w:rsidR="00293B12" w:rsidRPr="0026653F" w:rsidRDefault="00293B12" w:rsidP="00C618DD">
      <w:pPr>
        <w:numPr>
          <w:ilvl w:val="0"/>
          <w:numId w:val="29"/>
        </w:numPr>
        <w:suppressAutoHyphens/>
        <w:autoSpaceDE w:val="0"/>
        <w:autoSpaceDN w:val="0"/>
        <w:adjustRightInd w:val="0"/>
        <w:ind w:left="0"/>
        <w:rPr>
          <w:szCs w:val="22"/>
          <w:lang w:val="fr-FR"/>
        </w:rPr>
      </w:pPr>
      <w:r w:rsidRPr="0026653F">
        <w:rPr>
          <w:szCs w:val="22"/>
          <w:lang w:val="fr-FR"/>
        </w:rPr>
        <w:t>De réitérer l’intérêt de même que l’importance de réaliser une réunion avec la Commission de consolidation de la paix des Nations Unies à une date qui sera fixée par les deux commissions afin de faciliter un échange de bonnes pratiques en matière de consolidation et d</w:t>
      </w:r>
      <w:r w:rsidR="00765734" w:rsidRPr="0026653F">
        <w:rPr>
          <w:szCs w:val="22"/>
          <w:lang w:val="fr-FR"/>
        </w:rPr>
        <w:t>e</w:t>
      </w:r>
      <w:r w:rsidRPr="0026653F">
        <w:rPr>
          <w:szCs w:val="22"/>
          <w:lang w:val="fr-FR"/>
        </w:rPr>
        <w:t xml:space="preserve"> maintien de la paix dans la région.</w:t>
      </w:r>
    </w:p>
    <w:p w14:paraId="31BDDD16" w14:textId="77777777" w:rsidR="00293B12" w:rsidRPr="0026653F" w:rsidRDefault="00293B12" w:rsidP="00C618DD">
      <w:pPr>
        <w:suppressAutoHyphens/>
        <w:outlineLvl w:val="2"/>
        <w:rPr>
          <w:rFonts w:eastAsia="Batang"/>
          <w:bCs/>
          <w:color w:val="000000"/>
          <w:szCs w:val="22"/>
          <w:u w:val="single"/>
          <w:lang w:val="fr-FR"/>
        </w:rPr>
      </w:pPr>
    </w:p>
    <w:p w14:paraId="5BD76E28" w14:textId="77777777" w:rsidR="00293B12" w:rsidRPr="0026653F" w:rsidRDefault="00293B12" w:rsidP="00C618DD">
      <w:pPr>
        <w:numPr>
          <w:ilvl w:val="0"/>
          <w:numId w:val="2"/>
        </w:numPr>
        <w:suppressAutoHyphens/>
        <w:ind w:firstLine="0"/>
        <w:rPr>
          <w:rFonts w:eastAsia="SimSun"/>
          <w:color w:val="000000"/>
          <w:szCs w:val="22"/>
          <w:u w:val="single"/>
          <w:lang w:val="fr-FR"/>
        </w:rPr>
      </w:pPr>
      <w:r w:rsidRPr="0026653F">
        <w:rPr>
          <w:color w:val="000000"/>
          <w:szCs w:val="22"/>
          <w:u w:val="single"/>
          <w:lang w:val="fr-FR"/>
        </w:rPr>
        <w:t>Désarmement et non-prolifération dans le continent américain</w:t>
      </w:r>
    </w:p>
    <w:p w14:paraId="72A9D436" w14:textId="77777777" w:rsidR="00293B12" w:rsidRPr="0026653F" w:rsidRDefault="00293B12" w:rsidP="00C618DD">
      <w:pPr>
        <w:suppressAutoHyphens/>
        <w:rPr>
          <w:color w:val="000000"/>
          <w:szCs w:val="22"/>
          <w:u w:val="single"/>
          <w:lang w:val="fr-FR"/>
        </w:rPr>
      </w:pPr>
    </w:p>
    <w:p w14:paraId="783F1A18" w14:textId="0F6E23C8" w:rsidR="00293B12" w:rsidRPr="0026653F" w:rsidRDefault="00293B12" w:rsidP="00C618DD">
      <w:pPr>
        <w:numPr>
          <w:ilvl w:val="0"/>
          <w:numId w:val="30"/>
        </w:numPr>
        <w:suppressAutoHyphens/>
        <w:autoSpaceDE w:val="0"/>
        <w:autoSpaceDN w:val="0"/>
        <w:adjustRightInd w:val="0"/>
        <w:ind w:left="0" w:firstLine="709"/>
        <w:rPr>
          <w:bCs/>
          <w:szCs w:val="22"/>
          <w:lang w:val="fr-FR"/>
        </w:rPr>
      </w:pPr>
      <w:r w:rsidRPr="0026653F">
        <w:rPr>
          <w:bCs/>
          <w:szCs w:val="22"/>
          <w:lang w:val="fr-FR"/>
        </w:rPr>
        <w:t>De célébrer le cinquantième anniversaire de l’entrée en vigueur du Traité sur la non-prolifération des armes nucléaires (TNP) et de réaffirmer l’engagement souscrit en faveur de la mise en œuvre des obligations énoncées dans ce traité, en soulignant son rôle de pierre angulaire du régime de non-prolifération et de désarmement nucléaire et en garantissant les avantages des utilisations exclusivement pacifiques de l’énergie nucléaire.</w:t>
      </w:r>
    </w:p>
    <w:p w14:paraId="27D8FBF0" w14:textId="77777777" w:rsidR="00293B12" w:rsidRPr="0026653F" w:rsidRDefault="00293B12" w:rsidP="00C618DD">
      <w:pPr>
        <w:suppressAutoHyphens/>
        <w:autoSpaceDE w:val="0"/>
        <w:autoSpaceDN w:val="0"/>
        <w:adjustRightInd w:val="0"/>
        <w:rPr>
          <w:bCs/>
          <w:szCs w:val="22"/>
          <w:lang w:val="fr-FR"/>
        </w:rPr>
      </w:pPr>
    </w:p>
    <w:p w14:paraId="4A45EB59" w14:textId="0F5F636F" w:rsidR="00293B12" w:rsidRPr="0026653F" w:rsidRDefault="00293B12" w:rsidP="00C618DD">
      <w:pPr>
        <w:numPr>
          <w:ilvl w:val="0"/>
          <w:numId w:val="30"/>
        </w:numPr>
        <w:suppressAutoHyphens/>
        <w:autoSpaceDE w:val="0"/>
        <w:autoSpaceDN w:val="0"/>
        <w:adjustRightInd w:val="0"/>
        <w:ind w:left="0"/>
        <w:rPr>
          <w:bCs/>
          <w:szCs w:val="22"/>
          <w:lang w:val="fr-FR"/>
        </w:rPr>
      </w:pPr>
      <w:r w:rsidRPr="0026653F">
        <w:rPr>
          <w:bCs/>
          <w:szCs w:val="22"/>
          <w:lang w:val="fr-FR"/>
        </w:rPr>
        <w:lastRenderedPageBreak/>
        <w:t>De réaffirmer son engagement en faveur de l’observance des instruments en vigueur qui traitent du désarmement et de la non-prolifération des armes de destruction massive et en faveur de la recherche de solutions multilatérales en la matière, dans le but de parvenir à un monde plus pacifique et plus sûr.</w:t>
      </w:r>
    </w:p>
    <w:p w14:paraId="776281E8" w14:textId="77777777" w:rsidR="00293B12" w:rsidRPr="00161AFF" w:rsidRDefault="00293B12" w:rsidP="00C618DD">
      <w:pPr>
        <w:suppressAutoHyphens/>
        <w:rPr>
          <w:color w:val="000000"/>
          <w:szCs w:val="22"/>
          <w:lang w:val="fr-FR"/>
        </w:rPr>
      </w:pPr>
    </w:p>
    <w:p w14:paraId="191E938D" w14:textId="59766081" w:rsidR="00293B12" w:rsidRPr="0026653F" w:rsidRDefault="00293B12" w:rsidP="00C618DD">
      <w:pPr>
        <w:numPr>
          <w:ilvl w:val="0"/>
          <w:numId w:val="30"/>
        </w:numPr>
        <w:suppressAutoHyphens/>
        <w:autoSpaceDE w:val="0"/>
        <w:autoSpaceDN w:val="0"/>
        <w:adjustRightInd w:val="0"/>
        <w:ind w:left="0"/>
        <w:rPr>
          <w:rFonts w:eastAsia="Batang"/>
          <w:bCs/>
          <w:color w:val="000000"/>
          <w:szCs w:val="22"/>
          <w:u w:val="single"/>
          <w:lang w:val="fr-FR"/>
        </w:rPr>
      </w:pPr>
      <w:r w:rsidRPr="0026653F">
        <w:rPr>
          <w:bCs/>
          <w:color w:val="000000"/>
          <w:szCs w:val="22"/>
          <w:lang w:val="fr-FR"/>
        </w:rPr>
        <w:t>D’appuyer et de promouvoir les efforts déployés par les États membres pour parvenir à la sécurité des installations et du matériel nucléaires ainsi que des sources radioactives – y compris le transport – dans les progrès réalisés pour faire face au trafic illicite de matériel nucléaire et d’autres matières radioactives, la criminalistique nucléaire, la culture de la sécurité nucléaire, la sécurité de l’information, la coopération internationale et les synergies relatives à l’interface entre la sécurité nucléaire et la prévention des accidents.</w:t>
      </w:r>
    </w:p>
    <w:p w14:paraId="450F3BD9" w14:textId="77777777" w:rsidR="00293B12" w:rsidRPr="0026653F" w:rsidRDefault="00293B12" w:rsidP="00C618DD">
      <w:pPr>
        <w:suppressAutoHyphens/>
        <w:jc w:val="left"/>
        <w:rPr>
          <w:rFonts w:eastAsia="Batang"/>
          <w:bCs/>
          <w:color w:val="000000"/>
          <w:szCs w:val="22"/>
          <w:u w:val="single"/>
          <w:lang w:val="fr-FR"/>
        </w:rPr>
      </w:pPr>
    </w:p>
    <w:p w14:paraId="7477D370" w14:textId="77777777" w:rsidR="00293B12" w:rsidRPr="0026653F" w:rsidRDefault="00293B12" w:rsidP="00C618DD">
      <w:pPr>
        <w:numPr>
          <w:ilvl w:val="0"/>
          <w:numId w:val="30"/>
        </w:numPr>
        <w:suppressAutoHyphens/>
        <w:autoSpaceDE w:val="0"/>
        <w:autoSpaceDN w:val="0"/>
        <w:adjustRightInd w:val="0"/>
        <w:ind w:left="0"/>
        <w:rPr>
          <w:bCs/>
          <w:szCs w:val="22"/>
          <w:lang w:val="fr-FR"/>
        </w:rPr>
      </w:pPr>
      <w:r w:rsidRPr="0026653F">
        <w:rPr>
          <w:bCs/>
          <w:szCs w:val="22"/>
          <w:lang w:val="fr-FR"/>
        </w:rPr>
        <w:t>De prendre note du fait que le Traité sur l’interdiction des armes nucléaires est ouvert à la signature et à la ratification depuis 2017.</w:t>
      </w:r>
      <w:r w:rsidRPr="0026653F">
        <w:rPr>
          <w:bCs/>
          <w:szCs w:val="22"/>
          <w:u w:val="single"/>
          <w:vertAlign w:val="superscript"/>
          <w:lang w:val="fr-FR"/>
        </w:rPr>
        <w:footnoteReference w:id="15"/>
      </w:r>
      <w:r w:rsidR="00765734" w:rsidRPr="0026653F">
        <w:rPr>
          <w:bCs/>
          <w:szCs w:val="22"/>
          <w:vertAlign w:val="superscript"/>
          <w:lang w:val="fr-FR"/>
        </w:rPr>
        <w:t>/</w:t>
      </w:r>
    </w:p>
    <w:p w14:paraId="33F76733" w14:textId="77777777" w:rsidR="00293B12" w:rsidRPr="0026653F" w:rsidRDefault="00293B12" w:rsidP="00C618DD">
      <w:pPr>
        <w:suppressAutoHyphens/>
        <w:jc w:val="left"/>
        <w:rPr>
          <w:bCs/>
          <w:szCs w:val="22"/>
          <w:lang w:val="fr-FR"/>
        </w:rPr>
      </w:pPr>
    </w:p>
    <w:p w14:paraId="353EDE94" w14:textId="2D612422" w:rsidR="00293B12" w:rsidRPr="0026653F" w:rsidRDefault="00293B12" w:rsidP="00C618DD">
      <w:pPr>
        <w:numPr>
          <w:ilvl w:val="0"/>
          <w:numId w:val="30"/>
        </w:numPr>
        <w:suppressAutoHyphens/>
        <w:autoSpaceDE w:val="0"/>
        <w:autoSpaceDN w:val="0"/>
        <w:adjustRightInd w:val="0"/>
        <w:ind w:left="0"/>
        <w:rPr>
          <w:bCs/>
          <w:szCs w:val="22"/>
          <w:lang w:val="fr-FR"/>
        </w:rPr>
      </w:pPr>
      <w:r w:rsidRPr="0026653F">
        <w:rPr>
          <w:bCs/>
          <w:szCs w:val="22"/>
          <w:lang w:val="fr-FR"/>
        </w:rPr>
        <w:t>De réaffirmer son engagement en faveur des règlements internationaux et des mécanismes multilatéraux contre l’emploi d’armes chimiques et d’armes biologiques, et de réitérer son ferme engagement en faveur de la Convention sur l’interdiction de la mise au point, de la fabrication et du stockage des armes bactériologiques (biologiques) ou à toxines et sur leur destruction, de la Convention sur l’interdiction de la mise au point, de la fabrication, du stockage et de l’emploi des armes chimiques et sur leur destruction et de l’Organisation pour l’interdiction des armes chimiques.</w:t>
      </w:r>
    </w:p>
    <w:p w14:paraId="47ED9F71" w14:textId="77777777" w:rsidR="00293B12" w:rsidRPr="0026653F" w:rsidRDefault="00293B12" w:rsidP="00C618DD">
      <w:pPr>
        <w:suppressAutoHyphens/>
        <w:autoSpaceDE w:val="0"/>
        <w:autoSpaceDN w:val="0"/>
        <w:adjustRightInd w:val="0"/>
        <w:rPr>
          <w:bCs/>
          <w:szCs w:val="22"/>
          <w:lang w:val="fr-FR"/>
        </w:rPr>
      </w:pPr>
    </w:p>
    <w:p w14:paraId="020A9D6D" w14:textId="02B3FC14" w:rsidR="00293B12" w:rsidRPr="0026653F" w:rsidRDefault="00293B12" w:rsidP="00C618DD">
      <w:pPr>
        <w:numPr>
          <w:ilvl w:val="0"/>
          <w:numId w:val="30"/>
        </w:numPr>
        <w:suppressAutoHyphens/>
        <w:autoSpaceDE w:val="0"/>
        <w:autoSpaceDN w:val="0"/>
        <w:adjustRightInd w:val="0"/>
        <w:ind w:left="0"/>
        <w:rPr>
          <w:bCs/>
          <w:szCs w:val="22"/>
          <w:lang w:val="fr-FR"/>
        </w:rPr>
      </w:pPr>
      <w:r w:rsidRPr="0026653F">
        <w:rPr>
          <w:bCs/>
          <w:color w:val="000000"/>
          <w:szCs w:val="22"/>
          <w:lang w:val="fr-FR"/>
        </w:rPr>
        <w:t xml:space="preserve">De reconnaître que l’application pacifique de l’énergie nucléaire exige que l’exploitation sûre et sécurisée des réacteurs et des installations nucléaires ainsi que la sécurité des matières nucléaires et des sources radioactives soient assurées par chaque État exploitant et </w:t>
      </w:r>
      <w:r w:rsidR="00987983" w:rsidRPr="0026653F">
        <w:rPr>
          <w:bCs/>
          <w:color w:val="000000"/>
          <w:szCs w:val="22"/>
          <w:lang w:val="fr-FR"/>
        </w:rPr>
        <w:t xml:space="preserve">relèvent de </w:t>
      </w:r>
      <w:r w:rsidRPr="0026653F">
        <w:rPr>
          <w:bCs/>
          <w:color w:val="000000"/>
          <w:szCs w:val="22"/>
          <w:lang w:val="fr-FR"/>
        </w:rPr>
        <w:t>sa responsabilité.</w:t>
      </w:r>
    </w:p>
    <w:p w14:paraId="6C461D3C" w14:textId="77777777" w:rsidR="00293B12" w:rsidRPr="0026653F" w:rsidRDefault="00293B12" w:rsidP="00C618DD">
      <w:pPr>
        <w:suppressAutoHyphens/>
        <w:outlineLvl w:val="2"/>
        <w:rPr>
          <w:color w:val="000000"/>
          <w:szCs w:val="22"/>
          <w:u w:val="single"/>
          <w:lang w:val="fr-FR"/>
        </w:rPr>
      </w:pPr>
    </w:p>
    <w:p w14:paraId="58DC814E" w14:textId="77777777" w:rsidR="00293B12" w:rsidRPr="0026653F" w:rsidRDefault="00E82D5A" w:rsidP="00C618DD">
      <w:pPr>
        <w:ind w:firstLine="709"/>
        <w:rPr>
          <w:szCs w:val="22"/>
          <w:lang w:val="fr-FR"/>
        </w:rPr>
      </w:pPr>
      <w:r w:rsidRPr="0026653F">
        <w:rPr>
          <w:color w:val="000000"/>
          <w:szCs w:val="22"/>
          <w:lang w:val="fr-FR"/>
        </w:rPr>
        <w:t>C.</w:t>
      </w:r>
      <w:r w:rsidRPr="0026653F">
        <w:rPr>
          <w:color w:val="000000"/>
          <w:szCs w:val="22"/>
          <w:lang w:val="fr-FR"/>
        </w:rPr>
        <w:tab/>
      </w:r>
      <w:r w:rsidR="00293B12" w:rsidRPr="0026653F">
        <w:rPr>
          <w:color w:val="000000"/>
          <w:szCs w:val="22"/>
          <w:u w:val="single"/>
          <w:lang w:val="fr-FR"/>
        </w:rPr>
        <w:t>Les Amériques en tant que zone libre de mines terrestres antipersonnel</w:t>
      </w:r>
      <w:r w:rsidRPr="0026653F">
        <w:rPr>
          <w:color w:val="000000"/>
          <w:szCs w:val="22"/>
          <w:vertAlign w:val="superscript"/>
          <w:lang w:val="fr-FR"/>
        </w:rPr>
        <w:t xml:space="preserve"> </w:t>
      </w:r>
      <w:r w:rsidR="00293B12" w:rsidRPr="0026653F">
        <w:rPr>
          <w:szCs w:val="22"/>
          <w:u w:val="single"/>
          <w:vertAlign w:val="superscript"/>
          <w:lang w:val="fr-FR"/>
        </w:rPr>
        <w:footnoteReference w:id="16"/>
      </w:r>
      <w:r w:rsidRPr="0026653F">
        <w:rPr>
          <w:color w:val="000000"/>
          <w:szCs w:val="22"/>
          <w:vertAlign w:val="superscript"/>
          <w:lang w:val="fr-FR"/>
        </w:rPr>
        <w:t>/</w:t>
      </w:r>
    </w:p>
    <w:p w14:paraId="1E597D82" w14:textId="77777777" w:rsidR="00293B12" w:rsidRPr="0026653F" w:rsidRDefault="00293B12" w:rsidP="00C618DD">
      <w:pPr>
        <w:suppressAutoHyphens/>
        <w:outlineLvl w:val="2"/>
        <w:rPr>
          <w:color w:val="000000"/>
          <w:szCs w:val="22"/>
          <w:lang w:val="fr-FR"/>
        </w:rPr>
      </w:pPr>
    </w:p>
    <w:p w14:paraId="6A30947A" w14:textId="77777777" w:rsidR="00293B12" w:rsidRPr="0026653F" w:rsidRDefault="00293B12" w:rsidP="00C618DD">
      <w:pPr>
        <w:numPr>
          <w:ilvl w:val="0"/>
          <w:numId w:val="31"/>
        </w:numPr>
        <w:suppressAutoHyphens/>
        <w:ind w:left="0" w:firstLine="709"/>
        <w:rPr>
          <w:szCs w:val="22"/>
          <w:lang w:val="fr-FR"/>
        </w:rPr>
      </w:pPr>
      <w:r w:rsidRPr="0026653F">
        <w:rPr>
          <w:szCs w:val="22"/>
          <w:lang w:val="fr-FR"/>
        </w:rPr>
        <w:t>D’appuyer et de promouvoir avec détermination le respect des principes contenus dans la Convention sur l’interdiction de l’emploi, du stockage, de la production et du transfert des mines antipersonnel et sur leur destruction (Convention d’Ottawa) ainsi que dans le Plan d’action d’Oslo 2019-2024, dans l’espoir d’en atteindre les objectifs autant que possible d’ici à 2025</w:t>
      </w:r>
      <w:r w:rsidRPr="0026653F">
        <w:rPr>
          <w:bCs/>
          <w:szCs w:val="22"/>
          <w:lang w:val="fr-FR"/>
        </w:rPr>
        <w:t>.</w:t>
      </w:r>
    </w:p>
    <w:p w14:paraId="64BD0B9F" w14:textId="77777777" w:rsidR="00293B12" w:rsidRPr="0026653F" w:rsidRDefault="00293B12" w:rsidP="00C618DD">
      <w:pPr>
        <w:suppressAutoHyphens/>
        <w:rPr>
          <w:szCs w:val="22"/>
          <w:lang w:val="fr-FR"/>
        </w:rPr>
      </w:pPr>
    </w:p>
    <w:p w14:paraId="4373C3E7" w14:textId="0B90CF9E" w:rsidR="00293B12" w:rsidRPr="0026653F" w:rsidRDefault="00293B12" w:rsidP="00C618DD">
      <w:pPr>
        <w:numPr>
          <w:ilvl w:val="0"/>
          <w:numId w:val="31"/>
        </w:numPr>
        <w:suppressAutoHyphens/>
        <w:ind w:left="0"/>
        <w:rPr>
          <w:szCs w:val="22"/>
          <w:lang w:val="fr-FR"/>
        </w:rPr>
      </w:pPr>
      <w:r w:rsidRPr="0026653F">
        <w:rPr>
          <w:szCs w:val="22"/>
          <w:lang w:val="fr-FR"/>
        </w:rPr>
        <w:t>De féliciter la République du Chili pour avoir été déclaré</w:t>
      </w:r>
      <w:r w:rsidR="007B512C" w:rsidRPr="0026653F">
        <w:rPr>
          <w:szCs w:val="22"/>
          <w:lang w:val="fr-FR"/>
        </w:rPr>
        <w:t>e</w:t>
      </w:r>
      <w:r w:rsidRPr="0026653F">
        <w:rPr>
          <w:szCs w:val="22"/>
          <w:lang w:val="fr-FR"/>
        </w:rPr>
        <w:t xml:space="preserve"> un pays « libre de mines antipersonnel » à l’issue des efforts qu’elle a déployés pour éliminer les champs de mines de son territoire, s’acquittant ainsi de ses obligations au titre de la Convention d’Ottawa.</w:t>
      </w:r>
    </w:p>
    <w:p w14:paraId="4B2F5965" w14:textId="77777777" w:rsidR="00293B12" w:rsidRPr="0026653F" w:rsidRDefault="00293B12" w:rsidP="00C618DD">
      <w:pPr>
        <w:suppressAutoHyphens/>
        <w:rPr>
          <w:szCs w:val="22"/>
          <w:lang w:val="fr-FR"/>
        </w:rPr>
      </w:pPr>
    </w:p>
    <w:p w14:paraId="728567C8" w14:textId="4DDA48EE" w:rsidR="00293B12" w:rsidRPr="0026653F" w:rsidRDefault="00293B12" w:rsidP="00C618DD">
      <w:pPr>
        <w:numPr>
          <w:ilvl w:val="0"/>
          <w:numId w:val="31"/>
        </w:numPr>
        <w:suppressAutoHyphens/>
        <w:ind w:left="0"/>
        <w:rPr>
          <w:bCs/>
          <w:i/>
          <w:szCs w:val="22"/>
          <w:lang w:val="fr-FR"/>
        </w:rPr>
      </w:pPr>
      <w:r w:rsidRPr="0026653F">
        <w:rPr>
          <w:szCs w:val="22"/>
          <w:lang w:val="fr-FR"/>
        </w:rPr>
        <w:t>De réitérer le mandat confié au Secrétariat général pour que celui-ci, par l’intermédiaire du Programme d’action intégrale contre les mines antipersonnel (AICMA) du Département de la sécurité publique</w:t>
      </w:r>
      <w:r w:rsidR="00A16847" w:rsidRPr="0026653F">
        <w:rPr>
          <w:szCs w:val="22"/>
          <w:lang w:val="fr-FR"/>
        </w:rPr>
        <w:t xml:space="preserve"> du SSM</w:t>
      </w:r>
      <w:r w:rsidRPr="0026653F">
        <w:rPr>
          <w:szCs w:val="22"/>
          <w:lang w:val="fr-FR"/>
        </w:rPr>
        <w:t>, poursuive ses efforts auprès des États membres, des observateurs permanents, d’autres États et des bailleurs institutionnels pour l’identification et l’obtention des ressources financières volontaires destiné</w:t>
      </w:r>
      <w:r w:rsidR="007B512C" w:rsidRPr="0026653F">
        <w:rPr>
          <w:szCs w:val="22"/>
          <w:lang w:val="fr-FR"/>
        </w:rPr>
        <w:t>e</w:t>
      </w:r>
      <w:r w:rsidRPr="0026653F">
        <w:rPr>
          <w:szCs w:val="22"/>
          <w:lang w:val="fr-FR"/>
        </w:rPr>
        <w:t xml:space="preserve">s aux programmes d’action intégrale contre </w:t>
      </w:r>
      <w:r w:rsidRPr="0026653F">
        <w:rPr>
          <w:szCs w:val="22"/>
          <w:lang w:val="fr-FR"/>
        </w:rPr>
        <w:lastRenderedPageBreak/>
        <w:t>les mines</w:t>
      </w:r>
      <w:r w:rsidR="00987983" w:rsidRPr="0026653F">
        <w:rPr>
          <w:szCs w:val="22"/>
          <w:lang w:val="fr-FR"/>
        </w:rPr>
        <w:t xml:space="preserve"> qui </w:t>
      </w:r>
      <w:r w:rsidRPr="0026653F">
        <w:rPr>
          <w:szCs w:val="22"/>
          <w:lang w:val="fr-FR"/>
        </w:rPr>
        <w:t xml:space="preserve">sont exécutés par les gouvernements de la Colombie, de l’Équateur et du Pérou, et pour la coopération continue en matière de déminage humanitaire, de réhabilitation physique et psychologique des victimes et de leurs familles, d’éducation préventive, de relèvement socioéconomique des zones déminées, de même </w:t>
      </w:r>
      <w:r w:rsidR="00AD3823" w:rsidRPr="0026653F">
        <w:rPr>
          <w:szCs w:val="22"/>
          <w:lang w:val="fr-FR"/>
        </w:rPr>
        <w:t xml:space="preserve">que la formation à </w:t>
      </w:r>
      <w:r w:rsidR="0077041B" w:rsidRPr="0026653F">
        <w:rPr>
          <w:szCs w:val="22"/>
          <w:lang w:val="fr-FR"/>
        </w:rPr>
        <w:t xml:space="preserve">la neutralisation des explosifs et munitions </w:t>
      </w:r>
      <w:r w:rsidRPr="0026653F">
        <w:rPr>
          <w:szCs w:val="22"/>
          <w:lang w:val="fr-FR"/>
        </w:rPr>
        <w:t>de même que des cours sur les nouvelles techniques de déminage humanitaire, à la demande des États et en étroite coordination avec les autorités nationales.</w:t>
      </w:r>
    </w:p>
    <w:p w14:paraId="02EB59AC" w14:textId="77777777" w:rsidR="00293B12" w:rsidRPr="0026653F" w:rsidRDefault="00293B12" w:rsidP="00C618DD">
      <w:pPr>
        <w:suppressAutoHyphens/>
        <w:jc w:val="left"/>
        <w:rPr>
          <w:szCs w:val="22"/>
          <w:lang w:val="fr-FR"/>
        </w:rPr>
      </w:pPr>
    </w:p>
    <w:p w14:paraId="19DBD242" w14:textId="77777777" w:rsidR="00293B12" w:rsidRPr="0026653F" w:rsidRDefault="00293B12" w:rsidP="00C618DD">
      <w:pPr>
        <w:keepNext/>
        <w:numPr>
          <w:ilvl w:val="0"/>
          <w:numId w:val="24"/>
        </w:numPr>
        <w:suppressAutoHyphens/>
        <w:ind w:left="720"/>
        <w:rPr>
          <w:rFonts w:eastAsia="SimSun"/>
          <w:color w:val="000000"/>
          <w:szCs w:val="22"/>
          <w:u w:val="single"/>
          <w:lang w:val="fr-FR"/>
        </w:rPr>
      </w:pPr>
      <w:r w:rsidRPr="0026653F">
        <w:rPr>
          <w:color w:val="000000"/>
          <w:szCs w:val="22"/>
          <w:u w:val="single"/>
          <w:lang w:val="fr-FR"/>
        </w:rPr>
        <w:t>Renforcement de la sécurité continentale et de la coopération en matière de défense</w:t>
      </w:r>
    </w:p>
    <w:p w14:paraId="211DFF5A" w14:textId="77777777" w:rsidR="00293B12" w:rsidRPr="0026653F" w:rsidRDefault="00293B12" w:rsidP="00C618DD">
      <w:pPr>
        <w:keepNext/>
        <w:suppressAutoHyphens/>
        <w:rPr>
          <w:rFonts w:eastAsia="Batang"/>
          <w:bCs/>
          <w:color w:val="000000"/>
          <w:szCs w:val="22"/>
          <w:u w:val="single"/>
          <w:lang w:val="fr-FR"/>
        </w:rPr>
      </w:pPr>
    </w:p>
    <w:p w14:paraId="16D9F438" w14:textId="4F28D869" w:rsidR="00293B12" w:rsidRPr="0026653F" w:rsidRDefault="00293B12" w:rsidP="00C618DD">
      <w:pPr>
        <w:numPr>
          <w:ilvl w:val="0"/>
          <w:numId w:val="52"/>
        </w:numPr>
        <w:suppressAutoHyphens/>
        <w:rPr>
          <w:rFonts w:eastAsia="SimSun"/>
          <w:color w:val="000000"/>
          <w:szCs w:val="22"/>
          <w:u w:val="single"/>
          <w:lang w:val="fr-FR"/>
        </w:rPr>
      </w:pPr>
      <w:r w:rsidRPr="0026653F">
        <w:rPr>
          <w:color w:val="000000"/>
          <w:szCs w:val="22"/>
          <w:u w:val="single"/>
          <w:lang w:val="fr-FR"/>
        </w:rPr>
        <w:t>Conférence des ministres de la défense des Amériques</w:t>
      </w:r>
      <w:r w:rsidR="00B949A0" w:rsidRPr="00B949A0">
        <w:rPr>
          <w:color w:val="000000"/>
          <w:szCs w:val="22"/>
          <w:vertAlign w:val="superscript"/>
          <w:lang w:val="fr-FR"/>
        </w:rPr>
        <w:t xml:space="preserve"> </w:t>
      </w:r>
      <w:r w:rsidRPr="0026653F">
        <w:rPr>
          <w:szCs w:val="22"/>
          <w:u w:val="single"/>
          <w:vertAlign w:val="superscript"/>
          <w:lang w:val="fr-FR"/>
        </w:rPr>
        <w:footnoteReference w:id="17"/>
      </w:r>
      <w:r w:rsidR="007B512C" w:rsidRPr="00B949A0">
        <w:rPr>
          <w:color w:val="000000"/>
          <w:szCs w:val="22"/>
          <w:vertAlign w:val="superscript"/>
          <w:lang w:val="fr-FR"/>
        </w:rPr>
        <w:t>/</w:t>
      </w:r>
    </w:p>
    <w:p w14:paraId="427AB7A0" w14:textId="77777777" w:rsidR="00293B12" w:rsidRPr="0026653F" w:rsidRDefault="00293B12" w:rsidP="00C618DD">
      <w:pPr>
        <w:suppressAutoHyphens/>
        <w:rPr>
          <w:color w:val="000000"/>
          <w:szCs w:val="22"/>
          <w:lang w:val="fr-FR"/>
        </w:rPr>
      </w:pPr>
    </w:p>
    <w:p w14:paraId="78E34033" w14:textId="4B94BFE5" w:rsidR="00293B12" w:rsidRPr="0026653F" w:rsidRDefault="00293B12" w:rsidP="00C618DD">
      <w:pPr>
        <w:numPr>
          <w:ilvl w:val="0"/>
          <w:numId w:val="32"/>
        </w:numPr>
        <w:suppressAutoHyphens/>
        <w:ind w:left="0"/>
        <w:rPr>
          <w:szCs w:val="22"/>
          <w:lang w:val="fr-FR"/>
        </w:rPr>
      </w:pPr>
      <w:r w:rsidRPr="0026653F">
        <w:rPr>
          <w:szCs w:val="22"/>
          <w:lang w:val="fr-FR"/>
        </w:rPr>
        <w:t xml:space="preserve">De mettre l’accent sur l’importance de participer à la Quatorzième Conférence des ministres de la défense des Amériques (CMDA), qui se tiendra en mode virtuel au cours du deuxième semestre </w:t>
      </w:r>
      <w:r w:rsidR="00BE3299" w:rsidRPr="0026653F">
        <w:rPr>
          <w:szCs w:val="22"/>
          <w:lang w:val="fr-FR"/>
        </w:rPr>
        <w:t xml:space="preserve">de </w:t>
      </w:r>
      <w:r w:rsidRPr="0026653F">
        <w:rPr>
          <w:szCs w:val="22"/>
          <w:lang w:val="fr-FR"/>
        </w:rPr>
        <w:t>2020, pour continuer à promouvoir la coopération en matière de défense et de sécurité dans la région.</w:t>
      </w:r>
    </w:p>
    <w:p w14:paraId="4122E4E1" w14:textId="77777777" w:rsidR="00293B12" w:rsidRPr="0026653F" w:rsidRDefault="00293B12" w:rsidP="00C618DD">
      <w:pPr>
        <w:suppressAutoHyphens/>
        <w:rPr>
          <w:color w:val="000000"/>
          <w:szCs w:val="22"/>
          <w:highlight w:val="green"/>
          <w:lang w:val="fr-FR"/>
        </w:rPr>
      </w:pPr>
    </w:p>
    <w:p w14:paraId="72B36B6B" w14:textId="0E74896B" w:rsidR="00293B12" w:rsidRPr="0026653F" w:rsidRDefault="00293B12" w:rsidP="00C618DD">
      <w:pPr>
        <w:numPr>
          <w:ilvl w:val="0"/>
          <w:numId w:val="32"/>
        </w:numPr>
        <w:suppressAutoHyphens/>
        <w:ind w:left="0"/>
        <w:rPr>
          <w:szCs w:val="22"/>
          <w:lang w:val="fr-FR"/>
        </w:rPr>
      </w:pPr>
      <w:r w:rsidRPr="0026653F">
        <w:rPr>
          <w:szCs w:val="22"/>
          <w:lang w:val="fr-FR"/>
        </w:rPr>
        <w:t>D’offrir au Gouvernement du Chili, en sa qualité de pays hôte de la Conférence, toute aide technique ou consultative demandée à l’OEA, par l’intermédiaire de l</w:t>
      </w:r>
      <w:r w:rsidR="00FF6AD4" w:rsidRPr="0026653F">
        <w:rPr>
          <w:szCs w:val="22"/>
          <w:lang w:val="fr-FR"/>
        </w:rPr>
        <w:t>’Organisation interaméricaine de défense (J</w:t>
      </w:r>
      <w:r w:rsidRPr="0026653F">
        <w:rPr>
          <w:szCs w:val="22"/>
          <w:lang w:val="fr-FR"/>
        </w:rPr>
        <w:t>ID</w:t>
      </w:r>
      <w:r w:rsidR="00FF6AD4" w:rsidRPr="0026653F">
        <w:rPr>
          <w:szCs w:val="22"/>
          <w:lang w:val="fr-FR"/>
        </w:rPr>
        <w:t>)</w:t>
      </w:r>
      <w:r w:rsidR="00987983" w:rsidRPr="0026653F">
        <w:rPr>
          <w:szCs w:val="22"/>
          <w:lang w:val="fr-FR"/>
        </w:rPr>
        <w:t>,</w:t>
      </w:r>
      <w:r w:rsidRPr="0026653F">
        <w:rPr>
          <w:szCs w:val="22"/>
          <w:lang w:val="fr-FR"/>
        </w:rPr>
        <w:t xml:space="preserve"> afin de contribuer au succès de la Quatorzième CMDA.</w:t>
      </w:r>
    </w:p>
    <w:p w14:paraId="682CE659" w14:textId="77777777" w:rsidR="00293B12" w:rsidRPr="0026653F" w:rsidRDefault="00293B12" w:rsidP="00C618DD">
      <w:pPr>
        <w:suppressAutoHyphens/>
        <w:jc w:val="left"/>
        <w:rPr>
          <w:szCs w:val="22"/>
          <w:lang w:val="fr-FR"/>
        </w:rPr>
      </w:pPr>
    </w:p>
    <w:p w14:paraId="1D8DD58D" w14:textId="1403D2B9" w:rsidR="00293B12" w:rsidRPr="0026653F" w:rsidRDefault="00293B12" w:rsidP="00C618DD">
      <w:pPr>
        <w:numPr>
          <w:ilvl w:val="0"/>
          <w:numId w:val="32"/>
        </w:numPr>
        <w:suppressAutoHyphens/>
        <w:ind w:left="0"/>
        <w:rPr>
          <w:szCs w:val="22"/>
          <w:lang w:val="fr-FR"/>
        </w:rPr>
      </w:pPr>
      <w:r w:rsidRPr="0026653F">
        <w:rPr>
          <w:szCs w:val="22"/>
          <w:lang w:val="fr-FR"/>
        </w:rPr>
        <w:t xml:space="preserve">De demander à </w:t>
      </w:r>
      <w:r w:rsidR="00FF6AD4" w:rsidRPr="0026653F">
        <w:rPr>
          <w:szCs w:val="22"/>
          <w:lang w:val="fr-FR"/>
        </w:rPr>
        <w:t xml:space="preserve">la </w:t>
      </w:r>
      <w:r w:rsidRPr="0026653F">
        <w:rPr>
          <w:szCs w:val="22"/>
          <w:lang w:val="fr-FR"/>
        </w:rPr>
        <w:t>JID de poursuivre ses travaux en vue d’intégrer la mémoire institutionnelle des travaux de la CMDA, en utilisant les archives historiques et en mettant à jour régulièrement le site web.</w:t>
      </w:r>
    </w:p>
    <w:p w14:paraId="6546474E" w14:textId="77777777" w:rsidR="00293B12" w:rsidRPr="0026653F" w:rsidRDefault="00293B12" w:rsidP="00C618DD">
      <w:pPr>
        <w:suppressAutoHyphens/>
        <w:jc w:val="left"/>
        <w:rPr>
          <w:szCs w:val="22"/>
          <w:lang w:val="fr-FR"/>
        </w:rPr>
      </w:pPr>
    </w:p>
    <w:p w14:paraId="542A674F" w14:textId="4A9A78F7" w:rsidR="00293B12" w:rsidRPr="0026653F" w:rsidRDefault="00293B12" w:rsidP="00C618DD">
      <w:pPr>
        <w:keepNext/>
        <w:numPr>
          <w:ilvl w:val="0"/>
          <w:numId w:val="52"/>
        </w:numPr>
        <w:suppressAutoHyphens/>
        <w:rPr>
          <w:rFonts w:eastAsia="SimSun"/>
          <w:color w:val="000000"/>
          <w:szCs w:val="22"/>
          <w:u w:val="single"/>
          <w:lang w:val="fr-FR"/>
        </w:rPr>
      </w:pPr>
      <w:r w:rsidRPr="0026653F">
        <w:rPr>
          <w:color w:val="000000"/>
          <w:szCs w:val="22"/>
          <w:u w:val="single"/>
          <w:lang w:val="fr-FR"/>
        </w:rPr>
        <w:t>Mesures d’encouragement de la confiance et de la sécurité dans les Amériques</w:t>
      </w:r>
      <w:r w:rsidR="00EF6649" w:rsidRPr="00EF6649">
        <w:rPr>
          <w:color w:val="000000"/>
          <w:szCs w:val="22"/>
          <w:vertAlign w:val="superscript"/>
          <w:lang w:val="fr-FR"/>
        </w:rPr>
        <w:t xml:space="preserve"> </w:t>
      </w:r>
      <w:r w:rsidRPr="0026653F">
        <w:rPr>
          <w:szCs w:val="22"/>
          <w:u w:val="single"/>
          <w:vertAlign w:val="superscript"/>
          <w:lang w:val="fr-FR"/>
        </w:rPr>
        <w:footnoteReference w:id="18"/>
      </w:r>
      <w:r w:rsidR="007B512C" w:rsidRPr="00EF6649">
        <w:rPr>
          <w:color w:val="000000"/>
          <w:szCs w:val="22"/>
          <w:vertAlign w:val="superscript"/>
          <w:lang w:val="fr-FR"/>
        </w:rPr>
        <w:t>/</w:t>
      </w:r>
    </w:p>
    <w:p w14:paraId="79CA11B8" w14:textId="77777777" w:rsidR="00293B12" w:rsidRPr="0026653F" w:rsidRDefault="00293B12" w:rsidP="00C618DD">
      <w:pPr>
        <w:keepNext/>
        <w:suppressAutoHyphens/>
        <w:rPr>
          <w:color w:val="000000"/>
          <w:szCs w:val="22"/>
          <w:lang w:val="fr-FR"/>
        </w:rPr>
      </w:pPr>
    </w:p>
    <w:p w14:paraId="5816BFBF" w14:textId="77777777" w:rsidR="00293B12" w:rsidRPr="0026653F" w:rsidRDefault="00293B12" w:rsidP="00C618DD">
      <w:pPr>
        <w:numPr>
          <w:ilvl w:val="0"/>
          <w:numId w:val="33"/>
        </w:numPr>
        <w:suppressAutoHyphens/>
        <w:ind w:left="0"/>
        <w:rPr>
          <w:bCs/>
          <w:szCs w:val="22"/>
          <w:lang w:val="fr-FR"/>
        </w:rPr>
      </w:pPr>
      <w:r w:rsidRPr="0026653F">
        <w:rPr>
          <w:szCs w:val="22"/>
          <w:lang w:val="fr-FR"/>
        </w:rPr>
        <w:t>D’adopter la Liste récapitulative des mesures d’encouragement de la confiance et de la sécurité (MECS) (</w:t>
      </w:r>
      <w:hyperlink r:id="rId28" w:history="1">
        <w:r w:rsidRPr="0026653F">
          <w:rPr>
            <w:color w:val="0000FF"/>
            <w:szCs w:val="22"/>
            <w:u w:val="single"/>
            <w:lang w:val="fr-FR"/>
          </w:rPr>
          <w:t>CP/CSH-1953/20 rev. 1</w:t>
        </w:r>
      </w:hyperlink>
      <w:r w:rsidRPr="0026653F">
        <w:rPr>
          <w:szCs w:val="22"/>
          <w:lang w:val="fr-FR"/>
        </w:rPr>
        <w:t>) comme guide régional pour des mesures éventuelles à mettre en œuvre pour aborder les menaces, les préoccupations et autres défis traditionnels et nouveaux dans le continent américain et de faire rapport chaque année, au plus tard le 15 juillet, en donnant des renseignements sur l’application des MECS en utilisant la nouvelle base de données interaméricaine sur les MECS (</w:t>
      </w:r>
      <w:hyperlink r:id="rId29" w:history="1">
        <w:r w:rsidRPr="0026653F">
          <w:rPr>
            <w:color w:val="0000FF"/>
            <w:szCs w:val="22"/>
            <w:u w:val="single"/>
            <w:lang w:val="fr-FR"/>
          </w:rPr>
          <w:t>http://www.oas.org/MFCS/</w:t>
        </w:r>
      </w:hyperlink>
      <w:r w:rsidRPr="0026653F">
        <w:rPr>
          <w:szCs w:val="22"/>
          <w:lang w:val="fr-FR"/>
        </w:rPr>
        <w:t>).</w:t>
      </w:r>
    </w:p>
    <w:p w14:paraId="7BC6DE9F" w14:textId="77777777" w:rsidR="00293B12" w:rsidRPr="0026653F" w:rsidRDefault="00293B12" w:rsidP="00C618DD">
      <w:pPr>
        <w:suppressAutoHyphens/>
        <w:jc w:val="left"/>
        <w:rPr>
          <w:bCs/>
          <w:szCs w:val="22"/>
          <w:lang w:val="fr-FR"/>
        </w:rPr>
      </w:pPr>
    </w:p>
    <w:p w14:paraId="17576A9B" w14:textId="0AD21D7C" w:rsidR="00293B12" w:rsidRPr="0026653F" w:rsidRDefault="00293B12" w:rsidP="00C618DD">
      <w:pPr>
        <w:numPr>
          <w:ilvl w:val="0"/>
          <w:numId w:val="33"/>
        </w:numPr>
        <w:suppressAutoHyphens/>
        <w:ind w:left="0"/>
        <w:rPr>
          <w:szCs w:val="22"/>
          <w:lang w:val="fr-FR"/>
        </w:rPr>
      </w:pPr>
      <w:r w:rsidRPr="0026653F">
        <w:rPr>
          <w:szCs w:val="22"/>
          <w:lang w:val="fr-FR"/>
        </w:rPr>
        <w:t>De demander à la JID de fournir un soutien technique au S</w:t>
      </w:r>
      <w:r w:rsidR="007B512C" w:rsidRPr="0026653F">
        <w:rPr>
          <w:szCs w:val="22"/>
          <w:lang w:val="fr-FR"/>
        </w:rPr>
        <w:t xml:space="preserve">SM </w:t>
      </w:r>
      <w:r w:rsidRPr="0026653F">
        <w:rPr>
          <w:szCs w:val="22"/>
          <w:lang w:val="fr-FR"/>
        </w:rPr>
        <w:t xml:space="preserve">pour </w:t>
      </w:r>
      <w:r w:rsidR="00D00A50" w:rsidRPr="0026653F">
        <w:rPr>
          <w:szCs w:val="22"/>
          <w:lang w:val="fr-FR"/>
        </w:rPr>
        <w:t xml:space="preserve">l’exploitation et </w:t>
      </w:r>
      <w:r w:rsidRPr="0026653F">
        <w:rPr>
          <w:szCs w:val="22"/>
          <w:lang w:val="fr-FR"/>
        </w:rPr>
        <w:t xml:space="preserve">la gestion de la base de données interaméricaine </w:t>
      </w:r>
      <w:r w:rsidR="007B512C" w:rsidRPr="0026653F">
        <w:rPr>
          <w:szCs w:val="22"/>
          <w:lang w:val="fr-FR"/>
        </w:rPr>
        <w:t>sur l</w:t>
      </w:r>
      <w:r w:rsidRPr="0026653F">
        <w:rPr>
          <w:szCs w:val="22"/>
          <w:lang w:val="fr-FR"/>
        </w:rPr>
        <w:t xml:space="preserve">es MECS de l’OEA, et de fournir une orientation et des instructions périodiques aux États </w:t>
      </w:r>
      <w:r w:rsidR="00B259A2" w:rsidRPr="0026653F">
        <w:rPr>
          <w:szCs w:val="22"/>
          <w:lang w:val="fr-FR"/>
        </w:rPr>
        <w:t xml:space="preserve">membres </w:t>
      </w:r>
      <w:r w:rsidRPr="0026653F">
        <w:rPr>
          <w:szCs w:val="22"/>
          <w:lang w:val="fr-FR"/>
        </w:rPr>
        <w:t>sur son utilisation afin de faciliter la présentation de rapports.</w:t>
      </w:r>
    </w:p>
    <w:p w14:paraId="0FA18511" w14:textId="77777777" w:rsidR="00293B12" w:rsidRPr="0026653F" w:rsidRDefault="00293B12" w:rsidP="00C618DD">
      <w:pPr>
        <w:suppressAutoHyphens/>
        <w:jc w:val="left"/>
        <w:rPr>
          <w:szCs w:val="22"/>
          <w:lang w:val="fr-FR"/>
        </w:rPr>
      </w:pPr>
    </w:p>
    <w:p w14:paraId="427A9EF7" w14:textId="5E6152E4" w:rsidR="00293B12" w:rsidRPr="0026653F" w:rsidRDefault="00293B12" w:rsidP="00C618DD">
      <w:pPr>
        <w:numPr>
          <w:ilvl w:val="0"/>
          <w:numId w:val="33"/>
        </w:numPr>
        <w:suppressAutoHyphens/>
        <w:ind w:left="0"/>
        <w:rPr>
          <w:szCs w:val="22"/>
          <w:lang w:val="fr-FR"/>
        </w:rPr>
      </w:pPr>
      <w:r w:rsidRPr="0026653F">
        <w:rPr>
          <w:szCs w:val="22"/>
          <w:lang w:val="fr-FR"/>
        </w:rPr>
        <w:t xml:space="preserve">De demander au Secrétariat général de continuer à fournir un soutien informatique à la gestion de la base de données interaméricaine </w:t>
      </w:r>
      <w:r w:rsidR="007B512C" w:rsidRPr="0026653F">
        <w:rPr>
          <w:szCs w:val="22"/>
          <w:lang w:val="fr-FR"/>
        </w:rPr>
        <w:t>sur l</w:t>
      </w:r>
      <w:r w:rsidRPr="0026653F">
        <w:rPr>
          <w:szCs w:val="22"/>
          <w:lang w:val="fr-FR"/>
        </w:rPr>
        <w:t>es MECS</w:t>
      </w:r>
      <w:r w:rsidRPr="0026653F">
        <w:rPr>
          <w:color w:val="000000"/>
          <w:szCs w:val="22"/>
          <w:lang w:val="fr-FR"/>
        </w:rPr>
        <w:t>.</w:t>
      </w:r>
    </w:p>
    <w:p w14:paraId="75312FA3" w14:textId="77777777" w:rsidR="00293B12" w:rsidRPr="0026653F" w:rsidRDefault="00293B12" w:rsidP="00C618DD">
      <w:pPr>
        <w:suppressAutoHyphens/>
        <w:rPr>
          <w:i/>
          <w:iCs/>
          <w:szCs w:val="22"/>
          <w:lang w:val="fr-FR"/>
        </w:rPr>
      </w:pPr>
    </w:p>
    <w:p w14:paraId="7AFD6C1C" w14:textId="17EBA61D" w:rsidR="00293B12" w:rsidRPr="0026653F" w:rsidRDefault="00293B12" w:rsidP="00C618DD">
      <w:pPr>
        <w:numPr>
          <w:ilvl w:val="0"/>
          <w:numId w:val="33"/>
        </w:numPr>
        <w:suppressAutoHyphens/>
        <w:ind w:left="0"/>
        <w:rPr>
          <w:i/>
          <w:iCs/>
          <w:szCs w:val="22"/>
          <w:lang w:val="fr-FR"/>
        </w:rPr>
      </w:pPr>
      <w:r w:rsidRPr="0026653F">
        <w:rPr>
          <w:szCs w:val="22"/>
          <w:lang w:val="fr-FR"/>
        </w:rPr>
        <w:t>De demander à la CSH de convoquer l</w:t>
      </w:r>
      <w:r w:rsidR="00CE5CCE" w:rsidRPr="0026653F">
        <w:rPr>
          <w:szCs w:val="22"/>
          <w:lang w:val="fr-FR"/>
        </w:rPr>
        <w:t>e</w:t>
      </w:r>
      <w:r w:rsidRPr="0026653F">
        <w:rPr>
          <w:szCs w:val="22"/>
          <w:lang w:val="fr-FR"/>
        </w:rPr>
        <w:t xml:space="preserve"> Neuvième Forum sur les mesures d’encouragement de la confiance et de la sécurité pour mars 2021 dans le cadre de la CSH et de </w:t>
      </w:r>
      <w:r w:rsidRPr="0026653F">
        <w:rPr>
          <w:szCs w:val="22"/>
          <w:lang w:val="fr-FR"/>
        </w:rPr>
        <w:lastRenderedPageBreak/>
        <w:t>demander à la JID d’apporter le soutien technique nécessaire à la CSH et au SSM pour la tenue de ce forum.</w:t>
      </w:r>
    </w:p>
    <w:p w14:paraId="67295D97" w14:textId="77777777" w:rsidR="00293B12" w:rsidRPr="0026653F" w:rsidRDefault="00293B12" w:rsidP="00C618DD">
      <w:pPr>
        <w:suppressAutoHyphens/>
        <w:rPr>
          <w:szCs w:val="22"/>
          <w:lang w:val="fr-FR"/>
        </w:rPr>
      </w:pPr>
    </w:p>
    <w:p w14:paraId="38F84797" w14:textId="77777777" w:rsidR="00293B12" w:rsidRPr="0026653F" w:rsidRDefault="00293B12" w:rsidP="00C618DD">
      <w:pPr>
        <w:keepNext/>
        <w:numPr>
          <w:ilvl w:val="0"/>
          <w:numId w:val="24"/>
        </w:numPr>
        <w:suppressAutoHyphens/>
        <w:ind w:left="720"/>
        <w:rPr>
          <w:color w:val="000000"/>
          <w:szCs w:val="22"/>
          <w:u w:val="single"/>
          <w:lang w:val="fr-FR"/>
        </w:rPr>
      </w:pPr>
      <w:r w:rsidRPr="0026653F">
        <w:rPr>
          <w:color w:val="000000"/>
          <w:szCs w:val="22"/>
          <w:u w:val="single"/>
          <w:lang w:val="fr-FR"/>
        </w:rPr>
        <w:t>Sécurité publique, justice et prévention de la violence et de la criminalité</w:t>
      </w:r>
    </w:p>
    <w:p w14:paraId="27DF4E9D" w14:textId="77777777" w:rsidR="00293B12" w:rsidRPr="0026653F" w:rsidRDefault="00293B12" w:rsidP="00C618DD">
      <w:pPr>
        <w:keepNext/>
        <w:suppressAutoHyphens/>
        <w:rPr>
          <w:color w:val="000000"/>
          <w:szCs w:val="22"/>
          <w:u w:val="single"/>
          <w:lang w:val="fr-FR"/>
        </w:rPr>
      </w:pPr>
    </w:p>
    <w:p w14:paraId="3CD79FF2" w14:textId="77777777" w:rsidR="00293B12" w:rsidRPr="0026653F" w:rsidRDefault="00293B12" w:rsidP="00C618DD">
      <w:pPr>
        <w:keepNext/>
        <w:numPr>
          <w:ilvl w:val="0"/>
          <w:numId w:val="3"/>
        </w:numPr>
        <w:suppressAutoHyphens/>
        <w:ind w:left="1440" w:hanging="720"/>
        <w:rPr>
          <w:color w:val="000000"/>
          <w:szCs w:val="22"/>
          <w:u w:val="single"/>
          <w:lang w:val="fr-FR"/>
        </w:rPr>
      </w:pPr>
      <w:r w:rsidRPr="0026653F">
        <w:rPr>
          <w:color w:val="000000"/>
          <w:szCs w:val="22"/>
          <w:u w:val="single"/>
          <w:lang w:val="fr-FR"/>
        </w:rPr>
        <w:t>Processus des réunions des ministres responsables de la sécurité publique des Amériques (MISPA)</w:t>
      </w:r>
    </w:p>
    <w:p w14:paraId="371FE89F" w14:textId="77777777" w:rsidR="00293B12" w:rsidRPr="0026653F" w:rsidRDefault="00293B12" w:rsidP="00C618DD">
      <w:pPr>
        <w:keepNext/>
        <w:suppressAutoHyphens/>
        <w:jc w:val="left"/>
        <w:rPr>
          <w:color w:val="000000"/>
          <w:szCs w:val="22"/>
          <w:u w:val="single"/>
          <w:lang w:val="fr-FR"/>
        </w:rPr>
      </w:pPr>
    </w:p>
    <w:p w14:paraId="5E2BF034" w14:textId="77777777" w:rsidR="00293B12" w:rsidRPr="0026653F" w:rsidRDefault="00293B12" w:rsidP="00C618DD">
      <w:pPr>
        <w:numPr>
          <w:ilvl w:val="0"/>
          <w:numId w:val="34"/>
        </w:numPr>
        <w:suppressAutoHyphens/>
        <w:ind w:left="0"/>
        <w:rPr>
          <w:szCs w:val="22"/>
          <w:lang w:val="fr-FR"/>
        </w:rPr>
      </w:pPr>
      <w:r w:rsidRPr="0026653F">
        <w:rPr>
          <w:szCs w:val="22"/>
          <w:lang w:val="fr-FR"/>
        </w:rPr>
        <w:t>D’encourager les États membres à mettre en œuvre les « Recommandations de Quito pour le renforcement de la coopération internationale en matière de sécurité publique pour la prévention et la lutte contre la criminalité transnationale organisée », et de demander au Secrétariat général, par l’intermédiaire du SSM, de continuer de soutenir les États membres qui en font la demande dans l’application des recommandations du processus MISPA afin d’élaborer et de mettre en œuvre une stratégie continentale pour prévenir et combattre la criminalité transnationale organisée à partir du Plan d’action continental s’y rapportant.</w:t>
      </w:r>
    </w:p>
    <w:p w14:paraId="56AAEFED" w14:textId="77777777" w:rsidR="00293B12" w:rsidRPr="0026653F" w:rsidRDefault="00293B12" w:rsidP="00C618DD">
      <w:pPr>
        <w:suppressAutoHyphens/>
        <w:rPr>
          <w:szCs w:val="22"/>
          <w:lang w:val="fr-FR"/>
        </w:rPr>
      </w:pPr>
    </w:p>
    <w:p w14:paraId="76C34CA8" w14:textId="465070B7" w:rsidR="00293B12" w:rsidRPr="0026653F" w:rsidRDefault="00293B12" w:rsidP="00C618DD">
      <w:pPr>
        <w:numPr>
          <w:ilvl w:val="0"/>
          <w:numId w:val="34"/>
        </w:numPr>
        <w:suppressAutoHyphens/>
        <w:ind w:left="0"/>
        <w:rPr>
          <w:szCs w:val="22"/>
          <w:lang w:val="fr-FR"/>
        </w:rPr>
      </w:pPr>
      <w:r w:rsidRPr="0026653F">
        <w:rPr>
          <w:szCs w:val="22"/>
          <w:lang w:val="fr-FR"/>
        </w:rPr>
        <w:t xml:space="preserve">De remercier le Gouvernement d’El Salvador </w:t>
      </w:r>
      <w:r w:rsidR="005F7F05" w:rsidRPr="0026653F">
        <w:rPr>
          <w:szCs w:val="22"/>
          <w:lang w:val="fr-FR"/>
        </w:rPr>
        <w:t>pour</w:t>
      </w:r>
      <w:r w:rsidRPr="0026653F">
        <w:rPr>
          <w:szCs w:val="22"/>
          <w:lang w:val="fr-FR"/>
        </w:rPr>
        <w:t xml:space="preserve"> son offre d’accueillir la Huitième Réunion des ministres responsables de la sécurité publique des Amériques (MISPA-VIII), de convoquer ladite réunion pour le second semestre de 2021 et, à cette fin, de charger le Conseil permanent d’établir, par l’intermédiaire de la CSH, un groupe de travail présidé par El Salvador pour coordonner </w:t>
      </w:r>
      <w:r w:rsidR="00254A35" w:rsidRPr="0026653F">
        <w:rPr>
          <w:szCs w:val="22"/>
          <w:lang w:val="fr-FR"/>
        </w:rPr>
        <w:t xml:space="preserve">tous </w:t>
      </w:r>
      <w:r w:rsidRPr="0026653F">
        <w:rPr>
          <w:szCs w:val="22"/>
          <w:lang w:val="fr-FR"/>
        </w:rPr>
        <w:t>les préparatifs de la MISPA-VIII.</w:t>
      </w:r>
    </w:p>
    <w:p w14:paraId="3D60C902" w14:textId="77777777" w:rsidR="00293B12" w:rsidRPr="0026653F" w:rsidRDefault="00293B12" w:rsidP="00C618DD">
      <w:pPr>
        <w:suppressAutoHyphens/>
        <w:rPr>
          <w:szCs w:val="22"/>
          <w:lang w:val="fr-FR"/>
        </w:rPr>
      </w:pPr>
    </w:p>
    <w:p w14:paraId="450C34DB" w14:textId="4A2CBF1C" w:rsidR="00293B12" w:rsidRPr="0026653F" w:rsidRDefault="00293B12" w:rsidP="00C618DD">
      <w:pPr>
        <w:numPr>
          <w:ilvl w:val="0"/>
          <w:numId w:val="34"/>
        </w:numPr>
        <w:suppressAutoHyphens/>
        <w:ind w:left="0"/>
        <w:rPr>
          <w:szCs w:val="22"/>
          <w:lang w:val="fr-FR"/>
        </w:rPr>
      </w:pPr>
      <w:r w:rsidRPr="0026653F">
        <w:rPr>
          <w:szCs w:val="22"/>
          <w:lang w:val="fr-FR"/>
        </w:rPr>
        <w:t xml:space="preserve">De remercier le Gouvernement de la République dominicaine pour son offre de présider la troisième réunion du Groupe </w:t>
      </w:r>
      <w:r w:rsidR="004A7058" w:rsidRPr="0026653F">
        <w:rPr>
          <w:szCs w:val="22"/>
          <w:lang w:val="fr-FR"/>
        </w:rPr>
        <w:t xml:space="preserve">de travail </w:t>
      </w:r>
      <w:r w:rsidRPr="0026653F">
        <w:rPr>
          <w:szCs w:val="22"/>
          <w:lang w:val="fr-FR"/>
        </w:rPr>
        <w:t>technique subsidiaire sur la prévention de la criminalité, de la violence et de l’insécurité du processus MISPA, laquelle se tiendra au cours du premier semestre de 2021, et de demander au Secrétariat général d’allouer, à partir du budget, les fonds nécessaires à la tenue de cette réunion et de réunions préparatoires, et d’accorder l’appui nécessaire à ces préparatifs.</w:t>
      </w:r>
    </w:p>
    <w:p w14:paraId="00549B51" w14:textId="77777777" w:rsidR="00293B12" w:rsidRPr="0026653F" w:rsidRDefault="00293B12" w:rsidP="00C618DD">
      <w:pPr>
        <w:rPr>
          <w:szCs w:val="22"/>
          <w:lang w:val="fr-FR"/>
        </w:rPr>
      </w:pPr>
    </w:p>
    <w:p w14:paraId="48D7192A" w14:textId="19F3C51A" w:rsidR="00293B12" w:rsidRPr="0026653F" w:rsidRDefault="00293B12" w:rsidP="00C618DD">
      <w:pPr>
        <w:numPr>
          <w:ilvl w:val="0"/>
          <w:numId w:val="34"/>
        </w:numPr>
        <w:suppressAutoHyphens/>
        <w:ind w:left="0"/>
        <w:rPr>
          <w:szCs w:val="22"/>
          <w:lang w:val="fr-FR"/>
        </w:rPr>
      </w:pPr>
      <w:r w:rsidRPr="0026653F">
        <w:rPr>
          <w:szCs w:val="22"/>
          <w:lang w:val="fr-FR"/>
        </w:rPr>
        <w:t xml:space="preserve">De remercier le Gouvernement de l’Équateur, qui a accepté de présider la réunion du Groupe </w:t>
      </w:r>
      <w:r w:rsidR="004A7058" w:rsidRPr="0026653F">
        <w:rPr>
          <w:szCs w:val="22"/>
          <w:lang w:val="fr-FR"/>
        </w:rPr>
        <w:t xml:space="preserve">de travail </w:t>
      </w:r>
      <w:r w:rsidRPr="0026653F">
        <w:rPr>
          <w:szCs w:val="22"/>
          <w:lang w:val="fr-FR"/>
        </w:rPr>
        <w:t>technique subsidiaire sur les services d’urgence, qui se tiendra en 2021, et de demander au Secrétariat de fournir, par l’intermédiaire du SSM et conformément aux paragraphes 7 et 8 des Recommandations de Quito, les ressources nécessaires à cette réunion</w:t>
      </w:r>
      <w:r w:rsidR="00C34885" w:rsidRPr="0026653F">
        <w:rPr>
          <w:szCs w:val="22"/>
          <w:lang w:val="fr-FR"/>
        </w:rPr>
        <w:t>,</w:t>
      </w:r>
      <w:r w:rsidRPr="0026653F">
        <w:rPr>
          <w:szCs w:val="22"/>
          <w:lang w:val="fr-FR"/>
        </w:rPr>
        <w:t xml:space="preserve"> y compris celles qui sont nécessaires à la tenue de</w:t>
      </w:r>
      <w:r w:rsidR="00C34885" w:rsidRPr="0026653F">
        <w:rPr>
          <w:szCs w:val="22"/>
          <w:lang w:val="fr-FR"/>
        </w:rPr>
        <w:t>s</w:t>
      </w:r>
      <w:r w:rsidRPr="0026653F">
        <w:rPr>
          <w:szCs w:val="22"/>
          <w:lang w:val="fr-FR"/>
        </w:rPr>
        <w:t xml:space="preserve"> réunions préparatoires de même qu’à l’élaboration du projet de </w:t>
      </w:r>
      <w:r w:rsidR="00C34885" w:rsidRPr="0026653F">
        <w:rPr>
          <w:szCs w:val="22"/>
          <w:lang w:val="fr-FR"/>
        </w:rPr>
        <w:t>p</w:t>
      </w:r>
      <w:r w:rsidRPr="0026653F">
        <w:rPr>
          <w:szCs w:val="22"/>
          <w:lang w:val="fr-FR"/>
        </w:rPr>
        <w:t>rotocole-</w:t>
      </w:r>
      <w:r w:rsidR="00C34885" w:rsidRPr="0026653F">
        <w:rPr>
          <w:szCs w:val="22"/>
          <w:lang w:val="fr-FR"/>
        </w:rPr>
        <w:t>g</w:t>
      </w:r>
      <w:r w:rsidRPr="0026653F">
        <w:rPr>
          <w:szCs w:val="22"/>
          <w:lang w:val="fr-FR"/>
        </w:rPr>
        <w:t>uide pour l’établissement de systèmes nationaux d’urgence et de sécurité dans les États membres de l’OEA, lequel document sera examiné par ce groupe</w:t>
      </w:r>
      <w:r w:rsidR="00243070" w:rsidRPr="0026653F">
        <w:rPr>
          <w:szCs w:val="22"/>
          <w:lang w:val="fr-FR"/>
        </w:rPr>
        <w:t xml:space="preserve"> de travail.</w:t>
      </w:r>
    </w:p>
    <w:p w14:paraId="7EED3693" w14:textId="77777777" w:rsidR="00293B12" w:rsidRPr="0026653F" w:rsidRDefault="00293B12" w:rsidP="00C618DD">
      <w:pPr>
        <w:suppressAutoHyphens/>
        <w:rPr>
          <w:szCs w:val="22"/>
          <w:lang w:val="fr-FR"/>
        </w:rPr>
      </w:pPr>
    </w:p>
    <w:p w14:paraId="6D539737" w14:textId="7A9787BA" w:rsidR="00293B12" w:rsidRPr="0026653F" w:rsidRDefault="00293B12" w:rsidP="00C618DD">
      <w:pPr>
        <w:numPr>
          <w:ilvl w:val="0"/>
          <w:numId w:val="34"/>
        </w:numPr>
        <w:suppressAutoHyphens/>
        <w:ind w:left="0"/>
        <w:rPr>
          <w:i/>
          <w:iCs/>
          <w:szCs w:val="22"/>
          <w:lang w:val="fr-FR"/>
        </w:rPr>
      </w:pPr>
      <w:r w:rsidRPr="0026653F">
        <w:rPr>
          <w:szCs w:val="22"/>
          <w:lang w:val="fr-FR"/>
        </w:rPr>
        <w:t xml:space="preserve">De convoquer la troisième réunion du Groupe </w:t>
      </w:r>
      <w:r w:rsidR="004A7058" w:rsidRPr="0026653F">
        <w:rPr>
          <w:szCs w:val="22"/>
          <w:lang w:val="fr-FR"/>
        </w:rPr>
        <w:t xml:space="preserve">de travail </w:t>
      </w:r>
      <w:r w:rsidRPr="0026653F">
        <w:rPr>
          <w:szCs w:val="22"/>
          <w:lang w:val="fr-FR"/>
        </w:rPr>
        <w:t>technique subsidiaire sur la gestion de la police présidé par l’Équateur, qui se tiendra en décembre 2020, et de demander au Secrétariat général d’allouer, à partir du budget, les fonds nécessaires à la tenue de cette réunion et de réunions préparatoires, et d’accorder l’appui nécessaire à ces préparatifs.</w:t>
      </w:r>
    </w:p>
    <w:p w14:paraId="3ADD15E3" w14:textId="77777777" w:rsidR="00293B12" w:rsidRPr="0026653F" w:rsidRDefault="00293B12" w:rsidP="00C618DD">
      <w:pPr>
        <w:suppressAutoHyphens/>
        <w:rPr>
          <w:color w:val="000000"/>
          <w:szCs w:val="22"/>
          <w:u w:val="single"/>
          <w:lang w:val="fr-FR"/>
        </w:rPr>
      </w:pPr>
    </w:p>
    <w:p w14:paraId="4E9D7783" w14:textId="77777777" w:rsidR="00293B12" w:rsidRPr="0026653F" w:rsidRDefault="00293B12" w:rsidP="00C618DD">
      <w:pPr>
        <w:numPr>
          <w:ilvl w:val="0"/>
          <w:numId w:val="3"/>
        </w:numPr>
        <w:suppressAutoHyphens/>
        <w:ind w:firstLine="0"/>
        <w:rPr>
          <w:color w:val="000000"/>
          <w:szCs w:val="22"/>
          <w:u w:val="single"/>
          <w:lang w:val="fr-FR"/>
        </w:rPr>
      </w:pPr>
      <w:r w:rsidRPr="0026653F">
        <w:rPr>
          <w:color w:val="000000"/>
          <w:szCs w:val="22"/>
          <w:u w:val="single"/>
          <w:lang w:val="fr-FR"/>
        </w:rPr>
        <w:t>Prévention de la violence et de la criminalité</w:t>
      </w:r>
    </w:p>
    <w:p w14:paraId="09FEB276" w14:textId="77777777" w:rsidR="00293B12" w:rsidRPr="0026653F" w:rsidRDefault="00293B12" w:rsidP="00C618DD">
      <w:pPr>
        <w:suppressAutoHyphens/>
        <w:rPr>
          <w:color w:val="000000"/>
          <w:szCs w:val="22"/>
          <w:lang w:val="fr-FR"/>
        </w:rPr>
      </w:pPr>
    </w:p>
    <w:p w14:paraId="0B11127E" w14:textId="346D89E7" w:rsidR="00293B12" w:rsidRPr="0026653F" w:rsidRDefault="00293B12" w:rsidP="00C618DD">
      <w:pPr>
        <w:numPr>
          <w:ilvl w:val="0"/>
          <w:numId w:val="35"/>
        </w:numPr>
        <w:suppressAutoHyphens/>
        <w:ind w:left="0" w:firstLine="709"/>
        <w:rPr>
          <w:bCs/>
          <w:szCs w:val="22"/>
          <w:lang w:val="fr-FR"/>
        </w:rPr>
      </w:pPr>
      <w:r w:rsidRPr="0026653F">
        <w:rPr>
          <w:szCs w:val="22"/>
          <w:lang w:val="fr-FR"/>
        </w:rPr>
        <w:t xml:space="preserve">De </w:t>
      </w:r>
      <w:r w:rsidRPr="0026653F">
        <w:rPr>
          <w:bCs/>
          <w:szCs w:val="22"/>
          <w:lang w:val="fr-FR"/>
        </w:rPr>
        <w:t xml:space="preserve">prier instamment les États membres d’envisager de mettre en œuvre les recommandations contenues dans le </w:t>
      </w:r>
      <w:bookmarkStart w:id="4" w:name="_Hlk68619614"/>
      <w:r w:rsidR="008245F7" w:rsidRPr="0026653F">
        <w:rPr>
          <w:bCs/>
          <w:szCs w:val="22"/>
          <w:lang w:val="fr-FR"/>
        </w:rPr>
        <w:t>Plan d’action continental appelé à orienter l’élaboration des politiques publiques de prévention et de réduction des homicides intentionnels</w:t>
      </w:r>
      <w:r w:rsidRPr="0026653F">
        <w:rPr>
          <w:bCs/>
          <w:szCs w:val="22"/>
          <w:lang w:val="fr-FR"/>
        </w:rPr>
        <w:t xml:space="preserve"> </w:t>
      </w:r>
      <w:bookmarkEnd w:id="4"/>
      <w:r w:rsidRPr="0026653F">
        <w:rPr>
          <w:bCs/>
          <w:szCs w:val="22"/>
          <w:lang w:val="fr-FR"/>
        </w:rPr>
        <w:t>(</w:t>
      </w:r>
      <w:hyperlink r:id="rId30" w:history="1">
        <w:r w:rsidRPr="0026653F">
          <w:rPr>
            <w:bCs/>
            <w:color w:val="0000FF"/>
            <w:szCs w:val="22"/>
            <w:u w:val="single"/>
            <w:lang w:val="fr-FR"/>
          </w:rPr>
          <w:t>AG/doc.5667/19</w:t>
        </w:r>
      </w:hyperlink>
      <w:r w:rsidRPr="0026653F">
        <w:rPr>
          <w:bCs/>
          <w:color w:val="0000FF"/>
          <w:szCs w:val="22"/>
          <w:u w:val="single"/>
          <w:lang w:val="fr-FR"/>
        </w:rPr>
        <w:t xml:space="preserve"> </w:t>
      </w:r>
      <w:r w:rsidRPr="0026653F">
        <w:rPr>
          <w:bCs/>
          <w:szCs w:val="22"/>
          <w:lang w:val="fr-FR"/>
        </w:rPr>
        <w:lastRenderedPageBreak/>
        <w:t>rev.</w:t>
      </w:r>
      <w:r w:rsidR="00BB1978" w:rsidRPr="0026653F">
        <w:rPr>
          <w:bCs/>
          <w:szCs w:val="22"/>
          <w:lang w:val="fr-FR"/>
        </w:rPr>
        <w:t> </w:t>
      </w:r>
      <w:r w:rsidRPr="0026653F">
        <w:rPr>
          <w:bCs/>
          <w:szCs w:val="22"/>
          <w:lang w:val="fr-FR"/>
        </w:rPr>
        <w:t>1), conformément aux besoins et situations propres à chaque pays, en faisant usage de la plateforme de connaissances sur l’homicide, entre autres instruments, et de demander au Secrétariat général, par l’intermédiaire du D</w:t>
      </w:r>
      <w:r w:rsidR="00C34885" w:rsidRPr="0026653F">
        <w:rPr>
          <w:bCs/>
          <w:szCs w:val="22"/>
          <w:lang w:val="fr-FR"/>
        </w:rPr>
        <w:t>épartement de la sécurité publique</w:t>
      </w:r>
      <w:r w:rsidRPr="0026653F">
        <w:rPr>
          <w:bCs/>
          <w:szCs w:val="22"/>
          <w:lang w:val="fr-FR"/>
        </w:rPr>
        <w:t>, de fournir aux États membres une assistance technique pour la mise en œuvre du plan.</w:t>
      </w:r>
    </w:p>
    <w:p w14:paraId="28FF130A" w14:textId="77777777" w:rsidR="00293B12" w:rsidRPr="0026653F" w:rsidRDefault="00293B12" w:rsidP="00C618DD">
      <w:pPr>
        <w:suppressAutoHyphens/>
        <w:rPr>
          <w:bCs/>
          <w:szCs w:val="22"/>
          <w:lang w:val="fr-FR"/>
        </w:rPr>
      </w:pPr>
    </w:p>
    <w:p w14:paraId="5C8A2100" w14:textId="21EE1B4B" w:rsidR="00293B12" w:rsidRPr="0026653F" w:rsidRDefault="00293B12" w:rsidP="00C618DD">
      <w:pPr>
        <w:numPr>
          <w:ilvl w:val="0"/>
          <w:numId w:val="35"/>
        </w:numPr>
        <w:suppressAutoHyphens/>
        <w:ind w:left="0" w:firstLine="709"/>
        <w:rPr>
          <w:bCs/>
          <w:szCs w:val="22"/>
          <w:lang w:val="fr-FR"/>
        </w:rPr>
      </w:pPr>
      <w:r w:rsidRPr="0026653F">
        <w:rPr>
          <w:bCs/>
          <w:szCs w:val="22"/>
          <w:lang w:val="fr-FR"/>
        </w:rPr>
        <w:t>D’exhorter les États membres à nommer un point focal qui soit en mesure de fournir au Secrétariat général, en particulier le D</w:t>
      </w:r>
      <w:r w:rsidR="00C34885" w:rsidRPr="0026653F">
        <w:rPr>
          <w:bCs/>
          <w:szCs w:val="22"/>
          <w:lang w:val="fr-FR"/>
        </w:rPr>
        <w:t>épartement de la sécurité publique</w:t>
      </w:r>
      <w:r w:rsidRPr="0026653F">
        <w:rPr>
          <w:bCs/>
          <w:szCs w:val="22"/>
          <w:lang w:val="fr-FR"/>
        </w:rPr>
        <w:t xml:space="preserve">, des informations sur la mise en œuvre du </w:t>
      </w:r>
      <w:r w:rsidR="001034DA" w:rsidRPr="0026653F">
        <w:rPr>
          <w:bCs/>
          <w:szCs w:val="22"/>
          <w:lang w:val="fr-FR"/>
        </w:rPr>
        <w:t>Plan d’action continental appelé à orienter l’élaboration des politiques publiques de prévention et de réduction des homicides intentionnels</w:t>
      </w:r>
      <w:r w:rsidRPr="0026653F">
        <w:rPr>
          <w:bCs/>
          <w:szCs w:val="22"/>
          <w:lang w:val="fr-FR"/>
        </w:rPr>
        <w:t>.</w:t>
      </w:r>
    </w:p>
    <w:p w14:paraId="3A20E9F2" w14:textId="77777777" w:rsidR="00293B12" w:rsidRPr="0026653F" w:rsidRDefault="00293B12" w:rsidP="00C618DD">
      <w:pPr>
        <w:suppressAutoHyphens/>
        <w:rPr>
          <w:szCs w:val="22"/>
          <w:lang w:val="fr-FR"/>
        </w:rPr>
      </w:pPr>
    </w:p>
    <w:p w14:paraId="1BBBC6CD" w14:textId="77777777" w:rsidR="00293B12" w:rsidRPr="0026653F" w:rsidRDefault="00293B12" w:rsidP="00C618DD">
      <w:pPr>
        <w:numPr>
          <w:ilvl w:val="0"/>
          <w:numId w:val="35"/>
        </w:numPr>
        <w:suppressAutoHyphens/>
        <w:ind w:left="0"/>
        <w:rPr>
          <w:szCs w:val="22"/>
          <w:lang w:val="fr-FR"/>
        </w:rPr>
      </w:pPr>
      <w:r w:rsidRPr="0026653F">
        <w:rPr>
          <w:szCs w:val="22"/>
          <w:lang w:val="fr-FR"/>
        </w:rPr>
        <w:t>De réaffirmer l’importance de mettre en place des activités orientées vers la prévention de la violence et de la criminalité auxquelles participerait la population, en particulier les groupes en situation de vulnérabilité, les enfants et les adolescents, les personnes handicapées et les personnes âgées, entre autres.</w:t>
      </w:r>
    </w:p>
    <w:p w14:paraId="0DC670CE" w14:textId="77777777" w:rsidR="00293B12" w:rsidRPr="0026653F" w:rsidRDefault="00293B12" w:rsidP="00C618DD">
      <w:pPr>
        <w:suppressAutoHyphens/>
        <w:rPr>
          <w:szCs w:val="22"/>
          <w:lang w:val="fr-FR"/>
        </w:rPr>
      </w:pPr>
    </w:p>
    <w:p w14:paraId="10E24982" w14:textId="77777777" w:rsidR="00293B12" w:rsidRPr="0026653F" w:rsidRDefault="00293B12" w:rsidP="00C618DD">
      <w:pPr>
        <w:numPr>
          <w:ilvl w:val="0"/>
          <w:numId w:val="35"/>
        </w:numPr>
        <w:suppressAutoHyphens/>
        <w:ind w:left="0"/>
        <w:rPr>
          <w:color w:val="000000"/>
          <w:szCs w:val="22"/>
          <w:lang w:val="fr-FR"/>
        </w:rPr>
      </w:pPr>
      <w:r w:rsidRPr="0026653F">
        <w:rPr>
          <w:szCs w:val="22"/>
          <w:lang w:val="fr-FR"/>
        </w:rPr>
        <w:t xml:space="preserve">D’inviter les États membres et les observateurs permanents à accéder à la plateforme virtuelle du Réseau interaméricain de prévention de la violence et de la criminalité, à faire connaître son existence et à y contribuer en téléchargeant des publications, études, rapports et nouvelles sur la prévention de la violence et de la criminalité qui présentent un intérêt pour la région (site en ligne : </w:t>
      </w:r>
      <w:hyperlink r:id="rId31" w:history="1">
        <w:r w:rsidRPr="0026653F">
          <w:rPr>
            <w:color w:val="0000FF"/>
            <w:szCs w:val="22"/>
            <w:u w:val="single"/>
            <w:lang w:val="fr-FR"/>
          </w:rPr>
          <w:t>https://www.oas.org/ext/es/seguridad/red-prevencion-crimen/</w:t>
        </w:r>
      </w:hyperlink>
      <w:r w:rsidRPr="0026653F">
        <w:rPr>
          <w:szCs w:val="22"/>
          <w:lang w:val="fr-FR"/>
        </w:rPr>
        <w:t>).</w:t>
      </w:r>
    </w:p>
    <w:p w14:paraId="542ABC51" w14:textId="77777777" w:rsidR="00293B12" w:rsidRPr="0026653F" w:rsidRDefault="00293B12" w:rsidP="00C618DD">
      <w:pPr>
        <w:suppressAutoHyphens/>
        <w:rPr>
          <w:color w:val="000000"/>
          <w:szCs w:val="22"/>
          <w:lang w:val="fr-FR"/>
        </w:rPr>
      </w:pPr>
    </w:p>
    <w:p w14:paraId="06876332" w14:textId="31AC6E30" w:rsidR="00293B12" w:rsidRPr="0026653F" w:rsidRDefault="00293B12" w:rsidP="00C618DD">
      <w:pPr>
        <w:numPr>
          <w:ilvl w:val="0"/>
          <w:numId w:val="35"/>
        </w:numPr>
        <w:suppressAutoHyphens/>
        <w:ind w:left="0"/>
        <w:rPr>
          <w:szCs w:val="22"/>
          <w:lang w:val="fr-FR"/>
        </w:rPr>
      </w:pPr>
      <w:r w:rsidRPr="0026653F">
        <w:rPr>
          <w:szCs w:val="22"/>
          <w:lang w:val="fr-FR"/>
        </w:rPr>
        <w:t xml:space="preserve">De demander au Secrétariat général, par l’intermédiaire du </w:t>
      </w:r>
      <w:r w:rsidR="00C34885" w:rsidRPr="0026653F">
        <w:rPr>
          <w:szCs w:val="22"/>
          <w:lang w:val="fr-FR"/>
        </w:rPr>
        <w:t>Département de la sécurité publique</w:t>
      </w:r>
      <w:r w:rsidRPr="0026653F">
        <w:rPr>
          <w:szCs w:val="22"/>
          <w:lang w:val="fr-FR"/>
        </w:rPr>
        <w:t xml:space="preserve">, et dans la limite des ressources financières disponibles, de continuer à soutenir les États membres dans la mise en œuvre de projets de prévention de la violence et de la criminalité dans le cadre du Programme interaméricain de prévention de la violence et de la criminalité et en privilégiant ceux qui visent la prévention de la violence homicide, la violence commise par les armes à feu et de la violence contre les groupes et sous-groupes démographiques en situation de vulnérabilité face aux formes de violence spécifiques, </w:t>
      </w:r>
      <w:r w:rsidRPr="0026653F">
        <w:rPr>
          <w:bCs/>
          <w:szCs w:val="22"/>
          <w:lang w:val="fr-FR"/>
        </w:rPr>
        <w:t xml:space="preserve">en particulier celles énoncées dans la recommandation 2.7 du </w:t>
      </w:r>
      <w:r w:rsidR="008245F7" w:rsidRPr="0026653F">
        <w:rPr>
          <w:bCs/>
          <w:szCs w:val="22"/>
          <w:lang w:val="fr-FR"/>
        </w:rPr>
        <w:t>Plan d’action continental appelé à orienter l’élaboration des politiques publiques de prévention et de réduction des homicides intentionnels</w:t>
      </w:r>
      <w:r w:rsidR="008245F7" w:rsidRPr="0026653F">
        <w:rPr>
          <w:szCs w:val="22"/>
          <w:lang w:val="fr-FR"/>
        </w:rPr>
        <w:t xml:space="preserve"> (</w:t>
      </w:r>
      <w:hyperlink r:id="rId32" w:history="1">
        <w:r w:rsidR="008245F7" w:rsidRPr="0026653F">
          <w:rPr>
            <w:bCs/>
            <w:color w:val="0000FF"/>
            <w:szCs w:val="22"/>
            <w:u w:val="single"/>
            <w:lang w:val="fr-FR"/>
          </w:rPr>
          <w:t>AG/doc.5667/19</w:t>
        </w:r>
      </w:hyperlink>
      <w:r w:rsidR="008245F7" w:rsidRPr="0026653F">
        <w:rPr>
          <w:bCs/>
          <w:color w:val="0000FF"/>
          <w:szCs w:val="22"/>
          <w:u w:val="single"/>
          <w:lang w:val="fr-FR"/>
        </w:rPr>
        <w:t xml:space="preserve"> </w:t>
      </w:r>
      <w:r w:rsidR="008245F7" w:rsidRPr="0026653F">
        <w:rPr>
          <w:bCs/>
          <w:szCs w:val="22"/>
          <w:lang w:val="fr-FR"/>
        </w:rPr>
        <w:t>rev. 1)</w:t>
      </w:r>
      <w:r w:rsidR="004D01F1" w:rsidRPr="0026653F">
        <w:rPr>
          <w:szCs w:val="22"/>
          <w:lang w:val="fr-FR"/>
        </w:rPr>
        <w:t>.</w:t>
      </w:r>
    </w:p>
    <w:p w14:paraId="12F51AA2" w14:textId="77777777" w:rsidR="00293B12" w:rsidRPr="0026653F" w:rsidRDefault="00293B12" w:rsidP="00C618DD">
      <w:pPr>
        <w:suppressAutoHyphens/>
        <w:rPr>
          <w:szCs w:val="22"/>
          <w:lang w:val="fr-FR"/>
        </w:rPr>
      </w:pPr>
    </w:p>
    <w:p w14:paraId="600B656F" w14:textId="77777777" w:rsidR="00293B12" w:rsidRPr="0026653F" w:rsidRDefault="00293B12" w:rsidP="00C618DD">
      <w:pPr>
        <w:numPr>
          <w:ilvl w:val="0"/>
          <w:numId w:val="3"/>
        </w:numPr>
        <w:suppressAutoHyphens/>
        <w:ind w:firstLine="0"/>
        <w:rPr>
          <w:color w:val="000000"/>
          <w:szCs w:val="22"/>
          <w:u w:val="single"/>
          <w:lang w:val="fr-FR"/>
        </w:rPr>
      </w:pPr>
      <w:r w:rsidRPr="0026653F">
        <w:rPr>
          <w:color w:val="000000"/>
          <w:szCs w:val="22"/>
          <w:u w:val="single"/>
          <w:lang w:val="fr-FR"/>
        </w:rPr>
        <w:t>Informations et connaissances en matière de sécurité multidimensionnelle</w:t>
      </w:r>
    </w:p>
    <w:p w14:paraId="303F3016" w14:textId="77777777" w:rsidR="00293B12" w:rsidRPr="0026653F" w:rsidRDefault="00293B12" w:rsidP="00C618DD">
      <w:pPr>
        <w:suppressAutoHyphens/>
        <w:rPr>
          <w:szCs w:val="22"/>
          <w:lang w:val="fr-FR"/>
        </w:rPr>
      </w:pPr>
    </w:p>
    <w:p w14:paraId="032490E4" w14:textId="3F0BF92F" w:rsidR="00293B12" w:rsidRPr="0026653F" w:rsidRDefault="00293B12" w:rsidP="00C618DD">
      <w:pPr>
        <w:numPr>
          <w:ilvl w:val="0"/>
          <w:numId w:val="35"/>
        </w:numPr>
        <w:suppressAutoHyphens/>
        <w:ind w:left="0"/>
        <w:rPr>
          <w:bCs/>
          <w:i/>
          <w:iCs/>
          <w:szCs w:val="22"/>
          <w:lang w:val="fr-FR"/>
        </w:rPr>
      </w:pPr>
      <w:r w:rsidRPr="0026653F">
        <w:rPr>
          <w:szCs w:val="22"/>
          <w:lang w:val="fr-FR"/>
        </w:rPr>
        <w:t>De s</w:t>
      </w:r>
      <w:r w:rsidRPr="0026653F">
        <w:rPr>
          <w:color w:val="000000"/>
          <w:szCs w:val="22"/>
          <w:lang w:val="fr-FR"/>
        </w:rPr>
        <w:t>ouligner qu’il importe que les États membres désignent un point focal national chargé de l’Enquête des Nations Unies sur les tendances de la criminalité et le fonctionnement des systèmes de justice pénale et qu’ils réaffirment leur engagement envers le processus de collecte de données officielles au moyen de cet instrument, qui permet de maintenir à jour l’Observatoire interaméricain sur la sécurité.</w:t>
      </w:r>
    </w:p>
    <w:p w14:paraId="2CD72696" w14:textId="77777777" w:rsidR="00293B12" w:rsidRPr="00161AFF" w:rsidRDefault="00293B12" w:rsidP="00C618DD">
      <w:pPr>
        <w:suppressAutoHyphens/>
        <w:rPr>
          <w:bCs/>
          <w:szCs w:val="22"/>
          <w:lang w:val="fr-FR"/>
        </w:rPr>
      </w:pPr>
    </w:p>
    <w:p w14:paraId="54F02554" w14:textId="3793C3EE" w:rsidR="00293B12" w:rsidRPr="0026653F" w:rsidRDefault="00293B12" w:rsidP="00C618DD">
      <w:pPr>
        <w:numPr>
          <w:ilvl w:val="0"/>
          <w:numId w:val="35"/>
        </w:numPr>
        <w:suppressAutoHyphens/>
        <w:ind w:left="0"/>
        <w:rPr>
          <w:color w:val="000000"/>
          <w:szCs w:val="22"/>
          <w:lang w:val="fr-FR"/>
        </w:rPr>
      </w:pPr>
      <w:r w:rsidRPr="0026653F">
        <w:rPr>
          <w:color w:val="000000"/>
          <w:szCs w:val="22"/>
          <w:lang w:val="fr-FR"/>
        </w:rPr>
        <w:t>D’inviter les États membres qui ne l’auraient pas encore fait à se joindre à l’initiative d’enquête sur les victimes d’infractions en Amérique latine et dans les Caraïbes (VICLAC) menée par le Centre d’excellence sur les statistiques en matière de gouvernance, de sécurité publique, de victimisation et de justice, dans le contexte de l’O</w:t>
      </w:r>
      <w:r w:rsidR="004D01F1" w:rsidRPr="0026653F">
        <w:rPr>
          <w:color w:val="000000"/>
          <w:szCs w:val="22"/>
          <w:lang w:val="fr-FR"/>
        </w:rPr>
        <w:t>ffice des Nations Unies contre la drogue et le crime (O</w:t>
      </w:r>
      <w:r w:rsidRPr="0026653F">
        <w:rPr>
          <w:color w:val="000000"/>
          <w:szCs w:val="22"/>
          <w:lang w:val="fr-FR"/>
        </w:rPr>
        <w:t>NUDC</w:t>
      </w:r>
      <w:r w:rsidR="004D01F1" w:rsidRPr="0026653F">
        <w:rPr>
          <w:color w:val="000000"/>
          <w:szCs w:val="22"/>
          <w:lang w:val="fr-FR"/>
        </w:rPr>
        <w:t>)</w:t>
      </w:r>
      <w:r w:rsidRPr="003D2FDE">
        <w:rPr>
          <w:color w:val="000000"/>
          <w:szCs w:val="22"/>
          <w:lang w:val="fr-FR"/>
        </w:rPr>
        <w:t>,</w:t>
      </w:r>
      <w:r w:rsidRPr="0026653F">
        <w:rPr>
          <w:color w:val="000000"/>
          <w:szCs w:val="22"/>
          <w:lang w:val="fr-FR"/>
        </w:rPr>
        <w:t xml:space="preserve"> laquelle vise à normaliser la mesure de la victimisation et générer des données comparables au niveau du continent américain.</w:t>
      </w:r>
    </w:p>
    <w:p w14:paraId="1BD4FA62" w14:textId="77777777" w:rsidR="00293B12" w:rsidRPr="0026653F" w:rsidRDefault="00293B12" w:rsidP="00C618DD">
      <w:pPr>
        <w:suppressAutoHyphens/>
        <w:rPr>
          <w:color w:val="000000"/>
          <w:szCs w:val="22"/>
          <w:lang w:val="fr-FR"/>
        </w:rPr>
      </w:pPr>
    </w:p>
    <w:p w14:paraId="54964689" w14:textId="77777777" w:rsidR="00293B12" w:rsidRPr="0026653F" w:rsidRDefault="00293B12" w:rsidP="00C618DD">
      <w:pPr>
        <w:numPr>
          <w:ilvl w:val="0"/>
          <w:numId w:val="35"/>
        </w:numPr>
        <w:suppressAutoHyphens/>
        <w:snapToGrid w:val="0"/>
        <w:ind w:left="0"/>
        <w:contextualSpacing/>
        <w:rPr>
          <w:szCs w:val="22"/>
          <w:lang w:val="fr-FR"/>
        </w:rPr>
      </w:pPr>
      <w:r w:rsidRPr="0026653F">
        <w:rPr>
          <w:szCs w:val="22"/>
          <w:lang w:val="fr-FR"/>
        </w:rPr>
        <w:lastRenderedPageBreak/>
        <w:t>De renforcer parmi les États membres l’importance d’évaluer les interventions de sécurité publique et de promouvoir le développement d’outils informatiques qui leur permettent de documenter et de partager de bonnes pratiques et les enseignements tirés de la mise en œuvre de celles-ci.</w:t>
      </w:r>
    </w:p>
    <w:p w14:paraId="241CD3CE" w14:textId="77777777" w:rsidR="00293B12" w:rsidRPr="0026653F" w:rsidRDefault="00293B12" w:rsidP="00C618DD">
      <w:pPr>
        <w:suppressAutoHyphens/>
        <w:rPr>
          <w:szCs w:val="22"/>
          <w:lang w:val="fr-FR"/>
        </w:rPr>
      </w:pPr>
    </w:p>
    <w:p w14:paraId="00F65E1B" w14:textId="77777777" w:rsidR="00293B12" w:rsidRPr="0026653F" w:rsidRDefault="00293B12" w:rsidP="00C618DD">
      <w:pPr>
        <w:numPr>
          <w:ilvl w:val="0"/>
          <w:numId w:val="35"/>
        </w:numPr>
        <w:suppressAutoHyphens/>
        <w:snapToGrid w:val="0"/>
        <w:ind w:left="0"/>
        <w:contextualSpacing/>
        <w:rPr>
          <w:szCs w:val="22"/>
          <w:lang w:val="fr-FR"/>
        </w:rPr>
      </w:pPr>
      <w:r w:rsidRPr="0026653F">
        <w:rPr>
          <w:szCs w:val="22"/>
          <w:lang w:val="fr-FR"/>
        </w:rPr>
        <w:t>D’inviter les observatoires de la criminalité présents dans les États membres de participer à la Communauté interaméricaine des observatoires, laquelle est gérée par la Section de l’information et des connaissances du Département de la sécurité publique.</w:t>
      </w:r>
    </w:p>
    <w:p w14:paraId="0684E43D" w14:textId="77777777" w:rsidR="00293B12" w:rsidRPr="0026653F" w:rsidRDefault="00293B12" w:rsidP="00C618DD">
      <w:pPr>
        <w:suppressAutoHyphens/>
        <w:rPr>
          <w:color w:val="000000"/>
          <w:szCs w:val="22"/>
          <w:lang w:val="fr-FR"/>
        </w:rPr>
      </w:pPr>
    </w:p>
    <w:p w14:paraId="3334B501" w14:textId="77777777" w:rsidR="00293B12" w:rsidRPr="0026653F" w:rsidRDefault="00293B12" w:rsidP="00C618DD">
      <w:pPr>
        <w:numPr>
          <w:ilvl w:val="0"/>
          <w:numId w:val="35"/>
        </w:numPr>
        <w:suppressAutoHyphens/>
        <w:ind w:left="0"/>
        <w:rPr>
          <w:color w:val="000000"/>
          <w:szCs w:val="22"/>
          <w:lang w:val="fr-FR"/>
        </w:rPr>
      </w:pPr>
      <w:r w:rsidRPr="0026653F">
        <w:rPr>
          <w:bCs/>
          <w:szCs w:val="22"/>
          <w:lang w:val="fr-FR"/>
        </w:rPr>
        <w:t>D’inviter instamment les systèmes d’urgence et de sécurité à se joindre à la communauté virtuelle créée spécialement à leur intention et à échanger des informations utiles pour le fonctionnement</w:t>
      </w:r>
      <w:r w:rsidR="005C1962" w:rsidRPr="0026653F">
        <w:rPr>
          <w:bCs/>
          <w:szCs w:val="22"/>
          <w:lang w:val="fr-FR"/>
        </w:rPr>
        <w:t xml:space="preserve"> et la gestion de ces systèmes.</w:t>
      </w:r>
    </w:p>
    <w:p w14:paraId="0810B939" w14:textId="77777777" w:rsidR="00293B12" w:rsidRPr="0026653F" w:rsidRDefault="00293B12" w:rsidP="00C618DD">
      <w:pPr>
        <w:rPr>
          <w:color w:val="000000"/>
          <w:szCs w:val="22"/>
          <w:lang w:val="fr-FR"/>
        </w:rPr>
      </w:pPr>
    </w:p>
    <w:p w14:paraId="049E6955" w14:textId="1B661842" w:rsidR="00293B12" w:rsidRPr="0026653F" w:rsidRDefault="00293B12" w:rsidP="00C618DD">
      <w:pPr>
        <w:numPr>
          <w:ilvl w:val="0"/>
          <w:numId w:val="3"/>
        </w:numPr>
        <w:suppressAutoHyphens/>
        <w:ind w:firstLine="0"/>
        <w:rPr>
          <w:color w:val="000000"/>
          <w:szCs w:val="22"/>
          <w:u w:val="single"/>
          <w:lang w:val="fr-FR"/>
        </w:rPr>
      </w:pPr>
      <w:r w:rsidRPr="0026653F">
        <w:rPr>
          <w:color w:val="000000"/>
          <w:szCs w:val="22"/>
          <w:u w:val="single"/>
          <w:lang w:val="fr-FR"/>
        </w:rPr>
        <w:t>Promotion de la coopération policière</w:t>
      </w:r>
      <w:r w:rsidR="003D2FDE" w:rsidRPr="003D2FDE">
        <w:rPr>
          <w:color w:val="000000"/>
          <w:szCs w:val="22"/>
          <w:vertAlign w:val="superscript"/>
          <w:lang w:val="fr-FR"/>
        </w:rPr>
        <w:t xml:space="preserve"> </w:t>
      </w:r>
      <w:r w:rsidRPr="0026653F">
        <w:rPr>
          <w:szCs w:val="22"/>
          <w:u w:val="single"/>
          <w:vertAlign w:val="superscript"/>
          <w:lang w:val="fr-FR"/>
        </w:rPr>
        <w:footnoteReference w:id="19"/>
      </w:r>
      <w:r w:rsidR="005C1962" w:rsidRPr="0026653F">
        <w:rPr>
          <w:color w:val="000000"/>
          <w:szCs w:val="22"/>
          <w:vertAlign w:val="superscript"/>
          <w:lang w:val="fr-FR"/>
        </w:rPr>
        <w:t>/</w:t>
      </w:r>
    </w:p>
    <w:p w14:paraId="4C3BA4C1" w14:textId="77777777" w:rsidR="00293B12" w:rsidRPr="0026653F" w:rsidRDefault="00293B12" w:rsidP="00C618DD">
      <w:pPr>
        <w:suppressAutoHyphens/>
        <w:jc w:val="left"/>
        <w:rPr>
          <w:color w:val="000000"/>
          <w:szCs w:val="22"/>
          <w:u w:val="single"/>
          <w:lang w:val="fr-FR"/>
        </w:rPr>
      </w:pPr>
    </w:p>
    <w:p w14:paraId="272C4B28" w14:textId="45648F8F" w:rsidR="00293B12" w:rsidRPr="0026653F" w:rsidRDefault="00293B12" w:rsidP="00C618DD">
      <w:pPr>
        <w:numPr>
          <w:ilvl w:val="0"/>
          <w:numId w:val="36"/>
        </w:numPr>
        <w:suppressAutoHyphens/>
        <w:ind w:left="0" w:firstLine="709"/>
        <w:rPr>
          <w:rFonts w:eastAsia="MS Mincho"/>
          <w:szCs w:val="22"/>
          <w:lang w:val="fr-FR"/>
        </w:rPr>
      </w:pPr>
      <w:r w:rsidRPr="0026653F">
        <w:rPr>
          <w:szCs w:val="22"/>
          <w:lang w:val="fr-FR"/>
        </w:rPr>
        <w:t xml:space="preserve">De remercier le Gouvernement d’El Salvador pour son offre d’accueillir le troisième cours présentiel de formation policière du Réseau interaméricain de développement et de professionnalisation de la police (REDPPOL), lequel se déroulera au second semestre </w:t>
      </w:r>
      <w:r w:rsidR="00BE3299" w:rsidRPr="0026653F">
        <w:rPr>
          <w:szCs w:val="22"/>
          <w:lang w:val="fr-FR"/>
        </w:rPr>
        <w:t xml:space="preserve">de </w:t>
      </w:r>
      <w:r w:rsidRPr="0026653F">
        <w:rPr>
          <w:szCs w:val="22"/>
          <w:lang w:val="fr-FR"/>
        </w:rPr>
        <w:t xml:space="preserve">2021, de lui demander de présenter les résultats obtenus </w:t>
      </w:r>
      <w:r w:rsidR="009F0ABA" w:rsidRPr="0026653F">
        <w:rPr>
          <w:szCs w:val="22"/>
          <w:lang w:val="fr-FR"/>
        </w:rPr>
        <w:t>durant ce cours</w:t>
      </w:r>
      <w:r w:rsidRPr="0026653F">
        <w:rPr>
          <w:szCs w:val="22"/>
          <w:lang w:val="fr-FR"/>
        </w:rPr>
        <w:t xml:space="preserve"> </w:t>
      </w:r>
      <w:r w:rsidR="009F0ABA" w:rsidRPr="0026653F">
        <w:rPr>
          <w:szCs w:val="22"/>
          <w:lang w:val="fr-FR"/>
        </w:rPr>
        <w:t xml:space="preserve">à </w:t>
      </w:r>
      <w:r w:rsidRPr="0026653F">
        <w:rPr>
          <w:szCs w:val="22"/>
          <w:lang w:val="fr-FR"/>
        </w:rPr>
        <w:t>la MISPA-VII</w:t>
      </w:r>
      <w:r w:rsidR="007B5895" w:rsidRPr="0026653F">
        <w:rPr>
          <w:szCs w:val="22"/>
          <w:lang w:val="fr-FR"/>
        </w:rPr>
        <w:t>I,</w:t>
      </w:r>
      <w:r w:rsidRPr="0026653F">
        <w:rPr>
          <w:szCs w:val="22"/>
          <w:lang w:val="fr-FR"/>
        </w:rPr>
        <w:t xml:space="preserve"> et d’inviter les États membres à poursuivre leur contribution technique et financière à l</w:t>
      </w:r>
      <w:r w:rsidR="005C1962" w:rsidRPr="0026653F">
        <w:rPr>
          <w:szCs w:val="22"/>
          <w:lang w:val="fr-FR"/>
        </w:rPr>
        <w:t>’appui des activités du Réseau.</w:t>
      </w:r>
    </w:p>
    <w:p w14:paraId="694C00D1" w14:textId="77777777" w:rsidR="00293B12" w:rsidRPr="0026653F" w:rsidRDefault="00293B12" w:rsidP="00C618DD">
      <w:pPr>
        <w:suppressAutoHyphens/>
        <w:rPr>
          <w:szCs w:val="22"/>
          <w:u w:val="single"/>
          <w:lang w:val="fr-FR"/>
        </w:rPr>
      </w:pPr>
    </w:p>
    <w:p w14:paraId="23C8301D" w14:textId="1B70172C" w:rsidR="00293B12" w:rsidRPr="0026653F" w:rsidRDefault="00293B12" w:rsidP="00C618DD">
      <w:pPr>
        <w:numPr>
          <w:ilvl w:val="0"/>
          <w:numId w:val="36"/>
        </w:numPr>
        <w:suppressAutoHyphens/>
        <w:ind w:left="0"/>
        <w:rPr>
          <w:color w:val="000000"/>
          <w:szCs w:val="22"/>
          <w:u w:val="single"/>
          <w:lang w:val="fr-FR"/>
        </w:rPr>
      </w:pPr>
      <w:r w:rsidRPr="0026653F">
        <w:rPr>
          <w:szCs w:val="22"/>
          <w:lang w:val="fr-FR"/>
        </w:rPr>
        <w:t>D’exhorter les États membres à désigner un responsable de la police pour appuyer, y compris virtuellement, le Secrétariat général, par l’intermédiaire du D</w:t>
      </w:r>
      <w:r w:rsidR="007424B7" w:rsidRPr="0026653F">
        <w:rPr>
          <w:szCs w:val="22"/>
          <w:lang w:val="fr-FR"/>
        </w:rPr>
        <w:t>épartement de la sécurité publique</w:t>
      </w:r>
      <w:r w:rsidRPr="0026653F">
        <w:rPr>
          <w:szCs w:val="22"/>
          <w:lang w:val="fr-FR"/>
        </w:rPr>
        <w:t>, dans la mise en œuvre de la plateforme virtuelle REDPPOL et pour fournir des conseils techniques sur les pratiques et normes en matière policière.</w:t>
      </w:r>
    </w:p>
    <w:p w14:paraId="51EA8860" w14:textId="77777777" w:rsidR="00293B12" w:rsidRPr="0026653F" w:rsidRDefault="00293B12" w:rsidP="00C618DD">
      <w:pPr>
        <w:suppressAutoHyphens/>
        <w:rPr>
          <w:color w:val="000000"/>
          <w:szCs w:val="22"/>
          <w:u w:val="single"/>
          <w:lang w:val="fr-FR"/>
        </w:rPr>
      </w:pPr>
    </w:p>
    <w:p w14:paraId="2D7E9B6D" w14:textId="3635C508" w:rsidR="00293B12" w:rsidRPr="0026653F" w:rsidRDefault="00293B12" w:rsidP="00C618DD">
      <w:pPr>
        <w:numPr>
          <w:ilvl w:val="0"/>
          <w:numId w:val="36"/>
        </w:numPr>
        <w:suppressAutoHyphens/>
        <w:ind w:left="0"/>
        <w:rPr>
          <w:color w:val="000000"/>
          <w:szCs w:val="22"/>
          <w:u w:val="single"/>
          <w:lang w:val="fr-FR"/>
        </w:rPr>
      </w:pPr>
      <w:r w:rsidRPr="0026653F">
        <w:rPr>
          <w:szCs w:val="22"/>
          <w:lang w:val="fr-FR"/>
        </w:rPr>
        <w:t xml:space="preserve">De demander une assistance technique permanente au sujet des normes et pratiques policières </w:t>
      </w:r>
      <w:r w:rsidR="007424B7" w:rsidRPr="0026653F">
        <w:rPr>
          <w:szCs w:val="22"/>
          <w:lang w:val="fr-FR"/>
        </w:rPr>
        <w:t>de la Communauté des institutions policières d’Amérique (</w:t>
      </w:r>
      <w:r w:rsidRPr="0026653F">
        <w:rPr>
          <w:szCs w:val="22"/>
          <w:lang w:val="fr-FR"/>
        </w:rPr>
        <w:t>AMERIPOL</w:t>
      </w:r>
      <w:r w:rsidR="007424B7" w:rsidRPr="0026653F">
        <w:rPr>
          <w:szCs w:val="22"/>
          <w:lang w:val="fr-FR"/>
        </w:rPr>
        <w:t>)</w:t>
      </w:r>
      <w:r w:rsidRPr="0026653F">
        <w:rPr>
          <w:szCs w:val="22"/>
          <w:lang w:val="fr-FR"/>
        </w:rPr>
        <w:t>, dans le contexte du Protocole d’entente actuel entre AMERIPOL et le SSM.</w:t>
      </w:r>
    </w:p>
    <w:p w14:paraId="6D1D6230" w14:textId="77777777" w:rsidR="00293B12" w:rsidRPr="0026653F" w:rsidRDefault="00293B12" w:rsidP="00C618DD">
      <w:pPr>
        <w:suppressAutoHyphens/>
        <w:rPr>
          <w:color w:val="000000"/>
          <w:szCs w:val="22"/>
          <w:u w:val="single"/>
          <w:lang w:val="fr-FR"/>
        </w:rPr>
      </w:pPr>
    </w:p>
    <w:p w14:paraId="1B4CB11E" w14:textId="77777777" w:rsidR="00293B12" w:rsidRPr="0026653F" w:rsidRDefault="00293B12" w:rsidP="00C618DD">
      <w:pPr>
        <w:numPr>
          <w:ilvl w:val="0"/>
          <w:numId w:val="36"/>
        </w:numPr>
        <w:suppressAutoHyphens/>
        <w:ind w:left="0"/>
        <w:rPr>
          <w:i/>
          <w:color w:val="000000"/>
          <w:szCs w:val="22"/>
          <w:lang w:val="fr-FR"/>
        </w:rPr>
      </w:pPr>
      <w:r w:rsidRPr="0026653F">
        <w:rPr>
          <w:color w:val="000000"/>
          <w:szCs w:val="22"/>
          <w:lang w:val="fr-FR"/>
        </w:rPr>
        <w:t>De remercier le Gouvernement de l’Italie pour sa contribution à l’élaboration des normes de gestion de l’excellence pour les policiers dans le cadre du REDPPOL.</w:t>
      </w:r>
    </w:p>
    <w:p w14:paraId="6833921B" w14:textId="77777777" w:rsidR="00293B12" w:rsidRPr="0026653F" w:rsidRDefault="00293B12" w:rsidP="00C618DD">
      <w:pPr>
        <w:suppressAutoHyphens/>
        <w:jc w:val="left"/>
        <w:rPr>
          <w:color w:val="000000"/>
          <w:szCs w:val="22"/>
          <w:lang w:val="fr-FR"/>
        </w:rPr>
      </w:pPr>
    </w:p>
    <w:p w14:paraId="1D78F738" w14:textId="47D499C6" w:rsidR="00293B12" w:rsidRPr="0026653F" w:rsidRDefault="00293B12" w:rsidP="00C618DD">
      <w:pPr>
        <w:numPr>
          <w:ilvl w:val="0"/>
          <w:numId w:val="36"/>
        </w:numPr>
        <w:suppressAutoHyphens/>
        <w:ind w:left="0"/>
        <w:rPr>
          <w:i/>
          <w:color w:val="000000"/>
          <w:szCs w:val="22"/>
          <w:lang w:val="fr-FR"/>
        </w:rPr>
      </w:pPr>
      <w:r w:rsidRPr="0026653F">
        <w:rPr>
          <w:color w:val="000000"/>
          <w:szCs w:val="22"/>
          <w:lang w:val="fr-FR"/>
        </w:rPr>
        <w:t xml:space="preserve">De demander au Secrétariat général, par l’intermédiaire du </w:t>
      </w:r>
      <w:r w:rsidR="0098078E" w:rsidRPr="0026653F">
        <w:rPr>
          <w:color w:val="000000"/>
          <w:szCs w:val="22"/>
          <w:lang w:val="fr-FR"/>
        </w:rPr>
        <w:t>Département de la sécurité publique</w:t>
      </w:r>
      <w:r w:rsidRPr="0026653F">
        <w:rPr>
          <w:color w:val="000000"/>
          <w:szCs w:val="22"/>
          <w:lang w:val="fr-FR"/>
        </w:rPr>
        <w:t xml:space="preserve"> et dans le cadre du REDPPOL, de continuer de soutenir le renforcement des capacités des forces policières qui interviennent dans des régions frontalières et sur les questions de contrôle migratoire.</w:t>
      </w:r>
    </w:p>
    <w:p w14:paraId="44B0D7EA" w14:textId="77777777" w:rsidR="00293B12" w:rsidRPr="0026653F" w:rsidRDefault="00293B12" w:rsidP="00C618DD">
      <w:pPr>
        <w:rPr>
          <w:iCs/>
          <w:color w:val="000000"/>
          <w:szCs w:val="22"/>
          <w:lang w:val="fr-FR"/>
        </w:rPr>
      </w:pPr>
    </w:p>
    <w:p w14:paraId="4F580B2B" w14:textId="77777777" w:rsidR="00293B12" w:rsidRPr="0026653F" w:rsidRDefault="00293B12" w:rsidP="00C618DD">
      <w:pPr>
        <w:numPr>
          <w:ilvl w:val="0"/>
          <w:numId w:val="3"/>
        </w:numPr>
        <w:suppressAutoHyphens/>
        <w:ind w:firstLine="0"/>
        <w:rPr>
          <w:bCs/>
          <w:strike/>
          <w:color w:val="000000"/>
          <w:szCs w:val="22"/>
          <w:lang w:val="fr-FR"/>
        </w:rPr>
      </w:pPr>
      <w:r w:rsidRPr="0026653F">
        <w:rPr>
          <w:color w:val="000000"/>
          <w:szCs w:val="22"/>
          <w:u w:val="single"/>
          <w:lang w:val="fr-FR"/>
        </w:rPr>
        <w:t>Systèmes de justice, pénitentiaires et carcéraux</w:t>
      </w:r>
    </w:p>
    <w:p w14:paraId="7FB13E51" w14:textId="77777777" w:rsidR="00293B12" w:rsidRPr="0026653F" w:rsidRDefault="00293B12" w:rsidP="00C618DD">
      <w:pPr>
        <w:suppressAutoHyphens/>
        <w:jc w:val="left"/>
        <w:rPr>
          <w:bCs/>
          <w:strike/>
          <w:color w:val="000000"/>
          <w:szCs w:val="22"/>
          <w:lang w:val="fr-FR"/>
        </w:rPr>
      </w:pPr>
    </w:p>
    <w:p w14:paraId="4DB0B77D" w14:textId="77777777" w:rsidR="00293B12" w:rsidRPr="0026653F" w:rsidRDefault="00293B12" w:rsidP="00C618DD">
      <w:pPr>
        <w:numPr>
          <w:ilvl w:val="0"/>
          <w:numId w:val="37"/>
        </w:numPr>
        <w:suppressAutoHyphens/>
        <w:ind w:left="0" w:firstLine="709"/>
        <w:rPr>
          <w:rFonts w:eastAsia="MS Mincho"/>
          <w:szCs w:val="22"/>
          <w:lang w:val="fr-FR"/>
        </w:rPr>
      </w:pPr>
      <w:r w:rsidRPr="0026653F">
        <w:rPr>
          <w:szCs w:val="22"/>
          <w:lang w:val="fr-FR"/>
        </w:rPr>
        <w:t xml:space="preserve">De prendre note des Recommandations de la Quatrième Réunion des autorités responsables des politiques pénitentiaires et carcérales des États membres de l’OEA adoptées à Santo Domingo (République dominicaine), lesquelles seront transmises à la Réunion des ministres de la justice des Amériques (REMJA), et de remercier le Gouvernement du Honduras pour son offre </w:t>
      </w:r>
      <w:r w:rsidRPr="0026653F">
        <w:rPr>
          <w:szCs w:val="22"/>
          <w:lang w:val="fr-FR"/>
        </w:rPr>
        <w:lastRenderedPageBreak/>
        <w:t>d’accueillir la Cinquième Réunion des autorités responsables des politiques pénitentiaires et carcérales des États membres de</w:t>
      </w:r>
      <w:r w:rsidR="005C1962" w:rsidRPr="0026653F">
        <w:rPr>
          <w:szCs w:val="22"/>
          <w:lang w:val="fr-FR"/>
        </w:rPr>
        <w:t xml:space="preserve"> l’OEA, qui se tiendra en 2021.</w:t>
      </w:r>
    </w:p>
    <w:p w14:paraId="0F7C1F3D" w14:textId="77777777" w:rsidR="00293B12" w:rsidRPr="0026653F" w:rsidRDefault="00293B12" w:rsidP="00C618DD">
      <w:pPr>
        <w:suppressAutoHyphens/>
        <w:rPr>
          <w:rFonts w:eastAsia="MS Mincho"/>
          <w:szCs w:val="22"/>
          <w:lang w:val="fr-FR"/>
        </w:rPr>
      </w:pPr>
    </w:p>
    <w:p w14:paraId="27C71F0F" w14:textId="421C20EA" w:rsidR="00293B12" w:rsidRPr="0026653F" w:rsidRDefault="00293B12" w:rsidP="00C618DD">
      <w:pPr>
        <w:numPr>
          <w:ilvl w:val="0"/>
          <w:numId w:val="37"/>
        </w:numPr>
        <w:suppressAutoHyphens/>
        <w:ind w:left="0" w:firstLine="709"/>
        <w:rPr>
          <w:rFonts w:eastAsia="MS Mincho"/>
          <w:szCs w:val="22"/>
          <w:lang w:val="fr-FR"/>
        </w:rPr>
      </w:pPr>
      <w:r w:rsidRPr="0026653F">
        <w:rPr>
          <w:bCs/>
          <w:szCs w:val="22"/>
          <w:lang w:val="fr-FR"/>
        </w:rPr>
        <w:t xml:space="preserve">De développer, selon le besoin, la capacité des systèmes de justice pour mineurs </w:t>
      </w:r>
      <w:r w:rsidR="00DF572D" w:rsidRPr="0026653F">
        <w:rPr>
          <w:bCs/>
          <w:szCs w:val="22"/>
          <w:lang w:val="fr-FR"/>
        </w:rPr>
        <w:t>afin de</w:t>
      </w:r>
      <w:r w:rsidRPr="0026653F">
        <w:rPr>
          <w:bCs/>
          <w:szCs w:val="22"/>
          <w:lang w:val="fr-FR"/>
        </w:rPr>
        <w:t xml:space="preserve"> promouvoir l’inclusion sociale et diminuer la violence.</w:t>
      </w:r>
    </w:p>
    <w:p w14:paraId="1CFF4942" w14:textId="77777777" w:rsidR="00293B12" w:rsidRPr="0026653F" w:rsidRDefault="00293B12" w:rsidP="00C618DD">
      <w:pPr>
        <w:suppressAutoHyphens/>
        <w:jc w:val="left"/>
        <w:rPr>
          <w:szCs w:val="22"/>
          <w:lang w:val="fr-FR"/>
        </w:rPr>
      </w:pPr>
    </w:p>
    <w:p w14:paraId="08AA3568" w14:textId="4963606F" w:rsidR="00293B12" w:rsidRPr="0026653F" w:rsidRDefault="00293B12" w:rsidP="00C618DD">
      <w:pPr>
        <w:numPr>
          <w:ilvl w:val="0"/>
          <w:numId w:val="37"/>
        </w:numPr>
        <w:suppressAutoHyphens/>
        <w:ind w:left="0"/>
        <w:rPr>
          <w:szCs w:val="22"/>
          <w:lang w:val="fr-FR"/>
        </w:rPr>
      </w:pPr>
      <w:r w:rsidRPr="0026653F">
        <w:rPr>
          <w:szCs w:val="22"/>
          <w:lang w:val="fr-FR"/>
        </w:rPr>
        <w:t>De charger le SSM, par l’intermédiaire du Département de la sécurité publique, de promouvoir la professionnalisation du personnel pénitentiaire dans les États membres, à tous les niveaux, selon les exigences et les conditions de la fonction qu’il remplit, en considérant qu’un personnel formé, éthique et disposant d’outils pour répondre aux exigences du système pénitentiaire</w:t>
      </w:r>
      <w:r w:rsidR="00DF572D" w:rsidRPr="0026653F">
        <w:rPr>
          <w:szCs w:val="22"/>
          <w:lang w:val="fr-FR"/>
        </w:rPr>
        <w:t xml:space="preserve"> </w:t>
      </w:r>
      <w:r w:rsidRPr="0026653F">
        <w:rPr>
          <w:szCs w:val="22"/>
          <w:lang w:val="fr-FR"/>
        </w:rPr>
        <w:t>est essentiel pour</w:t>
      </w:r>
      <w:r w:rsidRPr="0026653F">
        <w:rPr>
          <w:b/>
          <w:bCs/>
          <w:szCs w:val="22"/>
          <w:lang w:val="fr-FR"/>
        </w:rPr>
        <w:t xml:space="preserve"> </w:t>
      </w:r>
      <w:r w:rsidRPr="0026653F">
        <w:rPr>
          <w:szCs w:val="22"/>
          <w:lang w:val="fr-FR"/>
        </w:rPr>
        <w:t>humaniser la privation de liberté.</w:t>
      </w:r>
    </w:p>
    <w:p w14:paraId="04CF94C0" w14:textId="77777777" w:rsidR="00293B12" w:rsidRPr="0026653F" w:rsidRDefault="00293B12" w:rsidP="00C618DD">
      <w:pPr>
        <w:suppressAutoHyphens/>
        <w:rPr>
          <w:bCs/>
          <w:szCs w:val="22"/>
          <w:lang w:val="fr-FR"/>
        </w:rPr>
      </w:pPr>
    </w:p>
    <w:p w14:paraId="2A8A458B" w14:textId="77777777" w:rsidR="00293B12" w:rsidRPr="0026653F" w:rsidRDefault="00293B12" w:rsidP="00C618DD">
      <w:pPr>
        <w:numPr>
          <w:ilvl w:val="0"/>
          <w:numId w:val="37"/>
        </w:numPr>
        <w:suppressAutoHyphens/>
        <w:ind w:left="0"/>
        <w:rPr>
          <w:szCs w:val="22"/>
          <w:lang w:val="fr-FR"/>
        </w:rPr>
      </w:pPr>
      <w:r w:rsidRPr="0026653F">
        <w:rPr>
          <w:szCs w:val="22"/>
          <w:lang w:val="fr-FR"/>
        </w:rPr>
        <w:t>De charger le SSM, par l’intermédiaire du Département de la sécurité publique, de présenter à la CSH les lignes directrices de la Stratégie pénitentiaire et de continuer de mettre en œuvre les piliers de ladite stratégie pour soutenir les États membres dans l’adoption de mesures de substitution à l’emprisonnement et de mesures de protection du citoyen privé de liberté, ainsi que de mieux structurer les services offerts par les bureaux de défenseurs publics.</w:t>
      </w:r>
    </w:p>
    <w:p w14:paraId="159ABD64" w14:textId="77777777" w:rsidR="00293B12" w:rsidRPr="0026653F" w:rsidRDefault="00293B12" w:rsidP="00C618DD">
      <w:pPr>
        <w:suppressAutoHyphens/>
        <w:rPr>
          <w:szCs w:val="22"/>
          <w:lang w:val="fr-FR"/>
        </w:rPr>
      </w:pPr>
    </w:p>
    <w:p w14:paraId="6C605B46" w14:textId="04774C6F" w:rsidR="00293B12" w:rsidRPr="0026653F" w:rsidRDefault="00293B12" w:rsidP="00C618DD">
      <w:pPr>
        <w:numPr>
          <w:ilvl w:val="0"/>
          <w:numId w:val="37"/>
        </w:numPr>
        <w:suppressAutoHyphens/>
        <w:ind w:left="0"/>
        <w:rPr>
          <w:szCs w:val="22"/>
          <w:lang w:val="fr-FR"/>
        </w:rPr>
      </w:pPr>
      <w:r w:rsidRPr="0026653F">
        <w:rPr>
          <w:szCs w:val="22"/>
          <w:lang w:val="fr-FR"/>
        </w:rPr>
        <w:t>De charger le Département de la sécurité publique, avec le soutien des autorités compétentes et en fonction de la disponibilité de</w:t>
      </w:r>
      <w:r w:rsidR="00317D30" w:rsidRPr="0026653F">
        <w:rPr>
          <w:szCs w:val="22"/>
          <w:lang w:val="fr-FR"/>
        </w:rPr>
        <w:t xml:space="preserve"> fonds</w:t>
      </w:r>
      <w:r w:rsidRPr="0026653F">
        <w:rPr>
          <w:szCs w:val="22"/>
          <w:lang w:val="fr-FR"/>
        </w:rPr>
        <w:t>, d’élaborer une proposition de méthodologie et un formulaire normalisé d’enquête sur les prisons dans la région et de présenter un rapport à la CSH au cours du second semestre de 2021.</w:t>
      </w:r>
    </w:p>
    <w:p w14:paraId="479A843D" w14:textId="77777777" w:rsidR="00293B12" w:rsidRPr="0026653F" w:rsidRDefault="00293B12" w:rsidP="00C618DD">
      <w:pPr>
        <w:suppressAutoHyphens/>
        <w:jc w:val="left"/>
        <w:rPr>
          <w:szCs w:val="22"/>
          <w:lang w:val="fr-FR"/>
        </w:rPr>
      </w:pPr>
    </w:p>
    <w:p w14:paraId="0DD00316" w14:textId="6FBBE416" w:rsidR="00293B12" w:rsidRPr="0026653F" w:rsidRDefault="00293B12" w:rsidP="00C618DD">
      <w:pPr>
        <w:numPr>
          <w:ilvl w:val="0"/>
          <w:numId w:val="37"/>
        </w:numPr>
        <w:suppressAutoHyphens/>
        <w:ind w:left="0"/>
        <w:rPr>
          <w:szCs w:val="22"/>
          <w:lang w:val="fr-FR"/>
        </w:rPr>
      </w:pPr>
      <w:r w:rsidRPr="0026653F">
        <w:rPr>
          <w:szCs w:val="22"/>
          <w:lang w:val="fr-FR"/>
        </w:rPr>
        <w:t>De charger le SSM, par l’intermédiaire du Département de la sécurité publique, de continuer de soutenir les États membres qui en font la demande en matière d’élaboration et de mise en œuvre d’initiatives visant le renforcement des programmes de prise en charge des victimes de la violence et de la criminalité ainsi que de coordination entre les systèmes de justice, les systèmes de sécurité et les systèmes pénitentiaires.</w:t>
      </w:r>
    </w:p>
    <w:p w14:paraId="00131E31" w14:textId="77777777" w:rsidR="00293B12" w:rsidRPr="0026653F" w:rsidRDefault="00293B12" w:rsidP="00C618DD">
      <w:pPr>
        <w:jc w:val="left"/>
        <w:rPr>
          <w:szCs w:val="22"/>
          <w:lang w:val="fr-FR"/>
        </w:rPr>
      </w:pPr>
    </w:p>
    <w:p w14:paraId="7879DDF1" w14:textId="5231086D" w:rsidR="00293B12" w:rsidRPr="0026653F" w:rsidRDefault="00293B12" w:rsidP="00C618DD">
      <w:pPr>
        <w:numPr>
          <w:ilvl w:val="0"/>
          <w:numId w:val="37"/>
        </w:numPr>
        <w:suppressAutoHyphens/>
        <w:ind w:left="0"/>
        <w:rPr>
          <w:szCs w:val="22"/>
          <w:lang w:val="fr-FR"/>
        </w:rPr>
      </w:pPr>
      <w:r w:rsidRPr="0026653F">
        <w:rPr>
          <w:szCs w:val="22"/>
          <w:lang w:val="fr-FR"/>
        </w:rPr>
        <w:t xml:space="preserve">De charger le SSM, par l’intermédiaire du </w:t>
      </w:r>
      <w:r w:rsidR="0098078E" w:rsidRPr="0026653F">
        <w:rPr>
          <w:szCs w:val="22"/>
          <w:lang w:val="fr-FR"/>
        </w:rPr>
        <w:t>Département de la sécurité publique</w:t>
      </w:r>
      <w:r w:rsidRPr="0026653F">
        <w:rPr>
          <w:szCs w:val="22"/>
          <w:lang w:val="fr-FR"/>
        </w:rPr>
        <w:t>, d’appuyer les États membres, quand ils en font la demande, dans l’élaboration de stratégies en matière de justice réparatrice dans le cadre de leurs systèmes de justice pénale, en promouvant des modèles de réparation innovants</w:t>
      </w:r>
      <w:r w:rsidR="00317D30" w:rsidRPr="0026653F">
        <w:rPr>
          <w:szCs w:val="22"/>
          <w:lang w:val="fr-FR"/>
        </w:rPr>
        <w:t>,</w:t>
      </w:r>
      <w:r w:rsidRPr="0026653F">
        <w:rPr>
          <w:szCs w:val="22"/>
          <w:lang w:val="fr-FR"/>
        </w:rPr>
        <w:t xml:space="preserve"> </w:t>
      </w:r>
      <w:r w:rsidRPr="00906FF3">
        <w:rPr>
          <w:szCs w:val="22"/>
          <w:lang w:val="fr-FR"/>
        </w:rPr>
        <w:t>et de</w:t>
      </w:r>
      <w:r w:rsidRPr="0026653F">
        <w:rPr>
          <w:szCs w:val="22"/>
          <w:lang w:val="fr-FR"/>
        </w:rPr>
        <w:t xml:space="preserve"> proposer des orientations pour la mise en œuvre de la justice réparatrice dans le contexte de la procédure pénale.</w:t>
      </w:r>
    </w:p>
    <w:p w14:paraId="764463D4" w14:textId="77777777" w:rsidR="00293B12" w:rsidRPr="0026653F" w:rsidRDefault="00293B12" w:rsidP="00C618DD">
      <w:pPr>
        <w:suppressAutoHyphens/>
        <w:rPr>
          <w:szCs w:val="22"/>
          <w:lang w:val="fr-FR"/>
        </w:rPr>
      </w:pPr>
    </w:p>
    <w:p w14:paraId="38B6BE9E" w14:textId="1CB0D7CA" w:rsidR="00293B12" w:rsidRPr="0026653F" w:rsidRDefault="00293B12" w:rsidP="00C618DD">
      <w:pPr>
        <w:numPr>
          <w:ilvl w:val="0"/>
          <w:numId w:val="38"/>
        </w:numPr>
        <w:suppressAutoHyphens/>
        <w:ind w:left="0" w:firstLine="709"/>
        <w:rPr>
          <w:bCs/>
          <w:szCs w:val="22"/>
          <w:lang w:val="fr-FR"/>
        </w:rPr>
      </w:pPr>
      <w:r w:rsidRPr="0026653F">
        <w:rPr>
          <w:bCs/>
          <w:szCs w:val="22"/>
          <w:lang w:val="fr-FR"/>
        </w:rPr>
        <w:t xml:space="preserve">D’exhorter les États membres, selon le besoin, à promouvoir l’accès à la justice </w:t>
      </w:r>
      <w:r w:rsidR="00317D30" w:rsidRPr="0026653F">
        <w:rPr>
          <w:bCs/>
          <w:szCs w:val="22"/>
          <w:lang w:val="fr-FR"/>
        </w:rPr>
        <w:t>auprès d</w:t>
      </w:r>
      <w:r w:rsidRPr="0026653F">
        <w:rPr>
          <w:bCs/>
          <w:szCs w:val="22"/>
          <w:lang w:val="fr-FR"/>
        </w:rPr>
        <w:t>es communautés vulnérables dans les États m</w:t>
      </w:r>
      <w:r w:rsidR="00E76528" w:rsidRPr="0026653F">
        <w:rPr>
          <w:bCs/>
          <w:szCs w:val="22"/>
          <w:lang w:val="fr-FR"/>
        </w:rPr>
        <w:t>e</w:t>
      </w:r>
      <w:r w:rsidRPr="0026653F">
        <w:rPr>
          <w:bCs/>
          <w:szCs w:val="22"/>
          <w:lang w:val="fr-FR"/>
        </w:rPr>
        <w:t>mbres.</w:t>
      </w:r>
    </w:p>
    <w:p w14:paraId="55BB7DF3" w14:textId="77777777" w:rsidR="00293B12" w:rsidRPr="0026653F" w:rsidRDefault="00293B12" w:rsidP="00C618DD">
      <w:pPr>
        <w:suppressAutoHyphens/>
        <w:rPr>
          <w:szCs w:val="22"/>
          <w:lang w:val="fr-FR"/>
        </w:rPr>
      </w:pPr>
    </w:p>
    <w:p w14:paraId="14DBC938" w14:textId="162A0ED0" w:rsidR="00293B12" w:rsidRPr="0026653F" w:rsidRDefault="00293B12" w:rsidP="00C618DD">
      <w:pPr>
        <w:numPr>
          <w:ilvl w:val="0"/>
          <w:numId w:val="38"/>
        </w:numPr>
        <w:suppressAutoHyphens/>
        <w:ind w:left="0" w:firstLine="709"/>
        <w:rPr>
          <w:szCs w:val="22"/>
          <w:lang w:val="fr-FR"/>
        </w:rPr>
      </w:pPr>
      <w:r w:rsidRPr="0026653F">
        <w:rPr>
          <w:bCs/>
          <w:szCs w:val="22"/>
          <w:lang w:val="fr-FR"/>
        </w:rPr>
        <w:t xml:space="preserve">De reconnaître </w:t>
      </w:r>
      <w:r w:rsidR="00317D30" w:rsidRPr="0026653F">
        <w:rPr>
          <w:bCs/>
          <w:szCs w:val="22"/>
          <w:lang w:val="fr-FR"/>
        </w:rPr>
        <w:t>la nécessité d’aborder l</w:t>
      </w:r>
      <w:r w:rsidRPr="0026653F">
        <w:rPr>
          <w:bCs/>
          <w:szCs w:val="22"/>
          <w:lang w:val="fr-FR"/>
        </w:rPr>
        <w:t xml:space="preserve">’accès </w:t>
      </w:r>
      <w:r w:rsidR="001E1670" w:rsidRPr="0026653F">
        <w:rPr>
          <w:bCs/>
          <w:szCs w:val="22"/>
          <w:lang w:val="fr-FR"/>
        </w:rPr>
        <w:t xml:space="preserve">limité </w:t>
      </w:r>
      <w:r w:rsidRPr="0026653F">
        <w:rPr>
          <w:bCs/>
          <w:szCs w:val="22"/>
          <w:lang w:val="fr-FR"/>
        </w:rPr>
        <w:t xml:space="preserve">à la justice </w:t>
      </w:r>
      <w:r w:rsidR="001E1670" w:rsidRPr="0026653F">
        <w:rPr>
          <w:bCs/>
          <w:szCs w:val="22"/>
          <w:lang w:val="fr-FR"/>
        </w:rPr>
        <w:t xml:space="preserve">parmi </w:t>
      </w:r>
      <w:r w:rsidR="00317D30" w:rsidRPr="0026653F">
        <w:rPr>
          <w:bCs/>
          <w:szCs w:val="22"/>
          <w:lang w:val="fr-FR"/>
        </w:rPr>
        <w:t>les membres de</w:t>
      </w:r>
      <w:r w:rsidRPr="0026653F">
        <w:rPr>
          <w:bCs/>
          <w:szCs w:val="22"/>
          <w:lang w:val="fr-FR"/>
        </w:rPr>
        <w:t>s populations en situation de vulnérabilité, en particulier les enfants et les adolescents</w:t>
      </w:r>
      <w:r w:rsidR="00074CF6" w:rsidRPr="0026653F">
        <w:rPr>
          <w:bCs/>
          <w:szCs w:val="22"/>
          <w:lang w:val="fr-FR"/>
        </w:rPr>
        <w:t xml:space="preserve"> ainsi que</w:t>
      </w:r>
      <w:r w:rsidRPr="0026653F">
        <w:rPr>
          <w:bCs/>
          <w:szCs w:val="22"/>
          <w:lang w:val="fr-FR"/>
        </w:rPr>
        <w:t xml:space="preserve"> </w:t>
      </w:r>
      <w:r w:rsidR="00875E70" w:rsidRPr="0026653F">
        <w:rPr>
          <w:bCs/>
          <w:szCs w:val="22"/>
          <w:lang w:val="fr-FR"/>
        </w:rPr>
        <w:t xml:space="preserve">les </w:t>
      </w:r>
      <w:r w:rsidRPr="0026653F">
        <w:rPr>
          <w:bCs/>
          <w:szCs w:val="22"/>
          <w:lang w:val="fr-FR"/>
        </w:rPr>
        <w:t>migrants</w:t>
      </w:r>
      <w:r w:rsidRPr="0026653F">
        <w:rPr>
          <w:b/>
          <w:szCs w:val="22"/>
          <w:lang w:val="fr-FR"/>
        </w:rPr>
        <w:t xml:space="preserve"> </w:t>
      </w:r>
      <w:r w:rsidRPr="0026653F">
        <w:rPr>
          <w:bCs/>
          <w:szCs w:val="22"/>
          <w:lang w:val="fr-FR"/>
        </w:rPr>
        <w:t xml:space="preserve">en </w:t>
      </w:r>
      <w:r w:rsidR="00074CF6" w:rsidRPr="0026653F">
        <w:rPr>
          <w:bCs/>
          <w:szCs w:val="22"/>
          <w:lang w:val="fr-FR"/>
        </w:rPr>
        <w:t>situation</w:t>
      </w:r>
      <w:r w:rsidRPr="0026653F">
        <w:rPr>
          <w:bCs/>
          <w:szCs w:val="22"/>
          <w:lang w:val="fr-FR"/>
        </w:rPr>
        <w:t xml:space="preserve"> d’urgence d’ordre économique liée ou non à la pandémie de COVID-19,</w:t>
      </w:r>
      <w:r w:rsidRPr="0026653F">
        <w:rPr>
          <w:b/>
          <w:szCs w:val="22"/>
          <w:lang w:val="fr-FR"/>
        </w:rPr>
        <w:t xml:space="preserve"> </w:t>
      </w:r>
      <w:r w:rsidRPr="0026653F">
        <w:rPr>
          <w:bCs/>
          <w:szCs w:val="22"/>
          <w:lang w:val="fr-FR"/>
        </w:rPr>
        <w:t>et d’</w:t>
      </w:r>
      <w:r w:rsidR="002840C9" w:rsidRPr="0026653F">
        <w:rPr>
          <w:bCs/>
          <w:szCs w:val="22"/>
          <w:lang w:val="fr-FR"/>
        </w:rPr>
        <w:t xml:space="preserve">exhorter </w:t>
      </w:r>
      <w:r w:rsidRPr="0026653F">
        <w:rPr>
          <w:bCs/>
          <w:szCs w:val="22"/>
          <w:lang w:val="fr-FR"/>
        </w:rPr>
        <w:t xml:space="preserve">les États membres à </w:t>
      </w:r>
      <w:r w:rsidR="00875E70" w:rsidRPr="0026653F">
        <w:rPr>
          <w:bCs/>
          <w:szCs w:val="22"/>
          <w:lang w:val="fr-FR"/>
        </w:rPr>
        <w:t>perfectionner</w:t>
      </w:r>
      <w:r w:rsidRPr="0026653F">
        <w:rPr>
          <w:bCs/>
          <w:szCs w:val="22"/>
          <w:lang w:val="fr-FR"/>
        </w:rPr>
        <w:t xml:space="preserve"> les mécanismes d’accès à la justice afin de garantir </w:t>
      </w:r>
      <w:r w:rsidR="00875E70" w:rsidRPr="0026653F">
        <w:rPr>
          <w:bCs/>
          <w:szCs w:val="22"/>
          <w:lang w:val="fr-FR"/>
        </w:rPr>
        <w:t>que ces populations bénéficient d’</w:t>
      </w:r>
      <w:r w:rsidRPr="0026653F">
        <w:rPr>
          <w:bCs/>
          <w:szCs w:val="22"/>
          <w:lang w:val="fr-FR"/>
        </w:rPr>
        <w:t xml:space="preserve">une assistance </w:t>
      </w:r>
      <w:r w:rsidR="00875E70" w:rsidRPr="0026653F">
        <w:rPr>
          <w:bCs/>
          <w:szCs w:val="22"/>
          <w:lang w:val="fr-FR"/>
        </w:rPr>
        <w:t>opportune</w:t>
      </w:r>
      <w:r w:rsidRPr="0026653F">
        <w:rPr>
          <w:bCs/>
          <w:szCs w:val="22"/>
          <w:lang w:val="fr-FR"/>
        </w:rPr>
        <w:t xml:space="preserve"> et efficace.</w:t>
      </w:r>
    </w:p>
    <w:p w14:paraId="4EC31913" w14:textId="77777777" w:rsidR="00293B12" w:rsidRPr="0026653F" w:rsidRDefault="00293B12" w:rsidP="00C618DD">
      <w:pPr>
        <w:suppressAutoHyphens/>
        <w:jc w:val="left"/>
        <w:rPr>
          <w:color w:val="000000"/>
          <w:szCs w:val="22"/>
          <w:lang w:val="fr-FR"/>
        </w:rPr>
      </w:pPr>
    </w:p>
    <w:p w14:paraId="2DA5BC6E" w14:textId="77777777" w:rsidR="00293B12" w:rsidRPr="0026653F" w:rsidRDefault="00293B12" w:rsidP="00C618DD">
      <w:pPr>
        <w:keepNext/>
        <w:numPr>
          <w:ilvl w:val="0"/>
          <w:numId w:val="3"/>
        </w:numPr>
        <w:suppressAutoHyphens/>
        <w:ind w:left="1440" w:hanging="720"/>
        <w:rPr>
          <w:color w:val="000000"/>
          <w:szCs w:val="22"/>
          <w:u w:val="single"/>
          <w:lang w:val="fr-FR"/>
        </w:rPr>
      </w:pPr>
      <w:r w:rsidRPr="0026653F">
        <w:rPr>
          <w:color w:val="000000"/>
          <w:szCs w:val="22"/>
          <w:u w:val="single"/>
          <w:lang w:val="fr-FR"/>
        </w:rPr>
        <w:lastRenderedPageBreak/>
        <w:t>Améliorer la coordination pour le renforcement de la sécurité publique dans les Amériques</w:t>
      </w:r>
    </w:p>
    <w:p w14:paraId="4A3A8939" w14:textId="77777777" w:rsidR="00293B12" w:rsidRPr="0026653F" w:rsidRDefault="00293B12" w:rsidP="00C618DD">
      <w:pPr>
        <w:keepNext/>
        <w:suppressAutoHyphens/>
        <w:jc w:val="left"/>
        <w:rPr>
          <w:color w:val="000000"/>
          <w:szCs w:val="22"/>
          <w:lang w:val="fr-FR"/>
        </w:rPr>
      </w:pPr>
    </w:p>
    <w:p w14:paraId="42AF3190" w14:textId="373311BE" w:rsidR="00293B12" w:rsidRPr="0026653F" w:rsidRDefault="00293B12" w:rsidP="00C618DD">
      <w:pPr>
        <w:numPr>
          <w:ilvl w:val="0"/>
          <w:numId w:val="39"/>
        </w:numPr>
        <w:suppressAutoHyphens/>
        <w:ind w:left="0" w:firstLine="709"/>
        <w:rPr>
          <w:color w:val="000000"/>
          <w:szCs w:val="22"/>
          <w:lang w:val="fr-FR"/>
        </w:rPr>
      </w:pPr>
      <w:r w:rsidRPr="0026653F">
        <w:rPr>
          <w:color w:val="000000"/>
          <w:szCs w:val="22"/>
          <w:lang w:val="fr-FR"/>
        </w:rPr>
        <w:t xml:space="preserve">De demander au SSM et au Secrétariat aux questions juridiques de coordonner leurs actions et de collaborer à l’exécution des recommandations approuvées dans le cadre des processus MISPA et REMJA, </w:t>
      </w:r>
      <w:r w:rsidR="009F2970" w:rsidRPr="0026653F">
        <w:rPr>
          <w:color w:val="000000"/>
          <w:szCs w:val="22"/>
          <w:lang w:val="fr-FR"/>
        </w:rPr>
        <w:t xml:space="preserve">dont ils devront </w:t>
      </w:r>
      <w:r w:rsidRPr="0026653F">
        <w:rPr>
          <w:color w:val="000000"/>
          <w:szCs w:val="22"/>
          <w:lang w:val="fr-FR"/>
        </w:rPr>
        <w:t>faire rapport à la CSH au premier semestre de 2021.</w:t>
      </w:r>
    </w:p>
    <w:p w14:paraId="560D43B1" w14:textId="77777777" w:rsidR="00293B12" w:rsidRPr="0026653F" w:rsidRDefault="00293B12" w:rsidP="00C618DD">
      <w:pPr>
        <w:suppressAutoHyphens/>
        <w:rPr>
          <w:color w:val="000000"/>
          <w:szCs w:val="22"/>
          <w:lang w:val="fr-FR"/>
        </w:rPr>
      </w:pPr>
    </w:p>
    <w:p w14:paraId="55EACA18" w14:textId="66870DEA" w:rsidR="00293B12" w:rsidRPr="0026653F" w:rsidRDefault="00293B12" w:rsidP="00C618DD">
      <w:pPr>
        <w:numPr>
          <w:ilvl w:val="0"/>
          <w:numId w:val="39"/>
        </w:numPr>
        <w:suppressAutoHyphens/>
        <w:ind w:left="0"/>
        <w:rPr>
          <w:bCs/>
          <w:iCs/>
          <w:color w:val="000000"/>
          <w:szCs w:val="22"/>
          <w:lang w:val="fr-FR"/>
        </w:rPr>
      </w:pPr>
      <w:r w:rsidRPr="0026653F">
        <w:rPr>
          <w:color w:val="000000"/>
          <w:szCs w:val="22"/>
          <w:lang w:val="fr-FR"/>
        </w:rPr>
        <w:t xml:space="preserve">D’inviter </w:t>
      </w:r>
      <w:r w:rsidR="009F2970" w:rsidRPr="0026653F">
        <w:rPr>
          <w:color w:val="000000"/>
          <w:szCs w:val="22"/>
          <w:lang w:val="fr-FR"/>
        </w:rPr>
        <w:t xml:space="preserve">instamment </w:t>
      </w:r>
      <w:r w:rsidRPr="0026653F">
        <w:rPr>
          <w:color w:val="000000"/>
          <w:szCs w:val="22"/>
          <w:lang w:val="fr-FR"/>
        </w:rPr>
        <w:t xml:space="preserve">les États membres à </w:t>
      </w:r>
      <w:r w:rsidR="000B7F3E" w:rsidRPr="0026653F">
        <w:rPr>
          <w:color w:val="000000"/>
          <w:szCs w:val="22"/>
          <w:lang w:val="fr-FR"/>
        </w:rPr>
        <w:t>continuer de privilégier</w:t>
      </w:r>
      <w:r w:rsidRPr="0026653F">
        <w:rPr>
          <w:color w:val="000000"/>
          <w:szCs w:val="22"/>
          <w:lang w:val="fr-FR"/>
        </w:rPr>
        <w:t xml:space="preserve"> les processus régionaux et sous-régionaux </w:t>
      </w:r>
      <w:r w:rsidR="00B63745" w:rsidRPr="0026653F">
        <w:rPr>
          <w:color w:val="000000"/>
          <w:szCs w:val="22"/>
          <w:lang w:val="fr-FR"/>
        </w:rPr>
        <w:t xml:space="preserve">de nature bilatérale et multilatérale </w:t>
      </w:r>
      <w:r w:rsidRPr="0026653F">
        <w:rPr>
          <w:color w:val="000000"/>
          <w:szCs w:val="22"/>
          <w:lang w:val="fr-FR"/>
        </w:rPr>
        <w:t>qui soutiennent et promeuvent des activités visant à garantir la protection et la sécurité publique des citoyens de la région.</w:t>
      </w:r>
    </w:p>
    <w:p w14:paraId="2B57F108" w14:textId="77777777" w:rsidR="00293B12" w:rsidRPr="0026653F" w:rsidRDefault="00293B12" w:rsidP="00C618DD">
      <w:pPr>
        <w:suppressAutoHyphens/>
        <w:jc w:val="left"/>
        <w:rPr>
          <w:bCs/>
          <w:iCs/>
          <w:color w:val="000000"/>
          <w:szCs w:val="22"/>
          <w:lang w:val="fr-FR"/>
        </w:rPr>
      </w:pPr>
    </w:p>
    <w:p w14:paraId="67C6927A" w14:textId="662DA75E" w:rsidR="00293B12" w:rsidRPr="0026653F" w:rsidRDefault="00293B12" w:rsidP="00C618DD">
      <w:pPr>
        <w:numPr>
          <w:ilvl w:val="0"/>
          <w:numId w:val="39"/>
        </w:numPr>
        <w:suppressAutoHyphens/>
        <w:ind w:left="0"/>
        <w:rPr>
          <w:color w:val="000000"/>
          <w:szCs w:val="22"/>
          <w:lang w:val="fr-FR"/>
        </w:rPr>
      </w:pPr>
      <w:r w:rsidRPr="0026653F">
        <w:rPr>
          <w:color w:val="000000"/>
          <w:szCs w:val="22"/>
          <w:lang w:val="fr-FR"/>
        </w:rPr>
        <w:t xml:space="preserve">De recommander </w:t>
      </w:r>
      <w:r w:rsidRPr="0026653F">
        <w:rPr>
          <w:szCs w:val="22"/>
          <w:lang w:val="fr-FR"/>
        </w:rPr>
        <w:t xml:space="preserve">le respect des principes et valeurs partagés, des perspectives et engagements communs, de la sécurité citoyenne et de la prévention de la criminalité </w:t>
      </w:r>
      <w:r w:rsidR="000B7F3E" w:rsidRPr="0026653F">
        <w:rPr>
          <w:szCs w:val="22"/>
          <w:lang w:val="fr-FR"/>
        </w:rPr>
        <w:t>au moyen du</w:t>
      </w:r>
      <w:r w:rsidRPr="0026653F">
        <w:rPr>
          <w:szCs w:val="22"/>
          <w:lang w:val="fr-FR"/>
        </w:rPr>
        <w:t xml:space="preserve"> respect des normes et du strict respect des droits de la personne, et d’encourager une culture de paix en particulier dans les zones les plus touchées par la criminalité transnationale organisée</w:t>
      </w:r>
      <w:r w:rsidRPr="0026653F">
        <w:rPr>
          <w:color w:val="000000"/>
          <w:szCs w:val="22"/>
          <w:lang w:val="fr-FR"/>
        </w:rPr>
        <w:t>.</w:t>
      </w:r>
    </w:p>
    <w:p w14:paraId="47EE329A" w14:textId="77777777" w:rsidR="00293B12" w:rsidRPr="0026653F" w:rsidRDefault="00293B12" w:rsidP="00C618DD">
      <w:pPr>
        <w:suppressAutoHyphens/>
        <w:rPr>
          <w:color w:val="000000"/>
          <w:szCs w:val="22"/>
          <w:lang w:val="fr-FR"/>
        </w:rPr>
      </w:pPr>
    </w:p>
    <w:p w14:paraId="18182772" w14:textId="77777777" w:rsidR="00293B12" w:rsidRPr="0026653F" w:rsidRDefault="00293B12" w:rsidP="00161AFF">
      <w:pPr>
        <w:numPr>
          <w:ilvl w:val="0"/>
          <w:numId w:val="3"/>
        </w:numPr>
        <w:suppressAutoHyphens/>
        <w:ind w:left="1440" w:hanging="720"/>
        <w:rPr>
          <w:bCs/>
          <w:color w:val="000000"/>
          <w:szCs w:val="22"/>
          <w:lang w:val="fr-FR"/>
        </w:rPr>
      </w:pPr>
      <w:r w:rsidRPr="0026653F">
        <w:rPr>
          <w:bCs/>
          <w:color w:val="000000"/>
          <w:szCs w:val="22"/>
          <w:u w:val="single"/>
          <w:lang w:val="fr-FR"/>
        </w:rPr>
        <w:t>Promotion de la cybersécurité</w:t>
      </w:r>
    </w:p>
    <w:p w14:paraId="71AE10A9" w14:textId="77777777" w:rsidR="00293B12" w:rsidRPr="0026653F" w:rsidRDefault="00293B12" w:rsidP="00161AFF">
      <w:pPr>
        <w:suppressAutoHyphens/>
        <w:rPr>
          <w:color w:val="000000"/>
          <w:szCs w:val="22"/>
          <w:lang w:val="fr-FR"/>
        </w:rPr>
      </w:pPr>
    </w:p>
    <w:p w14:paraId="3DC211D7" w14:textId="55A37489" w:rsidR="00293B12" w:rsidRPr="0026653F" w:rsidRDefault="000B7F3E" w:rsidP="00C618DD">
      <w:pPr>
        <w:numPr>
          <w:ilvl w:val="0"/>
          <w:numId w:val="39"/>
        </w:numPr>
        <w:suppressAutoHyphens/>
        <w:ind w:left="0" w:firstLine="709"/>
        <w:contextualSpacing/>
        <w:rPr>
          <w:szCs w:val="22"/>
          <w:lang w:val="fr-FR"/>
        </w:rPr>
      </w:pPr>
      <w:r w:rsidRPr="0026653F">
        <w:rPr>
          <w:szCs w:val="22"/>
          <w:lang w:val="fr-FR"/>
        </w:rPr>
        <w:t xml:space="preserve">De privilégier </w:t>
      </w:r>
      <w:r w:rsidR="00293B12" w:rsidRPr="0026653F">
        <w:rPr>
          <w:szCs w:val="22"/>
          <w:lang w:val="fr-FR"/>
        </w:rPr>
        <w:t>une action régionale en réponse aux cyberincidents malveillants d</w:t>
      </w:r>
      <w:r w:rsidR="002840C9" w:rsidRPr="0026653F">
        <w:rPr>
          <w:szCs w:val="22"/>
          <w:lang w:val="fr-FR"/>
        </w:rPr>
        <w:t xml:space="preserve">e grande </w:t>
      </w:r>
      <w:r w:rsidR="00293B12" w:rsidRPr="0026653F">
        <w:rPr>
          <w:szCs w:val="22"/>
          <w:lang w:val="fr-FR"/>
        </w:rPr>
        <w:t xml:space="preserve">envergure qui menacent la sécurité nationale des États membres et notre vision commune d’un </w:t>
      </w:r>
      <w:r w:rsidR="00F05573" w:rsidRPr="0026653F">
        <w:rPr>
          <w:szCs w:val="22"/>
          <w:lang w:val="fr-FR"/>
        </w:rPr>
        <w:t>i</w:t>
      </w:r>
      <w:r w:rsidR="00293B12" w:rsidRPr="0026653F">
        <w:rPr>
          <w:szCs w:val="22"/>
          <w:lang w:val="fr-FR"/>
        </w:rPr>
        <w:t xml:space="preserve">nternet ouvert, accessible, interopérable, fiable et sûr. </w:t>
      </w:r>
    </w:p>
    <w:p w14:paraId="5933350E" w14:textId="77777777" w:rsidR="00293B12" w:rsidRPr="0026653F" w:rsidRDefault="00293B12" w:rsidP="00C618DD">
      <w:pPr>
        <w:suppressAutoHyphens/>
        <w:rPr>
          <w:szCs w:val="22"/>
          <w:lang w:val="fr-FR"/>
        </w:rPr>
      </w:pPr>
    </w:p>
    <w:p w14:paraId="1C872CA9" w14:textId="067B289C" w:rsidR="00293B12" w:rsidRPr="0026653F" w:rsidRDefault="00293B12" w:rsidP="00C618DD">
      <w:pPr>
        <w:numPr>
          <w:ilvl w:val="0"/>
          <w:numId w:val="39"/>
        </w:numPr>
        <w:suppressAutoHyphens/>
        <w:ind w:left="0"/>
        <w:contextualSpacing/>
        <w:rPr>
          <w:szCs w:val="22"/>
          <w:lang w:val="fr-FR"/>
        </w:rPr>
      </w:pPr>
      <w:r w:rsidRPr="0026653F">
        <w:rPr>
          <w:szCs w:val="22"/>
          <w:lang w:val="fr-FR"/>
        </w:rPr>
        <w:t xml:space="preserve">D’exhorter les États membres à mettre en œuvre les mesures d’encouragement de la confiance dans le cyberespace identifiées dans la </w:t>
      </w:r>
      <w:r w:rsidR="002840C9" w:rsidRPr="0026653F">
        <w:rPr>
          <w:szCs w:val="22"/>
          <w:lang w:val="fr-FR"/>
        </w:rPr>
        <w:t>L</w:t>
      </w:r>
      <w:r w:rsidRPr="0026653F">
        <w:rPr>
          <w:szCs w:val="22"/>
          <w:lang w:val="fr-FR"/>
        </w:rPr>
        <w:t>iste des mesures d’encouragement de la confiance et de la sécurité</w:t>
      </w:r>
      <w:r w:rsidR="00074CF6" w:rsidRPr="0026653F">
        <w:rPr>
          <w:szCs w:val="22"/>
          <w:lang w:val="fr-FR"/>
        </w:rPr>
        <w:t xml:space="preserve"> (MECS)</w:t>
      </w:r>
      <w:r w:rsidR="008245F7" w:rsidRPr="0026653F">
        <w:rPr>
          <w:szCs w:val="22"/>
          <w:lang w:val="fr-FR"/>
        </w:rPr>
        <w:t xml:space="preserve"> (</w:t>
      </w:r>
      <w:hyperlink r:id="rId33" w:history="1">
        <w:r w:rsidR="008245F7" w:rsidRPr="0026653F">
          <w:rPr>
            <w:color w:val="0000FF"/>
            <w:szCs w:val="22"/>
            <w:u w:val="single"/>
            <w:lang w:val="fr-FR"/>
          </w:rPr>
          <w:t>CP/CSH-1953/20 rev. 1</w:t>
        </w:r>
      </w:hyperlink>
      <w:r w:rsidR="008245F7" w:rsidRPr="0026653F">
        <w:rPr>
          <w:szCs w:val="22"/>
          <w:lang w:val="fr-FR"/>
        </w:rPr>
        <w:t>)</w:t>
      </w:r>
      <w:r w:rsidR="006B6CCF" w:rsidRPr="0026653F">
        <w:rPr>
          <w:szCs w:val="22"/>
          <w:lang w:val="fr-FR"/>
        </w:rPr>
        <w:t>.</w:t>
      </w:r>
    </w:p>
    <w:p w14:paraId="08C90951" w14:textId="77777777" w:rsidR="00293B12" w:rsidRPr="0026653F" w:rsidRDefault="00293B12" w:rsidP="00C618DD">
      <w:pPr>
        <w:suppressAutoHyphens/>
        <w:jc w:val="left"/>
        <w:rPr>
          <w:szCs w:val="22"/>
          <w:lang w:val="fr-FR"/>
        </w:rPr>
      </w:pPr>
    </w:p>
    <w:p w14:paraId="23772B90" w14:textId="679FE46D" w:rsidR="00293B12" w:rsidRPr="0026653F" w:rsidRDefault="00293B12" w:rsidP="00C618DD">
      <w:pPr>
        <w:numPr>
          <w:ilvl w:val="0"/>
          <w:numId w:val="39"/>
        </w:numPr>
        <w:ind w:left="0"/>
        <w:rPr>
          <w:szCs w:val="22"/>
          <w:lang w:val="fr-FR"/>
        </w:rPr>
      </w:pPr>
      <w:r w:rsidRPr="0026653F">
        <w:rPr>
          <w:szCs w:val="22"/>
          <w:lang w:val="fr-FR"/>
        </w:rPr>
        <w:t xml:space="preserve">D’encourager le dialogue et l’échange volontaire d’informations </w:t>
      </w:r>
      <w:r w:rsidR="00322C0C" w:rsidRPr="0026653F">
        <w:rPr>
          <w:szCs w:val="22"/>
          <w:lang w:val="fr-FR"/>
        </w:rPr>
        <w:t xml:space="preserve">non </w:t>
      </w:r>
      <w:r w:rsidR="007B5895" w:rsidRPr="0026653F">
        <w:rPr>
          <w:szCs w:val="22"/>
          <w:lang w:val="fr-FR"/>
        </w:rPr>
        <w:t>confidentielles</w:t>
      </w:r>
      <w:r w:rsidR="00322C0C" w:rsidRPr="0026653F">
        <w:rPr>
          <w:szCs w:val="22"/>
          <w:lang w:val="fr-FR"/>
        </w:rPr>
        <w:t xml:space="preserve"> </w:t>
      </w:r>
      <w:r w:rsidRPr="0026653F">
        <w:rPr>
          <w:szCs w:val="22"/>
          <w:lang w:val="fr-FR"/>
        </w:rPr>
        <w:t>pour sécuriser la technologie de prochaine génération, y compris la 5G, et de préserver l’intégrité des infrastructures numériques dans le but de renforcer les capacités nationales en la matière, tout en reconnaissant qu’il s’agit d’une préoccupation commune et d’un écart ex</w:t>
      </w:r>
      <w:r w:rsidR="005C1962" w:rsidRPr="0026653F">
        <w:rPr>
          <w:szCs w:val="22"/>
          <w:lang w:val="fr-FR"/>
        </w:rPr>
        <w:t>istant entre les États membres.</w:t>
      </w:r>
    </w:p>
    <w:p w14:paraId="2DCF0390" w14:textId="77777777" w:rsidR="00293B12" w:rsidRPr="0026653F" w:rsidRDefault="00293B12" w:rsidP="00C618DD">
      <w:pPr>
        <w:rPr>
          <w:szCs w:val="22"/>
          <w:lang w:val="fr-FR"/>
        </w:rPr>
      </w:pPr>
    </w:p>
    <w:p w14:paraId="79C87364" w14:textId="51DD9CD1" w:rsidR="00293B12" w:rsidRPr="0026653F" w:rsidRDefault="00293B12" w:rsidP="00C618DD">
      <w:pPr>
        <w:numPr>
          <w:ilvl w:val="0"/>
          <w:numId w:val="39"/>
        </w:numPr>
        <w:suppressAutoHyphens/>
        <w:ind w:left="0"/>
        <w:contextualSpacing/>
        <w:rPr>
          <w:bCs/>
          <w:szCs w:val="22"/>
          <w:lang w:val="fr-FR"/>
        </w:rPr>
      </w:pPr>
      <w:r w:rsidRPr="0026653F">
        <w:rPr>
          <w:szCs w:val="22"/>
          <w:lang w:val="fr-FR"/>
        </w:rPr>
        <w:t>De promouvoir le partage des meilleures pratiques en matière de cybersécurité et de soutenir l’élaboration de politiques nationales de cybersécurité dans les États membres afin d’encourager les partenariats et la collaboration entre les secteurs public et privé.</w:t>
      </w:r>
    </w:p>
    <w:p w14:paraId="19FFB97E" w14:textId="77777777" w:rsidR="00293B12" w:rsidRPr="0026653F" w:rsidRDefault="00293B12" w:rsidP="00C618DD">
      <w:pPr>
        <w:suppressAutoHyphens/>
        <w:contextualSpacing/>
        <w:jc w:val="left"/>
        <w:rPr>
          <w:bCs/>
          <w:szCs w:val="22"/>
          <w:lang w:val="fr-FR"/>
        </w:rPr>
      </w:pPr>
    </w:p>
    <w:p w14:paraId="027BDB7D" w14:textId="3DD5D49E" w:rsidR="00293B12" w:rsidRPr="0026653F" w:rsidRDefault="00293B12" w:rsidP="00C618DD">
      <w:pPr>
        <w:numPr>
          <w:ilvl w:val="0"/>
          <w:numId w:val="39"/>
        </w:numPr>
        <w:suppressAutoHyphens/>
        <w:ind w:left="0"/>
        <w:contextualSpacing/>
        <w:rPr>
          <w:bCs/>
          <w:szCs w:val="22"/>
          <w:lang w:val="fr-FR"/>
        </w:rPr>
      </w:pPr>
      <w:r w:rsidRPr="0026653F">
        <w:rPr>
          <w:szCs w:val="22"/>
          <w:lang w:val="fr-FR"/>
        </w:rPr>
        <w:t xml:space="preserve">De collaborer </w:t>
      </w:r>
      <w:r w:rsidR="000B7F3E" w:rsidRPr="0026653F">
        <w:rPr>
          <w:szCs w:val="22"/>
          <w:lang w:val="fr-FR"/>
        </w:rPr>
        <w:t xml:space="preserve">à la promotion de la </w:t>
      </w:r>
      <w:r w:rsidRPr="0026653F">
        <w:rPr>
          <w:szCs w:val="22"/>
          <w:lang w:val="fr-FR"/>
        </w:rPr>
        <w:t xml:space="preserve">cybersécurité </w:t>
      </w:r>
      <w:r w:rsidR="00384A34" w:rsidRPr="0026653F">
        <w:rPr>
          <w:szCs w:val="22"/>
          <w:lang w:val="fr-FR"/>
        </w:rPr>
        <w:t xml:space="preserve">et </w:t>
      </w:r>
      <w:r w:rsidRPr="0026653F">
        <w:rPr>
          <w:szCs w:val="22"/>
          <w:lang w:val="fr-FR"/>
        </w:rPr>
        <w:t xml:space="preserve">d’une communauté de réaction aux incidents entre les États membres </w:t>
      </w:r>
      <w:r w:rsidR="00384A34" w:rsidRPr="0026653F">
        <w:rPr>
          <w:szCs w:val="22"/>
          <w:lang w:val="fr-FR"/>
        </w:rPr>
        <w:t xml:space="preserve">qui soit fiable et active, </w:t>
      </w:r>
      <w:r w:rsidRPr="0026653F">
        <w:rPr>
          <w:szCs w:val="22"/>
          <w:lang w:val="fr-FR"/>
        </w:rPr>
        <w:t>afin de partager des informations exploitables par l’intermédiaire d</w:t>
      </w:r>
      <w:r w:rsidR="005428B2" w:rsidRPr="0026653F">
        <w:rPr>
          <w:szCs w:val="22"/>
          <w:lang w:val="fr-FR"/>
        </w:rPr>
        <w:t xml:space="preserve">e </w:t>
      </w:r>
      <w:r w:rsidRPr="0026653F">
        <w:rPr>
          <w:szCs w:val="22"/>
          <w:lang w:val="fr-FR"/>
        </w:rPr>
        <w:t>l’Équipe de réponse aux incidents de sécurité cybernétique</w:t>
      </w:r>
      <w:r w:rsidR="00700832" w:rsidRPr="0026653F">
        <w:rPr>
          <w:szCs w:val="22"/>
          <w:lang w:val="fr-FR"/>
        </w:rPr>
        <w:t>s</w:t>
      </w:r>
      <w:r w:rsidRPr="0026653F">
        <w:rPr>
          <w:szCs w:val="22"/>
          <w:lang w:val="fr-FR"/>
        </w:rPr>
        <w:t xml:space="preserve"> (CSIRT) de l’OEA </w:t>
      </w:r>
      <w:r w:rsidR="005428B2" w:rsidRPr="0026653F">
        <w:rPr>
          <w:szCs w:val="22"/>
          <w:lang w:val="fr-FR"/>
        </w:rPr>
        <w:t xml:space="preserve">et du </w:t>
      </w:r>
      <w:r w:rsidR="00700832" w:rsidRPr="0026653F">
        <w:rPr>
          <w:szCs w:val="22"/>
          <w:lang w:val="fr-FR"/>
        </w:rPr>
        <w:t>R</w:t>
      </w:r>
      <w:r w:rsidR="007C1CD7" w:rsidRPr="0026653F">
        <w:rPr>
          <w:szCs w:val="22"/>
          <w:lang w:val="fr-FR"/>
        </w:rPr>
        <w:t>é</w:t>
      </w:r>
      <w:r w:rsidR="005428B2" w:rsidRPr="0026653F">
        <w:rPr>
          <w:szCs w:val="22"/>
          <w:lang w:val="fr-FR"/>
        </w:rPr>
        <w:t>seau d’échange d</w:t>
      </w:r>
      <w:r w:rsidR="00343097" w:rsidRPr="0026653F">
        <w:rPr>
          <w:szCs w:val="22"/>
          <w:lang w:val="fr-FR"/>
        </w:rPr>
        <w:t>e l’</w:t>
      </w:r>
      <w:r w:rsidR="005428B2" w:rsidRPr="0026653F">
        <w:rPr>
          <w:szCs w:val="22"/>
          <w:lang w:val="fr-FR"/>
        </w:rPr>
        <w:t xml:space="preserve">information </w:t>
      </w:r>
      <w:r w:rsidR="00343097" w:rsidRPr="0026653F">
        <w:rPr>
          <w:szCs w:val="22"/>
          <w:lang w:val="fr-FR"/>
        </w:rPr>
        <w:t xml:space="preserve">des </w:t>
      </w:r>
      <w:r w:rsidR="005428B2" w:rsidRPr="0026653F">
        <w:rPr>
          <w:szCs w:val="22"/>
          <w:lang w:val="fr-FR"/>
        </w:rPr>
        <w:t>Amériques</w:t>
      </w:r>
      <w:r w:rsidR="00700832" w:rsidRPr="0026653F">
        <w:rPr>
          <w:szCs w:val="22"/>
          <w:lang w:val="fr-FR"/>
        </w:rPr>
        <w:t> </w:t>
      </w:r>
      <w:r w:rsidRPr="0026653F">
        <w:rPr>
          <w:szCs w:val="22"/>
          <w:lang w:val="fr-FR"/>
        </w:rPr>
        <w:t xml:space="preserve">afin de prévenir, </w:t>
      </w:r>
      <w:r w:rsidR="005428B2" w:rsidRPr="0026653F">
        <w:rPr>
          <w:szCs w:val="22"/>
          <w:lang w:val="fr-FR"/>
        </w:rPr>
        <w:t>d’</w:t>
      </w:r>
      <w:r w:rsidRPr="0026653F">
        <w:rPr>
          <w:szCs w:val="22"/>
          <w:lang w:val="fr-FR"/>
        </w:rPr>
        <w:t xml:space="preserve">identifier, </w:t>
      </w:r>
      <w:r w:rsidR="005428B2" w:rsidRPr="0026653F">
        <w:rPr>
          <w:szCs w:val="22"/>
          <w:lang w:val="fr-FR"/>
        </w:rPr>
        <w:t xml:space="preserve">de </w:t>
      </w:r>
      <w:r w:rsidRPr="0026653F">
        <w:rPr>
          <w:szCs w:val="22"/>
          <w:lang w:val="fr-FR"/>
        </w:rPr>
        <w:t xml:space="preserve">contrecarrer et </w:t>
      </w:r>
      <w:r w:rsidR="005428B2" w:rsidRPr="0026653F">
        <w:rPr>
          <w:szCs w:val="22"/>
          <w:lang w:val="fr-FR"/>
        </w:rPr>
        <w:t>d’</w:t>
      </w:r>
      <w:r w:rsidRPr="0026653F">
        <w:rPr>
          <w:szCs w:val="22"/>
          <w:lang w:val="fr-FR"/>
        </w:rPr>
        <w:t>atténuer les incidents ainsi que de réagir à ces incidents et de s’en relever.</w:t>
      </w:r>
    </w:p>
    <w:p w14:paraId="649FED2D" w14:textId="77777777" w:rsidR="00293B12" w:rsidRPr="0026653F" w:rsidRDefault="00293B12" w:rsidP="00C618DD">
      <w:pPr>
        <w:rPr>
          <w:bCs/>
          <w:szCs w:val="22"/>
          <w:lang w:val="fr-FR"/>
        </w:rPr>
      </w:pPr>
    </w:p>
    <w:p w14:paraId="665ABBFA" w14:textId="0743D18F" w:rsidR="00293B12" w:rsidRPr="0026653F" w:rsidRDefault="00293B12" w:rsidP="00C618DD">
      <w:pPr>
        <w:numPr>
          <w:ilvl w:val="0"/>
          <w:numId w:val="39"/>
        </w:numPr>
        <w:suppressAutoHyphens/>
        <w:ind w:left="0"/>
        <w:contextualSpacing/>
        <w:rPr>
          <w:bCs/>
          <w:szCs w:val="22"/>
          <w:lang w:val="fr-FR"/>
        </w:rPr>
      </w:pPr>
      <w:r w:rsidRPr="0026653F">
        <w:rPr>
          <w:bCs/>
          <w:szCs w:val="22"/>
          <w:lang w:val="fr-FR"/>
        </w:rPr>
        <w:t>De continuer à soutenir les initiatives de l’OEA relatives au renforcement des capacités en matière de cybersécurité, au développement de</w:t>
      </w:r>
      <w:r w:rsidR="00E76528" w:rsidRPr="0026653F">
        <w:rPr>
          <w:bCs/>
          <w:szCs w:val="22"/>
          <w:lang w:val="fr-FR"/>
        </w:rPr>
        <w:t xml:space="preserve">s effectifs </w:t>
      </w:r>
      <w:r w:rsidRPr="0026653F">
        <w:rPr>
          <w:bCs/>
          <w:szCs w:val="22"/>
          <w:lang w:val="fr-FR"/>
        </w:rPr>
        <w:t>et aux campagnes de sensibilisation du public, ainsi qu’à participer à ces initiatives, afin de renforcer la sécurité et la résilience du paysag</w:t>
      </w:r>
      <w:r w:rsidR="005C1962" w:rsidRPr="0026653F">
        <w:rPr>
          <w:bCs/>
          <w:szCs w:val="22"/>
          <w:lang w:val="fr-FR"/>
        </w:rPr>
        <w:t>e régional de la cybersécurité.</w:t>
      </w:r>
    </w:p>
    <w:p w14:paraId="41EA547D" w14:textId="77777777" w:rsidR="00293B12" w:rsidRPr="0026653F" w:rsidRDefault="00293B12" w:rsidP="00C618DD">
      <w:pPr>
        <w:suppressAutoHyphens/>
        <w:rPr>
          <w:color w:val="000000"/>
          <w:szCs w:val="22"/>
          <w:lang w:val="fr-FR"/>
        </w:rPr>
      </w:pPr>
    </w:p>
    <w:p w14:paraId="55B8241D" w14:textId="77777777" w:rsidR="00293B12" w:rsidRPr="0026653F" w:rsidRDefault="00293B12" w:rsidP="00C618DD">
      <w:pPr>
        <w:keepNext/>
        <w:numPr>
          <w:ilvl w:val="0"/>
          <w:numId w:val="24"/>
        </w:numPr>
        <w:suppressAutoHyphens/>
        <w:ind w:left="720"/>
        <w:rPr>
          <w:color w:val="000000"/>
          <w:szCs w:val="22"/>
          <w:u w:val="single"/>
          <w:lang w:val="fr-FR"/>
        </w:rPr>
      </w:pPr>
      <w:r w:rsidRPr="0026653F">
        <w:rPr>
          <w:color w:val="000000"/>
          <w:szCs w:val="22"/>
          <w:u w:val="single"/>
          <w:lang w:val="fr-FR"/>
        </w:rPr>
        <w:lastRenderedPageBreak/>
        <w:t>Criminalité transnationale organisée</w:t>
      </w:r>
    </w:p>
    <w:p w14:paraId="144E4B2C" w14:textId="77777777" w:rsidR="00293B12" w:rsidRPr="0026653F" w:rsidRDefault="00293B12" w:rsidP="00C618DD">
      <w:pPr>
        <w:keepNext/>
        <w:suppressAutoHyphens/>
        <w:rPr>
          <w:color w:val="000000"/>
          <w:szCs w:val="22"/>
          <w:u w:val="single"/>
          <w:lang w:val="fr-FR"/>
        </w:rPr>
      </w:pPr>
    </w:p>
    <w:p w14:paraId="1AA69A46" w14:textId="77777777" w:rsidR="00293B12" w:rsidRPr="0026653F" w:rsidRDefault="00293B12" w:rsidP="00C618DD">
      <w:pPr>
        <w:keepNext/>
        <w:numPr>
          <w:ilvl w:val="0"/>
          <w:numId w:val="4"/>
        </w:numPr>
        <w:suppressAutoHyphens/>
        <w:ind w:firstLine="0"/>
        <w:rPr>
          <w:rFonts w:eastAsia="SimSun"/>
          <w:color w:val="000000"/>
          <w:szCs w:val="22"/>
          <w:u w:val="single"/>
          <w:lang w:val="fr-FR"/>
        </w:rPr>
      </w:pPr>
      <w:r w:rsidRPr="0026653F">
        <w:rPr>
          <w:color w:val="000000"/>
          <w:szCs w:val="22"/>
          <w:u w:val="single"/>
          <w:lang w:val="fr-FR"/>
        </w:rPr>
        <w:t>Lutte contre la criminalité transnationale organisée</w:t>
      </w:r>
    </w:p>
    <w:p w14:paraId="04792741" w14:textId="77777777" w:rsidR="00293B12" w:rsidRPr="0026653F" w:rsidRDefault="00293B12" w:rsidP="00C618DD">
      <w:pPr>
        <w:keepNext/>
        <w:suppressAutoHyphens/>
        <w:rPr>
          <w:color w:val="000000"/>
          <w:szCs w:val="22"/>
          <w:u w:val="single"/>
          <w:lang w:val="fr-FR"/>
        </w:rPr>
      </w:pPr>
    </w:p>
    <w:p w14:paraId="36E3A874" w14:textId="77777777" w:rsidR="00293B12" w:rsidRPr="0026653F" w:rsidRDefault="00293B12" w:rsidP="00C618DD">
      <w:pPr>
        <w:numPr>
          <w:ilvl w:val="0"/>
          <w:numId w:val="39"/>
        </w:numPr>
        <w:suppressAutoHyphens/>
        <w:ind w:left="0" w:firstLine="709"/>
        <w:rPr>
          <w:szCs w:val="22"/>
          <w:lang w:val="fr-FR"/>
        </w:rPr>
      </w:pPr>
      <w:r w:rsidRPr="0026653F">
        <w:rPr>
          <w:szCs w:val="22"/>
          <w:lang w:val="fr-FR"/>
        </w:rPr>
        <w:t>De demander de nouveau aux États membres qui ne l’ont pas encore fait de désigner, dans les meilleurs délais, leur point de contact national chargé de coordonner et de faciliter le suivi de la mise en œuvre du Plan d’action continental contre la criminalité transnationale organisée, ou de mettre à jour l’information correspondante, et d’en informer le Département contre la criminalité transnationale organisée.</w:t>
      </w:r>
    </w:p>
    <w:p w14:paraId="56C23AB0" w14:textId="77777777" w:rsidR="00293B12" w:rsidRPr="0026653F" w:rsidRDefault="00293B12" w:rsidP="00C618DD">
      <w:pPr>
        <w:suppressAutoHyphens/>
        <w:rPr>
          <w:szCs w:val="22"/>
          <w:lang w:val="fr-FR"/>
        </w:rPr>
      </w:pPr>
    </w:p>
    <w:p w14:paraId="745255E4" w14:textId="4C67C07A" w:rsidR="00293B12" w:rsidRPr="0026653F" w:rsidRDefault="00293B12" w:rsidP="00C618DD">
      <w:pPr>
        <w:numPr>
          <w:ilvl w:val="0"/>
          <w:numId w:val="39"/>
        </w:numPr>
        <w:suppressAutoHyphens/>
        <w:ind w:left="0"/>
        <w:rPr>
          <w:szCs w:val="22"/>
          <w:lang w:val="fr-FR"/>
        </w:rPr>
      </w:pPr>
      <w:r w:rsidRPr="0026653F">
        <w:rPr>
          <w:szCs w:val="22"/>
          <w:lang w:val="fr-FR"/>
        </w:rPr>
        <w:t xml:space="preserve">De convoquer la Troisième Réunion des autorités nationales en matière de criminalité transnationale organisée (RANDOT-III) dans le cadre de la CSH, pour le second semestre de 2021 et, à cette fin, de charger le Conseil permanent de mettre en place, par l’intermédiaire de la CSH, un groupe de travail chargé de coordonner </w:t>
      </w:r>
      <w:r w:rsidR="00952F63" w:rsidRPr="0026653F">
        <w:rPr>
          <w:szCs w:val="22"/>
          <w:lang w:val="fr-FR"/>
        </w:rPr>
        <w:t xml:space="preserve">tous </w:t>
      </w:r>
      <w:r w:rsidRPr="0026653F">
        <w:rPr>
          <w:szCs w:val="22"/>
          <w:lang w:val="fr-FR"/>
        </w:rPr>
        <w:t xml:space="preserve">les préparatifs de </w:t>
      </w:r>
      <w:r w:rsidR="00497BB3" w:rsidRPr="0026653F">
        <w:rPr>
          <w:szCs w:val="22"/>
          <w:lang w:val="fr-FR"/>
        </w:rPr>
        <w:t>cette réunion</w:t>
      </w:r>
      <w:r w:rsidRPr="0026653F">
        <w:rPr>
          <w:szCs w:val="22"/>
          <w:lang w:val="fr-FR"/>
        </w:rPr>
        <w:t>.</w:t>
      </w:r>
    </w:p>
    <w:p w14:paraId="15B5F182" w14:textId="77777777" w:rsidR="00293B12" w:rsidRPr="0026653F" w:rsidRDefault="00293B12" w:rsidP="00C618DD">
      <w:pPr>
        <w:suppressAutoHyphens/>
        <w:rPr>
          <w:szCs w:val="22"/>
          <w:lang w:val="fr-FR"/>
        </w:rPr>
      </w:pPr>
    </w:p>
    <w:p w14:paraId="7FFECE6E" w14:textId="6998BE11" w:rsidR="00293B12" w:rsidRPr="0026653F" w:rsidRDefault="00293B12" w:rsidP="00C618DD">
      <w:pPr>
        <w:numPr>
          <w:ilvl w:val="0"/>
          <w:numId w:val="39"/>
        </w:numPr>
        <w:suppressAutoHyphens/>
        <w:ind w:left="0"/>
        <w:rPr>
          <w:szCs w:val="22"/>
          <w:lang w:val="fr-FR"/>
        </w:rPr>
      </w:pPr>
      <w:r w:rsidRPr="0026653F">
        <w:rPr>
          <w:szCs w:val="22"/>
          <w:lang w:val="fr-FR"/>
        </w:rPr>
        <w:t xml:space="preserve">D’encourager les États membres à renforcer les échanges de données d’expériences et la coopération pour faire face à la cybercriminalité, tout en exhortant les États </w:t>
      </w:r>
      <w:r w:rsidR="00497BB3" w:rsidRPr="0026653F">
        <w:rPr>
          <w:szCs w:val="22"/>
          <w:lang w:val="fr-FR"/>
        </w:rPr>
        <w:t xml:space="preserve">membres </w:t>
      </w:r>
      <w:r w:rsidRPr="0026653F">
        <w:rPr>
          <w:szCs w:val="22"/>
          <w:lang w:val="fr-FR"/>
        </w:rPr>
        <w:t>qui ne l’ont pas encore fait à envisager d’adhérer à la Convention sur la cybercriminalité (Convention de Budapest), du Conseil de l’Europe.</w:t>
      </w:r>
    </w:p>
    <w:p w14:paraId="6D4259BB" w14:textId="77777777" w:rsidR="00293B12" w:rsidRPr="0026653F" w:rsidRDefault="00293B12" w:rsidP="00C618DD">
      <w:pPr>
        <w:jc w:val="left"/>
        <w:rPr>
          <w:szCs w:val="22"/>
          <w:lang w:val="fr-FR"/>
        </w:rPr>
      </w:pPr>
    </w:p>
    <w:p w14:paraId="257939DF" w14:textId="4F4A914E" w:rsidR="00293B12" w:rsidRPr="0026653F" w:rsidRDefault="00293B12" w:rsidP="00C618DD">
      <w:pPr>
        <w:numPr>
          <w:ilvl w:val="0"/>
          <w:numId w:val="39"/>
        </w:numPr>
        <w:suppressAutoHyphens/>
        <w:ind w:left="0"/>
        <w:rPr>
          <w:szCs w:val="22"/>
          <w:lang w:val="fr-FR"/>
        </w:rPr>
      </w:pPr>
      <w:r w:rsidRPr="0026653F">
        <w:rPr>
          <w:bCs/>
          <w:szCs w:val="22"/>
          <w:lang w:val="fr-FR"/>
        </w:rPr>
        <w:t>De demander au SSM, par l’intermédiaire du CICTE et du Département contre la criminalité transnationale organisée, en coordination avec le Secrétariat aux questions juridiques</w:t>
      </w:r>
      <w:r w:rsidR="00952F63" w:rsidRPr="0026653F">
        <w:rPr>
          <w:bCs/>
          <w:szCs w:val="22"/>
          <w:lang w:val="fr-FR"/>
        </w:rPr>
        <w:t>,</w:t>
      </w:r>
      <w:r w:rsidRPr="0026653F">
        <w:rPr>
          <w:bCs/>
          <w:szCs w:val="22"/>
          <w:lang w:val="fr-FR"/>
        </w:rPr>
        <w:t xml:space="preserve"> de fournir une assistance technique et un accompagnement aux États membres qui commencent leur processus d’adhésion à la Convention de Budapest ou l’ont déjà entamé ainsi que de prévoir un échange </w:t>
      </w:r>
      <w:r w:rsidR="00952F63" w:rsidRPr="0026653F">
        <w:rPr>
          <w:bCs/>
          <w:szCs w:val="22"/>
          <w:lang w:val="fr-FR"/>
        </w:rPr>
        <w:t xml:space="preserve">de données </w:t>
      </w:r>
      <w:r w:rsidRPr="0026653F">
        <w:rPr>
          <w:bCs/>
          <w:szCs w:val="22"/>
          <w:lang w:val="fr-FR"/>
        </w:rPr>
        <w:t>d’expériences entre les</w:t>
      </w:r>
      <w:r w:rsidR="000A09A4" w:rsidRPr="0026653F">
        <w:rPr>
          <w:bCs/>
          <w:szCs w:val="22"/>
          <w:lang w:val="fr-FR"/>
        </w:rPr>
        <w:t xml:space="preserve"> États membres</w:t>
      </w:r>
      <w:r w:rsidRPr="0026653F">
        <w:rPr>
          <w:bCs/>
          <w:szCs w:val="22"/>
          <w:lang w:val="fr-FR"/>
        </w:rPr>
        <w:t xml:space="preserve"> participant à ce processus.</w:t>
      </w:r>
    </w:p>
    <w:p w14:paraId="36ADD8E2" w14:textId="77777777" w:rsidR="00293B12" w:rsidRPr="0026653F" w:rsidRDefault="00293B12" w:rsidP="00C618DD">
      <w:pPr>
        <w:suppressAutoHyphens/>
        <w:rPr>
          <w:szCs w:val="22"/>
          <w:highlight w:val="yellow"/>
          <w:lang w:val="fr-FR"/>
        </w:rPr>
      </w:pPr>
    </w:p>
    <w:p w14:paraId="46662AC5" w14:textId="77777777" w:rsidR="00293B12" w:rsidRPr="0026653F" w:rsidRDefault="00293B12" w:rsidP="00C618DD">
      <w:pPr>
        <w:numPr>
          <w:ilvl w:val="0"/>
          <w:numId w:val="39"/>
        </w:numPr>
        <w:suppressAutoHyphens/>
        <w:ind w:left="0"/>
        <w:rPr>
          <w:szCs w:val="22"/>
          <w:lang w:val="fr-FR"/>
        </w:rPr>
      </w:pPr>
      <w:r w:rsidRPr="0026653F">
        <w:rPr>
          <w:szCs w:val="22"/>
          <w:lang w:val="fr-FR"/>
        </w:rPr>
        <w:t>De demander instamment aux États membres de perfectionner les mécanismes d’aide juridique bilatérale et multilatérale pour lutter contre la cybercriminalité, en tenant compte de la pertinence de l’accès aux preuves numériques pour l’enquête sur ce type d’infraction et pour la poursuite des coupables, de même que les liens de plus en plus étroits entre la cybercriminalité et la criminalité transnationale organisée.</w:t>
      </w:r>
    </w:p>
    <w:p w14:paraId="5883AB25" w14:textId="77777777" w:rsidR="00293B12" w:rsidRPr="0026653F" w:rsidRDefault="00293B12" w:rsidP="00C618DD">
      <w:pPr>
        <w:suppressAutoHyphens/>
        <w:rPr>
          <w:szCs w:val="22"/>
          <w:lang w:val="fr-FR"/>
        </w:rPr>
      </w:pPr>
    </w:p>
    <w:p w14:paraId="4E4993A4" w14:textId="4DAAB75C" w:rsidR="00293B12" w:rsidRPr="0026653F" w:rsidRDefault="00293B12" w:rsidP="00C618DD">
      <w:pPr>
        <w:numPr>
          <w:ilvl w:val="0"/>
          <w:numId w:val="39"/>
        </w:numPr>
        <w:suppressAutoHyphens/>
        <w:ind w:left="0"/>
        <w:rPr>
          <w:szCs w:val="22"/>
          <w:lang w:val="fr-FR"/>
        </w:rPr>
      </w:pPr>
      <w:r w:rsidRPr="0026653F">
        <w:rPr>
          <w:szCs w:val="22"/>
          <w:lang w:val="fr-FR"/>
        </w:rPr>
        <w:t>De demander au SSM et au S</w:t>
      </w:r>
      <w:r w:rsidR="00A41D35" w:rsidRPr="0026653F">
        <w:rPr>
          <w:szCs w:val="22"/>
          <w:lang w:val="fr-FR"/>
        </w:rPr>
        <w:t xml:space="preserve">ecrétariat aux questions juridiques </w:t>
      </w:r>
      <w:r w:rsidRPr="0026653F">
        <w:rPr>
          <w:szCs w:val="22"/>
          <w:lang w:val="fr-FR"/>
        </w:rPr>
        <w:t xml:space="preserve">de mener une coordination et une collaboration pour le traitement des facettes liées à la criminalité transnationale organisée, </w:t>
      </w:r>
      <w:r w:rsidR="000A09A4" w:rsidRPr="0026653F">
        <w:rPr>
          <w:szCs w:val="22"/>
          <w:lang w:val="fr-FR"/>
        </w:rPr>
        <w:t xml:space="preserve">concernant </w:t>
      </w:r>
      <w:r w:rsidRPr="0026653F">
        <w:rPr>
          <w:szCs w:val="22"/>
          <w:lang w:val="fr-FR"/>
        </w:rPr>
        <w:t xml:space="preserve">en particulier la cybercriminalité, afin de promouvoir des synergies, d’éviter la duplication des fonctions et d’appuyer les États membres de façon intégrée, </w:t>
      </w:r>
      <w:r w:rsidR="000A09A4" w:rsidRPr="0026653F">
        <w:rPr>
          <w:szCs w:val="22"/>
          <w:lang w:val="fr-FR"/>
        </w:rPr>
        <w:t xml:space="preserve">et d’en faire </w:t>
      </w:r>
      <w:r w:rsidRPr="0026653F">
        <w:rPr>
          <w:color w:val="000000"/>
          <w:szCs w:val="22"/>
          <w:lang w:val="fr-FR"/>
        </w:rPr>
        <w:t xml:space="preserve">rapport à </w:t>
      </w:r>
      <w:r w:rsidRPr="0026653F">
        <w:rPr>
          <w:szCs w:val="22"/>
          <w:lang w:val="fr-FR"/>
        </w:rPr>
        <w:t>la CSH au cours du premier semestre de 2021.</w:t>
      </w:r>
    </w:p>
    <w:p w14:paraId="77B1D550" w14:textId="77777777" w:rsidR="00293B12" w:rsidRPr="0026653F" w:rsidRDefault="00293B12" w:rsidP="00C618DD">
      <w:pPr>
        <w:suppressAutoHyphens/>
        <w:jc w:val="left"/>
        <w:rPr>
          <w:szCs w:val="22"/>
          <w:lang w:val="fr-FR"/>
        </w:rPr>
      </w:pPr>
    </w:p>
    <w:p w14:paraId="7C515CFD" w14:textId="4F30AAC2" w:rsidR="00293B12" w:rsidRPr="0026653F" w:rsidRDefault="00293B12" w:rsidP="00C618DD">
      <w:pPr>
        <w:numPr>
          <w:ilvl w:val="0"/>
          <w:numId w:val="39"/>
        </w:numPr>
        <w:suppressAutoHyphens/>
        <w:ind w:left="0"/>
        <w:rPr>
          <w:szCs w:val="22"/>
          <w:lang w:val="fr-FR"/>
        </w:rPr>
      </w:pPr>
      <w:r w:rsidRPr="0026653F">
        <w:rPr>
          <w:szCs w:val="22"/>
          <w:lang w:val="fr-FR"/>
        </w:rPr>
        <w:t xml:space="preserve">De demander au SSM d’offrir, par le truchement du Département contre la criminalité transnationale organisée et en coordination avec le </w:t>
      </w:r>
      <w:r w:rsidR="00A41D35" w:rsidRPr="0026653F">
        <w:rPr>
          <w:szCs w:val="22"/>
          <w:lang w:val="fr-FR"/>
        </w:rPr>
        <w:t>Secrétariat aux questions juridiques</w:t>
      </w:r>
      <w:r w:rsidRPr="0026653F">
        <w:rPr>
          <w:szCs w:val="22"/>
          <w:lang w:val="fr-FR"/>
        </w:rPr>
        <w:t xml:space="preserve"> et le CICTE, une assistance technique aux États membres pour améliorer ou renforcer les capacités institutionnelles en matière d’enquête sur la cybercriminalité liée à la criminalité transnationale organisée et de sanction des auteurs de ces </w:t>
      </w:r>
      <w:r w:rsidR="00BA36A2" w:rsidRPr="0026653F">
        <w:rPr>
          <w:szCs w:val="22"/>
          <w:lang w:val="fr-FR"/>
        </w:rPr>
        <w:t>infractions</w:t>
      </w:r>
      <w:r w:rsidRPr="0026653F">
        <w:rPr>
          <w:szCs w:val="22"/>
          <w:lang w:val="fr-FR"/>
        </w:rPr>
        <w:t>.</w:t>
      </w:r>
    </w:p>
    <w:p w14:paraId="58694AB9" w14:textId="77777777" w:rsidR="00293B12" w:rsidRPr="0026653F" w:rsidRDefault="00293B12" w:rsidP="00C618DD">
      <w:pPr>
        <w:suppressAutoHyphens/>
        <w:jc w:val="left"/>
        <w:rPr>
          <w:szCs w:val="22"/>
          <w:lang w:val="fr-FR"/>
        </w:rPr>
      </w:pPr>
    </w:p>
    <w:p w14:paraId="5A647BF0" w14:textId="2ADEBC02" w:rsidR="00293B12" w:rsidRPr="0026653F" w:rsidRDefault="00293B12" w:rsidP="00C618DD">
      <w:pPr>
        <w:numPr>
          <w:ilvl w:val="0"/>
          <w:numId w:val="39"/>
        </w:numPr>
        <w:suppressAutoHyphens/>
        <w:ind w:left="0"/>
        <w:rPr>
          <w:szCs w:val="22"/>
          <w:lang w:val="fr-FR"/>
        </w:rPr>
      </w:pPr>
      <w:r w:rsidRPr="0026653F">
        <w:rPr>
          <w:szCs w:val="22"/>
          <w:lang w:val="fr-FR"/>
        </w:rPr>
        <w:t xml:space="preserve">De demander au Groupe d’experts </w:t>
      </w:r>
      <w:r w:rsidR="00A41D35" w:rsidRPr="0026653F">
        <w:rPr>
          <w:szCs w:val="22"/>
          <w:lang w:val="fr-FR"/>
        </w:rPr>
        <w:t>pour la lutte contre l</w:t>
      </w:r>
      <w:r w:rsidRPr="0026653F">
        <w:rPr>
          <w:szCs w:val="22"/>
          <w:lang w:val="fr-FR"/>
        </w:rPr>
        <w:t xml:space="preserve">e blanchiment </w:t>
      </w:r>
      <w:r w:rsidR="00321843" w:rsidRPr="0026653F">
        <w:rPr>
          <w:szCs w:val="22"/>
          <w:lang w:val="fr-FR"/>
        </w:rPr>
        <w:t>d’argent</w:t>
      </w:r>
      <w:r w:rsidR="00A41D35" w:rsidRPr="0026653F">
        <w:rPr>
          <w:szCs w:val="22"/>
          <w:lang w:val="fr-FR"/>
        </w:rPr>
        <w:t xml:space="preserve"> </w:t>
      </w:r>
      <w:r w:rsidRPr="0026653F">
        <w:rPr>
          <w:szCs w:val="22"/>
          <w:lang w:val="fr-FR"/>
        </w:rPr>
        <w:t xml:space="preserve">(GELAVEX) de l’OEA de transmettre ses conclusions et recommandations techniques directement à </w:t>
      </w:r>
      <w:r w:rsidRPr="0026653F">
        <w:rPr>
          <w:szCs w:val="22"/>
          <w:lang w:val="fr-FR"/>
        </w:rPr>
        <w:lastRenderedPageBreak/>
        <w:t>la CSH et à la RANDOT. De demander également au Secrétariat général de fournir les ressources financières et humaines nécessaires pour que le GELAVEX continue de se renforcer.</w:t>
      </w:r>
    </w:p>
    <w:p w14:paraId="5BF39322" w14:textId="77777777" w:rsidR="00293B12" w:rsidRPr="0026653F" w:rsidRDefault="00293B12" w:rsidP="00C618DD">
      <w:pPr>
        <w:jc w:val="left"/>
        <w:rPr>
          <w:szCs w:val="22"/>
          <w:lang w:val="fr-FR"/>
        </w:rPr>
      </w:pPr>
    </w:p>
    <w:p w14:paraId="2A605D3D" w14:textId="3DDF5C50" w:rsidR="00293B12" w:rsidRPr="0026653F" w:rsidRDefault="00293B12" w:rsidP="00C618DD">
      <w:pPr>
        <w:numPr>
          <w:ilvl w:val="0"/>
          <w:numId w:val="39"/>
        </w:numPr>
        <w:ind w:left="0" w:firstLine="709"/>
        <w:rPr>
          <w:szCs w:val="22"/>
          <w:lang w:val="fr-FR"/>
        </w:rPr>
      </w:pPr>
      <w:r w:rsidRPr="0026653F">
        <w:rPr>
          <w:szCs w:val="22"/>
          <w:lang w:val="fr-FR"/>
        </w:rPr>
        <w:t xml:space="preserve">De reconnaître que des stratagèmes sophistiqués de blanchiment des avoirs sont employés par les groupes criminels, tels que des groupes de la criminalité organisée, des narcotrafiquants, des </w:t>
      </w:r>
      <w:r w:rsidR="000A09A4" w:rsidRPr="0026653F">
        <w:rPr>
          <w:szCs w:val="22"/>
          <w:lang w:val="fr-FR"/>
        </w:rPr>
        <w:t xml:space="preserve">organisations </w:t>
      </w:r>
      <w:r w:rsidRPr="0026653F">
        <w:rPr>
          <w:szCs w:val="22"/>
          <w:lang w:val="fr-FR"/>
        </w:rPr>
        <w:t>terroristes et d’autres acteurs illégaux pour blanchir les produits de leurs actes criminels et financer leurs opérations, et, dans ce contexte, de réaffirmer l’engagement des États membres à lutter contre les infractions financières en intensifiant la coopération et l</w:t>
      </w:r>
      <w:r w:rsidR="00E97DAF" w:rsidRPr="0026653F">
        <w:rPr>
          <w:szCs w:val="22"/>
          <w:lang w:val="fr-FR"/>
        </w:rPr>
        <w:t xml:space="preserve">’échange </w:t>
      </w:r>
      <w:r w:rsidRPr="0026653F">
        <w:rPr>
          <w:szCs w:val="22"/>
          <w:lang w:val="fr-FR"/>
        </w:rPr>
        <w:t>d’information.</w:t>
      </w:r>
    </w:p>
    <w:p w14:paraId="4DE5B77D" w14:textId="77777777" w:rsidR="00293B12" w:rsidRPr="0026653F" w:rsidRDefault="00293B12" w:rsidP="00C618DD">
      <w:pPr>
        <w:rPr>
          <w:szCs w:val="22"/>
          <w:lang w:val="fr-FR"/>
        </w:rPr>
      </w:pPr>
    </w:p>
    <w:p w14:paraId="00BD1772" w14:textId="7AB54A5A" w:rsidR="00293B12" w:rsidRPr="0026653F" w:rsidRDefault="00293B12" w:rsidP="00C618DD">
      <w:pPr>
        <w:numPr>
          <w:ilvl w:val="0"/>
          <w:numId w:val="39"/>
        </w:numPr>
        <w:suppressAutoHyphens/>
        <w:ind w:left="0"/>
        <w:rPr>
          <w:szCs w:val="22"/>
          <w:lang w:val="fr-FR"/>
        </w:rPr>
      </w:pPr>
      <w:r w:rsidRPr="0026653F">
        <w:rPr>
          <w:bCs/>
          <w:szCs w:val="22"/>
          <w:lang w:val="fr-FR"/>
        </w:rPr>
        <w:t>D’</w:t>
      </w:r>
      <w:r w:rsidR="0007342C" w:rsidRPr="0026653F">
        <w:rPr>
          <w:bCs/>
          <w:szCs w:val="22"/>
          <w:lang w:val="fr-FR"/>
        </w:rPr>
        <w:t xml:space="preserve">encourager </w:t>
      </w:r>
      <w:r w:rsidRPr="0026653F">
        <w:rPr>
          <w:bCs/>
          <w:szCs w:val="22"/>
          <w:lang w:val="fr-FR"/>
        </w:rPr>
        <w:t xml:space="preserve">les États membres à renforcer leurs législations et l’application de celle-ci dans le but de faciliter la gestion efficace des actifs saisis dans le contexte de la lutte contre la criminalité transnationale organisée. De plus, la création d’une culture </w:t>
      </w:r>
      <w:r w:rsidR="00E97DAF" w:rsidRPr="0026653F">
        <w:rPr>
          <w:bCs/>
          <w:szCs w:val="22"/>
          <w:lang w:val="fr-FR"/>
        </w:rPr>
        <w:t xml:space="preserve">robuste de </w:t>
      </w:r>
      <w:r w:rsidRPr="0026653F">
        <w:rPr>
          <w:bCs/>
          <w:szCs w:val="22"/>
          <w:lang w:val="fr-FR"/>
        </w:rPr>
        <w:t>respect des règles facilitera les activités en rapport avec la lutte contre la criminalité dans son ensemble.</w:t>
      </w:r>
    </w:p>
    <w:p w14:paraId="71392C81" w14:textId="77777777" w:rsidR="00293B12" w:rsidRPr="0026653F" w:rsidRDefault="00293B12" w:rsidP="00C618DD">
      <w:pPr>
        <w:suppressAutoHyphens/>
        <w:rPr>
          <w:szCs w:val="22"/>
          <w:lang w:val="fr-FR"/>
        </w:rPr>
      </w:pPr>
    </w:p>
    <w:p w14:paraId="396D44A1" w14:textId="3477C665" w:rsidR="00293B12" w:rsidRPr="0026653F" w:rsidRDefault="00293B12" w:rsidP="00C618DD">
      <w:pPr>
        <w:numPr>
          <w:ilvl w:val="0"/>
          <w:numId w:val="39"/>
        </w:numPr>
        <w:suppressAutoHyphens/>
        <w:ind w:left="0"/>
        <w:rPr>
          <w:szCs w:val="22"/>
          <w:lang w:val="fr-FR"/>
        </w:rPr>
      </w:pPr>
      <w:r w:rsidRPr="0026653F">
        <w:rPr>
          <w:bCs/>
          <w:szCs w:val="22"/>
          <w:lang w:val="fr-FR"/>
        </w:rPr>
        <w:t>De charger le Secrétariat général d’effectuer une compilation de bonnes pratiques et de données d’expériences innovatrices qui ont été adoptées dans ce contexte.</w:t>
      </w:r>
    </w:p>
    <w:p w14:paraId="2FEEABEE" w14:textId="77777777" w:rsidR="00293B12" w:rsidRPr="0026653F" w:rsidRDefault="00293B12" w:rsidP="00C618DD">
      <w:pPr>
        <w:suppressAutoHyphens/>
        <w:rPr>
          <w:szCs w:val="22"/>
          <w:lang w:val="fr-FR"/>
        </w:rPr>
      </w:pPr>
    </w:p>
    <w:p w14:paraId="7246A253" w14:textId="17F269EA" w:rsidR="00293B12" w:rsidRPr="0026653F" w:rsidRDefault="00293B12" w:rsidP="00C618DD">
      <w:pPr>
        <w:numPr>
          <w:ilvl w:val="0"/>
          <w:numId w:val="39"/>
        </w:numPr>
        <w:suppressAutoHyphens/>
        <w:ind w:left="0"/>
        <w:rPr>
          <w:szCs w:val="22"/>
          <w:lang w:val="fr-FR"/>
        </w:rPr>
      </w:pPr>
      <w:r w:rsidRPr="0026653F">
        <w:rPr>
          <w:bCs/>
          <w:szCs w:val="22"/>
          <w:lang w:val="fr-FR"/>
        </w:rPr>
        <w:t>D</w:t>
      </w:r>
      <w:r w:rsidR="00194A58" w:rsidRPr="0026653F">
        <w:rPr>
          <w:bCs/>
          <w:szCs w:val="22"/>
          <w:lang w:val="fr-FR"/>
        </w:rPr>
        <w:t xml:space="preserve">’inviter </w:t>
      </w:r>
      <w:r w:rsidRPr="0026653F">
        <w:rPr>
          <w:bCs/>
          <w:szCs w:val="22"/>
          <w:lang w:val="fr-FR"/>
        </w:rPr>
        <w:t xml:space="preserve">instamment </w:t>
      </w:r>
      <w:r w:rsidR="00194A58" w:rsidRPr="0026653F">
        <w:rPr>
          <w:bCs/>
          <w:szCs w:val="22"/>
          <w:lang w:val="fr-FR"/>
        </w:rPr>
        <w:t xml:space="preserve">les </w:t>
      </w:r>
      <w:r w:rsidRPr="0026653F">
        <w:rPr>
          <w:bCs/>
          <w:szCs w:val="22"/>
          <w:lang w:val="fr-FR"/>
        </w:rPr>
        <w:t xml:space="preserve">États membres </w:t>
      </w:r>
      <w:r w:rsidR="00194A58" w:rsidRPr="0026653F">
        <w:rPr>
          <w:bCs/>
          <w:szCs w:val="22"/>
          <w:lang w:val="fr-FR"/>
        </w:rPr>
        <w:t xml:space="preserve">à </w:t>
      </w:r>
      <w:r w:rsidRPr="0026653F">
        <w:rPr>
          <w:bCs/>
          <w:szCs w:val="22"/>
          <w:lang w:val="fr-FR"/>
        </w:rPr>
        <w:t xml:space="preserve">mettre en œuvre la résolution « Lutter contre la criminalité transnationale organisée et ses liens avec le trafic illicite de métaux précieux et l’exploitation minière illégale, notamment par le renforcement de la sécurité des filières des métaux précieux » </w:t>
      </w:r>
      <w:r w:rsidR="00897181" w:rsidRPr="0026653F">
        <w:rPr>
          <w:bCs/>
          <w:szCs w:val="22"/>
          <w:lang w:val="fr-FR"/>
        </w:rPr>
        <w:t>adoptée sur recommandation de la Commission pour la prévention du crime et la justice pénale de l’ONU</w:t>
      </w:r>
      <w:r w:rsidR="00194A58" w:rsidRPr="0026653F">
        <w:rPr>
          <w:bCs/>
          <w:szCs w:val="22"/>
          <w:u w:val="single"/>
          <w:vertAlign w:val="superscript"/>
          <w:lang w:val="fr-FR"/>
        </w:rPr>
        <w:footnoteReference w:id="20"/>
      </w:r>
      <w:r w:rsidR="00194A58" w:rsidRPr="0026653F">
        <w:rPr>
          <w:bCs/>
          <w:szCs w:val="22"/>
          <w:vertAlign w:val="superscript"/>
          <w:lang w:val="fr-FR"/>
        </w:rPr>
        <w:t>/</w:t>
      </w:r>
      <w:r w:rsidR="00897181" w:rsidRPr="0026653F">
        <w:rPr>
          <w:bCs/>
          <w:szCs w:val="22"/>
          <w:lang w:val="fr-FR"/>
        </w:rPr>
        <w:t xml:space="preserve">, </w:t>
      </w:r>
      <w:r w:rsidRPr="0026653F">
        <w:rPr>
          <w:bCs/>
          <w:szCs w:val="22"/>
          <w:lang w:val="fr-FR"/>
        </w:rPr>
        <w:t>et de les inviter à joindre leurs efforts pour 1) accroître la transparence et la sécurité à chaque chaînon de la filière de l’or</w:t>
      </w:r>
      <w:r w:rsidR="006F6AD4" w:rsidRPr="0026653F">
        <w:rPr>
          <w:bCs/>
          <w:szCs w:val="22"/>
          <w:lang w:val="fr-FR"/>
        </w:rPr>
        <w:t> ;</w:t>
      </w:r>
      <w:r w:rsidRPr="0026653F">
        <w:rPr>
          <w:bCs/>
          <w:szCs w:val="22"/>
          <w:lang w:val="fr-FR"/>
        </w:rPr>
        <w:t xml:space="preserve"> 2) établir des règlementations pour le commerce du mercure et coordonner l’application de mécanismes régionaux pour réglementer le commerce licite ou illicite, le transport, la manipulation et le stockage sécurisé du mercure</w:t>
      </w:r>
      <w:r w:rsidR="006F6AD4" w:rsidRPr="0026653F">
        <w:rPr>
          <w:bCs/>
          <w:szCs w:val="22"/>
          <w:lang w:val="fr-FR"/>
        </w:rPr>
        <w:t> ;</w:t>
      </w:r>
      <w:r w:rsidRPr="0026653F">
        <w:rPr>
          <w:bCs/>
          <w:szCs w:val="22"/>
          <w:lang w:val="fr-FR"/>
        </w:rPr>
        <w:t xml:space="preserve"> 3) encourager les autorités qui travaillent dans la filière de l’or à présenter un rapport sur les activités suspectes à l’intention des cellules nationales de renseignement financier</w:t>
      </w:r>
      <w:r w:rsidR="00322C0C" w:rsidRPr="0026653F">
        <w:rPr>
          <w:bCs/>
          <w:szCs w:val="22"/>
          <w:lang w:val="fr-FR"/>
        </w:rPr>
        <w:t> </w:t>
      </w:r>
      <w:r w:rsidR="006F6AD4" w:rsidRPr="0026653F">
        <w:rPr>
          <w:bCs/>
          <w:szCs w:val="22"/>
          <w:lang w:val="fr-FR"/>
        </w:rPr>
        <w:t>;</w:t>
      </w:r>
      <w:r w:rsidRPr="0026653F">
        <w:rPr>
          <w:bCs/>
          <w:szCs w:val="22"/>
          <w:lang w:val="fr-FR"/>
        </w:rPr>
        <w:t xml:space="preserve"> 4) conformément à la législation nationale et aux normes internationales pertinentes, mettre en œuvre des politiques contre le blanchiment d</w:t>
      </w:r>
      <w:r w:rsidR="006F6AD4" w:rsidRPr="0026653F">
        <w:rPr>
          <w:bCs/>
          <w:szCs w:val="22"/>
          <w:lang w:val="fr-FR"/>
        </w:rPr>
        <w:t xml:space="preserve">’argent </w:t>
      </w:r>
      <w:r w:rsidRPr="0026653F">
        <w:rPr>
          <w:bCs/>
          <w:szCs w:val="22"/>
          <w:lang w:val="fr-FR"/>
        </w:rPr>
        <w:t xml:space="preserve">dans le commerce de l’or et du mercure et 5) encourager les entreprises opérant dans </w:t>
      </w:r>
      <w:r w:rsidRPr="0026653F">
        <w:rPr>
          <w:szCs w:val="22"/>
          <w:lang w:val="fr-FR"/>
        </w:rPr>
        <w:t>leurs juridictions à effectuer les vérifications d’usage afin d’assurer que leurs achats de minerais précieux ne contribuent pas aux conflits ou au financement de la criminalité organisée.</w:t>
      </w:r>
      <w:bookmarkStart w:id="5" w:name="_Hlk39008885"/>
      <w:bookmarkEnd w:id="5"/>
    </w:p>
    <w:p w14:paraId="1ACE3454" w14:textId="77777777" w:rsidR="00293B12" w:rsidRPr="0026653F" w:rsidRDefault="00293B12" w:rsidP="00C618DD">
      <w:pPr>
        <w:suppressAutoHyphens/>
        <w:rPr>
          <w:szCs w:val="22"/>
          <w:lang w:val="fr-FR"/>
        </w:rPr>
      </w:pPr>
    </w:p>
    <w:p w14:paraId="73BA3CD3" w14:textId="77777777" w:rsidR="00293B12" w:rsidRPr="0026653F" w:rsidRDefault="00293B12" w:rsidP="00C618DD">
      <w:pPr>
        <w:numPr>
          <w:ilvl w:val="0"/>
          <w:numId w:val="39"/>
        </w:numPr>
        <w:suppressAutoHyphens/>
        <w:ind w:left="0"/>
        <w:rPr>
          <w:i/>
          <w:iCs/>
          <w:szCs w:val="22"/>
          <w:lang w:val="fr-FR"/>
        </w:rPr>
      </w:pPr>
      <w:r w:rsidRPr="0026653F">
        <w:rPr>
          <w:szCs w:val="22"/>
          <w:lang w:val="fr-FR"/>
        </w:rPr>
        <w:t>D’encourager les États membres qui ne l’ont pas encore fait à envisager d’adhérer à la Convention de Minamata sur le mercure (2013).</w:t>
      </w:r>
    </w:p>
    <w:p w14:paraId="4ABC6157" w14:textId="77777777" w:rsidR="00293B12" w:rsidRPr="0026653F" w:rsidRDefault="00293B12" w:rsidP="00C618DD">
      <w:pPr>
        <w:suppressAutoHyphens/>
        <w:rPr>
          <w:szCs w:val="22"/>
          <w:lang w:val="fr-FR"/>
        </w:rPr>
      </w:pPr>
    </w:p>
    <w:p w14:paraId="37EF15A8" w14:textId="689EFA3E" w:rsidR="00293B12" w:rsidRPr="0026653F" w:rsidRDefault="00293B12" w:rsidP="00C618DD">
      <w:pPr>
        <w:numPr>
          <w:ilvl w:val="0"/>
          <w:numId w:val="39"/>
        </w:numPr>
        <w:suppressAutoHyphens/>
        <w:ind w:left="0"/>
        <w:rPr>
          <w:szCs w:val="22"/>
          <w:lang w:val="fr-FR"/>
        </w:rPr>
      </w:pPr>
      <w:r w:rsidRPr="0026653F">
        <w:rPr>
          <w:szCs w:val="22"/>
          <w:lang w:val="fr-FR"/>
        </w:rPr>
        <w:t>De soutenir les conférences et ateliers sous-régionaux et ceux de l’OEA consacrés à la lutte contre la criminalité transnationale organisée et ses liens avec le trafic illicite de métaux précieux et l’exploitation minière illégale, et de faciliter</w:t>
      </w:r>
      <w:r w:rsidR="009404E2" w:rsidRPr="0026653F">
        <w:rPr>
          <w:szCs w:val="22"/>
          <w:lang w:val="fr-FR"/>
        </w:rPr>
        <w:t xml:space="preserve"> </w:t>
      </w:r>
      <w:r w:rsidR="00D24B93" w:rsidRPr="0026653F">
        <w:rPr>
          <w:szCs w:val="22"/>
          <w:lang w:val="fr-FR"/>
        </w:rPr>
        <w:t>la</w:t>
      </w:r>
      <w:r w:rsidRPr="0026653F">
        <w:rPr>
          <w:szCs w:val="22"/>
          <w:lang w:val="fr-FR"/>
        </w:rPr>
        <w:t xml:space="preserve"> coopération régionale </w:t>
      </w:r>
      <w:r w:rsidR="00D24B93" w:rsidRPr="0026653F">
        <w:rPr>
          <w:szCs w:val="22"/>
          <w:lang w:val="fr-FR"/>
        </w:rPr>
        <w:t xml:space="preserve">portant sur le </w:t>
      </w:r>
      <w:r w:rsidRPr="0026653F">
        <w:rPr>
          <w:szCs w:val="22"/>
          <w:lang w:val="fr-FR"/>
        </w:rPr>
        <w:t>mercure.</w:t>
      </w:r>
    </w:p>
    <w:p w14:paraId="6A1E99B5" w14:textId="77777777" w:rsidR="00293B12" w:rsidRPr="0026653F" w:rsidRDefault="00293B12" w:rsidP="00C618DD">
      <w:pPr>
        <w:jc w:val="left"/>
        <w:rPr>
          <w:szCs w:val="22"/>
          <w:lang w:val="fr-FR"/>
        </w:rPr>
      </w:pPr>
    </w:p>
    <w:p w14:paraId="32FBA021" w14:textId="49D5FC5D" w:rsidR="00293B12" w:rsidRPr="0026653F" w:rsidRDefault="00293B12" w:rsidP="00C618DD">
      <w:pPr>
        <w:numPr>
          <w:ilvl w:val="0"/>
          <w:numId w:val="39"/>
        </w:numPr>
        <w:suppressAutoHyphens/>
        <w:ind w:left="0"/>
        <w:rPr>
          <w:szCs w:val="22"/>
          <w:lang w:val="fr-FR"/>
        </w:rPr>
      </w:pPr>
      <w:r w:rsidRPr="0026653F">
        <w:rPr>
          <w:szCs w:val="22"/>
          <w:lang w:val="fr-FR"/>
        </w:rPr>
        <w:t>De reconnaître le rôle que l’exploitation et le commerce illicites de ressources naturelles peuvent jouer dans la création et la prolongation de conflits et d’exhorter les États membres à lutter contre ces infractions.</w:t>
      </w:r>
    </w:p>
    <w:p w14:paraId="7A3AD0A0" w14:textId="77777777" w:rsidR="00293B12" w:rsidRPr="0026653F" w:rsidRDefault="00293B12" w:rsidP="00C618DD">
      <w:pPr>
        <w:jc w:val="left"/>
        <w:rPr>
          <w:szCs w:val="22"/>
          <w:lang w:val="fr-FR"/>
        </w:rPr>
      </w:pPr>
    </w:p>
    <w:p w14:paraId="3D6284A2" w14:textId="313F6B21" w:rsidR="00293B12" w:rsidRPr="0026653F" w:rsidRDefault="00293B12" w:rsidP="00C618DD">
      <w:pPr>
        <w:numPr>
          <w:ilvl w:val="0"/>
          <w:numId w:val="39"/>
        </w:numPr>
        <w:suppressAutoHyphens/>
        <w:ind w:left="0"/>
        <w:rPr>
          <w:szCs w:val="22"/>
          <w:lang w:val="fr-FR"/>
        </w:rPr>
      </w:pPr>
      <w:r w:rsidRPr="0026653F">
        <w:rPr>
          <w:szCs w:val="22"/>
          <w:lang w:val="fr-FR"/>
        </w:rPr>
        <w:lastRenderedPageBreak/>
        <w:t xml:space="preserve">D’encourager les États membres à œuvrer de concert pour combattre </w:t>
      </w:r>
      <w:r w:rsidR="00D24B93" w:rsidRPr="0026653F">
        <w:rPr>
          <w:szCs w:val="22"/>
          <w:lang w:val="fr-FR"/>
        </w:rPr>
        <w:t xml:space="preserve">les </w:t>
      </w:r>
      <w:r w:rsidRPr="0026653F">
        <w:rPr>
          <w:szCs w:val="22"/>
          <w:lang w:val="fr-FR"/>
        </w:rPr>
        <w:t>infractions et activités illégales associées au trafic illicite de métaux précieux et à l’exploitation minière illégale, tels que la corruption, le trafic d’espèces sauvages, l’exploitation forestière illégale et le trafic de bois, ainsi que la pêche illégale, non déclarée et non réglementée, conformément aux résolutions de la Commission pour la prévention du crime et la justice pénale</w:t>
      </w:r>
      <w:r w:rsidR="008E0DC6" w:rsidRPr="0026653F">
        <w:rPr>
          <w:szCs w:val="22"/>
          <w:lang w:val="fr-FR"/>
        </w:rPr>
        <w:t xml:space="preserve"> de l’ONU</w:t>
      </w:r>
      <w:r w:rsidRPr="0026653F">
        <w:rPr>
          <w:szCs w:val="22"/>
          <w:lang w:val="fr-FR"/>
        </w:rPr>
        <w:t>.</w:t>
      </w:r>
    </w:p>
    <w:p w14:paraId="07871418" w14:textId="77777777" w:rsidR="00293B12" w:rsidRPr="0026653F" w:rsidRDefault="00293B12" w:rsidP="00C618DD">
      <w:pPr>
        <w:suppressAutoHyphens/>
        <w:jc w:val="left"/>
        <w:rPr>
          <w:bCs/>
          <w:szCs w:val="22"/>
          <w:lang w:val="fr-FR"/>
        </w:rPr>
      </w:pPr>
    </w:p>
    <w:p w14:paraId="641A9D01" w14:textId="68FDA7AE" w:rsidR="00293B12" w:rsidRPr="0026653F" w:rsidRDefault="00293B12" w:rsidP="00C618DD">
      <w:pPr>
        <w:numPr>
          <w:ilvl w:val="0"/>
          <w:numId w:val="39"/>
        </w:numPr>
        <w:suppressAutoHyphens/>
        <w:ind w:left="0"/>
        <w:rPr>
          <w:szCs w:val="22"/>
          <w:lang w:val="fr-FR"/>
        </w:rPr>
      </w:pPr>
      <w:r w:rsidRPr="0026653F">
        <w:rPr>
          <w:szCs w:val="22"/>
          <w:lang w:val="fr-FR"/>
        </w:rPr>
        <w:t xml:space="preserve">De demander au SSM de </w:t>
      </w:r>
      <w:r w:rsidR="00D24B93" w:rsidRPr="0026653F">
        <w:rPr>
          <w:szCs w:val="22"/>
          <w:lang w:val="fr-FR"/>
        </w:rPr>
        <w:t>dresser</w:t>
      </w:r>
      <w:r w:rsidRPr="0026653F">
        <w:rPr>
          <w:szCs w:val="22"/>
          <w:lang w:val="fr-FR"/>
        </w:rPr>
        <w:t xml:space="preserve">, en coordination avec le Secrétariat du Groupe de travail de la REMJA sur la cybercriminalité, une liste exhaustive des mécanismes de formation et d’entraînement </w:t>
      </w:r>
      <w:r w:rsidR="00D578C8" w:rsidRPr="0026653F">
        <w:rPr>
          <w:szCs w:val="22"/>
          <w:lang w:val="fr-FR"/>
        </w:rPr>
        <w:t xml:space="preserve">continu </w:t>
      </w:r>
      <w:r w:rsidRPr="0026653F">
        <w:rPr>
          <w:szCs w:val="22"/>
          <w:lang w:val="fr-FR"/>
        </w:rPr>
        <w:t>qui sont disponibles pour le renforcement d</w:t>
      </w:r>
      <w:r w:rsidR="00D578C8" w:rsidRPr="0026653F">
        <w:rPr>
          <w:szCs w:val="22"/>
          <w:lang w:val="fr-FR"/>
        </w:rPr>
        <w:t xml:space="preserve">u développement </w:t>
      </w:r>
      <w:r w:rsidRPr="0026653F">
        <w:rPr>
          <w:szCs w:val="22"/>
          <w:lang w:val="fr-FR"/>
        </w:rPr>
        <w:t xml:space="preserve">de capacités institutionnelles qui permettent aux États membres d’aborder les liens de plus en plus étroits entre la criminalité transnationale organisée et la cybercriminalité, y compris les mécanismes de formation </w:t>
      </w:r>
      <w:r w:rsidR="008A194E" w:rsidRPr="0026653F">
        <w:rPr>
          <w:szCs w:val="22"/>
          <w:lang w:val="fr-FR"/>
        </w:rPr>
        <w:t>proposés</w:t>
      </w:r>
      <w:r w:rsidRPr="0026653F">
        <w:rPr>
          <w:szCs w:val="22"/>
          <w:lang w:val="fr-FR"/>
        </w:rPr>
        <w:t xml:space="preserve"> </w:t>
      </w:r>
      <w:r w:rsidR="00D578C8" w:rsidRPr="0026653F">
        <w:rPr>
          <w:szCs w:val="22"/>
          <w:lang w:val="fr-FR"/>
        </w:rPr>
        <w:t xml:space="preserve">en vertu </w:t>
      </w:r>
      <w:r w:rsidRPr="0026653F">
        <w:rPr>
          <w:szCs w:val="22"/>
          <w:lang w:val="fr-FR"/>
        </w:rPr>
        <w:t>de la Convention de Budapest. Cette liste devra être présentée aux États membres lors d’une réunion de la CSH et actualisée tous les ans.</w:t>
      </w:r>
    </w:p>
    <w:p w14:paraId="6C0629B8" w14:textId="77777777" w:rsidR="00293B12" w:rsidRPr="0026653F" w:rsidRDefault="00293B12" w:rsidP="00C618DD">
      <w:pPr>
        <w:suppressAutoHyphens/>
        <w:rPr>
          <w:szCs w:val="22"/>
          <w:lang w:val="fr-FR"/>
        </w:rPr>
      </w:pPr>
    </w:p>
    <w:p w14:paraId="437B696F" w14:textId="77777777" w:rsidR="00293B12" w:rsidRPr="0026653F" w:rsidRDefault="00293B12" w:rsidP="00C618DD">
      <w:pPr>
        <w:numPr>
          <w:ilvl w:val="0"/>
          <w:numId w:val="39"/>
        </w:numPr>
        <w:suppressAutoHyphens/>
        <w:ind w:left="0"/>
        <w:rPr>
          <w:szCs w:val="22"/>
          <w:lang w:val="fr-FR"/>
        </w:rPr>
      </w:pPr>
      <w:r w:rsidRPr="0026653F">
        <w:rPr>
          <w:szCs w:val="22"/>
          <w:lang w:val="fr-FR"/>
        </w:rPr>
        <w:t>De demander au SSM, par l’intermédiaire du Département contre la criminalité transnationale organisée, de fournir une assistance technique aux États membres qui en font la demande afin d’améliorer ou de renforcer les capacités institutionnelles en matière de lutte contre la criminalité transnationale organisée impliquant des infractions qui touchent l’environnement.</w:t>
      </w:r>
    </w:p>
    <w:p w14:paraId="7088AF3F" w14:textId="77777777" w:rsidR="00293B12" w:rsidRPr="0026653F" w:rsidRDefault="00293B12" w:rsidP="00C618DD">
      <w:pPr>
        <w:suppressAutoHyphens/>
        <w:jc w:val="left"/>
        <w:rPr>
          <w:szCs w:val="22"/>
          <w:lang w:val="fr-FR"/>
        </w:rPr>
      </w:pPr>
    </w:p>
    <w:p w14:paraId="46B8019E" w14:textId="2CD0A857" w:rsidR="00293B12" w:rsidRPr="0026653F" w:rsidRDefault="00293B12" w:rsidP="00C618DD">
      <w:pPr>
        <w:numPr>
          <w:ilvl w:val="0"/>
          <w:numId w:val="39"/>
        </w:numPr>
        <w:suppressAutoHyphens/>
        <w:ind w:left="0"/>
        <w:rPr>
          <w:szCs w:val="22"/>
          <w:lang w:val="fr-FR"/>
        </w:rPr>
      </w:pPr>
      <w:r w:rsidRPr="0026653F">
        <w:rPr>
          <w:szCs w:val="22"/>
          <w:lang w:val="fr-FR"/>
        </w:rPr>
        <w:t>Dans le cadre de l’</w:t>
      </w:r>
      <w:r w:rsidR="00D578C8" w:rsidRPr="0026653F">
        <w:rPr>
          <w:szCs w:val="22"/>
          <w:lang w:val="fr-FR"/>
        </w:rPr>
        <w:t>E</w:t>
      </w:r>
      <w:r w:rsidRPr="0026653F">
        <w:rPr>
          <w:szCs w:val="22"/>
          <w:lang w:val="fr-FR"/>
        </w:rPr>
        <w:t>ngagement de Lima, de demander au SSM, par l’intermédiaire du Département contre la criminalité transnationale organisée, de continuer, dans le cadre de sa compétence, à soutenir les États membres en matière de prévention et de lutte contre la corruption, en particulier en ce qui a trait au blanchiment d’actifs et au recouvrement des avoirs qui y sont associés.</w:t>
      </w:r>
      <w:r w:rsidRPr="0026653F">
        <w:rPr>
          <w:szCs w:val="22"/>
          <w:u w:val="single"/>
          <w:vertAlign w:val="superscript"/>
          <w:lang w:val="fr-FR"/>
        </w:rPr>
        <w:footnoteReference w:id="21"/>
      </w:r>
    </w:p>
    <w:p w14:paraId="1C22DC73" w14:textId="77777777" w:rsidR="00293B12" w:rsidRPr="0026653F" w:rsidRDefault="00293B12" w:rsidP="00C618DD">
      <w:pPr>
        <w:suppressAutoHyphens/>
        <w:jc w:val="left"/>
        <w:rPr>
          <w:szCs w:val="22"/>
          <w:lang w:val="fr-FR"/>
        </w:rPr>
      </w:pPr>
    </w:p>
    <w:p w14:paraId="006FD749" w14:textId="66169E1E" w:rsidR="00293B12" w:rsidRPr="0026653F" w:rsidRDefault="00293B12" w:rsidP="00C618DD">
      <w:pPr>
        <w:numPr>
          <w:ilvl w:val="0"/>
          <w:numId w:val="39"/>
        </w:numPr>
        <w:suppressAutoHyphens/>
        <w:ind w:left="0"/>
        <w:rPr>
          <w:szCs w:val="22"/>
          <w:lang w:val="fr-FR"/>
        </w:rPr>
      </w:pPr>
      <w:r w:rsidRPr="0026653F">
        <w:rPr>
          <w:szCs w:val="22"/>
          <w:lang w:val="fr-FR"/>
        </w:rPr>
        <w:t>De demander au SSM, par l’intermédiaire du Département contre la criminalité transnationale organisée, de fournir une assistance technique aux États membres afin d’améliorer ou de renforcer les capacités institutionnelles en matière de lutte contre la criminalité transnationale organisée liée aux nouvelles tendances délictueuses, lesquelles comprennent notamment la traite des personnes, le trafic d’armes et le trafic d</w:t>
      </w:r>
      <w:r w:rsidR="008A194E" w:rsidRPr="0026653F">
        <w:rPr>
          <w:szCs w:val="22"/>
          <w:lang w:val="fr-FR"/>
        </w:rPr>
        <w:t>’argent</w:t>
      </w:r>
      <w:r w:rsidRPr="0026653F">
        <w:rPr>
          <w:szCs w:val="22"/>
          <w:lang w:val="fr-FR"/>
        </w:rPr>
        <w:t xml:space="preserve">, la contrebande de produits et matières illégaux, y compris, sans s’y limiter, les médicaments, les espèces biologiques, la flore et la faune, le commerce et la contrebande de produits de contrefaçon ou de marchandises piratées, les infractions contre le patrimoine culturel, y compris, sans s’y limiter, le </w:t>
      </w:r>
      <w:r w:rsidR="008A194E" w:rsidRPr="0026653F">
        <w:rPr>
          <w:szCs w:val="22"/>
          <w:lang w:val="fr-FR"/>
        </w:rPr>
        <w:t>trafic</w:t>
      </w:r>
      <w:r w:rsidRPr="0026653F">
        <w:rPr>
          <w:szCs w:val="22"/>
          <w:lang w:val="fr-FR"/>
        </w:rPr>
        <w:t xml:space="preserve"> illicite de propriété culturelle, la contrefaçon de monnaie et de documents de sécurité, les infractions financières et l’utilisation illicite de monnaies virtuelles.</w:t>
      </w:r>
    </w:p>
    <w:p w14:paraId="5DA2C523" w14:textId="77777777" w:rsidR="00293B12" w:rsidRPr="0026653F" w:rsidRDefault="00293B12" w:rsidP="00C618DD">
      <w:pPr>
        <w:suppressAutoHyphens/>
        <w:rPr>
          <w:szCs w:val="22"/>
          <w:lang w:val="fr-FR"/>
        </w:rPr>
      </w:pPr>
    </w:p>
    <w:p w14:paraId="4871C3B4" w14:textId="0CBCD1EC" w:rsidR="00293B12" w:rsidRPr="0026653F" w:rsidRDefault="00293B12" w:rsidP="00C618DD">
      <w:pPr>
        <w:numPr>
          <w:ilvl w:val="0"/>
          <w:numId w:val="39"/>
        </w:numPr>
        <w:suppressAutoHyphens/>
        <w:ind w:left="0"/>
        <w:rPr>
          <w:szCs w:val="22"/>
          <w:lang w:val="fr-FR"/>
        </w:rPr>
      </w:pPr>
      <w:r w:rsidRPr="0026653F">
        <w:rPr>
          <w:szCs w:val="22"/>
          <w:lang w:val="fr-FR"/>
        </w:rPr>
        <w:t>De demander au SSM, par l’intermédiaire du Département contre la criminalité transnationale organisée, de développer et de mettre en place une base de données continentale fondée sur les informations officielles qui recueille les normes en vigueur, les politiques, programmes, stratégies et enseignements tirés, afin de faciliter la diffusion d’informations utiles et actualisées en matière de lutte contre la criminalité transnationale organisée.</w:t>
      </w:r>
    </w:p>
    <w:p w14:paraId="4F6DBC96" w14:textId="77777777" w:rsidR="00293B12" w:rsidRPr="0026653F" w:rsidRDefault="00293B12" w:rsidP="00C618DD">
      <w:pPr>
        <w:suppressAutoHyphens/>
        <w:jc w:val="left"/>
        <w:rPr>
          <w:szCs w:val="22"/>
          <w:lang w:val="fr-FR"/>
        </w:rPr>
      </w:pPr>
    </w:p>
    <w:p w14:paraId="3FE8AB6C" w14:textId="32A19976" w:rsidR="00293B12" w:rsidRPr="0026653F" w:rsidRDefault="00293B12" w:rsidP="00C618DD">
      <w:pPr>
        <w:numPr>
          <w:ilvl w:val="0"/>
          <w:numId w:val="39"/>
        </w:numPr>
        <w:suppressAutoHyphens/>
        <w:ind w:left="0"/>
        <w:rPr>
          <w:szCs w:val="22"/>
          <w:lang w:val="fr-FR"/>
        </w:rPr>
      </w:pPr>
      <w:r w:rsidRPr="0026653F">
        <w:rPr>
          <w:szCs w:val="22"/>
          <w:lang w:val="fr-FR"/>
        </w:rPr>
        <w:t xml:space="preserve">De demander au Département contre la criminalité transnationale organisée d’élaborer une proposition de </w:t>
      </w:r>
      <w:r w:rsidR="00E63300" w:rsidRPr="0026653F">
        <w:rPr>
          <w:szCs w:val="22"/>
          <w:lang w:val="fr-FR"/>
        </w:rPr>
        <w:t>programme</w:t>
      </w:r>
      <w:r w:rsidRPr="0026653F">
        <w:rPr>
          <w:szCs w:val="22"/>
          <w:lang w:val="fr-FR"/>
        </w:rPr>
        <w:t xml:space="preserve"> intégré </w:t>
      </w:r>
      <w:r w:rsidR="00E63300" w:rsidRPr="0026653F">
        <w:rPr>
          <w:szCs w:val="22"/>
          <w:lang w:val="fr-FR"/>
        </w:rPr>
        <w:t xml:space="preserve">en matière </w:t>
      </w:r>
      <w:r w:rsidRPr="0026653F">
        <w:rPr>
          <w:szCs w:val="22"/>
          <w:lang w:val="fr-FR"/>
        </w:rPr>
        <w:t xml:space="preserve">de coopération pour lutter contre la criminalité transnationale organisée qui comporte des thèmes et activités spécifiques qui pourraient être mis en </w:t>
      </w:r>
      <w:r w:rsidRPr="0026653F">
        <w:rPr>
          <w:szCs w:val="22"/>
          <w:lang w:val="fr-FR"/>
        </w:rPr>
        <w:lastRenderedPageBreak/>
        <w:t>place au sein de l’Organisation à court terme (trois ans), laquelle devra être présentée à la CSH au premier trimestre de 2021.</w:t>
      </w:r>
    </w:p>
    <w:p w14:paraId="5C051B69" w14:textId="77777777" w:rsidR="00293B12" w:rsidRPr="0026653F" w:rsidRDefault="00293B12" w:rsidP="00C618DD">
      <w:pPr>
        <w:suppressAutoHyphens/>
        <w:rPr>
          <w:szCs w:val="22"/>
          <w:lang w:val="fr-FR"/>
        </w:rPr>
      </w:pPr>
    </w:p>
    <w:p w14:paraId="4AF9686E" w14:textId="60115584" w:rsidR="00293B12" w:rsidRPr="0026653F" w:rsidRDefault="00293B12" w:rsidP="00C618DD">
      <w:pPr>
        <w:numPr>
          <w:ilvl w:val="0"/>
          <w:numId w:val="39"/>
        </w:numPr>
        <w:suppressAutoHyphens/>
        <w:ind w:left="0"/>
        <w:rPr>
          <w:szCs w:val="22"/>
          <w:lang w:val="fr-FR"/>
        </w:rPr>
      </w:pPr>
      <w:r w:rsidRPr="0026653F">
        <w:rPr>
          <w:szCs w:val="22"/>
          <w:lang w:val="fr-FR"/>
        </w:rPr>
        <w:t xml:space="preserve">D’inviter les États membres ainsi que les organismes régionaux et internationaux à verser des contributions volontaires au Fonds </w:t>
      </w:r>
      <w:r w:rsidR="00BA36A2" w:rsidRPr="0026653F">
        <w:rPr>
          <w:szCs w:val="22"/>
          <w:lang w:val="fr-FR"/>
        </w:rPr>
        <w:t xml:space="preserve">spécifique </w:t>
      </w:r>
      <w:r w:rsidR="00E63300" w:rsidRPr="0026653F">
        <w:rPr>
          <w:szCs w:val="22"/>
          <w:lang w:val="fr-FR"/>
        </w:rPr>
        <w:t xml:space="preserve">contre </w:t>
      </w:r>
      <w:r w:rsidRPr="0026653F">
        <w:rPr>
          <w:szCs w:val="22"/>
          <w:lang w:val="fr-FR"/>
        </w:rPr>
        <w:t xml:space="preserve">la criminalité transnationale organisée prévu dans le </w:t>
      </w:r>
      <w:r w:rsidR="00BA36A2" w:rsidRPr="0026653F">
        <w:rPr>
          <w:szCs w:val="22"/>
          <w:lang w:val="fr-FR"/>
        </w:rPr>
        <w:t>p</w:t>
      </w:r>
      <w:r w:rsidRPr="0026653F">
        <w:rPr>
          <w:szCs w:val="22"/>
          <w:lang w:val="fr-FR"/>
        </w:rPr>
        <w:t xml:space="preserve">lan d’action </w:t>
      </w:r>
      <w:r w:rsidR="00E63300" w:rsidRPr="0026653F">
        <w:rPr>
          <w:szCs w:val="22"/>
          <w:lang w:val="fr-FR"/>
        </w:rPr>
        <w:t xml:space="preserve">continental </w:t>
      </w:r>
      <w:r w:rsidR="00BA36A2" w:rsidRPr="0026653F">
        <w:rPr>
          <w:szCs w:val="22"/>
          <w:lang w:val="fr-FR"/>
        </w:rPr>
        <w:t>s’y rapportant</w:t>
      </w:r>
      <w:r w:rsidRPr="0026653F">
        <w:rPr>
          <w:szCs w:val="22"/>
          <w:lang w:val="fr-FR"/>
        </w:rPr>
        <w:t>.</w:t>
      </w:r>
    </w:p>
    <w:p w14:paraId="5D282345" w14:textId="77777777" w:rsidR="00293B12" w:rsidRPr="0026653F" w:rsidRDefault="00293B12" w:rsidP="00C618DD">
      <w:pPr>
        <w:suppressAutoHyphens/>
        <w:rPr>
          <w:szCs w:val="22"/>
          <w:lang w:val="fr-FR"/>
        </w:rPr>
      </w:pPr>
    </w:p>
    <w:p w14:paraId="67DDE9B4" w14:textId="42CE093A" w:rsidR="00293B12" w:rsidRPr="0026653F" w:rsidRDefault="00293B12" w:rsidP="00C618DD">
      <w:pPr>
        <w:numPr>
          <w:ilvl w:val="0"/>
          <w:numId w:val="39"/>
        </w:numPr>
        <w:suppressAutoHyphens/>
        <w:ind w:left="0"/>
        <w:rPr>
          <w:szCs w:val="22"/>
          <w:lang w:val="fr-FR"/>
        </w:rPr>
      </w:pPr>
      <w:r w:rsidRPr="0026653F">
        <w:rPr>
          <w:szCs w:val="22"/>
          <w:lang w:val="fr-FR"/>
        </w:rPr>
        <w:t xml:space="preserve">D’inviter instamment les États membres à renforcer la coopération et le partage d’informations pour lutter contre la pêche </w:t>
      </w:r>
      <w:r w:rsidR="008245F7" w:rsidRPr="0026653F">
        <w:rPr>
          <w:szCs w:val="22"/>
          <w:lang w:val="fr-FR"/>
        </w:rPr>
        <w:t>illicite, non déclarée et</w:t>
      </w:r>
      <w:r w:rsidRPr="0026653F">
        <w:rPr>
          <w:szCs w:val="22"/>
          <w:lang w:val="fr-FR"/>
        </w:rPr>
        <w:t xml:space="preserve"> non réglementée</w:t>
      </w:r>
      <w:r w:rsidR="008245F7" w:rsidRPr="0026653F">
        <w:rPr>
          <w:szCs w:val="22"/>
          <w:lang w:val="fr-FR"/>
        </w:rPr>
        <w:t xml:space="preserve"> (INDNR)</w:t>
      </w:r>
      <w:r w:rsidRPr="0026653F">
        <w:rPr>
          <w:szCs w:val="22"/>
          <w:lang w:val="fr-FR"/>
        </w:rPr>
        <w:t xml:space="preserve">. Au cours du premier trimestre </w:t>
      </w:r>
      <w:r w:rsidR="00BE3299" w:rsidRPr="0026653F">
        <w:rPr>
          <w:szCs w:val="22"/>
          <w:lang w:val="fr-FR"/>
        </w:rPr>
        <w:t xml:space="preserve">de </w:t>
      </w:r>
      <w:r w:rsidRPr="0026653F">
        <w:rPr>
          <w:szCs w:val="22"/>
          <w:lang w:val="fr-FR"/>
        </w:rPr>
        <w:t>2021,</w:t>
      </w:r>
      <w:r w:rsidR="00E14A38" w:rsidRPr="0026653F">
        <w:rPr>
          <w:szCs w:val="22"/>
          <w:lang w:val="fr-FR"/>
        </w:rPr>
        <w:t xml:space="preserve"> de</w:t>
      </w:r>
      <w:r w:rsidRPr="0026653F">
        <w:rPr>
          <w:szCs w:val="22"/>
          <w:lang w:val="fr-FR"/>
        </w:rPr>
        <w:t xml:space="preserve"> réunir un groupe de travail composé des responsables techniques des États membres afin de discuter des options permettant de soutenir et de maintenir des pratiques de pêche durables dans le continent américain.</w:t>
      </w:r>
    </w:p>
    <w:p w14:paraId="475B7DD9" w14:textId="77777777" w:rsidR="00293B12" w:rsidRPr="0026653F" w:rsidRDefault="00293B12" w:rsidP="00C618DD">
      <w:pPr>
        <w:jc w:val="left"/>
        <w:rPr>
          <w:szCs w:val="22"/>
          <w:lang w:val="fr-FR"/>
        </w:rPr>
      </w:pPr>
    </w:p>
    <w:p w14:paraId="1BF7D769" w14:textId="7544BC46" w:rsidR="00293B12" w:rsidRPr="0026653F" w:rsidRDefault="007615D7" w:rsidP="00C618DD">
      <w:pPr>
        <w:numPr>
          <w:ilvl w:val="0"/>
          <w:numId w:val="39"/>
        </w:numPr>
        <w:suppressAutoHyphens/>
        <w:ind w:left="0"/>
        <w:rPr>
          <w:szCs w:val="22"/>
          <w:lang w:val="fr-FR"/>
        </w:rPr>
      </w:pPr>
      <w:r w:rsidRPr="0026653F">
        <w:rPr>
          <w:bCs/>
          <w:szCs w:val="22"/>
          <w:lang w:val="fr-FR"/>
        </w:rPr>
        <w:t>D’inviter instamment</w:t>
      </w:r>
      <w:r w:rsidR="00293B12" w:rsidRPr="0026653F">
        <w:rPr>
          <w:bCs/>
          <w:szCs w:val="22"/>
          <w:lang w:val="fr-FR"/>
        </w:rPr>
        <w:t xml:space="preserve"> les États membres à renforcer la coopération et à consolider la collaboration internationale, en particulier en ce qui concerne la gestion de la sécurité des frontières, les échanges d’information et les mesures de sécurité maritime, afin de garantir une réponse efficace aux défis émergents, incluant la traite des personnes ainsi que le trafic illicite de migrants, de drogues et d’armes à feu, considérant que les groupes criminels et la criminalité transnationale organisée s’adaptent à la dynamique de la pandémie de COVID-19 et exploitent de nouvelles vulnérabilités.</w:t>
      </w:r>
    </w:p>
    <w:p w14:paraId="0E0F8800" w14:textId="77777777" w:rsidR="00293B12" w:rsidRPr="0026653F" w:rsidRDefault="00293B12" w:rsidP="00C618DD">
      <w:pPr>
        <w:suppressAutoHyphens/>
        <w:rPr>
          <w:szCs w:val="22"/>
          <w:lang w:val="fr-FR"/>
        </w:rPr>
      </w:pPr>
    </w:p>
    <w:p w14:paraId="04E12BF7" w14:textId="77777777" w:rsidR="00293B12" w:rsidRPr="0026653F" w:rsidRDefault="00293B12" w:rsidP="00C618DD">
      <w:pPr>
        <w:numPr>
          <w:ilvl w:val="0"/>
          <w:numId w:val="4"/>
        </w:numPr>
        <w:suppressAutoHyphens/>
        <w:ind w:left="1440" w:hanging="720"/>
        <w:rPr>
          <w:color w:val="000000"/>
          <w:szCs w:val="22"/>
          <w:u w:val="single"/>
          <w:lang w:val="fr-FR"/>
        </w:rPr>
      </w:pPr>
      <w:r w:rsidRPr="0026653F">
        <w:rPr>
          <w:color w:val="000000"/>
          <w:szCs w:val="22"/>
          <w:u w:val="single"/>
          <w:lang w:val="fr-FR"/>
        </w:rPr>
        <w:t>Efforts de coopération entrepris à l’échelle continentale pour combattre la traite des personnes</w:t>
      </w:r>
    </w:p>
    <w:p w14:paraId="4D604C8A" w14:textId="77777777" w:rsidR="00293B12" w:rsidRPr="0026653F" w:rsidRDefault="00293B12" w:rsidP="00C618DD">
      <w:pPr>
        <w:suppressAutoHyphens/>
        <w:autoSpaceDN w:val="0"/>
        <w:rPr>
          <w:color w:val="000000"/>
          <w:szCs w:val="22"/>
          <w:lang w:val="fr-FR"/>
        </w:rPr>
      </w:pPr>
    </w:p>
    <w:p w14:paraId="0265319D" w14:textId="631BD4CF" w:rsidR="00293B12" w:rsidRPr="0026653F" w:rsidRDefault="00A31CC4" w:rsidP="00C618DD">
      <w:pPr>
        <w:suppressAutoHyphens/>
        <w:ind w:firstLine="720"/>
        <w:rPr>
          <w:szCs w:val="22"/>
          <w:lang w:val="fr-FR"/>
        </w:rPr>
      </w:pPr>
      <w:r w:rsidRPr="0026653F">
        <w:rPr>
          <w:szCs w:val="22"/>
          <w:lang w:val="fr-FR"/>
        </w:rPr>
        <w:t>90.</w:t>
      </w:r>
      <w:r w:rsidR="00293B12" w:rsidRPr="0026653F">
        <w:rPr>
          <w:szCs w:val="22"/>
          <w:lang w:val="fr-FR"/>
        </w:rPr>
        <w:tab/>
        <w:t xml:space="preserve">De reconnaître le Programme 2030 comme un cadre de développement durable </w:t>
      </w:r>
      <w:r w:rsidR="00C505AA" w:rsidRPr="0026653F">
        <w:rPr>
          <w:szCs w:val="22"/>
          <w:lang w:val="fr-FR"/>
        </w:rPr>
        <w:t xml:space="preserve">propre à </w:t>
      </w:r>
      <w:r w:rsidR="00293B12" w:rsidRPr="0026653F">
        <w:rPr>
          <w:szCs w:val="22"/>
          <w:lang w:val="fr-FR"/>
        </w:rPr>
        <w:t>aider les pays à œuvrer en faveur de l’instauration de la paix et de la prospérité dans le monde, y compris les objectifs et les cibles liés à l’éradication de la traite des personnes </w:t>
      </w:r>
      <w:r w:rsidR="00DF0934" w:rsidRPr="0026653F">
        <w:rPr>
          <w:szCs w:val="22"/>
          <w:lang w:val="fr-FR"/>
        </w:rPr>
        <w:t>(</w:t>
      </w:r>
      <w:r w:rsidR="00293B12" w:rsidRPr="0026653F">
        <w:rPr>
          <w:szCs w:val="22"/>
          <w:lang w:val="fr-FR"/>
        </w:rPr>
        <w:t>cibles 5.2, 8.7 et 16.2</w:t>
      </w:r>
      <w:r w:rsidR="008E0DC6" w:rsidRPr="0026653F">
        <w:rPr>
          <w:szCs w:val="22"/>
          <w:lang w:val="fr-FR"/>
        </w:rPr>
        <w:t xml:space="preserve"> des objectifs de développement durable</w:t>
      </w:r>
      <w:r w:rsidR="007615D7" w:rsidRPr="0026653F">
        <w:rPr>
          <w:szCs w:val="22"/>
          <w:lang w:val="fr-FR"/>
        </w:rPr>
        <w:t>)</w:t>
      </w:r>
      <w:r w:rsidR="008E0DC6" w:rsidRPr="0026653F">
        <w:rPr>
          <w:szCs w:val="22"/>
          <w:lang w:val="fr-FR"/>
        </w:rPr>
        <w:t>.</w:t>
      </w:r>
    </w:p>
    <w:p w14:paraId="7F2D0197" w14:textId="77777777" w:rsidR="00293B12" w:rsidRPr="0026653F" w:rsidRDefault="00293B12" w:rsidP="00C618DD">
      <w:pPr>
        <w:suppressAutoHyphens/>
        <w:rPr>
          <w:szCs w:val="22"/>
          <w:lang w:val="fr-FR"/>
        </w:rPr>
      </w:pPr>
    </w:p>
    <w:p w14:paraId="7CA2E87A" w14:textId="39F157C2" w:rsidR="00293B12" w:rsidRPr="0026653F" w:rsidRDefault="00293B12" w:rsidP="00C618DD">
      <w:pPr>
        <w:numPr>
          <w:ilvl w:val="0"/>
          <w:numId w:val="40"/>
        </w:numPr>
        <w:suppressAutoHyphens/>
        <w:ind w:left="0" w:firstLine="709"/>
        <w:rPr>
          <w:szCs w:val="22"/>
          <w:lang w:val="fr-FR"/>
        </w:rPr>
      </w:pPr>
      <w:r w:rsidRPr="0026653F">
        <w:rPr>
          <w:szCs w:val="22"/>
          <w:lang w:val="fr-FR"/>
        </w:rPr>
        <w:t xml:space="preserve">De demander au SSM, par l’intermédiaire du Département de la sécurité publique et du Département contre la criminalité transnationale organisée, de continuer à fournir une assistance technique aux États membres afin de renforcer la mise en œuvre de la Convention des Nations Unies contre la criminalité transnationale organisée (Convention de Palerme) et son Protocole visant à prévenir, réprimer et punir la traite des personnes, en particulier des femmes et des enfants (Protocole de Palerme) dans le cadre </w:t>
      </w:r>
      <w:r w:rsidRPr="0026653F">
        <w:rPr>
          <w:bCs/>
          <w:szCs w:val="22"/>
          <w:lang w:val="fr-FR"/>
        </w:rPr>
        <w:t>du Deuxième Plan</w:t>
      </w:r>
      <w:r w:rsidR="00C505AA" w:rsidRPr="0026653F">
        <w:rPr>
          <w:bCs/>
          <w:szCs w:val="22"/>
          <w:lang w:val="fr-FR"/>
        </w:rPr>
        <w:t xml:space="preserve"> de travail</w:t>
      </w:r>
      <w:r w:rsidRPr="0026653F">
        <w:rPr>
          <w:bCs/>
          <w:szCs w:val="22"/>
          <w:lang w:val="fr-FR"/>
        </w:rPr>
        <w:t xml:space="preserve"> </w:t>
      </w:r>
      <w:r w:rsidR="00C505AA" w:rsidRPr="0026653F">
        <w:rPr>
          <w:bCs/>
          <w:szCs w:val="22"/>
          <w:lang w:val="fr-FR"/>
        </w:rPr>
        <w:t xml:space="preserve">contre </w:t>
      </w:r>
      <w:r w:rsidRPr="0026653F">
        <w:rPr>
          <w:bCs/>
          <w:szCs w:val="22"/>
          <w:lang w:val="fr-FR"/>
        </w:rPr>
        <w:t>la traite des personnes dans le continent américain 2015-2020.</w:t>
      </w:r>
    </w:p>
    <w:p w14:paraId="10BD9360" w14:textId="77777777" w:rsidR="00293B12" w:rsidRPr="0026653F" w:rsidRDefault="00293B12" w:rsidP="00C618DD">
      <w:pPr>
        <w:suppressAutoHyphens/>
        <w:rPr>
          <w:szCs w:val="22"/>
          <w:lang w:val="fr-FR"/>
        </w:rPr>
      </w:pPr>
    </w:p>
    <w:p w14:paraId="53CB7183" w14:textId="68F7D133" w:rsidR="00293B12" w:rsidRPr="0026653F" w:rsidRDefault="00293B12" w:rsidP="00C618DD">
      <w:pPr>
        <w:numPr>
          <w:ilvl w:val="0"/>
          <w:numId w:val="40"/>
        </w:numPr>
        <w:suppressAutoHyphens/>
        <w:ind w:left="0" w:firstLine="709"/>
        <w:rPr>
          <w:szCs w:val="22"/>
          <w:lang w:val="fr-FR"/>
        </w:rPr>
      </w:pPr>
      <w:r w:rsidRPr="0026653F">
        <w:rPr>
          <w:bCs/>
          <w:szCs w:val="22"/>
          <w:lang w:val="fr-FR"/>
        </w:rPr>
        <w:t xml:space="preserve">De demander au Secrétariat général d’actualiser le Deuxième Plan de travail </w:t>
      </w:r>
      <w:r w:rsidR="004652F7" w:rsidRPr="0026653F">
        <w:rPr>
          <w:bCs/>
          <w:szCs w:val="22"/>
          <w:lang w:val="fr-FR"/>
        </w:rPr>
        <w:t>contre</w:t>
      </w:r>
      <w:r w:rsidRPr="0026653F">
        <w:rPr>
          <w:bCs/>
          <w:szCs w:val="22"/>
          <w:lang w:val="fr-FR"/>
        </w:rPr>
        <w:t xml:space="preserve"> la traite des personnes dans le continent américain, qui prend fin cette année (2020).</w:t>
      </w:r>
    </w:p>
    <w:p w14:paraId="3ECE8BCD" w14:textId="77777777" w:rsidR="00293B12" w:rsidRPr="0026653F" w:rsidRDefault="00293B12" w:rsidP="00C618DD">
      <w:pPr>
        <w:jc w:val="left"/>
        <w:rPr>
          <w:szCs w:val="22"/>
          <w:lang w:val="fr-FR"/>
        </w:rPr>
      </w:pPr>
    </w:p>
    <w:p w14:paraId="14D60FD1" w14:textId="640A2C2E" w:rsidR="00293B12" w:rsidRPr="0026653F" w:rsidRDefault="00293B12" w:rsidP="00C618DD">
      <w:pPr>
        <w:numPr>
          <w:ilvl w:val="0"/>
          <w:numId w:val="40"/>
        </w:numPr>
        <w:suppressAutoHyphens/>
        <w:ind w:left="0" w:firstLine="709"/>
        <w:rPr>
          <w:szCs w:val="22"/>
          <w:lang w:val="fr-FR"/>
        </w:rPr>
      </w:pPr>
      <w:r w:rsidRPr="0026653F">
        <w:rPr>
          <w:bCs/>
          <w:szCs w:val="22"/>
          <w:lang w:val="fr-FR"/>
        </w:rPr>
        <w:t xml:space="preserve">D’exhorter les États membres à redoubler d’efforts dans le but d’identifier sans délai les victimes de la traite des personnes afin de leur permettre d’accéder à l’assistance à laquelle elles ont droit, selon leur législation nationale, et de poursuivre efficacement les auteurs de ce crime, en prenant en considération, le cas échéant, que les victimes de la traite des personnes pourraient avoir commis des infractions en conséquence directe de la traite dont elles ont fait l’objet, et, lorsqu’il existe un casier judiciaire pour de tels actes, </w:t>
      </w:r>
      <w:r w:rsidR="004652F7" w:rsidRPr="0026653F">
        <w:rPr>
          <w:bCs/>
          <w:szCs w:val="22"/>
          <w:lang w:val="fr-FR"/>
        </w:rPr>
        <w:t xml:space="preserve">et de vérifier la possibilité de </w:t>
      </w:r>
      <w:r w:rsidRPr="0026653F">
        <w:rPr>
          <w:bCs/>
          <w:szCs w:val="22"/>
          <w:lang w:val="fr-FR"/>
        </w:rPr>
        <w:t xml:space="preserve">leur donner accès à des voies de recours pour </w:t>
      </w:r>
      <w:r w:rsidRPr="008362E3">
        <w:rPr>
          <w:bCs/>
          <w:szCs w:val="22"/>
          <w:lang w:val="fr-FR"/>
        </w:rPr>
        <w:t>la radiation</w:t>
      </w:r>
      <w:r w:rsidRPr="0026653F">
        <w:rPr>
          <w:bCs/>
          <w:szCs w:val="22"/>
          <w:lang w:val="fr-FR"/>
        </w:rPr>
        <w:t xml:space="preserve"> ou l’annulation de leur casier judiciaire dans le cadre de la législation nationale en vigueur.</w:t>
      </w:r>
    </w:p>
    <w:p w14:paraId="73297E51" w14:textId="77777777" w:rsidR="00293B12" w:rsidRPr="0026653F" w:rsidRDefault="00293B12" w:rsidP="00C618DD">
      <w:pPr>
        <w:jc w:val="left"/>
        <w:rPr>
          <w:szCs w:val="22"/>
          <w:lang w:val="fr-FR"/>
        </w:rPr>
      </w:pPr>
    </w:p>
    <w:p w14:paraId="19DFEEE0" w14:textId="06217077"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D’exhorter les États membres à </w:t>
      </w:r>
      <w:r w:rsidR="004652F7" w:rsidRPr="0026653F">
        <w:rPr>
          <w:bCs/>
          <w:szCs w:val="22"/>
          <w:lang w:val="fr-FR"/>
        </w:rPr>
        <w:t xml:space="preserve">faire en sorte que les mesures prises à l’échelle nationale pour combattre la traite des personnes soient axées sur les </w:t>
      </w:r>
      <w:r w:rsidRPr="0026653F">
        <w:rPr>
          <w:bCs/>
          <w:szCs w:val="22"/>
          <w:lang w:val="fr-FR"/>
        </w:rPr>
        <w:t xml:space="preserve">victimes et </w:t>
      </w:r>
      <w:r w:rsidR="004652F7" w:rsidRPr="0026653F">
        <w:rPr>
          <w:bCs/>
          <w:szCs w:val="22"/>
          <w:lang w:val="fr-FR"/>
        </w:rPr>
        <w:t xml:space="preserve">les </w:t>
      </w:r>
      <w:r w:rsidRPr="0026653F">
        <w:rPr>
          <w:bCs/>
          <w:szCs w:val="22"/>
          <w:lang w:val="fr-FR"/>
        </w:rPr>
        <w:t xml:space="preserve">traumatismes </w:t>
      </w:r>
      <w:r w:rsidR="004652F7" w:rsidRPr="0026653F">
        <w:rPr>
          <w:bCs/>
          <w:szCs w:val="22"/>
          <w:lang w:val="fr-FR"/>
        </w:rPr>
        <w:t xml:space="preserve">qu’elles ont subi, </w:t>
      </w:r>
      <w:r w:rsidR="00F2627E" w:rsidRPr="0026653F">
        <w:rPr>
          <w:bCs/>
          <w:szCs w:val="22"/>
          <w:lang w:val="fr-FR"/>
        </w:rPr>
        <w:t xml:space="preserve">tout en respectant pleinement les </w:t>
      </w:r>
      <w:r w:rsidRPr="0026653F">
        <w:rPr>
          <w:bCs/>
          <w:szCs w:val="22"/>
          <w:lang w:val="fr-FR"/>
        </w:rPr>
        <w:t>droits fondamentaux des victimes</w:t>
      </w:r>
      <w:r w:rsidR="00F2627E" w:rsidRPr="0026653F">
        <w:rPr>
          <w:bCs/>
          <w:szCs w:val="22"/>
          <w:lang w:val="fr-FR"/>
        </w:rPr>
        <w:t xml:space="preserve"> de ces infractions</w:t>
      </w:r>
      <w:r w:rsidRPr="0026653F">
        <w:rPr>
          <w:bCs/>
          <w:szCs w:val="22"/>
          <w:lang w:val="fr-FR"/>
        </w:rPr>
        <w:t>.</w:t>
      </w:r>
    </w:p>
    <w:p w14:paraId="3EDBCE2F" w14:textId="77777777" w:rsidR="00293B12" w:rsidRPr="0026653F" w:rsidRDefault="00293B12" w:rsidP="00C618DD">
      <w:pPr>
        <w:jc w:val="left"/>
        <w:rPr>
          <w:bCs/>
          <w:szCs w:val="22"/>
          <w:lang w:val="fr-FR"/>
        </w:rPr>
      </w:pPr>
    </w:p>
    <w:p w14:paraId="1181AD81" w14:textId="4BE43E07"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D’encourager les États membres à intégrer la voix des victimes et des survivants de la traite des personnes dans l’élaboration et l’application de politiques et de programmes axés sur les victimes et le traitement des traumatismes, y compris des plateformes consultatives composées de membres de la société civile et de survivants de la traite des personnes.</w:t>
      </w:r>
    </w:p>
    <w:p w14:paraId="36E9EBD4" w14:textId="77777777" w:rsidR="00293B12" w:rsidRPr="0026653F" w:rsidRDefault="00293B12" w:rsidP="00C618DD">
      <w:pPr>
        <w:jc w:val="left"/>
        <w:rPr>
          <w:bCs/>
          <w:szCs w:val="22"/>
          <w:lang w:val="fr-FR"/>
        </w:rPr>
      </w:pPr>
    </w:p>
    <w:p w14:paraId="4709062C" w14:textId="0E2C603F" w:rsidR="00293B12" w:rsidRPr="008362E3" w:rsidRDefault="00293B12" w:rsidP="00C618DD">
      <w:pPr>
        <w:numPr>
          <w:ilvl w:val="0"/>
          <w:numId w:val="40"/>
        </w:numPr>
        <w:suppressAutoHyphens/>
        <w:autoSpaceDN w:val="0"/>
        <w:ind w:left="0" w:firstLine="709"/>
        <w:rPr>
          <w:bCs/>
          <w:szCs w:val="22"/>
          <w:lang w:val="fr-FR"/>
        </w:rPr>
      </w:pPr>
      <w:r w:rsidRPr="0026653F">
        <w:rPr>
          <w:bCs/>
          <w:szCs w:val="22"/>
          <w:lang w:val="fr-FR"/>
        </w:rPr>
        <w:t>D’exhorter les États membres à établir, maintenir ou renforcer, selon le besoin, une législation de grande envergure contre le blanchiment d’avoir</w:t>
      </w:r>
      <w:r w:rsidR="00F2627E" w:rsidRPr="0026653F">
        <w:rPr>
          <w:bCs/>
          <w:szCs w:val="22"/>
          <w:lang w:val="fr-FR"/>
        </w:rPr>
        <w:t>s</w:t>
      </w:r>
      <w:r w:rsidRPr="0026653F">
        <w:rPr>
          <w:bCs/>
          <w:szCs w:val="22"/>
          <w:lang w:val="fr-FR"/>
        </w:rPr>
        <w:t xml:space="preserve">, à renforcer leurs cadres normatifs en vue de la mise en place effective des normes existantes et à traiter la traite des personnes comme une infraction </w:t>
      </w:r>
      <w:r w:rsidR="00DA7FEA" w:rsidRPr="0026653F">
        <w:rPr>
          <w:bCs/>
          <w:szCs w:val="22"/>
          <w:lang w:val="fr-FR"/>
        </w:rPr>
        <w:t xml:space="preserve">principale de </w:t>
      </w:r>
      <w:r w:rsidRPr="0026653F">
        <w:rPr>
          <w:bCs/>
          <w:szCs w:val="22"/>
          <w:lang w:val="fr-FR"/>
        </w:rPr>
        <w:t>blanchiment d’a</w:t>
      </w:r>
      <w:r w:rsidR="00F2627E" w:rsidRPr="0026653F">
        <w:rPr>
          <w:bCs/>
          <w:szCs w:val="22"/>
          <w:lang w:val="fr-FR"/>
        </w:rPr>
        <w:t>voirs</w:t>
      </w:r>
      <w:r w:rsidRPr="0026653F">
        <w:rPr>
          <w:bCs/>
          <w:szCs w:val="22"/>
          <w:lang w:val="fr-FR"/>
        </w:rPr>
        <w:t xml:space="preserve">, conformément à </w:t>
      </w:r>
      <w:r w:rsidRPr="008362E3">
        <w:rPr>
          <w:bCs/>
          <w:szCs w:val="22"/>
          <w:lang w:val="fr-FR"/>
        </w:rPr>
        <w:t xml:space="preserve">la Convention des Nations Unies contre la criminalité transnationale organisée et au Protocole </w:t>
      </w:r>
      <w:r w:rsidR="00F2627E" w:rsidRPr="008362E3">
        <w:rPr>
          <w:bCs/>
          <w:szCs w:val="22"/>
          <w:lang w:val="fr-FR"/>
        </w:rPr>
        <w:t>de Palerme</w:t>
      </w:r>
      <w:r w:rsidRPr="008362E3">
        <w:rPr>
          <w:bCs/>
          <w:szCs w:val="22"/>
          <w:lang w:val="fr-FR"/>
        </w:rPr>
        <w:t>.</w:t>
      </w:r>
    </w:p>
    <w:p w14:paraId="403E9DE0" w14:textId="77777777" w:rsidR="00293B12" w:rsidRPr="0026653F" w:rsidRDefault="00293B12" w:rsidP="00C618DD">
      <w:pPr>
        <w:jc w:val="left"/>
        <w:rPr>
          <w:bCs/>
          <w:szCs w:val="22"/>
          <w:lang w:val="fr-FR"/>
        </w:rPr>
      </w:pPr>
    </w:p>
    <w:p w14:paraId="3D3B76B0" w14:textId="57751239"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D’</w:t>
      </w:r>
      <w:r w:rsidR="00A824A5" w:rsidRPr="0026653F">
        <w:rPr>
          <w:bCs/>
          <w:szCs w:val="22"/>
          <w:lang w:val="fr-FR"/>
        </w:rPr>
        <w:t xml:space="preserve">inviter instamment </w:t>
      </w:r>
      <w:r w:rsidRPr="0026653F">
        <w:rPr>
          <w:bCs/>
          <w:szCs w:val="22"/>
          <w:lang w:val="fr-FR"/>
        </w:rPr>
        <w:t xml:space="preserve">les États membres à entreprendre des enquêtes financières parallèles </w:t>
      </w:r>
      <w:r w:rsidR="00A824A5" w:rsidRPr="0026653F">
        <w:rPr>
          <w:bCs/>
          <w:szCs w:val="22"/>
          <w:lang w:val="fr-FR"/>
        </w:rPr>
        <w:t>ou actives</w:t>
      </w:r>
      <w:r w:rsidRPr="0026653F">
        <w:rPr>
          <w:bCs/>
          <w:szCs w:val="22"/>
          <w:lang w:val="fr-FR"/>
        </w:rPr>
        <w:t xml:space="preserve">, notamment au moyen de la collaboration avec les institutions financières publiques et privées, en tant que pratique courante lors des enquêtes et des poursuites relatives aux infractions de traite des personnes, en vue de retracer, de geler et de confisquer les produits acquis </w:t>
      </w:r>
      <w:r w:rsidR="007F707C" w:rsidRPr="0026653F">
        <w:rPr>
          <w:bCs/>
          <w:szCs w:val="22"/>
          <w:lang w:val="fr-FR"/>
        </w:rPr>
        <w:t>au moyen de</w:t>
      </w:r>
      <w:r w:rsidRPr="0026653F">
        <w:rPr>
          <w:bCs/>
          <w:szCs w:val="22"/>
          <w:lang w:val="fr-FR"/>
        </w:rPr>
        <w:t xml:space="preserve"> </w:t>
      </w:r>
      <w:r w:rsidR="007F707C" w:rsidRPr="0026653F">
        <w:rPr>
          <w:bCs/>
          <w:szCs w:val="22"/>
          <w:lang w:val="fr-FR"/>
        </w:rPr>
        <w:t xml:space="preserve">cette </w:t>
      </w:r>
      <w:r w:rsidRPr="0026653F">
        <w:rPr>
          <w:bCs/>
          <w:szCs w:val="22"/>
          <w:lang w:val="fr-FR"/>
        </w:rPr>
        <w:t>infraction.</w:t>
      </w:r>
    </w:p>
    <w:p w14:paraId="2D450F63" w14:textId="77777777" w:rsidR="00293B12" w:rsidRPr="0026653F" w:rsidRDefault="00293B12" w:rsidP="00C618DD">
      <w:pPr>
        <w:jc w:val="left"/>
        <w:rPr>
          <w:bCs/>
          <w:szCs w:val="22"/>
          <w:lang w:val="fr-FR"/>
        </w:rPr>
      </w:pPr>
    </w:p>
    <w:p w14:paraId="4D6C0D73" w14:textId="4FC4A416"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 charger le Secrétariat général, par l’intermédiaire du </w:t>
      </w:r>
      <w:r w:rsidR="0098078E" w:rsidRPr="0026653F">
        <w:rPr>
          <w:bCs/>
          <w:szCs w:val="22"/>
          <w:lang w:val="fr-FR"/>
        </w:rPr>
        <w:t>D</w:t>
      </w:r>
      <w:r w:rsidR="004B2CBC" w:rsidRPr="0026653F">
        <w:rPr>
          <w:bCs/>
          <w:szCs w:val="22"/>
          <w:lang w:val="fr-FR"/>
        </w:rPr>
        <w:t>épartement de la sécurité publique</w:t>
      </w:r>
      <w:r w:rsidRPr="0026653F">
        <w:rPr>
          <w:bCs/>
          <w:szCs w:val="22"/>
          <w:lang w:val="fr-FR"/>
        </w:rPr>
        <w:t xml:space="preserve"> et dans la limite des ressources financières disponibles, de continuer à soutenir les États membres qui en font la demande dans l’élaboration, la mise en œuvre et la gestion de politiques, projets et actions visant à prévenir, aider et à protéger les victimes de l’infraction de la traite des personnes, en particulier celles qui sont les plus vulnérables.</w:t>
      </w:r>
    </w:p>
    <w:p w14:paraId="454CCF5E" w14:textId="77777777" w:rsidR="00293B12" w:rsidRPr="0026653F" w:rsidRDefault="00293B12" w:rsidP="00C618DD">
      <w:pPr>
        <w:jc w:val="left"/>
        <w:rPr>
          <w:bCs/>
          <w:szCs w:val="22"/>
          <w:lang w:val="fr-FR"/>
        </w:rPr>
      </w:pPr>
    </w:p>
    <w:p w14:paraId="2EBC13C7" w14:textId="4148FD88"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D’inviter instamment les États membres à continuer de collaborer et d’échanger des renseignements et des informations pour identifier, dissuader et démanteler les organisations criminelles transnationales, les gangs et d’autres acteurs qui participent à la traite des personnes et au trafic </w:t>
      </w:r>
      <w:r w:rsidR="00F437B9" w:rsidRPr="0026653F">
        <w:rPr>
          <w:bCs/>
          <w:szCs w:val="22"/>
          <w:lang w:val="fr-FR"/>
        </w:rPr>
        <w:t xml:space="preserve">illicite </w:t>
      </w:r>
      <w:r w:rsidRPr="0026653F">
        <w:rPr>
          <w:bCs/>
          <w:szCs w:val="22"/>
          <w:lang w:val="fr-FR"/>
        </w:rPr>
        <w:t>de migrants</w:t>
      </w:r>
      <w:r w:rsidRPr="0026653F">
        <w:rPr>
          <w:szCs w:val="22"/>
          <w:lang w:val="fr-FR"/>
        </w:rPr>
        <w:t>.</w:t>
      </w:r>
    </w:p>
    <w:p w14:paraId="004F8FD7" w14:textId="77777777" w:rsidR="00293B12" w:rsidRPr="0026653F" w:rsidRDefault="00293B12" w:rsidP="00C618DD">
      <w:pPr>
        <w:jc w:val="left"/>
        <w:rPr>
          <w:bCs/>
          <w:szCs w:val="22"/>
          <w:lang w:val="fr-FR"/>
        </w:rPr>
      </w:pPr>
    </w:p>
    <w:p w14:paraId="074DD6B8" w14:textId="283328AB"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 prévoir des mesures de prévention, assorties de matériels d’information/de sensibilisation, en particulier dans les zones frontalières et dans les refuges pour migrants, de sorte à inclure les populations de migrants et d’autres personnes en situation de vulnérabilité marquée face à </w:t>
      </w:r>
      <w:r w:rsidR="00F437B9" w:rsidRPr="0026653F">
        <w:rPr>
          <w:bCs/>
          <w:szCs w:val="22"/>
          <w:lang w:val="fr-FR"/>
        </w:rPr>
        <w:t>l’</w:t>
      </w:r>
      <w:r w:rsidRPr="0026653F">
        <w:rPr>
          <w:bCs/>
          <w:szCs w:val="22"/>
          <w:lang w:val="fr-FR"/>
        </w:rPr>
        <w:t>infraction</w:t>
      </w:r>
      <w:r w:rsidR="00F437B9" w:rsidRPr="0026653F">
        <w:rPr>
          <w:bCs/>
          <w:szCs w:val="22"/>
          <w:lang w:val="fr-FR"/>
        </w:rPr>
        <w:t xml:space="preserve"> constituée par la traite des personnes</w:t>
      </w:r>
      <w:r w:rsidRPr="0026653F">
        <w:rPr>
          <w:bCs/>
          <w:szCs w:val="22"/>
          <w:lang w:val="fr-FR"/>
        </w:rPr>
        <w:t>.</w:t>
      </w:r>
    </w:p>
    <w:p w14:paraId="5032F961" w14:textId="77777777" w:rsidR="00293B12" w:rsidRPr="0026653F" w:rsidRDefault="00293B12" w:rsidP="00C618DD">
      <w:pPr>
        <w:jc w:val="left"/>
        <w:rPr>
          <w:bCs/>
          <w:szCs w:val="22"/>
          <w:lang w:val="fr-FR"/>
        </w:rPr>
      </w:pPr>
    </w:p>
    <w:p w14:paraId="4E95F0B8" w14:textId="4DABEEEE"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D’encourager le partage de pratiques </w:t>
      </w:r>
      <w:r w:rsidR="00DE398B" w:rsidRPr="0026653F">
        <w:rPr>
          <w:bCs/>
          <w:szCs w:val="22"/>
          <w:lang w:val="fr-FR"/>
        </w:rPr>
        <w:t xml:space="preserve">optimales </w:t>
      </w:r>
      <w:r w:rsidRPr="0026653F">
        <w:rPr>
          <w:bCs/>
          <w:szCs w:val="22"/>
          <w:lang w:val="fr-FR"/>
        </w:rPr>
        <w:t>et de leçons apprises concernant la collecte régulière et continue des données criminalistiques et biométriques, l’identification d’itinéraires et la gestion de l’information.</w:t>
      </w:r>
    </w:p>
    <w:p w14:paraId="6940A260" w14:textId="77777777" w:rsidR="00293B12" w:rsidRPr="0026653F" w:rsidRDefault="00293B12" w:rsidP="00C618DD">
      <w:pPr>
        <w:jc w:val="left"/>
        <w:rPr>
          <w:bCs/>
          <w:szCs w:val="22"/>
          <w:lang w:val="fr-FR"/>
        </w:rPr>
      </w:pPr>
    </w:p>
    <w:p w14:paraId="6FA22D6A" w14:textId="6F294703"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 remercier le gouvernement argentin pour sa contribution financière à la poursuite de l’élaboration de la plateforme de connaissances sur la traite des personnes, qui sera hébergée sur le site du Réseau interaméricain </w:t>
      </w:r>
      <w:r w:rsidR="00DE398B" w:rsidRPr="0026653F">
        <w:rPr>
          <w:bCs/>
          <w:szCs w:val="22"/>
          <w:lang w:val="fr-FR"/>
        </w:rPr>
        <w:t>de</w:t>
      </w:r>
      <w:r w:rsidRPr="0026653F">
        <w:rPr>
          <w:bCs/>
          <w:szCs w:val="22"/>
          <w:lang w:val="fr-FR"/>
        </w:rPr>
        <w:t xml:space="preserve"> prévention de la violence et de la criminalité, et d’inviter les États membres à contribuer financièrement à son entretien.</w:t>
      </w:r>
    </w:p>
    <w:p w14:paraId="72D9CC58" w14:textId="77777777" w:rsidR="00B65A3B" w:rsidRPr="0026653F" w:rsidRDefault="00B65A3B" w:rsidP="00C618DD">
      <w:pPr>
        <w:jc w:val="left"/>
        <w:rPr>
          <w:bCs/>
          <w:szCs w:val="22"/>
          <w:lang w:val="fr-FR"/>
        </w:rPr>
      </w:pPr>
    </w:p>
    <w:p w14:paraId="31BDD281" w14:textId="57F9ECE3"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lastRenderedPageBreak/>
        <w:t>De charger le</w:t>
      </w:r>
      <w:r w:rsidR="0098078E" w:rsidRPr="0026653F">
        <w:rPr>
          <w:bCs/>
          <w:szCs w:val="22"/>
          <w:lang w:val="fr-FR"/>
        </w:rPr>
        <w:t xml:space="preserve"> D</w:t>
      </w:r>
      <w:r w:rsidR="004B2CBC" w:rsidRPr="0026653F">
        <w:rPr>
          <w:bCs/>
          <w:szCs w:val="22"/>
          <w:lang w:val="fr-FR"/>
        </w:rPr>
        <w:t>épartement de la sécurité publique</w:t>
      </w:r>
      <w:r w:rsidRPr="0026653F">
        <w:rPr>
          <w:bCs/>
          <w:szCs w:val="22"/>
          <w:lang w:val="fr-FR"/>
        </w:rPr>
        <w:t xml:space="preserve">, en coordination avec le Département contre la criminalité transnationale organisée, de préparer et de transmettre aux États membres le questionnaire pour recueillir les informations qui serviront de base à l’élaboration du </w:t>
      </w:r>
      <w:r w:rsidR="00DE04E4" w:rsidRPr="0026653F">
        <w:rPr>
          <w:bCs/>
          <w:szCs w:val="22"/>
          <w:lang w:val="fr-FR"/>
        </w:rPr>
        <w:t>d</w:t>
      </w:r>
      <w:r w:rsidRPr="0026653F">
        <w:rPr>
          <w:bCs/>
          <w:szCs w:val="22"/>
          <w:lang w:val="fr-FR"/>
        </w:rPr>
        <w:t xml:space="preserve">euxième </w:t>
      </w:r>
      <w:r w:rsidR="00DE04E4" w:rsidRPr="0026653F">
        <w:rPr>
          <w:bCs/>
          <w:szCs w:val="22"/>
          <w:lang w:val="fr-FR"/>
        </w:rPr>
        <w:t>r</w:t>
      </w:r>
      <w:r w:rsidRPr="0026653F">
        <w:rPr>
          <w:bCs/>
          <w:szCs w:val="22"/>
          <w:lang w:val="fr-FR"/>
        </w:rPr>
        <w:t xml:space="preserve">apport d’avancement </w:t>
      </w:r>
      <w:r w:rsidR="00DE04E4" w:rsidRPr="0026653F">
        <w:rPr>
          <w:bCs/>
          <w:szCs w:val="22"/>
          <w:lang w:val="fr-FR"/>
        </w:rPr>
        <w:t xml:space="preserve">du </w:t>
      </w:r>
      <w:r w:rsidRPr="0026653F">
        <w:rPr>
          <w:bCs/>
          <w:szCs w:val="22"/>
          <w:lang w:val="fr-FR"/>
        </w:rPr>
        <w:t>Deuxième Plan de travail contre la traite des personnes dans le continent américain 2015-2020, et de demander instamment aux États membres de fournir ces informations.</w:t>
      </w:r>
    </w:p>
    <w:p w14:paraId="5A41727B" w14:textId="77777777" w:rsidR="00293B12" w:rsidRPr="0026653F" w:rsidRDefault="00293B12" w:rsidP="00C618DD">
      <w:pPr>
        <w:jc w:val="left"/>
        <w:rPr>
          <w:bCs/>
          <w:szCs w:val="22"/>
          <w:lang w:val="fr-FR"/>
        </w:rPr>
      </w:pPr>
    </w:p>
    <w:p w14:paraId="1BD1CDCD" w14:textId="2A01A4CC"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 xml:space="preserve">De remercier le gouvernement argentin pour son offre de présider la Sixième Réunion des autorités nationales en matière de traite des personnes, qui aura lieu au second semestre de 2020 en mode virtuel, et de demander au Secrétariat général, par l’intermédiaire du </w:t>
      </w:r>
      <w:r w:rsidR="004B2CBC" w:rsidRPr="0026653F">
        <w:rPr>
          <w:bCs/>
          <w:szCs w:val="22"/>
          <w:lang w:val="fr-FR"/>
        </w:rPr>
        <w:t xml:space="preserve">Département de la sécurité publique </w:t>
      </w:r>
      <w:r w:rsidRPr="0026653F">
        <w:rPr>
          <w:bCs/>
          <w:szCs w:val="22"/>
          <w:lang w:val="fr-FR"/>
        </w:rPr>
        <w:t>et du Département contre la criminalité transnationale organisée, de fournir l’assistance et le soutien technique nécessaires à la réalisation de cette réunion.</w:t>
      </w:r>
    </w:p>
    <w:p w14:paraId="5AD0E147" w14:textId="77777777" w:rsidR="00293B12" w:rsidRPr="0026653F" w:rsidRDefault="00293B12" w:rsidP="00C618DD">
      <w:pPr>
        <w:jc w:val="left"/>
        <w:rPr>
          <w:bCs/>
          <w:szCs w:val="22"/>
          <w:lang w:val="fr-FR"/>
        </w:rPr>
      </w:pPr>
    </w:p>
    <w:p w14:paraId="1A5F364A" w14:textId="1C1BE1E8" w:rsidR="00293B12" w:rsidRPr="0026653F" w:rsidRDefault="00293B12" w:rsidP="00C618DD">
      <w:pPr>
        <w:numPr>
          <w:ilvl w:val="0"/>
          <w:numId w:val="40"/>
        </w:numPr>
        <w:suppressAutoHyphens/>
        <w:autoSpaceDN w:val="0"/>
        <w:ind w:left="0" w:firstLine="709"/>
        <w:rPr>
          <w:bCs/>
          <w:szCs w:val="22"/>
          <w:lang w:val="fr-FR"/>
        </w:rPr>
      </w:pPr>
      <w:r w:rsidRPr="0026653F">
        <w:rPr>
          <w:bCs/>
          <w:szCs w:val="22"/>
          <w:lang w:val="fr-FR"/>
        </w:rPr>
        <w:t>De saluer les directives émises par le Secrétariat général pour prévenir la traite des personnes dans le système de passation des marchés publics de l’Organisation : Modification des règles régissant les contrats à la tâche du Secrétariat général pour renforcer la protection contre la traite des personnes et Modification d</w:t>
      </w:r>
      <w:r w:rsidR="00DE398B" w:rsidRPr="0026653F">
        <w:rPr>
          <w:bCs/>
          <w:szCs w:val="22"/>
          <w:lang w:val="fr-FR"/>
        </w:rPr>
        <w:t xml:space="preserve">u Règlement des achats </w:t>
      </w:r>
      <w:r w:rsidRPr="0026653F">
        <w:rPr>
          <w:bCs/>
          <w:szCs w:val="22"/>
          <w:lang w:val="fr-FR"/>
        </w:rPr>
        <w:t>du Secrétariat général pour renforcer la protection contre la traite des personnes.</w:t>
      </w:r>
    </w:p>
    <w:p w14:paraId="51B27206" w14:textId="77777777" w:rsidR="00293B12" w:rsidRPr="0026653F" w:rsidRDefault="00293B12" w:rsidP="00C618DD">
      <w:pPr>
        <w:suppressAutoHyphens/>
        <w:rPr>
          <w:color w:val="000000"/>
          <w:szCs w:val="22"/>
          <w:u w:val="single"/>
          <w:lang w:val="fr-FR"/>
        </w:rPr>
      </w:pPr>
    </w:p>
    <w:p w14:paraId="45CD3269" w14:textId="49B585A4" w:rsidR="00293B12" w:rsidRPr="0026653F" w:rsidRDefault="00293B12" w:rsidP="00C618DD">
      <w:pPr>
        <w:numPr>
          <w:ilvl w:val="0"/>
          <w:numId w:val="4"/>
        </w:numPr>
        <w:suppressAutoHyphens/>
        <w:ind w:firstLine="0"/>
        <w:rPr>
          <w:color w:val="000000"/>
          <w:szCs w:val="22"/>
          <w:u w:val="single"/>
          <w:lang w:val="fr-FR"/>
        </w:rPr>
      </w:pPr>
      <w:r w:rsidRPr="0026653F">
        <w:rPr>
          <w:color w:val="000000"/>
          <w:szCs w:val="22"/>
          <w:u w:val="single"/>
          <w:lang w:val="fr-FR"/>
        </w:rPr>
        <w:t>Trafic illicite d’armes légères et de petit calibre sous tous ses aspects</w:t>
      </w:r>
      <w:r w:rsidR="00116563" w:rsidRPr="00116563">
        <w:rPr>
          <w:color w:val="000000"/>
          <w:szCs w:val="22"/>
          <w:vertAlign w:val="superscript"/>
          <w:lang w:val="fr-FR"/>
        </w:rPr>
        <w:t xml:space="preserve"> </w:t>
      </w:r>
      <w:r w:rsidRPr="0026653F">
        <w:rPr>
          <w:szCs w:val="22"/>
          <w:u w:val="single"/>
          <w:vertAlign w:val="superscript"/>
          <w:lang w:val="fr-FR"/>
        </w:rPr>
        <w:footnoteReference w:id="22"/>
      </w:r>
      <w:r w:rsidR="00DE04E4" w:rsidRPr="00116563">
        <w:rPr>
          <w:color w:val="000000"/>
          <w:szCs w:val="22"/>
          <w:vertAlign w:val="superscript"/>
          <w:lang w:val="fr-FR"/>
        </w:rPr>
        <w:t>/</w:t>
      </w:r>
    </w:p>
    <w:p w14:paraId="6C13C500" w14:textId="77777777" w:rsidR="00293B12" w:rsidRPr="0026653F" w:rsidRDefault="00293B12" w:rsidP="00C618DD">
      <w:pPr>
        <w:suppressAutoHyphens/>
        <w:rPr>
          <w:color w:val="000000"/>
          <w:szCs w:val="22"/>
          <w:u w:val="single"/>
          <w:lang w:val="fr-FR"/>
        </w:rPr>
      </w:pPr>
    </w:p>
    <w:p w14:paraId="4D798F8E" w14:textId="2A611ECE" w:rsidR="00293B12" w:rsidRPr="0026653F" w:rsidRDefault="00293B12" w:rsidP="00C618DD">
      <w:pPr>
        <w:numPr>
          <w:ilvl w:val="0"/>
          <w:numId w:val="40"/>
        </w:numPr>
        <w:suppressAutoHyphens/>
        <w:ind w:left="0" w:firstLine="720"/>
        <w:rPr>
          <w:szCs w:val="22"/>
          <w:lang w:val="fr-FR"/>
        </w:rPr>
      </w:pPr>
      <w:r w:rsidRPr="0026653F">
        <w:rPr>
          <w:szCs w:val="22"/>
          <w:lang w:val="fr-FR"/>
        </w:rPr>
        <w:t>D’inviter les États</w:t>
      </w:r>
      <w:r w:rsidR="00DE398B" w:rsidRPr="0026653F">
        <w:rPr>
          <w:szCs w:val="22"/>
          <w:lang w:val="fr-FR"/>
        </w:rPr>
        <w:t xml:space="preserve"> membres</w:t>
      </w:r>
      <w:r w:rsidRPr="0026653F">
        <w:rPr>
          <w:szCs w:val="22"/>
          <w:lang w:val="fr-FR"/>
        </w:rPr>
        <w:t xml:space="preserve"> à promouvoir l’échange d’informations et de données d’expériences dans le cadre du projet « </w:t>
      </w:r>
      <w:r w:rsidR="00DE398B" w:rsidRPr="0026653F">
        <w:rPr>
          <w:szCs w:val="22"/>
          <w:lang w:val="fr-FR"/>
        </w:rPr>
        <w:t>Appui à la lutte contre</w:t>
      </w:r>
      <w:r w:rsidRPr="0026653F">
        <w:rPr>
          <w:szCs w:val="22"/>
          <w:lang w:val="fr-FR"/>
        </w:rPr>
        <w:t xml:space="preserve"> la prolifération illicite et le trafic d’armes légères et de petit calibre (ALPC) et de leurs munitions ainsi que leur impact en Amérique latine et dans les Caraïbes »</w:t>
      </w:r>
      <w:r w:rsidR="00DE04E4" w:rsidRPr="0026653F">
        <w:rPr>
          <w:szCs w:val="22"/>
          <w:lang w:val="fr-FR"/>
        </w:rPr>
        <w:t>,</w:t>
      </w:r>
      <w:r w:rsidRPr="0026653F">
        <w:rPr>
          <w:szCs w:val="22"/>
          <w:lang w:val="fr-FR"/>
        </w:rPr>
        <w:t xml:space="preserve"> à transmettre les renseignements demandés dans les questionnaires qui leur ont été transmis par le truchement des missions permanentes dans le cadre du projet et à désigner un point focal chargé d’accéder et de participer activement au Réseau virtuel </w:t>
      </w:r>
      <w:r w:rsidR="00F148D1" w:rsidRPr="0026653F">
        <w:rPr>
          <w:szCs w:val="22"/>
          <w:lang w:val="fr-FR"/>
        </w:rPr>
        <w:t xml:space="preserve">d’échange </w:t>
      </w:r>
      <w:r w:rsidRPr="0026653F">
        <w:rPr>
          <w:szCs w:val="22"/>
          <w:lang w:val="fr-FR"/>
        </w:rPr>
        <w:t xml:space="preserve">d’information sur le trafic illicite </w:t>
      </w:r>
      <w:r w:rsidR="00F148D1" w:rsidRPr="0026653F">
        <w:rPr>
          <w:szCs w:val="22"/>
          <w:lang w:val="fr-FR"/>
        </w:rPr>
        <w:t xml:space="preserve">et les activités de fabrication </w:t>
      </w:r>
      <w:r w:rsidRPr="0026653F">
        <w:rPr>
          <w:szCs w:val="22"/>
          <w:lang w:val="fr-FR"/>
        </w:rPr>
        <w:t>d’armes légères et de petit calibre</w:t>
      </w:r>
      <w:r w:rsidRPr="0026653F">
        <w:rPr>
          <w:szCs w:val="22"/>
          <w:u w:val="single"/>
          <w:vertAlign w:val="superscript"/>
          <w:lang w:val="fr-FR"/>
        </w:rPr>
        <w:footnoteReference w:id="23"/>
      </w:r>
      <w:r w:rsidR="004A7956" w:rsidRPr="0026653F">
        <w:rPr>
          <w:szCs w:val="22"/>
          <w:vertAlign w:val="superscript"/>
          <w:lang w:val="fr-FR"/>
        </w:rPr>
        <w:t>/</w:t>
      </w:r>
      <w:r w:rsidR="00F148D1" w:rsidRPr="0026653F">
        <w:rPr>
          <w:szCs w:val="22"/>
          <w:lang w:val="fr-FR"/>
        </w:rPr>
        <w:t>.</w:t>
      </w:r>
    </w:p>
    <w:p w14:paraId="4B850C7B" w14:textId="77777777" w:rsidR="00293B12" w:rsidRPr="0026653F" w:rsidRDefault="00293B12" w:rsidP="00C618DD">
      <w:pPr>
        <w:suppressAutoHyphens/>
        <w:jc w:val="left"/>
        <w:rPr>
          <w:szCs w:val="22"/>
          <w:lang w:val="fr-FR"/>
        </w:rPr>
      </w:pPr>
    </w:p>
    <w:p w14:paraId="4A3CB8FA" w14:textId="0AF8D927" w:rsidR="00293B12" w:rsidRPr="0026653F" w:rsidRDefault="00293B12" w:rsidP="00C618DD">
      <w:pPr>
        <w:numPr>
          <w:ilvl w:val="0"/>
          <w:numId w:val="40"/>
        </w:numPr>
        <w:suppressAutoHyphens/>
        <w:ind w:left="0" w:firstLine="720"/>
        <w:rPr>
          <w:szCs w:val="22"/>
          <w:lang w:val="fr-FR"/>
        </w:rPr>
      </w:pPr>
      <w:r w:rsidRPr="0026653F">
        <w:rPr>
          <w:color w:val="000000"/>
          <w:szCs w:val="22"/>
          <w:lang w:val="fr-FR"/>
        </w:rPr>
        <w:t xml:space="preserve">De demander au SSM, par l’intermédiaire du Département de la sécurité publique et du Département contre la criminalité transnationale organisée, de fournir une assistance technique </w:t>
      </w:r>
      <w:r w:rsidR="00DE398B" w:rsidRPr="0026653F">
        <w:rPr>
          <w:color w:val="000000"/>
          <w:szCs w:val="22"/>
          <w:lang w:val="fr-FR"/>
        </w:rPr>
        <w:t xml:space="preserve">aux </w:t>
      </w:r>
      <w:r w:rsidRPr="0026653F">
        <w:rPr>
          <w:color w:val="000000"/>
          <w:szCs w:val="22"/>
          <w:lang w:val="fr-FR"/>
        </w:rPr>
        <w:t xml:space="preserve">États membres </w:t>
      </w:r>
      <w:r w:rsidR="00DE398B" w:rsidRPr="0026653F">
        <w:rPr>
          <w:color w:val="000000"/>
          <w:szCs w:val="22"/>
          <w:lang w:val="fr-FR"/>
        </w:rPr>
        <w:t xml:space="preserve">qui en font la demande </w:t>
      </w:r>
      <w:r w:rsidRPr="0026653F">
        <w:rPr>
          <w:color w:val="000000"/>
          <w:szCs w:val="22"/>
          <w:lang w:val="fr-FR"/>
        </w:rPr>
        <w:t xml:space="preserve">afin d’améliorer ou </w:t>
      </w:r>
      <w:r w:rsidR="00DE398B" w:rsidRPr="0026653F">
        <w:rPr>
          <w:color w:val="000000"/>
          <w:szCs w:val="22"/>
          <w:lang w:val="fr-FR"/>
        </w:rPr>
        <w:t xml:space="preserve">de </w:t>
      </w:r>
      <w:r w:rsidRPr="0026653F">
        <w:rPr>
          <w:color w:val="000000"/>
          <w:szCs w:val="22"/>
          <w:lang w:val="fr-FR"/>
        </w:rPr>
        <w:t xml:space="preserve">renforcer les capacités institutionnelles </w:t>
      </w:r>
      <w:r w:rsidR="00DE398B" w:rsidRPr="0026653F">
        <w:rPr>
          <w:color w:val="000000"/>
          <w:szCs w:val="22"/>
          <w:lang w:val="fr-FR"/>
        </w:rPr>
        <w:t xml:space="preserve">pour </w:t>
      </w:r>
      <w:r w:rsidRPr="0026653F">
        <w:rPr>
          <w:color w:val="000000"/>
          <w:szCs w:val="22"/>
          <w:lang w:val="fr-FR"/>
        </w:rPr>
        <w:t>préven</w:t>
      </w:r>
      <w:r w:rsidR="00DE398B" w:rsidRPr="0026653F">
        <w:rPr>
          <w:color w:val="000000"/>
          <w:szCs w:val="22"/>
          <w:lang w:val="fr-FR"/>
        </w:rPr>
        <w:t xml:space="preserve">ir et combattre </w:t>
      </w:r>
      <w:r w:rsidRPr="0026653F">
        <w:rPr>
          <w:color w:val="000000"/>
          <w:szCs w:val="22"/>
          <w:lang w:val="fr-FR"/>
        </w:rPr>
        <w:t xml:space="preserve">le trafic illicite d’armes légères et de petit calibre </w:t>
      </w:r>
      <w:r w:rsidR="004A7956" w:rsidRPr="0026653F">
        <w:rPr>
          <w:color w:val="000000"/>
          <w:szCs w:val="22"/>
          <w:lang w:val="fr-FR"/>
        </w:rPr>
        <w:t xml:space="preserve">ainsi que </w:t>
      </w:r>
      <w:r w:rsidRPr="0026653F">
        <w:rPr>
          <w:color w:val="000000"/>
          <w:szCs w:val="22"/>
          <w:lang w:val="fr-FR"/>
        </w:rPr>
        <w:t>de</w:t>
      </w:r>
      <w:r w:rsidR="004A7956" w:rsidRPr="0026653F">
        <w:rPr>
          <w:color w:val="000000"/>
          <w:szCs w:val="22"/>
          <w:lang w:val="fr-FR"/>
        </w:rPr>
        <w:t>s</w:t>
      </w:r>
      <w:r w:rsidRPr="0026653F">
        <w:rPr>
          <w:color w:val="000000"/>
          <w:szCs w:val="22"/>
          <w:lang w:val="fr-FR"/>
        </w:rPr>
        <w:t xml:space="preserve"> munitions s’y rapportant.</w:t>
      </w:r>
    </w:p>
    <w:p w14:paraId="1691370C" w14:textId="77777777" w:rsidR="00293B12" w:rsidRPr="0026653F" w:rsidRDefault="00293B12" w:rsidP="00C618DD">
      <w:pPr>
        <w:jc w:val="left"/>
        <w:rPr>
          <w:szCs w:val="22"/>
          <w:lang w:val="fr-FR"/>
        </w:rPr>
      </w:pPr>
    </w:p>
    <w:p w14:paraId="5BF9943C" w14:textId="3D341945" w:rsidR="00293B12" w:rsidRPr="0026653F" w:rsidRDefault="00293B12" w:rsidP="00C618DD">
      <w:pPr>
        <w:numPr>
          <w:ilvl w:val="0"/>
          <w:numId w:val="40"/>
        </w:numPr>
        <w:suppressAutoHyphens/>
        <w:ind w:left="0" w:firstLine="720"/>
        <w:rPr>
          <w:szCs w:val="22"/>
          <w:lang w:val="fr-FR"/>
        </w:rPr>
      </w:pPr>
      <w:r w:rsidRPr="0026653F">
        <w:rPr>
          <w:szCs w:val="22"/>
          <w:lang w:val="fr-FR"/>
        </w:rPr>
        <w:t>De charger le SSM, par l’intermédiaire du D</w:t>
      </w:r>
      <w:r w:rsidR="004A7956" w:rsidRPr="0026653F">
        <w:rPr>
          <w:szCs w:val="22"/>
          <w:lang w:val="fr-FR"/>
        </w:rPr>
        <w:t>épartement de la sécurité publique,</w:t>
      </w:r>
      <w:r w:rsidRPr="0026653F">
        <w:rPr>
          <w:szCs w:val="22"/>
          <w:lang w:val="fr-FR"/>
        </w:rPr>
        <w:t xml:space="preserve"> de continuer de soutenir les États membres qui en font la demande en matière de renforcement de leurs capacités institutionnelles relatives à la sécurité et à la gestion des arsenaux, au marquage, à l’entretien d’information et au traçage des armes, à la destruction d’armes et de munitions, à la prévention de la violence armée, à l’élaboration et à la mise en œuvre d’instruments qui facilitent l’échange d’informations en la matière, et relatives à l’assistance juridique pour harmoniser la législation interne</w:t>
      </w:r>
      <w:r w:rsidR="00F24603" w:rsidRPr="0026653F">
        <w:rPr>
          <w:szCs w:val="22"/>
          <w:lang w:val="fr-FR"/>
        </w:rPr>
        <w:t xml:space="preserve"> s’y rapportant</w:t>
      </w:r>
      <w:r w:rsidRPr="0026653F">
        <w:rPr>
          <w:szCs w:val="22"/>
          <w:lang w:val="fr-FR"/>
        </w:rPr>
        <w:t>, conformément aux normes internationales.</w:t>
      </w:r>
    </w:p>
    <w:p w14:paraId="10B8A993" w14:textId="77777777" w:rsidR="00293B12" w:rsidRPr="0026653F" w:rsidRDefault="00293B12" w:rsidP="00C618DD">
      <w:pPr>
        <w:jc w:val="left"/>
        <w:rPr>
          <w:szCs w:val="22"/>
          <w:lang w:val="fr-FR"/>
        </w:rPr>
      </w:pPr>
    </w:p>
    <w:p w14:paraId="174E35D6" w14:textId="53D4BF9D" w:rsidR="00293B12" w:rsidRPr="0026653F" w:rsidRDefault="00293B12" w:rsidP="00C618DD">
      <w:pPr>
        <w:numPr>
          <w:ilvl w:val="0"/>
          <w:numId w:val="40"/>
        </w:numPr>
        <w:suppressAutoHyphens/>
        <w:ind w:left="0" w:firstLine="720"/>
        <w:rPr>
          <w:szCs w:val="22"/>
          <w:lang w:val="fr-FR"/>
        </w:rPr>
      </w:pPr>
      <w:r w:rsidRPr="0026653F">
        <w:rPr>
          <w:bCs/>
          <w:szCs w:val="22"/>
          <w:lang w:val="fr-FR"/>
        </w:rPr>
        <w:lastRenderedPageBreak/>
        <w:t>D’inviter les États membres à collaborer à la réalisation de l’étude continentale sur le trafic illicite d’armes légères et de petit calibre ainsi que des munitions s’y rapportant dans le continent par le biais de l’envoi des informations demandées dans les questionnaires et instruments de collecte, en temps opportun, et de demander au SSM de faire rapport chaque semestre à la CSH pendant la période 2020-2021, par l’intermédiaire du D</w:t>
      </w:r>
      <w:r w:rsidR="004A7956" w:rsidRPr="0026653F">
        <w:rPr>
          <w:bCs/>
          <w:szCs w:val="22"/>
          <w:lang w:val="fr-FR"/>
        </w:rPr>
        <w:t xml:space="preserve">épartement de la sécurité publique </w:t>
      </w:r>
      <w:r w:rsidRPr="0026653F">
        <w:rPr>
          <w:bCs/>
          <w:szCs w:val="22"/>
          <w:lang w:val="fr-FR"/>
        </w:rPr>
        <w:t>et du D</w:t>
      </w:r>
      <w:r w:rsidR="004A7956" w:rsidRPr="0026653F">
        <w:rPr>
          <w:bCs/>
          <w:szCs w:val="22"/>
          <w:lang w:val="fr-FR"/>
        </w:rPr>
        <w:t>épartement contre la criminalité transnationale organisée</w:t>
      </w:r>
      <w:r w:rsidRPr="0026653F">
        <w:rPr>
          <w:bCs/>
          <w:szCs w:val="22"/>
          <w:lang w:val="fr-FR"/>
        </w:rPr>
        <w:t>, et chaque année lors des réunions du Comité consultatif de la C</w:t>
      </w:r>
      <w:r w:rsidR="004A7956" w:rsidRPr="0026653F">
        <w:rPr>
          <w:bCs/>
          <w:szCs w:val="22"/>
          <w:lang w:val="fr-FR"/>
        </w:rPr>
        <w:t xml:space="preserve">onvention interaméricaine </w:t>
      </w:r>
      <w:r w:rsidR="004A7956" w:rsidRPr="0026653F">
        <w:rPr>
          <w:szCs w:val="22"/>
          <w:lang w:val="fr-FR"/>
        </w:rPr>
        <w:t>contre la fabrication et le trafic illicites d'armes à feu, de munitions, d'explosifs et d'autres matériels connexes (C</w:t>
      </w:r>
      <w:r w:rsidRPr="0026653F">
        <w:rPr>
          <w:bCs/>
          <w:szCs w:val="22"/>
          <w:lang w:val="fr-FR"/>
        </w:rPr>
        <w:t>IFTA</w:t>
      </w:r>
      <w:r w:rsidR="004A7956" w:rsidRPr="0026653F">
        <w:rPr>
          <w:bCs/>
          <w:szCs w:val="22"/>
          <w:lang w:val="fr-FR"/>
        </w:rPr>
        <w:t>)</w:t>
      </w:r>
      <w:r w:rsidRPr="0026653F">
        <w:rPr>
          <w:bCs/>
          <w:szCs w:val="22"/>
          <w:lang w:val="fr-FR"/>
        </w:rPr>
        <w:t xml:space="preserve"> sur les avancées réalisées dans l’élaboration de l’étude précitée dans le but de déterminer les menaces et les défis, et d’inclure des recommandations orientées vers l’action pour les États membres afin de renforcer la prévention du trafic illicite d’armes légères et de petit calibre et des munitions s’y rapportant</w:t>
      </w:r>
      <w:r w:rsidR="00A041ED" w:rsidRPr="0026653F">
        <w:rPr>
          <w:bCs/>
          <w:szCs w:val="22"/>
          <w:lang w:val="fr-FR"/>
        </w:rPr>
        <w:t xml:space="preserve"> et la lutte contre celui-ci</w:t>
      </w:r>
      <w:r w:rsidRPr="0026653F">
        <w:rPr>
          <w:bCs/>
          <w:szCs w:val="22"/>
          <w:lang w:val="fr-FR"/>
        </w:rPr>
        <w:t>.</w:t>
      </w:r>
    </w:p>
    <w:p w14:paraId="342AE380" w14:textId="77777777" w:rsidR="00293B12" w:rsidRPr="0026653F" w:rsidRDefault="00293B12" w:rsidP="00C618DD">
      <w:pPr>
        <w:suppressAutoHyphens/>
        <w:rPr>
          <w:szCs w:val="22"/>
          <w:lang w:val="fr-FR"/>
        </w:rPr>
      </w:pPr>
    </w:p>
    <w:p w14:paraId="6C666E67" w14:textId="77777777" w:rsidR="00293B12" w:rsidRPr="0026653F" w:rsidRDefault="00293B12" w:rsidP="00C618DD">
      <w:pPr>
        <w:numPr>
          <w:ilvl w:val="0"/>
          <w:numId w:val="24"/>
        </w:numPr>
        <w:suppressAutoHyphens/>
        <w:ind w:left="720"/>
        <w:rPr>
          <w:rFonts w:eastAsia="SimSun"/>
          <w:color w:val="000000"/>
          <w:szCs w:val="22"/>
          <w:u w:val="single"/>
          <w:lang w:val="fr-FR"/>
        </w:rPr>
      </w:pPr>
      <w:r w:rsidRPr="0026653F">
        <w:rPr>
          <w:color w:val="000000"/>
          <w:szCs w:val="22"/>
          <w:u w:val="single"/>
          <w:lang w:val="fr-FR"/>
        </w:rPr>
        <w:t>Préoccupations et défis régionaux et spécialisés en matière de sécurité</w:t>
      </w:r>
    </w:p>
    <w:p w14:paraId="30A65B82" w14:textId="77777777" w:rsidR="00293B12" w:rsidRPr="0026653F" w:rsidRDefault="00293B12" w:rsidP="00C618DD">
      <w:pPr>
        <w:suppressAutoHyphens/>
        <w:rPr>
          <w:rFonts w:eastAsia="Batang"/>
          <w:bCs/>
          <w:color w:val="000000"/>
          <w:szCs w:val="22"/>
          <w:u w:val="single"/>
          <w:lang w:val="fr-FR"/>
        </w:rPr>
      </w:pPr>
    </w:p>
    <w:p w14:paraId="791147E4" w14:textId="23C7DE7A" w:rsidR="00293B12" w:rsidRPr="0026653F" w:rsidRDefault="00293B12" w:rsidP="00C618DD">
      <w:pPr>
        <w:numPr>
          <w:ilvl w:val="0"/>
          <w:numId w:val="5"/>
        </w:numPr>
        <w:suppressAutoHyphens/>
        <w:ind w:firstLine="0"/>
        <w:rPr>
          <w:rFonts w:eastAsia="SimSun"/>
          <w:bCs/>
          <w:color w:val="000000"/>
          <w:szCs w:val="22"/>
          <w:u w:val="single"/>
          <w:lang w:val="fr-FR"/>
        </w:rPr>
      </w:pPr>
      <w:r w:rsidRPr="0026653F">
        <w:rPr>
          <w:color w:val="000000"/>
          <w:szCs w:val="22"/>
          <w:u w:val="single"/>
          <w:lang w:val="fr-FR"/>
        </w:rPr>
        <w:t>Préoccupations de l’Amérique centrale en matière de sécurité</w:t>
      </w:r>
    </w:p>
    <w:p w14:paraId="26FFE27A" w14:textId="77777777" w:rsidR="00293B12" w:rsidRPr="0026653F" w:rsidRDefault="00293B12" w:rsidP="00C618DD">
      <w:pPr>
        <w:suppressAutoHyphens/>
        <w:jc w:val="left"/>
        <w:rPr>
          <w:bCs/>
          <w:color w:val="000000"/>
          <w:szCs w:val="22"/>
          <w:u w:val="single"/>
          <w:lang w:val="fr-FR"/>
        </w:rPr>
      </w:pPr>
    </w:p>
    <w:p w14:paraId="41A0247B" w14:textId="77777777" w:rsidR="00293B12" w:rsidRPr="0026653F" w:rsidRDefault="00293B12" w:rsidP="00C618DD">
      <w:pPr>
        <w:numPr>
          <w:ilvl w:val="0"/>
          <w:numId w:val="41"/>
        </w:numPr>
        <w:suppressAutoHyphens/>
        <w:ind w:left="0" w:firstLine="709"/>
        <w:rPr>
          <w:bCs/>
          <w:color w:val="000000"/>
          <w:szCs w:val="22"/>
          <w:lang w:val="fr-FR"/>
        </w:rPr>
      </w:pPr>
      <w:r w:rsidRPr="0026653F">
        <w:rPr>
          <w:bCs/>
          <w:color w:val="000000"/>
          <w:szCs w:val="22"/>
          <w:lang w:val="fr-FR"/>
        </w:rPr>
        <w:t xml:space="preserve">D’inviter les États membres à continuer de soutenir ou d’encourager les activités régionales et sous-régionales visant à aborder et atténuer les préoccupations de l’Amérique centrale en matière de sécurité. </w:t>
      </w:r>
    </w:p>
    <w:p w14:paraId="37A46B6F" w14:textId="77777777" w:rsidR="00293B12" w:rsidRPr="0026653F" w:rsidRDefault="00293B12" w:rsidP="00C618DD">
      <w:pPr>
        <w:suppressAutoHyphens/>
        <w:ind w:left="-90"/>
        <w:jc w:val="left"/>
        <w:rPr>
          <w:bCs/>
          <w:color w:val="000000"/>
          <w:szCs w:val="22"/>
          <w:lang w:val="fr-FR"/>
        </w:rPr>
      </w:pPr>
    </w:p>
    <w:p w14:paraId="39BA589E" w14:textId="68D7DA99" w:rsidR="00293B12" w:rsidRPr="0026653F" w:rsidRDefault="00293B12" w:rsidP="00C618DD">
      <w:pPr>
        <w:numPr>
          <w:ilvl w:val="0"/>
          <w:numId w:val="41"/>
        </w:numPr>
        <w:suppressAutoHyphens/>
        <w:ind w:left="0" w:firstLine="720"/>
        <w:rPr>
          <w:bCs/>
          <w:color w:val="000000"/>
          <w:szCs w:val="22"/>
          <w:lang w:val="fr-FR"/>
        </w:rPr>
      </w:pPr>
      <w:r w:rsidRPr="0026653F">
        <w:rPr>
          <w:bCs/>
          <w:color w:val="000000"/>
          <w:szCs w:val="22"/>
          <w:lang w:val="fr-FR"/>
        </w:rPr>
        <w:t>D’</w:t>
      </w:r>
      <w:r w:rsidR="009152E7" w:rsidRPr="0026653F">
        <w:rPr>
          <w:bCs/>
          <w:color w:val="000000"/>
          <w:szCs w:val="22"/>
          <w:lang w:val="fr-FR"/>
        </w:rPr>
        <w:t xml:space="preserve">inviter instamment </w:t>
      </w:r>
      <w:r w:rsidRPr="0026653F">
        <w:rPr>
          <w:bCs/>
          <w:color w:val="000000"/>
          <w:szCs w:val="22"/>
          <w:lang w:val="fr-FR"/>
        </w:rPr>
        <w:t xml:space="preserve">les États membres, dans le cadre du plein respect des droits de la personne, à </w:t>
      </w:r>
      <w:r w:rsidRPr="0026653F">
        <w:rPr>
          <w:color w:val="000000"/>
          <w:szCs w:val="22"/>
          <w:lang w:val="fr-FR"/>
        </w:rPr>
        <w:t>continuer de renforcer</w:t>
      </w:r>
      <w:r w:rsidRPr="0026653F">
        <w:rPr>
          <w:bCs/>
          <w:color w:val="000000"/>
          <w:szCs w:val="22"/>
          <w:lang w:val="fr-FR"/>
        </w:rPr>
        <w:t xml:space="preserve"> les mécanismes de coopération bilatérale et d’échange d’expériences sur les défis régionaux tels que la criminalité transnationale organisée, le trafic de stupéfiants, la violence à l’égard des femmes et </w:t>
      </w:r>
      <w:r w:rsidRPr="0026653F">
        <w:rPr>
          <w:color w:val="000000"/>
          <w:szCs w:val="22"/>
          <w:lang w:val="fr-FR"/>
        </w:rPr>
        <w:t xml:space="preserve">les </w:t>
      </w:r>
      <w:r w:rsidR="009152E7" w:rsidRPr="0026653F">
        <w:rPr>
          <w:color w:val="000000"/>
          <w:szCs w:val="22"/>
          <w:lang w:val="fr-FR"/>
        </w:rPr>
        <w:t xml:space="preserve">autres </w:t>
      </w:r>
      <w:r w:rsidRPr="0026653F">
        <w:rPr>
          <w:color w:val="000000"/>
          <w:szCs w:val="22"/>
          <w:lang w:val="fr-FR"/>
        </w:rPr>
        <w:t>infractions connexes.</w:t>
      </w:r>
    </w:p>
    <w:p w14:paraId="3CE67054" w14:textId="77777777" w:rsidR="00293B12" w:rsidRPr="0026653F" w:rsidRDefault="00293B12" w:rsidP="00C618DD">
      <w:pPr>
        <w:suppressAutoHyphens/>
        <w:jc w:val="left"/>
        <w:rPr>
          <w:bCs/>
          <w:color w:val="000000"/>
          <w:szCs w:val="22"/>
          <w:lang w:val="fr-FR"/>
        </w:rPr>
      </w:pPr>
    </w:p>
    <w:p w14:paraId="6F701291" w14:textId="1E8E46F6" w:rsidR="00293B12" w:rsidRPr="0026653F" w:rsidRDefault="00293B12" w:rsidP="00C618DD">
      <w:pPr>
        <w:numPr>
          <w:ilvl w:val="0"/>
          <w:numId w:val="41"/>
        </w:numPr>
        <w:suppressAutoHyphens/>
        <w:ind w:left="0" w:firstLine="720"/>
        <w:rPr>
          <w:bCs/>
          <w:i/>
          <w:iCs/>
          <w:color w:val="000000"/>
          <w:szCs w:val="22"/>
          <w:lang w:val="fr-FR"/>
        </w:rPr>
      </w:pPr>
      <w:r w:rsidRPr="0026653F">
        <w:rPr>
          <w:bCs/>
          <w:color w:val="000000"/>
          <w:szCs w:val="22"/>
          <w:lang w:val="fr-FR"/>
        </w:rPr>
        <w:t>De reconnaître le rôle clé que jouent le respect, la protection et la promotion des droits de la personne pour assurer la paix et la stabilité dans la région</w:t>
      </w:r>
      <w:r w:rsidR="00AD190D" w:rsidRPr="0026653F">
        <w:rPr>
          <w:bCs/>
          <w:color w:val="000000"/>
          <w:szCs w:val="22"/>
          <w:lang w:val="fr-FR"/>
        </w:rPr>
        <w:t xml:space="preserve"> et</w:t>
      </w:r>
      <w:r w:rsidRPr="0026653F">
        <w:rPr>
          <w:bCs/>
          <w:color w:val="000000"/>
          <w:szCs w:val="22"/>
          <w:lang w:val="fr-FR"/>
        </w:rPr>
        <w:t xml:space="preserve"> de réaffirmer l’engagement des États membres à continuer d’œuvrer à la consolidation des processus et des principes démocratiques.</w:t>
      </w:r>
    </w:p>
    <w:p w14:paraId="39852C87" w14:textId="77777777" w:rsidR="00293B12" w:rsidRPr="0026653F" w:rsidRDefault="00293B12" w:rsidP="00C618DD">
      <w:pPr>
        <w:suppressAutoHyphens/>
        <w:jc w:val="left"/>
        <w:rPr>
          <w:bCs/>
          <w:iCs/>
          <w:color w:val="000000"/>
          <w:szCs w:val="22"/>
          <w:lang w:val="fr-FR"/>
        </w:rPr>
      </w:pPr>
    </w:p>
    <w:p w14:paraId="450A0797" w14:textId="576AEA8A" w:rsidR="00293B12" w:rsidRPr="0026653F" w:rsidRDefault="00293B12" w:rsidP="00C618DD">
      <w:pPr>
        <w:numPr>
          <w:ilvl w:val="0"/>
          <w:numId w:val="41"/>
        </w:numPr>
        <w:suppressAutoHyphens/>
        <w:ind w:left="0" w:firstLine="720"/>
        <w:rPr>
          <w:color w:val="000000"/>
          <w:szCs w:val="22"/>
          <w:lang w:val="fr-FR"/>
        </w:rPr>
      </w:pPr>
      <w:r w:rsidRPr="0026653F">
        <w:rPr>
          <w:color w:val="000000"/>
          <w:szCs w:val="22"/>
          <w:lang w:val="fr-FR"/>
        </w:rPr>
        <w:t>De charger le SSM de continuer à promouvoir et à renforcer les consultations avec les entités pertinentes des Nations Unies comme l’O</w:t>
      </w:r>
      <w:r w:rsidR="009152E7" w:rsidRPr="0026653F">
        <w:rPr>
          <w:color w:val="000000"/>
          <w:szCs w:val="22"/>
          <w:lang w:val="fr-FR"/>
        </w:rPr>
        <w:t>NUDC</w:t>
      </w:r>
      <w:r w:rsidR="00E36297" w:rsidRPr="0026653F">
        <w:rPr>
          <w:color w:val="000000"/>
          <w:szCs w:val="22"/>
          <w:lang w:val="fr-FR"/>
        </w:rPr>
        <w:t xml:space="preserve"> </w:t>
      </w:r>
      <w:r w:rsidRPr="0026653F">
        <w:rPr>
          <w:color w:val="000000"/>
          <w:szCs w:val="22"/>
          <w:lang w:val="fr-FR"/>
        </w:rPr>
        <w:t xml:space="preserve">de même qu’avec le Secrétariat général du Système d’intégration centraméricaine (SICA) dans le but de continuer à offrir un soutien technique aux États membres </w:t>
      </w:r>
      <w:r w:rsidR="00AD190D" w:rsidRPr="0026653F">
        <w:rPr>
          <w:color w:val="000000"/>
          <w:szCs w:val="22"/>
          <w:lang w:val="fr-FR"/>
        </w:rPr>
        <w:t xml:space="preserve">au titre de </w:t>
      </w:r>
      <w:r w:rsidRPr="0026653F">
        <w:rPr>
          <w:color w:val="000000"/>
          <w:szCs w:val="22"/>
          <w:lang w:val="fr-FR"/>
        </w:rPr>
        <w:t>la réponse aux défis en matière de sécurité en Amérique centrale.</w:t>
      </w:r>
    </w:p>
    <w:p w14:paraId="2CD20FD0" w14:textId="77777777" w:rsidR="00293B12" w:rsidRPr="0026653F" w:rsidRDefault="00293B12" w:rsidP="00C618DD">
      <w:pPr>
        <w:suppressAutoHyphens/>
        <w:rPr>
          <w:rFonts w:eastAsia="Batang"/>
          <w:color w:val="000000"/>
          <w:szCs w:val="22"/>
          <w:lang w:val="fr-FR"/>
        </w:rPr>
      </w:pPr>
    </w:p>
    <w:p w14:paraId="11B55DE1" w14:textId="11D29146" w:rsidR="00293B12" w:rsidRPr="0026653F" w:rsidRDefault="00293B12" w:rsidP="00C618DD">
      <w:pPr>
        <w:numPr>
          <w:ilvl w:val="0"/>
          <w:numId w:val="5"/>
        </w:numPr>
        <w:suppressAutoHyphens/>
        <w:ind w:left="1440" w:hanging="720"/>
        <w:rPr>
          <w:rFonts w:eastAsia="SimSun"/>
          <w:color w:val="000000"/>
          <w:szCs w:val="22"/>
          <w:u w:val="single"/>
          <w:lang w:val="fr-FR"/>
        </w:rPr>
      </w:pPr>
      <w:r w:rsidRPr="0026653F">
        <w:rPr>
          <w:color w:val="000000"/>
          <w:szCs w:val="22"/>
          <w:u w:val="single"/>
          <w:lang w:val="fr-FR"/>
        </w:rPr>
        <w:t xml:space="preserve">Préoccupations particulières des </w:t>
      </w:r>
      <w:bookmarkStart w:id="6" w:name="_Hlk65829294"/>
      <w:r w:rsidRPr="0026653F">
        <w:rPr>
          <w:color w:val="000000"/>
          <w:szCs w:val="22"/>
          <w:u w:val="single"/>
          <w:lang w:val="fr-FR"/>
        </w:rPr>
        <w:t xml:space="preserve">petits États insulaires </w:t>
      </w:r>
      <w:r w:rsidR="009152E7" w:rsidRPr="0026653F">
        <w:rPr>
          <w:color w:val="000000"/>
          <w:szCs w:val="22"/>
          <w:u w:val="single"/>
          <w:lang w:val="fr-FR"/>
        </w:rPr>
        <w:t>à littoral de</w:t>
      </w:r>
      <w:r w:rsidRPr="0026653F">
        <w:rPr>
          <w:color w:val="000000"/>
          <w:szCs w:val="22"/>
          <w:u w:val="single"/>
          <w:lang w:val="fr-FR"/>
        </w:rPr>
        <w:t xml:space="preserve"> faible altitude et en développement</w:t>
      </w:r>
      <w:bookmarkEnd w:id="6"/>
      <w:r w:rsidRPr="0026653F">
        <w:rPr>
          <w:color w:val="000000"/>
          <w:szCs w:val="22"/>
          <w:u w:val="single"/>
          <w:lang w:val="fr-FR"/>
        </w:rPr>
        <w:t xml:space="preserve"> des Caraïbes en matière de sécurité</w:t>
      </w:r>
    </w:p>
    <w:p w14:paraId="75DF46DE" w14:textId="77777777" w:rsidR="00293B12" w:rsidRPr="0026653F" w:rsidRDefault="00293B12" w:rsidP="00C618DD">
      <w:pPr>
        <w:suppressAutoHyphens/>
        <w:rPr>
          <w:color w:val="000000"/>
          <w:szCs w:val="22"/>
          <w:u w:val="single"/>
          <w:lang w:val="fr-FR"/>
        </w:rPr>
      </w:pPr>
    </w:p>
    <w:p w14:paraId="11AEB374" w14:textId="53450091" w:rsidR="00293B12" w:rsidRPr="0026653F" w:rsidRDefault="00293B12" w:rsidP="00C618DD">
      <w:pPr>
        <w:numPr>
          <w:ilvl w:val="0"/>
          <w:numId w:val="42"/>
        </w:numPr>
        <w:suppressAutoHyphens/>
        <w:ind w:left="0" w:firstLine="664"/>
        <w:rPr>
          <w:bCs/>
          <w:szCs w:val="22"/>
          <w:lang w:val="fr-FR"/>
        </w:rPr>
      </w:pPr>
      <w:r w:rsidRPr="0026653F">
        <w:rPr>
          <w:bCs/>
          <w:szCs w:val="22"/>
          <w:lang w:val="fr-FR"/>
        </w:rPr>
        <w:t xml:space="preserve">De prendre note des observations et des résultats issus de la réunion de la CSH consacrée à l’analyse des préoccupations particulières des </w:t>
      </w:r>
      <w:r w:rsidR="002D6DBC" w:rsidRPr="0026653F">
        <w:rPr>
          <w:bCs/>
          <w:szCs w:val="22"/>
          <w:lang w:val="fr-FR"/>
        </w:rPr>
        <w:t xml:space="preserve">petits États insulaires </w:t>
      </w:r>
      <w:r w:rsidR="0077738E" w:rsidRPr="0026653F">
        <w:rPr>
          <w:bCs/>
          <w:szCs w:val="22"/>
          <w:lang w:val="fr-FR"/>
        </w:rPr>
        <w:t>à littoral</w:t>
      </w:r>
      <w:r w:rsidR="002D6DBC" w:rsidRPr="0026653F">
        <w:rPr>
          <w:bCs/>
          <w:szCs w:val="22"/>
          <w:lang w:val="fr-FR"/>
        </w:rPr>
        <w:t xml:space="preserve"> de faible altitude et en développement </w:t>
      </w:r>
      <w:r w:rsidRPr="0026653F">
        <w:rPr>
          <w:bCs/>
          <w:szCs w:val="22"/>
          <w:lang w:val="fr-FR"/>
        </w:rPr>
        <w:t xml:space="preserve">des Caraïbes en matière de sécurité, qui a eu lieu le 25 juin 2020, sur le thème « L’impact de la pandémie de COVID-19 face à la vulnérabilité persistante et multidimensionnelle en matière de sécurité des </w:t>
      </w:r>
      <w:r w:rsidR="002D6DBC" w:rsidRPr="0026653F">
        <w:rPr>
          <w:bCs/>
          <w:szCs w:val="22"/>
          <w:lang w:val="fr-FR"/>
        </w:rPr>
        <w:t xml:space="preserve">petits États insulaires </w:t>
      </w:r>
      <w:r w:rsidR="00727AEF" w:rsidRPr="0026653F">
        <w:rPr>
          <w:bCs/>
          <w:szCs w:val="22"/>
          <w:lang w:val="fr-FR"/>
        </w:rPr>
        <w:t>à littoral</w:t>
      </w:r>
      <w:r w:rsidR="002D6DBC" w:rsidRPr="0026653F">
        <w:rPr>
          <w:bCs/>
          <w:szCs w:val="22"/>
          <w:lang w:val="fr-FR"/>
        </w:rPr>
        <w:t xml:space="preserve"> de faible altitude et en développement</w:t>
      </w:r>
      <w:r w:rsidRPr="0026653F">
        <w:rPr>
          <w:bCs/>
          <w:szCs w:val="22"/>
          <w:lang w:val="fr-FR"/>
        </w:rPr>
        <w:t xml:space="preserve"> des Caraïbes ».</w:t>
      </w:r>
    </w:p>
    <w:p w14:paraId="762725E8" w14:textId="77777777" w:rsidR="00293B12" w:rsidRPr="0026653F" w:rsidRDefault="00293B12" w:rsidP="00C618DD">
      <w:pPr>
        <w:suppressAutoHyphens/>
        <w:rPr>
          <w:bCs/>
          <w:szCs w:val="22"/>
          <w:lang w:val="fr-FR"/>
        </w:rPr>
      </w:pPr>
    </w:p>
    <w:p w14:paraId="56E61B08" w14:textId="2EB540C1" w:rsidR="00293B12" w:rsidRPr="0026653F" w:rsidRDefault="00293B12" w:rsidP="00C618DD">
      <w:pPr>
        <w:numPr>
          <w:ilvl w:val="0"/>
          <w:numId w:val="42"/>
        </w:numPr>
        <w:suppressAutoHyphens/>
        <w:ind w:left="0" w:firstLine="720"/>
        <w:rPr>
          <w:bCs/>
          <w:szCs w:val="22"/>
          <w:lang w:val="fr-FR"/>
        </w:rPr>
      </w:pPr>
      <w:r w:rsidRPr="0026653F">
        <w:rPr>
          <w:color w:val="000000"/>
          <w:szCs w:val="22"/>
          <w:lang w:val="fr-FR"/>
        </w:rPr>
        <w:t>De noter, également, les recommandations du Système de sécurité régionale</w:t>
      </w:r>
      <w:r w:rsidR="00AD190D" w:rsidRPr="0026653F">
        <w:rPr>
          <w:color w:val="000000"/>
          <w:szCs w:val="22"/>
          <w:lang w:val="fr-FR"/>
        </w:rPr>
        <w:t xml:space="preserve"> (SSR)</w:t>
      </w:r>
      <w:r w:rsidRPr="0026653F">
        <w:rPr>
          <w:color w:val="000000"/>
          <w:szCs w:val="22"/>
          <w:lang w:val="fr-FR"/>
        </w:rPr>
        <w:t xml:space="preserve">, faites lors de la réunion sur les préoccupations particulières des petits États insulaires </w:t>
      </w:r>
      <w:r w:rsidR="00727AEF" w:rsidRPr="0026653F">
        <w:rPr>
          <w:color w:val="000000"/>
          <w:szCs w:val="22"/>
          <w:lang w:val="fr-FR"/>
        </w:rPr>
        <w:t>à littoral</w:t>
      </w:r>
      <w:r w:rsidR="002D6DBC" w:rsidRPr="0026653F">
        <w:rPr>
          <w:color w:val="000000"/>
          <w:szCs w:val="22"/>
          <w:lang w:val="fr-FR"/>
        </w:rPr>
        <w:t xml:space="preserve"> de </w:t>
      </w:r>
      <w:r w:rsidRPr="0026653F">
        <w:rPr>
          <w:color w:val="000000"/>
          <w:szCs w:val="22"/>
          <w:lang w:val="fr-FR"/>
        </w:rPr>
        <w:t>faible altitude et en développement des Caraïbes en matière de sécurité</w:t>
      </w:r>
      <w:r w:rsidR="00AD190D" w:rsidRPr="0026653F">
        <w:rPr>
          <w:color w:val="000000"/>
          <w:szCs w:val="22"/>
          <w:lang w:val="fr-FR"/>
        </w:rPr>
        <w:t>, dont la liste suit :</w:t>
      </w:r>
    </w:p>
    <w:p w14:paraId="54A7F585" w14:textId="77777777" w:rsidR="00293B12" w:rsidRPr="0026653F" w:rsidRDefault="00293B12" w:rsidP="00C618DD">
      <w:pPr>
        <w:jc w:val="left"/>
        <w:rPr>
          <w:bCs/>
          <w:szCs w:val="22"/>
          <w:lang w:val="fr-FR"/>
        </w:rPr>
      </w:pPr>
    </w:p>
    <w:p w14:paraId="4A82D392" w14:textId="33568D0F" w:rsidR="00293B12" w:rsidRPr="0026653F" w:rsidRDefault="00293B12" w:rsidP="00116563">
      <w:pPr>
        <w:suppressAutoHyphens/>
        <w:ind w:left="2160" w:hanging="720"/>
        <w:rPr>
          <w:szCs w:val="22"/>
          <w:lang w:val="fr-FR"/>
        </w:rPr>
      </w:pPr>
      <w:r w:rsidRPr="0026653F">
        <w:rPr>
          <w:bCs/>
          <w:szCs w:val="22"/>
          <w:lang w:val="fr-FR"/>
        </w:rPr>
        <w:t>a.</w:t>
      </w:r>
      <w:r w:rsidRPr="0026653F">
        <w:rPr>
          <w:bCs/>
          <w:szCs w:val="22"/>
          <w:lang w:val="fr-FR"/>
        </w:rPr>
        <w:tab/>
      </w:r>
      <w:r w:rsidR="00170444" w:rsidRPr="0026653F">
        <w:rPr>
          <w:bCs/>
          <w:szCs w:val="22"/>
          <w:lang w:val="fr-FR"/>
        </w:rPr>
        <w:t>U</w:t>
      </w:r>
      <w:r w:rsidRPr="0026653F">
        <w:rPr>
          <w:szCs w:val="22"/>
          <w:lang w:val="fr-FR"/>
        </w:rPr>
        <w:t xml:space="preserve">tiliser pleinement les observatoires sur la criminalité établis par le SSR et par l’Agence d’exécution </w:t>
      </w:r>
      <w:r w:rsidR="00F05423" w:rsidRPr="0026653F">
        <w:rPr>
          <w:szCs w:val="22"/>
          <w:lang w:val="fr-FR"/>
        </w:rPr>
        <w:t xml:space="preserve">de la CARICOM </w:t>
      </w:r>
      <w:r w:rsidRPr="0026653F">
        <w:rPr>
          <w:szCs w:val="22"/>
          <w:lang w:val="fr-FR"/>
        </w:rPr>
        <w:t>pour la criminalité et la sécurité (IMPACS)</w:t>
      </w:r>
      <w:r w:rsidR="00F05423" w:rsidRPr="0026653F">
        <w:rPr>
          <w:szCs w:val="22"/>
          <w:lang w:val="fr-FR"/>
        </w:rPr>
        <w:t>.</w:t>
      </w:r>
    </w:p>
    <w:p w14:paraId="17FB633B" w14:textId="162C68FD" w:rsidR="00293B12" w:rsidRPr="0026653F" w:rsidRDefault="00293B12" w:rsidP="00116563">
      <w:pPr>
        <w:suppressAutoHyphens/>
        <w:ind w:left="2160" w:hanging="720"/>
        <w:rPr>
          <w:szCs w:val="22"/>
          <w:lang w:val="fr-FR"/>
        </w:rPr>
      </w:pPr>
      <w:r w:rsidRPr="0026653F">
        <w:rPr>
          <w:szCs w:val="22"/>
          <w:lang w:val="fr-FR"/>
        </w:rPr>
        <w:t>b.</w:t>
      </w:r>
      <w:r w:rsidRPr="0026653F">
        <w:rPr>
          <w:szCs w:val="22"/>
          <w:lang w:val="fr-FR"/>
        </w:rPr>
        <w:tab/>
      </w:r>
      <w:r w:rsidR="00170444" w:rsidRPr="0026653F">
        <w:rPr>
          <w:szCs w:val="22"/>
          <w:lang w:val="fr-FR"/>
        </w:rPr>
        <w:t>É</w:t>
      </w:r>
      <w:r w:rsidRPr="0026653F">
        <w:rPr>
          <w:szCs w:val="22"/>
          <w:lang w:val="fr-FR"/>
        </w:rPr>
        <w:t>tablir un système de gouvernance interinstitutionnel et à plusieurs parties intéressées en matière de santé, renforcé en outre par la coopération entre organismes d’application de la loi, les autorités douanières et d’autres autorités de réglementation des États membres de la C</w:t>
      </w:r>
      <w:r w:rsidR="00137607" w:rsidRPr="0026653F">
        <w:rPr>
          <w:szCs w:val="22"/>
          <w:lang w:val="fr-FR"/>
        </w:rPr>
        <w:t>ommunauté des Caraïbes (C</w:t>
      </w:r>
      <w:r w:rsidRPr="0026653F">
        <w:rPr>
          <w:szCs w:val="22"/>
          <w:lang w:val="fr-FR"/>
        </w:rPr>
        <w:t>ARICOM</w:t>
      </w:r>
      <w:r w:rsidR="00137607" w:rsidRPr="0026653F">
        <w:rPr>
          <w:szCs w:val="22"/>
          <w:lang w:val="fr-FR"/>
        </w:rPr>
        <w:t>)</w:t>
      </w:r>
      <w:r w:rsidRPr="0026653F">
        <w:rPr>
          <w:szCs w:val="22"/>
          <w:lang w:val="fr-FR"/>
        </w:rPr>
        <w:t>.</w:t>
      </w:r>
    </w:p>
    <w:p w14:paraId="221A8416" w14:textId="40C466E2" w:rsidR="00293B12" w:rsidRPr="0026653F" w:rsidRDefault="00293B12" w:rsidP="00116563">
      <w:pPr>
        <w:suppressAutoHyphens/>
        <w:ind w:left="2160" w:hanging="720"/>
        <w:rPr>
          <w:szCs w:val="22"/>
          <w:lang w:val="fr-FR"/>
        </w:rPr>
      </w:pPr>
      <w:r w:rsidRPr="0026653F">
        <w:rPr>
          <w:szCs w:val="22"/>
          <w:lang w:val="fr-FR"/>
        </w:rPr>
        <w:t>c.</w:t>
      </w:r>
      <w:r w:rsidRPr="0026653F">
        <w:rPr>
          <w:szCs w:val="22"/>
          <w:lang w:val="fr-FR"/>
        </w:rPr>
        <w:tab/>
      </w:r>
      <w:r w:rsidR="00170444" w:rsidRPr="0026653F">
        <w:rPr>
          <w:szCs w:val="22"/>
          <w:lang w:val="fr-FR"/>
        </w:rPr>
        <w:t>R</w:t>
      </w:r>
      <w:r w:rsidRPr="0026653F">
        <w:rPr>
          <w:szCs w:val="22"/>
          <w:lang w:val="fr-FR"/>
        </w:rPr>
        <w:t>enforcer les organismes nationaux d’enquête afin d’enquêter convenablement sur la cybercriminalité.</w:t>
      </w:r>
    </w:p>
    <w:p w14:paraId="6E49F590" w14:textId="2FE6BCE7" w:rsidR="00293B12" w:rsidRPr="0026653F" w:rsidRDefault="00293B12" w:rsidP="00116563">
      <w:pPr>
        <w:suppressAutoHyphens/>
        <w:ind w:left="2160" w:hanging="720"/>
        <w:rPr>
          <w:szCs w:val="22"/>
          <w:lang w:val="fr-FR"/>
        </w:rPr>
      </w:pPr>
      <w:r w:rsidRPr="0026653F">
        <w:rPr>
          <w:szCs w:val="22"/>
          <w:lang w:val="fr-FR"/>
        </w:rPr>
        <w:t>d.</w:t>
      </w:r>
      <w:r w:rsidRPr="0026653F">
        <w:rPr>
          <w:szCs w:val="22"/>
          <w:lang w:val="fr-FR"/>
        </w:rPr>
        <w:tab/>
      </w:r>
      <w:r w:rsidR="00170444" w:rsidRPr="0026653F">
        <w:rPr>
          <w:szCs w:val="22"/>
          <w:lang w:val="fr-FR"/>
        </w:rPr>
        <w:t>C</w:t>
      </w:r>
      <w:r w:rsidRPr="0026653F">
        <w:rPr>
          <w:szCs w:val="22"/>
          <w:lang w:val="fr-FR"/>
        </w:rPr>
        <w:t>ontinuer de travailler avec d’autres États membres à l’élaboration de plans de riposte à des cyberincidents</w:t>
      </w:r>
      <w:r w:rsidR="00170444" w:rsidRPr="0026653F">
        <w:rPr>
          <w:szCs w:val="22"/>
          <w:lang w:val="fr-FR"/>
        </w:rPr>
        <w:t xml:space="preserve"> et</w:t>
      </w:r>
      <w:r w:rsidRPr="0026653F">
        <w:rPr>
          <w:szCs w:val="22"/>
          <w:lang w:val="fr-FR"/>
        </w:rPr>
        <w:t xml:space="preserve"> de protocoles et à la mise sur pied de formations </w:t>
      </w:r>
      <w:r w:rsidR="00170444" w:rsidRPr="0026653F">
        <w:rPr>
          <w:szCs w:val="22"/>
          <w:lang w:val="fr-FR"/>
        </w:rPr>
        <w:t xml:space="preserve">qui soient adéquats </w:t>
      </w:r>
      <w:r w:rsidRPr="0026653F">
        <w:rPr>
          <w:szCs w:val="22"/>
          <w:lang w:val="fr-FR"/>
        </w:rPr>
        <w:t>afin d’améliorer la détection et la riposte à la cybercriminalité.</w:t>
      </w:r>
    </w:p>
    <w:p w14:paraId="265E90A5" w14:textId="41E9BFDC" w:rsidR="00293B12" w:rsidRPr="0026653F" w:rsidRDefault="00293B12" w:rsidP="00116563">
      <w:pPr>
        <w:suppressAutoHyphens/>
        <w:ind w:left="2160" w:hanging="720"/>
        <w:rPr>
          <w:szCs w:val="22"/>
          <w:lang w:val="fr-FR"/>
        </w:rPr>
      </w:pPr>
      <w:r w:rsidRPr="0026653F">
        <w:rPr>
          <w:szCs w:val="22"/>
          <w:lang w:val="fr-FR"/>
        </w:rPr>
        <w:t>e.</w:t>
      </w:r>
      <w:r w:rsidRPr="0026653F">
        <w:rPr>
          <w:szCs w:val="22"/>
          <w:lang w:val="fr-FR"/>
        </w:rPr>
        <w:tab/>
      </w:r>
      <w:r w:rsidR="00170444" w:rsidRPr="0026653F">
        <w:rPr>
          <w:szCs w:val="22"/>
          <w:lang w:val="fr-FR"/>
        </w:rPr>
        <w:t>E</w:t>
      </w:r>
      <w:r w:rsidRPr="0026653F">
        <w:rPr>
          <w:szCs w:val="22"/>
          <w:lang w:val="fr-FR"/>
        </w:rPr>
        <w:t>nvisager l’élaboration d’un mécanisme régional de riposte qui comprend l’élaboration de plans relatifs à des dangers biologiques, chimiques, radiologiques et nucléaires.</w:t>
      </w:r>
    </w:p>
    <w:p w14:paraId="14DFE32F" w14:textId="2E846EE5" w:rsidR="00293B12" w:rsidRPr="0026653F" w:rsidRDefault="00293B12" w:rsidP="00116563">
      <w:pPr>
        <w:suppressAutoHyphens/>
        <w:ind w:left="2160" w:hanging="720"/>
        <w:rPr>
          <w:szCs w:val="22"/>
          <w:lang w:val="fr-FR"/>
        </w:rPr>
      </w:pPr>
      <w:r w:rsidRPr="0026653F">
        <w:rPr>
          <w:szCs w:val="22"/>
          <w:lang w:val="fr-FR"/>
        </w:rPr>
        <w:t>f.</w:t>
      </w:r>
      <w:r w:rsidRPr="0026653F">
        <w:rPr>
          <w:szCs w:val="22"/>
          <w:lang w:val="fr-FR"/>
        </w:rPr>
        <w:tab/>
      </w:r>
      <w:r w:rsidR="00170444" w:rsidRPr="0026653F">
        <w:rPr>
          <w:szCs w:val="22"/>
          <w:lang w:val="fr-FR"/>
        </w:rPr>
        <w:t xml:space="preserve">Exploiter </w:t>
      </w:r>
      <w:r w:rsidRPr="0026653F">
        <w:rPr>
          <w:szCs w:val="22"/>
          <w:lang w:val="fr-FR"/>
        </w:rPr>
        <w:t xml:space="preserve">pleinement les mécanismes régionaux existants comme le Traité de la CARICOM sur l’assistance en matière de sécurité, </w:t>
      </w:r>
      <w:r w:rsidR="00CB7D52" w:rsidRPr="0026653F">
        <w:rPr>
          <w:iCs/>
          <w:color w:val="000000"/>
          <w:szCs w:val="22"/>
          <w:bdr w:val="none" w:sz="0" w:space="0" w:color="auto" w:frame="1"/>
          <w:shd w:val="clear" w:color="auto" w:fill="FFFFFF"/>
          <w:lang w:val="fr-FR"/>
        </w:rPr>
        <w:t>l’</w:t>
      </w:r>
      <w:r w:rsidR="00CB7D52" w:rsidRPr="0026653F">
        <w:rPr>
          <w:szCs w:val="22"/>
          <w:lang w:val="fr-FR"/>
        </w:rPr>
        <w:t xml:space="preserve">Accord </w:t>
      </w:r>
      <w:r w:rsidR="0038518A" w:rsidRPr="0026653F">
        <w:rPr>
          <w:szCs w:val="22"/>
          <w:lang w:val="fr-FR"/>
        </w:rPr>
        <w:t xml:space="preserve">concernant </w:t>
      </w:r>
      <w:r w:rsidR="00CB7D52" w:rsidRPr="0026653F">
        <w:rPr>
          <w:szCs w:val="22"/>
          <w:lang w:val="fr-FR"/>
        </w:rPr>
        <w:t xml:space="preserve">la coopération </w:t>
      </w:r>
      <w:r w:rsidR="0038518A" w:rsidRPr="0026653F">
        <w:rPr>
          <w:szCs w:val="22"/>
          <w:lang w:val="fr-FR"/>
        </w:rPr>
        <w:t xml:space="preserve">en vue de </w:t>
      </w:r>
      <w:r w:rsidR="00CB7D52" w:rsidRPr="0026653F">
        <w:rPr>
          <w:szCs w:val="22"/>
          <w:lang w:val="fr-FR"/>
        </w:rPr>
        <w:t xml:space="preserve">la répression du trafic illicite </w:t>
      </w:r>
      <w:r w:rsidR="0038518A" w:rsidRPr="0026653F">
        <w:rPr>
          <w:szCs w:val="22"/>
          <w:lang w:val="fr-FR"/>
        </w:rPr>
        <w:t xml:space="preserve">maritime et aérien </w:t>
      </w:r>
      <w:r w:rsidR="00CB7D52" w:rsidRPr="0026653F">
        <w:rPr>
          <w:szCs w:val="22"/>
          <w:lang w:val="fr-FR"/>
        </w:rPr>
        <w:t xml:space="preserve">de stupéfiants et de substances psychotropes dans </w:t>
      </w:r>
      <w:r w:rsidR="0038518A" w:rsidRPr="0026653F">
        <w:rPr>
          <w:szCs w:val="22"/>
          <w:lang w:val="fr-FR"/>
        </w:rPr>
        <w:t>la région d</w:t>
      </w:r>
      <w:r w:rsidR="00CB7D52" w:rsidRPr="0026653F">
        <w:rPr>
          <w:szCs w:val="22"/>
          <w:lang w:val="fr-FR"/>
        </w:rPr>
        <w:t>es Caraïbes (</w:t>
      </w:r>
      <w:r w:rsidR="00137607" w:rsidRPr="0026653F">
        <w:rPr>
          <w:szCs w:val="22"/>
          <w:lang w:val="fr-FR"/>
        </w:rPr>
        <w:t xml:space="preserve">Accord </w:t>
      </w:r>
      <w:r w:rsidRPr="0026653F">
        <w:rPr>
          <w:szCs w:val="22"/>
          <w:lang w:val="fr-FR"/>
        </w:rPr>
        <w:t>de San José</w:t>
      </w:r>
      <w:r w:rsidR="00CB7D52" w:rsidRPr="0026653F">
        <w:rPr>
          <w:szCs w:val="22"/>
          <w:lang w:val="fr-FR"/>
        </w:rPr>
        <w:t>)</w:t>
      </w:r>
      <w:r w:rsidRPr="0026653F">
        <w:rPr>
          <w:szCs w:val="22"/>
          <w:lang w:val="fr-FR"/>
        </w:rPr>
        <w:t xml:space="preserve">, la Convention de Budapest ainsi que les partenariats avec d’autres organisations sous-régionales pour établir des approches communes </w:t>
      </w:r>
      <w:r w:rsidR="00170444" w:rsidRPr="0026653F">
        <w:rPr>
          <w:szCs w:val="22"/>
          <w:lang w:val="fr-FR"/>
        </w:rPr>
        <w:t>dans le but d’</w:t>
      </w:r>
      <w:r w:rsidRPr="0026653F">
        <w:rPr>
          <w:szCs w:val="22"/>
          <w:lang w:val="fr-FR"/>
        </w:rPr>
        <w:t xml:space="preserve">aborder </w:t>
      </w:r>
      <w:r w:rsidR="00170444" w:rsidRPr="0026653F">
        <w:rPr>
          <w:szCs w:val="22"/>
          <w:lang w:val="fr-FR"/>
        </w:rPr>
        <w:t>l</w:t>
      </w:r>
      <w:r w:rsidRPr="0026653F">
        <w:rPr>
          <w:szCs w:val="22"/>
          <w:lang w:val="fr-FR"/>
        </w:rPr>
        <w:t>es menaces communes en matière de sécurité.</w:t>
      </w:r>
    </w:p>
    <w:p w14:paraId="6C1B425C" w14:textId="77777777" w:rsidR="00293B12" w:rsidRPr="0026653F" w:rsidRDefault="00293B12" w:rsidP="00C618DD">
      <w:pPr>
        <w:jc w:val="left"/>
        <w:rPr>
          <w:bCs/>
          <w:szCs w:val="22"/>
          <w:lang w:val="fr-FR"/>
        </w:rPr>
      </w:pPr>
    </w:p>
    <w:p w14:paraId="6CCDBDC7" w14:textId="58C96035" w:rsidR="00293B12" w:rsidRPr="0026653F" w:rsidRDefault="00293B12" w:rsidP="00C618DD">
      <w:pPr>
        <w:numPr>
          <w:ilvl w:val="0"/>
          <w:numId w:val="42"/>
        </w:numPr>
        <w:suppressAutoHyphens/>
        <w:ind w:left="0" w:firstLine="720"/>
        <w:rPr>
          <w:bCs/>
          <w:szCs w:val="22"/>
          <w:lang w:val="fr-FR"/>
        </w:rPr>
      </w:pPr>
      <w:r w:rsidRPr="0026653F">
        <w:rPr>
          <w:bCs/>
          <w:szCs w:val="22"/>
          <w:lang w:val="fr-FR"/>
        </w:rPr>
        <w:t xml:space="preserve">De charger le Secrétariat général de mener, par l’intermédiaire du SSM et compte tenu des menaces multidimensionnelles émergentes </w:t>
      </w:r>
      <w:proofErr w:type="gramStart"/>
      <w:r w:rsidRPr="0026653F">
        <w:rPr>
          <w:bCs/>
          <w:szCs w:val="22"/>
          <w:lang w:val="fr-FR"/>
        </w:rPr>
        <w:t>à la sécurité posées</w:t>
      </w:r>
      <w:proofErr w:type="gramEnd"/>
      <w:r w:rsidRPr="0026653F">
        <w:rPr>
          <w:bCs/>
          <w:szCs w:val="22"/>
          <w:lang w:val="fr-FR"/>
        </w:rPr>
        <w:t xml:space="preserve"> par la pandémie de </w:t>
      </w:r>
      <w:r w:rsidR="00170444" w:rsidRPr="0026653F">
        <w:rPr>
          <w:bCs/>
          <w:szCs w:val="22"/>
          <w:lang w:val="fr-FR"/>
        </w:rPr>
        <w:t>COVID-19</w:t>
      </w:r>
      <w:r w:rsidRPr="0026653F">
        <w:rPr>
          <w:bCs/>
          <w:szCs w:val="22"/>
          <w:lang w:val="fr-FR"/>
        </w:rPr>
        <w:t>, une évaluation du Plan de travail quinquennal OEA/SSM (2017-2022) pour soutenir la stratégie en matière de criminalité et de sécurité de la CARICOM et d’entamer l’élaboration d’un plan de travail pour 2023-2025 en collaboration avec IMPACS et d’autres entités et organismes de la CARICOM, selon que de besoin.</w:t>
      </w:r>
    </w:p>
    <w:p w14:paraId="2BF66CF6" w14:textId="77777777" w:rsidR="00293B12" w:rsidRPr="0026653F" w:rsidRDefault="00293B12" w:rsidP="00C618DD">
      <w:pPr>
        <w:suppressAutoHyphens/>
        <w:rPr>
          <w:bCs/>
          <w:szCs w:val="22"/>
          <w:lang w:val="fr-FR"/>
        </w:rPr>
      </w:pPr>
    </w:p>
    <w:p w14:paraId="27BEE1F9" w14:textId="407CC445" w:rsidR="00293B12" w:rsidRPr="0026653F" w:rsidRDefault="00293B12" w:rsidP="00C618DD">
      <w:pPr>
        <w:numPr>
          <w:ilvl w:val="0"/>
          <w:numId w:val="42"/>
        </w:numPr>
        <w:suppressAutoHyphens/>
        <w:ind w:left="0" w:firstLine="720"/>
        <w:rPr>
          <w:bCs/>
          <w:szCs w:val="22"/>
          <w:lang w:val="fr-FR"/>
        </w:rPr>
      </w:pPr>
      <w:r w:rsidRPr="0026653F">
        <w:rPr>
          <w:bCs/>
          <w:szCs w:val="22"/>
          <w:lang w:val="fr-FR"/>
        </w:rPr>
        <w:t>De charger la CSH, avec le soutien technique de</w:t>
      </w:r>
      <w:r w:rsidR="00E36297" w:rsidRPr="0026653F">
        <w:rPr>
          <w:bCs/>
          <w:szCs w:val="22"/>
          <w:lang w:val="fr-FR"/>
        </w:rPr>
        <w:t xml:space="preserve"> la </w:t>
      </w:r>
      <w:r w:rsidRPr="0026653F">
        <w:rPr>
          <w:bCs/>
          <w:szCs w:val="22"/>
          <w:lang w:val="fr-FR"/>
        </w:rPr>
        <w:t xml:space="preserve">JID et les institutions et entités pertinentes de l’OEA, de convoquer une réunion au cours du premier trimestre </w:t>
      </w:r>
      <w:r w:rsidR="00BE3299" w:rsidRPr="0026653F">
        <w:rPr>
          <w:bCs/>
          <w:szCs w:val="22"/>
          <w:lang w:val="fr-FR"/>
        </w:rPr>
        <w:t xml:space="preserve">de </w:t>
      </w:r>
      <w:r w:rsidRPr="0026653F">
        <w:rPr>
          <w:bCs/>
          <w:szCs w:val="22"/>
          <w:lang w:val="fr-FR"/>
        </w:rPr>
        <w:t>2021 afin de discuter de la coopération continentale en matière d’aide humanitaire et d’intervention en cas de catastrophes à l’ère d</w:t>
      </w:r>
      <w:r w:rsidR="008C72CA" w:rsidRPr="0026653F">
        <w:rPr>
          <w:bCs/>
          <w:szCs w:val="22"/>
          <w:lang w:val="fr-FR"/>
        </w:rPr>
        <w:t>e la pandémie de COVID-19</w:t>
      </w:r>
      <w:r w:rsidRPr="0026653F">
        <w:rPr>
          <w:bCs/>
          <w:szCs w:val="22"/>
          <w:lang w:val="fr-FR"/>
        </w:rPr>
        <w:t>.</w:t>
      </w:r>
    </w:p>
    <w:p w14:paraId="60EFE7AB" w14:textId="77777777" w:rsidR="00293B12" w:rsidRPr="0026653F" w:rsidRDefault="00293B12" w:rsidP="00C618DD">
      <w:pPr>
        <w:jc w:val="left"/>
        <w:rPr>
          <w:bCs/>
          <w:szCs w:val="22"/>
          <w:lang w:val="fr-FR"/>
        </w:rPr>
      </w:pPr>
    </w:p>
    <w:p w14:paraId="6E977FA2" w14:textId="5D273E64" w:rsidR="00293B12" w:rsidRPr="0026653F" w:rsidRDefault="00293B12" w:rsidP="00C618DD">
      <w:pPr>
        <w:numPr>
          <w:ilvl w:val="0"/>
          <w:numId w:val="42"/>
        </w:numPr>
        <w:suppressAutoHyphens/>
        <w:ind w:left="0" w:firstLine="720"/>
        <w:rPr>
          <w:bCs/>
          <w:szCs w:val="22"/>
          <w:lang w:val="fr-FR"/>
        </w:rPr>
      </w:pPr>
      <w:r w:rsidRPr="0026653F">
        <w:rPr>
          <w:bCs/>
          <w:szCs w:val="22"/>
          <w:lang w:val="fr-FR"/>
        </w:rPr>
        <w:t xml:space="preserve">De </w:t>
      </w:r>
      <w:r w:rsidRPr="0026653F">
        <w:rPr>
          <w:szCs w:val="22"/>
          <w:lang w:val="fr-FR"/>
        </w:rPr>
        <w:t xml:space="preserve">réitérer l’appel lancé au </w:t>
      </w:r>
      <w:r w:rsidRPr="0026653F">
        <w:rPr>
          <w:bCs/>
          <w:szCs w:val="22"/>
          <w:lang w:val="fr-FR"/>
        </w:rPr>
        <w:t xml:space="preserve">Secrétariat général </w:t>
      </w:r>
      <w:r w:rsidR="008D626E" w:rsidRPr="0026653F">
        <w:rPr>
          <w:bCs/>
          <w:szCs w:val="22"/>
          <w:lang w:val="fr-FR"/>
        </w:rPr>
        <w:t xml:space="preserve">pour qu’il soutienne </w:t>
      </w:r>
      <w:r w:rsidRPr="0026653F">
        <w:rPr>
          <w:bCs/>
          <w:szCs w:val="22"/>
          <w:lang w:val="fr-FR"/>
        </w:rPr>
        <w:t xml:space="preserve">des initiatives de sécurité multidimensionnelle, dont la remise et la reprogrammation des dettes dans toutes les tribunes continentales et internationales </w:t>
      </w:r>
      <w:r w:rsidRPr="0026653F">
        <w:rPr>
          <w:szCs w:val="22"/>
          <w:lang w:val="fr-FR"/>
        </w:rPr>
        <w:t xml:space="preserve">de coopération en matière de sécurité </w:t>
      </w:r>
      <w:r w:rsidRPr="0026653F">
        <w:rPr>
          <w:bCs/>
          <w:szCs w:val="22"/>
          <w:lang w:val="fr-FR"/>
        </w:rPr>
        <w:t>dans le but d’améliorer la résilience économique dans les</w:t>
      </w:r>
      <w:r w:rsidR="00157581" w:rsidRPr="0026653F">
        <w:rPr>
          <w:bCs/>
          <w:szCs w:val="22"/>
          <w:lang w:val="fr-FR"/>
        </w:rPr>
        <w:t xml:space="preserve"> </w:t>
      </w:r>
      <w:r w:rsidRPr="0026653F">
        <w:rPr>
          <w:bCs/>
          <w:szCs w:val="22"/>
          <w:lang w:val="fr-FR"/>
        </w:rPr>
        <w:t xml:space="preserve">États membres concernés, en particulier les pays dont la principale source de revenus est constituée du tourisme, compte tenu des effets dévastateurs de la pandémie de COVID-19, par exemple la chute du produit intérieur brut, </w:t>
      </w:r>
      <w:r w:rsidRPr="0026653F">
        <w:rPr>
          <w:bCs/>
          <w:color w:val="000000"/>
          <w:szCs w:val="22"/>
          <w:lang w:val="fr-FR"/>
        </w:rPr>
        <w:t>la réduction considérable des revenus</w:t>
      </w:r>
      <w:r w:rsidRPr="0026653F">
        <w:rPr>
          <w:bCs/>
          <w:szCs w:val="22"/>
          <w:lang w:val="fr-FR"/>
        </w:rPr>
        <w:t xml:space="preserve"> ainsi que </w:t>
      </w:r>
      <w:r w:rsidRPr="0026653F">
        <w:rPr>
          <w:szCs w:val="22"/>
          <w:lang w:val="fr-FR"/>
        </w:rPr>
        <w:t>de</w:t>
      </w:r>
      <w:r w:rsidRPr="0026653F">
        <w:rPr>
          <w:bCs/>
          <w:szCs w:val="22"/>
          <w:lang w:val="fr-FR"/>
        </w:rPr>
        <w:t xml:space="preserve"> la capacité de </w:t>
      </w:r>
      <w:r w:rsidR="00157581" w:rsidRPr="0026653F">
        <w:rPr>
          <w:bCs/>
          <w:szCs w:val="22"/>
          <w:lang w:val="fr-FR"/>
        </w:rPr>
        <w:t xml:space="preserve">service </w:t>
      </w:r>
      <w:r w:rsidRPr="0026653F">
        <w:rPr>
          <w:bCs/>
          <w:szCs w:val="22"/>
          <w:lang w:val="fr-FR"/>
        </w:rPr>
        <w:t>de la dette</w:t>
      </w:r>
      <w:r w:rsidRPr="0026653F">
        <w:rPr>
          <w:szCs w:val="22"/>
          <w:lang w:val="fr-FR"/>
        </w:rPr>
        <w:t xml:space="preserve">, </w:t>
      </w:r>
      <w:r w:rsidRPr="0026653F">
        <w:rPr>
          <w:bCs/>
          <w:color w:val="000000"/>
          <w:szCs w:val="22"/>
          <w:lang w:val="fr-FR"/>
        </w:rPr>
        <w:t>l’augmentation de la pauvreté, du chômage et de la criminalité</w:t>
      </w:r>
      <w:r w:rsidR="00157581" w:rsidRPr="0026653F">
        <w:rPr>
          <w:bCs/>
          <w:color w:val="000000"/>
          <w:szCs w:val="22"/>
          <w:lang w:val="fr-FR"/>
        </w:rPr>
        <w:t xml:space="preserve"> </w:t>
      </w:r>
      <w:r w:rsidR="00157581" w:rsidRPr="0026653F">
        <w:rPr>
          <w:bCs/>
          <w:color w:val="000000"/>
          <w:szCs w:val="22"/>
          <w:lang w:val="fr-FR"/>
        </w:rPr>
        <w:lastRenderedPageBreak/>
        <w:t>(</w:t>
      </w:r>
      <w:r w:rsidRPr="0026653F">
        <w:rPr>
          <w:bCs/>
          <w:color w:val="000000"/>
          <w:szCs w:val="22"/>
          <w:lang w:val="fr-FR"/>
        </w:rPr>
        <w:t xml:space="preserve">y compris la criminalité transnationale organisée et </w:t>
      </w:r>
      <w:r w:rsidR="00157581" w:rsidRPr="0026653F">
        <w:rPr>
          <w:bCs/>
          <w:color w:val="000000"/>
          <w:szCs w:val="22"/>
          <w:lang w:val="fr-FR"/>
        </w:rPr>
        <w:t xml:space="preserve">le trafic de </w:t>
      </w:r>
      <w:r w:rsidRPr="0026653F">
        <w:rPr>
          <w:bCs/>
          <w:color w:val="000000"/>
          <w:szCs w:val="22"/>
          <w:lang w:val="fr-FR"/>
        </w:rPr>
        <w:t>drogue</w:t>
      </w:r>
      <w:r w:rsidR="008D626E" w:rsidRPr="0026653F">
        <w:rPr>
          <w:bCs/>
          <w:color w:val="000000"/>
          <w:szCs w:val="22"/>
          <w:lang w:val="fr-FR"/>
        </w:rPr>
        <w:t>s</w:t>
      </w:r>
      <w:r w:rsidR="00157581" w:rsidRPr="0026653F">
        <w:rPr>
          <w:bCs/>
          <w:color w:val="000000"/>
          <w:szCs w:val="22"/>
          <w:lang w:val="fr-FR"/>
        </w:rPr>
        <w:t>)</w:t>
      </w:r>
      <w:r w:rsidR="008D626E" w:rsidRPr="0026653F">
        <w:rPr>
          <w:bCs/>
          <w:color w:val="000000"/>
          <w:szCs w:val="22"/>
          <w:lang w:val="fr-FR"/>
        </w:rPr>
        <w:t xml:space="preserve">, </w:t>
      </w:r>
      <w:r w:rsidRPr="0026653F">
        <w:rPr>
          <w:bCs/>
          <w:color w:val="000000"/>
          <w:szCs w:val="22"/>
          <w:lang w:val="fr-FR"/>
        </w:rPr>
        <w:t>autant de facteurs qui augmentent leur vulnérabilité.</w:t>
      </w:r>
      <w:r w:rsidRPr="0026653F">
        <w:rPr>
          <w:bCs/>
          <w:szCs w:val="22"/>
          <w:u w:val="single"/>
          <w:vertAlign w:val="superscript"/>
          <w:lang w:val="fr-FR"/>
        </w:rPr>
        <w:footnoteReference w:id="24"/>
      </w:r>
      <w:r w:rsidRPr="0026653F">
        <w:rPr>
          <w:bCs/>
          <w:color w:val="000000"/>
          <w:szCs w:val="22"/>
          <w:vertAlign w:val="superscript"/>
          <w:lang w:val="fr-FR"/>
        </w:rPr>
        <w:t>/</w:t>
      </w:r>
      <w:r w:rsidRPr="0026653F">
        <w:rPr>
          <w:bCs/>
          <w:szCs w:val="22"/>
          <w:u w:val="single"/>
          <w:vertAlign w:val="superscript"/>
          <w:lang w:val="fr-FR"/>
        </w:rPr>
        <w:footnoteReference w:id="25"/>
      </w:r>
      <w:r w:rsidRPr="0026653F">
        <w:rPr>
          <w:bCs/>
          <w:color w:val="000000"/>
          <w:szCs w:val="22"/>
          <w:vertAlign w:val="superscript"/>
          <w:lang w:val="fr-FR"/>
        </w:rPr>
        <w:t>/</w:t>
      </w:r>
    </w:p>
    <w:p w14:paraId="45085500" w14:textId="77777777" w:rsidR="00293B12" w:rsidRPr="0026653F" w:rsidRDefault="00293B12" w:rsidP="00C618DD">
      <w:pPr>
        <w:suppressAutoHyphens/>
        <w:jc w:val="left"/>
        <w:rPr>
          <w:bCs/>
          <w:szCs w:val="22"/>
          <w:lang w:val="fr-FR"/>
        </w:rPr>
      </w:pPr>
    </w:p>
    <w:p w14:paraId="6BB1B13F" w14:textId="0D825DF1" w:rsidR="00293B12" w:rsidRPr="0026653F" w:rsidRDefault="00293B12" w:rsidP="00C618DD">
      <w:pPr>
        <w:numPr>
          <w:ilvl w:val="0"/>
          <w:numId w:val="42"/>
        </w:numPr>
        <w:suppressAutoHyphens/>
        <w:ind w:left="0" w:firstLine="720"/>
        <w:rPr>
          <w:bCs/>
          <w:szCs w:val="22"/>
          <w:lang w:val="fr-FR"/>
        </w:rPr>
      </w:pPr>
      <w:r w:rsidRPr="0026653F">
        <w:rPr>
          <w:bCs/>
          <w:szCs w:val="22"/>
          <w:lang w:val="fr-FR"/>
        </w:rPr>
        <w:t xml:space="preserve">De demander que le SSM, par l’intermédiaire du CICTE et du Département contre la criminalité transnationale organisée, continue d’apporter une assistance technique et de formation, selon le cas, pour aider les États des Caraïbes à développer leurs capacités en matière de cybersécurité pour se défendre </w:t>
      </w:r>
      <w:r w:rsidR="008D626E" w:rsidRPr="0026653F">
        <w:rPr>
          <w:bCs/>
          <w:szCs w:val="22"/>
          <w:lang w:val="fr-FR"/>
        </w:rPr>
        <w:t>contre</w:t>
      </w:r>
      <w:r w:rsidRPr="0026653F">
        <w:rPr>
          <w:bCs/>
          <w:szCs w:val="22"/>
          <w:lang w:val="fr-FR"/>
        </w:rPr>
        <w:t xml:space="preserve"> des agressions visant leurs infrastructures </w:t>
      </w:r>
      <w:r w:rsidR="008D626E" w:rsidRPr="0026653F">
        <w:rPr>
          <w:bCs/>
          <w:szCs w:val="22"/>
          <w:lang w:val="fr-FR"/>
        </w:rPr>
        <w:t>essentielles</w:t>
      </w:r>
      <w:r w:rsidRPr="0026653F">
        <w:rPr>
          <w:bCs/>
          <w:szCs w:val="22"/>
          <w:lang w:val="fr-FR"/>
        </w:rPr>
        <w:t xml:space="preserve">, les </w:t>
      </w:r>
      <w:r w:rsidR="00157581" w:rsidRPr="0026653F">
        <w:rPr>
          <w:bCs/>
          <w:szCs w:val="22"/>
          <w:lang w:val="fr-FR"/>
        </w:rPr>
        <w:t>logiciels rançonneurs</w:t>
      </w:r>
      <w:r w:rsidRPr="0026653F">
        <w:rPr>
          <w:bCs/>
          <w:szCs w:val="22"/>
          <w:lang w:val="fr-FR"/>
        </w:rPr>
        <w:t>, le blanchiment d’avoirs et les infractions financières au moyen de la technologie financière et du cyberespace.</w:t>
      </w:r>
    </w:p>
    <w:p w14:paraId="1AE9AC55" w14:textId="77777777" w:rsidR="00293B12" w:rsidRPr="0026653F" w:rsidRDefault="00293B12" w:rsidP="00C618DD">
      <w:pPr>
        <w:suppressAutoHyphens/>
        <w:jc w:val="left"/>
        <w:rPr>
          <w:bCs/>
          <w:szCs w:val="22"/>
          <w:lang w:val="fr-FR"/>
        </w:rPr>
      </w:pPr>
    </w:p>
    <w:p w14:paraId="118508D5" w14:textId="5D5A95FB" w:rsidR="00293B12" w:rsidRPr="0026653F" w:rsidRDefault="00293B12" w:rsidP="00C618DD">
      <w:pPr>
        <w:numPr>
          <w:ilvl w:val="0"/>
          <w:numId w:val="42"/>
        </w:numPr>
        <w:suppressAutoHyphens/>
        <w:ind w:left="0" w:firstLine="720"/>
        <w:rPr>
          <w:bCs/>
          <w:color w:val="000000"/>
          <w:szCs w:val="22"/>
          <w:lang w:val="fr-FR"/>
        </w:rPr>
      </w:pPr>
      <w:r w:rsidRPr="0026653F">
        <w:rPr>
          <w:bCs/>
          <w:color w:val="000000"/>
          <w:szCs w:val="22"/>
          <w:lang w:val="fr-FR"/>
        </w:rPr>
        <w:t>De charger le Secrétariat général</w:t>
      </w:r>
      <w:r w:rsidR="00F148D1" w:rsidRPr="0026653F">
        <w:rPr>
          <w:bCs/>
          <w:color w:val="000000"/>
          <w:szCs w:val="22"/>
          <w:lang w:val="fr-FR"/>
        </w:rPr>
        <w:t xml:space="preserve">, </w:t>
      </w:r>
      <w:r w:rsidRPr="0026653F">
        <w:rPr>
          <w:bCs/>
          <w:color w:val="000000"/>
          <w:szCs w:val="22"/>
          <w:lang w:val="fr-FR"/>
        </w:rPr>
        <w:t xml:space="preserve">par le biais du SSM, de fournir un appui technique et d’autre nature aux États membres faisant partie des petits États insulaires </w:t>
      </w:r>
      <w:r w:rsidR="00630FE0" w:rsidRPr="0026653F">
        <w:rPr>
          <w:bCs/>
          <w:color w:val="000000"/>
          <w:szCs w:val="22"/>
          <w:lang w:val="fr-FR"/>
        </w:rPr>
        <w:t xml:space="preserve">à littoral </w:t>
      </w:r>
      <w:r w:rsidR="002D5C87" w:rsidRPr="0026653F">
        <w:rPr>
          <w:bCs/>
          <w:color w:val="000000"/>
          <w:szCs w:val="22"/>
          <w:lang w:val="fr-FR"/>
        </w:rPr>
        <w:t xml:space="preserve">de </w:t>
      </w:r>
      <w:r w:rsidRPr="0026653F">
        <w:rPr>
          <w:bCs/>
          <w:color w:val="000000"/>
          <w:szCs w:val="22"/>
          <w:lang w:val="fr-FR"/>
        </w:rPr>
        <w:t xml:space="preserve">faible altitude et en développement des Caraïbes </w:t>
      </w:r>
      <w:r w:rsidR="008D626E" w:rsidRPr="0026653F">
        <w:rPr>
          <w:bCs/>
          <w:color w:val="000000"/>
          <w:szCs w:val="22"/>
          <w:lang w:val="fr-FR"/>
        </w:rPr>
        <w:t xml:space="preserve">afin qu’ils </w:t>
      </w:r>
      <w:r w:rsidRPr="0026653F">
        <w:rPr>
          <w:bCs/>
          <w:color w:val="000000"/>
          <w:szCs w:val="22"/>
          <w:lang w:val="fr-FR"/>
        </w:rPr>
        <w:t>renforce</w:t>
      </w:r>
      <w:r w:rsidR="008D626E" w:rsidRPr="0026653F">
        <w:rPr>
          <w:bCs/>
          <w:color w:val="000000"/>
          <w:szCs w:val="22"/>
          <w:lang w:val="fr-FR"/>
        </w:rPr>
        <w:t>nt</w:t>
      </w:r>
      <w:r w:rsidRPr="0026653F">
        <w:rPr>
          <w:bCs/>
          <w:color w:val="000000"/>
          <w:szCs w:val="22"/>
          <w:lang w:val="fr-FR"/>
        </w:rPr>
        <w:t xml:space="preserve"> la gestion et la sécurité </w:t>
      </w:r>
      <w:r w:rsidR="008D626E" w:rsidRPr="0026653F">
        <w:rPr>
          <w:bCs/>
          <w:color w:val="000000"/>
          <w:szCs w:val="22"/>
          <w:lang w:val="fr-FR"/>
        </w:rPr>
        <w:t xml:space="preserve">de leurs </w:t>
      </w:r>
      <w:r w:rsidRPr="0026653F">
        <w:rPr>
          <w:bCs/>
          <w:color w:val="000000"/>
          <w:szCs w:val="22"/>
          <w:lang w:val="fr-FR"/>
        </w:rPr>
        <w:t xml:space="preserve">frontières </w:t>
      </w:r>
      <w:r w:rsidR="008D626E" w:rsidRPr="0026653F">
        <w:rPr>
          <w:bCs/>
          <w:color w:val="000000"/>
          <w:szCs w:val="22"/>
          <w:lang w:val="fr-FR"/>
        </w:rPr>
        <w:t xml:space="preserve">et ainsi </w:t>
      </w:r>
      <w:r w:rsidRPr="0026653F">
        <w:rPr>
          <w:bCs/>
          <w:color w:val="000000"/>
          <w:szCs w:val="22"/>
          <w:lang w:val="fr-FR"/>
        </w:rPr>
        <w:t>rédui</w:t>
      </w:r>
      <w:r w:rsidR="008D626E" w:rsidRPr="0026653F">
        <w:rPr>
          <w:bCs/>
          <w:color w:val="000000"/>
          <w:szCs w:val="22"/>
          <w:lang w:val="fr-FR"/>
        </w:rPr>
        <w:t xml:space="preserve">sent </w:t>
      </w:r>
      <w:r w:rsidRPr="0026653F">
        <w:rPr>
          <w:bCs/>
          <w:color w:val="000000"/>
          <w:szCs w:val="22"/>
          <w:lang w:val="fr-FR"/>
        </w:rPr>
        <w:t>la propagation de la COVID-19 et l</w:t>
      </w:r>
      <w:r w:rsidR="008D626E" w:rsidRPr="0026653F">
        <w:rPr>
          <w:bCs/>
          <w:color w:val="000000"/>
          <w:szCs w:val="22"/>
          <w:lang w:val="fr-FR"/>
        </w:rPr>
        <w:t xml:space="preserve">a perpétuation </w:t>
      </w:r>
      <w:r w:rsidRPr="0026653F">
        <w:rPr>
          <w:bCs/>
          <w:color w:val="000000"/>
          <w:szCs w:val="22"/>
          <w:lang w:val="fr-FR"/>
        </w:rPr>
        <w:t>de la criminalité transnationale organisée.</w:t>
      </w:r>
    </w:p>
    <w:p w14:paraId="37B07F96" w14:textId="77777777" w:rsidR="00293B12" w:rsidRPr="0026653F" w:rsidRDefault="00293B12" w:rsidP="00C618DD">
      <w:pPr>
        <w:suppressAutoHyphens/>
        <w:rPr>
          <w:bCs/>
          <w:color w:val="000000"/>
          <w:szCs w:val="22"/>
          <w:lang w:val="fr-FR"/>
        </w:rPr>
      </w:pPr>
    </w:p>
    <w:p w14:paraId="091B7DC7" w14:textId="77777777" w:rsidR="00293B12" w:rsidRPr="0026653F" w:rsidRDefault="00293B12" w:rsidP="00C618DD">
      <w:pPr>
        <w:numPr>
          <w:ilvl w:val="0"/>
          <w:numId w:val="5"/>
        </w:numPr>
        <w:suppressAutoHyphens/>
        <w:ind w:left="1440" w:hanging="720"/>
        <w:rPr>
          <w:rFonts w:eastAsia="SimSun"/>
          <w:color w:val="000000"/>
          <w:szCs w:val="22"/>
          <w:u w:val="single"/>
          <w:lang w:val="fr-FR"/>
        </w:rPr>
      </w:pPr>
      <w:r w:rsidRPr="0026653F">
        <w:rPr>
          <w:szCs w:val="22"/>
          <w:u w:val="single"/>
          <w:lang w:val="fr-FR"/>
        </w:rPr>
        <w:t>Incidences du changement climatique en matière de sécurité</w:t>
      </w:r>
      <w:r w:rsidRPr="0026653F">
        <w:rPr>
          <w:szCs w:val="22"/>
          <w:vertAlign w:val="superscript"/>
          <w:lang w:val="fr-FR"/>
        </w:rPr>
        <w:t xml:space="preserve"> </w:t>
      </w:r>
      <w:r w:rsidRPr="0026653F">
        <w:rPr>
          <w:szCs w:val="22"/>
          <w:u w:val="single"/>
          <w:vertAlign w:val="superscript"/>
          <w:lang w:val="fr-FR"/>
        </w:rPr>
        <w:footnoteReference w:id="26"/>
      </w:r>
      <w:r w:rsidRPr="0026653F">
        <w:rPr>
          <w:szCs w:val="22"/>
          <w:vertAlign w:val="superscript"/>
          <w:lang w:val="fr-FR"/>
        </w:rPr>
        <w:t>/</w:t>
      </w:r>
      <w:r w:rsidRPr="0026653F">
        <w:rPr>
          <w:szCs w:val="22"/>
          <w:u w:val="single"/>
          <w:vertAlign w:val="superscript"/>
          <w:lang w:val="fr-FR"/>
        </w:rPr>
        <w:footnoteReference w:id="27"/>
      </w:r>
      <w:r w:rsidRPr="0026653F">
        <w:rPr>
          <w:szCs w:val="22"/>
          <w:vertAlign w:val="superscript"/>
          <w:lang w:val="fr-FR"/>
        </w:rPr>
        <w:t>/</w:t>
      </w:r>
      <w:r w:rsidRPr="0026653F">
        <w:rPr>
          <w:szCs w:val="22"/>
          <w:u w:val="single"/>
          <w:vertAlign w:val="superscript"/>
          <w:lang w:val="fr-FR"/>
        </w:rPr>
        <w:footnoteReference w:id="28"/>
      </w:r>
      <w:r w:rsidRPr="0026653F">
        <w:rPr>
          <w:szCs w:val="22"/>
          <w:vertAlign w:val="superscript"/>
          <w:lang w:val="fr-FR"/>
        </w:rPr>
        <w:t>/</w:t>
      </w:r>
    </w:p>
    <w:p w14:paraId="7EB4FE6D" w14:textId="447F3B28" w:rsidR="00293B12" w:rsidRPr="00802F71" w:rsidRDefault="00293B12" w:rsidP="00C618DD">
      <w:pPr>
        <w:suppressAutoHyphens/>
        <w:rPr>
          <w:color w:val="000000"/>
          <w:szCs w:val="22"/>
          <w:lang w:val="fr-FR"/>
        </w:rPr>
      </w:pPr>
    </w:p>
    <w:p w14:paraId="00919237" w14:textId="6BA21FC5" w:rsidR="00293B12" w:rsidRPr="0026653F" w:rsidRDefault="00293B12" w:rsidP="00C618DD">
      <w:pPr>
        <w:numPr>
          <w:ilvl w:val="0"/>
          <w:numId w:val="43"/>
        </w:numPr>
        <w:suppressAutoHyphens/>
        <w:ind w:left="0" w:firstLine="709"/>
        <w:rPr>
          <w:bCs/>
          <w:szCs w:val="22"/>
          <w:lang w:val="fr-FR"/>
        </w:rPr>
      </w:pPr>
      <w:r w:rsidRPr="0026653F">
        <w:rPr>
          <w:bCs/>
          <w:szCs w:val="22"/>
          <w:lang w:val="fr-FR"/>
        </w:rPr>
        <w:t>De prendre note de la contribution apportée par la JID</w:t>
      </w:r>
      <w:r w:rsidR="00F64B87" w:rsidRPr="0026653F">
        <w:rPr>
          <w:bCs/>
          <w:szCs w:val="22"/>
          <w:lang w:val="fr-FR"/>
        </w:rPr>
        <w:t xml:space="preserve"> sous la forme de multiples </w:t>
      </w:r>
      <w:r w:rsidRPr="0026653F">
        <w:rPr>
          <w:bCs/>
          <w:szCs w:val="22"/>
          <w:lang w:val="fr-FR"/>
        </w:rPr>
        <w:t xml:space="preserve">exposés </w:t>
      </w:r>
      <w:r w:rsidR="00F64B87" w:rsidRPr="0026653F">
        <w:rPr>
          <w:bCs/>
          <w:szCs w:val="22"/>
          <w:lang w:val="fr-FR"/>
        </w:rPr>
        <w:t xml:space="preserve">effectués </w:t>
      </w:r>
      <w:r w:rsidRPr="0026653F">
        <w:rPr>
          <w:bCs/>
          <w:szCs w:val="22"/>
          <w:lang w:val="fr-FR"/>
        </w:rPr>
        <w:t xml:space="preserve">devant la CSH </w:t>
      </w:r>
      <w:r w:rsidR="00F64B87" w:rsidRPr="0026653F">
        <w:rPr>
          <w:bCs/>
          <w:szCs w:val="22"/>
          <w:lang w:val="fr-FR"/>
        </w:rPr>
        <w:t xml:space="preserve">traitant des incidences du </w:t>
      </w:r>
      <w:r w:rsidRPr="0026653F">
        <w:rPr>
          <w:bCs/>
          <w:szCs w:val="22"/>
          <w:lang w:val="fr-FR"/>
        </w:rPr>
        <w:t xml:space="preserve">changement climatique </w:t>
      </w:r>
      <w:r w:rsidR="00F64B87" w:rsidRPr="0026653F">
        <w:rPr>
          <w:bCs/>
          <w:szCs w:val="22"/>
          <w:lang w:val="fr-FR"/>
        </w:rPr>
        <w:t xml:space="preserve">en matière de </w:t>
      </w:r>
      <w:r w:rsidRPr="0026653F">
        <w:rPr>
          <w:bCs/>
          <w:szCs w:val="22"/>
          <w:lang w:val="fr-FR"/>
        </w:rPr>
        <w:t>sécurité</w:t>
      </w:r>
      <w:r w:rsidR="00F64B87" w:rsidRPr="0026653F">
        <w:rPr>
          <w:bCs/>
          <w:szCs w:val="22"/>
          <w:lang w:val="fr-FR"/>
        </w:rPr>
        <w:t xml:space="preserve">, </w:t>
      </w:r>
      <w:r w:rsidRPr="0026653F">
        <w:rPr>
          <w:bCs/>
          <w:szCs w:val="22"/>
          <w:lang w:val="fr-FR"/>
        </w:rPr>
        <w:t>et de reconnaître l</w:t>
      </w:r>
      <w:r w:rsidR="00F64B87" w:rsidRPr="0026653F">
        <w:rPr>
          <w:bCs/>
          <w:szCs w:val="22"/>
          <w:lang w:val="fr-FR"/>
        </w:rPr>
        <w:t xml:space="preserve">’utilité </w:t>
      </w:r>
      <w:r w:rsidRPr="0026653F">
        <w:rPr>
          <w:bCs/>
          <w:szCs w:val="22"/>
          <w:lang w:val="fr-FR"/>
        </w:rPr>
        <w:t>de poursuivre l’examen de la question.</w:t>
      </w:r>
    </w:p>
    <w:p w14:paraId="6BA2E9C5" w14:textId="77777777" w:rsidR="00293B12" w:rsidRPr="0026653F" w:rsidRDefault="00293B12" w:rsidP="00C618DD">
      <w:pPr>
        <w:suppressAutoHyphens/>
        <w:jc w:val="left"/>
        <w:rPr>
          <w:bCs/>
          <w:szCs w:val="22"/>
          <w:lang w:val="fr-FR"/>
        </w:rPr>
      </w:pPr>
    </w:p>
    <w:p w14:paraId="63EF27B2" w14:textId="77389732" w:rsidR="00293B12" w:rsidRPr="0026653F" w:rsidRDefault="00293B12" w:rsidP="00C618DD">
      <w:pPr>
        <w:numPr>
          <w:ilvl w:val="0"/>
          <w:numId w:val="43"/>
        </w:numPr>
        <w:suppressAutoHyphens/>
        <w:ind w:left="0" w:firstLine="709"/>
        <w:rPr>
          <w:bCs/>
          <w:szCs w:val="22"/>
          <w:lang w:val="fr-FR"/>
        </w:rPr>
      </w:pPr>
      <w:r w:rsidRPr="0026653F">
        <w:rPr>
          <w:bCs/>
          <w:szCs w:val="22"/>
          <w:lang w:val="fr-FR"/>
        </w:rPr>
        <w:t>De reconnaitre les vulnérabilités particulières aux chocs externes et les défis uniques en matière de sécurité et de développement auxquels sont confrontés les pays des Caraïbes, y compris les risques liés au changement climatique, et de reconnaitre que la pandémie de COVID-19 réduit encore plus la capacité de nombreux États</w:t>
      </w:r>
      <w:r w:rsidR="00F64B87" w:rsidRPr="0026653F">
        <w:rPr>
          <w:bCs/>
          <w:szCs w:val="22"/>
          <w:lang w:val="fr-FR"/>
        </w:rPr>
        <w:t xml:space="preserve">, </w:t>
      </w:r>
      <w:r w:rsidRPr="0026653F">
        <w:rPr>
          <w:bCs/>
          <w:szCs w:val="22"/>
          <w:lang w:val="fr-FR"/>
        </w:rPr>
        <w:t xml:space="preserve">en particulier les petits États insulaires </w:t>
      </w:r>
      <w:r w:rsidR="00727AEF" w:rsidRPr="0026653F">
        <w:rPr>
          <w:bCs/>
          <w:szCs w:val="22"/>
          <w:lang w:val="fr-FR"/>
        </w:rPr>
        <w:t>à littoral</w:t>
      </w:r>
      <w:r w:rsidR="002D5C87" w:rsidRPr="0026653F">
        <w:rPr>
          <w:bCs/>
          <w:szCs w:val="22"/>
          <w:lang w:val="fr-FR"/>
        </w:rPr>
        <w:t xml:space="preserve"> </w:t>
      </w:r>
      <w:r w:rsidRPr="0026653F">
        <w:rPr>
          <w:bCs/>
          <w:szCs w:val="22"/>
          <w:lang w:val="fr-FR"/>
        </w:rPr>
        <w:t>de faible altitude</w:t>
      </w:r>
      <w:r w:rsidR="00F64B87" w:rsidRPr="0026653F">
        <w:rPr>
          <w:bCs/>
          <w:szCs w:val="22"/>
          <w:lang w:val="fr-FR"/>
        </w:rPr>
        <w:t xml:space="preserve">, </w:t>
      </w:r>
      <w:r w:rsidRPr="0026653F">
        <w:rPr>
          <w:bCs/>
          <w:szCs w:val="22"/>
          <w:lang w:val="fr-FR"/>
        </w:rPr>
        <w:t>de relever ces défis.</w:t>
      </w:r>
    </w:p>
    <w:p w14:paraId="68D2CA14" w14:textId="77777777" w:rsidR="00293B12" w:rsidRPr="0026653F" w:rsidRDefault="00293B12" w:rsidP="00C618DD">
      <w:pPr>
        <w:rPr>
          <w:szCs w:val="22"/>
          <w:lang w:val="fr-FR"/>
        </w:rPr>
      </w:pPr>
    </w:p>
    <w:p w14:paraId="799F491D" w14:textId="77777777" w:rsidR="00293B12" w:rsidRPr="0026653F" w:rsidRDefault="00293B12" w:rsidP="00C618DD">
      <w:pPr>
        <w:numPr>
          <w:ilvl w:val="0"/>
          <w:numId w:val="43"/>
        </w:numPr>
        <w:suppressAutoHyphens/>
        <w:ind w:left="0" w:firstLine="709"/>
        <w:rPr>
          <w:szCs w:val="22"/>
          <w:lang w:val="fr-FR"/>
        </w:rPr>
      </w:pPr>
      <w:r w:rsidRPr="0026653F">
        <w:rPr>
          <w:bCs/>
          <w:szCs w:val="22"/>
          <w:lang w:val="fr-FR"/>
        </w:rPr>
        <w:t xml:space="preserve">De réitérer l’appel lancé au Secrétariat général de </w:t>
      </w:r>
      <w:r w:rsidRPr="0026653F">
        <w:rPr>
          <w:szCs w:val="22"/>
          <w:lang w:val="fr-FR"/>
        </w:rPr>
        <w:t>continuer à</w:t>
      </w:r>
      <w:r w:rsidRPr="0026653F">
        <w:rPr>
          <w:bCs/>
          <w:szCs w:val="22"/>
          <w:lang w:val="fr-FR"/>
        </w:rPr>
        <w:t xml:space="preserve"> fournir une assistance aux États membres des Caraïbes, en fonction des ressources disponibles, sous la forme d’une aide technique et administrative afin de les soutenir dans leurs efforts visant à mettre en œuvre les recommandations de la CSH pour </w:t>
      </w:r>
      <w:r w:rsidRPr="0026653F">
        <w:rPr>
          <w:szCs w:val="22"/>
          <w:lang w:val="fr-FR"/>
        </w:rPr>
        <w:t>aborder les incidences du changement climatique en matière de sécurité</w:t>
      </w:r>
      <w:r w:rsidRPr="0026653F">
        <w:rPr>
          <w:bCs/>
          <w:szCs w:val="22"/>
          <w:lang w:val="fr-FR"/>
        </w:rPr>
        <w:t>.</w:t>
      </w:r>
    </w:p>
    <w:p w14:paraId="6EC4D44B" w14:textId="77777777" w:rsidR="00293B12" w:rsidRPr="0026653F" w:rsidRDefault="00293B12" w:rsidP="00C618DD">
      <w:pPr>
        <w:suppressAutoHyphens/>
        <w:rPr>
          <w:bCs/>
          <w:szCs w:val="22"/>
          <w:lang w:val="fr-FR"/>
        </w:rPr>
      </w:pPr>
    </w:p>
    <w:p w14:paraId="10113DB5" w14:textId="77777777" w:rsidR="00293B12" w:rsidRPr="0026653F" w:rsidRDefault="00293B12" w:rsidP="00C618DD">
      <w:pPr>
        <w:numPr>
          <w:ilvl w:val="0"/>
          <w:numId w:val="43"/>
        </w:numPr>
        <w:suppressAutoHyphens/>
        <w:ind w:left="0" w:firstLine="720"/>
        <w:rPr>
          <w:bCs/>
          <w:szCs w:val="22"/>
          <w:lang w:val="fr-FR"/>
        </w:rPr>
      </w:pPr>
      <w:r w:rsidRPr="0026653F">
        <w:rPr>
          <w:bCs/>
          <w:szCs w:val="22"/>
          <w:lang w:val="fr-FR"/>
        </w:rPr>
        <w:t xml:space="preserve">De charger le Secrétariat général d’élaborer et de présenter, par l’intermédiaire du SSM, un rapport à la CSH au cours du premier semestre de 2021 sur les activités menées par les États </w:t>
      </w:r>
      <w:r w:rsidRPr="0026653F">
        <w:rPr>
          <w:bCs/>
          <w:szCs w:val="22"/>
          <w:lang w:val="fr-FR"/>
        </w:rPr>
        <w:lastRenderedPageBreak/>
        <w:t xml:space="preserve">membres des Caraïbes et le Secrétariat général de l’OEA pour </w:t>
      </w:r>
      <w:r w:rsidRPr="0026653F">
        <w:rPr>
          <w:szCs w:val="22"/>
          <w:lang w:val="fr-FR"/>
        </w:rPr>
        <w:t>aborder les incidences du changement climatique</w:t>
      </w:r>
      <w:r w:rsidRPr="0026653F">
        <w:rPr>
          <w:bCs/>
          <w:szCs w:val="22"/>
          <w:lang w:val="fr-FR"/>
        </w:rPr>
        <w:t xml:space="preserve"> en matière de sécurité.</w:t>
      </w:r>
    </w:p>
    <w:p w14:paraId="0078F0FF" w14:textId="77777777" w:rsidR="00293B12" w:rsidRPr="0026653F" w:rsidRDefault="00293B12" w:rsidP="00C618DD">
      <w:pPr>
        <w:suppressAutoHyphens/>
        <w:rPr>
          <w:bCs/>
          <w:color w:val="000000"/>
          <w:szCs w:val="22"/>
          <w:lang w:val="fr-FR" w:eastAsia="es-ES_tradnl"/>
        </w:rPr>
      </w:pPr>
    </w:p>
    <w:p w14:paraId="3AC20881" w14:textId="510D5146" w:rsidR="00293B12" w:rsidRPr="0026653F" w:rsidRDefault="00293B12" w:rsidP="00C618DD">
      <w:pPr>
        <w:numPr>
          <w:ilvl w:val="0"/>
          <w:numId w:val="24"/>
        </w:numPr>
        <w:suppressAutoHyphens/>
        <w:ind w:left="720"/>
        <w:rPr>
          <w:rFonts w:eastAsia="SimSun"/>
          <w:color w:val="000000"/>
          <w:szCs w:val="22"/>
          <w:u w:val="single"/>
          <w:lang w:val="fr-FR"/>
        </w:rPr>
      </w:pPr>
      <w:r w:rsidRPr="0026653F">
        <w:rPr>
          <w:bCs/>
          <w:color w:val="000000"/>
          <w:szCs w:val="22"/>
          <w:u w:val="single"/>
          <w:lang w:val="fr-FR"/>
        </w:rPr>
        <w:t>Interventions en cas de catastrophe et p</w:t>
      </w:r>
      <w:r w:rsidRPr="0026653F">
        <w:rPr>
          <w:color w:val="000000"/>
          <w:szCs w:val="22"/>
          <w:u w:val="single"/>
          <w:lang w:val="fr-FR"/>
        </w:rPr>
        <w:t>rotection des infrastructures essentielles</w:t>
      </w:r>
    </w:p>
    <w:p w14:paraId="40CD1A9A" w14:textId="77777777" w:rsidR="00293B12" w:rsidRPr="0026653F" w:rsidRDefault="00293B12" w:rsidP="00C618DD">
      <w:pPr>
        <w:suppressAutoHyphens/>
        <w:rPr>
          <w:bCs/>
          <w:color w:val="000000"/>
          <w:szCs w:val="22"/>
          <w:u w:val="single"/>
          <w:lang w:val="fr-FR"/>
        </w:rPr>
      </w:pPr>
    </w:p>
    <w:p w14:paraId="17824DCE" w14:textId="77767B20" w:rsidR="00293B12" w:rsidRPr="0026653F" w:rsidRDefault="00293B12" w:rsidP="00C618DD">
      <w:pPr>
        <w:numPr>
          <w:ilvl w:val="0"/>
          <w:numId w:val="44"/>
        </w:numPr>
        <w:suppressAutoHyphens/>
        <w:rPr>
          <w:color w:val="000000"/>
          <w:szCs w:val="22"/>
          <w:lang w:val="fr-FR"/>
        </w:rPr>
      </w:pPr>
      <w:r w:rsidRPr="0026653F">
        <w:rPr>
          <w:color w:val="000000"/>
          <w:szCs w:val="22"/>
          <w:lang w:val="fr-FR"/>
        </w:rPr>
        <w:t xml:space="preserve">D’encourager les États membres, dans le cadre de la CSH, à intensifier </w:t>
      </w:r>
      <w:r w:rsidR="0010600F" w:rsidRPr="0026653F">
        <w:rPr>
          <w:color w:val="000000"/>
          <w:szCs w:val="22"/>
          <w:lang w:val="fr-FR"/>
        </w:rPr>
        <w:t>l</w:t>
      </w:r>
      <w:r w:rsidRPr="0026653F">
        <w:rPr>
          <w:color w:val="000000"/>
          <w:szCs w:val="22"/>
          <w:lang w:val="fr-FR"/>
        </w:rPr>
        <w:t xml:space="preserve">es efforts destinés à améliorer la protection des infrastructures essentielles contre </w:t>
      </w:r>
      <w:r w:rsidR="0010600F" w:rsidRPr="0026653F">
        <w:rPr>
          <w:color w:val="000000"/>
          <w:szCs w:val="22"/>
          <w:lang w:val="fr-FR"/>
        </w:rPr>
        <w:t xml:space="preserve">toute </w:t>
      </w:r>
      <w:r w:rsidRPr="0026653F">
        <w:rPr>
          <w:color w:val="000000"/>
          <w:szCs w:val="22"/>
          <w:lang w:val="fr-FR"/>
        </w:rPr>
        <w:t xml:space="preserve">menace et à partager leurs stratégies, politiques, pratiques </w:t>
      </w:r>
      <w:r w:rsidR="0010600F" w:rsidRPr="0026653F">
        <w:rPr>
          <w:color w:val="000000"/>
          <w:szCs w:val="22"/>
          <w:lang w:val="fr-FR"/>
        </w:rPr>
        <w:t xml:space="preserve">optimales </w:t>
      </w:r>
      <w:r w:rsidRPr="0026653F">
        <w:rPr>
          <w:color w:val="000000"/>
          <w:szCs w:val="22"/>
          <w:lang w:val="fr-FR"/>
        </w:rPr>
        <w:t xml:space="preserve">et </w:t>
      </w:r>
      <w:r w:rsidR="0010600F" w:rsidRPr="0026653F">
        <w:rPr>
          <w:color w:val="000000"/>
          <w:szCs w:val="22"/>
          <w:lang w:val="fr-FR"/>
        </w:rPr>
        <w:t xml:space="preserve">conclusions </w:t>
      </w:r>
      <w:r w:rsidRPr="0026653F">
        <w:rPr>
          <w:color w:val="000000"/>
          <w:szCs w:val="22"/>
          <w:lang w:val="fr-FR"/>
        </w:rPr>
        <w:t>respectives</w:t>
      </w:r>
      <w:r w:rsidR="0010600F" w:rsidRPr="0026653F">
        <w:rPr>
          <w:color w:val="000000"/>
          <w:szCs w:val="22"/>
          <w:lang w:val="fr-FR"/>
        </w:rPr>
        <w:t xml:space="preserve">, </w:t>
      </w:r>
      <w:r w:rsidRPr="0026653F">
        <w:rPr>
          <w:color w:val="000000"/>
          <w:szCs w:val="22"/>
          <w:lang w:val="fr-FR"/>
        </w:rPr>
        <w:t xml:space="preserve">à </w:t>
      </w:r>
      <w:r w:rsidR="0010600F" w:rsidRPr="0026653F">
        <w:rPr>
          <w:color w:val="000000"/>
          <w:szCs w:val="22"/>
          <w:lang w:val="fr-FR"/>
        </w:rPr>
        <w:t>maîtriser collectivement le vocabulaire essentiel relatif à la protection des infra</w:t>
      </w:r>
      <w:r w:rsidRPr="0026653F">
        <w:rPr>
          <w:color w:val="000000"/>
          <w:szCs w:val="22"/>
          <w:lang w:val="fr-FR"/>
        </w:rPr>
        <w:t xml:space="preserve">structures essentielles et </w:t>
      </w:r>
      <w:r w:rsidR="0010600F" w:rsidRPr="0026653F">
        <w:rPr>
          <w:color w:val="000000"/>
          <w:szCs w:val="22"/>
          <w:lang w:val="fr-FR"/>
        </w:rPr>
        <w:t xml:space="preserve">à </w:t>
      </w:r>
      <w:r w:rsidRPr="0026653F">
        <w:rPr>
          <w:color w:val="000000"/>
          <w:szCs w:val="22"/>
          <w:lang w:val="fr-FR"/>
        </w:rPr>
        <w:t>l’identification correspondante des secteurs d</w:t>
      </w:r>
      <w:r w:rsidR="006D4175" w:rsidRPr="0026653F">
        <w:rPr>
          <w:color w:val="000000"/>
          <w:szCs w:val="22"/>
          <w:lang w:val="fr-FR"/>
        </w:rPr>
        <w:t xml:space="preserve">es </w:t>
      </w:r>
      <w:r w:rsidRPr="0026653F">
        <w:rPr>
          <w:color w:val="000000"/>
          <w:szCs w:val="22"/>
          <w:lang w:val="fr-FR"/>
        </w:rPr>
        <w:t>infrastructures essentielles</w:t>
      </w:r>
      <w:r w:rsidR="0010600F" w:rsidRPr="0026653F">
        <w:rPr>
          <w:color w:val="000000"/>
          <w:szCs w:val="22"/>
          <w:lang w:val="fr-FR"/>
        </w:rPr>
        <w:t xml:space="preserve">, </w:t>
      </w:r>
      <w:r w:rsidRPr="0026653F">
        <w:rPr>
          <w:color w:val="000000"/>
          <w:szCs w:val="22"/>
          <w:lang w:val="fr-FR"/>
        </w:rPr>
        <w:t xml:space="preserve">à </w:t>
      </w:r>
      <w:r w:rsidR="0010600F" w:rsidRPr="0026653F">
        <w:rPr>
          <w:color w:val="000000"/>
          <w:szCs w:val="22"/>
          <w:lang w:val="fr-FR"/>
        </w:rPr>
        <w:t xml:space="preserve">formuler </w:t>
      </w:r>
      <w:r w:rsidRPr="0026653F">
        <w:rPr>
          <w:color w:val="000000"/>
          <w:szCs w:val="22"/>
          <w:lang w:val="fr-FR"/>
        </w:rPr>
        <w:t xml:space="preserve">des </w:t>
      </w:r>
      <w:r w:rsidR="0010600F" w:rsidRPr="0026653F">
        <w:rPr>
          <w:color w:val="000000"/>
          <w:szCs w:val="22"/>
          <w:lang w:val="fr-FR"/>
        </w:rPr>
        <w:t>considérations sur l</w:t>
      </w:r>
      <w:r w:rsidRPr="0026653F">
        <w:rPr>
          <w:color w:val="000000"/>
          <w:szCs w:val="22"/>
          <w:lang w:val="fr-FR"/>
        </w:rPr>
        <w:t xml:space="preserve">es approches correspondantes </w:t>
      </w:r>
      <w:r w:rsidR="0010600F" w:rsidRPr="0026653F">
        <w:rPr>
          <w:color w:val="000000"/>
          <w:szCs w:val="22"/>
          <w:lang w:val="fr-FR"/>
        </w:rPr>
        <w:t>d</w:t>
      </w:r>
      <w:r w:rsidRPr="0026653F">
        <w:rPr>
          <w:color w:val="000000"/>
          <w:szCs w:val="22"/>
          <w:lang w:val="fr-FR"/>
        </w:rPr>
        <w:t xml:space="preserve">’identification, </w:t>
      </w:r>
      <w:r w:rsidR="0010600F" w:rsidRPr="0026653F">
        <w:rPr>
          <w:color w:val="000000"/>
          <w:szCs w:val="22"/>
          <w:lang w:val="fr-FR"/>
        </w:rPr>
        <w:t>d</w:t>
      </w:r>
      <w:r w:rsidRPr="0026653F">
        <w:rPr>
          <w:color w:val="000000"/>
          <w:szCs w:val="22"/>
          <w:lang w:val="fr-FR"/>
        </w:rPr>
        <w:t xml:space="preserve">’évaluation et </w:t>
      </w:r>
      <w:r w:rsidR="0010600F" w:rsidRPr="0026653F">
        <w:rPr>
          <w:color w:val="000000"/>
          <w:szCs w:val="22"/>
          <w:lang w:val="fr-FR"/>
        </w:rPr>
        <w:t>de</w:t>
      </w:r>
      <w:r w:rsidRPr="0026653F">
        <w:rPr>
          <w:color w:val="000000"/>
          <w:szCs w:val="22"/>
          <w:lang w:val="fr-FR"/>
        </w:rPr>
        <w:t xml:space="preserve"> gestion des risques </w:t>
      </w:r>
      <w:r w:rsidR="006D4175" w:rsidRPr="0026653F">
        <w:rPr>
          <w:color w:val="000000"/>
          <w:szCs w:val="22"/>
          <w:lang w:val="fr-FR"/>
        </w:rPr>
        <w:t>pour les</w:t>
      </w:r>
      <w:r w:rsidRPr="0026653F">
        <w:rPr>
          <w:color w:val="000000"/>
          <w:szCs w:val="22"/>
          <w:lang w:val="fr-FR"/>
        </w:rPr>
        <w:t xml:space="preserve"> infrastructures essentielles</w:t>
      </w:r>
      <w:r w:rsidR="0010600F" w:rsidRPr="0026653F">
        <w:rPr>
          <w:color w:val="000000"/>
          <w:szCs w:val="22"/>
          <w:lang w:val="fr-FR"/>
        </w:rPr>
        <w:t xml:space="preserve">, </w:t>
      </w:r>
      <w:r w:rsidRPr="0026653F">
        <w:rPr>
          <w:color w:val="000000"/>
          <w:szCs w:val="22"/>
          <w:lang w:val="fr-FR"/>
        </w:rPr>
        <w:t xml:space="preserve">enfin, à </w:t>
      </w:r>
      <w:r w:rsidR="0010600F" w:rsidRPr="0026653F">
        <w:rPr>
          <w:color w:val="000000"/>
          <w:szCs w:val="22"/>
          <w:lang w:val="fr-FR"/>
        </w:rPr>
        <w:t>tenir des échanges concernant l</w:t>
      </w:r>
      <w:r w:rsidRPr="0026653F">
        <w:rPr>
          <w:color w:val="000000"/>
          <w:szCs w:val="22"/>
          <w:lang w:val="fr-FR"/>
        </w:rPr>
        <w:t>eurs mécanismes respectifs d’intervention et de reconstruction.</w:t>
      </w:r>
    </w:p>
    <w:p w14:paraId="7CEF92BA" w14:textId="77777777" w:rsidR="00293B12" w:rsidRPr="0026653F" w:rsidRDefault="00293B12" w:rsidP="00C618DD">
      <w:pPr>
        <w:suppressAutoHyphens/>
        <w:jc w:val="left"/>
        <w:rPr>
          <w:color w:val="000000"/>
          <w:szCs w:val="22"/>
          <w:lang w:val="fr-FR"/>
        </w:rPr>
      </w:pPr>
    </w:p>
    <w:p w14:paraId="0DDCE0EF" w14:textId="06F3CADE" w:rsidR="00293B12" w:rsidRPr="0026653F" w:rsidRDefault="00293B12" w:rsidP="00C618DD">
      <w:pPr>
        <w:numPr>
          <w:ilvl w:val="0"/>
          <w:numId w:val="44"/>
        </w:numPr>
        <w:suppressAutoHyphens/>
        <w:rPr>
          <w:color w:val="000000"/>
          <w:szCs w:val="22"/>
          <w:lang w:val="fr-FR"/>
        </w:rPr>
      </w:pPr>
      <w:r w:rsidRPr="0026653F">
        <w:rPr>
          <w:color w:val="000000"/>
          <w:szCs w:val="22"/>
          <w:lang w:val="fr-FR" w:eastAsia="es-ES_tradnl"/>
        </w:rPr>
        <w:t>De charger le Secrétariat général, par l’intermédiaire du S</w:t>
      </w:r>
      <w:r w:rsidR="009A5356" w:rsidRPr="0026653F">
        <w:rPr>
          <w:color w:val="000000"/>
          <w:szCs w:val="22"/>
          <w:lang w:val="fr-FR" w:eastAsia="es-ES_tradnl"/>
        </w:rPr>
        <w:t xml:space="preserve">SM </w:t>
      </w:r>
      <w:r w:rsidRPr="0026653F">
        <w:rPr>
          <w:color w:val="000000"/>
          <w:szCs w:val="22"/>
          <w:lang w:val="fr-FR" w:eastAsia="es-ES_tradnl"/>
        </w:rPr>
        <w:t>et du S</w:t>
      </w:r>
      <w:r w:rsidR="004E59C4" w:rsidRPr="0026653F">
        <w:rPr>
          <w:color w:val="000000"/>
          <w:szCs w:val="22"/>
          <w:lang w:val="fr-FR" w:eastAsia="es-ES_tradnl"/>
        </w:rPr>
        <w:t>ecrétariat exécutif au développement intégré (S</w:t>
      </w:r>
      <w:r w:rsidRPr="0026653F">
        <w:rPr>
          <w:color w:val="000000"/>
          <w:szCs w:val="22"/>
          <w:lang w:val="fr-FR" w:eastAsia="es-ES_tradnl"/>
        </w:rPr>
        <w:t>EDI</w:t>
      </w:r>
      <w:r w:rsidR="004E59C4" w:rsidRPr="0026653F">
        <w:rPr>
          <w:color w:val="000000"/>
          <w:szCs w:val="22"/>
          <w:lang w:val="fr-FR" w:eastAsia="es-ES_tradnl"/>
        </w:rPr>
        <w:t>)</w:t>
      </w:r>
      <w:r w:rsidRPr="0026653F">
        <w:rPr>
          <w:color w:val="000000"/>
          <w:szCs w:val="22"/>
          <w:lang w:val="fr-FR" w:eastAsia="es-ES_tradnl"/>
        </w:rPr>
        <w:t>, d’achever l’élaboration d’un modèle de stratégie nationale sur la protection des infrastructures essentielles en cas de catastrophe naturelle, conformément au mandat établi au paragraphe 89 de la résolution AG/RES. 2925 (XLVIII-O/18), puis de présenter, en 2021, un projet aux États membres aux fins d’examen</w:t>
      </w:r>
      <w:r w:rsidRPr="0026653F">
        <w:rPr>
          <w:bCs/>
          <w:color w:val="000000"/>
          <w:szCs w:val="22"/>
          <w:lang w:val="fr-FR" w:eastAsia="es-ES_tradnl"/>
        </w:rPr>
        <w:t xml:space="preserve">, et de demander </w:t>
      </w:r>
      <w:r w:rsidR="00247056" w:rsidRPr="0026653F">
        <w:rPr>
          <w:bCs/>
          <w:color w:val="000000"/>
          <w:szCs w:val="22"/>
          <w:lang w:val="fr-FR" w:eastAsia="es-ES_tradnl"/>
        </w:rPr>
        <w:t xml:space="preserve">aux </w:t>
      </w:r>
      <w:r w:rsidRPr="0026653F">
        <w:rPr>
          <w:bCs/>
          <w:color w:val="000000"/>
          <w:szCs w:val="22"/>
          <w:lang w:val="fr-FR" w:eastAsia="es-ES_tradnl"/>
        </w:rPr>
        <w:t xml:space="preserve">États membres </w:t>
      </w:r>
      <w:r w:rsidR="00247056" w:rsidRPr="0026653F">
        <w:rPr>
          <w:bCs/>
          <w:color w:val="000000"/>
          <w:szCs w:val="22"/>
          <w:lang w:val="fr-FR" w:eastAsia="es-ES_tradnl"/>
        </w:rPr>
        <w:t>d’</w:t>
      </w:r>
      <w:r w:rsidRPr="0026653F">
        <w:rPr>
          <w:bCs/>
          <w:color w:val="000000"/>
          <w:szCs w:val="22"/>
          <w:lang w:val="fr-FR" w:eastAsia="es-ES_tradnl"/>
        </w:rPr>
        <w:t>envisage</w:t>
      </w:r>
      <w:r w:rsidR="00247056" w:rsidRPr="0026653F">
        <w:rPr>
          <w:bCs/>
          <w:color w:val="000000"/>
          <w:szCs w:val="22"/>
          <w:lang w:val="fr-FR" w:eastAsia="es-ES_tradnl"/>
        </w:rPr>
        <w:t>r</w:t>
      </w:r>
      <w:r w:rsidRPr="0026653F">
        <w:rPr>
          <w:bCs/>
          <w:color w:val="000000"/>
          <w:szCs w:val="22"/>
          <w:lang w:val="fr-FR" w:eastAsia="es-ES_tradnl"/>
        </w:rPr>
        <w:t xml:space="preserve"> la possibilité de fournir, volontairement et dans la mesure de leurs capacités nationales, des ressources ou des connaissances techniques spécialisées </w:t>
      </w:r>
      <w:r w:rsidRPr="0026653F">
        <w:rPr>
          <w:color w:val="000000"/>
          <w:szCs w:val="22"/>
          <w:lang w:val="fr-FR"/>
        </w:rPr>
        <w:t>et d</w:t>
      </w:r>
      <w:r w:rsidR="009A5356" w:rsidRPr="0026653F">
        <w:rPr>
          <w:color w:val="000000"/>
          <w:szCs w:val="22"/>
          <w:lang w:val="fr-FR"/>
        </w:rPr>
        <w:t xml:space="preserve">e transmettre leurs </w:t>
      </w:r>
      <w:r w:rsidRPr="0026653F">
        <w:rPr>
          <w:color w:val="000000"/>
          <w:szCs w:val="22"/>
          <w:lang w:val="fr-FR"/>
        </w:rPr>
        <w:t xml:space="preserve">questionnaires dès que possible </w:t>
      </w:r>
      <w:r w:rsidRPr="0026653F">
        <w:rPr>
          <w:bCs/>
          <w:color w:val="000000"/>
          <w:szCs w:val="22"/>
          <w:lang w:val="fr-FR"/>
        </w:rPr>
        <w:t xml:space="preserve">pour </w:t>
      </w:r>
      <w:r w:rsidRPr="0026653F">
        <w:rPr>
          <w:color w:val="000000"/>
          <w:szCs w:val="22"/>
          <w:lang w:val="fr-FR"/>
        </w:rPr>
        <w:t>terminer</w:t>
      </w:r>
      <w:r w:rsidRPr="0026653F">
        <w:rPr>
          <w:bCs/>
          <w:color w:val="000000"/>
          <w:szCs w:val="22"/>
          <w:lang w:val="fr-FR" w:eastAsia="es-ES_tradnl"/>
        </w:rPr>
        <w:t xml:space="preserve"> l’exécution de ce mandat</w:t>
      </w:r>
      <w:r w:rsidRPr="0026653F">
        <w:rPr>
          <w:color w:val="000000"/>
          <w:szCs w:val="22"/>
          <w:lang w:val="fr-FR" w:eastAsia="es-ES_tradnl"/>
        </w:rPr>
        <w:t>.</w:t>
      </w:r>
    </w:p>
    <w:p w14:paraId="6DADF1EF" w14:textId="77777777" w:rsidR="00293B12" w:rsidRPr="0026653F" w:rsidRDefault="00293B12" w:rsidP="00C618DD">
      <w:pPr>
        <w:suppressAutoHyphens/>
        <w:rPr>
          <w:color w:val="000000"/>
          <w:szCs w:val="22"/>
          <w:u w:val="single"/>
          <w:lang w:val="fr-FR"/>
        </w:rPr>
      </w:pPr>
    </w:p>
    <w:p w14:paraId="4527581B" w14:textId="77777777" w:rsidR="00293B12" w:rsidRPr="0026653F" w:rsidRDefault="00293B12" w:rsidP="00C618DD">
      <w:pPr>
        <w:numPr>
          <w:ilvl w:val="0"/>
          <w:numId w:val="24"/>
        </w:numPr>
        <w:suppressAutoHyphens/>
        <w:ind w:left="720"/>
        <w:rPr>
          <w:color w:val="000000"/>
          <w:szCs w:val="22"/>
          <w:u w:val="single"/>
          <w:lang w:val="fr-FR"/>
        </w:rPr>
      </w:pPr>
      <w:r w:rsidRPr="0026653F">
        <w:rPr>
          <w:color w:val="000000"/>
          <w:szCs w:val="22"/>
          <w:u w:val="single"/>
          <w:lang w:val="fr-FR"/>
        </w:rPr>
        <w:t>Institutions et instruments interaméricains</w:t>
      </w:r>
    </w:p>
    <w:p w14:paraId="116BEE6F" w14:textId="77777777" w:rsidR="00293B12" w:rsidRPr="0026653F" w:rsidRDefault="00293B12" w:rsidP="00C618DD">
      <w:pPr>
        <w:suppressAutoHyphens/>
        <w:rPr>
          <w:rFonts w:eastAsia="MS Mincho"/>
          <w:color w:val="000000"/>
          <w:szCs w:val="22"/>
          <w:lang w:val="fr-FR"/>
        </w:rPr>
      </w:pPr>
    </w:p>
    <w:p w14:paraId="74A6DE01" w14:textId="77777777" w:rsidR="00293B12" w:rsidRPr="0026653F" w:rsidRDefault="00293B12" w:rsidP="00C618DD">
      <w:pPr>
        <w:numPr>
          <w:ilvl w:val="0"/>
          <w:numId w:val="6"/>
        </w:numPr>
        <w:suppressAutoHyphens/>
        <w:ind w:firstLine="0"/>
        <w:rPr>
          <w:color w:val="000000"/>
          <w:szCs w:val="22"/>
          <w:u w:val="single"/>
          <w:lang w:val="fr-FR"/>
        </w:rPr>
      </w:pPr>
      <w:r w:rsidRPr="0026653F">
        <w:rPr>
          <w:color w:val="000000"/>
          <w:szCs w:val="22"/>
          <w:u w:val="single"/>
          <w:lang w:val="fr-FR"/>
        </w:rPr>
        <w:t>Instruments juridiques interaméricains</w:t>
      </w:r>
    </w:p>
    <w:p w14:paraId="409FC9B8" w14:textId="77777777" w:rsidR="00293B12" w:rsidRPr="0026653F" w:rsidRDefault="00293B12" w:rsidP="00C618DD">
      <w:pPr>
        <w:suppressAutoHyphens/>
        <w:rPr>
          <w:rFonts w:eastAsia="Batang"/>
          <w:bCs/>
          <w:color w:val="000000"/>
          <w:szCs w:val="22"/>
          <w:u w:val="single"/>
          <w:lang w:val="fr-FR" w:eastAsia="es-ES_tradnl"/>
        </w:rPr>
      </w:pPr>
    </w:p>
    <w:p w14:paraId="4D0A6D56" w14:textId="79924431" w:rsidR="00293B12" w:rsidRPr="00116563" w:rsidRDefault="00293B12" w:rsidP="00C618DD">
      <w:pPr>
        <w:numPr>
          <w:ilvl w:val="0"/>
          <w:numId w:val="45"/>
        </w:numPr>
        <w:suppressAutoHyphens/>
        <w:ind w:left="0" w:firstLine="709"/>
        <w:rPr>
          <w:rFonts w:eastAsia="Batang"/>
          <w:color w:val="000000"/>
          <w:szCs w:val="22"/>
          <w:lang w:val="fr-FR" w:eastAsia="es-ES_tradnl"/>
        </w:rPr>
      </w:pPr>
      <w:r w:rsidRPr="0026653F">
        <w:rPr>
          <w:color w:val="000000"/>
          <w:szCs w:val="22"/>
          <w:lang w:val="fr-FR"/>
        </w:rPr>
        <w:t xml:space="preserve">De demander </w:t>
      </w:r>
      <w:r w:rsidRPr="0026653F">
        <w:rPr>
          <w:bCs/>
          <w:color w:val="000000"/>
          <w:szCs w:val="22"/>
          <w:lang w:val="fr-FR"/>
        </w:rPr>
        <w:t>au</w:t>
      </w:r>
      <w:r w:rsidRPr="0026653F">
        <w:rPr>
          <w:color w:val="000000"/>
          <w:szCs w:val="22"/>
          <w:lang w:val="fr-FR"/>
        </w:rPr>
        <w:t xml:space="preserve"> Secrétariat aux questions juridiques, par l’intermédiaire du Département du droit international, de fournir un soutien et une assistance juridiques aux secrétariats techniques des conventions interaméricaines </w:t>
      </w:r>
      <w:r w:rsidR="009A5356" w:rsidRPr="0026653F">
        <w:rPr>
          <w:color w:val="000000"/>
          <w:szCs w:val="22"/>
          <w:lang w:val="fr-FR"/>
        </w:rPr>
        <w:t xml:space="preserve">portant </w:t>
      </w:r>
      <w:r w:rsidRPr="0026653F">
        <w:rPr>
          <w:color w:val="000000"/>
          <w:szCs w:val="22"/>
          <w:lang w:val="fr-FR"/>
        </w:rPr>
        <w:t>sur les questions de sécurité.</w:t>
      </w:r>
    </w:p>
    <w:p w14:paraId="24115FC0" w14:textId="77777777" w:rsidR="00293B12" w:rsidRPr="0026653F" w:rsidRDefault="00293B12" w:rsidP="00C618DD">
      <w:pPr>
        <w:suppressAutoHyphens/>
        <w:jc w:val="left"/>
        <w:rPr>
          <w:rFonts w:eastAsia="Batang"/>
          <w:bCs/>
          <w:color w:val="000000"/>
          <w:szCs w:val="22"/>
          <w:u w:val="single"/>
          <w:lang w:val="fr-FR" w:eastAsia="es-ES_tradnl"/>
        </w:rPr>
      </w:pPr>
    </w:p>
    <w:p w14:paraId="4993049E" w14:textId="51BA515B" w:rsidR="00293B12" w:rsidRPr="0026653F" w:rsidRDefault="00293B12" w:rsidP="00C618DD">
      <w:pPr>
        <w:numPr>
          <w:ilvl w:val="0"/>
          <w:numId w:val="45"/>
        </w:numPr>
        <w:suppressAutoHyphens/>
        <w:ind w:left="0"/>
        <w:rPr>
          <w:color w:val="000000"/>
          <w:szCs w:val="22"/>
          <w:lang w:val="fr-FR"/>
        </w:rPr>
      </w:pPr>
      <w:r w:rsidRPr="0026653F">
        <w:rPr>
          <w:iCs/>
          <w:color w:val="000000"/>
          <w:szCs w:val="22"/>
          <w:bdr w:val="none" w:sz="0" w:space="0" w:color="auto" w:frame="1"/>
          <w:shd w:val="clear" w:color="auto" w:fill="FFFFFF"/>
          <w:lang w:val="fr-FR"/>
        </w:rPr>
        <w:t xml:space="preserve">D’inviter les États membres qui ne </w:t>
      </w:r>
      <w:r w:rsidR="009A5356" w:rsidRPr="0026653F">
        <w:rPr>
          <w:iCs/>
          <w:color w:val="000000"/>
          <w:szCs w:val="22"/>
          <w:bdr w:val="none" w:sz="0" w:space="0" w:color="auto" w:frame="1"/>
          <w:shd w:val="clear" w:color="auto" w:fill="FFFFFF"/>
          <w:lang w:val="fr-FR"/>
        </w:rPr>
        <w:t xml:space="preserve">l’ont </w:t>
      </w:r>
      <w:r w:rsidRPr="0026653F">
        <w:rPr>
          <w:iCs/>
          <w:color w:val="000000"/>
          <w:szCs w:val="22"/>
          <w:bdr w:val="none" w:sz="0" w:space="0" w:color="auto" w:frame="1"/>
          <w:shd w:val="clear" w:color="auto" w:fill="FFFFFF"/>
          <w:lang w:val="fr-FR"/>
        </w:rPr>
        <w:t xml:space="preserve">pas encore fait à envisager de ratifier </w:t>
      </w:r>
      <w:r w:rsidR="0038518A" w:rsidRPr="0026653F">
        <w:rPr>
          <w:iCs/>
          <w:color w:val="000000"/>
          <w:szCs w:val="22"/>
          <w:bdr w:val="none" w:sz="0" w:space="0" w:color="auto" w:frame="1"/>
          <w:shd w:val="clear" w:color="auto" w:fill="FFFFFF"/>
          <w:lang w:val="fr-FR"/>
        </w:rPr>
        <w:t>l’</w:t>
      </w:r>
      <w:r w:rsidR="0038518A" w:rsidRPr="0026653F">
        <w:rPr>
          <w:szCs w:val="22"/>
          <w:lang w:val="fr-FR"/>
        </w:rPr>
        <w:t xml:space="preserve">Accord concernant la coopération en vue de la répression du trafic illicite maritime et aérien de stupéfiants et de substances psychotropes dans la région des Caraïbes (Accord de San José), </w:t>
      </w:r>
      <w:r w:rsidRPr="0026653F">
        <w:rPr>
          <w:iCs/>
          <w:color w:val="000000"/>
          <w:szCs w:val="22"/>
          <w:bdr w:val="none" w:sz="0" w:space="0" w:color="auto" w:frame="1"/>
          <w:shd w:val="clear" w:color="auto" w:fill="FFFFFF"/>
          <w:lang w:val="fr-FR"/>
        </w:rPr>
        <w:t xml:space="preserve">ou d’y adhérer, dans le cadre des efforts déployés en la matière à </w:t>
      </w:r>
      <w:r w:rsidR="009A5356" w:rsidRPr="0026653F">
        <w:rPr>
          <w:iCs/>
          <w:color w:val="000000"/>
          <w:szCs w:val="22"/>
          <w:bdr w:val="none" w:sz="0" w:space="0" w:color="auto" w:frame="1"/>
          <w:shd w:val="clear" w:color="auto" w:fill="FFFFFF"/>
          <w:lang w:val="fr-FR"/>
        </w:rPr>
        <w:t xml:space="preserve">travers le </w:t>
      </w:r>
      <w:r w:rsidRPr="0026653F">
        <w:rPr>
          <w:iCs/>
          <w:color w:val="000000"/>
          <w:szCs w:val="22"/>
          <w:bdr w:val="none" w:sz="0" w:space="0" w:color="auto" w:frame="1"/>
          <w:shd w:val="clear" w:color="auto" w:fill="FFFFFF"/>
          <w:lang w:val="fr-FR"/>
        </w:rPr>
        <w:t>continent américain.</w:t>
      </w:r>
    </w:p>
    <w:p w14:paraId="28250042" w14:textId="77777777" w:rsidR="00293B12" w:rsidRPr="0026653F" w:rsidRDefault="00293B12" w:rsidP="00C618DD">
      <w:pPr>
        <w:suppressAutoHyphens/>
        <w:rPr>
          <w:rFonts w:eastAsia="MS Mincho"/>
          <w:szCs w:val="22"/>
          <w:lang w:val="fr-FR"/>
        </w:rPr>
      </w:pPr>
    </w:p>
    <w:p w14:paraId="2E87BC2B" w14:textId="77777777" w:rsidR="00293B12" w:rsidRPr="0026653F" w:rsidRDefault="00293B12" w:rsidP="00C618DD">
      <w:pPr>
        <w:suppressAutoHyphens/>
        <w:ind w:left="720"/>
        <w:rPr>
          <w:rFonts w:eastAsia="MS Mincho"/>
          <w:color w:val="000000"/>
          <w:szCs w:val="22"/>
          <w:u w:val="single"/>
          <w:lang w:val="fr-FR" w:eastAsia="es-ES_tradnl"/>
        </w:rPr>
      </w:pPr>
      <w:r w:rsidRPr="0026653F">
        <w:rPr>
          <w:rFonts w:eastAsia="MS Mincho"/>
          <w:color w:val="000000"/>
          <w:szCs w:val="22"/>
          <w:u w:val="single"/>
          <w:lang w:val="fr-FR" w:eastAsia="es-ES_tradnl"/>
        </w:rPr>
        <w:t>Convention interaméricaine contre la fabrication et le trafic illicites d’armes à feu, de munitions, d’explosifs et d’autres matériels connexes (CIFTA)</w:t>
      </w:r>
    </w:p>
    <w:p w14:paraId="284A8F72" w14:textId="77777777" w:rsidR="00293B12" w:rsidRPr="0026653F" w:rsidRDefault="00293B12" w:rsidP="00C618DD">
      <w:pPr>
        <w:suppressAutoHyphens/>
        <w:rPr>
          <w:rFonts w:eastAsia="MS Mincho"/>
          <w:color w:val="000000"/>
          <w:szCs w:val="22"/>
          <w:u w:val="single"/>
          <w:lang w:val="fr-FR" w:eastAsia="es-ES_tradnl"/>
        </w:rPr>
      </w:pPr>
    </w:p>
    <w:p w14:paraId="4F6DC960" w14:textId="73CFFE6D" w:rsidR="00293B12" w:rsidRPr="0026653F" w:rsidRDefault="00293B12" w:rsidP="00C618DD">
      <w:pPr>
        <w:numPr>
          <w:ilvl w:val="0"/>
          <w:numId w:val="45"/>
        </w:numPr>
        <w:suppressAutoHyphens/>
        <w:ind w:left="0" w:firstLine="709"/>
        <w:rPr>
          <w:bCs/>
          <w:color w:val="000000"/>
          <w:szCs w:val="22"/>
          <w:lang w:val="fr-FR"/>
        </w:rPr>
      </w:pPr>
      <w:r w:rsidRPr="0026653F">
        <w:rPr>
          <w:bCs/>
          <w:color w:val="000000"/>
          <w:szCs w:val="22"/>
          <w:lang w:val="fr-FR"/>
        </w:rPr>
        <w:t xml:space="preserve">D’inviter les États </w:t>
      </w:r>
      <w:r w:rsidR="004E59C4" w:rsidRPr="0026653F">
        <w:rPr>
          <w:bCs/>
          <w:color w:val="000000"/>
          <w:szCs w:val="22"/>
          <w:lang w:val="fr-FR"/>
        </w:rPr>
        <w:t>membres</w:t>
      </w:r>
      <w:r w:rsidRPr="0026653F">
        <w:rPr>
          <w:bCs/>
          <w:color w:val="000000"/>
          <w:szCs w:val="22"/>
          <w:lang w:val="fr-FR"/>
        </w:rPr>
        <w:t xml:space="preserve"> qui ne l’ont pas encore fait à envisager d’adhérer à la CIFTA et à renforcer les mécanismes de coordination et de coopération pour consolider l’application efficace de la Convention.</w:t>
      </w:r>
    </w:p>
    <w:p w14:paraId="41D35439" w14:textId="77777777" w:rsidR="00293B12" w:rsidRPr="0026653F" w:rsidRDefault="00293B12" w:rsidP="00C618DD">
      <w:pPr>
        <w:suppressAutoHyphens/>
        <w:rPr>
          <w:bCs/>
          <w:color w:val="000000"/>
          <w:szCs w:val="22"/>
          <w:lang w:val="fr-FR"/>
        </w:rPr>
      </w:pPr>
    </w:p>
    <w:p w14:paraId="6352DB35" w14:textId="0D608ACB" w:rsidR="00293B12" w:rsidRPr="0026653F" w:rsidRDefault="00293B12" w:rsidP="00C618DD">
      <w:pPr>
        <w:numPr>
          <w:ilvl w:val="0"/>
          <w:numId w:val="45"/>
        </w:numPr>
        <w:suppressAutoHyphens/>
        <w:ind w:left="0" w:firstLine="709"/>
        <w:rPr>
          <w:bCs/>
          <w:color w:val="000000"/>
          <w:szCs w:val="22"/>
          <w:lang w:val="fr-FR"/>
        </w:rPr>
      </w:pPr>
      <w:r w:rsidRPr="0026653F">
        <w:rPr>
          <w:bCs/>
          <w:color w:val="000000"/>
          <w:szCs w:val="22"/>
          <w:lang w:val="fr-FR"/>
        </w:rPr>
        <w:t>D’inviter les États parties à progresser dans la mise en œuvre des « Orientations 2018-2022 pour le fonctionnement et l’application de la CIFTA » et à solliciter, le cas échéant, l’assistance technique et la coopération du Secrétariat général de l’OEA.</w:t>
      </w:r>
    </w:p>
    <w:p w14:paraId="7CB06B8C" w14:textId="77777777" w:rsidR="00293B12" w:rsidRPr="0026653F" w:rsidRDefault="00293B12" w:rsidP="00C618DD">
      <w:pPr>
        <w:suppressAutoHyphens/>
        <w:rPr>
          <w:bCs/>
          <w:color w:val="000000"/>
          <w:szCs w:val="22"/>
          <w:lang w:val="fr-FR"/>
        </w:rPr>
      </w:pPr>
    </w:p>
    <w:p w14:paraId="171ADE43" w14:textId="4BB95680" w:rsidR="00293B12" w:rsidRPr="0026653F" w:rsidRDefault="00293B12" w:rsidP="00C618DD">
      <w:pPr>
        <w:numPr>
          <w:ilvl w:val="0"/>
          <w:numId w:val="45"/>
        </w:numPr>
        <w:suppressAutoHyphens/>
        <w:ind w:left="0" w:firstLine="709"/>
        <w:rPr>
          <w:bCs/>
          <w:color w:val="000000"/>
          <w:szCs w:val="22"/>
          <w:lang w:val="fr-FR"/>
        </w:rPr>
      </w:pPr>
      <w:r w:rsidRPr="0026653F">
        <w:rPr>
          <w:bCs/>
          <w:color w:val="000000"/>
          <w:szCs w:val="22"/>
          <w:lang w:val="fr-FR"/>
        </w:rPr>
        <w:lastRenderedPageBreak/>
        <w:t>D’encourager les États membres, les observateurs permanents, les organisations internationales et la communauté internationale à verser des contributions volontaires au fonds fiduciaire volontaire dédié à l’amélioration des activités et du fonctionnement des mécanismes établis aux termes de la CIFTA.</w:t>
      </w:r>
    </w:p>
    <w:p w14:paraId="7CCD6250" w14:textId="77777777" w:rsidR="00293B12" w:rsidRPr="0026653F" w:rsidRDefault="00293B12" w:rsidP="00C618DD">
      <w:pPr>
        <w:suppressAutoHyphens/>
        <w:jc w:val="left"/>
        <w:rPr>
          <w:bCs/>
          <w:color w:val="000000"/>
          <w:szCs w:val="22"/>
          <w:lang w:val="fr-FR"/>
        </w:rPr>
      </w:pPr>
    </w:p>
    <w:p w14:paraId="6E419D2F" w14:textId="203854A7" w:rsidR="00293B12" w:rsidRPr="0026653F" w:rsidRDefault="00293B12" w:rsidP="00C618DD">
      <w:pPr>
        <w:numPr>
          <w:ilvl w:val="0"/>
          <w:numId w:val="45"/>
        </w:numPr>
        <w:suppressAutoHyphens/>
        <w:ind w:left="0" w:firstLine="709"/>
        <w:rPr>
          <w:bCs/>
          <w:color w:val="000000"/>
          <w:szCs w:val="22"/>
          <w:lang w:val="fr-FR"/>
        </w:rPr>
      </w:pPr>
      <w:r w:rsidRPr="0026653F">
        <w:rPr>
          <w:bCs/>
          <w:color w:val="000000"/>
          <w:szCs w:val="22"/>
          <w:lang w:val="fr-FR"/>
        </w:rPr>
        <w:t>De convoquer la vingtième réunion ordinaire du Comité consultatif de la CIFTA, en vertu de l’article XXI de la Convention, pour le second semestre de 2020, et de demander au Secrétariat technique de la CIFTA de soutenir les préparatifs et le suivi de cette réunion.</w:t>
      </w:r>
    </w:p>
    <w:p w14:paraId="6637F34E" w14:textId="77777777" w:rsidR="00293B12" w:rsidRPr="0026653F" w:rsidRDefault="00293B12" w:rsidP="00C618DD">
      <w:pPr>
        <w:suppressAutoHyphens/>
        <w:rPr>
          <w:bCs/>
          <w:color w:val="000000"/>
          <w:szCs w:val="22"/>
          <w:lang w:val="fr-FR"/>
        </w:rPr>
      </w:pPr>
    </w:p>
    <w:p w14:paraId="0B7DF272" w14:textId="77777777" w:rsidR="00293B12" w:rsidRPr="0026653F" w:rsidRDefault="00293B12" w:rsidP="00C618DD">
      <w:pPr>
        <w:numPr>
          <w:ilvl w:val="0"/>
          <w:numId w:val="45"/>
        </w:numPr>
        <w:suppressAutoHyphens/>
        <w:ind w:left="0" w:firstLine="709"/>
        <w:rPr>
          <w:bCs/>
          <w:color w:val="000000"/>
          <w:szCs w:val="22"/>
          <w:lang w:val="fr-FR"/>
        </w:rPr>
      </w:pPr>
      <w:r w:rsidRPr="0026653F">
        <w:rPr>
          <w:bCs/>
          <w:color w:val="000000"/>
          <w:szCs w:val="22"/>
          <w:lang w:val="fr-FR"/>
        </w:rPr>
        <w:t>De réaliser la Cinquième Conférence des États parties à la CIFTA au cours du premier semestre de 2021.</w:t>
      </w:r>
    </w:p>
    <w:p w14:paraId="79CAC398" w14:textId="77777777" w:rsidR="00293B12" w:rsidRPr="0026653F" w:rsidRDefault="00293B12" w:rsidP="00C618DD">
      <w:pPr>
        <w:suppressAutoHyphens/>
        <w:rPr>
          <w:rFonts w:eastAsia="MS Mincho"/>
          <w:color w:val="000000"/>
          <w:szCs w:val="22"/>
          <w:u w:val="single"/>
          <w:lang w:val="fr-FR" w:eastAsia="es-ES_tradnl"/>
        </w:rPr>
      </w:pPr>
    </w:p>
    <w:p w14:paraId="72BEA9A8" w14:textId="77777777" w:rsidR="00293B12" w:rsidRPr="0026653F" w:rsidRDefault="00293B12" w:rsidP="00C618DD">
      <w:pPr>
        <w:suppressAutoHyphens/>
        <w:ind w:left="720"/>
        <w:rPr>
          <w:color w:val="000000"/>
          <w:szCs w:val="22"/>
          <w:u w:val="single"/>
          <w:lang w:val="fr-FR" w:eastAsia="es-ES_tradnl"/>
        </w:rPr>
      </w:pPr>
      <w:r w:rsidRPr="0026653F">
        <w:rPr>
          <w:rFonts w:eastAsia="MS Mincho"/>
          <w:color w:val="000000"/>
          <w:szCs w:val="22"/>
          <w:u w:val="single"/>
          <w:lang w:val="fr-FR" w:eastAsia="es-ES_tradnl"/>
        </w:rPr>
        <w:t>Convention interaméricaine sur la transparence de l’acquisition des armes classiques (CITAAC)</w:t>
      </w:r>
    </w:p>
    <w:p w14:paraId="177F9396" w14:textId="77777777" w:rsidR="00293B12" w:rsidRPr="0026653F" w:rsidRDefault="00293B12" w:rsidP="00C618DD">
      <w:pPr>
        <w:suppressAutoHyphens/>
        <w:rPr>
          <w:color w:val="000000"/>
          <w:szCs w:val="22"/>
          <w:lang w:val="fr-FR"/>
        </w:rPr>
      </w:pPr>
    </w:p>
    <w:p w14:paraId="144D9738" w14:textId="3089E4FA" w:rsidR="00293B12" w:rsidRPr="0026653F" w:rsidRDefault="00293B12" w:rsidP="00C618DD">
      <w:pPr>
        <w:numPr>
          <w:ilvl w:val="0"/>
          <w:numId w:val="45"/>
        </w:numPr>
        <w:suppressAutoHyphens/>
        <w:ind w:left="0" w:firstLine="709"/>
        <w:rPr>
          <w:szCs w:val="22"/>
          <w:lang w:val="fr-FR"/>
        </w:rPr>
      </w:pPr>
      <w:r w:rsidRPr="0026653F">
        <w:rPr>
          <w:szCs w:val="22"/>
          <w:lang w:val="fr-FR"/>
        </w:rPr>
        <w:t>D’établir le mois de mars 2021 et le siège du Secrétariat général comme étant la date et le lieu de la Deuxième Conférence des États parties à la C</w:t>
      </w:r>
      <w:r w:rsidR="002C4C3D" w:rsidRPr="0026653F">
        <w:rPr>
          <w:szCs w:val="22"/>
          <w:lang w:val="fr-FR"/>
        </w:rPr>
        <w:t>ITAAC</w:t>
      </w:r>
      <w:r w:rsidRPr="0026653F">
        <w:rPr>
          <w:szCs w:val="22"/>
          <w:lang w:val="fr-FR"/>
        </w:rPr>
        <w:t xml:space="preserve">, conformément à l’article VIII de </w:t>
      </w:r>
      <w:r w:rsidR="002C4C3D" w:rsidRPr="0026653F">
        <w:rPr>
          <w:szCs w:val="22"/>
          <w:lang w:val="fr-FR"/>
        </w:rPr>
        <w:t xml:space="preserve">cet instrument </w:t>
      </w:r>
      <w:r w:rsidRPr="0026653F">
        <w:rPr>
          <w:szCs w:val="22"/>
          <w:lang w:val="fr-FR"/>
        </w:rPr>
        <w:t xml:space="preserve">et à la résolution AG/RES. 2809 (XLIII-O/13), et de demander que le Secrétariat général </w:t>
      </w:r>
      <w:r w:rsidR="002C4C3D" w:rsidRPr="0026653F">
        <w:rPr>
          <w:szCs w:val="22"/>
          <w:lang w:val="fr-FR"/>
        </w:rPr>
        <w:t xml:space="preserve">inscrive au budget les fonds requis pour </w:t>
      </w:r>
      <w:r w:rsidRPr="0026653F">
        <w:rPr>
          <w:szCs w:val="22"/>
          <w:lang w:val="fr-FR"/>
        </w:rPr>
        <w:t xml:space="preserve">cette conférence et </w:t>
      </w:r>
      <w:r w:rsidR="002C4C3D" w:rsidRPr="0026653F">
        <w:rPr>
          <w:szCs w:val="22"/>
          <w:lang w:val="fr-FR"/>
        </w:rPr>
        <w:t xml:space="preserve">pour la réalisation </w:t>
      </w:r>
      <w:r w:rsidRPr="0026653F">
        <w:rPr>
          <w:szCs w:val="22"/>
          <w:lang w:val="fr-FR"/>
        </w:rPr>
        <w:t>d’une réunion préparatoire</w:t>
      </w:r>
      <w:r w:rsidR="002C4C3D" w:rsidRPr="0026653F">
        <w:rPr>
          <w:szCs w:val="22"/>
          <w:lang w:val="fr-FR"/>
        </w:rPr>
        <w:t>,</w:t>
      </w:r>
      <w:r w:rsidRPr="0026653F">
        <w:rPr>
          <w:szCs w:val="22"/>
          <w:lang w:val="fr-FR"/>
        </w:rPr>
        <w:t xml:space="preserve"> et qu’il </w:t>
      </w:r>
      <w:r w:rsidR="002C4C3D" w:rsidRPr="0026653F">
        <w:rPr>
          <w:szCs w:val="22"/>
          <w:lang w:val="fr-FR"/>
        </w:rPr>
        <w:t xml:space="preserve">apporte le soutien nécessaire pour </w:t>
      </w:r>
      <w:r w:rsidRPr="0026653F">
        <w:rPr>
          <w:szCs w:val="22"/>
          <w:lang w:val="fr-FR"/>
        </w:rPr>
        <w:t xml:space="preserve">les préparatifs et le suivi de </w:t>
      </w:r>
      <w:r w:rsidR="002C4C3D" w:rsidRPr="0026653F">
        <w:rPr>
          <w:szCs w:val="22"/>
          <w:lang w:val="fr-FR"/>
        </w:rPr>
        <w:t xml:space="preserve">la </w:t>
      </w:r>
      <w:r w:rsidRPr="0026653F">
        <w:rPr>
          <w:szCs w:val="22"/>
          <w:lang w:val="fr-FR"/>
        </w:rPr>
        <w:t>conférence.</w:t>
      </w:r>
    </w:p>
    <w:p w14:paraId="7FAEFBE2" w14:textId="77777777" w:rsidR="00293B12" w:rsidRPr="0026653F" w:rsidRDefault="00293B12" w:rsidP="00C618DD">
      <w:pPr>
        <w:suppressAutoHyphens/>
        <w:jc w:val="left"/>
        <w:rPr>
          <w:szCs w:val="22"/>
          <w:lang w:val="fr-FR"/>
        </w:rPr>
      </w:pPr>
    </w:p>
    <w:p w14:paraId="7702044F" w14:textId="352223E9" w:rsidR="00293B12" w:rsidRPr="0026653F" w:rsidRDefault="00293B12" w:rsidP="00C618DD">
      <w:pPr>
        <w:numPr>
          <w:ilvl w:val="0"/>
          <w:numId w:val="45"/>
        </w:numPr>
        <w:suppressAutoHyphens/>
        <w:ind w:left="0"/>
        <w:rPr>
          <w:szCs w:val="22"/>
          <w:lang w:val="fr-FR"/>
        </w:rPr>
      </w:pPr>
      <w:r w:rsidRPr="0026653F">
        <w:rPr>
          <w:szCs w:val="22"/>
          <w:lang w:val="fr-FR"/>
        </w:rPr>
        <w:t>De prendre note des recommandations du SSM et de la JID relatives à la mise sur pied d’un secrétariat technique pour la CITAAC (CP/CSH-1978/20) et de demander à la CSH de les examiner avant la Deuxième Conférence des États parties à la Convention.</w:t>
      </w:r>
    </w:p>
    <w:p w14:paraId="236C4A9B" w14:textId="77777777" w:rsidR="00293B12" w:rsidRPr="0026653F" w:rsidRDefault="00293B12" w:rsidP="00C618DD">
      <w:pPr>
        <w:suppressAutoHyphens/>
        <w:rPr>
          <w:color w:val="000000"/>
          <w:szCs w:val="22"/>
          <w:lang w:val="fr-FR"/>
        </w:rPr>
      </w:pPr>
    </w:p>
    <w:p w14:paraId="0C76D22F" w14:textId="77777777" w:rsidR="00293B12" w:rsidRPr="0026653F" w:rsidRDefault="00293B12" w:rsidP="00C618DD">
      <w:pPr>
        <w:suppressAutoHyphens/>
        <w:ind w:firstLine="720"/>
        <w:rPr>
          <w:color w:val="000000"/>
          <w:szCs w:val="22"/>
          <w:lang w:val="fr-FR" w:eastAsia="es-ES_tradnl"/>
        </w:rPr>
      </w:pPr>
      <w:r w:rsidRPr="0026653F">
        <w:rPr>
          <w:rFonts w:eastAsia="MS Mincho"/>
          <w:color w:val="000000"/>
          <w:szCs w:val="22"/>
          <w:u w:val="single"/>
          <w:lang w:val="fr-FR" w:eastAsia="es-ES_tradnl"/>
        </w:rPr>
        <w:t>Convention interaméricaine contre le terrorisme</w:t>
      </w:r>
    </w:p>
    <w:p w14:paraId="456A1F8E" w14:textId="77777777" w:rsidR="00293B12" w:rsidRPr="0026653F" w:rsidRDefault="00293B12" w:rsidP="00C618DD">
      <w:pPr>
        <w:suppressAutoHyphens/>
        <w:rPr>
          <w:color w:val="000000"/>
          <w:szCs w:val="22"/>
          <w:lang w:val="fr-FR" w:eastAsia="es-ES_tradnl"/>
        </w:rPr>
      </w:pPr>
    </w:p>
    <w:p w14:paraId="13495332" w14:textId="77777777" w:rsidR="00293B12" w:rsidRPr="0026653F" w:rsidRDefault="00293B12" w:rsidP="00C618DD">
      <w:pPr>
        <w:numPr>
          <w:ilvl w:val="0"/>
          <w:numId w:val="45"/>
        </w:numPr>
        <w:suppressAutoHyphens/>
        <w:ind w:left="0" w:firstLine="709"/>
        <w:rPr>
          <w:rFonts w:eastAsia="MS Mincho"/>
          <w:szCs w:val="22"/>
          <w:lang w:val="fr-FR"/>
        </w:rPr>
      </w:pPr>
      <w:r w:rsidRPr="0026653F">
        <w:rPr>
          <w:szCs w:val="22"/>
          <w:lang w:val="fr-FR"/>
        </w:rPr>
        <w:t>De convoquer la première réunion des États parties à la Convention interaméricaine contre le terrorisme pour le premier semestre de 2021 au siège de l’OEA, à Washington, D.C.</w:t>
      </w:r>
    </w:p>
    <w:p w14:paraId="7F095903" w14:textId="77777777" w:rsidR="00293B12" w:rsidRPr="0026653F" w:rsidRDefault="00293B12" w:rsidP="00C618DD">
      <w:pPr>
        <w:suppressAutoHyphens/>
        <w:jc w:val="left"/>
        <w:rPr>
          <w:rFonts w:eastAsia="MS Mincho"/>
          <w:szCs w:val="22"/>
          <w:lang w:val="fr-FR"/>
        </w:rPr>
      </w:pPr>
    </w:p>
    <w:p w14:paraId="24A8BC9B" w14:textId="1B0AF7A9" w:rsidR="00293B12" w:rsidRPr="0026653F" w:rsidRDefault="00293B12" w:rsidP="00C618DD">
      <w:pPr>
        <w:numPr>
          <w:ilvl w:val="0"/>
          <w:numId w:val="45"/>
        </w:numPr>
        <w:suppressAutoHyphens/>
        <w:ind w:left="0"/>
        <w:rPr>
          <w:bCs/>
          <w:szCs w:val="22"/>
          <w:lang w:val="fr-FR"/>
        </w:rPr>
      </w:pPr>
      <w:r w:rsidRPr="0026653F">
        <w:rPr>
          <w:bCs/>
          <w:szCs w:val="22"/>
          <w:lang w:val="fr-FR"/>
        </w:rPr>
        <w:t>D’inviter les États membres qui ne l’ont pas encore fait à envisager de ratifier la Convention interaméricaine contre le terrorisme, adoptée à Bridgetown (Barbade) le 3 juin 2002</w:t>
      </w:r>
      <w:r w:rsidR="002C4C3D" w:rsidRPr="0026653F">
        <w:rPr>
          <w:bCs/>
          <w:szCs w:val="22"/>
          <w:lang w:val="fr-FR"/>
        </w:rPr>
        <w:t xml:space="preserve">, ou d’y adhérer, selon le cas, et de les inviter </w:t>
      </w:r>
      <w:r w:rsidRPr="0026653F">
        <w:rPr>
          <w:bCs/>
          <w:szCs w:val="22"/>
          <w:lang w:val="fr-FR"/>
        </w:rPr>
        <w:t xml:space="preserve">à soutenir </w:t>
      </w:r>
      <w:r w:rsidR="002C4C3D" w:rsidRPr="0026653F">
        <w:rPr>
          <w:bCs/>
          <w:szCs w:val="22"/>
          <w:lang w:val="fr-FR"/>
        </w:rPr>
        <w:t xml:space="preserve">la </w:t>
      </w:r>
      <w:r w:rsidRPr="0026653F">
        <w:rPr>
          <w:bCs/>
          <w:szCs w:val="22"/>
          <w:lang w:val="fr-FR"/>
        </w:rPr>
        <w:t>pleine mise en œuvre</w:t>
      </w:r>
      <w:r w:rsidR="002C4C3D" w:rsidRPr="0026653F">
        <w:rPr>
          <w:bCs/>
          <w:szCs w:val="22"/>
          <w:lang w:val="fr-FR"/>
        </w:rPr>
        <w:t xml:space="preserve"> de cet instrument</w:t>
      </w:r>
      <w:r w:rsidRPr="0026653F">
        <w:rPr>
          <w:bCs/>
          <w:szCs w:val="22"/>
          <w:lang w:val="fr-FR"/>
        </w:rPr>
        <w:t>.</w:t>
      </w:r>
    </w:p>
    <w:p w14:paraId="78584B2A" w14:textId="77777777" w:rsidR="00293B12" w:rsidRPr="0026653F" w:rsidRDefault="00293B12" w:rsidP="00C618DD">
      <w:pPr>
        <w:suppressAutoHyphens/>
        <w:jc w:val="left"/>
        <w:rPr>
          <w:bCs/>
          <w:szCs w:val="22"/>
          <w:lang w:val="fr-FR"/>
        </w:rPr>
      </w:pPr>
    </w:p>
    <w:p w14:paraId="6E4887AF" w14:textId="3D4EB1DA" w:rsidR="00293B12" w:rsidRPr="0026653F" w:rsidRDefault="00293B12" w:rsidP="00C618DD">
      <w:pPr>
        <w:numPr>
          <w:ilvl w:val="0"/>
          <w:numId w:val="46"/>
        </w:numPr>
        <w:suppressAutoHyphens/>
        <w:ind w:left="1440" w:hanging="720"/>
        <w:rPr>
          <w:rFonts w:eastAsia="Batang"/>
          <w:bCs/>
          <w:color w:val="000000"/>
          <w:szCs w:val="22"/>
          <w:u w:val="single"/>
          <w:lang w:val="fr-FR"/>
        </w:rPr>
      </w:pPr>
      <w:r w:rsidRPr="0026653F">
        <w:rPr>
          <w:rFonts w:eastAsia="Batang"/>
          <w:bCs/>
          <w:color w:val="000000"/>
          <w:szCs w:val="22"/>
          <w:u w:val="single"/>
          <w:lang w:val="fr-FR"/>
        </w:rPr>
        <w:t>Institutions interaméricaines </w:t>
      </w:r>
      <w:r w:rsidR="002C4C3D" w:rsidRPr="0026653F">
        <w:rPr>
          <w:rFonts w:eastAsia="Batang"/>
          <w:bCs/>
          <w:color w:val="000000"/>
          <w:szCs w:val="22"/>
          <w:u w:val="single"/>
          <w:lang w:val="fr-FR"/>
        </w:rPr>
        <w:t>–</w:t>
      </w:r>
      <w:r w:rsidRPr="0026653F">
        <w:rPr>
          <w:rFonts w:eastAsia="Batang"/>
          <w:bCs/>
          <w:color w:val="000000"/>
          <w:szCs w:val="22"/>
          <w:u w:val="single"/>
          <w:lang w:val="fr-FR"/>
        </w:rPr>
        <w:t xml:space="preserve"> Observations et recommandations </w:t>
      </w:r>
      <w:r w:rsidR="002C4C3D" w:rsidRPr="0026653F">
        <w:rPr>
          <w:rFonts w:eastAsia="Batang"/>
          <w:bCs/>
          <w:color w:val="000000"/>
          <w:szCs w:val="22"/>
          <w:u w:val="single"/>
          <w:lang w:val="fr-FR"/>
        </w:rPr>
        <w:t>sur l</w:t>
      </w:r>
      <w:r w:rsidRPr="0026653F">
        <w:rPr>
          <w:rFonts w:eastAsia="Batang"/>
          <w:bCs/>
          <w:color w:val="000000"/>
          <w:szCs w:val="22"/>
          <w:u w:val="single"/>
          <w:lang w:val="fr-FR"/>
        </w:rPr>
        <w:t xml:space="preserve">es rapports annuels des organes, organismes et entités de l’Organisation (Article 91 </w:t>
      </w:r>
      <w:r w:rsidRPr="0026653F">
        <w:rPr>
          <w:rFonts w:eastAsia="Batang"/>
          <w:bCs/>
          <w:i/>
          <w:color w:val="000000"/>
          <w:szCs w:val="22"/>
          <w:u w:val="single"/>
          <w:lang w:val="fr-FR"/>
        </w:rPr>
        <w:t>f</w:t>
      </w:r>
      <w:r w:rsidRPr="0026653F">
        <w:rPr>
          <w:rFonts w:eastAsia="Batang"/>
          <w:bCs/>
          <w:color w:val="000000"/>
          <w:szCs w:val="22"/>
          <w:u w:val="single"/>
          <w:lang w:val="fr-FR"/>
        </w:rPr>
        <w:t xml:space="preserve"> de la Charte de l’OEA)</w:t>
      </w:r>
    </w:p>
    <w:p w14:paraId="6F8A4779" w14:textId="77777777" w:rsidR="00293B12" w:rsidRPr="0026653F" w:rsidRDefault="00293B12" w:rsidP="00C618DD">
      <w:pPr>
        <w:suppressAutoHyphens/>
        <w:rPr>
          <w:color w:val="000000"/>
          <w:szCs w:val="22"/>
          <w:lang w:val="fr-FR" w:eastAsia="es-ES_tradnl"/>
        </w:rPr>
      </w:pPr>
    </w:p>
    <w:p w14:paraId="26E4D363" w14:textId="77777777" w:rsidR="00293B12" w:rsidRPr="0026653F" w:rsidRDefault="00293B12" w:rsidP="00C618DD">
      <w:pPr>
        <w:suppressAutoHyphens/>
        <w:ind w:firstLine="720"/>
        <w:rPr>
          <w:bCs/>
          <w:color w:val="000000"/>
          <w:kern w:val="32"/>
          <w:szCs w:val="22"/>
          <w:u w:val="single"/>
          <w:lang w:val="fr-FR" w:eastAsia="es-ES"/>
        </w:rPr>
      </w:pPr>
      <w:r w:rsidRPr="0026653F">
        <w:rPr>
          <w:bCs/>
          <w:color w:val="000000"/>
          <w:kern w:val="32"/>
          <w:szCs w:val="22"/>
          <w:u w:val="single"/>
          <w:lang w:val="fr-FR" w:eastAsia="es-ES"/>
        </w:rPr>
        <w:t>Comité interaméricain contre le terrorisme (CICTE)</w:t>
      </w:r>
    </w:p>
    <w:p w14:paraId="338E3C21" w14:textId="77777777" w:rsidR="00293B12" w:rsidRPr="0026653F" w:rsidRDefault="00293B12" w:rsidP="00C618DD">
      <w:pPr>
        <w:suppressAutoHyphens/>
        <w:rPr>
          <w:color w:val="000000"/>
          <w:szCs w:val="22"/>
          <w:u w:val="single"/>
          <w:lang w:val="fr-FR"/>
        </w:rPr>
      </w:pPr>
    </w:p>
    <w:p w14:paraId="72A59C8C" w14:textId="2C145094" w:rsidR="00293B12" w:rsidRPr="0026653F" w:rsidRDefault="00293B12" w:rsidP="00C618DD">
      <w:pPr>
        <w:numPr>
          <w:ilvl w:val="0"/>
          <w:numId w:val="45"/>
        </w:numPr>
        <w:suppressAutoHyphens/>
        <w:ind w:left="0" w:firstLine="709"/>
        <w:rPr>
          <w:bCs/>
          <w:szCs w:val="22"/>
          <w:lang w:val="fr-FR"/>
        </w:rPr>
      </w:pPr>
      <w:r w:rsidRPr="0026653F">
        <w:rPr>
          <w:bCs/>
          <w:szCs w:val="22"/>
          <w:lang w:val="fr-FR"/>
        </w:rPr>
        <w:t>De réitérer sa condamnation énergique et sans équivoque du terrorisme sous toutes ses formes et manifestations, quels qu’en soient les auteurs, les lieux et les buts pour lesquels celui-ci est commis.</w:t>
      </w:r>
    </w:p>
    <w:p w14:paraId="5673898A" w14:textId="77777777" w:rsidR="00293B12" w:rsidRPr="0026653F" w:rsidRDefault="00293B12" w:rsidP="00C618DD">
      <w:pPr>
        <w:suppressAutoHyphens/>
        <w:jc w:val="left"/>
        <w:rPr>
          <w:bCs/>
          <w:szCs w:val="22"/>
          <w:lang w:val="fr-FR"/>
        </w:rPr>
      </w:pPr>
    </w:p>
    <w:p w14:paraId="29705584" w14:textId="7B575B12" w:rsidR="00293B12" w:rsidRPr="0026653F" w:rsidRDefault="00293B12" w:rsidP="00C618DD">
      <w:pPr>
        <w:numPr>
          <w:ilvl w:val="0"/>
          <w:numId w:val="45"/>
        </w:numPr>
        <w:suppressAutoHyphens/>
        <w:ind w:left="0"/>
        <w:rPr>
          <w:bCs/>
          <w:szCs w:val="22"/>
          <w:lang w:val="fr-FR"/>
        </w:rPr>
      </w:pPr>
      <w:r w:rsidRPr="0026653F">
        <w:rPr>
          <w:bCs/>
          <w:szCs w:val="22"/>
          <w:lang w:val="fr-FR"/>
        </w:rPr>
        <w:t>De réaffirmer son engagement à l’égard des activités</w:t>
      </w:r>
      <w:r w:rsidR="002C4C3D" w:rsidRPr="0026653F">
        <w:rPr>
          <w:bCs/>
          <w:szCs w:val="22"/>
          <w:lang w:val="fr-FR"/>
        </w:rPr>
        <w:t xml:space="preserve"> du </w:t>
      </w:r>
      <w:r w:rsidRPr="0026653F">
        <w:rPr>
          <w:bCs/>
          <w:szCs w:val="22"/>
          <w:lang w:val="fr-FR"/>
        </w:rPr>
        <w:t xml:space="preserve">CICTE en tant que principale entité régionale </w:t>
      </w:r>
      <w:r w:rsidR="000164F1" w:rsidRPr="0026653F">
        <w:rPr>
          <w:bCs/>
          <w:szCs w:val="22"/>
          <w:lang w:val="fr-FR"/>
        </w:rPr>
        <w:t>consacrée</w:t>
      </w:r>
      <w:r w:rsidR="002C4C3D" w:rsidRPr="0026653F">
        <w:rPr>
          <w:bCs/>
          <w:szCs w:val="22"/>
          <w:lang w:val="fr-FR"/>
        </w:rPr>
        <w:t xml:space="preserve"> à la prévention du </w:t>
      </w:r>
      <w:r w:rsidRPr="0026653F">
        <w:rPr>
          <w:bCs/>
          <w:szCs w:val="22"/>
          <w:lang w:val="fr-FR"/>
        </w:rPr>
        <w:t xml:space="preserve">terrorisme </w:t>
      </w:r>
      <w:r w:rsidR="002C4C3D" w:rsidRPr="0026653F">
        <w:rPr>
          <w:bCs/>
          <w:szCs w:val="22"/>
          <w:lang w:val="fr-FR"/>
        </w:rPr>
        <w:t xml:space="preserve">et à la lutte contre celui-ci </w:t>
      </w:r>
      <w:r w:rsidRPr="0026653F">
        <w:rPr>
          <w:bCs/>
          <w:szCs w:val="22"/>
          <w:lang w:val="fr-FR"/>
        </w:rPr>
        <w:t>dans les Amériques</w:t>
      </w:r>
      <w:r w:rsidR="002C4C3D" w:rsidRPr="0026653F">
        <w:rPr>
          <w:bCs/>
          <w:szCs w:val="22"/>
          <w:lang w:val="fr-FR"/>
        </w:rPr>
        <w:t xml:space="preserve">, et de </w:t>
      </w:r>
      <w:r w:rsidRPr="0026653F">
        <w:rPr>
          <w:bCs/>
          <w:szCs w:val="22"/>
          <w:lang w:val="fr-FR"/>
        </w:rPr>
        <w:t>reconnaître les résultats importants obtenus pendant plus de vingt ans de travail.</w:t>
      </w:r>
    </w:p>
    <w:p w14:paraId="558D6F62" w14:textId="77777777" w:rsidR="00293B12" w:rsidRPr="0026653F" w:rsidRDefault="00293B12" w:rsidP="00C618DD">
      <w:pPr>
        <w:suppressAutoHyphens/>
        <w:jc w:val="left"/>
        <w:rPr>
          <w:bCs/>
          <w:szCs w:val="22"/>
          <w:lang w:val="fr-FR"/>
        </w:rPr>
      </w:pPr>
    </w:p>
    <w:p w14:paraId="2DF6F8EA" w14:textId="2264034D"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continuer à célébrer, conformément à la </w:t>
      </w:r>
      <w:r w:rsidR="002C4C3D" w:rsidRPr="0026653F">
        <w:rPr>
          <w:bCs/>
          <w:szCs w:val="22"/>
          <w:lang w:val="fr-FR"/>
        </w:rPr>
        <w:t>d</w:t>
      </w:r>
      <w:r w:rsidRPr="0026653F">
        <w:rPr>
          <w:bCs/>
          <w:szCs w:val="22"/>
          <w:lang w:val="fr-FR"/>
        </w:rPr>
        <w:t>éclaration AG/DEC. 101 (XLIX-O/19),</w:t>
      </w:r>
      <w:r w:rsidR="008C72CA" w:rsidRPr="0026653F">
        <w:rPr>
          <w:bCs/>
          <w:szCs w:val="22"/>
          <w:lang w:val="fr-FR"/>
        </w:rPr>
        <w:t xml:space="preserve"> « </w:t>
      </w:r>
      <w:r w:rsidR="008C72CA" w:rsidRPr="0026653F">
        <w:rPr>
          <w:lang w:val="fr-FR"/>
        </w:rPr>
        <w:t>La menace des groupes terroristes à la sécurité internationale et à la pleine jouissance des droits de la personne »,</w:t>
      </w:r>
      <w:r w:rsidRPr="0026653F">
        <w:rPr>
          <w:bCs/>
          <w:szCs w:val="22"/>
          <w:lang w:val="fr-FR"/>
        </w:rPr>
        <w:t xml:space="preserve"> la Journée interaméricaine contre le terrorisme le 3 juin de chaque année, de manière appropriée, en incluant des activités éducatives et de sensibilisation publique ainsi que la diffusion des efforts déployés pour renforcer la coopération continentale en vue de prévenir, de combattre et d’éliminer le terrorisme sous toutes ses formes et manifestations.</w:t>
      </w:r>
    </w:p>
    <w:p w14:paraId="76B7FB93" w14:textId="77777777" w:rsidR="00293B12" w:rsidRPr="0026653F" w:rsidRDefault="00293B12" w:rsidP="00C618DD">
      <w:pPr>
        <w:suppressAutoHyphens/>
        <w:jc w:val="left"/>
        <w:rPr>
          <w:bCs/>
          <w:szCs w:val="22"/>
          <w:lang w:val="fr-FR"/>
        </w:rPr>
      </w:pPr>
    </w:p>
    <w:p w14:paraId="0B3B3D0D" w14:textId="066B9232" w:rsidR="00293B12" w:rsidRPr="0026653F" w:rsidRDefault="00293B12" w:rsidP="00C618DD">
      <w:pPr>
        <w:numPr>
          <w:ilvl w:val="0"/>
          <w:numId w:val="45"/>
        </w:numPr>
        <w:suppressAutoHyphens/>
        <w:ind w:left="0"/>
        <w:rPr>
          <w:bCs/>
          <w:szCs w:val="22"/>
          <w:lang w:val="fr-FR"/>
        </w:rPr>
      </w:pPr>
      <w:bookmarkStart w:id="7" w:name="_Hlk50713693"/>
      <w:r w:rsidRPr="0026653F">
        <w:rPr>
          <w:bCs/>
          <w:szCs w:val="22"/>
          <w:lang w:val="fr-FR"/>
        </w:rPr>
        <w:t xml:space="preserve">De promouvoir une coopération solide sur la cybersécurité des infrastructures </w:t>
      </w:r>
      <w:r w:rsidR="002C4C3D" w:rsidRPr="0026653F">
        <w:rPr>
          <w:bCs/>
          <w:szCs w:val="22"/>
          <w:lang w:val="fr-FR"/>
        </w:rPr>
        <w:t>essentielles</w:t>
      </w:r>
      <w:r w:rsidRPr="0026653F">
        <w:rPr>
          <w:bCs/>
          <w:szCs w:val="22"/>
          <w:lang w:val="fr-FR"/>
        </w:rPr>
        <w:t xml:space="preserve"> entre les représentants des gouvernements et le secteur privé, notamment les responsables et les </w:t>
      </w:r>
      <w:r w:rsidR="002C4C3D" w:rsidRPr="0026653F">
        <w:rPr>
          <w:bCs/>
          <w:szCs w:val="22"/>
          <w:lang w:val="fr-FR"/>
        </w:rPr>
        <w:t>exploitants</w:t>
      </w:r>
      <w:r w:rsidRPr="0026653F">
        <w:rPr>
          <w:bCs/>
          <w:szCs w:val="22"/>
          <w:lang w:val="fr-FR"/>
        </w:rPr>
        <w:t xml:space="preserve"> desdites infrastructures, les membres de la société civile et de la sphère universitaire, ainsi que le grand public, en mettant l’accent sur l’importance de partager et de mettre en œuvre les bonnes pratiques de cybersécurité à tous les niveaux.</w:t>
      </w:r>
      <w:bookmarkEnd w:id="7"/>
    </w:p>
    <w:p w14:paraId="7AA1DEEE" w14:textId="77777777" w:rsidR="00293B12" w:rsidRPr="0026653F" w:rsidRDefault="00293B12" w:rsidP="00C618DD">
      <w:pPr>
        <w:suppressAutoHyphens/>
        <w:jc w:val="left"/>
        <w:rPr>
          <w:bCs/>
          <w:szCs w:val="22"/>
          <w:lang w:val="fr-FR"/>
        </w:rPr>
      </w:pPr>
    </w:p>
    <w:p w14:paraId="2EF24E0B" w14:textId="0C4B79EA"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renforcer les mesures de protection des enfants, notamment la protection contre l’exploitation sexuelle, en modernisant les dispositions du droit pénal de manière à limiter plus efficacement l’utilisation des systèmes informatiques </w:t>
      </w:r>
      <w:r w:rsidR="00312406" w:rsidRPr="0026653F">
        <w:rPr>
          <w:bCs/>
          <w:szCs w:val="22"/>
          <w:lang w:val="fr-FR"/>
        </w:rPr>
        <w:t xml:space="preserve">pour </w:t>
      </w:r>
      <w:r w:rsidRPr="0026653F">
        <w:rPr>
          <w:bCs/>
          <w:szCs w:val="22"/>
          <w:lang w:val="fr-FR"/>
        </w:rPr>
        <w:t>commettre des infractions à caractère sexuel à l’encontre les enfants.</w:t>
      </w:r>
    </w:p>
    <w:p w14:paraId="20A8BFF5" w14:textId="77777777" w:rsidR="00293B12" w:rsidRPr="0026653F" w:rsidRDefault="00293B12" w:rsidP="00C618DD">
      <w:pPr>
        <w:suppressAutoHyphens/>
        <w:jc w:val="left"/>
        <w:rPr>
          <w:bCs/>
          <w:szCs w:val="22"/>
          <w:lang w:val="fr-FR"/>
        </w:rPr>
      </w:pPr>
    </w:p>
    <w:p w14:paraId="04D8EA2E" w14:textId="71DF6A06"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souligner la nécessité d’engager une étroite collaboration en matière de cybersécurité entre les États membres alors que les effets de la pandémie de COVID-19 élargissent l’éventail des </w:t>
      </w:r>
      <w:r w:rsidR="00293FB1" w:rsidRPr="0026653F">
        <w:rPr>
          <w:bCs/>
          <w:szCs w:val="22"/>
          <w:lang w:val="fr-FR"/>
        </w:rPr>
        <w:t>cyber</w:t>
      </w:r>
      <w:r w:rsidRPr="0026653F">
        <w:rPr>
          <w:bCs/>
          <w:szCs w:val="22"/>
          <w:lang w:val="fr-FR"/>
        </w:rPr>
        <w:t xml:space="preserve">menaces et multiplient les possibilités des </w:t>
      </w:r>
      <w:r w:rsidR="00CF4C84" w:rsidRPr="0026653F">
        <w:rPr>
          <w:bCs/>
          <w:szCs w:val="22"/>
          <w:lang w:val="fr-FR"/>
        </w:rPr>
        <w:t>cyber</w:t>
      </w:r>
      <w:r w:rsidRPr="0026653F">
        <w:rPr>
          <w:bCs/>
          <w:szCs w:val="22"/>
          <w:lang w:val="fr-FR"/>
        </w:rPr>
        <w:t>activités malveillantes, ce qui renforce la vulnérabilité des citoyens et des gouvernements.</w:t>
      </w:r>
    </w:p>
    <w:p w14:paraId="109CA7D4" w14:textId="77777777" w:rsidR="00293B12" w:rsidRPr="0026653F" w:rsidRDefault="00293B12" w:rsidP="00C618DD">
      <w:pPr>
        <w:suppressAutoHyphens/>
        <w:jc w:val="left"/>
        <w:rPr>
          <w:bCs/>
          <w:szCs w:val="22"/>
          <w:lang w:val="fr-FR"/>
        </w:rPr>
      </w:pPr>
    </w:p>
    <w:p w14:paraId="64DF1D92" w14:textId="22F36C35"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demander au Secrétariat du CICTE, par le biais de son </w:t>
      </w:r>
      <w:r w:rsidR="00293FB1" w:rsidRPr="0026653F">
        <w:rPr>
          <w:bCs/>
          <w:szCs w:val="22"/>
          <w:lang w:val="fr-FR"/>
        </w:rPr>
        <w:t>p</w:t>
      </w:r>
      <w:r w:rsidRPr="0026653F">
        <w:rPr>
          <w:bCs/>
          <w:szCs w:val="22"/>
          <w:lang w:val="fr-FR"/>
        </w:rPr>
        <w:t xml:space="preserve">rogramme de cybersécurité, d’aider les États membres dans la mise en œuvre des onze règles volontaires et non contraignantes en matière de comportement responsable des États énoncées dans la </w:t>
      </w:r>
      <w:r w:rsidR="00293FB1" w:rsidRPr="0026653F">
        <w:rPr>
          <w:bCs/>
          <w:szCs w:val="22"/>
          <w:lang w:val="fr-FR"/>
        </w:rPr>
        <w:t>r</w:t>
      </w:r>
      <w:r w:rsidRPr="0026653F">
        <w:rPr>
          <w:bCs/>
          <w:szCs w:val="22"/>
          <w:lang w:val="fr-FR"/>
        </w:rPr>
        <w:t>ésolution 70/237</w:t>
      </w:r>
      <w:r w:rsidR="00293FB1" w:rsidRPr="0026653F">
        <w:rPr>
          <w:bCs/>
          <w:szCs w:val="22"/>
          <w:lang w:val="fr-FR"/>
        </w:rPr>
        <w:t>,</w:t>
      </w:r>
      <w:r w:rsidRPr="0026653F">
        <w:rPr>
          <w:bCs/>
          <w:szCs w:val="22"/>
          <w:lang w:val="fr-FR"/>
        </w:rPr>
        <w:t xml:space="preserve"> « Progrès de l’informatique et des télécommunications </w:t>
      </w:r>
      <w:r w:rsidR="00293FB1" w:rsidRPr="0026653F">
        <w:rPr>
          <w:bCs/>
          <w:szCs w:val="22"/>
          <w:lang w:val="fr-FR"/>
        </w:rPr>
        <w:t xml:space="preserve">et </w:t>
      </w:r>
      <w:r w:rsidRPr="0026653F">
        <w:rPr>
          <w:bCs/>
          <w:szCs w:val="22"/>
          <w:lang w:val="fr-FR"/>
        </w:rPr>
        <w:t>sécurité internationale » de l’Assemblée générale des Nations Unies.</w:t>
      </w:r>
    </w:p>
    <w:p w14:paraId="5E7E54A9" w14:textId="77777777" w:rsidR="00293B12" w:rsidRPr="0026653F" w:rsidRDefault="00293B12" w:rsidP="00C618DD">
      <w:pPr>
        <w:suppressAutoHyphens/>
        <w:jc w:val="left"/>
        <w:rPr>
          <w:bCs/>
          <w:szCs w:val="22"/>
          <w:lang w:val="fr-FR"/>
        </w:rPr>
      </w:pPr>
    </w:p>
    <w:p w14:paraId="2F82C371" w14:textId="6F8AE2D3" w:rsidR="00293B12" w:rsidRPr="0026653F" w:rsidRDefault="00293B12" w:rsidP="00C618DD">
      <w:pPr>
        <w:numPr>
          <w:ilvl w:val="0"/>
          <w:numId w:val="45"/>
        </w:numPr>
        <w:suppressAutoHyphens/>
        <w:ind w:left="0"/>
        <w:rPr>
          <w:bCs/>
          <w:szCs w:val="22"/>
          <w:lang w:val="fr-FR"/>
        </w:rPr>
      </w:pPr>
      <w:r w:rsidRPr="0026653F">
        <w:rPr>
          <w:bCs/>
          <w:szCs w:val="22"/>
          <w:lang w:val="fr-FR"/>
        </w:rPr>
        <w:t>D’exprimer ses remerciements au gouvernement du Chili pour son offre d’accueillir, en sa qualité de Président du Groupe de travail sur le renforcement des mesures d’encouragement de la coopération et de la confiance dans le cyberespace, la troisième réunion du Groupe lorsque les conditions le permettront</w:t>
      </w:r>
      <w:r w:rsidR="00227320" w:rsidRPr="0026653F">
        <w:rPr>
          <w:bCs/>
          <w:szCs w:val="22"/>
          <w:lang w:val="fr-FR"/>
        </w:rPr>
        <w:t>,</w:t>
      </w:r>
      <w:r w:rsidRPr="0026653F">
        <w:rPr>
          <w:bCs/>
          <w:szCs w:val="22"/>
          <w:lang w:val="fr-FR"/>
        </w:rPr>
        <w:t xml:space="preserve"> et de demander l’aide du Secrétariat du CICTE pour organiser, entre-temps, des dialogues informels par le biais de plateformes virtuelles afin de faire avancer l</w:t>
      </w:r>
      <w:r w:rsidR="00227320" w:rsidRPr="0026653F">
        <w:rPr>
          <w:bCs/>
          <w:szCs w:val="22"/>
          <w:lang w:val="fr-FR"/>
        </w:rPr>
        <w:t xml:space="preserve">’examen des </w:t>
      </w:r>
      <w:r w:rsidRPr="0026653F">
        <w:rPr>
          <w:bCs/>
          <w:szCs w:val="22"/>
          <w:lang w:val="fr-FR"/>
        </w:rPr>
        <w:t xml:space="preserve">mandats </w:t>
      </w:r>
      <w:r w:rsidR="00227320" w:rsidRPr="0026653F">
        <w:rPr>
          <w:bCs/>
          <w:szCs w:val="22"/>
          <w:lang w:val="fr-FR"/>
        </w:rPr>
        <w:t xml:space="preserve">confiés à ce </w:t>
      </w:r>
      <w:r w:rsidR="005E7721" w:rsidRPr="0026653F">
        <w:rPr>
          <w:bCs/>
          <w:szCs w:val="22"/>
          <w:lang w:val="fr-FR"/>
        </w:rPr>
        <w:t>g</w:t>
      </w:r>
      <w:r w:rsidRPr="0026653F">
        <w:rPr>
          <w:bCs/>
          <w:szCs w:val="22"/>
          <w:lang w:val="fr-FR"/>
        </w:rPr>
        <w:t>roupe de travail.</w:t>
      </w:r>
    </w:p>
    <w:p w14:paraId="46909D0B" w14:textId="77777777" w:rsidR="00293B12" w:rsidRPr="0026653F" w:rsidRDefault="00293B12" w:rsidP="00C618DD">
      <w:pPr>
        <w:suppressAutoHyphens/>
        <w:rPr>
          <w:bCs/>
          <w:szCs w:val="22"/>
          <w:lang w:val="fr-FR"/>
        </w:rPr>
      </w:pPr>
    </w:p>
    <w:p w14:paraId="34E5846A" w14:textId="3E2CB3FC" w:rsidR="00293B12" w:rsidRPr="0026653F" w:rsidRDefault="00293B12" w:rsidP="00C618DD">
      <w:pPr>
        <w:numPr>
          <w:ilvl w:val="0"/>
          <w:numId w:val="45"/>
        </w:numPr>
        <w:suppressAutoHyphens/>
        <w:ind w:left="0"/>
        <w:rPr>
          <w:bCs/>
          <w:szCs w:val="22"/>
          <w:lang w:val="fr-FR"/>
        </w:rPr>
      </w:pPr>
      <w:r w:rsidRPr="0026653F">
        <w:rPr>
          <w:bCs/>
          <w:szCs w:val="22"/>
          <w:lang w:val="fr-FR"/>
        </w:rPr>
        <w:t>De charger le Secrétariat du CICTE de soutenir, dans le domaine de ses compétences et le cas échéant, l’exécution des recommandations approuvées par le Groupe de travail de</w:t>
      </w:r>
      <w:r w:rsidR="00F219ED" w:rsidRPr="0026653F">
        <w:rPr>
          <w:bCs/>
          <w:szCs w:val="22"/>
          <w:lang w:val="fr-FR"/>
        </w:rPr>
        <w:t xml:space="preserve"> la REMJA </w:t>
      </w:r>
      <w:r w:rsidRPr="0026653F">
        <w:rPr>
          <w:bCs/>
          <w:szCs w:val="22"/>
          <w:lang w:val="fr-FR"/>
        </w:rPr>
        <w:t xml:space="preserve">sur la cybercriminalité et de mettre en œuvre, en coordination avec le Département de </w:t>
      </w:r>
      <w:r w:rsidR="00227320" w:rsidRPr="0026653F">
        <w:rPr>
          <w:bCs/>
          <w:szCs w:val="22"/>
          <w:lang w:val="fr-FR"/>
        </w:rPr>
        <w:t xml:space="preserve">la </w:t>
      </w:r>
      <w:r w:rsidRPr="0026653F">
        <w:rPr>
          <w:bCs/>
          <w:szCs w:val="22"/>
          <w:lang w:val="fr-FR"/>
        </w:rPr>
        <w:t>coopération juridique du Secrétariat aux questions juridiques et la Commission interaméricaine des télécommunications (CITEL), les recommandations approuvées par la C</w:t>
      </w:r>
      <w:r w:rsidR="00227320" w:rsidRPr="0026653F">
        <w:rPr>
          <w:bCs/>
          <w:szCs w:val="22"/>
          <w:lang w:val="fr-FR"/>
        </w:rPr>
        <w:t xml:space="preserve">SH </w:t>
      </w:r>
      <w:r w:rsidRPr="0026653F">
        <w:rPr>
          <w:bCs/>
          <w:szCs w:val="22"/>
          <w:lang w:val="fr-FR"/>
        </w:rPr>
        <w:t>visant à améliorer la coopération entre les trois entités.</w:t>
      </w:r>
    </w:p>
    <w:p w14:paraId="6415B30B" w14:textId="77777777" w:rsidR="00293B12" w:rsidRPr="0026653F" w:rsidRDefault="00293B12" w:rsidP="00C618DD">
      <w:pPr>
        <w:suppressAutoHyphens/>
        <w:rPr>
          <w:bCs/>
          <w:szCs w:val="22"/>
          <w:lang w:val="fr-FR"/>
        </w:rPr>
      </w:pPr>
    </w:p>
    <w:p w14:paraId="2F829359" w14:textId="44BFA32A" w:rsidR="00293B12" w:rsidRPr="0026653F" w:rsidRDefault="00293B12" w:rsidP="00C618DD">
      <w:pPr>
        <w:numPr>
          <w:ilvl w:val="0"/>
          <w:numId w:val="45"/>
        </w:numPr>
        <w:suppressAutoHyphens/>
        <w:ind w:left="0"/>
        <w:rPr>
          <w:bCs/>
          <w:szCs w:val="22"/>
          <w:lang w:val="fr-FR"/>
        </w:rPr>
      </w:pPr>
      <w:r w:rsidRPr="0026653F">
        <w:rPr>
          <w:bCs/>
          <w:szCs w:val="22"/>
          <w:lang w:val="fr-FR"/>
        </w:rPr>
        <w:t>D’</w:t>
      </w:r>
      <w:r w:rsidR="005E7721" w:rsidRPr="0026653F">
        <w:rPr>
          <w:bCs/>
          <w:szCs w:val="22"/>
          <w:lang w:val="fr-FR"/>
        </w:rPr>
        <w:t xml:space="preserve">inviter instamment </w:t>
      </w:r>
      <w:r w:rsidRPr="0026653F">
        <w:rPr>
          <w:bCs/>
          <w:szCs w:val="22"/>
          <w:lang w:val="fr-FR"/>
        </w:rPr>
        <w:t xml:space="preserve">les États membres à continuer à renforcer les </w:t>
      </w:r>
      <w:r w:rsidR="00227320" w:rsidRPr="0026653F">
        <w:rPr>
          <w:bCs/>
          <w:szCs w:val="22"/>
          <w:lang w:val="fr-FR"/>
        </w:rPr>
        <w:t>mesures</w:t>
      </w:r>
      <w:r w:rsidRPr="0026653F">
        <w:rPr>
          <w:bCs/>
          <w:szCs w:val="22"/>
          <w:lang w:val="fr-FR"/>
        </w:rPr>
        <w:t xml:space="preserve"> de coopération, de coo</w:t>
      </w:r>
      <w:r w:rsidR="00227320" w:rsidRPr="0026653F">
        <w:rPr>
          <w:bCs/>
          <w:szCs w:val="22"/>
          <w:lang w:val="fr-FR"/>
        </w:rPr>
        <w:t xml:space="preserve">rdination </w:t>
      </w:r>
      <w:r w:rsidRPr="0026653F">
        <w:rPr>
          <w:bCs/>
          <w:szCs w:val="22"/>
          <w:lang w:val="fr-FR"/>
        </w:rPr>
        <w:t xml:space="preserve">et d’assistance mutuelle entre les institutions chargées de l’application de la loi afin de faire face à la complexité et la diversité croissantes des expressions de la </w:t>
      </w:r>
      <w:r w:rsidR="00227320" w:rsidRPr="0026653F">
        <w:rPr>
          <w:bCs/>
          <w:szCs w:val="22"/>
          <w:lang w:val="fr-FR"/>
        </w:rPr>
        <w:t>cyberc</w:t>
      </w:r>
      <w:r w:rsidRPr="0026653F">
        <w:rPr>
          <w:bCs/>
          <w:szCs w:val="22"/>
          <w:lang w:val="fr-FR"/>
        </w:rPr>
        <w:t xml:space="preserve">riminalité </w:t>
      </w:r>
      <w:r w:rsidRPr="0026653F">
        <w:rPr>
          <w:bCs/>
          <w:szCs w:val="22"/>
          <w:lang w:val="fr-FR"/>
        </w:rPr>
        <w:lastRenderedPageBreak/>
        <w:t xml:space="preserve">dans le </w:t>
      </w:r>
      <w:r w:rsidR="00227320" w:rsidRPr="0026653F">
        <w:rPr>
          <w:bCs/>
          <w:szCs w:val="22"/>
          <w:lang w:val="fr-FR"/>
        </w:rPr>
        <w:t>c</w:t>
      </w:r>
      <w:r w:rsidRPr="0026653F">
        <w:rPr>
          <w:bCs/>
          <w:szCs w:val="22"/>
          <w:lang w:val="fr-FR"/>
        </w:rPr>
        <w:t xml:space="preserve">ontinent américain, et de charger le Secrétariat aux questions juridiques et le Secrétariat du CICTE de soutenir, dans le domaine de leurs compétences et le cas échéant, l’exécution des </w:t>
      </w:r>
      <w:r w:rsidR="005E7721" w:rsidRPr="0026653F">
        <w:rPr>
          <w:bCs/>
          <w:szCs w:val="22"/>
          <w:lang w:val="fr-FR"/>
        </w:rPr>
        <w:t>« R</w:t>
      </w:r>
      <w:r w:rsidRPr="0026653F">
        <w:rPr>
          <w:bCs/>
          <w:szCs w:val="22"/>
          <w:lang w:val="fr-FR"/>
        </w:rPr>
        <w:t>ecommandations de Quito pour le renforcement de la coopération internationale en matière de sécurité publique pour la prévention et la lutte contre la criminalité</w:t>
      </w:r>
      <w:r w:rsidR="005E7721" w:rsidRPr="0026653F">
        <w:rPr>
          <w:bCs/>
          <w:szCs w:val="22"/>
          <w:lang w:val="fr-FR"/>
        </w:rPr>
        <w:t> »</w:t>
      </w:r>
      <w:r w:rsidRPr="0026653F">
        <w:rPr>
          <w:bCs/>
          <w:szCs w:val="22"/>
          <w:lang w:val="fr-FR"/>
        </w:rPr>
        <w:t>, en coordination avec le Département de la sécurité publique.</w:t>
      </w:r>
    </w:p>
    <w:p w14:paraId="3F5B9BD1" w14:textId="77777777" w:rsidR="00293B12" w:rsidRPr="0026653F" w:rsidRDefault="00293B12" w:rsidP="00C618DD">
      <w:pPr>
        <w:suppressAutoHyphens/>
        <w:rPr>
          <w:bCs/>
          <w:szCs w:val="22"/>
          <w:lang w:val="fr-FR"/>
        </w:rPr>
      </w:pPr>
    </w:p>
    <w:p w14:paraId="38757CA4" w14:textId="138E4EA4" w:rsidR="00293B12" w:rsidRPr="0026653F" w:rsidRDefault="00293B12" w:rsidP="00C618DD">
      <w:pPr>
        <w:numPr>
          <w:ilvl w:val="0"/>
          <w:numId w:val="45"/>
        </w:numPr>
        <w:suppressAutoHyphens/>
        <w:ind w:left="0"/>
        <w:rPr>
          <w:bCs/>
          <w:szCs w:val="22"/>
          <w:lang w:val="fr-FR"/>
        </w:rPr>
      </w:pPr>
      <w:r w:rsidRPr="0026653F">
        <w:rPr>
          <w:bCs/>
          <w:szCs w:val="22"/>
          <w:lang w:val="fr-FR"/>
        </w:rPr>
        <w:t>D</w:t>
      </w:r>
      <w:r w:rsidR="00C86A7B" w:rsidRPr="0026653F">
        <w:rPr>
          <w:bCs/>
          <w:szCs w:val="22"/>
          <w:lang w:val="fr-FR"/>
        </w:rPr>
        <w:t xml:space="preserve">’intervenir pour </w:t>
      </w:r>
      <w:r w:rsidRPr="0026653F">
        <w:rPr>
          <w:bCs/>
          <w:szCs w:val="22"/>
          <w:lang w:val="fr-FR"/>
        </w:rPr>
        <w:t xml:space="preserve">renforcer les mesures de sécurité et de protection de tous les espaces fréquentés, notamment le renforcement des capacités nationales d’analyse des risques, de gestion des crises et d’amélioration de la préparation, </w:t>
      </w:r>
      <w:r w:rsidR="00C86A7B" w:rsidRPr="0026653F">
        <w:rPr>
          <w:bCs/>
          <w:szCs w:val="22"/>
          <w:lang w:val="fr-FR"/>
        </w:rPr>
        <w:t xml:space="preserve">de la </w:t>
      </w:r>
      <w:r w:rsidRPr="0026653F">
        <w:rPr>
          <w:bCs/>
          <w:szCs w:val="22"/>
          <w:lang w:val="fr-FR"/>
        </w:rPr>
        <w:t xml:space="preserve">coordination et </w:t>
      </w:r>
      <w:r w:rsidR="00C86A7B" w:rsidRPr="0026653F">
        <w:rPr>
          <w:bCs/>
          <w:szCs w:val="22"/>
          <w:lang w:val="fr-FR"/>
        </w:rPr>
        <w:t xml:space="preserve">de la </w:t>
      </w:r>
      <w:r w:rsidRPr="0026653F">
        <w:rPr>
          <w:bCs/>
          <w:szCs w:val="22"/>
          <w:lang w:val="fr-FR"/>
        </w:rPr>
        <w:t>communication entre les organismes et les gouvernements</w:t>
      </w:r>
      <w:r w:rsidR="005D0AB3" w:rsidRPr="0026653F">
        <w:rPr>
          <w:bCs/>
          <w:szCs w:val="22"/>
          <w:lang w:val="fr-FR"/>
        </w:rPr>
        <w:t>, et d</w:t>
      </w:r>
      <w:r w:rsidRPr="0026653F">
        <w:rPr>
          <w:bCs/>
          <w:szCs w:val="22"/>
          <w:lang w:val="fr-FR"/>
        </w:rPr>
        <w:t xml:space="preserve">e reconnaître que la préparation aux attaques terroristes comprend la prévention, la protection, l’atténuation, la riposte et la reprise après incident, </w:t>
      </w:r>
      <w:r w:rsidR="00C86A7B" w:rsidRPr="0026653F">
        <w:rPr>
          <w:bCs/>
          <w:szCs w:val="22"/>
          <w:lang w:val="fr-FR"/>
        </w:rPr>
        <w:t xml:space="preserve">en particulier la promotion de </w:t>
      </w:r>
      <w:r w:rsidRPr="0026653F">
        <w:rPr>
          <w:bCs/>
          <w:szCs w:val="22"/>
          <w:lang w:val="fr-FR"/>
        </w:rPr>
        <w:t xml:space="preserve">la sécurité et </w:t>
      </w:r>
      <w:r w:rsidR="00C86A7B" w:rsidRPr="0026653F">
        <w:rPr>
          <w:bCs/>
          <w:szCs w:val="22"/>
          <w:lang w:val="fr-FR"/>
        </w:rPr>
        <w:t xml:space="preserve">de </w:t>
      </w:r>
      <w:r w:rsidRPr="0026653F">
        <w:rPr>
          <w:bCs/>
          <w:szCs w:val="22"/>
          <w:lang w:val="fr-FR"/>
        </w:rPr>
        <w:t xml:space="preserve">la résilience, notamment, le cas échéant, par le biais de partenariats </w:t>
      </w:r>
      <w:r w:rsidR="00C86A7B" w:rsidRPr="0026653F">
        <w:rPr>
          <w:bCs/>
          <w:szCs w:val="22"/>
          <w:lang w:val="fr-FR"/>
        </w:rPr>
        <w:t>publics-privés</w:t>
      </w:r>
      <w:r w:rsidRPr="0026653F">
        <w:rPr>
          <w:bCs/>
          <w:szCs w:val="22"/>
          <w:lang w:val="fr-FR"/>
        </w:rPr>
        <w:t>.</w:t>
      </w:r>
    </w:p>
    <w:p w14:paraId="0E3B5FA5" w14:textId="77777777" w:rsidR="00293B12" w:rsidRPr="0026653F" w:rsidRDefault="00293B12" w:rsidP="00C618DD">
      <w:pPr>
        <w:suppressAutoHyphens/>
        <w:rPr>
          <w:bCs/>
          <w:szCs w:val="22"/>
          <w:lang w:val="fr-FR"/>
        </w:rPr>
      </w:pPr>
    </w:p>
    <w:p w14:paraId="16D0FC09" w14:textId="5401A3C9"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D’encourager les mesures visant à préparer la région à la gestion des crises et à l’évaluation des risques dans le secteur touristique, particulièrement touché par la pandémie de COVID-19, dont les effets ont démontré la nécessité d’adapter les protocoles existants en matière de sécurité et </w:t>
      </w:r>
      <w:r w:rsidR="00FA0866" w:rsidRPr="0026653F">
        <w:rPr>
          <w:bCs/>
          <w:szCs w:val="22"/>
          <w:lang w:val="fr-FR"/>
        </w:rPr>
        <w:t xml:space="preserve">de </w:t>
      </w:r>
      <w:r w:rsidRPr="0026653F">
        <w:rPr>
          <w:bCs/>
          <w:szCs w:val="22"/>
          <w:lang w:val="fr-FR"/>
        </w:rPr>
        <w:t>protection biologiques dans la circulation des personnes, entre autres.</w:t>
      </w:r>
    </w:p>
    <w:p w14:paraId="6A61967F" w14:textId="77777777" w:rsidR="00293B12" w:rsidRPr="0026653F" w:rsidRDefault="00293B12" w:rsidP="00C618DD">
      <w:pPr>
        <w:suppressAutoHyphens/>
        <w:rPr>
          <w:bCs/>
          <w:szCs w:val="22"/>
          <w:lang w:val="fr-FR"/>
        </w:rPr>
      </w:pPr>
    </w:p>
    <w:p w14:paraId="3CD76CF0" w14:textId="5DF53CAB"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reconnaître que la pandémie de COVID-19 constitue un défi pour tous les secteurs de la société, y compris ceux liés à la sécurité des frontières ainsi qu’à la sécurité des chaînes d’approvisionnement, et d’encourager la prévention durable, l’atténuation et les stratégies de reprise après incident comme règle générale en matière d’opérations de contrôle aux frontières, parallèlement à l’élaboration de </w:t>
      </w:r>
      <w:r w:rsidR="00440E45" w:rsidRPr="0026653F">
        <w:rPr>
          <w:bCs/>
          <w:szCs w:val="22"/>
          <w:lang w:val="fr-FR"/>
        </w:rPr>
        <w:t xml:space="preserve">principes </w:t>
      </w:r>
      <w:r w:rsidRPr="0026653F">
        <w:rPr>
          <w:bCs/>
          <w:szCs w:val="22"/>
          <w:lang w:val="fr-FR"/>
        </w:rPr>
        <w:t>sanitaires destinés aux agents déployés aux postes</w:t>
      </w:r>
      <w:r w:rsidR="00FA0866" w:rsidRPr="0026653F">
        <w:rPr>
          <w:bCs/>
          <w:szCs w:val="22"/>
          <w:lang w:val="fr-FR"/>
        </w:rPr>
        <w:t>-frontières</w:t>
      </w:r>
      <w:r w:rsidRPr="0026653F">
        <w:rPr>
          <w:bCs/>
          <w:szCs w:val="22"/>
          <w:lang w:val="fr-FR"/>
        </w:rPr>
        <w:t>.</w:t>
      </w:r>
    </w:p>
    <w:p w14:paraId="2F7B151F" w14:textId="77777777" w:rsidR="00293B12" w:rsidRPr="0026653F" w:rsidRDefault="00293B12" w:rsidP="00C618DD">
      <w:pPr>
        <w:suppressAutoHyphens/>
        <w:rPr>
          <w:bCs/>
          <w:szCs w:val="22"/>
          <w:lang w:val="fr-FR"/>
        </w:rPr>
      </w:pPr>
    </w:p>
    <w:p w14:paraId="1FE60940" w14:textId="0E577860" w:rsidR="00293B12" w:rsidRPr="0026653F" w:rsidRDefault="00293B12" w:rsidP="00C618DD">
      <w:pPr>
        <w:numPr>
          <w:ilvl w:val="0"/>
          <w:numId w:val="45"/>
        </w:numPr>
        <w:suppressAutoHyphens/>
        <w:ind w:left="0"/>
        <w:rPr>
          <w:bCs/>
          <w:szCs w:val="22"/>
          <w:lang w:val="fr-FR"/>
        </w:rPr>
      </w:pPr>
      <w:r w:rsidRPr="0026653F">
        <w:rPr>
          <w:bCs/>
          <w:szCs w:val="22"/>
          <w:lang w:val="fr-FR"/>
        </w:rPr>
        <w:t>D</w:t>
      </w:r>
      <w:r w:rsidR="00E807DE" w:rsidRPr="0026653F">
        <w:rPr>
          <w:bCs/>
          <w:szCs w:val="22"/>
          <w:lang w:val="fr-FR"/>
        </w:rPr>
        <w:t xml:space="preserve">e constater </w:t>
      </w:r>
      <w:r w:rsidRPr="0026653F">
        <w:rPr>
          <w:bCs/>
          <w:szCs w:val="22"/>
          <w:lang w:val="fr-FR"/>
        </w:rPr>
        <w:t xml:space="preserve">que la pandémie de COVID-19 constitue un catalyseur potentiel de la mésinformation et de </w:t>
      </w:r>
      <w:r w:rsidR="007C3FE5" w:rsidRPr="0026653F">
        <w:rPr>
          <w:bCs/>
          <w:szCs w:val="22"/>
          <w:lang w:val="fr-FR"/>
        </w:rPr>
        <w:t xml:space="preserve">la propagation de </w:t>
      </w:r>
      <w:r w:rsidR="00E807DE" w:rsidRPr="0026653F">
        <w:rPr>
          <w:bCs/>
          <w:szCs w:val="22"/>
          <w:lang w:val="fr-FR"/>
        </w:rPr>
        <w:t xml:space="preserve">fausses </w:t>
      </w:r>
      <w:r w:rsidRPr="0026653F">
        <w:rPr>
          <w:bCs/>
          <w:szCs w:val="22"/>
          <w:lang w:val="fr-FR"/>
        </w:rPr>
        <w:t>information</w:t>
      </w:r>
      <w:r w:rsidR="00E807DE" w:rsidRPr="0026653F">
        <w:rPr>
          <w:bCs/>
          <w:szCs w:val="22"/>
          <w:lang w:val="fr-FR"/>
        </w:rPr>
        <w:t>s,</w:t>
      </w:r>
      <w:r w:rsidRPr="0026653F">
        <w:rPr>
          <w:bCs/>
          <w:szCs w:val="22"/>
          <w:lang w:val="fr-FR"/>
        </w:rPr>
        <w:t xml:space="preserve"> susceptible</w:t>
      </w:r>
      <w:r w:rsidR="00E807DE" w:rsidRPr="0026653F">
        <w:rPr>
          <w:bCs/>
          <w:szCs w:val="22"/>
          <w:lang w:val="fr-FR"/>
        </w:rPr>
        <w:t>s</w:t>
      </w:r>
      <w:r w:rsidRPr="0026653F">
        <w:rPr>
          <w:bCs/>
          <w:szCs w:val="22"/>
          <w:lang w:val="fr-FR"/>
        </w:rPr>
        <w:t xml:space="preserve"> d’être utilisée</w:t>
      </w:r>
      <w:r w:rsidR="00E807DE" w:rsidRPr="0026653F">
        <w:rPr>
          <w:bCs/>
          <w:szCs w:val="22"/>
          <w:lang w:val="fr-FR"/>
        </w:rPr>
        <w:t>s</w:t>
      </w:r>
      <w:r w:rsidRPr="0026653F">
        <w:rPr>
          <w:bCs/>
          <w:szCs w:val="22"/>
          <w:lang w:val="fr-FR"/>
        </w:rPr>
        <w:t xml:space="preserve"> par les groupes terroristes à leur avantage</w:t>
      </w:r>
      <w:r w:rsidR="00E807DE" w:rsidRPr="0026653F">
        <w:rPr>
          <w:bCs/>
          <w:szCs w:val="22"/>
          <w:lang w:val="fr-FR"/>
        </w:rPr>
        <w:t>,</w:t>
      </w:r>
      <w:r w:rsidRPr="0026653F">
        <w:rPr>
          <w:bCs/>
          <w:szCs w:val="22"/>
          <w:lang w:val="fr-FR"/>
        </w:rPr>
        <w:t xml:space="preserve"> de reconnaître les efforts déployés par le CICTE dans le cadre du </w:t>
      </w:r>
      <w:r w:rsidR="008C72CA" w:rsidRPr="0026653F">
        <w:rPr>
          <w:bCs/>
          <w:szCs w:val="22"/>
          <w:lang w:val="fr-FR"/>
        </w:rPr>
        <w:t>P</w:t>
      </w:r>
      <w:r w:rsidRPr="0026653F">
        <w:rPr>
          <w:bCs/>
          <w:szCs w:val="22"/>
          <w:lang w:val="fr-FR"/>
        </w:rPr>
        <w:t xml:space="preserve">rogramme de prévention de l’extrémisme violent afin de promouvoir des discussions à l’échelle régionale sur l’importance de la prévention et de la lutte contre l’extrémisme violent susceptible d’aboutir au terrorisme, l’objectif étant de renforcer la coopération et les capacités au sein du </w:t>
      </w:r>
      <w:r w:rsidR="00E807DE" w:rsidRPr="0026653F">
        <w:rPr>
          <w:bCs/>
          <w:szCs w:val="22"/>
          <w:lang w:val="fr-FR"/>
        </w:rPr>
        <w:t>c</w:t>
      </w:r>
      <w:r w:rsidRPr="0026653F">
        <w:rPr>
          <w:bCs/>
          <w:szCs w:val="22"/>
          <w:lang w:val="fr-FR"/>
        </w:rPr>
        <w:t>ontinent américain pour faire face à cette menace.</w:t>
      </w:r>
    </w:p>
    <w:p w14:paraId="56FD9E8F" w14:textId="77777777" w:rsidR="00293B12" w:rsidRPr="0026653F" w:rsidRDefault="00293B12" w:rsidP="00C618DD">
      <w:pPr>
        <w:suppressAutoHyphens/>
        <w:jc w:val="left"/>
        <w:rPr>
          <w:bCs/>
          <w:szCs w:val="22"/>
          <w:lang w:val="fr-FR"/>
        </w:rPr>
      </w:pPr>
    </w:p>
    <w:p w14:paraId="5AB8CAA2" w14:textId="2425667B" w:rsidR="00293B12" w:rsidRPr="0026653F" w:rsidRDefault="00293B12" w:rsidP="00C618DD">
      <w:pPr>
        <w:numPr>
          <w:ilvl w:val="0"/>
          <w:numId w:val="45"/>
        </w:numPr>
        <w:suppressAutoHyphens/>
        <w:ind w:left="0"/>
        <w:rPr>
          <w:bCs/>
          <w:szCs w:val="22"/>
          <w:lang w:val="fr-FR"/>
        </w:rPr>
      </w:pPr>
      <w:r w:rsidRPr="0026653F">
        <w:rPr>
          <w:bCs/>
          <w:szCs w:val="22"/>
          <w:lang w:val="fr-FR"/>
        </w:rPr>
        <w:t xml:space="preserve">D’offrir un soutien au Secrétariat du CICTE dans l’exécution des programmes et des activités relevant de son domaine de compétence pendant la période 2020-2021, en adoptant une approche pragmatique et sensible à la conjoncture mondiale actuelle </w:t>
      </w:r>
      <w:r w:rsidR="00E807DE" w:rsidRPr="0026653F">
        <w:rPr>
          <w:bCs/>
          <w:szCs w:val="22"/>
          <w:lang w:val="fr-FR"/>
        </w:rPr>
        <w:t>résultant de</w:t>
      </w:r>
      <w:r w:rsidRPr="0026653F">
        <w:rPr>
          <w:bCs/>
          <w:szCs w:val="22"/>
          <w:lang w:val="fr-FR"/>
        </w:rPr>
        <w:t xml:space="preserve"> la pandémie de COVID-19, qui permette de continuer à soutenir les États membres sur la base d’une expérience acquise pendant plus de deux décennies et, dans le même temps, de renforcer la capacité de riposte face aux défis actuels et émergents.</w:t>
      </w:r>
    </w:p>
    <w:p w14:paraId="7E429E43" w14:textId="77777777" w:rsidR="00293B12" w:rsidRPr="0026653F" w:rsidRDefault="00293B12" w:rsidP="00C618DD">
      <w:pPr>
        <w:rPr>
          <w:bCs/>
          <w:szCs w:val="22"/>
          <w:lang w:val="fr-FR"/>
        </w:rPr>
      </w:pPr>
    </w:p>
    <w:p w14:paraId="5CBE6261" w14:textId="49D947E9"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remercier le Secrétariat du CICTE pour les actions entreprises et les résultats obtenus </w:t>
      </w:r>
      <w:r w:rsidR="00E807DE" w:rsidRPr="0026653F">
        <w:rPr>
          <w:bCs/>
          <w:szCs w:val="22"/>
          <w:lang w:val="fr-FR"/>
        </w:rPr>
        <w:t xml:space="preserve">dans ses mesures de soutien aux </w:t>
      </w:r>
      <w:r w:rsidRPr="0026653F">
        <w:rPr>
          <w:bCs/>
          <w:szCs w:val="22"/>
          <w:lang w:val="fr-FR"/>
        </w:rPr>
        <w:t>États membres pendant la pandémie de COVID-19 dans des domaines prioritaires tels que la cybersécurité, la sécurité et la protection biologiques, la sécurité des frontières, la sécurité des espaces fréquentés</w:t>
      </w:r>
      <w:r w:rsidR="007C3FE5" w:rsidRPr="0026653F">
        <w:rPr>
          <w:bCs/>
          <w:szCs w:val="22"/>
          <w:lang w:val="fr-FR"/>
        </w:rPr>
        <w:t xml:space="preserve">, </w:t>
      </w:r>
      <w:r w:rsidRPr="0026653F">
        <w:rPr>
          <w:bCs/>
          <w:szCs w:val="22"/>
          <w:lang w:val="fr-FR"/>
        </w:rPr>
        <w:t xml:space="preserve">notamment les destinations touristiques et les </w:t>
      </w:r>
      <w:r w:rsidR="00E807DE" w:rsidRPr="0026653F">
        <w:rPr>
          <w:bCs/>
          <w:szCs w:val="22"/>
          <w:lang w:val="fr-FR"/>
        </w:rPr>
        <w:t>grandes manifestations</w:t>
      </w:r>
      <w:r w:rsidRPr="0026653F">
        <w:rPr>
          <w:bCs/>
          <w:szCs w:val="22"/>
          <w:lang w:val="fr-FR"/>
        </w:rPr>
        <w:t xml:space="preserve">, l’assistance technique contre le financement du terrorisme et </w:t>
      </w:r>
      <w:r w:rsidR="00B5447C" w:rsidRPr="0026653F">
        <w:rPr>
          <w:bCs/>
          <w:szCs w:val="22"/>
          <w:lang w:val="fr-FR"/>
        </w:rPr>
        <w:t xml:space="preserve">pour </w:t>
      </w:r>
      <w:r w:rsidRPr="0026653F">
        <w:rPr>
          <w:bCs/>
          <w:szCs w:val="22"/>
          <w:lang w:val="fr-FR"/>
        </w:rPr>
        <w:t xml:space="preserve">la </w:t>
      </w:r>
      <w:r w:rsidR="00A7318B" w:rsidRPr="0026653F">
        <w:rPr>
          <w:bCs/>
          <w:szCs w:val="22"/>
          <w:lang w:val="fr-FR"/>
        </w:rPr>
        <w:t xml:space="preserve">prévention de </w:t>
      </w:r>
      <w:r w:rsidRPr="0026653F">
        <w:rPr>
          <w:bCs/>
          <w:szCs w:val="22"/>
          <w:lang w:val="fr-FR"/>
        </w:rPr>
        <w:t xml:space="preserve">l’extrémisme violent, ainsi que dans l’élaboration ou le renforcement des outils visant à faciliter </w:t>
      </w:r>
      <w:r w:rsidRPr="0026653F">
        <w:rPr>
          <w:bCs/>
          <w:szCs w:val="22"/>
          <w:lang w:val="fr-FR"/>
        </w:rPr>
        <w:lastRenderedPageBreak/>
        <w:t>l’échange d’informations et/ou de bonnes pratiques sur les questions relevant de la compétence du Comité.</w:t>
      </w:r>
    </w:p>
    <w:p w14:paraId="0ED10EC4" w14:textId="77777777" w:rsidR="00293B12" w:rsidRPr="0026653F" w:rsidRDefault="00293B12" w:rsidP="00C618DD">
      <w:pPr>
        <w:suppressAutoHyphens/>
        <w:rPr>
          <w:bCs/>
          <w:szCs w:val="22"/>
          <w:lang w:val="fr-FR"/>
        </w:rPr>
      </w:pPr>
    </w:p>
    <w:p w14:paraId="05301B6C" w14:textId="2FA89D92"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complémenter et renforcer les mesures d’application de la loi par des mesures préventives en fonction des capacités budgétaires afin de détecter et de prévenir le franchissement clandestin des frontières par des combattants terroristes étrangers </w:t>
      </w:r>
      <w:r w:rsidR="00B5447C" w:rsidRPr="0026653F">
        <w:rPr>
          <w:bCs/>
          <w:szCs w:val="22"/>
          <w:lang w:val="fr-FR"/>
        </w:rPr>
        <w:t xml:space="preserve">(FTF de son sigle anglais) </w:t>
      </w:r>
      <w:r w:rsidRPr="0026653F">
        <w:rPr>
          <w:bCs/>
          <w:szCs w:val="22"/>
          <w:lang w:val="fr-FR"/>
        </w:rPr>
        <w:t>et des autres terroristes connus ou présumés conformément aux législations nationales</w:t>
      </w:r>
      <w:r w:rsidR="007C3FE5" w:rsidRPr="0026653F">
        <w:rPr>
          <w:bCs/>
          <w:szCs w:val="22"/>
          <w:lang w:val="fr-FR"/>
        </w:rPr>
        <w:t xml:space="preserve">, y compris </w:t>
      </w:r>
      <w:r w:rsidRPr="0026653F">
        <w:rPr>
          <w:bCs/>
          <w:szCs w:val="22"/>
          <w:lang w:val="fr-FR"/>
        </w:rPr>
        <w:t>la prévention de l’exploitation du secteur des transports pour faciliter la circulation de personnes dans le but de commettre des attaques terroristes et de favoriser le trafic illégal d’armes légères et de systèmes d’armes perfectionnées tels les systèmes porta</w:t>
      </w:r>
      <w:r w:rsidR="007C3FE5" w:rsidRPr="0026653F">
        <w:rPr>
          <w:bCs/>
          <w:szCs w:val="22"/>
          <w:lang w:val="fr-FR"/>
        </w:rPr>
        <w:t xml:space="preserve">bles </w:t>
      </w:r>
      <w:r w:rsidRPr="0026653F">
        <w:rPr>
          <w:bCs/>
          <w:szCs w:val="22"/>
          <w:lang w:val="fr-FR"/>
        </w:rPr>
        <w:t xml:space="preserve">de défense </w:t>
      </w:r>
      <w:r w:rsidR="007C3FE5" w:rsidRPr="0026653F">
        <w:rPr>
          <w:bCs/>
          <w:szCs w:val="22"/>
          <w:lang w:val="fr-FR"/>
        </w:rPr>
        <w:t>anti</w:t>
      </w:r>
      <w:r w:rsidRPr="0026653F">
        <w:rPr>
          <w:bCs/>
          <w:szCs w:val="22"/>
          <w:lang w:val="fr-FR"/>
        </w:rPr>
        <w:t xml:space="preserve">aérienne </w:t>
      </w:r>
      <w:r w:rsidR="00B5447C" w:rsidRPr="0026653F">
        <w:rPr>
          <w:bCs/>
          <w:szCs w:val="22"/>
          <w:lang w:val="fr-FR"/>
        </w:rPr>
        <w:t xml:space="preserve">(MANPADS) </w:t>
      </w:r>
      <w:r w:rsidRPr="0026653F">
        <w:rPr>
          <w:bCs/>
          <w:szCs w:val="22"/>
          <w:lang w:val="fr-FR"/>
        </w:rPr>
        <w:t xml:space="preserve">et les systèmes de drones, ainsi que le transport illégal de matériel explosif, chimique, biologique, nucléaire y radiologique. L’objectif visé est de répondre efficacement aux menaces posées par les </w:t>
      </w:r>
      <w:r w:rsidR="00AD597C" w:rsidRPr="0026653F">
        <w:rPr>
          <w:bCs/>
          <w:szCs w:val="22"/>
          <w:lang w:val="fr-FR"/>
        </w:rPr>
        <w:t xml:space="preserve">FTF </w:t>
      </w:r>
      <w:r w:rsidRPr="0026653F">
        <w:rPr>
          <w:bCs/>
          <w:szCs w:val="22"/>
          <w:lang w:val="fr-FR"/>
        </w:rPr>
        <w:t xml:space="preserve">et les membres de leurs familles qui les accompagnent, conformément aux résolutions 2396 (2017) et 2178 (2014) du Conseil de sécurité de l’ONU, et de </w:t>
      </w:r>
      <w:r w:rsidR="008E4A8C" w:rsidRPr="0026653F">
        <w:rPr>
          <w:bCs/>
          <w:szCs w:val="22"/>
          <w:lang w:val="fr-FR"/>
        </w:rPr>
        <w:t xml:space="preserve">mettre </w:t>
      </w:r>
      <w:r w:rsidRPr="0026653F">
        <w:rPr>
          <w:bCs/>
          <w:szCs w:val="22"/>
          <w:lang w:val="fr-FR"/>
        </w:rPr>
        <w:t>en œuvre de</w:t>
      </w:r>
      <w:r w:rsidR="008E4A8C" w:rsidRPr="0026653F">
        <w:rPr>
          <w:bCs/>
          <w:szCs w:val="22"/>
          <w:lang w:val="fr-FR"/>
        </w:rPr>
        <w:t>s</w:t>
      </w:r>
      <w:r w:rsidRPr="0026653F">
        <w:rPr>
          <w:bCs/>
          <w:szCs w:val="22"/>
          <w:lang w:val="fr-FR"/>
        </w:rPr>
        <w:t xml:space="preserve"> protocoles de collecte et d’analyse des données relatives aux passagers susceptibles d’accroître la capacité des autorités à détecter les fraudes et les autres activités suspectes lors du contrôle des cargaisons aux frontières et des papiers</w:t>
      </w:r>
      <w:r w:rsidR="008E4A8C" w:rsidRPr="0026653F">
        <w:rPr>
          <w:bCs/>
          <w:szCs w:val="22"/>
          <w:lang w:val="fr-FR"/>
        </w:rPr>
        <w:t xml:space="preserve"> d’identité</w:t>
      </w:r>
      <w:r w:rsidRPr="0026653F">
        <w:rPr>
          <w:bCs/>
          <w:szCs w:val="22"/>
          <w:lang w:val="fr-FR"/>
        </w:rPr>
        <w:t>, dans le plein respect des droits de la personne, des libertés fondamentales et de l’État de droit conformément à la législation de chaque État.</w:t>
      </w:r>
    </w:p>
    <w:p w14:paraId="2198A3C7" w14:textId="77777777" w:rsidR="00293B12" w:rsidRPr="0026653F" w:rsidRDefault="00293B12" w:rsidP="00C618DD">
      <w:pPr>
        <w:suppressAutoHyphens/>
        <w:jc w:val="left"/>
        <w:rPr>
          <w:bCs/>
          <w:szCs w:val="22"/>
          <w:lang w:val="fr-FR"/>
        </w:rPr>
      </w:pPr>
    </w:p>
    <w:p w14:paraId="77CFBCD7" w14:textId="63267FCC" w:rsidR="00293B12" w:rsidRPr="0026653F" w:rsidRDefault="00293B12" w:rsidP="00C618DD">
      <w:pPr>
        <w:numPr>
          <w:ilvl w:val="0"/>
          <w:numId w:val="45"/>
        </w:numPr>
        <w:suppressAutoHyphens/>
        <w:ind w:left="0"/>
        <w:rPr>
          <w:bCs/>
          <w:szCs w:val="22"/>
          <w:lang w:val="fr-FR"/>
        </w:rPr>
      </w:pPr>
      <w:r w:rsidRPr="0026653F">
        <w:rPr>
          <w:bCs/>
          <w:szCs w:val="22"/>
          <w:lang w:val="fr-FR"/>
        </w:rPr>
        <w:t>De charger les États</w:t>
      </w:r>
      <w:r w:rsidR="004E59C4" w:rsidRPr="0026653F">
        <w:rPr>
          <w:bCs/>
          <w:szCs w:val="22"/>
          <w:lang w:val="fr-FR"/>
        </w:rPr>
        <w:t xml:space="preserve"> membres</w:t>
      </w:r>
      <w:r w:rsidRPr="0026653F">
        <w:rPr>
          <w:bCs/>
          <w:szCs w:val="22"/>
          <w:lang w:val="fr-FR"/>
        </w:rPr>
        <w:t xml:space="preserve"> de formuler des réponses coordonnées en matière de sécurité et protection biologiques dans la région afin de détecter et de répondre efficacement aux éventuels incidents biologiques, en adoptant une approche multisectorielle. Pour ce faire, il est fondamental de coordonner les efforts entre, notamment, les institutions gouvernementales, le secteur universitaire, le secteur privé et les organisations de la société civile.</w:t>
      </w:r>
    </w:p>
    <w:p w14:paraId="778C831B" w14:textId="77777777" w:rsidR="00293B12" w:rsidRPr="0026653F" w:rsidRDefault="00293B12" w:rsidP="00C618DD">
      <w:pPr>
        <w:suppressAutoHyphens/>
        <w:rPr>
          <w:bCs/>
          <w:szCs w:val="22"/>
          <w:lang w:val="fr-FR"/>
        </w:rPr>
      </w:pPr>
    </w:p>
    <w:p w14:paraId="648E9E83" w14:textId="72B1C167" w:rsidR="00293B12" w:rsidRPr="0026653F" w:rsidRDefault="00293B12" w:rsidP="00C618DD">
      <w:pPr>
        <w:numPr>
          <w:ilvl w:val="0"/>
          <w:numId w:val="45"/>
        </w:numPr>
        <w:suppressAutoHyphens/>
        <w:ind w:left="0"/>
        <w:rPr>
          <w:bCs/>
          <w:szCs w:val="22"/>
          <w:lang w:val="fr-FR"/>
        </w:rPr>
      </w:pPr>
      <w:bookmarkStart w:id="8" w:name="_Hlk50710406"/>
      <w:r w:rsidRPr="0026653F">
        <w:rPr>
          <w:bCs/>
          <w:szCs w:val="22"/>
          <w:lang w:val="fr-FR"/>
        </w:rPr>
        <w:t>De souligner l’importance de désigner au moins un point de contact national au</w:t>
      </w:r>
      <w:r w:rsidR="00E807DE" w:rsidRPr="0026653F">
        <w:rPr>
          <w:bCs/>
          <w:szCs w:val="22"/>
          <w:lang w:val="fr-FR"/>
        </w:rPr>
        <w:t>près du</w:t>
      </w:r>
      <w:r w:rsidRPr="0026653F">
        <w:rPr>
          <w:bCs/>
          <w:szCs w:val="22"/>
          <w:lang w:val="fr-FR"/>
        </w:rPr>
        <w:t xml:space="preserve"> CICTE, avec la recommandation que ce point de contact soit compétent en matière de prévention et de lutte contre le terrorisme, l’objectif étant de renforcer la coopération au sein de la région et de faciliter l’échange d’informations ainsi que </w:t>
      </w:r>
      <w:r w:rsidR="00E807DE" w:rsidRPr="0026653F">
        <w:rPr>
          <w:bCs/>
          <w:szCs w:val="22"/>
          <w:lang w:val="fr-FR"/>
        </w:rPr>
        <w:t xml:space="preserve">la </w:t>
      </w:r>
      <w:r w:rsidRPr="0026653F">
        <w:rPr>
          <w:bCs/>
          <w:szCs w:val="22"/>
          <w:lang w:val="fr-FR"/>
        </w:rPr>
        <w:t xml:space="preserve">coopération </w:t>
      </w:r>
      <w:r w:rsidR="00E807DE" w:rsidRPr="0026653F">
        <w:rPr>
          <w:bCs/>
          <w:szCs w:val="22"/>
          <w:lang w:val="fr-FR"/>
        </w:rPr>
        <w:t xml:space="preserve">étroite </w:t>
      </w:r>
      <w:r w:rsidRPr="0026653F">
        <w:rPr>
          <w:bCs/>
          <w:szCs w:val="22"/>
          <w:lang w:val="fr-FR"/>
        </w:rPr>
        <w:t>entre les autorités des différents pays.</w:t>
      </w:r>
    </w:p>
    <w:p w14:paraId="4E640398" w14:textId="77777777" w:rsidR="00293B12" w:rsidRPr="0026653F" w:rsidRDefault="00293B12" w:rsidP="00C618DD">
      <w:pPr>
        <w:suppressAutoHyphens/>
        <w:rPr>
          <w:bCs/>
          <w:szCs w:val="22"/>
          <w:lang w:val="fr-FR"/>
        </w:rPr>
      </w:pPr>
    </w:p>
    <w:bookmarkEnd w:id="8"/>
    <w:p w14:paraId="6DEACFA8" w14:textId="285584AE"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déployer davantage d’efforts afin de renforcer les capacités, de développer une résilience, </w:t>
      </w:r>
      <w:r w:rsidR="004603B6" w:rsidRPr="0026653F">
        <w:rPr>
          <w:bCs/>
          <w:szCs w:val="22"/>
          <w:lang w:val="fr-FR"/>
        </w:rPr>
        <w:t>d’améliorer l’état</w:t>
      </w:r>
      <w:r w:rsidR="0010424C" w:rsidRPr="0026653F">
        <w:rPr>
          <w:bCs/>
          <w:szCs w:val="22"/>
          <w:lang w:val="fr-FR"/>
        </w:rPr>
        <w:t xml:space="preserve"> de </w:t>
      </w:r>
      <w:r w:rsidRPr="0026653F">
        <w:rPr>
          <w:bCs/>
          <w:szCs w:val="22"/>
          <w:lang w:val="fr-FR"/>
        </w:rPr>
        <w:t xml:space="preserve">préparation dans tous les secteurs de la société et </w:t>
      </w:r>
      <w:r w:rsidR="004603B6" w:rsidRPr="0026653F">
        <w:rPr>
          <w:bCs/>
          <w:szCs w:val="22"/>
          <w:lang w:val="fr-FR"/>
        </w:rPr>
        <w:t xml:space="preserve">de favoriser l’adoption de lois </w:t>
      </w:r>
      <w:r w:rsidRPr="0026653F">
        <w:rPr>
          <w:bCs/>
          <w:szCs w:val="22"/>
          <w:lang w:val="fr-FR"/>
        </w:rPr>
        <w:t>nationale</w:t>
      </w:r>
      <w:r w:rsidR="004603B6" w:rsidRPr="0026653F">
        <w:rPr>
          <w:bCs/>
          <w:szCs w:val="22"/>
          <w:lang w:val="fr-FR"/>
        </w:rPr>
        <w:t>s</w:t>
      </w:r>
      <w:r w:rsidRPr="0026653F">
        <w:rPr>
          <w:bCs/>
          <w:szCs w:val="22"/>
          <w:lang w:val="fr-FR"/>
        </w:rPr>
        <w:t xml:space="preserve"> contre le terrorisme ainsi que les systèmes d’enquête et de poursuites </w:t>
      </w:r>
      <w:r w:rsidR="00E807DE" w:rsidRPr="0026653F">
        <w:rPr>
          <w:bCs/>
          <w:szCs w:val="22"/>
          <w:lang w:val="fr-FR"/>
        </w:rPr>
        <w:t xml:space="preserve">judiciaires </w:t>
      </w:r>
      <w:r w:rsidRPr="0026653F">
        <w:rPr>
          <w:bCs/>
          <w:szCs w:val="22"/>
          <w:lang w:val="fr-FR"/>
        </w:rPr>
        <w:t>dans les États membres afin de prévenir tout incident terroriste et d’en atténuer les effets, notamment en établissant des partenariats entre les secteurs public et privé le cas échéant.</w:t>
      </w:r>
    </w:p>
    <w:p w14:paraId="642D6062" w14:textId="77777777" w:rsidR="00293B12" w:rsidRPr="0026653F" w:rsidRDefault="00293B12" w:rsidP="00C618DD">
      <w:pPr>
        <w:jc w:val="left"/>
        <w:rPr>
          <w:bCs/>
          <w:szCs w:val="22"/>
          <w:lang w:val="fr-FR"/>
        </w:rPr>
      </w:pPr>
    </w:p>
    <w:p w14:paraId="3BD76F49" w14:textId="73CFCF37" w:rsidR="00293B12" w:rsidRPr="0026653F" w:rsidRDefault="00293B12" w:rsidP="00C618DD">
      <w:pPr>
        <w:numPr>
          <w:ilvl w:val="0"/>
          <w:numId w:val="45"/>
        </w:numPr>
        <w:suppressAutoHyphens/>
        <w:ind w:left="0"/>
        <w:rPr>
          <w:bCs/>
          <w:szCs w:val="22"/>
          <w:lang w:val="fr-FR"/>
        </w:rPr>
      </w:pPr>
      <w:r w:rsidRPr="0026653F">
        <w:rPr>
          <w:bCs/>
          <w:szCs w:val="22"/>
          <w:lang w:val="fr-FR"/>
        </w:rPr>
        <w:t xml:space="preserve">De continuer à assurer le suivi des réflexions menées et des propositions formulées lors de la dix-neuvième session ordinaire du CICTE tenue en 2019 afin d’améliorer le travail du Comité et de demander au Secrétariat </w:t>
      </w:r>
      <w:r w:rsidR="00F21EA3" w:rsidRPr="0026653F">
        <w:rPr>
          <w:bCs/>
          <w:szCs w:val="22"/>
          <w:lang w:val="fr-FR"/>
        </w:rPr>
        <w:t xml:space="preserve">du CICTE </w:t>
      </w:r>
      <w:r w:rsidR="00E807DE" w:rsidRPr="0026653F">
        <w:rPr>
          <w:bCs/>
          <w:szCs w:val="22"/>
          <w:lang w:val="fr-FR"/>
        </w:rPr>
        <w:t>de faire rapport à</w:t>
      </w:r>
      <w:r w:rsidRPr="0026653F">
        <w:rPr>
          <w:bCs/>
          <w:szCs w:val="22"/>
          <w:lang w:val="fr-FR"/>
        </w:rPr>
        <w:t xml:space="preserve"> la C</w:t>
      </w:r>
      <w:r w:rsidR="00E807DE" w:rsidRPr="0026653F">
        <w:rPr>
          <w:bCs/>
          <w:szCs w:val="22"/>
          <w:lang w:val="fr-FR"/>
        </w:rPr>
        <w:t>SH sur l</w:t>
      </w:r>
      <w:r w:rsidRPr="0026653F">
        <w:rPr>
          <w:bCs/>
          <w:szCs w:val="22"/>
          <w:lang w:val="fr-FR"/>
        </w:rPr>
        <w:t>es progrès réalisés en la matière, si nécessaire.</w:t>
      </w:r>
    </w:p>
    <w:p w14:paraId="52D51BA2" w14:textId="77777777" w:rsidR="00293B12" w:rsidRPr="0026653F" w:rsidRDefault="00293B12" w:rsidP="00C618DD">
      <w:pPr>
        <w:jc w:val="left"/>
        <w:rPr>
          <w:bCs/>
          <w:szCs w:val="22"/>
          <w:lang w:val="fr-FR"/>
        </w:rPr>
      </w:pPr>
    </w:p>
    <w:p w14:paraId="54920711" w14:textId="064D602E" w:rsidR="00293B12" w:rsidRPr="0026653F" w:rsidRDefault="00293B12" w:rsidP="00C618DD">
      <w:pPr>
        <w:numPr>
          <w:ilvl w:val="0"/>
          <w:numId w:val="45"/>
        </w:numPr>
        <w:suppressAutoHyphens/>
        <w:ind w:left="0"/>
        <w:rPr>
          <w:bCs/>
          <w:szCs w:val="22"/>
          <w:lang w:val="fr-FR"/>
        </w:rPr>
      </w:pPr>
      <w:r w:rsidRPr="0026653F">
        <w:rPr>
          <w:bCs/>
          <w:szCs w:val="22"/>
          <w:lang w:val="fr-FR"/>
        </w:rPr>
        <w:t>De continuer à renforcer la coopération et l’échange d’informations entre les États</w:t>
      </w:r>
      <w:r w:rsidR="00F7092E" w:rsidRPr="0026653F">
        <w:rPr>
          <w:bCs/>
          <w:szCs w:val="22"/>
          <w:lang w:val="fr-FR"/>
        </w:rPr>
        <w:t xml:space="preserve"> membres</w:t>
      </w:r>
      <w:r w:rsidRPr="0026653F">
        <w:rPr>
          <w:bCs/>
          <w:szCs w:val="22"/>
          <w:lang w:val="fr-FR"/>
        </w:rPr>
        <w:t xml:space="preserve"> afin de prévenir, </w:t>
      </w:r>
      <w:r w:rsidR="00E807DE" w:rsidRPr="0026653F">
        <w:rPr>
          <w:bCs/>
          <w:szCs w:val="22"/>
          <w:lang w:val="fr-FR"/>
        </w:rPr>
        <w:t>d’investiguer</w:t>
      </w:r>
      <w:r w:rsidRPr="0026653F">
        <w:rPr>
          <w:bCs/>
          <w:szCs w:val="22"/>
          <w:lang w:val="fr-FR"/>
        </w:rPr>
        <w:t xml:space="preserve">, de combattre et de sanctionner les actes terroristes, y compris à favoriser le plein fonctionnement du Réseau interaméricain contre le terrorisme, initiative mise en œuvre par le Secrétariat du CICTE </w:t>
      </w:r>
      <w:r w:rsidR="00E807DE" w:rsidRPr="0026653F">
        <w:rPr>
          <w:bCs/>
          <w:szCs w:val="22"/>
          <w:lang w:val="fr-FR"/>
        </w:rPr>
        <w:t xml:space="preserve">à titre </w:t>
      </w:r>
      <w:r w:rsidRPr="0026653F">
        <w:rPr>
          <w:bCs/>
          <w:szCs w:val="22"/>
          <w:lang w:val="fr-FR"/>
        </w:rPr>
        <w:t xml:space="preserve">de mécanisme rapide et sûr pour échanger des informations opérationnelles sur les menaces terroristes, et </w:t>
      </w:r>
      <w:r w:rsidR="00E807DE" w:rsidRPr="0026653F">
        <w:rPr>
          <w:bCs/>
          <w:szCs w:val="22"/>
          <w:lang w:val="fr-FR"/>
        </w:rPr>
        <w:t>d’</w:t>
      </w:r>
      <w:r w:rsidRPr="0026653F">
        <w:rPr>
          <w:bCs/>
          <w:szCs w:val="22"/>
          <w:lang w:val="fr-FR"/>
        </w:rPr>
        <w:t xml:space="preserve">encourager tous les États membres qui ne l’ont pas encore fait </w:t>
      </w:r>
      <w:r w:rsidR="00E807DE" w:rsidRPr="0026653F">
        <w:rPr>
          <w:bCs/>
          <w:szCs w:val="22"/>
          <w:lang w:val="fr-FR"/>
        </w:rPr>
        <w:t>à</w:t>
      </w:r>
      <w:r w:rsidRPr="0026653F">
        <w:rPr>
          <w:bCs/>
          <w:szCs w:val="22"/>
          <w:lang w:val="fr-FR"/>
        </w:rPr>
        <w:t xml:space="preserve"> désigner des points de contact au</w:t>
      </w:r>
      <w:r w:rsidR="00E807DE" w:rsidRPr="0026653F">
        <w:rPr>
          <w:bCs/>
          <w:szCs w:val="22"/>
          <w:lang w:val="fr-FR"/>
        </w:rPr>
        <w:t>près du</w:t>
      </w:r>
      <w:r w:rsidRPr="0026653F">
        <w:rPr>
          <w:bCs/>
          <w:szCs w:val="22"/>
          <w:lang w:val="fr-FR"/>
        </w:rPr>
        <w:t xml:space="preserve"> Réseau, l’objectif étant de renforcer la capacité </w:t>
      </w:r>
      <w:r w:rsidRPr="0026653F">
        <w:rPr>
          <w:bCs/>
          <w:szCs w:val="22"/>
          <w:lang w:val="fr-FR"/>
        </w:rPr>
        <w:lastRenderedPageBreak/>
        <w:t>de réponse rapide et de favoriser une coopération et une coordination accrues afin de prévenir et de combattre le terrorisme dans les Amériques.</w:t>
      </w:r>
    </w:p>
    <w:p w14:paraId="012602A1" w14:textId="77777777" w:rsidR="00293B12" w:rsidRPr="0026653F" w:rsidRDefault="00293B12" w:rsidP="00C618DD">
      <w:pPr>
        <w:suppressAutoHyphens/>
        <w:rPr>
          <w:bCs/>
          <w:szCs w:val="22"/>
          <w:lang w:val="fr-FR"/>
        </w:rPr>
      </w:pPr>
    </w:p>
    <w:p w14:paraId="2A3F79BC" w14:textId="616F671A" w:rsidR="00293B12" w:rsidRPr="0026653F" w:rsidRDefault="00293B12" w:rsidP="00C618DD">
      <w:pPr>
        <w:suppressAutoHyphens/>
        <w:rPr>
          <w:bCs/>
          <w:szCs w:val="22"/>
          <w:lang w:val="fr-FR"/>
        </w:rPr>
      </w:pPr>
      <w:r w:rsidRPr="0026653F">
        <w:rPr>
          <w:bCs/>
          <w:szCs w:val="22"/>
          <w:lang w:val="fr-FR"/>
        </w:rPr>
        <w:tab/>
        <w:t>160.</w:t>
      </w:r>
      <w:r w:rsidRPr="0026653F">
        <w:rPr>
          <w:bCs/>
          <w:szCs w:val="22"/>
          <w:lang w:val="fr-FR"/>
        </w:rPr>
        <w:tab/>
      </w:r>
      <w:r w:rsidR="007C3FE5" w:rsidRPr="0026653F">
        <w:rPr>
          <w:bCs/>
          <w:szCs w:val="22"/>
          <w:lang w:val="fr-FR"/>
        </w:rPr>
        <w:t xml:space="preserve">De saluer </w:t>
      </w:r>
      <w:r w:rsidRPr="0026653F">
        <w:rPr>
          <w:bCs/>
          <w:szCs w:val="22"/>
          <w:lang w:val="fr-FR"/>
        </w:rPr>
        <w:t xml:space="preserve">la collaboration continue entre le Secrétariat du CICTE, la Direction exécutive du Comité contre le terrorisme </w:t>
      </w:r>
      <w:r w:rsidR="00F42356" w:rsidRPr="0026653F">
        <w:rPr>
          <w:bCs/>
          <w:szCs w:val="22"/>
          <w:lang w:val="fr-FR"/>
        </w:rPr>
        <w:t>et</w:t>
      </w:r>
      <w:r w:rsidRPr="0026653F">
        <w:rPr>
          <w:bCs/>
          <w:szCs w:val="22"/>
          <w:lang w:val="fr-FR"/>
        </w:rPr>
        <w:t xml:space="preserve"> le Bureau de lutte contre le terrorisme </w:t>
      </w:r>
      <w:r w:rsidR="00F42356" w:rsidRPr="0026653F">
        <w:rPr>
          <w:bCs/>
          <w:szCs w:val="22"/>
          <w:lang w:val="fr-FR"/>
        </w:rPr>
        <w:t xml:space="preserve">de l’ONU </w:t>
      </w:r>
      <w:r w:rsidRPr="0026653F">
        <w:rPr>
          <w:bCs/>
          <w:szCs w:val="22"/>
          <w:lang w:val="fr-FR"/>
        </w:rPr>
        <w:t>ainsi que les autres organisations internationales, organismes régionaux et agences spécialisées en la matière</w:t>
      </w:r>
      <w:r w:rsidR="00F42356" w:rsidRPr="0026653F">
        <w:rPr>
          <w:bCs/>
          <w:szCs w:val="22"/>
          <w:lang w:val="fr-FR"/>
        </w:rPr>
        <w:t xml:space="preserve"> </w:t>
      </w:r>
      <w:r w:rsidRPr="0026653F">
        <w:rPr>
          <w:bCs/>
          <w:szCs w:val="22"/>
          <w:lang w:val="fr-FR"/>
        </w:rPr>
        <w:t>afin de mettre l’accent sur les contributions importantes des organisations régionales, de coordonner plus étroitement la coopération continentale, de rechercher la complémentarité et d’éviter le chevauchement des divers efforts déployés pour combattre le terrorisme.</w:t>
      </w:r>
    </w:p>
    <w:p w14:paraId="602DF152" w14:textId="77777777" w:rsidR="00293B12" w:rsidRPr="0026653F" w:rsidRDefault="00293B12" w:rsidP="00C618DD">
      <w:pPr>
        <w:suppressAutoHyphens/>
        <w:rPr>
          <w:bCs/>
          <w:szCs w:val="22"/>
          <w:lang w:val="fr-FR"/>
        </w:rPr>
      </w:pPr>
    </w:p>
    <w:p w14:paraId="5D8FBBD4" w14:textId="09D33899" w:rsidR="00293B12" w:rsidRPr="0026653F" w:rsidRDefault="00293B12" w:rsidP="00C618DD">
      <w:pPr>
        <w:suppressAutoHyphens/>
        <w:rPr>
          <w:bCs/>
          <w:szCs w:val="22"/>
          <w:lang w:val="fr-FR"/>
        </w:rPr>
      </w:pPr>
      <w:r w:rsidRPr="0026653F">
        <w:rPr>
          <w:bCs/>
          <w:szCs w:val="22"/>
          <w:lang w:val="fr-FR"/>
        </w:rPr>
        <w:tab/>
        <w:t>161.</w:t>
      </w:r>
      <w:r w:rsidRPr="0026653F">
        <w:rPr>
          <w:bCs/>
          <w:szCs w:val="22"/>
          <w:lang w:val="fr-FR"/>
        </w:rPr>
        <w:tab/>
        <w:t xml:space="preserve">De </w:t>
      </w:r>
      <w:r w:rsidR="00F42356" w:rsidRPr="0026653F">
        <w:rPr>
          <w:bCs/>
          <w:szCs w:val="22"/>
          <w:lang w:val="fr-FR"/>
        </w:rPr>
        <w:t xml:space="preserve">faire en sorte </w:t>
      </w:r>
      <w:r w:rsidRPr="0026653F">
        <w:rPr>
          <w:bCs/>
          <w:szCs w:val="22"/>
          <w:lang w:val="fr-FR"/>
        </w:rPr>
        <w:t xml:space="preserve">que le programme-budget 2021 de l’Organisation attribue au Secrétariat du CICTE les ressources financières nécessaires à la mise en œuvre des mandats, programmes et activités énoncés dans le </w:t>
      </w:r>
      <w:r w:rsidR="00F42356" w:rsidRPr="0026653F">
        <w:rPr>
          <w:bCs/>
          <w:szCs w:val="22"/>
          <w:lang w:val="fr-FR"/>
        </w:rPr>
        <w:t>p</w:t>
      </w:r>
      <w:r w:rsidRPr="0026653F">
        <w:rPr>
          <w:bCs/>
          <w:szCs w:val="22"/>
          <w:lang w:val="fr-FR"/>
        </w:rPr>
        <w:t xml:space="preserve">lan de travail </w:t>
      </w:r>
      <w:r w:rsidR="004E59C4" w:rsidRPr="0026653F">
        <w:rPr>
          <w:bCs/>
          <w:szCs w:val="22"/>
          <w:lang w:val="fr-FR"/>
        </w:rPr>
        <w:t xml:space="preserve">2020-2021 </w:t>
      </w:r>
      <w:r w:rsidRPr="0026653F">
        <w:rPr>
          <w:bCs/>
          <w:szCs w:val="22"/>
          <w:lang w:val="fr-FR"/>
        </w:rPr>
        <w:t xml:space="preserve">du CICTE adopté lors de la vingtième session ordinaire ainsi que les ressources suffisantes pour soutenir la préparation et la tenue de la réunion annuelle du CICTE, la participation aux dialogues politiques et techniques sur les questions relevant de sa compétence, le travail commun avec les autres organismes spécialisés en la matière ainsi que </w:t>
      </w:r>
      <w:r w:rsidR="000B606B" w:rsidRPr="0026653F">
        <w:rPr>
          <w:bCs/>
          <w:szCs w:val="22"/>
          <w:lang w:val="fr-FR"/>
        </w:rPr>
        <w:t xml:space="preserve">le </w:t>
      </w:r>
      <w:r w:rsidRPr="0026653F">
        <w:rPr>
          <w:bCs/>
          <w:szCs w:val="22"/>
          <w:lang w:val="fr-FR"/>
        </w:rPr>
        <w:t xml:space="preserve">fonctionnement continu </w:t>
      </w:r>
      <w:r w:rsidR="000B606B" w:rsidRPr="0026653F">
        <w:rPr>
          <w:bCs/>
          <w:szCs w:val="22"/>
          <w:lang w:val="fr-FR"/>
        </w:rPr>
        <w:t xml:space="preserve">de ce </w:t>
      </w:r>
      <w:r w:rsidRPr="0026653F">
        <w:rPr>
          <w:bCs/>
          <w:szCs w:val="22"/>
          <w:lang w:val="fr-FR"/>
        </w:rPr>
        <w:t>Secrétaria</w:t>
      </w:r>
      <w:r w:rsidR="000B606B" w:rsidRPr="0026653F">
        <w:rPr>
          <w:bCs/>
          <w:szCs w:val="22"/>
          <w:lang w:val="fr-FR"/>
        </w:rPr>
        <w:t>t</w:t>
      </w:r>
      <w:r w:rsidRPr="0026653F">
        <w:rPr>
          <w:bCs/>
          <w:szCs w:val="22"/>
          <w:lang w:val="fr-FR"/>
        </w:rPr>
        <w:t>.</w:t>
      </w:r>
    </w:p>
    <w:p w14:paraId="6E259EDC" w14:textId="77777777" w:rsidR="00293B12" w:rsidRPr="0026653F" w:rsidRDefault="00293B12" w:rsidP="00C618DD">
      <w:pPr>
        <w:suppressAutoHyphens/>
        <w:rPr>
          <w:bCs/>
          <w:szCs w:val="22"/>
          <w:lang w:val="fr-FR"/>
        </w:rPr>
      </w:pPr>
    </w:p>
    <w:p w14:paraId="344C5EE0" w14:textId="2C936E7F" w:rsidR="00293B12" w:rsidRPr="0026653F" w:rsidRDefault="00293B12" w:rsidP="00C618DD">
      <w:pPr>
        <w:suppressAutoHyphens/>
        <w:rPr>
          <w:bCs/>
          <w:szCs w:val="22"/>
          <w:lang w:val="fr-FR"/>
        </w:rPr>
      </w:pPr>
      <w:r w:rsidRPr="0026653F">
        <w:rPr>
          <w:bCs/>
          <w:szCs w:val="22"/>
          <w:lang w:val="fr-FR"/>
        </w:rPr>
        <w:tab/>
        <w:t>162.</w:t>
      </w:r>
      <w:r w:rsidRPr="0026653F">
        <w:rPr>
          <w:bCs/>
          <w:szCs w:val="22"/>
          <w:lang w:val="fr-FR"/>
        </w:rPr>
        <w:tab/>
        <w:t xml:space="preserve">D’encourager les États membres, les observateurs </w:t>
      </w:r>
      <w:r w:rsidR="00D35E6E" w:rsidRPr="0026653F">
        <w:rPr>
          <w:bCs/>
          <w:szCs w:val="22"/>
          <w:lang w:val="fr-FR"/>
        </w:rPr>
        <w:t xml:space="preserve">permanents </w:t>
      </w:r>
      <w:r w:rsidRPr="0026653F">
        <w:rPr>
          <w:bCs/>
          <w:szCs w:val="22"/>
          <w:lang w:val="fr-FR"/>
        </w:rPr>
        <w:t xml:space="preserve">et les organismes internationaux à continuer de soutenir le Secrétariat du CICTE </w:t>
      </w:r>
      <w:r w:rsidR="00D35E6E" w:rsidRPr="0026653F">
        <w:rPr>
          <w:bCs/>
          <w:szCs w:val="22"/>
          <w:lang w:val="fr-FR"/>
        </w:rPr>
        <w:t xml:space="preserve">au moyen de </w:t>
      </w:r>
      <w:r w:rsidRPr="0026653F">
        <w:rPr>
          <w:bCs/>
          <w:szCs w:val="22"/>
          <w:lang w:val="fr-FR"/>
        </w:rPr>
        <w:t>sources de financement extérieur afin de faciliter l’exécution de ses fonctions.</w:t>
      </w:r>
    </w:p>
    <w:p w14:paraId="70E08213" w14:textId="77777777" w:rsidR="00293B12" w:rsidRPr="0026653F" w:rsidRDefault="00293B12" w:rsidP="00C618DD">
      <w:pPr>
        <w:suppressAutoHyphens/>
        <w:rPr>
          <w:bCs/>
          <w:szCs w:val="22"/>
          <w:lang w:val="fr-FR"/>
        </w:rPr>
      </w:pPr>
    </w:p>
    <w:p w14:paraId="6FEB16C6" w14:textId="072F0B7E" w:rsidR="00293B12" w:rsidRPr="0026653F" w:rsidRDefault="00293B12" w:rsidP="00C618DD">
      <w:pPr>
        <w:suppressAutoHyphens/>
        <w:rPr>
          <w:bCs/>
          <w:szCs w:val="22"/>
          <w:lang w:val="fr-FR"/>
        </w:rPr>
      </w:pPr>
      <w:r w:rsidRPr="0026653F">
        <w:rPr>
          <w:bCs/>
          <w:szCs w:val="22"/>
          <w:lang w:val="fr-FR"/>
        </w:rPr>
        <w:tab/>
        <w:t>163.</w:t>
      </w:r>
      <w:r w:rsidRPr="0026653F">
        <w:rPr>
          <w:bCs/>
          <w:szCs w:val="22"/>
          <w:lang w:val="fr-FR"/>
        </w:rPr>
        <w:tab/>
        <w:t>De convoquer la vingt</w:t>
      </w:r>
      <w:r w:rsidR="00D35E6E" w:rsidRPr="0026653F">
        <w:rPr>
          <w:bCs/>
          <w:szCs w:val="22"/>
          <w:lang w:val="fr-FR"/>
        </w:rPr>
        <w:t>-et-</w:t>
      </w:r>
      <w:r w:rsidRPr="0026653F">
        <w:rPr>
          <w:bCs/>
          <w:szCs w:val="22"/>
          <w:lang w:val="fr-FR"/>
        </w:rPr>
        <w:t xml:space="preserve">unième session ordinaire du CICTE </w:t>
      </w:r>
      <w:r w:rsidR="00D35E6E" w:rsidRPr="0026653F">
        <w:rPr>
          <w:bCs/>
          <w:szCs w:val="22"/>
          <w:lang w:val="fr-FR"/>
        </w:rPr>
        <w:t xml:space="preserve">pour le </w:t>
      </w:r>
      <w:r w:rsidRPr="0026653F">
        <w:rPr>
          <w:bCs/>
          <w:szCs w:val="22"/>
          <w:lang w:val="fr-FR"/>
        </w:rPr>
        <w:t xml:space="preserve">premier semestre </w:t>
      </w:r>
      <w:r w:rsidR="00BE3299" w:rsidRPr="0026653F">
        <w:rPr>
          <w:bCs/>
          <w:szCs w:val="22"/>
          <w:lang w:val="fr-FR"/>
        </w:rPr>
        <w:t xml:space="preserve">de </w:t>
      </w:r>
      <w:r w:rsidRPr="0026653F">
        <w:rPr>
          <w:bCs/>
          <w:szCs w:val="22"/>
          <w:lang w:val="fr-FR"/>
        </w:rPr>
        <w:t>2021 ou suffisamment longtemps avant la tenue de la session ordinaire de l’Assemblée générale cette même année.</w:t>
      </w:r>
    </w:p>
    <w:p w14:paraId="28D59E25" w14:textId="77777777" w:rsidR="00293B12" w:rsidRPr="0026653F" w:rsidRDefault="00293B12" w:rsidP="00C618DD">
      <w:pPr>
        <w:suppressAutoHyphens/>
        <w:rPr>
          <w:bCs/>
          <w:szCs w:val="22"/>
          <w:lang w:val="fr-FR"/>
        </w:rPr>
      </w:pPr>
    </w:p>
    <w:p w14:paraId="2620C0CB" w14:textId="32D8A64F" w:rsidR="00293B12" w:rsidRPr="0026653F" w:rsidRDefault="00293B12" w:rsidP="00C618DD">
      <w:pPr>
        <w:suppressAutoHyphens/>
        <w:rPr>
          <w:bCs/>
          <w:szCs w:val="22"/>
          <w:lang w:val="fr-FR"/>
        </w:rPr>
      </w:pPr>
      <w:r w:rsidRPr="0026653F">
        <w:rPr>
          <w:bCs/>
          <w:szCs w:val="22"/>
          <w:lang w:val="fr-FR"/>
        </w:rPr>
        <w:tab/>
        <w:t>164.</w:t>
      </w:r>
      <w:r w:rsidRPr="0026653F">
        <w:rPr>
          <w:bCs/>
          <w:szCs w:val="22"/>
          <w:lang w:val="fr-FR"/>
        </w:rPr>
        <w:tab/>
        <w:t xml:space="preserve">De demander à la </w:t>
      </w:r>
      <w:r w:rsidR="00D35E6E" w:rsidRPr="0026653F">
        <w:rPr>
          <w:bCs/>
          <w:szCs w:val="22"/>
          <w:lang w:val="fr-FR"/>
        </w:rPr>
        <w:t>p</w:t>
      </w:r>
      <w:r w:rsidRPr="0026653F">
        <w:rPr>
          <w:bCs/>
          <w:szCs w:val="22"/>
          <w:lang w:val="fr-FR"/>
        </w:rPr>
        <w:t>résidence du CICTE d’informer l’Assemblée générale, lors de sa cinquante</w:t>
      </w:r>
      <w:r w:rsidR="00D35E6E" w:rsidRPr="0026653F">
        <w:rPr>
          <w:bCs/>
          <w:szCs w:val="22"/>
          <w:lang w:val="fr-FR"/>
        </w:rPr>
        <w:t>-et-</w:t>
      </w:r>
      <w:r w:rsidRPr="0026653F">
        <w:rPr>
          <w:bCs/>
          <w:szCs w:val="22"/>
          <w:lang w:val="fr-FR"/>
        </w:rPr>
        <w:t>unième session ordinaire, de la mise en œuvre des mandats énoncés dans le</w:t>
      </w:r>
      <w:r w:rsidR="00D35E6E" w:rsidRPr="0026653F">
        <w:rPr>
          <w:bCs/>
          <w:szCs w:val="22"/>
          <w:lang w:val="fr-FR"/>
        </w:rPr>
        <w:t xml:space="preserve"> p</w:t>
      </w:r>
      <w:r w:rsidRPr="0026653F">
        <w:rPr>
          <w:bCs/>
          <w:szCs w:val="22"/>
          <w:lang w:val="fr-FR"/>
        </w:rPr>
        <w:t xml:space="preserve">lan de travail </w:t>
      </w:r>
      <w:r w:rsidR="004E59C4" w:rsidRPr="0026653F">
        <w:rPr>
          <w:bCs/>
          <w:szCs w:val="22"/>
          <w:lang w:val="fr-FR"/>
        </w:rPr>
        <w:t xml:space="preserve">2020-2021 </w:t>
      </w:r>
      <w:r w:rsidRPr="0026653F">
        <w:rPr>
          <w:bCs/>
          <w:szCs w:val="22"/>
          <w:lang w:val="fr-FR"/>
        </w:rPr>
        <w:t>du CICTE.</w:t>
      </w:r>
    </w:p>
    <w:p w14:paraId="5190ECEF" w14:textId="77777777" w:rsidR="00293B12" w:rsidRPr="0026653F" w:rsidRDefault="00293B12" w:rsidP="00C618DD">
      <w:pPr>
        <w:suppressAutoHyphens/>
        <w:rPr>
          <w:bCs/>
          <w:color w:val="000000"/>
          <w:kern w:val="32"/>
          <w:szCs w:val="22"/>
          <w:lang w:val="fr-FR" w:eastAsia="es-ES"/>
        </w:rPr>
      </w:pPr>
    </w:p>
    <w:p w14:paraId="3FDE67B6" w14:textId="3C70EDC1" w:rsidR="00293B12" w:rsidRPr="0026653F" w:rsidRDefault="00293B12" w:rsidP="00C618DD">
      <w:pPr>
        <w:suppressAutoHyphens/>
        <w:ind w:firstLine="720"/>
        <w:rPr>
          <w:bCs/>
          <w:color w:val="000000"/>
          <w:kern w:val="32"/>
          <w:szCs w:val="22"/>
          <w:lang w:val="fr-FR" w:eastAsia="es-ES"/>
        </w:rPr>
      </w:pPr>
      <w:r w:rsidRPr="0026653F">
        <w:rPr>
          <w:bCs/>
          <w:color w:val="000000"/>
          <w:kern w:val="32"/>
          <w:szCs w:val="22"/>
          <w:u w:val="single"/>
          <w:lang w:val="fr-FR" w:eastAsia="es-ES"/>
        </w:rPr>
        <w:t>Organisation interaméricaine de défense (JID</w:t>
      </w:r>
      <w:r w:rsidRPr="0026653F">
        <w:rPr>
          <w:bCs/>
          <w:color w:val="000000"/>
          <w:kern w:val="32"/>
          <w:szCs w:val="22"/>
          <w:lang w:val="fr-FR" w:eastAsia="es-ES"/>
        </w:rPr>
        <w:t>)</w:t>
      </w:r>
      <w:r w:rsidR="00116563" w:rsidRPr="00116563">
        <w:rPr>
          <w:bCs/>
          <w:color w:val="000000"/>
          <w:kern w:val="32"/>
          <w:szCs w:val="22"/>
          <w:vertAlign w:val="superscript"/>
          <w:lang w:val="fr-FR" w:eastAsia="es-ES"/>
        </w:rPr>
        <w:t xml:space="preserve"> </w:t>
      </w:r>
      <w:r w:rsidRPr="00116563">
        <w:rPr>
          <w:bCs/>
          <w:kern w:val="32"/>
          <w:szCs w:val="22"/>
          <w:u w:val="single"/>
          <w:vertAlign w:val="superscript"/>
          <w:lang w:val="fr-FR" w:eastAsia="es-ES"/>
        </w:rPr>
        <w:footnoteReference w:id="29"/>
      </w:r>
      <w:r w:rsidRPr="0026653F">
        <w:rPr>
          <w:bCs/>
          <w:color w:val="000000"/>
          <w:kern w:val="32"/>
          <w:szCs w:val="22"/>
          <w:vertAlign w:val="superscript"/>
          <w:lang w:val="fr-FR" w:eastAsia="es-ES"/>
        </w:rPr>
        <w:t>/</w:t>
      </w:r>
    </w:p>
    <w:p w14:paraId="523D979E" w14:textId="77777777" w:rsidR="00293B12" w:rsidRPr="0026653F" w:rsidRDefault="00293B12" w:rsidP="00C618DD">
      <w:pPr>
        <w:suppressAutoHyphens/>
        <w:jc w:val="left"/>
        <w:rPr>
          <w:color w:val="000000"/>
          <w:szCs w:val="22"/>
          <w:u w:val="single"/>
          <w:lang w:val="fr-FR"/>
        </w:rPr>
      </w:pPr>
    </w:p>
    <w:p w14:paraId="1FEE74D2" w14:textId="1B357A9D" w:rsidR="00293B12" w:rsidRPr="0026653F" w:rsidRDefault="00293B12" w:rsidP="00C618DD">
      <w:pPr>
        <w:suppressAutoHyphens/>
        <w:rPr>
          <w:bCs/>
          <w:color w:val="000000"/>
          <w:szCs w:val="22"/>
          <w:lang w:val="fr-FR"/>
        </w:rPr>
      </w:pPr>
      <w:r w:rsidRPr="0026653F">
        <w:rPr>
          <w:b/>
          <w:color w:val="000000"/>
          <w:szCs w:val="22"/>
          <w:lang w:val="fr-FR"/>
        </w:rPr>
        <w:tab/>
      </w:r>
      <w:r w:rsidRPr="0026653F">
        <w:rPr>
          <w:bCs/>
          <w:color w:val="000000"/>
          <w:szCs w:val="22"/>
          <w:lang w:val="fr-FR"/>
        </w:rPr>
        <w:t>165.</w:t>
      </w:r>
      <w:r w:rsidRPr="0026653F">
        <w:rPr>
          <w:bCs/>
          <w:color w:val="000000"/>
          <w:szCs w:val="22"/>
          <w:lang w:val="fr-FR"/>
        </w:rPr>
        <w:tab/>
        <w:t>De demander que la JID continue de fournir des conseils techniques sur les questions de déminage humanitaire en rapport avec le Programme d’action intégrale contre les mines antipersonnel (AICMA) et de fournir les conseillers techniques et/ou moniteurs d’assurance qualité aux missions établies par l’AICMA pour soutenir les États membres qui en font la demande, dans le but de contribuer à l’objectif consistant à faire des Amériques une zone libre de mines antipersonnel.</w:t>
      </w:r>
    </w:p>
    <w:p w14:paraId="1A046FC3" w14:textId="77777777" w:rsidR="00293B12" w:rsidRPr="0026653F" w:rsidRDefault="00293B12" w:rsidP="00C618DD">
      <w:pPr>
        <w:suppressAutoHyphens/>
        <w:jc w:val="left"/>
        <w:rPr>
          <w:bCs/>
          <w:color w:val="000000"/>
          <w:szCs w:val="22"/>
          <w:lang w:val="fr-FR"/>
        </w:rPr>
      </w:pPr>
    </w:p>
    <w:p w14:paraId="37404CA7" w14:textId="6E7C3850" w:rsidR="00293B12" w:rsidRPr="0026653F" w:rsidRDefault="00293B12" w:rsidP="00C618DD">
      <w:pPr>
        <w:numPr>
          <w:ilvl w:val="0"/>
          <w:numId w:val="47"/>
        </w:numPr>
        <w:suppressAutoHyphens/>
        <w:ind w:left="0" w:firstLine="709"/>
        <w:rPr>
          <w:bCs/>
          <w:i/>
          <w:color w:val="000000"/>
          <w:szCs w:val="22"/>
          <w:lang w:val="fr-FR"/>
        </w:rPr>
      </w:pPr>
      <w:r w:rsidRPr="0026653F">
        <w:rPr>
          <w:bCs/>
          <w:szCs w:val="22"/>
          <w:lang w:val="fr-FR"/>
        </w:rPr>
        <w:t xml:space="preserve">De demander que la JID diffuse des leçons tirées en matière de déminage humanitaire des pays du </w:t>
      </w:r>
      <w:r w:rsidR="00D35E6E" w:rsidRPr="0026653F">
        <w:rPr>
          <w:bCs/>
          <w:szCs w:val="22"/>
          <w:lang w:val="fr-FR"/>
        </w:rPr>
        <w:t>c</w:t>
      </w:r>
      <w:r w:rsidRPr="0026653F">
        <w:rPr>
          <w:bCs/>
          <w:szCs w:val="22"/>
          <w:lang w:val="fr-FR"/>
        </w:rPr>
        <w:t>ontinent américain dans le but d’améliorer le modèle et d’être à même de l’appliquer à l’avenir à d’autres pays ou missions dans la région, afin de contribuer au défi que constitue l</w:t>
      </w:r>
      <w:r w:rsidR="0088391E" w:rsidRPr="0026653F">
        <w:rPr>
          <w:bCs/>
          <w:szCs w:val="22"/>
          <w:lang w:val="fr-FR"/>
        </w:rPr>
        <w:t>a réalisation de l’objectif</w:t>
      </w:r>
      <w:r w:rsidRPr="0026653F">
        <w:rPr>
          <w:bCs/>
          <w:szCs w:val="22"/>
          <w:lang w:val="fr-FR"/>
        </w:rPr>
        <w:t xml:space="preserve"> « Les Amériques : zone libre de mines</w:t>
      </w:r>
      <w:r w:rsidR="0088391E" w:rsidRPr="0026653F">
        <w:rPr>
          <w:bCs/>
          <w:szCs w:val="22"/>
          <w:lang w:val="fr-FR"/>
        </w:rPr>
        <w:t> </w:t>
      </w:r>
      <w:r w:rsidRPr="0026653F">
        <w:rPr>
          <w:bCs/>
          <w:szCs w:val="22"/>
          <w:lang w:val="fr-FR"/>
        </w:rPr>
        <w:t>».</w:t>
      </w:r>
    </w:p>
    <w:p w14:paraId="38C98114" w14:textId="77777777" w:rsidR="00293B12" w:rsidRPr="0026653F" w:rsidRDefault="00293B12" w:rsidP="00C618DD">
      <w:pPr>
        <w:suppressAutoHyphens/>
        <w:rPr>
          <w:bCs/>
          <w:szCs w:val="22"/>
          <w:lang w:val="fr-FR"/>
        </w:rPr>
      </w:pPr>
    </w:p>
    <w:p w14:paraId="2569B103" w14:textId="0CAC009E" w:rsidR="00293B12" w:rsidRPr="0026653F" w:rsidRDefault="00293B12" w:rsidP="00C618DD">
      <w:pPr>
        <w:numPr>
          <w:ilvl w:val="0"/>
          <w:numId w:val="47"/>
        </w:numPr>
        <w:suppressAutoHyphens/>
        <w:ind w:left="0" w:firstLine="709"/>
        <w:rPr>
          <w:bCs/>
          <w:i/>
          <w:szCs w:val="22"/>
          <w:lang w:val="fr-FR"/>
        </w:rPr>
      </w:pPr>
      <w:r w:rsidRPr="0026653F">
        <w:rPr>
          <w:bCs/>
          <w:szCs w:val="22"/>
          <w:lang w:val="fr-FR"/>
        </w:rPr>
        <w:t xml:space="preserve">De demander que la JID continue à participer aux activités organisées par l’OEA </w:t>
      </w:r>
      <w:r w:rsidR="003A608B" w:rsidRPr="0026653F">
        <w:rPr>
          <w:bCs/>
          <w:szCs w:val="22"/>
          <w:lang w:val="fr-FR"/>
        </w:rPr>
        <w:t>traitant</w:t>
      </w:r>
      <w:r w:rsidRPr="0026653F">
        <w:rPr>
          <w:bCs/>
          <w:szCs w:val="22"/>
          <w:lang w:val="fr-FR"/>
        </w:rPr>
        <w:t xml:space="preserve"> </w:t>
      </w:r>
      <w:r w:rsidR="003A608B" w:rsidRPr="0026653F">
        <w:rPr>
          <w:bCs/>
          <w:szCs w:val="22"/>
          <w:lang w:val="fr-FR"/>
        </w:rPr>
        <w:t xml:space="preserve">de </w:t>
      </w:r>
      <w:r w:rsidRPr="0026653F">
        <w:rPr>
          <w:bCs/>
          <w:szCs w:val="22"/>
          <w:lang w:val="fr-FR"/>
        </w:rPr>
        <w:t xml:space="preserve">questions techniques en matière de déminage humanitaire ainsi qu’à des </w:t>
      </w:r>
      <w:r w:rsidR="0088391E" w:rsidRPr="0026653F">
        <w:rPr>
          <w:bCs/>
          <w:szCs w:val="22"/>
          <w:lang w:val="fr-FR"/>
        </w:rPr>
        <w:t xml:space="preserve">manifestations </w:t>
      </w:r>
      <w:r w:rsidR="0088391E" w:rsidRPr="0026653F">
        <w:rPr>
          <w:bCs/>
          <w:szCs w:val="22"/>
          <w:lang w:val="fr-FR"/>
        </w:rPr>
        <w:lastRenderedPageBreak/>
        <w:t xml:space="preserve">régionales </w:t>
      </w:r>
      <w:r w:rsidRPr="0026653F">
        <w:rPr>
          <w:bCs/>
          <w:szCs w:val="22"/>
          <w:lang w:val="fr-FR"/>
        </w:rPr>
        <w:t>et internationale</w:t>
      </w:r>
      <w:r w:rsidR="0088391E" w:rsidRPr="0026653F">
        <w:rPr>
          <w:bCs/>
          <w:szCs w:val="22"/>
          <w:lang w:val="fr-FR"/>
        </w:rPr>
        <w:t>s sur la question</w:t>
      </w:r>
      <w:r w:rsidRPr="0026653F">
        <w:rPr>
          <w:bCs/>
          <w:szCs w:val="22"/>
          <w:lang w:val="fr-FR"/>
        </w:rPr>
        <w:t xml:space="preserve">, </w:t>
      </w:r>
      <w:r w:rsidR="0088391E" w:rsidRPr="0026653F">
        <w:rPr>
          <w:bCs/>
          <w:szCs w:val="22"/>
          <w:lang w:val="fr-FR"/>
        </w:rPr>
        <w:t xml:space="preserve">en fonction de </w:t>
      </w:r>
      <w:r w:rsidRPr="0026653F">
        <w:rPr>
          <w:bCs/>
          <w:szCs w:val="22"/>
          <w:lang w:val="fr-FR"/>
        </w:rPr>
        <w:t xml:space="preserve">la disponibilité des ressources financières, afin de renforcer les réseaux et les relations, de mettre des renseignements à jour et de renforcer les </w:t>
      </w:r>
      <w:r w:rsidR="0088391E" w:rsidRPr="0026653F">
        <w:rPr>
          <w:bCs/>
          <w:szCs w:val="22"/>
          <w:lang w:val="fr-FR"/>
        </w:rPr>
        <w:t xml:space="preserve">services consultatifs </w:t>
      </w:r>
      <w:r w:rsidRPr="0026653F">
        <w:rPr>
          <w:bCs/>
          <w:szCs w:val="22"/>
          <w:lang w:val="fr-FR"/>
        </w:rPr>
        <w:t xml:space="preserve">techniques </w:t>
      </w:r>
      <w:r w:rsidR="003A608B" w:rsidRPr="0026653F">
        <w:rPr>
          <w:bCs/>
          <w:szCs w:val="22"/>
          <w:lang w:val="fr-FR"/>
        </w:rPr>
        <w:t xml:space="preserve">fournis à </w:t>
      </w:r>
      <w:r w:rsidR="0088391E" w:rsidRPr="0026653F">
        <w:rPr>
          <w:bCs/>
          <w:szCs w:val="22"/>
          <w:lang w:val="fr-FR"/>
        </w:rPr>
        <w:t>l’</w:t>
      </w:r>
      <w:r w:rsidRPr="0026653F">
        <w:rPr>
          <w:bCs/>
          <w:szCs w:val="22"/>
          <w:lang w:val="fr-FR"/>
        </w:rPr>
        <w:t>AICMA</w:t>
      </w:r>
      <w:r w:rsidR="0088391E" w:rsidRPr="0026653F">
        <w:rPr>
          <w:bCs/>
          <w:szCs w:val="22"/>
          <w:lang w:val="fr-FR"/>
        </w:rPr>
        <w:t>.</w:t>
      </w:r>
    </w:p>
    <w:p w14:paraId="62B88446" w14:textId="77777777" w:rsidR="00293B12" w:rsidRPr="0026653F" w:rsidRDefault="00293B12" w:rsidP="00C618DD">
      <w:pPr>
        <w:suppressAutoHyphens/>
        <w:rPr>
          <w:bCs/>
          <w:szCs w:val="22"/>
          <w:lang w:val="fr-FR"/>
        </w:rPr>
      </w:pPr>
    </w:p>
    <w:p w14:paraId="5BB75682" w14:textId="02F90EFA" w:rsidR="00293B12" w:rsidRPr="0026653F" w:rsidRDefault="00293B12" w:rsidP="00C618DD">
      <w:pPr>
        <w:numPr>
          <w:ilvl w:val="0"/>
          <w:numId w:val="47"/>
        </w:numPr>
        <w:suppressAutoHyphens/>
        <w:ind w:left="0" w:firstLine="709"/>
        <w:rPr>
          <w:bCs/>
          <w:i/>
          <w:szCs w:val="22"/>
          <w:lang w:val="fr-FR"/>
        </w:rPr>
      </w:pPr>
      <w:r w:rsidRPr="0026653F">
        <w:rPr>
          <w:bCs/>
          <w:szCs w:val="22"/>
          <w:lang w:val="fr-FR"/>
        </w:rPr>
        <w:t xml:space="preserve">De demander que la JID continue à travailler avec le SEDI </w:t>
      </w:r>
      <w:r w:rsidR="003A608B" w:rsidRPr="0026653F">
        <w:rPr>
          <w:bCs/>
          <w:szCs w:val="22"/>
          <w:lang w:val="fr-FR"/>
        </w:rPr>
        <w:t xml:space="preserve">pour maintenir </w:t>
      </w:r>
      <w:r w:rsidRPr="0026653F">
        <w:rPr>
          <w:bCs/>
          <w:szCs w:val="22"/>
          <w:lang w:val="fr-FR"/>
        </w:rPr>
        <w:t xml:space="preserve">et mettre à jour : 1) la base de données qui complémente le Réseau interaméricain </w:t>
      </w:r>
      <w:r w:rsidR="003A608B" w:rsidRPr="0026653F">
        <w:rPr>
          <w:bCs/>
          <w:szCs w:val="22"/>
          <w:lang w:val="fr-FR"/>
        </w:rPr>
        <w:t>d</w:t>
      </w:r>
      <w:r w:rsidRPr="0026653F">
        <w:rPr>
          <w:bCs/>
          <w:szCs w:val="22"/>
          <w:lang w:val="fr-FR"/>
        </w:rPr>
        <w:t xml:space="preserve">’atténuation des catastrophes (RIMD) sur les capacités de riposte des États membres </w:t>
      </w:r>
      <w:r w:rsidR="003A608B" w:rsidRPr="0026653F">
        <w:rPr>
          <w:bCs/>
          <w:szCs w:val="22"/>
          <w:lang w:val="fr-FR"/>
        </w:rPr>
        <w:t xml:space="preserve">face </w:t>
      </w:r>
      <w:r w:rsidRPr="0026653F">
        <w:rPr>
          <w:bCs/>
          <w:szCs w:val="22"/>
          <w:lang w:val="fr-FR"/>
        </w:rPr>
        <w:t>à une situation d’urgence</w:t>
      </w:r>
      <w:r w:rsidR="003A608B" w:rsidRPr="0026653F">
        <w:rPr>
          <w:bCs/>
          <w:szCs w:val="22"/>
          <w:lang w:val="fr-FR"/>
        </w:rPr>
        <w:t> ;</w:t>
      </w:r>
      <w:r w:rsidRPr="0026653F">
        <w:rPr>
          <w:bCs/>
          <w:szCs w:val="22"/>
          <w:lang w:val="fr-FR"/>
        </w:rPr>
        <w:t xml:space="preserve"> 2) le répertoire des contacts en cas de catastrophe</w:t>
      </w:r>
      <w:r w:rsidR="003A608B" w:rsidRPr="0026653F">
        <w:rPr>
          <w:bCs/>
          <w:szCs w:val="22"/>
          <w:lang w:val="fr-FR"/>
        </w:rPr>
        <w:t xml:space="preserve"> ; </w:t>
      </w:r>
      <w:r w:rsidRPr="0026653F">
        <w:rPr>
          <w:bCs/>
          <w:szCs w:val="22"/>
          <w:lang w:val="fr-FR"/>
        </w:rPr>
        <w:t xml:space="preserve">3) les accords bilatéraux </w:t>
      </w:r>
      <w:r w:rsidR="003A608B" w:rsidRPr="0026653F">
        <w:rPr>
          <w:bCs/>
          <w:szCs w:val="22"/>
          <w:lang w:val="fr-FR"/>
        </w:rPr>
        <w:t xml:space="preserve">traitant des normes qui </w:t>
      </w:r>
      <w:r w:rsidRPr="0026653F">
        <w:rPr>
          <w:bCs/>
          <w:szCs w:val="22"/>
          <w:lang w:val="fr-FR"/>
        </w:rPr>
        <w:t>facilite</w:t>
      </w:r>
      <w:r w:rsidR="003A608B" w:rsidRPr="0026653F">
        <w:rPr>
          <w:bCs/>
          <w:szCs w:val="22"/>
          <w:lang w:val="fr-FR"/>
        </w:rPr>
        <w:t>nt</w:t>
      </w:r>
      <w:r w:rsidRPr="0026653F">
        <w:rPr>
          <w:bCs/>
          <w:szCs w:val="22"/>
          <w:lang w:val="fr-FR"/>
        </w:rPr>
        <w:t xml:space="preserve"> l</w:t>
      </w:r>
      <w:r w:rsidR="003A608B" w:rsidRPr="0026653F">
        <w:rPr>
          <w:bCs/>
          <w:szCs w:val="22"/>
          <w:lang w:val="fr-FR"/>
        </w:rPr>
        <w:t xml:space="preserve">es interventions </w:t>
      </w:r>
      <w:r w:rsidRPr="0026653F">
        <w:rPr>
          <w:bCs/>
          <w:szCs w:val="22"/>
          <w:lang w:val="fr-FR"/>
        </w:rPr>
        <w:t>de même que l</w:t>
      </w:r>
      <w:r w:rsidR="00430E82" w:rsidRPr="0026653F">
        <w:rPr>
          <w:bCs/>
          <w:szCs w:val="22"/>
          <w:lang w:val="fr-FR"/>
        </w:rPr>
        <w:t xml:space="preserve">e dédouanement </w:t>
      </w:r>
      <w:r w:rsidRPr="0026653F">
        <w:rPr>
          <w:bCs/>
          <w:szCs w:val="22"/>
          <w:lang w:val="fr-FR"/>
        </w:rPr>
        <w:t>d</w:t>
      </w:r>
      <w:r w:rsidR="008F23DC" w:rsidRPr="0026653F">
        <w:rPr>
          <w:bCs/>
          <w:szCs w:val="22"/>
          <w:lang w:val="fr-FR"/>
        </w:rPr>
        <w:t>u</w:t>
      </w:r>
      <w:r w:rsidRPr="0026653F">
        <w:rPr>
          <w:bCs/>
          <w:szCs w:val="22"/>
          <w:lang w:val="fr-FR"/>
        </w:rPr>
        <w:t xml:space="preserve"> matériel et </w:t>
      </w:r>
      <w:r w:rsidR="008F23DC" w:rsidRPr="0026653F">
        <w:rPr>
          <w:bCs/>
          <w:szCs w:val="22"/>
          <w:lang w:val="fr-FR"/>
        </w:rPr>
        <w:t>de l’</w:t>
      </w:r>
      <w:r w:rsidRPr="0026653F">
        <w:rPr>
          <w:bCs/>
          <w:szCs w:val="22"/>
          <w:lang w:val="fr-FR"/>
        </w:rPr>
        <w:t>équipement de recherche et sauvetage.</w:t>
      </w:r>
    </w:p>
    <w:p w14:paraId="237E9457" w14:textId="77777777" w:rsidR="00293B12" w:rsidRPr="0026653F" w:rsidRDefault="00293B12" w:rsidP="00C618DD">
      <w:pPr>
        <w:jc w:val="left"/>
        <w:rPr>
          <w:bCs/>
          <w:i/>
          <w:szCs w:val="22"/>
          <w:lang w:val="fr-FR"/>
        </w:rPr>
      </w:pPr>
    </w:p>
    <w:p w14:paraId="4A0DA2A6" w14:textId="10BBDDFC" w:rsidR="00293B12" w:rsidRPr="0026653F" w:rsidRDefault="00293B12" w:rsidP="00C618DD">
      <w:pPr>
        <w:numPr>
          <w:ilvl w:val="0"/>
          <w:numId w:val="47"/>
        </w:numPr>
        <w:suppressAutoHyphens/>
        <w:ind w:left="0" w:firstLine="709"/>
        <w:rPr>
          <w:bCs/>
          <w:i/>
          <w:szCs w:val="22"/>
          <w:lang w:val="fr-FR"/>
        </w:rPr>
      </w:pPr>
      <w:r w:rsidRPr="0026653F">
        <w:rPr>
          <w:bCs/>
          <w:szCs w:val="22"/>
          <w:lang w:val="fr-FR"/>
        </w:rPr>
        <w:t xml:space="preserve">De charger la JID d’établir un ensemble de procédures d’exécution normalisées pour aider les États membres et les organisations régionales qui participent aux opérations d’aide humanitaire et aux interventions au lendemain des catastrophes visant à atténuer l’éventuelle propagation de la COVID-19 et qui pourrait servir de base </w:t>
      </w:r>
      <w:r w:rsidR="00BE1F93" w:rsidRPr="0026653F">
        <w:rPr>
          <w:bCs/>
          <w:szCs w:val="22"/>
          <w:lang w:val="fr-FR"/>
        </w:rPr>
        <w:t>aux futures interventions post-</w:t>
      </w:r>
      <w:r w:rsidRPr="0026653F">
        <w:rPr>
          <w:bCs/>
          <w:szCs w:val="22"/>
          <w:lang w:val="fr-FR"/>
        </w:rPr>
        <w:t>catastrophe dans la région.</w:t>
      </w:r>
    </w:p>
    <w:p w14:paraId="08259A5E" w14:textId="77777777" w:rsidR="00293B12" w:rsidRPr="0026653F" w:rsidRDefault="00293B12" w:rsidP="00C618DD">
      <w:pPr>
        <w:suppressAutoHyphens/>
        <w:rPr>
          <w:bCs/>
          <w:szCs w:val="22"/>
          <w:lang w:val="fr-FR"/>
        </w:rPr>
      </w:pPr>
    </w:p>
    <w:p w14:paraId="259FB662" w14:textId="6DAD931A" w:rsidR="00293B12" w:rsidRPr="0026653F" w:rsidRDefault="00293B12" w:rsidP="00C618DD">
      <w:pPr>
        <w:suppressAutoHyphens/>
        <w:rPr>
          <w:i/>
          <w:szCs w:val="22"/>
          <w:lang w:val="fr-FR"/>
        </w:rPr>
      </w:pPr>
      <w:r w:rsidRPr="0026653F">
        <w:rPr>
          <w:bCs/>
          <w:szCs w:val="22"/>
          <w:lang w:val="fr-FR"/>
        </w:rPr>
        <w:tab/>
        <w:t>170.</w:t>
      </w:r>
      <w:r w:rsidRPr="0026653F">
        <w:rPr>
          <w:bCs/>
          <w:szCs w:val="22"/>
          <w:lang w:val="fr-FR"/>
        </w:rPr>
        <w:tab/>
        <w:t>D’inviter instamment les États membres à continuer de fournir leur important soutien à la JID par la désignation des ressources humaines requises pour lui permettre de fonctionner de façon appropriée et d’accomplir pleinement ses tâches consultatives à caractère technique au bénéfice de l’OEA.</w:t>
      </w:r>
    </w:p>
    <w:p w14:paraId="7B2483D9" w14:textId="77777777" w:rsidR="00293B12" w:rsidRPr="007D7ED3" w:rsidRDefault="00293B12" w:rsidP="00C618DD">
      <w:pPr>
        <w:suppressAutoHyphens/>
        <w:rPr>
          <w:bCs/>
          <w:iCs/>
          <w:szCs w:val="22"/>
          <w:lang w:val="fr-FR"/>
        </w:rPr>
      </w:pPr>
    </w:p>
    <w:p w14:paraId="42E30927" w14:textId="5F04D62E" w:rsidR="00293B12" w:rsidRPr="0026653F" w:rsidRDefault="00293B12" w:rsidP="00C618DD">
      <w:pPr>
        <w:numPr>
          <w:ilvl w:val="0"/>
          <w:numId w:val="48"/>
        </w:numPr>
        <w:suppressAutoHyphens/>
        <w:ind w:left="0" w:firstLine="720"/>
        <w:rPr>
          <w:bCs/>
          <w:i/>
          <w:szCs w:val="22"/>
          <w:lang w:val="fr-FR"/>
        </w:rPr>
      </w:pPr>
      <w:r w:rsidRPr="0026653F">
        <w:rPr>
          <w:bCs/>
          <w:szCs w:val="22"/>
          <w:lang w:val="fr-FR"/>
        </w:rPr>
        <w:t xml:space="preserve">De demander à la JID de coordonner avec le SEDI et le Secrétariat exécutif de la CMDA et, selon la disponibilité des ressources financières, d’organiser et de réaliser un exercice de simulation sur la gestion des catastrophes, la réponse à des catastrophes et les opérations d’aide humanitaire dans le but d’intégrer les efforts demandés </w:t>
      </w:r>
      <w:r w:rsidR="00BE1F93" w:rsidRPr="0026653F">
        <w:rPr>
          <w:bCs/>
          <w:szCs w:val="22"/>
          <w:lang w:val="fr-FR"/>
        </w:rPr>
        <w:t>à</w:t>
      </w:r>
      <w:r w:rsidRPr="0026653F">
        <w:rPr>
          <w:bCs/>
          <w:szCs w:val="22"/>
          <w:lang w:val="fr-FR"/>
        </w:rPr>
        <w:t xml:space="preserve"> la JID par la Commission interaméricaine sur la réduction des catastrophes naturelles aux efforts demandés par le Secrétariat exécutif de la CMDA.</w:t>
      </w:r>
    </w:p>
    <w:p w14:paraId="1AE2F79C" w14:textId="77777777" w:rsidR="00293B12" w:rsidRPr="0026653F" w:rsidRDefault="00293B12" w:rsidP="00C618DD">
      <w:pPr>
        <w:suppressAutoHyphens/>
        <w:rPr>
          <w:bCs/>
          <w:szCs w:val="22"/>
          <w:lang w:val="fr-FR"/>
        </w:rPr>
      </w:pPr>
    </w:p>
    <w:p w14:paraId="1041D85E" w14:textId="62A1974A"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 demander que la JID analyse </w:t>
      </w:r>
      <w:r w:rsidR="00F038B4" w:rsidRPr="0026653F">
        <w:rPr>
          <w:bCs/>
          <w:szCs w:val="22"/>
          <w:lang w:val="fr-FR"/>
        </w:rPr>
        <w:t>le P</w:t>
      </w:r>
      <w:r w:rsidRPr="0026653F">
        <w:rPr>
          <w:bCs/>
          <w:szCs w:val="22"/>
          <w:lang w:val="fr-FR"/>
        </w:rPr>
        <w:t xml:space="preserve">lan amélioré de la JID pour des services consultatifs dans le cadre de la réponse à des catastrophes au sein du </w:t>
      </w:r>
      <w:r w:rsidR="00786B56" w:rsidRPr="0026653F">
        <w:rPr>
          <w:bCs/>
          <w:szCs w:val="22"/>
          <w:lang w:val="fr-FR"/>
        </w:rPr>
        <w:t>s</w:t>
      </w:r>
      <w:r w:rsidRPr="0026653F">
        <w:rPr>
          <w:bCs/>
          <w:szCs w:val="22"/>
          <w:lang w:val="fr-FR"/>
        </w:rPr>
        <w:t>ystème interaméricain, en consultation avec le SEDI</w:t>
      </w:r>
      <w:r w:rsidR="00F038B4" w:rsidRPr="0026653F">
        <w:rPr>
          <w:bCs/>
          <w:szCs w:val="22"/>
          <w:lang w:val="fr-FR"/>
        </w:rPr>
        <w:t xml:space="preserve"> et formule des recommandations aux fins de modification de celui-ci </w:t>
      </w:r>
      <w:r w:rsidRPr="0026653F">
        <w:rPr>
          <w:bCs/>
          <w:szCs w:val="22"/>
          <w:lang w:val="fr-FR"/>
        </w:rPr>
        <w:t xml:space="preserve">à l’appui des efforts déployés par l’OEA pour </w:t>
      </w:r>
      <w:r w:rsidR="00F038B4" w:rsidRPr="0026653F">
        <w:rPr>
          <w:bCs/>
          <w:szCs w:val="22"/>
          <w:lang w:val="fr-FR"/>
        </w:rPr>
        <w:t>réorienter</w:t>
      </w:r>
      <w:r w:rsidRPr="0026653F">
        <w:rPr>
          <w:bCs/>
          <w:szCs w:val="22"/>
          <w:lang w:val="fr-FR"/>
        </w:rPr>
        <w:t xml:space="preserve"> les mesures visant à répondre aux catastrophes </w:t>
      </w:r>
      <w:r w:rsidR="00F038B4" w:rsidRPr="0026653F">
        <w:rPr>
          <w:bCs/>
          <w:szCs w:val="22"/>
          <w:lang w:val="fr-FR"/>
        </w:rPr>
        <w:t>conjointement avec l</w:t>
      </w:r>
      <w:r w:rsidRPr="0026653F">
        <w:rPr>
          <w:bCs/>
          <w:szCs w:val="22"/>
          <w:lang w:val="fr-FR"/>
        </w:rPr>
        <w:t xml:space="preserve">es organisations et institutions régionales </w:t>
      </w:r>
      <w:r w:rsidR="00F038B4" w:rsidRPr="0026653F">
        <w:rPr>
          <w:bCs/>
          <w:szCs w:val="22"/>
          <w:lang w:val="fr-FR"/>
        </w:rPr>
        <w:t>compétentes en matière d</w:t>
      </w:r>
      <w:r w:rsidRPr="0026653F">
        <w:rPr>
          <w:bCs/>
          <w:szCs w:val="22"/>
          <w:lang w:val="fr-FR"/>
        </w:rPr>
        <w:t>’atténuation des catastrophes.</w:t>
      </w:r>
    </w:p>
    <w:p w14:paraId="49164692" w14:textId="77777777" w:rsidR="00293B12" w:rsidRPr="0026653F" w:rsidRDefault="00293B12" w:rsidP="00C618DD">
      <w:pPr>
        <w:rPr>
          <w:bCs/>
          <w:szCs w:val="22"/>
          <w:lang w:val="fr-FR"/>
        </w:rPr>
      </w:pPr>
    </w:p>
    <w:p w14:paraId="769E2042" w14:textId="0E2A003A" w:rsidR="00293B12" w:rsidRPr="0026653F" w:rsidRDefault="00293B12" w:rsidP="00C618DD">
      <w:pPr>
        <w:numPr>
          <w:ilvl w:val="0"/>
          <w:numId w:val="48"/>
        </w:numPr>
        <w:suppressAutoHyphens/>
        <w:ind w:left="0" w:firstLine="720"/>
        <w:rPr>
          <w:bCs/>
          <w:szCs w:val="22"/>
          <w:lang w:val="fr-FR"/>
        </w:rPr>
      </w:pPr>
      <w:r w:rsidRPr="0026653F">
        <w:rPr>
          <w:bCs/>
          <w:szCs w:val="22"/>
          <w:lang w:val="fr-FR"/>
        </w:rPr>
        <w:t>De demander que la JID organise, en coordination avec le SEDI</w:t>
      </w:r>
      <w:r w:rsidR="00F038B4" w:rsidRPr="0026653F">
        <w:rPr>
          <w:bCs/>
          <w:szCs w:val="22"/>
          <w:lang w:val="fr-FR"/>
        </w:rPr>
        <w:t>,</w:t>
      </w:r>
      <w:r w:rsidRPr="0026653F">
        <w:rPr>
          <w:bCs/>
          <w:szCs w:val="22"/>
          <w:lang w:val="fr-FR"/>
        </w:rPr>
        <w:t xml:space="preserve"> une conférence sur la protection des infrastructures essentielles en cas de catastrophe, selon la disponibilité de ressources financières, à partir des leçons tirées </w:t>
      </w:r>
      <w:r w:rsidR="00F038B4" w:rsidRPr="0026653F">
        <w:rPr>
          <w:bCs/>
          <w:szCs w:val="22"/>
          <w:lang w:val="fr-FR"/>
        </w:rPr>
        <w:t>à travers le c</w:t>
      </w:r>
      <w:r w:rsidRPr="0026653F">
        <w:rPr>
          <w:bCs/>
          <w:szCs w:val="22"/>
          <w:lang w:val="fr-FR"/>
        </w:rPr>
        <w:t xml:space="preserve">ontinent américain et </w:t>
      </w:r>
      <w:r w:rsidR="00F038B4" w:rsidRPr="0026653F">
        <w:rPr>
          <w:bCs/>
          <w:szCs w:val="22"/>
          <w:lang w:val="fr-FR"/>
        </w:rPr>
        <w:t>ailleurs</w:t>
      </w:r>
      <w:r w:rsidRPr="0026653F">
        <w:rPr>
          <w:bCs/>
          <w:szCs w:val="22"/>
          <w:lang w:val="fr-FR"/>
        </w:rPr>
        <w:t>, afin de renforcer les mesures préventives prises contre des menaces similaires.</w:t>
      </w:r>
    </w:p>
    <w:p w14:paraId="2B488049" w14:textId="77777777" w:rsidR="00293B12" w:rsidRPr="0026653F" w:rsidRDefault="00293B12" w:rsidP="00C618DD">
      <w:pPr>
        <w:suppressAutoHyphens/>
        <w:rPr>
          <w:bCs/>
          <w:color w:val="000000"/>
          <w:szCs w:val="22"/>
          <w:lang w:val="fr-FR"/>
        </w:rPr>
      </w:pPr>
    </w:p>
    <w:p w14:paraId="176E312F" w14:textId="36F143E2" w:rsidR="00293B12" w:rsidRPr="0026653F" w:rsidRDefault="00293B12" w:rsidP="00C618DD">
      <w:pPr>
        <w:numPr>
          <w:ilvl w:val="0"/>
          <w:numId w:val="48"/>
        </w:numPr>
        <w:suppressAutoHyphens/>
        <w:ind w:left="0" w:firstLine="720"/>
        <w:rPr>
          <w:bCs/>
          <w:i/>
          <w:szCs w:val="22"/>
          <w:lang w:val="fr-FR"/>
        </w:rPr>
      </w:pPr>
      <w:r w:rsidRPr="0026653F">
        <w:rPr>
          <w:bCs/>
          <w:szCs w:val="22"/>
          <w:lang w:val="fr-FR"/>
        </w:rPr>
        <w:t>De demander que la JID, en coordination avec d’autres organes, organismes et entités, continue à renforcer les mécanismes de coopération en matière de cyberdéfense dans le continent américain par le biais des mesures suivantes :</w:t>
      </w:r>
    </w:p>
    <w:p w14:paraId="7961A88B" w14:textId="77777777" w:rsidR="00293B12" w:rsidRPr="0026653F" w:rsidRDefault="00293B12" w:rsidP="00C618DD">
      <w:pPr>
        <w:suppressAutoHyphens/>
        <w:jc w:val="left"/>
        <w:rPr>
          <w:bCs/>
          <w:szCs w:val="22"/>
          <w:lang w:val="fr-FR"/>
        </w:rPr>
      </w:pPr>
    </w:p>
    <w:p w14:paraId="328BDFD9" w14:textId="60C5FD41" w:rsidR="00293B12" w:rsidRPr="0026653F" w:rsidRDefault="00293B12" w:rsidP="00C618DD">
      <w:pPr>
        <w:numPr>
          <w:ilvl w:val="0"/>
          <w:numId w:val="49"/>
        </w:numPr>
        <w:suppressAutoHyphens/>
        <w:ind w:left="2160" w:hanging="720"/>
        <w:rPr>
          <w:bCs/>
          <w:szCs w:val="22"/>
          <w:lang w:val="fr-FR"/>
        </w:rPr>
      </w:pPr>
      <w:r w:rsidRPr="0026653F">
        <w:rPr>
          <w:bCs/>
          <w:szCs w:val="22"/>
          <w:lang w:val="fr-FR"/>
        </w:rPr>
        <w:t xml:space="preserve">Promouvoir des dialogues et des échanges de haut niveau sur les défis communs en matière de </w:t>
      </w:r>
      <w:r w:rsidR="00F038B4" w:rsidRPr="0026653F">
        <w:rPr>
          <w:bCs/>
          <w:szCs w:val="22"/>
          <w:lang w:val="fr-FR"/>
        </w:rPr>
        <w:t>cyber</w:t>
      </w:r>
      <w:r w:rsidRPr="0026653F">
        <w:rPr>
          <w:bCs/>
          <w:szCs w:val="22"/>
          <w:lang w:val="fr-FR"/>
        </w:rPr>
        <w:t xml:space="preserve">défense et de cybersécurité qui contribuent à améliorer la collaboration et l’échange d’informations </w:t>
      </w:r>
      <w:r w:rsidR="00F038B4" w:rsidRPr="0026653F">
        <w:rPr>
          <w:bCs/>
          <w:szCs w:val="22"/>
          <w:lang w:val="fr-FR"/>
        </w:rPr>
        <w:t>au sein</w:t>
      </w:r>
      <w:r w:rsidRPr="0026653F">
        <w:rPr>
          <w:bCs/>
          <w:szCs w:val="22"/>
          <w:lang w:val="fr-FR"/>
        </w:rPr>
        <w:t xml:space="preserve"> des institutions militaires et des gouvernements dans les Amériques et entre ceux-ci, si </w:t>
      </w:r>
      <w:r w:rsidRPr="0026653F">
        <w:rPr>
          <w:bCs/>
          <w:szCs w:val="22"/>
          <w:lang w:val="fr-FR"/>
        </w:rPr>
        <w:lastRenderedPageBreak/>
        <w:t>nécessaire, par l’intermédiaire de la JID, avec l’appui de la Fondation interaméricaine de défense (FID).</w:t>
      </w:r>
    </w:p>
    <w:p w14:paraId="3B174B58" w14:textId="2691A3BF" w:rsidR="00293B12" w:rsidRPr="0026653F" w:rsidRDefault="00293B12" w:rsidP="00C618DD">
      <w:pPr>
        <w:numPr>
          <w:ilvl w:val="0"/>
          <w:numId w:val="49"/>
        </w:numPr>
        <w:suppressAutoHyphens/>
        <w:ind w:left="2160" w:hanging="720"/>
        <w:rPr>
          <w:bCs/>
          <w:szCs w:val="22"/>
          <w:lang w:val="fr-FR"/>
        </w:rPr>
      </w:pPr>
      <w:r w:rsidRPr="0026653F">
        <w:rPr>
          <w:bCs/>
          <w:szCs w:val="22"/>
          <w:lang w:val="fr-FR"/>
        </w:rPr>
        <w:t xml:space="preserve">Élaborer des programmes de développement des capacités en matière de </w:t>
      </w:r>
      <w:r w:rsidR="00F038B4" w:rsidRPr="0026653F">
        <w:rPr>
          <w:bCs/>
          <w:szCs w:val="22"/>
          <w:lang w:val="fr-FR"/>
        </w:rPr>
        <w:t>cyber</w:t>
      </w:r>
      <w:r w:rsidRPr="0026653F">
        <w:rPr>
          <w:bCs/>
          <w:szCs w:val="22"/>
          <w:lang w:val="fr-FR"/>
        </w:rPr>
        <w:t xml:space="preserve">défense et d’assistance technique </w:t>
      </w:r>
      <w:r w:rsidR="00F038B4" w:rsidRPr="0026653F">
        <w:rPr>
          <w:bCs/>
          <w:szCs w:val="22"/>
          <w:lang w:val="fr-FR"/>
        </w:rPr>
        <w:t xml:space="preserve">s’y rapportant </w:t>
      </w:r>
      <w:r w:rsidRPr="0026653F">
        <w:rPr>
          <w:bCs/>
          <w:szCs w:val="22"/>
          <w:lang w:val="fr-FR"/>
        </w:rPr>
        <w:t xml:space="preserve">à l’intention des États membres sous réserve de la disponibilité des ressources, par l’intermédiaire de la JID et avec le soutien de la </w:t>
      </w:r>
      <w:r w:rsidR="00F038B4" w:rsidRPr="0026653F">
        <w:rPr>
          <w:bCs/>
          <w:szCs w:val="22"/>
          <w:lang w:val="fr-FR"/>
        </w:rPr>
        <w:t>F</w:t>
      </w:r>
      <w:r w:rsidRPr="0026653F">
        <w:rPr>
          <w:bCs/>
          <w:szCs w:val="22"/>
          <w:lang w:val="fr-FR"/>
        </w:rPr>
        <w:t>ID, dans le but de renforcer les stratégies de cyberdéfense et les capacités d’intervention dans le continent américain et de renforcer les compétences, la connaissance et la sensibilisation quant aux menaces de cyberdéfense qui se posent pour les nations, les systèmes, les infrastructures et les opérations au sein des institutions militaires.</w:t>
      </w:r>
    </w:p>
    <w:p w14:paraId="07B23BB3" w14:textId="3C4396E7" w:rsidR="00293B12" w:rsidRPr="0026653F" w:rsidRDefault="00293B12" w:rsidP="00C618DD">
      <w:pPr>
        <w:numPr>
          <w:ilvl w:val="0"/>
          <w:numId w:val="49"/>
        </w:numPr>
        <w:suppressAutoHyphens/>
        <w:ind w:left="2160" w:hanging="720"/>
        <w:rPr>
          <w:bCs/>
          <w:szCs w:val="22"/>
          <w:lang w:val="fr-FR"/>
        </w:rPr>
      </w:pPr>
      <w:r w:rsidRPr="0026653F">
        <w:rPr>
          <w:bCs/>
          <w:szCs w:val="22"/>
          <w:lang w:val="fr-FR"/>
        </w:rPr>
        <w:t>Soutenir la CMDA et d’autres initiatives conçues pour soutenir et encourager la collaboration en matière de cyberdéfense, par l’intermédiaire de la JID et en partenariat avec la FID. À cet égard, de reconnaitre le Forum ibéro-américain de cyberdéfense comme un organisme de coopération et de renforcement des capacités en matière de cyberdéfense</w:t>
      </w:r>
      <w:r w:rsidR="00F038B4" w:rsidRPr="0026653F">
        <w:rPr>
          <w:bCs/>
          <w:szCs w:val="22"/>
          <w:lang w:val="fr-FR"/>
        </w:rPr>
        <w:t xml:space="preserve">, et de s’efforcer à </w:t>
      </w:r>
      <w:r w:rsidRPr="0026653F">
        <w:rPr>
          <w:bCs/>
          <w:szCs w:val="22"/>
          <w:lang w:val="fr-FR"/>
        </w:rPr>
        <w:t>encourager ses initiatives.</w:t>
      </w:r>
    </w:p>
    <w:p w14:paraId="5BA8F580" w14:textId="77777777" w:rsidR="00293B12" w:rsidRPr="0026653F" w:rsidRDefault="00293B12" w:rsidP="00C618DD">
      <w:pPr>
        <w:suppressAutoHyphens/>
        <w:autoSpaceDE w:val="0"/>
        <w:autoSpaceDN w:val="0"/>
        <w:adjustRightInd w:val="0"/>
        <w:rPr>
          <w:bCs/>
          <w:iCs/>
          <w:szCs w:val="22"/>
          <w:lang w:val="fr-FR"/>
        </w:rPr>
      </w:pPr>
    </w:p>
    <w:p w14:paraId="7BDF2788" w14:textId="0800DE75" w:rsidR="00293B12" w:rsidRPr="0026653F" w:rsidRDefault="00293B12" w:rsidP="00C618DD">
      <w:pPr>
        <w:numPr>
          <w:ilvl w:val="0"/>
          <w:numId w:val="48"/>
        </w:numPr>
        <w:suppressAutoHyphens/>
        <w:autoSpaceDE w:val="0"/>
        <w:autoSpaceDN w:val="0"/>
        <w:adjustRightInd w:val="0"/>
        <w:ind w:left="0" w:firstLine="720"/>
        <w:rPr>
          <w:bCs/>
          <w:iCs/>
          <w:szCs w:val="22"/>
          <w:lang w:val="fr-FR"/>
        </w:rPr>
      </w:pPr>
      <w:r w:rsidRPr="0026653F">
        <w:rPr>
          <w:bCs/>
          <w:iCs/>
          <w:szCs w:val="22"/>
          <w:lang w:val="fr-FR"/>
        </w:rPr>
        <w:t>De demander à la JID de mener des activités dans les domaines suivants :</w:t>
      </w:r>
    </w:p>
    <w:p w14:paraId="3AFC8C29" w14:textId="77777777" w:rsidR="00293B12" w:rsidRPr="0026653F" w:rsidRDefault="00293B12" w:rsidP="00C618DD">
      <w:pPr>
        <w:suppressAutoHyphens/>
        <w:autoSpaceDE w:val="0"/>
        <w:autoSpaceDN w:val="0"/>
        <w:adjustRightInd w:val="0"/>
        <w:rPr>
          <w:bCs/>
          <w:i/>
          <w:szCs w:val="22"/>
          <w:lang w:val="fr-FR"/>
        </w:rPr>
      </w:pPr>
    </w:p>
    <w:p w14:paraId="0599CF33" w14:textId="363D9F8B" w:rsidR="00293B12" w:rsidRPr="00907516" w:rsidRDefault="00731BCD" w:rsidP="00C618DD">
      <w:pPr>
        <w:numPr>
          <w:ilvl w:val="0"/>
          <w:numId w:val="50"/>
        </w:numPr>
        <w:suppressAutoHyphens/>
        <w:autoSpaceDE w:val="0"/>
        <w:autoSpaceDN w:val="0"/>
        <w:adjustRightInd w:val="0"/>
        <w:ind w:left="2160" w:hanging="720"/>
        <w:rPr>
          <w:bCs/>
          <w:szCs w:val="22"/>
          <w:lang w:val="fr-FR"/>
        </w:rPr>
      </w:pPr>
      <w:proofErr w:type="gramStart"/>
      <w:r w:rsidRPr="0026653F">
        <w:rPr>
          <w:szCs w:val="22"/>
          <w:lang w:val="fr-FR"/>
        </w:rPr>
        <w:t>f</w:t>
      </w:r>
      <w:r w:rsidR="00293B12" w:rsidRPr="0026653F">
        <w:rPr>
          <w:szCs w:val="22"/>
          <w:lang w:val="fr-FR"/>
        </w:rPr>
        <w:t>ournir</w:t>
      </w:r>
      <w:proofErr w:type="gramEnd"/>
      <w:r w:rsidR="00293B12" w:rsidRPr="0026653F">
        <w:rPr>
          <w:szCs w:val="22"/>
          <w:lang w:val="fr-FR"/>
        </w:rPr>
        <w:t xml:space="preserve"> de façon continue des services consultatifs et d’analyse technique sur les menaces et enjeux nouveaux et persistants ;</w:t>
      </w:r>
    </w:p>
    <w:p w14:paraId="78AE83E2" w14:textId="2462ED5F" w:rsidR="00293B12" w:rsidRPr="00907516" w:rsidRDefault="00731BCD" w:rsidP="00C618DD">
      <w:pPr>
        <w:numPr>
          <w:ilvl w:val="0"/>
          <w:numId w:val="50"/>
        </w:numPr>
        <w:suppressAutoHyphens/>
        <w:autoSpaceDE w:val="0"/>
        <w:autoSpaceDN w:val="0"/>
        <w:adjustRightInd w:val="0"/>
        <w:ind w:left="2160" w:hanging="720"/>
        <w:rPr>
          <w:bCs/>
          <w:szCs w:val="22"/>
          <w:lang w:val="fr-FR"/>
        </w:rPr>
      </w:pPr>
      <w:proofErr w:type="gramStart"/>
      <w:r w:rsidRPr="00907516">
        <w:rPr>
          <w:bCs/>
          <w:szCs w:val="22"/>
          <w:lang w:val="fr-FR"/>
        </w:rPr>
        <w:t>d</w:t>
      </w:r>
      <w:r w:rsidR="00293B12" w:rsidRPr="00907516">
        <w:rPr>
          <w:bCs/>
          <w:szCs w:val="22"/>
          <w:lang w:val="fr-FR"/>
        </w:rPr>
        <w:t>roits</w:t>
      </w:r>
      <w:proofErr w:type="gramEnd"/>
      <w:r w:rsidR="00293B12" w:rsidRPr="00907516">
        <w:rPr>
          <w:bCs/>
          <w:szCs w:val="22"/>
          <w:lang w:val="fr-FR"/>
        </w:rPr>
        <w:t xml:space="preserve"> de la personne et droit international humanitaire afin de promouvoir et de renforcer le respect de ceux-ci au sein des forces armées et des forces de sécurité dans le continent américain ;</w:t>
      </w:r>
    </w:p>
    <w:p w14:paraId="5A066352" w14:textId="38C560E1" w:rsidR="00293B12" w:rsidRPr="00907516" w:rsidRDefault="00731BCD" w:rsidP="00C618DD">
      <w:pPr>
        <w:numPr>
          <w:ilvl w:val="0"/>
          <w:numId w:val="50"/>
        </w:numPr>
        <w:suppressAutoHyphens/>
        <w:autoSpaceDE w:val="0"/>
        <w:autoSpaceDN w:val="0"/>
        <w:adjustRightInd w:val="0"/>
        <w:ind w:left="2160" w:hanging="720"/>
        <w:rPr>
          <w:bCs/>
          <w:szCs w:val="22"/>
          <w:lang w:val="fr-FR"/>
        </w:rPr>
      </w:pPr>
      <w:proofErr w:type="gramStart"/>
      <w:r w:rsidRPr="00907516">
        <w:rPr>
          <w:bCs/>
          <w:szCs w:val="22"/>
          <w:lang w:val="fr-FR"/>
        </w:rPr>
        <w:t>i</w:t>
      </w:r>
      <w:r w:rsidR="00293B12" w:rsidRPr="00907516">
        <w:rPr>
          <w:bCs/>
          <w:szCs w:val="22"/>
          <w:lang w:val="fr-FR"/>
        </w:rPr>
        <w:t>ntégration</w:t>
      </w:r>
      <w:proofErr w:type="gramEnd"/>
      <w:r w:rsidR="00293B12" w:rsidRPr="00907516">
        <w:rPr>
          <w:bCs/>
          <w:szCs w:val="22"/>
          <w:lang w:val="fr-FR"/>
        </w:rPr>
        <w:t xml:space="preserve"> de la perspective de l’égalité des sexes, dans le but de diffuser des données d’expériences réussies dans le domaine de la défense et de la sécurité continentale ;</w:t>
      </w:r>
    </w:p>
    <w:p w14:paraId="421D221F" w14:textId="4E74D78F" w:rsidR="00293B12" w:rsidRPr="00907516" w:rsidRDefault="00731BCD" w:rsidP="00C618DD">
      <w:pPr>
        <w:numPr>
          <w:ilvl w:val="0"/>
          <w:numId w:val="50"/>
        </w:numPr>
        <w:suppressAutoHyphens/>
        <w:autoSpaceDE w:val="0"/>
        <w:autoSpaceDN w:val="0"/>
        <w:adjustRightInd w:val="0"/>
        <w:ind w:left="2160" w:hanging="720"/>
        <w:rPr>
          <w:bCs/>
          <w:szCs w:val="22"/>
          <w:lang w:val="fr-FR"/>
        </w:rPr>
      </w:pPr>
      <w:proofErr w:type="gramStart"/>
      <w:r w:rsidRPr="00907516">
        <w:rPr>
          <w:bCs/>
          <w:szCs w:val="22"/>
          <w:lang w:val="fr-FR"/>
        </w:rPr>
        <w:t>r</w:t>
      </w:r>
      <w:r w:rsidR="00293B12" w:rsidRPr="00907516">
        <w:rPr>
          <w:bCs/>
          <w:szCs w:val="22"/>
          <w:lang w:val="fr-FR"/>
        </w:rPr>
        <w:t>ôle</w:t>
      </w:r>
      <w:proofErr w:type="gramEnd"/>
      <w:r w:rsidR="00293B12" w:rsidRPr="00907516">
        <w:rPr>
          <w:bCs/>
          <w:szCs w:val="22"/>
          <w:lang w:val="fr-FR"/>
        </w:rPr>
        <w:t xml:space="preserve"> changeant des forces armées et </w:t>
      </w:r>
      <w:r w:rsidR="00F038B4" w:rsidRPr="00907516">
        <w:rPr>
          <w:bCs/>
          <w:szCs w:val="22"/>
          <w:lang w:val="fr-FR"/>
        </w:rPr>
        <w:t xml:space="preserve">perspectives </w:t>
      </w:r>
      <w:r w:rsidR="00293B12" w:rsidRPr="00907516">
        <w:rPr>
          <w:bCs/>
          <w:szCs w:val="22"/>
          <w:lang w:val="fr-FR"/>
        </w:rPr>
        <w:t>d’atténu</w:t>
      </w:r>
      <w:r w:rsidR="00F038B4" w:rsidRPr="00907516">
        <w:rPr>
          <w:bCs/>
          <w:szCs w:val="22"/>
          <w:lang w:val="fr-FR"/>
        </w:rPr>
        <w:t xml:space="preserve">ation et de traitement des </w:t>
      </w:r>
      <w:r w:rsidR="00293B12" w:rsidRPr="00907516">
        <w:rPr>
          <w:bCs/>
          <w:szCs w:val="22"/>
          <w:lang w:val="fr-FR"/>
        </w:rPr>
        <w:t xml:space="preserve">nouvelles menaces, afin de diffuser </w:t>
      </w:r>
      <w:r w:rsidR="00F038B4" w:rsidRPr="00907516">
        <w:rPr>
          <w:bCs/>
          <w:szCs w:val="22"/>
          <w:lang w:val="fr-FR"/>
        </w:rPr>
        <w:t xml:space="preserve">les données d’expériences fructueuses, les </w:t>
      </w:r>
      <w:r w:rsidR="00293B12" w:rsidRPr="00907516">
        <w:rPr>
          <w:bCs/>
          <w:szCs w:val="22"/>
          <w:lang w:val="fr-FR"/>
        </w:rPr>
        <w:t xml:space="preserve">bonnes pratiques ainsi que </w:t>
      </w:r>
      <w:r w:rsidR="00F038B4" w:rsidRPr="00907516">
        <w:rPr>
          <w:bCs/>
          <w:szCs w:val="22"/>
          <w:lang w:val="fr-FR"/>
        </w:rPr>
        <w:t xml:space="preserve">les enseignements </w:t>
      </w:r>
      <w:r w:rsidR="00293B12" w:rsidRPr="00907516">
        <w:rPr>
          <w:bCs/>
          <w:szCs w:val="22"/>
          <w:lang w:val="fr-FR"/>
        </w:rPr>
        <w:t>tirés, en coordination avec le SSM.</w:t>
      </w:r>
    </w:p>
    <w:p w14:paraId="72B2D73A" w14:textId="77777777" w:rsidR="00293B12" w:rsidRPr="0026653F" w:rsidRDefault="00293B12" w:rsidP="00C618DD">
      <w:pPr>
        <w:suppressAutoHyphens/>
        <w:rPr>
          <w:szCs w:val="22"/>
          <w:lang w:val="fr-FR"/>
        </w:rPr>
      </w:pPr>
    </w:p>
    <w:p w14:paraId="51F7AF59" w14:textId="3D46827B" w:rsidR="00293B12" w:rsidRPr="0026653F" w:rsidRDefault="00293B12" w:rsidP="00C618DD">
      <w:pPr>
        <w:numPr>
          <w:ilvl w:val="0"/>
          <w:numId w:val="48"/>
        </w:numPr>
        <w:suppressAutoHyphens/>
        <w:ind w:left="0" w:firstLine="709"/>
        <w:rPr>
          <w:i/>
          <w:szCs w:val="22"/>
          <w:lang w:val="fr-FR"/>
        </w:rPr>
      </w:pPr>
      <w:r w:rsidRPr="0026653F">
        <w:rPr>
          <w:szCs w:val="22"/>
          <w:lang w:val="fr-FR"/>
        </w:rPr>
        <w:t xml:space="preserve">De demander à la JID de poursuivre sa participation active </w:t>
      </w:r>
      <w:r w:rsidR="00FE4EE1" w:rsidRPr="0026653F">
        <w:rPr>
          <w:szCs w:val="22"/>
          <w:lang w:val="fr-FR"/>
        </w:rPr>
        <w:t>au sein de</w:t>
      </w:r>
      <w:r w:rsidRPr="0026653F">
        <w:rPr>
          <w:szCs w:val="22"/>
          <w:lang w:val="fr-FR"/>
        </w:rPr>
        <w:t xml:space="preserve"> la CMDA, </w:t>
      </w:r>
      <w:r w:rsidR="00FE4EE1" w:rsidRPr="0026653F">
        <w:rPr>
          <w:szCs w:val="22"/>
          <w:lang w:val="fr-FR"/>
        </w:rPr>
        <w:t xml:space="preserve">de </w:t>
      </w:r>
      <w:r w:rsidRPr="0026653F">
        <w:rPr>
          <w:szCs w:val="22"/>
          <w:lang w:val="fr-FR"/>
        </w:rPr>
        <w:t xml:space="preserve">la Conférence des armées des Amériques (CAA), </w:t>
      </w:r>
      <w:r w:rsidR="00FE4EE1" w:rsidRPr="0026653F">
        <w:rPr>
          <w:szCs w:val="22"/>
          <w:lang w:val="fr-FR"/>
        </w:rPr>
        <w:t>d</w:t>
      </w:r>
      <w:r w:rsidRPr="0026653F">
        <w:rPr>
          <w:szCs w:val="22"/>
          <w:lang w:val="fr-FR"/>
        </w:rPr>
        <w:t xml:space="preserve">es Conférences navales interaméricaines, </w:t>
      </w:r>
      <w:r w:rsidR="00FE4EE1" w:rsidRPr="0026653F">
        <w:rPr>
          <w:szCs w:val="22"/>
          <w:lang w:val="fr-FR"/>
        </w:rPr>
        <w:t>du</w:t>
      </w:r>
      <w:r w:rsidRPr="0026653F">
        <w:rPr>
          <w:szCs w:val="22"/>
          <w:lang w:val="fr-FR"/>
        </w:rPr>
        <w:t xml:space="preserve"> Système de coopération entre les forces aériennes des Amériques (SICOFAA),</w:t>
      </w:r>
      <w:r w:rsidR="00FE4EE1" w:rsidRPr="0026653F">
        <w:rPr>
          <w:szCs w:val="22"/>
          <w:lang w:val="fr-FR"/>
        </w:rPr>
        <w:t xml:space="preserve"> de</w:t>
      </w:r>
      <w:r w:rsidRPr="0026653F">
        <w:rPr>
          <w:szCs w:val="22"/>
          <w:lang w:val="fr-FR"/>
        </w:rPr>
        <w:t xml:space="preserve"> la MISPA, </w:t>
      </w:r>
      <w:r w:rsidR="00FE4EE1" w:rsidRPr="0026653F">
        <w:rPr>
          <w:szCs w:val="22"/>
          <w:lang w:val="fr-FR"/>
        </w:rPr>
        <w:t xml:space="preserve">de </w:t>
      </w:r>
      <w:r w:rsidRPr="0026653F">
        <w:rPr>
          <w:szCs w:val="22"/>
          <w:lang w:val="fr-FR"/>
        </w:rPr>
        <w:t xml:space="preserve">la Conférence des forces armées d’Amérique centrale (CFAC), </w:t>
      </w:r>
      <w:r w:rsidR="00FE4EE1" w:rsidRPr="0026653F">
        <w:rPr>
          <w:szCs w:val="22"/>
          <w:lang w:val="fr-FR"/>
        </w:rPr>
        <w:t xml:space="preserve">de </w:t>
      </w:r>
      <w:r w:rsidRPr="0026653F">
        <w:rPr>
          <w:szCs w:val="22"/>
          <w:lang w:val="fr-FR"/>
        </w:rPr>
        <w:t xml:space="preserve">la CARICOM, </w:t>
      </w:r>
      <w:r w:rsidR="00FE4EE1" w:rsidRPr="0026653F">
        <w:rPr>
          <w:szCs w:val="22"/>
          <w:lang w:val="fr-FR"/>
        </w:rPr>
        <w:t xml:space="preserve">de </w:t>
      </w:r>
      <w:r w:rsidRPr="0026653F">
        <w:rPr>
          <w:szCs w:val="22"/>
          <w:lang w:val="fr-FR"/>
        </w:rPr>
        <w:t xml:space="preserve">la </w:t>
      </w:r>
      <w:bookmarkStart w:id="9" w:name="_Hlk63429709"/>
      <w:r w:rsidRPr="0026653F">
        <w:rPr>
          <w:szCs w:val="22"/>
          <w:lang w:val="fr-FR"/>
        </w:rPr>
        <w:t>Conférence sur la sécurité des nations des Caraïbes (CANSEC</w:t>
      </w:r>
      <w:bookmarkEnd w:id="9"/>
      <w:r w:rsidRPr="0026653F">
        <w:rPr>
          <w:szCs w:val="22"/>
          <w:lang w:val="fr-FR"/>
        </w:rPr>
        <w:t xml:space="preserve">), </w:t>
      </w:r>
      <w:r w:rsidR="00FE4EE1" w:rsidRPr="0026653F">
        <w:rPr>
          <w:szCs w:val="22"/>
          <w:lang w:val="fr-FR"/>
        </w:rPr>
        <w:t xml:space="preserve">de </w:t>
      </w:r>
      <w:r w:rsidRPr="0026653F">
        <w:rPr>
          <w:szCs w:val="22"/>
          <w:lang w:val="fr-FR"/>
        </w:rPr>
        <w:t xml:space="preserve">la </w:t>
      </w:r>
      <w:bookmarkStart w:id="10" w:name="_Hlk63429719"/>
      <w:r w:rsidRPr="0026653F">
        <w:rPr>
          <w:szCs w:val="22"/>
          <w:lang w:val="fr-FR"/>
        </w:rPr>
        <w:t>Conférence sur la sécurité d</w:t>
      </w:r>
      <w:r w:rsidR="00F038B4" w:rsidRPr="0026653F">
        <w:rPr>
          <w:szCs w:val="22"/>
          <w:lang w:val="fr-FR"/>
        </w:rPr>
        <w:t>e l</w:t>
      </w:r>
      <w:r w:rsidRPr="0026653F">
        <w:rPr>
          <w:szCs w:val="22"/>
          <w:lang w:val="fr-FR"/>
        </w:rPr>
        <w:t>’Amérique centrale (CENTSEC),</w:t>
      </w:r>
      <w:bookmarkEnd w:id="10"/>
      <w:r w:rsidRPr="0026653F">
        <w:rPr>
          <w:szCs w:val="22"/>
          <w:lang w:val="fr-FR"/>
        </w:rPr>
        <w:t xml:space="preserve"> entre autres, afin de diffuser </w:t>
      </w:r>
      <w:r w:rsidR="008A326E" w:rsidRPr="0026653F">
        <w:rPr>
          <w:szCs w:val="22"/>
          <w:lang w:val="fr-FR"/>
        </w:rPr>
        <w:t>l</w:t>
      </w:r>
      <w:r w:rsidRPr="0026653F">
        <w:rPr>
          <w:szCs w:val="22"/>
          <w:lang w:val="fr-FR"/>
        </w:rPr>
        <w:t xml:space="preserve">es conclusions, résultats, accords et engagements pertinents </w:t>
      </w:r>
      <w:r w:rsidR="00F038B4" w:rsidRPr="0026653F">
        <w:rPr>
          <w:szCs w:val="22"/>
          <w:lang w:val="fr-FR"/>
        </w:rPr>
        <w:t xml:space="preserve">qui résultent </w:t>
      </w:r>
      <w:r w:rsidRPr="0026653F">
        <w:rPr>
          <w:szCs w:val="22"/>
          <w:lang w:val="fr-FR"/>
        </w:rPr>
        <w:t xml:space="preserve">de ces réunions régionales </w:t>
      </w:r>
      <w:r w:rsidR="001B12A6" w:rsidRPr="0026653F">
        <w:rPr>
          <w:szCs w:val="22"/>
          <w:lang w:val="fr-FR"/>
        </w:rPr>
        <w:t xml:space="preserve">sur la </w:t>
      </w:r>
      <w:r w:rsidRPr="0026653F">
        <w:rPr>
          <w:szCs w:val="22"/>
          <w:lang w:val="fr-FR"/>
        </w:rPr>
        <w:t xml:space="preserve">défense et </w:t>
      </w:r>
      <w:r w:rsidR="001B12A6" w:rsidRPr="0026653F">
        <w:rPr>
          <w:szCs w:val="22"/>
          <w:lang w:val="fr-FR"/>
        </w:rPr>
        <w:t xml:space="preserve">la </w:t>
      </w:r>
      <w:r w:rsidRPr="0026653F">
        <w:rPr>
          <w:szCs w:val="22"/>
          <w:lang w:val="fr-FR"/>
        </w:rPr>
        <w:t>sécurité.</w:t>
      </w:r>
    </w:p>
    <w:p w14:paraId="260EDD19" w14:textId="77777777" w:rsidR="00293B12" w:rsidRPr="0026653F" w:rsidRDefault="00293B12" w:rsidP="00C618DD">
      <w:pPr>
        <w:suppressAutoHyphens/>
        <w:rPr>
          <w:szCs w:val="22"/>
          <w:lang w:val="fr-FR"/>
        </w:rPr>
      </w:pPr>
    </w:p>
    <w:p w14:paraId="2344D3E9" w14:textId="02391834" w:rsidR="00293B12" w:rsidRPr="0026653F" w:rsidRDefault="00293B12" w:rsidP="00C618DD">
      <w:pPr>
        <w:numPr>
          <w:ilvl w:val="0"/>
          <w:numId w:val="48"/>
        </w:numPr>
        <w:suppressAutoHyphens/>
        <w:ind w:left="0" w:firstLine="709"/>
        <w:rPr>
          <w:bCs/>
          <w:iCs/>
          <w:szCs w:val="22"/>
          <w:lang w:val="fr-FR"/>
        </w:rPr>
      </w:pPr>
      <w:r w:rsidRPr="0026653F">
        <w:rPr>
          <w:bCs/>
          <w:iCs/>
          <w:szCs w:val="22"/>
          <w:lang w:val="fr-FR"/>
        </w:rPr>
        <w:t>D’établir un fonds volontaire interaméricain pour appuyer le Collège interaméricain de défense (CID) dans le domaine de ses activités d’enseignement pour un poste de professeur de vulgarisation, afin de garantir la prise en charge des priorités arrêtées par les États membres en matière de défense et de sécurité par l’intermédiaire de leurs délégations respectives auprès de la JID.</w:t>
      </w:r>
    </w:p>
    <w:p w14:paraId="22826498" w14:textId="77777777" w:rsidR="00293B12" w:rsidRPr="0026653F" w:rsidRDefault="00293B12" w:rsidP="00C618DD">
      <w:pPr>
        <w:rPr>
          <w:bCs/>
          <w:iCs/>
          <w:szCs w:val="22"/>
          <w:lang w:val="fr-FR"/>
        </w:rPr>
      </w:pPr>
    </w:p>
    <w:p w14:paraId="7F59D19D" w14:textId="63622954" w:rsidR="00293B12" w:rsidRPr="0026653F" w:rsidRDefault="00293B12" w:rsidP="00C618DD">
      <w:pPr>
        <w:numPr>
          <w:ilvl w:val="0"/>
          <w:numId w:val="48"/>
        </w:numPr>
        <w:suppressAutoHyphens/>
        <w:ind w:left="0" w:firstLine="709"/>
        <w:rPr>
          <w:color w:val="000000"/>
          <w:szCs w:val="22"/>
          <w:lang w:val="fr-FR"/>
        </w:rPr>
      </w:pPr>
      <w:r w:rsidRPr="0026653F">
        <w:rPr>
          <w:szCs w:val="22"/>
          <w:lang w:val="fr-FR"/>
        </w:rPr>
        <w:t xml:space="preserve">De féliciter le Secrétariat de la JID et le SEDI pour la signature d’un accord de coopération qui donne accès aux bourses d’études et à l’aide financière offertes par l’OEA aux </w:t>
      </w:r>
      <w:r w:rsidRPr="0026653F">
        <w:rPr>
          <w:szCs w:val="22"/>
          <w:lang w:val="fr-FR"/>
        </w:rPr>
        <w:lastRenderedPageBreak/>
        <w:t xml:space="preserve">candidats </w:t>
      </w:r>
      <w:r w:rsidR="001B12A6" w:rsidRPr="0026653F">
        <w:rPr>
          <w:szCs w:val="22"/>
          <w:lang w:val="fr-FR"/>
        </w:rPr>
        <w:t xml:space="preserve">souhaitant </w:t>
      </w:r>
      <w:r w:rsidRPr="0026653F">
        <w:rPr>
          <w:szCs w:val="22"/>
          <w:lang w:val="fr-FR"/>
        </w:rPr>
        <w:t xml:space="preserve">s’inscrire à des programmes </w:t>
      </w:r>
      <w:r w:rsidR="001B12A6" w:rsidRPr="0026653F">
        <w:rPr>
          <w:szCs w:val="22"/>
          <w:lang w:val="fr-FR"/>
        </w:rPr>
        <w:t xml:space="preserve">dispensés </w:t>
      </w:r>
      <w:r w:rsidRPr="0026653F">
        <w:rPr>
          <w:szCs w:val="22"/>
          <w:lang w:val="fr-FR"/>
        </w:rPr>
        <w:t>par le CID et encourage une coopération continue entre le Département du développement humain, de l’éducation et de l’emploi de l’OEA et le CID dans le domaine de l’éducation en matière de défense et de sécurité.</w:t>
      </w:r>
    </w:p>
    <w:p w14:paraId="33CB6F4B" w14:textId="77777777" w:rsidR="00293B12" w:rsidRPr="0026653F" w:rsidRDefault="00293B12" w:rsidP="00C618DD">
      <w:pPr>
        <w:rPr>
          <w:color w:val="000000"/>
          <w:szCs w:val="22"/>
          <w:lang w:val="fr-FR"/>
        </w:rPr>
      </w:pPr>
    </w:p>
    <w:p w14:paraId="1E796272" w14:textId="77777777" w:rsidR="00293B12" w:rsidRPr="0026653F" w:rsidRDefault="00293B12" w:rsidP="00C618DD">
      <w:pPr>
        <w:keepNext/>
        <w:suppressAutoHyphens/>
        <w:ind w:firstLine="720"/>
        <w:rPr>
          <w:bCs/>
          <w:color w:val="000000"/>
          <w:kern w:val="32"/>
          <w:szCs w:val="22"/>
          <w:u w:val="single"/>
          <w:lang w:val="fr-FR" w:eastAsia="es-ES"/>
        </w:rPr>
      </w:pPr>
      <w:r w:rsidRPr="0026653F">
        <w:rPr>
          <w:bCs/>
          <w:color w:val="000000"/>
          <w:kern w:val="32"/>
          <w:szCs w:val="22"/>
          <w:u w:val="single"/>
          <w:lang w:val="fr-FR" w:eastAsia="es-ES"/>
        </w:rPr>
        <w:t>Commission interaméricaine de lutte contre l’abus des drogues (CICAD)</w:t>
      </w:r>
    </w:p>
    <w:p w14:paraId="31C26CDB" w14:textId="77777777" w:rsidR="00293B12" w:rsidRPr="0026653F" w:rsidRDefault="00293B12" w:rsidP="00C618DD">
      <w:pPr>
        <w:keepNext/>
        <w:suppressAutoHyphens/>
        <w:rPr>
          <w:szCs w:val="22"/>
          <w:lang w:val="fr-FR"/>
        </w:rPr>
      </w:pPr>
    </w:p>
    <w:p w14:paraId="0AD6E54E" w14:textId="4A984425" w:rsidR="00293B12" w:rsidRPr="0026653F" w:rsidRDefault="00293B12" w:rsidP="00C618DD">
      <w:pPr>
        <w:numPr>
          <w:ilvl w:val="0"/>
          <w:numId w:val="48"/>
        </w:numPr>
        <w:suppressAutoHyphens/>
        <w:ind w:left="0" w:firstLine="709"/>
        <w:rPr>
          <w:bCs/>
          <w:szCs w:val="22"/>
          <w:lang w:val="fr-FR"/>
        </w:rPr>
      </w:pPr>
      <w:r w:rsidRPr="0026653F">
        <w:rPr>
          <w:bCs/>
          <w:szCs w:val="22"/>
          <w:lang w:val="fr-FR"/>
        </w:rPr>
        <w:t xml:space="preserve">De réitérer l’engagement des États membres, avec le soutien du Secrétariat exécutif de la </w:t>
      </w:r>
      <w:r w:rsidR="00B348A3" w:rsidRPr="0026653F">
        <w:rPr>
          <w:bCs/>
          <w:szCs w:val="22"/>
          <w:lang w:val="fr-FR"/>
        </w:rPr>
        <w:t>C</w:t>
      </w:r>
      <w:r w:rsidRPr="0026653F">
        <w:rPr>
          <w:bCs/>
          <w:szCs w:val="22"/>
          <w:lang w:val="fr-FR"/>
        </w:rPr>
        <w:t>ICAD (SE/CICAD), en faveur du principe de la responsabilité commune et partagée pour traiter toutes les questions liées au problème mondial des drogues, y compris la coopération internationale en tant qu’outil efficace et nécessaire.</w:t>
      </w:r>
    </w:p>
    <w:p w14:paraId="71278958" w14:textId="77777777" w:rsidR="00293B12" w:rsidRPr="0026653F" w:rsidRDefault="00293B12" w:rsidP="00C618DD">
      <w:pPr>
        <w:suppressAutoHyphens/>
        <w:rPr>
          <w:bCs/>
          <w:szCs w:val="22"/>
          <w:lang w:val="fr-FR"/>
        </w:rPr>
      </w:pPr>
    </w:p>
    <w:p w14:paraId="14CCF506"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De renforcer la communication, la collaboration, la coopération et l’échange d’informations entre les États membres et le SE/CICAD afin d’aborder et de combattre le problème mondial des drogues selon une approche intégrée, équilibrée, durable, multidisciplinaire et fondée sur des données probantes techniques et scientifiques,</w:t>
      </w:r>
      <w:r w:rsidRPr="0026653F">
        <w:rPr>
          <w:szCs w:val="22"/>
          <w:lang w:val="fr-FR"/>
        </w:rPr>
        <w:t xml:space="preserve"> </w:t>
      </w:r>
      <w:r w:rsidRPr="0026653F">
        <w:rPr>
          <w:bCs/>
          <w:szCs w:val="22"/>
          <w:lang w:val="fr-FR"/>
        </w:rPr>
        <w:t xml:space="preserve">en pleine conformité avec les </w:t>
      </w:r>
      <w:r w:rsidRPr="0026653F">
        <w:rPr>
          <w:szCs w:val="22"/>
          <w:lang w:val="fr-FR"/>
        </w:rPr>
        <w:t>buts et principes de</w:t>
      </w:r>
      <w:r w:rsidRPr="0026653F">
        <w:rPr>
          <w:bCs/>
          <w:szCs w:val="22"/>
          <w:lang w:val="fr-FR"/>
        </w:rPr>
        <w:t xml:space="preserve"> la Charte des Nations Unies, le droit international et la Déclaration universelle des droits de l’homme</w:t>
      </w:r>
      <w:r w:rsidRPr="0026653F">
        <w:rPr>
          <w:szCs w:val="22"/>
          <w:lang w:val="fr-FR"/>
        </w:rPr>
        <w:t xml:space="preserve">, et dans le cadre des </w:t>
      </w:r>
      <w:r w:rsidRPr="0026653F">
        <w:rPr>
          <w:bCs/>
          <w:szCs w:val="22"/>
          <w:lang w:val="fr-FR"/>
        </w:rPr>
        <w:t xml:space="preserve">trois conventions internationales sur les drogues </w:t>
      </w:r>
      <w:r w:rsidRPr="0026653F">
        <w:rPr>
          <w:szCs w:val="22"/>
          <w:lang w:val="fr-FR"/>
        </w:rPr>
        <w:t>et d’autres instruments pertinents des Nations Unies.</w:t>
      </w:r>
    </w:p>
    <w:p w14:paraId="15E0AAFE" w14:textId="77777777" w:rsidR="00293B12" w:rsidRPr="0026653F" w:rsidRDefault="00293B12" w:rsidP="00C618DD">
      <w:pPr>
        <w:suppressAutoHyphens/>
        <w:jc w:val="left"/>
        <w:rPr>
          <w:bCs/>
          <w:szCs w:val="22"/>
          <w:lang w:val="fr-FR"/>
        </w:rPr>
      </w:pPr>
    </w:p>
    <w:p w14:paraId="670C9482" w14:textId="1B31D7DD"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D’inviter tous les États membres, par l’intermédiaire du SE/CICAD, à participer et à contribuer au processus d’examen et d’actualisation de la Stratégie continentale </w:t>
      </w:r>
      <w:r w:rsidR="001B12A6" w:rsidRPr="0026653F">
        <w:rPr>
          <w:bCs/>
          <w:szCs w:val="22"/>
          <w:lang w:val="fr-FR"/>
        </w:rPr>
        <w:t>sur</w:t>
      </w:r>
      <w:r w:rsidRPr="0026653F">
        <w:rPr>
          <w:bCs/>
          <w:szCs w:val="22"/>
          <w:lang w:val="fr-FR"/>
        </w:rPr>
        <w:t xml:space="preserve"> les drogues et de son plan d’action, qui sera coordonné par la présidence</w:t>
      </w:r>
      <w:r w:rsidR="008065F6" w:rsidRPr="0026653F">
        <w:rPr>
          <w:bCs/>
          <w:szCs w:val="22"/>
          <w:lang w:val="fr-FR"/>
        </w:rPr>
        <w:t xml:space="preserve"> de la CICAD</w:t>
      </w:r>
      <w:r w:rsidRPr="0026653F">
        <w:rPr>
          <w:bCs/>
          <w:szCs w:val="22"/>
          <w:lang w:val="fr-FR"/>
        </w:rPr>
        <w:t>, exercée par le Gouvernement des États-Unis d’Amérique, et présenté à la CICAD lors de sa soixante-huitième session ordinaire, qui se tiendra en République de Colombie en novembre 2020, en tenant compte des obligations des États membres en vertu des instruments pertinents du système international de contrôle des drogues et d’autres instruments pertinents.</w:t>
      </w:r>
    </w:p>
    <w:p w14:paraId="68AA2EF1" w14:textId="77777777" w:rsidR="00293B12" w:rsidRPr="0026653F" w:rsidRDefault="00293B12" w:rsidP="00C618DD">
      <w:pPr>
        <w:suppressAutoHyphens/>
        <w:rPr>
          <w:bCs/>
          <w:szCs w:val="22"/>
          <w:lang w:val="fr-FR"/>
        </w:rPr>
      </w:pPr>
    </w:p>
    <w:p w14:paraId="63D7CD15" w14:textId="70D644D8"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 prendre note de </w:t>
      </w:r>
      <w:r w:rsidR="00B348A3" w:rsidRPr="0026653F">
        <w:rPr>
          <w:bCs/>
          <w:szCs w:val="22"/>
          <w:lang w:val="fr-FR"/>
        </w:rPr>
        <w:t xml:space="preserve">la conclusion et de </w:t>
      </w:r>
      <w:r w:rsidRPr="0026653F">
        <w:rPr>
          <w:bCs/>
          <w:szCs w:val="22"/>
          <w:lang w:val="fr-FR"/>
        </w:rPr>
        <w:t>l’approbation du Rapport continental du septième cycle du Mécanisme d’évaluation multilatérale (MEM) (2014-2018) sur l’évaluation des politiques en matière de drogues, qui a eu lieu lors de la soixante-sixième session ordinaire de la CICAD, ainsi que du rapport « Politiques en matière de drogues et perspective de la parité hommes-femmes dans les Amériques : Les conclusions des rapports nationaux du septième cycle du Mécanisme d’évaluation multilatérale (MEM) », de mettre en exergue l</w:t>
      </w:r>
      <w:r w:rsidR="00957797" w:rsidRPr="0026653F">
        <w:rPr>
          <w:bCs/>
          <w:szCs w:val="22"/>
          <w:lang w:val="fr-FR"/>
        </w:rPr>
        <w:t xml:space="preserve">’importance </w:t>
      </w:r>
      <w:r w:rsidRPr="0026653F">
        <w:rPr>
          <w:bCs/>
          <w:szCs w:val="22"/>
          <w:lang w:val="fr-FR"/>
        </w:rPr>
        <w:t xml:space="preserve">du MEM, y compris ses conclusions, en tant qu’instrument le plus important de l’OEA pour mesurer les progrès </w:t>
      </w:r>
      <w:r w:rsidR="00957797" w:rsidRPr="0026653F">
        <w:rPr>
          <w:bCs/>
          <w:szCs w:val="22"/>
          <w:lang w:val="fr-FR"/>
        </w:rPr>
        <w:t xml:space="preserve">réalisés dans les </w:t>
      </w:r>
      <w:r w:rsidRPr="0026653F">
        <w:rPr>
          <w:bCs/>
          <w:szCs w:val="22"/>
          <w:lang w:val="fr-FR"/>
        </w:rPr>
        <w:t>efforts de lutte contre les drogues dans les États membres</w:t>
      </w:r>
      <w:r w:rsidR="00957797" w:rsidRPr="0026653F">
        <w:rPr>
          <w:bCs/>
          <w:szCs w:val="22"/>
          <w:lang w:val="fr-FR"/>
        </w:rPr>
        <w:t>,</w:t>
      </w:r>
      <w:r w:rsidRPr="0026653F">
        <w:rPr>
          <w:bCs/>
          <w:szCs w:val="22"/>
          <w:lang w:val="fr-FR"/>
        </w:rPr>
        <w:t xml:space="preserve"> et d’encourager les pays à diffuser les rapports dans le cadre de leur soutien continu au processus d’évaluation.</w:t>
      </w:r>
    </w:p>
    <w:p w14:paraId="68E3904B" w14:textId="77777777" w:rsidR="00293B12" w:rsidRPr="0026653F" w:rsidRDefault="00293B12" w:rsidP="00C618DD">
      <w:pPr>
        <w:suppressAutoHyphens/>
        <w:rPr>
          <w:bCs/>
          <w:szCs w:val="22"/>
          <w:lang w:val="fr-FR"/>
        </w:rPr>
      </w:pPr>
    </w:p>
    <w:p w14:paraId="7D237C23" w14:textId="3D4F25B8" w:rsidR="00293B12" w:rsidRPr="0026653F" w:rsidRDefault="00293B12" w:rsidP="00C618DD">
      <w:pPr>
        <w:numPr>
          <w:ilvl w:val="0"/>
          <w:numId w:val="48"/>
        </w:numPr>
        <w:suppressAutoHyphens/>
        <w:ind w:left="0" w:firstLine="720"/>
        <w:rPr>
          <w:bCs/>
          <w:szCs w:val="22"/>
          <w:lang w:val="fr-FR"/>
        </w:rPr>
      </w:pPr>
      <w:r w:rsidRPr="0026653F">
        <w:rPr>
          <w:bCs/>
          <w:szCs w:val="22"/>
          <w:lang w:val="fr-FR"/>
        </w:rPr>
        <w:t>De rappeler la convocation du Groupe de travail intergouvernemental chargé d’examiner et d’actualiser le MEM pour le huitième cycle, et d’encourager tous les États membres à participer activement à ce groupe, qui sera coordonné par sa présidence, exercée par le Gouvernement du Canada.</w:t>
      </w:r>
    </w:p>
    <w:p w14:paraId="555E4453" w14:textId="77777777" w:rsidR="00293B12" w:rsidRPr="0026653F" w:rsidRDefault="00293B12" w:rsidP="00C618DD">
      <w:pPr>
        <w:suppressAutoHyphens/>
        <w:jc w:val="left"/>
        <w:rPr>
          <w:bCs/>
          <w:szCs w:val="22"/>
          <w:lang w:val="fr-FR"/>
        </w:rPr>
      </w:pPr>
    </w:p>
    <w:p w14:paraId="1C6FF680" w14:textId="671C13DE" w:rsidR="00293B12" w:rsidRPr="0026653F" w:rsidRDefault="00293B12" w:rsidP="00C618DD">
      <w:pPr>
        <w:numPr>
          <w:ilvl w:val="0"/>
          <w:numId w:val="48"/>
        </w:numPr>
        <w:suppressAutoHyphens/>
        <w:ind w:left="0" w:firstLine="720"/>
        <w:rPr>
          <w:bCs/>
          <w:szCs w:val="22"/>
          <w:lang w:val="fr-FR"/>
        </w:rPr>
      </w:pPr>
      <w:r w:rsidRPr="0026653F">
        <w:rPr>
          <w:bCs/>
          <w:szCs w:val="22"/>
          <w:lang w:val="fr-FR"/>
        </w:rPr>
        <w:t>De demander que le SE/CICAD continue à soutenir les programmes et les activités visant à renforcer les capacités aux niveaux local, national et régional pour élaborer, mettre en œuvre et renforcer les stratégies nationales de lutte contre les drogues, les plans d’action et les programmes associés, en ayant à l’esprit la déclaration ministérielle de 2019 issue de la 62</w:t>
      </w:r>
      <w:r w:rsidRPr="0026653F">
        <w:rPr>
          <w:bCs/>
          <w:szCs w:val="22"/>
          <w:vertAlign w:val="superscript"/>
          <w:lang w:val="fr-FR"/>
        </w:rPr>
        <w:t>e</w:t>
      </w:r>
      <w:r w:rsidRPr="0026653F">
        <w:rPr>
          <w:bCs/>
          <w:szCs w:val="22"/>
          <w:lang w:val="fr-FR"/>
        </w:rPr>
        <w:t xml:space="preserve"> session de la Commission des stupéfiants des Nations Unies sur le renforcement des actions aux niveaux national, régional et </w:t>
      </w:r>
      <w:r w:rsidRPr="0026653F">
        <w:rPr>
          <w:bCs/>
          <w:szCs w:val="22"/>
          <w:lang w:val="fr-FR"/>
        </w:rPr>
        <w:lastRenderedPageBreak/>
        <w:t>international pour accélérer la mise en œuvre des engagements communs pris pour aborder et contrer le problème mondial de la drogue, y compris les recommandations opérationnelles contenues dans le Document final de la session extraordinaire de l’Assemblée générale des Nations Unies sur le problème mondial de la drogue, tenue en 2016 (UNGASS 2016).</w:t>
      </w:r>
    </w:p>
    <w:p w14:paraId="0E5057E2" w14:textId="77777777" w:rsidR="00293B12" w:rsidRPr="0026653F" w:rsidRDefault="00293B12" w:rsidP="00C618DD">
      <w:pPr>
        <w:suppressAutoHyphens/>
        <w:rPr>
          <w:bCs/>
          <w:szCs w:val="22"/>
          <w:lang w:val="fr-FR"/>
        </w:rPr>
      </w:pPr>
    </w:p>
    <w:p w14:paraId="3B48223D" w14:textId="77777777" w:rsidR="00293B12" w:rsidRPr="0026653F" w:rsidRDefault="00293B12" w:rsidP="00C618DD">
      <w:pPr>
        <w:numPr>
          <w:ilvl w:val="0"/>
          <w:numId w:val="48"/>
        </w:numPr>
        <w:suppressAutoHyphens/>
        <w:ind w:left="0" w:firstLine="720"/>
        <w:rPr>
          <w:i/>
          <w:iCs/>
          <w:szCs w:val="22"/>
          <w:lang w:val="fr-FR"/>
        </w:rPr>
      </w:pPr>
      <w:r w:rsidRPr="0026653F">
        <w:rPr>
          <w:bCs/>
          <w:szCs w:val="22"/>
          <w:lang w:val="fr-FR"/>
        </w:rPr>
        <w:t>D’encourager les États membres à continuer de mettre en œuvre et de renforcer les processus de suivi et d’évaluation des programmes et politiques en matière de drogues, et de demander au SE/CICAD d’apporter son soutien à cet égard, en fonction des besoins.</w:t>
      </w:r>
    </w:p>
    <w:p w14:paraId="59564D49" w14:textId="77777777" w:rsidR="00293B12" w:rsidRPr="0026653F" w:rsidRDefault="00293B12" w:rsidP="00C618DD">
      <w:pPr>
        <w:suppressAutoHyphens/>
        <w:rPr>
          <w:bCs/>
          <w:szCs w:val="22"/>
          <w:lang w:val="fr-FR"/>
        </w:rPr>
      </w:pPr>
    </w:p>
    <w:p w14:paraId="5EDFBC2A"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D’encourager les États membres à mener des études de recherche technique et scientifique, examinées par des pairs et soutenues par la coopération internationale, le cas échéant, sur tous les aspects du problème mondial des drogues dans leur pays, </w:t>
      </w:r>
      <w:proofErr w:type="gramStart"/>
      <w:r w:rsidRPr="0026653F">
        <w:rPr>
          <w:bCs/>
          <w:szCs w:val="22"/>
          <w:lang w:val="fr-FR"/>
        </w:rPr>
        <w:t>de manière à ce</w:t>
      </w:r>
      <w:proofErr w:type="gramEnd"/>
      <w:r w:rsidRPr="0026653F">
        <w:rPr>
          <w:bCs/>
          <w:szCs w:val="22"/>
          <w:lang w:val="fr-FR"/>
        </w:rPr>
        <w:t xml:space="preserve"> que les recherches obtenues soutiennent les politiques nationales en matière de drogues dans le but d’accroître leur efficacité et leur efficience.</w:t>
      </w:r>
    </w:p>
    <w:p w14:paraId="48427E82" w14:textId="77777777" w:rsidR="00293B12" w:rsidRPr="0026653F" w:rsidRDefault="00293B12" w:rsidP="00C618DD">
      <w:pPr>
        <w:suppressAutoHyphens/>
        <w:rPr>
          <w:bCs/>
          <w:szCs w:val="22"/>
          <w:lang w:val="fr-FR"/>
        </w:rPr>
      </w:pPr>
    </w:p>
    <w:p w14:paraId="39FC269B" w14:textId="3B33202A" w:rsidR="00293B12" w:rsidRPr="0026653F" w:rsidRDefault="00293B12" w:rsidP="00C618DD">
      <w:pPr>
        <w:numPr>
          <w:ilvl w:val="0"/>
          <w:numId w:val="48"/>
        </w:numPr>
        <w:suppressAutoHyphens/>
        <w:ind w:left="0" w:firstLine="720"/>
        <w:rPr>
          <w:bCs/>
          <w:i/>
          <w:szCs w:val="22"/>
          <w:lang w:val="fr-FR"/>
        </w:rPr>
      </w:pPr>
      <w:r w:rsidRPr="0026653F">
        <w:rPr>
          <w:bCs/>
          <w:szCs w:val="22"/>
          <w:lang w:val="fr-FR"/>
        </w:rPr>
        <w:t>D’inviter les États membres à continuer de renforcer ou de créer, selon le cas, des observatoires nationaux des drogues (ou des bureaux similaires), et d’encourager le SE/CICAD à fournir un appui, selon les besoins, à la mise en place de systèmes et de réseaux nationaux d’information et de recherche scientifique sur les drogues, ainsi qu’à promouvoir la coopération entre les observatoires nationaux des drogues (ou des bureaux similaires) afin de renforcer l’échange d’informations sur les drogues dans la région.</w:t>
      </w:r>
    </w:p>
    <w:p w14:paraId="1961D8EF" w14:textId="77777777" w:rsidR="00293B12" w:rsidRPr="0026653F" w:rsidRDefault="00293B12" w:rsidP="00C618DD">
      <w:pPr>
        <w:suppressAutoHyphens/>
        <w:rPr>
          <w:bCs/>
          <w:szCs w:val="22"/>
          <w:lang w:val="fr-FR"/>
        </w:rPr>
      </w:pPr>
    </w:p>
    <w:p w14:paraId="59CC0D62" w14:textId="3365B00B" w:rsidR="00293B12" w:rsidRPr="0026653F" w:rsidRDefault="00293B12" w:rsidP="00C618DD">
      <w:pPr>
        <w:numPr>
          <w:ilvl w:val="0"/>
          <w:numId w:val="48"/>
        </w:numPr>
        <w:suppressAutoHyphens/>
        <w:ind w:left="0" w:firstLine="720"/>
        <w:rPr>
          <w:bCs/>
          <w:szCs w:val="22"/>
          <w:lang w:val="fr-FR"/>
        </w:rPr>
      </w:pPr>
      <w:r w:rsidRPr="0026653F">
        <w:rPr>
          <w:bCs/>
          <w:szCs w:val="22"/>
          <w:lang w:val="fr-FR"/>
        </w:rPr>
        <w:t>De rappeler aux États membres l’engagement de répondre au questionnaire des rapports annuels de l’O</w:t>
      </w:r>
      <w:r w:rsidR="001220BB" w:rsidRPr="0026653F">
        <w:rPr>
          <w:bCs/>
          <w:szCs w:val="22"/>
          <w:lang w:val="fr-FR"/>
        </w:rPr>
        <w:t>NUDC</w:t>
      </w:r>
      <w:r w:rsidRPr="0026653F">
        <w:rPr>
          <w:bCs/>
          <w:szCs w:val="22"/>
          <w:lang w:val="fr-FR"/>
        </w:rPr>
        <w:t>, récemment mis à jour, qui recueille des données sur la production, le trafic, l’interdiction et les tendances de la consommation de drogues, compte tenu de l’importance d’améliorer la comparabilité des données communiquées, et d’inviter le SE/CICAD à fournir une assistance aux États membres qui en font la demande.</w:t>
      </w:r>
    </w:p>
    <w:p w14:paraId="042A4A2A" w14:textId="77777777" w:rsidR="00293B12" w:rsidRPr="0026653F" w:rsidRDefault="00293B12" w:rsidP="00C618DD">
      <w:pPr>
        <w:suppressAutoHyphens/>
        <w:rPr>
          <w:bCs/>
          <w:szCs w:val="22"/>
          <w:lang w:val="fr-FR"/>
        </w:rPr>
      </w:pPr>
    </w:p>
    <w:p w14:paraId="656BCD66"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D’encourager les États membres à élaborer et à mettre en œuvre des politiques fondées sur des preuves scientifiques visant à améliorer la prévention, l’intervention précoce, la prise en charge, la réadaptation, la réhabilitation et la réinsertion sociale des toxicomanes, en tenant compte de l’impact de la pandémie de COVID</w:t>
      </w:r>
      <w:r w:rsidRPr="0026653F">
        <w:rPr>
          <w:b/>
          <w:bCs/>
          <w:szCs w:val="22"/>
          <w:lang w:val="fr-FR"/>
        </w:rPr>
        <w:t>-</w:t>
      </w:r>
      <w:r w:rsidRPr="0026653F">
        <w:rPr>
          <w:bCs/>
          <w:szCs w:val="22"/>
          <w:lang w:val="fr-FR"/>
        </w:rPr>
        <w:t>19, à prendre en compte la disponibilité de l’accès aux services sociaux et de santé et la prestation de ces services pour toutes les personnes qui consomment des drogues, y compris les jeunes, et à promouvoir des attitudes et un langage non stigmatisants, l’inclusion et la prise en compte de l’influence des contextes sociaux et des perspectives de parité hommes-femmes, ainsi que des groupes d’âge, de façon à promouvoir l’accès à ces mesures de réduction de la demande et leur disponibilité.</w:t>
      </w:r>
    </w:p>
    <w:p w14:paraId="73B3BF55" w14:textId="77777777" w:rsidR="00293B12" w:rsidRPr="0026653F" w:rsidRDefault="00293B12" w:rsidP="00C618DD">
      <w:pPr>
        <w:suppressAutoHyphens/>
        <w:rPr>
          <w:bCs/>
          <w:szCs w:val="22"/>
          <w:lang w:val="fr-FR"/>
        </w:rPr>
      </w:pPr>
    </w:p>
    <w:p w14:paraId="51C014B1"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D’encourager les États membres à concevoir et à mettre en œuvre des stratégies de prévention de la consommation de drogues fondées sur des preuves scientifiques, dès la petite enfance, en mettant particulièrement l’accent sur la prévention de la consommation de drogues chez les adolescents.</w:t>
      </w:r>
    </w:p>
    <w:p w14:paraId="50E6AB08" w14:textId="77777777" w:rsidR="00293B12" w:rsidRPr="0026653F" w:rsidRDefault="00293B12" w:rsidP="00C618DD">
      <w:pPr>
        <w:rPr>
          <w:bCs/>
          <w:szCs w:val="22"/>
          <w:lang w:val="fr-FR"/>
        </w:rPr>
      </w:pPr>
    </w:p>
    <w:p w14:paraId="3C3C3EDA" w14:textId="47D85C53" w:rsidR="00293B12" w:rsidRPr="0026653F" w:rsidRDefault="00293B12" w:rsidP="00C618DD">
      <w:pPr>
        <w:numPr>
          <w:ilvl w:val="0"/>
          <w:numId w:val="48"/>
        </w:numPr>
        <w:suppressAutoHyphens/>
        <w:ind w:left="0" w:firstLine="720"/>
        <w:rPr>
          <w:bCs/>
          <w:szCs w:val="22"/>
          <w:lang w:val="fr-FR"/>
        </w:rPr>
      </w:pPr>
      <w:r w:rsidRPr="0026653F">
        <w:rPr>
          <w:bCs/>
          <w:szCs w:val="22"/>
          <w:lang w:val="fr-FR"/>
        </w:rPr>
        <w:t>D’envisager et d’encourager le recours à des interventions qui sont conformes aux normes internationales lors de l’élaboration de systèmes d’assurance qualité pour les programmes de traitement de la toxicomanie.</w:t>
      </w:r>
    </w:p>
    <w:p w14:paraId="6E440F14" w14:textId="77777777" w:rsidR="00293B12" w:rsidRPr="0026653F" w:rsidRDefault="00293B12" w:rsidP="00C618DD">
      <w:pPr>
        <w:suppressAutoHyphens/>
        <w:rPr>
          <w:bCs/>
          <w:szCs w:val="22"/>
          <w:lang w:val="fr-FR"/>
        </w:rPr>
      </w:pPr>
    </w:p>
    <w:p w14:paraId="440362F5" w14:textId="529C873A" w:rsidR="00293B12" w:rsidRPr="0026653F" w:rsidRDefault="00293B12" w:rsidP="00C618DD">
      <w:pPr>
        <w:numPr>
          <w:ilvl w:val="0"/>
          <w:numId w:val="48"/>
        </w:numPr>
        <w:suppressAutoHyphens/>
        <w:ind w:left="0" w:firstLine="720"/>
        <w:rPr>
          <w:bCs/>
          <w:szCs w:val="22"/>
          <w:lang w:val="fr-FR"/>
        </w:rPr>
      </w:pPr>
      <w:r w:rsidRPr="0026653F">
        <w:rPr>
          <w:bCs/>
          <w:szCs w:val="22"/>
          <w:lang w:val="fr-FR"/>
        </w:rPr>
        <w:lastRenderedPageBreak/>
        <w:t xml:space="preserve">D’encourager les États membres à continuer d’intégrer des solutions novatrices de substitution à l’incarcération, fondées sur des preuves scientifiques pour sanctionner les infractions mineures et non violentes liées aux drogues, et de demander au SE/CICAD </w:t>
      </w:r>
      <w:r w:rsidR="00A738CC" w:rsidRPr="0026653F">
        <w:rPr>
          <w:bCs/>
          <w:szCs w:val="22"/>
          <w:lang w:val="fr-FR"/>
        </w:rPr>
        <w:t>de</w:t>
      </w:r>
      <w:r w:rsidRPr="0026653F">
        <w:rPr>
          <w:bCs/>
          <w:szCs w:val="22"/>
          <w:lang w:val="fr-FR"/>
        </w:rPr>
        <w:t xml:space="preserve"> continuer de fournir son assistance technique et d’échanger de bonnes pratiques en la matière avec les États membres qui en font la demande.</w:t>
      </w:r>
    </w:p>
    <w:p w14:paraId="50F83209" w14:textId="77777777" w:rsidR="00293B12" w:rsidRPr="0026653F" w:rsidRDefault="00293B12" w:rsidP="00C618DD">
      <w:pPr>
        <w:suppressAutoHyphens/>
        <w:rPr>
          <w:bCs/>
          <w:szCs w:val="22"/>
          <w:lang w:val="fr-FR"/>
        </w:rPr>
      </w:pPr>
    </w:p>
    <w:p w14:paraId="5CA465B9"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D’encourager les États membres à envisager de mettre en œuvre des programmes de développement alternatif, intégré et durable, y compris, le cas échéant, de développement alternatif préventif, et la participation des communautés infranationales et des organisations concernées, afin d’accroître le bien-être de la population touchée et vulnérable.</w:t>
      </w:r>
    </w:p>
    <w:p w14:paraId="29DF5DF9" w14:textId="77777777" w:rsidR="00293B12" w:rsidRPr="0026653F" w:rsidRDefault="00293B12" w:rsidP="00C618DD">
      <w:pPr>
        <w:suppressAutoHyphens/>
        <w:rPr>
          <w:bCs/>
          <w:szCs w:val="22"/>
          <w:lang w:val="fr-FR"/>
        </w:rPr>
      </w:pPr>
    </w:p>
    <w:p w14:paraId="7924E548" w14:textId="5E408576"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 réitérer l’engagement commun des États membres visant à intégrer de manière appropriée une perspective de la parité hommes-femmes et de droits de la personne dans les programmes et projets de lutte contre les drogues, et à assurer, dans la mesure du possible, la participation effective et significative des femmes dans les agences et organisations de lutte contre les drogues et, à cet égard, d’encourager la participation des États membres au </w:t>
      </w:r>
      <w:bookmarkStart w:id="11" w:name="_Hlk63433364"/>
      <w:r w:rsidR="00D52E27" w:rsidRPr="0026653F">
        <w:rPr>
          <w:bCs/>
          <w:szCs w:val="22"/>
          <w:lang w:val="fr-FR"/>
        </w:rPr>
        <w:t xml:space="preserve">Programme sur la parité hommes-femmes et la justice pénale et au </w:t>
      </w:r>
      <w:bookmarkEnd w:id="11"/>
      <w:r w:rsidR="00441F1B" w:rsidRPr="00441F1B">
        <w:rPr>
          <w:bCs/>
          <w:szCs w:val="22"/>
          <w:lang w:val="fr-CA"/>
        </w:rPr>
        <w:t>Programme interaméricain pour le renforcement de l’égalité de genre dans les organismes nationaux chargés de lutter contre le trafic illicite des drogues</w:t>
      </w:r>
      <w:r w:rsidR="00441F1B" w:rsidRPr="00441F1B">
        <w:rPr>
          <w:bCs/>
          <w:szCs w:val="22"/>
          <w:lang w:val="fr-FR"/>
        </w:rPr>
        <w:t xml:space="preserve"> </w:t>
      </w:r>
      <w:r w:rsidRPr="0026653F">
        <w:rPr>
          <w:bCs/>
          <w:szCs w:val="22"/>
          <w:lang w:val="fr-FR"/>
        </w:rPr>
        <w:t>(GENLEA), entre autres.</w:t>
      </w:r>
    </w:p>
    <w:p w14:paraId="177CF478" w14:textId="77777777" w:rsidR="00293B12" w:rsidRPr="0026653F" w:rsidRDefault="00293B12" w:rsidP="00C618DD">
      <w:pPr>
        <w:suppressAutoHyphens/>
        <w:rPr>
          <w:bCs/>
          <w:szCs w:val="22"/>
          <w:lang w:val="fr-FR"/>
        </w:rPr>
      </w:pPr>
    </w:p>
    <w:p w14:paraId="2FBB5611" w14:textId="5EA8F471"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 renforcer la coordination et la coopération entre les États membres, et entre tous les organes, organismes et entités de l’OEA pour lutter contre les activités illicites qui facilitent la criminalité transnationale organisée, comme le trafic de stupéfiants et d’armes à feu, le blanchiment </w:t>
      </w:r>
      <w:r w:rsidR="00D52E27" w:rsidRPr="0026653F">
        <w:rPr>
          <w:bCs/>
          <w:szCs w:val="22"/>
          <w:lang w:val="fr-FR"/>
        </w:rPr>
        <w:t>d’avoirs</w:t>
      </w:r>
      <w:r w:rsidRPr="0026653F">
        <w:rPr>
          <w:bCs/>
          <w:szCs w:val="22"/>
          <w:lang w:val="fr-FR"/>
        </w:rPr>
        <w:t xml:space="preserve"> et d’autres activités liées aux drogues.</w:t>
      </w:r>
    </w:p>
    <w:p w14:paraId="40E1A60A" w14:textId="77777777" w:rsidR="00293B12" w:rsidRPr="0026653F" w:rsidRDefault="00293B12" w:rsidP="00C618DD">
      <w:pPr>
        <w:suppressAutoHyphens/>
        <w:rPr>
          <w:bCs/>
          <w:szCs w:val="22"/>
          <w:lang w:val="fr-FR"/>
        </w:rPr>
      </w:pPr>
    </w:p>
    <w:p w14:paraId="2BAB9BA2" w14:textId="114ED976" w:rsidR="00293B12" w:rsidRPr="0026653F" w:rsidRDefault="00293B12" w:rsidP="00C618DD">
      <w:pPr>
        <w:numPr>
          <w:ilvl w:val="0"/>
          <w:numId w:val="48"/>
        </w:numPr>
        <w:suppressAutoHyphens/>
        <w:ind w:left="0" w:firstLine="720"/>
        <w:rPr>
          <w:bCs/>
          <w:i/>
          <w:iCs/>
          <w:color w:val="000000"/>
          <w:szCs w:val="22"/>
          <w:lang w:val="fr-FR"/>
        </w:rPr>
      </w:pPr>
      <w:r w:rsidRPr="0026653F">
        <w:rPr>
          <w:bCs/>
          <w:szCs w:val="22"/>
          <w:lang w:val="fr-FR"/>
        </w:rPr>
        <w:t>De r</w:t>
      </w:r>
      <w:r w:rsidRPr="0026653F">
        <w:rPr>
          <w:bCs/>
          <w:color w:val="000000"/>
          <w:szCs w:val="22"/>
          <w:lang w:val="fr-FR"/>
        </w:rPr>
        <w:t>enforcer les capacités des services chargés de l’application de lois anti</w:t>
      </w:r>
      <w:r w:rsidR="00D52E27" w:rsidRPr="0026653F">
        <w:rPr>
          <w:bCs/>
          <w:color w:val="000000"/>
          <w:szCs w:val="22"/>
          <w:lang w:val="fr-FR"/>
        </w:rPr>
        <w:t>-</w:t>
      </w:r>
      <w:r w:rsidRPr="0026653F">
        <w:rPr>
          <w:bCs/>
          <w:color w:val="000000"/>
          <w:szCs w:val="22"/>
          <w:lang w:val="fr-FR"/>
        </w:rPr>
        <w:t>drogues dans les États membres afin de lutter efficacement contre la production, le trafic et la distribution de drogues illicites d’origine naturelle et de drogues de synthèse, y compris les nouvelles substances psychoactives ainsi que les substances et précurseurs chimiques utilisés dans leur fabrication, en adoptant, par exemple, des technologies de contrôle et de surveillance, d’identification chimique et de formation spécialisée permettant de poursuivre en justice les comportements délictueux liés aux drogues et aux précurseurs chimiques</w:t>
      </w:r>
      <w:r w:rsidRPr="006C4344">
        <w:rPr>
          <w:bCs/>
          <w:szCs w:val="22"/>
          <w:lang w:val="fr-FR"/>
        </w:rPr>
        <w:t>, a</w:t>
      </w:r>
      <w:r w:rsidRPr="0026653F">
        <w:rPr>
          <w:bCs/>
          <w:color w:val="000000"/>
          <w:szCs w:val="22"/>
          <w:lang w:val="fr-FR"/>
        </w:rPr>
        <w:t xml:space="preserve">insi que </w:t>
      </w:r>
      <w:r w:rsidR="008F4A3B" w:rsidRPr="0026653F">
        <w:rPr>
          <w:bCs/>
          <w:color w:val="000000"/>
          <w:szCs w:val="22"/>
          <w:lang w:val="fr-FR"/>
        </w:rPr>
        <w:t xml:space="preserve">de développer et renforcer </w:t>
      </w:r>
      <w:r w:rsidRPr="0026653F">
        <w:rPr>
          <w:bCs/>
          <w:color w:val="000000"/>
          <w:szCs w:val="22"/>
          <w:lang w:val="fr-FR"/>
        </w:rPr>
        <w:t>leurs capacités</w:t>
      </w:r>
      <w:r w:rsidR="002924B2" w:rsidRPr="0026653F">
        <w:rPr>
          <w:bCs/>
          <w:color w:val="000000"/>
          <w:szCs w:val="22"/>
          <w:lang w:val="fr-FR"/>
        </w:rPr>
        <w:t>,</w:t>
      </w:r>
      <w:r w:rsidRPr="0026653F">
        <w:rPr>
          <w:bCs/>
          <w:color w:val="000000"/>
          <w:szCs w:val="22"/>
          <w:lang w:val="fr-FR"/>
        </w:rPr>
        <w:t xml:space="preserve"> </w:t>
      </w:r>
      <w:r w:rsidR="002924B2" w:rsidRPr="0026653F">
        <w:rPr>
          <w:bCs/>
          <w:color w:val="000000"/>
          <w:szCs w:val="22"/>
          <w:lang w:val="fr-FR"/>
        </w:rPr>
        <w:t xml:space="preserve">y compris par le biais de la coopération internationale, </w:t>
      </w:r>
      <w:r w:rsidRPr="0026653F">
        <w:rPr>
          <w:bCs/>
          <w:color w:val="000000"/>
          <w:szCs w:val="22"/>
          <w:lang w:val="fr-FR"/>
        </w:rPr>
        <w:t>à identifier et à contrôler les nouvelles modalités telles que l’utilisation de l’internet, y compris le réseau noir, les services postaux et les cryptomonnaies, pour la vente et la distribution de drogues illicites.</w:t>
      </w:r>
    </w:p>
    <w:p w14:paraId="717E730F" w14:textId="77777777" w:rsidR="00293B12" w:rsidRPr="0026653F" w:rsidRDefault="00293B12" w:rsidP="00C618DD">
      <w:pPr>
        <w:suppressAutoHyphens/>
        <w:rPr>
          <w:bCs/>
          <w:szCs w:val="22"/>
          <w:lang w:val="fr-FR"/>
        </w:rPr>
      </w:pPr>
    </w:p>
    <w:p w14:paraId="1B110528" w14:textId="77777777" w:rsidR="00293B12" w:rsidRPr="0026653F" w:rsidRDefault="00293B12" w:rsidP="00C618DD">
      <w:pPr>
        <w:numPr>
          <w:ilvl w:val="0"/>
          <w:numId w:val="48"/>
        </w:numPr>
        <w:suppressAutoHyphens/>
        <w:ind w:left="0" w:firstLine="720"/>
        <w:rPr>
          <w:bCs/>
          <w:szCs w:val="22"/>
          <w:lang w:val="fr-FR"/>
        </w:rPr>
      </w:pPr>
      <w:r w:rsidRPr="0026653F">
        <w:rPr>
          <w:bCs/>
          <w:szCs w:val="22"/>
          <w:lang w:val="fr-FR"/>
        </w:rPr>
        <w:t>De promouvoir la coopération internationale afin de fournir une assistance technique et de renforcer les capacités à l’appui des efforts déployés par les États membres pour contrôler la culture et la production de drogues illicites qui contribuent au problème mondial des drogues.</w:t>
      </w:r>
    </w:p>
    <w:p w14:paraId="76FF8900" w14:textId="77777777" w:rsidR="00293B12" w:rsidRPr="0026653F" w:rsidRDefault="00293B12" w:rsidP="00C618DD">
      <w:pPr>
        <w:suppressAutoHyphens/>
        <w:rPr>
          <w:bCs/>
          <w:szCs w:val="22"/>
          <w:lang w:val="fr-FR"/>
        </w:rPr>
      </w:pPr>
    </w:p>
    <w:p w14:paraId="4437AB0D" w14:textId="18F9382B"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D’encourager les États membres à concevoir, développer et renforcer leurs systèmes nationaux d’alerte rapide sur les nouvelles substances psychoactives, les drogues de synthèse et les autres drogues émergentes, en coordination avec les systèmes d’alerte rapide existant aux niveaux régional et mondial, et de demander au SE/CICAD de fournir une formation et une assistance technique pour le renforcement des capacités des États membres en matière d’élaboration de tels systèmes, y compris un soutien aux entités et agences correspondantes, sur la manière d’utiliser les </w:t>
      </w:r>
      <w:r w:rsidR="008F4A3B" w:rsidRPr="0026653F">
        <w:rPr>
          <w:bCs/>
          <w:szCs w:val="22"/>
          <w:lang w:val="fr-FR"/>
        </w:rPr>
        <w:t xml:space="preserve">données </w:t>
      </w:r>
      <w:r w:rsidR="008F4A3B" w:rsidRPr="0026653F">
        <w:rPr>
          <w:bCs/>
          <w:szCs w:val="22"/>
          <w:lang w:val="fr-FR"/>
        </w:rPr>
        <w:lastRenderedPageBreak/>
        <w:t xml:space="preserve">factuelles </w:t>
      </w:r>
      <w:r w:rsidRPr="0026653F">
        <w:rPr>
          <w:bCs/>
          <w:szCs w:val="22"/>
          <w:lang w:val="fr-FR"/>
        </w:rPr>
        <w:t>dans l’élaboration des plans d’action nationaux qui visent à lutter efficacement contre les conséquences néfastes de l’abus et du trafic de ces substances.</w:t>
      </w:r>
    </w:p>
    <w:p w14:paraId="26A9FAD9" w14:textId="77777777" w:rsidR="00293B12" w:rsidRPr="0026653F" w:rsidRDefault="00293B12" w:rsidP="00C618DD">
      <w:pPr>
        <w:suppressAutoHyphens/>
        <w:rPr>
          <w:bCs/>
          <w:szCs w:val="22"/>
          <w:lang w:val="fr-FR"/>
        </w:rPr>
      </w:pPr>
    </w:p>
    <w:p w14:paraId="62092A9A" w14:textId="6817828C" w:rsidR="00293B12" w:rsidRPr="0026653F" w:rsidRDefault="00293B12" w:rsidP="00C618DD">
      <w:pPr>
        <w:numPr>
          <w:ilvl w:val="0"/>
          <w:numId w:val="48"/>
        </w:numPr>
        <w:suppressAutoHyphens/>
        <w:ind w:left="0" w:firstLine="720"/>
        <w:rPr>
          <w:szCs w:val="22"/>
          <w:lang w:val="fr-FR"/>
        </w:rPr>
      </w:pPr>
      <w:r w:rsidRPr="0026653F">
        <w:rPr>
          <w:bCs/>
          <w:szCs w:val="22"/>
          <w:lang w:val="fr-FR"/>
        </w:rPr>
        <w:t xml:space="preserve">D’encourager les États membres à envisager de signer ou de ratifier </w:t>
      </w:r>
      <w:r w:rsidR="00427951" w:rsidRPr="0026653F">
        <w:rPr>
          <w:bCs/>
          <w:szCs w:val="22"/>
          <w:lang w:val="fr-FR"/>
        </w:rPr>
        <w:t>l’</w:t>
      </w:r>
      <w:r w:rsidR="0038518A" w:rsidRPr="0026653F">
        <w:rPr>
          <w:szCs w:val="22"/>
          <w:lang w:val="fr-FR"/>
        </w:rPr>
        <w:t>Accord de San José,</w:t>
      </w:r>
      <w:r w:rsidRPr="0026653F">
        <w:rPr>
          <w:bCs/>
          <w:szCs w:val="22"/>
          <w:lang w:val="fr-FR"/>
        </w:rPr>
        <w:t xml:space="preserve"> étant donné que le trafic maritime de drogues constitue une menace importante et croissante dans la région, et de demander au SE/CICAD de continuer à fournir, selon les besoins, une assistance technique et une formation aux États membres en matière de coopération et de contrôle du trafic maritime de drogues.</w:t>
      </w:r>
    </w:p>
    <w:p w14:paraId="14B432A2" w14:textId="77777777" w:rsidR="00293B12" w:rsidRPr="0026653F" w:rsidRDefault="00293B12" w:rsidP="00C618DD">
      <w:pPr>
        <w:suppressAutoHyphens/>
        <w:rPr>
          <w:bCs/>
          <w:szCs w:val="22"/>
          <w:lang w:val="fr-FR"/>
        </w:rPr>
      </w:pPr>
    </w:p>
    <w:p w14:paraId="60073EC6" w14:textId="68F82699" w:rsidR="00293B12" w:rsidRPr="0026653F" w:rsidRDefault="00293B12" w:rsidP="00C618DD">
      <w:pPr>
        <w:numPr>
          <w:ilvl w:val="0"/>
          <w:numId w:val="48"/>
        </w:numPr>
        <w:suppressAutoHyphens/>
        <w:ind w:left="0" w:firstLine="720"/>
        <w:rPr>
          <w:bCs/>
          <w:szCs w:val="22"/>
          <w:lang w:val="fr-FR"/>
        </w:rPr>
      </w:pPr>
      <w:r w:rsidRPr="0026653F">
        <w:rPr>
          <w:bCs/>
          <w:szCs w:val="22"/>
          <w:lang w:val="fr-FR"/>
        </w:rPr>
        <w:t>D’inviter les États membres à appuyer la mise en œuvre de la décision de la 63</w:t>
      </w:r>
      <w:r w:rsidRPr="0026653F">
        <w:rPr>
          <w:bCs/>
          <w:szCs w:val="22"/>
          <w:vertAlign w:val="superscript"/>
          <w:lang w:val="fr-FR"/>
        </w:rPr>
        <w:t>e</w:t>
      </w:r>
      <w:r w:rsidRPr="0026653F">
        <w:rPr>
          <w:bCs/>
          <w:szCs w:val="22"/>
          <w:lang w:val="fr-FR"/>
        </w:rPr>
        <w:t xml:space="preserve"> session de la Commission des stupéfiants de</w:t>
      </w:r>
      <w:r w:rsidR="00C65702" w:rsidRPr="0026653F">
        <w:rPr>
          <w:bCs/>
          <w:szCs w:val="22"/>
          <w:lang w:val="fr-FR"/>
        </w:rPr>
        <w:t xml:space="preserve"> l’ONU, laquelle prévoit un examen continu d</w:t>
      </w:r>
      <w:r w:rsidRPr="0026653F">
        <w:rPr>
          <w:bCs/>
          <w:szCs w:val="22"/>
          <w:lang w:val="fr-FR"/>
        </w:rPr>
        <w:t>es recommandations de l’Organisation mondiale de la Santé sur le cannabis et les substances qui y sont apparentées, compte tenu de leur complexité, leurs implications, leurs conséquences et leur raison d’être. De même, de demander à la CICAD de continuer à promouvoir le dialogue avec les organisations internationales compétentes afin d’approfondir la compréhension technique et les implications de ces recommandations.</w:t>
      </w:r>
    </w:p>
    <w:p w14:paraId="11002E8A" w14:textId="77777777" w:rsidR="00293B12" w:rsidRPr="0026653F" w:rsidRDefault="00293B12" w:rsidP="00C618DD">
      <w:pPr>
        <w:suppressAutoHyphens/>
        <w:rPr>
          <w:bCs/>
          <w:szCs w:val="22"/>
          <w:lang w:val="fr-FR"/>
        </w:rPr>
      </w:pPr>
    </w:p>
    <w:p w14:paraId="4F061A3B" w14:textId="19DAD5F0" w:rsidR="00293B12" w:rsidRPr="0026653F" w:rsidRDefault="00293B12" w:rsidP="00C618DD">
      <w:pPr>
        <w:numPr>
          <w:ilvl w:val="0"/>
          <w:numId w:val="48"/>
        </w:numPr>
        <w:suppressAutoHyphens/>
        <w:ind w:left="0" w:firstLine="720"/>
        <w:rPr>
          <w:bCs/>
          <w:szCs w:val="22"/>
          <w:lang w:val="fr-FR"/>
        </w:rPr>
      </w:pPr>
      <w:r w:rsidRPr="0026653F">
        <w:rPr>
          <w:bCs/>
          <w:szCs w:val="22"/>
          <w:lang w:val="fr-FR"/>
        </w:rPr>
        <w:t xml:space="preserve">De promouvoir la coopération entre les commissions nationales de lutte contre les drogues, les ministères de la santé, les établissements d’enseignement, la société civile, les acteurs du secteur privé et les autres institutions </w:t>
      </w:r>
      <w:r w:rsidR="00CC6C91" w:rsidRPr="0026653F">
        <w:rPr>
          <w:bCs/>
          <w:szCs w:val="22"/>
          <w:lang w:val="fr-FR"/>
        </w:rPr>
        <w:t>compétentes</w:t>
      </w:r>
      <w:r w:rsidRPr="0026653F">
        <w:rPr>
          <w:bCs/>
          <w:szCs w:val="22"/>
          <w:lang w:val="fr-FR"/>
        </w:rPr>
        <w:t xml:space="preserve"> dans les États membres dans le but de renforcer les efforts de lutte contre le problème mondial des drogues.</w:t>
      </w:r>
    </w:p>
    <w:p w14:paraId="382928D1" w14:textId="77777777" w:rsidR="00293B12" w:rsidRPr="0026653F" w:rsidRDefault="00293B12" w:rsidP="00C618DD">
      <w:pPr>
        <w:suppressAutoHyphens/>
        <w:rPr>
          <w:bCs/>
          <w:szCs w:val="22"/>
          <w:lang w:val="fr-FR"/>
        </w:rPr>
      </w:pPr>
    </w:p>
    <w:p w14:paraId="1E0FBC89" w14:textId="43BD318A" w:rsidR="00293B12" w:rsidRPr="0026653F" w:rsidRDefault="00293B12" w:rsidP="00C618DD">
      <w:pPr>
        <w:numPr>
          <w:ilvl w:val="0"/>
          <w:numId w:val="48"/>
        </w:numPr>
        <w:suppressAutoHyphens/>
        <w:ind w:left="0" w:firstLine="720"/>
        <w:rPr>
          <w:i/>
          <w:iCs/>
          <w:szCs w:val="22"/>
          <w:lang w:val="fr-FR"/>
        </w:rPr>
      </w:pPr>
      <w:r w:rsidRPr="0026653F">
        <w:rPr>
          <w:bCs/>
          <w:szCs w:val="22"/>
          <w:lang w:val="fr-FR"/>
        </w:rPr>
        <w:t xml:space="preserve">De continuer à encourager les États membres à soutenir les travaux des quatre groupes d’experts de la CICAD (réduction de la demande, trafic maritime de drogues, matières chimiques et pharmaceutiques, et développement alternatif, intégré et durable), et </w:t>
      </w:r>
      <w:r w:rsidRPr="0026653F">
        <w:rPr>
          <w:szCs w:val="22"/>
          <w:lang w:val="fr-FR"/>
        </w:rPr>
        <w:t>de demander au</w:t>
      </w:r>
      <w:r w:rsidRPr="0026653F">
        <w:rPr>
          <w:b/>
          <w:bCs/>
          <w:szCs w:val="22"/>
          <w:lang w:val="fr-FR"/>
        </w:rPr>
        <w:t xml:space="preserve"> </w:t>
      </w:r>
      <w:r w:rsidRPr="0026653F">
        <w:rPr>
          <w:bCs/>
          <w:szCs w:val="22"/>
          <w:lang w:val="fr-FR"/>
        </w:rPr>
        <w:t xml:space="preserve">SE/CICAD, selon les besoins et dans la mesure du possible, </w:t>
      </w:r>
      <w:r w:rsidRPr="0026653F">
        <w:rPr>
          <w:szCs w:val="22"/>
          <w:lang w:val="fr-FR"/>
        </w:rPr>
        <w:t>d’encourager et de</w:t>
      </w:r>
      <w:r w:rsidRPr="0026653F">
        <w:rPr>
          <w:bCs/>
          <w:szCs w:val="22"/>
          <w:lang w:val="fr-FR"/>
        </w:rPr>
        <w:t xml:space="preserve"> soutenir la participation d’experts nationaux aux réunions annuelles des groupes d’experts.</w:t>
      </w:r>
    </w:p>
    <w:p w14:paraId="5CC088BE" w14:textId="77777777" w:rsidR="00293B12" w:rsidRPr="0026653F" w:rsidRDefault="00293B12" w:rsidP="00C618DD">
      <w:pPr>
        <w:suppressAutoHyphens/>
        <w:rPr>
          <w:bCs/>
          <w:szCs w:val="22"/>
          <w:lang w:val="fr-FR"/>
        </w:rPr>
      </w:pPr>
    </w:p>
    <w:p w14:paraId="614ACAF8" w14:textId="525AC0B5" w:rsidR="00293B12" w:rsidRPr="0026653F" w:rsidRDefault="00293B12" w:rsidP="00C618DD">
      <w:pPr>
        <w:suppressAutoHyphens/>
        <w:rPr>
          <w:rFonts w:eastAsia="MS Mincho"/>
          <w:i/>
          <w:szCs w:val="22"/>
          <w:lang w:val="fr-FR"/>
        </w:rPr>
      </w:pPr>
      <w:r w:rsidRPr="0026653F">
        <w:rPr>
          <w:bCs/>
          <w:szCs w:val="22"/>
          <w:lang w:val="fr-FR"/>
        </w:rPr>
        <w:tab/>
        <w:t>203.</w:t>
      </w:r>
      <w:r w:rsidRPr="0026653F">
        <w:rPr>
          <w:rFonts w:eastAsia="MS Mincho"/>
          <w:szCs w:val="22"/>
          <w:lang w:val="fr-FR"/>
        </w:rPr>
        <w:tab/>
      </w:r>
      <w:r w:rsidRPr="0026653F">
        <w:rPr>
          <w:bCs/>
          <w:szCs w:val="22"/>
          <w:lang w:val="fr-FR"/>
        </w:rPr>
        <w:t>De demander au SE/CICAD de continuer à encourager les synergies avec d’autres organismes régionaux, sous-régionaux et internationaux afin d’optimiser les ressources et d’éviter la duplication des efforts visant à aborder et à contrecarrer le problème mondial des drogues.</w:t>
      </w:r>
    </w:p>
    <w:p w14:paraId="0D598628" w14:textId="77777777" w:rsidR="00293B12" w:rsidRPr="0026653F" w:rsidRDefault="00293B12" w:rsidP="00C618DD">
      <w:pPr>
        <w:suppressAutoHyphens/>
        <w:rPr>
          <w:bCs/>
          <w:szCs w:val="22"/>
          <w:lang w:val="fr-FR"/>
        </w:rPr>
      </w:pPr>
    </w:p>
    <w:p w14:paraId="3E7C5BE3" w14:textId="5B0EB28B" w:rsidR="00293B12" w:rsidRPr="0026653F" w:rsidRDefault="00293B12" w:rsidP="00C618DD">
      <w:pPr>
        <w:numPr>
          <w:ilvl w:val="0"/>
          <w:numId w:val="51"/>
        </w:numPr>
        <w:suppressAutoHyphens/>
        <w:ind w:left="0" w:firstLine="709"/>
        <w:rPr>
          <w:bCs/>
          <w:szCs w:val="22"/>
          <w:lang w:val="fr-FR"/>
        </w:rPr>
      </w:pPr>
      <w:r w:rsidRPr="0026653F">
        <w:rPr>
          <w:bCs/>
          <w:szCs w:val="22"/>
          <w:lang w:val="fr-FR"/>
        </w:rPr>
        <w:t xml:space="preserve">De soutenir le renforcement du SE/CICAD et d’inviter les États membres, les observateurs permanents et d’autres bailleurs internationaux à continuer de verser des contributions volontaires </w:t>
      </w:r>
      <w:r w:rsidR="00A165E8" w:rsidRPr="0026653F">
        <w:rPr>
          <w:bCs/>
          <w:szCs w:val="22"/>
          <w:lang w:val="fr-FR"/>
        </w:rPr>
        <w:t xml:space="preserve">afin de lui permettre </w:t>
      </w:r>
      <w:r w:rsidRPr="0026653F">
        <w:rPr>
          <w:bCs/>
          <w:szCs w:val="22"/>
          <w:lang w:val="fr-FR"/>
        </w:rPr>
        <w:t>d’atteindre ses objectifs.</w:t>
      </w:r>
    </w:p>
    <w:p w14:paraId="43DDE583" w14:textId="77777777" w:rsidR="00293B12" w:rsidRPr="0026653F" w:rsidRDefault="00293B12" w:rsidP="00C618DD">
      <w:pPr>
        <w:suppressAutoHyphens/>
        <w:rPr>
          <w:rFonts w:eastAsia="MS Mincho"/>
          <w:bCs/>
          <w:szCs w:val="22"/>
          <w:lang w:val="fr-FR" w:eastAsia="es-ES_tradnl"/>
        </w:rPr>
      </w:pPr>
    </w:p>
    <w:p w14:paraId="32BAA875" w14:textId="5DE463DF" w:rsidR="00293B12" w:rsidRPr="0026653F" w:rsidRDefault="00293B12" w:rsidP="00C618DD">
      <w:pPr>
        <w:numPr>
          <w:ilvl w:val="0"/>
          <w:numId w:val="51"/>
        </w:numPr>
        <w:suppressAutoHyphens/>
        <w:ind w:left="0" w:firstLine="720"/>
        <w:rPr>
          <w:bCs/>
          <w:szCs w:val="22"/>
          <w:lang w:val="fr-FR"/>
        </w:rPr>
      </w:pPr>
      <w:r w:rsidRPr="0026653F">
        <w:rPr>
          <w:bCs/>
          <w:szCs w:val="22"/>
          <w:lang w:val="fr-FR"/>
        </w:rPr>
        <w:t>De remercier le Gouvernement de la République de Colombie pour son offre d’accueillir la soixante-huitième session ordinaire de la CICAD en novembre 2020, et d’accepter cette offre.</w:t>
      </w:r>
    </w:p>
    <w:p w14:paraId="3DDD707D" w14:textId="77777777" w:rsidR="00293B12" w:rsidRPr="0026653F" w:rsidRDefault="00293B12" w:rsidP="00C618DD">
      <w:pPr>
        <w:suppressAutoHyphens/>
        <w:jc w:val="left"/>
        <w:rPr>
          <w:bCs/>
          <w:szCs w:val="22"/>
          <w:lang w:val="fr-FR"/>
        </w:rPr>
      </w:pPr>
    </w:p>
    <w:p w14:paraId="73313908" w14:textId="77777777" w:rsidR="00293B12" w:rsidRPr="0026653F" w:rsidRDefault="00293B12" w:rsidP="00C618DD">
      <w:pPr>
        <w:suppressAutoHyphens/>
        <w:jc w:val="center"/>
        <w:rPr>
          <w:szCs w:val="22"/>
          <w:lang w:val="fr-FR" w:eastAsia="es-ES_tradnl"/>
        </w:rPr>
      </w:pPr>
      <w:r w:rsidRPr="0026653F">
        <w:rPr>
          <w:szCs w:val="22"/>
          <w:lang w:val="fr-FR" w:eastAsia="es-ES_tradnl"/>
        </w:rPr>
        <w:t>II.</w:t>
      </w:r>
      <w:r w:rsidRPr="0026653F">
        <w:rPr>
          <w:szCs w:val="22"/>
          <w:lang w:val="fr-FR" w:eastAsia="es-ES_tradnl"/>
        </w:rPr>
        <w:tab/>
        <w:t>SUIVI ET RAPPORTS</w:t>
      </w:r>
    </w:p>
    <w:p w14:paraId="4265EF01" w14:textId="77777777" w:rsidR="00293B12" w:rsidRPr="0026653F" w:rsidRDefault="00293B12" w:rsidP="00C618DD">
      <w:pPr>
        <w:suppressAutoHyphens/>
        <w:rPr>
          <w:color w:val="000000"/>
          <w:szCs w:val="22"/>
          <w:lang w:val="fr-FR" w:eastAsia="es-ES_tradnl"/>
        </w:rPr>
      </w:pPr>
    </w:p>
    <w:p w14:paraId="5B8EC005" w14:textId="54167848" w:rsidR="00293B12" w:rsidRPr="0026653F" w:rsidRDefault="00293B12" w:rsidP="00C618DD">
      <w:pPr>
        <w:numPr>
          <w:ilvl w:val="0"/>
          <w:numId w:val="51"/>
        </w:numPr>
        <w:suppressAutoHyphens/>
        <w:ind w:left="0" w:firstLine="709"/>
        <w:rPr>
          <w:rFonts w:eastAsia="MS Mincho"/>
          <w:i/>
          <w:iCs/>
          <w:color w:val="000000"/>
          <w:szCs w:val="22"/>
          <w:lang w:val="fr-FR"/>
        </w:rPr>
      </w:pPr>
      <w:r w:rsidRPr="0026653F">
        <w:rPr>
          <w:color w:val="000000"/>
          <w:szCs w:val="22"/>
          <w:lang w:val="fr-FR"/>
        </w:rPr>
        <w:t xml:space="preserve">De demander à la CSH de réviser, au second semestre de 2020, la Liste des points de contact </w:t>
      </w:r>
      <w:r w:rsidR="001220BB" w:rsidRPr="0026653F">
        <w:rPr>
          <w:color w:val="000000"/>
          <w:szCs w:val="22"/>
          <w:lang w:val="fr-FR"/>
        </w:rPr>
        <w:t xml:space="preserve">nationaux </w:t>
      </w:r>
      <w:r w:rsidRPr="0026653F">
        <w:rPr>
          <w:color w:val="000000"/>
          <w:szCs w:val="22"/>
          <w:lang w:val="fr-FR"/>
        </w:rPr>
        <w:t>et des autorités nationales</w:t>
      </w:r>
      <w:r w:rsidR="00A165E8" w:rsidRPr="0026653F">
        <w:rPr>
          <w:color w:val="000000"/>
          <w:szCs w:val="22"/>
          <w:lang w:val="fr-FR"/>
        </w:rPr>
        <w:t xml:space="preserve"> </w:t>
      </w:r>
      <w:r w:rsidR="001220BB" w:rsidRPr="0026653F">
        <w:rPr>
          <w:color w:val="000000"/>
          <w:szCs w:val="22"/>
          <w:lang w:val="fr-FR"/>
        </w:rPr>
        <w:t xml:space="preserve">par domaine thématique </w:t>
      </w:r>
      <w:r w:rsidR="00A165E8" w:rsidRPr="0026653F">
        <w:rPr>
          <w:color w:val="000000"/>
          <w:szCs w:val="22"/>
          <w:lang w:val="fr-FR"/>
        </w:rPr>
        <w:t>(</w:t>
      </w:r>
      <w:hyperlink r:id="rId34" w:history="1">
        <w:r w:rsidRPr="0026653F">
          <w:rPr>
            <w:color w:val="0000FF"/>
            <w:szCs w:val="22"/>
            <w:u w:val="single"/>
            <w:lang w:val="fr-FR"/>
          </w:rPr>
          <w:t>CP/CSH-1984/20</w:t>
        </w:r>
      </w:hyperlink>
      <w:r w:rsidR="00A165E8" w:rsidRPr="0026653F">
        <w:rPr>
          <w:color w:val="0000FF"/>
          <w:szCs w:val="22"/>
          <w:u w:val="single"/>
          <w:lang w:val="fr-FR"/>
        </w:rPr>
        <w:t>)</w:t>
      </w:r>
      <w:r w:rsidRPr="0026653F">
        <w:rPr>
          <w:color w:val="000000"/>
          <w:szCs w:val="22"/>
          <w:lang w:val="fr-FR"/>
        </w:rPr>
        <w:t xml:space="preserve"> dans le but de consolider les autorités nationales et les points de contact nationaux pour diverses questions de sécurité</w:t>
      </w:r>
      <w:r w:rsidR="00A165E8" w:rsidRPr="0026653F">
        <w:rPr>
          <w:color w:val="000000"/>
          <w:szCs w:val="22"/>
          <w:lang w:val="fr-FR"/>
        </w:rPr>
        <w:t xml:space="preserve">, d’adresser chaque année </w:t>
      </w:r>
      <w:r w:rsidRPr="0026653F">
        <w:rPr>
          <w:color w:val="000000"/>
          <w:szCs w:val="22"/>
          <w:lang w:val="fr-FR"/>
        </w:rPr>
        <w:t xml:space="preserve">des rappels aux États membres </w:t>
      </w:r>
      <w:r w:rsidR="00A165E8" w:rsidRPr="0026653F">
        <w:rPr>
          <w:color w:val="000000"/>
          <w:szCs w:val="22"/>
          <w:lang w:val="fr-FR"/>
        </w:rPr>
        <w:t xml:space="preserve">pour qu’ils mettent </w:t>
      </w:r>
      <w:r w:rsidRPr="0026653F">
        <w:rPr>
          <w:color w:val="000000"/>
          <w:szCs w:val="22"/>
          <w:lang w:val="fr-FR"/>
        </w:rPr>
        <w:t>à jour et valide</w:t>
      </w:r>
      <w:r w:rsidR="00A165E8" w:rsidRPr="0026653F">
        <w:rPr>
          <w:color w:val="000000"/>
          <w:szCs w:val="22"/>
          <w:lang w:val="fr-FR"/>
        </w:rPr>
        <w:t>nt</w:t>
      </w:r>
      <w:r w:rsidRPr="0026653F">
        <w:rPr>
          <w:color w:val="000000"/>
          <w:szCs w:val="22"/>
          <w:lang w:val="fr-FR"/>
        </w:rPr>
        <w:t xml:space="preserve"> les données reçues, et d’offrir aux États membres </w:t>
      </w:r>
      <w:r w:rsidR="00CC6C91" w:rsidRPr="0026653F">
        <w:rPr>
          <w:color w:val="000000"/>
          <w:szCs w:val="22"/>
          <w:lang w:val="fr-FR"/>
        </w:rPr>
        <w:t xml:space="preserve">un </w:t>
      </w:r>
      <w:r w:rsidRPr="0026653F">
        <w:rPr>
          <w:color w:val="000000"/>
          <w:szCs w:val="22"/>
          <w:lang w:val="fr-FR"/>
        </w:rPr>
        <w:t>accès à ces registres.</w:t>
      </w:r>
    </w:p>
    <w:p w14:paraId="0E6964AC" w14:textId="77777777" w:rsidR="00293B12" w:rsidRPr="0026653F" w:rsidRDefault="00293B12" w:rsidP="00C618DD">
      <w:pPr>
        <w:suppressAutoHyphens/>
        <w:rPr>
          <w:rFonts w:eastAsia="MS Mincho"/>
          <w:color w:val="000000"/>
          <w:szCs w:val="22"/>
          <w:lang w:val="fr-FR"/>
        </w:rPr>
      </w:pPr>
    </w:p>
    <w:p w14:paraId="7C47E0B0" w14:textId="2118B30F" w:rsidR="00293B12" w:rsidRPr="0026653F" w:rsidRDefault="00293B12" w:rsidP="00C618DD">
      <w:pPr>
        <w:numPr>
          <w:ilvl w:val="0"/>
          <w:numId w:val="51"/>
        </w:numPr>
        <w:suppressAutoHyphens/>
        <w:ind w:left="0" w:firstLine="720"/>
        <w:rPr>
          <w:rFonts w:eastAsia="MS Mincho"/>
          <w:color w:val="000000"/>
          <w:szCs w:val="22"/>
          <w:lang w:val="fr-FR"/>
        </w:rPr>
      </w:pPr>
      <w:r w:rsidRPr="0026653F">
        <w:rPr>
          <w:rFonts w:eastAsia="MS Mincho"/>
          <w:color w:val="000000"/>
          <w:szCs w:val="22"/>
          <w:lang w:val="fr-FR"/>
        </w:rPr>
        <w:t>De charger le S</w:t>
      </w:r>
      <w:r w:rsidR="00A165E8" w:rsidRPr="0026653F">
        <w:rPr>
          <w:rFonts w:eastAsia="MS Mincho"/>
          <w:color w:val="000000"/>
          <w:szCs w:val="22"/>
          <w:lang w:val="fr-FR"/>
        </w:rPr>
        <w:t xml:space="preserve">SM </w:t>
      </w:r>
      <w:r w:rsidRPr="0026653F">
        <w:rPr>
          <w:rFonts w:eastAsia="MS Mincho"/>
          <w:color w:val="000000"/>
          <w:szCs w:val="22"/>
          <w:lang w:val="fr-FR"/>
        </w:rPr>
        <w:t xml:space="preserve">de présenter tous les ans à la CSH, au début de chaque période, le plan des activités </w:t>
      </w:r>
      <w:r w:rsidR="00A11F98" w:rsidRPr="0026653F">
        <w:rPr>
          <w:rFonts w:eastAsia="MS Mincho"/>
          <w:color w:val="000000"/>
          <w:szCs w:val="22"/>
          <w:lang w:val="fr-FR"/>
        </w:rPr>
        <w:t xml:space="preserve">prévues </w:t>
      </w:r>
      <w:r w:rsidRPr="0026653F">
        <w:rPr>
          <w:rFonts w:eastAsia="MS Mincho"/>
          <w:color w:val="000000"/>
          <w:szCs w:val="22"/>
          <w:lang w:val="fr-FR"/>
        </w:rPr>
        <w:t>aux fins de consultation ou de supervision adéquate par les États membres.</w:t>
      </w:r>
    </w:p>
    <w:p w14:paraId="6C83C7B5" w14:textId="77777777" w:rsidR="00293B12" w:rsidRPr="0026653F" w:rsidRDefault="00293B12" w:rsidP="00C618DD">
      <w:pPr>
        <w:suppressAutoHyphens/>
        <w:rPr>
          <w:color w:val="000000"/>
          <w:szCs w:val="22"/>
          <w:lang w:val="fr-FR"/>
        </w:rPr>
      </w:pPr>
    </w:p>
    <w:p w14:paraId="169149B1" w14:textId="77777777" w:rsidR="00293B12" w:rsidRPr="0026653F" w:rsidRDefault="00293B12" w:rsidP="00C618DD">
      <w:pPr>
        <w:numPr>
          <w:ilvl w:val="0"/>
          <w:numId w:val="51"/>
        </w:numPr>
        <w:suppressAutoHyphens/>
        <w:ind w:left="0" w:firstLine="720"/>
        <w:rPr>
          <w:rFonts w:eastAsia="MS Mincho"/>
          <w:color w:val="000000"/>
          <w:szCs w:val="22"/>
          <w:lang w:val="fr-FR"/>
        </w:rPr>
      </w:pPr>
      <w:bookmarkStart w:id="12" w:name="_Toc454210348"/>
      <w:bookmarkStart w:id="13" w:name="_Toc453675774"/>
      <w:bookmarkStart w:id="14" w:name="_Toc453611854"/>
      <w:r w:rsidRPr="0026653F">
        <w:rPr>
          <w:rFonts w:eastAsia="MS Mincho"/>
          <w:color w:val="000000"/>
          <w:szCs w:val="22"/>
          <w:lang w:val="fr-FR"/>
        </w:rPr>
        <w:t>De demander au Conseil permanent de soumettre un rapport à l’Assemblée générale, lors de sa cinquantième-et-unième session ordinaire, sur les suites données à la présente résolution, et d’établir que la mise en œuvre des activités qui y sont prévues dépendra de la disponibilité des ressources financières inscrites à ce titre dans le programme-budget de l’Organisation, ainsi que d’autres ressources.</w:t>
      </w:r>
    </w:p>
    <w:p w14:paraId="5EC4C42B" w14:textId="77777777" w:rsidR="00293B12" w:rsidRPr="0026653F" w:rsidRDefault="00293B12" w:rsidP="00C618DD">
      <w:pPr>
        <w:suppressAutoHyphens/>
        <w:rPr>
          <w:rFonts w:eastAsia="MS Mincho"/>
          <w:color w:val="000000"/>
          <w:szCs w:val="22"/>
          <w:lang w:val="fr-FR"/>
        </w:rPr>
      </w:pPr>
    </w:p>
    <w:p w14:paraId="3DA6A0A7" w14:textId="77777777" w:rsidR="00293B12" w:rsidRPr="0026653F" w:rsidRDefault="00293B12" w:rsidP="00C618DD">
      <w:pPr>
        <w:numPr>
          <w:ilvl w:val="0"/>
          <w:numId w:val="51"/>
        </w:numPr>
        <w:suppressAutoHyphens/>
        <w:ind w:left="0" w:firstLine="720"/>
        <w:rPr>
          <w:color w:val="000000"/>
          <w:szCs w:val="22"/>
          <w:lang w:val="fr-FR" w:eastAsia="es-ES_tradnl"/>
        </w:rPr>
      </w:pPr>
      <w:r w:rsidRPr="0026653F">
        <w:rPr>
          <w:rFonts w:eastAsia="MS Mincho"/>
          <w:color w:val="000000"/>
          <w:szCs w:val="22"/>
          <w:lang w:val="fr-FR"/>
        </w:rPr>
        <w:t>De remercier les États membres, les observateurs permanents et les partenaires en matière de coopération pour leur importante participation et leurs contributions financières qui soutiennent l’élaboration, la mise en œuvre et l’évaluation des programmes et projets dans le domaine de la sécurité continentale.</w:t>
      </w:r>
      <w:bookmarkEnd w:id="12"/>
      <w:bookmarkEnd w:id="13"/>
      <w:bookmarkEnd w:id="14"/>
    </w:p>
    <w:p w14:paraId="3C6E0A40" w14:textId="77777777" w:rsidR="00293B12" w:rsidRPr="0026653F" w:rsidRDefault="00293B12" w:rsidP="00C618DD">
      <w:pPr>
        <w:suppressAutoHyphens/>
        <w:rPr>
          <w:i/>
          <w:iCs/>
          <w:color w:val="000000"/>
          <w:szCs w:val="22"/>
          <w:lang w:val="fr-FR"/>
        </w:rPr>
      </w:pPr>
    </w:p>
    <w:p w14:paraId="648BFC16" w14:textId="77777777" w:rsidR="00293B12" w:rsidRPr="0026653F" w:rsidRDefault="00706B47" w:rsidP="00C618DD">
      <w:pPr>
        <w:tabs>
          <w:tab w:val="center" w:pos="4485"/>
          <w:tab w:val="left" w:pos="8227"/>
        </w:tabs>
        <w:suppressAutoHyphens/>
        <w:jc w:val="left"/>
        <w:rPr>
          <w:szCs w:val="22"/>
          <w:lang w:val="fr-FR" w:eastAsia="es-ES_tradnl"/>
        </w:rPr>
      </w:pPr>
      <w:r w:rsidRPr="0026653F">
        <w:rPr>
          <w:szCs w:val="22"/>
          <w:lang w:val="fr-FR" w:eastAsia="es-ES_tradnl"/>
        </w:rPr>
        <w:tab/>
      </w:r>
      <w:r w:rsidR="00293B12" w:rsidRPr="0026653F">
        <w:rPr>
          <w:szCs w:val="22"/>
          <w:lang w:val="fr-FR" w:eastAsia="es-ES_tradnl"/>
        </w:rPr>
        <w:t>III. CALENDRIER DES RÉUNIONS ET ÉVÉNEMENTS SPÉCIAUX</w:t>
      </w:r>
      <w:r w:rsidR="00293B12" w:rsidRPr="0026653F">
        <w:rPr>
          <w:szCs w:val="22"/>
          <w:u w:val="single"/>
          <w:vertAlign w:val="superscript"/>
          <w:lang w:val="fr-FR" w:eastAsia="es-ES_tradnl"/>
        </w:rPr>
        <w:footnoteReference w:id="30"/>
      </w:r>
      <w:r w:rsidRPr="0026653F">
        <w:rPr>
          <w:szCs w:val="22"/>
          <w:vertAlign w:val="superscript"/>
          <w:lang w:val="fr-FR" w:eastAsia="es-ES_tradnl"/>
        </w:rPr>
        <w:t>/</w:t>
      </w:r>
    </w:p>
    <w:p w14:paraId="6952B2BA" w14:textId="77777777" w:rsidR="00293B12" w:rsidRPr="0026653F" w:rsidRDefault="00293B12" w:rsidP="00C618DD">
      <w:pPr>
        <w:suppressAutoHyphens/>
        <w:rPr>
          <w:color w:val="000000"/>
          <w:szCs w:val="22"/>
          <w:lang w:val="fr-FR" w:eastAsia="es-ES_tradn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85"/>
        <w:gridCol w:w="1854"/>
        <w:gridCol w:w="3054"/>
        <w:gridCol w:w="1470"/>
      </w:tblGrid>
      <w:tr w:rsidR="00293B12" w:rsidRPr="0026653F" w14:paraId="0A0577E7" w14:textId="77777777" w:rsidTr="009071BD">
        <w:trPr>
          <w:tblHeader/>
          <w:jc w:val="center"/>
        </w:trPr>
        <w:tc>
          <w:tcPr>
            <w:tcW w:w="1487" w:type="dxa"/>
            <w:hideMark/>
          </w:tcPr>
          <w:p w14:paraId="249F8880"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t>Ordre chronologique provisoire</w:t>
            </w:r>
          </w:p>
        </w:tc>
        <w:tc>
          <w:tcPr>
            <w:tcW w:w="1585" w:type="dxa"/>
            <w:hideMark/>
          </w:tcPr>
          <w:p w14:paraId="174464CE"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t>Thème</w:t>
            </w:r>
          </w:p>
        </w:tc>
        <w:tc>
          <w:tcPr>
            <w:tcW w:w="1854" w:type="dxa"/>
            <w:hideMark/>
          </w:tcPr>
          <w:p w14:paraId="35DBDF32"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t>Date approximative</w:t>
            </w:r>
          </w:p>
        </w:tc>
        <w:tc>
          <w:tcPr>
            <w:tcW w:w="3054" w:type="dxa"/>
            <w:hideMark/>
          </w:tcPr>
          <w:p w14:paraId="4F0E4905"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t>Nom</w:t>
            </w:r>
          </w:p>
        </w:tc>
        <w:tc>
          <w:tcPr>
            <w:tcW w:w="1470" w:type="dxa"/>
            <w:hideMark/>
          </w:tcPr>
          <w:p w14:paraId="72142612"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t>Lieu</w:t>
            </w:r>
          </w:p>
        </w:tc>
      </w:tr>
      <w:tr w:rsidR="00293B12" w:rsidRPr="0026653F" w14:paraId="7682AB7A" w14:textId="77777777" w:rsidTr="009071BD">
        <w:trPr>
          <w:trHeight w:val="458"/>
          <w:jc w:val="center"/>
        </w:trPr>
        <w:tc>
          <w:tcPr>
            <w:tcW w:w="1487" w:type="dxa"/>
            <w:hideMark/>
          </w:tcPr>
          <w:p w14:paraId="0ED59A09"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1</w:t>
            </w:r>
          </w:p>
        </w:tc>
        <w:tc>
          <w:tcPr>
            <w:tcW w:w="1585" w:type="dxa"/>
            <w:hideMark/>
          </w:tcPr>
          <w:p w14:paraId="3382F8D4"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CMDA</w:t>
            </w:r>
          </w:p>
        </w:tc>
        <w:tc>
          <w:tcPr>
            <w:tcW w:w="1854" w:type="dxa"/>
            <w:hideMark/>
          </w:tcPr>
          <w:p w14:paraId="4290A147"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Novembre 2020</w:t>
            </w:r>
          </w:p>
        </w:tc>
        <w:tc>
          <w:tcPr>
            <w:tcW w:w="3054" w:type="dxa"/>
            <w:hideMark/>
          </w:tcPr>
          <w:p w14:paraId="4187E67A" w14:textId="77777777" w:rsidR="00293B12" w:rsidRPr="0026653F" w:rsidRDefault="00293B12" w:rsidP="00907516">
            <w:pPr>
              <w:suppressAutoHyphens/>
              <w:jc w:val="left"/>
              <w:rPr>
                <w:color w:val="000000"/>
                <w:szCs w:val="22"/>
                <w:lang w:val="fr-FR" w:eastAsia="es-ES_tradnl"/>
              </w:rPr>
            </w:pPr>
            <w:r w:rsidRPr="0026653F">
              <w:rPr>
                <w:szCs w:val="22"/>
                <w:lang w:val="fr-FR"/>
              </w:rPr>
              <w:t>Quatorzième Conférence des ministres de la défense des Amériques</w:t>
            </w:r>
          </w:p>
        </w:tc>
        <w:tc>
          <w:tcPr>
            <w:tcW w:w="1470" w:type="dxa"/>
            <w:hideMark/>
          </w:tcPr>
          <w:p w14:paraId="15A1AD51" w14:textId="77777777" w:rsidR="00293B12" w:rsidRPr="0026653F" w:rsidRDefault="00293B12" w:rsidP="00C618DD">
            <w:pPr>
              <w:suppressAutoHyphens/>
              <w:rPr>
                <w:rFonts w:eastAsia="MS Mincho"/>
                <w:color w:val="000000"/>
                <w:szCs w:val="22"/>
                <w:lang w:val="fr-FR" w:eastAsia="es-ES_tradnl"/>
              </w:rPr>
            </w:pPr>
            <w:r w:rsidRPr="0026653F">
              <w:rPr>
                <w:rFonts w:eastAsia="MS Mincho"/>
                <w:color w:val="000000"/>
                <w:szCs w:val="22"/>
                <w:lang w:val="fr-FR" w:eastAsia="es-ES_tradnl"/>
              </w:rPr>
              <w:t>Virtuel</w:t>
            </w:r>
          </w:p>
        </w:tc>
      </w:tr>
      <w:tr w:rsidR="00293B12" w:rsidRPr="0026653F" w14:paraId="0D5D7410" w14:textId="77777777" w:rsidTr="009071BD">
        <w:trPr>
          <w:jc w:val="center"/>
        </w:trPr>
        <w:tc>
          <w:tcPr>
            <w:tcW w:w="1487" w:type="dxa"/>
            <w:hideMark/>
          </w:tcPr>
          <w:p w14:paraId="0DF96A39" w14:textId="77777777" w:rsidR="00293B12" w:rsidRPr="0026653F" w:rsidRDefault="00293B12" w:rsidP="00C618DD">
            <w:pPr>
              <w:suppressAutoHyphens/>
              <w:ind w:left="180"/>
              <w:jc w:val="center"/>
              <w:rPr>
                <w:szCs w:val="22"/>
                <w:lang w:val="fr-FR" w:eastAsia="es-ES_tradnl"/>
              </w:rPr>
            </w:pPr>
            <w:r w:rsidRPr="0026653F">
              <w:rPr>
                <w:color w:val="000000"/>
                <w:szCs w:val="22"/>
                <w:lang w:val="fr-FR" w:eastAsia="es-ES_tradnl"/>
              </w:rPr>
              <w:t>2</w:t>
            </w:r>
          </w:p>
        </w:tc>
        <w:tc>
          <w:tcPr>
            <w:tcW w:w="1585" w:type="dxa"/>
            <w:hideMark/>
          </w:tcPr>
          <w:p w14:paraId="346CCCC6"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CICAD</w:t>
            </w:r>
          </w:p>
        </w:tc>
        <w:tc>
          <w:tcPr>
            <w:tcW w:w="1854" w:type="dxa"/>
            <w:hideMark/>
          </w:tcPr>
          <w:p w14:paraId="4CF88705"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Décembre 2020</w:t>
            </w:r>
          </w:p>
        </w:tc>
        <w:tc>
          <w:tcPr>
            <w:tcW w:w="3054" w:type="dxa"/>
            <w:hideMark/>
          </w:tcPr>
          <w:p w14:paraId="7560A268" w14:textId="77777777" w:rsidR="00293B12" w:rsidRPr="0026653F" w:rsidRDefault="00293B12" w:rsidP="00907516">
            <w:pPr>
              <w:suppressAutoHyphens/>
              <w:jc w:val="left"/>
              <w:rPr>
                <w:color w:val="000000"/>
                <w:szCs w:val="22"/>
                <w:lang w:val="fr-FR" w:eastAsia="es-ES_tradnl"/>
              </w:rPr>
            </w:pPr>
            <w:r w:rsidRPr="0026653F">
              <w:rPr>
                <w:color w:val="000000"/>
                <w:szCs w:val="22"/>
                <w:lang w:val="fr-FR" w:eastAsia="es-ES_tradnl"/>
              </w:rPr>
              <w:t>Soixante-huitième session ordinaire de la CICAD</w:t>
            </w:r>
          </w:p>
        </w:tc>
        <w:tc>
          <w:tcPr>
            <w:tcW w:w="1470" w:type="dxa"/>
            <w:hideMark/>
          </w:tcPr>
          <w:p w14:paraId="17435696" w14:textId="77777777" w:rsidR="00293B12" w:rsidRPr="0026653F" w:rsidRDefault="00293B12" w:rsidP="00C618DD">
            <w:pPr>
              <w:suppressAutoHyphens/>
              <w:rPr>
                <w:rFonts w:eastAsia="MS Mincho"/>
                <w:color w:val="000000"/>
                <w:szCs w:val="22"/>
                <w:lang w:val="fr-FR" w:eastAsia="es-ES_tradnl"/>
              </w:rPr>
            </w:pPr>
            <w:r w:rsidRPr="0026653F">
              <w:rPr>
                <w:rFonts w:eastAsia="MS Mincho"/>
                <w:color w:val="000000"/>
                <w:szCs w:val="22"/>
                <w:lang w:val="fr-FR" w:eastAsia="es-ES_tradnl"/>
              </w:rPr>
              <w:t>Colombie</w:t>
            </w:r>
          </w:p>
        </w:tc>
      </w:tr>
      <w:tr w:rsidR="00293B12" w:rsidRPr="0026653F" w14:paraId="06452426" w14:textId="77777777" w:rsidTr="009071BD">
        <w:trPr>
          <w:jc w:val="center"/>
        </w:trPr>
        <w:tc>
          <w:tcPr>
            <w:tcW w:w="1487" w:type="dxa"/>
            <w:hideMark/>
          </w:tcPr>
          <w:p w14:paraId="553A4CCC"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3</w:t>
            </w:r>
          </w:p>
        </w:tc>
        <w:tc>
          <w:tcPr>
            <w:tcW w:w="1585" w:type="dxa"/>
            <w:hideMark/>
          </w:tcPr>
          <w:p w14:paraId="38A116C9"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CIFTA</w:t>
            </w:r>
          </w:p>
        </w:tc>
        <w:tc>
          <w:tcPr>
            <w:tcW w:w="1854" w:type="dxa"/>
            <w:hideMark/>
          </w:tcPr>
          <w:p w14:paraId="16F3ED58"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Second semestre de 2020</w:t>
            </w:r>
          </w:p>
        </w:tc>
        <w:tc>
          <w:tcPr>
            <w:tcW w:w="3054" w:type="dxa"/>
            <w:hideMark/>
          </w:tcPr>
          <w:p w14:paraId="26E51805" w14:textId="77777777" w:rsidR="00293B12" w:rsidRPr="0026653F" w:rsidRDefault="00293B12" w:rsidP="00907516">
            <w:pPr>
              <w:suppressAutoHyphens/>
              <w:jc w:val="left"/>
              <w:rPr>
                <w:color w:val="000000"/>
                <w:szCs w:val="22"/>
                <w:lang w:val="fr-FR" w:eastAsia="es-ES_tradnl"/>
              </w:rPr>
            </w:pPr>
            <w:r w:rsidRPr="0026653F">
              <w:rPr>
                <w:color w:val="000000"/>
                <w:szCs w:val="22"/>
                <w:lang w:val="fr-FR" w:eastAsia="es-ES_tradnl"/>
              </w:rPr>
              <w:t>Vingtième Réunion ordinaire du Comité consultatif de la CIFTA</w:t>
            </w:r>
          </w:p>
        </w:tc>
        <w:tc>
          <w:tcPr>
            <w:tcW w:w="1470" w:type="dxa"/>
            <w:hideMark/>
          </w:tcPr>
          <w:p w14:paraId="3DD7437F" w14:textId="77777777" w:rsidR="00293B12" w:rsidRPr="0026653F" w:rsidRDefault="00293B12" w:rsidP="00C618DD">
            <w:pPr>
              <w:suppressAutoHyphens/>
              <w:rPr>
                <w:rFonts w:eastAsia="MS Mincho"/>
                <w:color w:val="000000"/>
                <w:szCs w:val="22"/>
                <w:lang w:val="fr-FR" w:eastAsia="es-ES_tradnl"/>
              </w:rPr>
            </w:pPr>
            <w:r w:rsidRPr="0026653F">
              <w:rPr>
                <w:rFonts w:eastAsia="MS Mincho"/>
                <w:color w:val="000000"/>
                <w:szCs w:val="22"/>
                <w:lang w:val="fr-FR" w:eastAsia="es-ES_tradnl"/>
              </w:rPr>
              <w:t>À déterminer</w:t>
            </w:r>
          </w:p>
        </w:tc>
      </w:tr>
      <w:tr w:rsidR="00293B12" w:rsidRPr="0026653F" w14:paraId="31F349E8" w14:textId="77777777" w:rsidTr="009071BD">
        <w:trPr>
          <w:jc w:val="center"/>
        </w:trPr>
        <w:tc>
          <w:tcPr>
            <w:tcW w:w="1487" w:type="dxa"/>
            <w:hideMark/>
          </w:tcPr>
          <w:p w14:paraId="25888472"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4</w:t>
            </w:r>
          </w:p>
        </w:tc>
        <w:tc>
          <w:tcPr>
            <w:tcW w:w="1585" w:type="dxa"/>
            <w:hideMark/>
          </w:tcPr>
          <w:p w14:paraId="014DDD90"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MECS</w:t>
            </w:r>
          </w:p>
        </w:tc>
        <w:tc>
          <w:tcPr>
            <w:tcW w:w="1854" w:type="dxa"/>
            <w:hideMark/>
          </w:tcPr>
          <w:p w14:paraId="2339901E"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Mars 2021</w:t>
            </w:r>
          </w:p>
        </w:tc>
        <w:tc>
          <w:tcPr>
            <w:tcW w:w="3054" w:type="dxa"/>
            <w:hideMark/>
          </w:tcPr>
          <w:p w14:paraId="725A8838" w14:textId="77777777" w:rsidR="00293B12" w:rsidRPr="0026653F" w:rsidRDefault="00293B12" w:rsidP="00907516">
            <w:pPr>
              <w:suppressAutoHyphens/>
              <w:jc w:val="left"/>
              <w:rPr>
                <w:color w:val="000000"/>
                <w:szCs w:val="22"/>
                <w:lang w:val="fr-FR" w:eastAsia="es-ES_tradnl"/>
              </w:rPr>
            </w:pPr>
            <w:r w:rsidRPr="0026653F">
              <w:rPr>
                <w:color w:val="000000"/>
                <w:szCs w:val="22"/>
                <w:lang w:val="fr-FR" w:eastAsia="es-ES_tradnl"/>
              </w:rPr>
              <w:t xml:space="preserve">Neuvième Forum sur les mesures d’encouragement de la confiance et de la sécurité </w:t>
            </w:r>
          </w:p>
        </w:tc>
        <w:tc>
          <w:tcPr>
            <w:tcW w:w="1470" w:type="dxa"/>
            <w:hideMark/>
          </w:tcPr>
          <w:p w14:paraId="1628AFF7" w14:textId="18CA3C3A" w:rsidR="00293B12" w:rsidRPr="0026653F" w:rsidRDefault="00293B12" w:rsidP="00C618DD">
            <w:pPr>
              <w:suppressAutoHyphens/>
              <w:jc w:val="left"/>
              <w:rPr>
                <w:color w:val="000000"/>
                <w:szCs w:val="22"/>
                <w:lang w:val="fr-FR" w:eastAsia="es-ES_tradnl"/>
              </w:rPr>
            </w:pPr>
            <w:r w:rsidRPr="0026653F">
              <w:rPr>
                <w:rFonts w:eastAsia="MS Mincho"/>
                <w:color w:val="000000"/>
                <w:szCs w:val="22"/>
                <w:lang w:val="fr-FR" w:eastAsia="es-ES_tradnl"/>
              </w:rPr>
              <w:t>Siège du Secrétariat général</w:t>
            </w:r>
          </w:p>
        </w:tc>
      </w:tr>
      <w:tr w:rsidR="00293B12" w:rsidRPr="0026653F" w14:paraId="161936AD" w14:textId="77777777" w:rsidTr="009071BD">
        <w:trPr>
          <w:jc w:val="center"/>
        </w:trPr>
        <w:tc>
          <w:tcPr>
            <w:tcW w:w="1487" w:type="dxa"/>
            <w:hideMark/>
          </w:tcPr>
          <w:p w14:paraId="5D672571"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5</w:t>
            </w:r>
          </w:p>
        </w:tc>
        <w:tc>
          <w:tcPr>
            <w:tcW w:w="1585" w:type="dxa"/>
            <w:hideMark/>
          </w:tcPr>
          <w:p w14:paraId="591449EC"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CITAAC</w:t>
            </w:r>
          </w:p>
        </w:tc>
        <w:tc>
          <w:tcPr>
            <w:tcW w:w="1854" w:type="dxa"/>
            <w:hideMark/>
          </w:tcPr>
          <w:p w14:paraId="7A64D5D2"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Mars 2021</w:t>
            </w:r>
          </w:p>
        </w:tc>
        <w:tc>
          <w:tcPr>
            <w:tcW w:w="3054" w:type="dxa"/>
            <w:hideMark/>
          </w:tcPr>
          <w:p w14:paraId="096BD97F" w14:textId="77777777" w:rsidR="00293B12" w:rsidRPr="0026653F" w:rsidRDefault="00293B12" w:rsidP="00907516">
            <w:pPr>
              <w:suppressAutoHyphens/>
              <w:jc w:val="left"/>
              <w:rPr>
                <w:rFonts w:eastAsia="Batang"/>
                <w:bCs/>
                <w:color w:val="000000"/>
                <w:szCs w:val="22"/>
                <w:lang w:val="fr-FR" w:eastAsia="x-none"/>
              </w:rPr>
            </w:pPr>
            <w:r w:rsidRPr="0026653F">
              <w:rPr>
                <w:szCs w:val="22"/>
                <w:lang w:val="fr-FR"/>
              </w:rPr>
              <w:t>Deuxième Conférence des États parties à la Convention</w:t>
            </w:r>
          </w:p>
        </w:tc>
        <w:tc>
          <w:tcPr>
            <w:tcW w:w="1470" w:type="dxa"/>
            <w:hideMark/>
          </w:tcPr>
          <w:p w14:paraId="09838886" w14:textId="77777777" w:rsidR="00293B12" w:rsidRPr="0026653F" w:rsidRDefault="00293B12" w:rsidP="00C618DD">
            <w:pPr>
              <w:suppressAutoHyphens/>
              <w:jc w:val="left"/>
              <w:rPr>
                <w:color w:val="000000"/>
                <w:szCs w:val="22"/>
                <w:lang w:val="fr-FR" w:eastAsia="es-ES_tradnl"/>
              </w:rPr>
            </w:pPr>
            <w:r w:rsidRPr="0026653F">
              <w:rPr>
                <w:rFonts w:eastAsia="MS Mincho"/>
                <w:color w:val="000000"/>
                <w:szCs w:val="22"/>
                <w:lang w:val="fr-FR" w:eastAsia="es-ES_tradnl"/>
              </w:rPr>
              <w:t>À déterminer</w:t>
            </w:r>
          </w:p>
        </w:tc>
      </w:tr>
      <w:tr w:rsidR="00293B12" w:rsidRPr="0026653F" w14:paraId="7284F37A" w14:textId="77777777" w:rsidTr="009071BD">
        <w:trPr>
          <w:jc w:val="center"/>
        </w:trPr>
        <w:tc>
          <w:tcPr>
            <w:tcW w:w="1487" w:type="dxa"/>
            <w:hideMark/>
          </w:tcPr>
          <w:p w14:paraId="605354F3"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6</w:t>
            </w:r>
          </w:p>
        </w:tc>
        <w:tc>
          <w:tcPr>
            <w:tcW w:w="1585" w:type="dxa"/>
            <w:hideMark/>
          </w:tcPr>
          <w:p w14:paraId="77EEE0C4"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Convention interaméricaine contre le terrorisme</w:t>
            </w:r>
          </w:p>
        </w:tc>
        <w:tc>
          <w:tcPr>
            <w:tcW w:w="1854" w:type="dxa"/>
            <w:hideMark/>
          </w:tcPr>
          <w:p w14:paraId="2231AE06"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Premier semestre de 2021</w:t>
            </w:r>
          </w:p>
        </w:tc>
        <w:tc>
          <w:tcPr>
            <w:tcW w:w="3054" w:type="dxa"/>
            <w:hideMark/>
          </w:tcPr>
          <w:p w14:paraId="66EDE888" w14:textId="77777777" w:rsidR="00293B12" w:rsidRPr="0026653F" w:rsidRDefault="00293B12" w:rsidP="00907516">
            <w:pPr>
              <w:suppressAutoHyphens/>
              <w:jc w:val="left"/>
              <w:rPr>
                <w:color w:val="000000"/>
                <w:szCs w:val="22"/>
                <w:lang w:val="fr-FR" w:eastAsia="es-ES_tradnl"/>
              </w:rPr>
            </w:pPr>
            <w:r w:rsidRPr="0026653F">
              <w:rPr>
                <w:rFonts w:eastAsia="Batang"/>
                <w:bCs/>
                <w:color w:val="000000"/>
                <w:szCs w:val="22"/>
                <w:lang w:val="fr-FR" w:eastAsia="x-none"/>
              </w:rPr>
              <w:t xml:space="preserve">Première Réunion des États parties à la Convention interaméricaine contre le terrorisme </w:t>
            </w:r>
          </w:p>
        </w:tc>
        <w:tc>
          <w:tcPr>
            <w:tcW w:w="1470" w:type="dxa"/>
            <w:hideMark/>
          </w:tcPr>
          <w:p w14:paraId="4FFE86C4" w14:textId="283BB7E1"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Siège du Secrétariat général</w:t>
            </w:r>
          </w:p>
        </w:tc>
      </w:tr>
      <w:tr w:rsidR="00293B12" w:rsidRPr="0026653F" w14:paraId="6447BBEC" w14:textId="77777777" w:rsidTr="009071BD">
        <w:trPr>
          <w:jc w:val="center"/>
        </w:trPr>
        <w:tc>
          <w:tcPr>
            <w:tcW w:w="1487" w:type="dxa"/>
            <w:hideMark/>
          </w:tcPr>
          <w:p w14:paraId="717D8D32"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7</w:t>
            </w:r>
          </w:p>
        </w:tc>
        <w:tc>
          <w:tcPr>
            <w:tcW w:w="1585" w:type="dxa"/>
            <w:hideMark/>
          </w:tcPr>
          <w:p w14:paraId="789EBD5C"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RANDOT</w:t>
            </w:r>
          </w:p>
        </w:tc>
        <w:tc>
          <w:tcPr>
            <w:tcW w:w="1854" w:type="dxa"/>
            <w:hideMark/>
          </w:tcPr>
          <w:p w14:paraId="7CD3588C"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Second semestre de 2021</w:t>
            </w:r>
          </w:p>
        </w:tc>
        <w:tc>
          <w:tcPr>
            <w:tcW w:w="3054" w:type="dxa"/>
            <w:hideMark/>
          </w:tcPr>
          <w:p w14:paraId="52F8E2E0" w14:textId="77777777" w:rsidR="00293B12" w:rsidRPr="0026653F" w:rsidRDefault="00293B12" w:rsidP="00907516">
            <w:pPr>
              <w:suppressAutoHyphens/>
              <w:jc w:val="left"/>
              <w:rPr>
                <w:rFonts w:eastAsia="Batang"/>
                <w:bCs/>
                <w:color w:val="000000"/>
                <w:szCs w:val="22"/>
                <w:lang w:val="fr-FR" w:eastAsia="x-none"/>
              </w:rPr>
            </w:pPr>
            <w:r w:rsidRPr="0026653F">
              <w:rPr>
                <w:rFonts w:eastAsia="Batang"/>
                <w:bCs/>
                <w:color w:val="000000"/>
                <w:szCs w:val="22"/>
                <w:lang w:val="fr-FR" w:eastAsia="x-none"/>
              </w:rPr>
              <w:t>Troisième Réunion des autorités nationales en matière de criminalité transnationale organisée</w:t>
            </w:r>
          </w:p>
        </w:tc>
        <w:tc>
          <w:tcPr>
            <w:tcW w:w="1470" w:type="dxa"/>
            <w:hideMark/>
          </w:tcPr>
          <w:p w14:paraId="31249A7F" w14:textId="1583D5A3"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Siège du Secrétariat général</w:t>
            </w:r>
          </w:p>
        </w:tc>
      </w:tr>
      <w:tr w:rsidR="00293B12" w:rsidRPr="0026653F" w14:paraId="56EEEA15" w14:textId="77777777" w:rsidTr="009071BD">
        <w:trPr>
          <w:jc w:val="center"/>
        </w:trPr>
        <w:tc>
          <w:tcPr>
            <w:tcW w:w="1487" w:type="dxa"/>
            <w:hideMark/>
          </w:tcPr>
          <w:p w14:paraId="2F013902"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8</w:t>
            </w:r>
          </w:p>
        </w:tc>
        <w:tc>
          <w:tcPr>
            <w:tcW w:w="1585" w:type="dxa"/>
            <w:hideMark/>
          </w:tcPr>
          <w:p w14:paraId="5CF4C742"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MISPA</w:t>
            </w:r>
          </w:p>
        </w:tc>
        <w:tc>
          <w:tcPr>
            <w:tcW w:w="1854" w:type="dxa"/>
            <w:hideMark/>
          </w:tcPr>
          <w:p w14:paraId="358D1E65"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Second semestre de 2021</w:t>
            </w:r>
          </w:p>
        </w:tc>
        <w:tc>
          <w:tcPr>
            <w:tcW w:w="3054" w:type="dxa"/>
            <w:hideMark/>
          </w:tcPr>
          <w:p w14:paraId="01D3E65B" w14:textId="07EC777C" w:rsidR="00293B12" w:rsidRPr="0026653F" w:rsidRDefault="00293B12" w:rsidP="00907516">
            <w:pPr>
              <w:suppressAutoHyphens/>
              <w:jc w:val="left"/>
              <w:rPr>
                <w:rFonts w:eastAsia="Batang"/>
                <w:bCs/>
                <w:color w:val="000000"/>
                <w:szCs w:val="22"/>
                <w:lang w:val="fr-FR" w:eastAsia="x-none"/>
              </w:rPr>
            </w:pPr>
            <w:r w:rsidRPr="0026653F">
              <w:rPr>
                <w:rFonts w:eastAsia="Batang"/>
                <w:bCs/>
                <w:color w:val="000000"/>
                <w:szCs w:val="22"/>
                <w:lang w:val="fr-FR" w:eastAsia="x-none"/>
              </w:rPr>
              <w:t xml:space="preserve">Huitième Réunion des ministres </w:t>
            </w:r>
            <w:r w:rsidR="00CC6C91" w:rsidRPr="0026653F">
              <w:rPr>
                <w:rFonts w:eastAsia="Batang"/>
                <w:bCs/>
                <w:color w:val="000000"/>
                <w:szCs w:val="22"/>
                <w:lang w:val="fr-FR" w:eastAsia="x-none"/>
              </w:rPr>
              <w:t xml:space="preserve">responsables </w:t>
            </w:r>
            <w:r w:rsidRPr="0026653F">
              <w:rPr>
                <w:rFonts w:eastAsia="Batang"/>
                <w:bCs/>
                <w:color w:val="000000"/>
                <w:szCs w:val="22"/>
                <w:lang w:val="fr-FR" w:eastAsia="x-none"/>
              </w:rPr>
              <w:t xml:space="preserve">de </w:t>
            </w:r>
            <w:r w:rsidR="00CC6C91" w:rsidRPr="0026653F">
              <w:rPr>
                <w:rFonts w:eastAsia="Batang"/>
                <w:bCs/>
                <w:color w:val="000000"/>
                <w:szCs w:val="22"/>
                <w:lang w:val="fr-FR" w:eastAsia="x-none"/>
              </w:rPr>
              <w:t xml:space="preserve">la </w:t>
            </w:r>
            <w:r w:rsidRPr="0026653F">
              <w:rPr>
                <w:rFonts w:eastAsia="Batang"/>
                <w:bCs/>
                <w:color w:val="000000"/>
                <w:szCs w:val="22"/>
                <w:lang w:val="fr-FR" w:eastAsia="x-none"/>
              </w:rPr>
              <w:t>sécurité publique des Amériques (MISPA-VIII)</w:t>
            </w:r>
          </w:p>
        </w:tc>
        <w:tc>
          <w:tcPr>
            <w:tcW w:w="1470" w:type="dxa"/>
            <w:hideMark/>
          </w:tcPr>
          <w:p w14:paraId="3938E67C"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El Salvador</w:t>
            </w:r>
          </w:p>
        </w:tc>
      </w:tr>
      <w:tr w:rsidR="00293B12" w:rsidRPr="0026653F" w14:paraId="41DAFFEC" w14:textId="77777777" w:rsidTr="009071BD">
        <w:trPr>
          <w:jc w:val="center"/>
        </w:trPr>
        <w:tc>
          <w:tcPr>
            <w:tcW w:w="1487" w:type="dxa"/>
            <w:hideMark/>
          </w:tcPr>
          <w:p w14:paraId="2696F99A"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lastRenderedPageBreak/>
              <w:t>9</w:t>
            </w:r>
          </w:p>
        </w:tc>
        <w:tc>
          <w:tcPr>
            <w:tcW w:w="1585" w:type="dxa"/>
            <w:hideMark/>
          </w:tcPr>
          <w:p w14:paraId="08F257D9"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MISPA</w:t>
            </w:r>
          </w:p>
        </w:tc>
        <w:tc>
          <w:tcPr>
            <w:tcW w:w="1854" w:type="dxa"/>
            <w:hideMark/>
          </w:tcPr>
          <w:p w14:paraId="5420DD92"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Décembre 2020</w:t>
            </w:r>
          </w:p>
        </w:tc>
        <w:tc>
          <w:tcPr>
            <w:tcW w:w="3054" w:type="dxa"/>
            <w:hideMark/>
          </w:tcPr>
          <w:p w14:paraId="0BE11DA8" w14:textId="4C53289D" w:rsidR="00293B12" w:rsidRPr="0026653F" w:rsidRDefault="00293B12" w:rsidP="00C618DD">
            <w:pPr>
              <w:suppressAutoHyphens/>
              <w:jc w:val="left"/>
              <w:rPr>
                <w:rFonts w:eastAsia="Batang"/>
                <w:bCs/>
                <w:color w:val="000000"/>
                <w:szCs w:val="22"/>
                <w:lang w:val="fr-FR" w:eastAsia="x-none"/>
              </w:rPr>
            </w:pPr>
            <w:r w:rsidRPr="0026653F">
              <w:rPr>
                <w:rFonts w:eastAsia="Batang"/>
                <w:bCs/>
                <w:color w:val="000000"/>
                <w:szCs w:val="22"/>
                <w:lang w:val="fr-FR" w:eastAsia="x-none"/>
              </w:rPr>
              <w:t xml:space="preserve">Troisième Réunion du Groupe </w:t>
            </w:r>
            <w:r w:rsidR="00CC6C91" w:rsidRPr="0026653F">
              <w:rPr>
                <w:rFonts w:eastAsia="Batang"/>
                <w:bCs/>
                <w:color w:val="000000"/>
                <w:szCs w:val="22"/>
                <w:lang w:val="fr-FR" w:eastAsia="x-none"/>
              </w:rPr>
              <w:t xml:space="preserve">de travail </w:t>
            </w:r>
            <w:r w:rsidRPr="0026653F">
              <w:rPr>
                <w:rFonts w:eastAsia="Batang"/>
                <w:bCs/>
                <w:color w:val="000000"/>
                <w:szCs w:val="22"/>
                <w:lang w:val="fr-FR" w:eastAsia="x-none"/>
              </w:rPr>
              <w:t>technique subsidiaire sur la gestion de la police</w:t>
            </w:r>
          </w:p>
        </w:tc>
        <w:tc>
          <w:tcPr>
            <w:tcW w:w="1470" w:type="dxa"/>
            <w:hideMark/>
          </w:tcPr>
          <w:p w14:paraId="563B73EC" w14:textId="77777777" w:rsidR="00293B12" w:rsidRPr="0026653F" w:rsidRDefault="00293B12" w:rsidP="00C618DD">
            <w:pPr>
              <w:suppressAutoHyphens/>
              <w:jc w:val="left"/>
              <w:rPr>
                <w:color w:val="000000"/>
                <w:szCs w:val="22"/>
                <w:lang w:val="fr-FR" w:eastAsia="es-ES_tradnl"/>
              </w:rPr>
            </w:pPr>
            <w:r w:rsidRPr="0026653F">
              <w:rPr>
                <w:color w:val="000000"/>
                <w:szCs w:val="22"/>
                <w:lang w:val="fr-FR" w:eastAsia="es-ES_tradnl"/>
              </w:rPr>
              <w:t>Équateur</w:t>
            </w:r>
          </w:p>
        </w:tc>
      </w:tr>
      <w:tr w:rsidR="00293B12" w:rsidRPr="0026653F" w14:paraId="16E1D762" w14:textId="77777777" w:rsidTr="009071BD">
        <w:trPr>
          <w:jc w:val="center"/>
        </w:trPr>
        <w:tc>
          <w:tcPr>
            <w:tcW w:w="1487" w:type="dxa"/>
            <w:hideMark/>
          </w:tcPr>
          <w:p w14:paraId="0998DCC0" w14:textId="77777777" w:rsidR="00293B12" w:rsidRPr="0026653F" w:rsidRDefault="00293B12" w:rsidP="00C618DD">
            <w:pPr>
              <w:suppressAutoHyphens/>
              <w:ind w:left="180"/>
              <w:jc w:val="center"/>
              <w:rPr>
                <w:color w:val="000000"/>
                <w:szCs w:val="22"/>
                <w:lang w:val="fr-FR" w:eastAsia="es-ES_tradnl"/>
              </w:rPr>
            </w:pPr>
            <w:r w:rsidRPr="0026653F">
              <w:rPr>
                <w:color w:val="000000"/>
                <w:szCs w:val="22"/>
                <w:lang w:val="fr-FR" w:eastAsia="es-ES_tradnl"/>
              </w:rPr>
              <w:t>10</w:t>
            </w:r>
          </w:p>
        </w:tc>
        <w:tc>
          <w:tcPr>
            <w:tcW w:w="1585" w:type="dxa"/>
            <w:hideMark/>
          </w:tcPr>
          <w:p w14:paraId="48596753" w14:textId="77777777" w:rsidR="00293B12" w:rsidRPr="0026653F" w:rsidRDefault="00293B12" w:rsidP="00C618DD">
            <w:pPr>
              <w:suppressAutoHyphens/>
              <w:rPr>
                <w:color w:val="000000"/>
                <w:szCs w:val="22"/>
                <w:lang w:val="fr-FR" w:eastAsia="es-ES_tradnl"/>
              </w:rPr>
            </w:pPr>
            <w:r w:rsidRPr="0026653F">
              <w:rPr>
                <w:color w:val="000000"/>
                <w:szCs w:val="22"/>
                <w:lang w:val="fr-FR"/>
              </w:rPr>
              <w:t>Systèmes de justice, pénitentiaires et carcéraux</w:t>
            </w:r>
          </w:p>
        </w:tc>
        <w:tc>
          <w:tcPr>
            <w:tcW w:w="1854" w:type="dxa"/>
            <w:hideMark/>
          </w:tcPr>
          <w:p w14:paraId="28DDB01F"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2021</w:t>
            </w:r>
          </w:p>
        </w:tc>
        <w:tc>
          <w:tcPr>
            <w:tcW w:w="3054" w:type="dxa"/>
            <w:hideMark/>
          </w:tcPr>
          <w:p w14:paraId="5BBA6E5A" w14:textId="77777777" w:rsidR="00293B12" w:rsidRPr="0026653F" w:rsidRDefault="00293B12" w:rsidP="00907516">
            <w:pPr>
              <w:suppressAutoHyphens/>
              <w:jc w:val="left"/>
              <w:rPr>
                <w:rFonts w:eastAsia="Batang"/>
                <w:bCs/>
                <w:color w:val="000000"/>
                <w:szCs w:val="22"/>
                <w:lang w:val="fr-FR" w:eastAsia="x-none"/>
              </w:rPr>
            </w:pPr>
            <w:r w:rsidRPr="0026653F">
              <w:rPr>
                <w:rFonts w:eastAsia="Batang"/>
                <w:bCs/>
                <w:color w:val="000000"/>
                <w:szCs w:val="22"/>
                <w:lang w:val="fr-FR" w:eastAsia="x-none"/>
              </w:rPr>
              <w:t xml:space="preserve">Cinquième Réunion des autorités </w:t>
            </w:r>
            <w:r w:rsidRPr="0026653F">
              <w:rPr>
                <w:rFonts w:eastAsia="MS Mincho"/>
                <w:color w:val="000000"/>
                <w:szCs w:val="22"/>
                <w:lang w:val="fr-FR"/>
              </w:rPr>
              <w:t>responsables des politiques pénitentiaires et carcérales</w:t>
            </w:r>
          </w:p>
        </w:tc>
        <w:tc>
          <w:tcPr>
            <w:tcW w:w="1470" w:type="dxa"/>
            <w:hideMark/>
          </w:tcPr>
          <w:p w14:paraId="1A284B6A" w14:textId="77777777" w:rsidR="00293B12" w:rsidRPr="0026653F" w:rsidRDefault="00293B12" w:rsidP="00C618DD">
            <w:pPr>
              <w:suppressAutoHyphens/>
              <w:rPr>
                <w:color w:val="000000"/>
                <w:szCs w:val="22"/>
                <w:lang w:val="fr-FR" w:eastAsia="es-ES_tradnl"/>
              </w:rPr>
            </w:pPr>
            <w:r w:rsidRPr="0026653F">
              <w:rPr>
                <w:color w:val="000000"/>
                <w:szCs w:val="22"/>
                <w:lang w:val="fr-FR" w:eastAsia="es-ES_tradnl"/>
              </w:rPr>
              <w:t>Honduras</w:t>
            </w:r>
          </w:p>
        </w:tc>
      </w:tr>
    </w:tbl>
    <w:p w14:paraId="71109514" w14:textId="77777777" w:rsidR="00293B12" w:rsidRPr="0026653F" w:rsidRDefault="00293B12" w:rsidP="00C618DD">
      <w:pPr>
        <w:suppressAutoHyphens/>
        <w:jc w:val="center"/>
        <w:rPr>
          <w:color w:val="000000"/>
          <w:szCs w:val="22"/>
          <w:lang w:val="fr-FR" w:eastAsia="es-ES_tradnl"/>
        </w:rPr>
      </w:pPr>
      <w:r w:rsidRPr="0026653F">
        <w:rPr>
          <w:color w:val="000000"/>
          <w:szCs w:val="22"/>
          <w:lang w:val="fr-FR" w:eastAsia="es-ES_tradnl"/>
        </w:rPr>
        <w:br w:type="page"/>
      </w:r>
      <w:r w:rsidRPr="0026653F">
        <w:rPr>
          <w:color w:val="000000"/>
          <w:szCs w:val="22"/>
          <w:lang w:val="fr-FR" w:eastAsia="es-ES_tradnl"/>
        </w:rPr>
        <w:lastRenderedPageBreak/>
        <w:t>NOTES DE BAS DE PAGE</w:t>
      </w:r>
    </w:p>
    <w:p w14:paraId="24340F3D" w14:textId="77777777" w:rsidR="00293B12" w:rsidRPr="0026653F" w:rsidRDefault="00293B12" w:rsidP="00C618DD">
      <w:pPr>
        <w:suppressAutoHyphens/>
        <w:rPr>
          <w:color w:val="000000"/>
          <w:szCs w:val="22"/>
          <w:lang w:val="fr-FR" w:eastAsia="es-ES_tradnl"/>
        </w:rPr>
      </w:pPr>
    </w:p>
    <w:p w14:paraId="7C394B15" w14:textId="77777777" w:rsidR="00293B12" w:rsidRPr="0026653F" w:rsidRDefault="00293B12" w:rsidP="00C618DD">
      <w:pPr>
        <w:suppressAutoHyphens/>
        <w:rPr>
          <w:color w:val="000000"/>
          <w:szCs w:val="22"/>
          <w:lang w:val="fr-FR" w:eastAsia="es-ES_tradnl"/>
        </w:rPr>
      </w:pPr>
    </w:p>
    <w:p w14:paraId="3D02601C" w14:textId="77777777" w:rsidR="00293B12" w:rsidRPr="0026653F" w:rsidRDefault="00293B12"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F2DF933" w14:textId="77777777" w:rsidR="00293B12" w:rsidRPr="0026653F" w:rsidRDefault="00293B12" w:rsidP="00C618DD">
      <w:pPr>
        <w:rPr>
          <w:sz w:val="20"/>
          <w:lang w:val="fr-FR"/>
        </w:rPr>
      </w:pPr>
    </w:p>
    <w:p w14:paraId="41BDEA00" w14:textId="77777777" w:rsidR="00293B12" w:rsidRPr="0026653F" w:rsidRDefault="00293B12" w:rsidP="00C618DD">
      <w:pPr>
        <w:ind w:firstLine="720"/>
        <w:rPr>
          <w:sz w:val="20"/>
          <w:lang w:val="fr-FR"/>
        </w:rPr>
      </w:pPr>
      <w:r w:rsidRPr="0026653F">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2DC6DEFD" w14:textId="77777777" w:rsidR="00293B12" w:rsidRPr="0026653F" w:rsidRDefault="00293B12" w:rsidP="00C618DD">
      <w:pPr>
        <w:rPr>
          <w:sz w:val="20"/>
          <w:lang w:val="fr-FR"/>
        </w:rPr>
      </w:pPr>
    </w:p>
    <w:p w14:paraId="41655359" w14:textId="77777777" w:rsidR="00293B12" w:rsidRPr="0026653F" w:rsidRDefault="00293B12" w:rsidP="00C618DD">
      <w:pPr>
        <w:suppressAutoHyphens/>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73B4317" w14:textId="4B9A04A4" w:rsidR="00293B12" w:rsidRPr="0026653F" w:rsidRDefault="001220BB" w:rsidP="00C618DD">
      <w:pPr>
        <w:suppressAutoHyphens/>
        <w:rPr>
          <w:sz w:val="20"/>
          <w:lang w:val="fr-FR"/>
        </w:rPr>
      </w:pPr>
      <w:r w:rsidRPr="0026653F">
        <w:rPr>
          <w:sz w:val="20"/>
          <w:lang w:val="fr-FR"/>
        </w:rPr>
        <w:t xml:space="preserve"> </w:t>
      </w:r>
    </w:p>
    <w:p w14:paraId="260F18CB" w14:textId="1DB4F55F" w:rsidR="001220BB" w:rsidRPr="0026653F" w:rsidRDefault="00591034" w:rsidP="00C618DD">
      <w:pPr>
        <w:suppressAutoHyphens/>
        <w:ind w:firstLine="720"/>
        <w:rPr>
          <w:sz w:val="20"/>
          <w:lang w:val="fr-FR"/>
        </w:rPr>
      </w:pPr>
      <w:r w:rsidRPr="0026653F">
        <w:rPr>
          <w:sz w:val="20"/>
          <w:lang w:val="fr-FR"/>
        </w:rPr>
        <w:t>2.</w:t>
      </w:r>
      <w:r w:rsidRPr="0026653F">
        <w:rPr>
          <w:sz w:val="20"/>
          <w:lang w:val="fr-FR"/>
        </w:rPr>
        <w:tab/>
        <w:t>… de l'Assemblée générale.</w:t>
      </w:r>
    </w:p>
    <w:p w14:paraId="07D02721" w14:textId="77777777" w:rsidR="001220BB" w:rsidRPr="0026653F" w:rsidRDefault="001220BB" w:rsidP="00C618DD">
      <w:pPr>
        <w:suppressAutoHyphens/>
        <w:rPr>
          <w:sz w:val="20"/>
          <w:lang w:val="fr-FR"/>
        </w:rPr>
      </w:pPr>
    </w:p>
    <w:p w14:paraId="6789A750" w14:textId="65B90E54" w:rsidR="00293B12" w:rsidRPr="0026653F" w:rsidRDefault="00591034" w:rsidP="00C618DD">
      <w:pPr>
        <w:suppressAutoHyphens/>
        <w:ind w:firstLine="720"/>
        <w:rPr>
          <w:sz w:val="20"/>
          <w:lang w:val="fr-FR"/>
        </w:rPr>
      </w:pPr>
      <w:r w:rsidRPr="0026653F">
        <w:rPr>
          <w:sz w:val="20"/>
          <w:lang w:val="fr-FR"/>
        </w:rPr>
        <w:t>3</w:t>
      </w:r>
      <w:r w:rsidR="00293B12" w:rsidRPr="0026653F">
        <w:rPr>
          <w:sz w:val="20"/>
          <w:lang w:val="fr-FR"/>
        </w:rPr>
        <w:t>.</w:t>
      </w:r>
      <w:r w:rsidR="00293B12" w:rsidRPr="0026653F">
        <w:rPr>
          <w:sz w:val="20"/>
          <w:lang w:val="fr-FR"/>
        </w:rPr>
        <w:tab/>
        <w:t xml:space="preserve">… et la criminalité transnationale organisée, Washington, D.C., le 5 décembre 2019 ; Quatrième Réunion des autorités pénitentiaires, Santo Domingo (République dominicaine), les 3 et 4 février 2020; Réunion pour examiner des outils qui permettraient de renforcer les mesures législatives et de coopération visant à lutter contre la criminalité transnationale organisée, Washington, D. C., le 20 février 2020; Préoccupations particulières de l’Amérique centrale en matière de sécurité, le 11 juin 2020 (réunion virtuelle); Préoccupations particulières </w:t>
      </w:r>
      <w:r w:rsidR="00EC5984" w:rsidRPr="0026653F">
        <w:rPr>
          <w:sz w:val="20"/>
          <w:lang w:val="fr-FR"/>
        </w:rPr>
        <w:t xml:space="preserve">des </w:t>
      </w:r>
      <w:r w:rsidR="00EC5984" w:rsidRPr="0026653F">
        <w:rPr>
          <w:bCs/>
          <w:color w:val="000000"/>
          <w:sz w:val="20"/>
          <w:lang w:val="fr-FR"/>
        </w:rPr>
        <w:t xml:space="preserve">petits États insulaires </w:t>
      </w:r>
      <w:r w:rsidR="00727AEF" w:rsidRPr="0026653F">
        <w:rPr>
          <w:bCs/>
          <w:color w:val="000000"/>
          <w:sz w:val="20"/>
          <w:lang w:val="fr-FR"/>
        </w:rPr>
        <w:t>à littoral</w:t>
      </w:r>
      <w:r w:rsidR="002A35E4" w:rsidRPr="0026653F">
        <w:rPr>
          <w:bCs/>
          <w:color w:val="000000"/>
          <w:sz w:val="20"/>
          <w:lang w:val="fr-FR"/>
        </w:rPr>
        <w:t xml:space="preserve"> </w:t>
      </w:r>
      <w:r w:rsidR="00EC5984" w:rsidRPr="0026653F">
        <w:rPr>
          <w:bCs/>
          <w:color w:val="000000"/>
          <w:sz w:val="20"/>
          <w:lang w:val="fr-FR"/>
        </w:rPr>
        <w:t>de faible altitude et en développement des Caraïbes</w:t>
      </w:r>
      <w:r w:rsidR="00B748BF" w:rsidRPr="0026653F">
        <w:rPr>
          <w:bCs/>
          <w:color w:val="000000"/>
          <w:sz w:val="20"/>
          <w:lang w:val="fr-FR" w:eastAsia="es-ES_tradnl"/>
        </w:rPr>
        <w:t xml:space="preserve"> </w:t>
      </w:r>
      <w:r w:rsidR="00293B12" w:rsidRPr="0026653F">
        <w:rPr>
          <w:bCs/>
          <w:color w:val="000000"/>
          <w:sz w:val="20"/>
          <w:lang w:val="fr-FR" w:eastAsia="es-ES_tradnl"/>
        </w:rPr>
        <w:t>en matière de sécurité</w:t>
      </w:r>
      <w:r w:rsidR="00293B12" w:rsidRPr="0026653F">
        <w:rPr>
          <w:sz w:val="20"/>
          <w:lang w:val="fr-FR"/>
        </w:rPr>
        <w:t xml:space="preserve">, le 25 juin 2020 (réunion virtuelle); </w:t>
      </w:r>
      <w:r w:rsidR="002A35E4" w:rsidRPr="0026653F">
        <w:rPr>
          <w:sz w:val="20"/>
          <w:lang w:val="fr-FR"/>
        </w:rPr>
        <w:t>s</w:t>
      </w:r>
      <w:r w:rsidR="00293B12" w:rsidRPr="0026653F">
        <w:rPr>
          <w:sz w:val="20"/>
          <w:lang w:val="fr-FR"/>
        </w:rPr>
        <w:t xml:space="preserve">oixante-septième </w:t>
      </w:r>
      <w:r w:rsidR="002A35E4" w:rsidRPr="0026653F">
        <w:rPr>
          <w:sz w:val="20"/>
          <w:lang w:val="fr-FR"/>
        </w:rPr>
        <w:t>s</w:t>
      </w:r>
      <w:r w:rsidR="00293B12" w:rsidRPr="0026653F">
        <w:rPr>
          <w:sz w:val="20"/>
          <w:lang w:val="fr-FR"/>
        </w:rPr>
        <w:t>ession ordinaire de la CICAD, le 16 juillet 2020 (réunion virtuelle).</w:t>
      </w:r>
    </w:p>
    <w:p w14:paraId="26E49FBA" w14:textId="77777777" w:rsidR="00293B12" w:rsidRPr="0026653F" w:rsidRDefault="00293B12" w:rsidP="00C618DD">
      <w:pPr>
        <w:suppressAutoHyphens/>
        <w:rPr>
          <w:sz w:val="20"/>
          <w:lang w:val="fr-FR"/>
        </w:rPr>
      </w:pPr>
    </w:p>
    <w:p w14:paraId="2BD0591F" w14:textId="6BA7C109" w:rsidR="00293B12" w:rsidRPr="0026653F" w:rsidRDefault="00805DC9" w:rsidP="00C618DD">
      <w:pPr>
        <w:suppressAutoHyphens/>
        <w:ind w:firstLine="720"/>
        <w:rPr>
          <w:sz w:val="20"/>
          <w:lang w:val="fr-FR"/>
        </w:rPr>
      </w:pPr>
      <w:r w:rsidRPr="0026653F">
        <w:rPr>
          <w:sz w:val="20"/>
          <w:lang w:val="fr-FR"/>
        </w:rPr>
        <w:t>4</w:t>
      </w:r>
      <w:r w:rsidR="00293B12" w:rsidRPr="0026653F">
        <w:rPr>
          <w:sz w:val="20"/>
          <w:lang w:val="fr-FR"/>
        </w:rPr>
        <w:t>.</w:t>
      </w:r>
      <w:r w:rsidR="00293B12" w:rsidRPr="0026653F">
        <w:rPr>
          <w:sz w:val="20"/>
          <w:lang w:val="fr-FR"/>
        </w:rPr>
        <w:tab/>
        <w:t>…</w:t>
      </w:r>
      <w:r w:rsidR="00293B12" w:rsidRPr="0026653F">
        <w:rPr>
          <w:rFonts w:eastAsia="SimSun"/>
          <w:sz w:val="20"/>
          <w:lang w:val="fr-FR" w:eastAsia="zh-CN"/>
        </w:rPr>
        <w:t xml:space="preserve"> </w:t>
      </w:r>
      <w:r w:rsidR="00603317" w:rsidRPr="0026653F">
        <w:rPr>
          <w:rFonts w:eastAsia="SimSun"/>
          <w:sz w:val="20"/>
          <w:lang w:val="fr-FR" w:eastAsia="zh-CN"/>
        </w:rPr>
        <w:t>dans</w:t>
      </w:r>
      <w:r w:rsidR="00293B12" w:rsidRPr="0026653F">
        <w:rPr>
          <w:rFonts w:eastAsia="SimSun"/>
          <w:sz w:val="20"/>
          <w:lang w:val="fr-FR" w:eastAsia="zh-CN"/>
        </w:rPr>
        <w:t xml:space="preserve"> l’article VI du TNP. Aucun État possédant des armes nucléaires ou dont la sécurité dépend de telles armes n’appuie ce traité. Et ce traité n’entrainera pas l’élimination d’une seule arme nucléaire, n’améliorera la sécurité d’aucun État et ne contribuera d’aucune façon tangible à la paix et à la sécurité dans le cadre de la réalité géopolitique du XXI</w:t>
      </w:r>
      <w:r w:rsidR="00293B12" w:rsidRPr="0026653F">
        <w:rPr>
          <w:rFonts w:eastAsia="SimSun"/>
          <w:sz w:val="20"/>
          <w:vertAlign w:val="superscript"/>
          <w:lang w:val="fr-FR" w:eastAsia="zh-CN"/>
        </w:rPr>
        <w:t>e</w:t>
      </w:r>
      <w:r w:rsidR="00293B12" w:rsidRPr="0026653F">
        <w:rPr>
          <w:rFonts w:eastAsia="SimSun"/>
          <w:sz w:val="20"/>
          <w:lang w:val="fr-FR" w:eastAsia="zh-CN"/>
        </w:rPr>
        <w:t xml:space="preserve"> siècle. Au lieu de cela, il distraira des efforts légitimes visant à faire progresser la cause du désarmement nucléaire. Il ne tient pas compte des défis actuels en matière de sécurité qui rendent nécessaire la dissuasion nucléaire, et risque de miner les efforts déployés actuellement pour aborder les défis mondiaux en matière de prolifération et de sécurité. Nous partageons le désir de parvenir à un environnement en matière de sécurité qui rendrait de tels progrès possibles et de progresser plus rapidement et plus loin en matière de désarmement nucléaire, mais le TIAN n’est pas la solution. Des mesures effectives et vérifiables en matière de contrôle des armes et de désarmement se sont avérées les outils appropriés pour limiter les risques nucléaires et prévenir une guerre nucléaire. Le TIAN ne peut pas remplacer le TNP en tant que référence absolue mondiale en matière de non-prolifération nucléaire, de désarmement nucléaire et d’utilisations pacifiques de l’énergie nucléaire. Nous réitérons notre engagement permanent envers la meilleure approche reflétée dans le TNP, y compris ses dispositions en matière de désarmement, et réaffirmons notre détermination à sauvegarder et à promouvoir encore plus son autorité, son universalité et son efficacité. Les États-Unis invitent tous les États à appuyer la recherche d’une « nouvelle ère de contrôle des armes » alors que nous tentons de faire participer la Russie et la Chine à limiter toutes les ogives nucléaires et à renforcer la vérification, et à participer à d’autres dialogues qui faciliteront les progrès en matière de désarmement nucléaire. À cet égard, nous saluons la participation d’États de la région à l’initiative appelée « Créer un environnement pour le désarmement nucléaire (CEND). »</w:t>
      </w:r>
    </w:p>
    <w:p w14:paraId="72F7B6BA" w14:textId="77777777" w:rsidR="00293B12" w:rsidRPr="0026653F" w:rsidRDefault="00293B12" w:rsidP="00C618DD">
      <w:pPr>
        <w:suppressAutoHyphens/>
        <w:rPr>
          <w:sz w:val="20"/>
          <w:lang w:val="fr-FR"/>
        </w:rPr>
      </w:pPr>
    </w:p>
    <w:p w14:paraId="2429EDD1" w14:textId="1DA5568E" w:rsidR="00293B12" w:rsidRPr="0026653F" w:rsidRDefault="00293B12" w:rsidP="00C618DD">
      <w:pPr>
        <w:suppressAutoHyphens/>
        <w:rPr>
          <w:sz w:val="20"/>
          <w:lang w:val="fr-FR"/>
        </w:rPr>
      </w:pPr>
      <w:r w:rsidRPr="0026653F">
        <w:rPr>
          <w:sz w:val="20"/>
          <w:lang w:val="fr-FR"/>
        </w:rPr>
        <w:tab/>
      </w:r>
      <w:r w:rsidR="00805DC9" w:rsidRPr="0026653F">
        <w:rPr>
          <w:sz w:val="20"/>
          <w:lang w:val="fr-FR"/>
        </w:rPr>
        <w:t>5</w:t>
      </w:r>
      <w:r w:rsidRPr="0026653F">
        <w:rPr>
          <w:sz w:val="20"/>
          <w:lang w:val="fr-FR"/>
        </w:rPr>
        <w:t>.</w:t>
      </w:r>
      <w:r w:rsidRPr="0026653F">
        <w:rPr>
          <w:sz w:val="20"/>
          <w:lang w:val="fr-FR"/>
        </w:rPr>
        <w:tab/>
        <w:t>… le principal contributeur mondial et continental aux activités d’aide au déminage humanitaire. Nous avons fait don de plus de 3,7 milliards de dollars pour la destruction d’armes classiques (ce qui inclut le déminage humanitaire) depuis 1993. Les États-Unis continueront à soutenir les initiatives de l’OEA visant à éliminer la menace humanitaire que posent toutes les mines terrestres en place et à déclarer les pays « exempts de mines ».</w:t>
      </w:r>
    </w:p>
    <w:p w14:paraId="7795224B" w14:textId="77777777" w:rsidR="00293B12" w:rsidRPr="0026653F" w:rsidRDefault="00293B12" w:rsidP="00C618DD">
      <w:pPr>
        <w:suppressAutoHyphens/>
        <w:rPr>
          <w:sz w:val="20"/>
          <w:lang w:val="fr-FR"/>
        </w:rPr>
      </w:pPr>
    </w:p>
    <w:p w14:paraId="2F51A05E" w14:textId="6AF648CB" w:rsidR="00293B12" w:rsidRPr="0026653F" w:rsidRDefault="00293B12" w:rsidP="00C618DD">
      <w:pPr>
        <w:suppressAutoHyphens/>
        <w:rPr>
          <w:sz w:val="20"/>
          <w:lang w:val="fr-FR"/>
        </w:rPr>
      </w:pPr>
      <w:r w:rsidRPr="0026653F">
        <w:rPr>
          <w:sz w:val="20"/>
          <w:lang w:val="fr-FR"/>
        </w:rPr>
        <w:tab/>
      </w:r>
      <w:r w:rsidR="00805DC9" w:rsidRPr="0026653F">
        <w:rPr>
          <w:sz w:val="20"/>
          <w:lang w:val="fr-FR"/>
        </w:rPr>
        <w:t>6</w:t>
      </w:r>
      <w:r w:rsidRPr="0026653F">
        <w:rPr>
          <w:sz w:val="20"/>
          <w:lang w:val="fr-FR"/>
        </w:rPr>
        <w:t>.</w:t>
      </w:r>
      <w:r w:rsidRPr="0026653F">
        <w:rPr>
          <w:sz w:val="20"/>
          <w:lang w:val="fr-FR"/>
        </w:rPr>
        <w:tab/>
        <w:t xml:space="preserve">… tribune politique destinée à promouvoir le partage d’idées, de bonnes pratiques et de données d’expériences sur des questions de défense et de sécurité. La CMDA n’a pas été créée pour coordonner et surveiller les conférences militaires spécialisées à l’échelle continentale, ni pour élaborer des mécanismes opérationnels. </w:t>
      </w:r>
    </w:p>
    <w:p w14:paraId="6981F935" w14:textId="77777777" w:rsidR="00293B12" w:rsidRPr="0026653F" w:rsidRDefault="00293B12" w:rsidP="00C618DD">
      <w:pPr>
        <w:suppressAutoHyphens/>
        <w:ind w:left="90"/>
        <w:rPr>
          <w:sz w:val="20"/>
          <w:lang w:val="fr-FR"/>
        </w:rPr>
      </w:pPr>
    </w:p>
    <w:p w14:paraId="3A4255E6" w14:textId="05539154" w:rsidR="00293B12" w:rsidRPr="0026653F" w:rsidRDefault="00293B12" w:rsidP="00C618DD">
      <w:pPr>
        <w:suppressAutoHyphens/>
        <w:rPr>
          <w:sz w:val="20"/>
          <w:lang w:val="fr-FR"/>
        </w:rPr>
      </w:pPr>
      <w:r w:rsidRPr="0026653F">
        <w:rPr>
          <w:sz w:val="20"/>
          <w:lang w:val="fr-FR"/>
        </w:rPr>
        <w:tab/>
      </w:r>
      <w:r w:rsidR="00805DC9" w:rsidRPr="0026653F">
        <w:rPr>
          <w:sz w:val="20"/>
          <w:lang w:val="fr-FR"/>
        </w:rPr>
        <w:t>7</w:t>
      </w:r>
      <w:r w:rsidRPr="0026653F">
        <w:rPr>
          <w:sz w:val="20"/>
          <w:lang w:val="fr-FR"/>
        </w:rPr>
        <w:t>.</w:t>
      </w:r>
      <w:r w:rsidRPr="0026653F">
        <w:rPr>
          <w:sz w:val="20"/>
          <w:lang w:val="fr-FR"/>
        </w:rPr>
        <w:tab/>
        <w:t>… de confiance et de paix dans la région. C’est pour cette raison que ces mesures doivent s’adapter aux conditions et aux réalités géographiques, politiques, économiques, sociales, culturelles et technologiques. Tenir compte de cette approche appuie en général une mesure de confiance visant à partager de l’information relative à l’approbation et/ou à l’adaptation de normes dans les lois régissant les processus d’obtention de données et d’information, et le partage de données d’expériences entre les gouvernements, relatif à la prévention, à la gestion et à la protection de données informatiques, et la portée de cette mesure de confiance, la participation des fournisseurs de services et des usagers finaux doit être volontaire et ne doit pas constituer une obligation pour les États.</w:t>
      </w:r>
    </w:p>
    <w:p w14:paraId="1DE624C2" w14:textId="77777777" w:rsidR="00293B12" w:rsidRPr="0026653F" w:rsidRDefault="00293B12" w:rsidP="00C618DD">
      <w:pPr>
        <w:rPr>
          <w:sz w:val="20"/>
          <w:lang w:val="fr-FR"/>
        </w:rPr>
      </w:pPr>
    </w:p>
    <w:p w14:paraId="211CF5E7" w14:textId="71FB0779" w:rsidR="00293B12" w:rsidRPr="0026653F" w:rsidRDefault="00293B12" w:rsidP="00C618DD">
      <w:pPr>
        <w:suppressAutoHyphens/>
        <w:rPr>
          <w:sz w:val="20"/>
          <w:lang w:val="fr-FR"/>
        </w:rPr>
      </w:pPr>
      <w:r w:rsidRPr="0026653F">
        <w:rPr>
          <w:sz w:val="20"/>
          <w:lang w:val="fr-FR"/>
        </w:rPr>
        <w:tab/>
      </w:r>
      <w:r w:rsidR="00805DC9" w:rsidRPr="0026653F">
        <w:rPr>
          <w:sz w:val="20"/>
          <w:lang w:val="fr-FR"/>
        </w:rPr>
        <w:t>8</w:t>
      </w:r>
      <w:r w:rsidRPr="0026653F">
        <w:rPr>
          <w:sz w:val="20"/>
          <w:lang w:val="fr-FR"/>
        </w:rPr>
        <w:t>.</w:t>
      </w:r>
      <w:r w:rsidRPr="0026653F">
        <w:rPr>
          <w:sz w:val="20"/>
          <w:lang w:val="fr-FR"/>
        </w:rPr>
        <w:tab/>
        <w:t>… des efforts et des ressources des pays, surtout quand il existe déjà des lignes et des programmes de soutien ayant des composantes policières dans le cadre des réunions de la MISPA. Le rôle du SSM consiste à assurer le suivi de ces résultats.</w:t>
      </w:r>
    </w:p>
    <w:p w14:paraId="6F126712" w14:textId="77777777" w:rsidR="00293B12" w:rsidRPr="0026653F" w:rsidRDefault="00293B12" w:rsidP="00C618DD">
      <w:pPr>
        <w:suppressAutoHyphens/>
        <w:rPr>
          <w:sz w:val="20"/>
          <w:lang w:val="fr-FR"/>
        </w:rPr>
      </w:pPr>
    </w:p>
    <w:p w14:paraId="30091AAC" w14:textId="465AA37E" w:rsidR="00293B12" w:rsidRPr="0026653F" w:rsidRDefault="00293B12" w:rsidP="00C618DD">
      <w:pPr>
        <w:suppressAutoHyphens/>
        <w:rPr>
          <w:sz w:val="20"/>
          <w:lang w:val="fr-FR"/>
        </w:rPr>
      </w:pPr>
      <w:r w:rsidRPr="0026653F">
        <w:rPr>
          <w:sz w:val="20"/>
          <w:lang w:val="fr-FR"/>
        </w:rPr>
        <w:tab/>
      </w:r>
      <w:r w:rsidR="00805DC9" w:rsidRPr="0026653F">
        <w:rPr>
          <w:sz w:val="20"/>
          <w:lang w:val="fr-FR"/>
        </w:rPr>
        <w:t>10</w:t>
      </w:r>
      <w:r w:rsidRPr="0026653F">
        <w:rPr>
          <w:sz w:val="20"/>
          <w:lang w:val="fr-FR"/>
        </w:rPr>
        <w:t>.</w:t>
      </w:r>
      <w:r w:rsidRPr="0026653F">
        <w:rPr>
          <w:sz w:val="20"/>
          <w:lang w:val="fr-FR"/>
        </w:rPr>
        <w:tab/>
        <w:t>… au Huitième Sommet des Amériques que le Nicaragua n’approuve pas l’Engagement de Lima : « La gouvernance démocratique face à la corruption », ni d’autres documents, déclarations, communiqués ou résolutions émanés de ce Sommet, car il n’a pas participé à la négociation de ceux-ci.</w:t>
      </w:r>
    </w:p>
    <w:p w14:paraId="6850F925" w14:textId="77777777" w:rsidR="00293B12" w:rsidRPr="0026653F" w:rsidRDefault="00293B12" w:rsidP="00C618DD">
      <w:pPr>
        <w:suppressAutoHyphens/>
        <w:rPr>
          <w:sz w:val="20"/>
          <w:lang w:val="fr-FR"/>
        </w:rPr>
      </w:pPr>
    </w:p>
    <w:p w14:paraId="0572F748" w14:textId="71FF2AE9"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1</w:t>
      </w:r>
      <w:r w:rsidRPr="0026653F">
        <w:rPr>
          <w:sz w:val="20"/>
          <w:lang w:val="fr-FR"/>
        </w:rPr>
        <w:t>.</w:t>
      </w:r>
      <w:r w:rsidRPr="0026653F">
        <w:rPr>
          <w:sz w:val="20"/>
          <w:lang w:val="fr-FR"/>
        </w:rPr>
        <w:tab/>
        <w:t xml:space="preserve">… citoyenne, il a signé divers instruments internationaux en matière de lutte contre le trafic illicite des armes et la prévention de celui-ci et a incorporé à la législation nationale le Plan d’action et l’Instrument international de traçage d’armes, par le truchement de la Loi spéciale pour le contrôle et la réglementation des armes à feu, des munitions, des explosifs et autres matériels connexes, la Loi 510, qui nous a permis d’élaborer un plan rigoureux de contrôle et d’enregistrement des armes à feu possédées par des civils et de saisir des armes de guerre. En tant que nation, nous sommes conscients de l’incidence humanitaire et de toutes les séquelles qui découlent de ce fléau dans le </w:t>
      </w:r>
      <w:r w:rsidR="00F8668E" w:rsidRPr="0026653F">
        <w:rPr>
          <w:sz w:val="20"/>
          <w:lang w:val="fr-FR"/>
        </w:rPr>
        <w:t>c</w:t>
      </w:r>
      <w:r w:rsidRPr="0026653F">
        <w:rPr>
          <w:sz w:val="20"/>
          <w:lang w:val="fr-FR"/>
        </w:rPr>
        <w:t>ontinent américain et en particulier dans la région centraméricaine ; c’est pourquoi nous sommes toujours engagés envers le multilatéralisme pour relever ce défi.</w:t>
      </w:r>
    </w:p>
    <w:p w14:paraId="26853BC8" w14:textId="77777777" w:rsidR="00293B12" w:rsidRPr="0026653F" w:rsidRDefault="00293B12" w:rsidP="00C618DD">
      <w:pPr>
        <w:suppressAutoHyphens/>
        <w:rPr>
          <w:sz w:val="20"/>
          <w:lang w:val="fr-FR"/>
        </w:rPr>
      </w:pPr>
    </w:p>
    <w:p w14:paraId="60532B17" w14:textId="3F3BF5DB"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2</w:t>
      </w:r>
      <w:r w:rsidRPr="0026653F">
        <w:rPr>
          <w:sz w:val="20"/>
          <w:lang w:val="fr-FR"/>
        </w:rPr>
        <w:t>.</w:t>
      </w:r>
      <w:r w:rsidRPr="0026653F">
        <w:rPr>
          <w:sz w:val="20"/>
          <w:lang w:val="fr-FR"/>
        </w:rPr>
        <w:tab/>
        <w:t xml:space="preserve">… </w:t>
      </w:r>
      <w:r w:rsidR="00BB1978" w:rsidRPr="0026653F">
        <w:rPr>
          <w:sz w:val="20"/>
          <w:lang w:val="fr-CA"/>
        </w:rPr>
        <w:t>le trafic illicite des armes</w:t>
      </w:r>
      <w:r w:rsidR="00BB1978" w:rsidRPr="0026653F">
        <w:rPr>
          <w:sz w:val="20"/>
          <w:lang w:val="fr-FR"/>
        </w:rPr>
        <w:t xml:space="preserve"> </w:t>
      </w:r>
      <w:r w:rsidRPr="0026653F">
        <w:rPr>
          <w:sz w:val="20"/>
          <w:lang w:val="fr-FR"/>
        </w:rPr>
        <w:t>légères et de petit calibre (ALPC) et de leurs munitions et leur impact en Amérique latine et dans les Caraïbes » mis en œuvre par l</w:t>
      </w:r>
      <w:r w:rsidR="00F8668E" w:rsidRPr="0026653F">
        <w:rPr>
          <w:sz w:val="20"/>
          <w:lang w:val="fr-FR"/>
        </w:rPr>
        <w:t>e</w:t>
      </w:r>
      <w:r w:rsidRPr="0026653F">
        <w:rPr>
          <w:sz w:val="20"/>
          <w:lang w:val="fr-FR"/>
        </w:rPr>
        <w:t xml:space="preserve"> DSP, avec un financement de l’Union européenne, est un outil de soutien qui compile et permet l’échange d’informations sur les différentes questions liées au contrôle des ALPC dans </w:t>
      </w:r>
      <w:r w:rsidR="00F8668E" w:rsidRPr="0026653F">
        <w:rPr>
          <w:sz w:val="20"/>
          <w:lang w:val="fr-FR"/>
        </w:rPr>
        <w:t>le continent américain</w:t>
      </w:r>
      <w:r w:rsidRPr="0026653F">
        <w:rPr>
          <w:sz w:val="20"/>
          <w:lang w:val="fr-FR"/>
        </w:rPr>
        <w:t>. Le réseau contient des informations sur les différentes activités mises en œuvre dans le cadre du projet, ainsi que sur les matériels et les bonnes pratiques en la matière.</w:t>
      </w:r>
    </w:p>
    <w:p w14:paraId="71A8FD79" w14:textId="77777777" w:rsidR="00293B12" w:rsidRPr="0026653F" w:rsidRDefault="00293B12" w:rsidP="00C618DD">
      <w:pPr>
        <w:rPr>
          <w:sz w:val="20"/>
          <w:lang w:val="fr-FR"/>
        </w:rPr>
      </w:pPr>
    </w:p>
    <w:p w14:paraId="7B110F47" w14:textId="534A5D07"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3</w:t>
      </w:r>
      <w:r w:rsidRPr="0026653F">
        <w:rPr>
          <w:sz w:val="20"/>
          <w:lang w:val="fr-FR"/>
        </w:rPr>
        <w:t>.</w:t>
      </w:r>
      <w:r w:rsidRPr="0026653F">
        <w:rPr>
          <w:sz w:val="20"/>
          <w:lang w:val="fr-FR"/>
        </w:rPr>
        <w:tab/>
        <w:t>… socioéconomiques de la pandémie. Il sera important d’assurer que ces questions demeurent en évidence dans les tribunes ayant la plus grande capacité technique, les connaissances institutionnelles les plus approfondies et le mandat d’agir relativement à ces questions spécifiques.</w:t>
      </w:r>
    </w:p>
    <w:p w14:paraId="58840E9A" w14:textId="77777777" w:rsidR="00293B12" w:rsidRPr="0026653F" w:rsidRDefault="00293B12" w:rsidP="00C618DD">
      <w:pPr>
        <w:rPr>
          <w:sz w:val="20"/>
          <w:lang w:val="fr-FR"/>
        </w:rPr>
      </w:pPr>
    </w:p>
    <w:p w14:paraId="5D3114DE" w14:textId="66DFB633"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4</w:t>
      </w:r>
      <w:r w:rsidRPr="0026653F">
        <w:rPr>
          <w:sz w:val="20"/>
          <w:lang w:val="fr-FR"/>
        </w:rPr>
        <w:t>.</w:t>
      </w:r>
      <w:r w:rsidRPr="0026653F">
        <w:rPr>
          <w:sz w:val="20"/>
          <w:lang w:val="fr-FR"/>
        </w:rPr>
        <w:tab/>
        <w:t>… de la dette des États des Caraïbes, n’est pas adéquat. Le Brésil est d’avis que la Commission sur la sécurité continentale de l’OEA n’est pas le forum adéquat pour traiter de cette question. Le Brésil estime que pour aborder cette question de façon plus judicieuse, il faudrait en discuter au sein des organismes économiques internationaux spécialisés</w:t>
      </w:r>
      <w:r w:rsidR="00F8668E" w:rsidRPr="0026653F">
        <w:rPr>
          <w:sz w:val="20"/>
          <w:lang w:val="fr-FR"/>
        </w:rPr>
        <w:t>.</w:t>
      </w:r>
    </w:p>
    <w:p w14:paraId="3EFA6A35" w14:textId="77777777" w:rsidR="00293B12" w:rsidRPr="0026653F" w:rsidRDefault="00293B12" w:rsidP="00C618DD">
      <w:pPr>
        <w:suppressAutoHyphens/>
        <w:rPr>
          <w:sz w:val="20"/>
          <w:lang w:val="fr-FR"/>
        </w:rPr>
      </w:pPr>
    </w:p>
    <w:p w14:paraId="27C939C3" w14:textId="2F5DA882"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5</w:t>
      </w:r>
      <w:r w:rsidRPr="0026653F">
        <w:rPr>
          <w:sz w:val="20"/>
          <w:lang w:val="fr-FR"/>
        </w:rPr>
        <w:t>.</w:t>
      </w:r>
      <w:r w:rsidRPr="0026653F">
        <w:rPr>
          <w:sz w:val="20"/>
          <w:lang w:val="fr-FR"/>
        </w:rPr>
        <w:tab/>
        <w:t>…</w:t>
      </w:r>
      <w:r w:rsidR="00C05BB3" w:rsidRPr="0026653F">
        <w:rPr>
          <w:sz w:val="20"/>
          <w:lang w:val="fr-FR"/>
        </w:rPr>
        <w:t xml:space="preserve"> </w:t>
      </w:r>
      <w:r w:rsidRPr="0026653F">
        <w:rPr>
          <w:sz w:val="20"/>
          <w:lang w:val="fr-FR"/>
        </w:rPr>
        <w:t>aux Nations Unies une notification officielle de leur retrait de l’Accord de Paris le 4 novembre 2019. Le retrait prendra effet un an après la remise de la notification.</w:t>
      </w:r>
    </w:p>
    <w:p w14:paraId="6DB9C4C1" w14:textId="77777777" w:rsidR="00293B12" w:rsidRPr="0026653F" w:rsidRDefault="00293B12" w:rsidP="00C618DD">
      <w:pPr>
        <w:suppressAutoHyphens/>
        <w:rPr>
          <w:sz w:val="20"/>
          <w:lang w:val="fr-FR"/>
        </w:rPr>
      </w:pPr>
    </w:p>
    <w:p w14:paraId="0ABE14EE" w14:textId="37163EDF" w:rsidR="00293B12" w:rsidRPr="0026653F" w:rsidRDefault="00293B12" w:rsidP="00C618DD">
      <w:pPr>
        <w:suppressAutoHyphens/>
        <w:rPr>
          <w:sz w:val="20"/>
          <w:lang w:val="fr-FR"/>
        </w:rPr>
      </w:pPr>
      <w:r w:rsidRPr="0026653F">
        <w:rPr>
          <w:sz w:val="20"/>
          <w:lang w:val="fr-FR"/>
        </w:rPr>
        <w:tab/>
        <w:t>1</w:t>
      </w:r>
      <w:r w:rsidR="00C05BB3" w:rsidRPr="0026653F">
        <w:rPr>
          <w:sz w:val="20"/>
          <w:lang w:val="fr-FR"/>
        </w:rPr>
        <w:t>6</w:t>
      </w:r>
      <w:r w:rsidRPr="0026653F">
        <w:rPr>
          <w:sz w:val="20"/>
          <w:lang w:val="fr-FR"/>
        </w:rPr>
        <w:t>.</w:t>
      </w:r>
      <w:r w:rsidRPr="0026653F">
        <w:rPr>
          <w:sz w:val="20"/>
          <w:lang w:val="fr-FR"/>
        </w:rPr>
        <w:tab/>
        <w:t>… des paragraphes de cette section étant donné que leur contenu dépasse les fonctions de la JID en lui attribuant des fonctions et des compétences qui ne correspondent pas à la nature et à la spécialité de cet organisme. C’est pourquoi les réponses aux défis en matière de sécurité dus au changement climatique sont définies dans le domaine de compétence de chaque État membre de l’Organisation des États Américains.</w:t>
      </w:r>
    </w:p>
    <w:p w14:paraId="3935A8D5" w14:textId="77777777" w:rsidR="00293B12" w:rsidRPr="0026653F" w:rsidRDefault="00293B12" w:rsidP="00C618DD">
      <w:pPr>
        <w:suppressAutoHyphens/>
        <w:rPr>
          <w:rFonts w:eastAsia="MS Mincho"/>
          <w:color w:val="000000"/>
          <w:sz w:val="20"/>
          <w:lang w:val="fr-FR" w:eastAsia="es-ES_tradnl"/>
        </w:rPr>
      </w:pPr>
    </w:p>
    <w:p w14:paraId="5A9AB9F6" w14:textId="6B76BAF7" w:rsidR="00293B12" w:rsidRPr="0026653F" w:rsidRDefault="00293B12" w:rsidP="00C618DD">
      <w:pPr>
        <w:suppressAutoHyphens/>
        <w:rPr>
          <w:sz w:val="20"/>
          <w:lang w:val="fr-FR"/>
        </w:rPr>
      </w:pPr>
      <w:r w:rsidRPr="0026653F">
        <w:rPr>
          <w:rFonts w:eastAsia="MS Mincho"/>
          <w:color w:val="000000"/>
          <w:sz w:val="20"/>
          <w:lang w:val="fr-FR" w:eastAsia="es-ES_tradnl"/>
        </w:rPr>
        <w:tab/>
        <w:t>1</w:t>
      </w:r>
      <w:r w:rsidR="00C05BB3" w:rsidRPr="0026653F">
        <w:rPr>
          <w:rFonts w:eastAsia="MS Mincho"/>
          <w:color w:val="000000"/>
          <w:sz w:val="20"/>
          <w:lang w:val="fr-FR" w:eastAsia="es-ES_tradnl"/>
        </w:rPr>
        <w:t>7</w:t>
      </w:r>
      <w:r w:rsidRPr="0026653F">
        <w:rPr>
          <w:rFonts w:eastAsia="MS Mincho"/>
          <w:color w:val="000000"/>
          <w:sz w:val="20"/>
          <w:lang w:val="fr-FR" w:eastAsia="es-ES_tradnl"/>
        </w:rPr>
        <w:t>.</w:t>
      </w:r>
      <w:r w:rsidRPr="0026653F">
        <w:rPr>
          <w:rFonts w:eastAsia="MS Mincho"/>
          <w:color w:val="000000"/>
          <w:sz w:val="20"/>
          <w:lang w:val="fr-FR" w:eastAsia="es-ES_tradnl"/>
        </w:rPr>
        <w:tab/>
        <w:t xml:space="preserve">… </w:t>
      </w:r>
      <w:r w:rsidRPr="0026653F">
        <w:rPr>
          <w:color w:val="000000"/>
          <w:sz w:val="20"/>
          <w:lang w:val="fr-FR"/>
        </w:rPr>
        <w:t xml:space="preserve">qui </w:t>
      </w:r>
      <w:r w:rsidRPr="0026653F">
        <w:rPr>
          <w:rFonts w:eastAsia="MS Mincho"/>
          <w:color w:val="000000"/>
          <w:sz w:val="20"/>
          <w:lang w:val="fr-FR" w:eastAsia="es-ES_tradnl"/>
        </w:rPr>
        <w:t>n’est pas étayé par le vocabulaire multilatéral adopté dans le cadre des Nations Unies, lequel, selon le paragraphe 26 de la résolution 2349 (2017) du Conseil de sécurité des Nations Unies, se limite aux potentiels « effets néfastes des changements climatiques sur la sécurité ».</w:t>
      </w:r>
    </w:p>
    <w:p w14:paraId="7CDCF040" w14:textId="77777777" w:rsidR="00293B12" w:rsidRPr="0026653F" w:rsidRDefault="00293B12" w:rsidP="00C618DD">
      <w:pPr>
        <w:suppressAutoHyphens/>
        <w:rPr>
          <w:rFonts w:eastAsia="MS Mincho"/>
          <w:color w:val="000000"/>
          <w:sz w:val="20"/>
          <w:lang w:val="fr-FR" w:eastAsia="es-ES_tradnl"/>
        </w:rPr>
      </w:pPr>
    </w:p>
    <w:p w14:paraId="42F9B7F1" w14:textId="77777777" w:rsidR="00293B12" w:rsidRPr="0026653F" w:rsidRDefault="00293B12" w:rsidP="00C618DD">
      <w:pPr>
        <w:suppressAutoHyphens/>
        <w:rPr>
          <w:sz w:val="20"/>
          <w:lang w:val="fr-FR"/>
        </w:rPr>
      </w:pPr>
      <w:r w:rsidRPr="0026653F">
        <w:rPr>
          <w:rFonts w:eastAsia="MS Mincho"/>
          <w:color w:val="000000"/>
          <w:sz w:val="20"/>
          <w:lang w:val="fr-FR" w:eastAsia="es-ES_tradnl"/>
        </w:rPr>
        <w:tab/>
        <w:t>En ce qui concerne le Brésil,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vue sous l’angle du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peut contribuer à un traitement adéquat des éventuels effets néfastes du changement climatique sur la sécurité des pays de la région par rapport aux exigences du paradigme du développement durable et aux prévisions convenues sur le plan multilatéral dans le cadre du régime international applicable au changement climatique</w:t>
      </w:r>
      <w:r w:rsidRPr="0026653F">
        <w:rPr>
          <w:sz w:val="20"/>
          <w:lang w:val="fr-FR"/>
        </w:rPr>
        <w:t>.</w:t>
      </w:r>
    </w:p>
    <w:p w14:paraId="01127996" w14:textId="77777777" w:rsidR="00293B12" w:rsidRPr="0026653F" w:rsidRDefault="00293B12" w:rsidP="00C618DD">
      <w:pPr>
        <w:suppressAutoHyphens/>
        <w:rPr>
          <w:sz w:val="20"/>
          <w:lang w:val="fr-FR"/>
        </w:rPr>
      </w:pPr>
    </w:p>
    <w:p w14:paraId="3CCF2B96" w14:textId="44EF7A49" w:rsidR="00293B12" w:rsidRPr="0026653F" w:rsidRDefault="00293B12" w:rsidP="00C618DD">
      <w:pPr>
        <w:suppressAutoHyphens/>
        <w:rPr>
          <w:rFonts w:eastAsia="MS Mincho"/>
          <w:sz w:val="20"/>
          <w:lang w:val="fr-FR" w:eastAsia="es-ES_tradnl"/>
        </w:rPr>
      </w:pPr>
      <w:r w:rsidRPr="0026653F">
        <w:rPr>
          <w:rFonts w:eastAsia="MS Mincho"/>
          <w:color w:val="000000"/>
          <w:sz w:val="20"/>
          <w:lang w:val="fr-FR" w:eastAsia="es-ES_tradnl"/>
        </w:rPr>
        <w:tab/>
        <w:t>1</w:t>
      </w:r>
      <w:r w:rsidR="00C05BB3" w:rsidRPr="0026653F">
        <w:rPr>
          <w:rFonts w:eastAsia="MS Mincho"/>
          <w:color w:val="000000"/>
          <w:sz w:val="20"/>
          <w:lang w:val="fr-FR" w:eastAsia="es-ES_tradnl"/>
        </w:rPr>
        <w:t>8</w:t>
      </w:r>
      <w:r w:rsidRPr="0026653F">
        <w:rPr>
          <w:rFonts w:eastAsia="MS Mincho"/>
          <w:color w:val="000000"/>
          <w:sz w:val="20"/>
          <w:lang w:val="fr-FR" w:eastAsia="es-ES_tradnl"/>
        </w:rPr>
        <w:t>.</w:t>
      </w:r>
      <w:r w:rsidRPr="0026653F">
        <w:rPr>
          <w:rFonts w:eastAsia="MS Mincho"/>
          <w:color w:val="000000"/>
          <w:sz w:val="20"/>
          <w:lang w:val="fr-FR" w:eastAsia="es-ES_tradnl"/>
        </w:rPr>
        <w:tab/>
        <w:t>…</w:t>
      </w:r>
      <w:r w:rsidR="00C05BB3" w:rsidRPr="0026653F">
        <w:rPr>
          <w:rFonts w:eastAsia="MS Mincho"/>
          <w:color w:val="000000"/>
          <w:sz w:val="20"/>
          <w:lang w:val="fr-FR" w:eastAsia="es-ES_tradnl"/>
        </w:rPr>
        <w:t xml:space="preserve"> </w:t>
      </w:r>
      <w:r w:rsidRPr="0026653F">
        <w:rPr>
          <w:rFonts w:eastAsia="MS Mincho"/>
          <w:color w:val="000000"/>
          <w:sz w:val="20"/>
          <w:lang w:val="fr-FR" w:eastAsia="es-ES_tradnl"/>
        </w:rPr>
        <w:t>nos pays. Le Nicaragua n’est pas d’accord pour que l’Organisation interaméricaine de défense intervienne dans des questions de nature militaire ou autre qui impliquent une atteinte à la souveraineté, aux institutions et à l’ordre juridique du pays.</w:t>
      </w:r>
    </w:p>
    <w:p w14:paraId="72C7E6E4" w14:textId="77777777" w:rsidR="009260F8" w:rsidRPr="0026653F" w:rsidRDefault="009260F8" w:rsidP="00C618DD">
      <w:pPr>
        <w:rPr>
          <w:rStyle w:val="FootnoteReference"/>
          <w:szCs w:val="22"/>
          <w:lang w:val="fr-FR"/>
        </w:rPr>
      </w:pPr>
      <w:r w:rsidRPr="0026653F">
        <w:rPr>
          <w:noProof/>
          <w:szCs w:val="22"/>
          <w:lang w:val="fr-FR"/>
        </w:rPr>
        <mc:AlternateContent>
          <mc:Choice Requires="wps">
            <w:drawing>
              <wp:anchor distT="0" distB="0" distL="114300" distR="114300" simplePos="0" relativeHeight="251656192" behindDoc="0" locked="1" layoutInCell="1" allowOverlap="1" wp14:anchorId="0B90AEDB" wp14:editId="4890B244">
                <wp:simplePos x="0" y="0"/>
                <wp:positionH relativeFrom="column">
                  <wp:posOffset>-91440</wp:posOffset>
                </wp:positionH>
                <wp:positionV relativeFrom="page">
                  <wp:posOffset>9144000</wp:posOffset>
                </wp:positionV>
                <wp:extent cx="1590040" cy="107315"/>
                <wp:effectExtent l="0" t="1905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040" cy="107315"/>
                        </a:xfrm>
                        <a:prstGeom prst="rect">
                          <a:avLst/>
                        </a:prstGeom>
                        <a:noFill/>
                        <a:ln w="9525" cap="flat" cmpd="sng" algn="ctr">
                          <a:noFill/>
                          <a:prstDash val="solid"/>
                          <a:round/>
                          <a:headEnd type="none" w="med" len="med"/>
                          <a:tailEnd type="none" w="med" len="med"/>
                        </a:ln>
                        <a:effectLst/>
                      </wps:spPr>
                      <wps:txbx>
                        <w:txbxContent>
                          <w:p w14:paraId="0EA28CF5" w14:textId="77777777" w:rsidR="006564AF" w:rsidRPr="00331D67" w:rsidRDefault="006564AF" w:rsidP="009260F8">
                            <w:pPr>
                              <w:rPr>
                                <w:sz w:val="18"/>
                              </w:rPr>
                            </w:pPr>
                            <w:r>
                              <w:rPr>
                                <w:sz w:val="18"/>
                              </w:rPr>
                              <w:fldChar w:fldCharType="begin"/>
                            </w:r>
                            <w:r>
                              <w:rPr>
                                <w:sz w:val="18"/>
                              </w:rPr>
                              <w:instrText xml:space="preserve"> FILENAME  \* MERGEFORMAT </w:instrText>
                            </w:r>
                            <w:r>
                              <w:rPr>
                                <w:sz w:val="18"/>
                              </w:rPr>
                              <w:fldChar w:fldCharType="separate"/>
                            </w:r>
                            <w:r>
                              <w:rPr>
                                <w:noProof/>
                                <w:sz w:val="18"/>
                              </w:rPr>
                              <w:t>AG08179S02</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90AEDB" id="_x0000_t202" coordsize="21600,21600" o:spt="202" path="m,l,21600r21600,l21600,xe">
                <v:stroke joinstyle="miter"/>
                <v:path gradientshapeok="t" o:connecttype="rect"/>
              </v:shapetype>
              <v:shape id="Text Box 1" o:spid="_x0000_s1026" type="#_x0000_t202" style="position:absolute;left:0;text-align:left;margin-left:-7.2pt;margin-top:10in;width:125.2pt;height: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" filled="f" stroked="f">
                <v:stroke joinstyle="round"/>
                <v:textbox>
                  <w:txbxContent>
                    <w:p w14:paraId="0EA28CF5" w14:textId="77777777" w:rsidR="006564AF" w:rsidRPr="00331D67" w:rsidRDefault="006564AF" w:rsidP="009260F8">
                      <w:pPr>
                        <w:rPr>
                          <w:sz w:val="18"/>
                        </w:rPr>
                      </w:pPr>
                      <w:r>
                        <w:rPr>
                          <w:sz w:val="18"/>
                        </w:rPr>
                        <w:fldChar w:fldCharType="begin"/>
                      </w:r>
                      <w:r>
                        <w:rPr>
                          <w:sz w:val="18"/>
                        </w:rPr>
                        <w:instrText xml:space="preserve"> FILENAME  \* MERGEFORMAT </w:instrText>
                      </w:r>
                      <w:r>
                        <w:rPr>
                          <w:sz w:val="18"/>
                        </w:rPr>
                        <w:fldChar w:fldCharType="separate"/>
                      </w:r>
                      <w:r>
                        <w:rPr>
                          <w:noProof/>
                          <w:sz w:val="18"/>
                        </w:rPr>
                        <w:t>AG08179S02</w:t>
                      </w:r>
                      <w:r>
                        <w:rPr>
                          <w:sz w:val="18"/>
                        </w:rPr>
                        <w:fldChar w:fldCharType="end"/>
                      </w:r>
                    </w:p>
                  </w:txbxContent>
                </v:textbox>
                <w10:wrap anchory="page"/>
                <w10:anchorlock/>
              </v:shape>
            </w:pict>
          </mc:Fallback>
        </mc:AlternateContent>
      </w:r>
      <w:r w:rsidRPr="0026653F">
        <w:rPr>
          <w:noProof/>
          <w:szCs w:val="22"/>
          <w:lang w:val="fr-FR"/>
        </w:rPr>
        <mc:AlternateContent>
          <mc:Choice Requires="wps">
            <w:drawing>
              <wp:anchor distT="0" distB="0" distL="118745" distR="118745" simplePos="0" relativeHeight="251655168" behindDoc="0" locked="1" layoutInCell="1" allowOverlap="1" wp14:anchorId="7213C912" wp14:editId="7C15A6BB">
                <wp:simplePos x="0" y="0"/>
                <wp:positionH relativeFrom="column">
                  <wp:posOffset>-91440</wp:posOffset>
                </wp:positionH>
                <wp:positionV relativeFrom="page">
                  <wp:posOffset>9144000</wp:posOffset>
                </wp:positionV>
                <wp:extent cx="572135" cy="38100"/>
                <wp:effectExtent l="0" t="38100" r="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135" cy="38100"/>
                        </a:xfrm>
                        <a:prstGeom prst="rect">
                          <a:avLst/>
                        </a:prstGeom>
                        <a:noFill/>
                        <a:ln w="9525" cap="flat" cmpd="sng" algn="ctr">
                          <a:noFill/>
                          <a:prstDash val="solid"/>
                          <a:round/>
                          <a:headEnd type="none" w="med" len="med"/>
                          <a:tailEnd type="none" w="med" len="med"/>
                        </a:ln>
                      </wps:spPr>
                      <wps:txbx>
                        <w:txbxContent>
                          <w:p w14:paraId="46BBF7FB" w14:textId="77777777" w:rsidR="006564AF" w:rsidRPr="00153193" w:rsidRDefault="006564AF" w:rsidP="009260F8">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13C912" id="Text Box 4" o:spid="_x0000_s1027" type="#_x0000_t202" style="position:absolute;left:0;text-align:left;margin-left:-7.2pt;margin-top:10in;width:45.05pt;height:3pt;z-index:251655168;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" filled="f" stroked="f">
                <v:stroke joinstyle="round"/>
                <v:textbox>
                  <w:txbxContent>
                    <w:p w14:paraId="46BBF7FB" w14:textId="77777777" w:rsidR="006564AF" w:rsidRPr="00153193" w:rsidRDefault="006564AF" w:rsidP="009260F8">
                      <w:pPr>
                        <w:rPr>
                          <w:sz w:val="18"/>
                        </w:rPr>
                      </w:pPr>
                    </w:p>
                  </w:txbxContent>
                </v:textbox>
                <w10:wrap anchory="page"/>
                <w10:anchorlock/>
              </v:shape>
            </w:pict>
          </mc:Fallback>
        </mc:AlternateContent>
      </w:r>
      <w:r w:rsidRPr="0026653F">
        <w:rPr>
          <w:noProof/>
          <w:szCs w:val="22"/>
          <w:lang w:val="fr-FR"/>
        </w:rPr>
        <mc:AlternateContent>
          <mc:Choice Requires="wps">
            <w:drawing>
              <wp:anchor distT="0" distB="0" distL="114300" distR="114300" simplePos="0" relativeHeight="251654144" behindDoc="0" locked="1" layoutInCell="1" allowOverlap="1" wp14:anchorId="65AA430D" wp14:editId="4FDB31F3">
                <wp:simplePos x="0" y="0"/>
                <wp:positionH relativeFrom="column">
                  <wp:posOffset>-91440</wp:posOffset>
                </wp:positionH>
                <wp:positionV relativeFrom="page">
                  <wp:posOffset>9144000</wp:posOffset>
                </wp:positionV>
                <wp:extent cx="268605" cy="17780"/>
                <wp:effectExtent l="0" t="57150" r="0" b="29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 cy="17780"/>
                        </a:xfrm>
                        <a:prstGeom prst="rect">
                          <a:avLst/>
                        </a:prstGeom>
                        <a:noFill/>
                        <a:ln w="9525" cap="flat" cmpd="sng" algn="ctr">
                          <a:noFill/>
                          <a:prstDash val="solid"/>
                          <a:round/>
                          <a:headEnd type="none" w="med" len="med"/>
                          <a:tailEnd type="none" w="med" len="med"/>
                        </a:ln>
                        <a:effectLst/>
                      </wps:spPr>
                      <wps:txbx>
                        <w:txbxContent>
                          <w:p w14:paraId="144FE716" w14:textId="77777777" w:rsidR="006564AF" w:rsidRPr="00D901A0" w:rsidRDefault="006564AF" w:rsidP="009260F8">
                            <w:pPr>
                              <w:rPr>
                                <w:sz w:val="18"/>
                              </w:rPr>
                            </w:pPr>
                            <w:r>
                              <w:rPr>
                                <w:sz w:val="18"/>
                              </w:rPr>
                              <w:fldChar w:fldCharType="begin"/>
                            </w:r>
                            <w:r>
                              <w:rPr>
                                <w:sz w:val="18"/>
                              </w:rPr>
                              <w:instrText xml:space="preserve"> FILENAME  \* MERGEFORMAT </w:instrText>
                            </w:r>
                            <w:r>
                              <w:rPr>
                                <w:sz w:val="18"/>
                              </w:rPr>
                              <w:fldChar w:fldCharType="separate"/>
                            </w:r>
                            <w:r>
                              <w:rPr>
                                <w:noProof/>
                                <w:sz w:val="18"/>
                              </w:rPr>
                              <w:t>CP43110S03</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AA430D" id="Text Box 3" o:spid="_x0000_s1028" type="#_x0000_t202" style="position:absolute;left:0;text-align:left;margin-left:-7.2pt;margin-top:10in;width:21.1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" filled="f" stroked="f">
                <v:stroke joinstyle="round"/>
                <v:textbox>
                  <w:txbxContent>
                    <w:p w14:paraId="144FE716" w14:textId="77777777" w:rsidR="006564AF" w:rsidRPr="00D901A0" w:rsidRDefault="006564AF" w:rsidP="009260F8">
                      <w:pPr>
                        <w:rPr>
                          <w:sz w:val="18"/>
                        </w:rPr>
                      </w:pPr>
                      <w:r>
                        <w:rPr>
                          <w:sz w:val="18"/>
                        </w:rPr>
                        <w:fldChar w:fldCharType="begin"/>
                      </w:r>
                      <w:r>
                        <w:rPr>
                          <w:sz w:val="18"/>
                        </w:rPr>
                        <w:instrText xml:space="preserve"> FILENAME  \* MERGEFORMAT </w:instrText>
                      </w:r>
                      <w:r>
                        <w:rPr>
                          <w:sz w:val="18"/>
                        </w:rPr>
                        <w:fldChar w:fldCharType="separate"/>
                      </w:r>
                      <w:r>
                        <w:rPr>
                          <w:noProof/>
                          <w:sz w:val="18"/>
                        </w:rPr>
                        <w:t>CP43110S03</w:t>
                      </w:r>
                      <w:r>
                        <w:rPr>
                          <w:sz w:val="18"/>
                        </w:rPr>
                        <w:fldChar w:fldCharType="end"/>
                      </w:r>
                    </w:p>
                  </w:txbxContent>
                </v:textbox>
                <w10:wrap anchory="page"/>
                <w10:anchorlock/>
              </v:shape>
            </w:pict>
          </mc:Fallback>
        </mc:AlternateContent>
      </w:r>
    </w:p>
    <w:p w14:paraId="79F1B67B" w14:textId="77777777" w:rsidR="004D7FDE" w:rsidRPr="0026653F" w:rsidRDefault="004D7FDE" w:rsidP="00C618DD">
      <w:pPr>
        <w:rPr>
          <w:szCs w:val="22"/>
          <w:lang w:val="fr-FR"/>
        </w:rPr>
        <w:sectPr w:rsidR="004D7FDE" w:rsidRPr="0026653F" w:rsidSect="00FE7DD6">
          <w:headerReference w:type="first" r:id="rId35"/>
          <w:footnotePr>
            <w:numRestart w:val="eachSect"/>
          </w:footnotePr>
          <w:endnotePr>
            <w:numFmt w:val="decimal"/>
          </w:endnotePr>
          <w:type w:val="oddPage"/>
          <w:pgSz w:w="12240" w:h="15840" w:code="1"/>
          <w:pgMar w:top="2160" w:right="1570" w:bottom="1296" w:left="1699" w:header="1296" w:footer="1296" w:gutter="0"/>
          <w:pgNumType w:start="13"/>
          <w:cols w:space="720"/>
          <w:noEndnote/>
          <w:titlePg/>
        </w:sectPr>
      </w:pPr>
    </w:p>
    <w:p w14:paraId="48F27E0D" w14:textId="723BD243" w:rsidR="007E7B1F" w:rsidRPr="0026653F" w:rsidRDefault="004D7FDE" w:rsidP="00C618DD">
      <w:pPr>
        <w:pStyle w:val="Heading1"/>
        <w:rPr>
          <w:szCs w:val="22"/>
          <w:lang w:val="fr-FR"/>
        </w:rPr>
      </w:pPr>
      <w:bookmarkStart w:id="15" w:name="_Toc74732017"/>
      <w:r w:rsidRPr="0026653F">
        <w:rPr>
          <w:color w:val="000000"/>
          <w:szCs w:val="22"/>
          <w:lang w:val="fr-FR" w:eastAsia="en-US"/>
        </w:rPr>
        <w:lastRenderedPageBreak/>
        <w:t>AG/RES. 2951 (L-O/20)</w:t>
      </w:r>
      <w:r w:rsidRPr="0026653F">
        <w:rPr>
          <w:color w:val="000000"/>
          <w:szCs w:val="22"/>
          <w:lang w:val="fr-FR" w:eastAsia="en-US"/>
        </w:rPr>
        <w:br/>
      </w:r>
      <w:r w:rsidRPr="0026653F">
        <w:rPr>
          <w:color w:val="000000"/>
          <w:szCs w:val="22"/>
          <w:lang w:val="fr-FR" w:eastAsia="en-US"/>
        </w:rPr>
        <w:br/>
      </w:r>
      <w:r w:rsidR="007E7B1F" w:rsidRPr="0026653F">
        <w:rPr>
          <w:szCs w:val="22"/>
          <w:lang w:val="fr-FR"/>
        </w:rPr>
        <w:t xml:space="preserve">ACTUALISATION DES </w:t>
      </w:r>
      <w:r w:rsidR="005E24E3" w:rsidRPr="0026653F">
        <w:rPr>
          <w:szCs w:val="22"/>
          <w:lang w:val="fr-FR"/>
        </w:rPr>
        <w:t>RÈGLEMENTS</w:t>
      </w:r>
      <w:r w:rsidR="007E7B1F" w:rsidRPr="0026653F">
        <w:rPr>
          <w:szCs w:val="22"/>
          <w:lang w:val="fr-FR"/>
        </w:rPr>
        <w:br/>
        <w:t>DU CONSEIL PERMANENT ET DE SES ORGANES SUBSIDIAIRES</w:t>
      </w:r>
      <w:r w:rsidR="007E7B1F" w:rsidRPr="0026653F">
        <w:rPr>
          <w:szCs w:val="22"/>
          <w:u w:val="single"/>
          <w:vertAlign w:val="superscript"/>
          <w:lang w:val="fr-FR"/>
        </w:rPr>
        <w:footnoteReference w:id="31"/>
      </w:r>
      <w:r w:rsidR="007E7B1F" w:rsidRPr="0026653F">
        <w:rPr>
          <w:szCs w:val="22"/>
          <w:vertAlign w:val="superscript"/>
          <w:lang w:val="fr-FR"/>
        </w:rPr>
        <w:t>/</w:t>
      </w:r>
      <w:r w:rsidR="00895634" w:rsidRPr="0026653F">
        <w:rPr>
          <w:rStyle w:val="FootnoteReference"/>
          <w:szCs w:val="22"/>
          <w:u w:val="single"/>
          <w:vertAlign w:val="superscript"/>
          <w:lang w:val="fr-FR"/>
        </w:rPr>
        <w:footnoteReference w:id="32"/>
      </w:r>
      <w:r w:rsidR="00895634" w:rsidRPr="0026653F">
        <w:rPr>
          <w:szCs w:val="22"/>
          <w:vertAlign w:val="superscript"/>
          <w:lang w:val="fr-FR"/>
        </w:rPr>
        <w:t>/</w:t>
      </w:r>
      <w:bookmarkEnd w:id="15"/>
    </w:p>
    <w:p w14:paraId="19DA8BD2" w14:textId="77777777" w:rsidR="007E7B1F" w:rsidRPr="0026653F" w:rsidRDefault="007E7B1F" w:rsidP="00C618DD">
      <w:pPr>
        <w:rPr>
          <w:szCs w:val="22"/>
          <w:lang w:val="fr-FR"/>
        </w:rPr>
      </w:pPr>
    </w:p>
    <w:p w14:paraId="7032BB9F" w14:textId="77777777" w:rsidR="007E7B1F" w:rsidRPr="0026653F" w:rsidRDefault="007E7B1F" w:rsidP="00C618DD">
      <w:pPr>
        <w:jc w:val="center"/>
        <w:rPr>
          <w:szCs w:val="22"/>
          <w:lang w:val="fr-FR"/>
        </w:rPr>
      </w:pPr>
      <w:r w:rsidRPr="0026653F">
        <w:rPr>
          <w:szCs w:val="22"/>
          <w:lang w:val="fr-FR"/>
        </w:rPr>
        <w:t>(Résolution adoptée à la première séance plénière, le 20 octobre 2020)</w:t>
      </w:r>
    </w:p>
    <w:p w14:paraId="6554B5C6" w14:textId="77777777" w:rsidR="007E7B1F" w:rsidRPr="0026653F" w:rsidRDefault="007E7B1F" w:rsidP="00C618DD">
      <w:pPr>
        <w:jc w:val="left"/>
        <w:rPr>
          <w:szCs w:val="22"/>
          <w:lang w:val="fr-FR"/>
        </w:rPr>
      </w:pPr>
    </w:p>
    <w:p w14:paraId="7DCE663C" w14:textId="77777777" w:rsidR="007E7B1F" w:rsidRPr="0026653F" w:rsidRDefault="007E7B1F" w:rsidP="00C618DD">
      <w:pPr>
        <w:rPr>
          <w:szCs w:val="22"/>
          <w:lang w:val="fr-FR"/>
        </w:rPr>
      </w:pPr>
    </w:p>
    <w:p w14:paraId="72350EEB" w14:textId="77777777" w:rsidR="007E7B1F" w:rsidRPr="0026653F" w:rsidRDefault="007E7B1F" w:rsidP="00C618DD">
      <w:pPr>
        <w:ind w:firstLine="720"/>
        <w:rPr>
          <w:szCs w:val="22"/>
          <w:lang w:val="fr-FR"/>
        </w:rPr>
      </w:pPr>
      <w:r w:rsidRPr="0026653F">
        <w:rPr>
          <w:szCs w:val="22"/>
          <w:lang w:val="fr-FR"/>
        </w:rPr>
        <w:t>L’ASSEMBLÉE GÉNÉRALE,</w:t>
      </w:r>
    </w:p>
    <w:p w14:paraId="788A48C6" w14:textId="77777777" w:rsidR="007E7B1F" w:rsidRPr="0026653F" w:rsidRDefault="007E7B1F" w:rsidP="00C618DD">
      <w:pPr>
        <w:rPr>
          <w:szCs w:val="22"/>
          <w:lang w:val="fr-FR"/>
        </w:rPr>
      </w:pPr>
    </w:p>
    <w:p w14:paraId="6C16DA6C" w14:textId="4686A612" w:rsidR="007E7B1F" w:rsidRPr="0026653F" w:rsidRDefault="007E7B1F" w:rsidP="009845B4">
      <w:pPr>
        <w:suppressAutoHyphens/>
        <w:ind w:firstLine="720"/>
        <w:rPr>
          <w:spacing w:val="-2"/>
          <w:szCs w:val="22"/>
          <w:lang w:val="fr-FR"/>
        </w:rPr>
      </w:pPr>
      <w:r w:rsidRPr="0026653F">
        <w:rPr>
          <w:spacing w:val="-2"/>
          <w:szCs w:val="22"/>
          <w:lang w:val="fr-FR"/>
        </w:rPr>
        <w:t xml:space="preserve">RECONNAISSANT la nécessité urgente d’actualiser et d’optimiser le fonctionnement des organes représentatifs de l’Organisation pour éviter les impasses procédurales, comme celles qui ont été constatées pendant la crise de la pandémie de COVID-19 qui ont lancé un défi à l’efficacité de l’Organisation et </w:t>
      </w:r>
      <w:r w:rsidR="005E24E3" w:rsidRPr="0026653F">
        <w:rPr>
          <w:spacing w:val="-2"/>
          <w:szCs w:val="22"/>
          <w:lang w:val="fr-FR"/>
        </w:rPr>
        <w:t>mis à l’épreuve</w:t>
      </w:r>
      <w:r w:rsidRPr="0026653F">
        <w:rPr>
          <w:spacing w:val="-2"/>
          <w:szCs w:val="22"/>
          <w:lang w:val="fr-FR"/>
        </w:rPr>
        <w:t xml:space="preserve"> sa capacité de résilience,</w:t>
      </w:r>
    </w:p>
    <w:p w14:paraId="43C6633C" w14:textId="77777777" w:rsidR="007E7B1F" w:rsidRPr="0026653F" w:rsidRDefault="007E7B1F" w:rsidP="00C618DD">
      <w:pPr>
        <w:autoSpaceDE w:val="0"/>
        <w:autoSpaceDN w:val="0"/>
        <w:adjustRightInd w:val="0"/>
        <w:snapToGrid w:val="0"/>
        <w:rPr>
          <w:color w:val="000000"/>
          <w:szCs w:val="22"/>
          <w:lang w:val="fr-FR" w:eastAsia="es-ES"/>
        </w:rPr>
      </w:pPr>
    </w:p>
    <w:p w14:paraId="2CD9D455" w14:textId="23186115" w:rsidR="007E7B1F" w:rsidRPr="0026653F" w:rsidRDefault="007E7B1F" w:rsidP="00C618DD">
      <w:pPr>
        <w:autoSpaceDE w:val="0"/>
        <w:autoSpaceDN w:val="0"/>
        <w:adjustRightInd w:val="0"/>
        <w:snapToGrid w:val="0"/>
        <w:ind w:firstLine="720"/>
        <w:rPr>
          <w:rFonts w:eastAsia="SimSun"/>
          <w:color w:val="000000"/>
          <w:szCs w:val="22"/>
          <w:lang w:val="fr-FR" w:eastAsia="zh-CN"/>
        </w:rPr>
      </w:pPr>
      <w:r w:rsidRPr="0026653F">
        <w:rPr>
          <w:rFonts w:eastAsia="SimSun"/>
          <w:color w:val="000000"/>
          <w:szCs w:val="22"/>
          <w:lang w:val="fr-FR" w:eastAsia="zh-CN"/>
        </w:rPr>
        <w:t>CONSIDÉRANT ses résolutions AG/RES. 2892 (XLVI-O/16), « Modernisation de la gestion » ; AG/RES. 2903 (XLVII-O/17), « Le système institutionnel de l’Organisation des États Américains : révision et renforcement » et AG/RES. 2937 (XLIX-O/19)</w:t>
      </w:r>
      <w:r w:rsidRPr="0026653F">
        <w:rPr>
          <w:rFonts w:eastAsia="SimSun"/>
          <w:webHidden/>
          <w:color w:val="000000"/>
          <w:szCs w:val="22"/>
          <w:lang w:val="fr-FR" w:eastAsia="zh-CN"/>
        </w:rPr>
        <w:t>, « </w:t>
      </w:r>
      <w:r w:rsidRPr="0026653F">
        <w:rPr>
          <w:rFonts w:eastAsia="SimSun"/>
          <w:color w:val="000000"/>
          <w:szCs w:val="22"/>
          <w:lang w:val="fr-FR" w:eastAsia="zh-CN"/>
        </w:rPr>
        <w:t>Rapport final du Groupe de travail chargé d’élaborer une proposition de renforcement institutionnel de l’Organisation des États Américains », de même que d’autres décisions pertinentes de l’Assemblée générale et les recommandations faites par les groupes de travail créés au moyen de ces résolutions,</w:t>
      </w:r>
    </w:p>
    <w:p w14:paraId="3BB38B0F" w14:textId="77777777" w:rsidR="007E7B1F" w:rsidRPr="0026653F" w:rsidRDefault="007E7B1F" w:rsidP="00C618DD">
      <w:pPr>
        <w:autoSpaceDE w:val="0"/>
        <w:autoSpaceDN w:val="0"/>
        <w:adjustRightInd w:val="0"/>
        <w:snapToGrid w:val="0"/>
        <w:rPr>
          <w:color w:val="000000"/>
          <w:szCs w:val="22"/>
          <w:lang w:val="fr-FR" w:eastAsia="es-ES"/>
        </w:rPr>
      </w:pPr>
    </w:p>
    <w:p w14:paraId="71EA918B" w14:textId="7951204B" w:rsidR="007E7B1F" w:rsidRPr="0026653F" w:rsidRDefault="007E7B1F" w:rsidP="00C618DD">
      <w:pPr>
        <w:autoSpaceDE w:val="0"/>
        <w:autoSpaceDN w:val="0"/>
        <w:adjustRightInd w:val="0"/>
        <w:snapToGrid w:val="0"/>
        <w:ind w:firstLine="720"/>
        <w:rPr>
          <w:color w:val="000000"/>
          <w:szCs w:val="22"/>
          <w:lang w:val="fr-FR" w:eastAsia="zh-CN"/>
        </w:rPr>
      </w:pPr>
      <w:r w:rsidRPr="0026653F">
        <w:rPr>
          <w:rFonts w:eastAsia="SimSun"/>
          <w:color w:val="000000"/>
          <w:szCs w:val="22"/>
          <w:lang w:val="fr-FR" w:eastAsia="zh-CN"/>
        </w:rPr>
        <w:t>AYANT À L’ESPRIT la résolution CP/RES. 1150 (2280/20), « Séances virtuelles du Conseil permanent à cause de la pandémie de COVID-19 », adoptée par le Conseil permanent lors de sa séance extraordinaire virtuelle tenue le 16 avril 2020,</w:t>
      </w:r>
    </w:p>
    <w:p w14:paraId="4EDE6C32" w14:textId="77777777" w:rsidR="007E7B1F" w:rsidRPr="0026653F" w:rsidRDefault="007E7B1F" w:rsidP="00C618DD">
      <w:pPr>
        <w:autoSpaceDE w:val="0"/>
        <w:autoSpaceDN w:val="0"/>
        <w:adjustRightInd w:val="0"/>
        <w:snapToGrid w:val="0"/>
        <w:rPr>
          <w:color w:val="000000"/>
          <w:szCs w:val="22"/>
          <w:lang w:val="fr-FR" w:eastAsia="es-ES"/>
        </w:rPr>
      </w:pPr>
    </w:p>
    <w:p w14:paraId="45E986D1" w14:textId="66BBBC17" w:rsidR="007E7B1F" w:rsidRPr="0026653F" w:rsidRDefault="007E7B1F" w:rsidP="00C618DD">
      <w:pPr>
        <w:autoSpaceDE w:val="0"/>
        <w:autoSpaceDN w:val="0"/>
        <w:adjustRightInd w:val="0"/>
        <w:snapToGrid w:val="0"/>
        <w:ind w:firstLine="720"/>
        <w:rPr>
          <w:rFonts w:eastAsia="SimSun"/>
          <w:color w:val="000000"/>
          <w:szCs w:val="22"/>
          <w:lang w:val="fr-FR" w:eastAsia="zh-CN"/>
        </w:rPr>
      </w:pPr>
      <w:r w:rsidRPr="0026653F">
        <w:rPr>
          <w:rFonts w:eastAsia="SimSun"/>
          <w:color w:val="000000"/>
          <w:szCs w:val="22"/>
          <w:lang w:val="fr-FR" w:eastAsia="zh-CN"/>
        </w:rPr>
        <w:t xml:space="preserve">PRENANT NOTE du document CP/INF.8685/20, « </w:t>
      </w:r>
      <w:r w:rsidR="00986D65" w:rsidRPr="0026653F">
        <w:rPr>
          <w:rFonts w:eastAsia="SimSun"/>
          <w:color w:val="000000"/>
          <w:szCs w:val="22"/>
          <w:lang w:val="fr-FR" w:eastAsia="zh-CN"/>
        </w:rPr>
        <w:t>Mode de fonctionnement du Conseil permanent dans le contexte extraordinaire de la pandémie</w:t>
      </w:r>
      <w:r w:rsidRPr="0026653F">
        <w:rPr>
          <w:rFonts w:eastAsia="SimSun"/>
          <w:color w:val="000000"/>
          <w:szCs w:val="22"/>
          <w:lang w:val="fr-FR" w:eastAsia="zh-CN"/>
        </w:rPr>
        <w:t> »,</w:t>
      </w:r>
    </w:p>
    <w:p w14:paraId="2AE5D2CC" w14:textId="77777777" w:rsidR="007E7B1F" w:rsidRPr="0026653F" w:rsidRDefault="007E7B1F" w:rsidP="00C618DD">
      <w:pPr>
        <w:autoSpaceDE w:val="0"/>
        <w:autoSpaceDN w:val="0"/>
        <w:adjustRightInd w:val="0"/>
        <w:snapToGrid w:val="0"/>
        <w:rPr>
          <w:rFonts w:eastAsia="SimSun"/>
          <w:color w:val="000000"/>
          <w:szCs w:val="22"/>
          <w:lang w:val="fr-FR" w:eastAsia="zh-CN"/>
        </w:rPr>
      </w:pPr>
    </w:p>
    <w:p w14:paraId="4DD4B1E7" w14:textId="4B2BAB9A" w:rsidR="007E7B1F" w:rsidRPr="0026653F" w:rsidRDefault="00EE2F1F" w:rsidP="00C618DD">
      <w:pPr>
        <w:ind w:firstLine="720"/>
        <w:rPr>
          <w:szCs w:val="22"/>
          <w:lang w:val="fr-FR"/>
        </w:rPr>
      </w:pPr>
      <w:r w:rsidRPr="0026653F">
        <w:rPr>
          <w:szCs w:val="22"/>
          <w:lang w:val="fr-FR"/>
        </w:rPr>
        <w:t>PRENANT EN COMPTE</w:t>
      </w:r>
      <w:r w:rsidR="007E7B1F" w:rsidRPr="0026653F">
        <w:rPr>
          <w:szCs w:val="22"/>
          <w:lang w:val="fr-FR"/>
        </w:rPr>
        <w:t xml:space="preserve"> </w:t>
      </w:r>
      <w:r w:rsidRPr="0026653F">
        <w:rPr>
          <w:szCs w:val="22"/>
          <w:lang w:val="fr-FR"/>
        </w:rPr>
        <w:t>l</w:t>
      </w:r>
      <w:r w:rsidR="007E7B1F" w:rsidRPr="0026653F">
        <w:rPr>
          <w:szCs w:val="22"/>
          <w:lang w:val="fr-FR"/>
        </w:rPr>
        <w:t xml:space="preserve">es dispositions de l’article 15 du Statut du Conseil permanent et des articles 24 et 80 </w:t>
      </w:r>
      <w:r w:rsidR="007E7B1F" w:rsidRPr="0026653F">
        <w:rPr>
          <w:i/>
          <w:iCs/>
          <w:szCs w:val="22"/>
          <w:lang w:val="fr-FR"/>
        </w:rPr>
        <w:t>b</w:t>
      </w:r>
      <w:r w:rsidR="007E7B1F" w:rsidRPr="0026653F">
        <w:rPr>
          <w:szCs w:val="22"/>
          <w:lang w:val="fr-FR"/>
        </w:rPr>
        <w:t xml:space="preserve"> du Règlement du Conseil permanent,</w:t>
      </w:r>
    </w:p>
    <w:p w14:paraId="73B9C3EE" w14:textId="77777777" w:rsidR="007E7B1F" w:rsidRPr="0026653F" w:rsidRDefault="007E7B1F" w:rsidP="00C618DD">
      <w:pPr>
        <w:rPr>
          <w:rFonts w:eastAsia="Batang"/>
          <w:bCs/>
          <w:szCs w:val="22"/>
          <w:lang w:val="fr-FR"/>
        </w:rPr>
      </w:pPr>
    </w:p>
    <w:p w14:paraId="389E7992" w14:textId="77777777" w:rsidR="007E7B1F" w:rsidRPr="0026653F" w:rsidRDefault="007E7B1F" w:rsidP="00C618DD">
      <w:pPr>
        <w:jc w:val="left"/>
        <w:rPr>
          <w:rFonts w:eastAsia="Batang"/>
          <w:bCs/>
          <w:szCs w:val="22"/>
          <w:lang w:val="fr-FR"/>
        </w:rPr>
      </w:pPr>
      <w:r w:rsidRPr="0026653F">
        <w:rPr>
          <w:szCs w:val="22"/>
          <w:lang w:val="fr-FR"/>
        </w:rPr>
        <w:t>DÉCIDE :</w:t>
      </w:r>
    </w:p>
    <w:p w14:paraId="32AAB679" w14:textId="77777777" w:rsidR="007E7B1F" w:rsidRPr="0026653F" w:rsidRDefault="007E7B1F" w:rsidP="00C618DD">
      <w:pPr>
        <w:rPr>
          <w:rFonts w:eastAsia="Batang"/>
          <w:bCs/>
          <w:szCs w:val="22"/>
          <w:lang w:val="fr-FR"/>
        </w:rPr>
      </w:pPr>
    </w:p>
    <w:p w14:paraId="5A271107" w14:textId="65630657" w:rsidR="007E7B1F" w:rsidRPr="0026653F" w:rsidRDefault="007E7B1F" w:rsidP="00C618DD">
      <w:pPr>
        <w:suppressAutoHyphens/>
        <w:ind w:firstLine="720"/>
        <w:rPr>
          <w:i/>
          <w:iCs/>
          <w:color w:val="000000"/>
          <w:szCs w:val="22"/>
          <w:lang w:val="fr-FR"/>
        </w:rPr>
      </w:pPr>
      <w:r w:rsidRPr="0026653F">
        <w:rPr>
          <w:szCs w:val="22"/>
          <w:lang w:val="fr-FR"/>
        </w:rPr>
        <w:t>1.</w:t>
      </w:r>
      <w:r w:rsidRPr="0026653F">
        <w:rPr>
          <w:szCs w:val="22"/>
          <w:lang w:val="fr-FR"/>
        </w:rPr>
        <w:tab/>
        <w:t>De demander au Conseil permanent d’établir un groupe de travail</w:t>
      </w:r>
      <w:r w:rsidR="00C05BB3" w:rsidRPr="0026653F">
        <w:rPr>
          <w:szCs w:val="22"/>
          <w:lang w:val="fr-FR"/>
        </w:rPr>
        <w:t xml:space="preserve"> relevant de </w:t>
      </w:r>
      <w:r w:rsidRPr="0026653F">
        <w:rPr>
          <w:szCs w:val="22"/>
          <w:lang w:val="fr-FR"/>
        </w:rPr>
        <w:t xml:space="preserve">la Commission des questions juridiques et politiques, chargé d’analyser le cadre réglementaire en vigueur et les documents pertinents qui portent sur le fonctionnement et les procédures du Conseil permanent, </w:t>
      </w:r>
      <w:r w:rsidRPr="0026653F">
        <w:rPr>
          <w:rFonts w:eastAsia="Batang"/>
          <w:bCs/>
          <w:szCs w:val="22"/>
          <w:lang w:val="fr-FR"/>
        </w:rPr>
        <w:t xml:space="preserve">y compris ses </w:t>
      </w:r>
      <w:r w:rsidRPr="0026653F">
        <w:rPr>
          <w:szCs w:val="22"/>
          <w:lang w:val="fr-FR"/>
        </w:rPr>
        <w:t>commissions permanentes, ses commissions spéciales, ses sous-commissions, ses groupes de travail et d’autres mécanismes, et d</w:t>
      </w:r>
      <w:r w:rsidR="00C05BB3" w:rsidRPr="0026653F">
        <w:rPr>
          <w:szCs w:val="22"/>
          <w:lang w:val="fr-FR"/>
        </w:rPr>
        <w:t xml:space="preserve">’élaborer </w:t>
      </w:r>
      <w:r w:rsidRPr="0026653F">
        <w:rPr>
          <w:szCs w:val="22"/>
          <w:lang w:val="fr-FR"/>
        </w:rPr>
        <w:t xml:space="preserve">les recommandations correspondantes </w:t>
      </w:r>
      <w:r w:rsidRPr="0026653F">
        <w:rPr>
          <w:rFonts w:eastAsia="Batang"/>
          <w:bCs/>
          <w:szCs w:val="22"/>
          <w:lang w:val="fr-FR"/>
        </w:rPr>
        <w:t xml:space="preserve">susceptibles de contribuer </w:t>
      </w:r>
      <w:r w:rsidRPr="0026653F">
        <w:rPr>
          <w:szCs w:val="22"/>
          <w:lang w:val="fr-FR"/>
        </w:rPr>
        <w:t>à renforcer la résilience de l’Organisation.</w:t>
      </w:r>
    </w:p>
    <w:p w14:paraId="27C527EA" w14:textId="77777777" w:rsidR="007E7B1F" w:rsidRPr="0026653F" w:rsidRDefault="007E7B1F" w:rsidP="00C618DD">
      <w:pPr>
        <w:suppressAutoHyphens/>
        <w:rPr>
          <w:szCs w:val="22"/>
          <w:lang w:val="fr-FR"/>
        </w:rPr>
      </w:pPr>
    </w:p>
    <w:p w14:paraId="519904D6" w14:textId="22F717D1" w:rsidR="007E7B1F" w:rsidRPr="0026653F" w:rsidRDefault="007E7B1F" w:rsidP="00C618DD">
      <w:pPr>
        <w:ind w:firstLine="720"/>
        <w:rPr>
          <w:rFonts w:eastAsia="Batang"/>
          <w:bCs/>
          <w:szCs w:val="22"/>
          <w:lang w:val="fr-FR"/>
        </w:rPr>
      </w:pPr>
      <w:r w:rsidRPr="0026653F">
        <w:rPr>
          <w:szCs w:val="22"/>
          <w:lang w:val="fr-FR"/>
        </w:rPr>
        <w:t>2.</w:t>
      </w:r>
      <w:r w:rsidRPr="0026653F">
        <w:rPr>
          <w:szCs w:val="22"/>
          <w:lang w:val="fr-FR"/>
        </w:rPr>
        <w:tab/>
        <w:t xml:space="preserve">De charger le groupe de travail de présenter au plus tard le 30 avril 2021 un projet de recommandations, y compris la nature juridique de celles-ci, pour approbation par le Conseil </w:t>
      </w:r>
      <w:r w:rsidRPr="0026653F">
        <w:rPr>
          <w:szCs w:val="22"/>
          <w:lang w:val="fr-FR"/>
        </w:rPr>
        <w:lastRenderedPageBreak/>
        <w:t>permanent, et d’arrêter que le document en résultant sera présenté à l’Assemblée générale lors de sa cinquante-et-unième session ordinaire aux fins d’examen.</w:t>
      </w:r>
    </w:p>
    <w:p w14:paraId="765B74DC" w14:textId="77777777" w:rsidR="007E7B1F" w:rsidRPr="0026653F" w:rsidRDefault="007E7B1F" w:rsidP="00C618DD">
      <w:pPr>
        <w:rPr>
          <w:rFonts w:eastAsia="Batang"/>
          <w:bCs/>
          <w:szCs w:val="22"/>
          <w:lang w:val="fr-FR"/>
        </w:rPr>
      </w:pPr>
    </w:p>
    <w:p w14:paraId="2D9F0413" w14:textId="7C596917" w:rsidR="007E7B1F" w:rsidRPr="0026653F" w:rsidRDefault="007E7B1F" w:rsidP="00C618DD">
      <w:pPr>
        <w:ind w:firstLine="720"/>
        <w:rPr>
          <w:rFonts w:eastAsia="Batang"/>
          <w:bCs/>
          <w:szCs w:val="22"/>
          <w:lang w:val="fr-FR"/>
        </w:rPr>
      </w:pPr>
      <w:r w:rsidRPr="0026653F">
        <w:rPr>
          <w:szCs w:val="22"/>
          <w:lang w:val="fr-FR"/>
        </w:rPr>
        <w:t>3.</w:t>
      </w:r>
      <w:r w:rsidRPr="0026653F">
        <w:rPr>
          <w:szCs w:val="22"/>
          <w:lang w:val="fr-FR"/>
        </w:rPr>
        <w:tab/>
        <w:t xml:space="preserve">De demander au Secrétariat général d’identifier les ressources financières qui seraient exceptionnellement nécessaires pour garantir le fonctionnement du groupe de travail et l’accomplissement du mandat énoncé au paragraphe précédent considérant les </w:t>
      </w:r>
      <w:r w:rsidR="00986D65" w:rsidRPr="0026653F">
        <w:rPr>
          <w:szCs w:val="22"/>
          <w:lang w:val="fr-FR"/>
        </w:rPr>
        <w:t>contraintes</w:t>
      </w:r>
      <w:r w:rsidRPr="0026653F">
        <w:rPr>
          <w:szCs w:val="22"/>
          <w:lang w:val="fr-FR"/>
        </w:rPr>
        <w:t xml:space="preserve"> budgétaires de l’Organisation et les fonctions délimitées du groupe de travail, qui devra remettre à la fin de son mandat un rapport détaillant les ressources et les biens utilisés pour l’accomplissement de</w:t>
      </w:r>
      <w:r w:rsidR="000A003C" w:rsidRPr="0026653F">
        <w:rPr>
          <w:szCs w:val="22"/>
          <w:lang w:val="fr-FR"/>
        </w:rPr>
        <w:t xml:space="preserve"> ce </w:t>
      </w:r>
      <w:r w:rsidRPr="0026653F">
        <w:rPr>
          <w:szCs w:val="22"/>
          <w:lang w:val="fr-FR"/>
        </w:rPr>
        <w:t>mandat.</w:t>
      </w:r>
    </w:p>
    <w:p w14:paraId="486C12F6" w14:textId="77777777" w:rsidR="007E7B1F" w:rsidRPr="0026653F" w:rsidRDefault="007E7B1F" w:rsidP="00C618DD">
      <w:pPr>
        <w:jc w:val="left"/>
        <w:rPr>
          <w:szCs w:val="22"/>
          <w:lang w:val="fr-FR"/>
        </w:rPr>
      </w:pPr>
      <w:r w:rsidRPr="0026653F">
        <w:rPr>
          <w:szCs w:val="22"/>
          <w:lang w:val="fr-FR"/>
        </w:rPr>
        <w:br w:type="page"/>
      </w:r>
    </w:p>
    <w:p w14:paraId="75203AD6" w14:textId="23844777" w:rsidR="007E7B1F" w:rsidRPr="0026653F" w:rsidRDefault="007E7B1F" w:rsidP="00C618DD">
      <w:pPr>
        <w:jc w:val="center"/>
        <w:rPr>
          <w:sz w:val="20"/>
          <w:lang w:val="fr-FR"/>
        </w:rPr>
      </w:pPr>
      <w:r w:rsidRPr="0026653F">
        <w:rPr>
          <w:sz w:val="20"/>
          <w:lang w:val="fr-FR"/>
        </w:rPr>
        <w:lastRenderedPageBreak/>
        <w:t>NOTE</w:t>
      </w:r>
      <w:r w:rsidR="00895634" w:rsidRPr="0026653F">
        <w:rPr>
          <w:sz w:val="20"/>
          <w:lang w:val="fr-FR"/>
        </w:rPr>
        <w:t>S</w:t>
      </w:r>
      <w:r w:rsidRPr="0026653F">
        <w:rPr>
          <w:sz w:val="20"/>
          <w:lang w:val="fr-FR"/>
        </w:rPr>
        <w:t xml:space="preserve"> DE BAS DE PAGE</w:t>
      </w:r>
    </w:p>
    <w:p w14:paraId="707E0AEA" w14:textId="77777777" w:rsidR="007E7B1F" w:rsidRPr="0026653F" w:rsidRDefault="007E7B1F" w:rsidP="00C618DD">
      <w:pPr>
        <w:jc w:val="center"/>
        <w:rPr>
          <w:sz w:val="20"/>
          <w:lang w:val="fr-FR"/>
        </w:rPr>
      </w:pPr>
    </w:p>
    <w:p w14:paraId="2E75B7DB" w14:textId="77777777" w:rsidR="007E7B1F" w:rsidRPr="0026653F" w:rsidRDefault="007E7B1F" w:rsidP="00C618DD">
      <w:pPr>
        <w:jc w:val="center"/>
        <w:rPr>
          <w:sz w:val="20"/>
          <w:lang w:val="fr-FR"/>
        </w:rPr>
      </w:pPr>
    </w:p>
    <w:p w14:paraId="751B2858" w14:textId="77777777" w:rsidR="007E7B1F" w:rsidRPr="0026653F" w:rsidRDefault="007E7B1F"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2DE7A55E" w14:textId="77777777" w:rsidR="007E7B1F" w:rsidRPr="0026653F" w:rsidRDefault="007E7B1F" w:rsidP="00C618DD">
      <w:pPr>
        <w:rPr>
          <w:sz w:val="20"/>
          <w:lang w:val="fr-FR"/>
        </w:rPr>
      </w:pPr>
    </w:p>
    <w:p w14:paraId="2ABFC21E" w14:textId="0D219217" w:rsidR="007E7B1F" w:rsidRPr="0026653F" w:rsidRDefault="007E7B1F" w:rsidP="00C618DD">
      <w:pPr>
        <w:ind w:firstLine="720"/>
        <w:rPr>
          <w:sz w:val="20"/>
          <w:lang w:val="fr-FR"/>
        </w:rPr>
      </w:pPr>
      <w:r w:rsidRPr="0026653F">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1986D0DE" w14:textId="77777777" w:rsidR="007E7B1F" w:rsidRPr="0026653F" w:rsidRDefault="007E7B1F" w:rsidP="00C618DD">
      <w:pPr>
        <w:rPr>
          <w:sz w:val="20"/>
          <w:lang w:val="fr-FR"/>
        </w:rPr>
      </w:pPr>
    </w:p>
    <w:p w14:paraId="64079190" w14:textId="1B2B40B6" w:rsidR="007E7B1F" w:rsidRPr="0026653F" w:rsidRDefault="007E7B1F"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55E364B" w14:textId="752D52A5" w:rsidR="00895634" w:rsidRPr="0026653F" w:rsidRDefault="00895634" w:rsidP="00C618DD">
      <w:pPr>
        <w:rPr>
          <w:sz w:val="20"/>
          <w:lang w:val="fr-FR"/>
        </w:rPr>
      </w:pPr>
    </w:p>
    <w:p w14:paraId="13383103" w14:textId="6CC5C62A" w:rsidR="00895634" w:rsidRPr="0026653F" w:rsidRDefault="00895634" w:rsidP="00C618DD">
      <w:pPr>
        <w:rPr>
          <w:lang w:val="fr-FR" w:eastAsia="es-ES"/>
        </w:rPr>
      </w:pPr>
    </w:p>
    <w:p w14:paraId="11683501" w14:textId="340D5B7B" w:rsidR="00895634" w:rsidRPr="0026653F" w:rsidRDefault="00895634" w:rsidP="00C618DD">
      <w:pPr>
        <w:pStyle w:val="ListParagraph"/>
        <w:numPr>
          <w:ilvl w:val="0"/>
          <w:numId w:val="25"/>
        </w:numPr>
        <w:rPr>
          <w:rFonts w:ascii="Times New Roman" w:hAnsi="Times New Roman"/>
          <w:lang w:val="fr-FR" w:eastAsia="es-ES"/>
        </w:rPr>
        <w:sectPr w:rsidR="00895634" w:rsidRPr="0026653F" w:rsidSect="001B665B">
          <w:footerReference w:type="default" r:id="rId36"/>
          <w:headerReference w:type="first" r:id="rId37"/>
          <w:footnotePr>
            <w:numRestart w:val="eachSect"/>
          </w:footnotePr>
          <w:type w:val="oddPage"/>
          <w:pgSz w:w="12240" w:h="15840" w:code="1"/>
          <w:pgMar w:top="2160" w:right="1570" w:bottom="1296" w:left="1699" w:header="1296" w:footer="1296" w:gutter="0"/>
          <w:cols w:space="720"/>
          <w:titlePg/>
          <w:docGrid w:linePitch="360"/>
        </w:sectPr>
      </w:pPr>
    </w:p>
    <w:p w14:paraId="65C62C38" w14:textId="7D5C0640" w:rsidR="009713D0" w:rsidRPr="0026653F" w:rsidRDefault="004D7FDE" w:rsidP="00C618DD">
      <w:pPr>
        <w:pStyle w:val="Heading1"/>
        <w:rPr>
          <w:szCs w:val="22"/>
          <w:lang w:val="fr-FR"/>
        </w:rPr>
      </w:pPr>
      <w:bookmarkStart w:id="16" w:name="_Toc74732018"/>
      <w:r w:rsidRPr="0026653F">
        <w:rPr>
          <w:rStyle w:val="Heading1Char"/>
          <w:rFonts w:eastAsia="Calibri"/>
          <w:szCs w:val="22"/>
          <w:lang w:val="fr-FR"/>
        </w:rPr>
        <w:lastRenderedPageBreak/>
        <w:t>AG/RES. 2952 (L-O/20)</w:t>
      </w:r>
      <w:r w:rsidRPr="0026653F">
        <w:rPr>
          <w:rStyle w:val="Heading1Char"/>
          <w:rFonts w:eastAsia="Calibri"/>
          <w:szCs w:val="22"/>
          <w:lang w:val="fr-FR"/>
        </w:rPr>
        <w:br/>
      </w:r>
      <w:r w:rsidRPr="0026653F">
        <w:rPr>
          <w:rStyle w:val="Heading1Char"/>
          <w:rFonts w:eastAsia="Calibri"/>
          <w:szCs w:val="22"/>
          <w:lang w:val="fr-FR"/>
        </w:rPr>
        <w:br/>
      </w:r>
      <w:r w:rsidR="009713D0" w:rsidRPr="0026653F">
        <w:rPr>
          <w:szCs w:val="22"/>
          <w:lang w:val="fr-FR"/>
        </w:rPr>
        <w:t xml:space="preserve">PROMOTION DE LA RIPOSTE CONTINENTALE AU CHANGEMENT CLIMATIQUE </w:t>
      </w:r>
      <w:r w:rsidR="00E660A6" w:rsidRPr="0026653F">
        <w:rPr>
          <w:szCs w:val="22"/>
          <w:lang w:val="fr-FR"/>
        </w:rPr>
        <w:br/>
      </w:r>
      <w:r w:rsidR="009713D0" w:rsidRPr="0026653F">
        <w:rPr>
          <w:szCs w:val="22"/>
          <w:lang w:val="fr-FR"/>
        </w:rPr>
        <w:t xml:space="preserve">DANS </w:t>
      </w:r>
      <w:r w:rsidR="009713D0" w:rsidRPr="0026653F">
        <w:rPr>
          <w:color w:val="000000"/>
          <w:szCs w:val="22"/>
          <w:lang w:val="fr-FR"/>
        </w:rPr>
        <w:t>LE</w:t>
      </w:r>
      <w:r w:rsidR="009713D0" w:rsidRPr="0026653F">
        <w:rPr>
          <w:szCs w:val="22"/>
          <w:lang w:val="fr-FR"/>
        </w:rPr>
        <w:t xml:space="preserve"> CONTEXTE DE </w:t>
      </w:r>
      <w:r w:rsidR="009713D0" w:rsidRPr="0026653F">
        <w:rPr>
          <w:color w:val="000000"/>
          <w:szCs w:val="22"/>
          <w:lang w:val="fr-FR"/>
        </w:rPr>
        <w:t>LA PANDÉMIE DE COVID-19</w:t>
      </w:r>
      <w:r w:rsidR="009713D0" w:rsidRPr="0026653F">
        <w:rPr>
          <w:szCs w:val="22"/>
          <w:u w:val="single"/>
          <w:vertAlign w:val="superscript"/>
          <w:lang w:val="fr-FR"/>
        </w:rPr>
        <w:footnoteReference w:id="33"/>
      </w:r>
      <w:r w:rsidR="009713D0" w:rsidRPr="0026653F">
        <w:rPr>
          <w:color w:val="000000"/>
          <w:szCs w:val="22"/>
          <w:vertAlign w:val="superscript"/>
          <w:lang w:val="fr-FR"/>
        </w:rPr>
        <w:t>/</w:t>
      </w:r>
      <w:r w:rsidR="009713D0" w:rsidRPr="0026653F">
        <w:rPr>
          <w:szCs w:val="22"/>
          <w:u w:val="single"/>
          <w:vertAlign w:val="superscript"/>
          <w:lang w:val="fr-FR"/>
        </w:rPr>
        <w:footnoteReference w:id="34"/>
      </w:r>
      <w:r w:rsidR="009713D0" w:rsidRPr="0026653F">
        <w:rPr>
          <w:szCs w:val="22"/>
          <w:vertAlign w:val="superscript"/>
          <w:lang w:val="fr-FR"/>
        </w:rPr>
        <w:t>/</w:t>
      </w:r>
      <w:r w:rsidR="000A0B9C" w:rsidRPr="0026653F">
        <w:rPr>
          <w:rStyle w:val="FootnoteReference"/>
          <w:szCs w:val="22"/>
          <w:u w:val="single"/>
          <w:vertAlign w:val="superscript"/>
          <w:lang w:val="fr-FR"/>
        </w:rPr>
        <w:footnoteReference w:id="35"/>
      </w:r>
      <w:r w:rsidR="000A0B9C" w:rsidRPr="0026653F">
        <w:rPr>
          <w:szCs w:val="22"/>
          <w:vertAlign w:val="superscript"/>
          <w:lang w:val="fr-FR"/>
        </w:rPr>
        <w:t>/</w:t>
      </w:r>
      <w:bookmarkEnd w:id="16"/>
    </w:p>
    <w:p w14:paraId="7E9B5DC5" w14:textId="77777777" w:rsidR="009713D0" w:rsidRPr="0026653F" w:rsidRDefault="009713D0" w:rsidP="00C618DD">
      <w:pPr>
        <w:rPr>
          <w:bCs/>
          <w:szCs w:val="22"/>
          <w:lang w:val="fr-FR"/>
        </w:rPr>
      </w:pPr>
    </w:p>
    <w:p w14:paraId="29695151" w14:textId="5BEE4436" w:rsidR="009713D0" w:rsidRPr="0026653F" w:rsidRDefault="009713D0" w:rsidP="00C618DD">
      <w:pPr>
        <w:jc w:val="center"/>
        <w:rPr>
          <w:color w:val="000000"/>
          <w:szCs w:val="22"/>
          <w:lang w:val="fr-FR"/>
        </w:rPr>
      </w:pPr>
      <w:r w:rsidRPr="0026653F">
        <w:rPr>
          <w:szCs w:val="22"/>
          <w:lang w:val="fr-FR"/>
        </w:rPr>
        <w:t>(Résolution adoptée à la première séance plénière, le 20 octobre 2020)</w:t>
      </w:r>
    </w:p>
    <w:p w14:paraId="486168EA" w14:textId="77777777" w:rsidR="009713D0" w:rsidRPr="0026653F" w:rsidRDefault="009713D0" w:rsidP="00C618DD">
      <w:pPr>
        <w:rPr>
          <w:szCs w:val="22"/>
          <w:lang w:val="fr-FR"/>
        </w:rPr>
      </w:pPr>
    </w:p>
    <w:p w14:paraId="5C02C6B4" w14:textId="77777777" w:rsidR="009713D0" w:rsidRPr="0026653F" w:rsidRDefault="009713D0" w:rsidP="00C618DD">
      <w:pPr>
        <w:rPr>
          <w:szCs w:val="22"/>
          <w:lang w:val="fr-FR"/>
        </w:rPr>
      </w:pPr>
    </w:p>
    <w:p w14:paraId="718DBE3B" w14:textId="77777777" w:rsidR="009713D0" w:rsidRPr="0026653F" w:rsidRDefault="009713D0" w:rsidP="00C618DD">
      <w:pPr>
        <w:rPr>
          <w:szCs w:val="22"/>
          <w:lang w:val="fr-FR"/>
        </w:rPr>
      </w:pPr>
      <w:r w:rsidRPr="0026653F">
        <w:rPr>
          <w:color w:val="000000"/>
          <w:szCs w:val="22"/>
          <w:lang w:val="fr-FR"/>
        </w:rPr>
        <w:tab/>
        <w:t>L’ASSEMBLÉE GÉNÉRALE,</w:t>
      </w:r>
    </w:p>
    <w:p w14:paraId="65C7CB47" w14:textId="77777777" w:rsidR="009713D0" w:rsidRPr="0026653F" w:rsidRDefault="009713D0" w:rsidP="00C618DD">
      <w:pPr>
        <w:rPr>
          <w:szCs w:val="22"/>
          <w:lang w:val="fr-FR"/>
        </w:rPr>
      </w:pPr>
    </w:p>
    <w:p w14:paraId="3CCE47B9" w14:textId="5EBBACDF" w:rsidR="009713D0" w:rsidRPr="0026653F" w:rsidRDefault="009713D0" w:rsidP="00C618DD">
      <w:pPr>
        <w:shd w:val="clear" w:color="auto" w:fill="FFFFFF"/>
        <w:ind w:firstLine="720"/>
        <w:rPr>
          <w:szCs w:val="22"/>
          <w:lang w:val="fr-FR"/>
        </w:rPr>
      </w:pPr>
      <w:r w:rsidRPr="0026653F">
        <w:rPr>
          <w:color w:val="000000"/>
          <w:szCs w:val="22"/>
          <w:lang w:val="fr-FR"/>
        </w:rPr>
        <w:t>EXPRIMANT sa solidarité avec les peuples et les gouvernements des Amériques alors qu’ils sont confrontés aux effets humains, sociaux et économiques de la pandémie de COVID-19, lesquels se font notamment ressentir par la perte de moyens de subsistance, des pertes disproportionnées en vies humaines et des incidences au sein des populations vulnérables ainsi qu’un recul du PIB estimé à plus de 9</w:t>
      </w:r>
      <w:r w:rsidR="00550281" w:rsidRPr="0026653F">
        <w:rPr>
          <w:color w:val="000000"/>
          <w:szCs w:val="22"/>
          <w:lang w:val="fr-FR"/>
        </w:rPr>
        <w:t> </w:t>
      </w:r>
      <w:r w:rsidRPr="0026653F">
        <w:rPr>
          <w:color w:val="000000"/>
          <w:szCs w:val="22"/>
          <w:lang w:val="fr-FR"/>
        </w:rPr>
        <w:t>% pour l’ensemble de l’Amérique latine et des Caraïbes,</w:t>
      </w:r>
    </w:p>
    <w:p w14:paraId="50A25162" w14:textId="77777777" w:rsidR="009713D0" w:rsidRPr="0026653F" w:rsidRDefault="009713D0" w:rsidP="00C618DD">
      <w:pPr>
        <w:shd w:val="clear" w:color="auto" w:fill="FFFFFF"/>
        <w:jc w:val="left"/>
        <w:rPr>
          <w:szCs w:val="22"/>
          <w:lang w:val="fr-FR"/>
        </w:rPr>
      </w:pPr>
    </w:p>
    <w:p w14:paraId="7E18F9E2" w14:textId="77777777" w:rsidR="009713D0" w:rsidRPr="0026653F" w:rsidRDefault="009713D0" w:rsidP="00C618DD">
      <w:pPr>
        <w:rPr>
          <w:szCs w:val="22"/>
          <w:lang w:val="fr-FR"/>
        </w:rPr>
      </w:pPr>
      <w:r w:rsidRPr="0026653F">
        <w:rPr>
          <w:szCs w:val="22"/>
          <w:lang w:val="fr-FR"/>
        </w:rPr>
        <w:tab/>
        <w:t>RECONNAISSANT que le relèvement du continent américain face aux effets de la pandémie de COVID-19 réclame une coopération multilatérale renforcée pour répondre aux besoins de financement et pour développer une résilience aux chocs à venir en vue d’un relèvement durable, et qu’il nécessite des mesures de politique inclusives et soucieuses de la parité hommes-femmes pour stimuler une croissance économique renouvelée,</w:t>
      </w:r>
    </w:p>
    <w:p w14:paraId="1F3758C7" w14:textId="77777777" w:rsidR="009713D0" w:rsidRPr="0026653F" w:rsidRDefault="009713D0" w:rsidP="00C618DD">
      <w:pPr>
        <w:jc w:val="left"/>
        <w:rPr>
          <w:szCs w:val="22"/>
          <w:lang w:val="fr-FR"/>
        </w:rPr>
      </w:pPr>
    </w:p>
    <w:p w14:paraId="29557F92" w14:textId="77777777" w:rsidR="009713D0" w:rsidRPr="0026653F" w:rsidRDefault="009713D0" w:rsidP="00C618DD">
      <w:pPr>
        <w:ind w:firstLine="720"/>
        <w:rPr>
          <w:szCs w:val="22"/>
          <w:lang w:val="fr-FR"/>
        </w:rPr>
      </w:pPr>
      <w:r w:rsidRPr="0026653F">
        <w:rPr>
          <w:szCs w:val="22"/>
          <w:lang w:val="fr-FR"/>
        </w:rPr>
        <w:t>RECONNAISSANT ÉGALEMENT les défis et le temps perdu en raison de la COVID-19 en 2020, qui marque le début de la Décennie d’action pour la réalisation des objectifs de développement durable,</w:t>
      </w:r>
    </w:p>
    <w:p w14:paraId="500BBD22" w14:textId="77777777" w:rsidR="009713D0" w:rsidRPr="0026653F" w:rsidRDefault="009713D0" w:rsidP="00C618DD">
      <w:pPr>
        <w:contextualSpacing/>
        <w:jc w:val="left"/>
        <w:rPr>
          <w:szCs w:val="22"/>
          <w:lang w:val="fr-FR"/>
        </w:rPr>
      </w:pPr>
    </w:p>
    <w:p w14:paraId="6D63AAEC" w14:textId="77777777" w:rsidR="009713D0" w:rsidRPr="0026653F" w:rsidRDefault="009713D0" w:rsidP="00C618DD">
      <w:pPr>
        <w:ind w:firstLine="720"/>
        <w:rPr>
          <w:szCs w:val="22"/>
          <w:lang w:val="fr-FR"/>
        </w:rPr>
      </w:pPr>
      <w:r w:rsidRPr="0026653F">
        <w:rPr>
          <w:szCs w:val="22"/>
          <w:lang w:val="fr-FR"/>
        </w:rPr>
        <w:t>RECONNAISSANT EN OUTRE le rôle essentiel que les femmes jouent dans les efforts de réponse à la COVID-19, et la nécessité pour les États membres d’assurer une participation pleine, égale et significative des femmes à la prise de décisions, ainsi qu’un accès égal au leadership et à la représentation dans toutes les sphères de la société, comme base d’une réponse efficace,</w:t>
      </w:r>
    </w:p>
    <w:p w14:paraId="23A11D51" w14:textId="77777777" w:rsidR="009713D0" w:rsidRPr="0026653F" w:rsidRDefault="009713D0" w:rsidP="00C618DD">
      <w:pPr>
        <w:rPr>
          <w:color w:val="000000"/>
          <w:szCs w:val="22"/>
          <w:lang w:val="fr-FR"/>
        </w:rPr>
      </w:pPr>
    </w:p>
    <w:p w14:paraId="76EE7062" w14:textId="60E3DE5F" w:rsidR="009713D0" w:rsidRPr="0026653F" w:rsidRDefault="009713D0" w:rsidP="00C618DD">
      <w:pPr>
        <w:ind w:firstLine="720"/>
        <w:rPr>
          <w:color w:val="000000"/>
          <w:szCs w:val="22"/>
          <w:lang w:val="fr-FR"/>
        </w:rPr>
      </w:pPr>
      <w:r w:rsidRPr="0026653F">
        <w:rPr>
          <w:color w:val="000000"/>
          <w:szCs w:val="22"/>
          <w:lang w:val="fr-FR"/>
        </w:rPr>
        <w:t xml:space="preserve">CONSCIENTE que la région des Amériques </w:t>
      </w:r>
      <w:r w:rsidRPr="0026653F">
        <w:rPr>
          <w:szCs w:val="22"/>
          <w:lang w:val="fr-FR"/>
        </w:rPr>
        <w:t xml:space="preserve">est l’une des </w:t>
      </w:r>
      <w:r w:rsidRPr="0026653F">
        <w:rPr>
          <w:color w:val="000000"/>
          <w:szCs w:val="22"/>
          <w:lang w:val="fr-FR"/>
        </w:rPr>
        <w:t>plus exposées aux catastrophes dans le monde, des événements tels que les inondations, la sécheresse, les températures extrêmes</w:t>
      </w:r>
      <w:r w:rsidRPr="0026653F">
        <w:rPr>
          <w:szCs w:val="22"/>
          <w:lang w:val="fr-FR"/>
        </w:rPr>
        <w:t>, les incendies de forêt et les</w:t>
      </w:r>
      <w:r w:rsidRPr="0026653F">
        <w:rPr>
          <w:color w:val="000000"/>
          <w:szCs w:val="22"/>
          <w:lang w:val="fr-FR"/>
        </w:rPr>
        <w:t xml:space="preserve"> grands ouragans ayant de graves conséquences sur les moyens de subsistance, les infrastructures, les économies</w:t>
      </w:r>
      <w:r w:rsidRPr="0026653F">
        <w:rPr>
          <w:szCs w:val="22"/>
          <w:lang w:val="fr-FR"/>
        </w:rPr>
        <w:t>, les systèmes de santé et les zones côtières</w:t>
      </w:r>
      <w:r w:rsidRPr="0026653F">
        <w:rPr>
          <w:b/>
          <w:szCs w:val="22"/>
          <w:lang w:val="fr-FR"/>
        </w:rPr>
        <w:t xml:space="preserve"> </w:t>
      </w:r>
      <w:r w:rsidRPr="0026653F">
        <w:rPr>
          <w:szCs w:val="22"/>
          <w:lang w:val="fr-FR"/>
        </w:rPr>
        <w:t>dans les pays du continent,</w:t>
      </w:r>
    </w:p>
    <w:p w14:paraId="345A5624" w14:textId="77777777" w:rsidR="009713D0" w:rsidRPr="0026653F" w:rsidRDefault="009713D0" w:rsidP="00C618DD">
      <w:pPr>
        <w:rPr>
          <w:szCs w:val="22"/>
          <w:lang w:val="fr-FR"/>
        </w:rPr>
      </w:pPr>
    </w:p>
    <w:p w14:paraId="08A76458" w14:textId="728B37AE" w:rsidR="009713D0" w:rsidRPr="0026653F" w:rsidRDefault="009713D0" w:rsidP="00C618DD">
      <w:pPr>
        <w:ind w:firstLine="720"/>
        <w:rPr>
          <w:szCs w:val="22"/>
          <w:lang w:val="fr-FR"/>
        </w:rPr>
      </w:pPr>
      <w:r w:rsidRPr="0026653F">
        <w:rPr>
          <w:color w:val="000000"/>
          <w:szCs w:val="22"/>
          <w:lang w:val="fr-FR"/>
        </w:rPr>
        <w:t>PRÉOCCUPÉE par les incidences accrues des conditions météorologiques et climatiques en Amérique du Nord, lesquelles en 2019 ont représenté des pertes économiques de 45</w:t>
      </w:r>
      <w:r w:rsidR="00DE1E35" w:rsidRPr="0026653F">
        <w:rPr>
          <w:color w:val="000000"/>
          <w:szCs w:val="22"/>
          <w:lang w:val="fr-FR"/>
        </w:rPr>
        <w:t> </w:t>
      </w:r>
      <w:r w:rsidRPr="0026653F">
        <w:rPr>
          <w:color w:val="000000"/>
          <w:szCs w:val="22"/>
          <w:lang w:val="fr-FR"/>
        </w:rPr>
        <w:t>milliards de dollars uniquement aux États-Unis ainsi que des pertes annuelles estimées à un montant compris entre 21 et 43 milliards de dollars au Canada d’ici 2050,</w:t>
      </w:r>
    </w:p>
    <w:p w14:paraId="18C13F77" w14:textId="77777777" w:rsidR="009713D0" w:rsidRPr="0026653F" w:rsidRDefault="009713D0" w:rsidP="00C618DD">
      <w:pPr>
        <w:contextualSpacing/>
        <w:jc w:val="left"/>
        <w:rPr>
          <w:szCs w:val="22"/>
          <w:lang w:val="fr-FR"/>
        </w:rPr>
      </w:pPr>
    </w:p>
    <w:p w14:paraId="48AC743F" w14:textId="20D6C9EA" w:rsidR="009713D0" w:rsidRPr="00350E3A" w:rsidRDefault="009713D0" w:rsidP="00C618DD">
      <w:pPr>
        <w:ind w:firstLine="720"/>
        <w:rPr>
          <w:iCs/>
          <w:szCs w:val="22"/>
          <w:lang w:val="fr-FR"/>
        </w:rPr>
      </w:pPr>
      <w:r w:rsidRPr="0026653F">
        <w:rPr>
          <w:szCs w:val="22"/>
          <w:lang w:val="fr-FR"/>
        </w:rPr>
        <w:lastRenderedPageBreak/>
        <w:t xml:space="preserve">CONSCIENTE de la vulnérabilité du continent américain au changement climatique et aux catastrophes naturelles, qui représentent déjà une menace urgente aux effets potentiellement irréversibles sur les populations et la planète, et soulignant la nécessité de veiller à ce que les réponses d’urgence à la crise COVID-19 ne fassent pas </w:t>
      </w:r>
      <w:r w:rsidR="00DE1E35" w:rsidRPr="0026653F">
        <w:rPr>
          <w:szCs w:val="22"/>
          <w:lang w:val="fr-FR"/>
        </w:rPr>
        <w:t xml:space="preserve">échouer </w:t>
      </w:r>
      <w:r w:rsidRPr="0026653F">
        <w:rPr>
          <w:szCs w:val="22"/>
          <w:lang w:val="fr-FR"/>
        </w:rPr>
        <w:t>et ne mettent pas en péril les efforts déployés par les Amériques pour relever les défis climatiques urgents, tout en considérant le potentiel des approches écosystémiques et des solutions fondées sur la nature</w:t>
      </w:r>
      <w:r w:rsidRPr="0026653F">
        <w:rPr>
          <w:szCs w:val="22"/>
          <w:u w:val="single"/>
          <w:vertAlign w:val="superscript"/>
          <w:lang w:val="fr-FR"/>
        </w:rPr>
        <w:footnoteReference w:id="36"/>
      </w:r>
      <w:r w:rsidRPr="0026653F">
        <w:rPr>
          <w:szCs w:val="22"/>
          <w:vertAlign w:val="superscript"/>
          <w:lang w:val="fr-FR"/>
        </w:rPr>
        <w:t>/</w:t>
      </w:r>
      <w:r w:rsidRPr="0026653F">
        <w:rPr>
          <w:szCs w:val="22"/>
          <w:lang w:val="fr-FR"/>
        </w:rPr>
        <w:t xml:space="preserve"> pour faire face au changement climatique et améliorer la santé environnementale et la résilience des sociétés qui y vivent,</w:t>
      </w:r>
    </w:p>
    <w:p w14:paraId="1AF481AF" w14:textId="77777777" w:rsidR="009713D0" w:rsidRPr="0026653F" w:rsidRDefault="009713D0" w:rsidP="00C618DD">
      <w:pPr>
        <w:contextualSpacing/>
        <w:jc w:val="left"/>
        <w:rPr>
          <w:iCs/>
          <w:szCs w:val="22"/>
          <w:lang w:val="fr-FR"/>
        </w:rPr>
      </w:pPr>
    </w:p>
    <w:p w14:paraId="311FE686" w14:textId="6B0CE2F5" w:rsidR="009713D0" w:rsidRPr="0026653F" w:rsidRDefault="009713D0" w:rsidP="00C618DD">
      <w:pPr>
        <w:ind w:firstLine="720"/>
        <w:rPr>
          <w:szCs w:val="22"/>
          <w:lang w:val="fr-FR"/>
        </w:rPr>
      </w:pPr>
      <w:r w:rsidRPr="0026653F">
        <w:rPr>
          <w:szCs w:val="22"/>
          <w:lang w:val="fr-FR"/>
        </w:rPr>
        <w:t>NOTANT que les investissements publics dans le développement de la résilience, l’adaptation aux changements climatiques et l’atténuation de ceux-ci offrent de nouvelles possibilités de croissance pour les économies des Amériques, y compris à partir des investissements étrangers, tout en rendant les moyens de subsistance plus résilients aux chocs futurs,</w:t>
      </w:r>
    </w:p>
    <w:p w14:paraId="2FDB7541" w14:textId="77777777" w:rsidR="009713D0" w:rsidRPr="0026653F" w:rsidRDefault="009713D0" w:rsidP="00C618DD">
      <w:pPr>
        <w:rPr>
          <w:szCs w:val="22"/>
          <w:lang w:val="fr-FR"/>
        </w:rPr>
      </w:pPr>
    </w:p>
    <w:p w14:paraId="112DF889" w14:textId="686BBFBF" w:rsidR="009713D0" w:rsidRPr="0026653F" w:rsidRDefault="009713D0" w:rsidP="00C618DD">
      <w:pPr>
        <w:ind w:firstLine="720"/>
        <w:rPr>
          <w:szCs w:val="22"/>
          <w:lang w:val="fr-FR"/>
        </w:rPr>
      </w:pPr>
      <w:r w:rsidRPr="0026653F">
        <w:rPr>
          <w:color w:val="000000"/>
          <w:szCs w:val="22"/>
          <w:lang w:val="fr-FR"/>
        </w:rPr>
        <w:t xml:space="preserve">NOTANT ÉGALEMENT l’émergence d’une recherche sur de nouveaux instruments tels que les conversions de créances pour le climat pour compléter les instruments de dette conditionnelle, les obligations vertes et bleues et les clauses relatives aux catastrophes naturelles dans les accords de prêt multilatéraux, en particulier, mais sans s’y limiter, pour </w:t>
      </w:r>
      <w:r w:rsidR="00EC5984" w:rsidRPr="0026653F">
        <w:rPr>
          <w:color w:val="000000"/>
          <w:szCs w:val="22"/>
          <w:lang w:val="fr-FR"/>
        </w:rPr>
        <w:t xml:space="preserve">les petits </w:t>
      </w:r>
      <w:r w:rsidR="00EC5984" w:rsidRPr="0026653F">
        <w:rPr>
          <w:bCs/>
          <w:color w:val="000000"/>
          <w:szCs w:val="22"/>
          <w:lang w:val="fr-FR"/>
        </w:rPr>
        <w:t xml:space="preserve">États insulaires </w:t>
      </w:r>
      <w:r w:rsidR="000A003C" w:rsidRPr="0026653F">
        <w:rPr>
          <w:bCs/>
          <w:color w:val="000000"/>
          <w:szCs w:val="22"/>
          <w:lang w:val="fr-FR"/>
        </w:rPr>
        <w:t>à littoral</w:t>
      </w:r>
      <w:r w:rsidR="002D5C87" w:rsidRPr="0026653F">
        <w:rPr>
          <w:bCs/>
          <w:color w:val="000000"/>
          <w:szCs w:val="22"/>
          <w:lang w:val="fr-FR"/>
        </w:rPr>
        <w:t xml:space="preserve"> de </w:t>
      </w:r>
      <w:r w:rsidR="00EC5984" w:rsidRPr="0026653F">
        <w:rPr>
          <w:bCs/>
          <w:color w:val="000000"/>
          <w:szCs w:val="22"/>
          <w:lang w:val="fr-FR"/>
        </w:rPr>
        <w:t xml:space="preserve">faible altitude </w:t>
      </w:r>
      <w:r w:rsidRPr="0026653F">
        <w:rPr>
          <w:color w:val="000000"/>
          <w:szCs w:val="22"/>
          <w:lang w:val="fr-FR"/>
        </w:rPr>
        <w:t>des Amérique</w:t>
      </w:r>
      <w:r w:rsidR="00EC5984" w:rsidRPr="0026653F">
        <w:rPr>
          <w:color w:val="000000"/>
          <w:szCs w:val="22"/>
          <w:lang w:val="fr-FR"/>
        </w:rPr>
        <w:t>s</w:t>
      </w:r>
      <w:r w:rsidR="002D5C87" w:rsidRPr="0026653F">
        <w:rPr>
          <w:color w:val="000000"/>
          <w:szCs w:val="22"/>
          <w:lang w:val="fr-FR"/>
        </w:rPr>
        <w:t>,</w:t>
      </w:r>
    </w:p>
    <w:p w14:paraId="2BA462E8" w14:textId="77777777" w:rsidR="009713D0" w:rsidRPr="0026653F" w:rsidRDefault="009713D0" w:rsidP="00C618DD">
      <w:pPr>
        <w:contextualSpacing/>
        <w:jc w:val="left"/>
        <w:rPr>
          <w:szCs w:val="22"/>
          <w:lang w:val="fr-FR"/>
        </w:rPr>
      </w:pPr>
    </w:p>
    <w:p w14:paraId="5C732E87" w14:textId="08A7EE36" w:rsidR="009713D0" w:rsidRPr="0026653F" w:rsidRDefault="009713D0" w:rsidP="00C618DD">
      <w:pPr>
        <w:ind w:firstLine="720"/>
        <w:rPr>
          <w:szCs w:val="22"/>
          <w:lang w:val="fr-FR"/>
        </w:rPr>
      </w:pPr>
      <w:r w:rsidRPr="0026653F">
        <w:rPr>
          <w:szCs w:val="22"/>
          <w:lang w:val="fr-FR"/>
        </w:rPr>
        <w:t xml:space="preserve">RAPPELANT l’adoption et l’entrée en vigueur de l’Accord de Paris, dans le </w:t>
      </w:r>
      <w:r w:rsidR="000A003C" w:rsidRPr="0026653F">
        <w:rPr>
          <w:szCs w:val="22"/>
          <w:lang w:val="fr-FR"/>
        </w:rPr>
        <w:t>contexte</w:t>
      </w:r>
      <w:r w:rsidRPr="0026653F">
        <w:rPr>
          <w:szCs w:val="22"/>
          <w:lang w:val="fr-FR"/>
        </w:rPr>
        <w:t xml:space="preserve"> de la </w:t>
      </w:r>
      <w:r w:rsidR="00506682" w:rsidRPr="0026653F">
        <w:rPr>
          <w:szCs w:val="22"/>
          <w:lang w:val="fr-FR"/>
        </w:rPr>
        <w:t>Convention-cadre des Nations Unies sur les changements climatiques (CCNUCC)</w:t>
      </w:r>
      <w:r w:rsidRPr="0026653F">
        <w:rPr>
          <w:szCs w:val="22"/>
          <w:lang w:val="fr-FR"/>
        </w:rPr>
        <w:t>, et les ambitions des États parties à l’accord en matière d’atténuation et d’adaptation au climat par le biais de leurs contributions déterminées au niveau national (CDN), ainsi que ses dispositions relatives aux efforts d’atténuation et d’adaptation des pays en développement parties et au soutien de ces efforts, compte tenu du processus continu d’élaboration de CDN nouvelles ou actualisées pour fournir des objectifs d’atténuation plus ambitieux, et de la nécessité de rendre la planification de l’adaptation plus solide pour la réalisation du développement durable,</w:t>
      </w:r>
    </w:p>
    <w:p w14:paraId="49CCDF7D" w14:textId="77777777" w:rsidR="009713D0" w:rsidRPr="0026653F" w:rsidRDefault="009713D0" w:rsidP="00C618DD">
      <w:pPr>
        <w:contextualSpacing/>
        <w:jc w:val="left"/>
        <w:rPr>
          <w:szCs w:val="22"/>
          <w:lang w:val="fr-FR"/>
        </w:rPr>
      </w:pPr>
    </w:p>
    <w:p w14:paraId="53A68E35" w14:textId="2D6A4FB5" w:rsidR="009713D0" w:rsidRPr="0026653F" w:rsidRDefault="009713D0" w:rsidP="00C618DD">
      <w:pPr>
        <w:ind w:firstLine="720"/>
        <w:rPr>
          <w:szCs w:val="22"/>
          <w:lang w:val="fr-FR"/>
        </w:rPr>
      </w:pPr>
      <w:r w:rsidRPr="0026653F">
        <w:rPr>
          <w:szCs w:val="22"/>
          <w:lang w:val="fr-FR"/>
        </w:rPr>
        <w:t xml:space="preserve">PRENANT NOTE des travaux du Conseil interaméricain pour le développement intégré, de la Commission sur la sécurité continentale et de l’Organisation interaméricaine de défense visant à traiter les effets multisectoriels du </w:t>
      </w:r>
      <w:r w:rsidRPr="0026653F">
        <w:rPr>
          <w:color w:val="000000"/>
          <w:szCs w:val="22"/>
          <w:lang w:val="fr-FR"/>
        </w:rPr>
        <w:t xml:space="preserve">changement </w:t>
      </w:r>
      <w:r w:rsidRPr="0026653F">
        <w:rPr>
          <w:szCs w:val="22"/>
          <w:lang w:val="fr-FR"/>
        </w:rPr>
        <w:t>climatique,</w:t>
      </w:r>
    </w:p>
    <w:p w14:paraId="37AA7241" w14:textId="77777777" w:rsidR="009713D0" w:rsidRPr="0026653F" w:rsidRDefault="009713D0" w:rsidP="00C618DD">
      <w:pPr>
        <w:contextualSpacing/>
        <w:jc w:val="left"/>
        <w:rPr>
          <w:szCs w:val="22"/>
          <w:lang w:val="fr-FR"/>
        </w:rPr>
      </w:pPr>
    </w:p>
    <w:p w14:paraId="20EDE9C7" w14:textId="3A119CC1" w:rsidR="009713D0" w:rsidRPr="0026653F" w:rsidRDefault="009713D0" w:rsidP="00C618DD">
      <w:pPr>
        <w:ind w:firstLine="720"/>
        <w:rPr>
          <w:i/>
          <w:szCs w:val="22"/>
          <w:lang w:val="fr-FR"/>
        </w:rPr>
      </w:pPr>
      <w:r w:rsidRPr="0026653F">
        <w:rPr>
          <w:szCs w:val="22"/>
          <w:lang w:val="fr-FR"/>
        </w:rPr>
        <w:t xml:space="preserve">SOULIGNANT le rôle du Costa Rica en tant qu’hôte de la </w:t>
      </w:r>
      <w:r w:rsidR="00506682" w:rsidRPr="0026653F">
        <w:rPr>
          <w:szCs w:val="22"/>
          <w:lang w:val="fr-FR"/>
        </w:rPr>
        <w:t>Réunion préparatoire de la vingt-cinquième Conférence des Parties à la C</w:t>
      </w:r>
      <w:r w:rsidR="000A003C" w:rsidRPr="0026653F">
        <w:rPr>
          <w:szCs w:val="22"/>
          <w:lang w:val="fr-FR"/>
        </w:rPr>
        <w:t>CNUCC</w:t>
      </w:r>
      <w:r w:rsidRPr="0026653F">
        <w:rPr>
          <w:szCs w:val="22"/>
          <w:lang w:val="fr-FR"/>
        </w:rPr>
        <w:t>, et du Chili en tant que présiden</w:t>
      </w:r>
      <w:r w:rsidR="00690231" w:rsidRPr="0026653F">
        <w:rPr>
          <w:szCs w:val="22"/>
          <w:lang w:val="fr-FR"/>
        </w:rPr>
        <w:t>t</w:t>
      </w:r>
      <w:r w:rsidRPr="0026653F">
        <w:rPr>
          <w:szCs w:val="22"/>
          <w:lang w:val="fr-FR"/>
        </w:rPr>
        <w:t xml:space="preserve"> de la </w:t>
      </w:r>
      <w:r w:rsidR="00506682" w:rsidRPr="0026653F">
        <w:rPr>
          <w:szCs w:val="22"/>
          <w:lang w:val="fr-FR"/>
        </w:rPr>
        <w:t>vingt-</w:t>
      </w:r>
      <w:r w:rsidR="00690231" w:rsidRPr="0026653F">
        <w:rPr>
          <w:szCs w:val="22"/>
          <w:lang w:val="fr-FR"/>
        </w:rPr>
        <w:t xml:space="preserve">cinquième Conférence des Parties à la </w:t>
      </w:r>
      <w:r w:rsidRPr="0026653F">
        <w:rPr>
          <w:szCs w:val="22"/>
          <w:lang w:val="fr-FR"/>
        </w:rPr>
        <w:t>CCNUCC, et exprimant sa reconnaissance pour leurs efforts et leur leadership dans la promotion d’un programme climatique ambitieux,</w:t>
      </w:r>
    </w:p>
    <w:p w14:paraId="622E39AD" w14:textId="77777777" w:rsidR="009713D0" w:rsidRPr="0026653F" w:rsidRDefault="009713D0" w:rsidP="00C618DD">
      <w:pPr>
        <w:contextualSpacing/>
        <w:jc w:val="left"/>
        <w:rPr>
          <w:iCs/>
          <w:szCs w:val="22"/>
          <w:lang w:val="fr-FR"/>
        </w:rPr>
      </w:pPr>
    </w:p>
    <w:p w14:paraId="22679F81" w14:textId="62808E2C" w:rsidR="009713D0" w:rsidRPr="0026653F" w:rsidRDefault="009713D0" w:rsidP="00C618DD">
      <w:pPr>
        <w:ind w:firstLine="720"/>
        <w:rPr>
          <w:szCs w:val="22"/>
          <w:lang w:val="fr-FR"/>
        </w:rPr>
      </w:pPr>
      <w:r w:rsidRPr="0026653F">
        <w:rPr>
          <w:szCs w:val="22"/>
          <w:lang w:val="fr-FR"/>
        </w:rPr>
        <w:t xml:space="preserve">TENANT COMPTE de la </w:t>
      </w:r>
      <w:r w:rsidR="00690231" w:rsidRPr="0026653F">
        <w:rPr>
          <w:szCs w:val="22"/>
          <w:lang w:val="fr-FR"/>
        </w:rPr>
        <w:t xml:space="preserve">vingt-sixième Conférence des Parties à la </w:t>
      </w:r>
      <w:r w:rsidRPr="0026653F">
        <w:rPr>
          <w:szCs w:val="22"/>
          <w:lang w:val="fr-FR"/>
        </w:rPr>
        <w:t>CCNUCC qui se tiendra à Glasgow et de l’occasion qu’elle offre aux États membres de l’OEA de souligner les vulnérabilités de la région au changement climatique,</w:t>
      </w:r>
    </w:p>
    <w:p w14:paraId="7C5EE2CA" w14:textId="77777777" w:rsidR="009713D0" w:rsidRPr="0026653F" w:rsidRDefault="009713D0" w:rsidP="00C618DD">
      <w:pPr>
        <w:contextualSpacing/>
        <w:jc w:val="left"/>
        <w:rPr>
          <w:szCs w:val="22"/>
          <w:lang w:val="fr-FR"/>
        </w:rPr>
      </w:pPr>
    </w:p>
    <w:p w14:paraId="5F2F51CC" w14:textId="77777777" w:rsidR="009713D0" w:rsidRPr="0026653F" w:rsidRDefault="009713D0" w:rsidP="00C618DD">
      <w:pPr>
        <w:ind w:firstLine="720"/>
        <w:rPr>
          <w:szCs w:val="22"/>
          <w:lang w:val="fr-FR"/>
        </w:rPr>
      </w:pPr>
      <w:r w:rsidRPr="0026653F">
        <w:rPr>
          <w:szCs w:val="22"/>
          <w:lang w:val="fr-FR"/>
        </w:rPr>
        <w:t xml:space="preserve">RECONNAISSANT que le changement climatique est une préoccupation commune à l’humanité et que, lorsqu’ils prennent des mesures pour faire face au changement climatique, les États devraient respecter, promouvoir et examiner leurs obligations respectives en matière de droits de la personne, de droit de jouir du meilleur état de santé physique et mentale possible, de droits des </w:t>
      </w:r>
      <w:r w:rsidRPr="0026653F">
        <w:rPr>
          <w:szCs w:val="22"/>
          <w:lang w:val="fr-FR"/>
        </w:rPr>
        <w:lastRenderedPageBreak/>
        <w:t>populations autochtones, des communautés locales, des migrants, des enfants, des personnes handicapées et des personnes en situation de vulnérabilité et de droit au développement, ainsi que d’égalité des sexes, d’autonomisation des femmes et d’équité entre les générations,</w:t>
      </w:r>
    </w:p>
    <w:p w14:paraId="3561E709" w14:textId="77777777" w:rsidR="009713D0" w:rsidRPr="0026653F" w:rsidRDefault="009713D0" w:rsidP="00C618DD">
      <w:pPr>
        <w:rPr>
          <w:szCs w:val="22"/>
          <w:lang w:val="fr-FR"/>
        </w:rPr>
      </w:pPr>
    </w:p>
    <w:p w14:paraId="07E91BA4" w14:textId="78DB0965" w:rsidR="009713D0" w:rsidRPr="0026653F" w:rsidRDefault="009713D0" w:rsidP="00C618DD">
      <w:pPr>
        <w:ind w:firstLine="720"/>
        <w:rPr>
          <w:szCs w:val="22"/>
          <w:lang w:val="fr-FR"/>
        </w:rPr>
      </w:pPr>
      <w:r w:rsidRPr="0026653F">
        <w:rPr>
          <w:szCs w:val="22"/>
          <w:lang w:val="fr-FR"/>
        </w:rPr>
        <w:t>EXPRIMANT la préoccupation que, si les implications du changement climatique affectent les individus et les communautés dans le monde entier, les effets défavorables du changement climatique seront ressentis de manière plus aiguë par les secteurs de la population qui sont déjà en situation de vulnérabilité en raison de facteurs tels que la géographie, la pauvreté, le sexe, l’âge, le statut d’autochtone, de personne d’ascendance africaine ou encore d’appartenance à une minorité et de situation de handicap,</w:t>
      </w:r>
    </w:p>
    <w:p w14:paraId="14D60E1D" w14:textId="77777777" w:rsidR="009713D0" w:rsidRPr="0026653F" w:rsidRDefault="009713D0" w:rsidP="00C618DD">
      <w:pPr>
        <w:rPr>
          <w:szCs w:val="22"/>
          <w:lang w:val="fr-FR"/>
        </w:rPr>
      </w:pPr>
    </w:p>
    <w:p w14:paraId="72E83677" w14:textId="0604589D" w:rsidR="009713D0" w:rsidRPr="0026653F" w:rsidRDefault="009713D0" w:rsidP="00C618DD">
      <w:pPr>
        <w:ind w:firstLine="720"/>
        <w:rPr>
          <w:szCs w:val="22"/>
          <w:lang w:val="fr-FR"/>
        </w:rPr>
      </w:pPr>
      <w:r w:rsidRPr="0026653F">
        <w:rPr>
          <w:szCs w:val="22"/>
          <w:lang w:val="fr-FR"/>
        </w:rPr>
        <w:t>RECONNAISSANT la relation intrinsèque existant entre les mesures face au changement climatique, d’une part, et l’accès équitable au développement durable et l’élimination de la pauvreté dans les Amériques, d’autre part, ainsi que la nécessité d’une réponse efficace et progressive à la menace urgente du changement climatique conjointement à la réponse pour le relèvement économique face à la pandémie de COVID-19,</w:t>
      </w:r>
    </w:p>
    <w:p w14:paraId="517E5B74" w14:textId="77777777" w:rsidR="009713D0" w:rsidRPr="0026653F" w:rsidRDefault="009713D0" w:rsidP="00C618DD">
      <w:pPr>
        <w:rPr>
          <w:szCs w:val="22"/>
          <w:lang w:val="fr-FR"/>
        </w:rPr>
      </w:pPr>
    </w:p>
    <w:p w14:paraId="77876474" w14:textId="77777777" w:rsidR="009713D0" w:rsidRPr="0026653F" w:rsidRDefault="009713D0" w:rsidP="00C618DD">
      <w:pPr>
        <w:rPr>
          <w:szCs w:val="22"/>
          <w:lang w:val="fr-FR"/>
        </w:rPr>
      </w:pPr>
      <w:r w:rsidRPr="0026653F">
        <w:rPr>
          <w:color w:val="000000"/>
          <w:szCs w:val="22"/>
          <w:lang w:val="fr-FR"/>
        </w:rPr>
        <w:t>DÉCIDE :</w:t>
      </w:r>
    </w:p>
    <w:p w14:paraId="2025A4E3" w14:textId="77777777" w:rsidR="009713D0" w:rsidRPr="0026653F" w:rsidRDefault="009713D0" w:rsidP="00C618DD">
      <w:pPr>
        <w:rPr>
          <w:color w:val="000000"/>
          <w:szCs w:val="22"/>
          <w:lang w:val="fr-FR"/>
        </w:rPr>
      </w:pPr>
    </w:p>
    <w:p w14:paraId="5F335DEC" w14:textId="7DEB87B8" w:rsidR="009713D0" w:rsidRPr="0026653F" w:rsidRDefault="009713D0" w:rsidP="00C618DD">
      <w:pPr>
        <w:ind w:firstLine="720"/>
        <w:rPr>
          <w:szCs w:val="22"/>
          <w:lang w:val="fr-FR"/>
        </w:rPr>
      </w:pPr>
      <w:r w:rsidRPr="0026653F">
        <w:rPr>
          <w:szCs w:val="22"/>
          <w:lang w:val="fr-FR"/>
        </w:rPr>
        <w:t>1.</w:t>
      </w:r>
      <w:r w:rsidRPr="0026653F">
        <w:rPr>
          <w:szCs w:val="22"/>
          <w:lang w:val="fr-FR"/>
        </w:rPr>
        <w:tab/>
        <w:t xml:space="preserve">D’appeler tous les États membres à prendre des mesures énergiques et intégrées pour prévenir et traiter les effets </w:t>
      </w:r>
      <w:r w:rsidR="008D1A70" w:rsidRPr="0026653F">
        <w:rPr>
          <w:szCs w:val="22"/>
          <w:lang w:val="fr-FR"/>
        </w:rPr>
        <w:t>défavorables</w:t>
      </w:r>
      <w:r w:rsidRPr="0026653F">
        <w:rPr>
          <w:szCs w:val="22"/>
          <w:lang w:val="fr-FR"/>
        </w:rPr>
        <w:t xml:space="preserve"> de la pandémie de COVID-19, stimuler la croissance et renforcer la résilience de leur réponse économique à la pandémie, tout en veillant à ce que les flux </w:t>
      </w:r>
      <w:r w:rsidR="008D1A70" w:rsidRPr="0026653F">
        <w:rPr>
          <w:szCs w:val="22"/>
          <w:lang w:val="fr-FR"/>
        </w:rPr>
        <w:t xml:space="preserve">de financement </w:t>
      </w:r>
      <w:r w:rsidRPr="0026653F">
        <w:rPr>
          <w:szCs w:val="22"/>
          <w:lang w:val="fr-FR"/>
        </w:rPr>
        <w:t>soient compatibles avec un</w:t>
      </w:r>
      <w:r w:rsidR="00CC3416" w:rsidRPr="0026653F">
        <w:rPr>
          <w:szCs w:val="22"/>
          <w:lang w:val="fr-FR"/>
        </w:rPr>
        <w:t>e voie aboutissant à un</w:t>
      </w:r>
      <w:r w:rsidRPr="0026653F">
        <w:rPr>
          <w:szCs w:val="22"/>
          <w:lang w:val="fr-FR"/>
        </w:rPr>
        <w:t xml:space="preserve"> développement à faibles émissions de gaz à effet de serre et à l’épreuve du climat, et en respectant les droits fondamentaux des personnes en situation de vulnérabilité.</w:t>
      </w:r>
    </w:p>
    <w:p w14:paraId="50A70F2F" w14:textId="77777777" w:rsidR="009713D0" w:rsidRPr="0026653F" w:rsidRDefault="009713D0" w:rsidP="00C618DD">
      <w:pPr>
        <w:rPr>
          <w:bCs/>
          <w:szCs w:val="22"/>
          <w:lang w:val="fr-FR"/>
        </w:rPr>
      </w:pPr>
    </w:p>
    <w:p w14:paraId="33FE5FDB" w14:textId="4FC29953" w:rsidR="009713D0" w:rsidRPr="0026653F" w:rsidRDefault="009713D0" w:rsidP="00C618DD">
      <w:pPr>
        <w:ind w:firstLine="720"/>
        <w:rPr>
          <w:szCs w:val="22"/>
          <w:lang w:val="fr-FR"/>
        </w:rPr>
      </w:pPr>
      <w:r w:rsidRPr="0026653F">
        <w:rPr>
          <w:color w:val="000000"/>
          <w:szCs w:val="22"/>
          <w:lang w:val="fr-FR"/>
        </w:rPr>
        <w:t>2.</w:t>
      </w:r>
      <w:r w:rsidRPr="0026653F">
        <w:rPr>
          <w:color w:val="000000"/>
          <w:szCs w:val="22"/>
          <w:lang w:val="fr-FR"/>
        </w:rPr>
        <w:tab/>
        <w:t>D’appeler les États membres de l’</w:t>
      </w:r>
      <w:r w:rsidR="00CC3416" w:rsidRPr="0026653F">
        <w:rPr>
          <w:color w:val="000000"/>
          <w:szCs w:val="22"/>
          <w:lang w:val="fr-FR"/>
        </w:rPr>
        <w:t xml:space="preserve">Organisation des États Américains </w:t>
      </w:r>
      <w:r w:rsidRPr="0026653F">
        <w:rPr>
          <w:color w:val="000000"/>
          <w:szCs w:val="22"/>
          <w:lang w:val="fr-FR"/>
        </w:rPr>
        <w:t>qui</w:t>
      </w:r>
      <w:r w:rsidRPr="0026653F">
        <w:rPr>
          <w:b/>
          <w:color w:val="000000"/>
          <w:szCs w:val="22"/>
          <w:lang w:val="fr-FR"/>
        </w:rPr>
        <w:t xml:space="preserve"> </w:t>
      </w:r>
      <w:r w:rsidRPr="0026653F">
        <w:rPr>
          <w:color w:val="000000"/>
          <w:szCs w:val="22"/>
          <w:lang w:val="fr-FR"/>
        </w:rPr>
        <w:t>sont parties à l’Accord de Paris sur le changement climatique à poursuivre la dynamique de l’action climatique dans les Amériques.</w:t>
      </w:r>
    </w:p>
    <w:p w14:paraId="40B02FF9" w14:textId="77777777" w:rsidR="009713D0" w:rsidRPr="0026653F" w:rsidRDefault="009713D0" w:rsidP="00C618DD">
      <w:pPr>
        <w:rPr>
          <w:i/>
          <w:szCs w:val="22"/>
          <w:lang w:val="fr-FR"/>
        </w:rPr>
      </w:pPr>
    </w:p>
    <w:p w14:paraId="422D2E03" w14:textId="27F17130" w:rsidR="009713D0" w:rsidRPr="0026653F" w:rsidRDefault="009713D0" w:rsidP="00C618DD">
      <w:pPr>
        <w:ind w:firstLine="720"/>
        <w:rPr>
          <w:i/>
          <w:szCs w:val="22"/>
          <w:lang w:val="fr-FR"/>
        </w:rPr>
      </w:pPr>
      <w:r w:rsidRPr="0026653F">
        <w:rPr>
          <w:szCs w:val="22"/>
          <w:lang w:val="fr-FR"/>
        </w:rPr>
        <w:t>3.</w:t>
      </w:r>
      <w:r w:rsidRPr="0026653F">
        <w:rPr>
          <w:szCs w:val="22"/>
          <w:lang w:val="fr-FR"/>
        </w:rPr>
        <w:tab/>
        <w:t xml:space="preserve">D’inviter les États membres, </w:t>
      </w:r>
      <w:r w:rsidR="00CC3416" w:rsidRPr="0026653F">
        <w:rPr>
          <w:szCs w:val="22"/>
          <w:lang w:val="fr-FR"/>
        </w:rPr>
        <w:t>selon qu’</w:t>
      </w:r>
      <w:r w:rsidRPr="0026653F">
        <w:rPr>
          <w:szCs w:val="22"/>
          <w:lang w:val="fr-FR"/>
        </w:rPr>
        <w:t xml:space="preserve">ils le jugent approprié, à </w:t>
      </w:r>
      <w:r w:rsidR="00CC3416" w:rsidRPr="0026653F">
        <w:rPr>
          <w:szCs w:val="22"/>
          <w:lang w:val="fr-FR"/>
        </w:rPr>
        <w:t>tenir des échanges avec l</w:t>
      </w:r>
      <w:r w:rsidRPr="0026653F">
        <w:rPr>
          <w:szCs w:val="22"/>
          <w:lang w:val="fr-FR"/>
        </w:rPr>
        <w:t xml:space="preserve">es observateurs permanents en consultation avec le Secrétariat général, et </w:t>
      </w:r>
      <w:r w:rsidR="00CC3416" w:rsidRPr="0026653F">
        <w:rPr>
          <w:szCs w:val="22"/>
          <w:lang w:val="fr-FR"/>
        </w:rPr>
        <w:t xml:space="preserve">de </w:t>
      </w:r>
      <w:r w:rsidRPr="0026653F">
        <w:rPr>
          <w:szCs w:val="22"/>
          <w:lang w:val="fr-FR"/>
        </w:rPr>
        <w:t>demander au Secrétariat général d’inciter les donateurs à faire progresser et à promouvoir le financement, entre autres, du renforcement des capacités, de l’amélioration du développement technologique et du transfert volontaire à des conditions mutuellement convenues, en tenant compte des besoins exprimés par les États membres, afin d’aider ces États à mettre en œuvre leurs objectifs environnementaux, à explorer le potentiel des approches écosystémiques et des solutions fondées sur la nature pour faire face au changement climatique, ainsi qu’à soutenir leurs réponses sur le plan des politiques nationales pour stimuler la croissance économique.</w:t>
      </w:r>
    </w:p>
    <w:p w14:paraId="5A4AF8AA" w14:textId="77777777" w:rsidR="009713D0" w:rsidRPr="0026653F" w:rsidRDefault="009713D0" w:rsidP="00C618DD">
      <w:pPr>
        <w:rPr>
          <w:i/>
          <w:szCs w:val="22"/>
          <w:lang w:val="fr-FR"/>
        </w:rPr>
      </w:pPr>
    </w:p>
    <w:p w14:paraId="093267DB" w14:textId="2F8793EB" w:rsidR="009713D0" w:rsidRPr="0026653F" w:rsidRDefault="009713D0" w:rsidP="00C618DD">
      <w:pPr>
        <w:suppressAutoHyphens/>
        <w:ind w:firstLine="720"/>
        <w:textAlignment w:val="baseline"/>
        <w:rPr>
          <w:szCs w:val="22"/>
          <w:lang w:val="fr-FR"/>
        </w:rPr>
      </w:pPr>
      <w:r w:rsidRPr="0026653F">
        <w:rPr>
          <w:szCs w:val="22"/>
          <w:lang w:val="fr-FR"/>
        </w:rPr>
        <w:t>4.</w:t>
      </w:r>
      <w:r w:rsidRPr="0026653F">
        <w:rPr>
          <w:szCs w:val="22"/>
          <w:lang w:val="fr-FR"/>
        </w:rPr>
        <w:tab/>
        <w:t xml:space="preserve">De demander au Secrétariat général d’user de ses bons offices pour plaider en faveur de solutions de financement nouvelles et accélérées, et améliorer l’accès aux mécanismes de soutien technique et financier existants, le cas échéant, </w:t>
      </w:r>
      <w:r w:rsidR="00CC3416" w:rsidRPr="0026653F">
        <w:rPr>
          <w:szCs w:val="22"/>
          <w:lang w:val="fr-FR"/>
        </w:rPr>
        <w:t xml:space="preserve">à l’appui de </w:t>
      </w:r>
      <w:r w:rsidRPr="0026653F">
        <w:rPr>
          <w:szCs w:val="22"/>
          <w:lang w:val="fr-FR"/>
        </w:rPr>
        <w:t xml:space="preserve">la riposte continentale aux crises de la pandémie de COVID-19 </w:t>
      </w:r>
      <w:r w:rsidR="008F0064" w:rsidRPr="0026653F">
        <w:rPr>
          <w:szCs w:val="22"/>
          <w:lang w:val="fr-FR"/>
        </w:rPr>
        <w:t>et du</w:t>
      </w:r>
      <w:r w:rsidR="0056300D">
        <w:rPr>
          <w:szCs w:val="22"/>
          <w:lang w:val="fr-FR"/>
        </w:rPr>
        <w:t xml:space="preserve"> </w:t>
      </w:r>
      <w:r w:rsidRPr="0026653F">
        <w:rPr>
          <w:szCs w:val="22"/>
          <w:lang w:val="fr-FR"/>
        </w:rPr>
        <w:t>changement climatique.</w:t>
      </w:r>
    </w:p>
    <w:p w14:paraId="6DC6E4B8" w14:textId="77777777" w:rsidR="009713D0" w:rsidRPr="0026653F" w:rsidRDefault="009713D0" w:rsidP="00C618DD">
      <w:pPr>
        <w:jc w:val="left"/>
        <w:rPr>
          <w:szCs w:val="22"/>
          <w:lang w:val="fr-FR"/>
        </w:rPr>
      </w:pPr>
      <w:r w:rsidRPr="0026653F">
        <w:rPr>
          <w:szCs w:val="22"/>
          <w:lang w:val="fr-FR"/>
        </w:rPr>
        <w:br w:type="page"/>
      </w:r>
    </w:p>
    <w:p w14:paraId="02414E79" w14:textId="77777777" w:rsidR="009713D0" w:rsidRPr="0026653F" w:rsidRDefault="009713D0" w:rsidP="00C618DD">
      <w:pPr>
        <w:jc w:val="center"/>
        <w:rPr>
          <w:sz w:val="20"/>
          <w:lang w:val="fr-FR"/>
        </w:rPr>
      </w:pPr>
      <w:r w:rsidRPr="0026653F">
        <w:rPr>
          <w:sz w:val="20"/>
          <w:lang w:val="fr-FR"/>
        </w:rPr>
        <w:lastRenderedPageBreak/>
        <w:t>NOTES DE BAS DE PAGE</w:t>
      </w:r>
    </w:p>
    <w:p w14:paraId="1E6C3387" w14:textId="77777777" w:rsidR="009713D0" w:rsidRPr="0026653F" w:rsidRDefault="009713D0" w:rsidP="00C618DD">
      <w:pPr>
        <w:outlineLvl w:val="0"/>
        <w:rPr>
          <w:iCs/>
          <w:sz w:val="20"/>
          <w:lang w:val="fr-FR" w:eastAsia="es-ES"/>
        </w:rPr>
      </w:pPr>
    </w:p>
    <w:p w14:paraId="38018508" w14:textId="77777777" w:rsidR="009713D0" w:rsidRPr="0026653F" w:rsidRDefault="009713D0" w:rsidP="00C618DD">
      <w:pPr>
        <w:outlineLvl w:val="0"/>
        <w:rPr>
          <w:bCs/>
          <w:sz w:val="20"/>
          <w:lang w:val="fr-FR" w:eastAsia="es-ES"/>
        </w:rPr>
      </w:pPr>
    </w:p>
    <w:p w14:paraId="2D595D39" w14:textId="7EFD4DD4" w:rsidR="009713D0" w:rsidRPr="0026653F" w:rsidRDefault="009713D0" w:rsidP="00C618DD">
      <w:pPr>
        <w:ind w:firstLine="720"/>
        <w:rPr>
          <w:sz w:val="20"/>
          <w:lang w:val="fr-FR"/>
        </w:rPr>
      </w:pPr>
      <w:r w:rsidRPr="0026653F">
        <w:rPr>
          <w:sz w:val="20"/>
          <w:lang w:val="fr-FR"/>
        </w:rPr>
        <w:t>1.</w:t>
      </w:r>
      <w:r w:rsidRPr="0026653F">
        <w:rPr>
          <w:sz w:val="20"/>
          <w:lang w:val="fr-FR"/>
        </w:rPr>
        <w:tab/>
        <w:t xml:space="preserve">… </w:t>
      </w:r>
      <w:bookmarkStart w:id="17" w:name="_Hlk66428070"/>
      <w:r w:rsidR="00B30567" w:rsidRPr="0026653F">
        <w:rPr>
          <w:sz w:val="20"/>
          <w:lang w:val="fr-FR"/>
        </w:rPr>
        <w:t>aux Nations Unies une notification officielle de leur retrait de l’Accord de Paris le 4 novembre 2019. Le retrait prendra effet un an après la remise de la notification</w:t>
      </w:r>
      <w:bookmarkEnd w:id="17"/>
      <w:r w:rsidRPr="0026653F">
        <w:rPr>
          <w:sz w:val="20"/>
          <w:lang w:val="fr-FR"/>
        </w:rPr>
        <w:t>.</w:t>
      </w:r>
    </w:p>
    <w:p w14:paraId="585A1AF6" w14:textId="77777777" w:rsidR="009713D0" w:rsidRPr="0026653F" w:rsidRDefault="009713D0" w:rsidP="00C618DD">
      <w:pPr>
        <w:rPr>
          <w:sz w:val="20"/>
          <w:lang w:val="fr-FR"/>
        </w:rPr>
      </w:pPr>
    </w:p>
    <w:p w14:paraId="13C9459B" w14:textId="77777777" w:rsidR="009713D0" w:rsidRPr="0026653F" w:rsidRDefault="009713D0" w:rsidP="00C618DD">
      <w:pPr>
        <w:ind w:firstLine="720"/>
        <w:rPr>
          <w:sz w:val="20"/>
          <w:lang w:val="fr-FR"/>
        </w:rPr>
      </w:pPr>
      <w:r w:rsidRPr="0026653F">
        <w:rPr>
          <w:bCs/>
          <w:sz w:val="20"/>
          <w:lang w:val="fr-FR"/>
        </w:rPr>
        <w:t>2.</w:t>
      </w:r>
      <w:r w:rsidRPr="0026653F">
        <w:rPr>
          <w:bCs/>
          <w:sz w:val="20"/>
          <w:lang w:val="fr-FR"/>
        </w:rPr>
        <w:tab/>
        <w:t xml:space="preserve">… </w:t>
      </w:r>
      <w:r w:rsidRPr="0026653F">
        <w:rPr>
          <w:sz w:val="20"/>
          <w:lang w:val="fr-FR"/>
        </w:rPr>
        <w:t>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2B8016EA" w14:textId="77777777" w:rsidR="009713D0" w:rsidRPr="0026653F" w:rsidRDefault="009713D0" w:rsidP="00C618DD">
      <w:pPr>
        <w:rPr>
          <w:sz w:val="20"/>
          <w:lang w:val="fr-FR"/>
        </w:rPr>
      </w:pPr>
    </w:p>
    <w:p w14:paraId="6BFBCD0C" w14:textId="6FC82851" w:rsidR="009713D0" w:rsidRPr="0026653F" w:rsidRDefault="009713D0" w:rsidP="00C618DD">
      <w:pPr>
        <w:ind w:firstLine="720"/>
        <w:rPr>
          <w:sz w:val="20"/>
          <w:lang w:val="fr-FR"/>
        </w:rPr>
      </w:pPr>
      <w:r w:rsidRPr="0026653F">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35F62E7C" w14:textId="77777777" w:rsidR="009713D0" w:rsidRPr="0026653F" w:rsidRDefault="009713D0" w:rsidP="00C618DD">
      <w:pPr>
        <w:rPr>
          <w:sz w:val="20"/>
          <w:lang w:val="fr-FR"/>
        </w:rPr>
      </w:pPr>
    </w:p>
    <w:p w14:paraId="40621EE4" w14:textId="77777777" w:rsidR="009713D0" w:rsidRPr="0026653F" w:rsidRDefault="009713D0"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0F47F47C" w14:textId="2634D067" w:rsidR="009713D0" w:rsidRPr="0026653F" w:rsidRDefault="009713D0" w:rsidP="00C618DD">
      <w:pPr>
        <w:rPr>
          <w:sz w:val="20"/>
          <w:lang w:val="fr-FR"/>
        </w:rPr>
      </w:pPr>
    </w:p>
    <w:p w14:paraId="532BBD4F" w14:textId="569FCCC1" w:rsidR="000A0B9C" w:rsidRPr="0026653F" w:rsidRDefault="000A0B9C" w:rsidP="00C618DD">
      <w:pPr>
        <w:rPr>
          <w:sz w:val="20"/>
          <w:lang w:val="fr-FR"/>
        </w:rPr>
      </w:pPr>
      <w:r w:rsidRPr="0026653F">
        <w:rPr>
          <w:sz w:val="20"/>
          <w:lang w:val="fr-FR"/>
        </w:rPr>
        <w:tab/>
        <w:t>3.</w:t>
      </w:r>
      <w:r w:rsidRPr="0026653F">
        <w:rPr>
          <w:sz w:val="20"/>
          <w:lang w:val="fr-FR"/>
        </w:rPr>
        <w:tab/>
        <w:t>… de l'Assemblée générale.</w:t>
      </w:r>
    </w:p>
    <w:p w14:paraId="5559151A" w14:textId="77777777" w:rsidR="000A0B9C" w:rsidRPr="0026653F" w:rsidRDefault="000A0B9C" w:rsidP="00C618DD">
      <w:pPr>
        <w:rPr>
          <w:sz w:val="20"/>
          <w:lang w:val="fr-FR"/>
        </w:rPr>
      </w:pPr>
    </w:p>
    <w:p w14:paraId="567B02DA" w14:textId="00766E17" w:rsidR="009713D0" w:rsidRPr="0026653F" w:rsidRDefault="000A0B9C" w:rsidP="00C618DD">
      <w:pPr>
        <w:ind w:firstLine="720"/>
        <w:rPr>
          <w:sz w:val="20"/>
          <w:lang w:val="fr-FR"/>
        </w:rPr>
      </w:pPr>
      <w:r w:rsidRPr="0026653F">
        <w:rPr>
          <w:sz w:val="20"/>
          <w:lang w:val="fr-FR"/>
        </w:rPr>
        <w:t>4</w:t>
      </w:r>
      <w:r w:rsidR="009713D0" w:rsidRPr="0026653F">
        <w:rPr>
          <w:sz w:val="20"/>
          <w:lang w:val="fr-FR"/>
        </w:rPr>
        <w:t>.</w:t>
      </w:r>
      <w:r w:rsidR="009713D0" w:rsidRPr="0026653F">
        <w:rPr>
          <w:sz w:val="20"/>
          <w:lang w:val="fr-FR"/>
        </w:rPr>
        <w:tab/>
        <w:t>… reconnue des « solutions fondées sur la nature ».</w:t>
      </w:r>
    </w:p>
    <w:p w14:paraId="48293BD0" w14:textId="77777777" w:rsidR="004D7FDE" w:rsidRPr="0026653F" w:rsidRDefault="004D7FDE" w:rsidP="00C618DD">
      <w:pPr>
        <w:jc w:val="center"/>
        <w:outlineLvl w:val="0"/>
        <w:rPr>
          <w:color w:val="000000"/>
          <w:sz w:val="20"/>
          <w:lang w:val="fr-FR"/>
        </w:rPr>
      </w:pPr>
    </w:p>
    <w:p w14:paraId="70E87380" w14:textId="77777777" w:rsidR="004D7FDE" w:rsidRPr="0026653F" w:rsidRDefault="004D7FDE" w:rsidP="00C618DD">
      <w:pPr>
        <w:jc w:val="left"/>
        <w:textAlignment w:val="baseline"/>
        <w:rPr>
          <w:szCs w:val="22"/>
          <w:lang w:val="fr-FR" w:eastAsia="zh-CN"/>
        </w:rPr>
      </w:pPr>
    </w:p>
    <w:p w14:paraId="20A3E6A5" w14:textId="77777777" w:rsidR="000A6A85" w:rsidRPr="0026653F" w:rsidRDefault="000A6A85" w:rsidP="00C618DD">
      <w:pPr>
        <w:rPr>
          <w:szCs w:val="22"/>
          <w:lang w:val="fr-FR"/>
        </w:rPr>
        <w:sectPr w:rsidR="000A6A85" w:rsidRPr="0026653F" w:rsidSect="001B665B">
          <w:footerReference w:type="default" r:id="rId38"/>
          <w:headerReference w:type="first" r:id="rId39"/>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4AD40635" w14:textId="29642A17" w:rsidR="005B4429" w:rsidRPr="0026653F" w:rsidRDefault="000A6A85" w:rsidP="00C618DD">
      <w:pPr>
        <w:pStyle w:val="Heading1"/>
        <w:suppressAutoHyphens/>
        <w:rPr>
          <w:lang w:val="fr-FR"/>
        </w:rPr>
      </w:pPr>
      <w:bookmarkStart w:id="18" w:name="_Toc14803660"/>
      <w:bookmarkStart w:id="19" w:name="_Toc12118537"/>
      <w:bookmarkStart w:id="20" w:name="_Toc12117116"/>
      <w:bookmarkStart w:id="21" w:name="_Toc74732019"/>
      <w:r w:rsidRPr="0026653F">
        <w:rPr>
          <w:rStyle w:val="Heading1Char"/>
          <w:rFonts w:eastAsia="Calibri"/>
          <w:szCs w:val="22"/>
          <w:lang w:val="fr-FR"/>
        </w:rPr>
        <w:lastRenderedPageBreak/>
        <w:t>AG/RES. 2953 (L-O/20)</w:t>
      </w:r>
      <w:r w:rsidRPr="0026653F">
        <w:rPr>
          <w:rStyle w:val="Heading1Char"/>
          <w:rFonts w:eastAsia="Calibri"/>
          <w:szCs w:val="22"/>
          <w:lang w:val="fr-FR"/>
        </w:rPr>
        <w:br/>
      </w:r>
      <w:r w:rsidRPr="0026653F">
        <w:rPr>
          <w:rStyle w:val="Heading1Char"/>
          <w:rFonts w:eastAsia="Calibri"/>
          <w:szCs w:val="22"/>
          <w:lang w:val="fr-FR"/>
        </w:rPr>
        <w:br/>
      </w:r>
      <w:bookmarkEnd w:id="18"/>
      <w:bookmarkEnd w:id="19"/>
      <w:bookmarkEnd w:id="20"/>
      <w:r w:rsidR="005B4429" w:rsidRPr="0026653F">
        <w:rPr>
          <w:lang w:val="fr-FR"/>
        </w:rPr>
        <w:t>RÔLE PRIORITAIRE DE L’ORGANISATION DES ÉTATS AMÉRICAINS DANS LE DÉVELOPPEMENT DES TÉLÉCOMMUNICATIONS/TECHNOLOGIES DE L’INFORMATION ET DES COMMUNICATIONS PAR L’INTERMÉDIAIRE DE LA COMMISSION INTERAMÉRICAINE DES TÉLÉCOMMUNICATIONS (CITEL)</w:t>
      </w:r>
      <w:r w:rsidR="00837943" w:rsidRPr="0026653F">
        <w:rPr>
          <w:szCs w:val="22"/>
          <w:u w:val="single"/>
          <w:vertAlign w:val="superscript"/>
          <w:lang w:val="fr-FR"/>
        </w:rPr>
        <w:footnoteReference w:id="37"/>
      </w:r>
      <w:r w:rsidR="00837943" w:rsidRPr="0026653F">
        <w:rPr>
          <w:szCs w:val="22"/>
          <w:vertAlign w:val="superscript"/>
          <w:lang w:val="fr-FR"/>
        </w:rPr>
        <w:t>/</w:t>
      </w:r>
      <w:r w:rsidR="00557F4E" w:rsidRPr="0026653F">
        <w:rPr>
          <w:rStyle w:val="FootnoteReference"/>
          <w:szCs w:val="22"/>
          <w:u w:val="single"/>
          <w:vertAlign w:val="superscript"/>
          <w:lang w:val="fr-FR"/>
        </w:rPr>
        <w:footnoteReference w:id="38"/>
      </w:r>
      <w:r w:rsidR="00A4587D" w:rsidRPr="0026653F">
        <w:rPr>
          <w:szCs w:val="22"/>
          <w:vertAlign w:val="superscript"/>
          <w:lang w:val="fr-FR"/>
        </w:rPr>
        <w:t>/</w:t>
      </w:r>
      <w:bookmarkEnd w:id="21"/>
    </w:p>
    <w:p w14:paraId="42FEF6EC" w14:textId="77777777" w:rsidR="005B4429" w:rsidRPr="0026653F" w:rsidRDefault="005B4429" w:rsidP="00C618DD">
      <w:pPr>
        <w:suppressAutoHyphens/>
        <w:autoSpaceDE w:val="0"/>
        <w:autoSpaceDN w:val="0"/>
        <w:adjustRightInd w:val="0"/>
        <w:ind w:right="61"/>
        <w:outlineLvl w:val="0"/>
        <w:rPr>
          <w:rFonts w:eastAsia="Calibri"/>
          <w:bCs/>
          <w:color w:val="000000"/>
          <w:szCs w:val="22"/>
          <w:lang w:val="fr-FR" w:eastAsia="es-ES"/>
        </w:rPr>
      </w:pPr>
    </w:p>
    <w:p w14:paraId="4A538324" w14:textId="77777777" w:rsidR="005B4429" w:rsidRPr="0026653F" w:rsidRDefault="005B4429" w:rsidP="00C618DD">
      <w:pPr>
        <w:suppressAutoHyphens/>
        <w:jc w:val="center"/>
        <w:rPr>
          <w:rFonts w:eastAsia="Calibri"/>
          <w:lang w:val="fr-FR" w:eastAsia="es-ES"/>
        </w:rPr>
      </w:pPr>
      <w:r w:rsidRPr="0026653F">
        <w:rPr>
          <w:rFonts w:eastAsia="Calibri"/>
          <w:lang w:val="fr-FR" w:eastAsia="es-ES"/>
        </w:rPr>
        <w:t xml:space="preserve">(Résolution adoptée à la première séance plénière, le </w:t>
      </w:r>
      <w:r w:rsidR="00A4587D" w:rsidRPr="0026653F">
        <w:rPr>
          <w:rFonts w:eastAsia="Calibri"/>
          <w:lang w:val="fr-FR" w:eastAsia="es-ES"/>
        </w:rPr>
        <w:t xml:space="preserve">20 octobre </w:t>
      </w:r>
      <w:r w:rsidRPr="0026653F">
        <w:rPr>
          <w:rFonts w:eastAsia="Calibri"/>
          <w:lang w:val="fr-FR" w:eastAsia="es-ES"/>
        </w:rPr>
        <w:t>20</w:t>
      </w:r>
      <w:r w:rsidR="00A4587D" w:rsidRPr="0026653F">
        <w:rPr>
          <w:rFonts w:eastAsia="Calibri"/>
          <w:lang w:val="fr-FR" w:eastAsia="es-ES"/>
        </w:rPr>
        <w:t>20</w:t>
      </w:r>
      <w:r w:rsidRPr="0026653F">
        <w:rPr>
          <w:rFonts w:eastAsia="Calibri"/>
          <w:lang w:val="fr-FR" w:eastAsia="es-ES"/>
        </w:rPr>
        <w:t>)</w:t>
      </w:r>
    </w:p>
    <w:p w14:paraId="00DAD9E4" w14:textId="77777777" w:rsidR="005B4429" w:rsidRPr="0026653F" w:rsidRDefault="005B4429" w:rsidP="00C618DD">
      <w:pPr>
        <w:suppressAutoHyphens/>
        <w:ind w:right="200"/>
        <w:rPr>
          <w:szCs w:val="22"/>
          <w:lang w:val="fr-FR"/>
        </w:rPr>
      </w:pPr>
    </w:p>
    <w:p w14:paraId="66E5C330" w14:textId="77777777" w:rsidR="005B4429" w:rsidRPr="0026653F" w:rsidRDefault="005B4429" w:rsidP="00C618DD">
      <w:pPr>
        <w:suppressAutoHyphens/>
        <w:rPr>
          <w:szCs w:val="22"/>
          <w:lang w:val="fr-FR"/>
        </w:rPr>
      </w:pPr>
    </w:p>
    <w:p w14:paraId="177DED98" w14:textId="77777777" w:rsidR="005B4429" w:rsidRPr="0026653F" w:rsidRDefault="005B4429" w:rsidP="00C618DD">
      <w:pPr>
        <w:suppressAutoHyphens/>
        <w:ind w:firstLine="720"/>
        <w:rPr>
          <w:color w:val="000000"/>
          <w:szCs w:val="22"/>
          <w:lang w:val="fr-FR"/>
        </w:rPr>
      </w:pPr>
      <w:r w:rsidRPr="0026653F">
        <w:rPr>
          <w:color w:val="000000"/>
          <w:szCs w:val="22"/>
          <w:lang w:val="fr-FR"/>
        </w:rPr>
        <w:t>L’ASSEMBLÉE GÉNÉRALE,</w:t>
      </w:r>
    </w:p>
    <w:p w14:paraId="5510A766" w14:textId="77777777" w:rsidR="005B4429" w:rsidRPr="0026653F" w:rsidRDefault="005B4429" w:rsidP="00C618DD">
      <w:pPr>
        <w:suppressAutoHyphens/>
        <w:rPr>
          <w:color w:val="000000"/>
          <w:szCs w:val="22"/>
          <w:lang w:val="fr-FR"/>
        </w:rPr>
      </w:pPr>
    </w:p>
    <w:p w14:paraId="7AF2E352" w14:textId="02AF8F2C" w:rsidR="005B4429" w:rsidRPr="0026653F" w:rsidRDefault="005B4429" w:rsidP="00C618DD">
      <w:pPr>
        <w:suppressAutoHyphens/>
        <w:rPr>
          <w:color w:val="000000"/>
          <w:szCs w:val="22"/>
          <w:lang w:val="fr-FR"/>
        </w:rPr>
      </w:pPr>
      <w:r w:rsidRPr="0026653F">
        <w:rPr>
          <w:color w:val="000000"/>
          <w:szCs w:val="22"/>
          <w:lang w:val="fr-FR"/>
        </w:rPr>
        <w:t>RAPPELANT :</w:t>
      </w:r>
    </w:p>
    <w:p w14:paraId="5307B6E0" w14:textId="77777777" w:rsidR="005B4429" w:rsidRPr="0026653F" w:rsidRDefault="005B4429" w:rsidP="00C618DD">
      <w:pPr>
        <w:suppressAutoHyphens/>
        <w:rPr>
          <w:color w:val="000000"/>
          <w:szCs w:val="22"/>
          <w:lang w:val="fr-FR"/>
        </w:rPr>
      </w:pPr>
    </w:p>
    <w:p w14:paraId="69FF9367" w14:textId="5DD75D80" w:rsidR="005B4429" w:rsidRPr="0026653F" w:rsidRDefault="005B4429" w:rsidP="00C618DD">
      <w:pPr>
        <w:suppressAutoHyphens/>
        <w:ind w:firstLine="720"/>
        <w:rPr>
          <w:bCs/>
          <w:color w:val="000000"/>
          <w:kern w:val="32"/>
          <w:szCs w:val="22"/>
          <w:lang w:val="fr-FR"/>
        </w:rPr>
      </w:pPr>
      <w:r w:rsidRPr="0026653F">
        <w:rPr>
          <w:color w:val="000000"/>
          <w:szCs w:val="22"/>
          <w:lang w:val="fr-FR"/>
        </w:rPr>
        <w:t xml:space="preserve">La résolution </w:t>
      </w:r>
      <w:r w:rsidRPr="0026653F">
        <w:rPr>
          <w:bCs/>
          <w:color w:val="000000"/>
          <w:kern w:val="32"/>
          <w:szCs w:val="22"/>
          <w:lang w:val="fr-FR"/>
        </w:rPr>
        <w:t>AG/RES. 29</w:t>
      </w:r>
      <w:r w:rsidR="00A4587D" w:rsidRPr="0026653F">
        <w:rPr>
          <w:bCs/>
          <w:color w:val="000000"/>
          <w:kern w:val="32"/>
          <w:szCs w:val="22"/>
          <w:lang w:val="fr-FR"/>
        </w:rPr>
        <w:t>38</w:t>
      </w:r>
      <w:r w:rsidRPr="0026653F">
        <w:rPr>
          <w:bCs/>
          <w:color w:val="000000"/>
          <w:kern w:val="32"/>
          <w:szCs w:val="22"/>
          <w:lang w:val="fr-FR"/>
        </w:rPr>
        <w:t xml:space="preserve"> (XL</w:t>
      </w:r>
      <w:r w:rsidR="00A4587D" w:rsidRPr="0026653F">
        <w:rPr>
          <w:bCs/>
          <w:color w:val="000000"/>
          <w:kern w:val="32"/>
          <w:szCs w:val="22"/>
          <w:lang w:val="fr-FR"/>
        </w:rPr>
        <w:t>IX</w:t>
      </w:r>
      <w:r w:rsidRPr="0026653F">
        <w:rPr>
          <w:bCs/>
          <w:color w:val="000000"/>
          <w:kern w:val="32"/>
          <w:szCs w:val="22"/>
          <w:lang w:val="fr-FR"/>
        </w:rPr>
        <w:t>-O/1</w:t>
      </w:r>
      <w:r w:rsidR="00A4587D" w:rsidRPr="0026653F">
        <w:rPr>
          <w:bCs/>
          <w:color w:val="000000"/>
          <w:kern w:val="32"/>
          <w:szCs w:val="22"/>
          <w:lang w:val="fr-FR"/>
        </w:rPr>
        <w:t>9</w:t>
      </w:r>
      <w:r w:rsidRPr="0026653F">
        <w:rPr>
          <w:bCs/>
          <w:color w:val="000000"/>
          <w:kern w:val="32"/>
          <w:szCs w:val="22"/>
          <w:lang w:val="fr-FR"/>
        </w:rPr>
        <w:t xml:space="preserve">), « Rôle prioritaire de l’Organisation des États Américains dans le développement des télécommunications/technologies de l’information et des communications par l’intermédiaire de la Commission interaméricaine des télécommunications », adoptée le </w:t>
      </w:r>
      <w:r w:rsidR="00A4587D" w:rsidRPr="0026653F">
        <w:rPr>
          <w:bCs/>
          <w:color w:val="000000"/>
          <w:kern w:val="32"/>
          <w:szCs w:val="22"/>
          <w:lang w:val="fr-FR"/>
        </w:rPr>
        <w:t>27</w:t>
      </w:r>
      <w:r w:rsidRPr="0026653F">
        <w:rPr>
          <w:bCs/>
          <w:color w:val="000000"/>
          <w:kern w:val="32"/>
          <w:szCs w:val="22"/>
          <w:lang w:val="fr-FR"/>
        </w:rPr>
        <w:t xml:space="preserve"> juin 201</w:t>
      </w:r>
      <w:r w:rsidR="00A4587D" w:rsidRPr="0026653F">
        <w:rPr>
          <w:bCs/>
          <w:color w:val="000000"/>
          <w:kern w:val="32"/>
          <w:szCs w:val="22"/>
          <w:lang w:val="fr-FR"/>
        </w:rPr>
        <w:t>9</w:t>
      </w:r>
      <w:r w:rsidRPr="0026653F">
        <w:rPr>
          <w:bCs/>
          <w:color w:val="000000"/>
          <w:kern w:val="32"/>
          <w:szCs w:val="22"/>
          <w:lang w:val="fr-FR"/>
        </w:rPr>
        <w:t> ;</w:t>
      </w:r>
    </w:p>
    <w:p w14:paraId="0CC6C311" w14:textId="77777777" w:rsidR="005B4429" w:rsidRPr="0026653F" w:rsidRDefault="005B4429" w:rsidP="00C618DD">
      <w:pPr>
        <w:suppressAutoHyphens/>
        <w:rPr>
          <w:bCs/>
          <w:color w:val="000000"/>
          <w:kern w:val="32"/>
          <w:szCs w:val="22"/>
          <w:lang w:val="fr-FR"/>
        </w:rPr>
      </w:pPr>
    </w:p>
    <w:p w14:paraId="40362530" w14:textId="4A76A834" w:rsidR="005B4429" w:rsidRPr="0026653F" w:rsidRDefault="005B4429" w:rsidP="00C618DD">
      <w:pPr>
        <w:suppressAutoHyphens/>
        <w:ind w:firstLine="720"/>
        <w:rPr>
          <w:bCs/>
          <w:color w:val="000000"/>
          <w:kern w:val="32"/>
          <w:szCs w:val="22"/>
          <w:lang w:val="fr-FR"/>
        </w:rPr>
      </w:pPr>
      <w:r w:rsidRPr="0026653F">
        <w:rPr>
          <w:color w:val="000000"/>
          <w:szCs w:val="22"/>
          <w:lang w:val="fr-FR"/>
        </w:rPr>
        <w:t xml:space="preserve">La résolution AG/RES.  </w:t>
      </w:r>
      <w:r w:rsidR="00BB7313" w:rsidRPr="0026653F">
        <w:rPr>
          <w:color w:val="000000"/>
          <w:szCs w:val="22"/>
          <w:lang w:val="fr-FR"/>
        </w:rPr>
        <w:t>2940</w:t>
      </w:r>
      <w:r w:rsidRPr="0026653F">
        <w:rPr>
          <w:color w:val="000000"/>
          <w:szCs w:val="22"/>
          <w:lang w:val="fr-FR"/>
        </w:rPr>
        <w:t xml:space="preserve"> (</w:t>
      </w:r>
      <w:r w:rsidR="00BB7313" w:rsidRPr="0026653F">
        <w:rPr>
          <w:color w:val="000000"/>
          <w:szCs w:val="22"/>
          <w:lang w:val="fr-FR"/>
        </w:rPr>
        <w:t>XLIX</w:t>
      </w:r>
      <w:r w:rsidRPr="0026653F">
        <w:rPr>
          <w:color w:val="000000"/>
          <w:szCs w:val="22"/>
          <w:lang w:val="fr-FR"/>
        </w:rPr>
        <w:t>-</w:t>
      </w:r>
      <w:r w:rsidR="00BB7313" w:rsidRPr="0026653F">
        <w:rPr>
          <w:color w:val="000000"/>
          <w:szCs w:val="22"/>
          <w:lang w:val="fr-FR"/>
        </w:rPr>
        <w:t>O</w:t>
      </w:r>
      <w:r w:rsidRPr="0026653F">
        <w:rPr>
          <w:color w:val="000000"/>
          <w:szCs w:val="22"/>
          <w:lang w:val="fr-FR"/>
        </w:rPr>
        <w:t>/1</w:t>
      </w:r>
      <w:r w:rsidR="00BB7313" w:rsidRPr="0026653F">
        <w:rPr>
          <w:color w:val="000000"/>
          <w:szCs w:val="22"/>
          <w:lang w:val="fr-FR"/>
        </w:rPr>
        <w:t>9</w:t>
      </w:r>
      <w:r w:rsidRPr="0026653F">
        <w:rPr>
          <w:color w:val="000000"/>
          <w:szCs w:val="22"/>
          <w:lang w:val="fr-FR"/>
        </w:rPr>
        <w:t>)</w:t>
      </w:r>
      <w:r w:rsidRPr="0026653F">
        <w:rPr>
          <w:bCs/>
          <w:color w:val="000000"/>
          <w:kern w:val="32"/>
          <w:szCs w:val="22"/>
          <w:lang w:val="fr-FR"/>
        </w:rPr>
        <w:t>, « Programme-budget 20</w:t>
      </w:r>
      <w:r w:rsidR="00BB7313" w:rsidRPr="0026653F">
        <w:rPr>
          <w:bCs/>
          <w:color w:val="000000"/>
          <w:kern w:val="32"/>
          <w:szCs w:val="22"/>
          <w:lang w:val="fr-FR"/>
        </w:rPr>
        <w:t>20</w:t>
      </w:r>
      <w:r w:rsidRPr="0026653F">
        <w:rPr>
          <w:bCs/>
          <w:color w:val="000000"/>
          <w:kern w:val="32"/>
          <w:szCs w:val="22"/>
          <w:lang w:val="fr-FR"/>
        </w:rPr>
        <w:t xml:space="preserve"> de l’Organisation », adoptée le </w:t>
      </w:r>
      <w:r w:rsidR="00BB7313" w:rsidRPr="0026653F">
        <w:rPr>
          <w:bCs/>
          <w:color w:val="000000"/>
          <w:kern w:val="32"/>
          <w:szCs w:val="22"/>
          <w:lang w:val="fr-FR"/>
        </w:rPr>
        <w:t>27 juin 2019</w:t>
      </w:r>
      <w:r w:rsidRPr="0026653F">
        <w:rPr>
          <w:bCs/>
          <w:color w:val="000000"/>
          <w:kern w:val="32"/>
          <w:szCs w:val="22"/>
          <w:lang w:val="fr-FR"/>
        </w:rPr>
        <w:t>, en ce qui a trait aux mandats relatifs à la Commission interaméricaine des télécommunications (CITEL),</w:t>
      </w:r>
    </w:p>
    <w:p w14:paraId="783D7D3F" w14:textId="77777777" w:rsidR="005B4429" w:rsidRPr="0026653F" w:rsidRDefault="005B4429" w:rsidP="00C618DD">
      <w:pPr>
        <w:suppressAutoHyphens/>
        <w:rPr>
          <w:bCs/>
          <w:color w:val="000000"/>
          <w:kern w:val="32"/>
          <w:szCs w:val="22"/>
          <w:lang w:val="fr-FR"/>
        </w:rPr>
      </w:pPr>
    </w:p>
    <w:p w14:paraId="69FADFC8" w14:textId="0BB538F4" w:rsidR="005B4429" w:rsidRPr="0026653F" w:rsidRDefault="005B4429" w:rsidP="00C618DD">
      <w:pPr>
        <w:suppressAutoHyphens/>
        <w:ind w:firstLine="720"/>
        <w:rPr>
          <w:color w:val="000000"/>
          <w:szCs w:val="22"/>
          <w:lang w:val="fr-FR"/>
        </w:rPr>
      </w:pPr>
      <w:r w:rsidRPr="0026653F">
        <w:rPr>
          <w:color w:val="000000"/>
          <w:szCs w:val="22"/>
          <w:lang w:val="fr-FR"/>
        </w:rPr>
        <w:t>PRENANT NOTE de la résolution CITEL/RES. 80 (VII-18), « Renforcement de la CITEL au sein de l’OEA », adoptée lors de la septième réunion ordinaire de l’Assemblée de la CITEL, aux termes de laquelle cette commission invite l’Assemblée générale de l’Organisation des États Américains (OEA) à réaffirmer son engagement à l’égard de la viabilité financière de la CITEL,</w:t>
      </w:r>
    </w:p>
    <w:p w14:paraId="5867EC46" w14:textId="77777777" w:rsidR="005B4429" w:rsidRPr="0026653F" w:rsidRDefault="005B4429" w:rsidP="00C618DD">
      <w:pPr>
        <w:suppressAutoHyphens/>
        <w:rPr>
          <w:color w:val="000000"/>
          <w:szCs w:val="22"/>
          <w:lang w:val="fr-FR"/>
        </w:rPr>
      </w:pPr>
    </w:p>
    <w:p w14:paraId="25E0137F" w14:textId="677553A8" w:rsidR="005B4429" w:rsidRPr="0026653F" w:rsidRDefault="005B4429" w:rsidP="00C618DD">
      <w:pPr>
        <w:suppressAutoHyphens/>
        <w:rPr>
          <w:color w:val="000000"/>
          <w:szCs w:val="22"/>
          <w:lang w:val="fr-FR"/>
        </w:rPr>
      </w:pPr>
      <w:r w:rsidRPr="0026653F">
        <w:rPr>
          <w:color w:val="000000"/>
          <w:szCs w:val="22"/>
          <w:lang w:val="fr-FR"/>
        </w:rPr>
        <w:t>CONSIDÉRANT :</w:t>
      </w:r>
    </w:p>
    <w:p w14:paraId="2058AF5A" w14:textId="77777777" w:rsidR="005B4429" w:rsidRPr="0026653F" w:rsidRDefault="005B4429" w:rsidP="00C618DD">
      <w:pPr>
        <w:suppressAutoHyphens/>
        <w:rPr>
          <w:color w:val="000000"/>
          <w:szCs w:val="22"/>
          <w:lang w:val="fr-FR"/>
        </w:rPr>
      </w:pPr>
    </w:p>
    <w:p w14:paraId="054BDCBA" w14:textId="71B933FA" w:rsidR="005B4429" w:rsidRPr="0026653F" w:rsidRDefault="005B4429" w:rsidP="00C618DD">
      <w:pPr>
        <w:suppressAutoHyphens/>
        <w:ind w:firstLine="720"/>
        <w:rPr>
          <w:color w:val="000000"/>
          <w:szCs w:val="22"/>
          <w:lang w:val="fr-FR"/>
        </w:rPr>
      </w:pPr>
      <w:r w:rsidRPr="0026653F">
        <w:rPr>
          <w:color w:val="000000"/>
          <w:szCs w:val="22"/>
          <w:lang w:val="fr-FR"/>
        </w:rPr>
        <w:t xml:space="preserve">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w:t>
      </w:r>
      <w:proofErr w:type="gramStart"/>
      <w:r w:rsidRPr="0026653F">
        <w:rPr>
          <w:color w:val="000000"/>
          <w:szCs w:val="22"/>
          <w:lang w:val="fr-FR"/>
        </w:rPr>
        <w:t>2030;</w:t>
      </w:r>
      <w:proofErr w:type="gramEnd"/>
    </w:p>
    <w:p w14:paraId="4A5F748E" w14:textId="77777777" w:rsidR="005B4429" w:rsidRPr="0026653F" w:rsidRDefault="005B4429" w:rsidP="00C618DD">
      <w:pPr>
        <w:suppressAutoHyphens/>
        <w:rPr>
          <w:color w:val="000000"/>
          <w:szCs w:val="22"/>
          <w:lang w:val="fr-FR"/>
        </w:rPr>
      </w:pPr>
    </w:p>
    <w:p w14:paraId="4B075323" w14:textId="25A713C8" w:rsidR="005B4429" w:rsidRPr="0026653F" w:rsidRDefault="005B4429" w:rsidP="00C618DD">
      <w:pPr>
        <w:suppressAutoHyphens/>
        <w:ind w:firstLine="720"/>
        <w:rPr>
          <w:color w:val="000000"/>
          <w:szCs w:val="22"/>
          <w:lang w:val="fr-FR"/>
        </w:rPr>
      </w:pPr>
      <w:r w:rsidRPr="0026653F">
        <w:rPr>
          <w:color w:val="000000"/>
          <w:szCs w:val="22"/>
          <w:lang w:val="fr-FR"/>
        </w:rPr>
        <w:t xml:space="preserve">Que la CITEL est l’entité spécialisée de l’OEA </w:t>
      </w:r>
      <w:r w:rsidR="00BB7313" w:rsidRPr="0026653F">
        <w:rPr>
          <w:color w:val="000000"/>
          <w:szCs w:val="22"/>
          <w:lang w:val="fr-FR"/>
        </w:rPr>
        <w:t xml:space="preserve">en matière de </w:t>
      </w:r>
      <w:r w:rsidRPr="0026653F">
        <w:rPr>
          <w:color w:val="000000"/>
          <w:szCs w:val="22"/>
          <w:lang w:val="fr-FR"/>
        </w:rPr>
        <w:t xml:space="preserve">télécommunications et </w:t>
      </w:r>
      <w:r w:rsidR="00BB7313" w:rsidRPr="0026653F">
        <w:rPr>
          <w:color w:val="000000"/>
          <w:szCs w:val="22"/>
          <w:lang w:val="fr-FR"/>
        </w:rPr>
        <w:t xml:space="preserve">de </w:t>
      </w:r>
      <w:r w:rsidRPr="0026653F">
        <w:rPr>
          <w:color w:val="000000"/>
          <w:szCs w:val="22"/>
          <w:lang w:val="fr-FR"/>
        </w:rPr>
        <w:t>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 l’initiative Alliance TIC 2030 Américas réunissant les secteurs public et privé, l’appel visant à accroître les investissements dans l’infrastructure de bande large et la promotion de l’accès à la bande large aux fins d’inclusion sociale ainsi que l’Alliance des femmes rurales </w:t>
      </w:r>
      <w:r w:rsidR="004E2314" w:rsidRPr="0026653F">
        <w:rPr>
          <w:color w:val="000000"/>
          <w:szCs w:val="22"/>
          <w:lang w:val="fr-FR"/>
        </w:rPr>
        <w:t>–</w:t>
      </w:r>
      <w:r w:rsidRPr="0026653F">
        <w:rPr>
          <w:color w:val="000000"/>
          <w:szCs w:val="22"/>
          <w:lang w:val="fr-FR"/>
        </w:rPr>
        <w:t xml:space="preserve"> Autonomiser les femmes rurales au moyen des TIC ;</w:t>
      </w:r>
    </w:p>
    <w:p w14:paraId="730D409A" w14:textId="77777777" w:rsidR="005B4429" w:rsidRPr="0026653F" w:rsidRDefault="005B4429" w:rsidP="00C618DD">
      <w:pPr>
        <w:suppressAutoHyphens/>
        <w:rPr>
          <w:color w:val="000000"/>
          <w:szCs w:val="22"/>
          <w:lang w:val="fr-FR"/>
        </w:rPr>
      </w:pPr>
    </w:p>
    <w:p w14:paraId="5E743A72" w14:textId="6C627855" w:rsidR="005B4429" w:rsidRPr="0026653F" w:rsidRDefault="005B4429" w:rsidP="00C618DD">
      <w:pPr>
        <w:suppressAutoHyphens/>
        <w:ind w:firstLine="720"/>
        <w:rPr>
          <w:color w:val="000000"/>
          <w:szCs w:val="22"/>
          <w:lang w:val="fr-FR"/>
        </w:rPr>
      </w:pPr>
      <w:r w:rsidRPr="0026653F">
        <w:rPr>
          <w:color w:val="000000"/>
          <w:szCs w:val="22"/>
          <w:lang w:val="fr-FR"/>
        </w:rPr>
        <w:t xml:space="preserve">Que, reflétant son rôle unique qui repose sur ses membres et sa capacité </w:t>
      </w:r>
      <w:r w:rsidR="004E2314" w:rsidRPr="0026653F">
        <w:rPr>
          <w:color w:val="000000"/>
          <w:szCs w:val="22"/>
          <w:lang w:val="fr-FR"/>
        </w:rPr>
        <w:t>de</w:t>
      </w:r>
      <w:r w:rsidRPr="0026653F">
        <w:rPr>
          <w:color w:val="000000"/>
          <w:szCs w:val="22"/>
          <w:lang w:val="fr-FR"/>
        </w:rPr>
        <w:t xml:space="preserve"> rassembler le monde universitaire, </w:t>
      </w:r>
      <w:r w:rsidR="00710859" w:rsidRPr="0026653F">
        <w:rPr>
          <w:color w:val="000000"/>
          <w:szCs w:val="22"/>
          <w:lang w:val="fr-FR"/>
        </w:rPr>
        <w:t xml:space="preserve">le secteur privé, </w:t>
      </w:r>
      <w:r w:rsidRPr="0026653F">
        <w:rPr>
          <w:color w:val="000000"/>
          <w:szCs w:val="22"/>
          <w:lang w:val="fr-FR"/>
        </w:rPr>
        <w:t xml:space="preserve">la communauté technique et les pouvoirs publics, la CITEL a promu les intérêts de l’ensemble du continent américain lors de la Conférence </w:t>
      </w:r>
      <w:r w:rsidR="00710859" w:rsidRPr="0026653F">
        <w:rPr>
          <w:color w:val="000000"/>
          <w:szCs w:val="22"/>
          <w:lang w:val="fr-FR"/>
        </w:rPr>
        <w:t xml:space="preserve">mondiale </w:t>
      </w:r>
      <w:r w:rsidRPr="0026653F">
        <w:rPr>
          <w:color w:val="000000"/>
          <w:szCs w:val="22"/>
          <w:lang w:val="fr-FR"/>
        </w:rPr>
        <w:t xml:space="preserve">des </w:t>
      </w:r>
      <w:r w:rsidR="00710859" w:rsidRPr="0026653F">
        <w:rPr>
          <w:color w:val="000000"/>
          <w:szCs w:val="22"/>
          <w:lang w:val="fr-FR"/>
        </w:rPr>
        <w:t xml:space="preserve">radiocommunications </w:t>
      </w:r>
      <w:r w:rsidRPr="0026653F">
        <w:rPr>
          <w:color w:val="000000"/>
          <w:szCs w:val="22"/>
          <w:lang w:val="fr-FR"/>
        </w:rPr>
        <w:t xml:space="preserve">de l’Union internationale des télécommunications (UIT) en obtenant </w:t>
      </w:r>
      <w:r w:rsidR="00710859" w:rsidRPr="0026653F">
        <w:rPr>
          <w:color w:val="000000"/>
          <w:szCs w:val="22"/>
          <w:lang w:val="fr-FR"/>
        </w:rPr>
        <w:t>l’adoption</w:t>
      </w:r>
      <w:r w:rsidRPr="0026653F">
        <w:rPr>
          <w:color w:val="000000"/>
          <w:szCs w:val="22"/>
          <w:lang w:val="fr-FR"/>
        </w:rPr>
        <w:t xml:space="preserve"> de </w:t>
      </w:r>
      <w:r w:rsidR="00710859" w:rsidRPr="0026653F">
        <w:rPr>
          <w:color w:val="000000"/>
          <w:szCs w:val="22"/>
          <w:lang w:val="fr-FR"/>
        </w:rPr>
        <w:t>plus de 300 propositions interaméricaines</w:t>
      </w:r>
      <w:r w:rsidRPr="0026653F">
        <w:rPr>
          <w:color w:val="000000"/>
          <w:szCs w:val="22"/>
          <w:lang w:val="fr-FR"/>
        </w:rPr>
        <w:t> ;</w:t>
      </w:r>
    </w:p>
    <w:p w14:paraId="2BF313D6" w14:textId="77777777" w:rsidR="005B4429" w:rsidRPr="0026653F" w:rsidRDefault="005B4429" w:rsidP="00C618DD">
      <w:pPr>
        <w:suppressAutoHyphens/>
        <w:rPr>
          <w:color w:val="000000"/>
          <w:szCs w:val="22"/>
          <w:lang w:val="fr-FR"/>
        </w:rPr>
      </w:pPr>
    </w:p>
    <w:p w14:paraId="274CCC37" w14:textId="584F4D34" w:rsidR="005B4429" w:rsidRPr="0026653F" w:rsidRDefault="005B4429" w:rsidP="00C618DD">
      <w:pPr>
        <w:suppressAutoHyphens/>
        <w:ind w:firstLine="720"/>
        <w:rPr>
          <w:color w:val="000000"/>
          <w:szCs w:val="22"/>
          <w:lang w:val="fr-FR"/>
        </w:rPr>
      </w:pPr>
      <w:r w:rsidRPr="0026653F">
        <w:rPr>
          <w:color w:val="000000"/>
          <w:szCs w:val="22"/>
          <w:lang w:val="fr-FR"/>
        </w:rPr>
        <w:t xml:space="preserve">Que, selon l’UIT, </w:t>
      </w:r>
      <w:r w:rsidR="00710859" w:rsidRPr="0026653F">
        <w:rPr>
          <w:color w:val="000000"/>
          <w:szCs w:val="22"/>
          <w:lang w:val="fr-FR"/>
        </w:rPr>
        <w:t xml:space="preserve">à ce jour, </w:t>
      </w:r>
      <w:r w:rsidRPr="0026653F">
        <w:rPr>
          <w:color w:val="000000"/>
          <w:szCs w:val="22"/>
          <w:lang w:val="fr-FR"/>
        </w:rPr>
        <w:t>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w:t>
      </w:r>
      <w:r w:rsidR="008A451C" w:rsidRPr="0026653F">
        <w:rPr>
          <w:color w:val="000000"/>
          <w:szCs w:val="22"/>
          <w:lang w:val="fr-FR"/>
        </w:rPr>
        <w:t>, l’utilisation du spectre radioélectrique</w:t>
      </w:r>
      <w:r w:rsidRPr="0026653F">
        <w:rPr>
          <w:color w:val="000000"/>
          <w:szCs w:val="22"/>
          <w:lang w:val="fr-FR"/>
        </w:rPr>
        <w:t xml:space="preserve"> et la création d’un environnement propice aux investissements dans les TIC ;</w:t>
      </w:r>
    </w:p>
    <w:p w14:paraId="48431ACB" w14:textId="77777777" w:rsidR="005B4429" w:rsidRPr="0026653F" w:rsidRDefault="005B4429" w:rsidP="00C618DD">
      <w:pPr>
        <w:suppressAutoHyphens/>
        <w:rPr>
          <w:color w:val="000000"/>
          <w:szCs w:val="22"/>
          <w:lang w:val="fr-FR"/>
        </w:rPr>
      </w:pPr>
    </w:p>
    <w:p w14:paraId="5167BC28" w14:textId="7AF40569" w:rsidR="005B4429" w:rsidRPr="0026653F" w:rsidRDefault="005B4429" w:rsidP="00C618DD">
      <w:pPr>
        <w:suppressAutoHyphens/>
        <w:ind w:firstLine="720"/>
        <w:rPr>
          <w:color w:val="000000"/>
          <w:szCs w:val="22"/>
          <w:lang w:val="fr-FR"/>
        </w:rPr>
      </w:pPr>
      <w:r w:rsidRPr="0026653F">
        <w:rPr>
          <w:color w:val="000000"/>
          <w:szCs w:val="22"/>
          <w:lang w:val="fr-FR"/>
        </w:rPr>
        <w:t xml:space="preserve">Que les efforts déployés pour faciliter le processus de passage de la télévision </w:t>
      </w:r>
      <w:r w:rsidR="008A451C" w:rsidRPr="0026653F">
        <w:rPr>
          <w:color w:val="000000"/>
          <w:szCs w:val="22"/>
          <w:lang w:val="fr-FR"/>
        </w:rPr>
        <w:t xml:space="preserve">terrestre analogique </w:t>
      </w:r>
      <w:r w:rsidRPr="0026653F">
        <w:rPr>
          <w:color w:val="000000"/>
          <w:szCs w:val="22"/>
          <w:lang w:val="fr-FR"/>
        </w:rPr>
        <w:t xml:space="preserve">à la télévision numérique terrestre (TNT) et l’attribution du dividende numérique </w:t>
      </w:r>
      <w:r w:rsidR="001721BC" w:rsidRPr="0026653F">
        <w:rPr>
          <w:color w:val="000000"/>
          <w:szCs w:val="22"/>
          <w:lang w:val="fr-FR"/>
        </w:rPr>
        <w:t xml:space="preserve">par l’optimisation de </w:t>
      </w:r>
      <w:r w:rsidR="008A451C" w:rsidRPr="0026653F">
        <w:rPr>
          <w:color w:val="000000"/>
          <w:szCs w:val="22"/>
          <w:lang w:val="fr-FR"/>
        </w:rPr>
        <w:t xml:space="preserve">la </w:t>
      </w:r>
      <w:r w:rsidRPr="0026653F">
        <w:rPr>
          <w:color w:val="000000"/>
          <w:szCs w:val="22"/>
          <w:lang w:val="fr-FR"/>
        </w:rPr>
        <w:t xml:space="preserve">compatibilité mutuelle entre les stations de radiodiffusion et les stations mobiles dans les bandes d’ondes métriques (VHF) et d’ondes décimétriques (UHF) en Amérique centrale et dans les Caraïbes ont jeté les bases de la coordination du spectre </w:t>
      </w:r>
      <w:r w:rsidR="001721BC" w:rsidRPr="0026653F">
        <w:rPr>
          <w:color w:val="000000"/>
          <w:szCs w:val="22"/>
          <w:lang w:val="fr-FR"/>
        </w:rPr>
        <w:t xml:space="preserve">radioélectrique </w:t>
      </w:r>
      <w:r w:rsidRPr="0026653F">
        <w:rPr>
          <w:color w:val="000000"/>
          <w:szCs w:val="22"/>
          <w:lang w:val="fr-FR"/>
        </w:rPr>
        <w:t>et de la collaboration future</w:t>
      </w:r>
      <w:r w:rsidR="001721BC" w:rsidRPr="0026653F">
        <w:rPr>
          <w:color w:val="000000"/>
          <w:szCs w:val="22"/>
          <w:lang w:val="fr-FR"/>
        </w:rPr>
        <w:t xml:space="preserve"> à travers la région</w:t>
      </w:r>
      <w:r w:rsidRPr="0026653F">
        <w:rPr>
          <w:color w:val="000000"/>
          <w:szCs w:val="22"/>
          <w:lang w:val="fr-FR"/>
        </w:rPr>
        <w:t> ;</w:t>
      </w:r>
    </w:p>
    <w:p w14:paraId="13AA1F47" w14:textId="77777777" w:rsidR="005B4429" w:rsidRPr="0026653F" w:rsidRDefault="005B4429" w:rsidP="00C618DD">
      <w:pPr>
        <w:suppressAutoHyphens/>
        <w:rPr>
          <w:color w:val="000000"/>
          <w:szCs w:val="22"/>
          <w:lang w:val="fr-FR"/>
        </w:rPr>
      </w:pPr>
    </w:p>
    <w:p w14:paraId="007EAAFB" w14:textId="7E808A33" w:rsidR="005B4429" w:rsidRPr="0026653F" w:rsidRDefault="005B4429" w:rsidP="00C618DD">
      <w:pPr>
        <w:suppressAutoHyphens/>
        <w:ind w:firstLine="720"/>
        <w:rPr>
          <w:color w:val="000000"/>
          <w:szCs w:val="22"/>
          <w:lang w:val="fr-FR"/>
        </w:rPr>
      </w:pPr>
      <w:r w:rsidRPr="0026653F">
        <w:rPr>
          <w:color w:val="000000"/>
          <w:szCs w:val="22"/>
          <w:lang w:val="fr-FR"/>
        </w:rPr>
        <w:t>Que, en coordination avec l’UIT, l’Union des télécommunications des Caraïbes (CTU) et la Commission technique régionale des télécommunications (COMTELCA), la CITEL a pris des mesures pour renforcer les capacités de communication et d’intervention afin d’améliorer la résilience face aux catastrophes et aux situations d’urgence dans la région ;</w:t>
      </w:r>
    </w:p>
    <w:p w14:paraId="16721DE7" w14:textId="77777777" w:rsidR="005B4429" w:rsidRPr="0026653F" w:rsidRDefault="005B4429" w:rsidP="00C618DD">
      <w:pPr>
        <w:suppressAutoHyphens/>
        <w:rPr>
          <w:color w:val="000000"/>
          <w:szCs w:val="22"/>
          <w:lang w:val="fr-FR"/>
        </w:rPr>
      </w:pPr>
    </w:p>
    <w:p w14:paraId="32F1DBAB" w14:textId="1BA1F7C5" w:rsidR="005B4429" w:rsidRPr="0026653F" w:rsidRDefault="005B4429" w:rsidP="00C618DD">
      <w:pPr>
        <w:suppressAutoHyphens/>
        <w:ind w:firstLine="720"/>
        <w:rPr>
          <w:color w:val="000000"/>
          <w:szCs w:val="22"/>
          <w:lang w:val="fr-FR"/>
        </w:rPr>
      </w:pPr>
      <w:r w:rsidRPr="0026653F">
        <w:rPr>
          <w:color w:val="000000"/>
          <w:szCs w:val="22"/>
          <w:lang w:val="fr-FR"/>
        </w:rPr>
        <w:t xml:space="preserve">Que, une fois évalués les résultats positifs des travaux réalisés par la CITEL, il est nécessaire de garantir sa viabilité financière pour assurer qu’elle dispose des outils nécessaires </w:t>
      </w:r>
      <w:r w:rsidR="00BA60D5" w:rsidRPr="0026653F">
        <w:rPr>
          <w:color w:val="000000"/>
          <w:szCs w:val="22"/>
          <w:lang w:val="fr-FR"/>
        </w:rPr>
        <w:t xml:space="preserve">afin de </w:t>
      </w:r>
      <w:r w:rsidRPr="0026653F">
        <w:rPr>
          <w:color w:val="000000"/>
          <w:szCs w:val="22"/>
          <w:lang w:val="fr-FR"/>
        </w:rPr>
        <w:t xml:space="preserve">poursuivre son travail et </w:t>
      </w:r>
      <w:r w:rsidR="00BA60D5" w:rsidRPr="0026653F">
        <w:rPr>
          <w:color w:val="000000"/>
          <w:szCs w:val="22"/>
          <w:lang w:val="fr-FR"/>
        </w:rPr>
        <w:t>d’</w:t>
      </w:r>
      <w:r w:rsidRPr="0026653F">
        <w:rPr>
          <w:color w:val="000000"/>
          <w:szCs w:val="22"/>
          <w:lang w:val="fr-FR"/>
        </w:rPr>
        <w:t>exécuter son Plan stratégique 2018-2022 en conformité avec le Plan stratégique intégral de l’Organisation,</w:t>
      </w:r>
    </w:p>
    <w:p w14:paraId="03850FAC" w14:textId="77777777" w:rsidR="005B4429" w:rsidRPr="0026653F" w:rsidRDefault="005B4429" w:rsidP="00C618DD">
      <w:pPr>
        <w:suppressAutoHyphens/>
        <w:rPr>
          <w:color w:val="000000"/>
          <w:szCs w:val="22"/>
          <w:lang w:val="fr-FR"/>
        </w:rPr>
      </w:pPr>
    </w:p>
    <w:p w14:paraId="22B6DB77" w14:textId="2442BD71" w:rsidR="005B4429" w:rsidRPr="0026653F" w:rsidRDefault="005B4429" w:rsidP="00C618DD">
      <w:pPr>
        <w:suppressAutoHyphens/>
        <w:rPr>
          <w:color w:val="000000"/>
          <w:szCs w:val="22"/>
          <w:lang w:val="fr-FR"/>
        </w:rPr>
      </w:pPr>
      <w:r w:rsidRPr="0026653F">
        <w:rPr>
          <w:color w:val="000000"/>
          <w:szCs w:val="22"/>
          <w:lang w:val="fr-FR"/>
        </w:rPr>
        <w:t xml:space="preserve">DÉCIDE : </w:t>
      </w:r>
    </w:p>
    <w:p w14:paraId="5C0E393C" w14:textId="77777777" w:rsidR="005B4429" w:rsidRPr="0026653F" w:rsidRDefault="005B4429" w:rsidP="00C618DD">
      <w:pPr>
        <w:suppressAutoHyphens/>
        <w:rPr>
          <w:color w:val="000000"/>
          <w:szCs w:val="22"/>
          <w:lang w:val="fr-FR"/>
        </w:rPr>
      </w:pPr>
    </w:p>
    <w:p w14:paraId="28B6A28E" w14:textId="1C2DC601" w:rsidR="005B4429" w:rsidRPr="0026653F" w:rsidRDefault="005B4429" w:rsidP="00C618DD">
      <w:pPr>
        <w:numPr>
          <w:ilvl w:val="0"/>
          <w:numId w:val="72"/>
        </w:numPr>
        <w:suppressAutoHyphens/>
        <w:ind w:firstLine="720"/>
        <w:rPr>
          <w:color w:val="000000"/>
          <w:szCs w:val="22"/>
          <w:lang w:val="fr-FR"/>
        </w:rPr>
      </w:pPr>
      <w:r w:rsidRPr="0026653F">
        <w:rPr>
          <w:color w:val="000000"/>
          <w:szCs w:val="22"/>
          <w:lang w:val="fr-FR"/>
        </w:rPr>
        <w:t>D’encourager les États membres de l’Organisation des États Américains (OEA) à accroître leur coopération horizontale ainsi que les échanges d’information, de données d’expériences et de bonnes pratiques en matière de télécommunications et de technologies de l’information et des communications (TIC) avec le soutien du Secrétariat de la Commission interaméricaine des télécommunications (CITEL).</w:t>
      </w:r>
    </w:p>
    <w:p w14:paraId="0186E507" w14:textId="77777777" w:rsidR="001721BC" w:rsidRPr="0026653F" w:rsidRDefault="001721BC" w:rsidP="00C618DD">
      <w:pPr>
        <w:suppressAutoHyphens/>
        <w:rPr>
          <w:color w:val="000000"/>
          <w:szCs w:val="22"/>
          <w:lang w:val="fr-FR"/>
        </w:rPr>
      </w:pPr>
    </w:p>
    <w:p w14:paraId="2F0CDCF0" w14:textId="43996BAF" w:rsidR="005B4429" w:rsidRPr="0026653F" w:rsidRDefault="005B4429" w:rsidP="00C618DD">
      <w:pPr>
        <w:numPr>
          <w:ilvl w:val="0"/>
          <w:numId w:val="72"/>
        </w:numPr>
        <w:suppressAutoHyphens/>
        <w:ind w:firstLine="720"/>
        <w:rPr>
          <w:color w:val="000000"/>
          <w:szCs w:val="22"/>
          <w:lang w:val="fr-FR"/>
        </w:rPr>
      </w:pPr>
      <w:r w:rsidRPr="0026653F">
        <w:rPr>
          <w:color w:val="000000"/>
          <w:szCs w:val="22"/>
          <w:lang w:val="fr-FR"/>
        </w:rPr>
        <w:t xml:space="preserve">D’encourager les États membres à mettre en œuvre des activités sur les plans national et régional pour faire </w:t>
      </w:r>
      <w:r w:rsidR="00464DED" w:rsidRPr="0026653F">
        <w:rPr>
          <w:color w:val="000000"/>
          <w:szCs w:val="22"/>
          <w:lang w:val="fr-FR"/>
        </w:rPr>
        <w:t>progresser</w:t>
      </w:r>
      <w:r w:rsidRPr="0026653F">
        <w:rPr>
          <w:color w:val="000000"/>
          <w:szCs w:val="22"/>
          <w:lang w:val="fr-FR"/>
        </w:rPr>
        <w:t xml:space="preserve"> la connectivité et l’accès large bande comme moteur essentiel du développement durable</w:t>
      </w:r>
      <w:r w:rsidR="00464DED" w:rsidRPr="0026653F">
        <w:rPr>
          <w:color w:val="000000"/>
          <w:szCs w:val="22"/>
          <w:lang w:val="fr-FR"/>
        </w:rPr>
        <w:t>, et de les inviter à participer aux différentes activités convoquées par la CITEL.</w:t>
      </w:r>
    </w:p>
    <w:p w14:paraId="1B84C127" w14:textId="77777777" w:rsidR="005B4429" w:rsidRPr="0026653F" w:rsidRDefault="005B4429" w:rsidP="00C618DD">
      <w:pPr>
        <w:suppressAutoHyphens/>
        <w:rPr>
          <w:color w:val="000000"/>
          <w:szCs w:val="22"/>
          <w:lang w:val="fr-FR"/>
        </w:rPr>
      </w:pPr>
    </w:p>
    <w:p w14:paraId="4EF2AB9A" w14:textId="5512DA7B" w:rsidR="005B4429" w:rsidRPr="0026653F" w:rsidRDefault="005B4429" w:rsidP="00C618DD">
      <w:pPr>
        <w:numPr>
          <w:ilvl w:val="0"/>
          <w:numId w:val="72"/>
        </w:numPr>
        <w:suppressAutoHyphens/>
        <w:ind w:firstLine="720"/>
        <w:rPr>
          <w:color w:val="000000"/>
          <w:szCs w:val="22"/>
          <w:lang w:val="fr-FR"/>
        </w:rPr>
      </w:pPr>
      <w:r w:rsidRPr="0026653F">
        <w:rPr>
          <w:color w:val="000000"/>
          <w:szCs w:val="22"/>
          <w:lang w:val="fr-FR"/>
        </w:rPr>
        <w:t xml:space="preserve">De charger le Secrétariat général, lorsqu’il élaborera la proposition de programme-budget </w:t>
      </w:r>
      <w:r w:rsidR="006F1BBD" w:rsidRPr="0026653F">
        <w:rPr>
          <w:color w:val="000000"/>
          <w:szCs w:val="22"/>
          <w:lang w:val="fr-FR"/>
        </w:rPr>
        <w:t>2021</w:t>
      </w:r>
      <w:r w:rsidRPr="0026653F">
        <w:rPr>
          <w:color w:val="000000"/>
          <w:szCs w:val="22"/>
          <w:lang w:val="fr-FR"/>
        </w:rPr>
        <w:t xml:space="preserve"> qui sera examinée par la Commission des questions administratives et budgétaires et adoptée par l’Assemblée générale, de continuer de tenir compte des besoins financiers de la CITEL conformément à la résolution CITEL/RES. 80 (VII-18), adoptée lors de la septième réunion ordinaire </w:t>
      </w:r>
      <w:r w:rsidRPr="0026653F">
        <w:rPr>
          <w:color w:val="000000"/>
          <w:szCs w:val="22"/>
          <w:lang w:val="fr-FR"/>
        </w:rPr>
        <w:lastRenderedPageBreak/>
        <w:t xml:space="preserve">de l’Assemblée de la CITEL, et à la résolution AG/RES.  </w:t>
      </w:r>
      <w:r w:rsidR="00464DED" w:rsidRPr="0026653F">
        <w:rPr>
          <w:color w:val="000000"/>
          <w:szCs w:val="22"/>
          <w:lang w:val="fr-FR"/>
        </w:rPr>
        <w:t>2940</w:t>
      </w:r>
      <w:r w:rsidRPr="0026653F">
        <w:rPr>
          <w:color w:val="000000"/>
          <w:szCs w:val="22"/>
          <w:lang w:val="fr-FR"/>
        </w:rPr>
        <w:t xml:space="preserve"> (</w:t>
      </w:r>
      <w:r w:rsidR="00464DED" w:rsidRPr="0026653F">
        <w:rPr>
          <w:color w:val="000000"/>
          <w:szCs w:val="22"/>
          <w:lang w:val="fr-FR"/>
        </w:rPr>
        <w:t>XLIX</w:t>
      </w:r>
      <w:r w:rsidRPr="0026653F">
        <w:rPr>
          <w:color w:val="000000"/>
          <w:szCs w:val="22"/>
          <w:lang w:val="fr-FR"/>
        </w:rPr>
        <w:t>-</w:t>
      </w:r>
      <w:r w:rsidR="00464DED" w:rsidRPr="0026653F">
        <w:rPr>
          <w:color w:val="000000"/>
          <w:szCs w:val="22"/>
          <w:lang w:val="fr-FR"/>
        </w:rPr>
        <w:t>O</w:t>
      </w:r>
      <w:r w:rsidRPr="0026653F">
        <w:rPr>
          <w:color w:val="000000"/>
          <w:szCs w:val="22"/>
          <w:lang w:val="fr-FR"/>
        </w:rPr>
        <w:t>/1</w:t>
      </w:r>
      <w:r w:rsidR="00464DED" w:rsidRPr="0026653F">
        <w:rPr>
          <w:color w:val="000000"/>
          <w:szCs w:val="22"/>
          <w:lang w:val="fr-FR"/>
        </w:rPr>
        <w:t>9</w:t>
      </w:r>
      <w:r w:rsidRPr="0026653F">
        <w:rPr>
          <w:color w:val="000000"/>
          <w:szCs w:val="22"/>
          <w:lang w:val="fr-FR"/>
        </w:rPr>
        <w:t>)</w:t>
      </w:r>
      <w:r w:rsidRPr="0026653F">
        <w:rPr>
          <w:bCs/>
          <w:color w:val="000000"/>
          <w:kern w:val="32"/>
          <w:szCs w:val="22"/>
          <w:lang w:val="fr-FR"/>
        </w:rPr>
        <w:t>, « Programme-budget 20</w:t>
      </w:r>
      <w:r w:rsidR="00464DED" w:rsidRPr="0026653F">
        <w:rPr>
          <w:bCs/>
          <w:color w:val="000000"/>
          <w:kern w:val="32"/>
          <w:szCs w:val="22"/>
          <w:lang w:val="fr-FR"/>
        </w:rPr>
        <w:t>20</w:t>
      </w:r>
      <w:r w:rsidRPr="0026653F">
        <w:rPr>
          <w:bCs/>
          <w:color w:val="000000"/>
          <w:kern w:val="32"/>
          <w:szCs w:val="22"/>
          <w:lang w:val="fr-FR"/>
        </w:rPr>
        <w:t xml:space="preserve"> de l’Organisation », adoptée par l'Assemblée générale</w:t>
      </w:r>
      <w:r w:rsidR="009404E2" w:rsidRPr="0026653F">
        <w:rPr>
          <w:bCs/>
          <w:color w:val="000000"/>
          <w:kern w:val="32"/>
          <w:szCs w:val="22"/>
          <w:lang w:val="fr-FR"/>
        </w:rPr>
        <w:t xml:space="preserve"> </w:t>
      </w:r>
      <w:r w:rsidRPr="0026653F">
        <w:rPr>
          <w:bCs/>
          <w:color w:val="000000"/>
          <w:kern w:val="32"/>
          <w:szCs w:val="22"/>
          <w:lang w:val="fr-FR"/>
        </w:rPr>
        <w:t xml:space="preserve">lors de sa </w:t>
      </w:r>
      <w:r w:rsidR="00464DED" w:rsidRPr="0026653F">
        <w:rPr>
          <w:bCs/>
          <w:color w:val="000000"/>
          <w:kern w:val="32"/>
          <w:szCs w:val="22"/>
          <w:lang w:val="fr-FR"/>
        </w:rPr>
        <w:t xml:space="preserve">quarante-neuvième </w:t>
      </w:r>
      <w:r w:rsidRPr="0026653F">
        <w:rPr>
          <w:bCs/>
          <w:color w:val="000000"/>
          <w:kern w:val="32"/>
          <w:szCs w:val="22"/>
          <w:lang w:val="fr-FR"/>
        </w:rPr>
        <w:t>session ordinaire,</w:t>
      </w:r>
      <w:r w:rsidRPr="0026653F">
        <w:rPr>
          <w:color w:val="000000"/>
          <w:szCs w:val="22"/>
          <w:lang w:val="fr-FR"/>
        </w:rPr>
        <w:t xml:space="preserve"> de sorte que la CITEL soit en mesure de </w:t>
      </w:r>
      <w:r w:rsidR="00464DED" w:rsidRPr="0026653F">
        <w:rPr>
          <w:color w:val="000000"/>
          <w:szCs w:val="22"/>
          <w:lang w:val="fr-FR"/>
        </w:rPr>
        <w:t xml:space="preserve">continuer à réaliser </w:t>
      </w:r>
      <w:r w:rsidRPr="0026653F">
        <w:rPr>
          <w:color w:val="000000"/>
          <w:szCs w:val="22"/>
          <w:lang w:val="fr-FR"/>
        </w:rPr>
        <w:t>ses objectifs</w:t>
      </w:r>
      <w:r w:rsidR="00BA60D5" w:rsidRPr="0026653F">
        <w:rPr>
          <w:color w:val="000000"/>
          <w:szCs w:val="22"/>
          <w:lang w:val="fr-FR"/>
        </w:rPr>
        <w:t xml:space="preserve"> et </w:t>
      </w:r>
      <w:r w:rsidRPr="0026653F">
        <w:rPr>
          <w:color w:val="000000"/>
          <w:szCs w:val="22"/>
          <w:lang w:val="fr-FR"/>
        </w:rPr>
        <w:t>sa mission et</w:t>
      </w:r>
      <w:r w:rsidR="00BA60D5" w:rsidRPr="0026653F">
        <w:rPr>
          <w:color w:val="000000"/>
          <w:szCs w:val="22"/>
          <w:lang w:val="fr-FR"/>
        </w:rPr>
        <w:t xml:space="preserve"> à </w:t>
      </w:r>
      <w:r w:rsidR="00464DED" w:rsidRPr="0026653F">
        <w:rPr>
          <w:color w:val="000000"/>
          <w:szCs w:val="22"/>
          <w:lang w:val="fr-FR"/>
        </w:rPr>
        <w:t xml:space="preserve">optimiser </w:t>
      </w:r>
      <w:r w:rsidRPr="0026653F">
        <w:rPr>
          <w:color w:val="000000"/>
          <w:szCs w:val="22"/>
          <w:lang w:val="fr-FR"/>
        </w:rPr>
        <w:t>son fonctionnement.</w:t>
      </w:r>
    </w:p>
    <w:p w14:paraId="4EAE1E81" w14:textId="77777777" w:rsidR="005B4429" w:rsidRPr="0026653F" w:rsidRDefault="005B4429" w:rsidP="00C618DD">
      <w:pPr>
        <w:suppressAutoHyphens/>
        <w:rPr>
          <w:color w:val="000000"/>
          <w:szCs w:val="22"/>
          <w:lang w:val="fr-FR"/>
        </w:rPr>
      </w:pPr>
    </w:p>
    <w:p w14:paraId="08D51E12" w14:textId="6CBFAED9" w:rsidR="005B4429" w:rsidRPr="0026653F" w:rsidRDefault="005B4429" w:rsidP="00C618DD">
      <w:pPr>
        <w:numPr>
          <w:ilvl w:val="0"/>
          <w:numId w:val="72"/>
        </w:numPr>
        <w:suppressAutoHyphens/>
        <w:ind w:firstLine="720"/>
        <w:rPr>
          <w:color w:val="000000"/>
          <w:szCs w:val="22"/>
          <w:lang w:val="fr-FR"/>
        </w:rPr>
      </w:pPr>
      <w:r w:rsidRPr="0026653F">
        <w:rPr>
          <w:color w:val="000000"/>
          <w:szCs w:val="22"/>
          <w:lang w:val="fr-FR"/>
        </w:rPr>
        <w:t>De demander au Secrétariat de la CITEL de faire rapport à l'Assemblée générale lors de sa cinquant</w:t>
      </w:r>
      <w:r w:rsidR="006A356D" w:rsidRPr="0026653F">
        <w:rPr>
          <w:color w:val="000000"/>
          <w:szCs w:val="22"/>
          <w:lang w:val="fr-FR"/>
        </w:rPr>
        <w:t>e-et-un</w:t>
      </w:r>
      <w:r w:rsidRPr="0026653F">
        <w:rPr>
          <w:color w:val="000000"/>
          <w:szCs w:val="22"/>
          <w:lang w:val="fr-FR"/>
        </w:rPr>
        <w:t>ième session ordinaire sur la mise en œuvre de la présente résolution, et d’établir que la mise en œuvre des activités qui y sont prévues dépendra de la disponibilité des ressources financières inscrites à ce titre dans le programme-budget de l’Organisation, ainsi que d’autres ressources.</w:t>
      </w:r>
    </w:p>
    <w:p w14:paraId="72EF5EE5" w14:textId="78C15255" w:rsidR="006F1BBD" w:rsidRPr="0026653F" w:rsidRDefault="006F1BBD" w:rsidP="00C618DD">
      <w:pPr>
        <w:pStyle w:val="Heading1"/>
        <w:jc w:val="both"/>
        <w:rPr>
          <w:szCs w:val="22"/>
          <w:lang w:val="fr-FR"/>
        </w:rPr>
      </w:pPr>
    </w:p>
    <w:p w14:paraId="64186688" w14:textId="77777777" w:rsidR="006F1BBD" w:rsidRPr="0026653F" w:rsidRDefault="006F1BBD" w:rsidP="00C618DD">
      <w:pPr>
        <w:jc w:val="left"/>
        <w:rPr>
          <w:szCs w:val="22"/>
          <w:lang w:val="fr-FR"/>
        </w:rPr>
      </w:pPr>
      <w:r w:rsidRPr="0026653F">
        <w:rPr>
          <w:szCs w:val="22"/>
          <w:lang w:val="fr-FR"/>
        </w:rPr>
        <w:br w:type="page"/>
      </w:r>
    </w:p>
    <w:p w14:paraId="17226C9D" w14:textId="77777777" w:rsidR="006F1BBD" w:rsidRPr="0026653F" w:rsidRDefault="006F1BBD" w:rsidP="00C618DD">
      <w:pPr>
        <w:jc w:val="center"/>
        <w:rPr>
          <w:sz w:val="20"/>
          <w:lang w:val="fr-FR"/>
        </w:rPr>
      </w:pPr>
      <w:r w:rsidRPr="0026653F">
        <w:rPr>
          <w:sz w:val="20"/>
          <w:lang w:val="fr-FR"/>
        </w:rPr>
        <w:lastRenderedPageBreak/>
        <w:t>NOTE</w:t>
      </w:r>
      <w:r w:rsidR="00557F4E" w:rsidRPr="0026653F">
        <w:rPr>
          <w:sz w:val="20"/>
          <w:lang w:val="fr-FR"/>
        </w:rPr>
        <w:t>S</w:t>
      </w:r>
      <w:r w:rsidRPr="0026653F">
        <w:rPr>
          <w:sz w:val="20"/>
          <w:lang w:val="fr-FR"/>
        </w:rPr>
        <w:t xml:space="preserve"> DE BAS DE PAGE</w:t>
      </w:r>
    </w:p>
    <w:p w14:paraId="1EAD8A85" w14:textId="77777777" w:rsidR="006F1BBD" w:rsidRPr="0026653F" w:rsidRDefault="006F1BBD" w:rsidP="00350E3A">
      <w:pPr>
        <w:rPr>
          <w:sz w:val="20"/>
          <w:lang w:val="fr-FR"/>
        </w:rPr>
      </w:pPr>
    </w:p>
    <w:p w14:paraId="02A7CEBC" w14:textId="77777777" w:rsidR="006F1BBD" w:rsidRPr="0026653F" w:rsidRDefault="006F1BBD" w:rsidP="00350E3A">
      <w:pPr>
        <w:rPr>
          <w:sz w:val="20"/>
          <w:lang w:val="fr-FR"/>
        </w:rPr>
      </w:pPr>
    </w:p>
    <w:p w14:paraId="7AB2C188" w14:textId="77777777" w:rsidR="00837943" w:rsidRPr="0026653F" w:rsidRDefault="00837943" w:rsidP="00C618DD">
      <w:pPr>
        <w:ind w:firstLine="720"/>
        <w:rPr>
          <w:sz w:val="20"/>
          <w:lang w:val="fr-FR"/>
        </w:rPr>
      </w:pPr>
      <w:r w:rsidRPr="0026653F">
        <w:rPr>
          <w:sz w:val="20"/>
          <w:lang w:val="fr-FR"/>
        </w:rPr>
        <w:t>1.</w:t>
      </w:r>
      <w:r w:rsidRPr="0026653F">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6B78A4D" w14:textId="77777777" w:rsidR="00837943" w:rsidRPr="0026653F" w:rsidRDefault="00837943" w:rsidP="00C618DD">
      <w:pPr>
        <w:rPr>
          <w:sz w:val="20"/>
          <w:lang w:val="fr-FR"/>
        </w:rPr>
      </w:pPr>
    </w:p>
    <w:p w14:paraId="3A417B2C" w14:textId="77777777" w:rsidR="00837943" w:rsidRPr="0026653F" w:rsidRDefault="00837943" w:rsidP="00C618DD">
      <w:pPr>
        <w:ind w:firstLine="720"/>
        <w:rPr>
          <w:sz w:val="20"/>
          <w:lang w:val="fr-FR"/>
        </w:rPr>
      </w:pPr>
      <w:r w:rsidRPr="0026653F">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7D1F2098" w14:textId="77777777" w:rsidR="00837943" w:rsidRPr="0026653F" w:rsidRDefault="00837943" w:rsidP="00C618DD">
      <w:pPr>
        <w:rPr>
          <w:sz w:val="20"/>
          <w:lang w:val="fr-FR"/>
        </w:rPr>
      </w:pPr>
    </w:p>
    <w:p w14:paraId="2E3270B7" w14:textId="77777777" w:rsidR="006F1BBD" w:rsidRPr="0026653F" w:rsidRDefault="00837943" w:rsidP="00C618DD">
      <w:pPr>
        <w:ind w:firstLine="720"/>
        <w:rPr>
          <w:sz w:val="20"/>
          <w:lang w:val="fr-FR"/>
        </w:rPr>
      </w:pPr>
      <w:r w:rsidRPr="0026653F">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01ADBF1" w14:textId="77777777" w:rsidR="000A39C0" w:rsidRPr="0026653F" w:rsidRDefault="000A39C0" w:rsidP="00C618DD">
      <w:pPr>
        <w:rPr>
          <w:sz w:val="20"/>
          <w:lang w:val="fr-FR"/>
        </w:rPr>
      </w:pPr>
    </w:p>
    <w:p w14:paraId="0174A6FD" w14:textId="77777777" w:rsidR="00557F4E" w:rsidRPr="0026653F" w:rsidRDefault="00557F4E" w:rsidP="00C618DD">
      <w:pPr>
        <w:rPr>
          <w:rStyle w:val="FootnoteReference"/>
          <w:sz w:val="20"/>
          <w:lang w:val="fr-FR"/>
        </w:rPr>
      </w:pPr>
      <w:r w:rsidRPr="0026653F">
        <w:rPr>
          <w:sz w:val="20"/>
          <w:lang w:val="fr-FR"/>
        </w:rPr>
        <w:tab/>
        <w:t>2.</w:t>
      </w:r>
      <w:r w:rsidRPr="0026653F">
        <w:rPr>
          <w:sz w:val="20"/>
          <w:lang w:val="fr-FR"/>
        </w:rPr>
        <w:tab/>
        <w:t>… de l'Assemblée générale.</w:t>
      </w:r>
    </w:p>
    <w:p w14:paraId="7336E3BE" w14:textId="77777777" w:rsidR="00557F4E" w:rsidRPr="0026653F" w:rsidRDefault="00557F4E" w:rsidP="00C618DD">
      <w:pPr>
        <w:rPr>
          <w:szCs w:val="22"/>
          <w:lang w:val="fr-FR"/>
        </w:rPr>
      </w:pPr>
    </w:p>
    <w:p w14:paraId="1BCBD3D5" w14:textId="77777777" w:rsidR="00557F4E" w:rsidRPr="0026653F" w:rsidRDefault="00557F4E" w:rsidP="00C618DD">
      <w:pPr>
        <w:rPr>
          <w:szCs w:val="22"/>
          <w:lang w:val="fr-FR"/>
        </w:rPr>
        <w:sectPr w:rsidR="00557F4E" w:rsidRPr="0026653F" w:rsidSect="001B665B">
          <w:footerReference w:type="default" r:id="rId40"/>
          <w:headerReference w:type="first" r:id="rId41"/>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758A4F4B" w14:textId="4F665CC2" w:rsidR="004E2B94" w:rsidRPr="0026653F" w:rsidRDefault="00AF3C43" w:rsidP="00C618DD">
      <w:pPr>
        <w:pStyle w:val="Heading1"/>
        <w:rPr>
          <w:szCs w:val="22"/>
          <w:lang w:val="fr-FR"/>
        </w:rPr>
      </w:pPr>
      <w:bookmarkStart w:id="22" w:name="_Toc74732020"/>
      <w:r w:rsidRPr="0026653F">
        <w:rPr>
          <w:rStyle w:val="Heading1Char"/>
          <w:rFonts w:eastAsia="Calibri"/>
          <w:szCs w:val="22"/>
          <w:lang w:val="fr-FR"/>
        </w:rPr>
        <w:lastRenderedPageBreak/>
        <w:t>AG/RES. 2954 (L-O/20)</w:t>
      </w:r>
      <w:r w:rsidRPr="0026653F">
        <w:rPr>
          <w:rStyle w:val="Heading1Char"/>
          <w:rFonts w:eastAsia="Calibri"/>
          <w:szCs w:val="22"/>
          <w:lang w:val="fr-FR"/>
        </w:rPr>
        <w:br/>
      </w:r>
      <w:r w:rsidRPr="0026653F">
        <w:rPr>
          <w:rStyle w:val="Heading1Char"/>
          <w:rFonts w:eastAsia="Calibri"/>
          <w:szCs w:val="22"/>
          <w:lang w:val="fr-FR"/>
        </w:rPr>
        <w:br/>
      </w:r>
      <w:r w:rsidR="004E2B94" w:rsidRPr="0026653F">
        <w:rPr>
          <w:szCs w:val="22"/>
          <w:lang w:val="fr-FR"/>
        </w:rPr>
        <w:t>VERS UNE CHARTE INTERAMÉRICAINE DES ENTREPRISES</w:t>
      </w:r>
      <w:r w:rsidR="004E2B94" w:rsidRPr="0026653F">
        <w:rPr>
          <w:szCs w:val="22"/>
          <w:u w:val="single"/>
          <w:vertAlign w:val="superscript"/>
          <w:lang w:val="fr-FR"/>
        </w:rPr>
        <w:footnoteReference w:id="39"/>
      </w:r>
      <w:r w:rsidR="004E2B94" w:rsidRPr="0026653F">
        <w:rPr>
          <w:color w:val="000000"/>
          <w:szCs w:val="22"/>
          <w:vertAlign w:val="superscript"/>
          <w:lang w:val="fr-FR"/>
        </w:rPr>
        <w:t>/</w:t>
      </w:r>
      <w:r w:rsidR="004E2B94" w:rsidRPr="0026653F">
        <w:rPr>
          <w:szCs w:val="22"/>
          <w:u w:val="single"/>
          <w:vertAlign w:val="superscript"/>
          <w:lang w:val="fr-FR"/>
        </w:rPr>
        <w:footnoteReference w:id="40"/>
      </w:r>
      <w:r w:rsidR="004E2B94" w:rsidRPr="0026653F">
        <w:rPr>
          <w:szCs w:val="22"/>
          <w:vertAlign w:val="superscript"/>
          <w:lang w:val="fr-FR"/>
        </w:rPr>
        <w:t>/</w:t>
      </w:r>
      <w:r w:rsidR="006E6FAE" w:rsidRPr="0026653F">
        <w:rPr>
          <w:rStyle w:val="FootnoteReference"/>
          <w:szCs w:val="22"/>
          <w:u w:val="single"/>
          <w:vertAlign w:val="superscript"/>
          <w:lang w:val="fr-FR"/>
        </w:rPr>
        <w:footnoteReference w:id="41"/>
      </w:r>
      <w:r w:rsidR="006E6FAE" w:rsidRPr="0026653F">
        <w:rPr>
          <w:szCs w:val="22"/>
          <w:vertAlign w:val="superscript"/>
          <w:lang w:val="fr-FR"/>
        </w:rPr>
        <w:t>/</w:t>
      </w:r>
      <w:bookmarkEnd w:id="22"/>
    </w:p>
    <w:p w14:paraId="5610E3EF" w14:textId="77777777" w:rsidR="004E2B94" w:rsidRPr="0026653F" w:rsidRDefault="004E2B94" w:rsidP="00350E3A">
      <w:pPr>
        <w:rPr>
          <w:szCs w:val="22"/>
          <w:lang w:val="fr-FR"/>
        </w:rPr>
      </w:pPr>
    </w:p>
    <w:p w14:paraId="6105330B" w14:textId="77777777" w:rsidR="004E2B94" w:rsidRPr="0026653F" w:rsidRDefault="004E2B94" w:rsidP="00C618DD">
      <w:pPr>
        <w:jc w:val="center"/>
        <w:rPr>
          <w:szCs w:val="22"/>
          <w:lang w:val="fr-FR"/>
        </w:rPr>
      </w:pPr>
      <w:r w:rsidRPr="0026653F">
        <w:rPr>
          <w:szCs w:val="22"/>
          <w:lang w:val="fr-FR"/>
        </w:rPr>
        <w:t xml:space="preserve">(Résolution adoptée à la première séance plénière, le 20 octobre 2020) </w:t>
      </w:r>
    </w:p>
    <w:p w14:paraId="1F842A6E" w14:textId="77777777" w:rsidR="004E2B94" w:rsidRPr="0026653F" w:rsidRDefault="004E2B94" w:rsidP="00C618DD">
      <w:pPr>
        <w:jc w:val="left"/>
        <w:rPr>
          <w:szCs w:val="22"/>
          <w:lang w:val="fr-FR"/>
        </w:rPr>
      </w:pPr>
    </w:p>
    <w:p w14:paraId="2C5C73FC" w14:textId="77777777" w:rsidR="004E2B94" w:rsidRPr="0026653F" w:rsidRDefault="004E2B94" w:rsidP="00C618DD">
      <w:pPr>
        <w:jc w:val="left"/>
        <w:rPr>
          <w:szCs w:val="22"/>
          <w:lang w:val="fr-FR"/>
        </w:rPr>
      </w:pPr>
    </w:p>
    <w:p w14:paraId="71DA62F6" w14:textId="77777777" w:rsidR="004E2B94" w:rsidRPr="0026653F" w:rsidRDefault="004E2B94" w:rsidP="00C618DD">
      <w:pPr>
        <w:rPr>
          <w:szCs w:val="22"/>
          <w:lang w:val="fr-FR"/>
        </w:rPr>
      </w:pPr>
      <w:r w:rsidRPr="0026653F">
        <w:rPr>
          <w:szCs w:val="22"/>
          <w:lang w:val="fr-FR"/>
        </w:rPr>
        <w:tab/>
        <w:t>L’ASSEMBLÉE GÉNÉRALE,</w:t>
      </w:r>
    </w:p>
    <w:p w14:paraId="62135E18" w14:textId="77777777" w:rsidR="004E2B94" w:rsidRPr="0026653F" w:rsidRDefault="004E2B94" w:rsidP="00C618DD">
      <w:pPr>
        <w:rPr>
          <w:szCs w:val="22"/>
          <w:lang w:val="fr-FR"/>
        </w:rPr>
      </w:pPr>
    </w:p>
    <w:p w14:paraId="1C0D99C2" w14:textId="79F0E339" w:rsidR="004E2B94" w:rsidRPr="0026653F" w:rsidRDefault="004E2B94" w:rsidP="00C618DD">
      <w:pPr>
        <w:rPr>
          <w:szCs w:val="22"/>
          <w:shd w:val="clear" w:color="auto" w:fill="FFFFFF"/>
          <w:lang w:val="fr-FR"/>
        </w:rPr>
      </w:pPr>
      <w:r w:rsidRPr="0026653F">
        <w:rPr>
          <w:szCs w:val="22"/>
          <w:lang w:val="fr-FR"/>
        </w:rPr>
        <w:tab/>
        <w:t>CONSIDÉRANT que la Charte de l’Organisation des États Américains (OEA) établit que le développement intégr</w:t>
      </w:r>
      <w:r w:rsidR="00603293" w:rsidRPr="0026653F">
        <w:rPr>
          <w:szCs w:val="22"/>
          <w:lang w:val="fr-FR"/>
        </w:rPr>
        <w:t>é</w:t>
      </w:r>
      <w:r w:rsidRPr="0026653F">
        <w:rPr>
          <w:szCs w:val="22"/>
          <w:lang w:val="fr-FR"/>
        </w:rPr>
        <w:t xml:space="preserve"> englobe les domaines économique, social, éducatif, culturel, scientifique et technologique et que dans chacun de ces domaines, il appartient à chaque pays de fixer les objectifs propres à assurer ce développement</w:t>
      </w:r>
      <w:r w:rsidR="002E62B6" w:rsidRPr="0026653F">
        <w:rPr>
          <w:szCs w:val="22"/>
          <w:lang w:val="fr-FR"/>
        </w:rPr>
        <w:t>,</w:t>
      </w:r>
    </w:p>
    <w:p w14:paraId="50D0758D" w14:textId="77777777" w:rsidR="004E2B94" w:rsidRPr="0026653F" w:rsidRDefault="004E2B94" w:rsidP="00C618DD">
      <w:pPr>
        <w:rPr>
          <w:szCs w:val="22"/>
          <w:shd w:val="clear" w:color="auto" w:fill="FFFFFF"/>
          <w:lang w:val="fr-FR"/>
        </w:rPr>
      </w:pPr>
    </w:p>
    <w:p w14:paraId="683A8666" w14:textId="2949ED02" w:rsidR="004E2B94" w:rsidRPr="0026653F" w:rsidRDefault="004E2B94" w:rsidP="00C618DD">
      <w:pPr>
        <w:rPr>
          <w:bCs/>
          <w:i/>
          <w:iCs/>
          <w:szCs w:val="22"/>
          <w:lang w:val="fr-FR"/>
        </w:rPr>
      </w:pPr>
      <w:r w:rsidRPr="0026653F">
        <w:rPr>
          <w:szCs w:val="22"/>
          <w:lang w:val="fr-FR"/>
        </w:rPr>
        <w:tab/>
        <w:t>RAPPELANT que la Charte sociale des Amériques reconnaît que le secteur des entreprises joue un rôle important dans la création d’emplois et l’expansion des débouchés, qu’il contribue à la réduction de la pauvreté et que les politiques publiques et les cadres de règlementation doivent faciliter la création de nouvelles entreprises et l’incorporation du secteur informel à l’économie formelle, y compris des femmes entrepreneurs et des jeunes, ainsi que celle des personnes handicapées et d’autres groupes exclus</w:t>
      </w:r>
      <w:r w:rsidR="00603293" w:rsidRPr="0026653F">
        <w:rPr>
          <w:szCs w:val="22"/>
          <w:lang w:val="fr-FR"/>
        </w:rPr>
        <w:t>,</w:t>
      </w:r>
    </w:p>
    <w:p w14:paraId="2842F1A4" w14:textId="77777777" w:rsidR="004E2B94" w:rsidRPr="0026653F" w:rsidRDefault="004E2B94" w:rsidP="00C618DD">
      <w:pPr>
        <w:rPr>
          <w:bCs/>
          <w:i/>
          <w:iCs/>
          <w:szCs w:val="22"/>
          <w:lang w:val="fr-FR"/>
        </w:rPr>
      </w:pPr>
    </w:p>
    <w:p w14:paraId="2B3CDA59" w14:textId="14161D67" w:rsidR="004E2B94" w:rsidRPr="0026653F" w:rsidRDefault="004E2B94" w:rsidP="00C618DD">
      <w:pPr>
        <w:rPr>
          <w:szCs w:val="22"/>
          <w:lang w:val="fr-FR"/>
        </w:rPr>
      </w:pPr>
      <w:r w:rsidRPr="0026653F">
        <w:rPr>
          <w:szCs w:val="22"/>
          <w:lang w:val="fr-FR"/>
        </w:rPr>
        <w:tab/>
        <w:t xml:space="preserve">CONVAINCUE du rôle positif des initiatives et des activités des entreprises conjointement avec les investissements, l’esprit d’initiative et l’innovation privée qui, en tant que moteurs, contribuent aux économies des États membres et aux progrès qu’ils accomplissent vers la réalisation des </w:t>
      </w:r>
      <w:r w:rsidR="00603293" w:rsidRPr="0026653F">
        <w:rPr>
          <w:szCs w:val="22"/>
          <w:lang w:val="fr-FR"/>
        </w:rPr>
        <w:t>o</w:t>
      </w:r>
      <w:r w:rsidRPr="0026653F">
        <w:rPr>
          <w:szCs w:val="22"/>
          <w:lang w:val="fr-FR"/>
        </w:rPr>
        <w:t>bjectifs de développement durable</w:t>
      </w:r>
      <w:r w:rsidR="00603293" w:rsidRPr="0026653F">
        <w:rPr>
          <w:szCs w:val="22"/>
          <w:lang w:val="fr-FR"/>
        </w:rPr>
        <w:t>,</w:t>
      </w:r>
    </w:p>
    <w:p w14:paraId="589163E5" w14:textId="77777777" w:rsidR="004E2B94" w:rsidRPr="0026653F" w:rsidRDefault="004E2B94" w:rsidP="00C618DD">
      <w:pPr>
        <w:rPr>
          <w:szCs w:val="22"/>
          <w:lang w:val="fr-FR"/>
        </w:rPr>
      </w:pPr>
    </w:p>
    <w:p w14:paraId="5CB220AE" w14:textId="2F72AA52" w:rsidR="004E2B94" w:rsidRPr="0026653F" w:rsidRDefault="004E2B94" w:rsidP="00C618DD">
      <w:pPr>
        <w:rPr>
          <w:szCs w:val="22"/>
          <w:lang w:val="fr-FR"/>
        </w:rPr>
      </w:pPr>
      <w:r w:rsidRPr="0026653F">
        <w:rPr>
          <w:szCs w:val="22"/>
          <w:lang w:val="fr-FR"/>
        </w:rPr>
        <w:tab/>
        <w:t>RECONNAISSANT que les capacités de résilience de la région face aux vulnérabilités, comme les catastrophes naturelles et autres perturbations extérieures, pourraient être renforcées par la création de partenariats publics-privés</w:t>
      </w:r>
      <w:r w:rsidR="00603293" w:rsidRPr="0026653F">
        <w:rPr>
          <w:szCs w:val="22"/>
          <w:lang w:val="fr-FR"/>
        </w:rPr>
        <w:t>,</w:t>
      </w:r>
    </w:p>
    <w:p w14:paraId="389CA0E8" w14:textId="77777777" w:rsidR="004E2B94" w:rsidRPr="0026653F" w:rsidRDefault="004E2B94" w:rsidP="00C618DD">
      <w:pPr>
        <w:rPr>
          <w:szCs w:val="22"/>
          <w:lang w:val="fr-FR"/>
        </w:rPr>
      </w:pPr>
    </w:p>
    <w:p w14:paraId="6BD5BB1F" w14:textId="6CD9E4F8" w:rsidR="004E2B94" w:rsidRPr="0026653F" w:rsidRDefault="004E2B94" w:rsidP="00C618DD">
      <w:pPr>
        <w:ind w:left="-51" w:right="-18" w:firstLine="771"/>
        <w:contextualSpacing/>
        <w:rPr>
          <w:szCs w:val="22"/>
          <w:lang w:val="fr-FR"/>
        </w:rPr>
      </w:pPr>
      <w:r w:rsidRPr="0026653F">
        <w:rPr>
          <w:szCs w:val="22"/>
          <w:lang w:val="fr-FR"/>
        </w:rPr>
        <w:t xml:space="preserve">RAPPELANT la Déclaration de principes </w:t>
      </w:r>
      <w:r w:rsidR="00603293" w:rsidRPr="0026653F">
        <w:rPr>
          <w:szCs w:val="22"/>
          <w:lang w:val="fr-FR"/>
        </w:rPr>
        <w:t xml:space="preserve">tripartite </w:t>
      </w:r>
      <w:r w:rsidRPr="0026653F">
        <w:rPr>
          <w:szCs w:val="22"/>
          <w:lang w:val="fr-FR"/>
        </w:rPr>
        <w:t>sur les entreprises multinationales et la politique sociale de l’Organisation internationale du Travail</w:t>
      </w:r>
      <w:r w:rsidR="00EE2A02" w:rsidRPr="0026653F">
        <w:rPr>
          <w:szCs w:val="22"/>
          <w:lang w:val="fr-FR"/>
        </w:rPr>
        <w:t>,</w:t>
      </w:r>
    </w:p>
    <w:p w14:paraId="0178821C" w14:textId="77777777" w:rsidR="004E2B94" w:rsidRPr="0026653F" w:rsidRDefault="004E2B94" w:rsidP="00C618DD">
      <w:pPr>
        <w:ind w:left="-51" w:right="-18"/>
        <w:contextualSpacing/>
        <w:rPr>
          <w:szCs w:val="22"/>
          <w:lang w:val="fr-FR"/>
        </w:rPr>
      </w:pPr>
    </w:p>
    <w:p w14:paraId="07242ABE" w14:textId="7E31EAD0" w:rsidR="004E2B94" w:rsidRPr="0026653F" w:rsidRDefault="004E2B94" w:rsidP="00C618DD">
      <w:pPr>
        <w:ind w:right="-18" w:firstLine="720"/>
        <w:rPr>
          <w:szCs w:val="22"/>
          <w:bdr w:val="none" w:sz="0" w:space="0" w:color="auto" w:frame="1"/>
          <w:lang w:val="fr-FR"/>
        </w:rPr>
      </w:pPr>
      <w:r w:rsidRPr="0026653F">
        <w:rPr>
          <w:szCs w:val="22"/>
          <w:bdr w:val="none" w:sz="0" w:space="0" w:color="auto" w:frame="1"/>
          <w:lang w:val="fr-FR"/>
        </w:rPr>
        <w:t xml:space="preserve">METTANT L’ACCENT sur le fait que la coopération entre les États et tous les autres partenaires pertinents, en particulier le secteur privé, peut contribuer au développement des pays par l’incorporation de pratiques professionnelles responsables, le respect des principes du Pacte mondial des Nations Unies et la promotion des </w:t>
      </w:r>
      <w:r w:rsidR="00603293" w:rsidRPr="0026653F">
        <w:rPr>
          <w:szCs w:val="22"/>
          <w:bdr w:val="none" w:sz="0" w:space="0" w:color="auto" w:frame="1"/>
          <w:lang w:val="fr-FR"/>
        </w:rPr>
        <w:t>o</w:t>
      </w:r>
      <w:r w:rsidRPr="0026653F">
        <w:rPr>
          <w:szCs w:val="22"/>
          <w:bdr w:val="none" w:sz="0" w:space="0" w:color="auto" w:frame="1"/>
          <w:lang w:val="fr-FR"/>
        </w:rPr>
        <w:t>bjectifs de développement durable</w:t>
      </w:r>
      <w:r w:rsidR="00603293" w:rsidRPr="0026653F">
        <w:rPr>
          <w:szCs w:val="22"/>
          <w:bdr w:val="none" w:sz="0" w:space="0" w:color="auto" w:frame="1"/>
          <w:lang w:val="fr-FR"/>
        </w:rPr>
        <w:t>,</w:t>
      </w:r>
    </w:p>
    <w:p w14:paraId="118861D7" w14:textId="77777777" w:rsidR="004E2B94" w:rsidRPr="0026653F" w:rsidRDefault="004E2B94" w:rsidP="00C618DD">
      <w:pPr>
        <w:ind w:right="-18"/>
        <w:rPr>
          <w:szCs w:val="22"/>
          <w:lang w:val="fr-FR"/>
        </w:rPr>
      </w:pPr>
    </w:p>
    <w:p w14:paraId="381E3788" w14:textId="5C0A1CFB" w:rsidR="004E2B94" w:rsidRPr="0026653F" w:rsidRDefault="004E2B94" w:rsidP="00C618DD">
      <w:pPr>
        <w:ind w:right="-18" w:firstLine="720"/>
        <w:rPr>
          <w:szCs w:val="22"/>
          <w:lang w:val="fr-FR"/>
        </w:rPr>
      </w:pPr>
      <w:r w:rsidRPr="0026653F">
        <w:rPr>
          <w:szCs w:val="22"/>
          <w:lang w:val="fr-FR"/>
        </w:rPr>
        <w:t xml:space="preserve">RECONNAISSANT en particulier que le soutien du Conseil des droits de l’homme, dans sa résolution 17/4, aux Principes directeurs relatifs aux entreprises et aux droits de l’homme des Nations Unies a servi à établir un cadre de référence pour prévenir et affronter les conséquences néfastes des </w:t>
      </w:r>
      <w:r w:rsidRPr="0026653F">
        <w:rPr>
          <w:szCs w:val="22"/>
          <w:lang w:val="fr-FR"/>
        </w:rPr>
        <w:lastRenderedPageBreak/>
        <w:t>activités des entreprises pour les droits de la personne</w:t>
      </w:r>
      <w:r w:rsidR="00733D4F" w:rsidRPr="0026653F">
        <w:rPr>
          <w:szCs w:val="22"/>
          <w:lang w:val="fr-FR"/>
        </w:rPr>
        <w:t xml:space="preserve"> et y remédier</w:t>
      </w:r>
      <w:r w:rsidRPr="0026653F">
        <w:rPr>
          <w:szCs w:val="22"/>
          <w:lang w:val="fr-FR"/>
        </w:rPr>
        <w:t>, en se basant sur les trois piliers du Cadre des Nations Unies « Protéger, respecter et réparer »</w:t>
      </w:r>
      <w:r w:rsidR="00733D4F" w:rsidRPr="0026653F">
        <w:rPr>
          <w:szCs w:val="22"/>
          <w:lang w:val="fr-FR"/>
        </w:rPr>
        <w:t>,</w:t>
      </w:r>
    </w:p>
    <w:p w14:paraId="7A4523FF" w14:textId="77777777" w:rsidR="004E2B94" w:rsidRPr="0026653F" w:rsidRDefault="004E2B94" w:rsidP="00C618DD">
      <w:pPr>
        <w:ind w:left="-51" w:right="-18"/>
        <w:contextualSpacing/>
        <w:rPr>
          <w:bCs/>
          <w:szCs w:val="22"/>
          <w:shd w:val="clear" w:color="auto" w:fill="FFFFFF"/>
          <w:lang w:val="fr-FR"/>
        </w:rPr>
      </w:pPr>
    </w:p>
    <w:p w14:paraId="4982F003" w14:textId="10A3ABC1" w:rsidR="004E2B94" w:rsidRPr="0026653F" w:rsidRDefault="004E2B94" w:rsidP="00C618DD">
      <w:pPr>
        <w:ind w:firstLine="720"/>
        <w:rPr>
          <w:szCs w:val="22"/>
          <w:lang w:val="fr-FR"/>
        </w:rPr>
      </w:pPr>
      <w:r w:rsidRPr="0026653F">
        <w:rPr>
          <w:szCs w:val="22"/>
          <w:lang w:val="fr-FR"/>
        </w:rPr>
        <w:t>RAPPELANT que</w:t>
      </w:r>
      <w:r w:rsidR="00733D4F" w:rsidRPr="0026653F">
        <w:rPr>
          <w:szCs w:val="22"/>
          <w:lang w:val="fr-FR"/>
        </w:rPr>
        <w:t>,</w:t>
      </w:r>
      <w:r w:rsidRPr="0026653F">
        <w:rPr>
          <w:szCs w:val="22"/>
          <w:lang w:val="fr-FR"/>
        </w:rPr>
        <w:t xml:space="preserve"> le 26 septembre 2019</w:t>
      </w:r>
      <w:r w:rsidR="00733D4F" w:rsidRPr="0026653F">
        <w:rPr>
          <w:szCs w:val="22"/>
          <w:lang w:val="fr-FR"/>
        </w:rPr>
        <w:t>,</w:t>
      </w:r>
      <w:r w:rsidRPr="0026653F">
        <w:rPr>
          <w:szCs w:val="22"/>
          <w:lang w:val="fr-FR"/>
        </w:rPr>
        <w:t xml:space="preserve"> le Président de la Colombie a avancé l’idée que l’on dispose, dans le cadre de l’</w:t>
      </w:r>
      <w:r w:rsidR="00B407AD" w:rsidRPr="0026653F">
        <w:rPr>
          <w:szCs w:val="22"/>
          <w:lang w:val="fr-FR"/>
        </w:rPr>
        <w:t>OEA</w:t>
      </w:r>
      <w:r w:rsidRPr="0026653F">
        <w:rPr>
          <w:szCs w:val="22"/>
          <w:lang w:val="fr-FR"/>
        </w:rPr>
        <w:t>, d’une Charte interaméricaine des entreprises, en tant qu’outil de nature à appuyer les efforts que déploient les États membres pour atteindre leurs objectifs de développement intég</w:t>
      </w:r>
      <w:r w:rsidR="00733D4F" w:rsidRPr="0026653F">
        <w:rPr>
          <w:szCs w:val="22"/>
          <w:lang w:val="fr-FR"/>
        </w:rPr>
        <w:t>ré</w:t>
      </w:r>
      <w:r w:rsidRPr="0026653F">
        <w:rPr>
          <w:szCs w:val="22"/>
          <w:lang w:val="fr-FR"/>
        </w:rPr>
        <w:t>, par le biais du renforcement des initiatives privées en faveur du développement inclusif et durable, de la formalisation du travail, des emplois et de l’éducation ainsi que de l’innovation dans les entreprises, de la technologie et des économies créatives,</w:t>
      </w:r>
    </w:p>
    <w:p w14:paraId="3F3E7F07" w14:textId="77777777" w:rsidR="004E2B94" w:rsidRPr="0026653F" w:rsidRDefault="004E2B94" w:rsidP="00C618DD">
      <w:pPr>
        <w:rPr>
          <w:szCs w:val="22"/>
          <w:lang w:val="fr-FR"/>
        </w:rPr>
      </w:pPr>
    </w:p>
    <w:p w14:paraId="5B9C0483" w14:textId="77777777" w:rsidR="004E2B94" w:rsidRPr="0026653F" w:rsidRDefault="004E2B94" w:rsidP="00C618DD">
      <w:pPr>
        <w:rPr>
          <w:szCs w:val="22"/>
          <w:lang w:val="fr-FR"/>
        </w:rPr>
      </w:pPr>
      <w:r w:rsidRPr="0026653F">
        <w:rPr>
          <w:szCs w:val="22"/>
          <w:lang w:val="fr-FR"/>
        </w:rPr>
        <w:t xml:space="preserve">DÉCIDE : </w:t>
      </w:r>
    </w:p>
    <w:p w14:paraId="0B65EEAF" w14:textId="77777777" w:rsidR="004E2B94" w:rsidRPr="0026653F" w:rsidRDefault="004E2B94" w:rsidP="00C618DD">
      <w:pPr>
        <w:rPr>
          <w:szCs w:val="22"/>
          <w:lang w:val="fr-FR"/>
        </w:rPr>
      </w:pPr>
    </w:p>
    <w:p w14:paraId="608261ED" w14:textId="7200B465" w:rsidR="004E2B94" w:rsidRPr="0026653F" w:rsidRDefault="004E2B94" w:rsidP="00C618DD">
      <w:pPr>
        <w:ind w:firstLine="720"/>
        <w:contextualSpacing/>
        <w:rPr>
          <w:szCs w:val="22"/>
          <w:lang w:val="fr-FR"/>
        </w:rPr>
      </w:pPr>
      <w:r w:rsidRPr="0026653F">
        <w:rPr>
          <w:szCs w:val="22"/>
          <w:lang w:val="fr-FR"/>
        </w:rPr>
        <w:t>1.</w:t>
      </w:r>
      <w:r w:rsidRPr="0026653F">
        <w:rPr>
          <w:szCs w:val="22"/>
          <w:lang w:val="fr-FR"/>
        </w:rPr>
        <w:tab/>
        <w:t>D’élaborer un projet de résolution intitulé « Charte interaméricaine des entreprises » dans le but de renforcer les instruments de l’</w:t>
      </w:r>
      <w:r w:rsidR="00733D4F" w:rsidRPr="0026653F">
        <w:rPr>
          <w:szCs w:val="22"/>
          <w:lang w:val="fr-FR"/>
        </w:rPr>
        <w:t xml:space="preserve">Organisation des États Américains </w:t>
      </w:r>
      <w:r w:rsidRPr="0026653F">
        <w:rPr>
          <w:szCs w:val="22"/>
          <w:lang w:val="fr-FR"/>
        </w:rPr>
        <w:t>visant à promouvoir le rôle du secteur privé dans le développement intégr</w:t>
      </w:r>
      <w:r w:rsidR="006F6E16" w:rsidRPr="0026653F">
        <w:rPr>
          <w:szCs w:val="22"/>
          <w:lang w:val="fr-FR"/>
        </w:rPr>
        <w:t xml:space="preserve">é </w:t>
      </w:r>
      <w:r w:rsidRPr="0026653F">
        <w:rPr>
          <w:szCs w:val="22"/>
          <w:lang w:val="fr-FR"/>
        </w:rPr>
        <w:t xml:space="preserve">du </w:t>
      </w:r>
      <w:r w:rsidR="006F6E16" w:rsidRPr="0026653F">
        <w:rPr>
          <w:szCs w:val="22"/>
          <w:lang w:val="fr-FR"/>
        </w:rPr>
        <w:t>c</w:t>
      </w:r>
      <w:r w:rsidRPr="0026653F">
        <w:rPr>
          <w:szCs w:val="22"/>
          <w:lang w:val="fr-FR"/>
        </w:rPr>
        <w:t xml:space="preserve">ontinent américain et d’utiliser l’avant-projet de document ci-joint </w:t>
      </w:r>
      <w:r w:rsidR="00C12BCD" w:rsidRPr="0026653F">
        <w:rPr>
          <w:szCs w:val="22"/>
          <w:lang w:val="fr-FR"/>
        </w:rPr>
        <w:t xml:space="preserve">qui a été </w:t>
      </w:r>
      <w:r w:rsidRPr="0026653F">
        <w:rPr>
          <w:szCs w:val="22"/>
          <w:lang w:val="fr-FR"/>
        </w:rPr>
        <w:t>proposé par le gouvernement de la Colombie</w:t>
      </w:r>
      <w:r w:rsidR="00C12BCD" w:rsidRPr="0026653F">
        <w:rPr>
          <w:szCs w:val="22"/>
          <w:lang w:val="fr-FR"/>
        </w:rPr>
        <w:t xml:space="preserve"> afin d’</w:t>
      </w:r>
      <w:r w:rsidRPr="0026653F">
        <w:rPr>
          <w:szCs w:val="22"/>
          <w:lang w:val="fr-FR"/>
        </w:rPr>
        <w:t>engager des discussions</w:t>
      </w:r>
      <w:r w:rsidR="00C12BCD" w:rsidRPr="0026653F">
        <w:rPr>
          <w:szCs w:val="22"/>
          <w:lang w:val="fr-FR"/>
        </w:rPr>
        <w:t xml:space="preserve"> </w:t>
      </w:r>
      <w:r w:rsidRPr="0026653F">
        <w:rPr>
          <w:szCs w:val="22"/>
          <w:lang w:val="fr-FR"/>
        </w:rPr>
        <w:t xml:space="preserve">dans les </w:t>
      </w:r>
      <w:r w:rsidR="00C12BCD" w:rsidRPr="0026653F">
        <w:rPr>
          <w:szCs w:val="22"/>
          <w:lang w:val="fr-FR"/>
        </w:rPr>
        <w:t xml:space="preserve">meilleurs </w:t>
      </w:r>
      <w:r w:rsidRPr="0026653F">
        <w:rPr>
          <w:szCs w:val="22"/>
          <w:lang w:val="fr-FR"/>
        </w:rPr>
        <w:t xml:space="preserve">délais </w:t>
      </w:r>
      <w:r w:rsidR="00C12BCD" w:rsidRPr="0026653F">
        <w:rPr>
          <w:szCs w:val="22"/>
          <w:lang w:val="fr-FR"/>
        </w:rPr>
        <w:t xml:space="preserve">aux fins d’approbation </w:t>
      </w:r>
      <w:r w:rsidRPr="0026653F">
        <w:rPr>
          <w:szCs w:val="22"/>
          <w:lang w:val="fr-FR"/>
        </w:rPr>
        <w:t>par l’Assemblée générale lors de sa cinquant</w:t>
      </w:r>
      <w:r w:rsidR="006F6E16" w:rsidRPr="0026653F">
        <w:rPr>
          <w:szCs w:val="22"/>
          <w:lang w:val="fr-FR"/>
        </w:rPr>
        <w:t>e-et-</w:t>
      </w:r>
      <w:r w:rsidRPr="0026653F">
        <w:rPr>
          <w:szCs w:val="22"/>
          <w:lang w:val="fr-FR"/>
        </w:rPr>
        <w:t>unième session ordinaire.</w:t>
      </w:r>
    </w:p>
    <w:p w14:paraId="04F39D57" w14:textId="77777777" w:rsidR="004E2B94" w:rsidRPr="0026653F" w:rsidRDefault="004E2B94" w:rsidP="00C618DD">
      <w:pPr>
        <w:contextualSpacing/>
        <w:rPr>
          <w:szCs w:val="22"/>
          <w:lang w:val="fr-FR"/>
        </w:rPr>
      </w:pPr>
    </w:p>
    <w:p w14:paraId="10E7B6B9" w14:textId="20158A1E" w:rsidR="004E2B94" w:rsidRPr="0026653F" w:rsidRDefault="004E2B94" w:rsidP="00C618DD">
      <w:pPr>
        <w:ind w:firstLine="720"/>
        <w:contextualSpacing/>
        <w:rPr>
          <w:szCs w:val="22"/>
          <w:lang w:val="fr-FR"/>
        </w:rPr>
      </w:pPr>
      <w:r w:rsidRPr="0026653F">
        <w:rPr>
          <w:szCs w:val="22"/>
          <w:lang w:val="fr-FR"/>
        </w:rPr>
        <w:t>2.</w:t>
      </w:r>
      <w:r w:rsidRPr="0026653F">
        <w:rPr>
          <w:szCs w:val="22"/>
          <w:lang w:val="fr-FR"/>
        </w:rPr>
        <w:tab/>
        <w:t xml:space="preserve">De demander au Secrétariat général de fournir l’appui technique et logistique nécessaire </w:t>
      </w:r>
      <w:r w:rsidR="00C12BCD" w:rsidRPr="0026653F">
        <w:rPr>
          <w:szCs w:val="22"/>
          <w:lang w:val="fr-FR"/>
        </w:rPr>
        <w:t xml:space="preserve">à la tenue </w:t>
      </w:r>
      <w:r w:rsidRPr="0026653F">
        <w:rPr>
          <w:szCs w:val="22"/>
          <w:lang w:val="fr-FR"/>
        </w:rPr>
        <w:t>des discussions portant sur la proposition du gouvernement colombien.</w:t>
      </w:r>
    </w:p>
    <w:p w14:paraId="24599FD1" w14:textId="77777777" w:rsidR="004E2B94" w:rsidRPr="0026653F" w:rsidRDefault="004E2B94" w:rsidP="00C618DD">
      <w:pPr>
        <w:contextualSpacing/>
        <w:jc w:val="left"/>
        <w:rPr>
          <w:szCs w:val="22"/>
          <w:lang w:val="fr-FR"/>
        </w:rPr>
      </w:pPr>
    </w:p>
    <w:p w14:paraId="1D54C8C7" w14:textId="75606B73" w:rsidR="004E2B94" w:rsidRPr="0026653F" w:rsidRDefault="004E2B94" w:rsidP="00C618DD">
      <w:pPr>
        <w:ind w:firstLine="720"/>
        <w:contextualSpacing/>
        <w:rPr>
          <w:szCs w:val="22"/>
          <w:lang w:val="fr-FR"/>
        </w:rPr>
      </w:pPr>
      <w:r w:rsidRPr="0026653F">
        <w:rPr>
          <w:szCs w:val="22"/>
          <w:lang w:val="fr-FR"/>
        </w:rPr>
        <w:t>3.</w:t>
      </w:r>
      <w:r w:rsidRPr="0026653F">
        <w:rPr>
          <w:szCs w:val="22"/>
          <w:lang w:val="fr-FR"/>
        </w:rPr>
        <w:tab/>
        <w:t>D’encourager les États membres à mener, sur le plan interne, des consultations étendues et ouvertes à tous avec les parties concernées dans le contexte du processus de discussion.</w:t>
      </w:r>
    </w:p>
    <w:p w14:paraId="58A74871" w14:textId="77777777" w:rsidR="004E2B94" w:rsidRPr="0026653F" w:rsidRDefault="004E2B94" w:rsidP="00C618DD">
      <w:pPr>
        <w:contextualSpacing/>
        <w:jc w:val="left"/>
        <w:rPr>
          <w:bCs/>
          <w:color w:val="000000"/>
          <w:szCs w:val="22"/>
          <w:lang w:val="fr-FR"/>
        </w:rPr>
      </w:pPr>
    </w:p>
    <w:p w14:paraId="50348166" w14:textId="77777777" w:rsidR="00B407AD" w:rsidRPr="0026653F" w:rsidRDefault="004E2B94" w:rsidP="00C618DD">
      <w:pPr>
        <w:contextualSpacing/>
        <w:jc w:val="center"/>
        <w:rPr>
          <w:bCs/>
          <w:color w:val="000000"/>
          <w:szCs w:val="22"/>
          <w:lang w:val="fr-FR"/>
        </w:rPr>
      </w:pPr>
      <w:r w:rsidRPr="0026653F">
        <w:rPr>
          <w:bCs/>
          <w:color w:val="000000"/>
          <w:szCs w:val="22"/>
          <w:lang w:val="fr-FR"/>
        </w:rPr>
        <w:br w:type="page"/>
      </w:r>
    </w:p>
    <w:p w14:paraId="1F98C6F5" w14:textId="392A3938" w:rsidR="00B407AD" w:rsidRPr="0026653F" w:rsidRDefault="00B407AD" w:rsidP="00C618DD">
      <w:pPr>
        <w:contextualSpacing/>
        <w:jc w:val="right"/>
        <w:rPr>
          <w:bCs/>
          <w:color w:val="000000"/>
          <w:szCs w:val="22"/>
          <w:lang w:val="fr-FR"/>
        </w:rPr>
      </w:pPr>
      <w:r w:rsidRPr="0026653F">
        <w:rPr>
          <w:bCs/>
          <w:color w:val="000000"/>
          <w:szCs w:val="22"/>
          <w:lang w:val="fr-FR"/>
        </w:rPr>
        <w:lastRenderedPageBreak/>
        <w:t>ANNEXE</w:t>
      </w:r>
    </w:p>
    <w:p w14:paraId="26BF0389" w14:textId="77777777" w:rsidR="00B407AD" w:rsidRPr="0026653F" w:rsidRDefault="00B407AD" w:rsidP="00350E3A">
      <w:pPr>
        <w:contextualSpacing/>
        <w:rPr>
          <w:bCs/>
          <w:color w:val="000000"/>
          <w:szCs w:val="22"/>
          <w:lang w:val="fr-FR"/>
        </w:rPr>
      </w:pPr>
    </w:p>
    <w:p w14:paraId="368DC30D" w14:textId="77777777" w:rsidR="00032ADD" w:rsidRPr="0026653F" w:rsidRDefault="00032ADD" w:rsidP="00C618DD">
      <w:pPr>
        <w:contextualSpacing/>
        <w:jc w:val="center"/>
        <w:rPr>
          <w:bCs/>
          <w:color w:val="000000"/>
          <w:szCs w:val="22"/>
          <w:lang w:val="fr-FR"/>
        </w:rPr>
      </w:pPr>
      <w:r w:rsidRPr="0026653F">
        <w:rPr>
          <w:bCs/>
          <w:color w:val="000000"/>
          <w:szCs w:val="22"/>
          <w:lang w:val="fr-FR"/>
        </w:rPr>
        <w:t>CHARTE INTERAMÉRICAINE DES ENTREPRISES</w:t>
      </w:r>
    </w:p>
    <w:p w14:paraId="7780A6B5" w14:textId="77777777" w:rsidR="00032ADD" w:rsidRPr="0026653F" w:rsidRDefault="00032ADD" w:rsidP="00C618DD">
      <w:pPr>
        <w:rPr>
          <w:bCs/>
          <w:color w:val="000000"/>
          <w:szCs w:val="22"/>
          <w:lang w:val="fr-FR"/>
        </w:rPr>
      </w:pPr>
    </w:p>
    <w:p w14:paraId="1D88578E" w14:textId="77777777" w:rsidR="00032ADD" w:rsidRPr="0026653F" w:rsidRDefault="00032ADD" w:rsidP="00C618DD">
      <w:pPr>
        <w:rPr>
          <w:bCs/>
          <w:color w:val="000000"/>
          <w:szCs w:val="22"/>
          <w:lang w:val="fr-FR"/>
        </w:rPr>
      </w:pPr>
    </w:p>
    <w:p w14:paraId="1293A859" w14:textId="77777777" w:rsidR="00032ADD" w:rsidRPr="0026653F" w:rsidRDefault="00032ADD" w:rsidP="00C618DD">
      <w:pPr>
        <w:rPr>
          <w:bCs/>
          <w:color w:val="000000"/>
          <w:szCs w:val="22"/>
          <w:lang w:val="fr-FR"/>
        </w:rPr>
      </w:pPr>
      <w:r w:rsidRPr="0026653F">
        <w:rPr>
          <w:bCs/>
          <w:color w:val="000000"/>
          <w:szCs w:val="22"/>
          <w:lang w:val="fr-FR"/>
        </w:rPr>
        <w:tab/>
        <w:t>L’ASSEMBLÉE GÉNÉRALE,</w:t>
      </w:r>
    </w:p>
    <w:p w14:paraId="45AE15EE" w14:textId="77777777" w:rsidR="00032ADD" w:rsidRPr="0026653F" w:rsidRDefault="00032ADD" w:rsidP="00C618DD">
      <w:pPr>
        <w:rPr>
          <w:bCs/>
          <w:color w:val="000000"/>
          <w:szCs w:val="22"/>
          <w:lang w:val="fr-FR"/>
        </w:rPr>
      </w:pPr>
    </w:p>
    <w:p w14:paraId="428C1CC2" w14:textId="77777777" w:rsidR="00032ADD" w:rsidRPr="0026653F" w:rsidRDefault="00032ADD" w:rsidP="00C618DD">
      <w:pPr>
        <w:rPr>
          <w:bCs/>
          <w:color w:val="000000"/>
          <w:szCs w:val="22"/>
          <w:lang w:val="fr-FR"/>
        </w:rPr>
      </w:pPr>
      <w:r w:rsidRPr="0026653F">
        <w:rPr>
          <w:bCs/>
          <w:color w:val="000000"/>
          <w:szCs w:val="22"/>
          <w:lang w:val="fr-FR"/>
        </w:rPr>
        <w:tab/>
        <w:t>CONSIDÉRANT qu’aux termes de la Charte de l’Organisation des États Américains, le développement intégré englobe les domaines économique, social, éducatif, culturel, scientifique et technologique, au moyen desquels les pays s’efforcent d’atteindre leurs objectifs de développement,</w:t>
      </w:r>
    </w:p>
    <w:p w14:paraId="14381B64" w14:textId="77777777" w:rsidR="00032ADD" w:rsidRPr="0026653F" w:rsidRDefault="00032ADD" w:rsidP="00C618DD">
      <w:pPr>
        <w:rPr>
          <w:bCs/>
          <w:color w:val="000000"/>
          <w:szCs w:val="22"/>
          <w:lang w:val="fr-FR"/>
        </w:rPr>
      </w:pPr>
    </w:p>
    <w:p w14:paraId="477F87CC" w14:textId="60216049" w:rsidR="00032ADD" w:rsidRPr="0026653F" w:rsidRDefault="00032ADD" w:rsidP="00C618DD">
      <w:pPr>
        <w:rPr>
          <w:bCs/>
          <w:color w:val="000000"/>
          <w:szCs w:val="22"/>
          <w:lang w:val="fr-FR"/>
        </w:rPr>
      </w:pPr>
      <w:r w:rsidRPr="0026653F">
        <w:rPr>
          <w:bCs/>
          <w:caps/>
          <w:color w:val="000000"/>
          <w:szCs w:val="22"/>
          <w:lang w:val="fr-FR"/>
        </w:rPr>
        <w:tab/>
        <w:t xml:space="preserve">prenant en compte </w:t>
      </w:r>
      <w:r w:rsidRPr="0026653F">
        <w:rPr>
          <w:bCs/>
          <w:color w:val="000000"/>
          <w:szCs w:val="22"/>
          <w:lang w:val="fr-FR"/>
        </w:rPr>
        <w:t>que la Charte démocratique interaméricaine reconnaît que la démocratie et le développement économique et social sont interdépendants et se renforcent mutuellement, et que la promotion et le respect des droits économiques, sociaux et culturels sont inséparables du développement intégré, de la croissance économique assortie d’équité, de la consolidation de la démocratie et de la primauté du droit dans les États du Continent américain,</w:t>
      </w:r>
    </w:p>
    <w:p w14:paraId="028966FE" w14:textId="77777777" w:rsidR="00032ADD" w:rsidRPr="0026653F" w:rsidRDefault="00032ADD" w:rsidP="00C618DD">
      <w:pPr>
        <w:rPr>
          <w:bCs/>
          <w:color w:val="000000"/>
          <w:szCs w:val="22"/>
          <w:lang w:val="fr-FR"/>
        </w:rPr>
      </w:pPr>
    </w:p>
    <w:p w14:paraId="6C40D57E" w14:textId="77777777" w:rsidR="00032ADD" w:rsidRPr="0026653F" w:rsidRDefault="00032ADD" w:rsidP="00C618DD">
      <w:pPr>
        <w:rPr>
          <w:bCs/>
          <w:color w:val="000000"/>
          <w:szCs w:val="22"/>
          <w:lang w:val="fr-FR"/>
        </w:rPr>
      </w:pPr>
      <w:r w:rsidRPr="0026653F">
        <w:rPr>
          <w:bCs/>
          <w:color w:val="000000"/>
          <w:szCs w:val="22"/>
          <w:lang w:val="fr-FR"/>
        </w:rPr>
        <w:tab/>
        <w:t>RAPPELANT que la Charte sociale des Amériques reconnaît que le secteur des entreprises remplit un rôle important dans la création d’emplois et l’expansion des débouchés, et qu’il contribue à la réduction de la pauvreté. Les politiques publiques et les cadres de règlementation doivent faciliter la création de nouvelles entreprises et l’incorporation du secteur informel à l’économie officielle,</w:t>
      </w:r>
    </w:p>
    <w:p w14:paraId="0E4B3DF6" w14:textId="77777777" w:rsidR="00032ADD" w:rsidRPr="0026653F" w:rsidRDefault="00032ADD" w:rsidP="00C618DD">
      <w:pPr>
        <w:rPr>
          <w:bCs/>
          <w:color w:val="000000"/>
          <w:szCs w:val="22"/>
          <w:lang w:val="fr-FR"/>
        </w:rPr>
      </w:pPr>
    </w:p>
    <w:p w14:paraId="7794C23B" w14:textId="77777777" w:rsidR="00032ADD" w:rsidRPr="0026653F" w:rsidRDefault="00032ADD" w:rsidP="00C618DD">
      <w:pPr>
        <w:rPr>
          <w:bCs/>
          <w:color w:val="000000"/>
          <w:szCs w:val="22"/>
          <w:lang w:val="fr-FR"/>
        </w:rPr>
      </w:pPr>
      <w:r w:rsidRPr="0026653F">
        <w:rPr>
          <w:color w:val="000000"/>
          <w:szCs w:val="22"/>
          <w:lang w:val="fr-FR"/>
        </w:rPr>
        <w:tab/>
        <w:t>RÉAFFIRMANT que la pauvreté absolue constitue un obstacle au développement et, en particulier, au plein développement démocratique des peuples du Continent américain, et que par ailleurs, son élimination est essentielle et constitue une responsabilité commune et partagée des États américains</w:t>
      </w:r>
      <w:r w:rsidRPr="0026653F">
        <w:rPr>
          <w:bCs/>
          <w:color w:val="000000"/>
          <w:szCs w:val="22"/>
          <w:lang w:val="fr-FR"/>
        </w:rPr>
        <w:t>,</w:t>
      </w:r>
    </w:p>
    <w:p w14:paraId="20EC56A9" w14:textId="77777777" w:rsidR="00032ADD" w:rsidRPr="0026653F" w:rsidRDefault="00032ADD" w:rsidP="00C618DD">
      <w:pPr>
        <w:rPr>
          <w:bCs/>
          <w:color w:val="000000"/>
          <w:szCs w:val="22"/>
          <w:lang w:val="fr-FR"/>
        </w:rPr>
      </w:pPr>
    </w:p>
    <w:p w14:paraId="25C54360" w14:textId="77777777" w:rsidR="00032ADD" w:rsidRPr="0026653F" w:rsidRDefault="00032ADD" w:rsidP="00C618DD">
      <w:pPr>
        <w:rPr>
          <w:bCs/>
          <w:color w:val="000000"/>
          <w:szCs w:val="22"/>
          <w:shd w:val="clear" w:color="auto" w:fill="FFFFFF"/>
          <w:lang w:val="fr-FR"/>
        </w:rPr>
      </w:pPr>
      <w:r w:rsidRPr="0026653F">
        <w:rPr>
          <w:bCs/>
          <w:color w:val="000000"/>
          <w:szCs w:val="22"/>
          <w:lang w:val="fr-FR"/>
        </w:rPr>
        <w:tab/>
        <w:t xml:space="preserve">CONSIDÉRANT que chaque </w:t>
      </w:r>
      <w:r w:rsidRPr="0026653F">
        <w:rPr>
          <w:color w:val="000000"/>
          <w:szCs w:val="22"/>
          <w:lang w:val="fr-FR"/>
        </w:rPr>
        <w:t>État a la responsabilité primordiale de son développement</w:t>
      </w:r>
      <w:r w:rsidRPr="0026653F">
        <w:rPr>
          <w:bCs/>
          <w:color w:val="000000"/>
          <w:szCs w:val="22"/>
          <w:lang w:val="fr-FR"/>
        </w:rPr>
        <w:t>, lequel doit être un processus intégré et continu qui</w:t>
      </w:r>
      <w:r w:rsidRPr="0026653F">
        <w:rPr>
          <w:color w:val="000000"/>
          <w:szCs w:val="22"/>
          <w:lang w:val="fr-FR"/>
        </w:rPr>
        <w:t xml:space="preserve"> aboutisse et contribue au plein épanouissement de la personne humaine</w:t>
      </w:r>
      <w:r w:rsidRPr="0026653F">
        <w:rPr>
          <w:bCs/>
          <w:color w:val="000000"/>
          <w:szCs w:val="22"/>
          <w:shd w:val="clear" w:color="auto" w:fill="FFFFFF"/>
          <w:lang w:val="fr-FR"/>
        </w:rPr>
        <w:t>,</w:t>
      </w:r>
    </w:p>
    <w:p w14:paraId="1BB67346" w14:textId="77777777" w:rsidR="00032ADD" w:rsidRPr="0026653F" w:rsidRDefault="00032ADD" w:rsidP="00C618DD">
      <w:pPr>
        <w:rPr>
          <w:bCs/>
          <w:color w:val="000000"/>
          <w:szCs w:val="22"/>
          <w:lang w:val="fr-FR"/>
        </w:rPr>
      </w:pPr>
    </w:p>
    <w:p w14:paraId="4170FD27" w14:textId="77777777" w:rsidR="00032ADD" w:rsidRPr="0026653F" w:rsidRDefault="00032ADD" w:rsidP="00C618DD">
      <w:pPr>
        <w:rPr>
          <w:bCs/>
          <w:color w:val="000000"/>
          <w:szCs w:val="22"/>
          <w:lang w:val="fr-FR"/>
        </w:rPr>
      </w:pPr>
      <w:r w:rsidRPr="0026653F">
        <w:rPr>
          <w:bCs/>
          <w:color w:val="000000"/>
          <w:szCs w:val="22"/>
          <w:lang w:val="fr-FR"/>
        </w:rPr>
        <w:tab/>
        <w:t>TENANT COMPTE du fait que les progrès réalisés dans le domaine de la réduction des inégalités et des actions concrètes entreprises pour mettre en œuvre le Programme de développement à l’horizon 2030 et ses objectifs de développement durable, avec la participation de toutes les composantes de la société, y compris les entreprises privées de toute taille et également les organisations de la société civile et les organisations philanthropiques, nous mèneront à l’avènement de sociétés prospères, pacifiques et ouvertes à tous, sans laissés-pour-compte,</w:t>
      </w:r>
    </w:p>
    <w:p w14:paraId="26AC87E7" w14:textId="77777777" w:rsidR="00032ADD" w:rsidRPr="0026653F" w:rsidRDefault="00032ADD" w:rsidP="00C618DD">
      <w:pPr>
        <w:jc w:val="left"/>
        <w:rPr>
          <w:bCs/>
          <w:color w:val="000000"/>
          <w:szCs w:val="22"/>
          <w:lang w:val="fr-FR"/>
        </w:rPr>
      </w:pPr>
    </w:p>
    <w:p w14:paraId="43E66E60" w14:textId="77777777" w:rsidR="00032ADD" w:rsidRPr="0026653F" w:rsidRDefault="00032ADD" w:rsidP="00C618DD">
      <w:pPr>
        <w:rPr>
          <w:bCs/>
          <w:color w:val="000000"/>
          <w:szCs w:val="22"/>
          <w:lang w:val="fr-FR"/>
        </w:rPr>
      </w:pPr>
      <w:r w:rsidRPr="0026653F">
        <w:rPr>
          <w:bCs/>
          <w:color w:val="000000"/>
          <w:szCs w:val="22"/>
          <w:lang w:val="fr-FR"/>
        </w:rPr>
        <w:tab/>
        <w:t>RÉAFFIRMANT que la réalisation de l’Objectif de développement durable 1 (ODD 1), relative à la lutte contre la pauvreté sous toutes ses formes et dans toutes ses dimensions, est essentielle à la promotion et à la consolidation de la démocratie et constitue un intérêt commun des États américains,</w:t>
      </w:r>
    </w:p>
    <w:p w14:paraId="7A254152" w14:textId="77777777" w:rsidR="00032ADD" w:rsidRPr="0026653F" w:rsidRDefault="00032ADD" w:rsidP="00C618DD">
      <w:pPr>
        <w:rPr>
          <w:bCs/>
          <w:color w:val="000000"/>
          <w:szCs w:val="22"/>
          <w:lang w:val="fr-FR"/>
        </w:rPr>
      </w:pPr>
    </w:p>
    <w:p w14:paraId="0247EEF0" w14:textId="77777777" w:rsidR="00032ADD" w:rsidRPr="0026653F" w:rsidRDefault="00032ADD" w:rsidP="00C618DD">
      <w:pPr>
        <w:rPr>
          <w:bCs/>
          <w:color w:val="000000"/>
          <w:szCs w:val="22"/>
          <w:lang w:val="fr-FR"/>
        </w:rPr>
      </w:pPr>
      <w:r w:rsidRPr="0026653F">
        <w:rPr>
          <w:bCs/>
          <w:color w:val="000000"/>
          <w:szCs w:val="22"/>
          <w:lang w:val="fr-FR"/>
        </w:rPr>
        <w:tab/>
        <w:t xml:space="preserve">GARDANT À L’ESPRIT que pour réaliser l’Objectif de développement durable 5 (ODD 5), relative à l’égalité des sexes et l’autonomisation des femmes et des filles, il est nécessaire de renforcer et d’élargir la participation du secteur privé, en renforçant les capacités entrepreneuriales des femmes </w:t>
      </w:r>
      <w:r w:rsidRPr="0026653F">
        <w:rPr>
          <w:bCs/>
          <w:color w:val="000000"/>
          <w:szCs w:val="22"/>
          <w:lang w:val="fr-FR"/>
        </w:rPr>
        <w:lastRenderedPageBreak/>
        <w:t>et en promouvant leur participation [GT : et leur leadership], notamment dans les domaines clés de l’économie tels que les carrières en science, technologie, ingénierie et mathématiques (STEM),</w:t>
      </w:r>
    </w:p>
    <w:p w14:paraId="1CA62250" w14:textId="77777777" w:rsidR="00032ADD" w:rsidRPr="0026653F" w:rsidRDefault="00032ADD" w:rsidP="00C618DD">
      <w:pPr>
        <w:rPr>
          <w:bCs/>
          <w:color w:val="000000"/>
          <w:szCs w:val="22"/>
          <w:lang w:val="fr-FR"/>
        </w:rPr>
      </w:pPr>
    </w:p>
    <w:p w14:paraId="2C7F2897" w14:textId="77777777" w:rsidR="00032ADD" w:rsidRPr="0026653F" w:rsidRDefault="00032ADD" w:rsidP="00C618DD">
      <w:pPr>
        <w:ind w:firstLine="771"/>
        <w:contextualSpacing/>
        <w:rPr>
          <w:bCs/>
          <w:color w:val="000000"/>
          <w:szCs w:val="22"/>
          <w:lang w:val="fr-FR"/>
        </w:rPr>
      </w:pPr>
      <w:r w:rsidRPr="0026653F">
        <w:rPr>
          <w:bCs/>
          <w:color w:val="000000"/>
          <w:szCs w:val="22"/>
          <w:lang w:val="fr-FR"/>
        </w:rPr>
        <w:t>RAPPELANT que les efforts collectifs déployés pour atteindre l’Objectif de développement durable 8 (ODD 8), relatif au travail décent et à une croissance économique inclusive et durable, contribueront à la stabilité de la région, à la consolidation de la démocratie et à la prospérité des citoyens,</w:t>
      </w:r>
    </w:p>
    <w:p w14:paraId="2544E4F3" w14:textId="77777777" w:rsidR="00032ADD" w:rsidRPr="0026653F" w:rsidRDefault="00032ADD" w:rsidP="00C618DD">
      <w:pPr>
        <w:contextualSpacing/>
        <w:rPr>
          <w:bCs/>
          <w:color w:val="000000"/>
          <w:szCs w:val="22"/>
          <w:lang w:val="fr-FR"/>
        </w:rPr>
      </w:pPr>
    </w:p>
    <w:p w14:paraId="5F100BAD" w14:textId="77777777" w:rsidR="00032ADD" w:rsidRPr="0026653F" w:rsidRDefault="00032ADD" w:rsidP="00C618DD">
      <w:pPr>
        <w:ind w:firstLine="771"/>
        <w:contextualSpacing/>
        <w:rPr>
          <w:bCs/>
          <w:color w:val="000000"/>
          <w:szCs w:val="22"/>
          <w:lang w:val="fr-FR"/>
        </w:rPr>
      </w:pPr>
      <w:r w:rsidRPr="0026653F">
        <w:rPr>
          <w:bCs/>
          <w:color w:val="000000"/>
          <w:szCs w:val="22"/>
          <w:lang w:val="fr-FR"/>
        </w:rPr>
        <w:t xml:space="preserve">RECONNAISSANT qu’il </w:t>
      </w:r>
      <w:proofErr w:type="gramStart"/>
      <w:r w:rsidRPr="0026653F">
        <w:rPr>
          <w:bCs/>
          <w:color w:val="000000"/>
          <w:szCs w:val="22"/>
          <w:lang w:val="fr-FR"/>
        </w:rPr>
        <w:t>est</w:t>
      </w:r>
      <w:proofErr w:type="gramEnd"/>
      <w:r w:rsidRPr="0026653F">
        <w:rPr>
          <w:bCs/>
          <w:color w:val="000000"/>
          <w:szCs w:val="22"/>
          <w:lang w:val="fr-FR"/>
        </w:rPr>
        <w:t xml:space="preserve"> nécessaire de mettre en place des infrastructures résilientes, de promouvoir une industrialisation durable et sans exclusive et de favoriser l’innovation, comme le prévoit l’Objectif de développement durable 9 (ODD 9), afin de ne laisser personne pour compte et de faire bénéficier toutes les composantes de la société des avantages du développement,</w:t>
      </w:r>
    </w:p>
    <w:p w14:paraId="059CDE0B" w14:textId="77777777" w:rsidR="00032ADD" w:rsidRPr="0026653F" w:rsidRDefault="00032ADD" w:rsidP="00C618DD">
      <w:pPr>
        <w:rPr>
          <w:bCs/>
          <w:color w:val="000000"/>
          <w:szCs w:val="22"/>
          <w:lang w:val="fr-FR"/>
        </w:rPr>
      </w:pPr>
    </w:p>
    <w:p w14:paraId="6DFEF893" w14:textId="77777777" w:rsidR="00032ADD" w:rsidRPr="0026653F" w:rsidRDefault="00032ADD" w:rsidP="00C618DD">
      <w:pPr>
        <w:rPr>
          <w:bCs/>
          <w:color w:val="000000"/>
          <w:szCs w:val="22"/>
          <w:lang w:val="fr-FR"/>
        </w:rPr>
      </w:pPr>
      <w:r w:rsidRPr="0026653F">
        <w:rPr>
          <w:bCs/>
          <w:color w:val="000000"/>
          <w:szCs w:val="22"/>
          <w:lang w:val="fr-FR"/>
        </w:rPr>
        <w:tab/>
        <w:t>CONVAINCUE du rôle positif des initiatives et des activités des entreprises, ainsi que de l’investissement, de l’entrepreneuriat et de l’innovation privée en tant que moteurs de l’économie des États et générateurs de richesse et d’inclusion sociale, de création d’emplois décents, d’accroissement du bien-être dans les sociétés et du développement durable,</w:t>
      </w:r>
    </w:p>
    <w:p w14:paraId="69932286" w14:textId="77777777" w:rsidR="00032ADD" w:rsidRPr="0026653F" w:rsidRDefault="00032ADD" w:rsidP="00C618DD">
      <w:pPr>
        <w:rPr>
          <w:bCs/>
          <w:color w:val="000000"/>
          <w:szCs w:val="22"/>
          <w:lang w:val="fr-FR"/>
        </w:rPr>
      </w:pPr>
    </w:p>
    <w:p w14:paraId="4CA06A16" w14:textId="77777777" w:rsidR="00032ADD" w:rsidRPr="0026653F" w:rsidRDefault="00032ADD" w:rsidP="00C618DD">
      <w:pPr>
        <w:rPr>
          <w:bCs/>
          <w:color w:val="000000"/>
          <w:szCs w:val="22"/>
          <w:lang w:val="fr-FR"/>
        </w:rPr>
      </w:pPr>
      <w:r w:rsidRPr="0026653F">
        <w:rPr>
          <w:bCs/>
          <w:color w:val="000000"/>
          <w:szCs w:val="22"/>
          <w:lang w:val="fr-FR"/>
        </w:rPr>
        <w:tab/>
        <w:t>CONSCIENTE que les microentreprises et les petites et moyennes entreprises (MPME), en tant que créatrices de la plupart des emplois dans nos États et régions, sont parfois confrontées à des obstacles réglementaires ou n’ont pas suffisamment accès au financement et à la technologie et, en outre, ne disposent souvent pas d’informations suffisantes sur les droits et obligation relatives à la formalisation de leurs activités,</w:t>
      </w:r>
    </w:p>
    <w:p w14:paraId="4112AE0D" w14:textId="77777777" w:rsidR="00032ADD" w:rsidRPr="0026653F" w:rsidRDefault="00032ADD" w:rsidP="00C618DD">
      <w:pPr>
        <w:rPr>
          <w:bCs/>
          <w:color w:val="000000"/>
          <w:szCs w:val="22"/>
          <w:lang w:val="fr-FR"/>
        </w:rPr>
      </w:pPr>
    </w:p>
    <w:p w14:paraId="04ABFD52" w14:textId="77777777" w:rsidR="00032ADD" w:rsidRPr="0026653F" w:rsidRDefault="00032ADD" w:rsidP="00C618DD">
      <w:pPr>
        <w:rPr>
          <w:bCs/>
          <w:color w:val="000000"/>
          <w:szCs w:val="22"/>
          <w:lang w:val="fr-FR"/>
        </w:rPr>
      </w:pPr>
      <w:r w:rsidRPr="0026653F">
        <w:rPr>
          <w:bCs/>
          <w:color w:val="000000"/>
          <w:szCs w:val="22"/>
          <w:lang w:val="fr-FR"/>
        </w:rPr>
        <w:tab/>
        <w:t>RAPPELANT la Déclaration de Mar del Plata de 2005, adoptée à l’issue du Quatrième Sommet des Amériques, dans laquelle les chefs d’État des Amériques ont reconnu l’importance de créer des emplois pour lutter contre la pauvreté et renforcer la gouvernance démocratique, ainsi que la nécessité d’améliorer la transparence et le climat des investissements dans notre région afin de parvenir à une croissance économique soutenue, assortie d’équité et d’inclusion sociale,</w:t>
      </w:r>
    </w:p>
    <w:p w14:paraId="5521E909" w14:textId="77777777" w:rsidR="00032ADD" w:rsidRPr="0026653F" w:rsidRDefault="00032ADD" w:rsidP="00C618DD">
      <w:pPr>
        <w:jc w:val="left"/>
        <w:rPr>
          <w:bCs/>
          <w:color w:val="000000"/>
          <w:szCs w:val="22"/>
          <w:lang w:val="fr-FR"/>
        </w:rPr>
      </w:pPr>
    </w:p>
    <w:p w14:paraId="10F5EB98" w14:textId="77777777" w:rsidR="00032ADD" w:rsidRPr="0026653F" w:rsidRDefault="00032ADD" w:rsidP="00C618DD">
      <w:pPr>
        <w:rPr>
          <w:bCs/>
          <w:color w:val="000000"/>
          <w:szCs w:val="22"/>
          <w:lang w:val="fr-FR"/>
        </w:rPr>
      </w:pPr>
      <w:r w:rsidRPr="0026653F">
        <w:rPr>
          <w:bCs/>
          <w:color w:val="000000"/>
          <w:szCs w:val="22"/>
          <w:lang w:val="fr-FR"/>
        </w:rPr>
        <w:tab/>
        <w:t>GARDANT À L’ESPRIT que le Protocole additionnel à la Convention américaine relative aux droits de l’homme traitant des droits économiques, sociaux et culturels (Protocole de San Salvador) souligne l’importance que ces droits soient réaffirmés, développés, perfectionnés et protégés afin de consolider le régime de la démocratie représentative,</w:t>
      </w:r>
    </w:p>
    <w:p w14:paraId="455BDA38" w14:textId="77777777" w:rsidR="00032ADD" w:rsidRPr="0026653F" w:rsidRDefault="00032ADD" w:rsidP="00C618DD">
      <w:pPr>
        <w:rPr>
          <w:bCs/>
          <w:color w:val="000000"/>
          <w:szCs w:val="22"/>
          <w:lang w:val="fr-FR"/>
        </w:rPr>
      </w:pPr>
    </w:p>
    <w:p w14:paraId="6FCF726E" w14:textId="77777777" w:rsidR="00032ADD" w:rsidRPr="0026653F" w:rsidRDefault="00032ADD" w:rsidP="00C618DD">
      <w:pPr>
        <w:rPr>
          <w:iCs/>
          <w:color w:val="000000"/>
          <w:szCs w:val="22"/>
          <w:lang w:val="fr-FR"/>
        </w:rPr>
      </w:pPr>
      <w:r w:rsidRPr="0026653F">
        <w:rPr>
          <w:iCs/>
          <w:color w:val="000000"/>
          <w:szCs w:val="22"/>
          <w:lang w:val="fr-FR"/>
        </w:rPr>
        <w:tab/>
        <w:t>RAPPELANT que dans la Déclaration de Santa Cruz de la Sierra de 1994, les chefs d’État et de gouvernement des Amériques ont réaffirmé leur détermination à faire progresser le développement durable et à mettre en œuvre les décisions et les engagements pris dans la Déclaration de Rio et Action 21, et ont également convenu de mieux comprendre et de mieux intégrer les considérations environnementales, sociales et économiques dans la planification et la prise de décisions,</w:t>
      </w:r>
    </w:p>
    <w:p w14:paraId="0465C8DF" w14:textId="77777777" w:rsidR="00032ADD" w:rsidRPr="0026653F" w:rsidRDefault="00032ADD" w:rsidP="00C618DD">
      <w:pPr>
        <w:rPr>
          <w:iCs/>
          <w:color w:val="000000"/>
          <w:szCs w:val="22"/>
          <w:lang w:val="fr-FR"/>
        </w:rPr>
      </w:pPr>
    </w:p>
    <w:p w14:paraId="4FD7BD7F" w14:textId="77777777" w:rsidR="00032ADD" w:rsidRPr="0026653F" w:rsidRDefault="00032ADD" w:rsidP="00C618DD">
      <w:pPr>
        <w:rPr>
          <w:bCs/>
          <w:color w:val="000000"/>
          <w:szCs w:val="22"/>
          <w:lang w:val="fr-FR"/>
        </w:rPr>
      </w:pPr>
      <w:r w:rsidRPr="0026653F">
        <w:rPr>
          <w:bCs/>
          <w:color w:val="000000"/>
          <w:szCs w:val="22"/>
          <w:lang w:val="fr-FR"/>
        </w:rPr>
        <w:tab/>
        <w:t>RÉAFFIRMANT les mandats émanés du Sixième Sommet des Amériques relatifs à la promotion de la croissance économique assortie d’équité et d’inclusion sociale, au moyen du renforcement des coopératives, des microentreprises et des petites et moyennes entreprises, y compris les industries culturelles, ainsi que la consolidation des initiatives d’économie populaire et d’autres unités de production, de l’innovation et de la compétitivité dans les pays des Amériques,</w:t>
      </w:r>
    </w:p>
    <w:p w14:paraId="228D8A9A" w14:textId="77777777" w:rsidR="00032ADD" w:rsidRPr="0026653F" w:rsidRDefault="00032ADD" w:rsidP="00C618DD">
      <w:pPr>
        <w:jc w:val="left"/>
        <w:rPr>
          <w:bCs/>
          <w:color w:val="000000"/>
          <w:szCs w:val="22"/>
          <w:lang w:val="fr-FR"/>
        </w:rPr>
      </w:pPr>
    </w:p>
    <w:p w14:paraId="2B0B0B24" w14:textId="77777777" w:rsidR="00032ADD" w:rsidRPr="0026653F" w:rsidRDefault="00032ADD" w:rsidP="00C618DD">
      <w:pPr>
        <w:rPr>
          <w:bCs/>
          <w:color w:val="000000"/>
          <w:szCs w:val="22"/>
          <w:lang w:val="fr-FR"/>
        </w:rPr>
      </w:pPr>
      <w:r w:rsidRPr="0026653F">
        <w:rPr>
          <w:bCs/>
          <w:color w:val="000000"/>
          <w:szCs w:val="22"/>
          <w:lang w:val="fr-FR"/>
        </w:rPr>
        <w:lastRenderedPageBreak/>
        <w:tab/>
        <w:t>CONSCIENTE que le respect de la propriété privée ainsi que la stabilité juridique et politique sont des conditions essentielles pour la promotion de l’entrepreneuriat, la formalisation de l’économie, les investissements étrangers, l’innovation technologique et le renforcement de la productivité,</w:t>
      </w:r>
    </w:p>
    <w:p w14:paraId="61B72BB5" w14:textId="77777777" w:rsidR="00032ADD" w:rsidRPr="0026653F" w:rsidRDefault="00032ADD" w:rsidP="00C618DD">
      <w:pPr>
        <w:rPr>
          <w:bCs/>
          <w:color w:val="000000"/>
          <w:szCs w:val="22"/>
          <w:lang w:val="fr-FR"/>
        </w:rPr>
      </w:pPr>
    </w:p>
    <w:p w14:paraId="4B14B178" w14:textId="5869544E" w:rsidR="00032ADD" w:rsidRPr="0026653F" w:rsidRDefault="00032ADD" w:rsidP="00C618DD">
      <w:pPr>
        <w:ind w:firstLine="771"/>
        <w:rPr>
          <w:bCs/>
          <w:color w:val="000000"/>
          <w:szCs w:val="22"/>
          <w:lang w:val="fr-FR"/>
        </w:rPr>
      </w:pPr>
      <w:r w:rsidRPr="0026653F">
        <w:rPr>
          <w:bCs/>
          <w:color w:val="000000"/>
          <w:szCs w:val="22"/>
          <w:lang w:val="fr-FR"/>
        </w:rPr>
        <w:t xml:space="preserve">AYANT À L’ESPRIT la résolution </w:t>
      </w:r>
      <w:r w:rsidR="00670DDA">
        <w:rPr>
          <w:bCs/>
          <w:color w:val="000000"/>
          <w:szCs w:val="22"/>
          <w:lang w:val="fr-FR"/>
        </w:rPr>
        <w:t xml:space="preserve">AG/RES. </w:t>
      </w:r>
      <w:r w:rsidRPr="0026653F">
        <w:rPr>
          <w:bCs/>
          <w:color w:val="000000"/>
          <w:szCs w:val="22"/>
          <w:lang w:val="fr-FR"/>
        </w:rPr>
        <w:t>2840 de 2014 sur la Promotion et la protection des droits de la personne en milieu d’entreprises, en ce sens que les entreprises jouent un rôle important dans la vie politique, économique et sociale, et qu’elles ont la responsabilité de respecter les droits de la personne partout où elles exercent leurs activités et de remédier à toute action entraînant un préjudice, qu’elle découle de leurs activités ou d’un manquement à leurs responsabilités,</w:t>
      </w:r>
    </w:p>
    <w:p w14:paraId="73E925F4" w14:textId="77777777" w:rsidR="00032ADD" w:rsidRPr="0026653F" w:rsidRDefault="00032ADD" w:rsidP="00C618DD">
      <w:pPr>
        <w:jc w:val="left"/>
        <w:rPr>
          <w:bCs/>
          <w:color w:val="000000"/>
          <w:szCs w:val="22"/>
          <w:lang w:val="fr-FR"/>
        </w:rPr>
      </w:pPr>
    </w:p>
    <w:p w14:paraId="5261E7EB" w14:textId="77777777" w:rsidR="00032ADD" w:rsidRPr="0026653F" w:rsidRDefault="00032ADD" w:rsidP="00C618DD">
      <w:pPr>
        <w:ind w:firstLine="771"/>
        <w:contextualSpacing/>
        <w:rPr>
          <w:bCs/>
          <w:color w:val="000000"/>
          <w:szCs w:val="22"/>
          <w:shd w:val="clear" w:color="auto" w:fill="FFFFFF"/>
          <w:lang w:val="fr-FR"/>
        </w:rPr>
      </w:pPr>
      <w:r w:rsidRPr="0026653F">
        <w:rPr>
          <w:bCs/>
          <w:color w:val="000000"/>
          <w:szCs w:val="22"/>
          <w:shd w:val="clear" w:color="auto" w:fill="FFFFFF"/>
          <w:lang w:val="fr-FR"/>
        </w:rPr>
        <w:t>PRENANT EN COMPTE que le plein exercice des droits économiques, sociaux et culturels réclame de la part des États membres l’adoption progressive de mesures ainsi que des interventions de coopération aux niveaux régional et international,</w:t>
      </w:r>
    </w:p>
    <w:p w14:paraId="110AF9F7" w14:textId="77777777" w:rsidR="00032ADD" w:rsidRPr="0026653F" w:rsidRDefault="00032ADD" w:rsidP="00C618DD">
      <w:pPr>
        <w:rPr>
          <w:bCs/>
          <w:color w:val="000000"/>
          <w:szCs w:val="22"/>
          <w:shd w:val="clear" w:color="auto" w:fill="FFFFFF"/>
          <w:lang w:val="fr-FR"/>
        </w:rPr>
      </w:pPr>
    </w:p>
    <w:p w14:paraId="6D24392B" w14:textId="77777777" w:rsidR="00032ADD" w:rsidRPr="0026653F" w:rsidRDefault="00032ADD" w:rsidP="00C618DD">
      <w:pPr>
        <w:rPr>
          <w:bCs/>
          <w:color w:val="000000"/>
          <w:szCs w:val="22"/>
          <w:shd w:val="clear" w:color="auto" w:fill="FFFFFF"/>
          <w:lang w:val="fr-FR"/>
        </w:rPr>
      </w:pPr>
      <w:r w:rsidRPr="0026653F">
        <w:rPr>
          <w:bCs/>
          <w:color w:val="000000"/>
          <w:szCs w:val="22"/>
          <w:shd w:val="clear" w:color="auto" w:fill="FFFFFF"/>
          <w:lang w:val="fr-FR"/>
        </w:rPr>
        <w:tab/>
        <w:t>RECONNAISSANT que la vulnérabilité de la région aux catastrophes naturelles et autres chocs extérieurs rend nécessaire le renforcement des capacités de résilience par la création de partenariats public-privé,</w:t>
      </w:r>
    </w:p>
    <w:p w14:paraId="21B2088E" w14:textId="77777777" w:rsidR="00032ADD" w:rsidRPr="0026653F" w:rsidRDefault="00032ADD" w:rsidP="00C618DD">
      <w:pPr>
        <w:jc w:val="left"/>
        <w:rPr>
          <w:bCs/>
          <w:color w:val="000000"/>
          <w:szCs w:val="22"/>
          <w:shd w:val="clear" w:color="auto" w:fill="FFFFFF"/>
          <w:lang w:val="fr-FR"/>
        </w:rPr>
      </w:pPr>
    </w:p>
    <w:p w14:paraId="45FEF2A6" w14:textId="77777777" w:rsidR="00032ADD" w:rsidRPr="0026653F" w:rsidRDefault="00032ADD" w:rsidP="00C618DD">
      <w:pPr>
        <w:jc w:val="left"/>
        <w:rPr>
          <w:bCs/>
          <w:color w:val="000000"/>
          <w:szCs w:val="22"/>
          <w:lang w:val="fr-FR"/>
        </w:rPr>
      </w:pPr>
      <w:r w:rsidRPr="0026653F">
        <w:rPr>
          <w:bCs/>
          <w:color w:val="000000"/>
          <w:szCs w:val="22"/>
          <w:lang w:val="fr-FR"/>
        </w:rPr>
        <w:tab/>
        <w:t>DÉCIDE d’approuver ce qui suit :</w:t>
      </w:r>
    </w:p>
    <w:p w14:paraId="60AF9395" w14:textId="77777777" w:rsidR="00032ADD" w:rsidRPr="0026653F" w:rsidRDefault="00032ADD" w:rsidP="00C618DD">
      <w:pPr>
        <w:rPr>
          <w:bCs/>
          <w:color w:val="000000"/>
          <w:szCs w:val="22"/>
          <w:lang w:val="fr-FR"/>
        </w:rPr>
      </w:pPr>
    </w:p>
    <w:p w14:paraId="4ABDADB2" w14:textId="77777777" w:rsidR="00032ADD" w:rsidRPr="0026653F" w:rsidRDefault="00032ADD" w:rsidP="00C618DD">
      <w:pPr>
        <w:jc w:val="center"/>
        <w:rPr>
          <w:bCs/>
          <w:color w:val="000000"/>
          <w:szCs w:val="22"/>
          <w:lang w:val="fr-FR"/>
        </w:rPr>
      </w:pPr>
      <w:r w:rsidRPr="0026653F">
        <w:rPr>
          <w:bCs/>
          <w:color w:val="000000"/>
          <w:szCs w:val="22"/>
          <w:lang w:val="fr-FR"/>
        </w:rPr>
        <w:t>CHARTE INTERAMÉRICAINE DES ENTREPRISES</w:t>
      </w:r>
    </w:p>
    <w:p w14:paraId="69BD5516" w14:textId="77777777" w:rsidR="00032ADD" w:rsidRPr="0026653F" w:rsidRDefault="00032ADD" w:rsidP="00C618DD">
      <w:pPr>
        <w:jc w:val="center"/>
        <w:rPr>
          <w:bCs/>
          <w:color w:val="000000"/>
          <w:szCs w:val="22"/>
          <w:lang w:val="fr-FR"/>
        </w:rPr>
      </w:pPr>
    </w:p>
    <w:p w14:paraId="1F761B84" w14:textId="77777777" w:rsidR="00032ADD" w:rsidRPr="0026653F" w:rsidRDefault="00032ADD" w:rsidP="00C618DD">
      <w:pPr>
        <w:jc w:val="center"/>
        <w:rPr>
          <w:bCs/>
          <w:color w:val="000000"/>
          <w:szCs w:val="22"/>
          <w:lang w:val="fr-FR"/>
        </w:rPr>
      </w:pPr>
      <w:r w:rsidRPr="0026653F">
        <w:rPr>
          <w:bCs/>
          <w:color w:val="000000"/>
          <w:szCs w:val="22"/>
          <w:lang w:val="fr-FR"/>
        </w:rPr>
        <w:t>CHAPITRE I.</w:t>
      </w:r>
    </w:p>
    <w:p w14:paraId="110A475C" w14:textId="77777777" w:rsidR="00032ADD" w:rsidRPr="0026653F" w:rsidRDefault="00032ADD" w:rsidP="00C618DD">
      <w:pPr>
        <w:jc w:val="center"/>
        <w:rPr>
          <w:bCs/>
          <w:color w:val="000000"/>
          <w:szCs w:val="22"/>
          <w:lang w:val="fr-FR"/>
        </w:rPr>
      </w:pPr>
      <w:r w:rsidRPr="0026653F">
        <w:rPr>
          <w:bCs/>
          <w:color w:val="000000"/>
          <w:szCs w:val="22"/>
          <w:lang w:val="fr-FR"/>
        </w:rPr>
        <w:t xml:space="preserve">RECONNAISSANCE DU RÔLE DES ENTREPRISES EN TANT QUE </w:t>
      </w:r>
      <w:r w:rsidRPr="0026653F">
        <w:rPr>
          <w:bCs/>
          <w:color w:val="000000"/>
          <w:szCs w:val="22"/>
          <w:lang w:val="fr-FR"/>
        </w:rPr>
        <w:br/>
        <w:t>CATALYSEUR DU DÉVELOPPEMENT</w:t>
      </w:r>
    </w:p>
    <w:p w14:paraId="526054EF" w14:textId="77777777" w:rsidR="00032ADD" w:rsidRPr="0026653F" w:rsidRDefault="00032ADD" w:rsidP="00C618DD">
      <w:pPr>
        <w:jc w:val="left"/>
        <w:rPr>
          <w:bCs/>
          <w:color w:val="000000"/>
          <w:szCs w:val="22"/>
          <w:lang w:val="fr-FR"/>
        </w:rPr>
      </w:pPr>
    </w:p>
    <w:p w14:paraId="54A73DB9" w14:textId="77777777" w:rsidR="00032ADD" w:rsidRPr="0026653F" w:rsidRDefault="00032ADD" w:rsidP="00C618DD">
      <w:pPr>
        <w:rPr>
          <w:bCs/>
          <w:color w:val="000000"/>
          <w:szCs w:val="22"/>
          <w:lang w:val="fr-FR"/>
        </w:rPr>
      </w:pPr>
      <w:r w:rsidRPr="0026653F">
        <w:rPr>
          <w:bCs/>
          <w:color w:val="000000"/>
          <w:szCs w:val="22"/>
          <w:lang w:val="fr-FR"/>
        </w:rPr>
        <w:t>Article Premier</w:t>
      </w:r>
    </w:p>
    <w:p w14:paraId="2EF7C770" w14:textId="77777777" w:rsidR="00032ADD" w:rsidRPr="0026653F" w:rsidRDefault="00032ADD" w:rsidP="00C618DD">
      <w:pPr>
        <w:rPr>
          <w:bCs/>
          <w:color w:val="000000"/>
          <w:szCs w:val="22"/>
          <w:lang w:val="fr-FR"/>
        </w:rPr>
      </w:pPr>
    </w:p>
    <w:p w14:paraId="72AAD65F" w14:textId="77777777" w:rsidR="00032ADD" w:rsidRPr="0026653F" w:rsidRDefault="00032ADD" w:rsidP="00C618DD">
      <w:pPr>
        <w:ind w:firstLine="720"/>
        <w:rPr>
          <w:bCs/>
          <w:color w:val="000000"/>
          <w:szCs w:val="22"/>
          <w:lang w:val="fr-FR"/>
        </w:rPr>
      </w:pPr>
      <w:r w:rsidRPr="0026653F">
        <w:rPr>
          <w:bCs/>
          <w:color w:val="000000"/>
          <w:szCs w:val="22"/>
          <w:lang w:val="fr-FR"/>
        </w:rPr>
        <w:t>Les États membres, dans le respect des principes et valeurs énoncés dans leur charte fondatrice et dans d’autres instruments, s’efforcent de renforcer les entreprises en tant qu’acteurs fondamentaux du développement inclusif et durable, en tenant compte de leur fonction sociale en matière de création d’emplois, de réduction de la pauvreté et des inégalités, de production de biens et de services de base pour le bien-être de la société, ainsi que de leur rôle essentiel dans le renforcement de la résilience aux chocs extérieurs.</w:t>
      </w:r>
    </w:p>
    <w:p w14:paraId="1EEEEDAE" w14:textId="77777777" w:rsidR="00032ADD" w:rsidRPr="0026653F" w:rsidRDefault="00032ADD" w:rsidP="00C618DD">
      <w:pPr>
        <w:rPr>
          <w:bCs/>
          <w:color w:val="000000"/>
          <w:szCs w:val="22"/>
          <w:lang w:val="fr-FR"/>
        </w:rPr>
      </w:pPr>
    </w:p>
    <w:p w14:paraId="4F20E6BB" w14:textId="77777777" w:rsidR="00032ADD" w:rsidRPr="0026653F" w:rsidRDefault="00032ADD" w:rsidP="00C618DD">
      <w:pPr>
        <w:rPr>
          <w:bCs/>
          <w:color w:val="000000"/>
          <w:szCs w:val="22"/>
          <w:lang w:val="fr-FR"/>
        </w:rPr>
      </w:pPr>
      <w:r w:rsidRPr="0026653F">
        <w:rPr>
          <w:bCs/>
          <w:color w:val="000000"/>
          <w:szCs w:val="22"/>
          <w:lang w:val="fr-FR"/>
        </w:rPr>
        <w:t>Article 2</w:t>
      </w:r>
    </w:p>
    <w:p w14:paraId="3C406874" w14:textId="77777777" w:rsidR="00032ADD" w:rsidRPr="0026653F" w:rsidRDefault="00032ADD" w:rsidP="00C618DD">
      <w:pPr>
        <w:rPr>
          <w:bCs/>
          <w:color w:val="000000"/>
          <w:szCs w:val="22"/>
          <w:lang w:val="fr-FR"/>
        </w:rPr>
      </w:pPr>
    </w:p>
    <w:p w14:paraId="0DF3FFC9" w14:textId="77777777" w:rsidR="00032ADD" w:rsidRPr="0026653F" w:rsidRDefault="00032ADD" w:rsidP="00C618DD">
      <w:pPr>
        <w:ind w:firstLine="720"/>
        <w:rPr>
          <w:bCs/>
          <w:color w:val="000000"/>
          <w:szCs w:val="22"/>
          <w:lang w:val="fr-FR"/>
        </w:rPr>
      </w:pPr>
      <w:r w:rsidRPr="0026653F">
        <w:rPr>
          <w:bCs/>
          <w:color w:val="000000"/>
          <w:szCs w:val="22"/>
          <w:lang w:val="fr-FR"/>
        </w:rPr>
        <w:t>Les États membres encouragent les politiques visant la création, la formalisation, la consolidation et l’intégration dans les chaînes de valeur mondiales d’un plus grand nombre d’entreprises du Continent américain, en mettant particulièrement l’accent sur les MPME,</w:t>
      </w:r>
    </w:p>
    <w:p w14:paraId="64A88D19" w14:textId="77777777" w:rsidR="00032ADD" w:rsidRPr="0026653F" w:rsidRDefault="00032ADD" w:rsidP="00C618DD">
      <w:pPr>
        <w:rPr>
          <w:bCs/>
          <w:color w:val="000000"/>
          <w:szCs w:val="22"/>
          <w:lang w:val="fr-FR"/>
        </w:rPr>
      </w:pPr>
    </w:p>
    <w:p w14:paraId="3139D212" w14:textId="77777777" w:rsidR="00032ADD" w:rsidRPr="0026653F" w:rsidRDefault="00032ADD" w:rsidP="00C618DD">
      <w:pPr>
        <w:rPr>
          <w:bCs/>
          <w:color w:val="000000"/>
          <w:szCs w:val="22"/>
          <w:lang w:val="fr-FR"/>
        </w:rPr>
      </w:pPr>
      <w:r w:rsidRPr="0026653F">
        <w:rPr>
          <w:bCs/>
          <w:color w:val="000000"/>
          <w:szCs w:val="22"/>
          <w:lang w:val="fr-FR"/>
        </w:rPr>
        <w:t xml:space="preserve">Article 3 </w:t>
      </w:r>
    </w:p>
    <w:p w14:paraId="123CDC27" w14:textId="77777777" w:rsidR="00032ADD" w:rsidRPr="0026653F" w:rsidRDefault="00032ADD" w:rsidP="00C618DD">
      <w:pPr>
        <w:rPr>
          <w:bCs/>
          <w:color w:val="000000"/>
          <w:szCs w:val="22"/>
          <w:lang w:val="fr-FR"/>
        </w:rPr>
      </w:pPr>
    </w:p>
    <w:p w14:paraId="43D66EF4" w14:textId="5DBDB658" w:rsidR="00032ADD" w:rsidRPr="0026653F" w:rsidRDefault="00506A2E" w:rsidP="00C618DD">
      <w:pPr>
        <w:ind w:firstLine="720"/>
        <w:rPr>
          <w:bCs/>
          <w:color w:val="000000"/>
          <w:szCs w:val="22"/>
          <w:lang w:val="fr-FR"/>
        </w:rPr>
      </w:pPr>
      <w:r>
        <w:rPr>
          <w:color w:val="000000"/>
          <w:szCs w:val="22"/>
          <w:lang w:val="fr-FR"/>
        </w:rPr>
        <w:t>Les</w:t>
      </w:r>
      <w:r w:rsidR="00032ADD" w:rsidRPr="0026653F">
        <w:rPr>
          <w:color w:val="000000"/>
          <w:szCs w:val="22"/>
          <w:lang w:val="fr-FR"/>
        </w:rPr>
        <w:t xml:space="preserve"> États membres, en utilisant les instruments interaméricains, favorisent le développement d’un environnement propice à la croissance d’un secteur privé compétitif, dans lequel les entrepreneurs disposent des conditions appropriées et de la stabilité juridique pour réaliser des investissements à fort </w:t>
      </w:r>
      <w:r w:rsidR="00032ADD" w:rsidRPr="0026653F">
        <w:rPr>
          <w:color w:val="000000"/>
          <w:szCs w:val="22"/>
          <w:lang w:val="fr-FR"/>
        </w:rPr>
        <w:lastRenderedPageBreak/>
        <w:t>impact qui sont propres à induire la valeur partagée et la formalisation des activités et qui contribuent à la réalisation des objectifs de développement durable</w:t>
      </w:r>
      <w:r w:rsidR="00032ADD" w:rsidRPr="0026653F">
        <w:rPr>
          <w:bCs/>
          <w:color w:val="000000"/>
          <w:szCs w:val="22"/>
          <w:lang w:val="fr-FR"/>
        </w:rPr>
        <w:t>.</w:t>
      </w:r>
    </w:p>
    <w:p w14:paraId="146B559E" w14:textId="77777777" w:rsidR="00032ADD" w:rsidRPr="0026653F" w:rsidRDefault="00032ADD" w:rsidP="00C618DD">
      <w:pPr>
        <w:jc w:val="left"/>
        <w:rPr>
          <w:bCs/>
          <w:color w:val="000000"/>
          <w:szCs w:val="22"/>
          <w:lang w:val="fr-FR"/>
        </w:rPr>
      </w:pPr>
    </w:p>
    <w:p w14:paraId="74C0531B" w14:textId="77777777" w:rsidR="00032ADD" w:rsidRPr="0026653F" w:rsidRDefault="00032ADD" w:rsidP="00C618DD">
      <w:pPr>
        <w:keepNext/>
        <w:jc w:val="center"/>
        <w:rPr>
          <w:bCs/>
          <w:color w:val="000000"/>
          <w:szCs w:val="22"/>
          <w:lang w:val="fr-FR"/>
        </w:rPr>
      </w:pPr>
      <w:r w:rsidRPr="0026653F">
        <w:rPr>
          <w:bCs/>
          <w:color w:val="000000"/>
          <w:szCs w:val="22"/>
          <w:lang w:val="fr-FR"/>
        </w:rPr>
        <w:t>CHAPITRE II</w:t>
      </w:r>
    </w:p>
    <w:p w14:paraId="1141224E" w14:textId="77777777" w:rsidR="00032ADD" w:rsidRPr="0026653F" w:rsidRDefault="00032ADD" w:rsidP="00C618DD">
      <w:pPr>
        <w:jc w:val="center"/>
        <w:rPr>
          <w:bCs/>
          <w:color w:val="000000"/>
          <w:szCs w:val="22"/>
          <w:lang w:val="fr-FR"/>
        </w:rPr>
      </w:pPr>
      <w:r w:rsidRPr="0026653F">
        <w:rPr>
          <w:color w:val="000000"/>
          <w:szCs w:val="22"/>
          <w:lang w:val="fr-FR"/>
        </w:rPr>
        <w:t>RENFORCEMENT DES CADRES JURIDIQUES ET INSTITUTIONNELS</w:t>
      </w:r>
    </w:p>
    <w:p w14:paraId="0ACDC89B" w14:textId="77777777" w:rsidR="00032ADD" w:rsidRPr="0026653F" w:rsidRDefault="00032ADD" w:rsidP="00C618DD">
      <w:pPr>
        <w:rPr>
          <w:bCs/>
          <w:color w:val="000000"/>
          <w:szCs w:val="22"/>
          <w:lang w:val="fr-FR"/>
        </w:rPr>
      </w:pPr>
    </w:p>
    <w:p w14:paraId="1395939D"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Article 4</w:t>
      </w:r>
    </w:p>
    <w:p w14:paraId="6C4CB570" w14:textId="77777777" w:rsidR="00032ADD" w:rsidRPr="0026653F" w:rsidRDefault="00032ADD" w:rsidP="00C618DD">
      <w:pPr>
        <w:rPr>
          <w:color w:val="000000"/>
          <w:szCs w:val="22"/>
          <w:lang w:val="fr-FR"/>
        </w:rPr>
      </w:pPr>
    </w:p>
    <w:p w14:paraId="55D98DDC" w14:textId="77777777" w:rsidR="00032ADD" w:rsidRPr="0026653F" w:rsidRDefault="00032ADD" w:rsidP="00C618DD">
      <w:pPr>
        <w:ind w:firstLine="720"/>
        <w:rPr>
          <w:bCs/>
          <w:color w:val="000000"/>
          <w:szCs w:val="22"/>
          <w:lang w:val="fr-FR"/>
        </w:rPr>
      </w:pPr>
      <w:r w:rsidRPr="0026653F">
        <w:rPr>
          <w:color w:val="000000"/>
          <w:szCs w:val="22"/>
          <w:lang w:val="fr-FR"/>
        </w:rPr>
        <w:t>Les États membres, à la lumière de leur législation interne et de leurs obligations internationales, et dans le respect de leur souveraineté, reconnaissent qu’il importe d’améliorer et de mettre en œuvre de bonnes pratiques réglementaires applicables aux activités des entreprises afin d’attirer les investissements privés en créant un environnement commercial stable et prévisible dans lequel les risques existants pour les entreprises peuvent être évalués</w:t>
      </w:r>
      <w:r w:rsidRPr="0026653F">
        <w:rPr>
          <w:bCs/>
          <w:color w:val="000000"/>
          <w:szCs w:val="22"/>
          <w:lang w:val="fr-FR"/>
        </w:rPr>
        <w:t>.</w:t>
      </w:r>
    </w:p>
    <w:p w14:paraId="16241AA6" w14:textId="77777777" w:rsidR="00032ADD" w:rsidRPr="0026653F" w:rsidRDefault="00032ADD" w:rsidP="00C618DD">
      <w:pPr>
        <w:rPr>
          <w:bCs/>
          <w:color w:val="000000"/>
          <w:szCs w:val="22"/>
          <w:lang w:val="fr-FR"/>
        </w:rPr>
      </w:pPr>
    </w:p>
    <w:p w14:paraId="021F1119"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Article 5</w:t>
      </w:r>
    </w:p>
    <w:p w14:paraId="7CDFA7CC" w14:textId="77777777" w:rsidR="00032ADD" w:rsidRPr="0026653F" w:rsidRDefault="00032ADD" w:rsidP="00C618DD">
      <w:pPr>
        <w:rPr>
          <w:color w:val="000000"/>
          <w:szCs w:val="22"/>
          <w:lang w:val="fr-FR"/>
        </w:rPr>
      </w:pPr>
    </w:p>
    <w:p w14:paraId="2B353466" w14:textId="77777777" w:rsidR="00032ADD" w:rsidRPr="0026653F" w:rsidRDefault="00032ADD" w:rsidP="00C618DD">
      <w:pPr>
        <w:ind w:firstLine="720"/>
        <w:rPr>
          <w:bCs/>
          <w:color w:val="000000"/>
          <w:szCs w:val="22"/>
          <w:lang w:val="fr-FR"/>
        </w:rPr>
      </w:pPr>
      <w:r w:rsidRPr="0026653F">
        <w:rPr>
          <w:color w:val="000000"/>
          <w:szCs w:val="22"/>
          <w:lang w:val="fr-FR"/>
        </w:rPr>
        <w:t>Les États membres, dans leur détermination et leur engagement en faveur du libre développement des entreprises, s’engagent à promouvoir des politiques publiques et des cadres réglementaires visant à éliminer les barrières administratives, bureaucratiques et para-tarifaires qui entravent la création de nouvelles entreprises ou favorisent la disparition d’entreprises existantes</w:t>
      </w:r>
      <w:r w:rsidRPr="0026653F">
        <w:rPr>
          <w:bCs/>
          <w:color w:val="000000"/>
          <w:szCs w:val="22"/>
          <w:lang w:val="fr-FR"/>
        </w:rPr>
        <w:t>.</w:t>
      </w:r>
    </w:p>
    <w:p w14:paraId="3327FE34" w14:textId="77777777" w:rsidR="00032ADD" w:rsidRPr="0026653F" w:rsidRDefault="00032ADD" w:rsidP="00C618DD">
      <w:pPr>
        <w:rPr>
          <w:bCs/>
          <w:color w:val="000000"/>
          <w:szCs w:val="22"/>
          <w:lang w:val="fr-FR"/>
        </w:rPr>
      </w:pPr>
    </w:p>
    <w:p w14:paraId="204FDFDE" w14:textId="77777777" w:rsidR="00032ADD" w:rsidRPr="0026653F" w:rsidRDefault="00032ADD" w:rsidP="00C618DD">
      <w:pPr>
        <w:rPr>
          <w:bCs/>
          <w:color w:val="000000"/>
          <w:szCs w:val="22"/>
          <w:lang w:val="fr-FR"/>
        </w:rPr>
      </w:pPr>
      <w:bookmarkStart w:id="23" w:name="_Hlk45287169"/>
      <w:r w:rsidRPr="0026653F">
        <w:rPr>
          <w:bCs/>
          <w:color w:val="000000"/>
          <w:szCs w:val="22"/>
          <w:lang w:val="fr-FR"/>
        </w:rPr>
        <w:t>Article 6</w:t>
      </w:r>
    </w:p>
    <w:p w14:paraId="334C0C5C" w14:textId="77777777" w:rsidR="00032ADD" w:rsidRPr="0026653F" w:rsidRDefault="00032ADD" w:rsidP="00C618DD">
      <w:pPr>
        <w:rPr>
          <w:bCs/>
          <w:color w:val="000000"/>
          <w:szCs w:val="22"/>
          <w:lang w:val="fr-FR"/>
        </w:rPr>
      </w:pPr>
    </w:p>
    <w:p w14:paraId="0782EE8E"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l’élaboration de politiques et de cadres réglementaires qui facilitent et diversifient les possibilités qu’ont les entrepreneurs pour accéder aux services financiers et adopter de nouvelles connaissances et technologies. Il s’agit, en particulier, des possibilités qui ont trait aux mécanismes de financement innovants, dans les étapes initiales des activités, qui permettent aux entreprises d’innover, de produire des biens ou des services à plus forte valeur ajoutée et qui facilitent leur intégration dans les chaînes de valeur nationales, régionales et internationales</w:t>
      </w:r>
      <w:r w:rsidRPr="0026653F">
        <w:rPr>
          <w:bCs/>
          <w:color w:val="000000"/>
          <w:szCs w:val="22"/>
          <w:lang w:val="fr-FR"/>
        </w:rPr>
        <w:t>.</w:t>
      </w:r>
      <w:bookmarkEnd w:id="23"/>
    </w:p>
    <w:p w14:paraId="45067BDA" w14:textId="77777777" w:rsidR="00032ADD" w:rsidRPr="0026653F" w:rsidRDefault="00032ADD" w:rsidP="00C618DD">
      <w:pPr>
        <w:rPr>
          <w:bCs/>
          <w:color w:val="000000"/>
          <w:szCs w:val="22"/>
          <w:lang w:val="fr-FR"/>
        </w:rPr>
      </w:pPr>
    </w:p>
    <w:p w14:paraId="24CA31DD" w14:textId="77777777" w:rsidR="00032ADD" w:rsidRPr="0026653F" w:rsidRDefault="00032ADD" w:rsidP="00C618DD">
      <w:pPr>
        <w:rPr>
          <w:bCs/>
          <w:color w:val="000000"/>
          <w:szCs w:val="22"/>
          <w:lang w:val="fr-FR"/>
        </w:rPr>
      </w:pPr>
      <w:r w:rsidRPr="0026653F">
        <w:rPr>
          <w:bCs/>
          <w:color w:val="000000"/>
          <w:szCs w:val="22"/>
          <w:lang w:val="fr-FR"/>
        </w:rPr>
        <w:t xml:space="preserve">Article 7 </w:t>
      </w:r>
    </w:p>
    <w:p w14:paraId="7BE7B2B0" w14:textId="77777777" w:rsidR="00032ADD" w:rsidRPr="0026653F" w:rsidRDefault="00032ADD" w:rsidP="00C618DD">
      <w:pPr>
        <w:rPr>
          <w:bCs/>
          <w:color w:val="000000"/>
          <w:szCs w:val="22"/>
          <w:lang w:val="fr-FR"/>
        </w:rPr>
      </w:pPr>
    </w:p>
    <w:p w14:paraId="02BF0E1D" w14:textId="77777777" w:rsidR="00032ADD" w:rsidRPr="0026653F" w:rsidRDefault="00032ADD" w:rsidP="00C618DD">
      <w:pPr>
        <w:ind w:firstLine="720"/>
        <w:rPr>
          <w:bCs/>
          <w:color w:val="000000"/>
          <w:szCs w:val="22"/>
          <w:lang w:val="fr-FR"/>
        </w:rPr>
      </w:pPr>
      <w:r w:rsidRPr="0026653F">
        <w:rPr>
          <w:color w:val="000000"/>
          <w:szCs w:val="22"/>
          <w:lang w:val="fr-FR"/>
        </w:rPr>
        <w:t>Les États membres développent des politiques de productivité et de compétitivité qui contribuent au développement des MPME, en tant qu’éléments essentiels du développement durable de nos pays, en facilitant leur transformation numérique, l’innovation, le renouvellement de la production, l’internationalisation, l’amélioration des processus et l’émergence de nouveaux modèles d’entreprise</w:t>
      </w:r>
      <w:r w:rsidRPr="0026653F">
        <w:rPr>
          <w:bCs/>
          <w:color w:val="000000"/>
          <w:szCs w:val="22"/>
          <w:lang w:val="fr-FR"/>
        </w:rPr>
        <w:t>.</w:t>
      </w:r>
    </w:p>
    <w:p w14:paraId="768D31E5" w14:textId="77777777" w:rsidR="00032ADD" w:rsidRPr="0026653F" w:rsidRDefault="00032ADD" w:rsidP="00C618DD">
      <w:pPr>
        <w:rPr>
          <w:bCs/>
          <w:color w:val="000000"/>
          <w:szCs w:val="22"/>
          <w:lang w:val="fr-FR"/>
        </w:rPr>
      </w:pPr>
    </w:p>
    <w:p w14:paraId="21C00359" w14:textId="77777777" w:rsidR="00032ADD" w:rsidRPr="0026653F" w:rsidRDefault="00032ADD" w:rsidP="00C618DD">
      <w:pPr>
        <w:contextualSpacing/>
        <w:jc w:val="center"/>
        <w:rPr>
          <w:bCs/>
          <w:color w:val="000000"/>
          <w:szCs w:val="22"/>
          <w:lang w:val="fr-FR"/>
        </w:rPr>
      </w:pPr>
      <w:r w:rsidRPr="0026653F">
        <w:rPr>
          <w:bCs/>
          <w:color w:val="000000"/>
          <w:szCs w:val="22"/>
          <w:lang w:val="fr-FR"/>
        </w:rPr>
        <w:t>CHAPITRE III</w:t>
      </w:r>
    </w:p>
    <w:p w14:paraId="5E4D4020" w14:textId="77777777" w:rsidR="00032ADD" w:rsidRPr="0026653F" w:rsidRDefault="00032ADD" w:rsidP="00C618DD">
      <w:pPr>
        <w:jc w:val="center"/>
        <w:rPr>
          <w:bCs/>
          <w:color w:val="000000"/>
          <w:szCs w:val="22"/>
          <w:lang w:val="fr-FR"/>
        </w:rPr>
      </w:pPr>
      <w:r w:rsidRPr="0026653F">
        <w:rPr>
          <w:color w:val="000000"/>
          <w:szCs w:val="22"/>
          <w:lang w:val="fr-FR"/>
        </w:rPr>
        <w:t>RÔLE DES INVESTISSEMENTS ÉTRANGERS ET DU COMMERCE INTERNATIONA</w:t>
      </w:r>
      <w:r w:rsidRPr="0026653F">
        <w:rPr>
          <w:bCs/>
          <w:color w:val="000000"/>
          <w:szCs w:val="22"/>
          <w:lang w:val="fr-FR"/>
        </w:rPr>
        <w:t>L</w:t>
      </w:r>
    </w:p>
    <w:p w14:paraId="54A200D0" w14:textId="77777777" w:rsidR="00032ADD" w:rsidRPr="0026653F" w:rsidRDefault="00032ADD" w:rsidP="00C618DD">
      <w:pPr>
        <w:rPr>
          <w:bCs/>
          <w:color w:val="000000"/>
          <w:szCs w:val="22"/>
          <w:lang w:val="fr-FR"/>
        </w:rPr>
      </w:pPr>
    </w:p>
    <w:p w14:paraId="660608B2" w14:textId="77777777" w:rsidR="00032ADD" w:rsidRPr="0026653F" w:rsidRDefault="00032ADD" w:rsidP="00C618DD">
      <w:pPr>
        <w:rPr>
          <w:bCs/>
          <w:color w:val="000000"/>
          <w:szCs w:val="22"/>
          <w:lang w:val="fr-FR"/>
        </w:rPr>
      </w:pPr>
      <w:r w:rsidRPr="0026653F">
        <w:rPr>
          <w:bCs/>
          <w:color w:val="000000"/>
          <w:szCs w:val="22"/>
          <w:lang w:val="fr-FR"/>
        </w:rPr>
        <w:t>Article 8</w:t>
      </w:r>
    </w:p>
    <w:p w14:paraId="10888C67" w14:textId="77777777" w:rsidR="00032ADD" w:rsidRPr="0026653F" w:rsidRDefault="00032ADD" w:rsidP="00C618DD">
      <w:pPr>
        <w:rPr>
          <w:bCs/>
          <w:color w:val="000000"/>
          <w:szCs w:val="22"/>
          <w:lang w:val="fr-FR"/>
        </w:rPr>
      </w:pPr>
    </w:p>
    <w:p w14:paraId="617F08EF" w14:textId="1D1912BA" w:rsidR="00032ADD" w:rsidRPr="0026653F" w:rsidRDefault="00032ADD" w:rsidP="00C618DD">
      <w:pPr>
        <w:ind w:firstLine="720"/>
        <w:rPr>
          <w:bCs/>
          <w:color w:val="000000"/>
          <w:szCs w:val="22"/>
          <w:lang w:val="fr-FR"/>
        </w:rPr>
      </w:pPr>
      <w:r w:rsidRPr="0026653F">
        <w:rPr>
          <w:color w:val="000000"/>
          <w:szCs w:val="22"/>
          <w:lang w:val="fr-FR"/>
        </w:rPr>
        <w:t xml:space="preserve">Au moyen de mécanismes de coopération internationale pour le développement, tels que l’aide publique au développement, la coopération Sud-Sud et la coopération triangulaire, ainsi que les partenariats multipartites, les États membres favorisent le renforcement des infrastructures de production, de technologie, de logistique et de transport, afin de créer un écosystème favorable à la </w:t>
      </w:r>
      <w:r w:rsidRPr="0026653F">
        <w:rPr>
          <w:color w:val="000000"/>
          <w:szCs w:val="22"/>
          <w:lang w:val="fr-FR"/>
        </w:rPr>
        <w:lastRenderedPageBreak/>
        <w:t>génération d’initiatives commerciales nouvelles et diversifiées, en particulier dans les zones les plus reculées et les plus vulnérables de chaque État</w:t>
      </w:r>
      <w:r w:rsidRPr="0026653F">
        <w:rPr>
          <w:bCs/>
          <w:color w:val="000000"/>
          <w:szCs w:val="22"/>
          <w:lang w:val="fr-FR"/>
        </w:rPr>
        <w:t>.</w:t>
      </w:r>
    </w:p>
    <w:p w14:paraId="61869788" w14:textId="77777777" w:rsidR="00032ADD" w:rsidRPr="0026653F" w:rsidRDefault="00032ADD" w:rsidP="00C618DD">
      <w:pPr>
        <w:rPr>
          <w:bCs/>
          <w:color w:val="000000"/>
          <w:szCs w:val="22"/>
          <w:lang w:val="fr-FR"/>
        </w:rPr>
      </w:pPr>
    </w:p>
    <w:p w14:paraId="03702D07" w14:textId="77777777" w:rsidR="00032ADD" w:rsidRPr="0026653F" w:rsidRDefault="00032ADD" w:rsidP="00C618DD">
      <w:pPr>
        <w:contextualSpacing/>
        <w:jc w:val="center"/>
        <w:rPr>
          <w:bCs/>
          <w:color w:val="000000"/>
          <w:szCs w:val="22"/>
          <w:lang w:val="fr-FR"/>
        </w:rPr>
      </w:pPr>
      <w:r w:rsidRPr="0026653F">
        <w:rPr>
          <w:bCs/>
          <w:color w:val="000000"/>
          <w:szCs w:val="22"/>
          <w:lang w:val="fr-FR"/>
        </w:rPr>
        <w:t>CHAPITRE IV</w:t>
      </w:r>
    </w:p>
    <w:p w14:paraId="017C193F" w14:textId="77777777" w:rsidR="00032ADD" w:rsidRPr="0026653F" w:rsidRDefault="00032ADD" w:rsidP="00C618DD">
      <w:pPr>
        <w:jc w:val="center"/>
        <w:rPr>
          <w:bCs/>
          <w:color w:val="000000"/>
          <w:szCs w:val="22"/>
          <w:lang w:val="fr-FR"/>
        </w:rPr>
      </w:pPr>
      <w:r w:rsidRPr="0026653F">
        <w:rPr>
          <w:color w:val="000000"/>
          <w:szCs w:val="22"/>
          <w:lang w:val="fr-FR"/>
        </w:rPr>
        <w:t>RÔLE DES MICROENTREPRISES ET PETITES ET MOYENNES ENTREPRISE</w:t>
      </w:r>
      <w:r w:rsidRPr="0026653F">
        <w:rPr>
          <w:bCs/>
          <w:color w:val="000000"/>
          <w:szCs w:val="22"/>
          <w:lang w:val="fr-FR"/>
        </w:rPr>
        <w:t>S</w:t>
      </w:r>
    </w:p>
    <w:p w14:paraId="10E1461A" w14:textId="77777777" w:rsidR="00032ADD" w:rsidRPr="0026653F" w:rsidRDefault="00032ADD" w:rsidP="00C618DD">
      <w:pPr>
        <w:rPr>
          <w:bCs/>
          <w:color w:val="000000"/>
          <w:szCs w:val="22"/>
          <w:lang w:val="fr-FR"/>
        </w:rPr>
      </w:pPr>
    </w:p>
    <w:p w14:paraId="2D4B2079" w14:textId="77777777" w:rsidR="00032ADD" w:rsidRPr="0026653F" w:rsidRDefault="00032ADD" w:rsidP="00C618DD">
      <w:pPr>
        <w:rPr>
          <w:bCs/>
          <w:color w:val="000000"/>
          <w:szCs w:val="22"/>
          <w:lang w:val="fr-FR"/>
        </w:rPr>
      </w:pPr>
      <w:r w:rsidRPr="0026653F">
        <w:rPr>
          <w:bCs/>
          <w:color w:val="000000"/>
          <w:szCs w:val="22"/>
          <w:lang w:val="fr-FR"/>
        </w:rPr>
        <w:t>Article 9</w:t>
      </w:r>
    </w:p>
    <w:p w14:paraId="36299CCF" w14:textId="77777777" w:rsidR="00032ADD" w:rsidRPr="0026653F" w:rsidRDefault="00032ADD" w:rsidP="00C618DD">
      <w:pPr>
        <w:rPr>
          <w:color w:val="000000"/>
          <w:szCs w:val="22"/>
          <w:lang w:val="fr-FR"/>
        </w:rPr>
      </w:pPr>
    </w:p>
    <w:p w14:paraId="75718108" w14:textId="77777777" w:rsidR="00032ADD" w:rsidRPr="0026653F" w:rsidRDefault="00032ADD" w:rsidP="00C618DD">
      <w:pPr>
        <w:ind w:firstLine="720"/>
        <w:rPr>
          <w:bCs/>
          <w:color w:val="000000"/>
          <w:szCs w:val="22"/>
          <w:lang w:val="fr-FR"/>
        </w:rPr>
      </w:pPr>
      <w:r w:rsidRPr="0026653F">
        <w:rPr>
          <w:color w:val="000000"/>
          <w:szCs w:val="22"/>
          <w:lang w:val="fr-FR"/>
        </w:rPr>
        <w:t>Les États membres reconnaissent le rôle des microentreprises et des petites et moyennes entreprises en tant que moteurs de la croissance et facteurs clés de la réduction de la pauvreté, de la promotion du développement durable, DE la formalisation de l’emploi formel et de l’inclusion sociale</w:t>
      </w:r>
      <w:r w:rsidRPr="0026653F">
        <w:rPr>
          <w:bCs/>
          <w:color w:val="000000"/>
          <w:szCs w:val="22"/>
          <w:lang w:val="fr-FR"/>
        </w:rPr>
        <w:t>.</w:t>
      </w:r>
    </w:p>
    <w:p w14:paraId="1E701189" w14:textId="77777777" w:rsidR="00032ADD" w:rsidRPr="0026653F" w:rsidRDefault="00032ADD" w:rsidP="00C618DD">
      <w:pPr>
        <w:rPr>
          <w:bCs/>
          <w:color w:val="000000"/>
          <w:szCs w:val="22"/>
          <w:lang w:val="fr-FR"/>
        </w:rPr>
      </w:pPr>
    </w:p>
    <w:p w14:paraId="4C5D7189" w14:textId="77777777" w:rsidR="00032ADD" w:rsidRPr="0026653F" w:rsidRDefault="00032ADD" w:rsidP="00C618DD">
      <w:pPr>
        <w:rPr>
          <w:bCs/>
          <w:color w:val="000000"/>
          <w:szCs w:val="22"/>
          <w:lang w:val="fr-FR"/>
        </w:rPr>
      </w:pPr>
      <w:r w:rsidRPr="0026653F">
        <w:rPr>
          <w:bCs/>
          <w:color w:val="000000"/>
          <w:szCs w:val="22"/>
          <w:lang w:val="fr-FR"/>
        </w:rPr>
        <w:t>Article 10</w:t>
      </w:r>
    </w:p>
    <w:p w14:paraId="37D97A86" w14:textId="77777777" w:rsidR="00032ADD" w:rsidRPr="0026653F" w:rsidRDefault="00032ADD" w:rsidP="00C618DD">
      <w:pPr>
        <w:rPr>
          <w:color w:val="000000"/>
          <w:szCs w:val="22"/>
          <w:lang w:val="fr-FR"/>
        </w:rPr>
      </w:pPr>
    </w:p>
    <w:p w14:paraId="2D3E33C8" w14:textId="77777777" w:rsidR="00032ADD" w:rsidRPr="0026653F" w:rsidRDefault="00032ADD" w:rsidP="00C618DD">
      <w:pPr>
        <w:ind w:firstLine="720"/>
        <w:rPr>
          <w:bCs/>
          <w:color w:val="000000"/>
          <w:szCs w:val="22"/>
          <w:lang w:val="fr-FR"/>
        </w:rPr>
      </w:pPr>
      <w:r w:rsidRPr="0026653F">
        <w:rPr>
          <w:color w:val="000000"/>
          <w:szCs w:val="22"/>
          <w:lang w:val="fr-FR"/>
        </w:rPr>
        <w:t>Les États membres s’efforcent d’établir des modalités de financement adéquats afin d’accroître le nombre microentreprises et des petites et moyennes entreprises, de promouvoir leur développement et de favoriser leur croissance</w:t>
      </w:r>
      <w:r w:rsidRPr="0026653F">
        <w:rPr>
          <w:bCs/>
          <w:color w:val="000000"/>
          <w:szCs w:val="22"/>
          <w:lang w:val="fr-FR"/>
        </w:rPr>
        <w:t>.</w:t>
      </w:r>
    </w:p>
    <w:p w14:paraId="465555F9" w14:textId="77777777" w:rsidR="00032ADD" w:rsidRPr="0026653F" w:rsidRDefault="00032ADD" w:rsidP="00C618DD">
      <w:pPr>
        <w:rPr>
          <w:bCs/>
          <w:color w:val="000000"/>
          <w:szCs w:val="22"/>
          <w:lang w:val="fr-FR"/>
        </w:rPr>
      </w:pPr>
    </w:p>
    <w:p w14:paraId="52D014E3" w14:textId="77777777" w:rsidR="00032ADD" w:rsidRPr="0026653F" w:rsidRDefault="00032ADD" w:rsidP="00C618DD">
      <w:pPr>
        <w:rPr>
          <w:bCs/>
          <w:color w:val="000000"/>
          <w:szCs w:val="22"/>
          <w:lang w:val="fr-FR"/>
        </w:rPr>
      </w:pPr>
      <w:r w:rsidRPr="0026653F">
        <w:rPr>
          <w:bCs/>
          <w:color w:val="000000"/>
          <w:szCs w:val="22"/>
          <w:lang w:val="fr-FR"/>
        </w:rPr>
        <w:t>Article 11</w:t>
      </w:r>
    </w:p>
    <w:p w14:paraId="13BE23BB" w14:textId="77777777" w:rsidR="00032ADD" w:rsidRPr="0026653F" w:rsidRDefault="00032ADD" w:rsidP="00C618DD">
      <w:pPr>
        <w:rPr>
          <w:bCs/>
          <w:color w:val="000000"/>
          <w:szCs w:val="22"/>
          <w:lang w:val="fr-FR"/>
        </w:rPr>
      </w:pPr>
    </w:p>
    <w:p w14:paraId="006D798E" w14:textId="77777777" w:rsidR="00032ADD" w:rsidRPr="0026653F" w:rsidRDefault="00032ADD" w:rsidP="00C618DD">
      <w:pPr>
        <w:ind w:firstLine="720"/>
        <w:rPr>
          <w:bCs/>
          <w:color w:val="000000"/>
          <w:szCs w:val="22"/>
          <w:lang w:val="fr-FR"/>
        </w:rPr>
      </w:pPr>
      <w:r w:rsidRPr="0026653F">
        <w:rPr>
          <w:color w:val="000000"/>
          <w:szCs w:val="22"/>
          <w:lang w:val="fr-FR"/>
        </w:rPr>
        <w:t>Les États membres renforcent les capacités entrepreneuriales des femmes dans la région par le biais de politiques de formation et des services de conseil dans les domaines du commerce, de l’administration et des technologies de l’information et des communications, en travaillant en étroite collaboration avec le secteur privé pour accroître leur participation aux postes de décision au sein des entreprises</w:t>
      </w:r>
      <w:r w:rsidRPr="0026653F">
        <w:rPr>
          <w:bCs/>
          <w:color w:val="000000"/>
          <w:szCs w:val="22"/>
          <w:lang w:val="fr-FR"/>
        </w:rPr>
        <w:t>.</w:t>
      </w:r>
    </w:p>
    <w:p w14:paraId="02DCEE0B" w14:textId="77777777" w:rsidR="00032ADD" w:rsidRPr="0026653F" w:rsidRDefault="00032ADD" w:rsidP="00C618DD">
      <w:pPr>
        <w:rPr>
          <w:bCs/>
          <w:color w:val="000000"/>
          <w:szCs w:val="22"/>
          <w:lang w:val="fr-FR"/>
        </w:rPr>
      </w:pPr>
    </w:p>
    <w:p w14:paraId="70A4CAFA" w14:textId="77777777" w:rsidR="00032ADD" w:rsidRPr="0026653F" w:rsidRDefault="00032ADD" w:rsidP="00C618DD">
      <w:pPr>
        <w:rPr>
          <w:bCs/>
          <w:color w:val="000000"/>
          <w:szCs w:val="22"/>
          <w:lang w:val="fr-FR"/>
        </w:rPr>
      </w:pPr>
      <w:r w:rsidRPr="0026653F">
        <w:rPr>
          <w:bCs/>
          <w:color w:val="000000"/>
          <w:szCs w:val="22"/>
          <w:lang w:val="fr-FR"/>
        </w:rPr>
        <w:t>Article 12</w:t>
      </w:r>
    </w:p>
    <w:p w14:paraId="7D0BB9E2" w14:textId="77777777" w:rsidR="00032ADD" w:rsidRPr="0026653F" w:rsidRDefault="00032ADD" w:rsidP="00C618DD">
      <w:pPr>
        <w:rPr>
          <w:bCs/>
          <w:color w:val="000000"/>
          <w:szCs w:val="22"/>
          <w:lang w:val="fr-FR"/>
        </w:rPr>
      </w:pPr>
    </w:p>
    <w:p w14:paraId="45E71BB2"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les politiques visant à renforcer le financement des microentreprises et des petites et moyennes entreprises détenues par des femmes, afin de créer un climat propice à l’augmentation du nombre de femmes entrepreneurs et de la taille de leurs entreprises, ce qui permettra d’élever le niveau d’ensemble de la productivité dans les pays du Continent américain</w:t>
      </w:r>
      <w:r w:rsidRPr="0026653F">
        <w:rPr>
          <w:bCs/>
          <w:color w:val="000000"/>
          <w:szCs w:val="22"/>
          <w:lang w:val="fr-FR"/>
        </w:rPr>
        <w:t>.</w:t>
      </w:r>
    </w:p>
    <w:p w14:paraId="4E1E5A99" w14:textId="77777777" w:rsidR="00032ADD" w:rsidRPr="0026653F" w:rsidRDefault="00032ADD" w:rsidP="00C618DD">
      <w:pPr>
        <w:rPr>
          <w:bCs/>
          <w:color w:val="000000"/>
          <w:szCs w:val="22"/>
          <w:lang w:val="fr-FR"/>
        </w:rPr>
      </w:pPr>
    </w:p>
    <w:p w14:paraId="7D867EBD" w14:textId="77777777" w:rsidR="00032ADD" w:rsidRPr="0026653F" w:rsidRDefault="00032ADD" w:rsidP="00C618DD">
      <w:pPr>
        <w:rPr>
          <w:bCs/>
          <w:color w:val="000000"/>
          <w:szCs w:val="22"/>
          <w:lang w:val="fr-FR"/>
        </w:rPr>
      </w:pPr>
      <w:r w:rsidRPr="0026653F">
        <w:rPr>
          <w:bCs/>
          <w:color w:val="000000"/>
          <w:szCs w:val="22"/>
          <w:lang w:val="fr-FR"/>
        </w:rPr>
        <w:t>Article 13</w:t>
      </w:r>
    </w:p>
    <w:p w14:paraId="2BB90CBA" w14:textId="77777777" w:rsidR="00032ADD" w:rsidRPr="0026653F" w:rsidRDefault="00032ADD" w:rsidP="00C618DD">
      <w:pPr>
        <w:rPr>
          <w:bCs/>
          <w:color w:val="000000"/>
          <w:szCs w:val="22"/>
          <w:lang w:val="fr-FR"/>
        </w:rPr>
      </w:pPr>
    </w:p>
    <w:p w14:paraId="7529FCFB" w14:textId="77777777" w:rsidR="00032ADD" w:rsidRPr="0026653F" w:rsidRDefault="00032ADD" w:rsidP="00C618DD">
      <w:pPr>
        <w:ind w:firstLine="720"/>
        <w:rPr>
          <w:bCs/>
          <w:color w:val="000000"/>
          <w:szCs w:val="22"/>
          <w:lang w:val="fr-FR"/>
        </w:rPr>
      </w:pPr>
      <w:r w:rsidRPr="0026653F">
        <w:rPr>
          <w:color w:val="000000"/>
          <w:szCs w:val="22"/>
          <w:lang w:val="fr-FR"/>
        </w:rPr>
        <w:t>Les États membres promeuvent des plans ambitieux qui fournissent des stratégies de croissance pour les entrepreneurs, telles que des zones/centres d’innovation, la formation, l’incubation et l’accélération des entreprises. Ce rôle consiste également à établir un lien entre l’entrepreneuriat et l’éducation</w:t>
      </w:r>
      <w:r w:rsidRPr="0026653F">
        <w:rPr>
          <w:bCs/>
          <w:color w:val="000000"/>
          <w:szCs w:val="22"/>
          <w:lang w:val="fr-FR"/>
        </w:rPr>
        <w:t>.</w:t>
      </w:r>
    </w:p>
    <w:p w14:paraId="66DB18F9" w14:textId="77777777" w:rsidR="00032ADD" w:rsidRPr="0026653F" w:rsidRDefault="00032ADD" w:rsidP="00C618DD">
      <w:pPr>
        <w:rPr>
          <w:bCs/>
          <w:color w:val="000000"/>
          <w:szCs w:val="22"/>
          <w:lang w:val="fr-FR"/>
        </w:rPr>
      </w:pPr>
    </w:p>
    <w:p w14:paraId="7E5A08F5" w14:textId="77777777" w:rsidR="00032ADD" w:rsidRPr="0026653F" w:rsidRDefault="00032ADD" w:rsidP="00C618DD">
      <w:pPr>
        <w:keepNext/>
        <w:contextualSpacing/>
        <w:jc w:val="center"/>
        <w:rPr>
          <w:bCs/>
          <w:caps/>
          <w:color w:val="000000"/>
          <w:szCs w:val="22"/>
          <w:lang w:val="fr-FR"/>
        </w:rPr>
      </w:pPr>
      <w:r w:rsidRPr="0026653F">
        <w:rPr>
          <w:bCs/>
          <w:color w:val="000000"/>
          <w:szCs w:val="22"/>
          <w:lang w:val="fr-FR"/>
        </w:rPr>
        <w:lastRenderedPageBreak/>
        <w:t>CHAPITRE V</w:t>
      </w:r>
    </w:p>
    <w:p w14:paraId="5F168C8C" w14:textId="77777777" w:rsidR="00032ADD" w:rsidRPr="0026653F" w:rsidRDefault="00032ADD" w:rsidP="00C618DD">
      <w:pPr>
        <w:keepNext/>
        <w:jc w:val="center"/>
        <w:rPr>
          <w:bCs/>
          <w:caps/>
          <w:color w:val="000000"/>
          <w:szCs w:val="22"/>
          <w:lang w:val="fr-FR"/>
        </w:rPr>
      </w:pPr>
      <w:r w:rsidRPr="0026653F">
        <w:rPr>
          <w:color w:val="000000"/>
          <w:szCs w:val="22"/>
          <w:lang w:val="fr-FR"/>
        </w:rPr>
        <w:t xml:space="preserve">ENGAGEMENTS EN MATIÈRE DE FORMALISATION DES ACTIVITÉS, </w:t>
      </w:r>
      <w:r w:rsidRPr="0026653F">
        <w:rPr>
          <w:color w:val="000000"/>
          <w:szCs w:val="22"/>
          <w:lang w:val="fr-FR"/>
        </w:rPr>
        <w:br/>
        <w:t>DE L’EMPLOI ET DE L’ÉDUCATION</w:t>
      </w:r>
    </w:p>
    <w:p w14:paraId="7F1AC646" w14:textId="77777777" w:rsidR="00032ADD" w:rsidRPr="0026653F" w:rsidRDefault="00032ADD" w:rsidP="00C618DD">
      <w:pPr>
        <w:keepNext/>
        <w:rPr>
          <w:bCs/>
          <w:caps/>
          <w:color w:val="000000"/>
          <w:szCs w:val="22"/>
          <w:lang w:val="fr-FR"/>
        </w:rPr>
      </w:pPr>
    </w:p>
    <w:p w14:paraId="41356F74" w14:textId="77777777" w:rsidR="00032ADD" w:rsidRPr="0026653F" w:rsidRDefault="00032ADD" w:rsidP="00C618DD">
      <w:pPr>
        <w:keepNext/>
        <w:rPr>
          <w:bCs/>
          <w:color w:val="000000"/>
          <w:szCs w:val="22"/>
          <w:lang w:val="fr-FR"/>
        </w:rPr>
      </w:pPr>
      <w:r w:rsidRPr="0026653F">
        <w:rPr>
          <w:bCs/>
          <w:color w:val="000000"/>
          <w:szCs w:val="22"/>
          <w:lang w:val="fr-FR"/>
        </w:rPr>
        <w:t>Article 14</w:t>
      </w:r>
    </w:p>
    <w:p w14:paraId="3A019114" w14:textId="77777777" w:rsidR="00032ADD" w:rsidRPr="0026653F" w:rsidRDefault="00032ADD" w:rsidP="00C618DD">
      <w:pPr>
        <w:keepNext/>
        <w:rPr>
          <w:bCs/>
          <w:color w:val="000000"/>
          <w:szCs w:val="22"/>
          <w:lang w:val="fr-FR"/>
        </w:rPr>
      </w:pPr>
    </w:p>
    <w:p w14:paraId="6927813B"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l’élaboration et la mise en œuvre de politiques appropriées qui contribuent à la formalisation des entreprises, en tant que moyen permettant de lutter contre les inégalités et d’améliorer la productivité, le recouvrement des impôts et la croissance économique. Ils soutiennent le rôle du secteur privé afin de contribuer à une meilleure qualité de l’emploi, conscients que, grâce à la formalisation, il est possible de générer des salaires plus élevés, de réduire l’insécurité de l’emploi et de créer de meilleures conditions de travail, comparé à l’économie informelle</w:t>
      </w:r>
      <w:r w:rsidRPr="0026653F">
        <w:rPr>
          <w:bCs/>
          <w:color w:val="000000"/>
          <w:szCs w:val="22"/>
          <w:lang w:val="fr-FR"/>
        </w:rPr>
        <w:t>.</w:t>
      </w:r>
    </w:p>
    <w:p w14:paraId="2B95B3E3" w14:textId="77777777" w:rsidR="00032ADD" w:rsidRPr="0026653F" w:rsidRDefault="00032ADD" w:rsidP="00C618DD">
      <w:pPr>
        <w:rPr>
          <w:bCs/>
          <w:color w:val="000000"/>
          <w:szCs w:val="22"/>
          <w:lang w:val="fr-FR"/>
        </w:rPr>
      </w:pPr>
    </w:p>
    <w:p w14:paraId="2922E42F" w14:textId="77777777" w:rsidR="00032ADD" w:rsidRPr="0026653F" w:rsidRDefault="00032ADD" w:rsidP="00C618DD">
      <w:pPr>
        <w:rPr>
          <w:bCs/>
          <w:color w:val="000000"/>
          <w:szCs w:val="22"/>
          <w:lang w:val="fr-FR"/>
        </w:rPr>
      </w:pPr>
      <w:r w:rsidRPr="0026653F">
        <w:rPr>
          <w:bCs/>
          <w:color w:val="000000"/>
          <w:szCs w:val="22"/>
          <w:lang w:val="fr-FR"/>
        </w:rPr>
        <w:t xml:space="preserve">Article 15 </w:t>
      </w:r>
    </w:p>
    <w:p w14:paraId="3A9894F3" w14:textId="77777777" w:rsidR="00032ADD" w:rsidRPr="0026653F" w:rsidRDefault="00032ADD" w:rsidP="00C618DD">
      <w:pPr>
        <w:rPr>
          <w:bCs/>
          <w:color w:val="000000"/>
          <w:szCs w:val="22"/>
          <w:lang w:val="fr-FR"/>
        </w:rPr>
      </w:pPr>
    </w:p>
    <w:p w14:paraId="0A96F8C2" w14:textId="77777777" w:rsidR="00032ADD" w:rsidRPr="0026653F" w:rsidRDefault="00032ADD" w:rsidP="00C618DD">
      <w:pPr>
        <w:ind w:firstLine="720"/>
        <w:rPr>
          <w:bCs/>
          <w:color w:val="000000"/>
          <w:szCs w:val="22"/>
          <w:lang w:val="fr-FR"/>
        </w:rPr>
      </w:pPr>
      <w:r w:rsidRPr="0026653F">
        <w:rPr>
          <w:color w:val="000000"/>
          <w:szCs w:val="22"/>
          <w:lang w:val="fr-FR"/>
        </w:rPr>
        <w:t>Les États membres ont pour priorité de promouvoir l’esprit d’entreprise et la formation à l’entrepreneuriat, en redoublant d’efforts pour créer des incitations à l’entrepreneuriat, selon une approche différenciée</w:t>
      </w:r>
      <w:r w:rsidRPr="0026653F">
        <w:rPr>
          <w:bCs/>
          <w:color w:val="000000"/>
          <w:szCs w:val="22"/>
          <w:lang w:val="fr-FR"/>
        </w:rPr>
        <w:t>.</w:t>
      </w:r>
    </w:p>
    <w:p w14:paraId="7D6746D7" w14:textId="77777777" w:rsidR="00032ADD" w:rsidRPr="0026653F" w:rsidRDefault="00032ADD" w:rsidP="00C618DD">
      <w:pPr>
        <w:jc w:val="left"/>
        <w:rPr>
          <w:bCs/>
          <w:color w:val="000000"/>
          <w:szCs w:val="22"/>
          <w:lang w:val="fr-FR"/>
        </w:rPr>
      </w:pPr>
    </w:p>
    <w:p w14:paraId="7E159A9E" w14:textId="77777777" w:rsidR="00032ADD" w:rsidRPr="0026653F" w:rsidRDefault="00032ADD" w:rsidP="00C618DD">
      <w:pPr>
        <w:rPr>
          <w:bCs/>
          <w:color w:val="000000"/>
          <w:szCs w:val="22"/>
          <w:lang w:val="fr-FR"/>
        </w:rPr>
      </w:pPr>
      <w:r w:rsidRPr="0026653F">
        <w:rPr>
          <w:bCs/>
          <w:color w:val="000000"/>
          <w:szCs w:val="22"/>
          <w:lang w:val="fr-FR"/>
        </w:rPr>
        <w:t>Article 16</w:t>
      </w:r>
    </w:p>
    <w:p w14:paraId="1DD98AA0" w14:textId="77777777" w:rsidR="00032ADD" w:rsidRPr="0026653F" w:rsidRDefault="00032ADD" w:rsidP="00C618DD">
      <w:pPr>
        <w:rPr>
          <w:bCs/>
          <w:color w:val="000000"/>
          <w:szCs w:val="22"/>
          <w:lang w:val="fr-FR"/>
        </w:rPr>
      </w:pPr>
    </w:p>
    <w:p w14:paraId="3DA7CCE7" w14:textId="10813F70" w:rsidR="00032ADD" w:rsidRPr="0026653F" w:rsidRDefault="00032ADD" w:rsidP="00C618DD">
      <w:pPr>
        <w:ind w:firstLine="720"/>
        <w:rPr>
          <w:bCs/>
          <w:color w:val="000000"/>
          <w:szCs w:val="22"/>
          <w:lang w:val="fr-FR"/>
        </w:rPr>
      </w:pPr>
      <w:r w:rsidRPr="0026653F">
        <w:rPr>
          <w:color w:val="000000"/>
          <w:szCs w:val="22"/>
          <w:lang w:val="fr-FR"/>
        </w:rPr>
        <w:t>Les États membres encouragent l’adoption de mesures qui visent à fournir une éducation axée sur le travail et le développement humain, lesquelles s’articulent avec les besoins de la société et du marché du travail d’aujourd’hui et qui permettent l’accès à un travail décent et à l’</w:t>
      </w:r>
      <w:r w:rsidR="00763D41" w:rsidRPr="0026653F">
        <w:rPr>
          <w:color w:val="000000"/>
          <w:szCs w:val="22"/>
          <w:lang w:val="fr-FR"/>
        </w:rPr>
        <w:t>entreprenariat</w:t>
      </w:r>
      <w:r w:rsidRPr="0026653F">
        <w:rPr>
          <w:color w:val="000000"/>
          <w:szCs w:val="22"/>
          <w:lang w:val="fr-FR"/>
        </w:rPr>
        <w:t>. En particulier, ils soutiennent les initiatives qui favorisent des alliances stratégiques avec le secteur privé et le monde universitaire, ainsi que celles qui intègrent une perspective de parité hommes-femmes. De cette manière, nous parviendrons à rendre les compétences des travailleurs plus pertinentes dans le marché de l’emploi, en mettant l’accent sur les domaines de la science, de la technologie, de la robotique et de l’ingénierie</w:t>
      </w:r>
      <w:r w:rsidRPr="0026653F">
        <w:rPr>
          <w:bCs/>
          <w:color w:val="000000"/>
          <w:szCs w:val="22"/>
          <w:lang w:val="fr-FR"/>
        </w:rPr>
        <w:t>.</w:t>
      </w:r>
    </w:p>
    <w:p w14:paraId="696C9D45" w14:textId="77777777" w:rsidR="00032ADD" w:rsidRPr="0026653F" w:rsidRDefault="00032ADD" w:rsidP="00C618DD">
      <w:pPr>
        <w:rPr>
          <w:bCs/>
          <w:color w:val="000000"/>
          <w:szCs w:val="22"/>
          <w:lang w:val="fr-FR"/>
        </w:rPr>
      </w:pPr>
    </w:p>
    <w:p w14:paraId="06DA5ABA" w14:textId="77777777" w:rsidR="00032ADD" w:rsidRPr="0026653F" w:rsidRDefault="00032ADD" w:rsidP="00C618DD">
      <w:pPr>
        <w:contextualSpacing/>
        <w:jc w:val="center"/>
        <w:rPr>
          <w:bCs/>
          <w:caps/>
          <w:color w:val="000000"/>
          <w:szCs w:val="22"/>
          <w:lang w:val="fr-FR"/>
        </w:rPr>
      </w:pPr>
      <w:proofErr w:type="gramStart"/>
      <w:r w:rsidRPr="0026653F">
        <w:rPr>
          <w:bCs/>
          <w:color w:val="000000"/>
          <w:szCs w:val="22"/>
          <w:lang w:val="fr-FR"/>
        </w:rPr>
        <w:t>CHAPITRE VI</w:t>
      </w:r>
      <w:proofErr w:type="gramEnd"/>
    </w:p>
    <w:p w14:paraId="01D75250" w14:textId="77777777" w:rsidR="00032ADD" w:rsidRPr="0026653F" w:rsidRDefault="00032ADD" w:rsidP="00C618DD">
      <w:pPr>
        <w:jc w:val="center"/>
        <w:rPr>
          <w:bCs/>
          <w:caps/>
          <w:color w:val="000000"/>
          <w:szCs w:val="22"/>
          <w:lang w:val="fr-FR"/>
        </w:rPr>
      </w:pPr>
      <w:r w:rsidRPr="0026653F">
        <w:rPr>
          <w:color w:val="000000"/>
          <w:szCs w:val="22"/>
          <w:lang w:val="fr-FR"/>
        </w:rPr>
        <w:t xml:space="preserve">INNOVATION DES ENTREPRISES, ADOPTION DE TECHNOLOGIES </w:t>
      </w:r>
      <w:r w:rsidRPr="0026653F">
        <w:rPr>
          <w:color w:val="000000"/>
          <w:szCs w:val="22"/>
          <w:lang w:val="fr-FR"/>
        </w:rPr>
        <w:br/>
        <w:t>ET ÉCONOMIES CRÉATIVES</w:t>
      </w:r>
    </w:p>
    <w:p w14:paraId="3C7D7824" w14:textId="77777777" w:rsidR="00032ADD" w:rsidRPr="0026653F" w:rsidRDefault="00032ADD" w:rsidP="00C618DD">
      <w:pPr>
        <w:tabs>
          <w:tab w:val="left" w:pos="5059"/>
        </w:tabs>
        <w:jc w:val="left"/>
        <w:rPr>
          <w:bCs/>
          <w:caps/>
          <w:color w:val="000000"/>
          <w:szCs w:val="22"/>
          <w:lang w:val="fr-FR"/>
        </w:rPr>
      </w:pPr>
    </w:p>
    <w:p w14:paraId="3476D5F2" w14:textId="77777777" w:rsidR="00032ADD" w:rsidRPr="0026653F" w:rsidRDefault="00032ADD" w:rsidP="00C618DD">
      <w:pPr>
        <w:rPr>
          <w:bCs/>
          <w:color w:val="000000"/>
          <w:szCs w:val="22"/>
          <w:lang w:val="fr-FR"/>
        </w:rPr>
      </w:pPr>
      <w:r w:rsidRPr="0026653F">
        <w:rPr>
          <w:bCs/>
          <w:color w:val="000000"/>
          <w:szCs w:val="22"/>
          <w:lang w:val="fr-FR"/>
        </w:rPr>
        <w:t>Article 17</w:t>
      </w:r>
    </w:p>
    <w:p w14:paraId="4DFA7FBA" w14:textId="77777777" w:rsidR="00032ADD" w:rsidRPr="0026653F" w:rsidRDefault="00032ADD" w:rsidP="00C618DD">
      <w:pPr>
        <w:rPr>
          <w:bCs/>
          <w:color w:val="000000"/>
          <w:szCs w:val="22"/>
          <w:lang w:val="fr-FR"/>
        </w:rPr>
      </w:pPr>
    </w:p>
    <w:p w14:paraId="1E02E21B" w14:textId="65F01FAB" w:rsidR="00032ADD" w:rsidRPr="0026653F" w:rsidRDefault="00032ADD" w:rsidP="00C618DD">
      <w:pPr>
        <w:ind w:firstLine="720"/>
        <w:rPr>
          <w:bCs/>
          <w:color w:val="000000"/>
          <w:szCs w:val="22"/>
          <w:lang w:val="fr-FR"/>
        </w:rPr>
      </w:pPr>
      <w:r w:rsidRPr="0026653F">
        <w:rPr>
          <w:color w:val="000000"/>
          <w:szCs w:val="22"/>
          <w:lang w:val="fr-FR"/>
        </w:rPr>
        <w:t>Les États membres mettent en place des initiatives pour encourager l’innovation ouverte, lesquelles favoriseront la collaboration et l’interconnexion entre les grandes entreprises, les entreprises nouvellement créées et les MPME</w:t>
      </w:r>
      <w:r w:rsidRPr="0026653F">
        <w:rPr>
          <w:bCs/>
          <w:color w:val="000000"/>
          <w:szCs w:val="22"/>
          <w:lang w:val="fr-FR"/>
        </w:rPr>
        <w:t>.</w:t>
      </w:r>
    </w:p>
    <w:p w14:paraId="6FA8EFFC" w14:textId="77777777" w:rsidR="00032ADD" w:rsidRPr="0026653F" w:rsidRDefault="00032ADD" w:rsidP="00C618DD">
      <w:pPr>
        <w:rPr>
          <w:bCs/>
          <w:color w:val="000000"/>
          <w:szCs w:val="22"/>
          <w:lang w:val="fr-FR"/>
        </w:rPr>
      </w:pPr>
    </w:p>
    <w:p w14:paraId="3F0B9002" w14:textId="77777777" w:rsidR="00032ADD" w:rsidRPr="0026653F" w:rsidRDefault="00032ADD" w:rsidP="00C618DD">
      <w:pPr>
        <w:rPr>
          <w:bCs/>
          <w:color w:val="000000"/>
          <w:szCs w:val="22"/>
          <w:lang w:val="fr-FR"/>
        </w:rPr>
      </w:pPr>
      <w:r w:rsidRPr="0026653F">
        <w:rPr>
          <w:bCs/>
          <w:color w:val="000000"/>
          <w:szCs w:val="22"/>
          <w:lang w:val="fr-FR"/>
        </w:rPr>
        <w:t>Article 18</w:t>
      </w:r>
    </w:p>
    <w:p w14:paraId="39A06123" w14:textId="77777777" w:rsidR="00032ADD" w:rsidRPr="0026653F" w:rsidRDefault="00032ADD" w:rsidP="00C618DD">
      <w:pPr>
        <w:rPr>
          <w:bCs/>
          <w:color w:val="000000"/>
          <w:szCs w:val="22"/>
          <w:lang w:val="fr-FR"/>
        </w:rPr>
      </w:pPr>
    </w:p>
    <w:p w14:paraId="58BB4F55" w14:textId="47FBC281" w:rsidR="00032ADD" w:rsidRPr="0026653F" w:rsidRDefault="00032ADD" w:rsidP="00C618DD">
      <w:pPr>
        <w:ind w:firstLine="720"/>
        <w:rPr>
          <w:bCs/>
          <w:color w:val="000000"/>
          <w:szCs w:val="22"/>
          <w:lang w:val="fr-FR"/>
        </w:rPr>
      </w:pPr>
      <w:r w:rsidRPr="0026653F">
        <w:rPr>
          <w:color w:val="000000"/>
          <w:szCs w:val="22"/>
          <w:lang w:val="fr-FR"/>
        </w:rPr>
        <w:t>Les États membres encouragent les politiques publiques qui intègrent l’innovation comme moteur de transformation structurelle, de modernisation, d’efficacité, de transparence, de participation et de responsabilisation, et qui contribuent ainsi au renforcement des systèmes démocratiques et à la réalisation du développement inclusif et durable</w:t>
      </w:r>
      <w:r w:rsidRPr="0026653F">
        <w:rPr>
          <w:bCs/>
          <w:color w:val="000000"/>
          <w:szCs w:val="22"/>
          <w:lang w:val="fr-FR"/>
        </w:rPr>
        <w:t>.</w:t>
      </w:r>
    </w:p>
    <w:p w14:paraId="24DF64FE" w14:textId="77777777" w:rsidR="00032ADD" w:rsidRPr="0026653F" w:rsidRDefault="00032ADD" w:rsidP="00C618DD">
      <w:pPr>
        <w:rPr>
          <w:bCs/>
          <w:color w:val="000000"/>
          <w:szCs w:val="22"/>
          <w:lang w:val="fr-FR"/>
        </w:rPr>
      </w:pPr>
    </w:p>
    <w:p w14:paraId="29323A71" w14:textId="77777777" w:rsidR="00032ADD" w:rsidRPr="0026653F" w:rsidRDefault="00032ADD" w:rsidP="00C618DD">
      <w:pPr>
        <w:rPr>
          <w:bCs/>
          <w:color w:val="000000"/>
          <w:szCs w:val="22"/>
          <w:lang w:val="fr-FR"/>
        </w:rPr>
      </w:pPr>
      <w:r w:rsidRPr="0026653F">
        <w:rPr>
          <w:bCs/>
          <w:color w:val="000000"/>
          <w:szCs w:val="22"/>
          <w:lang w:val="fr-FR"/>
        </w:rPr>
        <w:lastRenderedPageBreak/>
        <w:t>Article 19</w:t>
      </w:r>
    </w:p>
    <w:p w14:paraId="06F8D68C" w14:textId="77777777" w:rsidR="00032ADD" w:rsidRPr="0026653F" w:rsidRDefault="00032ADD" w:rsidP="00C618DD">
      <w:pPr>
        <w:rPr>
          <w:bCs/>
          <w:color w:val="000000"/>
          <w:szCs w:val="22"/>
          <w:lang w:val="fr-FR"/>
        </w:rPr>
      </w:pPr>
    </w:p>
    <w:p w14:paraId="134B7601"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la coopération au niveau continental afin de promouvoir des écosystèmes d’innovation, où l’amélioration des activités, des processus et des technologies génèrent une valeur économique, sociale et environnementale pour tous les acteurs de la société, sur la base des principes de collaboration, de production durable et d’accès abordable aux produits et services essentiels</w:t>
      </w:r>
      <w:r w:rsidRPr="0026653F">
        <w:rPr>
          <w:bCs/>
          <w:color w:val="000000"/>
          <w:szCs w:val="22"/>
          <w:lang w:val="fr-FR"/>
        </w:rPr>
        <w:t>.</w:t>
      </w:r>
    </w:p>
    <w:p w14:paraId="50FAC03B" w14:textId="77777777" w:rsidR="00032ADD" w:rsidRPr="0026653F" w:rsidRDefault="00032ADD" w:rsidP="00C618DD">
      <w:pPr>
        <w:rPr>
          <w:bCs/>
          <w:color w:val="000000"/>
          <w:szCs w:val="22"/>
          <w:lang w:val="fr-FR"/>
        </w:rPr>
      </w:pPr>
    </w:p>
    <w:p w14:paraId="3EAD764B" w14:textId="77777777" w:rsidR="00032ADD" w:rsidRPr="0026653F" w:rsidRDefault="00032ADD" w:rsidP="00C618DD">
      <w:pPr>
        <w:keepNext/>
        <w:rPr>
          <w:bCs/>
          <w:color w:val="000000"/>
          <w:szCs w:val="22"/>
          <w:lang w:val="fr-FR"/>
        </w:rPr>
      </w:pPr>
      <w:r w:rsidRPr="0026653F">
        <w:rPr>
          <w:bCs/>
          <w:color w:val="000000"/>
          <w:szCs w:val="22"/>
          <w:lang w:val="fr-FR"/>
        </w:rPr>
        <w:t>Article 20</w:t>
      </w:r>
    </w:p>
    <w:p w14:paraId="1F9FF370" w14:textId="77777777" w:rsidR="00032ADD" w:rsidRPr="0026653F" w:rsidRDefault="00032ADD" w:rsidP="00C618DD">
      <w:pPr>
        <w:keepNext/>
        <w:rPr>
          <w:color w:val="000000"/>
          <w:szCs w:val="22"/>
          <w:lang w:val="fr-FR"/>
        </w:rPr>
      </w:pPr>
    </w:p>
    <w:p w14:paraId="564AE182" w14:textId="77777777" w:rsidR="00032ADD" w:rsidRPr="0026653F" w:rsidRDefault="00032ADD" w:rsidP="00C618DD">
      <w:pPr>
        <w:ind w:firstLine="720"/>
        <w:rPr>
          <w:bCs/>
          <w:color w:val="000000"/>
          <w:szCs w:val="22"/>
          <w:lang w:val="fr-FR"/>
        </w:rPr>
      </w:pPr>
      <w:r w:rsidRPr="0026653F">
        <w:rPr>
          <w:color w:val="000000"/>
          <w:szCs w:val="22"/>
          <w:lang w:val="fr-FR"/>
        </w:rPr>
        <w:t>Les États membres promeuvent la coopération et le transfert de technologies, afin de parvenir à une diversification de la production, notamment en s’efforçant de faire adopter aux microentreprises et petites et moyennes entreprises (MPME) des technologies de rupture permettant d’innover, de faire des affaires ou de créer de nouveaux services, dans le but d’accélérer leur adaptation aux changements technologiques inhérents à la révolution industrielle 4.0 ainsi que leur intégration dans les chaînes de valeur internationales</w:t>
      </w:r>
      <w:r w:rsidRPr="0026653F">
        <w:rPr>
          <w:bCs/>
          <w:color w:val="000000"/>
          <w:szCs w:val="22"/>
          <w:lang w:val="fr-FR"/>
        </w:rPr>
        <w:t>.</w:t>
      </w:r>
    </w:p>
    <w:p w14:paraId="11BA1F8E" w14:textId="77777777" w:rsidR="00032ADD" w:rsidRPr="0026653F" w:rsidRDefault="00032ADD" w:rsidP="00C618DD">
      <w:pPr>
        <w:rPr>
          <w:bCs/>
          <w:color w:val="000000"/>
          <w:szCs w:val="22"/>
          <w:lang w:val="fr-FR"/>
        </w:rPr>
      </w:pPr>
    </w:p>
    <w:p w14:paraId="2C595092" w14:textId="77777777" w:rsidR="00032ADD" w:rsidRPr="0026653F" w:rsidRDefault="00032ADD" w:rsidP="00C618DD">
      <w:pPr>
        <w:rPr>
          <w:bCs/>
          <w:color w:val="000000"/>
          <w:szCs w:val="22"/>
          <w:lang w:val="fr-FR"/>
        </w:rPr>
      </w:pPr>
      <w:r w:rsidRPr="0026653F">
        <w:rPr>
          <w:bCs/>
          <w:color w:val="000000"/>
          <w:szCs w:val="22"/>
          <w:lang w:val="fr-FR"/>
        </w:rPr>
        <w:t xml:space="preserve">Article 21 </w:t>
      </w:r>
    </w:p>
    <w:p w14:paraId="7974BD8A" w14:textId="77777777" w:rsidR="00032ADD" w:rsidRPr="0026653F" w:rsidRDefault="00032ADD" w:rsidP="00C618DD">
      <w:pPr>
        <w:rPr>
          <w:color w:val="000000"/>
          <w:szCs w:val="22"/>
          <w:lang w:val="fr-FR"/>
        </w:rPr>
      </w:pPr>
    </w:p>
    <w:p w14:paraId="0E98426F" w14:textId="77777777" w:rsidR="00032ADD" w:rsidRPr="0026653F" w:rsidRDefault="00032ADD" w:rsidP="00C618DD">
      <w:pPr>
        <w:ind w:firstLine="720"/>
        <w:rPr>
          <w:bCs/>
          <w:color w:val="000000"/>
          <w:szCs w:val="22"/>
          <w:lang w:val="fr-FR"/>
        </w:rPr>
      </w:pPr>
      <w:r w:rsidRPr="0026653F">
        <w:rPr>
          <w:color w:val="000000"/>
          <w:szCs w:val="22"/>
          <w:lang w:val="fr-FR"/>
        </w:rPr>
        <w:t>Les États membres mettent en œuvre des actions stratégiques pour établir, développer et renforcer le marché des contenus originaux de nos industries culturelles et créatives, en particulier au niveau des microentreprises et des petites et moyennes entreprises, afin de renforcer l’économie créative ou l’économie orange dans notre continent en tant que source de croissance économique durable</w:t>
      </w:r>
      <w:r w:rsidRPr="0026653F">
        <w:rPr>
          <w:bCs/>
          <w:color w:val="000000"/>
          <w:szCs w:val="22"/>
          <w:lang w:val="fr-FR"/>
        </w:rPr>
        <w:t>.</w:t>
      </w:r>
    </w:p>
    <w:p w14:paraId="02395400" w14:textId="77777777" w:rsidR="00032ADD" w:rsidRPr="0026653F" w:rsidRDefault="00032ADD" w:rsidP="00C618DD">
      <w:pPr>
        <w:rPr>
          <w:bCs/>
          <w:color w:val="000000"/>
          <w:szCs w:val="22"/>
          <w:lang w:val="fr-FR"/>
        </w:rPr>
      </w:pPr>
    </w:p>
    <w:p w14:paraId="6C5835E6" w14:textId="77777777" w:rsidR="00032ADD" w:rsidRPr="0026653F" w:rsidRDefault="00032ADD" w:rsidP="00C618DD">
      <w:pPr>
        <w:rPr>
          <w:bCs/>
          <w:color w:val="000000"/>
          <w:szCs w:val="22"/>
          <w:lang w:val="fr-FR"/>
        </w:rPr>
      </w:pPr>
      <w:r w:rsidRPr="0026653F">
        <w:rPr>
          <w:bCs/>
          <w:color w:val="000000"/>
          <w:szCs w:val="22"/>
          <w:lang w:val="fr-FR"/>
        </w:rPr>
        <w:t>Article 22</w:t>
      </w:r>
    </w:p>
    <w:p w14:paraId="0F18B7B7" w14:textId="77777777" w:rsidR="00032ADD" w:rsidRPr="0026653F" w:rsidRDefault="00032ADD" w:rsidP="00C618DD">
      <w:pPr>
        <w:rPr>
          <w:color w:val="000000"/>
          <w:szCs w:val="22"/>
          <w:lang w:val="fr-FR"/>
        </w:rPr>
      </w:pPr>
    </w:p>
    <w:p w14:paraId="424C94F6" w14:textId="77777777" w:rsidR="00032ADD" w:rsidRPr="0026653F" w:rsidRDefault="00032ADD" w:rsidP="00C618DD">
      <w:pPr>
        <w:ind w:firstLine="720"/>
        <w:rPr>
          <w:bCs/>
          <w:color w:val="000000"/>
          <w:szCs w:val="22"/>
          <w:lang w:val="fr-FR"/>
        </w:rPr>
      </w:pPr>
      <w:r w:rsidRPr="0026653F">
        <w:rPr>
          <w:color w:val="000000"/>
          <w:szCs w:val="22"/>
          <w:lang w:val="fr-FR"/>
        </w:rPr>
        <w:t>Les États membres s’engagent à encourager et à soutenir les entrepreneurs sociaux, les organisations hybrides et les modèles d’entreprise à vocation particulière qui visent l’atteinte d’une rentabilité financière tout en poursuivant une utilité sociale et environnementale</w:t>
      </w:r>
      <w:r w:rsidRPr="0026653F">
        <w:rPr>
          <w:bCs/>
          <w:color w:val="000000"/>
          <w:szCs w:val="22"/>
          <w:lang w:val="fr-FR"/>
        </w:rPr>
        <w:t>.</w:t>
      </w:r>
    </w:p>
    <w:p w14:paraId="0EFB8506" w14:textId="77777777" w:rsidR="00032ADD" w:rsidRPr="0026653F" w:rsidRDefault="00032ADD" w:rsidP="00C618DD">
      <w:pPr>
        <w:rPr>
          <w:bCs/>
          <w:color w:val="000000"/>
          <w:szCs w:val="22"/>
          <w:lang w:val="fr-FR"/>
        </w:rPr>
      </w:pPr>
    </w:p>
    <w:p w14:paraId="622B00FB" w14:textId="77777777" w:rsidR="00032ADD" w:rsidRPr="0026653F" w:rsidRDefault="00032ADD" w:rsidP="00C618DD">
      <w:pPr>
        <w:shd w:val="clear" w:color="auto" w:fill="FFFFFF"/>
        <w:jc w:val="center"/>
        <w:rPr>
          <w:bCs/>
          <w:color w:val="000000"/>
          <w:szCs w:val="22"/>
          <w:lang w:val="fr-FR"/>
        </w:rPr>
      </w:pPr>
      <w:proofErr w:type="gramStart"/>
      <w:r w:rsidRPr="0026653F">
        <w:rPr>
          <w:bCs/>
          <w:color w:val="000000"/>
          <w:szCs w:val="22"/>
          <w:lang w:val="fr-FR"/>
        </w:rPr>
        <w:t>CHAPITRE VII</w:t>
      </w:r>
      <w:proofErr w:type="gramEnd"/>
    </w:p>
    <w:p w14:paraId="26D19A2A" w14:textId="77777777" w:rsidR="00032ADD" w:rsidRPr="0026653F" w:rsidRDefault="00032ADD" w:rsidP="00C618DD">
      <w:pPr>
        <w:jc w:val="center"/>
        <w:rPr>
          <w:bCs/>
          <w:color w:val="000000"/>
          <w:szCs w:val="22"/>
          <w:lang w:val="fr-FR"/>
        </w:rPr>
      </w:pPr>
      <w:r w:rsidRPr="0026653F">
        <w:rPr>
          <w:color w:val="000000"/>
          <w:szCs w:val="22"/>
          <w:lang w:val="fr-FR"/>
        </w:rPr>
        <w:t>PROMOTION DU DÉVELOPPEMENT DURABLE ET RENFORCEMENT DE LA RÉSILIENC</w:t>
      </w:r>
      <w:r w:rsidRPr="0026653F">
        <w:rPr>
          <w:bCs/>
          <w:color w:val="000000"/>
          <w:szCs w:val="22"/>
          <w:lang w:val="fr-FR"/>
        </w:rPr>
        <w:t>E</w:t>
      </w:r>
    </w:p>
    <w:p w14:paraId="52141632" w14:textId="77777777" w:rsidR="00032ADD" w:rsidRPr="0026653F" w:rsidRDefault="00032ADD" w:rsidP="00C618DD">
      <w:pPr>
        <w:rPr>
          <w:bCs/>
          <w:color w:val="000000"/>
          <w:szCs w:val="22"/>
          <w:lang w:val="fr-FR"/>
        </w:rPr>
      </w:pPr>
    </w:p>
    <w:p w14:paraId="67A46D4E" w14:textId="77777777" w:rsidR="00032ADD" w:rsidRPr="0026653F" w:rsidRDefault="00032ADD" w:rsidP="00C618DD">
      <w:pPr>
        <w:rPr>
          <w:bCs/>
          <w:color w:val="000000"/>
          <w:szCs w:val="22"/>
          <w:lang w:val="fr-FR"/>
        </w:rPr>
      </w:pPr>
      <w:r w:rsidRPr="0026653F">
        <w:rPr>
          <w:bCs/>
          <w:color w:val="000000"/>
          <w:szCs w:val="22"/>
          <w:lang w:val="fr-FR"/>
        </w:rPr>
        <w:t>Article 23</w:t>
      </w:r>
    </w:p>
    <w:p w14:paraId="2A022DD1" w14:textId="77777777" w:rsidR="00032ADD" w:rsidRPr="0026653F" w:rsidRDefault="00032ADD" w:rsidP="00C618DD">
      <w:pPr>
        <w:rPr>
          <w:bCs/>
          <w:color w:val="000000"/>
          <w:szCs w:val="22"/>
          <w:lang w:val="fr-FR"/>
        </w:rPr>
      </w:pPr>
    </w:p>
    <w:p w14:paraId="30A474A8"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l’adoption précoce de pratiques commerciales durables sur le plan environnemental et social en tant que pilier permettant de favoriser le développement des entreprises</w:t>
      </w:r>
      <w:r w:rsidRPr="0026653F">
        <w:rPr>
          <w:bCs/>
          <w:color w:val="000000"/>
          <w:szCs w:val="22"/>
          <w:lang w:val="fr-FR"/>
        </w:rPr>
        <w:t>.</w:t>
      </w:r>
    </w:p>
    <w:p w14:paraId="301C20AE" w14:textId="77777777" w:rsidR="00032ADD" w:rsidRPr="0026653F" w:rsidRDefault="00032ADD" w:rsidP="00C618DD">
      <w:pPr>
        <w:rPr>
          <w:bCs/>
          <w:color w:val="000000"/>
          <w:szCs w:val="22"/>
          <w:lang w:val="fr-FR"/>
        </w:rPr>
      </w:pPr>
    </w:p>
    <w:p w14:paraId="421E9046" w14:textId="77777777" w:rsidR="00032ADD" w:rsidRPr="0026653F" w:rsidRDefault="00032ADD" w:rsidP="00C618DD">
      <w:pPr>
        <w:rPr>
          <w:bCs/>
          <w:color w:val="000000"/>
          <w:szCs w:val="22"/>
          <w:lang w:val="fr-FR"/>
        </w:rPr>
      </w:pPr>
      <w:r w:rsidRPr="0026653F">
        <w:rPr>
          <w:bCs/>
          <w:color w:val="000000"/>
          <w:szCs w:val="22"/>
          <w:lang w:val="fr-FR"/>
        </w:rPr>
        <w:t>Article 24</w:t>
      </w:r>
    </w:p>
    <w:p w14:paraId="299197D6" w14:textId="77777777" w:rsidR="00032ADD" w:rsidRPr="0026653F" w:rsidRDefault="00032ADD" w:rsidP="00C618DD">
      <w:pPr>
        <w:rPr>
          <w:bCs/>
          <w:color w:val="000000"/>
          <w:szCs w:val="22"/>
          <w:lang w:val="fr-FR"/>
        </w:rPr>
      </w:pPr>
    </w:p>
    <w:p w14:paraId="517AAE61" w14:textId="77777777" w:rsidR="00032ADD" w:rsidRPr="0026653F" w:rsidRDefault="00032ADD" w:rsidP="00C618DD">
      <w:pPr>
        <w:ind w:firstLine="720"/>
        <w:rPr>
          <w:bCs/>
          <w:color w:val="000000"/>
          <w:szCs w:val="22"/>
          <w:lang w:val="fr-FR"/>
        </w:rPr>
      </w:pPr>
      <w:r w:rsidRPr="0026653F">
        <w:rPr>
          <w:color w:val="000000"/>
          <w:szCs w:val="22"/>
          <w:lang w:val="fr-FR"/>
        </w:rPr>
        <w:t xml:space="preserve">Pour surmonter les vulnérabilités de la population rurale et assurer la sécurité alimentaire et nutritionnelle dans le Continent américain, les États membres encouragent des politiques visant la formalisation de la propriété rurale, la mise en œuvre de pratiques agricoles durables, l’accroissement des investissements dans les campagnes, la promotion des initiatives du secteur privé au profit des </w:t>
      </w:r>
      <w:r w:rsidRPr="0026653F">
        <w:rPr>
          <w:color w:val="000000"/>
          <w:szCs w:val="22"/>
          <w:lang w:val="fr-FR"/>
        </w:rPr>
        <w:lastRenderedPageBreak/>
        <w:t>agriculteurs, l’adoption de nouvelles technologies pour le développement agro-industriel ainsi que l’intégration de nouveaux acteurs dans les chaînes de production</w:t>
      </w:r>
      <w:r w:rsidRPr="0026653F">
        <w:rPr>
          <w:bCs/>
          <w:color w:val="000000"/>
          <w:szCs w:val="22"/>
          <w:lang w:val="fr-FR"/>
        </w:rPr>
        <w:t>.</w:t>
      </w:r>
    </w:p>
    <w:p w14:paraId="6A809D92" w14:textId="77777777" w:rsidR="00032ADD" w:rsidRPr="0026653F" w:rsidRDefault="00032ADD" w:rsidP="00C618DD">
      <w:pPr>
        <w:rPr>
          <w:bCs/>
          <w:color w:val="000000"/>
          <w:szCs w:val="22"/>
          <w:lang w:val="fr-FR"/>
        </w:rPr>
      </w:pPr>
    </w:p>
    <w:p w14:paraId="6329DE2D" w14:textId="77777777" w:rsidR="00032ADD" w:rsidRPr="0026653F" w:rsidRDefault="00032ADD" w:rsidP="00C618DD">
      <w:pPr>
        <w:rPr>
          <w:bCs/>
          <w:color w:val="000000"/>
          <w:szCs w:val="22"/>
          <w:lang w:val="fr-FR"/>
        </w:rPr>
      </w:pPr>
      <w:r w:rsidRPr="0026653F">
        <w:rPr>
          <w:bCs/>
          <w:color w:val="000000"/>
          <w:szCs w:val="22"/>
          <w:lang w:val="fr-FR"/>
        </w:rPr>
        <w:t>Article 25</w:t>
      </w:r>
    </w:p>
    <w:p w14:paraId="583D5304" w14:textId="77777777" w:rsidR="00032ADD" w:rsidRPr="0026653F" w:rsidRDefault="00032ADD" w:rsidP="00C618DD">
      <w:pPr>
        <w:rPr>
          <w:bCs/>
          <w:color w:val="000000"/>
          <w:szCs w:val="22"/>
          <w:lang w:val="fr-FR"/>
        </w:rPr>
      </w:pPr>
    </w:p>
    <w:p w14:paraId="43A6A528" w14:textId="77777777" w:rsidR="00032ADD" w:rsidRPr="0026653F" w:rsidRDefault="00032ADD" w:rsidP="00C618DD">
      <w:pPr>
        <w:ind w:firstLine="720"/>
        <w:rPr>
          <w:bCs/>
          <w:color w:val="000000"/>
          <w:szCs w:val="22"/>
          <w:lang w:val="fr-FR"/>
        </w:rPr>
      </w:pPr>
      <w:r w:rsidRPr="0026653F">
        <w:rPr>
          <w:color w:val="000000"/>
          <w:szCs w:val="22"/>
          <w:lang w:val="fr-FR"/>
        </w:rPr>
        <w:t>Les États membres encouragent l’élaboration de plans conjoints et coordonnés avec le secteur privé dans le but de renforcer les politiques et les programmes de développement de la résilience, d’adaptation et de relèvement social et économique face aux catastrophes naturelles et autres chocs extérieurs</w:t>
      </w:r>
      <w:r w:rsidRPr="0026653F">
        <w:rPr>
          <w:bCs/>
          <w:color w:val="000000"/>
          <w:szCs w:val="22"/>
          <w:lang w:val="fr-FR"/>
        </w:rPr>
        <w:t>.</w:t>
      </w:r>
    </w:p>
    <w:p w14:paraId="6B1ACE2A" w14:textId="77777777" w:rsidR="00032ADD" w:rsidRPr="0026653F" w:rsidRDefault="00032ADD" w:rsidP="00C618DD">
      <w:pPr>
        <w:rPr>
          <w:bCs/>
          <w:color w:val="000000"/>
          <w:szCs w:val="22"/>
          <w:lang w:val="fr-FR"/>
        </w:rPr>
      </w:pPr>
    </w:p>
    <w:p w14:paraId="7E640AE7" w14:textId="77777777" w:rsidR="00032ADD" w:rsidRPr="0026653F" w:rsidRDefault="00032ADD" w:rsidP="00C618DD">
      <w:pPr>
        <w:rPr>
          <w:bCs/>
          <w:color w:val="000000"/>
          <w:szCs w:val="22"/>
          <w:lang w:val="fr-FR"/>
        </w:rPr>
      </w:pPr>
      <w:r w:rsidRPr="0026653F">
        <w:rPr>
          <w:bCs/>
          <w:color w:val="000000"/>
          <w:szCs w:val="22"/>
          <w:lang w:val="fr-FR"/>
        </w:rPr>
        <w:t>Article 26</w:t>
      </w:r>
    </w:p>
    <w:p w14:paraId="5F03449D" w14:textId="77777777" w:rsidR="00032ADD" w:rsidRPr="0026653F" w:rsidRDefault="00032ADD" w:rsidP="00C618DD">
      <w:pPr>
        <w:rPr>
          <w:bCs/>
          <w:color w:val="000000"/>
          <w:szCs w:val="22"/>
          <w:lang w:val="fr-FR"/>
        </w:rPr>
      </w:pPr>
    </w:p>
    <w:p w14:paraId="1B6C2F40" w14:textId="77777777" w:rsidR="00032ADD" w:rsidRPr="0026653F" w:rsidRDefault="00032ADD" w:rsidP="00C618DD">
      <w:pPr>
        <w:ind w:firstLine="720"/>
        <w:rPr>
          <w:bCs/>
          <w:color w:val="000000"/>
          <w:szCs w:val="22"/>
          <w:lang w:val="fr-FR"/>
        </w:rPr>
      </w:pPr>
      <w:r w:rsidRPr="0026653F">
        <w:rPr>
          <w:color w:val="000000"/>
          <w:szCs w:val="22"/>
          <w:lang w:val="fr-FR"/>
        </w:rPr>
        <w:t>Les États membres s’engagent à gérer des accords et des programmes avec les banques internationales dans le but de permettre aux entreprises privées d’accéder à des prêts souples afin de promouvoir le renforcement de la résilience ainsi qu’un relèvement économique rapide face aux catastrophes naturelles et autres chocs extérieurs</w:t>
      </w:r>
      <w:r w:rsidRPr="0026653F">
        <w:rPr>
          <w:bCs/>
          <w:color w:val="000000"/>
          <w:szCs w:val="22"/>
          <w:lang w:val="fr-FR"/>
        </w:rPr>
        <w:t>.</w:t>
      </w:r>
    </w:p>
    <w:p w14:paraId="205D7987" w14:textId="77777777" w:rsidR="00032ADD" w:rsidRPr="0026653F" w:rsidRDefault="00032ADD" w:rsidP="00C618DD">
      <w:pPr>
        <w:rPr>
          <w:bCs/>
          <w:color w:val="000000"/>
          <w:szCs w:val="22"/>
          <w:lang w:val="fr-FR"/>
        </w:rPr>
      </w:pPr>
    </w:p>
    <w:p w14:paraId="3D0BEA43" w14:textId="77777777" w:rsidR="00032ADD" w:rsidRPr="0026653F" w:rsidRDefault="00032ADD" w:rsidP="00C618DD">
      <w:pPr>
        <w:rPr>
          <w:color w:val="000000"/>
          <w:szCs w:val="22"/>
          <w:lang w:val="fr-FR"/>
        </w:rPr>
      </w:pPr>
      <w:r w:rsidRPr="0026653F">
        <w:rPr>
          <w:color w:val="000000"/>
          <w:szCs w:val="22"/>
          <w:lang w:val="fr-FR"/>
        </w:rPr>
        <w:t>Article 27</w:t>
      </w:r>
    </w:p>
    <w:p w14:paraId="0D26EB5A" w14:textId="77777777" w:rsidR="00032ADD" w:rsidRPr="0026653F" w:rsidRDefault="00032ADD" w:rsidP="00C618DD">
      <w:pPr>
        <w:rPr>
          <w:color w:val="000000"/>
          <w:szCs w:val="22"/>
          <w:lang w:val="fr-FR"/>
        </w:rPr>
      </w:pPr>
    </w:p>
    <w:p w14:paraId="291F9B76" w14:textId="77777777" w:rsidR="00032ADD" w:rsidRPr="0026653F" w:rsidRDefault="00032ADD" w:rsidP="00C618DD">
      <w:pPr>
        <w:ind w:firstLine="720"/>
        <w:rPr>
          <w:color w:val="000000"/>
          <w:szCs w:val="22"/>
          <w:lang w:val="fr-FR"/>
        </w:rPr>
      </w:pPr>
      <w:r w:rsidRPr="0026653F">
        <w:rPr>
          <w:color w:val="000000"/>
          <w:szCs w:val="22"/>
          <w:lang w:val="fr-FR"/>
        </w:rPr>
        <w:t xml:space="preserve">Les États membres encouragent le développement de projets innovants du secteur privé en vue de la transition inclusive vers une économie </w:t>
      </w:r>
      <w:r w:rsidRPr="0026653F">
        <w:rPr>
          <w:color w:val="000000"/>
          <w:szCs w:val="22"/>
          <w:shd w:val="clear" w:color="auto" w:fill="FFFFFF"/>
          <w:lang w:val="fr-FR"/>
        </w:rPr>
        <w:t>à faible intensité de carbone et à l’épreuve du climat</w:t>
      </w:r>
      <w:r w:rsidRPr="0026653F">
        <w:rPr>
          <w:color w:val="000000"/>
          <w:szCs w:val="22"/>
          <w:lang w:val="fr-FR"/>
        </w:rPr>
        <w:t>, en reconnaissant le rôle de catalyseur du secteur privé dans la réalisation de cet objectif.</w:t>
      </w:r>
    </w:p>
    <w:p w14:paraId="3C9BC773" w14:textId="77777777" w:rsidR="00032ADD" w:rsidRPr="0026653F" w:rsidRDefault="00032ADD" w:rsidP="00C618DD">
      <w:pPr>
        <w:rPr>
          <w:color w:val="000000"/>
          <w:szCs w:val="22"/>
          <w:lang w:val="fr-FR"/>
        </w:rPr>
      </w:pPr>
    </w:p>
    <w:p w14:paraId="3F3F487D" w14:textId="77777777" w:rsidR="00032ADD" w:rsidRPr="0026653F" w:rsidRDefault="00032ADD" w:rsidP="00C618DD">
      <w:pPr>
        <w:shd w:val="clear" w:color="auto" w:fill="FFFFFF"/>
        <w:jc w:val="center"/>
        <w:rPr>
          <w:bCs/>
          <w:color w:val="000000"/>
          <w:szCs w:val="22"/>
          <w:lang w:val="fr-FR"/>
        </w:rPr>
      </w:pPr>
      <w:proofErr w:type="gramStart"/>
      <w:r w:rsidRPr="0026653F">
        <w:rPr>
          <w:bCs/>
          <w:color w:val="000000"/>
          <w:szCs w:val="22"/>
          <w:lang w:val="fr-FR"/>
        </w:rPr>
        <w:t>CHAPITRE VIII</w:t>
      </w:r>
      <w:proofErr w:type="gramEnd"/>
    </w:p>
    <w:p w14:paraId="79CCC8B6" w14:textId="77777777" w:rsidR="00032ADD" w:rsidRPr="0026653F" w:rsidRDefault="00032ADD" w:rsidP="00C618DD">
      <w:pPr>
        <w:jc w:val="center"/>
        <w:rPr>
          <w:bCs/>
          <w:color w:val="000000"/>
          <w:szCs w:val="22"/>
          <w:lang w:val="fr-FR"/>
        </w:rPr>
      </w:pPr>
      <w:r w:rsidRPr="0026653F">
        <w:rPr>
          <w:color w:val="000000"/>
          <w:szCs w:val="22"/>
          <w:lang w:val="fr-FR"/>
        </w:rPr>
        <w:t xml:space="preserve">MISE EN ŒUVRE D’OBLIGATIONS COMPLÉMENTAIRES </w:t>
      </w:r>
      <w:r w:rsidRPr="0026653F">
        <w:rPr>
          <w:color w:val="000000"/>
          <w:szCs w:val="22"/>
          <w:lang w:val="fr-FR"/>
        </w:rPr>
        <w:br/>
        <w:t>RELEVANT DU DROIT INTERNATIONA</w:t>
      </w:r>
      <w:r w:rsidRPr="0026653F">
        <w:rPr>
          <w:bCs/>
          <w:color w:val="000000"/>
          <w:szCs w:val="22"/>
          <w:lang w:val="fr-FR"/>
        </w:rPr>
        <w:t>L</w:t>
      </w:r>
    </w:p>
    <w:p w14:paraId="403CDE23" w14:textId="77777777" w:rsidR="00032ADD" w:rsidRPr="0026653F" w:rsidRDefault="00032ADD" w:rsidP="00C618DD">
      <w:pPr>
        <w:rPr>
          <w:bCs/>
          <w:color w:val="000000"/>
          <w:szCs w:val="22"/>
          <w:lang w:val="fr-FR"/>
        </w:rPr>
      </w:pPr>
    </w:p>
    <w:p w14:paraId="7A22AD78" w14:textId="77777777" w:rsidR="00032ADD" w:rsidRPr="0026653F" w:rsidRDefault="00032ADD" w:rsidP="00C618DD">
      <w:pPr>
        <w:rPr>
          <w:bCs/>
          <w:color w:val="000000"/>
          <w:szCs w:val="22"/>
          <w:lang w:val="fr-FR"/>
        </w:rPr>
      </w:pPr>
      <w:r w:rsidRPr="0026653F">
        <w:rPr>
          <w:bCs/>
          <w:color w:val="000000"/>
          <w:szCs w:val="22"/>
          <w:lang w:val="fr-FR"/>
        </w:rPr>
        <w:t xml:space="preserve">Article </w:t>
      </w:r>
      <w:r w:rsidRPr="0026653F">
        <w:rPr>
          <w:bCs/>
          <w:color w:val="000000"/>
          <w:szCs w:val="22"/>
          <w:lang w:val="fr-FR" w:eastAsia="es-ES"/>
        </w:rPr>
        <w:t>28</w:t>
      </w:r>
    </w:p>
    <w:p w14:paraId="1F65BCBF" w14:textId="77777777" w:rsidR="00032ADD" w:rsidRPr="0026653F" w:rsidRDefault="00032ADD" w:rsidP="00C618DD">
      <w:pPr>
        <w:rPr>
          <w:color w:val="000000"/>
          <w:szCs w:val="22"/>
          <w:lang w:val="fr-FR"/>
        </w:rPr>
      </w:pPr>
    </w:p>
    <w:p w14:paraId="1D06B172" w14:textId="77777777" w:rsidR="00032ADD" w:rsidRPr="0026653F" w:rsidRDefault="00032ADD" w:rsidP="00C618DD">
      <w:pPr>
        <w:ind w:firstLine="720"/>
        <w:rPr>
          <w:bCs/>
          <w:color w:val="000000"/>
          <w:szCs w:val="22"/>
          <w:lang w:val="fr-FR"/>
        </w:rPr>
      </w:pPr>
      <w:r w:rsidRPr="0026653F">
        <w:rPr>
          <w:color w:val="000000"/>
          <w:szCs w:val="22"/>
          <w:lang w:val="fr-FR"/>
        </w:rPr>
        <w:t>Les États membres s’efforcent de renforcer les mécanismes visant à garantir que les entreprises respectent les droits de la personne et l’environnement conformément aux instruments internationaux et aux législations nationales applicables</w:t>
      </w:r>
      <w:r w:rsidRPr="0026653F">
        <w:rPr>
          <w:bCs/>
          <w:color w:val="000000"/>
          <w:szCs w:val="22"/>
          <w:lang w:val="fr-FR"/>
        </w:rPr>
        <w:t>.</w:t>
      </w:r>
    </w:p>
    <w:p w14:paraId="24D235E3" w14:textId="77777777" w:rsidR="00032ADD" w:rsidRPr="0026653F" w:rsidRDefault="00032ADD" w:rsidP="00C618DD">
      <w:pPr>
        <w:shd w:val="clear" w:color="auto" w:fill="FFFFFF"/>
        <w:rPr>
          <w:bCs/>
          <w:color w:val="000000"/>
          <w:szCs w:val="22"/>
          <w:lang w:val="fr-FR"/>
        </w:rPr>
      </w:pPr>
    </w:p>
    <w:p w14:paraId="2F6A0647"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Article 29</w:t>
      </w:r>
    </w:p>
    <w:p w14:paraId="117FB035" w14:textId="77777777" w:rsidR="00032ADD" w:rsidRPr="0026653F" w:rsidRDefault="00032ADD" w:rsidP="00C618DD">
      <w:pPr>
        <w:rPr>
          <w:color w:val="000000"/>
          <w:szCs w:val="22"/>
          <w:lang w:val="fr-FR"/>
        </w:rPr>
      </w:pPr>
    </w:p>
    <w:p w14:paraId="6A978FA2" w14:textId="77777777" w:rsidR="00032ADD" w:rsidRPr="0026653F" w:rsidRDefault="00032ADD" w:rsidP="00C618DD">
      <w:pPr>
        <w:ind w:firstLine="720"/>
        <w:rPr>
          <w:bCs/>
          <w:color w:val="000000"/>
          <w:szCs w:val="22"/>
          <w:lang w:val="fr-FR"/>
        </w:rPr>
      </w:pPr>
      <w:r w:rsidRPr="0026653F">
        <w:rPr>
          <w:color w:val="000000"/>
          <w:szCs w:val="22"/>
          <w:lang w:val="fr-FR"/>
        </w:rPr>
        <w:t>Les États membres réaffirment leurs obligations en matière de lutte contre la corruption, notamment celles qui sont contenues dans la Convention interaméricaine contre la corruption. Les entreprises sont tenues de lutter contre la corruption sous toutes ses formes, notamment en adoptant des plans visant la maîtrise du fléau, en collaborant avec les autorités et en mettant en œuvre les bonnes pratiques internationales applicables</w:t>
      </w:r>
      <w:r w:rsidRPr="0026653F">
        <w:rPr>
          <w:bCs/>
          <w:color w:val="000000"/>
          <w:szCs w:val="22"/>
          <w:lang w:val="fr-FR"/>
        </w:rPr>
        <w:t>.</w:t>
      </w:r>
    </w:p>
    <w:p w14:paraId="536E2466" w14:textId="77777777" w:rsidR="00032ADD" w:rsidRPr="0026653F" w:rsidRDefault="00032ADD" w:rsidP="00C618DD">
      <w:pPr>
        <w:rPr>
          <w:bCs/>
          <w:color w:val="000000"/>
          <w:szCs w:val="22"/>
          <w:lang w:val="fr-FR"/>
        </w:rPr>
      </w:pPr>
    </w:p>
    <w:p w14:paraId="43774222"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Article 30</w:t>
      </w:r>
    </w:p>
    <w:p w14:paraId="5130ED77" w14:textId="77777777" w:rsidR="00032ADD" w:rsidRPr="0026653F" w:rsidRDefault="00032ADD" w:rsidP="00C618DD">
      <w:pPr>
        <w:rPr>
          <w:color w:val="000000"/>
          <w:szCs w:val="22"/>
          <w:lang w:val="fr-FR"/>
        </w:rPr>
      </w:pPr>
    </w:p>
    <w:p w14:paraId="5D12C346" w14:textId="77777777" w:rsidR="00032ADD" w:rsidRPr="0026653F" w:rsidRDefault="00032ADD" w:rsidP="00C618DD">
      <w:pPr>
        <w:ind w:firstLine="720"/>
        <w:rPr>
          <w:bCs/>
          <w:color w:val="000000"/>
          <w:szCs w:val="22"/>
          <w:lang w:val="fr-FR"/>
        </w:rPr>
      </w:pPr>
      <w:r w:rsidRPr="0026653F">
        <w:rPr>
          <w:color w:val="000000"/>
          <w:szCs w:val="22"/>
          <w:lang w:val="fr-FR"/>
        </w:rPr>
        <w:t>Les États membres veillent à ce que les entreprises ayant des activités relevant de leur juridiction renforcent leurs politiques afin d’assurer le respect des droits fondamentaux du travail reconnus par la Déclaration de l’OIT de 1998, les autres instruments internationaux applicables et la législation nationale pertinente</w:t>
      </w:r>
      <w:r w:rsidRPr="0026653F">
        <w:rPr>
          <w:bCs/>
          <w:color w:val="000000"/>
          <w:szCs w:val="22"/>
          <w:lang w:val="fr-FR"/>
        </w:rPr>
        <w:t>.</w:t>
      </w:r>
    </w:p>
    <w:p w14:paraId="33DA347D" w14:textId="77777777" w:rsidR="00032ADD" w:rsidRPr="0026653F" w:rsidRDefault="00032ADD" w:rsidP="00C618DD">
      <w:pPr>
        <w:shd w:val="clear" w:color="auto" w:fill="FFFFFF"/>
        <w:rPr>
          <w:bCs/>
          <w:color w:val="000000"/>
          <w:szCs w:val="22"/>
          <w:lang w:val="fr-FR"/>
        </w:rPr>
      </w:pPr>
    </w:p>
    <w:p w14:paraId="551C7401"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 xml:space="preserve">Article </w:t>
      </w:r>
      <w:r w:rsidRPr="0026653F">
        <w:rPr>
          <w:bCs/>
          <w:color w:val="000000"/>
          <w:szCs w:val="22"/>
          <w:lang w:val="fr-FR" w:eastAsia="es-ES"/>
        </w:rPr>
        <w:t>31</w:t>
      </w:r>
    </w:p>
    <w:p w14:paraId="3F9B26FA" w14:textId="77777777" w:rsidR="00032ADD" w:rsidRPr="0026653F" w:rsidRDefault="00032ADD" w:rsidP="00C618DD">
      <w:pPr>
        <w:rPr>
          <w:color w:val="000000"/>
          <w:szCs w:val="22"/>
          <w:lang w:val="fr-FR"/>
        </w:rPr>
      </w:pPr>
    </w:p>
    <w:p w14:paraId="3E330BC7" w14:textId="2061B179" w:rsidR="00032ADD" w:rsidRDefault="00032ADD" w:rsidP="00C618DD">
      <w:pPr>
        <w:ind w:firstLine="720"/>
        <w:rPr>
          <w:bCs/>
          <w:color w:val="000000"/>
          <w:szCs w:val="22"/>
          <w:lang w:val="fr-FR"/>
        </w:rPr>
      </w:pPr>
      <w:r w:rsidRPr="0026653F">
        <w:rPr>
          <w:color w:val="000000"/>
          <w:szCs w:val="22"/>
          <w:lang w:val="fr-FR"/>
        </w:rPr>
        <w:t>Le Conseil permanent tiendra, si possible, deux séances extraordinaires chaque année, au cours desquelles les États membres auront l’occasion de mettre en commun leurs expériences dans la mise en œuvre de la Charte interaméricaine des entreprises. À l’issue de ces séances, le Secrétariat général présentera un rapport sur les interventions des États membres ainsi que les observations qu’ils décideront d’inclure dans le rapport à des fins de présentation à l’Assemblée générale chaque année</w:t>
      </w:r>
      <w:r w:rsidRPr="0026653F">
        <w:rPr>
          <w:bCs/>
          <w:color w:val="000000"/>
          <w:szCs w:val="22"/>
          <w:lang w:val="fr-FR"/>
        </w:rPr>
        <w:t>.</w:t>
      </w:r>
    </w:p>
    <w:p w14:paraId="5EE223EE" w14:textId="77777777" w:rsidR="00350E3A" w:rsidRPr="0026653F" w:rsidRDefault="00350E3A" w:rsidP="00350E3A">
      <w:pPr>
        <w:rPr>
          <w:bCs/>
          <w:color w:val="000000"/>
          <w:szCs w:val="22"/>
          <w:lang w:val="fr-FR"/>
        </w:rPr>
      </w:pPr>
    </w:p>
    <w:p w14:paraId="4757ABA8" w14:textId="77777777" w:rsidR="00032ADD" w:rsidRPr="0026653F" w:rsidRDefault="00032ADD" w:rsidP="00C618DD">
      <w:pPr>
        <w:ind w:firstLine="720"/>
        <w:rPr>
          <w:bCs/>
          <w:color w:val="000000"/>
          <w:szCs w:val="22"/>
          <w:lang w:val="fr-FR"/>
        </w:rPr>
      </w:pPr>
      <w:r w:rsidRPr="0026653F">
        <w:rPr>
          <w:color w:val="000000"/>
          <w:szCs w:val="22"/>
          <w:lang w:val="fr-FR"/>
        </w:rPr>
        <w:t>En tant que mécanisme visant à faciliter la préparation du rapport à l’Assemblée générale, le Président du Conseil permanent peut constituer un groupe de travail chargé d’élaborer le rapport, avec l’appui technique du Secrétariat général, lequel sera soumis au Conseil permanent pour examen, sous réserve de la disponibilité de ressources financières inscrites à ce titre dans le Programme-budget de l’Organisation, ainsi que d’autres ressources</w:t>
      </w:r>
      <w:r w:rsidRPr="0026653F">
        <w:rPr>
          <w:bCs/>
          <w:color w:val="000000"/>
          <w:szCs w:val="22"/>
          <w:lang w:val="fr-FR"/>
        </w:rPr>
        <w:t xml:space="preserve">. </w:t>
      </w:r>
    </w:p>
    <w:p w14:paraId="0961281F" w14:textId="77777777" w:rsidR="00032ADD" w:rsidRPr="0026653F" w:rsidRDefault="00032ADD" w:rsidP="00C618DD">
      <w:pPr>
        <w:rPr>
          <w:bCs/>
          <w:color w:val="000000"/>
          <w:szCs w:val="22"/>
          <w:lang w:val="fr-FR"/>
        </w:rPr>
      </w:pPr>
    </w:p>
    <w:p w14:paraId="6F4CE9CD" w14:textId="77777777" w:rsidR="00032ADD" w:rsidRPr="0026653F" w:rsidRDefault="00032ADD" w:rsidP="00C618DD">
      <w:pPr>
        <w:shd w:val="clear" w:color="auto" w:fill="FFFFFF"/>
        <w:rPr>
          <w:bCs/>
          <w:color w:val="000000"/>
          <w:szCs w:val="22"/>
          <w:lang w:val="fr-FR"/>
        </w:rPr>
      </w:pPr>
      <w:r w:rsidRPr="0026653F">
        <w:rPr>
          <w:bCs/>
          <w:color w:val="000000"/>
          <w:szCs w:val="22"/>
          <w:lang w:val="fr-FR"/>
        </w:rPr>
        <w:t>Article 32</w:t>
      </w:r>
    </w:p>
    <w:p w14:paraId="74B254AE" w14:textId="77777777" w:rsidR="00032ADD" w:rsidRPr="0026653F" w:rsidRDefault="00032ADD" w:rsidP="00C618DD">
      <w:pPr>
        <w:rPr>
          <w:color w:val="000000"/>
          <w:szCs w:val="22"/>
          <w:lang w:val="fr-FR"/>
        </w:rPr>
      </w:pPr>
    </w:p>
    <w:p w14:paraId="7867971C" w14:textId="1777AEC5" w:rsidR="00032ADD" w:rsidRPr="0026653F" w:rsidRDefault="00032ADD" w:rsidP="00350E3A">
      <w:pPr>
        <w:ind w:firstLine="720"/>
        <w:rPr>
          <w:lang w:val="fr-FR"/>
        </w:rPr>
      </w:pPr>
      <w:r w:rsidRPr="0026653F">
        <w:rPr>
          <w:color w:val="000000"/>
          <w:szCs w:val="22"/>
          <w:lang w:val="fr-FR"/>
        </w:rPr>
        <w:t>Les États membres encouragent la création d’un mécanisme auquel participent, outre les représentants des gouvernements, des représentants du secteur des entreprises, afin de donner suite à la présente Charte, lesquels représentants pourront se réunir dans le cadre de tribunes telles que le Sommet des Amériques ou l’Assemblée générale de l’OEA, entre autres</w:t>
      </w:r>
      <w:r w:rsidRPr="0026653F">
        <w:rPr>
          <w:bCs/>
          <w:color w:val="000000"/>
          <w:szCs w:val="22"/>
          <w:lang w:val="fr-FR"/>
        </w:rPr>
        <w:t>.</w:t>
      </w:r>
    </w:p>
    <w:p w14:paraId="0868E5A2" w14:textId="43F4099F" w:rsidR="004E2B94" w:rsidRPr="0026653F" w:rsidRDefault="004E2B94" w:rsidP="00350E3A">
      <w:pPr>
        <w:rPr>
          <w:bCs/>
          <w:color w:val="000000"/>
          <w:szCs w:val="22"/>
          <w:lang w:val="fr-FR"/>
        </w:rPr>
      </w:pPr>
    </w:p>
    <w:p w14:paraId="3B3E34FE" w14:textId="77777777" w:rsidR="004E2B94" w:rsidRPr="00350E3A" w:rsidRDefault="004E2B94" w:rsidP="00C618DD">
      <w:pPr>
        <w:jc w:val="center"/>
        <w:rPr>
          <w:sz w:val="20"/>
          <w:lang w:val="fr-FR"/>
        </w:rPr>
      </w:pPr>
      <w:r w:rsidRPr="0026653F">
        <w:rPr>
          <w:bCs/>
          <w:color w:val="000000"/>
          <w:szCs w:val="22"/>
          <w:lang w:val="fr-FR"/>
        </w:rPr>
        <w:br w:type="page"/>
      </w:r>
      <w:r w:rsidRPr="00350E3A">
        <w:rPr>
          <w:sz w:val="20"/>
          <w:lang w:val="fr-FR"/>
        </w:rPr>
        <w:lastRenderedPageBreak/>
        <w:t>NOTES DE BAS DE PAGE</w:t>
      </w:r>
    </w:p>
    <w:p w14:paraId="5C83D681" w14:textId="77777777" w:rsidR="004E2B94" w:rsidRPr="00350E3A" w:rsidRDefault="004E2B94" w:rsidP="00C618DD">
      <w:pPr>
        <w:outlineLvl w:val="0"/>
        <w:rPr>
          <w:iCs/>
          <w:sz w:val="20"/>
          <w:lang w:val="fr-FR" w:eastAsia="es-ES"/>
        </w:rPr>
      </w:pPr>
    </w:p>
    <w:p w14:paraId="48C8F1B9" w14:textId="77777777" w:rsidR="004E2B94" w:rsidRPr="00350E3A" w:rsidRDefault="004E2B94" w:rsidP="00C618DD">
      <w:pPr>
        <w:outlineLvl w:val="0"/>
        <w:rPr>
          <w:bCs/>
          <w:sz w:val="20"/>
          <w:lang w:val="fr-FR" w:eastAsia="es-ES"/>
        </w:rPr>
      </w:pPr>
    </w:p>
    <w:p w14:paraId="5FEE1E65" w14:textId="77777777" w:rsidR="004E2B94" w:rsidRPr="00350E3A" w:rsidRDefault="004E2B94" w:rsidP="00C618DD">
      <w:pPr>
        <w:ind w:firstLine="720"/>
        <w:rPr>
          <w:sz w:val="20"/>
          <w:lang w:val="fr-FR"/>
        </w:rPr>
      </w:pPr>
      <w:r w:rsidRPr="00350E3A">
        <w:rPr>
          <w:sz w:val="20"/>
          <w:lang w:val="fr-FR"/>
        </w:rPr>
        <w:t>1.</w:t>
      </w:r>
      <w:r w:rsidRPr="00350E3A">
        <w:rPr>
          <w:sz w:val="20"/>
          <w:lang w:val="fr-FR"/>
        </w:rPr>
        <w:tab/>
        <w:t>… caractère juridiquement non contraignant et que la discussion à ce sujet doit se dérouler dans le cadre du Conseil interaméricain pour le développement intégré (CIDI).</w:t>
      </w:r>
    </w:p>
    <w:p w14:paraId="4D1100E0" w14:textId="77777777" w:rsidR="004E2B94" w:rsidRPr="00350E3A" w:rsidRDefault="004E2B94" w:rsidP="00C618DD">
      <w:pPr>
        <w:rPr>
          <w:sz w:val="20"/>
          <w:lang w:val="fr-FR"/>
        </w:rPr>
      </w:pPr>
    </w:p>
    <w:p w14:paraId="205B78B4" w14:textId="77777777" w:rsidR="004E2B94" w:rsidRPr="00350E3A" w:rsidRDefault="004E2B94" w:rsidP="00C618DD">
      <w:pPr>
        <w:ind w:firstLine="720"/>
        <w:rPr>
          <w:sz w:val="20"/>
          <w:lang w:val="fr-FR"/>
        </w:rPr>
      </w:pPr>
      <w:r w:rsidRPr="00350E3A">
        <w:rPr>
          <w:sz w:val="20"/>
          <w:lang w:val="fr-FR"/>
        </w:rPr>
        <w:t>2.</w:t>
      </w:r>
      <w:r w:rsidRPr="00350E3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032575F" w14:textId="77777777" w:rsidR="004E2B94" w:rsidRPr="00350E3A" w:rsidRDefault="004E2B94" w:rsidP="00C618DD">
      <w:pPr>
        <w:rPr>
          <w:sz w:val="20"/>
          <w:lang w:val="fr-FR"/>
        </w:rPr>
      </w:pPr>
    </w:p>
    <w:p w14:paraId="564ECA60" w14:textId="7D515DB7" w:rsidR="004E2B94" w:rsidRPr="00350E3A" w:rsidRDefault="004E2B94" w:rsidP="00C618DD">
      <w:pPr>
        <w:ind w:firstLine="720"/>
        <w:rPr>
          <w:sz w:val="20"/>
          <w:lang w:val="fr-FR"/>
        </w:rPr>
      </w:pPr>
      <w:r w:rsidRPr="00350E3A">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27B6B040" w14:textId="77777777" w:rsidR="004E2B94" w:rsidRPr="00350E3A" w:rsidRDefault="004E2B94" w:rsidP="00C618DD">
      <w:pPr>
        <w:rPr>
          <w:sz w:val="20"/>
          <w:lang w:val="fr-FR"/>
        </w:rPr>
      </w:pPr>
    </w:p>
    <w:p w14:paraId="269445E4" w14:textId="3ED9D648" w:rsidR="004E2B94" w:rsidRPr="00350E3A" w:rsidRDefault="004E2B94" w:rsidP="00C618DD">
      <w:pPr>
        <w:ind w:firstLine="720"/>
        <w:rPr>
          <w:sz w:val="20"/>
          <w:lang w:val="fr-FR"/>
        </w:rPr>
      </w:pPr>
      <w:r w:rsidRPr="00350E3A">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45FE533C" w14:textId="48CBFEC9" w:rsidR="006E6FAE" w:rsidRPr="00350E3A" w:rsidRDefault="006E6FAE" w:rsidP="00C618DD">
      <w:pPr>
        <w:rPr>
          <w:sz w:val="20"/>
          <w:lang w:val="fr-FR"/>
        </w:rPr>
      </w:pPr>
    </w:p>
    <w:p w14:paraId="54FA44A1" w14:textId="6A016A04" w:rsidR="006E6FAE" w:rsidRPr="00350E3A" w:rsidRDefault="006E6FAE" w:rsidP="00C618DD">
      <w:pPr>
        <w:ind w:firstLine="720"/>
        <w:rPr>
          <w:sz w:val="20"/>
          <w:lang w:val="fr-FR"/>
        </w:rPr>
      </w:pPr>
      <w:r w:rsidRPr="00350E3A">
        <w:rPr>
          <w:sz w:val="20"/>
          <w:lang w:val="fr-FR"/>
        </w:rPr>
        <w:t>3.</w:t>
      </w:r>
      <w:r w:rsidRPr="00350E3A">
        <w:rPr>
          <w:sz w:val="20"/>
          <w:lang w:val="fr-FR"/>
        </w:rPr>
        <w:tab/>
        <w:t>… de l'Assemblée générale.</w:t>
      </w:r>
    </w:p>
    <w:p w14:paraId="214A0FFA" w14:textId="77777777" w:rsidR="00BB2BAA" w:rsidRPr="0026653F" w:rsidRDefault="00BB2BAA" w:rsidP="00C618DD">
      <w:pPr>
        <w:jc w:val="center"/>
        <w:outlineLvl w:val="0"/>
        <w:rPr>
          <w:szCs w:val="22"/>
          <w:lang w:val="fr-FR"/>
        </w:rPr>
        <w:sectPr w:rsidR="00BB2BAA" w:rsidRPr="0026653F" w:rsidSect="001B665B">
          <w:footerReference w:type="default" r:id="rId42"/>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31539C9F" w14:textId="534D004E" w:rsidR="005A40EC" w:rsidRPr="0026653F" w:rsidRDefault="00BB2BAA" w:rsidP="00C618DD">
      <w:pPr>
        <w:pStyle w:val="Heading1"/>
        <w:rPr>
          <w:szCs w:val="22"/>
          <w:lang w:val="fr-FR"/>
        </w:rPr>
      </w:pPr>
      <w:bookmarkStart w:id="24" w:name="_Toc74732021"/>
      <w:r w:rsidRPr="0026653F">
        <w:rPr>
          <w:szCs w:val="22"/>
          <w:lang w:val="fr-FR"/>
        </w:rPr>
        <w:lastRenderedPageBreak/>
        <w:t>AG/RES. 2955 (L-O/20)</w:t>
      </w:r>
      <w:r w:rsidR="00435FE2" w:rsidRPr="0026653F">
        <w:rPr>
          <w:szCs w:val="22"/>
          <w:lang w:val="fr-FR"/>
        </w:rPr>
        <w:br/>
      </w:r>
      <w:r w:rsidR="00435FE2" w:rsidRPr="0026653F">
        <w:rPr>
          <w:szCs w:val="22"/>
          <w:lang w:val="fr-FR"/>
        </w:rPr>
        <w:br/>
      </w:r>
      <w:r w:rsidR="005A40EC" w:rsidRPr="0026653F">
        <w:rPr>
          <w:szCs w:val="22"/>
          <w:lang w:val="fr-FR"/>
        </w:rPr>
        <w:t xml:space="preserve">ENCOURAGER LES INITIATIVES CONTINENTALES EN MATIÈRE DE </w:t>
      </w:r>
      <w:r w:rsidR="00A15A28" w:rsidRPr="0026653F">
        <w:rPr>
          <w:szCs w:val="22"/>
          <w:lang w:val="fr-FR"/>
        </w:rPr>
        <w:br/>
      </w:r>
      <w:r w:rsidR="005A40EC" w:rsidRPr="0026653F">
        <w:rPr>
          <w:szCs w:val="22"/>
          <w:lang w:val="fr-FR"/>
        </w:rPr>
        <w:t>DÉVELOPPEMENT INTÉGRÉ : PROMOTION DE LA RÉSILIENCE</w:t>
      </w:r>
      <w:r w:rsidR="005A40EC" w:rsidRPr="0026653F">
        <w:rPr>
          <w:szCs w:val="22"/>
          <w:u w:val="single"/>
          <w:vertAlign w:val="superscript"/>
          <w:lang w:val="fr-FR"/>
        </w:rPr>
        <w:footnoteReference w:id="42"/>
      </w:r>
      <w:r w:rsidR="005A40EC" w:rsidRPr="0026653F">
        <w:rPr>
          <w:szCs w:val="22"/>
          <w:vertAlign w:val="superscript"/>
          <w:lang w:val="fr-FR"/>
        </w:rPr>
        <w:t>/</w:t>
      </w:r>
      <w:r w:rsidR="006E6FAE" w:rsidRPr="0026653F">
        <w:rPr>
          <w:rStyle w:val="FootnoteReference"/>
          <w:szCs w:val="22"/>
          <w:u w:val="single"/>
          <w:vertAlign w:val="superscript"/>
          <w:lang w:val="fr-FR"/>
        </w:rPr>
        <w:footnoteReference w:id="43"/>
      </w:r>
      <w:r w:rsidR="006E6FAE" w:rsidRPr="0026653F">
        <w:rPr>
          <w:szCs w:val="22"/>
          <w:vertAlign w:val="superscript"/>
          <w:lang w:val="fr-FR"/>
        </w:rPr>
        <w:t>/</w:t>
      </w:r>
      <w:bookmarkEnd w:id="24"/>
    </w:p>
    <w:p w14:paraId="6FAC5F71" w14:textId="77777777" w:rsidR="005A40EC" w:rsidRPr="0026653F" w:rsidRDefault="005A40EC" w:rsidP="00C618DD">
      <w:pPr>
        <w:suppressAutoHyphens/>
        <w:ind w:right="-29"/>
        <w:rPr>
          <w:szCs w:val="22"/>
          <w:lang w:val="fr-FR"/>
        </w:rPr>
      </w:pPr>
    </w:p>
    <w:p w14:paraId="42D67088" w14:textId="77777777" w:rsidR="005A40EC" w:rsidRPr="0026653F" w:rsidRDefault="005A40EC" w:rsidP="00C618DD">
      <w:pPr>
        <w:jc w:val="center"/>
        <w:rPr>
          <w:szCs w:val="22"/>
          <w:lang w:val="fr-FR"/>
        </w:rPr>
      </w:pPr>
      <w:r w:rsidRPr="0026653F">
        <w:rPr>
          <w:bCs/>
          <w:szCs w:val="22"/>
          <w:lang w:val="fr-FR" w:eastAsia="es-ES"/>
        </w:rPr>
        <w:t>(</w:t>
      </w:r>
      <w:r w:rsidRPr="0026653F">
        <w:rPr>
          <w:szCs w:val="22"/>
          <w:lang w:val="fr-FR" w:eastAsia="es-ES"/>
        </w:rPr>
        <w:t>Résolution adoptée à la première séance plénière, le 20 octobre 2020)</w:t>
      </w:r>
    </w:p>
    <w:p w14:paraId="37A7DC43" w14:textId="77777777" w:rsidR="005A40EC" w:rsidRPr="0026653F" w:rsidRDefault="005A40EC" w:rsidP="00C618DD">
      <w:pPr>
        <w:suppressAutoHyphens/>
        <w:snapToGrid w:val="0"/>
        <w:jc w:val="left"/>
        <w:rPr>
          <w:szCs w:val="22"/>
          <w:lang w:val="fr-FR"/>
        </w:rPr>
      </w:pPr>
    </w:p>
    <w:p w14:paraId="3DB9BB6D" w14:textId="77777777" w:rsidR="005A40EC" w:rsidRPr="0026653F" w:rsidRDefault="005A40EC" w:rsidP="00C618DD">
      <w:pPr>
        <w:suppressAutoHyphens/>
        <w:snapToGrid w:val="0"/>
        <w:jc w:val="left"/>
        <w:rPr>
          <w:szCs w:val="22"/>
          <w:lang w:val="fr-FR"/>
        </w:rPr>
      </w:pPr>
    </w:p>
    <w:p w14:paraId="19580A35" w14:textId="77777777" w:rsidR="005A40EC" w:rsidRPr="0026653F" w:rsidRDefault="005A40EC" w:rsidP="00C618DD">
      <w:pPr>
        <w:suppressAutoHyphens/>
        <w:ind w:firstLine="706"/>
        <w:rPr>
          <w:color w:val="000000"/>
          <w:szCs w:val="22"/>
          <w:lang w:val="fr-FR"/>
        </w:rPr>
      </w:pPr>
      <w:bookmarkStart w:id="25" w:name="_Toc398735427"/>
      <w:bookmarkStart w:id="26" w:name="_Toc390159054"/>
      <w:bookmarkStart w:id="27" w:name="_Toc389473708"/>
      <w:bookmarkStart w:id="28" w:name="_Toc389328089"/>
      <w:bookmarkStart w:id="29" w:name="_Toc389251584"/>
      <w:r w:rsidRPr="0026653F">
        <w:rPr>
          <w:color w:val="000000"/>
          <w:szCs w:val="22"/>
          <w:lang w:val="fr-FR"/>
        </w:rPr>
        <w:t>L’ASSEMBLÉE GÉNÉRALE,</w:t>
      </w:r>
      <w:bookmarkEnd w:id="25"/>
      <w:bookmarkEnd w:id="26"/>
      <w:bookmarkEnd w:id="27"/>
      <w:bookmarkEnd w:id="28"/>
      <w:bookmarkEnd w:id="29"/>
    </w:p>
    <w:p w14:paraId="618C6347" w14:textId="77777777" w:rsidR="005A40EC" w:rsidRPr="0026653F" w:rsidRDefault="005A40EC" w:rsidP="00C618DD">
      <w:pPr>
        <w:suppressAutoHyphens/>
        <w:rPr>
          <w:color w:val="000000"/>
          <w:szCs w:val="22"/>
          <w:lang w:val="fr-FR"/>
        </w:rPr>
      </w:pPr>
    </w:p>
    <w:p w14:paraId="61C97455" w14:textId="3E653ED2" w:rsidR="005A40EC" w:rsidRPr="0026653F" w:rsidRDefault="005A40EC" w:rsidP="00C618DD">
      <w:pPr>
        <w:suppressAutoHyphens/>
        <w:ind w:firstLine="706"/>
        <w:rPr>
          <w:color w:val="000000"/>
          <w:szCs w:val="22"/>
          <w:lang w:val="fr-FR"/>
        </w:rPr>
      </w:pPr>
      <w:r w:rsidRPr="0026653F">
        <w:rPr>
          <w:color w:val="000000"/>
          <w:szCs w:val="22"/>
          <w:lang w:val="fr-FR"/>
        </w:rPr>
        <w:t>RÉITÉRANT l’importance d’encourager le développement intégré, y compris le renforcement de la résilience, en tant qu’un des objectifs essentiels de l’Organisation contenus dans les instruments du système interaméricain tels que la Charte de l’Organisation des États Américains (OEA), la Charte démocratique interaméricaine et la Charte sociale des Amériques, de même que les mandats de l’OEA et initiatives issus des Sommets des Amériques</w:t>
      </w:r>
      <w:r w:rsidR="0055584A" w:rsidRPr="0026653F">
        <w:rPr>
          <w:color w:val="000000"/>
          <w:szCs w:val="22"/>
          <w:lang w:val="fr-FR"/>
        </w:rPr>
        <w:t>,</w:t>
      </w:r>
    </w:p>
    <w:p w14:paraId="0880BD0B" w14:textId="77777777" w:rsidR="005A40EC" w:rsidRPr="0026653F" w:rsidRDefault="005A40EC" w:rsidP="00C618DD">
      <w:pPr>
        <w:suppressAutoHyphens/>
        <w:rPr>
          <w:color w:val="000000"/>
          <w:szCs w:val="22"/>
          <w:lang w:val="fr-FR"/>
        </w:rPr>
      </w:pPr>
    </w:p>
    <w:p w14:paraId="4DE11282" w14:textId="0026145B" w:rsidR="005A40EC" w:rsidRPr="0026653F" w:rsidRDefault="005A40EC" w:rsidP="00C618DD">
      <w:pPr>
        <w:suppressAutoHyphens/>
        <w:ind w:firstLine="706"/>
        <w:rPr>
          <w:color w:val="000000"/>
          <w:szCs w:val="22"/>
          <w:lang w:val="fr-FR"/>
        </w:rPr>
      </w:pPr>
      <w:r w:rsidRPr="0026653F">
        <w:rPr>
          <w:color w:val="000000"/>
          <w:szCs w:val="22"/>
          <w:lang w:val="fr-FR"/>
        </w:rPr>
        <w:t>CONSCIENTE que les États membres de l’O</w:t>
      </w:r>
      <w:r w:rsidR="005B3ED3" w:rsidRPr="0026653F">
        <w:rPr>
          <w:color w:val="000000"/>
          <w:szCs w:val="22"/>
          <w:lang w:val="fr-FR"/>
        </w:rPr>
        <w:t xml:space="preserve">EA </w:t>
      </w:r>
      <w:r w:rsidRPr="0026653F">
        <w:rPr>
          <w:color w:val="000000"/>
          <w:szCs w:val="22"/>
          <w:lang w:val="fr-FR"/>
        </w:rPr>
        <w:t xml:space="preserve">ont été gravement touchés par les répercussions sociales, économiques et environnementales de la pandémie de COVID-19, notamment ceux qui sont les plus vulnérables aux chocs extérieurs, y compris les petits États insulaires </w:t>
      </w:r>
      <w:r w:rsidR="00727AEF" w:rsidRPr="0026653F">
        <w:rPr>
          <w:color w:val="000000"/>
          <w:szCs w:val="22"/>
          <w:lang w:val="fr-FR"/>
        </w:rPr>
        <w:t>à littoral</w:t>
      </w:r>
      <w:r w:rsidR="002D5C87" w:rsidRPr="0026653F">
        <w:rPr>
          <w:color w:val="000000"/>
          <w:szCs w:val="22"/>
          <w:lang w:val="fr-FR"/>
        </w:rPr>
        <w:t xml:space="preserve"> </w:t>
      </w:r>
      <w:r w:rsidRPr="0026653F">
        <w:rPr>
          <w:color w:val="000000"/>
          <w:szCs w:val="22"/>
          <w:lang w:val="fr-FR"/>
        </w:rPr>
        <w:t>de faible altitude et en développement ; et reconnaissant que ces effets ne sont pas les mêmes pour les populations de notre continent, ce qui aggrave la vulnérabilité des travailleurs informels et de ceux qui ont perdu leur emploi, ainsi que d’autres populations vulnérables</w:t>
      </w:r>
      <w:r w:rsidR="0055584A" w:rsidRPr="0026653F">
        <w:rPr>
          <w:color w:val="000000"/>
          <w:szCs w:val="22"/>
          <w:lang w:val="fr-FR"/>
        </w:rPr>
        <w:t>,</w:t>
      </w:r>
    </w:p>
    <w:p w14:paraId="4E8FD1F4" w14:textId="77777777" w:rsidR="005A40EC" w:rsidRPr="0026653F" w:rsidRDefault="005A40EC" w:rsidP="00C618DD">
      <w:pPr>
        <w:suppressAutoHyphens/>
        <w:rPr>
          <w:color w:val="000000"/>
          <w:szCs w:val="22"/>
          <w:lang w:val="fr-FR"/>
        </w:rPr>
      </w:pPr>
    </w:p>
    <w:p w14:paraId="7E76577A" w14:textId="31EC023C" w:rsidR="005A40EC" w:rsidRPr="0026653F" w:rsidRDefault="005A40EC" w:rsidP="00C618DD">
      <w:pPr>
        <w:suppressAutoHyphens/>
        <w:ind w:firstLine="720"/>
        <w:rPr>
          <w:color w:val="000000"/>
          <w:szCs w:val="22"/>
          <w:lang w:val="fr-FR"/>
        </w:rPr>
      </w:pPr>
      <w:r w:rsidRPr="0026653F">
        <w:rPr>
          <w:color w:val="000000"/>
          <w:szCs w:val="22"/>
          <w:lang w:val="fr-FR"/>
        </w:rPr>
        <w:t xml:space="preserve">RECONNAISSANT que la pandémie de COVID-19 </w:t>
      </w:r>
      <w:r w:rsidR="005B3ED3" w:rsidRPr="0026653F">
        <w:rPr>
          <w:color w:val="000000"/>
          <w:szCs w:val="22"/>
          <w:lang w:val="fr-FR"/>
        </w:rPr>
        <w:t>porte atteinte aux</w:t>
      </w:r>
      <w:r w:rsidRPr="0026653F">
        <w:rPr>
          <w:color w:val="000000"/>
          <w:szCs w:val="22"/>
          <w:lang w:val="fr-FR"/>
        </w:rPr>
        <w:t xml:space="preserve"> progrès mondiaux vers l’élimination de la pauvreté, y compris l</w:t>
      </w:r>
      <w:r w:rsidR="005B3ED3" w:rsidRPr="0026653F">
        <w:rPr>
          <w:color w:val="000000"/>
          <w:szCs w:val="22"/>
          <w:lang w:val="fr-FR"/>
        </w:rPr>
        <w:t xml:space="preserve">a </w:t>
      </w:r>
      <w:r w:rsidRPr="0026653F">
        <w:rPr>
          <w:color w:val="000000"/>
          <w:szCs w:val="22"/>
          <w:lang w:val="fr-FR"/>
        </w:rPr>
        <w:t>pauvreté</w:t>
      </w:r>
      <w:r w:rsidR="005B3ED3" w:rsidRPr="0026653F">
        <w:rPr>
          <w:color w:val="000000"/>
          <w:szCs w:val="22"/>
          <w:lang w:val="fr-FR"/>
        </w:rPr>
        <w:t xml:space="preserve"> absolue</w:t>
      </w:r>
      <w:r w:rsidRPr="0026653F">
        <w:rPr>
          <w:color w:val="000000"/>
          <w:szCs w:val="22"/>
          <w:lang w:val="fr-FR"/>
        </w:rPr>
        <w:t xml:space="preserve">, sous toutes ses formes et dans toutes ses dimensions, lesquels constituent une condition </w:t>
      </w:r>
      <w:r w:rsidR="005B3ED3" w:rsidRPr="0026653F">
        <w:rPr>
          <w:color w:val="000000"/>
          <w:szCs w:val="22"/>
          <w:lang w:val="fr-FR"/>
        </w:rPr>
        <w:t>indispensable pour le</w:t>
      </w:r>
      <w:r w:rsidRPr="0026653F">
        <w:rPr>
          <w:color w:val="000000"/>
          <w:szCs w:val="22"/>
          <w:lang w:val="fr-FR"/>
        </w:rPr>
        <w:t xml:space="preserve"> développement durable</w:t>
      </w:r>
      <w:r w:rsidR="0055584A" w:rsidRPr="0026653F">
        <w:rPr>
          <w:color w:val="000000"/>
          <w:szCs w:val="22"/>
          <w:lang w:val="fr-FR"/>
        </w:rPr>
        <w:t>,</w:t>
      </w:r>
    </w:p>
    <w:p w14:paraId="1D06DB5C" w14:textId="77777777" w:rsidR="005A40EC" w:rsidRPr="0026653F" w:rsidRDefault="005A40EC" w:rsidP="00C618DD">
      <w:pPr>
        <w:suppressAutoHyphens/>
        <w:rPr>
          <w:color w:val="000000"/>
          <w:szCs w:val="22"/>
          <w:lang w:val="fr-FR"/>
        </w:rPr>
      </w:pPr>
    </w:p>
    <w:p w14:paraId="2B1A0B99" w14:textId="108C4198" w:rsidR="005A40EC" w:rsidRPr="0026653F" w:rsidRDefault="005A40EC" w:rsidP="00C618DD">
      <w:pPr>
        <w:suppressAutoHyphens/>
        <w:ind w:firstLine="706"/>
        <w:rPr>
          <w:color w:val="000000"/>
          <w:szCs w:val="22"/>
          <w:lang w:val="fr-FR"/>
        </w:rPr>
      </w:pPr>
      <w:r w:rsidRPr="0026653F">
        <w:rPr>
          <w:color w:val="000000"/>
          <w:szCs w:val="22"/>
          <w:lang w:val="fr-FR"/>
        </w:rPr>
        <w:t>GARDANT À L’ESPRIT que la pandémie renforce la nécessité pour les États membres de l’OEA de formuler et de mettre en œuvre d’urgence des politiques, stratégies et programmes visant à réduire leur vulnérabilité et à renforcer leur résilience aux chocs ext</w:t>
      </w:r>
      <w:r w:rsidR="005B3ED3" w:rsidRPr="0026653F">
        <w:rPr>
          <w:color w:val="000000"/>
          <w:szCs w:val="22"/>
          <w:lang w:val="fr-FR"/>
        </w:rPr>
        <w:t>érieurs</w:t>
      </w:r>
      <w:r w:rsidRPr="0026653F">
        <w:rPr>
          <w:color w:val="000000"/>
          <w:szCs w:val="22"/>
          <w:lang w:val="fr-FR"/>
        </w:rPr>
        <w:t xml:space="preserve">, y compris les effets </w:t>
      </w:r>
      <w:r w:rsidR="005B3ED3" w:rsidRPr="0026653F">
        <w:rPr>
          <w:color w:val="000000"/>
          <w:szCs w:val="22"/>
          <w:lang w:val="fr-FR"/>
        </w:rPr>
        <w:t>défavorables</w:t>
      </w:r>
      <w:r w:rsidRPr="0026653F">
        <w:rPr>
          <w:color w:val="000000"/>
          <w:szCs w:val="22"/>
          <w:lang w:val="fr-FR"/>
        </w:rPr>
        <w:t xml:space="preserve"> du changement climatique</w:t>
      </w:r>
      <w:r w:rsidRPr="0026653F">
        <w:rPr>
          <w:color w:val="000000"/>
          <w:szCs w:val="22"/>
          <w:u w:val="single"/>
          <w:vertAlign w:val="superscript"/>
          <w:lang w:val="fr-FR"/>
        </w:rPr>
        <w:footnoteReference w:id="44"/>
      </w:r>
      <w:r w:rsidRPr="00670C12">
        <w:rPr>
          <w:color w:val="000000"/>
          <w:szCs w:val="22"/>
          <w:vertAlign w:val="superscript"/>
          <w:lang w:val="fr-FR"/>
        </w:rPr>
        <w:t>/</w:t>
      </w:r>
      <w:r w:rsidRPr="0026653F">
        <w:rPr>
          <w:color w:val="000000"/>
          <w:szCs w:val="22"/>
          <w:lang w:val="fr-FR"/>
        </w:rPr>
        <w:t>, conformément à leurs obligations nationales et internationales</w:t>
      </w:r>
      <w:r w:rsidR="0055584A" w:rsidRPr="0026653F">
        <w:rPr>
          <w:color w:val="000000"/>
          <w:szCs w:val="22"/>
          <w:lang w:val="fr-FR"/>
        </w:rPr>
        <w:t>,</w:t>
      </w:r>
    </w:p>
    <w:p w14:paraId="213BC8BF" w14:textId="77777777" w:rsidR="005A40EC" w:rsidRPr="0026653F" w:rsidRDefault="005A40EC" w:rsidP="00C618DD">
      <w:pPr>
        <w:suppressAutoHyphens/>
        <w:jc w:val="left"/>
        <w:rPr>
          <w:color w:val="000000"/>
          <w:szCs w:val="22"/>
          <w:lang w:val="fr-FR"/>
        </w:rPr>
      </w:pPr>
    </w:p>
    <w:p w14:paraId="0D910AE7" w14:textId="3A2F9812" w:rsidR="005A40EC" w:rsidRPr="0026653F" w:rsidRDefault="005A40EC" w:rsidP="00C618DD">
      <w:pPr>
        <w:shd w:val="clear" w:color="auto" w:fill="FFFFFF"/>
        <w:suppressAutoHyphens/>
        <w:ind w:firstLine="706"/>
        <w:rPr>
          <w:szCs w:val="22"/>
          <w:lang w:val="fr-FR"/>
        </w:rPr>
      </w:pPr>
      <w:r w:rsidRPr="0026653F">
        <w:rPr>
          <w:color w:val="000000"/>
          <w:szCs w:val="22"/>
          <w:lang w:val="fr-FR"/>
        </w:rPr>
        <w:t xml:space="preserve">RECONNAISSANT que les défis sanitaires, sociaux, économiques, environnementaux et financiers causés par la pandémie de COVID-19 ont des incidences sur la mise en œuvre des politiques visant le développement durable et que certains États ont besoin d’un soutien technique et financier, le cas échéant, lequel est offert par les organismes internationaux </w:t>
      </w:r>
      <w:r w:rsidR="005B3ED3" w:rsidRPr="0026653F">
        <w:rPr>
          <w:color w:val="000000"/>
          <w:szCs w:val="22"/>
          <w:lang w:val="fr-FR"/>
        </w:rPr>
        <w:t xml:space="preserve">de financement </w:t>
      </w:r>
      <w:r w:rsidRPr="0026653F">
        <w:rPr>
          <w:color w:val="000000"/>
          <w:szCs w:val="22"/>
          <w:lang w:val="fr-FR"/>
        </w:rPr>
        <w:t>et les institutions d</w:t>
      </w:r>
      <w:r w:rsidR="005B3ED3" w:rsidRPr="0026653F">
        <w:rPr>
          <w:color w:val="000000"/>
          <w:szCs w:val="22"/>
          <w:lang w:val="fr-FR"/>
        </w:rPr>
        <w:t>’aide au</w:t>
      </w:r>
      <w:r w:rsidRPr="0026653F">
        <w:rPr>
          <w:color w:val="000000"/>
          <w:szCs w:val="22"/>
          <w:lang w:val="fr-FR"/>
        </w:rPr>
        <w:t xml:space="preserve"> développement, entre autres, en tenant compte des capacités individuelles et des défis de chaque pays, afin de faire face à cette crise et parvenir à un développement socioéconomique durable </w:t>
      </w:r>
      <w:r w:rsidR="005B3ED3" w:rsidRPr="0026653F">
        <w:rPr>
          <w:color w:val="000000"/>
          <w:szCs w:val="22"/>
          <w:lang w:val="fr-FR"/>
        </w:rPr>
        <w:t xml:space="preserve">qui soit </w:t>
      </w:r>
      <w:r w:rsidRPr="0026653F">
        <w:rPr>
          <w:color w:val="000000"/>
          <w:szCs w:val="22"/>
          <w:lang w:val="fr-FR"/>
        </w:rPr>
        <w:t xml:space="preserve">plus solide et plus </w:t>
      </w:r>
      <w:r w:rsidR="005B3ED3" w:rsidRPr="0026653F">
        <w:rPr>
          <w:color w:val="000000"/>
          <w:szCs w:val="22"/>
          <w:lang w:val="fr-FR"/>
        </w:rPr>
        <w:t>résistant au climat</w:t>
      </w:r>
      <w:r w:rsidR="0055584A" w:rsidRPr="0026653F">
        <w:rPr>
          <w:color w:val="000000"/>
          <w:szCs w:val="22"/>
          <w:lang w:val="fr-FR"/>
        </w:rPr>
        <w:t>,</w:t>
      </w:r>
    </w:p>
    <w:p w14:paraId="105BE649" w14:textId="77777777" w:rsidR="005A40EC" w:rsidRPr="0026653F" w:rsidRDefault="005A40EC" w:rsidP="00C618DD">
      <w:pPr>
        <w:shd w:val="clear" w:color="auto" w:fill="FFFFFF"/>
        <w:suppressAutoHyphens/>
        <w:rPr>
          <w:szCs w:val="22"/>
          <w:lang w:val="fr-FR"/>
        </w:rPr>
      </w:pPr>
    </w:p>
    <w:p w14:paraId="309E31FF" w14:textId="109B64DB" w:rsidR="005A40EC" w:rsidRPr="0026653F" w:rsidRDefault="005A40EC" w:rsidP="00C618DD">
      <w:pPr>
        <w:suppressAutoHyphens/>
        <w:ind w:firstLine="720"/>
        <w:rPr>
          <w:color w:val="000000"/>
          <w:szCs w:val="22"/>
          <w:lang w:val="fr-FR"/>
        </w:rPr>
      </w:pPr>
      <w:r w:rsidRPr="0026653F">
        <w:rPr>
          <w:szCs w:val="22"/>
          <w:lang w:val="fr-FR"/>
        </w:rPr>
        <w:lastRenderedPageBreak/>
        <w:t>RAPPELANT que le travail de l’O</w:t>
      </w:r>
      <w:r w:rsidR="005B3ED3" w:rsidRPr="0026653F">
        <w:rPr>
          <w:szCs w:val="22"/>
          <w:lang w:val="fr-FR"/>
        </w:rPr>
        <w:t xml:space="preserve">EA </w:t>
      </w:r>
      <w:r w:rsidRPr="0026653F">
        <w:rPr>
          <w:szCs w:val="22"/>
          <w:lang w:val="fr-FR"/>
        </w:rPr>
        <w:t>relativement au pilier Développement est régi par le Plan stratégique intégral de l’Organisation [</w:t>
      </w:r>
      <w:hyperlink r:id="rId43" w:history="1">
        <w:r w:rsidRPr="0026653F">
          <w:rPr>
            <w:color w:val="0000FF"/>
            <w:szCs w:val="22"/>
            <w:u w:val="single"/>
            <w:lang w:val="fr-FR"/>
          </w:rPr>
          <w:t>AG/RES. 1 (LI-E/16</w:t>
        </w:r>
      </w:hyperlink>
      <w:r w:rsidRPr="0026653F">
        <w:rPr>
          <w:color w:val="0000FF"/>
          <w:szCs w:val="22"/>
          <w:u w:val="single"/>
          <w:lang w:val="fr-FR"/>
        </w:rPr>
        <w:t>) rev. 1</w:t>
      </w:r>
      <w:r w:rsidRPr="0026653F">
        <w:rPr>
          <w:szCs w:val="22"/>
          <w:lang w:val="fr-FR"/>
        </w:rPr>
        <w:t xml:space="preserve">] </w:t>
      </w:r>
      <w:r w:rsidR="00012604" w:rsidRPr="0026653F">
        <w:rPr>
          <w:szCs w:val="22"/>
          <w:lang w:val="fr-FR"/>
        </w:rPr>
        <w:t xml:space="preserve">2016-2020 </w:t>
      </w:r>
      <w:r w:rsidRPr="0026653F">
        <w:rPr>
          <w:szCs w:val="22"/>
          <w:lang w:val="fr-FR"/>
        </w:rPr>
        <w:t>et la Compilation du Plan stratégique intégral OEA 2019</w:t>
      </w:r>
      <w:r w:rsidRPr="0026653F">
        <w:rPr>
          <w:color w:val="2F5496"/>
          <w:szCs w:val="22"/>
          <w:lang w:val="fr-FR"/>
        </w:rPr>
        <w:t xml:space="preserve"> </w:t>
      </w:r>
      <w:r w:rsidRPr="0026653F">
        <w:rPr>
          <w:szCs w:val="22"/>
          <w:lang w:val="fr-FR"/>
        </w:rPr>
        <w:t>(</w:t>
      </w:r>
      <w:hyperlink r:id="rId44" w:history="1">
        <w:r w:rsidRPr="0026653F">
          <w:rPr>
            <w:color w:val="0000FF"/>
            <w:szCs w:val="22"/>
            <w:u w:val="single"/>
            <w:lang w:val="fr-FR"/>
          </w:rPr>
          <w:t>CP/doc.5469/19 rev. 1</w:t>
        </w:r>
      </w:hyperlink>
      <w:r w:rsidRPr="0026653F">
        <w:rPr>
          <w:szCs w:val="22"/>
          <w:lang w:val="fr-FR"/>
        </w:rPr>
        <w:t>), lesquels sont alignés sur le Programme de développement durable à l’horizon 2030 et ses objectifs de développement durable comme cadre général d’intervention et contribuent à sa mise en œuvre</w:t>
      </w:r>
      <w:r w:rsidR="0055584A" w:rsidRPr="0026653F">
        <w:rPr>
          <w:szCs w:val="22"/>
          <w:lang w:val="fr-FR"/>
        </w:rPr>
        <w:t>,</w:t>
      </w:r>
    </w:p>
    <w:p w14:paraId="3FF0D54F" w14:textId="77777777" w:rsidR="005A40EC" w:rsidRPr="0026653F" w:rsidRDefault="005A40EC" w:rsidP="00C618DD">
      <w:pPr>
        <w:suppressAutoHyphens/>
        <w:rPr>
          <w:szCs w:val="22"/>
          <w:lang w:val="fr-FR"/>
        </w:rPr>
      </w:pPr>
    </w:p>
    <w:p w14:paraId="15341117" w14:textId="7AEC6FB9" w:rsidR="005A40EC" w:rsidRPr="0026653F" w:rsidRDefault="005A40EC" w:rsidP="00C618DD">
      <w:pPr>
        <w:suppressAutoHyphens/>
        <w:ind w:firstLine="720"/>
        <w:rPr>
          <w:color w:val="000000"/>
          <w:szCs w:val="22"/>
          <w:lang w:val="fr-FR"/>
        </w:rPr>
      </w:pPr>
      <w:r w:rsidRPr="0026653F">
        <w:rPr>
          <w:szCs w:val="22"/>
          <w:lang w:val="fr-FR"/>
        </w:rPr>
        <w:t>SALUANT les résultats des réunions de</w:t>
      </w:r>
      <w:r w:rsidR="00E47DF6" w:rsidRPr="0026653F">
        <w:rPr>
          <w:szCs w:val="22"/>
          <w:lang w:val="fr-FR"/>
        </w:rPr>
        <w:t>s</w:t>
      </w:r>
      <w:r w:rsidRPr="0026653F">
        <w:rPr>
          <w:szCs w:val="22"/>
          <w:lang w:val="fr-FR"/>
        </w:rPr>
        <w:t xml:space="preserve"> ministres et hauts fonctionnaires dans le cadre du Conseil interaméricain pour le développement intégré (CIDI) dans les domaines de l’éducation, de la culture et de l’énergie, de même que les résultats des processus sectoriels sur le travail, les ports, la coopération, la science et la technologie, le tourisme, la compétitivité et </w:t>
      </w:r>
      <w:r w:rsidR="00E47DF6" w:rsidRPr="0026653F">
        <w:rPr>
          <w:szCs w:val="22"/>
          <w:lang w:val="fr-FR"/>
        </w:rPr>
        <w:t xml:space="preserve">sur </w:t>
      </w:r>
      <w:r w:rsidRPr="0026653F">
        <w:rPr>
          <w:szCs w:val="22"/>
          <w:lang w:val="fr-FR"/>
        </w:rPr>
        <w:t>les micro</w:t>
      </w:r>
      <w:r w:rsidR="00E47DF6" w:rsidRPr="0026653F">
        <w:rPr>
          <w:szCs w:val="22"/>
          <w:lang w:val="fr-FR"/>
        </w:rPr>
        <w:t xml:space="preserve">entreprises et </w:t>
      </w:r>
      <w:r w:rsidRPr="0026653F">
        <w:rPr>
          <w:szCs w:val="22"/>
          <w:lang w:val="fr-FR"/>
        </w:rPr>
        <w:t>petites et moyennes entreprises</w:t>
      </w:r>
      <w:r w:rsidR="0055584A" w:rsidRPr="0026653F">
        <w:rPr>
          <w:szCs w:val="22"/>
          <w:lang w:val="fr-FR"/>
        </w:rPr>
        <w:t>,</w:t>
      </w:r>
    </w:p>
    <w:p w14:paraId="09806D96" w14:textId="77777777" w:rsidR="005A40EC" w:rsidRPr="0026653F" w:rsidRDefault="005A40EC" w:rsidP="00C618DD">
      <w:pPr>
        <w:suppressAutoHyphens/>
        <w:rPr>
          <w:szCs w:val="22"/>
          <w:lang w:val="fr-FR"/>
        </w:rPr>
      </w:pPr>
    </w:p>
    <w:p w14:paraId="1EF8B8E2" w14:textId="1D58A7AE" w:rsidR="005A40EC" w:rsidRPr="0026653F" w:rsidRDefault="00E47DF6" w:rsidP="00C618DD">
      <w:pPr>
        <w:suppressAutoHyphens/>
        <w:ind w:firstLine="720"/>
        <w:rPr>
          <w:color w:val="000000"/>
          <w:szCs w:val="22"/>
          <w:lang w:val="fr-FR"/>
        </w:rPr>
      </w:pPr>
      <w:r w:rsidRPr="0026653F">
        <w:rPr>
          <w:szCs w:val="22"/>
          <w:lang w:val="fr-FR"/>
        </w:rPr>
        <w:t xml:space="preserve">DONNANT </w:t>
      </w:r>
      <w:proofErr w:type="gramStart"/>
      <w:r w:rsidRPr="0026653F">
        <w:rPr>
          <w:szCs w:val="22"/>
          <w:lang w:val="fr-FR"/>
        </w:rPr>
        <w:t>SUITE</w:t>
      </w:r>
      <w:r w:rsidR="005A40EC" w:rsidRPr="0026653F">
        <w:rPr>
          <w:szCs w:val="22"/>
          <w:lang w:val="fr-FR"/>
        </w:rPr>
        <w:t xml:space="preserve"> aux</w:t>
      </w:r>
      <w:proofErr w:type="gramEnd"/>
      <w:r w:rsidR="005A40EC" w:rsidRPr="0026653F">
        <w:rPr>
          <w:szCs w:val="22"/>
          <w:lang w:val="fr-FR"/>
        </w:rPr>
        <w:t xml:space="preserve"> dispositions de la résolution </w:t>
      </w:r>
      <w:bookmarkStart w:id="30" w:name="_Hlk64635388"/>
      <w:r w:rsidR="00A34A02" w:rsidRPr="0026653F">
        <w:rPr>
          <w:lang w:val="fr-FR"/>
        </w:rPr>
        <w:fldChar w:fldCharType="begin"/>
      </w:r>
      <w:r w:rsidR="00A34A02" w:rsidRPr="0026653F">
        <w:rPr>
          <w:lang w:val="fr-FR"/>
        </w:rPr>
        <w:instrText xml:space="preserve"> HYPERLINK "http://scm.oas.org/doc_public/FRENCH/HIST_18/CIDIS00003F03.doc" </w:instrText>
      </w:r>
      <w:r w:rsidR="00A34A02" w:rsidRPr="0026653F">
        <w:rPr>
          <w:lang w:val="fr-FR"/>
        </w:rPr>
        <w:fldChar w:fldCharType="separate"/>
      </w:r>
      <w:r w:rsidRPr="0026653F">
        <w:rPr>
          <w:bCs/>
          <w:color w:val="0000FF"/>
          <w:szCs w:val="22"/>
          <w:u w:val="single"/>
          <w:lang w:val="fr-FR"/>
        </w:rPr>
        <w:t>AG/RES. 2939 (XLIX-O/19</w:t>
      </w:r>
      <w:r w:rsidR="00A34A02" w:rsidRPr="0026653F">
        <w:rPr>
          <w:bCs/>
          <w:color w:val="0000FF"/>
          <w:szCs w:val="22"/>
          <w:u w:val="single"/>
          <w:lang w:val="fr-FR"/>
        </w:rPr>
        <w:fldChar w:fldCharType="end"/>
      </w:r>
      <w:r w:rsidRPr="0026653F">
        <w:rPr>
          <w:bCs/>
          <w:color w:val="0000FF"/>
          <w:szCs w:val="22"/>
          <w:u w:val="single"/>
          <w:lang w:val="fr-FR"/>
        </w:rPr>
        <w:t>)</w:t>
      </w:r>
      <w:r w:rsidR="005A40EC" w:rsidRPr="0026653F">
        <w:rPr>
          <w:szCs w:val="22"/>
          <w:lang w:val="fr-FR"/>
        </w:rPr>
        <w:t>,</w:t>
      </w:r>
      <w:r w:rsidRPr="0026653F">
        <w:rPr>
          <w:szCs w:val="22"/>
          <w:lang w:val="fr-FR"/>
        </w:rPr>
        <w:t xml:space="preserve"> </w:t>
      </w:r>
      <w:bookmarkEnd w:id="30"/>
      <w:r w:rsidRPr="0026653F">
        <w:rPr>
          <w:szCs w:val="22"/>
          <w:lang w:val="fr-FR"/>
        </w:rPr>
        <w:t>« Promotion</w:t>
      </w:r>
      <w:r w:rsidR="005A40EC" w:rsidRPr="0026653F">
        <w:rPr>
          <w:szCs w:val="22"/>
          <w:lang w:val="fr-FR"/>
        </w:rPr>
        <w:t xml:space="preserve"> d’initiatives continentales en matière de développement intégré », adoptée par l’Assemblée générale lors de sa quarante-neuvième session ordinaire</w:t>
      </w:r>
      <w:r w:rsidR="0055584A" w:rsidRPr="0026653F">
        <w:rPr>
          <w:szCs w:val="22"/>
          <w:lang w:val="fr-FR"/>
        </w:rPr>
        <w:t>,</w:t>
      </w:r>
    </w:p>
    <w:p w14:paraId="46D98214" w14:textId="77777777" w:rsidR="005A40EC" w:rsidRPr="0026653F" w:rsidRDefault="005A40EC" w:rsidP="00C618DD">
      <w:pPr>
        <w:suppressAutoHyphens/>
        <w:rPr>
          <w:szCs w:val="22"/>
          <w:lang w:val="fr-FR"/>
        </w:rPr>
      </w:pPr>
    </w:p>
    <w:p w14:paraId="21601A26" w14:textId="2BA54B32" w:rsidR="005A40EC" w:rsidRPr="0026653F" w:rsidRDefault="005A40EC" w:rsidP="00C618DD">
      <w:pPr>
        <w:suppressAutoHyphens/>
        <w:ind w:firstLine="720"/>
        <w:rPr>
          <w:color w:val="000000"/>
          <w:szCs w:val="22"/>
          <w:lang w:val="fr-FR"/>
        </w:rPr>
      </w:pPr>
      <w:r w:rsidRPr="0026653F">
        <w:rPr>
          <w:color w:val="000000"/>
          <w:szCs w:val="22"/>
          <w:lang w:val="fr-FR"/>
        </w:rPr>
        <w:t xml:space="preserve">PRENANT NOTE des progrès accomplis par le Secrétariat </w:t>
      </w:r>
      <w:r w:rsidR="00E56068" w:rsidRPr="0026653F">
        <w:rPr>
          <w:color w:val="000000"/>
          <w:szCs w:val="22"/>
          <w:lang w:val="fr-FR"/>
        </w:rPr>
        <w:t xml:space="preserve">exécutif au développement intégré </w:t>
      </w:r>
      <w:r w:rsidRPr="0026653F">
        <w:rPr>
          <w:color w:val="000000"/>
          <w:szCs w:val="22"/>
          <w:lang w:val="fr-FR"/>
        </w:rPr>
        <w:t>dans le cadre du Plan stratégique intégral de l’Organisation</w:t>
      </w:r>
      <w:r w:rsidR="009404E2" w:rsidRPr="0026653F">
        <w:rPr>
          <w:color w:val="000000"/>
          <w:szCs w:val="22"/>
          <w:lang w:val="fr-FR"/>
        </w:rPr>
        <w:t xml:space="preserve"> </w:t>
      </w:r>
      <w:r w:rsidRPr="0026653F">
        <w:rPr>
          <w:color w:val="000000"/>
          <w:szCs w:val="22"/>
          <w:lang w:val="fr-FR"/>
        </w:rPr>
        <w:t xml:space="preserve">[AG/RES. 1 (LI-E/16) rev. 1] </w:t>
      </w:r>
      <w:r w:rsidR="00012604" w:rsidRPr="0026653F">
        <w:rPr>
          <w:color w:val="000000"/>
          <w:szCs w:val="22"/>
          <w:lang w:val="fr-FR"/>
        </w:rPr>
        <w:t xml:space="preserve">2016-2020 </w:t>
      </w:r>
      <w:r w:rsidRPr="0026653F">
        <w:rPr>
          <w:color w:val="000000"/>
          <w:szCs w:val="22"/>
          <w:lang w:val="fr-FR"/>
        </w:rPr>
        <w:t xml:space="preserve">selon ses sept lignes stratégiques et ses objectifs pour le pilier Développement intégré et </w:t>
      </w:r>
      <w:r w:rsidR="00E66EBA" w:rsidRPr="0026653F">
        <w:rPr>
          <w:color w:val="000000"/>
          <w:szCs w:val="22"/>
          <w:lang w:val="fr-FR"/>
        </w:rPr>
        <w:t>comme énoncé dans le</w:t>
      </w:r>
      <w:r w:rsidRPr="0026653F">
        <w:rPr>
          <w:color w:val="000000"/>
          <w:szCs w:val="22"/>
          <w:lang w:val="fr-FR"/>
        </w:rPr>
        <w:t xml:space="preserve"> rapport annuel du Secrétariat exécutif au développement intégré adressé au Conseil interaméricain pour le développement intégré </w:t>
      </w:r>
      <w:r w:rsidR="00E66EBA" w:rsidRPr="0026653F">
        <w:rPr>
          <w:color w:val="000000"/>
          <w:szCs w:val="22"/>
          <w:lang w:val="fr-FR"/>
        </w:rPr>
        <w:t>(CIDI)</w:t>
      </w:r>
      <w:r w:rsidR="00E66EBA" w:rsidRPr="00670C12">
        <w:rPr>
          <w:szCs w:val="22"/>
          <w:lang w:val="fr-FR"/>
        </w:rPr>
        <w:t xml:space="preserve"> </w:t>
      </w:r>
      <w:r w:rsidRPr="00670C12">
        <w:rPr>
          <w:szCs w:val="22"/>
          <w:u w:val="single"/>
          <w:lang w:val="fr-FR"/>
        </w:rPr>
        <w:t>(</w:t>
      </w:r>
      <w:hyperlink r:id="rId45" w:tgtFrame="_blank" w:history="1">
        <w:r w:rsidR="00704711" w:rsidRPr="0026653F">
          <w:rPr>
            <w:rStyle w:val="Hyperlink"/>
            <w:szCs w:val="22"/>
            <w:bdr w:val="none" w:sz="0" w:space="0" w:color="auto" w:frame="1"/>
            <w:shd w:val="clear" w:color="auto" w:fill="FFFFFF"/>
            <w:lang w:val="fr-FR"/>
          </w:rPr>
          <w:t>CIDI/doc.283/20 rev. 1</w:t>
        </w:r>
        <w:r w:rsidR="00704711" w:rsidRPr="00670C12">
          <w:rPr>
            <w:rStyle w:val="Hyperlink"/>
            <w:color w:val="auto"/>
            <w:szCs w:val="22"/>
            <w:bdr w:val="none" w:sz="0" w:space="0" w:color="auto" w:frame="1"/>
            <w:shd w:val="clear" w:color="auto" w:fill="FFFFFF"/>
            <w:lang w:val="fr-FR"/>
          </w:rPr>
          <w:t>)</w:t>
        </w:r>
      </w:hyperlink>
      <w:r w:rsidR="00704711" w:rsidRPr="0026653F">
        <w:rPr>
          <w:lang w:val="fr-FR"/>
        </w:rPr>
        <w:t>,</w:t>
      </w:r>
    </w:p>
    <w:p w14:paraId="7ED7F852" w14:textId="77777777" w:rsidR="005A40EC" w:rsidRPr="0026653F" w:rsidRDefault="005A40EC" w:rsidP="00C618DD">
      <w:pPr>
        <w:suppressAutoHyphens/>
        <w:rPr>
          <w:szCs w:val="22"/>
          <w:lang w:val="fr-FR"/>
        </w:rPr>
      </w:pPr>
    </w:p>
    <w:p w14:paraId="3E5E5DCC" w14:textId="76F9EF4C" w:rsidR="005A40EC" w:rsidRPr="0026653F" w:rsidRDefault="005A40EC" w:rsidP="00C618DD">
      <w:pPr>
        <w:suppressAutoHyphens/>
        <w:ind w:firstLine="720"/>
        <w:rPr>
          <w:szCs w:val="22"/>
          <w:lang w:val="fr-FR"/>
        </w:rPr>
      </w:pPr>
      <w:r w:rsidRPr="0026653F">
        <w:rPr>
          <w:color w:val="000000"/>
          <w:szCs w:val="22"/>
          <w:lang w:val="fr-FR"/>
        </w:rPr>
        <w:t xml:space="preserve">TENANT COMPTE du fait que le CIDI a adopté la résolution CIDI/RES. 342 (CII-O/20), « Modifications </w:t>
      </w:r>
      <w:r w:rsidR="009D4471" w:rsidRPr="0026653F">
        <w:rPr>
          <w:color w:val="000000"/>
          <w:szCs w:val="22"/>
          <w:lang w:val="fr-FR"/>
        </w:rPr>
        <w:t>a</w:t>
      </w:r>
      <w:r w:rsidRPr="0026653F">
        <w:rPr>
          <w:color w:val="000000"/>
          <w:szCs w:val="22"/>
          <w:lang w:val="fr-FR"/>
        </w:rPr>
        <w:t xml:space="preserve">u Statut de l’Agence interaméricaine pour la coopération et le développement (AICD) et </w:t>
      </w:r>
      <w:r w:rsidR="00AD3B8C" w:rsidRPr="0026653F">
        <w:rPr>
          <w:color w:val="000000"/>
          <w:szCs w:val="22"/>
          <w:lang w:val="fr-FR"/>
        </w:rPr>
        <w:t>a</w:t>
      </w:r>
      <w:r w:rsidRPr="0026653F">
        <w:rPr>
          <w:color w:val="000000"/>
          <w:szCs w:val="22"/>
          <w:lang w:val="fr-FR"/>
        </w:rPr>
        <w:t xml:space="preserve">u Statut de la Commission du Fonds d’investissement </w:t>
      </w:r>
      <w:r w:rsidR="00AD3B8C" w:rsidRPr="0026653F">
        <w:rPr>
          <w:color w:val="000000"/>
          <w:szCs w:val="22"/>
          <w:lang w:val="fr-FR"/>
        </w:rPr>
        <w:t xml:space="preserve">de l'OEA </w:t>
      </w:r>
      <w:r w:rsidRPr="0026653F">
        <w:rPr>
          <w:color w:val="000000"/>
          <w:szCs w:val="22"/>
          <w:lang w:val="fr-FR"/>
        </w:rPr>
        <w:t xml:space="preserve">pour le financement des </w:t>
      </w:r>
      <w:r w:rsidR="00AD3B8C" w:rsidRPr="0026653F">
        <w:rPr>
          <w:color w:val="000000"/>
          <w:szCs w:val="22"/>
          <w:lang w:val="fr-FR"/>
        </w:rPr>
        <w:t>programmes de bourses d’études et de perfectionnement »,</w:t>
      </w:r>
    </w:p>
    <w:p w14:paraId="45412643" w14:textId="77777777" w:rsidR="005A40EC" w:rsidRPr="0026653F" w:rsidRDefault="005A40EC" w:rsidP="00C618DD">
      <w:pPr>
        <w:suppressAutoHyphens/>
        <w:rPr>
          <w:color w:val="000000"/>
          <w:szCs w:val="22"/>
          <w:lang w:val="fr-FR"/>
        </w:rPr>
      </w:pPr>
    </w:p>
    <w:p w14:paraId="6F65B94B" w14:textId="77777777" w:rsidR="005A40EC" w:rsidRPr="0026653F" w:rsidRDefault="005A40EC" w:rsidP="00C618DD">
      <w:pPr>
        <w:suppressAutoHyphens/>
        <w:jc w:val="left"/>
        <w:rPr>
          <w:szCs w:val="22"/>
          <w:lang w:val="fr-FR"/>
        </w:rPr>
      </w:pPr>
      <w:r w:rsidRPr="0026653F">
        <w:rPr>
          <w:szCs w:val="22"/>
          <w:lang w:val="fr-FR"/>
        </w:rPr>
        <w:t>DÉCIDE</w:t>
      </w:r>
      <w:r w:rsidR="00E47DF6" w:rsidRPr="0026653F">
        <w:rPr>
          <w:szCs w:val="22"/>
          <w:lang w:val="fr-FR"/>
        </w:rPr>
        <w:t> :</w:t>
      </w:r>
    </w:p>
    <w:p w14:paraId="2C827419" w14:textId="77777777" w:rsidR="005A40EC" w:rsidRPr="0026653F" w:rsidRDefault="005A40EC" w:rsidP="00C618DD">
      <w:pPr>
        <w:suppressAutoHyphens/>
        <w:jc w:val="left"/>
        <w:rPr>
          <w:szCs w:val="22"/>
          <w:lang w:val="fr-FR"/>
        </w:rPr>
      </w:pPr>
    </w:p>
    <w:p w14:paraId="23ACB4AE" w14:textId="3585287F" w:rsidR="005A40EC" w:rsidRPr="0026653F" w:rsidRDefault="005A40EC" w:rsidP="00C618DD">
      <w:pPr>
        <w:suppressAutoHyphens/>
        <w:ind w:firstLine="720"/>
        <w:rPr>
          <w:szCs w:val="22"/>
          <w:lang w:val="fr-FR"/>
        </w:rPr>
      </w:pPr>
      <w:r w:rsidRPr="0026653F">
        <w:rPr>
          <w:color w:val="000000"/>
          <w:szCs w:val="22"/>
          <w:lang w:val="fr-FR"/>
        </w:rPr>
        <w:t>1.</w:t>
      </w:r>
      <w:r w:rsidRPr="0026653F">
        <w:rPr>
          <w:color w:val="000000"/>
          <w:szCs w:val="22"/>
          <w:lang w:val="fr-FR"/>
        </w:rPr>
        <w:tab/>
      </w:r>
      <w:r w:rsidRPr="0026653F">
        <w:rPr>
          <w:szCs w:val="22"/>
          <w:lang w:val="fr-FR"/>
        </w:rPr>
        <w:t xml:space="preserve">De remercier les gouvernements des États membres ci-après, qui ont présidé et accueilli </w:t>
      </w:r>
      <w:r w:rsidR="006D3563" w:rsidRPr="0026653F">
        <w:rPr>
          <w:szCs w:val="22"/>
          <w:lang w:val="fr-FR"/>
        </w:rPr>
        <w:t>l</w:t>
      </w:r>
      <w:r w:rsidRPr="0026653F">
        <w:rPr>
          <w:szCs w:val="22"/>
          <w:lang w:val="fr-FR"/>
        </w:rPr>
        <w:t>es réunions de</w:t>
      </w:r>
      <w:r w:rsidR="006D3563" w:rsidRPr="0026653F">
        <w:rPr>
          <w:szCs w:val="22"/>
          <w:lang w:val="fr-FR"/>
        </w:rPr>
        <w:t>s</w:t>
      </w:r>
      <w:r w:rsidRPr="0026653F">
        <w:rPr>
          <w:szCs w:val="22"/>
          <w:lang w:val="fr-FR"/>
        </w:rPr>
        <w:t xml:space="preserve"> ministres et hauts fonctionnaires organisées dans le cadre du Conseil interaméricain pour le développement intégré (CIDI) et des processus ministériels réalisés à la suite de la quarante-neuvième session ordinaire de l’Assemblée générale, et de rendre hommage à leur hospitalité, leur leadership et leur engagement </w:t>
      </w:r>
      <w:r w:rsidRPr="0026653F">
        <w:rPr>
          <w:color w:val="000000"/>
          <w:szCs w:val="22"/>
          <w:lang w:val="fr-FR"/>
        </w:rPr>
        <w:t>:</w:t>
      </w:r>
    </w:p>
    <w:p w14:paraId="339C49A2" w14:textId="77777777" w:rsidR="005A40EC" w:rsidRPr="0026653F" w:rsidRDefault="005A40EC" w:rsidP="00C618DD">
      <w:pPr>
        <w:suppressAutoHyphens/>
        <w:rPr>
          <w:szCs w:val="22"/>
          <w:lang w:val="fr-FR"/>
        </w:rPr>
      </w:pPr>
    </w:p>
    <w:p w14:paraId="0DC19E33" w14:textId="07F2FC23"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szCs w:val="22"/>
          <w:lang w:val="fr-FR"/>
        </w:rPr>
        <w:t xml:space="preserve">Antigua-et-Barbuda, pour avoir présidé la Dixième Réunion interaméricaine des ministres de l’éducation dans le cadre du CIDI, tenue </w:t>
      </w:r>
      <w:r w:rsidR="006D3563" w:rsidRPr="0026653F">
        <w:rPr>
          <w:szCs w:val="22"/>
          <w:lang w:val="fr-FR"/>
        </w:rPr>
        <w:t>à Washington, D.C. </w:t>
      </w:r>
      <w:r w:rsidRPr="0026653F">
        <w:rPr>
          <w:szCs w:val="22"/>
          <w:lang w:val="fr-FR"/>
        </w:rPr>
        <w:t xml:space="preserve">les 8 et 9 juillet </w:t>
      </w:r>
      <w:r w:rsidR="006D3563" w:rsidRPr="0026653F">
        <w:rPr>
          <w:szCs w:val="22"/>
          <w:lang w:val="fr-FR"/>
        </w:rPr>
        <w:t>2019</w:t>
      </w:r>
      <w:r w:rsidR="006D3563" w:rsidRPr="0026653F">
        <w:rPr>
          <w:color w:val="000000"/>
          <w:szCs w:val="22"/>
          <w:lang w:val="fr-FR"/>
        </w:rPr>
        <w:t xml:space="preserve"> ;</w:t>
      </w:r>
    </w:p>
    <w:p w14:paraId="57DED5E7" w14:textId="2C849C38"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szCs w:val="22"/>
          <w:lang w:val="fr-FR"/>
        </w:rPr>
        <w:t>Le Honduras, pour avoir accueilli la Vingtième Réunion du Comité exécutif de la Commission interaméricaine des ports (CECIP), sur l’île de Roat</w:t>
      </w:r>
      <w:r w:rsidR="006D3563" w:rsidRPr="0026653F">
        <w:rPr>
          <w:szCs w:val="22"/>
          <w:lang w:val="fr-FR"/>
        </w:rPr>
        <w:t>á</w:t>
      </w:r>
      <w:r w:rsidRPr="0026653F">
        <w:rPr>
          <w:szCs w:val="22"/>
          <w:lang w:val="fr-FR"/>
        </w:rPr>
        <w:t xml:space="preserve">n le 17 juillet </w:t>
      </w:r>
      <w:r w:rsidR="0055584A" w:rsidRPr="0026653F">
        <w:rPr>
          <w:szCs w:val="22"/>
          <w:lang w:val="fr-FR"/>
        </w:rPr>
        <w:t>2019</w:t>
      </w:r>
      <w:r w:rsidR="0055584A" w:rsidRPr="0026653F">
        <w:rPr>
          <w:color w:val="000000"/>
          <w:szCs w:val="22"/>
          <w:lang w:val="fr-FR"/>
        </w:rPr>
        <w:t xml:space="preserve"> ;</w:t>
      </w:r>
    </w:p>
    <w:p w14:paraId="1AC0F4C8" w14:textId="0FBF7C3F"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szCs w:val="22"/>
          <w:lang w:val="fr-FR"/>
        </w:rPr>
        <w:t>La Barbade, pour avoir accueilli la Huitième Réunion</w:t>
      </w:r>
      <w:r w:rsidR="00B407AD" w:rsidRPr="0026653F">
        <w:rPr>
          <w:szCs w:val="22"/>
          <w:lang w:val="fr-FR"/>
        </w:rPr>
        <w:t xml:space="preserve"> interaméricaine</w:t>
      </w:r>
      <w:r w:rsidRPr="0026653F">
        <w:rPr>
          <w:szCs w:val="22"/>
          <w:lang w:val="fr-FR"/>
        </w:rPr>
        <w:t xml:space="preserve"> des ministres et hauts fonctionnaires chargés de la culture dans le cadre du CIDI, les 19 et 20 septembre 2019 </w:t>
      </w:r>
      <w:r w:rsidRPr="0026653F">
        <w:rPr>
          <w:color w:val="000000"/>
          <w:szCs w:val="22"/>
          <w:lang w:val="fr-FR"/>
        </w:rPr>
        <w:t>;</w:t>
      </w:r>
    </w:p>
    <w:p w14:paraId="777B6BC7" w14:textId="7669D101"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color w:val="000000"/>
          <w:szCs w:val="22"/>
          <w:lang w:val="fr-FR"/>
        </w:rPr>
        <w:t>Le Chili, pour l</w:t>
      </w:r>
      <w:r w:rsidR="00C340C4" w:rsidRPr="0026653F">
        <w:rPr>
          <w:color w:val="000000"/>
          <w:szCs w:val="22"/>
          <w:lang w:val="fr-FR"/>
        </w:rPr>
        <w:t>e</w:t>
      </w:r>
      <w:r w:rsidRPr="0026653F">
        <w:rPr>
          <w:color w:val="000000"/>
          <w:szCs w:val="22"/>
          <w:lang w:val="fr-FR"/>
        </w:rPr>
        <w:t xml:space="preserve"> Douzième </w:t>
      </w:r>
      <w:r w:rsidR="00AF6C12" w:rsidRPr="0026653F">
        <w:rPr>
          <w:color w:val="000000"/>
          <w:szCs w:val="22"/>
          <w:lang w:val="fr-FR"/>
        </w:rPr>
        <w:t>Échange</w:t>
      </w:r>
      <w:r w:rsidR="00C340C4" w:rsidRPr="0026653F">
        <w:rPr>
          <w:color w:val="000000"/>
          <w:szCs w:val="22"/>
          <w:lang w:val="fr-FR"/>
        </w:rPr>
        <w:t xml:space="preserve"> </w:t>
      </w:r>
      <w:r w:rsidRPr="0026653F">
        <w:rPr>
          <w:color w:val="000000"/>
          <w:szCs w:val="22"/>
          <w:lang w:val="fr-FR"/>
        </w:rPr>
        <w:t>pour la compétitivité des Amériques</w:t>
      </w:r>
      <w:r w:rsidR="00D16499" w:rsidRPr="0026653F">
        <w:rPr>
          <w:color w:val="000000"/>
          <w:szCs w:val="22"/>
          <w:lang w:val="fr-FR"/>
        </w:rPr>
        <w:t xml:space="preserve"> (ACE)</w:t>
      </w:r>
      <w:r w:rsidRPr="0026653F">
        <w:rPr>
          <w:color w:val="000000"/>
          <w:szCs w:val="22"/>
          <w:lang w:val="fr-FR"/>
        </w:rPr>
        <w:t xml:space="preserve">, réalisé du 6 au 10 octobre </w:t>
      </w:r>
      <w:r w:rsidR="0055584A" w:rsidRPr="0026653F">
        <w:rPr>
          <w:color w:val="000000"/>
          <w:szCs w:val="22"/>
          <w:lang w:val="fr-FR"/>
        </w:rPr>
        <w:t>2019 ;</w:t>
      </w:r>
    </w:p>
    <w:p w14:paraId="54E2AA4D" w14:textId="49CD0221"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color w:val="000000"/>
          <w:szCs w:val="22"/>
          <w:lang w:val="fr-FR"/>
        </w:rPr>
        <w:lastRenderedPageBreak/>
        <w:t>Le Pérou, pour avoir accueilli l</w:t>
      </w:r>
      <w:r w:rsidR="00D60998" w:rsidRPr="0026653F">
        <w:rPr>
          <w:color w:val="000000"/>
          <w:szCs w:val="22"/>
          <w:lang w:val="fr-FR"/>
        </w:rPr>
        <w:t xml:space="preserve">e </w:t>
      </w:r>
      <w:r w:rsidR="00D60998" w:rsidRPr="0026653F">
        <w:rPr>
          <w:szCs w:val="22"/>
          <w:lang w:val="fr-FR"/>
        </w:rPr>
        <w:t>Premier Séminaire international sur la prospective technologique pour les Amériques (</w:t>
      </w:r>
      <w:r w:rsidRPr="0026653F">
        <w:rPr>
          <w:i/>
          <w:color w:val="000000"/>
          <w:szCs w:val="22"/>
          <w:lang w:val="fr-FR"/>
        </w:rPr>
        <w:t>Prospecta Américas</w:t>
      </w:r>
      <w:r w:rsidR="00D60998" w:rsidRPr="0026653F">
        <w:rPr>
          <w:iCs/>
          <w:color w:val="000000"/>
          <w:szCs w:val="22"/>
          <w:lang w:val="fr-FR"/>
        </w:rPr>
        <w:t>)</w:t>
      </w:r>
      <w:r w:rsidRPr="0026653F">
        <w:rPr>
          <w:color w:val="000000"/>
          <w:szCs w:val="22"/>
          <w:lang w:val="fr-FR"/>
        </w:rPr>
        <w:t xml:space="preserve">, qui s’est tenu à Lima les 24 et 25 octobre </w:t>
      </w:r>
      <w:r w:rsidR="0055584A" w:rsidRPr="0026653F">
        <w:rPr>
          <w:color w:val="000000"/>
          <w:szCs w:val="22"/>
          <w:lang w:val="fr-FR"/>
        </w:rPr>
        <w:t>2019 ;</w:t>
      </w:r>
    </w:p>
    <w:p w14:paraId="16AC334D" w14:textId="506F6315"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color w:val="000000"/>
          <w:szCs w:val="22"/>
          <w:lang w:val="fr-FR"/>
        </w:rPr>
        <w:t xml:space="preserve">L’Équateur, pour avoir accueilli la réunion des groupes de travail de la </w:t>
      </w:r>
      <w:r w:rsidR="00B11044" w:rsidRPr="0026653F">
        <w:rPr>
          <w:color w:val="000000"/>
          <w:szCs w:val="22"/>
          <w:lang w:val="fr-FR"/>
        </w:rPr>
        <w:t xml:space="preserve">Vingtième </w:t>
      </w:r>
      <w:r w:rsidRPr="0026653F">
        <w:rPr>
          <w:color w:val="000000"/>
          <w:szCs w:val="22"/>
          <w:lang w:val="fr-FR"/>
        </w:rPr>
        <w:t xml:space="preserve">Conférence interaméricaine des ministres du travail, laquelle s’est tenue à Quito du 3 au 5 décembre </w:t>
      </w:r>
      <w:r w:rsidR="0055584A" w:rsidRPr="0026653F">
        <w:rPr>
          <w:color w:val="000000"/>
          <w:szCs w:val="22"/>
          <w:lang w:val="fr-FR"/>
        </w:rPr>
        <w:t>2019 ;</w:t>
      </w:r>
    </w:p>
    <w:p w14:paraId="6738D6F4" w14:textId="58D78FDE"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szCs w:val="22"/>
          <w:lang w:val="fr-FR"/>
        </w:rPr>
        <w:t xml:space="preserve">La Jamaïque, pour avoir accueilli la Quatrième Réunion ministérielle du Partenariat des Amériques pour l’énergie et le climat (ECPA), </w:t>
      </w:r>
      <w:r w:rsidR="006D3563" w:rsidRPr="0026653F">
        <w:rPr>
          <w:szCs w:val="22"/>
          <w:lang w:val="fr-FR"/>
        </w:rPr>
        <w:t xml:space="preserve">qui s’est tenue </w:t>
      </w:r>
      <w:r w:rsidRPr="0026653F">
        <w:rPr>
          <w:szCs w:val="22"/>
          <w:lang w:val="fr-FR"/>
        </w:rPr>
        <w:t>les 27 et 28 février 2020 </w:t>
      </w:r>
      <w:r w:rsidRPr="0026653F">
        <w:rPr>
          <w:color w:val="000000"/>
          <w:szCs w:val="22"/>
          <w:lang w:val="fr-FR"/>
        </w:rPr>
        <w:t>;</w:t>
      </w:r>
    </w:p>
    <w:p w14:paraId="0A9B4182" w14:textId="60B7165B" w:rsidR="005A40EC" w:rsidRPr="0026653F" w:rsidRDefault="005A40EC" w:rsidP="00C618DD">
      <w:pPr>
        <w:numPr>
          <w:ilvl w:val="0"/>
          <w:numId w:val="53"/>
        </w:numPr>
        <w:tabs>
          <w:tab w:val="clear" w:pos="720"/>
        </w:tabs>
        <w:suppressAutoHyphens/>
        <w:ind w:left="2160" w:hanging="720"/>
        <w:textAlignment w:val="baseline"/>
        <w:rPr>
          <w:color w:val="000000"/>
          <w:szCs w:val="22"/>
          <w:lang w:val="fr-FR"/>
        </w:rPr>
      </w:pPr>
      <w:r w:rsidRPr="0026653F">
        <w:rPr>
          <w:color w:val="000000"/>
          <w:szCs w:val="22"/>
          <w:lang w:val="fr-FR"/>
        </w:rPr>
        <w:t xml:space="preserve">Le Mexique, pour avoir présidé la Deuxième Réunion </w:t>
      </w:r>
      <w:r w:rsidR="006D3563" w:rsidRPr="0026653F">
        <w:rPr>
          <w:color w:val="000000"/>
          <w:szCs w:val="22"/>
          <w:lang w:val="fr-FR"/>
        </w:rPr>
        <w:t>extraordinaire</w:t>
      </w:r>
      <w:r w:rsidRPr="0026653F">
        <w:rPr>
          <w:color w:val="000000"/>
          <w:szCs w:val="22"/>
          <w:lang w:val="fr-FR"/>
        </w:rPr>
        <w:t xml:space="preserve"> de la Commission interaméricaine du tourisme (CITUR), qui s’est tenue virtuellement le 14 août 2020.</w:t>
      </w:r>
    </w:p>
    <w:p w14:paraId="012CDD2A" w14:textId="77777777" w:rsidR="005A40EC" w:rsidRPr="0026653F" w:rsidRDefault="005A40EC" w:rsidP="00C618DD">
      <w:pPr>
        <w:suppressAutoHyphens/>
        <w:textAlignment w:val="baseline"/>
        <w:rPr>
          <w:bCs/>
          <w:color w:val="000000"/>
          <w:szCs w:val="22"/>
          <w:lang w:val="fr-FR"/>
        </w:rPr>
      </w:pPr>
    </w:p>
    <w:p w14:paraId="312D4BEE" w14:textId="6AE191AC" w:rsidR="005A40EC" w:rsidRPr="0026653F" w:rsidRDefault="005A40EC" w:rsidP="00C618DD">
      <w:pPr>
        <w:suppressAutoHyphens/>
        <w:ind w:firstLine="720"/>
        <w:rPr>
          <w:szCs w:val="22"/>
          <w:lang w:val="fr-FR"/>
        </w:rPr>
      </w:pPr>
      <w:r w:rsidRPr="0026653F">
        <w:rPr>
          <w:color w:val="000000"/>
          <w:szCs w:val="22"/>
          <w:lang w:val="fr-FR"/>
        </w:rPr>
        <w:t>2.</w:t>
      </w:r>
      <w:r w:rsidRPr="0026653F">
        <w:rPr>
          <w:color w:val="000000"/>
          <w:szCs w:val="22"/>
          <w:lang w:val="fr-FR"/>
        </w:rPr>
        <w:tab/>
        <w:t xml:space="preserve">D’accepter avec satisfaction les aimables offres des États membres suivants </w:t>
      </w:r>
      <w:r w:rsidR="006D3563" w:rsidRPr="0026653F">
        <w:rPr>
          <w:color w:val="000000"/>
          <w:szCs w:val="22"/>
          <w:lang w:val="fr-FR"/>
        </w:rPr>
        <w:t xml:space="preserve">visant à </w:t>
      </w:r>
      <w:r w:rsidRPr="0026653F">
        <w:rPr>
          <w:color w:val="000000"/>
          <w:szCs w:val="22"/>
          <w:lang w:val="fr-FR"/>
        </w:rPr>
        <w:t>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w:t>
      </w:r>
      <w:r w:rsidR="00D81519" w:rsidRPr="0026653F">
        <w:rPr>
          <w:color w:val="000000"/>
          <w:szCs w:val="22"/>
          <w:lang w:val="fr-FR"/>
        </w:rPr>
        <w:t>es États membres à y participer </w:t>
      </w:r>
      <w:r w:rsidRPr="0026653F">
        <w:rPr>
          <w:color w:val="000000"/>
          <w:szCs w:val="22"/>
          <w:lang w:val="fr-FR"/>
        </w:rPr>
        <w:t>:</w:t>
      </w:r>
    </w:p>
    <w:p w14:paraId="31C6C1BB" w14:textId="77777777" w:rsidR="005A40EC" w:rsidRPr="0026653F" w:rsidRDefault="005A40EC" w:rsidP="00C618DD">
      <w:pPr>
        <w:suppressAutoHyphens/>
        <w:rPr>
          <w:szCs w:val="22"/>
          <w:lang w:val="fr-FR"/>
        </w:rPr>
      </w:pPr>
    </w:p>
    <w:p w14:paraId="3102E0DD" w14:textId="0880D08E"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color w:val="000000"/>
          <w:szCs w:val="22"/>
          <w:lang w:val="fr-FR"/>
        </w:rPr>
        <w:t xml:space="preserve">Costa Rica : Quatrième </w:t>
      </w:r>
      <w:r w:rsidRPr="0026653F">
        <w:rPr>
          <w:szCs w:val="22"/>
          <w:lang w:val="fr-FR"/>
        </w:rPr>
        <w:t xml:space="preserve">Réunion interaméricaine des ministres et hauts fonctionnaires chargés du développement durable, prévue pour juillet 2020, puis reportée au second semestre </w:t>
      </w:r>
      <w:r w:rsidR="00BE3299" w:rsidRPr="0026653F">
        <w:rPr>
          <w:szCs w:val="22"/>
          <w:lang w:val="fr-FR"/>
        </w:rPr>
        <w:t xml:space="preserve">de </w:t>
      </w:r>
      <w:r w:rsidRPr="0026653F">
        <w:rPr>
          <w:szCs w:val="22"/>
          <w:lang w:val="fr-FR"/>
        </w:rPr>
        <w:t>2021 ;</w:t>
      </w:r>
    </w:p>
    <w:p w14:paraId="567949C6" w14:textId="75DE9331"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Argentine : Douzième Réunion ordinaire de la Commission interaméricaine des ports (CIP), qui se tiendra à Buenos Aires du 19 au 21 mai 2021 ;</w:t>
      </w:r>
    </w:p>
    <w:p w14:paraId="06101E11" w14:textId="759E62C9"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 xml:space="preserve">Mexique : </w:t>
      </w:r>
      <w:r w:rsidR="00D60998" w:rsidRPr="0026653F">
        <w:rPr>
          <w:szCs w:val="22"/>
          <w:lang w:val="fr-FR"/>
        </w:rPr>
        <w:t>Deuxième Séminaire international sur la prospective technologique pour les Amériques (</w:t>
      </w:r>
      <w:r w:rsidRPr="0026653F">
        <w:rPr>
          <w:i/>
          <w:szCs w:val="22"/>
          <w:lang w:val="fr-FR"/>
        </w:rPr>
        <w:t>Prospecta Américas</w:t>
      </w:r>
      <w:r w:rsidR="00D60998" w:rsidRPr="0026653F">
        <w:rPr>
          <w:i/>
          <w:szCs w:val="22"/>
          <w:lang w:val="fr-FR"/>
        </w:rPr>
        <w:t>)</w:t>
      </w:r>
      <w:r w:rsidRPr="0026653F">
        <w:rPr>
          <w:szCs w:val="22"/>
          <w:lang w:val="fr-FR"/>
        </w:rPr>
        <w:t xml:space="preserve">, qui se tiendra en deux sessions, dont la première aura lieu en mode virtuel en novembre 2020 et la seconde, en </w:t>
      </w:r>
      <w:r w:rsidR="00F826A0" w:rsidRPr="0026653F">
        <w:rPr>
          <w:szCs w:val="22"/>
          <w:lang w:val="fr-FR"/>
        </w:rPr>
        <w:t>mode présentiel</w:t>
      </w:r>
      <w:r w:rsidRPr="0026653F">
        <w:rPr>
          <w:szCs w:val="22"/>
          <w:lang w:val="fr-FR"/>
        </w:rPr>
        <w:t xml:space="preserve">, au cours du premier trimestre </w:t>
      </w:r>
      <w:r w:rsidR="00BE3299" w:rsidRPr="0026653F">
        <w:rPr>
          <w:szCs w:val="22"/>
          <w:lang w:val="fr-FR"/>
        </w:rPr>
        <w:t xml:space="preserve">de </w:t>
      </w:r>
      <w:r w:rsidRPr="0026653F">
        <w:rPr>
          <w:szCs w:val="22"/>
          <w:lang w:val="fr-FR"/>
        </w:rPr>
        <w:t>2021 ;</w:t>
      </w:r>
    </w:p>
    <w:p w14:paraId="335E27FA" w14:textId="5C38F964"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 xml:space="preserve">Jamaïque : Sixième Réunion des ministres et hauts fonctionnaires chargés de la science et de la technologie dans le cadre du CIDI, en </w:t>
      </w:r>
      <w:r w:rsidR="00F826A0" w:rsidRPr="0026653F">
        <w:rPr>
          <w:szCs w:val="22"/>
          <w:lang w:val="fr-FR"/>
        </w:rPr>
        <w:t>2021 ;</w:t>
      </w:r>
    </w:p>
    <w:p w14:paraId="3E306555" w14:textId="2984AC50"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Argentine : Vingt-et-unième Conférence interaméricaine des ministres du travail (CIMT), prévue du 22 au 24 septembre 2021 ;</w:t>
      </w:r>
    </w:p>
    <w:p w14:paraId="61AC3A9B" w14:textId="10C4463A"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Équateur : Onzième Forum de compétitivité des Amériques en mars 2021 ;</w:t>
      </w:r>
    </w:p>
    <w:p w14:paraId="27512626" w14:textId="3B5ADCB6"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 xml:space="preserve">Paraguay : Vingt-cinquième Congrès interaméricain des ministres </w:t>
      </w:r>
      <w:r w:rsidR="00B407AD" w:rsidRPr="0026653F">
        <w:rPr>
          <w:szCs w:val="22"/>
          <w:lang w:val="fr-FR"/>
        </w:rPr>
        <w:t xml:space="preserve">et hauts fonctionnaires chargé </w:t>
      </w:r>
      <w:r w:rsidRPr="0026653F">
        <w:rPr>
          <w:szCs w:val="22"/>
          <w:lang w:val="fr-FR"/>
        </w:rPr>
        <w:t xml:space="preserve">du tourisme, prévu en </w:t>
      </w:r>
      <w:r w:rsidR="00F826A0" w:rsidRPr="0026653F">
        <w:rPr>
          <w:szCs w:val="22"/>
          <w:lang w:val="fr-FR"/>
        </w:rPr>
        <w:t>2021 ;</w:t>
      </w:r>
    </w:p>
    <w:p w14:paraId="6F315179" w14:textId="757BBFD6"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 xml:space="preserve">Chili : Septième Dialogue interaméricain des chefs de </w:t>
      </w:r>
      <w:r w:rsidR="000E7965" w:rsidRPr="0026653F">
        <w:rPr>
          <w:szCs w:val="22"/>
          <w:lang w:val="fr-FR"/>
        </w:rPr>
        <w:t>microentreprises et de petites et moyennes entreprises (M</w:t>
      </w:r>
      <w:r w:rsidR="0094067A" w:rsidRPr="0026653F">
        <w:rPr>
          <w:szCs w:val="22"/>
          <w:lang w:val="fr-FR"/>
        </w:rPr>
        <w:t>PME</w:t>
      </w:r>
      <w:r w:rsidR="000E7965" w:rsidRPr="0026653F">
        <w:rPr>
          <w:szCs w:val="22"/>
          <w:lang w:val="fr-FR"/>
        </w:rPr>
        <w:t>)</w:t>
      </w:r>
      <w:r w:rsidRPr="0026653F">
        <w:rPr>
          <w:szCs w:val="22"/>
          <w:lang w:val="fr-FR"/>
        </w:rPr>
        <w:t xml:space="preserve">, prévu en </w:t>
      </w:r>
      <w:r w:rsidR="00F826A0" w:rsidRPr="0026653F">
        <w:rPr>
          <w:szCs w:val="22"/>
          <w:lang w:val="fr-FR"/>
        </w:rPr>
        <w:t>2021 ;</w:t>
      </w:r>
    </w:p>
    <w:p w14:paraId="520F8EB6" w14:textId="6C5FCA4F"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États-Unis : Treizième ACE, prévu pour août 2021, ainsi que l</w:t>
      </w:r>
      <w:r w:rsidR="00C340C4" w:rsidRPr="0026653F">
        <w:rPr>
          <w:szCs w:val="22"/>
          <w:lang w:val="fr-FR"/>
        </w:rPr>
        <w:t>e</w:t>
      </w:r>
      <w:r w:rsidRPr="0026653F">
        <w:rPr>
          <w:szCs w:val="22"/>
          <w:lang w:val="fr-FR"/>
        </w:rPr>
        <w:t xml:space="preserve"> Quatorzième ACE, prévu pour novembre 2021 ;</w:t>
      </w:r>
    </w:p>
    <w:p w14:paraId="39E2AA6B" w14:textId="1D4C8AEF"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République dominicaine : Cinquième Réunion des ministres et hauts fonctionnaires chargés du développement social, prévue pour 2022 ;</w:t>
      </w:r>
    </w:p>
    <w:p w14:paraId="47B09D97" w14:textId="3F5DAE42" w:rsidR="005A40EC" w:rsidRPr="0026653F" w:rsidRDefault="005A40EC" w:rsidP="00C618DD">
      <w:pPr>
        <w:numPr>
          <w:ilvl w:val="0"/>
          <w:numId w:val="53"/>
        </w:numPr>
        <w:tabs>
          <w:tab w:val="clear" w:pos="720"/>
        </w:tabs>
        <w:suppressAutoHyphens/>
        <w:ind w:left="2160" w:hanging="720"/>
        <w:textAlignment w:val="baseline"/>
        <w:rPr>
          <w:szCs w:val="22"/>
          <w:lang w:val="fr-FR"/>
        </w:rPr>
      </w:pPr>
      <w:r w:rsidRPr="0026653F">
        <w:rPr>
          <w:szCs w:val="22"/>
          <w:lang w:val="fr-FR"/>
        </w:rPr>
        <w:t>Guatemala : Neuvième Réunion interaméricaine des ministres et hauts fonctionnaires chargés de la culture</w:t>
      </w:r>
      <w:r w:rsidR="00B407AD" w:rsidRPr="0026653F">
        <w:rPr>
          <w:szCs w:val="22"/>
          <w:lang w:val="fr-FR"/>
        </w:rPr>
        <w:t xml:space="preserve"> dans le cadre du CIDI</w:t>
      </w:r>
      <w:r w:rsidRPr="0026653F">
        <w:rPr>
          <w:szCs w:val="22"/>
          <w:lang w:val="fr-FR"/>
        </w:rPr>
        <w:t xml:space="preserve">, prévue en </w:t>
      </w:r>
      <w:r w:rsidR="00F826A0" w:rsidRPr="0026653F">
        <w:rPr>
          <w:szCs w:val="22"/>
          <w:lang w:val="fr-FR"/>
        </w:rPr>
        <w:t>2022.</w:t>
      </w:r>
    </w:p>
    <w:p w14:paraId="5D9A9813" w14:textId="77777777" w:rsidR="005A40EC" w:rsidRPr="0026653F" w:rsidRDefault="005A40EC" w:rsidP="00C618DD">
      <w:pPr>
        <w:suppressAutoHyphens/>
        <w:textAlignment w:val="baseline"/>
        <w:rPr>
          <w:szCs w:val="22"/>
          <w:lang w:val="fr-FR"/>
        </w:rPr>
      </w:pPr>
    </w:p>
    <w:p w14:paraId="0EC8F22A" w14:textId="77777777" w:rsidR="005A40EC" w:rsidRPr="0026653F" w:rsidRDefault="005A40EC" w:rsidP="00C618DD">
      <w:pPr>
        <w:keepNext/>
        <w:numPr>
          <w:ilvl w:val="0"/>
          <w:numId w:val="54"/>
        </w:numPr>
        <w:suppressAutoHyphens/>
        <w:ind w:hanging="720"/>
        <w:rPr>
          <w:szCs w:val="22"/>
          <w:lang w:val="fr-FR"/>
        </w:rPr>
      </w:pPr>
      <w:r w:rsidRPr="0026653F">
        <w:rPr>
          <w:szCs w:val="22"/>
          <w:lang w:val="fr-FR"/>
        </w:rPr>
        <w:lastRenderedPageBreak/>
        <w:t>LIGNE STRATÉGIQUE « PROMOUVOIR DES ÉCONOMIES INCLUSIVES ET COMPÉTITIVES »</w:t>
      </w:r>
    </w:p>
    <w:p w14:paraId="4DFEDFE4" w14:textId="77777777" w:rsidR="005A40EC" w:rsidRPr="0026653F" w:rsidRDefault="005A40EC" w:rsidP="00C618DD">
      <w:pPr>
        <w:keepNext/>
        <w:suppressAutoHyphens/>
        <w:rPr>
          <w:szCs w:val="22"/>
          <w:lang w:val="fr-FR"/>
        </w:rPr>
      </w:pPr>
    </w:p>
    <w:p w14:paraId="45E0153B" w14:textId="5B0A82A2" w:rsidR="005A40EC" w:rsidRPr="0026653F" w:rsidRDefault="005A40EC" w:rsidP="00C618DD">
      <w:pPr>
        <w:suppressAutoHyphens/>
        <w:ind w:firstLine="720"/>
        <w:rPr>
          <w:color w:val="000000"/>
          <w:szCs w:val="22"/>
          <w:lang w:val="fr-FR"/>
        </w:rPr>
      </w:pPr>
      <w:r w:rsidRPr="0026653F">
        <w:rPr>
          <w:color w:val="000000"/>
          <w:szCs w:val="22"/>
          <w:lang w:val="fr-FR"/>
        </w:rPr>
        <w:t>3.</w:t>
      </w:r>
      <w:r w:rsidRPr="0026653F">
        <w:rPr>
          <w:color w:val="000000"/>
          <w:szCs w:val="22"/>
          <w:lang w:val="fr-FR"/>
        </w:rPr>
        <w:tab/>
        <w:t xml:space="preserve">D’exhorter les États membres à renforcer le Groupe virtuel d’experts dans le cadre </w:t>
      </w:r>
      <w:r w:rsidR="00D16499" w:rsidRPr="0026653F">
        <w:rPr>
          <w:color w:val="000000"/>
          <w:szCs w:val="22"/>
          <w:lang w:val="fr-FR"/>
        </w:rPr>
        <w:t xml:space="preserve">de </w:t>
      </w:r>
      <w:r w:rsidRPr="0026653F">
        <w:rPr>
          <w:i/>
          <w:color w:val="000000"/>
          <w:szCs w:val="22"/>
          <w:lang w:val="fr-FR"/>
        </w:rPr>
        <w:t>Prospecta Américas</w:t>
      </w:r>
      <w:r w:rsidRPr="0026653F">
        <w:rPr>
          <w:color w:val="000000"/>
          <w:szCs w:val="22"/>
          <w:lang w:val="fr-FR"/>
        </w:rPr>
        <w:t xml:space="preserve"> de la Commission interaméricaine de la science et de la technologie (COMCyT), par le biais d’échanges de bonnes pratiques, de données d’expériences, de possibilités de formation et d’assistance technique, afin de répondre aux impératifs de développement dans les Amériques, y compris ceux qui résultent de la </w:t>
      </w:r>
      <w:r w:rsidR="00B407AD" w:rsidRPr="0026653F">
        <w:rPr>
          <w:color w:val="000000"/>
          <w:szCs w:val="22"/>
          <w:lang w:val="fr-FR"/>
        </w:rPr>
        <w:t xml:space="preserve">pandémie de </w:t>
      </w:r>
      <w:r w:rsidRPr="0026653F">
        <w:rPr>
          <w:color w:val="000000"/>
          <w:szCs w:val="22"/>
          <w:lang w:val="fr-FR"/>
        </w:rPr>
        <w:t xml:space="preserve">COVID-19. De même, d’encourager les États membres qui s’intéressent aux technologies transformatrices et disposent déjà de capacités dans ce domaine à rejoindre le réseau de centres d’excellence interaméricains en matière de prospective technologique de la COMCyT afin de compléter les ressources et les capacités régionales, de réaliser des études, de développer des axes de recherche et d’autres activités de collaboration pour relever les défis stratégiques dans les Amériques, et de soutenir le relèvement économique en apportant des technologies, des connaissances, des emplois et de la croissance aux pays de la région. Les contributions ne </w:t>
      </w:r>
      <w:r w:rsidR="003A510A" w:rsidRPr="0026653F">
        <w:rPr>
          <w:color w:val="000000"/>
          <w:szCs w:val="22"/>
          <w:lang w:val="fr-FR"/>
        </w:rPr>
        <w:t xml:space="preserve">sauraient </w:t>
      </w:r>
      <w:r w:rsidRPr="0026653F">
        <w:rPr>
          <w:color w:val="000000"/>
          <w:szCs w:val="22"/>
          <w:lang w:val="fr-FR"/>
        </w:rPr>
        <w:t xml:space="preserve">être interprétées comme des mandats qui présupposent ou </w:t>
      </w:r>
      <w:r w:rsidR="003A510A" w:rsidRPr="0026653F">
        <w:rPr>
          <w:color w:val="000000"/>
          <w:szCs w:val="22"/>
          <w:lang w:val="fr-FR"/>
        </w:rPr>
        <w:t>favorisent</w:t>
      </w:r>
      <w:r w:rsidRPr="0026653F">
        <w:rPr>
          <w:color w:val="000000"/>
          <w:szCs w:val="22"/>
          <w:lang w:val="fr-FR"/>
        </w:rPr>
        <w:t xml:space="preserve"> des décaissements financiers comme condition de participation.</w:t>
      </w:r>
    </w:p>
    <w:p w14:paraId="409B4563" w14:textId="77777777" w:rsidR="005A40EC" w:rsidRPr="0026653F" w:rsidRDefault="005A40EC" w:rsidP="00C618DD">
      <w:pPr>
        <w:suppressAutoHyphens/>
        <w:rPr>
          <w:szCs w:val="22"/>
          <w:lang w:val="fr-FR"/>
        </w:rPr>
      </w:pPr>
    </w:p>
    <w:p w14:paraId="1FC1AF59" w14:textId="0C72B1C4" w:rsidR="005A40EC" w:rsidRPr="0026653F" w:rsidRDefault="005A40EC" w:rsidP="00C618DD">
      <w:pPr>
        <w:suppressAutoHyphens/>
        <w:ind w:firstLine="720"/>
        <w:rPr>
          <w:color w:val="000000"/>
          <w:szCs w:val="22"/>
          <w:lang w:val="fr-FR"/>
        </w:rPr>
      </w:pPr>
      <w:r w:rsidRPr="0026653F">
        <w:rPr>
          <w:color w:val="000000"/>
          <w:szCs w:val="22"/>
          <w:lang w:val="fr-FR"/>
        </w:rPr>
        <w:t>4.</w:t>
      </w:r>
      <w:r w:rsidRPr="0026653F">
        <w:rPr>
          <w:color w:val="000000"/>
          <w:szCs w:val="22"/>
          <w:lang w:val="fr-FR"/>
        </w:rPr>
        <w:tab/>
        <w:t>De charger le Secrétariat exécutif au développement intégré (SEDI) de continuer à soutenir le travail de la COMCyT, notamment la deuxième édition d</w:t>
      </w:r>
      <w:r w:rsidR="00D16499" w:rsidRPr="0026653F">
        <w:rPr>
          <w:color w:val="000000"/>
          <w:szCs w:val="22"/>
          <w:lang w:val="fr-FR"/>
        </w:rPr>
        <w:t xml:space="preserve">e </w:t>
      </w:r>
      <w:r w:rsidRPr="0026653F">
        <w:rPr>
          <w:i/>
          <w:color w:val="000000"/>
          <w:szCs w:val="22"/>
          <w:lang w:val="fr-FR"/>
        </w:rPr>
        <w:t>Prospecta Américas</w:t>
      </w:r>
      <w:r w:rsidRPr="0026653F">
        <w:rPr>
          <w:color w:val="000000"/>
          <w:szCs w:val="22"/>
          <w:lang w:val="fr-FR"/>
        </w:rPr>
        <w:t xml:space="preserve"> prévue à Hidalgo (Mexique), ainsi que le Réseau interaméricain de compétitivité (RIAC) et l</w:t>
      </w:r>
      <w:r w:rsidR="00AF6C12" w:rsidRPr="0026653F">
        <w:rPr>
          <w:color w:val="000000"/>
          <w:szCs w:val="22"/>
          <w:lang w:val="fr-FR"/>
        </w:rPr>
        <w:t>’Échange</w:t>
      </w:r>
      <w:r w:rsidR="00C340C4" w:rsidRPr="0026653F">
        <w:rPr>
          <w:color w:val="000000"/>
          <w:szCs w:val="22"/>
          <w:lang w:val="fr-FR"/>
        </w:rPr>
        <w:t xml:space="preserve"> </w:t>
      </w:r>
      <w:bookmarkStart w:id="31" w:name="_Hlk64468767"/>
      <w:r w:rsidRPr="0026653F">
        <w:rPr>
          <w:color w:val="000000"/>
          <w:szCs w:val="22"/>
          <w:lang w:val="fr-FR"/>
        </w:rPr>
        <w:t>pour la compétitivité des Amériques</w:t>
      </w:r>
      <w:bookmarkEnd w:id="31"/>
      <w:r w:rsidRPr="0026653F">
        <w:rPr>
          <w:color w:val="000000"/>
          <w:szCs w:val="22"/>
          <w:lang w:val="fr-FR"/>
        </w:rPr>
        <w:t>, et d’encourager la pleine participation des États membres au plus haut niveau possible.</w:t>
      </w:r>
    </w:p>
    <w:p w14:paraId="6470AEA4" w14:textId="77777777" w:rsidR="005A40EC" w:rsidRPr="0026653F" w:rsidRDefault="005A40EC" w:rsidP="00C618DD">
      <w:pPr>
        <w:suppressAutoHyphens/>
        <w:rPr>
          <w:szCs w:val="22"/>
          <w:lang w:val="fr-FR"/>
        </w:rPr>
      </w:pPr>
    </w:p>
    <w:p w14:paraId="51E8A417" w14:textId="5A413A9B" w:rsidR="005A40EC" w:rsidRPr="0026653F" w:rsidRDefault="005A40EC" w:rsidP="00C618DD">
      <w:pPr>
        <w:suppressAutoHyphens/>
        <w:ind w:firstLine="720"/>
        <w:rPr>
          <w:color w:val="202124"/>
          <w:szCs w:val="22"/>
          <w:shd w:val="clear" w:color="auto" w:fill="00FFFF"/>
          <w:lang w:val="fr-FR"/>
        </w:rPr>
      </w:pPr>
      <w:r w:rsidRPr="0026653F">
        <w:rPr>
          <w:color w:val="000000"/>
          <w:szCs w:val="22"/>
          <w:lang w:val="fr-FR"/>
        </w:rPr>
        <w:t xml:space="preserve">5. </w:t>
      </w:r>
      <w:r w:rsidRPr="0026653F">
        <w:rPr>
          <w:color w:val="202124"/>
          <w:szCs w:val="22"/>
          <w:lang w:val="fr-FR"/>
        </w:rPr>
        <w:tab/>
        <w:t xml:space="preserve">De charger le SEDI de continuer à soutenir tous les États membres, pendant la période triennale 2019-2022, dans la mise en œuvre du </w:t>
      </w:r>
      <w:r w:rsidR="00EE2A02" w:rsidRPr="0026653F">
        <w:rPr>
          <w:color w:val="202124"/>
          <w:szCs w:val="22"/>
          <w:lang w:val="fr-FR"/>
        </w:rPr>
        <w:t>P</w:t>
      </w:r>
      <w:r w:rsidRPr="0026653F">
        <w:rPr>
          <w:color w:val="202124"/>
          <w:szCs w:val="22"/>
          <w:lang w:val="fr-FR"/>
        </w:rPr>
        <w:t>rogramme de l’OEA pour la numérisation des MPME, lequel vise à permettre aux</w:t>
      </w:r>
      <w:r w:rsidR="00C34385" w:rsidRPr="0026653F">
        <w:rPr>
          <w:color w:val="202124"/>
          <w:szCs w:val="22"/>
          <w:lang w:val="fr-FR"/>
        </w:rPr>
        <w:t xml:space="preserve"> </w:t>
      </w:r>
      <w:r w:rsidR="00087CA1" w:rsidRPr="0026653F">
        <w:rPr>
          <w:color w:val="202124"/>
          <w:szCs w:val="22"/>
          <w:lang w:val="fr-FR"/>
        </w:rPr>
        <w:t xml:space="preserve">MPME </w:t>
      </w:r>
      <w:r w:rsidRPr="0026653F">
        <w:rPr>
          <w:color w:val="202124"/>
          <w:szCs w:val="22"/>
          <w:lang w:val="fr-FR"/>
        </w:rPr>
        <w:t xml:space="preserve">de passer au numérique grâce à des processus de formation et de soutien technique, qui leur permettent de créer des sites web gratuits, entre autres outils technologiques nécessaires à leur survie et à un développement économique réussi. Les résultats préliminaires seront </w:t>
      </w:r>
      <w:r w:rsidR="00087CA1" w:rsidRPr="0026653F">
        <w:rPr>
          <w:color w:val="202124"/>
          <w:szCs w:val="22"/>
          <w:lang w:val="fr-FR"/>
        </w:rPr>
        <w:t xml:space="preserve">annoncés </w:t>
      </w:r>
      <w:r w:rsidRPr="0026653F">
        <w:rPr>
          <w:color w:val="202124"/>
          <w:szCs w:val="22"/>
          <w:lang w:val="fr-FR"/>
        </w:rPr>
        <w:t>lors du Septième Dialogue interaméricain des chefs de MPME, qui se tiendra au Chili en 2021. En outre, le SEDI continuera à promouvoir et à soutenir, dans la mesure où les ressources le permettent, le renforcement des capacités et le soutien technique du programme des centres de développement des petites entreprises</w:t>
      </w:r>
      <w:r w:rsidR="00E55C6D" w:rsidRPr="0026653F">
        <w:rPr>
          <w:color w:val="202124"/>
          <w:szCs w:val="22"/>
          <w:lang w:val="fr-FR"/>
        </w:rPr>
        <w:t xml:space="preserve"> </w:t>
      </w:r>
      <w:r w:rsidRPr="0026653F">
        <w:rPr>
          <w:color w:val="202124"/>
          <w:szCs w:val="22"/>
          <w:lang w:val="fr-FR"/>
        </w:rPr>
        <w:t xml:space="preserve">dans la région afin d’aider les États membres à améliorer la résilience, la compétitivité et l’internationalisation des MPME et à répondre de manière adéquate aux besoins des économies locales </w:t>
      </w:r>
      <w:proofErr w:type="gramStart"/>
      <w:r w:rsidRPr="0026653F">
        <w:rPr>
          <w:color w:val="202124"/>
          <w:szCs w:val="22"/>
          <w:lang w:val="fr-FR"/>
        </w:rPr>
        <w:t xml:space="preserve">suite </w:t>
      </w:r>
      <w:r w:rsidR="00C34385" w:rsidRPr="0026653F">
        <w:rPr>
          <w:color w:val="202124"/>
          <w:szCs w:val="22"/>
          <w:lang w:val="fr-FR"/>
        </w:rPr>
        <w:t>à</w:t>
      </w:r>
      <w:proofErr w:type="gramEnd"/>
      <w:r w:rsidR="00C34385" w:rsidRPr="0026653F">
        <w:rPr>
          <w:color w:val="202124"/>
          <w:szCs w:val="22"/>
          <w:lang w:val="fr-FR"/>
        </w:rPr>
        <w:t xml:space="preserve"> </w:t>
      </w:r>
      <w:r w:rsidRPr="0026653F">
        <w:rPr>
          <w:color w:val="202124"/>
          <w:szCs w:val="22"/>
          <w:lang w:val="fr-FR"/>
        </w:rPr>
        <w:t>la pandémie de COVID-19.</w:t>
      </w:r>
    </w:p>
    <w:p w14:paraId="64EBF061" w14:textId="77777777" w:rsidR="005A40EC" w:rsidRPr="0026653F" w:rsidRDefault="005A40EC" w:rsidP="00C618DD">
      <w:pPr>
        <w:suppressAutoHyphens/>
        <w:rPr>
          <w:szCs w:val="22"/>
          <w:lang w:val="fr-FR"/>
        </w:rPr>
      </w:pPr>
    </w:p>
    <w:p w14:paraId="4A7193E7" w14:textId="5851D71B" w:rsidR="005A40EC" w:rsidRPr="0026653F" w:rsidRDefault="005A40EC" w:rsidP="00C618DD">
      <w:pPr>
        <w:suppressAutoHyphens/>
        <w:ind w:firstLine="720"/>
        <w:rPr>
          <w:color w:val="000000"/>
          <w:szCs w:val="22"/>
          <w:lang w:val="fr-FR"/>
        </w:rPr>
      </w:pPr>
      <w:r w:rsidRPr="0026653F">
        <w:rPr>
          <w:color w:val="000000"/>
          <w:szCs w:val="22"/>
          <w:lang w:val="fr-FR"/>
        </w:rPr>
        <w:t>6.</w:t>
      </w:r>
      <w:r w:rsidRPr="0026653F">
        <w:rPr>
          <w:color w:val="000000"/>
          <w:szCs w:val="22"/>
          <w:lang w:val="fr-FR"/>
        </w:rPr>
        <w:tab/>
        <w:t xml:space="preserve">De charger le SEDI, en sa qualité de </w:t>
      </w:r>
      <w:r w:rsidR="00DB33F9" w:rsidRPr="0026653F">
        <w:rPr>
          <w:color w:val="000000"/>
          <w:szCs w:val="22"/>
          <w:lang w:val="fr-FR"/>
        </w:rPr>
        <w:t>s</w:t>
      </w:r>
      <w:r w:rsidRPr="0026653F">
        <w:rPr>
          <w:color w:val="000000"/>
          <w:szCs w:val="22"/>
          <w:lang w:val="fr-FR"/>
        </w:rPr>
        <w:t xml:space="preserve">ecrétariat technique de la </w:t>
      </w:r>
      <w:r w:rsidR="00BC1E2B" w:rsidRPr="0026653F">
        <w:rPr>
          <w:color w:val="000000"/>
          <w:szCs w:val="22"/>
          <w:lang w:val="fr-FR"/>
        </w:rPr>
        <w:t>Commission interaméricaine du tourisme (C</w:t>
      </w:r>
      <w:r w:rsidRPr="0026653F">
        <w:rPr>
          <w:color w:val="000000"/>
          <w:szCs w:val="22"/>
          <w:lang w:val="fr-FR"/>
        </w:rPr>
        <w:t>ITUR</w:t>
      </w:r>
      <w:r w:rsidR="00BC1E2B" w:rsidRPr="0026653F">
        <w:rPr>
          <w:color w:val="000000"/>
          <w:szCs w:val="22"/>
          <w:lang w:val="fr-FR"/>
        </w:rPr>
        <w:t>)</w:t>
      </w:r>
      <w:r w:rsidRPr="0026653F">
        <w:rPr>
          <w:color w:val="000000"/>
          <w:szCs w:val="22"/>
          <w:lang w:val="fr-FR"/>
        </w:rPr>
        <w:t xml:space="preserve">, de continuer à soutenir les efforts des États membres dans le cadre </w:t>
      </w:r>
      <w:r w:rsidR="00FD2BC8" w:rsidRPr="0026653F">
        <w:rPr>
          <w:color w:val="000000"/>
          <w:szCs w:val="22"/>
          <w:lang w:val="fr-FR"/>
        </w:rPr>
        <w:t>de cette commission</w:t>
      </w:r>
      <w:r w:rsidRPr="0026653F">
        <w:rPr>
          <w:color w:val="000000"/>
          <w:szCs w:val="22"/>
          <w:lang w:val="fr-FR"/>
        </w:rPr>
        <w:t>, en suivant les dispositions des Déclarations de Lima et de Georgetown ainsi que celles du</w:t>
      </w:r>
      <w:r w:rsidR="00DB33F9" w:rsidRPr="0026653F">
        <w:rPr>
          <w:color w:val="000000"/>
          <w:szCs w:val="22"/>
          <w:lang w:val="fr-FR"/>
        </w:rPr>
        <w:t xml:space="preserve"> p</w:t>
      </w:r>
      <w:r w:rsidRPr="0026653F">
        <w:rPr>
          <w:color w:val="000000"/>
          <w:szCs w:val="22"/>
          <w:lang w:val="fr-FR"/>
        </w:rPr>
        <w:t>lan de travail d</w:t>
      </w:r>
      <w:r w:rsidR="00DB33F9" w:rsidRPr="0026653F">
        <w:rPr>
          <w:color w:val="000000"/>
          <w:szCs w:val="22"/>
          <w:lang w:val="fr-FR"/>
        </w:rPr>
        <w:t>e la</w:t>
      </w:r>
      <w:r w:rsidRPr="0026653F">
        <w:rPr>
          <w:color w:val="000000"/>
          <w:szCs w:val="22"/>
          <w:lang w:val="fr-FR"/>
        </w:rPr>
        <w:t xml:space="preserve"> CITUR et en tenant compte du contexte de chaque pays, afin de stimuler la reprise du secteur du tourisme après l’impact de la pandémie </w:t>
      </w:r>
      <w:r w:rsidR="00FD2BC8" w:rsidRPr="0026653F">
        <w:rPr>
          <w:color w:val="000000"/>
          <w:szCs w:val="22"/>
          <w:lang w:val="fr-FR"/>
        </w:rPr>
        <w:t xml:space="preserve">de </w:t>
      </w:r>
      <w:r w:rsidRPr="0026653F">
        <w:rPr>
          <w:color w:val="000000"/>
          <w:szCs w:val="22"/>
          <w:lang w:val="fr-FR"/>
        </w:rPr>
        <w:t xml:space="preserve">COVID-19 et de continuer à travailler à la création d’un modèle de gestion pour le développement durable du tourisme communautaire rural dans les Amériques, en tenant compte des modèles et initiatives </w:t>
      </w:r>
      <w:r w:rsidR="00FD2BC8" w:rsidRPr="0026653F">
        <w:rPr>
          <w:color w:val="000000"/>
          <w:szCs w:val="22"/>
          <w:lang w:val="fr-FR"/>
        </w:rPr>
        <w:t xml:space="preserve">existant sur les plans </w:t>
      </w:r>
      <w:r w:rsidRPr="0026653F">
        <w:rPr>
          <w:color w:val="000000"/>
          <w:szCs w:val="22"/>
          <w:lang w:val="fr-FR"/>
        </w:rPr>
        <w:t>nation</w:t>
      </w:r>
      <w:r w:rsidR="00FD2BC8" w:rsidRPr="0026653F">
        <w:rPr>
          <w:color w:val="000000"/>
          <w:szCs w:val="22"/>
          <w:lang w:val="fr-FR"/>
        </w:rPr>
        <w:t xml:space="preserve">al et </w:t>
      </w:r>
      <w:r w:rsidRPr="0026653F">
        <w:rPr>
          <w:color w:val="000000"/>
          <w:szCs w:val="22"/>
          <w:lang w:val="fr-FR"/>
        </w:rPr>
        <w:t>internation</w:t>
      </w:r>
      <w:r w:rsidR="00FD2BC8" w:rsidRPr="0026653F">
        <w:rPr>
          <w:color w:val="000000"/>
          <w:szCs w:val="22"/>
          <w:lang w:val="fr-FR"/>
        </w:rPr>
        <w:t>al</w:t>
      </w:r>
      <w:r w:rsidRPr="0026653F">
        <w:rPr>
          <w:color w:val="000000"/>
          <w:szCs w:val="22"/>
          <w:lang w:val="fr-FR"/>
        </w:rPr>
        <w:t xml:space="preserve"> tels que les recommandations émises par l’Organisation mondiale du tourisme </w:t>
      </w:r>
      <w:r w:rsidR="00FD2BC8" w:rsidRPr="0026653F">
        <w:rPr>
          <w:color w:val="000000"/>
          <w:szCs w:val="22"/>
          <w:lang w:val="fr-FR"/>
        </w:rPr>
        <w:t xml:space="preserve">pour l’année </w:t>
      </w:r>
      <w:r w:rsidRPr="0026653F">
        <w:rPr>
          <w:color w:val="000000"/>
          <w:szCs w:val="22"/>
          <w:lang w:val="fr-FR"/>
        </w:rPr>
        <w:t>2020, dont le thème déclaré est « Tourisme et développement rural ».</w:t>
      </w:r>
    </w:p>
    <w:p w14:paraId="0243D685" w14:textId="77777777" w:rsidR="005A40EC" w:rsidRPr="0026653F" w:rsidRDefault="005A40EC" w:rsidP="00C618DD">
      <w:pPr>
        <w:suppressAutoHyphens/>
        <w:rPr>
          <w:szCs w:val="22"/>
          <w:lang w:val="fr-FR"/>
        </w:rPr>
      </w:pPr>
    </w:p>
    <w:p w14:paraId="7F89585F" w14:textId="4B606548" w:rsidR="005A40EC" w:rsidRPr="0026653F" w:rsidRDefault="005A40EC" w:rsidP="00C618DD">
      <w:pPr>
        <w:suppressAutoHyphens/>
        <w:ind w:firstLine="720"/>
        <w:rPr>
          <w:color w:val="000000"/>
          <w:szCs w:val="22"/>
          <w:shd w:val="clear" w:color="auto" w:fill="00FFFF"/>
          <w:lang w:val="fr-FR"/>
        </w:rPr>
      </w:pPr>
      <w:r w:rsidRPr="0026653F">
        <w:rPr>
          <w:color w:val="000000"/>
          <w:szCs w:val="22"/>
          <w:lang w:val="fr-FR"/>
        </w:rPr>
        <w:t>7.</w:t>
      </w:r>
      <w:r w:rsidRPr="0026653F">
        <w:rPr>
          <w:color w:val="000000"/>
          <w:szCs w:val="22"/>
          <w:lang w:val="fr-FR"/>
        </w:rPr>
        <w:tab/>
        <w:t xml:space="preserve">De charger le SEDI, en sa qualité de </w:t>
      </w:r>
      <w:r w:rsidR="00FD2BC8" w:rsidRPr="0026653F">
        <w:rPr>
          <w:color w:val="000000"/>
          <w:szCs w:val="22"/>
          <w:lang w:val="fr-FR"/>
        </w:rPr>
        <w:t>s</w:t>
      </w:r>
      <w:r w:rsidRPr="0026653F">
        <w:rPr>
          <w:color w:val="000000"/>
          <w:szCs w:val="22"/>
          <w:lang w:val="fr-FR"/>
        </w:rPr>
        <w:t xml:space="preserve">ecrétariat technique de la CITUR, de continuer à soutenir les actions et initiatives de </w:t>
      </w:r>
      <w:r w:rsidR="00FD2BC8" w:rsidRPr="0026653F">
        <w:rPr>
          <w:color w:val="000000"/>
          <w:szCs w:val="22"/>
          <w:lang w:val="fr-FR"/>
        </w:rPr>
        <w:t xml:space="preserve">celle-ci </w:t>
      </w:r>
      <w:r w:rsidRPr="0026653F">
        <w:rPr>
          <w:color w:val="000000"/>
          <w:szCs w:val="22"/>
          <w:lang w:val="fr-FR"/>
        </w:rPr>
        <w:t xml:space="preserve">pour relever le défi de la pandémie de COVID-19, et </w:t>
      </w:r>
      <w:r w:rsidRPr="0026653F">
        <w:rPr>
          <w:color w:val="000000"/>
          <w:szCs w:val="22"/>
          <w:lang w:val="fr-FR"/>
        </w:rPr>
        <w:lastRenderedPageBreak/>
        <w:t>d’encourager les États membres à soutenir les efforts de la CITUR dans l’élaboration d’un programme touristique à l’horizon 2050 dans les Amériques.</w:t>
      </w:r>
    </w:p>
    <w:p w14:paraId="53102D39" w14:textId="77777777" w:rsidR="005A40EC" w:rsidRPr="0026653F" w:rsidRDefault="005A40EC" w:rsidP="00C618DD">
      <w:pPr>
        <w:suppressAutoHyphens/>
        <w:rPr>
          <w:szCs w:val="22"/>
          <w:lang w:val="fr-FR"/>
        </w:rPr>
      </w:pPr>
    </w:p>
    <w:p w14:paraId="2EA3C617" w14:textId="4C1A6A0D" w:rsidR="005A40EC" w:rsidRPr="0026653F" w:rsidRDefault="005A40EC" w:rsidP="00C618DD">
      <w:pPr>
        <w:suppressAutoHyphens/>
        <w:ind w:firstLine="720"/>
        <w:rPr>
          <w:szCs w:val="22"/>
          <w:lang w:val="fr-FR"/>
        </w:rPr>
      </w:pPr>
      <w:r w:rsidRPr="0026653F">
        <w:rPr>
          <w:color w:val="000000"/>
          <w:szCs w:val="22"/>
          <w:lang w:val="fr-FR"/>
        </w:rPr>
        <w:t>8.</w:t>
      </w:r>
      <w:r w:rsidRPr="0026653F">
        <w:rPr>
          <w:color w:val="000000"/>
          <w:szCs w:val="22"/>
          <w:lang w:val="fr-FR"/>
        </w:rPr>
        <w:tab/>
        <w:t xml:space="preserve">De charger le SEDI, en sa qualité de </w:t>
      </w:r>
      <w:r w:rsidR="00FD2BC8" w:rsidRPr="0026653F">
        <w:rPr>
          <w:color w:val="000000"/>
          <w:szCs w:val="22"/>
          <w:lang w:val="fr-FR"/>
        </w:rPr>
        <w:t>s</w:t>
      </w:r>
      <w:r w:rsidRPr="0026653F">
        <w:rPr>
          <w:color w:val="000000"/>
          <w:szCs w:val="22"/>
          <w:lang w:val="fr-FR"/>
        </w:rPr>
        <w:t xml:space="preserve">ecrétariat technique de la Commission interaméricaine de la culture (CIC) et conformément aux dispositions de la Déclaration de Bridgetown et du </w:t>
      </w:r>
      <w:r w:rsidR="00FD2BC8" w:rsidRPr="0026653F">
        <w:rPr>
          <w:color w:val="000000"/>
          <w:szCs w:val="22"/>
          <w:lang w:val="fr-FR"/>
        </w:rPr>
        <w:t>p</w:t>
      </w:r>
      <w:r w:rsidRPr="0026653F">
        <w:rPr>
          <w:color w:val="000000"/>
          <w:szCs w:val="22"/>
          <w:lang w:val="fr-FR"/>
        </w:rPr>
        <w:t xml:space="preserve">lan de travail de la CIC, de continuer à soutenir le Groupe de travail sur les comptes satellites de la culture dans </w:t>
      </w:r>
      <w:r w:rsidR="00FD2BC8" w:rsidRPr="0026653F">
        <w:rPr>
          <w:color w:val="000000"/>
          <w:szCs w:val="22"/>
          <w:lang w:val="fr-FR"/>
        </w:rPr>
        <w:t>ses</w:t>
      </w:r>
      <w:r w:rsidRPr="0026653F">
        <w:rPr>
          <w:color w:val="000000"/>
          <w:szCs w:val="22"/>
          <w:lang w:val="fr-FR"/>
        </w:rPr>
        <w:t xml:space="preserve"> échange</w:t>
      </w:r>
      <w:r w:rsidR="00FD2BC8" w:rsidRPr="0026653F">
        <w:rPr>
          <w:color w:val="000000"/>
          <w:szCs w:val="22"/>
          <w:lang w:val="fr-FR"/>
        </w:rPr>
        <w:t>s</w:t>
      </w:r>
      <w:r w:rsidRPr="0026653F">
        <w:rPr>
          <w:color w:val="000000"/>
          <w:szCs w:val="22"/>
          <w:lang w:val="fr-FR"/>
        </w:rPr>
        <w:t xml:space="preserve"> de données d’expériences sur le renforcement de la capacité des États membres à mesurer la contribution de la culture et de l’économie créative, et de demander au SEDI, avec le soutien de la CIC, de mettre en commun les expériences des pays dans le domaine des efforts déployés pour soutenir et promouvoir la culture et l’économie créative dans le contexte de la pandémie de COVID-19 et de ses conséquences.</w:t>
      </w:r>
    </w:p>
    <w:p w14:paraId="5BF326C9" w14:textId="77777777" w:rsidR="005A40EC" w:rsidRPr="0026653F" w:rsidRDefault="005A40EC" w:rsidP="00C618DD">
      <w:pPr>
        <w:suppressAutoHyphens/>
        <w:rPr>
          <w:szCs w:val="22"/>
          <w:lang w:val="fr-FR"/>
        </w:rPr>
      </w:pPr>
    </w:p>
    <w:p w14:paraId="1A23E355" w14:textId="77777777" w:rsidR="005A40EC" w:rsidRPr="0026653F" w:rsidRDefault="005A40EC" w:rsidP="00C618DD">
      <w:pPr>
        <w:suppressAutoHyphens/>
        <w:ind w:left="720" w:right="-2" w:hanging="720"/>
        <w:rPr>
          <w:szCs w:val="22"/>
          <w:lang w:val="fr-FR"/>
        </w:rPr>
      </w:pPr>
      <w:r w:rsidRPr="0026653F">
        <w:rPr>
          <w:color w:val="000000"/>
          <w:szCs w:val="22"/>
          <w:lang w:val="fr-FR"/>
        </w:rPr>
        <w:t>II.</w:t>
      </w:r>
      <w:r w:rsidRPr="0026653F">
        <w:rPr>
          <w:color w:val="000000"/>
          <w:szCs w:val="22"/>
          <w:lang w:val="fr-FR"/>
        </w:rPr>
        <w:tab/>
      </w:r>
      <w:r w:rsidRPr="0026653F">
        <w:rPr>
          <w:szCs w:val="22"/>
          <w:lang w:val="fr-FR"/>
        </w:rPr>
        <w:t xml:space="preserve">LIGNE STRATÉGIQUE « RENFORCER LA MISE EN ŒUVRE DES OBJECTIFS DE DÉVELOPPEMENT DURABLE CONFORMÉMENT AU PROGRAMME INTERAMÉRICAIN DE DÉVELOPPEMENT DURABLE </w:t>
      </w:r>
      <w:r w:rsidR="00500B4C" w:rsidRPr="0026653F">
        <w:rPr>
          <w:szCs w:val="22"/>
          <w:lang w:val="fr-FR"/>
        </w:rPr>
        <w:t xml:space="preserve">(PIDS) </w:t>
      </w:r>
      <w:r w:rsidRPr="0026653F">
        <w:rPr>
          <w:szCs w:val="22"/>
          <w:lang w:val="fr-FR"/>
        </w:rPr>
        <w:t>2016-2021</w:t>
      </w:r>
      <w:r w:rsidRPr="0026653F">
        <w:rPr>
          <w:color w:val="000000"/>
          <w:szCs w:val="22"/>
          <w:lang w:val="fr-FR"/>
        </w:rPr>
        <w:t> »</w:t>
      </w:r>
    </w:p>
    <w:p w14:paraId="6DD50673" w14:textId="77777777" w:rsidR="005A40EC" w:rsidRPr="0026653F" w:rsidRDefault="005A40EC" w:rsidP="00C618DD">
      <w:pPr>
        <w:suppressAutoHyphens/>
        <w:rPr>
          <w:szCs w:val="22"/>
          <w:lang w:val="fr-FR"/>
        </w:rPr>
      </w:pPr>
    </w:p>
    <w:p w14:paraId="20654A10" w14:textId="77CCC75D" w:rsidR="005A40EC" w:rsidRPr="0026653F" w:rsidRDefault="005A40EC" w:rsidP="00C618DD">
      <w:pPr>
        <w:suppressAutoHyphens/>
        <w:ind w:firstLine="720"/>
        <w:rPr>
          <w:szCs w:val="22"/>
          <w:lang w:val="fr-FR"/>
        </w:rPr>
      </w:pPr>
      <w:r w:rsidRPr="0026653F">
        <w:rPr>
          <w:color w:val="000000"/>
          <w:szCs w:val="22"/>
          <w:lang w:val="fr-FR"/>
        </w:rPr>
        <w:t>9.</w:t>
      </w:r>
      <w:r w:rsidRPr="0026653F">
        <w:rPr>
          <w:color w:val="000000"/>
          <w:szCs w:val="22"/>
          <w:lang w:val="fr-FR"/>
        </w:rPr>
        <w:tab/>
        <w:t>D’encourager les États membres à intégrer dans leurs plans de développement et leurs stratégies financières des plans de préparation, de redressement et de reconstruction dans le cadre de la gestion de la réduction des risques de catastrophe.</w:t>
      </w:r>
    </w:p>
    <w:p w14:paraId="68D70B05" w14:textId="77777777" w:rsidR="005A40EC" w:rsidRPr="0026653F" w:rsidRDefault="005A40EC" w:rsidP="00C618DD">
      <w:pPr>
        <w:suppressAutoHyphens/>
        <w:rPr>
          <w:szCs w:val="22"/>
          <w:lang w:val="fr-FR"/>
        </w:rPr>
      </w:pPr>
    </w:p>
    <w:p w14:paraId="1CCEBC66" w14:textId="77777777" w:rsidR="005A40EC" w:rsidRPr="0026653F" w:rsidRDefault="005A40EC" w:rsidP="00C618DD">
      <w:pPr>
        <w:suppressAutoHyphens/>
        <w:ind w:firstLine="720"/>
        <w:rPr>
          <w:color w:val="000000"/>
          <w:szCs w:val="22"/>
          <w:lang w:val="fr-FR"/>
        </w:rPr>
      </w:pPr>
      <w:r w:rsidRPr="0026653F">
        <w:rPr>
          <w:color w:val="000000"/>
          <w:szCs w:val="22"/>
          <w:lang w:val="fr-FR"/>
        </w:rPr>
        <w:t>10.</w:t>
      </w:r>
      <w:r w:rsidRPr="0026653F">
        <w:rPr>
          <w:color w:val="000000"/>
          <w:szCs w:val="22"/>
          <w:lang w:val="fr-FR"/>
        </w:rPr>
        <w:tab/>
        <w:t>De charger le SEDI de continuer à faciliter l’échange de données d’expériences et de bonnes pratiques entre les États membres en matière de préparation et d’intervention communautaires en cas d’urgence.</w:t>
      </w:r>
    </w:p>
    <w:p w14:paraId="421E5904" w14:textId="77777777" w:rsidR="005A40EC" w:rsidRPr="0026653F" w:rsidRDefault="005A40EC" w:rsidP="00C618DD">
      <w:pPr>
        <w:suppressAutoHyphens/>
        <w:rPr>
          <w:szCs w:val="22"/>
          <w:lang w:val="fr-FR"/>
        </w:rPr>
      </w:pPr>
    </w:p>
    <w:p w14:paraId="2149BEA1" w14:textId="64AA127B" w:rsidR="005A40EC" w:rsidRPr="0026653F" w:rsidRDefault="005A40EC" w:rsidP="00C618DD">
      <w:pPr>
        <w:suppressAutoHyphens/>
        <w:ind w:firstLine="720"/>
        <w:rPr>
          <w:color w:val="000000"/>
          <w:szCs w:val="22"/>
          <w:lang w:val="fr-FR"/>
        </w:rPr>
      </w:pPr>
      <w:r w:rsidRPr="0026653F">
        <w:rPr>
          <w:color w:val="000000"/>
          <w:szCs w:val="22"/>
          <w:lang w:val="fr-FR"/>
        </w:rPr>
        <w:t>11.</w:t>
      </w:r>
      <w:r w:rsidRPr="0026653F">
        <w:rPr>
          <w:color w:val="000000"/>
          <w:szCs w:val="22"/>
          <w:lang w:val="fr-FR"/>
        </w:rPr>
        <w:tab/>
        <w:t xml:space="preserve">De demander au SEDI de continuer à </w:t>
      </w:r>
      <w:r w:rsidR="00DD6810" w:rsidRPr="0026653F">
        <w:rPr>
          <w:color w:val="000000"/>
          <w:szCs w:val="22"/>
          <w:lang w:val="fr-FR"/>
        </w:rPr>
        <w:t>concevoir</w:t>
      </w:r>
      <w:r w:rsidRPr="0026653F">
        <w:rPr>
          <w:color w:val="000000"/>
          <w:szCs w:val="22"/>
          <w:lang w:val="fr-FR"/>
        </w:rPr>
        <w:t xml:space="preserve"> et à dispenser des formations visant à fournir des connaissances et des outils aux jeunes dans le domaine des communautés durables dans le cadre d’une approche intégrée, notamment par le biais du Portail éducatif des Amériques.</w:t>
      </w:r>
    </w:p>
    <w:p w14:paraId="2522E79A" w14:textId="77777777" w:rsidR="005A40EC" w:rsidRPr="0026653F" w:rsidRDefault="005A40EC" w:rsidP="00C618DD">
      <w:pPr>
        <w:suppressAutoHyphens/>
        <w:rPr>
          <w:szCs w:val="22"/>
          <w:lang w:val="fr-FR"/>
        </w:rPr>
      </w:pPr>
    </w:p>
    <w:p w14:paraId="471BD2DD" w14:textId="203BBBA4" w:rsidR="005A40EC" w:rsidRPr="0026653F" w:rsidRDefault="005A40EC" w:rsidP="00C618DD">
      <w:pPr>
        <w:suppressAutoHyphens/>
        <w:ind w:firstLine="720"/>
        <w:rPr>
          <w:color w:val="000000"/>
          <w:szCs w:val="22"/>
          <w:lang w:val="fr-FR"/>
        </w:rPr>
      </w:pPr>
      <w:r w:rsidRPr="0026653F">
        <w:rPr>
          <w:color w:val="000000"/>
          <w:szCs w:val="22"/>
          <w:lang w:val="fr-FR"/>
        </w:rPr>
        <w:t>12.</w:t>
      </w:r>
      <w:r w:rsidRPr="0026653F">
        <w:rPr>
          <w:color w:val="000000"/>
          <w:szCs w:val="22"/>
          <w:lang w:val="fr-FR"/>
        </w:rPr>
        <w:tab/>
        <w:t>De charger le SEDI de continuer à aider l</w:t>
      </w:r>
      <w:r w:rsidR="00DD6810" w:rsidRPr="0026653F">
        <w:rPr>
          <w:color w:val="000000"/>
          <w:szCs w:val="22"/>
          <w:lang w:val="fr-FR"/>
        </w:rPr>
        <w:t>’</w:t>
      </w:r>
      <w:r w:rsidRPr="0026653F">
        <w:rPr>
          <w:color w:val="000000"/>
          <w:szCs w:val="22"/>
          <w:lang w:val="fr-FR"/>
        </w:rPr>
        <w:t xml:space="preserve">ECPA dans les efforts qu’il déploie pour soutenir les États membres dans le développement des énergies renouvelables et du gaz naturel ainsi que d’options possibles pour mettre en place des infrastructures transfrontalières </w:t>
      </w:r>
      <w:r w:rsidR="00DD6810" w:rsidRPr="0026653F">
        <w:rPr>
          <w:color w:val="000000"/>
          <w:szCs w:val="22"/>
          <w:lang w:val="fr-FR"/>
        </w:rPr>
        <w:t xml:space="preserve">et intersectorielles ainsi que </w:t>
      </w:r>
      <w:r w:rsidRPr="0026653F">
        <w:rPr>
          <w:color w:val="000000"/>
          <w:szCs w:val="22"/>
          <w:lang w:val="fr-FR"/>
        </w:rPr>
        <w:t>des services énergétiques, en diversifiant les sources et la distribution géographique pour produire l’électricité et protéger les communautés contre les défaillances du réseau électrique causées par des catastrophes.</w:t>
      </w:r>
    </w:p>
    <w:p w14:paraId="117552E9" w14:textId="77777777" w:rsidR="005A40EC" w:rsidRPr="0026653F" w:rsidRDefault="005A40EC" w:rsidP="00C618DD">
      <w:pPr>
        <w:suppressAutoHyphens/>
        <w:rPr>
          <w:szCs w:val="22"/>
          <w:lang w:val="fr-FR"/>
        </w:rPr>
      </w:pPr>
    </w:p>
    <w:p w14:paraId="5CFA7A54" w14:textId="54C6CAD4" w:rsidR="005A40EC" w:rsidRPr="004A5931" w:rsidRDefault="005A40EC" w:rsidP="00C618DD">
      <w:pPr>
        <w:suppressAutoHyphens/>
        <w:ind w:firstLine="720"/>
        <w:rPr>
          <w:color w:val="000000"/>
          <w:szCs w:val="22"/>
          <w:lang w:val="fr-FR"/>
        </w:rPr>
      </w:pPr>
      <w:r w:rsidRPr="0026653F">
        <w:rPr>
          <w:color w:val="000000"/>
          <w:szCs w:val="22"/>
          <w:lang w:val="fr-FR"/>
        </w:rPr>
        <w:t>13.</w:t>
      </w:r>
      <w:r w:rsidRPr="0026653F">
        <w:rPr>
          <w:color w:val="000000"/>
          <w:szCs w:val="22"/>
          <w:lang w:val="fr-FR"/>
        </w:rPr>
        <w:tab/>
        <w:t xml:space="preserve">De </w:t>
      </w:r>
      <w:r w:rsidR="00DD6810" w:rsidRPr="0026653F">
        <w:rPr>
          <w:color w:val="000000"/>
          <w:szCs w:val="22"/>
          <w:lang w:val="fr-FR"/>
        </w:rPr>
        <w:t>charger le</w:t>
      </w:r>
      <w:r w:rsidRPr="0026653F">
        <w:rPr>
          <w:color w:val="000000"/>
          <w:szCs w:val="22"/>
          <w:lang w:val="fr-FR"/>
        </w:rPr>
        <w:t xml:space="preserve">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w:t>
      </w:r>
      <w:r w:rsidRPr="0026653F">
        <w:rPr>
          <w:bCs/>
          <w:color w:val="000000"/>
          <w:szCs w:val="22"/>
          <w:u w:val="single"/>
          <w:vertAlign w:val="superscript"/>
          <w:lang w:val="fr-FR"/>
        </w:rPr>
        <w:footnoteReference w:id="45"/>
      </w:r>
      <w:r w:rsidRPr="0026653F">
        <w:rPr>
          <w:bCs/>
          <w:color w:val="000000"/>
          <w:szCs w:val="22"/>
          <w:vertAlign w:val="superscript"/>
          <w:lang w:val="fr-FR"/>
        </w:rPr>
        <w:t>/</w:t>
      </w:r>
      <w:r w:rsidRPr="0026653F">
        <w:rPr>
          <w:color w:val="000000"/>
          <w:szCs w:val="22"/>
          <w:lang w:val="fr-FR"/>
        </w:rPr>
        <w:t>, tels que les sécheresses et les inondations graves, en particulier pour les pays souffrant de pénuries d’eau et les régions à risque.</w:t>
      </w:r>
    </w:p>
    <w:p w14:paraId="1033BF83" w14:textId="77777777" w:rsidR="005A40EC" w:rsidRPr="0026653F" w:rsidRDefault="005A40EC" w:rsidP="00C618DD">
      <w:pPr>
        <w:suppressAutoHyphens/>
        <w:rPr>
          <w:szCs w:val="22"/>
          <w:lang w:val="fr-FR"/>
        </w:rPr>
      </w:pPr>
    </w:p>
    <w:p w14:paraId="2C46B3A5" w14:textId="20F36A12" w:rsidR="005A40EC" w:rsidRPr="0026653F" w:rsidRDefault="005A40EC" w:rsidP="00C618DD">
      <w:pPr>
        <w:suppressAutoHyphens/>
        <w:ind w:firstLine="720"/>
        <w:rPr>
          <w:szCs w:val="22"/>
          <w:lang w:val="fr-FR"/>
        </w:rPr>
      </w:pPr>
      <w:r w:rsidRPr="0026653F">
        <w:rPr>
          <w:color w:val="000000"/>
          <w:szCs w:val="22"/>
          <w:lang w:val="fr-FR"/>
        </w:rPr>
        <w:t>14.</w:t>
      </w:r>
      <w:r w:rsidRPr="0026653F">
        <w:rPr>
          <w:color w:val="000000"/>
          <w:szCs w:val="22"/>
          <w:lang w:val="fr-FR"/>
        </w:rPr>
        <w:tab/>
      </w:r>
      <w:r w:rsidRPr="0026653F">
        <w:rPr>
          <w:szCs w:val="22"/>
          <w:lang w:val="fr-FR"/>
        </w:rPr>
        <w:t xml:space="preserve">De demander au Secrétariat de la CIP de poursuivre ses efforts pour mettre en œuvre des programmes qui favorisent la durabilité de l’environnement dans les États membres, y compris la réduction de la pollution, dans le cadre du </w:t>
      </w:r>
      <w:r w:rsidR="00775933" w:rsidRPr="0026653F">
        <w:rPr>
          <w:szCs w:val="22"/>
          <w:lang w:val="fr-FR"/>
        </w:rPr>
        <w:t>P</w:t>
      </w:r>
      <w:r w:rsidRPr="0026653F">
        <w:rPr>
          <w:szCs w:val="22"/>
          <w:lang w:val="fr-FR"/>
        </w:rPr>
        <w:t xml:space="preserve">rogramme d’incitations portuaires </w:t>
      </w:r>
      <w:r w:rsidR="00775933" w:rsidRPr="0026653F">
        <w:rPr>
          <w:szCs w:val="22"/>
          <w:lang w:val="fr-FR"/>
        </w:rPr>
        <w:t xml:space="preserve">pour </w:t>
      </w:r>
      <w:r w:rsidRPr="0026653F">
        <w:rPr>
          <w:szCs w:val="22"/>
          <w:lang w:val="fr-FR"/>
        </w:rPr>
        <w:t>la réduction des gaz à effet de serre émis par les cargos.</w:t>
      </w:r>
    </w:p>
    <w:p w14:paraId="2F669D7B" w14:textId="77777777" w:rsidR="00B61F26" w:rsidRPr="0026653F" w:rsidRDefault="00B61F26" w:rsidP="00C618DD">
      <w:pPr>
        <w:suppressAutoHyphens/>
        <w:rPr>
          <w:color w:val="000000"/>
          <w:szCs w:val="22"/>
          <w:shd w:val="clear" w:color="auto" w:fill="00FFFF"/>
          <w:lang w:val="fr-FR"/>
        </w:rPr>
      </w:pPr>
    </w:p>
    <w:p w14:paraId="0EB437AD" w14:textId="77777777" w:rsidR="005A40EC" w:rsidRPr="0026653F" w:rsidRDefault="005A40EC" w:rsidP="00C618DD">
      <w:pPr>
        <w:suppressAutoHyphens/>
        <w:ind w:firstLine="720"/>
        <w:rPr>
          <w:color w:val="000000"/>
          <w:szCs w:val="22"/>
          <w:shd w:val="clear" w:color="auto" w:fill="00FFFF"/>
          <w:lang w:val="fr-FR"/>
        </w:rPr>
      </w:pPr>
      <w:r w:rsidRPr="0026653F">
        <w:rPr>
          <w:color w:val="000000"/>
          <w:szCs w:val="22"/>
          <w:lang w:val="fr-FR"/>
        </w:rPr>
        <w:lastRenderedPageBreak/>
        <w:t>15.</w:t>
      </w:r>
      <w:r w:rsidRPr="0026653F">
        <w:rPr>
          <w:color w:val="000000"/>
          <w:szCs w:val="22"/>
          <w:lang w:val="fr-FR"/>
        </w:rPr>
        <w:tab/>
        <w:t>De réitérer son soutien à l’initiative Casques blancs, qui constitue l’un des mécanismes précieux de prévention, de réduction et d’intervention en cas de catastrophe et de lutte contre la faim et la pauvreté dans le continent américain.</w:t>
      </w:r>
    </w:p>
    <w:p w14:paraId="32C89FF8" w14:textId="77777777" w:rsidR="005A40EC" w:rsidRPr="0026653F" w:rsidRDefault="005A40EC" w:rsidP="00C618DD">
      <w:pPr>
        <w:suppressAutoHyphens/>
        <w:rPr>
          <w:szCs w:val="22"/>
          <w:lang w:val="fr-FR"/>
        </w:rPr>
      </w:pPr>
    </w:p>
    <w:p w14:paraId="55ADC8CE" w14:textId="7FD76912" w:rsidR="005A40EC" w:rsidRPr="0026653F" w:rsidRDefault="005A40EC" w:rsidP="00C618DD">
      <w:pPr>
        <w:suppressAutoHyphens/>
        <w:ind w:firstLine="697"/>
        <w:rPr>
          <w:color w:val="000000"/>
          <w:szCs w:val="22"/>
          <w:shd w:val="clear" w:color="auto" w:fill="00FFFF"/>
          <w:lang w:val="fr-FR"/>
        </w:rPr>
      </w:pPr>
      <w:r w:rsidRPr="0026653F">
        <w:rPr>
          <w:color w:val="000000"/>
          <w:szCs w:val="22"/>
          <w:lang w:val="fr-FR"/>
        </w:rPr>
        <w:t>16.</w:t>
      </w:r>
      <w:r w:rsidRPr="0026653F">
        <w:rPr>
          <w:color w:val="000000"/>
          <w:szCs w:val="22"/>
          <w:lang w:val="fr-FR"/>
        </w:rPr>
        <w:tab/>
        <w:t xml:space="preserve">D’encourager l’initiative Casques blancs à continuer de favoriser une collaboration humanitaire régionale accrue et, dans ce contexte, à continuer de partager son expérience et ses meilleures pratiques en matière de prévention, de préparation et de réaction face aux catastrophes, notamment dans le contexte international créé par la </w:t>
      </w:r>
      <w:r w:rsidR="00575DF8" w:rsidRPr="0026653F">
        <w:rPr>
          <w:color w:val="000000"/>
          <w:szCs w:val="22"/>
          <w:lang w:val="fr-FR"/>
        </w:rPr>
        <w:t xml:space="preserve">pandémie de </w:t>
      </w:r>
      <w:r w:rsidRPr="0026653F">
        <w:rPr>
          <w:color w:val="000000"/>
          <w:szCs w:val="22"/>
          <w:lang w:val="fr-FR"/>
        </w:rPr>
        <w:t>COVID-19.</w:t>
      </w:r>
    </w:p>
    <w:p w14:paraId="06FD6D44" w14:textId="77777777" w:rsidR="005A40EC" w:rsidRPr="0026653F" w:rsidRDefault="005A40EC" w:rsidP="00C618DD">
      <w:pPr>
        <w:suppressAutoHyphens/>
        <w:rPr>
          <w:szCs w:val="22"/>
          <w:lang w:val="fr-FR"/>
        </w:rPr>
      </w:pPr>
    </w:p>
    <w:p w14:paraId="435588CB" w14:textId="76B31FDF" w:rsidR="005A40EC" w:rsidRPr="0026653F" w:rsidRDefault="005A40EC" w:rsidP="00C618DD">
      <w:pPr>
        <w:suppressAutoHyphens/>
        <w:ind w:firstLine="697"/>
        <w:rPr>
          <w:color w:val="000000"/>
          <w:szCs w:val="22"/>
          <w:shd w:val="clear" w:color="auto" w:fill="00FFFF"/>
          <w:lang w:val="fr-FR"/>
        </w:rPr>
      </w:pPr>
      <w:r w:rsidRPr="0026653F">
        <w:rPr>
          <w:color w:val="000000"/>
          <w:szCs w:val="22"/>
          <w:lang w:val="fr-FR"/>
        </w:rPr>
        <w:t>17.</w:t>
      </w:r>
      <w:r w:rsidRPr="0026653F">
        <w:rPr>
          <w:color w:val="000000"/>
          <w:szCs w:val="22"/>
          <w:lang w:val="fr-FR"/>
        </w:rPr>
        <w:tab/>
        <w:t xml:space="preserve">De prendre note des travaux de la Commission sur les politiques de partenariat pour </w:t>
      </w:r>
      <w:proofErr w:type="gramStart"/>
      <w:r w:rsidRPr="0026653F">
        <w:rPr>
          <w:color w:val="000000"/>
          <w:szCs w:val="22"/>
          <w:lang w:val="fr-FR"/>
        </w:rPr>
        <w:t>le développement relatifs</w:t>
      </w:r>
      <w:proofErr w:type="gramEnd"/>
      <w:r w:rsidRPr="0026653F">
        <w:rPr>
          <w:color w:val="000000"/>
          <w:szCs w:val="22"/>
          <w:lang w:val="fr-FR"/>
        </w:rPr>
        <w:t xml:space="preserve"> à l’analyse de l’</w:t>
      </w:r>
      <w:r w:rsidR="00A34A02" w:rsidRPr="0026653F">
        <w:rPr>
          <w:color w:val="000000"/>
          <w:szCs w:val="22"/>
          <w:lang w:val="fr-FR"/>
        </w:rPr>
        <w:t>É</w:t>
      </w:r>
      <w:r w:rsidRPr="0026653F">
        <w:rPr>
          <w:color w:val="000000"/>
          <w:szCs w:val="22"/>
          <w:lang w:val="fr-FR"/>
        </w:rPr>
        <w:t>tude sur les outils existants et les entités établies au sein du système interaméricain pour répondre aux besoins d’interventions en cas de catastrophe naturelle.</w:t>
      </w:r>
    </w:p>
    <w:p w14:paraId="436DAB56" w14:textId="77777777" w:rsidR="005A40EC" w:rsidRPr="0026653F" w:rsidRDefault="005A40EC" w:rsidP="00C618DD">
      <w:pPr>
        <w:suppressAutoHyphens/>
        <w:rPr>
          <w:szCs w:val="22"/>
          <w:lang w:val="fr-FR"/>
        </w:rPr>
      </w:pPr>
    </w:p>
    <w:p w14:paraId="6152E90B" w14:textId="63FCDA70" w:rsidR="005A40EC" w:rsidRPr="0026653F" w:rsidRDefault="005A40EC" w:rsidP="00C618DD">
      <w:pPr>
        <w:suppressAutoHyphens/>
        <w:ind w:firstLine="653"/>
        <w:rPr>
          <w:color w:val="000000"/>
          <w:szCs w:val="22"/>
          <w:lang w:val="fr-FR"/>
        </w:rPr>
      </w:pPr>
      <w:r w:rsidRPr="0026653F">
        <w:rPr>
          <w:color w:val="000000"/>
          <w:szCs w:val="22"/>
          <w:lang w:val="fr-FR"/>
        </w:rPr>
        <w:t>18.</w:t>
      </w:r>
      <w:r w:rsidRPr="0026653F">
        <w:rPr>
          <w:color w:val="000000"/>
          <w:szCs w:val="22"/>
          <w:lang w:val="fr-FR"/>
        </w:rPr>
        <w:tab/>
      </w:r>
      <w:r w:rsidR="00A34A02" w:rsidRPr="0026653F">
        <w:rPr>
          <w:color w:val="000000"/>
          <w:szCs w:val="22"/>
          <w:lang w:val="fr-FR"/>
        </w:rPr>
        <w:t>De reprendre à son compte</w:t>
      </w:r>
      <w:r w:rsidRPr="0026653F">
        <w:rPr>
          <w:color w:val="000000"/>
          <w:szCs w:val="22"/>
          <w:lang w:val="fr-FR"/>
        </w:rPr>
        <w:t xml:space="preserve"> les recommandations du CIDI contenues dans le document CIDI/CPD/doc.200/20 rev. 3 sur les outils existants et les entités établies au sein du système interaméricain pour </w:t>
      </w:r>
      <w:r w:rsidR="002A24CF" w:rsidRPr="0026653F">
        <w:rPr>
          <w:color w:val="000000"/>
          <w:szCs w:val="22"/>
          <w:lang w:val="fr-FR"/>
        </w:rPr>
        <w:t xml:space="preserve">aborder les </w:t>
      </w:r>
      <w:r w:rsidRPr="0026653F">
        <w:rPr>
          <w:color w:val="000000"/>
          <w:szCs w:val="22"/>
          <w:lang w:val="fr-FR"/>
        </w:rPr>
        <w:t>interventions en cas de catastrophe naturelle, et de charger le CIDI, en coordination avec la Commission sur la sécurité continentale (CSH), de superviser l’exécution des mandats confiés au Secrétariat général.</w:t>
      </w:r>
    </w:p>
    <w:p w14:paraId="44C32CED" w14:textId="77777777" w:rsidR="005A40EC" w:rsidRPr="0026653F" w:rsidRDefault="005A40EC" w:rsidP="00C618DD">
      <w:pPr>
        <w:suppressAutoHyphens/>
        <w:rPr>
          <w:color w:val="000000"/>
          <w:szCs w:val="22"/>
          <w:lang w:val="fr-FR"/>
        </w:rPr>
      </w:pPr>
    </w:p>
    <w:p w14:paraId="0E9F6973" w14:textId="42D39D6C" w:rsidR="005A40EC" w:rsidRPr="0026653F" w:rsidRDefault="005A40EC" w:rsidP="00C618DD">
      <w:pPr>
        <w:suppressAutoHyphens/>
        <w:ind w:firstLine="653"/>
        <w:rPr>
          <w:color w:val="000000"/>
          <w:szCs w:val="22"/>
          <w:shd w:val="clear" w:color="auto" w:fill="00FFFF"/>
          <w:lang w:val="fr-FR"/>
        </w:rPr>
      </w:pPr>
      <w:r w:rsidRPr="0026653F">
        <w:rPr>
          <w:color w:val="000000"/>
          <w:szCs w:val="22"/>
          <w:lang w:val="fr-FR"/>
        </w:rPr>
        <w:t>19.</w:t>
      </w:r>
      <w:r w:rsidRPr="0026653F">
        <w:rPr>
          <w:color w:val="000000"/>
          <w:szCs w:val="22"/>
          <w:lang w:val="fr-FR"/>
        </w:rPr>
        <w:tab/>
        <w:t>D’a</w:t>
      </w:r>
      <w:r w:rsidR="00DD6810" w:rsidRPr="0026653F">
        <w:rPr>
          <w:color w:val="000000"/>
          <w:szCs w:val="22"/>
          <w:lang w:val="fr-FR"/>
        </w:rPr>
        <w:t>pprouver les modifications au S</w:t>
      </w:r>
      <w:r w:rsidRPr="0026653F">
        <w:rPr>
          <w:color w:val="000000"/>
          <w:szCs w:val="22"/>
          <w:lang w:val="fr-FR"/>
        </w:rPr>
        <w:t>tatut de la Commission interaméricaine pour la réduction des catastrophes naturelles (CIRDN)</w:t>
      </w:r>
      <w:r w:rsidR="000213F7" w:rsidRPr="0026653F">
        <w:rPr>
          <w:color w:val="000000"/>
          <w:szCs w:val="22"/>
          <w:lang w:val="fr-FR"/>
        </w:rPr>
        <w:t xml:space="preserve">, lequel fait l’objet de </w:t>
      </w:r>
      <w:r w:rsidRPr="0026653F">
        <w:rPr>
          <w:color w:val="000000"/>
          <w:szCs w:val="22"/>
          <w:lang w:val="fr-FR"/>
        </w:rPr>
        <w:t>l’annexe de la présente résolution.</w:t>
      </w:r>
    </w:p>
    <w:p w14:paraId="149D2318" w14:textId="77777777" w:rsidR="005A40EC" w:rsidRPr="0026653F" w:rsidRDefault="005A40EC" w:rsidP="00C618DD">
      <w:pPr>
        <w:suppressAutoHyphens/>
        <w:rPr>
          <w:szCs w:val="22"/>
          <w:lang w:val="fr-FR"/>
        </w:rPr>
      </w:pPr>
    </w:p>
    <w:p w14:paraId="6B57F9AD" w14:textId="77777777" w:rsidR="005A40EC" w:rsidRPr="0026653F" w:rsidRDefault="005A40EC" w:rsidP="00C618DD">
      <w:pPr>
        <w:suppressAutoHyphens/>
        <w:ind w:left="653" w:hanging="653"/>
        <w:rPr>
          <w:szCs w:val="22"/>
          <w:lang w:val="fr-FR"/>
        </w:rPr>
      </w:pPr>
      <w:r w:rsidRPr="0026653F">
        <w:rPr>
          <w:color w:val="000000"/>
          <w:szCs w:val="22"/>
          <w:lang w:val="fr-FR"/>
        </w:rPr>
        <w:t>III</w:t>
      </w:r>
      <w:r w:rsidR="002A24CF" w:rsidRPr="0026653F">
        <w:rPr>
          <w:color w:val="000000"/>
          <w:szCs w:val="22"/>
          <w:lang w:val="fr-FR"/>
        </w:rPr>
        <w:t>.</w:t>
      </w:r>
      <w:r w:rsidRPr="0026653F">
        <w:rPr>
          <w:color w:val="000000"/>
          <w:szCs w:val="22"/>
          <w:lang w:val="fr-FR"/>
        </w:rPr>
        <w:tab/>
      </w:r>
      <w:r w:rsidRPr="0026653F">
        <w:rPr>
          <w:szCs w:val="22"/>
          <w:lang w:val="fr-FR"/>
        </w:rPr>
        <w:t>LIGNE STRATÉGIQUE « PROMOUVOIR L’ÉDUCATION ET LE DÉVELOPPEMENT HUMAIN DANS LES AMÉRIQUES »</w:t>
      </w:r>
    </w:p>
    <w:p w14:paraId="29125743" w14:textId="77777777" w:rsidR="005A40EC" w:rsidRPr="0026653F" w:rsidRDefault="005A40EC" w:rsidP="00C618DD">
      <w:pPr>
        <w:suppressAutoHyphens/>
        <w:rPr>
          <w:szCs w:val="22"/>
          <w:lang w:val="fr-FR"/>
        </w:rPr>
      </w:pPr>
    </w:p>
    <w:p w14:paraId="3FAA7118" w14:textId="4B4FF1C2" w:rsidR="005A40EC" w:rsidRPr="0026653F" w:rsidRDefault="005A40EC" w:rsidP="00C618DD">
      <w:pPr>
        <w:suppressAutoHyphens/>
        <w:rPr>
          <w:color w:val="000000"/>
          <w:szCs w:val="22"/>
          <w:lang w:val="fr-FR"/>
        </w:rPr>
      </w:pPr>
      <w:r w:rsidRPr="0026653F">
        <w:rPr>
          <w:color w:val="000000"/>
          <w:szCs w:val="22"/>
          <w:lang w:val="fr-FR"/>
        </w:rPr>
        <w:tab/>
        <w:t>20.</w:t>
      </w:r>
      <w:r w:rsidRPr="0026653F">
        <w:rPr>
          <w:color w:val="000000"/>
          <w:szCs w:val="22"/>
          <w:lang w:val="fr-FR"/>
        </w:rPr>
        <w:tab/>
        <w:t xml:space="preserve">De faire sien le </w:t>
      </w:r>
      <w:r w:rsidR="002A2C4F" w:rsidRPr="0026653F">
        <w:rPr>
          <w:color w:val="000000"/>
          <w:szCs w:val="22"/>
          <w:lang w:val="fr-FR"/>
        </w:rPr>
        <w:t>Plan d’action d’Antigua-et-Barbuda 2019, « Le Programme interaméricain d’éducation : Forger des partenariats durables grâce à la coopération, en mettant l’accent sur l’éducation et le développement de compétences pour une meilleure citoyenneté</w:t>
      </w:r>
      <w:r w:rsidR="00896C98" w:rsidRPr="0026653F">
        <w:rPr>
          <w:color w:val="000000"/>
          <w:szCs w:val="22"/>
          <w:lang w:val="fr-FR"/>
        </w:rPr>
        <w:t xml:space="preserve"> », </w:t>
      </w:r>
      <w:r w:rsidRPr="0026653F">
        <w:rPr>
          <w:color w:val="000000"/>
          <w:szCs w:val="22"/>
          <w:lang w:val="fr-FR"/>
        </w:rPr>
        <w:t>adopté lors de la Dixième Réunion interaméricaine des ministres de l’éducation, tenue à Washington, D.C., les 8 et 9 juillet 2019 (</w:t>
      </w:r>
      <w:bookmarkStart w:id="32" w:name="_Hlk64641250"/>
      <w:r w:rsidRPr="0026653F">
        <w:rPr>
          <w:color w:val="000000"/>
          <w:szCs w:val="22"/>
          <w:lang w:val="fr-FR"/>
        </w:rPr>
        <w:t>CIDI/RME/doc.6/19</w:t>
      </w:r>
      <w:bookmarkEnd w:id="32"/>
      <w:r w:rsidRPr="0026653F">
        <w:rPr>
          <w:color w:val="000000"/>
          <w:szCs w:val="22"/>
          <w:lang w:val="fr-FR"/>
        </w:rPr>
        <w:t>).</w:t>
      </w:r>
    </w:p>
    <w:p w14:paraId="08C171B3" w14:textId="77777777" w:rsidR="005A40EC" w:rsidRPr="0026653F" w:rsidRDefault="005A40EC" w:rsidP="00C618DD">
      <w:pPr>
        <w:suppressAutoHyphens/>
        <w:rPr>
          <w:szCs w:val="22"/>
          <w:lang w:val="fr-FR"/>
        </w:rPr>
      </w:pPr>
    </w:p>
    <w:p w14:paraId="00339A8D" w14:textId="524A1AAF" w:rsidR="005A40EC" w:rsidRPr="0026653F" w:rsidRDefault="005A40EC" w:rsidP="00C618DD">
      <w:pPr>
        <w:suppressAutoHyphens/>
        <w:ind w:firstLine="747"/>
        <w:rPr>
          <w:color w:val="000000"/>
          <w:szCs w:val="22"/>
          <w:lang w:val="fr-FR"/>
        </w:rPr>
      </w:pPr>
      <w:r w:rsidRPr="0026653F">
        <w:rPr>
          <w:color w:val="000000"/>
          <w:szCs w:val="22"/>
          <w:lang w:val="fr-FR"/>
        </w:rPr>
        <w:t>21.</w:t>
      </w:r>
      <w:r w:rsidRPr="0026653F">
        <w:rPr>
          <w:color w:val="000000"/>
          <w:szCs w:val="22"/>
          <w:lang w:val="fr-FR"/>
        </w:rPr>
        <w:tab/>
        <w:t>De charger le S</w:t>
      </w:r>
      <w:r w:rsidR="000213F7" w:rsidRPr="0026653F">
        <w:rPr>
          <w:color w:val="000000"/>
          <w:szCs w:val="22"/>
          <w:lang w:val="fr-FR"/>
        </w:rPr>
        <w:t>EDI</w:t>
      </w:r>
      <w:r w:rsidRPr="0026653F">
        <w:rPr>
          <w:color w:val="000000"/>
          <w:szCs w:val="22"/>
          <w:lang w:val="fr-FR"/>
        </w:rPr>
        <w:t xml:space="preserve"> de continuer à soutenir le plan de travail 2019-2022 de la Commission interaméricaine de l’éducation (CIE) et son objectif de partager des initiatives concrètes pour la mise en œuvre du Programme interaméricain d’éducation (PIE)</w:t>
      </w:r>
      <w:r w:rsidR="000213F7" w:rsidRPr="0026653F">
        <w:rPr>
          <w:color w:val="000000"/>
          <w:szCs w:val="22"/>
          <w:lang w:val="fr-FR"/>
        </w:rPr>
        <w:t>,</w:t>
      </w:r>
      <w:r w:rsidRPr="0026653F">
        <w:rPr>
          <w:color w:val="000000"/>
          <w:szCs w:val="22"/>
          <w:lang w:val="fr-FR"/>
        </w:rPr>
        <w:t xml:space="preserve"> d’approfondir les synergies entre les initiatives éducatives mondiales, continentales et sous-régionales et de promouvoir la coopération intersectorielle et avec </w:t>
      </w:r>
      <w:r w:rsidR="000213F7" w:rsidRPr="0026653F">
        <w:rPr>
          <w:color w:val="000000"/>
          <w:szCs w:val="22"/>
          <w:lang w:val="fr-FR"/>
        </w:rPr>
        <w:t xml:space="preserve">les </w:t>
      </w:r>
      <w:r w:rsidRPr="0026653F">
        <w:rPr>
          <w:color w:val="000000"/>
          <w:szCs w:val="22"/>
          <w:lang w:val="fr-FR"/>
        </w:rPr>
        <w:t>autres acteurs sociaux afin de contribuer à la réalisation des objectifs fixés dans le Programme de développement durable à l’horizon 2030 et à la réduction des inégalités exacerbées par la pandémie</w:t>
      </w:r>
      <w:r w:rsidR="00EE2A02" w:rsidRPr="0026653F">
        <w:rPr>
          <w:color w:val="000000"/>
          <w:szCs w:val="22"/>
          <w:lang w:val="fr-FR"/>
        </w:rPr>
        <w:t xml:space="preserve"> de COVID-19</w:t>
      </w:r>
      <w:r w:rsidRPr="0026653F">
        <w:rPr>
          <w:color w:val="000000"/>
          <w:szCs w:val="22"/>
          <w:lang w:val="fr-FR"/>
        </w:rPr>
        <w:t>.</w:t>
      </w:r>
    </w:p>
    <w:p w14:paraId="56BCC161" w14:textId="77777777" w:rsidR="005A40EC" w:rsidRPr="0026653F" w:rsidRDefault="005A40EC" w:rsidP="00C618DD">
      <w:pPr>
        <w:suppressAutoHyphens/>
        <w:rPr>
          <w:szCs w:val="22"/>
          <w:lang w:val="fr-FR"/>
        </w:rPr>
      </w:pPr>
    </w:p>
    <w:p w14:paraId="22537BE3" w14:textId="0656CB5B" w:rsidR="005A40EC" w:rsidRPr="0026653F" w:rsidRDefault="005A40EC" w:rsidP="00C618DD">
      <w:pPr>
        <w:suppressAutoHyphens/>
        <w:ind w:firstLine="720"/>
        <w:rPr>
          <w:szCs w:val="22"/>
          <w:lang w:val="fr-FR"/>
        </w:rPr>
      </w:pPr>
      <w:r w:rsidRPr="0026653F">
        <w:rPr>
          <w:color w:val="000000"/>
          <w:szCs w:val="22"/>
          <w:lang w:val="fr-FR"/>
        </w:rPr>
        <w:t>22.</w:t>
      </w:r>
      <w:r w:rsidRPr="0026653F">
        <w:rPr>
          <w:color w:val="000000"/>
          <w:szCs w:val="22"/>
          <w:lang w:val="fr-FR"/>
        </w:rPr>
        <w:tab/>
        <w:t xml:space="preserve">De charger le SEDI de soutenir les ministères et institutions responsables de l’éducation dans la région pour promouvoir la </w:t>
      </w:r>
      <w:r w:rsidR="00167129" w:rsidRPr="0026653F">
        <w:rPr>
          <w:color w:val="000000"/>
          <w:szCs w:val="22"/>
          <w:lang w:val="fr-FR"/>
        </w:rPr>
        <w:t>P</w:t>
      </w:r>
      <w:r w:rsidRPr="0026653F">
        <w:rPr>
          <w:color w:val="000000"/>
          <w:szCs w:val="22"/>
          <w:lang w:val="fr-FR"/>
        </w:rPr>
        <w:t xml:space="preserve">roposition d’action continentale pour la continuité de l’éducation </w:t>
      </w:r>
      <w:r w:rsidR="00BC1E2B" w:rsidRPr="0026653F">
        <w:rPr>
          <w:color w:val="000000"/>
          <w:szCs w:val="22"/>
          <w:lang w:val="fr-FR"/>
        </w:rPr>
        <w:t xml:space="preserve">dans le contexte </w:t>
      </w:r>
      <w:r w:rsidRPr="0026653F">
        <w:rPr>
          <w:color w:val="000000"/>
          <w:szCs w:val="22"/>
          <w:lang w:val="fr-FR"/>
        </w:rPr>
        <w:t xml:space="preserve">de la pandémie </w:t>
      </w:r>
      <w:r w:rsidR="0051302E" w:rsidRPr="0026653F">
        <w:rPr>
          <w:color w:val="000000"/>
          <w:szCs w:val="22"/>
          <w:lang w:val="fr-FR"/>
        </w:rPr>
        <w:t>de COVID-19</w:t>
      </w:r>
      <w:r w:rsidR="00167129" w:rsidRPr="0026653F">
        <w:rPr>
          <w:color w:val="000000"/>
          <w:szCs w:val="22"/>
          <w:lang w:val="fr-FR"/>
        </w:rPr>
        <w:t xml:space="preserve"> (PHACE)</w:t>
      </w:r>
      <w:r w:rsidRPr="0026653F">
        <w:rPr>
          <w:color w:val="000000"/>
          <w:szCs w:val="22"/>
          <w:lang w:val="fr-FR"/>
        </w:rPr>
        <w:t>.</w:t>
      </w:r>
    </w:p>
    <w:p w14:paraId="77C46690" w14:textId="77777777" w:rsidR="005A40EC" w:rsidRPr="0026653F" w:rsidRDefault="005A40EC" w:rsidP="00C618DD">
      <w:pPr>
        <w:suppressAutoHyphens/>
        <w:rPr>
          <w:szCs w:val="22"/>
          <w:lang w:val="fr-FR"/>
        </w:rPr>
      </w:pPr>
    </w:p>
    <w:p w14:paraId="449F9DDF" w14:textId="2C89A358" w:rsidR="005A40EC" w:rsidRPr="0026653F" w:rsidRDefault="005A40EC" w:rsidP="00C618DD">
      <w:pPr>
        <w:suppressAutoHyphens/>
        <w:ind w:firstLine="749"/>
        <w:rPr>
          <w:color w:val="000000"/>
          <w:szCs w:val="22"/>
          <w:lang w:val="fr-FR"/>
        </w:rPr>
      </w:pPr>
      <w:r w:rsidRPr="0026653F">
        <w:rPr>
          <w:color w:val="000000"/>
          <w:szCs w:val="22"/>
          <w:lang w:val="fr-FR"/>
        </w:rPr>
        <w:t>23.</w:t>
      </w:r>
      <w:r w:rsidRPr="0026653F">
        <w:rPr>
          <w:color w:val="000000"/>
          <w:szCs w:val="22"/>
          <w:lang w:val="fr-FR"/>
        </w:rPr>
        <w:tab/>
        <w:t xml:space="preserve">De charger le SEDI, dans le cadre de la coordination qu’il effectue en tant que </w:t>
      </w:r>
      <w:r w:rsidR="000213F7" w:rsidRPr="0026653F">
        <w:rPr>
          <w:color w:val="000000"/>
          <w:szCs w:val="22"/>
          <w:lang w:val="fr-FR"/>
        </w:rPr>
        <w:t>s</w:t>
      </w:r>
      <w:r w:rsidRPr="0026653F">
        <w:rPr>
          <w:color w:val="000000"/>
          <w:szCs w:val="22"/>
          <w:lang w:val="fr-FR"/>
        </w:rPr>
        <w:t xml:space="preserve">ecrétariat technique de la CIE, d’encourager et de promouvoir des espaces de dialogue entre les </w:t>
      </w:r>
      <w:r w:rsidR="00167129" w:rsidRPr="0026653F">
        <w:rPr>
          <w:color w:val="000000"/>
          <w:szCs w:val="22"/>
          <w:lang w:val="fr-FR"/>
        </w:rPr>
        <w:t>responsables</w:t>
      </w:r>
      <w:r w:rsidRPr="0026653F">
        <w:rPr>
          <w:color w:val="000000"/>
          <w:szCs w:val="22"/>
          <w:lang w:val="fr-FR"/>
        </w:rPr>
        <w:t xml:space="preserve"> des groupes de travail et les autres États membres intéressés par la mise en œuvre de </w:t>
      </w:r>
      <w:r w:rsidRPr="0026653F">
        <w:rPr>
          <w:color w:val="000000"/>
          <w:szCs w:val="22"/>
          <w:lang w:val="fr-FR"/>
        </w:rPr>
        <w:lastRenderedPageBreak/>
        <w:t>programmes qui contribuent à la réalisation des mandats inclus dans le Plan d’action d’Antigua-et-Barbuda</w:t>
      </w:r>
      <w:r w:rsidR="000213F7" w:rsidRPr="0026653F">
        <w:rPr>
          <w:color w:val="000000"/>
          <w:szCs w:val="22"/>
          <w:lang w:val="fr-FR"/>
        </w:rPr>
        <w:t xml:space="preserve"> </w:t>
      </w:r>
      <w:r w:rsidRPr="0026653F">
        <w:rPr>
          <w:color w:val="000000"/>
          <w:szCs w:val="22"/>
          <w:lang w:val="fr-FR"/>
        </w:rPr>
        <w:t>2019.</w:t>
      </w:r>
    </w:p>
    <w:p w14:paraId="3A783BB8" w14:textId="77777777" w:rsidR="005A40EC" w:rsidRPr="0026653F" w:rsidRDefault="005A40EC" w:rsidP="00C618DD">
      <w:pPr>
        <w:suppressAutoHyphens/>
        <w:rPr>
          <w:color w:val="000000"/>
          <w:szCs w:val="22"/>
          <w:lang w:val="fr-FR"/>
        </w:rPr>
      </w:pPr>
    </w:p>
    <w:p w14:paraId="3197D52A" w14:textId="79EF76FE" w:rsidR="005A40EC" w:rsidRPr="0026653F" w:rsidRDefault="005A40EC" w:rsidP="00C618DD">
      <w:pPr>
        <w:suppressAutoHyphens/>
        <w:ind w:firstLine="720"/>
        <w:rPr>
          <w:color w:val="000000"/>
          <w:szCs w:val="22"/>
          <w:shd w:val="clear" w:color="auto" w:fill="00FFFF"/>
          <w:lang w:val="fr-FR"/>
        </w:rPr>
      </w:pPr>
      <w:r w:rsidRPr="0026653F">
        <w:rPr>
          <w:color w:val="000000"/>
          <w:szCs w:val="22"/>
          <w:lang w:val="fr-FR"/>
        </w:rPr>
        <w:t>24.</w:t>
      </w:r>
      <w:r w:rsidRPr="0026653F">
        <w:rPr>
          <w:color w:val="000000"/>
          <w:szCs w:val="22"/>
          <w:lang w:val="fr-FR"/>
        </w:rPr>
        <w:tab/>
        <w:t xml:space="preserve">De charger le SEDI, en application des mandats de la Dixième Réunion interaméricaine des ministres de l’éducation </w:t>
      </w:r>
      <w:r w:rsidR="00167129" w:rsidRPr="0026653F">
        <w:rPr>
          <w:color w:val="000000"/>
          <w:szCs w:val="22"/>
          <w:lang w:val="fr-FR"/>
        </w:rPr>
        <w:t xml:space="preserve">dans le cadre du CIDI </w:t>
      </w:r>
      <w:r w:rsidRPr="0026653F">
        <w:rPr>
          <w:color w:val="000000"/>
          <w:szCs w:val="22"/>
          <w:lang w:val="fr-FR"/>
        </w:rPr>
        <w:t xml:space="preserve">et de la Vingtième Conférence interaméricaine des ministres du travail, en consultation avec les États membres, d’examiner </w:t>
      </w:r>
      <w:r w:rsidR="0051302E" w:rsidRPr="0026653F">
        <w:rPr>
          <w:color w:val="000000"/>
          <w:szCs w:val="22"/>
          <w:lang w:val="fr-FR"/>
        </w:rPr>
        <w:t>la possibilité</w:t>
      </w:r>
      <w:r w:rsidRPr="0026653F">
        <w:rPr>
          <w:color w:val="000000"/>
          <w:szCs w:val="22"/>
          <w:lang w:val="fr-FR"/>
        </w:rPr>
        <w:t xml:space="preserve"> de convoquer une réunion conjointe des deux secteurs dans un délai à déterminer.</w:t>
      </w:r>
    </w:p>
    <w:p w14:paraId="28D98580" w14:textId="77777777" w:rsidR="005A40EC" w:rsidRPr="0026653F" w:rsidRDefault="005A40EC" w:rsidP="00C618DD">
      <w:pPr>
        <w:suppressAutoHyphens/>
        <w:rPr>
          <w:szCs w:val="22"/>
          <w:lang w:val="fr-FR"/>
        </w:rPr>
      </w:pPr>
    </w:p>
    <w:p w14:paraId="3BE33FCA" w14:textId="557FC053" w:rsidR="005A40EC" w:rsidRPr="0026653F" w:rsidRDefault="005A40EC" w:rsidP="00C618DD">
      <w:pPr>
        <w:suppressAutoHyphens/>
        <w:rPr>
          <w:color w:val="000000"/>
          <w:szCs w:val="22"/>
          <w:lang w:val="fr-FR"/>
        </w:rPr>
      </w:pPr>
      <w:r w:rsidRPr="0026653F">
        <w:rPr>
          <w:color w:val="000000"/>
          <w:szCs w:val="22"/>
          <w:lang w:val="fr-FR"/>
        </w:rPr>
        <w:tab/>
        <w:t>25.</w:t>
      </w:r>
      <w:r w:rsidRPr="0026653F">
        <w:rPr>
          <w:color w:val="000000"/>
          <w:szCs w:val="22"/>
          <w:lang w:val="fr-FR"/>
        </w:rPr>
        <w:tab/>
        <w:t xml:space="preserve">D’encourager les États membres à continuer de renforcer les contributions et les engagements pris sous la direction des </w:t>
      </w:r>
      <w:r w:rsidR="00167129" w:rsidRPr="0026653F">
        <w:rPr>
          <w:color w:val="000000"/>
          <w:szCs w:val="22"/>
          <w:lang w:val="fr-FR"/>
        </w:rPr>
        <w:t xml:space="preserve">responsables </w:t>
      </w:r>
      <w:r w:rsidRPr="0026653F">
        <w:rPr>
          <w:color w:val="000000"/>
          <w:szCs w:val="22"/>
          <w:lang w:val="fr-FR"/>
        </w:rPr>
        <w:t xml:space="preserve">des groupes de travail respectifs afin de concrétiser cette approche systémique et intégrée </w:t>
      </w:r>
      <w:r w:rsidR="00167129" w:rsidRPr="0026653F">
        <w:rPr>
          <w:color w:val="000000"/>
          <w:szCs w:val="22"/>
          <w:lang w:val="fr-FR"/>
        </w:rPr>
        <w:t>d</w:t>
      </w:r>
      <w:r w:rsidRPr="0026653F">
        <w:rPr>
          <w:color w:val="000000"/>
          <w:szCs w:val="22"/>
          <w:lang w:val="fr-FR"/>
        </w:rPr>
        <w:t xml:space="preserve">u processus de dialogue politique, dont les incidences se traduisent par le renforcement des politiques publiques dans la région et </w:t>
      </w:r>
      <w:r w:rsidR="00167129" w:rsidRPr="0026653F">
        <w:rPr>
          <w:color w:val="000000"/>
          <w:szCs w:val="22"/>
          <w:lang w:val="fr-FR"/>
        </w:rPr>
        <w:t xml:space="preserve">sont illustrées dans les </w:t>
      </w:r>
      <w:r w:rsidRPr="0026653F">
        <w:rPr>
          <w:color w:val="000000"/>
          <w:szCs w:val="22"/>
          <w:lang w:val="fr-FR"/>
        </w:rPr>
        <w:t>programmes et initiatives locaux et régionaux.</w:t>
      </w:r>
    </w:p>
    <w:p w14:paraId="1812FC61" w14:textId="77777777" w:rsidR="005A40EC" w:rsidRPr="0026653F" w:rsidRDefault="005A40EC" w:rsidP="00C618DD">
      <w:pPr>
        <w:suppressAutoHyphens/>
        <w:rPr>
          <w:szCs w:val="22"/>
          <w:lang w:val="fr-FR"/>
        </w:rPr>
      </w:pPr>
    </w:p>
    <w:p w14:paraId="2B68E078" w14:textId="28383FD7" w:rsidR="005A40EC" w:rsidRPr="0026653F" w:rsidRDefault="005A40EC" w:rsidP="00C618DD">
      <w:pPr>
        <w:suppressAutoHyphens/>
        <w:ind w:firstLine="747"/>
        <w:rPr>
          <w:color w:val="000000"/>
          <w:szCs w:val="22"/>
          <w:lang w:val="fr-FR"/>
        </w:rPr>
      </w:pPr>
      <w:r w:rsidRPr="0026653F">
        <w:rPr>
          <w:color w:val="000000"/>
          <w:szCs w:val="22"/>
          <w:lang w:val="fr-FR"/>
        </w:rPr>
        <w:t>26.</w:t>
      </w:r>
      <w:r w:rsidRPr="0026653F">
        <w:rPr>
          <w:color w:val="000000"/>
          <w:szCs w:val="22"/>
          <w:lang w:val="fr-FR"/>
        </w:rPr>
        <w:tab/>
        <w:t xml:space="preserve">De charger le SEDI, en tant que </w:t>
      </w:r>
      <w:r w:rsidR="000213F7" w:rsidRPr="0026653F">
        <w:rPr>
          <w:color w:val="000000"/>
          <w:szCs w:val="22"/>
          <w:lang w:val="fr-FR"/>
        </w:rPr>
        <w:t>s</w:t>
      </w:r>
      <w:r w:rsidRPr="0026653F">
        <w:rPr>
          <w:color w:val="000000"/>
          <w:szCs w:val="22"/>
          <w:lang w:val="fr-FR"/>
        </w:rPr>
        <w:t>ecrétariat technique de la CIE, de commencer à planifier la deuxième phase du Programme interaméricain d’éducation en proposant des lignes directrices pour la prochaine période quinquennale</w:t>
      </w:r>
      <w:r w:rsidR="00927DEA" w:rsidRPr="0026653F">
        <w:rPr>
          <w:color w:val="000000"/>
          <w:szCs w:val="22"/>
          <w:lang w:val="fr-FR"/>
        </w:rPr>
        <w:t xml:space="preserve"> (</w:t>
      </w:r>
      <w:r w:rsidRPr="0026653F">
        <w:rPr>
          <w:color w:val="000000"/>
          <w:szCs w:val="22"/>
          <w:lang w:val="fr-FR"/>
        </w:rPr>
        <w:t>2022-2027</w:t>
      </w:r>
      <w:r w:rsidR="00927DEA" w:rsidRPr="0026653F">
        <w:rPr>
          <w:color w:val="000000"/>
          <w:szCs w:val="22"/>
          <w:lang w:val="fr-FR"/>
        </w:rPr>
        <w:t>)</w:t>
      </w:r>
      <w:r w:rsidRPr="0026653F">
        <w:rPr>
          <w:color w:val="000000"/>
          <w:szCs w:val="22"/>
          <w:lang w:val="fr-FR"/>
        </w:rPr>
        <w:t>.</w:t>
      </w:r>
    </w:p>
    <w:p w14:paraId="71781D27" w14:textId="77777777" w:rsidR="005A40EC" w:rsidRPr="0026653F" w:rsidRDefault="005A40EC" w:rsidP="00C618DD">
      <w:pPr>
        <w:suppressAutoHyphens/>
        <w:rPr>
          <w:szCs w:val="22"/>
          <w:lang w:val="fr-FR"/>
        </w:rPr>
      </w:pPr>
    </w:p>
    <w:p w14:paraId="28035EE6" w14:textId="696003D9" w:rsidR="005A40EC" w:rsidRPr="0026653F" w:rsidRDefault="005A40EC" w:rsidP="00C618DD">
      <w:pPr>
        <w:suppressAutoHyphens/>
        <w:ind w:firstLine="693"/>
        <w:rPr>
          <w:color w:val="000000"/>
          <w:szCs w:val="22"/>
          <w:lang w:val="fr-FR"/>
        </w:rPr>
      </w:pPr>
      <w:r w:rsidRPr="0026653F">
        <w:rPr>
          <w:color w:val="000000"/>
          <w:szCs w:val="22"/>
          <w:lang w:val="fr-FR"/>
        </w:rPr>
        <w:t>27.</w:t>
      </w:r>
      <w:r w:rsidRPr="0026653F">
        <w:rPr>
          <w:color w:val="000000"/>
          <w:szCs w:val="22"/>
          <w:lang w:val="fr-FR"/>
        </w:rPr>
        <w:tab/>
        <w:t>De soutenir les États membres dans la réalisation de leurs objectifs de développement et de consolidation du capital humain par le renforcement des programmes de bourses d’études</w:t>
      </w:r>
      <w:r w:rsidR="00167129" w:rsidRPr="0026653F">
        <w:rPr>
          <w:color w:val="000000"/>
          <w:szCs w:val="22"/>
          <w:lang w:val="fr-FR"/>
        </w:rPr>
        <w:t xml:space="preserve"> et</w:t>
      </w:r>
      <w:r w:rsidRPr="0026653F">
        <w:rPr>
          <w:color w:val="000000"/>
          <w:szCs w:val="22"/>
          <w:lang w:val="fr-FR"/>
        </w:rPr>
        <w:t xml:space="preserve"> de perfectionnement de l’OEA, qui comprennent des 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pour accéder à l’emploi et s’y maintenir dans le contexte de la période post-COVID</w:t>
      </w:r>
      <w:r w:rsidR="00927DEA" w:rsidRPr="0026653F">
        <w:rPr>
          <w:color w:val="000000"/>
          <w:szCs w:val="22"/>
          <w:lang w:val="fr-FR"/>
        </w:rPr>
        <w:t>-19</w:t>
      </w:r>
      <w:r w:rsidR="00133366" w:rsidRPr="0026653F">
        <w:rPr>
          <w:color w:val="000000"/>
          <w:szCs w:val="22"/>
          <w:lang w:val="fr-FR"/>
        </w:rPr>
        <w:t>, et d</w:t>
      </w:r>
      <w:r w:rsidRPr="0026653F">
        <w:rPr>
          <w:color w:val="000000"/>
          <w:szCs w:val="22"/>
          <w:lang w:val="fr-FR"/>
        </w:rPr>
        <w:t xml:space="preserve">e charger le SEDI de promouvoir et d’appuyer le Portail éducatif des Amériques et le Réseau interaméricain de formation des enseignants (RIED) en tant qu’outils de formation et de développement humain, en encourageant la continuité des efforts visant à assurer l’efficacité, l’impact et la durabilité de ces programmes dans la région, en </w:t>
      </w:r>
      <w:r w:rsidR="00927DEA" w:rsidRPr="0026653F">
        <w:rPr>
          <w:color w:val="000000"/>
          <w:szCs w:val="22"/>
          <w:lang w:val="fr-FR"/>
        </w:rPr>
        <w:t>m</w:t>
      </w:r>
      <w:r w:rsidRPr="0026653F">
        <w:rPr>
          <w:color w:val="000000"/>
          <w:szCs w:val="22"/>
          <w:lang w:val="fr-FR"/>
        </w:rPr>
        <w:t>ettant l’accent sur l’innovation technologique, l’éducation ou la formation virtuelle.</w:t>
      </w:r>
    </w:p>
    <w:p w14:paraId="245C6F9A" w14:textId="77777777" w:rsidR="005A40EC" w:rsidRPr="0026653F" w:rsidRDefault="005A40EC" w:rsidP="00C618DD">
      <w:pPr>
        <w:suppressAutoHyphens/>
        <w:rPr>
          <w:szCs w:val="22"/>
          <w:lang w:val="fr-FR"/>
        </w:rPr>
      </w:pPr>
    </w:p>
    <w:p w14:paraId="09323CD1" w14:textId="256A1340" w:rsidR="005A40EC" w:rsidRPr="0026653F" w:rsidRDefault="005A40EC" w:rsidP="00C618DD">
      <w:pPr>
        <w:suppressAutoHyphens/>
        <w:ind w:firstLine="727"/>
        <w:rPr>
          <w:color w:val="000000"/>
          <w:szCs w:val="22"/>
          <w:shd w:val="clear" w:color="auto" w:fill="00FFFF"/>
          <w:lang w:val="fr-FR"/>
        </w:rPr>
      </w:pPr>
      <w:r w:rsidRPr="0026653F">
        <w:rPr>
          <w:color w:val="000000"/>
          <w:szCs w:val="22"/>
          <w:lang w:val="fr-FR"/>
        </w:rPr>
        <w:t>28.</w:t>
      </w:r>
      <w:r w:rsidRPr="0026653F">
        <w:rPr>
          <w:color w:val="000000"/>
          <w:szCs w:val="22"/>
          <w:lang w:val="fr-FR"/>
        </w:rPr>
        <w:tab/>
        <w:t>De réitérer l’instruction donné</w:t>
      </w:r>
      <w:r w:rsidR="00927DEA" w:rsidRPr="0026653F">
        <w:rPr>
          <w:color w:val="000000"/>
          <w:szCs w:val="22"/>
          <w:lang w:val="fr-FR"/>
        </w:rPr>
        <w:t>e</w:t>
      </w:r>
      <w:r w:rsidRPr="0026653F">
        <w:rPr>
          <w:color w:val="000000"/>
          <w:szCs w:val="22"/>
          <w:lang w:val="fr-FR"/>
        </w:rPr>
        <w:t xml:space="preserve"> </w:t>
      </w:r>
      <w:r w:rsidR="00927DEA" w:rsidRPr="0026653F">
        <w:rPr>
          <w:color w:val="000000"/>
          <w:szCs w:val="22"/>
          <w:lang w:val="fr-FR"/>
        </w:rPr>
        <w:t>au</w:t>
      </w:r>
      <w:r w:rsidRPr="0026653F">
        <w:rPr>
          <w:color w:val="000000"/>
          <w:szCs w:val="22"/>
          <w:lang w:val="fr-FR"/>
        </w:rPr>
        <w:t xml:space="preserve"> SEDI de promouvoir et d’élargir le consortium d’universités de l’OEA, en mettant l’accent sur les universités nationales/</w:t>
      </w:r>
      <w:r w:rsidR="00386609" w:rsidRPr="0026653F">
        <w:rPr>
          <w:color w:val="000000"/>
          <w:szCs w:val="22"/>
          <w:lang w:val="fr-FR"/>
        </w:rPr>
        <w:t>d’État</w:t>
      </w:r>
      <w:r w:rsidRPr="0026653F">
        <w:rPr>
          <w:color w:val="000000"/>
          <w:szCs w:val="22"/>
          <w:lang w:val="fr-FR"/>
        </w:rPr>
        <w:t xml:space="preserve">, les institutions </w:t>
      </w:r>
      <w:r w:rsidR="00386609" w:rsidRPr="0026653F">
        <w:rPr>
          <w:color w:val="000000"/>
          <w:szCs w:val="22"/>
          <w:lang w:val="fr-FR"/>
        </w:rPr>
        <w:t xml:space="preserve">de formation </w:t>
      </w:r>
      <w:r w:rsidRPr="0026653F">
        <w:rPr>
          <w:color w:val="000000"/>
          <w:szCs w:val="22"/>
          <w:lang w:val="fr-FR"/>
        </w:rPr>
        <w:t>technique et professionnelle et les établissements d’enseignement en Amérique latine et dans les Caraïbes.</w:t>
      </w:r>
    </w:p>
    <w:p w14:paraId="6753D78B" w14:textId="77777777" w:rsidR="005A40EC" w:rsidRPr="0026653F" w:rsidRDefault="005A40EC" w:rsidP="00C618DD">
      <w:pPr>
        <w:suppressAutoHyphens/>
        <w:rPr>
          <w:szCs w:val="22"/>
          <w:lang w:val="fr-FR"/>
        </w:rPr>
      </w:pPr>
    </w:p>
    <w:p w14:paraId="1680E37D" w14:textId="23809E0F" w:rsidR="005A40EC" w:rsidRPr="0026653F" w:rsidRDefault="005A40EC" w:rsidP="00C618DD">
      <w:pPr>
        <w:suppressAutoHyphens/>
        <w:ind w:firstLine="720"/>
        <w:rPr>
          <w:color w:val="000000"/>
          <w:szCs w:val="22"/>
          <w:lang w:val="fr-FR"/>
        </w:rPr>
      </w:pPr>
      <w:r w:rsidRPr="0026653F">
        <w:rPr>
          <w:color w:val="000000"/>
          <w:szCs w:val="22"/>
          <w:lang w:val="fr-FR"/>
        </w:rPr>
        <w:t>29.</w:t>
      </w:r>
      <w:r w:rsidRPr="0026653F">
        <w:rPr>
          <w:color w:val="000000"/>
          <w:szCs w:val="22"/>
          <w:lang w:val="fr-FR"/>
        </w:rPr>
        <w:tab/>
        <w:t>De charger le Secrétariat de la C</w:t>
      </w:r>
      <w:r w:rsidR="00386609" w:rsidRPr="0026653F">
        <w:rPr>
          <w:color w:val="000000"/>
          <w:szCs w:val="22"/>
          <w:lang w:val="fr-FR"/>
        </w:rPr>
        <w:t>IP</w:t>
      </w:r>
      <w:r w:rsidRPr="0026653F">
        <w:rPr>
          <w:color w:val="000000"/>
          <w:szCs w:val="22"/>
          <w:lang w:val="fr-FR"/>
        </w:rPr>
        <w:t xml:space="preserve"> de continuer d’œuvrer, conformément au Plan d’action de Mexico 2018-2020 de la CIP et en collaboration avec ses membres et partenaires stratégiques, pour offrir des possibilités de développement professionnel et de renforcement des capacités, dans les quatre langues officielles de l’OEA, dans la mesure du possible, aux responsables du secteur portuaire dans les Amériques, en contribuant ainsi au renforcement des partenariats </w:t>
      </w:r>
      <w:r w:rsidR="00386609" w:rsidRPr="0026653F">
        <w:rPr>
          <w:color w:val="000000"/>
          <w:szCs w:val="22"/>
          <w:lang w:val="fr-FR"/>
        </w:rPr>
        <w:t>en place</w:t>
      </w:r>
      <w:r w:rsidRPr="0026653F">
        <w:rPr>
          <w:color w:val="000000"/>
          <w:szCs w:val="22"/>
          <w:lang w:val="fr-FR"/>
        </w:rPr>
        <w:t xml:space="preserve"> dans le secteur.</w:t>
      </w:r>
    </w:p>
    <w:p w14:paraId="69A3ECC7" w14:textId="77777777" w:rsidR="005A40EC" w:rsidRPr="0026653F" w:rsidRDefault="005A40EC" w:rsidP="00C618DD">
      <w:pPr>
        <w:suppressAutoHyphens/>
        <w:rPr>
          <w:szCs w:val="22"/>
          <w:lang w:val="fr-FR"/>
        </w:rPr>
      </w:pPr>
    </w:p>
    <w:p w14:paraId="50BF7B3D" w14:textId="77777777" w:rsidR="005A40EC" w:rsidRPr="0026653F" w:rsidRDefault="005A40EC" w:rsidP="00C618DD">
      <w:pPr>
        <w:keepNext/>
        <w:suppressAutoHyphens/>
        <w:ind w:left="720" w:hanging="720"/>
        <w:rPr>
          <w:szCs w:val="22"/>
          <w:lang w:val="fr-FR"/>
        </w:rPr>
      </w:pPr>
      <w:r w:rsidRPr="0026653F">
        <w:rPr>
          <w:color w:val="000000"/>
          <w:szCs w:val="22"/>
          <w:lang w:val="fr-FR"/>
        </w:rPr>
        <w:lastRenderedPageBreak/>
        <w:t>IV.</w:t>
      </w:r>
      <w:r w:rsidRPr="0026653F">
        <w:rPr>
          <w:color w:val="000000"/>
          <w:szCs w:val="22"/>
          <w:lang w:val="fr-FR"/>
        </w:rPr>
        <w:tab/>
      </w:r>
      <w:r w:rsidRPr="0026653F">
        <w:rPr>
          <w:szCs w:val="22"/>
          <w:lang w:val="fr-FR"/>
        </w:rPr>
        <w:t>LIGNE STRATÉGIQUE « PROMOUVOIR LE TRAVAIL DÉCENT, DIGNE ET PRODUCTIF POUR TOUS »</w:t>
      </w:r>
    </w:p>
    <w:p w14:paraId="5CE7B10B" w14:textId="77777777" w:rsidR="005A40EC" w:rsidRPr="0026653F" w:rsidRDefault="005A40EC" w:rsidP="00C618DD">
      <w:pPr>
        <w:keepNext/>
        <w:suppressAutoHyphens/>
        <w:rPr>
          <w:szCs w:val="22"/>
          <w:lang w:val="fr-FR"/>
        </w:rPr>
      </w:pPr>
    </w:p>
    <w:p w14:paraId="3F7FE3B0" w14:textId="4EC75DE9" w:rsidR="005A40EC" w:rsidRPr="0026653F" w:rsidRDefault="005A40EC" w:rsidP="00C618DD">
      <w:pPr>
        <w:suppressAutoHyphens/>
        <w:ind w:firstLine="720"/>
        <w:rPr>
          <w:color w:val="000000"/>
          <w:szCs w:val="22"/>
          <w:lang w:val="fr-FR"/>
        </w:rPr>
      </w:pPr>
      <w:r w:rsidRPr="0026653F">
        <w:rPr>
          <w:color w:val="000000"/>
          <w:szCs w:val="22"/>
          <w:lang w:val="fr-FR"/>
        </w:rPr>
        <w:t>30.</w:t>
      </w:r>
      <w:r w:rsidRPr="0026653F">
        <w:rPr>
          <w:color w:val="000000"/>
          <w:szCs w:val="22"/>
          <w:lang w:val="fr-FR"/>
        </w:rPr>
        <w:tab/>
      </w:r>
      <w:r w:rsidR="00386609" w:rsidRPr="0026653F">
        <w:rPr>
          <w:color w:val="000000"/>
          <w:szCs w:val="22"/>
          <w:lang w:val="fr-FR"/>
        </w:rPr>
        <w:t>De p</w:t>
      </w:r>
      <w:r w:rsidRPr="0026653F">
        <w:rPr>
          <w:color w:val="000000"/>
          <w:szCs w:val="22"/>
          <w:lang w:val="fr-FR"/>
        </w:rPr>
        <w:t>rendre note des mises à jour apportées au Plan de travail 2018-2020 de la Conférence interaméricaine des ministres du travail (CIMT) en février et en mai 2020 (</w:t>
      </w:r>
      <w:bookmarkStart w:id="33" w:name="_Hlk64643552"/>
      <w:r w:rsidR="00060867" w:rsidRPr="0026653F">
        <w:rPr>
          <w:lang w:val="fr-FR"/>
        </w:rPr>
        <w:fldChar w:fldCharType="begin"/>
      </w:r>
      <w:r w:rsidR="00060867" w:rsidRPr="0026653F">
        <w:rPr>
          <w:lang w:val="fr-FR"/>
        </w:rPr>
        <w:instrText xml:space="preserve"> HYPERLINK "http://scm.oas.org/doc_public/SPANISH/HIST_20/CIDTR00310S02.doc" </w:instrText>
      </w:r>
      <w:r w:rsidR="00060867" w:rsidRPr="0026653F">
        <w:rPr>
          <w:lang w:val="fr-FR"/>
        </w:rPr>
        <w:fldChar w:fldCharType="separate"/>
      </w:r>
      <w:r w:rsidRPr="0026653F">
        <w:rPr>
          <w:color w:val="0000FF"/>
          <w:szCs w:val="22"/>
          <w:u w:val="single"/>
          <w:lang w:val="fr-FR"/>
        </w:rPr>
        <w:t>CIMT-20/GT1-GT2/doc.12/20</w:t>
      </w:r>
      <w:r w:rsidR="00060867" w:rsidRPr="0026653F">
        <w:rPr>
          <w:color w:val="0000FF"/>
          <w:szCs w:val="22"/>
          <w:u w:val="single"/>
          <w:lang w:val="fr-FR"/>
        </w:rPr>
        <w:fldChar w:fldCharType="end"/>
      </w:r>
      <w:bookmarkEnd w:id="33"/>
      <w:r w:rsidRPr="0026653F">
        <w:rPr>
          <w:color w:val="000000"/>
          <w:szCs w:val="22"/>
          <w:lang w:val="fr-FR"/>
        </w:rPr>
        <w:t>) en tenant compte de la pandémie actuelle</w:t>
      </w:r>
      <w:r w:rsidR="0095096B" w:rsidRPr="0026653F">
        <w:rPr>
          <w:color w:val="000000"/>
          <w:szCs w:val="22"/>
          <w:lang w:val="fr-FR"/>
        </w:rPr>
        <w:t xml:space="preserve"> de COVID-19</w:t>
      </w:r>
      <w:r w:rsidRPr="0026653F">
        <w:rPr>
          <w:color w:val="000000"/>
          <w:szCs w:val="22"/>
          <w:lang w:val="fr-FR"/>
        </w:rPr>
        <w:t>.</w:t>
      </w:r>
    </w:p>
    <w:p w14:paraId="284EB7F9" w14:textId="77777777" w:rsidR="005A40EC" w:rsidRPr="0026653F" w:rsidRDefault="005A40EC" w:rsidP="00C618DD">
      <w:pPr>
        <w:suppressAutoHyphens/>
        <w:rPr>
          <w:color w:val="000000"/>
          <w:szCs w:val="22"/>
          <w:lang w:val="fr-FR"/>
        </w:rPr>
      </w:pPr>
    </w:p>
    <w:p w14:paraId="6EF4878C" w14:textId="10323685" w:rsidR="005A40EC" w:rsidRPr="0026653F" w:rsidRDefault="005A40EC" w:rsidP="00C618DD">
      <w:pPr>
        <w:suppressAutoHyphens/>
        <w:ind w:firstLine="720"/>
        <w:rPr>
          <w:szCs w:val="22"/>
          <w:lang w:val="fr-FR"/>
        </w:rPr>
      </w:pPr>
      <w:r w:rsidRPr="0026653F">
        <w:rPr>
          <w:color w:val="000000"/>
          <w:szCs w:val="22"/>
          <w:lang w:val="fr-FR"/>
        </w:rPr>
        <w:t>31.</w:t>
      </w:r>
      <w:r w:rsidRPr="0026653F">
        <w:rPr>
          <w:color w:val="000000"/>
          <w:szCs w:val="22"/>
          <w:lang w:val="fr-FR"/>
        </w:rPr>
        <w:tab/>
        <w:t>De charger le SEDI de continuer à soutenir la mise en œuvre du Plan de Travail 2018-2020 de la CIMT et son objectif de parvenir à un emploi décent, digne et productif pour tous par le biais d’initiatives de coopération régionale</w:t>
      </w:r>
      <w:r w:rsidR="00386609" w:rsidRPr="0026653F">
        <w:rPr>
          <w:color w:val="000000"/>
          <w:szCs w:val="22"/>
          <w:lang w:val="fr-FR"/>
        </w:rPr>
        <w:t xml:space="preserve"> et bilatérale</w:t>
      </w:r>
      <w:r w:rsidRPr="0026653F">
        <w:rPr>
          <w:color w:val="000000"/>
          <w:szCs w:val="22"/>
          <w:lang w:val="fr-FR"/>
        </w:rPr>
        <w:t xml:space="preserve">, y compris le renforcement institutionnel des ministères du travail, et de continuer à fournir des conseils techniques sur les questions prioritaires identifiées par ses groupes de travail </w:t>
      </w:r>
      <w:r w:rsidR="00167129" w:rsidRPr="0026653F">
        <w:rPr>
          <w:color w:val="000000"/>
          <w:szCs w:val="22"/>
          <w:lang w:val="fr-FR"/>
        </w:rPr>
        <w:t>et les</w:t>
      </w:r>
      <w:r w:rsidRPr="0026653F">
        <w:rPr>
          <w:color w:val="000000"/>
          <w:szCs w:val="22"/>
          <w:lang w:val="fr-FR"/>
        </w:rPr>
        <w:t xml:space="preserve"> répercussions de la pandémie de COVID-19 sur le marché du travail.</w:t>
      </w:r>
    </w:p>
    <w:p w14:paraId="3600F9A0" w14:textId="77777777" w:rsidR="005A40EC" w:rsidRPr="0026653F" w:rsidRDefault="005A40EC" w:rsidP="00C618DD">
      <w:pPr>
        <w:shd w:val="clear" w:color="auto" w:fill="FFFFFF"/>
        <w:suppressAutoHyphens/>
        <w:rPr>
          <w:color w:val="000000"/>
          <w:szCs w:val="22"/>
          <w:lang w:val="fr-FR"/>
        </w:rPr>
      </w:pPr>
    </w:p>
    <w:p w14:paraId="5E753B07" w14:textId="489775C3" w:rsidR="005A40EC" w:rsidRPr="0026653F" w:rsidRDefault="005A40EC" w:rsidP="00C618DD">
      <w:pPr>
        <w:shd w:val="clear" w:color="auto" w:fill="FFFFFF"/>
        <w:suppressAutoHyphens/>
        <w:ind w:firstLine="720"/>
        <w:rPr>
          <w:szCs w:val="22"/>
          <w:lang w:val="fr-FR"/>
        </w:rPr>
      </w:pPr>
      <w:r w:rsidRPr="0026653F">
        <w:rPr>
          <w:color w:val="000000"/>
          <w:szCs w:val="22"/>
          <w:lang w:val="fr-FR"/>
        </w:rPr>
        <w:t>32.</w:t>
      </w:r>
      <w:r w:rsidRPr="0026653F">
        <w:rPr>
          <w:color w:val="000000"/>
          <w:szCs w:val="22"/>
          <w:lang w:val="fr-FR"/>
        </w:rPr>
        <w:tab/>
        <w:t>De charger le SEDI de soutenir les États membres, par le biais d</w:t>
      </w:r>
      <w:r w:rsidR="00386609" w:rsidRPr="0026653F">
        <w:rPr>
          <w:color w:val="000000"/>
          <w:szCs w:val="22"/>
          <w:lang w:val="fr-FR"/>
        </w:rPr>
        <w:t>u</w:t>
      </w:r>
      <w:r w:rsidRPr="0026653F">
        <w:rPr>
          <w:color w:val="000000"/>
          <w:szCs w:val="22"/>
          <w:lang w:val="fr-FR"/>
        </w:rPr>
        <w:t xml:space="preserve"> R</w:t>
      </w:r>
      <w:r w:rsidR="00386609" w:rsidRPr="0026653F">
        <w:rPr>
          <w:color w:val="000000"/>
          <w:szCs w:val="22"/>
          <w:lang w:val="fr-FR"/>
        </w:rPr>
        <w:t>éseau interaméricain de l’administration dans le domaine du travail</w:t>
      </w:r>
      <w:r w:rsidRPr="0026653F">
        <w:rPr>
          <w:color w:val="000000"/>
          <w:szCs w:val="22"/>
          <w:lang w:val="fr-FR"/>
        </w:rPr>
        <w:t>, dans le partage de données d’expériences relatives aux mesures visant à promouvoir le travail décent et l’emploi productif, y compris des questions telles que l’emploi des jeunes, le renforcement des systèmes de protection sociale et la promotion d’un vieillissement digne.</w:t>
      </w:r>
    </w:p>
    <w:p w14:paraId="52665575" w14:textId="77777777" w:rsidR="005A40EC" w:rsidRPr="0026653F" w:rsidRDefault="005A40EC" w:rsidP="00C618DD">
      <w:pPr>
        <w:suppressAutoHyphens/>
        <w:rPr>
          <w:szCs w:val="22"/>
          <w:lang w:val="fr-FR"/>
        </w:rPr>
      </w:pPr>
    </w:p>
    <w:p w14:paraId="3AE94225" w14:textId="77777777" w:rsidR="005A40EC" w:rsidRPr="0026653F" w:rsidRDefault="005A40EC" w:rsidP="00C618DD">
      <w:pPr>
        <w:suppressAutoHyphens/>
        <w:ind w:firstLine="696"/>
        <w:rPr>
          <w:color w:val="000000"/>
          <w:szCs w:val="22"/>
          <w:lang w:val="fr-FR"/>
        </w:rPr>
      </w:pPr>
      <w:r w:rsidRPr="0026653F">
        <w:rPr>
          <w:color w:val="000000"/>
          <w:szCs w:val="22"/>
          <w:lang w:val="fr-FR"/>
        </w:rPr>
        <w:t xml:space="preserve">33. </w:t>
      </w:r>
      <w:r w:rsidRPr="0026653F">
        <w:rPr>
          <w:color w:val="000000"/>
          <w:szCs w:val="22"/>
          <w:lang w:val="fr-FR"/>
        </w:rPr>
        <w:tab/>
        <w:t>D’encourager les États membres à élaborer des politiques et des programmes qui favorisent la reprise économique et la promotion du travail décent et de l’emploi productif, en particulier pour les travailleurs qui ont perdu leur emploi à la suite de la pandémie de COVID-19.</w:t>
      </w:r>
    </w:p>
    <w:p w14:paraId="219B5AB6" w14:textId="77777777" w:rsidR="005A40EC" w:rsidRPr="0026653F" w:rsidRDefault="005A40EC" w:rsidP="00C618DD">
      <w:pPr>
        <w:suppressAutoHyphens/>
        <w:rPr>
          <w:szCs w:val="22"/>
          <w:lang w:val="fr-FR"/>
        </w:rPr>
      </w:pPr>
    </w:p>
    <w:p w14:paraId="5FF3C6B7" w14:textId="183C7374" w:rsidR="005A40EC" w:rsidRPr="0026653F" w:rsidRDefault="005A40EC" w:rsidP="00C618DD">
      <w:pPr>
        <w:suppressAutoHyphens/>
        <w:ind w:left="720" w:hanging="720"/>
        <w:rPr>
          <w:color w:val="000000"/>
          <w:szCs w:val="22"/>
          <w:lang w:val="fr-FR"/>
        </w:rPr>
      </w:pPr>
      <w:r w:rsidRPr="0026653F">
        <w:rPr>
          <w:color w:val="000000"/>
          <w:szCs w:val="22"/>
          <w:lang w:val="fr-FR"/>
        </w:rPr>
        <w:t>V.</w:t>
      </w:r>
      <w:r w:rsidRPr="0026653F">
        <w:rPr>
          <w:color w:val="000000"/>
          <w:szCs w:val="22"/>
          <w:lang w:val="fr-FR"/>
        </w:rPr>
        <w:tab/>
      </w:r>
      <w:r w:rsidRPr="0026653F">
        <w:rPr>
          <w:szCs w:val="22"/>
          <w:lang w:val="fr-FR"/>
        </w:rPr>
        <w:t xml:space="preserve">LIGNE STRATÉGIQUE « ENCOURAGER LA PROMOTION ET LA PROTECTION DES DROITS HUMAINS DES MIGRANTS, Y COMPRIS LES TRAVAILLEURS MIGRANTS ET LEURS FAMILLES, CONFORMÉMENT AU PROGRAMME INTERAMÉRICAIN </w:t>
      </w:r>
      <w:r w:rsidR="004A5931">
        <w:rPr>
          <w:szCs w:val="22"/>
          <w:lang w:val="fr-FR"/>
        </w:rPr>
        <w:br/>
      </w:r>
      <w:r w:rsidRPr="0026653F">
        <w:rPr>
          <w:szCs w:val="22"/>
          <w:lang w:val="fr-FR"/>
        </w:rPr>
        <w:t>EN LA MATIÈRE, AFIN D’ENCOURAGER LEUR CONTRIBUTION AU DÉVELOPPEMENT »</w:t>
      </w:r>
    </w:p>
    <w:p w14:paraId="261B4914" w14:textId="77777777" w:rsidR="005A40EC" w:rsidRPr="0026653F" w:rsidRDefault="005A40EC" w:rsidP="00C618DD">
      <w:pPr>
        <w:rPr>
          <w:color w:val="000000"/>
          <w:szCs w:val="22"/>
          <w:lang w:val="fr-FR"/>
        </w:rPr>
      </w:pPr>
    </w:p>
    <w:p w14:paraId="7FCF3BA2" w14:textId="6225DFFD"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De reconnaître qu’il importe que la migration se déroule d’une manière sûre, ordonnée et régulière et qu</w:t>
      </w:r>
      <w:r w:rsidR="00D806EE" w:rsidRPr="0026653F">
        <w:rPr>
          <w:rFonts w:eastAsia="MS Mincho"/>
          <w:color w:val="000000"/>
          <w:szCs w:val="22"/>
          <w:lang w:val="fr-FR" w:eastAsia="es-ES_tradnl"/>
        </w:rPr>
        <w:t>’il est nécessaire qu</w:t>
      </w:r>
      <w:r w:rsidRPr="0026653F">
        <w:rPr>
          <w:rFonts w:eastAsia="MS Mincho"/>
          <w:color w:val="000000"/>
          <w:szCs w:val="22"/>
          <w:lang w:val="fr-FR" w:eastAsia="es-ES_tradnl"/>
        </w:rPr>
        <w:t xml:space="preserve">e les États </w:t>
      </w:r>
      <w:r w:rsidR="00D806EE" w:rsidRPr="0026653F">
        <w:rPr>
          <w:rFonts w:eastAsia="MS Mincho"/>
          <w:color w:val="000000"/>
          <w:szCs w:val="22"/>
          <w:lang w:val="fr-FR" w:eastAsia="es-ES_tradnl"/>
        </w:rPr>
        <w:t xml:space="preserve">membres </w:t>
      </w:r>
      <w:r w:rsidRPr="0026653F">
        <w:rPr>
          <w:rFonts w:eastAsia="MS Mincho"/>
          <w:color w:val="000000"/>
          <w:szCs w:val="22"/>
          <w:lang w:val="fr-FR" w:eastAsia="es-ES_tradnl"/>
        </w:rPr>
        <w:t>promeuvent des politiques publiques reposant sur des données factuelles pour aborder les causes structurelles de la migration et réduire les risques liés à la migration irrégulière.</w:t>
      </w:r>
    </w:p>
    <w:p w14:paraId="4C2FBEF8" w14:textId="77777777" w:rsidR="005A40EC" w:rsidRPr="0026653F" w:rsidRDefault="005A40EC" w:rsidP="00C618DD">
      <w:pPr>
        <w:rPr>
          <w:rFonts w:eastAsia="MS Mincho"/>
          <w:color w:val="000000"/>
          <w:szCs w:val="22"/>
          <w:lang w:val="fr-FR" w:eastAsia="es-ES_tradnl"/>
        </w:rPr>
      </w:pPr>
    </w:p>
    <w:p w14:paraId="5EBE1984" w14:textId="566F68F7"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D’encourager les pays de la région à établir ou à mettre en œuvre, si nécessaire, des accords de coopération et des protocoles de prise en charge et de protection à l’intention des enfants et des adolescents, accompagnés ou non, en promouvant l’intérêt supérieur de l’enfant, en respectant et en protégeant leurs droits, et en tenant compte des obligations pertinentes qui incombent aux pays en vertu du droit international des droits de la personne</w:t>
      </w:r>
      <w:r w:rsidR="00107D99" w:rsidRPr="0026653F">
        <w:rPr>
          <w:rFonts w:eastAsia="MS Mincho"/>
          <w:color w:val="000000"/>
          <w:szCs w:val="22"/>
          <w:lang w:val="fr-FR" w:eastAsia="es-ES_tradnl"/>
        </w:rPr>
        <w:t>, et d’</w:t>
      </w:r>
      <w:r w:rsidRPr="0026653F">
        <w:rPr>
          <w:rFonts w:eastAsia="MS Mincho"/>
          <w:color w:val="000000"/>
          <w:szCs w:val="22"/>
          <w:lang w:val="fr-FR" w:eastAsia="es-ES_tradnl"/>
        </w:rPr>
        <w:t xml:space="preserve">inviter instamment les États membres à veiller à ce que les enfants et les adolescents accompagnés et non accompagnés reçoivent une assistance spécialisée et une protection dans toute situation </w:t>
      </w:r>
      <w:r w:rsidR="00AE7654" w:rsidRPr="0026653F">
        <w:rPr>
          <w:rFonts w:eastAsia="MS Mincho"/>
          <w:color w:val="000000"/>
          <w:szCs w:val="22"/>
          <w:lang w:val="fr-FR" w:eastAsia="es-ES_tradnl"/>
        </w:rPr>
        <w:t xml:space="preserve">qui </w:t>
      </w:r>
      <w:r w:rsidRPr="0026653F">
        <w:rPr>
          <w:rFonts w:eastAsia="MS Mincho"/>
          <w:color w:val="000000"/>
          <w:szCs w:val="22"/>
          <w:lang w:val="fr-FR" w:eastAsia="es-ES_tradnl"/>
        </w:rPr>
        <w:t xml:space="preserve">les </w:t>
      </w:r>
      <w:r w:rsidR="00AE7654" w:rsidRPr="0026653F">
        <w:rPr>
          <w:rFonts w:eastAsia="MS Mincho"/>
          <w:color w:val="000000"/>
          <w:szCs w:val="22"/>
          <w:lang w:val="fr-FR" w:eastAsia="es-ES_tradnl"/>
        </w:rPr>
        <w:t>affecte</w:t>
      </w:r>
      <w:r w:rsidRPr="0026653F">
        <w:rPr>
          <w:rFonts w:eastAsia="MS Mincho"/>
          <w:color w:val="000000"/>
          <w:szCs w:val="22"/>
          <w:lang w:val="fr-FR" w:eastAsia="es-ES_tradnl"/>
        </w:rPr>
        <w:t>.</w:t>
      </w:r>
    </w:p>
    <w:p w14:paraId="3DE5CC99" w14:textId="77777777" w:rsidR="005A40EC" w:rsidRPr="0026653F" w:rsidRDefault="005A40EC" w:rsidP="00C618DD">
      <w:pPr>
        <w:rPr>
          <w:rFonts w:eastAsia="MS Mincho"/>
          <w:color w:val="000000"/>
          <w:szCs w:val="22"/>
          <w:lang w:val="fr-FR" w:eastAsia="es-ES_tradnl"/>
        </w:rPr>
      </w:pPr>
    </w:p>
    <w:p w14:paraId="33E6D5C9" w14:textId="1837A4C0"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D’exhorter tous les États</w:t>
      </w:r>
      <w:r w:rsidR="0092228A" w:rsidRPr="0026653F">
        <w:rPr>
          <w:rFonts w:eastAsia="MS Mincho"/>
          <w:color w:val="000000"/>
          <w:szCs w:val="22"/>
          <w:lang w:val="fr-FR" w:eastAsia="es-ES_tradnl"/>
        </w:rPr>
        <w:t xml:space="preserve"> membres</w:t>
      </w:r>
      <w:r w:rsidRPr="0026653F">
        <w:rPr>
          <w:rFonts w:eastAsia="MS Mincho"/>
          <w:color w:val="000000"/>
          <w:szCs w:val="22"/>
          <w:lang w:val="fr-FR" w:eastAsia="es-ES_tradnl"/>
        </w:rPr>
        <w:t>, conformément aux obligations pertinentes découlant du droit international des droits de la personne, à renforcer leurs politiques publiques de lutte contre la discrimination, le racisme, la xénophobie, l’intolérance et le discours de supériorité raciale afin de faciliter l’intégration socioéconomique des migrants.</w:t>
      </w:r>
    </w:p>
    <w:p w14:paraId="39A44F72" w14:textId="77777777" w:rsidR="005A40EC" w:rsidRPr="0026653F" w:rsidRDefault="005A40EC" w:rsidP="00C618DD">
      <w:pPr>
        <w:rPr>
          <w:rFonts w:eastAsia="MS Mincho"/>
          <w:color w:val="000000"/>
          <w:szCs w:val="22"/>
          <w:lang w:val="fr-FR" w:eastAsia="es-ES_tradnl"/>
        </w:rPr>
      </w:pPr>
    </w:p>
    <w:p w14:paraId="6F889091" w14:textId="620EC540" w:rsidR="005A40EC" w:rsidRPr="0026653F" w:rsidRDefault="00BE5CFB"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D’inviter instamment</w:t>
      </w:r>
      <w:r w:rsidR="005A40EC" w:rsidRPr="0026653F">
        <w:rPr>
          <w:rFonts w:eastAsia="MS Mincho"/>
          <w:color w:val="000000"/>
          <w:szCs w:val="22"/>
          <w:lang w:val="fr-FR" w:eastAsia="es-ES_tradnl"/>
        </w:rPr>
        <w:t xml:space="preserve"> les États </w:t>
      </w:r>
      <w:r w:rsidR="00D806EE" w:rsidRPr="0026653F">
        <w:rPr>
          <w:rFonts w:eastAsia="MS Mincho"/>
          <w:color w:val="000000"/>
          <w:szCs w:val="22"/>
          <w:lang w:val="fr-FR" w:eastAsia="es-ES_tradnl"/>
        </w:rPr>
        <w:t xml:space="preserve">membres </w:t>
      </w:r>
      <w:r w:rsidR="005A40EC" w:rsidRPr="0026653F">
        <w:rPr>
          <w:rFonts w:eastAsia="MS Mincho"/>
          <w:color w:val="000000"/>
          <w:szCs w:val="22"/>
          <w:lang w:val="fr-FR" w:eastAsia="es-ES_tradnl"/>
        </w:rPr>
        <w:t xml:space="preserve">à renforcer leurs politiques publiques pour lutter contre l’infraction de la traite des personnes et le trafic </w:t>
      </w:r>
      <w:r w:rsidR="00107D99" w:rsidRPr="0026653F">
        <w:rPr>
          <w:rFonts w:eastAsia="MS Mincho"/>
          <w:color w:val="000000"/>
          <w:szCs w:val="22"/>
          <w:lang w:val="fr-FR" w:eastAsia="es-ES_tradnl"/>
        </w:rPr>
        <w:t xml:space="preserve">illicite </w:t>
      </w:r>
      <w:r w:rsidR="005A40EC" w:rsidRPr="0026653F">
        <w:rPr>
          <w:rFonts w:eastAsia="MS Mincho"/>
          <w:color w:val="000000"/>
          <w:szCs w:val="22"/>
          <w:lang w:val="fr-FR" w:eastAsia="es-ES_tradnl"/>
        </w:rPr>
        <w:t>de migrants.</w:t>
      </w:r>
    </w:p>
    <w:p w14:paraId="651F07CE" w14:textId="77777777" w:rsidR="005A40EC" w:rsidRPr="0026653F" w:rsidRDefault="005A40EC" w:rsidP="00C618DD">
      <w:pPr>
        <w:rPr>
          <w:rFonts w:eastAsia="MS Mincho"/>
          <w:color w:val="000000"/>
          <w:szCs w:val="22"/>
          <w:lang w:val="fr-FR" w:eastAsia="es-ES_tradnl"/>
        </w:rPr>
      </w:pPr>
    </w:p>
    <w:p w14:paraId="727B50DC" w14:textId="29B80762"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 xml:space="preserve">De reconnaître qu’il est nécessaire d’éliminer les barrières qui entravent l’accès des migrants, quel que soit leur statut migratoire, aux politiques de prise en charge dans le domaine sanitaire et de prévention des maladies, conformément aux lois nationales et aux obligations internationales, en tenant compte des effets </w:t>
      </w:r>
      <w:r w:rsidR="00107D99" w:rsidRPr="0026653F">
        <w:rPr>
          <w:rFonts w:eastAsia="MS Mincho"/>
          <w:color w:val="000000"/>
          <w:szCs w:val="22"/>
          <w:lang w:val="fr-FR" w:eastAsia="es-ES_tradnl"/>
        </w:rPr>
        <w:t xml:space="preserve">défavorables de </w:t>
      </w:r>
      <w:r w:rsidRPr="0026653F">
        <w:rPr>
          <w:rFonts w:eastAsia="MS Mincho"/>
          <w:color w:val="000000"/>
          <w:szCs w:val="22"/>
          <w:lang w:val="fr-FR" w:eastAsia="es-ES_tradnl"/>
        </w:rPr>
        <w:t>la pandémie de COVID-19 à travers le continent tout entier, en particulier au sein des groupes en situation de vulnérabilité.</w:t>
      </w:r>
    </w:p>
    <w:p w14:paraId="7FD9FEC1" w14:textId="77777777" w:rsidR="005A40EC" w:rsidRPr="0026653F" w:rsidRDefault="005A40EC" w:rsidP="00C618DD">
      <w:pPr>
        <w:rPr>
          <w:rFonts w:eastAsia="MS Mincho"/>
          <w:color w:val="000000"/>
          <w:szCs w:val="22"/>
          <w:lang w:val="fr-FR" w:eastAsia="es-ES_tradnl"/>
        </w:rPr>
      </w:pPr>
    </w:p>
    <w:p w14:paraId="690F359C" w14:textId="6BB20802"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D’encourager les États</w:t>
      </w:r>
      <w:r w:rsidR="00D806EE" w:rsidRPr="0026653F">
        <w:rPr>
          <w:rFonts w:eastAsia="MS Mincho"/>
          <w:color w:val="000000"/>
          <w:szCs w:val="22"/>
          <w:lang w:val="fr-FR" w:eastAsia="es-ES_tradnl"/>
        </w:rPr>
        <w:t xml:space="preserve"> membres</w:t>
      </w:r>
      <w:r w:rsidRPr="0026653F">
        <w:rPr>
          <w:rFonts w:eastAsia="MS Mincho"/>
          <w:color w:val="000000"/>
          <w:szCs w:val="22"/>
          <w:lang w:val="fr-FR" w:eastAsia="es-ES_tradnl"/>
        </w:rPr>
        <w:t xml:space="preserve">, selon une démarche intégrée soucieuse des droits de la personne, à prendre en compte les migrants et leurs familles lors de la formulation et de la mise en œuvre des politiques de lutte contre la pandémie </w:t>
      </w:r>
      <w:r w:rsidR="00107D99" w:rsidRPr="0026653F">
        <w:rPr>
          <w:rFonts w:eastAsia="MS Mincho"/>
          <w:color w:val="000000"/>
          <w:szCs w:val="22"/>
          <w:lang w:val="fr-FR" w:eastAsia="es-ES_tradnl"/>
        </w:rPr>
        <w:t xml:space="preserve">de </w:t>
      </w:r>
      <w:r w:rsidRPr="0026653F">
        <w:rPr>
          <w:rFonts w:eastAsia="MS Mincho"/>
          <w:color w:val="000000"/>
          <w:szCs w:val="22"/>
          <w:lang w:val="fr-FR" w:eastAsia="es-ES_tradnl"/>
        </w:rPr>
        <w:t>COVID-19, en tenant compte des répercussions particulières sur les femmes, les enfants et les adolescents, sur la base des principes d’égalité et de non-discrimination, conformément à la législation nationale de chaque État et à ses obligations internationales.</w:t>
      </w:r>
    </w:p>
    <w:p w14:paraId="0788997C" w14:textId="77777777" w:rsidR="005A40EC" w:rsidRPr="0026653F" w:rsidRDefault="005A40EC" w:rsidP="00C618DD">
      <w:pPr>
        <w:rPr>
          <w:rFonts w:eastAsia="MS Mincho"/>
          <w:color w:val="000000"/>
          <w:szCs w:val="22"/>
          <w:lang w:val="fr-FR" w:eastAsia="es-ES_tradnl"/>
        </w:rPr>
      </w:pPr>
    </w:p>
    <w:p w14:paraId="1E74EE89" w14:textId="5FEC7DF1"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 xml:space="preserve">De reconnaître le travail des mécanismes régionaux existants tels que la Conférence régionale sur la migration, la Conférence sud-américaine sur la migration, les Consultations sur les migrations dans les Caraïbes et le processus de Quito, selon le cas, et de continuer à promouvoir le dialogue et la coopération entre les pays d’origine, de transit et de destination afin d’aborder de manière intégrée les migrations internationales ainsi que leurs causes multiples, par l’échange d’informations, de données d’expériences et de bonnes pratiques, notamment en ce qui a trait à l’impact de la pandémie de COVID-19 sur les migrants et </w:t>
      </w:r>
      <w:r w:rsidR="00107D99" w:rsidRPr="0026653F">
        <w:rPr>
          <w:rFonts w:eastAsia="MS Mincho"/>
          <w:color w:val="000000"/>
          <w:szCs w:val="22"/>
          <w:lang w:val="fr-FR" w:eastAsia="es-ES_tradnl"/>
        </w:rPr>
        <w:t xml:space="preserve">aux </w:t>
      </w:r>
      <w:r w:rsidRPr="0026653F">
        <w:rPr>
          <w:rFonts w:eastAsia="MS Mincho"/>
          <w:color w:val="000000"/>
          <w:szCs w:val="22"/>
          <w:lang w:val="fr-FR" w:eastAsia="es-ES_tradnl"/>
        </w:rPr>
        <w:t>politiques adoptées par les pays de la région dans le contexte actuel.</w:t>
      </w:r>
    </w:p>
    <w:p w14:paraId="06EFB200" w14:textId="77777777" w:rsidR="005A40EC" w:rsidRPr="0026653F" w:rsidRDefault="005A40EC" w:rsidP="00C618DD">
      <w:pPr>
        <w:rPr>
          <w:rFonts w:eastAsia="MS Mincho"/>
          <w:color w:val="000000"/>
          <w:szCs w:val="22"/>
          <w:lang w:val="fr-FR" w:eastAsia="es-ES_tradnl"/>
        </w:rPr>
      </w:pPr>
    </w:p>
    <w:p w14:paraId="348C4E44" w14:textId="0EA85DEC" w:rsidR="005A40EC" w:rsidRPr="004A5931" w:rsidRDefault="005A40EC" w:rsidP="00C618DD">
      <w:pPr>
        <w:numPr>
          <w:ilvl w:val="0"/>
          <w:numId w:val="55"/>
        </w:numPr>
        <w:ind w:left="0" w:firstLine="720"/>
        <w:rPr>
          <w:bCs/>
          <w:color w:val="000000"/>
          <w:szCs w:val="22"/>
          <w:lang w:val="fr-FR"/>
        </w:rPr>
      </w:pPr>
      <w:r w:rsidRPr="0026653F">
        <w:rPr>
          <w:rFonts w:eastAsia="MS Mincho"/>
          <w:color w:val="000000"/>
          <w:szCs w:val="22"/>
          <w:lang w:val="fr-FR" w:eastAsia="es-ES_tradnl"/>
        </w:rPr>
        <w:t>D’encourager des initiatives de coopération internationale pour soutenir les pays d’origine, de transit et de destination des migrants et des réfugiés, notamment ceux venant du Venezuela, et de faciliter, le cas échéant, l’apport à ces groupes d’une assistance humanitaire qui soit humaine, neutre, impartiale et indépendante, ainsi que leur insertion socioéconomique, conformément à la législation nationale et internationale applicable.</w:t>
      </w:r>
    </w:p>
    <w:p w14:paraId="05A35D40" w14:textId="77777777" w:rsidR="005A40EC" w:rsidRPr="0026653F" w:rsidRDefault="005A40EC" w:rsidP="00C618DD">
      <w:pPr>
        <w:rPr>
          <w:rFonts w:eastAsia="MS Mincho"/>
          <w:color w:val="000000"/>
          <w:szCs w:val="22"/>
          <w:lang w:val="fr-FR" w:eastAsia="es-ES_tradnl"/>
        </w:rPr>
      </w:pPr>
    </w:p>
    <w:p w14:paraId="673D0BDB" w14:textId="4F15CB11"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 xml:space="preserve">De souligner l’importance du Système continu pour l’établissement de rapports sur la migration internationale dans les Amériques (SICREMI), un instrument de la région qui sert à produire et analyser des informations sur les flux migratoires, les cadres normatifs et les politiques publiques en matière de migration dans le continent américain. De charger le Secrétariat général de procéder à l’élaboration de la prochaine édition du rapport du SICREMI sous réserve de la disponibilité des ressources et en aménageant des espaces de coordination avec d’autres </w:t>
      </w:r>
      <w:r w:rsidR="00BE5CFB" w:rsidRPr="0026653F">
        <w:rPr>
          <w:rFonts w:eastAsia="MS Mincho"/>
          <w:color w:val="000000"/>
          <w:szCs w:val="22"/>
          <w:lang w:val="fr-FR" w:eastAsia="es-ES_tradnl"/>
        </w:rPr>
        <w:t>entités</w:t>
      </w:r>
      <w:r w:rsidRPr="0026653F">
        <w:rPr>
          <w:rFonts w:eastAsia="MS Mincho"/>
          <w:color w:val="000000"/>
          <w:szCs w:val="22"/>
          <w:lang w:val="fr-FR" w:eastAsia="es-ES_tradnl"/>
        </w:rPr>
        <w:t xml:space="preserve"> du système interaméricain et d’autres acteurs stratégiques. De même, d’encourager les États membres à rejoindre le SICREMI et de les encourager, ainsi que les États observateurs, à envisager de verser des contributions volontaires pour assurer sa viabilité financière.</w:t>
      </w:r>
    </w:p>
    <w:p w14:paraId="2BFCC5D3" w14:textId="77777777" w:rsidR="005A40EC" w:rsidRPr="0026653F" w:rsidRDefault="005A40EC" w:rsidP="00C618DD">
      <w:pPr>
        <w:rPr>
          <w:rFonts w:eastAsia="MS Mincho"/>
          <w:color w:val="000000"/>
          <w:szCs w:val="22"/>
          <w:lang w:val="fr-FR" w:eastAsia="es-ES_tradnl"/>
        </w:rPr>
      </w:pPr>
    </w:p>
    <w:p w14:paraId="1B3DED65" w14:textId="65154DA5"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 xml:space="preserve">D’encourager les États membres à promouvoir des transferts de fonds plus rapides, plus sûrs et moins coûteux afin de réduire le coût moyen des transactions à moins de 3% du montant transféré d’ici 2030, en développant des cadres législatifs et réglementaires qui favorisent la concurrence, la réglementation et l’innovation sur le marché des transferts de fonds, et en proposant </w:t>
      </w:r>
      <w:r w:rsidRPr="0026653F">
        <w:rPr>
          <w:rFonts w:eastAsia="MS Mincho"/>
          <w:color w:val="000000"/>
          <w:szCs w:val="22"/>
          <w:lang w:val="fr-FR" w:eastAsia="es-ES_tradnl"/>
        </w:rPr>
        <w:lastRenderedPageBreak/>
        <w:t>des programmes et des outils tenant compte de la parité hommes-femmes en vue d’améliorer l’inclusion financière des migrants et de leur famille.</w:t>
      </w:r>
    </w:p>
    <w:p w14:paraId="31C908F2" w14:textId="77777777" w:rsidR="005A40EC" w:rsidRPr="0026653F" w:rsidRDefault="005A40EC" w:rsidP="00C618DD">
      <w:pPr>
        <w:rPr>
          <w:rFonts w:eastAsia="MS Mincho"/>
          <w:color w:val="000000"/>
          <w:szCs w:val="22"/>
          <w:lang w:val="fr-FR" w:eastAsia="es-ES_tradnl"/>
        </w:rPr>
      </w:pPr>
    </w:p>
    <w:p w14:paraId="0868E9CF" w14:textId="605AE6DC"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 xml:space="preserve">De réaffirmer l’importance de continuer de renforcer et de promouvoir le dialogue constructif et la coopération régionale et bilatérale sur les questions de migration, selon le cas, au moment d’aborder les défis de la migration dans le continent américain, en particulier au sein du Conseil permanent et au sein du CIDI et de ses organes subsidiaires comme la </w:t>
      </w:r>
      <w:r w:rsidR="00EC2B1D" w:rsidRPr="0026653F">
        <w:rPr>
          <w:rFonts w:eastAsia="MS Mincho"/>
          <w:color w:val="000000"/>
          <w:szCs w:val="22"/>
          <w:lang w:val="fr-FR" w:eastAsia="es-ES_tradnl"/>
        </w:rPr>
        <w:t>Commission sur les questions de migration</w:t>
      </w:r>
      <w:r w:rsidRPr="0026653F">
        <w:rPr>
          <w:rFonts w:eastAsia="MS Mincho"/>
          <w:color w:val="000000"/>
          <w:szCs w:val="22"/>
          <w:lang w:val="fr-FR" w:eastAsia="es-ES_tradnl"/>
        </w:rPr>
        <w:t>,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w:t>
      </w:r>
    </w:p>
    <w:p w14:paraId="3BDE5F06" w14:textId="77777777" w:rsidR="005A40EC" w:rsidRPr="0026653F" w:rsidRDefault="005A40EC" w:rsidP="00C618DD">
      <w:pPr>
        <w:rPr>
          <w:rFonts w:eastAsia="MS Mincho"/>
          <w:color w:val="000000"/>
          <w:szCs w:val="22"/>
          <w:lang w:val="fr-FR" w:eastAsia="es-ES_tradnl"/>
        </w:rPr>
      </w:pPr>
    </w:p>
    <w:p w14:paraId="5CF04531" w14:textId="77777777" w:rsidR="005A40EC" w:rsidRPr="0026653F" w:rsidRDefault="005A40EC" w:rsidP="00C618DD">
      <w:pPr>
        <w:numPr>
          <w:ilvl w:val="0"/>
          <w:numId w:val="55"/>
        </w:numPr>
        <w:ind w:left="0" w:firstLine="720"/>
        <w:rPr>
          <w:rFonts w:eastAsia="MS Mincho"/>
          <w:color w:val="000000"/>
          <w:szCs w:val="22"/>
          <w:lang w:val="fr-FR" w:eastAsia="es-ES_tradnl"/>
        </w:rPr>
      </w:pPr>
      <w:r w:rsidRPr="0026653F">
        <w:rPr>
          <w:rFonts w:eastAsia="MS Mincho"/>
          <w:color w:val="000000"/>
          <w:szCs w:val="22"/>
          <w:lang w:val="fr-FR" w:eastAsia="es-ES_tradnl"/>
        </w:rPr>
        <w:t>De souligner les initiatives générées au niveau multilatéral pour le dialogue et la coopération en matière de migration et de protection internationale, et de prendre note des initiatives auxquelles participent certains États membres de l’OEA, telles que le Forum mondial sur la migration et le développement, le Pacte mondial pour des migrations sûres, ordonnées et régulières et le Pacte mondial sur les réfugiés.</w:t>
      </w:r>
      <w:r w:rsidRPr="0026653F">
        <w:rPr>
          <w:rFonts w:eastAsia="MS Mincho"/>
          <w:color w:val="000000"/>
          <w:szCs w:val="22"/>
          <w:u w:val="single"/>
          <w:vertAlign w:val="superscript"/>
          <w:lang w:val="fr-FR"/>
        </w:rPr>
        <w:footnoteReference w:id="46"/>
      </w:r>
      <w:r w:rsidRPr="0026653F">
        <w:rPr>
          <w:rFonts w:eastAsia="MS Mincho"/>
          <w:color w:val="000000"/>
          <w:szCs w:val="22"/>
          <w:vertAlign w:val="superscript"/>
          <w:lang w:val="fr-FR" w:eastAsia="es-ES_tradnl"/>
        </w:rPr>
        <w:t xml:space="preserve">/ </w:t>
      </w:r>
    </w:p>
    <w:p w14:paraId="089B44BE" w14:textId="77777777" w:rsidR="005A40EC" w:rsidRPr="0026653F" w:rsidRDefault="005A40EC" w:rsidP="00C618DD">
      <w:pPr>
        <w:suppressAutoHyphens/>
        <w:rPr>
          <w:szCs w:val="22"/>
          <w:lang w:val="fr-FR"/>
        </w:rPr>
      </w:pPr>
    </w:p>
    <w:p w14:paraId="47A8DBA1" w14:textId="77777777" w:rsidR="005A40EC" w:rsidRPr="0026653F" w:rsidRDefault="005A40EC" w:rsidP="00C618DD">
      <w:pPr>
        <w:keepNext/>
        <w:suppressAutoHyphens/>
        <w:ind w:left="720" w:hanging="720"/>
        <w:rPr>
          <w:szCs w:val="22"/>
          <w:lang w:val="fr-FR"/>
        </w:rPr>
      </w:pPr>
      <w:r w:rsidRPr="0026653F">
        <w:rPr>
          <w:color w:val="000000"/>
          <w:szCs w:val="22"/>
          <w:lang w:val="fr-FR"/>
        </w:rPr>
        <w:t>VI.</w:t>
      </w:r>
      <w:r w:rsidRPr="0026653F">
        <w:rPr>
          <w:color w:val="000000"/>
          <w:szCs w:val="22"/>
          <w:lang w:val="fr-FR"/>
        </w:rPr>
        <w:tab/>
      </w:r>
      <w:r w:rsidRPr="0026653F">
        <w:rPr>
          <w:szCs w:val="22"/>
          <w:lang w:val="fr-FR"/>
        </w:rPr>
        <w:t>LIGNE STRATÉGIQUE « ENCOURAGER LA COOPÉRATION POUR LE DÉVELOPPEMENT ET LA CRÉATION DE PARTENARIATS »</w:t>
      </w:r>
    </w:p>
    <w:p w14:paraId="33FE8894" w14:textId="77777777" w:rsidR="005A40EC" w:rsidRPr="0026653F" w:rsidRDefault="005A40EC" w:rsidP="00C618DD">
      <w:pPr>
        <w:suppressAutoHyphens/>
        <w:rPr>
          <w:szCs w:val="22"/>
          <w:lang w:val="fr-FR"/>
        </w:rPr>
      </w:pPr>
    </w:p>
    <w:p w14:paraId="46CA6E7B" w14:textId="39E7DDBF" w:rsidR="005A40EC" w:rsidRPr="0026653F" w:rsidRDefault="005A40EC" w:rsidP="002108BF">
      <w:pPr>
        <w:suppressAutoHyphens/>
        <w:ind w:firstLine="720"/>
        <w:textAlignment w:val="baseline"/>
        <w:rPr>
          <w:color w:val="000000"/>
          <w:szCs w:val="22"/>
          <w:lang w:val="fr-FR"/>
        </w:rPr>
      </w:pPr>
      <w:r w:rsidRPr="0026653F">
        <w:rPr>
          <w:color w:val="000000"/>
          <w:szCs w:val="22"/>
          <w:lang w:val="fr-FR"/>
        </w:rPr>
        <w:t>46.</w:t>
      </w:r>
      <w:r w:rsidRPr="0026653F">
        <w:rPr>
          <w:color w:val="000000"/>
          <w:szCs w:val="22"/>
          <w:lang w:val="fr-FR"/>
        </w:rPr>
        <w:tab/>
        <w:t xml:space="preserve">De charger le SEDI de continuer à travailler avec le Conseil d’administration de l’Agence </w:t>
      </w:r>
      <w:r w:rsidRPr="002108BF">
        <w:rPr>
          <w:szCs w:val="22"/>
          <w:lang w:val="fr-FR"/>
        </w:rPr>
        <w:t>interaméricaine</w:t>
      </w:r>
      <w:r w:rsidRPr="0026653F">
        <w:rPr>
          <w:color w:val="000000"/>
          <w:szCs w:val="22"/>
          <w:lang w:val="fr-FR"/>
        </w:rPr>
        <w:t xml:space="preserve"> pour la coopération et le développement (AICD) et à le soutenir dans la mise en œuvre des priorités contenues dans le Plan de travail 2020-2021 de l’AICD.</w:t>
      </w:r>
    </w:p>
    <w:p w14:paraId="5EFD40EB" w14:textId="77777777" w:rsidR="005A40EC" w:rsidRPr="0026653F" w:rsidRDefault="005A40EC" w:rsidP="00C618DD">
      <w:pPr>
        <w:suppressAutoHyphens/>
        <w:rPr>
          <w:color w:val="000000"/>
          <w:szCs w:val="22"/>
          <w:lang w:val="fr-FR"/>
        </w:rPr>
      </w:pPr>
    </w:p>
    <w:p w14:paraId="34B06837" w14:textId="0C79A726" w:rsidR="005A40EC" w:rsidRPr="0026653F" w:rsidRDefault="005A40EC" w:rsidP="002108BF">
      <w:pPr>
        <w:suppressAutoHyphens/>
        <w:ind w:firstLine="720"/>
        <w:textAlignment w:val="baseline"/>
        <w:rPr>
          <w:color w:val="000000"/>
          <w:szCs w:val="22"/>
          <w:shd w:val="clear" w:color="auto" w:fill="FFFFFF"/>
          <w:lang w:val="fr-FR"/>
        </w:rPr>
      </w:pPr>
      <w:r w:rsidRPr="0026653F">
        <w:rPr>
          <w:color w:val="000000"/>
          <w:szCs w:val="22"/>
          <w:lang w:val="fr-FR"/>
        </w:rPr>
        <w:t>47.</w:t>
      </w:r>
      <w:r w:rsidRPr="0026653F">
        <w:rPr>
          <w:color w:val="000000"/>
          <w:szCs w:val="22"/>
          <w:lang w:val="fr-FR"/>
        </w:rPr>
        <w:tab/>
      </w:r>
      <w:r w:rsidRPr="0026653F">
        <w:rPr>
          <w:color w:val="000000"/>
          <w:szCs w:val="22"/>
          <w:shd w:val="clear" w:color="auto" w:fill="FFFFFF"/>
          <w:lang w:val="fr-FR"/>
        </w:rPr>
        <w:t xml:space="preserve">D’encourager les États membres à engager un dialogue, </w:t>
      </w:r>
      <w:r w:rsidR="0092228A" w:rsidRPr="0026653F">
        <w:rPr>
          <w:color w:val="000000"/>
          <w:szCs w:val="22"/>
          <w:shd w:val="clear" w:color="auto" w:fill="FFFFFF"/>
          <w:lang w:val="fr-FR"/>
        </w:rPr>
        <w:t>dans le cadre</w:t>
      </w:r>
      <w:r w:rsidRPr="0026653F">
        <w:rPr>
          <w:color w:val="000000"/>
          <w:szCs w:val="22"/>
          <w:shd w:val="clear" w:color="auto" w:fill="FFFFFF"/>
          <w:lang w:val="fr-FR"/>
        </w:rPr>
        <w:t xml:space="preserve"> du CIDI, sur l’accès au financement international</w:t>
      </w:r>
      <w:r w:rsidRPr="0026653F">
        <w:rPr>
          <w:szCs w:val="22"/>
          <w:u w:val="single"/>
          <w:shd w:val="clear" w:color="auto" w:fill="FFFFFF"/>
          <w:vertAlign w:val="superscript"/>
          <w:lang w:val="fr-FR"/>
        </w:rPr>
        <w:footnoteReference w:id="47"/>
      </w:r>
      <w:r w:rsidRPr="0026653F">
        <w:rPr>
          <w:color w:val="000000"/>
          <w:szCs w:val="22"/>
          <w:shd w:val="clear" w:color="auto" w:fill="FFFFFF"/>
          <w:vertAlign w:val="superscript"/>
          <w:lang w:val="fr-FR"/>
        </w:rPr>
        <w:t>/</w:t>
      </w:r>
      <w:r w:rsidRPr="0026653F">
        <w:rPr>
          <w:color w:val="000000"/>
          <w:szCs w:val="22"/>
          <w:shd w:val="clear" w:color="auto" w:fill="FFFFFF"/>
          <w:lang w:val="fr-FR"/>
        </w:rPr>
        <w:t xml:space="preserve"> et le renforcement des mécanismes de coopération internationale pour faire avancer le </w:t>
      </w:r>
      <w:r w:rsidR="00EC2B1D" w:rsidRPr="0026653F">
        <w:rPr>
          <w:color w:val="000000"/>
          <w:szCs w:val="22"/>
          <w:shd w:val="clear" w:color="auto" w:fill="FFFFFF"/>
          <w:lang w:val="fr-FR"/>
        </w:rPr>
        <w:t>p</w:t>
      </w:r>
      <w:r w:rsidRPr="0026653F">
        <w:rPr>
          <w:color w:val="000000"/>
          <w:szCs w:val="22"/>
          <w:shd w:val="clear" w:color="auto" w:fill="FFFFFF"/>
          <w:lang w:val="fr-FR"/>
        </w:rPr>
        <w:t xml:space="preserve">rogramme de développement durable, en accordant une attention particulière aux défis spécifiques auxquels sont confrontés les petits États insulaires </w:t>
      </w:r>
      <w:r w:rsidR="00095E97" w:rsidRPr="0026653F">
        <w:rPr>
          <w:color w:val="000000"/>
          <w:szCs w:val="22"/>
          <w:shd w:val="clear" w:color="auto" w:fill="FFFFFF"/>
          <w:lang w:val="fr-FR"/>
        </w:rPr>
        <w:t xml:space="preserve">et </w:t>
      </w:r>
      <w:r w:rsidRPr="0026653F">
        <w:rPr>
          <w:color w:val="000000"/>
          <w:szCs w:val="22"/>
          <w:lang w:val="fr-FR"/>
        </w:rPr>
        <w:t>de faible altitude</w:t>
      </w:r>
      <w:r w:rsidR="002A2C4F" w:rsidRPr="0026653F">
        <w:rPr>
          <w:color w:val="000000"/>
          <w:szCs w:val="22"/>
          <w:lang w:val="fr-FR"/>
        </w:rPr>
        <w:t xml:space="preserve"> </w:t>
      </w:r>
      <w:r w:rsidRPr="0026653F">
        <w:rPr>
          <w:color w:val="000000"/>
          <w:szCs w:val="22"/>
          <w:lang w:val="fr-FR"/>
        </w:rPr>
        <w:t xml:space="preserve">en développement </w:t>
      </w:r>
      <w:r w:rsidRPr="0026653F">
        <w:rPr>
          <w:color w:val="000000"/>
          <w:szCs w:val="22"/>
          <w:shd w:val="clear" w:color="auto" w:fill="FFFFFF"/>
          <w:lang w:val="fr-FR"/>
        </w:rPr>
        <w:t xml:space="preserve">ainsi que les pays à faible revenu et à revenu intermédiaire de la région, en tenant compte de critères </w:t>
      </w:r>
      <w:r w:rsidRPr="002108BF">
        <w:rPr>
          <w:szCs w:val="22"/>
          <w:lang w:val="fr-FR"/>
        </w:rPr>
        <w:t>supplémentaire</w:t>
      </w:r>
      <w:r w:rsidR="00EC2B1D" w:rsidRPr="002108BF">
        <w:rPr>
          <w:szCs w:val="22"/>
          <w:lang w:val="fr-FR"/>
        </w:rPr>
        <w:t>s</w:t>
      </w:r>
      <w:r w:rsidRPr="0026653F">
        <w:rPr>
          <w:color w:val="000000"/>
          <w:szCs w:val="22"/>
          <w:shd w:val="clear" w:color="auto" w:fill="FFFFFF"/>
          <w:lang w:val="fr-FR"/>
        </w:rPr>
        <w:t>, le cas échéant, pour évaluer la pauvreté et le développement des pays, y compris la vulnérabilité, en plus des indicateurs sur le niveau des revenus, dans le but de maintenir et de mettre en œuvre les programmes et les politiques de protection sociale nécessaires au bien-être des citoyens, en particulier celui des populations les plus vulnérables, ainsi qu’à une reconstruction et à un développement socioéconomique plus durables, à l’épreuve du climat et à faible intensité de carbone</w:t>
      </w:r>
      <w:r w:rsidRPr="0026653F">
        <w:rPr>
          <w:szCs w:val="22"/>
          <w:u w:val="single"/>
          <w:shd w:val="clear" w:color="auto" w:fill="FFFFFF"/>
          <w:vertAlign w:val="superscript"/>
          <w:lang w:val="fr-FR"/>
        </w:rPr>
        <w:footnoteReference w:id="48"/>
      </w:r>
      <w:r w:rsidRPr="0026653F">
        <w:rPr>
          <w:color w:val="000000"/>
          <w:szCs w:val="22"/>
          <w:shd w:val="clear" w:color="auto" w:fill="FFFFFF"/>
          <w:vertAlign w:val="superscript"/>
          <w:lang w:val="fr-FR"/>
        </w:rPr>
        <w:t>/</w:t>
      </w:r>
      <w:r w:rsidRPr="0026653F">
        <w:rPr>
          <w:color w:val="000000"/>
          <w:szCs w:val="22"/>
          <w:shd w:val="clear" w:color="auto" w:fill="FFFFFF"/>
          <w:lang w:val="fr-FR"/>
        </w:rPr>
        <w:t>.</w:t>
      </w:r>
    </w:p>
    <w:p w14:paraId="6E9ACE95" w14:textId="77777777" w:rsidR="005A40EC" w:rsidRPr="0026653F" w:rsidRDefault="005A40EC" w:rsidP="00C618DD">
      <w:pPr>
        <w:suppressAutoHyphens/>
        <w:rPr>
          <w:szCs w:val="22"/>
          <w:lang w:val="fr-FR"/>
        </w:rPr>
      </w:pPr>
    </w:p>
    <w:p w14:paraId="43F42AB5" w14:textId="638769D0" w:rsidR="005A40EC" w:rsidRPr="0026653F" w:rsidRDefault="005A40EC" w:rsidP="002108BF">
      <w:pPr>
        <w:suppressAutoHyphens/>
        <w:ind w:firstLine="720"/>
        <w:textAlignment w:val="baseline"/>
        <w:rPr>
          <w:szCs w:val="22"/>
          <w:lang w:val="fr-FR"/>
        </w:rPr>
      </w:pPr>
      <w:r w:rsidRPr="0026653F">
        <w:rPr>
          <w:color w:val="000000"/>
          <w:szCs w:val="22"/>
          <w:lang w:val="fr-FR"/>
        </w:rPr>
        <w:t>48.</w:t>
      </w:r>
      <w:r w:rsidRPr="0026653F">
        <w:rPr>
          <w:color w:val="000000"/>
          <w:szCs w:val="22"/>
          <w:lang w:val="fr-FR"/>
        </w:rPr>
        <w:tab/>
      </w:r>
      <w:r w:rsidRPr="002108BF">
        <w:rPr>
          <w:szCs w:val="22"/>
          <w:lang w:val="fr-FR"/>
        </w:rPr>
        <w:t>D’approuver</w:t>
      </w:r>
      <w:r w:rsidRPr="0026653F">
        <w:rPr>
          <w:color w:val="000000"/>
          <w:szCs w:val="22"/>
          <w:lang w:val="fr-FR"/>
        </w:rPr>
        <w:t xml:space="preserve">, avec effet rétroactif à la date de leur approbation lors de la réunion ordinaire du CIDI du 30 juin 2020 par le biais de la résolution CIDI/RES. 342 (CII-O/20), les </w:t>
      </w:r>
      <w:r w:rsidR="006D5753" w:rsidRPr="0026653F">
        <w:rPr>
          <w:color w:val="000000"/>
          <w:szCs w:val="22"/>
          <w:lang w:val="fr-FR"/>
        </w:rPr>
        <w:t>modifications</w:t>
      </w:r>
      <w:r w:rsidRPr="0026653F">
        <w:rPr>
          <w:color w:val="000000"/>
          <w:szCs w:val="22"/>
          <w:lang w:val="fr-FR"/>
        </w:rPr>
        <w:t xml:space="preserve"> au</w:t>
      </w:r>
      <w:r w:rsidR="006D5753" w:rsidRPr="0026653F">
        <w:rPr>
          <w:color w:val="000000"/>
          <w:szCs w:val="22"/>
          <w:lang w:val="fr-FR"/>
        </w:rPr>
        <w:t xml:space="preserve"> S</w:t>
      </w:r>
      <w:r w:rsidRPr="0026653F">
        <w:rPr>
          <w:color w:val="000000"/>
          <w:szCs w:val="22"/>
          <w:lang w:val="fr-FR"/>
        </w:rPr>
        <w:t>tatut de l’A</w:t>
      </w:r>
      <w:r w:rsidR="006D5753" w:rsidRPr="0026653F">
        <w:rPr>
          <w:color w:val="000000"/>
          <w:szCs w:val="22"/>
          <w:lang w:val="fr-FR"/>
        </w:rPr>
        <w:t>IC</w:t>
      </w:r>
      <w:r w:rsidRPr="0026653F">
        <w:rPr>
          <w:color w:val="000000"/>
          <w:szCs w:val="22"/>
          <w:lang w:val="fr-FR"/>
        </w:rPr>
        <w:t>D.</w:t>
      </w:r>
    </w:p>
    <w:p w14:paraId="09172FE8" w14:textId="77777777" w:rsidR="005A40EC" w:rsidRPr="0026653F" w:rsidRDefault="005A40EC" w:rsidP="00C618DD">
      <w:pPr>
        <w:suppressAutoHyphens/>
        <w:rPr>
          <w:color w:val="000000"/>
          <w:szCs w:val="22"/>
          <w:u w:val="single"/>
          <w:lang w:val="fr-FR"/>
        </w:rPr>
      </w:pPr>
    </w:p>
    <w:p w14:paraId="59959C10" w14:textId="6299D386" w:rsidR="005A40EC" w:rsidRPr="0026653F" w:rsidRDefault="005A40EC" w:rsidP="002108BF">
      <w:pPr>
        <w:suppressAutoHyphens/>
        <w:ind w:firstLine="720"/>
        <w:textAlignment w:val="baseline"/>
        <w:rPr>
          <w:color w:val="000000"/>
          <w:szCs w:val="22"/>
          <w:lang w:val="fr-FR"/>
        </w:rPr>
      </w:pPr>
      <w:r w:rsidRPr="0026653F">
        <w:rPr>
          <w:color w:val="000000"/>
          <w:szCs w:val="22"/>
          <w:lang w:val="fr-FR"/>
        </w:rPr>
        <w:lastRenderedPageBreak/>
        <w:t>49.</w:t>
      </w:r>
      <w:r w:rsidRPr="0026653F">
        <w:rPr>
          <w:color w:val="000000"/>
          <w:szCs w:val="22"/>
          <w:lang w:val="fr-FR"/>
        </w:rPr>
        <w:tab/>
        <w:t xml:space="preserve">De prendre note des </w:t>
      </w:r>
      <w:r w:rsidR="006D5753" w:rsidRPr="0026653F">
        <w:rPr>
          <w:color w:val="000000"/>
          <w:szCs w:val="22"/>
          <w:lang w:val="fr-FR"/>
        </w:rPr>
        <w:t>modifications</w:t>
      </w:r>
      <w:r w:rsidRPr="0026653F">
        <w:rPr>
          <w:color w:val="000000"/>
          <w:szCs w:val="22"/>
          <w:lang w:val="fr-FR"/>
        </w:rPr>
        <w:t xml:space="preserve"> au</w:t>
      </w:r>
      <w:r w:rsidR="006D5753" w:rsidRPr="0026653F">
        <w:rPr>
          <w:color w:val="000000"/>
          <w:szCs w:val="22"/>
          <w:lang w:val="fr-FR"/>
        </w:rPr>
        <w:t xml:space="preserve"> </w:t>
      </w:r>
      <w:r w:rsidRPr="0026653F">
        <w:rPr>
          <w:color w:val="000000"/>
          <w:szCs w:val="22"/>
          <w:lang w:val="fr-FR"/>
        </w:rPr>
        <w:t xml:space="preserve">Statut de la Commission du Fonds d’investissement de </w:t>
      </w:r>
      <w:r w:rsidRPr="002108BF">
        <w:rPr>
          <w:szCs w:val="22"/>
          <w:lang w:val="fr-FR"/>
        </w:rPr>
        <w:t>l’OEA</w:t>
      </w:r>
      <w:r w:rsidRPr="0026653F">
        <w:rPr>
          <w:color w:val="000000"/>
          <w:szCs w:val="22"/>
          <w:lang w:val="fr-FR"/>
        </w:rPr>
        <w:t xml:space="preserve"> pour le financement des programmes de bourses d’études et de perfectionnement, approuvé</w:t>
      </w:r>
      <w:r w:rsidR="006D5753" w:rsidRPr="0026653F">
        <w:rPr>
          <w:color w:val="000000"/>
          <w:szCs w:val="22"/>
          <w:lang w:val="fr-FR"/>
        </w:rPr>
        <w:t>e</w:t>
      </w:r>
      <w:r w:rsidRPr="0026653F">
        <w:rPr>
          <w:color w:val="000000"/>
          <w:szCs w:val="22"/>
          <w:lang w:val="fr-FR"/>
        </w:rPr>
        <w:t>s à la réunion ordinaire du CIDI du 30 juin 2020</w:t>
      </w:r>
      <w:r w:rsidR="006D5753" w:rsidRPr="0026653F">
        <w:rPr>
          <w:color w:val="000000"/>
          <w:szCs w:val="22"/>
          <w:lang w:val="fr-FR"/>
        </w:rPr>
        <w:t xml:space="preserve"> au moyen </w:t>
      </w:r>
      <w:r w:rsidRPr="0026653F">
        <w:rPr>
          <w:color w:val="000000"/>
          <w:szCs w:val="22"/>
          <w:lang w:val="fr-FR"/>
        </w:rPr>
        <w:t>de la résolution CIDI/RES. 342 (CII-O/20).</w:t>
      </w:r>
    </w:p>
    <w:p w14:paraId="5B910846" w14:textId="77777777" w:rsidR="005A40EC" w:rsidRPr="0026653F" w:rsidRDefault="005A40EC" w:rsidP="00C618DD">
      <w:pPr>
        <w:suppressAutoHyphens/>
        <w:rPr>
          <w:szCs w:val="22"/>
          <w:lang w:val="fr-FR"/>
        </w:rPr>
      </w:pPr>
    </w:p>
    <w:p w14:paraId="65F745EF" w14:textId="77777777" w:rsidR="005A40EC" w:rsidRPr="0026653F" w:rsidRDefault="005A40EC" w:rsidP="00C618DD">
      <w:pPr>
        <w:suppressAutoHyphens/>
        <w:ind w:left="720" w:hanging="720"/>
        <w:rPr>
          <w:szCs w:val="22"/>
          <w:lang w:val="fr-FR"/>
        </w:rPr>
      </w:pPr>
      <w:r w:rsidRPr="0026653F">
        <w:rPr>
          <w:color w:val="000000"/>
          <w:szCs w:val="22"/>
          <w:lang w:val="fr-FR"/>
        </w:rPr>
        <w:t>VII.</w:t>
      </w:r>
      <w:r w:rsidRPr="0026653F">
        <w:rPr>
          <w:color w:val="000000"/>
          <w:szCs w:val="22"/>
          <w:lang w:val="fr-FR"/>
        </w:rPr>
        <w:tab/>
      </w:r>
      <w:r w:rsidRPr="0026653F">
        <w:rPr>
          <w:szCs w:val="22"/>
          <w:lang w:val="fr-FR"/>
        </w:rPr>
        <w:t>LIGNE STRATÉGIQUE « PROMOUVOIR L’INCLUSION SOCIALE ASSORTIE D’ÉQUITÉ POUR CONTRIBUER AU DÉVELOPPEMENT DURABLE DANS LES AMÉRIQUES »</w:t>
      </w:r>
    </w:p>
    <w:p w14:paraId="5A42E03A" w14:textId="77777777" w:rsidR="005A40EC" w:rsidRPr="0026653F" w:rsidRDefault="005A40EC" w:rsidP="00C618DD">
      <w:pPr>
        <w:suppressAutoHyphens/>
        <w:rPr>
          <w:szCs w:val="22"/>
          <w:lang w:val="fr-FR"/>
        </w:rPr>
      </w:pPr>
    </w:p>
    <w:p w14:paraId="52A0FB51" w14:textId="2663BE80" w:rsidR="005A40EC" w:rsidRPr="0026653F" w:rsidRDefault="005A40EC" w:rsidP="002108BF">
      <w:pPr>
        <w:suppressAutoHyphens/>
        <w:ind w:firstLine="720"/>
        <w:textAlignment w:val="baseline"/>
        <w:rPr>
          <w:color w:val="000000"/>
          <w:szCs w:val="22"/>
          <w:shd w:val="clear" w:color="auto" w:fill="00FFFF"/>
          <w:lang w:val="fr-FR"/>
        </w:rPr>
      </w:pPr>
      <w:r w:rsidRPr="0026653F">
        <w:rPr>
          <w:color w:val="000000"/>
          <w:szCs w:val="22"/>
          <w:lang w:val="fr-FR"/>
        </w:rPr>
        <w:t>50.</w:t>
      </w:r>
      <w:r w:rsidRPr="0026653F">
        <w:rPr>
          <w:color w:val="000000"/>
          <w:szCs w:val="22"/>
          <w:lang w:val="fr-FR"/>
        </w:rPr>
        <w:tab/>
        <w:t>De réaffirmer l’importance de l’adoption, pour la première fois au niveau interaméricain, dans le domaine du développement social, du Plan d’action d</w:t>
      </w:r>
      <w:r w:rsidR="004B71A6" w:rsidRPr="0026653F">
        <w:rPr>
          <w:color w:val="000000"/>
          <w:szCs w:val="22"/>
          <w:lang w:val="fr-FR"/>
        </w:rPr>
        <w:t>e</w:t>
      </w:r>
      <w:r w:rsidRPr="0026653F">
        <w:rPr>
          <w:color w:val="000000"/>
          <w:szCs w:val="22"/>
          <w:lang w:val="fr-FR"/>
        </w:rPr>
        <w:t xml:space="preserve"> Guatemala 2019, « </w:t>
      </w:r>
      <w:r w:rsidRPr="0026653F">
        <w:rPr>
          <w:szCs w:val="22"/>
          <w:lang w:val="fr-FR"/>
        </w:rPr>
        <w:t xml:space="preserve">Éliminer la pauvreté multidimensionnelle et combler les écarts d’équité sociale : Vers un programme interaméricain de </w:t>
      </w:r>
      <w:r w:rsidRPr="002108BF">
        <w:rPr>
          <w:color w:val="000000"/>
          <w:szCs w:val="22"/>
          <w:lang w:val="fr-FR"/>
        </w:rPr>
        <w:t>développement</w:t>
      </w:r>
      <w:r w:rsidRPr="0026653F">
        <w:rPr>
          <w:szCs w:val="22"/>
          <w:lang w:val="fr-FR"/>
        </w:rPr>
        <w:t xml:space="preserve"> social » (CIDI/REMDES/doc.6/19 rev. 3)</w:t>
      </w:r>
      <w:r w:rsidRPr="0026653F">
        <w:rPr>
          <w:color w:val="000000"/>
          <w:szCs w:val="22"/>
          <w:lang w:val="fr-FR"/>
        </w:rPr>
        <w:t>, en tant que feuille de route qui définit des actions concrètes pour faire avancer la promotion du développement social dans la région, et d’in</w:t>
      </w:r>
      <w:r w:rsidR="006D5753" w:rsidRPr="0026653F">
        <w:rPr>
          <w:color w:val="000000"/>
          <w:szCs w:val="22"/>
          <w:lang w:val="fr-FR"/>
        </w:rPr>
        <w:t xml:space="preserve">viter instamment </w:t>
      </w:r>
      <w:r w:rsidRPr="0026653F">
        <w:rPr>
          <w:color w:val="000000"/>
          <w:szCs w:val="22"/>
          <w:lang w:val="fr-FR"/>
        </w:rPr>
        <w:t xml:space="preserve">les États membres à participer activement aux groupes de travail et aux discussions d’un plan de travail ainsi qu’aux activités organisées par le Secrétariat </w:t>
      </w:r>
      <w:r w:rsidR="006D5753" w:rsidRPr="0026653F">
        <w:rPr>
          <w:color w:val="000000"/>
          <w:szCs w:val="22"/>
          <w:lang w:val="fr-FR"/>
        </w:rPr>
        <w:t>à</w:t>
      </w:r>
      <w:r w:rsidRPr="0026653F">
        <w:rPr>
          <w:color w:val="000000"/>
          <w:szCs w:val="22"/>
          <w:lang w:val="fr-FR"/>
        </w:rPr>
        <w:t xml:space="preserve"> l’accès aux droits et à l’équité en vue de la mise en œuvre du plan d’action.</w:t>
      </w:r>
    </w:p>
    <w:p w14:paraId="04D641FF" w14:textId="77777777" w:rsidR="005A40EC" w:rsidRPr="0026653F" w:rsidRDefault="005A40EC" w:rsidP="00C618DD">
      <w:pPr>
        <w:suppressAutoHyphens/>
        <w:rPr>
          <w:szCs w:val="22"/>
          <w:lang w:val="fr-FR"/>
        </w:rPr>
      </w:pPr>
    </w:p>
    <w:p w14:paraId="2AAE98DF" w14:textId="372946CC" w:rsidR="005A40EC" w:rsidRPr="0026653F" w:rsidRDefault="005A40EC" w:rsidP="002108BF">
      <w:pPr>
        <w:suppressAutoHyphens/>
        <w:ind w:firstLine="720"/>
        <w:textAlignment w:val="baseline"/>
        <w:rPr>
          <w:szCs w:val="22"/>
          <w:lang w:val="fr-FR"/>
        </w:rPr>
      </w:pPr>
      <w:r w:rsidRPr="0026653F">
        <w:rPr>
          <w:color w:val="000000"/>
          <w:szCs w:val="22"/>
          <w:lang w:val="fr-FR"/>
        </w:rPr>
        <w:t>51.</w:t>
      </w:r>
      <w:r w:rsidRPr="0026653F">
        <w:rPr>
          <w:color w:val="000000"/>
          <w:szCs w:val="22"/>
          <w:lang w:val="fr-FR"/>
        </w:rPr>
        <w:tab/>
        <w:t xml:space="preserve">D’encourager les États membres, les observateurs permanents et les autres donateurs à contribuer au </w:t>
      </w:r>
      <w:bookmarkStart w:id="34" w:name="_Hlk64646397"/>
      <w:r w:rsidRPr="0026653F">
        <w:rPr>
          <w:color w:val="000000"/>
          <w:szCs w:val="22"/>
          <w:lang w:val="fr-FR"/>
        </w:rPr>
        <w:t xml:space="preserve">Fonds </w:t>
      </w:r>
      <w:r w:rsidR="006D5753" w:rsidRPr="0026653F">
        <w:rPr>
          <w:color w:val="000000"/>
          <w:szCs w:val="22"/>
          <w:lang w:val="fr-FR"/>
        </w:rPr>
        <w:t xml:space="preserve">pour la </w:t>
      </w:r>
      <w:r w:rsidRPr="0026653F">
        <w:rPr>
          <w:color w:val="000000"/>
          <w:szCs w:val="22"/>
          <w:lang w:val="fr-FR"/>
        </w:rPr>
        <w:t xml:space="preserve">mise en œuvre du </w:t>
      </w:r>
      <w:r w:rsidR="006D5753" w:rsidRPr="0026653F">
        <w:rPr>
          <w:color w:val="000000"/>
          <w:szCs w:val="22"/>
          <w:lang w:val="fr-FR"/>
        </w:rPr>
        <w:t>P</w:t>
      </w:r>
      <w:r w:rsidRPr="0026653F">
        <w:rPr>
          <w:color w:val="000000"/>
          <w:szCs w:val="22"/>
          <w:lang w:val="fr-FR"/>
        </w:rPr>
        <w:t>lan d’action d</w:t>
      </w:r>
      <w:r w:rsidR="004B71A6" w:rsidRPr="0026653F">
        <w:rPr>
          <w:color w:val="000000"/>
          <w:szCs w:val="22"/>
          <w:lang w:val="fr-FR"/>
        </w:rPr>
        <w:t>e</w:t>
      </w:r>
      <w:r w:rsidRPr="0026653F">
        <w:rPr>
          <w:color w:val="000000"/>
          <w:szCs w:val="22"/>
          <w:lang w:val="fr-FR"/>
        </w:rPr>
        <w:t xml:space="preserve"> Guatemala 2019</w:t>
      </w:r>
      <w:bookmarkEnd w:id="34"/>
      <w:r w:rsidRPr="0026653F">
        <w:rPr>
          <w:color w:val="000000"/>
          <w:szCs w:val="22"/>
          <w:lang w:val="fr-FR"/>
        </w:rPr>
        <w:t>, dans la mesure de leurs possibilités, afin d’assurer le financement des activités dudit plan.</w:t>
      </w:r>
    </w:p>
    <w:p w14:paraId="072B7690" w14:textId="77777777" w:rsidR="005A40EC" w:rsidRPr="0026653F" w:rsidRDefault="005A40EC" w:rsidP="00C618DD">
      <w:pPr>
        <w:suppressAutoHyphens/>
        <w:rPr>
          <w:szCs w:val="22"/>
          <w:lang w:val="fr-FR"/>
        </w:rPr>
      </w:pPr>
    </w:p>
    <w:p w14:paraId="297013BB" w14:textId="108C0C8B" w:rsidR="005A40EC" w:rsidRPr="0026653F" w:rsidRDefault="005A40EC" w:rsidP="002108BF">
      <w:pPr>
        <w:suppressAutoHyphens/>
        <w:ind w:firstLine="720"/>
        <w:textAlignment w:val="baseline"/>
        <w:rPr>
          <w:color w:val="000000"/>
          <w:szCs w:val="22"/>
          <w:shd w:val="clear" w:color="auto" w:fill="00FFFF"/>
          <w:lang w:val="fr-FR"/>
        </w:rPr>
      </w:pPr>
      <w:r w:rsidRPr="0026653F">
        <w:rPr>
          <w:color w:val="000000"/>
          <w:szCs w:val="22"/>
          <w:lang w:val="fr-FR"/>
        </w:rPr>
        <w:t>52.</w:t>
      </w:r>
      <w:r w:rsidRPr="0026653F">
        <w:rPr>
          <w:color w:val="000000"/>
          <w:szCs w:val="22"/>
          <w:lang w:val="fr-FR"/>
        </w:rPr>
        <w:tab/>
        <w:t xml:space="preserve">D’encourager les États membres à renforcer leurs systèmes de protection sociale et à prendre en considération les besoins des populations pauvres et vulnérables touchées par la pandémie de COVID-19. De même, </w:t>
      </w:r>
      <w:r w:rsidR="006D5753" w:rsidRPr="0026653F">
        <w:rPr>
          <w:color w:val="000000"/>
          <w:szCs w:val="22"/>
          <w:lang w:val="fr-FR"/>
        </w:rPr>
        <w:t xml:space="preserve">de </w:t>
      </w:r>
      <w:r w:rsidRPr="0026653F">
        <w:rPr>
          <w:color w:val="000000"/>
          <w:szCs w:val="22"/>
          <w:lang w:val="fr-FR"/>
        </w:rPr>
        <w:t xml:space="preserve">les encourager à </w:t>
      </w:r>
      <w:r w:rsidR="00EE785B" w:rsidRPr="0026653F">
        <w:rPr>
          <w:color w:val="000000"/>
          <w:szCs w:val="22"/>
          <w:lang w:val="fr-FR"/>
        </w:rPr>
        <w:t>optimiser</w:t>
      </w:r>
      <w:r w:rsidRPr="0026653F">
        <w:rPr>
          <w:color w:val="000000"/>
          <w:szCs w:val="22"/>
          <w:lang w:val="fr-FR"/>
        </w:rPr>
        <w:t xml:space="preserve"> et mettre à jour leurs bases de données sur la protection sociale, le cas échéant, afin de parvenir à une inclusion sociale conforme à la nouvelle réalité.</w:t>
      </w:r>
    </w:p>
    <w:p w14:paraId="4BB1C739" w14:textId="77777777" w:rsidR="005A40EC" w:rsidRPr="0026653F" w:rsidRDefault="005A40EC" w:rsidP="00C618DD">
      <w:pPr>
        <w:suppressAutoHyphens/>
        <w:rPr>
          <w:szCs w:val="22"/>
          <w:lang w:val="fr-FR"/>
        </w:rPr>
      </w:pPr>
    </w:p>
    <w:p w14:paraId="7E34AAD2" w14:textId="75BC6E51" w:rsidR="005A40EC" w:rsidRPr="0026653F" w:rsidRDefault="005A40EC" w:rsidP="00C618DD">
      <w:pPr>
        <w:suppressAutoHyphens/>
        <w:ind w:firstLine="720"/>
        <w:textAlignment w:val="baseline"/>
        <w:rPr>
          <w:color w:val="000000"/>
          <w:szCs w:val="22"/>
          <w:lang w:val="fr-FR"/>
        </w:rPr>
      </w:pPr>
      <w:r w:rsidRPr="0026653F">
        <w:rPr>
          <w:color w:val="000000"/>
          <w:szCs w:val="22"/>
          <w:lang w:val="fr-FR"/>
        </w:rPr>
        <w:t>53.</w:t>
      </w:r>
      <w:r w:rsidRPr="0026653F">
        <w:rPr>
          <w:color w:val="000000"/>
          <w:szCs w:val="22"/>
          <w:lang w:val="fr-FR"/>
        </w:rPr>
        <w:tab/>
        <w:t>De reconnaître l’importance stratégique du partenariat en tant qu’outil visant à soutenir les efforts déployés par les États membres pour surmonter la pauvreté et les inégalités et faire face aux conséquences de la pandémie de COVID-19 dans le cadre de la promotion du développement durable. En ce sens, d’exhorter les États membres à soutenir et à renforcer le travail du Réseau interaméricain de protection sociale en tant que mécanisme continental de coopération en matière de développement social afin de renforcer les institutions et organismes responsables des politiques sociales dans les États membres, par l’échange de connaissances, de leçons apprises et de données d’expériences, l’assistance technique, l’apprentissage mutuel et la coopération technique entre les pays.</w:t>
      </w:r>
    </w:p>
    <w:p w14:paraId="458A47AE" w14:textId="77777777" w:rsidR="005A40EC" w:rsidRPr="0026653F" w:rsidRDefault="005A40EC" w:rsidP="00C618DD">
      <w:pPr>
        <w:suppressAutoHyphens/>
        <w:textAlignment w:val="baseline"/>
        <w:rPr>
          <w:color w:val="000000"/>
          <w:szCs w:val="22"/>
          <w:lang w:val="fr-FR"/>
        </w:rPr>
      </w:pPr>
    </w:p>
    <w:p w14:paraId="64ECAEC2" w14:textId="27EA13D0" w:rsidR="005A40EC" w:rsidRPr="004A5931" w:rsidRDefault="005A40EC" w:rsidP="002108BF">
      <w:pPr>
        <w:suppressAutoHyphens/>
        <w:ind w:firstLine="720"/>
        <w:rPr>
          <w:color w:val="000000"/>
          <w:szCs w:val="22"/>
          <w:lang w:val="fr-FR"/>
        </w:rPr>
      </w:pPr>
      <w:r w:rsidRPr="0026653F">
        <w:rPr>
          <w:color w:val="000000"/>
          <w:szCs w:val="22"/>
          <w:lang w:val="fr-FR"/>
        </w:rPr>
        <w:t>54.</w:t>
      </w:r>
      <w:r w:rsidRPr="0026653F">
        <w:rPr>
          <w:color w:val="000000"/>
          <w:szCs w:val="22"/>
          <w:lang w:val="fr-FR"/>
        </w:rPr>
        <w:tab/>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 ; et d’encourager les États membres qui l’envisagent à continuer d’investir dans ce domaine, conformément à leur législation, à leurs priorités nationales et aux ressources disponibles.</w:t>
      </w:r>
    </w:p>
    <w:p w14:paraId="66F92C6E" w14:textId="77777777" w:rsidR="005A40EC" w:rsidRPr="0026653F" w:rsidRDefault="005A40EC" w:rsidP="00C618DD">
      <w:pPr>
        <w:suppressAutoHyphens/>
        <w:rPr>
          <w:szCs w:val="22"/>
          <w:lang w:val="fr-FR"/>
        </w:rPr>
      </w:pPr>
    </w:p>
    <w:p w14:paraId="002A5DA5" w14:textId="77777777" w:rsidR="005A40EC" w:rsidRPr="0026653F" w:rsidRDefault="005A40EC" w:rsidP="00C618DD">
      <w:pPr>
        <w:suppressAutoHyphens/>
        <w:ind w:left="720" w:hanging="720"/>
        <w:rPr>
          <w:szCs w:val="22"/>
          <w:lang w:val="fr-FR"/>
        </w:rPr>
      </w:pPr>
      <w:r w:rsidRPr="0026653F">
        <w:rPr>
          <w:color w:val="000000"/>
          <w:szCs w:val="22"/>
          <w:lang w:val="fr-FR"/>
        </w:rPr>
        <w:t>VIII.</w:t>
      </w:r>
      <w:r w:rsidRPr="0026653F">
        <w:rPr>
          <w:color w:val="000000"/>
          <w:szCs w:val="22"/>
          <w:lang w:val="fr-FR"/>
        </w:rPr>
        <w:tab/>
      </w:r>
      <w:r w:rsidRPr="0026653F">
        <w:rPr>
          <w:szCs w:val="22"/>
          <w:lang w:val="fr-FR"/>
        </w:rPr>
        <w:t>CONTINUITÉ DES PROCESSUS SECTORIELS DANS LE CADRE DU CIDI</w:t>
      </w:r>
    </w:p>
    <w:p w14:paraId="745722B5" w14:textId="77777777" w:rsidR="005A40EC" w:rsidRPr="0026653F" w:rsidRDefault="005A40EC" w:rsidP="00C618DD">
      <w:pPr>
        <w:suppressAutoHyphens/>
        <w:rPr>
          <w:szCs w:val="22"/>
          <w:lang w:val="fr-FR"/>
        </w:rPr>
      </w:pPr>
    </w:p>
    <w:p w14:paraId="4DDB7A8E" w14:textId="77777777" w:rsidR="005A40EC" w:rsidRPr="0026653F" w:rsidRDefault="005A40EC" w:rsidP="002108BF">
      <w:pPr>
        <w:suppressAutoHyphens/>
        <w:ind w:firstLine="720"/>
        <w:rPr>
          <w:color w:val="000000"/>
          <w:szCs w:val="22"/>
          <w:lang w:val="fr-FR"/>
        </w:rPr>
      </w:pPr>
      <w:r w:rsidRPr="0026653F">
        <w:rPr>
          <w:color w:val="000000"/>
          <w:szCs w:val="22"/>
          <w:lang w:val="fr-FR"/>
        </w:rPr>
        <w:t>55.</w:t>
      </w:r>
      <w:r w:rsidRPr="0026653F">
        <w:rPr>
          <w:color w:val="000000"/>
          <w:szCs w:val="22"/>
          <w:lang w:val="fr-FR"/>
        </w:rPr>
        <w:tab/>
        <w:t xml:space="preserve">D’adopter le calendrier suivant pour les réunions des ministres et hauts fonctionnaires organisées dans le cadre du CIDI, en tenant compte des difficultés résultant du contexte de la pandémie </w:t>
      </w:r>
      <w:r w:rsidRPr="0026653F">
        <w:rPr>
          <w:color w:val="000000"/>
          <w:szCs w:val="22"/>
          <w:lang w:val="fr-FR"/>
        </w:rPr>
        <w:lastRenderedPageBreak/>
        <w:t>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w:t>
      </w:r>
    </w:p>
    <w:p w14:paraId="77F98B19" w14:textId="77777777" w:rsidR="005A40EC" w:rsidRPr="0026653F" w:rsidRDefault="005A40EC" w:rsidP="00C618DD">
      <w:pPr>
        <w:rPr>
          <w:szCs w:val="22"/>
          <w:lang w:val="fr-FR"/>
        </w:rPr>
      </w:pPr>
    </w:p>
    <w:tbl>
      <w:tblPr>
        <w:tblW w:w="11008" w:type="dxa"/>
        <w:jc w:val="center"/>
        <w:tblLayout w:type="fixed"/>
        <w:tblCellMar>
          <w:left w:w="0" w:type="dxa"/>
          <w:right w:w="0" w:type="dxa"/>
        </w:tblCellMar>
        <w:tblLook w:val="04A0" w:firstRow="1" w:lastRow="0" w:firstColumn="1" w:lastColumn="0" w:noHBand="0" w:noVBand="1"/>
      </w:tblPr>
      <w:tblGrid>
        <w:gridCol w:w="1606"/>
        <w:gridCol w:w="1356"/>
        <w:gridCol w:w="1707"/>
        <w:gridCol w:w="1438"/>
        <w:gridCol w:w="1340"/>
        <w:gridCol w:w="1984"/>
        <w:gridCol w:w="1537"/>
        <w:gridCol w:w="40"/>
      </w:tblGrid>
      <w:tr w:rsidR="005A40EC" w:rsidRPr="0026653F" w14:paraId="380A7C66" w14:textId="77777777" w:rsidTr="009D6D34">
        <w:trPr>
          <w:gridAfter w:val="1"/>
          <w:wAfter w:w="20" w:type="dxa"/>
          <w:trHeight w:val="88"/>
          <w:tblHeader/>
          <w:jc w:val="center"/>
        </w:trPr>
        <w:tc>
          <w:tcPr>
            <w:tcW w:w="16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3B5A4567" w14:textId="77777777" w:rsidR="005A40EC" w:rsidRPr="00CC5D38" w:rsidRDefault="005A40EC" w:rsidP="00C618DD">
            <w:pPr>
              <w:ind w:left="-28" w:right="14" w:firstLine="28"/>
              <w:jc w:val="left"/>
              <w:rPr>
                <w:sz w:val="18"/>
                <w:szCs w:val="18"/>
                <w:lang w:val="fr-FR"/>
              </w:rPr>
            </w:pPr>
            <w:r w:rsidRPr="00CC5D38">
              <w:rPr>
                <w:bCs/>
                <w:sz w:val="18"/>
                <w:szCs w:val="18"/>
                <w:lang w:val="fr-FR"/>
              </w:rPr>
              <w:t>Processus sectoriel</w:t>
            </w:r>
          </w:p>
        </w:tc>
        <w:tc>
          <w:tcPr>
            <w:tcW w:w="1358"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11255C0F" w14:textId="77777777" w:rsidR="005A40EC" w:rsidRPr="00CC5D38" w:rsidRDefault="005A40EC" w:rsidP="00C618DD">
            <w:pPr>
              <w:ind w:left="62" w:right="14"/>
              <w:jc w:val="center"/>
              <w:rPr>
                <w:sz w:val="18"/>
                <w:szCs w:val="18"/>
                <w:lang w:val="fr-FR"/>
              </w:rPr>
            </w:pPr>
            <w:r w:rsidRPr="00CC5D38">
              <w:rPr>
                <w:color w:val="000000"/>
                <w:sz w:val="18"/>
                <w:szCs w:val="18"/>
                <w:lang w:val="fr-FR"/>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6149648B" w14:textId="77777777" w:rsidR="005A40EC" w:rsidRPr="00CC5D38" w:rsidRDefault="005A40EC" w:rsidP="00C618DD">
            <w:pPr>
              <w:ind w:left="54" w:right="14"/>
              <w:jc w:val="center"/>
              <w:rPr>
                <w:sz w:val="18"/>
                <w:szCs w:val="18"/>
                <w:lang w:val="fr-FR"/>
              </w:rPr>
            </w:pPr>
            <w:r w:rsidRPr="00CC5D38">
              <w:rPr>
                <w:color w:val="000000"/>
                <w:sz w:val="18"/>
                <w:szCs w:val="18"/>
                <w:lang w:val="fr-FR"/>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57A31212" w14:textId="77777777" w:rsidR="005A40EC" w:rsidRPr="00CC5D38" w:rsidRDefault="005A40EC" w:rsidP="00C618DD">
            <w:pPr>
              <w:ind w:left="54" w:right="14"/>
              <w:jc w:val="center"/>
              <w:rPr>
                <w:sz w:val="18"/>
                <w:szCs w:val="18"/>
                <w:lang w:val="fr-FR"/>
              </w:rPr>
            </w:pPr>
            <w:r w:rsidRPr="00CC5D38">
              <w:rPr>
                <w:color w:val="000000"/>
                <w:sz w:val="18"/>
                <w:szCs w:val="18"/>
                <w:lang w:val="fr-FR"/>
              </w:rPr>
              <w:t>2022</w:t>
            </w:r>
          </w:p>
        </w:tc>
        <w:tc>
          <w:tcPr>
            <w:tcW w:w="1342"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14:paraId="25F913C2" w14:textId="77777777" w:rsidR="005A40EC" w:rsidRPr="00CC5D38" w:rsidRDefault="005A40EC" w:rsidP="00C618DD">
            <w:pPr>
              <w:ind w:left="54" w:right="14"/>
              <w:jc w:val="center"/>
              <w:rPr>
                <w:sz w:val="18"/>
                <w:szCs w:val="18"/>
                <w:lang w:val="fr-FR"/>
              </w:rPr>
            </w:pPr>
            <w:r w:rsidRPr="00CC5D38">
              <w:rPr>
                <w:color w:val="000000"/>
                <w:sz w:val="18"/>
                <w:szCs w:val="18"/>
                <w:lang w:val="fr-FR"/>
              </w:rPr>
              <w:t>2023</w:t>
            </w:r>
          </w:p>
        </w:tc>
        <w:tc>
          <w:tcPr>
            <w:tcW w:w="1988"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14:paraId="5F77BD6F" w14:textId="77777777" w:rsidR="005A40EC" w:rsidRPr="00CC5D38" w:rsidRDefault="005A40EC" w:rsidP="00C618DD">
            <w:pPr>
              <w:ind w:left="54" w:right="14"/>
              <w:jc w:val="center"/>
              <w:rPr>
                <w:sz w:val="18"/>
                <w:szCs w:val="18"/>
                <w:lang w:val="fr-FR"/>
              </w:rPr>
            </w:pPr>
            <w:r w:rsidRPr="00CC5D38">
              <w:rPr>
                <w:color w:val="000000"/>
                <w:sz w:val="18"/>
                <w:szCs w:val="18"/>
                <w:lang w:val="fr-FR"/>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0FAB41DD" w14:textId="77777777" w:rsidR="005A40EC" w:rsidRPr="00CC5D38" w:rsidRDefault="005A40EC" w:rsidP="00C618DD">
            <w:pPr>
              <w:ind w:left="54" w:right="14"/>
              <w:jc w:val="center"/>
              <w:rPr>
                <w:color w:val="000000"/>
                <w:sz w:val="18"/>
                <w:szCs w:val="18"/>
                <w:lang w:val="fr-FR"/>
              </w:rPr>
            </w:pPr>
            <w:r w:rsidRPr="00CC5D38">
              <w:rPr>
                <w:color w:val="000000"/>
                <w:sz w:val="18"/>
                <w:szCs w:val="18"/>
                <w:lang w:val="fr-FR"/>
              </w:rPr>
              <w:t>2025</w:t>
            </w:r>
          </w:p>
        </w:tc>
      </w:tr>
      <w:tr w:rsidR="005A40EC" w:rsidRPr="0026653F" w14:paraId="475718EF" w14:textId="77777777" w:rsidTr="009D6D34">
        <w:trPr>
          <w:gridAfter w:val="1"/>
          <w:wAfter w:w="20" w:type="dxa"/>
          <w:trHeight w:val="1105"/>
          <w:jc w:val="center"/>
        </w:trPr>
        <w:tc>
          <w:tcPr>
            <w:tcW w:w="161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055328FA"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t>1. Tourisme</w:t>
            </w:r>
          </w:p>
        </w:tc>
        <w:tc>
          <w:tcPr>
            <w:tcW w:w="1358"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257C314" w14:textId="77777777" w:rsidR="005A40EC" w:rsidRPr="00CC5D38" w:rsidRDefault="005A40EC" w:rsidP="00C618DD">
            <w:pPr>
              <w:ind w:left="62" w:right="14"/>
              <w:jc w:val="left"/>
              <w:rPr>
                <w:i/>
                <w:sz w:val="18"/>
                <w:szCs w:val="18"/>
                <w:lang w:val="fr-FR"/>
              </w:rPr>
            </w:pPr>
            <w:r w:rsidRPr="00CC5D38">
              <w:rPr>
                <w:sz w:val="18"/>
                <w:szCs w:val="18"/>
                <w:lang w:val="fr-FR"/>
              </w:rPr>
              <w:t>II</w:t>
            </w:r>
            <w:r w:rsidRPr="00CC5D38">
              <w:rPr>
                <w:sz w:val="18"/>
                <w:szCs w:val="18"/>
                <w:vertAlign w:val="superscript"/>
                <w:lang w:val="fr-FR"/>
              </w:rPr>
              <w:t>e</w:t>
            </w:r>
            <w:r w:rsidRPr="00CC5D38">
              <w:rPr>
                <w:sz w:val="18"/>
                <w:szCs w:val="18"/>
                <w:lang w:val="fr-FR"/>
              </w:rPr>
              <w:t xml:space="preserve"> Réunion ordinaire de la CITUR </w:t>
            </w:r>
            <w:r w:rsidRPr="00CC5D38">
              <w:rPr>
                <w:i/>
                <w:iCs/>
                <w:sz w:val="18"/>
                <w:szCs w:val="18"/>
                <w:lang w:val="fr-FR"/>
              </w:rPr>
              <w:t>(virtuelle 19-20 novembre)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BE3C250" w14:textId="77777777" w:rsidR="005A40EC" w:rsidRPr="00CC5D38" w:rsidRDefault="005A40EC" w:rsidP="00C618DD">
            <w:pPr>
              <w:suppressAutoHyphens/>
              <w:jc w:val="left"/>
              <w:rPr>
                <w:sz w:val="18"/>
                <w:szCs w:val="18"/>
                <w:lang w:val="fr-FR"/>
              </w:rPr>
            </w:pPr>
            <w:r w:rsidRPr="00CC5D38">
              <w:rPr>
                <w:sz w:val="18"/>
                <w:szCs w:val="18"/>
                <w:lang w:val="fr-FR"/>
              </w:rPr>
              <w:t>XXV</w:t>
            </w:r>
            <w:r w:rsidRPr="00CC5D38">
              <w:rPr>
                <w:sz w:val="18"/>
                <w:szCs w:val="18"/>
                <w:vertAlign w:val="superscript"/>
                <w:lang w:val="fr-FR"/>
              </w:rPr>
              <w:t>e</w:t>
            </w:r>
            <w:r w:rsidRPr="00CC5D38">
              <w:rPr>
                <w:sz w:val="18"/>
                <w:szCs w:val="18"/>
                <w:lang w:val="fr-FR"/>
              </w:rPr>
              <w:t xml:space="preserve"> Réunion des ministres du tourisme</w:t>
            </w:r>
          </w:p>
          <w:p w14:paraId="4BA24E0E" w14:textId="77777777" w:rsidR="005A40EC" w:rsidRPr="00CC5D38" w:rsidRDefault="005A40EC" w:rsidP="00C618DD">
            <w:pPr>
              <w:ind w:left="58" w:right="14"/>
              <w:jc w:val="left"/>
              <w:rPr>
                <w:sz w:val="18"/>
                <w:szCs w:val="18"/>
                <w:lang w:val="fr-FR"/>
              </w:rPr>
            </w:pPr>
            <w:r w:rsidRPr="00CC5D38">
              <w:rPr>
                <w:i/>
                <w:sz w:val="18"/>
                <w:szCs w:val="18"/>
                <w:lang w:val="fr-FR"/>
              </w:rPr>
              <w:t>(Paraguay</w:t>
            </w:r>
            <w:r w:rsidRPr="00CC5D38">
              <w:rPr>
                <w:i/>
                <w:iCs/>
                <w:color w:val="000000"/>
                <w:sz w:val="18"/>
                <w:szCs w:val="18"/>
                <w:lang w:val="fr-FR"/>
              </w:rPr>
              <w:t>)</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C994481" w14:textId="77777777" w:rsidR="005A40EC" w:rsidRPr="00CC5D38" w:rsidRDefault="005A40EC" w:rsidP="00C618DD">
            <w:pPr>
              <w:ind w:left="62" w:right="14"/>
              <w:jc w:val="left"/>
              <w:rPr>
                <w:sz w:val="18"/>
                <w:szCs w:val="18"/>
                <w:lang w:val="fr-FR"/>
              </w:rPr>
            </w:pPr>
          </w:p>
        </w:tc>
        <w:tc>
          <w:tcPr>
            <w:tcW w:w="1342"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0EE5E567" w14:textId="458DD082" w:rsidR="005A40EC" w:rsidRPr="00CC5D38" w:rsidRDefault="005A40EC" w:rsidP="00C618DD">
            <w:pPr>
              <w:ind w:right="14"/>
              <w:jc w:val="left"/>
              <w:rPr>
                <w:sz w:val="18"/>
                <w:szCs w:val="18"/>
                <w:lang w:val="fr-FR"/>
              </w:rPr>
            </w:pPr>
            <w:r w:rsidRPr="00CC5D38">
              <w:rPr>
                <w:color w:val="000000"/>
                <w:sz w:val="18"/>
                <w:szCs w:val="18"/>
                <w:lang w:val="fr-FR"/>
              </w:rPr>
              <w:t>III</w:t>
            </w:r>
            <w:r w:rsidR="00E47AA8" w:rsidRPr="00CC5D38">
              <w:rPr>
                <w:color w:val="000000"/>
                <w:sz w:val="18"/>
                <w:szCs w:val="18"/>
                <w:vertAlign w:val="superscript"/>
                <w:lang w:val="fr-FR"/>
              </w:rPr>
              <w:t>e</w:t>
            </w:r>
            <w:r w:rsidR="00E47AA8" w:rsidRPr="00CC5D38">
              <w:rPr>
                <w:color w:val="000000"/>
                <w:sz w:val="18"/>
                <w:szCs w:val="18"/>
                <w:lang w:val="fr-FR"/>
              </w:rPr>
              <w:t xml:space="preserve"> </w:t>
            </w:r>
            <w:r w:rsidRPr="00CC5D38">
              <w:rPr>
                <w:color w:val="000000"/>
                <w:sz w:val="18"/>
                <w:szCs w:val="18"/>
                <w:lang w:val="fr-FR"/>
              </w:rPr>
              <w:t>R</w:t>
            </w:r>
            <w:r w:rsidR="00E47AA8" w:rsidRPr="00CC5D38">
              <w:rPr>
                <w:color w:val="000000"/>
                <w:sz w:val="18"/>
                <w:szCs w:val="18"/>
                <w:lang w:val="fr-FR"/>
              </w:rPr>
              <w:t xml:space="preserve">éunion </w:t>
            </w:r>
            <w:r w:rsidRPr="00CC5D38">
              <w:rPr>
                <w:color w:val="000000"/>
                <w:sz w:val="18"/>
                <w:szCs w:val="18"/>
                <w:lang w:val="fr-FR"/>
              </w:rPr>
              <w:t>de la CITUR</w:t>
            </w:r>
          </w:p>
        </w:tc>
        <w:tc>
          <w:tcPr>
            <w:tcW w:w="1988"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49E6069" w14:textId="77777777" w:rsidR="005A40EC" w:rsidRPr="00CC5D38" w:rsidRDefault="005A40EC" w:rsidP="00C618DD">
            <w:pPr>
              <w:suppressAutoHyphens/>
              <w:jc w:val="left"/>
              <w:rPr>
                <w:sz w:val="18"/>
                <w:szCs w:val="18"/>
                <w:lang w:val="fr-FR"/>
              </w:rPr>
            </w:pPr>
            <w:r w:rsidRPr="00CC5D38">
              <w:rPr>
                <w:sz w:val="18"/>
                <w:szCs w:val="18"/>
                <w:lang w:val="fr-FR"/>
              </w:rPr>
              <w:t>XXVI</w:t>
            </w:r>
            <w:r w:rsidRPr="00CC5D38">
              <w:rPr>
                <w:sz w:val="18"/>
                <w:szCs w:val="18"/>
                <w:vertAlign w:val="superscript"/>
                <w:lang w:val="fr-FR"/>
              </w:rPr>
              <w:t>e</w:t>
            </w:r>
            <w:r w:rsidRPr="00CC5D38">
              <w:rPr>
                <w:sz w:val="18"/>
                <w:szCs w:val="18"/>
                <w:lang w:val="fr-FR"/>
              </w:rPr>
              <w:t xml:space="preserve"> Réunion des ministres du tourisme</w:t>
            </w:r>
          </w:p>
          <w:p w14:paraId="6AE55443" w14:textId="77777777" w:rsidR="005A40EC" w:rsidRPr="00CC5D38" w:rsidRDefault="005A40EC" w:rsidP="00C618DD">
            <w:pPr>
              <w:ind w:left="70" w:right="14"/>
              <w:jc w:val="left"/>
              <w:rPr>
                <w:sz w:val="18"/>
                <w:szCs w:val="18"/>
                <w:lang w:val="fr-FR"/>
              </w:rPr>
            </w:pPr>
            <w:r w:rsidRPr="00CC5D38">
              <w:rPr>
                <w:i/>
                <w:iCs/>
                <w:color w:val="000000"/>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ADE9069" w14:textId="77777777" w:rsidR="005A40EC" w:rsidRPr="00CC5D38" w:rsidRDefault="005A40EC" w:rsidP="00C618DD">
            <w:pPr>
              <w:ind w:left="270" w:right="14"/>
              <w:jc w:val="left"/>
              <w:rPr>
                <w:color w:val="000000"/>
                <w:sz w:val="18"/>
                <w:szCs w:val="18"/>
                <w:lang w:val="fr-FR"/>
              </w:rPr>
            </w:pPr>
          </w:p>
        </w:tc>
      </w:tr>
      <w:tr w:rsidR="005A40EC" w:rsidRPr="00B44AA1" w14:paraId="2772202A" w14:textId="77777777" w:rsidTr="009D6D34">
        <w:trPr>
          <w:gridAfter w:val="1"/>
          <w:wAfter w:w="20" w:type="dxa"/>
          <w:trHeight w:val="929"/>
          <w:jc w:val="center"/>
        </w:trPr>
        <w:tc>
          <w:tcPr>
            <w:tcW w:w="161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hideMark/>
          </w:tcPr>
          <w:p w14:paraId="73646E59"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t>2. Ports</w:t>
            </w:r>
          </w:p>
          <w:p w14:paraId="6EEA5141"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2E3C0D72"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0DC985E" w14:textId="77777777" w:rsidR="005A40EC" w:rsidRPr="00CC5D38" w:rsidRDefault="005A40EC" w:rsidP="00C618DD">
            <w:pPr>
              <w:suppressAutoHyphens/>
              <w:rPr>
                <w:sz w:val="18"/>
                <w:szCs w:val="18"/>
                <w:lang w:val="fr-FR"/>
              </w:rPr>
            </w:pPr>
            <w:r w:rsidRPr="00CC5D38">
              <w:rPr>
                <w:color w:val="000000"/>
                <w:sz w:val="18"/>
                <w:szCs w:val="18"/>
                <w:lang w:val="fr-FR"/>
              </w:rPr>
              <w:t>XII</w:t>
            </w:r>
            <w:r w:rsidRPr="00CC5D38">
              <w:rPr>
                <w:color w:val="000000"/>
                <w:sz w:val="18"/>
                <w:szCs w:val="18"/>
                <w:vertAlign w:val="superscript"/>
                <w:lang w:val="fr-FR"/>
              </w:rPr>
              <w:t>e</w:t>
            </w:r>
            <w:r w:rsidRPr="00CC5D38">
              <w:rPr>
                <w:color w:val="000000"/>
                <w:sz w:val="18"/>
                <w:szCs w:val="18"/>
                <w:lang w:val="fr-FR"/>
              </w:rPr>
              <w:t xml:space="preserve"> </w:t>
            </w:r>
            <w:r w:rsidRPr="00CC5D38">
              <w:rPr>
                <w:sz w:val="18"/>
                <w:szCs w:val="18"/>
                <w:lang w:val="fr-FR"/>
              </w:rPr>
              <w:t>Réunion</w:t>
            </w:r>
            <w:r w:rsidRPr="00CC5D38">
              <w:rPr>
                <w:color w:val="000000"/>
                <w:sz w:val="18"/>
                <w:szCs w:val="18"/>
                <w:lang w:val="fr-FR"/>
              </w:rPr>
              <w:t xml:space="preserve"> de la CIP</w:t>
            </w:r>
          </w:p>
          <w:p w14:paraId="39CE32B4" w14:textId="77777777" w:rsidR="005A40EC" w:rsidRPr="00CC5D38" w:rsidRDefault="005A40EC" w:rsidP="00C618DD">
            <w:pPr>
              <w:ind w:left="54" w:right="14"/>
              <w:jc w:val="left"/>
              <w:rPr>
                <w:sz w:val="18"/>
                <w:szCs w:val="18"/>
                <w:lang w:val="fr-FR"/>
              </w:rPr>
            </w:pPr>
            <w:r w:rsidRPr="00CC5D38">
              <w:rPr>
                <w:i/>
                <w:iCs/>
                <w:color w:val="000000"/>
                <w:sz w:val="18"/>
                <w:szCs w:val="18"/>
                <w:lang w:val="fr-FR"/>
              </w:rPr>
              <w:t>(Argentine, 19-21 mai)</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367BF417"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4C4FE1E2" w14:textId="77777777" w:rsidR="005A40EC" w:rsidRPr="00CC5D38" w:rsidRDefault="005A40EC" w:rsidP="00C618DD">
            <w:pPr>
              <w:suppressAutoHyphens/>
              <w:rPr>
                <w:sz w:val="18"/>
                <w:szCs w:val="18"/>
                <w:lang w:val="fr-FR"/>
              </w:rPr>
            </w:pPr>
            <w:r w:rsidRPr="00CC5D38">
              <w:rPr>
                <w:color w:val="000000"/>
                <w:sz w:val="18"/>
                <w:szCs w:val="18"/>
                <w:lang w:val="fr-FR"/>
              </w:rPr>
              <w:t>XIII</w:t>
            </w:r>
            <w:r w:rsidRPr="00CC5D38">
              <w:rPr>
                <w:color w:val="000000"/>
                <w:sz w:val="18"/>
                <w:szCs w:val="18"/>
                <w:vertAlign w:val="superscript"/>
                <w:lang w:val="fr-FR"/>
              </w:rPr>
              <w:t>e</w:t>
            </w:r>
            <w:r w:rsidRPr="00CC5D38">
              <w:rPr>
                <w:color w:val="000000"/>
                <w:sz w:val="18"/>
                <w:szCs w:val="18"/>
                <w:lang w:val="fr-FR"/>
              </w:rPr>
              <w:t xml:space="preserve"> </w:t>
            </w:r>
            <w:r w:rsidRPr="00CC5D38">
              <w:rPr>
                <w:sz w:val="18"/>
                <w:szCs w:val="18"/>
                <w:lang w:val="fr-FR"/>
              </w:rPr>
              <w:t>Réunion</w:t>
            </w:r>
            <w:r w:rsidRPr="00CC5D38">
              <w:rPr>
                <w:color w:val="000000"/>
                <w:sz w:val="18"/>
                <w:szCs w:val="18"/>
                <w:lang w:val="fr-FR"/>
              </w:rPr>
              <w:t xml:space="preserve"> de la CIP</w:t>
            </w:r>
          </w:p>
          <w:p w14:paraId="2F99788A" w14:textId="77777777" w:rsidR="005A40EC" w:rsidRPr="00CC5D38" w:rsidRDefault="005A40EC" w:rsidP="00C618DD">
            <w:pPr>
              <w:ind w:right="14"/>
              <w:jc w:val="left"/>
              <w:rPr>
                <w:sz w:val="18"/>
                <w:szCs w:val="18"/>
                <w:lang w:val="fr-FR"/>
              </w:rPr>
            </w:pPr>
            <w:r w:rsidRPr="00CC5D38">
              <w:rPr>
                <w:i/>
                <w:iCs/>
                <w:color w:val="000000"/>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r w:rsidRPr="00CC5D38">
              <w:rPr>
                <w:i/>
                <w:iCs/>
                <w:color w:val="000000"/>
                <w:sz w:val="18"/>
                <w:szCs w:val="18"/>
                <w:lang w:val="fr-FR"/>
              </w:rPr>
              <w:t>)</w:t>
            </w:r>
          </w:p>
        </w:tc>
        <w:tc>
          <w:tcPr>
            <w:tcW w:w="1988"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2DB20D04" w14:textId="77777777" w:rsidR="005A40EC" w:rsidRPr="00CC5D38" w:rsidRDefault="005A40EC" w:rsidP="00C618DD">
            <w:pPr>
              <w:ind w:left="270" w:right="14"/>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2AA25DA" w14:textId="77777777" w:rsidR="005A40EC" w:rsidRPr="00CC5D38" w:rsidRDefault="005A40EC" w:rsidP="00C618DD">
            <w:pPr>
              <w:suppressAutoHyphens/>
              <w:jc w:val="left"/>
              <w:rPr>
                <w:sz w:val="18"/>
                <w:szCs w:val="18"/>
                <w:lang w:val="fr-FR"/>
              </w:rPr>
            </w:pPr>
            <w:r w:rsidRPr="00CC5D38">
              <w:rPr>
                <w:color w:val="000000"/>
                <w:sz w:val="18"/>
                <w:szCs w:val="18"/>
                <w:lang w:val="fr-FR"/>
              </w:rPr>
              <w:t>XIV</w:t>
            </w:r>
            <w:r w:rsidRPr="00CC5D38">
              <w:rPr>
                <w:color w:val="000000"/>
                <w:sz w:val="18"/>
                <w:szCs w:val="18"/>
                <w:vertAlign w:val="superscript"/>
                <w:lang w:val="fr-FR"/>
              </w:rPr>
              <w:t>e</w:t>
            </w:r>
            <w:r w:rsidRPr="00CC5D38">
              <w:rPr>
                <w:color w:val="000000"/>
                <w:sz w:val="18"/>
                <w:szCs w:val="18"/>
                <w:lang w:val="fr-FR"/>
              </w:rPr>
              <w:t xml:space="preserve"> </w:t>
            </w:r>
            <w:r w:rsidRPr="00CC5D38">
              <w:rPr>
                <w:sz w:val="18"/>
                <w:szCs w:val="18"/>
                <w:lang w:val="fr-FR"/>
              </w:rPr>
              <w:t>Réunion</w:t>
            </w:r>
            <w:r w:rsidRPr="00CC5D38">
              <w:rPr>
                <w:color w:val="000000"/>
                <w:sz w:val="18"/>
                <w:szCs w:val="18"/>
                <w:lang w:val="fr-FR"/>
              </w:rPr>
              <w:t xml:space="preserve"> de la CIP</w:t>
            </w:r>
          </w:p>
          <w:p w14:paraId="747AD609" w14:textId="77777777" w:rsidR="005A40EC" w:rsidRPr="00CC5D38" w:rsidRDefault="005A40EC" w:rsidP="00C618DD">
            <w:pPr>
              <w:ind w:left="80" w:right="14"/>
              <w:jc w:val="left"/>
              <w:rPr>
                <w:color w:val="000000"/>
                <w:sz w:val="18"/>
                <w:szCs w:val="18"/>
                <w:lang w:val="fr-FR"/>
              </w:rPr>
            </w:pPr>
            <w:r w:rsidRPr="00CC5D38">
              <w:rPr>
                <w:i/>
                <w:iCs/>
                <w:color w:val="000000"/>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r w:rsidRPr="00CC5D38">
              <w:rPr>
                <w:i/>
                <w:iCs/>
                <w:color w:val="000000"/>
                <w:sz w:val="18"/>
                <w:szCs w:val="18"/>
                <w:lang w:val="fr-FR"/>
              </w:rPr>
              <w:t>)</w:t>
            </w:r>
          </w:p>
        </w:tc>
      </w:tr>
      <w:tr w:rsidR="005A40EC" w:rsidRPr="0026653F" w14:paraId="648FFDE0" w14:textId="77777777" w:rsidTr="009D6D34">
        <w:trPr>
          <w:gridAfter w:val="1"/>
          <w:wAfter w:w="20" w:type="dxa"/>
          <w:trHeight w:val="516"/>
          <w:jc w:val="center"/>
        </w:trPr>
        <w:tc>
          <w:tcPr>
            <w:tcW w:w="161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6048BFB3"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t xml:space="preserve">3. Éducation </w:t>
            </w:r>
          </w:p>
        </w:tc>
        <w:tc>
          <w:tcPr>
            <w:tcW w:w="1358"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1EF2B10"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F53FA60" w14:textId="77777777" w:rsidR="005A40EC" w:rsidRPr="00CC5D38" w:rsidRDefault="005A40EC" w:rsidP="00C618DD">
            <w:pPr>
              <w:suppressAutoHyphens/>
              <w:rPr>
                <w:sz w:val="18"/>
                <w:szCs w:val="18"/>
                <w:lang w:val="fr-FR"/>
              </w:rPr>
            </w:pPr>
            <w:r w:rsidRPr="00CC5D38">
              <w:rPr>
                <w:color w:val="000000"/>
                <w:sz w:val="18"/>
                <w:szCs w:val="18"/>
                <w:lang w:val="fr-FR"/>
              </w:rPr>
              <w:t>IX</w:t>
            </w:r>
            <w:r w:rsidRPr="00CC5D38">
              <w:rPr>
                <w:color w:val="000000"/>
                <w:sz w:val="18"/>
                <w:szCs w:val="18"/>
                <w:vertAlign w:val="superscript"/>
                <w:lang w:val="fr-FR"/>
              </w:rPr>
              <w:t>e</w:t>
            </w:r>
            <w:r w:rsidRPr="00CC5D38">
              <w:rPr>
                <w:color w:val="000000"/>
                <w:sz w:val="18"/>
                <w:szCs w:val="18"/>
                <w:lang w:val="fr-FR"/>
              </w:rPr>
              <w:t xml:space="preserve"> Réunion de la CIE</w:t>
            </w:r>
          </w:p>
          <w:p w14:paraId="43B90E7D" w14:textId="77777777" w:rsidR="005A40EC" w:rsidRPr="00CC5D38" w:rsidRDefault="005A40EC" w:rsidP="00C618DD">
            <w:pPr>
              <w:ind w:left="54" w:right="14"/>
              <w:jc w:val="left"/>
              <w:rPr>
                <w:sz w:val="18"/>
                <w:szCs w:val="18"/>
                <w:lang w:val="fr-FR"/>
              </w:rPr>
            </w:pPr>
          </w:p>
          <w:p w14:paraId="2D6DB48B" w14:textId="77777777" w:rsidR="005A40EC" w:rsidRPr="00CC5D38" w:rsidRDefault="005A40EC" w:rsidP="00C618DD">
            <w:pPr>
              <w:ind w:left="54" w:right="14"/>
              <w:jc w:val="left"/>
              <w:rPr>
                <w:sz w:val="18"/>
                <w:szCs w:val="18"/>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4B3F7E2" w14:textId="77777777" w:rsidR="005A40EC" w:rsidRPr="00CC5D38" w:rsidRDefault="005A40EC" w:rsidP="00C618DD">
            <w:pPr>
              <w:suppressAutoHyphens/>
              <w:jc w:val="left"/>
              <w:rPr>
                <w:sz w:val="18"/>
                <w:szCs w:val="18"/>
                <w:lang w:val="fr-FR"/>
              </w:rPr>
            </w:pPr>
            <w:r w:rsidRPr="00CC5D38">
              <w:rPr>
                <w:sz w:val="18"/>
                <w:szCs w:val="18"/>
                <w:lang w:val="fr-FR"/>
              </w:rPr>
              <w:t>XI</w:t>
            </w:r>
            <w:r w:rsidRPr="00CC5D38">
              <w:rPr>
                <w:sz w:val="18"/>
                <w:szCs w:val="18"/>
                <w:vertAlign w:val="superscript"/>
                <w:lang w:val="fr-FR"/>
              </w:rPr>
              <w:t>e</w:t>
            </w:r>
            <w:r w:rsidRPr="00CC5D38">
              <w:rPr>
                <w:sz w:val="18"/>
                <w:szCs w:val="18"/>
                <w:lang w:val="fr-FR"/>
              </w:rPr>
              <w:t xml:space="preserve"> Réunion des ministres de l’éducation</w:t>
            </w:r>
          </w:p>
          <w:p w14:paraId="67398C90" w14:textId="77777777" w:rsidR="005A40EC" w:rsidRPr="00CC5D38" w:rsidRDefault="005A40EC" w:rsidP="00C618DD">
            <w:pPr>
              <w:ind w:left="62" w:right="14"/>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c>
          <w:tcPr>
            <w:tcW w:w="1342"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5D26CFF"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14AC2FB5" w14:textId="77777777" w:rsidR="005A40EC" w:rsidRPr="00CC5D38" w:rsidRDefault="005A40EC" w:rsidP="00C618DD">
            <w:pPr>
              <w:ind w:left="80" w:right="14"/>
              <w:jc w:val="left"/>
              <w:rPr>
                <w:color w:val="000000"/>
                <w:sz w:val="18"/>
                <w:szCs w:val="18"/>
                <w:lang w:val="fr-FR"/>
              </w:rPr>
            </w:pPr>
          </w:p>
          <w:p w14:paraId="2CAEE7A8" w14:textId="77777777" w:rsidR="005A40EC" w:rsidRPr="00CC5D38" w:rsidRDefault="005A40EC" w:rsidP="00C618DD">
            <w:pPr>
              <w:suppressAutoHyphens/>
              <w:rPr>
                <w:sz w:val="18"/>
                <w:szCs w:val="18"/>
                <w:lang w:val="fr-FR"/>
              </w:rPr>
            </w:pPr>
            <w:r w:rsidRPr="00CC5D38">
              <w:rPr>
                <w:color w:val="000000"/>
                <w:sz w:val="18"/>
                <w:szCs w:val="18"/>
                <w:lang w:val="fr-FR"/>
              </w:rPr>
              <w:t>X</w:t>
            </w:r>
            <w:r w:rsidRPr="00CC5D38">
              <w:rPr>
                <w:color w:val="000000"/>
                <w:sz w:val="18"/>
                <w:szCs w:val="18"/>
                <w:vertAlign w:val="superscript"/>
                <w:lang w:val="fr-FR"/>
              </w:rPr>
              <w:t>e</w:t>
            </w:r>
            <w:r w:rsidRPr="00CC5D38">
              <w:rPr>
                <w:color w:val="000000"/>
                <w:sz w:val="18"/>
                <w:szCs w:val="18"/>
                <w:lang w:val="fr-FR"/>
              </w:rPr>
              <w:t xml:space="preserve"> Réunion de la CIE</w:t>
            </w:r>
          </w:p>
          <w:p w14:paraId="4CF9D4A6" w14:textId="77777777" w:rsidR="005A40EC" w:rsidRPr="00CC5D38" w:rsidRDefault="005A40EC" w:rsidP="00C618DD">
            <w:pPr>
              <w:ind w:left="80" w:right="14"/>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5FBC1F" w14:textId="77777777" w:rsidR="005A40EC" w:rsidRPr="00CC5D38" w:rsidRDefault="005A40EC" w:rsidP="00C618DD">
            <w:pPr>
              <w:suppressAutoHyphens/>
              <w:jc w:val="left"/>
              <w:rPr>
                <w:sz w:val="18"/>
                <w:szCs w:val="18"/>
                <w:lang w:val="fr-FR"/>
              </w:rPr>
            </w:pPr>
            <w:r w:rsidRPr="00CC5D38">
              <w:rPr>
                <w:color w:val="000000"/>
                <w:sz w:val="18"/>
                <w:szCs w:val="18"/>
                <w:lang w:val="fr-FR"/>
              </w:rPr>
              <w:t>XII</w:t>
            </w:r>
            <w:r w:rsidRPr="00CC5D38">
              <w:rPr>
                <w:color w:val="000000"/>
                <w:sz w:val="18"/>
                <w:szCs w:val="18"/>
                <w:vertAlign w:val="superscript"/>
                <w:lang w:val="fr-FR"/>
              </w:rPr>
              <w:t>e</w:t>
            </w:r>
            <w:r w:rsidRPr="00CC5D38">
              <w:rPr>
                <w:color w:val="000000"/>
                <w:sz w:val="18"/>
                <w:szCs w:val="18"/>
                <w:lang w:val="fr-FR"/>
              </w:rPr>
              <w:t xml:space="preserve"> </w:t>
            </w:r>
            <w:r w:rsidRPr="00CC5D38">
              <w:rPr>
                <w:sz w:val="18"/>
                <w:szCs w:val="18"/>
                <w:lang w:val="fr-FR"/>
              </w:rPr>
              <w:t>Réunion des ministres de l’éducation</w:t>
            </w:r>
          </w:p>
          <w:p w14:paraId="1EC0C69B" w14:textId="77777777" w:rsidR="005A40EC" w:rsidRPr="00CC5D38" w:rsidRDefault="005A40EC" w:rsidP="00C618DD">
            <w:pPr>
              <w:ind w:left="62" w:right="14"/>
              <w:jc w:val="left"/>
              <w:rPr>
                <w:color w:val="000000"/>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r>
      <w:tr w:rsidR="005A40EC" w:rsidRPr="0026653F" w14:paraId="5A99129D" w14:textId="77777777" w:rsidTr="009D6D34">
        <w:trPr>
          <w:gridAfter w:val="1"/>
          <w:wAfter w:w="20" w:type="dxa"/>
          <w:trHeight w:val="669"/>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030B64DA"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t>4. Coopération</w:t>
            </w:r>
          </w:p>
          <w:p w14:paraId="6728B6F1"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FFF1ACA" w14:textId="77777777" w:rsidR="005A40EC" w:rsidRPr="00CC5D38" w:rsidRDefault="005A40EC" w:rsidP="00C618DD">
            <w:pPr>
              <w:ind w:left="270"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18B37CB2" w14:textId="77777777" w:rsidR="005A40EC" w:rsidRPr="00CC5D38" w:rsidRDefault="005A40EC" w:rsidP="00C618DD">
            <w:pPr>
              <w:suppressAutoHyphens/>
              <w:jc w:val="left"/>
              <w:rPr>
                <w:sz w:val="18"/>
                <w:szCs w:val="18"/>
                <w:lang w:val="fr-FR"/>
              </w:rPr>
            </w:pPr>
            <w:r w:rsidRPr="00CC5D38">
              <w:rPr>
                <w:sz w:val="18"/>
                <w:szCs w:val="18"/>
                <w:lang w:val="fr-FR"/>
              </w:rPr>
              <w:t>III</w:t>
            </w:r>
            <w:r w:rsidRPr="00CC5D38">
              <w:rPr>
                <w:sz w:val="18"/>
                <w:szCs w:val="18"/>
                <w:vertAlign w:val="superscript"/>
                <w:lang w:val="fr-FR"/>
              </w:rPr>
              <w:t>e</w:t>
            </w:r>
            <w:r w:rsidRPr="00CC5D38">
              <w:rPr>
                <w:sz w:val="18"/>
                <w:szCs w:val="18"/>
                <w:lang w:val="fr-FR"/>
              </w:rPr>
              <w:t xml:space="preserve"> Réunion des ministres chargés de la coopération</w:t>
            </w:r>
          </w:p>
          <w:p w14:paraId="38C36CD1" w14:textId="77777777" w:rsidR="005A40EC" w:rsidRPr="00CC5D38" w:rsidRDefault="005A40EC" w:rsidP="00C618DD">
            <w:pPr>
              <w:suppressAutoHyphens/>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3C325196" w14:textId="77777777" w:rsidR="005A40EC" w:rsidRPr="00CC5D38" w:rsidRDefault="005A40EC" w:rsidP="00C618DD">
            <w:pPr>
              <w:ind w:left="54" w:right="14"/>
              <w:jc w:val="left"/>
              <w:rPr>
                <w:sz w:val="18"/>
                <w:szCs w:val="18"/>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7170C227"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DD54A22"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4A89A67C" w14:textId="77777777" w:rsidR="005A40EC" w:rsidRPr="00CC5D38" w:rsidRDefault="005A40EC" w:rsidP="00C618DD">
            <w:pPr>
              <w:suppressAutoHyphens/>
              <w:jc w:val="left"/>
              <w:rPr>
                <w:sz w:val="18"/>
                <w:szCs w:val="18"/>
                <w:lang w:val="fr-FR"/>
              </w:rPr>
            </w:pPr>
            <w:r w:rsidRPr="00CC5D38">
              <w:rPr>
                <w:sz w:val="18"/>
                <w:szCs w:val="18"/>
                <w:lang w:val="fr-FR"/>
              </w:rPr>
              <w:t>IV</w:t>
            </w:r>
            <w:r w:rsidRPr="00CC5D38">
              <w:rPr>
                <w:sz w:val="18"/>
                <w:szCs w:val="18"/>
                <w:vertAlign w:val="superscript"/>
                <w:lang w:val="fr-FR"/>
              </w:rPr>
              <w:t>e</w:t>
            </w:r>
            <w:r w:rsidRPr="00CC5D38">
              <w:rPr>
                <w:sz w:val="18"/>
                <w:szCs w:val="18"/>
                <w:lang w:val="fr-FR"/>
              </w:rPr>
              <w:t xml:space="preserve"> Réunion des ministres chargés de la coopération</w:t>
            </w:r>
          </w:p>
          <w:p w14:paraId="1DC4BC5D" w14:textId="77777777" w:rsidR="005A40EC" w:rsidRPr="00CC5D38" w:rsidRDefault="005A40EC" w:rsidP="00C618DD">
            <w:pPr>
              <w:suppressAutoHyphens/>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1F7B030B" w14:textId="77777777" w:rsidR="005A40EC" w:rsidRPr="00CC5D38" w:rsidRDefault="005A40EC" w:rsidP="00C618DD">
            <w:pPr>
              <w:ind w:left="80" w:right="14" w:firstLine="91"/>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308CDF" w14:textId="77777777" w:rsidR="005A40EC" w:rsidRPr="00CC5D38" w:rsidRDefault="005A40EC" w:rsidP="00C618DD">
            <w:pPr>
              <w:ind w:left="80" w:right="14"/>
              <w:rPr>
                <w:color w:val="000000"/>
                <w:sz w:val="18"/>
                <w:szCs w:val="18"/>
                <w:lang w:val="fr-FR"/>
              </w:rPr>
            </w:pPr>
          </w:p>
        </w:tc>
      </w:tr>
      <w:tr w:rsidR="005A40EC" w:rsidRPr="0026653F" w14:paraId="782C11A2" w14:textId="77777777" w:rsidTr="009D6D34">
        <w:trPr>
          <w:gridAfter w:val="1"/>
          <w:wAfter w:w="20" w:type="dxa"/>
          <w:trHeight w:val="2216"/>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3D6BF571" w14:textId="138E9AE2" w:rsidR="005A40EC" w:rsidRPr="00CC5D38" w:rsidRDefault="005A40EC" w:rsidP="00C618DD">
            <w:pPr>
              <w:ind w:left="120" w:right="14" w:hanging="120"/>
              <w:jc w:val="left"/>
              <w:rPr>
                <w:sz w:val="18"/>
                <w:szCs w:val="18"/>
                <w:lang w:val="fr-FR"/>
              </w:rPr>
            </w:pPr>
            <w:r w:rsidRPr="00CC5D38">
              <w:rPr>
                <w:color w:val="000000"/>
                <w:sz w:val="18"/>
                <w:szCs w:val="18"/>
                <w:lang w:val="fr-FR"/>
              </w:rPr>
              <w:t>5. Développement social</w:t>
            </w:r>
          </w:p>
          <w:p w14:paraId="71B3B2CF"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15DFA956" w14:textId="77777777" w:rsidR="005A40EC" w:rsidRPr="00CC5D38" w:rsidRDefault="005A40EC" w:rsidP="00C618DD">
            <w:pPr>
              <w:ind w:left="62" w:right="14"/>
              <w:jc w:val="left"/>
              <w:rPr>
                <w:sz w:val="18"/>
                <w:szCs w:val="18"/>
                <w:lang w:val="fr-FR"/>
              </w:rPr>
            </w:pPr>
            <w:r w:rsidRPr="00CC5D38">
              <w:rPr>
                <w:sz w:val="18"/>
                <w:szCs w:val="18"/>
                <w:lang w:val="fr-FR"/>
              </w:rPr>
              <w:t>V</w:t>
            </w:r>
            <w:r w:rsidRPr="00CC5D38">
              <w:rPr>
                <w:sz w:val="18"/>
                <w:szCs w:val="18"/>
                <w:vertAlign w:val="superscript"/>
                <w:lang w:val="fr-FR"/>
              </w:rPr>
              <w:t>e</w:t>
            </w:r>
            <w:r w:rsidRPr="00CC5D38">
              <w:rPr>
                <w:sz w:val="18"/>
                <w:szCs w:val="18"/>
                <w:lang w:val="fr-FR"/>
              </w:rPr>
              <w:t xml:space="preserve"> Réunion de la CIDES</w:t>
            </w:r>
          </w:p>
          <w:p w14:paraId="406FFEB7"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38B8E58" w14:textId="77777777" w:rsidR="005A40EC" w:rsidRPr="00CC5D38" w:rsidRDefault="005A40EC" w:rsidP="00C618DD">
            <w:pPr>
              <w:ind w:left="54" w:right="14"/>
              <w:jc w:val="left"/>
              <w:rPr>
                <w:sz w:val="18"/>
                <w:szCs w:val="18"/>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3BE093F8" w14:textId="77777777" w:rsidR="005A40EC" w:rsidRPr="00CC5D38" w:rsidRDefault="005A40EC" w:rsidP="00C618DD">
            <w:pPr>
              <w:suppressAutoHyphens/>
              <w:jc w:val="left"/>
              <w:rPr>
                <w:sz w:val="18"/>
                <w:szCs w:val="18"/>
                <w:lang w:val="fr-FR"/>
              </w:rPr>
            </w:pPr>
            <w:r w:rsidRPr="00CC5D38">
              <w:rPr>
                <w:sz w:val="18"/>
                <w:szCs w:val="18"/>
                <w:lang w:val="fr-FR"/>
              </w:rPr>
              <w:t>V</w:t>
            </w:r>
            <w:r w:rsidRPr="00CC5D38">
              <w:rPr>
                <w:sz w:val="18"/>
                <w:szCs w:val="18"/>
                <w:vertAlign w:val="superscript"/>
                <w:lang w:val="fr-FR"/>
              </w:rPr>
              <w:t>e</w:t>
            </w:r>
            <w:r w:rsidRPr="00CC5D38">
              <w:rPr>
                <w:sz w:val="18"/>
                <w:szCs w:val="18"/>
                <w:lang w:val="fr-FR"/>
              </w:rPr>
              <w:t xml:space="preserve"> Réunion des ministres chargés du développement social</w:t>
            </w:r>
          </w:p>
          <w:p w14:paraId="31996E4E" w14:textId="77777777" w:rsidR="005A40EC" w:rsidRPr="00CC5D38" w:rsidRDefault="005A40EC" w:rsidP="00C618DD">
            <w:pPr>
              <w:ind w:left="62" w:right="14"/>
              <w:jc w:val="left"/>
              <w:rPr>
                <w:i/>
                <w:iCs/>
                <w:color w:val="000000"/>
                <w:sz w:val="18"/>
                <w:szCs w:val="18"/>
                <w:lang w:val="fr-FR"/>
              </w:rPr>
            </w:pPr>
            <w:r w:rsidRPr="00CC5D38">
              <w:rPr>
                <w:sz w:val="18"/>
                <w:szCs w:val="18"/>
                <w:lang w:val="fr-FR"/>
              </w:rPr>
              <w:t>(</w:t>
            </w:r>
            <w:r w:rsidRPr="00CC5D38">
              <w:rPr>
                <w:i/>
                <w:sz w:val="18"/>
                <w:szCs w:val="18"/>
                <w:lang w:val="fr-FR"/>
              </w:rPr>
              <w:t>République dominicaine</w:t>
            </w:r>
            <w:r w:rsidR="00E47AA8" w:rsidRPr="00CC5D38">
              <w:rPr>
                <w:i/>
                <w:sz w:val="18"/>
                <w:szCs w:val="18"/>
                <w:lang w:val="fr-FR"/>
              </w:rPr>
              <w:t>)</w:t>
            </w:r>
          </w:p>
          <w:p w14:paraId="66297EAD"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60ED929B"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151E2365" w14:textId="77777777" w:rsidR="005A40EC" w:rsidRPr="00CC5D38" w:rsidRDefault="005A40EC" w:rsidP="00C618DD">
            <w:pPr>
              <w:ind w:left="62" w:right="14"/>
              <w:jc w:val="left"/>
              <w:rPr>
                <w:sz w:val="18"/>
                <w:szCs w:val="18"/>
                <w:lang w:val="fr-FR"/>
              </w:rPr>
            </w:pPr>
            <w:r w:rsidRPr="00CC5D38">
              <w:rPr>
                <w:sz w:val="18"/>
                <w:szCs w:val="18"/>
                <w:lang w:val="fr-FR"/>
              </w:rPr>
              <w:t>VI</w:t>
            </w:r>
            <w:r w:rsidRPr="00CC5D38">
              <w:rPr>
                <w:sz w:val="18"/>
                <w:szCs w:val="18"/>
                <w:vertAlign w:val="superscript"/>
                <w:lang w:val="fr-FR"/>
              </w:rPr>
              <w:t>e</w:t>
            </w:r>
            <w:r w:rsidRPr="00CC5D38">
              <w:rPr>
                <w:sz w:val="18"/>
                <w:szCs w:val="18"/>
                <w:lang w:val="fr-FR"/>
              </w:rPr>
              <w:t xml:space="preserve"> Réunion de la CIDES</w:t>
            </w:r>
          </w:p>
          <w:p w14:paraId="4040A06D" w14:textId="77777777" w:rsidR="005A40EC" w:rsidRPr="00CC5D38" w:rsidRDefault="005A40EC" w:rsidP="00C618DD">
            <w:pPr>
              <w:ind w:left="80" w:right="14" w:firstLine="91"/>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A573B0F" w14:textId="77777777" w:rsidR="005A40EC" w:rsidRPr="00CC5D38" w:rsidRDefault="005A40EC" w:rsidP="00C618DD">
            <w:pPr>
              <w:suppressAutoHyphens/>
              <w:jc w:val="left"/>
              <w:rPr>
                <w:sz w:val="18"/>
                <w:szCs w:val="18"/>
                <w:lang w:val="fr-FR"/>
              </w:rPr>
            </w:pPr>
            <w:r w:rsidRPr="00CC5D38">
              <w:rPr>
                <w:sz w:val="18"/>
                <w:szCs w:val="18"/>
                <w:lang w:val="fr-FR"/>
              </w:rPr>
              <w:t>VI</w:t>
            </w:r>
            <w:r w:rsidRPr="00CC5D38">
              <w:rPr>
                <w:sz w:val="18"/>
                <w:szCs w:val="18"/>
                <w:vertAlign w:val="superscript"/>
                <w:lang w:val="fr-FR"/>
              </w:rPr>
              <w:t>e</w:t>
            </w:r>
            <w:r w:rsidRPr="00CC5D38">
              <w:rPr>
                <w:sz w:val="18"/>
                <w:szCs w:val="18"/>
                <w:lang w:val="fr-FR"/>
              </w:rPr>
              <w:t xml:space="preserve"> Réunion des ministres chargés du développement social</w:t>
            </w:r>
          </w:p>
          <w:p w14:paraId="4F817089" w14:textId="77777777" w:rsidR="005A40EC" w:rsidRPr="00CC5D38" w:rsidRDefault="005A40EC" w:rsidP="00C618DD">
            <w:pPr>
              <w:suppressAutoHyphens/>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33C7198D" w14:textId="77777777" w:rsidR="005A40EC" w:rsidRPr="00CC5D38" w:rsidRDefault="005A40EC" w:rsidP="00C618DD">
            <w:pPr>
              <w:ind w:left="74" w:right="14"/>
              <w:jc w:val="left"/>
              <w:rPr>
                <w:color w:val="000000"/>
                <w:sz w:val="18"/>
                <w:szCs w:val="18"/>
                <w:lang w:val="fr-FR"/>
              </w:rPr>
            </w:pPr>
          </w:p>
        </w:tc>
      </w:tr>
      <w:tr w:rsidR="005A40EC" w:rsidRPr="0026653F" w14:paraId="37F14C0C" w14:textId="77777777" w:rsidTr="009D6D34">
        <w:trPr>
          <w:gridAfter w:val="1"/>
          <w:wAfter w:w="20" w:type="dxa"/>
          <w:trHeight w:val="669"/>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DAD64C5"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t>6. Culture</w:t>
            </w:r>
          </w:p>
          <w:p w14:paraId="0FFFA938"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E0B800A" w14:textId="77777777" w:rsidR="005A40EC" w:rsidRPr="00CC5D38" w:rsidRDefault="005A40EC" w:rsidP="00C618DD">
            <w:pPr>
              <w:ind w:left="62" w:right="14"/>
              <w:jc w:val="left"/>
              <w:rPr>
                <w:strike/>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7A3BF066" w14:textId="77777777" w:rsidR="005A40EC" w:rsidRPr="00CC5D38" w:rsidRDefault="005A40EC" w:rsidP="00C618DD">
            <w:pPr>
              <w:ind w:left="54" w:right="14"/>
              <w:jc w:val="left"/>
              <w:rPr>
                <w:sz w:val="18"/>
                <w:szCs w:val="18"/>
                <w:lang w:val="fr-FR"/>
              </w:rPr>
            </w:pPr>
            <w:r w:rsidRPr="00CC5D38">
              <w:rPr>
                <w:sz w:val="18"/>
                <w:szCs w:val="18"/>
                <w:lang w:val="fr-FR"/>
              </w:rPr>
              <w:t>VI</w:t>
            </w:r>
            <w:r w:rsidRPr="00CC5D38">
              <w:rPr>
                <w:sz w:val="18"/>
                <w:szCs w:val="18"/>
                <w:vertAlign w:val="superscript"/>
                <w:lang w:val="fr-FR"/>
              </w:rPr>
              <w:t>e</w:t>
            </w:r>
            <w:r w:rsidRPr="00CC5D38">
              <w:rPr>
                <w:sz w:val="18"/>
                <w:szCs w:val="18"/>
                <w:lang w:val="fr-FR"/>
              </w:rPr>
              <w:t xml:space="preserve"> Réunion de la CIC</w:t>
            </w:r>
            <w:r w:rsidRPr="00CC5D38">
              <w:rPr>
                <w:color w:val="000000"/>
                <w:sz w:val="18"/>
                <w:szCs w:val="18"/>
                <w:lang w:val="fr-FR"/>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6882610E" w14:textId="77777777" w:rsidR="005A40EC" w:rsidRPr="00CC5D38" w:rsidRDefault="005A40EC" w:rsidP="00C618DD">
            <w:pPr>
              <w:ind w:left="62" w:right="14"/>
              <w:jc w:val="left"/>
              <w:rPr>
                <w:color w:val="000000"/>
                <w:sz w:val="18"/>
                <w:szCs w:val="18"/>
                <w:lang w:val="fr-FR"/>
              </w:rPr>
            </w:pPr>
            <w:r w:rsidRPr="00CC5D38">
              <w:rPr>
                <w:sz w:val="18"/>
                <w:szCs w:val="18"/>
                <w:lang w:val="fr-FR"/>
              </w:rPr>
              <w:t>IX</w:t>
            </w:r>
            <w:r w:rsidRPr="00CC5D38">
              <w:rPr>
                <w:sz w:val="18"/>
                <w:szCs w:val="18"/>
                <w:vertAlign w:val="superscript"/>
                <w:lang w:val="fr-FR"/>
              </w:rPr>
              <w:t>e</w:t>
            </w:r>
            <w:r w:rsidRPr="00CC5D38">
              <w:rPr>
                <w:sz w:val="18"/>
                <w:szCs w:val="18"/>
                <w:lang w:val="fr-FR"/>
              </w:rPr>
              <w:t xml:space="preserve"> Réunion des ministres chargés de la culture </w:t>
            </w:r>
            <w:r w:rsidRPr="00CC5D38">
              <w:rPr>
                <w:i/>
                <w:sz w:val="18"/>
                <w:szCs w:val="18"/>
                <w:lang w:val="fr-FR"/>
              </w:rPr>
              <w:t>(Guatemala</w:t>
            </w:r>
            <w:r w:rsidR="00E47AA8" w:rsidRPr="00CC5D38">
              <w:rPr>
                <w:i/>
                <w:sz w:val="18"/>
                <w:szCs w:val="18"/>
                <w:lang w:val="fr-FR"/>
              </w:rPr>
              <w:t>)</w:t>
            </w:r>
          </w:p>
          <w:p w14:paraId="5731E102"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2F91F88C"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0DF8DF24" w14:textId="77777777" w:rsidR="005A40EC" w:rsidRPr="00CC5D38" w:rsidRDefault="005A40EC" w:rsidP="00C618DD">
            <w:pPr>
              <w:ind w:left="80" w:right="14" w:firstLine="1"/>
              <w:jc w:val="left"/>
              <w:rPr>
                <w:sz w:val="18"/>
                <w:szCs w:val="18"/>
                <w:lang w:val="fr-FR"/>
              </w:rPr>
            </w:pPr>
            <w:r w:rsidRPr="00CC5D38">
              <w:rPr>
                <w:sz w:val="18"/>
                <w:szCs w:val="18"/>
                <w:lang w:val="fr-FR"/>
              </w:rPr>
              <w:t>VII</w:t>
            </w:r>
            <w:r w:rsidRPr="00CC5D38">
              <w:rPr>
                <w:sz w:val="18"/>
                <w:szCs w:val="18"/>
                <w:vertAlign w:val="superscript"/>
                <w:lang w:val="fr-FR"/>
              </w:rPr>
              <w:t>e</w:t>
            </w:r>
            <w:r w:rsidRPr="00CC5D38">
              <w:rPr>
                <w:sz w:val="18"/>
                <w:szCs w:val="18"/>
                <w:lang w:val="fr-FR"/>
              </w:rPr>
              <w:t xml:space="preserve"> Réunion de la CIC</w:t>
            </w:r>
            <w:r w:rsidRPr="00CC5D38">
              <w:rPr>
                <w:color w:val="000000"/>
                <w:sz w:val="18"/>
                <w:szCs w:val="18"/>
                <w:lang w:val="fr-FR"/>
              </w:rPr>
              <w:t xml:space="preserve"> </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1F95181C" w14:textId="77777777" w:rsidR="005A40EC" w:rsidRPr="00CC5D38" w:rsidRDefault="005A40EC" w:rsidP="002108BF">
            <w:pPr>
              <w:ind w:left="74" w:right="14"/>
              <w:jc w:val="left"/>
              <w:rPr>
                <w:color w:val="000000"/>
                <w:sz w:val="18"/>
                <w:szCs w:val="18"/>
                <w:lang w:val="fr-FR"/>
              </w:rPr>
            </w:pPr>
            <w:r w:rsidRPr="00CC5D38">
              <w:rPr>
                <w:sz w:val="18"/>
                <w:szCs w:val="18"/>
                <w:lang w:val="fr-FR"/>
              </w:rPr>
              <w:t>X</w:t>
            </w:r>
            <w:r w:rsidRPr="00CC5D38">
              <w:rPr>
                <w:sz w:val="18"/>
                <w:szCs w:val="18"/>
                <w:vertAlign w:val="superscript"/>
                <w:lang w:val="fr-FR"/>
              </w:rPr>
              <w:t>e</w:t>
            </w:r>
            <w:r w:rsidRPr="00CC5D38">
              <w:rPr>
                <w:sz w:val="18"/>
                <w:szCs w:val="18"/>
                <w:lang w:val="fr-FR"/>
              </w:rPr>
              <w:t xml:space="preserve"> Réunion des ministres chargés de la culture</w:t>
            </w:r>
          </w:p>
          <w:p w14:paraId="35CAAE35" w14:textId="77777777" w:rsidR="005A40EC" w:rsidRPr="00CC5D38" w:rsidRDefault="005A40EC" w:rsidP="00C618DD">
            <w:pPr>
              <w:suppressAutoHyphens/>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3B89FE65" w14:textId="77777777" w:rsidR="005A40EC" w:rsidRPr="00CC5D38" w:rsidRDefault="005A40EC" w:rsidP="00C618DD">
            <w:pPr>
              <w:ind w:left="74" w:right="14"/>
              <w:rPr>
                <w:color w:val="000000"/>
                <w:sz w:val="18"/>
                <w:szCs w:val="18"/>
                <w:lang w:val="fr-FR"/>
              </w:rPr>
            </w:pPr>
          </w:p>
        </w:tc>
      </w:tr>
      <w:tr w:rsidR="005A40EC" w:rsidRPr="0026653F" w14:paraId="5D0AFF4E" w14:textId="77777777" w:rsidTr="009D6D34">
        <w:trPr>
          <w:gridAfter w:val="1"/>
          <w:wAfter w:w="20" w:type="dxa"/>
          <w:trHeight w:val="1352"/>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3EFF3CA7" w14:textId="77777777" w:rsidR="005A40EC" w:rsidRPr="00CC5D38" w:rsidRDefault="005A40EC" w:rsidP="00C618DD">
            <w:pPr>
              <w:ind w:left="120" w:right="14" w:hanging="120"/>
              <w:jc w:val="left"/>
              <w:rPr>
                <w:sz w:val="18"/>
                <w:szCs w:val="18"/>
                <w:lang w:val="fr-FR"/>
              </w:rPr>
            </w:pPr>
            <w:r w:rsidRPr="00CC5D38">
              <w:rPr>
                <w:color w:val="000000"/>
                <w:sz w:val="18"/>
                <w:szCs w:val="18"/>
                <w:lang w:val="fr-FR"/>
              </w:rPr>
              <w:t>7.</w:t>
            </w:r>
            <w:r w:rsidRPr="00CC5D38">
              <w:rPr>
                <w:bCs/>
                <w:sz w:val="18"/>
                <w:szCs w:val="18"/>
                <w:lang w:val="fr-FR"/>
              </w:rPr>
              <w:t xml:space="preserve"> Développement durable</w:t>
            </w:r>
          </w:p>
          <w:p w14:paraId="60C6B9C5"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42D19202"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CDB2F97" w14:textId="77777777" w:rsidR="005A40EC" w:rsidRPr="00CC5D38" w:rsidRDefault="005A40EC" w:rsidP="00C618DD">
            <w:pPr>
              <w:suppressAutoHyphens/>
              <w:jc w:val="left"/>
              <w:rPr>
                <w:i/>
                <w:iCs/>
                <w:color w:val="000000"/>
                <w:sz w:val="18"/>
                <w:szCs w:val="18"/>
                <w:lang w:val="fr-FR"/>
              </w:rPr>
            </w:pPr>
            <w:r w:rsidRPr="00CC5D38">
              <w:rPr>
                <w:sz w:val="18"/>
                <w:szCs w:val="18"/>
                <w:lang w:val="fr-FR"/>
              </w:rPr>
              <w:t>IV</w:t>
            </w:r>
            <w:r w:rsidRPr="00CC5D38">
              <w:rPr>
                <w:sz w:val="18"/>
                <w:szCs w:val="18"/>
                <w:vertAlign w:val="superscript"/>
                <w:lang w:val="fr-FR"/>
              </w:rPr>
              <w:t>e</w:t>
            </w:r>
            <w:r w:rsidRPr="00CC5D38">
              <w:rPr>
                <w:sz w:val="18"/>
                <w:szCs w:val="18"/>
                <w:lang w:val="fr-FR"/>
              </w:rPr>
              <w:t xml:space="preserve"> Réunion des ministres chargés du développement durable</w:t>
            </w:r>
            <w:r w:rsidRPr="00CC5D38">
              <w:rPr>
                <w:i/>
                <w:iCs/>
                <w:color w:val="000000"/>
                <w:sz w:val="18"/>
                <w:szCs w:val="18"/>
                <w:lang w:val="fr-FR"/>
              </w:rPr>
              <w:t xml:space="preserve"> </w:t>
            </w:r>
          </w:p>
          <w:p w14:paraId="7FBD9E06" w14:textId="6C84E13E" w:rsidR="005A40EC" w:rsidRPr="00CC5D38" w:rsidRDefault="005A40EC" w:rsidP="00C618DD">
            <w:pPr>
              <w:ind w:left="54" w:right="14"/>
              <w:jc w:val="left"/>
              <w:rPr>
                <w:sz w:val="18"/>
                <w:szCs w:val="18"/>
                <w:lang w:val="fr-FR"/>
              </w:rPr>
            </w:pPr>
            <w:r w:rsidRPr="00CC5D38">
              <w:rPr>
                <w:i/>
                <w:iCs/>
                <w:color w:val="000000"/>
                <w:sz w:val="18"/>
                <w:szCs w:val="18"/>
                <w:lang w:val="fr-FR"/>
              </w:rPr>
              <w:t>(Costa Rica, second semestre</w:t>
            </w:r>
            <w:r w:rsidR="00126033" w:rsidRPr="00CC5D38">
              <w:rPr>
                <w:i/>
                <w:iCs/>
                <w:color w:val="000000"/>
                <w:sz w:val="18"/>
                <w:szCs w:val="18"/>
                <w:lang w:val="fr-FR"/>
              </w:rPr>
              <w:t>)</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8645B38"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2D0C43BE" w14:textId="77777777" w:rsidR="005A40EC" w:rsidRPr="00CC5D38" w:rsidRDefault="005A40EC" w:rsidP="00C618DD">
            <w:pPr>
              <w:ind w:left="62" w:right="14"/>
              <w:jc w:val="left"/>
              <w:rPr>
                <w:sz w:val="18"/>
                <w:szCs w:val="18"/>
                <w:lang w:val="fr-FR"/>
              </w:rPr>
            </w:pPr>
            <w:r w:rsidRPr="00CC5D38">
              <w:rPr>
                <w:sz w:val="18"/>
                <w:szCs w:val="18"/>
                <w:lang w:val="fr-FR"/>
              </w:rPr>
              <w:t>VI</w:t>
            </w:r>
            <w:r w:rsidRPr="00CC5D38">
              <w:rPr>
                <w:sz w:val="18"/>
                <w:szCs w:val="18"/>
                <w:vertAlign w:val="superscript"/>
                <w:lang w:val="fr-FR"/>
              </w:rPr>
              <w:t>e</w:t>
            </w:r>
            <w:r w:rsidRPr="00CC5D38">
              <w:rPr>
                <w:sz w:val="18"/>
                <w:szCs w:val="18"/>
                <w:lang w:val="fr-FR"/>
              </w:rPr>
              <w:t xml:space="preserve"> Réunion de la CIDS</w:t>
            </w:r>
          </w:p>
          <w:p w14:paraId="4A8FA60A"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03E1BB8E" w14:textId="77777777" w:rsidR="005A40EC" w:rsidRPr="00CC5D38" w:rsidRDefault="005A40EC" w:rsidP="00C618DD">
            <w:pPr>
              <w:suppressAutoHyphens/>
              <w:jc w:val="left"/>
              <w:rPr>
                <w:i/>
                <w:iCs/>
                <w:color w:val="000000"/>
                <w:sz w:val="18"/>
                <w:szCs w:val="18"/>
                <w:lang w:val="fr-FR"/>
              </w:rPr>
            </w:pPr>
            <w:r w:rsidRPr="00CC5D38">
              <w:rPr>
                <w:sz w:val="18"/>
                <w:szCs w:val="18"/>
                <w:lang w:val="fr-FR"/>
              </w:rPr>
              <w:t>V</w:t>
            </w:r>
            <w:r w:rsidRPr="00CC5D38">
              <w:rPr>
                <w:sz w:val="18"/>
                <w:szCs w:val="18"/>
                <w:vertAlign w:val="superscript"/>
                <w:lang w:val="fr-FR"/>
              </w:rPr>
              <w:t>e</w:t>
            </w:r>
            <w:r w:rsidRPr="00CC5D38">
              <w:rPr>
                <w:sz w:val="18"/>
                <w:szCs w:val="18"/>
                <w:lang w:val="fr-FR"/>
              </w:rPr>
              <w:t xml:space="preserve"> Réunion des ministres chargés du développement durable</w:t>
            </w:r>
            <w:r w:rsidRPr="00CC5D38">
              <w:rPr>
                <w:i/>
                <w:iCs/>
                <w:color w:val="000000"/>
                <w:sz w:val="18"/>
                <w:szCs w:val="18"/>
                <w:lang w:val="fr-FR"/>
              </w:rPr>
              <w:t xml:space="preserve"> </w:t>
            </w:r>
          </w:p>
          <w:p w14:paraId="05E4FBF9" w14:textId="6BF1DBDF" w:rsidR="005A40EC" w:rsidRPr="00CC5D38" w:rsidRDefault="005A40EC" w:rsidP="00C618DD">
            <w:pPr>
              <w:suppressAutoHyphens/>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CA33A93" w14:textId="77777777" w:rsidR="005A40EC" w:rsidRPr="00CC5D38" w:rsidRDefault="005A40EC" w:rsidP="00C618DD">
            <w:pPr>
              <w:ind w:left="270" w:right="14"/>
              <w:jc w:val="left"/>
              <w:rPr>
                <w:sz w:val="18"/>
                <w:szCs w:val="18"/>
                <w:lang w:val="fr-FR"/>
              </w:rPr>
            </w:pPr>
          </w:p>
        </w:tc>
      </w:tr>
      <w:tr w:rsidR="005A40EC" w:rsidRPr="0026653F" w14:paraId="7694D179" w14:textId="77777777" w:rsidTr="009D6D34">
        <w:trPr>
          <w:gridAfter w:val="1"/>
          <w:wAfter w:w="20" w:type="dxa"/>
          <w:trHeight w:val="1001"/>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09F12E61" w14:textId="496B61B6" w:rsidR="005A40EC" w:rsidRPr="00CC5D38" w:rsidRDefault="005A40EC" w:rsidP="00C618DD">
            <w:pPr>
              <w:ind w:left="120" w:right="14" w:hanging="120"/>
              <w:jc w:val="left"/>
              <w:rPr>
                <w:sz w:val="18"/>
                <w:szCs w:val="18"/>
                <w:lang w:val="fr-FR"/>
              </w:rPr>
            </w:pPr>
            <w:r w:rsidRPr="00CC5D38">
              <w:rPr>
                <w:color w:val="000000"/>
                <w:sz w:val="18"/>
                <w:szCs w:val="18"/>
                <w:lang w:val="fr-FR"/>
              </w:rPr>
              <w:t>8.</w:t>
            </w:r>
            <w:r w:rsidR="00763D41">
              <w:rPr>
                <w:color w:val="000000"/>
                <w:sz w:val="18"/>
                <w:szCs w:val="18"/>
                <w:lang w:val="fr-FR"/>
              </w:rPr>
              <w:t xml:space="preserve"> </w:t>
            </w:r>
            <w:r w:rsidRPr="00CC5D38">
              <w:rPr>
                <w:bCs/>
                <w:sz w:val="18"/>
                <w:szCs w:val="18"/>
                <w:lang w:val="fr-FR"/>
              </w:rPr>
              <w:t>Science et technologie</w:t>
            </w:r>
          </w:p>
        </w:tc>
        <w:tc>
          <w:tcPr>
            <w:tcW w:w="1358"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048CE6F4"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2C84DC75" w14:textId="77777777" w:rsidR="005A40EC" w:rsidRPr="00CC5D38" w:rsidRDefault="005A40EC" w:rsidP="00C618DD">
            <w:pPr>
              <w:suppressAutoHyphens/>
              <w:jc w:val="left"/>
              <w:rPr>
                <w:sz w:val="18"/>
                <w:szCs w:val="18"/>
                <w:lang w:val="fr-FR"/>
              </w:rPr>
            </w:pPr>
            <w:r w:rsidRPr="00CC5D38">
              <w:rPr>
                <w:sz w:val="18"/>
                <w:szCs w:val="18"/>
                <w:lang w:val="fr-FR"/>
              </w:rPr>
              <w:t>VI</w:t>
            </w:r>
            <w:r w:rsidRPr="00CC5D38">
              <w:rPr>
                <w:sz w:val="18"/>
                <w:szCs w:val="18"/>
                <w:vertAlign w:val="superscript"/>
                <w:lang w:val="fr-FR"/>
              </w:rPr>
              <w:t>e</w:t>
            </w:r>
            <w:r w:rsidRPr="00CC5D38">
              <w:rPr>
                <w:sz w:val="18"/>
                <w:szCs w:val="18"/>
                <w:lang w:val="fr-FR"/>
              </w:rPr>
              <w:t xml:space="preserve"> Réunion des ministres chargés de la science et de la technologie</w:t>
            </w:r>
          </w:p>
          <w:p w14:paraId="000A48BA" w14:textId="5D200B98" w:rsidR="005A40EC" w:rsidRPr="00CC5D38" w:rsidRDefault="005A40EC" w:rsidP="00C618DD">
            <w:pPr>
              <w:ind w:left="54" w:right="14"/>
              <w:jc w:val="left"/>
              <w:rPr>
                <w:sz w:val="18"/>
                <w:szCs w:val="18"/>
                <w:lang w:val="fr-FR"/>
              </w:rPr>
            </w:pPr>
            <w:r w:rsidRPr="00CC5D38">
              <w:rPr>
                <w:i/>
                <w:sz w:val="18"/>
                <w:szCs w:val="18"/>
                <w:lang w:val="fr-FR"/>
              </w:rPr>
              <w:t>(Jamaïque</w:t>
            </w:r>
            <w:r w:rsidR="002129D9" w:rsidRPr="00CC5D38">
              <w:rPr>
                <w:i/>
                <w:sz w:val="18"/>
                <w:szCs w:val="18"/>
                <w:lang w:val="fr-FR"/>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2594C158"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14:paraId="56CA022B" w14:textId="77777777" w:rsidR="005A40EC" w:rsidRPr="00CC5D38" w:rsidRDefault="005A40EC" w:rsidP="00C618DD">
            <w:pPr>
              <w:ind w:left="62" w:right="14"/>
              <w:jc w:val="left"/>
              <w:rPr>
                <w:color w:val="000000"/>
                <w:sz w:val="18"/>
                <w:szCs w:val="18"/>
                <w:lang w:val="fr-FR"/>
              </w:rPr>
            </w:pPr>
            <w:r w:rsidRPr="00CC5D38">
              <w:rPr>
                <w:sz w:val="18"/>
                <w:szCs w:val="18"/>
                <w:lang w:val="fr-FR"/>
              </w:rPr>
              <w:t>X</w:t>
            </w:r>
            <w:r w:rsidRPr="00CC5D38">
              <w:rPr>
                <w:sz w:val="18"/>
                <w:szCs w:val="18"/>
                <w:vertAlign w:val="superscript"/>
                <w:lang w:val="fr-FR"/>
              </w:rPr>
              <w:t>e</w:t>
            </w:r>
            <w:r w:rsidRPr="00CC5D38">
              <w:rPr>
                <w:sz w:val="18"/>
                <w:szCs w:val="18"/>
                <w:lang w:val="fr-FR"/>
              </w:rPr>
              <w:t xml:space="preserve"> Réunion de la COMCyT</w:t>
            </w:r>
          </w:p>
          <w:p w14:paraId="1EC211C0" w14:textId="77777777" w:rsidR="005A40EC" w:rsidRPr="00CC5D38" w:rsidRDefault="005A40EC" w:rsidP="00C618DD">
            <w:pPr>
              <w:ind w:left="62" w:right="14"/>
              <w:jc w:val="left"/>
              <w:rPr>
                <w:sz w:val="18"/>
                <w:szCs w:val="18"/>
                <w:lang w:val="fr-FR"/>
              </w:rPr>
            </w:pPr>
          </w:p>
          <w:p w14:paraId="162FBC55"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14:paraId="4058CA97" w14:textId="77777777" w:rsidR="005A40EC" w:rsidRPr="00CC5D38" w:rsidRDefault="005A40EC" w:rsidP="00C618DD">
            <w:pPr>
              <w:ind w:left="81" w:right="14"/>
              <w:jc w:val="left"/>
              <w:rPr>
                <w:color w:val="000000"/>
                <w:sz w:val="18"/>
                <w:szCs w:val="18"/>
                <w:lang w:val="fr-FR"/>
              </w:rPr>
            </w:pPr>
          </w:p>
          <w:p w14:paraId="2960E829" w14:textId="77777777" w:rsidR="005A40EC" w:rsidRPr="00CC5D38" w:rsidRDefault="005A40EC" w:rsidP="00C618DD">
            <w:pPr>
              <w:suppressAutoHyphens/>
              <w:jc w:val="left"/>
              <w:rPr>
                <w:sz w:val="18"/>
                <w:szCs w:val="18"/>
                <w:lang w:val="fr-FR"/>
              </w:rPr>
            </w:pPr>
            <w:r w:rsidRPr="00CC5D38">
              <w:rPr>
                <w:sz w:val="18"/>
                <w:szCs w:val="18"/>
                <w:lang w:val="fr-FR"/>
              </w:rPr>
              <w:t>VII</w:t>
            </w:r>
            <w:r w:rsidRPr="00CC5D38">
              <w:rPr>
                <w:sz w:val="18"/>
                <w:szCs w:val="18"/>
                <w:vertAlign w:val="superscript"/>
                <w:lang w:val="fr-FR"/>
              </w:rPr>
              <w:t>e</w:t>
            </w:r>
            <w:r w:rsidRPr="00CC5D38">
              <w:rPr>
                <w:sz w:val="18"/>
                <w:szCs w:val="18"/>
                <w:lang w:val="fr-FR"/>
              </w:rPr>
              <w:t xml:space="preserve"> Réunion des ministres chargés de la science et de la technologie</w:t>
            </w:r>
          </w:p>
          <w:p w14:paraId="60B487E7" w14:textId="1EAF98D6" w:rsidR="005A40EC" w:rsidRPr="00CC5D38" w:rsidRDefault="005A40EC" w:rsidP="00C618DD">
            <w:pPr>
              <w:ind w:left="81" w:right="14"/>
              <w:jc w:val="left"/>
              <w:rPr>
                <w:color w:val="000000"/>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8CE8A1B" w14:textId="77777777" w:rsidR="005A40EC" w:rsidRPr="00CC5D38" w:rsidRDefault="005A40EC" w:rsidP="00C618DD">
            <w:pPr>
              <w:ind w:left="270" w:right="14"/>
              <w:jc w:val="left"/>
              <w:rPr>
                <w:sz w:val="18"/>
                <w:szCs w:val="18"/>
                <w:lang w:val="fr-FR"/>
              </w:rPr>
            </w:pPr>
          </w:p>
        </w:tc>
      </w:tr>
      <w:tr w:rsidR="005A40EC" w:rsidRPr="0026653F" w14:paraId="523405D4" w14:textId="77777777" w:rsidTr="009D6D34">
        <w:trPr>
          <w:gridAfter w:val="1"/>
          <w:wAfter w:w="20" w:type="dxa"/>
          <w:trHeight w:val="817"/>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14:paraId="4634FA7B" w14:textId="77777777" w:rsidR="005A40EC" w:rsidRPr="00CC5D38" w:rsidRDefault="005A40EC" w:rsidP="00C618DD">
            <w:pPr>
              <w:ind w:left="-28" w:right="14" w:firstLine="28"/>
              <w:jc w:val="left"/>
              <w:rPr>
                <w:sz w:val="18"/>
                <w:szCs w:val="18"/>
                <w:lang w:val="fr-FR"/>
              </w:rPr>
            </w:pPr>
            <w:r w:rsidRPr="00CC5D38">
              <w:rPr>
                <w:color w:val="000000"/>
                <w:sz w:val="18"/>
                <w:szCs w:val="18"/>
                <w:lang w:val="fr-FR"/>
              </w:rPr>
              <w:lastRenderedPageBreak/>
              <w:t>9. Travail</w:t>
            </w:r>
          </w:p>
          <w:p w14:paraId="797A0D55" w14:textId="77777777" w:rsidR="005A40EC" w:rsidRPr="00CC5D38" w:rsidRDefault="005A40EC" w:rsidP="00C618DD">
            <w:pPr>
              <w:ind w:left="-28" w:right="14" w:firstLine="28"/>
              <w:jc w:val="left"/>
              <w:rPr>
                <w:sz w:val="18"/>
                <w:szCs w:val="18"/>
                <w:lang w:val="fr-FR"/>
              </w:rPr>
            </w:pPr>
          </w:p>
        </w:tc>
        <w:tc>
          <w:tcPr>
            <w:tcW w:w="1358"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A5E6F1D" w14:textId="77777777" w:rsidR="005A40EC" w:rsidRPr="00CC5D38" w:rsidRDefault="005A40EC" w:rsidP="00C618DD">
            <w:pPr>
              <w:ind w:left="62" w:right="14"/>
              <w:jc w:val="left"/>
              <w:rPr>
                <w:sz w:val="18"/>
                <w:szCs w:val="18"/>
                <w:lang w:val="fr-FR"/>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73D9817A" w14:textId="77777777" w:rsidR="005A40EC" w:rsidRPr="00CC5D38" w:rsidRDefault="005A40EC" w:rsidP="00C618DD">
            <w:pPr>
              <w:ind w:left="54" w:right="14"/>
              <w:jc w:val="left"/>
              <w:rPr>
                <w:color w:val="000000"/>
                <w:sz w:val="18"/>
                <w:szCs w:val="18"/>
                <w:lang w:val="fr-FR"/>
              </w:rPr>
            </w:pPr>
            <w:r w:rsidRPr="00CC5D38">
              <w:rPr>
                <w:sz w:val="18"/>
                <w:szCs w:val="18"/>
                <w:lang w:val="fr-FR"/>
              </w:rPr>
              <w:t>XXI</w:t>
            </w:r>
            <w:r w:rsidRPr="00CC5D38">
              <w:rPr>
                <w:sz w:val="18"/>
                <w:szCs w:val="18"/>
                <w:vertAlign w:val="superscript"/>
                <w:lang w:val="fr-FR"/>
              </w:rPr>
              <w:t>e</w:t>
            </w:r>
            <w:r w:rsidRPr="00CC5D38">
              <w:rPr>
                <w:sz w:val="18"/>
                <w:szCs w:val="18"/>
                <w:lang w:val="fr-FR"/>
              </w:rPr>
              <w:t xml:space="preserve"> Réunion des ministres du travail</w:t>
            </w:r>
            <w:r w:rsidRPr="00CC5D38">
              <w:rPr>
                <w:color w:val="000000"/>
                <w:sz w:val="18"/>
                <w:szCs w:val="18"/>
                <w:lang w:val="fr-FR"/>
              </w:rPr>
              <w:t xml:space="preserve"> (</w:t>
            </w:r>
            <w:r w:rsidRPr="00CC5D38">
              <w:rPr>
                <w:i/>
                <w:iCs/>
                <w:color w:val="000000"/>
                <w:sz w:val="18"/>
                <w:szCs w:val="18"/>
                <w:lang w:val="fr-FR"/>
              </w:rPr>
              <w:t>Argentine, 22-24 septembre</w:t>
            </w:r>
            <w:r w:rsidRPr="00CC5D38">
              <w:rPr>
                <w:color w:val="000000"/>
                <w:sz w:val="18"/>
                <w:szCs w:val="18"/>
                <w:lang w:val="fr-FR"/>
              </w:rPr>
              <w:t>)</w:t>
            </w:r>
          </w:p>
          <w:p w14:paraId="7A490C45" w14:textId="77777777" w:rsidR="005A40EC" w:rsidRPr="00CC5D38" w:rsidRDefault="005A40EC" w:rsidP="00C618DD">
            <w:pPr>
              <w:ind w:left="54" w:right="14"/>
              <w:jc w:val="left"/>
              <w:rPr>
                <w:sz w:val="18"/>
                <w:szCs w:val="18"/>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5F68A315" w14:textId="77777777" w:rsidR="005A40EC" w:rsidRPr="00CC5D38" w:rsidRDefault="005A40EC" w:rsidP="00C618DD">
            <w:pPr>
              <w:ind w:left="62" w:right="14"/>
              <w:jc w:val="left"/>
              <w:rPr>
                <w:sz w:val="18"/>
                <w:szCs w:val="18"/>
                <w:lang w:val="fr-FR"/>
              </w:rPr>
            </w:pPr>
          </w:p>
        </w:tc>
        <w:tc>
          <w:tcPr>
            <w:tcW w:w="1342"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14:paraId="4C454BBF" w14:textId="77777777" w:rsidR="005A40EC" w:rsidRPr="00CC5D38" w:rsidRDefault="005A40EC" w:rsidP="00C618DD">
            <w:pPr>
              <w:ind w:left="62" w:right="14"/>
              <w:jc w:val="left"/>
              <w:rPr>
                <w:sz w:val="18"/>
                <w:szCs w:val="18"/>
                <w:lang w:val="fr-FR"/>
              </w:rPr>
            </w:pPr>
            <w:r w:rsidRPr="00CC5D38">
              <w:rPr>
                <w:sz w:val="18"/>
                <w:szCs w:val="18"/>
                <w:lang w:val="fr-FR"/>
              </w:rPr>
              <w:t>Réunion du GT sur le travail</w:t>
            </w:r>
          </w:p>
          <w:p w14:paraId="1977C68A" w14:textId="77777777" w:rsidR="005A40EC" w:rsidRPr="00CC5D38" w:rsidRDefault="005A40EC" w:rsidP="00C618DD">
            <w:pPr>
              <w:ind w:right="14"/>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14:paraId="2308620B" w14:textId="77777777" w:rsidR="005A40EC" w:rsidRPr="00CC5D38" w:rsidRDefault="005A40EC" w:rsidP="00C618DD">
            <w:pPr>
              <w:suppressAutoHyphens/>
              <w:jc w:val="left"/>
              <w:rPr>
                <w:sz w:val="18"/>
                <w:szCs w:val="18"/>
                <w:lang w:val="fr-FR"/>
              </w:rPr>
            </w:pPr>
            <w:r w:rsidRPr="00CC5D38">
              <w:rPr>
                <w:sz w:val="18"/>
                <w:szCs w:val="18"/>
                <w:lang w:val="fr-FR"/>
              </w:rPr>
              <w:t>XXII</w:t>
            </w:r>
            <w:r w:rsidRPr="00CC5D38">
              <w:rPr>
                <w:sz w:val="18"/>
                <w:szCs w:val="18"/>
                <w:vertAlign w:val="superscript"/>
                <w:lang w:val="fr-FR"/>
              </w:rPr>
              <w:t>e</w:t>
            </w:r>
            <w:r w:rsidRPr="00CC5D38">
              <w:rPr>
                <w:sz w:val="18"/>
                <w:szCs w:val="18"/>
                <w:lang w:val="fr-FR"/>
              </w:rPr>
              <w:t xml:space="preserve"> Réunion des ministres du travail</w:t>
            </w:r>
          </w:p>
          <w:p w14:paraId="13A60588" w14:textId="77777777" w:rsidR="005A40EC" w:rsidRPr="00CC5D38" w:rsidRDefault="005A40EC" w:rsidP="00C618DD">
            <w:pPr>
              <w:ind w:right="14"/>
              <w:jc w:val="left"/>
              <w:rPr>
                <w:sz w:val="18"/>
                <w:szCs w:val="18"/>
                <w:lang w:val="fr-FR"/>
              </w:rPr>
            </w:pPr>
            <w:r w:rsidRPr="00CC5D38">
              <w:rPr>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r w:rsidRPr="00CC5D38">
              <w:rPr>
                <w:sz w:val="18"/>
                <w:szCs w:val="18"/>
                <w:lang w:val="fr-FR"/>
              </w:rPr>
              <w:t>)</w:t>
            </w:r>
          </w:p>
          <w:p w14:paraId="632EFB76" w14:textId="77777777" w:rsidR="005A40EC" w:rsidRPr="00CC5D38" w:rsidRDefault="005A40EC" w:rsidP="00C618DD">
            <w:pPr>
              <w:ind w:left="81" w:right="14"/>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C71BB88" w14:textId="77777777" w:rsidR="005A40EC" w:rsidRPr="00CC5D38" w:rsidRDefault="005A40EC" w:rsidP="00C618DD">
            <w:pPr>
              <w:ind w:left="270" w:right="14"/>
              <w:jc w:val="left"/>
              <w:rPr>
                <w:sz w:val="18"/>
                <w:szCs w:val="18"/>
                <w:lang w:val="fr-FR"/>
              </w:rPr>
            </w:pPr>
          </w:p>
        </w:tc>
      </w:tr>
      <w:tr w:rsidR="005A40EC" w:rsidRPr="0026653F" w14:paraId="5AB36965" w14:textId="77777777" w:rsidTr="009D6D34">
        <w:trPr>
          <w:gridAfter w:val="1"/>
          <w:wAfter w:w="20" w:type="dxa"/>
          <w:trHeight w:val="1497"/>
          <w:jc w:val="center"/>
        </w:trPr>
        <w:tc>
          <w:tcPr>
            <w:tcW w:w="161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14:paraId="30D0836A" w14:textId="061D3D76" w:rsidR="005A40EC" w:rsidRPr="00CC5D38" w:rsidRDefault="005A40EC" w:rsidP="00C618DD">
            <w:pPr>
              <w:suppressAutoHyphens/>
              <w:jc w:val="left"/>
              <w:rPr>
                <w:bCs/>
                <w:sz w:val="18"/>
                <w:szCs w:val="18"/>
                <w:lang w:val="fr-FR"/>
              </w:rPr>
            </w:pPr>
            <w:r w:rsidRPr="00CC5D38">
              <w:rPr>
                <w:bCs/>
                <w:i/>
                <w:iCs/>
                <w:sz w:val="18"/>
                <w:szCs w:val="18"/>
                <w:lang w:val="fr-FR"/>
              </w:rPr>
              <w:t>Autres réunions</w:t>
            </w:r>
            <w:r w:rsidR="002129D9" w:rsidRPr="00CC5D38">
              <w:rPr>
                <w:bCs/>
                <w:sz w:val="18"/>
                <w:szCs w:val="18"/>
                <w:lang w:val="fr-FR"/>
              </w:rPr>
              <w:t>*</w:t>
            </w:r>
            <w:r w:rsidRPr="00CC5D38">
              <w:rPr>
                <w:bCs/>
                <w:sz w:val="18"/>
                <w:szCs w:val="18"/>
                <w:lang w:val="fr-FR"/>
              </w:rPr>
              <w:t xml:space="preserve"> </w:t>
            </w:r>
          </w:p>
          <w:p w14:paraId="4A4E347A" w14:textId="2ACB9A2E" w:rsidR="005A40EC" w:rsidRPr="00CC5D38" w:rsidRDefault="005A40EC" w:rsidP="00C618DD">
            <w:pPr>
              <w:ind w:left="-28" w:right="14" w:firstLine="28"/>
              <w:jc w:val="left"/>
              <w:rPr>
                <w:sz w:val="18"/>
                <w:szCs w:val="18"/>
                <w:lang w:val="fr-FR"/>
              </w:rPr>
            </w:pPr>
            <w:r w:rsidRPr="00CC5D38">
              <w:rPr>
                <w:i/>
                <w:iCs/>
                <w:sz w:val="18"/>
                <w:szCs w:val="18"/>
                <w:lang w:val="fr-FR"/>
              </w:rPr>
              <w:t>(</w:t>
            </w:r>
            <w:proofErr w:type="gramStart"/>
            <w:r w:rsidRPr="00CC5D38">
              <w:rPr>
                <w:i/>
                <w:iCs/>
                <w:sz w:val="18"/>
                <w:szCs w:val="18"/>
                <w:lang w:val="fr-FR"/>
              </w:rPr>
              <w:t>à</w:t>
            </w:r>
            <w:proofErr w:type="gramEnd"/>
            <w:r w:rsidRPr="00CC5D38">
              <w:rPr>
                <w:i/>
                <w:iCs/>
                <w:sz w:val="18"/>
                <w:szCs w:val="18"/>
                <w:lang w:val="fr-FR"/>
              </w:rPr>
              <w:t xml:space="preserve"> titre de référence seulement)</w:t>
            </w:r>
          </w:p>
        </w:tc>
        <w:tc>
          <w:tcPr>
            <w:tcW w:w="1358"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14:paraId="35400449" w14:textId="22A15E8F" w:rsidR="005A40EC" w:rsidRPr="00CC5D38" w:rsidRDefault="005A40EC" w:rsidP="00C618DD">
            <w:pPr>
              <w:ind w:left="62" w:right="14"/>
              <w:jc w:val="left"/>
              <w:rPr>
                <w:sz w:val="18"/>
                <w:szCs w:val="18"/>
                <w:lang w:val="fr-FR"/>
              </w:rPr>
            </w:pPr>
            <w:r w:rsidRPr="00CC5D38">
              <w:rPr>
                <w:i/>
                <w:iCs/>
                <w:color w:val="000000"/>
                <w:sz w:val="18"/>
                <w:szCs w:val="18"/>
                <w:lang w:val="fr-FR"/>
              </w:rPr>
              <w:t>Prospecta Américas</w:t>
            </w:r>
            <w:r w:rsidRPr="00CC5D38">
              <w:rPr>
                <w:color w:val="000000"/>
                <w:sz w:val="18"/>
                <w:szCs w:val="18"/>
                <w:lang w:val="fr-FR"/>
              </w:rPr>
              <w:t xml:space="preserve"> </w:t>
            </w:r>
            <w:r w:rsidRPr="00CC5D38">
              <w:rPr>
                <w:i/>
                <w:iCs/>
                <w:color w:val="000000"/>
                <w:sz w:val="18"/>
                <w:szCs w:val="18"/>
                <w:lang w:val="fr-FR"/>
              </w:rPr>
              <w:t>(Mexique, novembre)</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73F147CC" w14:textId="77777777" w:rsidR="005A40EC" w:rsidRPr="00CC5D38" w:rsidRDefault="005A40EC" w:rsidP="00C618DD">
            <w:pPr>
              <w:ind w:left="54" w:right="14"/>
              <w:jc w:val="left"/>
              <w:rPr>
                <w:color w:val="000000"/>
                <w:sz w:val="18"/>
                <w:szCs w:val="18"/>
                <w:lang w:val="fr-FR"/>
              </w:rPr>
            </w:pPr>
            <w:r w:rsidRPr="00CC5D38">
              <w:rPr>
                <w:sz w:val="18"/>
                <w:szCs w:val="18"/>
                <w:lang w:val="fr-FR"/>
              </w:rPr>
              <w:t>XI</w:t>
            </w:r>
            <w:r w:rsidRPr="00CC5D38">
              <w:rPr>
                <w:sz w:val="18"/>
                <w:szCs w:val="18"/>
                <w:vertAlign w:val="superscript"/>
                <w:lang w:val="fr-FR"/>
              </w:rPr>
              <w:t>e</w:t>
            </w:r>
            <w:r w:rsidRPr="00CC5D38">
              <w:rPr>
                <w:sz w:val="18"/>
                <w:szCs w:val="18"/>
                <w:lang w:val="fr-FR"/>
              </w:rPr>
              <w:t xml:space="preserve"> Forum de compétitivité des Amériques</w:t>
            </w:r>
            <w:r w:rsidRPr="00CC5D38">
              <w:rPr>
                <w:color w:val="000000"/>
                <w:sz w:val="18"/>
                <w:szCs w:val="18"/>
                <w:lang w:val="fr-FR"/>
              </w:rPr>
              <w:t xml:space="preserve"> </w:t>
            </w:r>
            <w:r w:rsidRPr="00CC5D38">
              <w:rPr>
                <w:i/>
                <w:iCs/>
                <w:color w:val="000000"/>
                <w:sz w:val="18"/>
                <w:szCs w:val="18"/>
                <w:lang w:val="fr-FR"/>
              </w:rPr>
              <w:t>(Équateur, mars</w:t>
            </w:r>
            <w:r w:rsidR="002129D9" w:rsidRPr="00CC5D38">
              <w:rPr>
                <w:i/>
                <w:iCs/>
                <w:color w:val="000000"/>
                <w:sz w:val="18"/>
                <w:szCs w:val="18"/>
                <w:lang w:val="fr-FR"/>
              </w:rPr>
              <w:t>)</w:t>
            </w:r>
          </w:p>
          <w:p w14:paraId="0A5C50CD" w14:textId="77777777" w:rsidR="005A40EC" w:rsidRPr="00CC5D38" w:rsidRDefault="005A40EC" w:rsidP="00C618DD">
            <w:pPr>
              <w:ind w:left="54" w:right="14"/>
              <w:jc w:val="left"/>
              <w:rPr>
                <w:color w:val="000000"/>
                <w:sz w:val="18"/>
                <w:szCs w:val="18"/>
                <w:lang w:val="fr-FR"/>
              </w:rPr>
            </w:pPr>
          </w:p>
          <w:p w14:paraId="12948D56" w14:textId="2FF23665" w:rsidR="005A40EC" w:rsidRPr="00CC5D38" w:rsidRDefault="005A40EC" w:rsidP="00C618DD">
            <w:pPr>
              <w:suppressAutoHyphens/>
              <w:jc w:val="left"/>
              <w:rPr>
                <w:iCs/>
                <w:sz w:val="18"/>
                <w:szCs w:val="18"/>
                <w:lang w:val="fr-FR"/>
              </w:rPr>
            </w:pPr>
            <w:r w:rsidRPr="00CC5D38">
              <w:rPr>
                <w:iCs/>
                <w:sz w:val="18"/>
                <w:szCs w:val="18"/>
                <w:lang w:val="fr-FR"/>
              </w:rPr>
              <w:t>VII</w:t>
            </w:r>
            <w:r w:rsidRPr="00CC5D38">
              <w:rPr>
                <w:sz w:val="18"/>
                <w:szCs w:val="18"/>
                <w:vertAlign w:val="superscript"/>
                <w:lang w:val="fr-FR"/>
              </w:rPr>
              <w:t>e</w:t>
            </w:r>
            <w:r w:rsidRPr="00CC5D38">
              <w:rPr>
                <w:iCs/>
                <w:sz w:val="18"/>
                <w:szCs w:val="18"/>
                <w:lang w:val="fr-FR"/>
              </w:rPr>
              <w:t xml:space="preserve"> Dialogue </w:t>
            </w:r>
            <w:r w:rsidR="002129D9" w:rsidRPr="00CC5D38">
              <w:rPr>
                <w:iCs/>
                <w:sz w:val="18"/>
                <w:szCs w:val="18"/>
                <w:lang w:val="fr-FR"/>
              </w:rPr>
              <w:t xml:space="preserve">interaméricain </w:t>
            </w:r>
            <w:r w:rsidR="00EE785B" w:rsidRPr="00CC5D38">
              <w:rPr>
                <w:iCs/>
                <w:sz w:val="18"/>
                <w:szCs w:val="18"/>
                <w:lang w:val="fr-FR"/>
              </w:rPr>
              <w:t>des chefs de</w:t>
            </w:r>
            <w:r w:rsidRPr="00CC5D38">
              <w:rPr>
                <w:iCs/>
                <w:sz w:val="18"/>
                <w:szCs w:val="18"/>
                <w:lang w:val="fr-FR"/>
              </w:rPr>
              <w:t xml:space="preserve"> MPME</w:t>
            </w:r>
          </w:p>
          <w:p w14:paraId="67FECCF2" w14:textId="77777777" w:rsidR="005A40EC" w:rsidRPr="00CC5D38" w:rsidRDefault="005A40EC" w:rsidP="00C618DD">
            <w:pPr>
              <w:suppressAutoHyphens/>
              <w:rPr>
                <w:i/>
                <w:iCs/>
                <w:color w:val="000000"/>
                <w:sz w:val="18"/>
                <w:szCs w:val="18"/>
                <w:lang w:val="fr-FR"/>
              </w:rPr>
            </w:pPr>
            <w:r w:rsidRPr="00CC5D38">
              <w:rPr>
                <w:i/>
                <w:iCs/>
                <w:color w:val="000000"/>
                <w:sz w:val="18"/>
                <w:szCs w:val="18"/>
                <w:lang w:val="fr-FR"/>
              </w:rPr>
              <w:t>(Chili)</w:t>
            </w:r>
          </w:p>
          <w:p w14:paraId="35093C4D" w14:textId="77777777" w:rsidR="005A40EC" w:rsidRPr="00CC5D38" w:rsidRDefault="005A40EC" w:rsidP="00C618DD">
            <w:pPr>
              <w:ind w:left="54" w:right="14"/>
              <w:jc w:val="left"/>
              <w:rPr>
                <w:sz w:val="18"/>
                <w:szCs w:val="18"/>
                <w:lang w:val="fr-FR"/>
              </w:rPr>
            </w:pPr>
          </w:p>
          <w:p w14:paraId="3E5B2E63" w14:textId="7A1D89BE" w:rsidR="005A40EC" w:rsidRPr="00CC5D38" w:rsidRDefault="005A40EC" w:rsidP="00C618DD">
            <w:pPr>
              <w:suppressAutoHyphens/>
              <w:jc w:val="left"/>
              <w:rPr>
                <w:i/>
                <w:iCs/>
                <w:color w:val="000000"/>
                <w:sz w:val="18"/>
                <w:szCs w:val="18"/>
                <w:lang w:val="fr-FR"/>
              </w:rPr>
            </w:pPr>
            <w:r w:rsidRPr="00CC5D38">
              <w:rPr>
                <w:i/>
                <w:iCs/>
                <w:color w:val="000000"/>
                <w:sz w:val="18"/>
                <w:szCs w:val="18"/>
                <w:lang w:val="fr-FR"/>
              </w:rPr>
              <w:t>Prospecta Américas</w:t>
            </w:r>
            <w:r w:rsidRPr="00CC5D38">
              <w:rPr>
                <w:color w:val="000000"/>
                <w:sz w:val="18"/>
                <w:szCs w:val="18"/>
                <w:lang w:val="fr-FR"/>
              </w:rPr>
              <w:t xml:space="preserve"> </w:t>
            </w:r>
            <w:r w:rsidRPr="00CC5D38">
              <w:rPr>
                <w:i/>
                <w:iCs/>
                <w:color w:val="000000"/>
                <w:sz w:val="18"/>
                <w:szCs w:val="18"/>
                <w:lang w:val="fr-FR"/>
              </w:rPr>
              <w:t>(Mexique, premier semestre)</w:t>
            </w:r>
          </w:p>
          <w:p w14:paraId="4B0F72B1" w14:textId="77777777" w:rsidR="005A40EC" w:rsidRPr="00CC5D38" w:rsidRDefault="005A40EC" w:rsidP="00C618DD">
            <w:pPr>
              <w:ind w:right="14"/>
              <w:jc w:val="left"/>
              <w:rPr>
                <w:color w:val="000000"/>
                <w:sz w:val="18"/>
                <w:szCs w:val="18"/>
                <w:lang w:val="fr-FR"/>
              </w:rPr>
            </w:pPr>
          </w:p>
          <w:p w14:paraId="2AAFCB44" w14:textId="776BA8DA" w:rsidR="005A40EC" w:rsidRPr="00CC5D38" w:rsidRDefault="005A40EC" w:rsidP="00C618DD">
            <w:pPr>
              <w:ind w:right="14"/>
              <w:jc w:val="left"/>
              <w:rPr>
                <w:color w:val="000000"/>
                <w:sz w:val="18"/>
                <w:szCs w:val="18"/>
                <w:lang w:val="fr-FR"/>
              </w:rPr>
            </w:pPr>
            <w:r w:rsidRPr="00CC5D38">
              <w:rPr>
                <w:color w:val="000000"/>
                <w:sz w:val="18"/>
                <w:szCs w:val="18"/>
                <w:lang w:val="fr-FR"/>
              </w:rPr>
              <w:t>XIII</w:t>
            </w:r>
            <w:r w:rsidRPr="00CC5D38">
              <w:rPr>
                <w:color w:val="000000"/>
                <w:sz w:val="18"/>
                <w:szCs w:val="18"/>
                <w:vertAlign w:val="superscript"/>
                <w:lang w:val="fr-FR"/>
              </w:rPr>
              <w:t>e</w:t>
            </w:r>
            <w:r w:rsidRPr="00CC5D38">
              <w:rPr>
                <w:color w:val="000000"/>
                <w:sz w:val="18"/>
                <w:szCs w:val="18"/>
                <w:lang w:val="fr-FR"/>
              </w:rPr>
              <w:t xml:space="preserve"> </w:t>
            </w:r>
            <w:r w:rsidR="00AF6C12" w:rsidRPr="00CC5D38">
              <w:rPr>
                <w:color w:val="000000"/>
                <w:sz w:val="18"/>
                <w:szCs w:val="18"/>
                <w:lang w:val="fr-FR"/>
              </w:rPr>
              <w:t>Échange</w:t>
            </w:r>
            <w:r w:rsidRPr="00CC5D38">
              <w:rPr>
                <w:color w:val="000000"/>
                <w:sz w:val="18"/>
                <w:szCs w:val="18"/>
                <w:lang w:val="fr-FR"/>
              </w:rPr>
              <w:t xml:space="preserve"> pour la compétitivité des Amériques </w:t>
            </w:r>
            <w:r w:rsidRPr="00CC5D38">
              <w:rPr>
                <w:i/>
                <w:iCs/>
                <w:color w:val="000000"/>
                <w:sz w:val="18"/>
                <w:szCs w:val="18"/>
                <w:lang w:val="fr-FR"/>
              </w:rPr>
              <w:t>(États-Unis, août</w:t>
            </w:r>
            <w:r w:rsidR="002129D9" w:rsidRPr="00CC5D38">
              <w:rPr>
                <w:i/>
                <w:iCs/>
                <w:color w:val="000000"/>
                <w:sz w:val="18"/>
                <w:szCs w:val="18"/>
                <w:lang w:val="fr-FR"/>
              </w:rPr>
              <w:t>)</w:t>
            </w:r>
          </w:p>
          <w:p w14:paraId="3515B6D0" w14:textId="77777777" w:rsidR="005A40EC" w:rsidRPr="00CC5D38" w:rsidRDefault="005A40EC" w:rsidP="00C618DD">
            <w:pPr>
              <w:ind w:left="54" w:right="14"/>
              <w:jc w:val="left"/>
              <w:rPr>
                <w:sz w:val="18"/>
                <w:szCs w:val="18"/>
                <w:lang w:val="fr-FR"/>
              </w:rPr>
            </w:pPr>
          </w:p>
          <w:p w14:paraId="1D130B80" w14:textId="0116E11C" w:rsidR="005A40EC" w:rsidRPr="00CC5D38" w:rsidRDefault="005A40EC" w:rsidP="00C618DD">
            <w:pPr>
              <w:suppressAutoHyphens/>
              <w:jc w:val="left"/>
              <w:rPr>
                <w:i/>
                <w:iCs/>
                <w:sz w:val="18"/>
                <w:szCs w:val="18"/>
                <w:lang w:val="fr-FR"/>
              </w:rPr>
            </w:pPr>
            <w:r w:rsidRPr="00CC5D38">
              <w:rPr>
                <w:color w:val="000000"/>
                <w:sz w:val="18"/>
                <w:szCs w:val="18"/>
                <w:lang w:val="fr-FR"/>
              </w:rPr>
              <w:t>XIV</w:t>
            </w:r>
            <w:r w:rsidRPr="00CC5D38">
              <w:rPr>
                <w:color w:val="000000"/>
                <w:sz w:val="18"/>
                <w:szCs w:val="18"/>
                <w:vertAlign w:val="superscript"/>
                <w:lang w:val="fr-FR"/>
              </w:rPr>
              <w:t>e</w:t>
            </w:r>
            <w:r w:rsidRPr="00CC5D38">
              <w:rPr>
                <w:color w:val="000000"/>
                <w:sz w:val="18"/>
                <w:szCs w:val="18"/>
                <w:lang w:val="fr-FR"/>
              </w:rPr>
              <w:t xml:space="preserve"> </w:t>
            </w:r>
            <w:r w:rsidR="00AF6C12" w:rsidRPr="00CC5D38">
              <w:rPr>
                <w:color w:val="000000"/>
                <w:sz w:val="18"/>
                <w:szCs w:val="18"/>
                <w:lang w:val="fr-FR"/>
              </w:rPr>
              <w:t>Échange</w:t>
            </w:r>
            <w:r w:rsidRPr="00CC5D38">
              <w:rPr>
                <w:color w:val="000000"/>
                <w:sz w:val="18"/>
                <w:szCs w:val="18"/>
                <w:lang w:val="fr-FR"/>
              </w:rPr>
              <w:t xml:space="preserve"> pour la compétitivité des Amériques </w:t>
            </w:r>
            <w:r w:rsidRPr="00CC5D38">
              <w:rPr>
                <w:i/>
                <w:iCs/>
                <w:color w:val="000000"/>
                <w:sz w:val="18"/>
                <w:szCs w:val="18"/>
                <w:lang w:val="fr-FR"/>
              </w:rPr>
              <w:t>(États-Unis, novembre)</w:t>
            </w:r>
          </w:p>
          <w:p w14:paraId="7EAD0157" w14:textId="77777777" w:rsidR="005A40EC" w:rsidRPr="00CC5D38" w:rsidRDefault="005A40EC" w:rsidP="00C618DD">
            <w:pPr>
              <w:ind w:left="54" w:right="14"/>
              <w:jc w:val="left"/>
              <w:rPr>
                <w:sz w:val="18"/>
                <w:szCs w:val="18"/>
                <w:lang w:val="fr-FR"/>
              </w:rPr>
            </w:pP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14:paraId="4E19709F" w14:textId="5FE6A708" w:rsidR="005A40EC" w:rsidRPr="00CC5D38" w:rsidRDefault="005A40EC" w:rsidP="00C618DD">
            <w:pPr>
              <w:jc w:val="left"/>
              <w:rPr>
                <w:color w:val="000000"/>
                <w:sz w:val="18"/>
                <w:szCs w:val="18"/>
                <w:lang w:val="fr-FR"/>
              </w:rPr>
            </w:pPr>
            <w:r w:rsidRPr="00CC5D38">
              <w:rPr>
                <w:i/>
                <w:iCs/>
                <w:color w:val="000000"/>
                <w:sz w:val="18"/>
                <w:szCs w:val="18"/>
                <w:lang w:val="fr-FR"/>
              </w:rPr>
              <w:t>Prospecta Américas</w:t>
            </w:r>
            <w:r w:rsidRPr="00CC5D38">
              <w:rPr>
                <w:color w:val="000000"/>
                <w:sz w:val="18"/>
                <w:szCs w:val="18"/>
                <w:lang w:val="fr-FR"/>
              </w:rPr>
              <w:t xml:space="preserve"> (Colombie)</w:t>
            </w:r>
          </w:p>
          <w:p w14:paraId="41027414" w14:textId="77777777" w:rsidR="005A40EC" w:rsidRPr="00CC5D38" w:rsidRDefault="005A40EC" w:rsidP="00C618DD">
            <w:pPr>
              <w:jc w:val="left"/>
              <w:rPr>
                <w:color w:val="000000"/>
                <w:sz w:val="18"/>
                <w:szCs w:val="18"/>
                <w:lang w:val="fr-FR"/>
              </w:rPr>
            </w:pPr>
          </w:p>
          <w:p w14:paraId="162C07D3" w14:textId="2EA2D352" w:rsidR="005A40EC" w:rsidRPr="00CC5D38" w:rsidRDefault="005A40EC" w:rsidP="00C618DD">
            <w:pPr>
              <w:jc w:val="left"/>
              <w:rPr>
                <w:i/>
                <w:color w:val="000000"/>
                <w:sz w:val="18"/>
                <w:szCs w:val="18"/>
                <w:lang w:val="fr-FR"/>
              </w:rPr>
            </w:pPr>
            <w:r w:rsidRPr="00CC5D38">
              <w:rPr>
                <w:color w:val="000000"/>
                <w:sz w:val="18"/>
                <w:szCs w:val="18"/>
                <w:lang w:val="fr-FR"/>
              </w:rPr>
              <w:t>XV</w:t>
            </w:r>
            <w:r w:rsidR="002129D9" w:rsidRPr="00CC5D38">
              <w:rPr>
                <w:color w:val="000000"/>
                <w:sz w:val="18"/>
                <w:szCs w:val="18"/>
                <w:vertAlign w:val="superscript"/>
                <w:lang w:val="fr-FR"/>
              </w:rPr>
              <w:t>e</w:t>
            </w:r>
            <w:r w:rsidRPr="00CC5D38">
              <w:rPr>
                <w:color w:val="000000"/>
                <w:sz w:val="18"/>
                <w:szCs w:val="18"/>
                <w:lang w:val="fr-FR"/>
              </w:rPr>
              <w:t xml:space="preserve"> &amp; XVI</w:t>
            </w:r>
            <w:r w:rsidR="002129D9" w:rsidRPr="00CC5D38">
              <w:rPr>
                <w:color w:val="000000"/>
                <w:sz w:val="18"/>
                <w:szCs w:val="18"/>
                <w:vertAlign w:val="superscript"/>
                <w:lang w:val="fr-FR"/>
              </w:rPr>
              <w:t>e</w:t>
            </w:r>
            <w:r w:rsidRPr="00CC5D38">
              <w:rPr>
                <w:color w:val="000000"/>
                <w:sz w:val="18"/>
                <w:szCs w:val="18"/>
                <w:lang w:val="fr-FR"/>
              </w:rPr>
              <w:t xml:space="preserve"> </w:t>
            </w:r>
            <w:r w:rsidR="002129D9" w:rsidRPr="00CC5D38">
              <w:rPr>
                <w:color w:val="000000"/>
                <w:sz w:val="18"/>
                <w:szCs w:val="18"/>
                <w:lang w:val="fr-FR"/>
              </w:rPr>
              <w:t xml:space="preserve">Réseaux </w:t>
            </w:r>
            <w:r w:rsidRPr="00CC5D38">
              <w:rPr>
                <w:color w:val="000000"/>
                <w:sz w:val="18"/>
                <w:szCs w:val="18"/>
                <w:lang w:val="fr-FR"/>
              </w:rPr>
              <w:t>pour la compétitivité des Amériques</w:t>
            </w:r>
          </w:p>
          <w:p w14:paraId="3234D3FD" w14:textId="77777777" w:rsidR="005A40EC" w:rsidRPr="00CC5D38" w:rsidRDefault="005A40EC" w:rsidP="00C618DD">
            <w:pPr>
              <w:ind w:left="62" w:right="14"/>
              <w:jc w:val="left"/>
              <w:rPr>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tc>
        <w:tc>
          <w:tcPr>
            <w:tcW w:w="1342"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hideMark/>
          </w:tcPr>
          <w:p w14:paraId="2FB55C70" w14:textId="77777777" w:rsidR="005A40EC" w:rsidRPr="00CC5D38" w:rsidRDefault="005A40EC" w:rsidP="00C618DD">
            <w:pPr>
              <w:ind w:left="54" w:right="14"/>
              <w:jc w:val="left"/>
              <w:rPr>
                <w:sz w:val="18"/>
                <w:szCs w:val="18"/>
                <w:lang w:val="fr-FR"/>
              </w:rPr>
            </w:pPr>
            <w:r w:rsidRPr="00CC5D38">
              <w:rPr>
                <w:sz w:val="18"/>
                <w:szCs w:val="18"/>
                <w:lang w:val="fr-FR"/>
              </w:rPr>
              <w:t>XII</w:t>
            </w:r>
            <w:r w:rsidRPr="00CC5D38">
              <w:rPr>
                <w:sz w:val="18"/>
                <w:szCs w:val="18"/>
                <w:vertAlign w:val="superscript"/>
                <w:lang w:val="fr-FR"/>
              </w:rPr>
              <w:t>e</w:t>
            </w:r>
            <w:r w:rsidRPr="00CC5D38">
              <w:rPr>
                <w:sz w:val="18"/>
                <w:szCs w:val="18"/>
                <w:lang w:val="fr-FR"/>
              </w:rPr>
              <w:t xml:space="preserve"> Forum de compétitivité des Amériques</w:t>
            </w:r>
            <w:r w:rsidRPr="00CC5D38">
              <w:rPr>
                <w:color w:val="000000"/>
                <w:sz w:val="18"/>
                <w:szCs w:val="18"/>
                <w:lang w:val="fr-FR"/>
              </w:rPr>
              <w:t xml:space="preserve"> </w:t>
            </w:r>
          </w:p>
          <w:p w14:paraId="5BA8121F" w14:textId="77777777" w:rsidR="005A40EC" w:rsidRPr="00CC5D38" w:rsidRDefault="005A40EC" w:rsidP="00C618DD">
            <w:pPr>
              <w:jc w:val="left"/>
              <w:rPr>
                <w:i/>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r w:rsidR="002129D9" w:rsidRPr="00CC5D38">
              <w:rPr>
                <w:i/>
                <w:sz w:val="18"/>
                <w:szCs w:val="18"/>
                <w:lang w:val="fr-FR"/>
              </w:rPr>
              <w:t>)</w:t>
            </w:r>
          </w:p>
          <w:p w14:paraId="59CC1C82" w14:textId="77777777" w:rsidR="005A40EC" w:rsidRPr="00CC5D38" w:rsidRDefault="005A40EC" w:rsidP="00C618DD">
            <w:pPr>
              <w:jc w:val="left"/>
              <w:rPr>
                <w:color w:val="000000"/>
                <w:sz w:val="18"/>
                <w:szCs w:val="18"/>
                <w:lang w:val="fr-FR"/>
              </w:rPr>
            </w:pPr>
          </w:p>
          <w:p w14:paraId="066E7AA0" w14:textId="49F3A22C" w:rsidR="005A40EC" w:rsidRPr="00CC5D38" w:rsidRDefault="005A40EC" w:rsidP="00C618DD">
            <w:pPr>
              <w:suppressAutoHyphens/>
              <w:jc w:val="left"/>
              <w:rPr>
                <w:iCs/>
                <w:sz w:val="18"/>
                <w:szCs w:val="18"/>
                <w:lang w:val="fr-FR"/>
              </w:rPr>
            </w:pPr>
            <w:r w:rsidRPr="00CC5D38">
              <w:rPr>
                <w:iCs/>
                <w:sz w:val="18"/>
                <w:szCs w:val="18"/>
                <w:lang w:val="fr-FR"/>
              </w:rPr>
              <w:t>VIII</w:t>
            </w:r>
            <w:r w:rsidRPr="00CC5D38">
              <w:rPr>
                <w:sz w:val="18"/>
                <w:szCs w:val="18"/>
                <w:vertAlign w:val="superscript"/>
                <w:lang w:val="fr-FR"/>
              </w:rPr>
              <w:t>e</w:t>
            </w:r>
            <w:r w:rsidRPr="00CC5D38">
              <w:rPr>
                <w:iCs/>
                <w:sz w:val="18"/>
                <w:szCs w:val="18"/>
                <w:lang w:val="fr-FR"/>
              </w:rPr>
              <w:t xml:space="preserve"> Dialogue </w:t>
            </w:r>
            <w:r w:rsidR="002129D9" w:rsidRPr="00CC5D38">
              <w:rPr>
                <w:iCs/>
                <w:sz w:val="18"/>
                <w:szCs w:val="18"/>
                <w:lang w:val="fr-FR"/>
              </w:rPr>
              <w:t xml:space="preserve">interaméricain </w:t>
            </w:r>
            <w:r w:rsidR="00EE785B" w:rsidRPr="00CC5D38">
              <w:rPr>
                <w:iCs/>
                <w:sz w:val="18"/>
                <w:szCs w:val="18"/>
                <w:lang w:val="fr-FR"/>
              </w:rPr>
              <w:t xml:space="preserve">des chefs de </w:t>
            </w:r>
            <w:r w:rsidRPr="00CC5D38">
              <w:rPr>
                <w:iCs/>
                <w:sz w:val="18"/>
                <w:szCs w:val="18"/>
                <w:lang w:val="fr-FR"/>
              </w:rPr>
              <w:t>MPME</w:t>
            </w:r>
          </w:p>
          <w:p w14:paraId="576305F8" w14:textId="77777777" w:rsidR="005A40EC" w:rsidRPr="00CC5D38" w:rsidRDefault="005A40EC" w:rsidP="00C618DD">
            <w:pPr>
              <w:jc w:val="left"/>
              <w:rPr>
                <w:i/>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0CE8DDA1" w14:textId="77777777" w:rsidR="005A40EC" w:rsidRPr="00CC5D38" w:rsidRDefault="005A40EC" w:rsidP="00C618DD">
            <w:pPr>
              <w:jc w:val="left"/>
              <w:rPr>
                <w:color w:val="000000"/>
                <w:sz w:val="18"/>
                <w:szCs w:val="18"/>
                <w:lang w:val="fr-FR"/>
              </w:rPr>
            </w:pPr>
          </w:p>
          <w:p w14:paraId="5C8B177E" w14:textId="2A083A9A" w:rsidR="005A40EC" w:rsidRPr="00CC5D38" w:rsidRDefault="005A40EC" w:rsidP="00C618DD">
            <w:pPr>
              <w:jc w:val="left"/>
              <w:rPr>
                <w:i/>
                <w:color w:val="000000"/>
                <w:sz w:val="18"/>
                <w:szCs w:val="18"/>
                <w:lang w:val="fr-FR"/>
              </w:rPr>
            </w:pPr>
            <w:r w:rsidRPr="00CC5D38">
              <w:rPr>
                <w:color w:val="000000"/>
                <w:sz w:val="18"/>
                <w:szCs w:val="18"/>
                <w:lang w:val="fr-FR"/>
              </w:rPr>
              <w:t>XVII</w:t>
            </w:r>
            <w:r w:rsidR="002129D9" w:rsidRPr="00CC5D38">
              <w:rPr>
                <w:color w:val="000000"/>
                <w:sz w:val="18"/>
                <w:szCs w:val="18"/>
                <w:vertAlign w:val="superscript"/>
                <w:lang w:val="fr-FR"/>
              </w:rPr>
              <w:t>e</w:t>
            </w:r>
            <w:r w:rsidRPr="00CC5D38">
              <w:rPr>
                <w:color w:val="000000"/>
                <w:sz w:val="18"/>
                <w:szCs w:val="18"/>
                <w:lang w:val="fr-FR"/>
              </w:rPr>
              <w:t xml:space="preserve"> &amp; XVIII</w:t>
            </w:r>
            <w:r w:rsidR="002129D9" w:rsidRPr="00CC5D38">
              <w:rPr>
                <w:color w:val="000000"/>
                <w:sz w:val="18"/>
                <w:szCs w:val="18"/>
                <w:vertAlign w:val="superscript"/>
                <w:lang w:val="fr-FR"/>
              </w:rPr>
              <w:t>e</w:t>
            </w:r>
            <w:r w:rsidRPr="00CC5D38">
              <w:rPr>
                <w:color w:val="000000"/>
                <w:sz w:val="18"/>
                <w:szCs w:val="18"/>
                <w:lang w:val="fr-FR"/>
              </w:rPr>
              <w:t xml:space="preserve"> </w:t>
            </w:r>
            <w:r w:rsidR="00EE785B" w:rsidRPr="00CC5D38">
              <w:rPr>
                <w:color w:val="000000"/>
                <w:sz w:val="18"/>
                <w:szCs w:val="18"/>
                <w:lang w:val="fr-FR"/>
              </w:rPr>
              <w:t>Échanges</w:t>
            </w:r>
            <w:r w:rsidR="002129D9" w:rsidRPr="00CC5D38">
              <w:rPr>
                <w:color w:val="000000"/>
                <w:sz w:val="18"/>
                <w:szCs w:val="18"/>
                <w:lang w:val="fr-FR"/>
              </w:rPr>
              <w:t xml:space="preserve"> </w:t>
            </w:r>
            <w:r w:rsidRPr="00CC5D38">
              <w:rPr>
                <w:color w:val="000000"/>
                <w:sz w:val="18"/>
                <w:szCs w:val="18"/>
                <w:lang w:val="fr-FR"/>
              </w:rPr>
              <w:t>pour la compétitivité des Amériques</w:t>
            </w:r>
          </w:p>
          <w:p w14:paraId="5F112AD7" w14:textId="18BCF42C" w:rsidR="005A40EC" w:rsidRPr="00CC5D38" w:rsidRDefault="005A40EC" w:rsidP="00C618DD">
            <w:pPr>
              <w:jc w:val="left"/>
              <w:rPr>
                <w:color w:val="000000"/>
                <w:sz w:val="18"/>
                <w:szCs w:val="18"/>
                <w:lang w:val="fr-FR"/>
              </w:rPr>
            </w:pPr>
            <w:r w:rsidRPr="00CC5D38">
              <w:rPr>
                <w:i/>
                <w:sz w:val="18"/>
                <w:szCs w:val="18"/>
                <w:lang w:val="fr-FR"/>
              </w:rPr>
              <w:t>(</w:t>
            </w:r>
            <w:proofErr w:type="gramStart"/>
            <w:r w:rsidRPr="00CC5D38">
              <w:rPr>
                <w:i/>
                <w:sz w:val="18"/>
                <w:szCs w:val="18"/>
                <w:lang w:val="fr-FR"/>
              </w:rPr>
              <w:t>hôte</w:t>
            </w:r>
            <w:r w:rsidR="00EE785B" w:rsidRPr="00CC5D38">
              <w:rPr>
                <w:i/>
                <w:sz w:val="18"/>
                <w:szCs w:val="18"/>
                <w:lang w:val="fr-FR"/>
              </w:rPr>
              <w:t>s</w:t>
            </w:r>
            <w:proofErr w:type="gramEnd"/>
            <w:r w:rsidRPr="00CC5D38">
              <w:rPr>
                <w:i/>
                <w:sz w:val="18"/>
                <w:szCs w:val="18"/>
                <w:lang w:val="fr-FR"/>
              </w:rPr>
              <w:t xml:space="preserve"> à préciser)</w:t>
            </w:r>
          </w:p>
          <w:p w14:paraId="30A573CA" w14:textId="77777777" w:rsidR="005A40EC" w:rsidRPr="00CC5D38" w:rsidRDefault="005A40EC" w:rsidP="00C618DD">
            <w:pPr>
              <w:jc w:val="left"/>
              <w:rPr>
                <w:color w:val="000000"/>
                <w:sz w:val="18"/>
                <w:szCs w:val="18"/>
                <w:lang w:val="fr-FR"/>
              </w:rPr>
            </w:pPr>
          </w:p>
          <w:p w14:paraId="5657E59F" w14:textId="77777777" w:rsidR="005A40EC" w:rsidRPr="00CC5D38" w:rsidRDefault="005A40EC" w:rsidP="00C618DD">
            <w:pPr>
              <w:jc w:val="left"/>
              <w:rPr>
                <w:sz w:val="18"/>
                <w:szCs w:val="18"/>
                <w:lang w:val="fr-FR"/>
              </w:rPr>
            </w:pPr>
          </w:p>
        </w:tc>
        <w:tc>
          <w:tcPr>
            <w:tcW w:w="1988"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14:paraId="0510EB6B" w14:textId="5994C421" w:rsidR="005A40EC" w:rsidRPr="00CC5D38" w:rsidRDefault="005A40EC" w:rsidP="00C618DD">
            <w:pPr>
              <w:jc w:val="left"/>
              <w:rPr>
                <w:i/>
                <w:color w:val="000000"/>
                <w:sz w:val="18"/>
                <w:szCs w:val="18"/>
                <w:lang w:val="fr-FR"/>
              </w:rPr>
            </w:pPr>
            <w:r w:rsidRPr="00CC5D38">
              <w:rPr>
                <w:color w:val="000000"/>
                <w:sz w:val="18"/>
                <w:szCs w:val="18"/>
                <w:lang w:val="fr-FR"/>
              </w:rPr>
              <w:t>XIX</w:t>
            </w:r>
            <w:r w:rsidR="002129D9" w:rsidRPr="00CC5D38">
              <w:rPr>
                <w:color w:val="000000"/>
                <w:sz w:val="18"/>
                <w:szCs w:val="18"/>
                <w:vertAlign w:val="superscript"/>
                <w:lang w:val="fr-FR"/>
              </w:rPr>
              <w:t>e</w:t>
            </w:r>
            <w:r w:rsidRPr="00CC5D38">
              <w:rPr>
                <w:color w:val="000000"/>
                <w:sz w:val="18"/>
                <w:szCs w:val="18"/>
                <w:lang w:val="fr-FR"/>
              </w:rPr>
              <w:t xml:space="preserve"> &amp; XX</w:t>
            </w:r>
            <w:r w:rsidR="002129D9" w:rsidRPr="00CC5D38">
              <w:rPr>
                <w:color w:val="000000"/>
                <w:sz w:val="18"/>
                <w:szCs w:val="18"/>
                <w:vertAlign w:val="superscript"/>
                <w:lang w:val="fr-FR"/>
              </w:rPr>
              <w:t>e</w:t>
            </w:r>
            <w:r w:rsidRPr="00CC5D38">
              <w:rPr>
                <w:color w:val="000000"/>
                <w:sz w:val="18"/>
                <w:szCs w:val="18"/>
                <w:lang w:val="fr-FR"/>
              </w:rPr>
              <w:t xml:space="preserve"> </w:t>
            </w:r>
            <w:r w:rsidR="00EE785B" w:rsidRPr="00CC5D38">
              <w:rPr>
                <w:color w:val="000000"/>
                <w:sz w:val="18"/>
                <w:szCs w:val="18"/>
                <w:lang w:val="fr-FR"/>
              </w:rPr>
              <w:t>Échanges</w:t>
            </w:r>
            <w:r w:rsidR="002129D9" w:rsidRPr="00CC5D38">
              <w:rPr>
                <w:color w:val="000000"/>
                <w:sz w:val="18"/>
                <w:szCs w:val="18"/>
                <w:lang w:val="fr-FR"/>
              </w:rPr>
              <w:t xml:space="preserve"> </w:t>
            </w:r>
            <w:r w:rsidRPr="00CC5D38">
              <w:rPr>
                <w:color w:val="000000"/>
                <w:sz w:val="18"/>
                <w:szCs w:val="18"/>
                <w:lang w:val="fr-FR"/>
              </w:rPr>
              <w:t>pour la compétitivité des Amériques</w:t>
            </w:r>
          </w:p>
          <w:p w14:paraId="75241580" w14:textId="3B351B67" w:rsidR="005A40EC" w:rsidRPr="00CC5D38" w:rsidRDefault="005A40EC" w:rsidP="00C618DD">
            <w:pPr>
              <w:jc w:val="left"/>
              <w:rPr>
                <w:color w:val="000000"/>
                <w:sz w:val="18"/>
                <w:szCs w:val="18"/>
                <w:lang w:val="fr-FR"/>
              </w:rPr>
            </w:pPr>
            <w:r w:rsidRPr="00CC5D38">
              <w:rPr>
                <w:i/>
                <w:sz w:val="18"/>
                <w:szCs w:val="18"/>
                <w:lang w:val="fr-FR"/>
              </w:rPr>
              <w:t>(</w:t>
            </w:r>
            <w:proofErr w:type="gramStart"/>
            <w:r w:rsidRPr="00CC5D38">
              <w:rPr>
                <w:i/>
                <w:sz w:val="18"/>
                <w:szCs w:val="18"/>
                <w:lang w:val="fr-FR"/>
              </w:rPr>
              <w:t>hôte</w:t>
            </w:r>
            <w:r w:rsidR="00EE785B" w:rsidRPr="00CC5D38">
              <w:rPr>
                <w:i/>
                <w:sz w:val="18"/>
                <w:szCs w:val="18"/>
                <w:lang w:val="fr-FR"/>
              </w:rPr>
              <w:t>s</w:t>
            </w:r>
            <w:proofErr w:type="gramEnd"/>
            <w:r w:rsidRPr="00CC5D38">
              <w:rPr>
                <w:i/>
                <w:sz w:val="18"/>
                <w:szCs w:val="18"/>
                <w:lang w:val="fr-FR"/>
              </w:rPr>
              <w:t xml:space="preserve"> à préciser</w:t>
            </w:r>
            <w:r w:rsidR="002129D9" w:rsidRPr="00CC5D38">
              <w:rPr>
                <w:i/>
                <w:sz w:val="18"/>
                <w:szCs w:val="18"/>
                <w:lang w:val="fr-FR"/>
              </w:rPr>
              <w:t>)</w:t>
            </w:r>
          </w:p>
          <w:p w14:paraId="0459C118" w14:textId="77777777" w:rsidR="005A40EC" w:rsidRPr="00CC5D38" w:rsidRDefault="005A40EC" w:rsidP="00C618DD">
            <w:pPr>
              <w:jc w:val="left"/>
              <w:rPr>
                <w:color w:val="000000"/>
                <w:sz w:val="18"/>
                <w:szCs w:val="18"/>
                <w:lang w:val="fr-FR"/>
              </w:rPr>
            </w:pPr>
          </w:p>
          <w:p w14:paraId="02517749" w14:textId="77777777" w:rsidR="005A40EC" w:rsidRPr="00CC5D38" w:rsidRDefault="005A40EC" w:rsidP="00C618DD">
            <w:pPr>
              <w:jc w:val="left"/>
              <w:rPr>
                <w:color w:val="000000"/>
                <w:sz w:val="18"/>
                <w:szCs w:val="18"/>
                <w:lang w:val="fr-FR"/>
              </w:rPr>
            </w:pPr>
          </w:p>
          <w:p w14:paraId="0A59DC87" w14:textId="77777777" w:rsidR="005A40EC" w:rsidRPr="00CC5D38" w:rsidRDefault="005A40EC" w:rsidP="00C618DD">
            <w:pPr>
              <w:jc w:val="left"/>
              <w:rPr>
                <w:i/>
                <w:iCs/>
                <w:color w:val="000000"/>
                <w:sz w:val="18"/>
                <w:szCs w:val="18"/>
                <w:lang w:val="fr-FR"/>
              </w:rPr>
            </w:pPr>
          </w:p>
          <w:p w14:paraId="346DD294" w14:textId="77777777" w:rsidR="005A40EC" w:rsidRPr="00CC5D38" w:rsidRDefault="005A40EC" w:rsidP="00C618DD">
            <w:pPr>
              <w:ind w:left="270" w:right="14"/>
              <w:jc w:val="left"/>
              <w:rPr>
                <w:sz w:val="18"/>
                <w:szCs w:val="18"/>
                <w:lang w:val="fr-FR"/>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43456B0" w14:textId="6B435279" w:rsidR="005A40EC" w:rsidRPr="00CC5D38" w:rsidRDefault="005A40EC" w:rsidP="00C618DD">
            <w:pPr>
              <w:suppressAutoHyphens/>
              <w:jc w:val="left"/>
              <w:rPr>
                <w:iCs/>
                <w:sz w:val="18"/>
                <w:szCs w:val="18"/>
                <w:lang w:val="fr-FR"/>
              </w:rPr>
            </w:pPr>
            <w:r w:rsidRPr="00CC5D38">
              <w:rPr>
                <w:iCs/>
                <w:sz w:val="18"/>
                <w:szCs w:val="18"/>
                <w:lang w:val="fr-FR"/>
              </w:rPr>
              <w:t>IX</w:t>
            </w:r>
            <w:r w:rsidRPr="00CC5D38">
              <w:rPr>
                <w:sz w:val="18"/>
                <w:szCs w:val="18"/>
                <w:vertAlign w:val="superscript"/>
                <w:lang w:val="fr-FR"/>
              </w:rPr>
              <w:t>e</w:t>
            </w:r>
            <w:r w:rsidRPr="00CC5D38">
              <w:rPr>
                <w:iCs/>
                <w:sz w:val="18"/>
                <w:szCs w:val="18"/>
                <w:lang w:val="fr-FR"/>
              </w:rPr>
              <w:t xml:space="preserve"> Dialogue </w:t>
            </w:r>
            <w:r w:rsidR="002129D9" w:rsidRPr="00CC5D38">
              <w:rPr>
                <w:iCs/>
                <w:sz w:val="18"/>
                <w:szCs w:val="18"/>
                <w:lang w:val="fr-FR"/>
              </w:rPr>
              <w:t xml:space="preserve">interaméricain </w:t>
            </w:r>
            <w:r w:rsidRPr="00CC5D38">
              <w:rPr>
                <w:iCs/>
                <w:sz w:val="18"/>
                <w:szCs w:val="18"/>
                <w:lang w:val="fr-FR"/>
              </w:rPr>
              <w:t>d</w:t>
            </w:r>
            <w:r w:rsidR="00EE785B" w:rsidRPr="00CC5D38">
              <w:rPr>
                <w:iCs/>
                <w:sz w:val="18"/>
                <w:szCs w:val="18"/>
                <w:lang w:val="fr-FR"/>
              </w:rPr>
              <w:t xml:space="preserve">es chefs de </w:t>
            </w:r>
            <w:r w:rsidRPr="00CC5D38">
              <w:rPr>
                <w:iCs/>
                <w:sz w:val="18"/>
                <w:szCs w:val="18"/>
                <w:lang w:val="fr-FR"/>
              </w:rPr>
              <w:t>MPME</w:t>
            </w:r>
          </w:p>
          <w:p w14:paraId="16EE9437" w14:textId="77777777" w:rsidR="005A40EC" w:rsidRPr="00CC5D38" w:rsidRDefault="005A40EC" w:rsidP="00C618DD">
            <w:pPr>
              <w:jc w:val="left"/>
              <w:rPr>
                <w:i/>
                <w:sz w:val="18"/>
                <w:szCs w:val="18"/>
                <w:lang w:val="fr-FR"/>
              </w:rPr>
            </w:pPr>
            <w:r w:rsidRPr="00CC5D38">
              <w:rPr>
                <w:i/>
                <w:sz w:val="18"/>
                <w:szCs w:val="18"/>
                <w:lang w:val="fr-FR"/>
              </w:rPr>
              <w:t>(</w:t>
            </w:r>
            <w:proofErr w:type="gramStart"/>
            <w:r w:rsidRPr="00CC5D38">
              <w:rPr>
                <w:i/>
                <w:sz w:val="18"/>
                <w:szCs w:val="18"/>
                <w:lang w:val="fr-FR"/>
              </w:rPr>
              <w:t>hôte</w:t>
            </w:r>
            <w:proofErr w:type="gramEnd"/>
            <w:r w:rsidRPr="00CC5D38">
              <w:rPr>
                <w:i/>
                <w:sz w:val="18"/>
                <w:szCs w:val="18"/>
                <w:lang w:val="fr-FR"/>
              </w:rPr>
              <w:t xml:space="preserve"> à préciser)</w:t>
            </w:r>
          </w:p>
          <w:p w14:paraId="59B8BDFF" w14:textId="77777777" w:rsidR="005A40EC" w:rsidRPr="00CC5D38" w:rsidRDefault="005A40EC" w:rsidP="00C618DD">
            <w:pPr>
              <w:ind w:left="74"/>
              <w:jc w:val="left"/>
              <w:rPr>
                <w:color w:val="000000"/>
                <w:sz w:val="18"/>
                <w:szCs w:val="18"/>
                <w:lang w:val="fr-FR"/>
              </w:rPr>
            </w:pPr>
            <w:r w:rsidRPr="00CC5D38">
              <w:rPr>
                <w:color w:val="000000"/>
                <w:sz w:val="18"/>
                <w:szCs w:val="18"/>
                <w:lang w:val="fr-FR"/>
              </w:rPr>
              <w:t>-</w:t>
            </w:r>
          </w:p>
          <w:p w14:paraId="1F5DCC6F" w14:textId="7612E892" w:rsidR="005A40EC" w:rsidRPr="00CC5D38" w:rsidRDefault="005A40EC" w:rsidP="00C618DD">
            <w:pPr>
              <w:jc w:val="left"/>
              <w:rPr>
                <w:i/>
                <w:color w:val="000000"/>
                <w:sz w:val="18"/>
                <w:szCs w:val="18"/>
                <w:lang w:val="fr-FR"/>
              </w:rPr>
            </w:pPr>
            <w:r w:rsidRPr="00CC5D38">
              <w:rPr>
                <w:color w:val="000000"/>
                <w:sz w:val="18"/>
                <w:szCs w:val="18"/>
                <w:lang w:val="fr-FR"/>
              </w:rPr>
              <w:t>XXI</w:t>
            </w:r>
            <w:r w:rsidR="002129D9" w:rsidRPr="00CC5D38">
              <w:rPr>
                <w:color w:val="000000"/>
                <w:sz w:val="18"/>
                <w:szCs w:val="18"/>
                <w:vertAlign w:val="superscript"/>
                <w:lang w:val="fr-FR"/>
              </w:rPr>
              <w:t>e</w:t>
            </w:r>
            <w:r w:rsidRPr="00CC5D38">
              <w:rPr>
                <w:color w:val="000000"/>
                <w:sz w:val="18"/>
                <w:szCs w:val="18"/>
                <w:lang w:val="fr-FR"/>
              </w:rPr>
              <w:t xml:space="preserve"> &amp; XXII</w:t>
            </w:r>
            <w:r w:rsidR="002129D9" w:rsidRPr="00CC5D38">
              <w:rPr>
                <w:color w:val="000000"/>
                <w:sz w:val="18"/>
                <w:szCs w:val="18"/>
                <w:vertAlign w:val="superscript"/>
                <w:lang w:val="fr-FR"/>
              </w:rPr>
              <w:t>e</w:t>
            </w:r>
            <w:r w:rsidRPr="00CC5D38">
              <w:rPr>
                <w:color w:val="000000"/>
                <w:sz w:val="18"/>
                <w:szCs w:val="18"/>
                <w:lang w:val="fr-FR"/>
              </w:rPr>
              <w:t xml:space="preserve"> </w:t>
            </w:r>
            <w:r w:rsidR="00EE785B" w:rsidRPr="00CC5D38">
              <w:rPr>
                <w:color w:val="000000"/>
                <w:sz w:val="18"/>
                <w:szCs w:val="18"/>
                <w:lang w:val="fr-FR"/>
              </w:rPr>
              <w:t>Échanges</w:t>
            </w:r>
            <w:r w:rsidR="002129D9" w:rsidRPr="00CC5D38">
              <w:rPr>
                <w:color w:val="000000"/>
                <w:sz w:val="18"/>
                <w:szCs w:val="18"/>
                <w:lang w:val="fr-FR"/>
              </w:rPr>
              <w:t xml:space="preserve"> </w:t>
            </w:r>
            <w:r w:rsidRPr="00CC5D38">
              <w:rPr>
                <w:color w:val="000000"/>
                <w:sz w:val="18"/>
                <w:szCs w:val="18"/>
                <w:lang w:val="fr-FR"/>
              </w:rPr>
              <w:t>pour la compétitivité des Amériques</w:t>
            </w:r>
          </w:p>
          <w:p w14:paraId="6C788E45" w14:textId="23B54EFF" w:rsidR="005A40EC" w:rsidRPr="00CC5D38" w:rsidRDefault="005A40EC" w:rsidP="00C618DD">
            <w:pPr>
              <w:jc w:val="left"/>
              <w:rPr>
                <w:color w:val="000000"/>
                <w:sz w:val="18"/>
                <w:szCs w:val="18"/>
                <w:lang w:val="fr-FR"/>
              </w:rPr>
            </w:pPr>
            <w:r w:rsidRPr="00CC5D38">
              <w:rPr>
                <w:i/>
                <w:sz w:val="18"/>
                <w:szCs w:val="18"/>
                <w:lang w:val="fr-FR"/>
              </w:rPr>
              <w:t>(</w:t>
            </w:r>
            <w:proofErr w:type="gramStart"/>
            <w:r w:rsidRPr="00CC5D38">
              <w:rPr>
                <w:i/>
                <w:sz w:val="18"/>
                <w:szCs w:val="18"/>
                <w:lang w:val="fr-FR"/>
              </w:rPr>
              <w:t>hôte</w:t>
            </w:r>
            <w:r w:rsidR="00EE785B" w:rsidRPr="00CC5D38">
              <w:rPr>
                <w:i/>
                <w:sz w:val="18"/>
                <w:szCs w:val="18"/>
                <w:lang w:val="fr-FR"/>
              </w:rPr>
              <w:t>s</w:t>
            </w:r>
            <w:proofErr w:type="gramEnd"/>
            <w:r w:rsidRPr="00CC5D38">
              <w:rPr>
                <w:i/>
                <w:sz w:val="18"/>
                <w:szCs w:val="18"/>
                <w:lang w:val="fr-FR"/>
              </w:rPr>
              <w:t xml:space="preserve"> à préciser</w:t>
            </w:r>
            <w:r w:rsidRPr="00CC5D38">
              <w:rPr>
                <w:i/>
                <w:color w:val="000000"/>
                <w:sz w:val="18"/>
                <w:szCs w:val="18"/>
                <w:lang w:val="fr-FR"/>
              </w:rPr>
              <w:t>)</w:t>
            </w:r>
          </w:p>
          <w:p w14:paraId="67F6E600" w14:textId="77777777" w:rsidR="005A40EC" w:rsidRPr="00CC5D38" w:rsidRDefault="005A40EC" w:rsidP="00C618DD">
            <w:pPr>
              <w:jc w:val="left"/>
              <w:rPr>
                <w:i/>
                <w:iCs/>
                <w:color w:val="000000"/>
                <w:sz w:val="18"/>
                <w:szCs w:val="18"/>
                <w:lang w:val="fr-FR"/>
              </w:rPr>
            </w:pPr>
          </w:p>
          <w:p w14:paraId="05E26E70" w14:textId="77777777" w:rsidR="005A40EC" w:rsidRPr="00CC5D38" w:rsidRDefault="005A40EC" w:rsidP="00C618DD">
            <w:pPr>
              <w:jc w:val="left"/>
              <w:rPr>
                <w:sz w:val="18"/>
                <w:szCs w:val="18"/>
                <w:lang w:val="fr-FR"/>
              </w:rPr>
            </w:pPr>
          </w:p>
        </w:tc>
      </w:tr>
      <w:tr w:rsidR="005A40EC" w:rsidRPr="00B44AA1" w14:paraId="6B0ED0D3" w14:textId="77777777" w:rsidTr="009D6D34">
        <w:trPr>
          <w:trHeight w:val="1497"/>
          <w:jc w:val="center"/>
        </w:trPr>
        <w:tc>
          <w:tcPr>
            <w:tcW w:w="10988" w:type="dxa"/>
            <w:gridSpan w:val="7"/>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hideMark/>
          </w:tcPr>
          <w:p w14:paraId="49B9DE43" w14:textId="18835F4E" w:rsidR="009D6D34" w:rsidRPr="00CC5D38" w:rsidRDefault="009D6D34" w:rsidP="009D6D34">
            <w:pPr>
              <w:suppressAutoHyphens/>
              <w:ind w:right="2582"/>
              <w:jc w:val="left"/>
              <w:rPr>
                <w:sz w:val="18"/>
                <w:szCs w:val="18"/>
                <w:lang w:val="fr-FR"/>
              </w:rPr>
            </w:pPr>
            <w:r>
              <w:rPr>
                <w:iCs/>
                <w:sz w:val="18"/>
                <w:szCs w:val="18"/>
                <w:lang w:val="fr-FR"/>
              </w:rPr>
              <w:t xml:space="preserve">* </w:t>
            </w:r>
            <w:r w:rsidRPr="00CC5D38">
              <w:rPr>
                <w:iCs/>
                <w:sz w:val="18"/>
                <w:szCs w:val="18"/>
                <w:lang w:val="fr-FR"/>
              </w:rPr>
              <w:t>Autres réunions de processus sectoriels qui appuient les priorités du CIDI mais qui, au moment de l’adoption de la présente résolution, ne sont pas considérées des processus ministériels officiels relevant du cycle ministériel triennal et ne reçoivent pas de ressources du Fonds ordinaire de l’OEA</w:t>
            </w:r>
            <w:r w:rsidRPr="00CC5D38">
              <w:rPr>
                <w:color w:val="000000"/>
                <w:sz w:val="18"/>
                <w:szCs w:val="18"/>
                <w:lang w:val="fr-FR"/>
              </w:rPr>
              <w:t>.</w:t>
            </w:r>
          </w:p>
          <w:p w14:paraId="7A9086F5" w14:textId="77777777" w:rsidR="009D6D34" w:rsidRPr="00CC5D38" w:rsidRDefault="009D6D34" w:rsidP="009D6D34">
            <w:pPr>
              <w:suppressAutoHyphens/>
              <w:jc w:val="left"/>
              <w:rPr>
                <w:sz w:val="18"/>
                <w:szCs w:val="18"/>
                <w:lang w:val="fr-FR"/>
              </w:rPr>
            </w:pPr>
          </w:p>
          <w:p w14:paraId="15964C55" w14:textId="77777777" w:rsidR="009D6D34" w:rsidRPr="00CC5D38" w:rsidRDefault="009D6D34" w:rsidP="009D6D34">
            <w:pPr>
              <w:suppressAutoHyphens/>
              <w:jc w:val="left"/>
              <w:rPr>
                <w:sz w:val="18"/>
                <w:szCs w:val="18"/>
                <w:lang w:val="fr-FR"/>
              </w:rPr>
            </w:pPr>
            <w:r w:rsidRPr="00CC5D38">
              <w:rPr>
                <w:iCs/>
                <w:sz w:val="18"/>
                <w:szCs w:val="18"/>
                <w:lang w:val="fr-FR"/>
              </w:rPr>
              <w:t xml:space="preserve">Sigles et </w:t>
            </w:r>
            <w:proofErr w:type="gramStart"/>
            <w:r w:rsidRPr="00CC5D38">
              <w:rPr>
                <w:iCs/>
                <w:sz w:val="18"/>
                <w:szCs w:val="18"/>
                <w:lang w:val="fr-FR"/>
              </w:rPr>
              <w:t>acronyme</w:t>
            </w:r>
            <w:r w:rsidRPr="00CC5D38">
              <w:rPr>
                <w:color w:val="000000"/>
                <w:sz w:val="18"/>
                <w:szCs w:val="18"/>
                <w:lang w:val="fr-FR"/>
              </w:rPr>
              <w:t>s:</w:t>
            </w:r>
            <w:proofErr w:type="gramEnd"/>
          </w:p>
          <w:p w14:paraId="41FB1EF0" w14:textId="77777777" w:rsidR="009D6D34" w:rsidRPr="00CC5D38" w:rsidRDefault="009D6D34" w:rsidP="009D6D34">
            <w:pPr>
              <w:suppressAutoHyphens/>
              <w:jc w:val="left"/>
              <w:rPr>
                <w:sz w:val="18"/>
                <w:szCs w:val="18"/>
                <w:lang w:val="fr-FR"/>
              </w:rPr>
            </w:pPr>
          </w:p>
          <w:p w14:paraId="59DEB0A8" w14:textId="77777777" w:rsidR="009D6D34" w:rsidRPr="00CC5D38" w:rsidRDefault="009D6D34" w:rsidP="009D6D34">
            <w:pPr>
              <w:suppressAutoHyphens/>
              <w:ind w:left="-17"/>
              <w:jc w:val="left"/>
              <w:rPr>
                <w:iCs/>
                <w:sz w:val="18"/>
                <w:szCs w:val="18"/>
                <w:lang w:val="fr-FR"/>
              </w:rPr>
            </w:pPr>
            <w:r w:rsidRPr="00CC5D38">
              <w:rPr>
                <w:iCs/>
                <w:sz w:val="18"/>
                <w:szCs w:val="18"/>
                <w:lang w:val="fr-FR"/>
              </w:rPr>
              <w:t xml:space="preserve">CIC : Commission interaméricaine de la culture </w:t>
            </w:r>
          </w:p>
          <w:p w14:paraId="4F2C0435" w14:textId="77777777" w:rsidR="009D6D34" w:rsidRPr="00CC5D38" w:rsidRDefault="009D6D34" w:rsidP="009D6D34">
            <w:pPr>
              <w:suppressAutoHyphens/>
              <w:ind w:left="-17"/>
              <w:jc w:val="left"/>
              <w:rPr>
                <w:iCs/>
                <w:sz w:val="18"/>
                <w:szCs w:val="18"/>
                <w:lang w:val="fr-FR"/>
              </w:rPr>
            </w:pPr>
            <w:r w:rsidRPr="00CC5D38">
              <w:rPr>
                <w:iCs/>
                <w:sz w:val="18"/>
                <w:szCs w:val="18"/>
                <w:lang w:val="fr-FR"/>
              </w:rPr>
              <w:t>CIDES : Commission interaméricaine de développement social</w:t>
            </w:r>
          </w:p>
          <w:p w14:paraId="66AA43A9" w14:textId="77777777" w:rsidR="009D6D34" w:rsidRPr="00CC5D38" w:rsidRDefault="009D6D34" w:rsidP="009D6D34">
            <w:pPr>
              <w:suppressAutoHyphens/>
              <w:ind w:left="-17"/>
              <w:jc w:val="left"/>
              <w:rPr>
                <w:iCs/>
                <w:sz w:val="18"/>
                <w:szCs w:val="18"/>
                <w:lang w:val="fr-FR"/>
              </w:rPr>
            </w:pPr>
            <w:r w:rsidRPr="00CC5D38">
              <w:rPr>
                <w:iCs/>
                <w:sz w:val="18"/>
                <w:szCs w:val="18"/>
                <w:lang w:val="fr-FR"/>
              </w:rPr>
              <w:t>CIDS : Commission interaméricaine pour le développement durable</w:t>
            </w:r>
          </w:p>
          <w:p w14:paraId="2CF2A581" w14:textId="77777777" w:rsidR="009D6D34" w:rsidRPr="00CC5D38" w:rsidRDefault="009D6D34" w:rsidP="009D6D34">
            <w:pPr>
              <w:suppressAutoHyphens/>
              <w:ind w:left="-17"/>
              <w:jc w:val="left"/>
              <w:rPr>
                <w:iCs/>
                <w:sz w:val="18"/>
                <w:szCs w:val="18"/>
                <w:lang w:val="fr-FR"/>
              </w:rPr>
            </w:pPr>
            <w:r w:rsidRPr="00CC5D38">
              <w:rPr>
                <w:iCs/>
                <w:sz w:val="18"/>
                <w:szCs w:val="18"/>
                <w:lang w:val="fr-FR"/>
              </w:rPr>
              <w:t>CIE : Commission interaméricaine de l’éducation</w:t>
            </w:r>
          </w:p>
          <w:p w14:paraId="73C40A0C" w14:textId="77777777" w:rsidR="009D6D34" w:rsidRPr="00CC5D38" w:rsidRDefault="009D6D34" w:rsidP="009D6D34">
            <w:pPr>
              <w:suppressAutoHyphens/>
              <w:ind w:left="-17"/>
              <w:jc w:val="left"/>
              <w:rPr>
                <w:iCs/>
                <w:sz w:val="18"/>
                <w:szCs w:val="18"/>
                <w:lang w:val="fr-FR"/>
              </w:rPr>
            </w:pPr>
            <w:r w:rsidRPr="00CC5D38">
              <w:rPr>
                <w:iCs/>
                <w:sz w:val="18"/>
                <w:szCs w:val="18"/>
                <w:lang w:val="fr-FR"/>
              </w:rPr>
              <w:t>CIP : Commission interaméricaine des ports</w:t>
            </w:r>
          </w:p>
          <w:p w14:paraId="42C25370" w14:textId="77777777" w:rsidR="009D6D34" w:rsidRPr="00CC5D38" w:rsidRDefault="009D6D34" w:rsidP="009D6D34">
            <w:pPr>
              <w:suppressAutoHyphens/>
              <w:ind w:left="-17"/>
              <w:jc w:val="left"/>
              <w:rPr>
                <w:iCs/>
                <w:sz w:val="18"/>
                <w:szCs w:val="18"/>
                <w:lang w:val="fr-FR"/>
              </w:rPr>
            </w:pPr>
            <w:r w:rsidRPr="00CC5D38">
              <w:rPr>
                <w:iCs/>
                <w:sz w:val="18"/>
                <w:szCs w:val="18"/>
                <w:lang w:val="fr-FR"/>
              </w:rPr>
              <w:t>CITUR : Commission interaméricaine du tourisme</w:t>
            </w:r>
          </w:p>
          <w:p w14:paraId="3407CAE0" w14:textId="77777777" w:rsidR="009D6D34" w:rsidRPr="00CC5D38" w:rsidRDefault="009D6D34" w:rsidP="009D6D34">
            <w:pPr>
              <w:suppressAutoHyphens/>
              <w:ind w:left="-17"/>
              <w:jc w:val="left"/>
              <w:rPr>
                <w:iCs/>
                <w:sz w:val="18"/>
                <w:szCs w:val="18"/>
                <w:lang w:val="fr-FR"/>
              </w:rPr>
            </w:pPr>
            <w:r w:rsidRPr="00CC5D38">
              <w:rPr>
                <w:iCs/>
                <w:sz w:val="18"/>
                <w:szCs w:val="18"/>
                <w:lang w:val="fr-FR"/>
              </w:rPr>
              <w:t>COMCyT : Commission interaméricaine de la science et de la technologie</w:t>
            </w:r>
          </w:p>
          <w:p w14:paraId="29FECF63" w14:textId="77777777" w:rsidR="009D6D34" w:rsidRPr="00CC5D38" w:rsidRDefault="009D6D34" w:rsidP="009D6D34">
            <w:pPr>
              <w:suppressAutoHyphens/>
              <w:ind w:left="-17"/>
              <w:jc w:val="left"/>
              <w:rPr>
                <w:iCs/>
                <w:sz w:val="18"/>
                <w:szCs w:val="18"/>
                <w:lang w:val="fr-FR"/>
              </w:rPr>
            </w:pPr>
            <w:r w:rsidRPr="00CC5D38">
              <w:rPr>
                <w:iCs/>
                <w:sz w:val="18"/>
                <w:szCs w:val="18"/>
                <w:lang w:val="fr-FR"/>
              </w:rPr>
              <w:t>ECPA : Partenariat des Amériques pour l’énergie et le climat</w:t>
            </w:r>
          </w:p>
          <w:p w14:paraId="2F66E4E7" w14:textId="77777777" w:rsidR="009D6D34" w:rsidRPr="00CC5D38" w:rsidRDefault="009D6D34" w:rsidP="009D6D34">
            <w:pPr>
              <w:suppressAutoHyphens/>
              <w:ind w:left="-17"/>
              <w:jc w:val="left"/>
              <w:rPr>
                <w:iCs/>
                <w:sz w:val="18"/>
                <w:szCs w:val="18"/>
                <w:lang w:val="fr-FR"/>
              </w:rPr>
            </w:pPr>
            <w:r w:rsidRPr="00CC5D38">
              <w:rPr>
                <w:iCs/>
                <w:sz w:val="18"/>
                <w:szCs w:val="18"/>
                <w:lang w:val="fr-FR"/>
              </w:rPr>
              <w:t>RIAC : Réseau interaméricain de compétitivité</w:t>
            </w:r>
          </w:p>
          <w:p w14:paraId="58DA5083" w14:textId="196846E4" w:rsidR="005A40EC" w:rsidRPr="00CC5D38" w:rsidRDefault="009D6D34" w:rsidP="009D6D34">
            <w:pPr>
              <w:ind w:left="-28" w:right="14" w:firstLine="28"/>
              <w:jc w:val="left"/>
              <w:rPr>
                <w:sz w:val="18"/>
                <w:szCs w:val="18"/>
                <w:lang w:val="fr-FR"/>
              </w:rPr>
            </w:pPr>
            <w:r w:rsidRPr="00CC5D38">
              <w:rPr>
                <w:iCs/>
                <w:sz w:val="18"/>
                <w:szCs w:val="18"/>
                <w:lang w:val="fr-FR"/>
              </w:rPr>
              <w:t>MPME : Microentreprises et petites et moyennes entreprises</w:t>
            </w:r>
          </w:p>
        </w:tc>
        <w:tc>
          <w:tcPr>
            <w:tcW w:w="20" w:type="dxa"/>
            <w:tcBorders>
              <w:top w:val="single" w:sz="8" w:space="0" w:color="FFFFFF"/>
              <w:left w:val="single" w:sz="8" w:space="0" w:color="FFFFFF"/>
              <w:bottom w:val="single" w:sz="8" w:space="0" w:color="FFFFFF"/>
              <w:right w:val="single" w:sz="8" w:space="0" w:color="FFFFFF"/>
            </w:tcBorders>
            <w:shd w:val="clear" w:color="auto" w:fill="EAF1DD"/>
          </w:tcPr>
          <w:p w14:paraId="4A4F9B8A" w14:textId="77777777" w:rsidR="005A40EC" w:rsidRPr="0026653F" w:rsidRDefault="005A40EC" w:rsidP="00C618DD">
            <w:pPr>
              <w:ind w:left="270" w:right="14"/>
              <w:jc w:val="left"/>
              <w:rPr>
                <w:sz w:val="16"/>
                <w:szCs w:val="16"/>
                <w:lang w:val="fr-FR"/>
              </w:rPr>
            </w:pPr>
          </w:p>
        </w:tc>
      </w:tr>
    </w:tbl>
    <w:p w14:paraId="326E2ABC" w14:textId="77777777" w:rsidR="005A40EC" w:rsidRPr="0026653F" w:rsidRDefault="005A40EC" w:rsidP="00C618DD">
      <w:pPr>
        <w:suppressAutoHyphens/>
        <w:rPr>
          <w:szCs w:val="22"/>
          <w:lang w:val="fr-FR"/>
        </w:rPr>
      </w:pPr>
    </w:p>
    <w:p w14:paraId="476A4058" w14:textId="77777777" w:rsidR="005A40EC" w:rsidRPr="0026653F" w:rsidRDefault="005A40EC" w:rsidP="00C618DD">
      <w:pPr>
        <w:suppressAutoHyphens/>
        <w:ind w:left="720" w:hanging="720"/>
        <w:rPr>
          <w:szCs w:val="22"/>
          <w:lang w:val="fr-FR"/>
        </w:rPr>
      </w:pPr>
      <w:r w:rsidRPr="0026653F">
        <w:rPr>
          <w:color w:val="000000"/>
          <w:szCs w:val="22"/>
          <w:lang w:val="fr-FR"/>
        </w:rPr>
        <w:t>IX.</w:t>
      </w:r>
      <w:r w:rsidRPr="0026653F">
        <w:rPr>
          <w:color w:val="000000"/>
          <w:szCs w:val="22"/>
          <w:lang w:val="fr-FR"/>
        </w:rPr>
        <w:tab/>
      </w:r>
      <w:r w:rsidRPr="0026653F">
        <w:rPr>
          <w:szCs w:val="22"/>
          <w:lang w:val="fr-FR"/>
        </w:rPr>
        <w:t>SUIVI DES PROGRÈS, CONTRIBUTIONS ET RESSOURCES</w:t>
      </w:r>
    </w:p>
    <w:p w14:paraId="523345D6" w14:textId="77777777" w:rsidR="005A40EC" w:rsidRPr="0026653F" w:rsidRDefault="005A40EC" w:rsidP="00C618DD">
      <w:pPr>
        <w:suppressAutoHyphens/>
        <w:jc w:val="left"/>
        <w:rPr>
          <w:szCs w:val="22"/>
          <w:lang w:val="fr-FR"/>
        </w:rPr>
      </w:pPr>
    </w:p>
    <w:p w14:paraId="140B02BA" w14:textId="7EC28266" w:rsidR="005A40EC" w:rsidRPr="0026653F" w:rsidRDefault="005A40EC" w:rsidP="00C618DD">
      <w:pPr>
        <w:suppressAutoHyphens/>
        <w:ind w:firstLine="720"/>
        <w:rPr>
          <w:color w:val="000000"/>
          <w:szCs w:val="22"/>
          <w:lang w:val="fr-FR"/>
        </w:rPr>
      </w:pPr>
      <w:r w:rsidRPr="0026653F">
        <w:rPr>
          <w:szCs w:val="22"/>
          <w:lang w:val="fr-FR"/>
        </w:rPr>
        <w:t>56.</w:t>
      </w:r>
      <w:r w:rsidRPr="0026653F">
        <w:rPr>
          <w:szCs w:val="22"/>
          <w:lang w:val="fr-FR"/>
        </w:rPr>
        <w:tab/>
        <w:t>De demander au CIDI de faire rapport à l’Assemblée générale, lors de sa cinquantième-et-unième session ordinaire, sur les progrès réalisés dans la mise en œuvre de la présente résolution.</w:t>
      </w:r>
    </w:p>
    <w:p w14:paraId="05746733" w14:textId="77777777" w:rsidR="005A40EC" w:rsidRPr="0026653F" w:rsidRDefault="005A40EC" w:rsidP="00C618DD">
      <w:pPr>
        <w:suppressAutoHyphens/>
        <w:rPr>
          <w:szCs w:val="22"/>
          <w:lang w:val="fr-FR"/>
        </w:rPr>
      </w:pPr>
    </w:p>
    <w:p w14:paraId="5DA7C9E5" w14:textId="5A06D95E" w:rsidR="005A40EC" w:rsidRPr="0026653F" w:rsidRDefault="005A40EC" w:rsidP="00C618DD">
      <w:pPr>
        <w:suppressAutoHyphens/>
        <w:ind w:firstLine="720"/>
        <w:rPr>
          <w:color w:val="000000"/>
          <w:szCs w:val="22"/>
          <w:shd w:val="clear" w:color="auto" w:fill="00FFFF"/>
          <w:lang w:val="fr-FR"/>
        </w:rPr>
      </w:pPr>
      <w:r w:rsidRPr="0026653F">
        <w:rPr>
          <w:color w:val="000000"/>
          <w:szCs w:val="22"/>
          <w:lang w:val="fr-FR"/>
        </w:rPr>
        <w:t>57.</w:t>
      </w:r>
      <w:r w:rsidRPr="0026653F">
        <w:rPr>
          <w:color w:val="000000"/>
          <w:szCs w:val="22"/>
          <w:lang w:val="fr-FR"/>
        </w:rPr>
        <w:tab/>
      </w:r>
      <w:r w:rsidRPr="0026653F">
        <w:rPr>
          <w:szCs w:val="22"/>
          <w:lang w:val="fr-FR"/>
        </w:rPr>
        <w:t xml:space="preserve">De remercier les États membres et les observateurs permanents qui ont contribué par des ressources financières, un appui en logistique et </w:t>
      </w:r>
      <w:r w:rsidR="00475547" w:rsidRPr="0026653F">
        <w:rPr>
          <w:szCs w:val="22"/>
          <w:lang w:val="fr-FR"/>
        </w:rPr>
        <w:t xml:space="preserve">des </w:t>
      </w:r>
      <w:r w:rsidRPr="0026653F">
        <w:rPr>
          <w:szCs w:val="22"/>
          <w:lang w:val="fr-FR"/>
        </w:rPr>
        <w:t xml:space="preserve">ressources humaines aux programmes et </w:t>
      </w:r>
      <w:r w:rsidRPr="0026653F">
        <w:rPr>
          <w:szCs w:val="22"/>
          <w:lang w:val="fr-FR"/>
        </w:rPr>
        <w:lastRenderedPageBreak/>
        <w:t>activités du S</w:t>
      </w:r>
      <w:r w:rsidR="00B11044" w:rsidRPr="0026653F">
        <w:rPr>
          <w:szCs w:val="22"/>
          <w:lang w:val="fr-FR"/>
        </w:rPr>
        <w:t>EDI</w:t>
      </w:r>
      <w:r w:rsidRPr="0026653F">
        <w:rPr>
          <w:szCs w:val="22"/>
          <w:lang w:val="fr-FR"/>
        </w:rPr>
        <w:t>, et de demander au Secrétariat général de continuer à renforcer les partenariats en place et à forger de nouveaux partenariats avec des acteurs pertinents, y compris le secteur privé et les organisations de la société civile.</w:t>
      </w:r>
    </w:p>
    <w:p w14:paraId="08F94324" w14:textId="77777777" w:rsidR="005A40EC" w:rsidRPr="0026653F" w:rsidRDefault="005A40EC" w:rsidP="00C618DD">
      <w:pPr>
        <w:suppressAutoHyphens/>
        <w:rPr>
          <w:szCs w:val="22"/>
          <w:lang w:val="fr-FR"/>
        </w:rPr>
      </w:pPr>
    </w:p>
    <w:p w14:paraId="5D917399" w14:textId="77777777" w:rsidR="005A40EC" w:rsidRPr="0026653F" w:rsidRDefault="005A40EC" w:rsidP="00C618DD">
      <w:pPr>
        <w:ind w:firstLine="720"/>
        <w:rPr>
          <w:bCs/>
          <w:szCs w:val="22"/>
          <w:lang w:val="fr-FR" w:eastAsia="es-ES"/>
        </w:rPr>
      </w:pPr>
      <w:bookmarkStart w:id="35" w:name="_Toc389251673"/>
      <w:bookmarkStart w:id="36" w:name="_Toc389253823"/>
      <w:bookmarkStart w:id="37" w:name="_Toc389328178"/>
      <w:bookmarkStart w:id="38" w:name="_Toc389473797"/>
      <w:bookmarkStart w:id="39" w:name="_Toc390159143"/>
      <w:bookmarkStart w:id="40" w:name="_Toc398735516"/>
      <w:r w:rsidRPr="0026653F">
        <w:rPr>
          <w:bCs/>
          <w:szCs w:val="22"/>
          <w:lang w:val="fr-FR" w:eastAsia="es-ES"/>
        </w:rPr>
        <w:t>58.</w:t>
      </w:r>
      <w:r w:rsidRPr="0026653F">
        <w:rPr>
          <w:bCs/>
          <w:szCs w:val="22"/>
          <w:lang w:val="fr-FR" w:eastAsia="es-ES"/>
        </w:rPr>
        <w:tab/>
      </w:r>
      <w:r w:rsidRPr="0026653F">
        <w:rPr>
          <w:szCs w:val="22"/>
          <w:lang w:val="fr-FR"/>
        </w:rPr>
        <w:t>De réitérer que l’exécution des initiatives prévues dans la présente résolution dépendra de la disponibilité des ressources financières inscrites à ce titre dans le programme-budget de l’Organisation, ainsi</w:t>
      </w:r>
      <w:r w:rsidRPr="0026653F">
        <w:rPr>
          <w:bCs/>
          <w:szCs w:val="22"/>
          <w:lang w:val="fr-FR" w:eastAsia="es-ES"/>
        </w:rPr>
        <w:t xml:space="preserve"> que d’autres ressources</w:t>
      </w:r>
      <w:bookmarkEnd w:id="35"/>
      <w:bookmarkEnd w:id="36"/>
      <w:bookmarkEnd w:id="37"/>
      <w:bookmarkEnd w:id="38"/>
      <w:bookmarkEnd w:id="39"/>
      <w:bookmarkEnd w:id="40"/>
      <w:r w:rsidRPr="0026653F">
        <w:rPr>
          <w:bCs/>
          <w:szCs w:val="22"/>
          <w:lang w:val="fr-FR" w:eastAsia="es-ES"/>
        </w:rPr>
        <w:t>.</w:t>
      </w:r>
    </w:p>
    <w:p w14:paraId="2D826A03" w14:textId="77777777" w:rsidR="005A40EC" w:rsidRDefault="005A40EC" w:rsidP="00C618DD">
      <w:pPr>
        <w:ind w:firstLine="720"/>
        <w:outlineLvl w:val="0"/>
        <w:rPr>
          <w:bCs/>
          <w:szCs w:val="22"/>
          <w:lang w:val="fr-FR" w:eastAsia="es-ES"/>
        </w:rPr>
      </w:pPr>
    </w:p>
    <w:p w14:paraId="259CB84A" w14:textId="77777777" w:rsidR="006C4214" w:rsidRDefault="006C4214">
      <w:pPr>
        <w:jc w:val="left"/>
        <w:rPr>
          <w:szCs w:val="22"/>
          <w:lang w:val="fr-FR"/>
        </w:rPr>
      </w:pPr>
      <w:r>
        <w:rPr>
          <w:szCs w:val="22"/>
          <w:lang w:val="fr-FR"/>
        </w:rPr>
        <w:br w:type="page"/>
      </w:r>
    </w:p>
    <w:p w14:paraId="702D4F76" w14:textId="5C117AB1" w:rsidR="005A40EC" w:rsidRPr="0026653F" w:rsidRDefault="005A40EC" w:rsidP="006D430D">
      <w:pPr>
        <w:suppressAutoHyphens/>
        <w:snapToGrid w:val="0"/>
        <w:ind w:left="1440"/>
        <w:contextualSpacing/>
        <w:jc w:val="right"/>
        <w:rPr>
          <w:szCs w:val="22"/>
          <w:lang w:val="fr-FR"/>
        </w:rPr>
      </w:pPr>
      <w:r w:rsidRPr="0026653F">
        <w:rPr>
          <w:szCs w:val="22"/>
          <w:lang w:val="fr-FR"/>
        </w:rPr>
        <w:lastRenderedPageBreak/>
        <w:t xml:space="preserve">ANNEXE </w:t>
      </w:r>
    </w:p>
    <w:p w14:paraId="154E4453" w14:textId="77777777" w:rsidR="005A40EC" w:rsidRPr="0026653F" w:rsidRDefault="005A40EC" w:rsidP="006D430D">
      <w:pPr>
        <w:suppressAutoHyphens/>
        <w:snapToGrid w:val="0"/>
        <w:contextualSpacing/>
        <w:rPr>
          <w:bCs/>
          <w:szCs w:val="22"/>
          <w:lang w:val="fr-FR"/>
        </w:rPr>
      </w:pPr>
    </w:p>
    <w:p w14:paraId="769FF1B3" w14:textId="77777777" w:rsidR="005A40EC" w:rsidRPr="0026653F" w:rsidRDefault="005A40EC" w:rsidP="006D430D">
      <w:pPr>
        <w:suppressAutoHyphens/>
        <w:snapToGrid w:val="0"/>
        <w:contextualSpacing/>
        <w:rPr>
          <w:bCs/>
          <w:szCs w:val="22"/>
          <w:lang w:val="fr-FR"/>
        </w:rPr>
      </w:pPr>
    </w:p>
    <w:p w14:paraId="43EDFF7C" w14:textId="77777777" w:rsidR="00421306" w:rsidRPr="0026653F" w:rsidRDefault="00421306" w:rsidP="006D430D">
      <w:pPr>
        <w:suppressAutoHyphens/>
        <w:jc w:val="center"/>
        <w:rPr>
          <w:szCs w:val="22"/>
          <w:lang w:val="fr-FR"/>
        </w:rPr>
      </w:pPr>
      <w:r w:rsidRPr="0026653F">
        <w:rPr>
          <w:szCs w:val="22"/>
          <w:lang w:val="fr-FR"/>
        </w:rPr>
        <w:t xml:space="preserve">STATUT DE LA COMMISSION INTERAMÉRICAINE </w:t>
      </w:r>
    </w:p>
    <w:p w14:paraId="1C6F01B4" w14:textId="77777777" w:rsidR="00421306" w:rsidRPr="0026653F" w:rsidRDefault="00421306" w:rsidP="006D430D">
      <w:pPr>
        <w:suppressAutoHyphens/>
        <w:jc w:val="center"/>
        <w:rPr>
          <w:szCs w:val="22"/>
          <w:lang w:val="fr-FR"/>
        </w:rPr>
      </w:pPr>
      <w:r w:rsidRPr="0026653F">
        <w:rPr>
          <w:szCs w:val="22"/>
          <w:lang w:val="fr-FR"/>
        </w:rPr>
        <w:t xml:space="preserve">POUR LA RÉDUCTION DES CATASTROPHES NATURELLES(CIRDN) </w:t>
      </w:r>
    </w:p>
    <w:p w14:paraId="69A11F12" w14:textId="77777777" w:rsidR="00421306" w:rsidRPr="0026653F" w:rsidRDefault="00421306" w:rsidP="006D430D">
      <w:pPr>
        <w:suppressAutoHyphens/>
        <w:jc w:val="center"/>
        <w:rPr>
          <w:szCs w:val="22"/>
          <w:lang w:val="fr-FR"/>
        </w:rPr>
      </w:pPr>
    </w:p>
    <w:p w14:paraId="6531D6B8" w14:textId="77777777" w:rsidR="00421306" w:rsidRPr="0026653F" w:rsidRDefault="00421306" w:rsidP="006D430D">
      <w:pPr>
        <w:suppressAutoHyphens/>
        <w:jc w:val="center"/>
        <w:rPr>
          <w:szCs w:val="22"/>
          <w:lang w:val="fr-FR"/>
        </w:rPr>
      </w:pPr>
      <w:r w:rsidRPr="0026653F">
        <w:rPr>
          <w:szCs w:val="22"/>
          <w:lang w:val="fr-FR"/>
        </w:rPr>
        <w:t>CHAPITRE I</w:t>
      </w:r>
    </w:p>
    <w:p w14:paraId="4407413C" w14:textId="61214651" w:rsidR="00421306" w:rsidRPr="0026653F" w:rsidRDefault="00421306" w:rsidP="006D430D">
      <w:pPr>
        <w:suppressAutoHyphens/>
        <w:jc w:val="center"/>
        <w:rPr>
          <w:szCs w:val="22"/>
          <w:lang w:val="fr-FR"/>
        </w:rPr>
      </w:pPr>
      <w:r w:rsidRPr="0026653F">
        <w:rPr>
          <w:szCs w:val="22"/>
          <w:lang w:val="fr-FR"/>
        </w:rPr>
        <w:t>NATURE ET OBJECTIFS</w:t>
      </w:r>
    </w:p>
    <w:p w14:paraId="655E8651" w14:textId="77777777" w:rsidR="00421306" w:rsidRPr="0026653F" w:rsidRDefault="00421306" w:rsidP="006D430D">
      <w:pPr>
        <w:suppressAutoHyphens/>
        <w:jc w:val="left"/>
        <w:rPr>
          <w:szCs w:val="22"/>
          <w:lang w:val="fr-FR"/>
        </w:rPr>
      </w:pPr>
    </w:p>
    <w:p w14:paraId="7653C45D" w14:textId="77777777" w:rsidR="00421306" w:rsidRPr="0026653F" w:rsidRDefault="00421306" w:rsidP="006D430D">
      <w:pPr>
        <w:suppressAutoHyphens/>
        <w:jc w:val="left"/>
        <w:rPr>
          <w:szCs w:val="22"/>
          <w:u w:val="single"/>
          <w:lang w:val="fr-FR"/>
        </w:rPr>
      </w:pPr>
      <w:r w:rsidRPr="0026653F">
        <w:rPr>
          <w:szCs w:val="22"/>
          <w:u w:val="single"/>
          <w:lang w:val="fr-FR"/>
        </w:rPr>
        <w:t xml:space="preserve">Article 1 </w:t>
      </w:r>
    </w:p>
    <w:p w14:paraId="06A1160E" w14:textId="77777777" w:rsidR="00421306" w:rsidRPr="0026653F" w:rsidRDefault="00421306" w:rsidP="006D430D">
      <w:pPr>
        <w:suppressAutoHyphens/>
        <w:rPr>
          <w:szCs w:val="22"/>
          <w:lang w:val="fr-FR"/>
        </w:rPr>
      </w:pPr>
    </w:p>
    <w:p w14:paraId="6CD7CAB6" w14:textId="77777777" w:rsidR="00421306" w:rsidRPr="0026653F" w:rsidRDefault="00421306" w:rsidP="006D430D">
      <w:pPr>
        <w:suppressAutoHyphens/>
        <w:ind w:firstLine="720"/>
        <w:rPr>
          <w:spacing w:val="-2"/>
          <w:szCs w:val="22"/>
          <w:lang w:val="fr-FR"/>
        </w:rPr>
      </w:pPr>
      <w:r w:rsidRPr="0026653F">
        <w:rPr>
          <w:spacing w:val="-2"/>
          <w:szCs w:val="22"/>
          <w:lang w:val="fr-FR"/>
        </w:rPr>
        <w:t xml:space="preserve">La Commission interaméricaine sur la réduction des catastrophes naturelles (ci-après dénommée « la CIRDN ») est une entité de l’Organisation des États Américains (ci-après dénommée « l’OEA » ou « l’Organisation »), créée par l’Assemblée générale de l’Organisation en vertu de sa résolution AG/RES. 1682 (XXIX-O/99). </w:t>
      </w:r>
    </w:p>
    <w:p w14:paraId="2D8887BA" w14:textId="77777777" w:rsidR="00421306" w:rsidRPr="0026653F" w:rsidRDefault="00421306" w:rsidP="006D430D">
      <w:pPr>
        <w:suppressAutoHyphens/>
        <w:rPr>
          <w:szCs w:val="22"/>
          <w:lang w:val="fr-FR"/>
        </w:rPr>
      </w:pPr>
    </w:p>
    <w:p w14:paraId="69CBBBB7" w14:textId="77777777" w:rsidR="00421306" w:rsidRPr="0026653F" w:rsidRDefault="00421306" w:rsidP="006D430D">
      <w:pPr>
        <w:suppressAutoHyphens/>
        <w:rPr>
          <w:szCs w:val="22"/>
          <w:u w:val="single"/>
          <w:lang w:val="fr-FR"/>
        </w:rPr>
      </w:pPr>
      <w:r w:rsidRPr="0026653F">
        <w:rPr>
          <w:szCs w:val="22"/>
          <w:u w:val="single"/>
          <w:lang w:val="fr-FR"/>
        </w:rPr>
        <w:t>Article 2</w:t>
      </w:r>
    </w:p>
    <w:p w14:paraId="47ED50D1" w14:textId="77777777" w:rsidR="00421306" w:rsidRPr="0026653F" w:rsidRDefault="00421306" w:rsidP="006D430D">
      <w:pPr>
        <w:suppressAutoHyphens/>
        <w:rPr>
          <w:szCs w:val="22"/>
          <w:lang w:val="fr-FR"/>
        </w:rPr>
      </w:pPr>
    </w:p>
    <w:p w14:paraId="76424CFF" w14:textId="77777777" w:rsidR="00421306" w:rsidRPr="0026653F" w:rsidRDefault="00421306" w:rsidP="006D430D">
      <w:pPr>
        <w:suppressAutoHyphens/>
        <w:ind w:firstLine="720"/>
        <w:rPr>
          <w:szCs w:val="22"/>
          <w:lang w:val="fr-FR"/>
        </w:rPr>
      </w:pPr>
      <w:r w:rsidRPr="0026653F">
        <w:rPr>
          <w:szCs w:val="22"/>
          <w:lang w:val="fr-FR"/>
        </w:rPr>
        <w:t xml:space="preserve">La CIRDN est le forum principal du Système interaméricain consacré à l’analyse des questions ayant trait aux catastrophes naturelles et à d’autres catastrophes, y compris la prévention et l’atténuation de leurs effets, en coordination avec les gouvernements des États membres, les organisations nationales, régionales et internationales compétentes, ainsi que les organisations non gouvernementales. </w:t>
      </w:r>
    </w:p>
    <w:p w14:paraId="6890C221" w14:textId="77777777" w:rsidR="00421306" w:rsidRPr="0026653F" w:rsidRDefault="00421306" w:rsidP="006D430D">
      <w:pPr>
        <w:suppressAutoHyphens/>
        <w:rPr>
          <w:szCs w:val="22"/>
          <w:lang w:val="fr-FR"/>
        </w:rPr>
      </w:pPr>
    </w:p>
    <w:p w14:paraId="1474509F" w14:textId="77777777" w:rsidR="00421306" w:rsidRPr="0026653F" w:rsidRDefault="00421306" w:rsidP="006D430D">
      <w:pPr>
        <w:suppressAutoHyphens/>
        <w:ind w:firstLine="720"/>
        <w:rPr>
          <w:b/>
          <w:bCs/>
          <w:szCs w:val="22"/>
          <w:lang w:val="fr-FR"/>
        </w:rPr>
      </w:pPr>
      <w:r w:rsidRPr="0026653F">
        <w:rPr>
          <w:szCs w:val="22"/>
          <w:lang w:val="fr-FR"/>
        </w:rPr>
        <w:t>La CIRDN cherche également à harmoniser les efforts et à faciliter l’échange d’informations sur les mesures prises et en cours, ainsi que sur les plans d’intervention des institutions du système interaméricain, des partenaires sous-régionaux et internationaux, des États membres de l’OEA et des observateurs permanents en réponse aux catastrophes naturelles et autres.</w:t>
      </w:r>
    </w:p>
    <w:p w14:paraId="4D459510" w14:textId="77777777" w:rsidR="00421306" w:rsidRPr="0026653F" w:rsidRDefault="00421306" w:rsidP="006D430D">
      <w:pPr>
        <w:suppressAutoHyphens/>
        <w:rPr>
          <w:szCs w:val="22"/>
          <w:lang w:val="fr-FR"/>
        </w:rPr>
      </w:pPr>
    </w:p>
    <w:p w14:paraId="01747496" w14:textId="77777777" w:rsidR="00421306" w:rsidRPr="0026653F" w:rsidRDefault="00421306" w:rsidP="006D430D">
      <w:pPr>
        <w:suppressAutoHyphens/>
        <w:ind w:firstLine="720"/>
        <w:rPr>
          <w:szCs w:val="22"/>
          <w:lang w:val="fr-FR"/>
        </w:rPr>
      </w:pPr>
      <w:r w:rsidRPr="0026653F">
        <w:rPr>
          <w:szCs w:val="22"/>
          <w:lang w:val="fr-FR"/>
        </w:rPr>
        <w:t xml:space="preserve">La CIRDN vise à renforcer les interventions des pays du continent américain pour assurer la plus large coopération internationale appuyant les efforts déployés sur les plans national et/ou régional pour assurer une prévention </w:t>
      </w:r>
      <w:proofErr w:type="gramStart"/>
      <w:r w:rsidRPr="0026653F">
        <w:rPr>
          <w:szCs w:val="22"/>
          <w:lang w:val="fr-FR"/>
        </w:rPr>
        <w:t>opportune;</w:t>
      </w:r>
      <w:proofErr w:type="gramEnd"/>
      <w:r w:rsidRPr="0026653F">
        <w:rPr>
          <w:szCs w:val="22"/>
          <w:lang w:val="fr-FR"/>
        </w:rPr>
        <w:t xml:space="preserve"> une protection civile; un système d’alerte anticipée; un dispositif de réponse, la réduction de la vulnérabilité; les soins d’urgence, les mesures d’atténuation des effets des catastrophes; la réhabilitation et la reconstruction. </w:t>
      </w:r>
    </w:p>
    <w:p w14:paraId="6BA955F0" w14:textId="77777777" w:rsidR="00421306" w:rsidRPr="0026653F" w:rsidRDefault="00421306" w:rsidP="006D430D">
      <w:pPr>
        <w:suppressAutoHyphens/>
        <w:rPr>
          <w:szCs w:val="22"/>
          <w:lang w:val="fr-FR"/>
        </w:rPr>
      </w:pPr>
    </w:p>
    <w:p w14:paraId="5A52C1E9" w14:textId="77777777" w:rsidR="00421306" w:rsidRPr="0026653F" w:rsidRDefault="00421306" w:rsidP="006D430D">
      <w:pPr>
        <w:suppressAutoHyphens/>
        <w:ind w:firstLine="720"/>
        <w:rPr>
          <w:szCs w:val="22"/>
          <w:lang w:val="fr-FR"/>
        </w:rPr>
      </w:pPr>
      <w:r w:rsidRPr="0026653F">
        <w:rPr>
          <w:szCs w:val="22"/>
          <w:lang w:val="fr-FR"/>
        </w:rPr>
        <w:t>La CIRDN prête des services consultatifs au Fonds interaméricain d’assistance pour situations de crise (FONDEM) sur toutes les questions relatives à l’aide d’urgence, y compris une assistance sociale, humanitaire, matérielle, technique et financière aux États membres en application du Statut de ce Fonds.</w:t>
      </w:r>
    </w:p>
    <w:p w14:paraId="33E5F86A" w14:textId="77777777" w:rsidR="00421306" w:rsidRPr="0026653F" w:rsidRDefault="00421306" w:rsidP="006D430D">
      <w:pPr>
        <w:suppressAutoHyphens/>
        <w:rPr>
          <w:szCs w:val="22"/>
          <w:lang w:val="fr-FR"/>
        </w:rPr>
      </w:pPr>
    </w:p>
    <w:p w14:paraId="1877BC26" w14:textId="77777777" w:rsidR="00421306" w:rsidRPr="0026653F" w:rsidRDefault="00421306" w:rsidP="006D430D">
      <w:pPr>
        <w:suppressAutoHyphens/>
        <w:ind w:firstLine="720"/>
        <w:rPr>
          <w:szCs w:val="22"/>
          <w:lang w:val="fr-FR"/>
        </w:rPr>
      </w:pPr>
      <w:r w:rsidRPr="0026653F">
        <w:rPr>
          <w:szCs w:val="22"/>
          <w:lang w:val="fr-FR"/>
        </w:rPr>
        <w:t xml:space="preserve">La CIRDN prête des services de consultation et de coordination dans le cadre de la Convention interaméricaine visant à faciliter l’apport d’assistance dans les cas de catastrophes. </w:t>
      </w:r>
    </w:p>
    <w:p w14:paraId="4479B5C7" w14:textId="77777777" w:rsidR="00421306" w:rsidRPr="0026653F" w:rsidRDefault="00421306" w:rsidP="006D430D">
      <w:pPr>
        <w:suppressAutoHyphens/>
        <w:rPr>
          <w:szCs w:val="22"/>
          <w:lang w:val="fr-FR"/>
        </w:rPr>
      </w:pPr>
    </w:p>
    <w:p w14:paraId="0C3F6112" w14:textId="77777777" w:rsidR="00421306" w:rsidRPr="0026653F" w:rsidRDefault="00421306" w:rsidP="006D430D">
      <w:pPr>
        <w:keepNext/>
        <w:rPr>
          <w:b/>
          <w:u w:val="single"/>
          <w:lang w:val="fr-FR" w:eastAsia="es-ES"/>
        </w:rPr>
      </w:pPr>
      <w:r w:rsidRPr="0026653F">
        <w:rPr>
          <w:u w:val="single"/>
          <w:lang w:val="fr-FR" w:eastAsia="es-ES"/>
        </w:rPr>
        <w:lastRenderedPageBreak/>
        <w:t>Article 3</w:t>
      </w:r>
    </w:p>
    <w:p w14:paraId="767BB7D8" w14:textId="77777777" w:rsidR="00421306" w:rsidRPr="0026653F" w:rsidRDefault="00421306" w:rsidP="006D430D">
      <w:pPr>
        <w:keepNext/>
        <w:suppressAutoHyphens/>
        <w:rPr>
          <w:szCs w:val="22"/>
          <w:lang w:val="fr-FR"/>
        </w:rPr>
      </w:pPr>
    </w:p>
    <w:p w14:paraId="0348BE2D" w14:textId="53CDDDF0" w:rsidR="00421306" w:rsidRPr="0026653F" w:rsidRDefault="00421306" w:rsidP="006D430D">
      <w:pPr>
        <w:suppressAutoHyphens/>
        <w:ind w:firstLine="720"/>
        <w:rPr>
          <w:szCs w:val="22"/>
          <w:lang w:val="fr-FR"/>
        </w:rPr>
      </w:pPr>
      <w:r w:rsidRPr="0026653F">
        <w:rPr>
          <w:szCs w:val="22"/>
          <w:lang w:val="fr-FR"/>
        </w:rPr>
        <w:t>La CIRDN est régie par le présent Statut. Ses activités sont menées conformément aux dispositions de la Charte de l’OEA et aux directives émanées de l’Assemblée générale et du Conseil permanent de l’OEA.</w:t>
      </w:r>
    </w:p>
    <w:p w14:paraId="18B47C9F" w14:textId="77777777" w:rsidR="00421306" w:rsidRPr="0026653F" w:rsidRDefault="00421306" w:rsidP="006D430D">
      <w:pPr>
        <w:suppressAutoHyphens/>
        <w:rPr>
          <w:szCs w:val="22"/>
          <w:lang w:val="fr-FR"/>
        </w:rPr>
      </w:pPr>
    </w:p>
    <w:p w14:paraId="5F1DA30C" w14:textId="77777777" w:rsidR="00421306" w:rsidRPr="0026653F" w:rsidRDefault="00421306" w:rsidP="006D430D">
      <w:pPr>
        <w:suppressAutoHyphens/>
        <w:rPr>
          <w:szCs w:val="22"/>
          <w:lang w:val="fr-FR"/>
        </w:rPr>
      </w:pPr>
    </w:p>
    <w:p w14:paraId="0F04F88D" w14:textId="77777777" w:rsidR="00421306" w:rsidRPr="0026653F" w:rsidRDefault="00421306" w:rsidP="006D430D">
      <w:pPr>
        <w:suppressAutoHyphens/>
        <w:jc w:val="center"/>
        <w:rPr>
          <w:szCs w:val="22"/>
          <w:lang w:val="fr-FR"/>
        </w:rPr>
      </w:pPr>
      <w:r w:rsidRPr="0026653F">
        <w:rPr>
          <w:szCs w:val="22"/>
          <w:lang w:val="fr-FR"/>
        </w:rPr>
        <w:t>CHAPITRE II</w:t>
      </w:r>
    </w:p>
    <w:p w14:paraId="4CBFEFFF" w14:textId="77777777" w:rsidR="00421306" w:rsidRPr="0026653F" w:rsidRDefault="00421306" w:rsidP="006D430D">
      <w:pPr>
        <w:suppressAutoHyphens/>
        <w:jc w:val="center"/>
        <w:rPr>
          <w:szCs w:val="22"/>
          <w:lang w:val="fr-FR"/>
        </w:rPr>
      </w:pPr>
      <w:r w:rsidRPr="0026653F">
        <w:rPr>
          <w:szCs w:val="22"/>
          <w:lang w:val="fr-FR"/>
        </w:rPr>
        <w:t>STRUCTURE</w:t>
      </w:r>
    </w:p>
    <w:p w14:paraId="7A66DB01" w14:textId="77777777" w:rsidR="00421306" w:rsidRPr="0026653F" w:rsidRDefault="00421306" w:rsidP="006D430D">
      <w:pPr>
        <w:suppressAutoHyphens/>
        <w:rPr>
          <w:szCs w:val="22"/>
          <w:lang w:val="fr-FR"/>
        </w:rPr>
      </w:pPr>
    </w:p>
    <w:p w14:paraId="56ECBF9B" w14:textId="1BC82485" w:rsidR="00421306" w:rsidRPr="0026653F" w:rsidRDefault="00421306" w:rsidP="006D430D">
      <w:pPr>
        <w:suppressAutoHyphens/>
        <w:rPr>
          <w:szCs w:val="22"/>
          <w:u w:val="single"/>
          <w:lang w:val="fr-FR"/>
        </w:rPr>
      </w:pPr>
      <w:r w:rsidRPr="0026653F">
        <w:rPr>
          <w:szCs w:val="22"/>
          <w:u w:val="single"/>
          <w:lang w:val="fr-FR"/>
        </w:rPr>
        <w:t xml:space="preserve">Article </w:t>
      </w:r>
      <w:proofErr w:type="gramStart"/>
      <w:r w:rsidRPr="0026653F">
        <w:rPr>
          <w:szCs w:val="22"/>
          <w:u w:val="single"/>
          <w:lang w:val="fr-FR"/>
        </w:rPr>
        <w:t>4:</w:t>
      </w:r>
      <w:proofErr w:type="gramEnd"/>
      <w:r w:rsidRPr="0026653F">
        <w:rPr>
          <w:szCs w:val="22"/>
          <w:u w:val="single"/>
          <w:lang w:val="fr-FR"/>
        </w:rPr>
        <w:t xml:space="preserve"> </w:t>
      </w:r>
      <w:r w:rsidRPr="0026653F">
        <w:rPr>
          <w:szCs w:val="22"/>
          <w:lang w:val="fr-FR"/>
        </w:rPr>
        <w:tab/>
        <w:t>Composition</w:t>
      </w:r>
    </w:p>
    <w:p w14:paraId="537F7C18" w14:textId="77777777" w:rsidR="00421306" w:rsidRPr="0026653F" w:rsidRDefault="00421306" w:rsidP="006D430D">
      <w:pPr>
        <w:suppressAutoHyphens/>
        <w:rPr>
          <w:szCs w:val="22"/>
          <w:lang w:val="fr-FR"/>
        </w:rPr>
      </w:pPr>
    </w:p>
    <w:p w14:paraId="5CC875F1" w14:textId="682DBE1B" w:rsidR="00421306" w:rsidRPr="0026653F" w:rsidRDefault="00421306" w:rsidP="006D430D">
      <w:pPr>
        <w:suppressAutoHyphens/>
        <w:rPr>
          <w:szCs w:val="22"/>
          <w:lang w:val="fr-FR"/>
        </w:rPr>
      </w:pPr>
      <w:r w:rsidRPr="0026653F">
        <w:rPr>
          <w:szCs w:val="22"/>
          <w:lang w:val="fr-FR"/>
        </w:rPr>
        <w:tab/>
        <w:t>La CIRDN est composée du Président du Conseil permanent de l’OEA, du Secrétaire général et du Secrétaire général adjoint de l’OEA, du Président de la Banque interaméricaine de développement (BID), du Directeur général de l’Organisation panaméricaine de la Santé (OPS), du Secrétaire général de l’Institut panaméricain de géographie et d’histoire (IPGH), du Président de la Fondation panaméricaine de développement (FONPAD), du Directeur général de l’Institut interaméricain de coopération pour l’agriculture (IICA), du Directeur général de l’Agence interaméricaine pour la coopération et le développement (AICD), du Président de l’Organisation interaméricaine de défense (JID) et de la Secrétaire exécutive de la Commission interaméricaine des femmes (CIM).</w:t>
      </w:r>
    </w:p>
    <w:p w14:paraId="1161747F" w14:textId="77777777" w:rsidR="00421306" w:rsidRPr="0026653F" w:rsidRDefault="00421306" w:rsidP="006D430D">
      <w:pPr>
        <w:suppressAutoHyphens/>
        <w:rPr>
          <w:szCs w:val="22"/>
          <w:lang w:val="fr-FR"/>
        </w:rPr>
      </w:pPr>
    </w:p>
    <w:p w14:paraId="62BEECB9" w14:textId="3DE31010" w:rsidR="00421306" w:rsidRPr="004A5931" w:rsidRDefault="00421306" w:rsidP="006D430D">
      <w:pPr>
        <w:rPr>
          <w:bCs/>
          <w:lang w:val="fr-FR" w:eastAsia="es-ES"/>
        </w:rPr>
      </w:pPr>
      <w:r w:rsidRPr="0026653F">
        <w:rPr>
          <w:u w:val="single"/>
          <w:lang w:val="fr-FR"/>
        </w:rPr>
        <w:t>Article</w:t>
      </w:r>
      <w:r w:rsidRPr="0026653F">
        <w:rPr>
          <w:u w:val="single"/>
          <w:lang w:val="fr-FR" w:eastAsia="es-ES"/>
        </w:rPr>
        <w:t xml:space="preserve"> 5 :</w:t>
      </w:r>
      <w:r w:rsidRPr="0026653F">
        <w:rPr>
          <w:lang w:val="fr-FR" w:eastAsia="es-ES"/>
        </w:rPr>
        <w:t xml:space="preserve"> </w:t>
      </w:r>
      <w:r w:rsidRPr="0026653F">
        <w:rPr>
          <w:lang w:val="fr-FR" w:eastAsia="es-ES"/>
        </w:rPr>
        <w:tab/>
        <w:t>Le Président et ses fonctions</w:t>
      </w:r>
    </w:p>
    <w:p w14:paraId="518C6513" w14:textId="77777777" w:rsidR="00421306" w:rsidRPr="0026653F" w:rsidRDefault="00421306" w:rsidP="006D430D">
      <w:pPr>
        <w:suppressAutoHyphens/>
        <w:rPr>
          <w:szCs w:val="22"/>
          <w:lang w:val="fr-FR"/>
        </w:rPr>
      </w:pPr>
    </w:p>
    <w:p w14:paraId="120E6B03" w14:textId="77777777" w:rsidR="00421306" w:rsidRPr="0026653F" w:rsidRDefault="00421306" w:rsidP="006D430D">
      <w:pPr>
        <w:suppressAutoHyphens/>
        <w:ind w:firstLine="720"/>
        <w:rPr>
          <w:szCs w:val="22"/>
          <w:lang w:val="fr-FR"/>
        </w:rPr>
      </w:pPr>
      <w:r w:rsidRPr="0026653F">
        <w:rPr>
          <w:szCs w:val="22"/>
          <w:lang w:val="fr-FR"/>
        </w:rPr>
        <w:t xml:space="preserve">Le Secrétaire général de l’OEA ou, en son absence, son représentant, préside la CIRDN et en cette qualité, il a pour fonctions : </w:t>
      </w:r>
    </w:p>
    <w:p w14:paraId="4E2C1526" w14:textId="77777777" w:rsidR="00421306" w:rsidRPr="0026653F" w:rsidRDefault="00421306" w:rsidP="006D430D">
      <w:pPr>
        <w:suppressAutoHyphens/>
        <w:rPr>
          <w:szCs w:val="22"/>
          <w:lang w:val="fr-FR"/>
        </w:rPr>
      </w:pPr>
    </w:p>
    <w:p w14:paraId="0C344274" w14:textId="4AEC1220" w:rsidR="00421306" w:rsidRPr="0026653F" w:rsidRDefault="00421306" w:rsidP="006D430D">
      <w:pPr>
        <w:numPr>
          <w:ilvl w:val="0"/>
          <w:numId w:val="56"/>
        </w:numPr>
        <w:suppressAutoHyphens/>
        <w:ind w:left="1440"/>
        <w:rPr>
          <w:szCs w:val="22"/>
          <w:lang w:val="fr-FR"/>
        </w:rPr>
      </w:pPr>
      <w:r w:rsidRPr="0026653F">
        <w:rPr>
          <w:szCs w:val="22"/>
          <w:lang w:val="fr-FR"/>
        </w:rPr>
        <w:t>De convoquer les réunions de la CIRDN ;</w:t>
      </w:r>
    </w:p>
    <w:p w14:paraId="4BE601FB" w14:textId="77777777" w:rsidR="00421306" w:rsidRPr="0026653F" w:rsidRDefault="00421306" w:rsidP="006D430D">
      <w:pPr>
        <w:suppressAutoHyphens/>
        <w:rPr>
          <w:szCs w:val="22"/>
          <w:lang w:val="fr-FR"/>
        </w:rPr>
      </w:pPr>
    </w:p>
    <w:p w14:paraId="51E6C99B" w14:textId="5D802712" w:rsidR="00421306" w:rsidRPr="0026653F" w:rsidRDefault="00421306" w:rsidP="006D430D">
      <w:pPr>
        <w:numPr>
          <w:ilvl w:val="0"/>
          <w:numId w:val="56"/>
        </w:numPr>
        <w:suppressAutoHyphens/>
        <w:ind w:hanging="720"/>
        <w:rPr>
          <w:szCs w:val="22"/>
          <w:lang w:val="fr-FR"/>
        </w:rPr>
      </w:pPr>
      <w:r w:rsidRPr="0026653F">
        <w:rPr>
          <w:szCs w:val="22"/>
          <w:lang w:val="fr-FR"/>
        </w:rPr>
        <w:t>De représenter la CIRDN auprès des autres organes et organismes de l’OEA ;</w:t>
      </w:r>
    </w:p>
    <w:p w14:paraId="1DD12DD5" w14:textId="77777777" w:rsidR="00421306" w:rsidRPr="0026653F" w:rsidRDefault="00421306" w:rsidP="006D430D">
      <w:pPr>
        <w:suppressAutoHyphens/>
        <w:rPr>
          <w:szCs w:val="22"/>
          <w:lang w:val="fr-FR"/>
        </w:rPr>
      </w:pPr>
    </w:p>
    <w:p w14:paraId="7CD7F4C7" w14:textId="1867C864" w:rsidR="00421306" w:rsidRPr="0026653F" w:rsidRDefault="00421306" w:rsidP="006D430D">
      <w:pPr>
        <w:numPr>
          <w:ilvl w:val="0"/>
          <w:numId w:val="56"/>
        </w:numPr>
        <w:suppressAutoHyphens/>
        <w:ind w:hanging="720"/>
        <w:rPr>
          <w:szCs w:val="22"/>
          <w:lang w:val="fr-FR"/>
        </w:rPr>
      </w:pPr>
      <w:r w:rsidRPr="0026653F">
        <w:rPr>
          <w:szCs w:val="22"/>
          <w:lang w:val="fr-FR"/>
        </w:rPr>
        <w:t>De diriger et de coordonner les réunions que tient la CIRDN avec d’autres entités qui sont chargées des questions se rapportant à la prévention et à la réduction des effets des catastrophes naturelles ou qui s’y intéressent ;</w:t>
      </w:r>
    </w:p>
    <w:p w14:paraId="03D68389" w14:textId="77777777" w:rsidR="00421306" w:rsidRPr="0026653F" w:rsidRDefault="00421306" w:rsidP="006D430D">
      <w:pPr>
        <w:suppressAutoHyphens/>
        <w:rPr>
          <w:szCs w:val="22"/>
          <w:lang w:val="fr-FR"/>
        </w:rPr>
      </w:pPr>
    </w:p>
    <w:p w14:paraId="5780E161" w14:textId="607F588D" w:rsidR="00421306" w:rsidRPr="0026653F" w:rsidRDefault="00421306" w:rsidP="006D430D">
      <w:pPr>
        <w:numPr>
          <w:ilvl w:val="0"/>
          <w:numId w:val="56"/>
        </w:numPr>
        <w:suppressAutoHyphens/>
        <w:ind w:hanging="720"/>
        <w:rPr>
          <w:szCs w:val="22"/>
          <w:lang w:val="fr-FR"/>
        </w:rPr>
      </w:pPr>
      <w:r w:rsidRPr="0026653F">
        <w:rPr>
          <w:szCs w:val="22"/>
          <w:lang w:val="fr-FR"/>
        </w:rPr>
        <w:t>De coordonner l’exercice des attributions de la CIDNR ;</w:t>
      </w:r>
    </w:p>
    <w:p w14:paraId="06533270" w14:textId="77777777" w:rsidR="00421306" w:rsidRPr="0026653F" w:rsidRDefault="00421306" w:rsidP="006D430D">
      <w:pPr>
        <w:suppressAutoHyphens/>
        <w:rPr>
          <w:szCs w:val="22"/>
          <w:lang w:val="fr-FR"/>
        </w:rPr>
      </w:pPr>
    </w:p>
    <w:p w14:paraId="40C2B141" w14:textId="77777777" w:rsidR="00421306" w:rsidRPr="0026653F" w:rsidRDefault="00421306" w:rsidP="006D430D">
      <w:pPr>
        <w:numPr>
          <w:ilvl w:val="0"/>
          <w:numId w:val="56"/>
        </w:numPr>
        <w:suppressAutoHyphens/>
        <w:ind w:hanging="720"/>
        <w:rPr>
          <w:szCs w:val="22"/>
          <w:lang w:val="fr-FR"/>
        </w:rPr>
      </w:pPr>
      <w:r w:rsidRPr="0026653F">
        <w:rPr>
          <w:szCs w:val="22"/>
          <w:lang w:val="fr-FR"/>
        </w:rPr>
        <w:t>D’inviter les États membres avec voix consultative mais sans droit de vote et, si nécessaire, d’inviter les observateurs permanents et les représentants des organisations et mécanismes nationaux, sous-régionaux, régionaux et internationaux à participer aux réunions de la CIDNR avec voix consultative mais sans droit de vote.</w:t>
      </w:r>
      <w:r w:rsidRPr="0026653F">
        <w:rPr>
          <w:szCs w:val="22"/>
          <w:u w:val="single"/>
          <w:vertAlign w:val="superscript"/>
          <w:lang w:val="fr-FR"/>
        </w:rPr>
        <w:footnoteReference w:id="49"/>
      </w:r>
      <w:r w:rsidRPr="0026653F">
        <w:rPr>
          <w:szCs w:val="22"/>
          <w:vertAlign w:val="superscript"/>
          <w:lang w:val="fr-FR"/>
        </w:rPr>
        <w:t>/</w:t>
      </w:r>
    </w:p>
    <w:p w14:paraId="0816D7CB" w14:textId="77777777" w:rsidR="00421306" w:rsidRPr="0026653F" w:rsidRDefault="00421306" w:rsidP="006D430D">
      <w:pPr>
        <w:suppressAutoHyphens/>
        <w:rPr>
          <w:szCs w:val="22"/>
          <w:lang w:val="fr-FR"/>
        </w:rPr>
      </w:pPr>
    </w:p>
    <w:p w14:paraId="6F613DAA" w14:textId="77777777" w:rsidR="00421306" w:rsidRPr="0026653F" w:rsidRDefault="00421306" w:rsidP="006D430D">
      <w:pPr>
        <w:numPr>
          <w:ilvl w:val="0"/>
          <w:numId w:val="56"/>
        </w:numPr>
        <w:suppressAutoHyphens/>
        <w:ind w:hanging="720"/>
        <w:rPr>
          <w:szCs w:val="22"/>
          <w:lang w:val="fr-FR"/>
        </w:rPr>
      </w:pPr>
      <w:r w:rsidRPr="0026653F">
        <w:rPr>
          <w:szCs w:val="22"/>
          <w:lang w:val="fr-FR"/>
        </w:rPr>
        <w:t>De soumettre et de présenter au Conseil permanent un rapport annuel sur ses activités.</w:t>
      </w:r>
    </w:p>
    <w:p w14:paraId="0087A86F" w14:textId="77777777" w:rsidR="00421306" w:rsidRPr="0026653F" w:rsidRDefault="00421306" w:rsidP="006D430D">
      <w:pPr>
        <w:suppressAutoHyphens/>
        <w:rPr>
          <w:szCs w:val="22"/>
          <w:lang w:val="fr-FR"/>
        </w:rPr>
      </w:pPr>
    </w:p>
    <w:p w14:paraId="6F555F98" w14:textId="10750A38" w:rsidR="00421306" w:rsidRPr="0026653F" w:rsidRDefault="00421306" w:rsidP="006D430D">
      <w:pPr>
        <w:numPr>
          <w:ilvl w:val="0"/>
          <w:numId w:val="56"/>
        </w:numPr>
        <w:suppressAutoHyphens/>
        <w:ind w:hanging="720"/>
        <w:rPr>
          <w:szCs w:val="22"/>
          <w:lang w:val="fr-FR"/>
        </w:rPr>
      </w:pPr>
      <w:r w:rsidRPr="0026653F">
        <w:rPr>
          <w:szCs w:val="22"/>
          <w:lang w:val="fr-FR"/>
        </w:rPr>
        <w:lastRenderedPageBreak/>
        <w:t>D’aider à coordonner la coopération entre les États membres de l’OEA, lorsque les parties intéressées l’invitent à le faire, et d’aider les États touchés par une catastrophe naturelle à la notifier à l’OCHA.</w:t>
      </w:r>
    </w:p>
    <w:p w14:paraId="3941500B" w14:textId="77777777" w:rsidR="00421306" w:rsidRPr="0026653F" w:rsidRDefault="00421306" w:rsidP="006D430D">
      <w:pPr>
        <w:suppressAutoHyphens/>
        <w:rPr>
          <w:szCs w:val="22"/>
          <w:lang w:val="fr-FR"/>
        </w:rPr>
      </w:pPr>
    </w:p>
    <w:p w14:paraId="19A884C0" w14:textId="77777777" w:rsidR="00421306" w:rsidRPr="0026653F" w:rsidRDefault="00421306" w:rsidP="006D430D">
      <w:pPr>
        <w:numPr>
          <w:ilvl w:val="0"/>
          <w:numId w:val="56"/>
        </w:numPr>
        <w:suppressAutoHyphens/>
        <w:ind w:hanging="720"/>
        <w:rPr>
          <w:szCs w:val="22"/>
          <w:lang w:val="fr-FR"/>
        </w:rPr>
      </w:pPr>
      <w:r w:rsidRPr="0026653F">
        <w:rPr>
          <w:szCs w:val="22"/>
          <w:lang w:val="fr-FR"/>
        </w:rPr>
        <w:t>De s’acquitter de ces fonctions conformément aux dispositions de l’article VII du Statut du Fonds interaméricain d’assistance pour situations de crise (FONDEM), et</w:t>
      </w:r>
    </w:p>
    <w:p w14:paraId="70F9698D" w14:textId="77777777" w:rsidR="00421306" w:rsidRPr="0026653F" w:rsidRDefault="00421306" w:rsidP="006D430D">
      <w:pPr>
        <w:suppressAutoHyphens/>
        <w:rPr>
          <w:szCs w:val="22"/>
          <w:lang w:val="fr-FR"/>
        </w:rPr>
      </w:pPr>
    </w:p>
    <w:p w14:paraId="2B534215" w14:textId="7515B685" w:rsidR="00421306" w:rsidRPr="0026653F" w:rsidRDefault="00421306" w:rsidP="006D430D">
      <w:pPr>
        <w:numPr>
          <w:ilvl w:val="0"/>
          <w:numId w:val="56"/>
        </w:numPr>
        <w:suppressAutoHyphens/>
        <w:ind w:hanging="720"/>
        <w:rPr>
          <w:szCs w:val="22"/>
          <w:lang w:val="fr-FR"/>
        </w:rPr>
      </w:pPr>
      <w:r w:rsidRPr="0026653F">
        <w:rPr>
          <w:szCs w:val="22"/>
          <w:lang w:val="fr-FR"/>
        </w:rPr>
        <w:t>De solliciter des contributions volontaires aux fins établies dans le présent Statut et conformément à l’article 13.</w:t>
      </w:r>
    </w:p>
    <w:p w14:paraId="341ADCD9" w14:textId="77777777" w:rsidR="00421306" w:rsidRPr="0026653F" w:rsidRDefault="00421306" w:rsidP="006D430D">
      <w:pPr>
        <w:suppressAutoHyphens/>
        <w:rPr>
          <w:szCs w:val="22"/>
          <w:lang w:val="fr-FR"/>
        </w:rPr>
      </w:pPr>
    </w:p>
    <w:p w14:paraId="059733AC" w14:textId="77777777" w:rsidR="00421306" w:rsidRPr="0026653F" w:rsidRDefault="00421306" w:rsidP="006D430D">
      <w:pPr>
        <w:suppressAutoHyphens/>
        <w:rPr>
          <w:szCs w:val="22"/>
          <w:lang w:val="fr-FR"/>
        </w:rPr>
      </w:pPr>
    </w:p>
    <w:p w14:paraId="14A601DD" w14:textId="77777777" w:rsidR="00421306" w:rsidRPr="0026653F" w:rsidRDefault="00421306" w:rsidP="006D430D">
      <w:pPr>
        <w:suppressAutoHyphens/>
        <w:jc w:val="center"/>
        <w:rPr>
          <w:szCs w:val="22"/>
          <w:lang w:val="fr-FR"/>
        </w:rPr>
      </w:pPr>
      <w:r w:rsidRPr="0026653F">
        <w:rPr>
          <w:szCs w:val="22"/>
          <w:lang w:val="fr-FR"/>
        </w:rPr>
        <w:t>CHAPITRE III</w:t>
      </w:r>
    </w:p>
    <w:p w14:paraId="3FA22D7D" w14:textId="77777777" w:rsidR="00421306" w:rsidRPr="0026653F" w:rsidRDefault="00421306" w:rsidP="006D430D">
      <w:pPr>
        <w:suppressAutoHyphens/>
        <w:jc w:val="center"/>
        <w:rPr>
          <w:szCs w:val="22"/>
          <w:lang w:val="fr-FR"/>
        </w:rPr>
      </w:pPr>
      <w:r w:rsidRPr="0026653F">
        <w:rPr>
          <w:szCs w:val="22"/>
          <w:lang w:val="fr-FR"/>
        </w:rPr>
        <w:t>RÉUNIONS</w:t>
      </w:r>
    </w:p>
    <w:p w14:paraId="4BB7E2B6" w14:textId="77777777" w:rsidR="00421306" w:rsidRPr="0026653F" w:rsidRDefault="00421306" w:rsidP="006D430D">
      <w:pPr>
        <w:suppressAutoHyphens/>
        <w:rPr>
          <w:szCs w:val="22"/>
          <w:lang w:val="fr-FR"/>
        </w:rPr>
      </w:pPr>
    </w:p>
    <w:p w14:paraId="688132D6" w14:textId="77777777" w:rsidR="00421306" w:rsidRPr="0026653F" w:rsidRDefault="00421306" w:rsidP="006D430D">
      <w:pPr>
        <w:rPr>
          <w:b/>
          <w:szCs w:val="22"/>
          <w:u w:val="single"/>
          <w:lang w:val="fr-FR" w:eastAsia="es-ES"/>
        </w:rPr>
      </w:pPr>
      <w:r w:rsidRPr="0026653F">
        <w:rPr>
          <w:szCs w:val="22"/>
          <w:u w:val="single"/>
          <w:lang w:val="fr-FR" w:eastAsia="es-ES"/>
        </w:rPr>
        <w:t>Article 6</w:t>
      </w:r>
    </w:p>
    <w:p w14:paraId="3F8829F6" w14:textId="77777777" w:rsidR="00421306" w:rsidRPr="0026653F" w:rsidRDefault="00421306" w:rsidP="006D430D">
      <w:pPr>
        <w:suppressAutoHyphens/>
        <w:rPr>
          <w:szCs w:val="22"/>
          <w:lang w:val="fr-FR"/>
        </w:rPr>
      </w:pPr>
    </w:p>
    <w:p w14:paraId="65BEA39F" w14:textId="5D0804A6" w:rsidR="00421306" w:rsidRPr="0026653F" w:rsidRDefault="00421306" w:rsidP="006D430D">
      <w:pPr>
        <w:suppressAutoHyphens/>
        <w:rPr>
          <w:szCs w:val="22"/>
          <w:lang w:val="fr-FR"/>
        </w:rPr>
      </w:pPr>
      <w:r w:rsidRPr="0026653F">
        <w:rPr>
          <w:szCs w:val="22"/>
          <w:lang w:val="fr-FR"/>
        </w:rPr>
        <w:tab/>
        <w:t>La CIRDN se réunit au moins deux fois par an, laissant à son président la discrétion de convoquer des réunions plus fréquentes.</w:t>
      </w:r>
    </w:p>
    <w:p w14:paraId="5D98021F" w14:textId="77777777" w:rsidR="00421306" w:rsidRPr="0026653F" w:rsidRDefault="00421306" w:rsidP="006D430D">
      <w:pPr>
        <w:suppressAutoHyphens/>
        <w:rPr>
          <w:szCs w:val="22"/>
          <w:lang w:val="fr-FR"/>
        </w:rPr>
      </w:pPr>
    </w:p>
    <w:p w14:paraId="2B9646AA" w14:textId="77777777" w:rsidR="00421306" w:rsidRPr="0026653F" w:rsidRDefault="00421306" w:rsidP="006D430D">
      <w:pPr>
        <w:rPr>
          <w:szCs w:val="22"/>
          <w:u w:val="single"/>
          <w:lang w:val="fr-FR" w:eastAsia="es-ES"/>
        </w:rPr>
      </w:pPr>
      <w:r w:rsidRPr="0026653F">
        <w:rPr>
          <w:szCs w:val="22"/>
          <w:u w:val="single"/>
          <w:lang w:val="fr-FR" w:eastAsia="es-ES"/>
        </w:rPr>
        <w:t>Article 7</w:t>
      </w:r>
    </w:p>
    <w:p w14:paraId="3F21B4B6" w14:textId="77777777" w:rsidR="00421306" w:rsidRPr="0026653F" w:rsidRDefault="00421306" w:rsidP="006D430D">
      <w:pPr>
        <w:suppressAutoHyphens/>
        <w:rPr>
          <w:szCs w:val="22"/>
          <w:lang w:val="fr-FR"/>
        </w:rPr>
      </w:pPr>
    </w:p>
    <w:p w14:paraId="0B1E7280" w14:textId="17A749B8" w:rsidR="00421306" w:rsidRPr="0026653F" w:rsidRDefault="00421306" w:rsidP="006D430D">
      <w:pPr>
        <w:suppressAutoHyphens/>
        <w:rPr>
          <w:szCs w:val="22"/>
          <w:lang w:val="fr-FR"/>
        </w:rPr>
      </w:pPr>
      <w:r w:rsidRPr="0026653F">
        <w:rPr>
          <w:szCs w:val="22"/>
          <w:lang w:val="fr-FR"/>
        </w:rPr>
        <w:tab/>
        <w:t>Le quorum nécessaire pour la tenue d’une réunion de la CIRDN est constitué par plus de la moitié de ses membres.</w:t>
      </w:r>
    </w:p>
    <w:p w14:paraId="2A1B5DCF" w14:textId="77777777" w:rsidR="00421306" w:rsidRPr="0026653F" w:rsidRDefault="00421306" w:rsidP="006D430D">
      <w:pPr>
        <w:suppressAutoHyphens/>
        <w:rPr>
          <w:szCs w:val="22"/>
          <w:lang w:val="fr-FR"/>
        </w:rPr>
      </w:pPr>
    </w:p>
    <w:p w14:paraId="76EAA8B6" w14:textId="77777777" w:rsidR="00421306" w:rsidRPr="0026653F" w:rsidRDefault="00421306" w:rsidP="006D430D">
      <w:pPr>
        <w:rPr>
          <w:szCs w:val="22"/>
          <w:u w:val="single"/>
          <w:lang w:val="fr-FR" w:eastAsia="es-ES"/>
        </w:rPr>
      </w:pPr>
      <w:r w:rsidRPr="0026653F">
        <w:rPr>
          <w:szCs w:val="22"/>
          <w:u w:val="single"/>
          <w:lang w:val="fr-FR" w:eastAsia="es-ES"/>
        </w:rPr>
        <w:t xml:space="preserve">Article 8 </w:t>
      </w:r>
    </w:p>
    <w:p w14:paraId="23573825" w14:textId="77777777" w:rsidR="00421306" w:rsidRPr="0026653F" w:rsidRDefault="00421306" w:rsidP="006D430D">
      <w:pPr>
        <w:suppressAutoHyphens/>
        <w:rPr>
          <w:szCs w:val="22"/>
          <w:lang w:val="fr-FR"/>
        </w:rPr>
      </w:pPr>
    </w:p>
    <w:p w14:paraId="641197D0" w14:textId="07C3E386" w:rsidR="00421306" w:rsidRPr="0026653F" w:rsidRDefault="00421306" w:rsidP="006D430D">
      <w:pPr>
        <w:suppressAutoHyphens/>
        <w:ind w:firstLine="715"/>
        <w:rPr>
          <w:szCs w:val="22"/>
          <w:lang w:val="fr-FR"/>
        </w:rPr>
      </w:pPr>
      <w:r w:rsidRPr="0026653F">
        <w:rPr>
          <w:szCs w:val="22"/>
          <w:lang w:val="fr-FR"/>
        </w:rPr>
        <w:tab/>
        <w:t>En cas d’absence du Secrétaire général de l’OEA pendant une partie ou la totalité d’une réunion de la CIRDN, les autres membres présents désignent à la majorité des voix la personne qui dirigera les délibérations durant son absence.</w:t>
      </w:r>
    </w:p>
    <w:p w14:paraId="11FA057F" w14:textId="77777777" w:rsidR="00421306" w:rsidRPr="0026653F" w:rsidRDefault="00421306" w:rsidP="006D430D">
      <w:pPr>
        <w:suppressAutoHyphens/>
        <w:rPr>
          <w:szCs w:val="22"/>
          <w:lang w:val="fr-FR"/>
        </w:rPr>
      </w:pPr>
    </w:p>
    <w:p w14:paraId="3FB18113" w14:textId="77777777" w:rsidR="00421306" w:rsidRPr="0026653F" w:rsidRDefault="00421306" w:rsidP="006D430D">
      <w:pPr>
        <w:rPr>
          <w:szCs w:val="22"/>
          <w:u w:val="single"/>
          <w:lang w:val="fr-FR" w:eastAsia="es-ES"/>
        </w:rPr>
      </w:pPr>
      <w:r w:rsidRPr="0026653F">
        <w:rPr>
          <w:szCs w:val="22"/>
          <w:u w:val="single"/>
          <w:lang w:val="fr-FR" w:eastAsia="es-ES"/>
        </w:rPr>
        <w:t>Article 9</w:t>
      </w:r>
    </w:p>
    <w:p w14:paraId="17B188A0" w14:textId="77777777" w:rsidR="00421306" w:rsidRPr="0026653F" w:rsidRDefault="00421306" w:rsidP="006D430D">
      <w:pPr>
        <w:suppressAutoHyphens/>
        <w:rPr>
          <w:szCs w:val="22"/>
          <w:lang w:val="fr-FR"/>
        </w:rPr>
      </w:pPr>
    </w:p>
    <w:p w14:paraId="10D329FC" w14:textId="00FC50B1" w:rsidR="00421306" w:rsidRPr="0026653F" w:rsidRDefault="00421306" w:rsidP="006D430D">
      <w:pPr>
        <w:suppressAutoHyphens/>
        <w:ind w:firstLine="715"/>
        <w:rPr>
          <w:szCs w:val="22"/>
          <w:lang w:val="fr-FR"/>
        </w:rPr>
      </w:pPr>
      <w:r w:rsidRPr="0026653F">
        <w:rPr>
          <w:szCs w:val="22"/>
          <w:lang w:val="fr-FR"/>
        </w:rPr>
        <w:tab/>
        <w:t>Tout membre de la CIRDN peut, dans des circonstances particulières, se faire représenter aux réunions auxquelles il ou elle ne peut pas assister, par n’importe quel autre fonctionnaire de haut niveau de l’organisme dont il ou elle relève.</w:t>
      </w:r>
    </w:p>
    <w:p w14:paraId="0FFE6372" w14:textId="77777777" w:rsidR="00421306" w:rsidRPr="0026653F" w:rsidRDefault="00421306" w:rsidP="006D430D">
      <w:pPr>
        <w:suppressAutoHyphens/>
        <w:jc w:val="left"/>
        <w:rPr>
          <w:szCs w:val="22"/>
          <w:lang w:val="fr-FR"/>
        </w:rPr>
      </w:pPr>
    </w:p>
    <w:p w14:paraId="2D39B70D" w14:textId="77777777" w:rsidR="00421306" w:rsidRPr="0026653F" w:rsidRDefault="00421306" w:rsidP="006D430D">
      <w:pPr>
        <w:rPr>
          <w:szCs w:val="22"/>
          <w:u w:val="single"/>
          <w:lang w:val="fr-FR" w:eastAsia="es-ES"/>
        </w:rPr>
      </w:pPr>
      <w:r w:rsidRPr="0026653F">
        <w:rPr>
          <w:szCs w:val="22"/>
          <w:u w:val="single"/>
          <w:lang w:val="fr-FR" w:eastAsia="es-ES"/>
        </w:rPr>
        <w:t>Article 10</w:t>
      </w:r>
    </w:p>
    <w:p w14:paraId="1A302EC3" w14:textId="77777777" w:rsidR="00421306" w:rsidRPr="0026653F" w:rsidRDefault="00421306" w:rsidP="006D430D">
      <w:pPr>
        <w:suppressAutoHyphens/>
        <w:jc w:val="left"/>
        <w:rPr>
          <w:szCs w:val="22"/>
          <w:lang w:val="fr-FR"/>
        </w:rPr>
      </w:pPr>
    </w:p>
    <w:p w14:paraId="457EBBCB" w14:textId="6AB054F0" w:rsidR="00421306" w:rsidRPr="0026653F" w:rsidRDefault="00421306" w:rsidP="006D430D">
      <w:pPr>
        <w:suppressAutoHyphens/>
        <w:rPr>
          <w:szCs w:val="22"/>
          <w:lang w:val="fr-FR"/>
        </w:rPr>
      </w:pPr>
      <w:r w:rsidRPr="0026653F">
        <w:rPr>
          <w:szCs w:val="22"/>
          <w:lang w:val="fr-FR"/>
        </w:rPr>
        <w:tab/>
        <w:t>Chaque membre de la CIRDN a droit à une voix. La Commission fait de son mieux pour que les décisions et les recommandations soient adoptées par consensus. Si ce consensus ne peut pas être réuni, la Commission adopte les décisions et recommandations à la majorité des voix des membres.</w:t>
      </w:r>
    </w:p>
    <w:p w14:paraId="29F72321" w14:textId="77777777" w:rsidR="00421306" w:rsidRPr="0026653F" w:rsidRDefault="00421306" w:rsidP="006D430D">
      <w:pPr>
        <w:suppressAutoHyphens/>
        <w:jc w:val="left"/>
        <w:rPr>
          <w:szCs w:val="22"/>
          <w:lang w:val="fr-FR"/>
        </w:rPr>
      </w:pPr>
    </w:p>
    <w:p w14:paraId="090B6E4D" w14:textId="77777777" w:rsidR="00421306" w:rsidRPr="0026653F" w:rsidRDefault="00421306" w:rsidP="006D430D">
      <w:pPr>
        <w:keepNext/>
        <w:rPr>
          <w:szCs w:val="22"/>
          <w:u w:val="single"/>
          <w:lang w:val="fr-FR" w:eastAsia="es-ES"/>
        </w:rPr>
      </w:pPr>
      <w:r w:rsidRPr="0026653F">
        <w:rPr>
          <w:szCs w:val="22"/>
          <w:u w:val="single"/>
          <w:lang w:val="fr-FR" w:eastAsia="es-ES"/>
        </w:rPr>
        <w:t>Article 11</w:t>
      </w:r>
    </w:p>
    <w:p w14:paraId="16933420" w14:textId="77777777" w:rsidR="00421306" w:rsidRPr="0026653F" w:rsidRDefault="00421306" w:rsidP="006D430D">
      <w:pPr>
        <w:keepNext/>
        <w:suppressAutoHyphens/>
        <w:jc w:val="left"/>
        <w:rPr>
          <w:szCs w:val="22"/>
          <w:lang w:val="fr-FR"/>
        </w:rPr>
      </w:pPr>
    </w:p>
    <w:p w14:paraId="28437349" w14:textId="77777777" w:rsidR="00421306" w:rsidRPr="004A5931" w:rsidRDefault="00421306" w:rsidP="006D430D">
      <w:pPr>
        <w:suppressAutoHyphens/>
        <w:rPr>
          <w:bCs/>
          <w:szCs w:val="22"/>
          <w:lang w:val="fr-FR"/>
        </w:rPr>
      </w:pPr>
      <w:r w:rsidRPr="0026653F">
        <w:rPr>
          <w:szCs w:val="22"/>
          <w:lang w:val="fr-FR"/>
        </w:rPr>
        <w:tab/>
        <w:t>La CIDNR se réunit au siège du Secrétariat général de l’OEA, sauf lorsqu’elle décide d’un autre lieu ou d’un autre format pour ses réunions, qui pourrait être virtuel.</w:t>
      </w:r>
    </w:p>
    <w:p w14:paraId="3EAA922F" w14:textId="77777777" w:rsidR="00421306" w:rsidRPr="004A5931" w:rsidRDefault="00421306" w:rsidP="006D430D">
      <w:pPr>
        <w:suppressAutoHyphens/>
        <w:jc w:val="left"/>
        <w:rPr>
          <w:bCs/>
          <w:szCs w:val="22"/>
          <w:lang w:val="fr-FR"/>
        </w:rPr>
      </w:pPr>
    </w:p>
    <w:p w14:paraId="30B6E6AC" w14:textId="77777777" w:rsidR="00421306" w:rsidRPr="0026653F" w:rsidRDefault="00421306" w:rsidP="006D430D">
      <w:pPr>
        <w:suppressAutoHyphens/>
        <w:jc w:val="left"/>
        <w:rPr>
          <w:bCs/>
          <w:szCs w:val="22"/>
          <w:lang w:val="fr-FR"/>
        </w:rPr>
      </w:pPr>
    </w:p>
    <w:p w14:paraId="73BC26E7" w14:textId="09B775B3" w:rsidR="00421306" w:rsidRPr="0026653F" w:rsidRDefault="00421306" w:rsidP="006D430D">
      <w:pPr>
        <w:suppressAutoHyphens/>
        <w:jc w:val="center"/>
        <w:rPr>
          <w:szCs w:val="22"/>
          <w:lang w:val="fr-FR"/>
        </w:rPr>
      </w:pPr>
      <w:r w:rsidRPr="0026653F">
        <w:rPr>
          <w:szCs w:val="22"/>
          <w:lang w:val="fr-FR"/>
        </w:rPr>
        <w:t>CHAPITRE IV</w:t>
      </w:r>
    </w:p>
    <w:p w14:paraId="142D64A1" w14:textId="5E2B124B" w:rsidR="00421306" w:rsidRPr="0026653F" w:rsidRDefault="00421306" w:rsidP="006D430D">
      <w:pPr>
        <w:suppressAutoHyphens/>
        <w:jc w:val="center"/>
        <w:rPr>
          <w:szCs w:val="22"/>
          <w:lang w:val="fr-FR"/>
        </w:rPr>
      </w:pPr>
      <w:r w:rsidRPr="0026653F">
        <w:rPr>
          <w:szCs w:val="22"/>
          <w:lang w:val="fr-FR"/>
        </w:rPr>
        <w:t>SERVICES DE SECRÉTARIAT</w:t>
      </w:r>
    </w:p>
    <w:p w14:paraId="2C7A3FF1" w14:textId="77777777" w:rsidR="00421306" w:rsidRPr="0026653F" w:rsidRDefault="00421306" w:rsidP="006D430D">
      <w:pPr>
        <w:suppressAutoHyphens/>
        <w:jc w:val="left"/>
        <w:rPr>
          <w:szCs w:val="22"/>
          <w:lang w:val="fr-FR"/>
        </w:rPr>
      </w:pPr>
    </w:p>
    <w:p w14:paraId="68F3D704" w14:textId="77777777" w:rsidR="00421306" w:rsidRPr="0026653F" w:rsidRDefault="00421306" w:rsidP="006D430D">
      <w:pPr>
        <w:rPr>
          <w:szCs w:val="22"/>
          <w:u w:val="single"/>
          <w:lang w:val="fr-FR" w:eastAsia="es-ES"/>
        </w:rPr>
      </w:pPr>
      <w:r w:rsidRPr="0026653F">
        <w:rPr>
          <w:szCs w:val="22"/>
          <w:u w:val="single"/>
          <w:lang w:val="fr-FR" w:eastAsia="es-ES"/>
        </w:rPr>
        <w:t xml:space="preserve">Article 12 </w:t>
      </w:r>
    </w:p>
    <w:p w14:paraId="6D8CA5D1" w14:textId="77777777" w:rsidR="00421306" w:rsidRPr="0026653F" w:rsidRDefault="00421306" w:rsidP="006D430D">
      <w:pPr>
        <w:suppressAutoHyphens/>
        <w:jc w:val="left"/>
        <w:rPr>
          <w:szCs w:val="22"/>
          <w:lang w:val="fr-FR"/>
        </w:rPr>
      </w:pPr>
    </w:p>
    <w:p w14:paraId="47C23C4F" w14:textId="54937B26" w:rsidR="00421306" w:rsidRPr="0026653F" w:rsidRDefault="00421306" w:rsidP="006D430D">
      <w:pPr>
        <w:suppressAutoHyphens/>
        <w:rPr>
          <w:szCs w:val="22"/>
          <w:lang w:val="fr-FR"/>
        </w:rPr>
      </w:pPr>
      <w:r w:rsidRPr="0026653F">
        <w:rPr>
          <w:szCs w:val="22"/>
          <w:lang w:val="fr-FR"/>
        </w:rPr>
        <w:tab/>
        <w:t>Le Secrétariat général de l’OEA assure les services de secrétariat de la CIRDN, en fonction des crédits ouverts à ce titre au Programme-budget du Fonds ordinaire de l’Organisation et autres ressources.</w:t>
      </w:r>
    </w:p>
    <w:p w14:paraId="0190866F" w14:textId="77777777" w:rsidR="00421306" w:rsidRPr="0026653F" w:rsidRDefault="00421306" w:rsidP="006D430D">
      <w:pPr>
        <w:suppressAutoHyphens/>
        <w:jc w:val="left"/>
        <w:rPr>
          <w:szCs w:val="22"/>
          <w:lang w:val="fr-FR"/>
        </w:rPr>
      </w:pPr>
    </w:p>
    <w:p w14:paraId="2081FABC" w14:textId="77777777" w:rsidR="00421306" w:rsidRPr="0026653F" w:rsidRDefault="00421306" w:rsidP="006D430D">
      <w:pPr>
        <w:suppressAutoHyphens/>
        <w:jc w:val="left"/>
        <w:rPr>
          <w:szCs w:val="22"/>
          <w:lang w:val="fr-FR"/>
        </w:rPr>
      </w:pPr>
    </w:p>
    <w:p w14:paraId="357CD0CC" w14:textId="35699EEA" w:rsidR="00421306" w:rsidRPr="0026653F" w:rsidRDefault="00421306" w:rsidP="006D430D">
      <w:pPr>
        <w:suppressAutoHyphens/>
        <w:jc w:val="center"/>
        <w:rPr>
          <w:szCs w:val="22"/>
          <w:lang w:val="fr-FR"/>
        </w:rPr>
      </w:pPr>
      <w:r w:rsidRPr="0026653F">
        <w:rPr>
          <w:szCs w:val="22"/>
          <w:lang w:val="fr-FR"/>
        </w:rPr>
        <w:t>CHAPITRE V</w:t>
      </w:r>
    </w:p>
    <w:p w14:paraId="1062E091" w14:textId="30023E6A" w:rsidR="00421306" w:rsidRPr="0026653F" w:rsidRDefault="00421306" w:rsidP="006D430D">
      <w:pPr>
        <w:suppressAutoHyphens/>
        <w:jc w:val="center"/>
        <w:rPr>
          <w:szCs w:val="22"/>
          <w:lang w:val="fr-FR"/>
        </w:rPr>
      </w:pPr>
      <w:r w:rsidRPr="0026653F">
        <w:rPr>
          <w:szCs w:val="22"/>
          <w:lang w:val="fr-FR"/>
        </w:rPr>
        <w:t>SUPPORT FINANCIER</w:t>
      </w:r>
    </w:p>
    <w:p w14:paraId="3C4DCA2E" w14:textId="77777777" w:rsidR="00421306" w:rsidRPr="0026653F" w:rsidRDefault="00421306" w:rsidP="006D430D">
      <w:pPr>
        <w:suppressAutoHyphens/>
        <w:jc w:val="left"/>
        <w:rPr>
          <w:szCs w:val="22"/>
          <w:lang w:val="fr-FR"/>
        </w:rPr>
      </w:pPr>
    </w:p>
    <w:p w14:paraId="0F5226B3" w14:textId="77777777" w:rsidR="00421306" w:rsidRPr="0026653F" w:rsidRDefault="00421306" w:rsidP="006D430D">
      <w:pPr>
        <w:rPr>
          <w:szCs w:val="22"/>
          <w:u w:val="single"/>
          <w:lang w:val="fr-FR" w:eastAsia="es-ES"/>
        </w:rPr>
      </w:pPr>
      <w:r w:rsidRPr="0026653F">
        <w:rPr>
          <w:szCs w:val="22"/>
          <w:u w:val="single"/>
          <w:lang w:val="fr-FR" w:eastAsia="es-ES"/>
        </w:rPr>
        <w:t xml:space="preserve">Article 13 </w:t>
      </w:r>
    </w:p>
    <w:p w14:paraId="5DA3484A" w14:textId="77777777" w:rsidR="00421306" w:rsidRPr="0026653F" w:rsidRDefault="00421306" w:rsidP="006D430D">
      <w:pPr>
        <w:suppressAutoHyphens/>
        <w:jc w:val="left"/>
        <w:rPr>
          <w:szCs w:val="22"/>
          <w:lang w:val="fr-FR"/>
        </w:rPr>
      </w:pPr>
    </w:p>
    <w:p w14:paraId="5C191F9D" w14:textId="77777777" w:rsidR="00421306" w:rsidRPr="0026653F" w:rsidRDefault="00421306" w:rsidP="006D430D">
      <w:pPr>
        <w:suppressAutoHyphens/>
        <w:rPr>
          <w:szCs w:val="22"/>
          <w:lang w:val="fr-FR"/>
        </w:rPr>
      </w:pPr>
      <w:r w:rsidRPr="0026653F">
        <w:rPr>
          <w:szCs w:val="22"/>
          <w:lang w:val="fr-FR"/>
        </w:rPr>
        <w:tab/>
        <w:t>La CIRDN, par l’intermédiaire du Secrétaire général, et sans préjudice des compétences individuelles de ses membres, sollicite des contributions volontaires des États membres et des États observateurs permanents de l’Organisation et d’autres États membres des Nations Unies, ainsi que de particuliers ou d’institutions publiques ou privées, nationales ou internationales, et/ou cherche à créer les fonds spécifiques et les fonds d’affectation spéciale nécessaires, conformément aux Normes générales de fonctionnement du Secrétariat général de l’Organisation afin d’aider les États membres de l’OEA conformément à l’article 2.</w:t>
      </w:r>
    </w:p>
    <w:p w14:paraId="4ADEB6FB" w14:textId="77777777" w:rsidR="00421306" w:rsidRPr="0026653F" w:rsidRDefault="00421306" w:rsidP="006D430D">
      <w:pPr>
        <w:suppressAutoHyphens/>
        <w:jc w:val="left"/>
        <w:rPr>
          <w:strike/>
          <w:szCs w:val="22"/>
          <w:lang w:val="fr-FR"/>
        </w:rPr>
      </w:pPr>
    </w:p>
    <w:p w14:paraId="5D1E9911" w14:textId="38E845F5" w:rsidR="00421306" w:rsidRPr="0026653F" w:rsidRDefault="00421306" w:rsidP="006D430D">
      <w:pPr>
        <w:suppressAutoHyphens/>
        <w:rPr>
          <w:szCs w:val="22"/>
          <w:lang w:val="fr-FR"/>
        </w:rPr>
      </w:pPr>
      <w:r w:rsidRPr="0026653F">
        <w:rPr>
          <w:szCs w:val="22"/>
          <w:lang w:val="fr-FR"/>
        </w:rPr>
        <w:tab/>
        <w:t>Outre les contributions financières visées au paragraphe précédent, aux fins de l’aide d’urgence relevant de l’article V du Statut du FONDEM, des ressources financières sont obtenues à ce titre en application de l’article IV b) du Statut du FONDEM.</w:t>
      </w:r>
    </w:p>
    <w:p w14:paraId="79E311DD" w14:textId="77777777" w:rsidR="00421306" w:rsidRPr="0026653F" w:rsidRDefault="00421306" w:rsidP="00C618DD">
      <w:pPr>
        <w:suppressAutoHyphens/>
        <w:jc w:val="left"/>
        <w:rPr>
          <w:szCs w:val="22"/>
          <w:lang w:val="fr-FR"/>
        </w:rPr>
      </w:pPr>
    </w:p>
    <w:p w14:paraId="173152AF" w14:textId="77777777" w:rsidR="00421306" w:rsidRPr="0026653F" w:rsidRDefault="00421306" w:rsidP="00C618DD">
      <w:pPr>
        <w:suppressAutoHyphens/>
        <w:jc w:val="left"/>
        <w:rPr>
          <w:szCs w:val="22"/>
          <w:lang w:val="fr-FR"/>
        </w:rPr>
      </w:pPr>
    </w:p>
    <w:p w14:paraId="5A3DBFBE" w14:textId="7F6581EB" w:rsidR="00421306" w:rsidRPr="0026653F" w:rsidRDefault="00421306" w:rsidP="00C618DD">
      <w:pPr>
        <w:suppressAutoHyphens/>
        <w:ind w:right="131"/>
        <w:jc w:val="center"/>
        <w:rPr>
          <w:szCs w:val="22"/>
          <w:lang w:val="fr-FR"/>
        </w:rPr>
      </w:pPr>
      <w:proofErr w:type="gramStart"/>
      <w:r w:rsidRPr="0026653F">
        <w:rPr>
          <w:szCs w:val="22"/>
          <w:lang w:val="fr-FR"/>
        </w:rPr>
        <w:t>CHAPITRE VI</w:t>
      </w:r>
      <w:proofErr w:type="gramEnd"/>
    </w:p>
    <w:p w14:paraId="0DF1B065" w14:textId="1489A401" w:rsidR="00421306" w:rsidRPr="0026653F" w:rsidRDefault="00421306" w:rsidP="00C618DD">
      <w:pPr>
        <w:suppressAutoHyphens/>
        <w:ind w:right="131"/>
        <w:jc w:val="center"/>
        <w:rPr>
          <w:szCs w:val="22"/>
          <w:lang w:val="fr-FR"/>
        </w:rPr>
      </w:pPr>
      <w:r w:rsidRPr="0026653F">
        <w:rPr>
          <w:szCs w:val="22"/>
          <w:lang w:val="fr-FR"/>
        </w:rPr>
        <w:t>MODIFICATIONS ET ENTRÉE EN VIGUEUR</w:t>
      </w:r>
    </w:p>
    <w:p w14:paraId="0C08DA67" w14:textId="77777777" w:rsidR="00421306" w:rsidRPr="0026653F" w:rsidRDefault="00421306" w:rsidP="00C618DD">
      <w:pPr>
        <w:suppressAutoHyphens/>
        <w:jc w:val="left"/>
        <w:rPr>
          <w:szCs w:val="22"/>
          <w:lang w:val="fr-FR"/>
        </w:rPr>
      </w:pPr>
    </w:p>
    <w:p w14:paraId="4AAF4E60" w14:textId="77777777" w:rsidR="00421306" w:rsidRPr="0026653F" w:rsidRDefault="00421306" w:rsidP="00C618DD">
      <w:pPr>
        <w:rPr>
          <w:szCs w:val="22"/>
          <w:u w:val="single"/>
          <w:lang w:val="fr-FR" w:eastAsia="es-ES"/>
        </w:rPr>
      </w:pPr>
      <w:r w:rsidRPr="0026653F">
        <w:rPr>
          <w:szCs w:val="22"/>
          <w:u w:val="single"/>
          <w:lang w:val="fr-FR" w:eastAsia="es-ES"/>
        </w:rPr>
        <w:t xml:space="preserve">Article 14 </w:t>
      </w:r>
    </w:p>
    <w:p w14:paraId="425E921D" w14:textId="77777777" w:rsidR="00421306" w:rsidRPr="0026653F" w:rsidRDefault="00421306" w:rsidP="00C618DD">
      <w:pPr>
        <w:suppressAutoHyphens/>
        <w:jc w:val="left"/>
        <w:rPr>
          <w:szCs w:val="22"/>
          <w:lang w:val="fr-FR"/>
        </w:rPr>
      </w:pPr>
    </w:p>
    <w:p w14:paraId="41184930" w14:textId="77777777" w:rsidR="00421306" w:rsidRPr="0026653F" w:rsidRDefault="00421306" w:rsidP="006D430D">
      <w:pPr>
        <w:rPr>
          <w:szCs w:val="22"/>
          <w:lang w:val="fr-FR"/>
        </w:rPr>
      </w:pPr>
      <w:r w:rsidRPr="0026653F">
        <w:rPr>
          <w:szCs w:val="22"/>
          <w:lang w:val="fr-FR"/>
        </w:rPr>
        <w:tab/>
        <w:t xml:space="preserve">Le présent Statut peut être modifié par l’Assemblée générale de l’Organisation des États Américains à son initiative ou sur la demande de la CIRDN. </w:t>
      </w:r>
    </w:p>
    <w:p w14:paraId="5BBC8A6E" w14:textId="77777777" w:rsidR="00421306" w:rsidRPr="0026653F" w:rsidRDefault="00421306" w:rsidP="00C618DD">
      <w:pPr>
        <w:suppressAutoHyphens/>
        <w:jc w:val="left"/>
        <w:rPr>
          <w:szCs w:val="22"/>
          <w:lang w:val="fr-FR"/>
        </w:rPr>
      </w:pPr>
    </w:p>
    <w:p w14:paraId="6B178F8D" w14:textId="77777777" w:rsidR="00421306" w:rsidRPr="0026653F" w:rsidRDefault="00421306" w:rsidP="00C618DD">
      <w:pPr>
        <w:rPr>
          <w:szCs w:val="22"/>
          <w:u w:val="single"/>
          <w:lang w:val="fr-FR" w:eastAsia="es-ES"/>
        </w:rPr>
      </w:pPr>
      <w:r w:rsidRPr="0026653F">
        <w:rPr>
          <w:szCs w:val="22"/>
          <w:u w:val="single"/>
          <w:lang w:val="fr-FR" w:eastAsia="es-ES"/>
        </w:rPr>
        <w:t>Article 15</w:t>
      </w:r>
    </w:p>
    <w:p w14:paraId="01EAFC27" w14:textId="77777777" w:rsidR="00421306" w:rsidRPr="0026653F" w:rsidRDefault="00421306" w:rsidP="00C618DD">
      <w:pPr>
        <w:suppressAutoHyphens/>
        <w:jc w:val="left"/>
        <w:rPr>
          <w:szCs w:val="22"/>
          <w:lang w:val="fr-FR"/>
        </w:rPr>
      </w:pPr>
    </w:p>
    <w:p w14:paraId="2ED8153F" w14:textId="77777777" w:rsidR="00421306" w:rsidRPr="0026653F" w:rsidRDefault="00421306" w:rsidP="00C618DD">
      <w:pPr>
        <w:rPr>
          <w:lang w:val="fr-FR"/>
        </w:rPr>
      </w:pPr>
      <w:r w:rsidRPr="0026653F">
        <w:rPr>
          <w:szCs w:val="22"/>
          <w:lang w:val="fr-FR"/>
        </w:rPr>
        <w:tab/>
        <w:t>Le présent Statut entrera en vigueur à la date de son adoption par l’Assemblée générale de l’OEA.</w:t>
      </w:r>
    </w:p>
    <w:p w14:paraId="66444AE6" w14:textId="77777777" w:rsidR="005A40EC" w:rsidRPr="0026653F" w:rsidRDefault="005A40EC" w:rsidP="00C618DD">
      <w:pPr>
        <w:suppressAutoHyphens/>
        <w:jc w:val="left"/>
        <w:rPr>
          <w:szCs w:val="22"/>
          <w:lang w:val="fr-FR"/>
        </w:rPr>
      </w:pPr>
      <w:r w:rsidRPr="0026653F">
        <w:rPr>
          <w:szCs w:val="22"/>
          <w:lang w:val="fr-FR"/>
        </w:rPr>
        <w:br w:type="page"/>
      </w:r>
    </w:p>
    <w:p w14:paraId="64FA50EA" w14:textId="77777777" w:rsidR="005A40EC" w:rsidRPr="00CC5D38" w:rsidRDefault="005A40EC" w:rsidP="00C618DD">
      <w:pPr>
        <w:suppressAutoHyphens/>
        <w:jc w:val="center"/>
        <w:rPr>
          <w:color w:val="000000"/>
          <w:sz w:val="20"/>
          <w:lang w:val="fr-FR" w:eastAsia="ar-SA"/>
        </w:rPr>
      </w:pPr>
      <w:r w:rsidRPr="00CC5D38">
        <w:rPr>
          <w:color w:val="000000"/>
          <w:sz w:val="20"/>
          <w:lang w:val="fr-FR" w:eastAsia="ar-SA"/>
        </w:rPr>
        <w:lastRenderedPageBreak/>
        <w:t>NOTES DE BAS DE PAGE</w:t>
      </w:r>
    </w:p>
    <w:p w14:paraId="71FF0868" w14:textId="77777777" w:rsidR="005A40EC" w:rsidRPr="00CC5D38" w:rsidRDefault="005A40EC" w:rsidP="00C618DD">
      <w:pPr>
        <w:suppressAutoHyphens/>
        <w:jc w:val="left"/>
        <w:rPr>
          <w:color w:val="000000"/>
          <w:sz w:val="20"/>
          <w:lang w:val="fr-FR" w:eastAsia="ar-SA"/>
        </w:rPr>
      </w:pPr>
    </w:p>
    <w:p w14:paraId="5FF27118" w14:textId="77777777" w:rsidR="005A40EC" w:rsidRPr="00CC5D38" w:rsidRDefault="005A40EC" w:rsidP="00C618DD">
      <w:pPr>
        <w:suppressAutoHyphens/>
        <w:jc w:val="left"/>
        <w:rPr>
          <w:color w:val="000000"/>
          <w:sz w:val="20"/>
          <w:lang w:val="fr-FR" w:eastAsia="ar-SA"/>
        </w:rPr>
      </w:pPr>
    </w:p>
    <w:p w14:paraId="72E99489" w14:textId="77777777" w:rsidR="005A40EC" w:rsidRPr="00CC5D38" w:rsidRDefault="005A40EC" w:rsidP="00C618DD">
      <w:pPr>
        <w:ind w:firstLine="720"/>
        <w:rPr>
          <w:sz w:val="20"/>
          <w:lang w:val="fr-FR" w:eastAsia="es-ES"/>
        </w:rPr>
      </w:pPr>
      <w:r w:rsidRPr="00CC5D38">
        <w:rPr>
          <w:sz w:val="20"/>
          <w:lang w:val="fr-FR" w:eastAsia="es-ES"/>
        </w:rPr>
        <w:t>1.</w:t>
      </w:r>
      <w:r w:rsidRPr="00CC5D38">
        <w:rPr>
          <w:sz w:val="20"/>
          <w:lang w:val="fr-FR" w:eastAsia="es-ES"/>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05F43E6A" w14:textId="77777777" w:rsidR="005A40EC" w:rsidRPr="00CC5D38" w:rsidRDefault="005A40EC" w:rsidP="00C618DD">
      <w:pPr>
        <w:rPr>
          <w:sz w:val="20"/>
          <w:lang w:val="fr-FR" w:eastAsia="es-ES"/>
        </w:rPr>
      </w:pPr>
    </w:p>
    <w:p w14:paraId="060B18B1" w14:textId="7C1D052D" w:rsidR="005A40EC" w:rsidRPr="00CC5D38" w:rsidRDefault="005A40EC" w:rsidP="00C618DD">
      <w:pPr>
        <w:ind w:firstLine="720"/>
        <w:rPr>
          <w:sz w:val="20"/>
          <w:lang w:val="fr-FR" w:eastAsia="es-ES"/>
        </w:rPr>
      </w:pPr>
      <w:r w:rsidRPr="00CC5D38">
        <w:rPr>
          <w:sz w:val="20"/>
          <w:lang w:val="fr-FR" w:eastAsia="es-ES"/>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72BEE9E8" w14:textId="77777777" w:rsidR="005A40EC" w:rsidRPr="00CC5D38" w:rsidRDefault="005A40EC" w:rsidP="00C618DD">
      <w:pPr>
        <w:rPr>
          <w:sz w:val="20"/>
          <w:lang w:val="fr-FR" w:eastAsia="es-ES"/>
        </w:rPr>
      </w:pPr>
    </w:p>
    <w:p w14:paraId="21205E8C" w14:textId="77777777" w:rsidR="005A40EC" w:rsidRPr="00CC5D38" w:rsidRDefault="005A40EC" w:rsidP="00C618DD">
      <w:pPr>
        <w:ind w:firstLine="720"/>
        <w:rPr>
          <w:sz w:val="20"/>
          <w:lang w:val="fr-FR" w:eastAsia="es-ES"/>
        </w:rPr>
      </w:pPr>
      <w:r w:rsidRPr="00CC5D38">
        <w:rPr>
          <w:sz w:val="20"/>
          <w:lang w:val="fr-FR" w:eastAsia="es-ES"/>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71D7DEAC" w14:textId="77777777" w:rsidR="005A40EC" w:rsidRPr="00CC5D38" w:rsidRDefault="005A40EC" w:rsidP="00C618DD">
      <w:pPr>
        <w:rPr>
          <w:color w:val="000000"/>
          <w:sz w:val="20"/>
          <w:lang w:val="fr-FR" w:eastAsia="ar-SA"/>
        </w:rPr>
      </w:pPr>
    </w:p>
    <w:p w14:paraId="2BF3ABE0" w14:textId="49E5D586" w:rsidR="006E6FAE" w:rsidRPr="00CC5D38" w:rsidRDefault="006E6FAE" w:rsidP="00C618DD">
      <w:pPr>
        <w:ind w:firstLine="720"/>
        <w:rPr>
          <w:color w:val="000000"/>
          <w:sz w:val="20"/>
          <w:lang w:val="fr-FR" w:eastAsia="ar-SA"/>
        </w:rPr>
      </w:pPr>
      <w:r w:rsidRPr="00CC5D38">
        <w:rPr>
          <w:color w:val="000000"/>
          <w:sz w:val="20"/>
          <w:lang w:val="fr-FR" w:eastAsia="ar-SA"/>
        </w:rPr>
        <w:t>2.</w:t>
      </w:r>
      <w:r w:rsidRPr="00CC5D38">
        <w:rPr>
          <w:color w:val="000000"/>
          <w:sz w:val="20"/>
          <w:lang w:val="fr-FR" w:eastAsia="ar-SA"/>
        </w:rPr>
        <w:tab/>
        <w:t>… de l'Assemblée générale.</w:t>
      </w:r>
    </w:p>
    <w:p w14:paraId="2AEE7CA9" w14:textId="77777777" w:rsidR="006E6FAE" w:rsidRPr="00CC5D38" w:rsidRDefault="006E6FAE" w:rsidP="00F26012">
      <w:pPr>
        <w:rPr>
          <w:color w:val="000000"/>
          <w:sz w:val="20"/>
          <w:lang w:val="fr-FR" w:eastAsia="ar-SA"/>
        </w:rPr>
      </w:pPr>
    </w:p>
    <w:p w14:paraId="01866712" w14:textId="79AA4144" w:rsidR="005A40EC" w:rsidRPr="00CC5D38" w:rsidRDefault="006E6FAE" w:rsidP="00C618DD">
      <w:pPr>
        <w:ind w:firstLine="720"/>
        <w:rPr>
          <w:color w:val="000000"/>
          <w:sz w:val="20"/>
          <w:lang w:val="fr-FR" w:eastAsia="ar-SA"/>
        </w:rPr>
      </w:pPr>
      <w:r w:rsidRPr="00CC5D38">
        <w:rPr>
          <w:color w:val="000000"/>
          <w:sz w:val="20"/>
          <w:lang w:val="fr-FR" w:eastAsia="ar-SA"/>
        </w:rPr>
        <w:t>3</w:t>
      </w:r>
      <w:r w:rsidR="005A40EC" w:rsidRPr="00CC5D38">
        <w:rPr>
          <w:color w:val="000000"/>
          <w:sz w:val="20"/>
          <w:lang w:val="fr-FR" w:eastAsia="ar-SA"/>
        </w:rPr>
        <w:t>.</w:t>
      </w:r>
      <w:r w:rsidR="005A40EC" w:rsidRPr="00CC5D38">
        <w:rPr>
          <w:color w:val="000000"/>
          <w:sz w:val="20"/>
          <w:lang w:val="fr-FR" w:eastAsia="ar-SA"/>
        </w:rPr>
        <w:tab/>
        <w:t xml:space="preserve">… </w:t>
      </w:r>
      <w:r w:rsidR="00483B9D" w:rsidRPr="00CC5D38">
        <w:rPr>
          <w:sz w:val="20"/>
          <w:lang w:val="fr-FR"/>
        </w:rPr>
        <w:t>aux Nations Unies une notification officielle de leur retrait de l’Accord de Paris le 4 novembre 2019. Le retrait prendra effet un an après la remise de la notification</w:t>
      </w:r>
      <w:r w:rsidR="005A40EC" w:rsidRPr="00CC5D38">
        <w:rPr>
          <w:color w:val="000000"/>
          <w:sz w:val="20"/>
          <w:lang w:val="fr-FR" w:eastAsia="ar-SA"/>
        </w:rPr>
        <w:t>.</w:t>
      </w:r>
    </w:p>
    <w:p w14:paraId="1C2CD750" w14:textId="77777777" w:rsidR="005A40EC" w:rsidRPr="00CC5D38" w:rsidRDefault="005A40EC" w:rsidP="00C618DD">
      <w:pPr>
        <w:suppressAutoHyphens/>
        <w:jc w:val="left"/>
        <w:rPr>
          <w:color w:val="000000"/>
          <w:sz w:val="20"/>
          <w:lang w:val="fr-FR" w:eastAsia="ar-SA"/>
        </w:rPr>
      </w:pPr>
    </w:p>
    <w:p w14:paraId="7367FDF8" w14:textId="1599BE94" w:rsidR="005A40EC" w:rsidRPr="00CC5D38" w:rsidRDefault="006E6FAE" w:rsidP="00C618DD">
      <w:pPr>
        <w:ind w:firstLine="720"/>
        <w:rPr>
          <w:color w:val="202124"/>
          <w:sz w:val="20"/>
          <w:lang w:val="fr-FR"/>
        </w:rPr>
      </w:pPr>
      <w:r w:rsidRPr="00CC5D38">
        <w:rPr>
          <w:color w:val="202124"/>
          <w:sz w:val="20"/>
          <w:lang w:val="fr-FR"/>
        </w:rPr>
        <w:t>5</w:t>
      </w:r>
      <w:r w:rsidR="005A40EC" w:rsidRPr="00CC5D38">
        <w:rPr>
          <w:color w:val="202124"/>
          <w:sz w:val="20"/>
          <w:lang w:val="fr-FR"/>
        </w:rPr>
        <w:t>.</w:t>
      </w:r>
      <w:r w:rsidR="005A40EC" w:rsidRPr="00CC5D38">
        <w:rPr>
          <w:color w:val="202124"/>
          <w:sz w:val="20"/>
          <w:lang w:val="fr-FR"/>
        </w:rPr>
        <w:tab/>
        <w:t>…les États-Unis s’opposent au GCM et aux processus connexes. Malheureusement, le Forum mondial sur la migration et le développement (FMMD) a, ces dernières années, servi de véhicule pour faire progresser les objectifs du GCM. En conséquence, les États-Unis ont suspendu en 2018 leur participation et leurs contributions au FMMD.</w:t>
      </w:r>
    </w:p>
    <w:p w14:paraId="32CA2B21" w14:textId="77777777" w:rsidR="00D469AE" w:rsidRPr="00CC5D38" w:rsidRDefault="00D469AE" w:rsidP="00C618DD">
      <w:pPr>
        <w:suppressAutoHyphens/>
        <w:rPr>
          <w:color w:val="000000"/>
          <w:sz w:val="20"/>
          <w:lang w:val="fr-FR"/>
        </w:rPr>
      </w:pPr>
    </w:p>
    <w:p w14:paraId="124A0FD0" w14:textId="003D627A" w:rsidR="005A40EC" w:rsidRPr="00CC5D38" w:rsidRDefault="006C4214" w:rsidP="00C618DD">
      <w:pPr>
        <w:suppressAutoHyphens/>
        <w:ind w:firstLine="720"/>
        <w:rPr>
          <w:bCs/>
          <w:sz w:val="20"/>
          <w:lang w:val="fr-FR"/>
        </w:rPr>
      </w:pPr>
      <w:r>
        <w:rPr>
          <w:color w:val="000000"/>
          <w:sz w:val="20"/>
          <w:lang w:val="fr-FR"/>
        </w:rPr>
        <w:t>8</w:t>
      </w:r>
      <w:r w:rsidR="005A40EC" w:rsidRPr="00CC5D38">
        <w:rPr>
          <w:color w:val="000000"/>
          <w:sz w:val="20"/>
          <w:lang w:val="fr-FR"/>
        </w:rPr>
        <w:t>.</w:t>
      </w:r>
      <w:r w:rsidR="005A40EC" w:rsidRPr="00CC5D38">
        <w:rPr>
          <w:color w:val="000000"/>
          <w:sz w:val="20"/>
          <w:lang w:val="fr-FR"/>
        </w:rPr>
        <w:tab/>
        <w:t>…</w:t>
      </w:r>
      <w:r w:rsidR="005A40EC" w:rsidRPr="00CC5D38">
        <w:rPr>
          <w:sz w:val="20"/>
          <w:lang w:val="fr-FR"/>
        </w:rPr>
        <w:t xml:space="preserve"> </w:t>
      </w:r>
      <w:r w:rsidR="005A40EC" w:rsidRPr="00CC5D38">
        <w:rPr>
          <w:sz w:val="20"/>
          <w:shd w:val="clear" w:color="auto" w:fill="FFFFFF"/>
          <w:lang w:val="fr-FR"/>
        </w:rPr>
        <w:t>de la Croix-Rouge, la Commission économique pour l’Amérique latine et les Caraïbes (</w:t>
      </w:r>
      <w:hyperlink r:id="rId46" w:tgtFrame="_blank" w:history="1">
        <w:r w:rsidR="005A40EC" w:rsidRPr="00CC5D38">
          <w:rPr>
            <w:sz w:val="20"/>
            <w:shd w:val="clear" w:color="auto" w:fill="FFFFFF"/>
            <w:lang w:val="fr-FR"/>
          </w:rPr>
          <w:t>CEPALC</w:t>
        </w:r>
      </w:hyperlink>
      <w:r w:rsidR="005A40EC" w:rsidRPr="00CC5D38">
        <w:rPr>
          <w:sz w:val="20"/>
          <w:shd w:val="clear" w:color="auto" w:fill="FFFFFF"/>
          <w:lang w:val="fr-FR"/>
        </w:rPr>
        <w:t>), la Banque interaméricaine de développement (</w:t>
      </w:r>
      <w:hyperlink r:id="rId47" w:tgtFrame="_blank" w:history="1">
        <w:r w:rsidR="005A40EC" w:rsidRPr="00CC5D38">
          <w:rPr>
            <w:sz w:val="20"/>
            <w:shd w:val="clear" w:color="auto" w:fill="FFFFFF"/>
            <w:lang w:val="fr-FR"/>
          </w:rPr>
          <w:t>BID</w:t>
        </w:r>
      </w:hyperlink>
      <w:r w:rsidR="005A40EC" w:rsidRPr="00CC5D38">
        <w:rPr>
          <w:sz w:val="20"/>
          <w:shd w:val="clear" w:color="auto" w:fill="FFFFFF"/>
          <w:lang w:val="fr-FR"/>
        </w:rPr>
        <w:t>), l’Association andine de développement (</w:t>
      </w:r>
      <w:hyperlink r:id="rId48" w:tgtFrame="_blank" w:history="1">
        <w:r w:rsidR="005A40EC" w:rsidRPr="00CC5D38">
          <w:rPr>
            <w:sz w:val="20"/>
            <w:shd w:val="clear" w:color="auto" w:fill="FFFFFF"/>
            <w:lang w:val="fr-FR"/>
          </w:rPr>
          <w:t>CAF</w:t>
        </w:r>
      </w:hyperlink>
      <w:r w:rsidR="005A40EC" w:rsidRPr="00CC5D38">
        <w:rPr>
          <w:sz w:val="20"/>
          <w:shd w:val="clear" w:color="auto" w:fill="FFFFFF"/>
          <w:lang w:val="fr-FR"/>
        </w:rPr>
        <w:t>), la Banque de développement des Caraïbes (</w:t>
      </w:r>
      <w:hyperlink r:id="rId49" w:tgtFrame="_blank" w:history="1">
        <w:r w:rsidR="005A40EC" w:rsidRPr="00CC5D38">
          <w:rPr>
            <w:sz w:val="20"/>
            <w:shd w:val="clear" w:color="auto" w:fill="FFFFFF"/>
            <w:lang w:val="fr-FR"/>
          </w:rPr>
          <w:t>CDB</w:t>
        </w:r>
      </w:hyperlink>
      <w:r w:rsidR="005A40EC" w:rsidRPr="00CC5D38">
        <w:rPr>
          <w:sz w:val="20"/>
          <w:shd w:val="clear" w:color="auto" w:fill="FFFFFF"/>
          <w:lang w:val="fr-FR"/>
        </w:rPr>
        <w:t>), la Banque centraméricaine d’intégration économique (</w:t>
      </w:r>
      <w:hyperlink r:id="rId50" w:tgtFrame="_blank" w:history="1">
        <w:r w:rsidR="005A40EC" w:rsidRPr="00CC5D38">
          <w:rPr>
            <w:sz w:val="20"/>
            <w:shd w:val="clear" w:color="auto" w:fill="FFFFFF"/>
            <w:lang w:val="fr-FR"/>
          </w:rPr>
          <w:t>BCIE</w:t>
        </w:r>
      </w:hyperlink>
      <w:r w:rsidR="005A40EC" w:rsidRPr="00CC5D38">
        <w:rPr>
          <w:sz w:val="20"/>
          <w:shd w:val="clear" w:color="auto" w:fill="FFFFFF"/>
          <w:lang w:val="fr-FR"/>
        </w:rPr>
        <w:t>), l’Organisation internationale pour les migrations (</w:t>
      </w:r>
      <w:hyperlink r:id="rId51" w:tgtFrame="_blank" w:history="1">
        <w:r w:rsidR="005A40EC" w:rsidRPr="00CC5D38">
          <w:rPr>
            <w:sz w:val="20"/>
            <w:shd w:val="clear" w:color="auto" w:fill="FFFFFF"/>
            <w:lang w:val="fr-FR"/>
          </w:rPr>
          <w:t>OIM</w:t>
        </w:r>
      </w:hyperlink>
      <w:r w:rsidR="005A40EC" w:rsidRPr="00CC5D38">
        <w:rPr>
          <w:sz w:val="20"/>
          <w:shd w:val="clear" w:color="auto" w:fill="FFFFFF"/>
          <w:lang w:val="fr-FR"/>
        </w:rPr>
        <w:t>), l’Organisation internationale du Travail (</w:t>
      </w:r>
      <w:hyperlink r:id="rId52" w:tgtFrame="_blank" w:history="1">
        <w:r w:rsidR="005A40EC" w:rsidRPr="00CC5D38">
          <w:rPr>
            <w:sz w:val="20"/>
            <w:shd w:val="clear" w:color="auto" w:fill="FFFFFF"/>
            <w:lang w:val="fr-FR"/>
          </w:rPr>
          <w:t>OIT</w:t>
        </w:r>
      </w:hyperlink>
      <w:r w:rsidR="005A40EC" w:rsidRPr="00CC5D38">
        <w:rPr>
          <w:sz w:val="20"/>
          <w:shd w:val="clear" w:color="auto" w:fill="FFFFFF"/>
          <w:lang w:val="fr-FR"/>
        </w:rPr>
        <w:t>), le Programme des Nations Unies pour le développement (</w:t>
      </w:r>
      <w:hyperlink r:id="rId53" w:tgtFrame="_blank" w:history="1">
        <w:r w:rsidR="005A40EC" w:rsidRPr="00CC5D38">
          <w:rPr>
            <w:sz w:val="20"/>
            <w:shd w:val="clear" w:color="auto" w:fill="FFFFFF"/>
            <w:lang w:val="fr-FR"/>
          </w:rPr>
          <w:t>PNUD</w:t>
        </w:r>
      </w:hyperlink>
      <w:r w:rsidR="005A40EC" w:rsidRPr="00CC5D38">
        <w:rPr>
          <w:sz w:val="20"/>
          <w:shd w:val="clear" w:color="auto" w:fill="FFFFFF"/>
          <w:lang w:val="fr-FR"/>
        </w:rPr>
        <w:t>)</w:t>
      </w:r>
      <w:r w:rsidR="005A40EC" w:rsidRPr="00CC5D38">
        <w:rPr>
          <w:b/>
          <w:bCs/>
          <w:sz w:val="20"/>
          <w:shd w:val="clear" w:color="auto" w:fill="FFFFFF"/>
          <w:lang w:val="fr-FR"/>
        </w:rPr>
        <w:t>,</w:t>
      </w:r>
      <w:r w:rsidR="005A40EC" w:rsidRPr="00CC5D38">
        <w:rPr>
          <w:bCs/>
          <w:sz w:val="20"/>
          <w:shd w:val="clear" w:color="auto" w:fill="FFFFFF"/>
          <w:lang w:val="fr-FR"/>
        </w:rPr>
        <w:t xml:space="preserve"> </w:t>
      </w:r>
      <w:r w:rsidR="005A40EC" w:rsidRPr="00CC5D38">
        <w:rPr>
          <w:sz w:val="20"/>
          <w:shd w:val="clear" w:color="auto" w:fill="FFFFFF"/>
          <w:lang w:val="fr-FR"/>
        </w:rPr>
        <w:t>l’Initiative Casques blancs, l’Agence caribéenne de gestion des urgences en cas de catastrophe (CDEMA), le Centre pour la prévention des catastrophes naturelles en Amérique centrale (CEPREDENAC), la Commission andine de prévention et d’assistance en cas de catastrophes (CAPRADE) et la Réunion des ministres et hauts fonctionnaires chargés de la gestion intégrale des risques du MERCOSUR (RMAGIR).</w:t>
      </w:r>
    </w:p>
    <w:p w14:paraId="3E4D5A22" w14:textId="77777777" w:rsidR="005A40EC" w:rsidRPr="0026653F" w:rsidRDefault="005A40EC" w:rsidP="00C618DD">
      <w:pPr>
        <w:suppressAutoHyphens/>
        <w:rPr>
          <w:color w:val="000000"/>
          <w:szCs w:val="22"/>
          <w:lang w:val="fr-FR" w:eastAsia="ar-SA"/>
        </w:rPr>
      </w:pPr>
    </w:p>
    <w:p w14:paraId="38878D57" w14:textId="77777777" w:rsidR="005A40EC" w:rsidRPr="0026653F" w:rsidRDefault="005A40EC" w:rsidP="00C618DD">
      <w:pPr>
        <w:rPr>
          <w:szCs w:val="22"/>
          <w:lang w:val="fr-FR"/>
        </w:rPr>
      </w:pPr>
    </w:p>
    <w:p w14:paraId="434604EB" w14:textId="77777777" w:rsidR="00BB2BAA" w:rsidRPr="0026653F" w:rsidRDefault="00BB2BAA" w:rsidP="00C618DD">
      <w:pPr>
        <w:jc w:val="center"/>
        <w:outlineLvl w:val="0"/>
        <w:rPr>
          <w:szCs w:val="22"/>
          <w:lang w:val="fr-FR" w:eastAsia="zh-TW"/>
        </w:rPr>
      </w:pPr>
    </w:p>
    <w:p w14:paraId="70377BB1" w14:textId="77777777" w:rsidR="00E302D9" w:rsidRPr="0026653F" w:rsidRDefault="00E302D9" w:rsidP="00C618DD">
      <w:pPr>
        <w:rPr>
          <w:szCs w:val="22"/>
          <w:lang w:val="fr-FR"/>
        </w:rPr>
        <w:sectPr w:rsidR="00E302D9" w:rsidRPr="0026653F" w:rsidSect="00FE7DD6">
          <w:footerReference w:type="default" r:id="rId54"/>
          <w:headerReference w:type="first" r:id="rId55"/>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1B912AB7" w14:textId="6DED605C" w:rsidR="00B84A8F" w:rsidRPr="0026653F" w:rsidRDefault="00E302D9" w:rsidP="00C618DD">
      <w:pPr>
        <w:pStyle w:val="Heading1"/>
        <w:rPr>
          <w:szCs w:val="22"/>
          <w:lang w:val="fr-FR"/>
        </w:rPr>
      </w:pPr>
      <w:bookmarkStart w:id="41" w:name="_Toc74732022"/>
      <w:r w:rsidRPr="0026653F">
        <w:rPr>
          <w:rStyle w:val="Heading1Char"/>
          <w:szCs w:val="22"/>
          <w:lang w:val="fr-FR"/>
        </w:rPr>
        <w:lastRenderedPageBreak/>
        <w:t>AG/RES. 2956 (L-O/20)</w:t>
      </w:r>
      <w:r w:rsidRPr="0026653F">
        <w:rPr>
          <w:rStyle w:val="Heading1Char"/>
          <w:szCs w:val="22"/>
          <w:lang w:val="fr-FR"/>
        </w:rPr>
        <w:br/>
      </w:r>
      <w:r w:rsidRPr="0026653F">
        <w:rPr>
          <w:rStyle w:val="Heading1Char"/>
          <w:szCs w:val="22"/>
          <w:lang w:val="fr-FR"/>
        </w:rPr>
        <w:br/>
      </w:r>
      <w:r w:rsidR="00B84A8F" w:rsidRPr="0026653F">
        <w:rPr>
          <w:szCs w:val="22"/>
          <w:lang w:val="fr-FR"/>
        </w:rPr>
        <w:t xml:space="preserve">DÉFIS POUR LA SÉCURITÉ ALIMENTAIRE ET NUTRITIONNELLE DANS LES AMÉRIQUES FACE À LA PANDÉMIE DE COVID-19 DANS LE CADRE </w:t>
      </w:r>
      <w:r w:rsidR="00D81519" w:rsidRPr="0026653F">
        <w:rPr>
          <w:szCs w:val="22"/>
          <w:lang w:val="fr-FR"/>
        </w:rPr>
        <w:br/>
      </w:r>
      <w:r w:rsidR="00B84A8F" w:rsidRPr="0026653F">
        <w:rPr>
          <w:szCs w:val="22"/>
          <w:lang w:val="fr-FR"/>
        </w:rPr>
        <w:t>DU PLAN D’ACTION</w:t>
      </w:r>
      <w:r w:rsidR="004B71A6" w:rsidRPr="0026653F">
        <w:rPr>
          <w:szCs w:val="22"/>
          <w:lang w:val="fr-FR"/>
        </w:rPr>
        <w:t xml:space="preserve"> D</w:t>
      </w:r>
      <w:r w:rsidR="00560227" w:rsidRPr="0026653F">
        <w:rPr>
          <w:szCs w:val="22"/>
          <w:lang w:val="fr-FR"/>
        </w:rPr>
        <w:t>E</w:t>
      </w:r>
      <w:r w:rsidR="00B84A8F" w:rsidRPr="0026653F">
        <w:rPr>
          <w:szCs w:val="22"/>
          <w:lang w:val="fr-FR"/>
        </w:rPr>
        <w:t xml:space="preserve"> GUATEMALA 2019</w:t>
      </w:r>
      <w:r w:rsidR="00B84A8F" w:rsidRPr="0026653F">
        <w:rPr>
          <w:szCs w:val="22"/>
          <w:u w:val="single"/>
          <w:vertAlign w:val="superscript"/>
          <w:lang w:val="fr-FR"/>
        </w:rPr>
        <w:footnoteReference w:id="50"/>
      </w:r>
      <w:r w:rsidR="00B84A8F" w:rsidRPr="0026653F">
        <w:rPr>
          <w:szCs w:val="22"/>
          <w:vertAlign w:val="superscript"/>
          <w:lang w:val="fr-FR"/>
        </w:rPr>
        <w:t>/</w:t>
      </w:r>
      <w:r w:rsidR="007B6A40" w:rsidRPr="0026653F">
        <w:rPr>
          <w:rStyle w:val="FootnoteReference"/>
          <w:szCs w:val="22"/>
          <w:u w:val="single"/>
          <w:vertAlign w:val="superscript"/>
          <w:lang w:val="fr-FR"/>
        </w:rPr>
        <w:footnoteReference w:id="51"/>
      </w:r>
      <w:r w:rsidR="007B6A40" w:rsidRPr="0026653F">
        <w:rPr>
          <w:szCs w:val="22"/>
          <w:vertAlign w:val="superscript"/>
          <w:lang w:val="fr-FR"/>
        </w:rPr>
        <w:t>/</w:t>
      </w:r>
      <w:bookmarkEnd w:id="41"/>
    </w:p>
    <w:p w14:paraId="2B207A3C" w14:textId="77777777" w:rsidR="00B84A8F" w:rsidRPr="0026653F" w:rsidRDefault="00B84A8F" w:rsidP="00C618DD">
      <w:pPr>
        <w:rPr>
          <w:bCs/>
          <w:color w:val="000000"/>
          <w:szCs w:val="22"/>
          <w:lang w:val="fr-FR"/>
        </w:rPr>
      </w:pPr>
    </w:p>
    <w:p w14:paraId="17FE1BC7" w14:textId="77777777" w:rsidR="00B84A8F" w:rsidRPr="0026653F" w:rsidRDefault="00B84A8F" w:rsidP="00C618DD">
      <w:pPr>
        <w:jc w:val="center"/>
        <w:rPr>
          <w:szCs w:val="22"/>
          <w:lang w:val="fr-FR" w:eastAsia="es-ES"/>
        </w:rPr>
      </w:pPr>
      <w:r w:rsidRPr="0026653F">
        <w:rPr>
          <w:szCs w:val="22"/>
          <w:lang w:val="fr-FR" w:eastAsia="es-ES"/>
        </w:rPr>
        <w:t>(Résolution adoptée à la première séance plénière, le 20 octobre 2020)</w:t>
      </w:r>
    </w:p>
    <w:p w14:paraId="0A7C5BD1" w14:textId="77777777" w:rsidR="00B84A8F" w:rsidRPr="0026653F" w:rsidRDefault="00B84A8F" w:rsidP="00C618DD">
      <w:pPr>
        <w:suppressAutoHyphens/>
        <w:snapToGrid w:val="0"/>
        <w:jc w:val="left"/>
        <w:rPr>
          <w:szCs w:val="22"/>
          <w:lang w:val="fr-FR"/>
        </w:rPr>
      </w:pPr>
    </w:p>
    <w:p w14:paraId="5FDB0F14" w14:textId="77777777" w:rsidR="00B84A8F" w:rsidRPr="0026653F" w:rsidRDefault="00B84A8F" w:rsidP="00C618DD">
      <w:pPr>
        <w:jc w:val="left"/>
        <w:rPr>
          <w:bCs/>
          <w:color w:val="000000"/>
          <w:szCs w:val="22"/>
          <w:lang w:val="fr-FR"/>
        </w:rPr>
      </w:pPr>
    </w:p>
    <w:p w14:paraId="71DE6E45" w14:textId="77777777" w:rsidR="00B84A8F" w:rsidRPr="0026653F" w:rsidRDefault="00B84A8F" w:rsidP="00C618DD">
      <w:pPr>
        <w:ind w:firstLine="720"/>
        <w:rPr>
          <w:bCs/>
          <w:color w:val="000000"/>
          <w:szCs w:val="22"/>
          <w:lang w:val="fr-FR"/>
        </w:rPr>
      </w:pPr>
      <w:r w:rsidRPr="0026653F">
        <w:rPr>
          <w:bCs/>
          <w:color w:val="000000"/>
          <w:szCs w:val="22"/>
          <w:lang w:val="fr-FR"/>
        </w:rPr>
        <w:t>L’ASSEMBLÉE GÉNÉRALE,</w:t>
      </w:r>
    </w:p>
    <w:p w14:paraId="7D393E81" w14:textId="77777777" w:rsidR="00B84A8F" w:rsidRPr="0026653F" w:rsidRDefault="00B84A8F" w:rsidP="00C618DD">
      <w:pPr>
        <w:rPr>
          <w:bCs/>
          <w:color w:val="000000"/>
          <w:szCs w:val="22"/>
          <w:lang w:val="fr-FR"/>
        </w:rPr>
      </w:pPr>
    </w:p>
    <w:p w14:paraId="181FDB5E" w14:textId="632990FD" w:rsidR="00B84A8F" w:rsidRPr="0026653F" w:rsidRDefault="00B84A8F" w:rsidP="00C618DD">
      <w:pPr>
        <w:rPr>
          <w:bCs/>
          <w:color w:val="000000"/>
          <w:szCs w:val="22"/>
          <w:lang w:val="fr-FR"/>
        </w:rPr>
      </w:pPr>
      <w:r w:rsidRPr="0026653F">
        <w:rPr>
          <w:bCs/>
          <w:color w:val="000000"/>
          <w:szCs w:val="22"/>
          <w:lang w:val="fr-FR"/>
        </w:rPr>
        <w:tab/>
        <w:t>EXPRIMANT sa solidarité et ses condoléances aux habitants des Amériques qui subissent les conséquences néfastes de la pandémie de COVID-19, en particulier à ceux qui ont contracté la maladie, à ceux dont les moyens de subsistance ont été affectés par la crise, ainsi qu’à ceux qui ont subi la perte de membres de leur famille</w:t>
      </w:r>
      <w:r w:rsidR="0093382B" w:rsidRPr="0026653F">
        <w:rPr>
          <w:bCs/>
          <w:color w:val="000000"/>
          <w:szCs w:val="22"/>
          <w:lang w:val="fr-FR"/>
        </w:rPr>
        <w:t>,</w:t>
      </w:r>
    </w:p>
    <w:p w14:paraId="192F6C68" w14:textId="77777777" w:rsidR="00B84A8F" w:rsidRPr="0026653F" w:rsidRDefault="00B84A8F" w:rsidP="00C618DD">
      <w:pPr>
        <w:rPr>
          <w:bCs/>
          <w:color w:val="000000"/>
          <w:szCs w:val="22"/>
          <w:lang w:val="fr-FR"/>
        </w:rPr>
      </w:pPr>
    </w:p>
    <w:p w14:paraId="4B5EA1A8" w14:textId="04B74DCD" w:rsidR="00B84A8F" w:rsidRPr="0026653F" w:rsidRDefault="00B84A8F" w:rsidP="00C618DD">
      <w:pPr>
        <w:rPr>
          <w:bCs/>
          <w:color w:val="000000"/>
          <w:szCs w:val="22"/>
          <w:lang w:val="fr-FR"/>
        </w:rPr>
      </w:pPr>
      <w:r w:rsidRPr="0026653F">
        <w:rPr>
          <w:bCs/>
          <w:color w:val="000000"/>
          <w:szCs w:val="22"/>
          <w:lang w:val="fr-FR"/>
        </w:rPr>
        <w:tab/>
        <w:t xml:space="preserve">EXPRIMANT ÉGALEMENT sa reconnaissance et son soutien sincères pour le dévouement, les efforts et les sacrifices, au-delà de l’appel du devoir, des professionnels </w:t>
      </w:r>
      <w:r w:rsidR="003E6BED" w:rsidRPr="0026653F">
        <w:rPr>
          <w:bCs/>
          <w:color w:val="000000"/>
          <w:szCs w:val="22"/>
          <w:lang w:val="fr-FR"/>
        </w:rPr>
        <w:t xml:space="preserve">et personnels </w:t>
      </w:r>
      <w:r w:rsidRPr="0026653F">
        <w:rPr>
          <w:bCs/>
          <w:color w:val="000000"/>
          <w:szCs w:val="22"/>
          <w:lang w:val="fr-FR"/>
        </w:rPr>
        <w:t>de la santé et des autres travailleurs de première ligne concernés dans leur réponse à la pandémie de COVID-1</w:t>
      </w:r>
      <w:r w:rsidR="00A02ABA" w:rsidRPr="0026653F">
        <w:rPr>
          <w:bCs/>
          <w:color w:val="000000"/>
          <w:szCs w:val="22"/>
          <w:lang w:val="fr-FR"/>
        </w:rPr>
        <w:t>9</w:t>
      </w:r>
      <w:r w:rsidR="002B1AB0" w:rsidRPr="0026653F">
        <w:rPr>
          <w:bCs/>
          <w:color w:val="000000"/>
          <w:szCs w:val="22"/>
          <w:lang w:val="fr-FR"/>
        </w:rPr>
        <w:t>,</w:t>
      </w:r>
    </w:p>
    <w:p w14:paraId="086C75A3" w14:textId="77777777" w:rsidR="00B84A8F" w:rsidRPr="0026653F" w:rsidRDefault="00B84A8F" w:rsidP="00C618DD">
      <w:pPr>
        <w:rPr>
          <w:bCs/>
          <w:color w:val="000000"/>
          <w:szCs w:val="22"/>
          <w:lang w:val="fr-FR"/>
        </w:rPr>
      </w:pPr>
    </w:p>
    <w:p w14:paraId="43E9AC41" w14:textId="39DD8294" w:rsidR="00B84A8F" w:rsidRPr="0026653F" w:rsidRDefault="00B84A8F" w:rsidP="00C618DD">
      <w:pPr>
        <w:rPr>
          <w:bCs/>
          <w:color w:val="000000"/>
          <w:szCs w:val="22"/>
          <w:lang w:val="fr-FR"/>
        </w:rPr>
      </w:pPr>
      <w:r w:rsidRPr="0026653F">
        <w:rPr>
          <w:bCs/>
          <w:color w:val="000000"/>
          <w:szCs w:val="22"/>
          <w:lang w:val="fr-FR"/>
        </w:rPr>
        <w:tab/>
        <w:t>PROFOND</w:t>
      </w:r>
      <w:r w:rsidR="00A02ABA" w:rsidRPr="0026653F">
        <w:rPr>
          <w:bCs/>
          <w:color w:val="000000"/>
          <w:szCs w:val="22"/>
          <w:lang w:val="fr-FR"/>
        </w:rPr>
        <w:t>É</w:t>
      </w:r>
      <w:r w:rsidRPr="0026653F">
        <w:rPr>
          <w:bCs/>
          <w:color w:val="000000"/>
          <w:szCs w:val="22"/>
          <w:lang w:val="fr-FR"/>
        </w:rPr>
        <w:t xml:space="preserve">MENT PRÉOCCUPÉE par l’impact socioéconomique de la pandémie de COVID-19, qui menace la sécurité alimentaire et nutritionnelle des pays des Amériques, y compris son impact disproportionné sur les femmes et les filles et leur accès aux soins de santé, à l’éducation, aux services publics de base et aux services sociaux et financiers, et qui aggrave les inégalités </w:t>
      </w:r>
      <w:r w:rsidR="002B1AB0" w:rsidRPr="0026653F">
        <w:rPr>
          <w:bCs/>
          <w:color w:val="000000"/>
          <w:szCs w:val="22"/>
          <w:lang w:val="fr-FR"/>
        </w:rPr>
        <w:t>actuelles</w:t>
      </w:r>
      <w:r w:rsidRPr="0026653F">
        <w:rPr>
          <w:bCs/>
          <w:color w:val="000000"/>
          <w:szCs w:val="22"/>
          <w:lang w:val="fr-FR"/>
        </w:rPr>
        <w:t xml:space="preserve"> ainsi que la pauvreté, la pauvreté absolue, la malnutrition et la faim, en particulier chez les plus vulnérables</w:t>
      </w:r>
      <w:r w:rsidR="002B1AB0" w:rsidRPr="0026653F">
        <w:rPr>
          <w:bCs/>
          <w:color w:val="000000"/>
          <w:szCs w:val="22"/>
          <w:lang w:val="fr-FR"/>
        </w:rPr>
        <w:t>,</w:t>
      </w:r>
    </w:p>
    <w:p w14:paraId="768222BC" w14:textId="77777777" w:rsidR="00B84A8F" w:rsidRPr="0026653F" w:rsidRDefault="00B84A8F" w:rsidP="00C618DD">
      <w:pPr>
        <w:rPr>
          <w:bCs/>
          <w:color w:val="000000"/>
          <w:szCs w:val="22"/>
          <w:lang w:val="fr-FR"/>
        </w:rPr>
      </w:pPr>
    </w:p>
    <w:p w14:paraId="797B806D" w14:textId="56359A8C" w:rsidR="00B84A8F" w:rsidRPr="0026653F" w:rsidRDefault="00B84A8F" w:rsidP="00C618DD">
      <w:pPr>
        <w:rPr>
          <w:bCs/>
          <w:color w:val="000000"/>
          <w:szCs w:val="22"/>
          <w:lang w:val="fr-FR"/>
        </w:rPr>
      </w:pPr>
      <w:r w:rsidRPr="0026653F">
        <w:rPr>
          <w:bCs/>
          <w:color w:val="000000"/>
          <w:szCs w:val="22"/>
          <w:lang w:val="fr-FR"/>
        </w:rPr>
        <w:tab/>
        <w:t>CONSIDÉRANT que la Commission économique pour l’Amérique latine et les Caraïbes</w:t>
      </w:r>
      <w:r w:rsidR="00697952" w:rsidRPr="0026653F">
        <w:rPr>
          <w:bCs/>
          <w:color w:val="000000"/>
          <w:szCs w:val="22"/>
          <w:lang w:val="fr-FR"/>
        </w:rPr>
        <w:t xml:space="preserve"> </w:t>
      </w:r>
      <w:r w:rsidRPr="0026653F">
        <w:rPr>
          <w:bCs/>
          <w:color w:val="000000"/>
          <w:szCs w:val="22"/>
          <w:lang w:val="fr-FR"/>
        </w:rPr>
        <w:t xml:space="preserve">prévoit qu’un nombre encore plus important de personnes dans la région vont tomber dans la pauvreté, que le nombre de personnes touchées par la COVID-19 va augmenter et que le nombre de personnes vivant dans la pauvreté absolue pourrait augmenter, ce qui annulerait les progrès réalisés au cours des dix dernières années en termes de croissance économique et de développement durable, de lutte contre l’insécurité </w:t>
      </w:r>
      <w:r w:rsidR="00521EEE" w:rsidRPr="0026653F">
        <w:rPr>
          <w:bCs/>
          <w:color w:val="000000"/>
          <w:szCs w:val="22"/>
          <w:lang w:val="fr-FR"/>
        </w:rPr>
        <w:t xml:space="preserve">alimentaire </w:t>
      </w:r>
      <w:r w:rsidRPr="0026653F">
        <w:rPr>
          <w:bCs/>
          <w:color w:val="000000"/>
          <w:szCs w:val="22"/>
          <w:lang w:val="fr-FR"/>
        </w:rPr>
        <w:t>et l’inégalité et d’accès à l’éducation et à la santé, entre autres</w:t>
      </w:r>
      <w:r w:rsidR="004D0505" w:rsidRPr="0026653F">
        <w:rPr>
          <w:bCs/>
          <w:color w:val="000000"/>
          <w:szCs w:val="22"/>
          <w:lang w:val="fr-FR"/>
        </w:rPr>
        <w:t>. C</w:t>
      </w:r>
      <w:r w:rsidRPr="0026653F">
        <w:rPr>
          <w:bCs/>
          <w:color w:val="000000"/>
          <w:szCs w:val="22"/>
          <w:lang w:val="fr-FR"/>
        </w:rPr>
        <w:t>onsciente par ailleurs que</w:t>
      </w:r>
      <w:r w:rsidR="00521EEE" w:rsidRPr="0026653F">
        <w:rPr>
          <w:bCs/>
          <w:color w:val="000000"/>
          <w:szCs w:val="22"/>
          <w:lang w:val="fr-FR"/>
        </w:rPr>
        <w:t>, selon</w:t>
      </w:r>
      <w:r w:rsidRPr="0026653F">
        <w:rPr>
          <w:bCs/>
          <w:color w:val="000000"/>
          <w:szCs w:val="22"/>
          <w:lang w:val="fr-FR"/>
        </w:rPr>
        <w:t xml:space="preserve"> le Rapport mondial sur les crises alimentaires de 2020</w:t>
      </w:r>
      <w:r w:rsidR="00521EEE" w:rsidRPr="0026653F">
        <w:rPr>
          <w:bCs/>
          <w:color w:val="000000"/>
          <w:szCs w:val="22"/>
          <w:lang w:val="fr-FR"/>
        </w:rPr>
        <w:t xml:space="preserve">, </w:t>
      </w:r>
      <w:r w:rsidRPr="0026653F">
        <w:rPr>
          <w:bCs/>
          <w:color w:val="000000"/>
          <w:szCs w:val="22"/>
          <w:lang w:val="fr-FR"/>
        </w:rPr>
        <w:t xml:space="preserve">l’insécurité alimentaire aiguë et la crise alimentaire </w:t>
      </w:r>
      <w:r w:rsidR="00521EEE" w:rsidRPr="0026653F">
        <w:rPr>
          <w:bCs/>
          <w:color w:val="000000"/>
          <w:szCs w:val="22"/>
          <w:lang w:val="fr-FR"/>
        </w:rPr>
        <w:t xml:space="preserve">auraient </w:t>
      </w:r>
      <w:r w:rsidRPr="0026653F">
        <w:rPr>
          <w:bCs/>
          <w:color w:val="000000"/>
          <w:szCs w:val="22"/>
          <w:lang w:val="fr-FR"/>
        </w:rPr>
        <w:t>touché plus de 18,5 millions de personnes dans les Amériques, et que le Programme alimentaire mondial a averti qu’en raison des effets de la pandémie de COVID-19 et des mesures de confinement, le nombre de personnes souffrant d’insécurité alimentaire dans le monde pourrait doubler si aucune mesure n’est prise</w:t>
      </w:r>
      <w:r w:rsidR="002B1AB0" w:rsidRPr="0026653F">
        <w:rPr>
          <w:bCs/>
          <w:color w:val="000000"/>
          <w:szCs w:val="22"/>
          <w:lang w:val="fr-FR"/>
        </w:rPr>
        <w:t>,</w:t>
      </w:r>
    </w:p>
    <w:p w14:paraId="11FAD8CD" w14:textId="77777777" w:rsidR="00B84A8F" w:rsidRPr="0026653F" w:rsidRDefault="00B84A8F" w:rsidP="00C618DD">
      <w:pPr>
        <w:rPr>
          <w:bCs/>
          <w:color w:val="000000"/>
          <w:szCs w:val="22"/>
          <w:lang w:val="fr-FR"/>
        </w:rPr>
      </w:pPr>
    </w:p>
    <w:p w14:paraId="5F5BE60B" w14:textId="6176BE3B" w:rsidR="00B84A8F" w:rsidRPr="0026653F" w:rsidRDefault="00B84A8F" w:rsidP="00C618DD">
      <w:pPr>
        <w:rPr>
          <w:bCs/>
          <w:color w:val="000000"/>
          <w:szCs w:val="22"/>
          <w:lang w:val="fr-FR"/>
        </w:rPr>
      </w:pPr>
      <w:r w:rsidRPr="0026653F">
        <w:rPr>
          <w:bCs/>
          <w:color w:val="000000"/>
          <w:szCs w:val="22"/>
          <w:lang w:val="fr-FR"/>
        </w:rPr>
        <w:tab/>
        <w:t>RECONNAISSANT que la région a été caractérisée comme étant la plus inégale du monde, où l’incidence de la pauvreté et de la pauvreté absolue est la plus élevée chez les femmes, les personnes âgées, les jeunes et les enfants, ainsi que chez toutes les personnes vivant dans des situations de vulnérabilité et dans des communautés marginalisées, tant rurales qu’urbaines</w:t>
      </w:r>
      <w:r w:rsidR="002B1AB0" w:rsidRPr="0026653F">
        <w:rPr>
          <w:bCs/>
          <w:color w:val="000000"/>
          <w:szCs w:val="22"/>
          <w:lang w:val="fr-FR"/>
        </w:rPr>
        <w:t>,</w:t>
      </w:r>
      <w:r w:rsidRPr="0026653F">
        <w:rPr>
          <w:bCs/>
          <w:color w:val="000000"/>
          <w:szCs w:val="22"/>
          <w:lang w:val="fr-FR"/>
        </w:rPr>
        <w:t xml:space="preserve"> dont la situation de </w:t>
      </w:r>
      <w:r w:rsidRPr="0026653F">
        <w:rPr>
          <w:bCs/>
          <w:color w:val="000000"/>
          <w:szCs w:val="22"/>
          <w:lang w:val="fr-FR"/>
        </w:rPr>
        <w:lastRenderedPageBreak/>
        <w:t>vulnérabilité est exacerbée par la pandémie de COVID-19 et ses effets multidimensionnels et sans précédent, notamment la grave perturbation des sociétés, des économies, du marché du travail, du commerce mondial et de l’éducation, et son impact dévastateur sur les moyens de subsistance et le bien-être des populations</w:t>
      </w:r>
      <w:r w:rsidR="002B1AB0" w:rsidRPr="0026653F">
        <w:rPr>
          <w:bCs/>
          <w:color w:val="000000"/>
          <w:szCs w:val="22"/>
          <w:lang w:val="fr-FR"/>
        </w:rPr>
        <w:t>,</w:t>
      </w:r>
    </w:p>
    <w:p w14:paraId="63952F54" w14:textId="77777777" w:rsidR="00B84A8F" w:rsidRPr="0026653F" w:rsidRDefault="00B84A8F" w:rsidP="00C618DD">
      <w:pPr>
        <w:rPr>
          <w:bCs/>
          <w:color w:val="000000"/>
          <w:szCs w:val="22"/>
          <w:lang w:val="fr-FR"/>
        </w:rPr>
      </w:pPr>
    </w:p>
    <w:p w14:paraId="6D45829A" w14:textId="1E40F8C6" w:rsidR="00B84A8F" w:rsidRPr="0026653F" w:rsidRDefault="00B84A8F" w:rsidP="00C618DD">
      <w:pPr>
        <w:rPr>
          <w:bCs/>
          <w:color w:val="000000"/>
          <w:szCs w:val="22"/>
          <w:lang w:val="fr-FR"/>
        </w:rPr>
      </w:pPr>
      <w:r w:rsidRPr="0026653F">
        <w:rPr>
          <w:bCs/>
          <w:color w:val="000000"/>
          <w:szCs w:val="22"/>
          <w:lang w:val="fr-FR"/>
        </w:rPr>
        <w:tab/>
        <w:t>PROFOND</w:t>
      </w:r>
      <w:r w:rsidR="00521EEE" w:rsidRPr="0026653F">
        <w:rPr>
          <w:bCs/>
          <w:color w:val="000000"/>
          <w:szCs w:val="22"/>
          <w:lang w:val="fr-FR"/>
        </w:rPr>
        <w:t>É</w:t>
      </w:r>
      <w:r w:rsidRPr="0026653F">
        <w:rPr>
          <w:bCs/>
          <w:color w:val="000000"/>
          <w:szCs w:val="22"/>
          <w:lang w:val="fr-FR"/>
        </w:rPr>
        <w:t>MENT PRÉOCCUPÉE par le fait que, bien que les femmes rurales représentent un pourcentage élevé de l’agriculture et de la production alimentaire dans la région et jouent un rôle important pour assurer la sécurité alimentaire et nutritionnelle, elles continuent à vivre dans des conditions d’inégalité sociale et économique, avec des difficultés d’accès aux titres fonciers, au crédit et à l’assistance technique</w:t>
      </w:r>
      <w:r w:rsidR="002B1AB0" w:rsidRPr="0026653F">
        <w:rPr>
          <w:bCs/>
          <w:color w:val="000000"/>
          <w:szCs w:val="22"/>
          <w:lang w:val="fr-FR"/>
        </w:rPr>
        <w:t>,</w:t>
      </w:r>
    </w:p>
    <w:p w14:paraId="1EB04D07" w14:textId="77777777" w:rsidR="00B84A8F" w:rsidRPr="0026653F" w:rsidRDefault="00B84A8F" w:rsidP="00C618DD">
      <w:pPr>
        <w:rPr>
          <w:bCs/>
          <w:color w:val="000000"/>
          <w:szCs w:val="22"/>
          <w:lang w:val="fr-FR"/>
        </w:rPr>
      </w:pPr>
    </w:p>
    <w:p w14:paraId="6C87BB6A" w14:textId="5DC3D44A" w:rsidR="00B84A8F" w:rsidRPr="0026653F" w:rsidRDefault="00B84A8F" w:rsidP="00C618DD">
      <w:pPr>
        <w:rPr>
          <w:bCs/>
          <w:color w:val="000000"/>
          <w:szCs w:val="22"/>
          <w:lang w:val="fr-FR"/>
        </w:rPr>
      </w:pPr>
      <w:r w:rsidRPr="0026653F">
        <w:rPr>
          <w:bCs/>
          <w:color w:val="000000"/>
          <w:szCs w:val="22"/>
          <w:lang w:val="fr-FR"/>
        </w:rPr>
        <w:tab/>
        <w:t xml:space="preserve">TENANT COMPTE des engagements respectifs pris par les États membres dans les instruments internationaux et interaméricains pertinents auxquels ils sont parties, tels que le Protocole additionnel à la Convention américaine relative aux droits de l’homme traitant des droits économiques, sociaux et culturels (Protocole de San Salvador), la Charte sociale des Amériques et son Plan d’action et le Pacte international relatif aux droits économiques, sociaux et culturels des Nations Unies ainsi que les mécanismes et autres instances existant dans le système interaméricain, tels que le Groupe de travail chargé d’analyser les rapports nationaux évoqués dans le Protocole de San Salvador et le Bureau du Rapporteur </w:t>
      </w:r>
      <w:r w:rsidR="00762757" w:rsidRPr="0026653F">
        <w:rPr>
          <w:bCs/>
          <w:color w:val="000000"/>
          <w:szCs w:val="22"/>
          <w:lang w:val="fr-FR"/>
        </w:rPr>
        <w:t xml:space="preserve">spécial </w:t>
      </w:r>
      <w:r w:rsidRPr="0026653F">
        <w:rPr>
          <w:bCs/>
          <w:color w:val="000000"/>
          <w:szCs w:val="22"/>
          <w:lang w:val="fr-FR"/>
        </w:rPr>
        <w:t xml:space="preserve">pour les droits économiques, sociaux, culturels et environnementaux de la Commission interaméricaine des droits de l’homme, qui, grâce à l’élaboration d’indicateurs de progrès, de rapports et d’autres activités, fournissent des outils aux États </w:t>
      </w:r>
      <w:r w:rsidR="0095096B" w:rsidRPr="0026653F">
        <w:rPr>
          <w:bCs/>
          <w:color w:val="000000"/>
          <w:szCs w:val="22"/>
          <w:lang w:val="fr-FR"/>
        </w:rPr>
        <w:t xml:space="preserve">membres </w:t>
      </w:r>
      <w:r w:rsidRPr="0026653F">
        <w:rPr>
          <w:bCs/>
          <w:color w:val="000000"/>
          <w:szCs w:val="22"/>
          <w:lang w:val="fr-FR"/>
        </w:rPr>
        <w:t>sur la voie de la sécurité alimentaire et nutritionnelle</w:t>
      </w:r>
      <w:r w:rsidR="002B1AB0" w:rsidRPr="0026653F">
        <w:rPr>
          <w:bCs/>
          <w:color w:val="000000"/>
          <w:szCs w:val="22"/>
          <w:lang w:val="fr-FR"/>
        </w:rPr>
        <w:t>,</w:t>
      </w:r>
    </w:p>
    <w:p w14:paraId="2E2DC25A" w14:textId="77777777" w:rsidR="00B84A8F" w:rsidRPr="0026653F" w:rsidRDefault="00B84A8F" w:rsidP="00C618DD">
      <w:pPr>
        <w:rPr>
          <w:bCs/>
          <w:color w:val="000000"/>
          <w:szCs w:val="22"/>
          <w:lang w:val="fr-FR"/>
        </w:rPr>
      </w:pPr>
    </w:p>
    <w:p w14:paraId="2C85BF74" w14:textId="3CB40E46" w:rsidR="00B84A8F" w:rsidRPr="0026653F" w:rsidRDefault="00B84A8F" w:rsidP="00C618DD">
      <w:pPr>
        <w:rPr>
          <w:bCs/>
          <w:color w:val="000000"/>
          <w:szCs w:val="22"/>
          <w:lang w:val="fr-FR"/>
        </w:rPr>
      </w:pPr>
      <w:r w:rsidRPr="0026653F">
        <w:rPr>
          <w:bCs/>
          <w:color w:val="000000"/>
          <w:szCs w:val="22"/>
          <w:lang w:val="fr-FR"/>
        </w:rPr>
        <w:tab/>
        <w:t>RAPPELANT les engagements découlant des mandats des Sommets des Amériques en vue de renforcer le secteur agroalimentaire d’une manière durable, intégrale, inclusive et compétitive qui contribue à atteindre la sécurité alimentaire et nutritionnelle, à combattre la malnutrition, et en particulier la sous-alimentation chronique, et à promouvoir des politiques nutritionnelles fondées sur la science et culturellement appropriées pour nos peuples</w:t>
      </w:r>
      <w:r w:rsidR="002B1AB0" w:rsidRPr="0026653F">
        <w:rPr>
          <w:bCs/>
          <w:color w:val="000000"/>
          <w:szCs w:val="22"/>
          <w:lang w:val="fr-FR"/>
        </w:rPr>
        <w:t>,</w:t>
      </w:r>
    </w:p>
    <w:p w14:paraId="220E86EE" w14:textId="77777777" w:rsidR="00B84A8F" w:rsidRPr="0026653F" w:rsidRDefault="00B84A8F" w:rsidP="00C618DD">
      <w:pPr>
        <w:rPr>
          <w:bCs/>
          <w:color w:val="000000"/>
          <w:szCs w:val="22"/>
          <w:lang w:val="fr-FR"/>
        </w:rPr>
      </w:pPr>
    </w:p>
    <w:p w14:paraId="225B1E5F" w14:textId="629462C7" w:rsidR="00B84A8F" w:rsidRPr="0026653F" w:rsidRDefault="00B84A8F" w:rsidP="00C618DD">
      <w:pPr>
        <w:rPr>
          <w:bCs/>
          <w:color w:val="000000"/>
          <w:szCs w:val="22"/>
          <w:lang w:val="fr-FR"/>
        </w:rPr>
      </w:pPr>
      <w:r w:rsidRPr="0026653F">
        <w:rPr>
          <w:bCs/>
          <w:color w:val="000000"/>
          <w:szCs w:val="22"/>
          <w:lang w:val="fr-FR"/>
        </w:rPr>
        <w:tab/>
        <w:t>RÉAFFIRMANT le soutien à la coopération technique internationale en matière d’agriculture par l’intermédiaire de l’Institut interaméricain de coopération pour l’agriculture ainsi que la détermination à compléter nos efforts en matière de renforcement des capacités, d’innovation, d’inclusion et de durabilité dans les secteurs agricole et alimentaire dans le continent tout entier</w:t>
      </w:r>
      <w:r w:rsidR="002B1AB0" w:rsidRPr="0026653F">
        <w:rPr>
          <w:bCs/>
          <w:color w:val="000000"/>
          <w:szCs w:val="22"/>
          <w:lang w:val="fr-FR"/>
        </w:rPr>
        <w:t>,</w:t>
      </w:r>
    </w:p>
    <w:p w14:paraId="1CA8E80C" w14:textId="77777777" w:rsidR="00B84A8F" w:rsidRPr="0026653F" w:rsidRDefault="00B84A8F" w:rsidP="00C618DD">
      <w:pPr>
        <w:rPr>
          <w:bCs/>
          <w:color w:val="000000"/>
          <w:szCs w:val="22"/>
          <w:lang w:val="fr-FR"/>
        </w:rPr>
      </w:pPr>
    </w:p>
    <w:p w14:paraId="16DADD6B" w14:textId="369469A3" w:rsidR="00B84A8F" w:rsidRPr="0026653F" w:rsidRDefault="00B84A8F" w:rsidP="00C618DD">
      <w:pPr>
        <w:rPr>
          <w:bCs/>
          <w:color w:val="000000"/>
          <w:szCs w:val="22"/>
          <w:lang w:val="fr-FR"/>
        </w:rPr>
      </w:pPr>
      <w:r w:rsidRPr="0026653F">
        <w:rPr>
          <w:bCs/>
          <w:color w:val="000000"/>
          <w:szCs w:val="22"/>
          <w:lang w:val="fr-FR"/>
        </w:rPr>
        <w:tab/>
        <w:t xml:space="preserve">RÉITÉRANT l’importance de l’agriculture familiale, en particulier pour les femmes et les jeunes des zones rurales dans les pays en développement afin d’atteindre la sécurité alimentaire et nutritionnelle, de réduire la pauvreté et d’atténuer les effets de la pandémie </w:t>
      </w:r>
      <w:r w:rsidR="0095096B" w:rsidRPr="0026653F">
        <w:rPr>
          <w:bCs/>
          <w:color w:val="000000"/>
          <w:szCs w:val="22"/>
          <w:lang w:val="fr-FR"/>
        </w:rPr>
        <w:t xml:space="preserve">de COVID-19 </w:t>
      </w:r>
      <w:r w:rsidRPr="0026653F">
        <w:rPr>
          <w:bCs/>
          <w:color w:val="000000"/>
          <w:szCs w:val="22"/>
          <w:lang w:val="fr-FR"/>
        </w:rPr>
        <w:t>sur l’alimentation et l’agriculture</w:t>
      </w:r>
      <w:r w:rsidR="00EC5984" w:rsidRPr="0026653F">
        <w:rPr>
          <w:bCs/>
          <w:color w:val="000000"/>
          <w:szCs w:val="22"/>
          <w:lang w:val="fr-FR"/>
        </w:rPr>
        <w:t>,</w:t>
      </w:r>
    </w:p>
    <w:p w14:paraId="656D092B" w14:textId="77777777" w:rsidR="00B84A8F" w:rsidRPr="0026653F" w:rsidRDefault="00B84A8F" w:rsidP="00C618DD">
      <w:pPr>
        <w:rPr>
          <w:bCs/>
          <w:color w:val="000000"/>
          <w:szCs w:val="22"/>
          <w:lang w:val="fr-FR"/>
        </w:rPr>
      </w:pPr>
    </w:p>
    <w:p w14:paraId="23059269" w14:textId="0BC81D9D" w:rsidR="00B84A8F" w:rsidRPr="0026653F" w:rsidRDefault="00B84A8F" w:rsidP="00C618DD">
      <w:pPr>
        <w:rPr>
          <w:bCs/>
          <w:color w:val="000000"/>
          <w:szCs w:val="22"/>
          <w:lang w:val="fr-FR"/>
        </w:rPr>
      </w:pPr>
      <w:r w:rsidRPr="0026653F">
        <w:rPr>
          <w:bCs/>
          <w:color w:val="000000"/>
          <w:szCs w:val="22"/>
          <w:lang w:val="fr-FR"/>
        </w:rPr>
        <w:tab/>
        <w:t>RECONNAISSANT que la situation géographique et les conditions climatiques de certains pays, notamment leur vulnérabilité aux catastrophes naturelles, la superficie limitée des terres arables et l’insuffisance dans l’approvisionnement en eau, entre autres, nuisent à toute augmentation significative de la production agricole et à l’étendue de la sécurité alimentaire et nutritionnelle, en particulier dans les petits États insulaires</w:t>
      </w:r>
      <w:r w:rsidR="008F7F86" w:rsidRPr="0026653F">
        <w:rPr>
          <w:bCs/>
          <w:color w:val="000000"/>
          <w:szCs w:val="22"/>
          <w:lang w:val="fr-FR"/>
        </w:rPr>
        <w:t xml:space="preserve"> à littoral </w:t>
      </w:r>
      <w:r w:rsidRPr="0026653F">
        <w:rPr>
          <w:bCs/>
          <w:color w:val="000000"/>
          <w:szCs w:val="22"/>
          <w:lang w:val="fr-FR"/>
        </w:rPr>
        <w:t>de faible altitude</w:t>
      </w:r>
      <w:r w:rsidR="002D6DBC" w:rsidRPr="0026653F">
        <w:rPr>
          <w:bCs/>
          <w:color w:val="000000"/>
          <w:szCs w:val="22"/>
          <w:lang w:val="fr-FR"/>
        </w:rPr>
        <w:t xml:space="preserve"> et en développement.</w:t>
      </w:r>
      <w:r w:rsidRPr="0026653F">
        <w:rPr>
          <w:bCs/>
          <w:color w:val="000000"/>
          <w:szCs w:val="22"/>
          <w:lang w:val="fr-FR"/>
        </w:rPr>
        <w:t xml:space="preserve"> Cette situation peut être améliorée par des mesures qui introduisent des technologies agricoles nouvelles et émergentes, notamment une agriculture </w:t>
      </w:r>
      <w:r w:rsidR="00F14562" w:rsidRPr="0026653F">
        <w:rPr>
          <w:bCs/>
          <w:color w:val="000000"/>
          <w:szCs w:val="22"/>
          <w:lang w:val="fr-FR"/>
        </w:rPr>
        <w:t>intelligente face a</w:t>
      </w:r>
      <w:r w:rsidRPr="0026653F">
        <w:rPr>
          <w:bCs/>
          <w:color w:val="000000"/>
          <w:szCs w:val="22"/>
          <w:lang w:val="fr-FR"/>
        </w:rPr>
        <w:t xml:space="preserve">u climat, avec un soutien au développement </w:t>
      </w:r>
      <w:r w:rsidRPr="0026653F">
        <w:rPr>
          <w:bCs/>
          <w:color w:val="000000"/>
          <w:szCs w:val="22"/>
          <w:lang w:val="fr-FR"/>
        </w:rPr>
        <w:lastRenderedPageBreak/>
        <w:t xml:space="preserve">des capacités pour les réformes et les politiques nationales, ce qui nécessite un soutien technique et financier des institutions financières et de </w:t>
      </w:r>
      <w:proofErr w:type="gramStart"/>
      <w:r w:rsidRPr="0026653F">
        <w:rPr>
          <w:bCs/>
          <w:color w:val="000000"/>
          <w:szCs w:val="22"/>
          <w:lang w:val="fr-FR"/>
        </w:rPr>
        <w:t>développement internationales</w:t>
      </w:r>
      <w:proofErr w:type="gramEnd"/>
      <w:r w:rsidRPr="0026653F">
        <w:rPr>
          <w:bCs/>
          <w:color w:val="000000"/>
          <w:szCs w:val="22"/>
          <w:lang w:val="fr-FR"/>
        </w:rPr>
        <w:t xml:space="preserve">, </w:t>
      </w:r>
      <w:r w:rsidR="002B1AB0" w:rsidRPr="0026653F">
        <w:rPr>
          <w:bCs/>
          <w:color w:val="000000"/>
          <w:szCs w:val="22"/>
          <w:lang w:val="fr-FR"/>
        </w:rPr>
        <w:t xml:space="preserve">selon </w:t>
      </w:r>
      <w:r w:rsidRPr="0026653F">
        <w:rPr>
          <w:bCs/>
          <w:color w:val="000000"/>
          <w:szCs w:val="22"/>
          <w:lang w:val="fr-FR"/>
        </w:rPr>
        <w:t>le cas</w:t>
      </w:r>
      <w:r w:rsidR="002B1AB0" w:rsidRPr="0026653F">
        <w:rPr>
          <w:bCs/>
          <w:color w:val="000000"/>
          <w:szCs w:val="22"/>
          <w:lang w:val="fr-FR"/>
        </w:rPr>
        <w:t>,</w:t>
      </w:r>
    </w:p>
    <w:p w14:paraId="27CE8D2E" w14:textId="77777777" w:rsidR="00B84A8F" w:rsidRPr="0026653F" w:rsidRDefault="00B84A8F" w:rsidP="00C618DD">
      <w:pPr>
        <w:rPr>
          <w:bCs/>
          <w:color w:val="000000"/>
          <w:szCs w:val="22"/>
          <w:lang w:val="fr-FR"/>
        </w:rPr>
      </w:pPr>
    </w:p>
    <w:p w14:paraId="3A0AD8AE" w14:textId="1724C9F5" w:rsidR="00B84A8F" w:rsidRPr="0026653F" w:rsidRDefault="00B84A8F" w:rsidP="00C618DD">
      <w:pPr>
        <w:rPr>
          <w:bCs/>
          <w:color w:val="000000"/>
          <w:szCs w:val="22"/>
          <w:lang w:val="fr-FR"/>
        </w:rPr>
      </w:pPr>
      <w:r w:rsidRPr="0026653F">
        <w:rPr>
          <w:bCs/>
          <w:color w:val="000000"/>
          <w:szCs w:val="22"/>
          <w:lang w:val="fr-FR"/>
        </w:rPr>
        <w:tab/>
        <w:t>TENANT COMPTE de la nécessité urgente d’accélérer l’action à tous les niveaux et par toutes les parties prenantes dans le but ultime de réaliser la vision et les objectifs du Programme 2030, en particulier l’objectif de développement durable 2, « Éliminer la faim, assurer la sécurité alimentaire, améliorer la nutrition et promouvoir l’agriculture durable », qui considère que la faim et la malnutrition représentent des obstacles majeurs au développement durable et que les gouvernements peuvent concevoir des politiques publiques pour consolider les mesures, les stratégies et les politiques visant à éliminer la faim et toutes les formes de malnutrition et à atteindre la sécurité alimentaire et nutritionnelle en priorité, et pour remplir l’engagement de ne laisser personne de côté et d’atteindre d’abord les plus défavorisés</w:t>
      </w:r>
      <w:r w:rsidR="002B1AB0" w:rsidRPr="0026653F">
        <w:rPr>
          <w:bCs/>
          <w:color w:val="000000"/>
          <w:szCs w:val="22"/>
          <w:lang w:val="fr-FR"/>
        </w:rPr>
        <w:t>,</w:t>
      </w:r>
    </w:p>
    <w:p w14:paraId="4D27632D" w14:textId="77777777" w:rsidR="00B84A8F" w:rsidRPr="0026653F" w:rsidRDefault="00B84A8F" w:rsidP="00C618DD">
      <w:pPr>
        <w:rPr>
          <w:bCs/>
          <w:color w:val="000000"/>
          <w:szCs w:val="22"/>
          <w:lang w:val="fr-FR"/>
        </w:rPr>
      </w:pPr>
    </w:p>
    <w:p w14:paraId="7B1498A0" w14:textId="34FBE3FD" w:rsidR="00B84A8F" w:rsidRPr="0026653F" w:rsidRDefault="00B84A8F" w:rsidP="00C618DD">
      <w:pPr>
        <w:rPr>
          <w:bCs/>
          <w:color w:val="000000"/>
          <w:szCs w:val="22"/>
          <w:lang w:val="fr-FR"/>
        </w:rPr>
      </w:pPr>
      <w:r w:rsidRPr="0026653F">
        <w:rPr>
          <w:bCs/>
          <w:color w:val="000000"/>
          <w:szCs w:val="22"/>
          <w:lang w:val="fr-FR"/>
        </w:rPr>
        <w:tab/>
        <w:t xml:space="preserve">TENANT COMPTE ÉGALEMENT du fait que, bien que le monde soit dans la seconde moitié de la Décennie d’action des Nations Unies pour la nutrition (2016-2025), les pays </w:t>
      </w:r>
      <w:r w:rsidR="002B1AB0" w:rsidRPr="0026653F">
        <w:rPr>
          <w:bCs/>
          <w:color w:val="000000"/>
          <w:szCs w:val="22"/>
          <w:lang w:val="fr-FR"/>
        </w:rPr>
        <w:t xml:space="preserve">restent aux prises avec </w:t>
      </w:r>
      <w:r w:rsidRPr="0026653F">
        <w:rPr>
          <w:bCs/>
          <w:color w:val="000000"/>
          <w:szCs w:val="22"/>
          <w:lang w:val="fr-FR"/>
        </w:rPr>
        <w:t>des défis majeurs pour atteindre la sécurité alimentaire et nutritionnelle, en particulier dans le contexte des effets de la pandémie</w:t>
      </w:r>
      <w:r w:rsidR="006B220B" w:rsidRPr="0026653F">
        <w:rPr>
          <w:bCs/>
          <w:color w:val="000000"/>
          <w:szCs w:val="22"/>
          <w:lang w:val="fr-FR"/>
        </w:rPr>
        <w:t xml:space="preserve"> de COVID-19,</w:t>
      </w:r>
    </w:p>
    <w:p w14:paraId="603025D0" w14:textId="77777777" w:rsidR="00B84A8F" w:rsidRPr="0026653F" w:rsidRDefault="00B84A8F" w:rsidP="00C618DD">
      <w:pPr>
        <w:rPr>
          <w:bCs/>
          <w:color w:val="000000"/>
          <w:szCs w:val="22"/>
          <w:lang w:val="fr-FR"/>
        </w:rPr>
      </w:pPr>
    </w:p>
    <w:p w14:paraId="322787C9" w14:textId="5DDD1423" w:rsidR="00B84A8F" w:rsidRPr="0026653F" w:rsidRDefault="00B84A8F" w:rsidP="00C618DD">
      <w:pPr>
        <w:rPr>
          <w:bCs/>
          <w:color w:val="000000"/>
          <w:szCs w:val="22"/>
          <w:lang w:val="fr-FR"/>
        </w:rPr>
      </w:pPr>
      <w:r w:rsidRPr="0026653F">
        <w:rPr>
          <w:bCs/>
          <w:color w:val="000000"/>
          <w:szCs w:val="22"/>
          <w:lang w:val="fr-FR"/>
        </w:rPr>
        <w:tab/>
        <w:t xml:space="preserve">RECONNAISSANT que, dans le contexte de la pandémie de COVID-19, l’adoption de mesures de protection sociale est essentielle pour relever le double défi de l’atténuation de l’impact économique immédiat de la pandémie et du rétablissement des moyens de subsistance des populations, en particulier des plus vulnérables, et que, </w:t>
      </w:r>
      <w:r w:rsidR="006B220B" w:rsidRPr="0026653F">
        <w:rPr>
          <w:bCs/>
          <w:color w:val="000000"/>
          <w:szCs w:val="22"/>
          <w:lang w:val="fr-FR"/>
        </w:rPr>
        <w:t xml:space="preserve">notamment </w:t>
      </w:r>
      <w:r w:rsidRPr="0026653F">
        <w:rPr>
          <w:bCs/>
          <w:color w:val="000000"/>
          <w:szCs w:val="22"/>
          <w:lang w:val="fr-FR"/>
        </w:rPr>
        <w:t>grâce à des partenariats publics-privés et au secteur privé, des secours pourraient être apportés à un grand nombre de personnes dont la sécurité alimentaire et nutritionnelle est menacée</w:t>
      </w:r>
      <w:r w:rsidR="002B1AB0" w:rsidRPr="0026653F">
        <w:rPr>
          <w:bCs/>
          <w:color w:val="000000"/>
          <w:szCs w:val="22"/>
          <w:lang w:val="fr-FR"/>
        </w:rPr>
        <w:t>,</w:t>
      </w:r>
    </w:p>
    <w:p w14:paraId="31910116" w14:textId="77777777" w:rsidR="00B84A8F" w:rsidRPr="0026653F" w:rsidRDefault="00B84A8F" w:rsidP="00C618DD">
      <w:pPr>
        <w:rPr>
          <w:bCs/>
          <w:color w:val="000000"/>
          <w:szCs w:val="22"/>
          <w:lang w:val="fr-FR"/>
        </w:rPr>
      </w:pPr>
    </w:p>
    <w:p w14:paraId="22E38562" w14:textId="055A6C84" w:rsidR="00B84A8F" w:rsidRPr="0026653F" w:rsidRDefault="00B84A8F" w:rsidP="00C618DD">
      <w:pPr>
        <w:rPr>
          <w:bCs/>
          <w:color w:val="000000"/>
          <w:lang w:val="fr-FR"/>
        </w:rPr>
      </w:pPr>
      <w:r w:rsidRPr="0026653F">
        <w:rPr>
          <w:bCs/>
          <w:color w:val="000000"/>
          <w:lang w:val="fr-FR"/>
        </w:rPr>
        <w:tab/>
        <w:t xml:space="preserve">RAPPELANT que dans la Déclaration interaméricaine </w:t>
      </w:r>
      <w:r w:rsidR="00203A2C" w:rsidRPr="0026653F">
        <w:rPr>
          <w:bCs/>
          <w:color w:val="000000"/>
          <w:lang w:val="fr-FR"/>
        </w:rPr>
        <w:t xml:space="preserve">relative aux </w:t>
      </w:r>
      <w:r w:rsidRPr="0026653F">
        <w:rPr>
          <w:bCs/>
          <w:color w:val="000000"/>
          <w:lang w:val="fr-FR"/>
        </w:rPr>
        <w:t>priorités en matière de développement social : « </w:t>
      </w:r>
      <w:r w:rsidR="00A4378B" w:rsidRPr="0026653F">
        <w:rPr>
          <w:lang w:val="fr-FR"/>
        </w:rPr>
        <w:t>Équité et inclusion sociale</w:t>
      </w:r>
      <w:r w:rsidR="006B220B" w:rsidRPr="0026653F">
        <w:rPr>
          <w:lang w:val="fr-FR"/>
        </w:rPr>
        <w:t> </w:t>
      </w:r>
      <w:r w:rsidR="00A4378B" w:rsidRPr="0026653F">
        <w:rPr>
          <w:lang w:val="fr-FR"/>
        </w:rPr>
        <w:t>: Surmonter la pauvreté multidimensionnelle et colmater les brèches en matière d’équité sociale: vers un Programme interaméricain de développement social</w:t>
      </w:r>
      <w:r w:rsidR="009079F2" w:rsidRPr="0026653F">
        <w:rPr>
          <w:lang w:val="fr-FR"/>
        </w:rPr>
        <w:t> </w:t>
      </w:r>
      <w:r w:rsidRPr="0026653F">
        <w:rPr>
          <w:lang w:val="fr-FR"/>
        </w:rPr>
        <w:t xml:space="preserve">» </w:t>
      </w:r>
      <w:r w:rsidRPr="0026653F">
        <w:rPr>
          <w:bCs/>
          <w:color w:val="000000"/>
          <w:lang w:val="fr-FR"/>
        </w:rPr>
        <w:t>et dans la feuille de route que constitue le Plan d’action d</w:t>
      </w:r>
      <w:r w:rsidR="004B71A6" w:rsidRPr="0026653F">
        <w:rPr>
          <w:bCs/>
          <w:color w:val="000000"/>
          <w:lang w:val="fr-FR"/>
        </w:rPr>
        <w:t>e</w:t>
      </w:r>
      <w:r w:rsidRPr="0026653F">
        <w:rPr>
          <w:bCs/>
          <w:color w:val="000000"/>
          <w:lang w:val="fr-FR"/>
        </w:rPr>
        <w:t xml:space="preserve"> Guatemala 2019, « </w:t>
      </w:r>
      <w:bookmarkStart w:id="42" w:name="_Hlk64966069"/>
      <w:r w:rsidR="00203A2C" w:rsidRPr="0026653F">
        <w:rPr>
          <w:lang w:val="fr-FR"/>
        </w:rPr>
        <w:t>Surmonter</w:t>
      </w:r>
      <w:r w:rsidRPr="0026653F">
        <w:rPr>
          <w:lang w:val="fr-FR"/>
        </w:rPr>
        <w:t xml:space="preserve"> la pauvreté multidimensionnelle et </w:t>
      </w:r>
      <w:r w:rsidR="00203A2C" w:rsidRPr="0026653F">
        <w:rPr>
          <w:lang w:val="fr-FR"/>
        </w:rPr>
        <w:t xml:space="preserve">colmater les brèches en matière </w:t>
      </w:r>
      <w:r w:rsidRPr="0026653F">
        <w:rPr>
          <w:lang w:val="fr-FR"/>
        </w:rPr>
        <w:t xml:space="preserve">d’équité sociale : </w:t>
      </w:r>
      <w:r w:rsidR="00203A2C" w:rsidRPr="0026653F">
        <w:rPr>
          <w:lang w:val="fr-FR"/>
        </w:rPr>
        <w:t>v</w:t>
      </w:r>
      <w:r w:rsidRPr="0026653F">
        <w:rPr>
          <w:lang w:val="fr-FR"/>
        </w:rPr>
        <w:t xml:space="preserve">ers un </w:t>
      </w:r>
      <w:r w:rsidR="00203A2C" w:rsidRPr="0026653F">
        <w:rPr>
          <w:lang w:val="fr-FR"/>
        </w:rPr>
        <w:t>P</w:t>
      </w:r>
      <w:r w:rsidRPr="0026653F">
        <w:rPr>
          <w:lang w:val="fr-FR"/>
        </w:rPr>
        <w:t>rogramme interaméricain de développement social </w:t>
      </w:r>
      <w:bookmarkEnd w:id="42"/>
      <w:r w:rsidRPr="0026653F">
        <w:rPr>
          <w:lang w:val="fr-FR"/>
        </w:rPr>
        <w:t xml:space="preserve">», </w:t>
      </w:r>
      <w:r w:rsidRPr="0026653F">
        <w:rPr>
          <w:bCs/>
          <w:color w:val="000000"/>
          <w:lang w:val="fr-FR"/>
        </w:rPr>
        <w:t xml:space="preserve">les ministres et hauts fonctionnaires chargés du développement social des Amériques ont reconnu la valeur des programmes de protection sociale pour l’éradication de la faim et de la malnutrition </w:t>
      </w:r>
      <w:r w:rsidR="002B1AB0" w:rsidRPr="0026653F">
        <w:rPr>
          <w:bCs/>
          <w:color w:val="000000"/>
          <w:lang w:val="fr-FR"/>
        </w:rPr>
        <w:t>chez l</w:t>
      </w:r>
      <w:r w:rsidRPr="0026653F">
        <w:rPr>
          <w:bCs/>
          <w:color w:val="000000"/>
          <w:lang w:val="fr-FR"/>
        </w:rPr>
        <w:t>es enfants dans les Amériques et l’engagement à continuer d’appuyer ces efforts par la coopération interaméricaine et le renforcement institutionnel des organismes gouvernementaux, des organisations de la société civile et d</w:t>
      </w:r>
      <w:r w:rsidR="00203A2C" w:rsidRPr="0026653F">
        <w:rPr>
          <w:bCs/>
          <w:color w:val="000000"/>
          <w:lang w:val="fr-FR"/>
        </w:rPr>
        <w:t>’au</w:t>
      </w:r>
      <w:r w:rsidRPr="0026653F">
        <w:rPr>
          <w:bCs/>
          <w:color w:val="000000"/>
          <w:lang w:val="fr-FR"/>
        </w:rPr>
        <w:t>tres acteurs sociaux responsables de la mise en œuvre de ces programmes</w:t>
      </w:r>
      <w:r w:rsidR="002B1AB0" w:rsidRPr="0026653F">
        <w:rPr>
          <w:bCs/>
          <w:color w:val="000000"/>
          <w:lang w:val="fr-FR"/>
        </w:rPr>
        <w:t>,</w:t>
      </w:r>
    </w:p>
    <w:p w14:paraId="0D80B2A8" w14:textId="77777777" w:rsidR="00B84A8F" w:rsidRPr="0026653F" w:rsidRDefault="00B84A8F" w:rsidP="00C618DD">
      <w:pPr>
        <w:rPr>
          <w:bCs/>
          <w:color w:val="000000"/>
          <w:szCs w:val="22"/>
          <w:lang w:val="fr-FR"/>
        </w:rPr>
      </w:pPr>
    </w:p>
    <w:p w14:paraId="1D529766" w14:textId="0A971A25" w:rsidR="00B84A8F" w:rsidRPr="0026653F" w:rsidRDefault="00B84A8F" w:rsidP="00C618DD">
      <w:pPr>
        <w:rPr>
          <w:bCs/>
          <w:color w:val="000000"/>
          <w:szCs w:val="22"/>
          <w:lang w:val="fr-FR"/>
        </w:rPr>
      </w:pPr>
      <w:r w:rsidRPr="0026653F">
        <w:rPr>
          <w:bCs/>
          <w:color w:val="000000"/>
          <w:szCs w:val="22"/>
          <w:lang w:val="fr-FR"/>
        </w:rPr>
        <w:tab/>
        <w:t>CONSIDÉRANT les récentes initiatives régionales et sous-régionales, qui traitent des problèmes de sécurité alimentaire et nutritionnelle, de développement inclusif et de ceux liés à la lutte contre la pandémie de COVID-19 pour renforcer la résilience de la sécurité alimentaire et nutritionnelle par des mécanismes de protection sociale</w:t>
      </w:r>
      <w:r w:rsidR="00697952" w:rsidRPr="0026653F">
        <w:rPr>
          <w:bCs/>
          <w:color w:val="000000"/>
          <w:szCs w:val="22"/>
          <w:lang w:val="fr-FR"/>
        </w:rPr>
        <w:t>,</w:t>
      </w:r>
      <w:r w:rsidRPr="0026653F">
        <w:rPr>
          <w:bCs/>
          <w:color w:val="000000"/>
          <w:szCs w:val="22"/>
          <w:lang w:val="fr-FR"/>
        </w:rPr>
        <w:t xml:space="preserve"> le fonctionnement ininterrompu de la chaîne de valeur, de la production et de l’accès à la nourriture par la population grâce à un commerce international transparent, conformément aux règles de l’Organisation mondiale du commerce et la promotion de systèmes agroalimentaires durables dans la région qui répondent aux besoins de la population, protègent l’environnement et respectent les habitudes et les cultures alimentaires du continent</w:t>
      </w:r>
      <w:r w:rsidR="002B1AB0" w:rsidRPr="0026653F">
        <w:rPr>
          <w:bCs/>
          <w:color w:val="000000"/>
          <w:szCs w:val="22"/>
          <w:lang w:val="fr-FR"/>
        </w:rPr>
        <w:t>,</w:t>
      </w:r>
    </w:p>
    <w:p w14:paraId="0486D8A9" w14:textId="77777777" w:rsidR="00B84A8F" w:rsidRPr="0026653F" w:rsidRDefault="00B84A8F" w:rsidP="00C618DD">
      <w:pPr>
        <w:rPr>
          <w:bCs/>
          <w:color w:val="000000"/>
          <w:szCs w:val="22"/>
          <w:lang w:val="fr-FR"/>
        </w:rPr>
      </w:pPr>
    </w:p>
    <w:p w14:paraId="44326C23" w14:textId="69502AC2" w:rsidR="00B84A8F" w:rsidRPr="0026653F" w:rsidRDefault="00B84A8F" w:rsidP="00C618DD">
      <w:pPr>
        <w:rPr>
          <w:bCs/>
          <w:color w:val="000000"/>
          <w:szCs w:val="22"/>
          <w:lang w:val="fr-FR"/>
        </w:rPr>
      </w:pPr>
      <w:r w:rsidRPr="0026653F">
        <w:rPr>
          <w:bCs/>
          <w:color w:val="000000"/>
          <w:szCs w:val="22"/>
          <w:lang w:val="fr-FR"/>
        </w:rPr>
        <w:lastRenderedPageBreak/>
        <w:tab/>
        <w:t>RECONNAISSANT les travaux des États membres en matière de sécurité sanitaire des aliments fondés sur des preuves scientifiques pour protéger et préserver la santé de toutes les personnes tout au long de la chaîne d’approvisionnement et de consommation de produits agricoles, et reconnaissant qu’il importe de saluer le service essentiel des travailleurs dans l’agriculture et les chaînes d’approvisionnement alimentaire et de les aider à poursuivre leur travail essentiel en toute sécurité</w:t>
      </w:r>
      <w:r w:rsidR="002B1AB0" w:rsidRPr="0026653F">
        <w:rPr>
          <w:bCs/>
          <w:color w:val="000000"/>
          <w:szCs w:val="22"/>
          <w:lang w:val="fr-FR"/>
        </w:rPr>
        <w:t>,</w:t>
      </w:r>
    </w:p>
    <w:p w14:paraId="5D6B6303" w14:textId="77777777" w:rsidR="00B84A8F" w:rsidRPr="0026653F" w:rsidRDefault="00B84A8F" w:rsidP="00C618DD">
      <w:pPr>
        <w:rPr>
          <w:bCs/>
          <w:color w:val="000000"/>
          <w:szCs w:val="22"/>
          <w:lang w:val="fr-FR"/>
        </w:rPr>
      </w:pPr>
    </w:p>
    <w:p w14:paraId="7BC2644B" w14:textId="6B9AA59D" w:rsidR="00B84A8F" w:rsidRPr="0026653F" w:rsidRDefault="00B84A8F" w:rsidP="00C618DD">
      <w:pPr>
        <w:rPr>
          <w:bCs/>
          <w:color w:val="000000"/>
          <w:szCs w:val="22"/>
          <w:lang w:val="fr-FR"/>
        </w:rPr>
      </w:pPr>
      <w:r w:rsidRPr="0026653F">
        <w:rPr>
          <w:bCs/>
          <w:color w:val="000000"/>
          <w:szCs w:val="22"/>
          <w:lang w:val="fr-FR"/>
        </w:rPr>
        <w:tab/>
        <w:t xml:space="preserve">RAPPELANT que le Conseil interaméricain pour le développement intégré, lors de sa réunion du 26 novembre 2019 </w:t>
      </w:r>
      <w:r w:rsidR="006B220B" w:rsidRPr="0026653F">
        <w:rPr>
          <w:bCs/>
          <w:color w:val="000000"/>
          <w:szCs w:val="22"/>
          <w:lang w:val="fr-FR"/>
        </w:rPr>
        <w:t xml:space="preserve">consacrée à la </w:t>
      </w:r>
      <w:r w:rsidRPr="0026653F">
        <w:rPr>
          <w:bCs/>
          <w:color w:val="000000"/>
          <w:szCs w:val="22"/>
          <w:lang w:val="fr-FR"/>
        </w:rPr>
        <w:t xml:space="preserve">malnutrition infantile dans les Amériques, a </w:t>
      </w:r>
      <w:r w:rsidR="002B1AB0" w:rsidRPr="0026653F">
        <w:rPr>
          <w:bCs/>
          <w:color w:val="000000"/>
          <w:szCs w:val="22"/>
          <w:lang w:val="fr-FR"/>
        </w:rPr>
        <w:t xml:space="preserve">fait part </w:t>
      </w:r>
      <w:r w:rsidRPr="0026653F">
        <w:rPr>
          <w:bCs/>
          <w:color w:val="000000"/>
          <w:szCs w:val="22"/>
          <w:lang w:val="fr-FR"/>
        </w:rPr>
        <w:t xml:space="preserve">des politiques, des programmes et des initiatives publiques visant à réduire la malnutrition, en particulier la sous-alimentation chronique dans différents contextes de la région, en examinant les principaux défis auxquels sont confrontés les pays et les institutions, en identifiant </w:t>
      </w:r>
      <w:r w:rsidR="008B43ED" w:rsidRPr="0026653F">
        <w:rPr>
          <w:bCs/>
          <w:color w:val="000000"/>
          <w:szCs w:val="22"/>
          <w:lang w:val="fr-FR"/>
        </w:rPr>
        <w:t xml:space="preserve">les filières </w:t>
      </w:r>
      <w:r w:rsidRPr="0026653F">
        <w:rPr>
          <w:bCs/>
          <w:color w:val="000000"/>
          <w:szCs w:val="22"/>
          <w:lang w:val="fr-FR"/>
        </w:rPr>
        <w:t xml:space="preserve">de coopération régionale et </w:t>
      </w:r>
      <w:r w:rsidR="0014641F" w:rsidRPr="0026653F">
        <w:rPr>
          <w:bCs/>
          <w:color w:val="000000"/>
          <w:szCs w:val="22"/>
          <w:lang w:val="fr-FR"/>
        </w:rPr>
        <w:t>entre les pays</w:t>
      </w:r>
      <w:r w:rsidRPr="0026653F">
        <w:rPr>
          <w:bCs/>
          <w:color w:val="000000"/>
          <w:szCs w:val="22"/>
          <w:lang w:val="fr-FR"/>
        </w:rPr>
        <w:t xml:space="preserve"> pour faciliter la transmission des connaissances, des enseignements tirés et des meilleures pratiques ainsi que des politiques réussies</w:t>
      </w:r>
      <w:r w:rsidR="002B1AB0" w:rsidRPr="0026653F">
        <w:rPr>
          <w:bCs/>
          <w:color w:val="000000"/>
          <w:szCs w:val="22"/>
          <w:lang w:val="fr-FR"/>
        </w:rPr>
        <w:t>,</w:t>
      </w:r>
    </w:p>
    <w:p w14:paraId="6B8E9B43" w14:textId="77777777" w:rsidR="00B84A8F" w:rsidRPr="0026653F" w:rsidRDefault="00B84A8F" w:rsidP="00C618DD">
      <w:pPr>
        <w:rPr>
          <w:bCs/>
          <w:color w:val="000000"/>
          <w:szCs w:val="22"/>
          <w:lang w:val="fr-FR"/>
        </w:rPr>
      </w:pPr>
    </w:p>
    <w:p w14:paraId="58E749A8" w14:textId="03FDE22A" w:rsidR="00B84A8F" w:rsidRPr="0026653F" w:rsidRDefault="00B84A8F" w:rsidP="00C618DD">
      <w:pPr>
        <w:rPr>
          <w:bCs/>
          <w:color w:val="000000"/>
          <w:szCs w:val="22"/>
          <w:lang w:val="fr-FR"/>
        </w:rPr>
      </w:pPr>
      <w:r w:rsidRPr="0026653F">
        <w:rPr>
          <w:bCs/>
          <w:color w:val="000000"/>
          <w:szCs w:val="22"/>
          <w:lang w:val="fr-FR"/>
        </w:rPr>
        <w:tab/>
        <w:t>RECONNAISSANT les efforts déployés à ce jour par les États membres pour faire face à la situation d’urgence engendrée par la COVID-19 et pour répondre aux besoins les plus urgents en matière d’alimentation et de sécurité alimentaire et nutritionnelle des populations en situation de vulnérabilité</w:t>
      </w:r>
      <w:r w:rsidR="002B1AB0" w:rsidRPr="0026653F">
        <w:rPr>
          <w:bCs/>
          <w:color w:val="000000"/>
          <w:szCs w:val="22"/>
          <w:lang w:val="fr-FR"/>
        </w:rPr>
        <w:t>,</w:t>
      </w:r>
      <w:r w:rsidRPr="0026653F">
        <w:rPr>
          <w:bCs/>
          <w:color w:val="000000"/>
          <w:szCs w:val="22"/>
          <w:lang w:val="fr-FR"/>
        </w:rPr>
        <w:t xml:space="preserve"> et convaincue que la pandémie de COVID-19 offre une opportunité pour les États membres, la société civile, le secteur privé, les universités et </w:t>
      </w:r>
      <w:r w:rsidR="00203A2C" w:rsidRPr="0026653F">
        <w:rPr>
          <w:bCs/>
          <w:color w:val="000000"/>
          <w:szCs w:val="22"/>
          <w:lang w:val="fr-FR"/>
        </w:rPr>
        <w:t>d’</w:t>
      </w:r>
      <w:r w:rsidRPr="0026653F">
        <w:rPr>
          <w:bCs/>
          <w:color w:val="000000"/>
          <w:szCs w:val="22"/>
          <w:lang w:val="fr-FR"/>
        </w:rPr>
        <w:t>autres acteurs sociaux de collaborer sur les politiques, plans et programmes d’assistance et de protection sociale</w:t>
      </w:r>
      <w:r w:rsidR="002B1AB0" w:rsidRPr="0026653F">
        <w:rPr>
          <w:bCs/>
          <w:color w:val="000000"/>
          <w:szCs w:val="22"/>
          <w:lang w:val="fr-FR"/>
        </w:rPr>
        <w:t xml:space="preserve"> de même que</w:t>
      </w:r>
      <w:r w:rsidRPr="0026653F">
        <w:rPr>
          <w:bCs/>
          <w:color w:val="000000"/>
          <w:szCs w:val="22"/>
          <w:lang w:val="fr-FR"/>
        </w:rPr>
        <w:t xml:space="preserve"> sur l’éradication de la faim et de la sous-alimentation chronique afin de mieux préparer nos sociétés à faire face aux crises futures et d’atteindre les objectifs fixés dans la présente résolution</w:t>
      </w:r>
      <w:r w:rsidR="002B1AB0" w:rsidRPr="0026653F">
        <w:rPr>
          <w:bCs/>
          <w:color w:val="000000"/>
          <w:szCs w:val="22"/>
          <w:lang w:val="fr-FR"/>
        </w:rPr>
        <w:t>,</w:t>
      </w:r>
    </w:p>
    <w:p w14:paraId="3C0196A9" w14:textId="77777777" w:rsidR="00B84A8F" w:rsidRPr="0026653F" w:rsidRDefault="00B84A8F" w:rsidP="00C618DD">
      <w:pPr>
        <w:rPr>
          <w:bCs/>
          <w:color w:val="000000"/>
          <w:szCs w:val="22"/>
          <w:lang w:val="fr-FR"/>
        </w:rPr>
      </w:pPr>
    </w:p>
    <w:p w14:paraId="23FDA910" w14:textId="4409EB04" w:rsidR="00B84A8F" w:rsidRPr="0026653F" w:rsidRDefault="00B84A8F" w:rsidP="00C618DD">
      <w:pPr>
        <w:rPr>
          <w:bCs/>
          <w:color w:val="000000"/>
          <w:szCs w:val="22"/>
          <w:lang w:val="fr-FR"/>
        </w:rPr>
      </w:pPr>
      <w:r w:rsidRPr="0026653F">
        <w:rPr>
          <w:bCs/>
          <w:color w:val="000000"/>
          <w:szCs w:val="22"/>
          <w:lang w:val="fr-FR"/>
        </w:rPr>
        <w:tab/>
        <w:t xml:space="preserve">NOTANT que l’Organisation mondiale de la Santé et l’Organisation des Nations Unies pour l’alimentation et l’agriculture ont déclaré conjointement qu’à ce jour, il n’existe aucune preuve scientifique que le virus </w:t>
      </w:r>
      <w:r w:rsidR="00F41462" w:rsidRPr="0026653F">
        <w:rPr>
          <w:bCs/>
          <w:color w:val="000000"/>
          <w:szCs w:val="22"/>
          <w:lang w:val="fr-FR"/>
        </w:rPr>
        <w:t xml:space="preserve">SRAS-CoV-2 </w:t>
      </w:r>
      <w:r w:rsidRPr="0026653F">
        <w:rPr>
          <w:bCs/>
          <w:color w:val="000000"/>
          <w:szCs w:val="22"/>
          <w:lang w:val="fr-FR"/>
        </w:rPr>
        <w:t xml:space="preserve">peut être transmis par les aliments ou leurs emballages et qu’il est très peu probable que des personnes puissent contracter la COVID-19 par </w:t>
      </w:r>
      <w:r w:rsidR="006B220B" w:rsidRPr="0026653F">
        <w:rPr>
          <w:bCs/>
          <w:color w:val="000000"/>
          <w:szCs w:val="22"/>
          <w:lang w:val="fr-FR"/>
        </w:rPr>
        <w:t>ces voies</w:t>
      </w:r>
      <w:r w:rsidR="002B1AB0" w:rsidRPr="0026653F">
        <w:rPr>
          <w:bCs/>
          <w:color w:val="000000"/>
          <w:szCs w:val="22"/>
          <w:lang w:val="fr-FR"/>
        </w:rPr>
        <w:t>,</w:t>
      </w:r>
    </w:p>
    <w:p w14:paraId="554B9238" w14:textId="77777777" w:rsidR="00B84A8F" w:rsidRPr="0026653F" w:rsidRDefault="00B84A8F" w:rsidP="00C618DD">
      <w:pPr>
        <w:rPr>
          <w:bCs/>
          <w:color w:val="000000"/>
          <w:szCs w:val="22"/>
          <w:lang w:val="fr-FR"/>
        </w:rPr>
      </w:pPr>
    </w:p>
    <w:p w14:paraId="4F354C27" w14:textId="14C72F90" w:rsidR="00B84A8F" w:rsidRPr="0026653F" w:rsidRDefault="00B84A8F" w:rsidP="00C618DD">
      <w:pPr>
        <w:rPr>
          <w:b/>
          <w:bCs/>
          <w:color w:val="000000"/>
          <w:szCs w:val="22"/>
          <w:lang w:val="fr-FR"/>
        </w:rPr>
      </w:pPr>
      <w:r w:rsidRPr="0026653F">
        <w:rPr>
          <w:bCs/>
          <w:color w:val="000000"/>
          <w:szCs w:val="22"/>
          <w:lang w:val="fr-FR"/>
        </w:rPr>
        <w:tab/>
        <w:t>TENANT COMPTE que, dans de nombreux États membres de l’OEA, en particulier en Amérique centrale et dans les Caraïbes, avant même la pandémie de COVID-19, la production agricole était déjà affectée par les catastrophes naturelles et le changement climatique</w:t>
      </w:r>
      <w:r w:rsidRPr="0026653F">
        <w:rPr>
          <w:bCs/>
          <w:szCs w:val="22"/>
          <w:u w:val="single"/>
          <w:vertAlign w:val="superscript"/>
          <w:lang w:val="fr-FR"/>
        </w:rPr>
        <w:footnoteReference w:id="52"/>
      </w:r>
      <w:r w:rsidRPr="0026653F">
        <w:rPr>
          <w:bCs/>
          <w:color w:val="000000"/>
          <w:szCs w:val="22"/>
          <w:vertAlign w:val="superscript"/>
          <w:lang w:val="fr-FR"/>
        </w:rPr>
        <w:t>/</w:t>
      </w:r>
      <w:r w:rsidRPr="0026653F">
        <w:rPr>
          <w:bCs/>
          <w:color w:val="000000"/>
          <w:szCs w:val="22"/>
          <w:lang w:val="fr-FR"/>
        </w:rPr>
        <w:t>, ce qui réduisait la sécurité alimentaire et nutritionnelle, augmentait le chômage et la pauvreté et entraînait le déplacement de personnes ; et que la COVID-19 a aggravé leur situation</w:t>
      </w:r>
      <w:r w:rsidR="002B1AB0" w:rsidRPr="0026653F">
        <w:rPr>
          <w:bCs/>
          <w:color w:val="000000"/>
          <w:szCs w:val="22"/>
          <w:lang w:val="fr-FR"/>
        </w:rPr>
        <w:t>,</w:t>
      </w:r>
    </w:p>
    <w:p w14:paraId="4AB75DE4" w14:textId="77777777" w:rsidR="00D81519" w:rsidRPr="0026653F" w:rsidRDefault="00D81519" w:rsidP="00C618DD">
      <w:pPr>
        <w:rPr>
          <w:szCs w:val="22"/>
          <w:lang w:val="fr-FR"/>
        </w:rPr>
      </w:pPr>
    </w:p>
    <w:p w14:paraId="7799D8FA" w14:textId="38786DE5" w:rsidR="00B84A8F" w:rsidRPr="0026653F" w:rsidRDefault="00B84A8F" w:rsidP="00C618DD">
      <w:pPr>
        <w:rPr>
          <w:bCs/>
          <w:color w:val="000000"/>
          <w:szCs w:val="22"/>
          <w:lang w:val="fr-FR"/>
        </w:rPr>
      </w:pPr>
      <w:r w:rsidRPr="0026653F">
        <w:rPr>
          <w:bCs/>
          <w:color w:val="000000"/>
          <w:szCs w:val="22"/>
          <w:lang w:val="fr-FR"/>
        </w:rPr>
        <w:tab/>
        <w:t>PRENANT EN COMPTE l’importance des microentreprises et des petites et moyennes entreprises, en particulier des petites et moyennes exploitations familiales, pour la sécurité alimentaire et nutritionnelle et le développement économique,</w:t>
      </w:r>
    </w:p>
    <w:p w14:paraId="6425F743" w14:textId="77777777" w:rsidR="00B84A8F" w:rsidRPr="0026653F" w:rsidRDefault="00B84A8F" w:rsidP="00C618DD">
      <w:pPr>
        <w:rPr>
          <w:bCs/>
          <w:color w:val="000000"/>
          <w:szCs w:val="22"/>
          <w:lang w:val="fr-FR"/>
        </w:rPr>
      </w:pPr>
    </w:p>
    <w:p w14:paraId="1F8BBCB4" w14:textId="77777777" w:rsidR="00B84A8F" w:rsidRPr="0026653F" w:rsidRDefault="00B84A8F" w:rsidP="00C618DD">
      <w:pPr>
        <w:rPr>
          <w:bCs/>
          <w:color w:val="000000"/>
          <w:szCs w:val="22"/>
          <w:lang w:val="fr-FR"/>
        </w:rPr>
      </w:pPr>
      <w:r w:rsidRPr="0026653F">
        <w:rPr>
          <w:bCs/>
          <w:color w:val="000000"/>
          <w:szCs w:val="22"/>
          <w:lang w:val="fr-FR"/>
        </w:rPr>
        <w:t>DÉCIDE :</w:t>
      </w:r>
    </w:p>
    <w:p w14:paraId="4ED3066E" w14:textId="77777777" w:rsidR="00B84A8F" w:rsidRPr="0026653F" w:rsidRDefault="00B84A8F" w:rsidP="00C618DD">
      <w:pPr>
        <w:rPr>
          <w:bCs/>
          <w:color w:val="000000"/>
          <w:szCs w:val="22"/>
          <w:lang w:val="fr-FR"/>
        </w:rPr>
      </w:pPr>
    </w:p>
    <w:p w14:paraId="10AA76EA" w14:textId="7F1CC813" w:rsidR="00B84A8F" w:rsidRPr="0026653F" w:rsidRDefault="00B84A8F" w:rsidP="00C618DD">
      <w:pPr>
        <w:rPr>
          <w:bCs/>
          <w:color w:val="000000"/>
          <w:szCs w:val="22"/>
          <w:lang w:val="fr-FR"/>
        </w:rPr>
      </w:pPr>
      <w:r w:rsidRPr="0026653F">
        <w:rPr>
          <w:bCs/>
          <w:color w:val="000000"/>
          <w:szCs w:val="22"/>
          <w:lang w:val="fr-FR"/>
        </w:rPr>
        <w:tab/>
        <w:t>1.</w:t>
      </w:r>
      <w:r w:rsidRPr="0026653F">
        <w:rPr>
          <w:bCs/>
          <w:color w:val="000000"/>
          <w:szCs w:val="22"/>
          <w:lang w:val="fr-FR"/>
        </w:rPr>
        <w:tab/>
        <w:t xml:space="preserve">De demander au Secrétariat à l’accès aux droits et à l’équité (SADyE), en collaboration avec le Secrétariat exécutif au développement intégré (SEDI), en utilisant le Réseau interaméricain de protection sociale, de promouvoir la coopération pour renforcer les institutions nationales de développement social, en collaboration avec les organisations internationales, les experts en matière </w:t>
      </w:r>
      <w:r w:rsidRPr="0026653F">
        <w:rPr>
          <w:bCs/>
          <w:color w:val="000000"/>
          <w:szCs w:val="22"/>
          <w:lang w:val="fr-FR"/>
        </w:rPr>
        <w:lastRenderedPageBreak/>
        <w:t>de croissance, de développement et de prospérité, les organisations de la société civile, le secteur privé et le monde universitaire qui sont chargés de la lutte contre la pauvreté, de la réduction des inégalités par une approche globale, de l’élargissement 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p>
    <w:p w14:paraId="76A0B763" w14:textId="77777777" w:rsidR="00B84A8F" w:rsidRPr="0026653F" w:rsidRDefault="00B84A8F" w:rsidP="00C618DD">
      <w:pPr>
        <w:rPr>
          <w:bCs/>
          <w:color w:val="000000"/>
          <w:szCs w:val="22"/>
          <w:lang w:val="fr-FR"/>
        </w:rPr>
      </w:pPr>
    </w:p>
    <w:p w14:paraId="0EA83CA4" w14:textId="48BC77D4" w:rsidR="00B84A8F" w:rsidRPr="0026653F" w:rsidRDefault="00B84A8F" w:rsidP="00C618DD">
      <w:pPr>
        <w:rPr>
          <w:bCs/>
          <w:color w:val="000000"/>
          <w:szCs w:val="22"/>
          <w:lang w:val="fr-FR"/>
        </w:rPr>
      </w:pPr>
      <w:r w:rsidRPr="0026653F">
        <w:rPr>
          <w:bCs/>
          <w:color w:val="000000"/>
          <w:szCs w:val="22"/>
          <w:lang w:val="fr-FR"/>
        </w:rPr>
        <w:tab/>
        <w:t>2.</w:t>
      </w:r>
      <w:r w:rsidRPr="0026653F">
        <w:rPr>
          <w:bCs/>
          <w:color w:val="000000"/>
          <w:szCs w:val="22"/>
          <w:lang w:val="fr-FR"/>
        </w:rPr>
        <w:tab/>
        <w:t>D’encourager les États membres à participer activement aux trois groupes de travail prévus dans le Plan d’action d</w:t>
      </w:r>
      <w:r w:rsidR="004B71A6" w:rsidRPr="0026653F">
        <w:rPr>
          <w:bCs/>
          <w:color w:val="000000"/>
          <w:szCs w:val="22"/>
          <w:lang w:val="fr-FR"/>
        </w:rPr>
        <w:t>e</w:t>
      </w:r>
      <w:r w:rsidRPr="0026653F">
        <w:rPr>
          <w:bCs/>
          <w:color w:val="000000"/>
          <w:szCs w:val="22"/>
          <w:lang w:val="fr-FR"/>
        </w:rPr>
        <w:t xml:space="preserve"> Guatemala 2019 et aux activités organisées par le SADyE pour la mise en œuvre d</w:t>
      </w:r>
      <w:r w:rsidR="00D52494" w:rsidRPr="0026653F">
        <w:rPr>
          <w:bCs/>
          <w:color w:val="000000"/>
          <w:szCs w:val="22"/>
          <w:lang w:val="fr-FR"/>
        </w:rPr>
        <w:t>e ce p</w:t>
      </w:r>
      <w:r w:rsidRPr="0026653F">
        <w:rPr>
          <w:bCs/>
          <w:color w:val="000000"/>
          <w:szCs w:val="22"/>
          <w:lang w:val="fr-FR"/>
        </w:rPr>
        <w:t>lan</w:t>
      </w:r>
      <w:r w:rsidR="005705CF" w:rsidRPr="0026653F">
        <w:rPr>
          <w:bCs/>
          <w:color w:val="000000"/>
          <w:szCs w:val="22"/>
          <w:lang w:val="fr-FR"/>
        </w:rPr>
        <w:t>,</w:t>
      </w:r>
      <w:r w:rsidRPr="0026653F">
        <w:rPr>
          <w:bCs/>
          <w:color w:val="000000"/>
          <w:szCs w:val="22"/>
          <w:lang w:val="fr-FR"/>
        </w:rPr>
        <w:t xml:space="preserve"> en donnant la priorité dans les programmes des groupes de travail aux questions de sécurité alimentaire et nutritionnelle, de réduction de la pauvreté et </w:t>
      </w:r>
      <w:r w:rsidR="00AB2B1D" w:rsidRPr="0026653F">
        <w:rPr>
          <w:bCs/>
          <w:color w:val="000000"/>
          <w:szCs w:val="22"/>
          <w:lang w:val="fr-FR"/>
        </w:rPr>
        <w:t xml:space="preserve">aux questions relatives aux </w:t>
      </w:r>
      <w:r w:rsidRPr="0026653F">
        <w:rPr>
          <w:bCs/>
          <w:color w:val="000000"/>
          <w:szCs w:val="22"/>
          <w:lang w:val="fr-FR"/>
        </w:rPr>
        <w:t>inégalités, entre autres.</w:t>
      </w:r>
    </w:p>
    <w:p w14:paraId="672B13CD" w14:textId="77777777" w:rsidR="00B84A8F" w:rsidRPr="0026653F" w:rsidRDefault="00B84A8F" w:rsidP="00C618DD">
      <w:pPr>
        <w:rPr>
          <w:bCs/>
          <w:color w:val="000000"/>
          <w:szCs w:val="22"/>
          <w:lang w:val="fr-FR"/>
        </w:rPr>
      </w:pPr>
    </w:p>
    <w:p w14:paraId="7AA39076" w14:textId="777E535A" w:rsidR="00B84A8F" w:rsidRPr="0026653F" w:rsidRDefault="00B84A8F" w:rsidP="00C618DD">
      <w:pPr>
        <w:rPr>
          <w:bCs/>
          <w:color w:val="000000"/>
          <w:szCs w:val="22"/>
          <w:lang w:val="fr-FR"/>
        </w:rPr>
      </w:pPr>
      <w:r w:rsidRPr="0026653F">
        <w:rPr>
          <w:bCs/>
          <w:color w:val="000000"/>
          <w:szCs w:val="22"/>
          <w:lang w:val="fr-FR"/>
        </w:rPr>
        <w:tab/>
        <w:t>3.</w:t>
      </w:r>
      <w:r w:rsidRPr="0026653F">
        <w:rPr>
          <w:bCs/>
          <w:color w:val="000000"/>
          <w:szCs w:val="22"/>
          <w:lang w:val="fr-FR"/>
        </w:rPr>
        <w:tab/>
        <w:t xml:space="preserve">D’encourager les États membres à maintenir les chaînes de valeur ouvertes et connectées afin que les marchés internationaux puissent rester fonctionnels, en soutenant la circulation des produits et des intrants agricoles, qui jouent un rôle clé dans la prévention des pénuries alimentaires et donc dans la réalisation de la sécurité alimentaire et nutritionnelle au niveau mondial, et veiller à ce que les mesures d’urgence relatives </w:t>
      </w:r>
      <w:r w:rsidR="00AB2B1D" w:rsidRPr="0026653F">
        <w:rPr>
          <w:bCs/>
          <w:color w:val="000000"/>
          <w:szCs w:val="22"/>
          <w:lang w:val="fr-FR"/>
        </w:rPr>
        <w:t xml:space="preserve">à l’agriculture </w:t>
      </w:r>
      <w:r w:rsidRPr="0026653F">
        <w:rPr>
          <w:bCs/>
          <w:color w:val="000000"/>
          <w:szCs w:val="22"/>
          <w:lang w:val="fr-FR"/>
        </w:rPr>
        <w:t xml:space="preserve">et </w:t>
      </w:r>
      <w:r w:rsidR="00AB2B1D" w:rsidRPr="0026653F">
        <w:rPr>
          <w:bCs/>
          <w:color w:val="000000"/>
          <w:szCs w:val="22"/>
          <w:lang w:val="fr-FR"/>
        </w:rPr>
        <w:t xml:space="preserve">aux produits </w:t>
      </w:r>
      <w:r w:rsidRPr="0026653F">
        <w:rPr>
          <w:bCs/>
          <w:color w:val="000000"/>
          <w:szCs w:val="22"/>
          <w:lang w:val="fr-FR"/>
        </w:rPr>
        <w:t xml:space="preserve">agroalimentaires conçues pour répondre à la </w:t>
      </w:r>
      <w:r w:rsidR="00D52494" w:rsidRPr="0026653F">
        <w:rPr>
          <w:bCs/>
          <w:color w:val="000000"/>
          <w:szCs w:val="22"/>
          <w:lang w:val="fr-FR"/>
        </w:rPr>
        <w:t xml:space="preserve">pandémie de </w:t>
      </w:r>
      <w:r w:rsidRPr="0026653F">
        <w:rPr>
          <w:bCs/>
          <w:color w:val="000000"/>
          <w:szCs w:val="22"/>
          <w:lang w:val="fr-FR"/>
        </w:rPr>
        <w:t xml:space="preserve">COVID-19 soient spécifiques, proportionnées, transparentes et temporaires, et ne créent pas d’obstacles inutiles au commerce </w:t>
      </w:r>
      <w:r w:rsidR="00AB2B1D" w:rsidRPr="0026653F">
        <w:rPr>
          <w:bCs/>
          <w:color w:val="000000"/>
          <w:szCs w:val="22"/>
          <w:lang w:val="fr-FR"/>
        </w:rPr>
        <w:t>ni</w:t>
      </w:r>
      <w:r w:rsidRPr="0026653F">
        <w:rPr>
          <w:bCs/>
          <w:color w:val="000000"/>
          <w:szCs w:val="22"/>
          <w:lang w:val="fr-FR"/>
        </w:rPr>
        <w:t xml:space="preserve"> ne perturbent les chaînes d’approvisionnement pour l</w:t>
      </w:r>
      <w:r w:rsidR="00AB2B1D" w:rsidRPr="0026653F">
        <w:rPr>
          <w:bCs/>
          <w:color w:val="000000"/>
          <w:szCs w:val="22"/>
          <w:lang w:val="fr-FR"/>
        </w:rPr>
        <w:t xml:space="preserve">’agriculture </w:t>
      </w:r>
      <w:r w:rsidRPr="0026653F">
        <w:rPr>
          <w:bCs/>
          <w:color w:val="000000"/>
          <w:szCs w:val="22"/>
          <w:lang w:val="fr-FR"/>
        </w:rPr>
        <w:t xml:space="preserve">et </w:t>
      </w:r>
      <w:r w:rsidR="00AB2B1D" w:rsidRPr="0026653F">
        <w:rPr>
          <w:bCs/>
          <w:color w:val="000000"/>
          <w:szCs w:val="22"/>
          <w:lang w:val="fr-FR"/>
        </w:rPr>
        <w:t xml:space="preserve">les produits </w:t>
      </w:r>
      <w:r w:rsidRPr="0026653F">
        <w:rPr>
          <w:bCs/>
          <w:color w:val="000000"/>
          <w:szCs w:val="22"/>
          <w:lang w:val="fr-FR"/>
        </w:rPr>
        <w:t>agroalimentaires. Nous sommes résolus à limiter toute mesure restrictive injustifiée sur les produits agricoles ou l’approvisionnement alimentaire.</w:t>
      </w:r>
    </w:p>
    <w:p w14:paraId="6FE9FBC5" w14:textId="77777777" w:rsidR="00B84A8F" w:rsidRPr="0026653F" w:rsidRDefault="00B84A8F" w:rsidP="00C618DD">
      <w:pPr>
        <w:rPr>
          <w:bCs/>
          <w:color w:val="000000"/>
          <w:szCs w:val="22"/>
          <w:lang w:val="fr-FR"/>
        </w:rPr>
      </w:pPr>
    </w:p>
    <w:p w14:paraId="7E6CACF9" w14:textId="4450A7CB" w:rsidR="00B84A8F" w:rsidRPr="0026653F" w:rsidRDefault="00B84A8F" w:rsidP="00C618DD">
      <w:pPr>
        <w:rPr>
          <w:bCs/>
          <w:color w:val="000000"/>
          <w:szCs w:val="22"/>
          <w:lang w:val="fr-FR"/>
        </w:rPr>
      </w:pPr>
      <w:r w:rsidRPr="0026653F">
        <w:rPr>
          <w:szCs w:val="22"/>
          <w:lang w:val="fr-FR"/>
        </w:rPr>
        <w:tab/>
      </w:r>
      <w:r w:rsidRPr="0026653F">
        <w:rPr>
          <w:bCs/>
          <w:color w:val="000000"/>
          <w:szCs w:val="22"/>
          <w:lang w:val="fr-FR"/>
        </w:rPr>
        <w:t>4.</w:t>
      </w:r>
      <w:r w:rsidRPr="0026653F">
        <w:rPr>
          <w:bCs/>
          <w:color w:val="000000"/>
          <w:szCs w:val="22"/>
          <w:lang w:val="fr-FR"/>
        </w:rPr>
        <w:tab/>
        <w:t>D’inviter les États membres, les observateurs permanents et les autres bailleurs à contribuer au Fonds pour la mise en œuvre du Plan d’action d</w:t>
      </w:r>
      <w:r w:rsidR="004B71A6" w:rsidRPr="0026653F">
        <w:rPr>
          <w:bCs/>
          <w:color w:val="000000"/>
          <w:szCs w:val="22"/>
          <w:lang w:val="fr-FR"/>
        </w:rPr>
        <w:t>e</w:t>
      </w:r>
      <w:r w:rsidRPr="0026653F">
        <w:rPr>
          <w:bCs/>
          <w:color w:val="000000"/>
          <w:szCs w:val="22"/>
          <w:lang w:val="fr-FR"/>
        </w:rPr>
        <w:t xml:space="preserve"> Guatemala 2019, dans la mesure de leurs capacités, dans le but d’assurer des ressources dans les plus brefs délais, pour le financement des activités de coopération et d’assistance technique à l’appui des efforts déployés par les États membres pour faire face aux graves conséquences de la faim et de la malnutrition dans les Amériques, aujourd’hui aggravées par la pandémie de COVID-19.</w:t>
      </w:r>
    </w:p>
    <w:p w14:paraId="2A34C8C4" w14:textId="77777777" w:rsidR="00B84A8F" w:rsidRPr="0026653F" w:rsidRDefault="00B84A8F" w:rsidP="00C618DD">
      <w:pPr>
        <w:rPr>
          <w:bCs/>
          <w:color w:val="000000"/>
          <w:szCs w:val="22"/>
          <w:lang w:val="fr-FR"/>
        </w:rPr>
      </w:pPr>
    </w:p>
    <w:p w14:paraId="4606C7DE" w14:textId="6541F993" w:rsidR="00B84A8F" w:rsidRPr="0026653F" w:rsidRDefault="00B84A8F" w:rsidP="00C618DD">
      <w:pPr>
        <w:rPr>
          <w:bCs/>
          <w:color w:val="000000"/>
          <w:szCs w:val="22"/>
          <w:lang w:val="fr-FR"/>
        </w:rPr>
      </w:pPr>
      <w:r w:rsidRPr="0026653F">
        <w:rPr>
          <w:bCs/>
          <w:color w:val="000000"/>
          <w:szCs w:val="22"/>
          <w:lang w:val="fr-FR"/>
        </w:rPr>
        <w:tab/>
        <w:t>5.</w:t>
      </w:r>
      <w:r w:rsidRPr="0026653F">
        <w:rPr>
          <w:bCs/>
          <w:color w:val="000000"/>
          <w:szCs w:val="22"/>
          <w:lang w:val="fr-FR"/>
        </w:rPr>
        <w:tab/>
        <w:t>D’encourager le Secrétariat général à soutenir les efforts des</w:t>
      </w:r>
      <w:r w:rsidR="00B1153B" w:rsidRPr="0026653F">
        <w:rPr>
          <w:bCs/>
          <w:color w:val="000000"/>
          <w:szCs w:val="22"/>
          <w:lang w:val="fr-FR"/>
        </w:rPr>
        <w:t xml:space="preserve"> petits États insulaires à littoral de faible altitude et en développement</w:t>
      </w:r>
      <w:r w:rsidRPr="0026653F">
        <w:rPr>
          <w:bCs/>
          <w:color w:val="000000"/>
          <w:szCs w:val="22"/>
          <w:lang w:val="fr-FR"/>
        </w:rPr>
        <w:t xml:space="preserve">, entre autres, pour obtenir une assistance technique et, le cas échéant, une aide financière des institutions financières internationales et des agences d’aide au développement, en combinaison avec des réformes et des politiques nationales, pour les technologies agricoles nouvelles et émergentes, y compris l’agriculture </w:t>
      </w:r>
      <w:r w:rsidR="00B1153B" w:rsidRPr="0026653F">
        <w:rPr>
          <w:bCs/>
          <w:color w:val="000000"/>
          <w:szCs w:val="22"/>
          <w:lang w:val="fr-FR"/>
        </w:rPr>
        <w:t>intelligente face au</w:t>
      </w:r>
      <w:r w:rsidRPr="0026653F">
        <w:rPr>
          <w:bCs/>
          <w:color w:val="000000"/>
          <w:szCs w:val="22"/>
          <w:lang w:val="fr-FR"/>
        </w:rPr>
        <w:t xml:space="preserve"> climat et le soutien au renforcement des capacités. En effet, leurs terres arables sont limitées, l’approvisionnement en eau est insuffisant dans certains pays et les petites et moyennes exploitations familiales, l’agriculture scolaire, l’agriculture de subsistance et l’agriculture pratiquée par les femmes et les jeunes dans les zones rurales sont importantes pour améliorer la sécurité alimentaire et nutritionnelle.</w:t>
      </w:r>
    </w:p>
    <w:p w14:paraId="0D2E6020" w14:textId="77777777" w:rsidR="00B84A8F" w:rsidRPr="0026653F" w:rsidRDefault="00B84A8F" w:rsidP="00C618DD">
      <w:pPr>
        <w:rPr>
          <w:bCs/>
          <w:color w:val="000000"/>
          <w:szCs w:val="22"/>
          <w:lang w:val="fr-FR"/>
        </w:rPr>
      </w:pPr>
    </w:p>
    <w:p w14:paraId="472A623F" w14:textId="77777777" w:rsidR="00B84A8F" w:rsidRPr="0026653F" w:rsidRDefault="00B84A8F" w:rsidP="00C618DD">
      <w:pPr>
        <w:rPr>
          <w:bCs/>
          <w:color w:val="000000"/>
          <w:szCs w:val="22"/>
          <w:lang w:val="fr-FR"/>
        </w:rPr>
      </w:pPr>
      <w:r w:rsidRPr="0026653F">
        <w:rPr>
          <w:bCs/>
          <w:color w:val="000000"/>
          <w:szCs w:val="22"/>
          <w:lang w:val="fr-FR"/>
        </w:rPr>
        <w:tab/>
        <w:t>6.</w:t>
      </w:r>
      <w:r w:rsidRPr="0026653F">
        <w:rPr>
          <w:bCs/>
          <w:color w:val="000000"/>
          <w:szCs w:val="22"/>
          <w:lang w:val="fr-FR"/>
        </w:rPr>
        <w:tab/>
        <w:t xml:space="preserve">De demander au SADyE, agissant en coordination avec la Commission interaméricaine du développement social et en collaboration avec le SEDI et d’autres secrétariats concernés, de mettre en œuvre la présente résolution afin de faciliter et de renforcer le dialogue, la coopération, l’échange d’expériences, le renforcement des capacités et l’assistance technique en faveur des États membres dans le contexte sans précédent de la pandémie </w:t>
      </w:r>
      <w:r w:rsidR="00AB2B1D" w:rsidRPr="0026653F">
        <w:rPr>
          <w:bCs/>
          <w:color w:val="000000"/>
          <w:szCs w:val="22"/>
          <w:lang w:val="fr-FR"/>
        </w:rPr>
        <w:t xml:space="preserve">de </w:t>
      </w:r>
      <w:r w:rsidRPr="0026653F">
        <w:rPr>
          <w:bCs/>
          <w:color w:val="000000"/>
          <w:szCs w:val="22"/>
          <w:lang w:val="fr-FR"/>
        </w:rPr>
        <w:t>COVID-19.</w:t>
      </w:r>
    </w:p>
    <w:p w14:paraId="4007F4B0" w14:textId="77777777" w:rsidR="00B84A8F" w:rsidRPr="0026653F" w:rsidRDefault="00B84A8F" w:rsidP="00C618DD">
      <w:pPr>
        <w:rPr>
          <w:bCs/>
          <w:color w:val="000000"/>
          <w:szCs w:val="22"/>
          <w:lang w:val="fr-FR"/>
        </w:rPr>
      </w:pPr>
    </w:p>
    <w:p w14:paraId="0C42C9B3" w14:textId="01F0427D" w:rsidR="00B84A8F" w:rsidRPr="0026653F" w:rsidRDefault="00B84A8F" w:rsidP="00C618DD">
      <w:pPr>
        <w:rPr>
          <w:bCs/>
          <w:color w:val="000000"/>
          <w:szCs w:val="22"/>
          <w:lang w:val="fr-FR"/>
        </w:rPr>
      </w:pPr>
      <w:r w:rsidRPr="0026653F">
        <w:rPr>
          <w:bCs/>
          <w:color w:val="000000"/>
          <w:szCs w:val="22"/>
          <w:lang w:val="fr-FR"/>
        </w:rPr>
        <w:lastRenderedPageBreak/>
        <w:tab/>
        <w:t>7.</w:t>
      </w:r>
      <w:r w:rsidRPr="0026653F">
        <w:rPr>
          <w:bCs/>
          <w:color w:val="000000"/>
          <w:szCs w:val="22"/>
          <w:lang w:val="fr-FR"/>
        </w:rPr>
        <w:tab/>
        <w:t xml:space="preserve">D’encourager le Secrétariat général, par l’intermédiaire du SADyE et en collaboration avec le SEDI et d’autres secrétariats concernés, et en coordination avec le Groupe de travail mixte sur les Sommets ainsi qu’avec l’Institut de recherche et de développement agricole des Caraïbes, le Programme alimentaire mondial des Nations Unies et l’Organisation des Nations Unies pour l’alimentation et l’agriculture, entre autres, </w:t>
      </w:r>
      <w:r w:rsidR="000F331D" w:rsidRPr="0026653F">
        <w:rPr>
          <w:bCs/>
          <w:color w:val="000000"/>
          <w:szCs w:val="22"/>
          <w:lang w:val="fr-FR"/>
        </w:rPr>
        <w:t xml:space="preserve">à </w:t>
      </w:r>
      <w:r w:rsidRPr="0026653F">
        <w:rPr>
          <w:bCs/>
          <w:color w:val="000000"/>
          <w:szCs w:val="22"/>
          <w:lang w:val="fr-FR"/>
        </w:rPr>
        <w:t>développer et renforcer les projets de coopération à l’échelle continentale pour faire face aux effets de la pandémie de COVID-19 sur les questions abordées dans la présente résolution.</w:t>
      </w:r>
    </w:p>
    <w:p w14:paraId="79408F9F" w14:textId="77777777" w:rsidR="00B84A8F" w:rsidRPr="0026653F" w:rsidRDefault="00B84A8F" w:rsidP="00C618DD">
      <w:pPr>
        <w:rPr>
          <w:bCs/>
          <w:color w:val="000000"/>
          <w:szCs w:val="22"/>
          <w:lang w:val="fr-FR"/>
        </w:rPr>
      </w:pPr>
    </w:p>
    <w:p w14:paraId="3CD2BE6C" w14:textId="77777777" w:rsidR="00B84A8F" w:rsidRPr="0026653F" w:rsidRDefault="00B84A8F" w:rsidP="00C618DD">
      <w:pPr>
        <w:snapToGrid w:val="0"/>
        <w:ind w:firstLine="720"/>
        <w:rPr>
          <w:bCs/>
          <w:color w:val="000000"/>
          <w:szCs w:val="22"/>
          <w:lang w:val="fr-FR"/>
        </w:rPr>
      </w:pPr>
      <w:r w:rsidRPr="0026653F">
        <w:rPr>
          <w:bCs/>
          <w:color w:val="000000"/>
          <w:szCs w:val="22"/>
          <w:lang w:val="fr-FR"/>
        </w:rPr>
        <w:t>8.</w:t>
      </w:r>
      <w:r w:rsidRPr="0026653F">
        <w:rPr>
          <w:bCs/>
          <w:color w:val="000000"/>
          <w:szCs w:val="22"/>
          <w:lang w:val="fr-FR"/>
        </w:rPr>
        <w:tab/>
        <w:t>De demander au Secrétariat général, par l’intermédiaire du SADyE et en collaboration avec le SEDI et les autres secrétariats concernés, d’élaborer et de présenter à une réunion mixte du Conseil interaméricain pour le développement intégré et du Conseil permanent un rapport de suivi sur les bonnes pratiques et les enseignements tirés par les États membres, et de recommander des domaines d’intervention dans le cadre de la présente résolution.</w:t>
      </w:r>
    </w:p>
    <w:p w14:paraId="7BE01238" w14:textId="77777777" w:rsidR="00B84A8F" w:rsidRPr="002E4306" w:rsidRDefault="00B84A8F" w:rsidP="00C618DD">
      <w:pPr>
        <w:snapToGrid w:val="0"/>
        <w:jc w:val="center"/>
        <w:rPr>
          <w:color w:val="000000"/>
          <w:sz w:val="20"/>
          <w:lang w:val="fr-FR" w:eastAsia="ar-SA"/>
        </w:rPr>
      </w:pPr>
      <w:r w:rsidRPr="0026653F">
        <w:rPr>
          <w:bCs/>
          <w:color w:val="000000"/>
          <w:szCs w:val="22"/>
          <w:lang w:val="fr-FR"/>
        </w:rPr>
        <w:br w:type="page"/>
      </w:r>
      <w:r w:rsidRPr="002E4306">
        <w:rPr>
          <w:color w:val="000000"/>
          <w:sz w:val="20"/>
          <w:lang w:val="fr-FR" w:eastAsia="ar-SA"/>
        </w:rPr>
        <w:lastRenderedPageBreak/>
        <w:t>NOTES DE BAS DE PAGE</w:t>
      </w:r>
    </w:p>
    <w:p w14:paraId="5E27D824" w14:textId="77777777" w:rsidR="00B84A8F" w:rsidRPr="002E4306" w:rsidRDefault="00B84A8F" w:rsidP="00C618DD">
      <w:pPr>
        <w:snapToGrid w:val="0"/>
        <w:jc w:val="center"/>
        <w:rPr>
          <w:sz w:val="20"/>
          <w:lang w:val="fr-FR" w:eastAsia="ar-SA"/>
        </w:rPr>
      </w:pPr>
    </w:p>
    <w:p w14:paraId="399BC933" w14:textId="77777777" w:rsidR="00B84A8F" w:rsidRPr="002E4306" w:rsidRDefault="00B84A8F" w:rsidP="00C618DD">
      <w:pPr>
        <w:snapToGrid w:val="0"/>
        <w:jc w:val="center"/>
        <w:rPr>
          <w:sz w:val="20"/>
          <w:lang w:val="fr-FR" w:eastAsia="ar-SA"/>
        </w:rPr>
      </w:pPr>
    </w:p>
    <w:p w14:paraId="2882877D" w14:textId="77777777" w:rsidR="00B84A8F" w:rsidRPr="002E4306" w:rsidRDefault="00B84A8F" w:rsidP="00C618DD">
      <w:pPr>
        <w:ind w:firstLine="720"/>
        <w:rPr>
          <w:sz w:val="20"/>
          <w:lang w:val="fr-FR"/>
        </w:rPr>
      </w:pPr>
      <w:r w:rsidRPr="002E4306">
        <w:rPr>
          <w:sz w:val="20"/>
          <w:lang w:val="fr-FR"/>
        </w:rPr>
        <w:t>1.</w:t>
      </w:r>
      <w:r w:rsidRPr="002E4306">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29497B5" w14:textId="77777777" w:rsidR="00B84A8F" w:rsidRPr="002E4306" w:rsidRDefault="00B84A8F" w:rsidP="00C618DD">
      <w:pPr>
        <w:rPr>
          <w:sz w:val="20"/>
          <w:lang w:val="fr-FR"/>
        </w:rPr>
      </w:pPr>
    </w:p>
    <w:p w14:paraId="098CD7AB" w14:textId="77777777" w:rsidR="00B84A8F" w:rsidRPr="002E4306" w:rsidRDefault="00B84A8F" w:rsidP="00C618DD">
      <w:pPr>
        <w:ind w:firstLine="720"/>
        <w:rPr>
          <w:sz w:val="20"/>
          <w:lang w:val="fr-FR"/>
        </w:rPr>
      </w:pPr>
      <w:r w:rsidRPr="002E4306">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7B3A7796" w14:textId="77777777" w:rsidR="00B84A8F" w:rsidRPr="002E4306" w:rsidRDefault="00B84A8F" w:rsidP="00C618DD">
      <w:pPr>
        <w:rPr>
          <w:sz w:val="20"/>
          <w:lang w:val="fr-FR"/>
        </w:rPr>
      </w:pPr>
    </w:p>
    <w:p w14:paraId="0D0AA5BD" w14:textId="77777777" w:rsidR="00B84A8F" w:rsidRPr="002E4306" w:rsidRDefault="00B84A8F" w:rsidP="00C618DD">
      <w:pPr>
        <w:ind w:firstLine="720"/>
        <w:rPr>
          <w:sz w:val="20"/>
          <w:lang w:val="fr-FR"/>
        </w:rPr>
      </w:pPr>
      <w:r w:rsidRPr="002E4306">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C84FB08" w14:textId="77777777" w:rsidR="00B84A8F" w:rsidRPr="002E4306" w:rsidRDefault="00B84A8F" w:rsidP="00C618DD">
      <w:pPr>
        <w:snapToGrid w:val="0"/>
        <w:rPr>
          <w:sz w:val="20"/>
          <w:lang w:val="fr-FR" w:eastAsia="ar-SA"/>
        </w:rPr>
      </w:pPr>
    </w:p>
    <w:p w14:paraId="74417D3C" w14:textId="4223B6F8" w:rsidR="001C5920" w:rsidRPr="002E4306" w:rsidRDefault="00B84A8F" w:rsidP="00C618DD">
      <w:pPr>
        <w:snapToGrid w:val="0"/>
        <w:ind w:firstLine="720"/>
        <w:rPr>
          <w:sz w:val="20"/>
          <w:lang w:val="fr-FR"/>
        </w:rPr>
      </w:pPr>
      <w:r w:rsidRPr="002E4306">
        <w:rPr>
          <w:sz w:val="20"/>
          <w:lang w:val="fr-FR" w:eastAsia="ar-SA"/>
        </w:rPr>
        <w:t>2.</w:t>
      </w:r>
      <w:r w:rsidRPr="002E4306">
        <w:rPr>
          <w:sz w:val="20"/>
          <w:lang w:val="fr-FR" w:eastAsia="ar-SA"/>
        </w:rPr>
        <w:tab/>
        <w:t>…</w:t>
      </w:r>
      <w:r w:rsidRPr="002E4306">
        <w:rPr>
          <w:sz w:val="20"/>
          <w:lang w:val="fr-FR"/>
        </w:rPr>
        <w:t xml:space="preserve"> </w:t>
      </w:r>
      <w:r w:rsidR="001C5920" w:rsidRPr="002E4306">
        <w:rPr>
          <w:sz w:val="20"/>
          <w:lang w:val="fr-FR"/>
        </w:rPr>
        <w:t>de l'Assemblée générale.</w:t>
      </w:r>
    </w:p>
    <w:p w14:paraId="42162637" w14:textId="77777777" w:rsidR="001C5920" w:rsidRPr="002E4306" w:rsidRDefault="001C5920" w:rsidP="00C618DD">
      <w:pPr>
        <w:snapToGrid w:val="0"/>
        <w:rPr>
          <w:sz w:val="20"/>
          <w:lang w:val="fr-FR"/>
        </w:rPr>
      </w:pPr>
    </w:p>
    <w:p w14:paraId="449F44A9" w14:textId="6F2F2A2C" w:rsidR="00B84A8F" w:rsidRPr="002E4306" w:rsidRDefault="001C5920" w:rsidP="00C618DD">
      <w:pPr>
        <w:snapToGrid w:val="0"/>
        <w:ind w:firstLine="720"/>
        <w:rPr>
          <w:sz w:val="20"/>
          <w:lang w:val="fr-FR" w:eastAsia="ar-SA"/>
        </w:rPr>
      </w:pPr>
      <w:r w:rsidRPr="002E4306">
        <w:rPr>
          <w:sz w:val="20"/>
          <w:lang w:val="fr-FR"/>
        </w:rPr>
        <w:t>3.</w:t>
      </w:r>
      <w:r w:rsidRPr="002E4306">
        <w:rPr>
          <w:sz w:val="20"/>
          <w:lang w:val="fr-FR"/>
        </w:rPr>
        <w:tab/>
        <w:t xml:space="preserve">… </w:t>
      </w:r>
      <w:r w:rsidR="00ED6445" w:rsidRPr="002E4306">
        <w:rPr>
          <w:sz w:val="20"/>
          <w:lang w:val="fr-FR"/>
        </w:rPr>
        <w:t>aux Nations Unies une notification officielle de leur retrait de l’Accord de Paris le 4 novembre 2019. Le retrait prendra effet un an après la remise de la notification</w:t>
      </w:r>
      <w:r w:rsidR="00B84A8F" w:rsidRPr="002E4306">
        <w:rPr>
          <w:sz w:val="20"/>
          <w:lang w:val="fr-FR"/>
        </w:rPr>
        <w:t>.</w:t>
      </w:r>
    </w:p>
    <w:p w14:paraId="2D19F0D2" w14:textId="77777777" w:rsidR="00605B3C" w:rsidRPr="0026653F" w:rsidRDefault="00605B3C" w:rsidP="00C618DD">
      <w:pPr>
        <w:jc w:val="center"/>
        <w:outlineLvl w:val="0"/>
        <w:rPr>
          <w:szCs w:val="22"/>
          <w:lang w:val="fr-FR"/>
        </w:rPr>
      </w:pPr>
    </w:p>
    <w:p w14:paraId="57387191" w14:textId="77777777" w:rsidR="00EE6CD9" w:rsidRPr="0026653F" w:rsidRDefault="00EE6CD9" w:rsidP="00C618DD">
      <w:pPr>
        <w:rPr>
          <w:szCs w:val="22"/>
          <w:lang w:val="fr-FR"/>
        </w:rPr>
        <w:sectPr w:rsidR="00EE6CD9" w:rsidRPr="0026653F" w:rsidSect="00FE7DD6">
          <w:headerReference w:type="even" r:id="rId56"/>
          <w:footerReference w:type="even" r:id="rId57"/>
          <w:footerReference w:type="default" r:id="rId58"/>
          <w:headerReference w:type="first" r:id="rId59"/>
          <w:footnotePr>
            <w:numRestart w:val="eachSect"/>
          </w:footnotePr>
          <w:endnotePr>
            <w:numFmt w:val="decimal"/>
          </w:endnotePr>
          <w:type w:val="oddPage"/>
          <w:pgSz w:w="12240" w:h="15840" w:code="1"/>
          <w:pgMar w:top="2160" w:right="1570" w:bottom="1296" w:left="1699" w:header="1296" w:footer="1296" w:gutter="0"/>
          <w:cols w:space="720"/>
          <w:noEndnote/>
          <w:titlePg/>
        </w:sectPr>
      </w:pPr>
    </w:p>
    <w:p w14:paraId="2B69BA3E" w14:textId="6190C9BF" w:rsidR="009071BD" w:rsidRPr="0026653F" w:rsidRDefault="00EE6CD9" w:rsidP="00C618DD">
      <w:pPr>
        <w:pStyle w:val="Heading1"/>
        <w:rPr>
          <w:szCs w:val="22"/>
          <w:lang w:val="fr-FR"/>
        </w:rPr>
      </w:pPr>
      <w:bookmarkStart w:id="44" w:name="_Toc14803673"/>
      <w:bookmarkStart w:id="45" w:name="_Toc74732023"/>
      <w:r w:rsidRPr="0026653F">
        <w:rPr>
          <w:rStyle w:val="Heading1Char"/>
          <w:szCs w:val="22"/>
          <w:lang w:val="fr-FR"/>
        </w:rPr>
        <w:lastRenderedPageBreak/>
        <w:t>AG/RES. 2957 (L-O/20)</w:t>
      </w:r>
      <w:r w:rsidRPr="0026653F">
        <w:rPr>
          <w:rStyle w:val="Heading1Char"/>
          <w:szCs w:val="22"/>
          <w:lang w:val="fr-FR"/>
        </w:rPr>
        <w:br/>
      </w:r>
      <w:r w:rsidRPr="0026653F">
        <w:rPr>
          <w:rStyle w:val="Heading1Char"/>
          <w:szCs w:val="22"/>
          <w:lang w:val="fr-FR"/>
        </w:rPr>
        <w:br/>
      </w:r>
      <w:bookmarkEnd w:id="44"/>
      <w:r w:rsidR="009071BD" w:rsidRPr="0026653F">
        <w:rPr>
          <w:szCs w:val="22"/>
          <w:lang w:val="fr-FR"/>
        </w:rPr>
        <w:t>PROGRAMME-BUDGET 2021 DE L’ORGANISATION</w:t>
      </w:r>
      <w:r w:rsidR="009071BD" w:rsidRPr="0026653F">
        <w:rPr>
          <w:szCs w:val="22"/>
          <w:u w:val="single"/>
          <w:vertAlign w:val="superscript"/>
          <w:lang w:val="fr-FR"/>
        </w:rPr>
        <w:footnoteReference w:id="53"/>
      </w:r>
      <w:r w:rsidR="009071BD" w:rsidRPr="0026653F">
        <w:rPr>
          <w:szCs w:val="22"/>
          <w:vertAlign w:val="superscript"/>
          <w:lang w:val="fr-FR"/>
        </w:rPr>
        <w:t>/</w:t>
      </w:r>
      <w:r w:rsidR="00910EB6" w:rsidRPr="0026653F">
        <w:rPr>
          <w:rStyle w:val="FootnoteReference"/>
          <w:szCs w:val="22"/>
          <w:u w:val="single"/>
          <w:vertAlign w:val="superscript"/>
          <w:lang w:val="fr-FR"/>
        </w:rPr>
        <w:footnoteReference w:id="54"/>
      </w:r>
      <w:r w:rsidR="00910EB6" w:rsidRPr="0026653F">
        <w:rPr>
          <w:szCs w:val="22"/>
          <w:vertAlign w:val="superscript"/>
          <w:lang w:val="fr-FR"/>
        </w:rPr>
        <w:t>/</w:t>
      </w:r>
      <w:bookmarkEnd w:id="45"/>
    </w:p>
    <w:p w14:paraId="121AABF3" w14:textId="77777777" w:rsidR="009071BD" w:rsidRPr="0026653F" w:rsidRDefault="009071BD" w:rsidP="00C618DD">
      <w:pPr>
        <w:jc w:val="left"/>
        <w:rPr>
          <w:color w:val="000000"/>
          <w:szCs w:val="22"/>
          <w:lang w:val="fr-FR" w:eastAsia="es-ES"/>
        </w:rPr>
      </w:pPr>
    </w:p>
    <w:p w14:paraId="2443516F" w14:textId="77777777" w:rsidR="009071BD" w:rsidRPr="0026653F" w:rsidRDefault="009071BD" w:rsidP="00C618DD">
      <w:pPr>
        <w:jc w:val="center"/>
        <w:rPr>
          <w:color w:val="000000"/>
          <w:szCs w:val="22"/>
          <w:lang w:val="fr-FR"/>
        </w:rPr>
      </w:pPr>
      <w:r w:rsidRPr="0026653F">
        <w:rPr>
          <w:color w:val="000000"/>
          <w:szCs w:val="22"/>
          <w:lang w:val="fr-FR"/>
        </w:rPr>
        <w:t>(Résolution adoptée à la première séance plénière, le 20 octobre 2020)</w:t>
      </w:r>
    </w:p>
    <w:p w14:paraId="4597E617" w14:textId="77777777" w:rsidR="009071BD" w:rsidRPr="0026653F" w:rsidRDefault="009071BD" w:rsidP="00C618DD">
      <w:pPr>
        <w:rPr>
          <w:color w:val="000000"/>
          <w:szCs w:val="22"/>
          <w:lang w:val="fr-FR" w:eastAsia="es-ES"/>
        </w:rPr>
      </w:pPr>
    </w:p>
    <w:p w14:paraId="6F62E73B" w14:textId="77777777" w:rsidR="009071BD" w:rsidRPr="0026653F" w:rsidRDefault="009071BD" w:rsidP="00C618DD">
      <w:pPr>
        <w:rPr>
          <w:color w:val="000000"/>
          <w:szCs w:val="22"/>
          <w:lang w:val="fr-FR" w:eastAsia="es-ES"/>
        </w:rPr>
      </w:pPr>
    </w:p>
    <w:p w14:paraId="404DAB55" w14:textId="77777777" w:rsidR="009071BD" w:rsidRPr="0026653F" w:rsidRDefault="009071BD" w:rsidP="00C618DD">
      <w:pPr>
        <w:rPr>
          <w:color w:val="000000"/>
          <w:szCs w:val="22"/>
          <w:lang w:val="fr-FR"/>
        </w:rPr>
      </w:pPr>
      <w:r w:rsidRPr="0026653F">
        <w:rPr>
          <w:color w:val="000000"/>
          <w:szCs w:val="22"/>
          <w:lang w:val="fr-FR"/>
        </w:rPr>
        <w:tab/>
        <w:t>L’ASSEMBLÉE GÉNÉRALE,</w:t>
      </w:r>
    </w:p>
    <w:p w14:paraId="7EB2C11B" w14:textId="77777777" w:rsidR="009071BD" w:rsidRPr="0026653F" w:rsidRDefault="009071BD" w:rsidP="00C618DD">
      <w:pPr>
        <w:rPr>
          <w:color w:val="000000"/>
          <w:szCs w:val="22"/>
          <w:lang w:val="fr-FR" w:eastAsia="es-ES"/>
        </w:rPr>
      </w:pPr>
    </w:p>
    <w:p w14:paraId="2AA711DC" w14:textId="77777777" w:rsidR="009071BD" w:rsidRPr="0026653F" w:rsidRDefault="009071BD" w:rsidP="00C618DD">
      <w:pPr>
        <w:suppressAutoHyphens/>
        <w:rPr>
          <w:color w:val="000000"/>
          <w:szCs w:val="22"/>
          <w:lang w:val="fr-FR"/>
        </w:rPr>
      </w:pPr>
      <w:r w:rsidRPr="0026653F">
        <w:rPr>
          <w:color w:val="000000"/>
          <w:szCs w:val="22"/>
          <w:lang w:val="fr-FR"/>
        </w:rPr>
        <w:t>PRENANT EN COMPTE :</w:t>
      </w:r>
    </w:p>
    <w:p w14:paraId="6664F1DF" w14:textId="77777777" w:rsidR="009071BD" w:rsidRPr="0026653F" w:rsidRDefault="009071BD" w:rsidP="00C618DD">
      <w:pPr>
        <w:suppressAutoHyphens/>
        <w:rPr>
          <w:color w:val="000000"/>
          <w:szCs w:val="22"/>
          <w:lang w:val="fr-FR" w:eastAsia="es-ES"/>
        </w:rPr>
      </w:pPr>
    </w:p>
    <w:p w14:paraId="499FE6C1" w14:textId="7B3C3085" w:rsidR="009071BD" w:rsidRPr="0026653F" w:rsidRDefault="009071BD" w:rsidP="00C618DD">
      <w:pPr>
        <w:ind w:firstLine="720"/>
        <w:contextualSpacing/>
        <w:rPr>
          <w:szCs w:val="22"/>
          <w:lang w:val="fr-FR"/>
        </w:rPr>
      </w:pPr>
      <w:r w:rsidRPr="0026653F">
        <w:rPr>
          <w:rFonts w:eastAsia="Arial Unicode MS"/>
          <w:szCs w:val="22"/>
          <w:lang w:val="fr-FR"/>
        </w:rPr>
        <w:t xml:space="preserve">Qu’aux termes des articles 54 </w:t>
      </w:r>
      <w:r w:rsidRPr="0026653F">
        <w:rPr>
          <w:rFonts w:eastAsia="Arial Unicode MS"/>
          <w:i/>
          <w:iCs/>
          <w:szCs w:val="22"/>
          <w:lang w:val="fr-FR"/>
        </w:rPr>
        <w:t>e</w:t>
      </w:r>
      <w:r w:rsidRPr="0026653F">
        <w:rPr>
          <w:rFonts w:eastAsia="Arial Unicode MS"/>
          <w:szCs w:val="22"/>
          <w:lang w:val="fr-FR"/>
        </w:rPr>
        <w:t xml:space="preserve"> et 55 de la Charte de l’Organisation des États Américains</w:t>
      </w:r>
      <w:r w:rsidR="00915B1A" w:rsidRPr="0026653F">
        <w:rPr>
          <w:rFonts w:eastAsia="Arial Unicode MS"/>
          <w:szCs w:val="22"/>
          <w:lang w:val="fr-FR"/>
        </w:rPr>
        <w:t xml:space="preserve"> (OEA)</w:t>
      </w:r>
      <w:r w:rsidRPr="0026653F">
        <w:rPr>
          <w:rFonts w:eastAsia="Arial Unicode MS"/>
          <w:szCs w:val="22"/>
          <w:lang w:val="fr-FR"/>
        </w:rPr>
        <w:t xml:space="preserve">, </w:t>
      </w:r>
      <w:r w:rsidR="00915B1A" w:rsidRPr="0026653F">
        <w:rPr>
          <w:rFonts w:eastAsia="Arial Unicode MS"/>
          <w:szCs w:val="22"/>
          <w:lang w:val="fr-FR"/>
        </w:rPr>
        <w:t xml:space="preserve">l'Assemblée générale </w:t>
      </w:r>
      <w:r w:rsidRPr="0026653F">
        <w:rPr>
          <w:rFonts w:eastAsia="Arial Unicode MS"/>
          <w:szCs w:val="22"/>
          <w:lang w:val="fr-FR"/>
        </w:rPr>
        <w:t>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w:t>
      </w:r>
    </w:p>
    <w:p w14:paraId="166465CA" w14:textId="77777777" w:rsidR="009071BD" w:rsidRPr="0026653F" w:rsidRDefault="009071BD" w:rsidP="00C618DD">
      <w:pPr>
        <w:suppressAutoHyphens/>
        <w:rPr>
          <w:color w:val="000000"/>
          <w:szCs w:val="22"/>
          <w:lang w:val="fr-FR" w:eastAsia="es-ES"/>
        </w:rPr>
      </w:pPr>
    </w:p>
    <w:p w14:paraId="24A1AA89" w14:textId="4C762480" w:rsidR="009071BD" w:rsidRPr="0026653F" w:rsidRDefault="009071BD" w:rsidP="00C618DD">
      <w:pPr>
        <w:ind w:firstLine="720"/>
        <w:contextualSpacing/>
        <w:rPr>
          <w:szCs w:val="22"/>
          <w:lang w:val="fr-FR"/>
        </w:rPr>
      </w:pPr>
      <w:r w:rsidRPr="0026653F">
        <w:rPr>
          <w:rFonts w:eastAsia="Arial Unicode MS"/>
          <w:szCs w:val="22"/>
          <w:lang w:val="fr-FR"/>
        </w:rPr>
        <w:t xml:space="preserve">Que, lors de sa trentième session ordinaire, par la résolution AG/RES. 1757 (XXX-O/00), l’Assemblée générale a approuvé les mesures destinées à encourager le versement ponctuel des quotes-parts, et qu’elle a par la suite modifié ces mesures </w:t>
      </w:r>
      <w:r w:rsidR="008007C8" w:rsidRPr="0026653F">
        <w:rPr>
          <w:rFonts w:eastAsia="Arial Unicode MS"/>
          <w:szCs w:val="22"/>
          <w:lang w:val="fr-FR"/>
        </w:rPr>
        <w:t xml:space="preserve">au moyen des </w:t>
      </w:r>
      <w:r w:rsidRPr="0026653F">
        <w:rPr>
          <w:rFonts w:eastAsia="Arial Unicode MS"/>
          <w:szCs w:val="22"/>
          <w:lang w:val="fr-FR"/>
        </w:rPr>
        <w:t>résolutions AG/RES. 2157 (XXXV-O/05) et AG/RES. 1 (XLII-E/11) rev. 1 ;</w:t>
      </w:r>
    </w:p>
    <w:p w14:paraId="69180D6D" w14:textId="77777777" w:rsidR="009071BD" w:rsidRPr="0026653F" w:rsidRDefault="009071BD" w:rsidP="00C618DD">
      <w:pPr>
        <w:jc w:val="left"/>
        <w:rPr>
          <w:color w:val="000000"/>
          <w:szCs w:val="22"/>
          <w:lang w:val="fr-FR" w:eastAsia="es-ES"/>
        </w:rPr>
      </w:pPr>
    </w:p>
    <w:p w14:paraId="5AC80F9F" w14:textId="77777777" w:rsidR="009071BD" w:rsidRPr="0026653F" w:rsidRDefault="009071BD" w:rsidP="00C618DD">
      <w:pPr>
        <w:ind w:firstLine="720"/>
        <w:contextualSpacing/>
        <w:rPr>
          <w:color w:val="000000"/>
          <w:szCs w:val="22"/>
          <w:lang w:val="fr-FR"/>
        </w:rPr>
      </w:pPr>
      <w:r w:rsidRPr="0026653F">
        <w:rPr>
          <w:rFonts w:eastAsia="Arial Unicode MS"/>
          <w:szCs w:val="22"/>
          <w:lang w:val="fr-FR"/>
        </w:rPr>
        <w:t xml:space="preserve">Que, lors de sa trente-quatrième session extraordinaire, par la résolution </w:t>
      </w:r>
      <w:hyperlink r:id="rId60" w:history="1">
        <w:r w:rsidRPr="0026653F">
          <w:rPr>
            <w:rFonts w:eastAsia="Arial Unicode MS"/>
            <w:color w:val="0000FF"/>
            <w:szCs w:val="22"/>
            <w:lang w:val="fr-FR"/>
          </w:rPr>
          <w:t>AG/RES.</w:t>
        </w:r>
      </w:hyperlink>
      <w:hyperlink r:id="rId61" w:history="1">
        <w:r w:rsidRPr="0026653F">
          <w:rPr>
            <w:rFonts w:eastAsia="Arial Unicode MS"/>
            <w:color w:val="0000FF"/>
            <w:szCs w:val="22"/>
            <w:lang w:val="fr-FR"/>
          </w:rPr>
          <w:t xml:space="preserve"> 1 (XXXIV-E/07) </w:t>
        </w:r>
      </w:hyperlink>
      <w:r w:rsidRPr="0026653F">
        <w:rPr>
          <w:rFonts w:eastAsia="Arial Unicode MS"/>
          <w:color w:val="000000"/>
          <w:szCs w:val="22"/>
          <w:lang w:val="fr-FR"/>
        </w:rPr>
        <w:t>rev. 1, elle a adopté la méthode de calcul du barème des quotes-parts pour le financement du Fonds ordinaire de l’Organisation ;</w:t>
      </w:r>
    </w:p>
    <w:p w14:paraId="480C3EB9" w14:textId="77777777" w:rsidR="009071BD" w:rsidRPr="0026653F" w:rsidRDefault="009071BD" w:rsidP="00C618DD">
      <w:pPr>
        <w:jc w:val="left"/>
        <w:rPr>
          <w:color w:val="000000"/>
          <w:szCs w:val="22"/>
          <w:lang w:val="fr-FR" w:eastAsia="es-ES"/>
        </w:rPr>
      </w:pPr>
    </w:p>
    <w:p w14:paraId="18CF11A2" w14:textId="6B6313A5" w:rsidR="009071BD" w:rsidRPr="0026653F" w:rsidRDefault="009071BD" w:rsidP="00C618DD">
      <w:pPr>
        <w:ind w:firstLine="720"/>
        <w:contextualSpacing/>
        <w:rPr>
          <w:color w:val="000000"/>
          <w:szCs w:val="22"/>
          <w:lang w:val="fr-FR"/>
        </w:rPr>
      </w:pPr>
      <w:r w:rsidRPr="0026653F">
        <w:rPr>
          <w:rFonts w:eastAsia="Arial Unicode MS"/>
          <w:color w:val="000000"/>
          <w:szCs w:val="22"/>
          <w:lang w:val="fr-FR"/>
        </w:rPr>
        <w:t>Que, au moyen de la résolution AG/RES. </w:t>
      </w:r>
      <w:r w:rsidRPr="0026653F">
        <w:rPr>
          <w:rFonts w:eastAsia="Arial Unicode MS"/>
          <w:szCs w:val="22"/>
          <w:lang w:val="fr-FR"/>
        </w:rPr>
        <w:t xml:space="preserve">1 (LIII-E/18), « Programme-budget 2019 de l’Organisation », elle a adopté la résolution </w:t>
      </w:r>
      <w:hyperlink r:id="rId62" w:history="1">
        <w:r w:rsidRPr="0026653F">
          <w:rPr>
            <w:rFonts w:eastAsia="Arial Unicode MS"/>
            <w:color w:val="0000FF"/>
            <w:szCs w:val="22"/>
            <w:u w:val="single"/>
            <w:lang w:val="fr-FR"/>
          </w:rPr>
          <w:t>CP/RES.</w:t>
        </w:r>
      </w:hyperlink>
      <w:hyperlink r:id="rId63" w:history="1">
        <w:r w:rsidRPr="0026653F">
          <w:rPr>
            <w:rFonts w:eastAsia="Arial Unicode MS"/>
            <w:color w:val="0000FF"/>
            <w:szCs w:val="22"/>
            <w:u w:val="single"/>
            <w:lang w:val="fr-FR"/>
          </w:rPr>
          <w:t> 1103 (2168/18)</w:t>
        </w:r>
      </w:hyperlink>
      <w:r w:rsidRPr="0026653F">
        <w:rPr>
          <w:rFonts w:eastAsia="Arial Unicode MS"/>
          <w:color w:val="0000FF"/>
          <w:szCs w:val="22"/>
          <w:lang w:val="fr-FR"/>
        </w:rPr>
        <w:t xml:space="preserve"> </w:t>
      </w:r>
      <w:r w:rsidRPr="0026653F">
        <w:rPr>
          <w:rFonts w:eastAsia="Arial Unicode MS"/>
          <w:szCs w:val="22"/>
          <w:lang w:val="fr-FR"/>
        </w:rPr>
        <w:t>rev.</w:t>
      </w:r>
      <w:r w:rsidRPr="0026653F">
        <w:rPr>
          <w:rFonts w:eastAsia="Arial Unicode MS"/>
          <w:color w:val="0000FF"/>
          <w:szCs w:val="22"/>
          <w:lang w:val="fr-FR"/>
        </w:rPr>
        <w:t> </w:t>
      </w:r>
      <w:r w:rsidRPr="0026653F">
        <w:rPr>
          <w:rFonts w:eastAsia="Arial Unicode MS"/>
          <w:szCs w:val="22"/>
          <w:lang w:val="fr-FR"/>
        </w:rPr>
        <w:t xml:space="preserve">1, « Modifications à la méthodologie pour le calcul du barème des quotes-parts pour le financement du Fonds ordinaire de l’Organisation 2019-2023 » ainsi que la résolution </w:t>
      </w:r>
      <w:hyperlink r:id="rId64" w:history="1">
        <w:r w:rsidRPr="0026653F">
          <w:rPr>
            <w:rFonts w:eastAsia="Arial Unicode MS"/>
            <w:color w:val="0000FF"/>
            <w:szCs w:val="22"/>
            <w:u w:val="single"/>
            <w:lang w:val="fr-FR"/>
          </w:rPr>
          <w:t>CP/RES.</w:t>
        </w:r>
      </w:hyperlink>
      <w:hyperlink r:id="rId65" w:history="1">
        <w:r w:rsidRPr="0026653F">
          <w:rPr>
            <w:rFonts w:eastAsia="Arial Unicode MS"/>
            <w:color w:val="0000FF"/>
            <w:szCs w:val="22"/>
            <w:u w:val="single"/>
            <w:lang w:val="fr-FR"/>
          </w:rPr>
          <w:t> 1104 (2168/18) rev.</w:t>
        </w:r>
      </w:hyperlink>
      <w:r w:rsidRPr="0026653F">
        <w:rPr>
          <w:rFonts w:eastAsia="Arial Unicode MS"/>
          <w:color w:val="0000FF"/>
          <w:szCs w:val="22"/>
          <w:u w:val="single"/>
          <w:lang w:val="fr-FR"/>
        </w:rPr>
        <w:t xml:space="preserve"> </w:t>
      </w:r>
      <w:hyperlink r:id="rId66" w:history="1">
        <w:r w:rsidRPr="0026653F">
          <w:rPr>
            <w:rFonts w:eastAsia="Arial Unicode MS"/>
            <w:color w:val="0000FF"/>
            <w:szCs w:val="22"/>
            <w:u w:val="single"/>
            <w:lang w:val="fr-FR"/>
          </w:rPr>
          <w:t>1</w:t>
        </w:r>
      </w:hyperlink>
      <w:r w:rsidRPr="0026653F">
        <w:rPr>
          <w:rFonts w:eastAsia="Arial Unicode MS"/>
          <w:color w:val="000000"/>
          <w:szCs w:val="22"/>
          <w:lang w:val="fr-FR"/>
        </w:rPr>
        <w:t>, « Réalisation d’une étude technique pour l’analyse de la méthodologie d</w:t>
      </w:r>
      <w:r w:rsidR="00BA428A" w:rsidRPr="0026653F">
        <w:rPr>
          <w:rFonts w:eastAsia="Arial Unicode MS"/>
          <w:color w:val="000000"/>
          <w:szCs w:val="22"/>
          <w:lang w:val="fr-FR"/>
        </w:rPr>
        <w:t>e</w:t>
      </w:r>
      <w:r w:rsidRPr="0026653F">
        <w:rPr>
          <w:rFonts w:eastAsia="Arial Unicode MS"/>
          <w:color w:val="000000"/>
          <w:szCs w:val="22"/>
          <w:lang w:val="fr-FR"/>
        </w:rPr>
        <w:t xml:space="preserve"> calcul du barème des quotes-parts pour le financement du Fonds ordinaire de l’Organisation » ;</w:t>
      </w:r>
    </w:p>
    <w:p w14:paraId="5AE41FD5" w14:textId="77777777" w:rsidR="009071BD" w:rsidRPr="0026653F" w:rsidRDefault="009071BD" w:rsidP="00C618DD">
      <w:pPr>
        <w:jc w:val="left"/>
        <w:rPr>
          <w:color w:val="000000"/>
          <w:szCs w:val="22"/>
          <w:lang w:val="fr-FR" w:eastAsia="es-ES"/>
        </w:rPr>
      </w:pPr>
    </w:p>
    <w:p w14:paraId="7CA6201E" w14:textId="7562F944" w:rsidR="009071BD" w:rsidRPr="0026653F" w:rsidRDefault="009071BD" w:rsidP="00C618DD">
      <w:pPr>
        <w:ind w:firstLine="720"/>
        <w:contextualSpacing/>
        <w:rPr>
          <w:color w:val="000000"/>
          <w:szCs w:val="22"/>
          <w:lang w:val="fr-FR"/>
        </w:rPr>
      </w:pPr>
      <w:r w:rsidRPr="0026653F">
        <w:rPr>
          <w:rFonts w:eastAsia="Arial Unicode MS"/>
          <w:color w:val="000000"/>
          <w:szCs w:val="22"/>
          <w:lang w:val="fr-FR"/>
        </w:rPr>
        <w:t>Qu’en vertu de la méthodologie approuvée par la résolution</w:t>
      </w:r>
      <w:r w:rsidRPr="0026653F">
        <w:rPr>
          <w:rFonts w:eastAsia="Arial Unicode MS"/>
          <w:szCs w:val="22"/>
          <w:lang w:val="fr-FR"/>
        </w:rPr>
        <w:t xml:space="preserve"> </w:t>
      </w:r>
      <w:hyperlink r:id="rId67" w:history="1">
        <w:r w:rsidRPr="0026653F">
          <w:rPr>
            <w:rFonts w:eastAsia="Arial Unicode MS"/>
            <w:color w:val="0000FF"/>
            <w:szCs w:val="22"/>
            <w:u w:val="single"/>
            <w:lang w:val="fr-FR"/>
          </w:rPr>
          <w:t>CP/RES.</w:t>
        </w:r>
      </w:hyperlink>
      <w:hyperlink r:id="rId68" w:history="1">
        <w:r w:rsidRPr="0026653F">
          <w:rPr>
            <w:rFonts w:eastAsia="Arial Unicode MS"/>
            <w:color w:val="0000FF"/>
            <w:szCs w:val="22"/>
            <w:u w:val="single"/>
            <w:lang w:val="fr-FR"/>
          </w:rPr>
          <w:t> 1103 (2168/18)</w:t>
        </w:r>
      </w:hyperlink>
      <w:r w:rsidRPr="0026653F">
        <w:rPr>
          <w:rFonts w:eastAsia="Arial Unicode MS"/>
          <w:color w:val="0000FF"/>
          <w:szCs w:val="22"/>
          <w:u w:val="single"/>
          <w:lang w:val="fr-FR"/>
        </w:rPr>
        <w:t xml:space="preserve"> re</w:t>
      </w:r>
      <w:r w:rsidR="00494FFE" w:rsidRPr="0026653F">
        <w:rPr>
          <w:rFonts w:eastAsia="Arial Unicode MS"/>
          <w:color w:val="0000FF"/>
          <w:szCs w:val="22"/>
          <w:u w:val="single"/>
          <w:lang w:val="fr-FR"/>
        </w:rPr>
        <w:t>v. 1</w:t>
      </w:r>
      <w:r w:rsidRPr="0026653F">
        <w:rPr>
          <w:rFonts w:eastAsia="Arial Unicode MS"/>
          <w:szCs w:val="22"/>
          <w:lang w:val="fr-FR"/>
        </w:rPr>
        <w:t>, les pourcentages des quotes-parts des États membres pour la période 2019-2023 ont été attribués ;</w:t>
      </w:r>
    </w:p>
    <w:p w14:paraId="0C2B14C4" w14:textId="77777777" w:rsidR="009071BD" w:rsidRPr="0026653F" w:rsidRDefault="009071BD" w:rsidP="00C618DD">
      <w:pPr>
        <w:jc w:val="left"/>
        <w:rPr>
          <w:color w:val="000000"/>
          <w:szCs w:val="22"/>
          <w:lang w:val="fr-FR" w:eastAsia="es-ES"/>
        </w:rPr>
      </w:pPr>
    </w:p>
    <w:p w14:paraId="6BC84C09" w14:textId="52F59647" w:rsidR="009071BD" w:rsidRPr="0026653F" w:rsidRDefault="009071BD" w:rsidP="00C618DD">
      <w:pPr>
        <w:ind w:firstLine="720"/>
        <w:contextualSpacing/>
        <w:rPr>
          <w:szCs w:val="22"/>
          <w:lang w:val="fr-FR"/>
        </w:rPr>
      </w:pPr>
      <w:r w:rsidRPr="0026653F">
        <w:rPr>
          <w:rFonts w:eastAsia="Arial Unicode MS"/>
          <w:szCs w:val="22"/>
          <w:lang w:val="fr-FR"/>
        </w:rPr>
        <w:t>Que, au moyen de la résolution AG/RES. 2940 (XLIX-O/19), « Programme-budget 2020 de l’Organisation », l’Assemblée générale a approuvé les montants des crédits du Fonds ordinaire par chapitre et chargé le Secrétariat général de présenter au Conseil permanent une proposition de répartition des ressources par sous-programme en fonction de</w:t>
      </w:r>
      <w:r w:rsidR="00BA428A" w:rsidRPr="0026653F">
        <w:rPr>
          <w:rFonts w:eastAsia="Arial Unicode MS"/>
          <w:szCs w:val="22"/>
          <w:lang w:val="fr-FR"/>
        </w:rPr>
        <w:t xml:space="preserve">s </w:t>
      </w:r>
      <w:r w:rsidRPr="0026653F">
        <w:rPr>
          <w:rFonts w:eastAsia="Arial Unicode MS"/>
          <w:szCs w:val="22"/>
          <w:lang w:val="fr-FR"/>
        </w:rPr>
        <w:t>montants totaux par chapitre ;</w:t>
      </w:r>
    </w:p>
    <w:p w14:paraId="7E19F53E" w14:textId="77777777" w:rsidR="009071BD" w:rsidRPr="0026653F" w:rsidRDefault="009071BD" w:rsidP="00C618DD">
      <w:pPr>
        <w:suppressAutoHyphens/>
        <w:rPr>
          <w:bCs/>
          <w:color w:val="000000"/>
          <w:szCs w:val="22"/>
          <w:lang w:val="fr-FR" w:eastAsia="es-ES"/>
        </w:rPr>
      </w:pPr>
    </w:p>
    <w:p w14:paraId="44E25504" w14:textId="60E9AF7D" w:rsidR="009071BD" w:rsidRPr="0026653F" w:rsidRDefault="009071BD" w:rsidP="00C618DD">
      <w:pPr>
        <w:ind w:firstLine="720"/>
        <w:contextualSpacing/>
        <w:rPr>
          <w:color w:val="000000"/>
          <w:szCs w:val="22"/>
          <w:lang w:val="fr-FR"/>
        </w:rPr>
      </w:pPr>
      <w:r w:rsidRPr="0026653F">
        <w:rPr>
          <w:rFonts w:eastAsia="Arial Unicode MS"/>
          <w:szCs w:val="22"/>
          <w:lang w:val="fr-FR"/>
        </w:rPr>
        <w:lastRenderedPageBreak/>
        <w:t xml:space="preserve">Que le Conseil permanent a adopté la résolution CP/RES. 1138 (2247/19), « Approbation de la répartition des ressources par sous-programme pour 2020, conformément </w:t>
      </w:r>
      <w:r w:rsidR="00BA428A" w:rsidRPr="0026653F">
        <w:rPr>
          <w:rFonts w:eastAsia="Arial Unicode MS"/>
          <w:szCs w:val="22"/>
          <w:lang w:val="fr-FR"/>
        </w:rPr>
        <w:t xml:space="preserve">à </w:t>
      </w:r>
      <w:r w:rsidRPr="0026653F">
        <w:rPr>
          <w:rFonts w:eastAsia="Arial Unicode MS"/>
          <w:szCs w:val="22"/>
          <w:lang w:val="fr-FR"/>
        </w:rPr>
        <w:t>la résolution AG/RES.</w:t>
      </w:r>
      <w:r w:rsidR="00037053">
        <w:rPr>
          <w:rFonts w:eastAsia="Arial Unicode MS"/>
          <w:szCs w:val="22"/>
          <w:lang w:val="fr-FR"/>
        </w:rPr>
        <w:t> </w:t>
      </w:r>
      <w:r w:rsidRPr="0026653F">
        <w:rPr>
          <w:rFonts w:eastAsia="Arial Unicode MS"/>
          <w:szCs w:val="22"/>
          <w:lang w:val="fr-FR"/>
        </w:rPr>
        <w:t>2940 (XLIX-O/19)</w:t>
      </w:r>
      <w:r w:rsidR="00BA428A" w:rsidRPr="0026653F">
        <w:rPr>
          <w:rFonts w:eastAsia="Arial Unicode MS"/>
          <w:szCs w:val="22"/>
          <w:lang w:val="fr-FR"/>
        </w:rPr>
        <w:t xml:space="preserve"> intitulée ‘</w:t>
      </w:r>
      <w:r w:rsidRPr="0026653F">
        <w:rPr>
          <w:rFonts w:eastAsia="Arial Unicode MS"/>
          <w:szCs w:val="22"/>
          <w:lang w:val="fr-FR"/>
        </w:rPr>
        <w:t>Programme-budget 2020 de l’Organisation</w:t>
      </w:r>
      <w:r w:rsidR="00BA428A" w:rsidRPr="0026653F">
        <w:rPr>
          <w:rFonts w:eastAsia="Arial Unicode MS"/>
          <w:szCs w:val="22"/>
          <w:lang w:val="fr-FR"/>
        </w:rPr>
        <w:t>’</w:t>
      </w:r>
      <w:r w:rsidRPr="0026653F">
        <w:rPr>
          <w:rFonts w:eastAsia="Arial Unicode MS"/>
          <w:szCs w:val="22"/>
          <w:lang w:val="fr-FR"/>
        </w:rPr>
        <w:t> » ;</w:t>
      </w:r>
    </w:p>
    <w:p w14:paraId="39E46048" w14:textId="77777777" w:rsidR="009071BD" w:rsidRPr="0026653F" w:rsidRDefault="009071BD" w:rsidP="00C618DD">
      <w:pPr>
        <w:suppressAutoHyphens/>
        <w:rPr>
          <w:bCs/>
          <w:color w:val="000000"/>
          <w:szCs w:val="22"/>
          <w:lang w:val="fr-FR" w:eastAsia="es-ES"/>
        </w:rPr>
      </w:pPr>
    </w:p>
    <w:p w14:paraId="094E7E3B" w14:textId="2692AF96" w:rsidR="009071BD" w:rsidRPr="0026653F" w:rsidRDefault="009071BD" w:rsidP="00C618DD">
      <w:pPr>
        <w:ind w:firstLine="720"/>
        <w:contextualSpacing/>
        <w:rPr>
          <w:szCs w:val="22"/>
          <w:lang w:val="fr-FR" w:eastAsia="es-ES"/>
        </w:rPr>
      </w:pPr>
      <w:r w:rsidRPr="0026653F">
        <w:rPr>
          <w:rFonts w:eastAsia="Arial Unicode MS"/>
          <w:szCs w:val="22"/>
          <w:lang w:val="fr-FR"/>
        </w:rPr>
        <w:t xml:space="preserve">Que, conformément à la résolution AG/RES. 2940 (XLIX-O/19), </w:t>
      </w:r>
      <w:r w:rsidR="00915B1A" w:rsidRPr="0026653F">
        <w:rPr>
          <w:rFonts w:eastAsia="Arial Unicode MS"/>
          <w:szCs w:val="22"/>
          <w:lang w:val="fr-FR"/>
        </w:rPr>
        <w:t xml:space="preserve">l'Assemblée générale </w:t>
      </w:r>
      <w:r w:rsidRPr="0026653F">
        <w:rPr>
          <w:rFonts w:eastAsia="Arial Unicode MS"/>
          <w:szCs w:val="22"/>
          <w:lang w:val="fr-FR"/>
        </w:rPr>
        <w:t xml:space="preserve">a chargé le Secrétariat général de soumettre à la Commission préparatoire </w:t>
      </w:r>
      <w:r w:rsidR="00915B1A" w:rsidRPr="0026653F">
        <w:rPr>
          <w:rFonts w:eastAsia="Arial Unicode MS"/>
          <w:szCs w:val="22"/>
          <w:lang w:val="fr-FR"/>
        </w:rPr>
        <w:t xml:space="preserve">de l'Assemblée générale </w:t>
      </w:r>
      <w:r w:rsidRPr="0026653F">
        <w:rPr>
          <w:rFonts w:eastAsia="Arial Unicode MS"/>
          <w:szCs w:val="22"/>
          <w:lang w:val="fr-FR"/>
        </w:rPr>
        <w:t>un</w:t>
      </w:r>
      <w:r w:rsidR="00BA428A" w:rsidRPr="0026653F">
        <w:rPr>
          <w:rFonts w:eastAsia="Arial Unicode MS"/>
          <w:szCs w:val="22"/>
          <w:lang w:val="fr-FR"/>
        </w:rPr>
        <w:t xml:space="preserve">e proposition </w:t>
      </w:r>
      <w:r w:rsidRPr="0026653F">
        <w:rPr>
          <w:rFonts w:eastAsia="Arial Unicode MS"/>
          <w:szCs w:val="22"/>
          <w:lang w:val="fr-FR"/>
        </w:rPr>
        <w:t xml:space="preserve">correspondant au niveau budgétaire global pour l’exercice 2021 ainsi qu’un niveau </w:t>
      </w:r>
      <w:r w:rsidR="00BA428A" w:rsidRPr="0026653F">
        <w:rPr>
          <w:rFonts w:eastAsia="Arial Unicode MS"/>
          <w:szCs w:val="22"/>
          <w:lang w:val="fr-FR"/>
        </w:rPr>
        <w:t xml:space="preserve">budgétaire </w:t>
      </w:r>
      <w:r w:rsidRPr="0026653F">
        <w:rPr>
          <w:rFonts w:eastAsia="Arial Unicode MS"/>
          <w:szCs w:val="22"/>
          <w:lang w:val="fr-FR"/>
        </w:rPr>
        <w:t>provisoire pour l’exercice 2022, conformément aux règles en vigueur, incluant l'ajustement en fonction du coût de la vie et de l'inflation, selon le besoin ;</w:t>
      </w:r>
    </w:p>
    <w:p w14:paraId="234D4945" w14:textId="77777777" w:rsidR="009071BD" w:rsidRPr="0026653F" w:rsidRDefault="009071BD" w:rsidP="00C618DD">
      <w:pPr>
        <w:contextualSpacing/>
        <w:rPr>
          <w:rFonts w:eastAsia="Arial Unicode MS"/>
          <w:szCs w:val="22"/>
          <w:lang w:val="fr-FR"/>
        </w:rPr>
      </w:pPr>
    </w:p>
    <w:p w14:paraId="67009981" w14:textId="156B6C06" w:rsidR="009071BD" w:rsidRPr="0026653F" w:rsidRDefault="009071BD" w:rsidP="00C618DD">
      <w:pPr>
        <w:ind w:firstLine="720"/>
        <w:contextualSpacing/>
        <w:rPr>
          <w:rFonts w:eastAsia="MS Mincho"/>
          <w:szCs w:val="22"/>
          <w:lang w:val="fr-FR"/>
        </w:rPr>
      </w:pPr>
      <w:r w:rsidRPr="0026653F">
        <w:rPr>
          <w:rFonts w:eastAsia="Arial Unicode MS"/>
          <w:szCs w:val="22"/>
          <w:lang w:val="fr-FR"/>
        </w:rPr>
        <w:t xml:space="preserve">Que, au moyen de la résolution AG/RES. 2942 (XLIX-O/19), « Renforcement de la déontologie, de la surveillance et de la transparence au sein de l’Organisation des États Américains », l’Assemblée générale a approuvé des mesures en rapport avec l’éthique, les audits externes et la transparence ainsi que des modifications des Normes générales de fonctionnement du Secrétariat général </w:t>
      </w:r>
      <w:r w:rsidR="009A7E02" w:rsidRPr="0026653F">
        <w:rPr>
          <w:rFonts w:eastAsia="Arial Unicode MS"/>
          <w:szCs w:val="22"/>
          <w:lang w:val="fr-FR"/>
        </w:rPr>
        <w:t xml:space="preserve">de l’Organisation des États Américains </w:t>
      </w:r>
      <w:r w:rsidRPr="0026653F">
        <w:rPr>
          <w:rFonts w:eastAsia="Arial Unicode MS"/>
          <w:szCs w:val="22"/>
          <w:lang w:val="fr-FR"/>
        </w:rPr>
        <w:t>(Normes générales) tout en s’engageant à suivre le cours de la mise en œuvre des mesures de réforme approuvées pour renforcer et améliorer la transparence, l’efficience et l’efficacité de l’OEA à ce jour et à rester saisie de la question de même que d’autres initiatives similaires à l’avenir ;</w:t>
      </w:r>
    </w:p>
    <w:p w14:paraId="1D0DE7F8" w14:textId="77777777" w:rsidR="009071BD" w:rsidRPr="0026653F" w:rsidRDefault="009071BD" w:rsidP="00C618DD">
      <w:pPr>
        <w:jc w:val="left"/>
        <w:rPr>
          <w:rFonts w:eastAsia="MS Mincho"/>
          <w:bCs/>
          <w:color w:val="000000"/>
          <w:szCs w:val="22"/>
          <w:lang w:val="fr-FR"/>
        </w:rPr>
      </w:pPr>
    </w:p>
    <w:p w14:paraId="3988E378" w14:textId="77777777" w:rsidR="009071BD" w:rsidRPr="0026653F" w:rsidRDefault="009071BD" w:rsidP="00C618DD">
      <w:pPr>
        <w:ind w:firstLine="720"/>
        <w:contextualSpacing/>
        <w:rPr>
          <w:rFonts w:eastAsia="MS Mincho"/>
          <w:szCs w:val="22"/>
          <w:lang w:val="fr-FR"/>
        </w:rPr>
      </w:pPr>
      <w:r w:rsidRPr="0026653F">
        <w:rPr>
          <w:rFonts w:eastAsia="Arial Unicode MS"/>
          <w:szCs w:val="22"/>
          <w:lang w:val="fr-FR"/>
        </w:rPr>
        <w:t>Qu’aux termes de l’article 86 des Normes générales, il revient au Secrétariat général de soumettre au Conseil permanent une proposition de budget pour l’emploi des ressources provenant du recouvrement des coûts indirects (RCI), laquelle sera basée sur les recettes anticipées équivalant à 90 % de la moyenne du RCI obtenue durant les trois années précédant immédiatement l’année d’approbation du programme-budget, étant entendu que ce budget de RCI sera également approuvé par l’Assemblée générale ;</w:t>
      </w:r>
    </w:p>
    <w:p w14:paraId="538B4C48" w14:textId="77777777" w:rsidR="009071BD" w:rsidRPr="0026653F" w:rsidRDefault="009071BD" w:rsidP="00C618DD">
      <w:pPr>
        <w:jc w:val="left"/>
        <w:rPr>
          <w:color w:val="000000"/>
          <w:szCs w:val="22"/>
          <w:lang w:val="fr-FR" w:eastAsia="es-ES"/>
        </w:rPr>
      </w:pPr>
    </w:p>
    <w:p w14:paraId="21FA5042" w14:textId="77777777" w:rsidR="009071BD" w:rsidRPr="0026653F" w:rsidRDefault="009071BD" w:rsidP="00C618DD">
      <w:pPr>
        <w:ind w:firstLine="720"/>
        <w:contextualSpacing/>
        <w:rPr>
          <w:szCs w:val="22"/>
          <w:lang w:val="fr-FR"/>
        </w:rPr>
      </w:pPr>
      <w:r w:rsidRPr="0026653F">
        <w:rPr>
          <w:rFonts w:eastAsia="Arial Unicode MS"/>
          <w:szCs w:val="22"/>
          <w:lang w:val="fr-FR"/>
        </w:rPr>
        <w:t>Que le financement du programme-budget comprend les recettes au titre des quotes-parts, les recettes au titre des intérêts et des remboursements ainsi que d’autres recettes, conformément au chapitre IV des Normes générales ;</w:t>
      </w:r>
    </w:p>
    <w:p w14:paraId="1AE5AF3F" w14:textId="77777777" w:rsidR="009071BD" w:rsidRPr="0026653F" w:rsidRDefault="009071BD" w:rsidP="00C618DD">
      <w:pPr>
        <w:jc w:val="left"/>
        <w:rPr>
          <w:color w:val="000000"/>
          <w:szCs w:val="22"/>
          <w:lang w:val="fr-FR" w:eastAsia="es-ES"/>
        </w:rPr>
      </w:pPr>
    </w:p>
    <w:p w14:paraId="7880D15C" w14:textId="77777777" w:rsidR="009071BD" w:rsidRPr="0026653F" w:rsidRDefault="009071BD" w:rsidP="00C618DD">
      <w:pPr>
        <w:ind w:firstLine="720"/>
        <w:contextualSpacing/>
        <w:rPr>
          <w:szCs w:val="22"/>
          <w:lang w:val="fr-FR"/>
        </w:rPr>
      </w:pPr>
      <w:r w:rsidRPr="0026653F">
        <w:rPr>
          <w:rFonts w:eastAsia="Arial Unicode MS"/>
          <w:szCs w:val="22"/>
          <w:lang w:val="fr-FR"/>
        </w:rPr>
        <w:t>Que, en ce qui concerne la Commission des vérificateurs extérieurs, l’article 141 des Normes générales prévoit que « [l]a Commission soumettra son rapport au Conseil permanent au cours des quatre premiers mois de l’année » et que « [l]e Conseil permanent y formulera les observations et recommandations qu’il estime nécessaires » ;</w:t>
      </w:r>
    </w:p>
    <w:p w14:paraId="00ECAF96" w14:textId="77777777" w:rsidR="009071BD" w:rsidRPr="0026653F" w:rsidRDefault="009071BD" w:rsidP="00C618DD">
      <w:pPr>
        <w:jc w:val="left"/>
        <w:rPr>
          <w:bCs/>
          <w:color w:val="000000"/>
          <w:szCs w:val="22"/>
          <w:lang w:val="fr-FR" w:eastAsia="es-ES"/>
        </w:rPr>
      </w:pPr>
    </w:p>
    <w:p w14:paraId="1318B608" w14:textId="50D44555" w:rsidR="009071BD" w:rsidRPr="004E44A6" w:rsidRDefault="009071BD" w:rsidP="00C618DD">
      <w:pPr>
        <w:ind w:firstLine="720"/>
        <w:contextualSpacing/>
        <w:rPr>
          <w:bCs/>
          <w:szCs w:val="22"/>
          <w:lang w:val="fr-FR"/>
        </w:rPr>
      </w:pPr>
      <w:r w:rsidRPr="0026653F">
        <w:rPr>
          <w:rFonts w:eastAsia="Arial Unicode MS"/>
          <w:szCs w:val="22"/>
          <w:lang w:val="fr-FR"/>
        </w:rPr>
        <w:t xml:space="preserve">Que, par sa résolution AG/RES. 2942 (XLIX-O/19), l’Assemblée générale a </w:t>
      </w:r>
      <w:r w:rsidR="00915B1A" w:rsidRPr="0026653F">
        <w:rPr>
          <w:rFonts w:eastAsia="Arial Unicode MS"/>
          <w:szCs w:val="22"/>
          <w:lang w:val="fr-FR"/>
        </w:rPr>
        <w:t xml:space="preserve">exhorté </w:t>
      </w:r>
      <w:r w:rsidRPr="0026653F">
        <w:rPr>
          <w:rFonts w:eastAsia="Arial Unicode MS"/>
          <w:szCs w:val="22"/>
          <w:lang w:val="fr-FR"/>
        </w:rPr>
        <w:t xml:space="preserve">la </w:t>
      </w:r>
      <w:r w:rsidR="009114DF" w:rsidRPr="0026653F">
        <w:rPr>
          <w:rFonts w:eastAsia="Arial Unicode MS"/>
          <w:szCs w:val="22"/>
          <w:lang w:val="fr-FR"/>
        </w:rPr>
        <w:t>Commission des questions administratives et budgétaires (CAAP)</w:t>
      </w:r>
      <w:r w:rsidRPr="0026653F">
        <w:rPr>
          <w:rFonts w:eastAsia="Arial Unicode MS"/>
          <w:szCs w:val="22"/>
          <w:lang w:val="fr-FR"/>
        </w:rPr>
        <w:t xml:space="preserve"> à élaborer, en collaboration avec le Secrétariat général, un rapport </w:t>
      </w:r>
      <w:r w:rsidR="009114DF" w:rsidRPr="0026653F">
        <w:rPr>
          <w:rFonts w:eastAsia="Arial Unicode MS"/>
          <w:szCs w:val="22"/>
          <w:lang w:val="fr-FR"/>
        </w:rPr>
        <w:t>d’avancement</w:t>
      </w:r>
      <w:r w:rsidRPr="0026653F">
        <w:rPr>
          <w:rFonts w:eastAsia="Arial Unicode MS"/>
          <w:szCs w:val="22"/>
          <w:lang w:val="fr-FR"/>
        </w:rPr>
        <w:t xml:space="preserve"> portant sur le suivi de l’application des recommandations de la Commission des vérificateurs extérieurs, lequel rapport doit être transmis au Conseil permanent au plus tard le 1</w:t>
      </w:r>
      <w:r w:rsidRPr="0026653F">
        <w:rPr>
          <w:rFonts w:eastAsia="Arial Unicode MS"/>
          <w:szCs w:val="22"/>
          <w:vertAlign w:val="superscript"/>
          <w:lang w:val="fr-FR"/>
        </w:rPr>
        <w:t>er</w:t>
      </w:r>
      <w:r w:rsidRPr="0026653F">
        <w:rPr>
          <w:rFonts w:eastAsia="Arial Unicode MS"/>
          <w:szCs w:val="22"/>
          <w:lang w:val="fr-FR"/>
        </w:rPr>
        <w:t xml:space="preserve"> novembre et inclure l’information sur la situation actuelle, les mesures adoptées, les prochaines étapes et l’identification des responsables en la matière,</w:t>
      </w:r>
    </w:p>
    <w:p w14:paraId="360C0EA6" w14:textId="77777777" w:rsidR="009071BD" w:rsidRPr="0026653F" w:rsidRDefault="009071BD" w:rsidP="00C618DD">
      <w:pPr>
        <w:contextualSpacing/>
        <w:rPr>
          <w:rFonts w:eastAsia="Arial Unicode MS"/>
          <w:szCs w:val="22"/>
          <w:lang w:val="fr-FR"/>
        </w:rPr>
      </w:pPr>
    </w:p>
    <w:p w14:paraId="079ACF10" w14:textId="0E4B1B04"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AYANT VU la proposition de programme-budget 2021 de l'Organisation (</w:t>
      </w:r>
      <w:hyperlink r:id="rId69" w:history="1">
        <w:r w:rsidRPr="0026653F">
          <w:rPr>
            <w:bCs/>
            <w:color w:val="0000FF"/>
            <w:szCs w:val="22"/>
            <w:u w:val="single"/>
            <w:lang w:val="fr-FR"/>
          </w:rPr>
          <w:t>CP/doc.5633/20</w:t>
        </w:r>
      </w:hyperlink>
      <w:r w:rsidRPr="0026653F">
        <w:rPr>
          <w:rFonts w:eastAsia="Arial Unicode MS"/>
          <w:szCs w:val="22"/>
          <w:lang w:val="fr-FR"/>
        </w:rPr>
        <w:t>) présentée par le Secrétariat général le 28 septembre 2020 et le rapport annuel de la Commission des vérificateurs extérieurs (</w:t>
      </w:r>
      <w:hyperlink r:id="rId70" w:history="1">
        <w:r w:rsidRPr="0026653F">
          <w:rPr>
            <w:rFonts w:eastAsia="Arial Unicode MS"/>
            <w:bCs/>
            <w:color w:val="0000FF"/>
            <w:szCs w:val="22"/>
            <w:u w:val="single"/>
            <w:lang w:val="fr-FR"/>
          </w:rPr>
          <w:t>CP/doc.5642/20</w:t>
        </w:r>
      </w:hyperlink>
      <w:r w:rsidRPr="0026653F">
        <w:rPr>
          <w:rFonts w:eastAsia="Arial Unicode MS"/>
          <w:szCs w:val="22"/>
          <w:lang w:val="fr-FR"/>
        </w:rPr>
        <w:t>) présenté au Conseil permanent le 16 octobre 2020,</w:t>
      </w:r>
    </w:p>
    <w:p w14:paraId="59063F06" w14:textId="77777777" w:rsidR="009114DF" w:rsidRPr="0026653F" w:rsidRDefault="009114DF" w:rsidP="00C618DD">
      <w:pPr>
        <w:contextualSpacing/>
        <w:rPr>
          <w:rFonts w:eastAsia="Arial Unicode MS"/>
          <w:szCs w:val="22"/>
          <w:lang w:val="fr-FR"/>
        </w:rPr>
      </w:pPr>
    </w:p>
    <w:p w14:paraId="5FACBB72" w14:textId="77777777" w:rsidR="009071BD" w:rsidRPr="0026653F" w:rsidRDefault="009071BD" w:rsidP="00C618DD">
      <w:pPr>
        <w:keepNext/>
        <w:suppressAutoHyphens/>
        <w:rPr>
          <w:color w:val="000000"/>
          <w:szCs w:val="22"/>
          <w:lang w:val="fr-FR"/>
        </w:rPr>
      </w:pPr>
      <w:r w:rsidRPr="0026653F">
        <w:rPr>
          <w:color w:val="000000"/>
          <w:szCs w:val="22"/>
          <w:lang w:val="fr-FR"/>
        </w:rPr>
        <w:lastRenderedPageBreak/>
        <w:t>GARDANT À L’ESPRIT :</w:t>
      </w:r>
    </w:p>
    <w:p w14:paraId="009FDE55" w14:textId="77777777" w:rsidR="009071BD" w:rsidRPr="0026653F" w:rsidRDefault="009071BD" w:rsidP="00C618DD">
      <w:pPr>
        <w:keepNext/>
        <w:suppressAutoHyphens/>
        <w:rPr>
          <w:color w:val="000000"/>
          <w:szCs w:val="22"/>
          <w:lang w:val="fr-FR"/>
        </w:rPr>
      </w:pPr>
    </w:p>
    <w:p w14:paraId="10211529" w14:textId="77777777"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l'Organisation des États Américains (OEA) ;</w:t>
      </w:r>
    </w:p>
    <w:p w14:paraId="603574CD" w14:textId="77777777" w:rsidR="009071BD" w:rsidRPr="0026653F" w:rsidRDefault="009071BD" w:rsidP="00C618DD">
      <w:pPr>
        <w:suppressAutoHyphens/>
        <w:rPr>
          <w:color w:val="000000"/>
          <w:szCs w:val="22"/>
          <w:lang w:val="fr-FR" w:eastAsia="es-ES"/>
        </w:rPr>
      </w:pPr>
    </w:p>
    <w:p w14:paraId="7DCEB692" w14:textId="3FF2B113" w:rsidR="009071BD" w:rsidRPr="0026653F" w:rsidRDefault="009071BD" w:rsidP="00C618DD">
      <w:pPr>
        <w:ind w:firstLine="720"/>
        <w:contextualSpacing/>
        <w:rPr>
          <w:szCs w:val="22"/>
          <w:lang w:val="fr-FR"/>
        </w:rPr>
      </w:pPr>
      <w:r w:rsidRPr="0026653F">
        <w:rPr>
          <w:rFonts w:eastAsia="Arial Unicode MS"/>
          <w:szCs w:val="22"/>
          <w:lang w:val="fr-FR"/>
        </w:rPr>
        <w:t>Le « Rapport de la présidence de la Commission des questions administratives et budgétaires sur l</w:t>
      </w:r>
      <w:r w:rsidR="009114DF" w:rsidRPr="0026653F">
        <w:rPr>
          <w:rFonts w:eastAsia="Arial Unicode MS"/>
          <w:szCs w:val="22"/>
          <w:lang w:val="fr-FR"/>
        </w:rPr>
        <w:t xml:space="preserve">a proposition </w:t>
      </w:r>
      <w:r w:rsidRPr="0026653F">
        <w:rPr>
          <w:rFonts w:eastAsia="Arial Unicode MS"/>
          <w:szCs w:val="22"/>
          <w:lang w:val="fr-FR"/>
        </w:rPr>
        <w:t>de programme-budget 2021 de l’Organisation » (CP/CAAP-</w:t>
      </w:r>
      <w:r w:rsidR="00C50ADD" w:rsidRPr="0026653F">
        <w:rPr>
          <w:rFonts w:eastAsia="Arial Unicode MS"/>
          <w:szCs w:val="22"/>
          <w:lang w:val="fr-FR"/>
        </w:rPr>
        <w:t>370</w:t>
      </w:r>
      <w:r w:rsidR="00472EE0" w:rsidRPr="0026653F">
        <w:rPr>
          <w:rFonts w:eastAsia="Arial Unicode MS"/>
          <w:szCs w:val="22"/>
          <w:lang w:val="fr-FR"/>
        </w:rPr>
        <w:t>2</w:t>
      </w:r>
      <w:r w:rsidRPr="0026653F">
        <w:rPr>
          <w:rFonts w:eastAsia="Arial Unicode MS"/>
          <w:szCs w:val="22"/>
          <w:lang w:val="fr-FR"/>
        </w:rPr>
        <w:t xml:space="preserve">/20), lequel a été présenté conformément à l'article 60 </w:t>
      </w:r>
      <w:r w:rsidRPr="0026653F">
        <w:rPr>
          <w:rFonts w:eastAsia="Arial Unicode MS"/>
          <w:i/>
          <w:iCs/>
          <w:szCs w:val="22"/>
          <w:lang w:val="fr-FR"/>
        </w:rPr>
        <w:t>b</w:t>
      </w:r>
      <w:r w:rsidRPr="0026653F">
        <w:rPr>
          <w:rFonts w:eastAsia="Arial Unicode MS"/>
          <w:szCs w:val="22"/>
          <w:lang w:val="fr-FR"/>
        </w:rPr>
        <w:t xml:space="preserve"> de la Charte de l’OEA ;</w:t>
      </w:r>
    </w:p>
    <w:p w14:paraId="7E3EFC51" w14:textId="77777777" w:rsidR="009071BD" w:rsidRPr="0026653F" w:rsidRDefault="009071BD" w:rsidP="00C618DD">
      <w:pPr>
        <w:jc w:val="left"/>
        <w:rPr>
          <w:color w:val="000000"/>
          <w:szCs w:val="22"/>
          <w:lang w:val="fr-FR" w:eastAsia="es-ES"/>
        </w:rPr>
      </w:pPr>
    </w:p>
    <w:p w14:paraId="5162A43D" w14:textId="77777777"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 xml:space="preserve">Que par sa résolution </w:t>
      </w:r>
      <w:hyperlink r:id="rId71" w:history="1">
        <w:r w:rsidR="009114DF" w:rsidRPr="0026653F">
          <w:rPr>
            <w:rFonts w:eastAsia="Arial Unicode MS"/>
            <w:color w:val="0000FF"/>
            <w:szCs w:val="22"/>
            <w:u w:val="single"/>
            <w:lang w:val="fr-FR"/>
          </w:rPr>
          <w:t>AG/RES. 1 (LI-E/16)</w:t>
        </w:r>
      </w:hyperlink>
      <w:r w:rsidR="009114DF" w:rsidRPr="0026653F">
        <w:rPr>
          <w:rFonts w:eastAsia="Arial Unicode MS"/>
          <w:color w:val="0000FF"/>
          <w:szCs w:val="22"/>
          <w:u w:val="single"/>
          <w:lang w:val="fr-FR"/>
        </w:rPr>
        <w:t xml:space="preserve"> rev. 1</w:t>
      </w:r>
      <w:r w:rsidRPr="0026653F">
        <w:rPr>
          <w:rFonts w:eastAsia="Arial Unicode MS"/>
          <w:szCs w:val="22"/>
          <w:lang w:val="fr-FR"/>
        </w:rPr>
        <w:t>, « Plan stratégique intégral de l’Organisation », l’Assemblée générale a adopté les lignes stratégiques et les objectifs du Plan stratégique intégral pour chacun des piliers de l’Organisation ainsi que pour le renforcement institutionnel et la gestion administrative comme énoncé dans l’annexe I de ladite résolution, et a arrêté que toutes les contributions volontaires doivent être en conformité avec les lignes stratégiques énoncées dans ce plan ;</w:t>
      </w:r>
    </w:p>
    <w:p w14:paraId="504398E4" w14:textId="77777777" w:rsidR="009071BD" w:rsidRPr="0026653F" w:rsidRDefault="009071BD" w:rsidP="00C618DD">
      <w:pPr>
        <w:rPr>
          <w:color w:val="000000"/>
          <w:szCs w:val="22"/>
          <w:lang w:val="fr-FR" w:eastAsia="es-ES"/>
        </w:rPr>
      </w:pPr>
    </w:p>
    <w:p w14:paraId="4C4D4FC6" w14:textId="4C92C75B"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 xml:space="preserve">Que le Conseil permanent a adopté la résolution </w:t>
      </w:r>
      <w:hyperlink r:id="rId72" w:history="1">
        <w:r w:rsidR="009114DF" w:rsidRPr="0026653F">
          <w:rPr>
            <w:rFonts w:eastAsia="Arial Unicode MS"/>
            <w:iCs/>
            <w:color w:val="0000FF"/>
            <w:szCs w:val="22"/>
            <w:u w:val="single"/>
            <w:lang w:val="fr-FR"/>
          </w:rPr>
          <w:t>CP/RES. 1121 (2209/19)</w:t>
        </w:r>
      </w:hyperlink>
      <w:r w:rsidRPr="0026653F">
        <w:rPr>
          <w:rFonts w:eastAsia="Arial Unicode MS"/>
          <w:szCs w:val="22"/>
          <w:lang w:val="fr-FR"/>
        </w:rPr>
        <w:t>, « Planification stratégique de l’Organisation », laquelle porte approbation, notamment, de l’inclusion de l’information complémentaire (</w:t>
      </w:r>
      <w:hyperlink r:id="rId73" w:history="1">
        <w:r w:rsidR="009114DF" w:rsidRPr="0026653F">
          <w:rPr>
            <w:rFonts w:eastAsia="Arial Unicode MS"/>
            <w:iCs/>
            <w:color w:val="0000FF"/>
            <w:szCs w:val="22"/>
            <w:u w:val="single"/>
            <w:lang w:val="fr-FR"/>
          </w:rPr>
          <w:t>CP/doc.5469/19</w:t>
        </w:r>
      </w:hyperlink>
      <w:r w:rsidRPr="0026653F">
        <w:rPr>
          <w:rFonts w:eastAsia="Arial Unicode MS"/>
          <w:szCs w:val="22"/>
          <w:lang w:val="fr-FR"/>
        </w:rPr>
        <w:t>) dans le Plan stratégique intégral de l’Organisation et charge le Secrétariat général de présenter au Conseil permanent et au Conseil interaméricain pour le développement intégré (CIDI) un rapport d’exécution jusqu’au 30 septembre 2019 ;</w:t>
      </w:r>
    </w:p>
    <w:p w14:paraId="4CFA3CD0" w14:textId="77777777" w:rsidR="009071BD" w:rsidRPr="0026653F" w:rsidRDefault="009071BD" w:rsidP="00C618DD">
      <w:pPr>
        <w:contextualSpacing/>
        <w:rPr>
          <w:rFonts w:eastAsia="Arial Unicode MS"/>
          <w:szCs w:val="22"/>
          <w:lang w:val="fr-FR"/>
        </w:rPr>
      </w:pPr>
    </w:p>
    <w:p w14:paraId="36FBE841" w14:textId="1AE13F54" w:rsidR="009071BD" w:rsidRPr="0026653F" w:rsidRDefault="009114DF" w:rsidP="00C618DD">
      <w:pPr>
        <w:ind w:firstLine="720"/>
        <w:contextualSpacing/>
        <w:rPr>
          <w:rFonts w:eastAsia="Arial Unicode MS"/>
          <w:szCs w:val="22"/>
          <w:lang w:val="fr-FR"/>
        </w:rPr>
      </w:pPr>
      <w:r w:rsidRPr="0026653F">
        <w:rPr>
          <w:rFonts w:eastAsia="Arial Unicode MS"/>
          <w:szCs w:val="22"/>
          <w:lang w:val="fr-FR"/>
        </w:rPr>
        <w:t xml:space="preserve">Par ailleurs, compte tenu des dispositions pertinentes aux termes desquelles </w:t>
      </w:r>
      <w:r w:rsidR="009071BD" w:rsidRPr="0026653F">
        <w:rPr>
          <w:rFonts w:eastAsia="Arial Unicode MS"/>
          <w:szCs w:val="22"/>
          <w:lang w:val="fr-FR"/>
        </w:rPr>
        <w:t xml:space="preserve">le Secrétariat général est tenu de présenter avant le 30 septembre 2020 au Conseil permanent et au CIDI un rapport détaillé sur le </w:t>
      </w:r>
      <w:r w:rsidRPr="0026653F">
        <w:rPr>
          <w:rFonts w:eastAsia="Arial Unicode MS"/>
          <w:szCs w:val="22"/>
          <w:lang w:val="fr-FR"/>
        </w:rPr>
        <w:t>fonctionnement</w:t>
      </w:r>
      <w:r w:rsidR="009071BD" w:rsidRPr="0026653F">
        <w:rPr>
          <w:rFonts w:eastAsia="Arial Unicode MS"/>
          <w:szCs w:val="22"/>
          <w:lang w:val="fr-FR"/>
        </w:rPr>
        <w:t xml:space="preserve"> et la réalisation du Plan stratégique intégral 2019-2020, qui doit ensuite être présenté aux États membres pour examen </w:t>
      </w:r>
      <w:r w:rsidR="00444296" w:rsidRPr="0026653F">
        <w:rPr>
          <w:rFonts w:eastAsia="Arial Unicode MS"/>
          <w:szCs w:val="22"/>
          <w:lang w:val="fr-FR"/>
        </w:rPr>
        <w:t>puis</w:t>
      </w:r>
      <w:r w:rsidR="009071BD" w:rsidRPr="0026653F">
        <w:rPr>
          <w:rFonts w:eastAsia="Arial Unicode MS"/>
          <w:szCs w:val="22"/>
          <w:lang w:val="fr-FR"/>
        </w:rPr>
        <w:t xml:space="preserve"> acheminement à l'Assemblée générale dans le but de jeter les bases </w:t>
      </w:r>
      <w:r w:rsidRPr="0026653F">
        <w:rPr>
          <w:rFonts w:eastAsia="Arial Unicode MS"/>
          <w:szCs w:val="22"/>
          <w:lang w:val="fr-FR"/>
        </w:rPr>
        <w:t>de</w:t>
      </w:r>
      <w:r w:rsidR="009071BD" w:rsidRPr="0026653F">
        <w:rPr>
          <w:rFonts w:eastAsia="Arial Unicode MS"/>
          <w:szCs w:val="22"/>
          <w:lang w:val="fr-FR"/>
        </w:rPr>
        <w:t xml:space="preserve"> l’élaboration du Plan stratégique intégral de l’Organisation pour la période 2021-2024 ;</w:t>
      </w:r>
    </w:p>
    <w:p w14:paraId="7909E6A4" w14:textId="77777777" w:rsidR="009071BD" w:rsidRPr="0026653F" w:rsidRDefault="009071BD" w:rsidP="00C618DD">
      <w:pPr>
        <w:contextualSpacing/>
        <w:rPr>
          <w:rFonts w:eastAsia="Arial Unicode MS"/>
          <w:szCs w:val="22"/>
          <w:lang w:val="fr-FR"/>
        </w:rPr>
      </w:pPr>
    </w:p>
    <w:p w14:paraId="0BE22A67" w14:textId="77777777"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La résolution AG/RES. 2923 (XLVIII-O/18), « Progrès en matière de responsabilisation, d'efficience, d’efficacité et d’obtention de résultats au Secrétariat général de l’OEA » ;</w:t>
      </w:r>
    </w:p>
    <w:p w14:paraId="7E81589A" w14:textId="77777777" w:rsidR="009071BD" w:rsidRPr="0026653F" w:rsidRDefault="009071BD" w:rsidP="00C618DD">
      <w:pPr>
        <w:contextualSpacing/>
        <w:rPr>
          <w:rFonts w:eastAsia="Arial Unicode MS"/>
          <w:szCs w:val="22"/>
          <w:lang w:val="fr-FR"/>
        </w:rPr>
      </w:pPr>
    </w:p>
    <w:p w14:paraId="43310C13" w14:textId="1C1FD7BD"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Que par la résolution</w:t>
      </w:r>
      <w:r w:rsidR="008D018F" w:rsidRPr="0026653F">
        <w:rPr>
          <w:rFonts w:eastAsia="Arial Unicode MS"/>
          <w:szCs w:val="22"/>
          <w:lang w:val="fr-FR"/>
        </w:rPr>
        <w:t xml:space="preserve"> </w:t>
      </w:r>
      <w:hyperlink r:id="rId74" w:history="1">
        <w:r w:rsidR="008D018F" w:rsidRPr="0026653F">
          <w:rPr>
            <w:rFonts w:eastAsia="Arial Unicode MS"/>
            <w:color w:val="0000FF"/>
            <w:szCs w:val="22"/>
            <w:u w:val="single"/>
            <w:lang w:val="fr-FR"/>
          </w:rPr>
          <w:t>AG/RES.</w:t>
        </w:r>
      </w:hyperlink>
      <w:r w:rsidR="008D018F" w:rsidRPr="0026653F">
        <w:rPr>
          <w:rFonts w:eastAsia="Arial Unicode MS"/>
          <w:color w:val="0000FF"/>
          <w:szCs w:val="22"/>
          <w:u w:val="single"/>
          <w:lang w:val="fr-FR"/>
        </w:rPr>
        <w:t xml:space="preserve"> </w:t>
      </w:r>
      <w:hyperlink r:id="rId75" w:history="1">
        <w:r w:rsidR="008D018F" w:rsidRPr="0026653F">
          <w:rPr>
            <w:rFonts w:eastAsia="Arial Unicode MS"/>
            <w:color w:val="0000FF"/>
            <w:szCs w:val="22"/>
            <w:u w:val="single"/>
            <w:lang w:val="fr-FR"/>
          </w:rPr>
          <w:t>2892 (XLVI-O/16)</w:t>
        </w:r>
      </w:hyperlink>
      <w:r w:rsidR="008D018F" w:rsidRPr="0026653F">
        <w:rPr>
          <w:rFonts w:eastAsia="Arial Unicode MS"/>
          <w:color w:val="0000FF"/>
          <w:szCs w:val="22"/>
          <w:u w:val="single"/>
          <w:lang w:val="fr-FR"/>
        </w:rPr>
        <w:t>,</w:t>
      </w:r>
      <w:r w:rsidRPr="0026653F">
        <w:rPr>
          <w:rFonts w:eastAsia="Arial Unicode MS"/>
          <w:szCs w:val="22"/>
          <w:lang w:val="fr-FR"/>
        </w:rPr>
        <w:t xml:space="preserve"> « Modernisation de la gestion », l’Assemblée générale a décidé de continuer à appuyer la mise en œuvre de la </w:t>
      </w:r>
      <w:r w:rsidR="008D018F" w:rsidRPr="0026653F">
        <w:rPr>
          <w:rFonts w:eastAsia="Arial Unicode MS"/>
          <w:szCs w:val="22"/>
          <w:lang w:val="fr-FR"/>
        </w:rPr>
        <w:t>v</w:t>
      </w:r>
      <w:r w:rsidRPr="0026653F">
        <w:rPr>
          <w:rFonts w:eastAsia="Arial Unicode MS"/>
          <w:szCs w:val="22"/>
          <w:lang w:val="fr-FR"/>
        </w:rPr>
        <w:t>ision stratégique et de l’</w:t>
      </w:r>
      <w:r w:rsidR="008D018F" w:rsidRPr="0026653F">
        <w:rPr>
          <w:rFonts w:eastAsia="Arial Unicode MS"/>
          <w:szCs w:val="22"/>
          <w:lang w:val="fr-FR"/>
        </w:rPr>
        <w:t>i</w:t>
      </w:r>
      <w:r w:rsidRPr="0026653F">
        <w:rPr>
          <w:rFonts w:eastAsia="Arial Unicode MS"/>
          <w:szCs w:val="22"/>
          <w:lang w:val="fr-FR"/>
        </w:rPr>
        <w:t xml:space="preserve">nitiative pour la modernisation de la gestion </w:t>
      </w:r>
      <w:r w:rsidR="008D018F" w:rsidRPr="0026653F">
        <w:rPr>
          <w:rFonts w:eastAsia="Arial Unicode MS"/>
          <w:szCs w:val="22"/>
          <w:lang w:val="fr-FR"/>
        </w:rPr>
        <w:t xml:space="preserve">à titre </w:t>
      </w:r>
      <w:r w:rsidRPr="0026653F">
        <w:rPr>
          <w:rFonts w:eastAsia="Arial Unicode MS"/>
          <w:szCs w:val="22"/>
          <w:lang w:val="fr-FR"/>
        </w:rPr>
        <w:t>de cadre intégral ;</w:t>
      </w:r>
    </w:p>
    <w:p w14:paraId="4BA8FFC1" w14:textId="77777777" w:rsidR="009071BD" w:rsidRPr="0026653F" w:rsidRDefault="009071BD" w:rsidP="00C618DD">
      <w:pPr>
        <w:contextualSpacing/>
        <w:rPr>
          <w:rFonts w:eastAsia="Arial Unicode MS"/>
          <w:szCs w:val="22"/>
          <w:lang w:val="fr-FR"/>
        </w:rPr>
      </w:pPr>
    </w:p>
    <w:p w14:paraId="2D687A90" w14:textId="77777777"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 xml:space="preserve">Que conformément à la politique de parité des salaires avec les Nations Unies établie au moyen de sa résolution </w:t>
      </w:r>
      <w:hyperlink r:id="rId76" w:history="1">
        <w:r w:rsidRPr="0026653F">
          <w:rPr>
            <w:rFonts w:eastAsia="Arial Unicode MS"/>
            <w:szCs w:val="22"/>
            <w:lang w:val="fr-FR"/>
          </w:rPr>
          <w:t>AG/RES. 1319 (XXV-O/95)</w:t>
        </w:r>
      </w:hyperlink>
      <w:r w:rsidRPr="0026653F">
        <w:rPr>
          <w:rFonts w:eastAsia="Arial Unicode MS"/>
          <w:szCs w:val="22"/>
          <w:lang w:val="fr-FR"/>
        </w:rPr>
        <w:t xml:space="preserve"> et à l’article 40 des Normes générales, le Secrétaire général a procédé en 2020 à certains ajustements dans le barème des traitements de base du Secrétariat général et mis en application les indemnités de poste adoptées par la Commission de la fonction publique internationale ;</w:t>
      </w:r>
    </w:p>
    <w:p w14:paraId="1C32ABEC" w14:textId="77777777" w:rsidR="009071BD" w:rsidRPr="0026653F" w:rsidRDefault="009071BD" w:rsidP="00C618DD">
      <w:pPr>
        <w:contextualSpacing/>
        <w:rPr>
          <w:rFonts w:eastAsia="Arial Unicode MS"/>
          <w:szCs w:val="22"/>
          <w:lang w:val="fr-FR"/>
        </w:rPr>
      </w:pPr>
    </w:p>
    <w:p w14:paraId="5EFA4CC2" w14:textId="0575A9DD" w:rsidR="009071BD" w:rsidRPr="0026653F" w:rsidRDefault="009071BD" w:rsidP="00C618DD">
      <w:pPr>
        <w:ind w:firstLine="720"/>
        <w:contextualSpacing/>
        <w:rPr>
          <w:rFonts w:eastAsia="Arial Unicode MS"/>
          <w:szCs w:val="22"/>
          <w:lang w:val="fr-FR"/>
        </w:rPr>
      </w:pPr>
      <w:r w:rsidRPr="0026653F">
        <w:rPr>
          <w:rFonts w:eastAsia="Arial Unicode MS"/>
          <w:szCs w:val="22"/>
          <w:lang w:val="fr-FR"/>
        </w:rPr>
        <w:t xml:space="preserve">Que, conformément à l’article 78 </w:t>
      </w:r>
      <w:r w:rsidRPr="0026653F">
        <w:rPr>
          <w:rFonts w:eastAsia="Arial Unicode MS"/>
          <w:i/>
          <w:iCs/>
          <w:szCs w:val="22"/>
          <w:lang w:val="fr-FR"/>
        </w:rPr>
        <w:t>b</w:t>
      </w:r>
      <w:r w:rsidRPr="0026653F">
        <w:rPr>
          <w:rFonts w:eastAsia="Arial Unicode MS"/>
          <w:szCs w:val="22"/>
          <w:lang w:val="fr-FR"/>
        </w:rPr>
        <w:t xml:space="preserve"> des Normes générales, pour assurer un fonctionnement régulier et continu du Secrétariat général sur le plan financier, le Sous-fonds de réserve du Fonds ordinaire doit correspondre à 30</w:t>
      </w:r>
      <w:r w:rsidR="005F7830" w:rsidRPr="0026653F">
        <w:rPr>
          <w:rFonts w:eastAsia="Arial Unicode MS"/>
          <w:szCs w:val="22"/>
          <w:lang w:val="fr-FR"/>
        </w:rPr>
        <w:t> </w:t>
      </w:r>
      <w:r w:rsidRPr="0026653F">
        <w:rPr>
          <w:rFonts w:eastAsia="Arial Unicode MS"/>
          <w:szCs w:val="22"/>
          <w:lang w:val="fr-FR"/>
        </w:rPr>
        <w:t>% du total des quotes-parts annuelles des États membres ;</w:t>
      </w:r>
    </w:p>
    <w:p w14:paraId="435F8804" w14:textId="77777777" w:rsidR="009071BD" w:rsidRPr="0026653F" w:rsidRDefault="009071BD" w:rsidP="00C618DD">
      <w:pPr>
        <w:contextualSpacing/>
        <w:rPr>
          <w:rFonts w:eastAsia="Arial Unicode MS"/>
          <w:szCs w:val="22"/>
          <w:lang w:val="fr-FR"/>
        </w:rPr>
      </w:pPr>
    </w:p>
    <w:p w14:paraId="42F1DD9D" w14:textId="0CA4410F" w:rsidR="009071BD" w:rsidRPr="0026653F" w:rsidRDefault="009071BD" w:rsidP="00C618DD">
      <w:pPr>
        <w:contextualSpacing/>
        <w:rPr>
          <w:rFonts w:eastAsia="Arial Unicode MS"/>
          <w:szCs w:val="22"/>
          <w:lang w:val="fr-FR"/>
        </w:rPr>
      </w:pPr>
      <w:r w:rsidRPr="0026653F">
        <w:rPr>
          <w:rFonts w:eastAsia="Arial Unicode MS"/>
          <w:szCs w:val="22"/>
          <w:lang w:val="fr-FR"/>
        </w:rPr>
        <w:tab/>
        <w:t>Que ce fonds ne dispose pas de ressources suffisantes pour remplir sa mission, et qu’il est donc souhaitable de déployer des efforts afin d’augmenter ces réserves notamment par l’établissement, a priori, d’une limite des dépenses dans le Fonds ordinaire à un niveau inférieur au montant total brut des quotes-parts</w:t>
      </w:r>
      <w:r w:rsidR="009114DF" w:rsidRPr="0026653F">
        <w:rPr>
          <w:rFonts w:eastAsia="Arial Unicode MS"/>
          <w:szCs w:val="22"/>
          <w:lang w:val="fr-FR"/>
        </w:rPr>
        <w:t>,</w:t>
      </w:r>
    </w:p>
    <w:p w14:paraId="53CFB9E8" w14:textId="77777777" w:rsidR="009071BD" w:rsidRPr="0026653F" w:rsidRDefault="009071BD" w:rsidP="00C618DD">
      <w:pPr>
        <w:contextualSpacing/>
        <w:rPr>
          <w:rFonts w:eastAsia="Arial Unicode MS"/>
          <w:szCs w:val="22"/>
          <w:lang w:val="fr-FR"/>
        </w:rPr>
      </w:pPr>
    </w:p>
    <w:p w14:paraId="631BEC5F" w14:textId="1460964C" w:rsidR="009071BD" w:rsidRPr="0026653F" w:rsidRDefault="009071BD" w:rsidP="00C618DD">
      <w:pPr>
        <w:rPr>
          <w:szCs w:val="22"/>
          <w:lang w:val="fr-FR"/>
        </w:rPr>
      </w:pPr>
      <w:r w:rsidRPr="0026653F">
        <w:rPr>
          <w:szCs w:val="22"/>
          <w:lang w:val="fr-FR"/>
        </w:rPr>
        <w:tab/>
        <w:t>RECONNAISSANT les limitations financières auxquelles l’Organisation fait face et rappelant les articles 36 et 37 du Règlement du Conseil permanent</w:t>
      </w:r>
      <w:r w:rsidR="009114DF" w:rsidRPr="0026653F">
        <w:rPr>
          <w:szCs w:val="22"/>
          <w:lang w:val="fr-FR"/>
        </w:rPr>
        <w:t>,</w:t>
      </w:r>
    </w:p>
    <w:p w14:paraId="4147D25A" w14:textId="77777777" w:rsidR="009071BD" w:rsidRPr="0026653F" w:rsidRDefault="009071BD" w:rsidP="00C618DD">
      <w:pPr>
        <w:rPr>
          <w:szCs w:val="22"/>
          <w:lang w:val="fr-FR"/>
        </w:rPr>
      </w:pPr>
    </w:p>
    <w:p w14:paraId="7B5D985D" w14:textId="77777777" w:rsidR="009071BD" w:rsidRPr="0026653F" w:rsidRDefault="009071BD" w:rsidP="00C618DD">
      <w:pPr>
        <w:jc w:val="left"/>
        <w:rPr>
          <w:szCs w:val="22"/>
          <w:lang w:val="fr-FR"/>
        </w:rPr>
      </w:pPr>
      <w:r w:rsidRPr="0026653F">
        <w:rPr>
          <w:szCs w:val="22"/>
          <w:lang w:val="fr-FR"/>
        </w:rPr>
        <w:t>AYANT À L’ESPRIT :</w:t>
      </w:r>
    </w:p>
    <w:p w14:paraId="50AB278A" w14:textId="77777777" w:rsidR="009071BD" w:rsidRPr="0026653F" w:rsidRDefault="009071BD" w:rsidP="00C618DD">
      <w:pPr>
        <w:jc w:val="left"/>
        <w:rPr>
          <w:szCs w:val="22"/>
          <w:lang w:val="fr-FR"/>
        </w:rPr>
      </w:pPr>
    </w:p>
    <w:p w14:paraId="5118A76F" w14:textId="77777777" w:rsidR="009071BD" w:rsidRPr="0026653F" w:rsidRDefault="009071BD" w:rsidP="00C618DD">
      <w:pPr>
        <w:ind w:firstLine="708"/>
        <w:rPr>
          <w:szCs w:val="22"/>
          <w:lang w:val="fr-FR"/>
        </w:rPr>
      </w:pPr>
      <w:r w:rsidRPr="0026653F">
        <w:rPr>
          <w:szCs w:val="22"/>
          <w:lang w:val="fr-FR"/>
        </w:rPr>
        <w:t>Que le Conseil permanent peut continuer d’étudier par l’intermédiaire de la CAAP des mesures appelées à encourager le paiement ponctuel des quotes-parts et à augmenter les liquidités ;</w:t>
      </w:r>
    </w:p>
    <w:p w14:paraId="39DC200C" w14:textId="77777777" w:rsidR="009071BD" w:rsidRPr="0026653F" w:rsidRDefault="009071BD" w:rsidP="00C618DD">
      <w:pPr>
        <w:rPr>
          <w:szCs w:val="22"/>
          <w:lang w:val="fr-FR"/>
        </w:rPr>
      </w:pPr>
    </w:p>
    <w:p w14:paraId="4CC63437" w14:textId="0A98924F" w:rsidR="00464918" w:rsidRPr="0026653F" w:rsidRDefault="00464918" w:rsidP="00C618DD">
      <w:pPr>
        <w:suppressAutoHyphens/>
        <w:ind w:firstLine="720"/>
        <w:rPr>
          <w:rFonts w:eastAsia="Arial Unicode MS"/>
          <w:szCs w:val="22"/>
          <w:lang w:val="fr-FR"/>
        </w:rPr>
      </w:pPr>
      <w:r w:rsidRPr="0026653F">
        <w:rPr>
          <w:rFonts w:eastAsia="Arial Unicode MS"/>
          <w:szCs w:val="22"/>
          <w:lang w:val="fr-FR"/>
        </w:rPr>
        <w:t>Que, en vertu des dispositions des articles 120, 123, 128 et 130 des Normes générales, concernant l'attribution de tâches à l'Inspecteur général, il convient de rappeler que ces responsabilités comprennent le contrôle du respect des Normes générales et, en particulier, l'établissement de procédures de vérification interne appropriées qui reflètent les meilleures pratiques internationales ainsi que la présentation de rapports trimestriels et annuels au Conseil permanent et, le cas échéant, la tenue de réunions avec la CAAP et le C</w:t>
      </w:r>
      <w:r w:rsidR="00215701" w:rsidRPr="0026653F">
        <w:rPr>
          <w:rFonts w:eastAsia="Arial Unicode MS"/>
          <w:szCs w:val="22"/>
          <w:lang w:val="fr-FR"/>
        </w:rPr>
        <w:t>IDI</w:t>
      </w:r>
      <w:r w:rsidRPr="0026653F">
        <w:rPr>
          <w:rFonts w:eastAsia="Arial Unicode MS"/>
          <w:szCs w:val="22"/>
          <w:lang w:val="fr-FR"/>
        </w:rPr>
        <w:t> ;</w:t>
      </w:r>
    </w:p>
    <w:p w14:paraId="6ACE033C" w14:textId="77777777" w:rsidR="00464918" w:rsidRPr="0026653F" w:rsidRDefault="00464918" w:rsidP="00C618DD">
      <w:pPr>
        <w:rPr>
          <w:szCs w:val="22"/>
          <w:lang w:val="fr-FR"/>
        </w:rPr>
      </w:pPr>
    </w:p>
    <w:p w14:paraId="7C5F0C27" w14:textId="77777777" w:rsidR="009071BD" w:rsidRPr="0026653F" w:rsidRDefault="009071BD" w:rsidP="00C618DD">
      <w:pPr>
        <w:ind w:firstLine="708"/>
        <w:rPr>
          <w:szCs w:val="22"/>
          <w:lang w:val="fr-FR"/>
        </w:rPr>
      </w:pPr>
      <w:r w:rsidRPr="0026653F">
        <w:rPr>
          <w:szCs w:val="22"/>
          <w:lang w:val="fr-FR"/>
        </w:rPr>
        <w:t>Que, en vertu de l’article 123 des Normes générales, le Bureau de l’Inspecteur général est l’organe subsidiaire chargé d’exercer les attributions de vérification financière, administrative et opérationnelle dans le but de déterminer le degré d’exécution, de la part du Secrétariat général, des objectifs programmatiques, d’efficience, d’économie et de transparence dans l’emploi des ressources, et de formuler des recommandations pour améliorer la gestion du Secrétariat général ;</w:t>
      </w:r>
    </w:p>
    <w:p w14:paraId="65624201" w14:textId="77777777" w:rsidR="009071BD" w:rsidRPr="0026653F" w:rsidRDefault="009071BD" w:rsidP="00C618DD">
      <w:pPr>
        <w:rPr>
          <w:szCs w:val="22"/>
          <w:highlight w:val="yellow"/>
          <w:lang w:val="fr-FR"/>
        </w:rPr>
      </w:pPr>
    </w:p>
    <w:p w14:paraId="058B1ABA" w14:textId="619B13B6" w:rsidR="009071BD" w:rsidRPr="0026653F" w:rsidRDefault="009071BD" w:rsidP="00C618DD">
      <w:pPr>
        <w:ind w:firstLine="708"/>
        <w:rPr>
          <w:szCs w:val="22"/>
          <w:lang w:val="fr-FR"/>
        </w:rPr>
      </w:pPr>
      <w:r w:rsidRPr="0026653F">
        <w:rPr>
          <w:szCs w:val="22"/>
          <w:lang w:val="fr-FR"/>
        </w:rPr>
        <w:t>La résolution AG/RES. 2942 (XLIX-O/19</w:t>
      </w:r>
      <w:r w:rsidR="00215701" w:rsidRPr="0026653F">
        <w:rPr>
          <w:szCs w:val="22"/>
          <w:lang w:val="fr-FR"/>
        </w:rPr>
        <w:t>), dont le</w:t>
      </w:r>
      <w:r w:rsidRPr="0026653F">
        <w:rPr>
          <w:szCs w:val="22"/>
          <w:lang w:val="fr-FR"/>
        </w:rPr>
        <w:t xml:space="preserve"> dispositif</w:t>
      </w:r>
      <w:r w:rsidR="00215701" w:rsidRPr="0026653F">
        <w:rPr>
          <w:szCs w:val="22"/>
          <w:lang w:val="fr-FR"/>
        </w:rPr>
        <w:t>, au paragraphe 1.b., établit que</w:t>
      </w:r>
      <w:r w:rsidRPr="0026653F">
        <w:rPr>
          <w:szCs w:val="22"/>
          <w:lang w:val="fr-FR"/>
        </w:rPr>
        <w:t xml:space="preserve"> le Bureau de l’Inspecteur général et le Bureau de l'Ombudsman sont chargés </w:t>
      </w:r>
      <w:r w:rsidR="009D5A3E" w:rsidRPr="0026653F">
        <w:rPr>
          <w:szCs w:val="22"/>
          <w:lang w:val="fr-FR"/>
        </w:rPr>
        <w:t>« de fournir aux États membres un rapport sur le nombre de cas de harcèlement traités chaque année, en précisant la durée des enquêtes réalisées dans chaque affaire et les mesures prises pour que les auteurs de harcèlement répondent de leurs actes, ainsi qu’en identifiant tout manquement observé dans la politique relative au harcèlement »,</w:t>
      </w:r>
    </w:p>
    <w:p w14:paraId="448CF66F" w14:textId="77777777" w:rsidR="009071BD" w:rsidRPr="0026653F" w:rsidRDefault="009071BD" w:rsidP="00C618DD">
      <w:pPr>
        <w:rPr>
          <w:color w:val="000000"/>
          <w:szCs w:val="22"/>
          <w:lang w:val="fr-FR"/>
        </w:rPr>
      </w:pPr>
    </w:p>
    <w:p w14:paraId="6ED6E83F" w14:textId="77777777" w:rsidR="009071BD" w:rsidRPr="0026653F" w:rsidRDefault="009071BD" w:rsidP="00C618DD">
      <w:pPr>
        <w:rPr>
          <w:color w:val="000000"/>
          <w:szCs w:val="22"/>
          <w:lang w:val="fr-FR"/>
        </w:rPr>
      </w:pPr>
      <w:r w:rsidRPr="0026653F">
        <w:rPr>
          <w:color w:val="000000"/>
          <w:szCs w:val="22"/>
          <w:lang w:val="fr-FR"/>
        </w:rPr>
        <w:t>PRENANT EN COMPTE :</w:t>
      </w:r>
    </w:p>
    <w:p w14:paraId="4598B69E" w14:textId="77777777" w:rsidR="009071BD" w:rsidRPr="0026653F" w:rsidRDefault="009071BD" w:rsidP="00C618DD">
      <w:pPr>
        <w:rPr>
          <w:color w:val="000000"/>
          <w:szCs w:val="22"/>
          <w:lang w:val="fr-FR" w:eastAsia="es-ES"/>
        </w:rPr>
      </w:pPr>
    </w:p>
    <w:p w14:paraId="0EA29D73" w14:textId="77777777" w:rsidR="009071BD" w:rsidRPr="0026653F" w:rsidRDefault="009071BD" w:rsidP="00C618DD">
      <w:pPr>
        <w:ind w:firstLine="708"/>
        <w:rPr>
          <w:szCs w:val="22"/>
          <w:lang w:val="fr-FR"/>
        </w:rPr>
      </w:pPr>
      <w:r w:rsidRPr="0026653F">
        <w:rPr>
          <w:szCs w:val="22"/>
          <w:lang w:val="fr-FR"/>
        </w:rPr>
        <w:t>La décision adoptée par le Conseil permanent, contenue dans le document CP/CAAP-3658/20 rev. 1, qui annonce que les États membres ont décidé par consensus d’arrêter le projet immobilier demandé au moyen de la résolution AG/RES. 2911 (XLVII-O/17), « Progrès en matière de responsabilisation, d'efficience, d’efficacité et d’obtention de résultats au Secrétariat général de l’OEA » et de la résolution CP/RES. 1100 (2160/18), « Ouverture de crédits extraordinaires destinés au Fonds de technologie » ;</w:t>
      </w:r>
    </w:p>
    <w:p w14:paraId="0F7EF449" w14:textId="77777777" w:rsidR="009071BD" w:rsidRPr="0026653F" w:rsidRDefault="009071BD" w:rsidP="00C618DD">
      <w:pPr>
        <w:rPr>
          <w:szCs w:val="22"/>
          <w:lang w:val="fr-FR"/>
        </w:rPr>
      </w:pPr>
    </w:p>
    <w:p w14:paraId="146E4E24" w14:textId="43D7C73D" w:rsidR="009071BD" w:rsidRPr="0026653F" w:rsidRDefault="009071BD" w:rsidP="00C618DD">
      <w:pPr>
        <w:ind w:firstLine="708"/>
        <w:rPr>
          <w:szCs w:val="22"/>
          <w:lang w:val="fr-FR"/>
        </w:rPr>
      </w:pPr>
      <w:r w:rsidRPr="0026653F">
        <w:rPr>
          <w:szCs w:val="22"/>
          <w:lang w:val="fr-FR"/>
        </w:rPr>
        <w:t>La résolution AG/RES. 2940 (XLIX-O/19), qui établit ce qui suit au sujet des bureaux hors siège :</w:t>
      </w:r>
      <w:r w:rsidR="00215701" w:rsidRPr="0026653F">
        <w:rPr>
          <w:szCs w:val="22"/>
          <w:lang w:val="fr-FR"/>
        </w:rPr>
        <w:t xml:space="preserve"> </w:t>
      </w:r>
      <w:r w:rsidR="001C5C93" w:rsidRPr="0026653F">
        <w:rPr>
          <w:szCs w:val="22"/>
          <w:lang w:val="fr-FR"/>
        </w:rPr>
        <w:t>« </w:t>
      </w:r>
      <w:r w:rsidRPr="0026653F">
        <w:rPr>
          <w:szCs w:val="22"/>
          <w:lang w:val="fr-FR"/>
        </w:rPr>
        <w:t xml:space="preserve">a) </w:t>
      </w:r>
      <w:r w:rsidR="00215701" w:rsidRPr="0026653F">
        <w:rPr>
          <w:szCs w:val="22"/>
          <w:lang w:val="fr-FR"/>
        </w:rPr>
        <w:t xml:space="preserve">D’avoir à l’esprit l’exposé présenté le 16 octobre 2018 par le Secrétariat général sur la stratégie portant sur les bureaux hors siège, laquelle jettera les bases de l’adoption par les États membres d’un plan stratégique intégral et durable en la matière, qui devra être approuvé par le Conseil </w:t>
      </w:r>
      <w:r w:rsidR="00215701" w:rsidRPr="0026653F">
        <w:rPr>
          <w:szCs w:val="22"/>
          <w:lang w:val="fr-FR"/>
        </w:rPr>
        <w:lastRenderedPageBreak/>
        <w:t>permanent par l’intermédiaire de la CAAP au plus tard en septembre 2019</w:t>
      </w:r>
      <w:r w:rsidR="00F27AF2" w:rsidRPr="0026653F">
        <w:rPr>
          <w:szCs w:val="22"/>
          <w:lang w:val="fr-FR"/>
        </w:rPr>
        <w:t xml:space="preserve"> ; et </w:t>
      </w:r>
      <w:r w:rsidR="00215701" w:rsidRPr="0026653F">
        <w:rPr>
          <w:szCs w:val="22"/>
          <w:lang w:val="fr-FR"/>
        </w:rPr>
        <w:t>b) De demander au Secrétaire général de charger le Bureau de coordination des bureaux et unités hors siège du Secrétariat général de continuer d’optimiser et de mettre en œuvre sa stratégie actuelle jusqu’à ce que la révision globale soit terminée et que le plan stratégique qui en découle fasse l’objet d’une entente pour exécution</w:t>
      </w:r>
      <w:r w:rsidR="001C5C93" w:rsidRPr="0026653F">
        <w:rPr>
          <w:szCs w:val="22"/>
          <w:lang w:val="fr-FR"/>
        </w:rPr>
        <w:t> »</w:t>
      </w:r>
      <w:r w:rsidR="00215701" w:rsidRPr="0026653F">
        <w:rPr>
          <w:szCs w:val="22"/>
          <w:lang w:val="fr-FR"/>
        </w:rPr>
        <w:t> ;</w:t>
      </w:r>
    </w:p>
    <w:p w14:paraId="66B888B4" w14:textId="77777777" w:rsidR="009071BD" w:rsidRPr="0026653F" w:rsidRDefault="009071BD" w:rsidP="00C618DD">
      <w:pPr>
        <w:rPr>
          <w:szCs w:val="22"/>
          <w:lang w:val="fr-FR"/>
        </w:rPr>
      </w:pPr>
    </w:p>
    <w:p w14:paraId="5061421F" w14:textId="48033DC3" w:rsidR="009071BD" w:rsidRPr="0026653F" w:rsidRDefault="009071BD" w:rsidP="00C618DD">
      <w:pPr>
        <w:ind w:firstLine="708"/>
        <w:rPr>
          <w:szCs w:val="22"/>
          <w:lang w:val="fr-FR"/>
        </w:rPr>
      </w:pPr>
      <w:r w:rsidRPr="0026653F">
        <w:rPr>
          <w:szCs w:val="22"/>
          <w:lang w:val="fr-FR"/>
        </w:rPr>
        <w:t xml:space="preserve">Que dans l’exécution du programme-budget, le Secrétaire général </w:t>
      </w:r>
      <w:r w:rsidR="00215701" w:rsidRPr="0026653F">
        <w:rPr>
          <w:szCs w:val="22"/>
          <w:lang w:val="fr-FR"/>
        </w:rPr>
        <w:t xml:space="preserve">doit </w:t>
      </w:r>
      <w:r w:rsidRPr="0026653F">
        <w:rPr>
          <w:szCs w:val="22"/>
          <w:lang w:val="fr-FR"/>
        </w:rPr>
        <w:t>assurer</w:t>
      </w:r>
      <w:r w:rsidR="00215701" w:rsidRPr="0026653F">
        <w:rPr>
          <w:szCs w:val="22"/>
          <w:lang w:val="fr-FR"/>
        </w:rPr>
        <w:t xml:space="preserve"> </w:t>
      </w:r>
      <w:r w:rsidRPr="0026653F">
        <w:rPr>
          <w:szCs w:val="22"/>
          <w:lang w:val="fr-FR"/>
        </w:rPr>
        <w:t>que les obligations au cours de l’année ne dépassent pas le niveau estimatif des recettes au titre des quotes-parts et d’autres recettes, et que les dépenses ne dépassent pas le niveau des recettes et d’autres ressources disponibles conformément aux dispositions de l’article 105 des Normes générales ;</w:t>
      </w:r>
    </w:p>
    <w:p w14:paraId="3E328C35" w14:textId="77777777" w:rsidR="009071BD" w:rsidRPr="0026653F" w:rsidRDefault="009071BD" w:rsidP="00C618DD">
      <w:pPr>
        <w:rPr>
          <w:szCs w:val="22"/>
          <w:lang w:val="fr-FR"/>
        </w:rPr>
      </w:pPr>
    </w:p>
    <w:p w14:paraId="3439AB24" w14:textId="77777777" w:rsidR="009071BD" w:rsidRPr="0026653F" w:rsidRDefault="009071BD" w:rsidP="00C618DD">
      <w:pPr>
        <w:ind w:firstLine="708"/>
        <w:rPr>
          <w:szCs w:val="22"/>
          <w:lang w:val="fr-FR"/>
        </w:rPr>
      </w:pPr>
      <w:r w:rsidRPr="0026653F">
        <w:rPr>
          <w:szCs w:val="22"/>
          <w:lang w:val="fr-FR"/>
        </w:rPr>
        <w:t>L’article 110 des Normes générales régissant les virements de ressources du Fonds ordinaire d’un chapitre du programme-budget à un autre ;</w:t>
      </w:r>
    </w:p>
    <w:p w14:paraId="23674E69" w14:textId="77777777" w:rsidR="009071BD" w:rsidRPr="0026653F" w:rsidRDefault="009071BD" w:rsidP="00C618DD">
      <w:pPr>
        <w:rPr>
          <w:szCs w:val="22"/>
          <w:lang w:val="fr-FR"/>
        </w:rPr>
      </w:pPr>
    </w:p>
    <w:p w14:paraId="4D37CCD0" w14:textId="77777777" w:rsidR="009071BD" w:rsidRPr="0026653F" w:rsidRDefault="009071BD" w:rsidP="00C618DD">
      <w:pPr>
        <w:ind w:firstLine="708"/>
        <w:rPr>
          <w:szCs w:val="22"/>
          <w:lang w:val="fr-FR"/>
        </w:rPr>
      </w:pPr>
      <w:r w:rsidRPr="0026653F">
        <w:rPr>
          <w:szCs w:val="22"/>
          <w:lang w:val="fr-FR"/>
        </w:rPr>
        <w:t>Qu’il importe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w:t>
      </w:r>
    </w:p>
    <w:p w14:paraId="70B92A04" w14:textId="77777777" w:rsidR="009071BD" w:rsidRPr="0026653F" w:rsidRDefault="009071BD" w:rsidP="00C618DD">
      <w:pPr>
        <w:rPr>
          <w:szCs w:val="22"/>
          <w:lang w:val="fr-FR"/>
        </w:rPr>
      </w:pPr>
    </w:p>
    <w:p w14:paraId="0A8DCF39" w14:textId="3F652A12" w:rsidR="009071BD" w:rsidRPr="0026653F" w:rsidRDefault="009071BD" w:rsidP="00C618DD">
      <w:pPr>
        <w:ind w:firstLine="708"/>
        <w:rPr>
          <w:szCs w:val="22"/>
          <w:lang w:val="fr-FR"/>
        </w:rPr>
      </w:pPr>
      <w:r w:rsidRPr="0026653F">
        <w:rPr>
          <w:szCs w:val="22"/>
          <w:lang w:val="fr-FR"/>
        </w:rPr>
        <w:t xml:space="preserve">RECONNAISSANT l’importance des quatre piliers de l’Organisation, soit la démocratie, les droits de la personne, la sécurité et le développement intégré, elle </w:t>
      </w:r>
      <w:r w:rsidR="00F27AF2" w:rsidRPr="0026653F">
        <w:rPr>
          <w:szCs w:val="22"/>
          <w:lang w:val="fr-FR"/>
        </w:rPr>
        <w:t xml:space="preserve">exprime la nécessité </w:t>
      </w:r>
      <w:r w:rsidRPr="0026653F">
        <w:rPr>
          <w:szCs w:val="22"/>
          <w:lang w:val="fr-FR"/>
        </w:rPr>
        <w:t>qu’ils reçoivent tous un financement adéquat pour leur bon fonctionnement grâce à une affectation de crédits équitable, qui vise la stricte réalisation des mandats convenus par les organes politiques de l’Organisation,</w:t>
      </w:r>
    </w:p>
    <w:p w14:paraId="7D53633E" w14:textId="77777777" w:rsidR="009071BD" w:rsidRPr="0026653F" w:rsidRDefault="009071BD" w:rsidP="00C618DD">
      <w:pPr>
        <w:jc w:val="left"/>
        <w:rPr>
          <w:color w:val="000000"/>
          <w:szCs w:val="22"/>
          <w:lang w:val="fr-FR" w:eastAsia="es-ES"/>
        </w:rPr>
      </w:pPr>
    </w:p>
    <w:p w14:paraId="031341CE" w14:textId="77777777" w:rsidR="009071BD" w:rsidRPr="0026653F" w:rsidRDefault="009071BD" w:rsidP="00C618DD">
      <w:pPr>
        <w:ind w:left="360" w:hanging="360"/>
        <w:rPr>
          <w:color w:val="000000"/>
          <w:szCs w:val="22"/>
          <w:lang w:val="fr-FR"/>
        </w:rPr>
      </w:pPr>
      <w:r w:rsidRPr="0026653F">
        <w:rPr>
          <w:color w:val="000000"/>
          <w:szCs w:val="22"/>
          <w:lang w:val="fr-FR"/>
        </w:rPr>
        <w:t>DÉCIDE :</w:t>
      </w:r>
    </w:p>
    <w:p w14:paraId="14D02E1E" w14:textId="77777777" w:rsidR="009071BD" w:rsidRPr="0026653F" w:rsidRDefault="009071BD" w:rsidP="00C618DD">
      <w:pPr>
        <w:ind w:left="360" w:hanging="360"/>
        <w:rPr>
          <w:color w:val="000000"/>
          <w:szCs w:val="22"/>
          <w:lang w:val="fr-FR" w:eastAsia="es-ES"/>
        </w:rPr>
      </w:pPr>
    </w:p>
    <w:p w14:paraId="1185E3CF" w14:textId="77777777" w:rsidR="009071BD" w:rsidRPr="0026653F" w:rsidRDefault="009071BD" w:rsidP="004E44A6">
      <w:pPr>
        <w:numPr>
          <w:ilvl w:val="0"/>
          <w:numId w:val="7"/>
        </w:numPr>
        <w:ind w:left="720"/>
        <w:jc w:val="left"/>
        <w:rPr>
          <w:color w:val="000000"/>
          <w:szCs w:val="22"/>
          <w:u w:val="single"/>
          <w:lang w:val="fr-FR"/>
        </w:rPr>
      </w:pPr>
      <w:r w:rsidRPr="0026653F">
        <w:rPr>
          <w:color w:val="000000"/>
          <w:szCs w:val="22"/>
          <w:u w:val="single"/>
          <w:lang w:val="fr-FR"/>
        </w:rPr>
        <w:t>FINANCEMENT DES CRÉDITS BUDGÉTAIRES</w:t>
      </w:r>
    </w:p>
    <w:p w14:paraId="58813B70" w14:textId="77777777" w:rsidR="009071BD" w:rsidRPr="0026653F" w:rsidRDefault="009071BD" w:rsidP="00C618DD">
      <w:pPr>
        <w:jc w:val="left"/>
        <w:rPr>
          <w:color w:val="000000"/>
          <w:szCs w:val="22"/>
          <w:lang w:val="fr-FR" w:eastAsia="es-ES"/>
        </w:rPr>
      </w:pPr>
    </w:p>
    <w:p w14:paraId="70D21D36" w14:textId="77777777" w:rsidR="009071BD" w:rsidRPr="0026653F" w:rsidRDefault="009071BD" w:rsidP="00C618DD">
      <w:pPr>
        <w:numPr>
          <w:ilvl w:val="0"/>
          <w:numId w:val="8"/>
        </w:numPr>
        <w:ind w:left="0" w:firstLine="720"/>
        <w:rPr>
          <w:rFonts w:eastAsia="MS Mincho"/>
          <w:color w:val="000000"/>
          <w:szCs w:val="22"/>
          <w:lang w:val="fr-FR"/>
        </w:rPr>
      </w:pPr>
      <w:r w:rsidRPr="0026653F">
        <w:rPr>
          <w:color w:val="000000"/>
          <w:szCs w:val="22"/>
          <w:lang w:val="fr-FR"/>
        </w:rPr>
        <w:t>De fixer le montant des quotes-parts par lesquelles les États membres financeront le Fonds ordinaire de l’Organisation en 2021 ainsi que la contribution au titre du remboursement des impôts sur le revenu, conformément à la méthode adoptée au moyen des résolutions AG/RES. 1 (XXXIV-E/07) rev. 1 et AG/RES. 41 (I-O/71) de l'Assemblée générale et de la résolution CP/RES. 1103 (2168/18) adoptée par le Conseil permanent puis entérinée par l’Assemblée générale au moyen de la résolution AG/RES. 1 (LIII- E/18), en utilisant le barème et les montants qui figurent à l’</w:t>
      </w:r>
      <w:r w:rsidRPr="0026653F">
        <w:rPr>
          <w:bCs/>
          <w:color w:val="000000"/>
          <w:szCs w:val="22"/>
          <w:lang w:val="fr-FR"/>
        </w:rPr>
        <w:t xml:space="preserve">annexe </w:t>
      </w:r>
      <w:r w:rsidRPr="0026653F">
        <w:rPr>
          <w:color w:val="000000"/>
          <w:szCs w:val="22"/>
          <w:lang w:val="fr-FR"/>
        </w:rPr>
        <w:t>I, « Attribution de quotes-parts pour le Fonds ordinaire 2021 ».</w:t>
      </w:r>
    </w:p>
    <w:p w14:paraId="47B7A58A" w14:textId="77777777" w:rsidR="009071BD" w:rsidRPr="0026653F" w:rsidRDefault="009071BD" w:rsidP="00C618DD">
      <w:pPr>
        <w:rPr>
          <w:rFonts w:eastAsia="MS Mincho"/>
          <w:color w:val="000000"/>
          <w:szCs w:val="22"/>
          <w:lang w:val="fr-FR"/>
        </w:rPr>
      </w:pPr>
    </w:p>
    <w:p w14:paraId="6B5681F6" w14:textId="270BD247" w:rsidR="009071BD" w:rsidRPr="0026653F" w:rsidRDefault="009071BD" w:rsidP="00C618DD">
      <w:pPr>
        <w:numPr>
          <w:ilvl w:val="0"/>
          <w:numId w:val="8"/>
        </w:numPr>
        <w:ind w:left="0" w:firstLine="720"/>
        <w:rPr>
          <w:rFonts w:eastAsia="MS Mincho"/>
          <w:color w:val="000000"/>
          <w:szCs w:val="22"/>
          <w:lang w:val="fr-FR" w:eastAsia="es-ES_tradnl"/>
        </w:rPr>
      </w:pPr>
      <w:r w:rsidRPr="0026653F">
        <w:rPr>
          <w:color w:val="000000"/>
          <w:szCs w:val="22"/>
          <w:lang w:val="fr-FR"/>
        </w:rPr>
        <w:t xml:space="preserve">D'établir </w:t>
      </w:r>
      <w:r w:rsidR="00215701" w:rsidRPr="0026653F">
        <w:rPr>
          <w:color w:val="000000"/>
          <w:szCs w:val="22"/>
          <w:lang w:val="fr-FR"/>
        </w:rPr>
        <w:t xml:space="preserve">à 84 968 407 USD </w:t>
      </w:r>
      <w:r w:rsidRPr="0026653F">
        <w:rPr>
          <w:color w:val="000000"/>
          <w:szCs w:val="22"/>
          <w:lang w:val="fr-FR"/>
        </w:rPr>
        <w:t>le niveau budgétaire global du programme-budget 2021 du Fonds</w:t>
      </w:r>
      <w:r w:rsidR="00215701" w:rsidRPr="0026653F">
        <w:rPr>
          <w:color w:val="000000"/>
          <w:szCs w:val="22"/>
          <w:lang w:val="fr-FR"/>
        </w:rPr>
        <w:t xml:space="preserve"> ordinaire</w:t>
      </w:r>
      <w:r w:rsidRPr="0026653F">
        <w:rPr>
          <w:color w:val="000000"/>
          <w:szCs w:val="22"/>
          <w:lang w:val="fr-FR"/>
        </w:rPr>
        <w:t>, incluant l’ajustement au titre du coût de la vie et de l’inflation, et de le financer comme suit</w:t>
      </w:r>
      <w:r w:rsidR="00215701" w:rsidRPr="0026653F">
        <w:rPr>
          <w:color w:val="000000"/>
          <w:szCs w:val="22"/>
          <w:lang w:val="fr-FR"/>
        </w:rPr>
        <w:t> </w:t>
      </w:r>
      <w:r w:rsidRPr="0026653F">
        <w:rPr>
          <w:color w:val="000000"/>
          <w:szCs w:val="22"/>
          <w:lang w:val="fr-FR"/>
        </w:rPr>
        <w:t>:</w:t>
      </w:r>
    </w:p>
    <w:p w14:paraId="70C4AA9B" w14:textId="77777777" w:rsidR="009071BD" w:rsidRPr="0026653F" w:rsidRDefault="009071BD" w:rsidP="00C618DD">
      <w:pPr>
        <w:tabs>
          <w:tab w:val="left" w:pos="1127"/>
        </w:tabs>
        <w:contextualSpacing/>
        <w:jc w:val="left"/>
        <w:rPr>
          <w:rFonts w:eastAsia="MS Mincho"/>
          <w:color w:val="000000"/>
          <w:szCs w:val="22"/>
          <w:lang w:val="fr-FR" w:eastAsia="es-ES_tradnl"/>
        </w:rPr>
      </w:pPr>
    </w:p>
    <w:p w14:paraId="43D20068" w14:textId="77777777" w:rsidR="009071BD" w:rsidRPr="0026653F" w:rsidRDefault="009071BD" w:rsidP="00C618DD">
      <w:pPr>
        <w:numPr>
          <w:ilvl w:val="0"/>
          <w:numId w:val="57"/>
        </w:numPr>
        <w:ind w:left="2160" w:hanging="720"/>
        <w:rPr>
          <w:rFonts w:eastAsia="MS Mincho"/>
          <w:color w:val="000000"/>
          <w:szCs w:val="22"/>
          <w:lang w:val="fr-FR"/>
        </w:rPr>
      </w:pPr>
      <w:r w:rsidRPr="0026653F">
        <w:rPr>
          <w:color w:val="000000"/>
          <w:szCs w:val="22"/>
          <w:lang w:val="fr-FR"/>
        </w:rPr>
        <w:t>Contributions nettes des États membres sous la forme du versement des quotes-parts au Fonds ordinaire pour un montant total de 84 470 107 USD réparti comme suit :</w:t>
      </w:r>
    </w:p>
    <w:p w14:paraId="6A66789C" w14:textId="77777777" w:rsidR="009071BD" w:rsidRPr="0026653F" w:rsidRDefault="009071BD" w:rsidP="00C618DD">
      <w:pPr>
        <w:rPr>
          <w:rFonts w:eastAsia="MS Mincho"/>
          <w:color w:val="000000"/>
          <w:szCs w:val="22"/>
          <w:lang w:val="fr-FR" w:eastAsia="es-ES_tradnl"/>
        </w:rPr>
      </w:pPr>
    </w:p>
    <w:p w14:paraId="782DE8E9" w14:textId="77777777" w:rsidR="009071BD" w:rsidRPr="0026653F" w:rsidRDefault="009071BD" w:rsidP="00C618DD">
      <w:pPr>
        <w:numPr>
          <w:ilvl w:val="0"/>
          <w:numId w:val="9"/>
        </w:numPr>
        <w:ind w:left="2880" w:hanging="720"/>
        <w:rPr>
          <w:rFonts w:eastAsia="MS Mincho"/>
          <w:color w:val="000000"/>
          <w:szCs w:val="22"/>
          <w:lang w:val="fr-FR"/>
        </w:rPr>
      </w:pPr>
      <w:r w:rsidRPr="0026653F">
        <w:rPr>
          <w:color w:val="000000"/>
          <w:szCs w:val="22"/>
          <w:lang w:val="fr-FR"/>
        </w:rPr>
        <w:t>Un montant total brut de 84 929 800 USD réparti selon la méthode de calcul du barème d’attribution des quotes-parts en vigueur.</w:t>
      </w:r>
    </w:p>
    <w:p w14:paraId="144D3699" w14:textId="77777777" w:rsidR="009071BD" w:rsidRPr="0026653F" w:rsidRDefault="009071BD" w:rsidP="00C618DD">
      <w:pPr>
        <w:rPr>
          <w:rFonts w:eastAsia="MS Mincho"/>
          <w:color w:val="000000"/>
          <w:szCs w:val="22"/>
          <w:lang w:val="fr-FR" w:eastAsia="es-ES_tradnl"/>
        </w:rPr>
      </w:pPr>
    </w:p>
    <w:p w14:paraId="71343A1C" w14:textId="77777777" w:rsidR="009071BD" w:rsidRPr="0026653F" w:rsidRDefault="009071BD" w:rsidP="00C618DD">
      <w:pPr>
        <w:numPr>
          <w:ilvl w:val="0"/>
          <w:numId w:val="9"/>
        </w:numPr>
        <w:ind w:left="2880" w:hanging="720"/>
        <w:rPr>
          <w:rFonts w:eastAsia="MS Mincho"/>
          <w:color w:val="000000"/>
          <w:szCs w:val="22"/>
          <w:lang w:val="fr-FR"/>
        </w:rPr>
      </w:pPr>
      <w:r w:rsidRPr="0026653F">
        <w:rPr>
          <w:color w:val="000000"/>
          <w:szCs w:val="22"/>
          <w:lang w:val="fr-FR"/>
        </w:rPr>
        <w:lastRenderedPageBreak/>
        <w:t>Une réduction de 459 693 USD au titre des rabais pour paiement ponctuel conformément aux mesures destinées à encourager le versement ponctuel des quotes-parts, prévues dans la résolution AG/RES. 1757 (XXX-O/00) et modifiées par les résolutions AG/RES. 2157 (XXXV-O/05) et AG/RES. 1 (XLII-E/11) rev. 1.</w:t>
      </w:r>
    </w:p>
    <w:p w14:paraId="7BA63CA7" w14:textId="77777777" w:rsidR="009071BD" w:rsidRPr="0026653F" w:rsidRDefault="009071BD" w:rsidP="00C618DD">
      <w:pPr>
        <w:rPr>
          <w:rFonts w:eastAsia="MS Mincho"/>
          <w:color w:val="000000"/>
          <w:szCs w:val="22"/>
          <w:lang w:val="fr-FR" w:eastAsia="es-ES_tradnl"/>
        </w:rPr>
      </w:pPr>
    </w:p>
    <w:p w14:paraId="3371D5DE" w14:textId="77777777" w:rsidR="009071BD" w:rsidRPr="0026653F" w:rsidRDefault="009071BD" w:rsidP="00C618DD">
      <w:pPr>
        <w:numPr>
          <w:ilvl w:val="0"/>
          <w:numId w:val="57"/>
        </w:numPr>
        <w:ind w:left="2160" w:hanging="720"/>
        <w:rPr>
          <w:rFonts w:eastAsia="MS Mincho"/>
          <w:color w:val="000000"/>
          <w:szCs w:val="22"/>
          <w:lang w:val="fr-FR"/>
        </w:rPr>
      </w:pPr>
      <w:r w:rsidRPr="0026653F">
        <w:rPr>
          <w:color w:val="000000"/>
          <w:szCs w:val="22"/>
          <w:lang w:val="fr-FR"/>
        </w:rPr>
        <w:t>Contribution de 0 USD du Fonds de coopération pour le développement de l'Organisation des États Américains (FCD/OEA) au Fonds ordinaire au titre de la supervision technique et du soutien administratif conformément à l’article 86 des Normes générales de fonctionnement du Secrétariat général de l’Organisation des États Américains (Normes générales) ;</w:t>
      </w:r>
    </w:p>
    <w:p w14:paraId="31268196" w14:textId="77777777" w:rsidR="009071BD" w:rsidRPr="0026653F" w:rsidRDefault="009071BD" w:rsidP="00C618DD">
      <w:pPr>
        <w:rPr>
          <w:rFonts w:eastAsia="MS Mincho"/>
          <w:color w:val="000000"/>
          <w:szCs w:val="22"/>
          <w:lang w:val="fr-FR"/>
        </w:rPr>
      </w:pPr>
    </w:p>
    <w:p w14:paraId="2D462C76" w14:textId="77777777" w:rsidR="009071BD" w:rsidRPr="0026653F" w:rsidRDefault="009071BD" w:rsidP="00C618DD">
      <w:pPr>
        <w:numPr>
          <w:ilvl w:val="0"/>
          <w:numId w:val="57"/>
        </w:numPr>
        <w:ind w:left="2160" w:hanging="720"/>
        <w:rPr>
          <w:rFonts w:eastAsia="MS Mincho"/>
          <w:color w:val="000000"/>
          <w:szCs w:val="22"/>
          <w:lang w:val="fr-FR"/>
        </w:rPr>
      </w:pPr>
      <w:r w:rsidRPr="0026653F">
        <w:rPr>
          <w:color w:val="000000"/>
          <w:szCs w:val="22"/>
          <w:lang w:val="fr-FR"/>
        </w:rPr>
        <w:t>Recettes d’un montant de 498 300 USD au titre des intérêts et des remboursements ainsi que d’autres recettes, conformément à l’article 78 des Normes générales.</w:t>
      </w:r>
    </w:p>
    <w:p w14:paraId="782483F4" w14:textId="77777777" w:rsidR="009071BD" w:rsidRPr="0026653F" w:rsidRDefault="009071BD" w:rsidP="00C618DD">
      <w:pPr>
        <w:rPr>
          <w:rFonts w:eastAsia="MS Mincho"/>
          <w:color w:val="000000"/>
          <w:szCs w:val="22"/>
          <w:lang w:val="fr-FR"/>
        </w:rPr>
      </w:pPr>
    </w:p>
    <w:p w14:paraId="2BE726B8" w14:textId="77777777" w:rsidR="009071BD" w:rsidRPr="0026653F" w:rsidRDefault="009071BD" w:rsidP="00C618DD">
      <w:pPr>
        <w:numPr>
          <w:ilvl w:val="0"/>
          <w:numId w:val="8"/>
        </w:numPr>
        <w:contextualSpacing/>
        <w:rPr>
          <w:rFonts w:eastAsia="MS Mincho"/>
          <w:szCs w:val="22"/>
          <w:lang w:val="fr-FR"/>
        </w:rPr>
      </w:pPr>
      <w:r w:rsidRPr="0026653F">
        <w:rPr>
          <w:rFonts w:eastAsia="Arial Unicode MS"/>
          <w:szCs w:val="22"/>
          <w:lang w:val="fr-FR"/>
        </w:rPr>
        <w:t>D’établir le niveau de dépenses pour 2021 à 79 000 000 USD.</w:t>
      </w:r>
    </w:p>
    <w:p w14:paraId="5DC53D14" w14:textId="77777777" w:rsidR="009071BD" w:rsidRPr="0026653F" w:rsidRDefault="009071BD" w:rsidP="00C618DD">
      <w:pPr>
        <w:rPr>
          <w:szCs w:val="22"/>
          <w:lang w:val="fr-FR"/>
        </w:rPr>
      </w:pPr>
    </w:p>
    <w:p w14:paraId="72C5191B" w14:textId="77777777" w:rsidR="009071BD" w:rsidRPr="0026653F" w:rsidRDefault="009071BD" w:rsidP="00C618DD">
      <w:pPr>
        <w:ind w:firstLine="720"/>
        <w:rPr>
          <w:color w:val="000000"/>
          <w:szCs w:val="22"/>
          <w:lang w:val="fr-FR"/>
        </w:rPr>
      </w:pPr>
      <w:r w:rsidRPr="0026653F">
        <w:rPr>
          <w:color w:val="000000"/>
          <w:szCs w:val="22"/>
          <w:lang w:val="fr-FR"/>
        </w:rPr>
        <w:t>4.</w:t>
      </w:r>
      <w:r w:rsidRPr="0026653F">
        <w:rPr>
          <w:color w:val="000000"/>
          <w:szCs w:val="22"/>
          <w:lang w:val="fr-FR"/>
        </w:rPr>
        <w:tab/>
        <w:t>De demander à la Cour interaméricaine des droits de l’homme et à la Commission interaméricaine des droits de l’homme (CIDH) de présenter au Conseil permanent un rapport semestriel d’exécution budgétaire et, en temps opportun, un plan détaillé des dépenses correspondant à leur budget.</w:t>
      </w:r>
    </w:p>
    <w:p w14:paraId="0E610FC8" w14:textId="77777777" w:rsidR="009071BD" w:rsidRPr="0026653F" w:rsidRDefault="009071BD" w:rsidP="00C618DD">
      <w:pPr>
        <w:rPr>
          <w:color w:val="000000"/>
          <w:szCs w:val="22"/>
          <w:lang w:val="fr-FR" w:eastAsia="es-ES"/>
        </w:rPr>
      </w:pPr>
    </w:p>
    <w:p w14:paraId="3CA71F95" w14:textId="77777777" w:rsidR="009071BD" w:rsidRPr="0026653F" w:rsidRDefault="009071BD" w:rsidP="00C618DD">
      <w:pPr>
        <w:ind w:firstLine="720"/>
        <w:rPr>
          <w:color w:val="000000"/>
          <w:szCs w:val="22"/>
          <w:lang w:val="fr-FR"/>
        </w:rPr>
      </w:pPr>
      <w:r w:rsidRPr="0026653F">
        <w:rPr>
          <w:color w:val="000000"/>
          <w:szCs w:val="22"/>
          <w:lang w:val="fr-FR"/>
        </w:rPr>
        <w:t>5.</w:t>
      </w:r>
      <w:r w:rsidRPr="0026653F">
        <w:rPr>
          <w:color w:val="000000"/>
          <w:szCs w:val="22"/>
          <w:lang w:val="fr-FR"/>
        </w:rPr>
        <w:tab/>
        <w:t>De demander au Secrétaire général de réaliser les ajustements, les réductions et les réorganisations s’avérant nécessaires pour se conformer aux dispositions des paragraphes précédents.</w:t>
      </w:r>
    </w:p>
    <w:p w14:paraId="72736C3F" w14:textId="77777777" w:rsidR="009071BD" w:rsidRPr="0026653F" w:rsidRDefault="009071BD" w:rsidP="00C618DD">
      <w:pPr>
        <w:rPr>
          <w:rFonts w:eastAsia="MS Mincho"/>
          <w:color w:val="000000"/>
          <w:szCs w:val="22"/>
          <w:lang w:val="fr-FR"/>
        </w:rPr>
      </w:pPr>
    </w:p>
    <w:p w14:paraId="510C93EA" w14:textId="77777777" w:rsidR="009071BD" w:rsidRPr="0026653F" w:rsidRDefault="009071BD" w:rsidP="00C618DD">
      <w:pPr>
        <w:rPr>
          <w:color w:val="000000"/>
          <w:szCs w:val="22"/>
          <w:lang w:val="fr-FR"/>
        </w:rPr>
      </w:pPr>
      <w:r w:rsidRPr="0026653F">
        <w:rPr>
          <w:color w:val="000000"/>
          <w:szCs w:val="22"/>
          <w:lang w:val="fr-FR"/>
        </w:rPr>
        <w:tab/>
        <w:t>6.</w:t>
      </w:r>
      <w:r w:rsidRPr="0026653F">
        <w:rPr>
          <w:color w:val="000000"/>
          <w:szCs w:val="22"/>
          <w:lang w:val="fr-FR"/>
        </w:rPr>
        <w:tab/>
        <w:t xml:space="preserve">D’autoriser le Secrétariat général à utiliser durant l’exercice budgétaire 2021, à titre de prêt interne, un montant ne dépassant pas 30 % des quotes-parts annuelles (25,4 millions USD) à partir du Fonds de trésorerie de sorte à lui permettre de couvrir les dépenses courantes inscrites au budget du Fonds ordinaire correspondant à l’exercice budgétaire 2021. L’emploi temporaire de ces ressources ne sera pas assorti d’intérêts. </w:t>
      </w:r>
      <w:r w:rsidRPr="0026653F">
        <w:rPr>
          <w:szCs w:val="22"/>
          <w:lang w:val="fr-FR"/>
        </w:rPr>
        <w:t>Le Secrétariat général devra rembourser sans retard le solde du prêt interne sur les ressources employées à partir du Fonds de trésorerie durant l’exercice budgétaire 2021 aussitôt que les quotes-parts des États membres auront été inscrites au Fonds ordinaire.</w:t>
      </w:r>
      <w:r w:rsidRPr="0026653F">
        <w:rPr>
          <w:color w:val="000000"/>
          <w:szCs w:val="22"/>
          <w:lang w:val="fr-FR"/>
        </w:rPr>
        <w:t xml:space="preserve"> Le Secrétariat général communiquera par écrit au Conseil permanent chaque emploi des ressources du Fonds de trésorerie et présentera à la Commission des questions administratives et budgétaires (CAAP) des rapports mensuels sur la situation du fonds précité.</w:t>
      </w:r>
    </w:p>
    <w:p w14:paraId="6A93488E" w14:textId="77777777" w:rsidR="009071BD" w:rsidRPr="0026653F" w:rsidRDefault="009071BD" w:rsidP="00C618DD">
      <w:pPr>
        <w:rPr>
          <w:color w:val="000000"/>
          <w:szCs w:val="22"/>
          <w:lang w:val="fr-FR"/>
        </w:rPr>
      </w:pPr>
    </w:p>
    <w:p w14:paraId="2F53538B" w14:textId="77777777" w:rsidR="009071BD" w:rsidRPr="0026653F" w:rsidRDefault="009071BD" w:rsidP="00C618DD">
      <w:pPr>
        <w:ind w:firstLine="708"/>
        <w:rPr>
          <w:rFonts w:eastAsia="MS Mincho"/>
          <w:color w:val="000000"/>
          <w:szCs w:val="22"/>
          <w:lang w:val="fr-FR"/>
        </w:rPr>
      </w:pPr>
      <w:r w:rsidRPr="0026653F">
        <w:rPr>
          <w:color w:val="000000"/>
          <w:szCs w:val="22"/>
          <w:lang w:val="fr-FR"/>
        </w:rPr>
        <w:t>7.</w:t>
      </w:r>
      <w:r w:rsidRPr="0026653F">
        <w:rPr>
          <w:color w:val="000000"/>
          <w:szCs w:val="22"/>
          <w:lang w:val="fr-FR"/>
        </w:rPr>
        <w:tab/>
        <w:t>De fixer à 7 219 300 USD le plafond global des dépenses du Fonds de recouvrement des coûts indirects conformément aux Normes générales.</w:t>
      </w:r>
    </w:p>
    <w:p w14:paraId="2AB8BAD0" w14:textId="77777777" w:rsidR="009071BD" w:rsidRPr="0026653F" w:rsidRDefault="009071BD" w:rsidP="00C618DD">
      <w:pPr>
        <w:rPr>
          <w:rFonts w:eastAsia="MS Mincho"/>
          <w:color w:val="000000"/>
          <w:szCs w:val="22"/>
          <w:lang w:val="fr-FR" w:eastAsia="es-ES_tradnl"/>
        </w:rPr>
      </w:pPr>
    </w:p>
    <w:p w14:paraId="0BE383B3" w14:textId="77777777" w:rsidR="009071BD" w:rsidRPr="0026653F" w:rsidRDefault="009071BD" w:rsidP="00C618DD">
      <w:pPr>
        <w:ind w:firstLine="720"/>
        <w:rPr>
          <w:color w:val="000000"/>
          <w:szCs w:val="22"/>
          <w:lang w:val="fr-FR" w:eastAsia="es-ES_tradnl"/>
        </w:rPr>
      </w:pPr>
      <w:r w:rsidRPr="0026653F">
        <w:rPr>
          <w:color w:val="000000"/>
          <w:szCs w:val="22"/>
          <w:lang w:val="fr-FR"/>
        </w:rPr>
        <w:t>8.</w:t>
      </w:r>
      <w:r w:rsidRPr="0026653F">
        <w:rPr>
          <w:color w:val="000000"/>
          <w:szCs w:val="22"/>
          <w:lang w:val="fr-FR"/>
        </w:rPr>
        <w:tab/>
        <w:t>De fixer à 84 968 407 USD à titre provisoire le niveau budgétaire global pour l’année 2022.</w:t>
      </w:r>
    </w:p>
    <w:p w14:paraId="32401E1B" w14:textId="77777777" w:rsidR="009071BD" w:rsidRPr="0026653F" w:rsidRDefault="009071BD" w:rsidP="00C618DD">
      <w:pPr>
        <w:suppressAutoHyphens/>
        <w:rPr>
          <w:color w:val="000000"/>
          <w:szCs w:val="22"/>
          <w:lang w:val="fr-FR" w:eastAsia="es-ES"/>
        </w:rPr>
      </w:pPr>
    </w:p>
    <w:p w14:paraId="60CFAE80" w14:textId="77777777" w:rsidR="009071BD" w:rsidRPr="0026653F" w:rsidRDefault="009071BD" w:rsidP="004E44A6">
      <w:pPr>
        <w:keepNext/>
        <w:numPr>
          <w:ilvl w:val="0"/>
          <w:numId w:val="7"/>
        </w:numPr>
        <w:ind w:left="720"/>
        <w:jc w:val="left"/>
        <w:rPr>
          <w:color w:val="000000"/>
          <w:szCs w:val="22"/>
          <w:lang w:val="fr-FR"/>
        </w:rPr>
      </w:pPr>
      <w:bookmarkStart w:id="46" w:name="_Toc14803674"/>
      <w:r w:rsidRPr="0026653F">
        <w:rPr>
          <w:color w:val="000000"/>
          <w:szCs w:val="22"/>
          <w:u w:val="single"/>
          <w:lang w:val="fr-FR"/>
        </w:rPr>
        <w:lastRenderedPageBreak/>
        <w:t>CRÉDITS BUDGÉTAIRES</w:t>
      </w:r>
      <w:bookmarkEnd w:id="46"/>
    </w:p>
    <w:p w14:paraId="1A664349" w14:textId="77777777" w:rsidR="009071BD" w:rsidRPr="0026653F" w:rsidRDefault="009071BD" w:rsidP="00C618DD">
      <w:pPr>
        <w:keepNext/>
        <w:suppressAutoHyphens/>
        <w:outlineLvl w:val="0"/>
        <w:rPr>
          <w:color w:val="000000"/>
          <w:szCs w:val="22"/>
          <w:lang w:val="fr-FR" w:eastAsia="es-ES"/>
        </w:rPr>
      </w:pPr>
    </w:p>
    <w:p w14:paraId="603018BD" w14:textId="1D616687" w:rsidR="009071BD" w:rsidRPr="0026653F" w:rsidRDefault="009071BD" w:rsidP="00C618DD">
      <w:pPr>
        <w:numPr>
          <w:ilvl w:val="3"/>
          <w:numId w:val="7"/>
        </w:numPr>
        <w:ind w:left="0" w:firstLine="720"/>
        <w:rPr>
          <w:color w:val="000000"/>
          <w:szCs w:val="22"/>
          <w:lang w:val="fr-FR"/>
        </w:rPr>
      </w:pPr>
      <w:r w:rsidRPr="0026653F">
        <w:rPr>
          <w:color w:val="000000"/>
          <w:szCs w:val="22"/>
          <w:lang w:val="fr-FR"/>
        </w:rPr>
        <w:t>D’a</w:t>
      </w:r>
      <w:r w:rsidR="0070375E" w:rsidRPr="0026653F">
        <w:rPr>
          <w:color w:val="000000"/>
          <w:szCs w:val="22"/>
          <w:lang w:val="fr-FR"/>
        </w:rPr>
        <w:t>pprouver</w:t>
      </w:r>
      <w:r w:rsidRPr="0026653F">
        <w:rPr>
          <w:color w:val="000000"/>
          <w:szCs w:val="22"/>
          <w:lang w:val="fr-FR"/>
        </w:rPr>
        <w:t xml:space="preserve"> et d’autoriser le programme-budget de l’Organisation pour l’exercice budgétaire compris entre le 1</w:t>
      </w:r>
      <w:r w:rsidRPr="0026653F">
        <w:rPr>
          <w:color w:val="000000"/>
          <w:szCs w:val="22"/>
          <w:vertAlign w:val="superscript"/>
          <w:lang w:val="fr-FR"/>
        </w:rPr>
        <w:t>er</w:t>
      </w:r>
      <w:r w:rsidRPr="0026653F">
        <w:rPr>
          <w:color w:val="000000"/>
          <w:szCs w:val="22"/>
          <w:lang w:val="fr-FR"/>
        </w:rPr>
        <w:t xml:space="preserve"> janvier et le 31 décembre 2021, financé par les fonds suivants et sans dépasser les montants indiqués ci-après :</w:t>
      </w:r>
    </w:p>
    <w:p w14:paraId="303206F8" w14:textId="77777777" w:rsidR="009071BD" w:rsidRPr="0026653F" w:rsidRDefault="009071BD" w:rsidP="00C618DD">
      <w:pPr>
        <w:rPr>
          <w:color w:val="000000"/>
          <w:szCs w:val="22"/>
          <w:lang w:val="fr-FR" w:eastAsia="es-ES"/>
        </w:rPr>
      </w:pPr>
    </w:p>
    <w:p w14:paraId="0A4218AF" w14:textId="77777777" w:rsidR="009071BD" w:rsidRPr="0026653F" w:rsidRDefault="009071BD" w:rsidP="00C618DD">
      <w:pPr>
        <w:ind w:left="2160" w:hanging="720"/>
        <w:rPr>
          <w:color w:val="000000"/>
          <w:szCs w:val="22"/>
          <w:lang w:val="fr-FR"/>
        </w:rPr>
      </w:pPr>
      <w:r w:rsidRPr="0026653F">
        <w:rPr>
          <w:color w:val="000000"/>
          <w:szCs w:val="22"/>
          <w:lang w:val="fr-FR"/>
        </w:rPr>
        <w:t>a)</w:t>
      </w:r>
      <w:r w:rsidRPr="0026653F">
        <w:rPr>
          <w:color w:val="000000"/>
          <w:szCs w:val="22"/>
          <w:lang w:val="fr-FR"/>
        </w:rPr>
        <w:tab/>
        <w:t>Fonds ordinaire (FO)</w:t>
      </w:r>
      <w:r w:rsidRPr="0026653F">
        <w:rPr>
          <w:color w:val="000000"/>
          <w:szCs w:val="22"/>
          <w:lang w:val="fr-FR"/>
        </w:rPr>
        <w:tab/>
      </w:r>
      <w:r w:rsidRPr="0026653F">
        <w:rPr>
          <w:color w:val="000000"/>
          <w:szCs w:val="22"/>
          <w:lang w:val="fr-FR"/>
        </w:rPr>
        <w:tab/>
      </w:r>
      <w:r w:rsidRPr="0026653F">
        <w:rPr>
          <w:color w:val="000000"/>
          <w:szCs w:val="22"/>
          <w:lang w:val="fr-FR"/>
        </w:rPr>
        <w:tab/>
      </w:r>
      <w:r w:rsidRPr="0026653F">
        <w:rPr>
          <w:color w:val="000000"/>
          <w:szCs w:val="22"/>
          <w:lang w:val="fr-FR"/>
        </w:rPr>
        <w:tab/>
      </w:r>
      <w:r w:rsidR="00C70C76" w:rsidRPr="0026653F">
        <w:rPr>
          <w:color w:val="000000"/>
          <w:szCs w:val="22"/>
          <w:lang w:val="fr-FR"/>
        </w:rPr>
        <w:tab/>
      </w:r>
      <w:r w:rsidRPr="0026653F">
        <w:rPr>
          <w:color w:val="000000"/>
          <w:szCs w:val="22"/>
          <w:lang w:val="fr-FR"/>
        </w:rPr>
        <w:t>79 000 000 USD</w:t>
      </w:r>
    </w:p>
    <w:p w14:paraId="24B9BB15" w14:textId="77777777" w:rsidR="0070375E" w:rsidRPr="0026653F" w:rsidRDefault="0070375E" w:rsidP="004E44A6">
      <w:pPr>
        <w:rPr>
          <w:color w:val="000000"/>
          <w:szCs w:val="22"/>
          <w:lang w:val="fr-FR"/>
        </w:rPr>
      </w:pPr>
    </w:p>
    <w:p w14:paraId="044ACF60" w14:textId="02BC34C0" w:rsidR="009071BD" w:rsidRPr="0026653F" w:rsidRDefault="009071BD" w:rsidP="00C618DD">
      <w:pPr>
        <w:ind w:left="2160" w:hanging="720"/>
        <w:rPr>
          <w:color w:val="000000"/>
          <w:szCs w:val="22"/>
          <w:lang w:val="fr-FR"/>
        </w:rPr>
      </w:pPr>
      <w:r w:rsidRPr="0026653F">
        <w:rPr>
          <w:color w:val="000000"/>
          <w:szCs w:val="22"/>
          <w:lang w:val="fr-FR"/>
        </w:rPr>
        <w:t>b)</w:t>
      </w:r>
      <w:r w:rsidRPr="0026653F">
        <w:rPr>
          <w:color w:val="000000"/>
          <w:szCs w:val="22"/>
          <w:lang w:val="fr-FR"/>
        </w:rPr>
        <w:tab/>
        <w:t>Recouvrement des coûts indirects (RCI)</w:t>
      </w:r>
      <w:r w:rsidRPr="0026653F">
        <w:rPr>
          <w:color w:val="000000"/>
          <w:szCs w:val="22"/>
          <w:lang w:val="fr-FR"/>
        </w:rPr>
        <w:tab/>
      </w:r>
      <w:r w:rsidRPr="0026653F">
        <w:rPr>
          <w:color w:val="000000"/>
          <w:szCs w:val="22"/>
          <w:lang w:val="fr-FR"/>
        </w:rPr>
        <w:tab/>
      </w:r>
      <w:r w:rsidR="00C70C76" w:rsidRPr="0026653F">
        <w:rPr>
          <w:color w:val="000000"/>
          <w:szCs w:val="22"/>
          <w:lang w:val="fr-FR"/>
        </w:rPr>
        <w:tab/>
      </w:r>
      <w:r w:rsidR="0023148D" w:rsidRPr="0026653F">
        <w:rPr>
          <w:color w:val="000000"/>
          <w:szCs w:val="22"/>
          <w:lang w:val="fr-FR"/>
        </w:rPr>
        <w:t xml:space="preserve"> </w:t>
      </w:r>
      <w:r w:rsidRPr="0026653F">
        <w:rPr>
          <w:color w:val="000000"/>
          <w:szCs w:val="22"/>
          <w:lang w:val="fr-FR"/>
        </w:rPr>
        <w:t>7 219 300 USD</w:t>
      </w:r>
    </w:p>
    <w:p w14:paraId="450258F0" w14:textId="77777777" w:rsidR="009071BD" w:rsidRPr="0026653F" w:rsidRDefault="009071BD" w:rsidP="00C618DD">
      <w:pPr>
        <w:rPr>
          <w:color w:val="000000"/>
          <w:szCs w:val="22"/>
          <w:lang w:val="fr-FR" w:eastAsia="es-ES"/>
        </w:rPr>
      </w:pPr>
    </w:p>
    <w:p w14:paraId="061AB879" w14:textId="3CA6FBD8" w:rsidR="009071BD" w:rsidRPr="0026653F" w:rsidRDefault="009071BD" w:rsidP="00C618DD">
      <w:pPr>
        <w:rPr>
          <w:color w:val="000000"/>
          <w:szCs w:val="22"/>
          <w:lang w:val="fr-FR"/>
        </w:rPr>
      </w:pPr>
      <w:r w:rsidRPr="0026653F">
        <w:rPr>
          <w:color w:val="000000"/>
          <w:szCs w:val="22"/>
          <w:lang w:val="fr-FR"/>
        </w:rPr>
        <w:tab/>
        <w:t>2.</w:t>
      </w:r>
      <w:r w:rsidRPr="0026653F">
        <w:rPr>
          <w:color w:val="000000"/>
          <w:szCs w:val="22"/>
          <w:lang w:val="fr-FR"/>
        </w:rPr>
        <w:tab/>
        <w:t>D’approuver les montants des crédits du Fonds ordinaire par chapitre avec les recommandations, directives ou mandats spécifiés ci-après :</w:t>
      </w:r>
    </w:p>
    <w:p w14:paraId="53B62488" w14:textId="433875A7" w:rsidR="00E724A1" w:rsidRPr="0026653F" w:rsidRDefault="00E724A1" w:rsidP="00C618DD">
      <w:pPr>
        <w:rPr>
          <w:szCs w:val="22"/>
          <w:lang w:val="fr-FR"/>
        </w:rPr>
      </w:pPr>
    </w:p>
    <w:tbl>
      <w:tblPr>
        <w:tblW w:w="8874" w:type="dxa"/>
        <w:tblLook w:val="04A0" w:firstRow="1" w:lastRow="0" w:firstColumn="1" w:lastColumn="0" w:noHBand="0" w:noVBand="1"/>
      </w:tblPr>
      <w:tblGrid>
        <w:gridCol w:w="9"/>
        <w:gridCol w:w="50"/>
        <w:gridCol w:w="896"/>
        <w:gridCol w:w="9"/>
        <w:gridCol w:w="50"/>
        <w:gridCol w:w="140"/>
        <w:gridCol w:w="5496"/>
        <w:gridCol w:w="9"/>
        <w:gridCol w:w="50"/>
        <w:gridCol w:w="1032"/>
        <w:gridCol w:w="33"/>
        <w:gridCol w:w="9"/>
        <w:gridCol w:w="26"/>
        <w:gridCol w:w="24"/>
        <w:gridCol w:w="1020"/>
        <w:gridCol w:w="9"/>
        <w:gridCol w:w="12"/>
      </w:tblGrid>
      <w:tr w:rsidR="009071BD" w:rsidRPr="005F4BE2" w14:paraId="74266BD8" w14:textId="77777777" w:rsidTr="00C70C76">
        <w:trPr>
          <w:gridBefore w:val="2"/>
          <w:gridAfter w:val="2"/>
          <w:wBefore w:w="59" w:type="dxa"/>
          <w:wAfter w:w="21" w:type="dxa"/>
          <w:trHeight w:val="243"/>
          <w:tblHeader/>
        </w:trPr>
        <w:tc>
          <w:tcPr>
            <w:tcW w:w="955" w:type="dxa"/>
            <w:gridSpan w:val="3"/>
            <w:tcBorders>
              <w:top w:val="nil"/>
              <w:left w:val="nil"/>
              <w:bottom w:val="nil"/>
              <w:right w:val="nil"/>
            </w:tcBorders>
            <w:noWrap/>
            <w:vAlign w:val="bottom"/>
            <w:hideMark/>
          </w:tcPr>
          <w:p w14:paraId="0DA463EE" w14:textId="77777777" w:rsidR="009071BD" w:rsidRPr="005F4BE2" w:rsidRDefault="009071BD" w:rsidP="00C618DD">
            <w:pPr>
              <w:ind w:left="1080"/>
              <w:jc w:val="left"/>
              <w:rPr>
                <w:color w:val="000000"/>
                <w:szCs w:val="22"/>
                <w:lang w:val="fr-FR"/>
              </w:rPr>
            </w:pPr>
          </w:p>
        </w:tc>
        <w:tc>
          <w:tcPr>
            <w:tcW w:w="5645" w:type="dxa"/>
            <w:gridSpan w:val="3"/>
            <w:tcBorders>
              <w:top w:val="nil"/>
              <w:left w:val="nil"/>
              <w:bottom w:val="nil"/>
              <w:right w:val="nil"/>
            </w:tcBorders>
            <w:noWrap/>
            <w:vAlign w:val="bottom"/>
            <w:hideMark/>
          </w:tcPr>
          <w:p w14:paraId="769A51DD" w14:textId="77777777" w:rsidR="009071BD" w:rsidRPr="005F4BE2" w:rsidRDefault="009071BD" w:rsidP="00C618DD">
            <w:pPr>
              <w:jc w:val="left"/>
              <w:rPr>
                <w:color w:val="000000"/>
                <w:szCs w:val="22"/>
                <w:lang w:val="fr-FR"/>
              </w:rPr>
            </w:pPr>
          </w:p>
        </w:tc>
        <w:tc>
          <w:tcPr>
            <w:tcW w:w="1082" w:type="dxa"/>
            <w:gridSpan w:val="2"/>
            <w:tcBorders>
              <w:top w:val="nil"/>
              <w:left w:val="nil"/>
              <w:bottom w:val="nil"/>
              <w:right w:val="nil"/>
            </w:tcBorders>
            <w:noWrap/>
            <w:vAlign w:val="bottom"/>
            <w:hideMark/>
          </w:tcPr>
          <w:p w14:paraId="1943722A" w14:textId="77777777" w:rsidR="009071BD" w:rsidRPr="005F4BE2" w:rsidRDefault="009071BD" w:rsidP="00C618DD">
            <w:pPr>
              <w:jc w:val="center"/>
              <w:rPr>
                <w:color w:val="000000"/>
                <w:szCs w:val="22"/>
                <w:lang w:val="fr-FR"/>
              </w:rPr>
            </w:pPr>
            <w:r w:rsidRPr="005F4BE2">
              <w:rPr>
                <w:color w:val="000000"/>
                <w:szCs w:val="22"/>
                <w:lang w:val="fr-FR"/>
              </w:rPr>
              <w:t>FO</w:t>
            </w:r>
          </w:p>
        </w:tc>
        <w:tc>
          <w:tcPr>
            <w:tcW w:w="1112" w:type="dxa"/>
            <w:gridSpan w:val="5"/>
            <w:tcBorders>
              <w:top w:val="nil"/>
              <w:left w:val="nil"/>
              <w:bottom w:val="nil"/>
              <w:right w:val="nil"/>
            </w:tcBorders>
            <w:noWrap/>
            <w:vAlign w:val="bottom"/>
            <w:hideMark/>
          </w:tcPr>
          <w:p w14:paraId="4B7F77DE" w14:textId="77777777" w:rsidR="009071BD" w:rsidRPr="005F4BE2" w:rsidRDefault="009071BD" w:rsidP="00C618DD">
            <w:pPr>
              <w:jc w:val="center"/>
              <w:rPr>
                <w:color w:val="000000"/>
                <w:szCs w:val="22"/>
                <w:lang w:val="fr-FR"/>
              </w:rPr>
            </w:pPr>
            <w:r w:rsidRPr="005F4BE2">
              <w:rPr>
                <w:color w:val="000000"/>
                <w:szCs w:val="22"/>
                <w:lang w:val="fr-FR"/>
              </w:rPr>
              <w:t>RCI</w:t>
            </w:r>
          </w:p>
        </w:tc>
      </w:tr>
      <w:tr w:rsidR="009071BD" w:rsidRPr="005F4BE2" w14:paraId="6D6E2E31" w14:textId="77777777" w:rsidTr="00C70C76">
        <w:trPr>
          <w:gridBefore w:val="2"/>
          <w:wBefore w:w="59" w:type="dxa"/>
          <w:trHeight w:val="225"/>
          <w:tblHeader/>
        </w:trPr>
        <w:tc>
          <w:tcPr>
            <w:tcW w:w="955" w:type="dxa"/>
            <w:gridSpan w:val="3"/>
            <w:tcBorders>
              <w:top w:val="nil"/>
              <w:left w:val="nil"/>
              <w:bottom w:val="nil"/>
              <w:right w:val="nil"/>
            </w:tcBorders>
            <w:noWrap/>
            <w:vAlign w:val="bottom"/>
            <w:hideMark/>
          </w:tcPr>
          <w:p w14:paraId="01042267" w14:textId="77777777" w:rsidR="009071BD" w:rsidRPr="005F4BE2" w:rsidRDefault="009071BD" w:rsidP="00C618DD">
            <w:pPr>
              <w:jc w:val="left"/>
              <w:rPr>
                <w:color w:val="000000"/>
                <w:szCs w:val="22"/>
                <w:lang w:val="fr-FR"/>
              </w:rPr>
            </w:pPr>
          </w:p>
        </w:tc>
        <w:tc>
          <w:tcPr>
            <w:tcW w:w="5645" w:type="dxa"/>
            <w:gridSpan w:val="3"/>
            <w:tcBorders>
              <w:top w:val="nil"/>
              <w:left w:val="nil"/>
              <w:bottom w:val="nil"/>
              <w:right w:val="nil"/>
            </w:tcBorders>
            <w:noWrap/>
            <w:vAlign w:val="bottom"/>
            <w:hideMark/>
          </w:tcPr>
          <w:p w14:paraId="16A8704F" w14:textId="77777777" w:rsidR="009071BD" w:rsidRPr="005F4BE2" w:rsidRDefault="009071BD" w:rsidP="00C618DD">
            <w:pPr>
              <w:jc w:val="left"/>
              <w:rPr>
                <w:color w:val="000000"/>
                <w:szCs w:val="22"/>
                <w:lang w:val="fr-FR"/>
              </w:rPr>
            </w:pPr>
          </w:p>
        </w:tc>
        <w:tc>
          <w:tcPr>
            <w:tcW w:w="2215" w:type="dxa"/>
            <w:gridSpan w:val="9"/>
            <w:tcBorders>
              <w:top w:val="nil"/>
              <w:left w:val="nil"/>
              <w:bottom w:val="nil"/>
              <w:right w:val="nil"/>
            </w:tcBorders>
            <w:noWrap/>
            <w:vAlign w:val="bottom"/>
            <w:hideMark/>
          </w:tcPr>
          <w:p w14:paraId="56E94497" w14:textId="77777777" w:rsidR="009071BD" w:rsidRPr="005F4BE2" w:rsidRDefault="009071BD" w:rsidP="00C618DD">
            <w:pPr>
              <w:ind w:left="33"/>
              <w:jc w:val="center"/>
              <w:rPr>
                <w:color w:val="000000"/>
                <w:szCs w:val="22"/>
                <w:lang w:val="fr-FR"/>
              </w:rPr>
            </w:pPr>
            <w:r w:rsidRPr="005F4BE2">
              <w:rPr>
                <w:color w:val="000000"/>
                <w:szCs w:val="22"/>
                <w:lang w:val="fr-FR"/>
              </w:rPr>
              <w:t>(</w:t>
            </w:r>
            <w:proofErr w:type="gramStart"/>
            <w:r w:rsidRPr="005F4BE2">
              <w:rPr>
                <w:color w:val="000000"/>
                <w:szCs w:val="22"/>
                <w:lang w:val="fr-FR"/>
              </w:rPr>
              <w:t>milliers</w:t>
            </w:r>
            <w:proofErr w:type="gramEnd"/>
            <w:r w:rsidRPr="005F4BE2">
              <w:rPr>
                <w:color w:val="000000"/>
                <w:szCs w:val="22"/>
                <w:lang w:val="fr-FR"/>
              </w:rPr>
              <w:t xml:space="preserve"> USD)</w:t>
            </w:r>
          </w:p>
          <w:p w14:paraId="4DF93B8B" w14:textId="77777777" w:rsidR="009071BD" w:rsidRPr="005F4BE2" w:rsidRDefault="009071BD" w:rsidP="00C618DD">
            <w:pPr>
              <w:ind w:left="33"/>
              <w:jc w:val="center"/>
              <w:rPr>
                <w:color w:val="000000"/>
                <w:szCs w:val="22"/>
                <w:lang w:val="fr-FR"/>
              </w:rPr>
            </w:pPr>
          </w:p>
        </w:tc>
      </w:tr>
      <w:tr w:rsidR="009071BD" w:rsidRPr="005F4BE2" w14:paraId="6C6B8FD2"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36EF00D1" w14:textId="77777777" w:rsidR="009071BD" w:rsidRPr="005F4BE2" w:rsidRDefault="009071BD" w:rsidP="00C618DD">
            <w:pPr>
              <w:contextualSpacing/>
              <w:jc w:val="left"/>
              <w:rPr>
                <w:color w:val="000000"/>
                <w:szCs w:val="22"/>
                <w:lang w:val="fr-FR"/>
              </w:rPr>
            </w:pPr>
            <w:r w:rsidRPr="005F4BE2">
              <w:rPr>
                <w:color w:val="000000"/>
                <w:szCs w:val="22"/>
                <w:lang w:val="fr-FR"/>
              </w:rPr>
              <w:t>1. SECRÉTAIRE GÉNÉRAL</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09FF24E0" w14:textId="7B23B658" w:rsidR="009071BD" w:rsidRPr="005F4BE2" w:rsidRDefault="009071BD" w:rsidP="00C618DD">
            <w:pPr>
              <w:contextualSpacing/>
              <w:jc w:val="right"/>
              <w:rPr>
                <w:color w:val="000000"/>
                <w:szCs w:val="22"/>
                <w:lang w:val="fr-FR"/>
              </w:rPr>
            </w:pPr>
            <w:r w:rsidRPr="005F4BE2">
              <w:rPr>
                <w:color w:val="000000"/>
                <w:szCs w:val="22"/>
                <w:lang w:val="fr-FR"/>
              </w:rPr>
              <w:t>2 363</w:t>
            </w:r>
            <w:r w:rsidR="00C11266" w:rsidRPr="005F4BE2">
              <w:rPr>
                <w:color w:val="000000"/>
                <w:szCs w:val="22"/>
                <w:lang w:val="fr-FR"/>
              </w:rPr>
              <w:t>,</w:t>
            </w:r>
            <w:r w:rsidRPr="005F4BE2">
              <w:rPr>
                <w:color w:val="000000"/>
                <w:szCs w:val="22"/>
                <w:lang w:val="fr-FR"/>
              </w:rPr>
              <w:t>6</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1C365BC7" w14:textId="2417560A" w:rsidR="009071BD" w:rsidRPr="005F4BE2" w:rsidRDefault="009071BD" w:rsidP="00C618DD">
            <w:pPr>
              <w:contextualSpacing/>
              <w:jc w:val="right"/>
              <w:rPr>
                <w:color w:val="000000"/>
                <w:szCs w:val="22"/>
                <w:lang w:val="fr-FR"/>
              </w:rPr>
            </w:pPr>
            <w:r w:rsidRPr="005F4BE2">
              <w:rPr>
                <w:color w:val="000000"/>
                <w:szCs w:val="22"/>
                <w:lang w:val="fr-FR"/>
              </w:rPr>
              <w:t>250</w:t>
            </w:r>
            <w:r w:rsidR="00C11266" w:rsidRPr="005F4BE2">
              <w:rPr>
                <w:color w:val="000000"/>
                <w:szCs w:val="22"/>
                <w:lang w:val="fr-FR"/>
              </w:rPr>
              <w:t>,</w:t>
            </w:r>
            <w:r w:rsidRPr="005F4BE2">
              <w:rPr>
                <w:color w:val="000000"/>
                <w:szCs w:val="22"/>
                <w:lang w:val="fr-FR"/>
              </w:rPr>
              <w:t>0</w:t>
            </w:r>
          </w:p>
        </w:tc>
      </w:tr>
      <w:tr w:rsidR="009071BD" w:rsidRPr="005F4BE2" w14:paraId="25048574" w14:textId="77777777" w:rsidTr="00C70C76">
        <w:trPr>
          <w:gridBefore w:val="1"/>
          <w:gridAfter w:val="1"/>
          <w:wBefore w:w="9" w:type="dxa"/>
          <w:wAfter w:w="12" w:type="dxa"/>
          <w:trHeight w:val="315"/>
        </w:trPr>
        <w:tc>
          <w:tcPr>
            <w:tcW w:w="955" w:type="dxa"/>
            <w:gridSpan w:val="3"/>
            <w:tcBorders>
              <w:top w:val="single" w:sz="4" w:space="0" w:color="auto"/>
              <w:left w:val="nil"/>
              <w:bottom w:val="single" w:sz="4" w:space="0" w:color="auto"/>
              <w:right w:val="nil"/>
            </w:tcBorders>
            <w:noWrap/>
            <w:vAlign w:val="bottom"/>
            <w:hideMark/>
          </w:tcPr>
          <w:p w14:paraId="757963C5"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left w:val="nil"/>
              <w:bottom w:val="single" w:sz="4" w:space="0" w:color="auto"/>
              <w:right w:val="nil"/>
            </w:tcBorders>
            <w:noWrap/>
            <w:hideMark/>
          </w:tcPr>
          <w:p w14:paraId="4CF57FC4" w14:textId="77777777" w:rsidR="009071BD" w:rsidRPr="005F4BE2" w:rsidRDefault="009071BD" w:rsidP="00C618DD">
            <w:pPr>
              <w:contextualSpacing/>
              <w:jc w:val="left"/>
              <w:rPr>
                <w:szCs w:val="22"/>
                <w:lang w:val="fr-FR"/>
              </w:rPr>
            </w:pPr>
          </w:p>
        </w:tc>
        <w:tc>
          <w:tcPr>
            <w:tcW w:w="1124" w:type="dxa"/>
            <w:gridSpan w:val="4"/>
            <w:tcBorders>
              <w:top w:val="single" w:sz="4" w:space="0" w:color="auto"/>
              <w:left w:val="nil"/>
              <w:bottom w:val="single" w:sz="4" w:space="0" w:color="auto"/>
              <w:right w:val="nil"/>
            </w:tcBorders>
            <w:noWrap/>
            <w:vAlign w:val="center"/>
          </w:tcPr>
          <w:p w14:paraId="01335E25"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bottom w:val="single" w:sz="4" w:space="0" w:color="auto"/>
              <w:right w:val="nil"/>
            </w:tcBorders>
            <w:noWrap/>
            <w:vAlign w:val="center"/>
          </w:tcPr>
          <w:p w14:paraId="2AAF600C" w14:textId="77777777" w:rsidR="009071BD" w:rsidRPr="005F4BE2" w:rsidRDefault="009071BD" w:rsidP="00C618DD">
            <w:pPr>
              <w:contextualSpacing/>
              <w:jc w:val="right"/>
              <w:rPr>
                <w:szCs w:val="22"/>
                <w:lang w:val="fr-FR"/>
              </w:rPr>
            </w:pPr>
          </w:p>
        </w:tc>
      </w:tr>
      <w:tr w:rsidR="009071BD" w:rsidRPr="005F4BE2" w14:paraId="4ADF80B4"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398070FF" w14:textId="77777777" w:rsidR="009071BD" w:rsidRPr="005F4BE2" w:rsidRDefault="009071BD" w:rsidP="00C618DD">
            <w:pPr>
              <w:contextualSpacing/>
              <w:jc w:val="left"/>
              <w:rPr>
                <w:color w:val="000000"/>
                <w:szCs w:val="22"/>
                <w:lang w:val="fr-FR"/>
              </w:rPr>
            </w:pPr>
            <w:r w:rsidRPr="005F4BE2">
              <w:rPr>
                <w:color w:val="000000"/>
                <w:szCs w:val="22"/>
                <w:lang w:val="fr-FR"/>
              </w:rPr>
              <w:t>2. SECRÉTAIRE GÉNÉRAL ADJOINT</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0F7BAB29" w14:textId="2E4C9214" w:rsidR="009071BD" w:rsidRPr="005F4BE2" w:rsidRDefault="009071BD" w:rsidP="00C618DD">
            <w:pPr>
              <w:contextualSpacing/>
              <w:jc w:val="right"/>
              <w:rPr>
                <w:color w:val="000000"/>
                <w:szCs w:val="22"/>
                <w:lang w:val="fr-FR"/>
              </w:rPr>
            </w:pPr>
            <w:r w:rsidRPr="005F4BE2">
              <w:rPr>
                <w:color w:val="000000"/>
                <w:szCs w:val="22"/>
                <w:lang w:val="fr-FR"/>
              </w:rPr>
              <w:t>11 274</w:t>
            </w:r>
            <w:r w:rsidR="00C11266" w:rsidRPr="005F4BE2">
              <w:rPr>
                <w:color w:val="000000"/>
                <w:szCs w:val="22"/>
                <w:lang w:val="fr-FR"/>
              </w:rPr>
              <w:t>,</w:t>
            </w:r>
            <w:r w:rsidRPr="005F4BE2">
              <w:rPr>
                <w:color w:val="000000"/>
                <w:szCs w:val="22"/>
                <w:lang w:val="fr-FR"/>
              </w:rPr>
              <w:t>2</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16620ED3" w14:textId="4A8CD7F1" w:rsidR="009071BD" w:rsidRPr="005F4BE2" w:rsidRDefault="009071BD" w:rsidP="00C618DD">
            <w:pPr>
              <w:contextualSpacing/>
              <w:jc w:val="right"/>
              <w:rPr>
                <w:color w:val="000000"/>
                <w:szCs w:val="22"/>
                <w:lang w:val="fr-FR"/>
              </w:rPr>
            </w:pPr>
            <w:r w:rsidRPr="005F4BE2">
              <w:rPr>
                <w:color w:val="000000"/>
                <w:szCs w:val="22"/>
                <w:lang w:val="fr-FR"/>
              </w:rPr>
              <w:t>61</w:t>
            </w:r>
            <w:r w:rsidR="00C11266" w:rsidRPr="005F4BE2">
              <w:rPr>
                <w:color w:val="000000"/>
                <w:szCs w:val="22"/>
                <w:lang w:val="fr-FR"/>
              </w:rPr>
              <w:t>,</w:t>
            </w:r>
            <w:r w:rsidRPr="005F4BE2">
              <w:rPr>
                <w:color w:val="000000"/>
                <w:szCs w:val="22"/>
                <w:lang w:val="fr-FR"/>
              </w:rPr>
              <w:t>0</w:t>
            </w:r>
          </w:p>
        </w:tc>
      </w:tr>
      <w:tr w:rsidR="009071BD" w:rsidRPr="005F4BE2" w14:paraId="1761BAC3" w14:textId="77777777" w:rsidTr="00C70C76">
        <w:trPr>
          <w:gridBefore w:val="1"/>
          <w:gridAfter w:val="1"/>
          <w:wBefore w:w="9" w:type="dxa"/>
          <w:wAfter w:w="12" w:type="dxa"/>
          <w:trHeight w:val="315"/>
        </w:trPr>
        <w:tc>
          <w:tcPr>
            <w:tcW w:w="955" w:type="dxa"/>
            <w:gridSpan w:val="3"/>
            <w:tcBorders>
              <w:top w:val="single" w:sz="4" w:space="0" w:color="auto"/>
              <w:bottom w:val="single" w:sz="4" w:space="0" w:color="auto"/>
            </w:tcBorders>
            <w:noWrap/>
            <w:vAlign w:val="bottom"/>
            <w:hideMark/>
          </w:tcPr>
          <w:p w14:paraId="7B59613D"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bottom w:val="single" w:sz="4" w:space="0" w:color="auto"/>
            </w:tcBorders>
            <w:noWrap/>
            <w:hideMark/>
          </w:tcPr>
          <w:p w14:paraId="2EF457EC" w14:textId="77777777" w:rsidR="009071BD" w:rsidRPr="005F4BE2" w:rsidRDefault="009071BD" w:rsidP="00C618DD">
            <w:pPr>
              <w:contextualSpacing/>
              <w:jc w:val="left"/>
              <w:rPr>
                <w:szCs w:val="22"/>
                <w:lang w:val="fr-FR"/>
              </w:rPr>
            </w:pPr>
          </w:p>
        </w:tc>
        <w:tc>
          <w:tcPr>
            <w:tcW w:w="1124" w:type="dxa"/>
            <w:gridSpan w:val="4"/>
            <w:tcBorders>
              <w:top w:val="single" w:sz="4" w:space="0" w:color="auto"/>
              <w:bottom w:val="single" w:sz="4" w:space="0" w:color="auto"/>
            </w:tcBorders>
            <w:noWrap/>
            <w:vAlign w:val="center"/>
          </w:tcPr>
          <w:p w14:paraId="6EDDCED3" w14:textId="77777777" w:rsidR="009071BD" w:rsidRPr="005F4BE2" w:rsidRDefault="009071BD" w:rsidP="00C618DD">
            <w:pPr>
              <w:contextualSpacing/>
              <w:jc w:val="right"/>
              <w:rPr>
                <w:szCs w:val="22"/>
                <w:lang w:val="fr-FR"/>
              </w:rPr>
            </w:pPr>
          </w:p>
        </w:tc>
        <w:tc>
          <w:tcPr>
            <w:tcW w:w="1079" w:type="dxa"/>
            <w:gridSpan w:val="4"/>
            <w:tcBorders>
              <w:top w:val="single" w:sz="4" w:space="0" w:color="auto"/>
              <w:bottom w:val="single" w:sz="4" w:space="0" w:color="auto"/>
            </w:tcBorders>
            <w:noWrap/>
            <w:vAlign w:val="center"/>
          </w:tcPr>
          <w:p w14:paraId="4E54698A" w14:textId="77777777" w:rsidR="009071BD" w:rsidRPr="005F4BE2" w:rsidRDefault="009071BD" w:rsidP="00C618DD">
            <w:pPr>
              <w:contextualSpacing/>
              <w:jc w:val="right"/>
              <w:rPr>
                <w:szCs w:val="22"/>
                <w:lang w:val="fr-FR"/>
              </w:rPr>
            </w:pPr>
          </w:p>
        </w:tc>
      </w:tr>
      <w:tr w:rsidR="009071BD" w:rsidRPr="005F4BE2" w14:paraId="3AE580E1"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1B468656" w14:textId="77777777" w:rsidR="009071BD" w:rsidRPr="005F4BE2" w:rsidRDefault="009071BD" w:rsidP="00C618DD">
            <w:pPr>
              <w:contextualSpacing/>
              <w:jc w:val="left"/>
              <w:rPr>
                <w:color w:val="000000"/>
                <w:szCs w:val="22"/>
                <w:lang w:val="fr-FR"/>
              </w:rPr>
            </w:pPr>
            <w:r w:rsidRPr="005F4BE2">
              <w:rPr>
                <w:color w:val="000000"/>
                <w:szCs w:val="22"/>
                <w:lang w:val="fr-FR"/>
              </w:rPr>
              <w:t>3. ORGANISMES PRINCIPAUX ET SPÉCIALISÉS</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7B9C4D42" w14:textId="184507C1" w:rsidR="009071BD" w:rsidRPr="005F4BE2" w:rsidRDefault="009071BD" w:rsidP="00C618DD">
            <w:pPr>
              <w:contextualSpacing/>
              <w:jc w:val="right"/>
              <w:rPr>
                <w:color w:val="000000"/>
                <w:szCs w:val="22"/>
                <w:lang w:val="fr-FR"/>
              </w:rPr>
            </w:pPr>
            <w:r w:rsidRPr="005F4BE2">
              <w:rPr>
                <w:color w:val="000000"/>
                <w:szCs w:val="22"/>
                <w:lang w:val="fr-FR"/>
              </w:rPr>
              <w:t>19 778</w:t>
            </w:r>
            <w:r w:rsidR="00C11266" w:rsidRPr="005F4BE2">
              <w:rPr>
                <w:color w:val="000000"/>
                <w:szCs w:val="22"/>
                <w:lang w:val="fr-FR"/>
              </w:rPr>
              <w:t>,</w:t>
            </w:r>
            <w:r w:rsidRPr="005F4BE2">
              <w:rPr>
                <w:color w:val="000000"/>
                <w:szCs w:val="22"/>
                <w:lang w:val="fr-FR"/>
              </w:rPr>
              <w:t>7</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364CC9C6" w14:textId="2B472A5E" w:rsidR="009071BD" w:rsidRPr="005F4BE2" w:rsidRDefault="009071BD" w:rsidP="00C618DD">
            <w:pPr>
              <w:contextualSpacing/>
              <w:jc w:val="right"/>
              <w:rPr>
                <w:color w:val="000000"/>
                <w:szCs w:val="22"/>
                <w:lang w:val="fr-FR"/>
              </w:rPr>
            </w:pPr>
            <w:r w:rsidRPr="005F4BE2">
              <w:rPr>
                <w:color w:val="000000"/>
                <w:szCs w:val="22"/>
                <w:lang w:val="fr-FR"/>
              </w:rPr>
              <w:t>222</w:t>
            </w:r>
            <w:r w:rsidR="00C11266" w:rsidRPr="005F4BE2">
              <w:rPr>
                <w:color w:val="000000"/>
                <w:szCs w:val="22"/>
                <w:lang w:val="fr-FR"/>
              </w:rPr>
              <w:t>,</w:t>
            </w:r>
            <w:r w:rsidRPr="005F4BE2">
              <w:rPr>
                <w:color w:val="000000"/>
                <w:szCs w:val="22"/>
                <w:lang w:val="fr-FR"/>
              </w:rPr>
              <w:t>2</w:t>
            </w:r>
          </w:p>
        </w:tc>
      </w:tr>
      <w:tr w:rsidR="009071BD" w:rsidRPr="005F4BE2" w14:paraId="77F199BB"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118E0A50" w14:textId="77777777" w:rsidR="009071BD" w:rsidRPr="005F4BE2" w:rsidRDefault="009071BD" w:rsidP="00C618DD">
            <w:pPr>
              <w:contextualSpacing/>
              <w:jc w:val="left"/>
              <w:rPr>
                <w:color w:val="000000"/>
                <w:szCs w:val="22"/>
                <w:lang w:val="fr-FR"/>
              </w:rPr>
            </w:pPr>
            <w:r w:rsidRPr="005F4BE2">
              <w:rPr>
                <w:color w:val="000000"/>
                <w:szCs w:val="22"/>
                <w:lang w:val="fr-FR"/>
              </w:rPr>
              <w:t>34A</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112E58FC" w14:textId="77777777" w:rsidR="009071BD" w:rsidRPr="005F4BE2" w:rsidRDefault="009071BD" w:rsidP="00C618DD">
            <w:pPr>
              <w:contextualSpacing/>
              <w:jc w:val="left"/>
              <w:rPr>
                <w:color w:val="000000"/>
                <w:szCs w:val="22"/>
                <w:lang w:val="fr-FR"/>
              </w:rPr>
            </w:pPr>
            <w:r w:rsidRPr="005F4BE2">
              <w:rPr>
                <w:color w:val="000000"/>
                <w:szCs w:val="22"/>
                <w:lang w:val="fr-FR"/>
              </w:rPr>
              <w:t>Secrétariat de la Cour interaméricaine des droits de l'homme</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3A187EAF" w14:textId="643114EA" w:rsidR="009071BD" w:rsidRPr="005F4BE2" w:rsidRDefault="009071BD" w:rsidP="00C618DD">
            <w:pPr>
              <w:contextualSpacing/>
              <w:jc w:val="right"/>
              <w:rPr>
                <w:color w:val="000000"/>
                <w:szCs w:val="22"/>
                <w:lang w:val="fr-FR"/>
              </w:rPr>
            </w:pPr>
            <w:r w:rsidRPr="005F4BE2">
              <w:rPr>
                <w:color w:val="000000"/>
                <w:szCs w:val="22"/>
                <w:lang w:val="fr-FR"/>
              </w:rPr>
              <w:t>5 024</w:t>
            </w:r>
            <w:r w:rsidR="00C11266" w:rsidRPr="005F4BE2">
              <w:rPr>
                <w:color w:val="000000"/>
                <w:szCs w:val="22"/>
                <w:lang w:val="fr-FR"/>
              </w:rPr>
              <w:t>,</w:t>
            </w:r>
            <w:r w:rsidRPr="005F4BE2">
              <w:rPr>
                <w:color w:val="000000"/>
                <w:szCs w:val="22"/>
                <w:lang w:val="fr-FR"/>
              </w:rPr>
              <w:t>0</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58C0CFD2" w14:textId="77777777" w:rsidR="009071BD" w:rsidRPr="005F4BE2" w:rsidRDefault="009071BD" w:rsidP="00C618DD">
            <w:pPr>
              <w:contextualSpacing/>
              <w:jc w:val="right"/>
              <w:rPr>
                <w:color w:val="000000"/>
                <w:szCs w:val="22"/>
                <w:lang w:val="fr-FR"/>
              </w:rPr>
            </w:pPr>
            <w:r w:rsidRPr="005F4BE2">
              <w:rPr>
                <w:color w:val="000000"/>
                <w:szCs w:val="22"/>
                <w:lang w:val="fr-FR"/>
              </w:rPr>
              <w:t>–</w:t>
            </w:r>
          </w:p>
        </w:tc>
      </w:tr>
      <w:tr w:rsidR="009071BD" w:rsidRPr="005F4BE2" w14:paraId="6C4CA007"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0AA39119" w14:textId="77777777" w:rsidR="009071BD" w:rsidRPr="005F4BE2" w:rsidRDefault="009071BD" w:rsidP="00C618DD">
            <w:pPr>
              <w:contextualSpacing/>
              <w:jc w:val="left"/>
              <w:rPr>
                <w:color w:val="000000"/>
                <w:szCs w:val="22"/>
                <w:lang w:val="fr-FR"/>
              </w:rPr>
            </w:pPr>
            <w:r w:rsidRPr="005F4BE2">
              <w:rPr>
                <w:color w:val="000000"/>
                <w:szCs w:val="22"/>
                <w:lang w:val="fr-FR"/>
              </w:rPr>
              <w:t>34B</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400230CB" w14:textId="77777777" w:rsidR="009071BD" w:rsidRPr="005F4BE2" w:rsidRDefault="009071BD" w:rsidP="00C618DD">
            <w:pPr>
              <w:contextualSpacing/>
              <w:jc w:val="left"/>
              <w:rPr>
                <w:color w:val="000000"/>
                <w:szCs w:val="22"/>
                <w:lang w:val="fr-FR"/>
              </w:rPr>
            </w:pPr>
            <w:r w:rsidRPr="005F4BE2">
              <w:rPr>
                <w:color w:val="000000"/>
                <w:szCs w:val="22"/>
                <w:lang w:val="fr-FR"/>
              </w:rPr>
              <w:t>Secrétariat exécutif de la Commission interaméricaine des droits de l’homme (CIDH)</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2F16A4E1" w14:textId="49FC3AC3" w:rsidR="009071BD" w:rsidRPr="005F4BE2" w:rsidRDefault="009071BD" w:rsidP="00C618DD">
            <w:pPr>
              <w:contextualSpacing/>
              <w:jc w:val="right"/>
              <w:rPr>
                <w:color w:val="000000"/>
                <w:szCs w:val="22"/>
                <w:lang w:val="fr-FR"/>
              </w:rPr>
            </w:pPr>
            <w:r w:rsidRPr="005F4BE2">
              <w:rPr>
                <w:color w:val="000000"/>
                <w:szCs w:val="22"/>
                <w:lang w:val="fr-FR"/>
              </w:rPr>
              <w:t>10 081</w:t>
            </w:r>
            <w:r w:rsidR="00C11266" w:rsidRPr="005F4BE2">
              <w:rPr>
                <w:color w:val="000000"/>
                <w:szCs w:val="22"/>
                <w:lang w:val="fr-FR"/>
              </w:rPr>
              <w:t>,</w:t>
            </w:r>
            <w:r w:rsidRPr="005F4BE2">
              <w:rPr>
                <w:color w:val="000000"/>
                <w:szCs w:val="22"/>
                <w:lang w:val="fr-FR"/>
              </w:rPr>
              <w:t>9</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12C00A02" w14:textId="77777777" w:rsidR="009071BD" w:rsidRPr="005F4BE2" w:rsidRDefault="009071BD" w:rsidP="00C618DD">
            <w:pPr>
              <w:contextualSpacing/>
              <w:jc w:val="right"/>
              <w:rPr>
                <w:color w:val="000000"/>
                <w:szCs w:val="22"/>
                <w:lang w:val="fr-FR"/>
              </w:rPr>
            </w:pPr>
            <w:r w:rsidRPr="005F4BE2">
              <w:rPr>
                <w:color w:val="000000"/>
                <w:szCs w:val="22"/>
                <w:lang w:val="fr-FR"/>
              </w:rPr>
              <w:t>–</w:t>
            </w:r>
          </w:p>
        </w:tc>
      </w:tr>
      <w:tr w:rsidR="009071BD" w:rsidRPr="005F4BE2" w14:paraId="2A7B0B10"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52A41A50" w14:textId="77777777" w:rsidR="009071BD" w:rsidRPr="005F4BE2" w:rsidRDefault="009071BD" w:rsidP="00C618DD">
            <w:pPr>
              <w:contextualSpacing/>
              <w:jc w:val="left"/>
              <w:rPr>
                <w:color w:val="000000"/>
                <w:szCs w:val="22"/>
                <w:lang w:val="fr-FR"/>
              </w:rPr>
            </w:pPr>
            <w:r w:rsidRPr="005F4BE2">
              <w:rPr>
                <w:color w:val="000000"/>
                <w:szCs w:val="22"/>
                <w:lang w:val="fr-FR"/>
              </w:rPr>
              <w:t>34C</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7C924CF2" w14:textId="677B8213" w:rsidR="009071BD" w:rsidRPr="005F4BE2" w:rsidRDefault="009071BD" w:rsidP="00C618DD">
            <w:pPr>
              <w:contextualSpacing/>
              <w:jc w:val="left"/>
              <w:rPr>
                <w:color w:val="000000"/>
                <w:szCs w:val="22"/>
                <w:lang w:val="fr-FR"/>
              </w:rPr>
            </w:pPr>
            <w:r w:rsidRPr="005F4BE2">
              <w:rPr>
                <w:color w:val="000000"/>
                <w:szCs w:val="22"/>
                <w:lang w:val="fr-FR"/>
              </w:rPr>
              <w:t xml:space="preserve">Secrétariat </w:t>
            </w:r>
            <w:r w:rsidR="009F777A" w:rsidRPr="005F4BE2">
              <w:rPr>
                <w:color w:val="000000"/>
                <w:szCs w:val="22"/>
                <w:lang w:val="fr-FR"/>
              </w:rPr>
              <w:t xml:space="preserve">exécutif </w:t>
            </w:r>
            <w:r w:rsidRPr="005F4BE2">
              <w:rPr>
                <w:color w:val="000000"/>
                <w:szCs w:val="22"/>
                <w:lang w:val="fr-FR"/>
              </w:rPr>
              <w:t>de la Commission interaméricaine des femmes (CIM)</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39ED09C" w14:textId="6C6717F0" w:rsidR="009071BD" w:rsidRPr="005F4BE2" w:rsidRDefault="009071BD" w:rsidP="00C618DD">
            <w:pPr>
              <w:contextualSpacing/>
              <w:jc w:val="right"/>
              <w:rPr>
                <w:color w:val="000000"/>
                <w:szCs w:val="22"/>
                <w:lang w:val="fr-FR"/>
              </w:rPr>
            </w:pPr>
            <w:r w:rsidRPr="005F4BE2">
              <w:rPr>
                <w:color w:val="000000"/>
                <w:szCs w:val="22"/>
                <w:lang w:val="fr-FR"/>
              </w:rPr>
              <w:t>1 573</w:t>
            </w:r>
            <w:r w:rsidR="00C11266" w:rsidRPr="005F4BE2">
              <w:rPr>
                <w:color w:val="000000"/>
                <w:szCs w:val="22"/>
                <w:lang w:val="fr-FR"/>
              </w:rPr>
              <w:t>,</w:t>
            </w:r>
            <w:r w:rsidRPr="005F4BE2">
              <w:rPr>
                <w:color w:val="000000"/>
                <w:szCs w:val="22"/>
                <w:lang w:val="fr-FR"/>
              </w:rPr>
              <w:t>8</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4EB5AB57" w14:textId="4A0E4EDE" w:rsidR="009071BD" w:rsidRPr="005F4BE2" w:rsidRDefault="009071BD" w:rsidP="00C618DD">
            <w:pPr>
              <w:contextualSpacing/>
              <w:jc w:val="right"/>
              <w:rPr>
                <w:color w:val="000000"/>
                <w:szCs w:val="22"/>
                <w:lang w:val="fr-FR"/>
              </w:rPr>
            </w:pPr>
            <w:r w:rsidRPr="005F4BE2">
              <w:rPr>
                <w:color w:val="000000"/>
                <w:szCs w:val="22"/>
                <w:lang w:val="fr-FR"/>
              </w:rPr>
              <w:t>41</w:t>
            </w:r>
            <w:r w:rsidR="00C11266" w:rsidRPr="005F4BE2">
              <w:rPr>
                <w:color w:val="000000"/>
                <w:szCs w:val="22"/>
                <w:lang w:val="fr-FR"/>
              </w:rPr>
              <w:t>,</w:t>
            </w:r>
            <w:r w:rsidRPr="005F4BE2">
              <w:rPr>
                <w:color w:val="000000"/>
                <w:szCs w:val="22"/>
                <w:lang w:val="fr-FR"/>
              </w:rPr>
              <w:t>7</w:t>
            </w:r>
          </w:p>
        </w:tc>
      </w:tr>
      <w:tr w:rsidR="009071BD" w:rsidRPr="005F4BE2" w14:paraId="2874FEC9"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4D643237" w14:textId="77777777" w:rsidR="009071BD" w:rsidRPr="005F4BE2" w:rsidRDefault="009071BD" w:rsidP="00C618DD">
            <w:pPr>
              <w:contextualSpacing/>
              <w:jc w:val="left"/>
              <w:rPr>
                <w:color w:val="000000"/>
                <w:szCs w:val="22"/>
                <w:lang w:val="fr-FR"/>
              </w:rPr>
            </w:pPr>
            <w:r w:rsidRPr="005F4BE2">
              <w:rPr>
                <w:color w:val="000000"/>
                <w:szCs w:val="22"/>
                <w:lang w:val="fr-FR"/>
              </w:rPr>
              <w:t>34D</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17E733D0" w14:textId="00B628A2" w:rsidR="009071BD" w:rsidRPr="005F4BE2" w:rsidRDefault="009071BD" w:rsidP="00C618DD">
            <w:pPr>
              <w:contextualSpacing/>
              <w:jc w:val="left"/>
              <w:rPr>
                <w:color w:val="000000"/>
                <w:szCs w:val="22"/>
                <w:lang w:val="fr-FR"/>
              </w:rPr>
            </w:pPr>
            <w:r w:rsidRPr="005F4BE2">
              <w:rPr>
                <w:color w:val="000000"/>
                <w:szCs w:val="22"/>
                <w:lang w:val="fr-FR"/>
              </w:rPr>
              <w:t>Direction générale de l'Institut interaméricain de l'enfance et de l'adolescence</w:t>
            </w:r>
            <w:r w:rsidR="009F777A" w:rsidRPr="005F4BE2">
              <w:rPr>
                <w:color w:val="000000"/>
                <w:szCs w:val="22"/>
                <w:lang w:val="fr-FR"/>
              </w:rPr>
              <w:t xml:space="preserve"> (IIN)</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BBB5F26" w14:textId="21F47E15" w:rsidR="009071BD" w:rsidRPr="005F4BE2" w:rsidRDefault="009071BD" w:rsidP="00C618DD">
            <w:pPr>
              <w:contextualSpacing/>
              <w:jc w:val="right"/>
              <w:rPr>
                <w:color w:val="000000"/>
                <w:szCs w:val="22"/>
                <w:lang w:val="fr-FR"/>
              </w:rPr>
            </w:pPr>
            <w:r w:rsidRPr="005F4BE2">
              <w:rPr>
                <w:color w:val="000000"/>
                <w:szCs w:val="22"/>
                <w:lang w:val="fr-FR"/>
              </w:rPr>
              <w:t>968</w:t>
            </w:r>
            <w:r w:rsidR="00C11266" w:rsidRPr="005F4BE2">
              <w:rPr>
                <w:color w:val="000000"/>
                <w:szCs w:val="22"/>
                <w:lang w:val="fr-FR"/>
              </w:rPr>
              <w:t>,</w:t>
            </w:r>
            <w:r w:rsidRPr="005F4BE2">
              <w:rPr>
                <w:color w:val="000000"/>
                <w:szCs w:val="22"/>
                <w:lang w:val="fr-FR"/>
              </w:rPr>
              <w:t>3</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7E3DEB33" w14:textId="3B95A087" w:rsidR="009071BD" w:rsidRPr="005F4BE2" w:rsidRDefault="009071BD" w:rsidP="00C618DD">
            <w:pPr>
              <w:contextualSpacing/>
              <w:jc w:val="right"/>
              <w:rPr>
                <w:color w:val="000000"/>
                <w:szCs w:val="22"/>
                <w:lang w:val="fr-FR"/>
              </w:rPr>
            </w:pPr>
            <w:r w:rsidRPr="005F4BE2">
              <w:rPr>
                <w:color w:val="000000"/>
                <w:szCs w:val="22"/>
                <w:lang w:val="fr-FR"/>
              </w:rPr>
              <w:t>29</w:t>
            </w:r>
            <w:r w:rsidR="00C11266" w:rsidRPr="005F4BE2">
              <w:rPr>
                <w:color w:val="000000"/>
                <w:szCs w:val="22"/>
                <w:lang w:val="fr-FR"/>
              </w:rPr>
              <w:t>,</w:t>
            </w:r>
            <w:r w:rsidRPr="005F4BE2">
              <w:rPr>
                <w:color w:val="000000"/>
                <w:szCs w:val="22"/>
                <w:lang w:val="fr-FR"/>
              </w:rPr>
              <w:t>3</w:t>
            </w:r>
          </w:p>
        </w:tc>
      </w:tr>
      <w:tr w:rsidR="009071BD" w:rsidRPr="005F4BE2" w14:paraId="20CE349E"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2B5F3738" w14:textId="77777777" w:rsidR="009071BD" w:rsidRPr="005F4BE2" w:rsidRDefault="009071BD" w:rsidP="00C618DD">
            <w:pPr>
              <w:contextualSpacing/>
              <w:jc w:val="left"/>
              <w:rPr>
                <w:color w:val="000000"/>
                <w:szCs w:val="22"/>
                <w:lang w:val="fr-FR"/>
              </w:rPr>
            </w:pPr>
            <w:r w:rsidRPr="005F4BE2">
              <w:rPr>
                <w:color w:val="000000"/>
                <w:szCs w:val="22"/>
                <w:lang w:val="fr-FR"/>
              </w:rPr>
              <w:t>34E</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7ED61CC8" w14:textId="77777777" w:rsidR="009071BD" w:rsidRPr="005F4BE2" w:rsidRDefault="009071BD" w:rsidP="00C618DD">
            <w:pPr>
              <w:contextualSpacing/>
              <w:jc w:val="left"/>
              <w:rPr>
                <w:color w:val="000000"/>
                <w:szCs w:val="22"/>
                <w:lang w:val="fr-FR"/>
              </w:rPr>
            </w:pPr>
            <w:r w:rsidRPr="005F4BE2">
              <w:rPr>
                <w:color w:val="000000"/>
                <w:szCs w:val="22"/>
                <w:lang w:val="fr-FR"/>
              </w:rPr>
              <w:t>Comité juridique interaméricain (CJI)</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771B22C2" w14:textId="763C3E05" w:rsidR="009071BD" w:rsidRPr="005F4BE2" w:rsidRDefault="009071BD" w:rsidP="00C618DD">
            <w:pPr>
              <w:contextualSpacing/>
              <w:jc w:val="right"/>
              <w:rPr>
                <w:color w:val="000000"/>
                <w:szCs w:val="22"/>
                <w:lang w:val="fr-FR"/>
              </w:rPr>
            </w:pPr>
            <w:r w:rsidRPr="005F4BE2">
              <w:rPr>
                <w:color w:val="000000"/>
                <w:szCs w:val="22"/>
                <w:lang w:val="fr-FR"/>
              </w:rPr>
              <w:t>327</w:t>
            </w:r>
            <w:r w:rsidR="00C11266" w:rsidRPr="005F4BE2">
              <w:rPr>
                <w:color w:val="000000"/>
                <w:szCs w:val="22"/>
                <w:lang w:val="fr-FR"/>
              </w:rPr>
              <w:t>,</w:t>
            </w:r>
            <w:r w:rsidRPr="005F4BE2">
              <w:rPr>
                <w:color w:val="000000"/>
                <w:szCs w:val="22"/>
                <w:lang w:val="fr-FR"/>
              </w:rPr>
              <w:t>4</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6711614A" w14:textId="00244400" w:rsidR="009071BD" w:rsidRPr="005F4BE2" w:rsidRDefault="009071BD" w:rsidP="00C618DD">
            <w:pPr>
              <w:contextualSpacing/>
              <w:jc w:val="right"/>
              <w:rPr>
                <w:color w:val="000000"/>
                <w:szCs w:val="22"/>
                <w:lang w:val="fr-FR"/>
              </w:rPr>
            </w:pPr>
            <w:r w:rsidRPr="005F4BE2">
              <w:rPr>
                <w:color w:val="000000"/>
                <w:szCs w:val="22"/>
                <w:lang w:val="fr-FR"/>
              </w:rPr>
              <w:t>77</w:t>
            </w:r>
            <w:r w:rsidR="00C11266" w:rsidRPr="005F4BE2">
              <w:rPr>
                <w:color w:val="000000"/>
                <w:szCs w:val="22"/>
                <w:lang w:val="fr-FR"/>
              </w:rPr>
              <w:t>,</w:t>
            </w:r>
            <w:r w:rsidRPr="005F4BE2">
              <w:rPr>
                <w:color w:val="000000"/>
                <w:szCs w:val="22"/>
                <w:lang w:val="fr-FR"/>
              </w:rPr>
              <w:t>5</w:t>
            </w:r>
          </w:p>
        </w:tc>
      </w:tr>
      <w:tr w:rsidR="009071BD" w:rsidRPr="005F4BE2" w14:paraId="374E30AB"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21C557FC" w14:textId="77777777" w:rsidR="009071BD" w:rsidRPr="005F4BE2" w:rsidRDefault="009071BD" w:rsidP="00C618DD">
            <w:pPr>
              <w:contextualSpacing/>
              <w:jc w:val="left"/>
              <w:rPr>
                <w:color w:val="000000"/>
                <w:szCs w:val="22"/>
                <w:lang w:val="fr-FR"/>
              </w:rPr>
            </w:pPr>
            <w:r w:rsidRPr="005F4BE2">
              <w:rPr>
                <w:color w:val="000000"/>
                <w:szCs w:val="22"/>
                <w:lang w:val="fr-FR"/>
              </w:rPr>
              <w:t>34F</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2ACD1612" w14:textId="77777777" w:rsidR="009071BD" w:rsidRPr="005F4BE2" w:rsidRDefault="009071BD" w:rsidP="00C618DD">
            <w:pPr>
              <w:contextualSpacing/>
              <w:jc w:val="left"/>
              <w:rPr>
                <w:color w:val="000000"/>
                <w:szCs w:val="22"/>
                <w:lang w:val="fr-FR"/>
              </w:rPr>
            </w:pPr>
            <w:r w:rsidRPr="005F4BE2">
              <w:rPr>
                <w:color w:val="000000"/>
                <w:szCs w:val="22"/>
                <w:lang w:val="fr-FR"/>
              </w:rPr>
              <w:t>Secrétariat de la Commission interaméricaine des télécommunications (CITEL)</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8D47ADF" w14:textId="0A5162FC" w:rsidR="009071BD" w:rsidRPr="005F4BE2" w:rsidRDefault="009071BD" w:rsidP="00C618DD">
            <w:pPr>
              <w:contextualSpacing/>
              <w:jc w:val="right"/>
              <w:rPr>
                <w:color w:val="000000"/>
                <w:szCs w:val="22"/>
                <w:lang w:val="fr-FR"/>
              </w:rPr>
            </w:pPr>
            <w:r w:rsidRPr="005F4BE2">
              <w:rPr>
                <w:color w:val="000000"/>
                <w:szCs w:val="22"/>
                <w:lang w:val="fr-FR"/>
              </w:rPr>
              <w:t>593</w:t>
            </w:r>
            <w:r w:rsidR="00C11266" w:rsidRPr="005F4BE2">
              <w:rPr>
                <w:color w:val="000000"/>
                <w:szCs w:val="22"/>
                <w:lang w:val="fr-FR"/>
              </w:rPr>
              <w:t>,</w:t>
            </w:r>
            <w:r w:rsidRPr="005F4BE2">
              <w:rPr>
                <w:color w:val="000000"/>
                <w:szCs w:val="22"/>
                <w:lang w:val="fr-FR"/>
              </w:rPr>
              <w:t>6</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2A7A77AF" w14:textId="6F4F0CC0" w:rsidR="009071BD" w:rsidRPr="005F4BE2" w:rsidRDefault="009071BD" w:rsidP="00C618DD">
            <w:pPr>
              <w:contextualSpacing/>
              <w:jc w:val="right"/>
              <w:rPr>
                <w:color w:val="000000"/>
                <w:szCs w:val="22"/>
                <w:lang w:val="fr-FR"/>
              </w:rPr>
            </w:pPr>
            <w:r w:rsidRPr="005F4BE2">
              <w:rPr>
                <w:color w:val="000000"/>
                <w:szCs w:val="22"/>
                <w:lang w:val="fr-FR"/>
              </w:rPr>
              <w:t>25</w:t>
            </w:r>
            <w:r w:rsidR="00C11266" w:rsidRPr="005F4BE2">
              <w:rPr>
                <w:color w:val="000000"/>
                <w:szCs w:val="22"/>
                <w:lang w:val="fr-FR"/>
              </w:rPr>
              <w:t>,</w:t>
            </w:r>
            <w:r w:rsidRPr="005F4BE2">
              <w:rPr>
                <w:color w:val="000000"/>
                <w:szCs w:val="22"/>
                <w:lang w:val="fr-FR"/>
              </w:rPr>
              <w:t>7</w:t>
            </w:r>
          </w:p>
        </w:tc>
      </w:tr>
      <w:tr w:rsidR="009071BD" w:rsidRPr="005F4BE2" w14:paraId="01E6A349"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4DADDD86" w14:textId="77777777" w:rsidR="009071BD" w:rsidRPr="005F4BE2" w:rsidRDefault="009071BD" w:rsidP="00C618DD">
            <w:pPr>
              <w:contextualSpacing/>
              <w:jc w:val="left"/>
              <w:rPr>
                <w:color w:val="000000"/>
                <w:szCs w:val="22"/>
                <w:lang w:val="fr-FR"/>
              </w:rPr>
            </w:pPr>
            <w:r w:rsidRPr="005F4BE2">
              <w:rPr>
                <w:color w:val="000000"/>
                <w:szCs w:val="22"/>
                <w:lang w:val="fr-FR"/>
              </w:rPr>
              <w:t>34G</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22182982" w14:textId="77777777" w:rsidR="009071BD" w:rsidRPr="005F4BE2" w:rsidRDefault="009071BD" w:rsidP="00C618DD">
            <w:pPr>
              <w:contextualSpacing/>
              <w:jc w:val="left"/>
              <w:rPr>
                <w:color w:val="000000"/>
                <w:szCs w:val="22"/>
                <w:lang w:val="fr-FR"/>
              </w:rPr>
            </w:pPr>
            <w:r w:rsidRPr="005F4BE2">
              <w:rPr>
                <w:color w:val="000000"/>
                <w:szCs w:val="22"/>
                <w:lang w:val="fr-FR"/>
              </w:rPr>
              <w:t>Réunions de l'Assemblée de la CITEL</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3FD332D" w14:textId="46A91A9A" w:rsidR="009071BD" w:rsidRPr="005F4BE2" w:rsidRDefault="009071BD" w:rsidP="00C618DD">
            <w:pPr>
              <w:contextualSpacing/>
              <w:jc w:val="right"/>
              <w:rPr>
                <w:color w:val="000000"/>
                <w:szCs w:val="22"/>
                <w:lang w:val="fr-FR"/>
              </w:rPr>
            </w:pPr>
            <w:r w:rsidRPr="005F4BE2">
              <w:rPr>
                <w:color w:val="000000"/>
                <w:szCs w:val="22"/>
                <w:lang w:val="fr-FR"/>
              </w:rPr>
              <w:t>49</w:t>
            </w:r>
            <w:r w:rsidR="00C11266" w:rsidRPr="005F4BE2">
              <w:rPr>
                <w:color w:val="000000"/>
                <w:szCs w:val="22"/>
                <w:lang w:val="fr-FR"/>
              </w:rPr>
              <w:t>,</w:t>
            </w:r>
            <w:r w:rsidRPr="005F4BE2">
              <w:rPr>
                <w:color w:val="000000"/>
                <w:szCs w:val="22"/>
                <w:lang w:val="fr-FR"/>
              </w:rPr>
              <w:t>6</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73A0FBBE" w14:textId="606E500C" w:rsidR="009071BD" w:rsidRPr="005F4BE2" w:rsidRDefault="009071BD" w:rsidP="00C618DD">
            <w:pPr>
              <w:contextualSpacing/>
              <w:jc w:val="right"/>
              <w:rPr>
                <w:color w:val="000000"/>
                <w:szCs w:val="22"/>
                <w:lang w:val="fr-FR"/>
              </w:rPr>
            </w:pPr>
            <w:r w:rsidRPr="005F4BE2">
              <w:rPr>
                <w:color w:val="000000"/>
                <w:szCs w:val="22"/>
                <w:lang w:val="fr-FR"/>
              </w:rPr>
              <w:t>0</w:t>
            </w:r>
            <w:r w:rsidR="00C11266" w:rsidRPr="005F4BE2">
              <w:rPr>
                <w:color w:val="000000"/>
                <w:szCs w:val="22"/>
                <w:lang w:val="fr-FR"/>
              </w:rPr>
              <w:t>,</w:t>
            </w:r>
            <w:r w:rsidRPr="005F4BE2">
              <w:rPr>
                <w:color w:val="000000"/>
                <w:szCs w:val="22"/>
                <w:lang w:val="fr-FR"/>
              </w:rPr>
              <w:t>7</w:t>
            </w:r>
          </w:p>
        </w:tc>
      </w:tr>
      <w:tr w:rsidR="009071BD" w:rsidRPr="005F4BE2" w14:paraId="21C6FD7E"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0812D35B" w14:textId="77777777" w:rsidR="009071BD" w:rsidRPr="005F4BE2" w:rsidRDefault="009071BD" w:rsidP="00C618DD">
            <w:pPr>
              <w:contextualSpacing/>
              <w:jc w:val="left"/>
              <w:rPr>
                <w:color w:val="000000"/>
                <w:szCs w:val="22"/>
                <w:lang w:val="fr-FR"/>
              </w:rPr>
            </w:pPr>
            <w:r w:rsidRPr="005F4BE2">
              <w:rPr>
                <w:color w:val="000000"/>
                <w:szCs w:val="22"/>
                <w:lang w:val="fr-FR"/>
              </w:rPr>
              <w:t>34H</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55430780" w14:textId="77777777" w:rsidR="009071BD" w:rsidRPr="005F4BE2" w:rsidRDefault="009071BD" w:rsidP="00C618DD">
            <w:pPr>
              <w:contextualSpacing/>
              <w:jc w:val="left"/>
              <w:rPr>
                <w:color w:val="000000"/>
                <w:szCs w:val="22"/>
                <w:lang w:val="fr-FR"/>
              </w:rPr>
            </w:pPr>
            <w:r w:rsidRPr="005F4BE2">
              <w:rPr>
                <w:color w:val="000000"/>
                <w:szCs w:val="22"/>
                <w:lang w:val="fr-FR"/>
              </w:rPr>
              <w:t>Organisation interaméricaine de défense (JID)</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0783A83D" w14:textId="0301CEDB" w:rsidR="009071BD" w:rsidRPr="005F4BE2" w:rsidRDefault="009071BD" w:rsidP="00C618DD">
            <w:pPr>
              <w:contextualSpacing/>
              <w:jc w:val="right"/>
              <w:rPr>
                <w:color w:val="000000"/>
                <w:szCs w:val="22"/>
                <w:lang w:val="fr-FR"/>
              </w:rPr>
            </w:pPr>
            <w:r w:rsidRPr="005F4BE2">
              <w:rPr>
                <w:color w:val="000000"/>
                <w:szCs w:val="22"/>
                <w:lang w:val="fr-FR"/>
              </w:rPr>
              <w:t>745</w:t>
            </w:r>
            <w:r w:rsidR="00C11266" w:rsidRPr="005F4BE2">
              <w:rPr>
                <w:color w:val="000000"/>
                <w:szCs w:val="22"/>
                <w:lang w:val="fr-FR"/>
              </w:rPr>
              <w:t>,</w:t>
            </w:r>
            <w:r w:rsidRPr="005F4BE2">
              <w:rPr>
                <w:color w:val="000000"/>
                <w:szCs w:val="22"/>
                <w:lang w:val="fr-FR"/>
              </w:rPr>
              <w:t>4</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60D9E22F" w14:textId="776949A6" w:rsidR="009071BD" w:rsidRPr="005F4BE2" w:rsidRDefault="009071BD" w:rsidP="00C618DD">
            <w:pPr>
              <w:contextualSpacing/>
              <w:jc w:val="right"/>
              <w:rPr>
                <w:color w:val="000000"/>
                <w:szCs w:val="22"/>
                <w:lang w:val="fr-FR"/>
              </w:rPr>
            </w:pPr>
            <w:r w:rsidRPr="005F4BE2">
              <w:rPr>
                <w:color w:val="000000"/>
                <w:szCs w:val="22"/>
                <w:lang w:val="fr-FR"/>
              </w:rPr>
              <w:t>28</w:t>
            </w:r>
            <w:r w:rsidR="00C11266" w:rsidRPr="005F4BE2">
              <w:rPr>
                <w:color w:val="000000"/>
                <w:szCs w:val="22"/>
                <w:lang w:val="fr-FR"/>
              </w:rPr>
              <w:t>,</w:t>
            </w:r>
            <w:r w:rsidRPr="005F4BE2">
              <w:rPr>
                <w:color w:val="000000"/>
                <w:szCs w:val="22"/>
                <w:lang w:val="fr-FR"/>
              </w:rPr>
              <w:t>3</w:t>
            </w:r>
          </w:p>
        </w:tc>
      </w:tr>
      <w:tr w:rsidR="009071BD" w:rsidRPr="005F4BE2" w14:paraId="133ED46B"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69F78B22" w14:textId="77777777" w:rsidR="009071BD" w:rsidRPr="005F4BE2" w:rsidRDefault="009071BD" w:rsidP="00C618DD">
            <w:pPr>
              <w:contextualSpacing/>
              <w:jc w:val="left"/>
              <w:rPr>
                <w:color w:val="000000"/>
                <w:szCs w:val="22"/>
                <w:lang w:val="fr-FR"/>
              </w:rPr>
            </w:pPr>
            <w:r w:rsidRPr="005F4BE2">
              <w:rPr>
                <w:color w:val="000000"/>
                <w:szCs w:val="22"/>
                <w:lang w:val="fr-FR"/>
              </w:rPr>
              <w:t>34I</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58A198AD" w14:textId="2D5128C7" w:rsidR="009071BD" w:rsidRPr="005F4BE2" w:rsidRDefault="009071BD" w:rsidP="00C618DD">
            <w:pPr>
              <w:contextualSpacing/>
              <w:jc w:val="left"/>
              <w:rPr>
                <w:color w:val="000000"/>
                <w:szCs w:val="22"/>
                <w:lang w:val="fr-FR"/>
              </w:rPr>
            </w:pPr>
            <w:r w:rsidRPr="005F4BE2">
              <w:rPr>
                <w:color w:val="000000"/>
                <w:szCs w:val="22"/>
                <w:lang w:val="fr-FR"/>
              </w:rPr>
              <w:t>Fondation panaméricaine pour le développement</w:t>
            </w:r>
            <w:r w:rsidR="009F777A" w:rsidRPr="005F4BE2">
              <w:rPr>
                <w:color w:val="000000"/>
                <w:szCs w:val="22"/>
                <w:lang w:val="fr-FR"/>
              </w:rPr>
              <w:t xml:space="preserve"> (FUPAD)</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4A6B1251" w14:textId="1D3B57F3" w:rsidR="009071BD" w:rsidRPr="005F4BE2" w:rsidRDefault="009071BD" w:rsidP="00C618DD">
            <w:pPr>
              <w:contextualSpacing/>
              <w:jc w:val="right"/>
              <w:rPr>
                <w:color w:val="000000"/>
                <w:szCs w:val="22"/>
                <w:lang w:val="fr-FR"/>
              </w:rPr>
            </w:pPr>
            <w:r w:rsidRPr="005F4BE2">
              <w:rPr>
                <w:color w:val="000000"/>
                <w:szCs w:val="22"/>
                <w:lang w:val="fr-FR"/>
              </w:rPr>
              <w:t>66</w:t>
            </w:r>
            <w:r w:rsidR="00C11266" w:rsidRPr="005F4BE2">
              <w:rPr>
                <w:color w:val="000000"/>
                <w:szCs w:val="22"/>
                <w:lang w:val="fr-FR"/>
              </w:rPr>
              <w:t>,</w:t>
            </w:r>
            <w:r w:rsidRPr="005F4BE2">
              <w:rPr>
                <w:color w:val="000000"/>
                <w:szCs w:val="22"/>
                <w:lang w:val="fr-FR"/>
              </w:rPr>
              <w:t>1</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08AA95BB" w14:textId="08A9CC63" w:rsidR="009071BD" w:rsidRPr="005F4BE2" w:rsidRDefault="009071BD" w:rsidP="00C618DD">
            <w:pPr>
              <w:contextualSpacing/>
              <w:jc w:val="right"/>
              <w:rPr>
                <w:color w:val="000000"/>
                <w:szCs w:val="22"/>
                <w:lang w:val="fr-FR"/>
              </w:rPr>
            </w:pPr>
            <w:r w:rsidRPr="005F4BE2">
              <w:rPr>
                <w:color w:val="000000"/>
                <w:szCs w:val="22"/>
                <w:lang w:val="fr-FR"/>
              </w:rPr>
              <w:t>0</w:t>
            </w:r>
            <w:r w:rsidR="00C11266" w:rsidRPr="005F4BE2">
              <w:rPr>
                <w:color w:val="000000"/>
                <w:szCs w:val="22"/>
                <w:lang w:val="fr-FR"/>
              </w:rPr>
              <w:t>,</w:t>
            </w:r>
            <w:r w:rsidRPr="005F4BE2">
              <w:rPr>
                <w:color w:val="000000"/>
                <w:szCs w:val="22"/>
                <w:lang w:val="fr-FR"/>
              </w:rPr>
              <w:t>9</w:t>
            </w:r>
          </w:p>
        </w:tc>
      </w:tr>
      <w:tr w:rsidR="009071BD" w:rsidRPr="005F4BE2" w14:paraId="41A0C596"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6C67CA29" w14:textId="77777777" w:rsidR="009071BD" w:rsidRPr="005F4BE2" w:rsidRDefault="009071BD" w:rsidP="00C618DD">
            <w:pPr>
              <w:contextualSpacing/>
              <w:jc w:val="left"/>
              <w:rPr>
                <w:color w:val="000000"/>
                <w:szCs w:val="22"/>
                <w:lang w:val="fr-FR"/>
              </w:rPr>
            </w:pPr>
            <w:r w:rsidRPr="005F4BE2">
              <w:rPr>
                <w:color w:val="000000"/>
                <w:szCs w:val="22"/>
                <w:lang w:val="fr-FR"/>
              </w:rPr>
              <w:t>34J</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64C3770F" w14:textId="77777777" w:rsidR="009071BD" w:rsidRPr="005F4BE2" w:rsidRDefault="009071BD" w:rsidP="00C618DD">
            <w:pPr>
              <w:contextualSpacing/>
              <w:jc w:val="left"/>
              <w:rPr>
                <w:color w:val="000000"/>
                <w:szCs w:val="22"/>
                <w:lang w:val="fr-FR"/>
              </w:rPr>
            </w:pPr>
            <w:r w:rsidRPr="005F4BE2">
              <w:rPr>
                <w:color w:val="000000"/>
                <w:szCs w:val="22"/>
                <w:lang w:val="fr-FR"/>
              </w:rPr>
              <w:t>Fondation pour les Amériques</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39BB7781" w14:textId="7512B3E6" w:rsidR="009071BD" w:rsidRPr="005F4BE2" w:rsidRDefault="009071BD" w:rsidP="00C618DD">
            <w:pPr>
              <w:contextualSpacing/>
              <w:jc w:val="right"/>
              <w:rPr>
                <w:color w:val="000000"/>
                <w:szCs w:val="22"/>
                <w:lang w:val="fr-FR"/>
              </w:rPr>
            </w:pPr>
            <w:r w:rsidRPr="005F4BE2">
              <w:rPr>
                <w:color w:val="000000"/>
                <w:szCs w:val="22"/>
                <w:lang w:val="fr-FR"/>
              </w:rPr>
              <w:t>216</w:t>
            </w:r>
            <w:r w:rsidR="00C11266" w:rsidRPr="005F4BE2">
              <w:rPr>
                <w:color w:val="000000"/>
                <w:szCs w:val="22"/>
                <w:lang w:val="fr-FR"/>
              </w:rPr>
              <w:t>,</w:t>
            </w:r>
            <w:r w:rsidRPr="005F4BE2">
              <w:rPr>
                <w:color w:val="000000"/>
                <w:szCs w:val="22"/>
                <w:lang w:val="fr-FR"/>
              </w:rPr>
              <w:t>9</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67E46FC5" w14:textId="77777777" w:rsidR="009071BD" w:rsidRPr="005F4BE2" w:rsidRDefault="009071BD" w:rsidP="00C618DD">
            <w:pPr>
              <w:contextualSpacing/>
              <w:jc w:val="right"/>
              <w:rPr>
                <w:color w:val="000000"/>
                <w:szCs w:val="22"/>
                <w:lang w:val="fr-FR"/>
              </w:rPr>
            </w:pPr>
            <w:r w:rsidRPr="005F4BE2">
              <w:rPr>
                <w:color w:val="000000"/>
                <w:szCs w:val="22"/>
                <w:lang w:val="fr-FR"/>
              </w:rPr>
              <w:t>–</w:t>
            </w:r>
          </w:p>
        </w:tc>
      </w:tr>
      <w:tr w:rsidR="009071BD" w:rsidRPr="005F4BE2" w14:paraId="33186756" w14:textId="77777777" w:rsidTr="00C70C76">
        <w:trPr>
          <w:gridBefore w:val="1"/>
          <w:gridAfter w:val="1"/>
          <w:wBefore w:w="9" w:type="dxa"/>
          <w:wAfter w:w="12" w:type="dxa"/>
          <w:trHeight w:val="315"/>
        </w:trPr>
        <w:tc>
          <w:tcPr>
            <w:tcW w:w="955" w:type="dxa"/>
            <w:gridSpan w:val="3"/>
            <w:tcBorders>
              <w:top w:val="single" w:sz="4" w:space="0" w:color="auto"/>
              <w:left w:val="single" w:sz="4" w:space="0" w:color="auto"/>
              <w:bottom w:val="single" w:sz="4" w:space="0" w:color="auto"/>
              <w:right w:val="single" w:sz="4" w:space="0" w:color="auto"/>
            </w:tcBorders>
            <w:noWrap/>
            <w:vAlign w:val="center"/>
            <w:hideMark/>
          </w:tcPr>
          <w:p w14:paraId="4FC8F058" w14:textId="77777777" w:rsidR="009071BD" w:rsidRPr="005F4BE2" w:rsidRDefault="009071BD" w:rsidP="00C618DD">
            <w:pPr>
              <w:contextualSpacing/>
              <w:jc w:val="left"/>
              <w:rPr>
                <w:color w:val="000000"/>
                <w:szCs w:val="22"/>
                <w:lang w:val="fr-FR"/>
              </w:rPr>
            </w:pPr>
            <w:r w:rsidRPr="005F4BE2">
              <w:rPr>
                <w:color w:val="000000"/>
                <w:szCs w:val="22"/>
                <w:lang w:val="fr-FR"/>
              </w:rPr>
              <w:t>34K</w:t>
            </w:r>
          </w:p>
        </w:tc>
        <w:tc>
          <w:tcPr>
            <w:tcW w:w="5695" w:type="dxa"/>
            <w:gridSpan w:val="4"/>
            <w:tcBorders>
              <w:top w:val="single" w:sz="4" w:space="0" w:color="auto"/>
              <w:left w:val="single" w:sz="4" w:space="0" w:color="auto"/>
              <w:bottom w:val="single" w:sz="4" w:space="0" w:color="auto"/>
              <w:right w:val="single" w:sz="4" w:space="0" w:color="auto"/>
            </w:tcBorders>
            <w:noWrap/>
            <w:vAlign w:val="center"/>
            <w:hideMark/>
          </w:tcPr>
          <w:p w14:paraId="6AB94C8A" w14:textId="77777777" w:rsidR="009071BD" w:rsidRPr="005F4BE2" w:rsidRDefault="009071BD" w:rsidP="00C618DD">
            <w:pPr>
              <w:contextualSpacing/>
              <w:jc w:val="left"/>
              <w:rPr>
                <w:color w:val="000000"/>
                <w:szCs w:val="22"/>
              </w:rPr>
            </w:pPr>
            <w:r w:rsidRPr="005F4BE2">
              <w:rPr>
                <w:color w:val="000000"/>
                <w:szCs w:val="22"/>
              </w:rPr>
              <w:t xml:space="preserve">JID – </w:t>
            </w:r>
            <w:r w:rsidRPr="00B44AA1">
              <w:rPr>
                <w:color w:val="000000"/>
                <w:szCs w:val="22"/>
                <w:lang w:val="es-US"/>
              </w:rPr>
              <w:t>Entretien</w:t>
            </w:r>
            <w:r w:rsidRPr="005F4BE2">
              <w:rPr>
                <w:color w:val="000000"/>
                <w:szCs w:val="22"/>
              </w:rPr>
              <w:t xml:space="preserve"> de la Casa del Soldado</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61BA2B8A" w14:textId="698C78C3" w:rsidR="009071BD" w:rsidRPr="005F4BE2" w:rsidRDefault="009071BD" w:rsidP="00C618DD">
            <w:pPr>
              <w:contextualSpacing/>
              <w:jc w:val="right"/>
              <w:rPr>
                <w:color w:val="000000"/>
                <w:szCs w:val="22"/>
                <w:lang w:val="fr-FR"/>
              </w:rPr>
            </w:pPr>
            <w:r w:rsidRPr="005F4BE2">
              <w:rPr>
                <w:color w:val="000000"/>
                <w:szCs w:val="22"/>
                <w:lang w:val="fr-FR"/>
              </w:rPr>
              <w:t>131</w:t>
            </w:r>
            <w:r w:rsidR="00C11266" w:rsidRPr="005F4BE2">
              <w:rPr>
                <w:color w:val="000000"/>
                <w:szCs w:val="22"/>
                <w:lang w:val="fr-FR"/>
              </w:rPr>
              <w:t>,</w:t>
            </w:r>
            <w:r w:rsidRPr="005F4BE2">
              <w:rPr>
                <w:color w:val="000000"/>
                <w:szCs w:val="22"/>
                <w:lang w:val="fr-FR"/>
              </w:rPr>
              <w:t>7</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3E252C11" w14:textId="4D01B492" w:rsidR="009071BD" w:rsidRPr="005F4BE2" w:rsidRDefault="009071BD" w:rsidP="00C618DD">
            <w:pPr>
              <w:contextualSpacing/>
              <w:jc w:val="right"/>
              <w:rPr>
                <w:color w:val="000000"/>
                <w:szCs w:val="22"/>
                <w:lang w:val="fr-FR"/>
              </w:rPr>
            </w:pPr>
            <w:r w:rsidRPr="005F4BE2">
              <w:rPr>
                <w:color w:val="000000"/>
                <w:szCs w:val="22"/>
                <w:lang w:val="fr-FR"/>
              </w:rPr>
              <w:t>18</w:t>
            </w:r>
            <w:r w:rsidR="00C11266" w:rsidRPr="005F4BE2">
              <w:rPr>
                <w:color w:val="000000"/>
                <w:szCs w:val="22"/>
                <w:lang w:val="fr-FR"/>
              </w:rPr>
              <w:t>,</w:t>
            </w:r>
            <w:r w:rsidRPr="005F4BE2">
              <w:rPr>
                <w:color w:val="000000"/>
                <w:szCs w:val="22"/>
                <w:lang w:val="fr-FR"/>
              </w:rPr>
              <w:t>1</w:t>
            </w:r>
          </w:p>
        </w:tc>
      </w:tr>
      <w:tr w:rsidR="009071BD" w:rsidRPr="005F4BE2" w14:paraId="49FE3111" w14:textId="77777777" w:rsidTr="00C70C76">
        <w:trPr>
          <w:gridBefore w:val="2"/>
          <w:wBefore w:w="59" w:type="dxa"/>
          <w:trHeight w:val="315"/>
        </w:trPr>
        <w:tc>
          <w:tcPr>
            <w:tcW w:w="955" w:type="dxa"/>
            <w:gridSpan w:val="3"/>
            <w:tcBorders>
              <w:top w:val="single" w:sz="4" w:space="0" w:color="auto"/>
              <w:left w:val="nil"/>
              <w:bottom w:val="single" w:sz="4" w:space="0" w:color="auto"/>
              <w:right w:val="nil"/>
            </w:tcBorders>
            <w:noWrap/>
            <w:vAlign w:val="bottom"/>
            <w:hideMark/>
          </w:tcPr>
          <w:p w14:paraId="4A411BF1"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left w:val="nil"/>
              <w:bottom w:val="single" w:sz="4" w:space="0" w:color="auto"/>
              <w:right w:val="nil"/>
            </w:tcBorders>
            <w:noWrap/>
            <w:vAlign w:val="bottom"/>
            <w:hideMark/>
          </w:tcPr>
          <w:p w14:paraId="3ED9D440" w14:textId="77777777" w:rsidR="009071BD" w:rsidRPr="005F4BE2" w:rsidRDefault="009071BD" w:rsidP="00C618DD">
            <w:pPr>
              <w:contextualSpacing/>
              <w:jc w:val="left"/>
              <w:rPr>
                <w:szCs w:val="22"/>
                <w:lang w:val="fr-FR"/>
              </w:rPr>
            </w:pPr>
          </w:p>
        </w:tc>
        <w:tc>
          <w:tcPr>
            <w:tcW w:w="1124" w:type="dxa"/>
            <w:gridSpan w:val="5"/>
            <w:tcBorders>
              <w:top w:val="single" w:sz="4" w:space="0" w:color="auto"/>
              <w:left w:val="nil"/>
              <w:bottom w:val="single" w:sz="4" w:space="0" w:color="auto"/>
              <w:right w:val="nil"/>
            </w:tcBorders>
            <w:noWrap/>
            <w:vAlign w:val="center"/>
          </w:tcPr>
          <w:p w14:paraId="45B08413" w14:textId="77777777" w:rsidR="009071BD" w:rsidRPr="005F4BE2" w:rsidRDefault="009071BD" w:rsidP="00C618DD">
            <w:pPr>
              <w:contextualSpacing/>
              <w:jc w:val="right"/>
              <w:rPr>
                <w:szCs w:val="22"/>
                <w:lang w:val="fr-FR"/>
              </w:rPr>
            </w:pPr>
          </w:p>
        </w:tc>
        <w:tc>
          <w:tcPr>
            <w:tcW w:w="1041" w:type="dxa"/>
            <w:gridSpan w:val="3"/>
            <w:tcBorders>
              <w:top w:val="single" w:sz="4" w:space="0" w:color="auto"/>
              <w:left w:val="nil"/>
              <w:bottom w:val="single" w:sz="4" w:space="0" w:color="auto"/>
              <w:right w:val="nil"/>
            </w:tcBorders>
            <w:noWrap/>
            <w:vAlign w:val="center"/>
          </w:tcPr>
          <w:p w14:paraId="1FC7AB2A" w14:textId="77777777" w:rsidR="009071BD" w:rsidRPr="005F4BE2" w:rsidRDefault="009071BD" w:rsidP="00C618DD">
            <w:pPr>
              <w:contextualSpacing/>
              <w:jc w:val="right"/>
              <w:rPr>
                <w:szCs w:val="22"/>
                <w:lang w:val="fr-FR"/>
              </w:rPr>
            </w:pPr>
          </w:p>
        </w:tc>
      </w:tr>
      <w:tr w:rsidR="009071BD" w:rsidRPr="005F4BE2" w14:paraId="2A5A4662" w14:textId="77777777" w:rsidTr="00C70C76">
        <w:trPr>
          <w:gridBefore w:val="1"/>
          <w:gridAfter w:val="1"/>
          <w:wBefore w:w="9" w:type="dxa"/>
          <w:wAfter w:w="12" w:type="dxa"/>
          <w:trHeight w:val="630"/>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37AD259A" w14:textId="77777777" w:rsidR="009071BD" w:rsidRPr="005F4BE2" w:rsidRDefault="009071BD" w:rsidP="00C618DD">
            <w:pPr>
              <w:contextualSpacing/>
              <w:jc w:val="left"/>
              <w:rPr>
                <w:color w:val="000000"/>
                <w:szCs w:val="22"/>
                <w:lang w:val="fr-FR"/>
              </w:rPr>
            </w:pPr>
            <w:r w:rsidRPr="005F4BE2">
              <w:rPr>
                <w:color w:val="000000"/>
                <w:szCs w:val="22"/>
                <w:lang w:val="fr-FR"/>
              </w:rPr>
              <w:t>4. BUREAU DU CONSEILLER STRATÉGIQUE POUR LE DÉVELOPPEMENT INSTITUTIONNEL ET LA GESTION AXÉE SUR LES RÉSULTATS</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08886947" w14:textId="557915D0" w:rsidR="009071BD" w:rsidRPr="005F4BE2" w:rsidRDefault="009071BD" w:rsidP="00C618DD">
            <w:pPr>
              <w:contextualSpacing/>
              <w:jc w:val="right"/>
              <w:rPr>
                <w:color w:val="000000"/>
                <w:szCs w:val="22"/>
                <w:lang w:val="fr-FR"/>
              </w:rPr>
            </w:pPr>
            <w:r w:rsidRPr="005F4BE2">
              <w:rPr>
                <w:color w:val="000000"/>
                <w:szCs w:val="22"/>
                <w:lang w:val="fr-FR"/>
              </w:rPr>
              <w:t>2 423</w:t>
            </w:r>
            <w:r w:rsidR="00C11266" w:rsidRPr="005F4BE2">
              <w:rPr>
                <w:color w:val="000000"/>
                <w:szCs w:val="22"/>
                <w:lang w:val="fr-FR"/>
              </w:rPr>
              <w:t>,</w:t>
            </w:r>
            <w:r w:rsidRPr="005F4BE2">
              <w:rPr>
                <w:color w:val="000000"/>
                <w:szCs w:val="22"/>
                <w:lang w:val="fr-FR"/>
              </w:rPr>
              <w:t>4</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743B8495" w14:textId="21469F10" w:rsidR="009071BD" w:rsidRPr="005F4BE2" w:rsidRDefault="009071BD" w:rsidP="00C618DD">
            <w:pPr>
              <w:contextualSpacing/>
              <w:jc w:val="right"/>
              <w:rPr>
                <w:color w:val="000000"/>
                <w:szCs w:val="22"/>
                <w:lang w:val="fr-FR"/>
              </w:rPr>
            </w:pPr>
            <w:r w:rsidRPr="005F4BE2">
              <w:rPr>
                <w:color w:val="000000"/>
                <w:szCs w:val="22"/>
                <w:lang w:val="fr-FR"/>
              </w:rPr>
              <w:t>695</w:t>
            </w:r>
            <w:r w:rsidR="00C11266" w:rsidRPr="005F4BE2">
              <w:rPr>
                <w:color w:val="000000"/>
                <w:szCs w:val="22"/>
                <w:lang w:val="fr-FR"/>
              </w:rPr>
              <w:t>,</w:t>
            </w:r>
            <w:r w:rsidRPr="005F4BE2">
              <w:rPr>
                <w:color w:val="000000"/>
                <w:szCs w:val="22"/>
                <w:lang w:val="fr-FR"/>
              </w:rPr>
              <w:t>0</w:t>
            </w:r>
          </w:p>
        </w:tc>
      </w:tr>
      <w:tr w:rsidR="009071BD" w:rsidRPr="005F4BE2" w14:paraId="4B13637F" w14:textId="77777777" w:rsidTr="00C70C76">
        <w:trPr>
          <w:gridBefore w:val="1"/>
          <w:gridAfter w:val="1"/>
          <w:wBefore w:w="9" w:type="dxa"/>
          <w:wAfter w:w="12" w:type="dxa"/>
          <w:trHeight w:val="143"/>
        </w:trPr>
        <w:tc>
          <w:tcPr>
            <w:tcW w:w="955" w:type="dxa"/>
            <w:gridSpan w:val="3"/>
            <w:tcBorders>
              <w:top w:val="single" w:sz="4" w:space="0" w:color="auto"/>
              <w:left w:val="nil"/>
              <w:right w:val="nil"/>
            </w:tcBorders>
            <w:noWrap/>
            <w:vAlign w:val="bottom"/>
            <w:hideMark/>
          </w:tcPr>
          <w:p w14:paraId="644AF9FC" w14:textId="77777777" w:rsidR="009071BD" w:rsidRPr="005F4BE2" w:rsidRDefault="009071BD" w:rsidP="00C618DD">
            <w:pPr>
              <w:contextualSpacing/>
              <w:jc w:val="center"/>
              <w:rPr>
                <w:color w:val="000000"/>
                <w:szCs w:val="22"/>
                <w:lang w:val="fr-FR"/>
              </w:rPr>
            </w:pPr>
            <w:r w:rsidRPr="005F4BE2">
              <w:rPr>
                <w:szCs w:val="22"/>
                <w:lang w:val="fr-FR"/>
              </w:rPr>
              <w:br w:type="page"/>
            </w:r>
          </w:p>
        </w:tc>
        <w:tc>
          <w:tcPr>
            <w:tcW w:w="5695" w:type="dxa"/>
            <w:gridSpan w:val="4"/>
            <w:tcBorders>
              <w:top w:val="single" w:sz="4" w:space="0" w:color="auto"/>
              <w:left w:val="nil"/>
              <w:right w:val="nil"/>
            </w:tcBorders>
            <w:noWrap/>
            <w:hideMark/>
          </w:tcPr>
          <w:p w14:paraId="2B653754" w14:textId="77777777" w:rsidR="009071BD" w:rsidRPr="005F4BE2" w:rsidRDefault="009071BD" w:rsidP="00C618DD">
            <w:pPr>
              <w:contextualSpacing/>
              <w:jc w:val="left"/>
              <w:rPr>
                <w:szCs w:val="22"/>
                <w:lang w:val="fr-FR"/>
              </w:rPr>
            </w:pPr>
          </w:p>
        </w:tc>
        <w:tc>
          <w:tcPr>
            <w:tcW w:w="1124" w:type="dxa"/>
            <w:gridSpan w:val="4"/>
            <w:tcBorders>
              <w:top w:val="single" w:sz="4" w:space="0" w:color="auto"/>
              <w:left w:val="nil"/>
              <w:right w:val="nil"/>
            </w:tcBorders>
            <w:noWrap/>
            <w:vAlign w:val="center"/>
          </w:tcPr>
          <w:p w14:paraId="650851E1"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right w:val="nil"/>
            </w:tcBorders>
            <w:noWrap/>
            <w:vAlign w:val="center"/>
          </w:tcPr>
          <w:p w14:paraId="0B39FFB4" w14:textId="77777777" w:rsidR="009071BD" w:rsidRPr="005F4BE2" w:rsidRDefault="009071BD" w:rsidP="00C618DD">
            <w:pPr>
              <w:contextualSpacing/>
              <w:jc w:val="right"/>
              <w:rPr>
                <w:szCs w:val="22"/>
                <w:lang w:val="fr-FR"/>
              </w:rPr>
            </w:pPr>
          </w:p>
        </w:tc>
      </w:tr>
      <w:tr w:rsidR="009071BD" w:rsidRPr="005F4BE2" w14:paraId="33973F9E"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41DCE770" w14:textId="77777777" w:rsidR="009071BD" w:rsidRPr="005F4BE2" w:rsidRDefault="009071BD" w:rsidP="00C618DD">
            <w:pPr>
              <w:contextualSpacing/>
              <w:jc w:val="left"/>
              <w:rPr>
                <w:color w:val="000000"/>
                <w:szCs w:val="22"/>
                <w:lang w:val="fr-FR"/>
              </w:rPr>
            </w:pPr>
            <w:r w:rsidRPr="005F4BE2">
              <w:rPr>
                <w:color w:val="000000"/>
                <w:szCs w:val="22"/>
                <w:lang w:val="fr-FR"/>
              </w:rPr>
              <w:t>5. SECRÉTARIAT À L'ACCÈS AUX DROITS ET À L'ÉQUITÉ</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52A78788" w14:textId="2D50DBC4" w:rsidR="009071BD" w:rsidRPr="005F4BE2" w:rsidRDefault="009071BD" w:rsidP="00C618DD">
            <w:pPr>
              <w:contextualSpacing/>
              <w:jc w:val="right"/>
              <w:rPr>
                <w:color w:val="000000"/>
                <w:szCs w:val="22"/>
                <w:lang w:val="fr-FR"/>
              </w:rPr>
            </w:pPr>
            <w:r w:rsidRPr="005F4BE2">
              <w:rPr>
                <w:color w:val="000000"/>
                <w:szCs w:val="22"/>
                <w:lang w:val="fr-FR"/>
              </w:rPr>
              <w:t>1 644</w:t>
            </w:r>
            <w:r w:rsidR="00C11266" w:rsidRPr="005F4BE2">
              <w:rPr>
                <w:color w:val="000000"/>
                <w:szCs w:val="22"/>
                <w:lang w:val="fr-FR"/>
              </w:rPr>
              <w:t>,</w:t>
            </w:r>
            <w:r w:rsidRPr="005F4BE2">
              <w:rPr>
                <w:color w:val="000000"/>
                <w:szCs w:val="22"/>
                <w:lang w:val="fr-FR"/>
              </w:rPr>
              <w:t>5</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00075011" w14:textId="120BB577" w:rsidR="009071BD" w:rsidRPr="005F4BE2" w:rsidRDefault="009071BD" w:rsidP="00C618DD">
            <w:pPr>
              <w:contextualSpacing/>
              <w:jc w:val="right"/>
              <w:rPr>
                <w:color w:val="000000"/>
                <w:szCs w:val="22"/>
                <w:lang w:val="fr-FR"/>
              </w:rPr>
            </w:pPr>
            <w:r w:rsidRPr="005F4BE2">
              <w:rPr>
                <w:color w:val="000000"/>
                <w:szCs w:val="22"/>
                <w:lang w:val="fr-FR"/>
              </w:rPr>
              <w:t>61</w:t>
            </w:r>
            <w:r w:rsidR="00C11266" w:rsidRPr="005F4BE2">
              <w:rPr>
                <w:color w:val="000000"/>
                <w:szCs w:val="22"/>
                <w:lang w:val="fr-FR"/>
              </w:rPr>
              <w:t>,</w:t>
            </w:r>
            <w:r w:rsidRPr="005F4BE2">
              <w:rPr>
                <w:color w:val="000000"/>
                <w:szCs w:val="22"/>
                <w:lang w:val="fr-FR"/>
              </w:rPr>
              <w:t>0</w:t>
            </w:r>
          </w:p>
        </w:tc>
      </w:tr>
      <w:tr w:rsidR="009071BD" w:rsidRPr="005F4BE2" w14:paraId="1C366D8A" w14:textId="77777777" w:rsidTr="005F4BE2">
        <w:trPr>
          <w:gridBefore w:val="1"/>
          <w:gridAfter w:val="1"/>
          <w:wBefore w:w="9" w:type="dxa"/>
          <w:wAfter w:w="12" w:type="dxa"/>
          <w:trHeight w:val="315"/>
        </w:trPr>
        <w:tc>
          <w:tcPr>
            <w:tcW w:w="955" w:type="dxa"/>
            <w:gridSpan w:val="3"/>
            <w:tcBorders>
              <w:top w:val="single" w:sz="4" w:space="0" w:color="auto"/>
              <w:left w:val="nil"/>
              <w:bottom w:val="single" w:sz="4" w:space="0" w:color="auto"/>
              <w:right w:val="nil"/>
            </w:tcBorders>
            <w:noWrap/>
            <w:vAlign w:val="center"/>
            <w:hideMark/>
          </w:tcPr>
          <w:p w14:paraId="4C706704" w14:textId="77777777" w:rsidR="009071BD" w:rsidRPr="005F4BE2" w:rsidRDefault="009071BD" w:rsidP="005F4BE2">
            <w:pPr>
              <w:contextualSpacing/>
              <w:jc w:val="left"/>
              <w:rPr>
                <w:color w:val="000000"/>
                <w:szCs w:val="22"/>
                <w:lang w:val="fr-FR"/>
              </w:rPr>
            </w:pPr>
          </w:p>
        </w:tc>
        <w:tc>
          <w:tcPr>
            <w:tcW w:w="5695" w:type="dxa"/>
            <w:gridSpan w:val="4"/>
            <w:tcBorders>
              <w:top w:val="single" w:sz="4" w:space="0" w:color="auto"/>
              <w:left w:val="nil"/>
              <w:bottom w:val="single" w:sz="4" w:space="0" w:color="auto"/>
              <w:right w:val="nil"/>
            </w:tcBorders>
            <w:noWrap/>
            <w:vAlign w:val="center"/>
            <w:hideMark/>
          </w:tcPr>
          <w:p w14:paraId="0F2CEB09" w14:textId="77777777" w:rsidR="009071BD" w:rsidRPr="005F4BE2" w:rsidRDefault="009071BD" w:rsidP="005F4BE2">
            <w:pPr>
              <w:contextualSpacing/>
              <w:jc w:val="left"/>
              <w:rPr>
                <w:szCs w:val="22"/>
                <w:lang w:val="fr-FR"/>
              </w:rPr>
            </w:pPr>
          </w:p>
        </w:tc>
        <w:tc>
          <w:tcPr>
            <w:tcW w:w="1124" w:type="dxa"/>
            <w:gridSpan w:val="4"/>
            <w:tcBorders>
              <w:top w:val="single" w:sz="4" w:space="0" w:color="auto"/>
              <w:left w:val="nil"/>
              <w:bottom w:val="single" w:sz="4" w:space="0" w:color="auto"/>
              <w:right w:val="nil"/>
            </w:tcBorders>
            <w:noWrap/>
            <w:vAlign w:val="center"/>
          </w:tcPr>
          <w:p w14:paraId="49415EEF"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bottom w:val="single" w:sz="4" w:space="0" w:color="auto"/>
              <w:right w:val="nil"/>
            </w:tcBorders>
            <w:noWrap/>
            <w:vAlign w:val="center"/>
          </w:tcPr>
          <w:p w14:paraId="6BE3C62C" w14:textId="77777777" w:rsidR="009071BD" w:rsidRPr="005F4BE2" w:rsidRDefault="009071BD" w:rsidP="00C618DD">
            <w:pPr>
              <w:contextualSpacing/>
              <w:jc w:val="right"/>
              <w:rPr>
                <w:szCs w:val="22"/>
                <w:lang w:val="fr-FR"/>
              </w:rPr>
            </w:pPr>
          </w:p>
        </w:tc>
      </w:tr>
      <w:tr w:rsidR="009071BD" w:rsidRPr="005F4BE2" w14:paraId="78BEC3A1"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6F14FBCE" w14:textId="77777777" w:rsidR="009071BD" w:rsidRPr="005F4BE2" w:rsidRDefault="009071BD" w:rsidP="00C618DD">
            <w:pPr>
              <w:contextualSpacing/>
              <w:jc w:val="left"/>
              <w:rPr>
                <w:color w:val="000000"/>
                <w:szCs w:val="22"/>
                <w:lang w:val="fr-FR"/>
              </w:rPr>
            </w:pPr>
            <w:r w:rsidRPr="005F4BE2">
              <w:rPr>
                <w:color w:val="000000"/>
                <w:szCs w:val="22"/>
                <w:lang w:val="fr-FR"/>
              </w:rPr>
              <w:lastRenderedPageBreak/>
              <w:t>6. SECRÉTARIAT AU RENFORCEMENT DE LA DÉMOCRATIE</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30D0247" w14:textId="663D3FBD" w:rsidR="009071BD" w:rsidRPr="005F4BE2" w:rsidRDefault="009071BD" w:rsidP="00C618DD">
            <w:pPr>
              <w:contextualSpacing/>
              <w:jc w:val="right"/>
              <w:rPr>
                <w:color w:val="000000"/>
                <w:szCs w:val="22"/>
                <w:lang w:val="fr-FR"/>
              </w:rPr>
            </w:pPr>
            <w:r w:rsidRPr="005F4BE2">
              <w:rPr>
                <w:color w:val="000000"/>
                <w:szCs w:val="22"/>
                <w:lang w:val="fr-FR"/>
              </w:rPr>
              <w:t>3 383</w:t>
            </w:r>
            <w:r w:rsidR="00C11266" w:rsidRPr="005F4BE2">
              <w:rPr>
                <w:color w:val="000000"/>
                <w:szCs w:val="22"/>
                <w:lang w:val="fr-FR"/>
              </w:rPr>
              <w:t>,</w:t>
            </w:r>
            <w:r w:rsidRPr="005F4BE2">
              <w:rPr>
                <w:color w:val="000000"/>
                <w:szCs w:val="22"/>
                <w:lang w:val="fr-FR"/>
              </w:rPr>
              <w:t>7</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751D1BC1" w14:textId="56C327A0" w:rsidR="009071BD" w:rsidRPr="005F4BE2" w:rsidRDefault="009071BD" w:rsidP="00C618DD">
            <w:pPr>
              <w:contextualSpacing/>
              <w:jc w:val="right"/>
              <w:rPr>
                <w:color w:val="000000"/>
                <w:szCs w:val="22"/>
                <w:lang w:val="fr-FR"/>
              </w:rPr>
            </w:pPr>
            <w:r w:rsidRPr="005F4BE2">
              <w:rPr>
                <w:color w:val="000000"/>
                <w:szCs w:val="22"/>
                <w:lang w:val="fr-FR"/>
              </w:rPr>
              <w:t>780</w:t>
            </w:r>
            <w:r w:rsidR="00C11266" w:rsidRPr="005F4BE2">
              <w:rPr>
                <w:color w:val="000000"/>
                <w:szCs w:val="22"/>
                <w:lang w:val="fr-FR"/>
              </w:rPr>
              <w:t>,</w:t>
            </w:r>
            <w:r w:rsidRPr="005F4BE2">
              <w:rPr>
                <w:color w:val="000000"/>
                <w:szCs w:val="22"/>
                <w:lang w:val="fr-FR"/>
              </w:rPr>
              <w:t>1</w:t>
            </w:r>
          </w:p>
        </w:tc>
      </w:tr>
      <w:tr w:rsidR="009071BD" w:rsidRPr="005F4BE2" w14:paraId="0E71DC8D" w14:textId="77777777" w:rsidTr="00C70C76">
        <w:trPr>
          <w:gridBefore w:val="1"/>
          <w:gridAfter w:val="1"/>
          <w:wBefore w:w="9" w:type="dxa"/>
          <w:wAfter w:w="12" w:type="dxa"/>
          <w:trHeight w:val="315"/>
        </w:trPr>
        <w:tc>
          <w:tcPr>
            <w:tcW w:w="955" w:type="dxa"/>
            <w:gridSpan w:val="3"/>
            <w:tcBorders>
              <w:bottom w:val="single" w:sz="4" w:space="0" w:color="auto"/>
            </w:tcBorders>
            <w:noWrap/>
            <w:vAlign w:val="bottom"/>
            <w:hideMark/>
          </w:tcPr>
          <w:p w14:paraId="4963F5E4" w14:textId="77777777" w:rsidR="009071BD" w:rsidRPr="005F4BE2" w:rsidRDefault="009071BD" w:rsidP="00C618DD">
            <w:pPr>
              <w:contextualSpacing/>
              <w:jc w:val="center"/>
              <w:rPr>
                <w:color w:val="000000"/>
                <w:szCs w:val="22"/>
                <w:lang w:val="fr-FR"/>
              </w:rPr>
            </w:pPr>
          </w:p>
        </w:tc>
        <w:tc>
          <w:tcPr>
            <w:tcW w:w="5695" w:type="dxa"/>
            <w:gridSpan w:val="4"/>
            <w:tcBorders>
              <w:bottom w:val="single" w:sz="4" w:space="0" w:color="auto"/>
            </w:tcBorders>
            <w:noWrap/>
            <w:hideMark/>
          </w:tcPr>
          <w:p w14:paraId="1ADD1627" w14:textId="77777777" w:rsidR="009071BD" w:rsidRPr="005F4BE2" w:rsidRDefault="009071BD" w:rsidP="00C618DD">
            <w:pPr>
              <w:contextualSpacing/>
              <w:jc w:val="left"/>
              <w:rPr>
                <w:szCs w:val="22"/>
                <w:lang w:val="fr-FR"/>
              </w:rPr>
            </w:pPr>
          </w:p>
        </w:tc>
        <w:tc>
          <w:tcPr>
            <w:tcW w:w="1124" w:type="dxa"/>
            <w:gridSpan w:val="4"/>
            <w:tcBorders>
              <w:bottom w:val="single" w:sz="4" w:space="0" w:color="auto"/>
            </w:tcBorders>
            <w:noWrap/>
            <w:vAlign w:val="center"/>
          </w:tcPr>
          <w:p w14:paraId="2EA7A658" w14:textId="77777777" w:rsidR="009071BD" w:rsidRPr="005F4BE2" w:rsidRDefault="009071BD" w:rsidP="00C618DD">
            <w:pPr>
              <w:contextualSpacing/>
              <w:jc w:val="right"/>
              <w:rPr>
                <w:szCs w:val="22"/>
                <w:lang w:val="fr-FR"/>
              </w:rPr>
            </w:pPr>
          </w:p>
        </w:tc>
        <w:tc>
          <w:tcPr>
            <w:tcW w:w="1079" w:type="dxa"/>
            <w:gridSpan w:val="4"/>
            <w:tcBorders>
              <w:bottom w:val="single" w:sz="4" w:space="0" w:color="auto"/>
            </w:tcBorders>
            <w:noWrap/>
            <w:vAlign w:val="center"/>
          </w:tcPr>
          <w:p w14:paraId="70A53F14" w14:textId="77777777" w:rsidR="009071BD" w:rsidRPr="005F4BE2" w:rsidRDefault="009071BD" w:rsidP="00C618DD">
            <w:pPr>
              <w:contextualSpacing/>
              <w:jc w:val="right"/>
              <w:rPr>
                <w:szCs w:val="22"/>
                <w:lang w:val="fr-FR"/>
              </w:rPr>
            </w:pPr>
          </w:p>
        </w:tc>
      </w:tr>
      <w:tr w:rsidR="009071BD" w:rsidRPr="005F4BE2" w14:paraId="7CCA0483" w14:textId="77777777" w:rsidTr="00C70C76">
        <w:trPr>
          <w:gridBefore w:val="1"/>
          <w:gridAfter w:val="1"/>
          <w:wBefore w:w="9" w:type="dxa"/>
          <w:wAfter w:w="12" w:type="dxa"/>
          <w:trHeight w:val="566"/>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4126D17C" w14:textId="77777777" w:rsidR="009071BD" w:rsidRPr="005F4BE2" w:rsidRDefault="009071BD" w:rsidP="00C618DD">
            <w:pPr>
              <w:contextualSpacing/>
              <w:jc w:val="left"/>
              <w:rPr>
                <w:color w:val="000000"/>
                <w:szCs w:val="22"/>
                <w:lang w:val="fr-FR"/>
              </w:rPr>
            </w:pPr>
            <w:r w:rsidRPr="005F4BE2">
              <w:rPr>
                <w:color w:val="000000"/>
                <w:szCs w:val="22"/>
                <w:lang w:val="fr-FR"/>
              </w:rPr>
              <w:t>7. SECRÉTARIAT EXÉCUTIF AU DÉVELOPPEMENT INTÉGRÉ</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093F47BC" w14:textId="17D40988" w:rsidR="009071BD" w:rsidRPr="005F4BE2" w:rsidRDefault="009071BD" w:rsidP="00C618DD">
            <w:pPr>
              <w:contextualSpacing/>
              <w:jc w:val="right"/>
              <w:rPr>
                <w:color w:val="000000"/>
                <w:szCs w:val="22"/>
                <w:lang w:val="fr-FR"/>
              </w:rPr>
            </w:pPr>
            <w:r w:rsidRPr="005F4BE2">
              <w:rPr>
                <w:color w:val="000000"/>
                <w:szCs w:val="22"/>
                <w:lang w:val="fr-FR"/>
              </w:rPr>
              <w:t>7 534</w:t>
            </w:r>
            <w:r w:rsidR="00C11266" w:rsidRPr="005F4BE2">
              <w:rPr>
                <w:color w:val="000000"/>
                <w:szCs w:val="22"/>
                <w:lang w:val="fr-FR"/>
              </w:rPr>
              <w:t>,</w:t>
            </w:r>
            <w:r w:rsidRPr="005F4BE2">
              <w:rPr>
                <w:color w:val="000000"/>
                <w:szCs w:val="22"/>
                <w:lang w:val="fr-FR"/>
              </w:rPr>
              <w:t>3</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5BAFA7ED" w14:textId="3C7E692B" w:rsidR="009071BD" w:rsidRPr="005F4BE2" w:rsidRDefault="009071BD" w:rsidP="00C618DD">
            <w:pPr>
              <w:contextualSpacing/>
              <w:jc w:val="right"/>
              <w:rPr>
                <w:color w:val="000000"/>
                <w:szCs w:val="22"/>
                <w:lang w:val="fr-FR"/>
              </w:rPr>
            </w:pPr>
            <w:r w:rsidRPr="005F4BE2">
              <w:rPr>
                <w:color w:val="000000"/>
                <w:szCs w:val="22"/>
                <w:lang w:val="fr-FR"/>
              </w:rPr>
              <w:t>297</w:t>
            </w:r>
            <w:r w:rsidR="00C11266" w:rsidRPr="005F4BE2">
              <w:rPr>
                <w:color w:val="000000"/>
                <w:szCs w:val="22"/>
                <w:lang w:val="fr-FR"/>
              </w:rPr>
              <w:t>,</w:t>
            </w:r>
            <w:r w:rsidRPr="005F4BE2">
              <w:rPr>
                <w:color w:val="000000"/>
                <w:szCs w:val="22"/>
                <w:lang w:val="fr-FR"/>
              </w:rPr>
              <w:t>1</w:t>
            </w:r>
          </w:p>
        </w:tc>
      </w:tr>
      <w:tr w:rsidR="009071BD" w:rsidRPr="005F4BE2" w14:paraId="0817C9F6" w14:textId="77777777" w:rsidTr="00C70C76">
        <w:trPr>
          <w:gridBefore w:val="1"/>
          <w:gridAfter w:val="1"/>
          <w:wBefore w:w="9" w:type="dxa"/>
          <w:wAfter w:w="12" w:type="dxa"/>
          <w:trHeight w:val="315"/>
        </w:trPr>
        <w:tc>
          <w:tcPr>
            <w:tcW w:w="955" w:type="dxa"/>
            <w:gridSpan w:val="3"/>
            <w:tcBorders>
              <w:top w:val="single" w:sz="4" w:space="0" w:color="auto"/>
              <w:left w:val="nil"/>
              <w:bottom w:val="single" w:sz="4" w:space="0" w:color="auto"/>
              <w:right w:val="nil"/>
            </w:tcBorders>
            <w:noWrap/>
            <w:vAlign w:val="bottom"/>
            <w:hideMark/>
          </w:tcPr>
          <w:p w14:paraId="6D1C187D"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left w:val="nil"/>
              <w:bottom w:val="single" w:sz="4" w:space="0" w:color="auto"/>
              <w:right w:val="nil"/>
            </w:tcBorders>
            <w:noWrap/>
            <w:hideMark/>
          </w:tcPr>
          <w:p w14:paraId="69E459D6" w14:textId="77777777" w:rsidR="009071BD" w:rsidRPr="005F4BE2" w:rsidRDefault="009071BD" w:rsidP="00C618DD">
            <w:pPr>
              <w:contextualSpacing/>
              <w:jc w:val="left"/>
              <w:rPr>
                <w:szCs w:val="22"/>
                <w:lang w:val="fr-FR"/>
              </w:rPr>
            </w:pPr>
          </w:p>
        </w:tc>
        <w:tc>
          <w:tcPr>
            <w:tcW w:w="1124" w:type="dxa"/>
            <w:gridSpan w:val="4"/>
            <w:tcBorders>
              <w:top w:val="single" w:sz="4" w:space="0" w:color="auto"/>
              <w:left w:val="nil"/>
              <w:bottom w:val="single" w:sz="4" w:space="0" w:color="auto"/>
              <w:right w:val="nil"/>
            </w:tcBorders>
            <w:noWrap/>
            <w:vAlign w:val="center"/>
          </w:tcPr>
          <w:p w14:paraId="78574C44"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bottom w:val="single" w:sz="4" w:space="0" w:color="auto"/>
              <w:right w:val="nil"/>
            </w:tcBorders>
            <w:noWrap/>
            <w:vAlign w:val="center"/>
          </w:tcPr>
          <w:p w14:paraId="4815D1A0" w14:textId="77777777" w:rsidR="009071BD" w:rsidRPr="005F4BE2" w:rsidRDefault="009071BD" w:rsidP="00C618DD">
            <w:pPr>
              <w:contextualSpacing/>
              <w:jc w:val="right"/>
              <w:rPr>
                <w:szCs w:val="22"/>
                <w:lang w:val="fr-FR"/>
              </w:rPr>
            </w:pPr>
          </w:p>
        </w:tc>
      </w:tr>
      <w:tr w:rsidR="009071BD" w:rsidRPr="005F4BE2" w14:paraId="1BE05A73" w14:textId="77777777" w:rsidTr="00C70C76">
        <w:trPr>
          <w:gridBefore w:val="1"/>
          <w:gridAfter w:val="1"/>
          <w:wBefore w:w="9" w:type="dxa"/>
          <w:wAfter w:w="12"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363C0CB0" w14:textId="50000D22" w:rsidR="009071BD" w:rsidRPr="005F4BE2" w:rsidRDefault="009071BD" w:rsidP="00C618DD">
            <w:pPr>
              <w:contextualSpacing/>
              <w:jc w:val="left"/>
              <w:rPr>
                <w:color w:val="000000"/>
                <w:szCs w:val="22"/>
                <w:lang w:val="fr-FR"/>
              </w:rPr>
            </w:pPr>
            <w:r w:rsidRPr="005F4BE2">
              <w:rPr>
                <w:color w:val="000000"/>
                <w:szCs w:val="22"/>
                <w:lang w:val="fr-FR"/>
              </w:rPr>
              <w:t>8. SECRÉTARIAT À LA SÉCURITÉ MULTIDIMENSIONNELLE</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38BF90C2" w14:textId="58956A64" w:rsidR="009071BD" w:rsidRPr="005F4BE2" w:rsidRDefault="009071BD" w:rsidP="00C618DD">
            <w:pPr>
              <w:contextualSpacing/>
              <w:jc w:val="right"/>
              <w:rPr>
                <w:color w:val="000000"/>
                <w:szCs w:val="22"/>
                <w:lang w:val="fr-FR"/>
              </w:rPr>
            </w:pPr>
            <w:r w:rsidRPr="005F4BE2">
              <w:rPr>
                <w:color w:val="000000"/>
                <w:szCs w:val="22"/>
                <w:lang w:val="fr-FR"/>
              </w:rPr>
              <w:t>3 831</w:t>
            </w:r>
            <w:r w:rsidR="00C11266" w:rsidRPr="005F4BE2">
              <w:rPr>
                <w:color w:val="000000"/>
                <w:szCs w:val="22"/>
                <w:lang w:val="fr-FR"/>
              </w:rPr>
              <w:t>,</w:t>
            </w:r>
            <w:r w:rsidRPr="005F4BE2">
              <w:rPr>
                <w:color w:val="000000"/>
                <w:szCs w:val="22"/>
                <w:lang w:val="fr-FR"/>
              </w:rPr>
              <w:t>5</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28212DA2" w14:textId="771F5B03" w:rsidR="009071BD" w:rsidRPr="005F4BE2" w:rsidRDefault="009071BD" w:rsidP="00C618DD">
            <w:pPr>
              <w:contextualSpacing/>
              <w:jc w:val="right"/>
              <w:rPr>
                <w:color w:val="000000"/>
                <w:szCs w:val="22"/>
                <w:lang w:val="fr-FR"/>
              </w:rPr>
            </w:pPr>
            <w:r w:rsidRPr="005F4BE2">
              <w:rPr>
                <w:color w:val="000000"/>
                <w:szCs w:val="22"/>
                <w:lang w:val="fr-FR"/>
              </w:rPr>
              <w:t>797</w:t>
            </w:r>
            <w:r w:rsidR="00C11266" w:rsidRPr="005F4BE2">
              <w:rPr>
                <w:color w:val="000000"/>
                <w:szCs w:val="22"/>
                <w:lang w:val="fr-FR"/>
              </w:rPr>
              <w:t>,</w:t>
            </w:r>
            <w:r w:rsidRPr="005F4BE2">
              <w:rPr>
                <w:color w:val="000000"/>
                <w:szCs w:val="22"/>
                <w:lang w:val="fr-FR"/>
              </w:rPr>
              <w:t>0</w:t>
            </w:r>
          </w:p>
        </w:tc>
      </w:tr>
      <w:tr w:rsidR="009071BD" w:rsidRPr="005F4BE2" w14:paraId="3E459E08" w14:textId="77777777" w:rsidTr="00C70C76">
        <w:trPr>
          <w:gridBefore w:val="2"/>
          <w:wBefore w:w="59" w:type="dxa"/>
          <w:trHeight w:val="315"/>
        </w:trPr>
        <w:tc>
          <w:tcPr>
            <w:tcW w:w="955" w:type="dxa"/>
            <w:gridSpan w:val="3"/>
            <w:tcBorders>
              <w:top w:val="single" w:sz="4" w:space="0" w:color="auto"/>
              <w:left w:val="nil"/>
              <w:bottom w:val="single" w:sz="4" w:space="0" w:color="auto"/>
              <w:right w:val="nil"/>
            </w:tcBorders>
            <w:noWrap/>
            <w:vAlign w:val="bottom"/>
            <w:hideMark/>
          </w:tcPr>
          <w:p w14:paraId="08FAA2E8" w14:textId="77777777" w:rsidR="009071BD" w:rsidRPr="005F4BE2" w:rsidRDefault="009071BD" w:rsidP="00C618DD">
            <w:pPr>
              <w:contextualSpacing/>
              <w:jc w:val="right"/>
              <w:rPr>
                <w:color w:val="000000"/>
                <w:szCs w:val="22"/>
                <w:lang w:val="fr-FR"/>
              </w:rPr>
            </w:pPr>
          </w:p>
        </w:tc>
        <w:tc>
          <w:tcPr>
            <w:tcW w:w="5695" w:type="dxa"/>
            <w:gridSpan w:val="4"/>
            <w:tcBorders>
              <w:top w:val="single" w:sz="4" w:space="0" w:color="auto"/>
              <w:left w:val="nil"/>
              <w:bottom w:val="single" w:sz="4" w:space="0" w:color="auto"/>
              <w:right w:val="nil"/>
            </w:tcBorders>
            <w:noWrap/>
            <w:hideMark/>
          </w:tcPr>
          <w:p w14:paraId="12484971" w14:textId="77777777" w:rsidR="009071BD" w:rsidRPr="005F4BE2" w:rsidRDefault="009071BD" w:rsidP="00C618DD">
            <w:pPr>
              <w:contextualSpacing/>
              <w:jc w:val="left"/>
              <w:rPr>
                <w:szCs w:val="22"/>
                <w:lang w:val="fr-FR"/>
              </w:rPr>
            </w:pPr>
          </w:p>
        </w:tc>
        <w:tc>
          <w:tcPr>
            <w:tcW w:w="1124" w:type="dxa"/>
            <w:gridSpan w:val="5"/>
            <w:tcBorders>
              <w:top w:val="single" w:sz="4" w:space="0" w:color="auto"/>
              <w:left w:val="nil"/>
              <w:bottom w:val="single" w:sz="4" w:space="0" w:color="auto"/>
              <w:right w:val="nil"/>
            </w:tcBorders>
            <w:noWrap/>
            <w:vAlign w:val="center"/>
          </w:tcPr>
          <w:p w14:paraId="7A363F80" w14:textId="77777777" w:rsidR="009071BD" w:rsidRPr="005F4BE2" w:rsidRDefault="009071BD" w:rsidP="00C618DD">
            <w:pPr>
              <w:contextualSpacing/>
              <w:jc w:val="right"/>
              <w:rPr>
                <w:szCs w:val="22"/>
                <w:lang w:val="fr-FR"/>
              </w:rPr>
            </w:pPr>
          </w:p>
        </w:tc>
        <w:tc>
          <w:tcPr>
            <w:tcW w:w="1041" w:type="dxa"/>
            <w:gridSpan w:val="3"/>
            <w:tcBorders>
              <w:top w:val="single" w:sz="4" w:space="0" w:color="auto"/>
              <w:left w:val="nil"/>
              <w:bottom w:val="single" w:sz="4" w:space="0" w:color="auto"/>
              <w:right w:val="nil"/>
            </w:tcBorders>
            <w:noWrap/>
            <w:vAlign w:val="center"/>
          </w:tcPr>
          <w:p w14:paraId="0E2F0E55" w14:textId="77777777" w:rsidR="009071BD" w:rsidRPr="005F4BE2" w:rsidRDefault="009071BD" w:rsidP="00C618DD">
            <w:pPr>
              <w:contextualSpacing/>
              <w:jc w:val="right"/>
              <w:rPr>
                <w:szCs w:val="22"/>
                <w:lang w:val="fr-FR"/>
              </w:rPr>
            </w:pPr>
          </w:p>
        </w:tc>
      </w:tr>
      <w:tr w:rsidR="009071BD" w:rsidRPr="005F4BE2" w14:paraId="1F8F7499" w14:textId="77777777" w:rsidTr="00C70C76">
        <w:trPr>
          <w:gridAfter w:val="2"/>
          <w:wAfter w:w="21"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0FCC79DE" w14:textId="77777777" w:rsidR="009071BD" w:rsidRPr="005F4BE2" w:rsidRDefault="009071BD" w:rsidP="00C618DD">
            <w:pPr>
              <w:contextualSpacing/>
              <w:jc w:val="left"/>
              <w:rPr>
                <w:color w:val="000000"/>
                <w:szCs w:val="22"/>
                <w:lang w:val="fr-FR"/>
              </w:rPr>
            </w:pPr>
            <w:r w:rsidRPr="005F4BE2">
              <w:rPr>
                <w:color w:val="000000"/>
                <w:szCs w:val="22"/>
                <w:lang w:val="fr-FR"/>
              </w:rPr>
              <w:t xml:space="preserve">9. SECRÉTARIAT AUX QUESTIONS CONTINENTALES </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326BEEC6" w14:textId="08F37662" w:rsidR="009071BD" w:rsidRPr="005F4BE2" w:rsidRDefault="009071BD" w:rsidP="00C618DD">
            <w:pPr>
              <w:contextualSpacing/>
              <w:jc w:val="right"/>
              <w:rPr>
                <w:color w:val="000000"/>
                <w:szCs w:val="22"/>
                <w:lang w:val="fr-FR"/>
              </w:rPr>
            </w:pPr>
            <w:r w:rsidRPr="005F4BE2">
              <w:rPr>
                <w:color w:val="000000"/>
                <w:szCs w:val="22"/>
                <w:lang w:val="fr-FR"/>
              </w:rPr>
              <w:t>2 180</w:t>
            </w:r>
            <w:r w:rsidR="00C11266" w:rsidRPr="005F4BE2">
              <w:rPr>
                <w:color w:val="000000"/>
                <w:szCs w:val="22"/>
                <w:lang w:val="fr-FR"/>
              </w:rPr>
              <w:t>,</w:t>
            </w:r>
            <w:r w:rsidRPr="005F4BE2">
              <w:rPr>
                <w:color w:val="000000"/>
                <w:szCs w:val="22"/>
                <w:lang w:val="fr-FR"/>
              </w:rPr>
              <w:t>4</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71B3F373" w14:textId="7F113D7A" w:rsidR="009071BD" w:rsidRPr="005F4BE2" w:rsidRDefault="009071BD" w:rsidP="00C618DD">
            <w:pPr>
              <w:contextualSpacing/>
              <w:jc w:val="right"/>
              <w:rPr>
                <w:color w:val="000000"/>
                <w:szCs w:val="22"/>
                <w:lang w:val="fr-FR"/>
              </w:rPr>
            </w:pPr>
            <w:r w:rsidRPr="005F4BE2">
              <w:rPr>
                <w:color w:val="000000"/>
                <w:szCs w:val="22"/>
                <w:lang w:val="fr-FR"/>
              </w:rPr>
              <w:t>120</w:t>
            </w:r>
            <w:r w:rsidR="00C11266" w:rsidRPr="005F4BE2">
              <w:rPr>
                <w:color w:val="000000"/>
                <w:szCs w:val="22"/>
                <w:lang w:val="fr-FR"/>
              </w:rPr>
              <w:t>,</w:t>
            </w:r>
            <w:r w:rsidRPr="005F4BE2">
              <w:rPr>
                <w:color w:val="000000"/>
                <w:szCs w:val="22"/>
                <w:lang w:val="fr-FR"/>
              </w:rPr>
              <w:t>0</w:t>
            </w:r>
          </w:p>
        </w:tc>
      </w:tr>
      <w:tr w:rsidR="009071BD" w:rsidRPr="005F4BE2" w14:paraId="74F41493" w14:textId="77777777" w:rsidTr="00C70C76">
        <w:trPr>
          <w:gridAfter w:val="2"/>
          <w:wAfter w:w="21" w:type="dxa"/>
          <w:trHeight w:val="315"/>
        </w:trPr>
        <w:tc>
          <w:tcPr>
            <w:tcW w:w="955" w:type="dxa"/>
            <w:gridSpan w:val="3"/>
            <w:tcBorders>
              <w:top w:val="single" w:sz="4" w:space="0" w:color="auto"/>
              <w:left w:val="nil"/>
              <w:right w:val="nil"/>
            </w:tcBorders>
            <w:noWrap/>
            <w:vAlign w:val="bottom"/>
            <w:hideMark/>
          </w:tcPr>
          <w:p w14:paraId="5D78C1C2"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left w:val="nil"/>
              <w:right w:val="nil"/>
            </w:tcBorders>
            <w:noWrap/>
            <w:hideMark/>
          </w:tcPr>
          <w:p w14:paraId="7CAE27CF" w14:textId="77777777" w:rsidR="009071BD" w:rsidRPr="005F4BE2" w:rsidRDefault="009071BD" w:rsidP="00C618DD">
            <w:pPr>
              <w:contextualSpacing/>
              <w:jc w:val="left"/>
              <w:rPr>
                <w:szCs w:val="22"/>
                <w:lang w:val="fr-FR"/>
              </w:rPr>
            </w:pPr>
          </w:p>
        </w:tc>
        <w:tc>
          <w:tcPr>
            <w:tcW w:w="1124" w:type="dxa"/>
            <w:gridSpan w:val="4"/>
            <w:tcBorders>
              <w:top w:val="single" w:sz="4" w:space="0" w:color="auto"/>
              <w:left w:val="nil"/>
              <w:right w:val="nil"/>
            </w:tcBorders>
            <w:noWrap/>
            <w:vAlign w:val="center"/>
          </w:tcPr>
          <w:p w14:paraId="403A2576"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right w:val="nil"/>
            </w:tcBorders>
            <w:noWrap/>
            <w:vAlign w:val="center"/>
          </w:tcPr>
          <w:p w14:paraId="11BC040D" w14:textId="77777777" w:rsidR="009071BD" w:rsidRPr="005F4BE2" w:rsidRDefault="009071BD" w:rsidP="00C618DD">
            <w:pPr>
              <w:contextualSpacing/>
              <w:jc w:val="right"/>
              <w:rPr>
                <w:szCs w:val="22"/>
                <w:lang w:val="fr-FR"/>
              </w:rPr>
            </w:pPr>
          </w:p>
        </w:tc>
      </w:tr>
      <w:tr w:rsidR="009071BD" w:rsidRPr="005F4BE2" w14:paraId="772F888C" w14:textId="77777777" w:rsidTr="00C70C76">
        <w:trPr>
          <w:gridAfter w:val="2"/>
          <w:wAfter w:w="21"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52C651E6" w14:textId="77777777" w:rsidR="009071BD" w:rsidRPr="005F4BE2" w:rsidRDefault="009071BD" w:rsidP="00C618DD">
            <w:pPr>
              <w:contextualSpacing/>
              <w:jc w:val="left"/>
              <w:rPr>
                <w:color w:val="000000"/>
                <w:szCs w:val="22"/>
                <w:lang w:val="fr-FR"/>
              </w:rPr>
            </w:pPr>
            <w:r w:rsidRPr="005F4BE2">
              <w:rPr>
                <w:color w:val="000000"/>
                <w:szCs w:val="22"/>
                <w:lang w:val="fr-FR"/>
              </w:rPr>
              <w:t xml:space="preserve">10. SECRÉTARIAT AUX QUESTIONS JURIDIQUES </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1D40C032" w14:textId="53707425" w:rsidR="009071BD" w:rsidRPr="005F4BE2" w:rsidRDefault="009071BD" w:rsidP="00C618DD">
            <w:pPr>
              <w:contextualSpacing/>
              <w:jc w:val="right"/>
              <w:rPr>
                <w:color w:val="000000"/>
                <w:szCs w:val="22"/>
                <w:lang w:val="fr-FR"/>
              </w:rPr>
            </w:pPr>
            <w:r w:rsidRPr="005F4BE2">
              <w:rPr>
                <w:color w:val="000000"/>
                <w:szCs w:val="22"/>
                <w:lang w:val="fr-FR"/>
              </w:rPr>
              <w:t>3 671</w:t>
            </w:r>
            <w:r w:rsidR="00C11266" w:rsidRPr="005F4BE2">
              <w:rPr>
                <w:color w:val="000000"/>
                <w:szCs w:val="22"/>
                <w:lang w:val="fr-FR"/>
              </w:rPr>
              <w:t>,</w:t>
            </w:r>
            <w:r w:rsidRPr="005F4BE2">
              <w:rPr>
                <w:color w:val="000000"/>
                <w:szCs w:val="22"/>
                <w:lang w:val="fr-FR"/>
              </w:rPr>
              <w:t>4</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5819F742" w14:textId="1C248EFA" w:rsidR="009071BD" w:rsidRPr="005F4BE2" w:rsidRDefault="009071BD" w:rsidP="00C618DD">
            <w:pPr>
              <w:contextualSpacing/>
              <w:jc w:val="right"/>
              <w:rPr>
                <w:color w:val="000000"/>
                <w:szCs w:val="22"/>
                <w:lang w:val="fr-FR"/>
              </w:rPr>
            </w:pPr>
            <w:r w:rsidRPr="005F4BE2">
              <w:rPr>
                <w:color w:val="000000"/>
                <w:szCs w:val="22"/>
                <w:lang w:val="fr-FR"/>
              </w:rPr>
              <w:t>210</w:t>
            </w:r>
            <w:r w:rsidR="00C11266" w:rsidRPr="005F4BE2">
              <w:rPr>
                <w:color w:val="000000"/>
                <w:szCs w:val="22"/>
                <w:lang w:val="fr-FR"/>
              </w:rPr>
              <w:t>,</w:t>
            </w:r>
            <w:r w:rsidRPr="005F4BE2">
              <w:rPr>
                <w:color w:val="000000"/>
                <w:szCs w:val="22"/>
                <w:lang w:val="fr-FR"/>
              </w:rPr>
              <w:t>6</w:t>
            </w:r>
          </w:p>
        </w:tc>
      </w:tr>
      <w:tr w:rsidR="009071BD" w:rsidRPr="005F4BE2" w14:paraId="123F96BD" w14:textId="77777777" w:rsidTr="00C70C76">
        <w:trPr>
          <w:gridAfter w:val="2"/>
          <w:wAfter w:w="21" w:type="dxa"/>
          <w:trHeight w:val="315"/>
        </w:trPr>
        <w:tc>
          <w:tcPr>
            <w:tcW w:w="955" w:type="dxa"/>
            <w:gridSpan w:val="3"/>
            <w:tcBorders>
              <w:top w:val="single" w:sz="4" w:space="0" w:color="auto"/>
              <w:bottom w:val="single" w:sz="4" w:space="0" w:color="auto"/>
            </w:tcBorders>
            <w:noWrap/>
            <w:vAlign w:val="bottom"/>
            <w:hideMark/>
          </w:tcPr>
          <w:p w14:paraId="75966070" w14:textId="77777777" w:rsidR="009071BD" w:rsidRPr="005F4BE2" w:rsidRDefault="009071BD" w:rsidP="00C618DD">
            <w:pPr>
              <w:contextualSpacing/>
              <w:jc w:val="left"/>
              <w:rPr>
                <w:color w:val="000000"/>
                <w:szCs w:val="22"/>
                <w:lang w:val="fr-FR"/>
              </w:rPr>
            </w:pPr>
          </w:p>
        </w:tc>
        <w:tc>
          <w:tcPr>
            <w:tcW w:w="5695" w:type="dxa"/>
            <w:gridSpan w:val="4"/>
            <w:tcBorders>
              <w:top w:val="single" w:sz="4" w:space="0" w:color="auto"/>
              <w:bottom w:val="single" w:sz="4" w:space="0" w:color="auto"/>
            </w:tcBorders>
            <w:noWrap/>
            <w:hideMark/>
          </w:tcPr>
          <w:p w14:paraId="24FE9303" w14:textId="77777777" w:rsidR="009071BD" w:rsidRPr="005F4BE2" w:rsidRDefault="009071BD" w:rsidP="00C618DD">
            <w:pPr>
              <w:contextualSpacing/>
              <w:jc w:val="left"/>
              <w:rPr>
                <w:szCs w:val="22"/>
                <w:lang w:val="fr-FR"/>
              </w:rPr>
            </w:pPr>
          </w:p>
        </w:tc>
        <w:tc>
          <w:tcPr>
            <w:tcW w:w="1124" w:type="dxa"/>
            <w:gridSpan w:val="4"/>
            <w:tcBorders>
              <w:top w:val="single" w:sz="4" w:space="0" w:color="auto"/>
              <w:bottom w:val="single" w:sz="4" w:space="0" w:color="auto"/>
            </w:tcBorders>
            <w:noWrap/>
            <w:vAlign w:val="center"/>
          </w:tcPr>
          <w:p w14:paraId="555AAA56" w14:textId="77777777" w:rsidR="009071BD" w:rsidRPr="005F4BE2" w:rsidRDefault="009071BD" w:rsidP="00C618DD">
            <w:pPr>
              <w:contextualSpacing/>
              <w:jc w:val="right"/>
              <w:rPr>
                <w:szCs w:val="22"/>
                <w:lang w:val="fr-FR"/>
              </w:rPr>
            </w:pPr>
          </w:p>
        </w:tc>
        <w:tc>
          <w:tcPr>
            <w:tcW w:w="1079" w:type="dxa"/>
            <w:gridSpan w:val="4"/>
            <w:tcBorders>
              <w:top w:val="single" w:sz="4" w:space="0" w:color="auto"/>
              <w:bottom w:val="single" w:sz="4" w:space="0" w:color="auto"/>
            </w:tcBorders>
            <w:noWrap/>
            <w:vAlign w:val="center"/>
          </w:tcPr>
          <w:p w14:paraId="124593B1" w14:textId="77777777" w:rsidR="009071BD" w:rsidRPr="005F4BE2" w:rsidRDefault="009071BD" w:rsidP="00C618DD">
            <w:pPr>
              <w:contextualSpacing/>
              <w:jc w:val="right"/>
              <w:rPr>
                <w:szCs w:val="22"/>
                <w:lang w:val="fr-FR"/>
              </w:rPr>
            </w:pPr>
          </w:p>
        </w:tc>
      </w:tr>
      <w:tr w:rsidR="009071BD" w:rsidRPr="005F4BE2" w14:paraId="4C25E6B8" w14:textId="77777777" w:rsidTr="00C70C76">
        <w:trPr>
          <w:gridAfter w:val="2"/>
          <w:wAfter w:w="21"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2C86954C" w14:textId="77777777" w:rsidR="009071BD" w:rsidRPr="005F4BE2" w:rsidRDefault="009071BD" w:rsidP="00C618DD">
            <w:pPr>
              <w:contextualSpacing/>
              <w:jc w:val="left"/>
              <w:rPr>
                <w:color w:val="000000"/>
                <w:szCs w:val="22"/>
                <w:lang w:val="fr-FR"/>
              </w:rPr>
            </w:pPr>
            <w:r w:rsidRPr="005F4BE2">
              <w:rPr>
                <w:color w:val="000000"/>
                <w:szCs w:val="22"/>
                <w:lang w:val="fr-FR"/>
              </w:rPr>
              <w:t>11. SECRÉTARIAT AUX QUESTIONS ADMINISTRATIVES ET FINANCIÈRES</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421A46C5" w14:textId="418DD700" w:rsidR="009071BD" w:rsidRPr="005F4BE2" w:rsidRDefault="009071BD" w:rsidP="00C618DD">
            <w:pPr>
              <w:contextualSpacing/>
              <w:jc w:val="right"/>
              <w:rPr>
                <w:color w:val="000000"/>
                <w:szCs w:val="22"/>
                <w:lang w:val="fr-FR"/>
              </w:rPr>
            </w:pPr>
            <w:r w:rsidRPr="005F4BE2">
              <w:rPr>
                <w:color w:val="000000"/>
                <w:szCs w:val="22"/>
                <w:lang w:val="fr-FR"/>
              </w:rPr>
              <w:t>9 210</w:t>
            </w:r>
            <w:r w:rsidR="00C11266" w:rsidRPr="005F4BE2">
              <w:rPr>
                <w:color w:val="000000"/>
                <w:szCs w:val="22"/>
                <w:lang w:val="fr-FR"/>
              </w:rPr>
              <w:t>,</w:t>
            </w:r>
            <w:r w:rsidRPr="005F4BE2">
              <w:rPr>
                <w:color w:val="000000"/>
                <w:szCs w:val="22"/>
                <w:lang w:val="fr-FR"/>
              </w:rPr>
              <w:t>7</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0519DC52" w14:textId="797DEE18" w:rsidR="009071BD" w:rsidRPr="005F4BE2" w:rsidRDefault="009071BD" w:rsidP="00C618DD">
            <w:pPr>
              <w:contextualSpacing/>
              <w:jc w:val="right"/>
              <w:rPr>
                <w:color w:val="000000"/>
                <w:szCs w:val="22"/>
                <w:lang w:val="fr-FR"/>
              </w:rPr>
            </w:pPr>
            <w:r w:rsidRPr="005F4BE2">
              <w:rPr>
                <w:color w:val="000000"/>
                <w:szCs w:val="22"/>
                <w:lang w:val="fr-FR"/>
              </w:rPr>
              <w:t>1 093</w:t>
            </w:r>
            <w:r w:rsidR="00C11266" w:rsidRPr="005F4BE2">
              <w:rPr>
                <w:color w:val="000000"/>
                <w:szCs w:val="22"/>
                <w:lang w:val="fr-FR"/>
              </w:rPr>
              <w:t>,</w:t>
            </w:r>
            <w:r w:rsidRPr="005F4BE2">
              <w:rPr>
                <w:color w:val="000000"/>
                <w:szCs w:val="22"/>
                <w:lang w:val="fr-FR"/>
              </w:rPr>
              <w:t>4</w:t>
            </w:r>
          </w:p>
        </w:tc>
      </w:tr>
      <w:tr w:rsidR="009071BD" w:rsidRPr="005F4BE2" w14:paraId="6665F636" w14:textId="77777777" w:rsidTr="00C70C76">
        <w:trPr>
          <w:gridAfter w:val="2"/>
          <w:wAfter w:w="21" w:type="dxa"/>
          <w:trHeight w:val="315"/>
        </w:trPr>
        <w:tc>
          <w:tcPr>
            <w:tcW w:w="955" w:type="dxa"/>
            <w:gridSpan w:val="3"/>
            <w:tcBorders>
              <w:top w:val="single" w:sz="4" w:space="0" w:color="auto"/>
              <w:left w:val="nil"/>
              <w:bottom w:val="single" w:sz="4" w:space="0" w:color="auto"/>
              <w:right w:val="nil"/>
            </w:tcBorders>
            <w:noWrap/>
            <w:vAlign w:val="bottom"/>
            <w:hideMark/>
          </w:tcPr>
          <w:p w14:paraId="6510EBC5" w14:textId="77777777" w:rsidR="009071BD" w:rsidRPr="005F4BE2" w:rsidRDefault="009071BD" w:rsidP="00C618DD">
            <w:pPr>
              <w:contextualSpacing/>
              <w:jc w:val="center"/>
              <w:rPr>
                <w:color w:val="000000"/>
                <w:szCs w:val="22"/>
                <w:lang w:val="fr-FR"/>
              </w:rPr>
            </w:pPr>
          </w:p>
        </w:tc>
        <w:tc>
          <w:tcPr>
            <w:tcW w:w="5695" w:type="dxa"/>
            <w:gridSpan w:val="4"/>
            <w:tcBorders>
              <w:top w:val="single" w:sz="4" w:space="0" w:color="auto"/>
              <w:left w:val="nil"/>
              <w:bottom w:val="single" w:sz="4" w:space="0" w:color="auto"/>
              <w:right w:val="nil"/>
            </w:tcBorders>
            <w:noWrap/>
            <w:hideMark/>
          </w:tcPr>
          <w:p w14:paraId="5531D6FB" w14:textId="77777777" w:rsidR="009071BD" w:rsidRPr="005F4BE2" w:rsidRDefault="009071BD" w:rsidP="00C618DD">
            <w:pPr>
              <w:contextualSpacing/>
              <w:jc w:val="left"/>
              <w:rPr>
                <w:szCs w:val="22"/>
                <w:lang w:val="fr-FR"/>
              </w:rPr>
            </w:pPr>
          </w:p>
        </w:tc>
        <w:tc>
          <w:tcPr>
            <w:tcW w:w="1124" w:type="dxa"/>
            <w:gridSpan w:val="4"/>
            <w:tcBorders>
              <w:top w:val="single" w:sz="4" w:space="0" w:color="auto"/>
              <w:left w:val="nil"/>
              <w:bottom w:val="single" w:sz="4" w:space="0" w:color="auto"/>
              <w:right w:val="nil"/>
            </w:tcBorders>
            <w:noWrap/>
            <w:vAlign w:val="center"/>
          </w:tcPr>
          <w:p w14:paraId="74114308" w14:textId="77777777" w:rsidR="009071BD" w:rsidRPr="005F4BE2" w:rsidRDefault="009071BD" w:rsidP="00C618DD">
            <w:pPr>
              <w:contextualSpacing/>
              <w:jc w:val="right"/>
              <w:rPr>
                <w:szCs w:val="22"/>
                <w:lang w:val="fr-FR"/>
              </w:rPr>
            </w:pPr>
          </w:p>
        </w:tc>
        <w:tc>
          <w:tcPr>
            <w:tcW w:w="1079" w:type="dxa"/>
            <w:gridSpan w:val="4"/>
            <w:tcBorders>
              <w:top w:val="single" w:sz="4" w:space="0" w:color="auto"/>
              <w:left w:val="nil"/>
              <w:bottom w:val="single" w:sz="4" w:space="0" w:color="auto"/>
              <w:right w:val="nil"/>
            </w:tcBorders>
            <w:noWrap/>
            <w:vAlign w:val="center"/>
          </w:tcPr>
          <w:p w14:paraId="554580AB" w14:textId="77777777" w:rsidR="009071BD" w:rsidRPr="005F4BE2" w:rsidRDefault="009071BD" w:rsidP="00C618DD">
            <w:pPr>
              <w:contextualSpacing/>
              <w:jc w:val="right"/>
              <w:rPr>
                <w:szCs w:val="22"/>
                <w:lang w:val="fr-FR"/>
              </w:rPr>
            </w:pPr>
          </w:p>
        </w:tc>
      </w:tr>
      <w:tr w:rsidR="009071BD" w:rsidRPr="005F4BE2" w14:paraId="3F8029F4" w14:textId="77777777" w:rsidTr="00C70C76">
        <w:trPr>
          <w:gridAfter w:val="2"/>
          <w:wAfter w:w="21" w:type="dxa"/>
          <w:trHeight w:val="315"/>
        </w:trPr>
        <w:tc>
          <w:tcPr>
            <w:tcW w:w="6650" w:type="dxa"/>
            <w:gridSpan w:val="7"/>
            <w:tcBorders>
              <w:top w:val="single" w:sz="4" w:space="0" w:color="auto"/>
              <w:left w:val="single" w:sz="4" w:space="0" w:color="auto"/>
              <w:bottom w:val="single" w:sz="4" w:space="0" w:color="auto"/>
              <w:right w:val="single" w:sz="4" w:space="0" w:color="auto"/>
            </w:tcBorders>
            <w:noWrap/>
            <w:vAlign w:val="center"/>
            <w:hideMark/>
          </w:tcPr>
          <w:p w14:paraId="70A36A81" w14:textId="77777777" w:rsidR="009071BD" w:rsidRPr="005F4BE2" w:rsidRDefault="009071BD" w:rsidP="00C618DD">
            <w:pPr>
              <w:contextualSpacing/>
              <w:jc w:val="left"/>
              <w:rPr>
                <w:color w:val="000000"/>
                <w:szCs w:val="22"/>
                <w:lang w:val="fr-FR"/>
              </w:rPr>
            </w:pPr>
            <w:r w:rsidRPr="005F4BE2">
              <w:rPr>
                <w:color w:val="000000"/>
                <w:szCs w:val="22"/>
                <w:lang w:val="fr-FR"/>
              </w:rPr>
              <w:t>12. INFRASTRUCTURE DE BASE ET FRAIS COMMUNS</w:t>
            </w:r>
          </w:p>
        </w:tc>
        <w:tc>
          <w:tcPr>
            <w:tcW w:w="1124" w:type="dxa"/>
            <w:gridSpan w:val="4"/>
            <w:tcBorders>
              <w:top w:val="single" w:sz="4" w:space="0" w:color="auto"/>
              <w:left w:val="single" w:sz="4" w:space="0" w:color="auto"/>
              <w:bottom w:val="single" w:sz="4" w:space="0" w:color="auto"/>
              <w:right w:val="single" w:sz="4" w:space="0" w:color="auto"/>
            </w:tcBorders>
            <w:noWrap/>
            <w:vAlign w:val="center"/>
          </w:tcPr>
          <w:p w14:paraId="4839BE7D" w14:textId="6F23F96A" w:rsidR="009071BD" w:rsidRPr="005F4BE2" w:rsidRDefault="009071BD" w:rsidP="00C618DD">
            <w:pPr>
              <w:contextualSpacing/>
              <w:jc w:val="right"/>
              <w:rPr>
                <w:color w:val="000000"/>
                <w:szCs w:val="22"/>
                <w:lang w:val="fr-FR"/>
              </w:rPr>
            </w:pPr>
            <w:r w:rsidRPr="005F4BE2">
              <w:rPr>
                <w:color w:val="000000"/>
                <w:szCs w:val="22"/>
                <w:lang w:val="fr-FR"/>
              </w:rPr>
              <w:t>10 451</w:t>
            </w:r>
            <w:r w:rsidR="00C11266" w:rsidRPr="005F4BE2">
              <w:rPr>
                <w:color w:val="000000"/>
                <w:szCs w:val="22"/>
                <w:lang w:val="fr-FR"/>
              </w:rPr>
              <w:t>,</w:t>
            </w:r>
            <w:r w:rsidRPr="005F4BE2">
              <w:rPr>
                <w:color w:val="000000"/>
                <w:szCs w:val="22"/>
                <w:lang w:val="fr-FR"/>
              </w:rPr>
              <w:t>6</w:t>
            </w:r>
          </w:p>
        </w:tc>
        <w:tc>
          <w:tcPr>
            <w:tcW w:w="1079" w:type="dxa"/>
            <w:gridSpan w:val="4"/>
            <w:tcBorders>
              <w:top w:val="single" w:sz="4" w:space="0" w:color="auto"/>
              <w:left w:val="single" w:sz="4" w:space="0" w:color="auto"/>
              <w:bottom w:val="single" w:sz="4" w:space="0" w:color="auto"/>
              <w:right w:val="single" w:sz="4" w:space="0" w:color="auto"/>
            </w:tcBorders>
            <w:noWrap/>
            <w:vAlign w:val="center"/>
          </w:tcPr>
          <w:p w14:paraId="6A4DA357" w14:textId="52244A86" w:rsidR="009071BD" w:rsidRPr="005F4BE2" w:rsidRDefault="009071BD" w:rsidP="00C618DD">
            <w:pPr>
              <w:contextualSpacing/>
              <w:jc w:val="right"/>
              <w:rPr>
                <w:color w:val="000000"/>
                <w:szCs w:val="22"/>
                <w:lang w:val="fr-FR"/>
              </w:rPr>
            </w:pPr>
            <w:r w:rsidRPr="005F4BE2">
              <w:rPr>
                <w:color w:val="000000"/>
                <w:szCs w:val="22"/>
                <w:lang w:val="fr-FR"/>
              </w:rPr>
              <w:t>2 351</w:t>
            </w:r>
            <w:r w:rsidR="00C11266" w:rsidRPr="005F4BE2">
              <w:rPr>
                <w:color w:val="000000"/>
                <w:szCs w:val="22"/>
                <w:lang w:val="fr-FR"/>
              </w:rPr>
              <w:t>,</w:t>
            </w:r>
            <w:r w:rsidRPr="005F4BE2">
              <w:rPr>
                <w:color w:val="000000"/>
                <w:szCs w:val="22"/>
                <w:lang w:val="fr-FR"/>
              </w:rPr>
              <w:t>4</w:t>
            </w:r>
          </w:p>
        </w:tc>
      </w:tr>
      <w:tr w:rsidR="009071BD" w:rsidRPr="005F4BE2" w14:paraId="15DBE927" w14:textId="77777777" w:rsidTr="00C70C76">
        <w:trPr>
          <w:trHeight w:val="315"/>
        </w:trPr>
        <w:tc>
          <w:tcPr>
            <w:tcW w:w="6709" w:type="dxa"/>
            <w:gridSpan w:val="9"/>
            <w:tcBorders>
              <w:top w:val="dashSmallGap" w:sz="4" w:space="0" w:color="auto"/>
              <w:bottom w:val="dashSmallGap" w:sz="4" w:space="0" w:color="auto"/>
            </w:tcBorders>
            <w:noWrap/>
            <w:vAlign w:val="center"/>
          </w:tcPr>
          <w:p w14:paraId="32D65E51" w14:textId="77777777" w:rsidR="009071BD" w:rsidRPr="005F4BE2" w:rsidRDefault="009071BD" w:rsidP="00C618DD">
            <w:pPr>
              <w:jc w:val="left"/>
              <w:rPr>
                <w:color w:val="000000"/>
                <w:szCs w:val="22"/>
                <w:lang w:val="fr-FR" w:eastAsia="es-ES"/>
              </w:rPr>
            </w:pPr>
          </w:p>
        </w:tc>
        <w:tc>
          <w:tcPr>
            <w:tcW w:w="1100" w:type="dxa"/>
            <w:gridSpan w:val="4"/>
            <w:tcBorders>
              <w:top w:val="dashSmallGap" w:sz="4" w:space="0" w:color="auto"/>
              <w:bottom w:val="dashSmallGap" w:sz="4" w:space="0" w:color="auto"/>
            </w:tcBorders>
            <w:noWrap/>
            <w:vAlign w:val="center"/>
          </w:tcPr>
          <w:p w14:paraId="64ED19BF" w14:textId="77777777" w:rsidR="009071BD" w:rsidRPr="005F4BE2" w:rsidRDefault="009071BD" w:rsidP="00C618DD">
            <w:pPr>
              <w:jc w:val="right"/>
              <w:rPr>
                <w:color w:val="000000"/>
                <w:szCs w:val="22"/>
                <w:lang w:val="fr-FR" w:eastAsia="es-ES"/>
              </w:rPr>
            </w:pPr>
          </w:p>
        </w:tc>
        <w:tc>
          <w:tcPr>
            <w:tcW w:w="1065" w:type="dxa"/>
            <w:gridSpan w:val="4"/>
            <w:tcBorders>
              <w:top w:val="dashSmallGap" w:sz="4" w:space="0" w:color="auto"/>
              <w:bottom w:val="dashSmallGap" w:sz="4" w:space="0" w:color="auto"/>
            </w:tcBorders>
            <w:noWrap/>
            <w:vAlign w:val="center"/>
          </w:tcPr>
          <w:p w14:paraId="7701A9CC" w14:textId="77777777" w:rsidR="009071BD" w:rsidRPr="005F4BE2" w:rsidRDefault="009071BD" w:rsidP="00C618DD">
            <w:pPr>
              <w:jc w:val="center"/>
              <w:rPr>
                <w:color w:val="000000"/>
                <w:szCs w:val="22"/>
                <w:lang w:val="fr-FR" w:eastAsia="es-ES"/>
              </w:rPr>
            </w:pPr>
          </w:p>
        </w:tc>
      </w:tr>
      <w:tr w:rsidR="009071BD" w:rsidRPr="005F4BE2" w14:paraId="2D4406AD" w14:textId="77777777" w:rsidTr="00C70C76">
        <w:trPr>
          <w:trHeight w:val="315"/>
        </w:trPr>
        <w:tc>
          <w:tcPr>
            <w:tcW w:w="6659" w:type="dxa"/>
            <w:gridSpan w:val="8"/>
            <w:tcBorders>
              <w:top w:val="single" w:sz="4" w:space="0" w:color="auto"/>
              <w:left w:val="single" w:sz="4" w:space="0" w:color="auto"/>
              <w:bottom w:val="single" w:sz="4" w:space="0" w:color="auto"/>
              <w:right w:val="single" w:sz="4" w:space="0" w:color="auto"/>
            </w:tcBorders>
            <w:noWrap/>
            <w:vAlign w:val="center"/>
            <w:hideMark/>
          </w:tcPr>
          <w:p w14:paraId="308C4254" w14:textId="77777777" w:rsidR="009071BD" w:rsidRPr="005F4BE2" w:rsidRDefault="009071BD" w:rsidP="00C618DD">
            <w:pPr>
              <w:jc w:val="left"/>
              <w:rPr>
                <w:color w:val="000000"/>
                <w:szCs w:val="22"/>
                <w:lang w:val="fr-FR"/>
              </w:rPr>
            </w:pPr>
            <w:r w:rsidRPr="005F4BE2">
              <w:rPr>
                <w:color w:val="000000"/>
                <w:szCs w:val="22"/>
                <w:lang w:val="fr-FR"/>
              </w:rPr>
              <w:t xml:space="preserve">13. ORGANES DE SURVEILLANCE ET DE SUPERVISION </w:t>
            </w: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0FD95D18" w14:textId="554BC9A0" w:rsidR="009071BD" w:rsidRPr="005F4BE2" w:rsidRDefault="009071BD" w:rsidP="00C618DD">
            <w:pPr>
              <w:contextualSpacing/>
              <w:jc w:val="right"/>
              <w:rPr>
                <w:color w:val="000000"/>
                <w:szCs w:val="22"/>
                <w:lang w:val="fr-FR"/>
              </w:rPr>
            </w:pPr>
            <w:r w:rsidRPr="005F4BE2">
              <w:rPr>
                <w:color w:val="000000"/>
                <w:szCs w:val="22"/>
                <w:lang w:val="fr-FR"/>
              </w:rPr>
              <w:t>1 252</w:t>
            </w:r>
            <w:r w:rsidR="00C11266" w:rsidRPr="005F4BE2">
              <w:rPr>
                <w:color w:val="000000"/>
                <w:szCs w:val="22"/>
                <w:lang w:val="fr-FR"/>
              </w:rPr>
              <w:t>,</w:t>
            </w:r>
            <w:r w:rsidRPr="005F4BE2">
              <w:rPr>
                <w:color w:val="000000"/>
                <w:szCs w:val="22"/>
                <w:lang w:val="fr-FR"/>
              </w:rPr>
              <w:t>0</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20D52DA0" w14:textId="5782DBE3" w:rsidR="009071BD" w:rsidRPr="005F4BE2" w:rsidRDefault="009071BD" w:rsidP="00C618DD">
            <w:pPr>
              <w:contextualSpacing/>
              <w:jc w:val="right"/>
              <w:rPr>
                <w:color w:val="000000"/>
                <w:szCs w:val="22"/>
                <w:lang w:val="fr-FR"/>
              </w:rPr>
            </w:pPr>
            <w:r w:rsidRPr="005F4BE2">
              <w:rPr>
                <w:color w:val="000000"/>
                <w:szCs w:val="22"/>
                <w:lang w:val="fr-FR"/>
              </w:rPr>
              <w:t>280</w:t>
            </w:r>
            <w:r w:rsidR="00C11266" w:rsidRPr="005F4BE2">
              <w:rPr>
                <w:color w:val="000000"/>
                <w:szCs w:val="22"/>
                <w:lang w:val="fr-FR"/>
              </w:rPr>
              <w:t>,</w:t>
            </w:r>
            <w:r w:rsidRPr="005F4BE2">
              <w:rPr>
                <w:color w:val="000000"/>
                <w:szCs w:val="22"/>
                <w:lang w:val="fr-FR"/>
              </w:rPr>
              <w:t>5</w:t>
            </w:r>
          </w:p>
        </w:tc>
      </w:tr>
      <w:tr w:rsidR="009071BD" w:rsidRPr="005F4BE2" w14:paraId="19444C5B" w14:textId="77777777" w:rsidTr="00C70C76">
        <w:trPr>
          <w:trHeight w:val="315"/>
        </w:trPr>
        <w:tc>
          <w:tcPr>
            <w:tcW w:w="1154" w:type="dxa"/>
            <w:gridSpan w:val="6"/>
            <w:tcBorders>
              <w:top w:val="single" w:sz="4" w:space="0" w:color="auto"/>
              <w:left w:val="single" w:sz="4" w:space="0" w:color="auto"/>
              <w:bottom w:val="single" w:sz="4" w:space="0" w:color="auto"/>
              <w:right w:val="single" w:sz="4" w:space="0" w:color="auto"/>
            </w:tcBorders>
            <w:noWrap/>
            <w:vAlign w:val="center"/>
            <w:hideMark/>
          </w:tcPr>
          <w:p w14:paraId="25C0F37D" w14:textId="77777777" w:rsidR="009071BD" w:rsidRPr="005F4BE2" w:rsidRDefault="009071BD" w:rsidP="00C618DD">
            <w:pPr>
              <w:jc w:val="left"/>
              <w:rPr>
                <w:color w:val="000000"/>
                <w:szCs w:val="22"/>
                <w:lang w:val="fr-FR"/>
              </w:rPr>
            </w:pPr>
            <w:r w:rsidRPr="005F4BE2">
              <w:rPr>
                <w:color w:val="000000"/>
                <w:szCs w:val="22"/>
                <w:lang w:val="fr-FR"/>
              </w:rPr>
              <w:t>133A</w:t>
            </w:r>
          </w:p>
        </w:tc>
        <w:tc>
          <w:tcPr>
            <w:tcW w:w="5505" w:type="dxa"/>
            <w:gridSpan w:val="2"/>
            <w:tcBorders>
              <w:top w:val="single" w:sz="4" w:space="0" w:color="auto"/>
              <w:left w:val="single" w:sz="4" w:space="0" w:color="auto"/>
              <w:bottom w:val="single" w:sz="4" w:space="0" w:color="auto"/>
              <w:right w:val="single" w:sz="4" w:space="0" w:color="auto"/>
            </w:tcBorders>
            <w:noWrap/>
            <w:vAlign w:val="center"/>
            <w:hideMark/>
          </w:tcPr>
          <w:p w14:paraId="7649D7AD" w14:textId="68C56BCA" w:rsidR="009071BD" w:rsidRPr="005F4BE2" w:rsidRDefault="009071BD" w:rsidP="00C618DD">
            <w:pPr>
              <w:jc w:val="left"/>
              <w:rPr>
                <w:color w:val="000000"/>
                <w:szCs w:val="22"/>
                <w:lang w:val="fr-FR"/>
              </w:rPr>
            </w:pPr>
            <w:r w:rsidRPr="005F4BE2">
              <w:rPr>
                <w:color w:val="000000"/>
                <w:szCs w:val="22"/>
                <w:lang w:val="fr-FR"/>
              </w:rPr>
              <w:t xml:space="preserve">Secrétariat du Tribunal administratif </w:t>
            </w:r>
            <w:r w:rsidR="009D5A3E" w:rsidRPr="005F4BE2">
              <w:rPr>
                <w:color w:val="000000"/>
                <w:szCs w:val="22"/>
                <w:lang w:val="fr-FR"/>
              </w:rPr>
              <w:t>(</w:t>
            </w:r>
            <w:r w:rsidRPr="005F4BE2">
              <w:rPr>
                <w:color w:val="000000"/>
                <w:szCs w:val="22"/>
                <w:lang w:val="fr-FR"/>
              </w:rPr>
              <w:t>TRIBAD)</w:t>
            </w: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09E3FCD0" w14:textId="523A685C" w:rsidR="009071BD" w:rsidRPr="005F4BE2" w:rsidRDefault="009071BD" w:rsidP="00C618DD">
            <w:pPr>
              <w:jc w:val="right"/>
              <w:rPr>
                <w:color w:val="000000"/>
                <w:szCs w:val="22"/>
                <w:lang w:val="fr-FR"/>
              </w:rPr>
            </w:pPr>
            <w:r w:rsidRPr="005F4BE2">
              <w:rPr>
                <w:color w:val="000000"/>
                <w:szCs w:val="22"/>
                <w:lang w:val="fr-FR"/>
              </w:rPr>
              <w:t>209</w:t>
            </w:r>
            <w:r w:rsidR="00C11266" w:rsidRPr="005F4BE2">
              <w:rPr>
                <w:color w:val="000000"/>
                <w:szCs w:val="22"/>
                <w:lang w:val="fr-FR"/>
              </w:rPr>
              <w:t>,</w:t>
            </w:r>
            <w:r w:rsidRPr="005F4BE2">
              <w:rPr>
                <w:color w:val="000000"/>
                <w:szCs w:val="22"/>
                <w:lang w:val="fr-FR"/>
              </w:rPr>
              <w:t>6</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0A667FDF" w14:textId="25C2638C" w:rsidR="009071BD" w:rsidRPr="005F4BE2" w:rsidRDefault="009071BD" w:rsidP="00C618DD">
            <w:pPr>
              <w:jc w:val="right"/>
              <w:rPr>
                <w:color w:val="000000"/>
                <w:szCs w:val="22"/>
                <w:lang w:val="fr-FR"/>
              </w:rPr>
            </w:pPr>
            <w:r w:rsidRPr="005F4BE2">
              <w:rPr>
                <w:color w:val="000000"/>
                <w:szCs w:val="22"/>
                <w:lang w:val="fr-FR"/>
              </w:rPr>
              <w:t>26</w:t>
            </w:r>
            <w:r w:rsidR="00C11266" w:rsidRPr="005F4BE2">
              <w:rPr>
                <w:color w:val="000000"/>
                <w:szCs w:val="22"/>
                <w:lang w:val="fr-FR"/>
              </w:rPr>
              <w:t>,</w:t>
            </w:r>
            <w:r w:rsidRPr="005F4BE2">
              <w:rPr>
                <w:color w:val="000000"/>
                <w:szCs w:val="22"/>
                <w:lang w:val="fr-FR"/>
              </w:rPr>
              <w:t>9</w:t>
            </w:r>
          </w:p>
        </w:tc>
      </w:tr>
      <w:tr w:rsidR="009071BD" w:rsidRPr="005F4BE2" w14:paraId="00131AF2" w14:textId="77777777" w:rsidTr="00C70C76">
        <w:trPr>
          <w:trHeight w:val="315"/>
        </w:trPr>
        <w:tc>
          <w:tcPr>
            <w:tcW w:w="1154" w:type="dxa"/>
            <w:gridSpan w:val="6"/>
            <w:tcBorders>
              <w:top w:val="single" w:sz="4" w:space="0" w:color="auto"/>
              <w:left w:val="single" w:sz="4" w:space="0" w:color="auto"/>
              <w:bottom w:val="single" w:sz="4" w:space="0" w:color="auto"/>
              <w:right w:val="single" w:sz="4" w:space="0" w:color="auto"/>
            </w:tcBorders>
            <w:noWrap/>
            <w:vAlign w:val="center"/>
            <w:hideMark/>
          </w:tcPr>
          <w:p w14:paraId="6C31F754" w14:textId="77777777" w:rsidR="009071BD" w:rsidRPr="005F4BE2" w:rsidRDefault="009071BD" w:rsidP="00C618DD">
            <w:pPr>
              <w:jc w:val="left"/>
              <w:rPr>
                <w:color w:val="000000"/>
                <w:szCs w:val="22"/>
                <w:lang w:val="fr-FR"/>
              </w:rPr>
            </w:pPr>
            <w:r w:rsidRPr="005F4BE2">
              <w:rPr>
                <w:color w:val="000000"/>
                <w:szCs w:val="22"/>
                <w:lang w:val="fr-FR"/>
              </w:rPr>
              <w:t>134B</w:t>
            </w:r>
          </w:p>
        </w:tc>
        <w:tc>
          <w:tcPr>
            <w:tcW w:w="5505" w:type="dxa"/>
            <w:gridSpan w:val="2"/>
            <w:tcBorders>
              <w:top w:val="single" w:sz="4" w:space="0" w:color="auto"/>
              <w:left w:val="single" w:sz="4" w:space="0" w:color="auto"/>
              <w:bottom w:val="single" w:sz="4" w:space="0" w:color="auto"/>
              <w:right w:val="single" w:sz="4" w:space="0" w:color="auto"/>
            </w:tcBorders>
            <w:noWrap/>
            <w:vAlign w:val="center"/>
            <w:hideMark/>
          </w:tcPr>
          <w:p w14:paraId="53EA3B2A" w14:textId="77777777" w:rsidR="009071BD" w:rsidRPr="005F4BE2" w:rsidRDefault="009071BD" w:rsidP="00C618DD">
            <w:pPr>
              <w:jc w:val="left"/>
              <w:rPr>
                <w:color w:val="000000"/>
                <w:szCs w:val="22"/>
                <w:lang w:val="fr-FR"/>
              </w:rPr>
            </w:pPr>
            <w:r w:rsidRPr="005F4BE2">
              <w:rPr>
                <w:color w:val="000000"/>
                <w:szCs w:val="22"/>
                <w:lang w:val="fr-FR"/>
              </w:rPr>
              <w:t>Bureau de l’Inspecteur général</w:t>
            </w: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5BEC9897" w14:textId="2D71A855" w:rsidR="009071BD" w:rsidRPr="005F4BE2" w:rsidRDefault="009071BD" w:rsidP="00C618DD">
            <w:pPr>
              <w:jc w:val="right"/>
              <w:rPr>
                <w:color w:val="000000"/>
                <w:szCs w:val="22"/>
                <w:lang w:val="fr-FR"/>
              </w:rPr>
            </w:pPr>
            <w:r w:rsidRPr="005F4BE2">
              <w:rPr>
                <w:color w:val="000000"/>
                <w:szCs w:val="22"/>
                <w:lang w:val="fr-FR"/>
              </w:rPr>
              <w:t>773</w:t>
            </w:r>
            <w:r w:rsidR="00C11266" w:rsidRPr="005F4BE2">
              <w:rPr>
                <w:color w:val="000000"/>
                <w:szCs w:val="22"/>
                <w:lang w:val="fr-FR"/>
              </w:rPr>
              <w:t>,</w:t>
            </w:r>
            <w:r w:rsidRPr="005F4BE2">
              <w:rPr>
                <w:color w:val="000000"/>
                <w:szCs w:val="22"/>
                <w:lang w:val="fr-FR"/>
              </w:rPr>
              <w:t>4</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1EA6CCFF" w14:textId="7C53A0BD" w:rsidR="009071BD" w:rsidRPr="005F4BE2" w:rsidRDefault="009071BD" w:rsidP="00C618DD">
            <w:pPr>
              <w:jc w:val="right"/>
              <w:rPr>
                <w:color w:val="000000"/>
                <w:szCs w:val="22"/>
                <w:lang w:val="fr-FR"/>
              </w:rPr>
            </w:pPr>
            <w:r w:rsidRPr="005F4BE2">
              <w:rPr>
                <w:color w:val="000000"/>
                <w:szCs w:val="22"/>
                <w:lang w:val="fr-FR"/>
              </w:rPr>
              <w:t>86</w:t>
            </w:r>
            <w:r w:rsidR="00C11266" w:rsidRPr="005F4BE2">
              <w:rPr>
                <w:color w:val="000000"/>
                <w:szCs w:val="22"/>
                <w:lang w:val="fr-FR"/>
              </w:rPr>
              <w:t>,</w:t>
            </w:r>
            <w:r w:rsidRPr="005F4BE2">
              <w:rPr>
                <w:color w:val="000000"/>
                <w:szCs w:val="22"/>
                <w:lang w:val="fr-FR"/>
              </w:rPr>
              <w:t>0</w:t>
            </w:r>
          </w:p>
        </w:tc>
      </w:tr>
      <w:tr w:rsidR="009071BD" w:rsidRPr="005F4BE2" w14:paraId="5F8E43D5" w14:textId="77777777" w:rsidTr="00C70C76">
        <w:trPr>
          <w:trHeight w:val="315"/>
        </w:trPr>
        <w:tc>
          <w:tcPr>
            <w:tcW w:w="1154" w:type="dxa"/>
            <w:gridSpan w:val="6"/>
            <w:tcBorders>
              <w:top w:val="single" w:sz="4" w:space="0" w:color="auto"/>
              <w:left w:val="single" w:sz="4" w:space="0" w:color="auto"/>
              <w:bottom w:val="single" w:sz="4" w:space="0" w:color="auto"/>
              <w:right w:val="single" w:sz="4" w:space="0" w:color="auto"/>
            </w:tcBorders>
            <w:noWrap/>
            <w:vAlign w:val="center"/>
            <w:hideMark/>
          </w:tcPr>
          <w:p w14:paraId="77FD7440" w14:textId="77777777" w:rsidR="009071BD" w:rsidRPr="005F4BE2" w:rsidRDefault="009071BD" w:rsidP="00C618DD">
            <w:pPr>
              <w:jc w:val="left"/>
              <w:rPr>
                <w:color w:val="000000"/>
                <w:szCs w:val="22"/>
                <w:lang w:val="fr-FR"/>
              </w:rPr>
            </w:pPr>
            <w:r w:rsidRPr="005F4BE2">
              <w:rPr>
                <w:color w:val="000000"/>
                <w:szCs w:val="22"/>
                <w:lang w:val="fr-FR"/>
              </w:rPr>
              <w:t>134C</w:t>
            </w:r>
          </w:p>
        </w:tc>
        <w:tc>
          <w:tcPr>
            <w:tcW w:w="5505" w:type="dxa"/>
            <w:gridSpan w:val="2"/>
            <w:tcBorders>
              <w:top w:val="single" w:sz="4" w:space="0" w:color="auto"/>
              <w:left w:val="single" w:sz="4" w:space="0" w:color="auto"/>
              <w:bottom w:val="single" w:sz="4" w:space="0" w:color="auto"/>
              <w:right w:val="single" w:sz="4" w:space="0" w:color="auto"/>
            </w:tcBorders>
            <w:noWrap/>
            <w:vAlign w:val="center"/>
            <w:hideMark/>
          </w:tcPr>
          <w:p w14:paraId="5161C040" w14:textId="77777777" w:rsidR="009071BD" w:rsidRPr="005F4BE2" w:rsidRDefault="009071BD" w:rsidP="00C618DD">
            <w:pPr>
              <w:jc w:val="left"/>
              <w:rPr>
                <w:color w:val="000000"/>
                <w:szCs w:val="22"/>
                <w:lang w:val="fr-FR"/>
              </w:rPr>
            </w:pPr>
            <w:r w:rsidRPr="005F4BE2">
              <w:rPr>
                <w:color w:val="000000"/>
                <w:szCs w:val="22"/>
                <w:lang w:val="fr-FR"/>
              </w:rPr>
              <w:t>Commission des vérificateurs extérieurs</w:t>
            </w: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2E192840" w14:textId="2F4A6706" w:rsidR="009071BD" w:rsidRPr="005F4BE2" w:rsidRDefault="009071BD" w:rsidP="00C618DD">
            <w:pPr>
              <w:jc w:val="right"/>
              <w:rPr>
                <w:color w:val="000000"/>
                <w:szCs w:val="22"/>
                <w:lang w:val="fr-FR"/>
              </w:rPr>
            </w:pPr>
            <w:r w:rsidRPr="005F4BE2">
              <w:rPr>
                <w:color w:val="000000"/>
                <w:szCs w:val="22"/>
                <w:lang w:val="fr-FR"/>
              </w:rPr>
              <w:t>74</w:t>
            </w:r>
            <w:r w:rsidR="00C11266" w:rsidRPr="005F4BE2">
              <w:rPr>
                <w:color w:val="000000"/>
                <w:szCs w:val="22"/>
                <w:lang w:val="fr-FR"/>
              </w:rPr>
              <w:t>,</w:t>
            </w:r>
            <w:r w:rsidRPr="005F4BE2">
              <w:rPr>
                <w:color w:val="000000"/>
                <w:szCs w:val="22"/>
                <w:lang w:val="fr-FR"/>
              </w:rPr>
              <w:t>8</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1629E04A" w14:textId="545F2E77" w:rsidR="009071BD" w:rsidRPr="005F4BE2" w:rsidRDefault="009071BD" w:rsidP="00C618DD">
            <w:pPr>
              <w:jc w:val="right"/>
              <w:rPr>
                <w:color w:val="000000"/>
                <w:szCs w:val="22"/>
                <w:lang w:val="fr-FR"/>
              </w:rPr>
            </w:pPr>
            <w:r w:rsidRPr="005F4BE2">
              <w:rPr>
                <w:color w:val="000000"/>
                <w:szCs w:val="22"/>
                <w:lang w:val="fr-FR"/>
              </w:rPr>
              <w:t>82</w:t>
            </w:r>
            <w:r w:rsidR="00C11266" w:rsidRPr="005F4BE2">
              <w:rPr>
                <w:color w:val="000000"/>
                <w:szCs w:val="22"/>
                <w:lang w:val="fr-FR"/>
              </w:rPr>
              <w:t>,</w:t>
            </w:r>
            <w:r w:rsidRPr="005F4BE2">
              <w:rPr>
                <w:color w:val="000000"/>
                <w:szCs w:val="22"/>
                <w:lang w:val="fr-FR"/>
              </w:rPr>
              <w:t>1</w:t>
            </w:r>
          </w:p>
        </w:tc>
      </w:tr>
      <w:tr w:rsidR="009071BD" w:rsidRPr="005F4BE2" w14:paraId="77B40241" w14:textId="77777777" w:rsidTr="003E034A">
        <w:trPr>
          <w:trHeight w:val="315"/>
        </w:trPr>
        <w:tc>
          <w:tcPr>
            <w:tcW w:w="1154" w:type="dxa"/>
            <w:gridSpan w:val="6"/>
            <w:tcBorders>
              <w:top w:val="single" w:sz="4" w:space="0" w:color="auto"/>
              <w:left w:val="single" w:sz="4" w:space="0" w:color="auto"/>
              <w:bottom w:val="single" w:sz="4" w:space="0" w:color="auto"/>
              <w:right w:val="single" w:sz="4" w:space="0" w:color="auto"/>
            </w:tcBorders>
            <w:noWrap/>
            <w:vAlign w:val="center"/>
            <w:hideMark/>
          </w:tcPr>
          <w:p w14:paraId="6FCD311F" w14:textId="77777777" w:rsidR="009071BD" w:rsidRPr="005F4BE2" w:rsidRDefault="009071BD" w:rsidP="00C618DD">
            <w:pPr>
              <w:jc w:val="left"/>
              <w:rPr>
                <w:color w:val="000000"/>
                <w:szCs w:val="22"/>
                <w:lang w:val="fr-FR"/>
              </w:rPr>
            </w:pPr>
            <w:r w:rsidRPr="005F4BE2">
              <w:rPr>
                <w:color w:val="000000"/>
                <w:szCs w:val="22"/>
                <w:lang w:val="fr-FR"/>
              </w:rPr>
              <w:t>134D</w:t>
            </w:r>
          </w:p>
        </w:tc>
        <w:tc>
          <w:tcPr>
            <w:tcW w:w="5505" w:type="dxa"/>
            <w:gridSpan w:val="2"/>
            <w:tcBorders>
              <w:top w:val="single" w:sz="4" w:space="0" w:color="auto"/>
              <w:left w:val="single" w:sz="4" w:space="0" w:color="auto"/>
              <w:bottom w:val="single" w:sz="4" w:space="0" w:color="auto"/>
              <w:right w:val="single" w:sz="4" w:space="0" w:color="auto"/>
            </w:tcBorders>
            <w:noWrap/>
            <w:vAlign w:val="center"/>
            <w:hideMark/>
          </w:tcPr>
          <w:p w14:paraId="2DE25DEF" w14:textId="7D5342EB" w:rsidR="009071BD" w:rsidRPr="005F4BE2" w:rsidRDefault="009F777A" w:rsidP="00C618DD">
            <w:pPr>
              <w:jc w:val="left"/>
              <w:rPr>
                <w:color w:val="000000"/>
                <w:szCs w:val="22"/>
                <w:lang w:val="fr-FR"/>
              </w:rPr>
            </w:pPr>
            <w:r w:rsidRPr="005F4BE2">
              <w:rPr>
                <w:color w:val="000000"/>
                <w:szCs w:val="22"/>
                <w:lang w:val="fr-FR"/>
              </w:rPr>
              <w:t>Bureau de l’</w:t>
            </w:r>
            <w:r w:rsidR="009071BD" w:rsidRPr="005F4BE2">
              <w:rPr>
                <w:color w:val="000000"/>
                <w:szCs w:val="22"/>
                <w:lang w:val="fr-FR"/>
              </w:rPr>
              <w:t>Ombudsman</w:t>
            </w: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603A7469" w14:textId="62866A8A" w:rsidR="009071BD" w:rsidRPr="005F4BE2" w:rsidRDefault="009071BD" w:rsidP="00C618DD">
            <w:pPr>
              <w:jc w:val="right"/>
              <w:rPr>
                <w:color w:val="000000"/>
                <w:szCs w:val="22"/>
                <w:lang w:val="fr-FR"/>
              </w:rPr>
            </w:pPr>
            <w:r w:rsidRPr="005F4BE2">
              <w:rPr>
                <w:color w:val="000000"/>
                <w:szCs w:val="22"/>
                <w:lang w:val="fr-FR"/>
              </w:rPr>
              <w:t>194</w:t>
            </w:r>
            <w:r w:rsidR="00C11266" w:rsidRPr="005F4BE2">
              <w:rPr>
                <w:color w:val="000000"/>
                <w:szCs w:val="22"/>
                <w:lang w:val="fr-FR"/>
              </w:rPr>
              <w:t>,</w:t>
            </w:r>
            <w:r w:rsidRPr="005F4BE2">
              <w:rPr>
                <w:color w:val="000000"/>
                <w:szCs w:val="22"/>
                <w:lang w:val="fr-FR"/>
              </w:rPr>
              <w:t>2</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3D90D123" w14:textId="59B20BC5" w:rsidR="009071BD" w:rsidRPr="005F4BE2" w:rsidRDefault="009071BD" w:rsidP="00C618DD">
            <w:pPr>
              <w:jc w:val="right"/>
              <w:rPr>
                <w:color w:val="000000"/>
                <w:szCs w:val="22"/>
                <w:lang w:val="fr-FR"/>
              </w:rPr>
            </w:pPr>
            <w:r w:rsidRPr="005F4BE2">
              <w:rPr>
                <w:color w:val="000000"/>
                <w:szCs w:val="22"/>
                <w:lang w:val="fr-FR"/>
              </w:rPr>
              <w:t>85</w:t>
            </w:r>
            <w:r w:rsidR="00C11266" w:rsidRPr="005F4BE2">
              <w:rPr>
                <w:color w:val="000000"/>
                <w:szCs w:val="22"/>
                <w:lang w:val="fr-FR"/>
              </w:rPr>
              <w:t>,</w:t>
            </w:r>
            <w:r w:rsidRPr="005F4BE2">
              <w:rPr>
                <w:color w:val="000000"/>
                <w:szCs w:val="22"/>
                <w:lang w:val="fr-FR"/>
              </w:rPr>
              <w:t>5</w:t>
            </w:r>
          </w:p>
        </w:tc>
      </w:tr>
      <w:tr w:rsidR="009071BD" w:rsidRPr="005F4BE2" w14:paraId="4CA28210" w14:textId="77777777" w:rsidTr="003E034A">
        <w:trPr>
          <w:trHeight w:val="315"/>
        </w:trPr>
        <w:tc>
          <w:tcPr>
            <w:tcW w:w="1154" w:type="dxa"/>
            <w:gridSpan w:val="6"/>
            <w:tcBorders>
              <w:top w:val="single" w:sz="4" w:space="0" w:color="auto"/>
              <w:left w:val="single" w:sz="4" w:space="0" w:color="auto"/>
              <w:bottom w:val="single" w:sz="4" w:space="0" w:color="auto"/>
              <w:right w:val="single" w:sz="4" w:space="0" w:color="auto"/>
            </w:tcBorders>
            <w:noWrap/>
            <w:vAlign w:val="center"/>
            <w:hideMark/>
          </w:tcPr>
          <w:p w14:paraId="4FC76FF3" w14:textId="77777777" w:rsidR="009071BD" w:rsidRPr="005F4BE2" w:rsidRDefault="009071BD" w:rsidP="00C618DD">
            <w:pPr>
              <w:jc w:val="left"/>
              <w:rPr>
                <w:color w:val="000000"/>
                <w:szCs w:val="22"/>
                <w:lang w:val="fr-FR"/>
              </w:rPr>
            </w:pPr>
            <w:r w:rsidRPr="005F4BE2">
              <w:rPr>
                <w:color w:val="000000"/>
                <w:szCs w:val="22"/>
                <w:lang w:val="fr-FR"/>
              </w:rPr>
              <w:t>TOTAL</w:t>
            </w:r>
          </w:p>
        </w:tc>
        <w:tc>
          <w:tcPr>
            <w:tcW w:w="5505" w:type="dxa"/>
            <w:gridSpan w:val="2"/>
            <w:tcBorders>
              <w:top w:val="single" w:sz="4" w:space="0" w:color="auto"/>
              <w:left w:val="single" w:sz="4" w:space="0" w:color="auto"/>
              <w:bottom w:val="single" w:sz="4" w:space="0" w:color="auto"/>
              <w:right w:val="single" w:sz="4" w:space="0" w:color="auto"/>
            </w:tcBorders>
            <w:noWrap/>
            <w:vAlign w:val="center"/>
            <w:hideMark/>
          </w:tcPr>
          <w:p w14:paraId="311E8C54" w14:textId="77777777" w:rsidR="009071BD" w:rsidRPr="005F4BE2" w:rsidRDefault="009071BD" w:rsidP="00C618DD">
            <w:pPr>
              <w:jc w:val="left"/>
              <w:rPr>
                <w:color w:val="000000"/>
                <w:szCs w:val="22"/>
                <w:lang w:val="fr-FR"/>
              </w:rPr>
            </w:pPr>
          </w:p>
        </w:tc>
        <w:tc>
          <w:tcPr>
            <w:tcW w:w="1174" w:type="dxa"/>
            <w:gridSpan w:val="6"/>
            <w:tcBorders>
              <w:top w:val="single" w:sz="4" w:space="0" w:color="auto"/>
              <w:left w:val="single" w:sz="4" w:space="0" w:color="auto"/>
              <w:bottom w:val="single" w:sz="4" w:space="0" w:color="auto"/>
              <w:right w:val="single" w:sz="4" w:space="0" w:color="auto"/>
            </w:tcBorders>
            <w:noWrap/>
            <w:vAlign w:val="center"/>
          </w:tcPr>
          <w:p w14:paraId="7BFA3E31" w14:textId="1E7A6407" w:rsidR="009071BD" w:rsidRPr="005F4BE2" w:rsidRDefault="009071BD" w:rsidP="00C618DD">
            <w:pPr>
              <w:jc w:val="right"/>
              <w:rPr>
                <w:color w:val="000000"/>
                <w:szCs w:val="22"/>
                <w:lang w:val="fr-FR"/>
              </w:rPr>
            </w:pPr>
            <w:r w:rsidRPr="005F4BE2">
              <w:rPr>
                <w:color w:val="000000"/>
                <w:szCs w:val="22"/>
                <w:lang w:val="fr-FR"/>
              </w:rPr>
              <w:t>79 000</w:t>
            </w:r>
            <w:r w:rsidR="00C11266" w:rsidRPr="005F4BE2">
              <w:rPr>
                <w:color w:val="000000"/>
                <w:szCs w:val="22"/>
                <w:lang w:val="fr-FR"/>
              </w:rPr>
              <w:t>,</w:t>
            </w:r>
            <w:r w:rsidRPr="005F4BE2">
              <w:rPr>
                <w:color w:val="000000"/>
                <w:szCs w:val="22"/>
                <w:lang w:val="fr-FR"/>
              </w:rPr>
              <w:t xml:space="preserve"> 0</w:t>
            </w:r>
          </w:p>
        </w:tc>
        <w:tc>
          <w:tcPr>
            <w:tcW w:w="1041" w:type="dxa"/>
            <w:gridSpan w:val="3"/>
            <w:tcBorders>
              <w:top w:val="single" w:sz="4" w:space="0" w:color="auto"/>
              <w:left w:val="single" w:sz="4" w:space="0" w:color="auto"/>
              <w:bottom w:val="single" w:sz="4" w:space="0" w:color="auto"/>
              <w:right w:val="single" w:sz="4" w:space="0" w:color="auto"/>
            </w:tcBorders>
            <w:noWrap/>
            <w:vAlign w:val="center"/>
          </w:tcPr>
          <w:p w14:paraId="4A30C92C" w14:textId="585C23C1" w:rsidR="009071BD" w:rsidRPr="005F4BE2" w:rsidRDefault="009071BD" w:rsidP="00C618DD">
            <w:pPr>
              <w:jc w:val="right"/>
              <w:rPr>
                <w:color w:val="000000"/>
                <w:szCs w:val="22"/>
                <w:lang w:val="fr-FR"/>
              </w:rPr>
            </w:pPr>
            <w:r w:rsidRPr="005F4BE2">
              <w:rPr>
                <w:color w:val="000000"/>
                <w:szCs w:val="22"/>
                <w:lang w:val="fr-FR"/>
              </w:rPr>
              <w:t>7 219</w:t>
            </w:r>
            <w:r w:rsidR="00C11266" w:rsidRPr="005F4BE2">
              <w:rPr>
                <w:color w:val="000000"/>
                <w:szCs w:val="22"/>
                <w:lang w:val="fr-FR"/>
              </w:rPr>
              <w:t>,</w:t>
            </w:r>
            <w:r w:rsidRPr="005F4BE2">
              <w:rPr>
                <w:color w:val="000000"/>
                <w:szCs w:val="22"/>
                <w:lang w:val="fr-FR"/>
              </w:rPr>
              <w:t xml:space="preserve"> 3</w:t>
            </w:r>
          </w:p>
        </w:tc>
      </w:tr>
    </w:tbl>
    <w:p w14:paraId="11647AEE" w14:textId="77777777" w:rsidR="009071BD" w:rsidRPr="005F4BE2" w:rsidRDefault="009071BD" w:rsidP="00C618DD">
      <w:pPr>
        <w:suppressAutoHyphens/>
        <w:rPr>
          <w:color w:val="000000"/>
          <w:szCs w:val="22"/>
          <w:lang w:val="fr-FR"/>
        </w:rPr>
      </w:pPr>
    </w:p>
    <w:p w14:paraId="56CCAB24" w14:textId="77777777" w:rsidR="009071BD" w:rsidRPr="0026653F" w:rsidRDefault="009071BD" w:rsidP="00C618DD">
      <w:pPr>
        <w:suppressAutoHyphens/>
        <w:rPr>
          <w:b/>
          <w:bCs/>
          <w:i/>
          <w:iCs/>
          <w:color w:val="000000"/>
          <w:szCs w:val="22"/>
          <w:lang w:val="fr-FR"/>
        </w:rPr>
      </w:pPr>
      <w:r w:rsidRPr="0026653F">
        <w:rPr>
          <w:color w:val="000000"/>
          <w:szCs w:val="22"/>
          <w:lang w:val="fr-FR"/>
        </w:rPr>
        <w:tab/>
        <w:t>3.</w:t>
      </w:r>
      <w:r w:rsidRPr="0026653F">
        <w:rPr>
          <w:color w:val="000000"/>
          <w:szCs w:val="22"/>
          <w:lang w:val="fr-FR"/>
        </w:rPr>
        <w:tab/>
        <w:t>De charger le Secrétariat général de soumettre au Conseil permanent un projet de répartition de ressources par sous-programme en fonction des totaux approuvés par chapitre au moyen de la présente résolution et au plus tard le 13 novembre 2020.</w:t>
      </w:r>
    </w:p>
    <w:p w14:paraId="04CE6424" w14:textId="77777777" w:rsidR="009071BD" w:rsidRPr="0026653F" w:rsidRDefault="009071BD" w:rsidP="00C618DD">
      <w:pPr>
        <w:suppressAutoHyphens/>
        <w:rPr>
          <w:color w:val="000000"/>
          <w:szCs w:val="22"/>
          <w:highlight w:val="yellow"/>
          <w:lang w:val="fr-FR" w:eastAsia="es-ES"/>
        </w:rPr>
      </w:pPr>
    </w:p>
    <w:p w14:paraId="7CE4674E" w14:textId="77777777" w:rsidR="009071BD" w:rsidRPr="0026653F" w:rsidRDefault="009071BD" w:rsidP="00C618DD">
      <w:pPr>
        <w:suppressAutoHyphens/>
        <w:rPr>
          <w:color w:val="000000"/>
          <w:szCs w:val="22"/>
          <w:lang w:val="fr-FR"/>
        </w:rPr>
      </w:pPr>
      <w:r w:rsidRPr="0026653F">
        <w:rPr>
          <w:color w:val="000000"/>
          <w:szCs w:val="22"/>
          <w:lang w:val="fr-FR"/>
        </w:rPr>
        <w:tab/>
        <w:t>4.</w:t>
      </w:r>
      <w:r w:rsidRPr="0026653F">
        <w:rPr>
          <w:color w:val="000000"/>
          <w:szCs w:val="22"/>
          <w:lang w:val="fr-FR"/>
        </w:rPr>
        <w:tab/>
        <w:t>Cette répartition par sous-programme sera examinée par la CAAP et acheminée au Conseil permanent aux fins d'approbation au plus tard le 18 novembre 2020. La répartition dans les sous-programmes doit être équilibrée et tenir compte des domaines prioritaires spécifiques des États membres comme suit :</w:t>
      </w:r>
    </w:p>
    <w:p w14:paraId="615C1E4F" w14:textId="77777777" w:rsidR="009071BD" w:rsidRPr="0026653F" w:rsidRDefault="009071BD" w:rsidP="00C618DD">
      <w:pPr>
        <w:suppressAutoHyphens/>
        <w:rPr>
          <w:color w:val="000000"/>
          <w:szCs w:val="22"/>
          <w:lang w:val="fr-FR"/>
        </w:rPr>
      </w:pPr>
    </w:p>
    <w:p w14:paraId="2603AA06"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24F</w:t>
      </w:r>
      <w:r w:rsidRPr="0026653F">
        <w:rPr>
          <w:szCs w:val="22"/>
          <w:lang w:val="fr-FR"/>
        </w:rPr>
        <w:tab/>
        <w:t>Séances du Conseil permanent (chapitre 2)</w:t>
      </w:r>
    </w:p>
    <w:p w14:paraId="759E5C2D"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44B</w:t>
      </w:r>
      <w:r w:rsidRPr="0026653F">
        <w:rPr>
          <w:szCs w:val="22"/>
          <w:lang w:val="fr-FR"/>
        </w:rPr>
        <w:tab/>
        <w:t>Département de la planification et de l’évaluation (chapitre 4)</w:t>
      </w:r>
    </w:p>
    <w:p w14:paraId="57432CCC"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44E</w:t>
      </w:r>
      <w:r w:rsidRPr="0026653F">
        <w:rPr>
          <w:szCs w:val="22"/>
          <w:lang w:val="fr-FR"/>
        </w:rPr>
        <w:tab/>
        <w:t>Département des relations extérieures et institutionnelles (chapitre 4)</w:t>
      </w:r>
    </w:p>
    <w:p w14:paraId="471A7117"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54B</w:t>
      </w:r>
      <w:r w:rsidRPr="0026653F">
        <w:rPr>
          <w:szCs w:val="22"/>
          <w:lang w:val="fr-FR"/>
        </w:rPr>
        <w:tab/>
        <w:t>Département de l'inclusion sociale (chapitre 5)</w:t>
      </w:r>
    </w:p>
    <w:p w14:paraId="5C71572C" w14:textId="77777777" w:rsidR="009071BD" w:rsidRPr="0026653F" w:rsidRDefault="009071BD" w:rsidP="005F4BE2">
      <w:pPr>
        <w:tabs>
          <w:tab w:val="left" w:pos="2160"/>
        </w:tabs>
        <w:ind w:left="2880" w:hanging="1440"/>
        <w:rPr>
          <w:szCs w:val="22"/>
          <w:lang w:val="fr-FR"/>
        </w:rPr>
      </w:pPr>
      <w:r w:rsidRPr="0026653F">
        <w:rPr>
          <w:szCs w:val="22"/>
          <w:lang w:val="fr-FR"/>
        </w:rPr>
        <w:t>-</w:t>
      </w:r>
      <w:r w:rsidR="00D71196" w:rsidRPr="0026653F">
        <w:rPr>
          <w:szCs w:val="22"/>
          <w:lang w:val="fr-FR"/>
        </w:rPr>
        <w:tab/>
      </w:r>
      <w:r w:rsidRPr="0026653F">
        <w:rPr>
          <w:szCs w:val="22"/>
          <w:lang w:val="fr-FR"/>
        </w:rPr>
        <w:t>64C</w:t>
      </w:r>
      <w:r w:rsidRPr="0026653F">
        <w:rPr>
          <w:szCs w:val="22"/>
          <w:lang w:val="fr-FR"/>
        </w:rPr>
        <w:tab/>
        <w:t>Département de la coopération électorale et de l’observation des élections (chapitre 6)</w:t>
      </w:r>
    </w:p>
    <w:p w14:paraId="032A0855" w14:textId="77777777" w:rsidR="009071BD" w:rsidRPr="0026653F" w:rsidRDefault="009071BD" w:rsidP="005F4BE2">
      <w:pPr>
        <w:tabs>
          <w:tab w:val="left" w:pos="2160"/>
        </w:tabs>
        <w:ind w:left="2880" w:hanging="1440"/>
        <w:rPr>
          <w:szCs w:val="22"/>
          <w:lang w:val="fr-FR"/>
        </w:rPr>
      </w:pPr>
      <w:r w:rsidRPr="0026653F">
        <w:rPr>
          <w:szCs w:val="22"/>
          <w:lang w:val="fr-FR"/>
        </w:rPr>
        <w:lastRenderedPageBreak/>
        <w:t>-</w:t>
      </w:r>
      <w:r w:rsidRPr="0026653F">
        <w:rPr>
          <w:szCs w:val="22"/>
          <w:lang w:val="fr-FR"/>
        </w:rPr>
        <w:tab/>
        <w:t>84G</w:t>
      </w:r>
      <w:r w:rsidRPr="0026653F">
        <w:rPr>
          <w:szCs w:val="22"/>
          <w:lang w:val="fr-FR"/>
        </w:rPr>
        <w:tab/>
        <w:t>Secrétariat exécutif de la Commission interaméricaine de lutte contre l’abus des drogues (CICAD) (chapitre 8)</w:t>
      </w:r>
    </w:p>
    <w:p w14:paraId="7E8E5415"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94E</w:t>
      </w:r>
      <w:r w:rsidRPr="0026653F">
        <w:rPr>
          <w:szCs w:val="22"/>
          <w:lang w:val="fr-FR"/>
        </w:rPr>
        <w:tab/>
        <w:t>Secrétariat aux Sommets (chapitre 9)</w:t>
      </w:r>
    </w:p>
    <w:p w14:paraId="353C941B" w14:textId="77777777" w:rsidR="009071BD" w:rsidRPr="0026653F" w:rsidRDefault="009071BD" w:rsidP="00C618DD">
      <w:pPr>
        <w:ind w:left="1440"/>
        <w:jc w:val="left"/>
        <w:rPr>
          <w:szCs w:val="22"/>
          <w:lang w:val="fr-FR"/>
        </w:rPr>
      </w:pPr>
      <w:r w:rsidRPr="0026653F">
        <w:rPr>
          <w:szCs w:val="22"/>
          <w:lang w:val="fr-FR"/>
        </w:rPr>
        <w:t>-</w:t>
      </w:r>
      <w:r w:rsidRPr="0026653F">
        <w:rPr>
          <w:szCs w:val="22"/>
          <w:lang w:val="fr-FR"/>
        </w:rPr>
        <w:tab/>
        <w:t>104F</w:t>
      </w:r>
      <w:r w:rsidRPr="0026653F">
        <w:rPr>
          <w:szCs w:val="22"/>
          <w:lang w:val="fr-FR"/>
        </w:rPr>
        <w:tab/>
        <w:t>Département de la coopération juridique (MESICIC) (chapitre 10)</w:t>
      </w:r>
    </w:p>
    <w:p w14:paraId="700A9E8E" w14:textId="77777777" w:rsidR="009071BD" w:rsidRPr="0026653F" w:rsidRDefault="009071BD" w:rsidP="00C618DD">
      <w:pPr>
        <w:suppressAutoHyphens/>
        <w:rPr>
          <w:color w:val="000000"/>
          <w:szCs w:val="22"/>
          <w:lang w:val="fr-FR" w:eastAsia="es-ES"/>
        </w:rPr>
      </w:pPr>
    </w:p>
    <w:p w14:paraId="6271AA1D" w14:textId="61D47A54" w:rsidR="009071BD" w:rsidRPr="0026653F" w:rsidRDefault="009071BD" w:rsidP="00C618DD">
      <w:pPr>
        <w:suppressAutoHyphens/>
        <w:ind w:firstLine="720"/>
        <w:rPr>
          <w:color w:val="000000"/>
          <w:szCs w:val="22"/>
          <w:u w:val="single"/>
          <w:lang w:val="fr-FR"/>
        </w:rPr>
      </w:pPr>
      <w:r w:rsidRPr="0026653F">
        <w:rPr>
          <w:color w:val="000000"/>
          <w:szCs w:val="22"/>
          <w:lang w:val="fr-FR"/>
        </w:rPr>
        <w:t>5.</w:t>
      </w:r>
      <w:r w:rsidRPr="0026653F">
        <w:rPr>
          <w:color w:val="000000"/>
          <w:szCs w:val="22"/>
          <w:lang w:val="fr-FR"/>
        </w:rPr>
        <w:tab/>
        <w:t>De charger le Secrétariat général de faire en sorte que les ressources de l'Organisation soient employées à l'accomplissement des mandats issus des organes politiques conformément à l'article 107 de la Charte de l'O</w:t>
      </w:r>
      <w:r w:rsidR="001E0559" w:rsidRPr="0026653F">
        <w:rPr>
          <w:color w:val="000000"/>
          <w:szCs w:val="22"/>
          <w:lang w:val="fr-FR"/>
        </w:rPr>
        <w:t>EA</w:t>
      </w:r>
      <w:r w:rsidRPr="0026653F">
        <w:rPr>
          <w:color w:val="000000"/>
          <w:szCs w:val="22"/>
          <w:lang w:val="fr-FR"/>
        </w:rPr>
        <w:t>.</w:t>
      </w:r>
    </w:p>
    <w:p w14:paraId="3D98168B" w14:textId="77777777" w:rsidR="009071BD" w:rsidRPr="0026653F" w:rsidRDefault="009071BD" w:rsidP="00C618DD">
      <w:pPr>
        <w:suppressAutoHyphens/>
        <w:rPr>
          <w:color w:val="000000"/>
          <w:szCs w:val="22"/>
          <w:lang w:val="fr-FR"/>
        </w:rPr>
      </w:pPr>
    </w:p>
    <w:p w14:paraId="0EA59D94" w14:textId="77777777" w:rsidR="009071BD" w:rsidRPr="0026653F" w:rsidRDefault="009071BD" w:rsidP="00C618DD">
      <w:pPr>
        <w:suppressAutoHyphens/>
        <w:rPr>
          <w:color w:val="000000"/>
          <w:szCs w:val="22"/>
          <w:lang w:val="fr-FR"/>
        </w:rPr>
      </w:pPr>
      <w:r w:rsidRPr="0026653F">
        <w:rPr>
          <w:color w:val="000000"/>
          <w:szCs w:val="22"/>
          <w:lang w:val="fr-FR"/>
        </w:rPr>
        <w:tab/>
        <w:t>6.</w:t>
      </w:r>
      <w:r w:rsidRPr="0026653F">
        <w:rPr>
          <w:color w:val="000000"/>
          <w:szCs w:val="22"/>
          <w:lang w:val="fr-FR"/>
        </w:rPr>
        <w:tab/>
        <w:t>De rappeler l’article 36 du Règlement du Conseil permanent, aux termes duquel les séances ordinaires doivent se tenir le premier et le troisième mercredi de chaque mois, et d’exhorter la présidence du Conseil permanent à rationnaliser la programmation de séances et l’élaboration de l’ordre du jour s’y rapportant compte tenu de l’impératif de se conformer strictement aux crédits budgétaires</w:t>
      </w:r>
      <w:r w:rsidR="001E0559" w:rsidRPr="0026653F">
        <w:rPr>
          <w:color w:val="000000"/>
          <w:szCs w:val="22"/>
          <w:lang w:val="fr-FR"/>
        </w:rPr>
        <w:t xml:space="preserve"> alloués à cet effet</w:t>
      </w:r>
      <w:r w:rsidRPr="0026653F">
        <w:rPr>
          <w:color w:val="000000"/>
          <w:szCs w:val="22"/>
          <w:lang w:val="fr-FR"/>
        </w:rPr>
        <w:t>.</w:t>
      </w:r>
    </w:p>
    <w:p w14:paraId="029AEA65" w14:textId="77777777" w:rsidR="009071BD" w:rsidRPr="0026653F" w:rsidRDefault="009071BD" w:rsidP="00C618DD">
      <w:pPr>
        <w:suppressAutoHyphens/>
        <w:rPr>
          <w:color w:val="000000"/>
          <w:szCs w:val="22"/>
          <w:lang w:val="fr-FR"/>
        </w:rPr>
      </w:pPr>
    </w:p>
    <w:p w14:paraId="0C1EDDF1" w14:textId="77777777" w:rsidR="009071BD" w:rsidRPr="0026653F" w:rsidRDefault="009071BD" w:rsidP="00C618DD">
      <w:pPr>
        <w:suppressAutoHyphens/>
        <w:ind w:firstLine="708"/>
        <w:rPr>
          <w:color w:val="000000"/>
          <w:szCs w:val="22"/>
          <w:lang w:val="fr-FR"/>
        </w:rPr>
      </w:pPr>
      <w:r w:rsidRPr="0026653F">
        <w:rPr>
          <w:color w:val="000000"/>
          <w:szCs w:val="22"/>
          <w:lang w:val="fr-FR"/>
        </w:rPr>
        <w:t>7.</w:t>
      </w:r>
      <w:r w:rsidRPr="0026653F">
        <w:rPr>
          <w:color w:val="000000"/>
          <w:szCs w:val="22"/>
          <w:lang w:val="fr-FR"/>
        </w:rPr>
        <w:tab/>
        <w:t xml:space="preserve">D’autoriser le Secrétariat général à utiliser jusqu’à 174 475 USD outre les allocations budgétaires réservées à cet effet dans le programme-budget </w:t>
      </w:r>
      <w:r w:rsidRPr="0026653F">
        <w:rPr>
          <w:bCs/>
          <w:color w:val="000000"/>
          <w:szCs w:val="22"/>
          <w:lang w:val="fr-FR"/>
        </w:rPr>
        <w:t>2021</w:t>
      </w:r>
      <w:r w:rsidRPr="0026653F">
        <w:rPr>
          <w:color w:val="000000"/>
          <w:szCs w:val="22"/>
          <w:lang w:val="fr-FR"/>
        </w:rPr>
        <w:t xml:space="preserve">, sur les économies réalisées durant l’exécution du budget </w:t>
      </w:r>
      <w:r w:rsidRPr="0026653F">
        <w:rPr>
          <w:bCs/>
          <w:color w:val="000000"/>
          <w:szCs w:val="22"/>
          <w:lang w:val="fr-FR"/>
        </w:rPr>
        <w:t>2021</w:t>
      </w:r>
      <w:r w:rsidRPr="0026653F">
        <w:rPr>
          <w:color w:val="000000"/>
          <w:szCs w:val="22"/>
          <w:lang w:val="fr-FR"/>
        </w:rPr>
        <w:t>, au cas où la cinquante-et-unième session ordinaire de l’Assemblée générale se déroulerait au siège comme énoncé dans l’article 57 de la Charte de l’OEA.</w:t>
      </w:r>
    </w:p>
    <w:p w14:paraId="17351157" w14:textId="77777777" w:rsidR="009071BD" w:rsidRPr="0026653F" w:rsidRDefault="009071BD" w:rsidP="00C618DD">
      <w:pPr>
        <w:suppressAutoHyphens/>
        <w:rPr>
          <w:color w:val="000000"/>
          <w:szCs w:val="22"/>
          <w:highlight w:val="yellow"/>
          <w:lang w:val="fr-FR" w:eastAsia="es-ES"/>
        </w:rPr>
      </w:pPr>
    </w:p>
    <w:p w14:paraId="69E6F635" w14:textId="77777777" w:rsidR="009071BD" w:rsidRPr="0026653F" w:rsidRDefault="009071BD" w:rsidP="00C618DD">
      <w:pPr>
        <w:suppressAutoHyphens/>
        <w:rPr>
          <w:color w:val="000000"/>
          <w:szCs w:val="22"/>
          <w:lang w:val="fr-FR"/>
        </w:rPr>
      </w:pPr>
      <w:r w:rsidRPr="0026653F">
        <w:rPr>
          <w:color w:val="000000"/>
          <w:szCs w:val="22"/>
          <w:lang w:val="fr-FR"/>
        </w:rPr>
        <w:tab/>
        <w:t>8.</w:t>
      </w:r>
      <w:r w:rsidRPr="0026653F">
        <w:rPr>
          <w:color w:val="000000"/>
          <w:szCs w:val="22"/>
          <w:lang w:val="fr-FR"/>
        </w:rPr>
        <w:tab/>
        <w:t>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cinquante-et-unième session ordinaire de l’Assemblée générale, si celle-ci a lieu au siège.</w:t>
      </w:r>
    </w:p>
    <w:p w14:paraId="5C804860" w14:textId="77777777" w:rsidR="009071BD" w:rsidRPr="0026653F" w:rsidRDefault="009071BD" w:rsidP="00C618DD">
      <w:pPr>
        <w:suppressAutoHyphens/>
        <w:rPr>
          <w:color w:val="000000"/>
          <w:szCs w:val="22"/>
          <w:lang w:val="fr-FR"/>
        </w:rPr>
      </w:pPr>
    </w:p>
    <w:p w14:paraId="4065696F" w14:textId="77777777" w:rsidR="009071BD" w:rsidRPr="0026653F" w:rsidRDefault="009071BD" w:rsidP="00C618DD">
      <w:pPr>
        <w:suppressAutoHyphens/>
        <w:rPr>
          <w:color w:val="000000"/>
          <w:szCs w:val="22"/>
          <w:lang w:val="fr-FR"/>
        </w:rPr>
      </w:pPr>
      <w:r w:rsidRPr="0026653F">
        <w:rPr>
          <w:color w:val="000000"/>
          <w:szCs w:val="22"/>
          <w:lang w:val="fr-FR"/>
        </w:rPr>
        <w:tab/>
        <w:t>9.</w:t>
      </w:r>
      <w:r w:rsidRPr="0026653F">
        <w:rPr>
          <w:color w:val="000000"/>
          <w:szCs w:val="22"/>
          <w:lang w:val="fr-FR"/>
        </w:rPr>
        <w:tab/>
        <w:t>D’autoriser le Secrétariat général à utiliser jusqu’à 30 000 USD à partir des économies réalisées durant l’exécution du budget de 2021 au cas où la Réunion de consultation des ministres des relations extérieures se déroulerait au siège en 2021.</w:t>
      </w:r>
    </w:p>
    <w:p w14:paraId="0D8AAA02" w14:textId="77777777" w:rsidR="009071BD" w:rsidRPr="0026653F" w:rsidRDefault="009071BD" w:rsidP="00C618DD">
      <w:pPr>
        <w:suppressAutoHyphens/>
        <w:rPr>
          <w:color w:val="000000"/>
          <w:szCs w:val="22"/>
          <w:lang w:val="fr-FR" w:eastAsia="es-ES"/>
        </w:rPr>
      </w:pPr>
    </w:p>
    <w:p w14:paraId="1BA8CAAC" w14:textId="70565247" w:rsidR="009071BD" w:rsidRPr="0026653F" w:rsidRDefault="009071BD" w:rsidP="00C618DD">
      <w:pPr>
        <w:suppressAutoHyphens/>
        <w:ind w:firstLine="708"/>
        <w:rPr>
          <w:color w:val="000000"/>
          <w:szCs w:val="22"/>
          <w:lang w:val="fr-FR"/>
        </w:rPr>
      </w:pPr>
      <w:r w:rsidRPr="0026653F">
        <w:rPr>
          <w:color w:val="000000"/>
          <w:szCs w:val="22"/>
          <w:lang w:val="fr-FR"/>
        </w:rPr>
        <w:t>10.</w:t>
      </w:r>
      <w:r w:rsidRPr="0026653F">
        <w:rPr>
          <w:color w:val="000000"/>
          <w:szCs w:val="22"/>
          <w:lang w:val="fr-FR"/>
        </w:rPr>
        <w:tab/>
        <w:t>Qu’une estimation détaillée des dépenses envisagées jusqu’à 30 000 USD devra être présentée au Conseil permanent, par l’intermédiaire de la CAAP, au préalable si l’utilisation de ces ressources s’avère nécessaire. Le Secrétariat général devra en outre rendre compte de l’utilisation de ces ressources dans un délai de 45 jours suivant la clôture de la Réunion de consultation des ministres des relations extérieure</w:t>
      </w:r>
      <w:r w:rsidR="001E0559" w:rsidRPr="0026653F">
        <w:rPr>
          <w:color w:val="000000"/>
          <w:szCs w:val="22"/>
          <w:lang w:val="fr-FR"/>
        </w:rPr>
        <w:t>s</w:t>
      </w:r>
      <w:r w:rsidRPr="0026653F">
        <w:rPr>
          <w:color w:val="000000"/>
          <w:szCs w:val="22"/>
          <w:lang w:val="fr-FR"/>
        </w:rPr>
        <w:t xml:space="preserve"> susmentionnée.</w:t>
      </w:r>
    </w:p>
    <w:p w14:paraId="3573E7F3" w14:textId="77777777" w:rsidR="009071BD" w:rsidRPr="0026653F" w:rsidRDefault="009071BD" w:rsidP="00C618DD">
      <w:pPr>
        <w:suppressAutoHyphens/>
        <w:rPr>
          <w:color w:val="000000"/>
          <w:szCs w:val="22"/>
          <w:lang w:val="fr-FR"/>
        </w:rPr>
      </w:pPr>
    </w:p>
    <w:p w14:paraId="3A962959" w14:textId="690D8D21" w:rsidR="009071BD" w:rsidRPr="0026653F" w:rsidRDefault="009071BD" w:rsidP="00C618DD">
      <w:pPr>
        <w:suppressAutoHyphens/>
        <w:rPr>
          <w:color w:val="000000"/>
          <w:szCs w:val="22"/>
          <w:lang w:val="fr-FR"/>
        </w:rPr>
      </w:pPr>
      <w:r w:rsidRPr="0026653F">
        <w:rPr>
          <w:color w:val="000000"/>
          <w:szCs w:val="22"/>
          <w:lang w:val="fr-FR"/>
        </w:rPr>
        <w:tab/>
        <w:t>11.</w:t>
      </w:r>
      <w:r w:rsidRPr="0026653F">
        <w:rPr>
          <w:color w:val="000000"/>
          <w:szCs w:val="22"/>
          <w:lang w:val="fr-FR"/>
        </w:rPr>
        <w:tab/>
        <w:t xml:space="preserve">De charger le Secrétariat général d'identifier des économies de 20 000 USD au cours du premier semestre </w:t>
      </w:r>
      <w:r w:rsidR="00BE3299" w:rsidRPr="0026653F">
        <w:rPr>
          <w:color w:val="000000"/>
          <w:szCs w:val="22"/>
          <w:lang w:val="fr-FR"/>
        </w:rPr>
        <w:t xml:space="preserve">de </w:t>
      </w:r>
      <w:r w:rsidRPr="0026653F">
        <w:rPr>
          <w:color w:val="000000"/>
          <w:szCs w:val="22"/>
          <w:lang w:val="fr-FR"/>
        </w:rPr>
        <w:t>2021 afin de réorienter ce montant vers le financement des activités du Groupe de travail chargé d'examiner les rapports nationaux évoqués dans le Protocole de San Salvador, créé au moyen de la résolution AG/RES. 2908 (XLVII-O/17), au titre du sous-programme 54B du chapitre 5. Cette instruction s'applique exclusivement à l'exercice budgétaire 2021.</w:t>
      </w:r>
      <w:r w:rsidR="0023148D" w:rsidRPr="0026653F">
        <w:rPr>
          <w:color w:val="000000"/>
          <w:szCs w:val="22"/>
          <w:lang w:val="fr-FR"/>
        </w:rPr>
        <w:t xml:space="preserve"> </w:t>
      </w:r>
    </w:p>
    <w:p w14:paraId="2DBD0D88" w14:textId="77777777" w:rsidR="009071BD" w:rsidRPr="0026653F" w:rsidRDefault="009071BD" w:rsidP="00C618DD">
      <w:pPr>
        <w:suppressAutoHyphens/>
        <w:rPr>
          <w:color w:val="000000"/>
          <w:szCs w:val="22"/>
          <w:lang w:val="fr-FR" w:eastAsia="es-ES"/>
        </w:rPr>
      </w:pPr>
    </w:p>
    <w:p w14:paraId="48BCD7D9" w14:textId="77777777" w:rsidR="009071BD" w:rsidRPr="0026653F" w:rsidRDefault="009071BD" w:rsidP="004E44A6">
      <w:pPr>
        <w:keepNext/>
        <w:rPr>
          <w:color w:val="000000"/>
          <w:szCs w:val="22"/>
          <w:lang w:val="fr-FR"/>
        </w:rPr>
      </w:pPr>
      <w:r w:rsidRPr="0026653F">
        <w:rPr>
          <w:color w:val="000000"/>
          <w:szCs w:val="22"/>
          <w:lang w:val="fr-FR"/>
        </w:rPr>
        <w:t>III.</w:t>
      </w:r>
      <w:r w:rsidRPr="0026653F">
        <w:rPr>
          <w:color w:val="000000"/>
          <w:szCs w:val="22"/>
          <w:lang w:val="fr-FR"/>
        </w:rPr>
        <w:tab/>
      </w:r>
      <w:r w:rsidRPr="0026653F">
        <w:rPr>
          <w:color w:val="000000"/>
          <w:szCs w:val="22"/>
          <w:u w:val="single"/>
          <w:lang w:val="fr-FR"/>
        </w:rPr>
        <w:t>RESPONSABILITÉ DEVANT LES ÉTATS MEMBRES</w:t>
      </w:r>
    </w:p>
    <w:p w14:paraId="0FB17794" w14:textId="77777777" w:rsidR="009071BD" w:rsidRPr="0026653F" w:rsidRDefault="009071BD" w:rsidP="00C618DD">
      <w:pPr>
        <w:keepNext/>
        <w:rPr>
          <w:color w:val="000000"/>
          <w:szCs w:val="22"/>
          <w:lang w:val="fr-FR" w:eastAsia="es-ES"/>
        </w:rPr>
      </w:pPr>
    </w:p>
    <w:p w14:paraId="264510C7" w14:textId="76B68D0A" w:rsidR="009071BD" w:rsidRPr="0026653F" w:rsidRDefault="009071BD" w:rsidP="00C618DD">
      <w:pPr>
        <w:suppressAutoHyphens/>
        <w:ind w:firstLine="720"/>
        <w:rPr>
          <w:b/>
          <w:bCs/>
          <w:i/>
          <w:iCs/>
          <w:szCs w:val="22"/>
          <w:lang w:val="fr-FR"/>
        </w:rPr>
      </w:pPr>
      <w:r w:rsidRPr="0026653F">
        <w:rPr>
          <w:color w:val="000000"/>
          <w:szCs w:val="22"/>
          <w:lang w:val="fr-FR"/>
        </w:rPr>
        <w:t>1.</w:t>
      </w:r>
      <w:r w:rsidRPr="0026653F">
        <w:rPr>
          <w:color w:val="000000"/>
          <w:szCs w:val="22"/>
          <w:lang w:val="fr-FR"/>
        </w:rPr>
        <w:tab/>
      </w:r>
      <w:r w:rsidRPr="0026653F">
        <w:rPr>
          <w:szCs w:val="22"/>
          <w:lang w:val="fr-FR"/>
        </w:rPr>
        <w:t xml:space="preserve">De charger le Secrétariat général de présenter à la CAAP, au plus tard 30 jours après l’approbation du programme-budget de l’Organisation, un calendrier contenant les dates précises auxquelles il lui incombe de présenter les rapports, stratégies et plans cités dans la présente résolution, </w:t>
      </w:r>
      <w:r w:rsidRPr="0026653F">
        <w:rPr>
          <w:szCs w:val="22"/>
          <w:lang w:val="fr-FR"/>
        </w:rPr>
        <w:lastRenderedPageBreak/>
        <w:t xml:space="preserve">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w:t>
      </w:r>
      <w:r w:rsidR="001E0559" w:rsidRPr="0026653F">
        <w:rPr>
          <w:szCs w:val="22"/>
          <w:lang w:val="fr-FR"/>
        </w:rPr>
        <w:t>RCI</w:t>
      </w:r>
      <w:r w:rsidRPr="0026653F">
        <w:rPr>
          <w:szCs w:val="22"/>
          <w:lang w:val="fr-FR"/>
        </w:rPr>
        <w:t>.</w:t>
      </w:r>
    </w:p>
    <w:p w14:paraId="42A17BFB" w14:textId="77777777" w:rsidR="00E724A1" w:rsidRPr="0026653F" w:rsidRDefault="00E724A1" w:rsidP="00C618DD">
      <w:pPr>
        <w:jc w:val="left"/>
        <w:rPr>
          <w:color w:val="000000"/>
          <w:szCs w:val="22"/>
          <w:lang w:val="fr-FR"/>
        </w:rPr>
      </w:pPr>
    </w:p>
    <w:p w14:paraId="481E3648" w14:textId="77777777" w:rsidR="009071BD" w:rsidRPr="0026653F" w:rsidRDefault="009071BD" w:rsidP="004E44A6">
      <w:pPr>
        <w:jc w:val="left"/>
        <w:rPr>
          <w:color w:val="000000"/>
          <w:szCs w:val="22"/>
          <w:lang w:val="fr-FR"/>
        </w:rPr>
      </w:pPr>
      <w:r w:rsidRPr="0026653F">
        <w:rPr>
          <w:color w:val="000000"/>
          <w:szCs w:val="22"/>
          <w:lang w:val="fr-FR"/>
        </w:rPr>
        <w:t>IV.</w:t>
      </w:r>
      <w:r w:rsidRPr="0026653F">
        <w:rPr>
          <w:color w:val="000000"/>
          <w:szCs w:val="22"/>
          <w:lang w:val="fr-FR"/>
        </w:rPr>
        <w:tab/>
      </w:r>
      <w:r w:rsidRPr="0026653F">
        <w:rPr>
          <w:color w:val="000000"/>
          <w:szCs w:val="22"/>
          <w:u w:val="single"/>
          <w:lang w:val="fr-FR"/>
        </w:rPr>
        <w:t>DISPOSITIONS DE NATURE ADMINISTRATIVE ET BUDGÉTAIRE</w:t>
      </w:r>
    </w:p>
    <w:p w14:paraId="4A1549CA" w14:textId="77777777" w:rsidR="009071BD" w:rsidRPr="0026653F" w:rsidRDefault="009071BD" w:rsidP="00C618DD">
      <w:pPr>
        <w:rPr>
          <w:color w:val="000000"/>
          <w:szCs w:val="22"/>
          <w:lang w:val="fr-FR" w:eastAsia="es-ES"/>
        </w:rPr>
      </w:pPr>
    </w:p>
    <w:p w14:paraId="2DBC97DC" w14:textId="77777777" w:rsidR="009071BD" w:rsidRPr="009D1C0E" w:rsidRDefault="009071BD" w:rsidP="00C618DD">
      <w:pPr>
        <w:ind w:left="1440" w:hanging="720"/>
        <w:rPr>
          <w:color w:val="000000"/>
          <w:szCs w:val="22"/>
          <w:lang w:val="fr-FR"/>
        </w:rPr>
      </w:pPr>
      <w:r w:rsidRPr="0026653F">
        <w:rPr>
          <w:color w:val="000000"/>
          <w:szCs w:val="22"/>
          <w:lang w:val="fr-FR"/>
        </w:rPr>
        <w:t>1.</w:t>
      </w:r>
      <w:r w:rsidRPr="0026653F">
        <w:rPr>
          <w:color w:val="000000"/>
          <w:szCs w:val="22"/>
          <w:lang w:val="fr-FR"/>
        </w:rPr>
        <w:tab/>
      </w:r>
      <w:r w:rsidRPr="0026653F">
        <w:rPr>
          <w:color w:val="000000"/>
          <w:szCs w:val="22"/>
          <w:u w:val="single"/>
          <w:lang w:val="fr-FR"/>
        </w:rPr>
        <w:t>Programme-budget pour le cycle budgétaire 2022</w:t>
      </w:r>
    </w:p>
    <w:p w14:paraId="371AA5B8" w14:textId="77777777" w:rsidR="009071BD" w:rsidRPr="0026653F" w:rsidRDefault="009071BD" w:rsidP="00C618DD">
      <w:pPr>
        <w:suppressAutoHyphens/>
        <w:rPr>
          <w:color w:val="000000"/>
          <w:szCs w:val="22"/>
          <w:lang w:val="fr-FR" w:eastAsia="es-ES"/>
        </w:rPr>
      </w:pPr>
    </w:p>
    <w:p w14:paraId="145452AC" w14:textId="7444027F" w:rsidR="009071BD" w:rsidRPr="0026653F" w:rsidRDefault="009071BD" w:rsidP="00C618DD">
      <w:pPr>
        <w:ind w:left="2160" w:hanging="720"/>
        <w:rPr>
          <w:color w:val="000000"/>
          <w:szCs w:val="22"/>
          <w:lang w:val="fr-FR"/>
        </w:rPr>
      </w:pPr>
      <w:r w:rsidRPr="0026653F">
        <w:rPr>
          <w:color w:val="000000"/>
          <w:szCs w:val="22"/>
          <w:lang w:val="fr-FR"/>
        </w:rPr>
        <w:t>a)</w:t>
      </w:r>
      <w:r w:rsidRPr="0026653F">
        <w:rPr>
          <w:color w:val="000000"/>
          <w:szCs w:val="22"/>
          <w:lang w:val="fr-FR"/>
        </w:rPr>
        <w:tab/>
        <w:t xml:space="preserve">De charger le Secrétariat général de soumettre à la Commission préparatoire </w:t>
      </w:r>
      <w:r w:rsidR="00B73EDD" w:rsidRPr="0026653F">
        <w:rPr>
          <w:color w:val="000000"/>
          <w:szCs w:val="22"/>
          <w:lang w:val="fr-FR"/>
        </w:rPr>
        <w:t xml:space="preserve">de l'Assemblée générale </w:t>
      </w:r>
      <w:r w:rsidRPr="0026653F">
        <w:rPr>
          <w:color w:val="000000"/>
          <w:szCs w:val="22"/>
          <w:lang w:val="fr-FR"/>
        </w:rPr>
        <w:t>un projet de niveau budgétaire global pour l’année 2022 ainsi que le niveau global budgétaire indicatif pour l’année 2023, y compris l’ajustement au titre du coût de la vie et de l’inflation, le cas échéant, conformément aux normes en vigueur.</w:t>
      </w:r>
    </w:p>
    <w:p w14:paraId="01F44743" w14:textId="77777777" w:rsidR="009071BD" w:rsidRPr="0026653F" w:rsidRDefault="009071BD" w:rsidP="00C618DD">
      <w:pPr>
        <w:rPr>
          <w:color w:val="000000"/>
          <w:szCs w:val="22"/>
          <w:lang w:val="fr-FR" w:eastAsia="es-ES"/>
        </w:rPr>
      </w:pPr>
    </w:p>
    <w:p w14:paraId="135E805A" w14:textId="77777777" w:rsidR="009071BD" w:rsidRPr="0026653F" w:rsidRDefault="009071BD" w:rsidP="00C618DD">
      <w:pPr>
        <w:numPr>
          <w:ilvl w:val="0"/>
          <w:numId w:val="10"/>
        </w:numPr>
        <w:ind w:left="2160" w:hanging="720"/>
        <w:rPr>
          <w:color w:val="000000"/>
          <w:szCs w:val="22"/>
          <w:lang w:val="fr-FR"/>
        </w:rPr>
      </w:pPr>
      <w:r w:rsidRPr="0026653F">
        <w:rPr>
          <w:szCs w:val="22"/>
          <w:lang w:val="fr-FR"/>
        </w:rPr>
        <w:t>Le montant total des dépenses afférentes à la rubrique du personnel (Objet 1 – article 91 des Normes générales) ne doit pas dépasser 64,38 % du montant provisoire du niveau budgétaire global correspondant au Fonds ordinaire pour l’exercice 2022, y compris toute augmentation réglementaire s’avérant nécessaire.</w:t>
      </w:r>
    </w:p>
    <w:p w14:paraId="2B6EBA37" w14:textId="77777777" w:rsidR="009071BD" w:rsidRPr="0026653F" w:rsidRDefault="009071BD" w:rsidP="00C618DD">
      <w:pPr>
        <w:rPr>
          <w:color w:val="000000"/>
          <w:szCs w:val="22"/>
          <w:lang w:val="fr-FR" w:eastAsia="es-ES"/>
        </w:rPr>
      </w:pPr>
    </w:p>
    <w:p w14:paraId="51EA9F54" w14:textId="544DA08F" w:rsidR="009071BD" w:rsidRPr="0026653F" w:rsidRDefault="009071BD" w:rsidP="00C618DD">
      <w:pPr>
        <w:numPr>
          <w:ilvl w:val="0"/>
          <w:numId w:val="10"/>
        </w:numPr>
        <w:ind w:left="2160" w:hanging="720"/>
        <w:rPr>
          <w:szCs w:val="22"/>
          <w:lang w:val="fr-FR"/>
        </w:rPr>
      </w:pPr>
      <w:r w:rsidRPr="0026653F">
        <w:rPr>
          <w:color w:val="000000"/>
          <w:szCs w:val="22"/>
          <w:lang w:val="fr-FR"/>
        </w:rPr>
        <w:t>Le Conseil permanent est</w:t>
      </w:r>
      <w:r w:rsidRPr="0026653F">
        <w:rPr>
          <w:szCs w:val="22"/>
          <w:lang w:val="fr-FR"/>
        </w:rPr>
        <w:t xml:space="preserve"> </w:t>
      </w:r>
      <w:r w:rsidRPr="0026653F">
        <w:rPr>
          <w:bCs/>
          <w:szCs w:val="22"/>
          <w:lang w:val="fr-FR"/>
        </w:rPr>
        <w:t>autorisé</w:t>
      </w:r>
      <w:r w:rsidR="00C224EF" w:rsidRPr="0026653F">
        <w:rPr>
          <w:bCs/>
          <w:szCs w:val="22"/>
          <w:lang w:val="fr-FR"/>
        </w:rPr>
        <w:t>,</w:t>
      </w:r>
      <w:r w:rsidRPr="0026653F">
        <w:rPr>
          <w:szCs w:val="22"/>
          <w:lang w:val="fr-FR"/>
        </w:rPr>
        <w:t xml:space="preserve"> </w:t>
      </w:r>
      <w:r w:rsidR="00C224EF" w:rsidRPr="0026653F">
        <w:rPr>
          <w:bCs/>
          <w:szCs w:val="22"/>
          <w:lang w:val="fr-FR"/>
        </w:rPr>
        <w:t xml:space="preserve">à titre exceptionnel, </w:t>
      </w:r>
      <w:r w:rsidRPr="0026653F">
        <w:rPr>
          <w:bCs/>
          <w:szCs w:val="22"/>
          <w:lang w:val="fr-FR"/>
        </w:rPr>
        <w:t>à procéder à un ajustement</w:t>
      </w:r>
      <w:r w:rsidR="00C224EF" w:rsidRPr="0026653F">
        <w:rPr>
          <w:bCs/>
          <w:szCs w:val="22"/>
          <w:lang w:val="fr-FR"/>
        </w:rPr>
        <w:t xml:space="preserve"> </w:t>
      </w:r>
      <w:r w:rsidRPr="0026653F">
        <w:rPr>
          <w:szCs w:val="22"/>
          <w:lang w:val="fr-FR"/>
        </w:rPr>
        <w:t xml:space="preserve">dans le pourcentage indiqué au paragraphe antérieur, à sa discrétion et sur l’avis de la CAAP, en conséquence de changements dans les facteurs économiques ou financiers </w:t>
      </w:r>
      <w:r w:rsidRPr="0026653F">
        <w:rPr>
          <w:bCs/>
          <w:szCs w:val="22"/>
          <w:lang w:val="fr-FR"/>
        </w:rPr>
        <w:t>qui pourraient avoir</w:t>
      </w:r>
      <w:r w:rsidRPr="0026653F">
        <w:rPr>
          <w:szCs w:val="22"/>
          <w:lang w:val="fr-FR"/>
        </w:rPr>
        <w:t xml:space="preserve"> des incidences sur l’exécution du Fonds ordinaire.</w:t>
      </w:r>
    </w:p>
    <w:p w14:paraId="30EF4111" w14:textId="77777777" w:rsidR="009071BD" w:rsidRPr="0026653F" w:rsidRDefault="009071BD" w:rsidP="00C618DD">
      <w:pPr>
        <w:rPr>
          <w:strike/>
          <w:szCs w:val="22"/>
          <w:lang w:val="fr-FR" w:eastAsia="es-ES"/>
        </w:rPr>
      </w:pPr>
    </w:p>
    <w:p w14:paraId="65A00410" w14:textId="6CDF8631" w:rsidR="009071BD" w:rsidRPr="0026653F" w:rsidRDefault="009071BD" w:rsidP="00C618DD">
      <w:pPr>
        <w:numPr>
          <w:ilvl w:val="0"/>
          <w:numId w:val="10"/>
        </w:numPr>
        <w:ind w:left="2160" w:hanging="720"/>
        <w:rPr>
          <w:szCs w:val="22"/>
          <w:lang w:val="fr-FR"/>
        </w:rPr>
      </w:pPr>
      <w:r w:rsidRPr="0026653F">
        <w:rPr>
          <w:szCs w:val="22"/>
          <w:lang w:val="fr-FR"/>
        </w:rPr>
        <w:t xml:space="preserve">De demander au Secrétariat général de </w:t>
      </w:r>
      <w:r w:rsidRPr="0026653F">
        <w:rPr>
          <w:bCs/>
          <w:szCs w:val="22"/>
          <w:lang w:val="fr-FR"/>
        </w:rPr>
        <w:t>communiquer par écrit à la CAAP,</w:t>
      </w:r>
      <w:r w:rsidRPr="0026653F">
        <w:rPr>
          <w:szCs w:val="22"/>
          <w:lang w:val="fr-FR"/>
        </w:rPr>
        <w:t xml:space="preserve"> une fois le programme-budget </w:t>
      </w:r>
      <w:r w:rsidRPr="0026653F">
        <w:rPr>
          <w:bCs/>
          <w:szCs w:val="22"/>
          <w:lang w:val="fr-FR"/>
        </w:rPr>
        <w:t>2022</w:t>
      </w:r>
      <w:r w:rsidRPr="0026653F">
        <w:rPr>
          <w:szCs w:val="22"/>
          <w:lang w:val="fr-FR"/>
        </w:rPr>
        <w:t xml:space="preserve"> présenté </w:t>
      </w:r>
      <w:r w:rsidRPr="0026653F">
        <w:rPr>
          <w:bCs/>
          <w:szCs w:val="22"/>
          <w:lang w:val="fr-FR"/>
        </w:rPr>
        <w:t>devant le</w:t>
      </w:r>
      <w:r w:rsidRPr="0026653F">
        <w:rPr>
          <w:szCs w:val="22"/>
          <w:lang w:val="fr-FR"/>
        </w:rPr>
        <w:t xml:space="preserve"> Conseil permanent, </w:t>
      </w:r>
      <w:r w:rsidRPr="0026653F">
        <w:rPr>
          <w:bCs/>
          <w:szCs w:val="22"/>
          <w:lang w:val="fr-FR"/>
        </w:rPr>
        <w:t>le</w:t>
      </w:r>
      <w:r w:rsidRPr="0026653F">
        <w:rPr>
          <w:szCs w:val="22"/>
          <w:lang w:val="fr-FR"/>
        </w:rPr>
        <w:t xml:space="preserve">s virements entre chapitres </w:t>
      </w:r>
      <w:r w:rsidRPr="0026653F">
        <w:rPr>
          <w:bCs/>
          <w:szCs w:val="22"/>
          <w:lang w:val="fr-FR"/>
        </w:rPr>
        <w:t>précisément</w:t>
      </w:r>
      <w:r w:rsidRPr="0026653F">
        <w:rPr>
          <w:szCs w:val="22"/>
          <w:lang w:val="fr-FR"/>
        </w:rPr>
        <w:t xml:space="preserve"> </w:t>
      </w:r>
      <w:r w:rsidRPr="0026653F">
        <w:rPr>
          <w:bCs/>
          <w:szCs w:val="22"/>
          <w:lang w:val="fr-FR"/>
        </w:rPr>
        <w:t>effectués</w:t>
      </w:r>
      <w:r w:rsidRPr="0026653F">
        <w:rPr>
          <w:szCs w:val="22"/>
          <w:lang w:val="fr-FR"/>
        </w:rPr>
        <w:t xml:space="preserve">, qui portent ou non sur le personnel, de sorte que les discussions sur le programme-budget soient alimentées par des informations </w:t>
      </w:r>
      <w:r w:rsidRPr="0026653F">
        <w:rPr>
          <w:bCs/>
          <w:szCs w:val="22"/>
          <w:lang w:val="fr-FR"/>
        </w:rPr>
        <w:t>dûment actualisées</w:t>
      </w:r>
      <w:r w:rsidRPr="0026653F">
        <w:rPr>
          <w:szCs w:val="22"/>
          <w:lang w:val="fr-FR"/>
        </w:rPr>
        <w:t xml:space="preserve">, </w:t>
      </w:r>
      <w:r w:rsidRPr="0026653F">
        <w:rPr>
          <w:bCs/>
          <w:szCs w:val="22"/>
          <w:lang w:val="fr-FR"/>
        </w:rPr>
        <w:t>afin de rendre possible et de faciliter l’adoption de</w:t>
      </w:r>
      <w:r w:rsidRPr="0026653F">
        <w:rPr>
          <w:szCs w:val="22"/>
          <w:lang w:val="fr-FR"/>
        </w:rPr>
        <w:t xml:space="preserve"> décisions </w:t>
      </w:r>
      <w:r w:rsidRPr="0026653F">
        <w:rPr>
          <w:bCs/>
          <w:szCs w:val="22"/>
          <w:lang w:val="fr-FR"/>
        </w:rPr>
        <w:t xml:space="preserve">sur </w:t>
      </w:r>
      <w:r w:rsidR="002E45EA" w:rsidRPr="0026653F">
        <w:rPr>
          <w:bCs/>
          <w:szCs w:val="22"/>
          <w:lang w:val="fr-FR"/>
        </w:rPr>
        <w:t xml:space="preserve">la </w:t>
      </w:r>
      <w:r w:rsidRPr="0026653F">
        <w:rPr>
          <w:bCs/>
          <w:szCs w:val="22"/>
          <w:lang w:val="fr-FR"/>
        </w:rPr>
        <w:t xml:space="preserve">base </w:t>
      </w:r>
      <w:r w:rsidR="002E45EA" w:rsidRPr="0026653F">
        <w:rPr>
          <w:bCs/>
          <w:szCs w:val="22"/>
          <w:lang w:val="fr-FR"/>
        </w:rPr>
        <w:t xml:space="preserve">de données factuelles </w:t>
      </w:r>
      <w:r w:rsidRPr="0026653F">
        <w:rPr>
          <w:bCs/>
          <w:szCs w:val="22"/>
          <w:lang w:val="fr-FR"/>
        </w:rPr>
        <w:t xml:space="preserve">et </w:t>
      </w:r>
      <w:r w:rsidRPr="0026653F">
        <w:rPr>
          <w:szCs w:val="22"/>
          <w:lang w:val="fr-FR"/>
        </w:rPr>
        <w:t>en connaissance de cause.</w:t>
      </w:r>
    </w:p>
    <w:p w14:paraId="46C8C050" w14:textId="77777777" w:rsidR="009071BD" w:rsidRPr="0026653F" w:rsidRDefault="009071BD" w:rsidP="00C618DD">
      <w:pPr>
        <w:jc w:val="left"/>
        <w:rPr>
          <w:color w:val="000000"/>
          <w:szCs w:val="22"/>
          <w:lang w:val="fr-FR" w:eastAsia="es-ES"/>
        </w:rPr>
      </w:pPr>
    </w:p>
    <w:p w14:paraId="1E86A97C" w14:textId="562BEFF9" w:rsidR="009071BD" w:rsidRPr="0026653F" w:rsidRDefault="009071BD" w:rsidP="00C618DD">
      <w:pPr>
        <w:numPr>
          <w:ilvl w:val="0"/>
          <w:numId w:val="11"/>
        </w:numPr>
        <w:ind w:hanging="90"/>
        <w:rPr>
          <w:color w:val="000000"/>
          <w:szCs w:val="22"/>
          <w:u w:val="single"/>
          <w:lang w:val="fr-FR"/>
        </w:rPr>
      </w:pPr>
      <w:r w:rsidRPr="0026653F">
        <w:rPr>
          <w:color w:val="000000"/>
          <w:szCs w:val="22"/>
          <w:u w:val="single"/>
          <w:lang w:val="fr-FR"/>
        </w:rPr>
        <w:t>Rapports semestriels sur l</w:t>
      </w:r>
      <w:r w:rsidR="002E45EA" w:rsidRPr="0026653F">
        <w:rPr>
          <w:color w:val="000000"/>
          <w:szCs w:val="22"/>
          <w:u w:val="single"/>
          <w:lang w:val="fr-FR"/>
        </w:rPr>
        <w:t xml:space="preserve">’administration </w:t>
      </w:r>
      <w:r w:rsidRPr="0026653F">
        <w:rPr>
          <w:color w:val="000000"/>
          <w:szCs w:val="22"/>
          <w:u w:val="single"/>
          <w:lang w:val="fr-FR"/>
        </w:rPr>
        <w:t>des ressources et les résultats</w:t>
      </w:r>
    </w:p>
    <w:p w14:paraId="2F20CD85" w14:textId="77777777" w:rsidR="009071BD" w:rsidRPr="0026653F" w:rsidRDefault="009071BD" w:rsidP="00C618DD">
      <w:pPr>
        <w:rPr>
          <w:color w:val="000000"/>
          <w:szCs w:val="22"/>
          <w:lang w:val="fr-FR" w:eastAsia="es-ES"/>
        </w:rPr>
      </w:pPr>
    </w:p>
    <w:p w14:paraId="18792822" w14:textId="59B844AC" w:rsidR="009071BD" w:rsidRPr="0026653F" w:rsidRDefault="009071BD" w:rsidP="00C618DD">
      <w:pPr>
        <w:ind w:firstLine="720"/>
        <w:rPr>
          <w:color w:val="000000"/>
          <w:szCs w:val="22"/>
          <w:lang w:val="fr-FR"/>
        </w:rPr>
      </w:pPr>
      <w:r w:rsidRPr="0026653F">
        <w:rPr>
          <w:szCs w:val="22"/>
          <w:lang w:val="fr-FR"/>
        </w:rPr>
        <w:t>De demander au Secrétariat général de continuer de présenter chaque semestre</w:t>
      </w:r>
      <w:r w:rsidRPr="0026653F">
        <w:rPr>
          <w:color w:val="000000"/>
          <w:szCs w:val="22"/>
          <w:lang w:val="fr-FR"/>
        </w:rPr>
        <w:t xml:space="preserve"> </w:t>
      </w:r>
      <w:r w:rsidR="002E45EA" w:rsidRPr="0026653F">
        <w:rPr>
          <w:szCs w:val="22"/>
          <w:lang w:val="fr-FR"/>
        </w:rPr>
        <w:t xml:space="preserve">à la CAAP </w:t>
      </w:r>
      <w:r w:rsidRPr="0026653F">
        <w:rPr>
          <w:szCs w:val="22"/>
          <w:lang w:val="fr-FR"/>
        </w:rPr>
        <w:t>ses rapports sur l</w:t>
      </w:r>
      <w:r w:rsidR="002E45EA" w:rsidRPr="0026653F">
        <w:rPr>
          <w:szCs w:val="22"/>
          <w:lang w:val="fr-FR"/>
        </w:rPr>
        <w:t xml:space="preserve">’administration </w:t>
      </w:r>
      <w:r w:rsidRPr="0026653F">
        <w:rPr>
          <w:szCs w:val="22"/>
          <w:lang w:val="fr-FR"/>
        </w:rPr>
        <w:t xml:space="preserve">des ressources et les résultats, y compris un résumé analytique, conformément à l’annexe I de la résolution </w:t>
      </w:r>
      <w:hyperlink r:id="rId77" w:history="1">
        <w:r w:rsidRPr="0026653F">
          <w:rPr>
            <w:color w:val="000000"/>
            <w:szCs w:val="22"/>
            <w:u w:val="single"/>
            <w:lang w:val="fr-FR"/>
          </w:rPr>
          <w:t>AG/RES.</w:t>
        </w:r>
      </w:hyperlink>
      <w:hyperlink r:id="rId78" w:history="1">
        <w:r w:rsidRPr="0026653F">
          <w:rPr>
            <w:color w:val="000000"/>
            <w:szCs w:val="22"/>
            <w:u w:val="single"/>
            <w:lang w:val="fr-FR"/>
          </w:rPr>
          <w:t> 1 (XLVIII-E/14)</w:t>
        </w:r>
      </w:hyperlink>
      <w:r w:rsidRPr="0026653F">
        <w:rPr>
          <w:color w:val="000000"/>
          <w:szCs w:val="22"/>
          <w:lang w:val="fr-FR"/>
        </w:rPr>
        <w:t xml:space="preserve"> rev. 1 et à la résolution AG/RES. 2940 (XLIX-O/19).</w:t>
      </w:r>
    </w:p>
    <w:p w14:paraId="7B055865" w14:textId="77777777" w:rsidR="009071BD" w:rsidRPr="0026653F" w:rsidRDefault="009071BD" w:rsidP="00C618DD">
      <w:pPr>
        <w:rPr>
          <w:strike/>
          <w:color w:val="000000"/>
          <w:szCs w:val="22"/>
          <w:u w:val="single"/>
          <w:lang w:val="fr-FR" w:eastAsia="es-ES"/>
        </w:rPr>
      </w:pPr>
    </w:p>
    <w:p w14:paraId="171D15CD" w14:textId="77777777" w:rsidR="009071BD" w:rsidRPr="0026653F" w:rsidRDefault="009071BD" w:rsidP="009D1C0E">
      <w:pPr>
        <w:numPr>
          <w:ilvl w:val="0"/>
          <w:numId w:val="58"/>
        </w:numPr>
        <w:ind w:left="1440" w:hanging="720"/>
        <w:rPr>
          <w:color w:val="000000"/>
          <w:szCs w:val="22"/>
          <w:u w:val="single"/>
          <w:lang w:val="fr-FR"/>
        </w:rPr>
      </w:pPr>
      <w:r w:rsidRPr="0026653F">
        <w:rPr>
          <w:color w:val="000000"/>
          <w:szCs w:val="22"/>
          <w:u w:val="single"/>
          <w:lang w:val="fr-FR"/>
        </w:rPr>
        <w:t xml:space="preserve">Mobilisation de ressources extérieures </w:t>
      </w:r>
    </w:p>
    <w:p w14:paraId="51DA1DBB" w14:textId="77777777" w:rsidR="009071BD" w:rsidRPr="0026653F" w:rsidRDefault="009071BD" w:rsidP="009D1C0E">
      <w:pPr>
        <w:rPr>
          <w:bCs/>
          <w:color w:val="000000"/>
          <w:szCs w:val="22"/>
          <w:lang w:val="fr-FR" w:eastAsia="es-ES"/>
        </w:rPr>
      </w:pPr>
    </w:p>
    <w:p w14:paraId="37B37AFB" w14:textId="2F6440CF" w:rsidR="009071BD" w:rsidRPr="0026653F" w:rsidRDefault="009071BD" w:rsidP="00C618DD">
      <w:pPr>
        <w:numPr>
          <w:ilvl w:val="0"/>
          <w:numId w:val="12"/>
        </w:numPr>
        <w:ind w:left="2160" w:hanging="720"/>
        <w:rPr>
          <w:color w:val="000000"/>
          <w:szCs w:val="22"/>
          <w:lang w:val="fr-FR"/>
        </w:rPr>
      </w:pPr>
      <w:r w:rsidRPr="0026653F">
        <w:rPr>
          <w:color w:val="000000"/>
          <w:szCs w:val="22"/>
          <w:lang w:val="fr-FR"/>
        </w:rPr>
        <w:t xml:space="preserve">De charger le Secrétaire général de poursuivre ses efforts pour mobiliser des ressources extérieures destinées à la mise en œuvre des mandats de l'Assemblée générale et de maintenir la transparence et la </w:t>
      </w:r>
      <w:r w:rsidR="002E45EA" w:rsidRPr="0026653F">
        <w:rPr>
          <w:color w:val="000000"/>
          <w:szCs w:val="22"/>
          <w:lang w:val="fr-FR"/>
        </w:rPr>
        <w:t xml:space="preserve">responsabilité </w:t>
      </w:r>
      <w:r w:rsidRPr="0026653F">
        <w:rPr>
          <w:color w:val="000000"/>
          <w:szCs w:val="22"/>
          <w:lang w:val="fr-FR"/>
        </w:rPr>
        <w:t>dans l’emploi de</w:t>
      </w:r>
      <w:r w:rsidR="002E45EA" w:rsidRPr="0026653F">
        <w:rPr>
          <w:color w:val="000000"/>
          <w:szCs w:val="22"/>
          <w:lang w:val="fr-FR"/>
        </w:rPr>
        <w:t xml:space="preserve"> ces ressources </w:t>
      </w:r>
      <w:r w:rsidRPr="0026653F">
        <w:rPr>
          <w:color w:val="000000"/>
          <w:szCs w:val="22"/>
          <w:lang w:val="fr-FR"/>
        </w:rPr>
        <w:t xml:space="preserve">et </w:t>
      </w:r>
      <w:r w:rsidR="002E45EA" w:rsidRPr="0026653F">
        <w:rPr>
          <w:color w:val="000000"/>
          <w:szCs w:val="22"/>
          <w:lang w:val="fr-FR"/>
        </w:rPr>
        <w:t xml:space="preserve">dans </w:t>
      </w:r>
      <w:r w:rsidRPr="0026653F">
        <w:rPr>
          <w:color w:val="000000"/>
          <w:szCs w:val="22"/>
          <w:lang w:val="fr-FR"/>
        </w:rPr>
        <w:t>l</w:t>
      </w:r>
      <w:r w:rsidR="002E45EA" w:rsidRPr="0026653F">
        <w:rPr>
          <w:color w:val="000000"/>
          <w:szCs w:val="22"/>
          <w:lang w:val="fr-FR"/>
        </w:rPr>
        <w:t xml:space="preserve">’élaboration des rapports traitant de ces </w:t>
      </w:r>
      <w:r w:rsidR="002E45EA" w:rsidRPr="0026653F">
        <w:rPr>
          <w:color w:val="000000"/>
          <w:szCs w:val="22"/>
          <w:lang w:val="fr-FR"/>
        </w:rPr>
        <w:lastRenderedPageBreak/>
        <w:t>fonds</w:t>
      </w:r>
      <w:r w:rsidR="003D19B6" w:rsidRPr="0026653F">
        <w:rPr>
          <w:color w:val="000000"/>
          <w:szCs w:val="22"/>
          <w:lang w:val="fr-FR"/>
        </w:rPr>
        <w:t>, lesquels</w:t>
      </w:r>
      <w:r w:rsidR="002E45EA" w:rsidRPr="0026653F">
        <w:rPr>
          <w:color w:val="000000"/>
          <w:szCs w:val="22"/>
          <w:lang w:val="fr-FR"/>
        </w:rPr>
        <w:t xml:space="preserve"> doivent être présentés dans le cadre des rapports </w:t>
      </w:r>
      <w:r w:rsidRPr="0026653F">
        <w:rPr>
          <w:color w:val="000000"/>
          <w:szCs w:val="22"/>
          <w:lang w:val="fr-FR"/>
        </w:rPr>
        <w:t>semestriels sur l’administration des ressources et les résultats</w:t>
      </w:r>
      <w:r w:rsidR="002E45EA" w:rsidRPr="0026653F">
        <w:rPr>
          <w:color w:val="000000"/>
          <w:szCs w:val="22"/>
          <w:lang w:val="fr-FR"/>
        </w:rPr>
        <w:t>.</w:t>
      </w:r>
    </w:p>
    <w:p w14:paraId="7B81C62C" w14:textId="77777777" w:rsidR="009071BD" w:rsidRPr="0026653F" w:rsidRDefault="009071BD" w:rsidP="00C618DD">
      <w:pPr>
        <w:rPr>
          <w:bCs/>
          <w:color w:val="000000"/>
          <w:szCs w:val="22"/>
          <w:lang w:val="fr-FR" w:eastAsia="es-ES"/>
        </w:rPr>
      </w:pPr>
    </w:p>
    <w:p w14:paraId="3C9C81C4" w14:textId="040B791F" w:rsidR="009071BD" w:rsidRPr="0026653F" w:rsidRDefault="009071BD" w:rsidP="00C618DD">
      <w:pPr>
        <w:ind w:left="2160" w:hanging="720"/>
        <w:rPr>
          <w:szCs w:val="22"/>
          <w:lang w:val="fr-FR"/>
        </w:rPr>
      </w:pPr>
      <w:r w:rsidRPr="0026653F">
        <w:rPr>
          <w:szCs w:val="22"/>
          <w:lang w:val="fr-FR"/>
        </w:rPr>
        <w:t>b)</w:t>
      </w:r>
      <w:r w:rsidRPr="0026653F">
        <w:rPr>
          <w:szCs w:val="22"/>
          <w:lang w:val="fr-FR"/>
        </w:rPr>
        <w:tab/>
        <w:t xml:space="preserve">Dans </w:t>
      </w:r>
      <w:r w:rsidR="003D19B6" w:rsidRPr="0026653F">
        <w:rPr>
          <w:szCs w:val="22"/>
          <w:lang w:val="fr-FR"/>
        </w:rPr>
        <w:t xml:space="preserve">le contexte de ses efforts visant à accomplir le </w:t>
      </w:r>
      <w:r w:rsidRPr="0026653F">
        <w:rPr>
          <w:szCs w:val="22"/>
          <w:lang w:val="fr-FR"/>
        </w:rPr>
        <w:t>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p>
    <w:p w14:paraId="5B2B18BD" w14:textId="77777777" w:rsidR="009071BD" w:rsidRPr="0026653F" w:rsidRDefault="009071BD" w:rsidP="00C618DD">
      <w:pPr>
        <w:rPr>
          <w:bCs/>
          <w:color w:val="000000"/>
          <w:szCs w:val="22"/>
          <w:lang w:val="fr-FR" w:eastAsia="es-ES"/>
        </w:rPr>
      </w:pPr>
    </w:p>
    <w:p w14:paraId="1F60F104" w14:textId="38CA914E" w:rsidR="009071BD" w:rsidRPr="0026653F" w:rsidRDefault="009071BD" w:rsidP="00C618DD">
      <w:pPr>
        <w:ind w:left="2160" w:hanging="744"/>
        <w:rPr>
          <w:bCs/>
          <w:color w:val="000000"/>
          <w:szCs w:val="22"/>
          <w:lang w:val="fr-FR" w:eastAsia="es-ES"/>
        </w:rPr>
      </w:pPr>
      <w:r w:rsidRPr="0026653F">
        <w:rPr>
          <w:bCs/>
          <w:color w:val="000000"/>
          <w:szCs w:val="22"/>
          <w:lang w:val="fr-FR" w:eastAsia="es-ES"/>
        </w:rPr>
        <w:t>c)</w:t>
      </w:r>
      <w:r w:rsidRPr="0026653F">
        <w:rPr>
          <w:bCs/>
          <w:color w:val="000000"/>
          <w:szCs w:val="22"/>
          <w:lang w:val="fr-FR" w:eastAsia="es-ES"/>
        </w:rPr>
        <w:tab/>
        <w:t>De charger le Secrétaire général d’inclure dans le</w:t>
      </w:r>
      <w:r w:rsidR="00B55192" w:rsidRPr="0026653F">
        <w:rPr>
          <w:bCs/>
          <w:color w:val="000000"/>
          <w:szCs w:val="22"/>
          <w:lang w:val="fr-FR" w:eastAsia="es-ES"/>
        </w:rPr>
        <w:t>s</w:t>
      </w:r>
      <w:r w:rsidRPr="0026653F">
        <w:rPr>
          <w:bCs/>
          <w:color w:val="000000"/>
          <w:szCs w:val="22"/>
          <w:lang w:val="fr-FR" w:eastAsia="es-ES"/>
        </w:rPr>
        <w:t xml:space="preserve"> rapport</w:t>
      </w:r>
      <w:r w:rsidR="00B55192" w:rsidRPr="0026653F">
        <w:rPr>
          <w:bCs/>
          <w:color w:val="000000"/>
          <w:szCs w:val="22"/>
          <w:lang w:val="fr-FR" w:eastAsia="es-ES"/>
        </w:rPr>
        <w:t>s</w:t>
      </w:r>
      <w:r w:rsidRPr="0026653F">
        <w:rPr>
          <w:bCs/>
          <w:color w:val="000000"/>
          <w:szCs w:val="22"/>
          <w:lang w:val="fr-FR" w:eastAsia="es-ES"/>
        </w:rPr>
        <w:t xml:space="preserve"> semestriel</w:t>
      </w:r>
      <w:r w:rsidR="00B55192" w:rsidRPr="0026653F">
        <w:rPr>
          <w:bCs/>
          <w:color w:val="000000"/>
          <w:szCs w:val="22"/>
          <w:lang w:val="fr-FR" w:eastAsia="es-ES"/>
        </w:rPr>
        <w:t>s</w:t>
      </w:r>
      <w:r w:rsidRPr="0026653F">
        <w:rPr>
          <w:bCs/>
          <w:color w:val="000000"/>
          <w:szCs w:val="22"/>
          <w:lang w:val="fr-FR" w:eastAsia="es-ES"/>
        </w:rPr>
        <w:t xml:space="preserve"> sur l</w:t>
      </w:r>
      <w:r w:rsidR="00B55192" w:rsidRPr="0026653F">
        <w:rPr>
          <w:bCs/>
          <w:color w:val="000000"/>
          <w:szCs w:val="22"/>
          <w:lang w:val="fr-FR" w:eastAsia="es-ES"/>
        </w:rPr>
        <w:t xml:space="preserve">’administration </w:t>
      </w:r>
      <w:r w:rsidRPr="0026653F">
        <w:rPr>
          <w:bCs/>
          <w:color w:val="000000"/>
          <w:szCs w:val="22"/>
          <w:lang w:val="fr-FR" w:eastAsia="es-ES"/>
        </w:rPr>
        <w:t>des ressources et les résultats, dans le chapitre correspondant aux projets présentés par la Commission d’évaluation des projets, l’information additionnelle sur les projets qui sont approuvés et en cours d’exécution, y compris l’information sur leur portée, les mandats sur lesquels ils s’appuient, leur périodicité, leur état d’exécution et leur source de financement, afin de disposer d’un document complet sur l’emploi des ressources provenant des fonds spécifiques.</w:t>
      </w:r>
    </w:p>
    <w:p w14:paraId="650ADE93" w14:textId="77777777" w:rsidR="009071BD" w:rsidRPr="0026653F" w:rsidRDefault="009071BD" w:rsidP="00C618DD">
      <w:pPr>
        <w:rPr>
          <w:color w:val="000000"/>
          <w:szCs w:val="22"/>
          <w:lang w:val="fr-FR" w:eastAsia="es-ES"/>
        </w:rPr>
      </w:pPr>
    </w:p>
    <w:p w14:paraId="6D09891D" w14:textId="4E353D78" w:rsidR="009071BD" w:rsidRPr="0026653F" w:rsidRDefault="009071BD" w:rsidP="00C618DD">
      <w:pPr>
        <w:ind w:left="2160" w:hanging="744"/>
        <w:rPr>
          <w:bCs/>
          <w:color w:val="000000"/>
          <w:szCs w:val="22"/>
          <w:lang w:val="fr-FR" w:eastAsia="es-ES"/>
        </w:rPr>
      </w:pPr>
      <w:r w:rsidRPr="0026653F">
        <w:rPr>
          <w:bCs/>
          <w:color w:val="000000"/>
          <w:szCs w:val="22"/>
          <w:lang w:val="fr-FR" w:eastAsia="es-ES"/>
        </w:rPr>
        <w:t>d)</w:t>
      </w:r>
      <w:r w:rsidRPr="0026653F">
        <w:rPr>
          <w:bCs/>
          <w:color w:val="000000"/>
          <w:szCs w:val="22"/>
          <w:lang w:val="fr-FR" w:eastAsia="es-ES"/>
        </w:rPr>
        <w:tab/>
        <w:t>De charger le Secrétaire général de poursuivre, en consultation avec le Conseil permanent, la mise en application d’un plan stratégique visant à obtenir le soutien et le financement extérieurs nécessaires pour la mise en œuvre des mandats établis par les États membres et pour les priorités de l’Organisation, et de charger le Secrétariat général de faire rapport sur les progrès de cette mise en application dans le</w:t>
      </w:r>
      <w:r w:rsidR="00B55192" w:rsidRPr="0026653F">
        <w:rPr>
          <w:bCs/>
          <w:color w:val="000000"/>
          <w:szCs w:val="22"/>
          <w:lang w:val="fr-FR" w:eastAsia="es-ES"/>
        </w:rPr>
        <w:t>s</w:t>
      </w:r>
      <w:r w:rsidRPr="0026653F">
        <w:rPr>
          <w:bCs/>
          <w:color w:val="000000"/>
          <w:szCs w:val="22"/>
          <w:lang w:val="fr-FR" w:eastAsia="es-ES"/>
        </w:rPr>
        <w:t xml:space="preserve"> rapport</w:t>
      </w:r>
      <w:r w:rsidR="00B55192" w:rsidRPr="0026653F">
        <w:rPr>
          <w:bCs/>
          <w:color w:val="000000"/>
          <w:szCs w:val="22"/>
          <w:lang w:val="fr-FR" w:eastAsia="es-ES"/>
        </w:rPr>
        <w:t>s</w:t>
      </w:r>
      <w:r w:rsidRPr="0026653F">
        <w:rPr>
          <w:bCs/>
          <w:color w:val="000000"/>
          <w:szCs w:val="22"/>
          <w:lang w:val="fr-FR" w:eastAsia="es-ES"/>
        </w:rPr>
        <w:t xml:space="preserve"> semestriel</w:t>
      </w:r>
      <w:r w:rsidR="00B55192" w:rsidRPr="0026653F">
        <w:rPr>
          <w:bCs/>
          <w:color w:val="000000"/>
          <w:szCs w:val="22"/>
          <w:lang w:val="fr-FR" w:eastAsia="es-ES"/>
        </w:rPr>
        <w:t>s</w:t>
      </w:r>
      <w:r w:rsidRPr="0026653F">
        <w:rPr>
          <w:bCs/>
          <w:color w:val="000000"/>
          <w:szCs w:val="22"/>
          <w:lang w:val="fr-FR" w:eastAsia="es-ES"/>
        </w:rPr>
        <w:t xml:space="preserve"> sur l</w:t>
      </w:r>
      <w:r w:rsidR="00B55192" w:rsidRPr="0026653F">
        <w:rPr>
          <w:bCs/>
          <w:color w:val="000000"/>
          <w:szCs w:val="22"/>
          <w:lang w:val="fr-FR" w:eastAsia="es-ES"/>
        </w:rPr>
        <w:t xml:space="preserve">’administration </w:t>
      </w:r>
      <w:r w:rsidRPr="0026653F">
        <w:rPr>
          <w:bCs/>
          <w:color w:val="000000"/>
          <w:szCs w:val="22"/>
          <w:lang w:val="fr-FR" w:eastAsia="es-ES"/>
        </w:rPr>
        <w:t>des ressources et les résultats.</w:t>
      </w:r>
    </w:p>
    <w:p w14:paraId="21DE03F7" w14:textId="77777777" w:rsidR="009071BD" w:rsidRPr="0026653F" w:rsidRDefault="009071BD" w:rsidP="00C618DD">
      <w:pPr>
        <w:rPr>
          <w:color w:val="000000"/>
          <w:szCs w:val="22"/>
          <w:lang w:val="fr-FR"/>
        </w:rPr>
      </w:pPr>
    </w:p>
    <w:p w14:paraId="5D4AD9E5" w14:textId="43E3004D" w:rsidR="009071BD" w:rsidRPr="0026653F" w:rsidRDefault="009071BD" w:rsidP="00C618DD">
      <w:pPr>
        <w:ind w:left="2160" w:hanging="744"/>
        <w:rPr>
          <w:bCs/>
          <w:color w:val="000000"/>
          <w:szCs w:val="22"/>
          <w:lang w:val="fr-FR" w:eastAsia="es-ES"/>
        </w:rPr>
      </w:pPr>
      <w:r w:rsidRPr="0026653F">
        <w:rPr>
          <w:bCs/>
          <w:color w:val="000000"/>
          <w:szCs w:val="22"/>
          <w:lang w:val="fr-FR" w:eastAsia="es-ES"/>
        </w:rPr>
        <w:t>e)</w:t>
      </w:r>
      <w:r w:rsidRPr="0026653F">
        <w:rPr>
          <w:bCs/>
          <w:color w:val="000000"/>
          <w:szCs w:val="22"/>
          <w:lang w:val="fr-FR" w:eastAsia="es-ES"/>
        </w:rPr>
        <w:tab/>
        <w:t xml:space="preserve">De charger le Secrétariat général d’effectuer, conformément à la présente résolution et à la résolution </w:t>
      </w:r>
      <w:hyperlink r:id="rId79" w:history="1">
        <w:r w:rsidRPr="0026653F">
          <w:rPr>
            <w:color w:val="0000FF"/>
            <w:szCs w:val="22"/>
            <w:u w:val="single"/>
            <w:lang w:val="fr-FR"/>
          </w:rPr>
          <w:t>AG/RES.</w:t>
        </w:r>
        <w:r w:rsidR="0023148D" w:rsidRPr="0026653F">
          <w:rPr>
            <w:color w:val="0000FF"/>
            <w:szCs w:val="22"/>
            <w:u w:val="single"/>
            <w:lang w:val="fr-FR"/>
          </w:rPr>
          <w:t xml:space="preserve"> </w:t>
        </w:r>
        <w:r w:rsidRPr="0026653F">
          <w:rPr>
            <w:color w:val="0000FF"/>
            <w:szCs w:val="22"/>
            <w:u w:val="single"/>
            <w:lang w:val="fr-FR"/>
          </w:rPr>
          <w:t>2 (LI-E/16)</w:t>
        </w:r>
      </w:hyperlink>
      <w:r w:rsidRPr="0026653F">
        <w:rPr>
          <w:bCs/>
          <w:color w:val="000000"/>
          <w:szCs w:val="22"/>
          <w:lang w:val="fr-FR" w:eastAsia="es-ES"/>
        </w:rPr>
        <w:t xml:space="preserve"> rev. 4, une analyse de diverses options additionnelles de financement qui assurent la viabilité à long terme de la CIDH et de la Cour interaméricaine des droits de l’homme, </w:t>
      </w:r>
      <w:r w:rsidR="00B55192" w:rsidRPr="0026653F">
        <w:rPr>
          <w:bCs/>
          <w:color w:val="000000"/>
          <w:szCs w:val="22"/>
          <w:lang w:val="fr-FR" w:eastAsia="es-ES"/>
        </w:rPr>
        <w:t xml:space="preserve">tout en veillant à la conformité avec </w:t>
      </w:r>
      <w:proofErr w:type="gramStart"/>
      <w:r w:rsidRPr="0026653F">
        <w:rPr>
          <w:bCs/>
          <w:color w:val="000000"/>
          <w:szCs w:val="22"/>
          <w:lang w:val="fr-FR" w:eastAsia="es-ES"/>
        </w:rPr>
        <w:t>la section xvi</w:t>
      </w:r>
      <w:proofErr w:type="gramEnd"/>
      <w:r w:rsidRPr="0026653F">
        <w:rPr>
          <w:bCs/>
          <w:color w:val="000000"/>
          <w:szCs w:val="22"/>
          <w:lang w:val="fr-FR" w:eastAsia="es-ES"/>
        </w:rPr>
        <w:t xml:space="preserve">. </w:t>
      </w:r>
      <w:proofErr w:type="gramStart"/>
      <w:r w:rsidRPr="0026653F">
        <w:rPr>
          <w:bCs/>
          <w:color w:val="000000"/>
          <w:szCs w:val="22"/>
          <w:lang w:val="fr-FR" w:eastAsia="es-ES"/>
        </w:rPr>
        <w:t>de</w:t>
      </w:r>
      <w:proofErr w:type="gramEnd"/>
      <w:r w:rsidRPr="0026653F">
        <w:rPr>
          <w:bCs/>
          <w:color w:val="000000"/>
          <w:szCs w:val="22"/>
          <w:lang w:val="fr-FR" w:eastAsia="es-ES"/>
        </w:rPr>
        <w:t xml:space="preserve"> la résolution </w:t>
      </w:r>
      <w:hyperlink r:id="rId80" w:history="1">
        <w:r w:rsidRPr="0026653F">
          <w:rPr>
            <w:color w:val="0000FF"/>
            <w:szCs w:val="22"/>
            <w:u w:val="single"/>
            <w:lang w:val="fr-FR"/>
          </w:rPr>
          <w:t>AG/RES. 2908 (XLVII-O/17)</w:t>
        </w:r>
      </w:hyperlink>
      <w:r w:rsidR="0023148D" w:rsidRPr="0026653F">
        <w:rPr>
          <w:bCs/>
          <w:color w:val="000000"/>
          <w:szCs w:val="22"/>
          <w:lang w:val="fr-FR" w:eastAsia="es-ES"/>
        </w:rPr>
        <w:t xml:space="preserve"> </w:t>
      </w:r>
      <w:r w:rsidRPr="0026653F">
        <w:rPr>
          <w:bCs/>
          <w:color w:val="000000"/>
          <w:szCs w:val="22"/>
          <w:lang w:val="fr-FR" w:eastAsia="es-ES"/>
        </w:rPr>
        <w:t xml:space="preserve">et la résolution </w:t>
      </w:r>
      <w:hyperlink r:id="rId81" w:tgtFrame="_blank" w:history="1">
        <w:hyperlink r:id="rId82" w:history="1">
          <w:r w:rsidRPr="0026653F">
            <w:rPr>
              <w:color w:val="0000FF"/>
              <w:szCs w:val="22"/>
              <w:u w:val="single"/>
              <w:lang w:val="fr-FR"/>
            </w:rPr>
            <w:t>AG/RES. 2912 (XLVII-O/17)</w:t>
          </w:r>
        </w:hyperlink>
      </w:hyperlink>
      <w:r w:rsidRPr="0026653F">
        <w:rPr>
          <w:bCs/>
          <w:color w:val="000000"/>
          <w:szCs w:val="22"/>
          <w:lang w:val="fr-FR" w:eastAsia="es-ES"/>
        </w:rPr>
        <w:t>. Cette analyse devra être présentée au Conseil permanent pour examen au plus tard le 15 mars 2021.</w:t>
      </w:r>
    </w:p>
    <w:p w14:paraId="1B9604C1" w14:textId="77777777" w:rsidR="009071BD" w:rsidRPr="0026653F" w:rsidRDefault="009071BD" w:rsidP="00C618DD">
      <w:pPr>
        <w:rPr>
          <w:color w:val="000000"/>
          <w:szCs w:val="22"/>
          <w:lang w:val="fr-FR" w:eastAsia="es-ES"/>
        </w:rPr>
      </w:pPr>
    </w:p>
    <w:p w14:paraId="65411C6E" w14:textId="239A2C29" w:rsidR="009071BD" w:rsidRPr="0026653F" w:rsidRDefault="009071BD" w:rsidP="00C618DD">
      <w:pPr>
        <w:ind w:left="2160" w:hanging="744"/>
        <w:rPr>
          <w:bCs/>
          <w:color w:val="000000"/>
          <w:szCs w:val="22"/>
          <w:lang w:val="fr-FR" w:eastAsia="es-ES"/>
        </w:rPr>
      </w:pPr>
      <w:r w:rsidRPr="0026653F">
        <w:rPr>
          <w:bCs/>
          <w:color w:val="000000"/>
          <w:szCs w:val="22"/>
          <w:lang w:val="fr-FR" w:eastAsia="es-ES"/>
        </w:rPr>
        <w:t>f)</w:t>
      </w:r>
      <w:r w:rsidRPr="0026653F">
        <w:rPr>
          <w:bCs/>
          <w:color w:val="000000"/>
          <w:szCs w:val="22"/>
          <w:lang w:val="fr-FR" w:eastAsia="es-ES"/>
        </w:rPr>
        <w:tab/>
        <w:t xml:space="preserve">De charger le Secrétariat général, conformément à la résolution </w:t>
      </w:r>
      <w:hyperlink r:id="rId83" w:history="1">
        <w:r w:rsidR="00B55192" w:rsidRPr="0026653F">
          <w:rPr>
            <w:color w:val="0000FF"/>
            <w:szCs w:val="22"/>
            <w:u w:val="single"/>
            <w:lang w:val="fr-FR" w:eastAsia="es-ES"/>
          </w:rPr>
          <w:t>AG/RES. 617 (XII-O/82)</w:t>
        </w:r>
      </w:hyperlink>
      <w:r w:rsidRPr="0026653F">
        <w:rPr>
          <w:bCs/>
          <w:color w:val="000000"/>
          <w:szCs w:val="22"/>
          <w:lang w:val="fr-FR" w:eastAsia="es-ES"/>
        </w:rPr>
        <w:t xml:space="preserve"> : </w:t>
      </w:r>
    </w:p>
    <w:p w14:paraId="0DEC8A45" w14:textId="77777777" w:rsidR="009071BD" w:rsidRPr="0026653F" w:rsidRDefault="009071BD" w:rsidP="00C618DD">
      <w:pPr>
        <w:rPr>
          <w:color w:val="000000"/>
          <w:szCs w:val="22"/>
          <w:lang w:val="fr-FR"/>
        </w:rPr>
      </w:pPr>
    </w:p>
    <w:p w14:paraId="46813888" w14:textId="77777777" w:rsidR="009071BD" w:rsidRPr="0026653F" w:rsidRDefault="009071BD" w:rsidP="00C618DD">
      <w:pPr>
        <w:numPr>
          <w:ilvl w:val="0"/>
          <w:numId w:val="13"/>
        </w:numPr>
        <w:ind w:left="2880" w:hanging="720"/>
        <w:rPr>
          <w:color w:val="000000"/>
          <w:szCs w:val="22"/>
          <w:lang w:val="fr-FR"/>
        </w:rPr>
      </w:pPr>
      <w:r w:rsidRPr="0026653F">
        <w:rPr>
          <w:color w:val="000000"/>
          <w:szCs w:val="22"/>
          <w:lang w:val="fr-FR"/>
        </w:rPr>
        <w:t xml:space="preserve">De faire rapport </w:t>
      </w:r>
      <w:r w:rsidRPr="0026653F">
        <w:rPr>
          <w:bCs/>
          <w:color w:val="000000"/>
          <w:szCs w:val="22"/>
          <w:lang w:val="fr-FR"/>
        </w:rPr>
        <w:t>tous les six mois</w:t>
      </w:r>
      <w:r w:rsidRPr="0026653F">
        <w:rPr>
          <w:b/>
          <w:bCs/>
          <w:color w:val="000000"/>
          <w:szCs w:val="22"/>
          <w:lang w:val="fr-FR"/>
        </w:rPr>
        <w:t xml:space="preserve"> </w:t>
      </w:r>
      <w:r w:rsidRPr="0026653F">
        <w:rPr>
          <w:color w:val="000000"/>
          <w:szCs w:val="22"/>
          <w:lang w:val="fr-FR"/>
        </w:rPr>
        <w:t xml:space="preserve">aux organes compétents en l'espèce de l'Organisation sur les projets qui n'émargent pas au programme-budget de celle-ci mais bénéficient de contributions apportées par des États </w:t>
      </w:r>
      <w:proofErr w:type="gramStart"/>
      <w:r w:rsidRPr="0026653F">
        <w:rPr>
          <w:color w:val="000000"/>
          <w:szCs w:val="22"/>
          <w:lang w:val="fr-FR"/>
        </w:rPr>
        <w:t>non membres</w:t>
      </w:r>
      <w:proofErr w:type="gramEnd"/>
      <w:r w:rsidRPr="0026653F">
        <w:rPr>
          <w:color w:val="000000"/>
          <w:szCs w:val="22"/>
          <w:lang w:val="fr-FR"/>
        </w:rPr>
        <w:t xml:space="preserve"> ayant le statut d'observateur permanent auprès de l'OEA.</w:t>
      </w:r>
    </w:p>
    <w:p w14:paraId="66628D79" w14:textId="77777777" w:rsidR="009071BD" w:rsidRPr="0026653F" w:rsidRDefault="009071BD" w:rsidP="00C618DD">
      <w:pPr>
        <w:rPr>
          <w:color w:val="000000"/>
          <w:szCs w:val="22"/>
          <w:lang w:val="fr-FR"/>
        </w:rPr>
      </w:pPr>
    </w:p>
    <w:p w14:paraId="6DDA5384" w14:textId="77777777" w:rsidR="009071BD" w:rsidRPr="0026653F" w:rsidRDefault="009071BD" w:rsidP="00C618DD">
      <w:pPr>
        <w:numPr>
          <w:ilvl w:val="0"/>
          <w:numId w:val="13"/>
        </w:numPr>
        <w:ind w:left="2880" w:hanging="720"/>
        <w:rPr>
          <w:color w:val="000000"/>
          <w:szCs w:val="22"/>
          <w:lang w:val="fr-FR"/>
        </w:rPr>
      </w:pPr>
      <w:r w:rsidRPr="0026653F">
        <w:rPr>
          <w:color w:val="000000"/>
          <w:szCs w:val="22"/>
          <w:lang w:val="fr-FR"/>
        </w:rPr>
        <w:lastRenderedPageBreak/>
        <w:t xml:space="preserve">En ce qui concerne les projets dont les contributions extérieures proviennent d’États </w:t>
      </w:r>
      <w:proofErr w:type="gramStart"/>
      <w:r w:rsidRPr="0026653F">
        <w:rPr>
          <w:color w:val="000000"/>
          <w:szCs w:val="22"/>
          <w:lang w:val="fr-FR"/>
        </w:rPr>
        <w:t>non membres</w:t>
      </w:r>
      <w:proofErr w:type="gramEnd"/>
      <w:r w:rsidRPr="0026653F">
        <w:rPr>
          <w:color w:val="000000"/>
          <w:szCs w:val="22"/>
          <w:lang w:val="fr-FR"/>
        </w:rPr>
        <w:t xml:space="preserve"> qui n’ont pas le statut d’observateur permanent auprès de l’Organisation, de mener les consultations préalables qui s’imposent auprès du conseil compétent en l’espèce.</w:t>
      </w:r>
    </w:p>
    <w:p w14:paraId="6BC2D2C1" w14:textId="77777777" w:rsidR="009071BD" w:rsidRPr="0026653F" w:rsidRDefault="009071BD" w:rsidP="00C618DD">
      <w:pPr>
        <w:rPr>
          <w:color w:val="000000"/>
          <w:szCs w:val="22"/>
          <w:lang w:val="fr-FR"/>
        </w:rPr>
      </w:pPr>
    </w:p>
    <w:p w14:paraId="2C1C3438" w14:textId="77777777" w:rsidR="009071BD" w:rsidRPr="0026653F" w:rsidRDefault="009071BD" w:rsidP="00C618DD">
      <w:pPr>
        <w:numPr>
          <w:ilvl w:val="0"/>
          <w:numId w:val="13"/>
        </w:numPr>
        <w:ind w:left="2880" w:hanging="720"/>
        <w:rPr>
          <w:color w:val="000000"/>
          <w:szCs w:val="22"/>
          <w:lang w:val="fr-FR"/>
        </w:rPr>
      </w:pPr>
      <w:r w:rsidRPr="0026653F">
        <w:rPr>
          <w:color w:val="000000"/>
          <w:szCs w:val="22"/>
          <w:lang w:val="fr-FR"/>
        </w:rPr>
        <w:t xml:space="preserve">En ce qui concerne des conventions générales de coopération tant avec des pays observateurs permanents qu’avec d’autres États </w:t>
      </w:r>
      <w:proofErr w:type="gramStart"/>
      <w:r w:rsidRPr="0026653F">
        <w:rPr>
          <w:color w:val="000000"/>
          <w:szCs w:val="22"/>
          <w:lang w:val="fr-FR"/>
        </w:rPr>
        <w:t>non membres</w:t>
      </w:r>
      <w:proofErr w:type="gramEnd"/>
      <w:r w:rsidRPr="0026653F">
        <w:rPr>
          <w:color w:val="000000"/>
          <w:szCs w:val="22"/>
          <w:lang w:val="fr-FR"/>
        </w:rPr>
        <w:t>, de demander l’approbation préalable du Conseil permanent.</w:t>
      </w:r>
    </w:p>
    <w:p w14:paraId="510C16CB" w14:textId="77777777" w:rsidR="009071BD" w:rsidRPr="0026653F" w:rsidRDefault="009071BD" w:rsidP="00C618DD">
      <w:pPr>
        <w:contextualSpacing/>
        <w:rPr>
          <w:rFonts w:eastAsia="Arial Unicode MS"/>
          <w:szCs w:val="22"/>
          <w:lang w:val="fr-FR" w:eastAsia="es-ES"/>
        </w:rPr>
      </w:pPr>
    </w:p>
    <w:p w14:paraId="57D34A67" w14:textId="6C9CD977" w:rsidR="009071BD" w:rsidRPr="0026653F" w:rsidRDefault="009071BD" w:rsidP="00C618DD">
      <w:pPr>
        <w:ind w:left="2160" w:hanging="744"/>
        <w:rPr>
          <w:bCs/>
          <w:color w:val="000000"/>
          <w:szCs w:val="22"/>
          <w:lang w:val="fr-FR" w:eastAsia="es-ES"/>
        </w:rPr>
      </w:pPr>
      <w:r w:rsidRPr="0026653F">
        <w:rPr>
          <w:bCs/>
          <w:color w:val="000000"/>
          <w:szCs w:val="22"/>
          <w:lang w:val="fr-FR" w:eastAsia="es-ES"/>
        </w:rPr>
        <w:t>g)</w:t>
      </w:r>
      <w:r w:rsidRPr="0026653F">
        <w:rPr>
          <w:bCs/>
          <w:color w:val="000000"/>
          <w:szCs w:val="22"/>
          <w:lang w:val="fr-FR" w:eastAsia="es-ES"/>
        </w:rPr>
        <w:tab/>
        <w:t>De faire rapport aux États membres sur les accords, contrats et/ou protocoles d’entente en cours de discussion ou convenus pour les cas décrits à l’alinéa f.i. du présent paragraphe, et de présenter tous les six mois des rapports à la CAAP et aux organes compétents de l’Organisation.</w:t>
      </w:r>
    </w:p>
    <w:p w14:paraId="5FDA3765" w14:textId="77777777" w:rsidR="009071BD" w:rsidRPr="0026653F" w:rsidRDefault="009071BD" w:rsidP="00C618DD">
      <w:pPr>
        <w:rPr>
          <w:color w:val="000000"/>
          <w:szCs w:val="22"/>
          <w:u w:val="single"/>
          <w:lang w:val="fr-FR"/>
        </w:rPr>
      </w:pPr>
    </w:p>
    <w:p w14:paraId="518BFFB2" w14:textId="77777777" w:rsidR="009071BD" w:rsidRPr="0026653F" w:rsidRDefault="009071BD" w:rsidP="00C618DD">
      <w:pPr>
        <w:numPr>
          <w:ilvl w:val="0"/>
          <w:numId w:val="58"/>
        </w:numPr>
        <w:ind w:left="1440" w:hanging="720"/>
        <w:rPr>
          <w:color w:val="000000"/>
          <w:szCs w:val="22"/>
          <w:u w:val="single"/>
          <w:lang w:val="fr-FR"/>
        </w:rPr>
      </w:pPr>
      <w:r w:rsidRPr="0026653F">
        <w:rPr>
          <w:color w:val="000000"/>
          <w:szCs w:val="22"/>
          <w:u w:val="single"/>
          <w:lang w:val="fr-FR"/>
        </w:rPr>
        <w:t>Recouvrement des coûts directs et indirects</w:t>
      </w:r>
    </w:p>
    <w:p w14:paraId="02DD3FFC" w14:textId="77777777" w:rsidR="009071BD" w:rsidRPr="0026653F" w:rsidRDefault="009071BD" w:rsidP="00C618DD">
      <w:pPr>
        <w:rPr>
          <w:color w:val="000000"/>
          <w:szCs w:val="22"/>
          <w:lang w:val="fr-FR" w:eastAsia="es-ES"/>
        </w:rPr>
      </w:pPr>
    </w:p>
    <w:p w14:paraId="7CEC64BC" w14:textId="7E568F2D" w:rsidR="009071BD" w:rsidRPr="0026653F" w:rsidRDefault="009071BD" w:rsidP="00C618DD">
      <w:pPr>
        <w:numPr>
          <w:ilvl w:val="0"/>
          <w:numId w:val="59"/>
        </w:numPr>
        <w:ind w:left="2160" w:hanging="720"/>
        <w:rPr>
          <w:bCs/>
          <w:szCs w:val="22"/>
          <w:lang w:val="fr-FR" w:eastAsia="es-ES"/>
        </w:rPr>
      </w:pPr>
      <w:r w:rsidRPr="0026653F">
        <w:rPr>
          <w:szCs w:val="22"/>
          <w:bdr w:val="none" w:sz="0" w:space="0" w:color="auto" w:frame="1"/>
          <w:lang w:val="fr-FR"/>
        </w:rPr>
        <w:t>De demander au Secrétariat général, dans un délai maximum de 90 jours à compter de l'a</w:t>
      </w:r>
      <w:r w:rsidR="00D76B86" w:rsidRPr="0026653F">
        <w:rPr>
          <w:szCs w:val="22"/>
          <w:bdr w:val="none" w:sz="0" w:space="0" w:color="auto" w:frame="1"/>
          <w:lang w:val="fr-FR"/>
        </w:rPr>
        <w:t xml:space="preserve">doption </w:t>
      </w:r>
      <w:r w:rsidRPr="0026653F">
        <w:rPr>
          <w:szCs w:val="22"/>
          <w:bdr w:val="none" w:sz="0" w:space="0" w:color="auto" w:frame="1"/>
          <w:lang w:val="fr-FR"/>
        </w:rPr>
        <w:t xml:space="preserve">de la présente résolution, de présenter à la CAAP pour examen une méthodologie pour le recouvrement des coûts directs liés à </w:t>
      </w:r>
      <w:r w:rsidR="00D76B86" w:rsidRPr="0026653F">
        <w:rPr>
          <w:szCs w:val="22"/>
          <w:bdr w:val="none" w:sz="0" w:space="0" w:color="auto" w:frame="1"/>
          <w:lang w:val="fr-FR"/>
        </w:rPr>
        <w:t>l’exécution</w:t>
      </w:r>
      <w:r w:rsidRPr="0026653F">
        <w:rPr>
          <w:szCs w:val="22"/>
          <w:bdr w:val="none" w:sz="0" w:space="0" w:color="auto" w:frame="1"/>
          <w:lang w:val="fr-FR"/>
        </w:rPr>
        <w:t xml:space="preserve"> de projets financés par des fonds spécifiques. La méthodologie entrera en vigueur une fois qu’elle aura été approuvée par le Conseil permanent</w:t>
      </w:r>
      <w:r w:rsidRPr="0026653F">
        <w:rPr>
          <w:bCs/>
          <w:szCs w:val="22"/>
          <w:bdr w:val="none" w:sz="0" w:space="0" w:color="auto" w:frame="1"/>
          <w:lang w:val="fr-FR" w:eastAsia="es-ES"/>
        </w:rPr>
        <w:t>.</w:t>
      </w:r>
    </w:p>
    <w:p w14:paraId="13E1775D" w14:textId="77777777" w:rsidR="009071BD" w:rsidRPr="0026653F" w:rsidRDefault="009071BD" w:rsidP="00C618DD">
      <w:pPr>
        <w:rPr>
          <w:szCs w:val="22"/>
          <w:bdr w:val="none" w:sz="0" w:space="0" w:color="auto" w:frame="1"/>
          <w:lang w:val="fr-FR"/>
        </w:rPr>
      </w:pPr>
    </w:p>
    <w:p w14:paraId="4BACE6F4" w14:textId="77777777" w:rsidR="009071BD" w:rsidRPr="0026653F" w:rsidRDefault="009071BD" w:rsidP="00C618DD">
      <w:pPr>
        <w:numPr>
          <w:ilvl w:val="0"/>
          <w:numId w:val="59"/>
        </w:numPr>
        <w:ind w:left="2160" w:hanging="720"/>
        <w:rPr>
          <w:bCs/>
          <w:szCs w:val="22"/>
          <w:lang w:val="fr-FR" w:eastAsia="es-ES"/>
        </w:rPr>
      </w:pPr>
      <w:r w:rsidRPr="0026653F">
        <w:rPr>
          <w:szCs w:val="22"/>
          <w:lang w:val="fr-FR"/>
        </w:rPr>
        <w:t xml:space="preserve">De charger le Conseil permanent, par l'intermédiaire de la CAAP, de poursuivre son analyse de l'étude sur la révision de la politique de recouvrement des coûts indirects en ce qui concerne la réduction éventuelle du taux de 13 % applicable à tous les projets et programmes financés par des fonds spécifiques. Le Conseil permanent est autorisé, en tenant compte des recommandations de la CAAP, à adopter les mesures s’avérant nécessaires, y compris la possibilité de priver d’effet </w:t>
      </w:r>
      <w:r w:rsidRPr="0026653F">
        <w:rPr>
          <w:szCs w:val="22"/>
          <w:bdr w:val="none" w:sz="0" w:space="0" w:color="auto" w:frame="1"/>
          <w:lang w:val="fr-FR"/>
        </w:rPr>
        <w:t>l'instruction prévue aux termes de la résolution AG/RES</w:t>
      </w:r>
      <w:r w:rsidRPr="0026653F">
        <w:rPr>
          <w:szCs w:val="22"/>
          <w:lang w:val="fr-FR"/>
        </w:rPr>
        <w:t>.</w:t>
      </w:r>
      <w:r w:rsidRPr="0026653F">
        <w:rPr>
          <w:szCs w:val="22"/>
          <w:bdr w:val="none" w:sz="0" w:space="0" w:color="auto" w:frame="1"/>
          <w:lang w:val="fr-FR"/>
        </w:rPr>
        <w:t> 2892 (XLVI-O/16) concernant l’application de ce taux</w:t>
      </w:r>
      <w:r w:rsidRPr="0026653F">
        <w:rPr>
          <w:bCs/>
          <w:szCs w:val="22"/>
          <w:bdr w:val="none" w:sz="0" w:space="0" w:color="auto" w:frame="1"/>
          <w:lang w:val="fr-FR" w:eastAsia="es-ES"/>
        </w:rPr>
        <w:t>.</w:t>
      </w:r>
    </w:p>
    <w:p w14:paraId="4324F303" w14:textId="77777777" w:rsidR="009071BD" w:rsidRPr="0026653F" w:rsidRDefault="009071BD" w:rsidP="004E44A6">
      <w:pPr>
        <w:rPr>
          <w:szCs w:val="22"/>
          <w:bdr w:val="none" w:sz="0" w:space="0" w:color="auto" w:frame="1"/>
          <w:lang w:val="fr-FR"/>
        </w:rPr>
      </w:pPr>
    </w:p>
    <w:p w14:paraId="7B8B81CB" w14:textId="77777777" w:rsidR="009071BD" w:rsidRPr="0026653F" w:rsidRDefault="009071BD" w:rsidP="00C618DD">
      <w:pPr>
        <w:numPr>
          <w:ilvl w:val="0"/>
          <w:numId w:val="59"/>
        </w:numPr>
        <w:ind w:left="2160" w:hanging="720"/>
        <w:rPr>
          <w:bCs/>
          <w:szCs w:val="22"/>
          <w:lang w:val="fr-FR" w:eastAsia="es-ES"/>
        </w:rPr>
      </w:pPr>
      <w:r w:rsidRPr="0026653F">
        <w:rPr>
          <w:szCs w:val="22"/>
          <w:lang w:val="fr-FR"/>
        </w:rPr>
        <w:t>De charger le Secrétariat général d’examiner les possibilités qui s’offrent pour répartir les ressources provenant du RCI dans le budget 2022, selon une formule qui sera définie par les États membres, laquelle doit prévoir un pourcentage à débourser au titre des coûts différés pour toutes les immobilisations de l’Organisation, un autre qui sera réparti entre les coûts indirects de l’Organisation et un dernier entre les chapitres au titre des coûts indirects proportionnellement au montant des fonds spécifiques versés en contribution</w:t>
      </w:r>
      <w:r w:rsidRPr="0026653F">
        <w:rPr>
          <w:bCs/>
          <w:szCs w:val="22"/>
          <w:lang w:val="fr-FR" w:eastAsia="es-ES"/>
        </w:rPr>
        <w:t>.</w:t>
      </w:r>
    </w:p>
    <w:p w14:paraId="31FF426E" w14:textId="77777777" w:rsidR="009071BD" w:rsidRPr="0026653F" w:rsidRDefault="009071BD" w:rsidP="00C618DD">
      <w:pPr>
        <w:rPr>
          <w:color w:val="000000"/>
          <w:szCs w:val="22"/>
          <w:lang w:val="fr-FR" w:eastAsia="es-ES"/>
        </w:rPr>
      </w:pPr>
    </w:p>
    <w:p w14:paraId="28A44F34" w14:textId="77777777" w:rsidR="009071BD" w:rsidRPr="0026653F" w:rsidRDefault="009071BD" w:rsidP="00C618DD">
      <w:pPr>
        <w:numPr>
          <w:ilvl w:val="0"/>
          <w:numId w:val="58"/>
        </w:numPr>
        <w:ind w:left="1440" w:hanging="720"/>
        <w:rPr>
          <w:color w:val="000000"/>
          <w:szCs w:val="22"/>
          <w:lang w:val="fr-FR"/>
        </w:rPr>
      </w:pPr>
      <w:r w:rsidRPr="0026653F">
        <w:rPr>
          <w:color w:val="000000"/>
          <w:szCs w:val="22"/>
          <w:u w:val="single"/>
          <w:lang w:val="fr-FR"/>
        </w:rPr>
        <w:t>Ressources du Programme de bourses d’études et de perfectionnement de l'OEA</w:t>
      </w:r>
    </w:p>
    <w:p w14:paraId="427F3E2E" w14:textId="77777777" w:rsidR="009071BD" w:rsidRPr="0026653F" w:rsidRDefault="009071BD" w:rsidP="00C618DD">
      <w:pPr>
        <w:jc w:val="left"/>
        <w:rPr>
          <w:color w:val="000000"/>
          <w:szCs w:val="22"/>
          <w:lang w:val="fr-FR" w:eastAsia="es-ES"/>
        </w:rPr>
      </w:pPr>
    </w:p>
    <w:p w14:paraId="26813EB5" w14:textId="585D828B" w:rsidR="009071BD" w:rsidRPr="0026653F" w:rsidRDefault="009071BD" w:rsidP="00C618DD">
      <w:pPr>
        <w:numPr>
          <w:ilvl w:val="0"/>
          <w:numId w:val="14"/>
        </w:numPr>
        <w:ind w:left="2160" w:hanging="720"/>
        <w:rPr>
          <w:color w:val="000000"/>
          <w:szCs w:val="22"/>
          <w:lang w:val="fr-FR"/>
        </w:rPr>
      </w:pPr>
      <w:r w:rsidRPr="0026653F">
        <w:rPr>
          <w:color w:val="000000"/>
          <w:szCs w:val="22"/>
          <w:lang w:val="fr-FR"/>
        </w:rPr>
        <w:t>De réitérer la teneur du paragraphe 22 de la résolution AG/RES. </w:t>
      </w:r>
      <w:r w:rsidRPr="0026653F">
        <w:rPr>
          <w:szCs w:val="22"/>
          <w:lang w:val="fr-FR"/>
        </w:rPr>
        <w:t xml:space="preserve">2916 (XLVIII-O/18), qui reprend les recommandations provisoires </w:t>
      </w:r>
      <w:r w:rsidR="00D76B86" w:rsidRPr="0026653F">
        <w:rPr>
          <w:szCs w:val="22"/>
          <w:lang w:val="fr-FR"/>
        </w:rPr>
        <w:t xml:space="preserve">et globales </w:t>
      </w:r>
      <w:r w:rsidRPr="0026653F">
        <w:rPr>
          <w:szCs w:val="22"/>
          <w:lang w:val="fr-FR"/>
        </w:rPr>
        <w:t xml:space="preserve">issues du Groupe de travail chargé d’analyser et d’évaluer le fonctionnement </w:t>
      </w:r>
      <w:r w:rsidRPr="0026653F">
        <w:rPr>
          <w:szCs w:val="22"/>
          <w:lang w:val="fr-FR"/>
        </w:rPr>
        <w:lastRenderedPageBreak/>
        <w:t xml:space="preserve">de tous les programmes de bourses d’études et de perfectionnement de l'OEA et approuvées par le CIDI </w:t>
      </w:r>
      <w:r w:rsidR="00D76B86" w:rsidRPr="0026653F">
        <w:rPr>
          <w:szCs w:val="22"/>
          <w:lang w:val="fr-FR"/>
        </w:rPr>
        <w:t>(</w:t>
      </w:r>
      <w:hyperlink r:id="rId84" w:history="1">
        <w:r w:rsidRPr="0026653F">
          <w:rPr>
            <w:color w:val="0000FF"/>
            <w:szCs w:val="22"/>
            <w:u w:val="single"/>
            <w:lang w:val="fr-FR"/>
          </w:rPr>
          <w:t>CIDI/doc.239/17</w:t>
        </w:r>
      </w:hyperlink>
      <w:r w:rsidRPr="0026653F">
        <w:rPr>
          <w:color w:val="000000"/>
          <w:szCs w:val="22"/>
          <w:lang w:val="fr-FR"/>
        </w:rPr>
        <w:t xml:space="preserve"> et </w:t>
      </w:r>
      <w:hyperlink r:id="rId85" w:history="1">
        <w:r w:rsidRPr="0026653F">
          <w:rPr>
            <w:color w:val="0000FF"/>
            <w:szCs w:val="22"/>
            <w:u w:val="single"/>
            <w:lang w:val="fr-FR"/>
          </w:rPr>
          <w:t>CIDI/doc.256/18</w:t>
        </w:r>
      </w:hyperlink>
      <w:r w:rsidR="00D76B86" w:rsidRPr="0026653F">
        <w:rPr>
          <w:color w:val="0000FF"/>
          <w:szCs w:val="22"/>
          <w:u w:val="single"/>
          <w:lang w:val="fr-FR"/>
        </w:rPr>
        <w:t>)</w:t>
      </w:r>
      <w:r w:rsidRPr="0026653F">
        <w:rPr>
          <w:szCs w:val="22"/>
          <w:lang w:val="fr-FR"/>
        </w:rPr>
        <w:t>, et charge le CIDI de veiller à la mise en œuvre de ces mandats.</w:t>
      </w:r>
    </w:p>
    <w:p w14:paraId="474F70FB" w14:textId="77777777" w:rsidR="009071BD" w:rsidRPr="0026653F" w:rsidRDefault="009071BD" w:rsidP="00C618DD">
      <w:pPr>
        <w:rPr>
          <w:color w:val="000000"/>
          <w:szCs w:val="22"/>
          <w:lang w:val="fr-FR"/>
        </w:rPr>
      </w:pPr>
    </w:p>
    <w:p w14:paraId="4DAE351C" w14:textId="77777777" w:rsidR="009071BD" w:rsidRPr="0026653F" w:rsidRDefault="009071BD" w:rsidP="00C618DD">
      <w:pPr>
        <w:numPr>
          <w:ilvl w:val="0"/>
          <w:numId w:val="14"/>
        </w:numPr>
        <w:ind w:left="2160" w:hanging="720"/>
        <w:rPr>
          <w:color w:val="000000"/>
          <w:szCs w:val="22"/>
          <w:lang w:val="fr-FR"/>
        </w:rPr>
      </w:pPr>
      <w:r w:rsidRPr="0026653F">
        <w:rPr>
          <w:color w:val="000000"/>
          <w:szCs w:val="22"/>
          <w:lang w:val="fr-FR"/>
        </w:rPr>
        <w:t>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w:t>
      </w:r>
    </w:p>
    <w:p w14:paraId="2F384A8A" w14:textId="77777777" w:rsidR="009071BD" w:rsidRPr="0026653F" w:rsidRDefault="009071BD" w:rsidP="00C618DD">
      <w:pPr>
        <w:rPr>
          <w:color w:val="000000"/>
          <w:szCs w:val="22"/>
          <w:lang w:val="fr-FR" w:eastAsia="es-ES"/>
        </w:rPr>
      </w:pPr>
    </w:p>
    <w:p w14:paraId="1D906208" w14:textId="34D2126C" w:rsidR="009071BD" w:rsidRPr="0026653F" w:rsidRDefault="009071BD" w:rsidP="00C618DD">
      <w:pPr>
        <w:numPr>
          <w:ilvl w:val="0"/>
          <w:numId w:val="14"/>
        </w:numPr>
        <w:ind w:left="2160" w:hanging="720"/>
        <w:rPr>
          <w:color w:val="000000"/>
          <w:szCs w:val="22"/>
          <w:lang w:val="fr-FR"/>
        </w:rPr>
      </w:pPr>
      <w:r w:rsidRPr="0026653F">
        <w:rPr>
          <w:color w:val="000000"/>
          <w:szCs w:val="22"/>
          <w:lang w:val="fr-FR"/>
        </w:rPr>
        <w:t>D’autoriser le Secrétariat général à employer en 2021 jusqu’à 1 740 000 </w:t>
      </w:r>
      <w:r w:rsidR="000C1806" w:rsidRPr="0026653F">
        <w:rPr>
          <w:color w:val="000000"/>
          <w:szCs w:val="22"/>
          <w:lang w:val="fr-FR"/>
        </w:rPr>
        <w:t>USD à</w:t>
      </w:r>
      <w:r w:rsidRPr="0026653F">
        <w:rPr>
          <w:color w:val="000000"/>
          <w:szCs w:val="22"/>
          <w:lang w:val="fr-FR"/>
        </w:rPr>
        <w:t xml:space="preserve"> partir du Fonds ordinaire pour le Programme de bourses d’études et de perfectionnement de l'OEA afin de financer les </w:t>
      </w:r>
      <w:r w:rsidR="000C1806" w:rsidRPr="0026653F">
        <w:rPr>
          <w:color w:val="000000"/>
          <w:szCs w:val="22"/>
          <w:lang w:val="fr-FR"/>
        </w:rPr>
        <w:t xml:space="preserve">activités des </w:t>
      </w:r>
      <w:r w:rsidRPr="0026653F">
        <w:rPr>
          <w:color w:val="000000"/>
          <w:szCs w:val="22"/>
          <w:lang w:val="fr-FR"/>
        </w:rPr>
        <w:t>programmes suivants : le Programme d’alliances pour l’éducation et le perfectionnement (PAEC), le Programme de bourses d’études et de perfectionnement</w:t>
      </w:r>
      <w:r w:rsidRPr="0026653F">
        <w:rPr>
          <w:b/>
          <w:bCs/>
          <w:color w:val="000000"/>
          <w:szCs w:val="22"/>
          <w:lang w:val="fr-FR"/>
        </w:rPr>
        <w:t xml:space="preserve"> </w:t>
      </w:r>
      <w:r w:rsidRPr="0026653F">
        <w:rPr>
          <w:color w:val="000000"/>
          <w:szCs w:val="22"/>
          <w:lang w:val="fr-FR"/>
        </w:rPr>
        <w:t>et le Programme d’études universitaires de l’OEA, selon des modalités qui seront définies par le Conseil d’administration de l’AICD.</w:t>
      </w:r>
    </w:p>
    <w:p w14:paraId="470D94D6" w14:textId="77777777" w:rsidR="009071BD" w:rsidRPr="0026653F" w:rsidRDefault="009071BD" w:rsidP="00C618DD">
      <w:pPr>
        <w:rPr>
          <w:color w:val="000000"/>
          <w:szCs w:val="22"/>
          <w:lang w:val="fr-FR" w:eastAsia="es-ES"/>
        </w:rPr>
      </w:pPr>
    </w:p>
    <w:p w14:paraId="6F13BDF7" w14:textId="77777777" w:rsidR="009071BD" w:rsidRPr="0026653F" w:rsidRDefault="009071BD" w:rsidP="00C618DD">
      <w:pPr>
        <w:numPr>
          <w:ilvl w:val="0"/>
          <w:numId w:val="14"/>
        </w:numPr>
        <w:ind w:left="2160" w:hanging="720"/>
        <w:rPr>
          <w:color w:val="000000"/>
          <w:szCs w:val="22"/>
          <w:lang w:val="fr-FR"/>
        </w:rPr>
      </w:pPr>
      <w:r w:rsidRPr="0026653F">
        <w:rPr>
          <w:color w:val="000000"/>
          <w:szCs w:val="22"/>
          <w:lang w:val="fr-FR"/>
        </w:rPr>
        <w:t>De charger le Secrétariat général de rechercher des moyens permettant de renforcer ses partenariats, y compris en prévoyant des modalités d’apprentissage des langues, dans la mesure du possible.</w:t>
      </w:r>
    </w:p>
    <w:p w14:paraId="636B9FF8" w14:textId="77777777" w:rsidR="009071BD" w:rsidRPr="0026653F" w:rsidRDefault="009071BD" w:rsidP="00C618DD">
      <w:pPr>
        <w:rPr>
          <w:color w:val="000000"/>
          <w:szCs w:val="22"/>
          <w:lang w:val="fr-FR" w:eastAsia="es-ES"/>
        </w:rPr>
      </w:pPr>
    </w:p>
    <w:p w14:paraId="32E4D505" w14:textId="79C92266" w:rsidR="009071BD" w:rsidRPr="0026653F" w:rsidRDefault="009071BD" w:rsidP="00C618DD">
      <w:pPr>
        <w:numPr>
          <w:ilvl w:val="0"/>
          <w:numId w:val="14"/>
        </w:numPr>
        <w:ind w:left="2160" w:hanging="720"/>
        <w:rPr>
          <w:color w:val="000000"/>
          <w:szCs w:val="22"/>
          <w:lang w:val="fr-FR" w:eastAsia="es-ES"/>
        </w:rPr>
      </w:pPr>
      <w:r w:rsidRPr="0026653F">
        <w:rPr>
          <w:color w:val="000000"/>
          <w:szCs w:val="22"/>
          <w:lang w:val="fr-FR"/>
        </w:rPr>
        <w:t xml:space="preserve">De charger le Secrétariat général de préparer et/ou d’actualiser un plan ou une politique de reconstitution de capital et d’investissement </w:t>
      </w:r>
      <w:r w:rsidRPr="0026653F">
        <w:rPr>
          <w:bCs/>
          <w:color w:val="000000"/>
          <w:szCs w:val="22"/>
          <w:lang w:val="fr-FR"/>
        </w:rPr>
        <w:t xml:space="preserve">du </w:t>
      </w:r>
      <w:r w:rsidR="0076684B" w:rsidRPr="0026653F">
        <w:rPr>
          <w:color w:val="000000"/>
          <w:szCs w:val="22"/>
          <w:lang w:val="fr-FR"/>
        </w:rPr>
        <w:t>Fonds d’investissement de l'OEA pour le financement des programmes de bourses d’études et de perfectionnement </w:t>
      </w:r>
      <w:r w:rsidRPr="0026653F">
        <w:rPr>
          <w:color w:val="000000"/>
          <w:szCs w:val="22"/>
          <w:lang w:val="fr-FR"/>
        </w:rPr>
        <w:t xml:space="preserve">aux fins d'examen au sein </w:t>
      </w:r>
      <w:r w:rsidRPr="0026653F">
        <w:rPr>
          <w:bCs/>
          <w:color w:val="000000"/>
          <w:szCs w:val="22"/>
          <w:lang w:val="fr-FR"/>
        </w:rPr>
        <w:t>du Conseil d’administration de l’A</w:t>
      </w:r>
      <w:r w:rsidR="000C1806" w:rsidRPr="0026653F">
        <w:rPr>
          <w:bCs/>
          <w:color w:val="000000"/>
          <w:szCs w:val="22"/>
          <w:lang w:val="fr-FR"/>
        </w:rPr>
        <w:t xml:space="preserve">ICD </w:t>
      </w:r>
      <w:r w:rsidRPr="0026653F">
        <w:rPr>
          <w:bCs/>
          <w:color w:val="000000"/>
          <w:szCs w:val="22"/>
          <w:lang w:val="fr-FR"/>
        </w:rPr>
        <w:t>afin de contribuer à la viabilité</w:t>
      </w:r>
      <w:r w:rsidRPr="0026653F">
        <w:rPr>
          <w:color w:val="000000"/>
          <w:szCs w:val="22"/>
          <w:lang w:val="fr-FR"/>
        </w:rPr>
        <w:t xml:space="preserve"> des programmes de bourses d'études et de perfectionnement de l’OEA au plus tard le </w:t>
      </w:r>
      <w:r w:rsidRPr="0026653F">
        <w:rPr>
          <w:bCs/>
          <w:szCs w:val="22"/>
          <w:lang w:val="fr-FR"/>
        </w:rPr>
        <w:t>15 mars 2021</w:t>
      </w:r>
      <w:r w:rsidR="000C1806" w:rsidRPr="0026653F">
        <w:rPr>
          <w:bCs/>
          <w:szCs w:val="22"/>
          <w:lang w:val="fr-FR"/>
        </w:rPr>
        <w:t>.</w:t>
      </w:r>
    </w:p>
    <w:p w14:paraId="0FCCF830" w14:textId="77777777" w:rsidR="009071BD" w:rsidRPr="0026653F" w:rsidRDefault="009071BD" w:rsidP="00C618DD">
      <w:pPr>
        <w:rPr>
          <w:color w:val="000000"/>
          <w:szCs w:val="22"/>
          <w:lang w:val="fr-FR" w:eastAsia="es-ES"/>
        </w:rPr>
      </w:pPr>
    </w:p>
    <w:p w14:paraId="4559F4F9" w14:textId="78F4BEDE" w:rsidR="009071BD" w:rsidRPr="0026653F" w:rsidRDefault="009071BD" w:rsidP="00C618DD">
      <w:pPr>
        <w:numPr>
          <w:ilvl w:val="0"/>
          <w:numId w:val="14"/>
        </w:numPr>
        <w:ind w:left="2160" w:hanging="720"/>
        <w:rPr>
          <w:color w:val="000000"/>
          <w:szCs w:val="22"/>
          <w:lang w:val="fr-FR"/>
        </w:rPr>
      </w:pPr>
      <w:r w:rsidRPr="0026653F">
        <w:rPr>
          <w:color w:val="000000"/>
          <w:szCs w:val="22"/>
          <w:lang w:val="fr-FR"/>
        </w:rPr>
        <w:t xml:space="preserve">D’autoriser le Secrétariat général à déposer sur le Fonds d’investissement de l’OEA pour le financement des programmes de bourses d’études et de perfectionnement, en vertu de l’article 18 du Statut de l’AICD, tout montant non </w:t>
      </w:r>
      <w:proofErr w:type="gramStart"/>
      <w:r w:rsidRPr="0026653F">
        <w:rPr>
          <w:color w:val="000000"/>
          <w:szCs w:val="22"/>
          <w:lang w:val="fr-FR"/>
        </w:rPr>
        <w:t>utilisé</w:t>
      </w:r>
      <w:proofErr w:type="gramEnd"/>
      <w:r w:rsidRPr="0026653F">
        <w:rPr>
          <w:color w:val="000000"/>
          <w:szCs w:val="22"/>
          <w:lang w:val="fr-FR"/>
        </w:rPr>
        <w:t xml:space="preserve"> ou n’ayant pas fait l’objet d’un engagement de dépenses provenant des bourses d’études au titre de l’</w:t>
      </w:r>
      <w:r w:rsidR="000C1806" w:rsidRPr="0026653F">
        <w:rPr>
          <w:color w:val="000000"/>
          <w:szCs w:val="22"/>
          <w:lang w:val="fr-FR"/>
        </w:rPr>
        <w:t>o</w:t>
      </w:r>
      <w:r w:rsidRPr="0026653F">
        <w:rPr>
          <w:color w:val="000000"/>
          <w:szCs w:val="22"/>
          <w:lang w:val="fr-FR"/>
        </w:rPr>
        <w:t xml:space="preserve">bjet 3, dans les limites autorisées par l’article </w:t>
      </w:r>
      <w:r w:rsidRPr="0026653F">
        <w:rPr>
          <w:bCs/>
          <w:color w:val="000000"/>
          <w:szCs w:val="22"/>
          <w:lang w:val="fr-FR"/>
        </w:rPr>
        <w:t>106</w:t>
      </w:r>
      <w:r w:rsidRPr="0026653F">
        <w:rPr>
          <w:color w:val="000000"/>
          <w:szCs w:val="22"/>
          <w:lang w:val="fr-FR"/>
        </w:rPr>
        <w:t xml:space="preserve"> des Normes générales. Pour l’exécution de ce mandat, le Secrétariat général devra consulter le CIDI, par le truchement du Conseil d’administration de l’AICD, et obtenir l’approbation du Conseil permanent par le truchement de la CAAP.</w:t>
      </w:r>
    </w:p>
    <w:p w14:paraId="2717BC64" w14:textId="77777777" w:rsidR="009071BD" w:rsidRPr="0026653F" w:rsidRDefault="009071BD" w:rsidP="00C618DD">
      <w:pPr>
        <w:jc w:val="left"/>
        <w:rPr>
          <w:color w:val="000000"/>
          <w:szCs w:val="22"/>
          <w:lang w:val="fr-FR" w:eastAsia="es-ES"/>
        </w:rPr>
      </w:pPr>
    </w:p>
    <w:p w14:paraId="54A30A30" w14:textId="77777777" w:rsidR="009071BD" w:rsidRPr="0026653F" w:rsidRDefault="009071BD" w:rsidP="00C618DD">
      <w:pPr>
        <w:numPr>
          <w:ilvl w:val="0"/>
          <w:numId w:val="58"/>
        </w:numPr>
        <w:ind w:left="1440" w:hanging="720"/>
        <w:rPr>
          <w:color w:val="000000"/>
          <w:szCs w:val="22"/>
          <w:u w:val="single"/>
          <w:lang w:val="fr-FR"/>
        </w:rPr>
      </w:pPr>
      <w:r w:rsidRPr="0026653F">
        <w:rPr>
          <w:color w:val="000000"/>
          <w:szCs w:val="22"/>
          <w:u w:val="single"/>
          <w:lang w:val="fr-FR"/>
        </w:rPr>
        <w:t>Fondations soutenues par l’OEA</w:t>
      </w:r>
      <w:r w:rsidRPr="0026653F">
        <w:rPr>
          <w:color w:val="000000"/>
          <w:szCs w:val="22"/>
          <w:vertAlign w:val="superscript"/>
          <w:lang w:val="fr-FR"/>
        </w:rPr>
        <w:t xml:space="preserve"> </w:t>
      </w:r>
    </w:p>
    <w:p w14:paraId="0DCAC6AE" w14:textId="77777777" w:rsidR="009071BD" w:rsidRPr="0026653F" w:rsidRDefault="009071BD" w:rsidP="00C618DD">
      <w:pPr>
        <w:rPr>
          <w:color w:val="000000"/>
          <w:szCs w:val="22"/>
          <w:lang w:val="fr-FR" w:eastAsia="es-ES"/>
        </w:rPr>
      </w:pPr>
    </w:p>
    <w:p w14:paraId="3734C2A0" w14:textId="77777777" w:rsidR="009071BD" w:rsidRPr="0026653F" w:rsidRDefault="009071BD" w:rsidP="00C618DD">
      <w:pPr>
        <w:ind w:firstLine="720"/>
        <w:rPr>
          <w:color w:val="000000"/>
          <w:szCs w:val="22"/>
          <w:u w:val="single"/>
          <w:lang w:val="fr-FR"/>
        </w:rPr>
      </w:pPr>
      <w:r w:rsidRPr="0026653F">
        <w:rPr>
          <w:color w:val="000000"/>
          <w:szCs w:val="22"/>
          <w:lang w:val="fr-FR"/>
        </w:rPr>
        <w:t xml:space="preserve">De demander aux fondations soutenues par l'OEA, la Fondation panaméricaine pour le développement et la Fondation pour les Amériques, de maintenir une culture et une pratique d’austérité, </w:t>
      </w:r>
      <w:r w:rsidRPr="0026653F">
        <w:rPr>
          <w:color w:val="000000"/>
          <w:szCs w:val="22"/>
          <w:lang w:val="fr-FR"/>
        </w:rPr>
        <w:lastRenderedPageBreak/>
        <w:t>d’efficacité, d’efficience, de transparence, de prudence et de responsabilité dans l’emploi, l’exécution et la gestion des ressources allouées par l’Organisation.</w:t>
      </w:r>
    </w:p>
    <w:p w14:paraId="7E1B3D8D" w14:textId="77777777" w:rsidR="009071BD" w:rsidRPr="0026653F" w:rsidRDefault="009071BD" w:rsidP="00C618DD">
      <w:pPr>
        <w:rPr>
          <w:color w:val="000000"/>
          <w:szCs w:val="22"/>
          <w:lang w:val="fr-FR" w:eastAsia="es-ES"/>
        </w:rPr>
      </w:pPr>
    </w:p>
    <w:p w14:paraId="76154AB9" w14:textId="77777777" w:rsidR="009071BD" w:rsidRPr="0026653F" w:rsidRDefault="009071BD" w:rsidP="00C618DD">
      <w:pPr>
        <w:numPr>
          <w:ilvl w:val="0"/>
          <w:numId w:val="58"/>
        </w:numPr>
        <w:ind w:left="1440" w:hanging="720"/>
        <w:rPr>
          <w:color w:val="000000"/>
          <w:szCs w:val="22"/>
          <w:lang w:val="fr-FR"/>
        </w:rPr>
      </w:pPr>
      <w:r w:rsidRPr="0026653F">
        <w:rPr>
          <w:color w:val="000000"/>
          <w:szCs w:val="22"/>
          <w:u w:val="single"/>
          <w:lang w:val="fr-FR"/>
        </w:rPr>
        <w:t>Établissement d’un processus structuré d’élaboration et de présentation du budget</w:t>
      </w:r>
    </w:p>
    <w:p w14:paraId="29E088D4" w14:textId="77777777" w:rsidR="009071BD" w:rsidRPr="0026653F" w:rsidRDefault="009071BD" w:rsidP="00C618DD">
      <w:pPr>
        <w:rPr>
          <w:color w:val="000000"/>
          <w:szCs w:val="22"/>
          <w:lang w:val="fr-FR" w:eastAsia="es-ES"/>
        </w:rPr>
      </w:pPr>
    </w:p>
    <w:p w14:paraId="25EDFCF7" w14:textId="77777777" w:rsidR="009071BD" w:rsidRPr="004E44A6" w:rsidRDefault="009071BD" w:rsidP="00C618DD">
      <w:pPr>
        <w:ind w:left="2160" w:hanging="720"/>
        <w:rPr>
          <w:bCs/>
          <w:color w:val="000000"/>
          <w:szCs w:val="22"/>
          <w:lang w:val="fr-FR"/>
        </w:rPr>
      </w:pPr>
      <w:r w:rsidRPr="0026653F">
        <w:rPr>
          <w:color w:val="000000"/>
          <w:szCs w:val="22"/>
          <w:lang w:val="fr-FR"/>
        </w:rPr>
        <w:t>a)</w:t>
      </w:r>
      <w:r w:rsidRPr="0026653F">
        <w:rPr>
          <w:color w:val="000000"/>
          <w:szCs w:val="22"/>
          <w:lang w:val="fr-FR"/>
        </w:rPr>
        <w:tab/>
        <w:t xml:space="preserve">De donner pour instruction au Secrétariat général de confier au Secrétariat aux questions administratives et financières l’analyse et l’élaboration du programme-budget de l’Organisation en le dotant de ressources humaines suffisantes, qui possèdent une expérience pertinente </w:t>
      </w:r>
      <w:proofErr w:type="gramStart"/>
      <w:r w:rsidRPr="0026653F">
        <w:rPr>
          <w:color w:val="000000"/>
          <w:szCs w:val="22"/>
          <w:lang w:val="fr-FR"/>
        </w:rPr>
        <w:t>en questions</w:t>
      </w:r>
      <w:proofErr w:type="gramEnd"/>
      <w:r w:rsidRPr="0026653F">
        <w:rPr>
          <w:color w:val="000000"/>
          <w:szCs w:val="22"/>
          <w:lang w:val="fr-FR"/>
        </w:rPr>
        <w:t xml:space="preserve"> budgétaires et en agissant en coordination avec tous les services et toutes les entités de l’Organisation.</w:t>
      </w:r>
    </w:p>
    <w:p w14:paraId="360E624D" w14:textId="77777777" w:rsidR="009071BD" w:rsidRPr="0026653F" w:rsidRDefault="009071BD" w:rsidP="00C618DD">
      <w:pPr>
        <w:rPr>
          <w:color w:val="000000"/>
          <w:szCs w:val="22"/>
          <w:lang w:val="fr-FR"/>
        </w:rPr>
      </w:pPr>
    </w:p>
    <w:p w14:paraId="60DE0441" w14:textId="77777777" w:rsidR="009071BD" w:rsidRPr="0026653F" w:rsidRDefault="009071BD" w:rsidP="00C618DD">
      <w:pPr>
        <w:numPr>
          <w:ilvl w:val="1"/>
          <w:numId w:val="7"/>
        </w:numPr>
        <w:ind w:hanging="720"/>
        <w:contextualSpacing/>
        <w:rPr>
          <w:color w:val="000000"/>
          <w:szCs w:val="22"/>
          <w:lang w:val="fr-FR"/>
        </w:rPr>
      </w:pPr>
      <w:r w:rsidRPr="0026653F">
        <w:rPr>
          <w:color w:val="000000"/>
          <w:szCs w:val="22"/>
          <w:lang w:val="fr-FR"/>
        </w:rPr>
        <w:t>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w:t>
      </w:r>
    </w:p>
    <w:p w14:paraId="40561B1D" w14:textId="77777777" w:rsidR="009071BD" w:rsidRPr="0026653F" w:rsidRDefault="009071BD" w:rsidP="00C618DD">
      <w:pPr>
        <w:contextualSpacing/>
        <w:rPr>
          <w:color w:val="000000"/>
          <w:szCs w:val="22"/>
          <w:lang w:val="fr-FR"/>
        </w:rPr>
      </w:pPr>
    </w:p>
    <w:p w14:paraId="425AF7C9" w14:textId="28679BC9" w:rsidR="009071BD" w:rsidRPr="0026653F" w:rsidRDefault="009071BD" w:rsidP="00C618DD">
      <w:pPr>
        <w:numPr>
          <w:ilvl w:val="1"/>
          <w:numId w:val="7"/>
        </w:numPr>
        <w:ind w:hanging="720"/>
        <w:contextualSpacing/>
        <w:rPr>
          <w:color w:val="000000"/>
          <w:szCs w:val="22"/>
          <w:lang w:val="fr-FR"/>
        </w:rPr>
      </w:pPr>
      <w:r w:rsidRPr="0026653F">
        <w:rPr>
          <w:color w:val="000000"/>
          <w:szCs w:val="22"/>
          <w:lang w:val="fr-FR"/>
        </w:rPr>
        <w:t>De charger le Secrétariat général de continuer à utiliser le modèle approuvé par les États membres (</w:t>
      </w:r>
      <w:hyperlink r:id="rId86" w:history="1">
        <w:r w:rsidRPr="0026653F">
          <w:rPr>
            <w:color w:val="0000FF"/>
            <w:szCs w:val="22"/>
            <w:u w:val="single"/>
            <w:lang w:val="fr-FR"/>
          </w:rPr>
          <w:t>CP/CAAP-3664/20 rev. 1</w:t>
        </w:r>
      </w:hyperlink>
      <w:r w:rsidRPr="0026653F">
        <w:rPr>
          <w:color w:val="000000"/>
          <w:szCs w:val="22"/>
          <w:lang w:val="fr-FR"/>
        </w:rPr>
        <w:t xml:space="preserve">) lorsque les secrétariats présentent à la CAAP des informations concernant l’impact des propositions de budget </w:t>
      </w:r>
      <w:r w:rsidRPr="0026653F">
        <w:rPr>
          <w:bCs/>
          <w:color w:val="000000"/>
          <w:szCs w:val="22"/>
          <w:lang w:val="fr-FR"/>
        </w:rPr>
        <w:t>élaborées par le Secrétariat aux questions administratives et financières</w:t>
      </w:r>
      <w:r w:rsidRPr="0026653F">
        <w:rPr>
          <w:color w:val="000000"/>
          <w:szCs w:val="22"/>
          <w:lang w:val="fr-FR"/>
        </w:rPr>
        <w:t xml:space="preserve"> sur leurs secteurs respectifs. Les modèles renseignés par les secrétariats devront être examinés par le Secrétariat aux questions administratives et financières avant d’être présentés à la CAAP, </w:t>
      </w:r>
      <w:r w:rsidRPr="0026653F">
        <w:rPr>
          <w:bCs/>
          <w:color w:val="000000"/>
          <w:szCs w:val="22"/>
          <w:lang w:val="fr-FR"/>
        </w:rPr>
        <w:t>de même que le projet de programme-budget de l’Organisation. À leur tour, les secrétariats devront prendre connaissance des versions définitives des modèles distribués à la CAAP</w:t>
      </w:r>
      <w:r w:rsidRPr="0026653F">
        <w:rPr>
          <w:color w:val="000000"/>
          <w:szCs w:val="22"/>
          <w:lang w:val="fr-FR"/>
        </w:rPr>
        <w:t>. Le modèle doit comprendre notamment les éléments suivants :</w:t>
      </w:r>
    </w:p>
    <w:p w14:paraId="36E0A21A" w14:textId="77777777" w:rsidR="009071BD" w:rsidRPr="0026653F" w:rsidRDefault="009071BD" w:rsidP="00C618DD">
      <w:pPr>
        <w:rPr>
          <w:color w:val="000000"/>
          <w:szCs w:val="22"/>
          <w:lang w:val="fr-FR" w:eastAsia="es-ES"/>
        </w:rPr>
      </w:pPr>
    </w:p>
    <w:p w14:paraId="62B78F3E" w14:textId="77777777" w:rsidR="009071BD" w:rsidRPr="0026653F" w:rsidRDefault="009071BD" w:rsidP="00C618DD">
      <w:pPr>
        <w:numPr>
          <w:ilvl w:val="0"/>
          <w:numId w:val="15"/>
        </w:numPr>
        <w:ind w:left="2880" w:hanging="720"/>
        <w:contextualSpacing/>
        <w:rPr>
          <w:color w:val="000000"/>
          <w:szCs w:val="22"/>
          <w:lang w:val="fr-FR"/>
        </w:rPr>
      </w:pPr>
      <w:proofErr w:type="gramStart"/>
      <w:r w:rsidRPr="0026653F">
        <w:rPr>
          <w:color w:val="000000"/>
          <w:szCs w:val="22"/>
          <w:lang w:val="fr-FR"/>
        </w:rPr>
        <w:t>un</w:t>
      </w:r>
      <w:proofErr w:type="gramEnd"/>
      <w:r w:rsidRPr="0026653F">
        <w:rPr>
          <w:color w:val="000000"/>
          <w:szCs w:val="22"/>
          <w:lang w:val="fr-FR"/>
        </w:rPr>
        <w:t xml:space="preserve"> tableau indiquant le budget adopté l’année précédente, le montant affecté, le niveau d’exécution et le niveau de la nouvelle proposition de budget ;</w:t>
      </w:r>
    </w:p>
    <w:p w14:paraId="36FF2886" w14:textId="77777777" w:rsidR="009071BD" w:rsidRPr="0026653F" w:rsidRDefault="009071BD" w:rsidP="00C618DD">
      <w:pPr>
        <w:numPr>
          <w:ilvl w:val="0"/>
          <w:numId w:val="15"/>
        </w:numPr>
        <w:ind w:left="2880" w:hanging="720"/>
        <w:contextualSpacing/>
        <w:rPr>
          <w:color w:val="000000"/>
          <w:szCs w:val="22"/>
          <w:lang w:val="fr-FR"/>
        </w:rPr>
      </w:pPr>
      <w:proofErr w:type="gramStart"/>
      <w:r w:rsidRPr="0026653F">
        <w:rPr>
          <w:color w:val="000000"/>
          <w:szCs w:val="22"/>
          <w:lang w:val="fr-FR"/>
        </w:rPr>
        <w:t>des</w:t>
      </w:r>
      <w:proofErr w:type="gramEnd"/>
      <w:r w:rsidRPr="0026653F">
        <w:rPr>
          <w:color w:val="000000"/>
          <w:szCs w:val="22"/>
          <w:lang w:val="fr-FR"/>
        </w:rPr>
        <w:t xml:space="preserve"> points vignettes sur les principaux effets du niveau de financement proposé.</w:t>
      </w:r>
    </w:p>
    <w:p w14:paraId="75C25ED7" w14:textId="77777777" w:rsidR="009071BD" w:rsidRPr="0026653F" w:rsidRDefault="009071BD" w:rsidP="00C618DD">
      <w:pPr>
        <w:rPr>
          <w:color w:val="000000"/>
          <w:szCs w:val="22"/>
          <w:lang w:val="fr-FR" w:eastAsia="es-ES"/>
        </w:rPr>
      </w:pPr>
    </w:p>
    <w:p w14:paraId="3CBD46DB" w14:textId="77777777" w:rsidR="009071BD" w:rsidRPr="0026653F" w:rsidRDefault="009071BD" w:rsidP="00C618DD">
      <w:pPr>
        <w:numPr>
          <w:ilvl w:val="1"/>
          <w:numId w:val="7"/>
        </w:numPr>
        <w:ind w:hanging="720"/>
        <w:contextualSpacing/>
        <w:rPr>
          <w:color w:val="000000"/>
          <w:szCs w:val="22"/>
          <w:lang w:val="fr-FR"/>
        </w:rPr>
      </w:pPr>
      <w:r w:rsidRPr="0026653F">
        <w:rPr>
          <w:color w:val="000000"/>
          <w:szCs w:val="22"/>
          <w:lang w:val="fr-FR"/>
        </w:rPr>
        <w:t xml:space="preserve">De charger le Conseil permanent, par l’intermédiaire de la CAAP, et avec le soutien du Secrétariat général, de continuer à analyser différentes options pour l’établissement d’un processus budgétaire séparé et indépendant pour les mécanismes de supervision de l’OEA, y compris le Bureau de l’Ombudsman, le Bureau de l’Inspecteur général et le Tribunal administratif (TRIBAD). </w:t>
      </w:r>
      <w:r w:rsidRPr="0026653F">
        <w:rPr>
          <w:bCs/>
          <w:szCs w:val="22"/>
          <w:lang w:val="fr-FR" w:eastAsia="es-ES"/>
        </w:rPr>
        <w:t>Le Conseil permanent est autorisé à adopter, en tenant compte des recommandations de la CAAP, les mesures sur cette question.</w:t>
      </w:r>
    </w:p>
    <w:p w14:paraId="44541700" w14:textId="77777777" w:rsidR="009071BD" w:rsidRPr="0026653F" w:rsidRDefault="009071BD" w:rsidP="00C618DD">
      <w:pPr>
        <w:rPr>
          <w:color w:val="000000"/>
          <w:szCs w:val="22"/>
          <w:lang w:val="fr-FR"/>
        </w:rPr>
      </w:pPr>
    </w:p>
    <w:p w14:paraId="690333DD" w14:textId="62F2A25A" w:rsidR="009071BD" w:rsidRPr="0026653F" w:rsidRDefault="009071BD" w:rsidP="00C618DD">
      <w:pPr>
        <w:ind w:left="2124" w:hanging="684"/>
        <w:rPr>
          <w:szCs w:val="22"/>
          <w:lang w:val="fr-FR"/>
        </w:rPr>
      </w:pPr>
      <w:r w:rsidRPr="0026653F">
        <w:rPr>
          <w:szCs w:val="22"/>
          <w:lang w:val="fr-FR"/>
        </w:rPr>
        <w:t>e)</w:t>
      </w:r>
      <w:r w:rsidRPr="0026653F">
        <w:rPr>
          <w:szCs w:val="22"/>
          <w:lang w:val="fr-FR"/>
        </w:rPr>
        <w:tab/>
        <w:t xml:space="preserve">De charger le Secrétariat général de prendre en considération, lorsque les circonstances le permettent, l’équité nécessaire entre les quatre piliers programmatiques dans le cadre du processus d’élaboration budgétaire, dans le but d’assurer que les crédits budgétaires </w:t>
      </w:r>
      <w:r w:rsidR="00A96DDE" w:rsidRPr="0026653F">
        <w:rPr>
          <w:szCs w:val="22"/>
          <w:lang w:val="fr-FR"/>
        </w:rPr>
        <w:t xml:space="preserve">proposés </w:t>
      </w:r>
      <w:r w:rsidRPr="0026653F">
        <w:rPr>
          <w:szCs w:val="22"/>
          <w:lang w:val="fr-FR"/>
        </w:rPr>
        <w:t>permettent d’accomplir les mandats convenus par les organes politiques de l’Organisation, et de charger en outre le Secrétariat général de présenter à la CAAP au plus tard le 28 février 2021 des considérations sur la viabilité de parvenir à l’équité dans l</w:t>
      </w:r>
      <w:r w:rsidR="0076684B" w:rsidRPr="0026653F">
        <w:rPr>
          <w:szCs w:val="22"/>
          <w:lang w:val="fr-FR"/>
        </w:rPr>
        <w:t xml:space="preserve">a répartition </w:t>
      </w:r>
      <w:r w:rsidRPr="0026653F">
        <w:rPr>
          <w:szCs w:val="22"/>
          <w:lang w:val="fr-FR"/>
        </w:rPr>
        <w:t>de</w:t>
      </w:r>
      <w:r w:rsidR="0076684B" w:rsidRPr="0026653F">
        <w:rPr>
          <w:szCs w:val="22"/>
          <w:lang w:val="fr-FR"/>
        </w:rPr>
        <w:t>s</w:t>
      </w:r>
      <w:r w:rsidRPr="0026653F">
        <w:rPr>
          <w:szCs w:val="22"/>
          <w:lang w:val="fr-FR"/>
        </w:rPr>
        <w:t xml:space="preserve"> ressources du programme-budget 2022</w:t>
      </w:r>
      <w:r w:rsidR="0076684B" w:rsidRPr="0026653F">
        <w:rPr>
          <w:szCs w:val="22"/>
          <w:lang w:val="fr-FR"/>
        </w:rPr>
        <w:t xml:space="preserve"> entre les piliers</w:t>
      </w:r>
      <w:r w:rsidRPr="0026653F">
        <w:rPr>
          <w:szCs w:val="22"/>
          <w:lang w:val="fr-FR"/>
        </w:rPr>
        <w:t>.</w:t>
      </w:r>
    </w:p>
    <w:p w14:paraId="3AE98F76" w14:textId="77777777" w:rsidR="009071BD" w:rsidRPr="0026653F" w:rsidRDefault="009071BD" w:rsidP="00C618DD">
      <w:pPr>
        <w:rPr>
          <w:szCs w:val="22"/>
          <w:lang w:val="fr-FR"/>
        </w:rPr>
      </w:pPr>
    </w:p>
    <w:p w14:paraId="2D31641B" w14:textId="29D033C8" w:rsidR="009071BD" w:rsidRPr="0026653F" w:rsidRDefault="00E724A1" w:rsidP="00C618DD">
      <w:pPr>
        <w:keepNext/>
        <w:ind w:left="1440" w:hanging="720"/>
        <w:rPr>
          <w:szCs w:val="22"/>
          <w:lang w:val="fr-FR"/>
        </w:rPr>
      </w:pPr>
      <w:r w:rsidRPr="0026653F">
        <w:rPr>
          <w:szCs w:val="22"/>
          <w:lang w:val="fr-FR"/>
        </w:rPr>
        <w:t>8.</w:t>
      </w:r>
      <w:r w:rsidR="009071BD" w:rsidRPr="0026653F">
        <w:rPr>
          <w:szCs w:val="22"/>
          <w:lang w:val="fr-FR"/>
        </w:rPr>
        <w:tab/>
      </w:r>
      <w:r w:rsidR="009071BD" w:rsidRPr="0026653F">
        <w:rPr>
          <w:szCs w:val="22"/>
          <w:u w:val="single"/>
          <w:lang w:val="fr-FR"/>
        </w:rPr>
        <w:t>Réalisation d’une étude technique pour l’analyse de la méthodologie de calcul d</w:t>
      </w:r>
      <w:r w:rsidR="00A96DDE" w:rsidRPr="0026653F">
        <w:rPr>
          <w:szCs w:val="22"/>
          <w:u w:val="single"/>
          <w:lang w:val="fr-FR"/>
        </w:rPr>
        <w:t>u barème d</w:t>
      </w:r>
      <w:r w:rsidR="009071BD" w:rsidRPr="0026653F">
        <w:rPr>
          <w:szCs w:val="22"/>
          <w:u w:val="single"/>
          <w:lang w:val="fr-FR"/>
        </w:rPr>
        <w:t>es quotes-parts pour le financement du Fonds ordinaire de l’Organisation</w:t>
      </w:r>
    </w:p>
    <w:p w14:paraId="5ADA2929" w14:textId="77777777" w:rsidR="009071BD" w:rsidRPr="0026653F" w:rsidRDefault="009071BD" w:rsidP="00C618DD">
      <w:pPr>
        <w:keepNext/>
        <w:rPr>
          <w:szCs w:val="22"/>
          <w:bdr w:val="none" w:sz="0" w:space="0" w:color="auto" w:frame="1"/>
          <w:lang w:val="fr-FR"/>
        </w:rPr>
      </w:pPr>
    </w:p>
    <w:p w14:paraId="7E6A036D" w14:textId="01ABCC29" w:rsidR="009071BD" w:rsidRPr="004E44A6" w:rsidRDefault="009071BD" w:rsidP="00C618DD">
      <w:pPr>
        <w:ind w:firstLine="708"/>
        <w:rPr>
          <w:szCs w:val="22"/>
          <w:lang w:val="fr-FR" w:eastAsia="es-ES"/>
        </w:rPr>
      </w:pPr>
      <w:r w:rsidRPr="0026653F">
        <w:rPr>
          <w:szCs w:val="22"/>
          <w:bdr w:val="none" w:sz="0" w:space="0" w:color="auto" w:frame="1"/>
          <w:lang w:val="fr-FR" w:eastAsia="es-ES"/>
        </w:rPr>
        <w:t>De prendre note de l’exposé fait par le Secrétariat général devant le Groupe de travail de la CAAP le 28 septembre 2020 sur l’état d’avancement du mandat établi aux termes de la résolution CP/RES. 1104 (2168/18) rev. 1, lequel a été approuvé par l'Assemblée générale au moyen de sa résolution AG/RES. 1 (LIII-E/18), et de charger la CAAP d’examiner et de réaliser une étude technique, dont l’exécution sera confiée à un groupe indépendant d’experts, sur la méthodologie de calcul des quotes-parts pour le financement du Fonds ordinaire, excluant toute pression</w:t>
      </w:r>
      <w:r w:rsidR="0024025D" w:rsidRPr="0026653F">
        <w:rPr>
          <w:szCs w:val="22"/>
          <w:bdr w:val="none" w:sz="0" w:space="0" w:color="auto" w:frame="1"/>
          <w:lang w:val="fr-FR" w:eastAsia="es-ES"/>
        </w:rPr>
        <w:t xml:space="preserve"> supplémentaire</w:t>
      </w:r>
      <w:r w:rsidRPr="0026653F">
        <w:rPr>
          <w:szCs w:val="22"/>
          <w:bdr w:val="none" w:sz="0" w:space="0" w:color="auto" w:frame="1"/>
          <w:lang w:val="fr-FR" w:eastAsia="es-ES"/>
        </w:rPr>
        <w:t xml:space="preserve"> sur le Fonds ordinaire</w:t>
      </w:r>
      <w:r w:rsidR="00B73EDD" w:rsidRPr="0026653F">
        <w:rPr>
          <w:szCs w:val="22"/>
          <w:bdr w:val="none" w:sz="0" w:space="0" w:color="auto" w:frame="1"/>
          <w:lang w:val="fr-FR" w:eastAsia="es-ES"/>
        </w:rPr>
        <w:t xml:space="preserve">, </w:t>
      </w:r>
      <w:r w:rsidRPr="0026653F">
        <w:rPr>
          <w:szCs w:val="22"/>
          <w:bdr w:val="none" w:sz="0" w:space="0" w:color="auto" w:frame="1"/>
          <w:lang w:val="fr-FR" w:eastAsia="es-ES"/>
        </w:rPr>
        <w:t xml:space="preserve">le Fonds RCI </w:t>
      </w:r>
      <w:r w:rsidR="00B73EDD" w:rsidRPr="0026653F">
        <w:rPr>
          <w:szCs w:val="22"/>
          <w:bdr w:val="none" w:sz="0" w:space="0" w:color="auto" w:frame="1"/>
          <w:lang w:val="fr-FR" w:eastAsia="es-ES"/>
        </w:rPr>
        <w:t>ou</w:t>
      </w:r>
      <w:r w:rsidR="00253A51" w:rsidRPr="0026653F">
        <w:rPr>
          <w:szCs w:val="22"/>
          <w:bdr w:val="none" w:sz="0" w:space="0" w:color="auto" w:frame="1"/>
          <w:lang w:val="fr-FR" w:eastAsia="es-ES"/>
        </w:rPr>
        <w:t xml:space="preserve"> </w:t>
      </w:r>
      <w:r w:rsidRPr="0026653F">
        <w:rPr>
          <w:szCs w:val="22"/>
          <w:bdr w:val="none" w:sz="0" w:space="0" w:color="auto" w:frame="1"/>
          <w:lang w:val="fr-FR" w:eastAsia="es-ES"/>
        </w:rPr>
        <w:t>le</w:t>
      </w:r>
      <w:r w:rsidR="00B73EDD" w:rsidRPr="0026653F">
        <w:rPr>
          <w:szCs w:val="22"/>
          <w:bdr w:val="none" w:sz="0" w:space="0" w:color="auto" w:frame="1"/>
          <w:lang w:val="fr-FR" w:eastAsia="es-ES"/>
        </w:rPr>
        <w:t>ur</w:t>
      </w:r>
      <w:r w:rsidRPr="0026653F">
        <w:rPr>
          <w:szCs w:val="22"/>
          <w:bdr w:val="none" w:sz="0" w:space="0" w:color="auto" w:frame="1"/>
          <w:lang w:val="fr-FR" w:eastAsia="es-ES"/>
        </w:rPr>
        <w:t xml:space="preserve">s </w:t>
      </w:r>
      <w:r w:rsidR="0024025D" w:rsidRPr="0026653F">
        <w:rPr>
          <w:szCs w:val="22"/>
          <w:bdr w:val="none" w:sz="0" w:space="0" w:color="auto" w:frame="1"/>
          <w:lang w:val="fr-FR" w:eastAsia="es-ES"/>
        </w:rPr>
        <w:t>sous-</w:t>
      </w:r>
      <w:r w:rsidRPr="0026653F">
        <w:rPr>
          <w:szCs w:val="22"/>
          <w:bdr w:val="none" w:sz="0" w:space="0" w:color="auto" w:frame="1"/>
          <w:lang w:val="fr-FR" w:eastAsia="es-ES"/>
        </w:rPr>
        <w:t xml:space="preserve">fonds de réserve </w:t>
      </w:r>
      <w:r w:rsidR="00B73EDD" w:rsidRPr="0026653F">
        <w:rPr>
          <w:szCs w:val="22"/>
          <w:bdr w:val="none" w:sz="0" w:space="0" w:color="auto" w:frame="1"/>
          <w:lang w:val="fr-FR" w:eastAsia="es-ES"/>
        </w:rPr>
        <w:t>respectifs</w:t>
      </w:r>
      <w:r w:rsidRPr="0026653F">
        <w:rPr>
          <w:szCs w:val="22"/>
          <w:bdr w:val="none" w:sz="0" w:space="0" w:color="auto" w:frame="1"/>
          <w:lang w:val="fr-FR" w:eastAsia="es-ES"/>
        </w:rPr>
        <w:t>, et dont les conclusions pourront être utilisées pour présenter au Conseil permanent des recommandations et, le cas échéant, une proposition de méthodologie de calcul du barème des quotes-parts pour le financement de l’Organisation, aux fins d’examen et d’approbation par l'Assemblée générale lors d’une session</w:t>
      </w:r>
      <w:r w:rsidR="007E3911" w:rsidRPr="0026653F">
        <w:rPr>
          <w:szCs w:val="22"/>
          <w:bdr w:val="none" w:sz="0" w:space="0" w:color="auto" w:frame="1"/>
          <w:lang w:val="fr-FR" w:eastAsia="es-ES"/>
        </w:rPr>
        <w:t xml:space="preserve"> ordinaire</w:t>
      </w:r>
      <w:r w:rsidR="0024025D" w:rsidRPr="0026653F">
        <w:rPr>
          <w:szCs w:val="22"/>
          <w:bdr w:val="none" w:sz="0" w:space="0" w:color="auto" w:frame="1"/>
          <w:lang w:val="fr-FR" w:eastAsia="es-ES"/>
        </w:rPr>
        <w:t xml:space="preserve"> ultérieure</w:t>
      </w:r>
      <w:r w:rsidRPr="0026653F">
        <w:rPr>
          <w:szCs w:val="22"/>
          <w:bdr w:val="none" w:sz="0" w:space="0" w:color="auto" w:frame="1"/>
          <w:lang w:val="fr-FR" w:eastAsia="es-ES"/>
        </w:rPr>
        <w:t>.</w:t>
      </w:r>
    </w:p>
    <w:p w14:paraId="44125E44" w14:textId="77777777" w:rsidR="009071BD" w:rsidRPr="0026653F" w:rsidRDefault="009071BD" w:rsidP="00C618DD">
      <w:pPr>
        <w:rPr>
          <w:color w:val="000000"/>
          <w:szCs w:val="22"/>
          <w:lang w:val="fr-FR" w:eastAsia="es-ES"/>
        </w:rPr>
      </w:pPr>
    </w:p>
    <w:p w14:paraId="0FB71F50" w14:textId="77777777" w:rsidR="009071BD" w:rsidRPr="0026653F" w:rsidRDefault="009071BD" w:rsidP="00C618DD">
      <w:pPr>
        <w:ind w:left="1440" w:hanging="720"/>
        <w:rPr>
          <w:color w:val="000000"/>
          <w:szCs w:val="22"/>
          <w:lang w:val="fr-FR"/>
        </w:rPr>
      </w:pPr>
      <w:r w:rsidRPr="0026653F">
        <w:rPr>
          <w:color w:val="000000"/>
          <w:szCs w:val="22"/>
          <w:lang w:val="fr-FR"/>
        </w:rPr>
        <w:t>9.</w:t>
      </w:r>
      <w:r w:rsidRPr="0026653F">
        <w:rPr>
          <w:color w:val="000000"/>
          <w:szCs w:val="22"/>
          <w:lang w:val="fr-FR"/>
        </w:rPr>
        <w:tab/>
      </w:r>
      <w:r w:rsidRPr="0026653F">
        <w:rPr>
          <w:color w:val="000000"/>
          <w:szCs w:val="22"/>
          <w:u w:val="single"/>
          <w:lang w:val="fr-FR"/>
        </w:rPr>
        <w:t xml:space="preserve">Révision des Normes générales de fonctionnement du Secrétariat général de l’Organisation des </w:t>
      </w:r>
      <w:r w:rsidRPr="0026653F">
        <w:rPr>
          <w:szCs w:val="22"/>
          <w:u w:val="single"/>
          <w:lang w:val="fr-FR"/>
        </w:rPr>
        <w:t>États</w:t>
      </w:r>
      <w:r w:rsidRPr="0026653F">
        <w:rPr>
          <w:color w:val="000000"/>
          <w:szCs w:val="22"/>
          <w:u w:val="single"/>
          <w:lang w:val="fr-FR"/>
        </w:rPr>
        <w:t xml:space="preserve"> Américains</w:t>
      </w:r>
    </w:p>
    <w:p w14:paraId="7F38F3E9" w14:textId="77777777" w:rsidR="009071BD" w:rsidRPr="0026653F" w:rsidRDefault="009071BD" w:rsidP="00C618DD">
      <w:pPr>
        <w:jc w:val="left"/>
        <w:rPr>
          <w:strike/>
          <w:color w:val="000000"/>
          <w:szCs w:val="22"/>
          <w:highlight w:val="yellow"/>
          <w:lang w:val="fr-FR" w:eastAsia="es-ES"/>
        </w:rPr>
      </w:pPr>
    </w:p>
    <w:p w14:paraId="46F22628" w14:textId="77777777" w:rsidR="009071BD" w:rsidRPr="0026653F" w:rsidRDefault="009071BD" w:rsidP="004E44A6">
      <w:pPr>
        <w:pStyle w:val="ListParagraph"/>
        <w:numPr>
          <w:ilvl w:val="0"/>
          <w:numId w:val="64"/>
        </w:numPr>
        <w:tabs>
          <w:tab w:val="left" w:pos="1440"/>
        </w:tabs>
        <w:spacing w:after="0" w:line="240" w:lineRule="auto"/>
        <w:ind w:hanging="720"/>
        <w:jc w:val="both"/>
        <w:rPr>
          <w:rFonts w:ascii="Times New Roman" w:hAnsi="Times New Roman"/>
          <w:lang w:val="fr-FR"/>
        </w:rPr>
      </w:pPr>
      <w:r w:rsidRPr="0026653F">
        <w:rPr>
          <w:rFonts w:ascii="Times New Roman" w:eastAsia="Arial Unicode MS" w:hAnsi="Times New Roman"/>
          <w:lang w:val="fr-FR"/>
        </w:rPr>
        <w:t xml:space="preserve">De réaffirmer le mandat contenu dans la résolution </w:t>
      </w:r>
      <w:hyperlink r:id="rId87" w:history="1">
        <w:r w:rsidRPr="0026653F">
          <w:rPr>
            <w:rFonts w:ascii="Times New Roman" w:eastAsia="Arial Unicode MS" w:hAnsi="Times New Roman"/>
            <w:color w:val="0000FF"/>
            <w:u w:val="single"/>
            <w:lang w:val="fr-FR"/>
          </w:rPr>
          <w:t>AG/RES.</w:t>
        </w:r>
      </w:hyperlink>
      <w:hyperlink r:id="rId88" w:history="1">
        <w:r w:rsidRPr="0026653F">
          <w:rPr>
            <w:rFonts w:ascii="Times New Roman" w:eastAsia="Arial Unicode MS" w:hAnsi="Times New Roman"/>
            <w:color w:val="0000FF"/>
            <w:u w:val="single"/>
            <w:lang w:val="fr-FR"/>
          </w:rPr>
          <w:t> 1 (XL</w:t>
        </w:r>
        <w:bookmarkStart w:id="47" w:name="_Hlt500757865"/>
        <w:bookmarkStart w:id="48" w:name="_Hlt500757866"/>
        <w:r w:rsidRPr="0026653F">
          <w:rPr>
            <w:rFonts w:ascii="Times New Roman" w:eastAsia="Arial Unicode MS" w:hAnsi="Times New Roman"/>
            <w:color w:val="0000FF"/>
            <w:u w:val="single"/>
            <w:lang w:val="fr-FR"/>
          </w:rPr>
          <w:t>V</w:t>
        </w:r>
        <w:bookmarkEnd w:id="47"/>
        <w:bookmarkEnd w:id="48"/>
        <w:r w:rsidRPr="0026653F">
          <w:rPr>
            <w:rFonts w:ascii="Times New Roman" w:eastAsia="Arial Unicode MS" w:hAnsi="Times New Roman"/>
            <w:color w:val="0000FF"/>
            <w:u w:val="single"/>
            <w:lang w:val="fr-FR"/>
          </w:rPr>
          <w:t>III-E/14)</w:t>
        </w:r>
      </w:hyperlink>
      <w:r w:rsidRPr="0026653F">
        <w:rPr>
          <w:rFonts w:ascii="Times New Roman" w:eastAsia="Arial Unicode MS" w:hAnsi="Times New Roman"/>
          <w:color w:val="0000FF"/>
          <w:lang w:val="fr-FR"/>
        </w:rPr>
        <w:t xml:space="preserve"> rev. </w:t>
      </w:r>
      <w:r w:rsidRPr="0026653F">
        <w:rPr>
          <w:rFonts w:ascii="Times New Roman" w:eastAsia="Arial Unicode MS" w:hAnsi="Times New Roman"/>
          <w:lang w:val="fr-FR"/>
        </w:rPr>
        <w:t>1,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26653F">
        <w:rPr>
          <w:rFonts w:ascii="Times New Roman" w:eastAsia="Arial Unicode MS" w:hAnsi="Times New Roman"/>
          <w:color w:val="000000"/>
          <w:lang w:val="fr-FR"/>
        </w:rPr>
        <w:t xml:space="preserve"> Cette proposition doit contenir les règles de stabilité et de discipline financière et budgétaire qui garantissent la viabilité à moyen et à long terme de l'Organisation. </w:t>
      </w:r>
    </w:p>
    <w:p w14:paraId="52AEB7C1" w14:textId="77777777" w:rsidR="009071BD" w:rsidRPr="0026653F" w:rsidRDefault="009071BD" w:rsidP="00C618DD">
      <w:pPr>
        <w:contextualSpacing/>
        <w:rPr>
          <w:rFonts w:eastAsia="Arial Unicode MS"/>
          <w:szCs w:val="22"/>
          <w:lang w:val="fr-FR"/>
        </w:rPr>
      </w:pPr>
    </w:p>
    <w:p w14:paraId="13CC3E2F" w14:textId="4128BA31" w:rsidR="009071BD" w:rsidRPr="0026653F" w:rsidRDefault="009071BD" w:rsidP="004E44A6">
      <w:pPr>
        <w:pStyle w:val="ListParagraph"/>
        <w:numPr>
          <w:ilvl w:val="0"/>
          <w:numId w:val="64"/>
        </w:numPr>
        <w:tabs>
          <w:tab w:val="left" w:pos="1440"/>
        </w:tabs>
        <w:spacing w:after="0" w:line="240" w:lineRule="auto"/>
        <w:ind w:hanging="720"/>
        <w:jc w:val="both"/>
        <w:rPr>
          <w:rFonts w:ascii="Times New Roman" w:hAnsi="Times New Roman"/>
          <w:color w:val="000000"/>
          <w:lang w:val="fr-FR" w:eastAsia="es-ES"/>
        </w:rPr>
      </w:pPr>
      <w:r w:rsidRPr="0026653F">
        <w:rPr>
          <w:rFonts w:ascii="Times New Roman" w:eastAsia="Arial Unicode MS" w:hAnsi="Times New Roman"/>
          <w:lang w:val="fr-FR"/>
        </w:rPr>
        <w:t>De charger le Secrétaire général d'accompagner toutes les requêtes de virement de fonds subordonnées à l'approbation du Conseil permanent d'options possibles, basées sur les économies et les gains d'efficacité du chapitre du programme</w:t>
      </w:r>
      <w:r w:rsidR="003020C0">
        <w:rPr>
          <w:rFonts w:ascii="Times New Roman" w:eastAsia="Arial Unicode MS" w:hAnsi="Times New Roman"/>
          <w:lang w:val="fr-FR"/>
        </w:rPr>
        <w:t>-</w:t>
      </w:r>
      <w:r w:rsidR="003020C0" w:rsidRPr="0026653F">
        <w:rPr>
          <w:rFonts w:ascii="Times New Roman" w:eastAsia="Arial Unicode MS" w:hAnsi="Times New Roman"/>
          <w:lang w:val="fr-FR"/>
        </w:rPr>
        <w:t>budget</w:t>
      </w:r>
      <w:r w:rsidRPr="0026653F">
        <w:rPr>
          <w:rFonts w:ascii="Times New Roman" w:eastAsia="Arial Unicode MS" w:hAnsi="Times New Roman"/>
          <w:lang w:val="fr-FR"/>
        </w:rPr>
        <w:t>, pour déterminer la provenance éventuelle des fonds ainsi qu’une justification correspondant à chaque option possible.</w:t>
      </w:r>
    </w:p>
    <w:p w14:paraId="1D7A471A" w14:textId="77777777" w:rsidR="009071BD" w:rsidRPr="0026653F" w:rsidRDefault="009071BD" w:rsidP="00C618DD">
      <w:pPr>
        <w:rPr>
          <w:bCs/>
          <w:color w:val="000000"/>
          <w:szCs w:val="22"/>
          <w:lang w:val="fr-FR" w:eastAsia="es-ES"/>
        </w:rPr>
      </w:pPr>
    </w:p>
    <w:p w14:paraId="7706627F" w14:textId="77777777" w:rsidR="009071BD" w:rsidRPr="0026653F" w:rsidRDefault="009071BD" w:rsidP="003020C0">
      <w:pPr>
        <w:keepNext/>
        <w:ind w:left="1440" w:hanging="720"/>
        <w:rPr>
          <w:color w:val="000000"/>
          <w:szCs w:val="22"/>
          <w:u w:val="single"/>
          <w:lang w:val="fr-FR"/>
        </w:rPr>
      </w:pPr>
      <w:r w:rsidRPr="0026653F">
        <w:rPr>
          <w:color w:val="000000"/>
          <w:szCs w:val="22"/>
          <w:lang w:val="fr-FR"/>
        </w:rPr>
        <w:lastRenderedPageBreak/>
        <w:t>10.</w:t>
      </w:r>
      <w:r w:rsidRPr="0026653F">
        <w:rPr>
          <w:color w:val="000000"/>
          <w:szCs w:val="22"/>
          <w:lang w:val="fr-FR"/>
        </w:rPr>
        <w:tab/>
      </w:r>
      <w:r w:rsidRPr="0026653F">
        <w:rPr>
          <w:color w:val="000000"/>
          <w:szCs w:val="22"/>
          <w:u w:val="single"/>
          <w:lang w:val="fr-FR"/>
        </w:rPr>
        <w:t>Voyages officiels</w:t>
      </w:r>
    </w:p>
    <w:p w14:paraId="4AFD88DD" w14:textId="77777777" w:rsidR="009071BD" w:rsidRPr="0026653F" w:rsidRDefault="009071BD" w:rsidP="003020C0">
      <w:pPr>
        <w:keepNext/>
        <w:rPr>
          <w:color w:val="000000"/>
          <w:szCs w:val="22"/>
          <w:lang w:val="fr-FR" w:eastAsia="es-ES"/>
        </w:rPr>
      </w:pPr>
    </w:p>
    <w:p w14:paraId="7B786152" w14:textId="77777777" w:rsidR="009071BD" w:rsidRPr="0026653F" w:rsidRDefault="009071BD" w:rsidP="00C618DD">
      <w:pPr>
        <w:numPr>
          <w:ilvl w:val="0"/>
          <w:numId w:val="60"/>
        </w:numPr>
        <w:ind w:left="2160" w:hanging="720"/>
        <w:contextualSpacing/>
        <w:rPr>
          <w:b/>
          <w:szCs w:val="22"/>
          <w:lang w:val="fr-FR"/>
        </w:rPr>
      </w:pPr>
      <w:r w:rsidRPr="0026653F">
        <w:rPr>
          <w:rFonts w:eastAsia="Arial Unicode MS"/>
          <w:szCs w:val="22"/>
          <w:lang w:val="fr-FR"/>
        </w:rPr>
        <w:t>De charger le Secrétaire général, le Secrétaire général adjoint et les secrétariats de tous les chapitres, y compris ceux des organes spécialisés et entités, de soumettre tous les trimestres 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w:t>
      </w:r>
    </w:p>
    <w:p w14:paraId="543A7B3A" w14:textId="77777777" w:rsidR="009071BD" w:rsidRPr="0026653F" w:rsidRDefault="009071BD" w:rsidP="00C618DD">
      <w:pPr>
        <w:rPr>
          <w:color w:val="000000"/>
          <w:szCs w:val="22"/>
          <w:lang w:val="fr-FR" w:eastAsia="es-ES"/>
        </w:rPr>
      </w:pPr>
    </w:p>
    <w:p w14:paraId="62964466" w14:textId="3AD9D209" w:rsidR="009071BD" w:rsidRPr="0026653F" w:rsidRDefault="009071BD" w:rsidP="00C618DD">
      <w:pPr>
        <w:ind w:left="2160" w:hanging="720"/>
        <w:rPr>
          <w:b/>
          <w:i/>
          <w:color w:val="000000"/>
          <w:szCs w:val="22"/>
          <w:lang w:val="fr-FR"/>
        </w:rPr>
      </w:pPr>
      <w:r w:rsidRPr="0026653F">
        <w:rPr>
          <w:color w:val="000000"/>
          <w:szCs w:val="22"/>
          <w:lang w:val="fr-FR"/>
        </w:rPr>
        <w:t>b)</w:t>
      </w:r>
      <w:r w:rsidRPr="0026653F">
        <w:rPr>
          <w:color w:val="000000"/>
          <w:szCs w:val="22"/>
          <w:lang w:val="fr-FR"/>
        </w:rPr>
        <w:tab/>
        <w:t>De charger le Secrétariat général de publier sur sa page web les rapports demandés au paragraphe précédent.</w:t>
      </w:r>
    </w:p>
    <w:p w14:paraId="39CADF36" w14:textId="77777777" w:rsidR="009071BD" w:rsidRPr="0026653F" w:rsidRDefault="009071BD" w:rsidP="00C618DD">
      <w:pPr>
        <w:rPr>
          <w:color w:val="000000"/>
          <w:szCs w:val="22"/>
          <w:lang w:val="fr-FR" w:eastAsia="es-ES"/>
        </w:rPr>
      </w:pPr>
    </w:p>
    <w:p w14:paraId="36E1F282" w14:textId="77777777" w:rsidR="009071BD" w:rsidRPr="0026653F" w:rsidRDefault="0024025D" w:rsidP="00C618DD">
      <w:pPr>
        <w:ind w:left="1440" w:hanging="720"/>
        <w:rPr>
          <w:color w:val="000000"/>
          <w:szCs w:val="22"/>
          <w:lang w:val="fr-FR"/>
        </w:rPr>
      </w:pPr>
      <w:r w:rsidRPr="0026653F">
        <w:rPr>
          <w:color w:val="000000"/>
          <w:szCs w:val="22"/>
          <w:lang w:val="fr-FR"/>
        </w:rPr>
        <w:t>11.</w:t>
      </w:r>
      <w:r w:rsidRPr="0026653F">
        <w:rPr>
          <w:color w:val="000000"/>
          <w:szCs w:val="22"/>
          <w:lang w:val="fr-FR"/>
        </w:rPr>
        <w:tab/>
      </w:r>
      <w:r w:rsidR="009071BD" w:rsidRPr="0026653F">
        <w:rPr>
          <w:color w:val="000000"/>
          <w:szCs w:val="22"/>
          <w:u w:val="single"/>
          <w:lang w:val="fr-FR"/>
        </w:rPr>
        <w:t>Allocations de subsistance journalière</w:t>
      </w:r>
    </w:p>
    <w:p w14:paraId="1521418B" w14:textId="77777777" w:rsidR="009071BD" w:rsidRPr="0026653F" w:rsidRDefault="009071BD" w:rsidP="00C618DD">
      <w:pPr>
        <w:rPr>
          <w:color w:val="000000"/>
          <w:szCs w:val="22"/>
          <w:lang w:val="fr-FR" w:eastAsia="es-ES"/>
        </w:rPr>
      </w:pPr>
    </w:p>
    <w:p w14:paraId="37DC1C95" w14:textId="77777777" w:rsidR="009071BD" w:rsidRPr="0026653F" w:rsidRDefault="009071BD" w:rsidP="00C618DD">
      <w:pPr>
        <w:rPr>
          <w:color w:val="000000"/>
          <w:szCs w:val="22"/>
          <w:lang w:val="fr-FR"/>
        </w:rPr>
      </w:pPr>
      <w:r w:rsidRPr="0026653F">
        <w:rPr>
          <w:color w:val="000000"/>
          <w:szCs w:val="22"/>
          <w:lang w:val="fr-FR"/>
        </w:rPr>
        <w:tab/>
        <w:t xml:space="preserve">De charger le Secrétariat général de </w:t>
      </w:r>
      <w:r w:rsidRPr="0026653F">
        <w:rPr>
          <w:bCs/>
          <w:color w:val="000000"/>
          <w:szCs w:val="22"/>
          <w:lang w:val="fr-FR"/>
        </w:rPr>
        <w:t>présenter une proposition portant sur</w:t>
      </w:r>
      <w:r w:rsidRPr="0026653F">
        <w:rPr>
          <w:color w:val="000000"/>
          <w:szCs w:val="22"/>
          <w:lang w:val="fr-FR"/>
        </w:rPr>
        <w:t xml:space="preserve"> de nouvelles règles et procédures</w:t>
      </w:r>
      <w:r w:rsidRPr="0026653F">
        <w:rPr>
          <w:szCs w:val="22"/>
          <w:lang w:val="fr-FR"/>
        </w:rPr>
        <w:t xml:space="preserve">, </w:t>
      </w:r>
      <w:r w:rsidRPr="0026653F">
        <w:rPr>
          <w:bCs/>
          <w:szCs w:val="22"/>
          <w:lang w:val="fr-FR"/>
        </w:rPr>
        <w:t>y compris des sanctions,</w:t>
      </w:r>
      <w:r w:rsidRPr="0026653F">
        <w:rPr>
          <w:szCs w:val="22"/>
          <w:lang w:val="fr-FR"/>
        </w:rPr>
        <w:t xml:space="preserve"> </w:t>
      </w:r>
      <w:r w:rsidRPr="0026653F">
        <w:rPr>
          <w:color w:val="000000"/>
          <w:szCs w:val="22"/>
          <w:lang w:val="fr-FR"/>
        </w:rPr>
        <w:t>s'appliquant aux voyages officiels à l’OEA, en remplaçant l'actuel système de paiement automatique fondé sur un barème préétabli par un autre qui prévoit une prise en charge pécuniaire de la période correspondant à la mission officielle, et d'adopter les critères ci-après :</w:t>
      </w:r>
    </w:p>
    <w:p w14:paraId="1241449E" w14:textId="77777777" w:rsidR="009071BD" w:rsidRPr="0026653F" w:rsidRDefault="009071BD" w:rsidP="00C618DD">
      <w:pPr>
        <w:rPr>
          <w:color w:val="000000"/>
          <w:szCs w:val="22"/>
          <w:lang w:val="fr-FR" w:eastAsia="es-ES"/>
        </w:rPr>
      </w:pPr>
    </w:p>
    <w:p w14:paraId="6CF2159F" w14:textId="77777777" w:rsidR="009071BD" w:rsidRPr="0026653F" w:rsidRDefault="009071BD" w:rsidP="00C618DD">
      <w:pPr>
        <w:ind w:left="1440" w:hanging="720"/>
        <w:rPr>
          <w:color w:val="000000"/>
          <w:szCs w:val="22"/>
          <w:lang w:val="fr-FR"/>
        </w:rPr>
      </w:pPr>
      <w:r w:rsidRPr="0026653F">
        <w:rPr>
          <w:color w:val="000000"/>
          <w:szCs w:val="22"/>
          <w:lang w:val="fr-FR"/>
        </w:rPr>
        <w:t>a)</w:t>
      </w:r>
      <w:r w:rsidRPr="0026653F">
        <w:rPr>
          <w:color w:val="000000"/>
          <w:szCs w:val="22"/>
          <w:lang w:val="fr-FR"/>
        </w:rPr>
        <w:tab/>
        <w:t>Présentation de justificatifs correspondant aux frais d’hébergement, en l’absence de quoi, la somme maximale sera de 50 USD.</w:t>
      </w:r>
    </w:p>
    <w:p w14:paraId="1E3465C2" w14:textId="77777777" w:rsidR="009071BD" w:rsidRPr="0026653F" w:rsidRDefault="009071BD" w:rsidP="00C618DD">
      <w:pPr>
        <w:ind w:left="1440" w:hanging="720"/>
        <w:rPr>
          <w:color w:val="000000"/>
          <w:szCs w:val="22"/>
          <w:lang w:val="fr-FR"/>
        </w:rPr>
      </w:pPr>
      <w:r w:rsidRPr="0026653F">
        <w:rPr>
          <w:color w:val="000000"/>
          <w:szCs w:val="22"/>
          <w:lang w:val="fr-FR"/>
        </w:rPr>
        <w:t>b)</w:t>
      </w:r>
      <w:r w:rsidRPr="0026653F">
        <w:rPr>
          <w:color w:val="000000"/>
          <w:szCs w:val="22"/>
          <w:lang w:val="fr-FR"/>
        </w:rPr>
        <w:tab/>
      </w:r>
      <w:r w:rsidRPr="0026653F">
        <w:rPr>
          <w:bCs/>
          <w:color w:val="000000"/>
          <w:szCs w:val="22"/>
          <w:lang w:val="fr-FR"/>
        </w:rPr>
        <w:t>Méthodologie de remboursement</w:t>
      </w:r>
      <w:r w:rsidRPr="0026653F">
        <w:rPr>
          <w:color w:val="000000"/>
          <w:szCs w:val="22"/>
          <w:lang w:val="fr-FR"/>
        </w:rPr>
        <w:t xml:space="preserve"> correspondant au transport local depuis l’aéroport et vers celui-ci.</w:t>
      </w:r>
    </w:p>
    <w:p w14:paraId="5B3073A7" w14:textId="77777777" w:rsidR="009071BD" w:rsidRPr="0026653F" w:rsidRDefault="009071BD" w:rsidP="00C618DD">
      <w:pPr>
        <w:ind w:left="1440" w:hanging="720"/>
        <w:rPr>
          <w:color w:val="000000"/>
          <w:szCs w:val="22"/>
          <w:lang w:val="fr-FR"/>
        </w:rPr>
      </w:pPr>
      <w:r w:rsidRPr="0026653F">
        <w:rPr>
          <w:color w:val="000000"/>
          <w:szCs w:val="22"/>
          <w:lang w:val="fr-FR"/>
        </w:rPr>
        <w:t>c)</w:t>
      </w:r>
      <w:r w:rsidRPr="0026653F">
        <w:rPr>
          <w:color w:val="000000"/>
          <w:szCs w:val="22"/>
          <w:lang w:val="fr-FR"/>
        </w:rPr>
        <w:tab/>
        <w:t>Concernant les autres allocations, selon le besoin, en fonction de l’horaire établi pour la mission officielle.</w:t>
      </w:r>
    </w:p>
    <w:p w14:paraId="6CD1C600" w14:textId="77777777" w:rsidR="009071BD" w:rsidRPr="0026653F" w:rsidRDefault="009071BD" w:rsidP="00C618DD">
      <w:pPr>
        <w:ind w:left="1440" w:hanging="720"/>
        <w:rPr>
          <w:szCs w:val="22"/>
          <w:lang w:val="fr-FR"/>
        </w:rPr>
      </w:pPr>
      <w:r w:rsidRPr="0026653F">
        <w:rPr>
          <w:color w:val="000000"/>
          <w:szCs w:val="22"/>
          <w:lang w:val="fr-FR"/>
        </w:rPr>
        <w:t>d)</w:t>
      </w:r>
      <w:r w:rsidRPr="0026653F">
        <w:rPr>
          <w:color w:val="000000"/>
          <w:szCs w:val="22"/>
          <w:lang w:val="fr-FR"/>
        </w:rPr>
        <w:tab/>
        <w:t>Le rapprochement des indemnités journalières avancées doit être présenté dans le mois qui suit le voyage.</w:t>
      </w:r>
    </w:p>
    <w:p w14:paraId="46A5E343" w14:textId="77777777" w:rsidR="009071BD" w:rsidRPr="0026653F" w:rsidRDefault="009071BD" w:rsidP="00C618DD">
      <w:pPr>
        <w:ind w:left="2160" w:hanging="2160"/>
        <w:rPr>
          <w:color w:val="000000"/>
          <w:szCs w:val="22"/>
          <w:lang w:val="fr-FR"/>
        </w:rPr>
      </w:pPr>
    </w:p>
    <w:p w14:paraId="650C6584" w14:textId="77777777" w:rsidR="009071BD" w:rsidRPr="0026653F" w:rsidRDefault="0024025D" w:rsidP="00C618DD">
      <w:pPr>
        <w:ind w:left="1440" w:hanging="720"/>
        <w:rPr>
          <w:color w:val="000000"/>
          <w:szCs w:val="22"/>
          <w:lang w:val="fr-FR"/>
        </w:rPr>
      </w:pPr>
      <w:r w:rsidRPr="0026653F">
        <w:rPr>
          <w:color w:val="000000"/>
          <w:szCs w:val="22"/>
          <w:lang w:val="fr-FR"/>
        </w:rPr>
        <w:t>12.</w:t>
      </w:r>
      <w:r w:rsidRPr="0026653F">
        <w:rPr>
          <w:color w:val="000000"/>
          <w:szCs w:val="22"/>
          <w:lang w:val="fr-FR"/>
        </w:rPr>
        <w:tab/>
      </w:r>
      <w:r w:rsidR="009071BD" w:rsidRPr="0026653F">
        <w:rPr>
          <w:color w:val="000000"/>
          <w:szCs w:val="22"/>
          <w:u w:val="single"/>
          <w:lang w:val="fr-FR"/>
        </w:rPr>
        <w:t>Ressources humaines</w:t>
      </w:r>
    </w:p>
    <w:p w14:paraId="279F738A" w14:textId="77777777" w:rsidR="009071BD" w:rsidRPr="0026653F" w:rsidRDefault="009071BD" w:rsidP="00C618DD">
      <w:pPr>
        <w:jc w:val="left"/>
        <w:rPr>
          <w:color w:val="000000"/>
          <w:szCs w:val="22"/>
          <w:lang w:val="fr-FR" w:eastAsia="es-ES"/>
        </w:rPr>
      </w:pPr>
    </w:p>
    <w:p w14:paraId="2B202EE7" w14:textId="17714774" w:rsidR="009071BD" w:rsidRPr="0026653F" w:rsidRDefault="009071BD" w:rsidP="00C618DD">
      <w:pPr>
        <w:numPr>
          <w:ilvl w:val="0"/>
          <w:numId w:val="16"/>
        </w:numPr>
        <w:ind w:left="2160" w:hanging="720"/>
        <w:rPr>
          <w:strike/>
          <w:szCs w:val="22"/>
          <w:lang w:val="fr-FR"/>
        </w:rPr>
      </w:pPr>
      <w:r w:rsidRPr="0026653F">
        <w:rPr>
          <w:szCs w:val="22"/>
          <w:lang w:val="fr-FR"/>
        </w:rPr>
        <w:t xml:space="preserve">De charger le Secrétariat général de continuer d’exécuter la Stratégie intégrale en matière de ressources humaines pour l’Organisation et de présenter à la CAAP </w:t>
      </w:r>
      <w:r w:rsidR="0024025D" w:rsidRPr="0026653F">
        <w:rPr>
          <w:szCs w:val="22"/>
          <w:lang w:val="fr-FR"/>
        </w:rPr>
        <w:t xml:space="preserve">au plus tard le 30 avril 2021 </w:t>
      </w:r>
      <w:r w:rsidRPr="0026653F">
        <w:rPr>
          <w:szCs w:val="22"/>
          <w:lang w:val="fr-FR"/>
        </w:rPr>
        <w:t xml:space="preserve">un rapport sur les résultats atteints à cette date, y compris la conformité de ceux-ci avec les règles et règlements actuels et avec l’exécution du nouveau </w:t>
      </w:r>
      <w:r w:rsidR="009A646A" w:rsidRPr="0026653F">
        <w:rPr>
          <w:szCs w:val="22"/>
          <w:lang w:val="fr-FR"/>
        </w:rPr>
        <w:t xml:space="preserve">système </w:t>
      </w:r>
      <w:r w:rsidR="00226F55" w:rsidRPr="0026653F">
        <w:rPr>
          <w:szCs w:val="22"/>
          <w:lang w:val="fr-FR"/>
        </w:rPr>
        <w:t xml:space="preserve">de </w:t>
      </w:r>
      <w:r w:rsidR="00946E06" w:rsidRPr="0026653F">
        <w:rPr>
          <w:szCs w:val="22"/>
          <w:lang w:val="fr-FR"/>
        </w:rPr>
        <w:t>planification</w:t>
      </w:r>
      <w:r w:rsidR="00226F55" w:rsidRPr="0026653F">
        <w:rPr>
          <w:szCs w:val="22"/>
          <w:lang w:val="fr-FR"/>
        </w:rPr>
        <w:t xml:space="preserve"> des ressources institutionnelles (</w:t>
      </w:r>
      <w:r w:rsidRPr="0026653F">
        <w:rPr>
          <w:szCs w:val="22"/>
          <w:lang w:val="fr-FR"/>
        </w:rPr>
        <w:t>ERP</w:t>
      </w:r>
      <w:r w:rsidR="00226F55" w:rsidRPr="0026653F">
        <w:rPr>
          <w:szCs w:val="22"/>
          <w:lang w:val="fr-FR"/>
        </w:rPr>
        <w:t>)</w:t>
      </w:r>
      <w:r w:rsidRPr="0026653F">
        <w:rPr>
          <w:szCs w:val="22"/>
          <w:lang w:val="fr-FR"/>
        </w:rPr>
        <w:t>.</w:t>
      </w:r>
    </w:p>
    <w:p w14:paraId="0CB42F7C" w14:textId="77777777" w:rsidR="009071BD" w:rsidRPr="0026653F" w:rsidRDefault="009071BD" w:rsidP="00C618DD">
      <w:pPr>
        <w:rPr>
          <w:color w:val="000000"/>
          <w:szCs w:val="22"/>
          <w:lang w:val="fr-FR" w:eastAsia="es-ES"/>
        </w:rPr>
      </w:pPr>
    </w:p>
    <w:p w14:paraId="778E5A2C" w14:textId="7268B294" w:rsidR="009071BD" w:rsidRPr="0026653F" w:rsidRDefault="009071BD" w:rsidP="00C618DD">
      <w:pPr>
        <w:numPr>
          <w:ilvl w:val="0"/>
          <w:numId w:val="16"/>
        </w:numPr>
        <w:ind w:left="2160" w:hanging="720"/>
        <w:rPr>
          <w:bCs/>
          <w:color w:val="000000"/>
          <w:szCs w:val="22"/>
          <w:lang w:val="fr-FR"/>
        </w:rPr>
      </w:pPr>
      <w:r w:rsidRPr="0026653F">
        <w:rPr>
          <w:color w:val="000000"/>
          <w:szCs w:val="22"/>
          <w:lang w:val="fr-FR"/>
        </w:rPr>
        <w:t xml:space="preserve">De </w:t>
      </w:r>
      <w:r w:rsidRPr="0026653F">
        <w:rPr>
          <w:bCs/>
          <w:color w:val="000000"/>
          <w:szCs w:val="22"/>
          <w:lang w:val="fr-FR"/>
        </w:rPr>
        <w:t>demander au</w:t>
      </w:r>
      <w:r w:rsidRPr="0026653F">
        <w:rPr>
          <w:color w:val="000000"/>
          <w:szCs w:val="22"/>
          <w:lang w:val="fr-FR"/>
        </w:rPr>
        <w:t xml:space="preserve"> Bureau de l’Inspecteur général </w:t>
      </w:r>
      <w:r w:rsidRPr="0026653F">
        <w:rPr>
          <w:bCs/>
          <w:color w:val="000000"/>
          <w:szCs w:val="22"/>
          <w:lang w:val="fr-FR"/>
        </w:rPr>
        <w:t>de continuer d’élaborer</w:t>
      </w:r>
      <w:r w:rsidRPr="0026653F">
        <w:rPr>
          <w:color w:val="000000"/>
          <w:szCs w:val="22"/>
          <w:lang w:val="fr-FR"/>
        </w:rPr>
        <w:t xml:space="preserve"> ses rapports semestriels</w:t>
      </w:r>
      <w:r w:rsidRPr="0026653F">
        <w:rPr>
          <w:szCs w:val="22"/>
          <w:lang w:val="fr-FR"/>
        </w:rPr>
        <w:t xml:space="preserve"> </w:t>
      </w:r>
      <w:r w:rsidRPr="0026653F">
        <w:rPr>
          <w:bCs/>
          <w:color w:val="000000"/>
          <w:szCs w:val="22"/>
          <w:lang w:val="fr-FR"/>
        </w:rPr>
        <w:t>concernant</w:t>
      </w:r>
      <w:r w:rsidRPr="0026653F">
        <w:rPr>
          <w:color w:val="000000"/>
          <w:szCs w:val="22"/>
          <w:lang w:val="fr-FR"/>
        </w:rPr>
        <w:t xml:space="preserve"> les mutations de personnel, les concours internes et externes </w:t>
      </w:r>
      <w:r w:rsidR="00226F55" w:rsidRPr="0026653F">
        <w:rPr>
          <w:bCs/>
          <w:color w:val="000000"/>
          <w:szCs w:val="22"/>
          <w:lang w:val="fr-FR"/>
        </w:rPr>
        <w:t>effectués</w:t>
      </w:r>
      <w:r w:rsidRPr="0026653F">
        <w:rPr>
          <w:color w:val="000000"/>
          <w:szCs w:val="22"/>
          <w:lang w:val="fr-FR"/>
        </w:rPr>
        <w:t xml:space="preserve"> ainsi que les reclassements de postes prévus dans ce programme-budget,</w:t>
      </w:r>
      <w:r w:rsidRPr="0026653F">
        <w:rPr>
          <w:bCs/>
          <w:color w:val="000000"/>
          <w:szCs w:val="22"/>
          <w:lang w:val="fr-FR"/>
        </w:rPr>
        <w:t xml:space="preserve"> et de vérifier que ceux-ci se sont déroulés en stricte conformité avec</w:t>
      </w:r>
      <w:r w:rsidRPr="0026653F">
        <w:rPr>
          <w:color w:val="000000"/>
          <w:szCs w:val="22"/>
          <w:lang w:val="fr-FR"/>
        </w:rPr>
        <w:t xml:space="preserve"> les </w:t>
      </w:r>
      <w:r w:rsidR="00226F55" w:rsidRPr="0026653F">
        <w:rPr>
          <w:color w:val="000000"/>
          <w:szCs w:val="22"/>
          <w:lang w:val="fr-FR"/>
        </w:rPr>
        <w:t>normes</w:t>
      </w:r>
      <w:r w:rsidRPr="0026653F">
        <w:rPr>
          <w:color w:val="000000"/>
          <w:szCs w:val="22"/>
          <w:lang w:val="fr-FR"/>
        </w:rPr>
        <w:t xml:space="preserve"> applicables.</w:t>
      </w:r>
    </w:p>
    <w:p w14:paraId="2B2637AE" w14:textId="527BBB19" w:rsidR="009071BD" w:rsidRPr="0026653F" w:rsidRDefault="009071BD" w:rsidP="00C618DD">
      <w:pPr>
        <w:rPr>
          <w:bCs/>
          <w:color w:val="000000"/>
          <w:szCs w:val="22"/>
          <w:lang w:val="fr-FR"/>
        </w:rPr>
      </w:pPr>
    </w:p>
    <w:p w14:paraId="7432E50D" w14:textId="3597D978" w:rsidR="009071BD" w:rsidRPr="0026653F" w:rsidRDefault="009071BD" w:rsidP="00C618DD">
      <w:pPr>
        <w:numPr>
          <w:ilvl w:val="0"/>
          <w:numId w:val="16"/>
        </w:numPr>
        <w:ind w:left="2160" w:hanging="720"/>
        <w:rPr>
          <w:bCs/>
          <w:color w:val="000000"/>
          <w:szCs w:val="22"/>
          <w:lang w:val="fr-FR"/>
        </w:rPr>
      </w:pPr>
      <w:r w:rsidRPr="0026653F">
        <w:rPr>
          <w:color w:val="000000"/>
          <w:szCs w:val="22"/>
          <w:lang w:val="fr-FR"/>
        </w:rPr>
        <w:t xml:space="preserve">Le Secrétariat général </w:t>
      </w:r>
      <w:r w:rsidR="00226F55" w:rsidRPr="0026653F">
        <w:rPr>
          <w:color w:val="000000"/>
          <w:szCs w:val="22"/>
          <w:lang w:val="fr-FR"/>
        </w:rPr>
        <w:t xml:space="preserve">est chargé de </w:t>
      </w:r>
      <w:r w:rsidRPr="0026653F">
        <w:rPr>
          <w:color w:val="000000"/>
          <w:szCs w:val="22"/>
          <w:lang w:val="fr-FR"/>
        </w:rPr>
        <w:t>transmettr</w:t>
      </w:r>
      <w:r w:rsidR="00226F55" w:rsidRPr="0026653F">
        <w:rPr>
          <w:color w:val="000000"/>
          <w:szCs w:val="22"/>
          <w:lang w:val="fr-FR"/>
        </w:rPr>
        <w:t>e</w:t>
      </w:r>
      <w:r w:rsidRPr="0026653F">
        <w:rPr>
          <w:color w:val="000000"/>
          <w:szCs w:val="22"/>
          <w:lang w:val="fr-FR"/>
        </w:rPr>
        <w:t xml:space="preserve"> à la CAAP un rapport détaillé sur la situation de tous les postes financés par le Fonds ordinaire qui sont </w:t>
      </w:r>
      <w:r w:rsidRPr="0026653F">
        <w:rPr>
          <w:color w:val="000000"/>
          <w:szCs w:val="22"/>
          <w:lang w:val="fr-FR"/>
        </w:rPr>
        <w:lastRenderedPageBreak/>
        <w:t>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w:t>
      </w:r>
    </w:p>
    <w:p w14:paraId="5F8A1191" w14:textId="77777777" w:rsidR="009071BD" w:rsidRPr="0026653F" w:rsidRDefault="009071BD" w:rsidP="00C618DD">
      <w:pPr>
        <w:contextualSpacing/>
        <w:rPr>
          <w:rFonts w:eastAsia="Arial Unicode MS"/>
          <w:szCs w:val="22"/>
          <w:lang w:val="fr-FR"/>
        </w:rPr>
      </w:pPr>
    </w:p>
    <w:p w14:paraId="4ED0CC9B" w14:textId="5EACF7C1" w:rsidR="009071BD" w:rsidRPr="0026653F" w:rsidRDefault="009071BD" w:rsidP="00C618DD">
      <w:pPr>
        <w:numPr>
          <w:ilvl w:val="0"/>
          <w:numId w:val="16"/>
        </w:numPr>
        <w:ind w:left="2160" w:hanging="720"/>
        <w:rPr>
          <w:color w:val="000000"/>
          <w:szCs w:val="22"/>
          <w:lang w:val="fr-FR"/>
        </w:rPr>
      </w:pPr>
      <w:r w:rsidRPr="0026653F">
        <w:rPr>
          <w:color w:val="000000"/>
          <w:szCs w:val="22"/>
          <w:lang w:val="fr-FR"/>
        </w:rPr>
        <w:t>Les États membres reconnaissent que pour faire face aux importantes réductions budgétaires envisagées dans la présente résolution, les secrétaires et les secrétaires exécutifs devraient être tenus responsables et habilités à procéder aux changements nécessaires - à savoir réorganiser, consolider et réduire.</w:t>
      </w:r>
      <w:r w:rsidR="0023148D" w:rsidRPr="0026653F">
        <w:rPr>
          <w:color w:val="000000"/>
          <w:szCs w:val="22"/>
          <w:lang w:val="fr-FR"/>
        </w:rPr>
        <w:t xml:space="preserve"> </w:t>
      </w:r>
      <w:r w:rsidRPr="0026653F">
        <w:rPr>
          <w:color w:val="000000"/>
          <w:szCs w:val="22"/>
          <w:lang w:val="fr-FR"/>
        </w:rPr>
        <w:t>Par conséquent, en reconnaissance de ce principe, le Secrétariat général :</w:t>
      </w:r>
    </w:p>
    <w:p w14:paraId="3B46237C" w14:textId="77777777" w:rsidR="009071BD" w:rsidRPr="0026653F" w:rsidRDefault="009071BD" w:rsidP="00C618DD">
      <w:pPr>
        <w:rPr>
          <w:szCs w:val="22"/>
          <w:lang w:val="fr-FR"/>
        </w:rPr>
      </w:pPr>
    </w:p>
    <w:p w14:paraId="0CCC2956" w14:textId="2CA984C6" w:rsidR="00FB78F3" w:rsidRPr="0026653F" w:rsidRDefault="009071BD" w:rsidP="00C618DD">
      <w:pPr>
        <w:numPr>
          <w:ilvl w:val="0"/>
          <w:numId w:val="63"/>
        </w:numPr>
        <w:ind w:left="2970" w:hanging="810"/>
        <w:rPr>
          <w:szCs w:val="22"/>
          <w:lang w:val="fr-FR"/>
        </w:rPr>
      </w:pPr>
      <w:proofErr w:type="gramStart"/>
      <w:r w:rsidRPr="0026653F">
        <w:rPr>
          <w:szCs w:val="22"/>
          <w:lang w:val="fr-FR"/>
        </w:rPr>
        <w:t>autorisera</w:t>
      </w:r>
      <w:proofErr w:type="gramEnd"/>
      <w:r w:rsidRPr="0026653F">
        <w:rPr>
          <w:szCs w:val="22"/>
          <w:lang w:val="fr-FR"/>
        </w:rPr>
        <w:t xml:space="preserve"> l'embauche du personnel nécessaire au titre des plans de réorganisation et n’appliquera aucun gel des embauches tant que cette réorganisation n'est pas terminée ;</w:t>
      </w:r>
    </w:p>
    <w:p w14:paraId="0F5A8131" w14:textId="1C0A5C47" w:rsidR="009071BD" w:rsidRPr="0026653F" w:rsidRDefault="009071BD" w:rsidP="00C618DD">
      <w:pPr>
        <w:numPr>
          <w:ilvl w:val="0"/>
          <w:numId w:val="63"/>
        </w:numPr>
        <w:ind w:left="2970" w:hanging="810"/>
        <w:rPr>
          <w:szCs w:val="22"/>
          <w:lang w:val="fr-FR"/>
        </w:rPr>
      </w:pPr>
      <w:proofErr w:type="gramStart"/>
      <w:r w:rsidRPr="0026653F">
        <w:rPr>
          <w:szCs w:val="22"/>
          <w:lang w:val="fr-FR"/>
        </w:rPr>
        <w:t>permettra</w:t>
      </w:r>
      <w:proofErr w:type="gramEnd"/>
      <w:r w:rsidRPr="0026653F">
        <w:rPr>
          <w:szCs w:val="22"/>
          <w:lang w:val="fr-FR"/>
        </w:rPr>
        <w:t xml:space="preserve"> le reclassement des postes </w:t>
      </w:r>
      <w:r w:rsidR="00FB78F3" w:rsidRPr="0026653F">
        <w:rPr>
          <w:szCs w:val="22"/>
          <w:lang w:val="fr-FR"/>
        </w:rPr>
        <w:t xml:space="preserve">uniquement </w:t>
      </w:r>
      <w:r w:rsidRPr="0026653F">
        <w:rPr>
          <w:szCs w:val="22"/>
          <w:lang w:val="fr-FR"/>
        </w:rPr>
        <w:t xml:space="preserve">lorsque la suppression de postes pour des raisons budgétaires nécessite </w:t>
      </w:r>
      <w:r w:rsidR="00FB78F3" w:rsidRPr="0026653F">
        <w:rPr>
          <w:szCs w:val="22"/>
          <w:lang w:val="fr-FR"/>
        </w:rPr>
        <w:t xml:space="preserve">une </w:t>
      </w:r>
      <w:r w:rsidRPr="0026653F">
        <w:rPr>
          <w:szCs w:val="22"/>
          <w:lang w:val="fr-FR"/>
        </w:rPr>
        <w:t>réaffectation de responsabilités</w:t>
      </w:r>
      <w:r w:rsidR="00FB78F3" w:rsidRPr="0026653F">
        <w:rPr>
          <w:szCs w:val="22"/>
          <w:lang w:val="fr-FR"/>
        </w:rPr>
        <w:t> </w:t>
      </w:r>
      <w:r w:rsidRPr="0026653F">
        <w:rPr>
          <w:szCs w:val="22"/>
          <w:lang w:val="fr-FR"/>
        </w:rPr>
        <w:t>;</w:t>
      </w:r>
    </w:p>
    <w:p w14:paraId="1E1AEA14" w14:textId="64017011" w:rsidR="009071BD" w:rsidRPr="0026653F" w:rsidRDefault="00946E06" w:rsidP="00C618DD">
      <w:pPr>
        <w:numPr>
          <w:ilvl w:val="0"/>
          <w:numId w:val="63"/>
        </w:numPr>
        <w:ind w:left="2970" w:hanging="810"/>
        <w:rPr>
          <w:szCs w:val="22"/>
          <w:lang w:val="fr-FR"/>
        </w:rPr>
      </w:pPr>
      <w:proofErr w:type="gramStart"/>
      <w:r w:rsidRPr="0026653F">
        <w:rPr>
          <w:szCs w:val="22"/>
          <w:lang w:val="fr-FR"/>
        </w:rPr>
        <w:t>présentera</w:t>
      </w:r>
      <w:proofErr w:type="gramEnd"/>
      <w:r w:rsidR="004B066B" w:rsidRPr="0026653F">
        <w:rPr>
          <w:szCs w:val="22"/>
          <w:lang w:val="fr-FR"/>
        </w:rPr>
        <w:t xml:space="preserve"> </w:t>
      </w:r>
      <w:r w:rsidRPr="0026653F">
        <w:rPr>
          <w:szCs w:val="22"/>
          <w:lang w:val="fr-FR"/>
        </w:rPr>
        <w:t>le</w:t>
      </w:r>
      <w:r w:rsidR="00574CC9" w:rsidRPr="0026653F">
        <w:rPr>
          <w:szCs w:val="22"/>
          <w:lang w:val="fr-FR"/>
        </w:rPr>
        <w:t xml:space="preserve"> </w:t>
      </w:r>
      <w:r w:rsidR="009071BD" w:rsidRPr="0026653F">
        <w:rPr>
          <w:szCs w:val="22"/>
          <w:lang w:val="fr-FR"/>
        </w:rPr>
        <w:t xml:space="preserve">rapport </w:t>
      </w:r>
      <w:r w:rsidRPr="0026653F">
        <w:rPr>
          <w:szCs w:val="22"/>
          <w:lang w:val="fr-FR"/>
        </w:rPr>
        <w:t xml:space="preserve">du Secrétaire général </w:t>
      </w:r>
      <w:r w:rsidR="009071BD" w:rsidRPr="0026653F">
        <w:rPr>
          <w:szCs w:val="22"/>
          <w:lang w:val="fr-FR"/>
        </w:rPr>
        <w:t xml:space="preserve">au Conseil permanent </w:t>
      </w:r>
      <w:r w:rsidR="00574CC9" w:rsidRPr="0026653F">
        <w:rPr>
          <w:szCs w:val="22"/>
          <w:lang w:val="fr-FR"/>
        </w:rPr>
        <w:t xml:space="preserve">d’ici à </w:t>
      </w:r>
      <w:r w:rsidR="009071BD" w:rsidRPr="0026653F">
        <w:rPr>
          <w:szCs w:val="22"/>
          <w:lang w:val="fr-FR"/>
        </w:rPr>
        <w:t>janvier 2021 sur la réorganisation du Secrétariat, en particulier sur les plans de recrutement et de reclassement.</w:t>
      </w:r>
    </w:p>
    <w:p w14:paraId="0992BA5D" w14:textId="77777777" w:rsidR="009071BD" w:rsidRPr="0026653F" w:rsidRDefault="009071BD" w:rsidP="00C618DD">
      <w:pPr>
        <w:jc w:val="left"/>
        <w:rPr>
          <w:color w:val="000000"/>
          <w:szCs w:val="22"/>
          <w:u w:val="single"/>
          <w:lang w:val="fr-FR" w:eastAsia="es-ES"/>
        </w:rPr>
      </w:pPr>
    </w:p>
    <w:p w14:paraId="5D0444FF" w14:textId="7358868F" w:rsidR="009071BD" w:rsidRPr="0026653F" w:rsidRDefault="0026215C" w:rsidP="00C618DD">
      <w:pPr>
        <w:ind w:left="1440" w:hanging="720"/>
        <w:rPr>
          <w:color w:val="000000"/>
          <w:szCs w:val="22"/>
          <w:lang w:val="fr-FR"/>
        </w:rPr>
      </w:pPr>
      <w:r w:rsidRPr="0026653F">
        <w:rPr>
          <w:color w:val="000000"/>
          <w:szCs w:val="22"/>
          <w:lang w:val="fr-FR"/>
        </w:rPr>
        <w:t>13.</w:t>
      </w:r>
      <w:r w:rsidRPr="0026653F">
        <w:rPr>
          <w:color w:val="000000"/>
          <w:szCs w:val="22"/>
          <w:lang w:val="fr-FR"/>
        </w:rPr>
        <w:tab/>
      </w:r>
      <w:r w:rsidR="009071BD" w:rsidRPr="0026653F">
        <w:rPr>
          <w:color w:val="000000"/>
          <w:szCs w:val="22"/>
          <w:u w:val="single"/>
          <w:lang w:val="fr-FR"/>
        </w:rPr>
        <w:t>Politiques d’équité et de parité hommes-femmes</w:t>
      </w:r>
    </w:p>
    <w:p w14:paraId="07D7C1DB" w14:textId="77777777" w:rsidR="009071BD" w:rsidRPr="0026653F" w:rsidRDefault="009071BD" w:rsidP="00C618DD">
      <w:pPr>
        <w:rPr>
          <w:color w:val="000000"/>
          <w:szCs w:val="22"/>
          <w:lang w:val="fr-FR" w:eastAsia="es-ES"/>
        </w:rPr>
      </w:pPr>
    </w:p>
    <w:p w14:paraId="7B34B284" w14:textId="2758AF85" w:rsidR="009071BD" w:rsidRPr="004E44A6" w:rsidRDefault="009071BD" w:rsidP="00C618DD">
      <w:pPr>
        <w:ind w:firstLine="720"/>
        <w:rPr>
          <w:szCs w:val="22"/>
          <w:lang w:val="fr-FR"/>
        </w:rPr>
      </w:pPr>
      <w:r w:rsidRPr="0026653F">
        <w:rPr>
          <w:szCs w:val="22"/>
          <w:lang w:val="fr-FR"/>
        </w:rPr>
        <w:t xml:space="preserve">De prier instamment le </w:t>
      </w:r>
      <w:r w:rsidRPr="0026653F">
        <w:rPr>
          <w:bCs/>
          <w:szCs w:val="22"/>
          <w:lang w:val="fr-FR"/>
        </w:rPr>
        <w:t>Secrétariat général</w:t>
      </w:r>
      <w:r w:rsidRPr="0026653F">
        <w:rPr>
          <w:szCs w:val="22"/>
          <w:lang w:val="fr-FR"/>
        </w:rPr>
        <w:t xml:space="preserve"> de poursuivre ses travaux visant à </w:t>
      </w:r>
      <w:r w:rsidRPr="0026653F">
        <w:rPr>
          <w:bCs/>
          <w:szCs w:val="22"/>
          <w:lang w:val="fr-FR"/>
        </w:rPr>
        <w:t>mettre en œuvre et</w:t>
      </w:r>
      <w:r w:rsidRPr="0026653F">
        <w:rPr>
          <w:szCs w:val="22"/>
          <w:lang w:val="fr-FR"/>
        </w:rPr>
        <w:t xml:space="preserve"> exécuter des politiques d’équité et de parité hommes-femmes dans le lieu de travail </w:t>
      </w:r>
      <w:r w:rsidRPr="0026653F">
        <w:rPr>
          <w:bCs/>
          <w:szCs w:val="22"/>
          <w:lang w:val="fr-FR"/>
        </w:rPr>
        <w:t>et, dans le contexte de la parité, de favoriser</w:t>
      </w:r>
      <w:r w:rsidRPr="0026653F">
        <w:rPr>
          <w:szCs w:val="22"/>
          <w:lang w:val="fr-FR"/>
        </w:rPr>
        <w:t xml:space="preserve"> l’accès </w:t>
      </w:r>
      <w:r w:rsidRPr="0026653F">
        <w:rPr>
          <w:bCs/>
          <w:szCs w:val="22"/>
          <w:lang w:val="fr-FR"/>
        </w:rPr>
        <w:t>des</w:t>
      </w:r>
      <w:r w:rsidRPr="0026653F">
        <w:rPr>
          <w:szCs w:val="22"/>
          <w:lang w:val="fr-FR"/>
        </w:rPr>
        <w:t xml:space="preserve"> femmes aux catégories dans lesquelles elles sont actuellement sous-représentées au sein de l’Organisation</w:t>
      </w:r>
      <w:r w:rsidR="0026215C" w:rsidRPr="0026653F">
        <w:rPr>
          <w:szCs w:val="22"/>
          <w:lang w:val="fr-FR"/>
        </w:rPr>
        <w:t>,</w:t>
      </w:r>
      <w:r w:rsidRPr="0026653F">
        <w:rPr>
          <w:szCs w:val="22"/>
          <w:lang w:val="fr-FR"/>
        </w:rPr>
        <w:t xml:space="preserve"> et </w:t>
      </w:r>
      <w:r w:rsidR="0026215C" w:rsidRPr="0026653F">
        <w:rPr>
          <w:szCs w:val="22"/>
          <w:lang w:val="fr-FR"/>
        </w:rPr>
        <w:t>d’</w:t>
      </w:r>
      <w:r w:rsidRPr="0026653F">
        <w:rPr>
          <w:szCs w:val="22"/>
          <w:lang w:val="fr-FR"/>
        </w:rPr>
        <w:t>assur</w:t>
      </w:r>
      <w:r w:rsidR="0026215C" w:rsidRPr="0026653F">
        <w:rPr>
          <w:szCs w:val="22"/>
          <w:lang w:val="fr-FR"/>
        </w:rPr>
        <w:t xml:space="preserve">er </w:t>
      </w:r>
      <w:r w:rsidRPr="0026653F">
        <w:rPr>
          <w:szCs w:val="22"/>
          <w:lang w:val="fr-FR"/>
        </w:rPr>
        <w:t xml:space="preserve">la responsabilité au titre de l’application de ces politiques </w:t>
      </w:r>
      <w:r w:rsidR="0026215C" w:rsidRPr="0026653F">
        <w:rPr>
          <w:szCs w:val="22"/>
          <w:lang w:val="fr-FR"/>
        </w:rPr>
        <w:t xml:space="preserve">et </w:t>
      </w:r>
      <w:r w:rsidR="0026215C" w:rsidRPr="0026653F">
        <w:rPr>
          <w:bCs/>
          <w:szCs w:val="22"/>
          <w:lang w:val="fr-FR"/>
        </w:rPr>
        <w:t xml:space="preserve">de </w:t>
      </w:r>
      <w:r w:rsidRPr="0026653F">
        <w:rPr>
          <w:bCs/>
          <w:szCs w:val="22"/>
          <w:lang w:val="fr-FR"/>
        </w:rPr>
        <w:t xml:space="preserve">la mise en œuvre des dispositions de la résolution </w:t>
      </w:r>
      <w:hyperlink r:id="rId89" w:history="1">
        <w:r w:rsidRPr="0026653F">
          <w:rPr>
            <w:bCs/>
            <w:color w:val="0000FF"/>
            <w:szCs w:val="22"/>
            <w:u w:val="single"/>
            <w:lang w:val="fr-FR"/>
          </w:rPr>
          <w:t>CP/RES. 1149 (2278/20)</w:t>
        </w:r>
      </w:hyperlink>
      <w:r w:rsidRPr="0026653F">
        <w:rPr>
          <w:szCs w:val="22"/>
          <w:lang w:val="fr-FR"/>
        </w:rPr>
        <w:t xml:space="preserve">, </w:t>
      </w:r>
      <w:r w:rsidRPr="0026653F">
        <w:rPr>
          <w:bCs/>
          <w:szCs w:val="22"/>
          <w:lang w:val="fr-FR"/>
        </w:rPr>
        <w:t>« Représentation et participation des femmes à l’OEA ».</w:t>
      </w:r>
    </w:p>
    <w:p w14:paraId="2FB1687E" w14:textId="77777777" w:rsidR="009071BD" w:rsidRPr="0026653F" w:rsidRDefault="009071BD" w:rsidP="00C618DD">
      <w:pPr>
        <w:rPr>
          <w:color w:val="000000"/>
          <w:szCs w:val="22"/>
          <w:lang w:val="fr-FR" w:eastAsia="es-ES"/>
        </w:rPr>
      </w:pPr>
    </w:p>
    <w:p w14:paraId="44026B09" w14:textId="77777777" w:rsidR="009071BD" w:rsidRPr="0026653F" w:rsidRDefault="0026215C" w:rsidP="00C618DD">
      <w:pPr>
        <w:ind w:left="1440" w:hanging="720"/>
        <w:rPr>
          <w:color w:val="000000"/>
          <w:szCs w:val="22"/>
          <w:lang w:val="fr-FR"/>
        </w:rPr>
      </w:pPr>
      <w:r w:rsidRPr="0026653F">
        <w:rPr>
          <w:color w:val="000000"/>
          <w:szCs w:val="22"/>
          <w:lang w:val="fr-FR"/>
        </w:rPr>
        <w:t>14.</w:t>
      </w:r>
      <w:r w:rsidRPr="0026653F">
        <w:rPr>
          <w:color w:val="000000"/>
          <w:szCs w:val="22"/>
          <w:lang w:val="fr-FR"/>
        </w:rPr>
        <w:tab/>
      </w:r>
      <w:r w:rsidR="009071BD" w:rsidRPr="0026653F">
        <w:rPr>
          <w:color w:val="000000"/>
          <w:szCs w:val="22"/>
          <w:u w:val="single"/>
          <w:lang w:val="fr-FR"/>
        </w:rPr>
        <w:t>Représentation géographique</w:t>
      </w:r>
    </w:p>
    <w:p w14:paraId="2BD11A21" w14:textId="77777777" w:rsidR="009071BD" w:rsidRPr="0026653F" w:rsidRDefault="009071BD" w:rsidP="00C618DD">
      <w:pPr>
        <w:rPr>
          <w:color w:val="000000"/>
          <w:szCs w:val="22"/>
          <w:lang w:val="fr-FR" w:eastAsia="es-ES"/>
        </w:rPr>
      </w:pPr>
    </w:p>
    <w:p w14:paraId="0FE42002" w14:textId="77777777" w:rsidR="009071BD" w:rsidRPr="004E44A6" w:rsidRDefault="009071BD" w:rsidP="00C618DD">
      <w:pPr>
        <w:ind w:firstLine="720"/>
        <w:rPr>
          <w:bCs/>
          <w:iCs/>
          <w:color w:val="000000"/>
          <w:szCs w:val="22"/>
          <w:lang w:val="fr-FR"/>
        </w:rPr>
      </w:pPr>
      <w:r w:rsidRPr="0026653F">
        <w:rPr>
          <w:color w:val="000000"/>
          <w:szCs w:val="22"/>
          <w:lang w:val="fr-FR"/>
        </w:rPr>
        <w:t>De prendre note de la Stratégie de représentation géographique présentée au Conseil permanent le 13 mars 2019, et de charger le Secrétariat général d’établir des objectifs et des indicateurs pour cette stratégie afin d’assurer la mise en œuvre du plan d’action et d’obtenir une représentation géographique équitable du personnel, conformément aux dispositions de l’article 120 de la Charte de l’OEA qui comprenne, en outre, les consultants et les stagiaires.</w:t>
      </w:r>
    </w:p>
    <w:p w14:paraId="3DACB329" w14:textId="77777777" w:rsidR="009071BD" w:rsidRPr="004E44A6" w:rsidRDefault="009071BD" w:rsidP="00C618DD">
      <w:pPr>
        <w:rPr>
          <w:bCs/>
          <w:iCs/>
          <w:color w:val="000000"/>
          <w:szCs w:val="22"/>
          <w:lang w:val="fr-FR"/>
        </w:rPr>
      </w:pPr>
    </w:p>
    <w:p w14:paraId="2561FBD8" w14:textId="37918D74" w:rsidR="009071BD" w:rsidRPr="0026653F" w:rsidRDefault="00107F45" w:rsidP="00C618DD">
      <w:pPr>
        <w:ind w:left="1440" w:hanging="720"/>
        <w:rPr>
          <w:color w:val="000000"/>
          <w:szCs w:val="22"/>
          <w:lang w:val="fr-FR"/>
        </w:rPr>
      </w:pPr>
      <w:r w:rsidRPr="0026653F">
        <w:rPr>
          <w:color w:val="000000"/>
          <w:szCs w:val="22"/>
          <w:lang w:val="fr-FR"/>
        </w:rPr>
        <w:t>15.</w:t>
      </w:r>
      <w:r w:rsidRPr="0026653F">
        <w:rPr>
          <w:color w:val="000000"/>
          <w:szCs w:val="22"/>
          <w:lang w:val="fr-FR"/>
        </w:rPr>
        <w:tab/>
      </w:r>
      <w:r w:rsidR="009071BD" w:rsidRPr="0026653F">
        <w:rPr>
          <w:color w:val="000000"/>
          <w:szCs w:val="22"/>
          <w:u w:val="single"/>
          <w:lang w:val="fr-FR"/>
        </w:rPr>
        <w:t>Honoraires</w:t>
      </w:r>
    </w:p>
    <w:p w14:paraId="3B07600A" w14:textId="77777777" w:rsidR="009071BD" w:rsidRPr="0026653F" w:rsidRDefault="009071BD" w:rsidP="00C618DD">
      <w:pPr>
        <w:rPr>
          <w:color w:val="000000"/>
          <w:szCs w:val="22"/>
          <w:u w:val="single"/>
          <w:lang w:val="fr-FR" w:eastAsia="es-ES"/>
        </w:rPr>
      </w:pPr>
    </w:p>
    <w:p w14:paraId="24FC3FEB" w14:textId="77777777" w:rsidR="009071BD" w:rsidRPr="0026653F" w:rsidRDefault="009071BD" w:rsidP="00C618DD">
      <w:pPr>
        <w:ind w:firstLine="720"/>
        <w:rPr>
          <w:color w:val="000000"/>
          <w:szCs w:val="22"/>
          <w:lang w:val="fr-FR"/>
        </w:rPr>
      </w:pPr>
      <w:r w:rsidRPr="0026653F">
        <w:rPr>
          <w:snapToGrid w:val="0"/>
          <w:color w:val="000000"/>
          <w:szCs w:val="22"/>
          <w:lang w:val="fr-FR"/>
        </w:rPr>
        <w:t xml:space="preserve">Les honoraires versés aux membres de la CIDH, de la Cour interaméricaine des droits de l’homme, du Tribunal administratif, de la Commission des vérificateurs extérieurs </w:t>
      </w:r>
      <w:r w:rsidRPr="0026653F">
        <w:rPr>
          <w:bCs/>
          <w:snapToGrid w:val="0"/>
          <w:color w:val="000000"/>
          <w:szCs w:val="22"/>
          <w:lang w:val="fr-FR"/>
        </w:rPr>
        <w:t>et du Comité juridique interaméricain</w:t>
      </w:r>
      <w:r w:rsidRPr="0026653F">
        <w:rPr>
          <w:snapToGrid w:val="0"/>
          <w:color w:val="000000"/>
          <w:szCs w:val="22"/>
          <w:lang w:val="fr-FR"/>
        </w:rPr>
        <w:t xml:space="preserve"> sont de 300 USD par jour. Les coûts afférents à ces honoraires seront financés par les crédits ouverts dans le présent programme-budget.</w:t>
      </w:r>
      <w:r w:rsidRPr="0026653F">
        <w:rPr>
          <w:snapToGrid w:val="0"/>
          <w:color w:val="000000"/>
          <w:szCs w:val="22"/>
          <w:vertAlign w:val="superscript"/>
          <w:lang w:val="fr-FR"/>
        </w:rPr>
        <w:t xml:space="preserve"> </w:t>
      </w:r>
    </w:p>
    <w:p w14:paraId="7C2CDD81" w14:textId="77777777" w:rsidR="009071BD" w:rsidRPr="0026653F" w:rsidRDefault="009071BD" w:rsidP="00C618DD">
      <w:pPr>
        <w:rPr>
          <w:snapToGrid w:val="0"/>
          <w:color w:val="000000"/>
          <w:szCs w:val="22"/>
          <w:lang w:val="fr-FR" w:eastAsia="es-ES"/>
        </w:rPr>
      </w:pPr>
    </w:p>
    <w:p w14:paraId="603A9479" w14:textId="6FFC2292" w:rsidR="009071BD" w:rsidRPr="0026653F" w:rsidRDefault="009D7C19" w:rsidP="00C618DD">
      <w:pPr>
        <w:ind w:firstLine="720"/>
        <w:rPr>
          <w:color w:val="000000"/>
          <w:szCs w:val="22"/>
          <w:u w:val="single"/>
          <w:lang w:val="fr-FR"/>
        </w:rPr>
      </w:pPr>
      <w:r w:rsidRPr="0026653F">
        <w:rPr>
          <w:color w:val="000000"/>
          <w:szCs w:val="22"/>
          <w:lang w:val="fr-FR"/>
        </w:rPr>
        <w:lastRenderedPageBreak/>
        <w:t>16.</w:t>
      </w:r>
      <w:r w:rsidRPr="0026653F">
        <w:rPr>
          <w:color w:val="000000"/>
          <w:szCs w:val="22"/>
          <w:lang w:val="fr-FR"/>
        </w:rPr>
        <w:tab/>
      </w:r>
      <w:r w:rsidR="009071BD" w:rsidRPr="0026653F">
        <w:rPr>
          <w:color w:val="000000"/>
          <w:szCs w:val="22"/>
          <w:u w:val="single"/>
          <w:lang w:val="fr-FR"/>
        </w:rPr>
        <w:t>Commission interaméricaine des droits de l’homme</w:t>
      </w:r>
    </w:p>
    <w:p w14:paraId="425ED47A" w14:textId="77777777" w:rsidR="009071BD" w:rsidRPr="0026653F" w:rsidRDefault="009071BD" w:rsidP="00C618DD">
      <w:pPr>
        <w:rPr>
          <w:color w:val="000000"/>
          <w:szCs w:val="22"/>
          <w:lang w:val="fr-FR" w:eastAsia="es-ES"/>
        </w:rPr>
      </w:pPr>
    </w:p>
    <w:p w14:paraId="4B0A2316" w14:textId="77777777" w:rsidR="009071BD" w:rsidRPr="0026653F" w:rsidRDefault="009071BD" w:rsidP="00C618DD">
      <w:pPr>
        <w:ind w:firstLine="720"/>
        <w:rPr>
          <w:color w:val="000000"/>
          <w:szCs w:val="22"/>
          <w:lang w:val="fr-FR"/>
        </w:rPr>
      </w:pPr>
      <w:r w:rsidRPr="0026653F">
        <w:rPr>
          <w:snapToGrid w:val="0"/>
          <w:color w:val="000000"/>
          <w:szCs w:val="22"/>
          <w:lang w:val="fr-FR"/>
        </w:rPr>
        <w:t>De reconduire l’autorisation budgétaire accordée à la CIDH afin de couvrir les paiements effectués aux membres de la CIDH au titre de services spéciaux, à concurrence de 4 000 USD par mois, par membre. Cette mesure budgétaire sera prise sans préjudice du droit au paiement des honoraires conformément aux dispositions de l’Assemblée générale figurant au paragraphe IV.15 de la présente résolution.</w:t>
      </w:r>
    </w:p>
    <w:p w14:paraId="5EF0E9DE" w14:textId="77777777" w:rsidR="009071BD" w:rsidRPr="0026653F" w:rsidRDefault="009071BD" w:rsidP="00C618DD">
      <w:pPr>
        <w:rPr>
          <w:snapToGrid w:val="0"/>
          <w:color w:val="000000"/>
          <w:szCs w:val="22"/>
          <w:lang w:val="fr-FR" w:eastAsia="es-ES"/>
        </w:rPr>
      </w:pPr>
    </w:p>
    <w:p w14:paraId="5B48D28C" w14:textId="7997B328" w:rsidR="009071BD" w:rsidRPr="0026653F" w:rsidRDefault="009D7C19" w:rsidP="00C618DD">
      <w:pPr>
        <w:keepNext/>
        <w:ind w:firstLine="720"/>
        <w:rPr>
          <w:color w:val="000000"/>
          <w:szCs w:val="22"/>
          <w:u w:val="single"/>
          <w:lang w:val="fr-FR"/>
        </w:rPr>
      </w:pPr>
      <w:r w:rsidRPr="0026653F">
        <w:rPr>
          <w:color w:val="000000"/>
          <w:szCs w:val="22"/>
          <w:lang w:val="fr-FR"/>
        </w:rPr>
        <w:t>17.</w:t>
      </w:r>
      <w:r w:rsidRPr="0026653F">
        <w:rPr>
          <w:color w:val="000000"/>
          <w:szCs w:val="22"/>
          <w:lang w:val="fr-FR"/>
        </w:rPr>
        <w:tab/>
      </w:r>
      <w:r w:rsidR="009071BD" w:rsidRPr="0026653F">
        <w:rPr>
          <w:color w:val="000000"/>
          <w:szCs w:val="22"/>
          <w:u w:val="single"/>
          <w:lang w:val="fr-FR"/>
        </w:rPr>
        <w:t>Cour interaméricaine des droits de l’homme</w:t>
      </w:r>
    </w:p>
    <w:p w14:paraId="13C22A17" w14:textId="77777777" w:rsidR="009071BD" w:rsidRPr="0026653F" w:rsidRDefault="009071BD" w:rsidP="00C618DD">
      <w:pPr>
        <w:keepNext/>
        <w:rPr>
          <w:color w:val="000000"/>
          <w:szCs w:val="22"/>
          <w:lang w:val="fr-FR" w:eastAsia="es-ES"/>
        </w:rPr>
      </w:pPr>
    </w:p>
    <w:p w14:paraId="1AD5770B" w14:textId="77777777" w:rsidR="009071BD" w:rsidRPr="0026653F" w:rsidRDefault="009071BD" w:rsidP="00C618DD">
      <w:pPr>
        <w:ind w:firstLine="720"/>
        <w:rPr>
          <w:color w:val="000000"/>
          <w:szCs w:val="22"/>
          <w:lang w:val="fr-FR"/>
        </w:rPr>
      </w:pPr>
      <w:r w:rsidRPr="0026653F">
        <w:rPr>
          <w:color w:val="000000"/>
          <w:szCs w:val="22"/>
          <w:lang w:val="fr-FR"/>
        </w:rPr>
        <w:t>De reconduire l’autorisation budgétaire accordée à la Cour interaméricaine des droits de l’homme afin de couvrir le paiement des émoluments perçus par les juges de la Cour, à concurrence de 4 000 USD par mois, par juge. Cette mesure budgétaire sera prise sans préjudice de l’article 26 du Statut de la Cour, et sans préjudice du droit au paiement d’honoraires conformément à la décision de l’Assemblée générale prise au moyen du paragraphe IV.15 de la présente résolution.</w:t>
      </w:r>
    </w:p>
    <w:p w14:paraId="0A44ADCD" w14:textId="77777777" w:rsidR="009071BD" w:rsidRPr="0026653F" w:rsidRDefault="009071BD" w:rsidP="00C618DD">
      <w:pPr>
        <w:rPr>
          <w:bCs/>
          <w:color w:val="000000"/>
          <w:szCs w:val="22"/>
          <w:lang w:val="fr-FR" w:eastAsia="es-ES"/>
        </w:rPr>
      </w:pPr>
    </w:p>
    <w:p w14:paraId="07CC4BEC" w14:textId="4A8E4836" w:rsidR="009071BD" w:rsidRPr="0026653F" w:rsidRDefault="009D7C19" w:rsidP="00C618DD">
      <w:pPr>
        <w:ind w:firstLine="720"/>
        <w:rPr>
          <w:bCs/>
          <w:color w:val="000000"/>
          <w:szCs w:val="22"/>
          <w:lang w:val="fr-FR"/>
        </w:rPr>
      </w:pPr>
      <w:r w:rsidRPr="0026653F">
        <w:rPr>
          <w:color w:val="000000"/>
          <w:szCs w:val="22"/>
          <w:lang w:val="fr-FR"/>
        </w:rPr>
        <w:t>18.</w:t>
      </w:r>
      <w:r w:rsidRPr="0026653F">
        <w:rPr>
          <w:color w:val="000000"/>
          <w:szCs w:val="22"/>
          <w:lang w:val="fr-FR"/>
        </w:rPr>
        <w:tab/>
      </w:r>
      <w:r w:rsidR="009071BD" w:rsidRPr="0026653F">
        <w:rPr>
          <w:color w:val="000000"/>
          <w:szCs w:val="22"/>
          <w:u w:val="single"/>
          <w:lang w:val="fr-FR"/>
        </w:rPr>
        <w:t>Limite du nombre de postes financés par le Fonds ordinaire</w:t>
      </w:r>
      <w:r w:rsidR="009071BD" w:rsidRPr="0026653F">
        <w:rPr>
          <w:color w:val="000000"/>
          <w:szCs w:val="22"/>
          <w:lang w:val="fr-FR"/>
        </w:rPr>
        <w:t xml:space="preserve"> </w:t>
      </w:r>
    </w:p>
    <w:p w14:paraId="438943EC" w14:textId="77777777" w:rsidR="009071BD" w:rsidRPr="0026653F" w:rsidRDefault="009071BD" w:rsidP="00C618DD">
      <w:pPr>
        <w:rPr>
          <w:bCs/>
          <w:color w:val="000000"/>
          <w:szCs w:val="22"/>
          <w:lang w:val="fr-FR" w:eastAsia="es-ES"/>
        </w:rPr>
      </w:pPr>
    </w:p>
    <w:p w14:paraId="03FF8E81" w14:textId="77777777" w:rsidR="009071BD" w:rsidRPr="0026653F" w:rsidRDefault="009071BD" w:rsidP="00C618DD">
      <w:pPr>
        <w:ind w:left="2160" w:hanging="720"/>
        <w:rPr>
          <w:color w:val="000000"/>
          <w:szCs w:val="22"/>
          <w:lang w:val="fr-FR"/>
        </w:rPr>
      </w:pPr>
      <w:r w:rsidRPr="0026653F">
        <w:rPr>
          <w:color w:val="000000"/>
          <w:szCs w:val="22"/>
          <w:lang w:val="fr-FR"/>
        </w:rPr>
        <w:t>a)</w:t>
      </w:r>
      <w:r w:rsidRPr="0026653F">
        <w:rPr>
          <w:color w:val="000000"/>
          <w:szCs w:val="22"/>
          <w:lang w:val="fr-FR"/>
        </w:rPr>
        <w:tab/>
        <w:t>Le nombre de postes financés par le Fonds ordinaire et approuvé pour la période allant du 1</w:t>
      </w:r>
      <w:r w:rsidRPr="0026653F">
        <w:rPr>
          <w:color w:val="000000"/>
          <w:szCs w:val="22"/>
          <w:vertAlign w:val="superscript"/>
          <w:lang w:val="fr-FR"/>
        </w:rPr>
        <w:t>er</w:t>
      </w:r>
      <w:r w:rsidRPr="0026653F">
        <w:rPr>
          <w:color w:val="000000"/>
          <w:szCs w:val="22"/>
          <w:lang w:val="fr-FR"/>
        </w:rPr>
        <w:t xml:space="preserve"> janvier au 31 décembre </w:t>
      </w:r>
      <w:r w:rsidRPr="0026653F">
        <w:rPr>
          <w:bCs/>
          <w:color w:val="000000"/>
          <w:szCs w:val="22"/>
          <w:lang w:val="fr-FR"/>
        </w:rPr>
        <w:t>2021</w:t>
      </w:r>
      <w:r w:rsidRPr="0026653F">
        <w:rPr>
          <w:color w:val="000000"/>
          <w:szCs w:val="22"/>
          <w:lang w:val="fr-FR"/>
        </w:rPr>
        <w:t xml:space="preserve"> ne doit pas dépasser </w:t>
      </w:r>
      <w:r w:rsidRPr="0026653F">
        <w:rPr>
          <w:bCs/>
          <w:color w:val="000000"/>
          <w:szCs w:val="22"/>
          <w:lang w:val="fr-FR"/>
        </w:rPr>
        <w:t>395</w:t>
      </w:r>
      <w:r w:rsidRPr="0026653F">
        <w:rPr>
          <w:color w:val="000000"/>
          <w:szCs w:val="22"/>
          <w:lang w:val="fr-FR"/>
        </w:rPr>
        <w:t xml:space="preserve">. Ce nombre peut être modifié si le Secrétariat général le juge nécessaire, à condition qu’il soit en conformité avec le pourcentage énoncé au paragraphe suivant. Le Secrétariat général présentera les modifications dans le nombre de postes établi dans ce paragraphe </w:t>
      </w:r>
      <w:r w:rsidRPr="0026653F">
        <w:rPr>
          <w:bCs/>
          <w:color w:val="000000"/>
          <w:szCs w:val="22"/>
          <w:lang w:val="fr-FR"/>
        </w:rPr>
        <w:t>dans son rapport semestriel adressé à la CAAP sur l’administration des ressources et les résultats</w:t>
      </w:r>
      <w:r w:rsidRPr="0026653F">
        <w:rPr>
          <w:color w:val="000000"/>
          <w:szCs w:val="22"/>
          <w:lang w:val="fr-FR"/>
        </w:rPr>
        <w:t>.</w:t>
      </w:r>
    </w:p>
    <w:p w14:paraId="7E0A8F33" w14:textId="77777777" w:rsidR="009071BD" w:rsidRPr="0026653F" w:rsidRDefault="009071BD" w:rsidP="00C618DD">
      <w:pPr>
        <w:rPr>
          <w:color w:val="000000"/>
          <w:szCs w:val="22"/>
          <w:u w:val="single"/>
          <w:lang w:val="fr-FR" w:eastAsia="es-ES"/>
        </w:rPr>
      </w:pPr>
    </w:p>
    <w:p w14:paraId="76249B66" w14:textId="235391D8" w:rsidR="009071BD" w:rsidRPr="0026653F" w:rsidRDefault="009071BD" w:rsidP="00C618DD">
      <w:pPr>
        <w:ind w:left="2160" w:hanging="720"/>
        <w:rPr>
          <w:color w:val="000000"/>
          <w:szCs w:val="22"/>
          <w:lang w:val="fr-FR"/>
        </w:rPr>
      </w:pPr>
      <w:r w:rsidRPr="0026653F">
        <w:rPr>
          <w:color w:val="000000"/>
          <w:szCs w:val="22"/>
          <w:lang w:val="fr-FR"/>
        </w:rPr>
        <w:t>b)</w:t>
      </w:r>
      <w:r w:rsidRPr="0026653F">
        <w:rPr>
          <w:color w:val="000000"/>
          <w:szCs w:val="22"/>
          <w:lang w:val="fr-FR"/>
        </w:rPr>
        <w:tab/>
        <w:t>Le montant total des dépenses afférentes à la rubrique du personnel (</w:t>
      </w:r>
      <w:r w:rsidR="009D7C19" w:rsidRPr="0026653F">
        <w:rPr>
          <w:color w:val="000000"/>
          <w:szCs w:val="22"/>
          <w:lang w:val="fr-FR"/>
        </w:rPr>
        <w:t>o</w:t>
      </w:r>
      <w:r w:rsidRPr="0026653F">
        <w:rPr>
          <w:color w:val="000000"/>
          <w:szCs w:val="22"/>
          <w:lang w:val="fr-FR"/>
        </w:rPr>
        <w:t xml:space="preserve">bjet 1, article </w:t>
      </w:r>
      <w:r w:rsidRPr="0026653F">
        <w:rPr>
          <w:bCs/>
          <w:color w:val="000000"/>
          <w:szCs w:val="22"/>
          <w:lang w:val="fr-FR"/>
        </w:rPr>
        <w:t>91</w:t>
      </w:r>
      <w:r w:rsidRPr="0026653F">
        <w:rPr>
          <w:color w:val="000000"/>
          <w:szCs w:val="22"/>
          <w:lang w:val="fr-FR"/>
        </w:rPr>
        <w:t xml:space="preserve"> des Normes générales) ne doit pas dépasser 64,38 % du niveau budgétaire global du Fonds ordinaire pour l’exercice 2021.</w:t>
      </w:r>
    </w:p>
    <w:p w14:paraId="756A8C44" w14:textId="77777777" w:rsidR="009071BD" w:rsidRPr="0026653F" w:rsidRDefault="009071BD" w:rsidP="00C618DD">
      <w:pPr>
        <w:rPr>
          <w:color w:val="000000"/>
          <w:szCs w:val="22"/>
          <w:lang w:val="fr-FR" w:eastAsia="es-ES"/>
        </w:rPr>
      </w:pPr>
    </w:p>
    <w:p w14:paraId="1394026B" w14:textId="77777777" w:rsidR="009071BD" w:rsidRPr="0026653F" w:rsidRDefault="009071BD" w:rsidP="00C618DD">
      <w:pPr>
        <w:ind w:left="2160" w:hanging="720"/>
        <w:rPr>
          <w:color w:val="000000"/>
          <w:szCs w:val="22"/>
          <w:lang w:val="fr-FR"/>
        </w:rPr>
      </w:pPr>
      <w:r w:rsidRPr="0026653F">
        <w:rPr>
          <w:color w:val="000000"/>
          <w:szCs w:val="22"/>
          <w:lang w:val="fr-FR"/>
        </w:rPr>
        <w:t>c)</w:t>
      </w:r>
      <w:r w:rsidRPr="0026653F">
        <w:rPr>
          <w:color w:val="000000"/>
          <w:szCs w:val="22"/>
          <w:lang w:val="fr-FR"/>
        </w:rPr>
        <w:tab/>
        <w:t>Le Conseil permanent est autorisé à ajuster à titre exceptionnel le pourcentage indiqué au paragraphe antérieur, à sa discrétion et sur l’avis de la CAAP, en conséquence de changements dans les facteurs économiques ou financiers ayant des incidences sur l’exécution du Fonds ordinaire.</w:t>
      </w:r>
    </w:p>
    <w:p w14:paraId="302D8423" w14:textId="77777777" w:rsidR="009071BD" w:rsidRPr="0026653F" w:rsidRDefault="009071BD" w:rsidP="00C618DD">
      <w:pPr>
        <w:rPr>
          <w:color w:val="000000"/>
          <w:szCs w:val="22"/>
          <w:lang w:val="fr-FR" w:eastAsia="es-ES"/>
        </w:rPr>
      </w:pPr>
    </w:p>
    <w:p w14:paraId="5D32EE35" w14:textId="3CBD07A0" w:rsidR="009071BD" w:rsidRPr="0026653F" w:rsidRDefault="009D7C19" w:rsidP="00C618DD">
      <w:pPr>
        <w:ind w:firstLine="720"/>
        <w:rPr>
          <w:color w:val="000000"/>
          <w:szCs w:val="22"/>
          <w:u w:val="single"/>
          <w:lang w:val="fr-FR"/>
        </w:rPr>
      </w:pPr>
      <w:r w:rsidRPr="0026653F">
        <w:rPr>
          <w:color w:val="000000"/>
          <w:szCs w:val="22"/>
          <w:lang w:val="fr-FR"/>
        </w:rPr>
        <w:t>19.</w:t>
      </w:r>
      <w:r w:rsidRPr="0026653F">
        <w:rPr>
          <w:color w:val="000000"/>
          <w:szCs w:val="22"/>
          <w:lang w:val="fr-FR"/>
        </w:rPr>
        <w:tab/>
      </w:r>
      <w:r w:rsidR="009071BD" w:rsidRPr="0026653F">
        <w:rPr>
          <w:color w:val="000000"/>
          <w:szCs w:val="22"/>
          <w:u w:val="single"/>
          <w:lang w:val="fr-FR"/>
        </w:rPr>
        <w:t>Réalisation d’économies</w:t>
      </w:r>
    </w:p>
    <w:p w14:paraId="05E949A3" w14:textId="77777777" w:rsidR="009071BD" w:rsidRPr="0026653F" w:rsidRDefault="009071BD" w:rsidP="00C618DD">
      <w:pPr>
        <w:rPr>
          <w:color w:val="000000"/>
          <w:szCs w:val="22"/>
          <w:lang w:val="fr-FR" w:eastAsia="es-ES"/>
        </w:rPr>
      </w:pPr>
    </w:p>
    <w:p w14:paraId="61BAB8A5" w14:textId="10523805" w:rsidR="009071BD" w:rsidRPr="0026653F" w:rsidRDefault="009071BD" w:rsidP="00C618DD">
      <w:pPr>
        <w:ind w:firstLine="720"/>
        <w:rPr>
          <w:bCs/>
          <w:color w:val="000000"/>
          <w:szCs w:val="22"/>
          <w:lang w:val="fr-FR" w:eastAsia="es-ES"/>
        </w:rPr>
      </w:pPr>
      <w:r w:rsidRPr="0026653F">
        <w:rPr>
          <w:color w:val="000000"/>
          <w:szCs w:val="22"/>
          <w:lang w:val="fr-FR"/>
        </w:rPr>
        <w:t xml:space="preserve">De charger le Secrétariat général </w:t>
      </w:r>
      <w:r w:rsidRPr="0026653F">
        <w:rPr>
          <w:bCs/>
          <w:color w:val="000000"/>
          <w:szCs w:val="22"/>
          <w:lang w:val="fr-FR"/>
        </w:rPr>
        <w:t>d’inclure dans son rapport semestriel adressé à la CAAP sur l’administration des ressources et les résultats</w:t>
      </w:r>
      <w:r w:rsidRPr="0026653F">
        <w:rPr>
          <w:color w:val="000000"/>
          <w:szCs w:val="22"/>
          <w:lang w:val="fr-FR"/>
        </w:rPr>
        <w:t xml:space="preserve"> les économies réalisées grâce au fonctionnement efficient du Secrétariat général, y compris celles provenant des frais communs.</w:t>
      </w:r>
    </w:p>
    <w:p w14:paraId="534A8841" w14:textId="77777777" w:rsidR="009071BD" w:rsidRPr="0026653F" w:rsidRDefault="009071BD" w:rsidP="00C618DD">
      <w:pPr>
        <w:rPr>
          <w:bCs/>
          <w:color w:val="000000"/>
          <w:szCs w:val="22"/>
          <w:lang w:val="fr-FR" w:eastAsia="es-ES"/>
        </w:rPr>
      </w:pPr>
    </w:p>
    <w:p w14:paraId="6D59F82F" w14:textId="7619823F" w:rsidR="009071BD" w:rsidRPr="0026653F" w:rsidRDefault="009D7C19" w:rsidP="00C618DD">
      <w:pPr>
        <w:keepNext/>
        <w:ind w:firstLine="708"/>
        <w:rPr>
          <w:color w:val="000000"/>
          <w:szCs w:val="22"/>
          <w:lang w:val="fr-FR"/>
        </w:rPr>
      </w:pPr>
      <w:r w:rsidRPr="0026653F">
        <w:rPr>
          <w:color w:val="000000"/>
          <w:szCs w:val="22"/>
          <w:lang w:val="fr-FR"/>
        </w:rPr>
        <w:t>20.</w:t>
      </w:r>
      <w:r w:rsidRPr="0026653F">
        <w:rPr>
          <w:color w:val="000000"/>
          <w:szCs w:val="22"/>
          <w:lang w:val="fr-FR"/>
        </w:rPr>
        <w:tab/>
      </w:r>
      <w:r w:rsidR="009071BD" w:rsidRPr="0026653F">
        <w:rPr>
          <w:color w:val="000000"/>
          <w:szCs w:val="22"/>
          <w:u w:val="single"/>
          <w:lang w:val="fr-FR"/>
        </w:rPr>
        <w:t>Département de la presse et de la communication</w:t>
      </w:r>
    </w:p>
    <w:p w14:paraId="2F93035C" w14:textId="77777777" w:rsidR="009071BD" w:rsidRPr="0026653F" w:rsidRDefault="009071BD" w:rsidP="00C618DD">
      <w:pPr>
        <w:keepNext/>
        <w:rPr>
          <w:color w:val="000000"/>
          <w:szCs w:val="22"/>
          <w:lang w:val="fr-FR" w:eastAsia="es-ES"/>
        </w:rPr>
      </w:pPr>
    </w:p>
    <w:p w14:paraId="35F4A3A2" w14:textId="77777777" w:rsidR="009071BD" w:rsidRPr="0026653F" w:rsidRDefault="009071BD" w:rsidP="00C618DD">
      <w:pPr>
        <w:ind w:firstLine="708"/>
        <w:rPr>
          <w:b/>
          <w:bCs/>
          <w:color w:val="000000"/>
          <w:szCs w:val="22"/>
          <w:lang w:val="fr-FR" w:eastAsia="es-ES"/>
        </w:rPr>
      </w:pPr>
      <w:r w:rsidRPr="0026653F">
        <w:rPr>
          <w:bCs/>
          <w:color w:val="000000"/>
          <w:szCs w:val="22"/>
          <w:lang w:val="fr-FR" w:eastAsia="es-ES"/>
        </w:rPr>
        <w:t>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w:t>
      </w:r>
    </w:p>
    <w:p w14:paraId="05365512" w14:textId="77777777" w:rsidR="009071BD" w:rsidRPr="0026653F" w:rsidRDefault="009071BD" w:rsidP="00C618DD">
      <w:pPr>
        <w:jc w:val="left"/>
        <w:rPr>
          <w:szCs w:val="22"/>
          <w:lang w:val="fr-FR" w:eastAsia="es-ES"/>
        </w:rPr>
      </w:pPr>
    </w:p>
    <w:p w14:paraId="106A5781" w14:textId="5D428045" w:rsidR="009071BD" w:rsidRPr="0026653F" w:rsidRDefault="009D7C19" w:rsidP="00C618DD">
      <w:pPr>
        <w:ind w:firstLine="708"/>
        <w:rPr>
          <w:color w:val="000000"/>
          <w:szCs w:val="22"/>
          <w:u w:val="single"/>
          <w:lang w:val="fr-FR"/>
        </w:rPr>
      </w:pPr>
      <w:r w:rsidRPr="0026653F">
        <w:rPr>
          <w:color w:val="000000"/>
          <w:szCs w:val="22"/>
          <w:lang w:val="fr-FR"/>
        </w:rPr>
        <w:t>21.</w:t>
      </w:r>
      <w:r w:rsidRPr="0026653F">
        <w:rPr>
          <w:color w:val="000000"/>
          <w:szCs w:val="22"/>
          <w:lang w:val="fr-FR"/>
        </w:rPr>
        <w:tab/>
      </w:r>
      <w:r w:rsidR="009071BD" w:rsidRPr="0026653F">
        <w:rPr>
          <w:color w:val="000000"/>
          <w:szCs w:val="22"/>
          <w:u w:val="single"/>
          <w:lang w:val="fr-FR"/>
        </w:rPr>
        <w:t>Personnel de confiance</w:t>
      </w:r>
    </w:p>
    <w:p w14:paraId="5AAB99AC" w14:textId="77777777" w:rsidR="009071BD" w:rsidRPr="0026653F" w:rsidRDefault="009071BD" w:rsidP="00C618DD">
      <w:pPr>
        <w:jc w:val="left"/>
        <w:rPr>
          <w:color w:val="000000"/>
          <w:szCs w:val="22"/>
          <w:lang w:val="fr-FR" w:eastAsia="es-ES"/>
        </w:rPr>
      </w:pPr>
    </w:p>
    <w:p w14:paraId="043342F7" w14:textId="3D3BC75C" w:rsidR="009071BD" w:rsidRPr="0026653F" w:rsidRDefault="009071BD" w:rsidP="00C618DD">
      <w:pPr>
        <w:numPr>
          <w:ilvl w:val="0"/>
          <w:numId w:val="17"/>
        </w:numPr>
        <w:ind w:left="2160" w:hanging="720"/>
        <w:rPr>
          <w:color w:val="000000"/>
          <w:szCs w:val="22"/>
          <w:lang w:val="fr-FR"/>
        </w:rPr>
      </w:pPr>
      <w:r w:rsidRPr="0026653F">
        <w:rPr>
          <w:color w:val="000000"/>
          <w:szCs w:val="22"/>
          <w:lang w:val="fr-FR"/>
        </w:rPr>
        <w:t xml:space="preserve">De déroger aux dispositions de l’article 21 b.v. des Normes générales pour autoriser le financement de </w:t>
      </w:r>
      <w:r w:rsidRPr="0026653F">
        <w:rPr>
          <w:bCs/>
          <w:color w:val="000000"/>
          <w:szCs w:val="22"/>
          <w:lang w:val="fr-FR"/>
        </w:rPr>
        <w:t>21</w:t>
      </w:r>
      <w:r w:rsidRPr="0026653F">
        <w:rPr>
          <w:color w:val="000000"/>
          <w:szCs w:val="22"/>
          <w:lang w:val="fr-FR"/>
        </w:rPr>
        <w:t xml:space="preserve"> postes de confiance financés par le Fonds ordinaire au titre de l’exécution du programme-budget 2020</w:t>
      </w:r>
      <w:r w:rsidR="009D7C19" w:rsidRPr="0026653F">
        <w:rPr>
          <w:color w:val="000000"/>
          <w:szCs w:val="22"/>
          <w:lang w:val="fr-FR"/>
        </w:rPr>
        <w:t> ; l</w:t>
      </w:r>
      <w:r w:rsidRPr="0026653F">
        <w:rPr>
          <w:color w:val="000000"/>
          <w:szCs w:val="22"/>
          <w:lang w:val="fr-FR"/>
        </w:rPr>
        <w:t>es postes de confiance pour 2020 seront ceux qui sont portés à l’annexe II.</w:t>
      </w:r>
    </w:p>
    <w:p w14:paraId="3D9CAB4A" w14:textId="77777777" w:rsidR="009071BD" w:rsidRPr="0026653F" w:rsidRDefault="009071BD" w:rsidP="00C618DD">
      <w:pPr>
        <w:rPr>
          <w:color w:val="000000"/>
          <w:szCs w:val="22"/>
          <w:lang w:val="fr-FR" w:eastAsia="es-ES"/>
        </w:rPr>
      </w:pPr>
    </w:p>
    <w:p w14:paraId="3E63FA25" w14:textId="77777777" w:rsidR="009071BD" w:rsidRPr="0026653F" w:rsidRDefault="009071BD" w:rsidP="00C618DD">
      <w:pPr>
        <w:ind w:left="2160" w:hanging="720"/>
        <w:rPr>
          <w:color w:val="000000"/>
          <w:szCs w:val="22"/>
          <w:lang w:val="fr-FR"/>
        </w:rPr>
      </w:pPr>
      <w:r w:rsidRPr="0026653F">
        <w:rPr>
          <w:color w:val="000000"/>
          <w:szCs w:val="22"/>
          <w:lang w:val="fr-FR"/>
        </w:rPr>
        <w:t>b)</w:t>
      </w:r>
      <w:r w:rsidRPr="0026653F">
        <w:rPr>
          <w:color w:val="000000"/>
          <w:szCs w:val="22"/>
          <w:lang w:val="fr-FR"/>
        </w:rPr>
        <w:tab/>
        <w:t xml:space="preserve">D’arrêter qu’aucun poste de confiance ne sera financé au moyen de fonds autres que ceux du Fonds ordinaire, à l’exception des postes déjà financés par des fonds autres que ceux du Fonds ordinaire au moment de l’entrée en vigueur de la présente résolution. </w:t>
      </w:r>
    </w:p>
    <w:p w14:paraId="1C802321" w14:textId="77777777" w:rsidR="009071BD" w:rsidRPr="0026653F" w:rsidRDefault="009071BD" w:rsidP="00C618DD">
      <w:pPr>
        <w:rPr>
          <w:color w:val="000000"/>
          <w:szCs w:val="22"/>
          <w:lang w:val="fr-FR" w:eastAsia="es-ES"/>
        </w:rPr>
      </w:pPr>
    </w:p>
    <w:p w14:paraId="7AD0599D" w14:textId="241F2AF9" w:rsidR="009071BD" w:rsidRPr="0026653F" w:rsidRDefault="009071BD" w:rsidP="00C618DD">
      <w:pPr>
        <w:ind w:left="2160" w:hanging="720"/>
        <w:rPr>
          <w:color w:val="000000"/>
          <w:szCs w:val="22"/>
          <w:lang w:val="fr-FR"/>
        </w:rPr>
      </w:pPr>
      <w:r w:rsidRPr="0026653F">
        <w:rPr>
          <w:color w:val="000000"/>
          <w:szCs w:val="22"/>
          <w:lang w:val="fr-FR"/>
        </w:rPr>
        <w:t>c)</w:t>
      </w:r>
      <w:r w:rsidRPr="0026653F">
        <w:rPr>
          <w:color w:val="000000"/>
          <w:szCs w:val="22"/>
          <w:lang w:val="fr-FR"/>
        </w:rPr>
        <w:tab/>
        <w:t>D’arrêter que le personnel engagé pour occuper un poste de confiance ne peut avoir droit au paiement de congés annuels accumulés et non utilisés au moment de sa cessation de service auprès de l’Organisation.</w:t>
      </w:r>
      <w:r w:rsidR="0023148D" w:rsidRPr="0026653F">
        <w:rPr>
          <w:color w:val="000000"/>
          <w:szCs w:val="22"/>
          <w:lang w:val="fr-FR"/>
        </w:rPr>
        <w:t xml:space="preserve"> </w:t>
      </w:r>
      <w:r w:rsidRPr="0026653F">
        <w:rPr>
          <w:color w:val="000000"/>
          <w:szCs w:val="22"/>
          <w:lang w:val="fr-FR"/>
        </w:rPr>
        <w:t>La présente disposition ne concerne pas le personnel de la fonction publique internationale ni le personnel titulaire de contrats permanents et de contrats de la série A et de la série B ayant accepté un poste de confiance.</w:t>
      </w:r>
    </w:p>
    <w:p w14:paraId="260AD7D2" w14:textId="77777777" w:rsidR="009071BD" w:rsidRPr="0026653F" w:rsidRDefault="009071BD" w:rsidP="00C618DD">
      <w:pPr>
        <w:rPr>
          <w:color w:val="000000"/>
          <w:szCs w:val="22"/>
          <w:lang w:val="fr-FR" w:eastAsia="es-ES"/>
        </w:rPr>
      </w:pPr>
    </w:p>
    <w:p w14:paraId="09064977" w14:textId="5C136FBE" w:rsidR="009071BD" w:rsidRPr="0026653F" w:rsidRDefault="009D7C19" w:rsidP="00C618DD">
      <w:pPr>
        <w:ind w:firstLine="720"/>
        <w:rPr>
          <w:color w:val="000000"/>
          <w:szCs w:val="22"/>
          <w:u w:val="single"/>
          <w:lang w:val="fr-FR"/>
        </w:rPr>
      </w:pPr>
      <w:r w:rsidRPr="0026653F">
        <w:rPr>
          <w:color w:val="000000"/>
          <w:szCs w:val="22"/>
          <w:lang w:val="fr-FR"/>
        </w:rPr>
        <w:t>22.</w:t>
      </w:r>
      <w:r w:rsidRPr="0026653F">
        <w:rPr>
          <w:color w:val="000000"/>
          <w:szCs w:val="22"/>
          <w:lang w:val="fr-FR"/>
        </w:rPr>
        <w:tab/>
      </w:r>
      <w:r w:rsidR="009071BD" w:rsidRPr="0026653F">
        <w:rPr>
          <w:color w:val="000000"/>
          <w:szCs w:val="22"/>
          <w:u w:val="single"/>
          <w:lang w:val="fr-FR"/>
        </w:rPr>
        <w:t>Bureaux hors siège du Secrétariat général</w:t>
      </w:r>
    </w:p>
    <w:p w14:paraId="513D1A38" w14:textId="77777777" w:rsidR="009071BD" w:rsidRPr="0026653F" w:rsidRDefault="009071BD" w:rsidP="00C618DD">
      <w:pPr>
        <w:rPr>
          <w:color w:val="000000"/>
          <w:szCs w:val="22"/>
          <w:lang w:val="fr-FR" w:eastAsia="es-ES"/>
        </w:rPr>
      </w:pPr>
    </w:p>
    <w:p w14:paraId="3023B4D4" w14:textId="77777777" w:rsidR="009071BD" w:rsidRPr="0026653F" w:rsidRDefault="009071BD" w:rsidP="00C618DD">
      <w:pPr>
        <w:ind w:firstLine="720"/>
        <w:rPr>
          <w:color w:val="000000"/>
          <w:szCs w:val="22"/>
          <w:lang w:val="fr-FR"/>
        </w:rPr>
      </w:pPr>
      <w:r w:rsidRPr="0026653F">
        <w:rPr>
          <w:color w:val="000000"/>
          <w:szCs w:val="22"/>
          <w:lang w:val="fr-FR"/>
        </w:rPr>
        <w:t>De demander au Secrétaire général de charger le Bureau de coordination des bureaux et unités hors siège du Secrétariat général de continuer d’optimiser et de mettre en œuvre sa stratégie actuelle jusqu’à ce que la révision globale soit terminée et que le plan stratégique qui en découle fasse l’objet d’une entente pour exécution.</w:t>
      </w:r>
    </w:p>
    <w:p w14:paraId="64DD04BA" w14:textId="77777777" w:rsidR="009071BD" w:rsidRPr="0026653F" w:rsidRDefault="009071BD" w:rsidP="00C618DD">
      <w:pPr>
        <w:rPr>
          <w:color w:val="000000"/>
          <w:szCs w:val="22"/>
          <w:lang w:val="fr-FR" w:eastAsia="es-ES"/>
        </w:rPr>
      </w:pPr>
    </w:p>
    <w:p w14:paraId="0E0B3A00" w14:textId="5157D6D8" w:rsidR="009071BD" w:rsidRPr="0026653F" w:rsidRDefault="00B936DA" w:rsidP="00C618DD">
      <w:pPr>
        <w:ind w:firstLine="720"/>
        <w:rPr>
          <w:color w:val="000000"/>
          <w:szCs w:val="22"/>
          <w:u w:val="single"/>
          <w:lang w:val="fr-FR"/>
        </w:rPr>
      </w:pPr>
      <w:r w:rsidRPr="0026653F">
        <w:rPr>
          <w:color w:val="000000"/>
          <w:szCs w:val="22"/>
          <w:lang w:val="fr-FR"/>
        </w:rPr>
        <w:t>23.</w:t>
      </w:r>
      <w:r w:rsidRPr="0026653F">
        <w:rPr>
          <w:color w:val="000000"/>
          <w:szCs w:val="22"/>
          <w:lang w:val="fr-FR"/>
        </w:rPr>
        <w:tab/>
      </w:r>
      <w:r w:rsidR="009071BD" w:rsidRPr="0026653F">
        <w:rPr>
          <w:color w:val="000000"/>
          <w:szCs w:val="22"/>
          <w:u w:val="single"/>
          <w:lang w:val="fr-FR"/>
        </w:rPr>
        <w:t>Éthique et intégrité</w:t>
      </w:r>
    </w:p>
    <w:p w14:paraId="5FBCD117" w14:textId="77777777" w:rsidR="009071BD" w:rsidRPr="0026653F" w:rsidRDefault="009071BD" w:rsidP="00C618DD">
      <w:pPr>
        <w:rPr>
          <w:color w:val="000000"/>
          <w:szCs w:val="22"/>
          <w:lang w:val="fr-FR" w:eastAsia="es-ES"/>
        </w:rPr>
      </w:pPr>
    </w:p>
    <w:p w14:paraId="69AE36F2" w14:textId="395BE4B5" w:rsidR="009071BD" w:rsidRPr="0026653F" w:rsidRDefault="009071BD" w:rsidP="00C618DD">
      <w:pPr>
        <w:ind w:firstLine="720"/>
        <w:rPr>
          <w:color w:val="000000"/>
          <w:szCs w:val="22"/>
          <w:lang w:val="fr-FR"/>
        </w:rPr>
      </w:pPr>
      <w:r w:rsidRPr="0026653F">
        <w:rPr>
          <w:color w:val="000000"/>
          <w:szCs w:val="22"/>
          <w:lang w:val="fr-FR"/>
        </w:rPr>
        <w:t xml:space="preserve">De charger le Secrétaire général de procéder à la mise à jour de la Déclaration d’allégeance, de la Déclaration de conflit d’intérêts et du Code de déontologie </w:t>
      </w:r>
      <w:r w:rsidR="00A40A16" w:rsidRPr="0026653F">
        <w:rPr>
          <w:color w:val="000000"/>
          <w:szCs w:val="22"/>
          <w:lang w:val="fr-FR"/>
        </w:rPr>
        <w:t xml:space="preserve">du Secrétariat général </w:t>
      </w:r>
      <w:r w:rsidRPr="0026653F">
        <w:rPr>
          <w:color w:val="000000"/>
          <w:szCs w:val="22"/>
          <w:lang w:val="fr-FR"/>
        </w:rPr>
        <w:t>aux fins de conformité avec l’article 120 de la Charte de l’OEA qui exige que le personnel soit recruté en fonction de son efficacité, de sa compétence et de son intégrité. Le concept d'intégrité inclut notamment la probité, l’impartialité, la justice, la sincérité et la véracité dans toutes les questions influant sur son travail, sa condition et ses relations avec autrui. Le nom de la Déclaration d’allégeance et de la Déclaration de conflit d’intérêt</w:t>
      </w:r>
      <w:r w:rsidR="00A40A16" w:rsidRPr="0026653F">
        <w:rPr>
          <w:color w:val="000000"/>
          <w:szCs w:val="22"/>
          <w:lang w:val="fr-FR"/>
        </w:rPr>
        <w:t>s</w:t>
      </w:r>
      <w:r w:rsidRPr="0026653F">
        <w:rPr>
          <w:color w:val="000000"/>
          <w:szCs w:val="22"/>
          <w:lang w:val="fr-FR"/>
        </w:rPr>
        <w:t xml:space="preserve"> doit être modifié et devenir Déclaration de conflit d’intérêts et de reconnaissance d’une conduite acceptable, qui doit être signée (en personne ou par voie électronique) par tout le personnel au plus tard le 1</w:t>
      </w:r>
      <w:r w:rsidRPr="0026653F">
        <w:rPr>
          <w:color w:val="000000"/>
          <w:szCs w:val="22"/>
          <w:vertAlign w:val="superscript"/>
          <w:lang w:val="fr-FR"/>
        </w:rPr>
        <w:t>er</w:t>
      </w:r>
      <w:r w:rsidRPr="0026653F">
        <w:rPr>
          <w:color w:val="000000"/>
          <w:szCs w:val="22"/>
          <w:lang w:val="fr-FR"/>
        </w:rPr>
        <w:t xml:space="preserve"> décembre 2020 et par tout le personnel nouvellement recruté avant son entrée en fonctions. Ensuite, la Déclaration devra être signée tous les ans par tout le personnel.</w:t>
      </w:r>
    </w:p>
    <w:p w14:paraId="5B7EC8B7" w14:textId="77777777" w:rsidR="009071BD" w:rsidRPr="0026653F" w:rsidRDefault="009071BD" w:rsidP="00C618DD">
      <w:pPr>
        <w:rPr>
          <w:color w:val="000000"/>
          <w:szCs w:val="22"/>
          <w:lang w:val="fr-FR"/>
        </w:rPr>
      </w:pPr>
    </w:p>
    <w:p w14:paraId="29E6F66A" w14:textId="77777777" w:rsidR="009071BD" w:rsidRPr="0026653F" w:rsidRDefault="009071BD" w:rsidP="00C618DD">
      <w:pPr>
        <w:rPr>
          <w:color w:val="000000"/>
          <w:szCs w:val="22"/>
          <w:u w:val="single"/>
          <w:lang w:val="fr-FR"/>
        </w:rPr>
      </w:pPr>
      <w:r w:rsidRPr="0026653F">
        <w:rPr>
          <w:color w:val="000000"/>
          <w:szCs w:val="22"/>
          <w:lang w:val="fr-FR"/>
        </w:rPr>
        <w:tab/>
        <w:t>24.</w:t>
      </w:r>
      <w:r w:rsidRPr="0026653F">
        <w:rPr>
          <w:color w:val="000000"/>
          <w:szCs w:val="22"/>
          <w:lang w:val="fr-FR"/>
        </w:rPr>
        <w:tab/>
      </w:r>
      <w:r w:rsidRPr="0026653F">
        <w:rPr>
          <w:color w:val="000000"/>
          <w:szCs w:val="22"/>
          <w:u w:val="single"/>
          <w:lang w:val="fr-FR"/>
        </w:rPr>
        <w:t>Bibliothèque Colomb</w:t>
      </w:r>
    </w:p>
    <w:p w14:paraId="1C88037F" w14:textId="77777777" w:rsidR="009071BD" w:rsidRPr="0026653F" w:rsidRDefault="009071BD" w:rsidP="00C618DD">
      <w:pPr>
        <w:rPr>
          <w:color w:val="000000"/>
          <w:szCs w:val="22"/>
          <w:lang w:val="fr-FR" w:eastAsia="es-ES"/>
        </w:rPr>
      </w:pPr>
    </w:p>
    <w:p w14:paraId="28FAE173" w14:textId="77777777" w:rsidR="009071BD" w:rsidRPr="0026653F" w:rsidRDefault="009071BD" w:rsidP="00C618DD">
      <w:pPr>
        <w:rPr>
          <w:color w:val="000000"/>
          <w:szCs w:val="22"/>
          <w:lang w:val="fr-FR"/>
        </w:rPr>
      </w:pPr>
      <w:r w:rsidRPr="0026653F">
        <w:rPr>
          <w:color w:val="000000"/>
          <w:szCs w:val="22"/>
          <w:lang w:val="fr-FR"/>
        </w:rPr>
        <w:tab/>
        <w:t>De demander à la Bibliothèque Colomb de faire rapport chaque semestre à la CAAP sur l’état de ses activités.</w:t>
      </w:r>
    </w:p>
    <w:p w14:paraId="3BA7C91A" w14:textId="77777777" w:rsidR="009071BD" w:rsidRPr="0026653F" w:rsidRDefault="009071BD" w:rsidP="00C618DD">
      <w:pPr>
        <w:rPr>
          <w:color w:val="000000"/>
          <w:szCs w:val="22"/>
          <w:lang w:val="fr-FR" w:eastAsia="es-ES"/>
        </w:rPr>
      </w:pPr>
    </w:p>
    <w:p w14:paraId="2EDAB97F" w14:textId="77777777" w:rsidR="009071BD" w:rsidRPr="0026653F" w:rsidRDefault="009071BD" w:rsidP="00CE2093">
      <w:pPr>
        <w:keepNext/>
        <w:ind w:firstLine="720"/>
        <w:rPr>
          <w:color w:val="000000"/>
          <w:szCs w:val="22"/>
          <w:u w:val="single"/>
          <w:lang w:val="fr-FR"/>
        </w:rPr>
      </w:pPr>
      <w:r w:rsidRPr="0026653F">
        <w:rPr>
          <w:color w:val="000000"/>
          <w:szCs w:val="22"/>
          <w:lang w:val="fr-FR"/>
        </w:rPr>
        <w:lastRenderedPageBreak/>
        <w:t>25.</w:t>
      </w:r>
      <w:r w:rsidRPr="0026653F">
        <w:rPr>
          <w:color w:val="000000"/>
          <w:szCs w:val="22"/>
          <w:lang w:val="fr-FR"/>
        </w:rPr>
        <w:tab/>
      </w:r>
      <w:r w:rsidRPr="0026653F">
        <w:rPr>
          <w:color w:val="000000"/>
          <w:szCs w:val="22"/>
          <w:u w:val="single"/>
          <w:lang w:val="fr-FR"/>
        </w:rPr>
        <w:t>Normes comptables internationales pour le secteur public</w:t>
      </w:r>
    </w:p>
    <w:p w14:paraId="180B08D1" w14:textId="77777777" w:rsidR="009071BD" w:rsidRPr="0026653F" w:rsidRDefault="009071BD" w:rsidP="00CE2093">
      <w:pPr>
        <w:keepNext/>
        <w:rPr>
          <w:color w:val="000000"/>
          <w:szCs w:val="22"/>
          <w:lang w:val="fr-FR" w:eastAsia="es-ES"/>
        </w:rPr>
      </w:pPr>
    </w:p>
    <w:p w14:paraId="7A5DFEEE" w14:textId="3329E7A5" w:rsidR="009071BD" w:rsidRPr="0026653F" w:rsidRDefault="009071BD" w:rsidP="00C618DD">
      <w:pPr>
        <w:ind w:firstLine="720"/>
        <w:rPr>
          <w:color w:val="000000"/>
          <w:szCs w:val="22"/>
          <w:lang w:val="fr-FR"/>
        </w:rPr>
      </w:pPr>
      <w:r w:rsidRPr="0026653F">
        <w:rPr>
          <w:color w:val="000000"/>
          <w:szCs w:val="22"/>
          <w:lang w:val="fr-FR"/>
        </w:rPr>
        <w:t>De charger le Conseil permanent de déterminer, par l’intermédiaire de la CAAP, le</w:t>
      </w:r>
      <w:r w:rsidR="00A40A16" w:rsidRPr="0026653F">
        <w:rPr>
          <w:color w:val="000000"/>
          <w:szCs w:val="22"/>
          <w:lang w:val="fr-FR"/>
        </w:rPr>
        <w:t xml:space="preserve"> </w:t>
      </w:r>
      <w:r w:rsidRPr="0026653F">
        <w:rPr>
          <w:color w:val="000000"/>
          <w:szCs w:val="22"/>
          <w:lang w:val="fr-FR"/>
        </w:rPr>
        <w:t xml:space="preserve">financement nécessaire pour le projet </w:t>
      </w:r>
      <w:r w:rsidR="00A40A16" w:rsidRPr="0026653F">
        <w:rPr>
          <w:color w:val="000000"/>
          <w:szCs w:val="22"/>
          <w:lang w:val="fr-FR"/>
        </w:rPr>
        <w:t xml:space="preserve">dénommé </w:t>
      </w:r>
      <w:r w:rsidRPr="0026653F">
        <w:rPr>
          <w:color w:val="000000"/>
          <w:szCs w:val="22"/>
          <w:lang w:val="fr-FR"/>
        </w:rPr>
        <w:t xml:space="preserve">Mise en application des Normes comptables internationales pour le secteur public (Normes IPSAS) au sein du Secrétariat général, une fois mis en place le nouveau système de </w:t>
      </w:r>
      <w:r w:rsidR="00C558C8" w:rsidRPr="0026653F">
        <w:rPr>
          <w:color w:val="000000"/>
          <w:szCs w:val="22"/>
          <w:lang w:val="fr-FR"/>
        </w:rPr>
        <w:t xml:space="preserve">planification </w:t>
      </w:r>
      <w:r w:rsidRPr="0026653F">
        <w:rPr>
          <w:color w:val="000000"/>
          <w:szCs w:val="22"/>
          <w:lang w:val="fr-FR"/>
        </w:rPr>
        <w:t>des ressources institutionnelles</w:t>
      </w:r>
      <w:r w:rsidR="00A40A16" w:rsidRPr="0026653F">
        <w:rPr>
          <w:color w:val="000000"/>
          <w:szCs w:val="22"/>
          <w:lang w:val="fr-FR"/>
        </w:rPr>
        <w:t xml:space="preserve"> (ERP)</w:t>
      </w:r>
      <w:r w:rsidRPr="0026653F">
        <w:rPr>
          <w:color w:val="000000"/>
          <w:szCs w:val="22"/>
          <w:lang w:val="fr-FR"/>
        </w:rPr>
        <w:t>, et dans des délais raisonnables.</w:t>
      </w:r>
    </w:p>
    <w:p w14:paraId="0309FBD5" w14:textId="77777777" w:rsidR="009071BD" w:rsidRPr="0026653F" w:rsidRDefault="009071BD" w:rsidP="00C618DD">
      <w:pPr>
        <w:rPr>
          <w:color w:val="000000"/>
          <w:szCs w:val="22"/>
          <w:lang w:val="fr-FR" w:eastAsia="es-ES"/>
        </w:rPr>
      </w:pPr>
    </w:p>
    <w:p w14:paraId="310EC829" w14:textId="77777777" w:rsidR="009071BD" w:rsidRPr="0026653F" w:rsidRDefault="009071BD" w:rsidP="00C618DD">
      <w:pPr>
        <w:keepNext/>
        <w:ind w:left="720"/>
        <w:rPr>
          <w:color w:val="000000"/>
          <w:szCs w:val="22"/>
          <w:lang w:val="fr-FR"/>
        </w:rPr>
      </w:pPr>
      <w:r w:rsidRPr="0026653F">
        <w:rPr>
          <w:color w:val="000000"/>
          <w:szCs w:val="22"/>
          <w:lang w:val="fr-FR"/>
        </w:rPr>
        <w:t>26.</w:t>
      </w:r>
      <w:r w:rsidRPr="0026653F">
        <w:rPr>
          <w:color w:val="000000"/>
          <w:szCs w:val="22"/>
          <w:lang w:val="fr-FR"/>
        </w:rPr>
        <w:tab/>
      </w:r>
      <w:r w:rsidRPr="0026653F">
        <w:rPr>
          <w:color w:val="000000"/>
          <w:szCs w:val="22"/>
          <w:u w:val="single"/>
          <w:lang w:val="fr-FR"/>
        </w:rPr>
        <w:t>Efficacité et efficience</w:t>
      </w:r>
    </w:p>
    <w:p w14:paraId="1F21A610" w14:textId="77777777" w:rsidR="009071BD" w:rsidRPr="0026653F" w:rsidRDefault="009071BD" w:rsidP="00C618DD">
      <w:pPr>
        <w:keepNext/>
        <w:rPr>
          <w:color w:val="000000"/>
          <w:szCs w:val="22"/>
          <w:lang w:val="fr-FR" w:eastAsia="es-ES"/>
        </w:rPr>
      </w:pPr>
    </w:p>
    <w:p w14:paraId="68EC8422" w14:textId="77777777" w:rsidR="009071BD" w:rsidRPr="0026653F" w:rsidRDefault="009071BD" w:rsidP="00C618DD">
      <w:pPr>
        <w:numPr>
          <w:ilvl w:val="0"/>
          <w:numId w:val="19"/>
        </w:numPr>
        <w:ind w:left="2160" w:hanging="720"/>
        <w:contextualSpacing/>
        <w:rPr>
          <w:color w:val="000000"/>
          <w:szCs w:val="22"/>
          <w:lang w:val="fr-FR"/>
        </w:rPr>
      </w:pPr>
      <w:r w:rsidRPr="0026653F">
        <w:rPr>
          <w:color w:val="000000"/>
          <w:szCs w:val="22"/>
          <w:lang w:val="fr-FR"/>
        </w:rPr>
        <w:t>De demander au Secrétariat général de faire rapport, dans les 60 jours qui suivent la clôture des sessions ordinaires de l’Assemblée générale, sur le coût des mandats contenus dans les résolutions adoptées et sur leurs incidences sur le programme-budget.</w:t>
      </w:r>
    </w:p>
    <w:p w14:paraId="549601C3" w14:textId="77777777" w:rsidR="009071BD" w:rsidRPr="0026653F" w:rsidRDefault="009071BD" w:rsidP="00C618DD">
      <w:pPr>
        <w:rPr>
          <w:color w:val="000000"/>
          <w:szCs w:val="22"/>
          <w:lang w:val="fr-FR" w:eastAsia="es-ES"/>
        </w:rPr>
      </w:pPr>
    </w:p>
    <w:p w14:paraId="19CE87E2" w14:textId="77777777" w:rsidR="009071BD" w:rsidRPr="0026653F" w:rsidRDefault="009071BD" w:rsidP="00C618DD">
      <w:pPr>
        <w:numPr>
          <w:ilvl w:val="0"/>
          <w:numId w:val="19"/>
        </w:numPr>
        <w:ind w:left="2160" w:hanging="720"/>
        <w:contextualSpacing/>
        <w:rPr>
          <w:color w:val="000000"/>
          <w:szCs w:val="22"/>
          <w:lang w:val="fr-FR"/>
        </w:rPr>
      </w:pPr>
      <w:r w:rsidRPr="0026653F">
        <w:rPr>
          <w:color w:val="000000"/>
          <w:szCs w:val="22"/>
          <w:lang w:val="fr-FR"/>
        </w:rPr>
        <w:t>De demander au Secrétariat général de mettre en conformité les ressources de l’Organisation et la structure institutionnelle avec les mandats.</w:t>
      </w:r>
    </w:p>
    <w:p w14:paraId="233FAE1D" w14:textId="77777777" w:rsidR="009071BD" w:rsidRPr="0026653F" w:rsidRDefault="009071BD" w:rsidP="00C618DD">
      <w:pPr>
        <w:rPr>
          <w:color w:val="000000"/>
          <w:szCs w:val="22"/>
          <w:lang w:val="fr-FR" w:eastAsia="es-ES"/>
        </w:rPr>
      </w:pPr>
    </w:p>
    <w:p w14:paraId="5D074D2C" w14:textId="77777777" w:rsidR="009071BD" w:rsidRPr="0026653F" w:rsidRDefault="009071BD" w:rsidP="00C618DD">
      <w:pPr>
        <w:ind w:left="1440" w:hanging="720"/>
        <w:rPr>
          <w:color w:val="000000"/>
          <w:szCs w:val="22"/>
          <w:lang w:val="fr-FR"/>
        </w:rPr>
      </w:pPr>
      <w:r w:rsidRPr="0026653F">
        <w:rPr>
          <w:color w:val="000000"/>
          <w:szCs w:val="22"/>
          <w:lang w:val="fr-FR"/>
        </w:rPr>
        <w:t>27.</w:t>
      </w:r>
      <w:r w:rsidRPr="0026653F">
        <w:rPr>
          <w:color w:val="000000"/>
          <w:szCs w:val="22"/>
          <w:lang w:val="fr-FR"/>
        </w:rPr>
        <w:tab/>
      </w:r>
      <w:r w:rsidRPr="0026653F">
        <w:rPr>
          <w:color w:val="000000"/>
          <w:szCs w:val="22"/>
          <w:u w:val="single"/>
          <w:lang w:val="fr-FR"/>
        </w:rPr>
        <w:t>Création de nouveaux mandats</w:t>
      </w:r>
      <w:r w:rsidRPr="0026653F">
        <w:rPr>
          <w:color w:val="000000"/>
          <w:szCs w:val="22"/>
          <w:lang w:val="fr-FR"/>
        </w:rPr>
        <w:t xml:space="preserve"> </w:t>
      </w:r>
    </w:p>
    <w:p w14:paraId="7C288B7D" w14:textId="77777777" w:rsidR="009071BD" w:rsidRPr="0026653F" w:rsidRDefault="009071BD" w:rsidP="00C618DD">
      <w:pPr>
        <w:rPr>
          <w:color w:val="000000"/>
          <w:szCs w:val="22"/>
          <w:lang w:val="fr-FR"/>
        </w:rPr>
      </w:pPr>
    </w:p>
    <w:p w14:paraId="3A7C39F0" w14:textId="7C62DADF" w:rsidR="009071BD" w:rsidRPr="0026653F" w:rsidRDefault="009071BD" w:rsidP="00C618DD">
      <w:pPr>
        <w:numPr>
          <w:ilvl w:val="1"/>
          <w:numId w:val="14"/>
        </w:numPr>
        <w:ind w:left="2160" w:hanging="720"/>
        <w:rPr>
          <w:color w:val="000000"/>
          <w:szCs w:val="22"/>
          <w:lang w:val="fr-FR"/>
        </w:rPr>
      </w:pPr>
      <w:r w:rsidRPr="0026653F">
        <w:rPr>
          <w:color w:val="000000"/>
          <w:szCs w:val="22"/>
          <w:lang w:val="fr-FR"/>
        </w:rPr>
        <w:t xml:space="preserve">De charger le Conseil permanent, par l’intermédiaire de la CAAP, d’envisager de mettre en place un processus et une pratique s’inscrivant dans un cadre réglementaire pour que les commissions du Conseil permanent et le CIDI examinent les incidences des nouveaux mandats sur le programme-budget, </w:t>
      </w:r>
      <w:r w:rsidR="00A40A16" w:rsidRPr="0026653F">
        <w:rPr>
          <w:color w:val="000000"/>
          <w:szCs w:val="22"/>
          <w:lang w:val="fr-FR"/>
        </w:rPr>
        <w:t xml:space="preserve">sachant que </w:t>
      </w:r>
      <w:r w:rsidRPr="0026653F">
        <w:rPr>
          <w:color w:val="000000"/>
          <w:szCs w:val="22"/>
          <w:lang w:val="fr-FR"/>
        </w:rPr>
        <w:t xml:space="preserve">ce cadre </w:t>
      </w:r>
      <w:r w:rsidR="00A40A16" w:rsidRPr="0026653F">
        <w:rPr>
          <w:color w:val="000000"/>
          <w:szCs w:val="22"/>
          <w:lang w:val="fr-FR"/>
        </w:rPr>
        <w:t xml:space="preserve">doit être </w:t>
      </w:r>
      <w:r w:rsidRPr="0026653F">
        <w:rPr>
          <w:color w:val="000000"/>
          <w:szCs w:val="22"/>
          <w:lang w:val="fr-FR"/>
        </w:rPr>
        <w:t>achevé au plus tard en juin 2021.</w:t>
      </w:r>
    </w:p>
    <w:p w14:paraId="4AC78C05" w14:textId="77777777" w:rsidR="009071BD" w:rsidRPr="0026653F" w:rsidRDefault="009071BD" w:rsidP="00C618DD">
      <w:pPr>
        <w:rPr>
          <w:color w:val="000000"/>
          <w:szCs w:val="22"/>
          <w:lang w:val="fr-FR"/>
        </w:rPr>
      </w:pPr>
    </w:p>
    <w:p w14:paraId="645381DE" w14:textId="2B48E2CC" w:rsidR="009071BD" w:rsidRPr="0026653F" w:rsidRDefault="009071BD" w:rsidP="00C618DD">
      <w:pPr>
        <w:numPr>
          <w:ilvl w:val="1"/>
          <w:numId w:val="14"/>
        </w:numPr>
        <w:ind w:left="2160" w:hanging="720"/>
        <w:rPr>
          <w:color w:val="000000"/>
          <w:szCs w:val="22"/>
          <w:lang w:val="fr-FR"/>
        </w:rPr>
      </w:pPr>
      <w:r w:rsidRPr="0026653F">
        <w:rPr>
          <w:color w:val="000000"/>
          <w:szCs w:val="22"/>
          <w:lang w:val="fr-FR"/>
        </w:rPr>
        <w:t>De charger le Secrétariat général de soumettre à toutes les commissions, après examen de la CAAP et approbation du Conseil permanent, un modèle type de document pour accompagner tout projet de résolution prévoyant de nouveaux mandats devant être examiné par l’Assemblée générale aux fins d’approbation. Les consultations avec les départements concernés et la CAAP pourront répondre aux questions suivantes :</w:t>
      </w:r>
    </w:p>
    <w:p w14:paraId="72AA0A9F" w14:textId="77777777" w:rsidR="009071BD" w:rsidRPr="0026653F" w:rsidRDefault="009071BD" w:rsidP="00C618DD">
      <w:pPr>
        <w:rPr>
          <w:color w:val="000000"/>
          <w:szCs w:val="22"/>
          <w:lang w:val="fr-FR"/>
        </w:rPr>
      </w:pPr>
    </w:p>
    <w:p w14:paraId="006661F6" w14:textId="26317FA8" w:rsidR="009071BD" w:rsidRPr="0026653F" w:rsidRDefault="009071BD" w:rsidP="00C618DD">
      <w:pPr>
        <w:numPr>
          <w:ilvl w:val="0"/>
          <w:numId w:val="20"/>
        </w:numPr>
        <w:ind w:left="2880" w:hanging="720"/>
        <w:rPr>
          <w:color w:val="000000"/>
          <w:szCs w:val="22"/>
          <w:lang w:val="fr-FR"/>
        </w:rPr>
      </w:pPr>
      <w:r w:rsidRPr="0026653F">
        <w:rPr>
          <w:color w:val="000000"/>
          <w:szCs w:val="22"/>
          <w:lang w:val="fr-FR"/>
        </w:rPr>
        <w:t>De quelle manière le mandat s’inscrit-il dans le cadre du Plan stratégique</w:t>
      </w:r>
      <w:r w:rsidR="007B042D" w:rsidRPr="0026653F">
        <w:rPr>
          <w:color w:val="000000"/>
          <w:szCs w:val="22"/>
          <w:lang w:val="fr-FR"/>
        </w:rPr>
        <w:t xml:space="preserve"> intégral de l’Organisation</w:t>
      </w:r>
      <w:r w:rsidRPr="0026653F">
        <w:rPr>
          <w:color w:val="000000"/>
          <w:szCs w:val="22"/>
          <w:lang w:val="fr-FR"/>
        </w:rPr>
        <w:t xml:space="preserve"> ? Quels indicateurs seront utilisés pour mesurer les résultats ?</w:t>
      </w:r>
    </w:p>
    <w:p w14:paraId="72C8D8EE" w14:textId="77777777" w:rsidR="009071BD" w:rsidRPr="0026653F" w:rsidRDefault="009071BD" w:rsidP="00C618DD">
      <w:pPr>
        <w:rPr>
          <w:color w:val="000000"/>
          <w:szCs w:val="22"/>
          <w:lang w:val="fr-FR"/>
        </w:rPr>
      </w:pPr>
    </w:p>
    <w:p w14:paraId="1E371601" w14:textId="77777777" w:rsidR="009071BD" w:rsidRPr="0026653F" w:rsidRDefault="009071BD" w:rsidP="00C618DD">
      <w:pPr>
        <w:numPr>
          <w:ilvl w:val="0"/>
          <w:numId w:val="20"/>
        </w:numPr>
        <w:ind w:left="2880" w:hanging="720"/>
        <w:rPr>
          <w:color w:val="000000"/>
          <w:szCs w:val="22"/>
          <w:lang w:val="fr-FR"/>
        </w:rPr>
      </w:pPr>
      <w:r w:rsidRPr="0026653F">
        <w:rPr>
          <w:color w:val="000000"/>
          <w:szCs w:val="22"/>
          <w:lang w:val="fr-FR"/>
        </w:rPr>
        <w:t>Quel est le délai imparti (date approximative de début/fin) pour la réalisation des buts et des objectifs du nouveau mandat ?</w:t>
      </w:r>
    </w:p>
    <w:p w14:paraId="4253E9AC" w14:textId="77777777" w:rsidR="009071BD" w:rsidRPr="0026653F" w:rsidRDefault="009071BD" w:rsidP="00C618DD">
      <w:pPr>
        <w:rPr>
          <w:color w:val="000000"/>
          <w:szCs w:val="22"/>
          <w:lang w:val="fr-FR"/>
        </w:rPr>
      </w:pPr>
    </w:p>
    <w:p w14:paraId="28384600" w14:textId="77777777" w:rsidR="009071BD" w:rsidRPr="0026653F" w:rsidRDefault="009071BD" w:rsidP="00C618DD">
      <w:pPr>
        <w:numPr>
          <w:ilvl w:val="0"/>
          <w:numId w:val="20"/>
        </w:numPr>
        <w:ind w:left="2880" w:hanging="720"/>
        <w:rPr>
          <w:color w:val="000000"/>
          <w:szCs w:val="22"/>
          <w:lang w:val="fr-FR"/>
        </w:rPr>
      </w:pPr>
      <w:r w:rsidRPr="0026653F">
        <w:rPr>
          <w:color w:val="000000"/>
          <w:szCs w:val="22"/>
          <w:lang w:val="fr-FR"/>
        </w:rPr>
        <w:t>Est-ce que le mandat va requérir des ressources du Fonds ordinaire ou en personnel ? Dans l’affirmative :</w:t>
      </w:r>
    </w:p>
    <w:p w14:paraId="11E231AA" w14:textId="77777777" w:rsidR="009071BD" w:rsidRPr="0026653F" w:rsidRDefault="009071BD" w:rsidP="00C618DD">
      <w:pPr>
        <w:contextualSpacing/>
        <w:rPr>
          <w:rFonts w:eastAsia="Arial Unicode MS"/>
          <w:szCs w:val="22"/>
          <w:lang w:val="fr-FR"/>
        </w:rPr>
      </w:pPr>
    </w:p>
    <w:p w14:paraId="2D97FB0F" w14:textId="77777777" w:rsidR="009071BD" w:rsidRPr="0026653F" w:rsidRDefault="009071BD" w:rsidP="00C618DD">
      <w:pPr>
        <w:numPr>
          <w:ilvl w:val="0"/>
          <w:numId w:val="20"/>
        </w:numPr>
        <w:ind w:left="2880" w:hanging="720"/>
        <w:rPr>
          <w:color w:val="000000"/>
          <w:szCs w:val="22"/>
          <w:lang w:val="fr-FR"/>
        </w:rPr>
      </w:pPr>
      <w:r w:rsidRPr="0026653F">
        <w:rPr>
          <w:color w:val="000000"/>
          <w:szCs w:val="22"/>
          <w:lang w:val="fr-FR"/>
        </w:rPr>
        <w:t>Quelles sont les éventuelles incidences budgétaires du mandat ?</w:t>
      </w:r>
    </w:p>
    <w:p w14:paraId="3A87400C" w14:textId="5D2E181A" w:rsidR="009071BD" w:rsidRPr="0026653F" w:rsidRDefault="009071BD" w:rsidP="00CE2093">
      <w:pPr>
        <w:ind w:left="3240" w:hanging="360"/>
        <w:rPr>
          <w:color w:val="000000"/>
          <w:szCs w:val="22"/>
          <w:lang w:val="fr-FR"/>
        </w:rPr>
      </w:pPr>
      <w:r w:rsidRPr="0026653F">
        <w:rPr>
          <w:color w:val="000000"/>
          <w:szCs w:val="22"/>
          <w:lang w:val="fr-FR"/>
        </w:rPr>
        <w:t xml:space="preserve">- </w:t>
      </w:r>
      <w:r w:rsidR="00CE2093">
        <w:rPr>
          <w:color w:val="000000"/>
          <w:szCs w:val="22"/>
          <w:lang w:val="fr-FR"/>
        </w:rPr>
        <w:tab/>
      </w:r>
      <w:r w:rsidRPr="0026653F">
        <w:rPr>
          <w:color w:val="000000"/>
          <w:szCs w:val="22"/>
          <w:lang w:val="fr-FR"/>
        </w:rPr>
        <w:t>Quel soutien de la part des cadres (personnel de l’OEA et/ou personnel engagé par contrat à la tâche) serait nécessaire pour exécuter le mandat ?</w:t>
      </w:r>
    </w:p>
    <w:p w14:paraId="71B0DEC7" w14:textId="48A229DF" w:rsidR="009071BD" w:rsidRPr="0026653F" w:rsidRDefault="009071BD" w:rsidP="00CE2093">
      <w:pPr>
        <w:ind w:left="3240" w:hanging="360"/>
        <w:rPr>
          <w:color w:val="000000"/>
          <w:szCs w:val="22"/>
          <w:lang w:val="fr-FR"/>
        </w:rPr>
      </w:pPr>
      <w:r w:rsidRPr="0026653F">
        <w:rPr>
          <w:color w:val="000000"/>
          <w:szCs w:val="22"/>
          <w:lang w:val="fr-FR"/>
        </w:rPr>
        <w:lastRenderedPageBreak/>
        <w:t xml:space="preserve">- </w:t>
      </w:r>
      <w:r w:rsidR="00CE2093">
        <w:rPr>
          <w:color w:val="000000"/>
          <w:szCs w:val="22"/>
          <w:lang w:val="fr-FR"/>
        </w:rPr>
        <w:tab/>
      </w:r>
      <w:r w:rsidRPr="0026653F">
        <w:rPr>
          <w:color w:val="000000"/>
          <w:szCs w:val="22"/>
          <w:lang w:val="fr-FR"/>
        </w:rPr>
        <w:t>Est-ce que des ressources provenant du Fonds ordinaire ou d’un fonds spécifique seraient indispensables pour exécuter le mandat</w:t>
      </w:r>
      <w:r w:rsidR="00CE2093">
        <w:rPr>
          <w:color w:val="000000"/>
          <w:szCs w:val="22"/>
          <w:lang w:val="fr-FR"/>
        </w:rPr>
        <w:t> </w:t>
      </w:r>
      <w:r w:rsidRPr="0026653F">
        <w:rPr>
          <w:color w:val="000000"/>
          <w:szCs w:val="22"/>
          <w:lang w:val="fr-FR"/>
        </w:rPr>
        <w:t>? Si oui, à combien cela est-il estimé ?</w:t>
      </w:r>
    </w:p>
    <w:p w14:paraId="295F7101" w14:textId="066CF1D1" w:rsidR="009071BD" w:rsidRPr="0026653F" w:rsidRDefault="009071BD" w:rsidP="00CE2093">
      <w:pPr>
        <w:ind w:left="3240" w:hanging="360"/>
        <w:rPr>
          <w:color w:val="000000"/>
          <w:szCs w:val="22"/>
          <w:lang w:val="fr-FR"/>
        </w:rPr>
      </w:pPr>
      <w:r w:rsidRPr="0026653F">
        <w:rPr>
          <w:color w:val="000000"/>
          <w:szCs w:val="22"/>
          <w:lang w:val="fr-FR"/>
        </w:rPr>
        <w:t xml:space="preserve">- </w:t>
      </w:r>
      <w:r w:rsidR="00CE2093">
        <w:rPr>
          <w:color w:val="000000"/>
          <w:szCs w:val="22"/>
          <w:lang w:val="fr-FR"/>
        </w:rPr>
        <w:tab/>
      </w:r>
      <w:r w:rsidRPr="0026653F">
        <w:rPr>
          <w:color w:val="000000"/>
          <w:szCs w:val="22"/>
          <w:lang w:val="fr-FR"/>
        </w:rPr>
        <w:t xml:space="preserve">Dans la mesure du possible, veuillez donner des précisions sur la source de financement proposée pour le mandat. </w:t>
      </w:r>
    </w:p>
    <w:p w14:paraId="4D7EFED1" w14:textId="77777777" w:rsidR="009071BD" w:rsidRPr="0026653F" w:rsidRDefault="009071BD" w:rsidP="00C618DD">
      <w:pPr>
        <w:rPr>
          <w:color w:val="000000"/>
          <w:szCs w:val="22"/>
          <w:lang w:val="fr-FR"/>
        </w:rPr>
      </w:pPr>
    </w:p>
    <w:p w14:paraId="1C026E65" w14:textId="77777777" w:rsidR="009071BD" w:rsidRPr="0026653F" w:rsidRDefault="009071BD" w:rsidP="00C618DD">
      <w:pPr>
        <w:keepNext/>
        <w:rPr>
          <w:color w:val="000000"/>
          <w:szCs w:val="22"/>
          <w:lang w:val="fr-FR"/>
        </w:rPr>
      </w:pPr>
      <w:r w:rsidRPr="0026653F">
        <w:rPr>
          <w:color w:val="000000"/>
          <w:szCs w:val="22"/>
          <w:lang w:val="fr-FR"/>
        </w:rPr>
        <w:tab/>
        <w:t>28.</w:t>
      </w:r>
      <w:r w:rsidRPr="0026653F">
        <w:rPr>
          <w:color w:val="000000"/>
          <w:szCs w:val="22"/>
          <w:lang w:val="fr-FR"/>
        </w:rPr>
        <w:tab/>
      </w:r>
      <w:r w:rsidRPr="0026653F">
        <w:rPr>
          <w:color w:val="000000"/>
          <w:szCs w:val="22"/>
          <w:u w:val="single"/>
          <w:lang w:val="fr-FR"/>
        </w:rPr>
        <w:t>Responsabilisation et transparence</w:t>
      </w:r>
    </w:p>
    <w:p w14:paraId="2451E3B2" w14:textId="77777777" w:rsidR="009071BD" w:rsidRPr="0026653F" w:rsidRDefault="009071BD" w:rsidP="00C618DD">
      <w:pPr>
        <w:keepNext/>
        <w:rPr>
          <w:color w:val="000000"/>
          <w:szCs w:val="22"/>
          <w:u w:val="single"/>
          <w:lang w:val="fr-FR" w:eastAsia="es-ES"/>
        </w:rPr>
      </w:pPr>
    </w:p>
    <w:p w14:paraId="7498F6AF" w14:textId="77777777" w:rsidR="009071BD" w:rsidRPr="0026653F" w:rsidRDefault="009071BD" w:rsidP="00C618DD">
      <w:pPr>
        <w:numPr>
          <w:ilvl w:val="0"/>
          <w:numId w:val="21"/>
        </w:numPr>
        <w:ind w:hanging="720"/>
        <w:contextualSpacing/>
        <w:rPr>
          <w:color w:val="000000"/>
          <w:szCs w:val="22"/>
          <w:lang w:val="fr-FR"/>
        </w:rPr>
      </w:pPr>
      <w:r w:rsidRPr="0026653F">
        <w:rPr>
          <w:color w:val="000000"/>
          <w:szCs w:val="22"/>
          <w:lang w:val="fr-FR"/>
        </w:rPr>
        <w:t>Le Secrétariat général continuera de publier sur le site web de l’Organisation les renseignements actualisés indiqués ci-dessous, conformément au régime juridique de l’Organisation :</w:t>
      </w:r>
    </w:p>
    <w:p w14:paraId="2B3C7B4E" w14:textId="77777777" w:rsidR="009071BD" w:rsidRPr="0026653F" w:rsidRDefault="009071BD" w:rsidP="00C618DD">
      <w:pPr>
        <w:rPr>
          <w:color w:val="000000"/>
          <w:szCs w:val="22"/>
          <w:lang w:val="fr-FR" w:eastAsia="es-ES"/>
        </w:rPr>
      </w:pPr>
    </w:p>
    <w:p w14:paraId="4A53302F" w14:textId="77777777" w:rsidR="009071BD" w:rsidRPr="0026653F" w:rsidRDefault="009071BD" w:rsidP="00C618DD">
      <w:pPr>
        <w:numPr>
          <w:ilvl w:val="0"/>
          <w:numId w:val="22"/>
        </w:numPr>
        <w:rPr>
          <w:color w:val="000000"/>
          <w:szCs w:val="22"/>
          <w:lang w:val="fr-FR"/>
        </w:rPr>
      </w:pPr>
      <w:r w:rsidRPr="0026653F">
        <w:rPr>
          <w:color w:val="000000"/>
          <w:szCs w:val="22"/>
          <w:lang w:val="fr-FR"/>
        </w:rPr>
        <w:t>La structure organique de chaque service de l’Organisation.</w:t>
      </w:r>
    </w:p>
    <w:p w14:paraId="746C5489" w14:textId="77777777" w:rsidR="009071BD" w:rsidRPr="0026653F" w:rsidRDefault="009071BD" w:rsidP="00C618DD">
      <w:pPr>
        <w:rPr>
          <w:color w:val="000000"/>
          <w:szCs w:val="22"/>
          <w:lang w:val="fr-FR" w:eastAsia="es-ES"/>
        </w:rPr>
      </w:pPr>
    </w:p>
    <w:p w14:paraId="7AF40753" w14:textId="7118762D" w:rsidR="009071BD" w:rsidRPr="0026653F" w:rsidRDefault="009071BD" w:rsidP="00C618DD">
      <w:pPr>
        <w:numPr>
          <w:ilvl w:val="0"/>
          <w:numId w:val="22"/>
        </w:numPr>
        <w:rPr>
          <w:color w:val="000000"/>
          <w:szCs w:val="22"/>
          <w:lang w:val="fr-FR"/>
        </w:rPr>
      </w:pPr>
      <w:r w:rsidRPr="0026653F">
        <w:rPr>
          <w:color w:val="000000"/>
          <w:szCs w:val="22"/>
          <w:lang w:val="fr-FR"/>
        </w:rPr>
        <w:t xml:space="preserve">Les plans opérationnels des services du Secrétariat général, établis sur la base des lignes stratégiques et des objectifs du Plan stratégique </w:t>
      </w:r>
      <w:r w:rsidR="007B042D" w:rsidRPr="0026653F">
        <w:rPr>
          <w:color w:val="000000"/>
          <w:szCs w:val="22"/>
          <w:lang w:val="fr-FR"/>
        </w:rPr>
        <w:t xml:space="preserve">intégral de l’Organisation </w:t>
      </w:r>
      <w:r w:rsidRPr="0026653F">
        <w:rPr>
          <w:color w:val="000000"/>
          <w:szCs w:val="22"/>
          <w:lang w:val="fr-FR"/>
        </w:rPr>
        <w:t>adopté aux termes des résolutions AG/RES. 1 (LI-E/16) rev. 1 et CP/RES. 1121 (2209/19).</w:t>
      </w:r>
    </w:p>
    <w:p w14:paraId="7EC9E938" w14:textId="77777777" w:rsidR="009071BD" w:rsidRPr="0026653F" w:rsidRDefault="009071BD" w:rsidP="00C618DD">
      <w:pPr>
        <w:rPr>
          <w:color w:val="000000"/>
          <w:szCs w:val="22"/>
          <w:lang w:val="fr-FR" w:eastAsia="es-ES"/>
        </w:rPr>
      </w:pPr>
    </w:p>
    <w:p w14:paraId="2305031B" w14:textId="77777777" w:rsidR="009071BD" w:rsidRPr="0026653F" w:rsidRDefault="009071BD" w:rsidP="00C618DD">
      <w:pPr>
        <w:numPr>
          <w:ilvl w:val="0"/>
          <w:numId w:val="22"/>
        </w:numPr>
        <w:rPr>
          <w:color w:val="000000"/>
          <w:szCs w:val="22"/>
          <w:lang w:val="fr-FR"/>
        </w:rPr>
      </w:pPr>
      <w:r w:rsidRPr="0026653F">
        <w:rPr>
          <w:color w:val="000000"/>
          <w:szCs w:val="22"/>
          <w:lang w:val="fr-FR"/>
        </w:rPr>
        <w:t>Les résultats des évaluations, activités de suivi et audits des programmes et activités.</w:t>
      </w:r>
    </w:p>
    <w:p w14:paraId="1254DCBB" w14:textId="77777777" w:rsidR="009071BD" w:rsidRPr="0026653F" w:rsidRDefault="009071BD" w:rsidP="00C618DD">
      <w:pPr>
        <w:rPr>
          <w:color w:val="000000"/>
          <w:szCs w:val="22"/>
          <w:lang w:val="fr-FR" w:eastAsia="es-ES"/>
        </w:rPr>
      </w:pPr>
    </w:p>
    <w:p w14:paraId="5CA4B511" w14:textId="77777777" w:rsidR="009071BD" w:rsidRPr="0026653F" w:rsidRDefault="009071BD" w:rsidP="00C618DD">
      <w:pPr>
        <w:numPr>
          <w:ilvl w:val="0"/>
          <w:numId w:val="22"/>
        </w:numPr>
        <w:rPr>
          <w:color w:val="000000"/>
          <w:szCs w:val="22"/>
          <w:lang w:val="fr-FR"/>
        </w:rPr>
      </w:pPr>
      <w:r w:rsidRPr="0026653F">
        <w:rPr>
          <w:color w:val="000000"/>
          <w:szCs w:val="22"/>
          <w:lang w:val="fr-FR"/>
        </w:rPr>
        <w:t>La dotation en personnel par service de l'Organisation, comprenant en outre le barème des salaires et autres avantages sociaux, de même que les postes vacants.</w:t>
      </w:r>
    </w:p>
    <w:p w14:paraId="35C343CA" w14:textId="77777777" w:rsidR="009071BD" w:rsidRPr="0026653F" w:rsidRDefault="009071BD" w:rsidP="00C618DD">
      <w:pPr>
        <w:rPr>
          <w:color w:val="000000"/>
          <w:szCs w:val="22"/>
          <w:lang w:val="fr-FR" w:eastAsia="es-ES"/>
        </w:rPr>
      </w:pPr>
    </w:p>
    <w:p w14:paraId="1F0C6477" w14:textId="77777777" w:rsidR="009071BD" w:rsidRPr="0026653F" w:rsidRDefault="009071BD" w:rsidP="00C618DD">
      <w:pPr>
        <w:numPr>
          <w:ilvl w:val="0"/>
          <w:numId w:val="22"/>
        </w:numPr>
        <w:rPr>
          <w:color w:val="000000"/>
          <w:szCs w:val="22"/>
          <w:lang w:val="fr-FR"/>
        </w:rPr>
      </w:pPr>
      <w:r w:rsidRPr="0026653F">
        <w:rPr>
          <w:color w:val="000000"/>
          <w:szCs w:val="22"/>
          <w:lang w:val="fr-FR"/>
        </w:rPr>
        <w:t>Les contrats à la tâche accordés à des consultants et les contrats de biens et services, selon les normes applicables.</w:t>
      </w:r>
    </w:p>
    <w:p w14:paraId="3976F908" w14:textId="77777777" w:rsidR="009071BD" w:rsidRPr="0026653F" w:rsidRDefault="009071BD" w:rsidP="00C618DD">
      <w:pPr>
        <w:jc w:val="left"/>
        <w:rPr>
          <w:color w:val="000000"/>
          <w:szCs w:val="22"/>
          <w:lang w:val="fr-FR"/>
        </w:rPr>
      </w:pPr>
    </w:p>
    <w:p w14:paraId="243C6C8B" w14:textId="77777777" w:rsidR="009071BD" w:rsidRPr="0026653F" w:rsidRDefault="009071BD" w:rsidP="00C618DD">
      <w:pPr>
        <w:numPr>
          <w:ilvl w:val="0"/>
          <w:numId w:val="18"/>
        </w:numPr>
        <w:ind w:hanging="6480"/>
        <w:contextualSpacing/>
        <w:rPr>
          <w:color w:val="000000"/>
          <w:szCs w:val="22"/>
          <w:u w:val="single"/>
          <w:lang w:val="fr-FR"/>
        </w:rPr>
      </w:pPr>
      <w:r w:rsidRPr="0026653F">
        <w:rPr>
          <w:color w:val="000000"/>
          <w:szCs w:val="22"/>
          <w:lang w:val="fr-FR"/>
        </w:rPr>
        <w:t>29.</w:t>
      </w:r>
      <w:r w:rsidRPr="0026653F">
        <w:rPr>
          <w:color w:val="000000"/>
          <w:szCs w:val="22"/>
          <w:lang w:val="fr-FR"/>
        </w:rPr>
        <w:tab/>
      </w:r>
      <w:r w:rsidRPr="0026653F">
        <w:rPr>
          <w:color w:val="000000"/>
          <w:szCs w:val="22"/>
          <w:u w:val="single"/>
          <w:lang w:val="fr-FR"/>
        </w:rPr>
        <w:t>Recommandations de la Commission des vérificateurs extérieurs</w:t>
      </w:r>
    </w:p>
    <w:p w14:paraId="3D1CD2A9" w14:textId="77777777" w:rsidR="009071BD" w:rsidRPr="0026653F" w:rsidRDefault="009071BD" w:rsidP="00C618DD">
      <w:pPr>
        <w:rPr>
          <w:color w:val="000000"/>
          <w:szCs w:val="22"/>
          <w:u w:val="single"/>
          <w:lang w:val="fr-FR" w:eastAsia="es-ES"/>
        </w:rPr>
      </w:pPr>
    </w:p>
    <w:p w14:paraId="15CA5FC9" w14:textId="77777777" w:rsidR="009071BD" w:rsidRPr="0026653F" w:rsidRDefault="009071BD" w:rsidP="00C618DD">
      <w:pPr>
        <w:ind w:left="2160" w:hanging="720"/>
        <w:rPr>
          <w:color w:val="000000"/>
          <w:szCs w:val="22"/>
          <w:lang w:val="fr-FR"/>
        </w:rPr>
      </w:pPr>
      <w:r w:rsidRPr="0026653F">
        <w:rPr>
          <w:color w:val="000000"/>
          <w:szCs w:val="22"/>
          <w:lang w:val="fr-FR"/>
        </w:rPr>
        <w:t>a)</w:t>
      </w:r>
      <w:r w:rsidRPr="0026653F">
        <w:rPr>
          <w:color w:val="000000"/>
          <w:szCs w:val="22"/>
          <w:lang w:val="fr-FR"/>
        </w:rPr>
        <w:tab/>
        <w:t xml:space="preserve">Donnant </w:t>
      </w:r>
      <w:proofErr w:type="gramStart"/>
      <w:r w:rsidRPr="0026653F">
        <w:rPr>
          <w:color w:val="000000"/>
          <w:szCs w:val="22"/>
          <w:lang w:val="fr-FR"/>
        </w:rPr>
        <w:t>suite à</w:t>
      </w:r>
      <w:proofErr w:type="gramEnd"/>
      <w:r w:rsidRPr="0026653F">
        <w:rPr>
          <w:color w:val="000000"/>
          <w:szCs w:val="22"/>
          <w:lang w:val="fr-FR"/>
        </w:rPr>
        <w:t xml:space="preserve"> la présentation du rapport annuel de la Commission des vérificateurs extérieurs, la CAAP élaborera une réponse officielle par écrit aux recommandations formulées par la Commission, laquelle sera transmise au Conseil permanent au plus tard le 1</w:t>
      </w:r>
      <w:r w:rsidRPr="0026653F">
        <w:rPr>
          <w:color w:val="000000"/>
          <w:szCs w:val="22"/>
          <w:vertAlign w:val="superscript"/>
          <w:lang w:val="fr-FR"/>
        </w:rPr>
        <w:t>er</w:t>
      </w:r>
      <w:r w:rsidRPr="0026653F">
        <w:rPr>
          <w:color w:val="000000"/>
          <w:szCs w:val="22"/>
          <w:lang w:val="fr-FR"/>
        </w:rPr>
        <w:t xml:space="preserve"> mars. Le Conseil permanent transmettra la réponse approuvée à la Commission des vérificateurs extérieurs au plus tard le 31 mars.</w:t>
      </w:r>
    </w:p>
    <w:p w14:paraId="0FC952F3" w14:textId="77777777" w:rsidR="009071BD" w:rsidRPr="0026653F" w:rsidRDefault="009071BD" w:rsidP="00C618DD">
      <w:pPr>
        <w:rPr>
          <w:color w:val="000000"/>
          <w:szCs w:val="22"/>
          <w:lang w:val="fr-FR"/>
        </w:rPr>
      </w:pPr>
    </w:p>
    <w:p w14:paraId="397FFF35" w14:textId="77777777" w:rsidR="009071BD" w:rsidRPr="0026653F" w:rsidRDefault="009071BD" w:rsidP="00C618DD">
      <w:pPr>
        <w:ind w:left="2160" w:hanging="720"/>
        <w:rPr>
          <w:color w:val="000000"/>
          <w:szCs w:val="22"/>
          <w:lang w:val="fr-FR"/>
        </w:rPr>
      </w:pPr>
      <w:r w:rsidRPr="0026653F">
        <w:rPr>
          <w:color w:val="000000"/>
          <w:szCs w:val="22"/>
          <w:lang w:val="fr-FR"/>
        </w:rPr>
        <w:t>b)</w:t>
      </w:r>
      <w:r w:rsidRPr="0026653F">
        <w:rPr>
          <w:color w:val="000000"/>
          <w:szCs w:val="22"/>
          <w:lang w:val="fr-FR"/>
        </w:rPr>
        <w:tab/>
        <w:t>La réponse sera élaborée en collaboration avec le Secrétariat général et inclura la situation actuelle, les mesures prises et les prochaines étapes, et elle identifiera les principaux responsables.</w:t>
      </w:r>
    </w:p>
    <w:p w14:paraId="7E6E604D" w14:textId="77777777" w:rsidR="009071BD" w:rsidRPr="0026653F" w:rsidRDefault="009071BD" w:rsidP="00C618DD">
      <w:pPr>
        <w:rPr>
          <w:color w:val="000000"/>
          <w:szCs w:val="22"/>
          <w:lang w:val="fr-FR" w:eastAsia="es-ES"/>
        </w:rPr>
      </w:pPr>
    </w:p>
    <w:p w14:paraId="6B71782F" w14:textId="77777777" w:rsidR="009071BD" w:rsidRPr="0026653F" w:rsidRDefault="009071BD" w:rsidP="00C618DD">
      <w:pPr>
        <w:numPr>
          <w:ilvl w:val="0"/>
          <w:numId w:val="18"/>
        </w:numPr>
        <w:ind w:hanging="6480"/>
        <w:rPr>
          <w:color w:val="000000"/>
          <w:szCs w:val="22"/>
          <w:u w:val="single"/>
          <w:lang w:val="fr-FR"/>
        </w:rPr>
      </w:pPr>
      <w:r w:rsidRPr="0026653F">
        <w:rPr>
          <w:color w:val="000000"/>
          <w:szCs w:val="22"/>
          <w:lang w:val="fr-FR"/>
        </w:rPr>
        <w:t>30.</w:t>
      </w:r>
      <w:r w:rsidRPr="0026653F">
        <w:rPr>
          <w:color w:val="000000"/>
          <w:szCs w:val="22"/>
          <w:lang w:val="fr-FR"/>
        </w:rPr>
        <w:tab/>
      </w:r>
      <w:r w:rsidRPr="0026653F">
        <w:rPr>
          <w:color w:val="000000"/>
          <w:szCs w:val="22"/>
          <w:u w:val="single"/>
          <w:lang w:val="fr-FR"/>
        </w:rPr>
        <w:t>Recommandations de l’Inspecteur général</w:t>
      </w:r>
    </w:p>
    <w:p w14:paraId="7B1C99FB" w14:textId="77777777" w:rsidR="009071BD" w:rsidRPr="0026653F" w:rsidRDefault="009071BD" w:rsidP="00C618DD">
      <w:pPr>
        <w:rPr>
          <w:color w:val="000000"/>
          <w:szCs w:val="22"/>
          <w:u w:val="single"/>
          <w:lang w:val="fr-FR" w:eastAsia="es-ES"/>
        </w:rPr>
      </w:pPr>
    </w:p>
    <w:p w14:paraId="134C3C94" w14:textId="468A6A40" w:rsidR="009071BD" w:rsidRPr="0026653F" w:rsidRDefault="009071BD" w:rsidP="00C618DD">
      <w:pPr>
        <w:numPr>
          <w:ilvl w:val="1"/>
          <w:numId w:val="18"/>
        </w:numPr>
        <w:ind w:left="2160" w:hanging="720"/>
        <w:rPr>
          <w:color w:val="000000"/>
          <w:szCs w:val="22"/>
          <w:lang w:val="fr-FR"/>
        </w:rPr>
      </w:pPr>
      <w:r w:rsidRPr="0026653F">
        <w:rPr>
          <w:color w:val="000000"/>
          <w:szCs w:val="22"/>
          <w:lang w:val="fr-FR"/>
        </w:rPr>
        <w:t xml:space="preserve">De charger l’Inspecteur général de continuer de présenter à la CAAP tous les trimestres une analyse </w:t>
      </w:r>
      <w:r w:rsidR="00A40A16" w:rsidRPr="0026653F">
        <w:rPr>
          <w:color w:val="000000"/>
          <w:szCs w:val="22"/>
          <w:lang w:val="fr-FR"/>
        </w:rPr>
        <w:t xml:space="preserve">sur l’état </w:t>
      </w:r>
      <w:r w:rsidRPr="0026653F">
        <w:rPr>
          <w:color w:val="000000"/>
          <w:szCs w:val="22"/>
          <w:lang w:val="fr-FR"/>
        </w:rPr>
        <w:t>de la mise en œuvre des recommandations formulées.</w:t>
      </w:r>
    </w:p>
    <w:p w14:paraId="6EBCC01F" w14:textId="77777777" w:rsidR="009071BD" w:rsidRPr="0026653F" w:rsidRDefault="009071BD" w:rsidP="00C618DD">
      <w:pPr>
        <w:rPr>
          <w:color w:val="000000"/>
          <w:szCs w:val="22"/>
          <w:lang w:val="fr-FR" w:eastAsia="es-ES"/>
        </w:rPr>
      </w:pPr>
    </w:p>
    <w:p w14:paraId="5A23549B" w14:textId="53FB17D0" w:rsidR="009071BD" w:rsidRPr="0026653F" w:rsidRDefault="009071BD" w:rsidP="00C618DD">
      <w:pPr>
        <w:numPr>
          <w:ilvl w:val="1"/>
          <w:numId w:val="18"/>
        </w:numPr>
        <w:ind w:left="2160" w:hanging="720"/>
        <w:rPr>
          <w:color w:val="000000"/>
          <w:szCs w:val="22"/>
          <w:lang w:val="fr-FR"/>
        </w:rPr>
      </w:pPr>
      <w:r w:rsidRPr="0026653F">
        <w:rPr>
          <w:color w:val="000000"/>
          <w:szCs w:val="22"/>
          <w:lang w:val="fr-FR"/>
        </w:rPr>
        <w:t xml:space="preserve">De charger le Secrétariat général de présenter à la CAAP pour examen, dans le contexte des préparatifs en vue des discussions sur le programme-budget </w:t>
      </w:r>
      <w:r w:rsidRPr="0026653F">
        <w:rPr>
          <w:bCs/>
          <w:color w:val="000000"/>
          <w:szCs w:val="22"/>
          <w:lang w:val="fr-FR"/>
        </w:rPr>
        <w:t>2022</w:t>
      </w:r>
      <w:r w:rsidRPr="0026653F">
        <w:rPr>
          <w:color w:val="000000"/>
          <w:szCs w:val="22"/>
          <w:lang w:val="fr-FR"/>
        </w:rPr>
        <w:t>, un aperçu des changements institutionnels proposés pour renforcer le Bureau de l’Inspecteur général ainsi que des ressources nécessaires correspondant aux changements proposés.</w:t>
      </w:r>
    </w:p>
    <w:p w14:paraId="18719527" w14:textId="77777777" w:rsidR="009071BD" w:rsidRPr="0026653F" w:rsidRDefault="009071BD" w:rsidP="00C618DD">
      <w:pPr>
        <w:rPr>
          <w:color w:val="000000"/>
          <w:szCs w:val="22"/>
          <w:lang w:val="fr-FR" w:eastAsia="es-ES"/>
        </w:rPr>
      </w:pPr>
    </w:p>
    <w:p w14:paraId="5873C0A6" w14:textId="62CD60D9" w:rsidR="009071BD" w:rsidRPr="0026653F" w:rsidRDefault="009071BD" w:rsidP="00C618DD">
      <w:pPr>
        <w:numPr>
          <w:ilvl w:val="1"/>
          <w:numId w:val="18"/>
        </w:numPr>
        <w:ind w:left="2160" w:hanging="720"/>
        <w:rPr>
          <w:color w:val="000000"/>
          <w:szCs w:val="22"/>
          <w:lang w:val="fr-FR"/>
        </w:rPr>
      </w:pPr>
      <w:r w:rsidRPr="0026653F">
        <w:rPr>
          <w:color w:val="000000"/>
          <w:szCs w:val="22"/>
          <w:lang w:val="fr-FR"/>
        </w:rPr>
        <w:t>De charger le Secrétariat général d’élaborer, conjointement avec la Commission des vérificateurs extérieurs aux fins d'examen au sein de la CAAP dans le cadre des préparatifs en vue des discussions sur le programme-budget 2022, des scénarios pour la mise en place d’un comité d’audit conformément à la proposition de l’Inspecteur général</w:t>
      </w:r>
      <w:r w:rsidR="00A40A16" w:rsidRPr="0026653F">
        <w:rPr>
          <w:color w:val="000000"/>
          <w:szCs w:val="22"/>
          <w:lang w:val="fr-FR"/>
        </w:rPr>
        <w:t xml:space="preserve">, y compris </w:t>
      </w:r>
      <w:r w:rsidRPr="0026653F">
        <w:rPr>
          <w:color w:val="000000"/>
          <w:szCs w:val="22"/>
          <w:lang w:val="fr-FR"/>
        </w:rPr>
        <w:t>la structure et les coûts correspondants.</w:t>
      </w:r>
    </w:p>
    <w:p w14:paraId="6BB28515" w14:textId="77777777" w:rsidR="009071BD" w:rsidRPr="0026653F" w:rsidRDefault="009071BD" w:rsidP="00C618DD">
      <w:pPr>
        <w:jc w:val="left"/>
        <w:rPr>
          <w:color w:val="000000"/>
          <w:szCs w:val="22"/>
          <w:lang w:val="fr-FR"/>
        </w:rPr>
      </w:pPr>
    </w:p>
    <w:p w14:paraId="3AA85C3B" w14:textId="77777777" w:rsidR="009071BD" w:rsidRPr="0026653F" w:rsidRDefault="009071BD" w:rsidP="00C618DD">
      <w:pPr>
        <w:ind w:left="1440" w:hanging="720"/>
        <w:rPr>
          <w:bCs/>
          <w:color w:val="000000"/>
          <w:szCs w:val="22"/>
          <w:u w:val="single"/>
          <w:lang w:val="fr-FR"/>
        </w:rPr>
      </w:pPr>
      <w:r w:rsidRPr="0026653F">
        <w:rPr>
          <w:color w:val="000000"/>
          <w:szCs w:val="22"/>
          <w:lang w:val="fr-FR"/>
        </w:rPr>
        <w:t>31.</w:t>
      </w:r>
      <w:r w:rsidRPr="0026653F">
        <w:rPr>
          <w:color w:val="000000"/>
          <w:szCs w:val="22"/>
          <w:lang w:val="fr-FR"/>
        </w:rPr>
        <w:tab/>
      </w:r>
      <w:r w:rsidRPr="0026653F">
        <w:rPr>
          <w:bCs/>
          <w:color w:val="000000"/>
          <w:szCs w:val="22"/>
          <w:u w:val="single"/>
          <w:lang w:val="fr-FR"/>
        </w:rPr>
        <w:t>Éthique/harcèlement</w:t>
      </w:r>
    </w:p>
    <w:p w14:paraId="67E728F6" w14:textId="77777777" w:rsidR="009071BD" w:rsidRPr="0026653F" w:rsidRDefault="009071BD" w:rsidP="00C618DD">
      <w:pPr>
        <w:rPr>
          <w:bCs/>
          <w:color w:val="000000"/>
          <w:szCs w:val="22"/>
          <w:lang w:val="fr-FR" w:eastAsia="es-ES"/>
        </w:rPr>
      </w:pPr>
    </w:p>
    <w:p w14:paraId="2A1B43EE" w14:textId="3677EEA1" w:rsidR="009071BD" w:rsidRPr="0026653F" w:rsidRDefault="009071BD" w:rsidP="00C618DD">
      <w:pPr>
        <w:rPr>
          <w:i/>
          <w:iCs/>
          <w:szCs w:val="22"/>
          <w:lang w:val="fr-FR"/>
        </w:rPr>
      </w:pPr>
      <w:r w:rsidRPr="0026653F">
        <w:rPr>
          <w:bCs/>
          <w:color w:val="000000"/>
          <w:szCs w:val="22"/>
          <w:lang w:val="fr-FR" w:eastAsia="es-ES"/>
        </w:rPr>
        <w:tab/>
      </w:r>
      <w:r w:rsidRPr="0026653F">
        <w:rPr>
          <w:color w:val="000000"/>
          <w:szCs w:val="22"/>
          <w:lang w:val="fr-FR"/>
        </w:rPr>
        <w:t>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w:t>
      </w:r>
      <w:r w:rsidR="00CE2093">
        <w:rPr>
          <w:color w:val="000000"/>
          <w:szCs w:val="22"/>
          <w:lang w:val="fr-FR"/>
        </w:rPr>
        <w:t>,</w:t>
      </w:r>
      <w:r w:rsidRPr="0026653F">
        <w:rPr>
          <w:color w:val="000000"/>
          <w:szCs w:val="22"/>
          <w:lang w:val="fr-FR"/>
        </w:rPr>
        <w:t xml:space="preserve"> de même que le dénombrement des carences et manquements éventuels qui ont été constatés dans la mise en œuvre des politiques de l’Organisation sur la fraude, le harcèlement et les lanceurs d’alerte, de même que sur la protection des lanceurs d’alerte.</w:t>
      </w:r>
    </w:p>
    <w:p w14:paraId="7309BDC7" w14:textId="77777777" w:rsidR="009071BD" w:rsidRPr="0026653F" w:rsidRDefault="009071BD" w:rsidP="00C618DD">
      <w:pPr>
        <w:rPr>
          <w:i/>
          <w:iCs/>
          <w:szCs w:val="22"/>
          <w:lang w:val="fr-FR"/>
        </w:rPr>
      </w:pPr>
    </w:p>
    <w:p w14:paraId="57C25D99" w14:textId="77777777" w:rsidR="009071BD" w:rsidRPr="0026653F" w:rsidRDefault="009071BD" w:rsidP="00C618DD">
      <w:pPr>
        <w:ind w:left="1440" w:hanging="720"/>
        <w:rPr>
          <w:color w:val="000000"/>
          <w:szCs w:val="22"/>
          <w:u w:val="single"/>
          <w:lang w:val="fr-FR"/>
        </w:rPr>
      </w:pPr>
      <w:r w:rsidRPr="0026653F">
        <w:rPr>
          <w:color w:val="000000"/>
          <w:szCs w:val="22"/>
          <w:lang w:val="fr-FR"/>
        </w:rPr>
        <w:t>32.</w:t>
      </w:r>
      <w:r w:rsidRPr="0026653F">
        <w:rPr>
          <w:color w:val="000000"/>
          <w:szCs w:val="22"/>
          <w:lang w:val="fr-FR"/>
        </w:rPr>
        <w:tab/>
      </w:r>
      <w:r w:rsidRPr="0026653F">
        <w:rPr>
          <w:color w:val="000000"/>
          <w:szCs w:val="22"/>
          <w:u w:val="single"/>
          <w:lang w:val="fr-FR"/>
        </w:rPr>
        <w:t>Stratégie immobilière</w:t>
      </w:r>
    </w:p>
    <w:p w14:paraId="568D9C69" w14:textId="77777777" w:rsidR="009071BD" w:rsidRPr="0026653F" w:rsidRDefault="009071BD" w:rsidP="00C618DD">
      <w:pPr>
        <w:rPr>
          <w:color w:val="000000"/>
          <w:szCs w:val="22"/>
          <w:u w:val="single"/>
          <w:lang w:val="fr-FR" w:eastAsia="es-ES"/>
        </w:rPr>
      </w:pPr>
    </w:p>
    <w:p w14:paraId="11B63C38" w14:textId="0E50D3D4" w:rsidR="009071BD" w:rsidRPr="0026653F" w:rsidRDefault="009071BD" w:rsidP="00C618DD">
      <w:pPr>
        <w:numPr>
          <w:ilvl w:val="0"/>
          <w:numId w:val="61"/>
        </w:numPr>
        <w:ind w:left="2160" w:hanging="720"/>
        <w:contextualSpacing/>
        <w:rPr>
          <w:bCs/>
          <w:szCs w:val="22"/>
          <w:lang w:val="fr-FR"/>
        </w:rPr>
      </w:pPr>
      <w:r w:rsidRPr="0026653F">
        <w:rPr>
          <w:rFonts w:eastAsia="Arial Unicode MS"/>
          <w:szCs w:val="22"/>
          <w:lang w:val="fr-FR"/>
        </w:rPr>
        <w:t>De confirmer la décision du Conseil permanent prise lors de sa séance du 13 mai 2020 concernant la suspension du projet immobilier mandaté par la résolution AG/RES. 2911 (XLVII-O/17) concernant la vente du Bâtiment du Secrétariat général, sis à F Street NW, à Washington, D.C</w:t>
      </w:r>
      <w:r w:rsidR="00763D41">
        <w:rPr>
          <w:rFonts w:eastAsia="Arial Unicode MS"/>
          <w:szCs w:val="22"/>
          <w:lang w:val="fr-FR"/>
        </w:rPr>
        <w:t xml:space="preserve">. </w:t>
      </w:r>
      <w:r w:rsidRPr="0026653F">
        <w:rPr>
          <w:rFonts w:eastAsia="Arial Unicode MS"/>
          <w:szCs w:val="22"/>
          <w:lang w:val="fr-FR"/>
        </w:rPr>
        <w:t>; la construction d’un nouveau bâtiment sur le terrain adjacent au Bâtiment principal (17</w:t>
      </w:r>
      <w:r w:rsidRPr="0026653F">
        <w:rPr>
          <w:rFonts w:eastAsia="Arial Unicode MS"/>
          <w:szCs w:val="22"/>
          <w:vertAlign w:val="superscript"/>
          <w:lang w:val="fr-FR"/>
        </w:rPr>
        <w:t>th</w:t>
      </w:r>
      <w:r w:rsidRPr="0026653F">
        <w:rPr>
          <w:rFonts w:eastAsia="Arial Unicode MS"/>
          <w:szCs w:val="22"/>
          <w:lang w:val="fr-FR"/>
        </w:rPr>
        <w:t xml:space="preserve"> Street et C Street) et faisant partie de celui-ci ainsi que le réaménagement du Bâtiment administratif, sis à Constitution Avenue NW.</w:t>
      </w:r>
    </w:p>
    <w:p w14:paraId="1730DC2E" w14:textId="77777777" w:rsidR="009071BD" w:rsidRPr="0026653F" w:rsidRDefault="009071BD" w:rsidP="00C618DD">
      <w:pPr>
        <w:rPr>
          <w:bCs/>
          <w:szCs w:val="22"/>
          <w:lang w:val="fr-FR"/>
        </w:rPr>
      </w:pPr>
    </w:p>
    <w:p w14:paraId="487B8E27" w14:textId="68FCBD0B" w:rsidR="009071BD" w:rsidRPr="0026653F" w:rsidRDefault="009071BD" w:rsidP="00C618DD">
      <w:pPr>
        <w:numPr>
          <w:ilvl w:val="0"/>
          <w:numId w:val="61"/>
        </w:numPr>
        <w:ind w:left="2160" w:hanging="720"/>
        <w:contextualSpacing/>
        <w:rPr>
          <w:bCs/>
          <w:szCs w:val="22"/>
          <w:lang w:val="fr-FR"/>
        </w:rPr>
      </w:pPr>
      <w:r w:rsidRPr="0026653F">
        <w:rPr>
          <w:rFonts w:eastAsia="Arial Unicode MS"/>
          <w:szCs w:val="22"/>
          <w:lang w:val="fr-FR"/>
        </w:rPr>
        <w:t>De charger le Secrétariat</w:t>
      </w:r>
      <w:r w:rsidR="00946E06" w:rsidRPr="0026653F">
        <w:rPr>
          <w:rFonts w:eastAsia="Arial Unicode MS"/>
          <w:szCs w:val="22"/>
          <w:lang w:val="fr-FR"/>
        </w:rPr>
        <w:t xml:space="preserve"> général</w:t>
      </w:r>
      <w:r w:rsidRPr="0026653F">
        <w:rPr>
          <w:rFonts w:eastAsia="Arial Unicode MS"/>
          <w:szCs w:val="22"/>
          <w:lang w:val="fr-FR"/>
        </w:rPr>
        <w:t>,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w:t>
      </w:r>
    </w:p>
    <w:p w14:paraId="470945E9" w14:textId="77777777" w:rsidR="009071BD" w:rsidRPr="0026653F" w:rsidRDefault="009071BD" w:rsidP="00C618DD">
      <w:pPr>
        <w:rPr>
          <w:szCs w:val="22"/>
          <w:lang w:val="fr-FR" w:eastAsia="es-ES"/>
        </w:rPr>
      </w:pPr>
    </w:p>
    <w:p w14:paraId="49CBCA05" w14:textId="42ED33C6" w:rsidR="009071BD" w:rsidRPr="0026653F" w:rsidRDefault="009071BD" w:rsidP="00C618DD">
      <w:pPr>
        <w:keepNext/>
        <w:ind w:left="720"/>
        <w:rPr>
          <w:iCs/>
          <w:color w:val="000000"/>
          <w:szCs w:val="22"/>
          <w:u w:val="single"/>
          <w:lang w:val="fr-FR"/>
        </w:rPr>
      </w:pPr>
      <w:r w:rsidRPr="0026653F">
        <w:rPr>
          <w:color w:val="000000"/>
          <w:szCs w:val="22"/>
          <w:lang w:val="fr-FR"/>
        </w:rPr>
        <w:t>33.</w:t>
      </w:r>
      <w:r w:rsidRPr="0026653F">
        <w:rPr>
          <w:color w:val="000000"/>
          <w:szCs w:val="22"/>
          <w:lang w:val="fr-FR"/>
        </w:rPr>
        <w:tab/>
      </w:r>
      <w:r w:rsidRPr="0026653F">
        <w:rPr>
          <w:bCs/>
          <w:color w:val="000000"/>
          <w:szCs w:val="22"/>
          <w:u w:val="single"/>
          <w:lang w:val="fr-FR"/>
        </w:rPr>
        <w:t xml:space="preserve">Mise en œuvre du Système de </w:t>
      </w:r>
      <w:r w:rsidR="00946E06" w:rsidRPr="0026653F">
        <w:rPr>
          <w:bCs/>
          <w:color w:val="000000"/>
          <w:szCs w:val="22"/>
          <w:u w:val="single"/>
          <w:lang w:val="fr-FR"/>
        </w:rPr>
        <w:t xml:space="preserve">planification </w:t>
      </w:r>
      <w:r w:rsidRPr="0026653F">
        <w:rPr>
          <w:bCs/>
          <w:color w:val="000000"/>
          <w:szCs w:val="22"/>
          <w:u w:val="single"/>
          <w:lang w:val="fr-FR"/>
        </w:rPr>
        <w:t>des ressources institutionnelles (ERP)</w:t>
      </w:r>
    </w:p>
    <w:p w14:paraId="2A11FB82" w14:textId="77777777" w:rsidR="009071BD" w:rsidRPr="0026653F" w:rsidRDefault="009071BD" w:rsidP="00C618DD">
      <w:pPr>
        <w:keepNext/>
        <w:rPr>
          <w:iCs/>
          <w:color w:val="000000"/>
          <w:szCs w:val="22"/>
          <w:lang w:val="fr-FR" w:eastAsia="es-ES"/>
        </w:rPr>
      </w:pPr>
    </w:p>
    <w:p w14:paraId="0EEA6DF7" w14:textId="77777777" w:rsidR="009071BD" w:rsidRPr="0026653F" w:rsidRDefault="009071BD" w:rsidP="00C618DD">
      <w:pPr>
        <w:ind w:firstLine="720"/>
        <w:rPr>
          <w:bCs/>
          <w:szCs w:val="22"/>
          <w:lang w:val="fr-FR"/>
        </w:rPr>
      </w:pPr>
      <w:r w:rsidRPr="0026653F">
        <w:rPr>
          <w:szCs w:val="22"/>
          <w:lang w:val="fr-FR"/>
        </w:rPr>
        <w:t xml:space="preserve">De charger le Secrétariat général de </w:t>
      </w:r>
      <w:r w:rsidRPr="0026653F">
        <w:rPr>
          <w:bCs/>
          <w:szCs w:val="22"/>
          <w:lang w:val="fr-FR"/>
        </w:rPr>
        <w:t>poursuivre la mise en œuvre du système ERP en conformité avec la résolution</w:t>
      </w:r>
      <w:r w:rsidRPr="0026653F">
        <w:rPr>
          <w:szCs w:val="22"/>
          <w:lang w:val="fr-FR"/>
        </w:rPr>
        <w:t xml:space="preserve"> </w:t>
      </w:r>
      <w:hyperlink r:id="rId90" w:history="1">
        <w:r w:rsidRPr="0026653F">
          <w:rPr>
            <w:color w:val="0000FF"/>
            <w:szCs w:val="22"/>
            <w:u w:val="single"/>
            <w:lang w:val="fr-FR"/>
          </w:rPr>
          <w:t>CP/RES.</w:t>
        </w:r>
      </w:hyperlink>
      <w:hyperlink r:id="rId91" w:history="1">
        <w:r w:rsidRPr="0026653F">
          <w:rPr>
            <w:color w:val="0000FF"/>
            <w:szCs w:val="22"/>
            <w:u w:val="single"/>
            <w:lang w:val="fr-FR"/>
          </w:rPr>
          <w:t xml:space="preserve"> 1155 (2290/20)</w:t>
        </w:r>
      </w:hyperlink>
      <w:r w:rsidRPr="0026653F">
        <w:rPr>
          <w:szCs w:val="22"/>
          <w:lang w:val="fr-FR"/>
        </w:rPr>
        <w:t xml:space="preserve"> </w:t>
      </w:r>
      <w:r w:rsidRPr="0026653F">
        <w:rPr>
          <w:bCs/>
          <w:szCs w:val="22"/>
          <w:lang w:val="fr-FR"/>
        </w:rPr>
        <w:t>et de présenter tous les mois à la CAAP un rapport d’avancement en la matière.</w:t>
      </w:r>
    </w:p>
    <w:p w14:paraId="528957FF" w14:textId="77777777" w:rsidR="009071BD" w:rsidRPr="0026653F" w:rsidRDefault="009071BD" w:rsidP="00C618DD">
      <w:pPr>
        <w:rPr>
          <w:color w:val="000000"/>
          <w:szCs w:val="22"/>
          <w:lang w:val="fr-FR"/>
        </w:rPr>
      </w:pPr>
    </w:p>
    <w:p w14:paraId="7A01C579" w14:textId="77777777" w:rsidR="009071BD" w:rsidRPr="0026653F" w:rsidRDefault="009071BD" w:rsidP="00C618DD">
      <w:pPr>
        <w:rPr>
          <w:color w:val="000000"/>
          <w:szCs w:val="22"/>
          <w:lang w:val="fr-FR" w:eastAsia="es-ES"/>
        </w:rPr>
        <w:sectPr w:rsidR="009071BD" w:rsidRPr="0026653F" w:rsidSect="00FE7DD6">
          <w:headerReference w:type="default" r:id="rId92"/>
          <w:footnotePr>
            <w:numRestart w:val="eachSect"/>
          </w:footnotePr>
          <w:type w:val="oddPage"/>
          <w:pgSz w:w="12240" w:h="15840" w:code="1"/>
          <w:pgMar w:top="2160" w:right="1570" w:bottom="1296" w:left="1699" w:header="1296" w:footer="1296" w:gutter="0"/>
          <w:cols w:space="720"/>
          <w:docGrid w:linePitch="299"/>
        </w:sectPr>
      </w:pPr>
    </w:p>
    <w:p w14:paraId="3101AC1E" w14:textId="408B28AB" w:rsidR="009071BD" w:rsidRPr="0026653F" w:rsidRDefault="00430D76" w:rsidP="00C618DD">
      <w:pPr>
        <w:keepNext/>
        <w:jc w:val="right"/>
        <w:rPr>
          <w:szCs w:val="22"/>
          <w:lang w:val="fr-FR"/>
        </w:rPr>
      </w:pPr>
      <w:r w:rsidRPr="0026653F">
        <w:rPr>
          <w:szCs w:val="22"/>
          <w:lang w:val="fr-FR"/>
        </w:rPr>
        <w:lastRenderedPageBreak/>
        <w:t>ANNEXE I</w:t>
      </w:r>
    </w:p>
    <w:p w14:paraId="35A3F898" w14:textId="6E84BC34" w:rsidR="00430D76" w:rsidRPr="0026653F" w:rsidRDefault="00430D76" w:rsidP="00C618DD">
      <w:pPr>
        <w:keepNext/>
        <w:jc w:val="right"/>
        <w:rPr>
          <w:szCs w:val="22"/>
          <w:lang w:val="fr-FR"/>
        </w:rPr>
      </w:pPr>
    </w:p>
    <w:p w14:paraId="753500B0" w14:textId="02649F52" w:rsidR="00430D76" w:rsidRPr="0026653F" w:rsidRDefault="00430D76" w:rsidP="00C618DD">
      <w:pPr>
        <w:rPr>
          <w:rFonts w:eastAsia="Arial Unicode MS"/>
          <w:color w:val="000000"/>
          <w:szCs w:val="22"/>
          <w:lang w:val="fr-FR"/>
        </w:rPr>
      </w:pPr>
      <w:r w:rsidRPr="0026653F">
        <w:rPr>
          <w:rFonts w:eastAsia="Arial Unicode MS"/>
          <w:noProof/>
          <w:lang w:val="fr-FR"/>
        </w:rPr>
        <w:drawing>
          <wp:inline distT="0" distB="0" distL="0" distR="0" wp14:anchorId="0B784318" wp14:editId="37BFDFE4">
            <wp:extent cx="5696585" cy="66014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96585" cy="6601460"/>
                    </a:xfrm>
                    <a:prstGeom prst="rect">
                      <a:avLst/>
                    </a:prstGeom>
                    <a:noFill/>
                    <a:ln>
                      <a:noFill/>
                    </a:ln>
                  </pic:spPr>
                </pic:pic>
              </a:graphicData>
            </a:graphic>
          </wp:inline>
        </w:drawing>
      </w:r>
    </w:p>
    <w:p w14:paraId="2834C9CD" w14:textId="77777777" w:rsidR="002932B0" w:rsidRPr="0026653F" w:rsidRDefault="002932B0" w:rsidP="00C618DD">
      <w:pPr>
        <w:rPr>
          <w:rFonts w:eastAsia="Arial Unicode MS"/>
          <w:color w:val="000000"/>
          <w:szCs w:val="22"/>
          <w:lang w:val="fr-FR"/>
        </w:rPr>
      </w:pPr>
    </w:p>
    <w:p w14:paraId="0C2E7B38" w14:textId="77777777" w:rsidR="009071BD" w:rsidRPr="0026653F" w:rsidRDefault="009071BD" w:rsidP="00C618DD">
      <w:pPr>
        <w:rPr>
          <w:color w:val="000000"/>
          <w:szCs w:val="22"/>
          <w:lang w:val="fr-FR"/>
        </w:rPr>
        <w:sectPr w:rsidR="009071BD" w:rsidRPr="0026653F" w:rsidSect="00FE7DD6">
          <w:headerReference w:type="default" r:id="rId94"/>
          <w:type w:val="oddPage"/>
          <w:pgSz w:w="12240" w:h="15840" w:code="1"/>
          <w:pgMar w:top="2160" w:right="1570" w:bottom="1296" w:left="1699" w:header="1296" w:footer="1296" w:gutter="0"/>
          <w:cols w:space="720"/>
          <w:docGrid w:linePitch="360"/>
        </w:sectPr>
      </w:pPr>
    </w:p>
    <w:p w14:paraId="6E39BA3B" w14:textId="77777777" w:rsidR="009071BD" w:rsidRPr="0026653F" w:rsidRDefault="009071BD" w:rsidP="00C618DD">
      <w:pPr>
        <w:jc w:val="right"/>
        <w:rPr>
          <w:color w:val="000000"/>
          <w:szCs w:val="22"/>
          <w:lang w:val="fr-FR"/>
        </w:rPr>
      </w:pPr>
      <w:r w:rsidRPr="0026653F">
        <w:rPr>
          <w:color w:val="000000"/>
          <w:szCs w:val="22"/>
          <w:lang w:val="fr-FR"/>
        </w:rPr>
        <w:lastRenderedPageBreak/>
        <w:t>ANNEXE II</w:t>
      </w:r>
    </w:p>
    <w:p w14:paraId="37AA4DB0" w14:textId="6849D22A" w:rsidR="009071BD" w:rsidRDefault="009071BD" w:rsidP="004E44A6">
      <w:pPr>
        <w:rPr>
          <w:rFonts w:eastAsia="Arial Unicode MS"/>
          <w:color w:val="000000"/>
          <w:szCs w:val="22"/>
          <w:lang w:val="fr-FR"/>
        </w:rPr>
      </w:pPr>
    </w:p>
    <w:p w14:paraId="73107EAE" w14:textId="77777777" w:rsidR="009A25D6" w:rsidRPr="0026653F" w:rsidRDefault="009A25D6" w:rsidP="004E44A6">
      <w:pPr>
        <w:rPr>
          <w:rFonts w:eastAsia="Arial Unicode MS"/>
          <w:color w:val="000000"/>
          <w:szCs w:val="22"/>
          <w:lang w:val="fr-FR"/>
        </w:rPr>
      </w:pP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9071BD" w:rsidRPr="0026653F" w14:paraId="4BBFA78B" w14:textId="77777777" w:rsidTr="009071BD">
        <w:trPr>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B733447" w14:textId="77777777" w:rsidR="009071BD" w:rsidRPr="0026653F" w:rsidRDefault="009071BD" w:rsidP="00C618DD">
            <w:pPr>
              <w:jc w:val="center"/>
              <w:rPr>
                <w:bCs/>
                <w:color w:val="000000"/>
                <w:szCs w:val="22"/>
                <w:lang w:val="fr-FR"/>
              </w:rPr>
            </w:pPr>
            <w:r w:rsidRPr="0026653F">
              <w:rPr>
                <w:color w:val="000000"/>
                <w:szCs w:val="22"/>
                <w:lang w:val="fr-FR"/>
              </w:rPr>
              <w:t>POSTES</w:t>
            </w:r>
          </w:p>
        </w:tc>
        <w:tc>
          <w:tcPr>
            <w:tcW w:w="5287" w:type="dxa"/>
            <w:tcBorders>
              <w:top w:val="single" w:sz="8" w:space="0" w:color="auto"/>
              <w:left w:val="nil"/>
              <w:bottom w:val="single" w:sz="8" w:space="0" w:color="auto"/>
              <w:right w:val="single" w:sz="8" w:space="0" w:color="auto"/>
            </w:tcBorders>
            <w:vAlign w:val="center"/>
            <w:hideMark/>
          </w:tcPr>
          <w:p w14:paraId="2DA94B61" w14:textId="77777777" w:rsidR="009071BD" w:rsidRPr="0026653F" w:rsidRDefault="009071BD" w:rsidP="00C618DD">
            <w:pPr>
              <w:jc w:val="center"/>
              <w:rPr>
                <w:bCs/>
                <w:color w:val="000000"/>
                <w:szCs w:val="22"/>
                <w:lang w:val="fr-FR"/>
              </w:rPr>
            </w:pPr>
            <w:r w:rsidRPr="0026653F">
              <w:rPr>
                <w:color w:val="000000"/>
                <w:szCs w:val="22"/>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52BD9BEF" w14:textId="77777777" w:rsidR="009071BD" w:rsidRPr="0026653F" w:rsidRDefault="009071BD" w:rsidP="00C618DD">
            <w:pPr>
              <w:jc w:val="center"/>
              <w:rPr>
                <w:bCs/>
                <w:color w:val="000000"/>
                <w:szCs w:val="22"/>
                <w:lang w:val="fr-FR"/>
              </w:rPr>
            </w:pPr>
            <w:r w:rsidRPr="0026653F">
              <w:rPr>
                <w:color w:val="000000"/>
                <w:szCs w:val="22"/>
                <w:lang w:val="fr-FR"/>
              </w:rPr>
              <w:t>GRADE</w:t>
            </w:r>
          </w:p>
        </w:tc>
        <w:tc>
          <w:tcPr>
            <w:tcW w:w="2157" w:type="dxa"/>
            <w:tcBorders>
              <w:top w:val="single" w:sz="8" w:space="0" w:color="auto"/>
              <w:left w:val="nil"/>
              <w:bottom w:val="single" w:sz="8" w:space="0" w:color="auto"/>
              <w:right w:val="single" w:sz="8" w:space="0" w:color="auto"/>
            </w:tcBorders>
            <w:hideMark/>
          </w:tcPr>
          <w:p w14:paraId="4F13F58B" w14:textId="77777777" w:rsidR="009071BD" w:rsidRPr="0026653F" w:rsidRDefault="009071BD" w:rsidP="00C618DD">
            <w:pPr>
              <w:jc w:val="center"/>
              <w:rPr>
                <w:bCs/>
                <w:color w:val="000000"/>
                <w:szCs w:val="22"/>
                <w:lang w:val="fr-FR"/>
              </w:rPr>
            </w:pPr>
            <w:r w:rsidRPr="0026653F">
              <w:rPr>
                <w:color w:val="000000"/>
                <w:szCs w:val="22"/>
                <w:lang w:val="fr-FR"/>
              </w:rPr>
              <w:t>SOURCE DE FINANCEMENT</w:t>
            </w:r>
          </w:p>
        </w:tc>
      </w:tr>
      <w:tr w:rsidR="009071BD" w:rsidRPr="0026653F" w14:paraId="5B7D415A" w14:textId="77777777" w:rsidTr="009071B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128B555E"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single" w:sz="4" w:space="0" w:color="auto"/>
              <w:left w:val="nil"/>
              <w:bottom w:val="single" w:sz="4" w:space="0" w:color="auto"/>
              <w:right w:val="single" w:sz="4" w:space="0" w:color="auto"/>
            </w:tcBorders>
            <w:vAlign w:val="center"/>
            <w:hideMark/>
          </w:tcPr>
          <w:p w14:paraId="0656B0C6" w14:textId="77777777" w:rsidR="009071BD" w:rsidRPr="0026653F" w:rsidRDefault="009071BD" w:rsidP="00C618DD">
            <w:pPr>
              <w:rPr>
                <w:color w:val="000000"/>
                <w:szCs w:val="22"/>
                <w:lang w:val="fr-FR"/>
              </w:rPr>
            </w:pPr>
            <w:r w:rsidRPr="0026653F">
              <w:rPr>
                <w:color w:val="000000"/>
                <w:szCs w:val="22"/>
                <w:lang w:val="fr-FR"/>
              </w:rPr>
              <w:t>Chef de cabinet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46C84331" w14:textId="77777777" w:rsidR="009071BD" w:rsidRPr="0026653F" w:rsidRDefault="009071BD" w:rsidP="00C618DD">
            <w:pPr>
              <w:jc w:val="center"/>
              <w:rPr>
                <w:color w:val="000000"/>
                <w:szCs w:val="22"/>
                <w:lang w:val="fr-FR"/>
              </w:rPr>
            </w:pPr>
            <w:r w:rsidRPr="0026653F">
              <w:rPr>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0BC68F89"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09E4AE7A"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F40F794"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2A66D976" w14:textId="77777777" w:rsidR="009071BD" w:rsidRPr="0026653F" w:rsidRDefault="009071BD" w:rsidP="00C618DD">
            <w:pPr>
              <w:rPr>
                <w:color w:val="000000"/>
                <w:szCs w:val="22"/>
                <w:lang w:val="fr-FR"/>
              </w:rPr>
            </w:pPr>
            <w:r w:rsidRPr="0026653F">
              <w:rPr>
                <w:color w:val="000000"/>
                <w:szCs w:val="22"/>
                <w:lang w:val="fr-FR"/>
              </w:rPr>
              <w:t>Chef de cabinet du Secrétaire général adjoint</w:t>
            </w:r>
          </w:p>
        </w:tc>
        <w:tc>
          <w:tcPr>
            <w:tcW w:w="1144" w:type="dxa"/>
            <w:tcBorders>
              <w:top w:val="nil"/>
              <w:left w:val="nil"/>
              <w:bottom w:val="single" w:sz="4" w:space="0" w:color="auto"/>
              <w:right w:val="single" w:sz="4" w:space="0" w:color="auto"/>
            </w:tcBorders>
            <w:noWrap/>
            <w:vAlign w:val="bottom"/>
            <w:hideMark/>
          </w:tcPr>
          <w:p w14:paraId="46B13E89" w14:textId="77777777" w:rsidR="009071BD" w:rsidRPr="0026653F" w:rsidRDefault="009071BD" w:rsidP="00C618DD">
            <w:pPr>
              <w:jc w:val="center"/>
              <w:rPr>
                <w:color w:val="000000"/>
                <w:szCs w:val="22"/>
                <w:lang w:val="fr-FR"/>
              </w:rPr>
            </w:pPr>
            <w:r w:rsidRPr="0026653F">
              <w:rPr>
                <w:color w:val="000000"/>
                <w:szCs w:val="22"/>
                <w:lang w:val="fr-FR"/>
              </w:rPr>
              <w:t>D01</w:t>
            </w:r>
          </w:p>
        </w:tc>
        <w:tc>
          <w:tcPr>
            <w:tcW w:w="2157" w:type="dxa"/>
            <w:tcBorders>
              <w:top w:val="nil"/>
              <w:left w:val="nil"/>
              <w:bottom w:val="single" w:sz="4" w:space="0" w:color="auto"/>
              <w:right w:val="single" w:sz="4" w:space="0" w:color="auto"/>
            </w:tcBorders>
            <w:hideMark/>
          </w:tcPr>
          <w:p w14:paraId="18B8F03A"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07477FC" w14:textId="77777777" w:rsidTr="009071BD">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250623C9"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vAlign w:val="center"/>
            <w:hideMark/>
          </w:tcPr>
          <w:p w14:paraId="7797A8F6" w14:textId="77777777" w:rsidR="009071BD" w:rsidRPr="0026653F" w:rsidRDefault="009071BD" w:rsidP="00C618DD">
            <w:pPr>
              <w:jc w:val="left"/>
              <w:rPr>
                <w:color w:val="000000"/>
                <w:szCs w:val="22"/>
                <w:lang w:val="fr-FR"/>
              </w:rPr>
            </w:pPr>
            <w:r w:rsidRPr="0026653F">
              <w:rPr>
                <w:color w:val="000000"/>
                <w:szCs w:val="22"/>
                <w:lang w:val="fr-FR"/>
              </w:rPr>
              <w:t>Bureau du 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1039E87F" w14:textId="77777777" w:rsidR="009071BD" w:rsidRPr="0026653F" w:rsidRDefault="009071BD" w:rsidP="00C618DD">
            <w:pPr>
              <w:jc w:val="center"/>
              <w:rPr>
                <w:color w:val="000000"/>
                <w:szCs w:val="22"/>
                <w:lang w:val="fr-FR"/>
              </w:rPr>
            </w:pPr>
            <w:r w:rsidRPr="0026653F">
              <w:rPr>
                <w:color w:val="000000"/>
                <w:szCs w:val="22"/>
                <w:lang w:val="fr-FR"/>
              </w:rPr>
              <w:t>D02</w:t>
            </w:r>
          </w:p>
        </w:tc>
        <w:tc>
          <w:tcPr>
            <w:tcW w:w="2157" w:type="dxa"/>
            <w:tcBorders>
              <w:top w:val="nil"/>
              <w:left w:val="nil"/>
              <w:bottom w:val="single" w:sz="4" w:space="0" w:color="auto"/>
              <w:right w:val="single" w:sz="4" w:space="0" w:color="auto"/>
            </w:tcBorders>
            <w:vAlign w:val="center"/>
            <w:hideMark/>
          </w:tcPr>
          <w:p w14:paraId="1898FED2"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1D14E8B2" w14:textId="77777777" w:rsidTr="009071BD">
        <w:trPr>
          <w:trHeight w:val="300"/>
          <w:jc w:val="center"/>
        </w:trPr>
        <w:tc>
          <w:tcPr>
            <w:tcW w:w="1339" w:type="dxa"/>
            <w:tcBorders>
              <w:top w:val="nil"/>
              <w:left w:val="single" w:sz="4" w:space="0" w:color="auto"/>
              <w:bottom w:val="nil"/>
              <w:right w:val="nil"/>
            </w:tcBorders>
            <w:noWrap/>
            <w:vAlign w:val="bottom"/>
            <w:hideMark/>
          </w:tcPr>
          <w:p w14:paraId="4F2BD324" w14:textId="77777777" w:rsidR="009071BD" w:rsidRPr="0026653F" w:rsidRDefault="009071BD" w:rsidP="00C618DD">
            <w:pPr>
              <w:jc w:val="center"/>
              <w:rPr>
                <w:color w:val="000000"/>
                <w:szCs w:val="22"/>
                <w:lang w:val="fr-FR"/>
              </w:rPr>
            </w:pPr>
            <w:r w:rsidRPr="0026653F">
              <w:rPr>
                <w:color w:val="000000"/>
                <w:szCs w:val="22"/>
                <w:lang w:val="fr-FR"/>
              </w:rPr>
              <w:t>7</w:t>
            </w:r>
          </w:p>
        </w:tc>
        <w:tc>
          <w:tcPr>
            <w:tcW w:w="5287" w:type="dxa"/>
            <w:tcBorders>
              <w:top w:val="nil"/>
              <w:left w:val="single" w:sz="4" w:space="0" w:color="auto"/>
              <w:bottom w:val="nil"/>
              <w:right w:val="single" w:sz="4" w:space="0" w:color="auto"/>
            </w:tcBorders>
            <w:noWrap/>
            <w:vAlign w:val="bottom"/>
            <w:hideMark/>
          </w:tcPr>
          <w:p w14:paraId="5F4FE8B0" w14:textId="77777777" w:rsidR="009071BD" w:rsidRPr="0026653F" w:rsidRDefault="009071BD" w:rsidP="00C618DD">
            <w:pPr>
              <w:jc w:val="left"/>
              <w:rPr>
                <w:color w:val="000000"/>
                <w:szCs w:val="22"/>
                <w:lang w:val="fr-FR"/>
              </w:rPr>
            </w:pPr>
            <w:r w:rsidRPr="0026653F">
              <w:rPr>
                <w:color w:val="000000"/>
                <w:szCs w:val="22"/>
                <w:lang w:val="fr-FR"/>
              </w:rPr>
              <w:t>Secrétaires</w:t>
            </w:r>
          </w:p>
        </w:tc>
        <w:tc>
          <w:tcPr>
            <w:tcW w:w="1144" w:type="dxa"/>
            <w:tcBorders>
              <w:top w:val="nil"/>
              <w:left w:val="nil"/>
              <w:bottom w:val="nil"/>
              <w:right w:val="single" w:sz="4" w:space="0" w:color="auto"/>
            </w:tcBorders>
            <w:noWrap/>
            <w:vAlign w:val="bottom"/>
            <w:hideMark/>
          </w:tcPr>
          <w:p w14:paraId="179E9543" w14:textId="77777777" w:rsidR="009071BD" w:rsidRPr="0026653F" w:rsidRDefault="009071BD" w:rsidP="00C618DD">
            <w:pPr>
              <w:jc w:val="center"/>
              <w:rPr>
                <w:color w:val="000000"/>
                <w:szCs w:val="22"/>
                <w:lang w:val="fr-FR"/>
              </w:rPr>
            </w:pPr>
            <w:r w:rsidRPr="0026653F">
              <w:rPr>
                <w:color w:val="000000"/>
                <w:szCs w:val="22"/>
                <w:lang w:val="fr-FR"/>
              </w:rPr>
              <w:t>D02</w:t>
            </w:r>
          </w:p>
        </w:tc>
        <w:tc>
          <w:tcPr>
            <w:tcW w:w="2157" w:type="dxa"/>
            <w:tcBorders>
              <w:top w:val="single" w:sz="4" w:space="0" w:color="auto"/>
              <w:left w:val="nil"/>
              <w:bottom w:val="single" w:sz="4" w:space="0" w:color="auto"/>
              <w:right w:val="single" w:sz="4" w:space="0" w:color="auto"/>
            </w:tcBorders>
            <w:hideMark/>
          </w:tcPr>
          <w:p w14:paraId="39D0DF57"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3268DBBD" w14:textId="77777777" w:rsidTr="009071BD">
        <w:trPr>
          <w:trHeight w:val="333"/>
          <w:jc w:val="center"/>
        </w:trPr>
        <w:tc>
          <w:tcPr>
            <w:tcW w:w="1339" w:type="dxa"/>
            <w:tcBorders>
              <w:top w:val="nil"/>
              <w:left w:val="single" w:sz="4" w:space="0" w:color="auto"/>
              <w:bottom w:val="nil"/>
              <w:right w:val="nil"/>
            </w:tcBorders>
            <w:noWrap/>
            <w:vAlign w:val="bottom"/>
            <w:hideMark/>
          </w:tcPr>
          <w:p w14:paraId="462FB135" w14:textId="77777777" w:rsidR="009071BD" w:rsidRPr="0026653F" w:rsidRDefault="009071BD" w:rsidP="00C618DD">
            <w:pPr>
              <w:jc w:val="center"/>
              <w:rPr>
                <w:color w:val="000000"/>
                <w:szCs w:val="22"/>
                <w:lang w:val="fr-FR"/>
              </w:rPr>
            </w:pP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EAE0F1A" w14:textId="77777777" w:rsidR="009071BD" w:rsidRPr="0026653F" w:rsidRDefault="009071BD" w:rsidP="00C618DD">
            <w:pPr>
              <w:rPr>
                <w:color w:val="000000"/>
                <w:szCs w:val="22"/>
                <w:lang w:val="fr-FR"/>
              </w:rPr>
            </w:pPr>
            <w:r w:rsidRPr="0026653F">
              <w:rPr>
                <w:color w:val="000000"/>
                <w:szCs w:val="22"/>
                <w:lang w:val="fr-FR"/>
              </w:rPr>
              <w:t>• Secrétaire exécutif au développement intégré</w:t>
            </w:r>
          </w:p>
        </w:tc>
        <w:tc>
          <w:tcPr>
            <w:tcW w:w="1144" w:type="dxa"/>
            <w:tcBorders>
              <w:top w:val="nil"/>
              <w:left w:val="nil"/>
              <w:bottom w:val="nil"/>
              <w:right w:val="single" w:sz="4" w:space="0" w:color="auto"/>
            </w:tcBorders>
            <w:noWrap/>
            <w:vAlign w:val="bottom"/>
            <w:hideMark/>
          </w:tcPr>
          <w:p w14:paraId="668631E8"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5358CD7"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6738276E" w14:textId="77777777" w:rsidTr="009071BD">
        <w:trPr>
          <w:trHeight w:val="360"/>
          <w:jc w:val="center"/>
        </w:trPr>
        <w:tc>
          <w:tcPr>
            <w:tcW w:w="1339" w:type="dxa"/>
            <w:tcBorders>
              <w:top w:val="nil"/>
              <w:left w:val="single" w:sz="4" w:space="0" w:color="auto"/>
              <w:bottom w:val="nil"/>
              <w:right w:val="nil"/>
            </w:tcBorders>
            <w:noWrap/>
            <w:vAlign w:val="bottom"/>
            <w:hideMark/>
          </w:tcPr>
          <w:p w14:paraId="7BC2AE02" w14:textId="77777777" w:rsidR="009071BD" w:rsidRPr="0026653F" w:rsidRDefault="009071BD" w:rsidP="00C618DD">
            <w:pPr>
              <w:jc w:val="center"/>
              <w:rPr>
                <w:color w:val="000000"/>
                <w:szCs w:val="22"/>
                <w:lang w:val="fr-FR"/>
              </w:rPr>
            </w:pP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769A8673" w14:textId="77777777" w:rsidR="009071BD" w:rsidRPr="0026653F" w:rsidRDefault="009071BD" w:rsidP="00C618DD">
            <w:pPr>
              <w:rPr>
                <w:color w:val="000000"/>
                <w:szCs w:val="22"/>
                <w:lang w:val="fr-FR"/>
              </w:rPr>
            </w:pPr>
            <w:r w:rsidRPr="0026653F">
              <w:rPr>
                <w:color w:val="000000"/>
                <w:szCs w:val="22"/>
                <w:lang w:val="fr-FR"/>
              </w:rPr>
              <w:t>• Secrétaire à l'accès aux droits et à l'équité</w:t>
            </w:r>
          </w:p>
        </w:tc>
        <w:tc>
          <w:tcPr>
            <w:tcW w:w="1144" w:type="dxa"/>
            <w:tcBorders>
              <w:top w:val="nil"/>
              <w:left w:val="nil"/>
              <w:bottom w:val="nil"/>
              <w:right w:val="single" w:sz="4" w:space="0" w:color="auto"/>
            </w:tcBorders>
            <w:noWrap/>
            <w:vAlign w:val="bottom"/>
            <w:hideMark/>
          </w:tcPr>
          <w:p w14:paraId="2124D035"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1C54406C"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4B0369A" w14:textId="77777777" w:rsidTr="009071BD">
        <w:trPr>
          <w:trHeight w:val="314"/>
          <w:jc w:val="center"/>
        </w:trPr>
        <w:tc>
          <w:tcPr>
            <w:tcW w:w="1339" w:type="dxa"/>
            <w:tcBorders>
              <w:top w:val="nil"/>
              <w:left w:val="single" w:sz="4" w:space="0" w:color="auto"/>
              <w:bottom w:val="nil"/>
              <w:right w:val="nil"/>
            </w:tcBorders>
            <w:noWrap/>
            <w:vAlign w:val="bottom"/>
            <w:hideMark/>
          </w:tcPr>
          <w:p w14:paraId="704D89A4" w14:textId="77777777" w:rsidR="009071BD" w:rsidRPr="0026653F" w:rsidRDefault="009071BD" w:rsidP="00C618DD">
            <w:pPr>
              <w:jc w:val="center"/>
              <w:rPr>
                <w:color w:val="000000"/>
                <w:szCs w:val="22"/>
                <w:lang w:val="fr-FR"/>
              </w:rPr>
            </w:pP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69A63AE2" w14:textId="77777777" w:rsidR="009071BD" w:rsidRPr="0026653F" w:rsidRDefault="009071BD" w:rsidP="00C618DD">
            <w:pPr>
              <w:rPr>
                <w:color w:val="000000"/>
                <w:szCs w:val="22"/>
                <w:lang w:val="fr-FR"/>
              </w:rPr>
            </w:pPr>
            <w:r w:rsidRPr="0026653F">
              <w:rPr>
                <w:color w:val="000000"/>
                <w:szCs w:val="22"/>
                <w:lang w:val="fr-FR"/>
              </w:rPr>
              <w:t>• Secrétaire au renforcement de la démocratie</w:t>
            </w:r>
          </w:p>
        </w:tc>
        <w:tc>
          <w:tcPr>
            <w:tcW w:w="1144" w:type="dxa"/>
            <w:tcBorders>
              <w:top w:val="nil"/>
              <w:left w:val="nil"/>
              <w:bottom w:val="nil"/>
              <w:right w:val="single" w:sz="4" w:space="0" w:color="auto"/>
            </w:tcBorders>
            <w:noWrap/>
            <w:vAlign w:val="bottom"/>
            <w:hideMark/>
          </w:tcPr>
          <w:p w14:paraId="292DD5EE"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5E74DF87"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574F30DF" w14:textId="77777777" w:rsidTr="009071BD">
        <w:trPr>
          <w:trHeight w:val="296"/>
          <w:jc w:val="center"/>
        </w:trPr>
        <w:tc>
          <w:tcPr>
            <w:tcW w:w="1339" w:type="dxa"/>
            <w:tcBorders>
              <w:top w:val="nil"/>
              <w:left w:val="single" w:sz="4" w:space="0" w:color="auto"/>
              <w:bottom w:val="nil"/>
              <w:right w:val="nil"/>
            </w:tcBorders>
            <w:noWrap/>
            <w:vAlign w:val="bottom"/>
            <w:hideMark/>
          </w:tcPr>
          <w:p w14:paraId="372B95C0" w14:textId="77777777" w:rsidR="009071BD" w:rsidRPr="0026653F" w:rsidRDefault="009071BD" w:rsidP="00C618DD">
            <w:pPr>
              <w:jc w:val="center"/>
              <w:rPr>
                <w:color w:val="000000"/>
                <w:szCs w:val="22"/>
                <w:lang w:val="fr-FR"/>
              </w:rPr>
            </w:pPr>
            <w:r w:rsidRPr="0026653F">
              <w:rPr>
                <w:noProof/>
                <w:szCs w:val="22"/>
                <w:lang w:val="fr-FR"/>
              </w:rPr>
              <mc:AlternateContent>
                <mc:Choice Requires="wps">
                  <w:drawing>
                    <wp:anchor distT="0" distB="0" distL="114300" distR="114300" simplePos="0" relativeHeight="251658240" behindDoc="0" locked="1" layoutInCell="1" allowOverlap="1" wp14:anchorId="22299459" wp14:editId="302CCE1C">
                      <wp:simplePos x="0" y="0"/>
                      <wp:positionH relativeFrom="column">
                        <wp:posOffset>3904615</wp:posOffset>
                      </wp:positionH>
                      <wp:positionV relativeFrom="page">
                        <wp:posOffset>7431405</wp:posOffset>
                      </wp:positionV>
                      <wp:extent cx="2164715" cy="1460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BFB1"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CP39773S04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99459" id="Text Box 17" o:spid="_x0000_s1029" type="#_x0000_t202" style="position:absolute;left:0;text-align:left;margin-left:307.45pt;margin-top:585.15pt;width:170.4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" filled="f" stroked="f">
                      <v:textbox>
                        <w:txbxContent>
                          <w:p w14:paraId="17A2BFB1"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CP39773S04</w:t>
                            </w:r>
                            <w:r>
                              <w:rPr>
                                <w:sz w:val="18"/>
                              </w:rPr>
                              <w:fldChar w:fldCharType="end"/>
                            </w:r>
                          </w:p>
                        </w:txbxContent>
                      </v:textbox>
                      <w10:wrap anchory="page"/>
                      <w10:anchorlock/>
                    </v:shape>
                  </w:pict>
                </mc:Fallback>
              </mc:AlternateContent>
            </w:r>
            <w:r w:rsidRPr="0026653F">
              <w:rPr>
                <w:noProof/>
                <w:szCs w:val="22"/>
                <w:lang w:val="fr-FR"/>
              </w:rPr>
              <mc:AlternateContent>
                <mc:Choice Requires="wps">
                  <w:drawing>
                    <wp:anchor distT="0" distB="0" distL="114300" distR="114300" simplePos="0" relativeHeight="251659264" behindDoc="0" locked="1" layoutInCell="1" allowOverlap="1" wp14:anchorId="41EBCF5B" wp14:editId="0E7E9EF8">
                      <wp:simplePos x="0" y="0"/>
                      <wp:positionH relativeFrom="column">
                        <wp:posOffset>-91440</wp:posOffset>
                      </wp:positionH>
                      <wp:positionV relativeFrom="page">
                        <wp:posOffset>9144000</wp:posOffset>
                      </wp:positionV>
                      <wp:extent cx="2164715" cy="1460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C632"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BCF5B" id="Text Box 16" o:spid="_x0000_s1030" type="#_x0000_t202" style="position:absolute;left:0;text-align:left;margin-left:-7.2pt;margin-top:10in;width:170.4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" filled="f" stroked="f">
                      <v:textbox>
                        <w:txbxContent>
                          <w:p w14:paraId="054BC632"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CPSC08905E01</w:t>
                            </w:r>
                            <w:r>
                              <w:rPr>
                                <w:sz w:val="18"/>
                              </w:rPr>
                              <w:fldChar w:fldCharType="end"/>
                            </w:r>
                          </w:p>
                        </w:txbxContent>
                      </v:textbox>
                      <w10:wrap anchory="page"/>
                      <w10:anchorlock/>
                    </v:shape>
                  </w:pict>
                </mc:Fallback>
              </mc:AlternateContent>
            </w:r>
            <w:r w:rsidRPr="0026653F">
              <w:rPr>
                <w:noProof/>
                <w:szCs w:val="22"/>
                <w:lang w:val="fr-FR"/>
              </w:rPr>
              <mc:AlternateContent>
                <mc:Choice Requires="wps">
                  <w:drawing>
                    <wp:anchor distT="0" distB="0" distL="114300" distR="114300" simplePos="0" relativeHeight="251660288" behindDoc="0" locked="1" layoutInCell="1" allowOverlap="1" wp14:anchorId="2AA53975" wp14:editId="1F99FB2C">
                      <wp:simplePos x="0" y="0"/>
                      <wp:positionH relativeFrom="column">
                        <wp:posOffset>-91440</wp:posOffset>
                      </wp:positionH>
                      <wp:positionV relativeFrom="page">
                        <wp:posOffset>9144000</wp:posOffset>
                      </wp:positionV>
                      <wp:extent cx="1450340" cy="977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9F4FB"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3975" id="Text Box 12" o:spid="_x0000_s1031" type="#_x0000_t202" style="position:absolute;left:0;text-align:left;margin-left:-7.2pt;margin-top:10in;width:114.2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" filled="f" stroked="f">
                      <v:textbox>
                        <w:txbxContent>
                          <w:p w14:paraId="4619F4FB" w14:textId="77777777" w:rsidR="006564AF" w:rsidRDefault="006564AF" w:rsidP="009071BD">
                            <w:pPr>
                              <w:rPr>
                                <w:sz w:val="18"/>
                              </w:rPr>
                            </w:pPr>
                            <w:r>
                              <w:rPr>
                                <w:sz w:val="18"/>
                              </w:rPr>
                              <w:fldChar w:fldCharType="begin"/>
                            </w:r>
                            <w:r>
                              <w:rPr>
                                <w:sz w:val="18"/>
                              </w:rPr>
                              <w:instrText xml:space="preserve"> FILENAME  \* MERGEFORMAT </w:instrText>
                            </w:r>
                            <w:r>
                              <w:rPr>
                                <w:sz w:val="18"/>
                              </w:rPr>
                              <w:fldChar w:fldCharType="separate"/>
                            </w:r>
                            <w:r>
                              <w:rPr>
                                <w:sz w:val="18"/>
                              </w:rPr>
                              <w:t>AGSC00969E03.doc</w:t>
                            </w:r>
                            <w:r>
                              <w:rPr>
                                <w:sz w:val="18"/>
                              </w:rPr>
                              <w:fldChar w:fldCharType="end"/>
                            </w:r>
                          </w:p>
                        </w:txbxContent>
                      </v:textbox>
                      <w10:wrap anchory="page"/>
                      <w10:anchorlock/>
                    </v:shape>
                  </w:pict>
                </mc:Fallback>
              </mc:AlternateContent>
            </w: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1E1CBE7E" w14:textId="77777777" w:rsidR="009071BD" w:rsidRPr="0026653F" w:rsidRDefault="009071BD" w:rsidP="00C618DD">
            <w:pPr>
              <w:rPr>
                <w:color w:val="000000"/>
                <w:szCs w:val="22"/>
                <w:lang w:val="fr-FR"/>
              </w:rPr>
            </w:pPr>
            <w:r w:rsidRPr="0026653F">
              <w:rPr>
                <w:color w:val="000000"/>
                <w:szCs w:val="22"/>
                <w:lang w:val="fr-FR"/>
              </w:rPr>
              <w:t>• Secrétaire à la sécurité multidimensionnelle</w:t>
            </w:r>
          </w:p>
        </w:tc>
        <w:tc>
          <w:tcPr>
            <w:tcW w:w="1144" w:type="dxa"/>
            <w:tcBorders>
              <w:top w:val="nil"/>
              <w:left w:val="nil"/>
              <w:bottom w:val="nil"/>
              <w:right w:val="single" w:sz="4" w:space="0" w:color="auto"/>
            </w:tcBorders>
            <w:noWrap/>
            <w:vAlign w:val="bottom"/>
            <w:hideMark/>
          </w:tcPr>
          <w:p w14:paraId="4FC4B626"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488CA97E"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33F5290D" w14:textId="77777777" w:rsidTr="009071BD">
        <w:trPr>
          <w:trHeight w:val="300"/>
          <w:jc w:val="center"/>
        </w:trPr>
        <w:tc>
          <w:tcPr>
            <w:tcW w:w="1339" w:type="dxa"/>
            <w:tcBorders>
              <w:top w:val="nil"/>
              <w:left w:val="single" w:sz="4" w:space="0" w:color="auto"/>
              <w:bottom w:val="nil"/>
              <w:right w:val="nil"/>
            </w:tcBorders>
            <w:noWrap/>
            <w:vAlign w:val="bottom"/>
            <w:hideMark/>
          </w:tcPr>
          <w:p w14:paraId="1412BCA5" w14:textId="77777777" w:rsidR="009071BD" w:rsidRPr="0026653F" w:rsidRDefault="009071BD" w:rsidP="00C618DD">
            <w:pPr>
              <w:jc w:val="center"/>
              <w:rPr>
                <w:color w:val="000000"/>
                <w:szCs w:val="22"/>
                <w:lang w:val="fr-FR"/>
              </w:rPr>
            </w:pP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2DDBD36B" w14:textId="77777777" w:rsidR="009071BD" w:rsidRPr="0026653F" w:rsidRDefault="009071BD" w:rsidP="00C618DD">
            <w:pPr>
              <w:rPr>
                <w:color w:val="000000"/>
                <w:szCs w:val="22"/>
                <w:lang w:val="fr-FR"/>
              </w:rPr>
            </w:pPr>
            <w:r w:rsidRPr="0026653F">
              <w:rPr>
                <w:color w:val="000000"/>
                <w:szCs w:val="22"/>
                <w:lang w:val="fr-FR"/>
              </w:rPr>
              <w:t>• Secrétaire aux questions continentales</w:t>
            </w:r>
          </w:p>
        </w:tc>
        <w:tc>
          <w:tcPr>
            <w:tcW w:w="1144" w:type="dxa"/>
            <w:tcBorders>
              <w:top w:val="nil"/>
              <w:left w:val="nil"/>
              <w:bottom w:val="nil"/>
              <w:right w:val="single" w:sz="4" w:space="0" w:color="auto"/>
            </w:tcBorders>
            <w:noWrap/>
            <w:vAlign w:val="bottom"/>
            <w:hideMark/>
          </w:tcPr>
          <w:p w14:paraId="654A82AA"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7683A8F1"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216C12EE" w14:textId="77777777" w:rsidTr="009071BD">
        <w:trPr>
          <w:trHeight w:val="300"/>
          <w:jc w:val="center"/>
        </w:trPr>
        <w:tc>
          <w:tcPr>
            <w:tcW w:w="1339" w:type="dxa"/>
            <w:tcBorders>
              <w:top w:val="nil"/>
              <w:left w:val="single" w:sz="4" w:space="0" w:color="auto"/>
              <w:bottom w:val="nil"/>
              <w:right w:val="nil"/>
            </w:tcBorders>
            <w:noWrap/>
            <w:vAlign w:val="bottom"/>
            <w:hideMark/>
          </w:tcPr>
          <w:p w14:paraId="5F34A92B" w14:textId="77777777" w:rsidR="009071BD" w:rsidRPr="0026653F" w:rsidRDefault="009071BD" w:rsidP="00C618DD">
            <w:pPr>
              <w:jc w:val="center"/>
              <w:rPr>
                <w:color w:val="000000"/>
                <w:szCs w:val="22"/>
                <w:lang w:val="fr-FR"/>
              </w:rPr>
            </w:pPr>
            <w:r w:rsidRPr="0026653F">
              <w:rPr>
                <w:color w:val="000000"/>
                <w:szCs w:val="22"/>
                <w:lang w:val="fr-FR"/>
              </w:rPr>
              <w:t> </w:t>
            </w:r>
          </w:p>
        </w:tc>
        <w:tc>
          <w:tcPr>
            <w:tcW w:w="5287" w:type="dxa"/>
            <w:tcBorders>
              <w:top w:val="nil"/>
              <w:left w:val="single" w:sz="4" w:space="0" w:color="auto"/>
              <w:bottom w:val="nil"/>
              <w:right w:val="single" w:sz="4" w:space="0" w:color="auto"/>
            </w:tcBorders>
            <w:vAlign w:val="center"/>
            <w:hideMark/>
          </w:tcPr>
          <w:p w14:paraId="024AC179" w14:textId="77777777" w:rsidR="009071BD" w:rsidRPr="0026653F" w:rsidRDefault="009071BD" w:rsidP="00C618DD">
            <w:pPr>
              <w:rPr>
                <w:color w:val="000000"/>
                <w:szCs w:val="22"/>
                <w:lang w:val="fr-FR"/>
              </w:rPr>
            </w:pPr>
            <w:r w:rsidRPr="0026653F">
              <w:rPr>
                <w:color w:val="000000"/>
                <w:szCs w:val="22"/>
                <w:lang w:val="fr-FR"/>
              </w:rPr>
              <w:t>• Secrétaire aux questions juridiques</w:t>
            </w:r>
          </w:p>
        </w:tc>
        <w:tc>
          <w:tcPr>
            <w:tcW w:w="1144" w:type="dxa"/>
            <w:tcBorders>
              <w:top w:val="nil"/>
              <w:left w:val="nil"/>
              <w:bottom w:val="nil"/>
              <w:right w:val="single" w:sz="4" w:space="0" w:color="auto"/>
            </w:tcBorders>
            <w:noWrap/>
            <w:vAlign w:val="bottom"/>
            <w:hideMark/>
          </w:tcPr>
          <w:p w14:paraId="08ECF330" w14:textId="77777777" w:rsidR="009071BD" w:rsidRPr="0026653F" w:rsidRDefault="009071BD" w:rsidP="00C618DD">
            <w:pPr>
              <w:jc w:val="center"/>
              <w:rPr>
                <w:color w:val="000000"/>
                <w:szCs w:val="22"/>
                <w:lang w:val="fr-FR"/>
              </w:rPr>
            </w:pPr>
            <w:r w:rsidRPr="0026653F">
              <w:rPr>
                <w:color w:val="000000"/>
                <w:szCs w:val="22"/>
                <w:lang w:val="fr-FR"/>
              </w:rPr>
              <w:t> </w:t>
            </w:r>
          </w:p>
        </w:tc>
        <w:tc>
          <w:tcPr>
            <w:tcW w:w="2157" w:type="dxa"/>
            <w:tcBorders>
              <w:top w:val="single" w:sz="4" w:space="0" w:color="auto"/>
              <w:left w:val="nil"/>
              <w:bottom w:val="single" w:sz="4" w:space="0" w:color="auto"/>
              <w:right w:val="single" w:sz="4" w:space="0" w:color="auto"/>
            </w:tcBorders>
            <w:hideMark/>
          </w:tcPr>
          <w:p w14:paraId="053A1CB6"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1B4C10AF" w14:textId="77777777" w:rsidTr="00517D72">
        <w:trPr>
          <w:trHeight w:val="287"/>
          <w:jc w:val="center"/>
        </w:trPr>
        <w:tc>
          <w:tcPr>
            <w:tcW w:w="1339" w:type="dxa"/>
            <w:tcBorders>
              <w:top w:val="nil"/>
              <w:left w:val="single" w:sz="4" w:space="0" w:color="auto"/>
              <w:bottom w:val="single" w:sz="4" w:space="0" w:color="auto"/>
              <w:right w:val="nil"/>
            </w:tcBorders>
            <w:noWrap/>
            <w:vAlign w:val="bottom"/>
            <w:hideMark/>
          </w:tcPr>
          <w:p w14:paraId="4A1EEE1C" w14:textId="77777777" w:rsidR="009071BD" w:rsidRPr="0026653F" w:rsidRDefault="009071BD" w:rsidP="00C618DD">
            <w:pPr>
              <w:spacing w:after="200"/>
              <w:jc w:val="left"/>
              <w:rPr>
                <w:color w:val="000000"/>
                <w:szCs w:val="22"/>
                <w:lang w:val="fr-FR"/>
              </w:rPr>
            </w:pPr>
          </w:p>
        </w:tc>
        <w:tc>
          <w:tcPr>
            <w:tcW w:w="5287" w:type="dxa"/>
            <w:tcBorders>
              <w:top w:val="nil"/>
              <w:left w:val="single" w:sz="4" w:space="0" w:color="auto"/>
              <w:bottom w:val="single" w:sz="4" w:space="0" w:color="auto"/>
              <w:right w:val="single" w:sz="4" w:space="0" w:color="auto"/>
            </w:tcBorders>
            <w:vAlign w:val="center"/>
            <w:hideMark/>
          </w:tcPr>
          <w:p w14:paraId="1FA17D38" w14:textId="77777777" w:rsidR="009071BD" w:rsidRPr="0026653F" w:rsidRDefault="009071BD" w:rsidP="00C618DD">
            <w:pPr>
              <w:rPr>
                <w:color w:val="000000"/>
                <w:szCs w:val="22"/>
                <w:lang w:val="fr-FR"/>
              </w:rPr>
            </w:pPr>
            <w:r w:rsidRPr="0026653F">
              <w:rPr>
                <w:color w:val="000000"/>
                <w:szCs w:val="22"/>
                <w:lang w:val="fr-FR"/>
              </w:rPr>
              <w:t>• Secrétaire aux questions administratives et financières</w:t>
            </w:r>
          </w:p>
        </w:tc>
        <w:tc>
          <w:tcPr>
            <w:tcW w:w="1144" w:type="dxa"/>
            <w:tcBorders>
              <w:top w:val="nil"/>
              <w:left w:val="nil"/>
              <w:bottom w:val="single" w:sz="4" w:space="0" w:color="auto"/>
              <w:right w:val="single" w:sz="4" w:space="0" w:color="auto"/>
            </w:tcBorders>
            <w:noWrap/>
            <w:vAlign w:val="bottom"/>
            <w:hideMark/>
          </w:tcPr>
          <w:p w14:paraId="114D870B" w14:textId="77777777" w:rsidR="009071BD" w:rsidRPr="0026653F" w:rsidRDefault="009071BD" w:rsidP="00517D72">
            <w:pPr>
              <w:jc w:val="center"/>
              <w:rPr>
                <w:color w:val="000000"/>
                <w:szCs w:val="22"/>
                <w:lang w:val="fr-FR"/>
              </w:rPr>
            </w:pPr>
          </w:p>
        </w:tc>
        <w:tc>
          <w:tcPr>
            <w:tcW w:w="2157" w:type="dxa"/>
            <w:tcBorders>
              <w:top w:val="single" w:sz="4" w:space="0" w:color="auto"/>
              <w:left w:val="nil"/>
              <w:bottom w:val="single" w:sz="4" w:space="0" w:color="auto"/>
              <w:right w:val="single" w:sz="4" w:space="0" w:color="auto"/>
            </w:tcBorders>
            <w:vAlign w:val="center"/>
            <w:hideMark/>
          </w:tcPr>
          <w:p w14:paraId="66425F3A"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11219D41" w14:textId="77777777" w:rsidTr="009071BD">
        <w:trPr>
          <w:trHeight w:val="300"/>
          <w:jc w:val="center"/>
        </w:trPr>
        <w:tc>
          <w:tcPr>
            <w:tcW w:w="1339" w:type="dxa"/>
            <w:tcBorders>
              <w:top w:val="nil"/>
              <w:left w:val="single" w:sz="4" w:space="0" w:color="auto"/>
              <w:bottom w:val="nil"/>
              <w:right w:val="nil"/>
            </w:tcBorders>
            <w:noWrap/>
            <w:vAlign w:val="bottom"/>
            <w:hideMark/>
          </w:tcPr>
          <w:p w14:paraId="5028D088" w14:textId="77777777" w:rsidR="009071BD" w:rsidRPr="0026653F" w:rsidRDefault="009071BD" w:rsidP="00C618DD">
            <w:pPr>
              <w:jc w:val="center"/>
              <w:rPr>
                <w:color w:val="000000"/>
                <w:szCs w:val="22"/>
                <w:lang w:val="fr-FR"/>
              </w:rPr>
            </w:pPr>
            <w:r w:rsidRPr="0026653F">
              <w:rPr>
                <w:color w:val="000000"/>
                <w:szCs w:val="22"/>
                <w:lang w:val="fr-FR"/>
              </w:rPr>
              <w:t>2</w:t>
            </w:r>
          </w:p>
        </w:tc>
        <w:tc>
          <w:tcPr>
            <w:tcW w:w="5287" w:type="dxa"/>
            <w:tcBorders>
              <w:top w:val="nil"/>
              <w:left w:val="single" w:sz="4" w:space="0" w:color="auto"/>
              <w:bottom w:val="nil"/>
              <w:right w:val="single" w:sz="4" w:space="0" w:color="auto"/>
            </w:tcBorders>
            <w:noWrap/>
            <w:vAlign w:val="bottom"/>
            <w:hideMark/>
          </w:tcPr>
          <w:p w14:paraId="48D4CBC5" w14:textId="77777777" w:rsidR="009071BD" w:rsidRPr="0026653F" w:rsidRDefault="009071BD" w:rsidP="00C618DD">
            <w:pPr>
              <w:jc w:val="left"/>
              <w:rPr>
                <w:color w:val="000000"/>
                <w:szCs w:val="22"/>
                <w:lang w:val="fr-FR"/>
              </w:rPr>
            </w:pPr>
            <w:r w:rsidRPr="0026653F">
              <w:rPr>
                <w:color w:val="000000"/>
                <w:szCs w:val="22"/>
                <w:lang w:val="fr-FR"/>
              </w:rPr>
              <w:t>Conseillers du Secrétaire général</w:t>
            </w:r>
          </w:p>
        </w:tc>
        <w:tc>
          <w:tcPr>
            <w:tcW w:w="1144" w:type="dxa"/>
            <w:tcBorders>
              <w:top w:val="nil"/>
              <w:left w:val="nil"/>
              <w:bottom w:val="nil"/>
              <w:right w:val="single" w:sz="4" w:space="0" w:color="auto"/>
            </w:tcBorders>
            <w:noWrap/>
            <w:vAlign w:val="bottom"/>
            <w:hideMark/>
          </w:tcPr>
          <w:p w14:paraId="269A20A8" w14:textId="77777777" w:rsidR="009071BD" w:rsidRPr="0026653F" w:rsidRDefault="009071BD" w:rsidP="00C618DD">
            <w:pPr>
              <w:jc w:val="center"/>
              <w:rPr>
                <w:color w:val="000000"/>
                <w:szCs w:val="22"/>
                <w:lang w:val="fr-FR"/>
              </w:rPr>
            </w:pPr>
            <w:r w:rsidRPr="0026653F">
              <w:rPr>
                <w:color w:val="000000"/>
                <w:szCs w:val="22"/>
                <w:lang w:val="fr-FR"/>
              </w:rPr>
              <w:t>D01</w:t>
            </w:r>
          </w:p>
        </w:tc>
        <w:tc>
          <w:tcPr>
            <w:tcW w:w="2157" w:type="dxa"/>
            <w:tcBorders>
              <w:top w:val="single" w:sz="4" w:space="0" w:color="auto"/>
              <w:left w:val="nil"/>
              <w:bottom w:val="single" w:sz="4" w:space="0" w:color="auto"/>
              <w:right w:val="single" w:sz="4" w:space="0" w:color="auto"/>
            </w:tcBorders>
            <w:hideMark/>
          </w:tcPr>
          <w:p w14:paraId="01E38994"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305135E1" w14:textId="77777777" w:rsidTr="009071BD">
        <w:trPr>
          <w:trHeight w:val="300"/>
          <w:jc w:val="center"/>
        </w:trPr>
        <w:tc>
          <w:tcPr>
            <w:tcW w:w="1339" w:type="dxa"/>
            <w:tcBorders>
              <w:top w:val="nil"/>
              <w:left w:val="single" w:sz="4" w:space="0" w:color="auto"/>
              <w:bottom w:val="single" w:sz="4" w:space="0" w:color="auto"/>
              <w:right w:val="nil"/>
            </w:tcBorders>
            <w:noWrap/>
            <w:vAlign w:val="bottom"/>
            <w:hideMark/>
          </w:tcPr>
          <w:p w14:paraId="519A79B7" w14:textId="34DAA207" w:rsidR="009071BD" w:rsidRPr="0026653F" w:rsidRDefault="009071BD" w:rsidP="00C618DD">
            <w:pPr>
              <w:jc w:val="center"/>
              <w:rPr>
                <w:color w:val="000000"/>
                <w:szCs w:val="22"/>
                <w:lang w:val="fr-FR"/>
              </w:rPr>
            </w:pPr>
          </w:p>
        </w:tc>
        <w:tc>
          <w:tcPr>
            <w:tcW w:w="5287" w:type="dxa"/>
            <w:tcBorders>
              <w:top w:val="nil"/>
              <w:left w:val="single" w:sz="4" w:space="0" w:color="auto"/>
              <w:bottom w:val="single" w:sz="4" w:space="0" w:color="auto"/>
              <w:right w:val="single" w:sz="4" w:space="0" w:color="auto"/>
            </w:tcBorders>
            <w:noWrap/>
            <w:vAlign w:val="bottom"/>
            <w:hideMark/>
          </w:tcPr>
          <w:p w14:paraId="2E3C4DAE" w14:textId="7A4E9C99" w:rsidR="009071BD" w:rsidRPr="0026653F" w:rsidRDefault="009071BD" w:rsidP="00C618DD">
            <w:pPr>
              <w:jc w:val="left"/>
              <w:rPr>
                <w:color w:val="000000"/>
                <w:szCs w:val="22"/>
                <w:lang w:val="fr-FR"/>
              </w:rPr>
            </w:pPr>
          </w:p>
        </w:tc>
        <w:tc>
          <w:tcPr>
            <w:tcW w:w="1144" w:type="dxa"/>
            <w:tcBorders>
              <w:top w:val="nil"/>
              <w:left w:val="nil"/>
              <w:bottom w:val="single" w:sz="4" w:space="0" w:color="auto"/>
              <w:right w:val="single" w:sz="4" w:space="0" w:color="auto"/>
            </w:tcBorders>
            <w:noWrap/>
            <w:vAlign w:val="bottom"/>
            <w:hideMark/>
          </w:tcPr>
          <w:p w14:paraId="5A7CCAC6"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single" w:sz="4" w:space="0" w:color="auto"/>
              <w:left w:val="nil"/>
              <w:bottom w:val="single" w:sz="4" w:space="0" w:color="auto"/>
              <w:right w:val="single" w:sz="4" w:space="0" w:color="auto"/>
            </w:tcBorders>
            <w:hideMark/>
          </w:tcPr>
          <w:p w14:paraId="007C0179"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23C87B89" w14:textId="77777777" w:rsidTr="009071BD">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368CD80D"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54492B7F" w14:textId="77777777" w:rsidR="009071BD" w:rsidRPr="0026653F" w:rsidRDefault="009071BD" w:rsidP="00C618DD">
            <w:pPr>
              <w:jc w:val="left"/>
              <w:rPr>
                <w:color w:val="000000"/>
                <w:szCs w:val="22"/>
                <w:lang w:val="fr-FR"/>
              </w:rPr>
            </w:pPr>
            <w:r w:rsidRPr="0026653F">
              <w:rPr>
                <w:color w:val="000000"/>
                <w:szCs w:val="22"/>
                <w:lang w:val="fr-FR"/>
              </w:rPr>
              <w:t>Conseiller du Secrétaire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16169549" w14:textId="77777777" w:rsidR="009071BD" w:rsidRPr="0026653F" w:rsidRDefault="009071BD" w:rsidP="00C618DD">
            <w:pPr>
              <w:jc w:val="center"/>
              <w:rPr>
                <w:color w:val="000000"/>
                <w:szCs w:val="22"/>
                <w:lang w:val="fr-FR"/>
              </w:rPr>
            </w:pPr>
            <w:r w:rsidRPr="0026653F">
              <w:rPr>
                <w:color w:val="000000"/>
                <w:szCs w:val="22"/>
                <w:lang w:val="fr-FR"/>
              </w:rPr>
              <w:t xml:space="preserve">P04 </w:t>
            </w:r>
          </w:p>
        </w:tc>
        <w:tc>
          <w:tcPr>
            <w:tcW w:w="2157" w:type="dxa"/>
            <w:tcBorders>
              <w:top w:val="single" w:sz="4" w:space="0" w:color="auto"/>
              <w:left w:val="nil"/>
              <w:bottom w:val="single" w:sz="4" w:space="0" w:color="auto"/>
              <w:right w:val="single" w:sz="4" w:space="0" w:color="auto"/>
            </w:tcBorders>
            <w:hideMark/>
          </w:tcPr>
          <w:p w14:paraId="7B69C571"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182DF614" w14:textId="77777777" w:rsidTr="009071BD">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5D37F76E"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single" w:sz="4" w:space="0" w:color="auto"/>
              <w:left w:val="nil"/>
              <w:bottom w:val="single" w:sz="4" w:space="0" w:color="auto"/>
              <w:right w:val="single" w:sz="4" w:space="0" w:color="auto"/>
            </w:tcBorders>
            <w:noWrap/>
            <w:vAlign w:val="bottom"/>
            <w:hideMark/>
          </w:tcPr>
          <w:p w14:paraId="471C2DCC" w14:textId="77777777" w:rsidR="009071BD" w:rsidRPr="0026653F" w:rsidRDefault="009071BD" w:rsidP="00C618DD">
            <w:pPr>
              <w:jc w:val="left"/>
              <w:rPr>
                <w:color w:val="000000"/>
                <w:szCs w:val="22"/>
                <w:lang w:val="fr-FR"/>
              </w:rPr>
            </w:pPr>
            <w:r w:rsidRPr="0026653F">
              <w:rPr>
                <w:color w:val="000000"/>
                <w:szCs w:val="22"/>
                <w:lang w:val="fr-FR"/>
              </w:rPr>
              <w:t>Secrétaire de direction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1F15C819" w14:textId="77777777" w:rsidR="009071BD" w:rsidRPr="0026653F" w:rsidRDefault="009071BD" w:rsidP="00C618DD">
            <w:pPr>
              <w:jc w:val="center"/>
              <w:rPr>
                <w:color w:val="000000"/>
                <w:szCs w:val="22"/>
                <w:lang w:val="fr-FR"/>
              </w:rPr>
            </w:pPr>
            <w:r w:rsidRPr="0026653F">
              <w:rPr>
                <w:color w:val="000000"/>
                <w:szCs w:val="22"/>
                <w:lang w:val="fr-FR"/>
              </w:rPr>
              <w:t>G07</w:t>
            </w:r>
          </w:p>
        </w:tc>
        <w:tc>
          <w:tcPr>
            <w:tcW w:w="2157" w:type="dxa"/>
            <w:tcBorders>
              <w:top w:val="single" w:sz="4" w:space="0" w:color="auto"/>
              <w:left w:val="nil"/>
              <w:bottom w:val="single" w:sz="4" w:space="0" w:color="auto"/>
              <w:right w:val="single" w:sz="4" w:space="0" w:color="auto"/>
            </w:tcBorders>
            <w:hideMark/>
          </w:tcPr>
          <w:p w14:paraId="21AA2A85"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5392B11C"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64614DD"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399B3395" w14:textId="77777777" w:rsidR="009071BD" w:rsidRPr="0026653F" w:rsidRDefault="009071BD" w:rsidP="00C618DD">
            <w:pPr>
              <w:jc w:val="left"/>
              <w:rPr>
                <w:color w:val="000000"/>
                <w:szCs w:val="22"/>
                <w:lang w:val="fr-FR"/>
              </w:rPr>
            </w:pPr>
            <w:r w:rsidRPr="0026653F">
              <w:rPr>
                <w:color w:val="000000"/>
                <w:szCs w:val="22"/>
                <w:lang w:val="fr-FR"/>
              </w:rPr>
              <w:t>Conseiller subalterne du Secrétaire général adjoint</w:t>
            </w:r>
          </w:p>
        </w:tc>
        <w:tc>
          <w:tcPr>
            <w:tcW w:w="1144" w:type="dxa"/>
            <w:tcBorders>
              <w:top w:val="nil"/>
              <w:left w:val="nil"/>
              <w:bottom w:val="single" w:sz="4" w:space="0" w:color="auto"/>
              <w:right w:val="single" w:sz="4" w:space="0" w:color="auto"/>
            </w:tcBorders>
            <w:noWrap/>
            <w:vAlign w:val="bottom"/>
            <w:hideMark/>
          </w:tcPr>
          <w:p w14:paraId="1216B80B" w14:textId="77777777" w:rsidR="009071BD" w:rsidRPr="0026653F" w:rsidRDefault="009071BD" w:rsidP="00C618DD">
            <w:pPr>
              <w:jc w:val="center"/>
              <w:rPr>
                <w:color w:val="000000"/>
                <w:szCs w:val="22"/>
                <w:lang w:val="fr-FR"/>
              </w:rPr>
            </w:pPr>
            <w:r w:rsidRPr="0026653F">
              <w:rPr>
                <w:color w:val="000000"/>
                <w:szCs w:val="22"/>
                <w:lang w:val="fr-FR"/>
              </w:rPr>
              <w:t>P02</w:t>
            </w:r>
          </w:p>
        </w:tc>
        <w:tc>
          <w:tcPr>
            <w:tcW w:w="2157" w:type="dxa"/>
            <w:tcBorders>
              <w:top w:val="nil"/>
              <w:left w:val="nil"/>
              <w:bottom w:val="single" w:sz="4" w:space="0" w:color="auto"/>
              <w:right w:val="single" w:sz="4" w:space="0" w:color="auto"/>
            </w:tcBorders>
            <w:hideMark/>
          </w:tcPr>
          <w:p w14:paraId="0C9F3A77"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112B1F78"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DA15CC2"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270534B" w14:textId="77777777" w:rsidR="009071BD" w:rsidRPr="0026653F" w:rsidRDefault="009071BD" w:rsidP="00C618DD">
            <w:pPr>
              <w:jc w:val="left"/>
              <w:rPr>
                <w:color w:val="000000"/>
                <w:szCs w:val="22"/>
                <w:lang w:val="fr-FR"/>
              </w:rPr>
            </w:pPr>
            <w:r w:rsidRPr="0026653F">
              <w:rPr>
                <w:color w:val="000000"/>
                <w:szCs w:val="22"/>
                <w:lang w:val="fr-FR"/>
              </w:rPr>
              <w:t>Bureau du Protocole</w:t>
            </w:r>
          </w:p>
        </w:tc>
        <w:tc>
          <w:tcPr>
            <w:tcW w:w="1144" w:type="dxa"/>
            <w:tcBorders>
              <w:top w:val="nil"/>
              <w:left w:val="nil"/>
              <w:bottom w:val="single" w:sz="4" w:space="0" w:color="auto"/>
              <w:right w:val="single" w:sz="4" w:space="0" w:color="auto"/>
            </w:tcBorders>
            <w:noWrap/>
            <w:vAlign w:val="bottom"/>
            <w:hideMark/>
          </w:tcPr>
          <w:p w14:paraId="5A3855C3"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nil"/>
              <w:left w:val="nil"/>
              <w:bottom w:val="single" w:sz="4" w:space="0" w:color="auto"/>
              <w:right w:val="single" w:sz="4" w:space="0" w:color="auto"/>
            </w:tcBorders>
            <w:hideMark/>
          </w:tcPr>
          <w:p w14:paraId="3E3EFADF"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F2722F0"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E630BFF"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78D00176" w14:textId="531E0209" w:rsidR="009071BD" w:rsidRPr="0026653F" w:rsidRDefault="009071BD" w:rsidP="00C618DD">
            <w:pPr>
              <w:jc w:val="left"/>
              <w:rPr>
                <w:color w:val="000000"/>
                <w:szCs w:val="22"/>
                <w:lang w:val="fr-FR"/>
              </w:rPr>
            </w:pPr>
            <w:r w:rsidRPr="0026653F">
              <w:rPr>
                <w:color w:val="000000"/>
                <w:szCs w:val="22"/>
                <w:lang w:val="fr-FR"/>
              </w:rPr>
              <w:t>Directeur de la CICAD</w:t>
            </w:r>
            <w:r w:rsidR="00D469AE" w:rsidRPr="00D469AE">
              <w:rPr>
                <w:rStyle w:val="FootnoteReference"/>
                <w:szCs w:val="22"/>
                <w:u w:val="single"/>
                <w:vertAlign w:val="superscript"/>
                <w:lang w:val="fr-FR"/>
              </w:rPr>
              <w:footnoteReference w:id="55"/>
            </w:r>
            <w:r w:rsidRPr="0026653F">
              <w:rPr>
                <w:color w:val="000000"/>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5ED5052D"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nil"/>
              <w:left w:val="nil"/>
              <w:bottom w:val="single" w:sz="4" w:space="0" w:color="auto"/>
              <w:right w:val="single" w:sz="4" w:space="0" w:color="auto"/>
            </w:tcBorders>
            <w:hideMark/>
          </w:tcPr>
          <w:p w14:paraId="2D346C2F"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C96541C"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B741F30"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20DD51A7" w14:textId="7F33AEE7" w:rsidR="009071BD" w:rsidRPr="0026653F" w:rsidRDefault="009071BD" w:rsidP="00C618DD">
            <w:pPr>
              <w:jc w:val="left"/>
              <w:rPr>
                <w:color w:val="000000"/>
                <w:szCs w:val="22"/>
                <w:lang w:val="fr-FR"/>
              </w:rPr>
            </w:pPr>
            <w:r w:rsidRPr="0026653F">
              <w:rPr>
                <w:color w:val="000000"/>
                <w:szCs w:val="22"/>
                <w:lang w:val="fr-FR"/>
              </w:rPr>
              <w:t>Directeur du CICTE</w:t>
            </w:r>
            <w:r w:rsidR="00D469AE" w:rsidRPr="00D469AE">
              <w:rPr>
                <w:rStyle w:val="FootnoteReference"/>
                <w:szCs w:val="22"/>
                <w:u w:val="single"/>
                <w:vertAlign w:val="superscript"/>
                <w:lang w:val="fr-FR"/>
              </w:rPr>
              <w:footnoteReference w:id="56"/>
            </w:r>
            <w:r w:rsidRPr="0026653F">
              <w:rPr>
                <w:color w:val="000000"/>
                <w:szCs w:val="22"/>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659225A5"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nil"/>
              <w:left w:val="nil"/>
              <w:bottom w:val="single" w:sz="4" w:space="0" w:color="auto"/>
              <w:right w:val="single" w:sz="4" w:space="0" w:color="auto"/>
            </w:tcBorders>
            <w:hideMark/>
          </w:tcPr>
          <w:p w14:paraId="32BB0AB3"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F97A6BD" w14:textId="77777777" w:rsidTr="009071BD">
        <w:trPr>
          <w:trHeight w:val="300"/>
          <w:jc w:val="center"/>
        </w:trPr>
        <w:tc>
          <w:tcPr>
            <w:tcW w:w="1339" w:type="dxa"/>
            <w:tcBorders>
              <w:top w:val="nil"/>
              <w:left w:val="nil"/>
              <w:bottom w:val="single" w:sz="4" w:space="0" w:color="auto"/>
              <w:right w:val="nil"/>
            </w:tcBorders>
            <w:noWrap/>
            <w:vAlign w:val="bottom"/>
          </w:tcPr>
          <w:p w14:paraId="3E25A345" w14:textId="77777777" w:rsidR="009071BD" w:rsidRPr="0026653F" w:rsidRDefault="009071BD" w:rsidP="00C618DD">
            <w:pPr>
              <w:jc w:val="center"/>
              <w:rPr>
                <w:color w:val="000000"/>
                <w:szCs w:val="22"/>
                <w:lang w:val="fr-FR" w:eastAsia="es-ES"/>
              </w:rPr>
            </w:pPr>
          </w:p>
          <w:p w14:paraId="44F55386" w14:textId="77777777" w:rsidR="009071BD" w:rsidRPr="0026653F" w:rsidRDefault="009071BD" w:rsidP="00C618DD">
            <w:pPr>
              <w:jc w:val="center"/>
              <w:rPr>
                <w:color w:val="000000"/>
                <w:szCs w:val="22"/>
                <w:lang w:val="fr-FR" w:eastAsia="es-ES"/>
              </w:rPr>
            </w:pPr>
          </w:p>
        </w:tc>
        <w:tc>
          <w:tcPr>
            <w:tcW w:w="5287" w:type="dxa"/>
            <w:tcBorders>
              <w:top w:val="nil"/>
              <w:left w:val="nil"/>
              <w:bottom w:val="single" w:sz="4" w:space="0" w:color="auto"/>
              <w:right w:val="nil"/>
            </w:tcBorders>
            <w:noWrap/>
            <w:vAlign w:val="bottom"/>
            <w:hideMark/>
          </w:tcPr>
          <w:p w14:paraId="12922422" w14:textId="77777777" w:rsidR="009071BD" w:rsidRPr="0026653F" w:rsidRDefault="009071BD" w:rsidP="00C618DD">
            <w:pPr>
              <w:jc w:val="left"/>
              <w:rPr>
                <w:color w:val="000000"/>
                <w:szCs w:val="22"/>
                <w:lang w:val="fr-FR"/>
              </w:rPr>
            </w:pPr>
            <w:r w:rsidRPr="0026653F">
              <w:rPr>
                <w:color w:val="000000"/>
                <w:szCs w:val="22"/>
                <w:lang w:val="fr-FR"/>
              </w:rPr>
              <w:t>POSTES DE CONFIANCE SUPPLÉMENTAIRES</w:t>
            </w:r>
          </w:p>
        </w:tc>
        <w:tc>
          <w:tcPr>
            <w:tcW w:w="1144" w:type="dxa"/>
            <w:tcBorders>
              <w:top w:val="nil"/>
              <w:left w:val="nil"/>
              <w:bottom w:val="single" w:sz="4" w:space="0" w:color="auto"/>
              <w:right w:val="nil"/>
            </w:tcBorders>
            <w:noWrap/>
            <w:vAlign w:val="bottom"/>
            <w:hideMark/>
          </w:tcPr>
          <w:p w14:paraId="0B80E7C6" w14:textId="77777777" w:rsidR="009071BD" w:rsidRPr="0026653F" w:rsidRDefault="009071BD" w:rsidP="00C618DD">
            <w:pPr>
              <w:spacing w:after="200"/>
              <w:jc w:val="left"/>
              <w:rPr>
                <w:color w:val="000000"/>
                <w:szCs w:val="22"/>
                <w:lang w:val="fr-FR"/>
              </w:rPr>
            </w:pPr>
          </w:p>
        </w:tc>
        <w:tc>
          <w:tcPr>
            <w:tcW w:w="2157" w:type="dxa"/>
            <w:tcBorders>
              <w:top w:val="nil"/>
              <w:left w:val="nil"/>
              <w:bottom w:val="single" w:sz="4" w:space="0" w:color="auto"/>
              <w:right w:val="nil"/>
            </w:tcBorders>
          </w:tcPr>
          <w:p w14:paraId="6B484BFA" w14:textId="77777777" w:rsidR="009071BD" w:rsidRPr="0026653F" w:rsidRDefault="009071BD" w:rsidP="00C618DD">
            <w:pPr>
              <w:jc w:val="center"/>
              <w:rPr>
                <w:color w:val="000000"/>
                <w:szCs w:val="22"/>
                <w:lang w:val="fr-FR" w:eastAsia="es-ES"/>
              </w:rPr>
            </w:pPr>
          </w:p>
        </w:tc>
      </w:tr>
      <w:tr w:rsidR="009071BD" w:rsidRPr="0026653F" w14:paraId="09B36705"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07E47050"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61B563C2" w14:textId="77777777" w:rsidR="009071BD" w:rsidRPr="0026653F" w:rsidRDefault="009071BD" w:rsidP="00C618DD">
            <w:pPr>
              <w:jc w:val="left"/>
              <w:rPr>
                <w:color w:val="000000"/>
                <w:szCs w:val="22"/>
                <w:lang w:val="fr-FR"/>
              </w:rPr>
            </w:pPr>
            <w:r w:rsidRPr="0026653F">
              <w:rPr>
                <w:color w:val="000000"/>
                <w:szCs w:val="22"/>
                <w:lang w:val="fr-FR"/>
              </w:rPr>
              <w:t>Conseiller du Secrétaire général</w:t>
            </w:r>
          </w:p>
        </w:tc>
        <w:tc>
          <w:tcPr>
            <w:tcW w:w="1144" w:type="dxa"/>
            <w:tcBorders>
              <w:top w:val="nil"/>
              <w:left w:val="nil"/>
              <w:bottom w:val="single" w:sz="4" w:space="0" w:color="auto"/>
              <w:right w:val="single" w:sz="4" w:space="0" w:color="auto"/>
            </w:tcBorders>
            <w:noWrap/>
            <w:vAlign w:val="bottom"/>
            <w:hideMark/>
          </w:tcPr>
          <w:p w14:paraId="06C0FA3F"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nil"/>
              <w:left w:val="nil"/>
              <w:bottom w:val="single" w:sz="4" w:space="0" w:color="auto"/>
              <w:right w:val="single" w:sz="4" w:space="0" w:color="auto"/>
            </w:tcBorders>
            <w:hideMark/>
          </w:tcPr>
          <w:p w14:paraId="344D0486"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48258485"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283D23B" w14:textId="77777777" w:rsidR="009071BD" w:rsidRPr="0026653F" w:rsidRDefault="009071BD" w:rsidP="00C618DD">
            <w:pPr>
              <w:jc w:val="center"/>
              <w:rPr>
                <w:color w:val="000000"/>
                <w:szCs w:val="22"/>
                <w:lang w:val="fr-FR"/>
              </w:rPr>
            </w:pPr>
            <w:r w:rsidRPr="0026653F">
              <w:rPr>
                <w:color w:val="000000"/>
                <w:szCs w:val="22"/>
                <w:lang w:val="fr-FR"/>
              </w:rPr>
              <w:t>2</w:t>
            </w:r>
          </w:p>
        </w:tc>
        <w:tc>
          <w:tcPr>
            <w:tcW w:w="5287" w:type="dxa"/>
            <w:tcBorders>
              <w:top w:val="nil"/>
              <w:left w:val="nil"/>
              <w:bottom w:val="single" w:sz="4" w:space="0" w:color="auto"/>
              <w:right w:val="single" w:sz="4" w:space="0" w:color="auto"/>
            </w:tcBorders>
            <w:noWrap/>
            <w:vAlign w:val="bottom"/>
            <w:hideMark/>
          </w:tcPr>
          <w:p w14:paraId="5624E9BD" w14:textId="77777777" w:rsidR="009071BD" w:rsidRPr="0026653F" w:rsidRDefault="009071BD" w:rsidP="00C618DD">
            <w:pPr>
              <w:jc w:val="left"/>
              <w:rPr>
                <w:color w:val="000000"/>
                <w:szCs w:val="22"/>
                <w:lang w:val="fr-FR"/>
              </w:rPr>
            </w:pPr>
            <w:r w:rsidRPr="0026653F">
              <w:rPr>
                <w:color w:val="000000"/>
                <w:szCs w:val="22"/>
                <w:lang w:val="fr-FR"/>
              </w:rPr>
              <w:t>Conseiller du Secrétaire général adjoint</w:t>
            </w:r>
          </w:p>
        </w:tc>
        <w:tc>
          <w:tcPr>
            <w:tcW w:w="1144" w:type="dxa"/>
            <w:tcBorders>
              <w:top w:val="nil"/>
              <w:left w:val="nil"/>
              <w:bottom w:val="single" w:sz="4" w:space="0" w:color="auto"/>
              <w:right w:val="single" w:sz="4" w:space="0" w:color="auto"/>
            </w:tcBorders>
            <w:noWrap/>
            <w:vAlign w:val="bottom"/>
            <w:hideMark/>
          </w:tcPr>
          <w:p w14:paraId="6127DC5D" w14:textId="77777777" w:rsidR="009071BD" w:rsidRPr="0026653F" w:rsidRDefault="009071BD" w:rsidP="00C618DD">
            <w:pPr>
              <w:jc w:val="center"/>
              <w:rPr>
                <w:color w:val="000000"/>
                <w:szCs w:val="22"/>
                <w:lang w:val="fr-FR"/>
              </w:rPr>
            </w:pPr>
            <w:r w:rsidRPr="0026653F">
              <w:rPr>
                <w:color w:val="000000"/>
                <w:szCs w:val="22"/>
                <w:lang w:val="fr-FR"/>
              </w:rPr>
              <w:t>P05</w:t>
            </w:r>
          </w:p>
        </w:tc>
        <w:tc>
          <w:tcPr>
            <w:tcW w:w="2157" w:type="dxa"/>
            <w:tcBorders>
              <w:top w:val="nil"/>
              <w:left w:val="nil"/>
              <w:bottom w:val="single" w:sz="4" w:space="0" w:color="auto"/>
              <w:right w:val="single" w:sz="4" w:space="0" w:color="auto"/>
            </w:tcBorders>
            <w:hideMark/>
          </w:tcPr>
          <w:p w14:paraId="513DBA6B" w14:textId="77777777" w:rsidR="009071BD" w:rsidRPr="0026653F" w:rsidRDefault="009071BD" w:rsidP="00C618DD">
            <w:pPr>
              <w:jc w:val="center"/>
              <w:rPr>
                <w:color w:val="000000"/>
                <w:szCs w:val="22"/>
                <w:lang w:val="fr-FR"/>
              </w:rPr>
            </w:pPr>
            <w:r w:rsidRPr="0026653F">
              <w:rPr>
                <w:color w:val="000000"/>
                <w:szCs w:val="22"/>
                <w:lang w:val="fr-FR"/>
              </w:rPr>
              <w:t>Fonds ordinaire</w:t>
            </w:r>
          </w:p>
        </w:tc>
      </w:tr>
      <w:tr w:rsidR="009071BD" w:rsidRPr="0026653F" w14:paraId="5FBBCEE7" w14:textId="77777777" w:rsidTr="009071BD">
        <w:trPr>
          <w:trHeight w:val="152"/>
          <w:jc w:val="center"/>
        </w:trPr>
        <w:tc>
          <w:tcPr>
            <w:tcW w:w="1339" w:type="dxa"/>
            <w:tcBorders>
              <w:top w:val="single" w:sz="4" w:space="0" w:color="auto"/>
              <w:left w:val="nil"/>
              <w:bottom w:val="nil"/>
              <w:right w:val="nil"/>
            </w:tcBorders>
            <w:noWrap/>
            <w:vAlign w:val="bottom"/>
            <w:hideMark/>
          </w:tcPr>
          <w:p w14:paraId="6259C080" w14:textId="77777777" w:rsidR="009071BD" w:rsidRPr="0026653F" w:rsidRDefault="009071BD" w:rsidP="00C618DD">
            <w:pPr>
              <w:spacing w:after="200"/>
              <w:jc w:val="left"/>
              <w:rPr>
                <w:color w:val="000000"/>
                <w:szCs w:val="22"/>
                <w:lang w:val="fr-FR"/>
              </w:rPr>
            </w:pPr>
          </w:p>
        </w:tc>
        <w:tc>
          <w:tcPr>
            <w:tcW w:w="5287" w:type="dxa"/>
            <w:tcBorders>
              <w:top w:val="single" w:sz="4" w:space="0" w:color="auto"/>
              <w:left w:val="nil"/>
              <w:bottom w:val="nil"/>
              <w:right w:val="nil"/>
            </w:tcBorders>
            <w:noWrap/>
            <w:vAlign w:val="bottom"/>
            <w:hideMark/>
          </w:tcPr>
          <w:p w14:paraId="283AD4B4" w14:textId="77777777" w:rsidR="009071BD" w:rsidRPr="0026653F" w:rsidRDefault="009071BD" w:rsidP="00C618DD">
            <w:pPr>
              <w:jc w:val="left"/>
              <w:rPr>
                <w:szCs w:val="22"/>
                <w:lang w:val="fr-FR"/>
              </w:rPr>
            </w:pPr>
          </w:p>
        </w:tc>
        <w:tc>
          <w:tcPr>
            <w:tcW w:w="1144" w:type="dxa"/>
            <w:tcBorders>
              <w:top w:val="single" w:sz="4" w:space="0" w:color="auto"/>
              <w:left w:val="nil"/>
              <w:bottom w:val="nil"/>
              <w:right w:val="nil"/>
            </w:tcBorders>
            <w:noWrap/>
            <w:vAlign w:val="bottom"/>
            <w:hideMark/>
          </w:tcPr>
          <w:p w14:paraId="73FECDF0" w14:textId="77777777" w:rsidR="009071BD" w:rsidRPr="0026653F" w:rsidRDefault="009071BD" w:rsidP="00C618DD">
            <w:pPr>
              <w:jc w:val="left"/>
              <w:rPr>
                <w:szCs w:val="22"/>
                <w:lang w:val="fr-FR"/>
              </w:rPr>
            </w:pPr>
          </w:p>
        </w:tc>
        <w:tc>
          <w:tcPr>
            <w:tcW w:w="2157" w:type="dxa"/>
            <w:tcBorders>
              <w:top w:val="single" w:sz="4" w:space="0" w:color="auto"/>
              <w:left w:val="nil"/>
              <w:bottom w:val="nil"/>
              <w:right w:val="nil"/>
            </w:tcBorders>
          </w:tcPr>
          <w:p w14:paraId="112F5425" w14:textId="77777777" w:rsidR="009071BD" w:rsidRPr="0026653F" w:rsidRDefault="009071BD" w:rsidP="00C618DD">
            <w:pPr>
              <w:jc w:val="center"/>
              <w:rPr>
                <w:color w:val="000000"/>
                <w:szCs w:val="22"/>
                <w:lang w:val="fr-FR" w:eastAsia="es-ES"/>
              </w:rPr>
            </w:pPr>
          </w:p>
        </w:tc>
      </w:tr>
      <w:tr w:rsidR="009071BD" w:rsidRPr="00B44AA1" w14:paraId="53719897" w14:textId="77777777" w:rsidTr="009071BD">
        <w:trPr>
          <w:trHeight w:val="300"/>
          <w:jc w:val="center"/>
        </w:trPr>
        <w:tc>
          <w:tcPr>
            <w:tcW w:w="1339" w:type="dxa"/>
            <w:tcBorders>
              <w:top w:val="nil"/>
              <w:left w:val="nil"/>
              <w:bottom w:val="single" w:sz="4" w:space="0" w:color="auto"/>
              <w:right w:val="nil"/>
            </w:tcBorders>
            <w:noWrap/>
            <w:vAlign w:val="bottom"/>
            <w:hideMark/>
          </w:tcPr>
          <w:p w14:paraId="42FD6E5A" w14:textId="77777777" w:rsidR="009071BD" w:rsidRPr="0026653F" w:rsidRDefault="009071BD" w:rsidP="00C618DD">
            <w:pPr>
              <w:spacing w:after="200"/>
              <w:jc w:val="left"/>
              <w:rPr>
                <w:color w:val="000000"/>
                <w:szCs w:val="22"/>
                <w:lang w:val="fr-FR" w:eastAsia="es-ES"/>
              </w:rPr>
            </w:pPr>
          </w:p>
        </w:tc>
        <w:tc>
          <w:tcPr>
            <w:tcW w:w="6431" w:type="dxa"/>
            <w:gridSpan w:val="2"/>
            <w:tcBorders>
              <w:top w:val="nil"/>
              <w:left w:val="nil"/>
              <w:bottom w:val="single" w:sz="4" w:space="0" w:color="auto"/>
              <w:right w:val="nil"/>
            </w:tcBorders>
            <w:noWrap/>
            <w:vAlign w:val="bottom"/>
            <w:hideMark/>
          </w:tcPr>
          <w:p w14:paraId="0F7F44E5" w14:textId="77777777" w:rsidR="009071BD" w:rsidRPr="0026653F" w:rsidRDefault="009071BD" w:rsidP="00C618DD">
            <w:pPr>
              <w:jc w:val="left"/>
              <w:rPr>
                <w:b/>
                <w:color w:val="000000"/>
                <w:szCs w:val="22"/>
                <w:lang w:val="fr-FR"/>
              </w:rPr>
            </w:pPr>
            <w:r w:rsidRPr="0026653F">
              <w:rPr>
                <w:color w:val="000000"/>
                <w:szCs w:val="22"/>
                <w:lang w:val="fr-FR"/>
              </w:rPr>
              <w:t>FONDS SPÉCIFIQUES (non inclus dans les postes réglementés)</w:t>
            </w:r>
          </w:p>
        </w:tc>
        <w:tc>
          <w:tcPr>
            <w:tcW w:w="2157" w:type="dxa"/>
            <w:tcBorders>
              <w:top w:val="nil"/>
              <w:left w:val="nil"/>
              <w:bottom w:val="single" w:sz="4" w:space="0" w:color="auto"/>
              <w:right w:val="nil"/>
            </w:tcBorders>
          </w:tcPr>
          <w:p w14:paraId="2082C2A3" w14:textId="77777777" w:rsidR="009071BD" w:rsidRPr="0026653F" w:rsidRDefault="009071BD" w:rsidP="00C618DD">
            <w:pPr>
              <w:jc w:val="center"/>
              <w:rPr>
                <w:color w:val="000000"/>
                <w:szCs w:val="22"/>
                <w:lang w:val="fr-FR" w:eastAsia="es-ES"/>
              </w:rPr>
            </w:pPr>
          </w:p>
        </w:tc>
      </w:tr>
      <w:tr w:rsidR="009071BD" w:rsidRPr="0026653F" w14:paraId="3540D57D" w14:textId="77777777" w:rsidTr="009071BD">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7F7CD98" w14:textId="77777777" w:rsidR="009071BD" w:rsidRPr="0026653F" w:rsidRDefault="009071BD" w:rsidP="00C618DD">
            <w:pPr>
              <w:jc w:val="center"/>
              <w:rPr>
                <w:color w:val="000000"/>
                <w:szCs w:val="22"/>
                <w:lang w:val="fr-FR"/>
              </w:rPr>
            </w:pPr>
            <w:r w:rsidRPr="0026653F">
              <w:rPr>
                <w:color w:val="000000"/>
                <w:szCs w:val="22"/>
                <w:lang w:val="fr-FR"/>
              </w:rPr>
              <w:t>1</w:t>
            </w:r>
          </w:p>
        </w:tc>
        <w:tc>
          <w:tcPr>
            <w:tcW w:w="5287" w:type="dxa"/>
            <w:tcBorders>
              <w:top w:val="nil"/>
              <w:left w:val="nil"/>
              <w:bottom w:val="single" w:sz="4" w:space="0" w:color="auto"/>
              <w:right w:val="single" w:sz="4" w:space="0" w:color="auto"/>
            </w:tcBorders>
            <w:noWrap/>
            <w:vAlign w:val="bottom"/>
            <w:hideMark/>
          </w:tcPr>
          <w:p w14:paraId="089719E9" w14:textId="77777777" w:rsidR="009071BD" w:rsidRPr="0026653F" w:rsidRDefault="009071BD" w:rsidP="00C618DD">
            <w:pPr>
              <w:jc w:val="left"/>
              <w:rPr>
                <w:color w:val="000000"/>
                <w:szCs w:val="22"/>
                <w:lang w:val="fr-FR"/>
              </w:rPr>
            </w:pPr>
            <w:r w:rsidRPr="0026653F">
              <w:rPr>
                <w:color w:val="000000"/>
                <w:szCs w:val="22"/>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27C9C362" w14:textId="77777777" w:rsidR="009071BD" w:rsidRPr="0026653F" w:rsidRDefault="009071BD" w:rsidP="00C618DD">
            <w:pPr>
              <w:jc w:val="center"/>
              <w:rPr>
                <w:color w:val="000000"/>
                <w:szCs w:val="22"/>
                <w:lang w:val="fr-FR"/>
              </w:rPr>
            </w:pPr>
            <w:r w:rsidRPr="0026653F">
              <w:rPr>
                <w:color w:val="000000"/>
                <w:szCs w:val="22"/>
                <w:lang w:val="fr-FR"/>
              </w:rPr>
              <w:t>D01</w:t>
            </w:r>
          </w:p>
        </w:tc>
        <w:tc>
          <w:tcPr>
            <w:tcW w:w="2157" w:type="dxa"/>
            <w:tcBorders>
              <w:top w:val="nil"/>
              <w:left w:val="nil"/>
              <w:bottom w:val="single" w:sz="4" w:space="0" w:color="auto"/>
              <w:right w:val="single" w:sz="4" w:space="0" w:color="auto"/>
            </w:tcBorders>
            <w:hideMark/>
          </w:tcPr>
          <w:p w14:paraId="025941E0" w14:textId="77777777" w:rsidR="009071BD" w:rsidRPr="0026653F" w:rsidRDefault="009071BD" w:rsidP="00C618DD">
            <w:pPr>
              <w:jc w:val="center"/>
              <w:rPr>
                <w:color w:val="000000"/>
                <w:szCs w:val="22"/>
                <w:lang w:val="fr-FR"/>
              </w:rPr>
            </w:pPr>
            <w:r w:rsidRPr="0026653F">
              <w:rPr>
                <w:color w:val="000000"/>
                <w:szCs w:val="22"/>
                <w:lang w:val="fr-FR"/>
              </w:rPr>
              <w:t>Fonds spécifiques</w:t>
            </w:r>
          </w:p>
        </w:tc>
      </w:tr>
    </w:tbl>
    <w:p w14:paraId="134AEF36" w14:textId="77777777" w:rsidR="009071BD" w:rsidRPr="0026653F" w:rsidRDefault="009071BD" w:rsidP="009A25D6">
      <w:pPr>
        <w:jc w:val="left"/>
        <w:rPr>
          <w:szCs w:val="22"/>
          <w:lang w:val="fr-FR"/>
        </w:rPr>
      </w:pPr>
    </w:p>
    <w:p w14:paraId="3CC7AA15" w14:textId="77777777" w:rsidR="009071BD" w:rsidRPr="0026653F" w:rsidRDefault="009071BD" w:rsidP="009A25D6">
      <w:pPr>
        <w:jc w:val="left"/>
        <w:rPr>
          <w:szCs w:val="22"/>
          <w:lang w:val="fr-FR"/>
        </w:rPr>
      </w:pPr>
    </w:p>
    <w:p w14:paraId="52D4BBB3" w14:textId="77777777" w:rsidR="009071BD" w:rsidRPr="0026653F" w:rsidRDefault="009071BD" w:rsidP="00C618DD">
      <w:pPr>
        <w:jc w:val="left"/>
        <w:rPr>
          <w:szCs w:val="22"/>
          <w:lang w:val="fr-FR"/>
        </w:rPr>
      </w:pPr>
      <w:r w:rsidRPr="0026653F">
        <w:rPr>
          <w:szCs w:val="22"/>
          <w:lang w:val="fr-FR"/>
        </w:rPr>
        <w:br w:type="page"/>
      </w:r>
    </w:p>
    <w:p w14:paraId="46319439" w14:textId="77777777" w:rsidR="009071BD" w:rsidRPr="003E034A" w:rsidRDefault="009071BD" w:rsidP="00C618DD">
      <w:pPr>
        <w:suppressAutoHyphens/>
        <w:jc w:val="center"/>
        <w:rPr>
          <w:sz w:val="20"/>
          <w:lang w:val="fr-FR" w:eastAsia="es-ES"/>
        </w:rPr>
      </w:pPr>
      <w:r w:rsidRPr="003E034A">
        <w:rPr>
          <w:sz w:val="20"/>
          <w:lang w:val="fr-FR" w:eastAsia="es-ES"/>
        </w:rPr>
        <w:lastRenderedPageBreak/>
        <w:t>NOTES DE BAS DE PAGE</w:t>
      </w:r>
    </w:p>
    <w:p w14:paraId="77103282" w14:textId="77777777" w:rsidR="009071BD" w:rsidRPr="003E034A" w:rsidRDefault="009071BD" w:rsidP="00C618DD">
      <w:pPr>
        <w:suppressAutoHyphens/>
        <w:rPr>
          <w:sz w:val="20"/>
          <w:lang w:val="fr-FR" w:eastAsia="es-ES"/>
        </w:rPr>
      </w:pPr>
    </w:p>
    <w:p w14:paraId="436EA355" w14:textId="77777777" w:rsidR="009071BD" w:rsidRPr="003E034A" w:rsidRDefault="009071BD" w:rsidP="00C618DD">
      <w:pPr>
        <w:suppressAutoHyphens/>
        <w:rPr>
          <w:sz w:val="20"/>
          <w:lang w:val="fr-FR" w:eastAsia="es-ES"/>
        </w:rPr>
      </w:pPr>
    </w:p>
    <w:p w14:paraId="067CC255" w14:textId="77777777" w:rsidR="009071BD" w:rsidRPr="003E034A" w:rsidRDefault="009071BD" w:rsidP="00C618DD">
      <w:pPr>
        <w:ind w:firstLine="720"/>
        <w:rPr>
          <w:sz w:val="20"/>
          <w:lang w:val="fr-FR"/>
        </w:rPr>
      </w:pPr>
      <w:r w:rsidRPr="003E034A">
        <w:rPr>
          <w:sz w:val="20"/>
          <w:lang w:val="fr-FR"/>
        </w:rPr>
        <w:t>1.</w:t>
      </w:r>
      <w:r w:rsidRPr="003E034A">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B37F12B" w14:textId="77777777" w:rsidR="009071BD" w:rsidRPr="003E034A" w:rsidRDefault="009071BD" w:rsidP="00C618DD">
      <w:pPr>
        <w:rPr>
          <w:sz w:val="20"/>
          <w:lang w:val="fr-FR"/>
        </w:rPr>
      </w:pPr>
    </w:p>
    <w:p w14:paraId="2C2C0AF7" w14:textId="5AD8C8DA" w:rsidR="009071BD" w:rsidRPr="003E034A" w:rsidRDefault="009071BD" w:rsidP="00C618DD">
      <w:pPr>
        <w:ind w:firstLine="720"/>
        <w:rPr>
          <w:sz w:val="20"/>
          <w:lang w:val="fr-FR"/>
        </w:rPr>
      </w:pPr>
      <w:r w:rsidRPr="003E034A">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30AD6173" w14:textId="77777777" w:rsidR="009071BD" w:rsidRPr="003E034A" w:rsidRDefault="009071BD" w:rsidP="00C618DD">
      <w:pPr>
        <w:rPr>
          <w:sz w:val="20"/>
          <w:lang w:val="fr-FR"/>
        </w:rPr>
      </w:pPr>
    </w:p>
    <w:p w14:paraId="068049B4" w14:textId="77777777" w:rsidR="009071BD" w:rsidRPr="003E034A" w:rsidRDefault="009071BD" w:rsidP="00C618DD">
      <w:pPr>
        <w:ind w:firstLine="720"/>
        <w:rPr>
          <w:sz w:val="20"/>
          <w:lang w:val="fr-FR"/>
        </w:rPr>
      </w:pPr>
      <w:r w:rsidRPr="003E034A">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02983877" w14:textId="77777777" w:rsidR="009071BD" w:rsidRPr="003E034A" w:rsidRDefault="009071BD" w:rsidP="00C618DD">
      <w:pPr>
        <w:suppressAutoHyphens/>
        <w:rPr>
          <w:sz w:val="20"/>
          <w:lang w:val="fr-FR" w:eastAsia="es-ES"/>
        </w:rPr>
      </w:pPr>
    </w:p>
    <w:p w14:paraId="1BF69438" w14:textId="77777777" w:rsidR="00910EB6" w:rsidRPr="003E034A" w:rsidRDefault="009071BD" w:rsidP="00C618DD">
      <w:pPr>
        <w:suppressAutoHyphens/>
        <w:jc w:val="left"/>
        <w:rPr>
          <w:sz w:val="20"/>
          <w:lang w:val="fr-FR"/>
        </w:rPr>
      </w:pPr>
      <w:r w:rsidRPr="003E034A">
        <w:rPr>
          <w:sz w:val="20"/>
          <w:lang w:val="fr-FR"/>
        </w:rPr>
        <w:tab/>
        <w:t>2.</w:t>
      </w:r>
      <w:r w:rsidRPr="003E034A">
        <w:rPr>
          <w:sz w:val="20"/>
          <w:lang w:val="fr-FR"/>
        </w:rPr>
        <w:tab/>
        <w:t xml:space="preserve">… </w:t>
      </w:r>
      <w:r w:rsidR="00910EB6" w:rsidRPr="003E034A">
        <w:rPr>
          <w:sz w:val="20"/>
          <w:lang w:val="fr-FR"/>
        </w:rPr>
        <w:t>de l'Assemblée générale.</w:t>
      </w:r>
    </w:p>
    <w:p w14:paraId="0BB16BB4" w14:textId="78F8BC50" w:rsidR="00910EB6" w:rsidRDefault="00910EB6" w:rsidP="00C618DD">
      <w:pPr>
        <w:suppressAutoHyphens/>
        <w:jc w:val="left"/>
        <w:rPr>
          <w:sz w:val="20"/>
          <w:lang w:val="fr-FR"/>
        </w:rPr>
      </w:pPr>
    </w:p>
    <w:p w14:paraId="795D3688" w14:textId="0801E7C9" w:rsidR="00D469AE" w:rsidRDefault="00D469AE" w:rsidP="00C618DD">
      <w:pPr>
        <w:suppressAutoHyphens/>
        <w:jc w:val="left"/>
        <w:rPr>
          <w:sz w:val="20"/>
          <w:lang w:val="fr-FR"/>
        </w:rPr>
      </w:pPr>
    </w:p>
    <w:p w14:paraId="4C25BE8B" w14:textId="7CEF18F9" w:rsidR="00D469AE" w:rsidRDefault="00D469AE" w:rsidP="00C618DD">
      <w:pPr>
        <w:suppressAutoHyphens/>
        <w:jc w:val="left"/>
        <w:rPr>
          <w:sz w:val="20"/>
          <w:lang w:val="fr-FR"/>
        </w:rPr>
      </w:pPr>
      <w:r>
        <w:rPr>
          <w:sz w:val="20"/>
          <w:lang w:val="fr-FR"/>
        </w:rPr>
        <w:t>ANNEXE II</w:t>
      </w:r>
    </w:p>
    <w:p w14:paraId="45C9726B" w14:textId="77777777" w:rsidR="00D469AE" w:rsidRPr="003E034A" w:rsidRDefault="00D469AE" w:rsidP="00C618DD">
      <w:pPr>
        <w:suppressAutoHyphens/>
        <w:jc w:val="left"/>
        <w:rPr>
          <w:sz w:val="20"/>
          <w:lang w:val="fr-FR"/>
        </w:rPr>
      </w:pPr>
    </w:p>
    <w:p w14:paraId="24BAD7F1" w14:textId="50DA100A" w:rsidR="009071BD" w:rsidRPr="003E034A" w:rsidRDefault="00D469AE" w:rsidP="00C618DD">
      <w:pPr>
        <w:suppressAutoHyphens/>
        <w:ind w:firstLine="720"/>
        <w:jc w:val="left"/>
        <w:rPr>
          <w:sz w:val="20"/>
          <w:lang w:val="fr-FR"/>
        </w:rPr>
      </w:pPr>
      <w:r>
        <w:rPr>
          <w:sz w:val="20"/>
          <w:lang w:val="fr-FR"/>
        </w:rPr>
        <w:t>1</w:t>
      </w:r>
      <w:r w:rsidR="00910EB6" w:rsidRPr="003E034A">
        <w:rPr>
          <w:sz w:val="20"/>
          <w:lang w:val="fr-FR"/>
        </w:rPr>
        <w:t>.</w:t>
      </w:r>
      <w:r w:rsidR="00910EB6" w:rsidRPr="003E034A">
        <w:rPr>
          <w:sz w:val="20"/>
          <w:lang w:val="fr-FR"/>
        </w:rPr>
        <w:tab/>
        <w:t xml:space="preserve">… </w:t>
      </w:r>
      <w:r w:rsidR="009071BD" w:rsidRPr="003E034A">
        <w:rPr>
          <w:sz w:val="20"/>
          <w:lang w:val="fr-FR"/>
        </w:rPr>
        <w:t>soit sélectionné par voie de concours.</w:t>
      </w:r>
    </w:p>
    <w:p w14:paraId="2EFB0090" w14:textId="77777777" w:rsidR="00EE6CD9" w:rsidRPr="003E034A" w:rsidRDefault="00EE6CD9" w:rsidP="00C618DD">
      <w:pPr>
        <w:jc w:val="center"/>
        <w:rPr>
          <w:sz w:val="20"/>
          <w:lang w:val="fr-FR"/>
        </w:rPr>
      </w:pPr>
    </w:p>
    <w:p w14:paraId="6E514DC8" w14:textId="77777777" w:rsidR="003F72BB" w:rsidRPr="0026653F" w:rsidRDefault="003F72BB" w:rsidP="00C618DD">
      <w:pPr>
        <w:rPr>
          <w:szCs w:val="22"/>
          <w:lang w:val="fr-FR"/>
        </w:rPr>
        <w:sectPr w:rsidR="003F72BB" w:rsidRPr="0026653F" w:rsidSect="00FE7DD6">
          <w:footerReference w:type="default" r:id="rId95"/>
          <w:footnotePr>
            <w:numRestart w:val="eachSect"/>
          </w:footnotePr>
          <w:type w:val="oddPage"/>
          <w:pgSz w:w="12240" w:h="15840" w:code="1"/>
          <w:pgMar w:top="2160" w:right="1570" w:bottom="1296" w:left="1699" w:header="1296" w:footer="1296" w:gutter="0"/>
          <w:cols w:space="720"/>
          <w:docGrid w:linePitch="360"/>
        </w:sectPr>
      </w:pPr>
    </w:p>
    <w:p w14:paraId="4021D7B5" w14:textId="33D186A9" w:rsidR="000A4802" w:rsidRPr="0026653F" w:rsidRDefault="003F72BB" w:rsidP="00C618DD">
      <w:pPr>
        <w:pStyle w:val="Heading1"/>
        <w:rPr>
          <w:szCs w:val="22"/>
          <w:lang w:val="fr-FR"/>
        </w:rPr>
      </w:pPr>
      <w:bookmarkStart w:id="49" w:name="_Toc453852650"/>
      <w:bookmarkStart w:id="50" w:name="_Toc473029545"/>
      <w:bookmarkStart w:id="51" w:name="_Toc74732024"/>
      <w:r w:rsidRPr="0026653F">
        <w:rPr>
          <w:rStyle w:val="Heading1Char"/>
          <w:rFonts w:eastAsia="Calibri"/>
          <w:szCs w:val="22"/>
          <w:lang w:val="fr-FR"/>
        </w:rPr>
        <w:lastRenderedPageBreak/>
        <w:t>AG/RES. 2958 (L-O/20)</w:t>
      </w:r>
      <w:r w:rsidRPr="0026653F">
        <w:rPr>
          <w:rStyle w:val="Heading1Char"/>
          <w:rFonts w:eastAsia="Calibri"/>
          <w:szCs w:val="22"/>
          <w:lang w:val="fr-FR"/>
        </w:rPr>
        <w:br/>
      </w:r>
      <w:r w:rsidRPr="0026653F">
        <w:rPr>
          <w:rStyle w:val="Heading1Char"/>
          <w:rFonts w:eastAsia="Calibri"/>
          <w:szCs w:val="22"/>
          <w:lang w:val="fr-FR"/>
        </w:rPr>
        <w:br/>
      </w:r>
      <w:bookmarkEnd w:id="49"/>
      <w:bookmarkEnd w:id="50"/>
      <w:r w:rsidR="000A4802" w:rsidRPr="0026653F">
        <w:rPr>
          <w:szCs w:val="22"/>
          <w:lang w:val="fr-FR"/>
        </w:rPr>
        <w:t>RENFORCEMENT DE LA DÉMOCRATIE</w:t>
      </w:r>
      <w:r w:rsidR="000A4802" w:rsidRPr="0026653F">
        <w:rPr>
          <w:szCs w:val="22"/>
          <w:u w:val="single"/>
          <w:vertAlign w:val="superscript"/>
          <w:lang w:val="fr-FR"/>
        </w:rPr>
        <w:footnoteReference w:id="57"/>
      </w:r>
      <w:r w:rsidR="000A4802" w:rsidRPr="0026653F">
        <w:rPr>
          <w:szCs w:val="22"/>
          <w:vertAlign w:val="superscript"/>
          <w:lang w:val="fr-FR"/>
        </w:rPr>
        <w:t>/</w:t>
      </w:r>
      <w:r w:rsidR="004D33E9" w:rsidRPr="0026653F">
        <w:rPr>
          <w:rStyle w:val="FootnoteReference"/>
          <w:szCs w:val="22"/>
          <w:u w:val="single"/>
          <w:vertAlign w:val="superscript"/>
          <w:lang w:val="fr-FR"/>
        </w:rPr>
        <w:footnoteReference w:id="58"/>
      </w:r>
      <w:r w:rsidR="004D33E9" w:rsidRPr="0026653F">
        <w:rPr>
          <w:szCs w:val="22"/>
          <w:vertAlign w:val="superscript"/>
          <w:lang w:val="fr-FR"/>
        </w:rPr>
        <w:t>/</w:t>
      </w:r>
      <w:bookmarkEnd w:id="51"/>
    </w:p>
    <w:p w14:paraId="6D5D23E0" w14:textId="77777777" w:rsidR="000A4802" w:rsidRPr="0026653F" w:rsidRDefault="000A4802" w:rsidP="00C618DD">
      <w:pPr>
        <w:suppressAutoHyphens/>
        <w:jc w:val="center"/>
        <w:outlineLvl w:val="0"/>
        <w:rPr>
          <w:bCs/>
          <w:color w:val="000000"/>
          <w:szCs w:val="22"/>
          <w:lang w:val="fr-FR" w:eastAsia="es-ES"/>
        </w:rPr>
      </w:pPr>
    </w:p>
    <w:p w14:paraId="29364283" w14:textId="77777777" w:rsidR="000A4802" w:rsidRPr="0026653F" w:rsidRDefault="000A4802" w:rsidP="00C618DD">
      <w:pPr>
        <w:jc w:val="center"/>
        <w:rPr>
          <w:color w:val="000000"/>
          <w:szCs w:val="22"/>
          <w:lang w:val="fr-FR"/>
        </w:rPr>
      </w:pPr>
      <w:r w:rsidRPr="0026653F">
        <w:rPr>
          <w:color w:val="000000"/>
          <w:szCs w:val="22"/>
          <w:lang w:val="fr-FR"/>
        </w:rPr>
        <w:t>(</w:t>
      </w:r>
      <w:r w:rsidRPr="0026653F">
        <w:rPr>
          <w:szCs w:val="22"/>
          <w:lang w:val="fr-FR"/>
        </w:rPr>
        <w:t>Résolution adoptée à la quatrième séance plénière</w:t>
      </w:r>
      <w:r w:rsidRPr="0026653F">
        <w:rPr>
          <w:bCs/>
          <w:color w:val="000000"/>
          <w:szCs w:val="22"/>
          <w:lang w:val="fr-FR" w:eastAsia="es-ES"/>
        </w:rPr>
        <w:t xml:space="preserve">, le </w:t>
      </w:r>
      <w:r w:rsidRPr="0026653F">
        <w:rPr>
          <w:szCs w:val="22"/>
          <w:lang w:val="fr-FR"/>
        </w:rPr>
        <w:t>21 octobre 2020</w:t>
      </w:r>
      <w:r w:rsidRPr="0026653F">
        <w:rPr>
          <w:color w:val="000000"/>
          <w:szCs w:val="22"/>
          <w:lang w:val="fr-FR"/>
        </w:rPr>
        <w:t>)</w:t>
      </w:r>
    </w:p>
    <w:p w14:paraId="21A25211" w14:textId="77777777" w:rsidR="000A4802" w:rsidRPr="0026653F" w:rsidRDefault="000A4802" w:rsidP="00C618DD">
      <w:pPr>
        <w:suppressAutoHyphens/>
        <w:autoSpaceDE w:val="0"/>
        <w:autoSpaceDN w:val="0"/>
        <w:adjustRightInd w:val="0"/>
        <w:jc w:val="left"/>
        <w:rPr>
          <w:bCs/>
          <w:szCs w:val="22"/>
          <w:lang w:val="fr-FR"/>
        </w:rPr>
      </w:pPr>
    </w:p>
    <w:p w14:paraId="6B330BAC" w14:textId="77777777" w:rsidR="000A4802" w:rsidRPr="0026653F" w:rsidRDefault="000A4802" w:rsidP="00C618DD">
      <w:pPr>
        <w:suppressAutoHyphens/>
        <w:autoSpaceDE w:val="0"/>
        <w:autoSpaceDN w:val="0"/>
        <w:adjustRightInd w:val="0"/>
        <w:jc w:val="left"/>
        <w:rPr>
          <w:kern w:val="32"/>
          <w:szCs w:val="22"/>
          <w:lang w:val="fr-FR"/>
        </w:rPr>
      </w:pPr>
    </w:p>
    <w:p w14:paraId="2053B9DA" w14:textId="77777777" w:rsidR="000A4802" w:rsidRPr="0026653F" w:rsidRDefault="000A4802" w:rsidP="00C618DD">
      <w:pPr>
        <w:suppressAutoHyphens/>
        <w:ind w:firstLine="720"/>
        <w:rPr>
          <w:bCs/>
          <w:szCs w:val="22"/>
          <w:lang w:val="fr-FR"/>
        </w:rPr>
      </w:pPr>
      <w:r w:rsidRPr="0026653F">
        <w:rPr>
          <w:szCs w:val="22"/>
          <w:lang w:val="fr-FR"/>
        </w:rPr>
        <w:t>L’ASSEMBLÉE GÉNÉRALE,</w:t>
      </w:r>
    </w:p>
    <w:p w14:paraId="470D971E" w14:textId="77777777" w:rsidR="000A4802" w:rsidRPr="0026653F" w:rsidRDefault="000A4802" w:rsidP="00C618DD">
      <w:pPr>
        <w:suppressAutoHyphens/>
        <w:rPr>
          <w:szCs w:val="22"/>
          <w:lang w:val="fr-FR"/>
        </w:rPr>
      </w:pPr>
    </w:p>
    <w:p w14:paraId="6F6B3934" w14:textId="77777777" w:rsidR="000A4802" w:rsidRPr="0026653F" w:rsidRDefault="000A4802" w:rsidP="00C618DD">
      <w:pPr>
        <w:suppressAutoHyphens/>
        <w:ind w:firstLine="720"/>
        <w:rPr>
          <w:i/>
          <w:iCs/>
          <w:color w:val="000000"/>
          <w:szCs w:val="22"/>
          <w:lang w:val="fr-FR"/>
        </w:rPr>
      </w:pPr>
      <w:r w:rsidRPr="0026653F">
        <w:rPr>
          <w:color w:val="000000"/>
          <w:szCs w:val="22"/>
          <w:lang w:val="fr-FR"/>
        </w:rPr>
        <w:t>RÉAFFIRMANT les normes et principes généraux du droit international et ceux consacrés par la Charte de l’Organisation des États Américains (OEA),</w:t>
      </w:r>
    </w:p>
    <w:p w14:paraId="7F7E81E3" w14:textId="77777777" w:rsidR="000A4802" w:rsidRPr="0026653F" w:rsidRDefault="000A4802" w:rsidP="00C618DD">
      <w:pPr>
        <w:suppressAutoHyphens/>
        <w:rPr>
          <w:color w:val="000000"/>
          <w:szCs w:val="22"/>
          <w:lang w:val="fr-FR"/>
        </w:rPr>
      </w:pPr>
    </w:p>
    <w:p w14:paraId="3349E75D" w14:textId="2F0EFD0B" w:rsidR="000A4802" w:rsidRPr="0026653F" w:rsidRDefault="000A4802" w:rsidP="00C618DD">
      <w:pPr>
        <w:suppressAutoHyphens/>
        <w:ind w:firstLine="720"/>
        <w:rPr>
          <w:color w:val="000000"/>
          <w:szCs w:val="22"/>
          <w:lang w:val="fr-FR"/>
        </w:rPr>
      </w:pPr>
      <w:r w:rsidRPr="0026653F">
        <w:rPr>
          <w:szCs w:val="22"/>
          <w:lang w:val="fr-FR"/>
        </w:rPr>
        <w:t>CONSCIENTE que la Charte de l’OEA reconnaît dans son préambule « que la démocratie représentative constitue une condition indispensable à la stabilité, à la paix et au développement de la région », et que l’un des objectifs essentiels de l’OEA consiste à « encourager et consolider la démocratie représentative dans le respect du principe de non-intervention »,</w:t>
      </w:r>
    </w:p>
    <w:p w14:paraId="353DA50A" w14:textId="77777777" w:rsidR="000A4802" w:rsidRPr="0026653F" w:rsidRDefault="000A4802" w:rsidP="00C618DD">
      <w:pPr>
        <w:suppressAutoHyphens/>
        <w:rPr>
          <w:color w:val="000000"/>
          <w:szCs w:val="22"/>
          <w:lang w:val="fr-FR"/>
        </w:rPr>
      </w:pPr>
    </w:p>
    <w:p w14:paraId="18F14AB3" w14:textId="77777777" w:rsidR="000A4802" w:rsidRPr="0026653F" w:rsidRDefault="000A4802" w:rsidP="00C618DD">
      <w:pPr>
        <w:suppressAutoHyphens/>
        <w:ind w:firstLine="720"/>
        <w:rPr>
          <w:color w:val="000000"/>
          <w:szCs w:val="22"/>
          <w:lang w:val="fr-FR"/>
        </w:rPr>
      </w:pPr>
      <w:r w:rsidRPr="0026653F">
        <w:rPr>
          <w:color w:val="000000"/>
          <w:szCs w:val="22"/>
          <w:lang w:val="fr-FR"/>
        </w:rPr>
        <w:t>RAPPELANT la résolution</w:t>
      </w:r>
      <w:r w:rsidRPr="0026653F">
        <w:rPr>
          <w:szCs w:val="22"/>
          <w:lang w:val="fr-FR"/>
        </w:rPr>
        <w:t xml:space="preserve"> </w:t>
      </w:r>
      <w:r w:rsidRPr="0026653F">
        <w:rPr>
          <w:bCs/>
          <w:color w:val="000000"/>
          <w:szCs w:val="22"/>
          <w:lang w:val="fr-FR" w:eastAsia="es-ES"/>
        </w:rPr>
        <w:t>AG/RES. 2931 (XLIX-O/19</w:t>
      </w:r>
      <w:r w:rsidRPr="0026653F">
        <w:rPr>
          <w:bCs/>
          <w:color w:val="000000"/>
          <w:szCs w:val="22"/>
          <w:lang w:val="fr-FR"/>
        </w:rPr>
        <w:t>)</w:t>
      </w:r>
      <w:r w:rsidRPr="0026653F">
        <w:rPr>
          <w:color w:val="000000"/>
          <w:szCs w:val="22"/>
          <w:lang w:val="fr-FR"/>
        </w:rPr>
        <w:t xml:space="preserve"> et toutes les résolutions adoptées antérieurement sur la question,</w:t>
      </w:r>
    </w:p>
    <w:p w14:paraId="7BCB753D" w14:textId="77777777" w:rsidR="000A4802" w:rsidRPr="0026653F" w:rsidRDefault="000A4802" w:rsidP="00C618DD">
      <w:pPr>
        <w:suppressAutoHyphens/>
        <w:rPr>
          <w:color w:val="000000"/>
          <w:szCs w:val="22"/>
          <w:lang w:val="fr-FR"/>
        </w:rPr>
      </w:pPr>
    </w:p>
    <w:p w14:paraId="475D988D" w14:textId="58B6DB01" w:rsidR="000A4802" w:rsidRPr="0026653F" w:rsidRDefault="000A4802" w:rsidP="00C618DD">
      <w:pPr>
        <w:suppressAutoHyphens/>
        <w:ind w:firstLine="720"/>
        <w:rPr>
          <w:color w:val="000000"/>
          <w:szCs w:val="22"/>
          <w:lang w:val="fr-FR"/>
        </w:rPr>
      </w:pPr>
      <w:r w:rsidRPr="0026653F">
        <w:rPr>
          <w:szCs w:val="22"/>
          <w:lang w:val="fr-FR"/>
        </w:rPr>
        <w:t xml:space="preserve">AYANT VU le « Rapport annuel du Conseil permanent adressé à l’Assemblée générale </w:t>
      </w:r>
      <w:r w:rsidR="003D44D5" w:rsidRPr="0026653F">
        <w:rPr>
          <w:szCs w:val="22"/>
          <w:lang w:val="fr-FR"/>
        </w:rPr>
        <w:t xml:space="preserve">– </w:t>
      </w:r>
      <w:r w:rsidR="00DA2E8B" w:rsidRPr="0026653F">
        <w:rPr>
          <w:szCs w:val="22"/>
          <w:lang w:val="fr-FR"/>
        </w:rPr>
        <w:t>J</w:t>
      </w:r>
      <w:r w:rsidRPr="0026653F">
        <w:rPr>
          <w:szCs w:val="22"/>
          <w:lang w:val="fr-FR"/>
        </w:rPr>
        <w:t>ui</w:t>
      </w:r>
      <w:r w:rsidR="00D00AA6" w:rsidRPr="0026653F">
        <w:rPr>
          <w:szCs w:val="22"/>
          <w:lang w:val="fr-FR"/>
        </w:rPr>
        <w:t>llet</w:t>
      </w:r>
      <w:r w:rsidRPr="0026653F">
        <w:rPr>
          <w:szCs w:val="22"/>
          <w:lang w:val="fr-FR"/>
        </w:rPr>
        <w:t xml:space="preserve"> 2019-</w:t>
      </w:r>
      <w:r w:rsidR="00DA2E8B" w:rsidRPr="0026653F">
        <w:rPr>
          <w:szCs w:val="22"/>
          <w:lang w:val="fr-FR"/>
        </w:rPr>
        <w:t>O</w:t>
      </w:r>
      <w:r w:rsidRPr="0026653F">
        <w:rPr>
          <w:szCs w:val="22"/>
          <w:lang w:val="fr-FR"/>
        </w:rPr>
        <w:t>ctobre 2020 » (AG/doc.5691/20 add.</w:t>
      </w:r>
      <w:r w:rsidRPr="0026653F">
        <w:rPr>
          <w:color w:val="000000"/>
          <w:szCs w:val="22"/>
          <w:lang w:val="fr-FR"/>
        </w:rPr>
        <w:t xml:space="preserve"> 1), notamment la section se référant aux activités de la Commission des questions juridiques et politiques (CAJP),</w:t>
      </w:r>
    </w:p>
    <w:p w14:paraId="6CB22892" w14:textId="77777777" w:rsidR="000A4802" w:rsidRPr="0026653F" w:rsidRDefault="000A4802" w:rsidP="00C618DD">
      <w:pPr>
        <w:suppressAutoHyphens/>
        <w:rPr>
          <w:color w:val="000000"/>
          <w:szCs w:val="22"/>
          <w:lang w:val="fr-FR"/>
        </w:rPr>
      </w:pPr>
    </w:p>
    <w:p w14:paraId="09CB5098" w14:textId="77777777" w:rsidR="000A4802" w:rsidRPr="0026653F" w:rsidRDefault="000A4802" w:rsidP="00C618DD">
      <w:pPr>
        <w:suppressAutoHyphens/>
        <w:ind w:firstLine="720"/>
        <w:rPr>
          <w:color w:val="000000"/>
          <w:szCs w:val="22"/>
          <w:lang w:val="fr-FR"/>
        </w:rPr>
      </w:pPr>
      <w:r w:rsidRPr="0026653F">
        <w:rPr>
          <w:color w:val="000000"/>
          <w:szCs w:val="22"/>
          <w:lang w:val="fr-FR"/>
        </w:rPr>
        <w:t>CONSIDÉRANT que les programmes, activités et tâches établis aux termes des résolutions qui sont du ressort de la CAJP contribuent à la réalisation des buts essentiels de l’Organisation, lesquels sont consacrés dans la Charte de l’OEA,</w:t>
      </w:r>
    </w:p>
    <w:p w14:paraId="57DF8BE4" w14:textId="77777777" w:rsidR="000A4802" w:rsidRPr="0026653F" w:rsidRDefault="000A4802" w:rsidP="00C618DD">
      <w:pPr>
        <w:suppressAutoHyphens/>
        <w:rPr>
          <w:color w:val="000000"/>
          <w:szCs w:val="22"/>
          <w:lang w:val="fr-FR"/>
        </w:rPr>
      </w:pPr>
    </w:p>
    <w:p w14:paraId="36069E45" w14:textId="77777777" w:rsidR="000A4802" w:rsidRPr="0026653F" w:rsidRDefault="000A4802" w:rsidP="00C618DD">
      <w:pPr>
        <w:suppressAutoHyphens/>
        <w:jc w:val="center"/>
        <w:rPr>
          <w:color w:val="000000"/>
          <w:szCs w:val="22"/>
          <w:lang w:val="fr-FR"/>
        </w:rPr>
      </w:pPr>
      <w:r w:rsidRPr="0026653F">
        <w:rPr>
          <w:szCs w:val="22"/>
          <w:lang w:val="fr-FR"/>
        </w:rPr>
        <w:t>I. ACTIVITÉS DE LA COMMISSION DES QUESTIONS JURIDIQUES ET POLITIQUES</w:t>
      </w:r>
    </w:p>
    <w:p w14:paraId="36F27AE2" w14:textId="77777777" w:rsidR="000A4802" w:rsidRPr="0026653F" w:rsidRDefault="000A4802" w:rsidP="00C618DD">
      <w:pPr>
        <w:suppressAutoHyphens/>
        <w:rPr>
          <w:color w:val="000000"/>
          <w:szCs w:val="22"/>
          <w:lang w:val="fr-FR"/>
        </w:rPr>
      </w:pPr>
    </w:p>
    <w:p w14:paraId="0F610453" w14:textId="77777777" w:rsidR="000A4802" w:rsidRPr="0026653F" w:rsidRDefault="000A4802" w:rsidP="00C618DD">
      <w:pPr>
        <w:suppressAutoHyphens/>
        <w:rPr>
          <w:color w:val="000000"/>
          <w:szCs w:val="22"/>
          <w:lang w:val="fr-FR"/>
        </w:rPr>
      </w:pPr>
      <w:r w:rsidRPr="0026653F">
        <w:rPr>
          <w:szCs w:val="22"/>
          <w:lang w:val="fr-FR"/>
        </w:rPr>
        <w:t>DÉCIDE :</w:t>
      </w:r>
    </w:p>
    <w:p w14:paraId="17EF9DED" w14:textId="77777777" w:rsidR="000A4802" w:rsidRPr="0026653F" w:rsidRDefault="000A4802" w:rsidP="00C618DD">
      <w:pPr>
        <w:suppressAutoHyphens/>
        <w:rPr>
          <w:color w:val="000000"/>
          <w:szCs w:val="22"/>
          <w:lang w:val="fr-FR"/>
        </w:rPr>
      </w:pPr>
    </w:p>
    <w:p w14:paraId="5E8A424C" w14:textId="4A5E2FC1" w:rsidR="000A4802" w:rsidRPr="0026653F" w:rsidRDefault="000A4802" w:rsidP="00C618DD">
      <w:pPr>
        <w:suppressAutoHyphens/>
        <w:ind w:firstLine="720"/>
        <w:rPr>
          <w:color w:val="000000"/>
          <w:szCs w:val="22"/>
          <w:lang w:val="fr-FR"/>
        </w:rPr>
      </w:pPr>
      <w:r w:rsidRPr="0026653F">
        <w:rPr>
          <w:color w:val="000000"/>
          <w:szCs w:val="22"/>
          <w:lang w:val="fr-FR"/>
        </w:rPr>
        <w:t>1.</w:t>
      </w:r>
      <w:r w:rsidRPr="0026653F">
        <w:rPr>
          <w:color w:val="000000"/>
          <w:szCs w:val="22"/>
          <w:lang w:val="fr-FR"/>
        </w:rPr>
        <w:tab/>
      </w:r>
      <w:r w:rsidRPr="0026653F">
        <w:rPr>
          <w:szCs w:val="22"/>
          <w:lang w:val="fr-FR"/>
        </w:rPr>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w:t>
      </w:r>
      <w:r w:rsidR="00CA1684" w:rsidRPr="0026653F">
        <w:rPr>
          <w:szCs w:val="22"/>
          <w:lang w:val="fr-FR"/>
        </w:rPr>
        <w:t xml:space="preserve"> (CAJP)</w:t>
      </w:r>
      <w:r w:rsidRPr="0026653F">
        <w:rPr>
          <w:szCs w:val="22"/>
          <w:lang w:val="fr-FR"/>
        </w:rPr>
        <w:t>, sauf indication contraire dans une résolution déterminée.</w:t>
      </w:r>
    </w:p>
    <w:p w14:paraId="791E3619" w14:textId="77777777" w:rsidR="000A4802" w:rsidRPr="0026653F" w:rsidRDefault="000A4802" w:rsidP="00C618DD">
      <w:pPr>
        <w:suppressAutoHyphens/>
        <w:rPr>
          <w:color w:val="000000"/>
          <w:szCs w:val="22"/>
          <w:lang w:val="fr-FR"/>
        </w:rPr>
      </w:pPr>
    </w:p>
    <w:p w14:paraId="170E4AC8" w14:textId="77777777" w:rsidR="000A4802" w:rsidRPr="0026653F" w:rsidRDefault="000A4802" w:rsidP="00C618DD">
      <w:pPr>
        <w:suppressAutoHyphens/>
        <w:ind w:firstLine="720"/>
        <w:rPr>
          <w:szCs w:val="22"/>
          <w:lang w:val="fr-FR"/>
        </w:rPr>
      </w:pPr>
      <w:r w:rsidRPr="0026653F">
        <w:rPr>
          <w:color w:val="000000"/>
          <w:szCs w:val="22"/>
          <w:lang w:val="fr-FR"/>
        </w:rPr>
        <w:t>2.</w:t>
      </w:r>
      <w:r w:rsidRPr="0026653F">
        <w:rPr>
          <w:color w:val="000000"/>
          <w:szCs w:val="22"/>
          <w:lang w:val="fr-FR"/>
        </w:rPr>
        <w:tab/>
      </w:r>
      <w:r w:rsidRPr="0026653F">
        <w:rPr>
          <w:szCs w:val="22"/>
          <w:lang w:val="fr-FR"/>
        </w:rPr>
        <w:t>D’exhorter les États membres à continuer de contribuer à l’atteinte des objectifs établis dans ces résolutions au moyen de la mise en place et de la mise en œuvre d’activités, de la soumission de rapports, de l’échange d’information, de l’adoption de mesures et de politiques, ainsi que d’activités de coopération, d’appui et d’entraide, et de charger également le Secrétariat général d’offrir le concours requis à ces fins.</w:t>
      </w:r>
    </w:p>
    <w:p w14:paraId="1A578B23" w14:textId="77777777" w:rsidR="000A4802" w:rsidRPr="0026653F" w:rsidRDefault="000A4802" w:rsidP="00C618DD">
      <w:pPr>
        <w:suppressAutoHyphens/>
        <w:rPr>
          <w:strike/>
          <w:szCs w:val="22"/>
          <w:u w:val="single"/>
          <w:lang w:val="fr-FR"/>
        </w:rPr>
      </w:pPr>
    </w:p>
    <w:p w14:paraId="2B818533" w14:textId="77777777" w:rsidR="000A4802" w:rsidRPr="0026653F" w:rsidRDefault="000A4802" w:rsidP="00C618DD">
      <w:pPr>
        <w:keepNext/>
        <w:suppressAutoHyphens/>
        <w:jc w:val="left"/>
        <w:rPr>
          <w:szCs w:val="22"/>
          <w:lang w:val="fr-FR"/>
        </w:rPr>
      </w:pPr>
      <w:r w:rsidRPr="0026653F">
        <w:rPr>
          <w:szCs w:val="22"/>
          <w:lang w:val="fr-FR"/>
        </w:rPr>
        <w:t>i.</w:t>
      </w:r>
      <w:r w:rsidRPr="0026653F">
        <w:rPr>
          <w:szCs w:val="22"/>
          <w:lang w:val="fr-FR"/>
        </w:rPr>
        <w:tab/>
      </w:r>
      <w:r w:rsidRPr="0026653F">
        <w:rPr>
          <w:szCs w:val="22"/>
          <w:u w:val="single"/>
          <w:lang w:val="fr-FR"/>
        </w:rPr>
        <w:t>Renforcement et innovation de la gestion publique dans les Amériques</w:t>
      </w:r>
    </w:p>
    <w:p w14:paraId="22DFB3F2" w14:textId="77777777" w:rsidR="000A4802" w:rsidRPr="0026653F" w:rsidRDefault="000A4802" w:rsidP="00C618DD">
      <w:pPr>
        <w:keepNext/>
        <w:suppressAutoHyphens/>
        <w:rPr>
          <w:szCs w:val="22"/>
          <w:lang w:val="fr-FR"/>
        </w:rPr>
      </w:pPr>
    </w:p>
    <w:p w14:paraId="7B070A26" w14:textId="20E0FA86" w:rsidR="000A4802" w:rsidRPr="0026653F" w:rsidRDefault="000A4802" w:rsidP="00C618DD">
      <w:pPr>
        <w:suppressAutoHyphens/>
        <w:ind w:firstLine="720"/>
        <w:rPr>
          <w:szCs w:val="22"/>
          <w:lang w:val="fr-FR"/>
        </w:rPr>
      </w:pPr>
      <w:r w:rsidRPr="0026653F">
        <w:rPr>
          <w:szCs w:val="22"/>
          <w:lang w:val="fr-FR"/>
        </w:rPr>
        <w:t>CONSIDÉRANT que la démocratie est essentielle au développement social, politique et économique des peuples des Amériques et que la gestion publique efficace, la promotion de la transparence, l’ouverture, l’inclusion numérique et la lutte contre la corruption sont des composantes essentielles pour</w:t>
      </w:r>
      <w:r w:rsidR="00F621DE" w:rsidRPr="0026653F">
        <w:rPr>
          <w:szCs w:val="22"/>
          <w:lang w:val="fr-FR"/>
        </w:rPr>
        <w:t xml:space="preserve"> le</w:t>
      </w:r>
      <w:r w:rsidRPr="0026653F">
        <w:rPr>
          <w:szCs w:val="22"/>
          <w:lang w:val="fr-FR"/>
        </w:rPr>
        <w:t xml:space="preserve"> plein exercice de la démocratie,</w:t>
      </w:r>
    </w:p>
    <w:p w14:paraId="581D5FB2" w14:textId="77777777" w:rsidR="000A4802" w:rsidRPr="0026653F" w:rsidRDefault="000A4802" w:rsidP="00C618DD">
      <w:pPr>
        <w:suppressAutoHyphens/>
        <w:rPr>
          <w:szCs w:val="22"/>
          <w:lang w:val="fr-FR"/>
        </w:rPr>
      </w:pPr>
    </w:p>
    <w:p w14:paraId="79ED0E4C" w14:textId="77777777" w:rsidR="000A4802" w:rsidRPr="0026653F" w:rsidRDefault="000A4802" w:rsidP="00C618DD">
      <w:pPr>
        <w:suppressAutoHyphens/>
        <w:ind w:firstLine="720"/>
        <w:rPr>
          <w:szCs w:val="22"/>
          <w:lang w:val="fr-FR"/>
        </w:rPr>
      </w:pPr>
      <w:r w:rsidRPr="0026653F">
        <w:rPr>
          <w:szCs w:val="22"/>
          <w:lang w:val="fr-FR"/>
        </w:rPr>
        <w:t>SOULIGNANT qu’il importe que les institutions publiques soient transparentes et efficaces et qu’elles disposent de mécanismes de participation citoyenne et de reddition de comptes,</w:t>
      </w:r>
    </w:p>
    <w:p w14:paraId="164A6343" w14:textId="77777777" w:rsidR="000A4802" w:rsidRPr="0026653F" w:rsidRDefault="000A4802" w:rsidP="00C618DD">
      <w:pPr>
        <w:suppressAutoHyphens/>
        <w:rPr>
          <w:szCs w:val="22"/>
          <w:lang w:val="fr-FR"/>
        </w:rPr>
      </w:pPr>
    </w:p>
    <w:p w14:paraId="3ECEB950" w14:textId="2511D8FB" w:rsidR="000A4802" w:rsidRPr="0026653F" w:rsidRDefault="000A4802" w:rsidP="00C618DD">
      <w:pPr>
        <w:suppressAutoHyphens/>
        <w:ind w:firstLine="720"/>
        <w:rPr>
          <w:bCs/>
          <w:szCs w:val="22"/>
          <w:lang w:val="fr-FR"/>
        </w:rPr>
      </w:pPr>
      <w:r w:rsidRPr="0026653F">
        <w:rPr>
          <w:szCs w:val="22"/>
          <w:lang w:val="fr-FR"/>
        </w:rPr>
        <w:t>RÉAFFIRMANT les engagements énoncés dans l’Engagement de Lima</w:t>
      </w:r>
      <w:r w:rsidRPr="0026653F">
        <w:rPr>
          <w:szCs w:val="22"/>
          <w:u w:val="single"/>
          <w:vertAlign w:val="superscript"/>
          <w:lang w:val="fr-FR"/>
        </w:rPr>
        <w:footnoteReference w:id="59"/>
      </w:r>
      <w:r w:rsidRPr="0026653F">
        <w:rPr>
          <w:szCs w:val="22"/>
          <w:vertAlign w:val="superscript"/>
          <w:lang w:val="fr-FR"/>
        </w:rPr>
        <w:t>/</w:t>
      </w:r>
      <w:r w:rsidRPr="0026653F">
        <w:rPr>
          <w:szCs w:val="22"/>
          <w:lang w:val="fr-FR"/>
        </w:rPr>
        <w:t>, lequel a été approuvé par les chefs d’État et de gouvernement lors du Huitième Sommet des Amériques tenu à Lima (Pérou) en avril 2018, en particulier ceux relatifs au renforcement des institutions démocratiques, à la promotion de politiques d’intégrité et de transparence, au gouvernement ouvert, au gouvernement numérique, aux données en libre accès, aux marchés publics, à l’équité et à l’égalité des sexes, à l’autonomisation des femmes ainsi qu’à l’inclusion des différents groupes en situation de vulnérabilité dans la définition des mesures visant à renforcer la gouvernance et à combattre la corruption [paragraphes 1, 7, 8, 14, 17, 20, 27, 33 et 50 de l’Engagement de Lima (CA-VIII.doc.1/18)</w:t>
      </w:r>
      <w:r w:rsidR="00BE0DFD" w:rsidRPr="0026653F">
        <w:rPr>
          <w:szCs w:val="22"/>
          <w:lang w:val="fr-FR"/>
        </w:rPr>
        <w:t xml:space="preserve"> rev. 1</w:t>
      </w:r>
      <w:r w:rsidRPr="0026653F">
        <w:rPr>
          <w:szCs w:val="22"/>
          <w:lang w:val="fr-FR"/>
        </w:rPr>
        <w:t>], et reconnaissant l’importance de créer des synergies entre les différentes tribunes internationales en la matière,</w:t>
      </w:r>
    </w:p>
    <w:p w14:paraId="1BA7FFD7" w14:textId="77777777" w:rsidR="000A4802" w:rsidRPr="0026653F" w:rsidRDefault="000A4802" w:rsidP="00C618DD">
      <w:pPr>
        <w:suppressAutoHyphens/>
        <w:rPr>
          <w:szCs w:val="22"/>
          <w:lang w:val="fr-FR"/>
        </w:rPr>
      </w:pPr>
    </w:p>
    <w:p w14:paraId="170EA36A" w14:textId="605D3B8C" w:rsidR="000A4802" w:rsidRPr="0026653F" w:rsidRDefault="000A4802" w:rsidP="00C618DD">
      <w:pPr>
        <w:suppressAutoHyphens/>
        <w:ind w:firstLine="720"/>
        <w:rPr>
          <w:szCs w:val="22"/>
          <w:lang w:val="fr-FR"/>
        </w:rPr>
      </w:pPr>
      <w:r w:rsidRPr="0026653F">
        <w:rPr>
          <w:szCs w:val="22"/>
          <w:lang w:val="fr-FR"/>
        </w:rPr>
        <w:t xml:space="preserve">RECONNAISSANT qu’il importe que les activités du Département pour l’efficacité dans la gestion publique soient menées, le cas échéant, en coordination avec la Commission interaméricaine des femmes </w:t>
      </w:r>
      <w:r w:rsidR="0000648E" w:rsidRPr="0026653F">
        <w:rPr>
          <w:szCs w:val="22"/>
          <w:lang w:val="fr-FR"/>
        </w:rPr>
        <w:t xml:space="preserve">à la lumière </w:t>
      </w:r>
      <w:r w:rsidRPr="0026653F">
        <w:rPr>
          <w:szCs w:val="22"/>
          <w:lang w:val="fr-FR"/>
        </w:rPr>
        <w:t>de la promotion et de la protection des droits des femmes</w:t>
      </w:r>
      <w:r w:rsidR="00F621DE" w:rsidRPr="0026653F">
        <w:rPr>
          <w:szCs w:val="22"/>
          <w:lang w:val="fr-FR"/>
        </w:rPr>
        <w:t xml:space="preserve"> ainsi que </w:t>
      </w:r>
      <w:r w:rsidRPr="0026653F">
        <w:rPr>
          <w:szCs w:val="22"/>
          <w:lang w:val="fr-FR"/>
        </w:rPr>
        <w:t>de l’équité et de l’égalité entre les sexes,</w:t>
      </w:r>
    </w:p>
    <w:p w14:paraId="279FD7DA" w14:textId="77777777" w:rsidR="000A4802" w:rsidRPr="0026653F" w:rsidRDefault="000A4802" w:rsidP="00C618DD">
      <w:pPr>
        <w:suppressAutoHyphens/>
        <w:rPr>
          <w:szCs w:val="22"/>
          <w:lang w:val="fr-FR"/>
        </w:rPr>
      </w:pPr>
    </w:p>
    <w:p w14:paraId="3A287E78" w14:textId="73C25DC5" w:rsidR="000A4802" w:rsidRPr="0026653F" w:rsidRDefault="00F621DE" w:rsidP="00C618DD">
      <w:pPr>
        <w:suppressAutoHyphens/>
        <w:ind w:firstLine="720"/>
        <w:rPr>
          <w:i/>
          <w:szCs w:val="22"/>
          <w:lang w:val="fr-FR"/>
        </w:rPr>
      </w:pPr>
      <w:r w:rsidRPr="0026653F">
        <w:rPr>
          <w:szCs w:val="22"/>
          <w:lang w:val="fr-FR"/>
        </w:rPr>
        <w:t xml:space="preserve">RÉAFFIRMANT </w:t>
      </w:r>
      <w:r w:rsidR="000A4802" w:rsidRPr="0026653F">
        <w:rPr>
          <w:szCs w:val="22"/>
          <w:lang w:val="fr-FR"/>
        </w:rPr>
        <w:t xml:space="preserve">l’importance de la transparence dans la gestion publique et d’une culture de la légalité comme conditions indispensables à la lutte contre la corruption, de même que l’engagement des États membres de continuer à promouvoir leur renforcement par des mesures et actions visant à prévenir, détecter, </w:t>
      </w:r>
      <w:r w:rsidR="007E43AA" w:rsidRPr="0026653F">
        <w:rPr>
          <w:szCs w:val="22"/>
          <w:lang w:val="fr-FR"/>
        </w:rPr>
        <w:t>réprimer</w:t>
      </w:r>
      <w:r w:rsidR="000A4802" w:rsidRPr="0026653F">
        <w:rPr>
          <w:szCs w:val="22"/>
          <w:lang w:val="fr-FR"/>
        </w:rPr>
        <w:t xml:space="preserve"> et éliminer les actes de corruption, </w:t>
      </w:r>
    </w:p>
    <w:p w14:paraId="3E8884E1" w14:textId="77777777" w:rsidR="000A4802" w:rsidRPr="0026653F" w:rsidRDefault="000A4802" w:rsidP="00C618DD">
      <w:pPr>
        <w:suppressAutoHyphens/>
        <w:autoSpaceDE w:val="0"/>
        <w:autoSpaceDN w:val="0"/>
        <w:adjustRightInd w:val="0"/>
        <w:rPr>
          <w:bCs/>
          <w:color w:val="000000"/>
          <w:szCs w:val="22"/>
          <w:lang w:val="fr-FR"/>
        </w:rPr>
      </w:pPr>
    </w:p>
    <w:p w14:paraId="165E89ED" w14:textId="751BC001" w:rsidR="000A4802" w:rsidRPr="0026653F" w:rsidRDefault="000A4802" w:rsidP="00C618DD">
      <w:pPr>
        <w:suppressAutoHyphens/>
        <w:autoSpaceDE w:val="0"/>
        <w:autoSpaceDN w:val="0"/>
        <w:adjustRightInd w:val="0"/>
        <w:ind w:firstLine="720"/>
        <w:rPr>
          <w:color w:val="000000"/>
          <w:szCs w:val="22"/>
          <w:lang w:val="fr-FR"/>
        </w:rPr>
      </w:pPr>
      <w:r w:rsidRPr="0026653F">
        <w:rPr>
          <w:color w:val="000000"/>
          <w:szCs w:val="22"/>
          <w:lang w:val="fr-FR"/>
        </w:rPr>
        <w:t xml:space="preserve">CONSCIENTE des </w:t>
      </w:r>
      <w:r w:rsidR="007E43AA" w:rsidRPr="0026653F">
        <w:rPr>
          <w:color w:val="000000"/>
          <w:szCs w:val="22"/>
          <w:lang w:val="fr-FR"/>
        </w:rPr>
        <w:t xml:space="preserve">effets défavorables occasionnés </w:t>
      </w:r>
      <w:r w:rsidRPr="0026653F">
        <w:rPr>
          <w:color w:val="000000"/>
          <w:szCs w:val="22"/>
          <w:lang w:val="fr-FR"/>
        </w:rPr>
        <w:t xml:space="preserve">par la pandémie de COVID-19 pour les citoyens de </w:t>
      </w:r>
      <w:r w:rsidR="00DF5BCE" w:rsidRPr="0026653F">
        <w:rPr>
          <w:color w:val="000000"/>
          <w:szCs w:val="22"/>
          <w:lang w:val="fr-FR"/>
        </w:rPr>
        <w:t>la</w:t>
      </w:r>
      <w:r w:rsidRPr="0026653F">
        <w:rPr>
          <w:color w:val="000000"/>
          <w:szCs w:val="22"/>
          <w:lang w:val="fr-FR"/>
        </w:rPr>
        <w:t xml:space="preserve"> région, en particulier les femmes et les enfants</w:t>
      </w:r>
      <w:r w:rsidR="007E43AA" w:rsidRPr="0026653F">
        <w:rPr>
          <w:color w:val="000000"/>
          <w:szCs w:val="22"/>
          <w:lang w:val="fr-FR"/>
        </w:rPr>
        <w:t>,</w:t>
      </w:r>
      <w:r w:rsidRPr="0026653F">
        <w:rPr>
          <w:color w:val="000000"/>
          <w:szCs w:val="22"/>
          <w:lang w:val="fr-FR"/>
        </w:rPr>
        <w:t xml:space="preserve"> et considérant que les technologies de l’information et de</w:t>
      </w:r>
      <w:r w:rsidR="007E43AA" w:rsidRPr="0026653F">
        <w:rPr>
          <w:color w:val="000000"/>
          <w:szCs w:val="22"/>
          <w:lang w:val="fr-FR"/>
        </w:rPr>
        <w:t>s</w:t>
      </w:r>
      <w:r w:rsidRPr="0026653F">
        <w:rPr>
          <w:color w:val="000000"/>
          <w:szCs w:val="22"/>
          <w:lang w:val="fr-FR"/>
        </w:rPr>
        <w:t xml:space="preserve"> communication</w:t>
      </w:r>
      <w:r w:rsidR="007E43AA" w:rsidRPr="0026653F">
        <w:rPr>
          <w:color w:val="000000"/>
          <w:szCs w:val="22"/>
          <w:lang w:val="fr-FR"/>
        </w:rPr>
        <w:t>s</w:t>
      </w:r>
      <w:r w:rsidR="009404E2" w:rsidRPr="0026653F">
        <w:rPr>
          <w:color w:val="000000"/>
          <w:szCs w:val="22"/>
          <w:lang w:val="fr-FR"/>
        </w:rPr>
        <w:t xml:space="preserve"> </w:t>
      </w:r>
      <w:r w:rsidRPr="0026653F">
        <w:rPr>
          <w:color w:val="000000"/>
          <w:szCs w:val="22"/>
          <w:lang w:val="fr-FR"/>
        </w:rPr>
        <w:t xml:space="preserve">sont un outil essentiel pour </w:t>
      </w:r>
      <w:r w:rsidR="00D92B80" w:rsidRPr="0026653F">
        <w:rPr>
          <w:color w:val="000000"/>
          <w:szCs w:val="22"/>
          <w:lang w:val="fr-FR"/>
        </w:rPr>
        <w:t xml:space="preserve">une riposte effective </w:t>
      </w:r>
      <w:r w:rsidRPr="0026653F">
        <w:rPr>
          <w:color w:val="000000"/>
          <w:szCs w:val="22"/>
          <w:lang w:val="fr-FR"/>
        </w:rPr>
        <w:t>des gouvernements face à la crise causée par la pandémie de COVID-19 en facilitant l’aide</w:t>
      </w:r>
      <w:r w:rsidR="00D92B80" w:rsidRPr="0026653F">
        <w:rPr>
          <w:color w:val="000000"/>
          <w:szCs w:val="22"/>
          <w:lang w:val="fr-FR"/>
        </w:rPr>
        <w:t xml:space="preserve"> et l’</w:t>
      </w:r>
      <w:r w:rsidR="00763D41" w:rsidRPr="0026653F">
        <w:rPr>
          <w:color w:val="000000"/>
          <w:szCs w:val="22"/>
          <w:lang w:val="fr-FR"/>
        </w:rPr>
        <w:t>accessibilité</w:t>
      </w:r>
      <w:r w:rsidR="00D92B80" w:rsidRPr="0026653F">
        <w:rPr>
          <w:color w:val="000000"/>
          <w:szCs w:val="22"/>
          <w:lang w:val="fr-FR"/>
        </w:rPr>
        <w:t xml:space="preserve"> </w:t>
      </w:r>
      <w:r w:rsidR="00D66596" w:rsidRPr="0026653F">
        <w:rPr>
          <w:color w:val="000000"/>
          <w:szCs w:val="22"/>
          <w:lang w:val="fr-FR"/>
        </w:rPr>
        <w:t xml:space="preserve">des </w:t>
      </w:r>
      <w:r w:rsidRPr="0026653F">
        <w:rPr>
          <w:color w:val="000000"/>
          <w:szCs w:val="22"/>
          <w:lang w:val="fr-FR"/>
        </w:rPr>
        <w:t xml:space="preserve">services </w:t>
      </w:r>
      <w:r w:rsidR="007E43AA" w:rsidRPr="0026653F">
        <w:rPr>
          <w:color w:val="000000"/>
          <w:szCs w:val="22"/>
          <w:lang w:val="fr-FR"/>
        </w:rPr>
        <w:t xml:space="preserve">au bénéfice des </w:t>
      </w:r>
      <w:r w:rsidRPr="0026653F">
        <w:rPr>
          <w:color w:val="000000"/>
          <w:szCs w:val="22"/>
          <w:lang w:val="fr-FR"/>
        </w:rPr>
        <w:t>citoyens ainsi que le fonctionnement des administrations publiques</w:t>
      </w:r>
      <w:r w:rsidR="00D66596" w:rsidRPr="0026653F">
        <w:rPr>
          <w:color w:val="000000"/>
          <w:szCs w:val="22"/>
          <w:lang w:val="fr-FR"/>
        </w:rPr>
        <w:t xml:space="preserve"> </w:t>
      </w:r>
      <w:r w:rsidRPr="0026653F">
        <w:rPr>
          <w:color w:val="000000"/>
          <w:szCs w:val="22"/>
          <w:lang w:val="fr-FR"/>
        </w:rPr>
        <w:t>à distance,</w:t>
      </w:r>
    </w:p>
    <w:p w14:paraId="43DE08F0" w14:textId="77777777" w:rsidR="000A4802" w:rsidRPr="00C618DD" w:rsidRDefault="000A4802" w:rsidP="00C618DD">
      <w:pPr>
        <w:suppressAutoHyphens/>
        <w:autoSpaceDE w:val="0"/>
        <w:autoSpaceDN w:val="0"/>
        <w:adjustRightInd w:val="0"/>
        <w:rPr>
          <w:color w:val="000000"/>
          <w:szCs w:val="22"/>
          <w:lang w:val="fr-FR"/>
        </w:rPr>
      </w:pPr>
    </w:p>
    <w:p w14:paraId="3809AFBC" w14:textId="6E8537F9" w:rsidR="000A4802" w:rsidRPr="0026653F" w:rsidRDefault="000A4802" w:rsidP="00C618DD">
      <w:pPr>
        <w:suppressAutoHyphens/>
        <w:autoSpaceDE w:val="0"/>
        <w:autoSpaceDN w:val="0"/>
        <w:adjustRightInd w:val="0"/>
        <w:ind w:firstLine="720"/>
        <w:rPr>
          <w:color w:val="000000"/>
          <w:szCs w:val="22"/>
          <w:lang w:val="fr-FR"/>
        </w:rPr>
      </w:pPr>
      <w:r w:rsidRPr="0026653F">
        <w:rPr>
          <w:color w:val="000000"/>
          <w:szCs w:val="22"/>
          <w:lang w:val="fr-FR"/>
        </w:rPr>
        <w:t xml:space="preserve">CONSIDÉRANT que les principes du </w:t>
      </w:r>
      <w:r w:rsidR="00497452" w:rsidRPr="0026653F">
        <w:rPr>
          <w:color w:val="000000"/>
          <w:szCs w:val="22"/>
          <w:lang w:val="fr-FR"/>
        </w:rPr>
        <w:t>g</w:t>
      </w:r>
      <w:r w:rsidRPr="0026653F">
        <w:rPr>
          <w:color w:val="000000"/>
          <w:szCs w:val="22"/>
          <w:lang w:val="fr-FR"/>
        </w:rPr>
        <w:t xml:space="preserve">ouvernement ouvert – transparence, reddition de comptes, collaboration et participation dans la sphère publique – sont fondamentaux pour </w:t>
      </w:r>
      <w:r w:rsidR="00D66596" w:rsidRPr="0026653F">
        <w:rPr>
          <w:color w:val="000000"/>
          <w:szCs w:val="22"/>
          <w:lang w:val="fr-FR"/>
        </w:rPr>
        <w:t xml:space="preserve">une </w:t>
      </w:r>
      <w:r w:rsidRPr="0026653F">
        <w:rPr>
          <w:color w:val="000000"/>
          <w:szCs w:val="22"/>
          <w:lang w:val="fr-FR"/>
        </w:rPr>
        <w:t xml:space="preserve">confiance </w:t>
      </w:r>
      <w:r w:rsidR="00D66596" w:rsidRPr="0026653F">
        <w:rPr>
          <w:color w:val="000000"/>
          <w:szCs w:val="22"/>
          <w:lang w:val="fr-FR"/>
        </w:rPr>
        <w:t xml:space="preserve">accrue du public envers </w:t>
      </w:r>
      <w:r w:rsidRPr="0026653F">
        <w:rPr>
          <w:color w:val="000000"/>
          <w:szCs w:val="22"/>
          <w:lang w:val="fr-FR"/>
        </w:rPr>
        <w:t xml:space="preserve">les gouvernements et </w:t>
      </w:r>
      <w:r w:rsidR="00D66596" w:rsidRPr="0026653F">
        <w:rPr>
          <w:color w:val="000000"/>
          <w:szCs w:val="22"/>
          <w:lang w:val="fr-FR"/>
        </w:rPr>
        <w:t xml:space="preserve">pour </w:t>
      </w:r>
      <w:r w:rsidRPr="0026653F">
        <w:rPr>
          <w:color w:val="000000"/>
          <w:szCs w:val="22"/>
          <w:lang w:val="fr-FR"/>
        </w:rPr>
        <w:t>le renforcement de la démocratie,</w:t>
      </w:r>
    </w:p>
    <w:p w14:paraId="66A7A340" w14:textId="77777777" w:rsidR="000A4802" w:rsidRPr="0026653F" w:rsidRDefault="000A4802" w:rsidP="00C618DD">
      <w:pPr>
        <w:suppressAutoHyphens/>
        <w:rPr>
          <w:szCs w:val="22"/>
          <w:lang w:val="fr-FR"/>
        </w:rPr>
      </w:pPr>
    </w:p>
    <w:p w14:paraId="482EB3ED" w14:textId="77777777" w:rsidR="000A4802" w:rsidRPr="0026653F" w:rsidRDefault="000A4802" w:rsidP="00C618DD">
      <w:pPr>
        <w:keepNext/>
        <w:suppressAutoHyphens/>
        <w:rPr>
          <w:szCs w:val="22"/>
          <w:lang w:val="fr-FR"/>
        </w:rPr>
      </w:pPr>
      <w:r w:rsidRPr="0026653F">
        <w:rPr>
          <w:szCs w:val="22"/>
          <w:lang w:val="fr-FR"/>
        </w:rPr>
        <w:lastRenderedPageBreak/>
        <w:t>DÉCIDE :</w:t>
      </w:r>
    </w:p>
    <w:p w14:paraId="42B97798" w14:textId="77777777" w:rsidR="000A4802" w:rsidRPr="0026653F" w:rsidRDefault="000A4802" w:rsidP="00C618DD">
      <w:pPr>
        <w:keepNext/>
        <w:suppressAutoHyphens/>
        <w:rPr>
          <w:szCs w:val="22"/>
          <w:lang w:val="fr-FR"/>
        </w:rPr>
      </w:pPr>
    </w:p>
    <w:p w14:paraId="602DDCA8" w14:textId="77777777" w:rsidR="000A4802" w:rsidRPr="0026653F" w:rsidRDefault="000A4802" w:rsidP="00C618DD">
      <w:pPr>
        <w:numPr>
          <w:ilvl w:val="0"/>
          <w:numId w:val="65"/>
        </w:numPr>
        <w:suppressAutoHyphens/>
        <w:ind w:left="0" w:firstLine="720"/>
        <w:rPr>
          <w:rFonts w:eastAsia="Arial Unicode MS"/>
          <w:szCs w:val="22"/>
          <w:lang w:val="fr-FR"/>
        </w:rPr>
      </w:pPr>
      <w:r w:rsidRPr="0026653F">
        <w:rPr>
          <w:rFonts w:eastAsia="Arial Unicode MS"/>
          <w:szCs w:val="22"/>
          <w:lang w:val="fr-FR"/>
        </w:rPr>
        <w:t>D’exhorter les États membres à promouvoir des codes de conduite assortis de normes strictes d’éthique, de probité, de transparence et d’intégrité dans le secteur public, en appuyant les efforts de conscientisation et de formation sur ces thèmes et en prenant comme référence les recommandations énoncées dans les Lignes directrices pour la gestion des politiques d’intégrité dans les administrations publiques des Amériques.</w:t>
      </w:r>
    </w:p>
    <w:p w14:paraId="5A76FC16" w14:textId="77777777" w:rsidR="000A4802" w:rsidRPr="0026653F" w:rsidRDefault="000A4802" w:rsidP="00C618DD">
      <w:pPr>
        <w:suppressAutoHyphens/>
        <w:rPr>
          <w:szCs w:val="22"/>
          <w:lang w:val="fr-FR"/>
        </w:rPr>
      </w:pPr>
    </w:p>
    <w:p w14:paraId="21B1B6C7" w14:textId="77777777" w:rsidR="000A4802" w:rsidRPr="0026653F" w:rsidRDefault="000A4802" w:rsidP="00C618DD">
      <w:pPr>
        <w:suppressAutoHyphens/>
        <w:ind w:firstLine="720"/>
        <w:rPr>
          <w:szCs w:val="22"/>
          <w:lang w:val="fr-FR"/>
        </w:rPr>
      </w:pPr>
      <w:r w:rsidRPr="0026653F">
        <w:rPr>
          <w:szCs w:val="22"/>
          <w:lang w:val="fr-FR"/>
        </w:rPr>
        <w:t>2.</w:t>
      </w:r>
      <w:r w:rsidRPr="0026653F">
        <w:rPr>
          <w:szCs w:val="22"/>
          <w:lang w:val="fr-FR"/>
        </w:rPr>
        <w:tab/>
        <w:t xml:space="preserve">De charger le Secrétariat général de </w:t>
      </w:r>
      <w:r w:rsidRPr="0026653F">
        <w:rPr>
          <w:bCs/>
          <w:szCs w:val="22"/>
          <w:lang w:val="fr-FR"/>
        </w:rPr>
        <w:t>continuer de</w:t>
      </w:r>
      <w:r w:rsidRPr="0026653F">
        <w:rPr>
          <w:szCs w:val="22"/>
          <w:lang w:val="fr-FR"/>
        </w:rPr>
        <w:t xml:space="preserve"> soutenir les efforts déployés par les États membres </w:t>
      </w:r>
      <w:bookmarkStart w:id="52" w:name="_Hlk52874595"/>
      <w:r w:rsidRPr="0026653F">
        <w:rPr>
          <w:szCs w:val="22"/>
          <w:lang w:val="fr-FR"/>
        </w:rPr>
        <w:t>qui en font la demande</w:t>
      </w:r>
      <w:bookmarkEnd w:id="52"/>
      <w:r w:rsidRPr="0026653F">
        <w:rPr>
          <w:szCs w:val="22"/>
          <w:lang w:val="fr-FR"/>
        </w:rPr>
        <w:t xml:space="preserve">, y compris par le biais de son école d’administration publique, pour assurer le renforcement institutionnel de l’administration publique, nationale et locale, au moyen de programmes de formation </w:t>
      </w:r>
      <w:r w:rsidRPr="0026653F">
        <w:rPr>
          <w:bCs/>
          <w:szCs w:val="22"/>
          <w:lang w:val="fr-FR"/>
        </w:rPr>
        <w:t>visant le renforcement de la gouvernance démocratique et inclusive, des pratiques de transparence institutionnelle, de l’accès à la justice, de la participation des citoyens et de la reddition de comptes aux citoyens.</w:t>
      </w:r>
    </w:p>
    <w:p w14:paraId="39BDC184" w14:textId="77777777" w:rsidR="000A4802" w:rsidRPr="0026653F" w:rsidRDefault="000A4802" w:rsidP="00C618DD">
      <w:pPr>
        <w:suppressAutoHyphens/>
        <w:rPr>
          <w:szCs w:val="22"/>
          <w:lang w:val="fr-FR"/>
        </w:rPr>
      </w:pPr>
    </w:p>
    <w:p w14:paraId="3FB5BAE5" w14:textId="07C13988" w:rsidR="000A4802" w:rsidRPr="0026653F" w:rsidRDefault="000A4802" w:rsidP="00C618DD">
      <w:pPr>
        <w:suppressAutoHyphens/>
        <w:ind w:firstLine="720"/>
        <w:rPr>
          <w:szCs w:val="22"/>
          <w:lang w:val="fr-FR"/>
        </w:rPr>
      </w:pPr>
      <w:r w:rsidRPr="0026653F">
        <w:rPr>
          <w:szCs w:val="22"/>
          <w:lang w:val="fr-FR"/>
        </w:rPr>
        <w:t>3.</w:t>
      </w:r>
      <w:r w:rsidRPr="0026653F">
        <w:rPr>
          <w:szCs w:val="22"/>
          <w:lang w:val="fr-FR"/>
        </w:rPr>
        <w:tab/>
        <w:t>De charger le Secrétariat général de continuer de soutenir les États membres qui en font la demande, par l’intermédiaire du Département pour l’efficacité dans la gestion publique, pour la mise en œuvre de politiques de gouvernement ouvert et numérique, les données en libre accès, la transparence fiscale, la simplification administrative, les budgets ouverts, les systèmes électroniques d’achat et de passation de marchés ainsi que l’enregistrement public des fournisseurs de l’État, en tenant compte du fait que ces questions sont fondamentales pour la réponse et pour la reprise face à la crise causée par la pandémie de COVID-19 et qu’elles exigent la participation de la société civile et d’autres acteurs sociaux.</w:t>
      </w:r>
    </w:p>
    <w:p w14:paraId="39CFCA25" w14:textId="77777777" w:rsidR="000A4802" w:rsidRPr="0026653F" w:rsidRDefault="000A4802" w:rsidP="00C618DD">
      <w:pPr>
        <w:suppressAutoHyphens/>
        <w:rPr>
          <w:szCs w:val="22"/>
          <w:lang w:val="fr-FR"/>
        </w:rPr>
      </w:pPr>
    </w:p>
    <w:p w14:paraId="738AB6F1" w14:textId="77777777" w:rsidR="000A4802" w:rsidRPr="0026653F" w:rsidRDefault="000A4802" w:rsidP="00C618DD">
      <w:pPr>
        <w:suppressAutoHyphens/>
        <w:ind w:firstLine="720"/>
        <w:rPr>
          <w:szCs w:val="22"/>
          <w:lang w:val="fr-FR"/>
        </w:rPr>
      </w:pPr>
      <w:r w:rsidRPr="0026653F">
        <w:rPr>
          <w:szCs w:val="22"/>
          <w:lang w:val="fr-FR"/>
        </w:rPr>
        <w:t>4.</w:t>
      </w:r>
      <w:r w:rsidRPr="0026653F">
        <w:rPr>
          <w:szCs w:val="22"/>
          <w:lang w:val="fr-FR"/>
        </w:rPr>
        <w:tab/>
        <w:t>De demander au Département pour l’efficacité dans la gestion publique de continuer d’appuyer les efforts déployés par les États membres en vue du renforcement de l’efficacité dans la gestion publique au moyen du partage de données d’expériences par le biais du Mécanisme de coopération interaméricaine pour l’efficacité dans la gestion publique (MECIGEP).</w:t>
      </w:r>
    </w:p>
    <w:p w14:paraId="2B994306" w14:textId="77777777" w:rsidR="000A4802" w:rsidRPr="0026653F" w:rsidRDefault="000A4802" w:rsidP="00C618DD">
      <w:pPr>
        <w:suppressAutoHyphens/>
        <w:rPr>
          <w:szCs w:val="22"/>
          <w:lang w:val="fr-FR"/>
        </w:rPr>
      </w:pPr>
    </w:p>
    <w:p w14:paraId="31AD003E" w14:textId="1AC8C371" w:rsidR="000A4802" w:rsidRPr="0026653F" w:rsidRDefault="000A4802" w:rsidP="00C618DD">
      <w:pPr>
        <w:suppressAutoHyphens/>
        <w:ind w:firstLine="720"/>
        <w:rPr>
          <w:iCs/>
          <w:color w:val="000000"/>
          <w:szCs w:val="22"/>
          <w:lang w:val="fr-FR"/>
        </w:rPr>
      </w:pPr>
      <w:r w:rsidRPr="0026653F">
        <w:rPr>
          <w:szCs w:val="22"/>
          <w:lang w:val="fr-FR"/>
        </w:rPr>
        <w:t>5.</w:t>
      </w:r>
      <w:r w:rsidRPr="0026653F">
        <w:rPr>
          <w:szCs w:val="22"/>
          <w:lang w:val="fr-FR"/>
        </w:rPr>
        <w:tab/>
        <w:t xml:space="preserve">De demander au Département pour l’efficacité dans la gestion publique, en sa qualité de secrétariat technique du MECIGEP, de mettre au point, en coordination avec le Secrétariat technique du Mécanisme de suivi de la mise en œuvre de la Convention interaméricaine contre la corruption (MESICIC), dans les limites de leurs compétences respectives, des mesures visant à faciliter l’identification de possibilités et l’offre de coopération technique entre les États parties au MESICIC qui en font la demande, en mettant à profit les capacités du MECIGEP. </w:t>
      </w:r>
    </w:p>
    <w:p w14:paraId="54EF13CD" w14:textId="77777777" w:rsidR="000A4802" w:rsidRPr="0026653F" w:rsidRDefault="000A4802" w:rsidP="00C618DD">
      <w:pPr>
        <w:suppressAutoHyphens/>
        <w:rPr>
          <w:szCs w:val="22"/>
          <w:lang w:val="fr-FR"/>
        </w:rPr>
      </w:pPr>
    </w:p>
    <w:p w14:paraId="72D79209" w14:textId="77777777" w:rsidR="000A4802" w:rsidRPr="0026653F" w:rsidRDefault="000A4802" w:rsidP="00C618DD">
      <w:pPr>
        <w:suppressAutoHyphens/>
        <w:autoSpaceDE w:val="0"/>
        <w:autoSpaceDN w:val="0"/>
        <w:adjustRightInd w:val="0"/>
        <w:ind w:firstLine="720"/>
        <w:rPr>
          <w:color w:val="000000"/>
          <w:szCs w:val="22"/>
          <w:lang w:val="fr-FR"/>
        </w:rPr>
      </w:pPr>
      <w:r w:rsidRPr="0026653F">
        <w:rPr>
          <w:color w:val="000000"/>
          <w:szCs w:val="22"/>
          <w:lang w:val="fr-FR"/>
        </w:rPr>
        <w:t>6.</w:t>
      </w:r>
      <w:r w:rsidRPr="0026653F">
        <w:rPr>
          <w:color w:val="000000"/>
          <w:szCs w:val="22"/>
          <w:lang w:val="fr-FR"/>
        </w:rPr>
        <w:tab/>
        <w:t xml:space="preserve">D’exhorter les États membres à intensifier leurs efforts pour rendre leurs réponses à la pandémie de COVID-19 plus transparentes et inclusives en ouvrant l’accès aux données prioritaires désagrégés, comme chaque État membre le juge pertinent, et en impliquant les organisations de la société civile et les autres acteurs sociaux dans la conception, la mise en œuvre et l’évaluation ou l’appréciation des réponses à la pandémie. </w:t>
      </w:r>
    </w:p>
    <w:p w14:paraId="530A590E" w14:textId="77777777" w:rsidR="000A4802" w:rsidRPr="0026653F" w:rsidRDefault="000A4802" w:rsidP="00C618DD">
      <w:pPr>
        <w:suppressAutoHyphens/>
        <w:autoSpaceDE w:val="0"/>
        <w:autoSpaceDN w:val="0"/>
        <w:adjustRightInd w:val="0"/>
        <w:rPr>
          <w:color w:val="000000"/>
          <w:szCs w:val="22"/>
          <w:lang w:val="fr-FR"/>
        </w:rPr>
      </w:pPr>
    </w:p>
    <w:p w14:paraId="4F075C9B" w14:textId="22FE7FE6" w:rsidR="000A4802" w:rsidRPr="0026653F" w:rsidRDefault="000A4802" w:rsidP="00C618DD">
      <w:pPr>
        <w:suppressAutoHyphens/>
        <w:autoSpaceDE w:val="0"/>
        <w:autoSpaceDN w:val="0"/>
        <w:adjustRightInd w:val="0"/>
        <w:ind w:firstLine="720"/>
        <w:rPr>
          <w:b/>
          <w:bCs/>
          <w:color w:val="000000"/>
          <w:szCs w:val="22"/>
          <w:lang w:val="fr-FR"/>
        </w:rPr>
      </w:pPr>
      <w:r w:rsidRPr="0026653F">
        <w:rPr>
          <w:color w:val="000000"/>
          <w:szCs w:val="22"/>
          <w:lang w:val="fr-FR"/>
        </w:rPr>
        <w:t xml:space="preserve">7. </w:t>
      </w:r>
      <w:r w:rsidRPr="0026653F">
        <w:rPr>
          <w:color w:val="000000"/>
          <w:szCs w:val="22"/>
          <w:lang w:val="fr-FR"/>
        </w:rPr>
        <w:tab/>
        <w:t>De charger le Secrétariat général de continuer à appuyer, par l’intermédiaire du Département pour l’efficacité dans la gestion publique, les États membres qui en font la demande dans la mise en application des principes de gouvernement ouvert de transparence, de reddition de comptes, de collaboration et de participation des citoyens dans la région.</w:t>
      </w:r>
    </w:p>
    <w:p w14:paraId="68787D13" w14:textId="77777777" w:rsidR="000A4802" w:rsidRPr="0026653F" w:rsidRDefault="000A4802" w:rsidP="00C618DD">
      <w:pPr>
        <w:suppressAutoHyphens/>
        <w:rPr>
          <w:szCs w:val="22"/>
          <w:lang w:val="fr-FR"/>
        </w:rPr>
      </w:pPr>
    </w:p>
    <w:p w14:paraId="716328C7" w14:textId="43EE84CB" w:rsidR="000A4802" w:rsidRPr="0026653F" w:rsidRDefault="000A4802" w:rsidP="00C618DD">
      <w:pPr>
        <w:suppressAutoHyphens/>
        <w:ind w:firstLine="720"/>
        <w:rPr>
          <w:b/>
          <w:bCs/>
          <w:szCs w:val="22"/>
          <w:lang w:val="fr-FR"/>
        </w:rPr>
      </w:pPr>
      <w:r w:rsidRPr="0026653F">
        <w:rPr>
          <w:bCs/>
          <w:szCs w:val="22"/>
          <w:lang w:val="fr-FR"/>
        </w:rPr>
        <w:lastRenderedPageBreak/>
        <w:t>8.</w:t>
      </w:r>
      <w:r w:rsidRPr="0026653F">
        <w:rPr>
          <w:bCs/>
          <w:szCs w:val="22"/>
          <w:lang w:val="fr-FR"/>
        </w:rPr>
        <w:tab/>
        <w:t xml:space="preserve">De demander au Secrétariat général de continuer à promouvoir, par le biais du Département pour l’efficacité dans la gestion publique en tant que </w:t>
      </w:r>
      <w:r w:rsidR="00E10762" w:rsidRPr="0026653F">
        <w:rPr>
          <w:bCs/>
          <w:szCs w:val="22"/>
          <w:lang w:val="fr-FR"/>
        </w:rPr>
        <w:t>s</w:t>
      </w:r>
      <w:r w:rsidRPr="0026653F">
        <w:rPr>
          <w:bCs/>
          <w:szCs w:val="22"/>
          <w:lang w:val="fr-FR"/>
        </w:rPr>
        <w:t>ecrétariat technique du Réseau interaméricain des marchés publics, les politiques nécessaires de sorte que les marchés publics constituent un domaine stratégique pour l’atteinte des objectifs de développement durable et la réalisation du Programme 2030 à la lumière de la conjoncture et des capacités nationales.</w:t>
      </w:r>
    </w:p>
    <w:p w14:paraId="04204332" w14:textId="77777777" w:rsidR="000A4802" w:rsidRPr="0026653F" w:rsidRDefault="000A4802" w:rsidP="00C618DD">
      <w:pPr>
        <w:suppressAutoHyphens/>
        <w:rPr>
          <w:szCs w:val="22"/>
          <w:lang w:val="fr-FR"/>
        </w:rPr>
      </w:pPr>
    </w:p>
    <w:p w14:paraId="64BE9407" w14:textId="77777777" w:rsidR="000A4802" w:rsidRPr="0026653F" w:rsidRDefault="000A4802" w:rsidP="00C618DD">
      <w:pPr>
        <w:suppressAutoHyphens/>
        <w:ind w:firstLine="720"/>
        <w:rPr>
          <w:szCs w:val="22"/>
          <w:lang w:val="fr-FR"/>
        </w:rPr>
      </w:pPr>
      <w:r w:rsidRPr="0026653F">
        <w:rPr>
          <w:bCs/>
          <w:szCs w:val="22"/>
          <w:lang w:val="fr-FR"/>
        </w:rPr>
        <w:t>9.</w:t>
      </w:r>
      <w:r w:rsidRPr="0026653F">
        <w:rPr>
          <w:bCs/>
          <w:szCs w:val="22"/>
          <w:lang w:val="fr-FR"/>
        </w:rPr>
        <w:tab/>
        <w:t>De charger le Secrétariat général de continuer à soutenir les efforts que les États membres déploient pour renforcer les capacités des acheteurs publics en tant qu’agents fondamentaux dans la conception et la mise en œuvre des politiques de marchés publics et dans l’utilisation de systèmes ou d’outils technologiques à l’appui des marchés publics, afin de leur permettre d’exercer leurs fonctions avec plus d’intégrité, de transparence, d’efficacité et d’innovation.</w:t>
      </w:r>
    </w:p>
    <w:p w14:paraId="7E41B997" w14:textId="77777777" w:rsidR="000A4802" w:rsidRPr="0026653F" w:rsidRDefault="000A4802" w:rsidP="00C618DD">
      <w:pPr>
        <w:suppressAutoHyphens/>
        <w:rPr>
          <w:szCs w:val="22"/>
          <w:lang w:val="fr-FR"/>
        </w:rPr>
      </w:pPr>
    </w:p>
    <w:p w14:paraId="3A79C905" w14:textId="5FC3D165" w:rsidR="000A4802" w:rsidRPr="0026653F" w:rsidRDefault="000A4802" w:rsidP="00C618DD">
      <w:pPr>
        <w:suppressAutoHyphens/>
        <w:ind w:firstLine="720"/>
        <w:rPr>
          <w:bCs/>
          <w:szCs w:val="22"/>
          <w:lang w:val="fr-FR"/>
        </w:rPr>
      </w:pPr>
      <w:r w:rsidRPr="0026653F">
        <w:rPr>
          <w:bCs/>
          <w:szCs w:val="22"/>
          <w:lang w:val="fr-FR"/>
        </w:rPr>
        <w:t>10.</w:t>
      </w:r>
      <w:r w:rsidRPr="0026653F">
        <w:rPr>
          <w:bCs/>
          <w:szCs w:val="22"/>
          <w:lang w:val="fr-FR"/>
        </w:rPr>
        <w:tab/>
        <w:t xml:space="preserve">De reconnaître que les marchés publics et la passation de marchés publics constituent un domaine d’appui essentiel pour la prévention et la lutte contre la corruption et </w:t>
      </w:r>
      <w:r w:rsidR="00E10762" w:rsidRPr="0026653F">
        <w:rPr>
          <w:bCs/>
          <w:szCs w:val="22"/>
          <w:lang w:val="fr-FR"/>
        </w:rPr>
        <w:t xml:space="preserve">de </w:t>
      </w:r>
      <w:r w:rsidRPr="0026653F">
        <w:rPr>
          <w:bCs/>
          <w:szCs w:val="22"/>
          <w:lang w:val="fr-FR"/>
        </w:rPr>
        <w:t>s’engage</w:t>
      </w:r>
      <w:r w:rsidR="00E10762" w:rsidRPr="0026653F">
        <w:rPr>
          <w:bCs/>
          <w:szCs w:val="22"/>
          <w:lang w:val="fr-FR"/>
        </w:rPr>
        <w:t>r</w:t>
      </w:r>
      <w:r w:rsidRPr="0026653F">
        <w:rPr>
          <w:bCs/>
          <w:szCs w:val="22"/>
          <w:lang w:val="fr-FR"/>
        </w:rPr>
        <w:t xml:space="preserve"> à prendre les mesures nécessaires pour mettre en œuvre et/ou renforcer l’utilisation de l’analyse des données et/ou des nouvelles technologies en tant qu’outils complémentaires</w:t>
      </w:r>
      <w:r w:rsidR="00E10762" w:rsidRPr="0026653F">
        <w:rPr>
          <w:bCs/>
          <w:szCs w:val="22"/>
          <w:lang w:val="fr-FR"/>
        </w:rPr>
        <w:t xml:space="preserve"> qui </w:t>
      </w:r>
      <w:r w:rsidR="00355D3C" w:rsidRPr="0026653F">
        <w:rPr>
          <w:bCs/>
          <w:szCs w:val="22"/>
          <w:lang w:val="fr-FR"/>
        </w:rPr>
        <w:t>permettront</w:t>
      </w:r>
      <w:r w:rsidRPr="0026653F">
        <w:rPr>
          <w:bCs/>
          <w:szCs w:val="22"/>
          <w:lang w:val="fr-FR"/>
        </w:rPr>
        <w:t xml:space="preserve"> </w:t>
      </w:r>
      <w:r w:rsidR="00E10762" w:rsidRPr="0026653F">
        <w:rPr>
          <w:bCs/>
          <w:szCs w:val="22"/>
          <w:lang w:val="fr-FR"/>
        </w:rPr>
        <w:t xml:space="preserve">aux États membres </w:t>
      </w:r>
      <w:r w:rsidRPr="0026653F">
        <w:rPr>
          <w:bCs/>
          <w:szCs w:val="22"/>
          <w:lang w:val="fr-FR"/>
        </w:rPr>
        <w:t>de dynamiser les mécanismes de transparence et d’efficacité de leurs systèmes nationaux de marchés publics.</w:t>
      </w:r>
    </w:p>
    <w:p w14:paraId="6D21A5B2" w14:textId="77777777" w:rsidR="000A4802" w:rsidRPr="0026653F" w:rsidRDefault="000A4802" w:rsidP="00C618DD">
      <w:pPr>
        <w:suppressAutoHyphens/>
        <w:rPr>
          <w:szCs w:val="22"/>
          <w:lang w:val="fr-FR"/>
        </w:rPr>
      </w:pPr>
    </w:p>
    <w:p w14:paraId="3EDE988C" w14:textId="0EE7D209" w:rsidR="000A4802" w:rsidRPr="0026653F" w:rsidRDefault="000A4802" w:rsidP="00C618DD">
      <w:pPr>
        <w:suppressAutoHyphens/>
        <w:jc w:val="left"/>
        <w:rPr>
          <w:szCs w:val="22"/>
          <w:u w:val="single"/>
          <w:lang w:val="fr-FR"/>
        </w:rPr>
      </w:pPr>
      <w:r w:rsidRPr="0026653F">
        <w:rPr>
          <w:szCs w:val="22"/>
          <w:lang w:val="fr-FR"/>
        </w:rPr>
        <w:t>ii.</w:t>
      </w:r>
      <w:r w:rsidRPr="0026653F">
        <w:rPr>
          <w:szCs w:val="22"/>
          <w:lang w:val="fr-FR"/>
        </w:rPr>
        <w:tab/>
      </w:r>
      <w:r w:rsidRPr="0026653F">
        <w:rPr>
          <w:szCs w:val="22"/>
          <w:u w:val="single"/>
          <w:lang w:val="fr-FR"/>
        </w:rPr>
        <w:t xml:space="preserve">Renforcement du cadastre et du registre foncier dans les Amériques face </w:t>
      </w:r>
      <w:r w:rsidR="00A0362A" w:rsidRPr="0026653F">
        <w:rPr>
          <w:szCs w:val="22"/>
          <w:u w:val="single"/>
          <w:lang w:val="fr-FR"/>
        </w:rPr>
        <w:t>à la</w:t>
      </w:r>
      <w:r w:rsidRPr="0026653F">
        <w:rPr>
          <w:szCs w:val="22"/>
          <w:u w:val="single"/>
          <w:lang w:val="fr-FR"/>
        </w:rPr>
        <w:t xml:space="preserve"> COVID-19</w:t>
      </w:r>
    </w:p>
    <w:p w14:paraId="7C8F0880" w14:textId="77777777" w:rsidR="000A4802" w:rsidRPr="0026653F" w:rsidRDefault="000A4802" w:rsidP="00C618DD">
      <w:pPr>
        <w:shd w:val="clear" w:color="auto" w:fill="FFFFFF"/>
        <w:suppressAutoHyphens/>
        <w:rPr>
          <w:szCs w:val="22"/>
          <w:lang w:val="fr-FR"/>
        </w:rPr>
      </w:pPr>
    </w:p>
    <w:p w14:paraId="164607F2" w14:textId="3799DAC1" w:rsidR="000A4802" w:rsidRPr="0026653F" w:rsidRDefault="000A4802" w:rsidP="00C618DD">
      <w:pPr>
        <w:shd w:val="clear" w:color="auto" w:fill="FFFFFF"/>
        <w:suppressAutoHyphens/>
        <w:ind w:firstLine="720"/>
        <w:rPr>
          <w:color w:val="000000"/>
          <w:szCs w:val="22"/>
          <w:lang w:val="fr-FR"/>
        </w:rPr>
      </w:pPr>
      <w:r w:rsidRPr="0026653F">
        <w:rPr>
          <w:szCs w:val="22"/>
          <w:lang w:val="fr-FR"/>
        </w:rPr>
        <w:t>CONSIDÉRANT les sections «</w:t>
      </w:r>
      <w:r w:rsidR="00A0362A" w:rsidRPr="0026653F">
        <w:rPr>
          <w:szCs w:val="22"/>
          <w:lang w:val="fr-FR"/>
        </w:rPr>
        <w:t> </w:t>
      </w:r>
      <w:r w:rsidRPr="0026653F">
        <w:rPr>
          <w:szCs w:val="22"/>
          <w:lang w:val="fr-FR"/>
        </w:rPr>
        <w:t>Renforcement du cadastre et du registre foncier dans les Amériques</w:t>
      </w:r>
      <w:r w:rsidR="00A0362A" w:rsidRPr="0026653F">
        <w:rPr>
          <w:szCs w:val="22"/>
          <w:lang w:val="fr-FR"/>
        </w:rPr>
        <w:t> </w:t>
      </w:r>
      <w:r w:rsidRPr="0026653F">
        <w:rPr>
          <w:szCs w:val="22"/>
          <w:lang w:val="fr-FR"/>
        </w:rPr>
        <w:t xml:space="preserve">» des résolutions AG/RES. 2927 (XLVIII-O/18) et </w:t>
      </w:r>
      <w:r w:rsidRPr="0026653F">
        <w:rPr>
          <w:bCs/>
          <w:szCs w:val="22"/>
          <w:lang w:val="fr-FR"/>
        </w:rPr>
        <w:t>AG/RES. 2931 (XLIX-O/19)</w:t>
      </w:r>
      <w:r w:rsidRPr="0026653F">
        <w:rPr>
          <w:szCs w:val="22"/>
          <w:lang w:val="fr-FR"/>
        </w:rPr>
        <w:t>, «</w:t>
      </w:r>
      <w:r w:rsidR="00A0362A" w:rsidRPr="0026653F">
        <w:rPr>
          <w:szCs w:val="22"/>
          <w:lang w:val="fr-FR"/>
        </w:rPr>
        <w:t> </w:t>
      </w:r>
      <w:r w:rsidRPr="0026653F">
        <w:rPr>
          <w:szCs w:val="22"/>
          <w:lang w:val="fr-FR"/>
        </w:rPr>
        <w:t>Renforcement de la démocratie</w:t>
      </w:r>
      <w:r w:rsidR="00A0362A" w:rsidRPr="0026653F">
        <w:rPr>
          <w:szCs w:val="22"/>
          <w:lang w:val="fr-FR"/>
        </w:rPr>
        <w:t> </w:t>
      </w:r>
      <w:r w:rsidRPr="0026653F">
        <w:rPr>
          <w:szCs w:val="22"/>
          <w:lang w:val="fr-FR"/>
        </w:rPr>
        <w:t>», aux termes desquelles le Secrétariat général est chargé de poursuivre, par l’intermédiaire du Département pour l’efficacité de la gestion publique, son soutien aux efforts que déploient les États membres qui en font la demande</w:t>
      </w:r>
      <w:r w:rsidRPr="0026653F">
        <w:rPr>
          <w:b/>
          <w:bCs/>
          <w:szCs w:val="22"/>
          <w:lang w:val="fr-FR"/>
        </w:rPr>
        <w:t xml:space="preserve"> </w:t>
      </w:r>
      <w:r w:rsidRPr="0026653F">
        <w:rPr>
          <w:szCs w:val="22"/>
          <w:lang w:val="fr-FR"/>
        </w:rPr>
        <w:t>pour renforcer leur gestion du cadastre et leur registre foncier ainsi que pour procéder à des échanges de données d’expériences et de bonnes pratiques qui promeuvent le programme d’action régional s’y rapportant,</w:t>
      </w:r>
    </w:p>
    <w:p w14:paraId="17AB82B1" w14:textId="77777777" w:rsidR="000A4802" w:rsidRPr="0026653F" w:rsidRDefault="000A4802" w:rsidP="00C618DD">
      <w:pPr>
        <w:shd w:val="clear" w:color="auto" w:fill="FFFFFF"/>
        <w:suppressAutoHyphens/>
        <w:rPr>
          <w:color w:val="000000"/>
          <w:szCs w:val="22"/>
          <w:lang w:val="fr-FR"/>
        </w:rPr>
      </w:pPr>
    </w:p>
    <w:p w14:paraId="4F62E635" w14:textId="77777777" w:rsidR="003403B1" w:rsidRPr="0026653F" w:rsidRDefault="000A4802" w:rsidP="00C618DD">
      <w:pPr>
        <w:shd w:val="clear" w:color="auto" w:fill="FFFFFF"/>
        <w:suppressAutoHyphens/>
        <w:ind w:firstLine="720"/>
        <w:rPr>
          <w:color w:val="000000"/>
          <w:szCs w:val="22"/>
          <w:lang w:val="fr-FR" w:eastAsia="es-UY"/>
        </w:rPr>
      </w:pPr>
      <w:r w:rsidRPr="0026653F">
        <w:rPr>
          <w:color w:val="000000"/>
          <w:szCs w:val="22"/>
          <w:lang w:val="fr-FR" w:eastAsia="es-UY"/>
        </w:rPr>
        <w:t xml:space="preserve">PRENANT </w:t>
      </w:r>
      <w:r w:rsidR="00284EBE" w:rsidRPr="0026653F">
        <w:rPr>
          <w:color w:val="000000"/>
          <w:szCs w:val="22"/>
          <w:lang w:val="fr-FR" w:eastAsia="es-UY"/>
        </w:rPr>
        <w:t xml:space="preserve">CONNAISSANCE </w:t>
      </w:r>
      <w:r w:rsidRPr="0026653F">
        <w:rPr>
          <w:color w:val="000000"/>
          <w:szCs w:val="22"/>
          <w:lang w:val="fr-FR" w:eastAsia="es-UY"/>
        </w:rPr>
        <w:t xml:space="preserve">des effets multidimensionnels de la pandémie de COVID-19, </w:t>
      </w:r>
      <w:r w:rsidR="00284EBE" w:rsidRPr="0026653F">
        <w:rPr>
          <w:color w:val="000000"/>
          <w:szCs w:val="22"/>
          <w:lang w:val="fr-FR" w:eastAsia="es-UY"/>
        </w:rPr>
        <w:t xml:space="preserve">entre autres, ses incidences sur </w:t>
      </w:r>
      <w:r w:rsidRPr="0026653F">
        <w:rPr>
          <w:color w:val="000000"/>
          <w:szCs w:val="22"/>
          <w:lang w:val="fr-FR" w:eastAsia="es-UY"/>
        </w:rPr>
        <w:t xml:space="preserve">une économie locale diminuée, </w:t>
      </w:r>
      <w:r w:rsidR="00284EBE" w:rsidRPr="0026653F">
        <w:rPr>
          <w:color w:val="000000"/>
          <w:szCs w:val="22"/>
          <w:lang w:val="fr-FR" w:eastAsia="es-UY"/>
        </w:rPr>
        <w:t xml:space="preserve">et des défis auxquels </w:t>
      </w:r>
      <w:r w:rsidR="00052E75" w:rsidRPr="0026653F">
        <w:rPr>
          <w:color w:val="000000"/>
          <w:szCs w:val="22"/>
          <w:lang w:val="fr-FR" w:eastAsia="es-UY"/>
        </w:rPr>
        <w:t xml:space="preserve">l’administration publique fait </w:t>
      </w:r>
      <w:r w:rsidRPr="0026653F">
        <w:rPr>
          <w:color w:val="000000"/>
          <w:szCs w:val="22"/>
          <w:lang w:val="fr-FR" w:eastAsia="es-UY"/>
        </w:rPr>
        <w:t>face</w:t>
      </w:r>
      <w:r w:rsidR="00284EBE" w:rsidRPr="0026653F">
        <w:rPr>
          <w:color w:val="000000"/>
          <w:szCs w:val="22"/>
          <w:lang w:val="fr-FR" w:eastAsia="es-UY"/>
        </w:rPr>
        <w:t xml:space="preserve"> en matière de prestation de services</w:t>
      </w:r>
      <w:r w:rsidR="00052E75" w:rsidRPr="0026653F">
        <w:rPr>
          <w:color w:val="000000"/>
          <w:szCs w:val="22"/>
          <w:lang w:val="fr-FR" w:eastAsia="es-UY"/>
        </w:rPr>
        <w:t xml:space="preserve"> aux citoyens</w:t>
      </w:r>
      <w:r w:rsidRPr="0026653F">
        <w:rPr>
          <w:color w:val="000000"/>
          <w:szCs w:val="22"/>
          <w:lang w:val="fr-FR" w:eastAsia="es-UY"/>
        </w:rPr>
        <w:t>, dont le cadastre et le registre foncier,</w:t>
      </w:r>
    </w:p>
    <w:p w14:paraId="7B3A539E" w14:textId="77777777" w:rsidR="003403B1" w:rsidRPr="0026653F" w:rsidRDefault="003403B1" w:rsidP="00C618DD">
      <w:pPr>
        <w:shd w:val="clear" w:color="auto" w:fill="FFFFFF"/>
        <w:suppressAutoHyphens/>
        <w:rPr>
          <w:color w:val="000000"/>
          <w:szCs w:val="22"/>
          <w:lang w:val="fr-FR" w:eastAsia="es-UY"/>
        </w:rPr>
      </w:pPr>
    </w:p>
    <w:p w14:paraId="0002285E" w14:textId="07A6DCC6" w:rsidR="000A4802" w:rsidRPr="0026653F" w:rsidRDefault="000A4802" w:rsidP="00C618DD">
      <w:pPr>
        <w:shd w:val="clear" w:color="auto" w:fill="FFFFFF"/>
        <w:suppressAutoHyphens/>
        <w:ind w:firstLine="720"/>
        <w:rPr>
          <w:color w:val="000000"/>
          <w:szCs w:val="22"/>
          <w:lang w:val="fr-FR" w:eastAsia="es-UY"/>
        </w:rPr>
      </w:pPr>
      <w:r w:rsidRPr="0026653F">
        <w:rPr>
          <w:szCs w:val="22"/>
          <w:lang w:val="fr-FR"/>
        </w:rPr>
        <w:t xml:space="preserve">PRENANT NOTE du rapport d’activité 2019 du Réseau interaméricain du cadastre et du registre foncier (RICRP), lequel a été présenté lors de sa cinquième </w:t>
      </w:r>
      <w:r w:rsidR="008D192E" w:rsidRPr="0026653F">
        <w:rPr>
          <w:szCs w:val="22"/>
          <w:lang w:val="fr-FR"/>
        </w:rPr>
        <w:t xml:space="preserve">conférence et </w:t>
      </w:r>
      <w:r w:rsidRPr="0026653F">
        <w:rPr>
          <w:szCs w:val="22"/>
          <w:lang w:val="fr-FR"/>
        </w:rPr>
        <w:t>assemblée, tenue le 9 octobre 2019 à Buenos Aires (Argentine), et lors de la réunion de la C</w:t>
      </w:r>
      <w:r w:rsidR="008D192E" w:rsidRPr="0026653F">
        <w:rPr>
          <w:szCs w:val="22"/>
          <w:lang w:val="fr-FR"/>
        </w:rPr>
        <w:t xml:space="preserve">AJP </w:t>
      </w:r>
      <w:r w:rsidRPr="0026653F">
        <w:rPr>
          <w:szCs w:val="22"/>
          <w:lang w:val="fr-FR"/>
        </w:rPr>
        <w:t>tenue le 5 décembre 2019 à Washington, D.C.,</w:t>
      </w:r>
    </w:p>
    <w:p w14:paraId="6DD35BD0" w14:textId="77777777" w:rsidR="000A4802" w:rsidRPr="0026653F" w:rsidRDefault="000A4802" w:rsidP="00C618DD">
      <w:pPr>
        <w:suppressAutoHyphens/>
        <w:rPr>
          <w:szCs w:val="22"/>
          <w:lang w:val="fr-FR"/>
        </w:rPr>
      </w:pPr>
    </w:p>
    <w:p w14:paraId="607632B5" w14:textId="2CF3D8B6" w:rsidR="000A4802" w:rsidRPr="0026653F" w:rsidRDefault="000A4802" w:rsidP="00C618DD">
      <w:pPr>
        <w:suppressAutoHyphens/>
        <w:ind w:firstLine="720"/>
        <w:rPr>
          <w:bCs/>
          <w:color w:val="000000"/>
          <w:szCs w:val="22"/>
          <w:lang w:val="fr-FR"/>
        </w:rPr>
      </w:pPr>
      <w:r w:rsidRPr="0026653F">
        <w:rPr>
          <w:szCs w:val="22"/>
          <w:lang w:val="fr-FR"/>
        </w:rPr>
        <w:t>EXPRIMANT SES REMERCIEMENTS au Gouvernement de l’Argentine à l’occasion de la tenue de la cinquième conférence et assemblée du RICRP de 2019, organisée avec la collaboration de la Banque mondiale et du Secrétariat général, ainsi qu’au Pérou, en qualité de pays président, de même qu’au Chili, au Costa Rica, à l’Équateur et à la République dominicaine, en qualité de pays représentants auprès du Comité exécutif du Réseau pour l’année 2020,</w:t>
      </w:r>
    </w:p>
    <w:p w14:paraId="31842C23" w14:textId="77777777" w:rsidR="000A4802" w:rsidRPr="0026653F" w:rsidRDefault="000A4802" w:rsidP="00C618DD">
      <w:pPr>
        <w:suppressAutoHyphens/>
        <w:jc w:val="left"/>
        <w:rPr>
          <w:szCs w:val="22"/>
          <w:lang w:val="fr-FR"/>
        </w:rPr>
      </w:pPr>
    </w:p>
    <w:p w14:paraId="369E0126" w14:textId="77777777" w:rsidR="000A4802" w:rsidRPr="0026653F" w:rsidRDefault="000A4802" w:rsidP="00C618DD">
      <w:pPr>
        <w:keepNext/>
        <w:suppressAutoHyphens/>
        <w:jc w:val="left"/>
        <w:rPr>
          <w:bCs/>
          <w:color w:val="000000"/>
          <w:szCs w:val="22"/>
          <w:lang w:val="fr-FR"/>
        </w:rPr>
      </w:pPr>
      <w:r w:rsidRPr="0026653F">
        <w:rPr>
          <w:szCs w:val="22"/>
          <w:lang w:val="fr-FR"/>
        </w:rPr>
        <w:lastRenderedPageBreak/>
        <w:t>DÉCIDE :</w:t>
      </w:r>
    </w:p>
    <w:p w14:paraId="669EDEC0" w14:textId="77777777" w:rsidR="000A4802" w:rsidRPr="0026653F" w:rsidRDefault="000A4802" w:rsidP="00C618DD">
      <w:pPr>
        <w:keepNext/>
        <w:suppressAutoHyphens/>
        <w:rPr>
          <w:bCs/>
          <w:szCs w:val="22"/>
          <w:lang w:val="fr-FR" w:eastAsia="es-ES"/>
        </w:rPr>
      </w:pPr>
    </w:p>
    <w:p w14:paraId="77D464AE" w14:textId="75B5040E" w:rsidR="000A4802" w:rsidRPr="0026653F" w:rsidRDefault="000A4802" w:rsidP="00C618DD">
      <w:pPr>
        <w:suppressAutoHyphens/>
        <w:ind w:firstLine="720"/>
        <w:rPr>
          <w:bCs/>
          <w:szCs w:val="22"/>
          <w:lang w:val="fr-FR"/>
        </w:rPr>
      </w:pPr>
      <w:r w:rsidRPr="0026653F">
        <w:rPr>
          <w:szCs w:val="22"/>
          <w:lang w:val="fr-FR"/>
        </w:rPr>
        <w:t>1.</w:t>
      </w:r>
      <w:r w:rsidRPr="0026653F">
        <w:rPr>
          <w:szCs w:val="22"/>
          <w:lang w:val="fr-FR"/>
        </w:rPr>
        <w:tab/>
        <w:t>De c</w:t>
      </w:r>
      <w:r w:rsidRPr="0026653F">
        <w:rPr>
          <w:color w:val="000000"/>
          <w:szCs w:val="22"/>
          <w:lang w:val="fr-FR"/>
        </w:rPr>
        <w:t xml:space="preserve">harger le Secrétariat général, par l’intermédiaire du Département pour l’efficacité dans la gestion publique, de continuer à apporter son soutien en tant que </w:t>
      </w:r>
      <w:r w:rsidR="003C2933" w:rsidRPr="0026653F">
        <w:rPr>
          <w:color w:val="000000"/>
          <w:szCs w:val="22"/>
          <w:lang w:val="fr-FR"/>
        </w:rPr>
        <w:t>s</w:t>
      </w:r>
      <w:r w:rsidRPr="0026653F">
        <w:rPr>
          <w:color w:val="000000"/>
          <w:szCs w:val="22"/>
          <w:lang w:val="fr-FR"/>
        </w:rPr>
        <w:t xml:space="preserve">ecrétariat technique du Réseau interaméricain du cadastre et du registre foncier (RICRP) en promouvant l’organisation d’activités, de programmes et de projets </w:t>
      </w:r>
      <w:r w:rsidR="003C2933" w:rsidRPr="0026653F">
        <w:rPr>
          <w:color w:val="000000"/>
          <w:szCs w:val="22"/>
          <w:lang w:val="fr-FR"/>
        </w:rPr>
        <w:t xml:space="preserve">permettant de renforcer la gestion du cadastre et du registre foncier face à la COVID-19 ainsi que </w:t>
      </w:r>
      <w:r w:rsidRPr="0026653F">
        <w:rPr>
          <w:color w:val="000000"/>
          <w:szCs w:val="22"/>
          <w:lang w:val="fr-FR"/>
        </w:rPr>
        <w:t xml:space="preserve">l’établissement de partenariats et de </w:t>
      </w:r>
      <w:r w:rsidR="003C2933" w:rsidRPr="0026653F">
        <w:rPr>
          <w:color w:val="000000"/>
          <w:szCs w:val="22"/>
          <w:lang w:val="fr-FR"/>
        </w:rPr>
        <w:t xml:space="preserve">relations de </w:t>
      </w:r>
      <w:r w:rsidRPr="0026653F">
        <w:rPr>
          <w:color w:val="000000"/>
          <w:szCs w:val="22"/>
          <w:lang w:val="fr-FR"/>
        </w:rPr>
        <w:t xml:space="preserve">coopération </w:t>
      </w:r>
      <w:r w:rsidR="003C2933" w:rsidRPr="0026653F">
        <w:rPr>
          <w:color w:val="000000"/>
          <w:szCs w:val="22"/>
          <w:lang w:val="fr-FR"/>
        </w:rPr>
        <w:t>aux fins d’application</w:t>
      </w:r>
      <w:r w:rsidRPr="0026653F">
        <w:rPr>
          <w:color w:val="000000"/>
          <w:szCs w:val="22"/>
          <w:lang w:val="fr-FR"/>
        </w:rPr>
        <w:t>, y compris</w:t>
      </w:r>
      <w:r w:rsidRPr="0026653F">
        <w:rPr>
          <w:szCs w:val="22"/>
          <w:lang w:val="fr-FR"/>
        </w:rPr>
        <w:t xml:space="preserve"> la formation à l’intention des organismes responsables du cadastre et du registre foncier dans la région, les échanges de données d’expériences et de connaissance</w:t>
      </w:r>
      <w:r w:rsidR="004F3321" w:rsidRPr="0026653F">
        <w:rPr>
          <w:szCs w:val="22"/>
          <w:lang w:val="fr-FR"/>
        </w:rPr>
        <w:t>s en la matière,</w:t>
      </w:r>
      <w:r w:rsidRPr="0026653F">
        <w:rPr>
          <w:szCs w:val="22"/>
          <w:lang w:val="fr-FR"/>
        </w:rPr>
        <w:t xml:space="preserve"> de même que l’échange de compétences expertes en matière de téléprestation de services aux citoyens et de dématérialisation du cadastre et des registres.</w:t>
      </w:r>
    </w:p>
    <w:p w14:paraId="2A276DDC" w14:textId="77777777" w:rsidR="000A4802" w:rsidRPr="0026653F" w:rsidRDefault="000A4802" w:rsidP="00C618DD">
      <w:pPr>
        <w:suppressAutoHyphens/>
        <w:rPr>
          <w:bCs/>
          <w:szCs w:val="22"/>
          <w:lang w:val="fr-FR" w:eastAsia="es-ES"/>
        </w:rPr>
      </w:pPr>
    </w:p>
    <w:p w14:paraId="45AE5422" w14:textId="03CD473F" w:rsidR="000A4802" w:rsidRPr="0026653F" w:rsidRDefault="000A4802" w:rsidP="00C618DD">
      <w:pPr>
        <w:suppressAutoHyphens/>
        <w:ind w:firstLine="720"/>
        <w:rPr>
          <w:bCs/>
          <w:szCs w:val="22"/>
          <w:lang w:val="fr-FR"/>
        </w:rPr>
      </w:pPr>
      <w:r w:rsidRPr="0026653F">
        <w:rPr>
          <w:color w:val="000000"/>
          <w:szCs w:val="22"/>
          <w:lang w:val="fr-FR"/>
        </w:rPr>
        <w:t>2.</w:t>
      </w:r>
      <w:r w:rsidRPr="0026653F">
        <w:rPr>
          <w:color w:val="000000"/>
          <w:szCs w:val="22"/>
          <w:lang w:val="fr-FR"/>
        </w:rPr>
        <w:tab/>
        <w:t>De réaffirmer l’importance d’approfondir les efforts</w:t>
      </w:r>
      <w:r w:rsidR="00C3799C" w:rsidRPr="0026653F">
        <w:rPr>
          <w:color w:val="000000"/>
          <w:szCs w:val="22"/>
          <w:lang w:val="fr-FR"/>
        </w:rPr>
        <w:t xml:space="preserve"> ainsi que la </w:t>
      </w:r>
      <w:r w:rsidRPr="0026653F">
        <w:rPr>
          <w:color w:val="000000"/>
          <w:szCs w:val="22"/>
          <w:lang w:val="fr-FR"/>
        </w:rPr>
        <w:t xml:space="preserve">promotion </w:t>
      </w:r>
      <w:r w:rsidR="00C3799C" w:rsidRPr="0026653F">
        <w:rPr>
          <w:color w:val="000000"/>
          <w:szCs w:val="22"/>
          <w:lang w:val="fr-FR"/>
        </w:rPr>
        <w:t>de l’</w:t>
      </w:r>
      <w:r w:rsidRPr="0026653F">
        <w:rPr>
          <w:color w:val="000000"/>
          <w:szCs w:val="22"/>
          <w:lang w:val="fr-FR"/>
        </w:rPr>
        <w:t>échange de données d’expériences entre les organismes nationaux de cadastre et d</w:t>
      </w:r>
      <w:r w:rsidR="00C3799C" w:rsidRPr="0026653F">
        <w:rPr>
          <w:color w:val="000000"/>
          <w:szCs w:val="22"/>
          <w:lang w:val="fr-FR"/>
        </w:rPr>
        <w:t xml:space="preserve">e registre foncier </w:t>
      </w:r>
      <w:r w:rsidRPr="0026653F">
        <w:rPr>
          <w:color w:val="000000"/>
          <w:szCs w:val="22"/>
          <w:lang w:val="fr-FR"/>
        </w:rPr>
        <w:t xml:space="preserve">pour l’avancement de la gestion </w:t>
      </w:r>
      <w:r w:rsidR="00C3799C" w:rsidRPr="0026653F">
        <w:rPr>
          <w:color w:val="000000"/>
          <w:szCs w:val="22"/>
          <w:lang w:val="fr-FR"/>
        </w:rPr>
        <w:t>de ceux-ci et, c</w:t>
      </w:r>
      <w:r w:rsidRPr="0026653F">
        <w:rPr>
          <w:szCs w:val="22"/>
          <w:lang w:val="fr-FR"/>
        </w:rPr>
        <w:t xml:space="preserve">onjointement avec </w:t>
      </w:r>
      <w:r w:rsidRPr="0026653F">
        <w:rPr>
          <w:color w:val="000000"/>
          <w:szCs w:val="22"/>
          <w:lang w:val="fr-FR"/>
        </w:rPr>
        <w:t xml:space="preserve">l’effort d’amélioration de la base de données du cadastre territorial et du registre, en tenant compte de l’entretien et de la mise à jour constante du cadastre et de l’enregistrement dans la région, tout en </w:t>
      </w:r>
      <w:r w:rsidRPr="0026653F">
        <w:rPr>
          <w:szCs w:val="22"/>
          <w:lang w:val="fr-FR"/>
        </w:rPr>
        <w:t xml:space="preserve">invitant instamment les États membres à contribuer à la création d’un guide régional de lignes directrices </w:t>
      </w:r>
      <w:r w:rsidRPr="0026653F">
        <w:rPr>
          <w:szCs w:val="22"/>
          <w:lang w:val="fr-FR" w:eastAsia="es-ES"/>
        </w:rPr>
        <w:t>pour soutenir</w:t>
      </w:r>
      <w:r w:rsidRPr="0026653F">
        <w:rPr>
          <w:szCs w:val="22"/>
          <w:lang w:val="fr-FR"/>
        </w:rPr>
        <w:t xml:space="preserve"> </w:t>
      </w:r>
      <w:r w:rsidR="0000648E" w:rsidRPr="0026653F">
        <w:rPr>
          <w:szCs w:val="22"/>
          <w:lang w:val="fr-FR"/>
        </w:rPr>
        <w:t xml:space="preserve">ces </w:t>
      </w:r>
      <w:r w:rsidR="003403B1" w:rsidRPr="0026653F">
        <w:rPr>
          <w:szCs w:val="22"/>
          <w:lang w:val="fr-FR"/>
        </w:rPr>
        <w:t>agences nationales</w:t>
      </w:r>
      <w:r w:rsidR="0000648E" w:rsidRPr="0026653F">
        <w:rPr>
          <w:szCs w:val="22"/>
          <w:lang w:val="fr-FR"/>
        </w:rPr>
        <w:t xml:space="preserve"> </w:t>
      </w:r>
      <w:r w:rsidR="00C3799C" w:rsidRPr="0026653F">
        <w:rPr>
          <w:szCs w:val="22"/>
          <w:lang w:val="fr-FR"/>
        </w:rPr>
        <w:t xml:space="preserve">en matière d’officialisation </w:t>
      </w:r>
      <w:r w:rsidRPr="0026653F">
        <w:rPr>
          <w:szCs w:val="22"/>
          <w:lang w:val="fr-FR"/>
        </w:rPr>
        <w:t xml:space="preserve">de la propriété foncière et du cadastre urbain, et de demander </w:t>
      </w:r>
      <w:r w:rsidR="00C3799C" w:rsidRPr="0026653F">
        <w:rPr>
          <w:szCs w:val="22"/>
          <w:lang w:val="fr-FR"/>
        </w:rPr>
        <w:t>que le</w:t>
      </w:r>
      <w:r w:rsidRPr="0026653F">
        <w:rPr>
          <w:szCs w:val="22"/>
          <w:lang w:val="fr-FR"/>
        </w:rPr>
        <w:t xml:space="preserve"> Département pour l’efficacité dans la gestion publique </w:t>
      </w:r>
      <w:r w:rsidR="00C3799C" w:rsidRPr="0026653F">
        <w:rPr>
          <w:szCs w:val="22"/>
          <w:lang w:val="fr-FR"/>
        </w:rPr>
        <w:t xml:space="preserve">contribue à </w:t>
      </w:r>
      <w:r w:rsidRPr="0026653F">
        <w:rPr>
          <w:szCs w:val="22"/>
          <w:lang w:val="fr-FR"/>
        </w:rPr>
        <w:t>l</w:t>
      </w:r>
      <w:r w:rsidR="00D30157" w:rsidRPr="0026653F">
        <w:rPr>
          <w:szCs w:val="22"/>
          <w:lang w:val="fr-FR"/>
        </w:rPr>
        <w:t xml:space="preserve">’élaboration </w:t>
      </w:r>
      <w:r w:rsidRPr="0026653F">
        <w:rPr>
          <w:szCs w:val="22"/>
          <w:lang w:val="fr-FR"/>
        </w:rPr>
        <w:t>de ce guide.</w:t>
      </w:r>
    </w:p>
    <w:p w14:paraId="4BDE7391" w14:textId="77777777" w:rsidR="000A4802" w:rsidRPr="0026653F" w:rsidRDefault="000A4802" w:rsidP="00C618DD">
      <w:pPr>
        <w:suppressAutoHyphens/>
        <w:rPr>
          <w:bCs/>
          <w:szCs w:val="22"/>
          <w:lang w:val="fr-FR" w:eastAsia="es-ES"/>
        </w:rPr>
      </w:pPr>
    </w:p>
    <w:p w14:paraId="30046C00" w14:textId="7E41BAB8" w:rsidR="000A4802" w:rsidRPr="0026653F" w:rsidRDefault="000A4802" w:rsidP="00C618DD">
      <w:pPr>
        <w:suppressAutoHyphens/>
        <w:ind w:firstLine="708"/>
        <w:rPr>
          <w:szCs w:val="22"/>
          <w:lang w:val="fr-FR"/>
        </w:rPr>
      </w:pPr>
      <w:r w:rsidRPr="0026653F">
        <w:rPr>
          <w:color w:val="000000"/>
          <w:szCs w:val="22"/>
          <w:lang w:val="fr-FR"/>
        </w:rPr>
        <w:t>3.</w:t>
      </w:r>
      <w:r w:rsidRPr="0026653F">
        <w:rPr>
          <w:color w:val="000000"/>
          <w:szCs w:val="22"/>
          <w:lang w:val="fr-FR"/>
        </w:rPr>
        <w:tab/>
      </w:r>
      <w:r w:rsidRPr="0026653F">
        <w:rPr>
          <w:szCs w:val="22"/>
          <w:lang w:val="fr-FR"/>
        </w:rPr>
        <w:t xml:space="preserve">D’exhorter les </w:t>
      </w:r>
      <w:r w:rsidRPr="0026653F">
        <w:rPr>
          <w:color w:val="000000"/>
          <w:szCs w:val="22"/>
          <w:lang w:val="fr-FR"/>
        </w:rPr>
        <w:t xml:space="preserve">institutions de cadastre et </w:t>
      </w:r>
      <w:r w:rsidR="00C3799C" w:rsidRPr="0026653F">
        <w:rPr>
          <w:color w:val="000000"/>
          <w:szCs w:val="22"/>
          <w:lang w:val="fr-FR"/>
        </w:rPr>
        <w:t>de registre foncier</w:t>
      </w:r>
      <w:r w:rsidRPr="0026653F">
        <w:rPr>
          <w:color w:val="000000"/>
          <w:szCs w:val="22"/>
          <w:lang w:val="fr-FR"/>
        </w:rPr>
        <w:t xml:space="preserve"> des États membres à participer à la formulation d’initiatives qui répondent aux objectifs énoncés dans la présente résolution par l’échange de données d’expériences qui renforcent la gestion du cadastre et </w:t>
      </w:r>
      <w:r w:rsidR="00FC7AF0" w:rsidRPr="0026653F">
        <w:rPr>
          <w:color w:val="000000"/>
          <w:szCs w:val="22"/>
          <w:lang w:val="fr-FR"/>
        </w:rPr>
        <w:t xml:space="preserve">du registre foncier face à la </w:t>
      </w:r>
      <w:r w:rsidR="00A0362A" w:rsidRPr="0026653F">
        <w:rPr>
          <w:color w:val="000000"/>
          <w:szCs w:val="22"/>
          <w:lang w:val="fr-FR"/>
        </w:rPr>
        <w:t>COVID-1</w:t>
      </w:r>
      <w:r w:rsidR="00FC7AF0" w:rsidRPr="0026653F">
        <w:rPr>
          <w:color w:val="000000"/>
          <w:szCs w:val="22"/>
          <w:lang w:val="fr-FR"/>
        </w:rPr>
        <w:t xml:space="preserve">9 ; de charger par ailleurs le </w:t>
      </w:r>
      <w:r w:rsidRPr="0026653F">
        <w:rPr>
          <w:color w:val="000000"/>
          <w:szCs w:val="22"/>
          <w:lang w:val="fr-FR"/>
        </w:rPr>
        <w:t xml:space="preserve">Département pour l’efficacité dans la gestion publique </w:t>
      </w:r>
      <w:r w:rsidR="00FC7AF0" w:rsidRPr="0026653F">
        <w:rPr>
          <w:color w:val="000000"/>
          <w:szCs w:val="22"/>
          <w:lang w:val="fr-FR"/>
        </w:rPr>
        <w:t xml:space="preserve">de </w:t>
      </w:r>
      <w:r w:rsidRPr="0026653F">
        <w:rPr>
          <w:szCs w:val="22"/>
          <w:lang w:val="fr-FR"/>
        </w:rPr>
        <w:t>réalis</w:t>
      </w:r>
      <w:r w:rsidR="00FC7AF0" w:rsidRPr="0026653F">
        <w:rPr>
          <w:szCs w:val="22"/>
          <w:lang w:val="fr-FR"/>
        </w:rPr>
        <w:t xml:space="preserve">er </w:t>
      </w:r>
      <w:r w:rsidRPr="0026653F">
        <w:rPr>
          <w:szCs w:val="22"/>
          <w:lang w:val="fr-FR"/>
        </w:rPr>
        <w:t xml:space="preserve">l’enquête bisannuelle sur le cadastre et le registre foncier et </w:t>
      </w:r>
      <w:r w:rsidR="00FC7AF0" w:rsidRPr="0026653F">
        <w:rPr>
          <w:szCs w:val="22"/>
          <w:lang w:val="fr-FR"/>
        </w:rPr>
        <w:t>de</w:t>
      </w:r>
      <w:r w:rsidRPr="0026653F">
        <w:rPr>
          <w:szCs w:val="22"/>
          <w:lang w:val="fr-FR"/>
        </w:rPr>
        <w:t xml:space="preserve"> faire rapport sur les résultats de celle-ci à la C</w:t>
      </w:r>
      <w:r w:rsidR="008D192E" w:rsidRPr="0026653F">
        <w:rPr>
          <w:szCs w:val="22"/>
          <w:lang w:val="fr-FR"/>
        </w:rPr>
        <w:t>AJP</w:t>
      </w:r>
      <w:r w:rsidRPr="0026653F">
        <w:rPr>
          <w:szCs w:val="22"/>
          <w:lang w:val="fr-FR"/>
        </w:rPr>
        <w:t>.</w:t>
      </w:r>
    </w:p>
    <w:p w14:paraId="34B00C2D" w14:textId="77777777" w:rsidR="000A4802" w:rsidRPr="0026653F" w:rsidRDefault="000A4802" w:rsidP="00C618DD">
      <w:pPr>
        <w:suppressAutoHyphens/>
        <w:rPr>
          <w:szCs w:val="22"/>
          <w:lang w:val="fr-FR"/>
        </w:rPr>
      </w:pPr>
    </w:p>
    <w:p w14:paraId="60CFDB75" w14:textId="0A0DC796" w:rsidR="000A4802" w:rsidRPr="0026653F" w:rsidRDefault="000A4802" w:rsidP="00C618DD">
      <w:pPr>
        <w:shd w:val="clear" w:color="auto" w:fill="FFFFFF"/>
        <w:suppressAutoHyphens/>
        <w:ind w:firstLine="708"/>
        <w:rPr>
          <w:szCs w:val="22"/>
          <w:lang w:val="fr-FR"/>
        </w:rPr>
      </w:pPr>
      <w:r w:rsidRPr="0026653F">
        <w:rPr>
          <w:color w:val="000000"/>
          <w:szCs w:val="22"/>
          <w:lang w:val="fr-FR"/>
        </w:rPr>
        <w:t>4.</w:t>
      </w:r>
      <w:r w:rsidRPr="0026653F">
        <w:rPr>
          <w:color w:val="000000"/>
          <w:szCs w:val="22"/>
          <w:lang w:val="fr-FR"/>
        </w:rPr>
        <w:tab/>
      </w:r>
      <w:r w:rsidRPr="0026653F">
        <w:rPr>
          <w:szCs w:val="22"/>
          <w:lang w:val="fr-FR"/>
        </w:rPr>
        <w:t xml:space="preserve">De réitérer l’invitation adressée à tous les États membres pour qu’ils assistent à la sixième conférence et assemblée du RICRP qui se tiendra </w:t>
      </w:r>
      <w:r w:rsidR="003403B1" w:rsidRPr="0026653F">
        <w:rPr>
          <w:szCs w:val="22"/>
          <w:lang w:val="fr-FR"/>
        </w:rPr>
        <w:t xml:space="preserve">en mode virtuel </w:t>
      </w:r>
      <w:r w:rsidRPr="0026653F">
        <w:rPr>
          <w:szCs w:val="22"/>
          <w:lang w:val="fr-FR"/>
        </w:rPr>
        <w:t>du 1</w:t>
      </w:r>
      <w:r w:rsidRPr="0026653F">
        <w:rPr>
          <w:szCs w:val="22"/>
          <w:vertAlign w:val="superscript"/>
          <w:lang w:val="fr-FR"/>
        </w:rPr>
        <w:t>er</w:t>
      </w:r>
      <w:r w:rsidRPr="0026653F">
        <w:rPr>
          <w:szCs w:val="22"/>
          <w:lang w:val="fr-FR"/>
        </w:rPr>
        <w:t xml:space="preserve"> au 4 décembre 2020 à Lima (Pérou) avec le concours de l’Organisme de formalisation de la propriété informelle du Pérou (COFOPRI) en qualité de président du RICRP.</w:t>
      </w:r>
    </w:p>
    <w:p w14:paraId="212311CA" w14:textId="77777777" w:rsidR="000A4802" w:rsidRPr="0026653F" w:rsidRDefault="000A4802" w:rsidP="00C618DD">
      <w:pPr>
        <w:suppressAutoHyphens/>
        <w:rPr>
          <w:szCs w:val="22"/>
          <w:lang w:val="fr-FR"/>
        </w:rPr>
      </w:pPr>
    </w:p>
    <w:p w14:paraId="596E36A4" w14:textId="77777777" w:rsidR="000A4802" w:rsidRPr="0026653F" w:rsidRDefault="000A4802" w:rsidP="00C618DD">
      <w:pPr>
        <w:suppressAutoHyphens/>
        <w:jc w:val="left"/>
        <w:rPr>
          <w:szCs w:val="22"/>
          <w:u w:val="single"/>
          <w:lang w:val="fr-FR"/>
        </w:rPr>
      </w:pPr>
      <w:r w:rsidRPr="0026653F">
        <w:rPr>
          <w:szCs w:val="22"/>
          <w:lang w:val="fr-FR"/>
        </w:rPr>
        <w:t>iii.</w:t>
      </w:r>
      <w:r w:rsidRPr="0026653F">
        <w:rPr>
          <w:szCs w:val="22"/>
          <w:lang w:val="fr-FR"/>
        </w:rPr>
        <w:tab/>
      </w:r>
      <w:r w:rsidRPr="0026653F">
        <w:rPr>
          <w:color w:val="000000"/>
          <w:szCs w:val="22"/>
          <w:u w:val="single"/>
          <w:lang w:val="fr-FR"/>
        </w:rPr>
        <w:t>Droits de l’enfant et de l’adolescent</w:t>
      </w:r>
      <w:r w:rsidRPr="0026653F">
        <w:rPr>
          <w:color w:val="000000"/>
          <w:szCs w:val="22"/>
          <w:vertAlign w:val="superscript"/>
          <w:lang w:val="fr-FR"/>
        </w:rPr>
        <w:t xml:space="preserve"> </w:t>
      </w:r>
      <w:r w:rsidRPr="0026653F">
        <w:rPr>
          <w:szCs w:val="22"/>
          <w:u w:val="single"/>
          <w:vertAlign w:val="superscript"/>
          <w:lang w:val="fr-FR"/>
        </w:rPr>
        <w:footnoteReference w:id="60"/>
      </w:r>
      <w:r w:rsidRPr="0026653F">
        <w:rPr>
          <w:color w:val="000000"/>
          <w:szCs w:val="22"/>
          <w:vertAlign w:val="superscript"/>
          <w:lang w:val="fr-FR"/>
        </w:rPr>
        <w:t>/</w:t>
      </w:r>
    </w:p>
    <w:p w14:paraId="74331D9F" w14:textId="77777777" w:rsidR="000A4802" w:rsidRPr="0026653F" w:rsidRDefault="000A4802" w:rsidP="00C618DD">
      <w:pPr>
        <w:suppressAutoHyphens/>
        <w:rPr>
          <w:iCs/>
          <w:color w:val="000000"/>
          <w:szCs w:val="22"/>
          <w:lang w:val="fr-FR"/>
        </w:rPr>
      </w:pPr>
    </w:p>
    <w:p w14:paraId="68045A1D" w14:textId="255A4C1D" w:rsidR="000A4802" w:rsidRPr="0026653F" w:rsidRDefault="000A4802" w:rsidP="00C618DD">
      <w:pPr>
        <w:suppressAutoHyphens/>
        <w:ind w:firstLine="708"/>
        <w:rPr>
          <w:bCs/>
          <w:color w:val="000000"/>
          <w:szCs w:val="22"/>
          <w:lang w:val="fr-FR"/>
        </w:rPr>
      </w:pPr>
      <w:r w:rsidRPr="0026653F">
        <w:rPr>
          <w:bCs/>
          <w:color w:val="000000"/>
          <w:szCs w:val="22"/>
          <w:lang w:val="fr-FR"/>
        </w:rPr>
        <w:t>RÉAFFIRMANT que les principes de la participation active des enfants et des adolescents, de la non-discrimination ainsi que de l’intérêt supérieur et du droit à la vie, à la survie et au développement, ainsi l’exercice de leur droit d’exprimer une opinion sur les décisions qui les concernent et à l’expérience d’être entendus par des adultes, sont inscrits dans la Convention relative aux droits de l’enfant et sont des éléments de base dans la construction d’une citoyenneté responsable,</w:t>
      </w:r>
    </w:p>
    <w:p w14:paraId="0A020665" w14:textId="77777777" w:rsidR="000A4802" w:rsidRPr="0026653F" w:rsidRDefault="000A4802" w:rsidP="00C618DD">
      <w:pPr>
        <w:suppressAutoHyphens/>
        <w:rPr>
          <w:color w:val="000000"/>
          <w:szCs w:val="22"/>
          <w:lang w:val="fr-FR"/>
        </w:rPr>
      </w:pPr>
    </w:p>
    <w:p w14:paraId="0ABC0DD6" w14:textId="64643FAB" w:rsidR="000A4802" w:rsidRPr="0026653F" w:rsidRDefault="003403B1" w:rsidP="00C618DD">
      <w:pPr>
        <w:suppressAutoHyphens/>
        <w:ind w:firstLine="708"/>
        <w:rPr>
          <w:b/>
          <w:color w:val="000000"/>
          <w:szCs w:val="22"/>
          <w:u w:val="single"/>
          <w:lang w:val="fr-FR"/>
        </w:rPr>
      </w:pPr>
      <w:r w:rsidRPr="0026653F">
        <w:rPr>
          <w:bCs/>
          <w:color w:val="000000"/>
          <w:szCs w:val="22"/>
          <w:lang w:val="fr-FR"/>
        </w:rPr>
        <w:t xml:space="preserve">SALUANT </w:t>
      </w:r>
      <w:r w:rsidR="000A4802" w:rsidRPr="0026653F">
        <w:rPr>
          <w:bCs/>
          <w:color w:val="000000"/>
          <w:szCs w:val="22"/>
          <w:lang w:val="fr-FR"/>
        </w:rPr>
        <w:t xml:space="preserve">les progrès réalisés à cet égard par l’Institut interaméricain de l’enfance et de l’adolescence, parmi lesquels se distinguent la tenue du troisième Forum panaméricain des enfants et des adolescents (Cartagena, 2019) et le travail coordonné qui est en cours avec la Commission </w:t>
      </w:r>
      <w:r w:rsidR="000A4802" w:rsidRPr="0026653F">
        <w:rPr>
          <w:bCs/>
          <w:color w:val="000000"/>
          <w:szCs w:val="22"/>
          <w:lang w:val="fr-FR"/>
        </w:rPr>
        <w:lastRenderedPageBreak/>
        <w:t xml:space="preserve">interaméricaine des droits de l’homme et la Cour interaméricaine des droits de l’homme dans le but d’améliorer la communication entre ces organisations et les enfants </w:t>
      </w:r>
      <w:r w:rsidR="000A4802" w:rsidRPr="0026653F">
        <w:rPr>
          <w:color w:val="000000"/>
          <w:szCs w:val="22"/>
          <w:lang w:val="fr-FR"/>
        </w:rPr>
        <w:t>et adolescents</w:t>
      </w:r>
      <w:r w:rsidR="000A4802" w:rsidRPr="0026653F">
        <w:rPr>
          <w:szCs w:val="22"/>
          <w:lang w:val="fr-FR"/>
        </w:rPr>
        <w:t>,</w:t>
      </w:r>
    </w:p>
    <w:p w14:paraId="6B6B869C" w14:textId="77777777" w:rsidR="000A4802" w:rsidRPr="0026653F" w:rsidRDefault="000A4802" w:rsidP="00C618DD">
      <w:pPr>
        <w:suppressAutoHyphens/>
        <w:rPr>
          <w:color w:val="000000"/>
          <w:szCs w:val="22"/>
          <w:lang w:val="fr-FR"/>
        </w:rPr>
      </w:pPr>
    </w:p>
    <w:p w14:paraId="1717ED89" w14:textId="77777777" w:rsidR="000A4802" w:rsidRPr="0026653F" w:rsidRDefault="000A4802" w:rsidP="00C618DD">
      <w:pPr>
        <w:suppressAutoHyphens/>
        <w:rPr>
          <w:color w:val="000000"/>
          <w:szCs w:val="22"/>
          <w:lang w:val="fr-FR"/>
        </w:rPr>
      </w:pPr>
      <w:r w:rsidRPr="0026653F">
        <w:rPr>
          <w:szCs w:val="22"/>
          <w:lang w:val="fr-FR"/>
        </w:rPr>
        <w:t>DÉCIDE :</w:t>
      </w:r>
    </w:p>
    <w:p w14:paraId="0C0052C0" w14:textId="77777777" w:rsidR="000A4802" w:rsidRPr="0026653F" w:rsidRDefault="000A4802" w:rsidP="00C618DD">
      <w:pPr>
        <w:suppressAutoHyphens/>
        <w:rPr>
          <w:iCs/>
          <w:color w:val="000000"/>
          <w:szCs w:val="22"/>
          <w:lang w:val="fr-FR"/>
        </w:rPr>
      </w:pPr>
    </w:p>
    <w:p w14:paraId="03734926" w14:textId="77777777" w:rsidR="000A4802" w:rsidRPr="0026653F" w:rsidRDefault="000A4802" w:rsidP="00C618DD">
      <w:pPr>
        <w:suppressAutoHyphens/>
        <w:ind w:firstLine="708"/>
        <w:rPr>
          <w:color w:val="000000"/>
          <w:szCs w:val="22"/>
          <w:lang w:val="fr-FR"/>
        </w:rPr>
      </w:pPr>
      <w:r w:rsidRPr="0026653F">
        <w:rPr>
          <w:color w:val="000000"/>
          <w:szCs w:val="22"/>
          <w:lang w:val="fr-FR"/>
        </w:rPr>
        <w:t>1.</w:t>
      </w:r>
      <w:r w:rsidRPr="0026653F">
        <w:rPr>
          <w:color w:val="000000"/>
          <w:szCs w:val="22"/>
          <w:lang w:val="fr-FR"/>
        </w:rPr>
        <w:tab/>
      </w:r>
      <w:r w:rsidRPr="0026653F">
        <w:rPr>
          <w:szCs w:val="22"/>
          <w:lang w:val="fr-FR"/>
        </w:rPr>
        <w:t>De reconnaître la contribution</w:t>
      </w:r>
      <w:r w:rsidRPr="0026653F">
        <w:rPr>
          <w:b/>
          <w:bCs/>
          <w:szCs w:val="22"/>
          <w:lang w:val="fr-FR"/>
        </w:rPr>
        <w:t xml:space="preserve"> </w:t>
      </w:r>
      <w:r w:rsidRPr="0026653F">
        <w:rPr>
          <w:szCs w:val="22"/>
          <w:lang w:val="fr-FR"/>
        </w:rPr>
        <w:t xml:space="preserve">du travail réalisé par l’Institut interaméricain de l’enfance et de l’adolescence (IIN) en matière de promotion de la participation des enfants </w:t>
      </w:r>
      <w:r w:rsidRPr="0026653F">
        <w:rPr>
          <w:bCs/>
          <w:color w:val="000000"/>
          <w:szCs w:val="22"/>
          <w:lang w:val="fr-FR"/>
        </w:rPr>
        <w:t>et des adolescents</w:t>
      </w:r>
      <w:r w:rsidRPr="0026653F">
        <w:rPr>
          <w:szCs w:val="22"/>
          <w:lang w:val="fr-FR"/>
        </w:rPr>
        <w:t xml:space="preserve"> et l’exercice de leur liberté à rechercher, recevoir et diffuser des informations et de maintenir des espaces de dialogue intergénérationnel, en exerçant une cohabitation fondée sur des valeurs démocratiques respectueuses de la diversité des opinions, d’encourager l’égalité, l’équité et la non-violence, la liberté et la justice pour un règlement pacifique des différends.</w:t>
      </w:r>
    </w:p>
    <w:p w14:paraId="78C9EF86" w14:textId="77777777" w:rsidR="000A4802" w:rsidRPr="0026653F" w:rsidRDefault="000A4802" w:rsidP="00C618DD">
      <w:pPr>
        <w:suppressAutoHyphens/>
        <w:rPr>
          <w:color w:val="000000"/>
          <w:szCs w:val="22"/>
          <w:lang w:val="fr-FR"/>
        </w:rPr>
      </w:pPr>
    </w:p>
    <w:p w14:paraId="75F6D4C6" w14:textId="2461B569" w:rsidR="000A4802" w:rsidRPr="0026653F" w:rsidRDefault="000A4802" w:rsidP="00C618DD">
      <w:pPr>
        <w:suppressAutoHyphens/>
        <w:ind w:firstLine="708"/>
        <w:rPr>
          <w:bCs/>
          <w:color w:val="000000"/>
          <w:szCs w:val="22"/>
          <w:lang w:val="fr-FR"/>
        </w:rPr>
      </w:pPr>
      <w:r w:rsidRPr="0026653F">
        <w:rPr>
          <w:bCs/>
          <w:color w:val="000000"/>
          <w:szCs w:val="22"/>
          <w:lang w:val="fr-FR"/>
        </w:rPr>
        <w:t>2.</w:t>
      </w:r>
      <w:r w:rsidRPr="0026653F">
        <w:rPr>
          <w:bCs/>
          <w:color w:val="000000"/>
          <w:szCs w:val="22"/>
          <w:lang w:val="fr-FR"/>
        </w:rPr>
        <w:tab/>
      </w:r>
      <w:r w:rsidRPr="0026653F">
        <w:rPr>
          <w:bCs/>
          <w:szCs w:val="22"/>
          <w:lang w:val="fr-FR"/>
        </w:rPr>
        <w:t xml:space="preserve">De réaffirmer </w:t>
      </w:r>
      <w:r w:rsidRPr="0026653F">
        <w:rPr>
          <w:bCs/>
          <w:color w:val="000000"/>
          <w:szCs w:val="22"/>
          <w:lang w:val="fr-FR"/>
        </w:rPr>
        <w:t>la nécessité d’établir un environnement de respect, de diversité et d’inclusion de l’identité ethnique et culturelle de tous les enfants et adolescents et de faire en sorte que cela constitue la condition de l’existence et de la reproduction d’une dimension pluraliste de la société démocratique.</w:t>
      </w:r>
    </w:p>
    <w:p w14:paraId="194D9BC1" w14:textId="77777777" w:rsidR="000A4802" w:rsidRPr="0026653F" w:rsidRDefault="000A4802" w:rsidP="00C618DD">
      <w:pPr>
        <w:suppressAutoHyphens/>
        <w:rPr>
          <w:bCs/>
          <w:color w:val="000000"/>
          <w:szCs w:val="22"/>
          <w:lang w:val="fr-FR"/>
        </w:rPr>
      </w:pPr>
    </w:p>
    <w:p w14:paraId="515CFD46" w14:textId="7D11EE41" w:rsidR="000A4802" w:rsidRPr="0026653F" w:rsidRDefault="000A4802" w:rsidP="00C618DD">
      <w:pPr>
        <w:suppressAutoHyphens/>
        <w:ind w:firstLine="708"/>
        <w:rPr>
          <w:bCs/>
          <w:color w:val="000000"/>
          <w:szCs w:val="22"/>
          <w:lang w:val="fr-FR"/>
        </w:rPr>
      </w:pPr>
      <w:r w:rsidRPr="0026653F">
        <w:rPr>
          <w:color w:val="000000"/>
          <w:szCs w:val="22"/>
          <w:lang w:val="fr-FR"/>
        </w:rPr>
        <w:t>3.</w:t>
      </w:r>
      <w:r w:rsidRPr="0026653F">
        <w:rPr>
          <w:color w:val="000000"/>
          <w:szCs w:val="22"/>
          <w:lang w:val="fr-FR"/>
        </w:rPr>
        <w:tab/>
      </w:r>
      <w:r w:rsidRPr="0026653F">
        <w:rPr>
          <w:szCs w:val="22"/>
          <w:lang w:val="fr-FR"/>
        </w:rPr>
        <w:t xml:space="preserve">D’accueillir avec satisfaction les </w:t>
      </w:r>
      <w:r w:rsidRPr="0026653F">
        <w:rPr>
          <w:color w:val="000000"/>
          <w:szCs w:val="22"/>
          <w:lang w:val="fr-FR"/>
        </w:rPr>
        <w:t>progrès réalisés dans le cadre du mandat d’élargissement et de consolidation au sein de l’</w:t>
      </w:r>
      <w:r w:rsidR="003403B1" w:rsidRPr="0026653F">
        <w:rPr>
          <w:color w:val="000000"/>
          <w:szCs w:val="22"/>
          <w:lang w:val="fr-FR"/>
        </w:rPr>
        <w:t>Organisation des États Américains (O</w:t>
      </w:r>
      <w:r w:rsidRPr="0026653F">
        <w:rPr>
          <w:color w:val="000000"/>
          <w:szCs w:val="22"/>
          <w:lang w:val="fr-FR"/>
        </w:rPr>
        <w:t>EA</w:t>
      </w:r>
      <w:r w:rsidR="003403B1" w:rsidRPr="0026653F">
        <w:rPr>
          <w:color w:val="000000"/>
          <w:szCs w:val="22"/>
          <w:lang w:val="fr-FR"/>
        </w:rPr>
        <w:t>)</w:t>
      </w:r>
      <w:r w:rsidRPr="0026653F">
        <w:rPr>
          <w:color w:val="000000"/>
          <w:szCs w:val="22"/>
          <w:lang w:val="fr-FR"/>
        </w:rPr>
        <w:t xml:space="preserve"> des instances auxquelles participent les enfants </w:t>
      </w:r>
      <w:r w:rsidRPr="0026653F">
        <w:rPr>
          <w:bCs/>
          <w:color w:val="000000"/>
          <w:szCs w:val="22"/>
          <w:lang w:val="fr-FR"/>
        </w:rPr>
        <w:t>et les adolescents,</w:t>
      </w:r>
      <w:r w:rsidRPr="0026653F">
        <w:rPr>
          <w:color w:val="000000"/>
          <w:szCs w:val="22"/>
          <w:lang w:val="fr-FR"/>
        </w:rPr>
        <w:t xml:space="preserve"> et d’encourager la poursuite des travaux à cet égard.</w:t>
      </w:r>
    </w:p>
    <w:p w14:paraId="776D4F2D" w14:textId="77777777" w:rsidR="000A4802" w:rsidRPr="0026653F" w:rsidRDefault="000A4802" w:rsidP="00C618DD">
      <w:pPr>
        <w:suppressAutoHyphens/>
        <w:jc w:val="left"/>
        <w:rPr>
          <w:szCs w:val="22"/>
          <w:lang w:val="fr-FR"/>
        </w:rPr>
      </w:pPr>
    </w:p>
    <w:p w14:paraId="37836F01" w14:textId="77777777" w:rsidR="000A4802" w:rsidRPr="0026653F" w:rsidRDefault="000A4802" w:rsidP="00C618DD">
      <w:pPr>
        <w:suppressAutoHyphens/>
        <w:autoSpaceDE w:val="0"/>
        <w:autoSpaceDN w:val="0"/>
        <w:adjustRightInd w:val="0"/>
        <w:rPr>
          <w:color w:val="000000"/>
          <w:szCs w:val="22"/>
          <w:u w:val="single"/>
          <w:lang w:val="fr-FR"/>
        </w:rPr>
      </w:pPr>
      <w:r w:rsidRPr="0026653F">
        <w:rPr>
          <w:color w:val="000000"/>
          <w:szCs w:val="22"/>
          <w:lang w:val="fr-FR"/>
        </w:rPr>
        <w:t>iv.</w:t>
      </w:r>
      <w:r w:rsidRPr="0026653F">
        <w:rPr>
          <w:color w:val="000000"/>
          <w:szCs w:val="22"/>
          <w:lang w:val="fr-FR"/>
        </w:rPr>
        <w:tab/>
      </w:r>
      <w:r w:rsidRPr="0026653F">
        <w:rPr>
          <w:color w:val="000000"/>
          <w:szCs w:val="22"/>
          <w:u w:val="single"/>
          <w:lang w:val="fr-FR"/>
        </w:rPr>
        <w:t xml:space="preserve">Réunion des ministres de la justice des Amériques </w:t>
      </w:r>
    </w:p>
    <w:p w14:paraId="4846445E" w14:textId="77777777" w:rsidR="000A4802" w:rsidRPr="0026653F" w:rsidRDefault="000A4802" w:rsidP="00C618DD">
      <w:pPr>
        <w:suppressAutoHyphens/>
        <w:jc w:val="left"/>
        <w:rPr>
          <w:szCs w:val="22"/>
          <w:u w:val="single"/>
          <w:lang w:val="fr-FR"/>
        </w:rPr>
      </w:pPr>
    </w:p>
    <w:p w14:paraId="4AB99D2B" w14:textId="1186961E" w:rsidR="000A4802" w:rsidRPr="0026653F" w:rsidRDefault="000A4802" w:rsidP="00C618DD">
      <w:pPr>
        <w:suppressAutoHyphens/>
        <w:kinsoku w:val="0"/>
        <w:rPr>
          <w:b/>
          <w:i/>
          <w:color w:val="000000"/>
          <w:szCs w:val="22"/>
          <w:lang w:val="fr-FR"/>
        </w:rPr>
      </w:pPr>
      <w:r w:rsidRPr="0026653F">
        <w:rPr>
          <w:szCs w:val="22"/>
          <w:lang w:val="fr-FR"/>
        </w:rPr>
        <w:tab/>
      </w:r>
      <w:r w:rsidRPr="0026653F">
        <w:rPr>
          <w:color w:val="000000"/>
          <w:szCs w:val="22"/>
          <w:lang w:val="fr-FR"/>
        </w:rPr>
        <w:t>GARDANT PRÉSENT À L’ESPRIT que la coopération entre les autorités responsables en matière de justice constitue un des domaines prioritaires de l’OEA,</w:t>
      </w:r>
      <w:r w:rsidRPr="0026653F">
        <w:rPr>
          <w:b/>
          <w:color w:val="000000"/>
          <w:szCs w:val="22"/>
          <w:lang w:val="fr-FR"/>
        </w:rPr>
        <w:t xml:space="preserve"> </w:t>
      </w:r>
      <w:r w:rsidRPr="0026653F">
        <w:rPr>
          <w:color w:val="000000"/>
          <w:szCs w:val="22"/>
          <w:lang w:val="fr-FR"/>
        </w:rPr>
        <w:t>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w:t>
      </w:r>
      <w:r w:rsidRPr="00554FDF">
        <w:rPr>
          <w:bCs/>
          <w:color w:val="000000"/>
          <w:szCs w:val="22"/>
          <w:lang w:val="fr-FR"/>
        </w:rPr>
        <w:t xml:space="preserve"> </w:t>
      </w:r>
      <w:r w:rsidRPr="0026653F">
        <w:rPr>
          <w:color w:val="000000"/>
          <w:szCs w:val="22"/>
          <w:lang w:val="fr-FR"/>
        </w:rPr>
        <w:t>lors des Sommets des Amériques,</w:t>
      </w:r>
      <w:r w:rsidRPr="0026653F">
        <w:rPr>
          <w:b/>
          <w:color w:val="000000"/>
          <w:szCs w:val="22"/>
          <w:lang w:val="fr-FR"/>
        </w:rPr>
        <w:t xml:space="preserve"> </w:t>
      </w:r>
      <w:r w:rsidRPr="0026653F">
        <w:rPr>
          <w:color w:val="000000"/>
          <w:szCs w:val="22"/>
          <w:lang w:val="fr-FR"/>
        </w:rPr>
        <w:t xml:space="preserve">les chefs d’État et de gouvernement ont soutenu les travaux accomplis dans le cadre </w:t>
      </w:r>
      <w:r w:rsidR="0095777C" w:rsidRPr="0026653F">
        <w:rPr>
          <w:color w:val="000000"/>
          <w:szCs w:val="22"/>
          <w:lang w:val="fr-FR"/>
        </w:rPr>
        <w:t xml:space="preserve">de la </w:t>
      </w:r>
      <w:r w:rsidRPr="0026653F">
        <w:rPr>
          <w:color w:val="000000"/>
          <w:szCs w:val="22"/>
          <w:lang w:val="fr-FR"/>
        </w:rPr>
        <w:t xml:space="preserve">REMJA et la mise en œuvre de </w:t>
      </w:r>
      <w:r w:rsidR="00941974" w:rsidRPr="0026653F">
        <w:rPr>
          <w:color w:val="000000"/>
          <w:szCs w:val="22"/>
          <w:lang w:val="fr-FR"/>
        </w:rPr>
        <w:t xml:space="preserve">ses </w:t>
      </w:r>
      <w:r w:rsidRPr="0026653F">
        <w:rPr>
          <w:color w:val="000000"/>
          <w:szCs w:val="22"/>
          <w:lang w:val="fr-FR"/>
        </w:rPr>
        <w:t>conclusions et recommandations</w:t>
      </w:r>
      <w:r w:rsidRPr="0026653F">
        <w:rPr>
          <w:szCs w:val="22"/>
          <w:lang w:val="fr-FR"/>
        </w:rPr>
        <w:t>,</w:t>
      </w:r>
    </w:p>
    <w:p w14:paraId="4DCF5E5A" w14:textId="77777777" w:rsidR="000A4802" w:rsidRPr="0026653F" w:rsidRDefault="000A4802" w:rsidP="00C618DD">
      <w:pPr>
        <w:suppressAutoHyphens/>
        <w:kinsoku w:val="0"/>
        <w:rPr>
          <w:bCs/>
          <w:szCs w:val="22"/>
          <w:lang w:val="fr-FR"/>
        </w:rPr>
      </w:pPr>
    </w:p>
    <w:p w14:paraId="27637378" w14:textId="09C8CAE1" w:rsidR="000A4802" w:rsidRPr="0026653F" w:rsidRDefault="000A4802" w:rsidP="00C618DD">
      <w:pPr>
        <w:suppressAutoHyphens/>
        <w:kinsoku w:val="0"/>
        <w:ind w:firstLine="720"/>
        <w:rPr>
          <w:szCs w:val="22"/>
          <w:lang w:val="fr-FR"/>
        </w:rPr>
      </w:pPr>
      <w:r w:rsidRPr="0026653F">
        <w:rPr>
          <w:szCs w:val="22"/>
          <w:lang w:val="fr-FR"/>
        </w:rPr>
        <w:t xml:space="preserve">PRENANT NOTE AVEC </w:t>
      </w:r>
      <w:r w:rsidR="005C64C1" w:rsidRPr="0026653F">
        <w:rPr>
          <w:szCs w:val="22"/>
          <w:lang w:val="fr-FR"/>
        </w:rPr>
        <w:t>SATISFACTION</w:t>
      </w:r>
      <w:r w:rsidRPr="0026653F">
        <w:rPr>
          <w:szCs w:val="22"/>
          <w:lang w:val="fr-FR"/>
        </w:rPr>
        <w:t xml:space="preserve"> des </w:t>
      </w:r>
      <w:r w:rsidR="005C64C1" w:rsidRPr="0026653F">
        <w:rPr>
          <w:szCs w:val="22"/>
          <w:lang w:val="fr-FR"/>
        </w:rPr>
        <w:t>« C</w:t>
      </w:r>
      <w:r w:rsidRPr="0026653F">
        <w:rPr>
          <w:szCs w:val="22"/>
          <w:lang w:val="fr-FR"/>
        </w:rPr>
        <w:t xml:space="preserve">onclusions et recommandations </w:t>
      </w:r>
      <w:r w:rsidR="005C64C1" w:rsidRPr="0026653F">
        <w:rPr>
          <w:szCs w:val="22"/>
          <w:lang w:val="fr-FR"/>
        </w:rPr>
        <w:t>de la REMJA</w:t>
      </w:r>
      <w:r w:rsidR="0095777C" w:rsidRPr="0026653F">
        <w:rPr>
          <w:szCs w:val="22"/>
          <w:lang w:val="fr-FR"/>
        </w:rPr>
        <w:t xml:space="preserve"> </w:t>
      </w:r>
      <w:r w:rsidR="005C64C1" w:rsidRPr="0026653F">
        <w:rPr>
          <w:szCs w:val="22"/>
          <w:lang w:val="fr-FR"/>
        </w:rPr>
        <w:t xml:space="preserve">X », </w:t>
      </w:r>
      <w:r w:rsidRPr="0026653F">
        <w:rPr>
          <w:szCs w:val="22"/>
          <w:lang w:val="fr-FR"/>
        </w:rPr>
        <w:t>approuvées par consensus au cours de la séance plénière tenue le 16 octobre 2015 dans le cadre de la dernière Réunion des ministres de la justice des Amériques (REMJA</w:t>
      </w:r>
      <w:r w:rsidR="0095777C" w:rsidRPr="0026653F">
        <w:rPr>
          <w:szCs w:val="22"/>
          <w:lang w:val="fr-FR"/>
        </w:rPr>
        <w:t xml:space="preserve"> </w:t>
      </w:r>
      <w:r w:rsidRPr="0026653F">
        <w:rPr>
          <w:szCs w:val="22"/>
          <w:lang w:val="fr-FR"/>
        </w:rPr>
        <w:t>X) tenue à Bogota (Colombie) les 15 et 16 octobre 2015,</w:t>
      </w:r>
    </w:p>
    <w:p w14:paraId="2D519517" w14:textId="77777777" w:rsidR="000A4802" w:rsidRPr="0026653F" w:rsidRDefault="000A4802" w:rsidP="00C618DD">
      <w:pPr>
        <w:suppressAutoHyphens/>
        <w:kinsoku w:val="0"/>
        <w:rPr>
          <w:szCs w:val="22"/>
          <w:lang w:val="fr-FR"/>
        </w:rPr>
      </w:pPr>
    </w:p>
    <w:p w14:paraId="2DD16CAC" w14:textId="7996C120" w:rsidR="000A4802" w:rsidRPr="0026653F" w:rsidRDefault="000A4802" w:rsidP="00C618DD">
      <w:pPr>
        <w:suppressAutoHyphens/>
        <w:kinsoku w:val="0"/>
        <w:ind w:firstLine="720"/>
        <w:rPr>
          <w:szCs w:val="22"/>
          <w:lang w:val="fr-FR"/>
        </w:rPr>
      </w:pPr>
      <w:r w:rsidRPr="0026653F">
        <w:rPr>
          <w:szCs w:val="22"/>
          <w:lang w:val="fr-FR"/>
        </w:rPr>
        <w:t xml:space="preserve">RAPPELANT que, </w:t>
      </w:r>
      <w:r w:rsidR="00C3112C" w:rsidRPr="0026653F">
        <w:rPr>
          <w:szCs w:val="22"/>
          <w:lang w:val="fr-FR"/>
        </w:rPr>
        <w:t>à cette occasion</w:t>
      </w:r>
      <w:r w:rsidRPr="0026653F">
        <w:rPr>
          <w:szCs w:val="22"/>
          <w:lang w:val="fr-FR"/>
        </w:rPr>
        <w:t>, la REMJA</w:t>
      </w:r>
      <w:r w:rsidR="0095777C" w:rsidRPr="0026653F">
        <w:rPr>
          <w:szCs w:val="22"/>
          <w:lang w:val="fr-FR"/>
        </w:rPr>
        <w:t xml:space="preserve"> </w:t>
      </w:r>
      <w:r w:rsidRPr="0026653F">
        <w:rPr>
          <w:szCs w:val="22"/>
          <w:lang w:val="fr-FR"/>
        </w:rPr>
        <w:t>X a convenu de modifier l</w:t>
      </w:r>
      <w:r w:rsidR="006C65B4" w:rsidRPr="0026653F">
        <w:rPr>
          <w:szCs w:val="22"/>
          <w:lang w:val="fr-FR"/>
        </w:rPr>
        <w:t xml:space="preserve">a disposition </w:t>
      </w:r>
      <w:r w:rsidRPr="0026653F">
        <w:rPr>
          <w:szCs w:val="22"/>
          <w:lang w:val="fr-FR"/>
        </w:rPr>
        <w:t>5 du Document de Washington </w:t>
      </w:r>
      <w:r w:rsidR="006C65B4" w:rsidRPr="0026653F">
        <w:rPr>
          <w:szCs w:val="22"/>
          <w:lang w:val="fr-FR"/>
        </w:rPr>
        <w:t xml:space="preserve">et d’y ajouter ce qui suit : </w:t>
      </w:r>
      <w:r w:rsidRPr="0026653F">
        <w:rPr>
          <w:szCs w:val="22"/>
          <w:lang w:val="fr-FR"/>
        </w:rPr>
        <w:t>« sauf circonstances exceptionnelles, la REMJA se tiendra tous les deux ans »,</w:t>
      </w:r>
    </w:p>
    <w:p w14:paraId="5642C9BD" w14:textId="77777777" w:rsidR="000A4802" w:rsidRPr="0026653F" w:rsidRDefault="000A4802" w:rsidP="00C618DD">
      <w:pPr>
        <w:suppressAutoHyphens/>
        <w:kinsoku w:val="0"/>
        <w:rPr>
          <w:szCs w:val="22"/>
          <w:lang w:val="fr-FR"/>
        </w:rPr>
      </w:pPr>
    </w:p>
    <w:p w14:paraId="5B424DE5" w14:textId="77777777" w:rsidR="000A4802" w:rsidRPr="0026653F" w:rsidRDefault="000A4802" w:rsidP="00C618DD">
      <w:pPr>
        <w:suppressAutoHyphens/>
        <w:kinsoku w:val="0"/>
        <w:rPr>
          <w:szCs w:val="22"/>
          <w:lang w:val="fr-FR"/>
        </w:rPr>
      </w:pPr>
      <w:r w:rsidRPr="0026653F">
        <w:rPr>
          <w:szCs w:val="22"/>
          <w:lang w:val="fr-FR"/>
        </w:rPr>
        <w:t>DÉCIDE :</w:t>
      </w:r>
    </w:p>
    <w:p w14:paraId="19B33C29" w14:textId="77777777" w:rsidR="000A4802" w:rsidRPr="0026653F" w:rsidRDefault="000A4802" w:rsidP="00C618DD">
      <w:pPr>
        <w:suppressAutoHyphens/>
        <w:kinsoku w:val="0"/>
        <w:rPr>
          <w:szCs w:val="22"/>
          <w:lang w:val="fr-FR"/>
        </w:rPr>
      </w:pPr>
    </w:p>
    <w:p w14:paraId="0C17AEF0" w14:textId="7644FFDB" w:rsidR="000A4802" w:rsidRPr="0026653F" w:rsidRDefault="000A4802" w:rsidP="00C618DD">
      <w:pPr>
        <w:suppressAutoHyphens/>
        <w:kinsoku w:val="0"/>
        <w:ind w:firstLine="720"/>
        <w:rPr>
          <w:i/>
          <w:iCs/>
          <w:color w:val="000000"/>
          <w:szCs w:val="22"/>
          <w:lang w:val="fr-FR"/>
        </w:rPr>
      </w:pPr>
      <w:r w:rsidRPr="0026653F">
        <w:rPr>
          <w:szCs w:val="22"/>
          <w:lang w:val="fr-FR"/>
        </w:rPr>
        <w:t>1.</w:t>
      </w:r>
      <w:r w:rsidRPr="0026653F">
        <w:rPr>
          <w:szCs w:val="22"/>
          <w:lang w:val="fr-FR"/>
        </w:rPr>
        <w:tab/>
        <w:t>D’exprimer sa satisfaction pour les avancées obtenues avec l’appui du Département de la coopération juridique, en sa qualité de secrétariat technique de</w:t>
      </w:r>
      <w:r w:rsidR="00A3146A" w:rsidRPr="0026653F">
        <w:rPr>
          <w:szCs w:val="22"/>
          <w:lang w:val="fr-FR"/>
        </w:rPr>
        <w:t xml:space="preserve"> la</w:t>
      </w:r>
      <w:r w:rsidRPr="0026653F">
        <w:rPr>
          <w:szCs w:val="22"/>
          <w:lang w:val="fr-FR"/>
        </w:rPr>
        <w:t xml:space="preserve"> Réunion des ministres de la justice des Amériques (REMJA), dans l’exécution des mandats énoncés dans le document </w:t>
      </w:r>
      <w:r w:rsidR="00355D3C">
        <w:rPr>
          <w:szCs w:val="22"/>
          <w:lang w:val="fr-FR"/>
        </w:rPr>
        <w:br/>
      </w:r>
      <w:r w:rsidR="006C65B4" w:rsidRPr="0026653F">
        <w:rPr>
          <w:szCs w:val="22"/>
          <w:lang w:val="fr-FR"/>
        </w:rPr>
        <w:t xml:space="preserve">REMJA-X/doc.2/15 rev. 2, </w:t>
      </w:r>
      <w:r w:rsidRPr="0026653F">
        <w:rPr>
          <w:szCs w:val="22"/>
          <w:lang w:val="fr-FR"/>
        </w:rPr>
        <w:t>«</w:t>
      </w:r>
      <w:r w:rsidR="006C65B4" w:rsidRPr="0026653F">
        <w:rPr>
          <w:szCs w:val="22"/>
          <w:lang w:val="fr-FR"/>
        </w:rPr>
        <w:t> </w:t>
      </w:r>
      <w:r w:rsidRPr="0026653F">
        <w:rPr>
          <w:szCs w:val="22"/>
          <w:lang w:val="fr-FR"/>
        </w:rPr>
        <w:t>Conclusions et recommandations de la REMJA</w:t>
      </w:r>
      <w:r w:rsidR="0095777C" w:rsidRPr="0026653F">
        <w:rPr>
          <w:szCs w:val="22"/>
          <w:lang w:val="fr-FR"/>
        </w:rPr>
        <w:t xml:space="preserve"> </w:t>
      </w:r>
      <w:r w:rsidRPr="0026653F">
        <w:rPr>
          <w:szCs w:val="22"/>
          <w:lang w:val="fr-FR"/>
        </w:rPr>
        <w:t>X »</w:t>
      </w:r>
      <w:r w:rsidR="006C65B4" w:rsidRPr="0026653F">
        <w:rPr>
          <w:szCs w:val="22"/>
          <w:lang w:val="fr-FR"/>
        </w:rPr>
        <w:t>,</w:t>
      </w:r>
      <w:r w:rsidRPr="0026653F">
        <w:rPr>
          <w:szCs w:val="22"/>
          <w:lang w:val="fr-FR"/>
        </w:rPr>
        <w:t xml:space="preserve"> y compris la </w:t>
      </w:r>
      <w:r w:rsidRPr="0026653F">
        <w:rPr>
          <w:szCs w:val="22"/>
          <w:lang w:val="fr-FR"/>
        </w:rPr>
        <w:lastRenderedPageBreak/>
        <w:t>réalisation d</w:t>
      </w:r>
      <w:r w:rsidR="006C65B4" w:rsidRPr="0026653F">
        <w:rPr>
          <w:szCs w:val="22"/>
          <w:lang w:val="fr-FR"/>
        </w:rPr>
        <w:t xml:space="preserve">es </w:t>
      </w:r>
      <w:r w:rsidRPr="0026653F">
        <w:rPr>
          <w:szCs w:val="22"/>
          <w:lang w:val="fr-FR"/>
        </w:rPr>
        <w:t>ateliers régionaux de formation à l’intention des juges et procureurs en matière de cybercriminalité.</w:t>
      </w:r>
    </w:p>
    <w:p w14:paraId="039EEFF4" w14:textId="77777777" w:rsidR="000A4802" w:rsidRPr="0026653F" w:rsidRDefault="000A4802" w:rsidP="00C618DD">
      <w:pPr>
        <w:suppressAutoHyphens/>
        <w:kinsoku w:val="0"/>
        <w:rPr>
          <w:szCs w:val="22"/>
          <w:lang w:val="fr-FR"/>
        </w:rPr>
      </w:pPr>
    </w:p>
    <w:p w14:paraId="0368110D" w14:textId="11669B18" w:rsidR="000A4802" w:rsidRPr="0026653F" w:rsidRDefault="000A4802" w:rsidP="00C618DD">
      <w:pPr>
        <w:suppressAutoHyphens/>
        <w:kinsoku w:val="0"/>
        <w:ind w:firstLine="720"/>
        <w:rPr>
          <w:bCs/>
          <w:szCs w:val="22"/>
          <w:lang w:val="fr-FR"/>
        </w:rPr>
      </w:pPr>
      <w:r w:rsidRPr="0026653F">
        <w:rPr>
          <w:color w:val="000000"/>
          <w:szCs w:val="22"/>
          <w:lang w:val="fr-FR"/>
        </w:rPr>
        <w:t>2.</w:t>
      </w:r>
      <w:r w:rsidRPr="0026653F">
        <w:rPr>
          <w:color w:val="000000"/>
          <w:szCs w:val="22"/>
          <w:lang w:val="fr-FR"/>
        </w:rPr>
        <w:tab/>
        <w:t>D</w:t>
      </w:r>
      <w:r w:rsidR="006C65B4" w:rsidRPr="0026653F">
        <w:rPr>
          <w:color w:val="000000"/>
          <w:szCs w:val="22"/>
          <w:lang w:val="fr-FR"/>
        </w:rPr>
        <w:t xml:space="preserve">’arrêter que </w:t>
      </w:r>
      <w:r w:rsidRPr="0026653F">
        <w:rPr>
          <w:color w:val="000000"/>
          <w:szCs w:val="22"/>
          <w:lang w:val="fr-FR"/>
        </w:rPr>
        <w:t>la REMJA</w:t>
      </w:r>
      <w:r w:rsidR="0095777C" w:rsidRPr="0026653F">
        <w:rPr>
          <w:color w:val="000000"/>
          <w:szCs w:val="22"/>
          <w:lang w:val="fr-FR"/>
        </w:rPr>
        <w:t xml:space="preserve"> </w:t>
      </w:r>
      <w:r w:rsidRPr="0026653F">
        <w:rPr>
          <w:color w:val="000000"/>
          <w:szCs w:val="22"/>
          <w:lang w:val="fr-FR"/>
        </w:rPr>
        <w:t xml:space="preserve">XI </w:t>
      </w:r>
      <w:r w:rsidR="006C65B4" w:rsidRPr="0026653F">
        <w:rPr>
          <w:color w:val="000000"/>
          <w:szCs w:val="22"/>
          <w:lang w:val="fr-FR"/>
        </w:rPr>
        <w:t xml:space="preserve">doit être </w:t>
      </w:r>
      <w:r w:rsidRPr="0026653F">
        <w:rPr>
          <w:color w:val="000000"/>
          <w:szCs w:val="22"/>
          <w:lang w:val="fr-FR"/>
        </w:rPr>
        <w:t xml:space="preserve">convoquée en temps utile, compte </w:t>
      </w:r>
      <w:r w:rsidR="006C65B4" w:rsidRPr="0026653F">
        <w:rPr>
          <w:color w:val="000000"/>
          <w:szCs w:val="22"/>
          <w:lang w:val="fr-FR"/>
        </w:rPr>
        <w:t xml:space="preserve">tenu </w:t>
      </w:r>
      <w:r w:rsidRPr="0026653F">
        <w:rPr>
          <w:color w:val="000000"/>
          <w:szCs w:val="22"/>
          <w:lang w:val="fr-FR"/>
        </w:rPr>
        <w:t>du fait que la REMJA</w:t>
      </w:r>
      <w:r w:rsidR="0095777C" w:rsidRPr="0026653F">
        <w:rPr>
          <w:color w:val="000000"/>
          <w:szCs w:val="22"/>
          <w:lang w:val="fr-FR"/>
        </w:rPr>
        <w:t xml:space="preserve"> </w:t>
      </w:r>
      <w:r w:rsidRPr="0026653F">
        <w:rPr>
          <w:color w:val="000000"/>
          <w:szCs w:val="22"/>
          <w:lang w:val="fr-FR"/>
        </w:rPr>
        <w:t xml:space="preserve">X s’est tenue il y a cinq ans et que, comme le prévoit la disposition 5 </w:t>
      </w:r>
      <w:r w:rsidRPr="0026653F">
        <w:rPr>
          <w:szCs w:val="22"/>
          <w:lang w:val="fr-FR"/>
        </w:rPr>
        <w:t>du Document de Washington, en raison de circonstances exceptionnelles la REMJA</w:t>
      </w:r>
      <w:r w:rsidR="0095777C" w:rsidRPr="0026653F">
        <w:rPr>
          <w:szCs w:val="22"/>
          <w:lang w:val="fr-FR"/>
        </w:rPr>
        <w:t xml:space="preserve"> </w:t>
      </w:r>
      <w:r w:rsidRPr="0026653F">
        <w:rPr>
          <w:szCs w:val="22"/>
          <w:lang w:val="fr-FR"/>
        </w:rPr>
        <w:t xml:space="preserve">XI n’a pas eu lieu, et en tenant compte de la disponibilité des ressources financières dans le programme-budget de l’Organisation ainsi que d’autres </w:t>
      </w:r>
      <w:r w:rsidRPr="00396A11">
        <w:rPr>
          <w:szCs w:val="22"/>
          <w:lang w:val="fr-FR"/>
        </w:rPr>
        <w:t>ressources, de même</w:t>
      </w:r>
      <w:r w:rsidRPr="0026653F">
        <w:rPr>
          <w:bCs/>
          <w:szCs w:val="22"/>
          <w:lang w:val="fr-FR"/>
        </w:rPr>
        <w:t xml:space="preserve"> que des circonstances découlant de la pandémie de COVID-19.</w:t>
      </w:r>
    </w:p>
    <w:p w14:paraId="4A62D60C" w14:textId="7B0584F7" w:rsidR="000A4802" w:rsidRPr="0026653F" w:rsidRDefault="000A4802" w:rsidP="00396A11">
      <w:pPr>
        <w:tabs>
          <w:tab w:val="left" w:pos="3055"/>
        </w:tabs>
        <w:suppressAutoHyphens/>
        <w:kinsoku w:val="0"/>
        <w:rPr>
          <w:bCs/>
          <w:szCs w:val="22"/>
          <w:lang w:val="fr-FR"/>
        </w:rPr>
      </w:pPr>
    </w:p>
    <w:p w14:paraId="4CBA5849" w14:textId="1463328E" w:rsidR="000A4802" w:rsidRPr="0026653F" w:rsidRDefault="000A4802" w:rsidP="00C618DD">
      <w:pPr>
        <w:suppressAutoHyphens/>
        <w:kinsoku w:val="0"/>
        <w:ind w:firstLine="720"/>
        <w:rPr>
          <w:szCs w:val="22"/>
          <w:lang w:val="fr-FR"/>
        </w:rPr>
      </w:pPr>
      <w:r w:rsidRPr="0026653F">
        <w:rPr>
          <w:szCs w:val="22"/>
          <w:lang w:val="fr-FR"/>
        </w:rPr>
        <w:t>3.</w:t>
      </w:r>
      <w:r w:rsidRPr="0026653F">
        <w:rPr>
          <w:szCs w:val="22"/>
          <w:lang w:val="fr-FR"/>
        </w:rPr>
        <w:tab/>
      </w:r>
      <w:r w:rsidRPr="0026653F">
        <w:rPr>
          <w:bCs/>
          <w:szCs w:val="22"/>
          <w:lang w:val="fr-FR"/>
        </w:rPr>
        <w:t xml:space="preserve">De demander instamment à la présidence de la REMJA, avec le soutien du </w:t>
      </w:r>
      <w:r w:rsidR="006C65B4" w:rsidRPr="0026653F">
        <w:rPr>
          <w:bCs/>
          <w:szCs w:val="22"/>
          <w:lang w:val="fr-FR"/>
        </w:rPr>
        <w:t>s</w:t>
      </w:r>
      <w:r w:rsidRPr="0026653F">
        <w:rPr>
          <w:bCs/>
          <w:szCs w:val="22"/>
          <w:lang w:val="fr-FR"/>
        </w:rPr>
        <w:t>ecrétariat technique et conformément aux dispositions 6, 7 (c) et 8 du Document de Washington régissant le processus REMJA, de convoquer la première réunion préparatoire de la REMJA</w:t>
      </w:r>
      <w:r w:rsidR="0095777C" w:rsidRPr="0026653F">
        <w:rPr>
          <w:bCs/>
          <w:szCs w:val="22"/>
          <w:lang w:val="fr-FR"/>
        </w:rPr>
        <w:t xml:space="preserve"> </w:t>
      </w:r>
      <w:r w:rsidRPr="0026653F">
        <w:rPr>
          <w:bCs/>
          <w:szCs w:val="22"/>
          <w:lang w:val="fr-FR"/>
        </w:rPr>
        <w:t>XI suffisamment à l’avance afin que des experts des ministères de la justice ou d’autres ministères, des parquets ou des bureaux du procureur général dans les Amériques, formulent des recommandations pour renforcer le processus REMJA ainsi que d’éventuelles questions d’importance continentale en matière de justice</w:t>
      </w:r>
      <w:r w:rsidR="006C65B4" w:rsidRPr="0026653F">
        <w:rPr>
          <w:bCs/>
          <w:szCs w:val="22"/>
          <w:lang w:val="fr-FR"/>
        </w:rPr>
        <w:t xml:space="preserve"> qui feront l’objet de discussions lors de </w:t>
      </w:r>
      <w:r w:rsidRPr="0026653F">
        <w:rPr>
          <w:bCs/>
          <w:szCs w:val="22"/>
          <w:lang w:val="fr-FR"/>
        </w:rPr>
        <w:t>la REMJA</w:t>
      </w:r>
      <w:r w:rsidR="0095777C" w:rsidRPr="0026653F">
        <w:rPr>
          <w:bCs/>
          <w:szCs w:val="22"/>
          <w:lang w:val="fr-FR"/>
        </w:rPr>
        <w:t xml:space="preserve"> </w:t>
      </w:r>
      <w:r w:rsidRPr="0026653F">
        <w:rPr>
          <w:bCs/>
          <w:szCs w:val="22"/>
          <w:lang w:val="fr-FR"/>
        </w:rPr>
        <w:t>XI.</w:t>
      </w:r>
    </w:p>
    <w:p w14:paraId="23D9BEC4" w14:textId="77777777" w:rsidR="000A4802" w:rsidRPr="0026653F" w:rsidRDefault="000A4802" w:rsidP="00C618DD">
      <w:pPr>
        <w:suppressAutoHyphens/>
        <w:rPr>
          <w:szCs w:val="22"/>
          <w:lang w:val="fr-FR"/>
        </w:rPr>
      </w:pPr>
    </w:p>
    <w:p w14:paraId="73781B4C" w14:textId="5CAE25EE" w:rsidR="000A4802" w:rsidRPr="0026653F" w:rsidRDefault="000A4802" w:rsidP="00C618DD">
      <w:pPr>
        <w:suppressAutoHyphens/>
        <w:ind w:firstLine="720"/>
        <w:rPr>
          <w:szCs w:val="22"/>
          <w:lang w:val="fr-FR"/>
        </w:rPr>
      </w:pPr>
      <w:r w:rsidRPr="0026653F">
        <w:rPr>
          <w:szCs w:val="22"/>
          <w:lang w:val="fr-FR"/>
        </w:rPr>
        <w:t>4.</w:t>
      </w:r>
      <w:r w:rsidRPr="0026653F">
        <w:rPr>
          <w:szCs w:val="22"/>
          <w:lang w:val="fr-FR"/>
        </w:rPr>
        <w:tab/>
      </w:r>
      <w:r w:rsidRPr="0026653F">
        <w:rPr>
          <w:color w:val="000000"/>
          <w:szCs w:val="22"/>
          <w:lang w:val="fr-FR"/>
        </w:rPr>
        <w:t xml:space="preserve">De charger le </w:t>
      </w:r>
      <w:r w:rsidR="00A3146A" w:rsidRPr="0026653F">
        <w:rPr>
          <w:color w:val="000000"/>
          <w:szCs w:val="22"/>
          <w:lang w:val="fr-FR"/>
        </w:rPr>
        <w:t>S</w:t>
      </w:r>
      <w:r w:rsidRPr="0026653F">
        <w:rPr>
          <w:color w:val="000000"/>
          <w:szCs w:val="22"/>
          <w:lang w:val="fr-FR"/>
        </w:rPr>
        <w:t>ecrétariat technique de</w:t>
      </w:r>
      <w:r w:rsidR="006C65B4" w:rsidRPr="0026653F">
        <w:rPr>
          <w:color w:val="000000"/>
          <w:szCs w:val="22"/>
          <w:lang w:val="fr-FR"/>
        </w:rPr>
        <w:t xml:space="preserve"> la</w:t>
      </w:r>
      <w:r w:rsidRPr="0026653F">
        <w:rPr>
          <w:color w:val="000000"/>
          <w:szCs w:val="22"/>
          <w:lang w:val="fr-FR"/>
        </w:rPr>
        <w:t xml:space="preserve"> REMJA de continuer à fournir un appui, des services de </w:t>
      </w:r>
      <w:r w:rsidR="00A3146A" w:rsidRPr="0026653F">
        <w:rPr>
          <w:color w:val="000000"/>
          <w:szCs w:val="22"/>
          <w:lang w:val="fr-FR"/>
        </w:rPr>
        <w:t>conseil</w:t>
      </w:r>
      <w:r w:rsidRPr="0026653F">
        <w:rPr>
          <w:color w:val="000000"/>
          <w:szCs w:val="22"/>
          <w:lang w:val="fr-FR"/>
        </w:rPr>
        <w:t xml:space="preserve"> juridique et une aide technique </w:t>
      </w:r>
      <w:r w:rsidR="006C65B4" w:rsidRPr="0026653F">
        <w:rPr>
          <w:color w:val="000000"/>
          <w:szCs w:val="22"/>
          <w:lang w:val="fr-FR"/>
        </w:rPr>
        <w:t xml:space="preserve">à </w:t>
      </w:r>
      <w:r w:rsidR="00A3146A" w:rsidRPr="0026653F">
        <w:rPr>
          <w:color w:val="000000"/>
          <w:szCs w:val="22"/>
          <w:lang w:val="fr-FR"/>
        </w:rPr>
        <w:t xml:space="preserve">la </w:t>
      </w:r>
      <w:r w:rsidRPr="0026653F">
        <w:rPr>
          <w:color w:val="000000"/>
          <w:szCs w:val="22"/>
          <w:lang w:val="fr-FR"/>
        </w:rPr>
        <w:t xml:space="preserve">REMJA, à </w:t>
      </w:r>
      <w:r w:rsidR="00A3146A" w:rsidRPr="0026653F">
        <w:rPr>
          <w:color w:val="000000"/>
          <w:szCs w:val="22"/>
          <w:lang w:val="fr-FR"/>
        </w:rPr>
        <w:t>ses</w:t>
      </w:r>
      <w:r w:rsidRPr="0026653F">
        <w:rPr>
          <w:color w:val="000000"/>
          <w:szCs w:val="22"/>
          <w:lang w:val="fr-FR"/>
        </w:rPr>
        <w:t xml:space="preserve"> groupes de travail et réunions techniques en élaborant les documents et études </w:t>
      </w:r>
      <w:r w:rsidR="00A3146A" w:rsidRPr="0026653F">
        <w:rPr>
          <w:color w:val="000000"/>
          <w:szCs w:val="22"/>
          <w:lang w:val="fr-FR"/>
        </w:rPr>
        <w:t xml:space="preserve">permettant de </w:t>
      </w:r>
      <w:r w:rsidRPr="0026653F">
        <w:rPr>
          <w:color w:val="000000"/>
          <w:szCs w:val="22"/>
          <w:lang w:val="fr-FR"/>
        </w:rPr>
        <w:t>faciliter le suivi et l’application de leurs recommandations</w:t>
      </w:r>
      <w:r w:rsidR="00A3146A" w:rsidRPr="0026653F">
        <w:rPr>
          <w:color w:val="000000"/>
          <w:szCs w:val="22"/>
          <w:lang w:val="fr-FR"/>
        </w:rPr>
        <w:t xml:space="preserve">, en mettant </w:t>
      </w:r>
      <w:r w:rsidRPr="0026653F">
        <w:rPr>
          <w:color w:val="000000"/>
          <w:szCs w:val="22"/>
          <w:lang w:val="fr-FR"/>
        </w:rPr>
        <w:t xml:space="preserve">en œuvre des programmes, projets et activités de coopération technique pour </w:t>
      </w:r>
      <w:r w:rsidR="00A3146A" w:rsidRPr="0026653F">
        <w:rPr>
          <w:color w:val="000000"/>
          <w:szCs w:val="22"/>
          <w:lang w:val="fr-FR"/>
        </w:rPr>
        <w:t xml:space="preserve">y </w:t>
      </w:r>
      <w:r w:rsidRPr="0026653F">
        <w:rPr>
          <w:color w:val="000000"/>
          <w:szCs w:val="22"/>
          <w:lang w:val="fr-FR"/>
        </w:rPr>
        <w:t xml:space="preserve">donner suite, </w:t>
      </w:r>
      <w:r w:rsidR="00A3146A" w:rsidRPr="0026653F">
        <w:rPr>
          <w:color w:val="000000"/>
          <w:szCs w:val="22"/>
          <w:lang w:val="fr-FR"/>
        </w:rPr>
        <w:t xml:space="preserve">en </w:t>
      </w:r>
      <w:r w:rsidRPr="0026653F">
        <w:rPr>
          <w:color w:val="000000"/>
          <w:szCs w:val="22"/>
          <w:lang w:val="fr-FR"/>
        </w:rPr>
        <w:t>administr</w:t>
      </w:r>
      <w:r w:rsidR="00A3146A" w:rsidRPr="0026653F">
        <w:rPr>
          <w:color w:val="000000"/>
          <w:szCs w:val="22"/>
          <w:lang w:val="fr-FR"/>
        </w:rPr>
        <w:t xml:space="preserve">ant </w:t>
      </w:r>
      <w:r w:rsidRPr="0026653F">
        <w:rPr>
          <w:color w:val="000000"/>
          <w:szCs w:val="22"/>
          <w:lang w:val="fr-FR"/>
        </w:rPr>
        <w:t xml:space="preserve">et </w:t>
      </w:r>
      <w:r w:rsidR="00A3146A" w:rsidRPr="0026653F">
        <w:rPr>
          <w:color w:val="000000"/>
          <w:szCs w:val="22"/>
          <w:lang w:val="fr-FR"/>
        </w:rPr>
        <w:t>tenant à jour l</w:t>
      </w:r>
      <w:r w:rsidRPr="0026653F">
        <w:rPr>
          <w:color w:val="000000"/>
          <w:szCs w:val="22"/>
          <w:lang w:val="fr-FR"/>
        </w:rPr>
        <w:t xml:space="preserve">es réseaux relevant de </w:t>
      </w:r>
      <w:r w:rsidR="00A3146A" w:rsidRPr="0026653F">
        <w:rPr>
          <w:color w:val="000000"/>
          <w:szCs w:val="22"/>
          <w:lang w:val="fr-FR"/>
        </w:rPr>
        <w:t xml:space="preserve">sa </w:t>
      </w:r>
      <w:r w:rsidRPr="0026653F">
        <w:rPr>
          <w:color w:val="000000"/>
          <w:szCs w:val="22"/>
          <w:lang w:val="fr-FR"/>
        </w:rPr>
        <w:t xml:space="preserve">sphère de compétence qui ont été créés dans le cadre </w:t>
      </w:r>
      <w:r w:rsidR="00A3146A" w:rsidRPr="0026653F">
        <w:rPr>
          <w:color w:val="000000"/>
          <w:szCs w:val="22"/>
          <w:lang w:val="fr-FR"/>
        </w:rPr>
        <w:t xml:space="preserve">de la </w:t>
      </w:r>
      <w:r w:rsidRPr="0026653F">
        <w:rPr>
          <w:color w:val="000000"/>
          <w:szCs w:val="22"/>
          <w:lang w:val="fr-FR"/>
        </w:rPr>
        <w:t xml:space="preserve">REMJA, </w:t>
      </w:r>
      <w:r w:rsidR="00A3146A" w:rsidRPr="0026653F">
        <w:rPr>
          <w:color w:val="000000"/>
          <w:szCs w:val="22"/>
          <w:lang w:val="fr-FR"/>
        </w:rPr>
        <w:t xml:space="preserve">en effectuant </w:t>
      </w:r>
      <w:r w:rsidRPr="0026653F">
        <w:rPr>
          <w:color w:val="000000"/>
          <w:szCs w:val="22"/>
          <w:lang w:val="fr-FR"/>
        </w:rPr>
        <w:t>des démarches en vue d’obtenir des ressources pour le financement des activités de</w:t>
      </w:r>
      <w:r w:rsidR="00A3146A" w:rsidRPr="0026653F">
        <w:rPr>
          <w:color w:val="000000"/>
          <w:szCs w:val="22"/>
          <w:lang w:val="fr-FR"/>
        </w:rPr>
        <w:t xml:space="preserve"> la</w:t>
      </w:r>
      <w:r w:rsidRPr="0026653F">
        <w:rPr>
          <w:color w:val="000000"/>
          <w:szCs w:val="22"/>
          <w:lang w:val="fr-FR"/>
        </w:rPr>
        <w:t xml:space="preserve"> REMJA</w:t>
      </w:r>
      <w:r w:rsidR="00A3146A" w:rsidRPr="0026653F">
        <w:rPr>
          <w:color w:val="000000"/>
          <w:szCs w:val="22"/>
          <w:lang w:val="fr-FR"/>
        </w:rPr>
        <w:t>,</w:t>
      </w:r>
      <w:r w:rsidRPr="0026653F">
        <w:rPr>
          <w:color w:val="000000"/>
          <w:szCs w:val="22"/>
          <w:lang w:val="fr-FR"/>
        </w:rPr>
        <w:t xml:space="preserve"> en renforçant la coordination et la collaboration avec les secrétariats d’autres organismes, entités ou mécanismes de coopération internationale dans les domaines relevant de la compétence de</w:t>
      </w:r>
      <w:r w:rsidR="00A3146A" w:rsidRPr="0026653F">
        <w:rPr>
          <w:color w:val="000000"/>
          <w:szCs w:val="22"/>
          <w:lang w:val="fr-FR"/>
        </w:rPr>
        <w:t xml:space="preserve"> la</w:t>
      </w:r>
      <w:r w:rsidRPr="0026653F">
        <w:rPr>
          <w:color w:val="000000"/>
          <w:szCs w:val="22"/>
          <w:lang w:val="fr-FR"/>
        </w:rPr>
        <w:t xml:space="preserve"> REMJA, et d’aborder la mise en œuvre des autres attributions que lui confère le Document de Washington.</w:t>
      </w:r>
    </w:p>
    <w:p w14:paraId="61BC385B" w14:textId="77777777" w:rsidR="000A4802" w:rsidRPr="0026653F" w:rsidRDefault="000A4802" w:rsidP="00C618DD">
      <w:pPr>
        <w:suppressAutoHyphens/>
        <w:jc w:val="left"/>
        <w:rPr>
          <w:szCs w:val="22"/>
          <w:lang w:val="fr-FR"/>
        </w:rPr>
      </w:pPr>
    </w:p>
    <w:p w14:paraId="0CCADDBE" w14:textId="77777777" w:rsidR="000A4802" w:rsidRPr="0026653F" w:rsidRDefault="000A4802" w:rsidP="00C618DD">
      <w:pPr>
        <w:suppressAutoHyphens/>
        <w:rPr>
          <w:szCs w:val="22"/>
          <w:u w:val="single"/>
          <w:lang w:val="fr-FR"/>
        </w:rPr>
      </w:pPr>
      <w:r w:rsidRPr="0026653F">
        <w:rPr>
          <w:szCs w:val="22"/>
          <w:lang w:val="fr-FR"/>
        </w:rPr>
        <w:t>v.</w:t>
      </w:r>
      <w:r w:rsidRPr="0026653F">
        <w:rPr>
          <w:szCs w:val="22"/>
          <w:lang w:val="fr-FR"/>
        </w:rPr>
        <w:tab/>
      </w:r>
      <w:r w:rsidRPr="0026653F">
        <w:rPr>
          <w:szCs w:val="22"/>
          <w:u w:val="single"/>
          <w:lang w:val="fr-FR"/>
        </w:rPr>
        <w:t>Suivi de la Charte démocratique interaméricaine</w:t>
      </w:r>
    </w:p>
    <w:p w14:paraId="5DA97DF7" w14:textId="77777777" w:rsidR="000A4802" w:rsidRPr="00C618DD" w:rsidRDefault="000A4802" w:rsidP="00C618DD">
      <w:pPr>
        <w:suppressAutoHyphens/>
        <w:rPr>
          <w:szCs w:val="22"/>
          <w:lang w:val="fr-FR"/>
        </w:rPr>
      </w:pPr>
    </w:p>
    <w:p w14:paraId="4A52528F" w14:textId="1FF1FC1F" w:rsidR="000A4802" w:rsidRPr="0026653F" w:rsidRDefault="000A4802" w:rsidP="00C618DD">
      <w:pPr>
        <w:suppressAutoHyphens/>
        <w:ind w:firstLine="708"/>
        <w:rPr>
          <w:szCs w:val="22"/>
          <w:lang w:val="fr-FR" w:eastAsia="es-ES_tradnl"/>
        </w:rPr>
      </w:pPr>
      <w:r w:rsidRPr="0026653F">
        <w:rPr>
          <w:szCs w:val="22"/>
          <w:lang w:val="fr-FR"/>
        </w:rPr>
        <w:t xml:space="preserve">PARTAGEANT la conviction que la démocratie est l’un des acquis les plus précieux de notre région et que la transmission pacifique du pouvoir par les voies constitutionnelles et dans le strict respect des principes constitutionnels de chacun de nos États est le résultat d’un processus continu et irréversible que la région ne saurait voir interrompu </w:t>
      </w:r>
      <w:r w:rsidR="002B31A6" w:rsidRPr="0026653F">
        <w:rPr>
          <w:szCs w:val="22"/>
          <w:lang w:val="fr-FR"/>
        </w:rPr>
        <w:t>ni</w:t>
      </w:r>
      <w:r w:rsidRPr="0026653F">
        <w:rPr>
          <w:szCs w:val="22"/>
          <w:lang w:val="fr-FR"/>
        </w:rPr>
        <w:t xml:space="preserve"> soumis à des retours en arrière,</w:t>
      </w:r>
    </w:p>
    <w:p w14:paraId="53360C05" w14:textId="77777777" w:rsidR="000A4802" w:rsidRPr="0026653F" w:rsidRDefault="000A4802" w:rsidP="00C618DD">
      <w:pPr>
        <w:suppressAutoHyphens/>
        <w:rPr>
          <w:szCs w:val="22"/>
          <w:lang w:val="fr-FR" w:eastAsia="es-ES_tradnl"/>
        </w:rPr>
      </w:pPr>
    </w:p>
    <w:p w14:paraId="5B77EE03" w14:textId="7296B2D1" w:rsidR="000A4802" w:rsidRPr="0026653F" w:rsidRDefault="000A4802" w:rsidP="00C618DD">
      <w:pPr>
        <w:suppressAutoHyphens/>
        <w:ind w:firstLine="720"/>
        <w:rPr>
          <w:szCs w:val="22"/>
          <w:lang w:val="fr-FR" w:eastAsia="es-ES_tradnl"/>
        </w:rPr>
      </w:pPr>
      <w:r w:rsidRPr="0026653F">
        <w:rPr>
          <w:bCs/>
          <w:szCs w:val="22"/>
          <w:lang w:val="fr-FR"/>
        </w:rPr>
        <w:t xml:space="preserve">GARDANT PRÉSENT À L’ESPRIT </w:t>
      </w:r>
      <w:r w:rsidRPr="0026653F">
        <w:rPr>
          <w:szCs w:val="22"/>
          <w:lang w:val="fr-FR"/>
        </w:rPr>
        <w:t xml:space="preserve">que la Charte de l’Organisation des États Américains établit que </w:t>
      </w:r>
      <w:r w:rsidR="005C64C1" w:rsidRPr="0026653F">
        <w:rPr>
          <w:szCs w:val="22"/>
          <w:lang w:val="fr-FR"/>
        </w:rPr>
        <w:t>« </w:t>
      </w:r>
      <w:r w:rsidR="0095777C" w:rsidRPr="0026653F">
        <w:rPr>
          <w:szCs w:val="22"/>
          <w:lang w:val="fr-FR"/>
        </w:rPr>
        <w:t>la démocratie représentative constitue une condition indispensable à la stabilité, à la paix et au développement de la région »</w:t>
      </w:r>
      <w:r w:rsidRPr="0026653F">
        <w:rPr>
          <w:szCs w:val="22"/>
          <w:lang w:val="fr-FR"/>
        </w:rPr>
        <w:t xml:space="preserve"> et que l’un des buts de l’OEA est </w:t>
      </w:r>
      <w:r w:rsidR="0095777C" w:rsidRPr="0026653F">
        <w:rPr>
          <w:szCs w:val="22"/>
          <w:lang w:val="fr-FR"/>
        </w:rPr>
        <w:t xml:space="preserve">« d’encourager et </w:t>
      </w:r>
      <w:r w:rsidRPr="0026653F">
        <w:rPr>
          <w:szCs w:val="22"/>
          <w:lang w:val="fr-FR"/>
        </w:rPr>
        <w:t>consolider la démocratie représentative dans le respect du principe de non-intervention</w:t>
      </w:r>
      <w:r w:rsidR="005C64C1" w:rsidRPr="0026653F">
        <w:rPr>
          <w:szCs w:val="22"/>
          <w:lang w:val="fr-FR"/>
        </w:rPr>
        <w:t> »</w:t>
      </w:r>
      <w:r w:rsidRPr="0026653F">
        <w:rPr>
          <w:szCs w:val="22"/>
          <w:lang w:val="fr-FR"/>
        </w:rPr>
        <w:t>,</w:t>
      </w:r>
    </w:p>
    <w:p w14:paraId="22F2CCE5" w14:textId="77777777" w:rsidR="000A4802" w:rsidRPr="0026653F" w:rsidRDefault="000A4802" w:rsidP="00C618DD">
      <w:pPr>
        <w:suppressAutoHyphens/>
        <w:rPr>
          <w:rFonts w:eastAsia="MS Mincho"/>
          <w:szCs w:val="22"/>
          <w:lang w:val="fr-FR" w:eastAsia="es-ES_tradnl"/>
        </w:rPr>
      </w:pPr>
    </w:p>
    <w:p w14:paraId="57AB44EE" w14:textId="77777777" w:rsidR="000A4802" w:rsidRPr="0026653F" w:rsidRDefault="000A4802" w:rsidP="00C618DD">
      <w:pPr>
        <w:suppressAutoHyphens/>
        <w:ind w:firstLine="708"/>
        <w:rPr>
          <w:rFonts w:eastAsia="MS Mincho"/>
          <w:szCs w:val="22"/>
          <w:lang w:val="fr-FR" w:eastAsia="es-ES_tradnl"/>
        </w:rPr>
      </w:pPr>
      <w:r w:rsidRPr="0026653F">
        <w:rPr>
          <w:szCs w:val="22"/>
          <w:lang w:val="fr-FR"/>
        </w:rPr>
        <w:t xml:space="preserve">RÉAFFIRMANT que « au nombre des composantes essentielles de la démocratie représentative </w:t>
      </w:r>
      <w:r w:rsidRPr="00CD7F85">
        <w:rPr>
          <w:szCs w:val="22"/>
          <w:lang w:val="fr-FR"/>
        </w:rPr>
        <w:t>figurent, entre</w:t>
      </w:r>
      <w:r w:rsidRPr="0026653F">
        <w:rPr>
          <w:szCs w:val="22"/>
          <w:lang w:val="fr-FR"/>
        </w:rPr>
        <w:t xml:space="preserve"> autres, le respect des droits de l’homme et des libertés fondamentales, l’accès au pouvoir et son exercice assujetti à l’État de droit, la tenue d’élections périodiques, libres, justes et basées sur le suffrage universel et secret, à titre d’expression de la souveraineté populaire, le régime plural de partis et d’organisations politiques, ainsi que la séparation et l’indépendance des pouvoirs publics »,</w:t>
      </w:r>
    </w:p>
    <w:p w14:paraId="60805333" w14:textId="77777777" w:rsidR="000A4802" w:rsidRPr="0026653F" w:rsidRDefault="000A4802" w:rsidP="00C618DD">
      <w:pPr>
        <w:suppressAutoHyphens/>
        <w:rPr>
          <w:rFonts w:eastAsia="MS Mincho"/>
          <w:szCs w:val="22"/>
          <w:lang w:val="fr-FR" w:eastAsia="es-ES_tradnl"/>
        </w:rPr>
      </w:pPr>
    </w:p>
    <w:p w14:paraId="3604A538" w14:textId="4562A362" w:rsidR="000A4802" w:rsidRPr="0026653F" w:rsidRDefault="000A4802" w:rsidP="00C618DD">
      <w:pPr>
        <w:suppressAutoHyphens/>
        <w:ind w:firstLine="708"/>
        <w:rPr>
          <w:rFonts w:eastAsia="MS Mincho"/>
          <w:bCs/>
          <w:szCs w:val="22"/>
          <w:lang w:val="fr-FR" w:eastAsia="es-ES_tradnl"/>
        </w:rPr>
      </w:pPr>
      <w:r w:rsidRPr="0026653F">
        <w:rPr>
          <w:rFonts w:eastAsia="MS Mincho"/>
          <w:bCs/>
          <w:szCs w:val="22"/>
          <w:lang w:val="fr-FR" w:eastAsia="es-ES_tradnl"/>
        </w:rPr>
        <w:lastRenderedPageBreak/>
        <w:t xml:space="preserve">RECONNAISSANT que la démocratie, l’ordre constitutionnel et l’État de droit sont des conditions nécessaires pour atteindre le respect inconditionnel des libertés fondamentales et le plein respect des droits de la personne pendant la situation d’urgence causée par le nouveau coronavirus </w:t>
      </w:r>
      <w:r w:rsidR="005C64C1" w:rsidRPr="0026653F">
        <w:rPr>
          <w:rFonts w:eastAsia="MS Mincho"/>
          <w:bCs/>
          <w:szCs w:val="22"/>
          <w:lang w:val="fr-FR" w:eastAsia="es-ES_tradnl"/>
        </w:rPr>
        <w:t>SRAS-CoV-2</w:t>
      </w:r>
      <w:r w:rsidRPr="0026653F">
        <w:rPr>
          <w:rFonts w:eastAsia="MS Mincho"/>
          <w:bCs/>
          <w:szCs w:val="22"/>
          <w:lang w:val="fr-FR" w:eastAsia="es-ES_tradnl"/>
        </w:rPr>
        <w:t>, et que le renforcement des institutions démocratiques est fondamental pour apporter une réponse effective et opportune aux citoyens pendant la pandémie</w:t>
      </w:r>
      <w:r w:rsidR="00BA7973" w:rsidRPr="0026653F">
        <w:rPr>
          <w:rFonts w:eastAsia="MS Mincho"/>
          <w:bCs/>
          <w:szCs w:val="22"/>
          <w:lang w:val="fr-FR" w:eastAsia="es-ES_tradnl"/>
        </w:rPr>
        <w:t xml:space="preserve"> de COVID-19,</w:t>
      </w:r>
    </w:p>
    <w:p w14:paraId="6B431914" w14:textId="77777777" w:rsidR="000A4802" w:rsidRPr="0026653F" w:rsidRDefault="000A4802" w:rsidP="00C618DD">
      <w:pPr>
        <w:suppressAutoHyphens/>
        <w:rPr>
          <w:rFonts w:eastAsia="MS Mincho"/>
          <w:szCs w:val="22"/>
          <w:lang w:val="fr-FR" w:eastAsia="es-ES_tradnl"/>
        </w:rPr>
      </w:pPr>
    </w:p>
    <w:p w14:paraId="0825F5E7" w14:textId="7422B08E" w:rsidR="000A4802" w:rsidRPr="0026653F" w:rsidRDefault="000A4802" w:rsidP="00C618DD">
      <w:pPr>
        <w:suppressAutoHyphens/>
        <w:rPr>
          <w:rFonts w:eastAsia="MS Mincho"/>
          <w:b/>
          <w:szCs w:val="22"/>
          <w:lang w:val="fr-FR" w:eastAsia="es-ES_tradnl"/>
        </w:rPr>
      </w:pPr>
      <w:r w:rsidRPr="0026653F">
        <w:rPr>
          <w:rFonts w:eastAsia="MS Mincho"/>
          <w:bCs/>
          <w:szCs w:val="22"/>
          <w:lang w:val="fr-FR" w:eastAsia="es-ES_tradnl"/>
        </w:rPr>
        <w:tab/>
        <w:t>CONVAINCU</w:t>
      </w:r>
      <w:r w:rsidR="002B31A6" w:rsidRPr="0026653F">
        <w:rPr>
          <w:rFonts w:eastAsia="MS Mincho"/>
          <w:bCs/>
          <w:szCs w:val="22"/>
          <w:lang w:val="fr-FR" w:eastAsia="es-ES_tradnl"/>
        </w:rPr>
        <w:t>E</w:t>
      </w:r>
      <w:r w:rsidRPr="0026653F">
        <w:rPr>
          <w:rFonts w:eastAsia="MS Mincho"/>
          <w:bCs/>
          <w:szCs w:val="22"/>
          <w:lang w:val="fr-FR" w:eastAsia="es-ES_tradnl"/>
        </w:rPr>
        <w:t xml:space="preserve"> qu’une réponse intégrée aux énormes défis que constitue pour nos États la </w:t>
      </w:r>
      <w:r w:rsidRPr="00CD7F85">
        <w:rPr>
          <w:rFonts w:eastAsia="MS Mincho"/>
          <w:bCs/>
          <w:szCs w:val="22"/>
          <w:lang w:val="fr-FR" w:eastAsia="es-ES_tradnl"/>
        </w:rPr>
        <w:t>pandémie de COVID-19 devrait se faire dans le strict respect des engagements et des principes démocratiques consacrés dans la Charte démocratique</w:t>
      </w:r>
      <w:r w:rsidRPr="0026653F">
        <w:rPr>
          <w:rFonts w:eastAsia="MS Mincho"/>
          <w:bCs/>
          <w:szCs w:val="22"/>
          <w:lang w:val="fr-FR" w:eastAsia="es-ES_tradnl"/>
        </w:rPr>
        <w:t xml:space="preserve"> interaméricaine, y compris la participation pleine et égale des femmes dans les structures politiques de leur pays,</w:t>
      </w:r>
    </w:p>
    <w:p w14:paraId="3357461B" w14:textId="77777777" w:rsidR="000A4802" w:rsidRPr="0026653F" w:rsidRDefault="000A4802" w:rsidP="00C618DD">
      <w:pPr>
        <w:suppressAutoHyphens/>
        <w:rPr>
          <w:rFonts w:eastAsia="MS Mincho"/>
          <w:szCs w:val="22"/>
          <w:lang w:val="fr-FR" w:eastAsia="es-ES_tradnl"/>
        </w:rPr>
      </w:pPr>
    </w:p>
    <w:p w14:paraId="36295393" w14:textId="71DC1C23" w:rsidR="000A4802" w:rsidRPr="0026653F" w:rsidRDefault="000A4802" w:rsidP="00C618DD">
      <w:pPr>
        <w:suppressAutoHyphens/>
        <w:rPr>
          <w:rFonts w:eastAsia="MS Mincho"/>
          <w:bCs/>
          <w:szCs w:val="22"/>
          <w:lang w:val="fr-FR" w:eastAsia="es-ES_tradnl"/>
        </w:rPr>
      </w:pPr>
      <w:r w:rsidRPr="0026653F">
        <w:rPr>
          <w:rFonts w:eastAsia="MS Mincho"/>
          <w:bCs/>
          <w:szCs w:val="22"/>
          <w:lang w:val="fr-FR" w:eastAsia="es-ES_tradnl"/>
        </w:rPr>
        <w:tab/>
        <w:t>PRENANT NOTE du document « Charte démocratique interaméricaine : Guide d’action politique pour faire face à la pandémie de COVID-19 » publié par le Secrétariat général,</w:t>
      </w:r>
    </w:p>
    <w:p w14:paraId="6A77F91B" w14:textId="77777777" w:rsidR="000A4802" w:rsidRPr="0026653F" w:rsidRDefault="000A4802" w:rsidP="00C618DD">
      <w:pPr>
        <w:suppressAutoHyphens/>
        <w:rPr>
          <w:rFonts w:eastAsia="MS Mincho"/>
          <w:szCs w:val="22"/>
          <w:lang w:val="fr-FR" w:eastAsia="es-ES_tradnl"/>
        </w:rPr>
      </w:pPr>
    </w:p>
    <w:p w14:paraId="179C5E52" w14:textId="64D8BBE6" w:rsidR="000A4802" w:rsidRPr="0026653F" w:rsidRDefault="000A4802" w:rsidP="00C618DD">
      <w:pPr>
        <w:suppressAutoHyphens/>
        <w:rPr>
          <w:rFonts w:eastAsia="MS Mincho"/>
          <w:bCs/>
          <w:szCs w:val="22"/>
          <w:lang w:val="fr-FR" w:eastAsia="es-ES_tradnl"/>
        </w:rPr>
      </w:pPr>
      <w:r w:rsidRPr="0026653F">
        <w:rPr>
          <w:rFonts w:eastAsia="MS Mincho"/>
          <w:bCs/>
          <w:szCs w:val="22"/>
          <w:lang w:val="fr-FR" w:eastAsia="es-ES_tradnl"/>
        </w:rPr>
        <w:tab/>
        <w:t>SOULIGNANT qu</w:t>
      </w:r>
      <w:r w:rsidR="002B31A6" w:rsidRPr="0026653F">
        <w:rPr>
          <w:rFonts w:eastAsia="MS Mincho"/>
          <w:bCs/>
          <w:szCs w:val="22"/>
          <w:lang w:val="fr-FR" w:eastAsia="es-ES_tradnl"/>
        </w:rPr>
        <w:t xml:space="preserve">e l’année </w:t>
      </w:r>
      <w:r w:rsidRPr="0026653F">
        <w:rPr>
          <w:rFonts w:eastAsia="MS Mincho"/>
          <w:bCs/>
          <w:szCs w:val="22"/>
          <w:lang w:val="fr-FR" w:eastAsia="es-ES_tradnl"/>
        </w:rPr>
        <w:t xml:space="preserve">2021 </w:t>
      </w:r>
      <w:r w:rsidR="002B31A6" w:rsidRPr="0026653F">
        <w:rPr>
          <w:rFonts w:eastAsia="MS Mincho"/>
          <w:bCs/>
          <w:szCs w:val="22"/>
          <w:lang w:val="fr-FR" w:eastAsia="es-ES_tradnl"/>
        </w:rPr>
        <w:t xml:space="preserve">marque la commémoration du </w:t>
      </w:r>
      <w:r w:rsidRPr="0026653F">
        <w:rPr>
          <w:rFonts w:eastAsia="MS Mincho"/>
          <w:bCs/>
          <w:szCs w:val="22"/>
          <w:lang w:val="fr-FR" w:eastAsia="es-ES_tradnl"/>
        </w:rPr>
        <w:t>vingtième anniversaire de l’adoption par acclamation de la Charte démocratique interaméricaine lors de</w:t>
      </w:r>
      <w:r w:rsidR="002B31A6" w:rsidRPr="0026653F">
        <w:rPr>
          <w:rFonts w:eastAsia="MS Mincho"/>
          <w:bCs/>
          <w:szCs w:val="22"/>
          <w:lang w:val="fr-FR" w:eastAsia="es-ES_tradnl"/>
        </w:rPr>
        <w:t xml:space="preserve"> la session extraordinaire de </w:t>
      </w:r>
      <w:r w:rsidRPr="0026653F">
        <w:rPr>
          <w:rFonts w:eastAsia="MS Mincho"/>
          <w:bCs/>
          <w:szCs w:val="22"/>
          <w:lang w:val="fr-FR" w:eastAsia="es-ES_tradnl"/>
        </w:rPr>
        <w:t xml:space="preserve">l’Assemblée générale </w:t>
      </w:r>
      <w:r w:rsidR="002B31A6" w:rsidRPr="0026653F">
        <w:rPr>
          <w:rFonts w:eastAsia="MS Mincho"/>
          <w:bCs/>
          <w:szCs w:val="22"/>
          <w:lang w:val="fr-FR" w:eastAsia="es-ES_tradnl"/>
        </w:rPr>
        <w:t xml:space="preserve">de </w:t>
      </w:r>
      <w:r w:rsidRPr="0026653F">
        <w:rPr>
          <w:rFonts w:eastAsia="MS Mincho"/>
          <w:bCs/>
          <w:szCs w:val="22"/>
          <w:lang w:val="fr-FR" w:eastAsia="es-ES_tradnl"/>
        </w:rPr>
        <w:t xml:space="preserve">l’OEA </w:t>
      </w:r>
      <w:r w:rsidR="002B31A6" w:rsidRPr="0026653F">
        <w:rPr>
          <w:rFonts w:eastAsia="MS Mincho"/>
          <w:bCs/>
          <w:szCs w:val="22"/>
          <w:lang w:val="fr-FR" w:eastAsia="es-ES_tradnl"/>
        </w:rPr>
        <w:t>le</w:t>
      </w:r>
      <w:r w:rsidRPr="0026653F">
        <w:rPr>
          <w:rFonts w:eastAsia="MS Mincho"/>
          <w:bCs/>
          <w:szCs w:val="22"/>
          <w:lang w:val="fr-FR" w:eastAsia="es-ES_tradnl"/>
        </w:rPr>
        <w:t xml:space="preserve"> 11 septembre 2001,</w:t>
      </w:r>
    </w:p>
    <w:p w14:paraId="64DB3DA3" w14:textId="77777777" w:rsidR="000A4802" w:rsidRPr="0026653F" w:rsidRDefault="000A4802" w:rsidP="00C618DD">
      <w:pPr>
        <w:suppressAutoHyphens/>
        <w:rPr>
          <w:szCs w:val="22"/>
          <w:lang w:val="fr-FR" w:eastAsia="es-ES_tradnl"/>
        </w:rPr>
      </w:pPr>
    </w:p>
    <w:p w14:paraId="49D88BDA" w14:textId="69AD4137" w:rsidR="000A4802" w:rsidRPr="0026653F" w:rsidRDefault="000A4802" w:rsidP="00C618DD">
      <w:pPr>
        <w:suppressAutoHyphens/>
        <w:rPr>
          <w:iCs/>
          <w:color w:val="000000"/>
          <w:szCs w:val="22"/>
          <w:lang w:val="fr-FR"/>
        </w:rPr>
      </w:pPr>
      <w:r w:rsidRPr="0026653F">
        <w:rPr>
          <w:bCs/>
          <w:szCs w:val="22"/>
          <w:lang w:val="fr-FR" w:eastAsia="es-ES_tradnl"/>
        </w:rPr>
        <w:tab/>
      </w:r>
      <w:r w:rsidRPr="0026653F">
        <w:rPr>
          <w:bCs/>
          <w:szCs w:val="22"/>
          <w:lang w:val="fr-FR"/>
        </w:rPr>
        <w:t xml:space="preserve">RÉAFFIRMANT </w:t>
      </w:r>
      <w:r w:rsidRPr="0026653F">
        <w:rPr>
          <w:szCs w:val="22"/>
          <w:lang w:val="fr-FR"/>
        </w:rPr>
        <w:t>tous les mandats contenus dans la résolution AG/RES. 2835 (XLIV-O/14), « Promotion et renforcement de la démocratie : Suivi de la Charte démocratique interaméricaine »</w:t>
      </w:r>
      <w:r w:rsidRPr="0026653F">
        <w:rPr>
          <w:szCs w:val="22"/>
          <w:lang w:val="fr-FR" w:eastAsia="es-ES_tradnl"/>
        </w:rPr>
        <w:t>,</w:t>
      </w:r>
    </w:p>
    <w:p w14:paraId="137A0AC8" w14:textId="77777777" w:rsidR="000A4802" w:rsidRPr="0026653F" w:rsidRDefault="000A4802" w:rsidP="00C618DD">
      <w:pPr>
        <w:suppressAutoHyphens/>
        <w:rPr>
          <w:szCs w:val="22"/>
          <w:lang w:val="fr-FR" w:eastAsia="es-ES_tradnl"/>
        </w:rPr>
      </w:pPr>
    </w:p>
    <w:p w14:paraId="4BFC534D" w14:textId="77777777" w:rsidR="000A4802" w:rsidRPr="0026653F" w:rsidRDefault="000A4802" w:rsidP="00C618DD">
      <w:pPr>
        <w:suppressAutoHyphens/>
        <w:rPr>
          <w:szCs w:val="22"/>
          <w:lang w:val="fr-FR" w:eastAsia="es-ES_tradnl"/>
        </w:rPr>
      </w:pPr>
      <w:r w:rsidRPr="0026653F">
        <w:rPr>
          <w:szCs w:val="22"/>
          <w:lang w:val="fr-FR" w:eastAsia="es-ES_tradnl"/>
        </w:rPr>
        <w:t>DÉCIDE :</w:t>
      </w:r>
    </w:p>
    <w:p w14:paraId="2A14971A" w14:textId="77777777" w:rsidR="000A4802" w:rsidRPr="0026653F" w:rsidRDefault="000A4802" w:rsidP="00C618DD">
      <w:pPr>
        <w:suppressAutoHyphens/>
        <w:rPr>
          <w:szCs w:val="22"/>
          <w:lang w:val="fr-FR" w:eastAsia="es-ES_tradnl"/>
        </w:rPr>
      </w:pPr>
    </w:p>
    <w:p w14:paraId="72F58A06" w14:textId="443F8EEA" w:rsidR="000A4802" w:rsidRPr="0026653F" w:rsidRDefault="000A4802" w:rsidP="00C618DD">
      <w:pPr>
        <w:suppressAutoHyphens/>
        <w:ind w:firstLine="720"/>
        <w:rPr>
          <w:szCs w:val="22"/>
          <w:lang w:val="fr-FR" w:eastAsia="es-ES_tradnl"/>
        </w:rPr>
      </w:pPr>
      <w:r w:rsidRPr="0026653F">
        <w:rPr>
          <w:szCs w:val="22"/>
          <w:lang w:val="fr-FR" w:eastAsia="es-ES_tradnl"/>
        </w:rPr>
        <w:t>1.</w:t>
      </w:r>
      <w:r w:rsidRPr="0026653F">
        <w:rPr>
          <w:szCs w:val="22"/>
          <w:lang w:val="fr-FR" w:eastAsia="es-ES_tradnl"/>
        </w:rPr>
        <w:tab/>
      </w:r>
      <w:r w:rsidRPr="0026653F">
        <w:rPr>
          <w:szCs w:val="22"/>
          <w:lang w:val="fr-FR"/>
        </w:rPr>
        <w:t>De réaffirmer l’obligation qu’ont les États membres de promouvoir et de défendre la démocratie dans la région en tant que condition essentielle au développement social, politique et économique des peuples d’Amérique.</w:t>
      </w:r>
    </w:p>
    <w:p w14:paraId="50BCF041" w14:textId="77777777" w:rsidR="000A4802" w:rsidRPr="0026653F" w:rsidRDefault="000A4802" w:rsidP="00C618DD">
      <w:pPr>
        <w:suppressAutoHyphens/>
        <w:rPr>
          <w:szCs w:val="22"/>
          <w:lang w:val="fr-FR" w:eastAsia="es-ES_tradnl"/>
        </w:rPr>
      </w:pPr>
    </w:p>
    <w:p w14:paraId="7B59D2FD" w14:textId="78C839F8" w:rsidR="000A4802" w:rsidRPr="0026653F" w:rsidRDefault="000A4802" w:rsidP="00C618DD">
      <w:pPr>
        <w:suppressAutoHyphens/>
        <w:ind w:firstLine="720"/>
        <w:rPr>
          <w:szCs w:val="22"/>
          <w:lang w:val="fr-FR" w:eastAsia="es-ES_tradnl"/>
        </w:rPr>
      </w:pPr>
      <w:r w:rsidRPr="0026653F">
        <w:rPr>
          <w:szCs w:val="22"/>
          <w:lang w:val="fr-FR" w:eastAsia="es-ES_tradnl"/>
        </w:rPr>
        <w:t>2.</w:t>
      </w:r>
      <w:r w:rsidRPr="0026653F">
        <w:rPr>
          <w:szCs w:val="22"/>
          <w:lang w:val="fr-FR" w:eastAsia="es-ES_tradnl"/>
        </w:rPr>
        <w:tab/>
      </w:r>
      <w:r w:rsidRPr="0026653F">
        <w:rPr>
          <w:szCs w:val="22"/>
          <w:lang w:val="fr-FR"/>
        </w:rPr>
        <w:t xml:space="preserve">De continuer à promouvoir </w:t>
      </w:r>
      <w:r w:rsidRPr="0026653F">
        <w:rPr>
          <w:bCs/>
          <w:szCs w:val="22"/>
          <w:lang w:val="fr-FR"/>
        </w:rPr>
        <w:t>le renforcement</w:t>
      </w:r>
      <w:r w:rsidRPr="0026653F">
        <w:rPr>
          <w:szCs w:val="22"/>
          <w:lang w:val="fr-FR"/>
        </w:rPr>
        <w:t xml:space="preserve"> des institutions, des valeurs, des pratiques et de </w:t>
      </w:r>
      <w:proofErr w:type="gramStart"/>
      <w:r w:rsidRPr="0026653F">
        <w:rPr>
          <w:szCs w:val="22"/>
          <w:lang w:val="fr-FR"/>
        </w:rPr>
        <w:t>la gouvernance démocratiques</w:t>
      </w:r>
      <w:proofErr w:type="gramEnd"/>
      <w:r w:rsidRPr="0026653F">
        <w:rPr>
          <w:szCs w:val="22"/>
          <w:lang w:val="fr-FR"/>
        </w:rPr>
        <w:t>, la lutte contre la corruption, la consolidation de l’État de droit, la pleine jouissance et l’exercice effectif des droits de la personne et la réduction de la pauvreté, des inégalités et de l’exclusion sociale au moyen de mesures de coopération dans ces domaines entre les États membres</w:t>
      </w:r>
      <w:r w:rsidRPr="0026653F">
        <w:rPr>
          <w:szCs w:val="22"/>
          <w:lang w:val="fr-FR" w:eastAsia="es-ES_tradnl"/>
        </w:rPr>
        <w:t>.</w:t>
      </w:r>
    </w:p>
    <w:p w14:paraId="40002AE6" w14:textId="77777777" w:rsidR="000A4802" w:rsidRPr="0026653F" w:rsidRDefault="000A4802" w:rsidP="00C618DD">
      <w:pPr>
        <w:suppressAutoHyphens/>
        <w:rPr>
          <w:szCs w:val="22"/>
          <w:lang w:val="fr-FR" w:eastAsia="es-ES_tradnl"/>
        </w:rPr>
      </w:pPr>
    </w:p>
    <w:p w14:paraId="617A7E1D" w14:textId="1BB7C54B" w:rsidR="000A4802" w:rsidRPr="0026653F" w:rsidRDefault="000A4802" w:rsidP="00C618DD">
      <w:pPr>
        <w:suppressAutoHyphens/>
        <w:ind w:firstLine="720"/>
        <w:rPr>
          <w:bCs/>
          <w:iCs/>
          <w:szCs w:val="22"/>
          <w:lang w:val="fr-FR" w:eastAsia="es-ES_tradnl"/>
        </w:rPr>
      </w:pPr>
      <w:r w:rsidRPr="0026653F">
        <w:rPr>
          <w:szCs w:val="22"/>
          <w:lang w:val="fr-FR" w:eastAsia="es-ES_tradnl"/>
        </w:rPr>
        <w:t>3.</w:t>
      </w:r>
      <w:r w:rsidRPr="0026653F">
        <w:rPr>
          <w:szCs w:val="22"/>
          <w:lang w:val="fr-FR" w:eastAsia="es-ES_tradnl"/>
        </w:rPr>
        <w:tab/>
      </w:r>
      <w:r w:rsidRPr="0026653F">
        <w:rPr>
          <w:szCs w:val="22"/>
          <w:lang w:val="fr-FR"/>
        </w:rPr>
        <w:t>De demander au Secrétariat général de continuer à réaliser des programmes de formation pour la promotion des principes, valeurs et pratiques de la culture démocratique conformément aux articles 26 et 27 de la Charte démocratique interaméricaine ainsi que pour améliorer la connaissance et encourager la pratique de cet instrument interaméricain dans les pays du continent américain qui le demandent</w:t>
      </w:r>
      <w:r w:rsidRPr="0026653F">
        <w:rPr>
          <w:szCs w:val="22"/>
          <w:lang w:val="fr-FR" w:eastAsia="es-ES_tradnl"/>
        </w:rPr>
        <w:t>.</w:t>
      </w:r>
    </w:p>
    <w:p w14:paraId="33450018" w14:textId="77777777" w:rsidR="000A4802" w:rsidRPr="0026653F" w:rsidRDefault="000A4802" w:rsidP="00C618DD">
      <w:pPr>
        <w:suppressAutoHyphens/>
        <w:rPr>
          <w:szCs w:val="22"/>
          <w:lang w:val="fr-FR" w:eastAsia="es-ES_tradnl"/>
        </w:rPr>
      </w:pPr>
    </w:p>
    <w:p w14:paraId="79215F39" w14:textId="187E5F20" w:rsidR="000A4802" w:rsidRPr="0026653F" w:rsidRDefault="000A4802" w:rsidP="00C618DD">
      <w:pPr>
        <w:suppressAutoHyphens/>
        <w:ind w:firstLine="720"/>
        <w:rPr>
          <w:szCs w:val="22"/>
          <w:lang w:val="fr-FR"/>
        </w:rPr>
      </w:pPr>
      <w:r w:rsidRPr="0026653F">
        <w:rPr>
          <w:szCs w:val="22"/>
          <w:lang w:val="fr-FR" w:eastAsia="es-ES_tradnl"/>
        </w:rPr>
        <w:t>4.</w:t>
      </w:r>
      <w:r w:rsidRPr="0026653F">
        <w:rPr>
          <w:szCs w:val="22"/>
          <w:lang w:val="fr-FR" w:eastAsia="es-ES_tradnl"/>
        </w:rPr>
        <w:tab/>
      </w:r>
      <w:r w:rsidRPr="0026653F">
        <w:rPr>
          <w:szCs w:val="22"/>
          <w:lang w:val="fr-FR"/>
        </w:rPr>
        <w:t xml:space="preserve">De réaffirmer la validité de la Charte démocratique interaméricaine en tant qu’instrument de promotion et de défense des valeurs et principes de la démocratie représentative dans la région; et de charger le Conseil permanent d’appeler à la tenue d’une </w:t>
      </w:r>
      <w:r w:rsidRPr="0026653F">
        <w:rPr>
          <w:bCs/>
          <w:szCs w:val="22"/>
          <w:lang w:val="fr-FR"/>
        </w:rPr>
        <w:t xml:space="preserve">séance extraordinaire </w:t>
      </w:r>
      <w:r w:rsidR="004D17EE" w:rsidRPr="0026653F">
        <w:rPr>
          <w:bCs/>
          <w:szCs w:val="22"/>
          <w:lang w:val="fr-FR"/>
        </w:rPr>
        <w:t>en prévision d</w:t>
      </w:r>
      <w:r w:rsidRPr="0026653F">
        <w:rPr>
          <w:bCs/>
          <w:szCs w:val="22"/>
          <w:lang w:val="fr-FR"/>
        </w:rPr>
        <w:t xml:space="preserve">e la commémoration du </w:t>
      </w:r>
      <w:r w:rsidR="00571839" w:rsidRPr="0026653F">
        <w:rPr>
          <w:bCs/>
          <w:szCs w:val="22"/>
          <w:lang w:val="fr-FR"/>
        </w:rPr>
        <w:t>vingtième</w:t>
      </w:r>
      <w:r w:rsidRPr="0026653F">
        <w:rPr>
          <w:bCs/>
          <w:szCs w:val="22"/>
          <w:lang w:val="fr-FR"/>
        </w:rPr>
        <w:t xml:space="preserve"> anniversaire de l’adoption de la Charte démocratique interaméricaine, en mettant l’accent sur une réflexion sur cet instrument face aux nouveaux défis, et de faire rapport à l’Assemblée générale lors de sa cinquante-et-unième session ordinaire sur les résultats de cette séance extraordinaire.</w:t>
      </w:r>
    </w:p>
    <w:p w14:paraId="104F0AFE" w14:textId="77777777" w:rsidR="000A4802" w:rsidRPr="0026653F" w:rsidRDefault="000A4802" w:rsidP="00C618DD">
      <w:pPr>
        <w:suppressAutoHyphens/>
        <w:rPr>
          <w:szCs w:val="22"/>
          <w:lang w:val="fr-FR"/>
        </w:rPr>
      </w:pPr>
    </w:p>
    <w:p w14:paraId="43655A5C" w14:textId="20B613E2" w:rsidR="000A4802" w:rsidRPr="0026653F" w:rsidRDefault="000A4802" w:rsidP="00C618DD">
      <w:pPr>
        <w:suppressAutoHyphens/>
        <w:ind w:firstLine="720"/>
        <w:rPr>
          <w:i/>
          <w:iCs/>
          <w:szCs w:val="22"/>
          <w:lang w:val="fr-FR"/>
        </w:rPr>
      </w:pPr>
      <w:r w:rsidRPr="0026653F">
        <w:rPr>
          <w:szCs w:val="22"/>
          <w:lang w:val="fr-FR"/>
        </w:rPr>
        <w:lastRenderedPageBreak/>
        <w:t>5.</w:t>
      </w:r>
      <w:r w:rsidRPr="0026653F">
        <w:rPr>
          <w:szCs w:val="22"/>
          <w:lang w:val="fr-FR"/>
        </w:rPr>
        <w:tab/>
        <w:t>De demander à la CAJP de collaborer avec la C</w:t>
      </w:r>
      <w:r w:rsidR="00BE3299" w:rsidRPr="0026653F">
        <w:rPr>
          <w:szCs w:val="22"/>
          <w:lang w:val="fr-FR"/>
        </w:rPr>
        <w:t>ommission sur la gestion des Sommets interaméricains et la participation de la société civile aux activités de l'OEA</w:t>
      </w:r>
      <w:r w:rsidRPr="0026653F">
        <w:rPr>
          <w:szCs w:val="22"/>
          <w:lang w:val="fr-FR"/>
        </w:rPr>
        <w:t xml:space="preserve"> pour aider à organiser, en coordination avec le Secrétariat aux Sommets, une réunion mixte spéciale au cours du premier trimestre </w:t>
      </w:r>
      <w:r w:rsidR="00BE3299" w:rsidRPr="0026653F">
        <w:rPr>
          <w:szCs w:val="22"/>
          <w:lang w:val="fr-FR"/>
        </w:rPr>
        <w:t xml:space="preserve">de </w:t>
      </w:r>
      <w:r w:rsidRPr="0026653F">
        <w:rPr>
          <w:szCs w:val="22"/>
          <w:lang w:val="fr-FR"/>
        </w:rPr>
        <w:t xml:space="preserve">2021 sur le thème « </w:t>
      </w:r>
      <w:r w:rsidR="00BB7A15" w:rsidRPr="0026653F">
        <w:rPr>
          <w:szCs w:val="22"/>
          <w:lang w:val="fr-FR"/>
        </w:rPr>
        <w:t>La r</w:t>
      </w:r>
      <w:r w:rsidRPr="0026653F">
        <w:rPr>
          <w:szCs w:val="22"/>
          <w:lang w:val="fr-FR"/>
        </w:rPr>
        <w:t xml:space="preserve">ésilience démocratique, le rôle de la Charte démocratique interaméricaine et le processus des </w:t>
      </w:r>
      <w:r w:rsidR="00BB7A15" w:rsidRPr="0026653F">
        <w:rPr>
          <w:szCs w:val="22"/>
          <w:lang w:val="fr-FR"/>
        </w:rPr>
        <w:t>S</w:t>
      </w:r>
      <w:r w:rsidRPr="0026653F">
        <w:rPr>
          <w:szCs w:val="22"/>
          <w:lang w:val="fr-FR"/>
        </w:rPr>
        <w:t>ommets</w:t>
      </w:r>
      <w:r w:rsidR="00BB7A15" w:rsidRPr="0026653F">
        <w:rPr>
          <w:szCs w:val="22"/>
          <w:lang w:val="fr-FR"/>
        </w:rPr>
        <w:t> </w:t>
      </w:r>
      <w:r w:rsidRPr="0026653F">
        <w:rPr>
          <w:szCs w:val="22"/>
          <w:lang w:val="fr-FR"/>
        </w:rPr>
        <w:t>», dans le but de partager des recommandations éventuelles, à des fins d’examen</w:t>
      </w:r>
      <w:r w:rsidR="00571839" w:rsidRPr="0026653F">
        <w:rPr>
          <w:szCs w:val="22"/>
          <w:lang w:val="fr-FR"/>
        </w:rPr>
        <w:t xml:space="preserve"> au sein du </w:t>
      </w:r>
      <w:r w:rsidRPr="0026653F">
        <w:rPr>
          <w:szCs w:val="22"/>
          <w:lang w:val="fr-FR"/>
        </w:rPr>
        <w:t xml:space="preserve">Groupe d’évaluation de la mise en œuvre des initiatives des Sommets des Amériques (GRIC) avant le </w:t>
      </w:r>
      <w:r w:rsidR="00BB7A15" w:rsidRPr="0026653F">
        <w:rPr>
          <w:szCs w:val="22"/>
          <w:lang w:val="fr-FR"/>
        </w:rPr>
        <w:t>N</w:t>
      </w:r>
      <w:r w:rsidRPr="0026653F">
        <w:rPr>
          <w:szCs w:val="22"/>
          <w:lang w:val="fr-FR"/>
        </w:rPr>
        <w:t>euvième Sommet des Amériques</w:t>
      </w:r>
      <w:r w:rsidRPr="00E41B29">
        <w:rPr>
          <w:szCs w:val="22"/>
          <w:lang w:val="fr-FR"/>
        </w:rPr>
        <w:t>.</w:t>
      </w:r>
    </w:p>
    <w:p w14:paraId="22485C15" w14:textId="77777777" w:rsidR="000A4802" w:rsidRPr="0026653F" w:rsidRDefault="000A4802" w:rsidP="00C618DD">
      <w:pPr>
        <w:suppressAutoHyphens/>
        <w:rPr>
          <w:szCs w:val="22"/>
          <w:lang w:val="fr-FR"/>
        </w:rPr>
      </w:pPr>
    </w:p>
    <w:p w14:paraId="4D01513E" w14:textId="77777777" w:rsidR="000A4802" w:rsidRPr="0026653F" w:rsidRDefault="000A4802" w:rsidP="00C618DD">
      <w:pPr>
        <w:suppressAutoHyphens/>
        <w:ind w:firstLine="720"/>
        <w:rPr>
          <w:bCs/>
          <w:szCs w:val="22"/>
          <w:lang w:val="fr-FR"/>
        </w:rPr>
      </w:pPr>
      <w:r w:rsidRPr="0026653F">
        <w:rPr>
          <w:szCs w:val="22"/>
          <w:lang w:val="fr-FR"/>
        </w:rPr>
        <w:t>6.</w:t>
      </w:r>
      <w:r w:rsidRPr="0026653F">
        <w:rPr>
          <w:szCs w:val="22"/>
          <w:lang w:val="fr-FR"/>
        </w:rPr>
        <w:tab/>
        <w:t>De promouvoir la participation politique des femmes, y compris en tant que dirigeantes élues, expertes techniques en matière d’élections, dirigeantes engagées de la société civile et électrices informées.</w:t>
      </w:r>
    </w:p>
    <w:p w14:paraId="46969988" w14:textId="77777777" w:rsidR="000A4802" w:rsidRPr="0026653F" w:rsidRDefault="000A4802" w:rsidP="00C618DD">
      <w:pPr>
        <w:suppressAutoHyphens/>
        <w:rPr>
          <w:szCs w:val="22"/>
          <w:lang w:val="fr-FR"/>
        </w:rPr>
      </w:pPr>
    </w:p>
    <w:p w14:paraId="1A8CC05D" w14:textId="36D72044" w:rsidR="000A4802" w:rsidRPr="0026653F" w:rsidRDefault="000A4802" w:rsidP="00C618DD">
      <w:pPr>
        <w:suppressAutoHyphens/>
        <w:ind w:left="720" w:hanging="720"/>
        <w:rPr>
          <w:rFonts w:eastAsia="Arial Unicode MS"/>
          <w:color w:val="000000"/>
          <w:szCs w:val="22"/>
          <w:u w:val="single"/>
          <w:lang w:val="fr-FR"/>
        </w:rPr>
      </w:pPr>
      <w:r w:rsidRPr="0026653F">
        <w:rPr>
          <w:rFonts w:eastAsia="Arial Unicode MS"/>
          <w:szCs w:val="22"/>
          <w:lang w:val="fr-FR"/>
        </w:rPr>
        <w:t>vi.</w:t>
      </w:r>
      <w:r w:rsidRPr="0026653F">
        <w:rPr>
          <w:rFonts w:eastAsia="Arial Unicode MS"/>
          <w:szCs w:val="22"/>
          <w:lang w:val="fr-FR"/>
        </w:rPr>
        <w:tab/>
      </w:r>
      <w:r w:rsidRPr="0026653F">
        <w:rPr>
          <w:rFonts w:eastAsia="Arial Unicode MS"/>
          <w:color w:val="000000"/>
          <w:szCs w:val="22"/>
          <w:u w:val="single"/>
          <w:lang w:val="fr-FR"/>
        </w:rPr>
        <w:t xml:space="preserve">Suivi de la Convention interaméricaine contre la corruption et du </w:t>
      </w:r>
      <w:r w:rsidR="00571839" w:rsidRPr="0026653F">
        <w:rPr>
          <w:rFonts w:eastAsia="Arial Unicode MS"/>
          <w:color w:val="000000"/>
          <w:szCs w:val="22"/>
          <w:u w:val="single"/>
          <w:lang w:val="fr-FR"/>
        </w:rPr>
        <w:t>P</w:t>
      </w:r>
      <w:r w:rsidRPr="0026653F">
        <w:rPr>
          <w:rFonts w:eastAsia="Arial Unicode MS"/>
          <w:color w:val="000000"/>
          <w:szCs w:val="22"/>
          <w:u w:val="single"/>
          <w:lang w:val="fr-FR"/>
        </w:rPr>
        <w:t>rogramme interaméricain de coopération pour la lutte contre la corruption</w:t>
      </w:r>
    </w:p>
    <w:p w14:paraId="24BC6DFA" w14:textId="77777777" w:rsidR="000A4802" w:rsidRPr="0026653F" w:rsidRDefault="000A4802" w:rsidP="00C618DD">
      <w:pPr>
        <w:suppressAutoHyphens/>
        <w:rPr>
          <w:szCs w:val="22"/>
          <w:lang w:val="fr-FR"/>
        </w:rPr>
      </w:pPr>
    </w:p>
    <w:p w14:paraId="6BD3E084" w14:textId="77777777" w:rsidR="000A4802" w:rsidRPr="0026653F" w:rsidRDefault="000A4802" w:rsidP="00C618DD">
      <w:pPr>
        <w:suppressAutoHyphens/>
        <w:ind w:firstLine="720"/>
        <w:rPr>
          <w:szCs w:val="22"/>
          <w:lang w:val="fr-FR"/>
        </w:rPr>
      </w:pPr>
      <w:r w:rsidRPr="0026653F">
        <w:rPr>
          <w:szCs w:val="22"/>
          <w:lang w:val="fr-FR"/>
        </w:rPr>
        <w:t>PRENANT EN COMPTE l’engagement des États membres envers la prévention de la corruption et la lutte contre celle-ci, concrétisé dans le Plan stratégique intégral de l’Organisation ainsi que dans les mandats issus des Sommets des Amériques, en particulier ceux énoncés dans l’Engagement de Lima : « La gouvernance démocratique face à la corruption »</w:t>
      </w:r>
      <w:r w:rsidRPr="0026653F">
        <w:rPr>
          <w:szCs w:val="22"/>
          <w:u w:val="single"/>
          <w:vertAlign w:val="superscript"/>
          <w:lang w:val="fr-FR"/>
        </w:rPr>
        <w:footnoteReference w:id="61"/>
      </w:r>
      <w:r w:rsidRPr="0026653F">
        <w:rPr>
          <w:szCs w:val="22"/>
          <w:vertAlign w:val="superscript"/>
          <w:lang w:val="fr-FR"/>
        </w:rPr>
        <w:t>/</w:t>
      </w:r>
      <w:r w:rsidRPr="0026653F">
        <w:rPr>
          <w:szCs w:val="22"/>
          <w:lang w:val="fr-FR"/>
        </w:rPr>
        <w:t>, adopté à Lima (Pérou) en avril 2018, qui ont trait à la Convention interaméricaine contre la corruption et au Mécanisme de suivi de la mise en œuvre de la Convention interaméricaine contre la corruption (MESICIC), de même</w:t>
      </w:r>
      <w:r w:rsidRPr="0026653F">
        <w:rPr>
          <w:b/>
          <w:szCs w:val="22"/>
          <w:lang w:val="fr-FR"/>
        </w:rPr>
        <w:t xml:space="preserve"> </w:t>
      </w:r>
      <w:r w:rsidRPr="0026653F">
        <w:rPr>
          <w:szCs w:val="22"/>
          <w:lang w:val="fr-FR"/>
        </w:rPr>
        <w:t>que le « Programme interaméricain de coopération pour la lutte contre la corruption » [AG/RES. 2275 (XXXVII-O/07)] et les « Recommandations de la Quatrième Réunion de la Conférence des États parties au MESICIC » (MESICIC/CEP-IV/doc.2/15 rev. 1),</w:t>
      </w:r>
    </w:p>
    <w:p w14:paraId="3A5919D8" w14:textId="77777777" w:rsidR="000A4802" w:rsidRPr="0026653F" w:rsidRDefault="000A4802" w:rsidP="00C618DD">
      <w:pPr>
        <w:suppressAutoHyphens/>
        <w:rPr>
          <w:szCs w:val="22"/>
          <w:lang w:val="fr-FR"/>
        </w:rPr>
      </w:pPr>
    </w:p>
    <w:p w14:paraId="074150E8" w14:textId="32527A0F" w:rsidR="000A4802" w:rsidRPr="0026653F" w:rsidRDefault="000A4802" w:rsidP="00C618DD">
      <w:pPr>
        <w:suppressAutoHyphens/>
        <w:rPr>
          <w:szCs w:val="22"/>
          <w:lang w:val="fr-FR"/>
        </w:rPr>
      </w:pPr>
      <w:r w:rsidRPr="0026653F">
        <w:rPr>
          <w:color w:val="000000"/>
          <w:szCs w:val="22"/>
          <w:lang w:val="fr-FR"/>
        </w:rPr>
        <w:t>DÉCIDE :</w:t>
      </w:r>
    </w:p>
    <w:p w14:paraId="6FC99B29" w14:textId="77777777" w:rsidR="000A4802" w:rsidRPr="0026653F" w:rsidRDefault="000A4802" w:rsidP="00C618DD">
      <w:pPr>
        <w:suppressAutoHyphens/>
        <w:rPr>
          <w:color w:val="000000"/>
          <w:szCs w:val="22"/>
          <w:lang w:val="fr-FR"/>
        </w:rPr>
      </w:pPr>
    </w:p>
    <w:p w14:paraId="24526DA8" w14:textId="042585B2" w:rsidR="000A4802" w:rsidRPr="0026653F" w:rsidRDefault="000A4802" w:rsidP="00C618DD">
      <w:pPr>
        <w:suppressAutoHyphens/>
        <w:ind w:firstLine="720"/>
        <w:rPr>
          <w:bCs/>
          <w:color w:val="000000"/>
          <w:szCs w:val="22"/>
          <w:lang w:val="fr-FR"/>
        </w:rPr>
      </w:pPr>
      <w:bookmarkStart w:id="53" w:name="_Hlk37839102"/>
      <w:r w:rsidRPr="0026653F">
        <w:rPr>
          <w:bCs/>
          <w:color w:val="000000"/>
          <w:szCs w:val="22"/>
          <w:lang w:val="fr-FR"/>
        </w:rPr>
        <w:t>1.</w:t>
      </w:r>
      <w:r w:rsidRPr="0026653F">
        <w:rPr>
          <w:bCs/>
          <w:color w:val="000000"/>
          <w:szCs w:val="22"/>
          <w:lang w:val="fr-FR"/>
        </w:rPr>
        <w:tab/>
        <w:t>De réaffirmer l’engagement des États membres à prévenir et à combattre la corruption de manière résolue, à promouvoir la transparence dans la gestion publique et dans la relation public-privé</w:t>
      </w:r>
      <w:r w:rsidR="00571839" w:rsidRPr="0026653F">
        <w:rPr>
          <w:bCs/>
          <w:color w:val="000000"/>
          <w:szCs w:val="22"/>
          <w:lang w:val="fr-FR"/>
        </w:rPr>
        <w:t xml:space="preserve"> ainsi que</w:t>
      </w:r>
      <w:r w:rsidRPr="0026653F">
        <w:rPr>
          <w:bCs/>
          <w:color w:val="000000"/>
          <w:szCs w:val="22"/>
          <w:lang w:val="fr-FR"/>
        </w:rPr>
        <w:t xml:space="preserve"> la responsabilité</w:t>
      </w:r>
      <w:r w:rsidR="00571839" w:rsidRPr="0026653F">
        <w:rPr>
          <w:bCs/>
          <w:color w:val="000000"/>
          <w:szCs w:val="22"/>
          <w:lang w:val="fr-FR"/>
        </w:rPr>
        <w:t>,</w:t>
      </w:r>
      <w:r w:rsidRPr="0026653F">
        <w:rPr>
          <w:bCs/>
          <w:color w:val="000000"/>
          <w:szCs w:val="22"/>
          <w:lang w:val="fr-FR"/>
        </w:rPr>
        <w:t xml:space="preserve"> et de continuer à progresser dans la mise en œuvre effective des recommandations du Mécanisme de suivi de la mise en œuvre de la Convention interaméricaine contre la corruption (MESICIC).</w:t>
      </w:r>
    </w:p>
    <w:bookmarkEnd w:id="53"/>
    <w:p w14:paraId="09457FF4" w14:textId="77777777" w:rsidR="000A4802" w:rsidRPr="0026653F" w:rsidRDefault="000A4802" w:rsidP="00C618DD">
      <w:pPr>
        <w:suppressAutoHyphens/>
        <w:rPr>
          <w:szCs w:val="22"/>
          <w:lang w:val="fr-FR"/>
        </w:rPr>
      </w:pPr>
    </w:p>
    <w:p w14:paraId="4A4A76C7" w14:textId="77777777" w:rsidR="000A4802" w:rsidRPr="0026653F" w:rsidRDefault="000A4802" w:rsidP="00C618DD">
      <w:pPr>
        <w:suppressAutoHyphens/>
        <w:ind w:firstLine="720"/>
        <w:rPr>
          <w:bCs/>
          <w:color w:val="000000"/>
          <w:szCs w:val="22"/>
          <w:lang w:val="fr-FR"/>
        </w:rPr>
      </w:pPr>
      <w:r w:rsidRPr="0026653F">
        <w:rPr>
          <w:bCs/>
          <w:color w:val="000000"/>
          <w:szCs w:val="22"/>
          <w:lang w:val="fr-FR"/>
        </w:rPr>
        <w:t>2.</w:t>
      </w:r>
      <w:r w:rsidRPr="0026653F">
        <w:rPr>
          <w:bCs/>
          <w:color w:val="000000"/>
          <w:szCs w:val="22"/>
          <w:lang w:val="fr-FR"/>
        </w:rPr>
        <w:tab/>
        <w:t>D’exprimer sa satisfaction pour la conclusion couronnée de succès du cinquième cycle d’analyse du Comité d’experts du MESICIC, lors de sa trente-quatrième réunion, tenue au siège de l’OEA, à Washington DC, en mars de l’année en cours, de même que pour l’adoption par ce Comité, à cette même réunion, du Rapport continental du cinquième cycle d’analyse du Comité d’experts du MESICIC ainsi que des décisions qui s’avèrent nécessaires pour entamer le sixième cycle d’analyse.</w:t>
      </w:r>
    </w:p>
    <w:p w14:paraId="25BB808B" w14:textId="77777777" w:rsidR="000A4802" w:rsidRPr="0026653F" w:rsidRDefault="000A4802" w:rsidP="00C618DD">
      <w:pPr>
        <w:suppressAutoHyphens/>
        <w:rPr>
          <w:bCs/>
          <w:color w:val="000000"/>
          <w:szCs w:val="22"/>
          <w:lang w:val="fr-FR"/>
        </w:rPr>
      </w:pPr>
    </w:p>
    <w:p w14:paraId="253F1C94" w14:textId="74C080AA" w:rsidR="000A4802" w:rsidRPr="0026653F" w:rsidRDefault="000A4802" w:rsidP="00C618DD">
      <w:pPr>
        <w:suppressAutoHyphens/>
        <w:ind w:firstLine="720"/>
        <w:rPr>
          <w:szCs w:val="22"/>
          <w:lang w:val="fr-FR"/>
        </w:rPr>
      </w:pPr>
      <w:r w:rsidRPr="0026653F">
        <w:rPr>
          <w:color w:val="000000"/>
          <w:szCs w:val="22"/>
          <w:lang w:val="fr-FR"/>
        </w:rPr>
        <w:t>3.</w:t>
      </w:r>
      <w:r w:rsidRPr="0026653F">
        <w:rPr>
          <w:color w:val="000000"/>
          <w:szCs w:val="22"/>
          <w:lang w:val="fr-FR"/>
        </w:rPr>
        <w:tab/>
        <w:t xml:space="preserve">De </w:t>
      </w:r>
      <w:r w:rsidRPr="0026653F">
        <w:rPr>
          <w:szCs w:val="22"/>
          <w:lang w:val="fr-FR"/>
        </w:rPr>
        <w:t xml:space="preserve">charger le Département de la coopération juridique du Secrétariat aux questions juridiques, en sa qualité de secrétariat technique du MESICIC, de continuer d’exécuter les mandats issus des Recommandations de la Quatrième Réunion de la Conférence des États parties au MESICIC </w:t>
      </w:r>
      <w:r w:rsidRPr="0026653F">
        <w:rPr>
          <w:color w:val="000000"/>
          <w:szCs w:val="22"/>
          <w:lang w:val="fr-FR"/>
        </w:rPr>
        <w:t>en fonction des ressources allouées à cet effet dans le programme-budget de l’Organisation et d’autres ressources</w:t>
      </w:r>
      <w:r w:rsidRPr="0026653F">
        <w:rPr>
          <w:szCs w:val="22"/>
          <w:lang w:val="fr-FR"/>
        </w:rPr>
        <w:t>.</w:t>
      </w:r>
    </w:p>
    <w:p w14:paraId="01382992" w14:textId="77777777" w:rsidR="000A4802" w:rsidRPr="0026653F" w:rsidRDefault="000A4802" w:rsidP="00C618DD">
      <w:pPr>
        <w:suppressAutoHyphens/>
        <w:rPr>
          <w:szCs w:val="22"/>
          <w:lang w:val="fr-FR"/>
        </w:rPr>
      </w:pPr>
    </w:p>
    <w:p w14:paraId="629F644F" w14:textId="1814EF2C" w:rsidR="000A4802" w:rsidRPr="0026653F" w:rsidRDefault="000A4802" w:rsidP="00C618DD">
      <w:pPr>
        <w:suppressAutoHyphens/>
        <w:ind w:firstLine="720"/>
        <w:rPr>
          <w:szCs w:val="22"/>
          <w:lang w:val="fr-FR"/>
        </w:rPr>
      </w:pPr>
      <w:r w:rsidRPr="0026653F">
        <w:rPr>
          <w:color w:val="000000"/>
          <w:szCs w:val="22"/>
          <w:lang w:val="fr-FR"/>
        </w:rPr>
        <w:lastRenderedPageBreak/>
        <w:t>4.</w:t>
      </w:r>
      <w:r w:rsidRPr="0026653F">
        <w:rPr>
          <w:color w:val="000000"/>
          <w:szCs w:val="22"/>
          <w:lang w:val="fr-FR"/>
        </w:rPr>
        <w:tab/>
        <w:t xml:space="preserve">De demander </w:t>
      </w:r>
      <w:r w:rsidRPr="0026653F">
        <w:rPr>
          <w:bCs/>
          <w:color w:val="000000"/>
          <w:szCs w:val="22"/>
          <w:lang w:val="fr-FR"/>
        </w:rPr>
        <w:t>également</w:t>
      </w:r>
      <w:r w:rsidRPr="0026653F">
        <w:rPr>
          <w:color w:val="000000"/>
          <w:szCs w:val="22"/>
          <w:lang w:val="fr-FR"/>
        </w:rPr>
        <w:t xml:space="preserve"> </w:t>
      </w:r>
      <w:r w:rsidRPr="0026653F">
        <w:rPr>
          <w:szCs w:val="22"/>
          <w:lang w:val="fr-FR"/>
        </w:rPr>
        <w:t>au Secrétariat technique du MESICIC de continuer à fournir, dans le cadre de ses compétences, notamment, un soutien technique et des conseils juridiques à la Conférence des États parties et à son Comité d’experts et à faciliter les échanges de bonnes pratiques et la coopération en vue de l’atteinte des objectifs de la Convention interaméricaine contre la corruption</w:t>
      </w:r>
      <w:r w:rsidR="00AD31FD" w:rsidRPr="0026653F">
        <w:rPr>
          <w:szCs w:val="22"/>
          <w:lang w:val="fr-FR"/>
        </w:rPr>
        <w:t> </w:t>
      </w:r>
      <w:r w:rsidRPr="0026653F">
        <w:rPr>
          <w:szCs w:val="22"/>
          <w:lang w:val="fr-FR"/>
        </w:rPr>
        <w:t xml:space="preserve">; de même, de continuer à fournir un appui technique, selon les besoins, au Programme interaméricain de coopération pour la lutte contre la corruption, en maintenant le Portail anticorruption des Amériques et en réalisant les démarches nécessaires </w:t>
      </w:r>
      <w:r w:rsidR="00AD31FD" w:rsidRPr="0026653F">
        <w:rPr>
          <w:szCs w:val="22"/>
          <w:lang w:val="fr-FR"/>
        </w:rPr>
        <w:t>afin d’</w:t>
      </w:r>
      <w:r w:rsidRPr="0026653F">
        <w:rPr>
          <w:szCs w:val="22"/>
          <w:lang w:val="fr-FR"/>
        </w:rPr>
        <w:t>obtenir des ressources pour le financement d’activités de coopération régionale, y compris de coopération juridique contre la corruption.</w:t>
      </w:r>
    </w:p>
    <w:p w14:paraId="17D8133A" w14:textId="77777777" w:rsidR="000A4802" w:rsidRPr="0026653F" w:rsidRDefault="000A4802" w:rsidP="00C618DD">
      <w:pPr>
        <w:suppressAutoHyphens/>
        <w:rPr>
          <w:szCs w:val="22"/>
          <w:lang w:val="fr-FR"/>
        </w:rPr>
      </w:pPr>
    </w:p>
    <w:p w14:paraId="576665EB" w14:textId="77777777" w:rsidR="000A4802" w:rsidRPr="0026653F" w:rsidRDefault="000A4802" w:rsidP="00C618DD">
      <w:pPr>
        <w:suppressAutoHyphens/>
        <w:ind w:firstLine="720"/>
        <w:rPr>
          <w:szCs w:val="22"/>
          <w:lang w:val="fr-FR"/>
        </w:rPr>
      </w:pPr>
      <w:r w:rsidRPr="0026653F">
        <w:rPr>
          <w:szCs w:val="22"/>
          <w:lang w:val="fr-FR"/>
        </w:rPr>
        <w:t>5.</w:t>
      </w:r>
      <w:r w:rsidRPr="0026653F">
        <w:rPr>
          <w:szCs w:val="22"/>
          <w:lang w:val="fr-FR"/>
        </w:rPr>
        <w:tab/>
        <w:t>D’inviter aussi le Secrétariat technique du MESICIC à continuer de renforcer la coordination et la collaboration avec les secrétariats d’autres organismes, entités ou mécanismes de coopération internationale en la matière, en encourageant des synergies et une culture anti-corruption et en s’acquittant des autres fonctions qui lui sont conférées par le Document de Buenos Aires et les règlements de la Conférence des États parties au MESICIC et de son Comité d’experts.</w:t>
      </w:r>
    </w:p>
    <w:p w14:paraId="0E60DE03" w14:textId="77777777" w:rsidR="000A4802" w:rsidRPr="0026653F" w:rsidRDefault="000A4802" w:rsidP="00C618DD">
      <w:pPr>
        <w:suppressAutoHyphens/>
        <w:rPr>
          <w:szCs w:val="22"/>
          <w:lang w:val="fr-FR"/>
        </w:rPr>
      </w:pPr>
    </w:p>
    <w:p w14:paraId="3531D34F" w14:textId="7FC8BCA2" w:rsidR="000A4802" w:rsidRPr="0026653F" w:rsidRDefault="000A4802" w:rsidP="00C618DD">
      <w:pPr>
        <w:suppressAutoHyphens/>
        <w:ind w:firstLine="720"/>
        <w:rPr>
          <w:szCs w:val="22"/>
          <w:lang w:val="fr-FR"/>
        </w:rPr>
      </w:pPr>
      <w:r w:rsidRPr="0026653F">
        <w:rPr>
          <w:color w:val="000000"/>
          <w:szCs w:val="22"/>
          <w:lang w:val="fr-FR"/>
        </w:rPr>
        <w:t>6.</w:t>
      </w:r>
      <w:r w:rsidRPr="0026653F">
        <w:rPr>
          <w:color w:val="000000"/>
          <w:szCs w:val="22"/>
          <w:lang w:val="fr-FR"/>
        </w:rPr>
        <w:tab/>
      </w:r>
      <w:r w:rsidRPr="0026653F">
        <w:rPr>
          <w:szCs w:val="22"/>
          <w:lang w:val="fr-FR"/>
        </w:rPr>
        <w:t xml:space="preserve">De demander au Secrétariat technique du MESICIC </w:t>
      </w:r>
      <w:r w:rsidRPr="0026653F">
        <w:rPr>
          <w:bCs/>
          <w:szCs w:val="22"/>
          <w:lang w:val="fr-FR"/>
        </w:rPr>
        <w:t>de continuer</w:t>
      </w:r>
      <w:r w:rsidRPr="0026653F">
        <w:rPr>
          <w:szCs w:val="22"/>
          <w:lang w:val="fr-FR"/>
        </w:rPr>
        <w:t xml:space="preserve"> à élaborer, en coordination avec le Département pour l’efficacité dans la gestion publique, dans le cadre de leurs compétences respectives, des mesures destinées à faciliter l’identification d’opportunités et l’offre de coopération technique entre les États parties qui en font la demande, en se servant des capacités du MECIGEP.</w:t>
      </w:r>
    </w:p>
    <w:p w14:paraId="53845CB5" w14:textId="77777777" w:rsidR="000A4802" w:rsidRPr="0026653F" w:rsidRDefault="000A4802" w:rsidP="00C618DD">
      <w:pPr>
        <w:suppressAutoHyphens/>
        <w:rPr>
          <w:rFonts w:eastAsia="Arial Unicode MS"/>
          <w:bCs/>
          <w:color w:val="000000"/>
          <w:szCs w:val="22"/>
          <w:lang w:val="fr-FR"/>
        </w:rPr>
      </w:pPr>
      <w:bookmarkStart w:id="54" w:name="_Hlk46322039"/>
    </w:p>
    <w:p w14:paraId="17E571E2" w14:textId="77777777" w:rsidR="000A4802" w:rsidRPr="0026653F" w:rsidRDefault="000A4802" w:rsidP="00C618DD">
      <w:pPr>
        <w:suppressAutoHyphens/>
        <w:ind w:firstLine="720"/>
        <w:rPr>
          <w:rFonts w:eastAsia="Arial Unicode MS"/>
          <w:bCs/>
          <w:color w:val="000000"/>
          <w:szCs w:val="22"/>
          <w:lang w:val="fr-FR"/>
        </w:rPr>
      </w:pPr>
      <w:r w:rsidRPr="0026653F">
        <w:rPr>
          <w:rFonts w:eastAsia="Arial Unicode MS"/>
          <w:bCs/>
          <w:color w:val="000000"/>
          <w:szCs w:val="22"/>
          <w:lang w:val="fr-FR"/>
        </w:rPr>
        <w:t>7.</w:t>
      </w:r>
      <w:r w:rsidRPr="0026653F">
        <w:rPr>
          <w:rFonts w:eastAsia="Arial Unicode MS"/>
          <w:bCs/>
          <w:color w:val="000000"/>
          <w:szCs w:val="22"/>
          <w:lang w:val="fr-FR"/>
        </w:rPr>
        <w:tab/>
        <w:t>De prendre note des contributions réalisées par le Secrétariat technique du MESICIC, en coordination avec le Département pour l’efficacité dans la gestion publique, lequel est chargé du Secrétariat technique du MECIGEP, en matière d’identification des possibilités d’offres de coopération technique en faveur des États parties au MESICIC dans le domaine de la transparence des marchés publics et des offres de formation à la prévention de la corruption et à la lutte contre celle-ci.</w:t>
      </w:r>
      <w:bookmarkEnd w:id="54"/>
    </w:p>
    <w:p w14:paraId="584EB4AE" w14:textId="77777777" w:rsidR="000A4802" w:rsidRPr="0026653F" w:rsidRDefault="000A4802" w:rsidP="00C618DD">
      <w:pPr>
        <w:suppressAutoHyphens/>
        <w:rPr>
          <w:szCs w:val="22"/>
          <w:lang w:val="fr-FR"/>
        </w:rPr>
      </w:pPr>
    </w:p>
    <w:p w14:paraId="5E765F49" w14:textId="24C8B3ED" w:rsidR="000A4802" w:rsidRPr="0026653F" w:rsidRDefault="000A4802" w:rsidP="00C618DD">
      <w:pPr>
        <w:suppressAutoHyphens/>
        <w:ind w:firstLine="720"/>
        <w:rPr>
          <w:rFonts w:eastAsia="Arial Unicode MS"/>
          <w:szCs w:val="22"/>
          <w:lang w:val="fr-FR"/>
        </w:rPr>
      </w:pPr>
      <w:r w:rsidRPr="0026653F">
        <w:rPr>
          <w:rFonts w:eastAsia="Arial Unicode MS"/>
          <w:color w:val="000000"/>
          <w:szCs w:val="22"/>
          <w:lang w:val="fr-FR"/>
        </w:rPr>
        <w:t>8.</w:t>
      </w:r>
      <w:r w:rsidRPr="0026653F">
        <w:rPr>
          <w:rFonts w:eastAsia="Arial Unicode MS"/>
          <w:color w:val="000000"/>
          <w:szCs w:val="22"/>
          <w:lang w:val="fr-FR"/>
        </w:rPr>
        <w:tab/>
      </w:r>
      <w:r w:rsidRPr="0026653F">
        <w:rPr>
          <w:rFonts w:eastAsia="Arial Unicode MS"/>
          <w:szCs w:val="22"/>
          <w:lang w:val="fr-FR"/>
        </w:rPr>
        <w:t>De demander que le MESICIC continue de mettre en œuvre, dans le cadre de ses compétences et en fonction des ressources inscrites à ce titre dans le programme-budget de l’Organisation et d’autres ressources, les mandats qui lui sont confiés dans l’Engagement de Lima : « La gouvernance démocratique face à la corruption »</w:t>
      </w:r>
      <w:r w:rsidRPr="0026653F">
        <w:rPr>
          <w:rFonts w:eastAsia="Arial Unicode MS"/>
          <w:szCs w:val="22"/>
          <w:u w:val="single"/>
          <w:vertAlign w:val="superscript"/>
          <w:lang w:val="fr-FR"/>
        </w:rPr>
        <w:footnoteReference w:id="62"/>
      </w:r>
      <w:r w:rsidRPr="0026653F">
        <w:rPr>
          <w:rFonts w:eastAsia="Arial Unicode MS"/>
          <w:szCs w:val="22"/>
          <w:vertAlign w:val="superscript"/>
          <w:lang w:val="fr-FR"/>
        </w:rPr>
        <w:t>/</w:t>
      </w:r>
      <w:r w:rsidRPr="0026653F">
        <w:rPr>
          <w:rFonts w:eastAsia="Arial Unicode MS"/>
          <w:szCs w:val="22"/>
          <w:lang w:val="fr-FR"/>
        </w:rPr>
        <w:t xml:space="preserve">, adopté lors du Huitième Sommet des Amériques tenu </w:t>
      </w:r>
      <w:r w:rsidR="00BB7A15" w:rsidRPr="0026653F">
        <w:rPr>
          <w:rFonts w:eastAsia="Arial Unicode MS"/>
          <w:szCs w:val="22"/>
          <w:lang w:val="fr-FR"/>
        </w:rPr>
        <w:t xml:space="preserve">en avril 2018 </w:t>
      </w:r>
      <w:r w:rsidRPr="0026653F">
        <w:rPr>
          <w:rFonts w:eastAsia="Arial Unicode MS"/>
          <w:szCs w:val="22"/>
          <w:lang w:val="fr-FR"/>
        </w:rPr>
        <w:t>à Lima (Pérou), et présente au Conseil permanent, par l’intermédiaire de la présidence du Comité d’experts</w:t>
      </w:r>
      <w:r w:rsidR="002E1936" w:rsidRPr="0026653F">
        <w:rPr>
          <w:rFonts w:eastAsia="Arial Unicode MS"/>
          <w:szCs w:val="22"/>
          <w:lang w:val="fr-FR"/>
        </w:rPr>
        <w:t xml:space="preserve"> du MESICIC</w:t>
      </w:r>
      <w:r w:rsidRPr="0026653F">
        <w:rPr>
          <w:rFonts w:eastAsia="Arial Unicode MS"/>
          <w:szCs w:val="22"/>
          <w:lang w:val="fr-FR"/>
        </w:rPr>
        <w:t>, un rapport sur les progrès accomplis dans la mise en œuvre de ces mandats, avant la cinquante</w:t>
      </w:r>
      <w:r w:rsidR="00BB7A15" w:rsidRPr="0026653F">
        <w:rPr>
          <w:rFonts w:eastAsia="Arial Unicode MS"/>
          <w:szCs w:val="22"/>
          <w:lang w:val="fr-FR"/>
        </w:rPr>
        <w:t>-et-</w:t>
      </w:r>
      <w:r w:rsidRPr="0026653F">
        <w:rPr>
          <w:rFonts w:eastAsia="Arial Unicode MS"/>
          <w:szCs w:val="22"/>
          <w:lang w:val="fr-FR"/>
        </w:rPr>
        <w:t>unième session ordinaire de l’Assemblée générale.</w:t>
      </w:r>
    </w:p>
    <w:p w14:paraId="7E3258D2" w14:textId="77777777" w:rsidR="000A4802" w:rsidRPr="0026653F" w:rsidRDefault="000A4802" w:rsidP="00C618DD">
      <w:pPr>
        <w:suppressAutoHyphens/>
        <w:rPr>
          <w:rFonts w:eastAsia="Arial Unicode MS"/>
          <w:color w:val="000000"/>
          <w:szCs w:val="22"/>
          <w:lang w:val="fr-FR"/>
        </w:rPr>
      </w:pPr>
    </w:p>
    <w:p w14:paraId="6C86604E" w14:textId="009D12C2" w:rsidR="000A4802" w:rsidRPr="00E41B29" w:rsidRDefault="000A4802" w:rsidP="00C618DD">
      <w:pPr>
        <w:suppressAutoHyphens/>
        <w:ind w:firstLine="720"/>
        <w:rPr>
          <w:rFonts w:eastAsia="Arial Unicode MS"/>
          <w:color w:val="000000"/>
          <w:szCs w:val="22"/>
          <w:lang w:val="fr-FR"/>
        </w:rPr>
      </w:pPr>
      <w:r w:rsidRPr="0026653F">
        <w:rPr>
          <w:rFonts w:eastAsia="Arial Unicode MS"/>
          <w:bCs/>
          <w:color w:val="000000"/>
          <w:szCs w:val="22"/>
          <w:lang w:val="fr-FR"/>
        </w:rPr>
        <w:t>9.</w:t>
      </w:r>
      <w:r w:rsidRPr="0026653F">
        <w:rPr>
          <w:rFonts w:eastAsia="Arial Unicode MS"/>
          <w:bCs/>
          <w:color w:val="000000"/>
          <w:szCs w:val="22"/>
          <w:lang w:val="fr-FR"/>
        </w:rPr>
        <w:tab/>
        <w:t xml:space="preserve">De reconnaître les progrès réalisés par le MESICIC dans la mise en œuvre des mandats mentionnés au paragraphe 8, notamment l’examen d’une proposition d’indicateurs visant à réduire l’impunité pour les actes de corruption et l’augmentation des activités de promotion de synergies avec d’autres mécanismes internationaux de lutte contre la corruption, tels que ceux de l’ONU, </w:t>
      </w:r>
      <w:r w:rsidR="00AD31FD" w:rsidRPr="0026653F">
        <w:rPr>
          <w:rFonts w:eastAsia="Arial Unicode MS"/>
          <w:bCs/>
          <w:color w:val="000000"/>
          <w:szCs w:val="22"/>
          <w:lang w:val="fr-FR"/>
        </w:rPr>
        <w:t>du</w:t>
      </w:r>
      <w:r w:rsidRPr="0026653F">
        <w:rPr>
          <w:rFonts w:eastAsia="Arial Unicode MS"/>
          <w:bCs/>
          <w:color w:val="000000"/>
          <w:szCs w:val="22"/>
          <w:lang w:val="fr-FR"/>
        </w:rPr>
        <w:t xml:space="preserve"> Conseil de l’Europe (GRECO), </w:t>
      </w:r>
      <w:r w:rsidR="00AD31FD" w:rsidRPr="0026653F">
        <w:rPr>
          <w:rFonts w:eastAsia="Arial Unicode MS"/>
          <w:bCs/>
          <w:color w:val="000000"/>
          <w:szCs w:val="22"/>
          <w:lang w:val="fr-FR"/>
        </w:rPr>
        <w:t xml:space="preserve">du </w:t>
      </w:r>
      <w:r w:rsidRPr="0026653F">
        <w:rPr>
          <w:rFonts w:eastAsia="Arial Unicode MS"/>
          <w:bCs/>
          <w:color w:val="000000"/>
          <w:szCs w:val="22"/>
          <w:lang w:val="fr-FR"/>
        </w:rPr>
        <w:t>Groupe de travail anti-corruption du G20 et</w:t>
      </w:r>
      <w:r w:rsidR="00AD31FD" w:rsidRPr="0026653F">
        <w:rPr>
          <w:rFonts w:eastAsia="Arial Unicode MS"/>
          <w:bCs/>
          <w:color w:val="000000"/>
          <w:szCs w:val="22"/>
          <w:lang w:val="fr-FR"/>
        </w:rPr>
        <w:t xml:space="preserve"> de</w:t>
      </w:r>
      <w:r w:rsidRPr="0026653F">
        <w:rPr>
          <w:rFonts w:eastAsia="Arial Unicode MS"/>
          <w:bCs/>
          <w:color w:val="000000"/>
          <w:szCs w:val="22"/>
          <w:lang w:val="fr-FR"/>
        </w:rPr>
        <w:t xml:space="preserve"> l’O</w:t>
      </w:r>
      <w:r w:rsidR="00AD31FD" w:rsidRPr="0026653F">
        <w:rPr>
          <w:rFonts w:eastAsia="Arial Unicode MS"/>
          <w:bCs/>
          <w:color w:val="000000"/>
          <w:szCs w:val="22"/>
          <w:lang w:val="fr-FR"/>
        </w:rPr>
        <w:t>rganisation de coopération et de développement économiques</w:t>
      </w:r>
      <w:r w:rsidRPr="0026653F">
        <w:rPr>
          <w:rFonts w:eastAsia="Arial Unicode MS"/>
          <w:bCs/>
          <w:color w:val="000000"/>
          <w:szCs w:val="22"/>
          <w:lang w:val="fr-FR"/>
        </w:rPr>
        <w:t>.</w:t>
      </w:r>
    </w:p>
    <w:p w14:paraId="7A297F74" w14:textId="77777777" w:rsidR="000A4802" w:rsidRPr="0026653F" w:rsidRDefault="000A4802" w:rsidP="00C618DD">
      <w:pPr>
        <w:suppressAutoHyphens/>
        <w:rPr>
          <w:rFonts w:eastAsia="Arial Unicode MS"/>
          <w:color w:val="000000"/>
          <w:szCs w:val="22"/>
          <w:lang w:val="fr-FR"/>
        </w:rPr>
      </w:pPr>
    </w:p>
    <w:p w14:paraId="250B6D5E" w14:textId="24E54F5B" w:rsidR="000A4802" w:rsidRPr="0026653F" w:rsidRDefault="000A4802" w:rsidP="00C618DD">
      <w:pPr>
        <w:suppressAutoHyphens/>
        <w:ind w:firstLine="720"/>
        <w:rPr>
          <w:rFonts w:eastAsia="Arial Unicode MS"/>
          <w:color w:val="000000"/>
          <w:szCs w:val="22"/>
          <w:lang w:val="fr-FR"/>
        </w:rPr>
      </w:pPr>
      <w:r w:rsidRPr="0026653F">
        <w:rPr>
          <w:rFonts w:eastAsia="Arial Unicode MS"/>
          <w:color w:val="000000"/>
          <w:szCs w:val="22"/>
          <w:lang w:val="fr-FR"/>
        </w:rPr>
        <w:t>10.</w:t>
      </w:r>
      <w:r w:rsidRPr="0026653F">
        <w:rPr>
          <w:rFonts w:eastAsia="Arial Unicode MS"/>
          <w:color w:val="000000"/>
          <w:szCs w:val="22"/>
          <w:lang w:val="fr-FR"/>
        </w:rPr>
        <w:tab/>
      </w:r>
      <w:r w:rsidRPr="0026653F">
        <w:rPr>
          <w:rFonts w:eastAsia="Arial Unicode MS"/>
          <w:iCs/>
          <w:color w:val="000000"/>
          <w:szCs w:val="22"/>
          <w:lang w:val="fr-FR"/>
        </w:rPr>
        <w:t xml:space="preserve">De prier instamment les États membres </w:t>
      </w:r>
      <w:r w:rsidRPr="0026653F">
        <w:rPr>
          <w:rFonts w:eastAsia="Arial Unicode MS"/>
          <w:color w:val="000000"/>
          <w:szCs w:val="22"/>
          <w:lang w:val="fr-FR"/>
        </w:rPr>
        <w:t xml:space="preserve">d’adopter des mesures efficaces </w:t>
      </w:r>
      <w:r w:rsidRPr="0026653F">
        <w:rPr>
          <w:rFonts w:eastAsia="Arial Unicode MS"/>
          <w:bCs/>
          <w:color w:val="000000"/>
          <w:szCs w:val="22"/>
          <w:lang w:val="fr-FR"/>
        </w:rPr>
        <w:t>pour la récupération des biens</w:t>
      </w:r>
      <w:r w:rsidRPr="0026653F">
        <w:rPr>
          <w:rFonts w:eastAsia="Arial Unicode MS"/>
          <w:color w:val="000000"/>
          <w:szCs w:val="22"/>
          <w:lang w:val="fr-FR"/>
        </w:rPr>
        <w:t xml:space="preserve"> volés</w:t>
      </w:r>
      <w:r w:rsidR="00AD31FD" w:rsidRPr="0026653F">
        <w:rPr>
          <w:rFonts w:eastAsia="Arial Unicode MS"/>
          <w:color w:val="000000"/>
          <w:szCs w:val="22"/>
          <w:lang w:val="fr-FR"/>
        </w:rPr>
        <w:t>, contre l’évitement fiscal et contre l’évasion fiscale</w:t>
      </w:r>
      <w:r w:rsidRPr="0026653F">
        <w:rPr>
          <w:rFonts w:eastAsia="Arial Unicode MS"/>
          <w:color w:val="000000"/>
          <w:szCs w:val="22"/>
          <w:lang w:val="fr-FR"/>
        </w:rPr>
        <w:t xml:space="preserve">, </w:t>
      </w:r>
      <w:r w:rsidR="00AD31FD" w:rsidRPr="0026653F">
        <w:rPr>
          <w:rFonts w:eastAsia="Arial Unicode MS"/>
          <w:color w:val="000000"/>
          <w:szCs w:val="22"/>
          <w:lang w:val="fr-FR"/>
        </w:rPr>
        <w:t xml:space="preserve">contre </w:t>
      </w:r>
      <w:r w:rsidRPr="0026653F">
        <w:rPr>
          <w:rFonts w:eastAsia="Arial Unicode MS"/>
          <w:color w:val="000000"/>
          <w:szCs w:val="22"/>
          <w:lang w:val="fr-FR"/>
        </w:rPr>
        <w:t xml:space="preserve">le blanchiment </w:t>
      </w:r>
      <w:r w:rsidRPr="0026653F">
        <w:rPr>
          <w:rFonts w:eastAsia="Arial Unicode MS"/>
          <w:color w:val="000000"/>
          <w:szCs w:val="22"/>
          <w:lang w:val="fr-FR"/>
        </w:rPr>
        <w:lastRenderedPageBreak/>
        <w:t>d’actifs et les flux financiers illicites provenant de la corruption ainsi que pour identifier les bénéficiaires finaux</w:t>
      </w:r>
      <w:r w:rsidRPr="0026653F">
        <w:rPr>
          <w:rFonts w:eastAsia="Arial Unicode MS"/>
          <w:szCs w:val="22"/>
          <w:lang w:val="fr-FR"/>
        </w:rPr>
        <w:t>.</w:t>
      </w:r>
    </w:p>
    <w:p w14:paraId="426F7C1A" w14:textId="77777777" w:rsidR="000A4802" w:rsidRPr="0026653F" w:rsidRDefault="000A4802" w:rsidP="00C618DD">
      <w:pPr>
        <w:suppressAutoHyphens/>
        <w:rPr>
          <w:rFonts w:eastAsia="Arial Unicode MS"/>
          <w:szCs w:val="22"/>
          <w:lang w:val="fr-FR"/>
        </w:rPr>
      </w:pPr>
    </w:p>
    <w:p w14:paraId="49F8B9D3" w14:textId="77777777" w:rsidR="000A4802" w:rsidRPr="0026653F" w:rsidRDefault="000A4802" w:rsidP="00C618DD">
      <w:pPr>
        <w:suppressAutoHyphens/>
        <w:ind w:firstLine="720"/>
        <w:rPr>
          <w:szCs w:val="22"/>
          <w:lang w:val="fr-FR"/>
        </w:rPr>
      </w:pPr>
      <w:r w:rsidRPr="0026653F">
        <w:rPr>
          <w:color w:val="000000"/>
          <w:szCs w:val="22"/>
          <w:lang w:val="fr-FR"/>
        </w:rPr>
        <w:t>11.</w:t>
      </w:r>
      <w:r w:rsidRPr="0026653F">
        <w:rPr>
          <w:color w:val="000000"/>
          <w:szCs w:val="22"/>
          <w:lang w:val="fr-FR"/>
        </w:rPr>
        <w:tab/>
      </w:r>
      <w:r w:rsidRPr="0026653F">
        <w:rPr>
          <w:szCs w:val="22"/>
          <w:shd w:val="clear" w:color="auto" w:fill="FFFFFF"/>
          <w:lang w:val="fr-FR"/>
        </w:rPr>
        <w:t>D’encourager les États membres et les observateurs permanents à coopérer avec le MESICIC et à appuyer son financement afin d’assurer la réalisation de ses objectifs, en reconnaissant les difficultés qu’un déficit budgétaire de l’OEA peut faire peser sur le travail du MESICIC.</w:t>
      </w:r>
    </w:p>
    <w:p w14:paraId="65FDBF53" w14:textId="77777777" w:rsidR="000A4802" w:rsidRPr="0026653F" w:rsidRDefault="000A4802" w:rsidP="00C618DD">
      <w:pPr>
        <w:suppressAutoHyphens/>
        <w:jc w:val="left"/>
        <w:rPr>
          <w:szCs w:val="22"/>
          <w:lang w:val="fr-FR"/>
        </w:rPr>
      </w:pPr>
    </w:p>
    <w:p w14:paraId="52A1ADAA" w14:textId="12C033D5" w:rsidR="000A4802" w:rsidRPr="0026653F" w:rsidRDefault="000A4802" w:rsidP="00C618DD">
      <w:pPr>
        <w:suppressAutoHyphens/>
        <w:snapToGrid w:val="0"/>
        <w:ind w:left="720" w:right="61" w:hanging="720"/>
        <w:rPr>
          <w:szCs w:val="22"/>
          <w:lang w:val="fr-FR"/>
        </w:rPr>
      </w:pPr>
      <w:r w:rsidRPr="0026653F">
        <w:rPr>
          <w:szCs w:val="22"/>
          <w:lang w:val="fr-FR"/>
        </w:rPr>
        <w:t>vii.</w:t>
      </w:r>
      <w:r w:rsidRPr="0026653F">
        <w:rPr>
          <w:szCs w:val="22"/>
          <w:lang w:val="fr-FR"/>
        </w:rPr>
        <w:tab/>
      </w:r>
      <w:bookmarkStart w:id="55" w:name="_Hlk65231175"/>
      <w:r w:rsidRPr="0026653F">
        <w:rPr>
          <w:szCs w:val="22"/>
          <w:u w:val="single"/>
          <w:lang w:val="fr-FR"/>
        </w:rPr>
        <w:t>Commission internationale contre l’impunité à El Salvador (CICIES)</w:t>
      </w:r>
      <w:bookmarkEnd w:id="55"/>
    </w:p>
    <w:p w14:paraId="1F903CC9" w14:textId="77777777" w:rsidR="000A4802" w:rsidRPr="0026653F" w:rsidRDefault="000A4802" w:rsidP="00C618DD">
      <w:pPr>
        <w:suppressAutoHyphens/>
        <w:snapToGrid w:val="0"/>
        <w:ind w:right="61"/>
        <w:rPr>
          <w:szCs w:val="22"/>
          <w:lang w:val="fr-FR"/>
        </w:rPr>
      </w:pPr>
    </w:p>
    <w:p w14:paraId="7B789F51" w14:textId="07DD691F" w:rsidR="000A4802" w:rsidRPr="00E41B29" w:rsidRDefault="000A4802" w:rsidP="00C618DD">
      <w:pPr>
        <w:suppressAutoHyphens/>
        <w:snapToGrid w:val="0"/>
        <w:ind w:right="61"/>
        <w:rPr>
          <w:bCs/>
          <w:szCs w:val="22"/>
          <w:lang w:val="fr-FR"/>
        </w:rPr>
      </w:pPr>
      <w:r w:rsidRPr="0026653F">
        <w:rPr>
          <w:b/>
          <w:szCs w:val="22"/>
          <w:lang w:val="fr-FR"/>
        </w:rPr>
        <w:tab/>
      </w:r>
      <w:r w:rsidRPr="0026653F">
        <w:rPr>
          <w:bCs/>
          <w:szCs w:val="22"/>
          <w:lang w:val="fr-FR"/>
        </w:rPr>
        <w:t xml:space="preserve">PRENANT EN COMPTE les contributions substantielles des différentes missions spéciales de l’OEA déployées dans divers </w:t>
      </w:r>
      <w:r w:rsidR="00FA02ED" w:rsidRPr="0026653F">
        <w:rPr>
          <w:bCs/>
          <w:szCs w:val="22"/>
          <w:lang w:val="fr-FR"/>
        </w:rPr>
        <w:t>États</w:t>
      </w:r>
      <w:r w:rsidRPr="0026653F">
        <w:rPr>
          <w:bCs/>
          <w:szCs w:val="22"/>
          <w:lang w:val="fr-FR"/>
        </w:rPr>
        <w:t xml:space="preserve"> membres de l’Organisation, surtout en période de pandémie,</w:t>
      </w:r>
    </w:p>
    <w:p w14:paraId="5D84DE62" w14:textId="77777777" w:rsidR="000A4802" w:rsidRPr="0026653F" w:rsidRDefault="000A4802" w:rsidP="00C618DD">
      <w:pPr>
        <w:suppressAutoHyphens/>
        <w:snapToGrid w:val="0"/>
        <w:ind w:right="61"/>
        <w:rPr>
          <w:szCs w:val="22"/>
          <w:lang w:val="fr-FR"/>
        </w:rPr>
      </w:pPr>
    </w:p>
    <w:p w14:paraId="4D544E76" w14:textId="2164A9F5" w:rsidR="000A4802" w:rsidRPr="0026653F" w:rsidRDefault="000A4802" w:rsidP="00C618DD">
      <w:pPr>
        <w:suppressAutoHyphens/>
        <w:snapToGrid w:val="0"/>
        <w:ind w:right="61"/>
        <w:rPr>
          <w:bCs/>
          <w:szCs w:val="22"/>
          <w:lang w:val="fr-FR"/>
        </w:rPr>
      </w:pPr>
      <w:r w:rsidRPr="0026653F">
        <w:rPr>
          <w:bCs/>
          <w:szCs w:val="22"/>
          <w:lang w:val="fr-FR"/>
        </w:rPr>
        <w:tab/>
        <w:t xml:space="preserve">SOULIGNANT l’importance de la lutte contre la corruption dans le </w:t>
      </w:r>
      <w:r w:rsidR="00BB7A15" w:rsidRPr="0026653F">
        <w:rPr>
          <w:bCs/>
          <w:szCs w:val="22"/>
          <w:lang w:val="fr-FR"/>
        </w:rPr>
        <w:t>c</w:t>
      </w:r>
      <w:r w:rsidRPr="0026653F">
        <w:rPr>
          <w:bCs/>
          <w:szCs w:val="22"/>
          <w:lang w:val="fr-FR"/>
        </w:rPr>
        <w:t>ontinent américain et les différentes initiatives que les pays mettent en œuvre afin d’éliminer ce fléau de nos sociétés,</w:t>
      </w:r>
    </w:p>
    <w:p w14:paraId="3652DE2F" w14:textId="77777777" w:rsidR="000A4802" w:rsidRPr="0026653F" w:rsidRDefault="000A4802" w:rsidP="00C618DD">
      <w:pPr>
        <w:suppressAutoHyphens/>
        <w:snapToGrid w:val="0"/>
        <w:ind w:right="61"/>
        <w:rPr>
          <w:szCs w:val="22"/>
          <w:lang w:val="fr-FR"/>
        </w:rPr>
      </w:pPr>
    </w:p>
    <w:p w14:paraId="24227855" w14:textId="40655B9C" w:rsidR="000A4802" w:rsidRPr="0026653F" w:rsidRDefault="000A4802" w:rsidP="00C618DD">
      <w:pPr>
        <w:suppressAutoHyphens/>
        <w:snapToGrid w:val="0"/>
        <w:ind w:right="61"/>
        <w:rPr>
          <w:bCs/>
          <w:szCs w:val="22"/>
          <w:lang w:val="fr-FR"/>
        </w:rPr>
      </w:pPr>
      <w:r w:rsidRPr="0026653F">
        <w:rPr>
          <w:bCs/>
          <w:szCs w:val="22"/>
          <w:lang w:val="fr-FR"/>
        </w:rPr>
        <w:tab/>
        <w:t xml:space="preserve">CONSIDÉRANT que l’article </w:t>
      </w:r>
      <w:r w:rsidR="00135A1D" w:rsidRPr="0026653F">
        <w:rPr>
          <w:bCs/>
          <w:szCs w:val="22"/>
          <w:lang w:val="fr-FR"/>
        </w:rPr>
        <w:t xml:space="preserve">II.1 </w:t>
      </w:r>
      <w:r w:rsidRPr="0026653F">
        <w:rPr>
          <w:bCs/>
          <w:szCs w:val="22"/>
          <w:lang w:val="fr-FR"/>
        </w:rPr>
        <w:t xml:space="preserve">de la Convention interaméricaine contre la corruption établit </w:t>
      </w:r>
      <w:r w:rsidR="002D3FF2" w:rsidRPr="0026653F">
        <w:rPr>
          <w:bCs/>
          <w:szCs w:val="22"/>
          <w:lang w:val="fr-FR"/>
        </w:rPr>
        <w:t>qu’elle a pour objet « [d]'encourager et de renforcer le développement, par chaque Partie, des mécanismes nécessaires pour prévenir, dépister, sanctionner et éliminer la corruption »</w:t>
      </w:r>
      <w:r w:rsidRPr="0026653F">
        <w:rPr>
          <w:bCs/>
          <w:szCs w:val="22"/>
          <w:lang w:val="fr-FR"/>
        </w:rPr>
        <w:t>,</w:t>
      </w:r>
    </w:p>
    <w:p w14:paraId="596F24C0" w14:textId="77777777" w:rsidR="000A4802" w:rsidRPr="0026653F" w:rsidRDefault="000A4802" w:rsidP="00C618DD">
      <w:pPr>
        <w:suppressAutoHyphens/>
        <w:snapToGrid w:val="0"/>
        <w:ind w:right="61"/>
        <w:rPr>
          <w:bCs/>
          <w:szCs w:val="22"/>
          <w:lang w:val="fr-FR"/>
        </w:rPr>
      </w:pPr>
    </w:p>
    <w:p w14:paraId="17E1CBB8" w14:textId="4BF83260" w:rsidR="000A4802" w:rsidRPr="0026653F" w:rsidRDefault="000A4802" w:rsidP="00C618DD">
      <w:pPr>
        <w:suppressAutoHyphens/>
        <w:snapToGrid w:val="0"/>
        <w:ind w:right="61"/>
        <w:rPr>
          <w:bCs/>
          <w:szCs w:val="22"/>
          <w:lang w:val="fr-FR"/>
        </w:rPr>
      </w:pPr>
      <w:r w:rsidRPr="0026653F">
        <w:rPr>
          <w:bCs/>
          <w:szCs w:val="22"/>
          <w:lang w:val="fr-FR"/>
        </w:rPr>
        <w:tab/>
        <w:t xml:space="preserve">SOULIGNANT la création de la Commission internationale contre l’impunité </w:t>
      </w:r>
      <w:r w:rsidR="00BB7A15" w:rsidRPr="0026653F">
        <w:rPr>
          <w:bCs/>
          <w:szCs w:val="22"/>
          <w:lang w:val="fr-FR"/>
        </w:rPr>
        <w:t xml:space="preserve">à El Salvador </w:t>
      </w:r>
      <w:r w:rsidRPr="0026653F">
        <w:rPr>
          <w:bCs/>
          <w:szCs w:val="22"/>
          <w:lang w:val="fr-FR"/>
        </w:rPr>
        <w:t xml:space="preserve">(CICIES) qui </w:t>
      </w:r>
      <w:r w:rsidR="00ED4CD5" w:rsidRPr="0026653F">
        <w:rPr>
          <w:bCs/>
          <w:szCs w:val="22"/>
          <w:lang w:val="fr-FR"/>
        </w:rPr>
        <w:t xml:space="preserve">résulte </w:t>
      </w:r>
      <w:r w:rsidRPr="0026653F">
        <w:rPr>
          <w:bCs/>
          <w:szCs w:val="22"/>
          <w:lang w:val="fr-FR"/>
        </w:rPr>
        <w:t>de l’accord souscrit entre le gouvernement de la République d’El Salvador et le Secrétariat général de l’OEA le 20 septembre 2019,</w:t>
      </w:r>
    </w:p>
    <w:p w14:paraId="4C510FE2" w14:textId="77777777" w:rsidR="000A4802" w:rsidRPr="0026653F" w:rsidRDefault="000A4802" w:rsidP="00C618DD">
      <w:pPr>
        <w:suppressAutoHyphens/>
        <w:snapToGrid w:val="0"/>
        <w:ind w:right="61"/>
        <w:rPr>
          <w:szCs w:val="22"/>
          <w:lang w:val="fr-FR"/>
        </w:rPr>
      </w:pPr>
    </w:p>
    <w:p w14:paraId="5CDB3A39" w14:textId="3230EFF6" w:rsidR="000A4802" w:rsidRPr="0026653F" w:rsidRDefault="000A4802" w:rsidP="00C618DD">
      <w:pPr>
        <w:suppressAutoHyphens/>
        <w:snapToGrid w:val="0"/>
        <w:ind w:right="61"/>
        <w:rPr>
          <w:bCs/>
          <w:szCs w:val="22"/>
          <w:lang w:val="fr-FR"/>
        </w:rPr>
      </w:pPr>
      <w:r w:rsidRPr="0026653F">
        <w:rPr>
          <w:bCs/>
          <w:szCs w:val="22"/>
          <w:lang w:val="fr-FR"/>
        </w:rPr>
        <w:tab/>
        <w:t xml:space="preserve">CONSIDÉRANT la nécessité de garantir le plein et bon fonctionnement de la CICIES, </w:t>
      </w:r>
      <w:r w:rsidR="00ED4CD5" w:rsidRPr="0026653F">
        <w:rPr>
          <w:bCs/>
          <w:szCs w:val="22"/>
          <w:lang w:val="fr-FR"/>
        </w:rPr>
        <w:t>et de la doter</w:t>
      </w:r>
      <w:r w:rsidRPr="0026653F">
        <w:rPr>
          <w:bCs/>
          <w:szCs w:val="22"/>
          <w:lang w:val="fr-FR"/>
        </w:rPr>
        <w:t xml:space="preserve"> d’un caractère autonome, indépendant, neutre et transparent pour atteindre les objectifs d’accompagnement et de renforcement des capacités du gouvernement d’El Salvador et de ses institutions en matière de lutte contre la corruption,</w:t>
      </w:r>
    </w:p>
    <w:p w14:paraId="615596D7" w14:textId="77777777" w:rsidR="000A4802" w:rsidRPr="0026653F" w:rsidRDefault="000A4802" w:rsidP="00C618DD">
      <w:pPr>
        <w:suppressAutoHyphens/>
        <w:snapToGrid w:val="0"/>
        <w:ind w:right="61"/>
        <w:rPr>
          <w:szCs w:val="22"/>
          <w:lang w:val="fr-FR"/>
        </w:rPr>
      </w:pPr>
    </w:p>
    <w:p w14:paraId="2B8892CB" w14:textId="77777777" w:rsidR="000A4802" w:rsidRPr="0026653F" w:rsidRDefault="000A4802" w:rsidP="00C618DD">
      <w:pPr>
        <w:suppressAutoHyphens/>
        <w:snapToGrid w:val="0"/>
        <w:ind w:right="61"/>
        <w:rPr>
          <w:bCs/>
          <w:szCs w:val="22"/>
          <w:lang w:val="fr-FR"/>
        </w:rPr>
      </w:pPr>
      <w:r w:rsidRPr="0026653F">
        <w:rPr>
          <w:bCs/>
          <w:szCs w:val="22"/>
          <w:lang w:val="fr-FR"/>
        </w:rPr>
        <w:t>DÉCIDE :</w:t>
      </w:r>
    </w:p>
    <w:p w14:paraId="317443AC" w14:textId="77777777" w:rsidR="000A4802" w:rsidRPr="0026653F" w:rsidRDefault="000A4802" w:rsidP="00C618DD">
      <w:pPr>
        <w:suppressAutoHyphens/>
        <w:snapToGrid w:val="0"/>
        <w:ind w:right="61"/>
        <w:rPr>
          <w:bCs/>
          <w:szCs w:val="22"/>
          <w:lang w:val="fr-FR"/>
        </w:rPr>
      </w:pPr>
    </w:p>
    <w:p w14:paraId="5454F3BA" w14:textId="1A7279B9" w:rsidR="000A4802" w:rsidRPr="0026653F" w:rsidRDefault="000A4802" w:rsidP="00C618DD">
      <w:pPr>
        <w:suppressAutoHyphens/>
        <w:snapToGrid w:val="0"/>
        <w:ind w:right="61"/>
        <w:rPr>
          <w:bCs/>
          <w:szCs w:val="22"/>
          <w:lang w:val="fr-FR"/>
        </w:rPr>
      </w:pPr>
      <w:r w:rsidRPr="0026653F">
        <w:rPr>
          <w:bCs/>
          <w:szCs w:val="22"/>
          <w:lang w:val="fr-FR"/>
        </w:rPr>
        <w:tab/>
        <w:t>1.</w:t>
      </w:r>
      <w:r w:rsidRPr="0026653F">
        <w:rPr>
          <w:bCs/>
          <w:szCs w:val="22"/>
          <w:lang w:val="fr-FR"/>
        </w:rPr>
        <w:tab/>
        <w:t>De reconnaître les résultats obtenus par les différentes missions spéciales de l’</w:t>
      </w:r>
      <w:r w:rsidR="00F820C8" w:rsidRPr="0026653F">
        <w:rPr>
          <w:bCs/>
          <w:szCs w:val="22"/>
          <w:lang w:val="fr-FR"/>
        </w:rPr>
        <w:t xml:space="preserve">OEA </w:t>
      </w:r>
      <w:r w:rsidRPr="0026653F">
        <w:rPr>
          <w:bCs/>
          <w:szCs w:val="22"/>
          <w:lang w:val="fr-FR"/>
        </w:rPr>
        <w:t>et le rôle déterminant qu’elles ont joué dans leurs objectifs</w:t>
      </w:r>
      <w:r w:rsidR="009239C9" w:rsidRPr="0026653F">
        <w:rPr>
          <w:bCs/>
          <w:szCs w:val="22"/>
          <w:lang w:val="fr-FR"/>
        </w:rPr>
        <w:t xml:space="preserve"> consistant </w:t>
      </w:r>
      <w:r w:rsidRPr="0026653F">
        <w:rPr>
          <w:bCs/>
          <w:szCs w:val="22"/>
          <w:lang w:val="fr-FR"/>
        </w:rPr>
        <w:t>à contribuer à l’obtention de la stabilité, de la paix, de la sécurité, du dialogue et du développement des peuples des Amériques.</w:t>
      </w:r>
    </w:p>
    <w:p w14:paraId="5A170308" w14:textId="77777777" w:rsidR="000A4802" w:rsidRPr="0026653F" w:rsidRDefault="000A4802" w:rsidP="00C618DD">
      <w:pPr>
        <w:suppressAutoHyphens/>
        <w:rPr>
          <w:bCs/>
          <w:szCs w:val="22"/>
          <w:lang w:val="fr-FR"/>
        </w:rPr>
      </w:pPr>
    </w:p>
    <w:p w14:paraId="3FDC294A" w14:textId="25846AE4" w:rsidR="000A4802" w:rsidRPr="0026653F" w:rsidRDefault="000A4802" w:rsidP="00C618DD">
      <w:pPr>
        <w:suppressAutoHyphens/>
        <w:rPr>
          <w:bCs/>
          <w:szCs w:val="22"/>
          <w:lang w:val="fr-FR"/>
        </w:rPr>
      </w:pPr>
      <w:r w:rsidRPr="0026653F">
        <w:rPr>
          <w:bCs/>
          <w:szCs w:val="22"/>
          <w:lang w:val="fr-FR"/>
        </w:rPr>
        <w:tab/>
        <w:t>2.</w:t>
      </w:r>
      <w:r w:rsidRPr="0026653F">
        <w:rPr>
          <w:bCs/>
          <w:szCs w:val="22"/>
          <w:lang w:val="fr-FR"/>
        </w:rPr>
        <w:tab/>
        <w:t>D’appuyer et d</w:t>
      </w:r>
      <w:r w:rsidR="002E1936" w:rsidRPr="0026653F">
        <w:rPr>
          <w:bCs/>
          <w:szCs w:val="22"/>
          <w:lang w:val="fr-FR"/>
        </w:rPr>
        <w:t xml:space="preserve">e favoriser </w:t>
      </w:r>
      <w:r w:rsidRPr="0026653F">
        <w:rPr>
          <w:bCs/>
          <w:szCs w:val="22"/>
          <w:lang w:val="fr-FR"/>
        </w:rPr>
        <w:t xml:space="preserve">les activités de la </w:t>
      </w:r>
      <w:r w:rsidR="00BB7A15" w:rsidRPr="0026653F">
        <w:rPr>
          <w:bCs/>
          <w:szCs w:val="22"/>
          <w:lang w:val="fr-FR"/>
        </w:rPr>
        <w:t>Commission internationale contre l’impunité à El Salvador (</w:t>
      </w:r>
      <w:r w:rsidRPr="0026653F">
        <w:rPr>
          <w:bCs/>
          <w:szCs w:val="22"/>
          <w:lang w:val="fr-FR"/>
        </w:rPr>
        <w:t>CICIES</w:t>
      </w:r>
      <w:r w:rsidR="00BB7A15" w:rsidRPr="0026653F">
        <w:rPr>
          <w:bCs/>
          <w:szCs w:val="22"/>
          <w:lang w:val="fr-FR"/>
        </w:rPr>
        <w:t>)</w:t>
      </w:r>
      <w:r w:rsidRPr="0026653F">
        <w:rPr>
          <w:bCs/>
          <w:szCs w:val="22"/>
          <w:lang w:val="fr-FR"/>
        </w:rPr>
        <w:t xml:space="preserve"> visant à soutenir, sur le plan technique, le gouvernement d’El Salvador et ses institutions dans les efforts qu’ils déploient pour lutter contre les affaires de corruption dans le pays.</w:t>
      </w:r>
    </w:p>
    <w:p w14:paraId="7C28DE7C" w14:textId="77777777" w:rsidR="000A4802" w:rsidRPr="0026653F" w:rsidRDefault="000A4802" w:rsidP="00C618DD">
      <w:pPr>
        <w:suppressAutoHyphens/>
        <w:rPr>
          <w:bCs/>
          <w:szCs w:val="22"/>
          <w:lang w:val="fr-FR"/>
        </w:rPr>
      </w:pPr>
    </w:p>
    <w:p w14:paraId="46EC3CBF" w14:textId="77777777" w:rsidR="000A4802" w:rsidRPr="0026653F" w:rsidRDefault="000A4802" w:rsidP="00C618DD">
      <w:pPr>
        <w:suppressAutoHyphens/>
        <w:rPr>
          <w:bCs/>
          <w:szCs w:val="22"/>
          <w:lang w:val="fr-FR"/>
        </w:rPr>
      </w:pPr>
      <w:r w:rsidRPr="0026653F">
        <w:rPr>
          <w:bCs/>
          <w:szCs w:val="22"/>
          <w:lang w:val="fr-FR"/>
        </w:rPr>
        <w:tab/>
        <w:t>3.</w:t>
      </w:r>
      <w:r w:rsidRPr="0026653F">
        <w:rPr>
          <w:bCs/>
          <w:szCs w:val="22"/>
          <w:lang w:val="fr-FR"/>
        </w:rPr>
        <w:tab/>
        <w:t>D’inviter les États membres et les États observateurs à apporter leur soutien économique au travail qu’accomplit la CICIES, lui garantissant le financement qui lui permettra de réaliser ses buts et ses objectifs.</w:t>
      </w:r>
    </w:p>
    <w:p w14:paraId="6FE35568" w14:textId="77777777" w:rsidR="000A4802" w:rsidRPr="0026653F" w:rsidRDefault="000A4802" w:rsidP="00C618DD">
      <w:pPr>
        <w:suppressAutoHyphens/>
        <w:rPr>
          <w:szCs w:val="22"/>
          <w:lang w:val="fr-FR"/>
        </w:rPr>
      </w:pPr>
    </w:p>
    <w:p w14:paraId="7F5077CE" w14:textId="77777777" w:rsidR="000A4802" w:rsidRPr="0026653F" w:rsidRDefault="000A4802" w:rsidP="00C618DD">
      <w:pPr>
        <w:suppressAutoHyphens/>
        <w:rPr>
          <w:bCs/>
          <w:szCs w:val="22"/>
          <w:lang w:val="fr-FR"/>
        </w:rPr>
      </w:pPr>
      <w:r w:rsidRPr="0026653F">
        <w:rPr>
          <w:bCs/>
          <w:szCs w:val="22"/>
          <w:lang w:val="fr-FR"/>
        </w:rPr>
        <w:tab/>
        <w:t>4.</w:t>
      </w:r>
      <w:r w:rsidRPr="0026653F">
        <w:rPr>
          <w:bCs/>
          <w:szCs w:val="22"/>
          <w:lang w:val="fr-FR"/>
        </w:rPr>
        <w:tab/>
        <w:t>De charger le Secrétariat général de continuer à appuyer les activités de la CICIES jusqu’à l’accomplissement des buts énoncés dans l’accord souscrit avec la République d’El Salvador.</w:t>
      </w:r>
    </w:p>
    <w:p w14:paraId="4D1111F2" w14:textId="77777777" w:rsidR="000A4802" w:rsidRPr="0026653F" w:rsidRDefault="000A4802" w:rsidP="00C618DD">
      <w:pPr>
        <w:suppressAutoHyphens/>
        <w:jc w:val="left"/>
        <w:rPr>
          <w:szCs w:val="22"/>
          <w:lang w:val="fr-FR"/>
        </w:rPr>
      </w:pPr>
    </w:p>
    <w:p w14:paraId="22EA5159" w14:textId="77777777" w:rsidR="000A4802" w:rsidRPr="0026653F" w:rsidRDefault="000A4802" w:rsidP="00C618DD">
      <w:pPr>
        <w:keepNext/>
        <w:suppressAutoHyphens/>
        <w:rPr>
          <w:color w:val="000000"/>
          <w:szCs w:val="22"/>
          <w:u w:val="single"/>
          <w:lang w:val="fr-FR"/>
        </w:rPr>
      </w:pPr>
      <w:r w:rsidRPr="0026653F">
        <w:rPr>
          <w:szCs w:val="22"/>
          <w:lang w:val="fr-FR"/>
        </w:rPr>
        <w:lastRenderedPageBreak/>
        <w:t xml:space="preserve">viii. </w:t>
      </w:r>
      <w:r w:rsidRPr="0026653F">
        <w:rPr>
          <w:szCs w:val="22"/>
          <w:lang w:val="fr-FR"/>
        </w:rPr>
        <w:tab/>
      </w:r>
      <w:r w:rsidRPr="0026653F">
        <w:rPr>
          <w:color w:val="000000"/>
          <w:szCs w:val="22"/>
          <w:u w:val="single"/>
          <w:lang w:val="fr-FR"/>
        </w:rPr>
        <w:t>Gouvernement numérique, ouvert et transparent</w:t>
      </w:r>
    </w:p>
    <w:p w14:paraId="123F9468" w14:textId="77777777" w:rsidR="000A4802" w:rsidRPr="0026653F" w:rsidRDefault="000A4802" w:rsidP="00C618DD">
      <w:pPr>
        <w:keepNext/>
        <w:suppressAutoHyphens/>
        <w:rPr>
          <w:color w:val="000000"/>
          <w:szCs w:val="22"/>
          <w:lang w:val="fr-FR"/>
        </w:rPr>
      </w:pPr>
    </w:p>
    <w:p w14:paraId="2C2D21CA" w14:textId="0BD4318B" w:rsidR="000A4802" w:rsidRPr="0026653F" w:rsidRDefault="000A4802" w:rsidP="00C618DD">
      <w:pPr>
        <w:suppressAutoHyphens/>
        <w:ind w:firstLine="720"/>
        <w:rPr>
          <w:bCs/>
          <w:color w:val="000000"/>
          <w:szCs w:val="22"/>
          <w:lang w:val="fr-FR"/>
        </w:rPr>
      </w:pPr>
      <w:r w:rsidRPr="0026653F">
        <w:rPr>
          <w:bCs/>
          <w:color w:val="000000"/>
          <w:szCs w:val="22"/>
          <w:lang w:val="fr-FR"/>
        </w:rPr>
        <w:t xml:space="preserve">RECONNAISSANT l’Engagement de Buenos Aires souscrit lors de la treizième Assemblée annuelle du Réseau de la cyberadministration d’Amérique latine et des Caraïbes (Réseau GEALC), tenue le 30 octobre 2019 dans la ville autonome de Buenos Aires (République </w:t>
      </w:r>
      <w:r w:rsidR="00BE3299" w:rsidRPr="0026653F">
        <w:rPr>
          <w:bCs/>
          <w:color w:val="000000"/>
          <w:szCs w:val="22"/>
          <w:lang w:val="fr-FR"/>
        </w:rPr>
        <w:t>a</w:t>
      </w:r>
      <w:r w:rsidRPr="0026653F">
        <w:rPr>
          <w:bCs/>
          <w:color w:val="000000"/>
          <w:szCs w:val="22"/>
          <w:lang w:val="fr-FR"/>
        </w:rPr>
        <w:t>rgentine), lequel réseau est reconnu comme le Réseau interaméricain de gouvernement numérique en vertu de la résolution AG/RES. 2931 (XLIX-O/19), notamment en ce qui concerne la « promotion de la participation de tous les États membres de l’OEA au Réseau GEALC »,</w:t>
      </w:r>
    </w:p>
    <w:p w14:paraId="5A760B36" w14:textId="77777777" w:rsidR="000A4802" w:rsidRPr="0026653F" w:rsidRDefault="000A4802" w:rsidP="00C618DD">
      <w:pPr>
        <w:suppressAutoHyphens/>
        <w:rPr>
          <w:color w:val="000000"/>
          <w:szCs w:val="22"/>
          <w:lang w:val="fr-FR"/>
        </w:rPr>
      </w:pPr>
    </w:p>
    <w:p w14:paraId="7D9905BB" w14:textId="77777777" w:rsidR="000A4802" w:rsidRPr="0026653F" w:rsidRDefault="000A4802" w:rsidP="00C618DD">
      <w:pPr>
        <w:suppressAutoHyphens/>
        <w:ind w:firstLine="720"/>
        <w:rPr>
          <w:color w:val="000000"/>
          <w:szCs w:val="22"/>
          <w:lang w:val="fr-FR"/>
        </w:rPr>
      </w:pPr>
      <w:r w:rsidRPr="0026653F">
        <w:rPr>
          <w:color w:val="000000"/>
          <w:szCs w:val="22"/>
          <w:lang w:val="fr-FR"/>
        </w:rPr>
        <w:t>PRENANT EN COMPTE que le renforcement de la démocratie est une tâche permanente à laquelle nos États s’attellent au quotidien et que les données en libre accès constituent un outil essentiel dans la promotion de la transparence et la lutte contre la corruption, du point de vue du droit d’accès à l’information et de la reddition de comptes, et qu’elles permettent aux citoyens d’acquérir une meilleure connaissance des affaires publiques, laquelle leur permet une participation plus éclairée à la conception, à l’élaboration et à la mise en œuvre des politiques publiques, et qu’en vertu de la résolution AG/RES. 2931 (XLIX-O/19) le Programme interaméricain de données en libre accès (PIDA) a été approuvé pour lutter contre la corruption,</w:t>
      </w:r>
      <w:r w:rsidRPr="0026653F">
        <w:rPr>
          <w:szCs w:val="22"/>
          <w:u w:val="single"/>
          <w:vertAlign w:val="superscript"/>
          <w:lang w:val="fr-FR"/>
        </w:rPr>
        <w:footnoteReference w:id="63"/>
      </w:r>
      <w:r w:rsidRPr="0026653F">
        <w:rPr>
          <w:szCs w:val="22"/>
          <w:vertAlign w:val="superscript"/>
          <w:lang w:val="fr-FR"/>
        </w:rPr>
        <w:t>/</w:t>
      </w:r>
    </w:p>
    <w:p w14:paraId="727DE572" w14:textId="77777777" w:rsidR="000A4802" w:rsidRPr="0026653F" w:rsidRDefault="000A4802" w:rsidP="00C618DD">
      <w:pPr>
        <w:suppressAutoHyphens/>
        <w:autoSpaceDE w:val="0"/>
        <w:autoSpaceDN w:val="0"/>
        <w:adjustRightInd w:val="0"/>
        <w:rPr>
          <w:szCs w:val="22"/>
          <w:lang w:val="fr-FR"/>
        </w:rPr>
      </w:pPr>
    </w:p>
    <w:p w14:paraId="62D832D5" w14:textId="745961C9" w:rsidR="000A4802" w:rsidRPr="00E41B29" w:rsidRDefault="000A4802" w:rsidP="00C618DD">
      <w:pPr>
        <w:suppressAutoHyphens/>
        <w:autoSpaceDE w:val="0"/>
        <w:autoSpaceDN w:val="0"/>
        <w:adjustRightInd w:val="0"/>
        <w:ind w:firstLine="720"/>
        <w:rPr>
          <w:szCs w:val="22"/>
          <w:lang w:val="fr-FR"/>
        </w:rPr>
      </w:pPr>
      <w:r w:rsidRPr="0026653F">
        <w:rPr>
          <w:szCs w:val="22"/>
          <w:lang w:val="fr-FR"/>
        </w:rPr>
        <w:t>RECONNAISSANT que la pandémie de COVID-19 est venue bousculer beaucoup de certitudes de nos sociétés et acceptant que toute crise revêt un caractère exceptionnel et que c’est là le risque et l’opportunité des démocraties, à savoir, comprendre que ce caractère exceptionnel repose sur l’objectif de rétablir un ordre qui garantisse aux citoyens la sécurité publique, des mesures et des soins</w:t>
      </w:r>
      <w:r w:rsidR="006B526F" w:rsidRPr="0026653F">
        <w:rPr>
          <w:szCs w:val="22"/>
          <w:lang w:val="fr-FR"/>
        </w:rPr>
        <w:t> </w:t>
      </w:r>
      <w:r w:rsidRPr="0026653F">
        <w:rPr>
          <w:szCs w:val="22"/>
          <w:lang w:val="fr-FR"/>
        </w:rPr>
        <w:t>; reconnaissant par ailleurs que la prévention et la prise en charge de la COVID-19 exigent de la part des États des réponses intégrales qui rendent concrètes la transparence, la collaboration et la reddition de comptes dans un environnement de gouver</w:t>
      </w:r>
      <w:r w:rsidR="006B526F" w:rsidRPr="0026653F">
        <w:rPr>
          <w:szCs w:val="22"/>
          <w:lang w:val="fr-FR"/>
        </w:rPr>
        <w:t xml:space="preserve">nance </w:t>
      </w:r>
      <w:r w:rsidRPr="0026653F">
        <w:rPr>
          <w:szCs w:val="22"/>
          <w:lang w:val="fr-FR"/>
        </w:rPr>
        <w:t>numérique accéléré,</w:t>
      </w:r>
    </w:p>
    <w:p w14:paraId="1B230F4A" w14:textId="77777777" w:rsidR="000A4802" w:rsidRPr="0026653F" w:rsidRDefault="000A4802" w:rsidP="00C618DD">
      <w:pPr>
        <w:suppressAutoHyphens/>
        <w:autoSpaceDE w:val="0"/>
        <w:autoSpaceDN w:val="0"/>
        <w:adjustRightInd w:val="0"/>
        <w:rPr>
          <w:szCs w:val="22"/>
          <w:lang w:val="fr-FR"/>
        </w:rPr>
      </w:pPr>
    </w:p>
    <w:p w14:paraId="2B0E51AA" w14:textId="74090369" w:rsidR="000A4802" w:rsidRPr="00E41B29" w:rsidRDefault="000A4802" w:rsidP="00C618DD">
      <w:pPr>
        <w:suppressAutoHyphens/>
        <w:autoSpaceDE w:val="0"/>
        <w:autoSpaceDN w:val="0"/>
        <w:adjustRightInd w:val="0"/>
        <w:rPr>
          <w:szCs w:val="22"/>
          <w:lang w:val="fr-FR"/>
        </w:rPr>
      </w:pPr>
      <w:r w:rsidRPr="0026653F">
        <w:rPr>
          <w:b/>
          <w:bCs/>
          <w:szCs w:val="22"/>
          <w:lang w:val="fr-FR"/>
        </w:rPr>
        <w:tab/>
      </w:r>
      <w:r w:rsidRPr="0026653F">
        <w:rPr>
          <w:szCs w:val="22"/>
          <w:lang w:val="fr-FR"/>
        </w:rPr>
        <w:t>AFFIRMANT que dans les périodes de crise, la transparence et la reddition de comptes sont des principes fondamentaux pour susciter la confiance</w:t>
      </w:r>
      <w:r w:rsidR="00BE3299" w:rsidRPr="0026653F">
        <w:rPr>
          <w:szCs w:val="22"/>
          <w:lang w:val="fr-FR"/>
        </w:rPr>
        <w:t>, et que l</w:t>
      </w:r>
      <w:r w:rsidRPr="0026653F">
        <w:rPr>
          <w:szCs w:val="22"/>
          <w:lang w:val="fr-FR"/>
        </w:rPr>
        <w:t>’accès à l’information, complété par l’ouverture des données publiques concernant les processus et les politiques de prise en charge de la pandémie</w:t>
      </w:r>
      <w:r w:rsidR="008E0515" w:rsidRPr="0026653F">
        <w:rPr>
          <w:szCs w:val="22"/>
          <w:lang w:val="fr-FR"/>
        </w:rPr>
        <w:t xml:space="preserve"> de COVID-19</w:t>
      </w:r>
      <w:r w:rsidRPr="0026653F">
        <w:rPr>
          <w:szCs w:val="22"/>
          <w:lang w:val="fr-FR"/>
        </w:rPr>
        <w:t>, le nombre de cas d’infection et de tests réalisés, les budgets, les achats et les passations de marchés</w:t>
      </w:r>
      <w:r w:rsidR="006B526F" w:rsidRPr="0026653F">
        <w:rPr>
          <w:szCs w:val="22"/>
          <w:lang w:val="fr-FR"/>
        </w:rPr>
        <w:t xml:space="preserve"> publics</w:t>
      </w:r>
      <w:r w:rsidRPr="0026653F">
        <w:rPr>
          <w:szCs w:val="22"/>
          <w:lang w:val="fr-FR"/>
        </w:rPr>
        <w:t xml:space="preserve"> sont des actions fondamentales pour renforcer la confiance et la relation entre l’État et les citoyens, combattre la corruption et obtenir des données scientifiques qui débouchent sur des interventions publiques plus efficaces </w:t>
      </w:r>
      <w:r w:rsidR="006B526F" w:rsidRPr="0026653F">
        <w:rPr>
          <w:szCs w:val="22"/>
          <w:lang w:val="fr-FR"/>
        </w:rPr>
        <w:t>pour aboutir</w:t>
      </w:r>
      <w:r w:rsidRPr="0026653F">
        <w:rPr>
          <w:szCs w:val="22"/>
          <w:lang w:val="fr-FR"/>
        </w:rPr>
        <w:t xml:space="preserve"> à une récupération intégrale,</w:t>
      </w:r>
    </w:p>
    <w:p w14:paraId="5F5FC10B" w14:textId="77777777" w:rsidR="000A4802" w:rsidRPr="0026653F" w:rsidRDefault="000A4802" w:rsidP="00C618DD">
      <w:pPr>
        <w:suppressAutoHyphens/>
        <w:autoSpaceDE w:val="0"/>
        <w:autoSpaceDN w:val="0"/>
        <w:adjustRightInd w:val="0"/>
        <w:rPr>
          <w:szCs w:val="22"/>
          <w:lang w:val="fr-FR"/>
        </w:rPr>
      </w:pPr>
    </w:p>
    <w:p w14:paraId="777DBE7A" w14:textId="2079F229" w:rsidR="000A4802" w:rsidRPr="00E41B29" w:rsidRDefault="000A4802" w:rsidP="00C618DD">
      <w:pPr>
        <w:suppressAutoHyphens/>
        <w:autoSpaceDE w:val="0"/>
        <w:autoSpaceDN w:val="0"/>
        <w:adjustRightInd w:val="0"/>
        <w:rPr>
          <w:szCs w:val="22"/>
          <w:lang w:val="fr-FR"/>
        </w:rPr>
      </w:pPr>
      <w:r w:rsidRPr="0026653F">
        <w:rPr>
          <w:b/>
          <w:bCs/>
          <w:szCs w:val="22"/>
          <w:lang w:val="fr-FR"/>
        </w:rPr>
        <w:tab/>
      </w:r>
      <w:r w:rsidRPr="0026653F">
        <w:rPr>
          <w:szCs w:val="22"/>
          <w:lang w:val="fr-FR"/>
        </w:rPr>
        <w:t xml:space="preserve">CONVAINCUE que la numérisation et la simplification des formalités et des services liés directement ou indirectement à la pandémie </w:t>
      </w:r>
      <w:r w:rsidR="0006131C" w:rsidRPr="0026653F">
        <w:rPr>
          <w:szCs w:val="22"/>
          <w:lang w:val="fr-FR"/>
        </w:rPr>
        <w:t xml:space="preserve">de COVID-19 </w:t>
      </w:r>
      <w:r w:rsidRPr="0026653F">
        <w:rPr>
          <w:szCs w:val="22"/>
          <w:lang w:val="fr-FR"/>
        </w:rPr>
        <w:t>devien</w:t>
      </w:r>
      <w:r w:rsidR="006B526F" w:rsidRPr="0026653F">
        <w:rPr>
          <w:szCs w:val="22"/>
          <w:lang w:val="fr-FR"/>
        </w:rPr>
        <w:t>nen</w:t>
      </w:r>
      <w:r w:rsidRPr="0026653F">
        <w:rPr>
          <w:szCs w:val="22"/>
          <w:lang w:val="fr-FR"/>
        </w:rPr>
        <w:t>t ainsi un impératif pour mettre en valeur les outils de l’État, promouvoir l’innovation dans la gestion et favoriser la collaboration multisectorielle</w:t>
      </w:r>
      <w:r w:rsidR="006B526F" w:rsidRPr="0026653F">
        <w:rPr>
          <w:szCs w:val="22"/>
          <w:lang w:val="fr-FR"/>
        </w:rPr>
        <w:t xml:space="preserve"> et </w:t>
      </w:r>
      <w:r w:rsidRPr="0026653F">
        <w:rPr>
          <w:szCs w:val="22"/>
          <w:lang w:val="fr-FR"/>
        </w:rPr>
        <w:t>ce, afin d’assurer des prestations efficaces au moyen de procédures sûres et transparentes qui garantissent aux citoyens l’exercice de leurs droits,</w:t>
      </w:r>
    </w:p>
    <w:p w14:paraId="2E013559" w14:textId="77777777" w:rsidR="000A4802" w:rsidRPr="0026653F" w:rsidRDefault="000A4802" w:rsidP="00C618DD">
      <w:pPr>
        <w:suppressAutoHyphens/>
        <w:autoSpaceDE w:val="0"/>
        <w:autoSpaceDN w:val="0"/>
        <w:adjustRightInd w:val="0"/>
        <w:rPr>
          <w:bCs/>
          <w:szCs w:val="22"/>
          <w:lang w:val="fr-FR"/>
        </w:rPr>
      </w:pPr>
    </w:p>
    <w:p w14:paraId="7F6867E0" w14:textId="054C1783" w:rsidR="000A4802" w:rsidRPr="0026653F" w:rsidRDefault="000A4802" w:rsidP="00C618DD">
      <w:pPr>
        <w:suppressAutoHyphens/>
        <w:autoSpaceDE w:val="0"/>
        <w:autoSpaceDN w:val="0"/>
        <w:adjustRightInd w:val="0"/>
        <w:ind w:firstLine="720"/>
        <w:rPr>
          <w:szCs w:val="22"/>
          <w:lang w:val="fr-FR"/>
        </w:rPr>
      </w:pPr>
      <w:r w:rsidRPr="0026653F">
        <w:rPr>
          <w:szCs w:val="22"/>
          <w:lang w:val="fr-FR"/>
        </w:rPr>
        <w:t xml:space="preserve">PRENANT EN COMPTE que la pandémie </w:t>
      </w:r>
      <w:r w:rsidR="0006131C" w:rsidRPr="0026653F">
        <w:rPr>
          <w:szCs w:val="22"/>
          <w:lang w:val="fr-FR"/>
        </w:rPr>
        <w:t xml:space="preserve">de COVID-19 </w:t>
      </w:r>
      <w:r w:rsidRPr="0026653F">
        <w:rPr>
          <w:szCs w:val="22"/>
          <w:lang w:val="fr-FR"/>
        </w:rPr>
        <w:t>que le monde affronte en 2020 n’a pas seulement déclenché une crise sanitaire avec de fortes répercussions économiques, sociales et culturelles mais qu’elle a remis à plat le rôle de l’État dans son ensemble dans les sociétés démocratiques et généré une opportunité, celle de faire du gouvernement ouvert et du gouvernement numérique un outil pour une véritable inclusion et le renforcement de la démocratie,</w:t>
      </w:r>
    </w:p>
    <w:p w14:paraId="636606B1" w14:textId="77777777" w:rsidR="000A4802" w:rsidRPr="0026653F" w:rsidRDefault="000A4802" w:rsidP="00C618DD">
      <w:pPr>
        <w:jc w:val="left"/>
        <w:rPr>
          <w:color w:val="000000"/>
          <w:szCs w:val="22"/>
          <w:lang w:val="fr-FR"/>
        </w:rPr>
      </w:pPr>
    </w:p>
    <w:p w14:paraId="5C1B9A20" w14:textId="77777777" w:rsidR="000A4802" w:rsidRPr="0026653F" w:rsidRDefault="000A4802" w:rsidP="00C618DD">
      <w:pPr>
        <w:keepNext/>
        <w:suppressAutoHyphens/>
        <w:rPr>
          <w:color w:val="000000"/>
          <w:szCs w:val="22"/>
          <w:lang w:val="fr-FR"/>
        </w:rPr>
      </w:pPr>
      <w:r w:rsidRPr="0026653F">
        <w:rPr>
          <w:color w:val="000000"/>
          <w:szCs w:val="22"/>
          <w:lang w:val="fr-FR"/>
        </w:rPr>
        <w:t>DÉCIDE :</w:t>
      </w:r>
    </w:p>
    <w:p w14:paraId="29F4B80F" w14:textId="77777777" w:rsidR="000A4802" w:rsidRPr="0026653F" w:rsidRDefault="000A4802" w:rsidP="00C618DD">
      <w:pPr>
        <w:keepNext/>
        <w:suppressAutoHyphens/>
        <w:rPr>
          <w:color w:val="000000"/>
          <w:szCs w:val="22"/>
          <w:lang w:val="fr-FR"/>
        </w:rPr>
      </w:pPr>
    </w:p>
    <w:p w14:paraId="2C45E9A6" w14:textId="77777777" w:rsidR="000A4802" w:rsidRPr="0026653F" w:rsidRDefault="000A4802" w:rsidP="00C618DD">
      <w:pPr>
        <w:suppressAutoHyphens/>
        <w:ind w:firstLine="720"/>
        <w:rPr>
          <w:color w:val="000000"/>
          <w:szCs w:val="22"/>
          <w:lang w:val="fr-FR"/>
        </w:rPr>
      </w:pPr>
      <w:r w:rsidRPr="0026653F">
        <w:rPr>
          <w:color w:val="000000"/>
          <w:szCs w:val="22"/>
          <w:lang w:val="fr-FR"/>
        </w:rPr>
        <w:t>1.</w:t>
      </w:r>
      <w:r w:rsidRPr="0026653F">
        <w:rPr>
          <w:color w:val="000000"/>
          <w:szCs w:val="22"/>
          <w:lang w:val="fr-FR"/>
        </w:rPr>
        <w:tab/>
      </w:r>
      <w:r w:rsidRPr="0026653F">
        <w:rPr>
          <w:bCs/>
          <w:color w:val="000000"/>
          <w:szCs w:val="22"/>
          <w:lang w:val="fr-FR"/>
        </w:rPr>
        <w:t>D’inviter les États membres à participer</w:t>
      </w:r>
      <w:r w:rsidRPr="0026653F">
        <w:rPr>
          <w:color w:val="000000"/>
          <w:szCs w:val="22"/>
          <w:lang w:val="fr-FR"/>
        </w:rPr>
        <w:t xml:space="preserve"> au Réseau de la cyberadministration d’Amérique latine et des Caraïbes (Réseau GEALC) en tant que Réseau interaméricain de gouvernement numérique.</w:t>
      </w:r>
    </w:p>
    <w:p w14:paraId="112142C0" w14:textId="77777777" w:rsidR="000A4802" w:rsidRPr="0026653F" w:rsidRDefault="000A4802" w:rsidP="00C618DD">
      <w:pPr>
        <w:suppressAutoHyphens/>
        <w:rPr>
          <w:color w:val="000000"/>
          <w:szCs w:val="22"/>
          <w:lang w:val="fr-FR"/>
        </w:rPr>
      </w:pPr>
    </w:p>
    <w:p w14:paraId="440A7121" w14:textId="77777777" w:rsidR="000A4802" w:rsidRPr="0026653F" w:rsidRDefault="000A4802" w:rsidP="00C618DD">
      <w:pPr>
        <w:suppressAutoHyphens/>
        <w:ind w:firstLine="720"/>
        <w:rPr>
          <w:color w:val="000000"/>
          <w:szCs w:val="22"/>
          <w:lang w:val="fr-FR"/>
        </w:rPr>
      </w:pPr>
      <w:r w:rsidRPr="0026653F">
        <w:rPr>
          <w:bCs/>
          <w:color w:val="000000"/>
          <w:szCs w:val="22"/>
          <w:lang w:val="fr-FR"/>
        </w:rPr>
        <w:t>2.</w:t>
      </w:r>
      <w:r w:rsidRPr="0026653F">
        <w:rPr>
          <w:bCs/>
          <w:color w:val="000000"/>
          <w:szCs w:val="22"/>
          <w:lang w:val="fr-FR"/>
        </w:rPr>
        <w:tab/>
        <w:t>De charger le Secrétariat général, par l’intermédiaire du Département pour l’efficacité dans la gestion publique, de renforcer le réseau GEALC en tant que mécanisme de coopération technique horizontale et systématique permettant de promouvoir, de multiplier, de renforcer et de dynamiser les échanges visant à développer, à diffuser et à mettre en œuvre les meilleures pratiques en matière de gouvernement électronique dans les Amériques et à promouvoir les politiques et l’utilisation des technologies numériques pour favoriser la transparence, la participation et la reddition de comptes, l’accessibilité, les services numériques axés sur le citoyen, la réduction de la bureaucratie et la simplification des procédures.</w:t>
      </w:r>
    </w:p>
    <w:p w14:paraId="5FA2CD5D" w14:textId="77777777" w:rsidR="000A4802" w:rsidRPr="0026653F" w:rsidRDefault="000A4802" w:rsidP="00C618DD">
      <w:pPr>
        <w:suppressAutoHyphens/>
        <w:rPr>
          <w:color w:val="000000"/>
          <w:szCs w:val="22"/>
          <w:lang w:val="fr-FR"/>
        </w:rPr>
      </w:pPr>
    </w:p>
    <w:p w14:paraId="03AD427A" w14:textId="4BF0EC5C" w:rsidR="000A4802" w:rsidRPr="0026653F" w:rsidRDefault="000A4802" w:rsidP="00C618DD">
      <w:pPr>
        <w:suppressAutoHyphens/>
        <w:ind w:firstLine="720"/>
        <w:rPr>
          <w:bCs/>
          <w:color w:val="000000"/>
          <w:szCs w:val="22"/>
          <w:lang w:val="fr-FR"/>
        </w:rPr>
      </w:pPr>
      <w:r w:rsidRPr="0026653F">
        <w:rPr>
          <w:bCs/>
          <w:color w:val="000000"/>
          <w:szCs w:val="22"/>
          <w:lang w:val="fr-FR"/>
        </w:rPr>
        <w:t>3.</w:t>
      </w:r>
      <w:r w:rsidRPr="0026653F">
        <w:rPr>
          <w:bCs/>
          <w:color w:val="000000"/>
          <w:szCs w:val="22"/>
          <w:lang w:val="fr-FR"/>
        </w:rPr>
        <w:tab/>
        <w:t xml:space="preserve">De demander au Secrétariat général, par l’intermédiaire du Département pour l’efficacité dans la gestion publique, de promouvoir, entre autres initiatives, la formation et les échanges régionaux en matière de gouvernement ouvert, </w:t>
      </w:r>
      <w:r w:rsidR="006B526F" w:rsidRPr="0026653F">
        <w:rPr>
          <w:bCs/>
          <w:color w:val="000000"/>
          <w:szCs w:val="22"/>
          <w:lang w:val="fr-FR"/>
        </w:rPr>
        <w:t>d</w:t>
      </w:r>
      <w:r w:rsidRPr="0026653F">
        <w:rPr>
          <w:bCs/>
          <w:color w:val="000000"/>
          <w:szCs w:val="22"/>
          <w:lang w:val="fr-FR"/>
        </w:rPr>
        <w:t>e gouvernement numérique et d’innovation dans la gestion publique, et d’apporter un soutien technique aux pays qui en font la demande pour la mise en œuvre de solutions de participation numérique des citoyens (</w:t>
      </w:r>
      <w:r w:rsidRPr="0026653F">
        <w:rPr>
          <w:bCs/>
          <w:i/>
          <w:iCs/>
          <w:color w:val="000000"/>
          <w:szCs w:val="22"/>
          <w:lang w:val="fr-FR"/>
        </w:rPr>
        <w:t>e-participation</w:t>
      </w:r>
      <w:r w:rsidRPr="0026653F">
        <w:rPr>
          <w:bCs/>
          <w:color w:val="000000"/>
          <w:szCs w:val="22"/>
          <w:lang w:val="fr-FR"/>
        </w:rPr>
        <w:t>) qui mènent à une gouvernance numérique plus transparente, efficace, créative, innovante et responsable, et qui réponde aux besoins de la société.</w:t>
      </w:r>
    </w:p>
    <w:p w14:paraId="28DC060F" w14:textId="77777777" w:rsidR="000A4802" w:rsidRPr="0026653F" w:rsidRDefault="000A4802" w:rsidP="00C618DD">
      <w:pPr>
        <w:suppressAutoHyphens/>
        <w:rPr>
          <w:color w:val="000000"/>
          <w:szCs w:val="22"/>
          <w:lang w:val="fr-FR"/>
        </w:rPr>
      </w:pPr>
    </w:p>
    <w:p w14:paraId="1BE128B8" w14:textId="320045BE" w:rsidR="000A4802" w:rsidRPr="0026653F" w:rsidRDefault="000A4802" w:rsidP="00C618DD">
      <w:pPr>
        <w:suppressAutoHyphens/>
        <w:ind w:firstLine="720"/>
        <w:rPr>
          <w:bCs/>
          <w:color w:val="000000"/>
          <w:szCs w:val="22"/>
          <w:lang w:val="fr-FR"/>
        </w:rPr>
      </w:pPr>
      <w:r w:rsidRPr="0026653F">
        <w:rPr>
          <w:bCs/>
          <w:color w:val="000000"/>
          <w:szCs w:val="22"/>
          <w:lang w:val="fr-FR"/>
        </w:rPr>
        <w:t>4.</w:t>
      </w:r>
      <w:r w:rsidRPr="0026653F">
        <w:rPr>
          <w:bCs/>
          <w:color w:val="000000"/>
          <w:szCs w:val="22"/>
          <w:lang w:val="fr-FR"/>
        </w:rPr>
        <w:tab/>
        <w:t>De demander instamment au Secrétariat général, par l’intermédiaire du Département pour l’efficacité dans la gestion publique, de fournir des conseils, un accompagnement, un appui technique et, le cas échéant, une gestion de</w:t>
      </w:r>
      <w:r w:rsidR="004935D1" w:rsidRPr="0026653F">
        <w:rPr>
          <w:bCs/>
          <w:color w:val="000000"/>
          <w:szCs w:val="22"/>
          <w:lang w:val="fr-FR"/>
        </w:rPr>
        <w:t>s</w:t>
      </w:r>
      <w:r w:rsidRPr="0026653F">
        <w:rPr>
          <w:bCs/>
          <w:color w:val="000000"/>
          <w:szCs w:val="22"/>
          <w:lang w:val="fr-FR"/>
        </w:rPr>
        <w:t xml:space="preserve"> fonds alloués, aux pays qui en font la demande, pour la mise en œuvre progressive du Programme interaméricain de données en libre accès</w:t>
      </w:r>
      <w:r w:rsidR="009404E2" w:rsidRPr="0026653F">
        <w:rPr>
          <w:bCs/>
          <w:color w:val="000000"/>
          <w:szCs w:val="22"/>
          <w:lang w:val="fr-FR"/>
        </w:rPr>
        <w:t xml:space="preserve"> </w:t>
      </w:r>
      <w:r w:rsidRPr="0026653F">
        <w:rPr>
          <w:bCs/>
          <w:color w:val="000000"/>
          <w:szCs w:val="22"/>
          <w:lang w:val="fr-FR"/>
        </w:rPr>
        <w:t>visant à lutter contre la corruption, lequel a été approuvé par le biais de la résolution AG/RES. 2931 (XLIX-O/19), dont le but est de renforcer les politiques d’ouverture de l’information et d’accroître la capacité des gouvernements et des citoyens en matière de prévention et de lutte contre la corruption par l’utilisation des données en libre accès.</w:t>
      </w:r>
    </w:p>
    <w:p w14:paraId="27E3E852" w14:textId="77777777" w:rsidR="000A4802" w:rsidRPr="0026653F" w:rsidRDefault="000A4802" w:rsidP="00C618DD">
      <w:pPr>
        <w:suppressAutoHyphens/>
        <w:rPr>
          <w:bCs/>
          <w:color w:val="000000"/>
          <w:szCs w:val="22"/>
          <w:lang w:val="fr-FR"/>
        </w:rPr>
      </w:pPr>
    </w:p>
    <w:p w14:paraId="6D546495" w14:textId="3D9AFC89" w:rsidR="000A4802" w:rsidRPr="00E41B29" w:rsidRDefault="000A4802" w:rsidP="00C618DD">
      <w:pPr>
        <w:suppressAutoHyphens/>
        <w:ind w:firstLine="720"/>
        <w:rPr>
          <w:szCs w:val="22"/>
          <w:lang w:val="fr-FR"/>
        </w:rPr>
      </w:pPr>
      <w:r w:rsidRPr="0026653F">
        <w:rPr>
          <w:szCs w:val="22"/>
          <w:lang w:val="fr-FR"/>
        </w:rPr>
        <w:t>5.</w:t>
      </w:r>
      <w:r w:rsidRPr="0026653F">
        <w:rPr>
          <w:b/>
          <w:bCs/>
          <w:szCs w:val="22"/>
          <w:lang w:val="fr-FR"/>
        </w:rPr>
        <w:tab/>
      </w:r>
      <w:r w:rsidRPr="0026653F">
        <w:rPr>
          <w:szCs w:val="22"/>
          <w:lang w:val="fr-FR"/>
        </w:rPr>
        <w:t>De renforcer le Département pour l’efficacité dans la gestion publique au sein de la structure de l’O</w:t>
      </w:r>
      <w:r w:rsidR="0006131C" w:rsidRPr="0026653F">
        <w:rPr>
          <w:szCs w:val="22"/>
          <w:lang w:val="fr-FR"/>
        </w:rPr>
        <w:t xml:space="preserve">EA </w:t>
      </w:r>
      <w:r w:rsidRPr="0026653F">
        <w:rPr>
          <w:szCs w:val="22"/>
          <w:lang w:val="fr-FR"/>
        </w:rPr>
        <w:t>et d’encourager d’autres initiatives s’occupant de la même thématique, tels que le Partenariat pour le Gouvernement ouvert (PGO) qui sont des espaces précieux de coordination et de dialogue régional dans le domaine du gouvernement ouvert afin d’identifier les possibilités de future collaboration concernant des projets de renforcement de la démocratie.</w:t>
      </w:r>
    </w:p>
    <w:p w14:paraId="59A39D51" w14:textId="77777777" w:rsidR="000A4802" w:rsidRPr="00E41B29" w:rsidRDefault="000A4802" w:rsidP="00C618DD">
      <w:pPr>
        <w:suppressAutoHyphens/>
        <w:jc w:val="left"/>
        <w:rPr>
          <w:szCs w:val="22"/>
          <w:lang w:val="fr-FR"/>
        </w:rPr>
      </w:pPr>
    </w:p>
    <w:p w14:paraId="74D7098F" w14:textId="2112A314" w:rsidR="000A4802" w:rsidRPr="0026653F" w:rsidRDefault="000A4802" w:rsidP="00C618DD">
      <w:pPr>
        <w:suppressAutoHyphens/>
        <w:ind w:firstLine="720"/>
        <w:rPr>
          <w:szCs w:val="22"/>
          <w:lang w:val="fr-FR"/>
        </w:rPr>
      </w:pPr>
      <w:r w:rsidRPr="0026653F">
        <w:rPr>
          <w:szCs w:val="22"/>
          <w:lang w:val="fr-FR"/>
        </w:rPr>
        <w:t>6.</w:t>
      </w:r>
      <w:r w:rsidRPr="0026653F">
        <w:rPr>
          <w:szCs w:val="22"/>
          <w:lang w:val="fr-FR"/>
        </w:rPr>
        <w:tab/>
        <w:t xml:space="preserve">D’exhorter le Secrétariat général, par l’intermédiaire du Département pour l’efficacité dans la gestion publique, en tant que </w:t>
      </w:r>
      <w:r w:rsidR="0006131C" w:rsidRPr="0026653F">
        <w:rPr>
          <w:szCs w:val="22"/>
          <w:lang w:val="fr-FR"/>
        </w:rPr>
        <w:t>s</w:t>
      </w:r>
      <w:r w:rsidRPr="0026653F">
        <w:rPr>
          <w:szCs w:val="22"/>
          <w:lang w:val="fr-FR"/>
        </w:rPr>
        <w:t>ecrétariat technique du réseau GEALC, à encourager les actions visant à promouvoir l’accès à l’information, la transformation numérique et la participation numérique des citoyens (</w:t>
      </w:r>
      <w:r w:rsidRPr="0026653F">
        <w:rPr>
          <w:i/>
          <w:iCs/>
          <w:szCs w:val="22"/>
          <w:lang w:val="fr-FR"/>
        </w:rPr>
        <w:t>e-participation</w:t>
      </w:r>
      <w:r w:rsidRPr="0026653F">
        <w:rPr>
          <w:szCs w:val="22"/>
          <w:lang w:val="fr-FR"/>
        </w:rPr>
        <w:t>) dans les États membres face aux effets de la pandémie de COVID-19.</w:t>
      </w:r>
    </w:p>
    <w:p w14:paraId="7896AAAE" w14:textId="77777777" w:rsidR="000A4802" w:rsidRPr="0026653F" w:rsidRDefault="000A4802" w:rsidP="00C618DD">
      <w:pPr>
        <w:suppressAutoHyphens/>
        <w:rPr>
          <w:bCs/>
          <w:szCs w:val="22"/>
          <w:lang w:val="fr-FR"/>
        </w:rPr>
      </w:pPr>
    </w:p>
    <w:p w14:paraId="471EDF9A" w14:textId="047A4ABA" w:rsidR="000A4802" w:rsidRPr="00E41B29" w:rsidRDefault="000A4802" w:rsidP="00C618DD">
      <w:pPr>
        <w:suppressAutoHyphens/>
        <w:ind w:firstLine="720"/>
        <w:rPr>
          <w:szCs w:val="22"/>
          <w:lang w:val="fr-FR"/>
        </w:rPr>
      </w:pPr>
      <w:r w:rsidRPr="0026653F">
        <w:rPr>
          <w:szCs w:val="22"/>
          <w:lang w:val="fr-FR"/>
        </w:rPr>
        <w:t>7.</w:t>
      </w:r>
      <w:r w:rsidRPr="0026653F">
        <w:rPr>
          <w:szCs w:val="22"/>
          <w:lang w:val="fr-FR"/>
        </w:rPr>
        <w:tab/>
        <w:t xml:space="preserve">De lancer un appel aux États membres afin qu’ils mettent au point une norme pour les données </w:t>
      </w:r>
      <w:r w:rsidR="0006131C" w:rsidRPr="0026653F">
        <w:rPr>
          <w:szCs w:val="22"/>
          <w:lang w:val="fr-FR"/>
        </w:rPr>
        <w:t xml:space="preserve">d’envergure </w:t>
      </w:r>
      <w:r w:rsidRPr="0026653F">
        <w:rPr>
          <w:szCs w:val="22"/>
          <w:lang w:val="fr-FR"/>
        </w:rPr>
        <w:t>régionale</w:t>
      </w:r>
      <w:r w:rsidR="0006131C" w:rsidRPr="0026653F">
        <w:rPr>
          <w:szCs w:val="22"/>
          <w:lang w:val="fr-FR"/>
        </w:rPr>
        <w:t>,</w:t>
      </w:r>
      <w:r w:rsidRPr="0026653F">
        <w:rPr>
          <w:szCs w:val="22"/>
          <w:lang w:val="fr-FR"/>
        </w:rPr>
        <w:t xml:space="preserve"> </w:t>
      </w:r>
      <w:r w:rsidR="009C4196" w:rsidRPr="0026653F">
        <w:rPr>
          <w:szCs w:val="22"/>
          <w:lang w:val="fr-FR"/>
        </w:rPr>
        <w:t xml:space="preserve">portant sur </w:t>
      </w:r>
      <w:r w:rsidRPr="0026653F">
        <w:rPr>
          <w:szCs w:val="22"/>
          <w:lang w:val="fr-FR"/>
        </w:rPr>
        <w:t xml:space="preserve">les différentes dimensions des politiques publiques </w:t>
      </w:r>
      <w:r w:rsidR="004935D1" w:rsidRPr="0026653F">
        <w:rPr>
          <w:szCs w:val="22"/>
          <w:lang w:val="fr-FR"/>
        </w:rPr>
        <w:t xml:space="preserve">qui sont </w:t>
      </w:r>
      <w:r w:rsidRPr="0026653F">
        <w:rPr>
          <w:szCs w:val="22"/>
          <w:lang w:val="fr-FR"/>
        </w:rPr>
        <w:t xml:space="preserve">directement ou indirectement </w:t>
      </w:r>
      <w:r w:rsidR="004935D1" w:rsidRPr="0026653F">
        <w:rPr>
          <w:szCs w:val="22"/>
          <w:lang w:val="fr-FR"/>
        </w:rPr>
        <w:t xml:space="preserve">touchées </w:t>
      </w:r>
      <w:r w:rsidRPr="0026653F">
        <w:rPr>
          <w:szCs w:val="22"/>
          <w:lang w:val="fr-FR"/>
        </w:rPr>
        <w:t xml:space="preserve">par la pandémie </w:t>
      </w:r>
      <w:r w:rsidR="009C4196" w:rsidRPr="0026653F">
        <w:rPr>
          <w:szCs w:val="22"/>
          <w:lang w:val="fr-FR"/>
        </w:rPr>
        <w:t xml:space="preserve">de COVID-19 </w:t>
      </w:r>
      <w:r w:rsidRPr="0026653F">
        <w:rPr>
          <w:szCs w:val="22"/>
          <w:lang w:val="fr-FR"/>
        </w:rPr>
        <w:t xml:space="preserve">afin d’obtenir des données </w:t>
      </w:r>
      <w:r w:rsidRPr="0026653F">
        <w:rPr>
          <w:szCs w:val="22"/>
          <w:lang w:val="fr-FR"/>
        </w:rPr>
        <w:lastRenderedPageBreak/>
        <w:t>scientifiques publiques, qui peuvent être systématisées et comparées entre les pays de la région</w:t>
      </w:r>
      <w:r w:rsidR="009C4196" w:rsidRPr="0026653F">
        <w:rPr>
          <w:szCs w:val="22"/>
          <w:lang w:val="fr-FR"/>
        </w:rPr>
        <w:t xml:space="preserve">, à l’appui des évolutions au plan national et des </w:t>
      </w:r>
      <w:r w:rsidRPr="0026653F">
        <w:rPr>
          <w:szCs w:val="22"/>
          <w:lang w:val="fr-FR"/>
        </w:rPr>
        <w:t xml:space="preserve">projets de collaboration entre États, en </w:t>
      </w:r>
      <w:r w:rsidR="009C4196" w:rsidRPr="0026653F">
        <w:rPr>
          <w:szCs w:val="22"/>
          <w:lang w:val="fr-FR"/>
        </w:rPr>
        <w:t xml:space="preserve">tenant compte des </w:t>
      </w:r>
      <w:r w:rsidRPr="0026653F">
        <w:rPr>
          <w:szCs w:val="22"/>
          <w:lang w:val="fr-FR"/>
        </w:rPr>
        <w:t>différents cadres juridiques des pays participants</w:t>
      </w:r>
      <w:r w:rsidR="00BE3299" w:rsidRPr="0026653F">
        <w:rPr>
          <w:szCs w:val="22"/>
          <w:lang w:val="fr-FR"/>
        </w:rPr>
        <w:t>, et d</w:t>
      </w:r>
      <w:r w:rsidRPr="0026653F">
        <w:rPr>
          <w:szCs w:val="22"/>
          <w:lang w:val="fr-FR"/>
        </w:rPr>
        <w:t xml:space="preserve">e continuer à créer des possibilités de dialogue et d’échange de pratiques </w:t>
      </w:r>
      <w:r w:rsidR="009C4196" w:rsidRPr="0026653F">
        <w:rPr>
          <w:szCs w:val="22"/>
          <w:lang w:val="fr-FR"/>
        </w:rPr>
        <w:t xml:space="preserve">optimales </w:t>
      </w:r>
      <w:r w:rsidRPr="0026653F">
        <w:rPr>
          <w:szCs w:val="22"/>
          <w:lang w:val="fr-FR"/>
        </w:rPr>
        <w:t>et de données d’expériences, y compris celles qui intègrent une perspective de</w:t>
      </w:r>
      <w:r w:rsidR="004935D1" w:rsidRPr="0026653F">
        <w:rPr>
          <w:szCs w:val="22"/>
          <w:lang w:val="fr-FR"/>
        </w:rPr>
        <w:t xml:space="preserve"> parité hommes-femmes </w:t>
      </w:r>
      <w:r w:rsidRPr="0026653F">
        <w:rPr>
          <w:szCs w:val="22"/>
          <w:lang w:val="fr-FR"/>
        </w:rPr>
        <w:t>et exigent une participation égale des femmes à la prise de décision</w:t>
      </w:r>
      <w:r w:rsidR="004935D1" w:rsidRPr="0026653F">
        <w:rPr>
          <w:szCs w:val="22"/>
          <w:lang w:val="fr-FR"/>
        </w:rPr>
        <w:t>s</w:t>
      </w:r>
      <w:r w:rsidRPr="0026653F">
        <w:rPr>
          <w:szCs w:val="22"/>
          <w:lang w:val="fr-FR"/>
        </w:rPr>
        <w:t xml:space="preserve"> en réponse à la </w:t>
      </w:r>
      <w:r w:rsidR="009C4196" w:rsidRPr="0026653F">
        <w:rPr>
          <w:szCs w:val="22"/>
          <w:lang w:val="fr-FR"/>
        </w:rPr>
        <w:t xml:space="preserve">pandémie de </w:t>
      </w:r>
      <w:r w:rsidRPr="0026653F">
        <w:rPr>
          <w:szCs w:val="22"/>
          <w:lang w:val="fr-FR"/>
        </w:rPr>
        <w:t xml:space="preserve">COVID-19 et </w:t>
      </w:r>
      <w:r w:rsidR="004935D1" w:rsidRPr="0026653F">
        <w:rPr>
          <w:szCs w:val="22"/>
          <w:lang w:val="fr-FR"/>
        </w:rPr>
        <w:t xml:space="preserve">tirent </w:t>
      </w:r>
      <w:r w:rsidRPr="0026653F">
        <w:rPr>
          <w:szCs w:val="22"/>
          <w:lang w:val="fr-FR"/>
        </w:rPr>
        <w:t>le meilleur parti des principes de gouvernement ouvert.</w:t>
      </w:r>
      <w:r w:rsidRPr="0026653F">
        <w:rPr>
          <w:szCs w:val="22"/>
          <w:u w:val="single"/>
          <w:vertAlign w:val="superscript"/>
          <w:lang w:val="fr-FR"/>
        </w:rPr>
        <w:footnoteReference w:id="64"/>
      </w:r>
      <w:r w:rsidRPr="0026653F">
        <w:rPr>
          <w:szCs w:val="22"/>
          <w:vertAlign w:val="superscript"/>
          <w:lang w:val="fr-FR"/>
        </w:rPr>
        <w:t>/</w:t>
      </w:r>
    </w:p>
    <w:p w14:paraId="067503AC" w14:textId="77777777" w:rsidR="000A4802" w:rsidRPr="0026653F" w:rsidRDefault="000A4802" w:rsidP="00C618DD">
      <w:pPr>
        <w:suppressAutoHyphens/>
        <w:rPr>
          <w:szCs w:val="22"/>
          <w:lang w:val="fr-FR"/>
        </w:rPr>
      </w:pPr>
    </w:p>
    <w:p w14:paraId="521A801A" w14:textId="77777777" w:rsidR="000A4802" w:rsidRPr="0026653F" w:rsidRDefault="000A4802" w:rsidP="00C618DD">
      <w:pPr>
        <w:suppressAutoHyphens/>
        <w:rPr>
          <w:color w:val="000000"/>
          <w:szCs w:val="22"/>
          <w:u w:val="single"/>
          <w:lang w:val="fr-FR"/>
        </w:rPr>
      </w:pPr>
      <w:r w:rsidRPr="0026653F">
        <w:rPr>
          <w:szCs w:val="22"/>
          <w:lang w:val="fr-FR"/>
        </w:rPr>
        <w:t>ix.</w:t>
      </w:r>
      <w:r w:rsidRPr="0026653F">
        <w:rPr>
          <w:szCs w:val="22"/>
          <w:lang w:val="fr-FR"/>
        </w:rPr>
        <w:tab/>
      </w:r>
      <w:r w:rsidRPr="0026653F">
        <w:rPr>
          <w:color w:val="000000"/>
          <w:szCs w:val="22"/>
          <w:u w:val="single"/>
          <w:lang w:val="fr-FR"/>
        </w:rPr>
        <w:t>Renforcement des activités du Programme interaméricain des facilitateurs judiciaires</w:t>
      </w:r>
    </w:p>
    <w:p w14:paraId="5DB13C23" w14:textId="77777777" w:rsidR="000A4802" w:rsidRPr="0026653F" w:rsidRDefault="000A4802" w:rsidP="00C618DD">
      <w:pPr>
        <w:suppressAutoHyphens/>
        <w:rPr>
          <w:color w:val="000000"/>
          <w:szCs w:val="22"/>
          <w:u w:val="single"/>
          <w:lang w:val="fr-FR"/>
        </w:rPr>
      </w:pPr>
    </w:p>
    <w:p w14:paraId="735CEA9F" w14:textId="77227124" w:rsidR="000A4802" w:rsidRPr="0026653F" w:rsidRDefault="000A4802" w:rsidP="00C618DD">
      <w:pPr>
        <w:suppressAutoHyphens/>
        <w:ind w:firstLine="720"/>
        <w:rPr>
          <w:bCs/>
          <w:color w:val="000000"/>
          <w:szCs w:val="22"/>
          <w:lang w:val="fr-FR"/>
        </w:rPr>
      </w:pPr>
      <w:r w:rsidRPr="0026653F">
        <w:rPr>
          <w:bCs/>
          <w:color w:val="000000"/>
          <w:szCs w:val="22"/>
          <w:lang w:val="fr-FR"/>
        </w:rPr>
        <w:t>CONSIDÉRANT que les services de facilitateurs judiciaires promus par le Programme interaméricain de</w:t>
      </w:r>
      <w:r w:rsidR="003A66CB" w:rsidRPr="0026653F">
        <w:rPr>
          <w:bCs/>
          <w:color w:val="000000"/>
          <w:szCs w:val="22"/>
          <w:lang w:val="fr-FR"/>
        </w:rPr>
        <w:t>s</w:t>
      </w:r>
      <w:r w:rsidRPr="0026653F">
        <w:rPr>
          <w:bCs/>
          <w:color w:val="000000"/>
          <w:szCs w:val="22"/>
          <w:lang w:val="fr-FR"/>
        </w:rPr>
        <w:t xml:space="preserve"> facilitateurs judiciaires sont des mécanismes de participation des citoyens en vue de la prévention et du règlement des différends, qui élargissent l’accès à la justice pour la population en situation de vulnérabilité en Argentine, au Costa Rica, à El Salvador, au Guatemala, au Honduras, au Nicaragua, au Panama et au Paraguay, y compris dans des circonstances exceptionnelles de crise,</w:t>
      </w:r>
    </w:p>
    <w:p w14:paraId="4EA1C2C8" w14:textId="77777777" w:rsidR="000A4802" w:rsidRPr="0026653F" w:rsidRDefault="000A4802" w:rsidP="00C618DD">
      <w:pPr>
        <w:suppressAutoHyphens/>
        <w:rPr>
          <w:bCs/>
          <w:color w:val="000000"/>
          <w:szCs w:val="22"/>
          <w:lang w:val="fr-FR"/>
        </w:rPr>
      </w:pPr>
    </w:p>
    <w:p w14:paraId="2EBA5796" w14:textId="60C4978F" w:rsidR="000A4802" w:rsidRPr="0026653F" w:rsidRDefault="000A4802" w:rsidP="00C618DD">
      <w:pPr>
        <w:suppressAutoHyphens/>
        <w:ind w:firstLine="720"/>
        <w:rPr>
          <w:bCs/>
          <w:color w:val="000000"/>
          <w:szCs w:val="22"/>
          <w:lang w:val="fr-FR"/>
        </w:rPr>
      </w:pPr>
      <w:r w:rsidRPr="0026653F">
        <w:rPr>
          <w:bCs/>
          <w:color w:val="000000"/>
          <w:szCs w:val="22"/>
          <w:lang w:val="fr-FR"/>
        </w:rPr>
        <w:t>RAPPELANT la résolution AG/RES. 2931 (XLIX-O/19), qui reconnaît le rôle important que joue le Programme interaméricain de</w:t>
      </w:r>
      <w:r w:rsidR="003A66CB" w:rsidRPr="0026653F">
        <w:rPr>
          <w:bCs/>
          <w:color w:val="000000"/>
          <w:szCs w:val="22"/>
          <w:lang w:val="fr-FR"/>
        </w:rPr>
        <w:t>s</w:t>
      </w:r>
      <w:r w:rsidRPr="0026653F">
        <w:rPr>
          <w:bCs/>
          <w:color w:val="000000"/>
          <w:szCs w:val="22"/>
          <w:lang w:val="fr-FR"/>
        </w:rPr>
        <w:t xml:space="preserve"> facilitateurs judiciaires pour rapprocher le système judiciaire des populations les plus vulnérables du continent américain,</w:t>
      </w:r>
    </w:p>
    <w:p w14:paraId="3DBEE2AB" w14:textId="77777777" w:rsidR="000A4802" w:rsidRPr="0026653F" w:rsidRDefault="000A4802" w:rsidP="00C618DD">
      <w:pPr>
        <w:suppressAutoHyphens/>
        <w:rPr>
          <w:color w:val="000000"/>
          <w:szCs w:val="22"/>
          <w:lang w:val="fr-FR"/>
        </w:rPr>
      </w:pPr>
    </w:p>
    <w:p w14:paraId="5F0A9768" w14:textId="77777777" w:rsidR="000A4802" w:rsidRPr="0026653F" w:rsidRDefault="000A4802" w:rsidP="00C618DD">
      <w:pPr>
        <w:suppressAutoHyphens/>
        <w:rPr>
          <w:color w:val="000000"/>
          <w:szCs w:val="22"/>
          <w:lang w:val="fr-FR"/>
        </w:rPr>
      </w:pPr>
      <w:r w:rsidRPr="0026653F">
        <w:rPr>
          <w:color w:val="000000"/>
          <w:szCs w:val="22"/>
          <w:lang w:val="fr-FR"/>
        </w:rPr>
        <w:t>DÉCIDE :</w:t>
      </w:r>
    </w:p>
    <w:p w14:paraId="345F5017" w14:textId="77777777" w:rsidR="000A4802" w:rsidRPr="0026653F" w:rsidRDefault="000A4802" w:rsidP="00C618DD">
      <w:pPr>
        <w:suppressAutoHyphens/>
        <w:rPr>
          <w:color w:val="000000"/>
          <w:szCs w:val="22"/>
          <w:lang w:val="fr-FR"/>
        </w:rPr>
      </w:pPr>
    </w:p>
    <w:p w14:paraId="47905DFE" w14:textId="70F72C87" w:rsidR="000A4802" w:rsidRPr="0026653F" w:rsidRDefault="000A4802" w:rsidP="00C618DD">
      <w:pPr>
        <w:suppressAutoHyphens/>
        <w:ind w:firstLine="720"/>
        <w:rPr>
          <w:bCs/>
          <w:color w:val="000000"/>
          <w:szCs w:val="22"/>
          <w:lang w:val="fr-FR"/>
        </w:rPr>
      </w:pPr>
      <w:r w:rsidRPr="0026653F">
        <w:rPr>
          <w:bCs/>
          <w:color w:val="000000"/>
          <w:szCs w:val="22"/>
          <w:lang w:val="fr-FR"/>
        </w:rPr>
        <w:t>1.</w:t>
      </w:r>
      <w:r w:rsidRPr="0026653F">
        <w:rPr>
          <w:bCs/>
          <w:color w:val="000000"/>
          <w:szCs w:val="22"/>
          <w:lang w:val="fr-FR"/>
        </w:rPr>
        <w:tab/>
        <w:t>De reconnaître le travail des facilitateurs judiciaires qui, pendant la pandémie de COVID-19, ont poursuivi leurs efforts de facilitation et de réduction des conflits au sein de leurs communautés, ainsi que le travail mené dans le cadre du Programme interaméricain des facilitateurs judiciaires pour promouvoir, aux niveaux national et régional, le rôle du facilitateur judiciaire dans l’autonomisation, l’information et l’accompagnement des membres de leurs communautés pendant les états d’urgence.</w:t>
      </w:r>
    </w:p>
    <w:p w14:paraId="0872B8BC" w14:textId="77777777" w:rsidR="000A4802" w:rsidRPr="0026653F" w:rsidRDefault="000A4802" w:rsidP="00C618DD">
      <w:pPr>
        <w:suppressAutoHyphens/>
        <w:rPr>
          <w:bCs/>
          <w:color w:val="000000"/>
          <w:szCs w:val="22"/>
          <w:lang w:val="fr-FR"/>
        </w:rPr>
      </w:pPr>
    </w:p>
    <w:p w14:paraId="3425C782" w14:textId="6305C543" w:rsidR="000A4802" w:rsidRPr="0026653F" w:rsidRDefault="000A4802" w:rsidP="00C618DD">
      <w:pPr>
        <w:suppressAutoHyphens/>
        <w:ind w:firstLine="720"/>
        <w:rPr>
          <w:bCs/>
          <w:color w:val="000000"/>
          <w:szCs w:val="22"/>
          <w:lang w:val="fr-FR"/>
        </w:rPr>
      </w:pPr>
      <w:r w:rsidRPr="0026653F">
        <w:rPr>
          <w:bCs/>
          <w:color w:val="000000"/>
          <w:szCs w:val="22"/>
          <w:lang w:val="fr-FR"/>
        </w:rPr>
        <w:t>2.</w:t>
      </w:r>
      <w:r w:rsidRPr="0026653F">
        <w:rPr>
          <w:bCs/>
          <w:color w:val="000000"/>
          <w:szCs w:val="22"/>
          <w:lang w:val="fr-FR"/>
        </w:rPr>
        <w:tab/>
        <w:t xml:space="preserve">De prendre note des engagements pris </w:t>
      </w:r>
      <w:r w:rsidR="003A66CB" w:rsidRPr="0026653F">
        <w:rPr>
          <w:bCs/>
          <w:color w:val="000000"/>
          <w:szCs w:val="22"/>
          <w:lang w:val="fr-FR"/>
        </w:rPr>
        <w:t>aux termes de</w:t>
      </w:r>
      <w:r w:rsidRPr="0026653F">
        <w:rPr>
          <w:bCs/>
          <w:color w:val="000000"/>
          <w:szCs w:val="22"/>
          <w:lang w:val="fr-FR"/>
        </w:rPr>
        <w:t xml:space="preserve"> la Déclaration de San José signée le 24 septembre 2019 par le Costa Rica, El Salvador, le Guatemala, le Nicaragua et</w:t>
      </w:r>
      <w:r w:rsidR="003A66CB" w:rsidRPr="0026653F">
        <w:rPr>
          <w:bCs/>
          <w:color w:val="000000"/>
          <w:szCs w:val="22"/>
          <w:lang w:val="fr-FR"/>
        </w:rPr>
        <w:t xml:space="preserve"> le</w:t>
      </w:r>
      <w:r w:rsidRPr="0026653F">
        <w:rPr>
          <w:bCs/>
          <w:color w:val="000000"/>
          <w:szCs w:val="22"/>
          <w:lang w:val="fr-FR"/>
        </w:rPr>
        <w:t xml:space="preserve"> Panama dans le cadre de la Première Réunion interaméricaine </w:t>
      </w:r>
      <w:r w:rsidR="00794D97" w:rsidRPr="0026653F">
        <w:rPr>
          <w:bCs/>
          <w:color w:val="000000"/>
          <w:szCs w:val="22"/>
          <w:lang w:val="fr-FR"/>
        </w:rPr>
        <w:t xml:space="preserve">du </w:t>
      </w:r>
      <w:r w:rsidRPr="0026653F">
        <w:rPr>
          <w:bCs/>
          <w:color w:val="000000"/>
          <w:szCs w:val="22"/>
          <w:lang w:val="fr-FR"/>
        </w:rPr>
        <w:t>service national des facilitateurs judiciaires.</w:t>
      </w:r>
    </w:p>
    <w:p w14:paraId="28639D72" w14:textId="77777777" w:rsidR="000A4802" w:rsidRPr="0026653F" w:rsidRDefault="000A4802" w:rsidP="00C618DD">
      <w:pPr>
        <w:suppressAutoHyphens/>
        <w:rPr>
          <w:color w:val="000000"/>
          <w:szCs w:val="22"/>
          <w:lang w:val="fr-FR"/>
        </w:rPr>
      </w:pPr>
    </w:p>
    <w:p w14:paraId="109BE261" w14:textId="55045995" w:rsidR="000A4802" w:rsidRPr="0026653F" w:rsidRDefault="000A4802" w:rsidP="00C618DD">
      <w:pPr>
        <w:suppressAutoHyphens/>
        <w:ind w:firstLine="720"/>
        <w:rPr>
          <w:color w:val="000000"/>
          <w:szCs w:val="22"/>
          <w:lang w:val="fr-FR"/>
        </w:rPr>
      </w:pPr>
      <w:r w:rsidRPr="0026653F">
        <w:rPr>
          <w:color w:val="000000"/>
          <w:szCs w:val="22"/>
          <w:lang w:val="fr-FR"/>
        </w:rPr>
        <w:t>3.</w:t>
      </w:r>
      <w:r w:rsidRPr="0026653F">
        <w:rPr>
          <w:color w:val="000000"/>
          <w:szCs w:val="22"/>
          <w:lang w:val="fr-FR"/>
        </w:rPr>
        <w:tab/>
        <w:t>De renforcer le P</w:t>
      </w:r>
      <w:r w:rsidR="003A66CB" w:rsidRPr="0026653F">
        <w:rPr>
          <w:color w:val="000000"/>
          <w:szCs w:val="22"/>
          <w:lang w:val="fr-FR"/>
        </w:rPr>
        <w:t xml:space="preserve">rogramme interaméricain des facilitateurs judiciaires </w:t>
      </w:r>
      <w:r w:rsidRPr="0026653F">
        <w:rPr>
          <w:color w:val="000000"/>
          <w:szCs w:val="22"/>
          <w:lang w:val="fr-FR"/>
        </w:rPr>
        <w:t>pour identifier des mécanismes qui assurent l’institutionnalisation d</w:t>
      </w:r>
      <w:r w:rsidR="00153839" w:rsidRPr="0026653F">
        <w:rPr>
          <w:color w:val="000000"/>
          <w:szCs w:val="22"/>
          <w:lang w:val="fr-FR"/>
        </w:rPr>
        <w:t xml:space="preserve">u concept de </w:t>
      </w:r>
      <w:r w:rsidRPr="0026653F">
        <w:rPr>
          <w:color w:val="000000"/>
          <w:szCs w:val="22"/>
          <w:lang w:val="fr-FR"/>
        </w:rPr>
        <w:t xml:space="preserve">facilitateur judiciaire dans les pays concernés et sa pérennisation, y compris </w:t>
      </w:r>
      <w:r w:rsidR="005B150B" w:rsidRPr="0026653F">
        <w:rPr>
          <w:color w:val="000000"/>
          <w:szCs w:val="22"/>
          <w:lang w:val="fr-FR"/>
        </w:rPr>
        <w:t xml:space="preserve">par </w:t>
      </w:r>
      <w:r w:rsidRPr="0026653F">
        <w:rPr>
          <w:color w:val="000000"/>
          <w:szCs w:val="22"/>
          <w:lang w:val="fr-FR"/>
        </w:rPr>
        <w:t>la mise en place de partenariats stratégiques avec des institutions universitaires, des entités nationales et locales, entre autres, afin de parvenir au développement des capacités et au renforcement des compétences des facilitateurs judiciaires au niveau des États bénéficiaires.</w:t>
      </w:r>
    </w:p>
    <w:p w14:paraId="47484D0C" w14:textId="77777777" w:rsidR="000A4802" w:rsidRPr="0026653F" w:rsidRDefault="000A4802" w:rsidP="00C618DD">
      <w:pPr>
        <w:suppressAutoHyphens/>
        <w:rPr>
          <w:color w:val="000000"/>
          <w:szCs w:val="22"/>
          <w:lang w:val="fr-FR"/>
        </w:rPr>
      </w:pPr>
    </w:p>
    <w:p w14:paraId="3BC0ACD6" w14:textId="5FDEEE7B" w:rsidR="000A4802" w:rsidRPr="0026653F" w:rsidRDefault="000A4802" w:rsidP="00C618DD">
      <w:pPr>
        <w:suppressAutoHyphens/>
        <w:ind w:firstLine="720"/>
        <w:rPr>
          <w:bCs/>
          <w:szCs w:val="22"/>
          <w:lang w:val="fr-FR"/>
        </w:rPr>
      </w:pPr>
      <w:r w:rsidRPr="0026653F">
        <w:rPr>
          <w:bCs/>
          <w:color w:val="000000"/>
          <w:szCs w:val="22"/>
          <w:lang w:val="fr-FR"/>
        </w:rPr>
        <w:t>4.</w:t>
      </w:r>
      <w:r w:rsidRPr="0026653F">
        <w:rPr>
          <w:bCs/>
          <w:color w:val="000000"/>
          <w:szCs w:val="22"/>
          <w:lang w:val="fr-FR"/>
        </w:rPr>
        <w:tab/>
        <w:t xml:space="preserve">De demander instamment au Secrétariat général de continuer à soutenir les États membres bénéficiaires du Programme dans le renforcement </w:t>
      </w:r>
      <w:r w:rsidR="00153839" w:rsidRPr="0026653F">
        <w:rPr>
          <w:bCs/>
          <w:color w:val="000000"/>
          <w:szCs w:val="22"/>
          <w:lang w:val="fr-FR"/>
        </w:rPr>
        <w:t xml:space="preserve">du fonctionnement du </w:t>
      </w:r>
      <w:r w:rsidRPr="0026653F">
        <w:rPr>
          <w:bCs/>
          <w:color w:val="000000"/>
          <w:szCs w:val="22"/>
          <w:lang w:val="fr-FR"/>
        </w:rPr>
        <w:t xml:space="preserve">service des facilitateurs judiciaires pendant la pandémie de COVID-19 et ultérieurement, et de continuer à soutenir les États membres qui demandent à établir le service et à former les opérateurs par l’intermédiaire du </w:t>
      </w:r>
      <w:r w:rsidRPr="0026653F">
        <w:rPr>
          <w:bCs/>
          <w:color w:val="000000"/>
          <w:szCs w:val="22"/>
          <w:lang w:val="fr-FR"/>
        </w:rPr>
        <w:lastRenderedPageBreak/>
        <w:t>P</w:t>
      </w:r>
      <w:r w:rsidR="00153839" w:rsidRPr="0026653F">
        <w:rPr>
          <w:bCs/>
          <w:color w:val="000000"/>
          <w:szCs w:val="22"/>
          <w:lang w:val="fr-FR"/>
        </w:rPr>
        <w:t>rogramme</w:t>
      </w:r>
      <w:r w:rsidRPr="0026653F">
        <w:rPr>
          <w:bCs/>
          <w:color w:val="000000"/>
          <w:szCs w:val="22"/>
          <w:lang w:val="fr-FR"/>
        </w:rPr>
        <w:t xml:space="preserve">, en cherchant à </w:t>
      </w:r>
      <w:r w:rsidR="00153839" w:rsidRPr="0026653F">
        <w:rPr>
          <w:bCs/>
          <w:color w:val="000000"/>
          <w:szCs w:val="22"/>
          <w:lang w:val="fr-FR"/>
        </w:rPr>
        <w:t xml:space="preserve">obtenir des </w:t>
      </w:r>
      <w:r w:rsidRPr="0026653F">
        <w:rPr>
          <w:bCs/>
          <w:color w:val="000000"/>
          <w:szCs w:val="22"/>
          <w:lang w:val="fr-FR"/>
        </w:rPr>
        <w:t>fonds spécifiques et en appuyant les efforts de collecte de contributions volontaires pour consolider et élargir les services du P</w:t>
      </w:r>
      <w:r w:rsidR="00153839" w:rsidRPr="0026653F">
        <w:rPr>
          <w:bCs/>
          <w:color w:val="000000"/>
          <w:szCs w:val="22"/>
          <w:lang w:val="fr-FR"/>
        </w:rPr>
        <w:t>rogramme</w:t>
      </w:r>
      <w:r w:rsidRPr="0026653F">
        <w:rPr>
          <w:bCs/>
          <w:color w:val="000000"/>
          <w:szCs w:val="22"/>
          <w:lang w:val="fr-FR"/>
        </w:rPr>
        <w:t>.</w:t>
      </w:r>
    </w:p>
    <w:p w14:paraId="69B361A9" w14:textId="77777777" w:rsidR="000A4802" w:rsidRPr="0026653F" w:rsidRDefault="000A4802" w:rsidP="00C618DD">
      <w:pPr>
        <w:suppressAutoHyphens/>
        <w:jc w:val="left"/>
        <w:rPr>
          <w:szCs w:val="22"/>
          <w:lang w:val="fr-FR"/>
        </w:rPr>
      </w:pPr>
    </w:p>
    <w:p w14:paraId="21B67B05" w14:textId="77777777" w:rsidR="000A4802" w:rsidRPr="0026653F" w:rsidRDefault="000A4802" w:rsidP="00C618DD">
      <w:pPr>
        <w:keepNext/>
        <w:suppressAutoHyphens/>
        <w:rPr>
          <w:szCs w:val="22"/>
          <w:u w:val="single"/>
          <w:lang w:val="fr-FR"/>
        </w:rPr>
      </w:pPr>
      <w:r w:rsidRPr="0026653F">
        <w:rPr>
          <w:szCs w:val="22"/>
          <w:lang w:val="fr-FR"/>
        </w:rPr>
        <w:t xml:space="preserve">x. </w:t>
      </w:r>
      <w:r w:rsidRPr="0026653F">
        <w:rPr>
          <w:szCs w:val="22"/>
          <w:lang w:val="fr-FR"/>
        </w:rPr>
        <w:tab/>
      </w:r>
      <w:r w:rsidRPr="0026653F">
        <w:rPr>
          <w:szCs w:val="22"/>
          <w:u w:val="single"/>
          <w:lang w:val="fr-FR"/>
        </w:rPr>
        <w:t>Coopération technique et missions d’observation des élections</w:t>
      </w:r>
    </w:p>
    <w:p w14:paraId="709A347F" w14:textId="77777777" w:rsidR="000A4802" w:rsidRPr="0026653F" w:rsidRDefault="000A4802" w:rsidP="00C618DD">
      <w:pPr>
        <w:keepNext/>
        <w:suppressAutoHyphens/>
        <w:rPr>
          <w:szCs w:val="22"/>
          <w:lang w:val="fr-FR"/>
        </w:rPr>
      </w:pPr>
    </w:p>
    <w:p w14:paraId="66DCE97D" w14:textId="64A983A8" w:rsidR="000A4802" w:rsidRPr="0026653F" w:rsidRDefault="000A4802" w:rsidP="00C618DD">
      <w:pPr>
        <w:suppressAutoHyphens/>
        <w:ind w:firstLine="720"/>
        <w:rPr>
          <w:szCs w:val="22"/>
          <w:lang w:val="fr-FR"/>
        </w:rPr>
      </w:pPr>
      <w:r w:rsidRPr="0026653F">
        <w:rPr>
          <w:szCs w:val="22"/>
          <w:lang w:val="fr-FR"/>
        </w:rPr>
        <w:t>SOULIGNANT la contribution fondamentale de l’O</w:t>
      </w:r>
      <w:r w:rsidR="0006131C" w:rsidRPr="0026653F">
        <w:rPr>
          <w:szCs w:val="22"/>
          <w:lang w:val="fr-FR"/>
        </w:rPr>
        <w:t xml:space="preserve">EA </w:t>
      </w:r>
      <w:r w:rsidRPr="0026653F">
        <w:rPr>
          <w:szCs w:val="22"/>
          <w:lang w:val="fr-FR"/>
        </w:rPr>
        <w:t xml:space="preserve">au renforcement et au développement des processus et systèmes électoraux dans les États membres par l’intermédiaire des missions d’observation des élections </w:t>
      </w:r>
      <w:r w:rsidR="00153839" w:rsidRPr="0026653F">
        <w:rPr>
          <w:szCs w:val="22"/>
          <w:lang w:val="fr-FR"/>
        </w:rPr>
        <w:t xml:space="preserve">de l'OEA </w:t>
      </w:r>
      <w:r w:rsidRPr="0026653F">
        <w:rPr>
          <w:szCs w:val="22"/>
          <w:lang w:val="fr-FR"/>
        </w:rPr>
        <w:t xml:space="preserve">et de la coopération technique en matière électorale, à la demande des États membres et conformément à la Charte démocratique interaméricaine, à la Déclaration de principes </w:t>
      </w:r>
      <w:r w:rsidR="00153839" w:rsidRPr="0026653F">
        <w:rPr>
          <w:szCs w:val="22"/>
          <w:lang w:val="fr-FR"/>
        </w:rPr>
        <w:t>applicables</w:t>
      </w:r>
      <w:r w:rsidRPr="0026653F">
        <w:rPr>
          <w:szCs w:val="22"/>
          <w:lang w:val="fr-FR"/>
        </w:rPr>
        <w:t xml:space="preserve"> à l’observation internationale des élections et au Code de conduite des observateurs électoraux internationaux,</w:t>
      </w:r>
    </w:p>
    <w:p w14:paraId="43F65C44" w14:textId="77777777" w:rsidR="000A4802" w:rsidRPr="0026653F" w:rsidRDefault="000A4802" w:rsidP="00C618DD">
      <w:pPr>
        <w:suppressAutoHyphens/>
        <w:rPr>
          <w:szCs w:val="22"/>
          <w:lang w:val="fr-FR"/>
        </w:rPr>
      </w:pPr>
    </w:p>
    <w:p w14:paraId="5D3E8035" w14:textId="306E4A74" w:rsidR="000A4802" w:rsidRPr="0026653F" w:rsidRDefault="000A4802" w:rsidP="00C618DD">
      <w:pPr>
        <w:suppressAutoHyphens/>
        <w:rPr>
          <w:bCs/>
          <w:szCs w:val="22"/>
          <w:lang w:val="fr-FR"/>
        </w:rPr>
      </w:pPr>
      <w:r w:rsidRPr="0026653F">
        <w:rPr>
          <w:szCs w:val="22"/>
          <w:lang w:val="fr-FR"/>
        </w:rPr>
        <w:tab/>
      </w:r>
      <w:r w:rsidRPr="0026653F">
        <w:rPr>
          <w:bCs/>
          <w:szCs w:val="22"/>
          <w:lang w:val="fr-FR"/>
        </w:rPr>
        <w:t>RENDANT HOMMAGE au personnel du Département de la coopération électorale et de l’observation des élections, dont le professionnalisme et le dévouement ont permis à l’O</w:t>
      </w:r>
      <w:r w:rsidR="00153839" w:rsidRPr="0026653F">
        <w:rPr>
          <w:bCs/>
          <w:szCs w:val="22"/>
          <w:lang w:val="fr-FR"/>
        </w:rPr>
        <w:t xml:space="preserve">EA </w:t>
      </w:r>
      <w:r w:rsidRPr="0026653F">
        <w:rPr>
          <w:bCs/>
          <w:szCs w:val="22"/>
          <w:lang w:val="fr-FR"/>
        </w:rPr>
        <w:t>de maintenir le déploiement de missions d’observation des élections durant la pandémie de COVID-19,</w:t>
      </w:r>
    </w:p>
    <w:p w14:paraId="41C9537C" w14:textId="77777777" w:rsidR="000A4802" w:rsidRPr="0026653F" w:rsidRDefault="000A4802" w:rsidP="00C618DD">
      <w:pPr>
        <w:suppressAutoHyphens/>
        <w:rPr>
          <w:bCs/>
          <w:szCs w:val="22"/>
          <w:lang w:val="fr-FR"/>
        </w:rPr>
      </w:pPr>
    </w:p>
    <w:p w14:paraId="63949AE7" w14:textId="77777777" w:rsidR="000A4802" w:rsidRPr="0026653F" w:rsidRDefault="000A4802" w:rsidP="00C618DD">
      <w:pPr>
        <w:suppressAutoHyphens/>
        <w:rPr>
          <w:bCs/>
          <w:szCs w:val="22"/>
          <w:lang w:val="fr-FR"/>
        </w:rPr>
      </w:pPr>
      <w:r w:rsidRPr="0026653F">
        <w:rPr>
          <w:bCs/>
          <w:szCs w:val="22"/>
          <w:lang w:val="fr-FR"/>
        </w:rPr>
        <w:tab/>
        <w:t>PRENANT NOTE du Guide pour l’organisation d’élections en temps de pandémie publié par le Secrétariat général,</w:t>
      </w:r>
    </w:p>
    <w:p w14:paraId="57078E79" w14:textId="77777777" w:rsidR="000A4802" w:rsidRPr="0026653F" w:rsidRDefault="000A4802" w:rsidP="00C618DD">
      <w:pPr>
        <w:suppressAutoHyphens/>
        <w:rPr>
          <w:szCs w:val="22"/>
          <w:lang w:val="fr-FR"/>
        </w:rPr>
      </w:pPr>
    </w:p>
    <w:p w14:paraId="57F189C7" w14:textId="22A3F046" w:rsidR="000A4802" w:rsidRPr="0026653F" w:rsidRDefault="000A4802" w:rsidP="00C618DD">
      <w:pPr>
        <w:suppressAutoHyphens/>
        <w:rPr>
          <w:bCs/>
          <w:szCs w:val="22"/>
          <w:lang w:val="fr-FR"/>
        </w:rPr>
      </w:pPr>
      <w:r w:rsidRPr="0026653F">
        <w:rPr>
          <w:szCs w:val="22"/>
          <w:lang w:val="fr-FR"/>
        </w:rPr>
        <w:tab/>
      </w:r>
      <w:r w:rsidRPr="0026653F">
        <w:rPr>
          <w:bCs/>
          <w:szCs w:val="22"/>
          <w:lang w:val="fr-FR"/>
        </w:rPr>
        <w:t>RAPPELANT la résolution AG/RES. 2905 (XLVII-O/17), « Renforcement de la démocratie</w:t>
      </w:r>
      <w:r w:rsidR="00153839" w:rsidRPr="0026653F">
        <w:rPr>
          <w:bCs/>
          <w:szCs w:val="22"/>
          <w:lang w:val="fr-FR"/>
        </w:rPr>
        <w:t> </w:t>
      </w:r>
      <w:r w:rsidRPr="0026653F">
        <w:rPr>
          <w:bCs/>
          <w:szCs w:val="22"/>
          <w:lang w:val="fr-FR"/>
        </w:rPr>
        <w:t>», qui lève les restrictions empêchant l’utilisation de ressources du Fonds ordinaire de l’Organisation pour couvrir les coûts liés aux missions d’observation des élections,</w:t>
      </w:r>
    </w:p>
    <w:p w14:paraId="683F7E9E" w14:textId="77777777" w:rsidR="000A4802" w:rsidRPr="0026653F" w:rsidRDefault="000A4802" w:rsidP="00C618DD">
      <w:pPr>
        <w:suppressAutoHyphens/>
        <w:rPr>
          <w:bCs/>
          <w:szCs w:val="22"/>
          <w:lang w:val="fr-FR"/>
        </w:rPr>
      </w:pPr>
    </w:p>
    <w:p w14:paraId="66E95FBE" w14:textId="122AFEF6" w:rsidR="000A4802" w:rsidRPr="0026653F" w:rsidRDefault="000A4802" w:rsidP="00C618DD">
      <w:pPr>
        <w:suppressAutoHyphens/>
        <w:rPr>
          <w:bCs/>
          <w:szCs w:val="22"/>
          <w:lang w:val="fr-FR"/>
        </w:rPr>
      </w:pPr>
      <w:r w:rsidRPr="0026653F">
        <w:rPr>
          <w:bCs/>
          <w:szCs w:val="22"/>
          <w:lang w:val="fr-FR"/>
        </w:rPr>
        <w:tab/>
        <w:t xml:space="preserve">RÉAFFIRMANT tous les mandats énoncés dans </w:t>
      </w:r>
      <w:r w:rsidR="000E14A1" w:rsidRPr="0026653F">
        <w:rPr>
          <w:bCs/>
          <w:szCs w:val="22"/>
          <w:lang w:val="fr-FR"/>
        </w:rPr>
        <w:t xml:space="preserve">la section xi., « Coopération technique et missions d’observation des élections » de </w:t>
      </w:r>
      <w:r w:rsidRPr="0026653F">
        <w:rPr>
          <w:bCs/>
          <w:szCs w:val="22"/>
          <w:lang w:val="fr-FR"/>
        </w:rPr>
        <w:t>la résolution AG/RES. 2931 (XLIX-O/19), «</w:t>
      </w:r>
      <w:r w:rsidR="00153839" w:rsidRPr="0026653F">
        <w:rPr>
          <w:bCs/>
          <w:szCs w:val="22"/>
          <w:lang w:val="fr-FR"/>
        </w:rPr>
        <w:t> </w:t>
      </w:r>
      <w:r w:rsidRPr="0026653F">
        <w:rPr>
          <w:bCs/>
          <w:szCs w:val="22"/>
          <w:lang w:val="fr-FR"/>
        </w:rPr>
        <w:t>Promotion et renforcement de la démocratie</w:t>
      </w:r>
      <w:r w:rsidR="000E14A1" w:rsidRPr="0026653F">
        <w:rPr>
          <w:bCs/>
          <w:szCs w:val="22"/>
          <w:lang w:val="fr-FR"/>
        </w:rPr>
        <w:t> »,</w:t>
      </w:r>
    </w:p>
    <w:p w14:paraId="220AEEE4" w14:textId="77777777" w:rsidR="000A4802" w:rsidRPr="0026653F" w:rsidRDefault="000A4802" w:rsidP="00C618DD">
      <w:pPr>
        <w:suppressAutoHyphens/>
        <w:rPr>
          <w:bCs/>
          <w:szCs w:val="22"/>
          <w:lang w:val="fr-FR"/>
        </w:rPr>
      </w:pPr>
    </w:p>
    <w:p w14:paraId="187B65C4" w14:textId="77777777" w:rsidR="000A4802" w:rsidRPr="0026653F" w:rsidRDefault="000A4802" w:rsidP="00C618DD">
      <w:pPr>
        <w:suppressAutoHyphens/>
        <w:rPr>
          <w:bCs/>
          <w:szCs w:val="22"/>
          <w:lang w:val="fr-FR"/>
        </w:rPr>
      </w:pPr>
      <w:r w:rsidRPr="0026653F">
        <w:rPr>
          <w:bCs/>
          <w:szCs w:val="22"/>
          <w:lang w:val="fr-FR"/>
        </w:rPr>
        <w:t>DÉCIDE :</w:t>
      </w:r>
    </w:p>
    <w:p w14:paraId="50FBC7E0" w14:textId="77777777" w:rsidR="000A4802" w:rsidRPr="0026653F" w:rsidRDefault="000A4802" w:rsidP="00C618DD">
      <w:pPr>
        <w:suppressAutoHyphens/>
        <w:rPr>
          <w:bCs/>
          <w:szCs w:val="22"/>
          <w:lang w:val="fr-FR"/>
        </w:rPr>
      </w:pPr>
    </w:p>
    <w:p w14:paraId="662FB4A3" w14:textId="77777777" w:rsidR="000A4802" w:rsidRPr="0026653F" w:rsidRDefault="000A4802" w:rsidP="00C618DD">
      <w:pPr>
        <w:suppressAutoHyphens/>
        <w:rPr>
          <w:bCs/>
          <w:szCs w:val="22"/>
          <w:lang w:val="fr-FR"/>
        </w:rPr>
      </w:pPr>
      <w:r w:rsidRPr="0026653F">
        <w:rPr>
          <w:bCs/>
          <w:szCs w:val="22"/>
          <w:lang w:val="fr-FR"/>
        </w:rPr>
        <w:tab/>
        <w:t>1.</w:t>
      </w:r>
      <w:r w:rsidRPr="0026653F">
        <w:rPr>
          <w:bCs/>
          <w:szCs w:val="22"/>
          <w:lang w:val="fr-FR"/>
        </w:rPr>
        <w:tab/>
        <w:t>De demander au Secrétariat général de continuer de diffuser les mesures énoncées dans le Guide pour l’organisation d’élections en temps de pandémie auprès des États membres qui en font la demande.</w:t>
      </w:r>
    </w:p>
    <w:p w14:paraId="4F31D05E" w14:textId="77777777" w:rsidR="000A4802" w:rsidRPr="00E41B29" w:rsidRDefault="000A4802" w:rsidP="00C618DD">
      <w:pPr>
        <w:suppressAutoHyphens/>
        <w:rPr>
          <w:bCs/>
          <w:szCs w:val="22"/>
          <w:lang w:val="fr-FR"/>
        </w:rPr>
      </w:pPr>
    </w:p>
    <w:p w14:paraId="4513895A" w14:textId="19E1702F" w:rsidR="000A4802" w:rsidRPr="0026653F" w:rsidRDefault="000A4802" w:rsidP="00C618DD">
      <w:pPr>
        <w:suppressAutoHyphens/>
        <w:rPr>
          <w:bCs/>
          <w:szCs w:val="22"/>
          <w:lang w:val="fr-FR"/>
        </w:rPr>
      </w:pPr>
      <w:r w:rsidRPr="0026653F">
        <w:rPr>
          <w:bCs/>
          <w:szCs w:val="22"/>
          <w:lang w:val="fr-FR"/>
        </w:rPr>
        <w:tab/>
        <w:t>2.</w:t>
      </w:r>
      <w:r w:rsidRPr="0026653F">
        <w:rPr>
          <w:bCs/>
          <w:szCs w:val="22"/>
          <w:lang w:val="fr-FR"/>
        </w:rPr>
        <w:tab/>
        <w:t xml:space="preserve">D’inviter les bailleurs de fonds à continuer d’apporter leur soutien </w:t>
      </w:r>
      <w:r w:rsidR="0006131C" w:rsidRPr="0026653F">
        <w:rPr>
          <w:bCs/>
          <w:szCs w:val="22"/>
          <w:lang w:val="fr-FR"/>
        </w:rPr>
        <w:t xml:space="preserve">au </w:t>
      </w:r>
      <w:r w:rsidRPr="0026653F">
        <w:rPr>
          <w:bCs/>
          <w:szCs w:val="22"/>
          <w:lang w:val="fr-FR"/>
        </w:rPr>
        <w:t>déploiement de missions d’observation des élections et la mise en œuvre des recommandations contenues dans les rapports issus de ces missions.</w:t>
      </w:r>
    </w:p>
    <w:p w14:paraId="19892E6B" w14:textId="77777777" w:rsidR="000A4802" w:rsidRPr="0026653F" w:rsidRDefault="000A4802" w:rsidP="00C618DD">
      <w:pPr>
        <w:suppressAutoHyphens/>
        <w:rPr>
          <w:szCs w:val="22"/>
          <w:lang w:val="fr-FR"/>
        </w:rPr>
      </w:pPr>
    </w:p>
    <w:p w14:paraId="3EC687DA" w14:textId="77777777" w:rsidR="000A4802" w:rsidRPr="0026653F" w:rsidRDefault="000A4802" w:rsidP="00C618DD">
      <w:pPr>
        <w:suppressAutoHyphens/>
        <w:rPr>
          <w:szCs w:val="22"/>
          <w:lang w:val="fr-FR"/>
        </w:rPr>
      </w:pPr>
      <w:r w:rsidRPr="0026653F">
        <w:rPr>
          <w:szCs w:val="22"/>
          <w:lang w:val="fr-FR"/>
        </w:rPr>
        <w:tab/>
        <w:t>3.</w:t>
      </w:r>
      <w:r w:rsidRPr="0026653F">
        <w:rPr>
          <w:szCs w:val="22"/>
          <w:lang w:val="fr-FR"/>
        </w:rPr>
        <w:tab/>
        <w:t xml:space="preserve">De charger le Secrétariat général de poursuivre ses efforts pour obtenir des fonds à l’appui de la viabilité financière des missions d’observation des élections, </w:t>
      </w:r>
      <w:r w:rsidRPr="0026653F">
        <w:rPr>
          <w:bCs/>
          <w:szCs w:val="22"/>
          <w:lang w:val="fr-FR"/>
        </w:rPr>
        <w:t>et de continuer à renforcer, dans ce contexte, les principes de rationalité, de transparence, d’austérité et de responsabilité.</w:t>
      </w:r>
    </w:p>
    <w:p w14:paraId="61568CE3" w14:textId="77777777" w:rsidR="000A4802" w:rsidRPr="0026653F" w:rsidRDefault="000A4802" w:rsidP="00C618DD">
      <w:pPr>
        <w:suppressAutoHyphens/>
        <w:rPr>
          <w:szCs w:val="22"/>
          <w:lang w:val="fr-FR"/>
        </w:rPr>
      </w:pPr>
    </w:p>
    <w:p w14:paraId="5067C05F" w14:textId="19CD9020" w:rsidR="000A4802" w:rsidRPr="0026653F" w:rsidRDefault="000A4802" w:rsidP="00C618DD">
      <w:pPr>
        <w:suppressAutoHyphens/>
        <w:rPr>
          <w:szCs w:val="22"/>
          <w:u w:val="single"/>
          <w:lang w:val="fr-FR"/>
        </w:rPr>
      </w:pPr>
      <w:r w:rsidRPr="0026653F">
        <w:rPr>
          <w:szCs w:val="22"/>
          <w:lang w:val="fr-FR"/>
        </w:rPr>
        <w:t>xi.</w:t>
      </w:r>
      <w:r w:rsidRPr="0026653F">
        <w:rPr>
          <w:szCs w:val="22"/>
          <w:lang w:val="fr-FR"/>
        </w:rPr>
        <w:tab/>
      </w:r>
      <w:r w:rsidRPr="0026653F">
        <w:rPr>
          <w:szCs w:val="22"/>
          <w:u w:val="single"/>
          <w:lang w:val="fr-FR"/>
        </w:rPr>
        <w:t>Accès à l’information et protection des données personnelles</w:t>
      </w:r>
    </w:p>
    <w:p w14:paraId="374BE989" w14:textId="77777777" w:rsidR="000A4802" w:rsidRPr="0026653F" w:rsidRDefault="000A4802" w:rsidP="00C618DD">
      <w:pPr>
        <w:suppressAutoHyphens/>
        <w:rPr>
          <w:szCs w:val="22"/>
          <w:lang w:val="fr-FR"/>
        </w:rPr>
      </w:pPr>
    </w:p>
    <w:p w14:paraId="764AEB42" w14:textId="5E372736" w:rsidR="000A4802" w:rsidRPr="0026653F" w:rsidRDefault="000A4802" w:rsidP="00C618DD">
      <w:pPr>
        <w:suppressAutoHyphens/>
        <w:ind w:firstLine="720"/>
        <w:rPr>
          <w:bCs/>
          <w:szCs w:val="22"/>
          <w:lang w:val="fr-FR"/>
        </w:rPr>
      </w:pPr>
      <w:r w:rsidRPr="0026653F">
        <w:rPr>
          <w:bCs/>
          <w:szCs w:val="22"/>
          <w:lang w:val="fr-FR"/>
        </w:rPr>
        <w:t>RAPPELANT les mandats des résolutions antérieures de l’Assemblée générale de l’OEA sur l’accès à l’information et la protection des données à caractère personnel, et en particulier ceux énoncés dans la résolution AG/RES. 2905 (XLVII-O/17)</w:t>
      </w:r>
      <w:r w:rsidR="00557C1E" w:rsidRPr="0026653F">
        <w:rPr>
          <w:bCs/>
          <w:szCs w:val="22"/>
          <w:lang w:val="fr-FR"/>
        </w:rPr>
        <w:t>, « </w:t>
      </w:r>
      <w:r w:rsidRPr="0026653F">
        <w:rPr>
          <w:bCs/>
          <w:szCs w:val="22"/>
          <w:lang w:val="fr-FR"/>
        </w:rPr>
        <w:t>Renforcement de la démocratie</w:t>
      </w:r>
      <w:r w:rsidR="00557C1E" w:rsidRPr="0026653F">
        <w:rPr>
          <w:bCs/>
          <w:szCs w:val="22"/>
          <w:lang w:val="fr-FR"/>
        </w:rPr>
        <w:t> »</w:t>
      </w:r>
      <w:r w:rsidRPr="0026653F">
        <w:rPr>
          <w:bCs/>
          <w:szCs w:val="22"/>
          <w:lang w:val="fr-FR"/>
        </w:rPr>
        <w:t>,</w:t>
      </w:r>
    </w:p>
    <w:p w14:paraId="33302F8C" w14:textId="77777777" w:rsidR="000A4802" w:rsidRPr="0026653F" w:rsidRDefault="000A4802" w:rsidP="00C618DD">
      <w:pPr>
        <w:suppressAutoHyphens/>
        <w:rPr>
          <w:bCs/>
          <w:szCs w:val="22"/>
          <w:lang w:val="fr-FR"/>
        </w:rPr>
      </w:pPr>
    </w:p>
    <w:p w14:paraId="5A9CEF57" w14:textId="12C8C71E" w:rsidR="000A4802" w:rsidRPr="0026653F" w:rsidRDefault="000A4802" w:rsidP="00C618DD">
      <w:pPr>
        <w:suppressAutoHyphens/>
        <w:ind w:firstLine="720"/>
        <w:rPr>
          <w:bCs/>
          <w:szCs w:val="22"/>
          <w:lang w:val="fr-FR"/>
        </w:rPr>
      </w:pPr>
      <w:r w:rsidRPr="0026653F">
        <w:rPr>
          <w:bCs/>
          <w:szCs w:val="22"/>
          <w:lang w:val="fr-FR"/>
        </w:rPr>
        <w:lastRenderedPageBreak/>
        <w:t>CONSIDÉRANT que l’</w:t>
      </w:r>
      <w:r w:rsidR="00284EBE" w:rsidRPr="0026653F">
        <w:rPr>
          <w:bCs/>
          <w:szCs w:val="22"/>
          <w:lang w:val="fr-FR"/>
        </w:rPr>
        <w:t>A</w:t>
      </w:r>
      <w:r w:rsidRPr="0026653F">
        <w:rPr>
          <w:bCs/>
          <w:szCs w:val="22"/>
          <w:lang w:val="fr-FR"/>
        </w:rPr>
        <w:t xml:space="preserve">ssemblée du </w:t>
      </w:r>
      <w:bookmarkStart w:id="56" w:name="_Hlk65236825"/>
      <w:r w:rsidRPr="0026653F">
        <w:rPr>
          <w:bCs/>
          <w:szCs w:val="22"/>
          <w:lang w:val="fr-FR"/>
        </w:rPr>
        <w:t>Réseau pour la transparence et l’accès à l’information (RTA)</w:t>
      </w:r>
      <w:bookmarkEnd w:id="56"/>
      <w:r w:rsidRPr="0026653F">
        <w:rPr>
          <w:bCs/>
          <w:szCs w:val="22"/>
          <w:lang w:val="fr-FR"/>
        </w:rPr>
        <w:t xml:space="preserve">, réunie le 12 novembre 2019 </w:t>
      </w:r>
      <w:r w:rsidR="00557C1E" w:rsidRPr="0026653F">
        <w:rPr>
          <w:bCs/>
          <w:szCs w:val="22"/>
          <w:lang w:val="fr-FR"/>
        </w:rPr>
        <w:t xml:space="preserve">à </w:t>
      </w:r>
      <w:r w:rsidRPr="0026653F">
        <w:rPr>
          <w:bCs/>
          <w:szCs w:val="22"/>
          <w:lang w:val="fr-FR"/>
        </w:rPr>
        <w:t xml:space="preserve">Mexico lors de sa </w:t>
      </w:r>
      <w:r w:rsidR="00557C1E" w:rsidRPr="0026653F">
        <w:rPr>
          <w:bCs/>
          <w:szCs w:val="22"/>
          <w:lang w:val="fr-FR"/>
        </w:rPr>
        <w:t xml:space="preserve">dix-huitième réunion, </w:t>
      </w:r>
      <w:r w:rsidR="00A52AEE" w:rsidRPr="0026653F">
        <w:rPr>
          <w:bCs/>
          <w:szCs w:val="22"/>
          <w:lang w:val="fr-FR"/>
        </w:rPr>
        <w:t xml:space="preserve">a déclaré </w:t>
      </w:r>
      <w:r w:rsidRPr="0026653F">
        <w:rPr>
          <w:bCs/>
          <w:szCs w:val="22"/>
          <w:lang w:val="fr-FR"/>
        </w:rPr>
        <w:t>que la garantie de l’accès à l’information est un axe fondamental dans un État démocratique, qui favorise la supervision par les citoyens, la reddition de comptes responsable et encourage la participation des citoyens afin d’exercer une bonne gouvernance</w:t>
      </w:r>
      <w:r w:rsidR="00284EBE" w:rsidRPr="0026653F">
        <w:rPr>
          <w:bCs/>
          <w:szCs w:val="22"/>
          <w:lang w:val="fr-FR"/>
        </w:rPr>
        <w:t>, ce qui</w:t>
      </w:r>
      <w:r w:rsidRPr="0026653F">
        <w:rPr>
          <w:bCs/>
          <w:szCs w:val="22"/>
          <w:lang w:val="fr-FR"/>
        </w:rPr>
        <w:t xml:space="preserve"> a permis de souligner qu’il est essentiel que les États disposent d’organismes qui garantissent l’accès à l’information et de promoteurs de la transparence, dotés d’indépendance et de ressources qui facilitent l’ouverture de la gestion publique afin de renforcer la confiance des citoyens dans les institutions,</w:t>
      </w:r>
    </w:p>
    <w:p w14:paraId="5196C282" w14:textId="77777777" w:rsidR="000A4802" w:rsidRPr="0026653F" w:rsidRDefault="000A4802" w:rsidP="00C618DD">
      <w:pPr>
        <w:suppressAutoHyphens/>
        <w:rPr>
          <w:bCs/>
          <w:szCs w:val="22"/>
          <w:u w:val="single"/>
          <w:lang w:val="fr-FR"/>
        </w:rPr>
      </w:pPr>
    </w:p>
    <w:p w14:paraId="1FB0D044" w14:textId="0E245641" w:rsidR="000A4802" w:rsidRPr="0026653F" w:rsidRDefault="000A4802" w:rsidP="00C618DD">
      <w:pPr>
        <w:suppressAutoHyphens/>
        <w:ind w:firstLine="720"/>
        <w:rPr>
          <w:bCs/>
          <w:szCs w:val="22"/>
          <w:lang w:val="fr-FR"/>
        </w:rPr>
      </w:pPr>
      <w:r w:rsidRPr="0026653F">
        <w:rPr>
          <w:szCs w:val="22"/>
          <w:lang w:val="fr-FR"/>
        </w:rPr>
        <w:t xml:space="preserve">CONSIDÉRANT qu’en 2017 l’Assemblée générale a demandé au Département du droit international, par le truchement de la résolution AG/RES. 2905 (XLVII-O/17), d’identifier en consultation avec les points focaux du Programme interaméricain d’accès à l’information des États membres et en tenant compte des contributions de la société civile, les domaines thématiques dans lesquels une actualisation ou un élargissement de la Loi-type interaméricaine sur l’accès à l’information s’avérerait nécessaire et de transmette les résultats au Comité juridique interaméricain </w:t>
      </w:r>
      <w:r w:rsidR="00A52AEE" w:rsidRPr="0026653F">
        <w:rPr>
          <w:szCs w:val="22"/>
          <w:lang w:val="fr-FR"/>
        </w:rPr>
        <w:t>(CJI) aux fins d’exécution</w:t>
      </w:r>
      <w:r w:rsidRPr="0026653F">
        <w:rPr>
          <w:szCs w:val="22"/>
          <w:lang w:val="fr-FR"/>
        </w:rPr>
        <w:t>,</w:t>
      </w:r>
    </w:p>
    <w:p w14:paraId="5D328EC7" w14:textId="77777777" w:rsidR="000A4802" w:rsidRPr="0026653F" w:rsidRDefault="000A4802" w:rsidP="00C618DD">
      <w:pPr>
        <w:suppressAutoHyphens/>
        <w:autoSpaceDE w:val="0"/>
        <w:autoSpaceDN w:val="0"/>
        <w:adjustRightInd w:val="0"/>
        <w:rPr>
          <w:szCs w:val="22"/>
          <w:lang w:val="fr-FR"/>
        </w:rPr>
      </w:pPr>
    </w:p>
    <w:p w14:paraId="779C4C78" w14:textId="0CA8AAC9" w:rsidR="000A4802" w:rsidRPr="0026653F" w:rsidRDefault="000A4802" w:rsidP="00C618DD">
      <w:pPr>
        <w:suppressAutoHyphens/>
        <w:ind w:firstLine="720"/>
        <w:rPr>
          <w:bCs/>
          <w:szCs w:val="22"/>
          <w:lang w:val="fr-FR"/>
        </w:rPr>
      </w:pPr>
      <w:r w:rsidRPr="0026653F">
        <w:rPr>
          <w:szCs w:val="22"/>
          <w:lang w:val="fr-FR"/>
        </w:rPr>
        <w:t xml:space="preserve">PRENANT EN COMPTE que le Département du droit international, après avoir fait les consultations mentionnées, a élaboré et remis </w:t>
      </w:r>
      <w:r w:rsidR="000E14A1" w:rsidRPr="0026653F">
        <w:rPr>
          <w:szCs w:val="22"/>
          <w:lang w:val="fr-FR"/>
        </w:rPr>
        <w:t xml:space="preserve">au CJI </w:t>
      </w:r>
      <w:r w:rsidRPr="0026653F">
        <w:rPr>
          <w:szCs w:val="22"/>
          <w:lang w:val="fr-FR"/>
        </w:rPr>
        <w:t>un avant-projet de Loi-type 2.0</w:t>
      </w:r>
      <w:r w:rsidR="00A52AEE" w:rsidRPr="0026653F">
        <w:rPr>
          <w:szCs w:val="22"/>
          <w:lang w:val="fr-FR"/>
        </w:rPr>
        <w:t xml:space="preserve">, </w:t>
      </w:r>
      <w:r w:rsidRPr="0026653F">
        <w:rPr>
          <w:szCs w:val="22"/>
          <w:lang w:val="fr-FR"/>
        </w:rPr>
        <w:t>et que le C</w:t>
      </w:r>
      <w:r w:rsidR="00A52AEE" w:rsidRPr="0026653F">
        <w:rPr>
          <w:szCs w:val="22"/>
          <w:lang w:val="fr-FR"/>
        </w:rPr>
        <w:t>JI</w:t>
      </w:r>
      <w:r w:rsidRPr="0026653F">
        <w:rPr>
          <w:szCs w:val="22"/>
          <w:lang w:val="fr-FR"/>
        </w:rPr>
        <w:t>, après avoir examiné l’avant-projet mentionné, a décidé, par le biais de la résolution CJI/RES. 255 (XCVI-O/20) du 6 mars 2020, d’approuver la Proposition de Loi-type interaméricaine 2.0 sur l’accès à l’information (CJI/doc.607/20) et de la transmettre à l’Assemblée générale pour qu’elle en prenne connaissance, qu’elle l’examine et l’approuve,</w:t>
      </w:r>
    </w:p>
    <w:p w14:paraId="422E922D" w14:textId="77777777" w:rsidR="000A4802" w:rsidRPr="0026653F" w:rsidRDefault="000A4802" w:rsidP="00C618DD">
      <w:pPr>
        <w:suppressAutoHyphens/>
        <w:rPr>
          <w:bCs/>
          <w:szCs w:val="22"/>
          <w:lang w:val="fr-FR"/>
        </w:rPr>
      </w:pPr>
    </w:p>
    <w:p w14:paraId="0FAAA87C" w14:textId="77777777" w:rsidR="000A4802" w:rsidRPr="0026653F" w:rsidRDefault="000A4802" w:rsidP="00C618DD">
      <w:pPr>
        <w:suppressAutoHyphens/>
        <w:rPr>
          <w:bCs/>
          <w:szCs w:val="22"/>
          <w:lang w:val="fr-FR"/>
        </w:rPr>
      </w:pPr>
      <w:r w:rsidRPr="0026653F">
        <w:rPr>
          <w:bCs/>
          <w:szCs w:val="22"/>
          <w:lang w:val="fr-FR"/>
        </w:rPr>
        <w:t>DÉCIDE :</w:t>
      </w:r>
    </w:p>
    <w:p w14:paraId="210E5240" w14:textId="77777777" w:rsidR="000A4802" w:rsidRPr="0026653F" w:rsidRDefault="000A4802" w:rsidP="00C618DD">
      <w:pPr>
        <w:suppressAutoHyphens/>
        <w:rPr>
          <w:bCs/>
          <w:szCs w:val="22"/>
          <w:lang w:val="fr-FR"/>
        </w:rPr>
      </w:pPr>
    </w:p>
    <w:p w14:paraId="3D761361" w14:textId="77777777" w:rsidR="000A4802" w:rsidRPr="0026653F" w:rsidRDefault="000A4802" w:rsidP="00C618DD">
      <w:pPr>
        <w:suppressAutoHyphens/>
        <w:ind w:firstLine="706"/>
        <w:rPr>
          <w:bCs/>
          <w:szCs w:val="22"/>
          <w:lang w:val="fr-FR"/>
        </w:rPr>
      </w:pPr>
      <w:r w:rsidRPr="0026653F">
        <w:rPr>
          <w:bCs/>
          <w:szCs w:val="22"/>
          <w:lang w:val="fr-FR"/>
        </w:rPr>
        <w:t>1.</w:t>
      </w:r>
      <w:r w:rsidRPr="0026653F">
        <w:rPr>
          <w:bCs/>
          <w:szCs w:val="22"/>
          <w:lang w:val="fr-FR"/>
        </w:rPr>
        <w:tab/>
        <w:t>De demander instamment aux gouvernements de la région d’appuyer les organes spécialisés dans l’accès à l’information et la transparence et de consolider les politiques publiques qui encouragent la démocratie participative au moyen de l’exercice efficace de ce droit des citoyens.</w:t>
      </w:r>
    </w:p>
    <w:p w14:paraId="75D23791" w14:textId="77777777" w:rsidR="000A4802" w:rsidRPr="0026653F" w:rsidRDefault="000A4802" w:rsidP="00C618DD">
      <w:pPr>
        <w:suppressAutoHyphens/>
        <w:rPr>
          <w:bCs/>
          <w:szCs w:val="22"/>
          <w:lang w:val="fr-FR"/>
        </w:rPr>
      </w:pPr>
    </w:p>
    <w:p w14:paraId="1CAAB2E2" w14:textId="288D53C5" w:rsidR="000A4802" w:rsidRPr="0026653F" w:rsidRDefault="000A4802" w:rsidP="00C618DD">
      <w:pPr>
        <w:suppressAutoHyphens/>
        <w:ind w:firstLine="706"/>
        <w:rPr>
          <w:bCs/>
          <w:szCs w:val="22"/>
          <w:lang w:val="fr-FR"/>
        </w:rPr>
      </w:pPr>
      <w:r w:rsidRPr="0026653F">
        <w:rPr>
          <w:bCs/>
          <w:szCs w:val="22"/>
          <w:lang w:val="fr-FR"/>
        </w:rPr>
        <w:t>2.</w:t>
      </w:r>
      <w:r w:rsidRPr="0026653F">
        <w:rPr>
          <w:bCs/>
          <w:szCs w:val="22"/>
          <w:lang w:val="fr-FR"/>
        </w:rPr>
        <w:tab/>
        <w:t xml:space="preserve">De demander instamment aux gouvernements nationaux de la région de travailler de concert avec les gouvernements locaux afin que les principes de base </w:t>
      </w:r>
      <w:r w:rsidR="00A52AEE" w:rsidRPr="0026653F">
        <w:rPr>
          <w:bCs/>
          <w:szCs w:val="22"/>
          <w:lang w:val="fr-FR"/>
        </w:rPr>
        <w:t xml:space="preserve">sur lesquels repose le </w:t>
      </w:r>
      <w:r w:rsidRPr="0026653F">
        <w:rPr>
          <w:bCs/>
          <w:szCs w:val="22"/>
          <w:lang w:val="fr-FR"/>
        </w:rPr>
        <w:t xml:space="preserve">droit à l’accès à l’information soient uniformes sur l’ensemble du territoire, au-delà des </w:t>
      </w:r>
      <w:r w:rsidR="00A52AEE" w:rsidRPr="0026653F">
        <w:rPr>
          <w:bCs/>
          <w:szCs w:val="22"/>
          <w:lang w:val="fr-FR"/>
        </w:rPr>
        <w:t xml:space="preserve">lieux où </w:t>
      </w:r>
      <w:r w:rsidRPr="0026653F">
        <w:rPr>
          <w:bCs/>
          <w:szCs w:val="22"/>
          <w:lang w:val="fr-FR"/>
        </w:rPr>
        <w:t>le droit est exercé, sans que cela n</w:t>
      </w:r>
      <w:r w:rsidR="00A52AEE" w:rsidRPr="0026653F">
        <w:rPr>
          <w:bCs/>
          <w:szCs w:val="22"/>
          <w:lang w:val="fr-FR"/>
        </w:rPr>
        <w:t xml:space="preserve">e porte atteinte aux </w:t>
      </w:r>
      <w:r w:rsidRPr="0026653F">
        <w:rPr>
          <w:bCs/>
          <w:szCs w:val="22"/>
          <w:lang w:val="fr-FR"/>
        </w:rPr>
        <w:t>autonomies locales (provinciales, étatiques ou municipales) étant donné que l’accès à l’information est un droit de la personne, comme l’a établi la Cour interaméricaine des droits de l’homme.</w:t>
      </w:r>
    </w:p>
    <w:p w14:paraId="5B9D4FA8" w14:textId="77777777" w:rsidR="000A4802" w:rsidRPr="0026653F" w:rsidRDefault="000A4802" w:rsidP="00C618DD">
      <w:pPr>
        <w:suppressAutoHyphens/>
        <w:rPr>
          <w:bCs/>
          <w:szCs w:val="22"/>
          <w:lang w:val="fr-FR"/>
        </w:rPr>
      </w:pPr>
    </w:p>
    <w:p w14:paraId="3D05CBC7" w14:textId="59C1C487" w:rsidR="000A4802" w:rsidRPr="0026653F" w:rsidRDefault="000A4802" w:rsidP="00C618DD">
      <w:pPr>
        <w:suppressAutoHyphens/>
        <w:ind w:firstLine="706"/>
        <w:rPr>
          <w:bCs/>
          <w:szCs w:val="22"/>
          <w:lang w:val="fr-FR"/>
        </w:rPr>
      </w:pPr>
      <w:r w:rsidRPr="0026653F">
        <w:rPr>
          <w:bCs/>
          <w:szCs w:val="22"/>
          <w:lang w:val="fr-FR"/>
        </w:rPr>
        <w:t>3.</w:t>
      </w:r>
      <w:r w:rsidRPr="0026653F">
        <w:rPr>
          <w:bCs/>
          <w:szCs w:val="22"/>
          <w:lang w:val="fr-FR"/>
        </w:rPr>
        <w:tab/>
        <w:t>De demander instamment aux gouvernements de la région que bien qu’il faille prendre des mesures pour contenir l’urgence sanitaire actuelle, il faut tenir compte du caractère de droit de la personne que revêt l’accès à l’information afin de ne pas mettre en œuvre des mesures qui, dans la pratique, annuleraient totalement l’exercice de ce droit, mais plutôt qu’en tenant compte de l’intérêt et de l’ordre public, l’établissement de mesures de transparence dans l’accès à l’information pendant l’urgence sanitaire soit encouragé, et en particulier celles qui seraient liées à la pandémie d</w:t>
      </w:r>
      <w:r w:rsidR="008E0515" w:rsidRPr="0026653F">
        <w:rPr>
          <w:bCs/>
          <w:szCs w:val="22"/>
          <w:lang w:val="fr-FR"/>
        </w:rPr>
        <w:t xml:space="preserve">e </w:t>
      </w:r>
      <w:r w:rsidRPr="0026653F">
        <w:rPr>
          <w:bCs/>
          <w:szCs w:val="22"/>
          <w:lang w:val="fr-FR"/>
        </w:rPr>
        <w:t>COVID-19 et à la protection d’autres droits tels que ceux qui ont rapport à la santé, au travail, à l’éducation, notamment.</w:t>
      </w:r>
    </w:p>
    <w:p w14:paraId="226772C7" w14:textId="77777777" w:rsidR="000A4802" w:rsidRPr="0026653F" w:rsidRDefault="000A4802" w:rsidP="00C618DD">
      <w:pPr>
        <w:suppressAutoHyphens/>
        <w:rPr>
          <w:szCs w:val="22"/>
          <w:lang w:val="fr-FR"/>
        </w:rPr>
      </w:pPr>
    </w:p>
    <w:p w14:paraId="75AAFBD4" w14:textId="0C66A74B" w:rsidR="000A4802" w:rsidRPr="00C618DD" w:rsidRDefault="000A4802" w:rsidP="00C618DD">
      <w:pPr>
        <w:suppressAutoHyphens/>
        <w:ind w:firstLine="706"/>
        <w:rPr>
          <w:szCs w:val="22"/>
          <w:lang w:val="fr-FR"/>
        </w:rPr>
      </w:pPr>
      <w:r w:rsidRPr="0026653F">
        <w:rPr>
          <w:bCs/>
          <w:szCs w:val="22"/>
          <w:lang w:val="fr-FR"/>
        </w:rPr>
        <w:lastRenderedPageBreak/>
        <w:t>4.</w:t>
      </w:r>
      <w:r w:rsidRPr="0026653F">
        <w:rPr>
          <w:bCs/>
          <w:szCs w:val="22"/>
          <w:lang w:val="fr-FR"/>
        </w:rPr>
        <w:tab/>
        <w:t xml:space="preserve">D’approuver la Loi-type interaméricaine 2.0 sur l’accès à l’information et de demander au Comité juridique interaméricain et au Département du droit international, en sa qualité de </w:t>
      </w:r>
      <w:r w:rsidR="00541718" w:rsidRPr="0026653F">
        <w:rPr>
          <w:bCs/>
          <w:szCs w:val="22"/>
          <w:lang w:val="fr-FR"/>
        </w:rPr>
        <w:t>s</w:t>
      </w:r>
      <w:r w:rsidRPr="0026653F">
        <w:rPr>
          <w:bCs/>
          <w:szCs w:val="22"/>
          <w:lang w:val="fr-FR"/>
        </w:rPr>
        <w:t xml:space="preserve">ecrétariat technique de cet organe, de donner à </w:t>
      </w:r>
      <w:r w:rsidR="00D00AA6" w:rsidRPr="0026653F">
        <w:rPr>
          <w:bCs/>
          <w:szCs w:val="22"/>
          <w:lang w:val="fr-FR"/>
        </w:rPr>
        <w:t>cette loi</w:t>
      </w:r>
      <w:r w:rsidRPr="0026653F">
        <w:rPr>
          <w:bCs/>
          <w:szCs w:val="22"/>
          <w:lang w:val="fr-FR"/>
        </w:rPr>
        <w:t xml:space="preserve">-type la plus ample diffusion auprès des divers acteurs intéressés et de continuer d’appuyer les efforts déployés par les États membres qui en font la demande en vue de l’adoption de la loi garantissant l’accès à l’information ou de son adaptation appropriée, en prenant comme référence </w:t>
      </w:r>
      <w:r w:rsidR="00541718" w:rsidRPr="0026653F">
        <w:rPr>
          <w:bCs/>
          <w:szCs w:val="22"/>
          <w:lang w:val="fr-FR"/>
        </w:rPr>
        <w:t>la</w:t>
      </w:r>
      <w:r w:rsidRPr="0026653F">
        <w:rPr>
          <w:bCs/>
          <w:szCs w:val="22"/>
          <w:lang w:val="fr-FR"/>
        </w:rPr>
        <w:t xml:space="preserve"> Loi-type </w:t>
      </w:r>
      <w:r w:rsidR="009C4196" w:rsidRPr="0026653F">
        <w:rPr>
          <w:bCs/>
          <w:szCs w:val="22"/>
          <w:lang w:val="fr-FR"/>
        </w:rPr>
        <w:t xml:space="preserve">interaméricaine </w:t>
      </w:r>
      <w:r w:rsidRPr="0026653F">
        <w:rPr>
          <w:bCs/>
          <w:szCs w:val="22"/>
          <w:lang w:val="fr-FR"/>
        </w:rPr>
        <w:t>2.0.</w:t>
      </w:r>
      <w:r w:rsidRPr="0026653F">
        <w:rPr>
          <w:szCs w:val="22"/>
          <w:u w:val="single"/>
          <w:vertAlign w:val="superscript"/>
          <w:lang w:val="fr-FR"/>
        </w:rPr>
        <w:footnoteReference w:id="65"/>
      </w:r>
      <w:r w:rsidRPr="0026653F">
        <w:rPr>
          <w:szCs w:val="22"/>
          <w:vertAlign w:val="superscript"/>
          <w:lang w:val="fr-FR"/>
        </w:rPr>
        <w:t>/</w:t>
      </w:r>
    </w:p>
    <w:p w14:paraId="3B8BF56B" w14:textId="77777777" w:rsidR="00357EBF" w:rsidRPr="0026653F" w:rsidRDefault="00357EBF" w:rsidP="00C618DD">
      <w:pPr>
        <w:suppressAutoHyphens/>
        <w:rPr>
          <w:szCs w:val="22"/>
          <w:lang w:val="fr-FR"/>
        </w:rPr>
      </w:pPr>
    </w:p>
    <w:p w14:paraId="0352D806" w14:textId="77777777" w:rsidR="00357EBF" w:rsidRPr="0026653F" w:rsidRDefault="00357EBF" w:rsidP="00C618DD">
      <w:pPr>
        <w:suppressAutoHyphens/>
        <w:rPr>
          <w:szCs w:val="22"/>
          <w:lang w:val="fr-FR"/>
        </w:rPr>
      </w:pPr>
    </w:p>
    <w:p w14:paraId="1C3622F7" w14:textId="77777777" w:rsidR="000A4802" w:rsidRPr="0026653F" w:rsidRDefault="000A4802" w:rsidP="00C618DD">
      <w:pPr>
        <w:suppressAutoHyphens/>
        <w:jc w:val="center"/>
        <w:rPr>
          <w:szCs w:val="22"/>
          <w:lang w:val="fr-FR"/>
        </w:rPr>
      </w:pPr>
      <w:r w:rsidRPr="0026653F">
        <w:rPr>
          <w:szCs w:val="22"/>
          <w:lang w:val="fr-FR"/>
        </w:rPr>
        <w:t>II. SUIVI ET RAPPORTS</w:t>
      </w:r>
    </w:p>
    <w:p w14:paraId="63E82DD4" w14:textId="77777777" w:rsidR="000A4802" w:rsidRPr="0026653F" w:rsidRDefault="000A4802" w:rsidP="00C618DD">
      <w:pPr>
        <w:suppressAutoHyphens/>
        <w:jc w:val="left"/>
        <w:rPr>
          <w:szCs w:val="22"/>
          <w:lang w:val="fr-FR"/>
        </w:rPr>
      </w:pPr>
    </w:p>
    <w:p w14:paraId="5D331586" w14:textId="77777777" w:rsidR="000A4802" w:rsidRPr="0026653F" w:rsidRDefault="000A4802" w:rsidP="00C618DD">
      <w:pPr>
        <w:suppressAutoHyphens/>
        <w:rPr>
          <w:szCs w:val="22"/>
          <w:lang w:val="fr-FR"/>
        </w:rPr>
      </w:pPr>
      <w:r w:rsidRPr="0026653F">
        <w:rPr>
          <w:szCs w:val="22"/>
          <w:lang w:val="fr-FR"/>
        </w:rPr>
        <w:t>DÉCIDE :</w:t>
      </w:r>
    </w:p>
    <w:p w14:paraId="0BCDAB05" w14:textId="77777777" w:rsidR="000A4802" w:rsidRPr="0026653F" w:rsidRDefault="000A4802" w:rsidP="00C618DD">
      <w:pPr>
        <w:suppressAutoHyphens/>
        <w:rPr>
          <w:szCs w:val="22"/>
          <w:lang w:val="fr-FR"/>
        </w:rPr>
      </w:pPr>
    </w:p>
    <w:p w14:paraId="6C26A386" w14:textId="77777777" w:rsidR="000A4802" w:rsidRPr="0026653F" w:rsidRDefault="000A4802" w:rsidP="00C618DD">
      <w:pPr>
        <w:suppressAutoHyphens/>
        <w:ind w:firstLine="709"/>
        <w:rPr>
          <w:szCs w:val="22"/>
          <w:lang w:val="fr-FR"/>
        </w:rPr>
      </w:pPr>
      <w:r w:rsidRPr="0026653F">
        <w:rPr>
          <w:szCs w:val="22"/>
          <w:lang w:val="fr-FR"/>
        </w:rPr>
        <w:t>1.</w:t>
      </w:r>
      <w:r w:rsidRPr="0026653F">
        <w:rPr>
          <w:szCs w:val="22"/>
          <w:lang w:val="fr-FR"/>
        </w:rPr>
        <w:tab/>
        <w:t>De demander au Secrétariat général, par l’intermédiaire des services responsables du suivi et de l’exécution des activités en lien avec l’objet de la présente résolution, de présenter en temps opportun le plan des activités qui auront lieu durant la période 2020-2021 aux fins de consultation ou de supervision adéquate par les États membres.</w:t>
      </w:r>
    </w:p>
    <w:p w14:paraId="215C3B2D" w14:textId="77777777" w:rsidR="000A4802" w:rsidRPr="0026653F" w:rsidRDefault="000A4802" w:rsidP="00C618DD">
      <w:pPr>
        <w:suppressAutoHyphens/>
        <w:rPr>
          <w:szCs w:val="22"/>
          <w:lang w:val="fr-FR"/>
        </w:rPr>
      </w:pPr>
    </w:p>
    <w:p w14:paraId="6A56EB9C" w14:textId="77777777" w:rsidR="000A4802" w:rsidRPr="0026653F" w:rsidRDefault="000A4802" w:rsidP="00C618DD">
      <w:pPr>
        <w:suppressAutoHyphens/>
        <w:ind w:firstLine="709"/>
        <w:rPr>
          <w:szCs w:val="22"/>
          <w:lang w:val="fr-FR"/>
        </w:rPr>
      </w:pPr>
      <w:r w:rsidRPr="0026653F">
        <w:rPr>
          <w:szCs w:val="22"/>
          <w:lang w:val="fr-FR"/>
        </w:rPr>
        <w:t>2.</w:t>
      </w:r>
      <w:r w:rsidRPr="0026653F">
        <w:rPr>
          <w:szCs w:val="22"/>
          <w:lang w:val="fr-FR"/>
        </w:rPr>
        <w:tab/>
      </w:r>
      <w:r w:rsidRPr="0026653F">
        <w:rPr>
          <w:color w:val="000000"/>
          <w:szCs w:val="22"/>
          <w:lang w:val="fr-FR"/>
        </w:rPr>
        <w:t xml:space="preserve">De demander au Conseil permanent de faire rapport à l’Assemblée générale, lors de sa cinquante-et-unième session ordinaire, sur la mise en œuvre de la présente résolution, </w:t>
      </w:r>
      <w:r w:rsidRPr="0026653F">
        <w:rPr>
          <w:szCs w:val="22"/>
          <w:lang w:val="fr-FR"/>
        </w:rPr>
        <w:t>et d’établir que la mise en œuvre des activités qui y sont prévues dépendra de la disponibilité des ressources financières inscrites à ce titre dans le programme-budget de l’Organisation, ainsi que d’autres ressources.</w:t>
      </w:r>
    </w:p>
    <w:p w14:paraId="18B323C6" w14:textId="77777777" w:rsidR="0058283B" w:rsidRDefault="0058283B" w:rsidP="00C618DD">
      <w:pPr>
        <w:jc w:val="left"/>
        <w:rPr>
          <w:color w:val="000000"/>
          <w:szCs w:val="22"/>
          <w:lang w:val="fr-FR"/>
        </w:rPr>
      </w:pPr>
    </w:p>
    <w:p w14:paraId="2399BDB4" w14:textId="164CBB1E" w:rsidR="000A4802" w:rsidRPr="0026653F" w:rsidRDefault="000A4802" w:rsidP="00C618DD">
      <w:pPr>
        <w:jc w:val="left"/>
        <w:rPr>
          <w:color w:val="000000"/>
          <w:szCs w:val="22"/>
          <w:lang w:val="fr-FR"/>
        </w:rPr>
      </w:pPr>
      <w:r w:rsidRPr="0026653F">
        <w:rPr>
          <w:color w:val="000000"/>
          <w:szCs w:val="22"/>
          <w:lang w:val="fr-FR"/>
        </w:rPr>
        <w:br w:type="page"/>
      </w:r>
    </w:p>
    <w:p w14:paraId="5C0F69CC" w14:textId="77777777" w:rsidR="000A4802" w:rsidRPr="00C618DD" w:rsidRDefault="000A4802" w:rsidP="00C618DD">
      <w:pPr>
        <w:jc w:val="center"/>
        <w:rPr>
          <w:sz w:val="20"/>
          <w:lang w:val="fr-FR"/>
        </w:rPr>
      </w:pPr>
      <w:r w:rsidRPr="00C618DD">
        <w:rPr>
          <w:sz w:val="20"/>
          <w:lang w:val="fr-FR"/>
        </w:rPr>
        <w:lastRenderedPageBreak/>
        <w:t>NOTES DE BAS DE PAGE</w:t>
      </w:r>
    </w:p>
    <w:p w14:paraId="565A94EB" w14:textId="77777777" w:rsidR="000A4802" w:rsidRPr="00C618DD" w:rsidRDefault="000A4802" w:rsidP="00C618DD">
      <w:pPr>
        <w:rPr>
          <w:sz w:val="20"/>
          <w:lang w:val="fr-FR"/>
        </w:rPr>
      </w:pPr>
    </w:p>
    <w:p w14:paraId="6C0FE518" w14:textId="77777777" w:rsidR="000A4802" w:rsidRPr="00C618DD" w:rsidRDefault="000A4802" w:rsidP="00C618DD">
      <w:pPr>
        <w:rPr>
          <w:sz w:val="20"/>
          <w:lang w:val="fr-FR"/>
        </w:rPr>
      </w:pPr>
    </w:p>
    <w:p w14:paraId="38D4AEDF" w14:textId="77777777" w:rsidR="000A4802" w:rsidRPr="00C618DD" w:rsidRDefault="000A4802" w:rsidP="00C618DD">
      <w:pPr>
        <w:ind w:firstLine="720"/>
        <w:rPr>
          <w:sz w:val="20"/>
          <w:lang w:val="fr-FR"/>
        </w:rPr>
      </w:pPr>
      <w:r w:rsidRPr="00C618DD">
        <w:rPr>
          <w:sz w:val="20"/>
          <w:lang w:val="fr-FR"/>
        </w:rPr>
        <w:t>1.</w:t>
      </w:r>
      <w:r w:rsidRPr="00C618DD">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5245833E" w14:textId="77777777" w:rsidR="000A4802" w:rsidRPr="00C618DD" w:rsidRDefault="000A4802" w:rsidP="00C618DD">
      <w:pPr>
        <w:rPr>
          <w:sz w:val="20"/>
          <w:lang w:val="fr-FR"/>
        </w:rPr>
      </w:pPr>
    </w:p>
    <w:p w14:paraId="4FC8C062" w14:textId="77777777" w:rsidR="000A4802" w:rsidRPr="00C618DD" w:rsidRDefault="000A4802" w:rsidP="00C618DD">
      <w:pPr>
        <w:ind w:firstLine="720"/>
        <w:rPr>
          <w:sz w:val="20"/>
          <w:lang w:val="fr-FR"/>
        </w:rPr>
      </w:pPr>
      <w:r w:rsidRPr="00C618DD">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638947CA" w14:textId="77777777" w:rsidR="000A4802" w:rsidRPr="00C618DD" w:rsidRDefault="000A4802" w:rsidP="00C618DD">
      <w:pPr>
        <w:rPr>
          <w:sz w:val="20"/>
          <w:lang w:val="fr-FR"/>
        </w:rPr>
      </w:pPr>
    </w:p>
    <w:p w14:paraId="24940892" w14:textId="77777777" w:rsidR="000A4802" w:rsidRPr="00C618DD" w:rsidRDefault="000A4802" w:rsidP="00C618DD">
      <w:pPr>
        <w:ind w:firstLine="720"/>
        <w:rPr>
          <w:sz w:val="20"/>
          <w:lang w:val="fr-FR"/>
        </w:rPr>
      </w:pPr>
      <w:r w:rsidRPr="00C618DD">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5E198A00" w14:textId="77777777" w:rsidR="000A4802" w:rsidRPr="00C618DD" w:rsidRDefault="000A4802" w:rsidP="00C618DD">
      <w:pPr>
        <w:rPr>
          <w:sz w:val="20"/>
          <w:lang w:val="fr-FR"/>
        </w:rPr>
      </w:pPr>
    </w:p>
    <w:p w14:paraId="3ED55CC9" w14:textId="592CA157" w:rsidR="004D33E9" w:rsidRPr="00C618DD" w:rsidRDefault="000A4802" w:rsidP="00C618DD">
      <w:pPr>
        <w:ind w:firstLine="720"/>
        <w:rPr>
          <w:sz w:val="20"/>
          <w:lang w:val="fr-FR"/>
        </w:rPr>
      </w:pPr>
      <w:r w:rsidRPr="00C618DD">
        <w:rPr>
          <w:sz w:val="20"/>
          <w:lang w:val="fr-FR"/>
        </w:rPr>
        <w:t>2.</w:t>
      </w:r>
      <w:r w:rsidRPr="00C618DD">
        <w:rPr>
          <w:sz w:val="20"/>
          <w:lang w:val="fr-FR"/>
        </w:rPr>
        <w:tab/>
      </w:r>
      <w:r w:rsidR="004D33E9" w:rsidRPr="00C618DD">
        <w:rPr>
          <w:sz w:val="20"/>
          <w:lang w:val="fr-FR"/>
        </w:rPr>
        <w:t>… de l'Assemblée générale.</w:t>
      </w:r>
    </w:p>
    <w:p w14:paraId="5B4FC378" w14:textId="77777777" w:rsidR="004D33E9" w:rsidRPr="00C618DD" w:rsidRDefault="004D33E9" w:rsidP="00E41B29">
      <w:pPr>
        <w:rPr>
          <w:sz w:val="20"/>
          <w:lang w:val="fr-FR"/>
        </w:rPr>
      </w:pPr>
    </w:p>
    <w:p w14:paraId="14D00E59" w14:textId="600A1AD8" w:rsidR="000A4802" w:rsidRPr="00C618DD" w:rsidRDefault="004D33E9" w:rsidP="00C618DD">
      <w:pPr>
        <w:ind w:firstLine="720"/>
        <w:rPr>
          <w:sz w:val="20"/>
          <w:lang w:val="fr-FR"/>
        </w:rPr>
      </w:pPr>
      <w:r w:rsidRPr="00C618DD">
        <w:rPr>
          <w:sz w:val="20"/>
          <w:lang w:val="fr-FR"/>
        </w:rPr>
        <w:t>3.</w:t>
      </w:r>
      <w:r w:rsidRPr="00C618DD">
        <w:rPr>
          <w:sz w:val="20"/>
          <w:lang w:val="fr-FR"/>
        </w:rPr>
        <w:tab/>
      </w:r>
      <w:r w:rsidR="000A4802" w:rsidRPr="00C618DD">
        <w:rPr>
          <w:sz w:val="20"/>
          <w:lang w:val="fr-FR"/>
        </w:rPr>
        <w:t>… Lima : la “Gouvernance démocratique face à la corruption”, ou d’autres documents, déclarations, communiqués ou résolutions émanant de ce Sommet, parce qu’il pas été impliqué dans la négociation de ceux-ci.</w:t>
      </w:r>
    </w:p>
    <w:p w14:paraId="0CC338D6" w14:textId="77777777" w:rsidR="000A4802" w:rsidRPr="00C618DD" w:rsidRDefault="000A4802" w:rsidP="00C618DD">
      <w:pPr>
        <w:rPr>
          <w:sz w:val="20"/>
          <w:lang w:val="fr-FR"/>
        </w:rPr>
      </w:pPr>
    </w:p>
    <w:p w14:paraId="38682EAD" w14:textId="2036702F" w:rsidR="000A4802" w:rsidRPr="00C618DD" w:rsidRDefault="004D33E9" w:rsidP="00C618DD">
      <w:pPr>
        <w:ind w:firstLine="720"/>
        <w:rPr>
          <w:sz w:val="20"/>
          <w:lang w:val="fr-FR"/>
        </w:rPr>
      </w:pPr>
      <w:r w:rsidRPr="00C618DD">
        <w:rPr>
          <w:sz w:val="20"/>
          <w:lang w:val="fr-FR"/>
        </w:rPr>
        <w:t>4</w:t>
      </w:r>
      <w:r w:rsidR="000A4802" w:rsidRPr="00C618DD">
        <w:rPr>
          <w:sz w:val="20"/>
          <w:lang w:val="fr-FR"/>
        </w:rPr>
        <w:t>.</w:t>
      </w:r>
      <w:r w:rsidR="000A4802" w:rsidRPr="00C618DD">
        <w:rPr>
          <w:sz w:val="20"/>
          <w:lang w:val="fr-FR"/>
        </w:rPr>
        <w:tab/>
        <w:t>… promouvoir la réalisation progressive des droits économiques, sociaux et culturels. En outre, la Convention relative aux droits de l’enfant ne crée pas le « droit à la survie et au développement » mais plutôt une obligation pour les « États parties [d’assurer] dans toute la mesure possible la survie et le développement de l’enfant ».</w:t>
      </w:r>
    </w:p>
    <w:p w14:paraId="0FD380E3" w14:textId="77777777" w:rsidR="000A4802" w:rsidRPr="00C618DD" w:rsidRDefault="000A4802" w:rsidP="00C618DD">
      <w:pPr>
        <w:rPr>
          <w:sz w:val="20"/>
          <w:lang w:val="fr-FR"/>
        </w:rPr>
      </w:pPr>
    </w:p>
    <w:p w14:paraId="4004365E" w14:textId="637A6BED" w:rsidR="000A4802" w:rsidRPr="00C618DD" w:rsidRDefault="004D33E9" w:rsidP="00C618DD">
      <w:pPr>
        <w:ind w:firstLine="720"/>
        <w:rPr>
          <w:sz w:val="20"/>
          <w:lang w:val="fr-FR"/>
        </w:rPr>
      </w:pPr>
      <w:r w:rsidRPr="00C618DD">
        <w:rPr>
          <w:sz w:val="20"/>
          <w:lang w:val="fr-FR"/>
        </w:rPr>
        <w:t>7</w:t>
      </w:r>
      <w:r w:rsidR="000A4802" w:rsidRPr="00C618DD">
        <w:rPr>
          <w:sz w:val="20"/>
          <w:lang w:val="fr-FR"/>
        </w:rPr>
        <w:t>.</w:t>
      </w:r>
      <w:r w:rsidR="000A4802" w:rsidRPr="00C618DD">
        <w:rPr>
          <w:sz w:val="20"/>
          <w:lang w:val="fr-FR"/>
        </w:rPr>
        <w:tab/>
        <w:t>… recevoir et de communiquer des informations.</w:t>
      </w:r>
    </w:p>
    <w:p w14:paraId="7CA68CEF" w14:textId="77777777" w:rsidR="000A4802" w:rsidRPr="00C618DD" w:rsidRDefault="000A4802" w:rsidP="00C618DD">
      <w:pPr>
        <w:rPr>
          <w:sz w:val="20"/>
          <w:lang w:val="fr-FR"/>
        </w:rPr>
      </w:pPr>
    </w:p>
    <w:p w14:paraId="1C79B665" w14:textId="6A8B4D6B" w:rsidR="000A4802" w:rsidRPr="00C618DD" w:rsidRDefault="004D33E9" w:rsidP="00C618DD">
      <w:pPr>
        <w:ind w:firstLine="720"/>
        <w:rPr>
          <w:sz w:val="20"/>
          <w:lang w:val="fr-FR"/>
        </w:rPr>
      </w:pPr>
      <w:r w:rsidRPr="00C618DD">
        <w:rPr>
          <w:sz w:val="20"/>
          <w:lang w:val="fr-FR"/>
        </w:rPr>
        <w:t>8</w:t>
      </w:r>
      <w:r w:rsidR="000A4802" w:rsidRPr="00C618DD">
        <w:rPr>
          <w:sz w:val="20"/>
          <w:lang w:val="fr-FR"/>
        </w:rPr>
        <w:t>.</w:t>
      </w:r>
      <w:r w:rsidR="000A4802" w:rsidRPr="00C618DD">
        <w:rPr>
          <w:sz w:val="20"/>
          <w:lang w:val="fr-FR"/>
        </w:rPr>
        <w:tab/>
        <w:t>… promouvant l’égalité des chances pour tous.</w:t>
      </w:r>
    </w:p>
    <w:p w14:paraId="0457070E" w14:textId="77777777" w:rsidR="000A4802" w:rsidRPr="00C618DD" w:rsidRDefault="000A4802" w:rsidP="00C618DD">
      <w:pPr>
        <w:rPr>
          <w:sz w:val="20"/>
          <w:lang w:val="fr-FR"/>
        </w:rPr>
      </w:pPr>
    </w:p>
    <w:p w14:paraId="19B646B5" w14:textId="7D25F867" w:rsidR="000A4802" w:rsidRPr="00C618DD" w:rsidRDefault="004D33E9" w:rsidP="00C618DD">
      <w:pPr>
        <w:ind w:firstLine="720"/>
        <w:rPr>
          <w:sz w:val="20"/>
          <w:lang w:val="fr-FR"/>
        </w:rPr>
      </w:pPr>
      <w:r w:rsidRPr="00C618DD">
        <w:rPr>
          <w:sz w:val="20"/>
          <w:lang w:val="fr-FR"/>
        </w:rPr>
        <w:t>9</w:t>
      </w:r>
      <w:r w:rsidR="000A4802" w:rsidRPr="00C618DD">
        <w:rPr>
          <w:sz w:val="20"/>
          <w:lang w:val="fr-FR"/>
        </w:rPr>
        <w:t>.</w:t>
      </w:r>
      <w:r w:rsidR="000A4802" w:rsidRPr="00C618DD">
        <w:rPr>
          <w:sz w:val="20"/>
          <w:lang w:val="fr-FR"/>
        </w:rPr>
        <w:tab/>
        <w:t>… gouvernementales sont un élément essentiel de la transparence dont l’importance ne peut être surestimée. Cependant, le droit international relatif aux droits de la personne ne prévoit pas de droit d’accès à l’information. En outre, les États-Unis ont quelques inquiétudes quant aux détails de la Loi-type</w:t>
      </w:r>
      <w:r w:rsidR="009C4196" w:rsidRPr="00C618DD">
        <w:rPr>
          <w:sz w:val="20"/>
          <w:lang w:val="fr-FR"/>
        </w:rPr>
        <w:t xml:space="preserve"> interaméricaine</w:t>
      </w:r>
      <w:r w:rsidR="000A4802" w:rsidRPr="00C618DD">
        <w:rPr>
          <w:sz w:val="20"/>
          <w:lang w:val="fr-FR"/>
        </w:rPr>
        <w:t xml:space="preserve"> 2.0 sur l’accès à l’information, notamment parce qu’elle semble sous-estimer considérablement les charges pratiques qu’implique la mise en œuvre d’un programme d’accès à l’information, d’une manière qui pourrait surcharger les systèmes administratifs au point de compromettre l’objectif de promotion de la transparence ; que les dispositions quelque peu vagues proposant l’application de la loi-type non seulement aux entités gouvernementales mais aussi aux entités privées, y compris les partis politiques, les syndicats et les ONG, au moins dans la mesure où elles reçoivent des fonds publics, font surgir une forte préoccupation dans une région où un certain nombre de pays accusent un bilan délicat quant à l’espace opérationnel de la société civile, et où la mise en œuvre susciterait des inquiétudes pour la vie privée et la liberté d’expression, entre autres questions ; et que diverses modifications pourraient s’imposer au titre d’autres aspects de la Loi-type </w:t>
      </w:r>
      <w:r w:rsidR="009C4196" w:rsidRPr="00C618DD">
        <w:rPr>
          <w:sz w:val="20"/>
          <w:lang w:val="fr-FR"/>
        </w:rPr>
        <w:t xml:space="preserve">interaméricaine </w:t>
      </w:r>
      <w:r w:rsidR="000A4802" w:rsidRPr="00C618DD">
        <w:rPr>
          <w:sz w:val="20"/>
          <w:lang w:val="fr-FR"/>
        </w:rPr>
        <w:t>2.0, tels que le champ d’action des autorités de l’organisme garant et les éléments susceptibles d’échapper à l’obligation de divulgation, afin de trouver un juste équilibre entre la transparence et la protection des intérêts légitimes du gouvernement et des tiers.</w:t>
      </w:r>
    </w:p>
    <w:p w14:paraId="5D318B89" w14:textId="77777777" w:rsidR="003F72BB" w:rsidRPr="0026653F" w:rsidRDefault="003F72BB" w:rsidP="00C618DD">
      <w:pPr>
        <w:rPr>
          <w:szCs w:val="22"/>
          <w:lang w:val="fr-FR"/>
        </w:rPr>
      </w:pPr>
    </w:p>
    <w:p w14:paraId="50C2F3CA" w14:textId="77777777" w:rsidR="00851442" w:rsidRPr="0026653F" w:rsidRDefault="00851442" w:rsidP="00C618DD">
      <w:pPr>
        <w:rPr>
          <w:szCs w:val="22"/>
          <w:lang w:val="fr-FR"/>
        </w:rPr>
        <w:sectPr w:rsidR="00851442" w:rsidRPr="0026653F" w:rsidSect="001B665B">
          <w:headerReference w:type="default" r:id="rId96"/>
          <w:footerReference w:type="default" r:id="rId97"/>
          <w:headerReference w:type="first" r:id="rId98"/>
          <w:footnotePr>
            <w:numRestart w:val="eachSect"/>
          </w:footnotePr>
          <w:type w:val="oddPage"/>
          <w:pgSz w:w="12240" w:h="15840" w:code="1"/>
          <w:pgMar w:top="2160" w:right="1570" w:bottom="1296" w:left="1699" w:header="1296" w:footer="1296" w:gutter="0"/>
          <w:cols w:space="720"/>
          <w:docGrid w:linePitch="360"/>
        </w:sectPr>
      </w:pPr>
    </w:p>
    <w:p w14:paraId="620F7CB3" w14:textId="09A082EC" w:rsidR="00441B17" w:rsidRPr="0026653F" w:rsidRDefault="00851442" w:rsidP="00C618DD">
      <w:pPr>
        <w:pStyle w:val="Heading1"/>
        <w:rPr>
          <w:szCs w:val="22"/>
          <w:lang w:val="fr-FR"/>
        </w:rPr>
      </w:pPr>
      <w:bookmarkStart w:id="57" w:name="_Toc74732025"/>
      <w:r w:rsidRPr="0026653F">
        <w:rPr>
          <w:rStyle w:val="Heading1Char"/>
          <w:rFonts w:eastAsia="Calibri"/>
          <w:szCs w:val="22"/>
          <w:lang w:val="fr-FR"/>
        </w:rPr>
        <w:lastRenderedPageBreak/>
        <w:t>AG/RES. 2959 (L-O/20)</w:t>
      </w:r>
      <w:r w:rsidRPr="0026653F">
        <w:rPr>
          <w:rStyle w:val="Heading1Char"/>
          <w:rFonts w:eastAsia="Calibri"/>
          <w:szCs w:val="22"/>
          <w:lang w:val="fr-FR"/>
        </w:rPr>
        <w:br/>
      </w:r>
      <w:r w:rsidRPr="0026653F">
        <w:rPr>
          <w:rStyle w:val="Heading1Char"/>
          <w:rFonts w:eastAsia="Calibri"/>
          <w:szCs w:val="22"/>
          <w:lang w:val="fr-FR"/>
        </w:rPr>
        <w:br/>
      </w:r>
      <w:r w:rsidR="00441B17" w:rsidRPr="0026653F">
        <w:rPr>
          <w:color w:val="000000"/>
          <w:szCs w:val="22"/>
          <w:lang w:val="fr-FR"/>
        </w:rPr>
        <w:t>DROIT INTERNATIONAL</w:t>
      </w:r>
      <w:r w:rsidR="00441B17" w:rsidRPr="0026653F">
        <w:rPr>
          <w:szCs w:val="22"/>
          <w:u w:val="single"/>
          <w:vertAlign w:val="superscript"/>
          <w:lang w:val="fr-FR"/>
        </w:rPr>
        <w:footnoteReference w:id="66"/>
      </w:r>
      <w:r w:rsidR="00441B17" w:rsidRPr="0026653F">
        <w:rPr>
          <w:szCs w:val="22"/>
          <w:vertAlign w:val="superscript"/>
          <w:lang w:val="fr-FR"/>
        </w:rPr>
        <w:t>/</w:t>
      </w:r>
      <w:r w:rsidR="00646139" w:rsidRPr="0026653F">
        <w:rPr>
          <w:rStyle w:val="FootnoteReference"/>
          <w:szCs w:val="22"/>
          <w:u w:val="single"/>
          <w:vertAlign w:val="superscript"/>
          <w:lang w:val="fr-FR"/>
        </w:rPr>
        <w:footnoteReference w:id="67"/>
      </w:r>
      <w:r w:rsidR="00646139" w:rsidRPr="0026653F">
        <w:rPr>
          <w:szCs w:val="22"/>
          <w:vertAlign w:val="superscript"/>
          <w:lang w:val="fr-FR"/>
        </w:rPr>
        <w:t>/</w:t>
      </w:r>
      <w:bookmarkEnd w:id="57"/>
    </w:p>
    <w:p w14:paraId="072FC396" w14:textId="77777777" w:rsidR="00441B17" w:rsidRPr="0026653F" w:rsidRDefault="00441B17" w:rsidP="00C618DD">
      <w:pPr>
        <w:outlineLvl w:val="0"/>
        <w:rPr>
          <w:bCs/>
          <w:color w:val="000000"/>
          <w:szCs w:val="22"/>
          <w:lang w:val="fr-FR"/>
        </w:rPr>
      </w:pPr>
    </w:p>
    <w:p w14:paraId="4E6EFBD3" w14:textId="77777777" w:rsidR="00441B17" w:rsidRPr="0026653F" w:rsidRDefault="00441B17" w:rsidP="00C618DD">
      <w:pPr>
        <w:jc w:val="center"/>
        <w:rPr>
          <w:bCs/>
          <w:color w:val="000000"/>
          <w:szCs w:val="22"/>
          <w:lang w:val="fr-FR"/>
        </w:rPr>
      </w:pPr>
      <w:r w:rsidRPr="0026653F">
        <w:rPr>
          <w:color w:val="000000"/>
          <w:szCs w:val="22"/>
          <w:lang w:val="fr-FR"/>
        </w:rPr>
        <w:t>(</w:t>
      </w:r>
      <w:r w:rsidRPr="0026653F">
        <w:rPr>
          <w:szCs w:val="22"/>
          <w:lang w:val="fr-FR"/>
        </w:rPr>
        <w:t>Résolution adoptée à la quatrième séance plénière</w:t>
      </w:r>
      <w:r w:rsidRPr="0026653F">
        <w:rPr>
          <w:bCs/>
          <w:color w:val="000000"/>
          <w:szCs w:val="22"/>
          <w:lang w:val="fr-FR" w:eastAsia="es-ES"/>
        </w:rPr>
        <w:t xml:space="preserve">, le </w:t>
      </w:r>
      <w:r w:rsidRPr="0026653F">
        <w:rPr>
          <w:szCs w:val="22"/>
          <w:lang w:val="fr-FR"/>
        </w:rPr>
        <w:t>21 octobre 2020</w:t>
      </w:r>
      <w:r w:rsidRPr="0026653F">
        <w:rPr>
          <w:color w:val="000000"/>
          <w:szCs w:val="22"/>
          <w:lang w:val="fr-FR"/>
        </w:rPr>
        <w:t>)</w:t>
      </w:r>
    </w:p>
    <w:p w14:paraId="12BFBF8C" w14:textId="77777777" w:rsidR="00441B17" w:rsidRPr="0026653F" w:rsidRDefault="00441B17" w:rsidP="00C618DD">
      <w:pPr>
        <w:rPr>
          <w:szCs w:val="22"/>
          <w:lang w:val="fr-FR"/>
        </w:rPr>
      </w:pPr>
    </w:p>
    <w:p w14:paraId="612414EE" w14:textId="77777777" w:rsidR="00441B17" w:rsidRPr="0026653F" w:rsidRDefault="00441B17" w:rsidP="00C618DD">
      <w:pPr>
        <w:rPr>
          <w:szCs w:val="22"/>
          <w:lang w:val="fr-FR"/>
        </w:rPr>
      </w:pPr>
    </w:p>
    <w:p w14:paraId="4043DBB5" w14:textId="77777777" w:rsidR="00441B17" w:rsidRPr="0026653F" w:rsidRDefault="00441B17" w:rsidP="00C618DD">
      <w:pPr>
        <w:rPr>
          <w:bCs/>
          <w:szCs w:val="22"/>
          <w:lang w:val="fr-FR"/>
        </w:rPr>
      </w:pPr>
      <w:r w:rsidRPr="0026653F">
        <w:rPr>
          <w:szCs w:val="22"/>
          <w:lang w:val="fr-FR"/>
        </w:rPr>
        <w:tab/>
        <w:t>L’ASSEMBLÉE GÉNÉRALE,</w:t>
      </w:r>
    </w:p>
    <w:p w14:paraId="06508227" w14:textId="77777777" w:rsidR="00441B17" w:rsidRPr="0026653F" w:rsidRDefault="00441B17" w:rsidP="00C618DD">
      <w:pPr>
        <w:rPr>
          <w:bCs/>
          <w:szCs w:val="22"/>
          <w:lang w:val="fr-FR"/>
        </w:rPr>
      </w:pPr>
    </w:p>
    <w:p w14:paraId="599DCC03" w14:textId="77777777" w:rsidR="00441B17" w:rsidRPr="0026653F" w:rsidRDefault="00441B17" w:rsidP="00C618DD">
      <w:pPr>
        <w:rPr>
          <w:bCs/>
          <w:szCs w:val="22"/>
          <w:lang w:val="fr-FR"/>
        </w:rPr>
      </w:pPr>
      <w:r w:rsidRPr="0026653F">
        <w:rPr>
          <w:szCs w:val="22"/>
          <w:lang w:val="fr-FR"/>
        </w:rPr>
        <w:tab/>
        <w:t>RAPPELANT sa résolution AG/RES. 2930 (XLIX-O/19)</w:t>
      </w:r>
      <w:r w:rsidRPr="0026653F">
        <w:rPr>
          <w:b/>
          <w:szCs w:val="22"/>
          <w:lang w:val="fr-FR"/>
        </w:rPr>
        <w:t xml:space="preserve"> </w:t>
      </w:r>
      <w:r w:rsidRPr="0026653F">
        <w:rPr>
          <w:szCs w:val="22"/>
          <w:lang w:val="fr-FR"/>
        </w:rPr>
        <w:t>et toutes les résolutions adoptées antérieurement sur la question,</w:t>
      </w:r>
    </w:p>
    <w:p w14:paraId="15A871A0" w14:textId="77777777" w:rsidR="00441B17" w:rsidRPr="0026653F" w:rsidRDefault="00441B17" w:rsidP="00C618DD">
      <w:pPr>
        <w:rPr>
          <w:bCs/>
          <w:szCs w:val="22"/>
          <w:lang w:val="fr-FR"/>
        </w:rPr>
      </w:pPr>
    </w:p>
    <w:p w14:paraId="7A1BB521" w14:textId="69C193AF" w:rsidR="00441B17" w:rsidRPr="0026653F" w:rsidRDefault="00441B17" w:rsidP="00C618DD">
      <w:pPr>
        <w:rPr>
          <w:bCs/>
          <w:szCs w:val="22"/>
          <w:lang w:val="fr-FR"/>
        </w:rPr>
      </w:pPr>
      <w:r w:rsidRPr="0026653F">
        <w:rPr>
          <w:szCs w:val="22"/>
          <w:lang w:val="fr-FR"/>
        </w:rPr>
        <w:tab/>
        <w:t xml:space="preserve">AYANT VU le « Rapport annuel du Conseil permanent adressé à l’Assemblée générale </w:t>
      </w:r>
      <w:r w:rsidR="003D44D5" w:rsidRPr="0026653F">
        <w:rPr>
          <w:szCs w:val="22"/>
          <w:lang w:val="fr-FR"/>
        </w:rPr>
        <w:t xml:space="preserve">– </w:t>
      </w:r>
      <w:r w:rsidR="00DA2E8B" w:rsidRPr="0026653F">
        <w:rPr>
          <w:szCs w:val="22"/>
          <w:lang w:val="fr-FR"/>
        </w:rPr>
        <w:t>J</w:t>
      </w:r>
      <w:r w:rsidRPr="0026653F">
        <w:rPr>
          <w:szCs w:val="22"/>
          <w:lang w:val="fr-FR"/>
        </w:rPr>
        <w:t>ui</w:t>
      </w:r>
      <w:r w:rsidR="00D00AA6" w:rsidRPr="0026653F">
        <w:rPr>
          <w:szCs w:val="22"/>
          <w:lang w:val="fr-FR"/>
        </w:rPr>
        <w:t>llet</w:t>
      </w:r>
      <w:r w:rsidRPr="0026653F">
        <w:rPr>
          <w:szCs w:val="22"/>
          <w:lang w:val="fr-FR"/>
        </w:rPr>
        <w:t xml:space="preserve"> 2019-</w:t>
      </w:r>
      <w:r w:rsidR="00DA2E8B" w:rsidRPr="0026653F">
        <w:rPr>
          <w:szCs w:val="22"/>
          <w:lang w:val="fr-FR"/>
        </w:rPr>
        <w:t>O</w:t>
      </w:r>
      <w:r w:rsidRPr="0026653F">
        <w:rPr>
          <w:szCs w:val="22"/>
          <w:lang w:val="fr-FR"/>
        </w:rPr>
        <w:t>ctobre 2020 » (AG/doc.5691/20 add. 1), notamment la section se référant aux activités de la Commission des questions juridiques et politiques</w:t>
      </w:r>
      <w:r w:rsidR="009C4196" w:rsidRPr="0026653F">
        <w:rPr>
          <w:szCs w:val="22"/>
          <w:lang w:val="fr-FR"/>
        </w:rPr>
        <w:t xml:space="preserve"> (CAJP),</w:t>
      </w:r>
    </w:p>
    <w:p w14:paraId="1400A110" w14:textId="77777777" w:rsidR="00441B17" w:rsidRPr="0026653F" w:rsidRDefault="00441B17" w:rsidP="00C618DD">
      <w:pPr>
        <w:rPr>
          <w:bCs/>
          <w:szCs w:val="22"/>
          <w:lang w:val="fr-FR"/>
        </w:rPr>
      </w:pPr>
    </w:p>
    <w:p w14:paraId="772F8FD7" w14:textId="3CDE60C9" w:rsidR="00441B17" w:rsidRPr="0026653F" w:rsidRDefault="00441B17" w:rsidP="00C618DD">
      <w:pPr>
        <w:jc w:val="center"/>
        <w:rPr>
          <w:bCs/>
          <w:szCs w:val="22"/>
          <w:lang w:val="fr-FR"/>
        </w:rPr>
      </w:pPr>
      <w:r w:rsidRPr="0026653F">
        <w:rPr>
          <w:szCs w:val="22"/>
          <w:lang w:val="fr-FR"/>
        </w:rPr>
        <w:t>I. ACTIVITÉS DE LA COMMISSION DES QUESTIONS JURIDIQUES ET POLITIQUES</w:t>
      </w:r>
    </w:p>
    <w:p w14:paraId="76AE31AC" w14:textId="77777777" w:rsidR="00441B17" w:rsidRPr="0026653F" w:rsidRDefault="00441B17" w:rsidP="00C618DD">
      <w:pPr>
        <w:rPr>
          <w:szCs w:val="22"/>
          <w:lang w:val="fr-FR"/>
        </w:rPr>
      </w:pPr>
    </w:p>
    <w:p w14:paraId="13B49C62" w14:textId="77777777" w:rsidR="00441B17" w:rsidRPr="0026653F" w:rsidRDefault="00441B17" w:rsidP="00C618DD">
      <w:pPr>
        <w:rPr>
          <w:bCs/>
          <w:szCs w:val="22"/>
          <w:lang w:val="fr-FR"/>
        </w:rPr>
      </w:pPr>
      <w:r w:rsidRPr="0026653F">
        <w:rPr>
          <w:szCs w:val="22"/>
          <w:lang w:val="fr-FR"/>
        </w:rPr>
        <w:t>DÉCIDE :</w:t>
      </w:r>
    </w:p>
    <w:p w14:paraId="12E009AF" w14:textId="77777777" w:rsidR="00441B17" w:rsidRPr="0026653F" w:rsidRDefault="00441B17" w:rsidP="00C618DD">
      <w:pPr>
        <w:rPr>
          <w:bCs/>
          <w:szCs w:val="22"/>
          <w:lang w:val="fr-FR"/>
        </w:rPr>
      </w:pPr>
    </w:p>
    <w:p w14:paraId="37E04D40" w14:textId="424B8881" w:rsidR="00441B17" w:rsidRPr="0026653F" w:rsidRDefault="00441B17" w:rsidP="00C618DD">
      <w:pPr>
        <w:rPr>
          <w:bCs/>
          <w:szCs w:val="22"/>
          <w:lang w:val="fr-FR"/>
        </w:rPr>
      </w:pPr>
      <w:r w:rsidRPr="0026653F">
        <w:rPr>
          <w:szCs w:val="22"/>
          <w:lang w:val="fr-FR"/>
        </w:rPr>
        <w:tab/>
        <w:t>1.</w:t>
      </w:r>
      <w:r w:rsidRPr="0026653F">
        <w:rPr>
          <w:szCs w:val="22"/>
          <w:lang w:val="fr-FR"/>
        </w:rPr>
        <w:tab/>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w:t>
      </w:r>
      <w:r w:rsidR="009C4196" w:rsidRPr="0026653F">
        <w:rPr>
          <w:szCs w:val="22"/>
          <w:lang w:val="fr-FR"/>
        </w:rPr>
        <w:t xml:space="preserve"> (CAJP)</w:t>
      </w:r>
      <w:r w:rsidRPr="0026653F">
        <w:rPr>
          <w:szCs w:val="22"/>
          <w:lang w:val="fr-FR"/>
        </w:rPr>
        <w:t>, sauf indication contraire dans une résolution déterminée.</w:t>
      </w:r>
    </w:p>
    <w:p w14:paraId="33005F73" w14:textId="77777777" w:rsidR="00441B17" w:rsidRPr="0026653F" w:rsidRDefault="00441B17" w:rsidP="00C618DD">
      <w:pPr>
        <w:rPr>
          <w:bCs/>
          <w:szCs w:val="22"/>
          <w:lang w:val="fr-FR"/>
        </w:rPr>
      </w:pPr>
    </w:p>
    <w:p w14:paraId="305A9865" w14:textId="77777777" w:rsidR="00441B17" w:rsidRPr="0026653F" w:rsidRDefault="00441B17" w:rsidP="00C618DD">
      <w:pPr>
        <w:rPr>
          <w:szCs w:val="22"/>
          <w:lang w:val="fr-FR"/>
        </w:rPr>
      </w:pPr>
      <w:r w:rsidRPr="0026653F">
        <w:rPr>
          <w:szCs w:val="22"/>
          <w:lang w:val="fr-FR"/>
        </w:rPr>
        <w:tab/>
        <w:t>2.</w:t>
      </w:r>
      <w:r w:rsidRPr="0026653F">
        <w:rPr>
          <w:szCs w:val="22"/>
          <w:lang w:val="fr-FR"/>
        </w:rPr>
        <w:tab/>
        <w:t>D’exhorter les États membres à continuer de contribuer à l’atteinte des objectifs établis dans ces résolutions et de charger le Secrétariat général d’offrir le concours requis à ces fins.</w:t>
      </w:r>
    </w:p>
    <w:p w14:paraId="1E951776" w14:textId="77777777" w:rsidR="00441B17" w:rsidRPr="0026653F" w:rsidRDefault="00441B17" w:rsidP="00C618DD">
      <w:pPr>
        <w:rPr>
          <w:szCs w:val="22"/>
          <w:lang w:val="fr-FR"/>
        </w:rPr>
      </w:pPr>
    </w:p>
    <w:p w14:paraId="58B1C941" w14:textId="2B702D69" w:rsidR="00441B17" w:rsidRPr="0026653F" w:rsidRDefault="00441B17" w:rsidP="00C618DD">
      <w:pPr>
        <w:jc w:val="left"/>
        <w:rPr>
          <w:color w:val="000000"/>
          <w:szCs w:val="22"/>
          <w:lang w:val="fr-FR"/>
        </w:rPr>
      </w:pPr>
      <w:r w:rsidRPr="0026653F">
        <w:rPr>
          <w:color w:val="000000"/>
          <w:szCs w:val="22"/>
          <w:lang w:val="fr-FR"/>
        </w:rPr>
        <w:t>i.</w:t>
      </w:r>
      <w:r w:rsidRPr="0026653F">
        <w:rPr>
          <w:color w:val="000000"/>
          <w:szCs w:val="22"/>
          <w:lang w:val="fr-FR"/>
        </w:rPr>
        <w:tab/>
      </w:r>
      <w:r w:rsidRPr="0026653F">
        <w:rPr>
          <w:color w:val="000000"/>
          <w:szCs w:val="22"/>
          <w:u w:val="single"/>
          <w:lang w:val="fr-FR"/>
        </w:rPr>
        <w:t>Programme interaméricain de développement du droit international</w:t>
      </w:r>
    </w:p>
    <w:p w14:paraId="3782B614" w14:textId="77777777" w:rsidR="00441B17" w:rsidRPr="0026653F" w:rsidRDefault="00441B17" w:rsidP="00C618DD">
      <w:pPr>
        <w:rPr>
          <w:color w:val="000000"/>
          <w:szCs w:val="22"/>
          <w:lang w:val="fr-FR"/>
        </w:rPr>
      </w:pPr>
    </w:p>
    <w:p w14:paraId="2C8FF396" w14:textId="66C084DE" w:rsidR="00441B17" w:rsidRPr="0026653F" w:rsidRDefault="00441B17" w:rsidP="00C618DD">
      <w:pPr>
        <w:rPr>
          <w:color w:val="000000"/>
          <w:szCs w:val="22"/>
          <w:lang w:val="fr-FR"/>
        </w:rPr>
      </w:pPr>
      <w:r w:rsidRPr="0026653F">
        <w:rPr>
          <w:color w:val="000000"/>
          <w:szCs w:val="22"/>
          <w:lang w:val="fr-FR"/>
        </w:rPr>
        <w:tab/>
      </w:r>
      <w:r w:rsidRPr="0026653F">
        <w:rPr>
          <w:szCs w:val="22"/>
          <w:lang w:val="fr-FR"/>
        </w:rPr>
        <w:t xml:space="preserve">PRENANT EN COMPTE le rapport que le Département du droit international du Secrétariat aux questions juridiques </w:t>
      </w:r>
      <w:r w:rsidRPr="0026653F">
        <w:rPr>
          <w:color w:val="000000"/>
          <w:szCs w:val="22"/>
          <w:lang w:val="fr-FR"/>
        </w:rPr>
        <w:t>a présenté à la C</w:t>
      </w:r>
      <w:r w:rsidR="00F817C8" w:rsidRPr="0026653F">
        <w:rPr>
          <w:color w:val="000000"/>
          <w:szCs w:val="22"/>
          <w:lang w:val="fr-FR"/>
        </w:rPr>
        <w:t xml:space="preserve">AJP </w:t>
      </w:r>
      <w:r w:rsidRPr="0026653F">
        <w:rPr>
          <w:color w:val="000000"/>
          <w:szCs w:val="22"/>
          <w:lang w:val="fr-FR"/>
        </w:rPr>
        <w:t>lors de sa réunion du 30 janvier 2020,</w:t>
      </w:r>
      <w:r w:rsidRPr="0026653F">
        <w:rPr>
          <w:szCs w:val="22"/>
          <w:lang w:val="fr-FR"/>
        </w:rPr>
        <w:t xml:space="preserve"> dans le cadre du Programme interaméricain de développement du droit international adopté au moyen de la résolution AG/RES.</w:t>
      </w:r>
      <w:r w:rsidRPr="0026653F">
        <w:rPr>
          <w:color w:val="000000"/>
          <w:szCs w:val="22"/>
          <w:lang w:val="fr-FR"/>
        </w:rPr>
        <w:t> </w:t>
      </w:r>
      <w:r w:rsidRPr="0026653F">
        <w:rPr>
          <w:szCs w:val="22"/>
          <w:lang w:val="fr-FR"/>
        </w:rPr>
        <w:t>1471 (XXVII-O/97) et mis à jour au moyen de la résolution AG/RES.</w:t>
      </w:r>
      <w:r w:rsidRPr="0026653F">
        <w:rPr>
          <w:color w:val="000000"/>
          <w:szCs w:val="22"/>
          <w:lang w:val="fr-FR"/>
        </w:rPr>
        <w:t> 2660 (XLI-O/11), lequel rapport rend compte des activités réalisées en matière de promotion et de diffusion du droit international parmi les États membres en collaboration avec les organismes et associations œuvrant dans ce domaine,</w:t>
      </w:r>
    </w:p>
    <w:p w14:paraId="29807E8F" w14:textId="77777777" w:rsidR="00441B17" w:rsidRPr="0026653F" w:rsidRDefault="00441B17" w:rsidP="00C618DD">
      <w:pPr>
        <w:rPr>
          <w:color w:val="000000"/>
          <w:szCs w:val="22"/>
          <w:lang w:val="fr-FR"/>
        </w:rPr>
      </w:pPr>
    </w:p>
    <w:p w14:paraId="41840F36" w14:textId="2123523A" w:rsidR="00441B17" w:rsidRPr="0026653F" w:rsidRDefault="00441B17" w:rsidP="00C618DD">
      <w:pPr>
        <w:ind w:firstLine="720"/>
        <w:rPr>
          <w:color w:val="000000"/>
          <w:szCs w:val="22"/>
          <w:lang w:val="fr-FR"/>
        </w:rPr>
      </w:pPr>
      <w:r w:rsidRPr="0026653F">
        <w:rPr>
          <w:color w:val="000000"/>
          <w:szCs w:val="22"/>
          <w:lang w:val="fr-FR"/>
        </w:rPr>
        <w:t xml:space="preserve">RÉAFFIRMANT l’applicabilité du droit international dans le cyberespace et l’importance de la mise en œuvre des normes volontaires non contraignantes pour la conduite responsable de l’État dans le cyberespace du </w:t>
      </w:r>
      <w:r w:rsidR="00C55099" w:rsidRPr="0026653F">
        <w:rPr>
          <w:color w:val="000000"/>
          <w:szCs w:val="22"/>
          <w:lang w:val="fr-FR"/>
        </w:rPr>
        <w:t>Groupe d’experts gouvernementaux chargé d’examiner les progrès de l'informatique et des télécommunications dans le contexte de la sécurité internationale</w:t>
      </w:r>
      <w:r w:rsidRPr="0026653F">
        <w:rPr>
          <w:color w:val="000000"/>
          <w:szCs w:val="22"/>
          <w:lang w:val="fr-FR"/>
        </w:rPr>
        <w:t>,</w:t>
      </w:r>
    </w:p>
    <w:p w14:paraId="02486D9A" w14:textId="77777777" w:rsidR="00441B17" w:rsidRPr="0026653F" w:rsidRDefault="00441B17" w:rsidP="00C618DD">
      <w:pPr>
        <w:rPr>
          <w:color w:val="000000"/>
          <w:szCs w:val="22"/>
          <w:lang w:val="fr-FR"/>
        </w:rPr>
      </w:pPr>
    </w:p>
    <w:p w14:paraId="2FA15E66" w14:textId="77777777" w:rsidR="00441B17" w:rsidRPr="0026653F" w:rsidRDefault="00441B17" w:rsidP="00C618DD">
      <w:pPr>
        <w:keepNext/>
        <w:jc w:val="left"/>
        <w:rPr>
          <w:color w:val="000000"/>
          <w:szCs w:val="22"/>
          <w:lang w:val="fr-FR"/>
        </w:rPr>
      </w:pPr>
      <w:r w:rsidRPr="0026653F">
        <w:rPr>
          <w:szCs w:val="22"/>
          <w:lang w:val="fr-FR"/>
        </w:rPr>
        <w:t>DÉCIDE :</w:t>
      </w:r>
    </w:p>
    <w:p w14:paraId="5CAF4466" w14:textId="77777777" w:rsidR="00441B17" w:rsidRPr="0026653F" w:rsidRDefault="00441B17" w:rsidP="00C618DD">
      <w:pPr>
        <w:keepNext/>
        <w:rPr>
          <w:bCs/>
          <w:color w:val="000000"/>
          <w:szCs w:val="22"/>
          <w:lang w:val="fr-FR"/>
        </w:rPr>
      </w:pPr>
    </w:p>
    <w:p w14:paraId="4ADFE9A0" w14:textId="6729A0D5" w:rsidR="00441B17" w:rsidRPr="0026653F" w:rsidRDefault="00441B17" w:rsidP="00C618DD">
      <w:pPr>
        <w:ind w:firstLine="720"/>
        <w:rPr>
          <w:bCs/>
          <w:color w:val="000000"/>
          <w:szCs w:val="22"/>
          <w:lang w:val="fr-FR"/>
        </w:rPr>
      </w:pPr>
      <w:r w:rsidRPr="0026653F">
        <w:rPr>
          <w:bCs/>
          <w:color w:val="000000"/>
          <w:szCs w:val="22"/>
          <w:lang w:val="fr-FR"/>
        </w:rPr>
        <w:t>1.</w:t>
      </w:r>
      <w:r w:rsidRPr="0026653F">
        <w:rPr>
          <w:bCs/>
          <w:color w:val="000000"/>
          <w:szCs w:val="22"/>
          <w:lang w:val="fr-FR"/>
        </w:rPr>
        <w:tab/>
        <w:t>D’exprimer sa reconnaissance au Département du droit international pour son travail en matière de promotion, d’étude et de diffusion d</w:t>
      </w:r>
      <w:r w:rsidR="00CE0A30" w:rsidRPr="0026653F">
        <w:rPr>
          <w:bCs/>
          <w:color w:val="000000"/>
          <w:szCs w:val="22"/>
          <w:lang w:val="fr-FR"/>
        </w:rPr>
        <w:t>’</w:t>
      </w:r>
      <w:r w:rsidRPr="0026653F">
        <w:rPr>
          <w:bCs/>
          <w:color w:val="000000"/>
          <w:szCs w:val="22"/>
          <w:lang w:val="fr-FR"/>
        </w:rPr>
        <w:t>outils juridiques et de lui demander de continuer à mettre en œuvre les mesures énoncées dans le Programme interaméricain de développement du droit international et d’en faire rapport à la CAJP tous les deux ans.</w:t>
      </w:r>
    </w:p>
    <w:p w14:paraId="0B128089" w14:textId="77777777" w:rsidR="00441B17" w:rsidRPr="00C618DD" w:rsidRDefault="00441B17" w:rsidP="00C618DD">
      <w:pPr>
        <w:rPr>
          <w:color w:val="000000"/>
          <w:szCs w:val="22"/>
          <w:lang w:val="fr-FR"/>
        </w:rPr>
      </w:pPr>
    </w:p>
    <w:p w14:paraId="5FD9C057" w14:textId="3BBE577F" w:rsidR="00441B17" w:rsidRPr="0026653F" w:rsidRDefault="00441B17" w:rsidP="00C618DD">
      <w:pPr>
        <w:ind w:firstLine="720"/>
        <w:rPr>
          <w:bCs/>
          <w:color w:val="000000"/>
          <w:szCs w:val="22"/>
          <w:lang w:val="fr-FR"/>
        </w:rPr>
      </w:pPr>
      <w:r w:rsidRPr="0026653F">
        <w:rPr>
          <w:bCs/>
          <w:color w:val="000000"/>
          <w:szCs w:val="22"/>
          <w:lang w:val="fr-FR"/>
        </w:rPr>
        <w:t>2.</w:t>
      </w:r>
      <w:r w:rsidRPr="0026653F">
        <w:rPr>
          <w:bCs/>
          <w:color w:val="000000"/>
          <w:szCs w:val="22"/>
          <w:lang w:val="fr-FR"/>
        </w:rPr>
        <w:tab/>
        <w:t xml:space="preserve">De charger le Département du droit international d’envisager, en collaboration avec les États membres, les moyens techniques permettant de faire progresser l’harmonisation des </w:t>
      </w:r>
      <w:r w:rsidR="00CE0A30" w:rsidRPr="0026653F">
        <w:rPr>
          <w:bCs/>
          <w:color w:val="000000"/>
          <w:szCs w:val="22"/>
          <w:lang w:val="fr-FR"/>
        </w:rPr>
        <w:t>normes</w:t>
      </w:r>
      <w:r w:rsidR="0023148D" w:rsidRPr="0026653F">
        <w:rPr>
          <w:bCs/>
          <w:color w:val="000000"/>
          <w:szCs w:val="22"/>
          <w:lang w:val="fr-FR"/>
        </w:rPr>
        <w:t xml:space="preserve"> </w:t>
      </w:r>
      <w:r w:rsidRPr="0026653F">
        <w:rPr>
          <w:bCs/>
          <w:color w:val="000000"/>
          <w:szCs w:val="22"/>
          <w:lang w:val="fr-FR"/>
        </w:rPr>
        <w:t xml:space="preserve">dans le domaine </w:t>
      </w:r>
      <w:r w:rsidR="00CE0A30" w:rsidRPr="0026653F">
        <w:rPr>
          <w:bCs/>
          <w:color w:val="000000"/>
          <w:szCs w:val="22"/>
          <w:lang w:val="fr-FR"/>
        </w:rPr>
        <w:t xml:space="preserve">du </w:t>
      </w:r>
      <w:r w:rsidRPr="0026653F">
        <w:rPr>
          <w:bCs/>
          <w:color w:val="000000"/>
          <w:szCs w:val="22"/>
          <w:lang w:val="fr-FR"/>
        </w:rPr>
        <w:t xml:space="preserve">droit international privé, en tenant compte des activités prévues dans le Programme interaméricain de développement du droit international et, ce faisant, de s’assurer la coopération d’autres acteurs intéressés à promouvoir et à appliquer le droit international privé en tant qu’outil de coopération, dans le but de relancer l’économie, de renforcer les petites entreprises, de résoudre les </w:t>
      </w:r>
      <w:r w:rsidR="00CE0A30" w:rsidRPr="0026653F">
        <w:rPr>
          <w:bCs/>
          <w:color w:val="000000"/>
          <w:szCs w:val="22"/>
          <w:lang w:val="fr-FR"/>
        </w:rPr>
        <w:t>litiges</w:t>
      </w:r>
      <w:r w:rsidRPr="0026653F">
        <w:rPr>
          <w:bCs/>
          <w:color w:val="000000"/>
          <w:szCs w:val="22"/>
          <w:lang w:val="fr-FR"/>
        </w:rPr>
        <w:t xml:space="preserve"> entre particuliers et d’apporter une sécurité juridique aux activités transfrontalières privées de toutes les personnes dans le continent américain.</w:t>
      </w:r>
    </w:p>
    <w:p w14:paraId="3FB4A8C4" w14:textId="77777777" w:rsidR="00441B17" w:rsidRPr="0026653F" w:rsidRDefault="00441B17" w:rsidP="00C618DD">
      <w:pPr>
        <w:rPr>
          <w:bCs/>
          <w:color w:val="000000"/>
          <w:szCs w:val="22"/>
          <w:lang w:val="fr-FR"/>
        </w:rPr>
      </w:pPr>
    </w:p>
    <w:p w14:paraId="10BB34E8" w14:textId="102F80BA" w:rsidR="00441B17" w:rsidRPr="0026653F" w:rsidRDefault="00441B17" w:rsidP="00C618DD">
      <w:pPr>
        <w:ind w:firstLine="720"/>
        <w:rPr>
          <w:i/>
          <w:iCs/>
          <w:szCs w:val="22"/>
          <w:lang w:val="fr-FR"/>
        </w:rPr>
      </w:pPr>
      <w:r w:rsidRPr="0026653F">
        <w:rPr>
          <w:bCs/>
          <w:color w:val="000000"/>
          <w:szCs w:val="22"/>
          <w:lang w:val="fr-FR"/>
        </w:rPr>
        <w:t>3.</w:t>
      </w:r>
      <w:r w:rsidRPr="0026653F">
        <w:rPr>
          <w:bCs/>
          <w:color w:val="000000"/>
          <w:szCs w:val="22"/>
          <w:lang w:val="fr-FR"/>
        </w:rPr>
        <w:tab/>
        <w:t xml:space="preserve">De demander au Conseil permanent </w:t>
      </w:r>
      <w:r w:rsidR="00416C05" w:rsidRPr="0026653F">
        <w:rPr>
          <w:bCs/>
          <w:color w:val="000000"/>
          <w:szCs w:val="22"/>
          <w:lang w:val="fr-FR"/>
        </w:rPr>
        <w:t xml:space="preserve">de tenir </w:t>
      </w:r>
      <w:r w:rsidRPr="0026653F">
        <w:rPr>
          <w:bCs/>
          <w:color w:val="000000"/>
          <w:szCs w:val="22"/>
          <w:lang w:val="fr-FR"/>
        </w:rPr>
        <w:t>une séance extraordinaire à Washington, D.C., à une date à déterminer en temps utile, afin de promouvoir l’étude du droit international privé dans les Amériques, avec la participation éventuelle d’organisations se consacrant à cette question, lesquelles seront invitées par consensus entre les États membres.</w:t>
      </w:r>
    </w:p>
    <w:p w14:paraId="78E9699E" w14:textId="77777777" w:rsidR="00441B17" w:rsidRPr="0026653F" w:rsidRDefault="00441B17" w:rsidP="00C618DD">
      <w:pPr>
        <w:rPr>
          <w:bCs/>
          <w:color w:val="000000"/>
          <w:szCs w:val="22"/>
          <w:lang w:val="fr-FR"/>
        </w:rPr>
      </w:pPr>
    </w:p>
    <w:p w14:paraId="2D85BB39" w14:textId="77777777" w:rsidR="00441B17" w:rsidRPr="0026653F" w:rsidRDefault="00441B17" w:rsidP="00C618DD">
      <w:pPr>
        <w:ind w:firstLine="720"/>
        <w:rPr>
          <w:bCs/>
          <w:szCs w:val="22"/>
          <w:lang w:val="fr-FR"/>
        </w:rPr>
      </w:pPr>
      <w:r w:rsidRPr="0026653F">
        <w:rPr>
          <w:bCs/>
          <w:color w:val="000000"/>
          <w:szCs w:val="22"/>
          <w:lang w:val="fr-FR"/>
        </w:rPr>
        <w:t>4.</w:t>
      </w:r>
      <w:r w:rsidRPr="0026653F">
        <w:rPr>
          <w:bCs/>
          <w:color w:val="000000"/>
          <w:szCs w:val="22"/>
          <w:lang w:val="fr-FR"/>
        </w:rPr>
        <w:tab/>
      </w:r>
      <w:r w:rsidRPr="0026653F">
        <w:rPr>
          <w:bCs/>
          <w:szCs w:val="22"/>
          <w:lang w:val="fr-FR"/>
        </w:rPr>
        <w:t xml:space="preserve">De demander au Département du droit international de promouvoir la formation technique, la coopération et l’échange de connaissances avec les ministères des affaires étrangères </w:t>
      </w:r>
      <w:r w:rsidRPr="003172C4">
        <w:rPr>
          <w:bCs/>
          <w:color w:val="000000"/>
          <w:szCs w:val="22"/>
          <w:lang w:val="fr-FR"/>
        </w:rPr>
        <w:t xml:space="preserve">et </w:t>
      </w:r>
      <w:r w:rsidRPr="0026653F">
        <w:rPr>
          <w:bCs/>
          <w:color w:val="000000"/>
          <w:szCs w:val="22"/>
          <w:lang w:val="fr-FR"/>
        </w:rPr>
        <w:t>du développement international</w:t>
      </w:r>
      <w:r w:rsidRPr="0026653F">
        <w:rPr>
          <w:bCs/>
          <w:szCs w:val="22"/>
          <w:lang w:val="fr-FR"/>
        </w:rPr>
        <w:t xml:space="preserve"> des États membres, le cas échéant, par des moyens à distance, sur la base des bonnes pratiques internationales, </w:t>
      </w:r>
      <w:r w:rsidRPr="0026653F">
        <w:rPr>
          <w:bCs/>
          <w:color w:val="000000"/>
          <w:szCs w:val="22"/>
          <w:lang w:val="fr-FR"/>
        </w:rPr>
        <w:t>à l’invitation de l’État membre concerné</w:t>
      </w:r>
      <w:r w:rsidRPr="0026653F">
        <w:rPr>
          <w:bCs/>
          <w:szCs w:val="22"/>
          <w:lang w:val="fr-FR"/>
        </w:rPr>
        <w:t>.</w:t>
      </w:r>
    </w:p>
    <w:p w14:paraId="7E6C580A" w14:textId="77777777" w:rsidR="00441B17" w:rsidRPr="0026653F" w:rsidRDefault="00441B17" w:rsidP="00C618DD">
      <w:pPr>
        <w:rPr>
          <w:bCs/>
          <w:color w:val="000000"/>
          <w:szCs w:val="22"/>
          <w:lang w:val="fr-FR"/>
        </w:rPr>
      </w:pPr>
    </w:p>
    <w:p w14:paraId="1D7A6BC6" w14:textId="4A0BFD40" w:rsidR="00441B17" w:rsidRPr="0026653F" w:rsidRDefault="00441B17" w:rsidP="00C618DD">
      <w:pPr>
        <w:ind w:firstLine="720"/>
        <w:rPr>
          <w:bCs/>
          <w:color w:val="000000"/>
          <w:szCs w:val="22"/>
          <w:lang w:val="fr-FR"/>
        </w:rPr>
      </w:pPr>
      <w:r w:rsidRPr="0026653F">
        <w:rPr>
          <w:bCs/>
          <w:szCs w:val="22"/>
          <w:lang w:val="fr-FR"/>
        </w:rPr>
        <w:t>5.</w:t>
      </w:r>
      <w:r w:rsidRPr="0026653F">
        <w:rPr>
          <w:bCs/>
          <w:szCs w:val="22"/>
          <w:lang w:val="fr-FR"/>
        </w:rPr>
        <w:tab/>
        <w:t xml:space="preserve">De charger la CAJP de tenir une réunion avant la cinquante-deuxième session ordinaire de l’Assemblée générale pour </w:t>
      </w:r>
      <w:r w:rsidR="00E03BD8" w:rsidRPr="0026653F">
        <w:rPr>
          <w:bCs/>
          <w:szCs w:val="22"/>
          <w:lang w:val="fr-FR"/>
        </w:rPr>
        <w:t xml:space="preserve">une réflexion </w:t>
      </w:r>
      <w:r w:rsidRPr="0026653F">
        <w:rPr>
          <w:bCs/>
          <w:szCs w:val="22"/>
          <w:lang w:val="fr-FR"/>
        </w:rPr>
        <w:t>collective</w:t>
      </w:r>
      <w:r w:rsidR="00E03BD8" w:rsidRPr="0026653F">
        <w:rPr>
          <w:bCs/>
          <w:szCs w:val="22"/>
          <w:lang w:val="fr-FR"/>
        </w:rPr>
        <w:t xml:space="preserve"> sur les </w:t>
      </w:r>
      <w:r w:rsidRPr="0026653F">
        <w:rPr>
          <w:bCs/>
          <w:szCs w:val="22"/>
          <w:lang w:val="fr-FR"/>
        </w:rPr>
        <w:t>principes de droit international sur lesquels repose le système interaméricain, en tant que cadre normatif qui régit le travail de l’</w:t>
      </w:r>
      <w:r w:rsidR="00F817C8" w:rsidRPr="0026653F">
        <w:rPr>
          <w:bCs/>
          <w:szCs w:val="22"/>
          <w:lang w:val="fr-FR"/>
        </w:rPr>
        <w:t>Organisation des États Américains (O</w:t>
      </w:r>
      <w:r w:rsidRPr="0026653F">
        <w:rPr>
          <w:bCs/>
          <w:szCs w:val="22"/>
          <w:lang w:val="fr-FR"/>
        </w:rPr>
        <w:t>EA</w:t>
      </w:r>
      <w:r w:rsidR="00F817C8" w:rsidRPr="0026653F">
        <w:rPr>
          <w:bCs/>
          <w:szCs w:val="22"/>
          <w:lang w:val="fr-FR"/>
        </w:rPr>
        <w:t>)</w:t>
      </w:r>
      <w:r w:rsidRPr="0026653F">
        <w:rPr>
          <w:bCs/>
          <w:szCs w:val="22"/>
          <w:lang w:val="fr-FR"/>
        </w:rPr>
        <w:t xml:space="preserve"> et les relations entre les États membres, et de charger le Département du droit international d’élaborer ensuite un rapport sur ses principales conclusions, </w:t>
      </w:r>
      <w:r w:rsidR="00E03BD8" w:rsidRPr="0026653F">
        <w:rPr>
          <w:bCs/>
          <w:szCs w:val="22"/>
          <w:lang w:val="fr-FR"/>
        </w:rPr>
        <w:t>lequel</w:t>
      </w:r>
      <w:r w:rsidRPr="0026653F">
        <w:rPr>
          <w:bCs/>
          <w:szCs w:val="22"/>
          <w:lang w:val="fr-FR"/>
        </w:rPr>
        <w:t xml:space="preserve"> sera présenté au Comité juridique interaméricain (CJI).</w:t>
      </w:r>
    </w:p>
    <w:p w14:paraId="7C855362" w14:textId="77777777" w:rsidR="00441B17" w:rsidRPr="0026653F" w:rsidRDefault="00441B17" w:rsidP="00C618DD">
      <w:pPr>
        <w:rPr>
          <w:bCs/>
          <w:szCs w:val="22"/>
          <w:lang w:val="fr-FR"/>
        </w:rPr>
      </w:pPr>
    </w:p>
    <w:p w14:paraId="21DCC93E" w14:textId="48FF51C6" w:rsidR="00441B17" w:rsidRPr="0026653F" w:rsidRDefault="00441B17" w:rsidP="00C618DD">
      <w:pPr>
        <w:ind w:firstLine="720"/>
        <w:rPr>
          <w:bCs/>
          <w:color w:val="000000"/>
          <w:szCs w:val="22"/>
          <w:lang w:val="fr-FR"/>
        </w:rPr>
      </w:pPr>
      <w:r w:rsidRPr="0026653F">
        <w:rPr>
          <w:bCs/>
          <w:color w:val="000000"/>
          <w:szCs w:val="22"/>
          <w:lang w:val="fr-FR"/>
        </w:rPr>
        <w:t>6.</w:t>
      </w:r>
      <w:r w:rsidRPr="0026653F">
        <w:rPr>
          <w:bCs/>
          <w:color w:val="000000"/>
          <w:szCs w:val="22"/>
          <w:lang w:val="fr-FR"/>
        </w:rPr>
        <w:tab/>
        <w:t>De charger la CAJP de réaliser, avant la cinquante-deuxième session ordinaire de l’Assemblée générale, une réunion qui sera consacrée à une réflexion collective sur le renforcement du régime de responsabilités dans l’utilisation des technologies de l’information et des communications (TIC) et de charger le Département du droit international d’élaborer par la suite un rapport énonçant ses principaux résultats aux fins de présentation au C</w:t>
      </w:r>
      <w:r w:rsidR="00416C05" w:rsidRPr="0026653F">
        <w:rPr>
          <w:bCs/>
          <w:color w:val="000000"/>
          <w:szCs w:val="22"/>
          <w:lang w:val="fr-FR"/>
        </w:rPr>
        <w:t>JI</w:t>
      </w:r>
      <w:r w:rsidRPr="0026653F">
        <w:rPr>
          <w:bCs/>
          <w:color w:val="000000"/>
          <w:szCs w:val="22"/>
          <w:lang w:val="fr-FR"/>
        </w:rPr>
        <w:t>.</w:t>
      </w:r>
    </w:p>
    <w:p w14:paraId="2E212611" w14:textId="77777777" w:rsidR="00441B17" w:rsidRPr="0026653F" w:rsidRDefault="00441B17" w:rsidP="00C618DD">
      <w:pPr>
        <w:rPr>
          <w:bCs/>
          <w:color w:val="000000"/>
          <w:szCs w:val="22"/>
          <w:lang w:val="fr-FR"/>
        </w:rPr>
      </w:pPr>
    </w:p>
    <w:p w14:paraId="48BE2C26" w14:textId="0CAEBA85" w:rsidR="00441B17" w:rsidRPr="0026653F" w:rsidRDefault="00441B17" w:rsidP="00C618DD">
      <w:pPr>
        <w:ind w:firstLine="720"/>
        <w:rPr>
          <w:bCs/>
          <w:color w:val="000000"/>
          <w:szCs w:val="22"/>
          <w:lang w:val="fr-FR"/>
        </w:rPr>
      </w:pPr>
      <w:r w:rsidRPr="0026653F">
        <w:rPr>
          <w:bCs/>
          <w:color w:val="000000"/>
          <w:szCs w:val="22"/>
          <w:lang w:val="fr-FR"/>
        </w:rPr>
        <w:t>7.</w:t>
      </w:r>
      <w:r w:rsidRPr="0026653F">
        <w:rPr>
          <w:bCs/>
          <w:color w:val="000000"/>
          <w:szCs w:val="22"/>
          <w:lang w:val="fr-FR"/>
        </w:rPr>
        <w:tab/>
        <w:t xml:space="preserve">De charger la CAJP de réaliser avant la cinquante-et-unième session ordinaire de l’Assemblée générale une réunion qui sera consacrée à </w:t>
      </w:r>
      <w:r w:rsidR="00E03BD8" w:rsidRPr="0026653F">
        <w:rPr>
          <w:bCs/>
          <w:color w:val="000000"/>
          <w:szCs w:val="22"/>
          <w:lang w:val="fr-FR"/>
        </w:rPr>
        <w:t xml:space="preserve">une réflexion </w:t>
      </w:r>
      <w:r w:rsidRPr="0026653F">
        <w:rPr>
          <w:bCs/>
          <w:color w:val="000000"/>
          <w:szCs w:val="22"/>
          <w:lang w:val="fr-FR"/>
        </w:rPr>
        <w:t>collecti</w:t>
      </w:r>
      <w:r w:rsidR="00E03BD8" w:rsidRPr="0026653F">
        <w:rPr>
          <w:bCs/>
          <w:color w:val="000000"/>
          <w:szCs w:val="22"/>
          <w:lang w:val="fr-FR"/>
        </w:rPr>
        <w:t>ve sur le</w:t>
      </w:r>
      <w:r w:rsidRPr="0026653F">
        <w:rPr>
          <w:bCs/>
          <w:color w:val="000000"/>
          <w:szCs w:val="22"/>
          <w:lang w:val="fr-FR"/>
        </w:rPr>
        <w:t xml:space="preserve"> caractère exceptionnel du recours à la force dans le contexte interaméricain et de charger le Département d</w:t>
      </w:r>
      <w:r w:rsidR="003E530A" w:rsidRPr="0026653F">
        <w:rPr>
          <w:bCs/>
          <w:color w:val="000000"/>
          <w:szCs w:val="22"/>
          <w:lang w:val="fr-FR"/>
        </w:rPr>
        <w:t>u</w:t>
      </w:r>
      <w:r w:rsidRPr="0026653F">
        <w:rPr>
          <w:bCs/>
          <w:color w:val="000000"/>
          <w:szCs w:val="22"/>
          <w:lang w:val="fr-FR"/>
        </w:rPr>
        <w:t xml:space="preserve"> droit international d’élaborer par la suite un rapport énonçant ses principaux résultats aux fins de présentation au C</w:t>
      </w:r>
      <w:r w:rsidR="00416C05" w:rsidRPr="0026653F">
        <w:rPr>
          <w:bCs/>
          <w:color w:val="000000"/>
          <w:szCs w:val="22"/>
          <w:lang w:val="fr-FR"/>
        </w:rPr>
        <w:t>JI</w:t>
      </w:r>
      <w:r w:rsidRPr="0026653F">
        <w:rPr>
          <w:bCs/>
          <w:color w:val="000000"/>
          <w:szCs w:val="22"/>
          <w:lang w:val="fr-FR"/>
        </w:rPr>
        <w:t>.</w:t>
      </w:r>
    </w:p>
    <w:p w14:paraId="42B07CB4" w14:textId="77777777" w:rsidR="00441B17" w:rsidRPr="0026653F" w:rsidRDefault="00441B17" w:rsidP="00C618DD">
      <w:pPr>
        <w:rPr>
          <w:bCs/>
          <w:color w:val="000000"/>
          <w:szCs w:val="22"/>
          <w:lang w:val="fr-FR"/>
        </w:rPr>
      </w:pPr>
    </w:p>
    <w:p w14:paraId="07ACE980" w14:textId="733A5122" w:rsidR="00441B17" w:rsidRPr="0026653F" w:rsidRDefault="00441B17" w:rsidP="00C618DD">
      <w:pPr>
        <w:ind w:firstLine="720"/>
        <w:rPr>
          <w:bCs/>
          <w:color w:val="000000"/>
          <w:szCs w:val="22"/>
          <w:lang w:val="fr-FR"/>
        </w:rPr>
      </w:pPr>
      <w:r w:rsidRPr="0026653F">
        <w:rPr>
          <w:bCs/>
          <w:color w:val="000000"/>
          <w:szCs w:val="22"/>
          <w:lang w:val="fr-FR"/>
        </w:rPr>
        <w:lastRenderedPageBreak/>
        <w:t>8.</w:t>
      </w:r>
      <w:r w:rsidRPr="0026653F">
        <w:rPr>
          <w:bCs/>
          <w:color w:val="000000"/>
          <w:szCs w:val="22"/>
          <w:lang w:val="fr-FR"/>
        </w:rPr>
        <w:tab/>
        <w:t xml:space="preserve">De charger la CAJP de réaliser avant la cinquante-et-unième session ordinaire de l’Assemblée générale une réunion qui sera consacrée à </w:t>
      </w:r>
      <w:r w:rsidR="00E03BD8" w:rsidRPr="0026653F">
        <w:rPr>
          <w:bCs/>
          <w:color w:val="000000"/>
          <w:szCs w:val="22"/>
          <w:lang w:val="fr-FR"/>
        </w:rPr>
        <w:t xml:space="preserve">une réflexion collective sur </w:t>
      </w:r>
      <w:r w:rsidRPr="0026653F">
        <w:rPr>
          <w:bCs/>
          <w:color w:val="000000"/>
          <w:szCs w:val="22"/>
          <w:lang w:val="fr-FR"/>
        </w:rPr>
        <w:t xml:space="preserve">l’inviolabilité des sièges diplomatiques en tant que principe des relations </w:t>
      </w:r>
      <w:r w:rsidR="00BF7B10" w:rsidRPr="0026653F">
        <w:rPr>
          <w:bCs/>
          <w:color w:val="000000"/>
          <w:szCs w:val="22"/>
          <w:lang w:val="fr-FR"/>
        </w:rPr>
        <w:t>internationales</w:t>
      </w:r>
      <w:r w:rsidRPr="0026653F">
        <w:rPr>
          <w:bCs/>
          <w:color w:val="000000"/>
          <w:szCs w:val="22"/>
          <w:lang w:val="fr-FR"/>
        </w:rPr>
        <w:t xml:space="preserve"> et son rapport avec la notion d’asile diplomatique, et de charger le Département d</w:t>
      </w:r>
      <w:r w:rsidR="00E03BD8" w:rsidRPr="0026653F">
        <w:rPr>
          <w:bCs/>
          <w:color w:val="000000"/>
          <w:szCs w:val="22"/>
          <w:lang w:val="fr-FR"/>
        </w:rPr>
        <w:t>u</w:t>
      </w:r>
      <w:r w:rsidRPr="0026653F">
        <w:rPr>
          <w:bCs/>
          <w:color w:val="000000"/>
          <w:szCs w:val="22"/>
          <w:lang w:val="fr-FR"/>
        </w:rPr>
        <w:t xml:space="preserve"> droit international d’élaborer par la suite un rapport énonçant ses principaux résultats aux fins de présentation au C</w:t>
      </w:r>
      <w:r w:rsidR="00416C05" w:rsidRPr="0026653F">
        <w:rPr>
          <w:bCs/>
          <w:color w:val="000000"/>
          <w:szCs w:val="22"/>
          <w:lang w:val="fr-FR"/>
        </w:rPr>
        <w:t>JI</w:t>
      </w:r>
      <w:r w:rsidRPr="0026653F">
        <w:rPr>
          <w:bCs/>
          <w:color w:val="000000"/>
          <w:szCs w:val="22"/>
          <w:lang w:val="fr-FR"/>
        </w:rPr>
        <w:t>.</w:t>
      </w:r>
      <w:r w:rsidRPr="0026653F">
        <w:rPr>
          <w:szCs w:val="22"/>
          <w:u w:val="single"/>
          <w:vertAlign w:val="superscript"/>
          <w:lang w:val="fr-FR"/>
        </w:rPr>
        <w:footnoteReference w:id="68"/>
      </w:r>
      <w:r w:rsidRPr="0026653F">
        <w:rPr>
          <w:color w:val="000000"/>
          <w:szCs w:val="22"/>
          <w:vertAlign w:val="superscript"/>
          <w:lang w:val="fr-FR"/>
        </w:rPr>
        <w:t>/</w:t>
      </w:r>
    </w:p>
    <w:p w14:paraId="0F867A64" w14:textId="77777777" w:rsidR="00441B17" w:rsidRPr="0026653F" w:rsidRDefault="00441B17" w:rsidP="00C618DD">
      <w:pPr>
        <w:rPr>
          <w:bCs/>
          <w:color w:val="000000"/>
          <w:szCs w:val="22"/>
          <w:lang w:val="fr-FR"/>
        </w:rPr>
      </w:pPr>
    </w:p>
    <w:p w14:paraId="35120C38" w14:textId="145D1B9C" w:rsidR="00441B17" w:rsidRPr="0026653F" w:rsidRDefault="00441B17" w:rsidP="00C618DD">
      <w:pPr>
        <w:ind w:firstLine="720"/>
        <w:rPr>
          <w:bCs/>
          <w:color w:val="000000"/>
          <w:szCs w:val="22"/>
          <w:lang w:val="fr-FR"/>
        </w:rPr>
      </w:pPr>
      <w:r w:rsidRPr="0026653F">
        <w:rPr>
          <w:bCs/>
          <w:szCs w:val="22"/>
          <w:lang w:val="fr-FR"/>
        </w:rPr>
        <w:t>9.</w:t>
      </w:r>
      <w:r w:rsidRPr="0026653F">
        <w:rPr>
          <w:bCs/>
          <w:szCs w:val="22"/>
          <w:lang w:val="fr-FR"/>
        </w:rPr>
        <w:tab/>
        <w:t xml:space="preserve">De promouvoir parmi les États membres et les observateurs permanents la célébration, en 2021, du </w:t>
      </w:r>
      <w:r w:rsidR="00E03BD8" w:rsidRPr="0026653F">
        <w:rPr>
          <w:bCs/>
          <w:szCs w:val="22"/>
          <w:lang w:val="fr-FR"/>
        </w:rPr>
        <w:t xml:space="preserve">soixantième </w:t>
      </w:r>
      <w:r w:rsidRPr="0026653F">
        <w:rPr>
          <w:bCs/>
          <w:szCs w:val="22"/>
          <w:lang w:val="fr-FR"/>
        </w:rPr>
        <w:t>anniversaire de la Convention de Vienne sur les relations diplomatiques de 1961.</w:t>
      </w:r>
    </w:p>
    <w:p w14:paraId="106B9B89" w14:textId="77777777" w:rsidR="00441B17" w:rsidRPr="0026653F" w:rsidRDefault="00441B17" w:rsidP="00C618DD">
      <w:pPr>
        <w:rPr>
          <w:bCs/>
          <w:color w:val="000000"/>
          <w:szCs w:val="22"/>
          <w:lang w:val="fr-FR"/>
        </w:rPr>
      </w:pPr>
    </w:p>
    <w:p w14:paraId="0B3A8C6C" w14:textId="77777777" w:rsidR="00441B17" w:rsidRPr="0026653F" w:rsidRDefault="00441B17" w:rsidP="00C618DD">
      <w:pPr>
        <w:jc w:val="left"/>
        <w:rPr>
          <w:b/>
          <w:bCs/>
          <w:color w:val="000000"/>
          <w:szCs w:val="22"/>
          <w:lang w:val="fr-FR"/>
        </w:rPr>
      </w:pPr>
      <w:r w:rsidRPr="0026653F">
        <w:rPr>
          <w:color w:val="000000"/>
          <w:szCs w:val="22"/>
          <w:lang w:val="fr-FR"/>
        </w:rPr>
        <w:t>ii.</w:t>
      </w:r>
      <w:r w:rsidRPr="0026653F">
        <w:rPr>
          <w:color w:val="000000"/>
          <w:szCs w:val="22"/>
          <w:lang w:val="fr-FR"/>
        </w:rPr>
        <w:tab/>
      </w:r>
      <w:r w:rsidRPr="0026653F">
        <w:rPr>
          <w:bCs/>
          <w:color w:val="000000"/>
          <w:szCs w:val="22"/>
          <w:u w:val="single"/>
          <w:lang w:val="fr-FR"/>
        </w:rPr>
        <w:t>Comité juridique interaméricain</w:t>
      </w:r>
    </w:p>
    <w:p w14:paraId="6029C0CE" w14:textId="77777777" w:rsidR="00441B17" w:rsidRPr="0026653F" w:rsidRDefault="00441B17" w:rsidP="00C618DD">
      <w:pPr>
        <w:rPr>
          <w:color w:val="000000"/>
          <w:szCs w:val="22"/>
          <w:lang w:val="fr-FR"/>
        </w:rPr>
      </w:pPr>
    </w:p>
    <w:p w14:paraId="3CD69A2B" w14:textId="4AEC9F20" w:rsidR="00441B17" w:rsidRPr="0026653F" w:rsidRDefault="00441B17" w:rsidP="00C618DD">
      <w:pPr>
        <w:ind w:firstLine="720"/>
        <w:rPr>
          <w:b/>
          <w:bCs/>
          <w:color w:val="000000"/>
          <w:szCs w:val="22"/>
          <w:lang w:val="fr-FR"/>
        </w:rPr>
      </w:pPr>
      <w:r w:rsidRPr="0026653F">
        <w:rPr>
          <w:szCs w:val="22"/>
          <w:lang w:val="fr-FR"/>
        </w:rPr>
        <w:t xml:space="preserve">CONSIDÉRANT les observations et les recommandations formulées par les États membres au sujet du rapport annuel du Comité juridique interaméricain </w:t>
      </w:r>
      <w:r w:rsidR="00F817C8" w:rsidRPr="0026653F">
        <w:rPr>
          <w:szCs w:val="22"/>
          <w:lang w:val="fr-FR"/>
        </w:rPr>
        <w:t xml:space="preserve">(CJI) </w:t>
      </w:r>
      <w:r w:rsidRPr="0026653F">
        <w:rPr>
          <w:szCs w:val="22"/>
          <w:lang w:val="fr-FR"/>
        </w:rPr>
        <w:t>(CP/doc.5600/20),</w:t>
      </w:r>
      <w:r w:rsidRPr="0026653F">
        <w:rPr>
          <w:b/>
          <w:color w:val="000000"/>
          <w:szCs w:val="22"/>
          <w:lang w:val="fr-FR"/>
        </w:rPr>
        <w:t xml:space="preserve"> </w:t>
      </w:r>
    </w:p>
    <w:p w14:paraId="0FE53CB7" w14:textId="77777777" w:rsidR="00441B17" w:rsidRPr="0026653F" w:rsidRDefault="00441B17" w:rsidP="00C618DD">
      <w:pPr>
        <w:jc w:val="left"/>
        <w:rPr>
          <w:color w:val="000000"/>
          <w:szCs w:val="22"/>
          <w:lang w:val="fr-FR"/>
        </w:rPr>
      </w:pPr>
    </w:p>
    <w:p w14:paraId="6856EAD5" w14:textId="29724B19" w:rsidR="00441B17" w:rsidRPr="0026653F" w:rsidRDefault="00441B17" w:rsidP="00C618DD">
      <w:pPr>
        <w:ind w:firstLine="720"/>
        <w:rPr>
          <w:color w:val="000000"/>
          <w:szCs w:val="22"/>
          <w:lang w:val="fr-FR"/>
        </w:rPr>
      </w:pPr>
      <w:r w:rsidRPr="0026653F">
        <w:rPr>
          <w:color w:val="000000"/>
          <w:szCs w:val="22"/>
          <w:lang w:val="fr-FR"/>
        </w:rPr>
        <w:t>TENANT COMPTE du fait que lors de sa quatre-vingt-dix-septième session ordinaire tenue en août 2020, le C</w:t>
      </w:r>
      <w:r w:rsidR="00F817C8" w:rsidRPr="0026653F">
        <w:rPr>
          <w:color w:val="000000"/>
          <w:szCs w:val="22"/>
          <w:lang w:val="fr-FR"/>
        </w:rPr>
        <w:t xml:space="preserve">JI </w:t>
      </w:r>
      <w:r w:rsidRPr="0026653F">
        <w:rPr>
          <w:color w:val="000000"/>
          <w:szCs w:val="22"/>
          <w:lang w:val="fr-FR"/>
        </w:rPr>
        <w:t xml:space="preserve">a approuvé les </w:t>
      </w:r>
      <w:r w:rsidR="00E03BD8" w:rsidRPr="0026653F">
        <w:rPr>
          <w:color w:val="000000"/>
          <w:szCs w:val="22"/>
          <w:lang w:val="fr-FR"/>
        </w:rPr>
        <w:t>« </w:t>
      </w:r>
      <w:r w:rsidRPr="0026653F">
        <w:rPr>
          <w:color w:val="000000"/>
          <w:szCs w:val="22"/>
          <w:lang w:val="fr-FR"/>
        </w:rPr>
        <w:t>Lignes directrices du Comité juridique interaméricain pour les accords contraignants et non contraignants</w:t>
      </w:r>
      <w:r w:rsidR="00E03BD8" w:rsidRPr="0026653F">
        <w:rPr>
          <w:color w:val="000000"/>
          <w:szCs w:val="22"/>
          <w:lang w:val="fr-FR"/>
        </w:rPr>
        <w:t> »</w:t>
      </w:r>
      <w:r w:rsidRPr="0026653F">
        <w:rPr>
          <w:color w:val="000000"/>
          <w:szCs w:val="22"/>
          <w:lang w:val="fr-FR"/>
        </w:rPr>
        <w:t xml:space="preserve"> (CJI/doc.614/20 rev.</w:t>
      </w:r>
      <w:r w:rsidR="00E03BD8" w:rsidRPr="0026653F">
        <w:rPr>
          <w:color w:val="000000"/>
          <w:szCs w:val="22"/>
          <w:lang w:val="fr-FR"/>
        </w:rPr>
        <w:t xml:space="preserve"> </w:t>
      </w:r>
      <w:r w:rsidRPr="0026653F">
        <w:rPr>
          <w:color w:val="000000"/>
          <w:szCs w:val="22"/>
          <w:lang w:val="fr-FR"/>
        </w:rPr>
        <w:t>1 corr.</w:t>
      </w:r>
      <w:r w:rsidR="00E03BD8" w:rsidRPr="0026653F">
        <w:rPr>
          <w:color w:val="000000"/>
          <w:szCs w:val="22"/>
          <w:lang w:val="fr-FR"/>
        </w:rPr>
        <w:t xml:space="preserve"> </w:t>
      </w:r>
      <w:r w:rsidRPr="0026653F">
        <w:rPr>
          <w:color w:val="000000"/>
          <w:szCs w:val="22"/>
          <w:lang w:val="fr-FR"/>
        </w:rPr>
        <w:t xml:space="preserve">1) et a transmis </w:t>
      </w:r>
      <w:r w:rsidR="00E03BD8" w:rsidRPr="0026653F">
        <w:rPr>
          <w:color w:val="000000"/>
          <w:szCs w:val="22"/>
          <w:lang w:val="fr-FR"/>
        </w:rPr>
        <w:t xml:space="preserve">celles-ci </w:t>
      </w:r>
      <w:r w:rsidRPr="0026653F">
        <w:rPr>
          <w:color w:val="000000"/>
          <w:szCs w:val="22"/>
          <w:lang w:val="fr-FR"/>
        </w:rPr>
        <w:t xml:space="preserve">à l’Assemblée générale pour qu’elle en prenne connaissance et les examine, et prenant en compte le rapport </w:t>
      </w:r>
      <w:r w:rsidR="00E03BD8" w:rsidRPr="0026653F">
        <w:rPr>
          <w:color w:val="000000"/>
          <w:szCs w:val="22"/>
          <w:lang w:val="fr-FR"/>
        </w:rPr>
        <w:t>« </w:t>
      </w:r>
      <w:r w:rsidRPr="0026653F">
        <w:rPr>
          <w:color w:val="000000"/>
          <w:szCs w:val="22"/>
          <w:lang w:val="fr-FR"/>
        </w:rPr>
        <w:t>Droit international et cyber-opérations des États : améliorer la transparence</w:t>
      </w:r>
      <w:r w:rsidR="00E03BD8" w:rsidRPr="0026653F">
        <w:rPr>
          <w:color w:val="000000"/>
          <w:szCs w:val="22"/>
          <w:lang w:val="fr-FR"/>
        </w:rPr>
        <w:t> »</w:t>
      </w:r>
      <w:r w:rsidRPr="0026653F">
        <w:rPr>
          <w:color w:val="000000"/>
          <w:szCs w:val="22"/>
          <w:lang w:val="fr-FR"/>
        </w:rPr>
        <w:t xml:space="preserve"> (CJI/doc.615/20) recommandant à l’Assemblée générale d’approuver la déclaration contenue dans la résolution </w:t>
      </w:r>
      <w:bookmarkStart w:id="58" w:name="_Hlk66433055"/>
      <w:r w:rsidRPr="0026653F">
        <w:rPr>
          <w:color w:val="000000"/>
          <w:szCs w:val="22"/>
          <w:lang w:val="fr-FR"/>
        </w:rPr>
        <w:t>CJI/</w:t>
      </w:r>
      <w:r w:rsidR="00E03BD8" w:rsidRPr="0026653F">
        <w:rPr>
          <w:color w:val="000000"/>
          <w:szCs w:val="22"/>
          <w:lang w:val="fr-FR"/>
        </w:rPr>
        <w:t xml:space="preserve">RES. </w:t>
      </w:r>
      <w:r w:rsidRPr="0026653F">
        <w:rPr>
          <w:color w:val="000000"/>
          <w:szCs w:val="22"/>
          <w:lang w:val="fr-FR"/>
        </w:rPr>
        <w:t>260 (XCVII-O</w:t>
      </w:r>
      <w:r w:rsidR="00E03BD8" w:rsidRPr="0026653F">
        <w:rPr>
          <w:color w:val="000000"/>
          <w:szCs w:val="22"/>
          <w:lang w:val="fr-FR"/>
        </w:rPr>
        <w:t>/</w:t>
      </w:r>
      <w:r w:rsidRPr="0026653F">
        <w:rPr>
          <w:color w:val="000000"/>
          <w:szCs w:val="22"/>
          <w:lang w:val="fr-FR"/>
        </w:rPr>
        <w:t xml:space="preserve">20), </w:t>
      </w:r>
      <w:bookmarkEnd w:id="58"/>
      <w:r w:rsidR="00E03BD8" w:rsidRPr="0026653F">
        <w:rPr>
          <w:color w:val="000000"/>
          <w:szCs w:val="22"/>
          <w:lang w:val="fr-FR"/>
        </w:rPr>
        <w:t>« </w:t>
      </w:r>
      <w:r w:rsidRPr="0026653F">
        <w:rPr>
          <w:color w:val="000000"/>
          <w:szCs w:val="22"/>
          <w:lang w:val="fr-FR"/>
        </w:rPr>
        <w:t>Droit international et cyber-opérations des États</w:t>
      </w:r>
      <w:r w:rsidR="00E03BD8" w:rsidRPr="0026653F">
        <w:rPr>
          <w:color w:val="000000"/>
          <w:szCs w:val="22"/>
          <w:lang w:val="fr-FR"/>
        </w:rPr>
        <w:t> »</w:t>
      </w:r>
      <w:r w:rsidRPr="0026653F">
        <w:rPr>
          <w:color w:val="000000"/>
          <w:szCs w:val="22"/>
          <w:lang w:val="fr-FR"/>
        </w:rPr>
        <w:t>,</w:t>
      </w:r>
    </w:p>
    <w:p w14:paraId="697BC99D" w14:textId="77777777" w:rsidR="00441B17" w:rsidRPr="0026653F" w:rsidRDefault="00441B17" w:rsidP="00C618DD">
      <w:pPr>
        <w:jc w:val="left"/>
        <w:rPr>
          <w:color w:val="000000"/>
          <w:szCs w:val="22"/>
          <w:lang w:val="fr-FR"/>
        </w:rPr>
      </w:pPr>
    </w:p>
    <w:p w14:paraId="4CF27CE0" w14:textId="77777777" w:rsidR="00441B17" w:rsidRPr="0026653F" w:rsidRDefault="00441B17" w:rsidP="00C618DD">
      <w:pPr>
        <w:jc w:val="left"/>
        <w:rPr>
          <w:color w:val="000000"/>
          <w:szCs w:val="22"/>
          <w:lang w:val="fr-FR"/>
        </w:rPr>
      </w:pPr>
      <w:r w:rsidRPr="0026653F">
        <w:rPr>
          <w:szCs w:val="22"/>
          <w:lang w:val="fr-FR"/>
        </w:rPr>
        <w:t>DÉCIDE :</w:t>
      </w:r>
    </w:p>
    <w:p w14:paraId="0DAD8C59" w14:textId="77777777" w:rsidR="00441B17" w:rsidRPr="0026653F" w:rsidRDefault="00441B17" w:rsidP="00C618DD">
      <w:pPr>
        <w:rPr>
          <w:color w:val="000000"/>
          <w:szCs w:val="22"/>
          <w:lang w:val="fr-FR"/>
        </w:rPr>
      </w:pPr>
    </w:p>
    <w:p w14:paraId="55EDE62E" w14:textId="77777777" w:rsidR="00441B17" w:rsidRPr="0026653F" w:rsidRDefault="00441B17" w:rsidP="00C618DD">
      <w:pPr>
        <w:ind w:firstLine="720"/>
        <w:rPr>
          <w:szCs w:val="22"/>
          <w:lang w:val="fr-FR"/>
        </w:rPr>
      </w:pPr>
      <w:r w:rsidRPr="0026653F">
        <w:rPr>
          <w:bCs/>
          <w:color w:val="000000"/>
          <w:szCs w:val="22"/>
          <w:lang w:val="fr-FR"/>
        </w:rPr>
        <w:t>1.</w:t>
      </w:r>
      <w:r w:rsidRPr="0026653F">
        <w:rPr>
          <w:bCs/>
          <w:color w:val="000000"/>
          <w:szCs w:val="22"/>
          <w:lang w:val="fr-FR"/>
        </w:rPr>
        <w:tab/>
      </w:r>
      <w:r w:rsidRPr="0026653F">
        <w:rPr>
          <w:bCs/>
          <w:szCs w:val="22"/>
          <w:lang w:val="fr-FR"/>
        </w:rPr>
        <w:t>De saluer la diffusion par le Secrétariat technique du Comité juridique interaméricain (CJI) du Guide sur le droit applicable aux contrats commerciaux internationaux dans les Amériques aux États membres, et de l’exhorter à en actualiser le contenu afin de le consolider comme un outil au service des États membres.</w:t>
      </w:r>
    </w:p>
    <w:p w14:paraId="22A4673A" w14:textId="77777777" w:rsidR="00441B17" w:rsidRPr="0026653F" w:rsidRDefault="00441B17" w:rsidP="00C618DD">
      <w:pPr>
        <w:rPr>
          <w:bCs/>
          <w:color w:val="000000"/>
          <w:szCs w:val="22"/>
          <w:lang w:val="fr-FR"/>
        </w:rPr>
      </w:pPr>
    </w:p>
    <w:p w14:paraId="1818E0DB" w14:textId="776ED362" w:rsidR="00441B17" w:rsidRPr="0026653F" w:rsidRDefault="00441B17" w:rsidP="00C618DD">
      <w:pPr>
        <w:ind w:firstLine="720"/>
        <w:rPr>
          <w:bCs/>
          <w:color w:val="000000"/>
          <w:szCs w:val="22"/>
          <w:lang w:val="fr-FR"/>
        </w:rPr>
      </w:pPr>
      <w:r w:rsidRPr="0026653F">
        <w:rPr>
          <w:bCs/>
          <w:color w:val="000000"/>
          <w:szCs w:val="22"/>
          <w:lang w:val="fr-FR"/>
        </w:rPr>
        <w:t>2.</w:t>
      </w:r>
      <w:r w:rsidRPr="0026653F">
        <w:rPr>
          <w:bCs/>
          <w:color w:val="000000"/>
          <w:szCs w:val="22"/>
          <w:lang w:val="fr-FR"/>
        </w:rPr>
        <w:tab/>
        <w:t xml:space="preserve">De prendre note des Lignes directrices pour les accords contraignants et non contraignants </w:t>
      </w:r>
      <w:r w:rsidR="00E03BD8" w:rsidRPr="0026653F">
        <w:rPr>
          <w:bCs/>
          <w:color w:val="000000"/>
          <w:szCs w:val="22"/>
          <w:lang w:val="fr-FR"/>
        </w:rPr>
        <w:t xml:space="preserve">élaborées par le CJI </w:t>
      </w:r>
      <w:r w:rsidRPr="0026653F">
        <w:rPr>
          <w:bCs/>
          <w:color w:val="000000"/>
          <w:szCs w:val="22"/>
          <w:lang w:val="fr-FR"/>
        </w:rPr>
        <w:t xml:space="preserve">et de demander au Département du droit international d’obtenir les avis des États membres en vue d’une diffusion de ces lignes directrices, de prendre note du rapport </w:t>
      </w:r>
      <w:r w:rsidR="00E03BD8" w:rsidRPr="0026653F">
        <w:rPr>
          <w:bCs/>
          <w:color w:val="000000"/>
          <w:szCs w:val="22"/>
          <w:lang w:val="fr-FR"/>
        </w:rPr>
        <w:t xml:space="preserve">du </w:t>
      </w:r>
      <w:r w:rsidRPr="0026653F">
        <w:rPr>
          <w:bCs/>
          <w:color w:val="000000"/>
          <w:szCs w:val="22"/>
          <w:lang w:val="fr-FR"/>
        </w:rPr>
        <w:t xml:space="preserve">CJI </w:t>
      </w:r>
      <w:r w:rsidR="00E03BD8" w:rsidRPr="0026653F">
        <w:rPr>
          <w:bCs/>
          <w:color w:val="000000"/>
          <w:szCs w:val="22"/>
          <w:lang w:val="fr-FR"/>
        </w:rPr>
        <w:t>intitulé D</w:t>
      </w:r>
      <w:r w:rsidRPr="0026653F">
        <w:rPr>
          <w:bCs/>
          <w:color w:val="000000"/>
          <w:szCs w:val="22"/>
          <w:lang w:val="fr-FR"/>
        </w:rPr>
        <w:t>roit international et cyber</w:t>
      </w:r>
      <w:r w:rsidR="00E03BD8" w:rsidRPr="0026653F">
        <w:rPr>
          <w:bCs/>
          <w:color w:val="000000"/>
          <w:szCs w:val="22"/>
          <w:lang w:val="fr-FR"/>
        </w:rPr>
        <w:t>-</w:t>
      </w:r>
      <w:r w:rsidRPr="0026653F">
        <w:rPr>
          <w:bCs/>
          <w:color w:val="000000"/>
          <w:szCs w:val="22"/>
          <w:lang w:val="fr-FR"/>
        </w:rPr>
        <w:t xml:space="preserve">opérations des États : </w:t>
      </w:r>
      <w:r w:rsidR="00E03BD8" w:rsidRPr="0026653F">
        <w:rPr>
          <w:bCs/>
          <w:color w:val="000000"/>
          <w:szCs w:val="22"/>
          <w:lang w:val="fr-FR"/>
        </w:rPr>
        <w:t>a</w:t>
      </w:r>
      <w:r w:rsidRPr="0026653F">
        <w:rPr>
          <w:bCs/>
          <w:color w:val="000000"/>
          <w:szCs w:val="22"/>
          <w:lang w:val="fr-FR"/>
        </w:rPr>
        <w:t xml:space="preserve">méliorer la transparence, et de demander à son </w:t>
      </w:r>
      <w:r w:rsidR="00E03BD8" w:rsidRPr="0026653F">
        <w:rPr>
          <w:bCs/>
          <w:color w:val="000000"/>
          <w:szCs w:val="22"/>
          <w:lang w:val="fr-FR"/>
        </w:rPr>
        <w:t>s</w:t>
      </w:r>
      <w:r w:rsidRPr="0026653F">
        <w:rPr>
          <w:bCs/>
          <w:color w:val="000000"/>
          <w:szCs w:val="22"/>
          <w:lang w:val="fr-FR"/>
        </w:rPr>
        <w:t>ecrétariat technique, le Département du droit international, de les diffuser le plus largement possible.</w:t>
      </w:r>
      <w:r w:rsidRPr="0026653F">
        <w:rPr>
          <w:szCs w:val="22"/>
          <w:u w:val="single"/>
          <w:vertAlign w:val="superscript"/>
          <w:lang w:val="fr-FR"/>
        </w:rPr>
        <w:footnoteReference w:id="69"/>
      </w:r>
      <w:r w:rsidRPr="0026653F">
        <w:rPr>
          <w:color w:val="000000"/>
          <w:szCs w:val="22"/>
          <w:vertAlign w:val="superscript"/>
          <w:lang w:val="fr-FR"/>
        </w:rPr>
        <w:t>/</w:t>
      </w:r>
    </w:p>
    <w:p w14:paraId="0D7701A9" w14:textId="77777777" w:rsidR="00441B17" w:rsidRPr="0026653F" w:rsidRDefault="00441B17" w:rsidP="00C618DD">
      <w:pPr>
        <w:rPr>
          <w:bCs/>
          <w:color w:val="000000"/>
          <w:szCs w:val="22"/>
          <w:lang w:val="fr-FR"/>
        </w:rPr>
      </w:pPr>
    </w:p>
    <w:p w14:paraId="29876A8A" w14:textId="540A1307" w:rsidR="00441B17" w:rsidRPr="0026653F" w:rsidRDefault="00441B17" w:rsidP="00C618DD">
      <w:pPr>
        <w:ind w:firstLine="720"/>
        <w:rPr>
          <w:bCs/>
          <w:color w:val="000000"/>
          <w:szCs w:val="22"/>
          <w:lang w:val="fr-FR"/>
        </w:rPr>
      </w:pPr>
      <w:r w:rsidRPr="0026653F">
        <w:rPr>
          <w:bCs/>
          <w:color w:val="000000"/>
          <w:szCs w:val="22"/>
          <w:lang w:val="fr-FR"/>
        </w:rPr>
        <w:t>3.</w:t>
      </w:r>
      <w:r w:rsidRPr="0026653F">
        <w:rPr>
          <w:bCs/>
          <w:color w:val="000000"/>
          <w:szCs w:val="22"/>
          <w:lang w:val="fr-FR"/>
        </w:rPr>
        <w:tab/>
        <w:t xml:space="preserve">De réitérer la demande faite au CJI </w:t>
      </w:r>
      <w:r w:rsidR="00357AEF" w:rsidRPr="0026653F">
        <w:rPr>
          <w:bCs/>
          <w:color w:val="000000"/>
          <w:szCs w:val="22"/>
          <w:lang w:val="fr-FR"/>
        </w:rPr>
        <w:t xml:space="preserve">dans le sens de l’élaboration continue de son programme de travail, comme énoncé </w:t>
      </w:r>
      <w:r w:rsidRPr="0026653F">
        <w:rPr>
          <w:bCs/>
          <w:color w:val="000000"/>
          <w:szCs w:val="22"/>
          <w:lang w:val="fr-FR"/>
        </w:rPr>
        <w:t xml:space="preserve">dans </w:t>
      </w:r>
      <w:r w:rsidR="00357AEF" w:rsidRPr="0026653F">
        <w:rPr>
          <w:bCs/>
          <w:color w:val="000000"/>
          <w:szCs w:val="22"/>
          <w:lang w:val="fr-FR"/>
        </w:rPr>
        <w:t xml:space="preserve">la </w:t>
      </w:r>
      <w:r w:rsidRPr="0026653F">
        <w:rPr>
          <w:bCs/>
          <w:color w:val="000000"/>
          <w:szCs w:val="22"/>
          <w:lang w:val="fr-FR"/>
        </w:rPr>
        <w:t xml:space="preserve">résolution </w:t>
      </w:r>
      <w:bookmarkStart w:id="59" w:name="_Hlk66433120"/>
      <w:r w:rsidRPr="0026653F">
        <w:rPr>
          <w:bCs/>
          <w:color w:val="000000"/>
          <w:szCs w:val="22"/>
          <w:lang w:val="fr-FR"/>
        </w:rPr>
        <w:t>CJI/RES. 25</w:t>
      </w:r>
      <w:r w:rsidR="00357AEF" w:rsidRPr="0026653F">
        <w:rPr>
          <w:bCs/>
          <w:color w:val="000000"/>
          <w:szCs w:val="22"/>
          <w:lang w:val="fr-FR"/>
        </w:rPr>
        <w:t>7</w:t>
      </w:r>
      <w:r w:rsidRPr="0026653F">
        <w:rPr>
          <w:bCs/>
          <w:color w:val="000000"/>
          <w:szCs w:val="22"/>
          <w:lang w:val="fr-FR"/>
        </w:rPr>
        <w:t xml:space="preserve"> (XCVI</w:t>
      </w:r>
      <w:r w:rsidR="00357AEF" w:rsidRPr="0026653F">
        <w:rPr>
          <w:bCs/>
          <w:color w:val="000000"/>
          <w:szCs w:val="22"/>
          <w:lang w:val="fr-FR"/>
        </w:rPr>
        <w:t>I-</w:t>
      </w:r>
      <w:r w:rsidRPr="0026653F">
        <w:rPr>
          <w:bCs/>
          <w:color w:val="000000"/>
          <w:szCs w:val="22"/>
          <w:lang w:val="fr-FR"/>
        </w:rPr>
        <w:t>O/20).</w:t>
      </w:r>
      <w:bookmarkEnd w:id="59"/>
    </w:p>
    <w:p w14:paraId="4B0F082C" w14:textId="77777777" w:rsidR="00441B17" w:rsidRPr="0026653F" w:rsidRDefault="00441B17" w:rsidP="00C618DD">
      <w:pPr>
        <w:rPr>
          <w:color w:val="000000"/>
          <w:szCs w:val="22"/>
          <w:lang w:val="fr-FR"/>
        </w:rPr>
      </w:pPr>
    </w:p>
    <w:p w14:paraId="1AB96A3C" w14:textId="77777777" w:rsidR="00441B17" w:rsidRPr="0026653F" w:rsidRDefault="00441B17" w:rsidP="00C618DD">
      <w:pPr>
        <w:ind w:firstLine="720"/>
        <w:rPr>
          <w:color w:val="000000"/>
          <w:szCs w:val="22"/>
          <w:lang w:val="fr-FR"/>
        </w:rPr>
      </w:pPr>
      <w:r w:rsidRPr="0026653F">
        <w:rPr>
          <w:color w:val="000000"/>
          <w:szCs w:val="22"/>
          <w:lang w:val="fr-FR"/>
        </w:rPr>
        <w:t>4.</w:t>
      </w:r>
      <w:r w:rsidRPr="0026653F">
        <w:rPr>
          <w:color w:val="000000"/>
          <w:szCs w:val="22"/>
          <w:lang w:val="fr-FR"/>
        </w:rPr>
        <w:tab/>
      </w:r>
      <w:r w:rsidRPr="0026653F">
        <w:rPr>
          <w:szCs w:val="22"/>
          <w:lang w:val="fr-FR"/>
        </w:rPr>
        <w:t>De renouveler l’invitation adressée aux États membres pour</w:t>
      </w:r>
      <w:r w:rsidRPr="0026653F">
        <w:rPr>
          <w:color w:val="000000"/>
          <w:szCs w:val="22"/>
          <w:lang w:val="fr-FR"/>
        </w:rPr>
        <w:t xml:space="preserve"> qu’ils fournissent des commentaires en temps utile sur les demandes d’information du CJI afin de faciliter l’élaboration de rapports sur les questions relevant de la responsabilité du Comité.</w:t>
      </w:r>
    </w:p>
    <w:p w14:paraId="562D4900" w14:textId="77777777" w:rsidR="00441B17" w:rsidRPr="0026653F" w:rsidRDefault="00441B17" w:rsidP="00C618DD">
      <w:pPr>
        <w:rPr>
          <w:color w:val="000000"/>
          <w:szCs w:val="22"/>
          <w:lang w:val="fr-FR"/>
        </w:rPr>
      </w:pPr>
    </w:p>
    <w:p w14:paraId="22567099" w14:textId="56EC7FC3" w:rsidR="00441B17" w:rsidRPr="0026653F" w:rsidRDefault="00441B17" w:rsidP="00C618DD">
      <w:pPr>
        <w:ind w:firstLine="720"/>
        <w:rPr>
          <w:b/>
          <w:color w:val="000000"/>
          <w:szCs w:val="22"/>
          <w:lang w:val="fr-FR"/>
        </w:rPr>
      </w:pPr>
      <w:r w:rsidRPr="0026653F">
        <w:rPr>
          <w:bCs/>
          <w:color w:val="000000"/>
          <w:szCs w:val="22"/>
          <w:lang w:val="fr-FR"/>
        </w:rPr>
        <w:t>5.</w:t>
      </w:r>
      <w:r w:rsidRPr="0026653F">
        <w:rPr>
          <w:bCs/>
          <w:color w:val="000000"/>
          <w:szCs w:val="22"/>
          <w:lang w:val="fr-FR"/>
        </w:rPr>
        <w:tab/>
      </w:r>
      <w:r w:rsidRPr="0026653F">
        <w:rPr>
          <w:bCs/>
          <w:szCs w:val="22"/>
          <w:lang w:val="fr-FR"/>
        </w:rPr>
        <w:t xml:space="preserve">De reconnaître la nécessité de progresser dans le renforcement administratif et budgétaire du CJI afin d’assurer la réalisation de ses objectifs, en particulier son rôle consultatif, ainsi que son rôle académique à travers le cours de droit international organisé chaque année à Rio de Janeiro. </w:t>
      </w:r>
      <w:r w:rsidRPr="0026653F">
        <w:rPr>
          <w:szCs w:val="22"/>
          <w:lang w:val="fr-FR"/>
        </w:rPr>
        <w:t>À cet égard, de réitérer au Secrétariat général, en fonction des ressources existantes, la demande d’élaboration d’une étude, qui sera diffusée dès que possible auprès des États membres, sur le rétablissement éventuel du poste de secrétaire exécutif, la création d’un poste équivalent ou d</w:t>
      </w:r>
      <w:r w:rsidR="00357AEF" w:rsidRPr="0026653F">
        <w:rPr>
          <w:szCs w:val="22"/>
          <w:lang w:val="fr-FR"/>
        </w:rPr>
        <w:t xml:space="preserve">’autres moyens </w:t>
      </w:r>
      <w:r w:rsidRPr="0026653F">
        <w:rPr>
          <w:szCs w:val="22"/>
          <w:lang w:val="fr-FR"/>
        </w:rPr>
        <w:t>en vue du renforcement administratif et budgétaire d</w:t>
      </w:r>
      <w:r w:rsidR="000D4C7B" w:rsidRPr="0026653F">
        <w:rPr>
          <w:szCs w:val="22"/>
          <w:lang w:val="fr-FR"/>
        </w:rPr>
        <w:t xml:space="preserve">u </w:t>
      </w:r>
      <w:r w:rsidRPr="0026653F">
        <w:rPr>
          <w:szCs w:val="22"/>
          <w:lang w:val="fr-FR"/>
        </w:rPr>
        <w:t>CJ</w:t>
      </w:r>
      <w:r w:rsidR="000D4C7B" w:rsidRPr="0026653F">
        <w:rPr>
          <w:szCs w:val="22"/>
          <w:lang w:val="fr-FR"/>
        </w:rPr>
        <w:t>I</w:t>
      </w:r>
      <w:r w:rsidRPr="0026653F">
        <w:rPr>
          <w:szCs w:val="22"/>
          <w:lang w:val="fr-FR"/>
        </w:rPr>
        <w:t>.</w:t>
      </w:r>
    </w:p>
    <w:p w14:paraId="692A7120" w14:textId="77777777" w:rsidR="00441B17" w:rsidRPr="0026653F" w:rsidRDefault="00441B17" w:rsidP="00C618DD">
      <w:pPr>
        <w:rPr>
          <w:color w:val="000000"/>
          <w:szCs w:val="22"/>
          <w:lang w:val="fr-FR"/>
        </w:rPr>
      </w:pPr>
    </w:p>
    <w:p w14:paraId="1C42C6C6" w14:textId="49EE51B4" w:rsidR="00441B17" w:rsidRPr="0026653F" w:rsidRDefault="00441B17" w:rsidP="00C618DD">
      <w:pPr>
        <w:ind w:firstLine="720"/>
        <w:rPr>
          <w:bCs/>
          <w:color w:val="000000"/>
          <w:szCs w:val="22"/>
          <w:lang w:val="fr-FR"/>
        </w:rPr>
      </w:pPr>
      <w:r w:rsidRPr="0026653F">
        <w:rPr>
          <w:bCs/>
          <w:color w:val="000000"/>
          <w:szCs w:val="22"/>
          <w:lang w:val="fr-FR"/>
        </w:rPr>
        <w:t>6.</w:t>
      </w:r>
      <w:r w:rsidRPr="0026653F">
        <w:rPr>
          <w:bCs/>
          <w:color w:val="000000"/>
          <w:szCs w:val="22"/>
          <w:lang w:val="fr-FR"/>
        </w:rPr>
        <w:tab/>
      </w:r>
      <w:r w:rsidRPr="0026653F">
        <w:rPr>
          <w:bCs/>
          <w:szCs w:val="22"/>
          <w:lang w:val="fr-FR"/>
        </w:rPr>
        <w:t xml:space="preserve">De demander au CJI de consolider la collaboration qu’il entretient avec la Commission du droit international de l’Organisation des Nations Unies, avec les écoles de diplomatie et les services de conseils juridiques des ministères des affaires étrangères des États membres, ainsi qu’avec le monde universitaire et la société civile, qui lui permette de remplir ses objectifs, en tenant compte des possibilités financières des États et en prenant en considération les défis matériels auxquels ils sont confrontés pour faire face à la pandémie de COVID-19, et de souligner l’importance d’améliorer la collaboration du CJI avec les bureaux et services de conseil et d’assistance juridique des ministères des affaires étrangères des États membres, notamment pour solliciter les </w:t>
      </w:r>
      <w:r w:rsidR="002F14C3" w:rsidRPr="0026653F">
        <w:rPr>
          <w:bCs/>
          <w:szCs w:val="22"/>
          <w:lang w:val="fr-FR"/>
        </w:rPr>
        <w:t>opinions</w:t>
      </w:r>
      <w:r w:rsidRPr="0026653F">
        <w:rPr>
          <w:bCs/>
          <w:szCs w:val="22"/>
          <w:lang w:val="fr-FR"/>
        </w:rPr>
        <w:t xml:space="preserve"> des États membres sur les évolutions </w:t>
      </w:r>
      <w:r w:rsidR="003B21BD" w:rsidRPr="0026653F">
        <w:rPr>
          <w:bCs/>
          <w:szCs w:val="22"/>
          <w:lang w:val="fr-FR"/>
        </w:rPr>
        <w:t xml:space="preserve">survenant </w:t>
      </w:r>
      <w:r w:rsidRPr="0026653F">
        <w:rPr>
          <w:bCs/>
          <w:szCs w:val="22"/>
          <w:lang w:val="fr-FR"/>
        </w:rPr>
        <w:t>au sein du CJI.</w:t>
      </w:r>
    </w:p>
    <w:p w14:paraId="48D04DDB" w14:textId="77777777" w:rsidR="00441B17" w:rsidRPr="0026653F" w:rsidRDefault="00441B17" w:rsidP="00C618DD">
      <w:pPr>
        <w:rPr>
          <w:color w:val="000000"/>
          <w:szCs w:val="22"/>
          <w:lang w:val="fr-FR"/>
        </w:rPr>
      </w:pPr>
    </w:p>
    <w:p w14:paraId="7A479FAD" w14:textId="56C13584" w:rsidR="00441B17" w:rsidRPr="0026653F" w:rsidRDefault="00441B17" w:rsidP="00C618DD">
      <w:pPr>
        <w:ind w:firstLine="720"/>
        <w:rPr>
          <w:b/>
          <w:bCs/>
          <w:color w:val="000000"/>
          <w:szCs w:val="22"/>
          <w:lang w:val="fr-FR"/>
        </w:rPr>
      </w:pPr>
      <w:r w:rsidRPr="0026653F">
        <w:rPr>
          <w:bCs/>
          <w:color w:val="000000"/>
          <w:szCs w:val="22"/>
          <w:lang w:val="fr-FR"/>
        </w:rPr>
        <w:t>7.</w:t>
      </w:r>
      <w:r w:rsidRPr="0026653F">
        <w:rPr>
          <w:bCs/>
          <w:color w:val="000000"/>
          <w:szCs w:val="22"/>
          <w:lang w:val="fr-FR"/>
        </w:rPr>
        <w:tab/>
        <w:t>D’encourager la communication entre le Conseil permanent et le CJI afin que ce dernier puisse exercer sa fonction consultative, dans le plein respect de son autonomie et de sa dimension technique, en contribuant aux décisions de l’Organisation</w:t>
      </w:r>
      <w:r w:rsidR="003B21BD" w:rsidRPr="0026653F">
        <w:rPr>
          <w:bCs/>
          <w:color w:val="000000"/>
          <w:szCs w:val="22"/>
          <w:lang w:val="fr-FR"/>
        </w:rPr>
        <w:t xml:space="preserve"> et</w:t>
      </w:r>
      <w:r w:rsidRPr="0026653F">
        <w:rPr>
          <w:bCs/>
          <w:color w:val="000000"/>
          <w:szCs w:val="22"/>
          <w:lang w:val="fr-FR"/>
        </w:rPr>
        <w:t xml:space="preserve"> en favorisant l’exercice harmonieux des compétences entre les organes du système interaméricain.</w:t>
      </w:r>
    </w:p>
    <w:p w14:paraId="28C596E0" w14:textId="77777777" w:rsidR="00441B17" w:rsidRPr="0026653F" w:rsidRDefault="00441B17" w:rsidP="00C618DD">
      <w:pPr>
        <w:rPr>
          <w:bCs/>
          <w:color w:val="000000"/>
          <w:szCs w:val="22"/>
          <w:lang w:val="fr-FR"/>
        </w:rPr>
      </w:pPr>
    </w:p>
    <w:p w14:paraId="3F39DFEC" w14:textId="77777777" w:rsidR="00441B17" w:rsidRPr="0026653F" w:rsidRDefault="00441B17" w:rsidP="00C618DD">
      <w:pPr>
        <w:ind w:firstLine="720"/>
        <w:rPr>
          <w:bCs/>
          <w:color w:val="000000"/>
          <w:szCs w:val="22"/>
          <w:lang w:val="fr-FR"/>
        </w:rPr>
      </w:pPr>
      <w:r w:rsidRPr="0026653F">
        <w:rPr>
          <w:bCs/>
          <w:color w:val="000000"/>
          <w:szCs w:val="22"/>
          <w:lang w:val="fr-FR"/>
        </w:rPr>
        <w:t>8.</w:t>
      </w:r>
      <w:r w:rsidRPr="0026653F">
        <w:rPr>
          <w:bCs/>
          <w:color w:val="000000"/>
          <w:szCs w:val="22"/>
          <w:lang w:val="fr-FR"/>
        </w:rPr>
        <w:tab/>
        <w:t>De demander au CJI de promouvoir et d’étudier les domaines de la science juridique qui facilitent la coopération internationale dans le système interaméricain au bénéfice des sociétés du continent.</w:t>
      </w:r>
    </w:p>
    <w:p w14:paraId="2A5044B1" w14:textId="77777777" w:rsidR="00441B17" w:rsidRPr="0026653F" w:rsidRDefault="00441B17" w:rsidP="00C618DD">
      <w:pPr>
        <w:rPr>
          <w:bCs/>
          <w:color w:val="000000"/>
          <w:szCs w:val="22"/>
          <w:lang w:val="fr-FR"/>
        </w:rPr>
      </w:pPr>
    </w:p>
    <w:p w14:paraId="6467F99D" w14:textId="4D2EDB99" w:rsidR="00441B17" w:rsidRPr="0026653F" w:rsidRDefault="00441B17" w:rsidP="00C618DD">
      <w:pPr>
        <w:ind w:firstLine="720"/>
        <w:rPr>
          <w:bCs/>
          <w:color w:val="000000"/>
          <w:szCs w:val="22"/>
          <w:lang w:val="fr-FR"/>
        </w:rPr>
      </w:pPr>
      <w:r w:rsidRPr="0026653F">
        <w:rPr>
          <w:bCs/>
          <w:color w:val="000000"/>
          <w:szCs w:val="22"/>
          <w:lang w:val="fr-FR"/>
        </w:rPr>
        <w:t>9.</w:t>
      </w:r>
      <w:r w:rsidRPr="0026653F">
        <w:rPr>
          <w:bCs/>
          <w:color w:val="000000"/>
          <w:szCs w:val="22"/>
          <w:lang w:val="fr-FR"/>
        </w:rPr>
        <w:tab/>
      </w:r>
      <w:r w:rsidRPr="0026653F">
        <w:rPr>
          <w:bCs/>
          <w:szCs w:val="22"/>
          <w:lang w:val="fr-FR"/>
        </w:rPr>
        <w:t xml:space="preserve">De demander au CJI </w:t>
      </w:r>
      <w:r w:rsidRPr="0026653F">
        <w:rPr>
          <w:bCs/>
          <w:color w:val="000000"/>
          <w:szCs w:val="22"/>
          <w:lang w:val="fr-FR"/>
        </w:rPr>
        <w:t>d</w:t>
      </w:r>
      <w:r w:rsidR="003E530A" w:rsidRPr="0026653F">
        <w:rPr>
          <w:bCs/>
          <w:color w:val="000000"/>
          <w:szCs w:val="22"/>
          <w:lang w:val="fr-FR"/>
        </w:rPr>
        <w:t xml:space="preserve">’analyser le </w:t>
      </w:r>
      <w:r w:rsidRPr="0026653F">
        <w:rPr>
          <w:bCs/>
          <w:szCs w:val="22"/>
          <w:lang w:val="fr-FR"/>
        </w:rPr>
        <w:t>cadre juridique interaméricain dont la mise en œuvre pourrait, en plus des législations internes, renforcer la résilience sociale et économique de nos pays dans le contexte de la pandémie de COVID-19 et de ses conséquences, afin de pouvoir disposer de ses réflexions, dans l’idéal avant la cinquante-et-unième session ordinaire de l’Assemblée générale en 2021.</w:t>
      </w:r>
    </w:p>
    <w:p w14:paraId="03DFE889" w14:textId="77777777" w:rsidR="00441B17" w:rsidRPr="0026653F" w:rsidRDefault="00441B17" w:rsidP="00C618DD">
      <w:pPr>
        <w:rPr>
          <w:color w:val="000000"/>
          <w:szCs w:val="22"/>
          <w:lang w:val="fr-FR"/>
        </w:rPr>
      </w:pPr>
    </w:p>
    <w:p w14:paraId="3FE883D8" w14:textId="77777777" w:rsidR="00441B17" w:rsidRPr="0026653F" w:rsidRDefault="00441B17" w:rsidP="00C618DD">
      <w:pPr>
        <w:jc w:val="left"/>
        <w:rPr>
          <w:color w:val="000000"/>
          <w:szCs w:val="22"/>
          <w:u w:val="single"/>
          <w:lang w:val="fr-FR"/>
        </w:rPr>
      </w:pPr>
      <w:r w:rsidRPr="0026653F">
        <w:rPr>
          <w:color w:val="000000"/>
          <w:szCs w:val="22"/>
          <w:lang w:val="fr-FR"/>
        </w:rPr>
        <w:t>iii.</w:t>
      </w:r>
      <w:r w:rsidRPr="0026653F">
        <w:rPr>
          <w:color w:val="000000"/>
          <w:szCs w:val="22"/>
          <w:lang w:val="fr-FR"/>
        </w:rPr>
        <w:tab/>
      </w:r>
      <w:r w:rsidRPr="0026653F">
        <w:rPr>
          <w:color w:val="000000"/>
          <w:szCs w:val="22"/>
          <w:u w:val="single"/>
          <w:lang w:val="fr-FR"/>
        </w:rPr>
        <w:t>Promotion et respect du droit international humanitaire</w:t>
      </w:r>
      <w:r w:rsidRPr="0026653F">
        <w:rPr>
          <w:color w:val="000000"/>
          <w:szCs w:val="22"/>
          <w:lang w:val="fr-FR"/>
        </w:rPr>
        <w:t xml:space="preserve"> </w:t>
      </w:r>
    </w:p>
    <w:p w14:paraId="5616D886" w14:textId="77777777" w:rsidR="00441B17" w:rsidRPr="0026653F" w:rsidRDefault="00441B17" w:rsidP="00C618DD">
      <w:pPr>
        <w:rPr>
          <w:color w:val="000000"/>
          <w:szCs w:val="22"/>
          <w:lang w:val="fr-FR"/>
        </w:rPr>
      </w:pPr>
    </w:p>
    <w:p w14:paraId="457D6B77" w14:textId="77777777" w:rsidR="00441B17" w:rsidRPr="0026653F" w:rsidRDefault="00441B17" w:rsidP="00C618DD">
      <w:pPr>
        <w:ind w:firstLine="720"/>
        <w:rPr>
          <w:szCs w:val="22"/>
          <w:lang w:val="fr-FR"/>
        </w:rPr>
      </w:pPr>
      <w:r w:rsidRPr="0026653F">
        <w:rPr>
          <w:szCs w:val="22"/>
          <w:lang w:val="fr-FR"/>
        </w:rPr>
        <w:t>RECONNAISSANT que de nombreux États peuvent disposer de programmes solides pour l’application effective du droit international humanitaire par leurs forces armées,</w:t>
      </w:r>
    </w:p>
    <w:p w14:paraId="77908573" w14:textId="77777777" w:rsidR="00441B17" w:rsidRPr="0026653F" w:rsidRDefault="00441B17" w:rsidP="00C618DD">
      <w:pPr>
        <w:rPr>
          <w:szCs w:val="22"/>
          <w:lang w:val="fr-FR"/>
        </w:rPr>
      </w:pPr>
    </w:p>
    <w:p w14:paraId="7E5C8914" w14:textId="77777777" w:rsidR="00441B17" w:rsidRPr="0026653F" w:rsidRDefault="00441B17" w:rsidP="00C618DD">
      <w:pPr>
        <w:ind w:firstLine="720"/>
        <w:rPr>
          <w:color w:val="000000"/>
          <w:szCs w:val="22"/>
          <w:lang w:val="fr-FR"/>
        </w:rPr>
      </w:pPr>
      <w:r w:rsidRPr="0026653F">
        <w:rPr>
          <w:szCs w:val="22"/>
          <w:lang w:val="fr-FR"/>
        </w:rPr>
        <w:t>CONSTERNÉE par le fait que, dans différents endroits de la planète, des violations du droit international humanitaire persistent, qui causent des souffrances aux victimes des conflits armés, notamment à la population civile, ainsi que par les défis que constituent les répercussions humanitaires qui surviennent actuellement dans le contexte des conflits armés,</w:t>
      </w:r>
    </w:p>
    <w:p w14:paraId="3F03D1A8" w14:textId="77777777" w:rsidR="00441B17" w:rsidRPr="0026653F" w:rsidRDefault="00441B17" w:rsidP="00C618DD">
      <w:pPr>
        <w:rPr>
          <w:color w:val="000000"/>
          <w:szCs w:val="22"/>
          <w:lang w:val="fr-FR"/>
        </w:rPr>
      </w:pPr>
    </w:p>
    <w:p w14:paraId="108EEA95" w14:textId="77777777" w:rsidR="00441B17" w:rsidRPr="0026653F" w:rsidRDefault="00441B17" w:rsidP="00C618DD">
      <w:pPr>
        <w:ind w:firstLine="720"/>
        <w:rPr>
          <w:color w:val="000000"/>
          <w:szCs w:val="22"/>
          <w:lang w:val="fr-FR"/>
        </w:rPr>
      </w:pPr>
      <w:r w:rsidRPr="0026653F">
        <w:rPr>
          <w:szCs w:val="22"/>
          <w:lang w:val="fr-FR"/>
        </w:rPr>
        <w:t>SOULIGNANT que l’année 2019 marque le 70</w:t>
      </w:r>
      <w:r w:rsidRPr="0026653F">
        <w:rPr>
          <w:szCs w:val="22"/>
          <w:vertAlign w:val="superscript"/>
          <w:lang w:val="fr-FR"/>
        </w:rPr>
        <w:t>e</w:t>
      </w:r>
      <w:r w:rsidRPr="0026653F">
        <w:rPr>
          <w:szCs w:val="22"/>
          <w:lang w:val="fr-FR"/>
        </w:rPr>
        <w:t xml:space="preserve"> anniversaire de l’adoption des Conventions de Genève de 1949, se félicitant de leur ratification universelle et invitant les États à envisager de ratifier les traités pertinents du droit international humanitaire,</w:t>
      </w:r>
    </w:p>
    <w:p w14:paraId="55CA13B8" w14:textId="77777777" w:rsidR="00441B17" w:rsidRPr="0026653F" w:rsidRDefault="00441B17" w:rsidP="00C618DD">
      <w:pPr>
        <w:rPr>
          <w:color w:val="000000"/>
          <w:szCs w:val="22"/>
          <w:lang w:val="fr-FR"/>
        </w:rPr>
      </w:pPr>
    </w:p>
    <w:p w14:paraId="44635F86" w14:textId="77777777" w:rsidR="00441B17" w:rsidRPr="0026653F" w:rsidRDefault="00441B17" w:rsidP="00C618DD">
      <w:pPr>
        <w:ind w:firstLine="720"/>
        <w:rPr>
          <w:color w:val="000000"/>
          <w:szCs w:val="22"/>
          <w:lang w:val="fr-FR"/>
        </w:rPr>
      </w:pPr>
      <w:r w:rsidRPr="0026653F">
        <w:rPr>
          <w:szCs w:val="22"/>
          <w:lang w:val="fr-FR"/>
        </w:rPr>
        <w:t>RAPPELANT que l’obligation de respecter et de faire respecter en toutes circonstances le droit international humanitaire, tant conventionnel que coutumier, incombe à tous les États parties aux quatre Conventions de Genève de 1949 universellement reconnues, y compris aux États qui adhèrent à l’un de leurs trois Protocoles additionnels,</w:t>
      </w:r>
      <w:r w:rsidRPr="0026653F">
        <w:rPr>
          <w:szCs w:val="22"/>
          <w:u w:val="single"/>
          <w:vertAlign w:val="superscript"/>
          <w:lang w:val="fr-FR"/>
        </w:rPr>
        <w:footnoteReference w:id="70"/>
      </w:r>
      <w:r w:rsidRPr="0026653F">
        <w:rPr>
          <w:color w:val="000000"/>
          <w:szCs w:val="22"/>
          <w:vertAlign w:val="superscript"/>
          <w:lang w:val="fr-FR"/>
        </w:rPr>
        <w:t>/</w:t>
      </w:r>
    </w:p>
    <w:p w14:paraId="33545DD0" w14:textId="77777777" w:rsidR="00441B17" w:rsidRPr="0026653F" w:rsidRDefault="00441B17" w:rsidP="00C618DD">
      <w:pPr>
        <w:rPr>
          <w:color w:val="000000"/>
          <w:szCs w:val="22"/>
          <w:lang w:val="fr-FR"/>
        </w:rPr>
      </w:pPr>
    </w:p>
    <w:p w14:paraId="469FCF00" w14:textId="77777777" w:rsidR="00441B17" w:rsidRPr="0026653F" w:rsidRDefault="00441B17" w:rsidP="00C618DD">
      <w:pPr>
        <w:ind w:firstLine="720"/>
        <w:rPr>
          <w:color w:val="000000"/>
          <w:szCs w:val="22"/>
          <w:lang w:val="fr-FR"/>
        </w:rPr>
      </w:pPr>
      <w:r w:rsidRPr="0026653F">
        <w:rPr>
          <w:szCs w:val="22"/>
          <w:lang w:val="fr-FR"/>
        </w:rPr>
        <w:t>RÉAFFIRMANT que, pour ce faire, il est nécessaire de renforcer la mise en œuvre du droit international humanitaire en encourageant son acceptation universelle, sa plus large diffusion de même que l’adoption de mesures au niveau national en vue de son application, y compris au moyen de l’adaptation du droit interne et, le cas échéant, de l’imposition de mesures de sanction à l’encontre de ceux qui commettent de graves infractions à ce droit,</w:t>
      </w:r>
    </w:p>
    <w:p w14:paraId="7BD5160D" w14:textId="77777777" w:rsidR="00441B17" w:rsidRPr="0026653F" w:rsidRDefault="00441B17" w:rsidP="00C618DD">
      <w:pPr>
        <w:rPr>
          <w:color w:val="000000"/>
          <w:szCs w:val="22"/>
          <w:lang w:val="fr-FR"/>
        </w:rPr>
      </w:pPr>
    </w:p>
    <w:p w14:paraId="38BBF5DF" w14:textId="19AB63D6" w:rsidR="00441B17" w:rsidRPr="0026653F" w:rsidRDefault="00441B17" w:rsidP="00C618DD">
      <w:pPr>
        <w:ind w:firstLine="720"/>
        <w:rPr>
          <w:color w:val="000000"/>
          <w:szCs w:val="22"/>
          <w:lang w:val="fr-FR"/>
        </w:rPr>
      </w:pPr>
      <w:r w:rsidRPr="0026653F">
        <w:rPr>
          <w:szCs w:val="22"/>
          <w:lang w:val="fr-FR"/>
        </w:rPr>
        <w:t>SOULIGNANT le mandat et le rôle du Comité international de la Croix-Rouge en sa qualité d’institution neutre, impartiale et indépendante pour protéger et aider les victimes de conflits armés et d’autres situations de violence ainsi que pour promouvoir et diffuser le respect du droit international humanitaire que leur confèrent les quatre Conventions de Genève de 1949 ainsi que les statuts du Mouvement international de la Croix-Rouge et du Croissant-Rouge,</w:t>
      </w:r>
    </w:p>
    <w:p w14:paraId="60016C3C" w14:textId="77777777" w:rsidR="002F14C3" w:rsidRPr="0026653F" w:rsidRDefault="002F14C3" w:rsidP="00C618DD">
      <w:pPr>
        <w:jc w:val="left"/>
        <w:rPr>
          <w:szCs w:val="22"/>
          <w:lang w:val="fr-FR"/>
        </w:rPr>
      </w:pPr>
    </w:p>
    <w:p w14:paraId="1DD43D50" w14:textId="736E0D4E" w:rsidR="00441B17" w:rsidRPr="0026653F" w:rsidRDefault="00441B17" w:rsidP="00C618DD">
      <w:pPr>
        <w:jc w:val="left"/>
        <w:rPr>
          <w:color w:val="000000"/>
          <w:szCs w:val="22"/>
          <w:lang w:val="fr-FR"/>
        </w:rPr>
      </w:pPr>
      <w:r w:rsidRPr="0026653F">
        <w:rPr>
          <w:szCs w:val="22"/>
          <w:lang w:val="fr-FR"/>
        </w:rPr>
        <w:t>DÉCIDE :</w:t>
      </w:r>
    </w:p>
    <w:p w14:paraId="7240DC9C" w14:textId="77777777" w:rsidR="00441B17" w:rsidRPr="0026653F" w:rsidRDefault="00441B17" w:rsidP="00C618DD">
      <w:pPr>
        <w:rPr>
          <w:color w:val="000000"/>
          <w:szCs w:val="22"/>
          <w:lang w:val="fr-FR"/>
        </w:rPr>
      </w:pPr>
    </w:p>
    <w:p w14:paraId="3D5C2F81" w14:textId="77777777" w:rsidR="00441B17" w:rsidRPr="0026653F" w:rsidRDefault="00441B17" w:rsidP="00C618DD">
      <w:pPr>
        <w:ind w:firstLine="720"/>
        <w:rPr>
          <w:color w:val="000000"/>
          <w:szCs w:val="22"/>
          <w:lang w:val="fr-FR"/>
        </w:rPr>
      </w:pPr>
      <w:r w:rsidRPr="0026653F">
        <w:rPr>
          <w:color w:val="000000"/>
          <w:szCs w:val="22"/>
          <w:lang w:val="fr-FR"/>
        </w:rPr>
        <w:t>1.</w:t>
      </w:r>
      <w:r w:rsidRPr="0026653F">
        <w:rPr>
          <w:color w:val="000000"/>
          <w:szCs w:val="22"/>
          <w:lang w:val="fr-FR"/>
        </w:rPr>
        <w:tab/>
      </w:r>
      <w:r w:rsidRPr="0026653F">
        <w:rPr>
          <w:szCs w:val="22"/>
          <w:lang w:val="fr-FR"/>
        </w:rPr>
        <w:t>De prier instamment les États membres et toutes les parties impliquées dans un conflit armé de respecter et d’honorer leurs obligations en vertu du droit international humanitaire.</w:t>
      </w:r>
    </w:p>
    <w:p w14:paraId="149731D2" w14:textId="77777777" w:rsidR="00441B17" w:rsidRPr="0026653F" w:rsidRDefault="00441B17" w:rsidP="00C618DD">
      <w:pPr>
        <w:rPr>
          <w:color w:val="000000"/>
          <w:szCs w:val="22"/>
          <w:lang w:val="fr-FR"/>
        </w:rPr>
      </w:pPr>
    </w:p>
    <w:p w14:paraId="075F037C" w14:textId="71B0506F" w:rsidR="00441B17" w:rsidRPr="0026653F" w:rsidRDefault="00441B17" w:rsidP="00C618DD">
      <w:pPr>
        <w:ind w:firstLine="720"/>
        <w:rPr>
          <w:color w:val="000000"/>
          <w:szCs w:val="22"/>
          <w:lang w:val="fr-FR"/>
        </w:rPr>
      </w:pPr>
      <w:r w:rsidRPr="0026653F">
        <w:rPr>
          <w:color w:val="000000"/>
          <w:szCs w:val="22"/>
          <w:lang w:val="fr-FR"/>
        </w:rPr>
        <w:t>2.</w:t>
      </w:r>
      <w:r w:rsidRPr="0026653F">
        <w:rPr>
          <w:color w:val="000000"/>
          <w:szCs w:val="22"/>
          <w:lang w:val="fr-FR"/>
        </w:rPr>
        <w:tab/>
      </w:r>
      <w:r w:rsidRPr="0026653F">
        <w:rPr>
          <w:szCs w:val="22"/>
          <w:lang w:val="fr-FR"/>
        </w:rPr>
        <w:t xml:space="preserve">D’inviter les États membres à envisager de ratifier les traités relatifs au droit </w:t>
      </w:r>
      <w:r w:rsidR="003B21BD" w:rsidRPr="0026653F">
        <w:rPr>
          <w:szCs w:val="22"/>
          <w:lang w:val="fr-FR"/>
        </w:rPr>
        <w:t xml:space="preserve">international </w:t>
      </w:r>
      <w:r w:rsidRPr="0026653F">
        <w:rPr>
          <w:szCs w:val="22"/>
          <w:lang w:val="fr-FR"/>
        </w:rPr>
        <w:t xml:space="preserve">humanitaire, y compris ceux portant sur l’interdiction ou la limitation de l’emploi de certaines armes, ou d’y adhérer et, le cas échéant, de prendre les mesures législatives nécessaires pour prévenir les comportements interdits par ces traités et d’autres, notamment en ce qui concerne la destruction des armes, le nettoyage des zones contaminées par des restes explosifs, les soins </w:t>
      </w:r>
      <w:r w:rsidR="004C654E" w:rsidRPr="0026653F">
        <w:rPr>
          <w:szCs w:val="22"/>
          <w:lang w:val="fr-FR"/>
        </w:rPr>
        <w:t xml:space="preserve">dûs </w:t>
      </w:r>
      <w:r w:rsidRPr="0026653F">
        <w:rPr>
          <w:szCs w:val="22"/>
          <w:lang w:val="fr-FR"/>
        </w:rPr>
        <w:t>aux victimes, le contrôle du commerce des armes et l’interdiction des armes nucléaires.</w:t>
      </w:r>
      <w:r w:rsidRPr="0026653F">
        <w:rPr>
          <w:szCs w:val="22"/>
          <w:u w:val="single"/>
          <w:vertAlign w:val="superscript"/>
          <w:lang w:val="fr-FR"/>
        </w:rPr>
        <w:footnoteReference w:id="71"/>
      </w:r>
      <w:r w:rsidRPr="0026653F">
        <w:rPr>
          <w:color w:val="000000"/>
          <w:szCs w:val="22"/>
          <w:vertAlign w:val="superscript"/>
          <w:lang w:val="fr-FR"/>
        </w:rPr>
        <w:t>/</w:t>
      </w:r>
      <w:r w:rsidRPr="0026653F">
        <w:rPr>
          <w:szCs w:val="22"/>
          <w:u w:val="single"/>
          <w:vertAlign w:val="superscript"/>
          <w:lang w:val="fr-FR"/>
        </w:rPr>
        <w:footnoteReference w:id="72"/>
      </w:r>
      <w:r w:rsidRPr="0026653F">
        <w:rPr>
          <w:color w:val="000000"/>
          <w:szCs w:val="22"/>
          <w:vertAlign w:val="superscript"/>
          <w:lang w:val="fr-FR"/>
        </w:rPr>
        <w:t>/</w:t>
      </w:r>
    </w:p>
    <w:p w14:paraId="63155661" w14:textId="77777777" w:rsidR="00441B17" w:rsidRPr="0026653F" w:rsidRDefault="00441B17" w:rsidP="00C618DD">
      <w:pPr>
        <w:rPr>
          <w:color w:val="000000"/>
          <w:szCs w:val="22"/>
          <w:lang w:val="fr-FR"/>
        </w:rPr>
      </w:pPr>
    </w:p>
    <w:p w14:paraId="449FB921" w14:textId="77777777" w:rsidR="00441B17" w:rsidRPr="0026653F" w:rsidRDefault="00441B17" w:rsidP="00C618DD">
      <w:pPr>
        <w:ind w:firstLine="720"/>
        <w:rPr>
          <w:color w:val="000000"/>
          <w:szCs w:val="22"/>
          <w:lang w:val="fr-FR"/>
        </w:rPr>
      </w:pPr>
      <w:r w:rsidRPr="0026653F">
        <w:rPr>
          <w:color w:val="000000"/>
          <w:szCs w:val="22"/>
          <w:lang w:val="fr-FR"/>
        </w:rPr>
        <w:t>3.</w:t>
      </w:r>
      <w:r w:rsidRPr="0026653F">
        <w:rPr>
          <w:color w:val="000000"/>
          <w:szCs w:val="22"/>
          <w:lang w:val="fr-FR"/>
        </w:rPr>
        <w:tab/>
      </w:r>
      <w:r w:rsidRPr="0026653F">
        <w:rPr>
          <w:szCs w:val="22"/>
          <w:lang w:val="fr-FR"/>
        </w:rPr>
        <w:t>D’exhorter les États membres à envisager d’intégrer le droit international humanitaire dans la doctrine, les procédures, l’entrainement, l’équipement, les mécanismes de contrôle et la formation des forces armées et de sécurité.</w:t>
      </w:r>
    </w:p>
    <w:p w14:paraId="3E8E046D" w14:textId="77777777" w:rsidR="00441B17" w:rsidRPr="0026653F" w:rsidRDefault="00441B17" w:rsidP="00C618DD">
      <w:pPr>
        <w:rPr>
          <w:color w:val="000000"/>
          <w:szCs w:val="22"/>
          <w:lang w:val="fr-FR"/>
        </w:rPr>
      </w:pPr>
    </w:p>
    <w:p w14:paraId="694C907A" w14:textId="140AB095" w:rsidR="00441B17" w:rsidRPr="0026653F" w:rsidRDefault="00441B17" w:rsidP="00C618DD">
      <w:pPr>
        <w:ind w:firstLine="720"/>
        <w:rPr>
          <w:color w:val="000000"/>
          <w:szCs w:val="22"/>
          <w:lang w:val="fr-FR"/>
        </w:rPr>
      </w:pPr>
      <w:r w:rsidRPr="0026653F">
        <w:rPr>
          <w:color w:val="000000"/>
          <w:szCs w:val="22"/>
          <w:lang w:val="fr-FR"/>
        </w:rPr>
        <w:t>4.</w:t>
      </w:r>
      <w:r w:rsidRPr="0026653F">
        <w:rPr>
          <w:color w:val="000000"/>
          <w:szCs w:val="22"/>
          <w:lang w:val="fr-FR"/>
        </w:rPr>
        <w:tab/>
      </w:r>
      <w:r w:rsidRPr="0026653F">
        <w:rPr>
          <w:szCs w:val="22"/>
          <w:lang w:val="fr-FR"/>
        </w:rPr>
        <w:t>D’exhorter les États membres à contribuer activement au suivi effectif des résolutions adoptées lors de la 33</w:t>
      </w:r>
      <w:r w:rsidRPr="0026653F">
        <w:rPr>
          <w:szCs w:val="22"/>
          <w:vertAlign w:val="superscript"/>
          <w:lang w:val="fr-FR"/>
        </w:rPr>
        <w:t>e</w:t>
      </w:r>
      <w:r w:rsidRPr="0026653F">
        <w:rPr>
          <w:szCs w:val="22"/>
          <w:lang w:val="fr-FR"/>
        </w:rPr>
        <w:t xml:space="preserve"> Conférence internationale de la Croix-Rouge et du Croissant-Rouge qui s’est tenue à Genève (Suisse) du 9 au 12 décembre 2019, et en particulier de la résolution intitulée « S’approprier le DIH : Feuille de route pour améliorer la mise en œuvre nationale du droit international humanitaire », qui recommande des mesures pour une mise en œuvre plus efficace du droit international humanitaire au niveau national, ainsi que des engagements volontaires, pour les États qui les ont pris dans le cadre de cette instance internationale.</w:t>
      </w:r>
    </w:p>
    <w:p w14:paraId="394F9214" w14:textId="77777777" w:rsidR="00441B17" w:rsidRPr="0026653F" w:rsidRDefault="00441B17" w:rsidP="00C618DD">
      <w:pPr>
        <w:rPr>
          <w:color w:val="000000"/>
          <w:szCs w:val="22"/>
          <w:lang w:val="fr-FR"/>
        </w:rPr>
      </w:pPr>
    </w:p>
    <w:p w14:paraId="3CA3E979" w14:textId="4AF1E7EB" w:rsidR="00441B17" w:rsidRPr="0026653F" w:rsidRDefault="00441B17" w:rsidP="00C618DD">
      <w:pPr>
        <w:ind w:firstLine="720"/>
        <w:rPr>
          <w:bCs/>
          <w:szCs w:val="22"/>
          <w:lang w:val="fr-FR"/>
        </w:rPr>
      </w:pPr>
      <w:r w:rsidRPr="0026653F">
        <w:rPr>
          <w:color w:val="000000"/>
          <w:szCs w:val="22"/>
          <w:lang w:val="fr-FR"/>
        </w:rPr>
        <w:t>5.</w:t>
      </w:r>
      <w:r w:rsidRPr="0026653F">
        <w:rPr>
          <w:color w:val="000000"/>
          <w:szCs w:val="22"/>
          <w:lang w:val="fr-FR"/>
        </w:rPr>
        <w:tab/>
      </w:r>
      <w:r w:rsidRPr="0026653F">
        <w:rPr>
          <w:szCs w:val="22"/>
          <w:lang w:val="fr-FR"/>
        </w:rPr>
        <w:t xml:space="preserve">D’inviter les États membres à continuer d’appuyer les travaux des comités nationaux, commissions nationales ou autres mécanismes institutionnels chargés de l’application et de la diffusion du droit international humanitaire ainsi que d’organismes connexes qui fournissent une assistance et des conseils aux autorités nationales en matière de mise en œuvre, de développement et de diffusion des connaissances sur le droit international humanitaire, enfin d’encourager les États qui ne l’ont pas encore fait à envisager d’établir une telle </w:t>
      </w:r>
      <w:r w:rsidR="003A0AA2" w:rsidRPr="0026653F">
        <w:rPr>
          <w:szCs w:val="22"/>
          <w:lang w:val="fr-FR"/>
        </w:rPr>
        <w:t>entité</w:t>
      </w:r>
      <w:r w:rsidRPr="0026653F">
        <w:rPr>
          <w:szCs w:val="22"/>
          <w:lang w:val="fr-FR"/>
        </w:rPr>
        <w:t xml:space="preserve"> et de favoriser </w:t>
      </w:r>
      <w:r w:rsidR="003A0AA2" w:rsidRPr="0026653F">
        <w:rPr>
          <w:szCs w:val="22"/>
          <w:lang w:val="fr-FR"/>
        </w:rPr>
        <w:t>la</w:t>
      </w:r>
      <w:r w:rsidRPr="0026653F">
        <w:rPr>
          <w:szCs w:val="22"/>
          <w:lang w:val="fr-FR"/>
        </w:rPr>
        <w:t xml:space="preserve"> coopération </w:t>
      </w:r>
      <w:r w:rsidR="003A0AA2" w:rsidRPr="0026653F">
        <w:rPr>
          <w:szCs w:val="22"/>
          <w:lang w:val="fr-FR"/>
        </w:rPr>
        <w:t xml:space="preserve">entre celle-ci et </w:t>
      </w:r>
      <w:r w:rsidRPr="0026653F">
        <w:rPr>
          <w:bCs/>
          <w:szCs w:val="22"/>
          <w:lang w:val="fr-FR"/>
        </w:rPr>
        <w:t>des organismes connexes aux niveaux international, régional et transrégional, notamment par l’échange d’informations et de bonnes pratiques.</w:t>
      </w:r>
    </w:p>
    <w:p w14:paraId="7740A97C" w14:textId="77777777" w:rsidR="00441B17" w:rsidRPr="0026653F" w:rsidRDefault="00441B17" w:rsidP="00C618DD">
      <w:pPr>
        <w:rPr>
          <w:bCs/>
          <w:szCs w:val="22"/>
          <w:lang w:val="fr-FR"/>
        </w:rPr>
      </w:pPr>
    </w:p>
    <w:p w14:paraId="06B2F4C9" w14:textId="73F97D3B" w:rsidR="00441B17" w:rsidRPr="0026653F" w:rsidRDefault="00441B17" w:rsidP="00C618DD">
      <w:pPr>
        <w:ind w:firstLine="630"/>
        <w:rPr>
          <w:bCs/>
          <w:color w:val="000000"/>
          <w:szCs w:val="22"/>
          <w:lang w:val="fr-FR"/>
        </w:rPr>
      </w:pPr>
      <w:r w:rsidRPr="0026653F">
        <w:rPr>
          <w:bCs/>
          <w:szCs w:val="22"/>
          <w:lang w:val="fr-FR"/>
        </w:rPr>
        <w:t>6.</w:t>
      </w:r>
      <w:r w:rsidRPr="0026653F">
        <w:rPr>
          <w:bCs/>
          <w:szCs w:val="22"/>
          <w:lang w:val="fr-FR"/>
        </w:rPr>
        <w:tab/>
        <w:t xml:space="preserve">D’encourager les États membres à </w:t>
      </w:r>
      <w:r w:rsidR="003A0AA2" w:rsidRPr="0026653F">
        <w:rPr>
          <w:bCs/>
          <w:szCs w:val="22"/>
          <w:lang w:val="fr-FR"/>
        </w:rPr>
        <w:t>donner suite à</w:t>
      </w:r>
      <w:r w:rsidRPr="0026653F">
        <w:rPr>
          <w:bCs/>
          <w:szCs w:val="22"/>
          <w:lang w:val="fr-FR"/>
        </w:rPr>
        <w:t xml:space="preserve"> la </w:t>
      </w:r>
      <w:r w:rsidR="0059675F" w:rsidRPr="0026653F">
        <w:rPr>
          <w:bCs/>
          <w:szCs w:val="22"/>
          <w:lang w:val="fr-FR"/>
        </w:rPr>
        <w:t xml:space="preserve">Réunion régionale des </w:t>
      </w:r>
      <w:r w:rsidRPr="0026653F">
        <w:rPr>
          <w:bCs/>
          <w:szCs w:val="22"/>
          <w:lang w:val="fr-FR"/>
        </w:rPr>
        <w:t xml:space="preserve">commissions nationales </w:t>
      </w:r>
      <w:r w:rsidR="0059675F" w:rsidRPr="0026653F">
        <w:rPr>
          <w:bCs/>
          <w:szCs w:val="22"/>
          <w:lang w:val="fr-FR"/>
        </w:rPr>
        <w:t xml:space="preserve">de droit international humanitaire et organismes connexes des Amériques, </w:t>
      </w:r>
      <w:r w:rsidR="003A0AA2" w:rsidRPr="0026653F">
        <w:rPr>
          <w:bCs/>
          <w:szCs w:val="22"/>
          <w:lang w:val="fr-FR"/>
        </w:rPr>
        <w:t xml:space="preserve">qui aura lieu au cours du premier semestre </w:t>
      </w:r>
      <w:r w:rsidR="00BE3299" w:rsidRPr="0026653F">
        <w:rPr>
          <w:bCs/>
          <w:szCs w:val="22"/>
          <w:lang w:val="fr-FR"/>
        </w:rPr>
        <w:t xml:space="preserve">de </w:t>
      </w:r>
      <w:r w:rsidR="003A0AA2" w:rsidRPr="0026653F">
        <w:rPr>
          <w:bCs/>
          <w:szCs w:val="22"/>
          <w:lang w:val="fr-FR"/>
        </w:rPr>
        <w:t>2021 sous l’égide de l’Équateur.</w:t>
      </w:r>
    </w:p>
    <w:p w14:paraId="1A656484" w14:textId="77777777" w:rsidR="00441B17" w:rsidRPr="0026653F" w:rsidRDefault="00441B17" w:rsidP="00C618DD">
      <w:pPr>
        <w:rPr>
          <w:color w:val="000000"/>
          <w:szCs w:val="22"/>
          <w:lang w:val="fr-FR"/>
        </w:rPr>
      </w:pPr>
    </w:p>
    <w:p w14:paraId="3ECDD6D9" w14:textId="03F78600" w:rsidR="00441B17" w:rsidRPr="0026653F" w:rsidRDefault="00441B17" w:rsidP="00C618DD">
      <w:pPr>
        <w:ind w:firstLine="720"/>
        <w:rPr>
          <w:color w:val="000000"/>
          <w:szCs w:val="22"/>
          <w:lang w:val="fr-FR"/>
        </w:rPr>
      </w:pPr>
      <w:r w:rsidRPr="0026653F">
        <w:rPr>
          <w:color w:val="000000"/>
          <w:szCs w:val="22"/>
          <w:lang w:val="fr-FR"/>
        </w:rPr>
        <w:t>7.</w:t>
      </w:r>
      <w:r w:rsidRPr="0026653F">
        <w:rPr>
          <w:color w:val="000000"/>
          <w:szCs w:val="22"/>
          <w:lang w:val="fr-FR"/>
        </w:rPr>
        <w:tab/>
      </w:r>
      <w:r w:rsidRPr="0026653F">
        <w:rPr>
          <w:szCs w:val="22"/>
          <w:lang w:val="fr-FR"/>
        </w:rPr>
        <w:t xml:space="preserve">D’inviter les États membres à envisager d’accepter la compétence de la Commission internationale humanitaire d’établissement des faits pour enquêter sur les pétitions comme l’autorise l’article 90 du </w:t>
      </w:r>
      <w:r w:rsidR="003A0AA2" w:rsidRPr="0026653F">
        <w:rPr>
          <w:szCs w:val="22"/>
          <w:lang w:val="fr-FR"/>
        </w:rPr>
        <w:t>Protocole additionnel aux Conventions de Genève du 12 août 1949 relatif à la protection des victimes des conflits armés internationaux</w:t>
      </w:r>
      <w:r w:rsidR="009404E2" w:rsidRPr="0026653F">
        <w:rPr>
          <w:szCs w:val="22"/>
          <w:lang w:val="fr-FR"/>
        </w:rPr>
        <w:t>.</w:t>
      </w:r>
    </w:p>
    <w:p w14:paraId="79B813D4" w14:textId="77777777" w:rsidR="00441B17" w:rsidRPr="0026653F" w:rsidRDefault="00441B17" w:rsidP="00C618DD">
      <w:pPr>
        <w:rPr>
          <w:color w:val="000000"/>
          <w:szCs w:val="22"/>
          <w:lang w:val="fr-FR"/>
        </w:rPr>
      </w:pPr>
    </w:p>
    <w:p w14:paraId="25DD936B" w14:textId="5819EA53" w:rsidR="00441B17" w:rsidRPr="0026653F" w:rsidRDefault="00441B17" w:rsidP="00C618DD">
      <w:pPr>
        <w:ind w:firstLine="720"/>
        <w:rPr>
          <w:color w:val="000000"/>
          <w:szCs w:val="22"/>
          <w:lang w:val="fr-FR"/>
        </w:rPr>
      </w:pPr>
      <w:r w:rsidRPr="0026653F">
        <w:rPr>
          <w:color w:val="000000"/>
          <w:szCs w:val="22"/>
          <w:lang w:val="fr-FR"/>
        </w:rPr>
        <w:t>8.</w:t>
      </w:r>
      <w:r w:rsidRPr="0026653F">
        <w:rPr>
          <w:color w:val="000000"/>
          <w:szCs w:val="22"/>
          <w:lang w:val="fr-FR"/>
        </w:rPr>
        <w:tab/>
      </w:r>
      <w:r w:rsidRPr="0026653F">
        <w:rPr>
          <w:szCs w:val="22"/>
          <w:lang w:val="fr-FR"/>
        </w:rPr>
        <w:t xml:space="preserve">D’exprimer sa satisfaction </w:t>
      </w:r>
      <w:r w:rsidR="003E530A" w:rsidRPr="0026653F">
        <w:rPr>
          <w:szCs w:val="22"/>
          <w:lang w:val="fr-FR"/>
        </w:rPr>
        <w:t>quant à</w:t>
      </w:r>
      <w:r w:rsidRPr="0026653F">
        <w:rPr>
          <w:szCs w:val="22"/>
          <w:lang w:val="fr-FR"/>
        </w:rPr>
        <w:t xml:space="preserve"> la coopération entre l’OEA et le Comité international de la Croix-Rouge (CICR) dans le domaine de la promotion du respect du droit international humanitaire et des principes qui le régissent, de prier instamment le Secrétariat général de continuer à raffermir cette coopération, et de charger le Conseil permanent de tenir une séance extraordinaire au cours du premier semestre de 2021 qui sera consacrée aux questions d’actualité en matière de droit international humanitaire entre autres, l’applicabilité desdites règles à la question des armes autonomes létales.</w:t>
      </w:r>
      <w:r w:rsidRPr="0026653F">
        <w:rPr>
          <w:szCs w:val="22"/>
          <w:u w:val="single"/>
          <w:vertAlign w:val="superscript"/>
          <w:lang w:val="fr-FR"/>
        </w:rPr>
        <w:footnoteReference w:id="73"/>
      </w:r>
      <w:r w:rsidRPr="0026653F">
        <w:rPr>
          <w:color w:val="000000"/>
          <w:szCs w:val="22"/>
          <w:vertAlign w:val="superscript"/>
          <w:lang w:val="fr-FR"/>
        </w:rPr>
        <w:t>/</w:t>
      </w:r>
    </w:p>
    <w:p w14:paraId="406D3CD3" w14:textId="77777777" w:rsidR="00441B17" w:rsidRPr="0026653F" w:rsidRDefault="00441B17" w:rsidP="00C618DD">
      <w:pPr>
        <w:rPr>
          <w:bCs/>
          <w:color w:val="000000"/>
          <w:szCs w:val="22"/>
          <w:lang w:val="fr-FR"/>
        </w:rPr>
      </w:pPr>
    </w:p>
    <w:p w14:paraId="39C33309" w14:textId="753F5461" w:rsidR="00441B17" w:rsidRPr="0026653F" w:rsidRDefault="00441B17" w:rsidP="00C618DD">
      <w:pPr>
        <w:ind w:firstLine="720"/>
        <w:rPr>
          <w:bCs/>
          <w:szCs w:val="22"/>
          <w:lang w:val="fr-FR"/>
        </w:rPr>
      </w:pPr>
      <w:r w:rsidRPr="0026653F">
        <w:rPr>
          <w:bCs/>
          <w:color w:val="000000"/>
          <w:szCs w:val="22"/>
          <w:lang w:val="fr-FR"/>
        </w:rPr>
        <w:t>9.</w:t>
      </w:r>
      <w:r w:rsidRPr="0026653F">
        <w:rPr>
          <w:bCs/>
          <w:color w:val="000000"/>
          <w:szCs w:val="22"/>
          <w:lang w:val="fr-FR"/>
        </w:rPr>
        <w:tab/>
        <w:t>De demander au Secrétariat général d’organiser un cours par le truchement du Département du droit international, en coordination avec le CICR et dans le cadre de la C</w:t>
      </w:r>
      <w:r w:rsidR="00565770" w:rsidRPr="0026653F">
        <w:rPr>
          <w:bCs/>
          <w:color w:val="000000"/>
          <w:szCs w:val="22"/>
          <w:lang w:val="fr-FR"/>
        </w:rPr>
        <w:t>AJP</w:t>
      </w:r>
      <w:r w:rsidRPr="0026653F">
        <w:rPr>
          <w:bCs/>
          <w:color w:val="000000"/>
          <w:szCs w:val="22"/>
          <w:lang w:val="fr-FR"/>
        </w:rPr>
        <w:t>,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w:t>
      </w:r>
    </w:p>
    <w:p w14:paraId="1089A595" w14:textId="77777777" w:rsidR="00441B17" w:rsidRPr="0026653F" w:rsidRDefault="00441B17" w:rsidP="00C618DD">
      <w:pPr>
        <w:ind w:right="-29"/>
        <w:rPr>
          <w:bCs/>
          <w:szCs w:val="22"/>
          <w:highlight w:val="yellow"/>
          <w:lang w:val="fr-FR"/>
        </w:rPr>
      </w:pPr>
    </w:p>
    <w:p w14:paraId="0BA1F948" w14:textId="77777777" w:rsidR="00441B17" w:rsidRPr="0026653F" w:rsidRDefault="00441B17" w:rsidP="00C618DD">
      <w:pPr>
        <w:jc w:val="center"/>
        <w:rPr>
          <w:szCs w:val="22"/>
          <w:lang w:val="fr-FR"/>
        </w:rPr>
      </w:pPr>
      <w:r w:rsidRPr="0026653F">
        <w:rPr>
          <w:szCs w:val="22"/>
          <w:lang w:val="fr-FR"/>
        </w:rPr>
        <w:t>II. SUIVI ET RAPPORTS</w:t>
      </w:r>
    </w:p>
    <w:p w14:paraId="5FE502D1" w14:textId="77777777" w:rsidR="00441B17" w:rsidRPr="0026653F" w:rsidRDefault="00441B17" w:rsidP="00C618DD">
      <w:pPr>
        <w:jc w:val="left"/>
        <w:rPr>
          <w:szCs w:val="22"/>
          <w:lang w:val="fr-FR"/>
        </w:rPr>
      </w:pPr>
    </w:p>
    <w:p w14:paraId="6FA9E696" w14:textId="77777777" w:rsidR="00441B17" w:rsidRPr="0026653F" w:rsidRDefault="00441B17" w:rsidP="00C618DD">
      <w:pPr>
        <w:rPr>
          <w:szCs w:val="22"/>
          <w:lang w:val="fr-FR"/>
        </w:rPr>
      </w:pPr>
      <w:r w:rsidRPr="0026653F">
        <w:rPr>
          <w:szCs w:val="22"/>
          <w:lang w:val="fr-FR"/>
        </w:rPr>
        <w:t>DÉCIDE :</w:t>
      </w:r>
    </w:p>
    <w:p w14:paraId="64000073" w14:textId="77777777" w:rsidR="00441B17" w:rsidRPr="0026653F" w:rsidRDefault="00441B17" w:rsidP="00C618DD">
      <w:pPr>
        <w:jc w:val="left"/>
        <w:rPr>
          <w:szCs w:val="22"/>
          <w:lang w:val="fr-FR"/>
        </w:rPr>
      </w:pPr>
    </w:p>
    <w:p w14:paraId="6F1E34A2" w14:textId="77777777" w:rsidR="00441B17" w:rsidRPr="0026653F" w:rsidRDefault="00441B17" w:rsidP="00C618DD">
      <w:pPr>
        <w:ind w:firstLine="709"/>
        <w:rPr>
          <w:szCs w:val="22"/>
          <w:lang w:val="fr-FR"/>
        </w:rPr>
      </w:pPr>
      <w:r w:rsidRPr="0026653F">
        <w:rPr>
          <w:szCs w:val="22"/>
          <w:lang w:val="fr-FR"/>
        </w:rPr>
        <w:tab/>
        <w:t>1.</w:t>
      </w:r>
      <w:r w:rsidRPr="0026653F">
        <w:rPr>
          <w:szCs w:val="22"/>
          <w:lang w:val="fr-FR"/>
        </w:rPr>
        <w:tab/>
        <w:t>De demander au Secrétariat général, par l’intermédiaire des services responsables du suivi et de l’exécution des activités en lien avec l’objet de la présente résolution, de présenter en temps opportun le plan des activités qui auront lieu durant la période 2020-2021 aux fins de consultation ou de supervision adéquate par les États membres.</w:t>
      </w:r>
    </w:p>
    <w:p w14:paraId="74D62A87" w14:textId="77777777" w:rsidR="00441B17" w:rsidRPr="0026653F" w:rsidRDefault="00441B17" w:rsidP="00C618DD">
      <w:pPr>
        <w:rPr>
          <w:szCs w:val="22"/>
          <w:lang w:val="fr-FR"/>
        </w:rPr>
      </w:pPr>
    </w:p>
    <w:p w14:paraId="572A6AA9" w14:textId="1A9D8296" w:rsidR="00441B17" w:rsidRPr="0026653F" w:rsidRDefault="00441B17" w:rsidP="00C618DD">
      <w:pPr>
        <w:keepLines/>
        <w:ind w:firstLine="706"/>
        <w:rPr>
          <w:szCs w:val="22"/>
          <w:lang w:val="fr-FR"/>
        </w:rPr>
      </w:pPr>
      <w:r w:rsidRPr="0026653F">
        <w:rPr>
          <w:szCs w:val="22"/>
          <w:lang w:val="fr-FR"/>
        </w:rPr>
        <w:lastRenderedPageBreak/>
        <w:t>2.</w:t>
      </w:r>
      <w:r w:rsidRPr="0026653F">
        <w:rPr>
          <w:szCs w:val="22"/>
          <w:lang w:val="fr-FR"/>
        </w:rPr>
        <w:tab/>
      </w:r>
      <w:r w:rsidRPr="0026653F">
        <w:rPr>
          <w:color w:val="000000"/>
          <w:szCs w:val="22"/>
          <w:lang w:val="fr-FR"/>
        </w:rPr>
        <w:t xml:space="preserve">De demander au Conseil permanent de faire rapport à l’Assemblée générale, lors de sa cinquante-et-unième session ordinaire, sur la mise en œuvre de la présente résolution, </w:t>
      </w:r>
      <w:r w:rsidRPr="0026653F">
        <w:rPr>
          <w:szCs w:val="22"/>
          <w:lang w:val="fr-FR"/>
        </w:rPr>
        <w:t>et d’établir que la mise en œuvre des activités qui y sont prévues dépendra de la disponibilité des ressources financières inscrites à ce titre dans le programme-budget de l’Organisation, ainsi que d’autres ressources.</w:t>
      </w:r>
    </w:p>
    <w:p w14:paraId="114ACBB6" w14:textId="77777777" w:rsidR="00441B17" w:rsidRPr="0026653F" w:rsidRDefault="00441B17" w:rsidP="00C618DD">
      <w:pPr>
        <w:jc w:val="left"/>
        <w:rPr>
          <w:szCs w:val="22"/>
          <w:lang w:val="fr-FR"/>
        </w:rPr>
      </w:pPr>
      <w:r w:rsidRPr="0026653F">
        <w:rPr>
          <w:szCs w:val="22"/>
          <w:lang w:val="fr-FR"/>
        </w:rPr>
        <w:br w:type="page"/>
      </w:r>
    </w:p>
    <w:p w14:paraId="7D75B152" w14:textId="77777777" w:rsidR="00441B17" w:rsidRPr="00C618DD" w:rsidRDefault="00441B17" w:rsidP="00C618DD">
      <w:pPr>
        <w:jc w:val="center"/>
        <w:rPr>
          <w:sz w:val="20"/>
          <w:lang w:val="fr-FR"/>
        </w:rPr>
      </w:pPr>
      <w:r w:rsidRPr="00C618DD">
        <w:rPr>
          <w:sz w:val="20"/>
          <w:lang w:val="fr-FR"/>
        </w:rPr>
        <w:lastRenderedPageBreak/>
        <w:t>NOTES DE BAS DE PAGE</w:t>
      </w:r>
    </w:p>
    <w:p w14:paraId="27209D70" w14:textId="77777777" w:rsidR="00441B17" w:rsidRPr="00C618DD" w:rsidRDefault="00441B17" w:rsidP="00C618DD">
      <w:pPr>
        <w:outlineLvl w:val="0"/>
        <w:rPr>
          <w:bCs/>
          <w:sz w:val="20"/>
          <w:lang w:val="fr-FR" w:eastAsia="es-ES"/>
        </w:rPr>
      </w:pPr>
    </w:p>
    <w:p w14:paraId="294494E6" w14:textId="77777777" w:rsidR="00441B17" w:rsidRPr="00C618DD" w:rsidRDefault="00441B17" w:rsidP="00C618DD">
      <w:pPr>
        <w:outlineLvl w:val="0"/>
        <w:rPr>
          <w:bCs/>
          <w:sz w:val="20"/>
          <w:lang w:val="fr-FR" w:eastAsia="es-ES"/>
        </w:rPr>
      </w:pPr>
    </w:p>
    <w:p w14:paraId="471112C5" w14:textId="77777777" w:rsidR="00441B17" w:rsidRPr="00C618DD" w:rsidRDefault="00441B17" w:rsidP="00C618DD">
      <w:pPr>
        <w:ind w:firstLine="720"/>
        <w:rPr>
          <w:sz w:val="20"/>
          <w:lang w:val="fr-FR"/>
        </w:rPr>
      </w:pPr>
      <w:r w:rsidRPr="00C618DD">
        <w:rPr>
          <w:sz w:val="20"/>
          <w:lang w:val="fr-FR"/>
        </w:rPr>
        <w:t>1.</w:t>
      </w:r>
      <w:r w:rsidRPr="00C618DD">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7509F9E3" w14:textId="77777777" w:rsidR="00441B17" w:rsidRPr="00C618DD" w:rsidRDefault="00441B17" w:rsidP="00C618DD">
      <w:pPr>
        <w:rPr>
          <w:sz w:val="20"/>
          <w:lang w:val="fr-FR"/>
        </w:rPr>
      </w:pPr>
    </w:p>
    <w:p w14:paraId="1AC47001" w14:textId="77777777" w:rsidR="00441B17" w:rsidRPr="00C618DD" w:rsidRDefault="00441B17" w:rsidP="00C618DD">
      <w:pPr>
        <w:ind w:firstLine="720"/>
        <w:rPr>
          <w:sz w:val="20"/>
          <w:lang w:val="fr-FR"/>
        </w:rPr>
      </w:pPr>
      <w:r w:rsidRPr="00C618DD">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7D09979F" w14:textId="77777777" w:rsidR="00441B17" w:rsidRPr="00C618DD" w:rsidRDefault="00441B17" w:rsidP="00C618DD">
      <w:pPr>
        <w:rPr>
          <w:sz w:val="20"/>
          <w:lang w:val="fr-FR"/>
        </w:rPr>
      </w:pPr>
    </w:p>
    <w:p w14:paraId="740AB6FA" w14:textId="77777777" w:rsidR="00441B17" w:rsidRPr="00C618DD" w:rsidRDefault="00441B17" w:rsidP="00C618DD">
      <w:pPr>
        <w:ind w:firstLine="720"/>
        <w:rPr>
          <w:sz w:val="20"/>
          <w:lang w:val="fr-FR"/>
        </w:rPr>
      </w:pPr>
      <w:r w:rsidRPr="00C618DD">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5A1A9DB7" w14:textId="77777777" w:rsidR="00441B17" w:rsidRPr="00C618DD" w:rsidRDefault="00441B17" w:rsidP="00C618DD">
      <w:pPr>
        <w:rPr>
          <w:sz w:val="20"/>
          <w:lang w:val="fr-FR"/>
        </w:rPr>
      </w:pPr>
    </w:p>
    <w:p w14:paraId="795835FD" w14:textId="19951277" w:rsidR="00646139" w:rsidRPr="00C618DD" w:rsidRDefault="00441B17" w:rsidP="00C618DD">
      <w:pPr>
        <w:ind w:firstLine="720"/>
        <w:rPr>
          <w:sz w:val="20"/>
          <w:lang w:val="fr-FR"/>
        </w:rPr>
      </w:pPr>
      <w:r w:rsidRPr="00C618DD">
        <w:rPr>
          <w:sz w:val="20"/>
          <w:lang w:val="fr-FR"/>
        </w:rPr>
        <w:t>2.</w:t>
      </w:r>
      <w:r w:rsidRPr="00C618DD">
        <w:rPr>
          <w:sz w:val="20"/>
          <w:lang w:val="fr-FR"/>
        </w:rPr>
        <w:tab/>
      </w:r>
      <w:r w:rsidR="00646139" w:rsidRPr="00C618DD">
        <w:rPr>
          <w:sz w:val="20"/>
          <w:lang w:val="fr-FR"/>
        </w:rPr>
        <w:t>… de l'Assemblée générale.</w:t>
      </w:r>
    </w:p>
    <w:p w14:paraId="7B94EA84" w14:textId="77777777" w:rsidR="00646139" w:rsidRPr="00C618DD" w:rsidRDefault="00646139" w:rsidP="00C618DD">
      <w:pPr>
        <w:rPr>
          <w:sz w:val="20"/>
          <w:lang w:val="fr-FR"/>
        </w:rPr>
      </w:pPr>
    </w:p>
    <w:p w14:paraId="4A2149ED" w14:textId="49C2FA33" w:rsidR="00441B17" w:rsidRPr="00C618DD" w:rsidRDefault="00646139" w:rsidP="00C618DD">
      <w:pPr>
        <w:ind w:firstLine="720"/>
        <w:rPr>
          <w:sz w:val="20"/>
          <w:lang w:val="fr-FR"/>
        </w:rPr>
      </w:pPr>
      <w:r w:rsidRPr="00C618DD">
        <w:rPr>
          <w:sz w:val="20"/>
          <w:lang w:val="fr-FR"/>
        </w:rPr>
        <w:t>3.</w:t>
      </w:r>
      <w:r w:rsidRPr="00C618DD">
        <w:rPr>
          <w:sz w:val="20"/>
          <w:lang w:val="fr-FR"/>
        </w:rPr>
        <w:tab/>
      </w:r>
      <w:r w:rsidR="00441B17" w:rsidRPr="00C618DD">
        <w:rPr>
          <w:sz w:val="20"/>
          <w:lang w:val="fr-FR"/>
        </w:rPr>
        <w:t>… Dans de rares et exceptionnelles circonstances, les États-Unis ont accordé un refuge temporaire ou une protection dans leurs missions diplomatiques à des personnes faisant face à un danger grave et imminent. L’octroi de l’asile n’est pas reconnu comme une attribution diplomatique en vertu de la Convention de Vienne sur les relations diplomatiques ou du droit international coutumier. L’utilisation des ambassades comme refuges pour les ressortissants du pays hôte pourrait donner lieu à des accusations de violation des dispositions de la Convention de Vienne sur les relations diplomatiques qui interdisent au personnel diplomatique de s’ingérer dans les affaires intérieures du pays hôte et d’utiliser les locaux de l’ambassade de manière incompatible avec les fonctions de celle-ci.</w:t>
      </w:r>
    </w:p>
    <w:p w14:paraId="7A1DD7C5" w14:textId="77777777" w:rsidR="00441B17" w:rsidRPr="00C618DD" w:rsidRDefault="00441B17" w:rsidP="00C618DD">
      <w:pPr>
        <w:rPr>
          <w:sz w:val="20"/>
          <w:lang w:val="fr-FR"/>
        </w:rPr>
      </w:pPr>
    </w:p>
    <w:p w14:paraId="65EB9620" w14:textId="06F21136" w:rsidR="00441B17" w:rsidRPr="00C618DD" w:rsidRDefault="004953EA" w:rsidP="00C618DD">
      <w:pPr>
        <w:ind w:firstLine="720"/>
        <w:rPr>
          <w:sz w:val="20"/>
          <w:lang w:val="fr-FR"/>
        </w:rPr>
      </w:pPr>
      <w:r w:rsidRPr="00C618DD">
        <w:rPr>
          <w:sz w:val="20"/>
          <w:lang w:val="fr-FR"/>
        </w:rPr>
        <w:t>4</w:t>
      </w:r>
      <w:r w:rsidR="00441B17" w:rsidRPr="00C618DD">
        <w:rPr>
          <w:sz w:val="20"/>
          <w:lang w:val="fr-FR"/>
        </w:rPr>
        <w:t>.</w:t>
      </w:r>
      <w:r w:rsidR="00441B17" w:rsidRPr="00C618DD">
        <w:rPr>
          <w:sz w:val="20"/>
          <w:lang w:val="fr-FR"/>
        </w:rPr>
        <w:tab/>
        <w:t>… nécessairement l’opinion des États membres ou de l’Organisation de manière plus générale. Les États-Unis notent en outre avec déception que les Lignes directrices sur les accords contraignants et non contraignants ont été élaborées par le CJI sans que les États membres aient eu la possibilité de contribuer de manière adéquate. Il est important que les demandes d’information du CJI adressées aux États membres leur laissent suffisamment de temps pour réfléchir et répondre, en particulier dans le cas d’un projet tel que les Lignes directrices, qui portent sur des questions pour lesquelles les points de vue et la pratique des États sont d’une importance capitale.</w:t>
      </w:r>
    </w:p>
    <w:p w14:paraId="19EB49AE" w14:textId="77777777" w:rsidR="00441B17" w:rsidRPr="00C618DD" w:rsidRDefault="00441B17" w:rsidP="00C618DD">
      <w:pPr>
        <w:rPr>
          <w:sz w:val="20"/>
          <w:lang w:val="fr-FR"/>
        </w:rPr>
      </w:pPr>
    </w:p>
    <w:p w14:paraId="72765BF2" w14:textId="0F8AFE04" w:rsidR="00441B17" w:rsidRPr="00C618DD" w:rsidRDefault="004953EA" w:rsidP="00C618DD">
      <w:pPr>
        <w:ind w:firstLine="720"/>
        <w:rPr>
          <w:sz w:val="20"/>
          <w:lang w:val="fr-FR"/>
        </w:rPr>
      </w:pPr>
      <w:r w:rsidRPr="00C618DD">
        <w:rPr>
          <w:sz w:val="20"/>
          <w:lang w:val="fr-FR"/>
        </w:rPr>
        <w:t>5</w:t>
      </w:r>
      <w:r w:rsidR="00441B17" w:rsidRPr="00C618DD">
        <w:rPr>
          <w:sz w:val="20"/>
          <w:lang w:val="fr-FR"/>
        </w:rPr>
        <w:t>.</w:t>
      </w:r>
      <w:r w:rsidR="00441B17" w:rsidRPr="00C618DD">
        <w:rPr>
          <w:sz w:val="20"/>
          <w:lang w:val="fr-FR"/>
        </w:rPr>
        <w:tab/>
        <w:t xml:space="preserve">… respecter l’ensemble du droit international humanitaire en toutes circonstances, mais que les États parties aux Conventions de Genève et aux protocoles additionnels ont plutôt pour obligation de respecter et de faire respecter les conventions et les protocoles additionnels auxquels ils sont </w:t>
      </w:r>
      <w:proofErr w:type="gramStart"/>
      <w:r w:rsidR="00441B17" w:rsidRPr="00C618DD">
        <w:rPr>
          <w:sz w:val="20"/>
          <w:lang w:val="fr-FR"/>
        </w:rPr>
        <w:t>parties</w:t>
      </w:r>
      <w:proofErr w:type="gramEnd"/>
      <w:r w:rsidR="00441B17" w:rsidRPr="00C618DD">
        <w:rPr>
          <w:sz w:val="20"/>
          <w:lang w:val="fr-FR"/>
        </w:rPr>
        <w:t>.</w:t>
      </w:r>
    </w:p>
    <w:p w14:paraId="41B2348C" w14:textId="77777777" w:rsidR="00441B17" w:rsidRPr="00C618DD" w:rsidRDefault="00441B17" w:rsidP="00C618DD">
      <w:pPr>
        <w:rPr>
          <w:sz w:val="20"/>
          <w:lang w:val="fr-FR"/>
        </w:rPr>
      </w:pPr>
    </w:p>
    <w:p w14:paraId="6C96AC68" w14:textId="623F982C" w:rsidR="00441B17" w:rsidRPr="00C618DD" w:rsidRDefault="004953EA" w:rsidP="00C618DD">
      <w:pPr>
        <w:ind w:firstLine="720"/>
        <w:rPr>
          <w:rFonts w:eastAsia="MS Mincho"/>
          <w:sz w:val="20"/>
          <w:lang w:val="fr-FR" w:eastAsia="es-ES_tradnl"/>
        </w:rPr>
      </w:pPr>
      <w:r w:rsidRPr="00C618DD">
        <w:rPr>
          <w:sz w:val="20"/>
          <w:lang w:val="fr-FR"/>
        </w:rPr>
        <w:t>6</w:t>
      </w:r>
      <w:r w:rsidR="00441B17" w:rsidRPr="00C618DD">
        <w:rPr>
          <w:sz w:val="20"/>
          <w:lang w:val="fr-FR"/>
        </w:rPr>
        <w:t>.</w:t>
      </w:r>
      <w:r w:rsidR="00441B17" w:rsidRPr="00C618DD">
        <w:rPr>
          <w:sz w:val="20"/>
          <w:lang w:val="fr-FR"/>
        </w:rPr>
        <w:tab/>
        <w:t xml:space="preserve">… Traité sur la non-prolifération des armes nucléaires (TNP) </w:t>
      </w:r>
      <w:r w:rsidR="00441B17" w:rsidRPr="00C618DD">
        <w:rPr>
          <w:rFonts w:eastAsia="MS Mincho"/>
          <w:sz w:val="20"/>
          <w:lang w:val="fr-FR" w:eastAsia="es-ES_tradnl"/>
        </w:rPr>
        <w:t>et continue d’appuyer cet instrument en tant que pierre angulaire du régime mondial de désarmement et de non-prolifération nucléaire, y compris en exhortant à la réalisation de progrès plus tangibles vers le désarmement nucléaire. Le Canada demeure préoccupé du fait que le Traité sur la non-prolifération des armes nucléaires puisse éroder la primauté du Traité sur la non-prolifération et son processus d’examen et miner les efforts visant l’universalisation du traité. Le Canada est également un État partie à la Convention sur les armes biologiques et à la Convention sur les armes chimiques et met en œuvre et soutient fermement la résolution 1540 (2004) du Conseil de sécurité de l’ONU.</w:t>
      </w:r>
    </w:p>
    <w:p w14:paraId="6B6111E8" w14:textId="77777777" w:rsidR="00441B17" w:rsidRPr="00C618DD" w:rsidRDefault="00441B17" w:rsidP="00C618DD">
      <w:pPr>
        <w:rPr>
          <w:rFonts w:eastAsia="MS Mincho"/>
          <w:sz w:val="20"/>
          <w:lang w:val="fr-FR" w:eastAsia="es-ES_tradnl"/>
        </w:rPr>
      </w:pPr>
    </w:p>
    <w:p w14:paraId="05F8E280" w14:textId="3CBDBD15" w:rsidR="00441B17" w:rsidRPr="00C618DD" w:rsidRDefault="004953EA" w:rsidP="00C618DD">
      <w:pPr>
        <w:ind w:firstLine="720"/>
        <w:rPr>
          <w:sz w:val="20"/>
          <w:lang w:val="fr-FR"/>
        </w:rPr>
      </w:pPr>
      <w:r w:rsidRPr="00C618DD">
        <w:rPr>
          <w:rFonts w:eastAsia="MS Mincho"/>
          <w:sz w:val="20"/>
          <w:lang w:val="fr-FR" w:eastAsia="es-ES_tradnl"/>
        </w:rPr>
        <w:lastRenderedPageBreak/>
        <w:t>7</w:t>
      </w:r>
      <w:r w:rsidR="00441B17" w:rsidRPr="00C618DD">
        <w:rPr>
          <w:rFonts w:eastAsia="MS Mincho"/>
          <w:sz w:val="20"/>
          <w:lang w:val="fr-FR" w:eastAsia="es-ES_tradnl"/>
        </w:rPr>
        <w:t>.</w:t>
      </w:r>
      <w:r w:rsidR="00441B17" w:rsidRPr="00C618DD">
        <w:rPr>
          <w:rFonts w:eastAsia="MS Mincho"/>
          <w:sz w:val="20"/>
          <w:lang w:val="fr-FR" w:eastAsia="es-ES_tradnl"/>
        </w:rPr>
        <w:tab/>
        <w:t xml:space="preserve">… </w:t>
      </w:r>
      <w:r w:rsidR="00603317" w:rsidRPr="00C618DD">
        <w:rPr>
          <w:rFonts w:eastAsia="MS Mincho"/>
          <w:sz w:val="20"/>
          <w:lang w:val="fr-FR" w:eastAsia="es-ES_tradnl"/>
        </w:rPr>
        <w:t xml:space="preserve">dans </w:t>
      </w:r>
      <w:r w:rsidR="00441B17" w:rsidRPr="00C618DD">
        <w:rPr>
          <w:sz w:val="20"/>
          <w:lang w:val="fr-FR"/>
        </w:rPr>
        <w:t>l’article VI du TNP. Aucun État possédant des armes nucléaires ou dépendant de telles armes pour sa sécurité ne soutient ce traité. Par ailleurs, ce traité n’entraînera aucunement l’élimination d’une seule arme nucléaire, ne renforcera pas la sécurité d’aucun État et ne contribuera pas de manière tangible à la paix et à la sécurité dans la réalité géopolitique du XXI</w:t>
      </w:r>
      <w:r w:rsidR="00441B17" w:rsidRPr="00C618DD">
        <w:rPr>
          <w:sz w:val="20"/>
          <w:vertAlign w:val="superscript"/>
          <w:lang w:val="fr-FR"/>
        </w:rPr>
        <w:t>e</w:t>
      </w:r>
      <w:r w:rsidR="00441B17" w:rsidRPr="00C618DD">
        <w:rPr>
          <w:sz w:val="20"/>
          <w:lang w:val="fr-FR"/>
        </w:rPr>
        <w:t xml:space="preserve"> siècle. Bien au contraire, cet instrument portera atteinte aux efforts légitimes visant à faire progresser la cause du désarmement nucléaire. Il fait abstraction des défis actuels en matière de sécurité qui rendent la dissuasion nucléaire nécessaire et risque de saper les efforts déployés actuellement pour faire face aux défis mondiaux en matière de prolifération et de sécurité. Nous partageons le souhait de parvenir à un environnement de sécurité qui rendrait ces progrès possibles et de progresser davantage et plus rapidement en matière de désarmement nucléaire, mais le Traité sur l’interdiction des armes nucléaires n’est pas la solution. Les mesures efficaces et vérifiables de contrôle des armements et de désarmement se sont avérées les outils appropriés pour limiter les risques nucléaires et prévenir la guerre nucléaire. Le Traité sur l’interdiction des armes nucléaires ne peut remplacer le TNP en tant que norme mondiale de référence pour la non-prolifération nucléaire, le désarmement nucléaire et les utilisations pacifiques de l’énergie nucléaire. Nous réaffirmons notre engagement continu en faveur de la meilleure approche reflétée dans le TNP, y compris ses dispositions en matière de désarmement, et nous réaffirmons notre détermination à sauvegarder et à promouvoir davantage son autorité, son universalité et son efficacité. Les États-Unis invitent tous les États à soutenir la poursuite par les États-Unis d’une « nouvelle ère de contrôle des armes » alors que nous cherchons à amener la Russie et la Chine à limiter toutes les têtes nucléaires et à renforcer la vérification, et à participer à d’autres dialogues qui faciliteront les progrès en matière de désarmement nucléaire. À cet égard, nous saluons la participation des États de la région à l’initiative dénommée Créer un environnement propice au désarmement nucléaire (CEND).</w:t>
      </w:r>
    </w:p>
    <w:p w14:paraId="38160DA9" w14:textId="77777777" w:rsidR="00441B17" w:rsidRPr="00C618DD" w:rsidRDefault="00441B17" w:rsidP="00C618DD">
      <w:pPr>
        <w:rPr>
          <w:sz w:val="20"/>
          <w:lang w:val="fr-FR"/>
        </w:rPr>
      </w:pPr>
    </w:p>
    <w:p w14:paraId="4116D8F9" w14:textId="560B9416" w:rsidR="00441B17" w:rsidRPr="00C618DD" w:rsidRDefault="004953EA" w:rsidP="00C618DD">
      <w:pPr>
        <w:ind w:firstLine="720"/>
        <w:rPr>
          <w:sz w:val="20"/>
          <w:lang w:val="fr-FR"/>
        </w:rPr>
      </w:pPr>
      <w:r w:rsidRPr="00C618DD">
        <w:rPr>
          <w:sz w:val="20"/>
          <w:lang w:val="fr-FR"/>
        </w:rPr>
        <w:t>8</w:t>
      </w:r>
      <w:r w:rsidR="00441B17" w:rsidRPr="00C618DD">
        <w:rPr>
          <w:sz w:val="20"/>
          <w:lang w:val="fr-FR"/>
        </w:rPr>
        <w:t>.</w:t>
      </w:r>
      <w:r w:rsidR="00441B17" w:rsidRPr="00C618DD">
        <w:rPr>
          <w:sz w:val="20"/>
          <w:lang w:val="fr-FR"/>
        </w:rPr>
        <w:tab/>
        <w:t>… systèmes d’armes létaux autonomes, convoqué par les Hautes Parties contractantes à la Convention sur certaines armes classiques, offre un cadre approprié pour traiter la question des technologies émergentes dans le domaine des systèmes d’armes létaux autonomes dans le contexte des objectifs et des buts de la Convention, qui cherche à établir un équilibre entre la nécessité militaire et les considérations humanitaires.</w:t>
      </w:r>
    </w:p>
    <w:p w14:paraId="248E945D" w14:textId="77777777" w:rsidR="00441B17" w:rsidRPr="0026653F" w:rsidRDefault="00441B17" w:rsidP="00C618DD">
      <w:pPr>
        <w:ind w:firstLine="720"/>
        <w:rPr>
          <w:szCs w:val="22"/>
          <w:lang w:val="fr-FR"/>
        </w:rPr>
      </w:pPr>
    </w:p>
    <w:p w14:paraId="0CDE6757" w14:textId="77777777" w:rsidR="00316FC5" w:rsidRPr="0026653F" w:rsidRDefault="00316FC5" w:rsidP="00C618DD">
      <w:pPr>
        <w:jc w:val="center"/>
        <w:outlineLvl w:val="0"/>
        <w:rPr>
          <w:szCs w:val="22"/>
          <w:lang w:val="fr-FR"/>
        </w:rPr>
        <w:sectPr w:rsidR="00316FC5" w:rsidRPr="0026653F" w:rsidSect="00FE7DD6">
          <w:headerReference w:type="default" r:id="rId99"/>
          <w:footerReference w:type="default" r:id="rId100"/>
          <w:footnotePr>
            <w:numRestart w:val="eachSect"/>
          </w:footnotePr>
          <w:type w:val="oddPage"/>
          <w:pgSz w:w="12240" w:h="15840" w:code="1"/>
          <w:pgMar w:top="2160" w:right="1570" w:bottom="1296" w:left="1699" w:header="1296" w:footer="1296" w:gutter="0"/>
          <w:cols w:space="720"/>
          <w:docGrid w:linePitch="360"/>
        </w:sectPr>
      </w:pPr>
    </w:p>
    <w:p w14:paraId="4B2F26E2" w14:textId="02A4D2B2" w:rsidR="00FB03A9" w:rsidRPr="0026653F" w:rsidRDefault="00316FC5" w:rsidP="00C618DD">
      <w:pPr>
        <w:pStyle w:val="Heading1"/>
        <w:rPr>
          <w:szCs w:val="22"/>
          <w:lang w:val="fr-FR"/>
        </w:rPr>
      </w:pPr>
      <w:bookmarkStart w:id="60" w:name="_Toc74732026"/>
      <w:r w:rsidRPr="0026653F">
        <w:rPr>
          <w:rStyle w:val="Heading1Char"/>
          <w:rFonts w:eastAsia="Calibri"/>
          <w:szCs w:val="22"/>
          <w:lang w:val="fr-FR"/>
        </w:rPr>
        <w:lastRenderedPageBreak/>
        <w:t>AG/RES. 2960 (L-O/20)</w:t>
      </w:r>
      <w:r w:rsidRPr="0026653F">
        <w:rPr>
          <w:rStyle w:val="Heading1Char"/>
          <w:rFonts w:eastAsia="Calibri"/>
          <w:szCs w:val="22"/>
          <w:lang w:val="fr-FR"/>
        </w:rPr>
        <w:br/>
      </w:r>
      <w:r w:rsidRPr="0026653F">
        <w:rPr>
          <w:rStyle w:val="Heading1Char"/>
          <w:rFonts w:eastAsia="Calibri"/>
          <w:szCs w:val="22"/>
          <w:lang w:val="fr-FR"/>
        </w:rPr>
        <w:br/>
      </w:r>
      <w:r w:rsidR="00FB03A9" w:rsidRPr="0026653F">
        <w:rPr>
          <w:szCs w:val="22"/>
          <w:lang w:val="fr-FR"/>
        </w:rPr>
        <w:t xml:space="preserve">RENFORCEMENT DE LA PARTICIPATION DES OBSERVATEURS PERMANENTS </w:t>
      </w:r>
      <w:r w:rsidR="00865232">
        <w:rPr>
          <w:szCs w:val="22"/>
          <w:lang w:val="fr-FR"/>
        </w:rPr>
        <w:br/>
      </w:r>
      <w:r w:rsidR="00FB03A9" w:rsidRPr="0026653F">
        <w:rPr>
          <w:szCs w:val="22"/>
          <w:lang w:val="fr-FR"/>
        </w:rPr>
        <w:t>AUX ACTIVITÉS DE L’ORGANISATION DES ÉTATS AMÉRICAINS</w:t>
      </w:r>
      <w:r w:rsidR="00FB03A9" w:rsidRPr="0026653F">
        <w:rPr>
          <w:szCs w:val="22"/>
          <w:u w:val="single"/>
          <w:vertAlign w:val="superscript"/>
          <w:lang w:val="fr-FR"/>
        </w:rPr>
        <w:footnoteReference w:id="74"/>
      </w:r>
      <w:r w:rsidR="00FB03A9" w:rsidRPr="0026653F">
        <w:rPr>
          <w:szCs w:val="22"/>
          <w:vertAlign w:val="superscript"/>
          <w:lang w:val="fr-FR"/>
        </w:rPr>
        <w:t>/</w:t>
      </w:r>
      <w:r w:rsidR="004953EA" w:rsidRPr="0026653F">
        <w:rPr>
          <w:rStyle w:val="FootnoteReference"/>
          <w:szCs w:val="22"/>
          <w:u w:val="single"/>
          <w:vertAlign w:val="superscript"/>
          <w:lang w:val="fr-FR"/>
        </w:rPr>
        <w:footnoteReference w:id="75"/>
      </w:r>
      <w:r w:rsidR="004953EA" w:rsidRPr="0026653F">
        <w:rPr>
          <w:szCs w:val="22"/>
          <w:vertAlign w:val="superscript"/>
          <w:lang w:val="fr-FR"/>
        </w:rPr>
        <w:t>/</w:t>
      </w:r>
      <w:bookmarkEnd w:id="60"/>
    </w:p>
    <w:p w14:paraId="6AF3815E" w14:textId="77777777" w:rsidR="00FB03A9" w:rsidRPr="0026653F" w:rsidRDefault="00FB03A9" w:rsidP="00C618DD">
      <w:pPr>
        <w:rPr>
          <w:szCs w:val="22"/>
          <w:lang w:val="fr-FR"/>
        </w:rPr>
      </w:pPr>
    </w:p>
    <w:p w14:paraId="1AB6E81D" w14:textId="77777777" w:rsidR="00FB03A9" w:rsidRPr="0026653F" w:rsidRDefault="00FB03A9" w:rsidP="00C618DD">
      <w:pPr>
        <w:jc w:val="center"/>
        <w:rPr>
          <w:szCs w:val="22"/>
          <w:lang w:val="fr-FR"/>
        </w:rPr>
      </w:pPr>
      <w:r w:rsidRPr="0026653F">
        <w:rPr>
          <w:szCs w:val="22"/>
          <w:lang w:val="fr-FR"/>
        </w:rPr>
        <w:t>(</w:t>
      </w:r>
      <w:r w:rsidRPr="0026653F">
        <w:rPr>
          <w:bCs/>
          <w:color w:val="000000"/>
          <w:szCs w:val="22"/>
          <w:lang w:val="fr-FR" w:eastAsia="es-ES"/>
        </w:rPr>
        <w:t xml:space="preserve">Résolution adoptée à la quatrième séance plénière, le </w:t>
      </w:r>
      <w:r w:rsidRPr="0026653F">
        <w:rPr>
          <w:szCs w:val="22"/>
          <w:lang w:val="fr-FR"/>
        </w:rPr>
        <w:t>21 octobre 2020)</w:t>
      </w:r>
    </w:p>
    <w:p w14:paraId="75F368D7" w14:textId="77777777" w:rsidR="00FB03A9" w:rsidRPr="0026653F" w:rsidRDefault="00FB03A9" w:rsidP="00C618DD">
      <w:pPr>
        <w:rPr>
          <w:szCs w:val="22"/>
          <w:lang w:val="fr-FR"/>
        </w:rPr>
      </w:pPr>
    </w:p>
    <w:p w14:paraId="1609E4D0" w14:textId="77777777" w:rsidR="00FB03A9" w:rsidRPr="0026653F" w:rsidRDefault="00FB03A9" w:rsidP="00C618DD">
      <w:pPr>
        <w:rPr>
          <w:szCs w:val="22"/>
          <w:lang w:val="fr-FR"/>
        </w:rPr>
      </w:pPr>
    </w:p>
    <w:p w14:paraId="149BB7D6" w14:textId="77777777" w:rsidR="00FB03A9" w:rsidRPr="0026653F" w:rsidRDefault="00FB03A9" w:rsidP="00C618DD">
      <w:pPr>
        <w:ind w:firstLine="720"/>
        <w:rPr>
          <w:szCs w:val="22"/>
          <w:lang w:val="fr-FR"/>
        </w:rPr>
      </w:pPr>
      <w:r w:rsidRPr="0026653F">
        <w:rPr>
          <w:szCs w:val="22"/>
          <w:lang w:val="fr-FR"/>
        </w:rPr>
        <w:t>L’ASSEMBLÉE GÉNÉRALE,</w:t>
      </w:r>
    </w:p>
    <w:p w14:paraId="34E85007" w14:textId="77777777" w:rsidR="00FB03A9" w:rsidRPr="0026653F" w:rsidRDefault="00FB03A9" w:rsidP="00C618DD">
      <w:pPr>
        <w:rPr>
          <w:szCs w:val="22"/>
          <w:lang w:val="fr-FR"/>
        </w:rPr>
      </w:pPr>
    </w:p>
    <w:p w14:paraId="4F52FABA" w14:textId="3376CF1A" w:rsidR="00FB03A9" w:rsidRPr="0026653F" w:rsidRDefault="00FB03A9" w:rsidP="00C618DD">
      <w:pPr>
        <w:ind w:firstLine="720"/>
        <w:contextualSpacing/>
        <w:rPr>
          <w:szCs w:val="22"/>
          <w:lang w:val="fr-FR"/>
        </w:rPr>
      </w:pPr>
      <w:r w:rsidRPr="0026653F">
        <w:rPr>
          <w:szCs w:val="22"/>
          <w:lang w:val="fr-FR"/>
        </w:rPr>
        <w:t xml:space="preserve">CONSIDÉRANT le nombre croissant de pays auxquels le statut d’observateur permanent a été accordé depuis sa résolution AG/RES. 50 (I-O/71), adoptée lors de sa </w:t>
      </w:r>
      <w:r w:rsidR="00471807" w:rsidRPr="0026653F">
        <w:rPr>
          <w:szCs w:val="22"/>
          <w:lang w:val="fr-FR"/>
        </w:rPr>
        <w:t>p</w:t>
      </w:r>
      <w:r w:rsidRPr="0026653F">
        <w:rPr>
          <w:szCs w:val="22"/>
          <w:lang w:val="fr-FR"/>
        </w:rPr>
        <w:t xml:space="preserve">remière </w:t>
      </w:r>
      <w:r w:rsidR="00471807" w:rsidRPr="0026653F">
        <w:rPr>
          <w:szCs w:val="22"/>
          <w:lang w:val="fr-FR"/>
        </w:rPr>
        <w:t>s</w:t>
      </w:r>
      <w:r w:rsidRPr="0026653F">
        <w:rPr>
          <w:szCs w:val="22"/>
          <w:lang w:val="fr-FR"/>
        </w:rPr>
        <w:t>ession ordinaire en avril 1971,</w:t>
      </w:r>
    </w:p>
    <w:p w14:paraId="3D6997C6" w14:textId="77777777" w:rsidR="00FB03A9" w:rsidRPr="0026653F" w:rsidRDefault="00FB03A9" w:rsidP="00C618DD">
      <w:pPr>
        <w:rPr>
          <w:szCs w:val="22"/>
          <w:lang w:val="fr-FR"/>
        </w:rPr>
      </w:pPr>
    </w:p>
    <w:p w14:paraId="16F0577B" w14:textId="751777CE" w:rsidR="00FB03A9" w:rsidRPr="0026653F" w:rsidRDefault="00FB03A9" w:rsidP="00C618DD">
      <w:pPr>
        <w:ind w:firstLine="720"/>
        <w:contextualSpacing/>
        <w:rPr>
          <w:szCs w:val="22"/>
          <w:lang w:val="fr-FR"/>
        </w:rPr>
      </w:pPr>
      <w:r w:rsidRPr="0026653F">
        <w:rPr>
          <w:szCs w:val="22"/>
          <w:lang w:val="fr-FR"/>
        </w:rPr>
        <w:t>RAPPELANT les résolutions CP/RES. 52 (61/72), CP/RES. 407 (573/84) et CP/RES. 619 (978/94)</w:t>
      </w:r>
      <w:r w:rsidR="00471807" w:rsidRPr="0026653F">
        <w:rPr>
          <w:szCs w:val="22"/>
          <w:lang w:val="fr-FR"/>
        </w:rPr>
        <w:t xml:space="preserve"> adoptées par le Conseil permanent</w:t>
      </w:r>
      <w:r w:rsidRPr="0026653F">
        <w:rPr>
          <w:szCs w:val="22"/>
          <w:lang w:val="fr-FR"/>
        </w:rPr>
        <w:t xml:space="preserve"> qui</w:t>
      </w:r>
      <w:r w:rsidR="009B4A8C" w:rsidRPr="0026653F">
        <w:rPr>
          <w:szCs w:val="22"/>
          <w:lang w:val="fr-FR"/>
        </w:rPr>
        <w:t xml:space="preserve">, </w:t>
      </w:r>
      <w:r w:rsidRPr="0026653F">
        <w:rPr>
          <w:szCs w:val="22"/>
          <w:lang w:val="fr-FR"/>
        </w:rPr>
        <w:t>respectivement</w:t>
      </w:r>
      <w:r w:rsidR="009B4A8C" w:rsidRPr="0026653F">
        <w:rPr>
          <w:szCs w:val="22"/>
          <w:lang w:val="fr-FR"/>
        </w:rPr>
        <w:t>,</w:t>
      </w:r>
      <w:r w:rsidRPr="0026653F">
        <w:rPr>
          <w:szCs w:val="22"/>
          <w:lang w:val="fr-FR"/>
        </w:rPr>
        <w:t xml:space="preserve"> établi</w:t>
      </w:r>
      <w:r w:rsidR="009B4A8C" w:rsidRPr="0026653F">
        <w:rPr>
          <w:szCs w:val="22"/>
          <w:lang w:val="fr-FR"/>
        </w:rPr>
        <w:t>ssent</w:t>
      </w:r>
      <w:r w:rsidRPr="0026653F">
        <w:rPr>
          <w:szCs w:val="22"/>
          <w:lang w:val="fr-FR"/>
        </w:rPr>
        <w:t>, révis</w:t>
      </w:r>
      <w:r w:rsidR="009B4A8C" w:rsidRPr="0026653F">
        <w:rPr>
          <w:szCs w:val="22"/>
          <w:lang w:val="fr-FR"/>
        </w:rPr>
        <w:t>ent</w:t>
      </w:r>
      <w:r w:rsidRPr="0026653F">
        <w:rPr>
          <w:szCs w:val="22"/>
          <w:lang w:val="fr-FR"/>
        </w:rPr>
        <w:t xml:space="preserve"> et conserv</w:t>
      </w:r>
      <w:r w:rsidR="009B4A8C" w:rsidRPr="0026653F">
        <w:rPr>
          <w:szCs w:val="22"/>
          <w:lang w:val="fr-FR"/>
        </w:rPr>
        <w:t>ent</w:t>
      </w:r>
      <w:r w:rsidRPr="0026653F">
        <w:rPr>
          <w:szCs w:val="22"/>
          <w:lang w:val="fr-FR"/>
        </w:rPr>
        <w:t xml:space="preserve"> les critères et procédures d’octroi du statut d’observateur permanent à un pays </w:t>
      </w:r>
      <w:proofErr w:type="gramStart"/>
      <w:r w:rsidR="009B4A8C" w:rsidRPr="0026653F">
        <w:rPr>
          <w:szCs w:val="22"/>
          <w:lang w:val="fr-FR"/>
        </w:rPr>
        <w:t xml:space="preserve">non </w:t>
      </w:r>
      <w:r w:rsidRPr="0026653F">
        <w:rPr>
          <w:szCs w:val="22"/>
          <w:lang w:val="fr-FR"/>
        </w:rPr>
        <w:t>membre</w:t>
      </w:r>
      <w:proofErr w:type="gramEnd"/>
      <w:r w:rsidRPr="0026653F">
        <w:rPr>
          <w:szCs w:val="22"/>
          <w:lang w:val="fr-FR"/>
        </w:rPr>
        <w:t xml:space="preserve"> de l’</w:t>
      </w:r>
      <w:r w:rsidR="00471807" w:rsidRPr="0026653F">
        <w:rPr>
          <w:szCs w:val="22"/>
          <w:lang w:val="fr-FR"/>
        </w:rPr>
        <w:t>Organisation des États Américains (O</w:t>
      </w:r>
      <w:r w:rsidRPr="0026653F">
        <w:rPr>
          <w:szCs w:val="22"/>
          <w:lang w:val="fr-FR"/>
        </w:rPr>
        <w:t>EA</w:t>
      </w:r>
      <w:r w:rsidR="00471807" w:rsidRPr="0026653F">
        <w:rPr>
          <w:szCs w:val="22"/>
          <w:lang w:val="fr-FR"/>
        </w:rPr>
        <w:t>)</w:t>
      </w:r>
      <w:r w:rsidRPr="0026653F">
        <w:rPr>
          <w:szCs w:val="22"/>
          <w:lang w:val="fr-FR"/>
        </w:rPr>
        <w:t xml:space="preserve">, et </w:t>
      </w:r>
      <w:r w:rsidR="009B4A8C" w:rsidRPr="0026653F">
        <w:rPr>
          <w:szCs w:val="22"/>
          <w:lang w:val="fr-FR"/>
        </w:rPr>
        <w:t xml:space="preserve">la résolution </w:t>
      </w:r>
      <w:r w:rsidRPr="0026653F">
        <w:rPr>
          <w:szCs w:val="22"/>
          <w:lang w:val="fr-FR"/>
        </w:rPr>
        <w:t xml:space="preserve">CP/RES. 68 (69/72), qui </w:t>
      </w:r>
      <w:r w:rsidR="009B4A8C" w:rsidRPr="0026653F">
        <w:rPr>
          <w:szCs w:val="22"/>
          <w:lang w:val="fr-FR"/>
        </w:rPr>
        <w:t xml:space="preserve">autorise </w:t>
      </w:r>
      <w:r w:rsidRPr="0026653F">
        <w:rPr>
          <w:szCs w:val="22"/>
          <w:lang w:val="fr-FR"/>
        </w:rPr>
        <w:t xml:space="preserve">la présence et la participation des </w:t>
      </w:r>
      <w:r w:rsidR="009B4A8C" w:rsidRPr="0026653F">
        <w:rPr>
          <w:szCs w:val="22"/>
          <w:lang w:val="fr-FR"/>
        </w:rPr>
        <w:t>o</w:t>
      </w:r>
      <w:r w:rsidRPr="0026653F">
        <w:rPr>
          <w:szCs w:val="22"/>
          <w:lang w:val="fr-FR"/>
        </w:rPr>
        <w:t>bservateurs permanents aux séances du Conseil permanent et aux réunions de ses commissions,</w:t>
      </w:r>
    </w:p>
    <w:p w14:paraId="1D58C747" w14:textId="77777777" w:rsidR="00FB03A9" w:rsidRPr="0026653F" w:rsidRDefault="00FB03A9" w:rsidP="00C618DD">
      <w:pPr>
        <w:rPr>
          <w:szCs w:val="22"/>
          <w:lang w:val="fr-FR"/>
        </w:rPr>
      </w:pPr>
    </w:p>
    <w:p w14:paraId="71E1AE1B" w14:textId="019CBD51" w:rsidR="00FB03A9" w:rsidRPr="0026653F" w:rsidRDefault="00FB03A9" w:rsidP="00C618DD">
      <w:pPr>
        <w:ind w:firstLine="720"/>
        <w:contextualSpacing/>
        <w:rPr>
          <w:szCs w:val="22"/>
          <w:lang w:val="fr-FR"/>
        </w:rPr>
      </w:pPr>
      <w:r w:rsidRPr="0026653F">
        <w:rPr>
          <w:szCs w:val="22"/>
          <w:lang w:val="fr-FR"/>
        </w:rPr>
        <w:t>ACCUEILLANT AVEC SATISFACTION l’adoption, le 27 septembre 2018, de la résolution CP/RES. 1112 (2184/18), qui vis</w:t>
      </w:r>
      <w:r w:rsidR="009B4A8C" w:rsidRPr="0026653F">
        <w:rPr>
          <w:szCs w:val="22"/>
          <w:lang w:val="fr-FR"/>
        </w:rPr>
        <w:t xml:space="preserve">e </w:t>
      </w:r>
      <w:r w:rsidRPr="0026653F">
        <w:rPr>
          <w:szCs w:val="22"/>
          <w:lang w:val="fr-FR"/>
        </w:rPr>
        <w:t xml:space="preserve">à renforcer le dialogue portant sur la coopération entre les États membres et les </w:t>
      </w:r>
      <w:r w:rsidR="009B4A8C" w:rsidRPr="0026653F">
        <w:rPr>
          <w:szCs w:val="22"/>
          <w:lang w:val="fr-FR"/>
        </w:rPr>
        <w:t>o</w:t>
      </w:r>
      <w:r w:rsidRPr="0026653F">
        <w:rPr>
          <w:szCs w:val="22"/>
          <w:lang w:val="fr-FR"/>
        </w:rPr>
        <w:t xml:space="preserve">bservateurs permanents au Conseil permanent et à promouvoir les </w:t>
      </w:r>
      <w:r w:rsidR="00B65409" w:rsidRPr="0026653F">
        <w:rPr>
          <w:szCs w:val="22"/>
          <w:lang w:val="fr-FR"/>
        </w:rPr>
        <w:t>relations</w:t>
      </w:r>
      <w:r w:rsidRPr="0026653F">
        <w:rPr>
          <w:szCs w:val="22"/>
          <w:lang w:val="fr-FR"/>
        </w:rPr>
        <w:t xml:space="preserve"> avec les </w:t>
      </w:r>
      <w:r w:rsidR="009B4A8C" w:rsidRPr="0026653F">
        <w:rPr>
          <w:szCs w:val="22"/>
          <w:lang w:val="fr-FR"/>
        </w:rPr>
        <w:t>o</w:t>
      </w:r>
      <w:r w:rsidRPr="0026653F">
        <w:rPr>
          <w:szCs w:val="22"/>
          <w:lang w:val="fr-FR"/>
        </w:rPr>
        <w:t>bservateurs permanents en qualité de partenaires stratégiques de l’OEA,</w:t>
      </w:r>
    </w:p>
    <w:p w14:paraId="79E12E4D" w14:textId="77777777" w:rsidR="00FB03A9" w:rsidRPr="0026653F" w:rsidRDefault="00FB03A9" w:rsidP="00C618DD">
      <w:pPr>
        <w:rPr>
          <w:szCs w:val="22"/>
          <w:lang w:val="fr-FR"/>
        </w:rPr>
      </w:pPr>
    </w:p>
    <w:p w14:paraId="4EBA40C6" w14:textId="205C208F" w:rsidR="00FB03A9" w:rsidRPr="0026653F" w:rsidRDefault="00FB03A9" w:rsidP="00C618DD">
      <w:pPr>
        <w:ind w:firstLine="720"/>
        <w:contextualSpacing/>
        <w:rPr>
          <w:szCs w:val="22"/>
          <w:lang w:val="fr-FR"/>
        </w:rPr>
      </w:pPr>
      <w:r w:rsidRPr="0026653F">
        <w:rPr>
          <w:szCs w:val="22"/>
          <w:lang w:val="fr-FR"/>
        </w:rPr>
        <w:t xml:space="preserve">NOTANT l’intérêt croissant et la participation accrue des </w:t>
      </w:r>
      <w:r w:rsidR="009B4A8C" w:rsidRPr="0026653F">
        <w:rPr>
          <w:szCs w:val="22"/>
          <w:lang w:val="fr-FR"/>
        </w:rPr>
        <w:t>o</w:t>
      </w:r>
      <w:r w:rsidRPr="0026653F">
        <w:rPr>
          <w:szCs w:val="22"/>
          <w:lang w:val="fr-FR"/>
        </w:rPr>
        <w:t>bservateurs permanents aux activités de l’Organisation</w:t>
      </w:r>
      <w:r w:rsidR="009B4A8C" w:rsidRPr="0026653F">
        <w:rPr>
          <w:szCs w:val="22"/>
          <w:lang w:val="fr-FR"/>
        </w:rPr>
        <w:t>,</w:t>
      </w:r>
      <w:r w:rsidRPr="0026653F">
        <w:rPr>
          <w:szCs w:val="22"/>
          <w:lang w:val="fr-FR"/>
        </w:rPr>
        <w:t xml:space="preserve"> dont a fait rapport le Département </w:t>
      </w:r>
      <w:r w:rsidR="009B4A8C" w:rsidRPr="0026653F">
        <w:rPr>
          <w:szCs w:val="22"/>
          <w:lang w:val="fr-FR"/>
        </w:rPr>
        <w:t xml:space="preserve">des relations extérieures et institutionnelles </w:t>
      </w:r>
      <w:r w:rsidRPr="0026653F">
        <w:rPr>
          <w:szCs w:val="22"/>
          <w:lang w:val="fr-FR"/>
        </w:rPr>
        <w:t>du Secrétariat</w:t>
      </w:r>
      <w:r w:rsidR="009B4A8C" w:rsidRPr="0026653F">
        <w:rPr>
          <w:szCs w:val="22"/>
          <w:lang w:val="fr-FR"/>
        </w:rPr>
        <w:t xml:space="preserve"> général</w:t>
      </w:r>
      <w:r w:rsidRPr="0026653F">
        <w:rPr>
          <w:szCs w:val="22"/>
          <w:lang w:val="fr-FR"/>
        </w:rPr>
        <w:t xml:space="preserve">, et le Rapport </w:t>
      </w:r>
      <w:r w:rsidR="00E27378" w:rsidRPr="0026653F">
        <w:rPr>
          <w:szCs w:val="22"/>
          <w:lang w:val="fr-FR"/>
        </w:rPr>
        <w:t xml:space="preserve">aux </w:t>
      </w:r>
      <w:r w:rsidR="00F07F2B" w:rsidRPr="0026653F">
        <w:rPr>
          <w:szCs w:val="22"/>
          <w:lang w:val="fr-FR"/>
        </w:rPr>
        <w:t>o</w:t>
      </w:r>
      <w:r w:rsidRPr="0026653F">
        <w:rPr>
          <w:szCs w:val="22"/>
          <w:lang w:val="fr-FR"/>
        </w:rPr>
        <w:t>bservateurs permanents </w:t>
      </w:r>
      <w:r w:rsidR="00E27378" w:rsidRPr="0026653F">
        <w:rPr>
          <w:szCs w:val="22"/>
          <w:lang w:val="fr-FR"/>
        </w:rPr>
        <w:t xml:space="preserve">2018-2019 </w:t>
      </w:r>
      <w:r w:rsidRPr="0026653F">
        <w:rPr>
          <w:szCs w:val="22"/>
          <w:lang w:val="fr-FR"/>
        </w:rPr>
        <w:t xml:space="preserve">: </w:t>
      </w:r>
      <w:r w:rsidR="00E27378" w:rsidRPr="0026653F">
        <w:rPr>
          <w:szCs w:val="22"/>
          <w:lang w:val="fr-FR"/>
        </w:rPr>
        <w:t xml:space="preserve">Alliance pour renforcer le </w:t>
      </w:r>
      <w:r w:rsidRPr="0026653F">
        <w:rPr>
          <w:szCs w:val="22"/>
          <w:lang w:val="fr-FR"/>
        </w:rPr>
        <w:t xml:space="preserve">multilatéralisme continental, </w:t>
      </w:r>
      <w:r w:rsidR="00F07F2B" w:rsidRPr="0026653F">
        <w:rPr>
          <w:szCs w:val="22"/>
          <w:lang w:val="fr-FR"/>
        </w:rPr>
        <w:t xml:space="preserve">aux termes duquel </w:t>
      </w:r>
      <w:r w:rsidRPr="0026653F">
        <w:rPr>
          <w:szCs w:val="22"/>
          <w:lang w:val="fr-FR"/>
        </w:rPr>
        <w:t xml:space="preserve">les </w:t>
      </w:r>
      <w:r w:rsidR="00F07F2B" w:rsidRPr="0026653F">
        <w:rPr>
          <w:szCs w:val="22"/>
          <w:lang w:val="fr-FR"/>
        </w:rPr>
        <w:t>o</w:t>
      </w:r>
      <w:r w:rsidRPr="0026653F">
        <w:rPr>
          <w:szCs w:val="22"/>
          <w:lang w:val="fr-FR"/>
        </w:rPr>
        <w:t xml:space="preserve">bservateurs permanents </w:t>
      </w:r>
      <w:r w:rsidR="00F07F2B" w:rsidRPr="0026653F">
        <w:rPr>
          <w:szCs w:val="22"/>
          <w:lang w:val="fr-FR"/>
        </w:rPr>
        <w:t xml:space="preserve">sont reconnus </w:t>
      </w:r>
      <w:r w:rsidRPr="0026653F">
        <w:rPr>
          <w:szCs w:val="22"/>
          <w:lang w:val="fr-FR"/>
        </w:rPr>
        <w:t xml:space="preserve">comme des partenaires stratégiques et </w:t>
      </w:r>
      <w:r w:rsidR="00F07F2B" w:rsidRPr="0026653F">
        <w:rPr>
          <w:szCs w:val="22"/>
          <w:lang w:val="fr-FR"/>
        </w:rPr>
        <w:t>essentiels</w:t>
      </w:r>
      <w:r w:rsidRPr="0026653F">
        <w:rPr>
          <w:szCs w:val="22"/>
          <w:lang w:val="fr-FR"/>
        </w:rPr>
        <w:t xml:space="preserve">, particulièrement depuis 2005 </w:t>
      </w:r>
      <w:r w:rsidR="00F07F2B" w:rsidRPr="0026653F">
        <w:rPr>
          <w:szCs w:val="22"/>
          <w:lang w:val="fr-FR"/>
        </w:rPr>
        <w:t>au moyen du</w:t>
      </w:r>
      <w:r w:rsidRPr="0026653F">
        <w:rPr>
          <w:szCs w:val="22"/>
          <w:lang w:val="fr-FR"/>
        </w:rPr>
        <w:t xml:space="preserve"> financement de projets, </w:t>
      </w:r>
      <w:r w:rsidR="00F07F2B" w:rsidRPr="0026653F">
        <w:rPr>
          <w:szCs w:val="22"/>
          <w:lang w:val="fr-FR"/>
        </w:rPr>
        <w:t xml:space="preserve">d’échanges de compétences expertes </w:t>
      </w:r>
      <w:r w:rsidRPr="0026653F">
        <w:rPr>
          <w:szCs w:val="22"/>
          <w:lang w:val="fr-FR"/>
        </w:rPr>
        <w:t xml:space="preserve">et </w:t>
      </w:r>
      <w:r w:rsidR="00F07F2B" w:rsidRPr="0026653F">
        <w:rPr>
          <w:szCs w:val="22"/>
          <w:lang w:val="fr-FR"/>
        </w:rPr>
        <w:t xml:space="preserve">d’échanges </w:t>
      </w:r>
      <w:r w:rsidRPr="0026653F">
        <w:rPr>
          <w:szCs w:val="22"/>
          <w:lang w:val="fr-FR"/>
        </w:rPr>
        <w:t>d’information et de meilleures pratiques,</w:t>
      </w:r>
    </w:p>
    <w:p w14:paraId="5A53CF0F" w14:textId="77777777" w:rsidR="00FB03A9" w:rsidRPr="0026653F" w:rsidRDefault="00FB03A9" w:rsidP="00C618DD">
      <w:pPr>
        <w:rPr>
          <w:szCs w:val="22"/>
          <w:lang w:val="fr-FR"/>
        </w:rPr>
      </w:pPr>
    </w:p>
    <w:p w14:paraId="5C3B5833" w14:textId="0959E399" w:rsidR="00FB03A9" w:rsidRPr="0026653F" w:rsidRDefault="00FB03A9" w:rsidP="00C618DD">
      <w:pPr>
        <w:ind w:firstLine="720"/>
        <w:contextualSpacing/>
        <w:rPr>
          <w:szCs w:val="22"/>
          <w:lang w:val="fr-FR"/>
        </w:rPr>
      </w:pPr>
      <w:r w:rsidRPr="0026653F">
        <w:rPr>
          <w:szCs w:val="22"/>
          <w:lang w:val="fr-FR"/>
        </w:rPr>
        <w:t xml:space="preserve">CONSCIENTE de l’appel lancé par le Secrétaire général dans le </w:t>
      </w:r>
      <w:r w:rsidR="00322024" w:rsidRPr="0026653F">
        <w:rPr>
          <w:szCs w:val="22"/>
          <w:lang w:val="fr-FR"/>
        </w:rPr>
        <w:t>r</w:t>
      </w:r>
      <w:r w:rsidRPr="0026653F">
        <w:rPr>
          <w:szCs w:val="22"/>
          <w:lang w:val="fr-FR"/>
        </w:rPr>
        <w:t xml:space="preserve">apport 2018-2019 </w:t>
      </w:r>
      <w:r w:rsidR="00322024" w:rsidRPr="0026653F">
        <w:rPr>
          <w:szCs w:val="22"/>
          <w:lang w:val="fr-FR"/>
        </w:rPr>
        <w:t xml:space="preserve">adressé </w:t>
      </w:r>
      <w:r w:rsidRPr="0026653F">
        <w:rPr>
          <w:szCs w:val="22"/>
          <w:lang w:val="fr-FR"/>
        </w:rPr>
        <w:t xml:space="preserve">aux </w:t>
      </w:r>
      <w:r w:rsidR="00F07F2B" w:rsidRPr="0026653F">
        <w:rPr>
          <w:szCs w:val="22"/>
          <w:lang w:val="fr-FR"/>
        </w:rPr>
        <w:t>o</w:t>
      </w:r>
      <w:r w:rsidRPr="0026653F">
        <w:rPr>
          <w:szCs w:val="22"/>
          <w:lang w:val="fr-FR"/>
        </w:rPr>
        <w:t>bservateurs permanents </w:t>
      </w:r>
      <w:r w:rsidR="00F07F2B" w:rsidRPr="0026653F">
        <w:rPr>
          <w:szCs w:val="22"/>
          <w:lang w:val="fr-FR"/>
        </w:rPr>
        <w:t xml:space="preserve">dans le sens d’une intensification de la </w:t>
      </w:r>
      <w:r w:rsidRPr="0026653F">
        <w:rPr>
          <w:szCs w:val="22"/>
          <w:lang w:val="fr-FR"/>
        </w:rPr>
        <w:t xml:space="preserve">coopération et </w:t>
      </w:r>
      <w:r w:rsidR="00F07F2B" w:rsidRPr="0026653F">
        <w:rPr>
          <w:szCs w:val="22"/>
          <w:lang w:val="fr-FR"/>
        </w:rPr>
        <w:t xml:space="preserve">de </w:t>
      </w:r>
      <w:r w:rsidRPr="0026653F">
        <w:rPr>
          <w:szCs w:val="22"/>
          <w:lang w:val="fr-FR"/>
        </w:rPr>
        <w:t>la communication non seulement au sein de notre propre région mais dans toutes les régions du monde,</w:t>
      </w:r>
    </w:p>
    <w:p w14:paraId="6BB38FFD" w14:textId="77777777" w:rsidR="00FB03A9" w:rsidRPr="0026653F" w:rsidRDefault="00FB03A9" w:rsidP="00C618DD">
      <w:pPr>
        <w:contextualSpacing/>
        <w:rPr>
          <w:szCs w:val="22"/>
          <w:lang w:val="fr-FR"/>
        </w:rPr>
      </w:pPr>
    </w:p>
    <w:p w14:paraId="62A7D997" w14:textId="312850CD" w:rsidR="00FB03A9" w:rsidRPr="0026653F" w:rsidRDefault="00FB03A9" w:rsidP="00C618DD">
      <w:pPr>
        <w:ind w:firstLine="720"/>
        <w:contextualSpacing/>
        <w:rPr>
          <w:szCs w:val="22"/>
          <w:lang w:val="fr-FR"/>
        </w:rPr>
      </w:pPr>
      <w:r w:rsidRPr="0026653F">
        <w:rPr>
          <w:szCs w:val="22"/>
          <w:lang w:val="fr-FR"/>
        </w:rPr>
        <w:t xml:space="preserve">CONVAINCUE de la nécessité de renforcer la coopération et la collaboration avec les </w:t>
      </w:r>
      <w:r w:rsidR="00F07F2B" w:rsidRPr="0026653F">
        <w:rPr>
          <w:szCs w:val="22"/>
          <w:lang w:val="fr-FR"/>
        </w:rPr>
        <w:t>o</w:t>
      </w:r>
      <w:r w:rsidRPr="0026653F">
        <w:rPr>
          <w:szCs w:val="22"/>
          <w:lang w:val="fr-FR"/>
        </w:rPr>
        <w:t xml:space="preserve">bservateurs permanents dans les quatre piliers de l’Organisation pour relever les défis que pose la COVID-19 dans le </w:t>
      </w:r>
      <w:r w:rsidR="00F07F2B" w:rsidRPr="0026653F">
        <w:rPr>
          <w:szCs w:val="22"/>
          <w:lang w:val="fr-FR"/>
        </w:rPr>
        <w:t>c</w:t>
      </w:r>
      <w:r w:rsidRPr="0026653F">
        <w:rPr>
          <w:szCs w:val="22"/>
          <w:lang w:val="fr-FR"/>
        </w:rPr>
        <w:t>ontinent américain en vue d’aborder les vulnérabilités et de renforcer la résilience dans ces temps de crise,</w:t>
      </w:r>
    </w:p>
    <w:p w14:paraId="5C535949" w14:textId="77777777" w:rsidR="00FB03A9" w:rsidRPr="0026653F" w:rsidRDefault="00FB03A9" w:rsidP="00C618DD">
      <w:pPr>
        <w:rPr>
          <w:szCs w:val="22"/>
          <w:lang w:val="fr-FR"/>
        </w:rPr>
      </w:pPr>
    </w:p>
    <w:p w14:paraId="049520C9" w14:textId="587D094C" w:rsidR="00FB03A9" w:rsidRPr="0026653F" w:rsidRDefault="00FB03A9" w:rsidP="00C618DD">
      <w:pPr>
        <w:ind w:firstLine="720"/>
        <w:contextualSpacing/>
        <w:rPr>
          <w:szCs w:val="22"/>
          <w:lang w:val="fr-FR"/>
        </w:rPr>
      </w:pPr>
      <w:r w:rsidRPr="0026653F">
        <w:rPr>
          <w:szCs w:val="22"/>
          <w:lang w:val="fr-FR"/>
        </w:rPr>
        <w:lastRenderedPageBreak/>
        <w:t xml:space="preserve">ENGAGÉE à renforcer encore plus, à l’occasion de cette </w:t>
      </w:r>
      <w:r w:rsidR="00F07F2B" w:rsidRPr="0026653F">
        <w:rPr>
          <w:szCs w:val="22"/>
          <w:lang w:val="fr-FR"/>
        </w:rPr>
        <w:t>c</w:t>
      </w:r>
      <w:r w:rsidRPr="0026653F">
        <w:rPr>
          <w:szCs w:val="22"/>
          <w:lang w:val="fr-FR"/>
        </w:rPr>
        <w:t xml:space="preserve">inquantième </w:t>
      </w:r>
      <w:r w:rsidR="00F07F2B" w:rsidRPr="0026653F">
        <w:rPr>
          <w:szCs w:val="22"/>
          <w:lang w:val="fr-FR"/>
        </w:rPr>
        <w:t>s</w:t>
      </w:r>
      <w:r w:rsidRPr="0026653F">
        <w:rPr>
          <w:szCs w:val="22"/>
          <w:lang w:val="fr-FR"/>
        </w:rPr>
        <w:t xml:space="preserve">ession ordinaire, la participation des </w:t>
      </w:r>
      <w:r w:rsidR="00F07F2B" w:rsidRPr="0026653F">
        <w:rPr>
          <w:szCs w:val="22"/>
          <w:lang w:val="fr-FR"/>
        </w:rPr>
        <w:t>o</w:t>
      </w:r>
      <w:r w:rsidRPr="0026653F">
        <w:rPr>
          <w:szCs w:val="22"/>
          <w:lang w:val="fr-FR"/>
        </w:rPr>
        <w:t>bservateurs permanents aux activités de l’OEA,</w:t>
      </w:r>
    </w:p>
    <w:p w14:paraId="68177BA2" w14:textId="77777777" w:rsidR="00FB03A9" w:rsidRPr="0026653F" w:rsidRDefault="00FB03A9" w:rsidP="00C618DD">
      <w:pPr>
        <w:jc w:val="left"/>
        <w:rPr>
          <w:szCs w:val="22"/>
          <w:lang w:val="fr-FR"/>
        </w:rPr>
      </w:pPr>
    </w:p>
    <w:p w14:paraId="67EEF407" w14:textId="77777777" w:rsidR="00FB03A9" w:rsidRPr="0026653F" w:rsidRDefault="00FB03A9" w:rsidP="00C618DD">
      <w:pPr>
        <w:rPr>
          <w:szCs w:val="22"/>
          <w:lang w:val="fr-FR"/>
        </w:rPr>
      </w:pPr>
      <w:r w:rsidRPr="0026653F">
        <w:rPr>
          <w:szCs w:val="22"/>
          <w:lang w:val="fr-FR"/>
        </w:rPr>
        <w:t>DÉCIDE :</w:t>
      </w:r>
    </w:p>
    <w:p w14:paraId="5514AC40" w14:textId="77777777" w:rsidR="00FB03A9" w:rsidRPr="0026653F" w:rsidRDefault="00FB03A9" w:rsidP="00C618DD">
      <w:pPr>
        <w:jc w:val="left"/>
        <w:rPr>
          <w:szCs w:val="22"/>
          <w:lang w:val="fr-FR"/>
        </w:rPr>
      </w:pPr>
    </w:p>
    <w:p w14:paraId="1520E8D2" w14:textId="4FDA8299" w:rsidR="00FB03A9" w:rsidRPr="0026653F" w:rsidRDefault="00FB03A9" w:rsidP="00C618DD">
      <w:pPr>
        <w:rPr>
          <w:szCs w:val="22"/>
          <w:lang w:val="fr-FR"/>
        </w:rPr>
      </w:pPr>
      <w:r w:rsidRPr="0026653F">
        <w:rPr>
          <w:szCs w:val="22"/>
          <w:lang w:val="fr-FR"/>
        </w:rPr>
        <w:tab/>
        <w:t>1.</w:t>
      </w:r>
      <w:r w:rsidRPr="0026653F">
        <w:rPr>
          <w:szCs w:val="22"/>
          <w:lang w:val="fr-FR"/>
        </w:rPr>
        <w:tab/>
        <w:t xml:space="preserve">De remercier les </w:t>
      </w:r>
      <w:r w:rsidR="00F07F2B" w:rsidRPr="0026653F">
        <w:rPr>
          <w:szCs w:val="22"/>
          <w:lang w:val="fr-FR"/>
        </w:rPr>
        <w:t>o</w:t>
      </w:r>
      <w:r w:rsidRPr="0026653F">
        <w:rPr>
          <w:szCs w:val="22"/>
          <w:lang w:val="fr-FR"/>
        </w:rPr>
        <w:t>bservateurs permanents, en leur qualité de partenaires stratégiques reconnus de l’</w:t>
      </w:r>
      <w:r w:rsidR="00F07F2B" w:rsidRPr="0026653F">
        <w:rPr>
          <w:szCs w:val="22"/>
          <w:lang w:val="fr-FR"/>
        </w:rPr>
        <w:t>Organisation des États Américains (OE</w:t>
      </w:r>
      <w:r w:rsidRPr="0026653F">
        <w:rPr>
          <w:szCs w:val="22"/>
          <w:lang w:val="fr-FR"/>
        </w:rPr>
        <w:t>A</w:t>
      </w:r>
      <w:r w:rsidR="00F07F2B" w:rsidRPr="0026653F">
        <w:rPr>
          <w:szCs w:val="22"/>
          <w:lang w:val="fr-FR"/>
        </w:rPr>
        <w:t>)</w:t>
      </w:r>
      <w:r w:rsidRPr="0026653F">
        <w:rPr>
          <w:szCs w:val="22"/>
          <w:lang w:val="fr-FR"/>
        </w:rPr>
        <w:t xml:space="preserve">, pour leurs contributions </w:t>
      </w:r>
      <w:r w:rsidR="007B2C9C" w:rsidRPr="0026653F">
        <w:rPr>
          <w:szCs w:val="22"/>
          <w:lang w:val="fr-FR"/>
        </w:rPr>
        <w:t xml:space="preserve">continues aux </w:t>
      </w:r>
      <w:r w:rsidRPr="0026653F">
        <w:rPr>
          <w:szCs w:val="22"/>
          <w:lang w:val="fr-FR"/>
        </w:rPr>
        <w:t xml:space="preserve">fonds spécifiques et </w:t>
      </w:r>
      <w:r w:rsidR="007B2C9C" w:rsidRPr="0026653F">
        <w:rPr>
          <w:szCs w:val="22"/>
          <w:lang w:val="fr-FR"/>
        </w:rPr>
        <w:t xml:space="preserve">pour leurs conseils </w:t>
      </w:r>
      <w:r w:rsidRPr="0026653F">
        <w:rPr>
          <w:szCs w:val="22"/>
          <w:lang w:val="fr-FR"/>
        </w:rPr>
        <w:t>technique</w:t>
      </w:r>
      <w:r w:rsidR="007B2C9C" w:rsidRPr="0026653F">
        <w:rPr>
          <w:szCs w:val="22"/>
          <w:lang w:val="fr-FR"/>
        </w:rPr>
        <w:t>s experts</w:t>
      </w:r>
      <w:r w:rsidRPr="0026653F">
        <w:rPr>
          <w:szCs w:val="22"/>
          <w:lang w:val="fr-FR"/>
        </w:rPr>
        <w:t xml:space="preserve">, de même que pour leurs </w:t>
      </w:r>
      <w:r w:rsidR="007B2C9C" w:rsidRPr="0026653F">
        <w:rPr>
          <w:szCs w:val="22"/>
          <w:lang w:val="fr-FR"/>
        </w:rPr>
        <w:t>échanges</w:t>
      </w:r>
      <w:r w:rsidRPr="0026653F">
        <w:rPr>
          <w:szCs w:val="22"/>
          <w:lang w:val="fr-FR"/>
        </w:rPr>
        <w:t xml:space="preserve"> d’information et de pratiques </w:t>
      </w:r>
      <w:r w:rsidR="007B2C9C" w:rsidRPr="0026653F">
        <w:rPr>
          <w:szCs w:val="22"/>
          <w:lang w:val="fr-FR"/>
        </w:rPr>
        <w:t xml:space="preserve">optimales </w:t>
      </w:r>
      <w:r w:rsidRPr="0026653F">
        <w:rPr>
          <w:szCs w:val="22"/>
          <w:lang w:val="fr-FR"/>
        </w:rPr>
        <w:t>afin de renforcer les programmes de l’Organisation dans les piliers de la démocratie, des droits de la personne, du développement intégré et de la sécurité multidimensionnelle.</w:t>
      </w:r>
    </w:p>
    <w:p w14:paraId="2A908467" w14:textId="77777777" w:rsidR="00FB03A9" w:rsidRPr="0026653F" w:rsidRDefault="00FB03A9" w:rsidP="00C618DD">
      <w:pPr>
        <w:jc w:val="left"/>
        <w:rPr>
          <w:szCs w:val="22"/>
          <w:lang w:val="fr-FR"/>
        </w:rPr>
      </w:pPr>
    </w:p>
    <w:p w14:paraId="05341B2B" w14:textId="5AB2228F" w:rsidR="00FB03A9" w:rsidRPr="0026653F" w:rsidRDefault="00FB03A9" w:rsidP="00C618DD">
      <w:pPr>
        <w:rPr>
          <w:szCs w:val="22"/>
          <w:lang w:val="fr-FR"/>
        </w:rPr>
      </w:pPr>
      <w:r w:rsidRPr="0026653F">
        <w:rPr>
          <w:szCs w:val="22"/>
          <w:lang w:val="fr-FR"/>
        </w:rPr>
        <w:tab/>
        <w:t>2.</w:t>
      </w:r>
      <w:r w:rsidRPr="0026653F">
        <w:rPr>
          <w:szCs w:val="22"/>
          <w:lang w:val="fr-FR"/>
        </w:rPr>
        <w:tab/>
        <w:t>D</w:t>
      </w:r>
      <w:r w:rsidR="007B2C9C" w:rsidRPr="0026653F">
        <w:rPr>
          <w:szCs w:val="22"/>
          <w:lang w:val="fr-FR"/>
        </w:rPr>
        <w:t xml:space="preserve">’exprimer de nouveau sa reconnaissance </w:t>
      </w:r>
      <w:r w:rsidRPr="0026653F">
        <w:rPr>
          <w:szCs w:val="22"/>
          <w:lang w:val="fr-FR"/>
        </w:rPr>
        <w:t xml:space="preserve">aux </w:t>
      </w:r>
      <w:r w:rsidR="007B2C9C" w:rsidRPr="0026653F">
        <w:rPr>
          <w:szCs w:val="22"/>
          <w:lang w:val="fr-FR"/>
        </w:rPr>
        <w:t>o</w:t>
      </w:r>
      <w:r w:rsidRPr="0026653F">
        <w:rPr>
          <w:szCs w:val="22"/>
          <w:lang w:val="fr-FR"/>
        </w:rPr>
        <w:t xml:space="preserve">bservateurs permanents pour l’aide apportée aux États membres </w:t>
      </w:r>
      <w:r w:rsidR="007B2C9C" w:rsidRPr="0026653F">
        <w:rPr>
          <w:szCs w:val="22"/>
          <w:lang w:val="fr-FR"/>
        </w:rPr>
        <w:t xml:space="preserve">dans le but de répondre aux </w:t>
      </w:r>
      <w:r w:rsidRPr="0026653F">
        <w:rPr>
          <w:szCs w:val="22"/>
          <w:lang w:val="fr-FR"/>
        </w:rPr>
        <w:t xml:space="preserve">défis </w:t>
      </w:r>
      <w:r w:rsidR="007B2C9C" w:rsidRPr="0026653F">
        <w:rPr>
          <w:szCs w:val="22"/>
          <w:lang w:val="fr-FR"/>
        </w:rPr>
        <w:t xml:space="preserve">posés par </w:t>
      </w:r>
      <w:r w:rsidRPr="0026653F">
        <w:rPr>
          <w:szCs w:val="22"/>
          <w:lang w:val="fr-FR"/>
        </w:rPr>
        <w:t xml:space="preserve">la </w:t>
      </w:r>
      <w:r w:rsidR="00B65409" w:rsidRPr="0026653F">
        <w:rPr>
          <w:szCs w:val="22"/>
          <w:lang w:val="fr-FR"/>
        </w:rPr>
        <w:t xml:space="preserve">pandémie de </w:t>
      </w:r>
      <w:r w:rsidRPr="0026653F">
        <w:rPr>
          <w:szCs w:val="22"/>
          <w:lang w:val="fr-FR"/>
        </w:rPr>
        <w:t>COVID-19.</w:t>
      </w:r>
    </w:p>
    <w:p w14:paraId="3B02F97E" w14:textId="77777777" w:rsidR="00FB03A9" w:rsidRPr="0026653F" w:rsidRDefault="00FB03A9" w:rsidP="00C618DD">
      <w:pPr>
        <w:jc w:val="left"/>
        <w:rPr>
          <w:szCs w:val="22"/>
          <w:lang w:val="fr-FR"/>
        </w:rPr>
      </w:pPr>
    </w:p>
    <w:p w14:paraId="7C2A2B70" w14:textId="6ECEA027" w:rsidR="00FB03A9" w:rsidRPr="0026653F" w:rsidRDefault="00FB03A9" w:rsidP="00C618DD">
      <w:pPr>
        <w:rPr>
          <w:szCs w:val="22"/>
          <w:lang w:val="fr-FR"/>
        </w:rPr>
      </w:pPr>
      <w:r w:rsidRPr="0026653F">
        <w:rPr>
          <w:szCs w:val="22"/>
          <w:lang w:val="fr-FR"/>
        </w:rPr>
        <w:tab/>
        <w:t>3.</w:t>
      </w:r>
      <w:r w:rsidRPr="0026653F">
        <w:rPr>
          <w:szCs w:val="22"/>
          <w:lang w:val="fr-FR"/>
        </w:rPr>
        <w:tab/>
        <w:t xml:space="preserve">De renforcer le Dialogue des chefs de délégation, du Secrétaire général et du Secrétaire général adjoint </w:t>
      </w:r>
      <w:r w:rsidR="00F06D6C" w:rsidRPr="0026653F">
        <w:rPr>
          <w:szCs w:val="22"/>
          <w:lang w:val="fr-FR"/>
        </w:rPr>
        <w:t xml:space="preserve">avec </w:t>
      </w:r>
      <w:r w:rsidRPr="0026653F">
        <w:rPr>
          <w:szCs w:val="22"/>
          <w:lang w:val="fr-FR"/>
        </w:rPr>
        <w:t xml:space="preserve">les chefs de délégation des </w:t>
      </w:r>
      <w:r w:rsidR="007B2C9C" w:rsidRPr="0026653F">
        <w:rPr>
          <w:szCs w:val="22"/>
          <w:lang w:val="fr-FR"/>
        </w:rPr>
        <w:t>o</w:t>
      </w:r>
      <w:r w:rsidRPr="0026653F">
        <w:rPr>
          <w:szCs w:val="22"/>
          <w:lang w:val="fr-FR"/>
        </w:rPr>
        <w:t xml:space="preserve">bservateurs permanents à partir de la </w:t>
      </w:r>
      <w:r w:rsidR="007B2C9C" w:rsidRPr="0026653F">
        <w:rPr>
          <w:szCs w:val="22"/>
          <w:lang w:val="fr-FR"/>
        </w:rPr>
        <w:t>c</w:t>
      </w:r>
      <w:r w:rsidRPr="0026653F">
        <w:rPr>
          <w:szCs w:val="22"/>
          <w:lang w:val="fr-FR"/>
        </w:rPr>
        <w:t xml:space="preserve">inquante-et-unième </w:t>
      </w:r>
      <w:r w:rsidR="007B2C9C" w:rsidRPr="0026653F">
        <w:rPr>
          <w:szCs w:val="22"/>
          <w:lang w:val="fr-FR"/>
        </w:rPr>
        <w:t>s</w:t>
      </w:r>
      <w:r w:rsidRPr="0026653F">
        <w:rPr>
          <w:szCs w:val="22"/>
          <w:lang w:val="fr-FR"/>
        </w:rPr>
        <w:t>ession ordinaire</w:t>
      </w:r>
      <w:r w:rsidR="007B2C9C" w:rsidRPr="0026653F">
        <w:rPr>
          <w:szCs w:val="22"/>
          <w:lang w:val="fr-FR"/>
        </w:rPr>
        <w:t xml:space="preserve"> </w:t>
      </w:r>
      <w:r w:rsidR="00CE38E6" w:rsidRPr="0026653F">
        <w:rPr>
          <w:szCs w:val="22"/>
          <w:lang w:val="fr-FR"/>
        </w:rPr>
        <w:t xml:space="preserve">de l'Assemblée générale </w:t>
      </w:r>
      <w:r w:rsidR="007B2C9C" w:rsidRPr="0026653F">
        <w:rPr>
          <w:szCs w:val="22"/>
          <w:lang w:val="fr-FR"/>
        </w:rPr>
        <w:t xml:space="preserve">prévue pour </w:t>
      </w:r>
      <w:r w:rsidRPr="0026653F">
        <w:rPr>
          <w:szCs w:val="22"/>
          <w:lang w:val="fr-FR"/>
        </w:rPr>
        <w:t>2021.</w:t>
      </w:r>
    </w:p>
    <w:p w14:paraId="78D171A1" w14:textId="77777777" w:rsidR="00FB03A9" w:rsidRPr="0026653F" w:rsidRDefault="00FB03A9" w:rsidP="00C618DD">
      <w:pPr>
        <w:jc w:val="left"/>
        <w:rPr>
          <w:szCs w:val="22"/>
          <w:lang w:val="fr-FR"/>
        </w:rPr>
      </w:pPr>
    </w:p>
    <w:p w14:paraId="160116C4" w14:textId="335539BA" w:rsidR="00FB03A9" w:rsidRPr="0026653F" w:rsidRDefault="00FB03A9" w:rsidP="00C618DD">
      <w:pPr>
        <w:rPr>
          <w:szCs w:val="22"/>
          <w:lang w:val="fr-FR"/>
        </w:rPr>
      </w:pPr>
      <w:r w:rsidRPr="0026653F">
        <w:rPr>
          <w:szCs w:val="22"/>
          <w:lang w:val="fr-FR"/>
        </w:rPr>
        <w:tab/>
        <w:t>4.</w:t>
      </w:r>
      <w:r w:rsidRPr="0026653F">
        <w:rPr>
          <w:szCs w:val="22"/>
          <w:lang w:val="fr-FR"/>
        </w:rPr>
        <w:tab/>
        <w:t>De charger le Secrétariat général de prendre les mesures administratives nécessaires pour inscrire le Dialogue des chefs de délégation, du Secrétaire général et du Secrétaire général adjoint avec les chefs de délégation des</w:t>
      </w:r>
      <w:r w:rsidR="007B2C9C" w:rsidRPr="0026653F">
        <w:rPr>
          <w:szCs w:val="22"/>
          <w:lang w:val="fr-FR"/>
        </w:rPr>
        <w:t xml:space="preserve"> o</w:t>
      </w:r>
      <w:r w:rsidRPr="0026653F">
        <w:rPr>
          <w:szCs w:val="22"/>
          <w:lang w:val="fr-FR"/>
        </w:rPr>
        <w:t>bservateurs permanents au projet d</w:t>
      </w:r>
      <w:r w:rsidR="00CE38E6" w:rsidRPr="0026653F">
        <w:rPr>
          <w:szCs w:val="22"/>
          <w:lang w:val="fr-FR"/>
        </w:rPr>
        <w:t xml:space="preserve">e calendrier </w:t>
      </w:r>
      <w:r w:rsidRPr="0026653F">
        <w:rPr>
          <w:szCs w:val="22"/>
          <w:lang w:val="fr-FR"/>
        </w:rPr>
        <w:t xml:space="preserve">en tant qu’activité préalable </w:t>
      </w:r>
      <w:r w:rsidR="007B2C9C" w:rsidRPr="0026653F">
        <w:rPr>
          <w:szCs w:val="22"/>
          <w:lang w:val="fr-FR"/>
        </w:rPr>
        <w:t xml:space="preserve">à l’ouverture </w:t>
      </w:r>
      <w:r w:rsidRPr="0026653F">
        <w:rPr>
          <w:szCs w:val="22"/>
          <w:lang w:val="fr-FR"/>
        </w:rPr>
        <w:t xml:space="preserve">des sessions ordinaires de l’Assemblée générale à partir de 2021 et de faire rapport aux États membres sur le soutien technique et financier </w:t>
      </w:r>
      <w:r w:rsidR="007B2C9C" w:rsidRPr="0026653F">
        <w:rPr>
          <w:szCs w:val="22"/>
          <w:lang w:val="fr-FR"/>
        </w:rPr>
        <w:t>que les o</w:t>
      </w:r>
      <w:r w:rsidRPr="0026653F">
        <w:rPr>
          <w:szCs w:val="22"/>
          <w:lang w:val="fr-FR"/>
        </w:rPr>
        <w:t>bservateurs permanents</w:t>
      </w:r>
      <w:r w:rsidR="007B2C9C" w:rsidRPr="0026653F">
        <w:rPr>
          <w:szCs w:val="22"/>
          <w:lang w:val="fr-FR"/>
        </w:rPr>
        <w:t xml:space="preserve"> fournissent à l'OEA.</w:t>
      </w:r>
    </w:p>
    <w:p w14:paraId="42D3189F" w14:textId="77777777" w:rsidR="00FB03A9" w:rsidRPr="0026653F" w:rsidRDefault="00FB03A9" w:rsidP="00C618DD">
      <w:pPr>
        <w:jc w:val="left"/>
        <w:rPr>
          <w:szCs w:val="22"/>
          <w:lang w:val="fr-FR"/>
        </w:rPr>
      </w:pPr>
      <w:r w:rsidRPr="0026653F">
        <w:rPr>
          <w:szCs w:val="22"/>
          <w:lang w:val="fr-FR"/>
        </w:rPr>
        <w:br w:type="page"/>
      </w:r>
    </w:p>
    <w:p w14:paraId="3764672D" w14:textId="0CB221E8" w:rsidR="00FB03A9" w:rsidRPr="00EC2A96" w:rsidRDefault="00FB03A9" w:rsidP="00C618DD">
      <w:pPr>
        <w:jc w:val="center"/>
        <w:rPr>
          <w:sz w:val="20"/>
          <w:lang w:val="fr-FR"/>
        </w:rPr>
      </w:pPr>
      <w:r w:rsidRPr="00EC2A96">
        <w:rPr>
          <w:sz w:val="20"/>
          <w:lang w:val="fr-FR"/>
        </w:rPr>
        <w:lastRenderedPageBreak/>
        <w:t>NOTE</w:t>
      </w:r>
      <w:r w:rsidR="004953EA" w:rsidRPr="00EC2A96">
        <w:rPr>
          <w:sz w:val="20"/>
          <w:lang w:val="fr-FR"/>
        </w:rPr>
        <w:t>S</w:t>
      </w:r>
      <w:r w:rsidRPr="00EC2A96">
        <w:rPr>
          <w:sz w:val="20"/>
          <w:lang w:val="fr-FR"/>
        </w:rPr>
        <w:t xml:space="preserve"> DE BAS DE PAGE</w:t>
      </w:r>
    </w:p>
    <w:p w14:paraId="21D6F3E7" w14:textId="77777777" w:rsidR="00FB03A9" w:rsidRPr="00EC2A96" w:rsidRDefault="00FB03A9" w:rsidP="00C618DD">
      <w:pPr>
        <w:jc w:val="center"/>
        <w:rPr>
          <w:sz w:val="20"/>
          <w:lang w:val="fr-FR"/>
        </w:rPr>
      </w:pPr>
    </w:p>
    <w:p w14:paraId="4E57B47E" w14:textId="77777777" w:rsidR="00FB03A9" w:rsidRPr="00EC2A96" w:rsidRDefault="00FB03A9" w:rsidP="00C618DD">
      <w:pPr>
        <w:jc w:val="center"/>
        <w:rPr>
          <w:sz w:val="20"/>
          <w:lang w:val="fr-FR"/>
        </w:rPr>
      </w:pPr>
    </w:p>
    <w:p w14:paraId="15B41BDE" w14:textId="77777777" w:rsidR="00FB03A9" w:rsidRPr="00EC2A96" w:rsidRDefault="00FB03A9" w:rsidP="00C618DD">
      <w:pPr>
        <w:ind w:firstLine="720"/>
        <w:rPr>
          <w:sz w:val="20"/>
          <w:lang w:val="fr-FR"/>
        </w:rPr>
      </w:pPr>
      <w:r w:rsidRPr="00EC2A96">
        <w:rPr>
          <w:sz w:val="20"/>
          <w:lang w:val="fr-FR"/>
        </w:rPr>
        <w:t>1.</w:t>
      </w:r>
      <w:r w:rsidRPr="00EC2A96">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99DE22D" w14:textId="77777777" w:rsidR="00FB03A9" w:rsidRPr="00EC2A96" w:rsidRDefault="00FB03A9" w:rsidP="00C618DD">
      <w:pPr>
        <w:rPr>
          <w:sz w:val="20"/>
          <w:lang w:val="fr-FR"/>
        </w:rPr>
      </w:pPr>
    </w:p>
    <w:p w14:paraId="78FA999B" w14:textId="0CD10732" w:rsidR="00FB03A9" w:rsidRPr="00EC2A96" w:rsidRDefault="00FB03A9" w:rsidP="00C618DD">
      <w:pPr>
        <w:ind w:firstLine="720"/>
        <w:rPr>
          <w:sz w:val="20"/>
          <w:lang w:val="fr-FR"/>
        </w:rPr>
      </w:pPr>
      <w:r w:rsidRPr="00EC2A96">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40E3D787" w14:textId="77777777" w:rsidR="00FB03A9" w:rsidRPr="00EC2A96" w:rsidRDefault="00FB03A9" w:rsidP="00C618DD">
      <w:pPr>
        <w:rPr>
          <w:sz w:val="20"/>
          <w:lang w:val="fr-FR"/>
        </w:rPr>
      </w:pPr>
    </w:p>
    <w:p w14:paraId="7FD03892" w14:textId="305FCC69" w:rsidR="00FB03A9" w:rsidRPr="00EC2A96" w:rsidRDefault="00FB03A9" w:rsidP="00C618DD">
      <w:pPr>
        <w:ind w:firstLine="720"/>
        <w:rPr>
          <w:sz w:val="20"/>
          <w:lang w:val="fr-FR"/>
        </w:rPr>
      </w:pPr>
      <w:r w:rsidRPr="00EC2A96">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6319536" w14:textId="173613E2" w:rsidR="004953EA" w:rsidRPr="00EC2A96" w:rsidRDefault="004953EA" w:rsidP="00C618DD">
      <w:pPr>
        <w:ind w:firstLine="720"/>
        <w:rPr>
          <w:sz w:val="20"/>
          <w:lang w:val="fr-FR"/>
        </w:rPr>
      </w:pPr>
    </w:p>
    <w:p w14:paraId="10A581B9" w14:textId="5124E95D" w:rsidR="004953EA" w:rsidRPr="00EC2A96" w:rsidRDefault="004953EA" w:rsidP="00C618DD">
      <w:pPr>
        <w:ind w:firstLine="720"/>
        <w:rPr>
          <w:sz w:val="20"/>
          <w:lang w:val="fr-FR"/>
        </w:rPr>
      </w:pPr>
      <w:r w:rsidRPr="00EC2A96">
        <w:rPr>
          <w:sz w:val="20"/>
          <w:lang w:val="fr-FR"/>
        </w:rPr>
        <w:t>2.</w:t>
      </w:r>
      <w:r w:rsidRPr="00EC2A96">
        <w:rPr>
          <w:sz w:val="20"/>
          <w:lang w:val="fr-FR"/>
        </w:rPr>
        <w:tab/>
        <w:t>… de l'Assemblée générale.</w:t>
      </w:r>
    </w:p>
    <w:p w14:paraId="721733C5" w14:textId="77777777" w:rsidR="00FB03A9" w:rsidRPr="00EC2A96" w:rsidRDefault="00FB03A9" w:rsidP="00C618DD">
      <w:pPr>
        <w:rPr>
          <w:sz w:val="20"/>
          <w:lang w:val="fr-FR"/>
        </w:rPr>
      </w:pPr>
    </w:p>
    <w:p w14:paraId="7F29FAC8" w14:textId="77777777" w:rsidR="00FB03A9" w:rsidRPr="00EC2A96" w:rsidRDefault="00FB03A9" w:rsidP="00C618DD">
      <w:pPr>
        <w:rPr>
          <w:sz w:val="20"/>
          <w:lang w:val="fr-FR"/>
        </w:rPr>
      </w:pPr>
    </w:p>
    <w:p w14:paraId="0886D25B" w14:textId="77777777" w:rsidR="00316FC5" w:rsidRPr="0026653F" w:rsidRDefault="00316FC5" w:rsidP="00C618DD">
      <w:pPr>
        <w:jc w:val="center"/>
        <w:outlineLvl w:val="0"/>
        <w:rPr>
          <w:szCs w:val="22"/>
          <w:lang w:val="fr-FR"/>
        </w:rPr>
      </w:pPr>
    </w:p>
    <w:p w14:paraId="37409EBD" w14:textId="77777777" w:rsidR="00110CF1" w:rsidRPr="0026653F" w:rsidRDefault="00110CF1" w:rsidP="00C618DD">
      <w:pPr>
        <w:rPr>
          <w:szCs w:val="22"/>
          <w:lang w:val="fr-FR"/>
        </w:rPr>
        <w:sectPr w:rsidR="00110CF1" w:rsidRPr="0026653F" w:rsidSect="00FE7DD6">
          <w:headerReference w:type="default" r:id="rId101"/>
          <w:footerReference w:type="default" r:id="rId102"/>
          <w:footnotePr>
            <w:numRestart w:val="eachSect"/>
          </w:footnotePr>
          <w:type w:val="oddPage"/>
          <w:pgSz w:w="12240" w:h="15840" w:code="1"/>
          <w:pgMar w:top="2160" w:right="1570" w:bottom="1296" w:left="1699" w:header="1296" w:footer="1296" w:gutter="0"/>
          <w:cols w:space="720"/>
          <w:docGrid w:linePitch="360"/>
        </w:sectPr>
      </w:pPr>
    </w:p>
    <w:p w14:paraId="45167C8C" w14:textId="7848E80B" w:rsidR="000A6BE0" w:rsidRPr="0026653F" w:rsidRDefault="00110CF1" w:rsidP="00C618DD">
      <w:pPr>
        <w:pStyle w:val="Heading1"/>
        <w:rPr>
          <w:rStyle w:val="Heading1Char"/>
          <w:szCs w:val="22"/>
          <w:lang w:val="fr-FR"/>
        </w:rPr>
      </w:pPr>
      <w:bookmarkStart w:id="61" w:name="_Toc74732027"/>
      <w:r w:rsidRPr="0026653F">
        <w:rPr>
          <w:rFonts w:eastAsia="Calibri"/>
          <w:szCs w:val="22"/>
          <w:lang w:val="fr-FR"/>
        </w:rPr>
        <w:lastRenderedPageBreak/>
        <w:t>AG/RES. 2961 (L-O/20)</w:t>
      </w:r>
      <w:r w:rsidR="000A6BE0" w:rsidRPr="0026653F">
        <w:rPr>
          <w:rFonts w:eastAsia="Calibri"/>
          <w:szCs w:val="22"/>
          <w:lang w:val="fr-FR"/>
        </w:rPr>
        <w:br/>
      </w:r>
      <w:r w:rsidR="000A6BE0" w:rsidRPr="0026653F">
        <w:rPr>
          <w:rFonts w:eastAsia="Calibri"/>
          <w:szCs w:val="22"/>
          <w:lang w:val="fr-FR"/>
        </w:rPr>
        <w:br/>
      </w:r>
      <w:r w:rsidR="000A6BE0" w:rsidRPr="0026653F">
        <w:rPr>
          <w:rStyle w:val="Heading1Char"/>
          <w:szCs w:val="22"/>
          <w:lang w:val="fr-FR"/>
        </w:rPr>
        <w:t>PROMOTION ET PROTECTION DES DROITS DE LA PERSONNE</w:t>
      </w:r>
      <w:r w:rsidR="000A6BE0" w:rsidRPr="0026653F">
        <w:rPr>
          <w:rStyle w:val="FootnoteReference"/>
          <w:bCs w:val="0"/>
          <w:szCs w:val="22"/>
          <w:u w:val="single"/>
          <w:vertAlign w:val="superscript"/>
          <w:lang w:val="fr-FR"/>
        </w:rPr>
        <w:footnoteReference w:id="76"/>
      </w:r>
      <w:r w:rsidR="000A6BE0" w:rsidRPr="0026653F">
        <w:rPr>
          <w:rStyle w:val="Heading1Char"/>
          <w:szCs w:val="22"/>
          <w:vertAlign w:val="superscript"/>
          <w:lang w:val="fr-FR"/>
        </w:rPr>
        <w:t>/</w:t>
      </w:r>
      <w:r w:rsidR="000A6BE0" w:rsidRPr="0026653F">
        <w:rPr>
          <w:rStyle w:val="FootnoteReference"/>
          <w:bCs w:val="0"/>
          <w:szCs w:val="22"/>
          <w:u w:val="single"/>
          <w:vertAlign w:val="superscript"/>
          <w:lang w:val="fr-FR"/>
        </w:rPr>
        <w:footnoteReference w:id="77"/>
      </w:r>
      <w:r w:rsidR="000A6BE0" w:rsidRPr="0026653F">
        <w:rPr>
          <w:rStyle w:val="Heading1Char"/>
          <w:szCs w:val="22"/>
          <w:vertAlign w:val="superscript"/>
          <w:lang w:val="fr-FR"/>
        </w:rPr>
        <w:t>/</w:t>
      </w:r>
      <w:r w:rsidR="004953EA" w:rsidRPr="0026653F">
        <w:rPr>
          <w:rStyle w:val="FootnoteReference"/>
          <w:szCs w:val="22"/>
          <w:u w:val="single"/>
          <w:vertAlign w:val="superscript"/>
          <w:lang w:val="fr-FR"/>
        </w:rPr>
        <w:footnoteReference w:id="78"/>
      </w:r>
      <w:r w:rsidR="004953EA" w:rsidRPr="0026653F">
        <w:rPr>
          <w:szCs w:val="22"/>
          <w:vertAlign w:val="superscript"/>
          <w:lang w:val="fr-FR"/>
        </w:rPr>
        <w:t>/</w:t>
      </w:r>
      <w:bookmarkEnd w:id="61"/>
    </w:p>
    <w:p w14:paraId="0AB4D011" w14:textId="77777777" w:rsidR="000A6BE0" w:rsidRPr="0026653F" w:rsidRDefault="000A6BE0" w:rsidP="00C618DD">
      <w:pPr>
        <w:suppressAutoHyphens/>
        <w:rPr>
          <w:szCs w:val="22"/>
          <w:lang w:val="fr-FR"/>
        </w:rPr>
      </w:pPr>
    </w:p>
    <w:p w14:paraId="559EE169" w14:textId="77777777" w:rsidR="000A6BE0" w:rsidRPr="0026653F" w:rsidRDefault="000A6BE0" w:rsidP="00C618DD">
      <w:pPr>
        <w:suppressAutoHyphens/>
        <w:jc w:val="center"/>
        <w:rPr>
          <w:bCs/>
          <w:color w:val="000000"/>
          <w:szCs w:val="22"/>
          <w:lang w:val="fr-FR" w:eastAsia="es-ES"/>
        </w:rPr>
      </w:pPr>
      <w:r w:rsidRPr="0026653F">
        <w:rPr>
          <w:bCs/>
          <w:color w:val="000000"/>
          <w:szCs w:val="22"/>
          <w:lang w:val="fr-FR" w:eastAsia="es-ES"/>
        </w:rPr>
        <w:t xml:space="preserve">(Résolution adoptée à la quatrième séance plénière, le </w:t>
      </w:r>
      <w:r w:rsidRPr="0026653F">
        <w:rPr>
          <w:szCs w:val="22"/>
          <w:lang w:val="fr-FR"/>
        </w:rPr>
        <w:t>21 octobre 2020</w:t>
      </w:r>
      <w:r w:rsidRPr="0026653F">
        <w:rPr>
          <w:bCs/>
          <w:color w:val="000000"/>
          <w:szCs w:val="22"/>
          <w:lang w:val="fr-FR" w:eastAsia="es-ES"/>
        </w:rPr>
        <w:t>)</w:t>
      </w:r>
    </w:p>
    <w:p w14:paraId="4B3A4CB0" w14:textId="77777777" w:rsidR="000A6BE0" w:rsidRPr="0026653F" w:rsidRDefault="000A6BE0" w:rsidP="00C618DD">
      <w:pPr>
        <w:suppressAutoHyphens/>
        <w:autoSpaceDE w:val="0"/>
        <w:autoSpaceDN w:val="0"/>
        <w:adjustRightInd w:val="0"/>
        <w:rPr>
          <w:kern w:val="32"/>
          <w:szCs w:val="22"/>
          <w:lang w:val="fr-FR"/>
        </w:rPr>
      </w:pPr>
    </w:p>
    <w:p w14:paraId="169CEA16" w14:textId="77777777" w:rsidR="000A6BE0" w:rsidRPr="0026653F" w:rsidRDefault="000A6BE0" w:rsidP="00C618DD">
      <w:pPr>
        <w:suppressAutoHyphens/>
        <w:autoSpaceDE w:val="0"/>
        <w:autoSpaceDN w:val="0"/>
        <w:adjustRightInd w:val="0"/>
        <w:rPr>
          <w:kern w:val="32"/>
          <w:szCs w:val="22"/>
          <w:lang w:val="fr-FR"/>
        </w:rPr>
      </w:pPr>
    </w:p>
    <w:p w14:paraId="1CCD01EC" w14:textId="77777777" w:rsidR="000A6BE0" w:rsidRPr="0026653F" w:rsidRDefault="000A6BE0" w:rsidP="00C618DD">
      <w:pPr>
        <w:suppressAutoHyphens/>
        <w:ind w:firstLine="720"/>
        <w:rPr>
          <w:bCs/>
          <w:szCs w:val="22"/>
          <w:lang w:val="fr-FR"/>
        </w:rPr>
      </w:pPr>
      <w:r w:rsidRPr="0026653F">
        <w:rPr>
          <w:bCs/>
          <w:szCs w:val="22"/>
          <w:lang w:val="fr-FR"/>
        </w:rPr>
        <w:t>L’ASSEMBLÉE GÉNÉRALE,</w:t>
      </w:r>
    </w:p>
    <w:p w14:paraId="7FCF697C" w14:textId="77777777" w:rsidR="000A6BE0" w:rsidRPr="0026653F" w:rsidRDefault="000A6BE0" w:rsidP="00C618DD">
      <w:pPr>
        <w:suppressAutoHyphens/>
        <w:rPr>
          <w:szCs w:val="22"/>
          <w:lang w:val="fr-FR"/>
        </w:rPr>
      </w:pPr>
    </w:p>
    <w:p w14:paraId="530EC770" w14:textId="77777777" w:rsidR="000A6BE0" w:rsidRPr="0026653F" w:rsidRDefault="000A6BE0" w:rsidP="00C618DD">
      <w:pPr>
        <w:suppressAutoHyphens/>
        <w:ind w:firstLine="720"/>
        <w:rPr>
          <w:bCs/>
          <w:color w:val="000000"/>
          <w:szCs w:val="22"/>
          <w:lang w:val="fr-FR"/>
        </w:rPr>
      </w:pPr>
      <w:r w:rsidRPr="0026653F">
        <w:rPr>
          <w:szCs w:val="22"/>
          <w:lang w:val="fr-FR" w:eastAsia="es-ES"/>
        </w:rPr>
        <w:t>RÉAFFIRMANT les normes et principes généraux du droit international et ceux de la Charte de l’Organisation des États Américains (OEA), du droit international relatif aux droits de la personne et du droit international humanitaire, ainsi que les droits énoncés dans la Déclaration américaine des droits et devoirs de l’homme, la Convention américaine relative aux droits de l’homme, le cas échéant, et d’autres instruments interaméricains contraignants en la matière, de même que l’importante fonction que remplissent les organes du système interaméricain des droits de la personne pour la promotion et la protection des droits de la personne dans les Amériques,</w:t>
      </w:r>
    </w:p>
    <w:p w14:paraId="7905E43B" w14:textId="77777777" w:rsidR="000A6BE0" w:rsidRPr="0026653F" w:rsidRDefault="000A6BE0" w:rsidP="00C618DD">
      <w:pPr>
        <w:suppressAutoHyphens/>
        <w:rPr>
          <w:bCs/>
          <w:color w:val="000000"/>
          <w:szCs w:val="22"/>
          <w:lang w:val="fr-FR"/>
        </w:rPr>
      </w:pPr>
    </w:p>
    <w:p w14:paraId="7211B5C0" w14:textId="77777777" w:rsidR="000A6BE0" w:rsidRPr="0026653F" w:rsidRDefault="000A6BE0" w:rsidP="00C618DD">
      <w:pPr>
        <w:suppressAutoHyphens/>
        <w:ind w:firstLine="720"/>
        <w:rPr>
          <w:bCs/>
          <w:color w:val="000000"/>
          <w:szCs w:val="22"/>
          <w:lang w:val="fr-FR"/>
        </w:rPr>
      </w:pPr>
      <w:r w:rsidRPr="0026653F">
        <w:rPr>
          <w:color w:val="000000"/>
          <w:szCs w:val="22"/>
          <w:lang w:val="fr-FR"/>
        </w:rPr>
        <w:t xml:space="preserve">RAPPELANT les déclarations AG/DEC. 71 (XLIII-O/13) et AG/DEC. 89 (XLVI-O/16), de même que la résolution </w:t>
      </w:r>
      <w:r w:rsidRPr="0026653F">
        <w:rPr>
          <w:rStyle w:val="Heading1Char"/>
          <w:szCs w:val="22"/>
          <w:lang w:val="fr-FR"/>
        </w:rPr>
        <w:t>AG/RES. 2941 (XLIX-O/19</w:t>
      </w:r>
      <w:r w:rsidRPr="0026653F">
        <w:rPr>
          <w:color w:val="000000"/>
          <w:szCs w:val="22"/>
          <w:lang w:val="fr-FR"/>
        </w:rPr>
        <w:t>) et toutes les déclarations et résolutions antérieures adoptées sur ces questions,</w:t>
      </w:r>
    </w:p>
    <w:p w14:paraId="2C766C94" w14:textId="77777777" w:rsidR="000A6BE0" w:rsidRPr="0026653F" w:rsidRDefault="000A6BE0" w:rsidP="00C618DD">
      <w:pPr>
        <w:suppressAutoHyphens/>
        <w:rPr>
          <w:color w:val="000000"/>
          <w:szCs w:val="22"/>
          <w:lang w:val="fr-FR"/>
        </w:rPr>
      </w:pPr>
    </w:p>
    <w:p w14:paraId="56303DE9" w14:textId="22EBA9E3" w:rsidR="000A6BE0" w:rsidRPr="0026653F" w:rsidRDefault="000A6BE0" w:rsidP="00C618DD">
      <w:pPr>
        <w:suppressAutoHyphens/>
        <w:ind w:firstLine="720"/>
        <w:rPr>
          <w:bCs/>
          <w:color w:val="000000"/>
          <w:szCs w:val="22"/>
          <w:lang w:val="fr-FR"/>
        </w:rPr>
      </w:pPr>
      <w:r w:rsidRPr="0026653F">
        <w:rPr>
          <w:szCs w:val="22"/>
          <w:lang w:val="fr-FR" w:eastAsia="es-ES"/>
        </w:rPr>
        <w:t xml:space="preserve">AYANT VU le « Rapport annuel du Conseil permanent adressé à l’Assemblée générale – </w:t>
      </w:r>
      <w:r w:rsidR="00DA2E8B" w:rsidRPr="0026653F">
        <w:rPr>
          <w:szCs w:val="22"/>
          <w:lang w:val="fr-FR" w:eastAsia="es-ES"/>
        </w:rPr>
        <w:t>J</w:t>
      </w:r>
      <w:r w:rsidRPr="0026653F">
        <w:rPr>
          <w:szCs w:val="22"/>
          <w:lang w:val="fr-FR" w:eastAsia="es-ES"/>
        </w:rPr>
        <w:t>ui</w:t>
      </w:r>
      <w:r w:rsidR="00D00AA6" w:rsidRPr="0026653F">
        <w:rPr>
          <w:szCs w:val="22"/>
          <w:lang w:val="fr-FR" w:eastAsia="es-ES"/>
        </w:rPr>
        <w:t>llet</w:t>
      </w:r>
      <w:r w:rsidRPr="0026653F">
        <w:rPr>
          <w:szCs w:val="22"/>
          <w:lang w:val="fr-FR" w:eastAsia="es-ES"/>
        </w:rPr>
        <w:t xml:space="preserve"> 2019</w:t>
      </w:r>
      <w:r w:rsidR="003D44D5" w:rsidRPr="0026653F">
        <w:rPr>
          <w:szCs w:val="22"/>
          <w:lang w:val="fr-FR" w:eastAsia="es-ES"/>
        </w:rPr>
        <w:t>-</w:t>
      </w:r>
      <w:r w:rsidR="00DA2E8B" w:rsidRPr="0026653F">
        <w:rPr>
          <w:szCs w:val="22"/>
          <w:lang w:val="fr-FR" w:eastAsia="es-ES"/>
        </w:rPr>
        <w:t>O</w:t>
      </w:r>
      <w:r w:rsidRPr="0026653F">
        <w:rPr>
          <w:szCs w:val="22"/>
          <w:lang w:val="fr-FR" w:eastAsia="es-ES"/>
        </w:rPr>
        <w:t>ctobre 2020 » (</w:t>
      </w:r>
      <w:r w:rsidRPr="0026653F">
        <w:rPr>
          <w:color w:val="000000"/>
          <w:szCs w:val="22"/>
          <w:lang w:val="fr-FR"/>
        </w:rPr>
        <w:t>AG/doc.5691/20 add. 1</w:t>
      </w:r>
      <w:r w:rsidRPr="0026653F">
        <w:rPr>
          <w:szCs w:val="22"/>
          <w:lang w:val="fr-FR" w:eastAsia="es-ES"/>
        </w:rPr>
        <w:t>), notamment la section se référant aux activités de la Commission des questions juridiques et politiques (CAJP),</w:t>
      </w:r>
    </w:p>
    <w:p w14:paraId="13C3ECD0" w14:textId="77777777" w:rsidR="000A6BE0" w:rsidRPr="0026653F" w:rsidRDefault="000A6BE0" w:rsidP="00C618DD">
      <w:pPr>
        <w:suppressAutoHyphens/>
        <w:rPr>
          <w:color w:val="000000"/>
          <w:szCs w:val="22"/>
          <w:lang w:val="fr-FR"/>
        </w:rPr>
      </w:pPr>
    </w:p>
    <w:p w14:paraId="5E60A0E2" w14:textId="77777777" w:rsidR="000A6BE0" w:rsidRPr="0026653F" w:rsidRDefault="000A6BE0" w:rsidP="00C618DD">
      <w:pPr>
        <w:suppressAutoHyphens/>
        <w:autoSpaceDE w:val="0"/>
        <w:autoSpaceDN w:val="0"/>
        <w:ind w:right="121" w:firstLine="720"/>
        <w:rPr>
          <w:bCs/>
          <w:strike/>
          <w:szCs w:val="22"/>
          <w:lang w:val="fr-FR"/>
        </w:rPr>
      </w:pPr>
      <w:r w:rsidRPr="0026653F">
        <w:rPr>
          <w:szCs w:val="22"/>
          <w:lang w:val="fr-FR" w:eastAsia="es-ES"/>
        </w:rPr>
        <w:t>CONSIDÉRANT que les programmes, activités et tâches établis dans les résolutions relevant de la compétence de la CAJP contribuent à la réalisation des buts essentiels de l’Organisation qui sont énoncés dans la Charte de l’OEA</w:t>
      </w:r>
      <w:r w:rsidRPr="0026653F">
        <w:rPr>
          <w:szCs w:val="22"/>
          <w:lang w:val="fr-FR"/>
        </w:rPr>
        <w:t>,</w:t>
      </w:r>
    </w:p>
    <w:p w14:paraId="3C08D638" w14:textId="77777777" w:rsidR="000A6BE0" w:rsidRPr="0026653F" w:rsidRDefault="000A6BE0" w:rsidP="00C618DD">
      <w:pPr>
        <w:pStyle w:val="Default"/>
        <w:suppressAutoHyphens/>
        <w:ind w:left="720" w:hanging="720"/>
        <w:jc w:val="both"/>
        <w:rPr>
          <w:sz w:val="22"/>
          <w:szCs w:val="22"/>
          <w:lang w:val="fr-FR"/>
        </w:rPr>
      </w:pPr>
    </w:p>
    <w:p w14:paraId="3A0EED33" w14:textId="1728F674" w:rsidR="000A6BE0" w:rsidRPr="0026653F" w:rsidRDefault="000A6BE0" w:rsidP="00C618DD">
      <w:pPr>
        <w:pStyle w:val="Default"/>
        <w:suppressAutoHyphens/>
        <w:ind w:left="720" w:hanging="720"/>
        <w:jc w:val="both"/>
        <w:rPr>
          <w:rFonts w:eastAsia="Arial Unicode MS"/>
          <w:color w:val="auto"/>
          <w:sz w:val="22"/>
          <w:szCs w:val="22"/>
          <w:u w:val="single"/>
          <w:lang w:val="fr-FR"/>
        </w:rPr>
      </w:pPr>
      <w:r w:rsidRPr="0026653F">
        <w:rPr>
          <w:sz w:val="22"/>
          <w:szCs w:val="22"/>
          <w:lang w:val="fr-FR"/>
        </w:rPr>
        <w:t>i.</w:t>
      </w:r>
      <w:r w:rsidRPr="0026653F">
        <w:rPr>
          <w:sz w:val="22"/>
          <w:szCs w:val="22"/>
          <w:lang w:val="fr-FR"/>
        </w:rPr>
        <w:tab/>
      </w:r>
      <w:r w:rsidRPr="0026653F">
        <w:rPr>
          <w:rFonts w:eastAsia="Arial Unicode MS"/>
          <w:color w:val="auto"/>
          <w:sz w:val="22"/>
          <w:szCs w:val="22"/>
          <w:u w:val="single"/>
          <w:lang w:val="fr-FR"/>
        </w:rPr>
        <w:t xml:space="preserve">Protection des droits de la personne face à la pandémie </w:t>
      </w:r>
      <w:r w:rsidR="00AE7816" w:rsidRPr="0026653F">
        <w:rPr>
          <w:rFonts w:eastAsia="Arial Unicode MS"/>
          <w:color w:val="auto"/>
          <w:sz w:val="22"/>
          <w:szCs w:val="22"/>
          <w:u w:val="single"/>
          <w:lang w:val="fr-FR"/>
        </w:rPr>
        <w:t>de</w:t>
      </w:r>
      <w:r w:rsidRPr="0026653F">
        <w:rPr>
          <w:rFonts w:eastAsia="Arial Unicode MS"/>
          <w:color w:val="auto"/>
          <w:sz w:val="22"/>
          <w:szCs w:val="22"/>
          <w:u w:val="single"/>
          <w:lang w:val="fr-FR"/>
        </w:rPr>
        <w:t xml:space="preserve"> COVID-19</w:t>
      </w:r>
      <w:r w:rsidRPr="0026653F">
        <w:rPr>
          <w:rFonts w:eastAsia="Arial Unicode MS"/>
          <w:color w:val="auto"/>
          <w:sz w:val="22"/>
          <w:szCs w:val="22"/>
          <w:vertAlign w:val="superscript"/>
          <w:lang w:val="fr-FR"/>
        </w:rPr>
        <w:t xml:space="preserve"> </w:t>
      </w:r>
      <w:r w:rsidRPr="0026653F">
        <w:rPr>
          <w:sz w:val="22"/>
          <w:szCs w:val="22"/>
          <w:u w:val="single"/>
          <w:vertAlign w:val="superscript"/>
          <w:lang w:val="fr-FR" w:eastAsia="es-ES"/>
        </w:rPr>
        <w:footnoteReference w:id="79"/>
      </w:r>
      <w:r w:rsidRPr="0026653F">
        <w:rPr>
          <w:sz w:val="22"/>
          <w:szCs w:val="22"/>
          <w:vertAlign w:val="superscript"/>
          <w:lang w:val="fr-FR" w:eastAsia="es-ES"/>
        </w:rPr>
        <w:t>/</w:t>
      </w:r>
    </w:p>
    <w:p w14:paraId="69AE829C" w14:textId="77777777" w:rsidR="000A6BE0" w:rsidRPr="0026653F" w:rsidRDefault="000A6BE0" w:rsidP="00C618DD">
      <w:pPr>
        <w:suppressAutoHyphens/>
        <w:rPr>
          <w:szCs w:val="22"/>
          <w:lang w:val="fr-FR"/>
        </w:rPr>
      </w:pPr>
    </w:p>
    <w:p w14:paraId="66D586A4" w14:textId="419963A1" w:rsidR="000A6BE0" w:rsidRPr="0026653F" w:rsidRDefault="000A6BE0" w:rsidP="00C618DD">
      <w:pPr>
        <w:pStyle w:val="Default"/>
        <w:suppressAutoHyphens/>
        <w:ind w:firstLine="720"/>
        <w:jc w:val="both"/>
        <w:rPr>
          <w:rFonts w:eastAsia="Arial Unicode MS"/>
          <w:bCs/>
          <w:i/>
          <w:iCs/>
          <w:color w:val="auto"/>
          <w:sz w:val="22"/>
          <w:szCs w:val="22"/>
          <w:lang w:val="fr-FR"/>
        </w:rPr>
      </w:pPr>
      <w:r w:rsidRPr="0026653F">
        <w:rPr>
          <w:rFonts w:eastAsia="Arial Unicode MS"/>
          <w:bCs/>
          <w:color w:val="auto"/>
          <w:sz w:val="22"/>
          <w:szCs w:val="22"/>
          <w:lang w:val="fr-FR"/>
        </w:rPr>
        <w:t xml:space="preserve">RECONNAISSANT les résolutions 1/2020 et 4/2020 de la Commission interaméricaine des droits de l’homme (CIDH) concernant des normes et recommandations visant à orienter les États </w:t>
      </w:r>
      <w:r w:rsidR="0059675F" w:rsidRPr="0026653F">
        <w:rPr>
          <w:rFonts w:eastAsia="Arial Unicode MS"/>
          <w:bCs/>
          <w:color w:val="auto"/>
          <w:sz w:val="22"/>
          <w:szCs w:val="22"/>
          <w:lang w:val="fr-FR"/>
        </w:rPr>
        <w:t xml:space="preserve">membres </w:t>
      </w:r>
      <w:r w:rsidR="003D44D5" w:rsidRPr="0026653F">
        <w:rPr>
          <w:rFonts w:eastAsia="Arial Unicode MS"/>
          <w:bCs/>
          <w:color w:val="auto"/>
          <w:sz w:val="22"/>
          <w:szCs w:val="22"/>
          <w:lang w:val="fr-FR"/>
        </w:rPr>
        <w:t>au titre d</w:t>
      </w:r>
      <w:r w:rsidRPr="0026653F">
        <w:rPr>
          <w:rFonts w:eastAsia="Arial Unicode MS"/>
          <w:bCs/>
          <w:color w:val="auto"/>
          <w:sz w:val="22"/>
          <w:szCs w:val="22"/>
          <w:lang w:val="fr-FR"/>
        </w:rPr>
        <w:t xml:space="preserve">es mesures pour aborder et contenir la pandémie </w:t>
      </w:r>
      <w:r w:rsidR="003D44D5" w:rsidRPr="0026653F">
        <w:rPr>
          <w:rFonts w:eastAsia="Arial Unicode MS"/>
          <w:bCs/>
          <w:color w:val="auto"/>
          <w:sz w:val="22"/>
          <w:szCs w:val="22"/>
          <w:lang w:val="fr-FR"/>
        </w:rPr>
        <w:t xml:space="preserve">de </w:t>
      </w:r>
      <w:r w:rsidRPr="0026653F">
        <w:rPr>
          <w:rFonts w:eastAsia="Arial Unicode MS"/>
          <w:bCs/>
          <w:color w:val="auto"/>
          <w:sz w:val="22"/>
          <w:szCs w:val="22"/>
          <w:lang w:val="fr-FR"/>
        </w:rPr>
        <w:t xml:space="preserve">COVID-19, et les </w:t>
      </w:r>
      <w:r w:rsidR="003D44D5" w:rsidRPr="0026653F">
        <w:rPr>
          <w:rFonts w:eastAsia="Arial Unicode MS"/>
          <w:bCs/>
          <w:color w:val="auto"/>
          <w:sz w:val="22"/>
          <w:szCs w:val="22"/>
          <w:lang w:val="fr-FR"/>
        </w:rPr>
        <w:t xml:space="preserve">lignes </w:t>
      </w:r>
      <w:r w:rsidRPr="0026653F">
        <w:rPr>
          <w:rFonts w:eastAsia="Arial Unicode MS"/>
          <w:bCs/>
          <w:color w:val="auto"/>
          <w:sz w:val="22"/>
          <w:szCs w:val="22"/>
          <w:lang w:val="fr-FR"/>
        </w:rPr>
        <w:t>direct</w:t>
      </w:r>
      <w:r w:rsidR="003D44D5" w:rsidRPr="0026653F">
        <w:rPr>
          <w:rFonts w:eastAsia="Arial Unicode MS"/>
          <w:bCs/>
          <w:color w:val="auto"/>
          <w:sz w:val="22"/>
          <w:szCs w:val="22"/>
          <w:lang w:val="fr-FR"/>
        </w:rPr>
        <w:t>r</w:t>
      </w:r>
      <w:r w:rsidRPr="0026653F">
        <w:rPr>
          <w:rFonts w:eastAsia="Arial Unicode MS"/>
          <w:bCs/>
          <w:color w:val="auto"/>
          <w:sz w:val="22"/>
          <w:szCs w:val="22"/>
          <w:lang w:val="fr-FR"/>
        </w:rPr>
        <w:t>i</w:t>
      </w:r>
      <w:r w:rsidR="003D44D5" w:rsidRPr="0026653F">
        <w:rPr>
          <w:rFonts w:eastAsia="Arial Unicode MS"/>
          <w:bCs/>
          <w:color w:val="auto"/>
          <w:sz w:val="22"/>
          <w:szCs w:val="22"/>
          <w:lang w:val="fr-FR"/>
        </w:rPr>
        <w:t>c</w:t>
      </w:r>
      <w:r w:rsidRPr="0026653F">
        <w:rPr>
          <w:rFonts w:eastAsia="Arial Unicode MS"/>
          <w:bCs/>
          <w:color w:val="auto"/>
          <w:sz w:val="22"/>
          <w:szCs w:val="22"/>
          <w:lang w:val="fr-FR"/>
        </w:rPr>
        <w:t xml:space="preserve">es relatives aux droits fondamentaux des personnes atteintes de la COVID-19, </w:t>
      </w:r>
      <w:r w:rsidRPr="0026653F">
        <w:rPr>
          <w:bCs/>
          <w:sz w:val="22"/>
          <w:szCs w:val="22"/>
          <w:lang w:val="fr-FR"/>
        </w:rPr>
        <w:t>de même que la résolution CP/RES. 1151 (2280/20) du Conseil permanent,</w:t>
      </w:r>
    </w:p>
    <w:p w14:paraId="289B37F7" w14:textId="77777777" w:rsidR="000A6BE0" w:rsidRPr="0026653F" w:rsidRDefault="000A6BE0" w:rsidP="00C618DD">
      <w:pPr>
        <w:pStyle w:val="Default"/>
        <w:suppressAutoHyphens/>
        <w:jc w:val="both"/>
        <w:rPr>
          <w:rFonts w:eastAsia="Arial Unicode MS"/>
          <w:bCs/>
          <w:color w:val="auto"/>
          <w:sz w:val="22"/>
          <w:szCs w:val="22"/>
          <w:lang w:val="fr-FR"/>
        </w:rPr>
      </w:pPr>
    </w:p>
    <w:p w14:paraId="65BED845" w14:textId="219DB7A0" w:rsidR="000A6BE0" w:rsidRPr="0026653F" w:rsidRDefault="000A6BE0" w:rsidP="00C618DD">
      <w:pPr>
        <w:pStyle w:val="Default"/>
        <w:suppressAutoHyphens/>
        <w:ind w:firstLine="720"/>
        <w:jc w:val="both"/>
        <w:rPr>
          <w:bCs/>
          <w:sz w:val="22"/>
          <w:szCs w:val="22"/>
          <w:lang w:val="fr-FR" w:eastAsia="es-MX"/>
        </w:rPr>
      </w:pPr>
      <w:r w:rsidRPr="0026653F">
        <w:rPr>
          <w:rFonts w:eastAsia="Arial Unicode MS"/>
          <w:bCs/>
          <w:color w:val="auto"/>
          <w:sz w:val="22"/>
          <w:szCs w:val="22"/>
          <w:lang w:val="fr-FR"/>
        </w:rPr>
        <w:t xml:space="preserve">SOULIGNANT les défis auxquels font face les États des Amériques </w:t>
      </w:r>
      <w:r w:rsidR="003D44D5" w:rsidRPr="0026653F">
        <w:rPr>
          <w:rFonts w:eastAsia="Arial Unicode MS"/>
          <w:bCs/>
          <w:color w:val="auto"/>
          <w:sz w:val="22"/>
          <w:szCs w:val="22"/>
          <w:lang w:val="fr-FR"/>
        </w:rPr>
        <w:t xml:space="preserve">pour </w:t>
      </w:r>
      <w:r w:rsidRPr="0026653F">
        <w:rPr>
          <w:rFonts w:eastAsia="Arial Unicode MS"/>
          <w:bCs/>
          <w:color w:val="auto"/>
          <w:sz w:val="22"/>
          <w:szCs w:val="22"/>
          <w:lang w:val="fr-FR"/>
        </w:rPr>
        <w:t xml:space="preserve">mettre en application les mesures urgentes et nécessaires destinées à </w:t>
      </w:r>
      <w:r w:rsidR="003D44D5" w:rsidRPr="0026653F">
        <w:rPr>
          <w:bCs/>
          <w:sz w:val="22"/>
          <w:szCs w:val="22"/>
          <w:lang w:val="fr-FR"/>
        </w:rPr>
        <w:t>aborder</w:t>
      </w:r>
      <w:r w:rsidRPr="0026653F">
        <w:rPr>
          <w:bCs/>
          <w:sz w:val="22"/>
          <w:szCs w:val="22"/>
          <w:lang w:val="fr-FR"/>
        </w:rPr>
        <w:t xml:space="preserve"> l’urgence produite par la COVID</w:t>
      </w:r>
      <w:r w:rsidR="003D44D5" w:rsidRPr="0026653F">
        <w:rPr>
          <w:bCs/>
          <w:sz w:val="22"/>
          <w:szCs w:val="22"/>
          <w:lang w:val="fr-FR"/>
        </w:rPr>
        <w:t>-</w:t>
      </w:r>
      <w:r w:rsidRPr="0026653F">
        <w:rPr>
          <w:bCs/>
          <w:sz w:val="22"/>
          <w:szCs w:val="22"/>
          <w:lang w:val="fr-FR"/>
        </w:rPr>
        <w:t>19,</w:t>
      </w:r>
      <w:r w:rsidRPr="0026653F">
        <w:rPr>
          <w:bCs/>
          <w:sz w:val="22"/>
          <w:szCs w:val="22"/>
          <w:lang w:val="fr-FR" w:eastAsia="es-MX"/>
        </w:rPr>
        <w:t xml:space="preserve"> </w:t>
      </w:r>
      <w:r w:rsidRPr="0026653F">
        <w:rPr>
          <w:bCs/>
          <w:sz w:val="22"/>
          <w:szCs w:val="22"/>
          <w:lang w:val="fr-FR"/>
        </w:rPr>
        <w:lastRenderedPageBreak/>
        <w:t xml:space="preserve">renouvelant sa conviction qu’il est nécessaire d’ajuster ces mesures, en particulier celles qui impliquent des restrictions de droits ou de garanties, aux principes de légalité, nécessité, proportionnalité et temporalité, conformément à leurs obligations applicables au regard du droit international des droits de </w:t>
      </w:r>
      <w:r w:rsidR="003D44D5" w:rsidRPr="0026653F">
        <w:rPr>
          <w:bCs/>
          <w:sz w:val="22"/>
          <w:szCs w:val="22"/>
          <w:lang w:val="fr-FR"/>
        </w:rPr>
        <w:t>la personne,</w:t>
      </w:r>
    </w:p>
    <w:p w14:paraId="657BAB3A" w14:textId="77777777" w:rsidR="000A6BE0" w:rsidRPr="0026653F" w:rsidRDefault="000A6BE0" w:rsidP="00C618DD">
      <w:pPr>
        <w:pStyle w:val="Default"/>
        <w:suppressAutoHyphens/>
        <w:jc w:val="both"/>
        <w:rPr>
          <w:rFonts w:eastAsia="Arial Unicode MS"/>
          <w:bCs/>
          <w:color w:val="auto"/>
          <w:sz w:val="22"/>
          <w:szCs w:val="22"/>
          <w:lang w:val="fr-FR"/>
        </w:rPr>
      </w:pPr>
    </w:p>
    <w:p w14:paraId="5464B9F1" w14:textId="77777777" w:rsidR="000A6BE0" w:rsidRPr="0026653F" w:rsidRDefault="000A6BE0" w:rsidP="00C618DD">
      <w:pPr>
        <w:suppressAutoHyphens/>
        <w:autoSpaceDE w:val="0"/>
        <w:autoSpaceDN w:val="0"/>
        <w:adjustRightInd w:val="0"/>
        <w:ind w:firstLine="720"/>
        <w:rPr>
          <w:b/>
          <w:color w:val="000000"/>
          <w:szCs w:val="22"/>
          <w:lang w:val="fr-FR" w:eastAsia="es-MX"/>
        </w:rPr>
      </w:pPr>
      <w:r w:rsidRPr="0026653F">
        <w:rPr>
          <w:rFonts w:eastAsia="Arial Unicode MS"/>
          <w:bCs/>
          <w:szCs w:val="22"/>
          <w:lang w:val="fr-FR"/>
        </w:rPr>
        <w:t xml:space="preserve">CONSIDÉRANT que la pandémie a des incidences différenciées et intersectionnelles sur la réalisation des droits économiques, sociaux, culturels et environnementaux pour toutes les couches de la population, en particulier les personnes et membres de groupes en situation de vulnérabilité particulière et/ou victimes de discrimination </w:t>
      </w:r>
      <w:proofErr w:type="gramStart"/>
      <w:r w:rsidRPr="0026653F">
        <w:rPr>
          <w:rFonts w:eastAsia="Arial Unicode MS"/>
          <w:bCs/>
          <w:szCs w:val="22"/>
          <w:lang w:val="fr-FR"/>
        </w:rPr>
        <w:t>de par</w:t>
      </w:r>
      <w:proofErr w:type="gramEnd"/>
      <w:r w:rsidRPr="0026653F">
        <w:rPr>
          <w:rFonts w:eastAsia="Arial Unicode MS"/>
          <w:bCs/>
          <w:szCs w:val="22"/>
          <w:lang w:val="fr-FR"/>
        </w:rPr>
        <w:t xml:space="preserve"> l’histoire, y compris les femmes et les filles,</w:t>
      </w:r>
    </w:p>
    <w:p w14:paraId="373E45A4" w14:textId="77777777" w:rsidR="000A6BE0" w:rsidRPr="0026653F" w:rsidRDefault="000A6BE0" w:rsidP="00C618DD">
      <w:pPr>
        <w:pStyle w:val="Default"/>
        <w:suppressAutoHyphens/>
        <w:jc w:val="both"/>
        <w:rPr>
          <w:rFonts w:eastAsia="Arial Unicode MS"/>
          <w:bCs/>
          <w:color w:val="auto"/>
          <w:sz w:val="22"/>
          <w:szCs w:val="22"/>
          <w:lang w:val="fr-FR"/>
        </w:rPr>
      </w:pPr>
    </w:p>
    <w:p w14:paraId="6B027E6A" w14:textId="3A9A4287" w:rsidR="000A6BE0" w:rsidRPr="0026653F" w:rsidRDefault="000A6BE0" w:rsidP="00C618DD">
      <w:pPr>
        <w:pStyle w:val="Default"/>
        <w:suppressAutoHyphens/>
        <w:ind w:firstLine="720"/>
        <w:jc w:val="both"/>
        <w:rPr>
          <w:rFonts w:eastAsia="Arial Unicode MS"/>
          <w:bCs/>
          <w:color w:val="auto"/>
          <w:sz w:val="22"/>
          <w:szCs w:val="22"/>
          <w:lang w:val="fr-FR"/>
        </w:rPr>
      </w:pPr>
      <w:r w:rsidRPr="0026653F">
        <w:rPr>
          <w:rFonts w:eastAsia="Arial Unicode MS"/>
          <w:bCs/>
          <w:color w:val="auto"/>
          <w:sz w:val="22"/>
          <w:szCs w:val="22"/>
          <w:lang w:val="fr-FR"/>
        </w:rPr>
        <w:t xml:space="preserve">SOULIGNANT que la santé est un bien public qui doit être protégé par tous les États et que les droits humains liés à la santé devraient inclure l’importance des services de santé opportuns et appropriés, ainsi que les éléments essentiels et </w:t>
      </w:r>
      <w:r w:rsidR="00B24434" w:rsidRPr="0026653F">
        <w:rPr>
          <w:rFonts w:eastAsia="Arial Unicode MS"/>
          <w:bCs/>
          <w:color w:val="auto"/>
          <w:sz w:val="22"/>
          <w:szCs w:val="22"/>
          <w:lang w:val="fr-FR"/>
        </w:rPr>
        <w:t xml:space="preserve">indissociables </w:t>
      </w:r>
      <w:r w:rsidRPr="0026653F">
        <w:rPr>
          <w:rFonts w:eastAsia="Arial Unicode MS"/>
          <w:bCs/>
          <w:color w:val="auto"/>
          <w:sz w:val="22"/>
          <w:szCs w:val="22"/>
          <w:lang w:val="fr-FR"/>
        </w:rPr>
        <w:t>de disponibilité, d’accessibilité, d’acceptabilité et de qualité des services, des biens et des installations de santé, y compris les médicaments et les avantages des progrès scientifiques dans ce domaine, dans des conditions d’égalité et de non-discrimination,</w:t>
      </w:r>
    </w:p>
    <w:p w14:paraId="59B8A08B" w14:textId="77777777" w:rsidR="000A6BE0" w:rsidRPr="0026653F" w:rsidRDefault="000A6BE0" w:rsidP="00C618DD">
      <w:pPr>
        <w:pStyle w:val="Default"/>
        <w:suppressAutoHyphens/>
        <w:jc w:val="both"/>
        <w:rPr>
          <w:rFonts w:eastAsia="Arial Unicode MS"/>
          <w:bCs/>
          <w:color w:val="auto"/>
          <w:sz w:val="22"/>
          <w:szCs w:val="22"/>
          <w:lang w:val="fr-FR"/>
        </w:rPr>
      </w:pPr>
    </w:p>
    <w:p w14:paraId="1AF3CE0A" w14:textId="1F3D4674" w:rsidR="000A6BE0" w:rsidRPr="0026653F" w:rsidRDefault="000A6BE0" w:rsidP="00C618DD">
      <w:pPr>
        <w:pStyle w:val="Default"/>
        <w:suppressAutoHyphens/>
        <w:ind w:firstLine="720"/>
        <w:jc w:val="both"/>
        <w:rPr>
          <w:rFonts w:eastAsia="Arial Unicode MS"/>
          <w:b/>
          <w:color w:val="auto"/>
          <w:sz w:val="22"/>
          <w:szCs w:val="22"/>
          <w:lang w:val="fr-FR"/>
        </w:rPr>
      </w:pPr>
      <w:r w:rsidRPr="0026653F">
        <w:rPr>
          <w:rFonts w:eastAsia="Arial Unicode MS"/>
          <w:bCs/>
          <w:color w:val="auto"/>
          <w:sz w:val="22"/>
          <w:szCs w:val="22"/>
          <w:lang w:val="fr-FR"/>
        </w:rPr>
        <w:t xml:space="preserve">SOULIGNANT que toute personne atteinte de la COVID-19 a droit au plus haut niveau </w:t>
      </w:r>
      <w:r w:rsidR="007D2B0C">
        <w:rPr>
          <w:rFonts w:eastAsia="Arial Unicode MS"/>
          <w:bCs/>
          <w:color w:val="auto"/>
          <w:sz w:val="22"/>
          <w:szCs w:val="22"/>
          <w:lang w:val="fr-FR"/>
        </w:rPr>
        <w:t xml:space="preserve">de </w:t>
      </w:r>
      <w:r w:rsidRPr="0026653F">
        <w:rPr>
          <w:rFonts w:eastAsia="Arial Unicode MS"/>
          <w:bCs/>
          <w:color w:val="auto"/>
          <w:sz w:val="22"/>
          <w:szCs w:val="22"/>
          <w:lang w:val="fr-FR"/>
        </w:rPr>
        <w:t>santé et qu’elle peut ressentir des incidences négatives et des limitations d’autres droits économiques, sociaux, culturels et environnementaux, et que dans ce contexte, il est impératif d’éviter à tout prix des conséquences défavorables ou des restrictions dans leurs droits économiques, sociaux, culturels et environnementaux, en prenant en compte le fait que certains groupes en situation de vulnérabilité sont exposés à des effets différenciés dans ce domaine, qui résultent de la COVID-19,</w:t>
      </w:r>
    </w:p>
    <w:p w14:paraId="16340B6F" w14:textId="77777777" w:rsidR="000A6BE0" w:rsidRPr="0026653F" w:rsidRDefault="000A6BE0" w:rsidP="00C618DD">
      <w:pPr>
        <w:pStyle w:val="Default"/>
        <w:suppressAutoHyphens/>
        <w:jc w:val="both"/>
        <w:rPr>
          <w:rFonts w:eastAsia="Arial Unicode MS"/>
          <w:color w:val="auto"/>
          <w:sz w:val="22"/>
          <w:szCs w:val="22"/>
          <w:lang w:val="fr-FR"/>
        </w:rPr>
      </w:pPr>
    </w:p>
    <w:p w14:paraId="65A764D5" w14:textId="77777777" w:rsidR="000A6BE0" w:rsidRPr="0026653F" w:rsidRDefault="000A6BE0" w:rsidP="00C618DD">
      <w:pPr>
        <w:pStyle w:val="Default"/>
        <w:suppressAutoHyphens/>
        <w:jc w:val="both"/>
        <w:rPr>
          <w:rFonts w:eastAsia="Arial Unicode MS"/>
          <w:bCs/>
          <w:color w:val="auto"/>
          <w:sz w:val="22"/>
          <w:szCs w:val="22"/>
          <w:lang w:val="fr-FR"/>
        </w:rPr>
      </w:pPr>
      <w:r w:rsidRPr="0026653F">
        <w:rPr>
          <w:rFonts w:eastAsia="Arial Unicode MS"/>
          <w:bCs/>
          <w:color w:val="auto"/>
          <w:sz w:val="22"/>
          <w:szCs w:val="22"/>
          <w:lang w:val="fr-FR"/>
        </w:rPr>
        <w:t>DÉCIDE :</w:t>
      </w:r>
    </w:p>
    <w:p w14:paraId="61D43278" w14:textId="77777777" w:rsidR="000A6BE0" w:rsidRPr="0026653F" w:rsidRDefault="000A6BE0" w:rsidP="00C618DD">
      <w:pPr>
        <w:pStyle w:val="Default"/>
        <w:suppressAutoHyphens/>
        <w:jc w:val="both"/>
        <w:rPr>
          <w:rFonts w:eastAsia="Arial Unicode MS"/>
          <w:bCs/>
          <w:color w:val="auto"/>
          <w:sz w:val="22"/>
          <w:szCs w:val="22"/>
          <w:lang w:val="fr-FR"/>
        </w:rPr>
      </w:pPr>
    </w:p>
    <w:p w14:paraId="24A0FF6F" w14:textId="77777777" w:rsidR="000A6BE0" w:rsidRPr="0026653F" w:rsidRDefault="000A6BE0" w:rsidP="00C618DD">
      <w:pPr>
        <w:pStyle w:val="Default"/>
        <w:numPr>
          <w:ilvl w:val="0"/>
          <w:numId w:val="66"/>
        </w:numPr>
        <w:suppressAutoHyphens/>
        <w:ind w:left="0" w:firstLine="720"/>
        <w:jc w:val="both"/>
        <w:rPr>
          <w:rFonts w:eastAsia="Arial Unicode MS"/>
          <w:bCs/>
          <w:color w:val="auto"/>
          <w:sz w:val="22"/>
          <w:szCs w:val="22"/>
          <w:lang w:val="fr-FR"/>
        </w:rPr>
      </w:pPr>
      <w:r w:rsidRPr="0026653F">
        <w:rPr>
          <w:rFonts w:eastAsia="Arial Unicode MS"/>
          <w:bCs/>
          <w:color w:val="auto"/>
          <w:sz w:val="22"/>
          <w:szCs w:val="22"/>
          <w:lang w:val="fr-FR"/>
        </w:rPr>
        <w:t xml:space="preserve">D’inclure au nombre des mesures destinées à promouvoir la jouissance des droits et la préservation de la santé l’accent mis sur les droits de la personne et la perspective de la parité hommes-femmes pour faire face à la pandémie et à ses conséquences, en portant une attention différenciée aux personnes et membres de groupes en situation de vulnérabilité particulière et/ou victimes de discrimination </w:t>
      </w:r>
      <w:proofErr w:type="gramStart"/>
      <w:r w:rsidRPr="0026653F">
        <w:rPr>
          <w:rFonts w:eastAsia="Arial Unicode MS"/>
          <w:bCs/>
          <w:color w:val="auto"/>
          <w:sz w:val="22"/>
          <w:szCs w:val="22"/>
          <w:lang w:val="fr-FR"/>
        </w:rPr>
        <w:t>de par</w:t>
      </w:r>
      <w:proofErr w:type="gramEnd"/>
      <w:r w:rsidRPr="0026653F">
        <w:rPr>
          <w:rFonts w:eastAsia="Arial Unicode MS"/>
          <w:bCs/>
          <w:color w:val="auto"/>
          <w:sz w:val="22"/>
          <w:szCs w:val="22"/>
          <w:lang w:val="fr-FR"/>
        </w:rPr>
        <w:t xml:space="preserve"> l’histoire.</w:t>
      </w:r>
    </w:p>
    <w:p w14:paraId="4F7416FF" w14:textId="77777777" w:rsidR="000A6BE0" w:rsidRPr="0026653F" w:rsidRDefault="000A6BE0" w:rsidP="00C618DD">
      <w:pPr>
        <w:pStyle w:val="Default"/>
        <w:suppressAutoHyphens/>
        <w:jc w:val="both"/>
        <w:rPr>
          <w:rFonts w:eastAsia="Arial Unicode MS"/>
          <w:bCs/>
          <w:color w:val="auto"/>
          <w:sz w:val="22"/>
          <w:szCs w:val="22"/>
          <w:lang w:val="fr-FR"/>
        </w:rPr>
      </w:pPr>
    </w:p>
    <w:p w14:paraId="33A30E07" w14:textId="4AF700DF" w:rsidR="000A6BE0" w:rsidRPr="0026653F" w:rsidRDefault="000A6BE0" w:rsidP="00C618DD">
      <w:pPr>
        <w:pStyle w:val="Default"/>
        <w:numPr>
          <w:ilvl w:val="0"/>
          <w:numId w:val="66"/>
        </w:numPr>
        <w:suppressAutoHyphens/>
        <w:ind w:left="0" w:firstLine="720"/>
        <w:jc w:val="both"/>
        <w:rPr>
          <w:rFonts w:eastAsia="Arial Unicode MS"/>
          <w:b/>
          <w:color w:val="auto"/>
          <w:sz w:val="22"/>
          <w:szCs w:val="22"/>
          <w:lang w:val="fr-FR"/>
        </w:rPr>
      </w:pPr>
      <w:r w:rsidRPr="0026653F">
        <w:rPr>
          <w:rFonts w:eastAsia="Arial Unicode MS"/>
          <w:bCs/>
          <w:color w:val="auto"/>
          <w:sz w:val="22"/>
          <w:szCs w:val="22"/>
          <w:lang w:val="fr-FR"/>
        </w:rPr>
        <w:t>De promouvoir et de protéger la jouissance et l’exercice des droits humains et la protection du droit à la santé des personnes atteint</w:t>
      </w:r>
      <w:r w:rsidR="00B24434" w:rsidRPr="0026653F">
        <w:rPr>
          <w:rFonts w:eastAsia="Arial Unicode MS"/>
          <w:bCs/>
          <w:color w:val="auto"/>
          <w:sz w:val="22"/>
          <w:szCs w:val="22"/>
          <w:lang w:val="fr-FR"/>
        </w:rPr>
        <w:t>es</w:t>
      </w:r>
      <w:r w:rsidRPr="0026653F">
        <w:rPr>
          <w:rFonts w:eastAsia="Arial Unicode MS"/>
          <w:bCs/>
          <w:color w:val="auto"/>
          <w:sz w:val="22"/>
          <w:szCs w:val="22"/>
          <w:lang w:val="fr-FR"/>
        </w:rPr>
        <w:t xml:space="preserve"> de la COVID-19, d’une manière cohérente avec les principes d’égalité et de non-discrimination.</w:t>
      </w:r>
    </w:p>
    <w:p w14:paraId="115DF0C5" w14:textId="77777777" w:rsidR="000A6BE0" w:rsidRPr="0026653F" w:rsidRDefault="000A6BE0" w:rsidP="00C618DD">
      <w:pPr>
        <w:suppressAutoHyphens/>
        <w:rPr>
          <w:rFonts w:eastAsia="Arial Unicode MS"/>
          <w:bCs/>
          <w:szCs w:val="22"/>
          <w:lang w:val="fr-FR"/>
        </w:rPr>
      </w:pPr>
    </w:p>
    <w:p w14:paraId="5BEA8151" w14:textId="51A510D6" w:rsidR="000A6BE0" w:rsidRPr="0026653F" w:rsidRDefault="000A6BE0" w:rsidP="00C618DD">
      <w:pPr>
        <w:suppressAutoHyphens/>
        <w:ind w:firstLine="720"/>
        <w:rPr>
          <w:rFonts w:eastAsia="Arial Unicode MS"/>
          <w:bCs/>
          <w:szCs w:val="22"/>
          <w:lang w:val="fr-FR"/>
        </w:rPr>
      </w:pPr>
      <w:r w:rsidRPr="0026653F">
        <w:rPr>
          <w:rFonts w:eastAsia="Arial Unicode MS"/>
          <w:bCs/>
          <w:szCs w:val="22"/>
          <w:lang w:val="fr-FR"/>
        </w:rPr>
        <w:t>3.</w:t>
      </w:r>
      <w:r w:rsidRPr="0026653F">
        <w:rPr>
          <w:rFonts w:eastAsia="Arial Unicode MS"/>
          <w:bCs/>
          <w:szCs w:val="22"/>
          <w:lang w:val="fr-FR"/>
        </w:rPr>
        <w:tab/>
        <w:t>De promouvoir le</w:t>
      </w:r>
      <w:r w:rsidR="00421820" w:rsidRPr="0026653F">
        <w:rPr>
          <w:rFonts w:eastAsia="Arial Unicode MS"/>
          <w:bCs/>
          <w:szCs w:val="22"/>
          <w:lang w:val="fr-FR"/>
        </w:rPr>
        <w:t xml:space="preserve">s échanges </w:t>
      </w:r>
      <w:r w:rsidRPr="0026653F">
        <w:rPr>
          <w:rFonts w:eastAsia="Arial Unicode MS"/>
          <w:bCs/>
          <w:szCs w:val="22"/>
          <w:lang w:val="fr-FR"/>
        </w:rPr>
        <w:t>technique</w:t>
      </w:r>
      <w:r w:rsidR="00421820" w:rsidRPr="0026653F">
        <w:rPr>
          <w:rFonts w:eastAsia="Arial Unicode MS"/>
          <w:bCs/>
          <w:szCs w:val="22"/>
          <w:lang w:val="fr-FR"/>
        </w:rPr>
        <w:t>s</w:t>
      </w:r>
      <w:r w:rsidRPr="0026653F">
        <w:rPr>
          <w:rFonts w:eastAsia="Arial Unicode MS"/>
          <w:bCs/>
          <w:szCs w:val="22"/>
          <w:lang w:val="fr-FR"/>
        </w:rPr>
        <w:t xml:space="preserve"> et de coopération </w:t>
      </w:r>
      <w:r w:rsidR="00B466C4" w:rsidRPr="0026653F">
        <w:rPr>
          <w:rFonts w:eastAsia="Arial Unicode MS"/>
          <w:bCs/>
          <w:szCs w:val="22"/>
          <w:lang w:val="fr-FR"/>
        </w:rPr>
        <w:t xml:space="preserve">à l’échelle </w:t>
      </w:r>
      <w:r w:rsidRPr="0026653F">
        <w:rPr>
          <w:rFonts w:eastAsia="Arial Unicode MS"/>
          <w:bCs/>
          <w:szCs w:val="22"/>
          <w:lang w:val="fr-FR"/>
        </w:rPr>
        <w:t>régiona</w:t>
      </w:r>
      <w:r w:rsidR="00B466C4" w:rsidRPr="0026653F">
        <w:rPr>
          <w:rFonts w:eastAsia="Arial Unicode MS"/>
          <w:bCs/>
          <w:szCs w:val="22"/>
          <w:lang w:val="fr-FR"/>
        </w:rPr>
        <w:t xml:space="preserve">le incluant les bonnes </w:t>
      </w:r>
      <w:r w:rsidRPr="0026653F">
        <w:rPr>
          <w:rFonts w:eastAsia="Arial Unicode MS"/>
          <w:bCs/>
          <w:szCs w:val="22"/>
          <w:lang w:val="fr-FR"/>
        </w:rPr>
        <w:t xml:space="preserve">pratiques des États </w:t>
      </w:r>
      <w:r w:rsidR="00B466C4" w:rsidRPr="0026653F">
        <w:rPr>
          <w:rFonts w:eastAsia="Arial Unicode MS"/>
          <w:bCs/>
          <w:szCs w:val="22"/>
          <w:lang w:val="fr-FR"/>
        </w:rPr>
        <w:t xml:space="preserve">relatives aux </w:t>
      </w:r>
      <w:r w:rsidRPr="0026653F">
        <w:rPr>
          <w:rFonts w:eastAsia="Arial Unicode MS"/>
          <w:bCs/>
          <w:szCs w:val="22"/>
          <w:lang w:val="fr-FR"/>
        </w:rPr>
        <w:t xml:space="preserve">mesures adoptées dans le contexte de la pandémie dans une perspective de droits de la personne et de parité hommes-femmes afin d’améliorer la réponse épidémiologique de façon effective et humaine, y compris pour assurer </w:t>
      </w:r>
      <w:r w:rsidR="00B466C4" w:rsidRPr="0026653F">
        <w:rPr>
          <w:rFonts w:eastAsia="Arial Unicode MS"/>
          <w:bCs/>
          <w:szCs w:val="22"/>
          <w:lang w:val="fr-FR"/>
        </w:rPr>
        <w:t xml:space="preserve">et promouvoir </w:t>
      </w:r>
      <w:r w:rsidRPr="0026653F">
        <w:rPr>
          <w:rFonts w:eastAsia="Arial Unicode MS"/>
          <w:bCs/>
          <w:szCs w:val="22"/>
          <w:lang w:val="fr-FR"/>
        </w:rPr>
        <w:t>l’accessibilité et le caractère abordable, de façon participative, transparente, libre de discrimination et avec la plus large couverture possible au niveau géographique, des médicaments, traitements, vaccins, biens de qualité, services, informations et connaissances ou applications de nature technologique et scientifique pour les soins à visée préventive, curative, palliative, de rééducation ou l</w:t>
      </w:r>
      <w:r w:rsidR="00B466C4" w:rsidRPr="0026653F">
        <w:rPr>
          <w:rFonts w:eastAsia="Arial Unicode MS"/>
          <w:bCs/>
          <w:szCs w:val="22"/>
          <w:lang w:val="fr-FR"/>
        </w:rPr>
        <w:t xml:space="preserve">a prise en charge </w:t>
      </w:r>
      <w:r w:rsidRPr="0026653F">
        <w:rPr>
          <w:rFonts w:eastAsia="Arial Unicode MS"/>
          <w:bCs/>
          <w:szCs w:val="22"/>
          <w:lang w:val="fr-FR"/>
        </w:rPr>
        <w:t>des personnes atteintes de la COVID-19.</w:t>
      </w:r>
    </w:p>
    <w:p w14:paraId="4E6FF2C4" w14:textId="77777777" w:rsidR="000A6BE0" w:rsidRPr="0026653F" w:rsidRDefault="000A6BE0" w:rsidP="00C618DD">
      <w:pPr>
        <w:suppressAutoHyphens/>
        <w:rPr>
          <w:szCs w:val="22"/>
          <w:lang w:val="fr-FR"/>
        </w:rPr>
      </w:pPr>
    </w:p>
    <w:p w14:paraId="37C12A16" w14:textId="77777777" w:rsidR="000A6BE0" w:rsidRPr="0026653F" w:rsidRDefault="000A6BE0" w:rsidP="00C618DD">
      <w:pPr>
        <w:pStyle w:val="paragraph"/>
        <w:keepNext/>
        <w:suppressAutoHyphens/>
        <w:spacing w:before="0" w:beforeAutospacing="0" w:after="0" w:afterAutospacing="0"/>
        <w:ind w:left="720" w:hanging="720"/>
        <w:jc w:val="both"/>
        <w:textAlignment w:val="baseline"/>
        <w:rPr>
          <w:bCs/>
          <w:sz w:val="22"/>
          <w:szCs w:val="22"/>
          <w:lang w:val="fr-FR"/>
        </w:rPr>
      </w:pPr>
      <w:r w:rsidRPr="0026653F">
        <w:rPr>
          <w:bCs/>
          <w:sz w:val="22"/>
          <w:szCs w:val="22"/>
          <w:lang w:val="fr-FR"/>
        </w:rPr>
        <w:lastRenderedPageBreak/>
        <w:t xml:space="preserve">ii. </w:t>
      </w:r>
      <w:r w:rsidRPr="0026653F">
        <w:rPr>
          <w:bCs/>
          <w:sz w:val="22"/>
          <w:szCs w:val="22"/>
          <w:lang w:val="fr-FR"/>
        </w:rPr>
        <w:tab/>
      </w:r>
      <w:r w:rsidRPr="0026653F">
        <w:rPr>
          <w:bCs/>
          <w:sz w:val="22"/>
          <w:szCs w:val="22"/>
          <w:u w:val="single"/>
          <w:lang w:val="fr-FR"/>
        </w:rPr>
        <w:t>Parité hommes-femmes dans la composition de la Cour interaméricaine des droits de l’homme</w:t>
      </w:r>
    </w:p>
    <w:p w14:paraId="08786284" w14:textId="77777777" w:rsidR="000A6BE0" w:rsidRPr="0026653F" w:rsidRDefault="000A6BE0" w:rsidP="00C618DD">
      <w:pPr>
        <w:keepNext/>
        <w:suppressAutoHyphens/>
        <w:rPr>
          <w:szCs w:val="22"/>
          <w:lang w:val="fr-FR"/>
        </w:rPr>
      </w:pPr>
    </w:p>
    <w:p w14:paraId="0D68113C" w14:textId="4483CDB7" w:rsidR="000A6BE0" w:rsidRPr="0026653F" w:rsidRDefault="000A6BE0" w:rsidP="00C618DD">
      <w:pPr>
        <w:suppressAutoHyphens/>
        <w:ind w:firstLine="720"/>
        <w:rPr>
          <w:rStyle w:val="normaltextrun"/>
          <w:szCs w:val="22"/>
          <w:lang w:val="fr-FR"/>
        </w:rPr>
      </w:pPr>
      <w:r w:rsidRPr="0026653F">
        <w:rPr>
          <w:szCs w:val="22"/>
          <w:lang w:val="fr-FR"/>
        </w:rPr>
        <w:t>AYANT À L’ESPRIT la section relative à la composition équilibrée du point de vue de la parité hommes-femmes, de la représentation géographique et des différents systèmes juridiques de la résolution AG/RES. 2941 (XLIX-O/19), « Promotion et protection des droits de la personne », en date du 28 juin 2019, et la résolution CP/RES.</w:t>
      </w:r>
      <w:r w:rsidRPr="0026653F">
        <w:rPr>
          <w:rStyle w:val="normaltextrun"/>
          <w:szCs w:val="22"/>
          <w:lang w:val="fr-FR"/>
        </w:rPr>
        <w:t xml:space="preserve"> 1149 (2278/20)</w:t>
      </w:r>
      <w:r w:rsidR="00B466C4" w:rsidRPr="0026653F">
        <w:rPr>
          <w:rStyle w:val="normaltextrun"/>
          <w:szCs w:val="22"/>
          <w:lang w:val="fr-FR"/>
        </w:rPr>
        <w:t>,</w:t>
      </w:r>
      <w:r w:rsidRPr="0026653F">
        <w:rPr>
          <w:rStyle w:val="normaltextrun"/>
          <w:szCs w:val="22"/>
          <w:lang w:val="fr-FR"/>
        </w:rPr>
        <w:t xml:space="preserve"> « Représentation et participation des femmes à la OEA »,</w:t>
      </w:r>
      <w:r w:rsidR="00B466C4" w:rsidRPr="0026653F">
        <w:rPr>
          <w:rStyle w:val="normaltextrun"/>
          <w:szCs w:val="22"/>
          <w:lang w:val="fr-FR"/>
        </w:rPr>
        <w:t xml:space="preserve"> adoptée le 12 mars 2020 par le Conseil permanent,</w:t>
      </w:r>
    </w:p>
    <w:p w14:paraId="6C69F5DF" w14:textId="77777777" w:rsidR="000A6BE0" w:rsidRPr="0026653F" w:rsidRDefault="000A6BE0" w:rsidP="00C618DD">
      <w:pPr>
        <w:suppressAutoHyphens/>
        <w:rPr>
          <w:color w:val="000000"/>
          <w:szCs w:val="22"/>
          <w:lang w:val="fr-FR"/>
        </w:rPr>
      </w:pPr>
    </w:p>
    <w:p w14:paraId="380A6C5D" w14:textId="33E48E4D" w:rsidR="000A6BE0" w:rsidRPr="0026653F" w:rsidRDefault="000A6BE0" w:rsidP="00C618DD">
      <w:pPr>
        <w:suppressAutoHyphens/>
        <w:ind w:firstLine="720"/>
        <w:rPr>
          <w:color w:val="000000"/>
          <w:szCs w:val="22"/>
          <w:lang w:val="fr-FR"/>
        </w:rPr>
      </w:pPr>
      <w:r w:rsidRPr="0026653F">
        <w:rPr>
          <w:color w:val="000000"/>
          <w:szCs w:val="22"/>
          <w:lang w:val="fr-FR"/>
        </w:rPr>
        <w:t xml:space="preserve">RECONNAISSANT que, depuis sa création en 1979, sur les </w:t>
      </w:r>
      <w:r w:rsidR="007D2B0C">
        <w:rPr>
          <w:color w:val="000000"/>
          <w:szCs w:val="22"/>
          <w:lang w:val="fr-FR"/>
        </w:rPr>
        <w:t>39</w:t>
      </w:r>
      <w:r w:rsidRPr="0026653F">
        <w:rPr>
          <w:color w:val="000000"/>
          <w:szCs w:val="22"/>
          <w:lang w:val="fr-FR"/>
        </w:rPr>
        <w:t xml:space="preserve"> juges qui ont fait partie de la Cour interaméricaine des droits de l’homme, seuls cinq ont été des femmes et que, actuellement, la Cour ne compte qu’une seule femme parmi ses membres,</w:t>
      </w:r>
    </w:p>
    <w:p w14:paraId="02EC0B79" w14:textId="77777777" w:rsidR="000A6BE0" w:rsidRPr="0026653F" w:rsidRDefault="000A6BE0" w:rsidP="00C618DD">
      <w:pPr>
        <w:pStyle w:val="paragraph"/>
        <w:suppressAutoHyphens/>
        <w:spacing w:before="0" w:beforeAutospacing="0" w:after="0" w:afterAutospacing="0"/>
        <w:jc w:val="both"/>
        <w:textAlignment w:val="baseline"/>
        <w:rPr>
          <w:rStyle w:val="normaltextrun"/>
          <w:sz w:val="22"/>
          <w:szCs w:val="22"/>
          <w:lang w:val="fr-FR"/>
        </w:rPr>
      </w:pPr>
    </w:p>
    <w:p w14:paraId="3480D2B6" w14:textId="77777777" w:rsidR="000A6BE0" w:rsidRPr="0026653F" w:rsidRDefault="000A6BE0" w:rsidP="00C618DD">
      <w:pPr>
        <w:pStyle w:val="paragraph"/>
        <w:suppressAutoHyphens/>
        <w:spacing w:before="0" w:beforeAutospacing="0" w:after="0" w:afterAutospacing="0"/>
        <w:jc w:val="both"/>
        <w:textAlignment w:val="baseline"/>
        <w:rPr>
          <w:sz w:val="22"/>
          <w:szCs w:val="22"/>
          <w:lang w:val="fr-FR"/>
        </w:rPr>
      </w:pPr>
      <w:r w:rsidRPr="0026653F">
        <w:rPr>
          <w:rStyle w:val="normaltextrun"/>
          <w:sz w:val="22"/>
          <w:szCs w:val="22"/>
          <w:lang w:val="fr-FR"/>
        </w:rPr>
        <w:t>DÉCIDE :</w:t>
      </w:r>
      <w:r w:rsidRPr="0026653F">
        <w:rPr>
          <w:rStyle w:val="eop"/>
          <w:sz w:val="22"/>
          <w:szCs w:val="22"/>
          <w:lang w:val="fr-FR"/>
        </w:rPr>
        <w:t xml:space="preserve"> </w:t>
      </w:r>
    </w:p>
    <w:p w14:paraId="4D205AF9" w14:textId="77777777" w:rsidR="000A6BE0" w:rsidRPr="0026653F" w:rsidRDefault="000A6BE0" w:rsidP="00C618DD">
      <w:pPr>
        <w:pStyle w:val="paragraph"/>
        <w:suppressAutoHyphens/>
        <w:spacing w:before="0" w:beforeAutospacing="0" w:after="0" w:afterAutospacing="0"/>
        <w:jc w:val="both"/>
        <w:textAlignment w:val="baseline"/>
        <w:rPr>
          <w:rStyle w:val="eop"/>
          <w:bCs/>
          <w:sz w:val="22"/>
          <w:szCs w:val="22"/>
          <w:lang w:val="fr-FR"/>
        </w:rPr>
      </w:pPr>
    </w:p>
    <w:p w14:paraId="6D4EDE8B" w14:textId="4D3F1E94" w:rsidR="000A6BE0" w:rsidRPr="0026653F" w:rsidRDefault="000A6BE0" w:rsidP="00C618DD">
      <w:pPr>
        <w:suppressAutoHyphens/>
        <w:ind w:firstLine="720"/>
        <w:rPr>
          <w:rFonts w:eastAsia="Arial Unicode MS"/>
          <w:i/>
          <w:color w:val="000000"/>
          <w:szCs w:val="22"/>
          <w:lang w:val="fr-FR"/>
        </w:rPr>
      </w:pPr>
      <w:r w:rsidRPr="0026653F">
        <w:rPr>
          <w:color w:val="000000"/>
          <w:szCs w:val="22"/>
          <w:lang w:val="fr-FR"/>
        </w:rPr>
        <w:t xml:space="preserve">D’inviter instamment les États membres à faire en sorte que dans le cadre des processus de nomination et de sélection des juges de la Cour interaméricaine des droits de l’homme, ils s’efforcent d’atteindre la parité dans </w:t>
      </w:r>
      <w:r w:rsidR="00477BB1" w:rsidRPr="0026653F">
        <w:rPr>
          <w:color w:val="000000"/>
          <w:szCs w:val="22"/>
          <w:lang w:val="fr-FR"/>
        </w:rPr>
        <w:t>s</w:t>
      </w:r>
      <w:r w:rsidRPr="0026653F">
        <w:rPr>
          <w:color w:val="000000"/>
          <w:szCs w:val="22"/>
          <w:lang w:val="fr-FR"/>
        </w:rPr>
        <w:t xml:space="preserve">a composition en </w:t>
      </w:r>
      <w:r w:rsidR="00477BB1" w:rsidRPr="0026653F">
        <w:rPr>
          <w:color w:val="000000"/>
          <w:szCs w:val="22"/>
          <w:lang w:val="fr-FR"/>
        </w:rPr>
        <w:t xml:space="preserve">encourageant la nomination de </w:t>
      </w:r>
      <w:r w:rsidRPr="0026653F">
        <w:rPr>
          <w:color w:val="000000"/>
          <w:szCs w:val="22"/>
          <w:lang w:val="fr-FR"/>
        </w:rPr>
        <w:t>davantage de femmes candidates</w:t>
      </w:r>
      <w:r w:rsidR="00477BB1" w:rsidRPr="0026653F">
        <w:rPr>
          <w:color w:val="000000"/>
          <w:szCs w:val="22"/>
          <w:lang w:val="fr-FR"/>
        </w:rPr>
        <w:t>,</w:t>
      </w:r>
      <w:r w:rsidRPr="0026653F">
        <w:rPr>
          <w:color w:val="000000"/>
          <w:szCs w:val="22"/>
          <w:lang w:val="fr-FR"/>
        </w:rPr>
        <w:t xml:space="preserve"> et </w:t>
      </w:r>
      <w:r w:rsidR="00477BB1" w:rsidRPr="0026653F">
        <w:rPr>
          <w:color w:val="000000"/>
          <w:szCs w:val="22"/>
          <w:lang w:val="fr-FR"/>
        </w:rPr>
        <w:t xml:space="preserve">à </w:t>
      </w:r>
      <w:r w:rsidRPr="0026653F">
        <w:rPr>
          <w:color w:val="000000"/>
          <w:szCs w:val="22"/>
          <w:lang w:val="fr-FR"/>
        </w:rPr>
        <w:t>consolider par ailleurs une représentativité géographique régionale ainsi qu’un équilibre adéquat entre les systèmes juridiques du continent américain, en garantissant le respect des exigences d’indépendance, d’impartialité et de compétence reconnue en matière de droits de la personne</w:t>
      </w:r>
      <w:r w:rsidRPr="0026653F">
        <w:rPr>
          <w:rFonts w:eastAsia="Arial Unicode MS"/>
          <w:color w:val="000000"/>
          <w:szCs w:val="22"/>
          <w:lang w:val="fr-FR"/>
        </w:rPr>
        <w:t>.</w:t>
      </w:r>
    </w:p>
    <w:p w14:paraId="05BC5D68" w14:textId="77777777" w:rsidR="000A6BE0" w:rsidRPr="0026653F" w:rsidRDefault="000A6BE0" w:rsidP="00C618DD">
      <w:pPr>
        <w:suppressAutoHyphens/>
        <w:rPr>
          <w:szCs w:val="22"/>
          <w:u w:val="single"/>
          <w:lang w:val="fr-FR" w:eastAsia="es-ES_tradnl"/>
        </w:rPr>
      </w:pPr>
    </w:p>
    <w:p w14:paraId="26580944" w14:textId="77777777" w:rsidR="000A6BE0" w:rsidRPr="0026653F" w:rsidRDefault="000A6BE0" w:rsidP="00C618DD">
      <w:pPr>
        <w:pStyle w:val="paragraph"/>
        <w:keepNext/>
        <w:suppressAutoHyphens/>
        <w:spacing w:before="0" w:beforeAutospacing="0" w:after="0" w:afterAutospacing="0"/>
        <w:jc w:val="both"/>
        <w:textAlignment w:val="baseline"/>
        <w:rPr>
          <w:color w:val="000000"/>
          <w:sz w:val="22"/>
          <w:szCs w:val="22"/>
          <w:lang w:val="fr-FR"/>
        </w:rPr>
      </w:pPr>
      <w:r w:rsidRPr="0026653F">
        <w:rPr>
          <w:sz w:val="22"/>
          <w:szCs w:val="22"/>
          <w:lang w:val="fr-FR"/>
        </w:rPr>
        <w:t>iii.</w:t>
      </w:r>
      <w:r w:rsidRPr="0026653F">
        <w:rPr>
          <w:sz w:val="22"/>
          <w:szCs w:val="22"/>
          <w:lang w:val="fr-FR"/>
        </w:rPr>
        <w:tab/>
      </w:r>
      <w:r w:rsidRPr="0026653F">
        <w:rPr>
          <w:bCs/>
          <w:sz w:val="22"/>
          <w:szCs w:val="22"/>
          <w:u w:val="single"/>
          <w:lang w:val="fr-FR"/>
        </w:rPr>
        <w:t>Élimination de l’apatridie dans les Amériques</w:t>
      </w:r>
      <w:r w:rsidRPr="0026653F">
        <w:rPr>
          <w:color w:val="000000"/>
          <w:sz w:val="22"/>
          <w:szCs w:val="22"/>
          <w:lang w:val="fr-FR" w:eastAsia="ar-SA"/>
        </w:rPr>
        <w:t xml:space="preserve"> </w:t>
      </w:r>
    </w:p>
    <w:p w14:paraId="1A684F2C" w14:textId="77777777" w:rsidR="000A6BE0" w:rsidRPr="0026653F" w:rsidRDefault="000A6BE0" w:rsidP="00C618DD">
      <w:pPr>
        <w:keepNext/>
        <w:suppressAutoHyphens/>
        <w:rPr>
          <w:bCs/>
          <w:szCs w:val="22"/>
          <w:lang w:val="fr-FR"/>
        </w:rPr>
      </w:pPr>
    </w:p>
    <w:p w14:paraId="2EB1F9D1" w14:textId="0EE5C105" w:rsidR="000A6BE0" w:rsidRPr="0026653F" w:rsidRDefault="000A6BE0" w:rsidP="00C618DD">
      <w:pPr>
        <w:suppressAutoHyphens/>
        <w:ind w:firstLine="720"/>
        <w:rPr>
          <w:bCs/>
          <w:szCs w:val="22"/>
          <w:lang w:val="fr-FR"/>
        </w:rPr>
      </w:pPr>
      <w:r w:rsidRPr="0026653F">
        <w:rPr>
          <w:bCs/>
          <w:szCs w:val="22"/>
          <w:lang w:val="fr-FR"/>
        </w:rPr>
        <w:t xml:space="preserve">RAPPELANT l’importance du droit de toute personne à une nationalité dans le </w:t>
      </w:r>
      <w:r w:rsidR="00477BB1" w:rsidRPr="0026653F">
        <w:rPr>
          <w:bCs/>
          <w:szCs w:val="22"/>
          <w:lang w:val="fr-FR"/>
        </w:rPr>
        <w:t>c</w:t>
      </w:r>
      <w:r w:rsidRPr="0026653F">
        <w:rPr>
          <w:bCs/>
          <w:szCs w:val="22"/>
          <w:lang w:val="fr-FR"/>
        </w:rPr>
        <w:t xml:space="preserve">ontinent américain, </w:t>
      </w:r>
      <w:r w:rsidR="00477BB1" w:rsidRPr="0026653F">
        <w:rPr>
          <w:bCs/>
          <w:szCs w:val="22"/>
          <w:lang w:val="fr-FR"/>
        </w:rPr>
        <w:t xml:space="preserve">qui est </w:t>
      </w:r>
      <w:r w:rsidRPr="0026653F">
        <w:rPr>
          <w:bCs/>
          <w:szCs w:val="22"/>
          <w:lang w:val="fr-FR"/>
        </w:rPr>
        <w:t>reconnu à l’article XIX de la Déclaration américaine des droits et devoirs de l’homme et à l’article 20 de la Convention américaine relative aux droits de l’homme, et que l’apatridie est un problème humanitaire sérieux, qui doit être éliminé,</w:t>
      </w:r>
    </w:p>
    <w:p w14:paraId="7CC98E8E" w14:textId="77777777" w:rsidR="000A6BE0" w:rsidRPr="0026653F" w:rsidRDefault="000A6BE0" w:rsidP="00C618DD">
      <w:pPr>
        <w:suppressAutoHyphens/>
        <w:rPr>
          <w:bCs/>
          <w:szCs w:val="22"/>
          <w:lang w:val="fr-FR"/>
        </w:rPr>
      </w:pPr>
    </w:p>
    <w:p w14:paraId="5B6ED04D" w14:textId="1F2A9BAF" w:rsidR="000A6BE0" w:rsidRPr="0026653F" w:rsidRDefault="000A6BE0" w:rsidP="00C618DD">
      <w:pPr>
        <w:suppressAutoHyphens/>
        <w:ind w:firstLine="720"/>
        <w:rPr>
          <w:bCs/>
          <w:szCs w:val="22"/>
          <w:lang w:val="fr-FR"/>
        </w:rPr>
      </w:pPr>
      <w:r w:rsidRPr="0026653F">
        <w:rPr>
          <w:bCs/>
          <w:szCs w:val="22"/>
          <w:lang w:val="fr-FR"/>
        </w:rPr>
        <w:t xml:space="preserve">CONSIDÉRANT les objectifs et cibles du Programme de développement durable à l’horizon 2030 relatifs au droit à la nationalité, ainsi qu’à la prévention et à l’élimination de l’apatridie, comme l’objectif 16 : Promouvoir l’avènement de sociétés </w:t>
      </w:r>
      <w:r w:rsidR="003C56A2" w:rsidRPr="0026653F">
        <w:rPr>
          <w:bCs/>
          <w:szCs w:val="22"/>
          <w:lang w:val="fr-FR"/>
        </w:rPr>
        <w:t xml:space="preserve">justes, </w:t>
      </w:r>
      <w:r w:rsidRPr="0026653F">
        <w:rPr>
          <w:bCs/>
          <w:szCs w:val="22"/>
          <w:lang w:val="fr-FR"/>
        </w:rPr>
        <w:t xml:space="preserve">pacifiques et inclusives, qui comprend la cible 16.9, </w:t>
      </w:r>
      <w:r w:rsidR="00477BB1" w:rsidRPr="0026653F">
        <w:rPr>
          <w:bCs/>
          <w:szCs w:val="22"/>
          <w:lang w:val="fr-FR"/>
        </w:rPr>
        <w:t>« </w:t>
      </w:r>
      <w:r w:rsidR="00AE7816" w:rsidRPr="0026653F">
        <w:rPr>
          <w:bCs/>
          <w:szCs w:val="22"/>
          <w:lang w:val="fr-FR"/>
        </w:rPr>
        <w:t xml:space="preserve">[d]’ici à 2030, </w:t>
      </w:r>
      <w:r w:rsidRPr="0026653F">
        <w:rPr>
          <w:bCs/>
          <w:szCs w:val="22"/>
          <w:lang w:val="fr-FR"/>
        </w:rPr>
        <w:t>garantir à tous une identité juridique, notamment grâce à l’enregistrement des naissances</w:t>
      </w:r>
      <w:r w:rsidR="00477BB1" w:rsidRPr="0026653F">
        <w:rPr>
          <w:bCs/>
          <w:szCs w:val="22"/>
          <w:lang w:val="fr-FR"/>
        </w:rPr>
        <w:t> » ;</w:t>
      </w:r>
      <w:r w:rsidRPr="0026653F">
        <w:rPr>
          <w:bCs/>
          <w:szCs w:val="22"/>
          <w:lang w:val="fr-FR"/>
        </w:rPr>
        <w:t xml:space="preserve"> l’objectif 5 : Parvenir à l’égalité des sexes et autonomiser toutes les femmes et les filles, qui comprend la cible 5.1, </w:t>
      </w:r>
      <w:r w:rsidR="00477BB1" w:rsidRPr="0026653F">
        <w:rPr>
          <w:bCs/>
          <w:szCs w:val="22"/>
          <w:lang w:val="fr-FR"/>
        </w:rPr>
        <w:t>« </w:t>
      </w:r>
      <w:r w:rsidRPr="0026653F">
        <w:rPr>
          <w:bCs/>
          <w:szCs w:val="22"/>
          <w:lang w:val="fr-FR"/>
        </w:rPr>
        <w:t xml:space="preserve">[m]ettre fin, </w:t>
      </w:r>
      <w:r w:rsidR="00AE7816" w:rsidRPr="0026653F">
        <w:rPr>
          <w:bCs/>
          <w:szCs w:val="22"/>
          <w:lang w:val="fr-FR"/>
        </w:rPr>
        <w:t>partout dans le monde</w:t>
      </w:r>
      <w:r w:rsidRPr="0026653F">
        <w:rPr>
          <w:bCs/>
          <w:szCs w:val="22"/>
          <w:lang w:val="fr-FR"/>
        </w:rPr>
        <w:t>, à toutes les formes de discrimination à l’égard des femmes et des filles</w:t>
      </w:r>
      <w:r w:rsidR="00477BB1" w:rsidRPr="0026653F">
        <w:rPr>
          <w:bCs/>
          <w:szCs w:val="22"/>
          <w:lang w:val="fr-FR"/>
        </w:rPr>
        <w:t> » ;</w:t>
      </w:r>
      <w:r w:rsidRPr="0026653F">
        <w:rPr>
          <w:bCs/>
          <w:szCs w:val="22"/>
          <w:lang w:val="fr-FR"/>
        </w:rPr>
        <w:t xml:space="preserve"> et l’objectif 10 : Réduire les inégalités dans les pays et d’un pays à l’autre, qui comprend la cible 10.3</w:t>
      </w:r>
      <w:r w:rsidR="00477BB1" w:rsidRPr="0026653F">
        <w:rPr>
          <w:bCs/>
          <w:szCs w:val="22"/>
          <w:lang w:val="fr-FR"/>
        </w:rPr>
        <w:t>,</w:t>
      </w:r>
      <w:r w:rsidRPr="0026653F">
        <w:rPr>
          <w:bCs/>
          <w:szCs w:val="22"/>
          <w:lang w:val="fr-FR"/>
        </w:rPr>
        <w:t xml:space="preserve"> </w:t>
      </w:r>
      <w:r w:rsidR="00477BB1" w:rsidRPr="0026653F">
        <w:rPr>
          <w:bCs/>
          <w:szCs w:val="22"/>
          <w:lang w:val="fr-FR"/>
        </w:rPr>
        <w:t>« </w:t>
      </w:r>
      <w:r w:rsidRPr="0026653F">
        <w:rPr>
          <w:bCs/>
          <w:szCs w:val="22"/>
          <w:lang w:val="fr-FR"/>
        </w:rPr>
        <w:t>[a]ssurer l’égalité des chances et réduire l’inégalité des résultats, notamment en éliminant les lois, politiques et pratiques discriminatoires</w:t>
      </w:r>
      <w:r w:rsidR="00477BB1" w:rsidRPr="0026653F">
        <w:rPr>
          <w:bCs/>
          <w:szCs w:val="22"/>
          <w:lang w:val="fr-FR"/>
        </w:rPr>
        <w:t> »</w:t>
      </w:r>
      <w:r w:rsidRPr="0026653F">
        <w:rPr>
          <w:bCs/>
          <w:szCs w:val="22"/>
          <w:lang w:val="fr-FR"/>
        </w:rPr>
        <w:t>,</w:t>
      </w:r>
    </w:p>
    <w:p w14:paraId="4539F769" w14:textId="77777777" w:rsidR="000A6BE0" w:rsidRPr="00C04774" w:rsidRDefault="000A6BE0" w:rsidP="00C618DD">
      <w:pPr>
        <w:suppressAutoHyphens/>
        <w:rPr>
          <w:szCs w:val="22"/>
          <w:lang w:val="fr-FR"/>
        </w:rPr>
      </w:pPr>
    </w:p>
    <w:p w14:paraId="5BD53E06" w14:textId="2DE8E47C" w:rsidR="000A6BE0" w:rsidRPr="0026653F" w:rsidRDefault="000A6BE0" w:rsidP="00C618DD">
      <w:pPr>
        <w:suppressAutoHyphens/>
        <w:ind w:firstLine="720"/>
        <w:rPr>
          <w:bCs/>
          <w:szCs w:val="22"/>
          <w:lang w:val="fr-FR"/>
        </w:rPr>
      </w:pPr>
      <w:r w:rsidRPr="0026653F">
        <w:rPr>
          <w:bCs/>
          <w:szCs w:val="22"/>
          <w:lang w:val="fr-FR"/>
        </w:rPr>
        <w:t xml:space="preserve">SOULIGNANT la validité du Plan d’action </w:t>
      </w:r>
      <w:r w:rsidR="00477BB1" w:rsidRPr="0026653F">
        <w:rPr>
          <w:bCs/>
          <w:szCs w:val="22"/>
          <w:lang w:val="fr-FR"/>
        </w:rPr>
        <w:t>global</w:t>
      </w:r>
      <w:r w:rsidRPr="0026653F">
        <w:rPr>
          <w:bCs/>
          <w:szCs w:val="22"/>
          <w:lang w:val="fr-FR"/>
        </w:rPr>
        <w:t xml:space="preserve"> </w:t>
      </w:r>
      <w:r w:rsidR="00477BB1" w:rsidRPr="0026653F">
        <w:rPr>
          <w:bCs/>
          <w:szCs w:val="22"/>
          <w:lang w:val="fr-FR"/>
        </w:rPr>
        <w:t xml:space="preserve">visant à </w:t>
      </w:r>
      <w:r w:rsidRPr="0026653F">
        <w:rPr>
          <w:bCs/>
          <w:szCs w:val="22"/>
          <w:lang w:val="fr-FR"/>
        </w:rPr>
        <w:t xml:space="preserve">mettre fin à l’apatridie (2014-2024), du </w:t>
      </w:r>
      <w:r w:rsidR="00914C67" w:rsidRPr="0026653F">
        <w:rPr>
          <w:color w:val="000000"/>
          <w:szCs w:val="22"/>
          <w:lang w:val="fr-FR"/>
        </w:rPr>
        <w:t>Plan d’action du Brésil : Une feuille de route visant à renforcer la protection et promouvoir des solutions durables pour les réfugiés, personnes déplacées et apatrides en Amérique latine et aux Caraïbes dans un cadre de coopération et de solidarité (Plan d’action du Brésil), de 2014,</w:t>
      </w:r>
      <w:r w:rsidRPr="0026653F">
        <w:rPr>
          <w:bCs/>
          <w:szCs w:val="22"/>
          <w:lang w:val="fr-FR"/>
        </w:rPr>
        <w:t xml:space="preserve"> ainsi que les engagements </w:t>
      </w:r>
      <w:r w:rsidR="00477BB1" w:rsidRPr="0026653F">
        <w:rPr>
          <w:bCs/>
          <w:szCs w:val="22"/>
          <w:lang w:val="fr-FR"/>
        </w:rPr>
        <w:t xml:space="preserve">importants </w:t>
      </w:r>
      <w:r w:rsidRPr="0026653F">
        <w:rPr>
          <w:bCs/>
          <w:szCs w:val="22"/>
          <w:lang w:val="fr-FR"/>
        </w:rPr>
        <w:t xml:space="preserve">adoptés par les États membres dans le cadre du débat de haut niveau sur l’apatridie, tenu à Genève (Suisse) en octobre 2019, dans le but d’évaluer les réussites de la </w:t>
      </w:r>
      <w:r w:rsidR="00914C67" w:rsidRPr="0026653F">
        <w:rPr>
          <w:bCs/>
          <w:szCs w:val="22"/>
          <w:lang w:val="fr-FR"/>
        </w:rPr>
        <w:t>c</w:t>
      </w:r>
      <w:r w:rsidRPr="0026653F">
        <w:rPr>
          <w:bCs/>
          <w:szCs w:val="22"/>
          <w:lang w:val="fr-FR"/>
        </w:rPr>
        <w:t xml:space="preserve">ampagne </w:t>
      </w:r>
      <w:r w:rsidR="00F06D6C" w:rsidRPr="0026653F">
        <w:rPr>
          <w:bCs/>
          <w:szCs w:val="22"/>
          <w:lang w:val="fr-FR"/>
        </w:rPr>
        <w:t xml:space="preserve">mondiale </w:t>
      </w:r>
      <w:r w:rsidR="00914C67" w:rsidRPr="0026653F">
        <w:rPr>
          <w:bCs/>
          <w:szCs w:val="22"/>
          <w:lang w:val="fr-FR"/>
        </w:rPr>
        <w:t xml:space="preserve">#IBelong </w:t>
      </w:r>
      <w:r w:rsidRPr="0026653F">
        <w:rPr>
          <w:bCs/>
          <w:szCs w:val="22"/>
          <w:lang w:val="fr-FR"/>
        </w:rPr>
        <w:t>et d’identifier les défis qui se dressent et les mesures à prendre pour en atteindre les cibles cinq ans après son adoption,</w:t>
      </w:r>
    </w:p>
    <w:p w14:paraId="1EB965F1" w14:textId="77777777" w:rsidR="000A6BE0" w:rsidRPr="0026653F" w:rsidRDefault="000A6BE0" w:rsidP="00C618DD">
      <w:pPr>
        <w:suppressAutoHyphens/>
        <w:rPr>
          <w:bCs/>
          <w:szCs w:val="22"/>
          <w:lang w:val="fr-FR"/>
        </w:rPr>
      </w:pPr>
    </w:p>
    <w:p w14:paraId="49888865" w14:textId="77777777" w:rsidR="000A6BE0" w:rsidRPr="0026653F" w:rsidRDefault="000A6BE0" w:rsidP="00C618DD">
      <w:pPr>
        <w:keepNext/>
        <w:suppressAutoHyphens/>
        <w:rPr>
          <w:bCs/>
          <w:szCs w:val="22"/>
          <w:lang w:val="fr-FR"/>
        </w:rPr>
      </w:pPr>
      <w:r w:rsidRPr="0026653F">
        <w:rPr>
          <w:bCs/>
          <w:szCs w:val="22"/>
          <w:lang w:val="fr-FR"/>
        </w:rPr>
        <w:t>DÉCIDE :</w:t>
      </w:r>
    </w:p>
    <w:p w14:paraId="15E56D3A" w14:textId="77777777" w:rsidR="000A6BE0" w:rsidRPr="0026653F" w:rsidRDefault="000A6BE0" w:rsidP="00C618DD">
      <w:pPr>
        <w:keepNext/>
        <w:suppressAutoHyphens/>
        <w:rPr>
          <w:bCs/>
          <w:szCs w:val="22"/>
          <w:lang w:val="fr-FR"/>
        </w:rPr>
      </w:pPr>
    </w:p>
    <w:p w14:paraId="1D9BF814" w14:textId="274C4EB8" w:rsidR="000A6BE0" w:rsidRPr="0026653F" w:rsidRDefault="000A6BE0" w:rsidP="00C618DD">
      <w:pPr>
        <w:suppressAutoHyphens/>
        <w:ind w:firstLine="720"/>
        <w:rPr>
          <w:bCs/>
          <w:szCs w:val="22"/>
          <w:lang w:val="fr-FR"/>
        </w:rPr>
      </w:pPr>
      <w:r w:rsidRPr="0026653F">
        <w:rPr>
          <w:bCs/>
          <w:szCs w:val="22"/>
          <w:lang w:val="fr-FR"/>
        </w:rPr>
        <w:t>1.</w:t>
      </w:r>
      <w:r w:rsidRPr="0026653F">
        <w:rPr>
          <w:bCs/>
          <w:szCs w:val="22"/>
          <w:lang w:val="fr-FR"/>
        </w:rPr>
        <w:tab/>
        <w:t xml:space="preserve">De réaffirmer l’engagement des États membres en faveur de la prévention et de l’élimination de l’apatridie dans les Amériques, et d’inviter les États membres à poursuivre la mise en œuvre des mesures prévues dans le Plan d’action </w:t>
      </w:r>
      <w:r w:rsidR="00477BB1" w:rsidRPr="0026653F">
        <w:rPr>
          <w:bCs/>
          <w:szCs w:val="22"/>
          <w:lang w:val="fr-FR"/>
        </w:rPr>
        <w:t>global</w:t>
      </w:r>
      <w:r w:rsidRPr="0026653F">
        <w:rPr>
          <w:bCs/>
          <w:szCs w:val="22"/>
          <w:lang w:val="fr-FR"/>
        </w:rPr>
        <w:t xml:space="preserve"> </w:t>
      </w:r>
      <w:r w:rsidR="00477BB1" w:rsidRPr="0026653F">
        <w:rPr>
          <w:bCs/>
          <w:szCs w:val="22"/>
          <w:lang w:val="fr-FR"/>
        </w:rPr>
        <w:t xml:space="preserve">visant à </w:t>
      </w:r>
      <w:r w:rsidRPr="0026653F">
        <w:rPr>
          <w:bCs/>
          <w:szCs w:val="22"/>
          <w:lang w:val="fr-FR"/>
        </w:rPr>
        <w:t>mettre fin à l’apatridie (2014-2024), dans le Plan d’action du Brésil de 2014, et en appuyant la campagne mondiale #I</w:t>
      </w:r>
      <w:r w:rsidR="00F06D6C" w:rsidRPr="0026653F">
        <w:rPr>
          <w:bCs/>
          <w:szCs w:val="22"/>
          <w:lang w:val="fr-FR"/>
        </w:rPr>
        <w:t>B</w:t>
      </w:r>
      <w:r w:rsidRPr="0026653F">
        <w:rPr>
          <w:bCs/>
          <w:szCs w:val="22"/>
          <w:lang w:val="fr-FR"/>
        </w:rPr>
        <w:t>elong pour éliminer l’apatridie en 2024, ayant à sa tête le Haut-Commissariat des Nations Unies pour les réfugiés, de même que les engagements et initiatives adoptés dans le cadre du débat de haut niveau sur l’apatridie</w:t>
      </w:r>
      <w:r w:rsidR="00914C67" w:rsidRPr="0026653F">
        <w:rPr>
          <w:bCs/>
          <w:szCs w:val="22"/>
          <w:lang w:val="fr-FR"/>
        </w:rPr>
        <w:t xml:space="preserve"> tenu en</w:t>
      </w:r>
      <w:r w:rsidR="009404E2" w:rsidRPr="0026653F">
        <w:rPr>
          <w:bCs/>
          <w:szCs w:val="22"/>
          <w:lang w:val="fr-FR"/>
        </w:rPr>
        <w:t xml:space="preserve"> </w:t>
      </w:r>
      <w:r w:rsidRPr="0026653F">
        <w:rPr>
          <w:bCs/>
          <w:szCs w:val="22"/>
          <w:lang w:val="fr-FR"/>
        </w:rPr>
        <w:t>2019.</w:t>
      </w:r>
    </w:p>
    <w:p w14:paraId="0388DEFA" w14:textId="77777777" w:rsidR="000A6BE0" w:rsidRPr="0026653F" w:rsidRDefault="000A6BE0" w:rsidP="00C618DD">
      <w:pPr>
        <w:suppressAutoHyphens/>
        <w:rPr>
          <w:bCs/>
          <w:szCs w:val="22"/>
          <w:lang w:val="fr-FR"/>
        </w:rPr>
      </w:pPr>
    </w:p>
    <w:p w14:paraId="34DEC9C7" w14:textId="19D0C083" w:rsidR="000A6BE0" w:rsidRPr="0026653F" w:rsidRDefault="000A6BE0" w:rsidP="00C618DD">
      <w:pPr>
        <w:suppressAutoHyphens/>
        <w:ind w:firstLine="720"/>
        <w:rPr>
          <w:bCs/>
          <w:szCs w:val="22"/>
          <w:lang w:val="fr-FR"/>
        </w:rPr>
      </w:pPr>
      <w:r w:rsidRPr="0026653F">
        <w:rPr>
          <w:bCs/>
          <w:szCs w:val="22"/>
          <w:lang w:val="fr-FR"/>
        </w:rPr>
        <w:t>2.</w:t>
      </w:r>
      <w:r w:rsidRPr="0026653F">
        <w:rPr>
          <w:bCs/>
          <w:szCs w:val="22"/>
          <w:lang w:val="fr-FR"/>
        </w:rPr>
        <w:tab/>
        <w:t xml:space="preserve">D’inviter les États membres qui ne </w:t>
      </w:r>
      <w:r w:rsidR="000271C9" w:rsidRPr="0026653F">
        <w:rPr>
          <w:bCs/>
          <w:szCs w:val="22"/>
          <w:lang w:val="fr-FR"/>
        </w:rPr>
        <w:t>l’ont</w:t>
      </w:r>
      <w:r w:rsidRPr="0026653F">
        <w:rPr>
          <w:bCs/>
          <w:szCs w:val="22"/>
          <w:lang w:val="fr-FR"/>
        </w:rPr>
        <w:t xml:space="preserve"> pas encore fait à envisager de ratifier les conventions internationales sur l’apatridie ou d’y adhérer, le cas échéant, et à adopter ou à modifier leurs règlements internes, selon le besoin, pour établir des procédures justes et efficientes </w:t>
      </w:r>
      <w:r w:rsidR="000271C9" w:rsidRPr="0026653F">
        <w:rPr>
          <w:bCs/>
          <w:szCs w:val="22"/>
          <w:lang w:val="fr-FR"/>
        </w:rPr>
        <w:t>visant à</w:t>
      </w:r>
      <w:r w:rsidRPr="0026653F">
        <w:rPr>
          <w:bCs/>
          <w:szCs w:val="22"/>
          <w:lang w:val="fr-FR"/>
        </w:rPr>
        <w:t xml:space="preserve"> déterminer l’apatridie et </w:t>
      </w:r>
      <w:r w:rsidR="000271C9" w:rsidRPr="0026653F">
        <w:rPr>
          <w:bCs/>
          <w:szCs w:val="22"/>
          <w:lang w:val="fr-FR"/>
        </w:rPr>
        <w:t xml:space="preserve">à </w:t>
      </w:r>
      <w:r w:rsidRPr="0026653F">
        <w:rPr>
          <w:bCs/>
          <w:szCs w:val="22"/>
          <w:lang w:val="fr-FR"/>
        </w:rPr>
        <w:t>accorder des moyens pour la naturalisation des personnes apatrides en accord avec la législation interne de chaque pays et le droit international.</w:t>
      </w:r>
    </w:p>
    <w:p w14:paraId="61EFB088" w14:textId="77777777" w:rsidR="000A6BE0" w:rsidRPr="0026653F" w:rsidRDefault="000A6BE0" w:rsidP="00C618DD">
      <w:pPr>
        <w:suppressAutoHyphens/>
        <w:rPr>
          <w:bCs/>
          <w:szCs w:val="22"/>
          <w:lang w:val="fr-FR"/>
        </w:rPr>
      </w:pPr>
    </w:p>
    <w:p w14:paraId="4354380F" w14:textId="074E5346" w:rsidR="000A6BE0" w:rsidRPr="00C04774" w:rsidRDefault="000A6BE0" w:rsidP="00C618DD">
      <w:pPr>
        <w:suppressAutoHyphens/>
        <w:ind w:firstLine="720"/>
        <w:rPr>
          <w:iCs/>
          <w:szCs w:val="22"/>
          <w:lang w:val="fr-FR"/>
        </w:rPr>
      </w:pPr>
      <w:r w:rsidRPr="0026653F">
        <w:rPr>
          <w:bCs/>
          <w:szCs w:val="22"/>
          <w:lang w:val="fr-FR"/>
        </w:rPr>
        <w:t>3.</w:t>
      </w:r>
      <w:r w:rsidRPr="0026653F">
        <w:rPr>
          <w:bCs/>
          <w:szCs w:val="22"/>
          <w:lang w:val="fr-FR"/>
        </w:rPr>
        <w:tab/>
        <w:t xml:space="preserve">D’exhorter les États membres qui ne </w:t>
      </w:r>
      <w:r w:rsidR="000271C9" w:rsidRPr="0026653F">
        <w:rPr>
          <w:bCs/>
          <w:szCs w:val="22"/>
          <w:lang w:val="fr-FR"/>
        </w:rPr>
        <w:t>l’ont</w:t>
      </w:r>
      <w:r w:rsidRPr="0026653F">
        <w:rPr>
          <w:bCs/>
          <w:szCs w:val="22"/>
          <w:lang w:val="fr-FR"/>
        </w:rPr>
        <w:t xml:space="preserve"> pas encore fait à éliminer la discrimination </w:t>
      </w:r>
      <w:r w:rsidR="000271C9" w:rsidRPr="0026653F">
        <w:rPr>
          <w:bCs/>
          <w:szCs w:val="22"/>
          <w:lang w:val="fr-FR"/>
        </w:rPr>
        <w:t xml:space="preserve">fondée sur le genre </w:t>
      </w:r>
      <w:r w:rsidRPr="0026653F">
        <w:rPr>
          <w:bCs/>
          <w:szCs w:val="22"/>
          <w:lang w:val="fr-FR"/>
        </w:rPr>
        <w:t xml:space="preserve">du régime juridique en ce qui concerne la nationalité, à élaborer des sauvegardes appropriées pour prévenir les cas d’apatridie, en particulier dans le cas des enfants, des adolescents et des groupes en situation de vulnérabilité, à promouvoir l’enregistrement universel des naissances, à accroître les efforts quand c’est nécessaire visant l’enregistrement des naissances survenues dans les zones frontalières, les territoires autochtones et les zones rurales difficilement accessibles et à résoudre les cas d’apatridie existants </w:t>
      </w:r>
      <w:r w:rsidR="009879A5" w:rsidRPr="0026653F">
        <w:rPr>
          <w:bCs/>
          <w:szCs w:val="22"/>
          <w:lang w:val="fr-FR"/>
        </w:rPr>
        <w:t xml:space="preserve">conformément à </w:t>
      </w:r>
      <w:r w:rsidRPr="0026653F">
        <w:rPr>
          <w:bCs/>
          <w:szCs w:val="22"/>
          <w:lang w:val="fr-FR"/>
        </w:rPr>
        <w:t>leurs engagements respectifs et à leurs obligations internationales en matière de droits, en particulier dans des situations qui découlent du déni et de la privation arbitraire de la nationalité.</w:t>
      </w:r>
    </w:p>
    <w:p w14:paraId="10F76B72" w14:textId="77777777" w:rsidR="000A6BE0" w:rsidRPr="0026653F" w:rsidRDefault="000A6BE0" w:rsidP="00C618DD">
      <w:pPr>
        <w:suppressAutoHyphens/>
        <w:rPr>
          <w:szCs w:val="22"/>
          <w:lang w:val="fr-FR"/>
        </w:rPr>
      </w:pPr>
    </w:p>
    <w:p w14:paraId="7EE1BFA3" w14:textId="40A34B43" w:rsidR="000A6BE0" w:rsidRPr="0026653F" w:rsidRDefault="000A6BE0" w:rsidP="00C618DD">
      <w:pPr>
        <w:suppressAutoHyphens/>
        <w:rPr>
          <w:szCs w:val="22"/>
          <w:lang w:val="fr-FR"/>
        </w:rPr>
      </w:pPr>
      <w:r w:rsidRPr="0026653F">
        <w:rPr>
          <w:szCs w:val="22"/>
          <w:lang w:val="fr-FR"/>
        </w:rPr>
        <w:t>iv.</w:t>
      </w:r>
      <w:r w:rsidRPr="0026653F">
        <w:rPr>
          <w:szCs w:val="22"/>
          <w:lang w:val="fr-FR"/>
        </w:rPr>
        <w:tab/>
      </w:r>
      <w:r w:rsidRPr="0026653F">
        <w:rPr>
          <w:szCs w:val="22"/>
          <w:u w:val="single"/>
          <w:lang w:val="fr-FR"/>
        </w:rPr>
        <w:t>Enregistrement universel de l’état civil et droit à l’identité</w:t>
      </w:r>
      <w:r w:rsidR="00767721" w:rsidRPr="00767721">
        <w:rPr>
          <w:szCs w:val="22"/>
          <w:vertAlign w:val="superscript"/>
          <w:lang w:val="fr-FR"/>
        </w:rPr>
        <w:t xml:space="preserve"> </w:t>
      </w:r>
      <w:r w:rsidRPr="0026653F">
        <w:rPr>
          <w:szCs w:val="22"/>
          <w:u w:val="single"/>
          <w:vertAlign w:val="superscript"/>
          <w:lang w:val="fr-FR" w:eastAsia="es-ES"/>
        </w:rPr>
        <w:footnoteReference w:id="80"/>
      </w:r>
      <w:r w:rsidRPr="0026653F">
        <w:rPr>
          <w:color w:val="000000"/>
          <w:szCs w:val="22"/>
          <w:vertAlign w:val="superscript"/>
          <w:lang w:val="fr-FR" w:eastAsia="es-ES"/>
        </w:rPr>
        <w:t>/</w:t>
      </w:r>
    </w:p>
    <w:p w14:paraId="3581DE81" w14:textId="77777777" w:rsidR="000A6BE0" w:rsidRPr="0026653F" w:rsidRDefault="000A6BE0" w:rsidP="00C618DD">
      <w:pPr>
        <w:suppressAutoHyphens/>
        <w:rPr>
          <w:szCs w:val="22"/>
          <w:lang w:val="fr-FR"/>
        </w:rPr>
      </w:pPr>
    </w:p>
    <w:p w14:paraId="5241D24E" w14:textId="07790137" w:rsidR="000A6BE0" w:rsidRPr="0026653F" w:rsidRDefault="000A6BE0" w:rsidP="00C618DD">
      <w:pPr>
        <w:suppressAutoHyphens/>
        <w:ind w:firstLine="720"/>
        <w:rPr>
          <w:szCs w:val="22"/>
          <w:lang w:val="fr-FR"/>
        </w:rPr>
      </w:pPr>
      <w:r w:rsidRPr="0026653F">
        <w:rPr>
          <w:szCs w:val="22"/>
          <w:lang w:val="fr-FR"/>
        </w:rPr>
        <w:t xml:space="preserve">CONSIDÉRANT que la reconnaissance de l’identité des personnes facilite l’exercice des droits au nom, à la nationalité, à </w:t>
      </w:r>
      <w:r w:rsidR="000271C9" w:rsidRPr="0026653F">
        <w:rPr>
          <w:szCs w:val="22"/>
          <w:lang w:val="fr-FR"/>
        </w:rPr>
        <w:t>l’inscription</w:t>
      </w:r>
      <w:r w:rsidRPr="0026653F">
        <w:rPr>
          <w:szCs w:val="22"/>
          <w:lang w:val="fr-FR"/>
        </w:rPr>
        <w:t xml:space="preserve"> dans le registre d</w:t>
      </w:r>
      <w:r w:rsidR="000271C9" w:rsidRPr="0026653F">
        <w:rPr>
          <w:szCs w:val="22"/>
          <w:lang w:val="fr-FR"/>
        </w:rPr>
        <w:t>’</w:t>
      </w:r>
      <w:r w:rsidRPr="0026653F">
        <w:rPr>
          <w:szCs w:val="22"/>
          <w:lang w:val="fr-FR"/>
        </w:rPr>
        <w:t xml:space="preserve">état civil, aux relations familiales, à la personnalité </w:t>
      </w:r>
      <w:r w:rsidR="000271C9" w:rsidRPr="0026653F">
        <w:rPr>
          <w:szCs w:val="22"/>
          <w:lang w:val="fr-FR"/>
        </w:rPr>
        <w:t>morale</w:t>
      </w:r>
      <w:r w:rsidRPr="0026653F">
        <w:rPr>
          <w:szCs w:val="22"/>
          <w:lang w:val="fr-FR"/>
        </w:rPr>
        <w:t>, entre autres droits reconnus dans des instruments internationaux comme la Déclaration américaine des droits et devoirs de l’homme et la Convention américaine relative aux droits de la personne</w:t>
      </w:r>
      <w:r w:rsidR="000271C9" w:rsidRPr="0026653F">
        <w:rPr>
          <w:szCs w:val="22"/>
          <w:lang w:val="fr-FR"/>
        </w:rPr>
        <w:t>,</w:t>
      </w:r>
      <w:r w:rsidRPr="0026653F">
        <w:rPr>
          <w:szCs w:val="22"/>
          <w:lang w:val="fr-FR"/>
        </w:rPr>
        <w:t xml:space="preserve"> et </w:t>
      </w:r>
      <w:r w:rsidR="000271C9" w:rsidRPr="0026653F">
        <w:rPr>
          <w:szCs w:val="22"/>
          <w:lang w:val="fr-FR"/>
        </w:rPr>
        <w:t xml:space="preserve">considérant par ailleurs </w:t>
      </w:r>
      <w:r w:rsidRPr="0026653F">
        <w:rPr>
          <w:szCs w:val="22"/>
          <w:lang w:val="fr-FR"/>
        </w:rPr>
        <w:t>que l’exercice de ces droits est essentiel à la consolidation de toute société démocratique,</w:t>
      </w:r>
    </w:p>
    <w:p w14:paraId="422DD333" w14:textId="77777777" w:rsidR="000A6BE0" w:rsidRPr="0026653F" w:rsidRDefault="000A6BE0" w:rsidP="00C618DD">
      <w:pPr>
        <w:suppressAutoHyphens/>
        <w:rPr>
          <w:szCs w:val="22"/>
          <w:lang w:val="fr-FR"/>
        </w:rPr>
      </w:pPr>
    </w:p>
    <w:p w14:paraId="39C251EB" w14:textId="2D70475A" w:rsidR="000271C9" w:rsidRPr="0026653F" w:rsidRDefault="000A6BE0" w:rsidP="00C618DD">
      <w:pPr>
        <w:ind w:right="58" w:firstLine="720"/>
        <w:contextualSpacing/>
        <w:rPr>
          <w:color w:val="000000"/>
          <w:szCs w:val="22"/>
          <w:lang w:val="fr-FR"/>
        </w:rPr>
      </w:pPr>
      <w:r w:rsidRPr="0026653F">
        <w:rPr>
          <w:szCs w:val="22"/>
          <w:lang w:val="fr-FR"/>
        </w:rPr>
        <w:t xml:space="preserve">CONSIDÉRANT </w:t>
      </w:r>
      <w:r w:rsidR="000271C9" w:rsidRPr="0026653F">
        <w:rPr>
          <w:color w:val="000000"/>
          <w:szCs w:val="22"/>
          <w:lang w:val="fr-FR"/>
        </w:rPr>
        <w:t>ÉGALEMENT que l’objectif 16 du Programme de développement durable à l’horizon 2030, « [p]romouvoir l’avènement de sociétés pacifiques et inclusives… », inclut la cible 16.9, qui aborde précisément l’enregistrement des naissances et se lit comme suit :« [d]’ici à 2030, garantir à tous une identité juridique, notamment grâce à l’enregistrement des naissances »,</w:t>
      </w:r>
    </w:p>
    <w:p w14:paraId="3674FCA1" w14:textId="6ECD7ECF" w:rsidR="000A6BE0" w:rsidRPr="0026653F" w:rsidRDefault="000A6BE0" w:rsidP="00C04774">
      <w:pPr>
        <w:suppressAutoHyphens/>
        <w:rPr>
          <w:szCs w:val="22"/>
          <w:lang w:val="fr-FR"/>
        </w:rPr>
      </w:pPr>
    </w:p>
    <w:p w14:paraId="410C75D8" w14:textId="37D2ECD1" w:rsidR="000A6BE0" w:rsidRPr="0026653F" w:rsidRDefault="000A6BE0" w:rsidP="00C618DD">
      <w:pPr>
        <w:suppressAutoHyphens/>
        <w:autoSpaceDE w:val="0"/>
        <w:autoSpaceDN w:val="0"/>
        <w:adjustRightInd w:val="0"/>
        <w:ind w:firstLine="720"/>
        <w:rPr>
          <w:color w:val="000000"/>
          <w:szCs w:val="22"/>
          <w:lang w:val="fr-FR"/>
        </w:rPr>
      </w:pPr>
      <w:r w:rsidRPr="0026653F">
        <w:rPr>
          <w:color w:val="000000"/>
          <w:szCs w:val="22"/>
          <w:lang w:val="fr-FR"/>
        </w:rPr>
        <w:t xml:space="preserve">RENDANT hommage à la tâche réalisée par le Programme d’universalisation de l’identité civile dans les Amériques (PUICA) pour épauler les États membres dans le cadre des efforts qu’ils déploient pour réduire le sous-enregistrement des naissances dans la région et </w:t>
      </w:r>
      <w:r w:rsidR="009879A5" w:rsidRPr="0026653F">
        <w:rPr>
          <w:color w:val="000000"/>
          <w:szCs w:val="22"/>
          <w:lang w:val="fr-FR"/>
        </w:rPr>
        <w:t xml:space="preserve">en faveur de </w:t>
      </w:r>
      <w:r w:rsidRPr="0026653F">
        <w:rPr>
          <w:color w:val="000000"/>
          <w:szCs w:val="22"/>
          <w:lang w:val="fr-FR"/>
        </w:rPr>
        <w:t>la reconnaissance intégrale du droit à l’identité,</w:t>
      </w:r>
    </w:p>
    <w:p w14:paraId="4AF62463" w14:textId="77777777" w:rsidR="000271C9" w:rsidRPr="00C04774" w:rsidRDefault="000271C9" w:rsidP="00C04774">
      <w:pPr>
        <w:suppressAutoHyphens/>
        <w:autoSpaceDE w:val="0"/>
        <w:autoSpaceDN w:val="0"/>
        <w:adjustRightInd w:val="0"/>
        <w:rPr>
          <w:bCs/>
          <w:szCs w:val="22"/>
          <w:lang w:val="fr-FR"/>
        </w:rPr>
      </w:pPr>
    </w:p>
    <w:p w14:paraId="1611B2A4" w14:textId="66EF779A" w:rsidR="000A6BE0" w:rsidRPr="0026653F" w:rsidRDefault="000A6BE0" w:rsidP="00C618DD">
      <w:pPr>
        <w:suppressAutoHyphens/>
        <w:autoSpaceDE w:val="0"/>
        <w:autoSpaceDN w:val="0"/>
        <w:adjustRightInd w:val="0"/>
        <w:ind w:firstLine="720"/>
        <w:rPr>
          <w:szCs w:val="22"/>
          <w:lang w:val="fr-FR" w:eastAsia="en-GB"/>
        </w:rPr>
      </w:pPr>
      <w:r w:rsidRPr="0026653F">
        <w:rPr>
          <w:szCs w:val="22"/>
          <w:lang w:val="fr-FR"/>
        </w:rPr>
        <w:t xml:space="preserve">RÉAFFIRMANT les efforts déployés par les États membres et leur engagement en ce qui concerne le renforcement de leurs systèmes d’enregistrement de l’état civil et la garantie à tous d’une identité juridique, de même que les engagements et initiatives adoptés dans le cadre du débat de haut niveau sur l’apatridie </w:t>
      </w:r>
      <w:r w:rsidR="00914C67" w:rsidRPr="0026653F">
        <w:rPr>
          <w:szCs w:val="22"/>
          <w:lang w:val="fr-FR"/>
        </w:rPr>
        <w:t>tenu en</w:t>
      </w:r>
      <w:r w:rsidRPr="0026653F">
        <w:rPr>
          <w:szCs w:val="22"/>
          <w:lang w:val="fr-FR"/>
        </w:rPr>
        <w:t xml:space="preserve"> 2019, y compris les engagements présentés par le Conseil latino-américain et des Caraïbes pour l’enregistrement de l’état civil, l’identification et les statistiques de l’état civil (CLARCIEV) dans le débat susmentionné ainsi que dans la Déclaration de Santiago sur l’innovation et la coopération pour combler les </w:t>
      </w:r>
      <w:r w:rsidR="00463532" w:rsidRPr="0026653F">
        <w:rPr>
          <w:szCs w:val="22"/>
          <w:lang w:val="fr-FR"/>
        </w:rPr>
        <w:t>écarts</w:t>
      </w:r>
      <w:r w:rsidRPr="0026653F">
        <w:rPr>
          <w:szCs w:val="22"/>
          <w:lang w:val="fr-FR"/>
        </w:rPr>
        <w:t xml:space="preserve"> en matière d’identité civile de 2019,</w:t>
      </w:r>
    </w:p>
    <w:p w14:paraId="3FFF08E2" w14:textId="77777777" w:rsidR="000A6BE0" w:rsidRPr="0026653F" w:rsidRDefault="000A6BE0" w:rsidP="00C618DD">
      <w:pPr>
        <w:suppressAutoHyphens/>
        <w:rPr>
          <w:color w:val="000000"/>
          <w:szCs w:val="22"/>
          <w:lang w:val="fr-FR"/>
        </w:rPr>
      </w:pPr>
    </w:p>
    <w:p w14:paraId="36048EA2" w14:textId="77777777" w:rsidR="000A6BE0" w:rsidRPr="0026653F" w:rsidRDefault="000A6BE0" w:rsidP="00C618DD">
      <w:pPr>
        <w:suppressAutoHyphens/>
        <w:rPr>
          <w:szCs w:val="22"/>
          <w:lang w:val="fr-FR"/>
        </w:rPr>
      </w:pPr>
      <w:r w:rsidRPr="0026653F">
        <w:rPr>
          <w:szCs w:val="22"/>
          <w:lang w:val="fr-FR"/>
        </w:rPr>
        <w:t>DÉCIDE :</w:t>
      </w:r>
    </w:p>
    <w:p w14:paraId="67E0B018" w14:textId="77777777" w:rsidR="000A6BE0" w:rsidRPr="0026653F" w:rsidRDefault="000A6BE0" w:rsidP="00C618DD">
      <w:pPr>
        <w:suppressAutoHyphens/>
        <w:rPr>
          <w:szCs w:val="22"/>
          <w:lang w:val="fr-FR"/>
        </w:rPr>
      </w:pPr>
    </w:p>
    <w:p w14:paraId="31D0815B" w14:textId="52B43C39" w:rsidR="000A6BE0" w:rsidRPr="0026653F" w:rsidRDefault="000A6BE0" w:rsidP="00C618DD">
      <w:pPr>
        <w:suppressAutoHyphens/>
        <w:rPr>
          <w:szCs w:val="22"/>
          <w:lang w:val="fr-FR"/>
        </w:rPr>
      </w:pPr>
      <w:r w:rsidRPr="0026653F">
        <w:rPr>
          <w:szCs w:val="22"/>
          <w:lang w:val="fr-FR"/>
        </w:rPr>
        <w:tab/>
        <w:t>1.</w:t>
      </w:r>
      <w:r w:rsidRPr="0026653F">
        <w:rPr>
          <w:szCs w:val="22"/>
          <w:lang w:val="fr-FR"/>
        </w:rPr>
        <w:tab/>
        <w:t xml:space="preserve">De charger le Secrétariat général de continuer, par le truchement de son </w:t>
      </w:r>
      <w:bookmarkStart w:id="62" w:name="_Hlk49949174"/>
      <w:r w:rsidRPr="0026653F">
        <w:rPr>
          <w:szCs w:val="22"/>
          <w:lang w:val="fr-FR"/>
        </w:rPr>
        <w:t>Programme d’universalisation de l’identité civile dans les Amériques (PUICA</w:t>
      </w:r>
      <w:bookmarkEnd w:id="62"/>
      <w:r w:rsidRPr="0026653F">
        <w:rPr>
          <w:szCs w:val="22"/>
          <w:lang w:val="fr-FR"/>
        </w:rPr>
        <w:t xml:space="preserve">) et du Conseil latino-américain et des Caraïbes pour l’enregistrement de l’état civil, l’identification et les statistiques de l’état civil (CLARCIEV), à offrir aux États membres qui en font la demande une assistance pour le renforcement de leurs systèmes d’enregistrement de l’état civil afin de promouvoir la protection et la garantie du droit à l’identité, de </w:t>
      </w:r>
      <w:r w:rsidR="00463532" w:rsidRPr="0026653F">
        <w:rPr>
          <w:szCs w:val="22"/>
          <w:lang w:val="fr-FR"/>
        </w:rPr>
        <w:t xml:space="preserve">l’enregistrement </w:t>
      </w:r>
      <w:r w:rsidRPr="0026653F">
        <w:rPr>
          <w:szCs w:val="22"/>
          <w:lang w:val="fr-FR"/>
        </w:rPr>
        <w:t>universel des naissances, des décès et autres actes de l’état civil et l’interconnexion entre les systèmes d’enregistrement et les systèmes d’identité nationale, pour garantir à tous une identité juridique, et ainsi renforcer la protection des droits de la personne, en particulier ceux des populations dans des conditions de vulnérabilité, déplacées et / ou faisant l’objet de discrimination</w:t>
      </w:r>
      <w:r w:rsidR="00463532" w:rsidRPr="0026653F">
        <w:rPr>
          <w:szCs w:val="22"/>
          <w:lang w:val="fr-FR"/>
        </w:rPr>
        <w:t xml:space="preserve"> de par l’histoire</w:t>
      </w:r>
      <w:r w:rsidRPr="0026653F">
        <w:rPr>
          <w:szCs w:val="22"/>
          <w:lang w:val="fr-FR"/>
        </w:rPr>
        <w:t>, de même que prévenir et éliminer l’apatridie et permettre un accès universel et équitable aux services publics essentiels.</w:t>
      </w:r>
    </w:p>
    <w:p w14:paraId="26FF4478" w14:textId="77777777" w:rsidR="000A6BE0" w:rsidRPr="0026653F" w:rsidRDefault="000A6BE0" w:rsidP="00C618DD">
      <w:pPr>
        <w:suppressAutoHyphens/>
        <w:rPr>
          <w:szCs w:val="22"/>
          <w:lang w:val="fr-FR"/>
        </w:rPr>
      </w:pPr>
    </w:p>
    <w:p w14:paraId="29F28337" w14:textId="2AF65F68" w:rsidR="000A6BE0" w:rsidRPr="0026653F" w:rsidRDefault="000A6BE0" w:rsidP="00C618DD">
      <w:pPr>
        <w:suppressAutoHyphens/>
        <w:rPr>
          <w:szCs w:val="22"/>
          <w:lang w:val="fr-FR"/>
        </w:rPr>
      </w:pPr>
      <w:r w:rsidRPr="0026653F">
        <w:rPr>
          <w:szCs w:val="22"/>
          <w:lang w:val="fr-FR"/>
        </w:rPr>
        <w:tab/>
        <w:t>2.</w:t>
      </w:r>
      <w:r w:rsidRPr="0026653F">
        <w:rPr>
          <w:szCs w:val="22"/>
          <w:lang w:val="fr-FR"/>
        </w:rPr>
        <w:tab/>
        <w:t xml:space="preserve">De demander instamment à tous les États membres de promouvoir, conformément à leur législation nationale, l’accès </w:t>
      </w:r>
      <w:r w:rsidR="00463532" w:rsidRPr="0026653F">
        <w:rPr>
          <w:szCs w:val="22"/>
          <w:lang w:val="fr-FR"/>
        </w:rPr>
        <w:t>de</w:t>
      </w:r>
      <w:r w:rsidRPr="0026653F">
        <w:rPr>
          <w:szCs w:val="22"/>
          <w:lang w:val="fr-FR"/>
        </w:rPr>
        <w:t xml:space="preserve"> tout</w:t>
      </w:r>
      <w:r w:rsidR="00463532" w:rsidRPr="0026653F">
        <w:rPr>
          <w:szCs w:val="22"/>
          <w:lang w:val="fr-FR"/>
        </w:rPr>
        <w:t xml:space="preserve"> un chacun </w:t>
      </w:r>
      <w:r w:rsidRPr="0026653F">
        <w:rPr>
          <w:szCs w:val="22"/>
          <w:lang w:val="fr-FR"/>
        </w:rPr>
        <w:t>à des documents d’identité</w:t>
      </w:r>
      <w:r w:rsidR="00463532" w:rsidRPr="0026653F">
        <w:rPr>
          <w:szCs w:val="22"/>
          <w:lang w:val="fr-FR"/>
        </w:rPr>
        <w:t xml:space="preserve"> au moyen de </w:t>
      </w:r>
      <w:r w:rsidRPr="0026653F">
        <w:rPr>
          <w:szCs w:val="22"/>
          <w:lang w:val="fr-FR"/>
        </w:rPr>
        <w:t>la mise en œuvre de systèmes effectifs et interopérables d’enregistrement de l’état civil, d’identification et de statistiques de l’état civil, y compris des procédures simplifiées, gratuites</w:t>
      </w:r>
      <w:r w:rsidR="00463532" w:rsidRPr="0026653F">
        <w:rPr>
          <w:szCs w:val="22"/>
          <w:lang w:val="fr-FR"/>
        </w:rPr>
        <w:t xml:space="preserve"> et</w:t>
      </w:r>
      <w:r w:rsidRPr="0026653F">
        <w:rPr>
          <w:szCs w:val="22"/>
          <w:lang w:val="fr-FR"/>
        </w:rPr>
        <w:t xml:space="preserve"> non discriminatoires,</w:t>
      </w:r>
      <w:r w:rsidR="00463532" w:rsidRPr="0026653F">
        <w:rPr>
          <w:szCs w:val="22"/>
          <w:lang w:val="fr-FR"/>
        </w:rPr>
        <w:t xml:space="preserve"> soucieuses de </w:t>
      </w:r>
      <w:r w:rsidRPr="0026653F">
        <w:rPr>
          <w:szCs w:val="22"/>
          <w:lang w:val="fr-FR"/>
        </w:rPr>
        <w:t>la diversité culturelle, en prenant particulièrement soin de protéger les renseignements personnels et en appliquant une approche intégrale et différenciée, en tenant compte de la parité hommes-femmes, de l’âge et des droits.</w:t>
      </w:r>
    </w:p>
    <w:p w14:paraId="57A0A3BB" w14:textId="77777777" w:rsidR="000A6BE0" w:rsidRPr="0026653F" w:rsidRDefault="000A6BE0" w:rsidP="00C618DD">
      <w:pPr>
        <w:suppressAutoHyphens/>
        <w:rPr>
          <w:szCs w:val="22"/>
          <w:lang w:val="fr-FR"/>
        </w:rPr>
      </w:pPr>
    </w:p>
    <w:p w14:paraId="48B6131A" w14:textId="77777777" w:rsidR="000A6BE0" w:rsidRPr="0026653F" w:rsidRDefault="000A6BE0" w:rsidP="00C618DD">
      <w:pPr>
        <w:suppressAutoHyphens/>
        <w:rPr>
          <w:szCs w:val="22"/>
          <w:u w:val="single"/>
          <w:lang w:val="fr-FR"/>
        </w:rPr>
      </w:pPr>
      <w:r w:rsidRPr="0026653F">
        <w:rPr>
          <w:szCs w:val="22"/>
          <w:lang w:val="fr-FR"/>
        </w:rPr>
        <w:t>v.</w:t>
      </w:r>
      <w:r w:rsidRPr="0026653F">
        <w:rPr>
          <w:szCs w:val="22"/>
          <w:lang w:val="fr-FR"/>
        </w:rPr>
        <w:tab/>
      </w:r>
      <w:r w:rsidRPr="0026653F">
        <w:rPr>
          <w:szCs w:val="22"/>
          <w:u w:val="single"/>
          <w:lang w:val="fr-FR"/>
        </w:rPr>
        <w:t>Femmes et hommes défenseurs des droits de la personne</w:t>
      </w:r>
    </w:p>
    <w:p w14:paraId="0C07A1F1" w14:textId="77777777" w:rsidR="000A6BE0" w:rsidRPr="0026653F" w:rsidRDefault="000A6BE0" w:rsidP="00C618DD">
      <w:pPr>
        <w:suppressAutoHyphens/>
        <w:rPr>
          <w:szCs w:val="22"/>
          <w:lang w:val="fr-FR"/>
        </w:rPr>
      </w:pPr>
    </w:p>
    <w:p w14:paraId="6F1D0387" w14:textId="538B1624" w:rsidR="000A6BE0" w:rsidRPr="00767721" w:rsidRDefault="00B8327E" w:rsidP="00C618DD">
      <w:pPr>
        <w:suppressAutoHyphens/>
        <w:ind w:firstLine="720"/>
        <w:rPr>
          <w:bCs/>
          <w:iCs/>
          <w:szCs w:val="22"/>
          <w:lang w:val="fr-FR" w:eastAsia="es-ES"/>
        </w:rPr>
      </w:pPr>
      <w:r w:rsidRPr="0026653F">
        <w:rPr>
          <w:szCs w:val="22"/>
          <w:lang w:val="fr-FR"/>
        </w:rPr>
        <w:t>CONSIDÉRANT l</w:t>
      </w:r>
      <w:r w:rsidRPr="0026653F">
        <w:rPr>
          <w:szCs w:val="22"/>
          <w:lang w:val="fr-FR" w:eastAsia="es-ES"/>
        </w:rPr>
        <w:t xml:space="preserve">a préoccupation de longue date des États membres face à des situations qui empêchent ou compliquent la tâche qu’accomplissent dans les Amériques, aux plans national et régional </w:t>
      </w:r>
      <w:r w:rsidRPr="0026653F">
        <w:rPr>
          <w:szCs w:val="22"/>
          <w:lang w:val="fr-FR"/>
        </w:rPr>
        <w:t>[AG/RES. 1671 (XXIX-O/99)]</w:t>
      </w:r>
      <w:r w:rsidRPr="0026653F">
        <w:rPr>
          <w:szCs w:val="22"/>
          <w:lang w:val="fr-FR" w:eastAsia="es-ES"/>
        </w:rPr>
        <w:t xml:space="preserve">, les femmes et hommes défenseurs des droits de la personne, et le devoir qu’ont les États membres de respecter, protéger et garantir les droits fondamentaux de toutes les personnes, y compris le droit de défendre et de promouvoir les droits de la personne ;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la responsabilité et la réparation ainsi que la non-répétition face aux violations de droits, ou qui exercent toute autre activité de promotion des droits de la personne </w:t>
      </w:r>
      <w:r w:rsidRPr="0026653F">
        <w:rPr>
          <w:szCs w:val="22"/>
          <w:lang w:val="fr-FR"/>
        </w:rPr>
        <w:t>[</w:t>
      </w:r>
      <w:r w:rsidRPr="0026653F">
        <w:rPr>
          <w:bCs/>
          <w:color w:val="000000"/>
          <w:szCs w:val="22"/>
          <w:lang w:val="fr-FR" w:eastAsia="es-ES"/>
        </w:rPr>
        <w:t>AG/RES. 2908 (XLVII-O/17)]</w:t>
      </w:r>
      <w:r w:rsidRPr="0026653F">
        <w:rPr>
          <w:szCs w:val="22"/>
          <w:lang w:val="fr-FR"/>
        </w:rPr>
        <w:t>,</w:t>
      </w:r>
    </w:p>
    <w:p w14:paraId="0A9ED937" w14:textId="77777777" w:rsidR="00B8327E" w:rsidRPr="0026653F" w:rsidRDefault="00B8327E" w:rsidP="00C04774">
      <w:pPr>
        <w:suppressAutoHyphens/>
        <w:rPr>
          <w:szCs w:val="22"/>
          <w:lang w:val="fr-FR" w:eastAsia="es-ES"/>
        </w:rPr>
      </w:pPr>
    </w:p>
    <w:p w14:paraId="471D5744" w14:textId="77777777" w:rsidR="000A6BE0" w:rsidRPr="0026653F" w:rsidRDefault="000A6BE0" w:rsidP="00C618DD">
      <w:pPr>
        <w:keepNext/>
        <w:suppressAutoHyphens/>
        <w:rPr>
          <w:szCs w:val="22"/>
          <w:lang w:val="fr-FR"/>
        </w:rPr>
      </w:pPr>
      <w:r w:rsidRPr="0026653F">
        <w:rPr>
          <w:szCs w:val="22"/>
          <w:lang w:val="fr-FR"/>
        </w:rPr>
        <w:lastRenderedPageBreak/>
        <w:t>DÉCIDE :</w:t>
      </w:r>
    </w:p>
    <w:p w14:paraId="4BA9A40B" w14:textId="77777777" w:rsidR="000A6BE0" w:rsidRPr="0026653F" w:rsidRDefault="000A6BE0" w:rsidP="00C618DD">
      <w:pPr>
        <w:keepNext/>
        <w:suppressAutoHyphens/>
        <w:rPr>
          <w:szCs w:val="22"/>
          <w:lang w:val="fr-FR"/>
        </w:rPr>
      </w:pPr>
    </w:p>
    <w:p w14:paraId="460719C1" w14:textId="77777777" w:rsidR="000A6BE0" w:rsidRPr="0026653F" w:rsidRDefault="000A6BE0" w:rsidP="00C618DD">
      <w:pPr>
        <w:suppressAutoHyphens/>
        <w:ind w:firstLine="720"/>
        <w:rPr>
          <w:szCs w:val="22"/>
          <w:lang w:val="fr-FR"/>
        </w:rPr>
      </w:pPr>
      <w:r w:rsidRPr="0026653F">
        <w:rPr>
          <w:szCs w:val="22"/>
          <w:lang w:val="fr-FR"/>
        </w:rPr>
        <w:t>1.</w:t>
      </w:r>
      <w:r w:rsidRPr="0026653F">
        <w:rPr>
          <w:szCs w:val="22"/>
          <w:lang w:val="fr-FR"/>
        </w:rPr>
        <w:tab/>
        <w:t>De reconnaitre la tâche qu’effectuent, sur les plans local, national et régional, les femmes et hommes défenseurs des droits de la personne, ainsi que leur précieuse contribution à la promotion, au respect et à la protection des droits de la personne.</w:t>
      </w:r>
    </w:p>
    <w:p w14:paraId="1973E033" w14:textId="77777777" w:rsidR="00DA5753" w:rsidRPr="0026653F" w:rsidRDefault="00DA5753" w:rsidP="00C618DD">
      <w:pPr>
        <w:suppressAutoHyphens/>
        <w:rPr>
          <w:szCs w:val="22"/>
          <w:lang w:val="fr-FR"/>
        </w:rPr>
      </w:pPr>
    </w:p>
    <w:p w14:paraId="0D6CCB43" w14:textId="5D790A77" w:rsidR="000A6BE0" w:rsidRPr="00767721" w:rsidRDefault="000A6BE0" w:rsidP="00C618DD">
      <w:pPr>
        <w:suppressAutoHyphens/>
        <w:ind w:firstLine="720"/>
        <w:rPr>
          <w:iCs/>
          <w:szCs w:val="22"/>
          <w:lang w:val="fr-FR"/>
        </w:rPr>
      </w:pPr>
      <w:r w:rsidRPr="0026653F">
        <w:rPr>
          <w:szCs w:val="22"/>
          <w:lang w:val="fr-FR"/>
        </w:rPr>
        <w:t>2.</w:t>
      </w:r>
      <w:r w:rsidRPr="0026653F">
        <w:rPr>
          <w:b/>
          <w:szCs w:val="22"/>
          <w:lang w:val="fr-FR"/>
        </w:rPr>
        <w:tab/>
      </w:r>
      <w:r w:rsidRPr="0026653F">
        <w:rPr>
          <w:szCs w:val="22"/>
          <w:lang w:val="fr-FR"/>
        </w:rPr>
        <w:t>D</w:t>
      </w:r>
      <w:r w:rsidR="009879A5" w:rsidRPr="0026653F">
        <w:rPr>
          <w:szCs w:val="22"/>
          <w:lang w:val="fr-FR"/>
        </w:rPr>
        <w:t xml:space="preserve">’inviter </w:t>
      </w:r>
      <w:r w:rsidRPr="0026653F">
        <w:rPr>
          <w:szCs w:val="22"/>
          <w:lang w:val="fr-FR"/>
        </w:rPr>
        <w:t xml:space="preserve">instamment </w:t>
      </w:r>
      <w:r w:rsidR="009879A5" w:rsidRPr="0026653F">
        <w:rPr>
          <w:szCs w:val="22"/>
          <w:lang w:val="fr-FR"/>
        </w:rPr>
        <w:t xml:space="preserve">les </w:t>
      </w:r>
      <w:r w:rsidRPr="0026653F">
        <w:rPr>
          <w:szCs w:val="22"/>
          <w:lang w:val="fr-FR"/>
        </w:rPr>
        <w:t xml:space="preserve">États membres </w:t>
      </w:r>
      <w:r w:rsidR="009879A5" w:rsidRPr="0026653F">
        <w:rPr>
          <w:szCs w:val="22"/>
          <w:lang w:val="fr-FR"/>
        </w:rPr>
        <w:t xml:space="preserve">à </w:t>
      </w:r>
      <w:r w:rsidRPr="0026653F">
        <w:rPr>
          <w:szCs w:val="22"/>
          <w:lang w:val="fr-FR"/>
        </w:rPr>
        <w:t xml:space="preserve">incorporer et appliquer </w:t>
      </w:r>
      <w:r w:rsidRPr="0026653F">
        <w:rPr>
          <w:bCs/>
          <w:color w:val="000000" w:themeColor="text1"/>
          <w:szCs w:val="22"/>
          <w:lang w:val="fr-FR"/>
        </w:rPr>
        <w:t>des mesures de protection globale, y compris des protections différenciées et collectives ainsi qu’une perspective de parité hommes-femmes dans</w:t>
      </w:r>
      <w:r w:rsidRPr="0026653F">
        <w:rPr>
          <w:szCs w:val="22"/>
          <w:lang w:val="fr-FR"/>
        </w:rPr>
        <w:t xml:space="preserve"> les plans, les programmes et les politiques relatifs à la prévention de la violence contre des femmes et hommes défenseurs des droits de la personne, </w:t>
      </w:r>
      <w:r w:rsidRPr="0026653F">
        <w:rPr>
          <w:bCs/>
          <w:color w:val="000000" w:themeColor="text1"/>
          <w:szCs w:val="22"/>
          <w:lang w:val="fr-FR"/>
        </w:rPr>
        <w:t xml:space="preserve">y compris les communicateurs et les environnementalistes ainsi que de leurs familles </w:t>
      </w:r>
      <w:r w:rsidRPr="0026653F">
        <w:rPr>
          <w:szCs w:val="22"/>
          <w:lang w:val="fr-FR"/>
        </w:rPr>
        <w:t>et à leur protection, en accord avec la nouvelle réalité créée par la pandémie, afin que ces personnes puissent mener à bien leurs activités relatives aux droits humains en toute sécurité notamment pour garantir une protection effective des femmes défenseurs dans les Amériques</w:t>
      </w:r>
      <w:r w:rsidRPr="0026653F">
        <w:rPr>
          <w:szCs w:val="22"/>
          <w:lang w:val="fr-FR" w:eastAsia="es-ES_tradnl"/>
        </w:rPr>
        <w:t>.</w:t>
      </w:r>
    </w:p>
    <w:p w14:paraId="21BE8ECD" w14:textId="77777777" w:rsidR="000A6BE0" w:rsidRPr="0026653F" w:rsidRDefault="000A6BE0" w:rsidP="00C618DD">
      <w:pPr>
        <w:suppressAutoHyphens/>
        <w:rPr>
          <w:bCs/>
          <w:szCs w:val="22"/>
          <w:lang w:val="fr-FR"/>
        </w:rPr>
      </w:pPr>
    </w:p>
    <w:p w14:paraId="26791090" w14:textId="6EDF50C8" w:rsidR="000A6BE0" w:rsidRPr="00767721" w:rsidRDefault="000A6BE0" w:rsidP="00C618DD">
      <w:pPr>
        <w:suppressAutoHyphens/>
        <w:ind w:firstLine="720"/>
        <w:rPr>
          <w:bCs/>
          <w:szCs w:val="22"/>
          <w:lang w:val="fr-FR"/>
        </w:rPr>
      </w:pPr>
      <w:r w:rsidRPr="0026653F">
        <w:rPr>
          <w:szCs w:val="22"/>
          <w:lang w:val="fr-FR"/>
        </w:rPr>
        <w:t>3.</w:t>
      </w:r>
      <w:r w:rsidRPr="0026653F">
        <w:rPr>
          <w:szCs w:val="22"/>
          <w:lang w:val="fr-FR"/>
        </w:rPr>
        <w:tab/>
      </w:r>
      <w:r w:rsidRPr="0026653F">
        <w:rPr>
          <w:bCs/>
          <w:szCs w:val="22"/>
          <w:lang w:val="fr-FR"/>
        </w:rPr>
        <w:t xml:space="preserve">De condamner les différentes formes de violence et de discrimination, y compris les actes de représailles que subissent les femmes et hommes défenseurs des droits </w:t>
      </w:r>
      <w:r w:rsidRPr="0026653F">
        <w:rPr>
          <w:szCs w:val="22"/>
          <w:lang w:val="fr-FR"/>
        </w:rPr>
        <w:t>de la personne dans les Amériques,</w:t>
      </w:r>
      <w:r w:rsidRPr="0026653F">
        <w:rPr>
          <w:b/>
          <w:bCs/>
          <w:szCs w:val="22"/>
          <w:lang w:val="fr-FR"/>
        </w:rPr>
        <w:t xml:space="preserve"> </w:t>
      </w:r>
      <w:r w:rsidRPr="0026653F">
        <w:rPr>
          <w:bCs/>
          <w:szCs w:val="22"/>
          <w:lang w:val="fr-FR"/>
        </w:rPr>
        <w:t xml:space="preserve">ainsi que les actes qui, directement ou indirectement, </w:t>
      </w:r>
      <w:r w:rsidR="00A3262F" w:rsidRPr="0026653F">
        <w:rPr>
          <w:bCs/>
          <w:szCs w:val="22"/>
          <w:lang w:val="fr-FR"/>
        </w:rPr>
        <w:t>empêchent</w:t>
      </w:r>
      <w:r w:rsidRPr="0026653F">
        <w:rPr>
          <w:bCs/>
          <w:szCs w:val="22"/>
          <w:lang w:val="fr-FR"/>
        </w:rPr>
        <w:t xml:space="preserve"> ou gênent la réalisation de leurs activités en toute sécurité</w:t>
      </w:r>
      <w:r w:rsidR="00A3262F" w:rsidRPr="0026653F">
        <w:rPr>
          <w:bCs/>
          <w:szCs w:val="22"/>
          <w:lang w:val="fr-FR" w:eastAsia="es-ES_tradnl"/>
        </w:rPr>
        <w:t>, y compris dans le contexte de la pandémie de COVID-19.</w:t>
      </w:r>
    </w:p>
    <w:p w14:paraId="0D7D1FBC" w14:textId="77777777" w:rsidR="000A6BE0" w:rsidRPr="0026653F" w:rsidRDefault="000A6BE0" w:rsidP="00C618DD">
      <w:pPr>
        <w:suppressAutoHyphens/>
        <w:rPr>
          <w:szCs w:val="22"/>
          <w:lang w:val="fr-FR"/>
        </w:rPr>
      </w:pPr>
    </w:p>
    <w:p w14:paraId="14372459" w14:textId="77777777" w:rsidR="000A6BE0" w:rsidRPr="0026653F" w:rsidRDefault="000A6BE0" w:rsidP="00C618DD">
      <w:pPr>
        <w:suppressAutoHyphens/>
        <w:rPr>
          <w:szCs w:val="22"/>
          <w:u w:val="single"/>
          <w:lang w:val="fr-FR"/>
        </w:rPr>
      </w:pPr>
      <w:r w:rsidRPr="0026653F">
        <w:rPr>
          <w:szCs w:val="22"/>
          <w:lang w:val="fr-FR"/>
        </w:rPr>
        <w:t>vi.</w:t>
      </w:r>
      <w:r w:rsidRPr="0026653F">
        <w:rPr>
          <w:szCs w:val="22"/>
          <w:lang w:val="fr-FR"/>
        </w:rPr>
        <w:tab/>
      </w:r>
      <w:r w:rsidRPr="0026653F">
        <w:rPr>
          <w:szCs w:val="22"/>
          <w:u w:val="single"/>
          <w:lang w:val="fr-FR"/>
        </w:rPr>
        <w:t>Droits de l’enfant et de l’adolescent</w:t>
      </w:r>
    </w:p>
    <w:p w14:paraId="227A34E3" w14:textId="77777777" w:rsidR="000A6BE0" w:rsidRPr="0026653F" w:rsidRDefault="000A6BE0" w:rsidP="00C618DD">
      <w:pPr>
        <w:suppressAutoHyphens/>
        <w:rPr>
          <w:szCs w:val="22"/>
          <w:u w:val="single"/>
          <w:lang w:val="fr-FR"/>
        </w:rPr>
      </w:pPr>
    </w:p>
    <w:p w14:paraId="454BB80A" w14:textId="77777777" w:rsidR="000A6BE0" w:rsidRPr="0026653F" w:rsidRDefault="000A6BE0" w:rsidP="00C618DD">
      <w:pPr>
        <w:suppressAutoHyphens/>
        <w:ind w:firstLine="708"/>
        <w:rPr>
          <w:i/>
          <w:color w:val="000000"/>
          <w:szCs w:val="22"/>
          <w:lang w:val="fr-FR"/>
        </w:rPr>
      </w:pPr>
      <w:r w:rsidRPr="0026653F">
        <w:rPr>
          <w:color w:val="000000"/>
          <w:szCs w:val="22"/>
          <w:lang w:val="fr-FR"/>
        </w:rPr>
        <w:t>CONSIDÉRANT l’attention accordée aux enfants et aux adolescents par l’Institut interaméricain de l’enfance et de l’adolescence (IIN) au titre de la situation de l’enfance et de l’adolescence dans la région ainsi que de l’impact de la récente pandémie sur leurs conditions de vie et l’accès aux droits, en particulier parmi les groupes et les populations les plus vulnérables,</w:t>
      </w:r>
    </w:p>
    <w:p w14:paraId="04E02DBB" w14:textId="77777777" w:rsidR="000A6BE0" w:rsidRPr="00C04774" w:rsidRDefault="000A6BE0" w:rsidP="00C618DD">
      <w:pPr>
        <w:suppressAutoHyphens/>
        <w:rPr>
          <w:bCs/>
          <w:color w:val="000000"/>
          <w:szCs w:val="22"/>
          <w:lang w:val="fr-FR"/>
        </w:rPr>
      </w:pPr>
    </w:p>
    <w:p w14:paraId="27470719" w14:textId="082AF3A9" w:rsidR="000A6BE0" w:rsidRPr="0026653F" w:rsidRDefault="000A6BE0" w:rsidP="00C618DD">
      <w:pPr>
        <w:suppressAutoHyphens/>
        <w:ind w:firstLine="706"/>
        <w:rPr>
          <w:rFonts w:eastAsia="Arial Unicode MS"/>
          <w:color w:val="000000"/>
          <w:szCs w:val="22"/>
          <w:lang w:val="fr-FR"/>
        </w:rPr>
      </w:pPr>
      <w:r w:rsidRPr="0026653F">
        <w:rPr>
          <w:bCs/>
          <w:color w:val="000000"/>
          <w:szCs w:val="22"/>
          <w:lang w:val="fr-FR"/>
        </w:rPr>
        <w:t>RAPPELANT</w:t>
      </w:r>
      <w:r w:rsidRPr="0026653F">
        <w:rPr>
          <w:rFonts w:eastAsia="Arial Unicode MS"/>
          <w:bCs/>
          <w:color w:val="000000"/>
          <w:szCs w:val="22"/>
          <w:lang w:val="fr-FR"/>
        </w:rPr>
        <w:t xml:space="preserve"> la nécessité d'intégrer une perspective de protection intégrale et de parité hommes-femmes dans tous les programmes et politiques concernant les enfants et les adolescents, en vue de garantir et de protéger leurs droits sans distinction de race, de couleur, de sexe, de handicap, d'origine nationale ou sociale, ou de toute autre condition de l'enfant, de ses parents ou de ses représentants légaux</w:t>
      </w:r>
      <w:r w:rsidRPr="0026653F">
        <w:rPr>
          <w:bCs/>
          <w:color w:val="000000"/>
          <w:szCs w:val="22"/>
          <w:lang w:val="fr-FR"/>
        </w:rPr>
        <w:t>,</w:t>
      </w:r>
    </w:p>
    <w:p w14:paraId="6AE80B58" w14:textId="77777777" w:rsidR="000A6BE0" w:rsidRPr="00C04774" w:rsidRDefault="000A6BE0" w:rsidP="00C618DD">
      <w:pPr>
        <w:suppressAutoHyphens/>
        <w:rPr>
          <w:bCs/>
          <w:color w:val="000000"/>
          <w:szCs w:val="22"/>
          <w:lang w:val="fr-FR"/>
        </w:rPr>
      </w:pPr>
    </w:p>
    <w:p w14:paraId="630810D3" w14:textId="08EB36B9" w:rsidR="000A6BE0" w:rsidRPr="0026653F" w:rsidRDefault="000A6BE0" w:rsidP="00C618DD">
      <w:pPr>
        <w:suppressAutoHyphens/>
        <w:ind w:firstLine="706"/>
        <w:rPr>
          <w:rFonts w:eastAsia="Arial Unicode MS"/>
          <w:color w:val="000000"/>
          <w:szCs w:val="22"/>
          <w:lang w:val="fr-FR"/>
        </w:rPr>
      </w:pPr>
      <w:r w:rsidRPr="0026653F">
        <w:rPr>
          <w:bCs/>
          <w:color w:val="000000"/>
          <w:szCs w:val="22"/>
          <w:lang w:val="fr-FR"/>
        </w:rPr>
        <w:t>RÉAFFIRMANT l’engagement des États membres envers la prévention, la sanction et l’élimination de tout type de mauvais traitement et de violence exercé à l’encontre des enfants et des adolescents dans tous les domaines de leur vie, considérées comme une priorité continentale, laquelle, compte tenu de son importance, doit donner lieu à un diagnostic régional dans l’optique d’adopter des mesures ultérieures, y compris la nécessité et l’importance d’un éventuel instrument interaméricain,</w:t>
      </w:r>
    </w:p>
    <w:p w14:paraId="477A512F" w14:textId="77777777" w:rsidR="000A6BE0" w:rsidRPr="0026653F" w:rsidRDefault="000A6BE0" w:rsidP="00C618DD">
      <w:pPr>
        <w:suppressAutoHyphens/>
        <w:rPr>
          <w:szCs w:val="22"/>
          <w:lang w:val="fr-FR"/>
        </w:rPr>
      </w:pPr>
    </w:p>
    <w:p w14:paraId="3A894C72" w14:textId="77777777" w:rsidR="000A6BE0" w:rsidRPr="0026653F" w:rsidRDefault="000A6BE0" w:rsidP="00C618DD">
      <w:pPr>
        <w:rPr>
          <w:szCs w:val="22"/>
          <w:lang w:val="fr-FR"/>
        </w:rPr>
      </w:pPr>
      <w:r w:rsidRPr="0026653F">
        <w:rPr>
          <w:szCs w:val="22"/>
          <w:lang w:val="fr-FR"/>
        </w:rPr>
        <w:t>DÉCIDE :</w:t>
      </w:r>
    </w:p>
    <w:p w14:paraId="4046791F" w14:textId="77777777" w:rsidR="000A6BE0" w:rsidRPr="0026653F" w:rsidRDefault="000A6BE0" w:rsidP="00C618DD">
      <w:pPr>
        <w:suppressAutoHyphens/>
        <w:rPr>
          <w:szCs w:val="22"/>
          <w:lang w:val="fr-FR"/>
        </w:rPr>
      </w:pPr>
    </w:p>
    <w:p w14:paraId="6AA16D94" w14:textId="77777777" w:rsidR="000A6BE0" w:rsidRPr="0026653F" w:rsidRDefault="000A6BE0" w:rsidP="00C618DD">
      <w:pPr>
        <w:suppressAutoHyphens/>
        <w:ind w:firstLine="720"/>
        <w:rPr>
          <w:rFonts w:eastAsia="Arial Unicode MS"/>
          <w:color w:val="000000"/>
          <w:szCs w:val="22"/>
          <w:lang w:val="fr-FR"/>
        </w:rPr>
      </w:pPr>
      <w:r w:rsidRPr="0026653F">
        <w:rPr>
          <w:iCs/>
          <w:szCs w:val="22"/>
          <w:lang w:val="fr-FR"/>
        </w:rPr>
        <w:t>1.</w:t>
      </w:r>
      <w:r w:rsidRPr="0026653F">
        <w:rPr>
          <w:iCs/>
          <w:szCs w:val="22"/>
          <w:lang w:val="fr-FR"/>
        </w:rPr>
        <w:tab/>
        <w:t xml:space="preserve">De demander instamment aux États membres, face à la pandémie de COVID-19, de renforcer les mesures nécessaires pour garantir aux enfants et adolescents leur droit à la vie, à l’éducation, à l’alimentation, au logement, à la santé, y compris leur santé mentale, en redoublant d’efforts pour l’adoption de mesures spécifiques destinées à protéger leur intégrité personnelle, en examinant également les caractéristiques de la violence et de l’abus sexuels contre les filles et en </w:t>
      </w:r>
      <w:r w:rsidRPr="0026653F">
        <w:rPr>
          <w:iCs/>
          <w:szCs w:val="22"/>
          <w:lang w:val="fr-FR"/>
        </w:rPr>
        <w:lastRenderedPageBreak/>
        <w:t>apportant aux familles qui vivent dans des conditions de pauvreté les moyens nécessaires pour jouir de leur droit à un niveau de vie digne et adéquat.</w:t>
      </w:r>
      <w:r w:rsidRPr="0026653F">
        <w:rPr>
          <w:rStyle w:val="FootnoteReference"/>
          <w:bCs/>
          <w:szCs w:val="22"/>
          <w:u w:val="single"/>
          <w:vertAlign w:val="superscript"/>
          <w:lang w:val="fr-FR" w:eastAsia="es-ES"/>
        </w:rPr>
        <w:footnoteReference w:id="81"/>
      </w:r>
      <w:r w:rsidRPr="0026653F">
        <w:rPr>
          <w:rStyle w:val="Heading1Char"/>
          <w:szCs w:val="22"/>
          <w:vertAlign w:val="superscript"/>
          <w:lang w:val="fr-FR"/>
        </w:rPr>
        <w:t>/</w:t>
      </w:r>
    </w:p>
    <w:p w14:paraId="4DF5C65E" w14:textId="77777777" w:rsidR="000A6BE0" w:rsidRPr="0026653F" w:rsidRDefault="000A6BE0" w:rsidP="00C618DD">
      <w:pPr>
        <w:suppressAutoHyphens/>
        <w:rPr>
          <w:iCs/>
          <w:szCs w:val="22"/>
          <w:lang w:val="fr-FR"/>
        </w:rPr>
      </w:pPr>
    </w:p>
    <w:p w14:paraId="68C7EACC" w14:textId="5E9B5D4F" w:rsidR="000A6BE0" w:rsidRPr="0026653F" w:rsidRDefault="000A6BE0" w:rsidP="00C618DD">
      <w:pPr>
        <w:pStyle w:val="ListParagraph"/>
        <w:numPr>
          <w:ilvl w:val="0"/>
          <w:numId w:val="69"/>
        </w:numPr>
        <w:suppressAutoHyphens/>
        <w:spacing w:after="0" w:line="240" w:lineRule="auto"/>
        <w:ind w:left="0" w:firstLine="720"/>
        <w:contextualSpacing w:val="0"/>
        <w:jc w:val="both"/>
        <w:rPr>
          <w:rFonts w:ascii="Times New Roman" w:hAnsi="Times New Roman"/>
          <w:iCs/>
          <w:lang w:val="fr-FR"/>
        </w:rPr>
      </w:pPr>
      <w:r w:rsidRPr="0026653F">
        <w:rPr>
          <w:rFonts w:ascii="Times New Roman" w:hAnsi="Times New Roman"/>
          <w:iCs/>
          <w:lang w:val="fr-FR"/>
        </w:rPr>
        <w:t xml:space="preserve">De demander instamment aux États membres de continuer à renforcer leurs institutions et leurs politiques publiques visant la promotion, la protection et la restitution des droits des enfants et des adolescents, dans le cadre de </w:t>
      </w:r>
      <w:r w:rsidR="00A3262F" w:rsidRPr="0026653F">
        <w:rPr>
          <w:rFonts w:ascii="Times New Roman" w:hAnsi="Times New Roman"/>
          <w:iCs/>
          <w:lang w:val="fr-FR"/>
        </w:rPr>
        <w:t>s</w:t>
      </w:r>
      <w:r w:rsidRPr="0026653F">
        <w:rPr>
          <w:rFonts w:ascii="Times New Roman" w:hAnsi="Times New Roman"/>
          <w:iCs/>
          <w:lang w:val="fr-FR"/>
        </w:rPr>
        <w:t>ystèmes de protection intégrale basés sur l’articulation intersectorielle, tentant d’orienter jusqu’au maximum de leurs ressources disponibles vers l’effectivité de ces droits.</w:t>
      </w:r>
    </w:p>
    <w:p w14:paraId="58878E77" w14:textId="77777777" w:rsidR="000A6BE0" w:rsidRPr="0026653F" w:rsidRDefault="000A6BE0" w:rsidP="00C618DD">
      <w:pPr>
        <w:suppressAutoHyphens/>
        <w:rPr>
          <w:iCs/>
          <w:szCs w:val="22"/>
          <w:lang w:val="fr-FR"/>
        </w:rPr>
      </w:pPr>
    </w:p>
    <w:p w14:paraId="63715CD2" w14:textId="429F04FD" w:rsidR="000A6BE0" w:rsidRPr="0026653F" w:rsidRDefault="000A6BE0" w:rsidP="00C618DD">
      <w:pPr>
        <w:pStyle w:val="ListParagraph"/>
        <w:numPr>
          <w:ilvl w:val="0"/>
          <w:numId w:val="70"/>
        </w:numPr>
        <w:suppressAutoHyphens/>
        <w:spacing w:after="0" w:line="240" w:lineRule="auto"/>
        <w:ind w:left="0" w:firstLine="568"/>
        <w:contextualSpacing w:val="0"/>
        <w:jc w:val="both"/>
        <w:rPr>
          <w:rFonts w:ascii="Times New Roman" w:hAnsi="Times New Roman"/>
          <w:iCs/>
          <w:lang w:val="fr-FR"/>
        </w:rPr>
      </w:pPr>
      <w:r w:rsidRPr="0026653F">
        <w:rPr>
          <w:rFonts w:ascii="Times New Roman" w:hAnsi="Times New Roman"/>
          <w:iCs/>
          <w:lang w:val="fr-FR"/>
        </w:rPr>
        <w:t>D’accueillir avec satisfaction le travail effectué par l’Institut interaméricain de l’enfance et de l’adolescence (IIN) en sa qualité d’organisme spécialisé de l’</w:t>
      </w:r>
      <w:r w:rsidR="003E0AF9" w:rsidRPr="0026653F">
        <w:rPr>
          <w:rFonts w:ascii="Times New Roman" w:hAnsi="Times New Roman"/>
          <w:iCs/>
          <w:lang w:val="fr-FR"/>
        </w:rPr>
        <w:t>Organisation des États Américains (O</w:t>
      </w:r>
      <w:r w:rsidR="00A3262F" w:rsidRPr="0026653F">
        <w:rPr>
          <w:rFonts w:ascii="Times New Roman" w:hAnsi="Times New Roman"/>
          <w:iCs/>
          <w:lang w:val="fr-FR"/>
        </w:rPr>
        <w:t>EA</w:t>
      </w:r>
      <w:r w:rsidR="003E0AF9" w:rsidRPr="0026653F">
        <w:rPr>
          <w:rFonts w:ascii="Times New Roman" w:hAnsi="Times New Roman"/>
          <w:iCs/>
          <w:lang w:val="fr-FR"/>
        </w:rPr>
        <w:t>)</w:t>
      </w:r>
      <w:r w:rsidRPr="0026653F">
        <w:rPr>
          <w:rFonts w:ascii="Times New Roman" w:hAnsi="Times New Roman"/>
          <w:iCs/>
          <w:lang w:val="fr-FR"/>
        </w:rPr>
        <w:t>, et de rendre hommage à son rôle d’assistance technique aux États membres dans l’élaboration et la mise en œuvre de politiques publiques, de plans et de programmes visant la promotion, la protection et l’exercice effectif des droits fondamentaux des enfants et des adolescents.</w:t>
      </w:r>
    </w:p>
    <w:p w14:paraId="0F02CC38" w14:textId="77777777" w:rsidR="000A6BE0" w:rsidRPr="0026653F" w:rsidRDefault="000A6BE0" w:rsidP="00C618DD">
      <w:pPr>
        <w:suppressAutoHyphens/>
        <w:rPr>
          <w:szCs w:val="22"/>
          <w:lang w:val="fr-FR"/>
        </w:rPr>
      </w:pPr>
    </w:p>
    <w:p w14:paraId="79613158" w14:textId="77777777" w:rsidR="000A6BE0" w:rsidRPr="0026653F" w:rsidRDefault="000A6BE0" w:rsidP="00C618DD">
      <w:pPr>
        <w:pStyle w:val="ListParagraph"/>
        <w:numPr>
          <w:ilvl w:val="0"/>
          <w:numId w:val="71"/>
        </w:numPr>
        <w:suppressAutoHyphens/>
        <w:spacing w:after="0" w:line="240" w:lineRule="auto"/>
        <w:ind w:left="0" w:firstLine="568"/>
        <w:contextualSpacing w:val="0"/>
        <w:jc w:val="both"/>
        <w:rPr>
          <w:rFonts w:ascii="Times New Roman" w:hAnsi="Times New Roman"/>
          <w:iCs/>
          <w:lang w:val="fr-FR"/>
        </w:rPr>
      </w:pPr>
      <w:r w:rsidRPr="0026653F">
        <w:rPr>
          <w:rFonts w:ascii="Times New Roman" w:hAnsi="Times New Roman"/>
          <w:iCs/>
          <w:lang w:val="fr-FR"/>
        </w:rPr>
        <w:t>De demander instamment aux États de renforcer et d’adopter des mesures nécessaires et immédiates afin de prévenir, sanctionner et éliminer la violence contre les enfants et les adolescents.</w:t>
      </w:r>
    </w:p>
    <w:p w14:paraId="20AEF53B" w14:textId="77777777" w:rsidR="000A6BE0" w:rsidRPr="0026653F" w:rsidRDefault="000A6BE0" w:rsidP="00C618DD">
      <w:pPr>
        <w:suppressAutoHyphens/>
        <w:rPr>
          <w:iCs/>
          <w:szCs w:val="22"/>
          <w:lang w:val="fr-FR"/>
        </w:rPr>
      </w:pPr>
    </w:p>
    <w:p w14:paraId="7302A070" w14:textId="6B36599B" w:rsidR="000A6BE0" w:rsidRPr="0026653F" w:rsidRDefault="000A6BE0" w:rsidP="00C618DD">
      <w:pPr>
        <w:suppressAutoHyphens/>
        <w:ind w:firstLine="568"/>
        <w:rPr>
          <w:iCs/>
          <w:szCs w:val="22"/>
          <w:lang w:val="fr-FR"/>
        </w:rPr>
      </w:pPr>
      <w:r w:rsidRPr="0026653F">
        <w:rPr>
          <w:iCs/>
          <w:szCs w:val="22"/>
          <w:lang w:val="fr-FR"/>
        </w:rPr>
        <w:t>5.</w:t>
      </w:r>
      <w:r w:rsidRPr="0026653F">
        <w:rPr>
          <w:iCs/>
          <w:szCs w:val="22"/>
          <w:lang w:val="fr-FR"/>
        </w:rPr>
        <w:tab/>
        <w:t xml:space="preserve">De </w:t>
      </w:r>
      <w:r w:rsidR="00A3262F" w:rsidRPr="0026653F">
        <w:rPr>
          <w:iCs/>
          <w:szCs w:val="22"/>
          <w:lang w:val="fr-FR"/>
        </w:rPr>
        <w:t>charger le</w:t>
      </w:r>
      <w:r w:rsidRPr="0026653F">
        <w:rPr>
          <w:iCs/>
          <w:szCs w:val="22"/>
          <w:lang w:val="fr-FR"/>
        </w:rPr>
        <w:t xml:space="preserve"> Secrétariat général</w:t>
      </w:r>
      <w:r w:rsidR="00020542" w:rsidRPr="0026653F">
        <w:rPr>
          <w:iCs/>
          <w:szCs w:val="22"/>
          <w:lang w:val="fr-FR"/>
        </w:rPr>
        <w:t>,</w:t>
      </w:r>
      <w:r w:rsidRPr="0026653F">
        <w:rPr>
          <w:iCs/>
          <w:szCs w:val="22"/>
          <w:lang w:val="fr-FR"/>
        </w:rPr>
        <w:t xml:space="preserve"> en consultation avec les États membres et en collaboration avec l’IIN et d’autres organes compétents de l’OEA, de réaliser un diagnostic continental en matière de prévention, d’élimination et de répression des mauvais traitements et de toute forme de violence contre les enfants et les adolescents, entre autres aspects, qui permette d’examiner la nécessité et l’importance d’élaborer un instrument interaméricain spécifique en la matière en utilisant les ressources existantes. Ce diagnostic sera porté à la connaissance de l’Assemblée générale, lors de sa cinquante-et-unième session ordinaire, par l’intermédiaire de la </w:t>
      </w:r>
      <w:r w:rsidR="003E0AF9" w:rsidRPr="0026653F">
        <w:rPr>
          <w:iCs/>
          <w:szCs w:val="22"/>
          <w:lang w:val="fr-FR"/>
        </w:rPr>
        <w:t>Commission des questions juridiques et politiques (CAJP)</w:t>
      </w:r>
      <w:r w:rsidRPr="0026653F">
        <w:rPr>
          <w:iCs/>
          <w:szCs w:val="22"/>
          <w:lang w:val="fr-FR"/>
        </w:rPr>
        <w:t>.</w:t>
      </w:r>
    </w:p>
    <w:p w14:paraId="46D1D7E2" w14:textId="77777777" w:rsidR="000A6BE0" w:rsidRPr="0026653F" w:rsidRDefault="000A6BE0" w:rsidP="00C618DD">
      <w:pPr>
        <w:suppressAutoHyphens/>
        <w:rPr>
          <w:szCs w:val="22"/>
          <w:lang w:val="fr-FR"/>
        </w:rPr>
      </w:pPr>
    </w:p>
    <w:p w14:paraId="7B53C1DB" w14:textId="1F188087" w:rsidR="000A6BE0" w:rsidRPr="0026653F" w:rsidRDefault="000A6BE0" w:rsidP="00C618DD">
      <w:pPr>
        <w:suppressAutoHyphens/>
        <w:ind w:firstLine="568"/>
        <w:rPr>
          <w:szCs w:val="22"/>
          <w:lang w:val="fr-FR"/>
        </w:rPr>
      </w:pPr>
      <w:r w:rsidRPr="0026653F">
        <w:rPr>
          <w:bCs/>
          <w:szCs w:val="22"/>
          <w:lang w:val="fr-FR"/>
        </w:rPr>
        <w:t>6.</w:t>
      </w:r>
      <w:r w:rsidRPr="0026653F">
        <w:rPr>
          <w:b/>
          <w:szCs w:val="22"/>
          <w:lang w:val="fr-FR"/>
        </w:rPr>
        <w:tab/>
      </w:r>
      <w:r w:rsidRPr="0026653F">
        <w:rPr>
          <w:bCs/>
          <w:iCs/>
          <w:szCs w:val="22"/>
          <w:lang w:val="fr-FR"/>
        </w:rPr>
        <w:t>De demander instamment aux États membres de renforcer la coopération pour la protection des enfants et des adolescents, ainsi que la promotion et la garantie de leurs droits, particulièrement lors de crises et d’urgences humanitaire</w:t>
      </w:r>
      <w:r w:rsidR="00A3262F" w:rsidRPr="0026653F">
        <w:rPr>
          <w:bCs/>
          <w:iCs/>
          <w:szCs w:val="22"/>
          <w:lang w:val="fr-FR"/>
        </w:rPr>
        <w:t>s susceptibles d’</w:t>
      </w:r>
      <w:r w:rsidRPr="0026653F">
        <w:rPr>
          <w:bCs/>
          <w:iCs/>
          <w:szCs w:val="22"/>
          <w:lang w:val="fr-FR"/>
        </w:rPr>
        <w:t>aggraver leur situation de vulnérabilité.</w:t>
      </w:r>
    </w:p>
    <w:p w14:paraId="5740D6B5" w14:textId="77777777" w:rsidR="000A6BE0" w:rsidRPr="0026653F" w:rsidRDefault="000A6BE0" w:rsidP="00C618DD">
      <w:pPr>
        <w:suppressAutoHyphens/>
        <w:rPr>
          <w:szCs w:val="22"/>
          <w:lang w:val="fr-FR"/>
        </w:rPr>
      </w:pPr>
    </w:p>
    <w:p w14:paraId="6D79CA2C" w14:textId="5EAE749E" w:rsidR="000A6BE0" w:rsidRPr="0026653F" w:rsidRDefault="000A6BE0" w:rsidP="00C618DD">
      <w:pPr>
        <w:suppressAutoHyphens/>
        <w:ind w:right="58"/>
        <w:rPr>
          <w:rFonts w:eastAsia="MS Mincho"/>
          <w:szCs w:val="22"/>
          <w:u w:val="single"/>
          <w:lang w:val="fr-FR" w:eastAsia="es-ES_tradnl"/>
        </w:rPr>
      </w:pPr>
      <w:r w:rsidRPr="0026653F">
        <w:rPr>
          <w:szCs w:val="22"/>
          <w:lang w:val="fr-FR"/>
        </w:rPr>
        <w:t>vii.</w:t>
      </w:r>
      <w:r w:rsidRPr="0026653F">
        <w:rPr>
          <w:szCs w:val="22"/>
          <w:lang w:val="fr-FR"/>
        </w:rPr>
        <w:tab/>
      </w:r>
      <w:r w:rsidRPr="0026653F">
        <w:rPr>
          <w:rFonts w:eastAsia="MS Mincho"/>
          <w:szCs w:val="22"/>
          <w:u w:val="single"/>
          <w:lang w:val="fr-FR" w:eastAsia="es-ES_tradnl"/>
        </w:rPr>
        <w:t>Les personnes portées disparues et la prise en charge des besoins de leurs proches</w:t>
      </w:r>
      <w:r w:rsidR="006D678D" w:rsidRPr="006D678D">
        <w:rPr>
          <w:rFonts w:eastAsia="MS Mincho"/>
          <w:szCs w:val="22"/>
          <w:vertAlign w:val="superscript"/>
          <w:lang w:val="fr-FR" w:eastAsia="es-ES_tradnl"/>
        </w:rPr>
        <w:t xml:space="preserve"> </w:t>
      </w:r>
      <w:r w:rsidRPr="0026653F">
        <w:rPr>
          <w:rStyle w:val="FootnoteReference"/>
          <w:rFonts w:eastAsia="MS Mincho"/>
          <w:szCs w:val="22"/>
          <w:u w:val="single"/>
          <w:vertAlign w:val="superscript"/>
          <w:lang w:val="fr-FR" w:eastAsia="es-ES_tradnl"/>
        </w:rPr>
        <w:footnoteReference w:id="82"/>
      </w:r>
      <w:r w:rsidRPr="0026653F">
        <w:rPr>
          <w:rFonts w:eastAsia="MS Mincho"/>
          <w:szCs w:val="22"/>
          <w:vertAlign w:val="superscript"/>
          <w:lang w:val="fr-FR" w:eastAsia="es-ES_tradnl"/>
        </w:rPr>
        <w:t>/</w:t>
      </w:r>
    </w:p>
    <w:p w14:paraId="744DF3D1" w14:textId="77777777" w:rsidR="000A6BE0" w:rsidRPr="0026653F" w:rsidRDefault="000A6BE0" w:rsidP="00C618DD">
      <w:pPr>
        <w:suppressAutoHyphens/>
        <w:rPr>
          <w:szCs w:val="22"/>
          <w:lang w:val="fr-FR"/>
        </w:rPr>
      </w:pPr>
    </w:p>
    <w:p w14:paraId="6D8F8040" w14:textId="0A078035" w:rsidR="000A6BE0" w:rsidRPr="0026653F" w:rsidRDefault="000A6BE0" w:rsidP="00C618DD">
      <w:pPr>
        <w:suppressAutoHyphens/>
        <w:ind w:right="58"/>
        <w:rPr>
          <w:rFonts w:eastAsia="MS Mincho"/>
          <w:szCs w:val="22"/>
          <w:lang w:val="fr-FR" w:eastAsia="es-ES_tradnl"/>
        </w:rPr>
      </w:pPr>
      <w:r w:rsidRPr="0026653F">
        <w:rPr>
          <w:rFonts w:eastAsia="MS Mincho"/>
          <w:szCs w:val="22"/>
          <w:lang w:val="fr-FR" w:eastAsia="es-ES_tradnl"/>
        </w:rPr>
        <w:tab/>
      </w:r>
      <w:r w:rsidRPr="0026653F">
        <w:rPr>
          <w:szCs w:val="22"/>
          <w:lang w:val="fr-FR"/>
        </w:rPr>
        <w:t>RÉAFFIRMANT la responsabilité qui incombe aux États membres de continuer à déployer les efforts nécessaires pour alléger la souffrance, l’angoisse et l’incertitude que vivent les familles des personnes portées disparues suite à des situations de conflit armé, de violence armée, de migrations ou de catastrophes naturelles ou d’un autre type, pour répondre à leurs différents besoins ainsi que pour satisfaire leur droit à la vérité, à la justice et, le cas échéant, à la réparation du préjudice qu’elles ont subi</w:t>
      </w:r>
      <w:r w:rsidRPr="0026653F">
        <w:rPr>
          <w:rFonts w:eastAsia="MS Mincho"/>
          <w:szCs w:val="22"/>
          <w:lang w:val="fr-FR" w:eastAsia="es-ES_tradnl"/>
        </w:rPr>
        <w:t>,</w:t>
      </w:r>
    </w:p>
    <w:p w14:paraId="353803AC" w14:textId="77777777" w:rsidR="000A6BE0" w:rsidRPr="0026653F" w:rsidRDefault="000A6BE0" w:rsidP="00C618DD">
      <w:pPr>
        <w:suppressAutoHyphens/>
        <w:ind w:right="61"/>
        <w:rPr>
          <w:rFonts w:eastAsia="MS Mincho"/>
          <w:szCs w:val="22"/>
          <w:lang w:val="fr-FR" w:eastAsia="es-ES_tradnl"/>
        </w:rPr>
      </w:pPr>
    </w:p>
    <w:p w14:paraId="40F1B108" w14:textId="77777777" w:rsidR="000A6BE0" w:rsidRPr="0026653F" w:rsidRDefault="000A6BE0" w:rsidP="00C618DD">
      <w:pPr>
        <w:keepNext/>
        <w:suppressAutoHyphens/>
        <w:rPr>
          <w:rFonts w:eastAsia="MS Mincho"/>
          <w:szCs w:val="22"/>
          <w:lang w:val="fr-FR" w:eastAsia="es-ES_tradnl"/>
        </w:rPr>
      </w:pPr>
      <w:r w:rsidRPr="0026653F">
        <w:rPr>
          <w:rFonts w:eastAsia="MS Mincho"/>
          <w:szCs w:val="22"/>
          <w:lang w:val="fr-FR" w:eastAsia="es-ES_tradnl"/>
        </w:rPr>
        <w:lastRenderedPageBreak/>
        <w:t>DÉCIDE :</w:t>
      </w:r>
    </w:p>
    <w:p w14:paraId="132147B1" w14:textId="77777777" w:rsidR="000A6BE0" w:rsidRPr="0026653F" w:rsidRDefault="000A6BE0" w:rsidP="00C618DD">
      <w:pPr>
        <w:keepNext/>
        <w:suppressAutoHyphens/>
        <w:rPr>
          <w:rFonts w:eastAsia="MS Mincho"/>
          <w:szCs w:val="22"/>
          <w:lang w:val="fr-FR" w:eastAsia="es-ES_tradnl"/>
        </w:rPr>
      </w:pPr>
    </w:p>
    <w:p w14:paraId="7EC80539" w14:textId="6967227E" w:rsidR="000A6BE0" w:rsidRPr="0026653F" w:rsidRDefault="000A6BE0" w:rsidP="00C618DD">
      <w:pPr>
        <w:suppressAutoHyphens/>
        <w:ind w:right="57"/>
        <w:rPr>
          <w:iCs/>
          <w:szCs w:val="22"/>
          <w:lang w:val="fr-FR"/>
        </w:rPr>
      </w:pPr>
      <w:r w:rsidRPr="0026653F">
        <w:rPr>
          <w:rFonts w:eastAsia="MS Mincho"/>
          <w:szCs w:val="22"/>
          <w:lang w:val="fr-FR" w:eastAsia="es-ES_tradnl"/>
        </w:rPr>
        <w:tab/>
        <w:t>1.</w:t>
      </w:r>
      <w:r w:rsidRPr="0026653F">
        <w:rPr>
          <w:rFonts w:eastAsia="MS Mincho"/>
          <w:szCs w:val="22"/>
          <w:lang w:val="fr-FR" w:eastAsia="es-ES_tradnl"/>
        </w:rPr>
        <w:tab/>
      </w:r>
      <w:r w:rsidRPr="0026653F">
        <w:rPr>
          <w:szCs w:val="22"/>
          <w:lang w:val="fr-FR"/>
        </w:rPr>
        <w:t xml:space="preserve">De demander instamment aux États membres de continuer à adopter progressivement des mesures, </w:t>
      </w:r>
      <w:r w:rsidRPr="0026653F">
        <w:rPr>
          <w:bCs/>
          <w:szCs w:val="22"/>
          <w:lang w:val="fr-FR"/>
        </w:rPr>
        <w:t>conformément à</w:t>
      </w:r>
      <w:r w:rsidRPr="0026653F">
        <w:rPr>
          <w:b/>
          <w:szCs w:val="22"/>
          <w:lang w:val="fr-FR"/>
        </w:rPr>
        <w:t xml:space="preserve"> </w:t>
      </w:r>
      <w:r w:rsidRPr="0026653F">
        <w:rPr>
          <w:szCs w:val="22"/>
          <w:lang w:val="fr-FR"/>
        </w:rPr>
        <w:t xml:space="preserve">leurs obligations en matière de droit international humanitaire et de droit international relatif aux droits de la personne et en prenant en considération la jurisprudence actuelle en la matière, notamment l’approbation de lois, de protocoles, de </w:t>
      </w:r>
      <w:r w:rsidR="00A3262F" w:rsidRPr="0026653F">
        <w:rPr>
          <w:szCs w:val="22"/>
          <w:lang w:val="fr-FR"/>
        </w:rPr>
        <w:t xml:space="preserve">lignes </w:t>
      </w:r>
      <w:r w:rsidRPr="0026653F">
        <w:rPr>
          <w:szCs w:val="22"/>
          <w:lang w:val="fr-FR"/>
        </w:rPr>
        <w:t>direct</w:t>
      </w:r>
      <w:r w:rsidR="00A3262F" w:rsidRPr="0026653F">
        <w:rPr>
          <w:szCs w:val="22"/>
          <w:lang w:val="fr-FR"/>
        </w:rPr>
        <w:t xml:space="preserve">rices </w:t>
      </w:r>
      <w:r w:rsidRPr="0026653F">
        <w:rPr>
          <w:szCs w:val="22"/>
          <w:lang w:val="fr-FR"/>
        </w:rPr>
        <w:t xml:space="preserve">et d’autres dispositions nationales à caractère normatif et institutionnel visant à </w:t>
      </w:r>
      <w:r w:rsidRPr="0026653F">
        <w:rPr>
          <w:rFonts w:eastAsia="MS Mincho"/>
          <w:szCs w:val="22"/>
          <w:lang w:val="fr-FR" w:eastAsia="es-ES_tradnl"/>
        </w:rPr>
        <w:t>:</w:t>
      </w:r>
    </w:p>
    <w:p w14:paraId="5A7D5730" w14:textId="77777777" w:rsidR="000A6BE0" w:rsidRPr="0026653F" w:rsidRDefault="000A6BE0" w:rsidP="00C618DD">
      <w:pPr>
        <w:suppressAutoHyphens/>
        <w:ind w:right="58"/>
        <w:rPr>
          <w:rFonts w:eastAsia="MS Mincho"/>
          <w:szCs w:val="22"/>
          <w:lang w:val="fr-FR" w:eastAsia="es-ES_tradnl"/>
        </w:rPr>
      </w:pPr>
    </w:p>
    <w:p w14:paraId="1586B378" w14:textId="34A33C0D" w:rsidR="000A6BE0" w:rsidRPr="0026653F" w:rsidRDefault="000A6BE0" w:rsidP="00C618DD">
      <w:pPr>
        <w:numPr>
          <w:ilvl w:val="0"/>
          <w:numId w:val="23"/>
        </w:numPr>
        <w:suppressAutoHyphens/>
        <w:ind w:left="2160" w:right="58" w:hanging="720"/>
        <w:rPr>
          <w:rFonts w:eastAsia="MS Mincho"/>
          <w:szCs w:val="22"/>
          <w:lang w:val="fr-FR" w:eastAsia="es-ES_tradnl"/>
        </w:rPr>
      </w:pPr>
      <w:proofErr w:type="gramStart"/>
      <w:r w:rsidRPr="0026653F">
        <w:rPr>
          <w:szCs w:val="22"/>
          <w:lang w:val="fr-FR"/>
        </w:rPr>
        <w:t>prévenir</w:t>
      </w:r>
      <w:proofErr w:type="gramEnd"/>
      <w:r w:rsidRPr="0026653F">
        <w:rPr>
          <w:szCs w:val="22"/>
          <w:lang w:val="fr-FR"/>
        </w:rPr>
        <w:t xml:space="preserve"> la disparition des personnes, avec une attention particulière à celle concernant les </w:t>
      </w:r>
      <w:r w:rsidRPr="0026653F">
        <w:rPr>
          <w:bCs/>
          <w:szCs w:val="22"/>
          <w:lang w:val="fr-FR"/>
        </w:rPr>
        <w:t>membres des</w:t>
      </w:r>
      <w:r w:rsidRPr="0026653F">
        <w:rPr>
          <w:szCs w:val="22"/>
          <w:lang w:val="fr-FR"/>
        </w:rPr>
        <w:t xml:space="preserve"> groupes en situation de vulnérabilité, dans ce contexte, </w:t>
      </w:r>
      <w:r w:rsidRPr="0026653F">
        <w:rPr>
          <w:rFonts w:eastAsia="MS Mincho"/>
          <w:bCs/>
          <w:szCs w:val="22"/>
          <w:lang w:val="fr-FR" w:eastAsia="es-ES_tradnl"/>
        </w:rPr>
        <w:t>y compris</w:t>
      </w:r>
      <w:r w:rsidRPr="0026653F">
        <w:rPr>
          <w:rFonts w:eastAsia="MS Mincho"/>
          <w:b/>
          <w:szCs w:val="22"/>
          <w:lang w:val="fr-FR" w:eastAsia="es-ES_tradnl"/>
        </w:rPr>
        <w:t xml:space="preserve"> </w:t>
      </w:r>
      <w:r w:rsidRPr="0026653F">
        <w:rPr>
          <w:rFonts w:eastAsia="MS Mincho"/>
          <w:bCs/>
          <w:szCs w:val="22"/>
          <w:lang w:val="fr-FR" w:eastAsia="es-ES_tradnl"/>
        </w:rPr>
        <w:t>les enfants et adolescents non accompagnés ainsi que les femmes et les filles</w:t>
      </w:r>
      <w:r w:rsidR="00A3262F" w:rsidRPr="0026653F">
        <w:rPr>
          <w:rFonts w:eastAsia="MS Mincho"/>
          <w:bCs/>
          <w:szCs w:val="22"/>
          <w:lang w:val="fr-FR" w:eastAsia="es-ES_tradnl"/>
        </w:rPr>
        <w:t> ;</w:t>
      </w:r>
    </w:p>
    <w:p w14:paraId="6B9FACB3" w14:textId="77777777" w:rsidR="000A6BE0" w:rsidRPr="0026653F" w:rsidRDefault="000A6BE0" w:rsidP="00C618DD">
      <w:pPr>
        <w:suppressAutoHyphens/>
        <w:ind w:right="61"/>
        <w:rPr>
          <w:rFonts w:eastAsia="MS Mincho"/>
          <w:szCs w:val="22"/>
          <w:lang w:val="fr-FR" w:eastAsia="es-ES_tradnl"/>
        </w:rPr>
      </w:pPr>
    </w:p>
    <w:p w14:paraId="67B15260" w14:textId="3D12A00E"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szCs w:val="22"/>
          <w:lang w:val="fr-FR"/>
        </w:rPr>
        <w:t>traiter</w:t>
      </w:r>
      <w:proofErr w:type="gramEnd"/>
      <w:r w:rsidRPr="0026653F">
        <w:rPr>
          <w:szCs w:val="22"/>
          <w:lang w:val="fr-FR"/>
        </w:rPr>
        <w:t xml:space="preserve"> les cas de migrants disparus, ainsi que des enfants et adolescents portés disparus, dans le but de les rechercher, de </w:t>
      </w:r>
      <w:r w:rsidRPr="0026653F">
        <w:rPr>
          <w:bCs/>
          <w:szCs w:val="22"/>
          <w:lang w:val="fr-FR"/>
        </w:rPr>
        <w:t>les localiser</w:t>
      </w:r>
      <w:r w:rsidRPr="0026653F">
        <w:rPr>
          <w:szCs w:val="22"/>
          <w:lang w:val="fr-FR"/>
        </w:rPr>
        <w:t xml:space="preserve"> et, si possible, de les réunir avec leurs familles </w:t>
      </w:r>
      <w:r w:rsidRPr="0026653F">
        <w:rPr>
          <w:bCs/>
          <w:szCs w:val="22"/>
          <w:lang w:val="fr-FR"/>
        </w:rPr>
        <w:t>et, en cas de décès, de les identifier et de restituer leurs dépouilles aux membres de leur famille si possible,</w:t>
      </w:r>
      <w:r w:rsidRPr="0026653F">
        <w:rPr>
          <w:szCs w:val="22"/>
          <w:lang w:val="fr-FR"/>
        </w:rPr>
        <w:t xml:space="preserve"> et promouvoir la coordination nationale et la coopération régionale relative à la prise en charge technique, judiciaire et consulaire</w:t>
      </w:r>
      <w:r w:rsidR="00A3262F" w:rsidRPr="0026653F">
        <w:rPr>
          <w:szCs w:val="22"/>
          <w:lang w:val="fr-FR"/>
        </w:rPr>
        <w:t> </w:t>
      </w:r>
      <w:r w:rsidR="00A3262F" w:rsidRPr="0026653F">
        <w:rPr>
          <w:rFonts w:eastAsia="MS Mincho"/>
          <w:szCs w:val="22"/>
          <w:lang w:val="fr-FR" w:eastAsia="es-ES_tradnl"/>
        </w:rPr>
        <w:t>;</w:t>
      </w:r>
    </w:p>
    <w:p w14:paraId="18B216C0" w14:textId="77777777" w:rsidR="000A6BE0" w:rsidRPr="0026653F" w:rsidRDefault="000A6BE0" w:rsidP="00C618DD">
      <w:pPr>
        <w:suppressAutoHyphens/>
        <w:ind w:right="61"/>
        <w:rPr>
          <w:rFonts w:eastAsia="MS Mincho"/>
          <w:szCs w:val="22"/>
          <w:lang w:val="fr-FR" w:eastAsia="es-ES_tradnl"/>
        </w:rPr>
      </w:pPr>
    </w:p>
    <w:p w14:paraId="031F907B" w14:textId="0E9307D7" w:rsidR="000A6BE0" w:rsidRPr="0026653F" w:rsidRDefault="000A6BE0" w:rsidP="00C618DD">
      <w:pPr>
        <w:numPr>
          <w:ilvl w:val="0"/>
          <w:numId w:val="23"/>
        </w:numPr>
        <w:suppressAutoHyphens/>
        <w:ind w:left="2160" w:right="61" w:hanging="720"/>
        <w:rPr>
          <w:rFonts w:eastAsia="MS Mincho"/>
          <w:szCs w:val="22"/>
          <w:lang w:val="fr-FR" w:eastAsia="es-ES_tradnl"/>
        </w:rPr>
      </w:pPr>
      <w:r w:rsidRPr="0026653F">
        <w:rPr>
          <w:szCs w:val="22"/>
          <w:lang w:val="fr-FR"/>
        </w:rPr>
        <w:t>déterminer l’endroit où se trouvent les personnes disparues et élucider le sort qui a été le leur afin d’apporter une réponse rapide à leurs proches, en envisageant la possibilité de mettre en place des mécanismes ou des organes à caractère et à vocation essentiellement humanitaires, qui permettent d’établir un cadre global et intégral de recherche et, en cas de décès, de donner priorité à l’objectif humanitaire de recherche et de localisation, ainsi que de récupération, d’identification, de restitution et d’inhumation digne des restes humains, sans que cela signifie de renoncer au respect des obligations d’enquêter sur les responsables des disparitions, de les poursuivre et de les sanctionner</w:t>
      </w:r>
      <w:r w:rsidR="00B22526" w:rsidRPr="0026653F">
        <w:rPr>
          <w:szCs w:val="22"/>
          <w:lang w:val="fr-FR"/>
        </w:rPr>
        <w:t> </w:t>
      </w:r>
      <w:r w:rsidR="00B22526" w:rsidRPr="0026653F">
        <w:rPr>
          <w:rFonts w:eastAsia="MS Mincho"/>
          <w:szCs w:val="22"/>
          <w:lang w:val="fr-FR" w:eastAsia="es-ES_tradnl"/>
        </w:rPr>
        <w:t>;</w:t>
      </w:r>
    </w:p>
    <w:p w14:paraId="6CF67228" w14:textId="77777777" w:rsidR="000A6BE0" w:rsidRPr="0026653F" w:rsidRDefault="000A6BE0" w:rsidP="00C618DD">
      <w:pPr>
        <w:rPr>
          <w:szCs w:val="22"/>
          <w:lang w:val="fr-FR"/>
        </w:rPr>
      </w:pPr>
    </w:p>
    <w:p w14:paraId="45866092" w14:textId="18A369D8"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szCs w:val="22"/>
          <w:lang w:val="fr-FR"/>
        </w:rPr>
        <w:t>prendre</w:t>
      </w:r>
      <w:proofErr w:type="gramEnd"/>
      <w:r w:rsidRPr="0026653F">
        <w:rPr>
          <w:szCs w:val="22"/>
          <w:lang w:val="fr-FR"/>
        </w:rPr>
        <w:t xml:space="preserve"> en charge les besoins des proches, en matière d’accès aux informations sur les causes possibles de leur disparition, notamment savoir ce qu’il est advenu de leurs êtres chers, chercher, récupérer les dépouilles mortelles en cas de décès</w:t>
      </w:r>
      <w:r w:rsidRPr="0026653F">
        <w:rPr>
          <w:b/>
          <w:bCs/>
          <w:szCs w:val="22"/>
          <w:lang w:val="fr-FR"/>
        </w:rPr>
        <w:t xml:space="preserve"> </w:t>
      </w:r>
      <w:r w:rsidRPr="0026653F">
        <w:rPr>
          <w:szCs w:val="22"/>
          <w:lang w:val="fr-FR"/>
        </w:rPr>
        <w:t>et en disposer, résoudre les problèmes juridiques et administratifs moyennant un cadre juridique interne intégral et accessible dans lequel est reconnue la situation juridique des personnes disparues</w:t>
      </w:r>
      <w:r w:rsidR="00B22526" w:rsidRPr="0026653F">
        <w:rPr>
          <w:szCs w:val="22"/>
          <w:lang w:val="fr-FR"/>
        </w:rPr>
        <w:t> ;</w:t>
      </w:r>
    </w:p>
    <w:p w14:paraId="4F338B24" w14:textId="77777777" w:rsidR="000A6BE0" w:rsidRPr="0026653F" w:rsidRDefault="000A6BE0" w:rsidP="00C618DD">
      <w:pPr>
        <w:suppressAutoHyphens/>
        <w:rPr>
          <w:rFonts w:eastAsia="MS Mincho"/>
          <w:szCs w:val="22"/>
          <w:lang w:val="fr-FR" w:eastAsia="es-ES_tradnl"/>
        </w:rPr>
      </w:pPr>
    </w:p>
    <w:p w14:paraId="076DD693" w14:textId="39A072E9"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szCs w:val="22"/>
          <w:lang w:val="fr-FR"/>
        </w:rPr>
        <w:t>adopter</w:t>
      </w:r>
      <w:proofErr w:type="gramEnd"/>
      <w:r w:rsidRPr="0026653F">
        <w:rPr>
          <w:szCs w:val="22"/>
          <w:lang w:val="fr-FR"/>
        </w:rPr>
        <w:t xml:space="preserve"> les mesures </w:t>
      </w:r>
      <w:r w:rsidR="00B22526" w:rsidRPr="0026653F">
        <w:rPr>
          <w:szCs w:val="22"/>
          <w:lang w:val="fr-FR"/>
        </w:rPr>
        <w:t>envisageables</w:t>
      </w:r>
      <w:r w:rsidRPr="0026653F">
        <w:rPr>
          <w:szCs w:val="22"/>
          <w:lang w:val="fr-FR"/>
        </w:rPr>
        <w:t xml:space="preserve"> pour</w:t>
      </w:r>
      <w:r w:rsidRPr="0026653F">
        <w:rPr>
          <w:b/>
          <w:bCs/>
          <w:szCs w:val="22"/>
          <w:lang w:val="fr-FR"/>
        </w:rPr>
        <w:t xml:space="preserve"> </w:t>
      </w:r>
      <w:r w:rsidRPr="0026653F">
        <w:rPr>
          <w:szCs w:val="22"/>
          <w:lang w:val="fr-FR"/>
        </w:rPr>
        <w:t>préserver la traçabilité et</w:t>
      </w:r>
      <w:r w:rsidRPr="0026653F">
        <w:rPr>
          <w:b/>
          <w:bCs/>
          <w:szCs w:val="22"/>
          <w:lang w:val="fr-FR"/>
        </w:rPr>
        <w:t xml:space="preserve"> </w:t>
      </w:r>
      <w:r w:rsidRPr="0026653F">
        <w:rPr>
          <w:szCs w:val="22"/>
          <w:lang w:val="fr-FR"/>
        </w:rPr>
        <w:t>garantir le traitement digne des dépouilles des personnes décédées, identifiées ou non et qui n’ont pas encore été réclamées et conserver les informations post-mortem les concernant afin de préserver la possibilité de les identifier et de faire en sorte que les dépouilles mortelles soient rendues à leurs familles respectives ultérieurement</w:t>
      </w:r>
      <w:r w:rsidR="00B22526" w:rsidRPr="0026653F">
        <w:rPr>
          <w:szCs w:val="22"/>
          <w:lang w:val="fr-FR"/>
        </w:rPr>
        <w:t> </w:t>
      </w:r>
      <w:r w:rsidR="00B22526" w:rsidRPr="0026653F">
        <w:rPr>
          <w:rFonts w:eastAsia="MS Mincho"/>
          <w:szCs w:val="22"/>
          <w:lang w:val="fr-FR" w:eastAsia="es-ES_tradnl"/>
        </w:rPr>
        <w:t>;</w:t>
      </w:r>
    </w:p>
    <w:p w14:paraId="1BCD677F" w14:textId="77777777" w:rsidR="000A6BE0" w:rsidRPr="0026653F" w:rsidRDefault="000A6BE0" w:rsidP="00C618DD">
      <w:pPr>
        <w:suppressAutoHyphens/>
        <w:ind w:right="58"/>
        <w:rPr>
          <w:rFonts w:eastAsia="MS Mincho"/>
          <w:szCs w:val="22"/>
          <w:lang w:val="fr-FR" w:eastAsia="es-ES_tradnl"/>
        </w:rPr>
      </w:pPr>
    </w:p>
    <w:p w14:paraId="32083F6A" w14:textId="530E6438" w:rsidR="000A6BE0" w:rsidRPr="0026653F" w:rsidRDefault="000A6BE0" w:rsidP="00C618DD">
      <w:pPr>
        <w:numPr>
          <w:ilvl w:val="0"/>
          <w:numId w:val="23"/>
        </w:numPr>
        <w:suppressAutoHyphens/>
        <w:ind w:left="2160" w:right="58" w:hanging="720"/>
        <w:rPr>
          <w:rFonts w:eastAsia="MS Mincho"/>
          <w:szCs w:val="22"/>
          <w:lang w:val="fr-FR" w:eastAsia="es-ES_tradnl"/>
        </w:rPr>
      </w:pPr>
      <w:proofErr w:type="gramStart"/>
      <w:r w:rsidRPr="0026653F">
        <w:rPr>
          <w:rFonts w:eastAsia="MS Mincho"/>
          <w:szCs w:val="22"/>
          <w:lang w:val="fr-FR" w:eastAsia="es-ES_tradnl"/>
        </w:rPr>
        <w:lastRenderedPageBreak/>
        <w:t>prendre</w:t>
      </w:r>
      <w:proofErr w:type="gramEnd"/>
      <w:r w:rsidRPr="0026653F">
        <w:rPr>
          <w:rFonts w:eastAsia="MS Mincho"/>
          <w:szCs w:val="22"/>
          <w:lang w:val="fr-FR" w:eastAsia="es-ES_tradnl"/>
        </w:rPr>
        <w:t xml:space="preserve"> les mesures nécessaires pour localiser, respecter et protéger les lieux où pourraient se trouver des </w:t>
      </w:r>
      <w:r w:rsidR="00C7070D" w:rsidRPr="0026653F">
        <w:rPr>
          <w:rFonts w:eastAsia="MS Mincho"/>
          <w:szCs w:val="22"/>
          <w:lang w:val="fr-FR" w:eastAsia="es-ES_tradnl"/>
        </w:rPr>
        <w:t>dépouilles</w:t>
      </w:r>
      <w:r w:rsidRPr="0026653F">
        <w:rPr>
          <w:rFonts w:eastAsia="MS Mincho"/>
          <w:szCs w:val="22"/>
          <w:lang w:val="fr-FR" w:eastAsia="es-ES_tradnl"/>
        </w:rPr>
        <w:t xml:space="preserve"> de personnes supposément disparues en vue de leur identification, leur récupération et leur remise digne</w:t>
      </w:r>
      <w:r w:rsidR="00B22526" w:rsidRPr="0026653F">
        <w:rPr>
          <w:rFonts w:eastAsia="MS Mincho"/>
          <w:szCs w:val="22"/>
          <w:lang w:val="fr-FR" w:eastAsia="es-ES_tradnl"/>
        </w:rPr>
        <w:t> ;</w:t>
      </w:r>
    </w:p>
    <w:p w14:paraId="01759BE7" w14:textId="77777777" w:rsidR="000A6BE0" w:rsidRPr="0026653F" w:rsidRDefault="000A6BE0" w:rsidP="00C618DD">
      <w:pPr>
        <w:suppressAutoHyphens/>
        <w:ind w:right="58"/>
        <w:rPr>
          <w:rFonts w:eastAsia="MS Mincho"/>
          <w:bCs/>
          <w:szCs w:val="22"/>
          <w:lang w:val="fr-FR" w:eastAsia="es-ES_tradnl"/>
        </w:rPr>
      </w:pPr>
    </w:p>
    <w:p w14:paraId="17EAB0F5" w14:textId="75E9AD39" w:rsidR="000A6BE0" w:rsidRPr="0026653F" w:rsidRDefault="000A6BE0" w:rsidP="00C618DD">
      <w:pPr>
        <w:numPr>
          <w:ilvl w:val="0"/>
          <w:numId w:val="23"/>
        </w:numPr>
        <w:suppressAutoHyphens/>
        <w:ind w:left="2160" w:right="58" w:hanging="720"/>
        <w:rPr>
          <w:rFonts w:eastAsia="MS Mincho"/>
          <w:szCs w:val="22"/>
          <w:lang w:val="fr-FR" w:eastAsia="es-ES_tradnl"/>
        </w:rPr>
      </w:pPr>
      <w:proofErr w:type="gramStart"/>
      <w:r w:rsidRPr="0026653F">
        <w:rPr>
          <w:szCs w:val="22"/>
          <w:lang w:val="fr-FR"/>
        </w:rPr>
        <w:t>garantir</w:t>
      </w:r>
      <w:proofErr w:type="gramEnd"/>
      <w:r w:rsidRPr="0026653F">
        <w:rPr>
          <w:szCs w:val="22"/>
          <w:lang w:val="fr-FR"/>
        </w:rPr>
        <w:t xml:space="preserve"> la participation et la représentation des victimes et de leurs proches dans le cadre</w:t>
      </w:r>
      <w:r w:rsidRPr="0026653F">
        <w:rPr>
          <w:b/>
          <w:bCs/>
          <w:szCs w:val="22"/>
          <w:lang w:val="fr-FR"/>
        </w:rPr>
        <w:t xml:space="preserve"> </w:t>
      </w:r>
      <w:r w:rsidRPr="0026653F">
        <w:rPr>
          <w:szCs w:val="22"/>
          <w:lang w:val="fr-FR"/>
        </w:rPr>
        <w:t>des processus concernés, ainsi que l’accès à la justice et aux mécanismes connexes afin qu’ils puissent obtenir une réparation complète, équitable, rapide et efficace. De même, garantir des dispositions pour la protection des victimes et des témoins devant les tribunaux pénaux et autres mécanismes de justice, dont la sécurité et l’intégrité personnelle sont affectées du fait d’avoir rapporté l’infraction constituée par la disparition forcée et d’autres infractions entraînant la disparition de personnes</w:t>
      </w:r>
      <w:r w:rsidR="00B22526" w:rsidRPr="0026653F">
        <w:rPr>
          <w:szCs w:val="22"/>
          <w:lang w:val="fr-FR"/>
        </w:rPr>
        <w:t> ;</w:t>
      </w:r>
    </w:p>
    <w:p w14:paraId="219357C9" w14:textId="77777777" w:rsidR="000A6BE0" w:rsidRPr="0026653F" w:rsidRDefault="000A6BE0" w:rsidP="00C618DD">
      <w:pPr>
        <w:suppressAutoHyphens/>
        <w:rPr>
          <w:rFonts w:eastAsia="MS Mincho"/>
          <w:szCs w:val="22"/>
          <w:lang w:val="fr-FR" w:eastAsia="es-ES_tradnl"/>
        </w:rPr>
      </w:pPr>
    </w:p>
    <w:p w14:paraId="2C9B8284" w14:textId="6A279A93"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szCs w:val="22"/>
          <w:lang w:val="fr-FR"/>
        </w:rPr>
        <w:t>renforcer</w:t>
      </w:r>
      <w:proofErr w:type="gramEnd"/>
      <w:r w:rsidRPr="0026653F">
        <w:rPr>
          <w:szCs w:val="22"/>
          <w:lang w:val="fr-FR"/>
        </w:rPr>
        <w:t xml:space="preserve"> les compétences techniques pour la recherche, la récupération </w:t>
      </w:r>
      <w:r w:rsidRPr="0026653F">
        <w:rPr>
          <w:rFonts w:eastAsia="MS Mincho"/>
          <w:bCs/>
          <w:szCs w:val="22"/>
          <w:lang w:val="fr-FR" w:eastAsia="es-ES_tradnl"/>
        </w:rPr>
        <w:t>la conservation et</w:t>
      </w:r>
      <w:r w:rsidRPr="0026653F">
        <w:rPr>
          <w:rFonts w:eastAsia="MS Mincho"/>
          <w:szCs w:val="22"/>
          <w:lang w:val="fr-FR" w:eastAsia="es-ES_tradnl"/>
        </w:rPr>
        <w:t xml:space="preserve"> l’analyse des </w:t>
      </w:r>
      <w:r w:rsidR="00C7070D" w:rsidRPr="0026653F">
        <w:rPr>
          <w:rFonts w:eastAsia="MS Mincho"/>
          <w:szCs w:val="22"/>
          <w:lang w:val="fr-FR" w:eastAsia="es-ES_tradnl"/>
        </w:rPr>
        <w:t>dépouilles</w:t>
      </w:r>
      <w:r w:rsidRPr="0026653F">
        <w:rPr>
          <w:rFonts w:eastAsia="MS Mincho"/>
          <w:szCs w:val="22"/>
          <w:lang w:val="fr-FR" w:eastAsia="es-ES_tradnl"/>
        </w:rPr>
        <w:t xml:space="preserve"> et </w:t>
      </w:r>
      <w:r w:rsidRPr="006D678D">
        <w:rPr>
          <w:rFonts w:eastAsia="MS Mincho"/>
          <w:bCs/>
          <w:szCs w:val="22"/>
          <w:lang w:val="fr-FR" w:eastAsia="es-ES_tradnl"/>
        </w:rPr>
        <w:t>de preuves</w:t>
      </w:r>
      <w:r w:rsidRPr="0026653F">
        <w:rPr>
          <w:rFonts w:eastAsia="MS Mincho"/>
          <w:szCs w:val="22"/>
          <w:lang w:val="fr-FR" w:eastAsia="es-ES_tradnl"/>
        </w:rPr>
        <w:t xml:space="preserve"> associées, ainsi que l’utilisation de </w:t>
      </w:r>
      <w:r w:rsidR="00B22526" w:rsidRPr="0026653F">
        <w:rPr>
          <w:rFonts w:eastAsia="MS Mincho"/>
          <w:szCs w:val="22"/>
          <w:lang w:val="fr-FR" w:eastAsia="es-ES_tradnl"/>
        </w:rPr>
        <w:t xml:space="preserve">diverses </w:t>
      </w:r>
      <w:r w:rsidRPr="0026653F">
        <w:rPr>
          <w:rFonts w:eastAsia="MS Mincho"/>
          <w:szCs w:val="22"/>
          <w:lang w:val="fr-FR" w:eastAsia="es-ES_tradnl"/>
        </w:rPr>
        <w:t>sciences médico-légales</w:t>
      </w:r>
      <w:r w:rsidR="00B22526" w:rsidRPr="0026653F">
        <w:rPr>
          <w:rFonts w:eastAsia="MS Mincho"/>
          <w:szCs w:val="22"/>
          <w:lang w:val="fr-FR" w:eastAsia="es-ES_tradnl"/>
        </w:rPr>
        <w:t> ;</w:t>
      </w:r>
    </w:p>
    <w:p w14:paraId="64EABE88" w14:textId="77777777" w:rsidR="000A6BE0" w:rsidRPr="0026653F" w:rsidRDefault="000A6BE0" w:rsidP="00C618DD">
      <w:pPr>
        <w:suppressAutoHyphens/>
        <w:rPr>
          <w:szCs w:val="22"/>
          <w:lang w:val="fr-FR"/>
        </w:rPr>
      </w:pPr>
    </w:p>
    <w:p w14:paraId="1C9C4EEC" w14:textId="20B25A88" w:rsidR="000A6BE0" w:rsidRPr="00767721"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bCs/>
          <w:szCs w:val="22"/>
          <w:lang w:val="fr-FR"/>
        </w:rPr>
        <w:t>renforcer</w:t>
      </w:r>
      <w:proofErr w:type="gramEnd"/>
      <w:r w:rsidRPr="0026653F">
        <w:rPr>
          <w:bCs/>
          <w:szCs w:val="22"/>
          <w:lang w:val="fr-FR"/>
        </w:rPr>
        <w:t xml:space="preserve"> les institutions médico-légales et les bureaux de recherche des personnes disparues en les dotant des ressources nécessaires (infrastructure, équipement, spécialistes formés) pour mettre en œuvre les normes et les protocoles de récupération, de conservation et d’identification des </w:t>
      </w:r>
      <w:r w:rsidR="003E0AF9" w:rsidRPr="0026653F">
        <w:rPr>
          <w:bCs/>
          <w:szCs w:val="22"/>
          <w:lang w:val="fr-FR"/>
        </w:rPr>
        <w:t>dépouilles</w:t>
      </w:r>
      <w:r w:rsidR="00B22526" w:rsidRPr="0026653F">
        <w:rPr>
          <w:bCs/>
          <w:szCs w:val="22"/>
          <w:lang w:val="fr-FR"/>
        </w:rPr>
        <w:t> ;</w:t>
      </w:r>
    </w:p>
    <w:p w14:paraId="338C77EC" w14:textId="77777777" w:rsidR="000A6BE0" w:rsidRPr="0026653F" w:rsidRDefault="000A6BE0" w:rsidP="00C618DD">
      <w:pPr>
        <w:suppressAutoHyphens/>
        <w:ind w:right="61"/>
        <w:rPr>
          <w:rFonts w:eastAsia="MS Mincho"/>
          <w:szCs w:val="22"/>
          <w:lang w:val="fr-FR" w:eastAsia="es-ES_tradnl"/>
        </w:rPr>
      </w:pPr>
    </w:p>
    <w:p w14:paraId="2EE15773" w14:textId="634CD79F"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bCs/>
          <w:szCs w:val="22"/>
          <w:lang w:val="fr-FR"/>
        </w:rPr>
        <w:t>promouvoir</w:t>
      </w:r>
      <w:proofErr w:type="gramEnd"/>
      <w:r w:rsidRPr="0026653F">
        <w:rPr>
          <w:bCs/>
          <w:szCs w:val="22"/>
          <w:lang w:val="fr-FR"/>
        </w:rPr>
        <w:t xml:space="preserve"> la formation et le renforcement des capacités des acteurs chargés d’apporter un soutien psychosocial et des soins psychologiques pendant le processus de recherche des personnes disparues et de prise en charge de leurs proches</w:t>
      </w:r>
      <w:r w:rsidR="00B22526" w:rsidRPr="0026653F">
        <w:rPr>
          <w:bCs/>
          <w:szCs w:val="22"/>
          <w:lang w:val="fr-FR"/>
        </w:rPr>
        <w:t> ;</w:t>
      </w:r>
    </w:p>
    <w:p w14:paraId="15E4B1E5" w14:textId="77777777" w:rsidR="000A6BE0" w:rsidRPr="0026653F" w:rsidRDefault="000A6BE0" w:rsidP="00C618DD">
      <w:pPr>
        <w:pStyle w:val="ListParagraph"/>
        <w:suppressAutoHyphens/>
        <w:spacing w:after="0" w:line="240" w:lineRule="auto"/>
        <w:ind w:left="0"/>
        <w:rPr>
          <w:rFonts w:ascii="Times New Roman" w:eastAsia="MS Mincho" w:hAnsi="Times New Roman"/>
          <w:lang w:val="fr-FR" w:eastAsia="es-ES_tradnl"/>
        </w:rPr>
      </w:pPr>
    </w:p>
    <w:p w14:paraId="01894CE0" w14:textId="7E0388FA" w:rsidR="000A6BE0" w:rsidRPr="0026653F" w:rsidRDefault="000A6BE0" w:rsidP="00C618DD">
      <w:pPr>
        <w:numPr>
          <w:ilvl w:val="0"/>
          <w:numId w:val="23"/>
        </w:numPr>
        <w:suppressAutoHyphens/>
        <w:ind w:left="2160" w:right="61" w:hanging="720"/>
        <w:rPr>
          <w:rFonts w:eastAsia="MS Mincho"/>
          <w:szCs w:val="22"/>
          <w:lang w:val="fr-FR" w:eastAsia="es-ES_tradnl"/>
        </w:rPr>
      </w:pPr>
      <w:proofErr w:type="gramStart"/>
      <w:r w:rsidRPr="0026653F">
        <w:rPr>
          <w:szCs w:val="22"/>
          <w:lang w:val="fr-FR"/>
        </w:rPr>
        <w:t>garantir</w:t>
      </w:r>
      <w:proofErr w:type="gramEnd"/>
      <w:r w:rsidRPr="0026653F">
        <w:rPr>
          <w:szCs w:val="22"/>
          <w:lang w:val="fr-FR"/>
        </w:rPr>
        <w:t xml:space="preserve"> une gestion et des échanges adéquats d’information, y compris l’information ayant trait aux données personnelles des personnes disparues et de leurs proches par la création de systèmes de gestion de l’information qui collectent, protègent et gèrent les données conformément aux normes et dispositions juridiques nationales et internationales à l’appui de la recherche et de l’identification des personnes disparues</w:t>
      </w:r>
      <w:r w:rsidR="00B22526" w:rsidRPr="0026653F">
        <w:rPr>
          <w:szCs w:val="22"/>
          <w:lang w:val="fr-FR"/>
        </w:rPr>
        <w:t> ;</w:t>
      </w:r>
    </w:p>
    <w:p w14:paraId="0B56E713" w14:textId="77777777" w:rsidR="000A6BE0" w:rsidRPr="0026653F" w:rsidRDefault="000A6BE0" w:rsidP="00C618DD">
      <w:pPr>
        <w:suppressAutoHyphens/>
        <w:rPr>
          <w:szCs w:val="22"/>
          <w:lang w:val="fr-FR"/>
        </w:rPr>
      </w:pPr>
    </w:p>
    <w:p w14:paraId="1FEB7223" w14:textId="77777777" w:rsidR="000A6BE0" w:rsidRPr="00767721" w:rsidRDefault="000A6BE0" w:rsidP="00C618DD">
      <w:pPr>
        <w:numPr>
          <w:ilvl w:val="0"/>
          <w:numId w:val="23"/>
        </w:numPr>
        <w:suppressAutoHyphens/>
        <w:ind w:left="2160" w:right="61" w:hanging="720"/>
        <w:rPr>
          <w:rFonts w:eastAsia="MS Mincho"/>
          <w:bCs/>
          <w:szCs w:val="22"/>
          <w:lang w:val="fr-FR" w:eastAsia="es-ES_tradnl"/>
        </w:rPr>
      </w:pPr>
      <w:proofErr w:type="gramStart"/>
      <w:r w:rsidRPr="0026653F">
        <w:rPr>
          <w:bCs/>
          <w:szCs w:val="22"/>
          <w:lang w:val="fr-FR"/>
        </w:rPr>
        <w:t>promouvoir</w:t>
      </w:r>
      <w:proofErr w:type="gramEnd"/>
      <w:r w:rsidRPr="0026653F">
        <w:rPr>
          <w:bCs/>
          <w:szCs w:val="22"/>
          <w:lang w:val="fr-FR"/>
        </w:rPr>
        <w:t xml:space="preserve"> au sein des institutions médico-légales et des bureaux de recherche des personnes disparues, si nécessaire, des procédures visant à gérer les dossiers des personnes décédées non identifiées et non réclamées, de comparer les informations sur les personnes disparues avec celles sur les personnes décédées et de produire un rapport d’identification scientifique à l’intention des autorités et des proches</w:t>
      </w:r>
      <w:r w:rsidRPr="00767721">
        <w:rPr>
          <w:bCs/>
          <w:szCs w:val="22"/>
          <w:lang w:val="fr-FR"/>
        </w:rPr>
        <w:t>.</w:t>
      </w:r>
    </w:p>
    <w:p w14:paraId="26866A77" w14:textId="77777777" w:rsidR="000A6BE0" w:rsidRPr="0026653F" w:rsidRDefault="000A6BE0" w:rsidP="00C618DD">
      <w:pPr>
        <w:suppressAutoHyphens/>
        <w:rPr>
          <w:rFonts w:eastAsia="MS Mincho"/>
          <w:szCs w:val="22"/>
          <w:lang w:val="fr-FR" w:eastAsia="es-ES_tradnl"/>
        </w:rPr>
      </w:pPr>
    </w:p>
    <w:p w14:paraId="0DAF2CD7" w14:textId="5F9BA661" w:rsidR="000A6BE0" w:rsidRPr="0026653F" w:rsidRDefault="000A6BE0" w:rsidP="00C618DD">
      <w:pPr>
        <w:suppressAutoHyphens/>
        <w:ind w:right="57"/>
        <w:rPr>
          <w:rFonts w:eastAsia="MS Mincho"/>
          <w:i/>
          <w:szCs w:val="22"/>
          <w:lang w:val="fr-FR" w:eastAsia="es-ES_tradnl"/>
        </w:rPr>
      </w:pPr>
      <w:r w:rsidRPr="0026653F">
        <w:rPr>
          <w:rFonts w:eastAsia="MS Mincho"/>
          <w:szCs w:val="22"/>
          <w:lang w:val="fr-FR" w:eastAsia="es-ES_tradnl"/>
        </w:rPr>
        <w:tab/>
      </w:r>
      <w:r w:rsidRPr="0026653F">
        <w:rPr>
          <w:rFonts w:eastAsia="MS Mincho"/>
          <w:bCs/>
          <w:szCs w:val="22"/>
          <w:lang w:val="fr-FR" w:eastAsia="es-ES_tradnl"/>
        </w:rPr>
        <w:t>2.</w:t>
      </w:r>
      <w:r w:rsidRPr="0026653F">
        <w:rPr>
          <w:rFonts w:eastAsia="MS Mincho"/>
          <w:bCs/>
          <w:szCs w:val="22"/>
          <w:lang w:val="fr-FR" w:eastAsia="es-ES_tradnl"/>
        </w:rPr>
        <w:tab/>
      </w:r>
      <w:r w:rsidRPr="0026653F">
        <w:rPr>
          <w:bCs/>
          <w:szCs w:val="22"/>
          <w:lang w:val="fr-FR"/>
        </w:rPr>
        <w:t>D’</w:t>
      </w:r>
      <w:r w:rsidR="005E6199" w:rsidRPr="0026653F">
        <w:rPr>
          <w:bCs/>
          <w:szCs w:val="22"/>
          <w:lang w:val="fr-FR"/>
        </w:rPr>
        <w:t xml:space="preserve">inviter instamment </w:t>
      </w:r>
      <w:r w:rsidRPr="0026653F">
        <w:rPr>
          <w:bCs/>
          <w:szCs w:val="22"/>
          <w:lang w:val="fr-FR"/>
        </w:rPr>
        <w:t>les États membres à assurer la mise en œuvre de la législation applicable dans ce domaine, selon une approche humanitaire.</w:t>
      </w:r>
    </w:p>
    <w:p w14:paraId="1457E885" w14:textId="77777777" w:rsidR="000A6BE0" w:rsidRPr="0026653F" w:rsidRDefault="000A6BE0" w:rsidP="00C618DD">
      <w:pPr>
        <w:suppressAutoHyphens/>
        <w:rPr>
          <w:rFonts w:eastAsia="MS Mincho"/>
          <w:szCs w:val="22"/>
          <w:lang w:val="fr-FR" w:eastAsia="es-ES_tradnl"/>
        </w:rPr>
      </w:pPr>
    </w:p>
    <w:p w14:paraId="0B7FFF30" w14:textId="6231C965" w:rsidR="000A6BE0" w:rsidRPr="00767721" w:rsidRDefault="000A6BE0" w:rsidP="00C618DD">
      <w:pPr>
        <w:suppressAutoHyphens/>
        <w:ind w:right="57"/>
        <w:rPr>
          <w:rFonts w:eastAsia="MS Mincho"/>
          <w:bCs/>
          <w:iCs/>
          <w:szCs w:val="22"/>
          <w:lang w:val="fr-FR" w:eastAsia="es-ES_tradnl"/>
        </w:rPr>
      </w:pPr>
      <w:r w:rsidRPr="0026653F">
        <w:rPr>
          <w:rFonts w:eastAsia="MS Mincho"/>
          <w:szCs w:val="22"/>
          <w:lang w:val="fr-FR" w:eastAsia="es-ES_tradnl"/>
        </w:rPr>
        <w:tab/>
        <w:t>3.</w:t>
      </w:r>
      <w:r w:rsidRPr="0026653F">
        <w:rPr>
          <w:rFonts w:eastAsia="MS Mincho"/>
          <w:szCs w:val="22"/>
          <w:lang w:val="fr-FR" w:eastAsia="es-ES_tradnl"/>
        </w:rPr>
        <w:tab/>
      </w:r>
      <w:r w:rsidRPr="0026653F">
        <w:rPr>
          <w:szCs w:val="22"/>
          <w:lang w:val="fr-FR"/>
        </w:rPr>
        <w:t xml:space="preserve">D’encourager les États membres à ratifier la Convention interaméricaine sur la disparition forcée des personnes et la Convention internationale pour la protection de toutes les </w:t>
      </w:r>
      <w:r w:rsidRPr="0026653F">
        <w:rPr>
          <w:szCs w:val="22"/>
          <w:lang w:val="fr-FR"/>
        </w:rPr>
        <w:lastRenderedPageBreak/>
        <w:t>personnes contre les disparitions forcées, ou à y adhérer, à les incorporer à leur régime juridique, à reconnaître la compétence du Comité contre les disparitions forcées, à échanger des données d’expériences et des bonnes pratiques, à renforcer la coopération internationale et les échanges d’information, à soutenir la participation et l’assistance technique d’institutions internationales et nationales ayant une expérience reconnue dans la recherche de personnes disparues</w:t>
      </w:r>
      <w:r w:rsidR="0006432C" w:rsidRPr="0026653F">
        <w:rPr>
          <w:szCs w:val="22"/>
          <w:lang w:val="fr-FR"/>
        </w:rPr>
        <w:t> ; d</w:t>
      </w:r>
      <w:r w:rsidRPr="0026653F">
        <w:rPr>
          <w:szCs w:val="22"/>
          <w:lang w:val="fr-FR"/>
        </w:rPr>
        <w:t>e même, d’inviter les États membres à continuer de collaborer avec le</w:t>
      </w:r>
      <w:r w:rsidR="006D1B67" w:rsidRPr="0026653F">
        <w:rPr>
          <w:szCs w:val="22"/>
          <w:lang w:val="fr-FR"/>
        </w:rPr>
        <w:t xml:space="preserve"> </w:t>
      </w:r>
      <w:r w:rsidRPr="0026653F">
        <w:rPr>
          <w:szCs w:val="22"/>
          <w:lang w:val="fr-FR"/>
        </w:rPr>
        <w:t>Comité international de la Croix-Rouge en facilitant ses travaux et en accueillant favorablement ses recommandations techniques dans le but de consolider les mesures adoptées par les États dans le processus de recherche des personnes disparues, le traitement digne des dépouilles mortelles et la prise en charge de leurs proches</w:t>
      </w:r>
      <w:r w:rsidRPr="0026653F">
        <w:rPr>
          <w:rFonts w:eastAsia="MS Mincho"/>
          <w:szCs w:val="22"/>
          <w:lang w:val="fr-FR" w:eastAsia="es-ES_tradnl"/>
        </w:rPr>
        <w:t>.</w:t>
      </w:r>
    </w:p>
    <w:p w14:paraId="486D8D7F" w14:textId="77777777" w:rsidR="000A6BE0" w:rsidRPr="0026653F" w:rsidRDefault="000A6BE0" w:rsidP="00C618DD">
      <w:pPr>
        <w:suppressAutoHyphens/>
        <w:ind w:right="57"/>
        <w:rPr>
          <w:rFonts w:eastAsia="MS Mincho"/>
          <w:szCs w:val="22"/>
          <w:lang w:val="fr-FR" w:eastAsia="es-ES_tradnl"/>
        </w:rPr>
      </w:pPr>
    </w:p>
    <w:p w14:paraId="2DDA140C" w14:textId="28EDBD8B" w:rsidR="000A6BE0" w:rsidRPr="0026653F" w:rsidRDefault="000A6BE0" w:rsidP="00C618DD">
      <w:pPr>
        <w:suppressAutoHyphens/>
        <w:ind w:firstLine="720"/>
        <w:rPr>
          <w:rFonts w:eastAsia="MS Mincho"/>
          <w:szCs w:val="22"/>
          <w:lang w:val="fr-FR" w:eastAsia="es-ES_tradnl"/>
        </w:rPr>
      </w:pPr>
      <w:r w:rsidRPr="0026653F">
        <w:rPr>
          <w:bCs/>
          <w:szCs w:val="22"/>
          <w:lang w:val="fr-FR"/>
        </w:rPr>
        <w:t>4.</w:t>
      </w:r>
      <w:r w:rsidRPr="0026653F">
        <w:rPr>
          <w:b/>
          <w:bCs/>
          <w:szCs w:val="22"/>
          <w:lang w:val="fr-FR"/>
        </w:rPr>
        <w:tab/>
      </w:r>
      <w:r w:rsidRPr="0026653F">
        <w:rPr>
          <w:szCs w:val="22"/>
          <w:lang w:val="fr-FR"/>
        </w:rPr>
        <w:t>D’encourager les États membres à promouvoir à l’échelle nationale l’adoption de mesures concernant les dispositions de la résolution AG/RES. 2134 (XXXV-O/05), « Les personnes portées disparues et l’assistance à leurs familles » et des résolutions postérieures sur cette question qui ont été adoptées par cette Assemblée générale et à fournir des informations sur la question, et de charger la CAJP d’inscrire à l’ordre du jour de ses réunions la diffusion de cette information avant la cinquante-deuxième session ordinaire de l’Assemblée générale</w:t>
      </w:r>
      <w:r w:rsidR="00020542" w:rsidRPr="0026653F">
        <w:rPr>
          <w:szCs w:val="22"/>
          <w:lang w:val="fr-FR"/>
        </w:rPr>
        <w:t>.</w:t>
      </w:r>
    </w:p>
    <w:p w14:paraId="223FD67F" w14:textId="77777777" w:rsidR="000A6BE0" w:rsidRPr="0026653F" w:rsidRDefault="000A6BE0" w:rsidP="00C618DD">
      <w:pPr>
        <w:suppressAutoHyphens/>
        <w:rPr>
          <w:szCs w:val="22"/>
          <w:lang w:val="fr-FR"/>
        </w:rPr>
      </w:pPr>
    </w:p>
    <w:p w14:paraId="06147A37" w14:textId="77777777" w:rsidR="000A6BE0" w:rsidRPr="0026653F" w:rsidRDefault="000A6BE0" w:rsidP="00C618DD">
      <w:pPr>
        <w:keepNext/>
        <w:suppressAutoHyphens/>
        <w:ind w:left="720" w:hanging="720"/>
        <w:rPr>
          <w:szCs w:val="22"/>
          <w:lang w:val="fr-FR"/>
        </w:rPr>
      </w:pPr>
      <w:r w:rsidRPr="0026653F">
        <w:rPr>
          <w:szCs w:val="22"/>
          <w:lang w:val="fr-FR"/>
        </w:rPr>
        <w:t>viii.</w:t>
      </w:r>
      <w:r w:rsidRPr="0026653F">
        <w:rPr>
          <w:szCs w:val="22"/>
          <w:lang w:val="fr-FR"/>
        </w:rPr>
        <w:tab/>
      </w:r>
      <w:r w:rsidRPr="0026653F">
        <w:rPr>
          <w:szCs w:val="22"/>
          <w:u w:val="single"/>
          <w:lang w:val="fr-FR"/>
        </w:rPr>
        <w:t>Renforcement du Mécanisme de suivi de la mise en œuvre du Protocole de San Salvador</w:t>
      </w:r>
    </w:p>
    <w:p w14:paraId="5AA14CAC" w14:textId="77777777" w:rsidR="000A6BE0" w:rsidRPr="0026653F" w:rsidRDefault="000A6BE0" w:rsidP="00C618DD">
      <w:pPr>
        <w:keepNext/>
        <w:suppressAutoHyphens/>
        <w:rPr>
          <w:szCs w:val="22"/>
          <w:lang w:val="fr-FR"/>
        </w:rPr>
      </w:pPr>
    </w:p>
    <w:p w14:paraId="79074144" w14:textId="5B338B15" w:rsidR="000A6BE0" w:rsidRPr="0026653F" w:rsidRDefault="000A6BE0" w:rsidP="00C618DD">
      <w:pPr>
        <w:suppressAutoHyphens/>
        <w:ind w:firstLine="720"/>
        <w:rPr>
          <w:i/>
          <w:szCs w:val="22"/>
          <w:lang w:val="fr-FR"/>
        </w:rPr>
      </w:pPr>
      <w:r w:rsidRPr="0026653F">
        <w:rPr>
          <w:szCs w:val="22"/>
          <w:lang w:val="fr-FR"/>
        </w:rPr>
        <w:t xml:space="preserve">SOULIGNANT qu’à ce jour, </w:t>
      </w:r>
      <w:r w:rsidRPr="0026653F">
        <w:rPr>
          <w:bCs/>
          <w:szCs w:val="22"/>
          <w:lang w:val="fr-FR"/>
        </w:rPr>
        <w:t>seul</w:t>
      </w:r>
      <w:r w:rsidR="00A7065C" w:rsidRPr="0026653F">
        <w:rPr>
          <w:bCs/>
          <w:szCs w:val="22"/>
          <w:lang w:val="fr-FR"/>
        </w:rPr>
        <w:t xml:space="preserve">s </w:t>
      </w:r>
      <w:r w:rsidR="006D678D">
        <w:rPr>
          <w:szCs w:val="22"/>
          <w:lang w:val="fr-FR"/>
        </w:rPr>
        <w:t>16</w:t>
      </w:r>
      <w:r w:rsidRPr="0026653F">
        <w:rPr>
          <w:szCs w:val="22"/>
          <w:lang w:val="fr-FR"/>
        </w:rPr>
        <w:t xml:space="preserve"> États membres ont ratifié le Protocole additionnel à la Convention américaine relative aux droits de l’homme traitant des droits économiques, sociaux et culturels (Protocole de San Salvador), dont l’article 19 établit que les États parties s’engagent à présenter des rapports nationaux périodiques sur les mesures progressives qui ont été adoptées pour assurer le plein exercice et respect des droits consacrés dans cet instrument,</w:t>
      </w:r>
    </w:p>
    <w:p w14:paraId="265FC54A" w14:textId="77777777" w:rsidR="000A6BE0" w:rsidRPr="0026653F" w:rsidRDefault="000A6BE0" w:rsidP="00C618DD">
      <w:pPr>
        <w:suppressAutoHyphens/>
        <w:rPr>
          <w:strike/>
          <w:color w:val="000000"/>
          <w:szCs w:val="22"/>
          <w:lang w:val="fr-FR"/>
        </w:rPr>
      </w:pPr>
    </w:p>
    <w:p w14:paraId="43207DD3" w14:textId="1545841A" w:rsidR="000A6BE0" w:rsidRPr="0026653F" w:rsidRDefault="000A6BE0" w:rsidP="00C618DD">
      <w:pPr>
        <w:suppressAutoHyphens/>
        <w:ind w:firstLine="720"/>
        <w:rPr>
          <w:szCs w:val="22"/>
          <w:lang w:val="fr-FR"/>
        </w:rPr>
      </w:pPr>
      <w:r w:rsidRPr="0026653F">
        <w:rPr>
          <w:szCs w:val="22"/>
          <w:lang w:val="fr-FR"/>
        </w:rPr>
        <w:t>SOULIGNANT que, conformément aux principes envisagés dans l’actualisation d</w:t>
      </w:r>
      <w:r w:rsidR="00A7065C" w:rsidRPr="0026653F">
        <w:rPr>
          <w:szCs w:val="22"/>
          <w:lang w:val="fr-FR"/>
        </w:rPr>
        <w:t xml:space="preserve">u document </w:t>
      </w:r>
      <w:r w:rsidRPr="0026653F">
        <w:rPr>
          <w:szCs w:val="22"/>
          <w:lang w:val="fr-FR"/>
        </w:rPr>
        <w:t xml:space="preserve">« Composition et fonctionnement du </w:t>
      </w:r>
      <w:r w:rsidR="006D1B67" w:rsidRPr="0026653F">
        <w:rPr>
          <w:szCs w:val="22"/>
          <w:lang w:val="fr-FR"/>
        </w:rPr>
        <w:t>Groupe de travail chargé d'examiner les rapports nationaux évoqués dans le Protocole de San Salvador »</w:t>
      </w:r>
      <w:r w:rsidRPr="0026653F">
        <w:rPr>
          <w:szCs w:val="22"/>
          <w:lang w:val="fr-FR"/>
        </w:rPr>
        <w:t>, conformément à la résolution AG/RES. 2908 (XLVII-O/17), depuis aout 2019</w:t>
      </w:r>
      <w:r w:rsidR="006D1B67" w:rsidRPr="0026653F">
        <w:rPr>
          <w:szCs w:val="22"/>
          <w:lang w:val="fr-FR"/>
        </w:rPr>
        <w:t xml:space="preserve">, ce </w:t>
      </w:r>
      <w:r w:rsidRPr="0026653F">
        <w:rPr>
          <w:szCs w:val="22"/>
          <w:lang w:val="fr-FR"/>
        </w:rPr>
        <w:t>groupe de travail est composé majoritairement de femmes,</w:t>
      </w:r>
    </w:p>
    <w:p w14:paraId="5087EE9A" w14:textId="77777777" w:rsidR="000A6BE0" w:rsidRPr="0026653F" w:rsidRDefault="000A6BE0" w:rsidP="00C618DD">
      <w:pPr>
        <w:suppressAutoHyphens/>
        <w:rPr>
          <w:szCs w:val="22"/>
          <w:lang w:val="fr-FR"/>
        </w:rPr>
      </w:pPr>
    </w:p>
    <w:p w14:paraId="09D979D1" w14:textId="544FEAA7" w:rsidR="000A6BE0" w:rsidRPr="00767721" w:rsidRDefault="000A6BE0" w:rsidP="00C618DD">
      <w:pPr>
        <w:suppressAutoHyphens/>
        <w:ind w:firstLine="708"/>
        <w:rPr>
          <w:bCs/>
          <w:iCs/>
          <w:szCs w:val="22"/>
          <w:lang w:val="fr-FR"/>
        </w:rPr>
      </w:pPr>
      <w:r w:rsidRPr="0026653F">
        <w:rPr>
          <w:szCs w:val="22"/>
          <w:lang w:val="fr-FR"/>
        </w:rPr>
        <w:t xml:space="preserve">PRÉOCCUPÉE par la grave crise </w:t>
      </w:r>
      <w:r w:rsidR="00A7065C" w:rsidRPr="0026653F">
        <w:rPr>
          <w:szCs w:val="22"/>
          <w:lang w:val="fr-FR"/>
        </w:rPr>
        <w:t xml:space="preserve">constituée par la pandémie </w:t>
      </w:r>
      <w:r w:rsidRPr="0026653F">
        <w:rPr>
          <w:szCs w:val="22"/>
          <w:lang w:val="fr-FR"/>
        </w:rPr>
        <w:t xml:space="preserve">de COVID-19 qui a créé des obstacles à l’exercice des droits consacrés dans le Protocole de San Salvador comme le droit à la santé, à l’éducation, à une alimentation adéquate, à la sécurité sociale et au travail, entre autres, et qui a élargi les fossés auxquels les groupes victimes de discrimination </w:t>
      </w:r>
      <w:r w:rsidR="00C04901" w:rsidRPr="0026653F">
        <w:rPr>
          <w:szCs w:val="22"/>
          <w:lang w:val="fr-FR"/>
        </w:rPr>
        <w:t xml:space="preserve">de par l’histoire </w:t>
      </w:r>
      <w:r w:rsidRPr="0026653F">
        <w:rPr>
          <w:szCs w:val="22"/>
          <w:lang w:val="fr-FR"/>
        </w:rPr>
        <w:t xml:space="preserve">et en situation de vulnérabilité </w:t>
      </w:r>
      <w:r w:rsidR="00C04901" w:rsidRPr="0026653F">
        <w:rPr>
          <w:szCs w:val="22"/>
          <w:lang w:val="fr-FR"/>
        </w:rPr>
        <w:t>font face</w:t>
      </w:r>
      <w:r w:rsidRPr="0026653F">
        <w:rPr>
          <w:szCs w:val="22"/>
          <w:lang w:val="fr-FR"/>
        </w:rPr>
        <w:t xml:space="preserve"> pour exercer leurs droits et reconnaissant à cet égard les efforts déployés par le Groupe de travail pour </w:t>
      </w:r>
      <w:r w:rsidR="00C04901" w:rsidRPr="0026653F">
        <w:rPr>
          <w:szCs w:val="22"/>
          <w:lang w:val="fr-FR"/>
        </w:rPr>
        <w:t>soutenir</w:t>
      </w:r>
      <w:r w:rsidRPr="0026653F">
        <w:rPr>
          <w:szCs w:val="22"/>
          <w:lang w:val="fr-FR"/>
        </w:rPr>
        <w:t xml:space="preserve"> les États membres dans leur réponse à la pandémie par le biais de diverses activités,</w:t>
      </w:r>
    </w:p>
    <w:p w14:paraId="772301AB" w14:textId="77777777" w:rsidR="000A6BE0" w:rsidRPr="0026653F" w:rsidRDefault="000A6BE0" w:rsidP="00C618DD">
      <w:pPr>
        <w:suppressAutoHyphens/>
        <w:rPr>
          <w:szCs w:val="22"/>
          <w:lang w:val="fr-FR"/>
        </w:rPr>
      </w:pPr>
    </w:p>
    <w:p w14:paraId="1503E68C" w14:textId="78422CE8" w:rsidR="000A6BE0" w:rsidRPr="0026653F" w:rsidRDefault="000A6BE0" w:rsidP="00C618DD">
      <w:pPr>
        <w:suppressAutoHyphens/>
        <w:ind w:firstLine="708"/>
        <w:rPr>
          <w:bCs/>
          <w:iCs/>
          <w:szCs w:val="22"/>
          <w:lang w:val="fr-FR"/>
        </w:rPr>
      </w:pPr>
      <w:r w:rsidRPr="0026653F">
        <w:rPr>
          <w:bCs/>
          <w:szCs w:val="22"/>
          <w:lang w:val="fr-FR"/>
        </w:rPr>
        <w:t>RECONNAISSANT la contribution du Bureau du Rapporteur spécial pour les droits économiques, sociaux, culturels et environnementaux</w:t>
      </w:r>
      <w:r w:rsidR="00C04901" w:rsidRPr="0026653F">
        <w:rPr>
          <w:bCs/>
          <w:szCs w:val="22"/>
          <w:lang w:val="fr-FR"/>
        </w:rPr>
        <w:t xml:space="preserve"> en qualité de représentant</w:t>
      </w:r>
      <w:r w:rsidRPr="0026653F">
        <w:rPr>
          <w:bCs/>
          <w:szCs w:val="22"/>
          <w:lang w:val="fr-FR"/>
        </w:rPr>
        <w:t xml:space="preserve"> de la C</w:t>
      </w:r>
      <w:r w:rsidR="00A7065C" w:rsidRPr="0026653F">
        <w:rPr>
          <w:bCs/>
          <w:szCs w:val="22"/>
          <w:lang w:val="fr-FR"/>
        </w:rPr>
        <w:t xml:space="preserve">IDH </w:t>
      </w:r>
      <w:r w:rsidRPr="0026653F">
        <w:rPr>
          <w:bCs/>
          <w:szCs w:val="22"/>
          <w:lang w:val="fr-FR"/>
        </w:rPr>
        <w:t xml:space="preserve">au sein du </w:t>
      </w:r>
      <w:r w:rsidR="00C04901" w:rsidRPr="0026653F">
        <w:rPr>
          <w:bCs/>
          <w:szCs w:val="22"/>
          <w:lang w:val="fr-FR"/>
        </w:rPr>
        <w:t>Groupe de travail,</w:t>
      </w:r>
      <w:r w:rsidRPr="0026653F">
        <w:rPr>
          <w:bCs/>
          <w:szCs w:val="22"/>
          <w:lang w:val="fr-FR"/>
        </w:rPr>
        <w:t xml:space="preserve"> et prenant note de ses rapports,</w:t>
      </w:r>
    </w:p>
    <w:p w14:paraId="51B05237" w14:textId="77777777" w:rsidR="000A6BE0" w:rsidRPr="0026653F" w:rsidRDefault="000A6BE0" w:rsidP="00C618DD">
      <w:pPr>
        <w:suppressAutoHyphens/>
        <w:rPr>
          <w:szCs w:val="22"/>
          <w:lang w:val="fr-FR"/>
        </w:rPr>
      </w:pPr>
    </w:p>
    <w:p w14:paraId="744EDB26" w14:textId="77777777" w:rsidR="000A6BE0" w:rsidRPr="0026653F" w:rsidRDefault="000A6BE0" w:rsidP="00C618DD">
      <w:pPr>
        <w:suppressAutoHyphens/>
        <w:rPr>
          <w:szCs w:val="22"/>
          <w:lang w:val="fr-FR"/>
        </w:rPr>
      </w:pPr>
      <w:r w:rsidRPr="0026653F">
        <w:rPr>
          <w:szCs w:val="22"/>
          <w:lang w:val="fr-FR"/>
        </w:rPr>
        <w:t>DÉCIDE :</w:t>
      </w:r>
    </w:p>
    <w:p w14:paraId="103A3279" w14:textId="77777777" w:rsidR="000A6BE0" w:rsidRPr="0026653F" w:rsidRDefault="000A6BE0" w:rsidP="00C618DD">
      <w:pPr>
        <w:suppressAutoHyphens/>
        <w:rPr>
          <w:szCs w:val="22"/>
          <w:lang w:val="fr-FR"/>
        </w:rPr>
      </w:pPr>
    </w:p>
    <w:p w14:paraId="23AF1491" w14:textId="77777777" w:rsidR="000A6BE0" w:rsidRPr="0026653F" w:rsidRDefault="000A6BE0" w:rsidP="00C618DD">
      <w:pPr>
        <w:suppressAutoHyphens/>
        <w:ind w:firstLine="720"/>
        <w:rPr>
          <w:iCs/>
          <w:color w:val="000000"/>
          <w:szCs w:val="22"/>
          <w:lang w:val="fr-FR"/>
        </w:rPr>
      </w:pPr>
      <w:r w:rsidRPr="0026653F">
        <w:rPr>
          <w:szCs w:val="22"/>
          <w:lang w:val="fr-FR"/>
        </w:rPr>
        <w:t>1.</w:t>
      </w:r>
      <w:r w:rsidRPr="0026653F">
        <w:rPr>
          <w:szCs w:val="22"/>
          <w:lang w:val="fr-FR"/>
        </w:rPr>
        <w:tab/>
        <w:t xml:space="preserve">De féliciter pour leur engagement et leurs efforts les États parties qui ont respecté les délais établis pour la remise des rapports nationaux, en particulier ceux qui ont remis leur rapport </w:t>
      </w:r>
      <w:r w:rsidRPr="0026653F">
        <w:rPr>
          <w:szCs w:val="22"/>
          <w:lang w:val="fr-FR"/>
        </w:rPr>
        <w:lastRenderedPageBreak/>
        <w:t>national global, et à cet égard de demander aux États parties qui ne l’ont pas encore fait de remettre promptement les rapports nationaux en suspens.</w:t>
      </w:r>
    </w:p>
    <w:p w14:paraId="0EB4B288" w14:textId="77777777" w:rsidR="000A6BE0" w:rsidRPr="0026653F" w:rsidRDefault="000A6BE0" w:rsidP="00C618DD">
      <w:pPr>
        <w:suppressAutoHyphens/>
        <w:rPr>
          <w:strike/>
          <w:szCs w:val="22"/>
          <w:lang w:val="fr-FR"/>
        </w:rPr>
      </w:pPr>
    </w:p>
    <w:p w14:paraId="4531B331" w14:textId="5B331356" w:rsidR="000A6BE0" w:rsidRPr="00767721" w:rsidRDefault="000A6BE0" w:rsidP="00C618DD">
      <w:pPr>
        <w:suppressAutoHyphens/>
        <w:ind w:firstLine="720"/>
        <w:rPr>
          <w:rFonts w:eastAsia="DengXian"/>
          <w:bCs/>
          <w:szCs w:val="22"/>
          <w:lang w:val="fr-FR"/>
        </w:rPr>
      </w:pPr>
      <w:r w:rsidRPr="0026653F">
        <w:rPr>
          <w:szCs w:val="22"/>
          <w:lang w:val="fr-FR"/>
        </w:rPr>
        <w:t>2.</w:t>
      </w:r>
      <w:r w:rsidRPr="0026653F">
        <w:rPr>
          <w:szCs w:val="22"/>
          <w:lang w:val="fr-FR"/>
        </w:rPr>
        <w:tab/>
        <w:t xml:space="preserve">D’inviter </w:t>
      </w:r>
      <w:r w:rsidRPr="0026653F">
        <w:rPr>
          <w:color w:val="000000"/>
          <w:szCs w:val="22"/>
          <w:lang w:val="fr-FR"/>
        </w:rPr>
        <w:t xml:space="preserve">les États membres à envisager de signer ou de ratifier le Protocole additionnel à la </w:t>
      </w:r>
      <w:r w:rsidRPr="0026653F">
        <w:rPr>
          <w:szCs w:val="22"/>
          <w:lang w:val="fr-FR"/>
        </w:rPr>
        <w:t>Convention américaine relative aux droits de l’homme traitant des droits économiques, sociaux et culturels (</w:t>
      </w:r>
      <w:r w:rsidRPr="0026653F">
        <w:rPr>
          <w:color w:val="000000"/>
          <w:szCs w:val="22"/>
          <w:lang w:val="fr-FR"/>
        </w:rPr>
        <w:t xml:space="preserve">Protocole de San Salvador) </w:t>
      </w:r>
      <w:r w:rsidR="00C04901" w:rsidRPr="0026653F">
        <w:rPr>
          <w:color w:val="000000"/>
          <w:szCs w:val="22"/>
          <w:lang w:val="fr-FR"/>
        </w:rPr>
        <w:t xml:space="preserve">ou d’y adhérer, selon le cas, </w:t>
      </w:r>
      <w:r w:rsidRPr="0026653F">
        <w:rPr>
          <w:color w:val="000000"/>
          <w:szCs w:val="22"/>
          <w:lang w:val="fr-FR"/>
        </w:rPr>
        <w:t xml:space="preserve">et </w:t>
      </w:r>
      <w:r w:rsidR="00C04901" w:rsidRPr="0026653F">
        <w:rPr>
          <w:color w:val="000000"/>
          <w:szCs w:val="22"/>
          <w:lang w:val="fr-FR"/>
        </w:rPr>
        <w:t xml:space="preserve">d’inviter </w:t>
      </w:r>
      <w:r w:rsidRPr="0026653F">
        <w:rPr>
          <w:color w:val="000000"/>
          <w:szCs w:val="22"/>
          <w:lang w:val="fr-FR"/>
        </w:rPr>
        <w:t xml:space="preserve">les États membres, les observateurs permanents, ainsi que des personnes ou entités publiques ou privées, nationales ou internationales, à contribuer au Fonds spécifique pour le Groupe de travail chargé d’examiner les rapports nationaux évoqués dans le Protocole de San Salvador, tel que défini à l’article </w:t>
      </w:r>
      <w:r w:rsidR="006A6151" w:rsidRPr="0026653F">
        <w:rPr>
          <w:color w:val="000000"/>
          <w:szCs w:val="22"/>
          <w:lang w:val="fr-FR"/>
        </w:rPr>
        <w:t>80</w:t>
      </w:r>
      <w:r w:rsidRPr="0026653F">
        <w:rPr>
          <w:color w:val="000000"/>
          <w:szCs w:val="22"/>
          <w:lang w:val="fr-FR"/>
        </w:rPr>
        <w:t xml:space="preserve"> des Normes générales de fonctionnement du Secrétariat général et </w:t>
      </w:r>
      <w:r w:rsidR="00036B43" w:rsidRPr="0026653F">
        <w:rPr>
          <w:color w:val="000000"/>
          <w:szCs w:val="22"/>
          <w:lang w:val="fr-FR"/>
        </w:rPr>
        <w:t>d’</w:t>
      </w:r>
      <w:r w:rsidRPr="0026653F">
        <w:rPr>
          <w:color w:val="000000"/>
          <w:szCs w:val="22"/>
          <w:lang w:val="fr-FR"/>
        </w:rPr>
        <w:t>autres dispositions établies par l’Organisation</w:t>
      </w:r>
      <w:r w:rsidR="00036B43" w:rsidRPr="0026653F">
        <w:rPr>
          <w:color w:val="000000"/>
          <w:szCs w:val="22"/>
          <w:lang w:val="fr-FR"/>
        </w:rPr>
        <w:t>,</w:t>
      </w:r>
      <w:r w:rsidRPr="0026653F">
        <w:rPr>
          <w:color w:val="000000"/>
          <w:szCs w:val="22"/>
          <w:lang w:val="fr-FR"/>
        </w:rPr>
        <w:t xml:space="preserve"> et </w:t>
      </w:r>
      <w:r w:rsidR="00036B43" w:rsidRPr="0026653F">
        <w:rPr>
          <w:color w:val="000000"/>
          <w:szCs w:val="22"/>
          <w:lang w:val="fr-FR"/>
        </w:rPr>
        <w:t xml:space="preserve">d’appeler les </w:t>
      </w:r>
      <w:r w:rsidRPr="0026653F">
        <w:rPr>
          <w:color w:val="000000"/>
          <w:szCs w:val="22"/>
          <w:lang w:val="fr-FR"/>
        </w:rPr>
        <w:t xml:space="preserve">États parties </w:t>
      </w:r>
      <w:r w:rsidR="00036B43" w:rsidRPr="0026653F">
        <w:rPr>
          <w:color w:val="000000"/>
          <w:szCs w:val="22"/>
          <w:lang w:val="fr-FR"/>
        </w:rPr>
        <w:t xml:space="preserve">à envisager </w:t>
      </w:r>
      <w:r w:rsidRPr="0026653F">
        <w:rPr>
          <w:color w:val="000000"/>
          <w:szCs w:val="22"/>
          <w:lang w:val="fr-FR"/>
        </w:rPr>
        <w:t>d’accueillir dans leur pays les réunions du Groupe de travail</w:t>
      </w:r>
      <w:r w:rsidR="00036B43" w:rsidRPr="0026653F">
        <w:rPr>
          <w:color w:val="000000"/>
          <w:szCs w:val="22"/>
          <w:lang w:val="fr-FR"/>
        </w:rPr>
        <w:t xml:space="preserve"> à titre de moyen appelé à soutenir et </w:t>
      </w:r>
      <w:r w:rsidRPr="0026653F">
        <w:rPr>
          <w:color w:val="000000"/>
          <w:szCs w:val="22"/>
          <w:lang w:val="fr-FR"/>
        </w:rPr>
        <w:t>diffuser ses travaux et</w:t>
      </w:r>
      <w:r w:rsidR="00036B43" w:rsidRPr="0026653F">
        <w:rPr>
          <w:color w:val="000000"/>
          <w:szCs w:val="22"/>
          <w:lang w:val="fr-FR"/>
        </w:rPr>
        <w:t>, d</w:t>
      </w:r>
      <w:r w:rsidRPr="0026653F">
        <w:rPr>
          <w:color w:val="000000"/>
          <w:szCs w:val="22"/>
          <w:lang w:val="fr-FR"/>
        </w:rPr>
        <w:t>’encourager les États membres à envisager d’allouer des fonds du Fonds ordinaire pour ce mécanisme.</w:t>
      </w:r>
    </w:p>
    <w:p w14:paraId="1EB449F3" w14:textId="77777777" w:rsidR="000A6BE0" w:rsidRPr="0026653F" w:rsidRDefault="000A6BE0" w:rsidP="00C618DD">
      <w:pPr>
        <w:suppressAutoHyphens/>
        <w:rPr>
          <w:szCs w:val="22"/>
          <w:lang w:val="fr-FR"/>
        </w:rPr>
      </w:pPr>
    </w:p>
    <w:p w14:paraId="0585BF61" w14:textId="3956120C" w:rsidR="000A6BE0" w:rsidRPr="00767721" w:rsidRDefault="000A6BE0" w:rsidP="00C618DD">
      <w:pPr>
        <w:suppressAutoHyphens/>
        <w:ind w:firstLine="720"/>
        <w:rPr>
          <w:bCs/>
          <w:szCs w:val="22"/>
          <w:lang w:val="fr-FR"/>
        </w:rPr>
      </w:pPr>
      <w:r w:rsidRPr="0026653F">
        <w:rPr>
          <w:szCs w:val="22"/>
          <w:lang w:val="fr-FR"/>
        </w:rPr>
        <w:t>3.</w:t>
      </w:r>
      <w:r w:rsidRPr="0026653F">
        <w:rPr>
          <w:szCs w:val="22"/>
          <w:lang w:val="fr-FR"/>
        </w:rPr>
        <w:tab/>
        <w:t xml:space="preserve">D’exhorter le </w:t>
      </w:r>
      <w:r w:rsidR="00036B43" w:rsidRPr="0026653F">
        <w:rPr>
          <w:szCs w:val="22"/>
          <w:lang w:val="fr-FR"/>
        </w:rPr>
        <w:t xml:space="preserve">Groupe de travail </w:t>
      </w:r>
      <w:r w:rsidRPr="0026653F">
        <w:rPr>
          <w:szCs w:val="22"/>
          <w:lang w:val="fr-FR"/>
        </w:rPr>
        <w:t xml:space="preserve">à renforcer le soutien en matière de formation et d’assistance technique aux États membres de l’OEA, quand ils en font la demande, </w:t>
      </w:r>
      <w:r w:rsidRPr="0026653F">
        <w:rPr>
          <w:color w:val="000000"/>
          <w:szCs w:val="22"/>
          <w:lang w:val="fr-FR"/>
        </w:rPr>
        <w:t>et selon la disponibilité des ressources</w:t>
      </w:r>
      <w:r w:rsidRPr="0026653F">
        <w:rPr>
          <w:szCs w:val="22"/>
          <w:lang w:val="fr-FR"/>
        </w:rPr>
        <w:t>, pendant et après la pandémie de COVID-19, en tenant compte des conséquences qu’aura la pandémie sur la jouissance des droits économiques, sociaux, culturels et environnementaux</w:t>
      </w:r>
      <w:r w:rsidRPr="0026653F">
        <w:rPr>
          <w:rStyle w:val="FootnoteReference"/>
          <w:szCs w:val="22"/>
          <w:u w:val="single"/>
          <w:vertAlign w:val="superscript"/>
          <w:lang w:val="fr-FR"/>
        </w:rPr>
        <w:footnoteReference w:id="83"/>
      </w:r>
      <w:r w:rsidRPr="0026653F">
        <w:rPr>
          <w:szCs w:val="22"/>
          <w:vertAlign w:val="superscript"/>
          <w:lang w:val="fr-FR"/>
        </w:rPr>
        <w:t>/</w:t>
      </w:r>
      <w:r w:rsidRPr="0026653F">
        <w:rPr>
          <w:szCs w:val="22"/>
          <w:lang w:val="fr-FR"/>
        </w:rPr>
        <w:t xml:space="preserve">, en particulier sur les groupes ayant </w:t>
      </w:r>
      <w:r w:rsidR="00036B43" w:rsidRPr="0026653F">
        <w:rPr>
          <w:szCs w:val="22"/>
          <w:lang w:val="fr-FR"/>
        </w:rPr>
        <w:t xml:space="preserve">fait </w:t>
      </w:r>
      <w:r w:rsidRPr="0026653F">
        <w:rPr>
          <w:szCs w:val="22"/>
          <w:lang w:val="fr-FR"/>
        </w:rPr>
        <w:t xml:space="preserve">l’objet de discrimination </w:t>
      </w:r>
      <w:r w:rsidR="00036B43" w:rsidRPr="0026653F">
        <w:rPr>
          <w:szCs w:val="22"/>
          <w:lang w:val="fr-FR"/>
        </w:rPr>
        <w:t xml:space="preserve">de par l’histoire </w:t>
      </w:r>
      <w:r w:rsidRPr="0026653F">
        <w:rPr>
          <w:szCs w:val="22"/>
          <w:lang w:val="fr-FR"/>
        </w:rPr>
        <w:t xml:space="preserve">ainsi que ceux en situation de vulnérabilité, de même, lorsqu’ils en font la demande, dans le cadre du processus d’élaboration des rapports nationaux </w:t>
      </w:r>
      <w:r w:rsidR="00036B43" w:rsidRPr="0026653F">
        <w:rPr>
          <w:szCs w:val="22"/>
          <w:lang w:val="fr-FR"/>
        </w:rPr>
        <w:t xml:space="preserve">et de </w:t>
      </w:r>
      <w:r w:rsidRPr="0026653F">
        <w:rPr>
          <w:szCs w:val="22"/>
          <w:lang w:val="fr-FR"/>
        </w:rPr>
        <w:t>suivi de ses observations.</w:t>
      </w:r>
    </w:p>
    <w:p w14:paraId="770BA661" w14:textId="77777777" w:rsidR="000A6BE0" w:rsidRPr="0026653F" w:rsidRDefault="000A6BE0" w:rsidP="00C618DD">
      <w:pPr>
        <w:suppressAutoHyphens/>
        <w:rPr>
          <w:szCs w:val="22"/>
          <w:lang w:val="fr-FR"/>
        </w:rPr>
      </w:pPr>
    </w:p>
    <w:p w14:paraId="14FAD5A5" w14:textId="102CBD7F" w:rsidR="000A6BE0" w:rsidRPr="0026653F" w:rsidRDefault="000A6BE0" w:rsidP="00C618DD">
      <w:pPr>
        <w:suppressAutoHyphens/>
        <w:rPr>
          <w:i/>
          <w:szCs w:val="22"/>
          <w:lang w:val="fr-FR"/>
        </w:rPr>
      </w:pPr>
      <w:r w:rsidRPr="0026653F">
        <w:rPr>
          <w:szCs w:val="22"/>
          <w:lang w:val="fr-FR"/>
        </w:rPr>
        <w:tab/>
        <w:t>4.</w:t>
      </w:r>
      <w:r w:rsidRPr="0026653F">
        <w:rPr>
          <w:szCs w:val="22"/>
          <w:lang w:val="fr-FR"/>
        </w:rPr>
        <w:tab/>
        <w:t xml:space="preserve">De demander au Secrétariat général d’appuyer le plein fonctionnement du Groupe de travail en lui allouant des fonds pour développer ses activités et d’assurer la diffusion </w:t>
      </w:r>
      <w:proofErr w:type="gramStart"/>
      <w:r w:rsidRPr="0026653F">
        <w:rPr>
          <w:szCs w:val="22"/>
          <w:lang w:val="fr-FR"/>
        </w:rPr>
        <w:t>la plus large possible</w:t>
      </w:r>
      <w:proofErr w:type="gramEnd"/>
      <w:r w:rsidRPr="0026653F">
        <w:rPr>
          <w:szCs w:val="22"/>
          <w:lang w:val="fr-FR"/>
        </w:rPr>
        <w:t xml:space="preserve"> des progrès réalisés par le système des rapports nationaux.</w:t>
      </w:r>
    </w:p>
    <w:p w14:paraId="75E2DEE6" w14:textId="77777777" w:rsidR="000A6BE0" w:rsidRPr="0026653F" w:rsidRDefault="000A6BE0" w:rsidP="00C618DD">
      <w:pPr>
        <w:suppressAutoHyphens/>
        <w:rPr>
          <w:szCs w:val="22"/>
          <w:lang w:val="fr-FR"/>
        </w:rPr>
      </w:pPr>
    </w:p>
    <w:p w14:paraId="1B8E1418" w14:textId="77777777" w:rsidR="000A6BE0" w:rsidRPr="00767721" w:rsidRDefault="000A6BE0" w:rsidP="00C618DD">
      <w:pPr>
        <w:suppressAutoHyphens/>
        <w:snapToGrid w:val="0"/>
        <w:ind w:left="720" w:hanging="720"/>
        <w:rPr>
          <w:szCs w:val="22"/>
          <w:lang w:val="fr-FR"/>
        </w:rPr>
      </w:pPr>
      <w:r w:rsidRPr="0026653F">
        <w:rPr>
          <w:szCs w:val="22"/>
          <w:lang w:val="fr-FR"/>
        </w:rPr>
        <w:t xml:space="preserve">ix. </w:t>
      </w:r>
      <w:r w:rsidRPr="0026653F">
        <w:rPr>
          <w:szCs w:val="22"/>
          <w:lang w:val="fr-FR"/>
        </w:rPr>
        <w:tab/>
      </w:r>
      <w:r w:rsidRPr="0026653F">
        <w:rPr>
          <w:szCs w:val="22"/>
          <w:u w:val="single"/>
          <w:lang w:val="fr-FR"/>
        </w:rPr>
        <w:t>Promotion de la Convention interaméricaine contre le racisme, la discrimination raciale et les formes connexes d’intolérance et de la lutte contre toutes les formes de discrimination</w:t>
      </w:r>
    </w:p>
    <w:p w14:paraId="34A59DFB" w14:textId="77777777" w:rsidR="000A6BE0" w:rsidRPr="0026653F" w:rsidRDefault="000A6BE0" w:rsidP="00C618DD">
      <w:pPr>
        <w:suppressAutoHyphens/>
        <w:snapToGrid w:val="0"/>
        <w:rPr>
          <w:szCs w:val="22"/>
          <w:lang w:val="fr-FR"/>
        </w:rPr>
      </w:pPr>
    </w:p>
    <w:p w14:paraId="50AA880A" w14:textId="1F6E7A7E" w:rsidR="000A6BE0" w:rsidRPr="00767721" w:rsidRDefault="000A6BE0" w:rsidP="00C618DD">
      <w:pPr>
        <w:suppressAutoHyphens/>
        <w:snapToGrid w:val="0"/>
        <w:ind w:firstLine="720"/>
        <w:rPr>
          <w:bCs/>
          <w:iCs/>
          <w:szCs w:val="22"/>
          <w:lang w:val="fr-FR"/>
        </w:rPr>
      </w:pPr>
      <w:r w:rsidRPr="0026653F">
        <w:rPr>
          <w:bCs/>
          <w:szCs w:val="22"/>
          <w:lang w:val="fr-FR"/>
        </w:rPr>
        <w:t>RECONNAISSANT l’importance de la ratification de la Convention interaméricaine contre le racisme, la discrimination raciale et les formes connexes d’intolérance,</w:t>
      </w:r>
    </w:p>
    <w:p w14:paraId="3931CA04" w14:textId="77777777" w:rsidR="000A6BE0" w:rsidRPr="0026653F" w:rsidRDefault="000A6BE0" w:rsidP="00C618DD">
      <w:pPr>
        <w:suppressAutoHyphens/>
        <w:rPr>
          <w:szCs w:val="22"/>
          <w:lang w:val="fr-FR"/>
        </w:rPr>
      </w:pPr>
    </w:p>
    <w:p w14:paraId="461FC1E3" w14:textId="77777777" w:rsidR="000A6BE0" w:rsidRPr="0026653F" w:rsidRDefault="000A6BE0" w:rsidP="00C618DD">
      <w:pPr>
        <w:suppressAutoHyphens/>
        <w:rPr>
          <w:szCs w:val="22"/>
          <w:lang w:val="fr-FR"/>
        </w:rPr>
      </w:pPr>
      <w:r w:rsidRPr="0026653F">
        <w:rPr>
          <w:szCs w:val="22"/>
          <w:lang w:val="fr-FR"/>
        </w:rPr>
        <w:t>DÉCIDE :</w:t>
      </w:r>
    </w:p>
    <w:p w14:paraId="4B5DF16A" w14:textId="77777777" w:rsidR="000A6BE0" w:rsidRPr="0026653F" w:rsidRDefault="000A6BE0" w:rsidP="00C618DD">
      <w:pPr>
        <w:suppressAutoHyphens/>
        <w:snapToGrid w:val="0"/>
        <w:rPr>
          <w:szCs w:val="22"/>
          <w:lang w:val="fr-FR"/>
        </w:rPr>
      </w:pPr>
    </w:p>
    <w:p w14:paraId="6E034214" w14:textId="6E3D3D37" w:rsidR="000A6BE0" w:rsidRPr="0026653F" w:rsidRDefault="000A6BE0" w:rsidP="00C618DD">
      <w:pPr>
        <w:suppressAutoHyphens/>
        <w:snapToGrid w:val="0"/>
        <w:ind w:firstLine="720"/>
        <w:rPr>
          <w:szCs w:val="22"/>
          <w:lang w:val="fr-FR"/>
        </w:rPr>
      </w:pPr>
      <w:r w:rsidRPr="0026653F">
        <w:rPr>
          <w:bCs/>
          <w:szCs w:val="22"/>
          <w:lang w:val="fr-FR"/>
        </w:rPr>
        <w:t>1.</w:t>
      </w:r>
      <w:r w:rsidRPr="0026653F">
        <w:rPr>
          <w:bCs/>
          <w:szCs w:val="22"/>
          <w:lang w:val="fr-FR"/>
        </w:rPr>
        <w:tab/>
      </w:r>
      <w:r w:rsidRPr="0026653F">
        <w:rPr>
          <w:szCs w:val="22"/>
          <w:lang w:val="fr-FR"/>
        </w:rPr>
        <w:t>De demander à la C</w:t>
      </w:r>
      <w:r w:rsidR="006323A8" w:rsidRPr="0026653F">
        <w:rPr>
          <w:szCs w:val="22"/>
          <w:lang w:val="fr-FR"/>
        </w:rPr>
        <w:t xml:space="preserve">AJP </w:t>
      </w:r>
      <w:r w:rsidRPr="0026653F">
        <w:rPr>
          <w:szCs w:val="22"/>
          <w:lang w:val="fr-FR"/>
        </w:rPr>
        <w:t>d’organiser une réunion destinée à recueillir les contributions des États membres visant à contrecarrer l’intolérance et la discrimination dans la région.</w:t>
      </w:r>
    </w:p>
    <w:p w14:paraId="0E0AD98D" w14:textId="77777777" w:rsidR="000A6BE0" w:rsidRPr="0026653F" w:rsidRDefault="000A6BE0" w:rsidP="00C618DD">
      <w:pPr>
        <w:suppressAutoHyphens/>
        <w:snapToGrid w:val="0"/>
        <w:rPr>
          <w:szCs w:val="22"/>
          <w:lang w:val="fr-FR"/>
        </w:rPr>
      </w:pPr>
    </w:p>
    <w:p w14:paraId="5148B96F" w14:textId="6A32A0BF" w:rsidR="000A6BE0" w:rsidRPr="0026653F" w:rsidRDefault="000A6BE0" w:rsidP="00C618DD">
      <w:pPr>
        <w:suppressAutoHyphens/>
        <w:snapToGrid w:val="0"/>
        <w:ind w:firstLine="720"/>
        <w:rPr>
          <w:szCs w:val="22"/>
          <w:lang w:val="fr-FR"/>
        </w:rPr>
      </w:pPr>
      <w:r w:rsidRPr="0026653F">
        <w:rPr>
          <w:szCs w:val="22"/>
          <w:lang w:val="fr-FR"/>
        </w:rPr>
        <w:t>2.</w:t>
      </w:r>
      <w:r w:rsidRPr="0026653F">
        <w:rPr>
          <w:szCs w:val="22"/>
          <w:lang w:val="fr-FR"/>
        </w:rPr>
        <w:tab/>
        <w:t xml:space="preserve">D’inviter les États membres à envisager de signer ou ratifier la Convention interaméricaine contre le racisme, la discrimination raciale et les formes connexes d’intolérance ainsi que la Convention interaméricaine contre toutes les formes de discrimination et d’intolérance ou d’y adhérer, le cas échéant, en tenant compte du fait que ces deux instruments favorisent la coexistence de la diversité, qui s’entend comme un atout des sociétés démocratiques dans le </w:t>
      </w:r>
      <w:r w:rsidR="006323A8" w:rsidRPr="0026653F">
        <w:rPr>
          <w:szCs w:val="22"/>
          <w:lang w:val="fr-FR"/>
        </w:rPr>
        <w:t>c</w:t>
      </w:r>
      <w:r w:rsidRPr="0026653F">
        <w:rPr>
          <w:szCs w:val="22"/>
          <w:lang w:val="fr-FR"/>
        </w:rPr>
        <w:t>ontinent américain.</w:t>
      </w:r>
    </w:p>
    <w:p w14:paraId="6DFEAE8A" w14:textId="77777777" w:rsidR="000A6BE0" w:rsidRPr="0026653F" w:rsidRDefault="000A6BE0" w:rsidP="00C618DD">
      <w:pPr>
        <w:suppressAutoHyphens/>
        <w:rPr>
          <w:szCs w:val="22"/>
          <w:lang w:val="fr-FR"/>
        </w:rPr>
      </w:pPr>
    </w:p>
    <w:p w14:paraId="5E7ACE74" w14:textId="58822904" w:rsidR="000A6BE0" w:rsidRPr="00767721" w:rsidRDefault="000A6BE0" w:rsidP="00C618DD">
      <w:pPr>
        <w:keepNext/>
        <w:suppressAutoHyphens/>
        <w:rPr>
          <w:bCs/>
          <w:szCs w:val="22"/>
          <w:lang w:val="fr-FR"/>
        </w:rPr>
      </w:pPr>
      <w:r w:rsidRPr="0026653F">
        <w:rPr>
          <w:szCs w:val="22"/>
          <w:lang w:val="fr-FR"/>
        </w:rPr>
        <w:lastRenderedPageBreak/>
        <w:t>x</w:t>
      </w:r>
      <w:r w:rsidR="00DA5753" w:rsidRPr="0026653F">
        <w:rPr>
          <w:szCs w:val="22"/>
          <w:lang w:val="fr-FR"/>
        </w:rPr>
        <w:t>.</w:t>
      </w:r>
      <w:r w:rsidRPr="0026653F">
        <w:rPr>
          <w:szCs w:val="22"/>
          <w:lang w:val="fr-FR"/>
        </w:rPr>
        <w:tab/>
      </w:r>
      <w:r w:rsidRPr="0026653F">
        <w:rPr>
          <w:szCs w:val="22"/>
          <w:u w:val="single"/>
          <w:lang w:val="fr-FR"/>
        </w:rPr>
        <w:t>Le pouvoir de l’inclusion et les avantages de la diversité</w:t>
      </w:r>
    </w:p>
    <w:p w14:paraId="284F2EC1" w14:textId="77777777" w:rsidR="000A6BE0" w:rsidRPr="0026653F" w:rsidRDefault="000A6BE0" w:rsidP="00C618DD">
      <w:pPr>
        <w:keepNext/>
        <w:suppressAutoHyphens/>
        <w:rPr>
          <w:szCs w:val="22"/>
          <w:lang w:val="fr-FR"/>
        </w:rPr>
      </w:pPr>
    </w:p>
    <w:p w14:paraId="00C16A33" w14:textId="45CAF675" w:rsidR="000A6BE0" w:rsidRPr="0026653F" w:rsidRDefault="000A6BE0" w:rsidP="00C618DD">
      <w:pPr>
        <w:suppressAutoHyphens/>
        <w:ind w:firstLine="720"/>
        <w:rPr>
          <w:bCs/>
          <w:szCs w:val="22"/>
          <w:lang w:val="fr-FR"/>
        </w:rPr>
      </w:pPr>
      <w:r w:rsidRPr="0026653F">
        <w:rPr>
          <w:bCs/>
          <w:szCs w:val="22"/>
          <w:lang w:val="fr-FR"/>
        </w:rPr>
        <w:t xml:space="preserve">COMPTE TENU du fait que la situation d’urgence causée par la pandémie de COVID-19 a empêché la tenue d’une réunion </w:t>
      </w:r>
      <w:r w:rsidR="00A7065C" w:rsidRPr="0026653F">
        <w:rPr>
          <w:bCs/>
          <w:szCs w:val="22"/>
          <w:lang w:val="fr-FR"/>
        </w:rPr>
        <w:t>extraordinaire</w:t>
      </w:r>
      <w:r w:rsidRPr="0026653F">
        <w:rPr>
          <w:bCs/>
          <w:szCs w:val="22"/>
          <w:lang w:val="fr-FR"/>
        </w:rPr>
        <w:t xml:space="preserve"> de la CAJP en 2020 consacrée au thème « Le pouvoir de l’inclusion et les avantages de la diversité », comme établi dans la section xi. </w:t>
      </w:r>
      <w:proofErr w:type="gramStart"/>
      <w:r w:rsidRPr="0026653F">
        <w:rPr>
          <w:bCs/>
          <w:szCs w:val="22"/>
          <w:lang w:val="fr-FR"/>
        </w:rPr>
        <w:t>du</w:t>
      </w:r>
      <w:proofErr w:type="gramEnd"/>
      <w:r w:rsidRPr="0026653F">
        <w:rPr>
          <w:bCs/>
          <w:szCs w:val="22"/>
          <w:lang w:val="fr-FR"/>
        </w:rPr>
        <w:t xml:space="preserve"> dispositif de la résolution AG/RES. 2941 (XLIX-O/19),</w:t>
      </w:r>
    </w:p>
    <w:p w14:paraId="1713CFF7" w14:textId="77777777" w:rsidR="000A6BE0" w:rsidRPr="0026653F" w:rsidRDefault="000A6BE0" w:rsidP="00C618DD">
      <w:pPr>
        <w:suppressAutoHyphens/>
        <w:rPr>
          <w:bCs/>
          <w:szCs w:val="22"/>
          <w:lang w:val="fr-FR"/>
        </w:rPr>
      </w:pPr>
    </w:p>
    <w:p w14:paraId="6E1DFB5D" w14:textId="77777777" w:rsidR="000A6BE0" w:rsidRPr="0026653F" w:rsidRDefault="000A6BE0" w:rsidP="00C618DD">
      <w:pPr>
        <w:suppressAutoHyphens/>
        <w:rPr>
          <w:bCs/>
          <w:szCs w:val="22"/>
          <w:lang w:val="fr-FR"/>
        </w:rPr>
      </w:pPr>
      <w:r w:rsidRPr="0026653F">
        <w:rPr>
          <w:bCs/>
          <w:szCs w:val="22"/>
          <w:lang w:val="fr-FR"/>
        </w:rPr>
        <w:t>DÉCIDE :</w:t>
      </w:r>
    </w:p>
    <w:p w14:paraId="0F4112D1" w14:textId="77777777" w:rsidR="000A6BE0" w:rsidRPr="0026653F" w:rsidRDefault="000A6BE0" w:rsidP="00C618DD">
      <w:pPr>
        <w:suppressAutoHyphens/>
        <w:rPr>
          <w:bCs/>
          <w:szCs w:val="22"/>
          <w:lang w:val="fr-FR"/>
        </w:rPr>
      </w:pPr>
    </w:p>
    <w:p w14:paraId="4E7B86B6" w14:textId="70ACE83A" w:rsidR="000A6BE0" w:rsidRPr="0026653F" w:rsidRDefault="000A6BE0" w:rsidP="00C618DD">
      <w:pPr>
        <w:suppressAutoHyphens/>
        <w:ind w:firstLine="720"/>
        <w:rPr>
          <w:bCs/>
          <w:szCs w:val="22"/>
          <w:lang w:val="fr-FR"/>
        </w:rPr>
      </w:pPr>
      <w:r w:rsidRPr="0026653F">
        <w:rPr>
          <w:bCs/>
          <w:szCs w:val="22"/>
          <w:lang w:val="fr-FR"/>
        </w:rPr>
        <w:t>1.</w:t>
      </w:r>
      <w:r w:rsidRPr="0026653F">
        <w:rPr>
          <w:bCs/>
          <w:szCs w:val="22"/>
          <w:lang w:val="fr-FR"/>
        </w:rPr>
        <w:tab/>
        <w:t xml:space="preserve">De reporter le délai d’exécution de ce mandat de sorte que cette réunion </w:t>
      </w:r>
      <w:r w:rsidR="00A7065C" w:rsidRPr="0026653F">
        <w:rPr>
          <w:bCs/>
          <w:szCs w:val="22"/>
          <w:lang w:val="fr-FR"/>
        </w:rPr>
        <w:t xml:space="preserve">extraordinaire </w:t>
      </w:r>
      <w:r w:rsidRPr="0026653F">
        <w:rPr>
          <w:bCs/>
          <w:szCs w:val="22"/>
          <w:lang w:val="fr-FR"/>
        </w:rPr>
        <w:t xml:space="preserve">ait lieu avant </w:t>
      </w:r>
      <w:r w:rsidR="000A06BD" w:rsidRPr="0026653F">
        <w:rPr>
          <w:bCs/>
          <w:szCs w:val="22"/>
          <w:lang w:val="fr-FR"/>
        </w:rPr>
        <w:t xml:space="preserve">la cinquante-et-unième session ordinaire de </w:t>
      </w:r>
      <w:r w:rsidRPr="0026653F">
        <w:rPr>
          <w:bCs/>
          <w:szCs w:val="22"/>
          <w:lang w:val="fr-FR"/>
        </w:rPr>
        <w:t>l’Assemblée générale de 2021.</w:t>
      </w:r>
    </w:p>
    <w:p w14:paraId="73EBC317" w14:textId="77777777" w:rsidR="000A6BE0" w:rsidRPr="0026653F" w:rsidRDefault="000A6BE0" w:rsidP="00C618DD">
      <w:pPr>
        <w:suppressAutoHyphens/>
        <w:rPr>
          <w:bCs/>
          <w:szCs w:val="22"/>
          <w:lang w:val="fr-FR"/>
        </w:rPr>
      </w:pPr>
    </w:p>
    <w:p w14:paraId="36A8346E" w14:textId="0FA345D0" w:rsidR="000A6BE0" w:rsidRPr="00767721" w:rsidRDefault="000A6BE0" w:rsidP="00C618DD">
      <w:pPr>
        <w:suppressAutoHyphens/>
        <w:ind w:firstLine="720"/>
        <w:rPr>
          <w:bCs/>
          <w:szCs w:val="22"/>
          <w:lang w:val="fr-FR"/>
        </w:rPr>
      </w:pPr>
      <w:r w:rsidRPr="0026653F">
        <w:rPr>
          <w:bCs/>
          <w:szCs w:val="22"/>
          <w:lang w:val="fr-FR"/>
        </w:rPr>
        <w:t>2.</w:t>
      </w:r>
      <w:r w:rsidRPr="0026653F">
        <w:rPr>
          <w:bCs/>
          <w:szCs w:val="22"/>
          <w:lang w:val="fr-FR"/>
        </w:rPr>
        <w:tab/>
        <w:t xml:space="preserve">De recommander que, en sus de s’inspirer de la section xi. </w:t>
      </w:r>
      <w:proofErr w:type="gramStart"/>
      <w:r w:rsidRPr="0026653F">
        <w:rPr>
          <w:bCs/>
          <w:szCs w:val="22"/>
          <w:lang w:val="fr-FR"/>
        </w:rPr>
        <w:t>du</w:t>
      </w:r>
      <w:proofErr w:type="gramEnd"/>
      <w:r w:rsidRPr="0026653F">
        <w:rPr>
          <w:bCs/>
          <w:szCs w:val="22"/>
          <w:lang w:val="fr-FR"/>
        </w:rPr>
        <w:t xml:space="preserve"> dispositif de la résolution AG/RES. 2941 (XLIX-O/19) pour ses orientations, la réunion </w:t>
      </w:r>
      <w:r w:rsidR="00A7065C" w:rsidRPr="0026653F">
        <w:rPr>
          <w:bCs/>
          <w:szCs w:val="22"/>
          <w:lang w:val="fr-FR"/>
        </w:rPr>
        <w:t>extraordinaire</w:t>
      </w:r>
      <w:r w:rsidRPr="0026653F">
        <w:rPr>
          <w:bCs/>
          <w:szCs w:val="22"/>
          <w:lang w:val="fr-FR"/>
        </w:rPr>
        <w:t xml:space="preserve"> proposée tienne compte également de la reconnaissance de plus en plus répandue de l’importance et de la complexité de l’inclusion, particulièrement au regard des incidences de la COVID-19 et de la réponse à celle-ci, de même que des problèmes préoccupants de la discrimination raciale.</w:t>
      </w:r>
    </w:p>
    <w:p w14:paraId="6DF0292A" w14:textId="77777777" w:rsidR="000A6BE0" w:rsidRPr="0026653F" w:rsidRDefault="000A6BE0" w:rsidP="00C618DD">
      <w:pPr>
        <w:suppressAutoHyphens/>
        <w:rPr>
          <w:bCs/>
          <w:szCs w:val="22"/>
          <w:lang w:val="fr-FR"/>
        </w:rPr>
      </w:pPr>
    </w:p>
    <w:p w14:paraId="31681BDB" w14:textId="77777777" w:rsidR="000A6BE0" w:rsidRPr="00767721" w:rsidRDefault="00DA5753" w:rsidP="00C618DD">
      <w:pPr>
        <w:suppressAutoHyphens/>
        <w:ind w:right="-29"/>
        <w:rPr>
          <w:bCs/>
          <w:szCs w:val="22"/>
          <w:lang w:val="fr-FR"/>
        </w:rPr>
      </w:pPr>
      <w:r w:rsidRPr="0026653F">
        <w:rPr>
          <w:szCs w:val="22"/>
          <w:lang w:val="fr-FR"/>
        </w:rPr>
        <w:t>xi.</w:t>
      </w:r>
      <w:r w:rsidR="000A6BE0" w:rsidRPr="0026653F">
        <w:rPr>
          <w:szCs w:val="22"/>
          <w:lang w:val="fr-FR"/>
        </w:rPr>
        <w:tab/>
      </w:r>
      <w:r w:rsidR="000A6BE0" w:rsidRPr="0026653F">
        <w:rPr>
          <w:szCs w:val="22"/>
          <w:u w:val="single"/>
          <w:lang w:val="fr-FR"/>
        </w:rPr>
        <w:t>Droit à la liberté de conscience et de religion ou de croyance</w:t>
      </w:r>
      <w:r w:rsidR="000A6BE0" w:rsidRPr="0026653F">
        <w:rPr>
          <w:bCs/>
          <w:szCs w:val="22"/>
          <w:vertAlign w:val="superscript"/>
          <w:lang w:val="fr-FR"/>
        </w:rPr>
        <w:t xml:space="preserve"> </w:t>
      </w:r>
    </w:p>
    <w:p w14:paraId="0201741C" w14:textId="77777777" w:rsidR="000A6BE0" w:rsidRPr="0026653F" w:rsidRDefault="000A6BE0" w:rsidP="00C618DD">
      <w:pPr>
        <w:suppressAutoHyphens/>
        <w:ind w:right="-29"/>
        <w:rPr>
          <w:bCs/>
          <w:szCs w:val="22"/>
          <w:lang w:val="fr-FR"/>
        </w:rPr>
      </w:pPr>
    </w:p>
    <w:p w14:paraId="0CCFF798" w14:textId="491562EB" w:rsidR="000A6BE0" w:rsidRPr="0026653F" w:rsidRDefault="000A6BE0" w:rsidP="00C618DD">
      <w:pPr>
        <w:suppressAutoHyphens/>
        <w:ind w:firstLine="720"/>
        <w:rPr>
          <w:bCs/>
          <w:szCs w:val="22"/>
          <w:lang w:val="fr-FR"/>
        </w:rPr>
      </w:pPr>
      <w:r w:rsidRPr="0026653F">
        <w:rPr>
          <w:bCs/>
          <w:szCs w:val="22"/>
          <w:lang w:val="fr-FR"/>
        </w:rPr>
        <w:t xml:space="preserve">RAPPELANT </w:t>
      </w:r>
      <w:proofErr w:type="gramStart"/>
      <w:r w:rsidRPr="0026653F">
        <w:rPr>
          <w:bCs/>
          <w:szCs w:val="22"/>
          <w:lang w:val="fr-FR"/>
        </w:rPr>
        <w:t>la section xviii</w:t>
      </w:r>
      <w:proofErr w:type="gramEnd"/>
      <w:r w:rsidRPr="0026653F">
        <w:rPr>
          <w:bCs/>
          <w:szCs w:val="22"/>
          <w:lang w:val="fr-FR"/>
        </w:rPr>
        <w:t xml:space="preserve">. </w:t>
      </w:r>
      <w:proofErr w:type="gramStart"/>
      <w:r w:rsidRPr="0026653F">
        <w:rPr>
          <w:bCs/>
          <w:szCs w:val="22"/>
          <w:lang w:val="fr-FR"/>
        </w:rPr>
        <w:t>de</w:t>
      </w:r>
      <w:proofErr w:type="gramEnd"/>
      <w:r w:rsidRPr="0026653F">
        <w:rPr>
          <w:bCs/>
          <w:szCs w:val="22"/>
          <w:lang w:val="fr-FR"/>
        </w:rPr>
        <w:t xml:space="preserve"> la résolution AG/RES. 2941 (XLIX-O/19) adoptée par consensus lors de </w:t>
      </w:r>
      <w:r w:rsidR="000A06BD" w:rsidRPr="0026653F">
        <w:rPr>
          <w:bCs/>
          <w:szCs w:val="22"/>
          <w:lang w:val="fr-FR"/>
        </w:rPr>
        <w:t>la quarante-neuvième session ordinaire de l</w:t>
      </w:r>
      <w:r w:rsidRPr="0026653F">
        <w:rPr>
          <w:bCs/>
          <w:szCs w:val="22"/>
          <w:lang w:val="fr-FR"/>
        </w:rPr>
        <w:t>’Assemblée générale</w:t>
      </w:r>
      <w:r w:rsidR="00A7065C" w:rsidRPr="0026653F">
        <w:rPr>
          <w:bCs/>
          <w:szCs w:val="22"/>
          <w:lang w:val="fr-FR"/>
        </w:rPr>
        <w:t>,</w:t>
      </w:r>
      <w:r w:rsidRPr="0026653F">
        <w:rPr>
          <w:bCs/>
          <w:szCs w:val="22"/>
          <w:lang w:val="fr-FR"/>
        </w:rPr>
        <w:t xml:space="preserve"> </w:t>
      </w:r>
      <w:r w:rsidR="00A7065C" w:rsidRPr="0026653F">
        <w:rPr>
          <w:bCs/>
          <w:szCs w:val="22"/>
          <w:lang w:val="fr-FR"/>
        </w:rPr>
        <w:t>en</w:t>
      </w:r>
      <w:r w:rsidRPr="0026653F">
        <w:rPr>
          <w:bCs/>
          <w:szCs w:val="22"/>
          <w:lang w:val="fr-FR"/>
        </w:rPr>
        <w:t xml:space="preserve"> juin 2019,</w:t>
      </w:r>
    </w:p>
    <w:p w14:paraId="215A3626" w14:textId="77777777" w:rsidR="000A6BE0" w:rsidRPr="0026653F" w:rsidRDefault="000A6BE0" w:rsidP="00C618DD">
      <w:pPr>
        <w:suppressAutoHyphens/>
        <w:rPr>
          <w:bCs/>
          <w:szCs w:val="22"/>
          <w:lang w:val="fr-FR"/>
        </w:rPr>
      </w:pPr>
    </w:p>
    <w:p w14:paraId="1CDC158E" w14:textId="5D882591" w:rsidR="000A6BE0" w:rsidRPr="00C04774" w:rsidRDefault="000A6BE0" w:rsidP="00C618DD">
      <w:pPr>
        <w:suppressAutoHyphens/>
        <w:ind w:firstLine="720"/>
        <w:rPr>
          <w:bCs/>
          <w:szCs w:val="22"/>
          <w:lang w:val="fr-FR"/>
        </w:rPr>
      </w:pPr>
      <w:r w:rsidRPr="0026653F">
        <w:rPr>
          <w:szCs w:val="22"/>
          <w:lang w:val="fr-FR"/>
        </w:rPr>
        <w:t xml:space="preserve">RÉITÉRANT que, malgré les défis posés par la pandémie de COVID-19, les États sont censés respecter, garantir et protéger les droits de la personne, notamment le droit de toute personne, y compris celles appartenant à des minorités religieuses et celles n’ayant pas de religion, à exercer librement la liberté de religion ou de croyance, dans un souci d’égalité et de non-discrimination pour tous, et </w:t>
      </w:r>
      <w:r w:rsidRPr="0026653F">
        <w:rPr>
          <w:color w:val="000000"/>
          <w:szCs w:val="22"/>
          <w:lang w:val="fr-FR"/>
        </w:rPr>
        <w:t xml:space="preserve">que les États doivent respecter la pluralité de religion et le droit de toutes les personnes de professer différentes croyances religieuses conformément à l'article 12 de la Convention américaine relative aux droits de l'homme ou </w:t>
      </w:r>
      <w:r w:rsidRPr="00BB4ECD">
        <w:rPr>
          <w:color w:val="000000"/>
          <w:szCs w:val="22"/>
          <w:lang w:val="fr-FR"/>
        </w:rPr>
        <w:t>à l'article</w:t>
      </w:r>
      <w:r w:rsidRPr="0026653F">
        <w:rPr>
          <w:color w:val="000000"/>
          <w:szCs w:val="22"/>
          <w:lang w:val="fr-FR"/>
        </w:rPr>
        <w:t xml:space="preserve"> 18 du Pacte international relatif aux droits civils et politiques, selon le cas,</w:t>
      </w:r>
    </w:p>
    <w:p w14:paraId="4233B74C" w14:textId="77777777" w:rsidR="000A6BE0" w:rsidRPr="0026653F" w:rsidRDefault="000A6BE0" w:rsidP="00C618DD">
      <w:pPr>
        <w:suppressAutoHyphens/>
        <w:rPr>
          <w:color w:val="000000"/>
          <w:szCs w:val="22"/>
          <w:lang w:val="fr-FR"/>
        </w:rPr>
      </w:pPr>
    </w:p>
    <w:p w14:paraId="3F7D40A8" w14:textId="70145734" w:rsidR="000A6BE0" w:rsidRPr="0026653F" w:rsidRDefault="000A6BE0" w:rsidP="00C618DD">
      <w:pPr>
        <w:suppressAutoHyphens/>
        <w:ind w:firstLine="720"/>
        <w:rPr>
          <w:bCs/>
          <w:szCs w:val="22"/>
          <w:lang w:val="fr-FR"/>
        </w:rPr>
      </w:pPr>
      <w:r w:rsidRPr="0026653F">
        <w:rPr>
          <w:bCs/>
          <w:szCs w:val="22"/>
          <w:lang w:val="fr-FR"/>
        </w:rPr>
        <w:t xml:space="preserve">SE FÉLICITANT de la réunion </w:t>
      </w:r>
      <w:r w:rsidR="00A7065C" w:rsidRPr="0026653F">
        <w:rPr>
          <w:bCs/>
          <w:szCs w:val="22"/>
          <w:lang w:val="fr-FR"/>
        </w:rPr>
        <w:t>extraordinaire</w:t>
      </w:r>
      <w:r w:rsidRPr="0026653F">
        <w:rPr>
          <w:bCs/>
          <w:szCs w:val="22"/>
          <w:lang w:val="fr-FR"/>
        </w:rPr>
        <w:t xml:space="preserve"> de la C</w:t>
      </w:r>
      <w:r w:rsidR="00A03AD6" w:rsidRPr="0026653F">
        <w:rPr>
          <w:bCs/>
          <w:szCs w:val="22"/>
          <w:lang w:val="fr-FR"/>
        </w:rPr>
        <w:t xml:space="preserve">AJP </w:t>
      </w:r>
      <w:r w:rsidRPr="0026653F">
        <w:rPr>
          <w:bCs/>
          <w:szCs w:val="22"/>
          <w:lang w:val="fr-FR"/>
        </w:rPr>
        <w:t xml:space="preserve">du 20 février 2020, au cours de laquelle les États membres ont partagé les enseignements tirés et échangé des bonnes pratiques pour faire progresser les objectifs de la résolution </w:t>
      </w:r>
      <w:r w:rsidR="00A7065C" w:rsidRPr="0026653F">
        <w:rPr>
          <w:bCs/>
          <w:szCs w:val="22"/>
          <w:lang w:val="fr-FR"/>
        </w:rPr>
        <w:t>AG/RES. 2941 (XLIX-O/19),</w:t>
      </w:r>
    </w:p>
    <w:p w14:paraId="162A4E8E" w14:textId="77777777" w:rsidR="00A7065C" w:rsidRPr="0026653F" w:rsidRDefault="00A7065C" w:rsidP="00C04774">
      <w:pPr>
        <w:suppressAutoHyphens/>
        <w:rPr>
          <w:szCs w:val="22"/>
          <w:lang w:val="fr-FR"/>
        </w:rPr>
      </w:pPr>
    </w:p>
    <w:p w14:paraId="432639AF" w14:textId="77777777" w:rsidR="000A6BE0" w:rsidRPr="0026653F" w:rsidRDefault="000A6BE0" w:rsidP="00C618DD">
      <w:pPr>
        <w:suppressAutoHyphens/>
        <w:ind w:firstLine="720"/>
        <w:rPr>
          <w:i/>
          <w:iCs/>
          <w:szCs w:val="22"/>
          <w:lang w:val="fr-FR"/>
        </w:rPr>
      </w:pPr>
      <w:r w:rsidRPr="0026653F">
        <w:rPr>
          <w:szCs w:val="22"/>
          <w:lang w:val="fr-FR"/>
        </w:rPr>
        <w:t>NOTANT AVEC PRÉOCCUPATION que des actes d’intolérance et de violence continuent d’être commis, dans toutes les régions du monde, à l’encontre d’individus et de communautés, y compris des minorités religieuses, qui exercent leur droit à la liberté de conscience et de religion,</w:t>
      </w:r>
    </w:p>
    <w:p w14:paraId="2C7FC172" w14:textId="77777777" w:rsidR="000A6BE0" w:rsidRPr="0026653F" w:rsidRDefault="000A6BE0" w:rsidP="00C618DD">
      <w:pPr>
        <w:suppressAutoHyphens/>
        <w:rPr>
          <w:szCs w:val="22"/>
          <w:lang w:val="fr-FR"/>
        </w:rPr>
      </w:pPr>
    </w:p>
    <w:p w14:paraId="3C2D0835" w14:textId="77777777" w:rsidR="000A6BE0" w:rsidRPr="0026653F" w:rsidRDefault="000A6BE0" w:rsidP="00C618DD">
      <w:pPr>
        <w:suppressAutoHyphens/>
        <w:ind w:firstLine="720"/>
        <w:rPr>
          <w:szCs w:val="22"/>
          <w:lang w:val="fr-FR"/>
        </w:rPr>
      </w:pPr>
      <w:r w:rsidRPr="0026653F">
        <w:rPr>
          <w:szCs w:val="22"/>
          <w:lang w:val="fr-FR"/>
        </w:rPr>
        <w:t>NOTANT l’article 12 de la Convention américaine relative aux droits de l’homme, aux termes duquel « [t]oute personne a droit à la liberté de conscience et de religion. Ce droit implique la liberté de garder sa religion ou ses croyances, ou de changer de religion ou de croyances, ainsi que la liberté de professer et de répandre sa foi ou ses croyances, individuellement ou collectivement, en public ou en privé »,</w:t>
      </w:r>
    </w:p>
    <w:p w14:paraId="26A0B245" w14:textId="77777777" w:rsidR="000A6BE0" w:rsidRPr="0026653F" w:rsidRDefault="000A6BE0" w:rsidP="00C618DD">
      <w:pPr>
        <w:suppressAutoHyphens/>
        <w:rPr>
          <w:szCs w:val="22"/>
          <w:lang w:val="fr-FR"/>
        </w:rPr>
      </w:pPr>
    </w:p>
    <w:p w14:paraId="7DE3D2CF" w14:textId="1A594668" w:rsidR="000A6BE0" w:rsidRPr="0026653F" w:rsidRDefault="000A6BE0" w:rsidP="00C618DD">
      <w:pPr>
        <w:suppressAutoHyphens/>
        <w:ind w:firstLine="720"/>
        <w:rPr>
          <w:szCs w:val="22"/>
          <w:lang w:val="fr-FR"/>
        </w:rPr>
      </w:pPr>
      <w:r w:rsidRPr="0026653F">
        <w:rPr>
          <w:bCs/>
          <w:szCs w:val="22"/>
          <w:lang w:val="fr-FR"/>
        </w:rPr>
        <w:lastRenderedPageBreak/>
        <w:t>RECONNAISSANT le droit des personnes -agissant individuellement ou en communauté avec d'autres- de professer une religion ou des croyances, y compris la possibilité de choisir librement leurs chefs et guides religieux et leurs enseignants -appelés à servir ou à enseigner en leur nom- en respectant les principes d’égalité et de non-discrimination</w:t>
      </w:r>
      <w:r w:rsidR="002D40A3" w:rsidRPr="0026653F">
        <w:rPr>
          <w:bCs/>
          <w:szCs w:val="22"/>
          <w:lang w:val="fr-FR"/>
        </w:rPr>
        <w:t> </w:t>
      </w:r>
      <w:r w:rsidRPr="0026653F">
        <w:rPr>
          <w:bCs/>
          <w:szCs w:val="22"/>
          <w:lang w:val="fr-FR"/>
        </w:rPr>
        <w:t>; le droit ou la liberté des parents de voir leurs enfants recevoir une éducation morale et religieuse qui soit en accord avec leurs croyances, à la lumière de l’intérêt supérieur de l’enfant</w:t>
      </w:r>
      <w:r w:rsidR="002D40A3" w:rsidRPr="0026653F">
        <w:rPr>
          <w:bCs/>
          <w:szCs w:val="22"/>
          <w:lang w:val="fr-FR"/>
        </w:rPr>
        <w:t> </w:t>
      </w:r>
      <w:r w:rsidRPr="0026653F">
        <w:rPr>
          <w:bCs/>
          <w:szCs w:val="22"/>
          <w:lang w:val="fr-FR"/>
        </w:rPr>
        <w:t>; et le devoir des États de respecter le droit des individus à la liberté de conscience ou de religion et de leur permettre de l'exercer au moyen de l’adoption de mesures législatives ou d’autre nature nécessaires pour donner effet à ce droit, conformément à l'article 12 de la Convention américaine relative aux droits de l'homme ou à l'article 18 du Pacte international relatif aux droits civils et politiques, selon le cas,</w:t>
      </w:r>
      <w:r w:rsidRPr="0026653F">
        <w:rPr>
          <w:rStyle w:val="FootnoteReference"/>
          <w:szCs w:val="22"/>
          <w:u w:val="single"/>
          <w:vertAlign w:val="superscript"/>
          <w:lang w:val="fr-FR"/>
        </w:rPr>
        <w:footnoteReference w:id="84"/>
      </w:r>
      <w:r w:rsidRPr="0026653F">
        <w:rPr>
          <w:szCs w:val="22"/>
          <w:vertAlign w:val="superscript"/>
          <w:lang w:val="fr-FR"/>
        </w:rPr>
        <w:t>/</w:t>
      </w:r>
      <w:r w:rsidRPr="0026653F">
        <w:rPr>
          <w:rStyle w:val="FootnoteReference"/>
          <w:bCs/>
          <w:szCs w:val="22"/>
          <w:u w:val="single"/>
          <w:vertAlign w:val="superscript"/>
          <w:lang w:val="fr-FR" w:eastAsia="es-ES"/>
        </w:rPr>
        <w:footnoteReference w:id="85"/>
      </w:r>
      <w:r w:rsidRPr="0026653F">
        <w:rPr>
          <w:rStyle w:val="Heading1Char"/>
          <w:szCs w:val="22"/>
          <w:vertAlign w:val="superscript"/>
          <w:lang w:val="fr-FR"/>
        </w:rPr>
        <w:t>/</w:t>
      </w:r>
    </w:p>
    <w:p w14:paraId="281B55EC" w14:textId="77777777" w:rsidR="000A6BE0" w:rsidRPr="0026653F" w:rsidRDefault="000A6BE0" w:rsidP="00C618DD">
      <w:pPr>
        <w:suppressAutoHyphens/>
        <w:rPr>
          <w:szCs w:val="22"/>
          <w:lang w:val="fr-FR"/>
        </w:rPr>
      </w:pPr>
    </w:p>
    <w:p w14:paraId="3BBC08FD" w14:textId="77777777" w:rsidR="000A6BE0" w:rsidRPr="0026653F" w:rsidRDefault="000A6BE0" w:rsidP="00C618DD">
      <w:pPr>
        <w:suppressAutoHyphens/>
        <w:ind w:firstLine="720"/>
        <w:rPr>
          <w:color w:val="000000"/>
          <w:szCs w:val="22"/>
          <w:lang w:val="fr-FR"/>
        </w:rPr>
      </w:pPr>
      <w:r w:rsidRPr="0026653F">
        <w:rPr>
          <w:color w:val="000000" w:themeColor="text1"/>
          <w:szCs w:val="22"/>
          <w:lang w:val="fr-FR"/>
        </w:rPr>
        <w:t>RAPPELANT que tous les droits de la personne sont universels, interdépendants et indissociables,</w:t>
      </w:r>
    </w:p>
    <w:p w14:paraId="37B1ABFA" w14:textId="77777777" w:rsidR="000A6BE0" w:rsidRPr="0026653F" w:rsidRDefault="000A6BE0" w:rsidP="00C618DD">
      <w:pPr>
        <w:suppressAutoHyphens/>
        <w:rPr>
          <w:szCs w:val="22"/>
          <w:lang w:val="fr-FR"/>
        </w:rPr>
      </w:pPr>
    </w:p>
    <w:p w14:paraId="361F5609" w14:textId="77777777" w:rsidR="000A6BE0" w:rsidRPr="0026653F" w:rsidRDefault="000A6BE0" w:rsidP="00C618DD">
      <w:pPr>
        <w:suppressAutoHyphens/>
        <w:rPr>
          <w:szCs w:val="22"/>
          <w:lang w:val="fr-FR"/>
        </w:rPr>
      </w:pPr>
      <w:r w:rsidRPr="0026653F">
        <w:rPr>
          <w:szCs w:val="22"/>
          <w:lang w:val="fr-FR"/>
        </w:rPr>
        <w:t>DÉCIDE :</w:t>
      </w:r>
    </w:p>
    <w:p w14:paraId="6B34644B" w14:textId="77777777" w:rsidR="000A6BE0" w:rsidRPr="0026653F" w:rsidRDefault="000A6BE0" w:rsidP="00C618DD">
      <w:pPr>
        <w:suppressAutoHyphens/>
        <w:rPr>
          <w:szCs w:val="22"/>
          <w:lang w:val="fr-FR"/>
        </w:rPr>
      </w:pPr>
    </w:p>
    <w:p w14:paraId="53F886F5" w14:textId="6DEEBA67" w:rsidR="000A6BE0" w:rsidRPr="0026653F" w:rsidRDefault="000A6BE0" w:rsidP="00C618DD">
      <w:pPr>
        <w:suppressAutoHyphens/>
        <w:ind w:firstLine="720"/>
        <w:rPr>
          <w:color w:val="000000"/>
          <w:szCs w:val="22"/>
          <w:lang w:val="fr-FR"/>
        </w:rPr>
      </w:pPr>
      <w:r w:rsidRPr="0026653F">
        <w:rPr>
          <w:szCs w:val="22"/>
          <w:lang w:val="fr-FR"/>
        </w:rPr>
        <w:t>1.</w:t>
      </w:r>
      <w:r w:rsidRPr="0026653F">
        <w:rPr>
          <w:szCs w:val="22"/>
          <w:lang w:val="fr-FR"/>
        </w:rPr>
        <w:tab/>
      </w:r>
      <w:r w:rsidRPr="0026653F">
        <w:rPr>
          <w:bCs/>
          <w:szCs w:val="22"/>
          <w:lang w:val="fr-FR"/>
        </w:rPr>
        <w:t>De protéger</w:t>
      </w:r>
      <w:r w:rsidRPr="0026653F">
        <w:rPr>
          <w:b/>
          <w:szCs w:val="22"/>
          <w:lang w:val="fr-FR"/>
        </w:rPr>
        <w:t xml:space="preserve"> </w:t>
      </w:r>
      <w:r w:rsidRPr="0026653F">
        <w:rPr>
          <w:szCs w:val="22"/>
          <w:lang w:val="fr-FR"/>
        </w:rPr>
        <w:t>le droit de chacun à la liberté de pensée, de conscience et de religion ou de croyance, ce qui implique la liberté d’avoir ou de ne pas avoir, de changer ou d’adopter une religion ou une croyance de son choix, ainsi que la liberté de manifester sa religion ou sa croyance, individuellement ou en commun</w:t>
      </w:r>
      <w:r w:rsidR="002D40A3" w:rsidRPr="0026653F">
        <w:rPr>
          <w:szCs w:val="22"/>
          <w:lang w:val="fr-FR"/>
        </w:rPr>
        <w:t>auté avec d’autres</w:t>
      </w:r>
      <w:r w:rsidRPr="0026653F">
        <w:rPr>
          <w:szCs w:val="22"/>
          <w:lang w:val="fr-FR"/>
        </w:rPr>
        <w:t>, tant en public qu’en privé, par le culte et l’accomplissement des rites, les pratiques et l’enseignement.</w:t>
      </w:r>
    </w:p>
    <w:p w14:paraId="005E4CA2" w14:textId="77777777" w:rsidR="000A6BE0" w:rsidRPr="0026653F" w:rsidRDefault="000A6BE0" w:rsidP="00C618DD">
      <w:pPr>
        <w:suppressAutoHyphens/>
        <w:rPr>
          <w:szCs w:val="22"/>
          <w:lang w:val="fr-FR"/>
        </w:rPr>
      </w:pPr>
    </w:p>
    <w:p w14:paraId="3CAE9E58" w14:textId="77777777" w:rsidR="000A6BE0" w:rsidRPr="0026653F" w:rsidRDefault="000A6BE0" w:rsidP="00C618DD">
      <w:pPr>
        <w:suppressAutoHyphens/>
        <w:ind w:firstLine="720"/>
        <w:rPr>
          <w:szCs w:val="22"/>
          <w:lang w:val="fr-FR"/>
        </w:rPr>
      </w:pPr>
      <w:r w:rsidRPr="0026653F">
        <w:rPr>
          <w:szCs w:val="22"/>
          <w:lang w:val="fr-FR"/>
        </w:rPr>
        <w:t>2.</w:t>
      </w:r>
      <w:r w:rsidRPr="0026653F">
        <w:rPr>
          <w:szCs w:val="22"/>
          <w:lang w:val="fr-FR"/>
        </w:rPr>
        <w:tab/>
        <w:t>De souligner que la liberté de pensée, de conscience et de religion ou de croyance et la liberté d’expression sont interdépendantes et se renforcent mutuellement et, en outre, de souligner le rôle que ces droits peuvent jouer dans la lutte contre toutes les formes d’intolérance, de violence et de discrimination de toute nature, y compris, entre autres situations, lorsqu’elle cible des croyants au motif de leur foi</w:t>
      </w:r>
      <w:r w:rsidRPr="0026653F">
        <w:rPr>
          <w:bCs/>
          <w:szCs w:val="22"/>
          <w:lang w:val="fr-FR"/>
        </w:rPr>
        <w:t>,</w:t>
      </w:r>
      <w:r w:rsidRPr="0026653F">
        <w:rPr>
          <w:szCs w:val="22"/>
          <w:lang w:val="fr-FR"/>
        </w:rPr>
        <w:t xml:space="preserve"> conformément à la Déclaration américaine des droits et devoirs de l’homme et, le cas échéant, à la Convention américaine relative aux droits de l’homme.</w:t>
      </w:r>
    </w:p>
    <w:p w14:paraId="11FD785B" w14:textId="77777777" w:rsidR="000A6BE0" w:rsidRPr="0026653F" w:rsidRDefault="000A6BE0" w:rsidP="00C618DD">
      <w:pPr>
        <w:suppressAutoHyphens/>
        <w:rPr>
          <w:szCs w:val="22"/>
          <w:lang w:val="fr-FR"/>
        </w:rPr>
      </w:pPr>
    </w:p>
    <w:p w14:paraId="43FEE984" w14:textId="7A71EB37" w:rsidR="000A6BE0" w:rsidRPr="00C04774" w:rsidRDefault="000A6BE0" w:rsidP="00C618DD">
      <w:pPr>
        <w:suppressAutoHyphens/>
        <w:ind w:firstLine="720"/>
        <w:rPr>
          <w:szCs w:val="22"/>
          <w:lang w:val="fr-FR"/>
        </w:rPr>
      </w:pPr>
      <w:r w:rsidRPr="0026653F">
        <w:rPr>
          <w:bCs/>
          <w:szCs w:val="22"/>
          <w:lang w:val="fr-FR"/>
        </w:rPr>
        <w:t>3.</w:t>
      </w:r>
      <w:r w:rsidRPr="0026653F">
        <w:rPr>
          <w:b/>
          <w:szCs w:val="22"/>
          <w:lang w:val="fr-FR"/>
        </w:rPr>
        <w:tab/>
      </w:r>
      <w:r w:rsidRPr="0026653F">
        <w:rPr>
          <w:bCs/>
          <w:szCs w:val="22"/>
          <w:lang w:val="fr-FR"/>
        </w:rPr>
        <w:t>D’appeler les États à protéger la capacité à pratiquer un culte ainsi que tous les lieux de culte afin de permettre aux individus de pratiquer leur foi de manière pacifique et sûre, seuls ou en communauté avec d'autres, y compris dans le contexte des limitations imposées par la pandémie de COVID-19</w:t>
      </w:r>
      <w:r w:rsidR="00D902AA" w:rsidRPr="0026653F">
        <w:rPr>
          <w:bCs/>
          <w:szCs w:val="22"/>
          <w:lang w:val="fr-FR"/>
        </w:rPr>
        <w:t>,</w:t>
      </w:r>
      <w:r w:rsidRPr="0026653F">
        <w:rPr>
          <w:bCs/>
          <w:szCs w:val="22"/>
          <w:lang w:val="fr-FR"/>
        </w:rPr>
        <w:t xml:space="preserve"> en tenant compte des mesures sanitaires qui s’avéreraient nécessaires et proportionnées, </w:t>
      </w:r>
      <w:r w:rsidRPr="0026653F">
        <w:rPr>
          <w:szCs w:val="22"/>
          <w:lang w:val="fr-FR"/>
        </w:rPr>
        <w:t>en vertu de l'article 12 de la Convention américaine relative aux droits de l'homme, le cas échéant, et de l'article 18 du Pacte international relatif aux droits civils et politiques.</w:t>
      </w:r>
    </w:p>
    <w:p w14:paraId="2551381C" w14:textId="77777777" w:rsidR="000A6BE0" w:rsidRPr="0026653F" w:rsidRDefault="000A6BE0" w:rsidP="00C618DD">
      <w:pPr>
        <w:suppressAutoHyphens/>
        <w:rPr>
          <w:szCs w:val="22"/>
          <w:lang w:val="fr-FR"/>
        </w:rPr>
      </w:pPr>
    </w:p>
    <w:p w14:paraId="37E244C4" w14:textId="08CA89A7" w:rsidR="000A6BE0" w:rsidRPr="0026653F" w:rsidRDefault="000A6BE0" w:rsidP="00C618DD">
      <w:pPr>
        <w:suppressAutoHyphens/>
        <w:ind w:firstLine="720"/>
        <w:rPr>
          <w:szCs w:val="22"/>
          <w:lang w:val="fr-FR"/>
        </w:rPr>
      </w:pPr>
      <w:r w:rsidRPr="0026653F">
        <w:rPr>
          <w:szCs w:val="22"/>
          <w:lang w:val="fr-FR"/>
        </w:rPr>
        <w:t>4.</w:t>
      </w:r>
      <w:r w:rsidRPr="0026653F">
        <w:rPr>
          <w:szCs w:val="22"/>
          <w:lang w:val="fr-FR"/>
        </w:rPr>
        <w:tab/>
        <w:t>D'encourager les organes techniques et autonomes de l'O</w:t>
      </w:r>
      <w:r w:rsidR="00A7065C" w:rsidRPr="0026653F">
        <w:rPr>
          <w:szCs w:val="22"/>
          <w:lang w:val="fr-FR"/>
        </w:rPr>
        <w:t xml:space="preserve">EA </w:t>
      </w:r>
      <w:r w:rsidRPr="0026653F">
        <w:rPr>
          <w:szCs w:val="22"/>
          <w:lang w:val="fr-FR"/>
        </w:rPr>
        <w:t>à mener une étude sur l'application de l'article 12 de la Convention américaine relative aux droits de l'homme et d'encourager également le Conseil permanent à tenir une séance extraordinaire afin de partager les résultats de cette étude avec les États membres et, dans le cadre de ladite séance, de permettre aux États d'échanger leurs vues sur l'étude, en mettant l'accent sur la promotion de la liberté de religion et de conscience, sans distinction aucune.</w:t>
      </w:r>
    </w:p>
    <w:p w14:paraId="7E74EEB0" w14:textId="77777777" w:rsidR="000A6BE0" w:rsidRPr="0026653F" w:rsidRDefault="000A6BE0" w:rsidP="00C618DD">
      <w:pPr>
        <w:suppressAutoHyphens/>
        <w:rPr>
          <w:szCs w:val="22"/>
          <w:lang w:val="fr-FR"/>
        </w:rPr>
      </w:pPr>
    </w:p>
    <w:p w14:paraId="66F5CDD2" w14:textId="05CD1180" w:rsidR="000A6BE0" w:rsidRPr="0026653F" w:rsidRDefault="000A6BE0" w:rsidP="00C618DD">
      <w:pPr>
        <w:suppressAutoHyphens/>
        <w:ind w:firstLine="720"/>
        <w:rPr>
          <w:szCs w:val="22"/>
          <w:lang w:val="fr-FR"/>
        </w:rPr>
      </w:pPr>
      <w:r w:rsidRPr="0026653F">
        <w:rPr>
          <w:szCs w:val="22"/>
          <w:lang w:val="fr-FR"/>
        </w:rPr>
        <w:lastRenderedPageBreak/>
        <w:t>5.</w:t>
      </w:r>
      <w:r w:rsidRPr="0026653F">
        <w:rPr>
          <w:szCs w:val="22"/>
          <w:lang w:val="fr-FR"/>
        </w:rPr>
        <w:tab/>
        <w:t>De demander que le Secrétariat général assure le suivi des mandats contenus dans la résolution AG/RES. 2941 (XLIX-O/19) en organisant un dialogue régional sur le droit à la liberté de conscience et de religion</w:t>
      </w:r>
      <w:r w:rsidRPr="0026653F">
        <w:rPr>
          <w:color w:val="000000"/>
          <w:szCs w:val="22"/>
          <w:lang w:val="fr-FR"/>
        </w:rPr>
        <w:t xml:space="preserve"> ou</w:t>
      </w:r>
      <w:r w:rsidRPr="0026653F">
        <w:rPr>
          <w:szCs w:val="22"/>
          <w:lang w:val="fr-FR"/>
        </w:rPr>
        <w:t xml:space="preserve"> de croyance, idéalement à titre de suivi de la Journée internationale de la liberté religieuse qui est célébrée le 27 octobre, avec les apports des États membres, de la Commission interaméricaine des droits de l’homme </w:t>
      </w:r>
      <w:r w:rsidR="008D5ABA" w:rsidRPr="0026653F">
        <w:rPr>
          <w:szCs w:val="22"/>
          <w:lang w:val="fr-FR"/>
        </w:rPr>
        <w:t xml:space="preserve">(CIDH) </w:t>
      </w:r>
      <w:r w:rsidRPr="0026653F">
        <w:rPr>
          <w:szCs w:val="22"/>
          <w:lang w:val="fr-FR"/>
        </w:rPr>
        <w:t>et d’autres acteurs religieux et de la société civile, afin d’inclure une discussion sur les meilleures pratiques, y compris la protection des lieux de culte ; et de demander à la C</w:t>
      </w:r>
      <w:r w:rsidR="00226A75" w:rsidRPr="0026653F">
        <w:rPr>
          <w:szCs w:val="22"/>
          <w:lang w:val="fr-FR"/>
        </w:rPr>
        <w:t xml:space="preserve">AJP </w:t>
      </w:r>
      <w:r w:rsidRPr="0026653F">
        <w:rPr>
          <w:szCs w:val="22"/>
          <w:lang w:val="fr-FR"/>
        </w:rPr>
        <w:t>d’organiser, dans la limite des ressources existantes, une deuxième réunion spéciale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7EE5E31A" w14:textId="77777777" w:rsidR="000A6BE0" w:rsidRPr="0026653F" w:rsidRDefault="000A6BE0" w:rsidP="00C618DD">
      <w:pPr>
        <w:suppressAutoHyphens/>
        <w:ind w:left="720" w:hanging="720"/>
        <w:rPr>
          <w:szCs w:val="22"/>
          <w:lang w:val="fr-FR"/>
        </w:rPr>
      </w:pPr>
    </w:p>
    <w:p w14:paraId="54465946" w14:textId="146C5838" w:rsidR="000A6BE0" w:rsidRPr="0026653F" w:rsidRDefault="000A6BE0" w:rsidP="00C618DD">
      <w:pPr>
        <w:suppressAutoHyphens/>
        <w:ind w:left="720" w:hanging="720"/>
        <w:rPr>
          <w:szCs w:val="22"/>
          <w:lang w:val="fr-FR"/>
        </w:rPr>
      </w:pPr>
      <w:r w:rsidRPr="0026653F">
        <w:rPr>
          <w:szCs w:val="22"/>
          <w:lang w:val="fr-FR"/>
        </w:rPr>
        <w:t>xii.</w:t>
      </w:r>
      <w:r w:rsidRPr="0026653F">
        <w:rPr>
          <w:szCs w:val="22"/>
          <w:lang w:val="fr-FR"/>
        </w:rPr>
        <w:tab/>
      </w:r>
      <w:r w:rsidRPr="0026653F">
        <w:rPr>
          <w:szCs w:val="22"/>
          <w:u w:val="single"/>
          <w:lang w:val="fr-FR"/>
        </w:rPr>
        <w:t>Situation des personnes d’ascendance africaine dans le continent américain et racisme</w:t>
      </w:r>
      <w:r w:rsidRPr="0026653F">
        <w:rPr>
          <w:szCs w:val="22"/>
          <w:vertAlign w:val="superscript"/>
          <w:lang w:val="fr-FR"/>
        </w:rPr>
        <w:t xml:space="preserve"> </w:t>
      </w:r>
      <w:r w:rsidRPr="0026653F">
        <w:rPr>
          <w:rStyle w:val="FootnoteReference"/>
          <w:szCs w:val="22"/>
          <w:u w:val="single"/>
          <w:vertAlign w:val="superscript"/>
          <w:lang w:val="fr-FR"/>
        </w:rPr>
        <w:footnoteReference w:id="86"/>
      </w:r>
      <w:r w:rsidRPr="0026653F">
        <w:rPr>
          <w:szCs w:val="22"/>
          <w:vertAlign w:val="superscript"/>
          <w:lang w:val="fr-FR"/>
        </w:rPr>
        <w:t>/</w:t>
      </w:r>
    </w:p>
    <w:p w14:paraId="29DBC3F3" w14:textId="77777777" w:rsidR="000A6BE0" w:rsidRPr="0026653F" w:rsidRDefault="000A6BE0" w:rsidP="00C618DD">
      <w:pPr>
        <w:suppressAutoHyphens/>
        <w:rPr>
          <w:szCs w:val="22"/>
          <w:lang w:val="fr-FR"/>
        </w:rPr>
      </w:pPr>
    </w:p>
    <w:p w14:paraId="6EF8FBDE" w14:textId="4D4CCE45" w:rsidR="000A6BE0" w:rsidRPr="00767721" w:rsidRDefault="000A6BE0" w:rsidP="00C618DD">
      <w:pPr>
        <w:suppressAutoHyphens/>
        <w:ind w:firstLine="720"/>
        <w:rPr>
          <w:bCs/>
          <w:szCs w:val="22"/>
          <w:lang w:val="fr-FR"/>
        </w:rPr>
      </w:pPr>
      <w:r w:rsidRPr="0026653F">
        <w:rPr>
          <w:bCs/>
          <w:szCs w:val="22"/>
          <w:lang w:val="fr-FR"/>
        </w:rPr>
        <w:t>RECONNAISSANT la contribution importante des personnes et communautés d’ascendance africaine, en particulier des femmes, à l’histoire, à la culture et au développement des peuples des Amériques</w:t>
      </w:r>
      <w:r w:rsidR="00226A75" w:rsidRPr="0026653F">
        <w:rPr>
          <w:bCs/>
          <w:szCs w:val="22"/>
          <w:lang w:val="fr-FR"/>
        </w:rPr>
        <w:t xml:space="preserve"> ; reconnaissant également </w:t>
      </w:r>
      <w:r w:rsidRPr="0026653F">
        <w:rPr>
          <w:bCs/>
          <w:szCs w:val="22"/>
          <w:lang w:val="fr-FR"/>
        </w:rPr>
        <w:t>la nécessité d’éliminer la discrimination et l’intolérance dont elles ont souffert</w:t>
      </w:r>
      <w:r w:rsidR="00CE2D35" w:rsidRPr="0026653F">
        <w:rPr>
          <w:bCs/>
          <w:szCs w:val="22"/>
          <w:lang w:val="fr-FR"/>
        </w:rPr>
        <w:t xml:space="preserve"> de par l’histoire</w:t>
      </w:r>
      <w:r w:rsidRPr="0026653F">
        <w:rPr>
          <w:bCs/>
          <w:szCs w:val="22"/>
          <w:lang w:val="fr-FR"/>
        </w:rPr>
        <w:t>, produit des fléaux que sont le racisme, l’intolérance et les relents de l’esclavage, qui se manifestent de façon différente pour les femmes et accroissent la pauvreté, la violence et la détérioration de leurs conditions de vie</w:t>
      </w:r>
      <w:r w:rsidR="00CE2D35" w:rsidRPr="0026653F">
        <w:rPr>
          <w:bCs/>
          <w:szCs w:val="22"/>
          <w:lang w:val="fr-FR"/>
        </w:rPr>
        <w:t>,</w:t>
      </w:r>
      <w:r w:rsidRPr="0026653F">
        <w:rPr>
          <w:bCs/>
          <w:szCs w:val="22"/>
          <w:lang w:val="fr-FR"/>
        </w:rPr>
        <w:t xml:space="preserve"> de même que l’importance d’éliminer les barrières structurelles qui limitent le développement économique et social des populations d’ascendance africaine et celle de disposer de données ventilées selon l’origine ethnique,</w:t>
      </w:r>
    </w:p>
    <w:p w14:paraId="60E3757F" w14:textId="77777777" w:rsidR="000A6BE0" w:rsidRPr="0026653F" w:rsidRDefault="000A6BE0" w:rsidP="00C618DD">
      <w:pPr>
        <w:suppressAutoHyphens/>
        <w:rPr>
          <w:bCs/>
          <w:szCs w:val="22"/>
          <w:lang w:val="fr-FR"/>
        </w:rPr>
      </w:pPr>
    </w:p>
    <w:p w14:paraId="111F811A" w14:textId="16921A2A" w:rsidR="000A6BE0" w:rsidRPr="0026653F" w:rsidRDefault="000A6BE0" w:rsidP="00C618DD">
      <w:pPr>
        <w:suppressAutoHyphens/>
        <w:ind w:firstLine="720"/>
        <w:rPr>
          <w:bCs/>
          <w:i/>
          <w:iCs/>
          <w:szCs w:val="22"/>
          <w:lang w:val="fr-FR"/>
        </w:rPr>
      </w:pPr>
      <w:r w:rsidRPr="0026653F">
        <w:rPr>
          <w:bCs/>
          <w:szCs w:val="22"/>
          <w:lang w:val="fr-FR"/>
        </w:rPr>
        <w:t>PRENANT NOTE de l’entrée en vigueur de la Convention interaméricaine contre toute</w:t>
      </w:r>
      <w:r w:rsidR="00CE2D35" w:rsidRPr="0026653F">
        <w:rPr>
          <w:bCs/>
          <w:szCs w:val="22"/>
          <w:lang w:val="fr-FR"/>
        </w:rPr>
        <w:t>s les</w:t>
      </w:r>
      <w:r w:rsidRPr="0026653F">
        <w:rPr>
          <w:bCs/>
          <w:szCs w:val="22"/>
          <w:lang w:val="fr-FR"/>
        </w:rPr>
        <w:t xml:space="preserve"> forme</w:t>
      </w:r>
      <w:r w:rsidR="00CE2D35" w:rsidRPr="0026653F">
        <w:rPr>
          <w:bCs/>
          <w:szCs w:val="22"/>
          <w:lang w:val="fr-FR"/>
        </w:rPr>
        <w:t>s</w:t>
      </w:r>
      <w:r w:rsidRPr="0026653F">
        <w:rPr>
          <w:bCs/>
          <w:szCs w:val="22"/>
          <w:lang w:val="fr-FR"/>
        </w:rPr>
        <w:t xml:space="preserve"> de discrimination et d’intolérance le 20 février 2020,</w:t>
      </w:r>
    </w:p>
    <w:p w14:paraId="00A86E82" w14:textId="77777777" w:rsidR="000A6BE0" w:rsidRPr="0026653F" w:rsidRDefault="000A6BE0" w:rsidP="00C618DD">
      <w:pPr>
        <w:suppressAutoHyphens/>
        <w:rPr>
          <w:bCs/>
          <w:szCs w:val="22"/>
          <w:lang w:val="fr-FR"/>
        </w:rPr>
      </w:pPr>
    </w:p>
    <w:p w14:paraId="58A41D35" w14:textId="415D8EEE" w:rsidR="000A6BE0" w:rsidRPr="0026653F" w:rsidRDefault="000A6BE0" w:rsidP="00C618DD">
      <w:pPr>
        <w:suppressAutoHyphens/>
        <w:ind w:firstLine="720"/>
        <w:rPr>
          <w:bCs/>
          <w:i/>
          <w:iCs/>
          <w:szCs w:val="22"/>
          <w:lang w:val="fr-FR"/>
        </w:rPr>
      </w:pPr>
      <w:r w:rsidRPr="0026653F">
        <w:rPr>
          <w:bCs/>
          <w:szCs w:val="22"/>
          <w:lang w:val="fr-FR"/>
        </w:rPr>
        <w:t xml:space="preserve">PRENANT NOTE ÉGALEMENT de l’Engagement de San José, adopté le 18 octobre 2019 à San José (Costa Rica), par lequel un groupe d’États du </w:t>
      </w:r>
      <w:r w:rsidR="00CE2D35" w:rsidRPr="0026653F">
        <w:rPr>
          <w:bCs/>
          <w:szCs w:val="22"/>
          <w:lang w:val="fr-FR"/>
        </w:rPr>
        <w:t>c</w:t>
      </w:r>
      <w:r w:rsidRPr="0026653F">
        <w:rPr>
          <w:bCs/>
          <w:szCs w:val="22"/>
          <w:lang w:val="fr-FR"/>
        </w:rPr>
        <w:t>ontinent américain ont défini des mesures prioritaires destinées à éliminer les fossés d’inégalité et à s’occuper des problèmes en matière d’éducation, de santé, d’emploi et de développement qui affectent les personnes d’ascendance africaine,</w:t>
      </w:r>
    </w:p>
    <w:p w14:paraId="2B016BFF" w14:textId="77777777" w:rsidR="000A6BE0" w:rsidRPr="0026653F" w:rsidRDefault="000A6BE0" w:rsidP="00C618DD">
      <w:pPr>
        <w:suppressAutoHyphens/>
        <w:rPr>
          <w:bCs/>
          <w:szCs w:val="22"/>
          <w:lang w:val="fr-FR"/>
        </w:rPr>
      </w:pPr>
    </w:p>
    <w:p w14:paraId="7098F099" w14:textId="1A1B2B7D" w:rsidR="000A6BE0" w:rsidRPr="0026653F" w:rsidRDefault="000A6BE0" w:rsidP="00C618DD">
      <w:pPr>
        <w:suppressAutoHyphens/>
        <w:ind w:firstLine="720"/>
        <w:rPr>
          <w:bCs/>
          <w:szCs w:val="22"/>
          <w:lang w:val="fr-FR"/>
        </w:rPr>
      </w:pPr>
      <w:r w:rsidRPr="0026653F">
        <w:rPr>
          <w:bCs/>
          <w:szCs w:val="22"/>
          <w:lang w:val="fr-FR"/>
        </w:rPr>
        <w:t>REMARQUANT AVEC PRÉOCCUPATION que, comme l’ont indiqué le Réseau interaméricain de hauts fonctionnaires chargés des politiques visant les populations d’ascendance africaine (RIAFRO) et la C</w:t>
      </w:r>
      <w:r w:rsidR="00B864E5" w:rsidRPr="0026653F">
        <w:rPr>
          <w:bCs/>
          <w:szCs w:val="22"/>
          <w:lang w:val="fr-FR"/>
        </w:rPr>
        <w:t>IDH</w:t>
      </w:r>
      <w:r w:rsidRPr="0026653F">
        <w:rPr>
          <w:bCs/>
          <w:szCs w:val="22"/>
          <w:lang w:val="fr-FR"/>
        </w:rPr>
        <w:t xml:space="preserve">, la pandémie de COVID-19 peut avoir une incidence disproportionnée sur la population d’ascendance africaine dans la région en raison de situations de plus grande vulnérabilité par rapport </w:t>
      </w:r>
      <w:r w:rsidR="00CE2D35" w:rsidRPr="0026653F">
        <w:rPr>
          <w:bCs/>
          <w:szCs w:val="22"/>
          <w:lang w:val="fr-FR"/>
        </w:rPr>
        <w:t xml:space="preserve">au reste de </w:t>
      </w:r>
      <w:r w:rsidRPr="0026653F">
        <w:rPr>
          <w:bCs/>
          <w:szCs w:val="22"/>
          <w:lang w:val="fr-FR"/>
        </w:rPr>
        <w:t>la population, étant donné les obstacles auxquels ces personnes sont confrontées en ce qui concerne l’accès à la santé publique, une incidence plus élevée de problèmes de santé chroniques, un accès plus restreint à des réseaux de sécurité sociale créés par l’État et le taux élevé de travail informel, entre autres facteurs,</w:t>
      </w:r>
    </w:p>
    <w:p w14:paraId="36530B0E" w14:textId="77777777" w:rsidR="000A6BE0" w:rsidRPr="0026653F" w:rsidRDefault="000A6BE0" w:rsidP="00C618DD">
      <w:pPr>
        <w:suppressAutoHyphens/>
        <w:rPr>
          <w:bCs/>
          <w:szCs w:val="22"/>
          <w:lang w:val="fr-FR"/>
        </w:rPr>
      </w:pPr>
    </w:p>
    <w:p w14:paraId="2ADBDA19" w14:textId="77777777" w:rsidR="000A6BE0" w:rsidRPr="0026653F" w:rsidRDefault="000A6BE0" w:rsidP="00C618DD">
      <w:pPr>
        <w:suppressAutoHyphens/>
        <w:rPr>
          <w:bCs/>
          <w:szCs w:val="22"/>
          <w:lang w:val="fr-FR"/>
        </w:rPr>
      </w:pPr>
      <w:r w:rsidRPr="0026653F">
        <w:rPr>
          <w:bCs/>
          <w:szCs w:val="22"/>
          <w:lang w:val="fr-FR"/>
        </w:rPr>
        <w:t>DÉCIDE :</w:t>
      </w:r>
    </w:p>
    <w:p w14:paraId="4F4ACBE5" w14:textId="77777777" w:rsidR="000A6BE0" w:rsidRPr="0026653F" w:rsidRDefault="000A6BE0" w:rsidP="00C618DD">
      <w:pPr>
        <w:suppressAutoHyphens/>
        <w:rPr>
          <w:bCs/>
          <w:szCs w:val="22"/>
          <w:lang w:val="fr-FR"/>
        </w:rPr>
      </w:pPr>
    </w:p>
    <w:p w14:paraId="037CEFBB" w14:textId="3E865638" w:rsidR="000A6BE0" w:rsidRPr="0026653F" w:rsidRDefault="000A6BE0" w:rsidP="00C618DD">
      <w:pPr>
        <w:pStyle w:val="ListParagraph"/>
        <w:numPr>
          <w:ilvl w:val="0"/>
          <w:numId w:val="67"/>
        </w:numPr>
        <w:suppressAutoHyphens/>
        <w:spacing w:after="0" w:line="240" w:lineRule="auto"/>
        <w:ind w:left="0" w:firstLine="720"/>
        <w:contextualSpacing w:val="0"/>
        <w:jc w:val="both"/>
        <w:rPr>
          <w:rFonts w:ascii="Times New Roman" w:hAnsi="Times New Roman"/>
          <w:bCs/>
          <w:lang w:val="fr-FR"/>
        </w:rPr>
      </w:pPr>
      <w:r w:rsidRPr="0026653F">
        <w:rPr>
          <w:rFonts w:ascii="Times New Roman" w:hAnsi="Times New Roman"/>
          <w:bCs/>
          <w:lang w:val="fr-FR"/>
        </w:rPr>
        <w:t xml:space="preserve">De condamner toutes les formes de racisme et de discrimination contre les personnes d’ascendance africaine dans le </w:t>
      </w:r>
      <w:r w:rsidR="00CE2D35" w:rsidRPr="0026653F">
        <w:rPr>
          <w:rFonts w:ascii="Times New Roman" w:hAnsi="Times New Roman"/>
          <w:bCs/>
          <w:lang w:val="fr-FR"/>
        </w:rPr>
        <w:t>c</w:t>
      </w:r>
      <w:r w:rsidRPr="0026653F">
        <w:rPr>
          <w:rFonts w:ascii="Times New Roman" w:hAnsi="Times New Roman"/>
          <w:bCs/>
          <w:lang w:val="fr-FR"/>
        </w:rPr>
        <w:t xml:space="preserve">ontinent américain, reconnaissant qu’il existe toujours des réalités qui </w:t>
      </w:r>
      <w:r w:rsidRPr="0026653F">
        <w:rPr>
          <w:rFonts w:ascii="Times New Roman" w:hAnsi="Times New Roman"/>
          <w:bCs/>
          <w:lang w:val="fr-FR"/>
        </w:rPr>
        <w:lastRenderedPageBreak/>
        <w:t>limitent leur bien-être économique et social et que les États doivent unir leurs forces pour lutter contre elles et les éliminer.</w:t>
      </w:r>
      <w:r w:rsidRPr="0026653F">
        <w:rPr>
          <w:rStyle w:val="FootnoteReference"/>
          <w:rFonts w:ascii="Times New Roman" w:hAnsi="Times New Roman"/>
          <w:u w:val="single"/>
          <w:vertAlign w:val="superscript"/>
          <w:lang w:val="fr-FR"/>
        </w:rPr>
        <w:footnoteReference w:id="87"/>
      </w:r>
      <w:r w:rsidRPr="0026653F">
        <w:rPr>
          <w:rFonts w:ascii="Times New Roman" w:hAnsi="Times New Roman"/>
          <w:vertAlign w:val="superscript"/>
          <w:lang w:val="fr-FR"/>
        </w:rPr>
        <w:t>/</w:t>
      </w:r>
    </w:p>
    <w:p w14:paraId="6B057CBF" w14:textId="77777777" w:rsidR="000A6BE0" w:rsidRPr="0026653F" w:rsidRDefault="000A6BE0" w:rsidP="00C618DD">
      <w:pPr>
        <w:suppressAutoHyphens/>
        <w:rPr>
          <w:bCs/>
          <w:szCs w:val="22"/>
          <w:lang w:val="fr-FR"/>
        </w:rPr>
      </w:pPr>
    </w:p>
    <w:p w14:paraId="4C8FA4D8" w14:textId="12A7BD02" w:rsidR="000A6BE0" w:rsidRPr="0026653F" w:rsidRDefault="000A6BE0" w:rsidP="00C618DD">
      <w:pPr>
        <w:pStyle w:val="ListParagraph"/>
        <w:numPr>
          <w:ilvl w:val="0"/>
          <w:numId w:val="67"/>
        </w:numPr>
        <w:suppressAutoHyphens/>
        <w:spacing w:after="0" w:line="240" w:lineRule="auto"/>
        <w:ind w:left="0" w:firstLine="720"/>
        <w:contextualSpacing w:val="0"/>
        <w:jc w:val="both"/>
        <w:rPr>
          <w:rFonts w:ascii="Times New Roman" w:hAnsi="Times New Roman"/>
          <w:bCs/>
          <w:lang w:val="fr-FR"/>
        </w:rPr>
      </w:pPr>
      <w:r w:rsidRPr="0026653F">
        <w:rPr>
          <w:rFonts w:ascii="Times New Roman" w:hAnsi="Times New Roman"/>
          <w:bCs/>
          <w:lang w:val="fr-FR"/>
        </w:rPr>
        <w:t>De demander instamment aux États membres de garantir la disponibilité, l’accessibilité, l’adaptabilité et la qualité des services de santé pour les personnes et les communautés d’ascendance africaine dans leurs réponses à l’urgence sanitaire provoquée par la pandémie de COVID-19, dans des conditions dignes, d’égalité et de non-discrimination.</w:t>
      </w:r>
    </w:p>
    <w:p w14:paraId="3DB3DD3E" w14:textId="77777777" w:rsidR="000A6BE0" w:rsidRPr="0026653F" w:rsidRDefault="000A6BE0" w:rsidP="00C618DD">
      <w:pPr>
        <w:suppressAutoHyphens/>
        <w:rPr>
          <w:bCs/>
          <w:szCs w:val="22"/>
          <w:lang w:val="fr-FR"/>
        </w:rPr>
      </w:pPr>
    </w:p>
    <w:p w14:paraId="383B6725" w14:textId="7AAFB814" w:rsidR="000A6BE0" w:rsidRPr="0026653F" w:rsidRDefault="000A6BE0" w:rsidP="00C618DD">
      <w:pPr>
        <w:pStyle w:val="ListParagraph"/>
        <w:numPr>
          <w:ilvl w:val="0"/>
          <w:numId w:val="67"/>
        </w:numPr>
        <w:suppressAutoHyphens/>
        <w:spacing w:after="0" w:line="240" w:lineRule="auto"/>
        <w:ind w:left="0" w:firstLine="720"/>
        <w:contextualSpacing w:val="0"/>
        <w:jc w:val="both"/>
        <w:rPr>
          <w:rFonts w:ascii="Times New Roman" w:hAnsi="Times New Roman"/>
          <w:bCs/>
          <w:lang w:val="fr-FR"/>
        </w:rPr>
      </w:pPr>
      <w:r w:rsidRPr="0026653F">
        <w:rPr>
          <w:rFonts w:ascii="Times New Roman" w:hAnsi="Times New Roman"/>
          <w:bCs/>
          <w:lang w:val="fr-FR"/>
        </w:rPr>
        <w:t xml:space="preserve">De demander instamment aux États membres de progresser vers l’atteinte des buts et le respect des engagements </w:t>
      </w:r>
      <w:r w:rsidR="00BC3DD5" w:rsidRPr="0026653F">
        <w:rPr>
          <w:rFonts w:ascii="Times New Roman" w:hAnsi="Times New Roman"/>
          <w:bCs/>
          <w:lang w:val="fr-FR"/>
        </w:rPr>
        <w:t xml:space="preserve">du </w:t>
      </w:r>
      <w:r w:rsidRPr="0026653F">
        <w:rPr>
          <w:rFonts w:ascii="Times New Roman" w:hAnsi="Times New Roman"/>
          <w:bCs/>
          <w:lang w:val="fr-FR"/>
        </w:rPr>
        <w:t xml:space="preserve">Plan d’action de la Décennie des personnes d’ascendance africaine </w:t>
      </w:r>
      <w:r w:rsidR="00CE2D35" w:rsidRPr="0026653F">
        <w:rPr>
          <w:rFonts w:ascii="Times New Roman" w:hAnsi="Times New Roman"/>
          <w:bCs/>
          <w:lang w:val="fr-FR"/>
        </w:rPr>
        <w:t xml:space="preserve">dans les Amériques </w:t>
      </w:r>
      <w:r w:rsidRPr="0026653F">
        <w:rPr>
          <w:rFonts w:ascii="Times New Roman" w:hAnsi="Times New Roman"/>
          <w:bCs/>
          <w:lang w:val="fr-FR"/>
        </w:rPr>
        <w:t>(201</w:t>
      </w:r>
      <w:r w:rsidR="00CE2D35" w:rsidRPr="0026653F">
        <w:rPr>
          <w:rFonts w:ascii="Times New Roman" w:hAnsi="Times New Roman"/>
          <w:bCs/>
          <w:lang w:val="fr-FR"/>
        </w:rPr>
        <w:t>6</w:t>
      </w:r>
      <w:r w:rsidRPr="0026653F">
        <w:rPr>
          <w:rFonts w:ascii="Times New Roman" w:hAnsi="Times New Roman"/>
          <w:bCs/>
          <w:lang w:val="fr-FR"/>
        </w:rPr>
        <w:t>-202</w:t>
      </w:r>
      <w:r w:rsidR="00CE2D35" w:rsidRPr="0026653F">
        <w:rPr>
          <w:rFonts w:ascii="Times New Roman" w:hAnsi="Times New Roman"/>
          <w:bCs/>
          <w:lang w:val="fr-FR"/>
        </w:rPr>
        <w:t>6</w:t>
      </w:r>
      <w:r w:rsidRPr="0026653F">
        <w:rPr>
          <w:rFonts w:ascii="Times New Roman" w:hAnsi="Times New Roman"/>
          <w:bCs/>
          <w:lang w:val="fr-FR"/>
        </w:rPr>
        <w:t xml:space="preserve">) </w:t>
      </w:r>
      <w:r w:rsidR="00CE2D35" w:rsidRPr="0026653F">
        <w:rPr>
          <w:rFonts w:ascii="Times New Roman" w:hAnsi="Times New Roman"/>
          <w:bCs/>
          <w:lang w:val="fr-FR"/>
        </w:rPr>
        <w:t xml:space="preserve">et au titre de la Décennie internationale des personnes d’ascendance africaine (2015-2024), </w:t>
      </w:r>
      <w:r w:rsidRPr="0026653F">
        <w:rPr>
          <w:rFonts w:ascii="Times New Roman" w:hAnsi="Times New Roman"/>
          <w:bCs/>
          <w:lang w:val="fr-FR"/>
        </w:rPr>
        <w:t xml:space="preserve">et de les inviter à améliorer la collecte et le traitement de données ventilées – y compris la perspective de la parité hommes-femmes et la dimension d’intersectionnalité – dans la conception et la mise en œuvre de politiques publiques destinées à </w:t>
      </w:r>
      <w:r w:rsidR="00CE2D35" w:rsidRPr="0026653F">
        <w:rPr>
          <w:rFonts w:ascii="Times New Roman" w:hAnsi="Times New Roman"/>
          <w:bCs/>
          <w:lang w:val="fr-FR"/>
        </w:rPr>
        <w:t xml:space="preserve">répondre aux </w:t>
      </w:r>
      <w:r w:rsidRPr="0026653F">
        <w:rPr>
          <w:rFonts w:ascii="Times New Roman" w:hAnsi="Times New Roman"/>
          <w:bCs/>
          <w:lang w:val="fr-FR"/>
        </w:rPr>
        <w:t>défis en matière d’emplo</w:t>
      </w:r>
      <w:r w:rsidR="00264153" w:rsidRPr="0026653F">
        <w:rPr>
          <w:rFonts w:ascii="Times New Roman" w:hAnsi="Times New Roman"/>
          <w:bCs/>
          <w:lang w:val="fr-FR"/>
        </w:rPr>
        <w:t>i</w:t>
      </w:r>
      <w:r w:rsidRPr="0026653F">
        <w:rPr>
          <w:rFonts w:ascii="Times New Roman" w:hAnsi="Times New Roman"/>
          <w:bCs/>
          <w:lang w:val="fr-FR"/>
        </w:rPr>
        <w:t xml:space="preserve"> et d’accès à la santé, </w:t>
      </w:r>
      <w:r w:rsidR="00CE2D35" w:rsidRPr="0026653F">
        <w:rPr>
          <w:rFonts w:ascii="Times New Roman" w:hAnsi="Times New Roman"/>
          <w:bCs/>
          <w:lang w:val="fr-FR"/>
        </w:rPr>
        <w:t xml:space="preserve">au logement </w:t>
      </w:r>
      <w:r w:rsidRPr="0026653F">
        <w:rPr>
          <w:rFonts w:ascii="Times New Roman" w:hAnsi="Times New Roman"/>
          <w:bCs/>
          <w:lang w:val="fr-FR"/>
        </w:rPr>
        <w:t>et à l’éducation pour les personnes et les communautés d’ascendance africaine, en particulier les femmes, dans le but d’éliminer les inégalités dont elles sont victimes et de faire face aux graves conséquences économiques et sociales prévues pour la période post-pandémie.</w:t>
      </w:r>
    </w:p>
    <w:p w14:paraId="59F0C531" w14:textId="77777777" w:rsidR="000A6BE0" w:rsidRPr="0026653F" w:rsidRDefault="000A6BE0" w:rsidP="00C618DD">
      <w:pPr>
        <w:suppressAutoHyphens/>
        <w:rPr>
          <w:bCs/>
          <w:szCs w:val="22"/>
          <w:lang w:val="fr-FR"/>
        </w:rPr>
      </w:pPr>
    </w:p>
    <w:p w14:paraId="04C9BEF9" w14:textId="1D9CFC48" w:rsidR="000A6BE0" w:rsidRPr="0026653F" w:rsidRDefault="00515BC1" w:rsidP="00C618DD">
      <w:pPr>
        <w:pStyle w:val="ListParagraph"/>
        <w:numPr>
          <w:ilvl w:val="0"/>
          <w:numId w:val="67"/>
        </w:numPr>
        <w:suppressAutoHyphens/>
        <w:spacing w:after="0" w:line="240" w:lineRule="auto"/>
        <w:ind w:left="0" w:firstLine="720"/>
        <w:contextualSpacing w:val="0"/>
        <w:jc w:val="both"/>
        <w:rPr>
          <w:rFonts w:ascii="Times New Roman" w:hAnsi="Times New Roman"/>
          <w:bCs/>
          <w:lang w:val="fr-FR"/>
        </w:rPr>
      </w:pPr>
      <w:r w:rsidRPr="0026653F">
        <w:rPr>
          <w:rFonts w:ascii="Times New Roman" w:hAnsi="Times New Roman"/>
          <w:bCs/>
          <w:lang w:val="fr-FR"/>
        </w:rPr>
        <w:t xml:space="preserve">De charger le Secrétariat général de l’OEA – Département de l’inclusion sociale du Secrétariat à l’accès aux droits et à l’équité – d’élaborer, dans le cadre de son attribution de suivi </w:t>
      </w:r>
      <w:r w:rsidR="00CE2D35" w:rsidRPr="0026653F">
        <w:rPr>
          <w:rFonts w:ascii="Times New Roman" w:hAnsi="Times New Roman"/>
          <w:bCs/>
          <w:lang w:val="fr-FR"/>
        </w:rPr>
        <w:t xml:space="preserve">et </w:t>
      </w:r>
      <w:r w:rsidRPr="0026653F">
        <w:rPr>
          <w:rFonts w:ascii="Times New Roman" w:hAnsi="Times New Roman"/>
          <w:bCs/>
          <w:lang w:val="fr-FR"/>
        </w:rPr>
        <w:t>de mise en œuvre du Plan d’action de la Décennie des personnes d’ascendance africaine dans les Amériques (2016-2025), un rapport régional sur la situation des personnes d’ascendance africaine et sur les progrès réalisés dans la mise en œuvre d</w:t>
      </w:r>
      <w:r w:rsidR="008E00FE" w:rsidRPr="0026653F">
        <w:rPr>
          <w:rFonts w:ascii="Times New Roman" w:hAnsi="Times New Roman"/>
          <w:bCs/>
          <w:lang w:val="fr-FR"/>
        </w:rPr>
        <w:t>e ce pl</w:t>
      </w:r>
      <w:r w:rsidRPr="0026653F">
        <w:rPr>
          <w:rFonts w:ascii="Times New Roman" w:hAnsi="Times New Roman"/>
          <w:bCs/>
          <w:lang w:val="fr-FR"/>
        </w:rPr>
        <w:t>an</w:t>
      </w:r>
      <w:r w:rsidR="008E00FE" w:rsidRPr="0026653F">
        <w:rPr>
          <w:rFonts w:ascii="Times New Roman" w:hAnsi="Times New Roman"/>
          <w:bCs/>
          <w:lang w:val="fr-FR"/>
        </w:rPr>
        <w:t xml:space="preserve">, </w:t>
      </w:r>
      <w:r w:rsidR="000A6BE0" w:rsidRPr="0026653F">
        <w:rPr>
          <w:rFonts w:ascii="Times New Roman" w:hAnsi="Times New Roman"/>
          <w:bCs/>
          <w:lang w:val="fr-FR"/>
        </w:rPr>
        <w:t>lequel sera présenté lors d’une séance extraordinaire du Conseil permanent de l’OEA dans le cadre de la Quatrième Semaine interaméricaine des personnes d’ascendance africaine en 2021.</w:t>
      </w:r>
    </w:p>
    <w:p w14:paraId="4AB00596" w14:textId="77777777" w:rsidR="000A6BE0" w:rsidRPr="0026653F" w:rsidRDefault="000A6BE0" w:rsidP="00C618DD">
      <w:pPr>
        <w:suppressAutoHyphens/>
        <w:rPr>
          <w:bCs/>
          <w:szCs w:val="22"/>
          <w:lang w:val="fr-FR"/>
        </w:rPr>
      </w:pPr>
    </w:p>
    <w:p w14:paraId="5DD32EFF" w14:textId="2A87262E" w:rsidR="000A6BE0" w:rsidRPr="0026653F" w:rsidRDefault="000A6BE0" w:rsidP="00C618DD">
      <w:pPr>
        <w:pStyle w:val="ListParagraph"/>
        <w:numPr>
          <w:ilvl w:val="0"/>
          <w:numId w:val="67"/>
        </w:numPr>
        <w:suppressAutoHyphens/>
        <w:spacing w:after="0" w:line="240" w:lineRule="auto"/>
        <w:ind w:left="0" w:firstLine="720"/>
        <w:contextualSpacing w:val="0"/>
        <w:jc w:val="both"/>
        <w:rPr>
          <w:rFonts w:ascii="Times New Roman" w:hAnsi="Times New Roman"/>
          <w:bCs/>
          <w:lang w:val="fr-FR"/>
        </w:rPr>
      </w:pPr>
      <w:r w:rsidRPr="0026653F">
        <w:rPr>
          <w:rFonts w:ascii="Times New Roman" w:hAnsi="Times New Roman"/>
          <w:bCs/>
          <w:lang w:val="fr-FR"/>
        </w:rPr>
        <w:t xml:space="preserve">D’inviter les États </w:t>
      </w:r>
      <w:r w:rsidR="00264153" w:rsidRPr="0026653F">
        <w:rPr>
          <w:rFonts w:ascii="Times New Roman" w:hAnsi="Times New Roman"/>
          <w:bCs/>
          <w:lang w:val="fr-FR"/>
        </w:rPr>
        <w:t>m</w:t>
      </w:r>
      <w:r w:rsidR="00BC3DD5" w:rsidRPr="0026653F">
        <w:rPr>
          <w:rFonts w:ascii="Times New Roman" w:hAnsi="Times New Roman"/>
          <w:bCs/>
          <w:lang w:val="fr-FR"/>
        </w:rPr>
        <w:t>em</w:t>
      </w:r>
      <w:r w:rsidR="00264153" w:rsidRPr="0026653F">
        <w:rPr>
          <w:rFonts w:ascii="Times New Roman" w:hAnsi="Times New Roman"/>
          <w:bCs/>
          <w:lang w:val="fr-FR"/>
        </w:rPr>
        <w:t xml:space="preserve">bres </w:t>
      </w:r>
      <w:r w:rsidRPr="0026653F">
        <w:rPr>
          <w:rFonts w:ascii="Times New Roman" w:hAnsi="Times New Roman"/>
          <w:bCs/>
          <w:lang w:val="fr-FR"/>
        </w:rPr>
        <w:t>qui ne sont pas parties à la Convention interaméricaine contre le racisme, la discrimination raciale et les formes connexes d’intolérance ou à la Convention interaméricaine contre toute</w:t>
      </w:r>
      <w:r w:rsidR="00CE2D35" w:rsidRPr="0026653F">
        <w:rPr>
          <w:rFonts w:ascii="Times New Roman" w:hAnsi="Times New Roman"/>
          <w:bCs/>
          <w:lang w:val="fr-FR"/>
        </w:rPr>
        <w:t xml:space="preserve">s les </w:t>
      </w:r>
      <w:r w:rsidRPr="0026653F">
        <w:rPr>
          <w:rFonts w:ascii="Times New Roman" w:hAnsi="Times New Roman"/>
          <w:bCs/>
          <w:lang w:val="fr-FR"/>
        </w:rPr>
        <w:t>forme</w:t>
      </w:r>
      <w:r w:rsidR="00CE2D35" w:rsidRPr="0026653F">
        <w:rPr>
          <w:rFonts w:ascii="Times New Roman" w:hAnsi="Times New Roman"/>
          <w:bCs/>
          <w:lang w:val="fr-FR"/>
        </w:rPr>
        <w:t xml:space="preserve">s </w:t>
      </w:r>
      <w:r w:rsidRPr="0026653F">
        <w:rPr>
          <w:rFonts w:ascii="Times New Roman" w:hAnsi="Times New Roman"/>
          <w:bCs/>
          <w:lang w:val="fr-FR"/>
        </w:rPr>
        <w:t>de discrimination et d’intolérance d’envisager la possibilité de les ratifier.</w:t>
      </w:r>
    </w:p>
    <w:p w14:paraId="09BECEDF" w14:textId="77777777" w:rsidR="000A6BE0" w:rsidRPr="0026653F" w:rsidRDefault="000A6BE0" w:rsidP="00C618DD">
      <w:pPr>
        <w:suppressAutoHyphens/>
        <w:rPr>
          <w:bCs/>
          <w:szCs w:val="22"/>
          <w:lang w:val="fr-FR"/>
        </w:rPr>
      </w:pPr>
    </w:p>
    <w:p w14:paraId="7812F981" w14:textId="56C767DD" w:rsidR="000A6BE0" w:rsidRPr="00767721" w:rsidRDefault="000A6BE0" w:rsidP="00C618DD">
      <w:pPr>
        <w:suppressAutoHyphens/>
        <w:ind w:firstLine="720"/>
        <w:rPr>
          <w:bCs/>
          <w:szCs w:val="22"/>
          <w:lang w:val="fr-FR"/>
        </w:rPr>
      </w:pPr>
      <w:r w:rsidRPr="0026653F">
        <w:rPr>
          <w:bCs/>
          <w:szCs w:val="22"/>
          <w:lang w:val="fr-FR"/>
        </w:rPr>
        <w:t>6.</w:t>
      </w:r>
      <w:r w:rsidRPr="0026653F">
        <w:rPr>
          <w:bCs/>
          <w:szCs w:val="22"/>
          <w:lang w:val="fr-FR"/>
        </w:rPr>
        <w:tab/>
        <w:t xml:space="preserve">D’inviter les États </w:t>
      </w:r>
      <w:r w:rsidR="00264153" w:rsidRPr="0026653F">
        <w:rPr>
          <w:bCs/>
          <w:szCs w:val="22"/>
          <w:lang w:val="fr-FR"/>
        </w:rPr>
        <w:t xml:space="preserve">membres </w:t>
      </w:r>
      <w:r w:rsidRPr="0026653F">
        <w:rPr>
          <w:bCs/>
          <w:szCs w:val="22"/>
          <w:lang w:val="fr-FR"/>
        </w:rPr>
        <w:t>qui ne l’ont pas encore fait à envisager la possibilité de se joindre au Réseau interaméricain de hauts fonctionnaires chargés des politiques visant les populations d’ascendance africaine (RIAFRO).</w:t>
      </w:r>
    </w:p>
    <w:p w14:paraId="0AFAC86C" w14:textId="77777777" w:rsidR="000A6BE0" w:rsidRPr="0026653F" w:rsidRDefault="000A6BE0" w:rsidP="00C618DD">
      <w:pPr>
        <w:suppressAutoHyphens/>
        <w:rPr>
          <w:color w:val="000000"/>
          <w:szCs w:val="22"/>
          <w:lang w:val="fr-FR"/>
        </w:rPr>
      </w:pPr>
    </w:p>
    <w:p w14:paraId="51E782C4" w14:textId="77777777" w:rsidR="000A6BE0" w:rsidRPr="0026653F" w:rsidRDefault="000A6BE0" w:rsidP="00C618DD">
      <w:pPr>
        <w:pStyle w:val="PlainText"/>
        <w:suppressAutoHyphens/>
        <w:ind w:left="706" w:hanging="706"/>
        <w:jc w:val="both"/>
        <w:rPr>
          <w:rFonts w:ascii="Times New Roman" w:hAnsi="Times New Roman"/>
          <w:szCs w:val="22"/>
          <w:u w:val="single"/>
          <w:lang w:val="fr-FR"/>
        </w:rPr>
      </w:pPr>
      <w:r w:rsidRPr="0026653F">
        <w:rPr>
          <w:rFonts w:ascii="Times New Roman" w:hAnsi="Times New Roman"/>
          <w:color w:val="000000"/>
          <w:szCs w:val="22"/>
          <w:lang w:val="fr-FR"/>
        </w:rPr>
        <w:t>xiii.</w:t>
      </w:r>
      <w:r w:rsidRPr="0026653F">
        <w:rPr>
          <w:rFonts w:ascii="Times New Roman" w:hAnsi="Times New Roman"/>
          <w:color w:val="000000"/>
          <w:szCs w:val="22"/>
          <w:lang w:val="fr-FR"/>
        </w:rPr>
        <w:tab/>
      </w:r>
      <w:r w:rsidRPr="0026653F">
        <w:rPr>
          <w:rFonts w:ascii="Times New Roman" w:hAnsi="Times New Roman"/>
          <w:szCs w:val="22"/>
          <w:u w:val="single"/>
          <w:lang w:val="fr-FR"/>
        </w:rPr>
        <w:t>La défense publique officielle autonome en tant que sauvegarde des droits humains de toutes les personnes sans aucun type de discrimination, en particulier des peuples autochtones</w:t>
      </w:r>
    </w:p>
    <w:p w14:paraId="39908780" w14:textId="77777777" w:rsidR="000A6BE0" w:rsidRPr="0026653F" w:rsidRDefault="000A6BE0" w:rsidP="00C618DD">
      <w:pPr>
        <w:pStyle w:val="PlainText"/>
        <w:suppressAutoHyphens/>
        <w:jc w:val="both"/>
        <w:rPr>
          <w:rFonts w:ascii="Times New Roman" w:hAnsi="Times New Roman"/>
          <w:szCs w:val="22"/>
          <w:lang w:val="fr-FR"/>
        </w:rPr>
      </w:pPr>
    </w:p>
    <w:p w14:paraId="78AAFB5C" w14:textId="4013E18B" w:rsidR="000A6BE0" w:rsidRPr="0026653F" w:rsidRDefault="000A6BE0" w:rsidP="00C618DD">
      <w:pPr>
        <w:pStyle w:val="PlainText"/>
        <w:suppressAutoHyphens/>
        <w:ind w:firstLine="706"/>
        <w:jc w:val="both"/>
        <w:rPr>
          <w:rFonts w:ascii="Times New Roman" w:hAnsi="Times New Roman"/>
          <w:bCs/>
          <w:szCs w:val="22"/>
          <w:lang w:val="fr-FR"/>
        </w:rPr>
      </w:pPr>
      <w:r w:rsidRPr="0026653F">
        <w:rPr>
          <w:rFonts w:ascii="Times New Roman" w:hAnsi="Times New Roman"/>
          <w:bCs/>
          <w:szCs w:val="22"/>
          <w:lang w:val="fr-FR"/>
        </w:rPr>
        <w:t>RAPPELANT que l’Assemblée générale a pris note des Principes et directives en matière de défense publique dans les Amériques approuvés à l’unanimité par le Comité juridique interaméricain par le biais de la résolution CJI/RES. 226 (LXXXIX-O/16)</w:t>
      </w:r>
      <w:r w:rsidR="00CE2D35" w:rsidRPr="0026653F">
        <w:rPr>
          <w:rFonts w:ascii="Times New Roman" w:hAnsi="Times New Roman"/>
          <w:bCs/>
          <w:szCs w:val="22"/>
          <w:lang w:val="fr-FR"/>
        </w:rPr>
        <w:t> </w:t>
      </w:r>
      <w:r w:rsidRPr="0026653F">
        <w:rPr>
          <w:rFonts w:ascii="Times New Roman" w:hAnsi="Times New Roman"/>
          <w:bCs/>
          <w:szCs w:val="22"/>
          <w:lang w:val="fr-FR"/>
        </w:rPr>
        <w:t>; rappelant également le Guide pratique de réponses inclusives e</w:t>
      </w:r>
      <w:r w:rsidR="00116541" w:rsidRPr="0026653F">
        <w:rPr>
          <w:rFonts w:ascii="Times New Roman" w:hAnsi="Times New Roman"/>
          <w:bCs/>
          <w:szCs w:val="22"/>
          <w:lang w:val="fr-FR"/>
        </w:rPr>
        <w:t xml:space="preserve">t selon l’approche de </w:t>
      </w:r>
      <w:r w:rsidRPr="0026653F">
        <w:rPr>
          <w:rFonts w:ascii="Times New Roman" w:hAnsi="Times New Roman"/>
          <w:bCs/>
          <w:szCs w:val="22"/>
          <w:lang w:val="fr-FR"/>
        </w:rPr>
        <w:t xml:space="preserve">droits face à la COVID-19 </w:t>
      </w:r>
      <w:r w:rsidR="00116541" w:rsidRPr="0026653F">
        <w:rPr>
          <w:rFonts w:ascii="Times New Roman" w:hAnsi="Times New Roman"/>
          <w:bCs/>
          <w:szCs w:val="22"/>
          <w:lang w:val="fr-FR"/>
        </w:rPr>
        <w:t xml:space="preserve">dans les Amériques, </w:t>
      </w:r>
      <w:r w:rsidRPr="0026653F">
        <w:rPr>
          <w:rFonts w:ascii="Times New Roman" w:hAnsi="Times New Roman"/>
          <w:bCs/>
          <w:szCs w:val="22"/>
          <w:lang w:val="fr-FR"/>
        </w:rPr>
        <w:t xml:space="preserve">publié par cette Organisation le 7 avril </w:t>
      </w:r>
      <w:r w:rsidR="00B541F9" w:rsidRPr="0026653F">
        <w:rPr>
          <w:rFonts w:ascii="Times New Roman" w:hAnsi="Times New Roman"/>
          <w:bCs/>
          <w:szCs w:val="22"/>
          <w:lang w:val="fr-FR"/>
        </w:rPr>
        <w:t>2020</w:t>
      </w:r>
      <w:r w:rsidRPr="0026653F">
        <w:rPr>
          <w:rFonts w:ascii="Times New Roman" w:hAnsi="Times New Roman"/>
          <w:bCs/>
          <w:szCs w:val="22"/>
          <w:lang w:val="fr-FR"/>
        </w:rPr>
        <w:t xml:space="preserve">, en particulier </w:t>
      </w:r>
      <w:r w:rsidR="00116541" w:rsidRPr="0026653F">
        <w:rPr>
          <w:rFonts w:ascii="Times New Roman" w:hAnsi="Times New Roman"/>
          <w:bCs/>
          <w:szCs w:val="22"/>
          <w:lang w:val="fr-FR"/>
        </w:rPr>
        <w:t>le</w:t>
      </w:r>
      <w:r w:rsidRPr="0026653F">
        <w:rPr>
          <w:rFonts w:ascii="Times New Roman" w:hAnsi="Times New Roman"/>
          <w:bCs/>
          <w:szCs w:val="22"/>
          <w:lang w:val="fr-FR"/>
        </w:rPr>
        <w:t xml:space="preserve"> chapitre VIII sur la protection des personnes privées de liberté durant la pandémie de COVID-19,</w:t>
      </w:r>
    </w:p>
    <w:p w14:paraId="5279EBA9" w14:textId="77777777" w:rsidR="000A6BE0" w:rsidRPr="0026653F" w:rsidRDefault="000A6BE0" w:rsidP="00C618DD">
      <w:pPr>
        <w:pStyle w:val="PlainText"/>
        <w:suppressAutoHyphens/>
        <w:jc w:val="both"/>
        <w:rPr>
          <w:rFonts w:ascii="Times New Roman" w:hAnsi="Times New Roman"/>
          <w:szCs w:val="22"/>
          <w:lang w:val="fr-FR"/>
        </w:rPr>
      </w:pPr>
    </w:p>
    <w:p w14:paraId="2A529A52" w14:textId="335B89E9" w:rsidR="000A6BE0" w:rsidRPr="0026653F" w:rsidRDefault="000A6BE0" w:rsidP="00C618DD">
      <w:pPr>
        <w:pStyle w:val="PlainText"/>
        <w:suppressAutoHyphens/>
        <w:ind w:firstLine="706"/>
        <w:jc w:val="both"/>
        <w:rPr>
          <w:rFonts w:ascii="Times New Roman" w:hAnsi="Times New Roman"/>
          <w:bCs/>
          <w:szCs w:val="22"/>
          <w:lang w:val="fr-FR"/>
        </w:rPr>
      </w:pPr>
      <w:r w:rsidRPr="0026653F">
        <w:rPr>
          <w:rFonts w:ascii="Times New Roman" w:hAnsi="Times New Roman"/>
          <w:bCs/>
          <w:szCs w:val="22"/>
          <w:lang w:val="fr-FR"/>
        </w:rPr>
        <w:t xml:space="preserve">PRENANT NOTE des Règles de Brasilia sur l’accès à la justice </w:t>
      </w:r>
      <w:r w:rsidR="00116541" w:rsidRPr="0026653F">
        <w:rPr>
          <w:rFonts w:ascii="Times New Roman" w:hAnsi="Times New Roman"/>
          <w:bCs/>
          <w:szCs w:val="22"/>
          <w:lang w:val="fr-FR"/>
        </w:rPr>
        <w:t>pour l</w:t>
      </w:r>
      <w:r w:rsidRPr="0026653F">
        <w:rPr>
          <w:rFonts w:ascii="Times New Roman" w:hAnsi="Times New Roman"/>
          <w:bCs/>
          <w:szCs w:val="22"/>
          <w:lang w:val="fr-FR"/>
        </w:rPr>
        <w:t xml:space="preserve">es personnes en </w:t>
      </w:r>
      <w:r w:rsidR="00116541" w:rsidRPr="0026653F">
        <w:rPr>
          <w:rFonts w:ascii="Times New Roman" w:hAnsi="Times New Roman"/>
          <w:bCs/>
          <w:szCs w:val="22"/>
          <w:lang w:val="fr-FR"/>
        </w:rPr>
        <w:t xml:space="preserve">situation </w:t>
      </w:r>
      <w:r w:rsidRPr="0026653F">
        <w:rPr>
          <w:rFonts w:ascii="Times New Roman" w:hAnsi="Times New Roman"/>
          <w:bCs/>
          <w:szCs w:val="22"/>
          <w:lang w:val="fr-FR"/>
        </w:rPr>
        <w:t>de vulnérabilité,</w:t>
      </w:r>
      <w:r w:rsidRPr="0026653F">
        <w:rPr>
          <w:rFonts w:ascii="Times New Roman" w:hAnsi="Times New Roman"/>
          <w:b/>
          <w:szCs w:val="22"/>
          <w:lang w:val="fr-FR"/>
        </w:rPr>
        <w:t xml:space="preserve"> </w:t>
      </w:r>
      <w:r w:rsidRPr="0026653F">
        <w:rPr>
          <w:rFonts w:ascii="Times New Roman" w:hAnsi="Times New Roman"/>
          <w:bCs/>
          <w:szCs w:val="22"/>
          <w:lang w:val="fr-FR"/>
        </w:rPr>
        <w:t>lesquelles demandent instamment de donner aux personnes et aux peuples autochtones la possibilité d’exercer avec plénitude leurs droits face au système judiciaire, sans aucune discrimination qui pourrait être basée sur leur origine, leur identité autochtone ou leur condition économique, ainsi que des articles XXII</w:t>
      </w:r>
      <w:r w:rsidR="00116541" w:rsidRPr="0026653F">
        <w:rPr>
          <w:rFonts w:ascii="Times New Roman" w:hAnsi="Times New Roman"/>
          <w:bCs/>
          <w:szCs w:val="22"/>
          <w:lang w:val="fr-FR"/>
        </w:rPr>
        <w:t xml:space="preserve">.3 </w:t>
      </w:r>
      <w:r w:rsidRPr="0026653F">
        <w:rPr>
          <w:rFonts w:ascii="Times New Roman" w:hAnsi="Times New Roman"/>
          <w:bCs/>
          <w:szCs w:val="22"/>
          <w:lang w:val="fr-FR"/>
        </w:rPr>
        <w:t>et XXIII de la Déclaration américaine sur les droits des peuples autochtones</w:t>
      </w:r>
      <w:r w:rsidR="00116541" w:rsidRPr="0026653F">
        <w:rPr>
          <w:rFonts w:ascii="Times New Roman" w:hAnsi="Times New Roman"/>
          <w:bCs/>
          <w:szCs w:val="22"/>
          <w:lang w:val="fr-FR"/>
        </w:rPr>
        <w:t>,</w:t>
      </w:r>
    </w:p>
    <w:p w14:paraId="3DF71328" w14:textId="77777777" w:rsidR="000A6BE0" w:rsidRPr="0026653F" w:rsidRDefault="000A6BE0" w:rsidP="00C618DD">
      <w:pPr>
        <w:rPr>
          <w:bCs/>
          <w:szCs w:val="22"/>
          <w:lang w:val="fr-FR"/>
        </w:rPr>
      </w:pPr>
    </w:p>
    <w:p w14:paraId="4AA6B76D" w14:textId="77777777" w:rsidR="000A6BE0" w:rsidRPr="0026653F" w:rsidRDefault="000A6BE0" w:rsidP="00C618DD">
      <w:pPr>
        <w:pStyle w:val="PlainText"/>
        <w:suppressAutoHyphens/>
        <w:jc w:val="both"/>
        <w:rPr>
          <w:rFonts w:ascii="Times New Roman" w:hAnsi="Times New Roman"/>
          <w:bCs/>
          <w:szCs w:val="22"/>
          <w:lang w:val="fr-FR"/>
        </w:rPr>
      </w:pPr>
      <w:r w:rsidRPr="0026653F">
        <w:rPr>
          <w:rFonts w:ascii="Times New Roman" w:hAnsi="Times New Roman"/>
          <w:bCs/>
          <w:szCs w:val="22"/>
          <w:lang w:val="fr-FR"/>
        </w:rPr>
        <w:t>DÉCIDE :</w:t>
      </w:r>
    </w:p>
    <w:p w14:paraId="78D7BEE4" w14:textId="77777777" w:rsidR="000A6BE0" w:rsidRPr="0026653F" w:rsidRDefault="000A6BE0" w:rsidP="00C618DD">
      <w:pPr>
        <w:pStyle w:val="PlainText"/>
        <w:suppressAutoHyphens/>
        <w:jc w:val="both"/>
        <w:rPr>
          <w:rFonts w:ascii="Times New Roman" w:hAnsi="Times New Roman"/>
          <w:bCs/>
          <w:szCs w:val="22"/>
          <w:lang w:val="fr-FR"/>
        </w:rPr>
      </w:pPr>
    </w:p>
    <w:p w14:paraId="07C3190F" w14:textId="77777777" w:rsidR="000A6BE0" w:rsidRPr="00767721" w:rsidRDefault="000A6BE0" w:rsidP="00C618DD">
      <w:pPr>
        <w:pStyle w:val="PlainText"/>
        <w:suppressAutoHyphens/>
        <w:ind w:firstLine="720"/>
        <w:jc w:val="both"/>
        <w:rPr>
          <w:rFonts w:ascii="Times New Roman" w:hAnsi="Times New Roman"/>
          <w:bCs/>
          <w:szCs w:val="22"/>
          <w:lang w:val="fr-FR"/>
        </w:rPr>
      </w:pPr>
      <w:r w:rsidRPr="0026653F">
        <w:rPr>
          <w:rFonts w:ascii="Times New Roman" w:hAnsi="Times New Roman"/>
          <w:bCs/>
          <w:szCs w:val="22"/>
          <w:lang w:val="fr-FR"/>
        </w:rPr>
        <w:t>1.</w:t>
      </w:r>
      <w:r w:rsidRPr="0026653F">
        <w:rPr>
          <w:rFonts w:ascii="Times New Roman" w:hAnsi="Times New Roman"/>
          <w:bCs/>
          <w:szCs w:val="22"/>
          <w:lang w:val="fr-FR"/>
        </w:rPr>
        <w:tab/>
        <w:t>D’affirmer l’importance fondamentale que revêt le service de défense juridique gratuite offert par les Bureaux de défenseurs publics officiels des Amériques pour la promotion et la protection du droit d’accès à la justice de toutes les personnes, en particulier de celles qui se trouvent dans une situation de vulnérabilité, ce qui constitue une facette essentielle à la consolidation de la démocratie, et de souligner le travail réalisé par les hommes et femmes défenseurs publics officiels des Amériques dans le contexte de la pandémie de COVID-19, en particulier en ce qui concerne les personnes privées de liberté afin que les conditions d’hygiène et l’accès effectif à la santé de ce groupe vulnérable, entre autres questions, leur soient garantis.</w:t>
      </w:r>
      <w:r w:rsidRPr="00C04774">
        <w:rPr>
          <w:rStyle w:val="FootnoteReference"/>
          <w:rFonts w:ascii="Times New Roman" w:hAnsi="Times New Roman"/>
          <w:szCs w:val="22"/>
          <w:u w:val="single"/>
          <w:vertAlign w:val="superscript"/>
          <w:lang w:val="fr-FR"/>
        </w:rPr>
        <w:footnoteReference w:id="88"/>
      </w:r>
      <w:r w:rsidRPr="0026653F">
        <w:rPr>
          <w:rFonts w:ascii="Times New Roman" w:hAnsi="Times New Roman"/>
          <w:szCs w:val="22"/>
          <w:vertAlign w:val="superscript"/>
          <w:lang w:val="fr-FR"/>
        </w:rPr>
        <w:t>/</w:t>
      </w:r>
    </w:p>
    <w:p w14:paraId="62A4FB09" w14:textId="77777777" w:rsidR="000A6BE0" w:rsidRPr="0026653F" w:rsidRDefault="000A6BE0" w:rsidP="00C618DD">
      <w:pPr>
        <w:pStyle w:val="PlainText"/>
        <w:suppressAutoHyphens/>
        <w:jc w:val="both"/>
        <w:rPr>
          <w:rFonts w:ascii="Times New Roman" w:hAnsi="Times New Roman"/>
          <w:bCs/>
          <w:szCs w:val="22"/>
          <w:lang w:val="fr-FR"/>
        </w:rPr>
      </w:pPr>
    </w:p>
    <w:p w14:paraId="6E3F7703" w14:textId="77777777" w:rsidR="000A6BE0" w:rsidRPr="0026653F" w:rsidRDefault="000A6BE0" w:rsidP="00C618DD">
      <w:pPr>
        <w:pStyle w:val="PlainText"/>
        <w:suppressAutoHyphens/>
        <w:ind w:firstLine="720"/>
        <w:jc w:val="both"/>
        <w:rPr>
          <w:rFonts w:ascii="Times New Roman" w:hAnsi="Times New Roman"/>
          <w:bCs/>
          <w:szCs w:val="22"/>
          <w:lang w:val="fr-FR"/>
        </w:rPr>
      </w:pPr>
      <w:r w:rsidRPr="0026653F">
        <w:rPr>
          <w:rFonts w:ascii="Times New Roman" w:hAnsi="Times New Roman"/>
          <w:bCs/>
          <w:szCs w:val="22"/>
          <w:lang w:val="fr-FR"/>
        </w:rPr>
        <w:t>2.</w:t>
      </w:r>
      <w:r w:rsidRPr="0026653F">
        <w:rPr>
          <w:rFonts w:ascii="Times New Roman" w:hAnsi="Times New Roman"/>
          <w:bCs/>
          <w:szCs w:val="22"/>
          <w:lang w:val="fr-FR"/>
        </w:rPr>
        <w:tab/>
        <w:t>D’encourager les États membres à garantir, conformément à leur législation et à leurs politiques nationales et en particulier aux institutions de défense publique officielle, l’accès à la justice selon une approche interculturelle pour la jouissance effective de tous les droits humains des peuples autochtones, en particulier leurs droits économiques, sociaux, et culturels.</w:t>
      </w:r>
    </w:p>
    <w:p w14:paraId="13C599C4" w14:textId="77777777" w:rsidR="000A6BE0" w:rsidRPr="0026653F" w:rsidRDefault="000A6BE0" w:rsidP="00C618DD">
      <w:pPr>
        <w:suppressAutoHyphens/>
        <w:rPr>
          <w:szCs w:val="22"/>
          <w:lang w:val="fr-FR"/>
        </w:rPr>
      </w:pPr>
    </w:p>
    <w:p w14:paraId="1EA8A86E" w14:textId="77777777" w:rsidR="000A6BE0" w:rsidRPr="0026653F" w:rsidRDefault="000A6BE0" w:rsidP="00C618DD">
      <w:pPr>
        <w:pStyle w:val="PlainText"/>
        <w:suppressAutoHyphens/>
        <w:jc w:val="both"/>
        <w:rPr>
          <w:rFonts w:ascii="Times New Roman" w:hAnsi="Times New Roman"/>
          <w:szCs w:val="22"/>
          <w:u w:val="single"/>
          <w:lang w:val="fr-FR"/>
        </w:rPr>
      </w:pPr>
      <w:r w:rsidRPr="0026653F">
        <w:rPr>
          <w:rFonts w:ascii="Times New Roman" w:hAnsi="Times New Roman"/>
          <w:szCs w:val="22"/>
          <w:lang w:val="fr-FR"/>
        </w:rPr>
        <w:t>xiv.</w:t>
      </w:r>
      <w:r w:rsidRPr="0026653F">
        <w:rPr>
          <w:rFonts w:ascii="Times New Roman" w:hAnsi="Times New Roman"/>
          <w:szCs w:val="22"/>
          <w:lang w:val="fr-FR"/>
        </w:rPr>
        <w:tab/>
      </w:r>
      <w:r w:rsidRPr="0026653F">
        <w:rPr>
          <w:rFonts w:ascii="Times New Roman" w:hAnsi="Times New Roman"/>
          <w:szCs w:val="22"/>
          <w:u w:val="single"/>
          <w:lang w:val="fr-FR"/>
        </w:rPr>
        <w:t>Droits de la personne et environnement</w:t>
      </w:r>
      <w:r w:rsidRPr="0026653F">
        <w:rPr>
          <w:rFonts w:ascii="Times New Roman" w:hAnsi="Times New Roman"/>
          <w:szCs w:val="22"/>
          <w:vertAlign w:val="superscript"/>
          <w:lang w:val="fr-FR"/>
        </w:rPr>
        <w:t xml:space="preserve"> </w:t>
      </w:r>
      <w:r w:rsidRPr="0026653F">
        <w:rPr>
          <w:rStyle w:val="FootnoteReference"/>
          <w:rFonts w:ascii="Times New Roman" w:hAnsi="Times New Roman"/>
          <w:szCs w:val="22"/>
          <w:u w:val="single"/>
          <w:vertAlign w:val="superscript"/>
          <w:lang w:val="fr-FR"/>
        </w:rPr>
        <w:footnoteReference w:id="89"/>
      </w:r>
      <w:r w:rsidRPr="0026653F">
        <w:rPr>
          <w:rFonts w:ascii="Times New Roman" w:hAnsi="Times New Roman"/>
          <w:szCs w:val="22"/>
          <w:vertAlign w:val="superscript"/>
          <w:lang w:val="fr-FR"/>
        </w:rPr>
        <w:t>/</w:t>
      </w:r>
    </w:p>
    <w:p w14:paraId="47524E97" w14:textId="77777777" w:rsidR="000A6BE0" w:rsidRPr="0026653F" w:rsidRDefault="000A6BE0" w:rsidP="00C618DD">
      <w:pPr>
        <w:pStyle w:val="PlainText"/>
        <w:suppressAutoHyphens/>
        <w:jc w:val="both"/>
        <w:rPr>
          <w:rFonts w:ascii="Times New Roman" w:hAnsi="Times New Roman"/>
          <w:szCs w:val="22"/>
          <w:lang w:val="fr-FR"/>
        </w:rPr>
      </w:pPr>
    </w:p>
    <w:p w14:paraId="3B9DCD66" w14:textId="32FA3BCE" w:rsidR="000A6BE0" w:rsidRPr="0026653F" w:rsidRDefault="000A6BE0" w:rsidP="00C618DD">
      <w:pPr>
        <w:pStyle w:val="PlainText"/>
        <w:suppressAutoHyphens/>
        <w:ind w:firstLine="706"/>
        <w:jc w:val="both"/>
        <w:rPr>
          <w:rFonts w:ascii="Times New Roman" w:hAnsi="Times New Roman"/>
          <w:bCs/>
          <w:szCs w:val="22"/>
          <w:lang w:val="fr-FR"/>
        </w:rPr>
      </w:pPr>
      <w:r w:rsidRPr="0026653F">
        <w:rPr>
          <w:rFonts w:ascii="Times New Roman" w:hAnsi="Times New Roman"/>
          <w:bCs/>
          <w:szCs w:val="22"/>
          <w:lang w:val="fr-FR"/>
        </w:rPr>
        <w:t xml:space="preserve">CONSIDÉRANT que l’urgence sanitaire mondiale occasionnée par la pandémie de COVID-19 a empêché que, lors d’une séance ordinaire, le Conseil permanent inclue </w:t>
      </w:r>
      <w:r w:rsidR="00116541" w:rsidRPr="0026653F">
        <w:rPr>
          <w:rFonts w:ascii="Times New Roman" w:hAnsi="Times New Roman"/>
          <w:bCs/>
          <w:szCs w:val="22"/>
          <w:lang w:val="fr-FR"/>
        </w:rPr>
        <w:t>à son ordre du jour l’accès à</w:t>
      </w:r>
      <w:r w:rsidRPr="0026653F">
        <w:rPr>
          <w:rFonts w:ascii="Times New Roman" w:hAnsi="Times New Roman"/>
          <w:bCs/>
          <w:szCs w:val="22"/>
          <w:lang w:val="fr-FR"/>
        </w:rPr>
        <w:t xml:space="preserve"> l’information, la participation publique et </w:t>
      </w:r>
      <w:r w:rsidR="00116541" w:rsidRPr="0026653F">
        <w:rPr>
          <w:rFonts w:ascii="Times New Roman" w:hAnsi="Times New Roman"/>
          <w:bCs/>
          <w:szCs w:val="22"/>
          <w:lang w:val="fr-FR"/>
        </w:rPr>
        <w:t>l</w:t>
      </w:r>
      <w:r w:rsidRPr="0026653F">
        <w:rPr>
          <w:rFonts w:ascii="Times New Roman" w:hAnsi="Times New Roman"/>
          <w:bCs/>
          <w:szCs w:val="22"/>
          <w:lang w:val="fr-FR"/>
        </w:rPr>
        <w:t xml:space="preserve">’accès à la justice </w:t>
      </w:r>
      <w:r w:rsidR="00116541" w:rsidRPr="0026653F">
        <w:rPr>
          <w:rFonts w:ascii="Times New Roman" w:hAnsi="Times New Roman"/>
          <w:bCs/>
          <w:szCs w:val="22"/>
          <w:lang w:val="fr-FR"/>
        </w:rPr>
        <w:t xml:space="preserve">au regard des </w:t>
      </w:r>
      <w:r w:rsidRPr="0026653F">
        <w:rPr>
          <w:rFonts w:ascii="Times New Roman" w:hAnsi="Times New Roman"/>
          <w:bCs/>
          <w:szCs w:val="22"/>
          <w:lang w:val="fr-FR"/>
        </w:rPr>
        <w:t xml:space="preserve">questions environnementales en Amérique latine et dans les Caraïbes, conformément au mandat établi dans la section </w:t>
      </w:r>
      <w:r w:rsidR="008E5A76" w:rsidRPr="0026653F">
        <w:rPr>
          <w:rFonts w:ascii="Times New Roman" w:hAnsi="Times New Roman"/>
          <w:bCs/>
          <w:szCs w:val="22"/>
          <w:lang w:val="fr-FR"/>
        </w:rPr>
        <w:t>v</w:t>
      </w:r>
      <w:r w:rsidR="00116541" w:rsidRPr="0026653F">
        <w:rPr>
          <w:rFonts w:ascii="Times New Roman" w:hAnsi="Times New Roman"/>
          <w:bCs/>
          <w:szCs w:val="22"/>
          <w:lang w:val="fr-FR"/>
        </w:rPr>
        <w:t xml:space="preserve">ii. </w:t>
      </w:r>
      <w:proofErr w:type="gramStart"/>
      <w:r w:rsidRPr="0026653F">
        <w:rPr>
          <w:rFonts w:ascii="Times New Roman" w:hAnsi="Times New Roman"/>
          <w:bCs/>
          <w:szCs w:val="22"/>
          <w:lang w:val="fr-FR"/>
        </w:rPr>
        <w:t>de</w:t>
      </w:r>
      <w:proofErr w:type="gramEnd"/>
      <w:r w:rsidRPr="0026653F">
        <w:rPr>
          <w:rFonts w:ascii="Times New Roman" w:hAnsi="Times New Roman"/>
          <w:bCs/>
          <w:szCs w:val="22"/>
          <w:lang w:val="fr-FR"/>
        </w:rPr>
        <w:t xml:space="preserve"> la résolution AG/RES. 2941 (XLIX-O/19),</w:t>
      </w:r>
    </w:p>
    <w:p w14:paraId="2FDD9407" w14:textId="77777777" w:rsidR="000A6BE0" w:rsidRPr="0026653F" w:rsidRDefault="000A6BE0" w:rsidP="00C618DD">
      <w:pPr>
        <w:pStyle w:val="PlainText"/>
        <w:suppressAutoHyphens/>
        <w:jc w:val="both"/>
        <w:rPr>
          <w:rFonts w:ascii="Times New Roman" w:hAnsi="Times New Roman"/>
          <w:szCs w:val="22"/>
          <w:lang w:val="fr-FR"/>
        </w:rPr>
      </w:pPr>
    </w:p>
    <w:p w14:paraId="62849F71" w14:textId="77777777" w:rsidR="000A6BE0" w:rsidRPr="0026653F" w:rsidRDefault="000A6BE0" w:rsidP="00C618DD">
      <w:pPr>
        <w:pStyle w:val="PlainText"/>
        <w:suppressAutoHyphens/>
        <w:jc w:val="both"/>
        <w:rPr>
          <w:rFonts w:ascii="Times New Roman" w:hAnsi="Times New Roman"/>
          <w:szCs w:val="22"/>
          <w:lang w:val="fr-FR"/>
        </w:rPr>
      </w:pPr>
      <w:r w:rsidRPr="0026653F">
        <w:rPr>
          <w:rFonts w:ascii="Times New Roman" w:hAnsi="Times New Roman"/>
          <w:szCs w:val="22"/>
          <w:lang w:val="fr-FR"/>
        </w:rPr>
        <w:t xml:space="preserve">DÉCIDE : </w:t>
      </w:r>
    </w:p>
    <w:p w14:paraId="14E59628" w14:textId="77777777" w:rsidR="000A6BE0" w:rsidRPr="0026653F" w:rsidRDefault="000A6BE0" w:rsidP="00C618DD">
      <w:pPr>
        <w:pStyle w:val="PlainText"/>
        <w:suppressAutoHyphens/>
        <w:jc w:val="both"/>
        <w:rPr>
          <w:rFonts w:ascii="Times New Roman" w:hAnsi="Times New Roman"/>
          <w:szCs w:val="22"/>
          <w:lang w:val="fr-FR"/>
        </w:rPr>
      </w:pPr>
    </w:p>
    <w:p w14:paraId="46BE49C8" w14:textId="0D1C7603" w:rsidR="000A6BE0" w:rsidRPr="0026653F" w:rsidRDefault="000A6BE0" w:rsidP="00C618DD">
      <w:pPr>
        <w:pStyle w:val="PlainText"/>
        <w:suppressAutoHyphens/>
        <w:jc w:val="both"/>
        <w:rPr>
          <w:rFonts w:ascii="Times New Roman" w:hAnsi="Times New Roman"/>
          <w:bCs/>
          <w:szCs w:val="22"/>
          <w:lang w:val="fr-FR"/>
        </w:rPr>
      </w:pPr>
      <w:r w:rsidRPr="0026653F">
        <w:rPr>
          <w:rFonts w:ascii="Times New Roman" w:hAnsi="Times New Roman"/>
          <w:szCs w:val="22"/>
          <w:lang w:val="fr-FR"/>
        </w:rPr>
        <w:tab/>
        <w:t>1.</w:t>
      </w:r>
      <w:r w:rsidRPr="0026653F">
        <w:rPr>
          <w:rFonts w:ascii="Times New Roman" w:hAnsi="Times New Roman"/>
          <w:szCs w:val="22"/>
          <w:lang w:val="fr-FR"/>
        </w:rPr>
        <w:tab/>
      </w:r>
      <w:r w:rsidRPr="0026653F">
        <w:rPr>
          <w:rFonts w:ascii="Times New Roman" w:hAnsi="Times New Roman"/>
          <w:bCs/>
          <w:szCs w:val="22"/>
          <w:lang w:val="fr-FR"/>
        </w:rPr>
        <w:t>D</w:t>
      </w:r>
      <w:r w:rsidR="00116541" w:rsidRPr="0026653F">
        <w:rPr>
          <w:rFonts w:ascii="Times New Roman" w:hAnsi="Times New Roman"/>
          <w:bCs/>
          <w:szCs w:val="22"/>
          <w:lang w:val="fr-FR"/>
        </w:rPr>
        <w:t xml:space="preserve">e reconduire </w:t>
      </w:r>
      <w:r w:rsidRPr="0026653F">
        <w:rPr>
          <w:rFonts w:ascii="Times New Roman" w:hAnsi="Times New Roman"/>
          <w:bCs/>
          <w:szCs w:val="22"/>
          <w:lang w:val="fr-FR"/>
        </w:rPr>
        <w:t>ce mandat de</w:t>
      </w:r>
      <w:r w:rsidR="009F7C00" w:rsidRPr="0026653F">
        <w:rPr>
          <w:rFonts w:ascii="Times New Roman" w:hAnsi="Times New Roman"/>
          <w:bCs/>
          <w:szCs w:val="22"/>
          <w:lang w:val="fr-FR"/>
        </w:rPr>
        <w:t xml:space="preserve"> sorte </w:t>
      </w:r>
      <w:r w:rsidRPr="0026653F">
        <w:rPr>
          <w:rFonts w:ascii="Times New Roman" w:hAnsi="Times New Roman"/>
          <w:bCs/>
          <w:szCs w:val="22"/>
          <w:lang w:val="fr-FR"/>
        </w:rPr>
        <w:t xml:space="preserve">à </w:t>
      </w:r>
      <w:r w:rsidR="009F7C00" w:rsidRPr="0026653F">
        <w:rPr>
          <w:rFonts w:ascii="Times New Roman" w:hAnsi="Times New Roman"/>
          <w:bCs/>
          <w:szCs w:val="22"/>
          <w:lang w:val="fr-FR"/>
        </w:rPr>
        <w:t xml:space="preserve">charger </w:t>
      </w:r>
      <w:r w:rsidRPr="0026653F">
        <w:rPr>
          <w:rFonts w:ascii="Times New Roman" w:hAnsi="Times New Roman"/>
          <w:bCs/>
          <w:szCs w:val="22"/>
          <w:lang w:val="fr-FR"/>
        </w:rPr>
        <w:t>le Conseil permanent d’inclure</w:t>
      </w:r>
      <w:r w:rsidR="009F7C00" w:rsidRPr="0026653F">
        <w:rPr>
          <w:rFonts w:ascii="Times New Roman" w:hAnsi="Times New Roman"/>
          <w:bCs/>
          <w:szCs w:val="22"/>
          <w:lang w:val="fr-FR"/>
        </w:rPr>
        <w:t xml:space="preserve"> à l’ordre du jour de l</w:t>
      </w:r>
      <w:r w:rsidRPr="0026653F">
        <w:rPr>
          <w:rFonts w:ascii="Times New Roman" w:hAnsi="Times New Roman"/>
          <w:bCs/>
          <w:szCs w:val="22"/>
          <w:lang w:val="fr-FR"/>
        </w:rPr>
        <w:t xml:space="preserve">’une de ses séances ordinaires les questions d’accès à l’information, </w:t>
      </w:r>
      <w:r w:rsidR="009F7C00" w:rsidRPr="0026653F">
        <w:rPr>
          <w:rFonts w:ascii="Times New Roman" w:hAnsi="Times New Roman"/>
          <w:bCs/>
          <w:szCs w:val="22"/>
          <w:lang w:val="fr-FR"/>
        </w:rPr>
        <w:t xml:space="preserve">de </w:t>
      </w:r>
      <w:r w:rsidRPr="0026653F">
        <w:rPr>
          <w:rFonts w:ascii="Times New Roman" w:hAnsi="Times New Roman"/>
          <w:bCs/>
          <w:szCs w:val="22"/>
          <w:lang w:val="fr-FR"/>
        </w:rPr>
        <w:t xml:space="preserve">participation publique et </w:t>
      </w:r>
      <w:r w:rsidR="009F7C00" w:rsidRPr="0026653F">
        <w:rPr>
          <w:rFonts w:ascii="Times New Roman" w:hAnsi="Times New Roman"/>
          <w:bCs/>
          <w:szCs w:val="22"/>
          <w:lang w:val="fr-FR"/>
        </w:rPr>
        <w:t>d</w:t>
      </w:r>
      <w:r w:rsidRPr="0026653F">
        <w:rPr>
          <w:rFonts w:ascii="Times New Roman" w:hAnsi="Times New Roman"/>
          <w:bCs/>
          <w:szCs w:val="22"/>
          <w:lang w:val="fr-FR"/>
        </w:rPr>
        <w:t xml:space="preserve">’accès à la justice </w:t>
      </w:r>
      <w:r w:rsidR="009F7C00" w:rsidRPr="0026653F">
        <w:rPr>
          <w:rFonts w:ascii="Times New Roman" w:hAnsi="Times New Roman"/>
          <w:bCs/>
          <w:szCs w:val="22"/>
          <w:lang w:val="fr-FR"/>
        </w:rPr>
        <w:t>au regard</w:t>
      </w:r>
      <w:r w:rsidRPr="0026653F">
        <w:rPr>
          <w:rFonts w:ascii="Times New Roman" w:hAnsi="Times New Roman"/>
          <w:bCs/>
          <w:szCs w:val="22"/>
          <w:lang w:val="fr-FR"/>
        </w:rPr>
        <w:t xml:space="preserve"> des questions environnementales en Amérique latine et dans les Caraïbes, </w:t>
      </w:r>
      <w:r w:rsidR="009F7C00" w:rsidRPr="0026653F">
        <w:rPr>
          <w:rFonts w:ascii="Times New Roman" w:hAnsi="Times New Roman"/>
          <w:bCs/>
          <w:szCs w:val="22"/>
          <w:lang w:val="fr-FR"/>
        </w:rPr>
        <w:t xml:space="preserve">à </w:t>
      </w:r>
      <w:r w:rsidRPr="0026653F">
        <w:rPr>
          <w:rFonts w:ascii="Times New Roman" w:hAnsi="Times New Roman"/>
          <w:bCs/>
          <w:szCs w:val="22"/>
          <w:lang w:val="fr-FR"/>
        </w:rPr>
        <w:t>laquelle la C</w:t>
      </w:r>
      <w:r w:rsidR="00C7070D" w:rsidRPr="0026653F">
        <w:rPr>
          <w:rFonts w:ascii="Times New Roman" w:hAnsi="Times New Roman"/>
          <w:bCs/>
          <w:szCs w:val="22"/>
          <w:lang w:val="fr-FR"/>
        </w:rPr>
        <w:t xml:space="preserve">IDH </w:t>
      </w:r>
      <w:r w:rsidRPr="0026653F">
        <w:rPr>
          <w:rFonts w:ascii="Times New Roman" w:hAnsi="Times New Roman"/>
          <w:bCs/>
          <w:szCs w:val="22"/>
          <w:lang w:val="fr-FR"/>
        </w:rPr>
        <w:t>et le Groupe de travail chargé d</w:t>
      </w:r>
      <w:r w:rsidR="00907D2D" w:rsidRPr="0026653F">
        <w:rPr>
          <w:rFonts w:ascii="Times New Roman" w:hAnsi="Times New Roman"/>
          <w:bCs/>
          <w:szCs w:val="22"/>
          <w:lang w:val="fr-FR"/>
        </w:rPr>
        <w:t xml:space="preserve">’examiner les rapports </w:t>
      </w:r>
      <w:r w:rsidRPr="0026653F">
        <w:rPr>
          <w:rFonts w:ascii="Times New Roman" w:hAnsi="Times New Roman"/>
          <w:bCs/>
          <w:szCs w:val="22"/>
          <w:lang w:val="fr-FR"/>
        </w:rPr>
        <w:t xml:space="preserve">nationaux </w:t>
      </w:r>
      <w:r w:rsidR="00907D2D" w:rsidRPr="0026653F">
        <w:rPr>
          <w:rFonts w:ascii="Times New Roman" w:hAnsi="Times New Roman"/>
          <w:bCs/>
          <w:szCs w:val="22"/>
          <w:lang w:val="fr-FR"/>
        </w:rPr>
        <w:t xml:space="preserve">évoqués </w:t>
      </w:r>
      <w:r w:rsidRPr="0026653F">
        <w:rPr>
          <w:rFonts w:ascii="Times New Roman" w:hAnsi="Times New Roman"/>
          <w:bCs/>
          <w:szCs w:val="22"/>
          <w:lang w:val="fr-FR"/>
        </w:rPr>
        <w:t>dans le Protocol</w:t>
      </w:r>
      <w:r w:rsidR="00907D2D" w:rsidRPr="0026653F">
        <w:rPr>
          <w:rFonts w:ascii="Times New Roman" w:hAnsi="Times New Roman"/>
          <w:bCs/>
          <w:szCs w:val="22"/>
          <w:lang w:val="fr-FR"/>
        </w:rPr>
        <w:t>e</w:t>
      </w:r>
      <w:r w:rsidRPr="0026653F">
        <w:rPr>
          <w:rFonts w:ascii="Times New Roman" w:hAnsi="Times New Roman"/>
          <w:bCs/>
          <w:szCs w:val="22"/>
          <w:lang w:val="fr-FR"/>
        </w:rPr>
        <w:t xml:space="preserve"> de San Salvador seront invité</w:t>
      </w:r>
      <w:r w:rsidR="00907D2D" w:rsidRPr="0026653F">
        <w:rPr>
          <w:rFonts w:ascii="Times New Roman" w:hAnsi="Times New Roman"/>
          <w:bCs/>
          <w:szCs w:val="22"/>
          <w:lang w:val="fr-FR"/>
        </w:rPr>
        <w:t>s</w:t>
      </w:r>
      <w:r w:rsidRPr="0026653F">
        <w:rPr>
          <w:rFonts w:ascii="Times New Roman" w:hAnsi="Times New Roman"/>
          <w:bCs/>
          <w:szCs w:val="22"/>
          <w:lang w:val="fr-FR"/>
        </w:rPr>
        <w:t xml:space="preserve"> à présenter un rapport sur l’état de la situation en Amérique latine et dans les Caraïbes </w:t>
      </w:r>
      <w:r w:rsidR="00264153" w:rsidRPr="0026653F">
        <w:rPr>
          <w:rFonts w:ascii="Times New Roman" w:hAnsi="Times New Roman"/>
          <w:bCs/>
          <w:szCs w:val="22"/>
          <w:lang w:val="fr-FR"/>
        </w:rPr>
        <w:t>en la matière.</w:t>
      </w:r>
    </w:p>
    <w:p w14:paraId="0D2161EA" w14:textId="77777777" w:rsidR="000A6BE0" w:rsidRPr="0026653F" w:rsidRDefault="000A6BE0" w:rsidP="00C618DD">
      <w:pPr>
        <w:pStyle w:val="PlainText"/>
        <w:suppressAutoHyphens/>
        <w:jc w:val="both"/>
        <w:rPr>
          <w:rFonts w:ascii="Times New Roman" w:hAnsi="Times New Roman"/>
          <w:bCs/>
          <w:szCs w:val="22"/>
          <w:lang w:val="fr-FR"/>
        </w:rPr>
      </w:pPr>
    </w:p>
    <w:p w14:paraId="54B602D5" w14:textId="3A5D47D9" w:rsidR="000A6BE0" w:rsidRPr="0026653F" w:rsidRDefault="000A6BE0" w:rsidP="00C618DD">
      <w:pPr>
        <w:pStyle w:val="PlainText"/>
        <w:suppressAutoHyphens/>
        <w:jc w:val="both"/>
        <w:rPr>
          <w:rFonts w:ascii="Times New Roman" w:hAnsi="Times New Roman"/>
          <w:bCs/>
          <w:szCs w:val="22"/>
          <w:lang w:val="fr-FR"/>
        </w:rPr>
      </w:pPr>
      <w:r w:rsidRPr="0026653F">
        <w:rPr>
          <w:rFonts w:ascii="Times New Roman" w:hAnsi="Times New Roman"/>
          <w:bCs/>
          <w:szCs w:val="22"/>
          <w:lang w:val="fr-FR"/>
        </w:rPr>
        <w:tab/>
        <w:t>2.</w:t>
      </w:r>
      <w:r w:rsidRPr="0026653F">
        <w:rPr>
          <w:rFonts w:ascii="Times New Roman" w:hAnsi="Times New Roman"/>
          <w:bCs/>
          <w:szCs w:val="22"/>
          <w:lang w:val="fr-FR"/>
        </w:rPr>
        <w:tab/>
        <w:t xml:space="preserve">De recommander qu’en abordant la question lors d’une séance du Conseil permanent, outre ce qui est indiqué dans la section vii. </w:t>
      </w:r>
      <w:proofErr w:type="gramStart"/>
      <w:r w:rsidRPr="0026653F">
        <w:rPr>
          <w:rFonts w:ascii="Times New Roman" w:hAnsi="Times New Roman"/>
          <w:bCs/>
          <w:szCs w:val="22"/>
          <w:lang w:val="fr-FR"/>
        </w:rPr>
        <w:t>de</w:t>
      </w:r>
      <w:proofErr w:type="gramEnd"/>
      <w:r w:rsidRPr="0026653F">
        <w:rPr>
          <w:rFonts w:ascii="Times New Roman" w:hAnsi="Times New Roman"/>
          <w:bCs/>
          <w:szCs w:val="22"/>
          <w:lang w:val="fr-FR"/>
        </w:rPr>
        <w:t xml:space="preserve"> la résolution AG/RES. 2941 (XLIX-O/19), il soit </w:t>
      </w:r>
      <w:r w:rsidRPr="0026653F">
        <w:rPr>
          <w:rFonts w:ascii="Times New Roman" w:hAnsi="Times New Roman"/>
          <w:bCs/>
          <w:szCs w:val="22"/>
          <w:lang w:val="fr-FR"/>
        </w:rPr>
        <w:lastRenderedPageBreak/>
        <w:t xml:space="preserve">envisagé d'inclure des réflexions sur l'impact des questions liées à l'environnement, y compris le changement climatique, sur la pauvreté et sur </w:t>
      </w:r>
      <w:r w:rsidR="00BE1CB9" w:rsidRPr="0026653F">
        <w:rPr>
          <w:rFonts w:ascii="Times New Roman" w:hAnsi="Times New Roman"/>
          <w:bCs/>
          <w:szCs w:val="22"/>
          <w:lang w:val="fr-FR"/>
        </w:rPr>
        <w:t>l</w:t>
      </w:r>
      <w:r w:rsidRPr="0026653F">
        <w:rPr>
          <w:rFonts w:ascii="Times New Roman" w:hAnsi="Times New Roman"/>
          <w:bCs/>
          <w:szCs w:val="22"/>
          <w:lang w:val="fr-FR"/>
        </w:rPr>
        <w:t>a jouissance des droits de la personne, ainsi que sur la vie des espèces vivant sur la planète, y compris l’être humain, en tenant compte des plans de relèvement économique post-pandémi</w:t>
      </w:r>
      <w:r w:rsidR="00BE1CB9" w:rsidRPr="0026653F">
        <w:rPr>
          <w:rFonts w:ascii="Times New Roman" w:hAnsi="Times New Roman"/>
          <w:bCs/>
          <w:szCs w:val="22"/>
          <w:lang w:val="fr-FR"/>
        </w:rPr>
        <w:t>e</w:t>
      </w:r>
      <w:r w:rsidRPr="0026653F">
        <w:rPr>
          <w:rFonts w:ascii="Times New Roman" w:hAnsi="Times New Roman"/>
          <w:bCs/>
          <w:szCs w:val="22"/>
          <w:lang w:val="fr-FR"/>
        </w:rPr>
        <w:t>.</w:t>
      </w:r>
    </w:p>
    <w:p w14:paraId="65978164" w14:textId="77777777" w:rsidR="000A6BE0" w:rsidRPr="0026653F" w:rsidRDefault="000A6BE0" w:rsidP="00C618DD">
      <w:pPr>
        <w:suppressAutoHyphens/>
        <w:rPr>
          <w:szCs w:val="22"/>
          <w:lang w:val="fr-FR"/>
        </w:rPr>
      </w:pPr>
    </w:p>
    <w:p w14:paraId="004BB545" w14:textId="70C594AC" w:rsidR="000A6BE0" w:rsidRPr="0026653F" w:rsidRDefault="000A6BE0" w:rsidP="00C618DD">
      <w:pPr>
        <w:suppressAutoHyphens/>
        <w:ind w:firstLine="720"/>
        <w:rPr>
          <w:szCs w:val="22"/>
          <w:lang w:val="fr-FR"/>
        </w:rPr>
      </w:pPr>
      <w:r w:rsidRPr="0026653F">
        <w:rPr>
          <w:szCs w:val="22"/>
          <w:lang w:val="fr-FR"/>
        </w:rPr>
        <w:t>3.</w:t>
      </w:r>
      <w:r w:rsidRPr="0026653F">
        <w:rPr>
          <w:szCs w:val="22"/>
          <w:lang w:val="fr-FR"/>
        </w:rPr>
        <w:tab/>
        <w:t xml:space="preserve">D’encourager une fois plus les États membres d’Amérique latine et des Caraïbes à envisager de signer ou ratifier l’Accord régional sur l’accès à l’information, la participation publique et l’accès à la justice </w:t>
      </w:r>
      <w:r w:rsidR="00BE1CB9" w:rsidRPr="0026653F">
        <w:rPr>
          <w:szCs w:val="22"/>
          <w:lang w:val="fr-FR"/>
        </w:rPr>
        <w:t>à propos</w:t>
      </w:r>
      <w:r w:rsidRPr="0026653F">
        <w:rPr>
          <w:szCs w:val="22"/>
          <w:lang w:val="fr-FR"/>
        </w:rPr>
        <w:t xml:space="preserve"> des questions environnementales en Amérique latine et dans les Caraïbes (Accord d’Escazú), ouvert à la signature le 27 septembre 2018 </w:t>
      </w:r>
      <w:r w:rsidR="00BE1CB9" w:rsidRPr="0026653F">
        <w:rPr>
          <w:szCs w:val="22"/>
          <w:lang w:val="fr-FR"/>
        </w:rPr>
        <w:t xml:space="preserve">à </w:t>
      </w:r>
      <w:r w:rsidRPr="0026653F">
        <w:rPr>
          <w:szCs w:val="22"/>
          <w:lang w:val="fr-FR"/>
        </w:rPr>
        <w:t>New York, ou d’y adhérer, le cas échéant.</w:t>
      </w:r>
    </w:p>
    <w:p w14:paraId="7375C6AB" w14:textId="77777777" w:rsidR="000A6BE0" w:rsidRPr="0026653F" w:rsidRDefault="000A6BE0" w:rsidP="00C618DD">
      <w:pPr>
        <w:suppressAutoHyphens/>
        <w:rPr>
          <w:szCs w:val="22"/>
          <w:lang w:val="fr-FR"/>
        </w:rPr>
      </w:pPr>
    </w:p>
    <w:p w14:paraId="08538D94" w14:textId="77777777" w:rsidR="000A6BE0" w:rsidRPr="0026653F" w:rsidRDefault="000A6BE0" w:rsidP="00C618DD">
      <w:pPr>
        <w:suppressAutoHyphens/>
        <w:rPr>
          <w:szCs w:val="22"/>
          <w:lang w:val="fr-FR"/>
        </w:rPr>
      </w:pPr>
      <w:r w:rsidRPr="0026653F">
        <w:rPr>
          <w:szCs w:val="22"/>
          <w:lang w:val="fr-FR"/>
        </w:rPr>
        <w:t>xv.</w:t>
      </w:r>
      <w:r w:rsidRPr="0026653F">
        <w:rPr>
          <w:szCs w:val="22"/>
          <w:lang w:val="fr-FR"/>
        </w:rPr>
        <w:tab/>
      </w:r>
      <w:r w:rsidRPr="0026653F">
        <w:rPr>
          <w:szCs w:val="22"/>
          <w:u w:val="single"/>
          <w:lang w:val="fr-FR"/>
        </w:rPr>
        <w:t>Droits humains des personnes âgées</w:t>
      </w:r>
    </w:p>
    <w:p w14:paraId="086B2795" w14:textId="77777777" w:rsidR="000A6BE0" w:rsidRPr="0026653F" w:rsidRDefault="000A6BE0" w:rsidP="00C618DD">
      <w:pPr>
        <w:pStyle w:val="Default"/>
        <w:suppressAutoHyphens/>
        <w:jc w:val="both"/>
        <w:rPr>
          <w:sz w:val="22"/>
          <w:szCs w:val="22"/>
          <w:lang w:val="fr-FR"/>
        </w:rPr>
      </w:pPr>
    </w:p>
    <w:p w14:paraId="11DA372E" w14:textId="5B2CEB57" w:rsidR="000A6BE0" w:rsidRPr="00767721" w:rsidRDefault="000A6BE0" w:rsidP="00C618DD">
      <w:pPr>
        <w:pStyle w:val="Default"/>
        <w:suppressAutoHyphens/>
        <w:ind w:firstLine="706"/>
        <w:jc w:val="both"/>
        <w:rPr>
          <w:bCs/>
          <w:sz w:val="22"/>
          <w:szCs w:val="22"/>
          <w:lang w:val="fr-FR"/>
        </w:rPr>
      </w:pPr>
      <w:r w:rsidRPr="0026653F">
        <w:rPr>
          <w:bCs/>
          <w:sz w:val="22"/>
          <w:szCs w:val="22"/>
          <w:lang w:val="fr-FR"/>
        </w:rPr>
        <w:t>RECONNAISSANT l’apport et les contributions des personnes âgées au développement des nations du</w:t>
      </w:r>
      <w:r w:rsidR="00BE1CB9" w:rsidRPr="0026653F">
        <w:rPr>
          <w:bCs/>
          <w:sz w:val="22"/>
          <w:szCs w:val="22"/>
          <w:lang w:val="fr-FR"/>
        </w:rPr>
        <w:t xml:space="preserve"> c</w:t>
      </w:r>
      <w:r w:rsidRPr="0026653F">
        <w:rPr>
          <w:bCs/>
          <w:sz w:val="22"/>
          <w:szCs w:val="22"/>
          <w:lang w:val="fr-FR"/>
        </w:rPr>
        <w:t xml:space="preserve">ontinent américain, de même que l’obligation de garantir la pleine jouissance de tous leurs droits, en particulier leur santé physique et mentale pour </w:t>
      </w:r>
      <w:r w:rsidR="00BE1CB9" w:rsidRPr="0026653F">
        <w:rPr>
          <w:bCs/>
          <w:sz w:val="22"/>
          <w:szCs w:val="22"/>
          <w:lang w:val="fr-FR"/>
        </w:rPr>
        <w:t xml:space="preserve">qu’elles vivent à l’abri de la </w:t>
      </w:r>
      <w:r w:rsidRPr="0026653F">
        <w:rPr>
          <w:bCs/>
          <w:sz w:val="22"/>
          <w:szCs w:val="22"/>
          <w:lang w:val="fr-FR"/>
        </w:rPr>
        <w:t xml:space="preserve">violence et de </w:t>
      </w:r>
      <w:r w:rsidR="00BE1CB9" w:rsidRPr="0026653F">
        <w:rPr>
          <w:bCs/>
          <w:sz w:val="22"/>
          <w:szCs w:val="22"/>
          <w:lang w:val="fr-FR"/>
        </w:rPr>
        <w:t xml:space="preserve">la </w:t>
      </w:r>
      <w:r w:rsidRPr="0026653F">
        <w:rPr>
          <w:bCs/>
          <w:sz w:val="22"/>
          <w:szCs w:val="22"/>
          <w:lang w:val="fr-FR"/>
        </w:rPr>
        <w:t xml:space="preserve">discrimination de tout type, </w:t>
      </w:r>
      <w:r w:rsidR="00BE1CB9" w:rsidRPr="0026653F">
        <w:rPr>
          <w:bCs/>
          <w:sz w:val="22"/>
          <w:szCs w:val="22"/>
          <w:lang w:val="fr-FR"/>
        </w:rPr>
        <w:t xml:space="preserve">de façon </w:t>
      </w:r>
      <w:r w:rsidRPr="0026653F">
        <w:rPr>
          <w:bCs/>
          <w:sz w:val="22"/>
          <w:szCs w:val="22"/>
          <w:lang w:val="fr-FR"/>
        </w:rPr>
        <w:t xml:space="preserve">pleine, indépendante et autonome, </w:t>
      </w:r>
      <w:r w:rsidR="00BE1CB9" w:rsidRPr="0026653F">
        <w:rPr>
          <w:bCs/>
          <w:sz w:val="22"/>
          <w:szCs w:val="22"/>
          <w:lang w:val="fr-FR"/>
        </w:rPr>
        <w:t xml:space="preserve">en toute </w:t>
      </w:r>
      <w:r w:rsidRPr="0026653F">
        <w:rPr>
          <w:bCs/>
          <w:sz w:val="22"/>
          <w:szCs w:val="22"/>
          <w:lang w:val="fr-FR"/>
        </w:rPr>
        <w:t xml:space="preserve">sécurité, </w:t>
      </w:r>
      <w:r w:rsidR="00BE1CB9" w:rsidRPr="0026653F">
        <w:rPr>
          <w:bCs/>
          <w:sz w:val="22"/>
          <w:szCs w:val="22"/>
          <w:lang w:val="fr-FR"/>
        </w:rPr>
        <w:t xml:space="preserve">en étant intégrées et en participant </w:t>
      </w:r>
      <w:r w:rsidRPr="0026653F">
        <w:rPr>
          <w:bCs/>
          <w:sz w:val="22"/>
          <w:szCs w:val="22"/>
          <w:lang w:val="fr-FR"/>
        </w:rPr>
        <w:t>active</w:t>
      </w:r>
      <w:r w:rsidR="00BE1CB9" w:rsidRPr="0026653F">
        <w:rPr>
          <w:bCs/>
          <w:sz w:val="22"/>
          <w:szCs w:val="22"/>
          <w:lang w:val="fr-FR"/>
        </w:rPr>
        <w:t>ment</w:t>
      </w:r>
      <w:r w:rsidRPr="0026653F">
        <w:rPr>
          <w:bCs/>
          <w:sz w:val="22"/>
          <w:szCs w:val="22"/>
          <w:lang w:val="fr-FR"/>
        </w:rPr>
        <w:t xml:space="preserve"> dans les domaines économique, social, culturel et politique,</w:t>
      </w:r>
    </w:p>
    <w:p w14:paraId="7B838E17" w14:textId="77777777" w:rsidR="000A6BE0" w:rsidRPr="0026653F" w:rsidRDefault="000A6BE0" w:rsidP="00C618DD">
      <w:pPr>
        <w:pStyle w:val="Default"/>
        <w:suppressAutoHyphens/>
        <w:jc w:val="both"/>
        <w:rPr>
          <w:bCs/>
          <w:sz w:val="22"/>
          <w:szCs w:val="22"/>
          <w:lang w:val="fr-FR"/>
        </w:rPr>
      </w:pPr>
    </w:p>
    <w:p w14:paraId="00EEF2E8" w14:textId="4371F3AA"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t xml:space="preserve">PRENANT NOTE de l’entrée en vigueur en 2017 de la Convention interaméricaine </w:t>
      </w:r>
      <w:r w:rsidR="001927D4" w:rsidRPr="0026653F">
        <w:rPr>
          <w:bCs/>
          <w:sz w:val="22"/>
          <w:szCs w:val="22"/>
          <w:lang w:val="fr-FR"/>
        </w:rPr>
        <w:t>sur</w:t>
      </w:r>
      <w:r w:rsidRPr="0026653F">
        <w:rPr>
          <w:bCs/>
          <w:sz w:val="22"/>
          <w:szCs w:val="22"/>
          <w:lang w:val="fr-FR"/>
        </w:rPr>
        <w:t xml:space="preserve"> la protection des droits humains des personnes âgées, le seul instrument international juridiquement contraignant qui aborde les droits des personnes âgées, de même que la création récente du Bureau du Rapporteur thématique sur les droits des personnes âgées de la </w:t>
      </w:r>
      <w:r w:rsidR="00BE1CB9" w:rsidRPr="0026653F">
        <w:rPr>
          <w:bCs/>
          <w:sz w:val="22"/>
          <w:szCs w:val="22"/>
          <w:lang w:val="fr-FR"/>
        </w:rPr>
        <w:t>C</w:t>
      </w:r>
      <w:r w:rsidR="001927D4" w:rsidRPr="0026653F">
        <w:rPr>
          <w:bCs/>
          <w:sz w:val="22"/>
          <w:szCs w:val="22"/>
          <w:lang w:val="fr-FR"/>
        </w:rPr>
        <w:t>IDH</w:t>
      </w:r>
      <w:r w:rsidRPr="0026653F">
        <w:rPr>
          <w:bCs/>
          <w:sz w:val="22"/>
          <w:szCs w:val="22"/>
          <w:lang w:val="fr-FR"/>
        </w:rPr>
        <w:t>,</w:t>
      </w:r>
    </w:p>
    <w:p w14:paraId="69E96D25" w14:textId="77777777" w:rsidR="000A6BE0" w:rsidRPr="0026653F" w:rsidRDefault="000A6BE0" w:rsidP="00C618DD">
      <w:pPr>
        <w:pStyle w:val="Default"/>
        <w:suppressAutoHyphens/>
        <w:jc w:val="both"/>
        <w:rPr>
          <w:bCs/>
          <w:sz w:val="22"/>
          <w:szCs w:val="22"/>
          <w:lang w:val="fr-FR"/>
        </w:rPr>
      </w:pPr>
    </w:p>
    <w:p w14:paraId="3B0D0D7E" w14:textId="6298A2F4"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t xml:space="preserve">RECONNAISSANT que la pandémie de COVID-19 a une incidence différentiée sur les </w:t>
      </w:r>
      <w:r w:rsidR="00BE1CB9" w:rsidRPr="0026653F">
        <w:rPr>
          <w:bCs/>
          <w:sz w:val="22"/>
          <w:szCs w:val="22"/>
          <w:lang w:val="fr-FR"/>
        </w:rPr>
        <w:t>populations</w:t>
      </w:r>
      <w:r w:rsidRPr="0026653F">
        <w:rPr>
          <w:bCs/>
          <w:sz w:val="22"/>
          <w:szCs w:val="22"/>
          <w:lang w:val="fr-FR"/>
        </w:rPr>
        <w:t xml:space="preserve"> en situation de vulnérabilité et, en particulier, sur plus de 85 millions de personnes âgées qui vivent dans la région, qui font face à des risques accrus de pauvreté, de handicap, de discrimination et d’isolement,</w:t>
      </w:r>
    </w:p>
    <w:p w14:paraId="7ECB7309" w14:textId="77777777" w:rsidR="000A6BE0" w:rsidRPr="0026653F" w:rsidRDefault="000A6BE0" w:rsidP="00C618DD">
      <w:pPr>
        <w:pStyle w:val="Default"/>
        <w:suppressAutoHyphens/>
        <w:jc w:val="both"/>
        <w:rPr>
          <w:bCs/>
          <w:sz w:val="22"/>
          <w:szCs w:val="22"/>
          <w:lang w:val="fr-FR"/>
        </w:rPr>
      </w:pPr>
    </w:p>
    <w:p w14:paraId="5E091F6C" w14:textId="39BE911C"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t>OBSERVANT AVEC UNE PROFONDE PRÉOCCUPATION une augmentation du nombre de situation</w:t>
      </w:r>
      <w:r w:rsidR="00BE1CB9" w:rsidRPr="0026653F">
        <w:rPr>
          <w:bCs/>
          <w:sz w:val="22"/>
          <w:szCs w:val="22"/>
          <w:lang w:val="fr-FR"/>
        </w:rPr>
        <w:t>s</w:t>
      </w:r>
      <w:r w:rsidRPr="0026653F">
        <w:rPr>
          <w:bCs/>
          <w:sz w:val="22"/>
          <w:szCs w:val="22"/>
          <w:lang w:val="fr-FR"/>
        </w:rPr>
        <w:t xml:space="preserve"> de violence, d’abandon, le non-respect de l’autonomie et de la volonté</w:t>
      </w:r>
      <w:r w:rsidR="00BE1CB9" w:rsidRPr="0026653F">
        <w:rPr>
          <w:bCs/>
          <w:sz w:val="22"/>
          <w:szCs w:val="22"/>
          <w:lang w:val="fr-FR"/>
        </w:rPr>
        <w:t>,</w:t>
      </w:r>
      <w:r w:rsidRPr="0026653F">
        <w:rPr>
          <w:bCs/>
          <w:sz w:val="22"/>
          <w:szCs w:val="22"/>
          <w:lang w:val="fr-FR"/>
        </w:rPr>
        <w:t xml:space="preserve"> la persistance de préjugés et de stéréotypes sur la vieillesse et le vieillissement</w:t>
      </w:r>
      <w:r w:rsidR="00BE1CB9" w:rsidRPr="0026653F">
        <w:rPr>
          <w:bCs/>
          <w:sz w:val="22"/>
          <w:szCs w:val="22"/>
          <w:lang w:val="fr-FR"/>
        </w:rPr>
        <w:t>,</w:t>
      </w:r>
      <w:r w:rsidRPr="0026653F">
        <w:rPr>
          <w:bCs/>
          <w:sz w:val="22"/>
          <w:szCs w:val="22"/>
          <w:lang w:val="fr-FR"/>
        </w:rPr>
        <w:t xml:space="preserve"> la discrimination fondée sur l’âge face aux soins urgents à d’autres groupes prioritaires</w:t>
      </w:r>
      <w:r w:rsidR="00BE1CB9" w:rsidRPr="0026653F">
        <w:rPr>
          <w:bCs/>
          <w:sz w:val="22"/>
          <w:szCs w:val="22"/>
          <w:lang w:val="fr-FR"/>
        </w:rPr>
        <w:t>,</w:t>
      </w:r>
      <w:r w:rsidRPr="0026653F">
        <w:rPr>
          <w:bCs/>
          <w:sz w:val="22"/>
          <w:szCs w:val="22"/>
          <w:lang w:val="fr-FR"/>
        </w:rPr>
        <w:t xml:space="preserve"> un nombre insuffisant de professionnels de la santé (gériatres) et de travailleurs sociaux (gérontologues) spécialisés</w:t>
      </w:r>
      <w:r w:rsidR="00BE1CB9" w:rsidRPr="0026653F">
        <w:rPr>
          <w:bCs/>
          <w:sz w:val="22"/>
          <w:szCs w:val="22"/>
          <w:lang w:val="fr-FR"/>
        </w:rPr>
        <w:t>, ce</w:t>
      </w:r>
      <w:r w:rsidRPr="0026653F">
        <w:rPr>
          <w:bCs/>
          <w:sz w:val="22"/>
          <w:szCs w:val="22"/>
          <w:lang w:val="fr-FR"/>
        </w:rPr>
        <w:t xml:space="preserve"> qui affecte la qualité adéquate des soins</w:t>
      </w:r>
      <w:r w:rsidR="00BE1CB9" w:rsidRPr="0026653F">
        <w:rPr>
          <w:bCs/>
          <w:sz w:val="22"/>
          <w:szCs w:val="22"/>
          <w:lang w:val="fr-FR"/>
        </w:rPr>
        <w:t xml:space="preserve">, de même qu’une aggravation des écarts </w:t>
      </w:r>
      <w:r w:rsidRPr="0026653F">
        <w:rPr>
          <w:bCs/>
          <w:sz w:val="22"/>
          <w:szCs w:val="22"/>
          <w:lang w:val="fr-FR"/>
        </w:rPr>
        <w:t xml:space="preserve">sociaux à cause des mesures </w:t>
      </w:r>
      <w:r w:rsidR="00BE1CB9" w:rsidRPr="0026653F">
        <w:rPr>
          <w:bCs/>
          <w:sz w:val="22"/>
          <w:szCs w:val="22"/>
          <w:lang w:val="fr-FR"/>
        </w:rPr>
        <w:t>d’atténuation</w:t>
      </w:r>
      <w:r w:rsidRPr="0026653F">
        <w:rPr>
          <w:bCs/>
          <w:sz w:val="22"/>
          <w:szCs w:val="22"/>
          <w:lang w:val="fr-FR"/>
        </w:rPr>
        <w:t xml:space="preserve">, y compris </w:t>
      </w:r>
      <w:r w:rsidR="00BE1CB9" w:rsidRPr="0026653F">
        <w:rPr>
          <w:bCs/>
          <w:sz w:val="22"/>
          <w:szCs w:val="22"/>
          <w:lang w:val="fr-FR"/>
        </w:rPr>
        <w:t>en matière d’accès</w:t>
      </w:r>
      <w:r w:rsidRPr="0026653F">
        <w:rPr>
          <w:bCs/>
          <w:sz w:val="22"/>
          <w:szCs w:val="22"/>
          <w:lang w:val="fr-FR"/>
        </w:rPr>
        <w:t xml:space="preserve"> à la technologie,</w:t>
      </w:r>
    </w:p>
    <w:p w14:paraId="1F075584" w14:textId="77777777" w:rsidR="000A6BE0" w:rsidRPr="0026653F" w:rsidRDefault="000A6BE0" w:rsidP="00C618DD">
      <w:pPr>
        <w:pStyle w:val="Default"/>
        <w:suppressAutoHyphens/>
        <w:jc w:val="both"/>
        <w:rPr>
          <w:bCs/>
          <w:sz w:val="22"/>
          <w:szCs w:val="22"/>
          <w:lang w:val="fr-FR"/>
        </w:rPr>
      </w:pPr>
    </w:p>
    <w:p w14:paraId="77687647" w14:textId="08C1D529"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t xml:space="preserve">PRENANT EN COMPTE que la discrimination basée sur le genre, conjuguée avec certaines conditions de vulnérabilité, accroit l’incidence de la pandémie actuelle et, pour cette raison, </w:t>
      </w:r>
      <w:r w:rsidR="00BE1CB9" w:rsidRPr="0026653F">
        <w:rPr>
          <w:bCs/>
          <w:sz w:val="22"/>
          <w:szCs w:val="22"/>
          <w:lang w:val="fr-FR"/>
        </w:rPr>
        <w:t>a des effets défavorables</w:t>
      </w:r>
      <w:r w:rsidRPr="0026653F">
        <w:rPr>
          <w:bCs/>
          <w:sz w:val="22"/>
          <w:szCs w:val="22"/>
          <w:lang w:val="fr-FR"/>
        </w:rPr>
        <w:t xml:space="preserve"> </w:t>
      </w:r>
      <w:r w:rsidR="00BE1CB9" w:rsidRPr="0026653F">
        <w:rPr>
          <w:bCs/>
          <w:sz w:val="22"/>
          <w:szCs w:val="22"/>
          <w:lang w:val="fr-FR"/>
        </w:rPr>
        <w:t xml:space="preserve">sur </w:t>
      </w:r>
      <w:r w:rsidRPr="0026653F">
        <w:rPr>
          <w:bCs/>
          <w:sz w:val="22"/>
          <w:szCs w:val="22"/>
          <w:lang w:val="fr-FR"/>
        </w:rPr>
        <w:t xml:space="preserve">la vie des femmes âgées, accroit les risques d’exclusion et les expose à un risque plus élevé de contamination </w:t>
      </w:r>
      <w:r w:rsidR="00940075" w:rsidRPr="0026653F">
        <w:rPr>
          <w:bCs/>
          <w:sz w:val="22"/>
          <w:szCs w:val="22"/>
          <w:lang w:val="fr-FR"/>
        </w:rPr>
        <w:t>par la</w:t>
      </w:r>
      <w:r w:rsidRPr="0026653F">
        <w:rPr>
          <w:bCs/>
          <w:sz w:val="22"/>
          <w:szCs w:val="22"/>
          <w:lang w:val="fr-FR"/>
        </w:rPr>
        <w:t xml:space="preserve"> COVID-19 à cause des tâches de soins et</w:t>
      </w:r>
      <w:r w:rsidR="00BE1CB9" w:rsidRPr="0026653F">
        <w:rPr>
          <w:bCs/>
          <w:sz w:val="22"/>
          <w:szCs w:val="22"/>
          <w:lang w:val="fr-FR"/>
        </w:rPr>
        <w:t xml:space="preserve"> d’</w:t>
      </w:r>
      <w:r w:rsidRPr="0026653F">
        <w:rPr>
          <w:bCs/>
          <w:sz w:val="22"/>
          <w:szCs w:val="22"/>
          <w:lang w:val="fr-FR"/>
        </w:rPr>
        <w:t>autres travaux habituellement exécutés par des femmes,</w:t>
      </w:r>
    </w:p>
    <w:p w14:paraId="7D8E6D03" w14:textId="77777777" w:rsidR="000A6BE0" w:rsidRPr="0026653F" w:rsidRDefault="000A6BE0" w:rsidP="00C618DD">
      <w:pPr>
        <w:pStyle w:val="Default"/>
        <w:suppressAutoHyphens/>
        <w:jc w:val="both"/>
        <w:rPr>
          <w:bCs/>
          <w:sz w:val="22"/>
          <w:szCs w:val="22"/>
          <w:lang w:val="fr-FR"/>
        </w:rPr>
      </w:pPr>
    </w:p>
    <w:p w14:paraId="5BF90998" w14:textId="1C8C3D4F"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t xml:space="preserve">CONSIDÉRANT l’importance </w:t>
      </w:r>
      <w:r w:rsidR="00BE1CB9" w:rsidRPr="0026653F">
        <w:rPr>
          <w:bCs/>
          <w:sz w:val="22"/>
          <w:szCs w:val="22"/>
          <w:lang w:val="fr-FR"/>
        </w:rPr>
        <w:t>d’inclure</w:t>
      </w:r>
      <w:r w:rsidRPr="0026653F">
        <w:rPr>
          <w:bCs/>
          <w:sz w:val="22"/>
          <w:szCs w:val="22"/>
          <w:lang w:val="fr-FR"/>
        </w:rPr>
        <w:t xml:space="preserve"> les personnes âgées</w:t>
      </w:r>
      <w:r w:rsidR="00BE1CB9" w:rsidRPr="0026653F">
        <w:rPr>
          <w:bCs/>
          <w:sz w:val="22"/>
          <w:szCs w:val="22"/>
          <w:lang w:val="fr-FR"/>
        </w:rPr>
        <w:t xml:space="preserve"> dans</w:t>
      </w:r>
      <w:r w:rsidRPr="0026653F">
        <w:rPr>
          <w:bCs/>
          <w:sz w:val="22"/>
          <w:szCs w:val="22"/>
          <w:lang w:val="fr-FR"/>
        </w:rPr>
        <w:t xml:space="preserve"> la mise en œuvre et </w:t>
      </w:r>
      <w:r w:rsidR="00BE1CB9" w:rsidRPr="0026653F">
        <w:rPr>
          <w:bCs/>
          <w:sz w:val="22"/>
          <w:szCs w:val="22"/>
          <w:lang w:val="fr-FR"/>
        </w:rPr>
        <w:t>le</w:t>
      </w:r>
      <w:r w:rsidRPr="0026653F">
        <w:rPr>
          <w:bCs/>
          <w:sz w:val="22"/>
          <w:szCs w:val="22"/>
          <w:lang w:val="fr-FR"/>
        </w:rPr>
        <w:t xml:space="preserve"> suivi des objectifs de développement durable, étant donné la tendance </w:t>
      </w:r>
      <w:r w:rsidR="00BE1CB9" w:rsidRPr="0026653F">
        <w:rPr>
          <w:bCs/>
          <w:sz w:val="22"/>
          <w:szCs w:val="22"/>
          <w:lang w:val="fr-FR"/>
        </w:rPr>
        <w:t>a</w:t>
      </w:r>
      <w:r w:rsidRPr="0026653F">
        <w:rPr>
          <w:bCs/>
          <w:sz w:val="22"/>
          <w:szCs w:val="22"/>
          <w:lang w:val="fr-FR"/>
        </w:rPr>
        <w:t xml:space="preserve">u changement démographique </w:t>
      </w:r>
      <w:r w:rsidR="00BE1CB9" w:rsidRPr="0026653F">
        <w:rPr>
          <w:bCs/>
          <w:sz w:val="22"/>
          <w:szCs w:val="22"/>
          <w:lang w:val="fr-FR"/>
        </w:rPr>
        <w:t xml:space="preserve">observée </w:t>
      </w:r>
      <w:r w:rsidRPr="0026653F">
        <w:rPr>
          <w:bCs/>
          <w:sz w:val="22"/>
          <w:szCs w:val="22"/>
          <w:lang w:val="fr-FR"/>
        </w:rPr>
        <w:t>dans la région,</w:t>
      </w:r>
    </w:p>
    <w:p w14:paraId="7BF1EFA5" w14:textId="77777777" w:rsidR="000A6BE0" w:rsidRPr="0026653F" w:rsidRDefault="000A6BE0" w:rsidP="00C618DD">
      <w:pPr>
        <w:pStyle w:val="Default"/>
        <w:suppressAutoHyphens/>
        <w:jc w:val="both"/>
        <w:rPr>
          <w:bCs/>
          <w:sz w:val="22"/>
          <w:szCs w:val="22"/>
          <w:lang w:val="fr-FR"/>
        </w:rPr>
      </w:pPr>
    </w:p>
    <w:p w14:paraId="0B838E92" w14:textId="17E958A2" w:rsidR="000A6BE0" w:rsidRPr="0026653F" w:rsidRDefault="000A6BE0" w:rsidP="00C618DD">
      <w:pPr>
        <w:pStyle w:val="Default"/>
        <w:suppressAutoHyphens/>
        <w:ind w:firstLine="706"/>
        <w:jc w:val="both"/>
        <w:rPr>
          <w:bCs/>
          <w:sz w:val="22"/>
          <w:szCs w:val="22"/>
          <w:lang w:val="fr-FR"/>
        </w:rPr>
      </w:pPr>
      <w:r w:rsidRPr="0026653F">
        <w:rPr>
          <w:bCs/>
          <w:sz w:val="22"/>
          <w:szCs w:val="22"/>
          <w:lang w:val="fr-FR"/>
        </w:rPr>
        <w:lastRenderedPageBreak/>
        <w:t>CONDAMNANT toute</w:t>
      </w:r>
      <w:r w:rsidR="001927D4" w:rsidRPr="0026653F">
        <w:rPr>
          <w:bCs/>
          <w:sz w:val="22"/>
          <w:szCs w:val="22"/>
          <w:lang w:val="fr-FR"/>
        </w:rPr>
        <w:t>s</w:t>
      </w:r>
      <w:r w:rsidRPr="0026653F">
        <w:rPr>
          <w:bCs/>
          <w:sz w:val="22"/>
          <w:szCs w:val="22"/>
          <w:lang w:val="fr-FR"/>
        </w:rPr>
        <w:t xml:space="preserve"> </w:t>
      </w:r>
      <w:r w:rsidR="001927D4" w:rsidRPr="0026653F">
        <w:rPr>
          <w:bCs/>
          <w:sz w:val="22"/>
          <w:szCs w:val="22"/>
          <w:lang w:val="fr-FR"/>
        </w:rPr>
        <w:t xml:space="preserve">les </w:t>
      </w:r>
      <w:r w:rsidRPr="0026653F">
        <w:rPr>
          <w:bCs/>
          <w:sz w:val="22"/>
          <w:szCs w:val="22"/>
          <w:lang w:val="fr-FR"/>
        </w:rPr>
        <w:t>forme</w:t>
      </w:r>
      <w:r w:rsidR="001927D4" w:rsidRPr="0026653F">
        <w:rPr>
          <w:bCs/>
          <w:sz w:val="22"/>
          <w:szCs w:val="22"/>
          <w:lang w:val="fr-FR"/>
        </w:rPr>
        <w:t>s</w:t>
      </w:r>
      <w:r w:rsidRPr="0026653F">
        <w:rPr>
          <w:bCs/>
          <w:sz w:val="22"/>
          <w:szCs w:val="22"/>
          <w:lang w:val="fr-FR"/>
        </w:rPr>
        <w:t xml:space="preserve"> de violence et de discrimination contre les personnes âgées, y compris </w:t>
      </w:r>
      <w:r w:rsidR="001927D4" w:rsidRPr="0026653F">
        <w:rPr>
          <w:bCs/>
          <w:sz w:val="22"/>
          <w:szCs w:val="22"/>
          <w:lang w:val="fr-FR"/>
        </w:rPr>
        <w:t xml:space="preserve">celles </w:t>
      </w:r>
      <w:r w:rsidRPr="0026653F">
        <w:rPr>
          <w:bCs/>
          <w:sz w:val="22"/>
          <w:szCs w:val="22"/>
          <w:lang w:val="fr-FR"/>
        </w:rPr>
        <w:t>impliqu</w:t>
      </w:r>
      <w:r w:rsidR="001927D4" w:rsidRPr="0026653F">
        <w:rPr>
          <w:bCs/>
          <w:sz w:val="22"/>
          <w:szCs w:val="22"/>
          <w:lang w:val="fr-FR"/>
        </w:rPr>
        <w:t>a</w:t>
      </w:r>
      <w:r w:rsidRPr="0026653F">
        <w:rPr>
          <w:bCs/>
          <w:sz w:val="22"/>
          <w:szCs w:val="22"/>
          <w:lang w:val="fr-FR"/>
        </w:rPr>
        <w:t>nt l’abandon, le non-respect de leur autonomie, la violence fondée sur le sexe et les mauvais traitements, et particulièrement les situations qui portent atteinte à leur dignité ou limitent l’exercice de leurs droits dans des conditions égales à celles d’autres groupes générationnels dans le contexte de la pandémie de COVID-19,</w:t>
      </w:r>
    </w:p>
    <w:p w14:paraId="510133CE" w14:textId="77777777" w:rsidR="000A6BE0" w:rsidRPr="0026653F" w:rsidRDefault="000A6BE0" w:rsidP="00C618DD">
      <w:pPr>
        <w:rPr>
          <w:bCs/>
          <w:szCs w:val="22"/>
          <w:lang w:val="fr-FR"/>
        </w:rPr>
      </w:pPr>
    </w:p>
    <w:p w14:paraId="362D4B97" w14:textId="77777777" w:rsidR="000A6BE0" w:rsidRPr="0026653F" w:rsidRDefault="000A6BE0" w:rsidP="00C618DD">
      <w:pPr>
        <w:pStyle w:val="Default"/>
        <w:suppressAutoHyphens/>
        <w:jc w:val="both"/>
        <w:rPr>
          <w:bCs/>
          <w:sz w:val="22"/>
          <w:szCs w:val="22"/>
          <w:lang w:val="fr-FR"/>
        </w:rPr>
      </w:pPr>
      <w:r w:rsidRPr="0026653F">
        <w:rPr>
          <w:bCs/>
          <w:sz w:val="22"/>
          <w:szCs w:val="22"/>
          <w:lang w:val="fr-FR"/>
        </w:rPr>
        <w:t>DÉCIDE :</w:t>
      </w:r>
    </w:p>
    <w:p w14:paraId="02B9ACF6" w14:textId="77777777" w:rsidR="000A6BE0" w:rsidRPr="0026653F" w:rsidRDefault="000A6BE0" w:rsidP="00C618DD">
      <w:pPr>
        <w:pStyle w:val="Default"/>
        <w:suppressAutoHyphens/>
        <w:jc w:val="both"/>
        <w:rPr>
          <w:bCs/>
          <w:sz w:val="22"/>
          <w:szCs w:val="22"/>
          <w:lang w:val="fr-FR"/>
        </w:rPr>
      </w:pPr>
    </w:p>
    <w:p w14:paraId="282D0953" w14:textId="28739FDC" w:rsidR="000A6BE0" w:rsidRPr="0026653F" w:rsidRDefault="000A6BE0" w:rsidP="00C618DD">
      <w:pPr>
        <w:pStyle w:val="Default"/>
        <w:suppressAutoHyphens/>
        <w:ind w:firstLine="720"/>
        <w:jc w:val="both"/>
        <w:rPr>
          <w:bCs/>
          <w:sz w:val="22"/>
          <w:szCs w:val="22"/>
          <w:lang w:val="fr-FR"/>
        </w:rPr>
      </w:pPr>
      <w:r w:rsidRPr="0026653F">
        <w:rPr>
          <w:bCs/>
          <w:sz w:val="22"/>
          <w:szCs w:val="22"/>
          <w:lang w:val="fr-FR"/>
        </w:rPr>
        <w:t>1.</w:t>
      </w:r>
      <w:r w:rsidRPr="0026653F">
        <w:rPr>
          <w:bCs/>
          <w:sz w:val="22"/>
          <w:szCs w:val="22"/>
          <w:lang w:val="fr-FR"/>
        </w:rPr>
        <w:tab/>
        <w:t xml:space="preserve">D’encourager les États </w:t>
      </w:r>
      <w:r w:rsidR="00264153" w:rsidRPr="0026653F">
        <w:rPr>
          <w:bCs/>
          <w:sz w:val="22"/>
          <w:szCs w:val="22"/>
          <w:lang w:val="fr-FR"/>
        </w:rPr>
        <w:t xml:space="preserve">membres </w:t>
      </w:r>
      <w:r w:rsidRPr="0026653F">
        <w:rPr>
          <w:bCs/>
          <w:sz w:val="22"/>
          <w:szCs w:val="22"/>
          <w:lang w:val="fr-FR"/>
        </w:rPr>
        <w:t>qui ne l’auraient pas encore fait à envisager de ratifier la Convention interaméricaine sur la protection des droits humains des personnes âgées ou d’y adhérer, selon le cas.</w:t>
      </w:r>
    </w:p>
    <w:p w14:paraId="62CB7238" w14:textId="77777777" w:rsidR="000A6BE0" w:rsidRPr="0026653F" w:rsidRDefault="000A6BE0" w:rsidP="00C618DD">
      <w:pPr>
        <w:pStyle w:val="Default"/>
        <w:suppressAutoHyphens/>
        <w:jc w:val="both"/>
        <w:rPr>
          <w:bCs/>
          <w:sz w:val="22"/>
          <w:szCs w:val="22"/>
          <w:lang w:val="fr-FR"/>
        </w:rPr>
      </w:pPr>
    </w:p>
    <w:p w14:paraId="31E9C09C" w14:textId="331D26BD" w:rsidR="000A6BE0" w:rsidRPr="0026653F" w:rsidRDefault="000A6BE0" w:rsidP="00C618DD">
      <w:pPr>
        <w:pStyle w:val="Default"/>
        <w:suppressAutoHyphens/>
        <w:ind w:firstLine="720"/>
        <w:jc w:val="both"/>
        <w:rPr>
          <w:bCs/>
          <w:sz w:val="22"/>
          <w:szCs w:val="22"/>
          <w:lang w:val="fr-FR"/>
        </w:rPr>
      </w:pPr>
      <w:r w:rsidRPr="0026653F">
        <w:rPr>
          <w:bCs/>
          <w:sz w:val="22"/>
          <w:szCs w:val="22"/>
          <w:lang w:val="fr-FR"/>
        </w:rPr>
        <w:t>2.</w:t>
      </w:r>
      <w:r w:rsidRPr="0026653F">
        <w:rPr>
          <w:bCs/>
          <w:sz w:val="22"/>
          <w:szCs w:val="22"/>
          <w:lang w:val="fr-FR"/>
        </w:rPr>
        <w:tab/>
        <w:t xml:space="preserve">De demander instamment aux États </w:t>
      </w:r>
      <w:r w:rsidR="00264153" w:rsidRPr="0026653F">
        <w:rPr>
          <w:bCs/>
          <w:sz w:val="22"/>
          <w:szCs w:val="22"/>
          <w:lang w:val="fr-FR"/>
        </w:rPr>
        <w:t xml:space="preserve">membres </w:t>
      </w:r>
      <w:r w:rsidRPr="0026653F">
        <w:rPr>
          <w:bCs/>
          <w:sz w:val="22"/>
          <w:szCs w:val="22"/>
          <w:lang w:val="fr-FR"/>
        </w:rPr>
        <w:t>de tenir compte de la situation et des besoins des personnes âgées dans la conception et la mise en œuvre de politiques publiques intersectorielles orientées vers une prise en charge intégrale qui inclue la promotion de la santé, la prévention et l</w:t>
      </w:r>
      <w:r w:rsidR="00945333" w:rsidRPr="0026653F">
        <w:rPr>
          <w:bCs/>
          <w:sz w:val="22"/>
          <w:szCs w:val="22"/>
          <w:lang w:val="fr-FR"/>
        </w:rPr>
        <w:t xml:space="preserve">a prise en charge de </w:t>
      </w:r>
      <w:r w:rsidRPr="0026653F">
        <w:rPr>
          <w:bCs/>
          <w:sz w:val="22"/>
          <w:szCs w:val="22"/>
          <w:lang w:val="fr-FR"/>
        </w:rPr>
        <w:t xml:space="preserve">la maladie à toutes les étapes, des conditions de soins dignes, la réadaptation et les soins palliatifs, assurant leur autonomie et leur </w:t>
      </w:r>
      <w:r w:rsidR="00945333" w:rsidRPr="0026653F">
        <w:rPr>
          <w:bCs/>
          <w:sz w:val="22"/>
          <w:szCs w:val="22"/>
          <w:lang w:val="fr-FR"/>
        </w:rPr>
        <w:t>sécurité</w:t>
      </w:r>
      <w:r w:rsidRPr="0026653F">
        <w:rPr>
          <w:bCs/>
          <w:sz w:val="22"/>
          <w:szCs w:val="22"/>
          <w:lang w:val="fr-FR"/>
        </w:rPr>
        <w:t xml:space="preserve"> physique, économique et sociale, de même que des programmes visant à combler le fossé numérique et à leur faciliter</w:t>
      </w:r>
      <w:r w:rsidR="00945333" w:rsidRPr="0026653F">
        <w:rPr>
          <w:bCs/>
          <w:sz w:val="22"/>
          <w:szCs w:val="22"/>
          <w:lang w:val="fr-FR"/>
        </w:rPr>
        <w:t xml:space="preserve"> ainsi</w:t>
      </w:r>
      <w:r w:rsidRPr="0026653F">
        <w:rPr>
          <w:bCs/>
          <w:sz w:val="22"/>
          <w:szCs w:val="22"/>
          <w:lang w:val="fr-FR"/>
        </w:rPr>
        <w:t xml:space="preserve"> l’accès à des services publics et privés </w:t>
      </w:r>
      <w:r w:rsidR="00945333" w:rsidRPr="0026653F">
        <w:rPr>
          <w:bCs/>
          <w:sz w:val="22"/>
          <w:szCs w:val="22"/>
          <w:lang w:val="fr-FR"/>
        </w:rPr>
        <w:t xml:space="preserve">pour </w:t>
      </w:r>
      <w:r w:rsidRPr="0026653F">
        <w:rPr>
          <w:bCs/>
          <w:sz w:val="22"/>
          <w:szCs w:val="22"/>
          <w:lang w:val="fr-FR"/>
        </w:rPr>
        <w:t xml:space="preserve">favoriser la jouissance du </w:t>
      </w:r>
      <w:r w:rsidR="00945333" w:rsidRPr="0026653F">
        <w:rPr>
          <w:bCs/>
          <w:sz w:val="22"/>
          <w:szCs w:val="22"/>
          <w:lang w:val="fr-FR"/>
        </w:rPr>
        <w:t xml:space="preserve">plus haut niveau </w:t>
      </w:r>
      <w:r w:rsidRPr="0026653F">
        <w:rPr>
          <w:bCs/>
          <w:sz w:val="22"/>
          <w:szCs w:val="22"/>
          <w:lang w:val="fr-FR"/>
        </w:rPr>
        <w:t>de bien-être physique, mental et social, sans discrimination.</w:t>
      </w:r>
    </w:p>
    <w:p w14:paraId="6F8EFA95" w14:textId="77777777" w:rsidR="000A6BE0" w:rsidRPr="0026653F" w:rsidRDefault="000A6BE0" w:rsidP="00C618DD">
      <w:pPr>
        <w:suppressAutoHyphens/>
        <w:rPr>
          <w:bCs/>
          <w:szCs w:val="22"/>
          <w:lang w:val="fr-FR"/>
        </w:rPr>
      </w:pPr>
    </w:p>
    <w:p w14:paraId="5B302522" w14:textId="37040F33" w:rsidR="000A6BE0" w:rsidRPr="0026653F" w:rsidRDefault="000A6BE0" w:rsidP="00C618DD">
      <w:pPr>
        <w:pStyle w:val="Default"/>
        <w:suppressAutoHyphens/>
        <w:ind w:firstLine="720"/>
        <w:jc w:val="both"/>
        <w:rPr>
          <w:bCs/>
          <w:sz w:val="22"/>
          <w:szCs w:val="22"/>
          <w:lang w:val="fr-FR"/>
        </w:rPr>
      </w:pPr>
      <w:r w:rsidRPr="0026653F">
        <w:rPr>
          <w:bCs/>
          <w:sz w:val="22"/>
          <w:szCs w:val="22"/>
          <w:lang w:val="fr-FR"/>
        </w:rPr>
        <w:t>3.</w:t>
      </w:r>
      <w:r w:rsidRPr="0026653F">
        <w:rPr>
          <w:bCs/>
          <w:sz w:val="22"/>
          <w:szCs w:val="22"/>
          <w:lang w:val="fr-FR"/>
        </w:rPr>
        <w:tab/>
        <w:t xml:space="preserve">D’encourager les États membres à assurer les soins préférentiels et l’accès universel, équitable et opportun aux services intégrés de santé de qualité, en particulier ceux qui fournissent des soins aux personnes âgées en situation de vulnérabilité, et à renforcer les capacités des </w:t>
      </w:r>
      <w:r w:rsidR="00945333" w:rsidRPr="0026653F">
        <w:rPr>
          <w:bCs/>
          <w:sz w:val="22"/>
          <w:szCs w:val="22"/>
          <w:lang w:val="fr-FR"/>
        </w:rPr>
        <w:t>travailleurs</w:t>
      </w:r>
      <w:r w:rsidRPr="0026653F">
        <w:rPr>
          <w:bCs/>
          <w:sz w:val="22"/>
          <w:szCs w:val="22"/>
          <w:lang w:val="fr-FR"/>
        </w:rPr>
        <w:t xml:space="preserve"> des services de santé, des services sociaux et socio-sanitaires, la formation universitaire professionnelle et technique spécialisée en gériatrie, gérontologie et soins palliatifs, entre autres, en tenant compte des droits de la personne.</w:t>
      </w:r>
    </w:p>
    <w:p w14:paraId="610D5EB1" w14:textId="77777777" w:rsidR="000A6BE0" w:rsidRPr="0026653F" w:rsidRDefault="000A6BE0" w:rsidP="00C618DD">
      <w:pPr>
        <w:suppressAutoHyphens/>
        <w:rPr>
          <w:bCs/>
          <w:szCs w:val="22"/>
          <w:lang w:val="fr-FR"/>
        </w:rPr>
      </w:pPr>
    </w:p>
    <w:p w14:paraId="58F6A83B" w14:textId="3585E0BF" w:rsidR="000A6BE0" w:rsidRPr="0026653F" w:rsidRDefault="000A6BE0" w:rsidP="00C618DD">
      <w:pPr>
        <w:pStyle w:val="Default"/>
        <w:suppressAutoHyphens/>
        <w:ind w:firstLine="720"/>
        <w:jc w:val="both"/>
        <w:rPr>
          <w:bCs/>
          <w:sz w:val="22"/>
          <w:szCs w:val="22"/>
          <w:lang w:val="fr-FR"/>
        </w:rPr>
      </w:pPr>
      <w:r w:rsidRPr="0026653F">
        <w:rPr>
          <w:bCs/>
          <w:sz w:val="22"/>
          <w:szCs w:val="22"/>
          <w:lang w:val="fr-FR"/>
        </w:rPr>
        <w:t>4.</w:t>
      </w:r>
      <w:r w:rsidRPr="0026653F">
        <w:rPr>
          <w:bCs/>
          <w:sz w:val="22"/>
          <w:szCs w:val="22"/>
          <w:lang w:val="fr-FR"/>
        </w:rPr>
        <w:tab/>
        <w:t>De demander à la C</w:t>
      </w:r>
      <w:r w:rsidR="00C7070D" w:rsidRPr="0026653F">
        <w:rPr>
          <w:bCs/>
          <w:sz w:val="22"/>
          <w:szCs w:val="22"/>
          <w:lang w:val="fr-FR"/>
        </w:rPr>
        <w:t xml:space="preserve">IDH </w:t>
      </w:r>
      <w:r w:rsidRPr="0026653F">
        <w:rPr>
          <w:bCs/>
          <w:sz w:val="22"/>
          <w:szCs w:val="22"/>
          <w:lang w:val="fr-FR"/>
        </w:rPr>
        <w:t xml:space="preserve">d’élaborer, </w:t>
      </w:r>
      <w:r w:rsidR="001927D4" w:rsidRPr="0026653F">
        <w:rPr>
          <w:bCs/>
          <w:sz w:val="22"/>
          <w:szCs w:val="22"/>
          <w:lang w:val="fr-FR"/>
        </w:rPr>
        <w:t>en fonction de se</w:t>
      </w:r>
      <w:r w:rsidRPr="0026653F">
        <w:rPr>
          <w:bCs/>
          <w:sz w:val="22"/>
          <w:szCs w:val="22"/>
          <w:lang w:val="fr-FR"/>
        </w:rPr>
        <w:t>s ressources disponibles, un rapport sur la situation des droits humains des personnes âgées dans le continent américain.</w:t>
      </w:r>
    </w:p>
    <w:p w14:paraId="09A0C9E9" w14:textId="77777777" w:rsidR="000A6BE0" w:rsidRPr="0026653F" w:rsidRDefault="000A6BE0" w:rsidP="00C618DD">
      <w:pPr>
        <w:suppressAutoHyphens/>
        <w:rPr>
          <w:bCs/>
          <w:szCs w:val="22"/>
          <w:lang w:val="fr-FR"/>
        </w:rPr>
      </w:pPr>
    </w:p>
    <w:p w14:paraId="786EA763" w14:textId="77777777" w:rsidR="000A6BE0" w:rsidRPr="0026653F" w:rsidRDefault="000A6BE0" w:rsidP="00C618DD">
      <w:pPr>
        <w:suppressAutoHyphens/>
        <w:ind w:firstLine="720"/>
        <w:rPr>
          <w:bCs/>
          <w:szCs w:val="22"/>
          <w:lang w:val="fr-FR"/>
        </w:rPr>
      </w:pPr>
      <w:r w:rsidRPr="0026653F">
        <w:rPr>
          <w:bCs/>
          <w:szCs w:val="22"/>
          <w:lang w:val="fr-FR"/>
        </w:rPr>
        <w:t>5.</w:t>
      </w:r>
      <w:r w:rsidRPr="0026653F">
        <w:rPr>
          <w:bCs/>
          <w:szCs w:val="22"/>
          <w:lang w:val="fr-FR"/>
        </w:rPr>
        <w:tab/>
        <w:t>De charger le Conseil permanent de commémorer annuellement le 15 juin la Journée mondiale de sensibilisation à la maltraitance des personnes âgées.</w:t>
      </w:r>
    </w:p>
    <w:p w14:paraId="48188690" w14:textId="77777777" w:rsidR="000A6BE0" w:rsidRPr="0026653F" w:rsidRDefault="000A6BE0" w:rsidP="00C618DD">
      <w:pPr>
        <w:suppressAutoHyphens/>
        <w:autoSpaceDE w:val="0"/>
        <w:autoSpaceDN w:val="0"/>
        <w:adjustRightInd w:val="0"/>
        <w:ind w:left="270" w:hanging="270"/>
        <w:rPr>
          <w:szCs w:val="22"/>
          <w:lang w:val="fr-FR"/>
        </w:rPr>
      </w:pPr>
    </w:p>
    <w:p w14:paraId="6FEF170E" w14:textId="6F6B36B7" w:rsidR="000A6BE0" w:rsidRPr="0026653F" w:rsidRDefault="000A6BE0" w:rsidP="00C618DD">
      <w:pPr>
        <w:suppressAutoHyphens/>
        <w:autoSpaceDE w:val="0"/>
        <w:autoSpaceDN w:val="0"/>
        <w:adjustRightInd w:val="0"/>
        <w:ind w:left="720" w:hanging="720"/>
        <w:rPr>
          <w:color w:val="000000" w:themeColor="text1"/>
          <w:szCs w:val="22"/>
          <w:u w:val="single"/>
          <w:lang w:val="fr-FR"/>
        </w:rPr>
      </w:pPr>
      <w:r w:rsidRPr="0026653F">
        <w:rPr>
          <w:szCs w:val="22"/>
          <w:lang w:val="fr-FR"/>
        </w:rPr>
        <w:t>xvi.</w:t>
      </w:r>
      <w:r w:rsidRPr="0026653F">
        <w:rPr>
          <w:szCs w:val="22"/>
          <w:lang w:val="fr-FR"/>
        </w:rPr>
        <w:tab/>
      </w:r>
      <w:r w:rsidRPr="0026653F">
        <w:rPr>
          <w:color w:val="000000" w:themeColor="text1"/>
          <w:szCs w:val="22"/>
          <w:u w:val="single"/>
          <w:lang w:val="fr-FR"/>
        </w:rPr>
        <w:t xml:space="preserve">Programme d’action de la Décennie des Amériques pour les droits et la dignité des personnes handicapées 2016-2026 et </w:t>
      </w:r>
      <w:r w:rsidR="00F63B47" w:rsidRPr="0026653F">
        <w:rPr>
          <w:color w:val="000000" w:themeColor="text1"/>
          <w:szCs w:val="22"/>
          <w:u w:val="single"/>
          <w:lang w:val="fr-FR"/>
        </w:rPr>
        <w:t xml:space="preserve">soutien </w:t>
      </w:r>
      <w:r w:rsidRPr="0026653F">
        <w:rPr>
          <w:color w:val="000000" w:themeColor="text1"/>
          <w:szCs w:val="22"/>
          <w:u w:val="single"/>
          <w:lang w:val="fr-FR"/>
        </w:rPr>
        <w:t>au Comité pour l’élimination de toutes les formes de discrimination contre les personnes handicapées</w:t>
      </w:r>
    </w:p>
    <w:p w14:paraId="42545EA2" w14:textId="77777777" w:rsidR="000A6BE0" w:rsidRPr="0026653F" w:rsidRDefault="000A6BE0" w:rsidP="00C618DD">
      <w:pPr>
        <w:suppressAutoHyphens/>
        <w:autoSpaceDE w:val="0"/>
        <w:autoSpaceDN w:val="0"/>
        <w:adjustRightInd w:val="0"/>
        <w:ind w:left="270" w:hanging="270"/>
        <w:rPr>
          <w:color w:val="000000" w:themeColor="text1"/>
          <w:szCs w:val="22"/>
          <w:lang w:val="fr-FR"/>
        </w:rPr>
      </w:pPr>
    </w:p>
    <w:p w14:paraId="39BF5215" w14:textId="65A98CB5" w:rsidR="000A6BE0" w:rsidRPr="0026653F" w:rsidRDefault="000A6BE0" w:rsidP="00C618DD">
      <w:pPr>
        <w:suppressAutoHyphens/>
        <w:ind w:firstLine="720"/>
        <w:rPr>
          <w:color w:val="000000" w:themeColor="text1"/>
          <w:szCs w:val="22"/>
          <w:lang w:val="fr-FR"/>
        </w:rPr>
      </w:pPr>
      <w:r w:rsidRPr="0026653F">
        <w:rPr>
          <w:color w:val="000000" w:themeColor="text1"/>
          <w:szCs w:val="22"/>
          <w:lang w:val="fr-FR"/>
        </w:rPr>
        <w:t>PRENANT EN COMPTE les obligations et engagements pris par les États</w:t>
      </w:r>
      <w:r w:rsidR="00C7070D" w:rsidRPr="0026653F">
        <w:rPr>
          <w:color w:val="000000" w:themeColor="text1"/>
          <w:szCs w:val="22"/>
          <w:lang w:val="fr-FR"/>
        </w:rPr>
        <w:t xml:space="preserve"> membres </w:t>
      </w:r>
      <w:r w:rsidRPr="0026653F">
        <w:rPr>
          <w:color w:val="000000" w:themeColor="text1"/>
          <w:szCs w:val="22"/>
          <w:lang w:val="fr-FR"/>
        </w:rPr>
        <w:t>en ce qui concerne la promotion des droits des personnes handicapées dans les Amériques, comme l’indique la Convention interaméricaine pour l’élimination de toutes les formes de discrimination contre les personnes handicapées (CIADDIS) et le Programme d’action de la Décennie des Amériques pour les droits et la dignité des personnes handicapées 2016-2026 (PAD),</w:t>
      </w:r>
    </w:p>
    <w:p w14:paraId="7BBCB250" w14:textId="77777777" w:rsidR="000A6BE0" w:rsidRPr="0026653F" w:rsidRDefault="000A6BE0" w:rsidP="00C618DD">
      <w:pPr>
        <w:suppressAutoHyphens/>
        <w:rPr>
          <w:color w:val="000000" w:themeColor="text1"/>
          <w:szCs w:val="22"/>
          <w:lang w:val="fr-FR"/>
        </w:rPr>
      </w:pPr>
    </w:p>
    <w:p w14:paraId="11119A3B" w14:textId="4EDE988D" w:rsidR="000A6BE0" w:rsidRPr="0026653F" w:rsidRDefault="000A6BE0" w:rsidP="00C618DD">
      <w:pPr>
        <w:suppressAutoHyphens/>
        <w:ind w:firstLine="720"/>
        <w:rPr>
          <w:bCs/>
          <w:color w:val="000000" w:themeColor="text1"/>
          <w:szCs w:val="22"/>
          <w:lang w:val="fr-FR"/>
        </w:rPr>
      </w:pPr>
      <w:r w:rsidRPr="0026653F">
        <w:rPr>
          <w:bCs/>
          <w:color w:val="000000" w:themeColor="text1"/>
          <w:szCs w:val="22"/>
          <w:lang w:val="fr-FR"/>
        </w:rPr>
        <w:t>RECONNAISSANT que les personnes handicapées figurent parmi les groupes les plus touchés de manière disproportionnée par la pandémie de COVID-19</w:t>
      </w:r>
      <w:r w:rsidR="00945333" w:rsidRPr="0026653F">
        <w:rPr>
          <w:bCs/>
          <w:color w:val="000000" w:themeColor="text1"/>
          <w:szCs w:val="22"/>
          <w:lang w:val="fr-FR"/>
        </w:rPr>
        <w:t xml:space="preserve"> notamment </w:t>
      </w:r>
      <w:r w:rsidRPr="0026653F">
        <w:rPr>
          <w:bCs/>
          <w:color w:val="000000" w:themeColor="text1"/>
          <w:szCs w:val="22"/>
          <w:lang w:val="fr-FR"/>
        </w:rPr>
        <w:t>dans les domaines de la santé, de la situation économique, de l’éducation</w:t>
      </w:r>
      <w:r w:rsidR="00945333" w:rsidRPr="0026653F">
        <w:rPr>
          <w:bCs/>
          <w:color w:val="000000" w:themeColor="text1"/>
          <w:szCs w:val="22"/>
          <w:lang w:val="fr-FR"/>
        </w:rPr>
        <w:t xml:space="preserve"> et</w:t>
      </w:r>
      <w:r w:rsidRPr="0026653F">
        <w:rPr>
          <w:bCs/>
          <w:color w:val="000000" w:themeColor="text1"/>
          <w:szCs w:val="22"/>
          <w:lang w:val="fr-FR"/>
        </w:rPr>
        <w:t xml:space="preserve"> de la protection sociale, ce qui aggrave les obstacles </w:t>
      </w:r>
      <w:r w:rsidRPr="0026653F">
        <w:rPr>
          <w:bCs/>
          <w:color w:val="000000" w:themeColor="text1"/>
          <w:szCs w:val="22"/>
          <w:lang w:val="fr-FR"/>
        </w:rPr>
        <w:lastRenderedPageBreak/>
        <w:t>préexistants en matière d’accessibilité et d’adaptabilité des services publics essentiels, de l’emploi et de l’éducation</w:t>
      </w:r>
      <w:r w:rsidR="00945333" w:rsidRPr="0026653F">
        <w:rPr>
          <w:bCs/>
          <w:color w:val="000000" w:themeColor="text1"/>
          <w:szCs w:val="22"/>
          <w:lang w:val="fr-FR"/>
        </w:rPr>
        <w:t>,</w:t>
      </w:r>
    </w:p>
    <w:p w14:paraId="6B5683F3" w14:textId="77777777" w:rsidR="000A6BE0" w:rsidRPr="0026653F" w:rsidRDefault="000A6BE0" w:rsidP="00C618DD">
      <w:pPr>
        <w:suppressAutoHyphens/>
        <w:rPr>
          <w:bCs/>
          <w:color w:val="000000" w:themeColor="text1"/>
          <w:szCs w:val="22"/>
          <w:lang w:val="fr-FR"/>
        </w:rPr>
      </w:pPr>
    </w:p>
    <w:p w14:paraId="7110FC28" w14:textId="3C42600C" w:rsidR="000A6BE0" w:rsidRPr="0026653F" w:rsidRDefault="000A6BE0" w:rsidP="00C618DD">
      <w:pPr>
        <w:suppressAutoHyphens/>
        <w:ind w:firstLine="720"/>
        <w:rPr>
          <w:bCs/>
          <w:color w:val="000000" w:themeColor="text1"/>
          <w:szCs w:val="22"/>
          <w:lang w:val="fr-FR"/>
        </w:rPr>
      </w:pPr>
      <w:r w:rsidRPr="0026653F">
        <w:rPr>
          <w:bCs/>
          <w:color w:val="000000" w:themeColor="text1"/>
          <w:szCs w:val="22"/>
          <w:lang w:val="fr-FR"/>
        </w:rPr>
        <w:t>S</w:t>
      </w:r>
      <w:r w:rsidR="001927D4" w:rsidRPr="0026653F">
        <w:rPr>
          <w:bCs/>
          <w:color w:val="000000" w:themeColor="text1"/>
          <w:szCs w:val="22"/>
          <w:lang w:val="fr-FR"/>
        </w:rPr>
        <w:t xml:space="preserve">ALUANT </w:t>
      </w:r>
      <w:r w:rsidRPr="0026653F">
        <w:rPr>
          <w:bCs/>
          <w:color w:val="000000" w:themeColor="text1"/>
          <w:szCs w:val="22"/>
          <w:lang w:val="fr-FR"/>
        </w:rPr>
        <w:t>la création</w:t>
      </w:r>
      <w:r w:rsidR="001927D4" w:rsidRPr="0026653F">
        <w:rPr>
          <w:bCs/>
          <w:color w:val="000000" w:themeColor="text1"/>
          <w:szCs w:val="22"/>
          <w:lang w:val="fr-FR"/>
        </w:rPr>
        <w:t xml:space="preserve">, en décembre 2019, </w:t>
      </w:r>
      <w:r w:rsidRPr="0026653F">
        <w:rPr>
          <w:bCs/>
          <w:color w:val="000000" w:themeColor="text1"/>
          <w:szCs w:val="22"/>
          <w:lang w:val="fr-FR"/>
        </w:rPr>
        <w:t xml:space="preserve">du Groupe des pays de l’OEA amis des personnes handicapées, lequel vise notamment à promouvoir les droits et l’autonomisation des personnes handicapées avec le soutien de leurs familles, en sensibilisant le public à leurs conditions de vie, en reconnaissant le handicap comme faisant partie de la diversité, et </w:t>
      </w:r>
      <w:r w:rsidR="00945333" w:rsidRPr="0026653F">
        <w:rPr>
          <w:bCs/>
          <w:color w:val="000000" w:themeColor="text1"/>
          <w:szCs w:val="22"/>
          <w:lang w:val="fr-FR"/>
        </w:rPr>
        <w:t xml:space="preserve">à </w:t>
      </w:r>
      <w:r w:rsidRPr="0026653F">
        <w:rPr>
          <w:bCs/>
          <w:color w:val="000000" w:themeColor="text1"/>
          <w:szCs w:val="22"/>
          <w:lang w:val="fr-FR"/>
        </w:rPr>
        <w:t>diffus</w:t>
      </w:r>
      <w:r w:rsidR="00945333" w:rsidRPr="0026653F">
        <w:rPr>
          <w:bCs/>
          <w:color w:val="000000" w:themeColor="text1"/>
          <w:szCs w:val="22"/>
          <w:lang w:val="fr-FR"/>
        </w:rPr>
        <w:t xml:space="preserve">er </w:t>
      </w:r>
      <w:r w:rsidRPr="0026653F">
        <w:rPr>
          <w:bCs/>
          <w:color w:val="000000" w:themeColor="text1"/>
          <w:szCs w:val="22"/>
          <w:lang w:val="fr-FR"/>
        </w:rPr>
        <w:t>leurs réalisations et leurs contributions au développement de leurs communautés</w:t>
      </w:r>
      <w:r w:rsidR="00945333" w:rsidRPr="0026653F">
        <w:rPr>
          <w:bCs/>
          <w:color w:val="000000" w:themeColor="text1"/>
          <w:szCs w:val="22"/>
          <w:lang w:val="fr-FR"/>
        </w:rPr>
        <w:t>,</w:t>
      </w:r>
    </w:p>
    <w:p w14:paraId="33A6868A" w14:textId="77777777" w:rsidR="000A6BE0" w:rsidRPr="0026653F" w:rsidRDefault="000A6BE0" w:rsidP="00C618DD">
      <w:pPr>
        <w:suppressAutoHyphens/>
        <w:rPr>
          <w:bCs/>
          <w:color w:val="000000" w:themeColor="text1"/>
          <w:szCs w:val="22"/>
          <w:lang w:val="fr-FR"/>
        </w:rPr>
      </w:pPr>
    </w:p>
    <w:p w14:paraId="1684274A" w14:textId="77777777" w:rsidR="000A6BE0" w:rsidRPr="0026653F" w:rsidRDefault="000A6BE0" w:rsidP="00C618DD">
      <w:pPr>
        <w:suppressAutoHyphens/>
        <w:ind w:firstLine="720"/>
        <w:rPr>
          <w:bCs/>
          <w:color w:val="000000" w:themeColor="text1"/>
          <w:szCs w:val="22"/>
          <w:lang w:val="fr-FR"/>
        </w:rPr>
      </w:pPr>
      <w:r w:rsidRPr="0026653F">
        <w:rPr>
          <w:bCs/>
          <w:color w:val="000000" w:themeColor="text1"/>
          <w:szCs w:val="22"/>
          <w:lang w:val="fr-FR"/>
        </w:rPr>
        <w:t>RAPPELANT la commémoration de la Journée internationale des personnes handicapées dans le cadre du Conseil permanent, le 11 décembre 2019, occasion à laquelle une réflexion a été menée sur les droits humains des personnes souffrant de handicaps intellectuels et psychosociaux,</w:t>
      </w:r>
    </w:p>
    <w:p w14:paraId="66E3FC7A" w14:textId="77777777" w:rsidR="000A6BE0" w:rsidRPr="0026653F" w:rsidRDefault="000A6BE0" w:rsidP="00C618DD">
      <w:pPr>
        <w:suppressAutoHyphens/>
        <w:rPr>
          <w:bCs/>
          <w:color w:val="000000" w:themeColor="text1"/>
          <w:szCs w:val="22"/>
          <w:lang w:val="fr-FR"/>
        </w:rPr>
      </w:pPr>
    </w:p>
    <w:p w14:paraId="5359AFCF" w14:textId="77777777" w:rsidR="000A6BE0" w:rsidRPr="0026653F" w:rsidRDefault="000A6BE0" w:rsidP="00C04774">
      <w:pPr>
        <w:suppressAutoHyphens/>
        <w:rPr>
          <w:bCs/>
          <w:color w:val="000000" w:themeColor="text1"/>
          <w:szCs w:val="22"/>
          <w:lang w:val="fr-FR"/>
        </w:rPr>
      </w:pPr>
      <w:r w:rsidRPr="0026653F">
        <w:rPr>
          <w:bCs/>
          <w:color w:val="000000" w:themeColor="text1"/>
          <w:szCs w:val="22"/>
          <w:lang w:val="fr-FR"/>
        </w:rPr>
        <w:t xml:space="preserve">DÉCIDE : </w:t>
      </w:r>
    </w:p>
    <w:p w14:paraId="32BA69B9" w14:textId="77777777" w:rsidR="000A6BE0" w:rsidRPr="0026653F" w:rsidRDefault="000A6BE0" w:rsidP="00C04774">
      <w:pPr>
        <w:suppressAutoHyphens/>
        <w:rPr>
          <w:bCs/>
          <w:color w:val="000000" w:themeColor="text1"/>
          <w:szCs w:val="22"/>
          <w:lang w:val="fr-FR"/>
        </w:rPr>
      </w:pPr>
    </w:p>
    <w:p w14:paraId="3476A9A9" w14:textId="1607E2AD" w:rsidR="000A6BE0" w:rsidRPr="0026653F" w:rsidRDefault="000A6BE0" w:rsidP="00C04774">
      <w:pPr>
        <w:pStyle w:val="ListParagraph"/>
        <w:numPr>
          <w:ilvl w:val="3"/>
          <w:numId w:val="79"/>
        </w:numPr>
        <w:suppressAutoHyphens/>
        <w:spacing w:after="0" w:line="240" w:lineRule="auto"/>
        <w:ind w:left="0" w:firstLine="720"/>
        <w:jc w:val="both"/>
        <w:rPr>
          <w:rFonts w:ascii="Times New Roman" w:hAnsi="Times New Roman"/>
          <w:bCs/>
          <w:color w:val="000000" w:themeColor="text1"/>
          <w:lang w:val="fr-FR"/>
        </w:rPr>
      </w:pPr>
      <w:r w:rsidRPr="0026653F">
        <w:rPr>
          <w:rFonts w:ascii="Times New Roman" w:hAnsi="Times New Roman"/>
          <w:bCs/>
          <w:color w:val="000000" w:themeColor="text1"/>
          <w:lang w:val="fr-FR"/>
        </w:rPr>
        <w:t xml:space="preserve">D’exhorter les États membres à examiner la situation de la discrimination structurelle ainsi que les obstacles physiques et comportementaux auxquels </w:t>
      </w:r>
      <w:r w:rsidR="002D7118" w:rsidRPr="0026653F">
        <w:rPr>
          <w:rFonts w:ascii="Times New Roman" w:hAnsi="Times New Roman"/>
          <w:bCs/>
          <w:color w:val="000000" w:themeColor="text1"/>
          <w:lang w:val="fr-FR"/>
        </w:rPr>
        <w:t xml:space="preserve">font face </w:t>
      </w:r>
      <w:r w:rsidRPr="0026653F">
        <w:rPr>
          <w:rFonts w:ascii="Times New Roman" w:hAnsi="Times New Roman"/>
          <w:bCs/>
          <w:color w:val="000000" w:themeColor="text1"/>
          <w:lang w:val="fr-FR"/>
        </w:rPr>
        <w:t xml:space="preserve">les personnes handicapées dans le contexte de la pandémie de COVID-19, et à inclure intégralement leurs besoins spécifiques dans les réponses apportées pendant et après la pandémie afin que les personnes handicapées puissent exercer leurs droits sur un pied d’égalité avec les autres personnes et sans discrimination, conformément aux objectifs énoncés dans la </w:t>
      </w:r>
      <w:r w:rsidR="002D7118" w:rsidRPr="0026653F">
        <w:rPr>
          <w:rFonts w:ascii="Times New Roman" w:hAnsi="Times New Roman"/>
          <w:color w:val="000000" w:themeColor="text1"/>
          <w:lang w:val="fr-FR"/>
        </w:rPr>
        <w:t xml:space="preserve">Convention interaméricaine pour l’élimination de toutes les formes de discrimination contre les personnes handicapées (CIADDIS) et le Programme d’action de la Décennie des Amériques pour les droits et la dignité des personnes handicapées 2016-2026 (PAD), </w:t>
      </w:r>
      <w:r w:rsidRPr="0026653F">
        <w:rPr>
          <w:rFonts w:ascii="Times New Roman" w:hAnsi="Times New Roman"/>
          <w:bCs/>
          <w:color w:val="000000" w:themeColor="text1"/>
          <w:lang w:val="fr-FR"/>
        </w:rPr>
        <w:t>entre autres instruments internationaux en la matière.</w:t>
      </w:r>
    </w:p>
    <w:p w14:paraId="47578EDD" w14:textId="77777777" w:rsidR="000A6BE0" w:rsidRPr="0026653F" w:rsidRDefault="000A6BE0" w:rsidP="00C04774">
      <w:pPr>
        <w:suppressAutoHyphens/>
        <w:rPr>
          <w:bCs/>
          <w:color w:val="000000" w:themeColor="text1"/>
          <w:szCs w:val="22"/>
          <w:lang w:val="fr-FR"/>
        </w:rPr>
      </w:pPr>
    </w:p>
    <w:p w14:paraId="05107F4B" w14:textId="478FC93C" w:rsidR="000A6BE0" w:rsidRPr="0026653F" w:rsidRDefault="000A6BE0" w:rsidP="00C04774">
      <w:pPr>
        <w:pStyle w:val="ListParagraph"/>
        <w:numPr>
          <w:ilvl w:val="3"/>
          <w:numId w:val="79"/>
        </w:numPr>
        <w:suppressAutoHyphens/>
        <w:spacing w:after="0" w:line="240" w:lineRule="auto"/>
        <w:ind w:left="0" w:firstLine="720"/>
        <w:jc w:val="both"/>
        <w:rPr>
          <w:rFonts w:ascii="Times New Roman" w:hAnsi="Times New Roman"/>
          <w:bCs/>
          <w:color w:val="000000" w:themeColor="text1"/>
          <w:lang w:val="fr-FR"/>
        </w:rPr>
      </w:pPr>
      <w:r w:rsidRPr="0026653F">
        <w:rPr>
          <w:rFonts w:ascii="Times New Roman" w:hAnsi="Times New Roman"/>
          <w:bCs/>
          <w:color w:val="000000" w:themeColor="text1"/>
          <w:lang w:val="fr-FR"/>
        </w:rPr>
        <w:t>D’</w:t>
      </w:r>
      <w:r w:rsidR="00CE261D" w:rsidRPr="0026653F">
        <w:rPr>
          <w:rFonts w:ascii="Times New Roman" w:hAnsi="Times New Roman"/>
          <w:bCs/>
          <w:color w:val="000000" w:themeColor="text1"/>
          <w:lang w:val="fr-FR"/>
        </w:rPr>
        <w:t xml:space="preserve">exhorter </w:t>
      </w:r>
      <w:r w:rsidRPr="0026653F">
        <w:rPr>
          <w:rFonts w:ascii="Times New Roman" w:hAnsi="Times New Roman"/>
          <w:bCs/>
          <w:color w:val="000000" w:themeColor="text1"/>
          <w:lang w:val="fr-FR"/>
        </w:rPr>
        <w:t xml:space="preserve">les États membres à prendre des mesures visant à garantir que les personnes handicapées aient accès au télétravail, sur un pied d’égalité avec les autres travailleurs, afin qu’elles puissent continuer à satisfaire leurs besoins économiques au même titre que leurs pairs. D’exhorter les États </w:t>
      </w:r>
      <w:r w:rsidR="009334A5" w:rsidRPr="0026653F">
        <w:rPr>
          <w:rFonts w:ascii="Times New Roman" w:hAnsi="Times New Roman"/>
          <w:bCs/>
          <w:color w:val="000000" w:themeColor="text1"/>
          <w:lang w:val="fr-FR"/>
        </w:rPr>
        <w:t xml:space="preserve">membres </w:t>
      </w:r>
      <w:r w:rsidRPr="0026653F">
        <w:rPr>
          <w:rFonts w:ascii="Times New Roman" w:hAnsi="Times New Roman"/>
          <w:bCs/>
          <w:color w:val="000000" w:themeColor="text1"/>
          <w:lang w:val="fr-FR"/>
        </w:rPr>
        <w:t>et les employeurs à fournir, à ces fins, des conditions d’accessibilité qui permettent aux personnes handicapées de pratiquer le télétravail dans des conditions d’égalité avec les autres personnes.</w:t>
      </w:r>
    </w:p>
    <w:p w14:paraId="64F00CE7" w14:textId="77777777" w:rsidR="000A6BE0" w:rsidRPr="0026653F" w:rsidRDefault="000A6BE0" w:rsidP="00C04774">
      <w:pPr>
        <w:suppressAutoHyphens/>
        <w:rPr>
          <w:bCs/>
          <w:color w:val="000000" w:themeColor="text1"/>
          <w:szCs w:val="22"/>
          <w:lang w:val="fr-FR"/>
        </w:rPr>
      </w:pPr>
    </w:p>
    <w:p w14:paraId="682BDDA5" w14:textId="7227DA16" w:rsidR="000A6BE0" w:rsidRPr="0026653F" w:rsidRDefault="000A6BE0" w:rsidP="00C04774">
      <w:pPr>
        <w:pStyle w:val="ListParagraph"/>
        <w:numPr>
          <w:ilvl w:val="3"/>
          <w:numId w:val="79"/>
        </w:numPr>
        <w:suppressAutoHyphens/>
        <w:spacing w:after="0" w:line="240" w:lineRule="auto"/>
        <w:ind w:left="0" w:firstLine="720"/>
        <w:jc w:val="both"/>
        <w:rPr>
          <w:rFonts w:ascii="Times New Roman" w:hAnsi="Times New Roman"/>
          <w:bCs/>
          <w:color w:val="000000" w:themeColor="text1"/>
          <w:lang w:val="fr-FR"/>
        </w:rPr>
      </w:pPr>
      <w:r w:rsidRPr="0026653F">
        <w:rPr>
          <w:rFonts w:ascii="Times New Roman" w:hAnsi="Times New Roman"/>
          <w:bCs/>
          <w:color w:val="000000" w:themeColor="text1"/>
          <w:lang w:val="fr-FR"/>
        </w:rPr>
        <w:t>D</w:t>
      </w:r>
      <w:r w:rsidR="00CE261D" w:rsidRPr="0026653F">
        <w:rPr>
          <w:rFonts w:ascii="Times New Roman" w:hAnsi="Times New Roman"/>
          <w:bCs/>
          <w:color w:val="000000" w:themeColor="text1"/>
          <w:lang w:val="fr-FR"/>
        </w:rPr>
        <w:t xml:space="preserve">’inviter instamment </w:t>
      </w:r>
      <w:r w:rsidRPr="0026653F">
        <w:rPr>
          <w:rFonts w:ascii="Times New Roman" w:hAnsi="Times New Roman"/>
          <w:bCs/>
          <w:color w:val="000000" w:themeColor="text1"/>
          <w:lang w:val="fr-FR"/>
        </w:rPr>
        <w:t>les États membres à prendre toutes les mesures nécessaires pour contribuer à assurer la sécurité et la protection des personnes handicapées, sans discrimination aucune, dans les situations de risque ou d’urgence.</w:t>
      </w:r>
    </w:p>
    <w:p w14:paraId="75E2FA13" w14:textId="77777777" w:rsidR="000A6BE0" w:rsidRPr="0026653F" w:rsidRDefault="000A6BE0" w:rsidP="00C04774">
      <w:pPr>
        <w:suppressAutoHyphens/>
        <w:rPr>
          <w:bCs/>
          <w:color w:val="000000" w:themeColor="text1"/>
          <w:szCs w:val="22"/>
          <w:lang w:val="fr-FR"/>
        </w:rPr>
      </w:pPr>
    </w:p>
    <w:p w14:paraId="1FA0A3C4" w14:textId="1406E06F" w:rsidR="000A6BE0" w:rsidRDefault="000A6BE0" w:rsidP="00C04774">
      <w:pPr>
        <w:pStyle w:val="ListParagraph"/>
        <w:numPr>
          <w:ilvl w:val="3"/>
          <w:numId w:val="79"/>
        </w:numPr>
        <w:suppressAutoHyphens/>
        <w:spacing w:after="0" w:line="240" w:lineRule="auto"/>
        <w:ind w:left="0" w:firstLine="720"/>
        <w:jc w:val="both"/>
        <w:rPr>
          <w:rFonts w:ascii="Times New Roman" w:hAnsi="Times New Roman"/>
          <w:bCs/>
          <w:color w:val="000000" w:themeColor="text1"/>
          <w:lang w:val="fr-FR"/>
        </w:rPr>
      </w:pPr>
      <w:r w:rsidRPr="0026653F">
        <w:rPr>
          <w:rFonts w:ascii="Times New Roman" w:hAnsi="Times New Roman"/>
          <w:bCs/>
          <w:color w:val="000000" w:themeColor="text1"/>
          <w:lang w:val="fr-FR"/>
        </w:rPr>
        <w:t>D’inviter les États membres à élaborer, promouvoir et mettre en œuvre des politiques en vue d’une prise en charge adaptée, de l’égalité d’accès aux possibilités ainsi que de l’inclusion des personnes handicapées, par le biais de plans, de programmes, de projets et d’actions visant la réalisation et l’exercice de leurs droits.</w:t>
      </w:r>
    </w:p>
    <w:p w14:paraId="3E53B2D5" w14:textId="77777777" w:rsidR="00C04774" w:rsidRPr="00C04774" w:rsidRDefault="00C04774" w:rsidP="00C04774">
      <w:pPr>
        <w:suppressAutoHyphens/>
        <w:rPr>
          <w:bCs/>
          <w:color w:val="000000" w:themeColor="text1"/>
          <w:szCs w:val="22"/>
          <w:lang w:val="fr-FR"/>
        </w:rPr>
      </w:pPr>
    </w:p>
    <w:p w14:paraId="42812AA9" w14:textId="59F1F096" w:rsidR="000A6BE0" w:rsidRPr="0026653F" w:rsidRDefault="00CE261D" w:rsidP="00C04774">
      <w:pPr>
        <w:suppressAutoHyphens/>
        <w:ind w:firstLine="720"/>
        <w:contextualSpacing/>
        <w:rPr>
          <w:color w:val="000000" w:themeColor="text1"/>
          <w:szCs w:val="22"/>
          <w:lang w:val="fr-FR"/>
        </w:rPr>
      </w:pPr>
      <w:r w:rsidRPr="0026653F">
        <w:rPr>
          <w:color w:val="000000" w:themeColor="text1"/>
          <w:szCs w:val="22"/>
          <w:lang w:val="fr-FR"/>
        </w:rPr>
        <w:t>5.</w:t>
      </w:r>
      <w:r w:rsidRPr="0026653F">
        <w:rPr>
          <w:color w:val="000000" w:themeColor="text1"/>
          <w:szCs w:val="22"/>
          <w:lang w:val="fr-FR"/>
        </w:rPr>
        <w:tab/>
        <w:t>D</w:t>
      </w:r>
      <w:r w:rsidR="000A6BE0" w:rsidRPr="0026653F">
        <w:rPr>
          <w:color w:val="000000" w:themeColor="text1"/>
          <w:szCs w:val="22"/>
          <w:lang w:val="fr-FR"/>
        </w:rPr>
        <w:t xml:space="preserve">’encourager les États membres qui ne sont pas parties à la CIADDIS à la signer, ratifier ou à y adhérer, selon le cas, en vue d’accélérer les efforts régionaux en matière d’inclusion et contre la discrimination des personnes handicapées ; de réitérer l’importance de verser des contributions volontaires au Fonds spécifique du Comité pour l’élimination de toutes les formes de discrimination contre les personnes handicapées (CEDDIS) [CP/RES. 947 (1683/09)], lequel fonds a été créé pour compléter le financement des activités du CEDDIS et de son </w:t>
      </w:r>
      <w:r w:rsidR="00EE444E" w:rsidRPr="0026653F">
        <w:rPr>
          <w:color w:val="000000" w:themeColor="text1"/>
          <w:szCs w:val="22"/>
          <w:lang w:val="fr-FR"/>
        </w:rPr>
        <w:t>s</w:t>
      </w:r>
      <w:r w:rsidR="000A6BE0" w:rsidRPr="0026653F">
        <w:rPr>
          <w:color w:val="000000" w:themeColor="text1"/>
          <w:szCs w:val="22"/>
          <w:lang w:val="fr-FR"/>
        </w:rPr>
        <w:t>ecrétariat technique</w:t>
      </w:r>
      <w:r w:rsidRPr="0026653F">
        <w:rPr>
          <w:color w:val="000000" w:themeColor="text1"/>
          <w:szCs w:val="22"/>
          <w:lang w:val="fr-FR"/>
        </w:rPr>
        <w:t> </w:t>
      </w:r>
      <w:r w:rsidR="000A6BE0" w:rsidRPr="0026653F">
        <w:rPr>
          <w:color w:val="000000" w:themeColor="text1"/>
          <w:szCs w:val="22"/>
          <w:lang w:val="fr-FR"/>
        </w:rPr>
        <w:t xml:space="preserve">; </w:t>
      </w:r>
      <w:r w:rsidR="00EE444E" w:rsidRPr="0026653F">
        <w:rPr>
          <w:color w:val="000000" w:themeColor="text1"/>
          <w:szCs w:val="22"/>
          <w:lang w:val="fr-FR"/>
        </w:rPr>
        <w:t xml:space="preserve">enfin, </w:t>
      </w:r>
      <w:r w:rsidR="000A6BE0" w:rsidRPr="0026653F">
        <w:rPr>
          <w:color w:val="000000" w:themeColor="text1"/>
          <w:szCs w:val="22"/>
          <w:lang w:val="fr-FR"/>
        </w:rPr>
        <w:lastRenderedPageBreak/>
        <w:t xml:space="preserve">d’encourager les États parties à </w:t>
      </w:r>
      <w:r w:rsidR="00EE444E" w:rsidRPr="0026653F">
        <w:rPr>
          <w:color w:val="000000" w:themeColor="text1"/>
          <w:szCs w:val="22"/>
          <w:lang w:val="fr-FR"/>
        </w:rPr>
        <w:t xml:space="preserve">la Convention à </w:t>
      </w:r>
      <w:r w:rsidR="000A6BE0" w:rsidRPr="0026653F">
        <w:rPr>
          <w:color w:val="000000" w:themeColor="text1"/>
          <w:szCs w:val="22"/>
          <w:lang w:val="fr-FR"/>
        </w:rPr>
        <w:t xml:space="preserve">déployer tous leurs efforts pour mettre en œuvre les recommandations formulées à leur intention par le CEDDIS dans le cadre de ses évaluations selon les sphères d’action indiquées dans les rapports nationaux </w:t>
      </w:r>
      <w:r w:rsidRPr="0026653F">
        <w:rPr>
          <w:color w:val="000000" w:themeColor="text1"/>
          <w:szCs w:val="22"/>
          <w:lang w:val="fr-FR"/>
        </w:rPr>
        <w:t xml:space="preserve">relatifs à </w:t>
      </w:r>
      <w:r w:rsidR="000A6BE0" w:rsidRPr="0026653F">
        <w:rPr>
          <w:color w:val="000000" w:themeColor="text1"/>
          <w:szCs w:val="22"/>
          <w:lang w:val="fr-FR"/>
        </w:rPr>
        <w:t>la mise en œuvre de la CIADDIS pour les États parties et le PAD.</w:t>
      </w:r>
    </w:p>
    <w:p w14:paraId="704E6125" w14:textId="77777777" w:rsidR="000A6BE0" w:rsidRPr="00C04774" w:rsidRDefault="000A6BE0" w:rsidP="00C04774">
      <w:pPr>
        <w:suppressAutoHyphens/>
        <w:rPr>
          <w:bCs/>
          <w:color w:val="000000" w:themeColor="text1"/>
          <w:szCs w:val="22"/>
          <w:lang w:val="fr-FR"/>
        </w:rPr>
      </w:pPr>
    </w:p>
    <w:p w14:paraId="09F1BAC9" w14:textId="206B6B84" w:rsidR="000A6BE0" w:rsidRPr="0026653F" w:rsidRDefault="000A6BE0" w:rsidP="00C04774">
      <w:pPr>
        <w:numPr>
          <w:ilvl w:val="0"/>
          <w:numId w:val="79"/>
        </w:numPr>
        <w:suppressAutoHyphens/>
        <w:ind w:left="0" w:firstLine="720"/>
        <w:contextualSpacing/>
        <w:rPr>
          <w:color w:val="000000" w:themeColor="text1"/>
          <w:szCs w:val="22"/>
          <w:lang w:val="fr-FR"/>
        </w:rPr>
      </w:pPr>
      <w:r w:rsidRPr="0026653F">
        <w:rPr>
          <w:color w:val="000000" w:themeColor="text1"/>
          <w:szCs w:val="22"/>
          <w:lang w:val="fr-FR"/>
        </w:rPr>
        <w:t xml:space="preserve">De reconnaître et de renforcer le travail accompli par le Département de l’inclusion sociale et de lui demander, en sa qualité de </w:t>
      </w:r>
      <w:r w:rsidR="00CE261D" w:rsidRPr="0026653F">
        <w:rPr>
          <w:color w:val="000000" w:themeColor="text1"/>
          <w:szCs w:val="22"/>
          <w:lang w:val="fr-FR"/>
        </w:rPr>
        <w:t>s</w:t>
      </w:r>
      <w:r w:rsidRPr="0026653F">
        <w:rPr>
          <w:color w:val="000000" w:themeColor="text1"/>
          <w:szCs w:val="22"/>
          <w:lang w:val="fr-FR"/>
        </w:rPr>
        <w:t>ecrétariat technique du CEDDIS et de secteur chargé de la promotion de programmes, projets et initiatives d’inclusion sociale des personnes handicapées, de continuer, en coordination avec les États membres, de diffuser et de promouvoir les droits de ces personnes et la non-discrimination, et de veiller à leur participation intégrale à tous les échelons de la société ; et de renouveler la demande faite au Secrétariat général de déployer tous les efforts pour tenir compte, de manière transversale et intersectorielle dans l’Organisation, de la perspective d’inclusion des personnes handicapées, à partir d’une approche fondée sur leurs droits.</w:t>
      </w:r>
    </w:p>
    <w:p w14:paraId="19976BB1" w14:textId="77777777" w:rsidR="000A6BE0" w:rsidRPr="00C04774" w:rsidRDefault="000A6BE0" w:rsidP="00C04774">
      <w:pPr>
        <w:suppressAutoHyphens/>
        <w:rPr>
          <w:bCs/>
          <w:color w:val="000000" w:themeColor="text1"/>
          <w:szCs w:val="22"/>
          <w:lang w:val="fr-FR"/>
        </w:rPr>
      </w:pPr>
    </w:p>
    <w:p w14:paraId="610B2164" w14:textId="7F5773C2" w:rsidR="000A6BE0" w:rsidRPr="0026653F" w:rsidRDefault="000A6BE0" w:rsidP="00C04774">
      <w:pPr>
        <w:numPr>
          <w:ilvl w:val="0"/>
          <w:numId w:val="79"/>
        </w:numPr>
        <w:suppressAutoHyphens/>
        <w:ind w:left="0" w:firstLine="720"/>
        <w:contextualSpacing/>
        <w:rPr>
          <w:color w:val="000000" w:themeColor="text1"/>
          <w:szCs w:val="22"/>
          <w:lang w:val="fr-FR"/>
        </w:rPr>
      </w:pPr>
      <w:r w:rsidRPr="0026653F">
        <w:rPr>
          <w:color w:val="000000" w:themeColor="text1"/>
          <w:szCs w:val="22"/>
          <w:lang w:val="fr-FR"/>
        </w:rPr>
        <w:t>D</w:t>
      </w:r>
      <w:r w:rsidR="00CE261D" w:rsidRPr="0026653F">
        <w:rPr>
          <w:color w:val="000000" w:themeColor="text1"/>
          <w:szCs w:val="22"/>
          <w:lang w:val="fr-FR"/>
        </w:rPr>
        <w:t xml:space="preserve">’encourager </w:t>
      </w:r>
      <w:r w:rsidRPr="0026653F">
        <w:rPr>
          <w:color w:val="000000" w:themeColor="text1"/>
          <w:szCs w:val="22"/>
          <w:lang w:val="fr-FR"/>
        </w:rPr>
        <w:t xml:space="preserve">tous les États membres et </w:t>
      </w:r>
      <w:r w:rsidR="00CE261D" w:rsidRPr="0026653F">
        <w:rPr>
          <w:color w:val="000000" w:themeColor="text1"/>
          <w:szCs w:val="22"/>
          <w:lang w:val="fr-FR"/>
        </w:rPr>
        <w:t xml:space="preserve">les </w:t>
      </w:r>
      <w:r w:rsidRPr="0026653F">
        <w:rPr>
          <w:color w:val="000000" w:themeColor="text1"/>
          <w:szCs w:val="22"/>
          <w:lang w:val="fr-FR"/>
        </w:rPr>
        <w:t xml:space="preserve">observateurs permanents </w:t>
      </w:r>
      <w:r w:rsidR="00CE261D" w:rsidRPr="0026653F">
        <w:rPr>
          <w:color w:val="000000" w:themeColor="text1"/>
          <w:szCs w:val="22"/>
          <w:lang w:val="fr-FR"/>
        </w:rPr>
        <w:t xml:space="preserve">à </w:t>
      </w:r>
      <w:r w:rsidRPr="0026653F">
        <w:rPr>
          <w:color w:val="000000" w:themeColor="text1"/>
          <w:szCs w:val="22"/>
          <w:lang w:val="fr-FR"/>
        </w:rPr>
        <w:t>effectuer des versements au fonds spécifique de contributions volontaires visant à appuyer la mise en œuvre du P</w:t>
      </w:r>
      <w:r w:rsidR="00CE261D" w:rsidRPr="0026653F">
        <w:rPr>
          <w:color w:val="000000" w:themeColor="text1"/>
          <w:szCs w:val="22"/>
          <w:lang w:val="fr-FR"/>
        </w:rPr>
        <w:t xml:space="preserve">AD </w:t>
      </w:r>
      <w:r w:rsidRPr="0026653F">
        <w:rPr>
          <w:color w:val="000000" w:themeColor="text1"/>
          <w:szCs w:val="22"/>
          <w:lang w:val="fr-FR"/>
        </w:rPr>
        <w:t xml:space="preserve">ainsi que la gestion du </w:t>
      </w:r>
      <w:r w:rsidR="00CE261D" w:rsidRPr="0026653F">
        <w:rPr>
          <w:color w:val="000000" w:themeColor="text1"/>
          <w:szCs w:val="22"/>
          <w:lang w:val="fr-FR"/>
        </w:rPr>
        <w:t>g</w:t>
      </w:r>
      <w:r w:rsidRPr="0026653F">
        <w:rPr>
          <w:color w:val="000000" w:themeColor="text1"/>
          <w:szCs w:val="22"/>
          <w:lang w:val="fr-FR"/>
        </w:rPr>
        <w:t>roupe de travail mixte chargé du suivi de la mise en œuvre dudit instrument.</w:t>
      </w:r>
    </w:p>
    <w:p w14:paraId="030CED19" w14:textId="77777777" w:rsidR="000A6BE0" w:rsidRPr="00C04774" w:rsidRDefault="000A6BE0" w:rsidP="00C04774">
      <w:pPr>
        <w:suppressAutoHyphens/>
        <w:rPr>
          <w:bCs/>
          <w:color w:val="000000" w:themeColor="text1"/>
          <w:szCs w:val="22"/>
          <w:lang w:val="fr-FR"/>
        </w:rPr>
      </w:pPr>
    </w:p>
    <w:p w14:paraId="21F07D8C" w14:textId="5900CCB7" w:rsidR="000A6BE0" w:rsidRPr="0026653F" w:rsidRDefault="000A6BE0" w:rsidP="00C04774">
      <w:pPr>
        <w:numPr>
          <w:ilvl w:val="0"/>
          <w:numId w:val="79"/>
        </w:numPr>
        <w:suppressAutoHyphens/>
        <w:ind w:left="0" w:firstLine="720"/>
        <w:contextualSpacing/>
        <w:rPr>
          <w:bCs/>
          <w:color w:val="000000" w:themeColor="text1"/>
          <w:szCs w:val="22"/>
          <w:lang w:val="fr-FR"/>
        </w:rPr>
      </w:pPr>
      <w:r w:rsidRPr="0026653F">
        <w:rPr>
          <w:bCs/>
          <w:color w:val="000000" w:themeColor="text1"/>
          <w:szCs w:val="22"/>
          <w:lang w:val="fr-FR"/>
        </w:rPr>
        <w:t xml:space="preserve">D’inviter les États membres et le Secrétariat général à commémorer la Journée internationale des personnes handicapées, célébrée chaque année le 3 décembre, par des actions qui contribuent à la pleine reconnaissance, à la visibilité, à l’exercice et à la jouissance des droits des personnes handicapées, aux niveaux national et international, afin d’atteindre des objectifs communs ; et d’établir, en ce qui concerne les activités promues par l’Organisation, que celles-ci </w:t>
      </w:r>
      <w:r w:rsidR="00CE261D" w:rsidRPr="0026653F">
        <w:rPr>
          <w:bCs/>
          <w:color w:val="000000" w:themeColor="text1"/>
          <w:szCs w:val="22"/>
          <w:lang w:val="fr-FR"/>
        </w:rPr>
        <w:t xml:space="preserve">sont subordonnées à </w:t>
      </w:r>
      <w:r w:rsidRPr="0026653F">
        <w:rPr>
          <w:bCs/>
          <w:color w:val="000000" w:themeColor="text1"/>
          <w:szCs w:val="22"/>
          <w:lang w:val="fr-FR"/>
        </w:rPr>
        <w:t xml:space="preserve">la disponibilité de ressources financières inscrites à ce titre dans son </w:t>
      </w:r>
      <w:r w:rsidR="00F63B47" w:rsidRPr="0026653F">
        <w:rPr>
          <w:bCs/>
          <w:color w:val="000000" w:themeColor="text1"/>
          <w:szCs w:val="22"/>
          <w:lang w:val="fr-FR"/>
        </w:rPr>
        <w:t>p</w:t>
      </w:r>
      <w:r w:rsidRPr="0026653F">
        <w:rPr>
          <w:bCs/>
          <w:color w:val="000000" w:themeColor="text1"/>
          <w:szCs w:val="22"/>
          <w:lang w:val="fr-FR"/>
        </w:rPr>
        <w:t>rogramme-budget ainsi que d’autres ressources.</w:t>
      </w:r>
    </w:p>
    <w:p w14:paraId="220D36CF" w14:textId="77777777" w:rsidR="000A6BE0" w:rsidRPr="0026653F" w:rsidRDefault="000A6BE0" w:rsidP="00C04774">
      <w:pPr>
        <w:suppressAutoHyphens/>
        <w:rPr>
          <w:szCs w:val="22"/>
          <w:lang w:val="fr-FR"/>
        </w:rPr>
      </w:pPr>
    </w:p>
    <w:p w14:paraId="6FFC7099" w14:textId="1B81270D" w:rsidR="000A6BE0" w:rsidRPr="00767721" w:rsidRDefault="000A6BE0" w:rsidP="00C04774">
      <w:pPr>
        <w:suppressAutoHyphens/>
        <w:rPr>
          <w:bCs/>
          <w:color w:val="000000" w:themeColor="text1"/>
          <w:szCs w:val="22"/>
          <w:lang w:val="fr-FR" w:eastAsia="es-MX"/>
        </w:rPr>
      </w:pPr>
      <w:r w:rsidRPr="0026653F">
        <w:rPr>
          <w:szCs w:val="22"/>
          <w:lang w:val="fr-FR"/>
        </w:rPr>
        <w:t>xvii.</w:t>
      </w:r>
      <w:r w:rsidRPr="0026653F">
        <w:rPr>
          <w:szCs w:val="22"/>
          <w:lang w:val="fr-FR"/>
        </w:rPr>
        <w:tab/>
      </w:r>
      <w:r w:rsidRPr="0026653F">
        <w:rPr>
          <w:bCs/>
          <w:color w:val="000000" w:themeColor="text1"/>
          <w:szCs w:val="22"/>
          <w:u w:val="single"/>
          <w:lang w:val="fr-FR" w:eastAsia="es-MX"/>
        </w:rPr>
        <w:t>Protection des demandeurs d</w:t>
      </w:r>
      <w:r w:rsidR="00F63B47" w:rsidRPr="0026653F">
        <w:rPr>
          <w:bCs/>
          <w:color w:val="000000" w:themeColor="text1"/>
          <w:szCs w:val="22"/>
          <w:u w:val="single"/>
          <w:lang w:val="fr-FR" w:eastAsia="es-MX"/>
        </w:rPr>
        <w:t xml:space="preserve">’asile </w:t>
      </w:r>
      <w:r w:rsidRPr="0026653F">
        <w:rPr>
          <w:bCs/>
          <w:color w:val="000000" w:themeColor="text1"/>
          <w:szCs w:val="22"/>
          <w:u w:val="single"/>
          <w:lang w:val="fr-FR" w:eastAsia="es-MX"/>
        </w:rPr>
        <w:t>et des réfugiés dans les Amériques</w:t>
      </w:r>
    </w:p>
    <w:p w14:paraId="42788FC6" w14:textId="77777777" w:rsidR="000A6BE0" w:rsidRPr="0026653F" w:rsidRDefault="000A6BE0" w:rsidP="00C04774">
      <w:pPr>
        <w:suppressAutoHyphens/>
        <w:rPr>
          <w:bCs/>
          <w:color w:val="000000" w:themeColor="text1"/>
          <w:szCs w:val="22"/>
          <w:lang w:val="fr-FR" w:eastAsia="es-MX"/>
        </w:rPr>
      </w:pPr>
    </w:p>
    <w:p w14:paraId="263071E1" w14:textId="0A421D53" w:rsidR="000A6BE0" w:rsidRPr="0026653F" w:rsidRDefault="000A6BE0" w:rsidP="00C04774">
      <w:pPr>
        <w:suppressAutoHyphens/>
        <w:ind w:firstLine="720"/>
        <w:rPr>
          <w:color w:val="000000" w:themeColor="text1"/>
          <w:szCs w:val="22"/>
          <w:lang w:val="fr-FR" w:eastAsia="es-MX"/>
        </w:rPr>
      </w:pPr>
      <w:r w:rsidRPr="0026653F">
        <w:rPr>
          <w:color w:val="000000" w:themeColor="text1"/>
          <w:szCs w:val="22"/>
          <w:lang w:val="fr-FR"/>
        </w:rPr>
        <w:t>SOULIGNANT l’importance du Plan d’action du Brésil adopté le 3 décembre 2014 en tant que cadre stratégique pour la protection des réfugiés, des demandeurs de statut de réfugié, des personnes déplacées et des apatrides dans la région,</w:t>
      </w:r>
    </w:p>
    <w:p w14:paraId="2B8D7B23" w14:textId="77777777" w:rsidR="000A6BE0" w:rsidRPr="0026653F" w:rsidRDefault="000A6BE0" w:rsidP="00C04774">
      <w:pPr>
        <w:suppressAutoHyphens/>
        <w:autoSpaceDE w:val="0"/>
        <w:autoSpaceDN w:val="0"/>
        <w:adjustRightInd w:val="0"/>
        <w:rPr>
          <w:color w:val="000000" w:themeColor="text1"/>
          <w:szCs w:val="22"/>
          <w:lang w:val="fr-FR" w:eastAsia="es-MX"/>
        </w:rPr>
      </w:pPr>
    </w:p>
    <w:p w14:paraId="6DB9C29B" w14:textId="256BBB04" w:rsidR="000A6BE0" w:rsidRPr="0026653F" w:rsidRDefault="000A6BE0" w:rsidP="00C04774">
      <w:pPr>
        <w:suppressAutoHyphens/>
        <w:autoSpaceDE w:val="0"/>
        <w:autoSpaceDN w:val="0"/>
        <w:adjustRightInd w:val="0"/>
        <w:ind w:firstLine="720"/>
        <w:rPr>
          <w:bCs/>
          <w:color w:val="000000" w:themeColor="text1"/>
          <w:szCs w:val="22"/>
          <w:lang w:val="fr-FR" w:eastAsia="es-MX"/>
        </w:rPr>
      </w:pPr>
      <w:r w:rsidRPr="0026653F">
        <w:rPr>
          <w:color w:val="000000" w:themeColor="text1"/>
          <w:szCs w:val="22"/>
          <w:lang w:val="fr-FR" w:eastAsia="es-MX"/>
        </w:rPr>
        <w:t xml:space="preserve">SOULIGNANT ÉGALEMENT </w:t>
      </w:r>
      <w:r w:rsidRPr="0026653F">
        <w:rPr>
          <w:bCs/>
          <w:color w:val="000000" w:themeColor="text1"/>
          <w:szCs w:val="22"/>
          <w:lang w:val="fr-FR" w:eastAsia="es-MX"/>
        </w:rPr>
        <w:t>l’importance du Pacte mondial sur les réfugiés, le lancement du Groupe d’appui à la capacité d’asile et la présentation des engagements pris par différents États membres de l’Organisation lors du premier Forum mondial sur les réfugiés, qui s’est tenu à Genève en décembre 2019, notamment en ce qui concerne le renforcement des capacités d’asile et de protection, la responsabilité partagée et les solutions durables,</w:t>
      </w:r>
    </w:p>
    <w:p w14:paraId="0A6BACCC" w14:textId="77777777" w:rsidR="000A6BE0" w:rsidRPr="0026653F" w:rsidRDefault="000A6BE0" w:rsidP="00C04774">
      <w:pPr>
        <w:suppressAutoHyphens/>
        <w:autoSpaceDE w:val="0"/>
        <w:autoSpaceDN w:val="0"/>
        <w:adjustRightInd w:val="0"/>
        <w:rPr>
          <w:bCs/>
          <w:color w:val="000000" w:themeColor="text1"/>
          <w:szCs w:val="22"/>
          <w:lang w:val="fr-FR" w:eastAsia="es-MX"/>
        </w:rPr>
      </w:pPr>
    </w:p>
    <w:p w14:paraId="5FD0C495" w14:textId="18A219AC" w:rsidR="000A6BE0" w:rsidRPr="0026653F" w:rsidRDefault="000A6BE0" w:rsidP="00C04774">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 xml:space="preserve">RAPPELANT les résolutions AG/RES. 2928 (XLVIII-O/18) et AG/RES. 2941 (XLIX-O/19), qui font référence au Cadre intégral régional pour la protection et les solutions (MIRPS), lequel est à présent composé du Belize, du Costa Rica, d’El Salvador, du Guatemala, du Honduras, du Mexique et du Panama et est considéré dans les 100 points de Brasilia comme une initiative sous-régionale d’avant-garde et dynamique qui suppose une application pratique du Cadre de réponse globale pour les réfugiés et contribue au Pacte mondial sur les réfugiés ; et prenant note de la Déclaration de Mexico sur la protection internationale, la responsabilité partagée et les actions de solidarité régionale dans les pays du MIRPS, adoptée lors de la deuxième réunion annuelle du </w:t>
      </w:r>
      <w:r w:rsidR="008527F9" w:rsidRPr="0026653F">
        <w:rPr>
          <w:bCs/>
          <w:color w:val="000000" w:themeColor="text1"/>
          <w:szCs w:val="22"/>
          <w:lang w:val="fr-FR" w:eastAsia="es-MX"/>
        </w:rPr>
        <w:t>MIRPS</w:t>
      </w:r>
      <w:r w:rsidRPr="0026653F">
        <w:rPr>
          <w:bCs/>
          <w:color w:val="000000" w:themeColor="text1"/>
          <w:szCs w:val="22"/>
          <w:lang w:val="fr-FR" w:eastAsia="es-MX"/>
        </w:rPr>
        <w:t xml:space="preserve">, tenue le 8 novembre 2019, ainsi </w:t>
      </w:r>
      <w:r w:rsidRPr="0026653F">
        <w:rPr>
          <w:bCs/>
          <w:color w:val="000000" w:themeColor="text1"/>
          <w:szCs w:val="22"/>
          <w:lang w:val="fr-FR" w:eastAsia="es-MX"/>
        </w:rPr>
        <w:lastRenderedPageBreak/>
        <w:t xml:space="preserve">que de la présentation du deuxième rapport </w:t>
      </w:r>
      <w:r w:rsidR="000E213C" w:rsidRPr="0026653F">
        <w:rPr>
          <w:bCs/>
          <w:color w:val="000000" w:themeColor="text1"/>
          <w:szCs w:val="22"/>
          <w:lang w:val="fr-FR" w:eastAsia="es-MX"/>
        </w:rPr>
        <w:t xml:space="preserve">annuel </w:t>
      </w:r>
      <w:r w:rsidRPr="0026653F">
        <w:rPr>
          <w:bCs/>
          <w:color w:val="000000" w:themeColor="text1"/>
          <w:szCs w:val="22"/>
          <w:lang w:val="fr-FR" w:eastAsia="es-MX"/>
        </w:rPr>
        <w:t>de suivi du MIRPS</w:t>
      </w:r>
      <w:r w:rsidR="00EE444E" w:rsidRPr="0026653F">
        <w:rPr>
          <w:bCs/>
          <w:color w:val="000000" w:themeColor="text1"/>
          <w:szCs w:val="22"/>
          <w:lang w:val="fr-FR" w:eastAsia="es-MX"/>
        </w:rPr>
        <w:t xml:space="preserve"> 2019</w:t>
      </w:r>
      <w:r w:rsidRPr="0026653F">
        <w:rPr>
          <w:bCs/>
          <w:color w:val="000000" w:themeColor="text1"/>
          <w:szCs w:val="22"/>
          <w:lang w:val="fr-FR" w:eastAsia="es-MX"/>
        </w:rPr>
        <w:t xml:space="preserve"> lors du premier Forum mondial sur les réfugiés,</w:t>
      </w:r>
    </w:p>
    <w:p w14:paraId="671263FD" w14:textId="77777777" w:rsidR="000A6BE0" w:rsidRPr="00C04774" w:rsidRDefault="000A6BE0" w:rsidP="00C618DD">
      <w:pPr>
        <w:suppressAutoHyphens/>
        <w:autoSpaceDE w:val="0"/>
        <w:autoSpaceDN w:val="0"/>
        <w:adjustRightInd w:val="0"/>
        <w:rPr>
          <w:bCs/>
          <w:color w:val="000000" w:themeColor="text1"/>
          <w:szCs w:val="22"/>
          <w:lang w:val="fr-FR" w:eastAsia="es-MX"/>
        </w:rPr>
      </w:pPr>
    </w:p>
    <w:p w14:paraId="4792D546" w14:textId="74F28BFC"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 xml:space="preserve">SOULIGNANT que la région </w:t>
      </w:r>
      <w:r w:rsidR="005D59A7" w:rsidRPr="0026653F">
        <w:rPr>
          <w:bCs/>
          <w:color w:val="000000" w:themeColor="text1"/>
          <w:szCs w:val="22"/>
          <w:lang w:val="fr-FR" w:eastAsia="es-MX"/>
        </w:rPr>
        <w:t xml:space="preserve">connaît </w:t>
      </w:r>
      <w:r w:rsidRPr="0026653F">
        <w:rPr>
          <w:bCs/>
          <w:color w:val="000000" w:themeColor="text1"/>
          <w:szCs w:val="22"/>
          <w:lang w:val="fr-FR" w:eastAsia="es-MX"/>
        </w:rPr>
        <w:t>des situations humanitaires sans précédent et que plus de 1 900 000 personnes avaient en instance des demandes de statut de réfugié à la fin de 2019</w:t>
      </w:r>
      <w:r w:rsidRPr="0026653F">
        <w:rPr>
          <w:rStyle w:val="FootnoteReference"/>
          <w:bCs/>
          <w:color w:val="000000" w:themeColor="text1"/>
          <w:szCs w:val="22"/>
          <w:u w:val="single"/>
          <w:vertAlign w:val="superscript"/>
          <w:lang w:val="fr-FR" w:eastAsia="es-MX"/>
        </w:rPr>
        <w:footnoteReference w:id="90"/>
      </w:r>
      <w:r w:rsidRPr="0026653F">
        <w:rPr>
          <w:bCs/>
          <w:color w:val="000000" w:themeColor="text1"/>
          <w:szCs w:val="22"/>
          <w:vertAlign w:val="superscript"/>
          <w:lang w:val="fr-FR" w:eastAsia="es-MX"/>
        </w:rPr>
        <w:t>/</w:t>
      </w:r>
      <w:r w:rsidRPr="0026653F">
        <w:rPr>
          <w:bCs/>
          <w:color w:val="000000" w:themeColor="text1"/>
          <w:szCs w:val="22"/>
          <w:lang w:val="fr-FR" w:eastAsia="es-MX"/>
        </w:rPr>
        <w:t xml:space="preserve">, </w:t>
      </w:r>
      <w:r w:rsidR="00C461E1" w:rsidRPr="0026653F">
        <w:rPr>
          <w:bCs/>
          <w:color w:val="000000" w:themeColor="text1"/>
          <w:szCs w:val="22"/>
          <w:lang w:val="fr-FR" w:eastAsia="es-MX"/>
        </w:rPr>
        <w:t xml:space="preserve">et </w:t>
      </w:r>
      <w:r w:rsidRPr="0026653F">
        <w:rPr>
          <w:bCs/>
          <w:color w:val="000000" w:themeColor="text1"/>
          <w:szCs w:val="22"/>
          <w:lang w:val="fr-FR" w:eastAsia="es-MX"/>
        </w:rPr>
        <w:t>qu</w:t>
      </w:r>
      <w:r w:rsidR="00C461E1" w:rsidRPr="0026653F">
        <w:rPr>
          <w:bCs/>
          <w:color w:val="000000" w:themeColor="text1"/>
          <w:szCs w:val="22"/>
          <w:lang w:val="fr-FR" w:eastAsia="es-MX"/>
        </w:rPr>
        <w:t xml:space="preserve">’il s’avère de ce fait </w:t>
      </w:r>
      <w:r w:rsidRPr="0026653F">
        <w:rPr>
          <w:bCs/>
          <w:color w:val="000000" w:themeColor="text1"/>
          <w:szCs w:val="22"/>
          <w:lang w:val="fr-FR" w:eastAsia="es-MX"/>
        </w:rPr>
        <w:t>urgent de concevoir des solutions innovantes et pragmatiques pour déterminer le statut de réfugié d’une manière conforme aux obligations des États en matière de droit international des réfugiés et pour renforcer les systèmes nationaux de détermination du statut de réfugié, face à des situations aggravées par la pandémie de COVID-19,</w:t>
      </w:r>
    </w:p>
    <w:p w14:paraId="670CBBA3"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6E875AEB" w14:textId="77777777" w:rsidR="000A6BE0" w:rsidRPr="0026653F" w:rsidRDefault="00F63B47" w:rsidP="00C618DD">
      <w:pPr>
        <w:suppressAutoHyphens/>
        <w:autoSpaceDE w:val="0"/>
        <w:autoSpaceDN w:val="0"/>
        <w:adjustRightInd w:val="0"/>
        <w:rPr>
          <w:bCs/>
          <w:color w:val="000000" w:themeColor="text1"/>
          <w:szCs w:val="22"/>
          <w:lang w:val="fr-FR" w:eastAsia="es-MX"/>
        </w:rPr>
      </w:pPr>
      <w:r w:rsidRPr="0026653F">
        <w:rPr>
          <w:bCs/>
          <w:color w:val="000000" w:themeColor="text1"/>
          <w:szCs w:val="22"/>
          <w:lang w:val="fr-FR" w:eastAsia="es-MX"/>
        </w:rPr>
        <w:t>DÉCIDE :</w:t>
      </w:r>
    </w:p>
    <w:p w14:paraId="59B7C921"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7AABD638" w14:textId="5933C04B"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1.</w:t>
      </w:r>
      <w:r w:rsidRPr="0026653F">
        <w:rPr>
          <w:bCs/>
          <w:color w:val="000000" w:themeColor="text1"/>
          <w:szCs w:val="22"/>
          <w:lang w:val="fr-FR" w:eastAsia="es-MX"/>
        </w:rPr>
        <w:tab/>
        <w:t>D’exhorter les États membres à poursuivre la mise en œuvre des programmes et des axes thématiques du Plan d’action d</w:t>
      </w:r>
      <w:r w:rsidR="00C461E1" w:rsidRPr="0026653F">
        <w:rPr>
          <w:bCs/>
          <w:color w:val="000000" w:themeColor="text1"/>
          <w:szCs w:val="22"/>
          <w:lang w:val="fr-FR" w:eastAsia="es-MX"/>
        </w:rPr>
        <w:t>u</w:t>
      </w:r>
      <w:r w:rsidRPr="0026653F">
        <w:rPr>
          <w:bCs/>
          <w:color w:val="000000" w:themeColor="text1"/>
          <w:szCs w:val="22"/>
          <w:lang w:val="fr-FR" w:eastAsia="es-MX"/>
        </w:rPr>
        <w:t xml:space="preserve"> Brésil et, avec le soutien du HCR et du Groupe d’appui à la capacité d’asile, le cas échéant, à continuer de renforcer leurs capacités nationales en matière d’asile afin de mieux répondre à l’afflux massif de personnes ayant besoin d’une protection internationale, dans les limites des ressources disponibles</w:t>
      </w:r>
      <w:r w:rsidR="00C461E1" w:rsidRPr="0026653F">
        <w:rPr>
          <w:bCs/>
          <w:color w:val="000000" w:themeColor="text1"/>
          <w:szCs w:val="22"/>
          <w:lang w:val="fr-FR" w:eastAsia="es-MX"/>
        </w:rPr>
        <w:t>,</w:t>
      </w:r>
      <w:r w:rsidRPr="0026653F">
        <w:rPr>
          <w:bCs/>
          <w:color w:val="000000" w:themeColor="text1"/>
          <w:szCs w:val="22"/>
          <w:lang w:val="fr-FR" w:eastAsia="es-MX"/>
        </w:rPr>
        <w:t xml:space="preserve"> et d’inviter les États membres concernés à mettre en œuvre les engagements présentés lors du premier Forum mondial sur les réfugiés.</w:t>
      </w:r>
    </w:p>
    <w:p w14:paraId="2D461D61"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75E1CF9A" w14:textId="3989A59B"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2.</w:t>
      </w:r>
      <w:r w:rsidRPr="0026653F">
        <w:rPr>
          <w:bCs/>
          <w:color w:val="000000" w:themeColor="text1"/>
          <w:szCs w:val="22"/>
          <w:lang w:val="fr-FR" w:eastAsia="es-MX"/>
        </w:rPr>
        <w:tab/>
        <w:t xml:space="preserve">De recommander aux États membres concernés de </w:t>
      </w:r>
      <w:r w:rsidR="00C461E1" w:rsidRPr="0026653F">
        <w:rPr>
          <w:bCs/>
          <w:color w:val="000000" w:themeColor="text1"/>
          <w:szCs w:val="22"/>
          <w:lang w:val="fr-FR" w:eastAsia="es-MX"/>
        </w:rPr>
        <w:t>mettre au point</w:t>
      </w:r>
      <w:r w:rsidRPr="0026653F">
        <w:rPr>
          <w:bCs/>
          <w:color w:val="000000" w:themeColor="text1"/>
          <w:szCs w:val="22"/>
          <w:lang w:val="fr-FR" w:eastAsia="es-MX"/>
        </w:rPr>
        <w:t xml:space="preserve"> de meilleures pratiques pour la détermination du statut de réfugié, </w:t>
      </w:r>
      <w:r w:rsidR="00C461E1" w:rsidRPr="0026653F">
        <w:rPr>
          <w:bCs/>
          <w:color w:val="000000" w:themeColor="text1"/>
          <w:szCs w:val="22"/>
          <w:lang w:val="fr-FR" w:eastAsia="es-MX"/>
        </w:rPr>
        <w:t>fondé</w:t>
      </w:r>
      <w:r w:rsidRPr="0026653F">
        <w:rPr>
          <w:bCs/>
          <w:color w:val="000000" w:themeColor="text1"/>
          <w:szCs w:val="22"/>
          <w:lang w:val="fr-FR" w:eastAsia="es-MX"/>
        </w:rPr>
        <w:t xml:space="preserve"> sur l’optimisation des mécanismes d’identification des besoins de protection internationale en fonction du profil de la personne, des risques et des vulnérabilités</w:t>
      </w:r>
      <w:r w:rsidR="00C461E1" w:rsidRPr="0026653F">
        <w:rPr>
          <w:bCs/>
          <w:color w:val="000000" w:themeColor="text1"/>
          <w:szCs w:val="22"/>
          <w:lang w:val="fr-FR" w:eastAsia="es-MX"/>
        </w:rPr>
        <w:t>, et de leur recommander d</w:t>
      </w:r>
      <w:r w:rsidRPr="0026653F">
        <w:rPr>
          <w:bCs/>
          <w:color w:val="000000" w:themeColor="text1"/>
          <w:szCs w:val="22"/>
          <w:lang w:val="fr-FR" w:eastAsia="es-MX"/>
        </w:rPr>
        <w:t>e renforcer les systèmes de transfert des cas, l’enregistrement biométrique et l</w:t>
      </w:r>
      <w:r w:rsidR="00796F9E" w:rsidRPr="0026653F">
        <w:rPr>
          <w:bCs/>
          <w:color w:val="000000" w:themeColor="text1"/>
          <w:szCs w:val="22"/>
          <w:lang w:val="fr-FR" w:eastAsia="es-MX"/>
        </w:rPr>
        <w:t xml:space="preserve">’informatisation du traitement des </w:t>
      </w:r>
      <w:r w:rsidRPr="0026653F">
        <w:rPr>
          <w:bCs/>
          <w:color w:val="000000" w:themeColor="text1"/>
          <w:szCs w:val="22"/>
          <w:lang w:val="fr-FR" w:eastAsia="es-MX"/>
        </w:rPr>
        <w:t>demande</w:t>
      </w:r>
      <w:r w:rsidR="00796F9E" w:rsidRPr="0026653F">
        <w:rPr>
          <w:bCs/>
          <w:color w:val="000000" w:themeColor="text1"/>
          <w:szCs w:val="22"/>
          <w:lang w:val="fr-FR" w:eastAsia="es-MX"/>
        </w:rPr>
        <w:t>s, et</w:t>
      </w:r>
      <w:r w:rsidRPr="0026653F">
        <w:rPr>
          <w:bCs/>
          <w:color w:val="000000" w:themeColor="text1"/>
          <w:szCs w:val="22"/>
          <w:lang w:val="fr-FR" w:eastAsia="es-MX"/>
        </w:rPr>
        <w:t xml:space="preserve"> d’établir des systèmes de triage et des procédures accélérées, simplifiées, fusionnées et spécialisées pour la détermination du statut de réfugié ou fondées sur la présomption en faveur de l’inclusion et la détermination de groupe, selon le cas</w:t>
      </w:r>
      <w:r w:rsidR="00796F9E" w:rsidRPr="0026653F">
        <w:rPr>
          <w:bCs/>
          <w:color w:val="000000" w:themeColor="text1"/>
          <w:szCs w:val="22"/>
          <w:lang w:val="fr-FR" w:eastAsia="es-MX"/>
        </w:rPr>
        <w:t>, enfin de</w:t>
      </w:r>
      <w:r w:rsidRPr="0026653F">
        <w:rPr>
          <w:bCs/>
          <w:color w:val="000000" w:themeColor="text1"/>
          <w:szCs w:val="22"/>
          <w:lang w:val="fr-FR" w:eastAsia="es-MX"/>
        </w:rPr>
        <w:t xml:space="preserve"> promouvoir l’identité numérique.</w:t>
      </w:r>
    </w:p>
    <w:p w14:paraId="72E63E14"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05E87E47" w14:textId="70A2FF3A"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3.</w:t>
      </w:r>
      <w:r w:rsidRPr="0026653F">
        <w:rPr>
          <w:bCs/>
          <w:color w:val="000000" w:themeColor="text1"/>
          <w:szCs w:val="22"/>
          <w:lang w:val="fr-FR" w:eastAsia="es-MX"/>
        </w:rPr>
        <w:tab/>
        <w:t>De lancer un appel au HCR et à la communauté internationale, compte tenu de la surcharge des systèmes de détermination du statut de réfugié exacerbée par la pandémie de COVID-19, afin qu’ils soutiennent la conception, le financement et la mise en œuvre de projets nationaux visant à renforcer les systèmes d’asile nationaux dans les pays concernés, ainsi que des initiatives régionales visant à promouvoir la formation et l’échange de pratiques entre les commissions nationales pour les réfugiés, l’identification de profils de personnes en danger grâce à des informations sur les pays d’origine, l’échange de meilleures pratiques par le biais d’une plateforme numérique régionale ainsi que la diffusion d’un modèle régional pour la détermination du statut de réfugié.</w:t>
      </w:r>
    </w:p>
    <w:p w14:paraId="43412AC2"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36121A76" w14:textId="175B6BB9" w:rsidR="000A6BE0" w:rsidRPr="0026653F" w:rsidRDefault="000A6BE0" w:rsidP="00C618DD">
      <w:pPr>
        <w:suppressAutoHyphens/>
        <w:autoSpaceDE w:val="0"/>
        <w:autoSpaceDN w:val="0"/>
        <w:adjustRightInd w:val="0"/>
        <w:ind w:firstLine="720"/>
        <w:rPr>
          <w:color w:val="000000" w:themeColor="text1"/>
          <w:szCs w:val="22"/>
          <w:lang w:val="fr-FR" w:eastAsia="es-MX"/>
        </w:rPr>
      </w:pPr>
      <w:r w:rsidRPr="0026653F">
        <w:rPr>
          <w:bCs/>
          <w:color w:val="000000" w:themeColor="text1"/>
          <w:szCs w:val="22"/>
          <w:lang w:val="fr-FR" w:eastAsia="es-MX"/>
        </w:rPr>
        <w:t>4.</w:t>
      </w:r>
      <w:r w:rsidRPr="0026653F">
        <w:rPr>
          <w:bCs/>
          <w:color w:val="000000" w:themeColor="text1"/>
          <w:szCs w:val="22"/>
          <w:lang w:val="fr-FR" w:eastAsia="es-MX"/>
        </w:rPr>
        <w:tab/>
      </w:r>
      <w:r w:rsidR="00DB37A6" w:rsidRPr="0026653F">
        <w:rPr>
          <w:bCs/>
          <w:color w:val="000000" w:themeColor="text1"/>
          <w:szCs w:val="22"/>
          <w:lang w:val="fr-FR" w:eastAsia="es-MX"/>
        </w:rPr>
        <w:t xml:space="preserve">D’encourager, le cas échéant, l’actualisation des </w:t>
      </w:r>
      <w:r w:rsidR="00796F9E" w:rsidRPr="0026653F">
        <w:rPr>
          <w:bCs/>
          <w:color w:val="000000" w:themeColor="text1"/>
          <w:szCs w:val="22"/>
          <w:lang w:val="fr-FR" w:eastAsia="es-MX"/>
        </w:rPr>
        <w:t>normes</w:t>
      </w:r>
      <w:r w:rsidR="00DB37A6" w:rsidRPr="0026653F">
        <w:rPr>
          <w:bCs/>
          <w:color w:val="000000" w:themeColor="text1"/>
          <w:szCs w:val="22"/>
          <w:lang w:val="fr-FR" w:eastAsia="es-MX"/>
        </w:rPr>
        <w:t xml:space="preserve"> nationales, en tenant compte des expériences et des pratiques optimales mises en œuvre par les États membres en matière de prévention, de protection et de solutions durables pour les personnes ayant besoin d’une protection internationale, notamment le MIRPS, avec le soutien et la collaboration technique du Secrétariat général de l’</w:t>
      </w:r>
      <w:r w:rsidR="000E213C" w:rsidRPr="0026653F">
        <w:rPr>
          <w:bCs/>
          <w:color w:val="000000" w:themeColor="text1"/>
          <w:szCs w:val="22"/>
          <w:lang w:val="fr-FR" w:eastAsia="es-MX"/>
        </w:rPr>
        <w:t>O</w:t>
      </w:r>
      <w:r w:rsidR="00EF74FD" w:rsidRPr="0026653F">
        <w:rPr>
          <w:bCs/>
          <w:color w:val="000000" w:themeColor="text1"/>
          <w:szCs w:val="22"/>
          <w:lang w:val="fr-FR" w:eastAsia="es-MX"/>
        </w:rPr>
        <w:t>EA</w:t>
      </w:r>
      <w:r w:rsidR="00DB37A6" w:rsidRPr="0026653F">
        <w:rPr>
          <w:bCs/>
          <w:color w:val="000000" w:themeColor="text1"/>
          <w:szCs w:val="22"/>
          <w:lang w:val="fr-FR" w:eastAsia="es-MX"/>
        </w:rPr>
        <w:t xml:space="preserve"> et du H</w:t>
      </w:r>
      <w:r w:rsidR="00796F9E" w:rsidRPr="0026653F">
        <w:rPr>
          <w:bCs/>
          <w:color w:val="000000" w:themeColor="text1"/>
          <w:szCs w:val="22"/>
          <w:lang w:val="fr-FR" w:eastAsia="es-MX"/>
        </w:rPr>
        <w:t xml:space="preserve">CR, </w:t>
      </w:r>
      <w:r w:rsidR="00DB37A6" w:rsidRPr="0026653F">
        <w:rPr>
          <w:bCs/>
          <w:color w:val="000000" w:themeColor="text1"/>
          <w:szCs w:val="22"/>
          <w:lang w:val="fr-FR" w:eastAsia="es-MX"/>
        </w:rPr>
        <w:t>ainsi que la collaboration en vue du développement de mécanismes de solidarité internationale, de coopération régionale et de responsabilité partagée, avec la participation de tous les acteurs concernés</w:t>
      </w:r>
      <w:r w:rsidR="00796F9E" w:rsidRPr="0026653F">
        <w:rPr>
          <w:bCs/>
          <w:color w:val="000000" w:themeColor="text1"/>
          <w:szCs w:val="22"/>
          <w:lang w:val="fr-FR" w:eastAsia="es-MX"/>
        </w:rPr>
        <w:t xml:space="preserve">, </w:t>
      </w:r>
      <w:r w:rsidR="00DB37A6" w:rsidRPr="0026653F">
        <w:rPr>
          <w:bCs/>
          <w:color w:val="000000" w:themeColor="text1"/>
          <w:szCs w:val="22"/>
          <w:lang w:val="fr-FR" w:eastAsia="es-MX"/>
        </w:rPr>
        <w:t>et de charger la C</w:t>
      </w:r>
      <w:r w:rsidR="00796F9E" w:rsidRPr="0026653F">
        <w:rPr>
          <w:bCs/>
          <w:color w:val="000000" w:themeColor="text1"/>
          <w:szCs w:val="22"/>
          <w:lang w:val="fr-FR" w:eastAsia="es-MX"/>
        </w:rPr>
        <w:t xml:space="preserve">AJP </w:t>
      </w:r>
      <w:r w:rsidR="00DB37A6" w:rsidRPr="0026653F">
        <w:rPr>
          <w:bCs/>
          <w:color w:val="000000" w:themeColor="text1"/>
          <w:szCs w:val="22"/>
          <w:lang w:val="fr-FR" w:eastAsia="es-MX"/>
        </w:rPr>
        <w:t>de donner suite à la présente résolution et d</w:t>
      </w:r>
      <w:r w:rsidR="00796F9E" w:rsidRPr="0026653F">
        <w:rPr>
          <w:bCs/>
          <w:color w:val="000000" w:themeColor="text1"/>
          <w:szCs w:val="22"/>
          <w:lang w:val="fr-FR" w:eastAsia="es-MX"/>
        </w:rPr>
        <w:t>e</w:t>
      </w:r>
      <w:r w:rsidR="00DB37A6" w:rsidRPr="0026653F">
        <w:rPr>
          <w:bCs/>
          <w:color w:val="000000" w:themeColor="text1"/>
          <w:szCs w:val="22"/>
          <w:lang w:val="fr-FR" w:eastAsia="es-MX"/>
        </w:rPr>
        <w:t xml:space="preserve"> faire rapport chaque année </w:t>
      </w:r>
      <w:r w:rsidR="00796F9E" w:rsidRPr="0026653F">
        <w:rPr>
          <w:bCs/>
          <w:color w:val="000000" w:themeColor="text1"/>
          <w:szCs w:val="22"/>
          <w:lang w:val="fr-FR" w:eastAsia="es-MX"/>
        </w:rPr>
        <w:t>à ce sujet</w:t>
      </w:r>
      <w:r w:rsidR="00DB37A6" w:rsidRPr="0026653F">
        <w:rPr>
          <w:bCs/>
          <w:color w:val="000000" w:themeColor="text1"/>
          <w:szCs w:val="22"/>
          <w:lang w:val="fr-FR" w:eastAsia="es-MX"/>
        </w:rPr>
        <w:t>.</w:t>
      </w:r>
    </w:p>
    <w:p w14:paraId="6F8DED5E" w14:textId="77777777" w:rsidR="000A6BE0" w:rsidRPr="0026653F" w:rsidRDefault="000A6BE0" w:rsidP="00C618DD">
      <w:pPr>
        <w:suppressAutoHyphens/>
        <w:autoSpaceDE w:val="0"/>
        <w:autoSpaceDN w:val="0"/>
        <w:adjustRightInd w:val="0"/>
        <w:rPr>
          <w:color w:val="000000" w:themeColor="text1"/>
          <w:szCs w:val="22"/>
          <w:lang w:val="fr-FR" w:eastAsia="es-MX"/>
        </w:rPr>
      </w:pPr>
    </w:p>
    <w:p w14:paraId="32D81A72" w14:textId="57736118"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color w:val="000000" w:themeColor="text1"/>
          <w:szCs w:val="22"/>
          <w:lang w:val="fr-FR" w:eastAsia="es-MX"/>
        </w:rPr>
        <w:t>5.</w:t>
      </w:r>
      <w:r w:rsidRPr="0026653F">
        <w:rPr>
          <w:color w:val="000000" w:themeColor="text1"/>
          <w:szCs w:val="22"/>
          <w:lang w:val="fr-FR" w:eastAsia="es-MX"/>
        </w:rPr>
        <w:tab/>
        <w:t>De souligner l’adoption</w:t>
      </w:r>
      <w:r w:rsidRPr="0026653F">
        <w:rPr>
          <w:bCs/>
          <w:color w:val="000000" w:themeColor="text1"/>
          <w:szCs w:val="22"/>
          <w:lang w:val="fr-FR" w:eastAsia="es-MX"/>
        </w:rPr>
        <w:t xml:space="preserve"> de la résolution CP/RES. 1154 (2286/20) établissant le Fonds du Cadre intégral régional pour la protection et les solutions</w:t>
      </w:r>
      <w:r w:rsidR="000E213C" w:rsidRPr="0026653F">
        <w:rPr>
          <w:bCs/>
          <w:color w:val="000000" w:themeColor="text1"/>
          <w:szCs w:val="22"/>
          <w:lang w:val="fr-FR" w:eastAsia="es-MX"/>
        </w:rPr>
        <w:t xml:space="preserve"> </w:t>
      </w:r>
      <w:r w:rsidR="00EF74FD" w:rsidRPr="0026653F">
        <w:rPr>
          <w:bCs/>
          <w:color w:val="000000" w:themeColor="text1"/>
          <w:szCs w:val="22"/>
          <w:lang w:val="fr-FR" w:eastAsia="es-MX"/>
        </w:rPr>
        <w:t xml:space="preserve">(MIRPS) </w:t>
      </w:r>
      <w:r w:rsidRPr="0026653F">
        <w:rPr>
          <w:bCs/>
          <w:color w:val="000000" w:themeColor="text1"/>
          <w:szCs w:val="22"/>
          <w:lang w:val="fr-FR" w:eastAsia="es-MX"/>
        </w:rPr>
        <w:t>et le règlement régissant son fonctionnement, et d’exhorter les États membres, les observateurs permanents et les autres donateurs à y verser des contributions volontaire</w:t>
      </w:r>
      <w:r w:rsidR="00796F9E" w:rsidRPr="0026653F">
        <w:rPr>
          <w:bCs/>
          <w:color w:val="000000" w:themeColor="text1"/>
          <w:szCs w:val="22"/>
          <w:lang w:val="fr-FR" w:eastAsia="es-MX"/>
        </w:rPr>
        <w:t>s</w:t>
      </w:r>
      <w:r w:rsidRPr="0026653F">
        <w:rPr>
          <w:bCs/>
          <w:color w:val="000000" w:themeColor="text1"/>
          <w:szCs w:val="22"/>
          <w:lang w:val="fr-FR" w:eastAsia="es-MX"/>
        </w:rPr>
        <w:t xml:space="preserve"> afin de soutenir les objectifs du MIRPS visant à accroître et à renforcer ses activités, ainsi que les mécanismes de coopération régionale à l’appui de la mise en œuvre du Pacte mondial sur les réfugiés.</w:t>
      </w:r>
    </w:p>
    <w:p w14:paraId="277B6573"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43EFC50B" w14:textId="77777777" w:rsidR="000A6BE0" w:rsidRPr="0026653F"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6.</w:t>
      </w:r>
      <w:r w:rsidRPr="0026653F">
        <w:rPr>
          <w:bCs/>
          <w:color w:val="000000" w:themeColor="text1"/>
          <w:szCs w:val="22"/>
          <w:lang w:val="fr-FR" w:eastAsia="es-MX"/>
        </w:rPr>
        <w:tab/>
        <w:t>De reconnaître la création de la Plateforme de soutien au MIRPS, en particulier l’engagement pris par l’Espagne d’assumer la présidence et de diriger les efforts de mobilisation de l’assistance financière et technique, du soutien politique, afin de favoriser la continuité, la prévisibilité et la durabilité du soutien aux objectifs nationaux et régionaux des pays qui participent au MIRPS.</w:t>
      </w:r>
    </w:p>
    <w:p w14:paraId="60670FC9"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6CD57539" w14:textId="17785B6B" w:rsidR="000A6BE0" w:rsidRPr="00767721" w:rsidRDefault="000A6BE0" w:rsidP="00C618DD">
      <w:pPr>
        <w:suppressAutoHyphens/>
        <w:autoSpaceDE w:val="0"/>
        <w:autoSpaceDN w:val="0"/>
        <w:adjustRightInd w:val="0"/>
        <w:ind w:firstLine="720"/>
        <w:rPr>
          <w:bCs/>
          <w:color w:val="000000" w:themeColor="text1"/>
          <w:szCs w:val="22"/>
          <w:lang w:val="fr-FR" w:eastAsia="es-MX"/>
        </w:rPr>
      </w:pPr>
      <w:r w:rsidRPr="0026653F">
        <w:rPr>
          <w:bCs/>
          <w:color w:val="000000" w:themeColor="text1"/>
          <w:szCs w:val="22"/>
          <w:lang w:val="fr-FR" w:eastAsia="es-MX"/>
        </w:rPr>
        <w:t>7.</w:t>
      </w:r>
      <w:r w:rsidRPr="0026653F">
        <w:rPr>
          <w:bCs/>
          <w:color w:val="000000" w:themeColor="text1"/>
          <w:szCs w:val="22"/>
          <w:lang w:val="fr-FR" w:eastAsia="es-MX"/>
        </w:rPr>
        <w:tab/>
        <w:t>De reconnaître que les États ont adopté des politiques et des mesures pour prévenir la propagation de la COVID-19, et de considérer que ce contexte représente un obstacle et un défi majeurs pour les États membres du MIRPS et les autres États de la région, car il peut sérieusement affecter la pleine jouissance des droits humains des demandeurs du statut de réfugié, des réfugiés, des rapatriés ayant besoin de protection ainsi que des personnes déplacées. Il est également essentiel de rechercher des mécanismes de mise en œuvre de mesures visant à prévenir et</w:t>
      </w:r>
      <w:r w:rsidRPr="0026653F">
        <w:rPr>
          <w:bCs/>
          <w:strike/>
          <w:color w:val="000000" w:themeColor="text1"/>
          <w:szCs w:val="22"/>
          <w:lang w:val="fr-FR" w:eastAsia="es-MX"/>
        </w:rPr>
        <w:t xml:space="preserve"> </w:t>
      </w:r>
      <w:r w:rsidRPr="0026653F">
        <w:rPr>
          <w:bCs/>
          <w:color w:val="000000" w:themeColor="text1"/>
          <w:szCs w:val="22"/>
          <w:lang w:val="fr-FR" w:eastAsia="es-MX"/>
        </w:rPr>
        <w:t>combattre la xénophobie et la stigmatisation des membres de cette population vulnérable, et de les inclure dans les politiques et les actions de prise en charge et d’assistance humanitaire durant la pandémie.</w:t>
      </w:r>
      <w:r w:rsidRPr="0026653F">
        <w:rPr>
          <w:rStyle w:val="FootnoteReference"/>
          <w:bCs/>
          <w:szCs w:val="22"/>
          <w:u w:val="single"/>
          <w:vertAlign w:val="superscript"/>
          <w:lang w:val="fr-FR" w:eastAsia="es-MX"/>
        </w:rPr>
        <w:footnoteReference w:id="91"/>
      </w:r>
      <w:r w:rsidRPr="0026653F">
        <w:rPr>
          <w:bCs/>
          <w:color w:val="000000" w:themeColor="text1"/>
          <w:szCs w:val="22"/>
          <w:vertAlign w:val="superscript"/>
          <w:lang w:val="fr-FR" w:eastAsia="es-MX"/>
        </w:rPr>
        <w:t>/</w:t>
      </w:r>
    </w:p>
    <w:p w14:paraId="53FEF86D" w14:textId="77777777" w:rsidR="000A6BE0" w:rsidRPr="0026653F" w:rsidRDefault="000A6BE0" w:rsidP="00C618DD">
      <w:pPr>
        <w:suppressAutoHyphens/>
        <w:autoSpaceDE w:val="0"/>
        <w:autoSpaceDN w:val="0"/>
        <w:adjustRightInd w:val="0"/>
        <w:rPr>
          <w:bCs/>
          <w:color w:val="000000" w:themeColor="text1"/>
          <w:szCs w:val="22"/>
          <w:lang w:val="fr-FR" w:eastAsia="es-MX"/>
        </w:rPr>
      </w:pPr>
    </w:p>
    <w:p w14:paraId="778D5D03" w14:textId="44C3D4DF" w:rsidR="000A6BE0" w:rsidRPr="0026653F" w:rsidRDefault="000A6BE0" w:rsidP="00C618DD">
      <w:pPr>
        <w:suppressAutoHyphens/>
        <w:ind w:firstLine="720"/>
        <w:rPr>
          <w:bCs/>
          <w:szCs w:val="22"/>
          <w:lang w:val="fr-FR"/>
        </w:rPr>
      </w:pPr>
      <w:r w:rsidRPr="0026653F">
        <w:rPr>
          <w:bCs/>
          <w:color w:val="000000" w:themeColor="text1"/>
          <w:szCs w:val="22"/>
          <w:lang w:val="fr-FR" w:eastAsia="es-MX"/>
        </w:rPr>
        <w:t>8.</w:t>
      </w:r>
      <w:r w:rsidRPr="0026653F">
        <w:rPr>
          <w:bCs/>
          <w:color w:val="000000" w:themeColor="text1"/>
          <w:szCs w:val="22"/>
          <w:lang w:val="fr-FR" w:eastAsia="es-MX"/>
        </w:rPr>
        <w:tab/>
        <w:t>D’inviter les États membres à fournir une aide humanitaire et à rechercher et adopter des mesures de protection, ainsi que des solutions durables aux multiples problèmes qui touchent les personnes ayant besoin d’une protection internationale et qui se sont aggravés en raison de la COVID-19, ce qui exacerbe la situation de vulnérabilité de ces personnes.</w:t>
      </w:r>
    </w:p>
    <w:p w14:paraId="0536401E" w14:textId="77777777" w:rsidR="000A6BE0" w:rsidRPr="0026653F" w:rsidRDefault="000A6BE0" w:rsidP="00C618DD">
      <w:pPr>
        <w:suppressAutoHyphens/>
        <w:rPr>
          <w:szCs w:val="22"/>
          <w:lang w:val="fr-FR"/>
        </w:rPr>
      </w:pPr>
    </w:p>
    <w:p w14:paraId="0D46747A" w14:textId="27CA3CDD" w:rsidR="000A6BE0" w:rsidRPr="0026653F" w:rsidRDefault="000A6BE0" w:rsidP="00C618DD">
      <w:pPr>
        <w:suppressAutoHyphens/>
        <w:rPr>
          <w:szCs w:val="22"/>
          <w:lang w:val="fr-FR"/>
        </w:rPr>
      </w:pPr>
      <w:r w:rsidRPr="0026653F">
        <w:rPr>
          <w:szCs w:val="22"/>
          <w:lang w:val="fr-FR"/>
        </w:rPr>
        <w:t>xviii.</w:t>
      </w:r>
      <w:r w:rsidRPr="0026653F">
        <w:rPr>
          <w:szCs w:val="22"/>
          <w:lang w:val="fr-FR"/>
        </w:rPr>
        <w:tab/>
      </w:r>
      <w:r w:rsidRPr="0026653F">
        <w:rPr>
          <w:szCs w:val="22"/>
          <w:u w:val="single"/>
          <w:lang w:val="fr-FR"/>
        </w:rPr>
        <w:t>Suivi des recommandations de la Commission interaméricaine des droits de l’homme</w:t>
      </w:r>
    </w:p>
    <w:p w14:paraId="62EF1AED" w14:textId="77777777" w:rsidR="000A6BE0" w:rsidRPr="0026653F" w:rsidRDefault="000A6BE0" w:rsidP="00C618DD">
      <w:pPr>
        <w:suppressAutoHyphens/>
        <w:rPr>
          <w:szCs w:val="22"/>
          <w:shd w:val="clear" w:color="auto" w:fill="FFFFFF"/>
          <w:lang w:val="fr-FR"/>
        </w:rPr>
      </w:pPr>
    </w:p>
    <w:p w14:paraId="09E8CF31" w14:textId="2B88E773" w:rsidR="000A6BE0" w:rsidRPr="0026653F" w:rsidRDefault="000A6BE0" w:rsidP="00C618DD">
      <w:pPr>
        <w:suppressAutoHyphens/>
        <w:ind w:firstLine="706"/>
        <w:rPr>
          <w:bCs/>
          <w:szCs w:val="22"/>
          <w:lang w:val="fr-FR"/>
        </w:rPr>
      </w:pPr>
      <w:r w:rsidRPr="0026653F">
        <w:rPr>
          <w:bCs/>
          <w:szCs w:val="22"/>
          <w:shd w:val="clear" w:color="auto" w:fill="FFFFFF"/>
          <w:lang w:val="fr-FR"/>
        </w:rPr>
        <w:t xml:space="preserve">TENANT COMPTE du fait que, le 10 juin 2020, la CIDH, en coopération avec le Paraguay, a mis à la disposition du public en général le </w:t>
      </w:r>
      <w:bookmarkStart w:id="63" w:name="_Hlk65570361"/>
      <w:r w:rsidRPr="0026653F">
        <w:rPr>
          <w:bCs/>
          <w:szCs w:val="22"/>
          <w:shd w:val="clear" w:color="auto" w:fill="FFFFFF"/>
          <w:lang w:val="fr-FR"/>
        </w:rPr>
        <w:t xml:space="preserve">Système interaméricain de </w:t>
      </w:r>
      <w:r w:rsidR="00796F9E" w:rsidRPr="0026653F">
        <w:rPr>
          <w:bCs/>
          <w:szCs w:val="22"/>
          <w:shd w:val="clear" w:color="auto" w:fill="FFFFFF"/>
          <w:lang w:val="fr-FR"/>
        </w:rPr>
        <w:t>suivi</w:t>
      </w:r>
      <w:r w:rsidRPr="0026653F">
        <w:rPr>
          <w:bCs/>
          <w:szCs w:val="22"/>
          <w:shd w:val="clear" w:color="auto" w:fill="FFFFFF"/>
          <w:lang w:val="fr-FR"/>
        </w:rPr>
        <w:t xml:space="preserve"> des recommandations (SIMORE interaméricain), </w:t>
      </w:r>
      <w:bookmarkEnd w:id="63"/>
      <w:r w:rsidRPr="0026653F">
        <w:rPr>
          <w:bCs/>
          <w:szCs w:val="22"/>
          <w:shd w:val="clear" w:color="auto" w:fill="FFFFFF"/>
          <w:lang w:val="fr-FR"/>
        </w:rPr>
        <w:t>qui consiste en un système informatique en ligne qui compile les recommandations formulées par la CIDH à travers différents mécanismes et met en place une voie de communication pour les échanges et la réception d’informations relatives au suivi des recommandations dans les États membres,</w:t>
      </w:r>
    </w:p>
    <w:p w14:paraId="43613D27" w14:textId="77777777" w:rsidR="000A6BE0" w:rsidRPr="0026653F" w:rsidRDefault="000A6BE0" w:rsidP="00C618DD">
      <w:pPr>
        <w:suppressAutoHyphens/>
        <w:rPr>
          <w:bCs/>
          <w:caps/>
          <w:szCs w:val="22"/>
          <w:shd w:val="clear" w:color="auto" w:fill="FFFFFF"/>
          <w:lang w:val="fr-FR"/>
        </w:rPr>
      </w:pPr>
    </w:p>
    <w:p w14:paraId="0473DD69" w14:textId="148DB990" w:rsidR="000A6BE0" w:rsidRPr="0026653F" w:rsidRDefault="000A6BE0" w:rsidP="00C618DD">
      <w:pPr>
        <w:suppressAutoHyphens/>
        <w:rPr>
          <w:bCs/>
          <w:szCs w:val="22"/>
          <w:shd w:val="clear" w:color="auto" w:fill="FFFFFF"/>
          <w:lang w:val="fr-FR"/>
        </w:rPr>
      </w:pPr>
      <w:r w:rsidRPr="0026653F">
        <w:rPr>
          <w:bCs/>
          <w:caps/>
          <w:szCs w:val="22"/>
          <w:shd w:val="clear" w:color="auto" w:fill="FFFFFF"/>
          <w:lang w:val="fr-FR"/>
        </w:rPr>
        <w:t>Décide</w:t>
      </w:r>
      <w:r w:rsidRPr="0026653F">
        <w:rPr>
          <w:bCs/>
          <w:szCs w:val="22"/>
          <w:shd w:val="clear" w:color="auto" w:fill="FFFFFF"/>
          <w:lang w:val="fr-FR"/>
        </w:rPr>
        <w:t xml:space="preserve"> :</w:t>
      </w:r>
    </w:p>
    <w:p w14:paraId="6C01A942" w14:textId="77777777" w:rsidR="000A6BE0" w:rsidRPr="0026653F" w:rsidRDefault="000A6BE0" w:rsidP="00C618DD">
      <w:pPr>
        <w:suppressAutoHyphens/>
        <w:rPr>
          <w:bCs/>
          <w:szCs w:val="22"/>
          <w:shd w:val="clear" w:color="auto" w:fill="FFFFFF"/>
          <w:lang w:val="fr-FR"/>
        </w:rPr>
      </w:pPr>
    </w:p>
    <w:p w14:paraId="16C737F3" w14:textId="452D2BDD" w:rsidR="000A6BE0" w:rsidRPr="0026653F" w:rsidRDefault="000A6BE0" w:rsidP="00C618DD">
      <w:pPr>
        <w:suppressAutoHyphens/>
        <w:ind w:firstLine="706"/>
        <w:rPr>
          <w:bCs/>
          <w:szCs w:val="22"/>
          <w:lang w:val="fr-FR"/>
        </w:rPr>
      </w:pPr>
      <w:r w:rsidRPr="0026653F">
        <w:rPr>
          <w:bCs/>
          <w:szCs w:val="22"/>
          <w:shd w:val="clear" w:color="auto" w:fill="FFFFFF"/>
          <w:lang w:val="fr-FR"/>
        </w:rPr>
        <w:t xml:space="preserve">De prendre note de l’importance du Système interaméricain de </w:t>
      </w:r>
      <w:r w:rsidR="00C43733" w:rsidRPr="0026653F">
        <w:rPr>
          <w:bCs/>
          <w:szCs w:val="22"/>
          <w:shd w:val="clear" w:color="auto" w:fill="FFFFFF"/>
          <w:lang w:val="fr-FR"/>
        </w:rPr>
        <w:t>suivi</w:t>
      </w:r>
      <w:r w:rsidRPr="0026653F">
        <w:rPr>
          <w:bCs/>
          <w:szCs w:val="22"/>
          <w:shd w:val="clear" w:color="auto" w:fill="FFFFFF"/>
          <w:lang w:val="fr-FR"/>
        </w:rPr>
        <w:t xml:space="preserve"> des recommandations (SIMORE interaméricain) </w:t>
      </w:r>
      <w:r w:rsidR="00EF74FD" w:rsidRPr="0026653F">
        <w:rPr>
          <w:bCs/>
          <w:szCs w:val="22"/>
          <w:shd w:val="clear" w:color="auto" w:fill="FFFFFF"/>
          <w:lang w:val="fr-FR"/>
        </w:rPr>
        <w:t xml:space="preserve">de la CIDH </w:t>
      </w:r>
      <w:r w:rsidRPr="0026653F">
        <w:rPr>
          <w:bCs/>
          <w:szCs w:val="22"/>
          <w:lang w:val="fr-FR"/>
        </w:rPr>
        <w:t>pour le renforcement du suivi des recommandations visant à promouvoir les droits de la personne dans toute la région et d’encourager tous les acteurs intéressés à utiliser cet important outil.</w:t>
      </w:r>
    </w:p>
    <w:p w14:paraId="73BA1933" w14:textId="77777777" w:rsidR="000A6BE0" w:rsidRPr="0026653F" w:rsidRDefault="000A6BE0" w:rsidP="00C618DD">
      <w:pPr>
        <w:suppressAutoHyphens/>
        <w:rPr>
          <w:szCs w:val="22"/>
          <w:lang w:val="fr-FR"/>
        </w:rPr>
      </w:pPr>
    </w:p>
    <w:p w14:paraId="4565B502" w14:textId="77777777" w:rsidR="000A6BE0" w:rsidRPr="0026653F" w:rsidRDefault="000A6BE0" w:rsidP="00C618DD">
      <w:pPr>
        <w:suppressAutoHyphens/>
        <w:ind w:left="706" w:hanging="706"/>
        <w:rPr>
          <w:bCs/>
          <w:color w:val="000000" w:themeColor="text1"/>
          <w:szCs w:val="22"/>
          <w:u w:val="single"/>
          <w:lang w:val="fr-FR"/>
        </w:rPr>
      </w:pPr>
      <w:r w:rsidRPr="0026653F">
        <w:rPr>
          <w:szCs w:val="22"/>
          <w:lang w:val="fr-FR"/>
        </w:rPr>
        <w:lastRenderedPageBreak/>
        <w:t>xix.</w:t>
      </w:r>
      <w:r w:rsidRPr="0026653F">
        <w:rPr>
          <w:szCs w:val="22"/>
          <w:lang w:val="fr-FR"/>
        </w:rPr>
        <w:tab/>
      </w:r>
      <w:r w:rsidRPr="0026653F">
        <w:rPr>
          <w:bCs/>
          <w:color w:val="000000" w:themeColor="text1"/>
          <w:szCs w:val="22"/>
          <w:u w:val="single"/>
          <w:lang w:val="fr-FR"/>
        </w:rPr>
        <w:t>Droits de la personne et prévention de la discrimination et de la violence contre les personnes LGBTI</w:t>
      </w:r>
      <w:r w:rsidRPr="00C04774">
        <w:rPr>
          <w:bCs/>
          <w:color w:val="000000" w:themeColor="text1"/>
          <w:szCs w:val="22"/>
          <w:vertAlign w:val="superscript"/>
          <w:lang w:val="fr-FR"/>
        </w:rPr>
        <w:t xml:space="preserve"> </w:t>
      </w:r>
      <w:r w:rsidRPr="0026653F">
        <w:rPr>
          <w:rStyle w:val="FootnoteReference"/>
          <w:bCs/>
          <w:szCs w:val="22"/>
          <w:u w:val="single"/>
          <w:vertAlign w:val="superscript"/>
          <w:lang w:val="fr-FR"/>
        </w:rPr>
        <w:footnoteReference w:id="92"/>
      </w:r>
      <w:r w:rsidRPr="0026653F">
        <w:rPr>
          <w:bCs/>
          <w:color w:val="000000" w:themeColor="text1"/>
          <w:szCs w:val="22"/>
          <w:vertAlign w:val="superscript"/>
          <w:lang w:val="fr-FR"/>
        </w:rPr>
        <w:t>/</w:t>
      </w:r>
      <w:r w:rsidRPr="0026653F">
        <w:rPr>
          <w:rStyle w:val="FootnoteReference"/>
          <w:bCs/>
          <w:szCs w:val="22"/>
          <w:u w:val="single"/>
          <w:vertAlign w:val="superscript"/>
          <w:lang w:val="fr-FR"/>
        </w:rPr>
        <w:footnoteReference w:id="93"/>
      </w:r>
      <w:r w:rsidRPr="0026653F">
        <w:rPr>
          <w:bCs/>
          <w:color w:val="000000" w:themeColor="text1"/>
          <w:szCs w:val="22"/>
          <w:vertAlign w:val="superscript"/>
          <w:lang w:val="fr-FR"/>
        </w:rPr>
        <w:t>/</w:t>
      </w:r>
      <w:r w:rsidRPr="0026653F">
        <w:rPr>
          <w:rStyle w:val="FootnoteReference"/>
          <w:bCs/>
          <w:szCs w:val="22"/>
          <w:u w:val="single"/>
          <w:vertAlign w:val="superscript"/>
          <w:lang w:val="fr-FR"/>
        </w:rPr>
        <w:footnoteReference w:id="94"/>
      </w:r>
      <w:r w:rsidRPr="0026653F">
        <w:rPr>
          <w:bCs/>
          <w:color w:val="000000" w:themeColor="text1"/>
          <w:szCs w:val="22"/>
          <w:vertAlign w:val="superscript"/>
          <w:lang w:val="fr-FR"/>
        </w:rPr>
        <w:t>/</w:t>
      </w:r>
      <w:r w:rsidRPr="0026653F">
        <w:rPr>
          <w:rStyle w:val="FootnoteReference"/>
          <w:bCs/>
          <w:szCs w:val="22"/>
          <w:u w:val="single"/>
          <w:vertAlign w:val="superscript"/>
          <w:lang w:val="fr-FR"/>
        </w:rPr>
        <w:footnoteReference w:id="95"/>
      </w:r>
      <w:r w:rsidRPr="0026653F">
        <w:rPr>
          <w:bCs/>
          <w:color w:val="000000" w:themeColor="text1"/>
          <w:szCs w:val="22"/>
          <w:vertAlign w:val="superscript"/>
          <w:lang w:val="fr-FR"/>
        </w:rPr>
        <w:t>/</w:t>
      </w:r>
      <w:r w:rsidRPr="0026653F">
        <w:rPr>
          <w:rStyle w:val="FootnoteReference"/>
          <w:bCs/>
          <w:szCs w:val="22"/>
          <w:u w:val="single"/>
          <w:vertAlign w:val="superscript"/>
          <w:lang w:val="fr-FR"/>
        </w:rPr>
        <w:footnoteReference w:id="96"/>
      </w:r>
      <w:r w:rsidRPr="0026653F">
        <w:rPr>
          <w:bCs/>
          <w:color w:val="000000" w:themeColor="text1"/>
          <w:szCs w:val="22"/>
          <w:vertAlign w:val="superscript"/>
          <w:lang w:val="fr-FR"/>
        </w:rPr>
        <w:t>/</w:t>
      </w:r>
      <w:r w:rsidRPr="0026653F">
        <w:rPr>
          <w:rStyle w:val="FootnoteReference"/>
          <w:bCs/>
          <w:szCs w:val="22"/>
          <w:u w:val="single"/>
          <w:vertAlign w:val="superscript"/>
          <w:lang w:val="fr-FR"/>
        </w:rPr>
        <w:footnoteReference w:id="97"/>
      </w:r>
      <w:r w:rsidRPr="0026653F">
        <w:rPr>
          <w:bCs/>
          <w:color w:val="000000" w:themeColor="text1"/>
          <w:szCs w:val="22"/>
          <w:vertAlign w:val="superscript"/>
          <w:lang w:val="fr-FR"/>
        </w:rPr>
        <w:t>/</w:t>
      </w:r>
      <w:r w:rsidRPr="0026653F">
        <w:rPr>
          <w:rStyle w:val="FootnoteReference"/>
          <w:szCs w:val="22"/>
          <w:u w:val="single"/>
          <w:vertAlign w:val="superscript"/>
          <w:lang w:val="fr-FR"/>
        </w:rPr>
        <w:footnoteReference w:id="98"/>
      </w:r>
      <w:r w:rsidRPr="0026653F">
        <w:rPr>
          <w:szCs w:val="22"/>
          <w:vertAlign w:val="superscript"/>
          <w:lang w:val="fr-FR"/>
        </w:rPr>
        <w:t>/</w:t>
      </w:r>
      <w:r w:rsidRPr="0026653F">
        <w:rPr>
          <w:rStyle w:val="FootnoteReference"/>
          <w:szCs w:val="22"/>
          <w:u w:val="single"/>
          <w:vertAlign w:val="superscript"/>
          <w:lang w:val="fr-FR"/>
        </w:rPr>
        <w:footnoteReference w:id="99"/>
      </w:r>
      <w:r w:rsidRPr="0026653F">
        <w:rPr>
          <w:szCs w:val="22"/>
          <w:vertAlign w:val="superscript"/>
          <w:lang w:val="fr-FR"/>
        </w:rPr>
        <w:t>/</w:t>
      </w:r>
      <w:r w:rsidRPr="0026653F">
        <w:rPr>
          <w:rStyle w:val="FootnoteReference"/>
          <w:szCs w:val="22"/>
          <w:u w:val="single"/>
          <w:vertAlign w:val="superscript"/>
          <w:lang w:val="fr-FR"/>
        </w:rPr>
        <w:footnoteReference w:id="100"/>
      </w:r>
      <w:r w:rsidRPr="0026653F">
        <w:rPr>
          <w:szCs w:val="22"/>
          <w:vertAlign w:val="superscript"/>
          <w:lang w:val="fr-FR"/>
        </w:rPr>
        <w:t>/</w:t>
      </w:r>
    </w:p>
    <w:p w14:paraId="69DDF4C0" w14:textId="77777777" w:rsidR="000A6BE0" w:rsidRPr="0026653F" w:rsidRDefault="000A6BE0" w:rsidP="00C618DD">
      <w:pPr>
        <w:suppressAutoHyphens/>
        <w:rPr>
          <w:color w:val="000000" w:themeColor="text1"/>
          <w:szCs w:val="22"/>
          <w:lang w:val="fr-FR"/>
        </w:rPr>
      </w:pPr>
    </w:p>
    <w:p w14:paraId="03036097" w14:textId="53901C3D" w:rsidR="000A6BE0" w:rsidRPr="0026653F" w:rsidRDefault="000A6BE0" w:rsidP="00C618DD">
      <w:pPr>
        <w:suppressAutoHyphens/>
        <w:rPr>
          <w:i/>
          <w:iCs/>
          <w:color w:val="000000" w:themeColor="text1"/>
          <w:szCs w:val="22"/>
          <w:lang w:val="fr-FR"/>
        </w:rPr>
      </w:pPr>
      <w:r w:rsidRPr="0026653F">
        <w:rPr>
          <w:color w:val="000000" w:themeColor="text1"/>
          <w:szCs w:val="22"/>
          <w:lang w:val="fr-FR"/>
        </w:rPr>
        <w:tab/>
        <w:t xml:space="preserve">RECONNAISSANT les efforts déployés par les États membres dans la lutte contre la violence et la discrimination à l’égard de </w:t>
      </w:r>
      <w:r w:rsidRPr="0026653F">
        <w:rPr>
          <w:bCs/>
          <w:color w:val="000000" w:themeColor="text1"/>
          <w:szCs w:val="22"/>
          <w:lang w:val="fr-FR"/>
        </w:rPr>
        <w:t>tous les</w:t>
      </w:r>
      <w:r w:rsidRPr="0026653F">
        <w:rPr>
          <w:color w:val="000000" w:themeColor="text1"/>
          <w:szCs w:val="22"/>
          <w:lang w:val="fr-FR"/>
        </w:rPr>
        <w:t xml:space="preserve"> groupes en situation de vulnérabilité conformément à leurs obligations internationales en matière de droits de la personne et dans le cadre des plans de développement ainsi que des politiques publiques de chaque État,</w:t>
      </w:r>
    </w:p>
    <w:p w14:paraId="339D377B" w14:textId="77777777" w:rsidR="000A6BE0" w:rsidRPr="0026653F" w:rsidRDefault="000A6BE0" w:rsidP="00C618DD">
      <w:pPr>
        <w:suppressAutoHyphens/>
        <w:rPr>
          <w:color w:val="000000" w:themeColor="text1"/>
          <w:szCs w:val="22"/>
          <w:lang w:val="fr-FR"/>
        </w:rPr>
      </w:pPr>
    </w:p>
    <w:p w14:paraId="31662D1F" w14:textId="77777777" w:rsidR="000A6BE0" w:rsidRPr="0026653F" w:rsidRDefault="000A6BE0" w:rsidP="00C618DD">
      <w:pPr>
        <w:suppressAutoHyphens/>
        <w:rPr>
          <w:i/>
          <w:iCs/>
          <w:color w:val="000000" w:themeColor="text1"/>
          <w:szCs w:val="22"/>
          <w:lang w:val="fr-FR"/>
        </w:rPr>
      </w:pPr>
      <w:r w:rsidRPr="0026653F">
        <w:rPr>
          <w:color w:val="000000" w:themeColor="text1"/>
          <w:szCs w:val="22"/>
          <w:lang w:val="fr-FR"/>
        </w:rPr>
        <w:tab/>
        <w:t>PRENANT EN COMPTE que malgré ces efforts, les lesbiennes, gays, bisexuels, transgenres et intersexes (LGBTI) restent l’objet de violence et de discrimination basées sur leur orientation sexuelle, leur identité ou leur expression de genre et leurs caractéristiques sexuelles,</w:t>
      </w:r>
    </w:p>
    <w:p w14:paraId="37DDDB06" w14:textId="77777777" w:rsidR="000A6BE0" w:rsidRPr="0026653F" w:rsidRDefault="000A6BE0" w:rsidP="00C618DD">
      <w:pPr>
        <w:suppressAutoHyphens/>
        <w:rPr>
          <w:color w:val="365F91" w:themeColor="accent1" w:themeShade="BF"/>
          <w:szCs w:val="22"/>
          <w:lang w:val="fr-FR"/>
        </w:rPr>
      </w:pPr>
    </w:p>
    <w:p w14:paraId="55284A13" w14:textId="77777777" w:rsidR="000A6BE0" w:rsidRPr="0026653F" w:rsidRDefault="000A6BE0" w:rsidP="00C618DD">
      <w:pPr>
        <w:suppressAutoHyphens/>
        <w:rPr>
          <w:i/>
          <w:iCs/>
          <w:color w:val="000000" w:themeColor="text1"/>
          <w:szCs w:val="22"/>
          <w:lang w:val="fr-FR"/>
        </w:rPr>
      </w:pPr>
      <w:r w:rsidRPr="0026653F">
        <w:rPr>
          <w:szCs w:val="22"/>
          <w:lang w:val="fr-FR"/>
        </w:rPr>
        <w:tab/>
      </w:r>
      <w:r w:rsidRPr="0026653F">
        <w:rPr>
          <w:bCs/>
          <w:szCs w:val="22"/>
          <w:lang w:val="fr-FR"/>
        </w:rPr>
        <w:t>RECONNAISSANT que les personnes transgenres, et en particulier les femmes transgenres, se trouvent dans une situation particulièrement vulnérable en raison de la combinaison de plusieurs facteurs tels que les préjugés, l’exclusion, la discrimination et la violence dans les sphères publique et privée,</w:t>
      </w:r>
    </w:p>
    <w:p w14:paraId="05AE8D07" w14:textId="77777777" w:rsidR="000A6BE0" w:rsidRPr="0026653F" w:rsidRDefault="000A6BE0" w:rsidP="00C618DD">
      <w:pPr>
        <w:suppressAutoHyphens/>
        <w:ind w:right="-209"/>
        <w:contextualSpacing/>
        <w:rPr>
          <w:szCs w:val="22"/>
          <w:lang w:val="fr-FR"/>
        </w:rPr>
      </w:pPr>
    </w:p>
    <w:p w14:paraId="1464FC05" w14:textId="77777777" w:rsidR="000A6BE0" w:rsidRPr="0026653F" w:rsidRDefault="000A6BE0" w:rsidP="00C618DD">
      <w:pPr>
        <w:suppressAutoHyphens/>
        <w:rPr>
          <w:i/>
          <w:iCs/>
          <w:color w:val="000000" w:themeColor="text1"/>
          <w:szCs w:val="22"/>
          <w:lang w:val="fr-FR"/>
        </w:rPr>
      </w:pPr>
      <w:r w:rsidRPr="0026653F">
        <w:rPr>
          <w:b/>
          <w:szCs w:val="22"/>
          <w:lang w:val="fr-FR"/>
        </w:rPr>
        <w:tab/>
      </w:r>
      <w:r w:rsidRPr="0026653F">
        <w:rPr>
          <w:bCs/>
          <w:szCs w:val="22"/>
          <w:lang w:val="fr-FR"/>
        </w:rPr>
        <w:t>CONSIDÉRANT avec une préoccupation particulière que la violence à l’égard des enfants et des adolescents se manifeste tant dans la sphère publique que privée, pour diverses raisons, notamment du fait de la discrimination fondée sur l’orientation sexuelle et l’identité ou l’expression de genre,</w:t>
      </w:r>
    </w:p>
    <w:p w14:paraId="01250152" w14:textId="77777777" w:rsidR="000A6BE0" w:rsidRPr="0026653F" w:rsidRDefault="000A6BE0" w:rsidP="00C618DD">
      <w:pPr>
        <w:suppressAutoHyphens/>
        <w:ind w:right="-209"/>
        <w:contextualSpacing/>
        <w:rPr>
          <w:bCs/>
          <w:szCs w:val="22"/>
          <w:lang w:val="fr-FR"/>
        </w:rPr>
      </w:pPr>
    </w:p>
    <w:p w14:paraId="03B04E6E" w14:textId="77777777" w:rsidR="000A6BE0" w:rsidRPr="0026653F" w:rsidRDefault="000A6BE0" w:rsidP="00C618DD">
      <w:pPr>
        <w:suppressAutoHyphens/>
        <w:rPr>
          <w:i/>
          <w:iCs/>
          <w:color w:val="000000" w:themeColor="text1"/>
          <w:szCs w:val="22"/>
          <w:lang w:val="fr-FR"/>
        </w:rPr>
      </w:pPr>
      <w:r w:rsidRPr="0026653F">
        <w:rPr>
          <w:bCs/>
          <w:szCs w:val="22"/>
          <w:lang w:val="fr-FR"/>
        </w:rPr>
        <w:tab/>
        <w:t>NOTANT que les violations et abus particuliers des droits de la personne dont sont couramment victimes les personnes intersexes peuvent impliquer, entre autres, des interventions chirurgicales irréversibles visant l’attribution de sexe et la modification des organes génitaux, sans consentement éclairé ; la stérilisation non consentie ; la soumission excessive et/ou coercitive à des examens médicaux, des photographies et l’exposition des organes génitaux ; le manque d’accès aux informations médicales et aux dossiers cliniques ; les retards dans l’enregistrement des naissances ; le refus de services de santé ou d’assurance,</w:t>
      </w:r>
    </w:p>
    <w:p w14:paraId="1DBD88D0" w14:textId="77777777" w:rsidR="000A6BE0" w:rsidRPr="0026653F" w:rsidRDefault="000A6BE0" w:rsidP="00C618DD">
      <w:pPr>
        <w:suppressAutoHyphens/>
        <w:ind w:right="-209"/>
        <w:contextualSpacing/>
        <w:rPr>
          <w:bCs/>
          <w:szCs w:val="22"/>
          <w:lang w:val="fr-FR"/>
        </w:rPr>
      </w:pPr>
    </w:p>
    <w:p w14:paraId="0B36510A" w14:textId="477DB4F1" w:rsidR="000A6BE0" w:rsidRPr="0026653F" w:rsidRDefault="000A6BE0" w:rsidP="00C618DD">
      <w:pPr>
        <w:suppressAutoHyphens/>
        <w:rPr>
          <w:i/>
          <w:iCs/>
          <w:color w:val="000000" w:themeColor="text1"/>
          <w:szCs w:val="22"/>
          <w:lang w:val="fr-FR"/>
        </w:rPr>
      </w:pPr>
      <w:r w:rsidRPr="0026653F">
        <w:rPr>
          <w:bCs/>
          <w:szCs w:val="22"/>
          <w:lang w:val="fr-FR"/>
        </w:rPr>
        <w:tab/>
        <w:t xml:space="preserve">NOTANT </w:t>
      </w:r>
      <w:r w:rsidR="00E26E16" w:rsidRPr="0026653F">
        <w:rPr>
          <w:bCs/>
          <w:szCs w:val="22"/>
          <w:lang w:val="fr-FR"/>
        </w:rPr>
        <w:t xml:space="preserve">ÉGALEMENT </w:t>
      </w:r>
      <w:r w:rsidRPr="0026653F">
        <w:rPr>
          <w:bCs/>
          <w:szCs w:val="22"/>
          <w:lang w:val="fr-FR"/>
        </w:rPr>
        <w:t xml:space="preserve">le travail et les contributions du Bureau du Rapporteur de la CIDH sur les droits des personnes LGBTI, en particulier </w:t>
      </w:r>
      <w:r w:rsidR="00D91D3C" w:rsidRPr="0026653F">
        <w:rPr>
          <w:bCs/>
          <w:szCs w:val="22"/>
          <w:lang w:val="fr-FR"/>
        </w:rPr>
        <w:t xml:space="preserve">les </w:t>
      </w:r>
      <w:r w:rsidRPr="0026653F">
        <w:rPr>
          <w:bCs/>
          <w:szCs w:val="22"/>
          <w:lang w:val="fr-FR"/>
        </w:rPr>
        <w:t>rapport</w:t>
      </w:r>
      <w:r w:rsidR="00D91D3C" w:rsidRPr="0026653F">
        <w:rPr>
          <w:bCs/>
          <w:szCs w:val="22"/>
          <w:lang w:val="fr-FR"/>
        </w:rPr>
        <w:t xml:space="preserve">s </w:t>
      </w:r>
      <w:r w:rsidR="00474F34" w:rsidRPr="0026653F">
        <w:rPr>
          <w:bCs/>
          <w:szCs w:val="22"/>
          <w:lang w:val="fr-FR"/>
        </w:rPr>
        <w:t>« V</w:t>
      </w:r>
      <w:r w:rsidRPr="0026653F">
        <w:rPr>
          <w:bCs/>
          <w:szCs w:val="22"/>
          <w:lang w:val="fr-FR"/>
        </w:rPr>
        <w:t xml:space="preserve">iolence contre les personnes </w:t>
      </w:r>
      <w:r w:rsidRPr="0026653F">
        <w:rPr>
          <w:bCs/>
          <w:szCs w:val="22"/>
          <w:lang w:val="fr-FR"/>
        </w:rPr>
        <w:lastRenderedPageBreak/>
        <w:t>lesbiennes, gays, bisexuelles, transgenres et intersexes dans les Amériques</w:t>
      </w:r>
      <w:r w:rsidR="00474F34" w:rsidRPr="0026653F">
        <w:rPr>
          <w:bCs/>
          <w:szCs w:val="22"/>
          <w:lang w:val="fr-FR"/>
        </w:rPr>
        <w:t> »</w:t>
      </w:r>
      <w:r w:rsidRPr="0026653F">
        <w:rPr>
          <w:bCs/>
          <w:szCs w:val="22"/>
          <w:lang w:val="fr-FR"/>
        </w:rPr>
        <w:t>, de novembre 2015</w:t>
      </w:r>
      <w:r w:rsidR="00D91D3C" w:rsidRPr="0026653F">
        <w:rPr>
          <w:bCs/>
          <w:szCs w:val="22"/>
          <w:lang w:val="fr-FR"/>
        </w:rPr>
        <w:t xml:space="preserve"> et </w:t>
      </w:r>
      <w:r w:rsidR="00474F34" w:rsidRPr="0026653F">
        <w:rPr>
          <w:bCs/>
          <w:szCs w:val="22"/>
          <w:lang w:val="fr-FR"/>
        </w:rPr>
        <w:t>« P</w:t>
      </w:r>
      <w:r w:rsidRPr="0026653F">
        <w:rPr>
          <w:bCs/>
          <w:szCs w:val="22"/>
          <w:lang w:val="fr-FR"/>
        </w:rPr>
        <w:t xml:space="preserve">rogrès et défis </w:t>
      </w:r>
      <w:r w:rsidR="00474F34" w:rsidRPr="0026653F">
        <w:rPr>
          <w:bCs/>
          <w:szCs w:val="22"/>
          <w:lang w:val="fr-FR"/>
        </w:rPr>
        <w:t xml:space="preserve">vers </w:t>
      </w:r>
      <w:r w:rsidRPr="0026653F">
        <w:rPr>
          <w:bCs/>
          <w:szCs w:val="22"/>
          <w:lang w:val="fr-FR"/>
        </w:rPr>
        <w:t>la reconnaissance des droits des personnes LGBTI dans les Amériques</w:t>
      </w:r>
      <w:r w:rsidR="00474F34" w:rsidRPr="0026653F">
        <w:rPr>
          <w:bCs/>
          <w:szCs w:val="22"/>
          <w:lang w:val="fr-FR"/>
        </w:rPr>
        <w:t> »</w:t>
      </w:r>
      <w:r w:rsidRPr="0026653F">
        <w:rPr>
          <w:bCs/>
          <w:szCs w:val="22"/>
          <w:lang w:val="fr-FR"/>
        </w:rPr>
        <w:t xml:space="preserve">, de décembre 2018, </w:t>
      </w:r>
      <w:r w:rsidR="00D91D3C" w:rsidRPr="0026653F">
        <w:rPr>
          <w:bCs/>
          <w:szCs w:val="22"/>
          <w:lang w:val="fr-FR"/>
        </w:rPr>
        <w:t xml:space="preserve">ainsi que </w:t>
      </w:r>
      <w:r w:rsidRPr="0026653F">
        <w:rPr>
          <w:bCs/>
          <w:szCs w:val="22"/>
          <w:lang w:val="fr-FR"/>
        </w:rPr>
        <w:t xml:space="preserve">du Groupe de travail </w:t>
      </w:r>
      <w:r w:rsidR="00012937" w:rsidRPr="0026653F">
        <w:rPr>
          <w:bCs/>
          <w:szCs w:val="22"/>
          <w:lang w:val="fr-FR"/>
        </w:rPr>
        <w:t xml:space="preserve">chargé d’examiner les rapports nationaux évoqués dans le </w:t>
      </w:r>
      <w:r w:rsidRPr="0026653F">
        <w:rPr>
          <w:bCs/>
          <w:szCs w:val="22"/>
          <w:lang w:val="fr-FR"/>
        </w:rPr>
        <w:t xml:space="preserve">Protocole de San Salvador </w:t>
      </w:r>
      <w:r w:rsidR="00D91D3C" w:rsidRPr="0026653F">
        <w:rPr>
          <w:bCs/>
          <w:szCs w:val="22"/>
          <w:lang w:val="fr-FR"/>
        </w:rPr>
        <w:t>et</w:t>
      </w:r>
      <w:r w:rsidRPr="0026653F">
        <w:rPr>
          <w:bCs/>
          <w:szCs w:val="22"/>
          <w:lang w:val="fr-FR"/>
        </w:rPr>
        <w:t xml:space="preserve"> du Département de l’inclusion sociale du Secrétariat à l’accès aux droits et à l’équité,</w:t>
      </w:r>
    </w:p>
    <w:p w14:paraId="3DCFAD09" w14:textId="77777777" w:rsidR="000A6BE0" w:rsidRPr="0026653F" w:rsidRDefault="000A6BE0" w:rsidP="00C618DD">
      <w:pPr>
        <w:suppressAutoHyphens/>
        <w:ind w:right="-209"/>
        <w:contextualSpacing/>
        <w:rPr>
          <w:szCs w:val="22"/>
          <w:lang w:val="fr-FR"/>
        </w:rPr>
      </w:pPr>
    </w:p>
    <w:p w14:paraId="632DFD88" w14:textId="7294EF95" w:rsidR="000A6BE0" w:rsidRPr="0026653F" w:rsidRDefault="000A6BE0" w:rsidP="00C618DD">
      <w:pPr>
        <w:suppressAutoHyphens/>
        <w:rPr>
          <w:color w:val="000000" w:themeColor="text1"/>
          <w:szCs w:val="22"/>
          <w:lang w:val="fr-FR"/>
        </w:rPr>
      </w:pPr>
      <w:r w:rsidRPr="0026653F">
        <w:rPr>
          <w:szCs w:val="22"/>
          <w:lang w:val="fr-FR"/>
        </w:rPr>
        <w:tab/>
        <w:t xml:space="preserve">RÉAFFIRMANT la faculté qu’ont les États membres d’exécuter leurs politiques nationales conformément aux principes définis dans leurs constitutions respectives et au droit international </w:t>
      </w:r>
      <w:r w:rsidR="001711AC" w:rsidRPr="0026653F">
        <w:rPr>
          <w:szCs w:val="22"/>
          <w:lang w:val="fr-FR"/>
        </w:rPr>
        <w:t xml:space="preserve">relatif aux </w:t>
      </w:r>
      <w:r w:rsidRPr="0026653F">
        <w:rPr>
          <w:szCs w:val="22"/>
          <w:lang w:val="fr-FR"/>
        </w:rPr>
        <w:t xml:space="preserve">droits </w:t>
      </w:r>
      <w:r w:rsidR="001711AC" w:rsidRPr="0026653F">
        <w:rPr>
          <w:szCs w:val="22"/>
          <w:lang w:val="fr-FR"/>
        </w:rPr>
        <w:t>de la personne</w:t>
      </w:r>
      <w:r w:rsidRPr="0026653F">
        <w:rPr>
          <w:szCs w:val="22"/>
          <w:lang w:val="fr-FR"/>
        </w:rPr>
        <w:t xml:space="preserve"> universellement reconnu,</w:t>
      </w:r>
    </w:p>
    <w:p w14:paraId="76644908" w14:textId="77777777" w:rsidR="000A6BE0" w:rsidRPr="0026653F" w:rsidRDefault="000A6BE0" w:rsidP="00C618DD">
      <w:pPr>
        <w:suppressAutoHyphens/>
        <w:ind w:right="-209"/>
        <w:contextualSpacing/>
        <w:rPr>
          <w:szCs w:val="22"/>
          <w:lang w:val="fr-FR"/>
        </w:rPr>
      </w:pPr>
    </w:p>
    <w:p w14:paraId="0052B710" w14:textId="77777777" w:rsidR="000A6BE0" w:rsidRPr="0026653F" w:rsidRDefault="000A6BE0" w:rsidP="00C618DD">
      <w:pPr>
        <w:suppressAutoHyphens/>
        <w:ind w:right="-209"/>
        <w:contextualSpacing/>
        <w:rPr>
          <w:szCs w:val="22"/>
          <w:lang w:val="fr-FR"/>
        </w:rPr>
      </w:pPr>
      <w:r w:rsidRPr="0026653F">
        <w:rPr>
          <w:szCs w:val="22"/>
          <w:lang w:val="fr-FR"/>
        </w:rPr>
        <w:t>DÉCIDE :</w:t>
      </w:r>
    </w:p>
    <w:p w14:paraId="00459DBC" w14:textId="77777777" w:rsidR="000A6BE0" w:rsidRPr="0026653F" w:rsidRDefault="000A6BE0" w:rsidP="00C618DD">
      <w:pPr>
        <w:suppressAutoHyphens/>
        <w:rPr>
          <w:color w:val="000000"/>
          <w:szCs w:val="22"/>
          <w:lang w:val="fr-FR"/>
        </w:rPr>
      </w:pPr>
    </w:p>
    <w:p w14:paraId="09C0DC44" w14:textId="6D8069A2" w:rsidR="000A6BE0" w:rsidRPr="0026653F" w:rsidRDefault="000A6BE0" w:rsidP="00C618DD">
      <w:pPr>
        <w:suppressAutoHyphens/>
        <w:rPr>
          <w:i/>
          <w:iCs/>
          <w:color w:val="000000" w:themeColor="text1"/>
          <w:szCs w:val="22"/>
          <w:lang w:val="fr-FR"/>
        </w:rPr>
      </w:pPr>
      <w:r w:rsidRPr="0026653F">
        <w:rPr>
          <w:szCs w:val="22"/>
          <w:lang w:val="fr-FR"/>
        </w:rPr>
        <w:tab/>
        <w:t>1.</w:t>
      </w:r>
      <w:r w:rsidRPr="0026653F">
        <w:rPr>
          <w:szCs w:val="22"/>
          <w:lang w:val="fr-FR"/>
        </w:rPr>
        <w:tab/>
        <w:t>De condamner, conformément au droit international et à la Convention américaine relative aux droits de l’homme lorsqu’elle est applicable, les violations et abus des droits fondamentaux impliquant la discrimination</w:t>
      </w:r>
      <w:r w:rsidR="001711AC" w:rsidRPr="0026653F">
        <w:rPr>
          <w:szCs w:val="22"/>
          <w:lang w:val="fr-FR"/>
        </w:rPr>
        <w:t>, les discours</w:t>
      </w:r>
      <w:r w:rsidRPr="0026653F">
        <w:rPr>
          <w:szCs w:val="22"/>
          <w:lang w:val="fr-FR"/>
        </w:rPr>
        <w:t xml:space="preserve"> et les </w:t>
      </w:r>
      <w:r w:rsidR="001711AC" w:rsidRPr="0026653F">
        <w:rPr>
          <w:szCs w:val="22"/>
          <w:lang w:val="fr-FR"/>
        </w:rPr>
        <w:t xml:space="preserve">manifestations de haine, l’incitation et les actes </w:t>
      </w:r>
      <w:r w:rsidRPr="0026653F">
        <w:rPr>
          <w:szCs w:val="22"/>
          <w:lang w:val="fr-FR"/>
        </w:rPr>
        <w:t>de violence motivés par des préjugés à l’endroit de personnes du fait de leur orientation sexuelle, de leur identité ou expression de genre ou de leurs caractéristiques sexuelles</w:t>
      </w:r>
      <w:r w:rsidR="001711AC" w:rsidRPr="0026653F">
        <w:rPr>
          <w:szCs w:val="22"/>
          <w:lang w:val="fr-FR"/>
        </w:rPr>
        <w:t xml:space="preserve"> qui </w:t>
      </w:r>
      <w:r w:rsidRPr="0026653F">
        <w:rPr>
          <w:szCs w:val="22"/>
          <w:lang w:val="fr-FR"/>
        </w:rPr>
        <w:t>se produisent dans le continent américain.</w:t>
      </w:r>
    </w:p>
    <w:p w14:paraId="46CEC993" w14:textId="77777777" w:rsidR="000A6BE0" w:rsidRPr="0026653F" w:rsidRDefault="000A6BE0" w:rsidP="00C618DD">
      <w:pPr>
        <w:suppressAutoHyphens/>
        <w:rPr>
          <w:color w:val="000000"/>
          <w:szCs w:val="22"/>
          <w:lang w:val="fr-FR"/>
        </w:rPr>
      </w:pPr>
    </w:p>
    <w:p w14:paraId="0617D90A" w14:textId="138A540E" w:rsidR="000A6BE0" w:rsidRPr="0026653F" w:rsidRDefault="000A6BE0" w:rsidP="00C618DD">
      <w:pPr>
        <w:suppressAutoHyphens/>
        <w:rPr>
          <w:i/>
          <w:iCs/>
          <w:color w:val="000000" w:themeColor="text1"/>
          <w:szCs w:val="22"/>
          <w:lang w:val="fr-FR"/>
        </w:rPr>
      </w:pPr>
      <w:r w:rsidRPr="0026653F">
        <w:rPr>
          <w:szCs w:val="22"/>
          <w:lang w:val="fr-FR"/>
        </w:rPr>
        <w:tab/>
        <w:t>2.</w:t>
      </w:r>
      <w:r w:rsidRPr="0026653F">
        <w:rPr>
          <w:szCs w:val="22"/>
          <w:lang w:val="fr-FR"/>
        </w:rPr>
        <w:tab/>
      </w:r>
      <w:r w:rsidRPr="0026653F">
        <w:rPr>
          <w:bCs/>
          <w:szCs w:val="22"/>
          <w:lang w:val="fr-FR"/>
        </w:rPr>
        <w:t xml:space="preserve">D’exhorter les États membres à continuer de renforcer leurs institutions et leurs politiques publiques pour éliminer les obstacles auxquels </w:t>
      </w:r>
      <w:r w:rsidR="001711AC" w:rsidRPr="0026653F">
        <w:rPr>
          <w:bCs/>
          <w:szCs w:val="22"/>
          <w:lang w:val="fr-FR"/>
        </w:rPr>
        <w:t xml:space="preserve">font face </w:t>
      </w:r>
      <w:r w:rsidRPr="0026653F">
        <w:rPr>
          <w:bCs/>
          <w:szCs w:val="22"/>
          <w:lang w:val="fr-FR"/>
        </w:rPr>
        <w:t xml:space="preserve">les personnes </w:t>
      </w:r>
      <w:r w:rsidR="009466B6" w:rsidRPr="0026653F">
        <w:rPr>
          <w:color w:val="000000" w:themeColor="text1"/>
          <w:szCs w:val="22"/>
          <w:lang w:val="fr-FR"/>
        </w:rPr>
        <w:t>lesbiennes, gays, bisexuels, transgenres et intersexes</w:t>
      </w:r>
      <w:r w:rsidR="009466B6" w:rsidRPr="0026653F">
        <w:rPr>
          <w:bCs/>
          <w:szCs w:val="22"/>
          <w:lang w:val="fr-FR"/>
        </w:rPr>
        <w:t xml:space="preserve"> (</w:t>
      </w:r>
      <w:r w:rsidRPr="0026653F">
        <w:rPr>
          <w:bCs/>
          <w:szCs w:val="22"/>
          <w:lang w:val="fr-FR"/>
        </w:rPr>
        <w:t>LGBTI</w:t>
      </w:r>
      <w:r w:rsidR="009466B6" w:rsidRPr="0026653F">
        <w:rPr>
          <w:bCs/>
          <w:szCs w:val="22"/>
          <w:lang w:val="fr-FR"/>
        </w:rPr>
        <w:t>)</w:t>
      </w:r>
      <w:r w:rsidRPr="0026653F">
        <w:rPr>
          <w:bCs/>
          <w:szCs w:val="22"/>
          <w:lang w:val="fr-FR"/>
        </w:rPr>
        <w:t xml:space="preserve"> dans la jouissance des droits de la personne et des libertés fondamentales et à adopter des mesures visant à prévenir les actes de violence</w:t>
      </w:r>
      <w:r w:rsidRPr="0026653F">
        <w:rPr>
          <w:szCs w:val="22"/>
          <w:lang w:val="fr-FR"/>
        </w:rPr>
        <w:t xml:space="preserve"> et de discrimination contre les personnes en fonction de leur orientation sexuelle, leur identité ou expression de genre ou leurs caractéristiques sexuelles, à enquêter sur ces actes et à les sanctionner, et d’assurer que les victimes de violence et de discrimination </w:t>
      </w:r>
      <w:r w:rsidR="001711AC" w:rsidRPr="0026653F">
        <w:rPr>
          <w:szCs w:val="22"/>
          <w:lang w:val="fr-FR"/>
        </w:rPr>
        <w:t>ont</w:t>
      </w:r>
      <w:r w:rsidRPr="0026653F">
        <w:rPr>
          <w:szCs w:val="22"/>
          <w:lang w:val="fr-FR"/>
        </w:rPr>
        <w:t xml:space="preserve"> accès à la justice dans des conditions d’égalité.</w:t>
      </w:r>
    </w:p>
    <w:p w14:paraId="5BEE0902" w14:textId="77777777" w:rsidR="000A6BE0" w:rsidRPr="0026653F" w:rsidRDefault="000A6BE0" w:rsidP="00C618DD">
      <w:pPr>
        <w:suppressAutoHyphens/>
        <w:rPr>
          <w:szCs w:val="22"/>
          <w:lang w:val="fr-FR"/>
        </w:rPr>
      </w:pPr>
    </w:p>
    <w:p w14:paraId="55DC6A4A" w14:textId="380CD509" w:rsidR="000A6BE0" w:rsidRPr="0026653F" w:rsidRDefault="000A6BE0" w:rsidP="00C618DD">
      <w:pPr>
        <w:suppressAutoHyphens/>
        <w:rPr>
          <w:i/>
          <w:iCs/>
          <w:color w:val="000000" w:themeColor="text1"/>
          <w:szCs w:val="22"/>
          <w:lang w:val="fr-FR"/>
        </w:rPr>
      </w:pPr>
      <w:r w:rsidRPr="0026653F">
        <w:rPr>
          <w:b/>
          <w:szCs w:val="22"/>
          <w:lang w:val="fr-FR"/>
        </w:rPr>
        <w:tab/>
      </w:r>
      <w:r w:rsidRPr="0026653F">
        <w:rPr>
          <w:bCs/>
          <w:szCs w:val="22"/>
          <w:lang w:val="fr-FR"/>
        </w:rPr>
        <w:t>3.</w:t>
      </w:r>
      <w:r w:rsidRPr="0026653F">
        <w:rPr>
          <w:b/>
          <w:szCs w:val="22"/>
          <w:lang w:val="fr-FR"/>
        </w:rPr>
        <w:tab/>
      </w:r>
      <w:r w:rsidR="00CF69F8" w:rsidRPr="0026653F">
        <w:rPr>
          <w:bCs/>
          <w:szCs w:val="22"/>
          <w:lang w:val="fr-FR"/>
        </w:rPr>
        <w:t>D’</w:t>
      </w:r>
      <w:r w:rsidR="00012937" w:rsidRPr="0026653F">
        <w:rPr>
          <w:bCs/>
          <w:szCs w:val="22"/>
          <w:lang w:val="fr-FR"/>
        </w:rPr>
        <w:t xml:space="preserve">inviter instamment </w:t>
      </w:r>
      <w:r w:rsidRPr="0026653F">
        <w:rPr>
          <w:bCs/>
          <w:szCs w:val="22"/>
          <w:lang w:val="fr-FR"/>
        </w:rPr>
        <w:t>les États membres à prendre des mesures urgentes pour promouvoir la pleine jouissance de tous les droits des personnes LGBTI, y compris l’égalité devant la loi, ainsi qu’à mettre en place des mécanismes institutionnels pour le soutien de leurs familles.</w:t>
      </w:r>
    </w:p>
    <w:p w14:paraId="03E68D8D" w14:textId="77777777" w:rsidR="000A6BE0" w:rsidRPr="0026653F" w:rsidRDefault="000A6BE0" w:rsidP="00C618DD">
      <w:pPr>
        <w:suppressAutoHyphens/>
        <w:rPr>
          <w:szCs w:val="22"/>
          <w:lang w:val="fr-FR"/>
        </w:rPr>
      </w:pPr>
    </w:p>
    <w:p w14:paraId="3ED10695" w14:textId="4163FBC2" w:rsidR="000A6BE0" w:rsidRPr="0026653F" w:rsidRDefault="000A6BE0" w:rsidP="00C618DD">
      <w:pPr>
        <w:suppressAutoHyphens/>
        <w:rPr>
          <w:i/>
          <w:iCs/>
          <w:color w:val="000000" w:themeColor="text1"/>
          <w:szCs w:val="22"/>
          <w:lang w:val="fr-FR"/>
        </w:rPr>
      </w:pPr>
      <w:r w:rsidRPr="0026653F">
        <w:rPr>
          <w:szCs w:val="22"/>
          <w:lang w:val="fr-FR"/>
        </w:rPr>
        <w:tab/>
        <w:t>4.</w:t>
      </w:r>
      <w:r w:rsidRPr="0026653F">
        <w:rPr>
          <w:szCs w:val="22"/>
          <w:lang w:val="fr-FR"/>
        </w:rPr>
        <w:tab/>
        <w:t>D</w:t>
      </w:r>
      <w:r w:rsidR="00012937" w:rsidRPr="0026653F">
        <w:rPr>
          <w:szCs w:val="22"/>
          <w:lang w:val="fr-FR"/>
        </w:rPr>
        <w:t xml:space="preserve">’inviter </w:t>
      </w:r>
      <w:r w:rsidRPr="0026653F">
        <w:rPr>
          <w:szCs w:val="22"/>
          <w:lang w:val="fr-FR"/>
        </w:rPr>
        <w:t xml:space="preserve">instamment </w:t>
      </w:r>
      <w:r w:rsidR="00012937" w:rsidRPr="0026653F">
        <w:rPr>
          <w:szCs w:val="22"/>
          <w:lang w:val="fr-FR"/>
        </w:rPr>
        <w:t xml:space="preserve">les </w:t>
      </w:r>
      <w:r w:rsidRPr="0026653F">
        <w:rPr>
          <w:szCs w:val="22"/>
          <w:lang w:val="fr-FR"/>
        </w:rPr>
        <w:t xml:space="preserve">États membres </w:t>
      </w:r>
      <w:r w:rsidR="00012937" w:rsidRPr="0026653F">
        <w:rPr>
          <w:szCs w:val="22"/>
          <w:lang w:val="fr-FR"/>
        </w:rPr>
        <w:t xml:space="preserve">à </w:t>
      </w:r>
      <w:r w:rsidRPr="0026653F">
        <w:rPr>
          <w:szCs w:val="22"/>
          <w:lang w:val="fr-FR"/>
        </w:rPr>
        <w:t xml:space="preserve">adopter des mesures qui assurent une protection efficace aux personnes intersexes et </w:t>
      </w:r>
      <w:r w:rsidR="00012937" w:rsidRPr="0026653F">
        <w:rPr>
          <w:szCs w:val="22"/>
          <w:lang w:val="fr-FR"/>
        </w:rPr>
        <w:t>à</w:t>
      </w:r>
      <w:r w:rsidRPr="0026653F">
        <w:rPr>
          <w:szCs w:val="22"/>
          <w:lang w:val="fr-FR"/>
        </w:rPr>
        <w:t xml:space="preserve"> mettre en place des politiques et des procédures, le cas échéant, pour garantir que les pratiques médicales touchant les personnes intersexes respectent les droits de la personne.</w:t>
      </w:r>
    </w:p>
    <w:p w14:paraId="73F649FB" w14:textId="77777777" w:rsidR="000A6BE0" w:rsidRPr="0026653F" w:rsidRDefault="000A6BE0" w:rsidP="00C618DD">
      <w:pPr>
        <w:suppressAutoHyphens/>
        <w:rPr>
          <w:i/>
          <w:iCs/>
          <w:color w:val="000000" w:themeColor="text1"/>
          <w:szCs w:val="22"/>
          <w:lang w:val="fr-FR"/>
        </w:rPr>
      </w:pPr>
    </w:p>
    <w:p w14:paraId="4A8129CE" w14:textId="35FAEAD2" w:rsidR="000A6BE0" w:rsidRPr="0026653F" w:rsidRDefault="000A6BE0" w:rsidP="00C618DD">
      <w:pPr>
        <w:suppressAutoHyphens/>
        <w:rPr>
          <w:i/>
          <w:iCs/>
          <w:color w:val="000000" w:themeColor="text1"/>
          <w:szCs w:val="22"/>
          <w:lang w:val="fr-FR"/>
        </w:rPr>
      </w:pPr>
      <w:r w:rsidRPr="0026653F">
        <w:rPr>
          <w:szCs w:val="22"/>
          <w:lang w:val="fr-FR"/>
        </w:rPr>
        <w:tab/>
        <w:t>5.</w:t>
      </w:r>
      <w:r w:rsidRPr="0026653F">
        <w:rPr>
          <w:szCs w:val="22"/>
          <w:lang w:val="fr-FR"/>
        </w:rPr>
        <w:tab/>
        <w:t>De charger le Conseil permanent d’organiser, dans les limites des ressources disponibles et en coordination</w:t>
      </w:r>
      <w:r w:rsidRPr="0026653F">
        <w:rPr>
          <w:bCs/>
          <w:szCs w:val="22"/>
          <w:lang w:val="fr-FR"/>
        </w:rPr>
        <w:t xml:space="preserve"> avec le Secrétariat à l’accès aux droits et à l’équité, une séance extraordinaire </w:t>
      </w:r>
      <w:r w:rsidR="00CF69F8" w:rsidRPr="0026653F">
        <w:rPr>
          <w:bCs/>
          <w:szCs w:val="22"/>
          <w:lang w:val="fr-FR"/>
        </w:rPr>
        <w:t xml:space="preserve">consacrée aux </w:t>
      </w:r>
      <w:r w:rsidRPr="0026653F">
        <w:rPr>
          <w:bCs/>
          <w:szCs w:val="22"/>
          <w:lang w:val="fr-FR"/>
        </w:rPr>
        <w:t xml:space="preserve">droits de la personne et </w:t>
      </w:r>
      <w:r w:rsidR="00CF69F8" w:rsidRPr="0026653F">
        <w:rPr>
          <w:bCs/>
          <w:szCs w:val="22"/>
          <w:lang w:val="fr-FR"/>
        </w:rPr>
        <w:t xml:space="preserve">à </w:t>
      </w:r>
      <w:r w:rsidRPr="0026653F">
        <w:rPr>
          <w:bCs/>
          <w:szCs w:val="22"/>
          <w:lang w:val="fr-FR"/>
        </w:rPr>
        <w:t>la prévention de la discrimination et de la violence contre les personnes LGBTI dans les Amériques, en accordant une attention particulière à la situation des personnes transgenres.</w:t>
      </w:r>
    </w:p>
    <w:p w14:paraId="582D94FB" w14:textId="77777777" w:rsidR="000A6BE0" w:rsidRPr="0026653F" w:rsidRDefault="000A6BE0" w:rsidP="00C618DD">
      <w:pPr>
        <w:suppressAutoHyphens/>
        <w:rPr>
          <w:bCs/>
          <w:color w:val="000000"/>
          <w:szCs w:val="22"/>
          <w:lang w:val="fr-FR"/>
        </w:rPr>
      </w:pPr>
    </w:p>
    <w:p w14:paraId="67B95685" w14:textId="529F9923" w:rsidR="000A6BE0" w:rsidRPr="0026653F" w:rsidRDefault="000A6BE0" w:rsidP="00C618DD">
      <w:pPr>
        <w:suppressAutoHyphens/>
        <w:rPr>
          <w:i/>
          <w:iCs/>
          <w:color w:val="000000" w:themeColor="text1"/>
          <w:szCs w:val="22"/>
          <w:lang w:val="fr-FR"/>
        </w:rPr>
      </w:pPr>
      <w:r w:rsidRPr="0026653F">
        <w:rPr>
          <w:bCs/>
          <w:szCs w:val="22"/>
          <w:lang w:val="fr-FR"/>
        </w:rPr>
        <w:tab/>
        <w:t>6.</w:t>
      </w:r>
      <w:r w:rsidRPr="0026653F">
        <w:rPr>
          <w:bCs/>
          <w:szCs w:val="22"/>
          <w:lang w:val="fr-FR"/>
        </w:rPr>
        <w:tab/>
        <w:t xml:space="preserve">De demander à la CIDH de </w:t>
      </w:r>
      <w:r w:rsidR="00D91D3C" w:rsidRPr="0026653F">
        <w:rPr>
          <w:bCs/>
          <w:szCs w:val="22"/>
          <w:lang w:val="fr-FR"/>
        </w:rPr>
        <w:t>présenter</w:t>
      </w:r>
      <w:r w:rsidRPr="0026653F">
        <w:rPr>
          <w:bCs/>
          <w:szCs w:val="22"/>
          <w:lang w:val="fr-FR"/>
        </w:rPr>
        <w:t xml:space="preserve"> un rapport de suivi sur le rapport </w:t>
      </w:r>
      <w:r w:rsidR="00D91D3C" w:rsidRPr="0026653F">
        <w:rPr>
          <w:bCs/>
          <w:szCs w:val="22"/>
          <w:lang w:val="fr-FR"/>
        </w:rPr>
        <w:t xml:space="preserve">« Violence contre les personnes lesbiennes, gays, bisexuelles, transgenres et intersexes dans les Amériques », de 2015 </w:t>
      </w:r>
      <w:r w:rsidRPr="0026653F">
        <w:rPr>
          <w:bCs/>
          <w:szCs w:val="22"/>
          <w:lang w:val="fr-FR"/>
        </w:rPr>
        <w:t>et</w:t>
      </w:r>
      <w:r w:rsidR="00474F34" w:rsidRPr="0026653F">
        <w:rPr>
          <w:bCs/>
          <w:szCs w:val="22"/>
          <w:lang w:val="fr-FR"/>
        </w:rPr>
        <w:t xml:space="preserve">, </w:t>
      </w:r>
      <w:r w:rsidRPr="0026653F">
        <w:rPr>
          <w:bCs/>
          <w:szCs w:val="22"/>
          <w:lang w:val="fr-FR"/>
        </w:rPr>
        <w:t xml:space="preserve">en collaboration avec d’autres organismes et </w:t>
      </w:r>
      <w:r w:rsidR="00474F34" w:rsidRPr="0026653F">
        <w:rPr>
          <w:bCs/>
          <w:szCs w:val="22"/>
          <w:lang w:val="fr-FR"/>
        </w:rPr>
        <w:t xml:space="preserve">entités </w:t>
      </w:r>
      <w:r w:rsidRPr="0026653F">
        <w:rPr>
          <w:bCs/>
          <w:szCs w:val="22"/>
          <w:lang w:val="fr-FR"/>
        </w:rPr>
        <w:t xml:space="preserve">tels que l’Organisation panaméricaine de la Santé, </w:t>
      </w:r>
      <w:r w:rsidR="00474F34" w:rsidRPr="0026653F">
        <w:rPr>
          <w:bCs/>
          <w:szCs w:val="22"/>
          <w:lang w:val="fr-FR"/>
        </w:rPr>
        <w:t xml:space="preserve">de faire </w:t>
      </w:r>
      <w:r w:rsidRPr="0026653F">
        <w:rPr>
          <w:bCs/>
          <w:szCs w:val="22"/>
          <w:lang w:val="fr-FR"/>
        </w:rPr>
        <w:t>rapport sur la situation des pratiques médicales dégradantes, notamment en ce qui concerne les personnes intersexes.</w:t>
      </w:r>
    </w:p>
    <w:p w14:paraId="4C391763" w14:textId="77777777" w:rsidR="000A6BE0" w:rsidRPr="0026653F" w:rsidRDefault="000A6BE0" w:rsidP="00C618DD">
      <w:pPr>
        <w:suppressAutoHyphens/>
        <w:rPr>
          <w:szCs w:val="22"/>
          <w:lang w:val="fr-FR"/>
        </w:rPr>
      </w:pPr>
    </w:p>
    <w:p w14:paraId="45432075" w14:textId="77777777" w:rsidR="000A6BE0" w:rsidRPr="0026653F" w:rsidRDefault="000A6BE0" w:rsidP="00C618DD">
      <w:pPr>
        <w:suppressAutoHyphens/>
        <w:ind w:left="720" w:hanging="720"/>
        <w:rPr>
          <w:color w:val="000000" w:themeColor="text1"/>
          <w:szCs w:val="22"/>
          <w:u w:val="single"/>
          <w:lang w:val="fr-FR"/>
        </w:rPr>
      </w:pPr>
      <w:r w:rsidRPr="0026653F">
        <w:rPr>
          <w:color w:val="000000" w:themeColor="text1"/>
          <w:szCs w:val="22"/>
          <w:lang w:val="fr-FR"/>
        </w:rPr>
        <w:t>xx.</w:t>
      </w:r>
      <w:r w:rsidRPr="0026653F">
        <w:rPr>
          <w:color w:val="000000" w:themeColor="text1"/>
          <w:szCs w:val="22"/>
          <w:lang w:val="fr-FR"/>
        </w:rPr>
        <w:tab/>
      </w:r>
      <w:r w:rsidRPr="0026653F">
        <w:rPr>
          <w:color w:val="000000" w:themeColor="text1"/>
          <w:szCs w:val="22"/>
          <w:u w:val="single"/>
          <w:lang w:val="fr-FR"/>
        </w:rPr>
        <w:t>Renforcement de la Commission interaméricaine des femmes en vue de la promotion de l’équité et de la parité hommes-femmes et des droits humains des femmes</w:t>
      </w:r>
      <w:r w:rsidRPr="00767721">
        <w:rPr>
          <w:color w:val="000000" w:themeColor="text1"/>
          <w:szCs w:val="22"/>
          <w:vertAlign w:val="superscript"/>
          <w:lang w:val="fr-FR"/>
        </w:rPr>
        <w:t xml:space="preserve"> </w:t>
      </w:r>
      <w:r w:rsidRPr="0026653F">
        <w:rPr>
          <w:rStyle w:val="FootnoteReference"/>
          <w:szCs w:val="22"/>
          <w:u w:val="single"/>
          <w:vertAlign w:val="superscript"/>
          <w:lang w:val="fr-FR"/>
        </w:rPr>
        <w:footnoteReference w:id="101"/>
      </w:r>
      <w:r w:rsidRPr="0026653F">
        <w:rPr>
          <w:rStyle w:val="FootnoteReference"/>
          <w:szCs w:val="22"/>
          <w:vertAlign w:val="superscript"/>
          <w:lang w:val="fr-FR"/>
        </w:rPr>
        <w:t>/</w:t>
      </w:r>
      <w:r w:rsidRPr="0026653F">
        <w:rPr>
          <w:rStyle w:val="FootnoteReference"/>
          <w:szCs w:val="22"/>
          <w:u w:val="single"/>
          <w:vertAlign w:val="superscript"/>
          <w:lang w:val="fr-FR"/>
        </w:rPr>
        <w:footnoteReference w:id="102"/>
      </w:r>
      <w:r w:rsidRPr="0026653F">
        <w:rPr>
          <w:rStyle w:val="FootnoteReference"/>
          <w:bCs/>
          <w:szCs w:val="22"/>
          <w:vertAlign w:val="superscript"/>
          <w:lang w:val="fr-FR"/>
        </w:rPr>
        <w:t>/</w:t>
      </w:r>
      <w:r w:rsidRPr="0026653F">
        <w:rPr>
          <w:rStyle w:val="FootnoteReference"/>
          <w:bCs/>
          <w:szCs w:val="22"/>
          <w:u w:val="single"/>
          <w:vertAlign w:val="superscript"/>
          <w:lang w:val="fr-FR"/>
        </w:rPr>
        <w:footnoteReference w:id="103"/>
      </w:r>
      <w:r w:rsidRPr="0026653F">
        <w:rPr>
          <w:bCs/>
          <w:color w:val="000000" w:themeColor="text1"/>
          <w:szCs w:val="22"/>
          <w:vertAlign w:val="superscript"/>
          <w:lang w:val="fr-FR"/>
        </w:rPr>
        <w:t>/</w:t>
      </w:r>
    </w:p>
    <w:p w14:paraId="3B410D22" w14:textId="77777777" w:rsidR="000A6BE0" w:rsidRPr="0026653F" w:rsidRDefault="000A6BE0" w:rsidP="00C618DD">
      <w:pPr>
        <w:suppressAutoHyphens/>
        <w:ind w:left="706" w:hanging="706"/>
        <w:rPr>
          <w:color w:val="000000" w:themeColor="text1"/>
          <w:szCs w:val="22"/>
          <w:lang w:val="fr-FR"/>
        </w:rPr>
      </w:pPr>
    </w:p>
    <w:p w14:paraId="49A1A904" w14:textId="4FC2B904" w:rsidR="000A6BE0" w:rsidRPr="0026653F" w:rsidRDefault="000A6BE0" w:rsidP="00C618DD">
      <w:pPr>
        <w:suppressAutoHyphens/>
        <w:ind w:firstLine="720"/>
        <w:rPr>
          <w:b/>
          <w:i/>
          <w:iCs/>
          <w:color w:val="000000" w:themeColor="text1"/>
          <w:szCs w:val="22"/>
          <w:lang w:val="fr-FR"/>
        </w:rPr>
      </w:pPr>
      <w:r w:rsidRPr="0026653F">
        <w:rPr>
          <w:bCs/>
          <w:color w:val="000000" w:themeColor="text1"/>
          <w:szCs w:val="22"/>
          <w:lang w:val="fr-FR"/>
        </w:rPr>
        <w:t xml:space="preserve">RAPPELANT </w:t>
      </w:r>
      <w:proofErr w:type="gramStart"/>
      <w:r w:rsidRPr="0026653F">
        <w:rPr>
          <w:bCs/>
          <w:color w:val="000000" w:themeColor="text1"/>
          <w:szCs w:val="22"/>
          <w:lang w:val="fr-FR"/>
        </w:rPr>
        <w:t>la section xvi</w:t>
      </w:r>
      <w:proofErr w:type="gramEnd"/>
      <w:r w:rsidRPr="0026653F">
        <w:rPr>
          <w:bCs/>
          <w:color w:val="000000" w:themeColor="text1"/>
          <w:szCs w:val="22"/>
          <w:lang w:val="fr-FR"/>
        </w:rPr>
        <w:t xml:space="preserve">. </w:t>
      </w:r>
      <w:proofErr w:type="gramStart"/>
      <w:r w:rsidRPr="0026653F">
        <w:rPr>
          <w:bCs/>
          <w:color w:val="000000" w:themeColor="text1"/>
          <w:szCs w:val="22"/>
          <w:lang w:val="fr-FR"/>
        </w:rPr>
        <w:t>de</w:t>
      </w:r>
      <w:proofErr w:type="gramEnd"/>
      <w:r w:rsidRPr="0026653F">
        <w:rPr>
          <w:bCs/>
          <w:color w:val="000000" w:themeColor="text1"/>
          <w:szCs w:val="22"/>
          <w:lang w:val="fr-FR"/>
        </w:rPr>
        <w:t xml:space="preserve"> la résolution AG/RES. 2941 (XLIX-O/19), « Promotion et protection des droits de la personne », la </w:t>
      </w:r>
      <w:r w:rsidR="00D91D3C" w:rsidRPr="0026653F">
        <w:rPr>
          <w:rFonts w:eastAsia="Calibri"/>
          <w:szCs w:val="22"/>
          <w:lang w:val="fr-FR"/>
        </w:rPr>
        <w:t>Déclaration de Santo Domingo sur l’égalité et l’autonomie dans l’exercice des droits politiques des femmes pour le renforcement de la démocratie</w:t>
      </w:r>
      <w:r w:rsidRPr="0026653F">
        <w:rPr>
          <w:bCs/>
          <w:color w:val="000000" w:themeColor="text1"/>
          <w:szCs w:val="22"/>
          <w:lang w:val="fr-FR"/>
        </w:rPr>
        <w:t>, la Déclaration de Lima sur l’égalité et l’autonomie dans l’exercice des droits économiques des femmes, ainsi que la résolution CP/RES. 1149/20 (2278/20), « Représentation et participation des femmes à l’OEA »,</w:t>
      </w:r>
    </w:p>
    <w:p w14:paraId="59DDEC39" w14:textId="77777777" w:rsidR="000A6BE0" w:rsidRPr="0026653F" w:rsidRDefault="000A6BE0" w:rsidP="00C618DD">
      <w:pPr>
        <w:suppressAutoHyphens/>
        <w:rPr>
          <w:color w:val="000000" w:themeColor="text1"/>
          <w:szCs w:val="22"/>
          <w:lang w:val="fr-FR"/>
        </w:rPr>
      </w:pPr>
    </w:p>
    <w:p w14:paraId="31BC2485" w14:textId="1C148389" w:rsidR="000A6BE0" w:rsidRPr="0026653F" w:rsidRDefault="000A6BE0" w:rsidP="00C618DD">
      <w:pPr>
        <w:keepNext/>
        <w:suppressAutoHyphens/>
        <w:rPr>
          <w:color w:val="000000" w:themeColor="text1"/>
          <w:szCs w:val="22"/>
          <w:lang w:val="fr-FR"/>
        </w:rPr>
      </w:pPr>
      <w:r w:rsidRPr="0026653F">
        <w:rPr>
          <w:color w:val="000000" w:themeColor="text1"/>
          <w:szCs w:val="22"/>
          <w:lang w:val="fr-FR"/>
        </w:rPr>
        <w:t>DÉCIDE :</w:t>
      </w:r>
    </w:p>
    <w:p w14:paraId="19D1C5AE" w14:textId="77777777" w:rsidR="000A6BE0" w:rsidRPr="0026653F" w:rsidRDefault="000A6BE0" w:rsidP="00C618DD">
      <w:pPr>
        <w:suppressAutoHyphens/>
        <w:rPr>
          <w:color w:val="000000" w:themeColor="text1"/>
          <w:szCs w:val="22"/>
          <w:lang w:val="fr-FR"/>
        </w:rPr>
      </w:pPr>
    </w:p>
    <w:p w14:paraId="1F996301" w14:textId="5AD7F0A3" w:rsidR="000A6BE0" w:rsidRPr="0026653F" w:rsidRDefault="000A6BE0" w:rsidP="00C618DD">
      <w:pPr>
        <w:suppressAutoHyphens/>
        <w:ind w:firstLine="720"/>
        <w:rPr>
          <w:b/>
          <w:i/>
          <w:iCs/>
          <w:color w:val="000000" w:themeColor="text1"/>
          <w:szCs w:val="22"/>
          <w:lang w:val="fr-FR"/>
        </w:rPr>
      </w:pPr>
      <w:r w:rsidRPr="0026653F">
        <w:rPr>
          <w:color w:val="000000" w:themeColor="text1"/>
          <w:szCs w:val="22"/>
          <w:lang w:val="fr-FR"/>
        </w:rPr>
        <w:t>1.</w:t>
      </w:r>
      <w:r w:rsidRPr="0026653F">
        <w:rPr>
          <w:color w:val="000000" w:themeColor="text1"/>
          <w:szCs w:val="22"/>
          <w:lang w:val="fr-FR"/>
        </w:rPr>
        <w:tab/>
      </w:r>
      <w:r w:rsidRPr="0026653F">
        <w:rPr>
          <w:bCs/>
          <w:color w:val="000000" w:themeColor="text1"/>
          <w:szCs w:val="22"/>
          <w:lang w:val="fr-FR"/>
        </w:rPr>
        <w:t>D’épauler</w:t>
      </w:r>
      <w:r w:rsidRPr="0026653F">
        <w:rPr>
          <w:color w:val="000000" w:themeColor="text1"/>
          <w:szCs w:val="22"/>
          <w:lang w:val="fr-FR"/>
        </w:rPr>
        <w:t xml:space="preserve"> les efforts consentis par la Commission interaméricaine des femmes (CIM) pour la réalisation de ses objectifs et attributions, tels qu’ils sont </w:t>
      </w:r>
      <w:r w:rsidRPr="0026653F">
        <w:rPr>
          <w:bCs/>
          <w:color w:val="000000" w:themeColor="text1"/>
          <w:szCs w:val="22"/>
          <w:lang w:val="fr-FR"/>
        </w:rPr>
        <w:t>décrits dans son Plan stratégique et Programme triennal de travail,</w:t>
      </w:r>
      <w:r w:rsidRPr="0026653F">
        <w:rPr>
          <w:color w:val="000000" w:themeColor="text1"/>
          <w:szCs w:val="22"/>
          <w:lang w:val="fr-FR"/>
        </w:rPr>
        <w:t xml:space="preserve"> par le biais du traitement de questions suscitant des préoccupations particulières, notamment les suivantes : </w:t>
      </w:r>
      <w:r w:rsidRPr="0026653F">
        <w:rPr>
          <w:bCs/>
          <w:color w:val="000000" w:themeColor="text1"/>
          <w:szCs w:val="22"/>
          <w:lang w:val="fr-FR"/>
        </w:rPr>
        <w:t xml:space="preserve">i) la promotion d’une plus grande représentation </w:t>
      </w:r>
      <w:r w:rsidRPr="0026653F">
        <w:rPr>
          <w:color w:val="000000" w:themeColor="text1"/>
          <w:szCs w:val="22"/>
          <w:lang w:val="fr-FR"/>
        </w:rPr>
        <w:t>des femmes dans toute leur diversité conformément aux législations nationales</w:t>
      </w:r>
      <w:r w:rsidRPr="0026653F">
        <w:rPr>
          <w:b/>
          <w:color w:val="000000" w:themeColor="text1"/>
          <w:szCs w:val="22"/>
          <w:lang w:val="fr-FR"/>
        </w:rPr>
        <w:t xml:space="preserve"> </w:t>
      </w:r>
      <w:r w:rsidRPr="0026653F">
        <w:rPr>
          <w:bCs/>
          <w:color w:val="000000" w:themeColor="text1"/>
          <w:szCs w:val="22"/>
          <w:lang w:val="fr-FR"/>
        </w:rPr>
        <w:t>aux postes de direction et dans les processus de prise de décision, ainsi que dans toutes les sphères, en particulier en politique et en économie, y compris au sein de l’OEA</w:t>
      </w:r>
      <w:r w:rsidR="00072742" w:rsidRPr="0026653F">
        <w:rPr>
          <w:bCs/>
          <w:color w:val="000000" w:themeColor="text1"/>
          <w:szCs w:val="22"/>
          <w:lang w:val="fr-FR"/>
        </w:rPr>
        <w:t> </w:t>
      </w:r>
      <w:r w:rsidRPr="0026653F">
        <w:rPr>
          <w:bCs/>
          <w:color w:val="000000" w:themeColor="text1"/>
          <w:szCs w:val="22"/>
          <w:lang w:val="fr-FR"/>
        </w:rPr>
        <w:t>; ii) la promotion et la protection</w:t>
      </w:r>
      <w:r w:rsidRPr="0026653F">
        <w:rPr>
          <w:b/>
          <w:bCs/>
          <w:color w:val="000000" w:themeColor="text1"/>
          <w:szCs w:val="22"/>
          <w:lang w:val="fr-FR"/>
        </w:rPr>
        <w:t xml:space="preserve"> </w:t>
      </w:r>
      <w:r w:rsidRPr="0026653F">
        <w:rPr>
          <w:color w:val="000000" w:themeColor="text1"/>
          <w:szCs w:val="22"/>
          <w:lang w:val="fr-FR"/>
        </w:rPr>
        <w:t>de l’autonomie de économique de toutes les femmes, adolescentes et filles,</w:t>
      </w:r>
      <w:r w:rsidRPr="0026653F">
        <w:rPr>
          <w:b/>
          <w:bCs/>
          <w:color w:val="000000" w:themeColor="text1"/>
          <w:szCs w:val="22"/>
          <w:lang w:val="fr-FR"/>
        </w:rPr>
        <w:t xml:space="preserve"> </w:t>
      </w:r>
      <w:r w:rsidRPr="0026653F">
        <w:rPr>
          <w:color w:val="000000" w:themeColor="text1"/>
          <w:szCs w:val="22"/>
          <w:lang w:val="fr-FR"/>
        </w:rPr>
        <w:t>en particulier la formulation de recommandations et la mise au point d’outils pour faire face à l’urgence des soins au niveau mondial, qui les touche de manière disproportionnée et pour parvenir à la responsabilité sociale partagée au sein de la famille, dans les communautés, dans l’entreprise et dans l’État ; iii) l’élaboration de politiques intégrales pour la prévention, la prise en charge et l’éradication des violences sexistes contre les femmes, les adolescentes et les filles ; iv)</w:t>
      </w:r>
      <w:r w:rsidRPr="00322217">
        <w:rPr>
          <w:bCs/>
          <w:color w:val="000000" w:themeColor="text1"/>
          <w:szCs w:val="22"/>
          <w:lang w:val="fr-FR"/>
        </w:rPr>
        <w:t xml:space="preserve"> </w:t>
      </w:r>
      <w:r w:rsidRPr="0026653F">
        <w:rPr>
          <w:bCs/>
          <w:color w:val="000000" w:themeColor="text1"/>
          <w:szCs w:val="22"/>
          <w:lang w:val="fr-FR"/>
        </w:rPr>
        <w:t>le renforcement des mécanismes nationaux pour l’avancement de la femme</w:t>
      </w:r>
      <w:r w:rsidR="00072742" w:rsidRPr="0026653F">
        <w:rPr>
          <w:bCs/>
          <w:color w:val="000000" w:themeColor="text1"/>
          <w:szCs w:val="22"/>
          <w:lang w:val="fr-FR"/>
        </w:rPr>
        <w:t> </w:t>
      </w:r>
      <w:r w:rsidRPr="0026653F">
        <w:rPr>
          <w:bCs/>
          <w:color w:val="000000" w:themeColor="text1"/>
          <w:szCs w:val="22"/>
          <w:lang w:val="fr-FR"/>
        </w:rPr>
        <w:t xml:space="preserve">; v) la visibilité de la vulnérabilité et de l’autonomisation de groupes spécifiques de femmes </w:t>
      </w:r>
      <w:r w:rsidRPr="0026653F">
        <w:rPr>
          <w:color w:val="000000" w:themeColor="text1"/>
          <w:szCs w:val="22"/>
          <w:lang w:val="fr-FR"/>
        </w:rPr>
        <w:t xml:space="preserve">qui sont confrontées à la discrimination fondée sur le sexe, accompagnée de conditions sociales, économiques et </w:t>
      </w:r>
      <w:r w:rsidR="00072742" w:rsidRPr="0026653F">
        <w:rPr>
          <w:color w:val="000000" w:themeColor="text1"/>
          <w:szCs w:val="22"/>
          <w:lang w:val="fr-FR"/>
        </w:rPr>
        <w:t>d’</w:t>
      </w:r>
      <w:r w:rsidRPr="0026653F">
        <w:rPr>
          <w:color w:val="000000" w:themeColor="text1"/>
          <w:szCs w:val="22"/>
          <w:lang w:val="fr-FR"/>
        </w:rPr>
        <w:t xml:space="preserve">autres </w:t>
      </w:r>
      <w:r w:rsidR="00072742" w:rsidRPr="0026653F">
        <w:rPr>
          <w:color w:val="000000" w:themeColor="text1"/>
          <w:szCs w:val="22"/>
          <w:lang w:val="fr-FR"/>
        </w:rPr>
        <w:t>situations interreliées</w:t>
      </w:r>
      <w:r w:rsidRPr="0026653F">
        <w:rPr>
          <w:color w:val="000000" w:themeColor="text1"/>
          <w:szCs w:val="22"/>
          <w:lang w:val="fr-FR"/>
        </w:rPr>
        <w:t>, y compris celles qui peuvent entrainer une vulnérabilité, et</w:t>
      </w:r>
      <w:r w:rsidRPr="0026653F">
        <w:rPr>
          <w:bCs/>
          <w:color w:val="000000" w:themeColor="text1"/>
          <w:szCs w:val="22"/>
          <w:lang w:val="fr-FR"/>
        </w:rPr>
        <w:t xml:space="preserve"> vi) le suivi du Programme interaméricain de promotion des droits humains de la femme, de l’équité ainsi que de la parité hommes-femmes (PIA), en particulier dans le domaine de l’intégration de la question de genre dans toutes les activités de l’OEA, de même que le travail effectué par le PUICA.</w:t>
      </w:r>
    </w:p>
    <w:p w14:paraId="5A77D914" w14:textId="77777777" w:rsidR="000A6BE0" w:rsidRPr="0026653F" w:rsidRDefault="000A6BE0" w:rsidP="00C618DD">
      <w:pPr>
        <w:suppressAutoHyphens/>
        <w:rPr>
          <w:color w:val="000000" w:themeColor="text1"/>
          <w:szCs w:val="22"/>
          <w:lang w:val="fr-FR"/>
        </w:rPr>
      </w:pPr>
    </w:p>
    <w:p w14:paraId="42CFCB8D" w14:textId="0B9ED327" w:rsidR="000A6BE0" w:rsidRPr="0026653F" w:rsidRDefault="000A6BE0" w:rsidP="00C618DD">
      <w:pPr>
        <w:suppressAutoHyphens/>
        <w:ind w:firstLine="720"/>
        <w:rPr>
          <w:color w:val="000000" w:themeColor="text1"/>
          <w:szCs w:val="22"/>
          <w:lang w:val="fr-FR"/>
        </w:rPr>
      </w:pPr>
      <w:r w:rsidRPr="0026653F">
        <w:rPr>
          <w:bCs/>
          <w:color w:val="000000" w:themeColor="text1"/>
          <w:szCs w:val="22"/>
          <w:lang w:val="fr-FR"/>
        </w:rPr>
        <w:t>2.</w:t>
      </w:r>
      <w:r w:rsidRPr="0026653F">
        <w:rPr>
          <w:bCs/>
          <w:color w:val="000000" w:themeColor="text1"/>
          <w:szCs w:val="22"/>
          <w:lang w:val="fr-FR"/>
        </w:rPr>
        <w:tab/>
        <w:t xml:space="preserve">De demander à la CIM de continuer à approfondir son travail d’analyse et de traitement des impacts différenciés de la pandémie de COVID-19 sur les plans économique, social et politique pour toutes les femmes, adolescentes et filles </w:t>
      </w:r>
      <w:r w:rsidRPr="0026653F">
        <w:rPr>
          <w:color w:val="000000" w:themeColor="text1"/>
          <w:szCs w:val="22"/>
          <w:lang w:val="fr-FR"/>
        </w:rPr>
        <w:t>qui sont confrontées à</w:t>
      </w:r>
      <w:r w:rsidR="00072742" w:rsidRPr="0026653F">
        <w:rPr>
          <w:color w:val="000000" w:themeColor="text1"/>
          <w:szCs w:val="22"/>
          <w:lang w:val="fr-FR"/>
        </w:rPr>
        <w:t xml:space="preserve"> une </w:t>
      </w:r>
      <w:r w:rsidRPr="0026653F">
        <w:rPr>
          <w:color w:val="000000" w:themeColor="text1"/>
          <w:szCs w:val="22"/>
          <w:lang w:val="fr-FR"/>
        </w:rPr>
        <w:t xml:space="preserve">discrimination fondée sur le </w:t>
      </w:r>
      <w:r w:rsidR="00072742" w:rsidRPr="0026653F">
        <w:rPr>
          <w:color w:val="000000" w:themeColor="text1"/>
          <w:szCs w:val="22"/>
          <w:lang w:val="fr-FR"/>
        </w:rPr>
        <w:t>genre</w:t>
      </w:r>
      <w:r w:rsidRPr="0026653F">
        <w:rPr>
          <w:color w:val="000000" w:themeColor="text1"/>
          <w:szCs w:val="22"/>
          <w:lang w:val="fr-FR"/>
        </w:rPr>
        <w:t xml:space="preserve">, accompagnée de conditions sociales, économiques et </w:t>
      </w:r>
      <w:r w:rsidR="00072742" w:rsidRPr="0026653F">
        <w:rPr>
          <w:color w:val="000000" w:themeColor="text1"/>
          <w:szCs w:val="22"/>
          <w:lang w:val="fr-FR"/>
        </w:rPr>
        <w:t>d’autres situations interreliées</w:t>
      </w:r>
      <w:r w:rsidRPr="0026653F">
        <w:rPr>
          <w:color w:val="000000" w:themeColor="text1"/>
          <w:szCs w:val="22"/>
          <w:lang w:val="fr-FR"/>
        </w:rPr>
        <w:t>, y compris celles qui peuvent entrainer une vulnérabilité, dans une perspective de la parité hommes-femmes et des droits de la personne</w:t>
      </w:r>
      <w:r w:rsidRPr="0026653F">
        <w:rPr>
          <w:b/>
          <w:color w:val="000000" w:themeColor="text1"/>
          <w:szCs w:val="22"/>
          <w:lang w:val="fr-FR"/>
        </w:rPr>
        <w:t xml:space="preserve">, </w:t>
      </w:r>
      <w:r w:rsidRPr="0026653F">
        <w:rPr>
          <w:bCs/>
          <w:color w:val="000000" w:themeColor="text1"/>
          <w:szCs w:val="22"/>
          <w:lang w:val="fr-FR"/>
        </w:rPr>
        <w:t>en générant des connaissances, en renforçant les capacités et en créant des espaces de dialogue et d’échange d’informations et de données d’expériences avec les autres acteurs concernés afin de renforcer la riposte à la pandémie.</w:t>
      </w:r>
    </w:p>
    <w:p w14:paraId="38C0C0A8" w14:textId="77777777" w:rsidR="000A6BE0" w:rsidRPr="0026653F" w:rsidRDefault="000A6BE0" w:rsidP="00C618DD">
      <w:pPr>
        <w:suppressAutoHyphens/>
        <w:rPr>
          <w:color w:val="000000" w:themeColor="text1"/>
          <w:szCs w:val="22"/>
          <w:lang w:val="fr-FR"/>
        </w:rPr>
      </w:pPr>
    </w:p>
    <w:p w14:paraId="55ABBE1A" w14:textId="67174406" w:rsidR="000A6BE0" w:rsidRPr="0026653F" w:rsidRDefault="000A6BE0" w:rsidP="00C618DD">
      <w:pPr>
        <w:suppressAutoHyphens/>
        <w:snapToGrid w:val="0"/>
        <w:ind w:right="61"/>
        <w:rPr>
          <w:color w:val="000000" w:themeColor="text1"/>
          <w:szCs w:val="22"/>
          <w:lang w:val="fr-FR"/>
        </w:rPr>
      </w:pPr>
      <w:r w:rsidRPr="0026653F">
        <w:rPr>
          <w:color w:val="000000" w:themeColor="text1"/>
          <w:szCs w:val="22"/>
          <w:lang w:val="fr-FR"/>
        </w:rPr>
        <w:lastRenderedPageBreak/>
        <w:tab/>
        <w:t>3.</w:t>
      </w:r>
      <w:r w:rsidRPr="0026653F">
        <w:rPr>
          <w:color w:val="000000" w:themeColor="text1"/>
          <w:szCs w:val="22"/>
          <w:lang w:val="fr-FR"/>
        </w:rPr>
        <w:tab/>
        <w:t xml:space="preserve">De réaffirmer l’importance de </w:t>
      </w:r>
      <w:r w:rsidRPr="0026653F">
        <w:rPr>
          <w:bCs/>
          <w:color w:val="000000" w:themeColor="text1"/>
          <w:szCs w:val="22"/>
          <w:lang w:val="fr-FR"/>
        </w:rPr>
        <w:t>financer la CIM,</w:t>
      </w:r>
      <w:r w:rsidRPr="00322217">
        <w:rPr>
          <w:bCs/>
          <w:color w:val="000000" w:themeColor="text1"/>
          <w:szCs w:val="22"/>
          <w:lang w:val="fr-FR"/>
        </w:rPr>
        <w:t xml:space="preserve"> </w:t>
      </w:r>
      <w:r w:rsidRPr="0026653F">
        <w:rPr>
          <w:bCs/>
          <w:color w:val="000000" w:themeColor="text1"/>
          <w:szCs w:val="22"/>
          <w:lang w:val="fr-FR"/>
        </w:rPr>
        <w:t xml:space="preserve">dans les limites des ressources économiques disponibles au sein de l’Organisation, </w:t>
      </w:r>
      <w:r w:rsidRPr="0026653F">
        <w:rPr>
          <w:color w:val="000000" w:themeColor="text1"/>
          <w:szCs w:val="22"/>
          <w:lang w:val="fr-FR"/>
        </w:rPr>
        <w:t xml:space="preserve">pour lui permettre de s’acquitter de ses mandats, et d’encourager les États membres, les observateurs permanents et </w:t>
      </w:r>
      <w:r w:rsidR="00072742" w:rsidRPr="0026653F">
        <w:rPr>
          <w:color w:val="000000" w:themeColor="text1"/>
          <w:szCs w:val="22"/>
          <w:lang w:val="fr-FR"/>
        </w:rPr>
        <w:t>d’</w:t>
      </w:r>
      <w:r w:rsidRPr="0026653F">
        <w:rPr>
          <w:color w:val="000000" w:themeColor="text1"/>
          <w:szCs w:val="22"/>
          <w:lang w:val="fr-FR"/>
        </w:rPr>
        <w:t>autres entités à verser des contributions volontaires et spécifiques.</w:t>
      </w:r>
    </w:p>
    <w:p w14:paraId="38A8D9D1" w14:textId="77777777" w:rsidR="000A6BE0" w:rsidRPr="0026653F" w:rsidRDefault="000A6BE0" w:rsidP="00C618DD">
      <w:pPr>
        <w:suppressAutoHyphens/>
        <w:rPr>
          <w:color w:val="000000" w:themeColor="text1"/>
          <w:szCs w:val="22"/>
          <w:lang w:val="fr-FR"/>
        </w:rPr>
      </w:pPr>
    </w:p>
    <w:p w14:paraId="40B8EFC2" w14:textId="26DB96E1" w:rsidR="000A6BE0" w:rsidRPr="0026653F" w:rsidRDefault="00DA5753" w:rsidP="00C618DD">
      <w:pPr>
        <w:suppressAutoHyphens/>
        <w:ind w:left="720" w:hanging="720"/>
        <w:rPr>
          <w:color w:val="000000" w:themeColor="text1"/>
          <w:szCs w:val="22"/>
          <w:u w:val="single"/>
          <w:lang w:val="fr-FR"/>
        </w:rPr>
      </w:pPr>
      <w:r w:rsidRPr="0026653F">
        <w:rPr>
          <w:color w:val="000000" w:themeColor="text1"/>
          <w:szCs w:val="22"/>
          <w:lang w:val="fr-FR"/>
        </w:rPr>
        <w:t>xxi.</w:t>
      </w:r>
      <w:r w:rsidR="000A6BE0" w:rsidRPr="0026653F">
        <w:rPr>
          <w:color w:val="000000" w:themeColor="text1"/>
          <w:szCs w:val="22"/>
          <w:lang w:val="fr-FR"/>
        </w:rPr>
        <w:tab/>
      </w:r>
      <w:r w:rsidR="000A6BE0" w:rsidRPr="0026653F">
        <w:rPr>
          <w:color w:val="000000" w:themeColor="text1"/>
          <w:szCs w:val="22"/>
          <w:u w:val="single"/>
          <w:lang w:val="fr-FR"/>
        </w:rPr>
        <w:t>Renforcement du Mécanisme de suivi de la mise en œuvre de la Convention interaméricaine pour la prévention, la sanction et l’élimination de la violence contre la femme (MESECVI</w:t>
      </w:r>
      <w:r w:rsidR="000A6BE0" w:rsidRPr="0026653F">
        <w:rPr>
          <w:color w:val="000000" w:themeColor="text1"/>
          <w:szCs w:val="22"/>
          <w:lang w:val="fr-FR"/>
        </w:rPr>
        <w:t>)</w:t>
      </w:r>
      <w:r w:rsidR="000A6BE0" w:rsidRPr="0026653F">
        <w:rPr>
          <w:rStyle w:val="FootnoteReference"/>
          <w:szCs w:val="22"/>
          <w:u w:val="single"/>
          <w:vertAlign w:val="superscript"/>
          <w:lang w:val="fr-FR"/>
        </w:rPr>
        <w:footnoteReference w:id="104"/>
      </w:r>
      <w:r w:rsidR="000A6BE0" w:rsidRPr="0026653F">
        <w:rPr>
          <w:color w:val="000000" w:themeColor="text1"/>
          <w:szCs w:val="22"/>
          <w:vertAlign w:val="superscript"/>
          <w:lang w:val="fr-FR"/>
        </w:rPr>
        <w:t>/</w:t>
      </w:r>
      <w:r w:rsidR="000A6BE0" w:rsidRPr="0026653F">
        <w:rPr>
          <w:rStyle w:val="FootnoteReference"/>
          <w:szCs w:val="22"/>
          <w:u w:val="single"/>
          <w:vertAlign w:val="superscript"/>
          <w:lang w:val="fr-FR"/>
        </w:rPr>
        <w:footnoteReference w:id="105"/>
      </w:r>
      <w:r w:rsidR="000A6BE0" w:rsidRPr="0026653F">
        <w:rPr>
          <w:rStyle w:val="FootnoteReference"/>
          <w:szCs w:val="22"/>
          <w:vertAlign w:val="superscript"/>
          <w:lang w:val="fr-FR"/>
        </w:rPr>
        <w:t>/</w:t>
      </w:r>
      <w:r w:rsidR="000A6BE0" w:rsidRPr="0026653F">
        <w:rPr>
          <w:rStyle w:val="FootnoteReference"/>
          <w:szCs w:val="22"/>
          <w:u w:val="single"/>
          <w:vertAlign w:val="superscript"/>
          <w:lang w:val="fr-FR"/>
        </w:rPr>
        <w:footnoteReference w:id="106"/>
      </w:r>
      <w:r w:rsidR="000A6BE0" w:rsidRPr="0026653F">
        <w:rPr>
          <w:color w:val="000000" w:themeColor="text1"/>
          <w:szCs w:val="22"/>
          <w:vertAlign w:val="superscript"/>
          <w:lang w:val="fr-FR"/>
        </w:rPr>
        <w:t>/</w:t>
      </w:r>
      <w:r w:rsidR="000A6BE0" w:rsidRPr="0026653F">
        <w:rPr>
          <w:rStyle w:val="FootnoteReference"/>
          <w:bCs/>
          <w:szCs w:val="22"/>
          <w:u w:val="single"/>
          <w:vertAlign w:val="superscript"/>
          <w:lang w:val="fr-FR"/>
        </w:rPr>
        <w:footnoteReference w:id="107"/>
      </w:r>
      <w:r w:rsidR="000A6BE0" w:rsidRPr="0026653F">
        <w:rPr>
          <w:bCs/>
          <w:color w:val="000000" w:themeColor="text1"/>
          <w:szCs w:val="22"/>
          <w:vertAlign w:val="superscript"/>
          <w:lang w:val="fr-FR"/>
        </w:rPr>
        <w:t>/</w:t>
      </w:r>
    </w:p>
    <w:p w14:paraId="11D2AE3C" w14:textId="77777777" w:rsidR="000A6BE0" w:rsidRPr="0026653F" w:rsidRDefault="000A6BE0" w:rsidP="00C618DD">
      <w:pPr>
        <w:suppressAutoHyphens/>
        <w:rPr>
          <w:color w:val="000000" w:themeColor="text1"/>
          <w:szCs w:val="22"/>
          <w:lang w:val="fr-FR"/>
        </w:rPr>
      </w:pPr>
    </w:p>
    <w:p w14:paraId="5A72F595" w14:textId="70E650EF" w:rsidR="000A6BE0" w:rsidRPr="00767721" w:rsidRDefault="000A6BE0" w:rsidP="00C618DD">
      <w:pPr>
        <w:suppressAutoHyphens/>
        <w:ind w:firstLine="720"/>
        <w:rPr>
          <w:bCs/>
          <w:color w:val="000000" w:themeColor="text1"/>
          <w:szCs w:val="22"/>
          <w:lang w:val="fr-FR"/>
        </w:rPr>
      </w:pPr>
      <w:r w:rsidRPr="0026653F">
        <w:rPr>
          <w:bCs/>
          <w:color w:val="000000" w:themeColor="text1"/>
          <w:szCs w:val="22"/>
          <w:lang w:val="fr-FR"/>
        </w:rPr>
        <w:t xml:space="preserve">RAPPELANT </w:t>
      </w:r>
      <w:proofErr w:type="gramStart"/>
      <w:r w:rsidRPr="0026653F">
        <w:rPr>
          <w:bCs/>
          <w:color w:val="000000" w:themeColor="text1"/>
          <w:szCs w:val="22"/>
          <w:lang w:val="fr-FR"/>
        </w:rPr>
        <w:t>la section xiv</w:t>
      </w:r>
      <w:proofErr w:type="gramEnd"/>
      <w:r w:rsidRPr="0026653F">
        <w:rPr>
          <w:bCs/>
          <w:color w:val="000000" w:themeColor="text1"/>
          <w:szCs w:val="22"/>
          <w:lang w:val="fr-FR"/>
        </w:rPr>
        <w:t xml:space="preserve">. </w:t>
      </w:r>
      <w:proofErr w:type="gramStart"/>
      <w:r w:rsidRPr="0026653F">
        <w:rPr>
          <w:bCs/>
          <w:color w:val="000000" w:themeColor="text1"/>
          <w:szCs w:val="22"/>
          <w:lang w:val="fr-FR"/>
        </w:rPr>
        <w:t>de</w:t>
      </w:r>
      <w:proofErr w:type="gramEnd"/>
      <w:r w:rsidRPr="0026653F">
        <w:rPr>
          <w:bCs/>
          <w:color w:val="000000" w:themeColor="text1"/>
          <w:szCs w:val="22"/>
          <w:lang w:val="fr-FR"/>
        </w:rPr>
        <w:t xml:space="preserve"> la résolution AG/RES. 2941 (XLIX-O/19), « Promotion et protection des droits de la personne », les obligations découlant de la Convention interaméricaine pour la prévention, la sanction et l’élimination de la violence contre la femme (Convention de Belém do Pará), les accords résultant de la Conférence des États parties et les recommandations du Comité d’expert</w:t>
      </w:r>
      <w:r w:rsidR="002D33EA" w:rsidRPr="0026653F">
        <w:rPr>
          <w:bCs/>
          <w:color w:val="000000" w:themeColor="text1"/>
          <w:szCs w:val="22"/>
          <w:lang w:val="fr-FR"/>
        </w:rPr>
        <w:t>e</w:t>
      </w:r>
      <w:r w:rsidRPr="0026653F">
        <w:rPr>
          <w:bCs/>
          <w:color w:val="000000" w:themeColor="text1"/>
          <w:szCs w:val="22"/>
          <w:lang w:val="fr-FR"/>
        </w:rPr>
        <w:t>s en tant qu’organes du MESECVI</w:t>
      </w:r>
      <w:r w:rsidR="00EF5BF8" w:rsidRPr="0026653F">
        <w:rPr>
          <w:bCs/>
          <w:color w:val="000000" w:themeColor="text1"/>
          <w:szCs w:val="22"/>
          <w:lang w:val="fr-FR"/>
        </w:rPr>
        <w:t>,</w:t>
      </w:r>
      <w:r w:rsidRPr="0026653F">
        <w:rPr>
          <w:bCs/>
          <w:color w:val="000000" w:themeColor="text1"/>
          <w:szCs w:val="22"/>
          <w:lang w:val="fr-FR"/>
        </w:rPr>
        <w:t xml:space="preserve"> le Plan stratégique du MESECVI 2018-2023, </w:t>
      </w:r>
      <w:r w:rsidR="00CC3193" w:rsidRPr="0026653F">
        <w:rPr>
          <w:bCs/>
          <w:color w:val="000000" w:themeColor="text1"/>
          <w:szCs w:val="22"/>
          <w:lang w:val="fr-FR"/>
        </w:rPr>
        <w:t>de même que</w:t>
      </w:r>
      <w:r w:rsidRPr="0026653F">
        <w:rPr>
          <w:bCs/>
          <w:color w:val="000000" w:themeColor="text1"/>
          <w:szCs w:val="22"/>
          <w:lang w:val="fr-FR"/>
        </w:rPr>
        <w:t xml:space="preserve"> d’autres documents et mandats pertinents,</w:t>
      </w:r>
    </w:p>
    <w:p w14:paraId="07444167" w14:textId="77777777" w:rsidR="000A6BE0" w:rsidRPr="0026653F" w:rsidRDefault="000A6BE0" w:rsidP="00C618DD">
      <w:pPr>
        <w:suppressAutoHyphens/>
        <w:rPr>
          <w:color w:val="000000" w:themeColor="text1"/>
          <w:szCs w:val="22"/>
          <w:lang w:val="fr-FR"/>
        </w:rPr>
      </w:pPr>
    </w:p>
    <w:p w14:paraId="608DD1F3" w14:textId="5382E3A2" w:rsidR="000A6BE0" w:rsidRPr="0026653F" w:rsidRDefault="000A6BE0" w:rsidP="00C618DD">
      <w:pPr>
        <w:suppressAutoHyphens/>
        <w:rPr>
          <w:color w:val="000000" w:themeColor="text1"/>
          <w:szCs w:val="22"/>
          <w:lang w:val="fr-FR"/>
        </w:rPr>
      </w:pPr>
      <w:r w:rsidRPr="0026653F">
        <w:rPr>
          <w:color w:val="000000" w:themeColor="text1"/>
          <w:szCs w:val="22"/>
          <w:lang w:val="fr-FR"/>
        </w:rPr>
        <w:t>DÉCIDE :</w:t>
      </w:r>
    </w:p>
    <w:p w14:paraId="3BBC46B2" w14:textId="77777777" w:rsidR="000A6BE0" w:rsidRPr="0026653F" w:rsidRDefault="000A6BE0" w:rsidP="00C618DD">
      <w:pPr>
        <w:suppressAutoHyphens/>
        <w:rPr>
          <w:color w:val="000000" w:themeColor="text1"/>
          <w:szCs w:val="22"/>
          <w:lang w:val="fr-FR"/>
        </w:rPr>
      </w:pPr>
    </w:p>
    <w:p w14:paraId="40F0F853" w14:textId="0E3DF823" w:rsidR="000A6BE0" w:rsidRPr="0026653F" w:rsidRDefault="000A6BE0" w:rsidP="00C618DD">
      <w:pPr>
        <w:suppressAutoHyphens/>
        <w:ind w:firstLine="720"/>
        <w:rPr>
          <w:color w:val="000000" w:themeColor="text1"/>
          <w:szCs w:val="22"/>
          <w:lang w:val="fr-FR"/>
        </w:rPr>
      </w:pPr>
      <w:r w:rsidRPr="0026653F">
        <w:rPr>
          <w:color w:val="000000" w:themeColor="text1"/>
          <w:szCs w:val="22"/>
          <w:lang w:val="fr-FR"/>
        </w:rPr>
        <w:t>1.</w:t>
      </w:r>
      <w:r w:rsidRPr="0026653F">
        <w:rPr>
          <w:color w:val="000000" w:themeColor="text1"/>
          <w:szCs w:val="22"/>
          <w:lang w:val="fr-FR"/>
        </w:rPr>
        <w:tab/>
      </w:r>
      <w:r w:rsidRPr="0026653F">
        <w:rPr>
          <w:bCs/>
          <w:color w:val="000000" w:themeColor="text1"/>
          <w:szCs w:val="22"/>
          <w:lang w:val="fr-FR"/>
        </w:rPr>
        <w:t xml:space="preserve">De réitérer </w:t>
      </w:r>
      <w:r w:rsidRPr="0026653F">
        <w:rPr>
          <w:color w:val="000000" w:themeColor="text1"/>
          <w:szCs w:val="22"/>
          <w:lang w:val="fr-FR"/>
        </w:rPr>
        <w:t>son engagement</w:t>
      </w:r>
      <w:r w:rsidR="00CC3193" w:rsidRPr="0026653F">
        <w:rPr>
          <w:color w:val="000000" w:themeColor="text1"/>
          <w:szCs w:val="22"/>
          <w:lang w:val="fr-FR"/>
        </w:rPr>
        <w:t xml:space="preserve"> de</w:t>
      </w:r>
      <w:r w:rsidRPr="0026653F">
        <w:rPr>
          <w:color w:val="000000" w:themeColor="text1"/>
          <w:szCs w:val="22"/>
          <w:lang w:val="fr-FR"/>
        </w:rPr>
        <w:t xml:space="preserve"> renforcer le Mécanisme de suivi de la mise en œuvre de la Convention interaméricaine pour la prévention, la sanction et l’élimination de la violence contre la femme, </w:t>
      </w:r>
      <w:r w:rsidR="00E26E16" w:rsidRPr="0026653F">
        <w:rPr>
          <w:color w:val="000000" w:themeColor="text1"/>
          <w:szCs w:val="22"/>
          <w:lang w:val="fr-FR"/>
        </w:rPr>
        <w:t>« </w:t>
      </w:r>
      <w:r w:rsidRPr="0026653F">
        <w:rPr>
          <w:color w:val="000000" w:themeColor="text1"/>
          <w:szCs w:val="22"/>
          <w:lang w:val="fr-FR"/>
        </w:rPr>
        <w:t>Convention de Belém do Pará</w:t>
      </w:r>
      <w:r w:rsidR="00E26E16" w:rsidRPr="0026653F">
        <w:rPr>
          <w:color w:val="000000" w:themeColor="text1"/>
          <w:szCs w:val="22"/>
          <w:lang w:val="fr-FR"/>
        </w:rPr>
        <w:t> »</w:t>
      </w:r>
      <w:r w:rsidRPr="0026653F">
        <w:rPr>
          <w:color w:val="000000" w:themeColor="text1"/>
          <w:szCs w:val="22"/>
          <w:lang w:val="fr-FR"/>
        </w:rPr>
        <w:t xml:space="preserve"> (MESECVI), et </w:t>
      </w:r>
      <w:r w:rsidR="00CC3193" w:rsidRPr="0026653F">
        <w:rPr>
          <w:color w:val="000000" w:themeColor="text1"/>
          <w:szCs w:val="22"/>
          <w:lang w:val="fr-FR"/>
        </w:rPr>
        <w:t>de</w:t>
      </w:r>
      <w:r w:rsidRPr="0026653F">
        <w:rPr>
          <w:color w:val="000000" w:themeColor="text1"/>
          <w:szCs w:val="22"/>
          <w:lang w:val="fr-FR"/>
        </w:rPr>
        <w:t xml:space="preserve"> soutenir son Comité d’expertes dans son travail de suivi de la mise en œuvre intégrale de la Convention de Belém do Pará par les États parties. De faciliter la mise au point d’outils et de renforcer les processus de formation et d’appui technique aux États parties et à la société civile, </w:t>
      </w:r>
      <w:r w:rsidRPr="0026653F">
        <w:rPr>
          <w:bCs/>
          <w:color w:val="000000" w:themeColor="text1"/>
          <w:szCs w:val="22"/>
          <w:lang w:val="fr-FR"/>
        </w:rPr>
        <w:t xml:space="preserve">en </w:t>
      </w:r>
      <w:r w:rsidR="00601DF0" w:rsidRPr="0026653F">
        <w:rPr>
          <w:bCs/>
          <w:color w:val="000000" w:themeColor="text1"/>
          <w:szCs w:val="22"/>
          <w:lang w:val="fr-FR"/>
        </w:rPr>
        <w:t xml:space="preserve">envisageant </w:t>
      </w:r>
      <w:r w:rsidRPr="0026653F">
        <w:rPr>
          <w:bCs/>
          <w:color w:val="000000" w:themeColor="text1"/>
          <w:szCs w:val="22"/>
          <w:lang w:val="fr-FR"/>
        </w:rPr>
        <w:t xml:space="preserve">des politiques garantissant les plus hauts niveaux </w:t>
      </w:r>
      <w:r w:rsidRPr="0026653F">
        <w:rPr>
          <w:color w:val="000000" w:themeColor="text1"/>
          <w:szCs w:val="22"/>
          <w:lang w:val="fr-FR"/>
        </w:rPr>
        <w:t xml:space="preserve">de protection des droits humains des femmes </w:t>
      </w:r>
      <w:r w:rsidRPr="0026653F">
        <w:rPr>
          <w:bCs/>
          <w:color w:val="000000" w:themeColor="text1"/>
          <w:szCs w:val="22"/>
          <w:lang w:val="fr-FR"/>
        </w:rPr>
        <w:t xml:space="preserve">dans toute leur diversité conformément aux législations nationales </w:t>
      </w:r>
      <w:r w:rsidRPr="0026653F">
        <w:rPr>
          <w:color w:val="000000" w:themeColor="text1"/>
          <w:szCs w:val="22"/>
          <w:lang w:val="fr-FR"/>
        </w:rPr>
        <w:t>et dans le contexte de la pandémie de COVID-19 et de ses effets différenciés sur les femmes, en particulier celles qui se trouvent en situation de vulnérabilité.</w:t>
      </w:r>
    </w:p>
    <w:p w14:paraId="777363F0" w14:textId="77777777" w:rsidR="000A6BE0" w:rsidRPr="0026653F" w:rsidRDefault="000A6BE0" w:rsidP="00C618DD">
      <w:pPr>
        <w:suppressAutoHyphens/>
        <w:rPr>
          <w:color w:val="000000" w:themeColor="text1"/>
          <w:szCs w:val="22"/>
          <w:lang w:val="fr-FR"/>
        </w:rPr>
      </w:pPr>
    </w:p>
    <w:p w14:paraId="20CDDB96" w14:textId="28E016D3" w:rsidR="000A6BE0" w:rsidRPr="0026653F" w:rsidRDefault="000A6BE0" w:rsidP="00C618DD">
      <w:pPr>
        <w:suppressAutoHyphens/>
        <w:ind w:firstLine="720"/>
        <w:rPr>
          <w:iCs/>
          <w:color w:val="000000" w:themeColor="text1"/>
          <w:szCs w:val="22"/>
          <w:lang w:val="fr-FR"/>
        </w:rPr>
      </w:pPr>
      <w:r w:rsidRPr="0026653F">
        <w:rPr>
          <w:bCs/>
          <w:color w:val="000000" w:themeColor="text1"/>
          <w:szCs w:val="22"/>
          <w:lang w:val="fr-FR"/>
        </w:rPr>
        <w:t>2.</w:t>
      </w:r>
      <w:r w:rsidRPr="0026653F">
        <w:rPr>
          <w:bCs/>
          <w:color w:val="000000" w:themeColor="text1"/>
          <w:szCs w:val="22"/>
          <w:lang w:val="fr-FR"/>
        </w:rPr>
        <w:tab/>
        <w:t xml:space="preserve">De continuer à promouvoir, dans la phase finale du troisième cycle d’évaluation multilatérale du MESECVI, la mise en œuvre des recommandations pertinentes issues des rapports nationaux et continentaux, </w:t>
      </w:r>
      <w:r w:rsidR="00601DF0" w:rsidRPr="0026653F">
        <w:rPr>
          <w:bCs/>
          <w:color w:val="000000" w:themeColor="text1"/>
          <w:szCs w:val="22"/>
          <w:lang w:val="fr-FR"/>
        </w:rPr>
        <w:t xml:space="preserve">en </w:t>
      </w:r>
      <w:r w:rsidRPr="0026653F">
        <w:rPr>
          <w:bCs/>
          <w:color w:val="000000" w:themeColor="text1"/>
          <w:szCs w:val="22"/>
          <w:lang w:val="fr-FR"/>
        </w:rPr>
        <w:t xml:space="preserve">tenant compte des déclarations et recommandations générales du MESECVI, et de continuer à compiler des données, adapter les politiques publiques et les </w:t>
      </w:r>
      <w:r w:rsidR="00601DF0" w:rsidRPr="0026653F">
        <w:rPr>
          <w:bCs/>
          <w:color w:val="000000" w:themeColor="text1"/>
          <w:szCs w:val="22"/>
          <w:lang w:val="fr-FR"/>
        </w:rPr>
        <w:t>régimes</w:t>
      </w:r>
      <w:r w:rsidRPr="0026653F">
        <w:rPr>
          <w:bCs/>
          <w:color w:val="000000" w:themeColor="text1"/>
          <w:szCs w:val="22"/>
          <w:lang w:val="fr-FR"/>
        </w:rPr>
        <w:t xml:space="preserve"> juridiques nationaux</w:t>
      </w:r>
      <w:r w:rsidR="00601DF0" w:rsidRPr="0026653F">
        <w:rPr>
          <w:bCs/>
          <w:color w:val="000000" w:themeColor="text1"/>
          <w:szCs w:val="22"/>
          <w:lang w:val="fr-FR"/>
        </w:rPr>
        <w:t xml:space="preserve"> tout en incluant</w:t>
      </w:r>
      <w:r w:rsidRPr="0026653F">
        <w:rPr>
          <w:bCs/>
          <w:color w:val="000000" w:themeColor="text1"/>
          <w:szCs w:val="22"/>
          <w:lang w:val="fr-FR"/>
        </w:rPr>
        <w:t xml:space="preserve">, </w:t>
      </w:r>
      <w:r w:rsidR="00601DF0" w:rsidRPr="0026653F">
        <w:rPr>
          <w:bCs/>
          <w:color w:val="000000" w:themeColor="text1"/>
          <w:szCs w:val="22"/>
          <w:lang w:val="fr-FR"/>
        </w:rPr>
        <w:t>selon qu’il échet</w:t>
      </w:r>
      <w:r w:rsidRPr="0026653F">
        <w:rPr>
          <w:bCs/>
          <w:color w:val="000000" w:themeColor="text1"/>
          <w:szCs w:val="22"/>
          <w:lang w:val="fr-FR"/>
        </w:rPr>
        <w:t>, les lois</w:t>
      </w:r>
      <w:r w:rsidR="00601DF0" w:rsidRPr="0026653F">
        <w:rPr>
          <w:bCs/>
          <w:color w:val="000000" w:themeColor="text1"/>
          <w:szCs w:val="22"/>
          <w:lang w:val="fr-FR"/>
        </w:rPr>
        <w:t>-</w:t>
      </w:r>
      <w:r w:rsidRPr="0026653F">
        <w:rPr>
          <w:bCs/>
          <w:color w:val="000000" w:themeColor="text1"/>
          <w:szCs w:val="22"/>
          <w:lang w:val="fr-FR"/>
        </w:rPr>
        <w:t xml:space="preserve">types </w:t>
      </w:r>
      <w:r w:rsidR="00601DF0" w:rsidRPr="0026653F">
        <w:rPr>
          <w:bCs/>
          <w:color w:val="000000" w:themeColor="text1"/>
          <w:szCs w:val="22"/>
          <w:lang w:val="fr-FR"/>
        </w:rPr>
        <w:t>visant à</w:t>
      </w:r>
      <w:r w:rsidRPr="0026653F">
        <w:rPr>
          <w:bCs/>
          <w:color w:val="000000" w:themeColor="text1"/>
          <w:szCs w:val="22"/>
          <w:lang w:val="fr-FR"/>
        </w:rPr>
        <w:t xml:space="preserve"> prévenir et éliminer la violence et toutes les formes multiples</w:t>
      </w:r>
      <w:r w:rsidRPr="0026653F">
        <w:rPr>
          <w:b/>
          <w:color w:val="000000" w:themeColor="text1"/>
          <w:szCs w:val="22"/>
          <w:lang w:val="fr-FR"/>
        </w:rPr>
        <w:t xml:space="preserve"> </w:t>
      </w:r>
      <w:r w:rsidRPr="0026653F">
        <w:rPr>
          <w:bCs/>
          <w:color w:val="000000" w:themeColor="text1"/>
          <w:szCs w:val="22"/>
          <w:lang w:val="fr-FR"/>
        </w:rPr>
        <w:t>de discrimination à l’égard de</w:t>
      </w:r>
      <w:r w:rsidR="00601DF0" w:rsidRPr="0026653F">
        <w:rPr>
          <w:bCs/>
          <w:color w:val="000000" w:themeColor="text1"/>
          <w:szCs w:val="22"/>
          <w:lang w:val="fr-FR"/>
        </w:rPr>
        <w:t xml:space="preserve"> toute</w:t>
      </w:r>
      <w:r w:rsidRPr="0026653F">
        <w:rPr>
          <w:bCs/>
          <w:color w:val="000000" w:themeColor="text1"/>
          <w:szCs w:val="22"/>
          <w:lang w:val="fr-FR"/>
        </w:rPr>
        <w:t xml:space="preserve">s </w:t>
      </w:r>
      <w:r w:rsidR="00601DF0" w:rsidRPr="0026653F">
        <w:rPr>
          <w:bCs/>
          <w:color w:val="000000" w:themeColor="text1"/>
          <w:szCs w:val="22"/>
          <w:lang w:val="fr-FR"/>
        </w:rPr>
        <w:t xml:space="preserve">les </w:t>
      </w:r>
      <w:r w:rsidRPr="0026653F">
        <w:rPr>
          <w:bCs/>
          <w:color w:val="000000" w:themeColor="text1"/>
          <w:szCs w:val="22"/>
          <w:lang w:val="fr-FR"/>
        </w:rPr>
        <w:t xml:space="preserve">femmes </w:t>
      </w:r>
      <w:r w:rsidR="00601DF0" w:rsidRPr="0026653F">
        <w:rPr>
          <w:bCs/>
          <w:color w:val="000000" w:themeColor="text1"/>
          <w:szCs w:val="22"/>
          <w:lang w:val="fr-FR"/>
        </w:rPr>
        <w:t xml:space="preserve">qui sont </w:t>
      </w:r>
      <w:r w:rsidRPr="0026653F">
        <w:rPr>
          <w:color w:val="000000" w:themeColor="text1"/>
          <w:szCs w:val="22"/>
          <w:lang w:val="fr-FR"/>
        </w:rPr>
        <w:t xml:space="preserve">fondées sur le </w:t>
      </w:r>
      <w:r w:rsidR="00601DF0" w:rsidRPr="0026653F">
        <w:rPr>
          <w:color w:val="000000" w:themeColor="text1"/>
          <w:szCs w:val="22"/>
          <w:lang w:val="fr-FR"/>
        </w:rPr>
        <w:t xml:space="preserve">genre et les </w:t>
      </w:r>
      <w:r w:rsidRPr="0026653F">
        <w:rPr>
          <w:color w:val="000000" w:themeColor="text1"/>
          <w:szCs w:val="22"/>
          <w:lang w:val="fr-FR"/>
        </w:rPr>
        <w:t xml:space="preserve">conditions sociales, économiques et autres </w:t>
      </w:r>
      <w:r w:rsidR="00601DF0" w:rsidRPr="0026653F">
        <w:rPr>
          <w:color w:val="000000" w:themeColor="text1"/>
          <w:szCs w:val="22"/>
          <w:lang w:val="fr-FR"/>
        </w:rPr>
        <w:t xml:space="preserve">situations </w:t>
      </w:r>
      <w:r w:rsidRPr="0026653F">
        <w:rPr>
          <w:color w:val="000000" w:themeColor="text1"/>
          <w:szCs w:val="22"/>
          <w:lang w:val="fr-FR"/>
        </w:rPr>
        <w:t xml:space="preserve">interreliées, y compris celles qui peuvent entrainer une vulnérabilité, </w:t>
      </w:r>
      <w:r w:rsidRPr="0026653F">
        <w:rPr>
          <w:bCs/>
          <w:color w:val="000000" w:themeColor="text1"/>
          <w:szCs w:val="22"/>
          <w:lang w:val="fr-FR"/>
        </w:rPr>
        <w:t>et en assurant des budgets suffisants pour leur mise en œuvre</w:t>
      </w:r>
      <w:r w:rsidRPr="0026653F">
        <w:rPr>
          <w:color w:val="000000" w:themeColor="text1"/>
          <w:szCs w:val="22"/>
          <w:lang w:val="fr-FR"/>
        </w:rPr>
        <w:t>, en tenant compte des ressources disponibles.</w:t>
      </w:r>
    </w:p>
    <w:p w14:paraId="146DC477" w14:textId="77777777" w:rsidR="000A6BE0" w:rsidRPr="0026653F" w:rsidRDefault="000A6BE0" w:rsidP="00C618DD">
      <w:pPr>
        <w:suppressAutoHyphens/>
        <w:rPr>
          <w:bCs/>
          <w:color w:val="000000" w:themeColor="text1"/>
          <w:szCs w:val="22"/>
          <w:lang w:val="fr-FR"/>
        </w:rPr>
      </w:pPr>
    </w:p>
    <w:p w14:paraId="5216BAD5" w14:textId="37D85539" w:rsidR="000A6BE0" w:rsidRPr="00767721" w:rsidRDefault="000A6BE0" w:rsidP="00C618DD">
      <w:pPr>
        <w:suppressAutoHyphens/>
        <w:ind w:firstLine="720"/>
        <w:rPr>
          <w:bCs/>
          <w:color w:val="000000" w:themeColor="text1"/>
          <w:szCs w:val="22"/>
          <w:lang w:val="fr-FR"/>
        </w:rPr>
      </w:pPr>
      <w:r w:rsidRPr="0026653F">
        <w:rPr>
          <w:bCs/>
          <w:color w:val="000000" w:themeColor="text1"/>
          <w:szCs w:val="22"/>
          <w:lang w:val="fr-FR"/>
        </w:rPr>
        <w:t>3.</w:t>
      </w:r>
      <w:r w:rsidRPr="0026653F">
        <w:rPr>
          <w:bCs/>
          <w:color w:val="000000" w:themeColor="text1"/>
          <w:szCs w:val="22"/>
          <w:lang w:val="fr-FR"/>
        </w:rPr>
        <w:tab/>
      </w:r>
      <w:r w:rsidRPr="0026653F">
        <w:rPr>
          <w:color w:val="000000" w:themeColor="text1"/>
          <w:szCs w:val="22"/>
          <w:lang w:val="fr-FR"/>
        </w:rPr>
        <w:t>D</w:t>
      </w:r>
      <w:r w:rsidR="00601DF0" w:rsidRPr="0026653F">
        <w:rPr>
          <w:color w:val="000000" w:themeColor="text1"/>
          <w:szCs w:val="22"/>
          <w:lang w:val="fr-FR"/>
        </w:rPr>
        <w:t xml:space="preserve">’assurer </w:t>
      </w:r>
      <w:r w:rsidRPr="0026653F">
        <w:rPr>
          <w:color w:val="000000" w:themeColor="text1"/>
          <w:szCs w:val="22"/>
          <w:lang w:val="fr-FR"/>
        </w:rPr>
        <w:t>la prise en charge et de garantir</w:t>
      </w:r>
      <w:r w:rsidRPr="0026653F">
        <w:rPr>
          <w:bCs/>
          <w:color w:val="000000" w:themeColor="text1"/>
          <w:szCs w:val="22"/>
          <w:lang w:val="fr-FR"/>
        </w:rPr>
        <w:t xml:space="preserve"> l’accès à la justice pour les femmes victimes de violence ainsi que la réparation de leurs droits, selon le cas, en accordant une attention particulière </w:t>
      </w:r>
      <w:r w:rsidRPr="0026653F">
        <w:rPr>
          <w:bCs/>
          <w:color w:val="000000" w:themeColor="text1"/>
          <w:szCs w:val="22"/>
          <w:lang w:val="fr-FR"/>
        </w:rPr>
        <w:lastRenderedPageBreak/>
        <w:t>à la diversité des femmes dans la région conformément aux législations nationales, selon une approche basée sur la parité hommes-femmes</w:t>
      </w:r>
      <w:r w:rsidRPr="0026653F">
        <w:rPr>
          <w:b/>
          <w:color w:val="000000" w:themeColor="text1"/>
          <w:szCs w:val="22"/>
          <w:lang w:val="fr-FR"/>
        </w:rPr>
        <w:t xml:space="preserve"> </w:t>
      </w:r>
      <w:r w:rsidRPr="0026653F">
        <w:rPr>
          <w:bCs/>
          <w:color w:val="000000" w:themeColor="text1"/>
          <w:szCs w:val="22"/>
          <w:lang w:val="fr-FR"/>
        </w:rPr>
        <w:t>et les droits de la personne.</w:t>
      </w:r>
    </w:p>
    <w:p w14:paraId="4D0A60A9" w14:textId="77777777" w:rsidR="000A6BE0" w:rsidRPr="0026653F" w:rsidRDefault="000A6BE0" w:rsidP="00C618DD">
      <w:pPr>
        <w:suppressAutoHyphens/>
        <w:rPr>
          <w:color w:val="000000" w:themeColor="text1"/>
          <w:szCs w:val="22"/>
          <w:lang w:val="fr-FR"/>
        </w:rPr>
      </w:pPr>
    </w:p>
    <w:p w14:paraId="222B00B9" w14:textId="7FC76160" w:rsidR="000A6BE0" w:rsidRPr="00767721" w:rsidRDefault="000A6BE0" w:rsidP="00C618DD">
      <w:pPr>
        <w:suppressAutoHyphens/>
        <w:ind w:firstLine="720"/>
        <w:rPr>
          <w:bCs/>
          <w:color w:val="000000" w:themeColor="text1"/>
          <w:szCs w:val="22"/>
          <w:lang w:val="fr-FR"/>
        </w:rPr>
      </w:pPr>
      <w:r w:rsidRPr="0026653F">
        <w:rPr>
          <w:bCs/>
          <w:color w:val="000000" w:themeColor="text1"/>
          <w:szCs w:val="22"/>
          <w:lang w:val="fr-FR"/>
        </w:rPr>
        <w:t>4.</w:t>
      </w:r>
      <w:r w:rsidRPr="0026653F">
        <w:rPr>
          <w:bCs/>
          <w:color w:val="000000" w:themeColor="text1"/>
          <w:szCs w:val="22"/>
          <w:lang w:val="fr-FR"/>
        </w:rPr>
        <w:tab/>
        <w:t xml:space="preserve">De prendre note du document </w:t>
      </w:r>
      <w:r w:rsidR="00601DF0" w:rsidRPr="0026653F">
        <w:rPr>
          <w:bCs/>
          <w:color w:val="000000" w:themeColor="text1"/>
          <w:szCs w:val="22"/>
          <w:lang w:val="fr-FR"/>
        </w:rPr>
        <w:t xml:space="preserve">« La </w:t>
      </w:r>
      <w:r w:rsidRPr="0026653F">
        <w:rPr>
          <w:bCs/>
          <w:color w:val="000000" w:themeColor="text1"/>
          <w:szCs w:val="22"/>
          <w:lang w:val="fr-FR"/>
        </w:rPr>
        <w:t xml:space="preserve">violence contre les femmes </w:t>
      </w:r>
      <w:r w:rsidR="00601DF0" w:rsidRPr="0026653F">
        <w:rPr>
          <w:bCs/>
          <w:color w:val="000000" w:themeColor="text1"/>
          <w:szCs w:val="22"/>
          <w:lang w:val="fr-FR"/>
        </w:rPr>
        <w:t xml:space="preserve">face aux </w:t>
      </w:r>
      <w:r w:rsidRPr="0026653F">
        <w:rPr>
          <w:bCs/>
          <w:color w:val="000000" w:themeColor="text1"/>
          <w:szCs w:val="22"/>
          <w:lang w:val="fr-FR"/>
        </w:rPr>
        <w:t>mesures visant à réduire la propagation de la COVID-19</w:t>
      </w:r>
      <w:r w:rsidR="00601DF0" w:rsidRPr="0026653F">
        <w:rPr>
          <w:bCs/>
          <w:color w:val="000000" w:themeColor="text1"/>
          <w:szCs w:val="22"/>
          <w:lang w:val="fr-FR"/>
        </w:rPr>
        <w:t> »</w:t>
      </w:r>
      <w:r w:rsidRPr="0026653F">
        <w:rPr>
          <w:bCs/>
          <w:color w:val="000000" w:themeColor="text1"/>
          <w:szCs w:val="22"/>
          <w:lang w:val="fr-FR"/>
        </w:rPr>
        <w:t>, publié par la Commission interaméricaine des femmes (CIM) et le MESECVI en juillet 2020, axé sur l’Amérique latine dans le but d’identifier les nouveaux défis liés à la pandémie qui touchent différemment les femmes et les filles, les nouve</w:t>
      </w:r>
      <w:r w:rsidR="00601DF0" w:rsidRPr="0026653F">
        <w:rPr>
          <w:bCs/>
          <w:color w:val="000000" w:themeColor="text1"/>
          <w:szCs w:val="22"/>
          <w:lang w:val="fr-FR"/>
        </w:rPr>
        <w:t xml:space="preserve">lles manifestations </w:t>
      </w:r>
      <w:r w:rsidRPr="0026653F">
        <w:rPr>
          <w:bCs/>
          <w:color w:val="000000" w:themeColor="text1"/>
          <w:szCs w:val="22"/>
          <w:lang w:val="fr-FR"/>
        </w:rPr>
        <w:t>de violence qui sont apparu</w:t>
      </w:r>
      <w:r w:rsidR="00601DF0" w:rsidRPr="0026653F">
        <w:rPr>
          <w:bCs/>
          <w:color w:val="000000" w:themeColor="text1"/>
          <w:szCs w:val="22"/>
          <w:lang w:val="fr-FR"/>
        </w:rPr>
        <w:t>es</w:t>
      </w:r>
      <w:r w:rsidRPr="0026653F">
        <w:rPr>
          <w:bCs/>
          <w:color w:val="000000" w:themeColor="text1"/>
          <w:szCs w:val="22"/>
          <w:lang w:val="fr-FR"/>
        </w:rPr>
        <w:t xml:space="preserve"> et les efforts des États pour les combattre ; et d’inviter les États membres à donner la priorité à la prévention et à la lutte contre la violence sexiste </w:t>
      </w:r>
      <w:r w:rsidRPr="0026653F">
        <w:rPr>
          <w:color w:val="000000" w:themeColor="text1"/>
          <w:szCs w:val="22"/>
          <w:lang w:val="fr-FR"/>
        </w:rPr>
        <w:t xml:space="preserve">ainsi qu’à </w:t>
      </w:r>
      <w:r w:rsidRPr="0026653F">
        <w:rPr>
          <w:bCs/>
          <w:color w:val="000000" w:themeColor="text1"/>
          <w:szCs w:val="22"/>
          <w:lang w:val="fr-FR"/>
        </w:rPr>
        <w:t>la participation</w:t>
      </w:r>
      <w:r w:rsidRPr="0026653F">
        <w:rPr>
          <w:color w:val="000000" w:themeColor="text1"/>
          <w:szCs w:val="22"/>
          <w:lang w:val="fr-FR"/>
        </w:rPr>
        <w:t xml:space="preserve"> </w:t>
      </w:r>
      <w:r w:rsidRPr="0026653F">
        <w:rPr>
          <w:bCs/>
          <w:color w:val="000000" w:themeColor="text1"/>
          <w:szCs w:val="22"/>
          <w:lang w:val="fr-FR"/>
        </w:rPr>
        <w:t>des femmes à la prise de décision,</w:t>
      </w:r>
      <w:r w:rsidRPr="0026653F">
        <w:rPr>
          <w:color w:val="000000" w:themeColor="text1"/>
          <w:szCs w:val="22"/>
          <w:lang w:val="fr-FR"/>
        </w:rPr>
        <w:t xml:space="preserve"> sur un pied d’égalité, </w:t>
      </w:r>
      <w:r w:rsidRPr="0026653F">
        <w:rPr>
          <w:bCs/>
          <w:color w:val="000000" w:themeColor="text1"/>
          <w:szCs w:val="22"/>
          <w:lang w:val="fr-FR"/>
        </w:rPr>
        <w:t>dans toutes les actions liées à la COVID-19, en particulier dans le contexte post-pandémique.</w:t>
      </w:r>
    </w:p>
    <w:p w14:paraId="66C77E10" w14:textId="77777777" w:rsidR="000A6BE0" w:rsidRPr="0026653F" w:rsidRDefault="000A6BE0" w:rsidP="00C618DD">
      <w:pPr>
        <w:suppressAutoHyphens/>
        <w:rPr>
          <w:color w:val="000000" w:themeColor="text1"/>
          <w:szCs w:val="22"/>
          <w:lang w:val="fr-FR"/>
        </w:rPr>
      </w:pPr>
    </w:p>
    <w:p w14:paraId="0E3C293F" w14:textId="1EF1368C" w:rsidR="000A6BE0" w:rsidRPr="0026653F" w:rsidRDefault="000A6BE0" w:rsidP="00C618DD">
      <w:pPr>
        <w:suppressAutoHyphens/>
        <w:snapToGrid w:val="0"/>
        <w:ind w:right="61" w:firstLine="720"/>
        <w:rPr>
          <w:color w:val="000000" w:themeColor="text1"/>
          <w:szCs w:val="22"/>
          <w:lang w:val="fr-FR"/>
        </w:rPr>
      </w:pPr>
      <w:r w:rsidRPr="0026653F">
        <w:rPr>
          <w:color w:val="000000" w:themeColor="text1"/>
          <w:szCs w:val="22"/>
          <w:lang w:val="fr-FR"/>
        </w:rPr>
        <w:t>5.</w:t>
      </w:r>
      <w:r w:rsidRPr="0026653F">
        <w:rPr>
          <w:color w:val="000000" w:themeColor="text1"/>
          <w:szCs w:val="22"/>
          <w:lang w:val="fr-FR"/>
        </w:rPr>
        <w:tab/>
        <w:t xml:space="preserve">De charger la CIM et le MESECVI de poursuivre l'analyse des impacts spécifiques que la pandémie de COVID-19 a eu sur les femmes et les filles, à savoir d'identifier les nouveaux défis découlant de la pandémie qui ont un impact différencié sur les femmes et les filles, </w:t>
      </w:r>
      <w:r w:rsidRPr="0026653F">
        <w:rPr>
          <w:bCs/>
          <w:color w:val="000000" w:themeColor="text1"/>
          <w:szCs w:val="22"/>
          <w:lang w:val="fr-FR"/>
        </w:rPr>
        <w:t>les nouveaux défis liés à la pandémie qui touchent différemment les femmes et les filles, les nouve</w:t>
      </w:r>
      <w:r w:rsidR="00601DF0" w:rsidRPr="0026653F">
        <w:rPr>
          <w:bCs/>
          <w:color w:val="000000" w:themeColor="text1"/>
          <w:szCs w:val="22"/>
          <w:lang w:val="fr-FR"/>
        </w:rPr>
        <w:t xml:space="preserve">lles manifestations </w:t>
      </w:r>
      <w:r w:rsidRPr="0026653F">
        <w:rPr>
          <w:bCs/>
          <w:color w:val="000000" w:themeColor="text1"/>
          <w:szCs w:val="22"/>
          <w:lang w:val="fr-FR"/>
        </w:rPr>
        <w:t>de violence qui sont apparu</w:t>
      </w:r>
      <w:r w:rsidR="00601DF0" w:rsidRPr="0026653F">
        <w:rPr>
          <w:bCs/>
          <w:color w:val="000000" w:themeColor="text1"/>
          <w:szCs w:val="22"/>
          <w:lang w:val="fr-FR"/>
        </w:rPr>
        <w:t>e</w:t>
      </w:r>
      <w:r w:rsidRPr="0026653F">
        <w:rPr>
          <w:bCs/>
          <w:color w:val="000000" w:themeColor="text1"/>
          <w:szCs w:val="22"/>
          <w:lang w:val="fr-FR"/>
        </w:rPr>
        <w:t>s et les efforts des États pour les combattre</w:t>
      </w:r>
      <w:r w:rsidRPr="0026653F">
        <w:rPr>
          <w:color w:val="000000" w:themeColor="text1"/>
          <w:szCs w:val="22"/>
          <w:lang w:val="fr-FR"/>
        </w:rPr>
        <w:t>, et la participation des femmes à la prise de décision sur toutes les questions liées à COVID-19, avec un accent particulier sur les États membres des Caraïbes.</w:t>
      </w:r>
    </w:p>
    <w:p w14:paraId="35070BE9" w14:textId="77777777" w:rsidR="000A6BE0" w:rsidRPr="0026653F" w:rsidRDefault="000A6BE0" w:rsidP="00C618DD">
      <w:pPr>
        <w:suppressAutoHyphens/>
        <w:snapToGrid w:val="0"/>
        <w:ind w:right="61"/>
        <w:rPr>
          <w:color w:val="000000" w:themeColor="text1"/>
          <w:szCs w:val="22"/>
          <w:lang w:val="fr-FR"/>
        </w:rPr>
      </w:pPr>
    </w:p>
    <w:p w14:paraId="6A60C20F" w14:textId="26C650D5" w:rsidR="000A6BE0" w:rsidRPr="00767721" w:rsidRDefault="000A6BE0" w:rsidP="00C618DD">
      <w:pPr>
        <w:suppressAutoHyphens/>
        <w:snapToGrid w:val="0"/>
        <w:ind w:right="61"/>
        <w:rPr>
          <w:color w:val="000000" w:themeColor="text1"/>
          <w:szCs w:val="22"/>
          <w:lang w:val="fr-FR"/>
        </w:rPr>
      </w:pPr>
      <w:r w:rsidRPr="0026653F">
        <w:rPr>
          <w:color w:val="000000" w:themeColor="text1"/>
          <w:szCs w:val="22"/>
          <w:lang w:val="fr-FR"/>
        </w:rPr>
        <w:tab/>
        <w:t>6.</w:t>
      </w:r>
      <w:r w:rsidRPr="0026653F">
        <w:rPr>
          <w:color w:val="000000" w:themeColor="text1"/>
          <w:szCs w:val="22"/>
          <w:lang w:val="fr-FR"/>
        </w:rPr>
        <w:tab/>
      </w:r>
      <w:r w:rsidRPr="0026653F">
        <w:rPr>
          <w:bCs/>
          <w:color w:val="000000" w:themeColor="text1"/>
          <w:szCs w:val="22"/>
          <w:lang w:val="fr-FR"/>
        </w:rPr>
        <w:t>D’encourager les États membres, les observateurs permanents et d’autres entités à verser des contributions volontaires et spécifiques, conformément aux dispositions énoncées par les États parties dans le Statut</w:t>
      </w:r>
      <w:r w:rsidR="008527F9" w:rsidRPr="0026653F">
        <w:rPr>
          <w:bCs/>
          <w:color w:val="000000" w:themeColor="text1"/>
          <w:szCs w:val="22"/>
          <w:lang w:val="fr-FR"/>
        </w:rPr>
        <w:t xml:space="preserve"> du MESECVI</w:t>
      </w:r>
      <w:r w:rsidRPr="0026653F">
        <w:rPr>
          <w:bCs/>
          <w:color w:val="000000" w:themeColor="text1"/>
          <w:szCs w:val="22"/>
          <w:lang w:val="fr-FR"/>
        </w:rPr>
        <w:t xml:space="preserve">. De même, de réitérer l’importance pour le Secrétariat technique du MESECVI de disposer, dans les limites </w:t>
      </w:r>
      <w:r w:rsidRPr="0026653F">
        <w:rPr>
          <w:color w:val="000000" w:themeColor="text1"/>
          <w:szCs w:val="22"/>
          <w:lang w:val="fr-FR"/>
        </w:rPr>
        <w:t>des ressources de l’Organisation, des moyens humains, techniques et financiers pour son fonctionnement optimal, afin de donner suite aux mandats permanents du MESECVI.</w:t>
      </w:r>
    </w:p>
    <w:p w14:paraId="1D01A02E" w14:textId="77777777" w:rsidR="000A6BE0" w:rsidRPr="0026653F" w:rsidRDefault="000A6BE0" w:rsidP="00C618DD">
      <w:pPr>
        <w:suppressAutoHyphens/>
        <w:rPr>
          <w:szCs w:val="22"/>
          <w:lang w:val="fr-FR"/>
        </w:rPr>
      </w:pPr>
    </w:p>
    <w:p w14:paraId="626AB94F" w14:textId="5F63ADCB" w:rsidR="000A6BE0" w:rsidRPr="0026653F" w:rsidRDefault="000A6BE0" w:rsidP="00C618DD">
      <w:pPr>
        <w:suppressAutoHyphens/>
        <w:ind w:left="720" w:hanging="720"/>
        <w:rPr>
          <w:szCs w:val="22"/>
          <w:lang w:val="fr-FR"/>
        </w:rPr>
      </w:pPr>
      <w:r w:rsidRPr="0026653F">
        <w:rPr>
          <w:szCs w:val="22"/>
          <w:lang w:val="fr-FR"/>
        </w:rPr>
        <w:t>xxii.</w:t>
      </w:r>
      <w:r w:rsidRPr="0026653F">
        <w:rPr>
          <w:szCs w:val="22"/>
          <w:lang w:val="fr-FR"/>
        </w:rPr>
        <w:tab/>
      </w:r>
      <w:r w:rsidRPr="0026653F">
        <w:rPr>
          <w:color w:val="000000"/>
          <w:szCs w:val="22"/>
          <w:u w:val="single"/>
          <w:lang w:val="fr-FR"/>
        </w:rPr>
        <w:t>Suivi de la mise en œuvre de la Déclaration américaine sur les droits des peuples autochtones et du Plan d’action relatif à la Déclaration américaine sur les droits des peuples autochtones (2017-2021</w:t>
      </w:r>
      <w:r w:rsidRPr="0026653F">
        <w:rPr>
          <w:color w:val="000000"/>
          <w:szCs w:val="22"/>
          <w:lang w:val="fr-FR"/>
        </w:rPr>
        <w:t>)</w:t>
      </w:r>
    </w:p>
    <w:p w14:paraId="3353F92C" w14:textId="77777777" w:rsidR="000A6BE0" w:rsidRPr="0026653F" w:rsidRDefault="000A6BE0" w:rsidP="00C618DD">
      <w:pPr>
        <w:suppressAutoHyphens/>
        <w:rPr>
          <w:color w:val="000000"/>
          <w:szCs w:val="22"/>
          <w:lang w:val="fr-FR"/>
        </w:rPr>
      </w:pPr>
    </w:p>
    <w:p w14:paraId="378ACEEC" w14:textId="77777777" w:rsidR="000A6BE0" w:rsidRPr="0026653F" w:rsidRDefault="000A6BE0" w:rsidP="00C618DD">
      <w:pPr>
        <w:suppressAutoHyphens/>
        <w:ind w:firstLine="720"/>
        <w:rPr>
          <w:i/>
          <w:szCs w:val="22"/>
          <w:lang w:val="fr-FR"/>
        </w:rPr>
      </w:pPr>
      <w:r w:rsidRPr="0026653F">
        <w:rPr>
          <w:color w:val="000000"/>
          <w:szCs w:val="22"/>
          <w:lang w:val="fr-FR"/>
        </w:rPr>
        <w:t>GARDANT PRÉSENTS À L’ESPRIT la Déclaration américaine sur les droits des peuples autochtones et le Plan d’action relatif à la Déclaration américaine sur les droits des peuples autochtones (2017-2021) ; la résolution AG/RES. 2898 (XLVII-O/17), « 2019 Année internationale des langues autochtones » et la résolution AG/RES. 2934 (XLIX-O/19) « Participation effective des populations autochtones et des personnes d’ascendance africaine aux activités de l’OEA »,</w:t>
      </w:r>
    </w:p>
    <w:p w14:paraId="63310794" w14:textId="77777777" w:rsidR="000A6BE0" w:rsidRPr="0026653F" w:rsidRDefault="000A6BE0" w:rsidP="00C618DD">
      <w:pPr>
        <w:suppressAutoHyphens/>
        <w:rPr>
          <w:szCs w:val="22"/>
          <w:lang w:val="fr-FR"/>
        </w:rPr>
      </w:pPr>
    </w:p>
    <w:p w14:paraId="6AFC9C6B" w14:textId="402A782F" w:rsidR="000A6BE0" w:rsidRPr="0026653F" w:rsidRDefault="000A6BE0" w:rsidP="00C618DD">
      <w:pPr>
        <w:suppressAutoHyphens/>
        <w:ind w:firstLine="720"/>
        <w:rPr>
          <w:szCs w:val="22"/>
          <w:lang w:val="fr-FR"/>
        </w:rPr>
      </w:pPr>
      <w:r w:rsidRPr="0026653F">
        <w:rPr>
          <w:szCs w:val="22"/>
          <w:lang w:val="fr-FR"/>
        </w:rPr>
        <w:t xml:space="preserve">SOULIGNANT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et de prendre des mesures urgentes aux niveaux national et international, et qui invite l’Organisation des Nations Unies pour l’éducation, la science et la culture </w:t>
      </w:r>
      <w:r w:rsidR="00E26E16" w:rsidRPr="0026653F">
        <w:rPr>
          <w:szCs w:val="22"/>
          <w:lang w:val="fr-FR"/>
        </w:rPr>
        <w:t xml:space="preserve">(UNESCO) </w:t>
      </w:r>
      <w:r w:rsidRPr="0026653F">
        <w:rPr>
          <w:szCs w:val="22"/>
          <w:lang w:val="fr-FR"/>
        </w:rPr>
        <w:t xml:space="preserve">à agir en tant qu’organisme de coordination des activités de la Décennie internationale, en collaboration avec le Département des affaires économiques et sociales du Secrétariat </w:t>
      </w:r>
      <w:r w:rsidR="008A7BFB" w:rsidRPr="0026653F">
        <w:rPr>
          <w:szCs w:val="22"/>
          <w:lang w:val="fr-FR"/>
        </w:rPr>
        <w:t xml:space="preserve">de l’ONU </w:t>
      </w:r>
      <w:r w:rsidRPr="0026653F">
        <w:rPr>
          <w:szCs w:val="22"/>
          <w:lang w:val="fr-FR"/>
        </w:rPr>
        <w:t>et d’autres organismes compétents, dans la limite des ressources disponibles</w:t>
      </w:r>
      <w:r w:rsidR="005707FC" w:rsidRPr="0026653F">
        <w:rPr>
          <w:szCs w:val="22"/>
          <w:lang w:val="fr-FR"/>
        </w:rPr>
        <w:t xml:space="preserve">, </w:t>
      </w:r>
      <w:r w:rsidR="006837BA" w:rsidRPr="0026653F">
        <w:rPr>
          <w:szCs w:val="22"/>
          <w:lang w:val="fr-FR"/>
        </w:rPr>
        <w:t>d’où la réalisation de</w:t>
      </w:r>
      <w:r w:rsidRPr="0026653F">
        <w:rPr>
          <w:szCs w:val="22"/>
          <w:lang w:val="fr-FR"/>
        </w:rPr>
        <w:t xml:space="preserve"> la manifestation de haut niveau intitulée </w:t>
      </w:r>
      <w:r w:rsidR="008A7BFB" w:rsidRPr="0026653F">
        <w:rPr>
          <w:szCs w:val="22"/>
          <w:lang w:val="fr-FR"/>
        </w:rPr>
        <w:t>« </w:t>
      </w:r>
      <w:r w:rsidRPr="0026653F">
        <w:rPr>
          <w:szCs w:val="22"/>
          <w:lang w:val="fr-FR"/>
        </w:rPr>
        <w:t>Pour une décennie d’action en faveur des langues autochtones</w:t>
      </w:r>
      <w:r w:rsidR="008A7BFB" w:rsidRPr="0026653F">
        <w:rPr>
          <w:szCs w:val="22"/>
          <w:lang w:val="fr-FR"/>
        </w:rPr>
        <w:t> »</w:t>
      </w:r>
      <w:r w:rsidRPr="0026653F">
        <w:rPr>
          <w:szCs w:val="22"/>
          <w:lang w:val="fr-FR"/>
        </w:rPr>
        <w:t xml:space="preserve"> les 27 et 28 février 2020 à Mexico avec la participation</w:t>
      </w:r>
      <w:r w:rsidR="006837BA" w:rsidRPr="0026653F">
        <w:rPr>
          <w:szCs w:val="22"/>
          <w:lang w:val="fr-FR"/>
        </w:rPr>
        <w:t xml:space="preserve"> notamment</w:t>
      </w:r>
      <w:r w:rsidRPr="0026653F">
        <w:rPr>
          <w:szCs w:val="22"/>
          <w:lang w:val="fr-FR"/>
        </w:rPr>
        <w:t xml:space="preserve"> de représentants </w:t>
      </w:r>
      <w:r w:rsidRPr="0026653F">
        <w:rPr>
          <w:szCs w:val="22"/>
          <w:lang w:val="fr-FR"/>
        </w:rPr>
        <w:lastRenderedPageBreak/>
        <w:t xml:space="preserve">autochtones de diverses régions du monde, de l’Instance permanente sur les questions autochtones </w:t>
      </w:r>
      <w:r w:rsidR="001C7E2F" w:rsidRPr="0026653F">
        <w:rPr>
          <w:szCs w:val="22"/>
          <w:lang w:val="fr-FR"/>
        </w:rPr>
        <w:t xml:space="preserve">des Nations Unies </w:t>
      </w:r>
      <w:r w:rsidRPr="0026653F">
        <w:rPr>
          <w:szCs w:val="22"/>
          <w:lang w:val="fr-FR"/>
        </w:rPr>
        <w:t xml:space="preserve">et de l’UNESCO, </w:t>
      </w:r>
      <w:r w:rsidR="006837BA" w:rsidRPr="0026653F">
        <w:rPr>
          <w:szCs w:val="22"/>
          <w:lang w:val="fr-FR"/>
        </w:rPr>
        <w:t xml:space="preserve">dont résulte </w:t>
      </w:r>
      <w:r w:rsidRPr="0026653F">
        <w:rPr>
          <w:szCs w:val="22"/>
          <w:lang w:val="fr-FR"/>
        </w:rPr>
        <w:t xml:space="preserve">la </w:t>
      </w:r>
      <w:r w:rsidR="002A6883" w:rsidRPr="0026653F">
        <w:rPr>
          <w:szCs w:val="22"/>
          <w:lang w:val="fr-FR"/>
        </w:rPr>
        <w:t>« </w:t>
      </w:r>
      <w:r w:rsidRPr="0026653F">
        <w:rPr>
          <w:szCs w:val="22"/>
          <w:lang w:val="fr-FR"/>
        </w:rPr>
        <w:t xml:space="preserve">Déclaration de Los Pinos </w:t>
      </w:r>
      <w:r w:rsidR="008A7BFB" w:rsidRPr="0026653F">
        <w:rPr>
          <w:szCs w:val="22"/>
          <w:lang w:val="fr-FR"/>
        </w:rPr>
        <w:t>[</w:t>
      </w:r>
      <w:r w:rsidRPr="0026653F">
        <w:rPr>
          <w:szCs w:val="22"/>
          <w:lang w:val="fr-FR"/>
        </w:rPr>
        <w:t>Chap</w:t>
      </w:r>
      <w:r w:rsidR="006837BA" w:rsidRPr="0026653F">
        <w:rPr>
          <w:szCs w:val="22"/>
          <w:lang w:val="fr-FR"/>
        </w:rPr>
        <w:t>u</w:t>
      </w:r>
      <w:r w:rsidRPr="0026653F">
        <w:rPr>
          <w:szCs w:val="22"/>
          <w:lang w:val="fr-FR"/>
        </w:rPr>
        <w:t>ltepe</w:t>
      </w:r>
      <w:r w:rsidR="006837BA" w:rsidRPr="0026653F">
        <w:rPr>
          <w:szCs w:val="22"/>
          <w:lang w:val="fr-FR"/>
        </w:rPr>
        <w:t>c</w:t>
      </w:r>
      <w:r w:rsidR="008A7BFB" w:rsidRPr="0026653F">
        <w:rPr>
          <w:szCs w:val="22"/>
          <w:lang w:val="fr-FR"/>
        </w:rPr>
        <w:t>]</w:t>
      </w:r>
      <w:r w:rsidRPr="0026653F">
        <w:rPr>
          <w:szCs w:val="22"/>
          <w:lang w:val="fr-FR"/>
        </w:rPr>
        <w:t xml:space="preserve"> – Lancer une décennie d’action pour les langues autochtones</w:t>
      </w:r>
      <w:r w:rsidR="002A6883" w:rsidRPr="0026653F">
        <w:rPr>
          <w:szCs w:val="22"/>
          <w:lang w:val="fr-FR"/>
        </w:rPr>
        <w:t> »</w:t>
      </w:r>
      <w:r w:rsidRPr="0026653F">
        <w:rPr>
          <w:szCs w:val="22"/>
          <w:lang w:val="fr-FR"/>
        </w:rPr>
        <w:t>, laquelle comprend des principes fondamentaux, des orientations stratégiques, des considérations thématiques et des directives d’application,</w:t>
      </w:r>
    </w:p>
    <w:p w14:paraId="7809A509" w14:textId="77777777" w:rsidR="000A6BE0" w:rsidRPr="0026653F" w:rsidRDefault="000A6BE0" w:rsidP="00C618DD">
      <w:pPr>
        <w:suppressAutoHyphens/>
        <w:rPr>
          <w:bCs/>
          <w:szCs w:val="22"/>
          <w:lang w:val="fr-FR"/>
        </w:rPr>
      </w:pPr>
    </w:p>
    <w:p w14:paraId="250D4754" w14:textId="7EE51C5D" w:rsidR="000A6BE0" w:rsidRPr="0026653F" w:rsidRDefault="000A6BE0" w:rsidP="00C618DD">
      <w:pPr>
        <w:suppressAutoHyphens/>
        <w:ind w:firstLine="720"/>
        <w:rPr>
          <w:i/>
          <w:szCs w:val="22"/>
          <w:lang w:val="fr-FR"/>
        </w:rPr>
      </w:pPr>
      <w:r w:rsidRPr="0026653F">
        <w:rPr>
          <w:szCs w:val="22"/>
          <w:lang w:val="fr-FR"/>
        </w:rPr>
        <w:t>S</w:t>
      </w:r>
      <w:r w:rsidR="002A6883" w:rsidRPr="0026653F">
        <w:rPr>
          <w:szCs w:val="22"/>
          <w:lang w:val="fr-FR"/>
        </w:rPr>
        <w:t xml:space="preserve">ALUANT </w:t>
      </w:r>
      <w:r w:rsidRPr="0026653F">
        <w:rPr>
          <w:szCs w:val="22"/>
          <w:lang w:val="fr-FR"/>
        </w:rPr>
        <w:t xml:space="preserve">la tenue des deuxième et troisième Semaines interaméricaines des peuples autochtones et d’une réunion mixte spéciale du Conseil permanent et du Conseil interaméricain pour le développement intégré </w:t>
      </w:r>
      <w:r w:rsidR="002A6883" w:rsidRPr="0026653F">
        <w:rPr>
          <w:szCs w:val="22"/>
          <w:lang w:val="fr-FR"/>
        </w:rPr>
        <w:t>afin de</w:t>
      </w:r>
      <w:r w:rsidRPr="0026653F">
        <w:rPr>
          <w:szCs w:val="22"/>
          <w:lang w:val="fr-FR"/>
        </w:rPr>
        <w:t xml:space="preserve"> commémorer l’Année internationale des langues autochtones</w:t>
      </w:r>
      <w:r w:rsidR="006837BA" w:rsidRPr="0026653F">
        <w:rPr>
          <w:szCs w:val="22"/>
          <w:lang w:val="fr-FR"/>
        </w:rPr>
        <w:t xml:space="preserve"> à titre de suivi de </w:t>
      </w:r>
      <w:r w:rsidRPr="0026653F">
        <w:rPr>
          <w:szCs w:val="22"/>
          <w:lang w:val="fr-FR"/>
        </w:rPr>
        <w:t>la résolution AG/RES. 2898 (XLVII-O/17), «</w:t>
      </w:r>
      <w:r w:rsidR="008A7BFB" w:rsidRPr="0026653F">
        <w:rPr>
          <w:szCs w:val="22"/>
          <w:lang w:val="fr-FR"/>
        </w:rPr>
        <w:t> </w:t>
      </w:r>
      <w:r w:rsidRPr="0026653F">
        <w:rPr>
          <w:szCs w:val="22"/>
          <w:lang w:val="fr-FR"/>
        </w:rPr>
        <w:t>2019 Année internationale des langues autochtones</w:t>
      </w:r>
      <w:r w:rsidR="008A7BFB" w:rsidRPr="0026653F">
        <w:rPr>
          <w:szCs w:val="22"/>
          <w:lang w:val="fr-FR"/>
        </w:rPr>
        <w:t> »</w:t>
      </w:r>
      <w:r w:rsidR="006837BA" w:rsidRPr="0026653F">
        <w:rPr>
          <w:szCs w:val="22"/>
          <w:lang w:val="fr-FR"/>
        </w:rPr>
        <w:t xml:space="preserve"> et d</w:t>
      </w:r>
      <w:r w:rsidRPr="0026653F">
        <w:rPr>
          <w:szCs w:val="22"/>
          <w:lang w:val="fr-FR"/>
        </w:rPr>
        <w:t>u Plan d’action relatif à la Déclaration américaine sur les droits des peuples autochtones (2017-2021),</w:t>
      </w:r>
    </w:p>
    <w:p w14:paraId="09761B24" w14:textId="77777777" w:rsidR="000A6BE0" w:rsidRPr="0026653F" w:rsidRDefault="000A6BE0" w:rsidP="00C618DD">
      <w:pPr>
        <w:suppressAutoHyphens/>
        <w:rPr>
          <w:szCs w:val="22"/>
          <w:lang w:val="fr-FR"/>
        </w:rPr>
      </w:pPr>
    </w:p>
    <w:p w14:paraId="12FBDB58" w14:textId="26E1A879" w:rsidR="000A6BE0" w:rsidRPr="0026653F" w:rsidRDefault="000A6BE0" w:rsidP="00C618DD">
      <w:pPr>
        <w:suppressAutoHyphens/>
        <w:ind w:firstLine="720"/>
        <w:rPr>
          <w:i/>
          <w:szCs w:val="22"/>
          <w:lang w:val="fr-FR"/>
        </w:rPr>
      </w:pPr>
      <w:r w:rsidRPr="0026653F">
        <w:rPr>
          <w:szCs w:val="22"/>
          <w:lang w:val="fr-FR"/>
        </w:rPr>
        <w:t>S</w:t>
      </w:r>
      <w:r w:rsidR="002A6883" w:rsidRPr="0026653F">
        <w:rPr>
          <w:szCs w:val="22"/>
          <w:lang w:val="fr-FR"/>
        </w:rPr>
        <w:t xml:space="preserve">ALUANT </w:t>
      </w:r>
      <w:r w:rsidRPr="0026653F">
        <w:rPr>
          <w:szCs w:val="22"/>
          <w:lang w:val="fr-FR"/>
        </w:rPr>
        <w:t>ÉGALEMENT la réalisation du Congrès régional sur les langues autochtones pour l’Amérique latine et les Caraïbes, du 25 au 27 septembre 2019 à Cusco (Pérou)</w:t>
      </w:r>
      <w:r w:rsidRPr="0026653F">
        <w:rPr>
          <w:bCs/>
          <w:i/>
          <w:iCs/>
          <w:color w:val="000000" w:themeColor="text1"/>
          <w:szCs w:val="22"/>
          <w:lang w:val="fr-FR"/>
        </w:rPr>
        <w:t>,</w:t>
      </w:r>
    </w:p>
    <w:p w14:paraId="631A7956" w14:textId="77777777" w:rsidR="000A6BE0" w:rsidRPr="0026653F" w:rsidRDefault="000A6BE0" w:rsidP="00C618DD">
      <w:pPr>
        <w:suppressAutoHyphens/>
        <w:rPr>
          <w:szCs w:val="22"/>
          <w:lang w:val="fr-FR"/>
        </w:rPr>
      </w:pPr>
    </w:p>
    <w:p w14:paraId="09ADC531" w14:textId="77777777" w:rsidR="000A6BE0" w:rsidRPr="0026653F" w:rsidRDefault="000A6BE0" w:rsidP="00C618DD">
      <w:pPr>
        <w:suppressAutoHyphens/>
        <w:rPr>
          <w:color w:val="000000"/>
          <w:szCs w:val="22"/>
          <w:lang w:val="fr-FR"/>
        </w:rPr>
      </w:pPr>
      <w:r w:rsidRPr="0026653F">
        <w:rPr>
          <w:color w:val="000000"/>
          <w:szCs w:val="22"/>
          <w:lang w:val="fr-FR"/>
        </w:rPr>
        <w:t>DÉCIDE :</w:t>
      </w:r>
    </w:p>
    <w:p w14:paraId="6A72A052" w14:textId="77777777" w:rsidR="000A6BE0" w:rsidRPr="0026653F" w:rsidRDefault="000A6BE0" w:rsidP="00C618DD">
      <w:pPr>
        <w:suppressAutoHyphens/>
        <w:rPr>
          <w:color w:val="000000"/>
          <w:szCs w:val="22"/>
          <w:lang w:val="fr-FR"/>
        </w:rPr>
      </w:pPr>
    </w:p>
    <w:p w14:paraId="4A7D5A7B" w14:textId="77777777" w:rsidR="000A6BE0" w:rsidRPr="0026653F" w:rsidRDefault="000A6BE0" w:rsidP="00C618DD">
      <w:pPr>
        <w:suppressAutoHyphens/>
        <w:ind w:firstLine="720"/>
        <w:rPr>
          <w:color w:val="000000"/>
          <w:szCs w:val="22"/>
          <w:lang w:val="fr-FR"/>
        </w:rPr>
      </w:pPr>
      <w:r w:rsidRPr="0026653F">
        <w:rPr>
          <w:color w:val="000000"/>
          <w:szCs w:val="22"/>
          <w:lang w:val="fr-FR"/>
        </w:rPr>
        <w:t>1.</w:t>
      </w:r>
      <w:r w:rsidRPr="0026653F">
        <w:rPr>
          <w:color w:val="000000"/>
          <w:szCs w:val="22"/>
          <w:lang w:val="fr-FR"/>
        </w:rPr>
        <w:tab/>
        <w:t>De demander instamment aux États membres, au Secrétariat général et aux institutions de l’OEA de prendre toutes les mesures nécessaires pour la mise en œuvre de la Déclaration américaine sur les droits des peuples autochtones et du Plan d’action relatif à la Déclaration américaine sur les droits des peuples autochtones (2017-2021</w:t>
      </w:r>
      <w:r w:rsidRPr="0026653F">
        <w:rPr>
          <w:szCs w:val="22"/>
          <w:lang w:val="fr-FR"/>
        </w:rPr>
        <w:t>).</w:t>
      </w:r>
    </w:p>
    <w:p w14:paraId="460501B7" w14:textId="77777777" w:rsidR="000A6BE0" w:rsidRPr="0026653F" w:rsidRDefault="000A6BE0" w:rsidP="00C618DD">
      <w:pPr>
        <w:suppressAutoHyphens/>
        <w:rPr>
          <w:color w:val="000000"/>
          <w:szCs w:val="22"/>
          <w:lang w:val="fr-FR"/>
        </w:rPr>
      </w:pPr>
    </w:p>
    <w:p w14:paraId="491FABF0" w14:textId="08BAEB76" w:rsidR="000A6BE0" w:rsidRPr="0026653F" w:rsidRDefault="000A6BE0" w:rsidP="00C618DD">
      <w:pPr>
        <w:suppressAutoHyphens/>
        <w:ind w:firstLine="720"/>
        <w:rPr>
          <w:color w:val="000000"/>
          <w:szCs w:val="22"/>
          <w:lang w:val="fr-FR"/>
        </w:rPr>
      </w:pPr>
      <w:r w:rsidRPr="0026653F">
        <w:rPr>
          <w:color w:val="000000"/>
          <w:szCs w:val="22"/>
          <w:lang w:val="fr-FR"/>
        </w:rPr>
        <w:t>2.</w:t>
      </w:r>
      <w:r w:rsidRPr="0026653F">
        <w:rPr>
          <w:color w:val="000000"/>
          <w:szCs w:val="22"/>
          <w:lang w:val="fr-FR"/>
        </w:rPr>
        <w:tab/>
      </w:r>
      <w:r w:rsidRPr="0026653F">
        <w:rPr>
          <w:bCs/>
          <w:color w:val="000000"/>
          <w:szCs w:val="22"/>
          <w:lang w:val="fr-FR"/>
        </w:rPr>
        <w:t>De demander instamment</w:t>
      </w:r>
      <w:r w:rsidRPr="0026653F">
        <w:rPr>
          <w:color w:val="000000"/>
          <w:szCs w:val="22"/>
          <w:lang w:val="fr-FR"/>
        </w:rPr>
        <w:t xml:space="preserve"> aux États membres et aux observateurs permanents </w:t>
      </w:r>
      <w:r w:rsidR="006837BA" w:rsidRPr="0026653F">
        <w:rPr>
          <w:color w:val="000000"/>
          <w:szCs w:val="22"/>
          <w:lang w:val="fr-FR"/>
        </w:rPr>
        <w:t>de</w:t>
      </w:r>
      <w:r w:rsidRPr="0026653F">
        <w:rPr>
          <w:color w:val="000000"/>
          <w:szCs w:val="22"/>
          <w:lang w:val="fr-FR"/>
        </w:rPr>
        <w:t xml:space="preserve"> contribuer au </w:t>
      </w:r>
      <w:r w:rsidR="002A6883" w:rsidRPr="0026653F">
        <w:rPr>
          <w:color w:val="000000"/>
          <w:szCs w:val="22"/>
          <w:lang w:val="fr-FR"/>
        </w:rPr>
        <w:t>f</w:t>
      </w:r>
      <w:r w:rsidRPr="0026653F">
        <w:rPr>
          <w:color w:val="000000"/>
          <w:szCs w:val="22"/>
          <w:lang w:val="fr-FR"/>
        </w:rPr>
        <w:t xml:space="preserve">onds spécifique de contributions volontaires </w:t>
      </w:r>
      <w:r w:rsidR="002A6883" w:rsidRPr="0026653F">
        <w:rPr>
          <w:color w:val="000000"/>
          <w:szCs w:val="22"/>
          <w:lang w:val="fr-FR"/>
        </w:rPr>
        <w:t xml:space="preserve">visant à </w:t>
      </w:r>
      <w:r w:rsidRPr="0026653F">
        <w:rPr>
          <w:color w:val="000000"/>
          <w:szCs w:val="22"/>
          <w:lang w:val="fr-FR"/>
        </w:rPr>
        <w:t>appuyer la mise en œuvre de la Déclaration américaine sur les droits des peuples autochtones et du Plan d’action relatif à la Déclaration américaine sur les droits des peuples autochtones (2017-2021</w:t>
      </w:r>
      <w:r w:rsidRPr="0026653F">
        <w:rPr>
          <w:szCs w:val="22"/>
          <w:lang w:val="fr-FR"/>
        </w:rPr>
        <w:t>).</w:t>
      </w:r>
    </w:p>
    <w:p w14:paraId="5F13E396" w14:textId="77777777" w:rsidR="000A6BE0" w:rsidRPr="0026653F" w:rsidRDefault="000A6BE0" w:rsidP="00C618DD">
      <w:pPr>
        <w:suppressAutoHyphens/>
        <w:rPr>
          <w:color w:val="000000"/>
          <w:szCs w:val="22"/>
          <w:lang w:val="fr-FR"/>
        </w:rPr>
      </w:pPr>
    </w:p>
    <w:p w14:paraId="190EE3B0" w14:textId="2CFC68AA" w:rsidR="000A6BE0" w:rsidRPr="0026653F" w:rsidRDefault="000A6BE0" w:rsidP="00C618DD">
      <w:pPr>
        <w:suppressAutoHyphens/>
        <w:ind w:firstLine="720"/>
        <w:rPr>
          <w:bCs/>
          <w:color w:val="000000"/>
          <w:szCs w:val="22"/>
          <w:lang w:val="fr-FR"/>
        </w:rPr>
      </w:pPr>
      <w:r w:rsidRPr="0026653F">
        <w:rPr>
          <w:bCs/>
          <w:color w:val="000000"/>
          <w:szCs w:val="22"/>
          <w:lang w:val="fr-FR"/>
        </w:rPr>
        <w:t>3.</w:t>
      </w:r>
      <w:r w:rsidRPr="0026653F">
        <w:rPr>
          <w:color w:val="000000"/>
          <w:szCs w:val="22"/>
          <w:lang w:val="fr-FR"/>
        </w:rPr>
        <w:tab/>
      </w:r>
      <w:r w:rsidRPr="0026653F">
        <w:rPr>
          <w:bCs/>
          <w:color w:val="000000"/>
          <w:szCs w:val="22"/>
          <w:lang w:val="fr-FR"/>
        </w:rPr>
        <w:t xml:space="preserve">De charger </w:t>
      </w:r>
      <w:r w:rsidR="006837BA" w:rsidRPr="0026653F">
        <w:rPr>
          <w:bCs/>
          <w:color w:val="000000"/>
          <w:szCs w:val="22"/>
          <w:lang w:val="fr-FR"/>
        </w:rPr>
        <w:t xml:space="preserve">de nouveau </w:t>
      </w:r>
      <w:r w:rsidRPr="0026653F">
        <w:rPr>
          <w:bCs/>
          <w:color w:val="000000"/>
          <w:szCs w:val="22"/>
          <w:lang w:val="fr-FR"/>
        </w:rPr>
        <w:t>le Secrétariat général de tenir une rencontre des hautes autorités des États membres chargées</w:t>
      </w:r>
      <w:r w:rsidRPr="0026653F">
        <w:rPr>
          <w:color w:val="000000"/>
          <w:szCs w:val="22"/>
          <w:lang w:val="fr-FR"/>
        </w:rPr>
        <w:t xml:space="preserve"> des politiques pour les peuples autochtones, avec la participation pleine et effective de représentants de peuples autochtones des Amériques ainsi que d’autres </w:t>
      </w:r>
      <w:r w:rsidR="005A248B" w:rsidRPr="0026653F">
        <w:rPr>
          <w:color w:val="000000"/>
          <w:szCs w:val="22"/>
          <w:lang w:val="fr-FR"/>
        </w:rPr>
        <w:t xml:space="preserve">institutions </w:t>
      </w:r>
      <w:r w:rsidRPr="0026653F">
        <w:rPr>
          <w:color w:val="000000"/>
          <w:szCs w:val="22"/>
          <w:lang w:val="fr-FR"/>
        </w:rPr>
        <w:t>internationa</w:t>
      </w:r>
      <w:r w:rsidR="005A248B" w:rsidRPr="0026653F">
        <w:rPr>
          <w:color w:val="000000"/>
          <w:szCs w:val="22"/>
          <w:lang w:val="fr-FR"/>
        </w:rPr>
        <w:t>les</w:t>
      </w:r>
      <w:r w:rsidRPr="0026653F">
        <w:rPr>
          <w:color w:val="000000"/>
          <w:szCs w:val="22"/>
          <w:lang w:val="fr-FR"/>
        </w:rPr>
        <w:t xml:space="preserve"> et régiona</w:t>
      </w:r>
      <w:r w:rsidR="005A248B" w:rsidRPr="0026653F">
        <w:rPr>
          <w:color w:val="000000"/>
          <w:szCs w:val="22"/>
          <w:lang w:val="fr-FR"/>
        </w:rPr>
        <w:t>les</w:t>
      </w:r>
      <w:r w:rsidRPr="0026653F">
        <w:rPr>
          <w:color w:val="000000"/>
          <w:szCs w:val="22"/>
          <w:lang w:val="fr-FR"/>
        </w:rPr>
        <w:t>, afin de favoriser les possibilités de dialogue sur les difficultés rencontrées en ce qui concerne les droits des peuples autochtones et d’examiner les options relatives au mandat, à la structure et aux coûts</w:t>
      </w:r>
      <w:r w:rsidRPr="0026653F">
        <w:rPr>
          <w:b/>
          <w:color w:val="000000"/>
          <w:szCs w:val="22"/>
          <w:lang w:val="fr-FR"/>
        </w:rPr>
        <w:t xml:space="preserve"> </w:t>
      </w:r>
      <w:r w:rsidRPr="0026653F">
        <w:rPr>
          <w:color w:val="000000"/>
          <w:szCs w:val="22"/>
          <w:lang w:val="fr-FR"/>
        </w:rPr>
        <w:t xml:space="preserve">d’un éventuel mécanisme de suivi institutionnel de la Déclaration américaine sur les droits des peuples autochtones envisagé dans </w:t>
      </w:r>
      <w:r w:rsidR="006837BA" w:rsidRPr="0026653F">
        <w:rPr>
          <w:color w:val="000000"/>
          <w:szCs w:val="22"/>
          <w:lang w:val="fr-FR"/>
        </w:rPr>
        <w:t>le p</w:t>
      </w:r>
      <w:r w:rsidRPr="0026653F">
        <w:rPr>
          <w:color w:val="000000"/>
          <w:szCs w:val="22"/>
          <w:lang w:val="fr-FR"/>
        </w:rPr>
        <w:t>lan d’action (2017-2021)</w:t>
      </w:r>
      <w:r w:rsidR="006837BA" w:rsidRPr="0026653F">
        <w:rPr>
          <w:color w:val="000000"/>
          <w:szCs w:val="22"/>
          <w:lang w:val="fr-FR"/>
        </w:rPr>
        <w:t xml:space="preserve"> y relatif.</w:t>
      </w:r>
    </w:p>
    <w:p w14:paraId="6B418384" w14:textId="77777777" w:rsidR="000A6BE0" w:rsidRPr="0026653F" w:rsidRDefault="000A6BE0" w:rsidP="00C618DD">
      <w:pPr>
        <w:suppressAutoHyphens/>
        <w:rPr>
          <w:color w:val="000000"/>
          <w:szCs w:val="22"/>
          <w:lang w:val="fr-FR"/>
        </w:rPr>
      </w:pPr>
    </w:p>
    <w:p w14:paraId="4B5F6214" w14:textId="2D6EF50E" w:rsidR="000A6BE0" w:rsidRPr="0026653F" w:rsidRDefault="000A6BE0" w:rsidP="00C618DD">
      <w:pPr>
        <w:suppressAutoHyphens/>
        <w:ind w:firstLine="720"/>
        <w:rPr>
          <w:color w:val="000000"/>
          <w:szCs w:val="22"/>
          <w:lang w:val="fr-FR"/>
        </w:rPr>
      </w:pPr>
      <w:r w:rsidRPr="0026653F">
        <w:rPr>
          <w:color w:val="000000"/>
          <w:szCs w:val="22"/>
          <w:lang w:val="fr-FR"/>
        </w:rPr>
        <w:t>4.</w:t>
      </w:r>
      <w:r w:rsidRPr="0026653F">
        <w:rPr>
          <w:color w:val="000000"/>
          <w:szCs w:val="22"/>
          <w:lang w:val="fr-FR"/>
        </w:rPr>
        <w:tab/>
      </w:r>
      <w:r w:rsidRPr="0026653F">
        <w:rPr>
          <w:bCs/>
          <w:color w:val="000000"/>
          <w:szCs w:val="22"/>
          <w:lang w:val="fr-FR"/>
        </w:rPr>
        <w:t xml:space="preserve">De réaffirmer l’importance de la coordination et de la coopération entre les États membres pour continuer à </w:t>
      </w:r>
      <w:r w:rsidR="00334F5D" w:rsidRPr="0026653F">
        <w:rPr>
          <w:bCs/>
          <w:color w:val="000000"/>
          <w:szCs w:val="22"/>
          <w:lang w:val="fr-FR"/>
        </w:rPr>
        <w:t>soutenir</w:t>
      </w:r>
      <w:r w:rsidRPr="0026653F">
        <w:rPr>
          <w:bCs/>
          <w:color w:val="000000"/>
          <w:szCs w:val="22"/>
          <w:lang w:val="fr-FR"/>
        </w:rPr>
        <w:t xml:space="preserve"> la réalisation des activités de commémoration de la Semaine interaméricaine des peuples autochtones.</w:t>
      </w:r>
    </w:p>
    <w:p w14:paraId="25426E50" w14:textId="77777777" w:rsidR="000A6BE0" w:rsidRPr="0026653F" w:rsidRDefault="000A6BE0" w:rsidP="00C618DD">
      <w:pPr>
        <w:suppressAutoHyphens/>
        <w:rPr>
          <w:color w:val="000000"/>
          <w:szCs w:val="22"/>
          <w:lang w:val="fr-FR"/>
        </w:rPr>
      </w:pPr>
    </w:p>
    <w:p w14:paraId="008EACC3" w14:textId="77777777" w:rsidR="000A6BE0" w:rsidRPr="0026653F" w:rsidRDefault="000A6BE0" w:rsidP="00C618DD">
      <w:pPr>
        <w:suppressAutoHyphens/>
        <w:ind w:firstLine="720"/>
        <w:rPr>
          <w:color w:val="000000"/>
          <w:szCs w:val="22"/>
          <w:lang w:val="fr-FR"/>
        </w:rPr>
      </w:pPr>
      <w:r w:rsidRPr="0026653F">
        <w:rPr>
          <w:color w:val="000000"/>
          <w:szCs w:val="22"/>
          <w:lang w:val="fr-FR"/>
        </w:rPr>
        <w:t>5.</w:t>
      </w:r>
      <w:r w:rsidRPr="0026653F">
        <w:rPr>
          <w:b/>
          <w:bCs/>
          <w:color w:val="000000"/>
          <w:szCs w:val="22"/>
          <w:lang w:val="fr-FR"/>
        </w:rPr>
        <w:tab/>
      </w:r>
      <w:r w:rsidRPr="0026653F">
        <w:rPr>
          <w:color w:val="000000"/>
          <w:szCs w:val="22"/>
          <w:lang w:val="fr-FR"/>
        </w:rPr>
        <w:t xml:space="preserve">De promouvoir dans la région le plus haut niveau possible de protection des droits des peuples autochtones, y compris le droit individuel et collectif de jouir du niveau le plus élevé possible de santé physique et mentale, et d’assurer l’accès, sans discrimination aucune, à tous les services, y compris les soins de santé. De même, de promouvoir des actions afin que les réponses inclusives et axées principalement sur </w:t>
      </w:r>
      <w:proofErr w:type="gramStart"/>
      <w:r w:rsidRPr="0026653F">
        <w:rPr>
          <w:color w:val="000000"/>
          <w:szCs w:val="22"/>
          <w:lang w:val="fr-FR"/>
        </w:rPr>
        <w:t>les droits apportées</w:t>
      </w:r>
      <w:proofErr w:type="gramEnd"/>
      <w:r w:rsidRPr="0026653F">
        <w:rPr>
          <w:color w:val="000000"/>
          <w:szCs w:val="22"/>
          <w:lang w:val="fr-FR"/>
        </w:rPr>
        <w:t xml:space="preserve"> à la pandémie de COVID-19 respectent et protègent les droits des peuples autochtones.</w:t>
      </w:r>
    </w:p>
    <w:p w14:paraId="7C866311" w14:textId="77777777" w:rsidR="000A6BE0" w:rsidRPr="0026653F" w:rsidRDefault="000A6BE0" w:rsidP="00C618DD">
      <w:pPr>
        <w:suppressAutoHyphens/>
        <w:rPr>
          <w:szCs w:val="22"/>
          <w:lang w:val="fr-FR"/>
        </w:rPr>
      </w:pPr>
    </w:p>
    <w:p w14:paraId="4A938627" w14:textId="77777777" w:rsidR="000A6BE0" w:rsidRPr="0026653F" w:rsidRDefault="000A6BE0" w:rsidP="00C618DD">
      <w:pPr>
        <w:suppressAutoHyphens/>
        <w:ind w:firstLine="720"/>
        <w:rPr>
          <w:szCs w:val="22"/>
          <w:lang w:val="fr-FR"/>
        </w:rPr>
      </w:pPr>
      <w:r w:rsidRPr="0026653F">
        <w:rPr>
          <w:szCs w:val="22"/>
          <w:lang w:val="fr-FR"/>
        </w:rPr>
        <w:lastRenderedPageBreak/>
        <w:t>6.</w:t>
      </w:r>
      <w:r w:rsidRPr="0026653F">
        <w:rPr>
          <w:szCs w:val="22"/>
          <w:lang w:val="fr-FR"/>
        </w:rPr>
        <w:tab/>
        <w:t>De promouvoir et de protéger les droits des peuples autochtones, dans le cadre des obligations internationales en matière de droits de la personne, face aux actions de la criminalité organisée susceptibles d’aggraver leur situation de vulnérabilité, surtout dans le contexte de la pandémie de COVID-19.</w:t>
      </w:r>
      <w:r w:rsidRPr="0026653F">
        <w:rPr>
          <w:rStyle w:val="FootnoteReference"/>
          <w:szCs w:val="22"/>
          <w:u w:val="single"/>
          <w:vertAlign w:val="superscript"/>
          <w:lang w:val="fr-FR"/>
        </w:rPr>
        <w:footnoteReference w:id="108"/>
      </w:r>
      <w:r w:rsidRPr="0026653F">
        <w:rPr>
          <w:szCs w:val="22"/>
          <w:vertAlign w:val="superscript"/>
          <w:lang w:val="fr-FR"/>
        </w:rPr>
        <w:t>/</w:t>
      </w:r>
      <w:r w:rsidRPr="0026653F">
        <w:rPr>
          <w:rStyle w:val="FootnoteReference"/>
          <w:szCs w:val="22"/>
          <w:u w:val="single"/>
          <w:vertAlign w:val="superscript"/>
          <w:lang w:val="fr-FR"/>
        </w:rPr>
        <w:footnoteReference w:id="109"/>
      </w:r>
      <w:r w:rsidRPr="0026653F">
        <w:rPr>
          <w:szCs w:val="22"/>
          <w:vertAlign w:val="superscript"/>
          <w:lang w:val="fr-FR"/>
        </w:rPr>
        <w:t>/</w:t>
      </w:r>
      <w:r w:rsidRPr="0026653F">
        <w:rPr>
          <w:rStyle w:val="FootnoteReference"/>
          <w:szCs w:val="22"/>
          <w:u w:val="single"/>
          <w:vertAlign w:val="superscript"/>
          <w:lang w:val="fr-FR"/>
        </w:rPr>
        <w:footnoteReference w:id="110"/>
      </w:r>
      <w:r w:rsidRPr="0026653F">
        <w:rPr>
          <w:szCs w:val="22"/>
          <w:vertAlign w:val="superscript"/>
          <w:lang w:val="fr-FR"/>
        </w:rPr>
        <w:t>/</w:t>
      </w:r>
    </w:p>
    <w:p w14:paraId="188E58AB" w14:textId="77777777" w:rsidR="000A6BE0" w:rsidRPr="0026653F" w:rsidRDefault="000A6BE0" w:rsidP="00C618DD">
      <w:pPr>
        <w:suppressAutoHyphens/>
        <w:rPr>
          <w:szCs w:val="22"/>
          <w:lang w:val="fr-FR"/>
        </w:rPr>
      </w:pPr>
    </w:p>
    <w:p w14:paraId="27EC4B13" w14:textId="6AE4936D" w:rsidR="000A6BE0" w:rsidRPr="0026653F" w:rsidRDefault="000A6BE0" w:rsidP="00C618DD">
      <w:pPr>
        <w:pStyle w:val="Default"/>
        <w:suppressAutoHyphens/>
        <w:ind w:left="706" w:hanging="706"/>
        <w:jc w:val="both"/>
        <w:rPr>
          <w:sz w:val="22"/>
          <w:szCs w:val="22"/>
          <w:u w:val="single"/>
          <w:lang w:val="fr-FR"/>
        </w:rPr>
      </w:pPr>
      <w:r w:rsidRPr="0026653F">
        <w:rPr>
          <w:sz w:val="22"/>
          <w:szCs w:val="22"/>
          <w:lang w:val="fr-FR"/>
        </w:rPr>
        <w:t xml:space="preserve">xxiii. </w:t>
      </w:r>
      <w:r w:rsidRPr="0026653F">
        <w:rPr>
          <w:sz w:val="22"/>
          <w:szCs w:val="22"/>
          <w:lang w:val="fr-FR"/>
        </w:rPr>
        <w:tab/>
      </w:r>
      <w:r w:rsidRPr="0026653F">
        <w:rPr>
          <w:sz w:val="22"/>
          <w:szCs w:val="22"/>
          <w:u w:val="single"/>
          <w:lang w:val="fr-FR"/>
        </w:rPr>
        <w:t>Observations et recommandations relatives aux rapports annuels 2019 de la Commission interaméricaine des droits de l’homme et de la Cour interaméricaine des droits de l’homme</w:t>
      </w:r>
      <w:r w:rsidRPr="0026653F">
        <w:rPr>
          <w:sz w:val="22"/>
          <w:szCs w:val="22"/>
          <w:vertAlign w:val="superscript"/>
          <w:lang w:val="fr-FR"/>
        </w:rPr>
        <w:t xml:space="preserve"> </w:t>
      </w:r>
      <w:r w:rsidRPr="0026653F">
        <w:rPr>
          <w:rStyle w:val="FootnoteReference"/>
          <w:sz w:val="22"/>
          <w:szCs w:val="22"/>
          <w:u w:val="single"/>
          <w:vertAlign w:val="superscript"/>
          <w:lang w:val="fr-FR"/>
        </w:rPr>
        <w:footnoteReference w:id="111"/>
      </w:r>
      <w:r w:rsidRPr="0026653F">
        <w:rPr>
          <w:sz w:val="22"/>
          <w:szCs w:val="22"/>
          <w:vertAlign w:val="superscript"/>
          <w:lang w:val="fr-FR"/>
        </w:rPr>
        <w:t>/</w:t>
      </w:r>
    </w:p>
    <w:p w14:paraId="2F08DF29" w14:textId="77777777" w:rsidR="000A6BE0" w:rsidRPr="0026653F" w:rsidRDefault="000A6BE0" w:rsidP="00C618DD">
      <w:pPr>
        <w:pStyle w:val="Default"/>
        <w:suppressAutoHyphens/>
        <w:jc w:val="both"/>
        <w:rPr>
          <w:sz w:val="22"/>
          <w:szCs w:val="22"/>
          <w:lang w:val="fr-FR"/>
        </w:rPr>
      </w:pPr>
    </w:p>
    <w:p w14:paraId="0265F7C6" w14:textId="77777777" w:rsidR="000A6BE0" w:rsidRPr="0026653F" w:rsidRDefault="000A6BE0" w:rsidP="00C618DD">
      <w:pPr>
        <w:pStyle w:val="Default"/>
        <w:suppressAutoHyphens/>
        <w:ind w:firstLine="706"/>
        <w:jc w:val="both"/>
        <w:rPr>
          <w:sz w:val="22"/>
          <w:szCs w:val="22"/>
          <w:lang w:val="fr-FR"/>
        </w:rPr>
      </w:pPr>
      <w:r w:rsidRPr="0026653F">
        <w:rPr>
          <w:sz w:val="22"/>
          <w:szCs w:val="22"/>
          <w:lang w:val="fr-FR"/>
        </w:rPr>
        <w:t>RECONNAISSANT le travail de la CIDH et de la Cour interaméricaine des droits de l’homme dans l’accomplissement de leurs fonctions face à des situations de violations alléguées des droits de la personne,</w:t>
      </w:r>
    </w:p>
    <w:p w14:paraId="1CDF0C2C" w14:textId="77777777" w:rsidR="000A6BE0" w:rsidRPr="0026653F" w:rsidRDefault="000A6BE0" w:rsidP="00C618DD">
      <w:pPr>
        <w:pStyle w:val="Default"/>
        <w:suppressAutoHyphens/>
        <w:jc w:val="both"/>
        <w:rPr>
          <w:sz w:val="22"/>
          <w:szCs w:val="22"/>
          <w:lang w:val="fr-FR"/>
        </w:rPr>
      </w:pPr>
    </w:p>
    <w:p w14:paraId="33E2B207" w14:textId="77777777" w:rsidR="000A6BE0" w:rsidRPr="0026653F" w:rsidRDefault="000A6BE0" w:rsidP="00C618DD">
      <w:pPr>
        <w:pStyle w:val="Default"/>
        <w:suppressAutoHyphens/>
        <w:jc w:val="both"/>
        <w:rPr>
          <w:sz w:val="22"/>
          <w:szCs w:val="22"/>
          <w:lang w:val="fr-FR"/>
        </w:rPr>
      </w:pPr>
      <w:r w:rsidRPr="0026653F">
        <w:rPr>
          <w:sz w:val="22"/>
          <w:szCs w:val="22"/>
          <w:lang w:val="fr-FR"/>
        </w:rPr>
        <w:t xml:space="preserve">DÉCIDE : </w:t>
      </w:r>
    </w:p>
    <w:p w14:paraId="1AD4904F" w14:textId="77777777" w:rsidR="000A6BE0" w:rsidRPr="0026653F" w:rsidRDefault="000A6BE0" w:rsidP="00C618DD">
      <w:pPr>
        <w:pStyle w:val="Default"/>
        <w:suppressAutoHyphens/>
        <w:jc w:val="both"/>
        <w:rPr>
          <w:sz w:val="22"/>
          <w:szCs w:val="22"/>
          <w:lang w:val="fr-FR"/>
        </w:rPr>
      </w:pPr>
    </w:p>
    <w:p w14:paraId="67B0F167" w14:textId="362D1286" w:rsidR="000A6BE0" w:rsidRPr="0026653F" w:rsidRDefault="000A6BE0" w:rsidP="00C618DD">
      <w:pPr>
        <w:pStyle w:val="Default"/>
        <w:suppressAutoHyphens/>
        <w:ind w:firstLine="706"/>
        <w:jc w:val="both"/>
        <w:rPr>
          <w:sz w:val="22"/>
          <w:szCs w:val="22"/>
          <w:lang w:val="fr-FR"/>
        </w:rPr>
      </w:pPr>
      <w:r w:rsidRPr="0026653F">
        <w:rPr>
          <w:sz w:val="22"/>
          <w:szCs w:val="22"/>
          <w:lang w:val="fr-FR"/>
        </w:rPr>
        <w:t>1.</w:t>
      </w:r>
      <w:r w:rsidRPr="0026653F">
        <w:rPr>
          <w:sz w:val="22"/>
          <w:szCs w:val="22"/>
          <w:lang w:val="fr-FR"/>
        </w:rPr>
        <w:tab/>
        <w:t xml:space="preserve">De réaffirmer l’engagement des États membres envers le </w:t>
      </w:r>
      <w:r w:rsidR="00334F5D" w:rsidRPr="0026653F">
        <w:rPr>
          <w:sz w:val="22"/>
          <w:szCs w:val="22"/>
          <w:lang w:val="fr-FR"/>
        </w:rPr>
        <w:t>s</w:t>
      </w:r>
      <w:r w:rsidRPr="0026653F">
        <w:rPr>
          <w:sz w:val="22"/>
          <w:szCs w:val="22"/>
          <w:lang w:val="fr-FR"/>
        </w:rPr>
        <w:t>ystème interaméricain de protection des droits de la personne.</w:t>
      </w:r>
    </w:p>
    <w:p w14:paraId="0A29D9EF" w14:textId="77777777" w:rsidR="000A6BE0" w:rsidRPr="0026653F" w:rsidRDefault="000A6BE0" w:rsidP="00C618DD">
      <w:pPr>
        <w:pStyle w:val="Default"/>
        <w:suppressAutoHyphens/>
        <w:jc w:val="both"/>
        <w:rPr>
          <w:sz w:val="22"/>
          <w:szCs w:val="22"/>
          <w:lang w:val="fr-FR"/>
        </w:rPr>
      </w:pPr>
    </w:p>
    <w:p w14:paraId="029A4D51" w14:textId="02A6D5FC" w:rsidR="000A6BE0" w:rsidRPr="0026653F" w:rsidRDefault="000A6BE0" w:rsidP="00C618DD">
      <w:pPr>
        <w:pStyle w:val="Default"/>
        <w:suppressAutoHyphens/>
        <w:ind w:firstLine="706"/>
        <w:jc w:val="both"/>
        <w:rPr>
          <w:sz w:val="22"/>
          <w:szCs w:val="22"/>
          <w:lang w:val="fr-FR"/>
        </w:rPr>
      </w:pPr>
      <w:r w:rsidRPr="0026653F">
        <w:rPr>
          <w:sz w:val="22"/>
          <w:szCs w:val="22"/>
          <w:lang w:val="fr-FR"/>
        </w:rPr>
        <w:t>2.</w:t>
      </w:r>
      <w:r w:rsidRPr="0026653F">
        <w:rPr>
          <w:sz w:val="22"/>
          <w:szCs w:val="22"/>
          <w:lang w:val="fr-FR"/>
        </w:rPr>
        <w:tab/>
        <w:t>De demander instamment aux États membres qui ne l’ont pas encore fait d’envisager de signer ou de ratifier tous les instruments interaméricains de droits de la personne</w:t>
      </w:r>
      <w:r w:rsidR="00334F5D" w:rsidRPr="0026653F">
        <w:rPr>
          <w:sz w:val="22"/>
          <w:szCs w:val="22"/>
          <w:lang w:val="fr-FR"/>
        </w:rPr>
        <w:t xml:space="preserve"> ou d’y adhérer, selon le cas,</w:t>
      </w:r>
      <w:r w:rsidRPr="0026653F">
        <w:rPr>
          <w:sz w:val="22"/>
          <w:szCs w:val="22"/>
          <w:lang w:val="fr-FR"/>
        </w:rPr>
        <w:t xml:space="preserve"> en particulier la Convention américaine relative aux droits de la personne.</w:t>
      </w:r>
    </w:p>
    <w:p w14:paraId="7494C555" w14:textId="77777777" w:rsidR="000A6BE0" w:rsidRPr="00322217" w:rsidRDefault="000A6BE0" w:rsidP="00C618DD">
      <w:pPr>
        <w:suppressAutoHyphens/>
        <w:rPr>
          <w:szCs w:val="22"/>
          <w:lang w:val="fr-FR"/>
        </w:rPr>
      </w:pPr>
    </w:p>
    <w:p w14:paraId="0A6354D5" w14:textId="6FABD348" w:rsidR="000A6BE0" w:rsidRPr="0026653F" w:rsidRDefault="000A6BE0" w:rsidP="00C618DD">
      <w:pPr>
        <w:suppressAutoHyphens/>
        <w:ind w:firstLine="706"/>
        <w:rPr>
          <w:szCs w:val="22"/>
          <w:lang w:val="fr-FR"/>
        </w:rPr>
      </w:pPr>
      <w:r w:rsidRPr="0026653F">
        <w:rPr>
          <w:szCs w:val="22"/>
          <w:lang w:val="fr-FR"/>
        </w:rPr>
        <w:t>3.</w:t>
      </w:r>
      <w:r w:rsidRPr="0026653F">
        <w:rPr>
          <w:b/>
          <w:bCs/>
          <w:szCs w:val="22"/>
          <w:lang w:val="fr-FR"/>
        </w:rPr>
        <w:tab/>
      </w:r>
      <w:r w:rsidRPr="0026653F">
        <w:rPr>
          <w:szCs w:val="22"/>
          <w:lang w:val="fr-FR"/>
        </w:rPr>
        <w:t xml:space="preserve">De réaffirmer </w:t>
      </w:r>
      <w:r w:rsidR="00334F5D" w:rsidRPr="0026653F">
        <w:rPr>
          <w:szCs w:val="22"/>
          <w:lang w:val="fr-FR"/>
        </w:rPr>
        <w:t xml:space="preserve">qu’il importe que </w:t>
      </w:r>
      <w:r w:rsidRPr="0026653F">
        <w:rPr>
          <w:szCs w:val="22"/>
          <w:lang w:val="fr-FR"/>
        </w:rPr>
        <w:t>la CIDH et la Cour interaméricaine des droits de l’homme disposent de</w:t>
      </w:r>
      <w:r w:rsidR="00334F5D" w:rsidRPr="0026653F">
        <w:rPr>
          <w:szCs w:val="22"/>
          <w:lang w:val="fr-FR"/>
        </w:rPr>
        <w:t xml:space="preserve"> ressources </w:t>
      </w:r>
      <w:r w:rsidRPr="0026653F">
        <w:rPr>
          <w:szCs w:val="22"/>
          <w:lang w:val="fr-FR"/>
        </w:rPr>
        <w:t>économiques suffisant</w:t>
      </w:r>
      <w:r w:rsidR="00334F5D" w:rsidRPr="0026653F">
        <w:rPr>
          <w:szCs w:val="22"/>
          <w:lang w:val="fr-FR"/>
        </w:rPr>
        <w:t>e</w:t>
      </w:r>
      <w:r w:rsidRPr="0026653F">
        <w:rPr>
          <w:szCs w:val="22"/>
          <w:lang w:val="fr-FR"/>
        </w:rPr>
        <w:t xml:space="preserve">s, en tenant compte des ressources disponibles </w:t>
      </w:r>
      <w:r w:rsidR="00334F5D" w:rsidRPr="0026653F">
        <w:rPr>
          <w:szCs w:val="22"/>
          <w:lang w:val="fr-FR"/>
        </w:rPr>
        <w:t>de</w:t>
      </w:r>
      <w:r w:rsidRPr="0026653F">
        <w:rPr>
          <w:szCs w:val="22"/>
          <w:lang w:val="fr-FR"/>
        </w:rPr>
        <w:t xml:space="preserve"> l’OEA, pour réaliser leurs mandats.</w:t>
      </w:r>
    </w:p>
    <w:p w14:paraId="1FBA18AB" w14:textId="77777777" w:rsidR="000A6BE0" w:rsidRPr="0026653F" w:rsidRDefault="000A6BE0" w:rsidP="00C618DD">
      <w:pPr>
        <w:suppressAutoHyphens/>
        <w:rPr>
          <w:szCs w:val="22"/>
          <w:lang w:val="fr-FR"/>
        </w:rPr>
      </w:pPr>
    </w:p>
    <w:p w14:paraId="41510ED2" w14:textId="77777777" w:rsidR="000A6BE0" w:rsidRPr="0026653F" w:rsidRDefault="000A6BE0" w:rsidP="00C618DD">
      <w:pPr>
        <w:suppressAutoHyphens/>
        <w:jc w:val="center"/>
        <w:rPr>
          <w:szCs w:val="22"/>
          <w:lang w:val="fr-FR"/>
        </w:rPr>
      </w:pPr>
      <w:r w:rsidRPr="0026653F">
        <w:rPr>
          <w:szCs w:val="22"/>
          <w:lang w:val="fr-FR"/>
        </w:rPr>
        <w:t>II. SUIVI ET RAPPORTS</w:t>
      </w:r>
    </w:p>
    <w:p w14:paraId="5DB258B1" w14:textId="77777777" w:rsidR="000A6BE0" w:rsidRPr="0026653F" w:rsidRDefault="000A6BE0" w:rsidP="00C618DD">
      <w:pPr>
        <w:suppressAutoHyphens/>
        <w:rPr>
          <w:szCs w:val="22"/>
          <w:lang w:val="fr-FR"/>
        </w:rPr>
      </w:pPr>
    </w:p>
    <w:p w14:paraId="1E01664E" w14:textId="77777777" w:rsidR="000A6BE0" w:rsidRPr="0026653F" w:rsidRDefault="000A6BE0" w:rsidP="00C618DD">
      <w:pPr>
        <w:suppressAutoHyphens/>
        <w:rPr>
          <w:szCs w:val="22"/>
          <w:lang w:val="fr-FR"/>
        </w:rPr>
      </w:pPr>
      <w:r w:rsidRPr="0026653F">
        <w:rPr>
          <w:szCs w:val="22"/>
          <w:lang w:val="fr-FR"/>
        </w:rPr>
        <w:t>DÉCIDE :</w:t>
      </w:r>
    </w:p>
    <w:p w14:paraId="36BE764F" w14:textId="77777777" w:rsidR="000A6BE0" w:rsidRPr="0026653F" w:rsidRDefault="000A6BE0" w:rsidP="00C618DD">
      <w:pPr>
        <w:suppressAutoHyphens/>
        <w:rPr>
          <w:szCs w:val="22"/>
          <w:lang w:val="fr-FR"/>
        </w:rPr>
      </w:pPr>
    </w:p>
    <w:p w14:paraId="43CD827A" w14:textId="77777777" w:rsidR="000A6BE0" w:rsidRPr="0026653F" w:rsidRDefault="000A6BE0" w:rsidP="00C618DD">
      <w:pPr>
        <w:suppressAutoHyphens/>
        <w:ind w:firstLine="709"/>
        <w:rPr>
          <w:szCs w:val="22"/>
          <w:lang w:val="fr-FR"/>
        </w:rPr>
      </w:pPr>
      <w:r w:rsidRPr="0026653F">
        <w:rPr>
          <w:szCs w:val="22"/>
          <w:lang w:val="fr-FR"/>
        </w:rPr>
        <w:t>1.</w:t>
      </w:r>
      <w:r w:rsidRPr="0026653F">
        <w:rPr>
          <w:szCs w:val="22"/>
          <w:lang w:val="fr-FR"/>
        </w:rPr>
        <w:tab/>
      </w:r>
      <w:r w:rsidRPr="0026653F">
        <w:rPr>
          <w:color w:val="000000"/>
          <w:szCs w:val="22"/>
          <w:lang w:val="fr-FR"/>
        </w:rPr>
        <w:t>De charger le Secrétariat général de présenter en temps opportun, par l’intermédiaire des secteurs responsables du suivi et de la réalisation des activités faisant l’objet de la présente résolution, le plan des activités prévues pour la période 2020-2021 aux fins de consultation et de supervision adéquate par les États membres</w:t>
      </w:r>
      <w:r w:rsidRPr="0026653F">
        <w:rPr>
          <w:szCs w:val="22"/>
          <w:lang w:val="fr-FR"/>
        </w:rPr>
        <w:t>.</w:t>
      </w:r>
    </w:p>
    <w:p w14:paraId="3E134AA0" w14:textId="77777777" w:rsidR="000A6BE0" w:rsidRPr="0026653F" w:rsidRDefault="000A6BE0" w:rsidP="00C618DD">
      <w:pPr>
        <w:suppressAutoHyphens/>
        <w:rPr>
          <w:szCs w:val="22"/>
          <w:lang w:val="fr-FR"/>
        </w:rPr>
      </w:pPr>
    </w:p>
    <w:p w14:paraId="0522C0D5" w14:textId="5D3D8394" w:rsidR="000A6BE0" w:rsidRPr="0026653F" w:rsidRDefault="000A6BE0" w:rsidP="00C618DD">
      <w:pPr>
        <w:suppressAutoHyphens/>
        <w:ind w:firstLine="709"/>
        <w:rPr>
          <w:szCs w:val="22"/>
          <w:lang w:val="fr-FR"/>
        </w:rPr>
      </w:pPr>
      <w:r w:rsidRPr="0026653F">
        <w:rPr>
          <w:szCs w:val="22"/>
          <w:lang w:val="fr-FR"/>
        </w:rPr>
        <w:t>2.</w:t>
      </w:r>
      <w:r w:rsidRPr="0026653F">
        <w:rPr>
          <w:szCs w:val="22"/>
          <w:lang w:val="fr-FR"/>
        </w:rPr>
        <w:tab/>
        <w:t>De demander au Conseil permanent de charger la C</w:t>
      </w:r>
      <w:r w:rsidR="00334F5D" w:rsidRPr="0026653F">
        <w:rPr>
          <w:szCs w:val="22"/>
          <w:lang w:val="fr-FR"/>
        </w:rPr>
        <w:t>AJP</w:t>
      </w:r>
      <w:r w:rsidRPr="0026653F">
        <w:rPr>
          <w:szCs w:val="22"/>
          <w:lang w:val="fr-FR"/>
        </w:rPr>
        <w:t xml:space="preserve"> d’inclure dans son plan de travail avant la cinquante-et-unième session ordinaire de l’Assemblée générale le thème suivant de </w:t>
      </w:r>
      <w:r w:rsidR="00334F5D" w:rsidRPr="0026653F">
        <w:rPr>
          <w:szCs w:val="22"/>
          <w:lang w:val="fr-FR"/>
        </w:rPr>
        <w:t xml:space="preserve">la présente </w:t>
      </w:r>
      <w:r w:rsidRPr="0026653F">
        <w:rPr>
          <w:szCs w:val="22"/>
          <w:lang w:val="fr-FR"/>
        </w:rPr>
        <w:t xml:space="preserve">résolution, dans le but de promouvoir le partage de données d’expériences et de pratiques </w:t>
      </w:r>
      <w:r w:rsidR="00626E24" w:rsidRPr="0026653F">
        <w:rPr>
          <w:szCs w:val="22"/>
          <w:lang w:val="fr-FR"/>
        </w:rPr>
        <w:t>optimales </w:t>
      </w:r>
      <w:r w:rsidRPr="0026653F">
        <w:rPr>
          <w:szCs w:val="22"/>
          <w:lang w:val="fr-FR"/>
        </w:rPr>
        <w:t>:</w:t>
      </w:r>
    </w:p>
    <w:p w14:paraId="214C63A7" w14:textId="77777777" w:rsidR="000A6BE0" w:rsidRPr="0026653F" w:rsidRDefault="000A6BE0" w:rsidP="00C618DD">
      <w:pPr>
        <w:suppressAutoHyphens/>
        <w:rPr>
          <w:szCs w:val="22"/>
          <w:lang w:val="fr-FR"/>
        </w:rPr>
      </w:pPr>
    </w:p>
    <w:p w14:paraId="0A97C0F5" w14:textId="1BEDBAA1" w:rsidR="000A6BE0" w:rsidRPr="0026653F" w:rsidRDefault="000A6BE0" w:rsidP="00C618DD">
      <w:pPr>
        <w:suppressAutoHyphens/>
        <w:ind w:left="709" w:firstLine="720"/>
        <w:rPr>
          <w:szCs w:val="22"/>
          <w:lang w:val="fr-FR"/>
        </w:rPr>
      </w:pPr>
      <w:r w:rsidRPr="0026653F">
        <w:rPr>
          <w:szCs w:val="22"/>
          <w:lang w:val="fr-FR"/>
        </w:rPr>
        <w:lastRenderedPageBreak/>
        <w:t>« La défense publique officielle autonome en tant de sauvegarde des droits humains de toutes les personnes sans aucun type de discrimination, en particulier les peuples autochtones ». Tenue d’une neuvième réunion extraordinaire de la CAJP sur les bonnes pratiques destinées à garantir l’accès à la justice des peuples autochtones en défense de leurs droits humains qu’effectue chaque institution de défense publique officielle de la région au cours du premier trimestre de 2021, avec la présence des États membres et de leurs institutions publiques officielles d’assistance juridique respectives, de membres de l’Association interaméricaine de bureaux de défenseurs publics (AIDEF), d’experts du secteur universitaire et de la société civile, ainsi que des organisations internationales. L</w:t>
      </w:r>
      <w:r w:rsidR="00626E24" w:rsidRPr="0026653F">
        <w:rPr>
          <w:szCs w:val="22"/>
          <w:lang w:val="fr-FR"/>
        </w:rPr>
        <w:t xml:space="preserve">a participation des </w:t>
      </w:r>
      <w:r w:rsidRPr="0026653F">
        <w:rPr>
          <w:szCs w:val="22"/>
          <w:lang w:val="fr-FR"/>
        </w:rPr>
        <w:t>membres de l’AIDEF sera garantie par cette institution.</w:t>
      </w:r>
    </w:p>
    <w:p w14:paraId="7AD22ED2" w14:textId="77777777" w:rsidR="000A6BE0" w:rsidRPr="0026653F" w:rsidRDefault="000A6BE0" w:rsidP="00C618DD">
      <w:pPr>
        <w:suppressAutoHyphens/>
        <w:rPr>
          <w:szCs w:val="22"/>
          <w:lang w:val="fr-FR"/>
        </w:rPr>
      </w:pPr>
    </w:p>
    <w:p w14:paraId="6C5B3ADA" w14:textId="77777777" w:rsidR="000A6BE0" w:rsidRPr="0026653F" w:rsidRDefault="00B91B2D" w:rsidP="00C618DD">
      <w:pPr>
        <w:suppressAutoHyphens/>
        <w:ind w:firstLine="709"/>
        <w:rPr>
          <w:szCs w:val="22"/>
          <w:lang w:val="fr-FR"/>
        </w:rPr>
      </w:pPr>
      <w:r w:rsidRPr="0026653F">
        <w:rPr>
          <w:color w:val="000000"/>
          <w:szCs w:val="22"/>
          <w:lang w:val="fr-FR"/>
        </w:rPr>
        <w:t>3.</w:t>
      </w:r>
      <w:r w:rsidRPr="0026653F">
        <w:rPr>
          <w:color w:val="000000"/>
          <w:szCs w:val="22"/>
          <w:lang w:val="fr-FR"/>
        </w:rPr>
        <w:tab/>
      </w:r>
      <w:r w:rsidR="000A6BE0" w:rsidRPr="0026653F">
        <w:rPr>
          <w:color w:val="000000"/>
          <w:szCs w:val="22"/>
          <w:lang w:val="fr-FR"/>
        </w:rPr>
        <w:t>De demander au Conseil permanent de faire rapport à l’Assemblée générale, lors de sa cinquante-et-</w:t>
      </w:r>
      <w:r w:rsidR="000A6BE0" w:rsidRPr="0026653F">
        <w:rPr>
          <w:szCs w:val="22"/>
          <w:lang w:val="fr-FR"/>
        </w:rPr>
        <w:t>unième</w:t>
      </w:r>
      <w:r w:rsidR="000A6BE0" w:rsidRPr="0026653F">
        <w:rPr>
          <w:color w:val="000000"/>
          <w:szCs w:val="22"/>
          <w:lang w:val="fr-FR"/>
        </w:rPr>
        <w:t xml:space="preserve"> session ordinaire, sur la mise en œuvre de la présente résolution, et d’établir</w:t>
      </w:r>
      <w:r w:rsidR="000A6BE0" w:rsidRPr="0026653F">
        <w:rPr>
          <w:rFonts w:eastAsia="Batang"/>
          <w:color w:val="000000"/>
          <w:szCs w:val="22"/>
          <w:vertAlign w:val="superscript"/>
          <w:lang w:val="fr-FR"/>
        </w:rPr>
        <w:t xml:space="preserve"> </w:t>
      </w:r>
      <w:r w:rsidR="000A6BE0" w:rsidRPr="0026653F">
        <w:rPr>
          <w:color w:val="000000"/>
          <w:szCs w:val="22"/>
          <w:lang w:val="fr-FR"/>
        </w:rPr>
        <w:t>que la mise en œuvre des activités qui y sont prévues dépendra de la disponibilité des ressources financières inscrites à ce titre dans le programme-budget de l’Organisation, ainsi que d’autres ressources</w:t>
      </w:r>
      <w:r w:rsidR="000A6BE0" w:rsidRPr="0026653F">
        <w:rPr>
          <w:szCs w:val="22"/>
          <w:lang w:val="fr-FR"/>
        </w:rPr>
        <w:t>.</w:t>
      </w:r>
    </w:p>
    <w:p w14:paraId="02EDB41C" w14:textId="77777777" w:rsidR="000A6BE0" w:rsidRPr="0026653F" w:rsidRDefault="000A6BE0" w:rsidP="00C618DD">
      <w:pPr>
        <w:rPr>
          <w:szCs w:val="22"/>
          <w:lang w:val="fr-FR"/>
        </w:rPr>
      </w:pPr>
      <w:r w:rsidRPr="0026653F">
        <w:rPr>
          <w:szCs w:val="22"/>
          <w:lang w:val="fr-FR"/>
        </w:rPr>
        <w:br w:type="page"/>
      </w:r>
    </w:p>
    <w:p w14:paraId="742353D6" w14:textId="77777777" w:rsidR="000A6BE0" w:rsidRPr="00C04774" w:rsidRDefault="000A6BE0" w:rsidP="00C618DD">
      <w:pPr>
        <w:suppressAutoHyphens/>
        <w:jc w:val="center"/>
        <w:rPr>
          <w:sz w:val="20"/>
          <w:lang w:val="fr-FR"/>
        </w:rPr>
      </w:pPr>
      <w:r w:rsidRPr="00C04774">
        <w:rPr>
          <w:sz w:val="20"/>
          <w:lang w:val="fr-FR"/>
        </w:rPr>
        <w:lastRenderedPageBreak/>
        <w:t>NOTES DE BAS DE PAGE</w:t>
      </w:r>
    </w:p>
    <w:p w14:paraId="0A542565" w14:textId="77777777" w:rsidR="000A6BE0" w:rsidRPr="00C04774" w:rsidRDefault="000A6BE0" w:rsidP="00C618DD">
      <w:pPr>
        <w:suppressAutoHyphens/>
        <w:rPr>
          <w:sz w:val="20"/>
          <w:lang w:val="fr-FR"/>
        </w:rPr>
      </w:pPr>
    </w:p>
    <w:p w14:paraId="592B466B" w14:textId="77777777" w:rsidR="000A6BE0" w:rsidRPr="00C04774" w:rsidRDefault="000A6BE0" w:rsidP="00C618DD">
      <w:pPr>
        <w:suppressAutoHyphens/>
        <w:rPr>
          <w:sz w:val="20"/>
          <w:lang w:val="fr-FR"/>
        </w:rPr>
      </w:pPr>
    </w:p>
    <w:p w14:paraId="6C394F95" w14:textId="77777777" w:rsidR="000A6BE0" w:rsidRPr="00C04774" w:rsidRDefault="000A6BE0" w:rsidP="00C618DD">
      <w:pPr>
        <w:pStyle w:val="FootnoteText"/>
        <w:tabs>
          <w:tab w:val="clear" w:pos="360"/>
        </w:tabs>
        <w:ind w:left="-180" w:firstLine="900"/>
        <w:rPr>
          <w:rStyle w:val="FootnoteReference"/>
          <w:sz w:val="20"/>
          <w:lang w:val="fr-FR" w:eastAsia="x-none"/>
        </w:rPr>
      </w:pPr>
      <w:r w:rsidRPr="00C04774">
        <w:rPr>
          <w:sz w:val="20"/>
          <w:lang w:val="fr-FR" w:eastAsia="x-none"/>
        </w:rPr>
        <w:t>1.</w:t>
      </w:r>
      <w:r w:rsidRPr="00C04774">
        <w:rPr>
          <w:sz w:val="20"/>
          <w:lang w:val="fr-FR" w:eastAsia="x-none"/>
        </w:rPr>
        <w:tab/>
        <w:t xml:space="preserve">… </w:t>
      </w:r>
      <w:r w:rsidRPr="00C04774">
        <w:rPr>
          <w:rStyle w:val="FootnoteReference"/>
          <w:sz w:val="20"/>
          <w:lang w:val="fr-FR" w:eastAsia="x-none"/>
        </w:rPr>
        <w:t>Déclaration universelle des droits de l’homme et des conventions internationales connexes auxquelles Sainte-Lucie est signataire. En outre, le Gouvernement de Sainte-Lucie est guidé par les dispositions de sa Constitution, qui promeut et protège les droits de la personne, la non-discrimination et les libertés fondamentales de toutes les personnes, ainsi que la préservation de la primauté du droit. Toutes les personnes reçoivent le même degré de protection, conformément à la Constitution de Sainte-Lucie.</w:t>
      </w:r>
    </w:p>
    <w:p w14:paraId="6DAF09BA" w14:textId="77777777" w:rsidR="000A6BE0" w:rsidRPr="00C04774" w:rsidRDefault="000A6BE0" w:rsidP="00C618DD">
      <w:pPr>
        <w:pStyle w:val="FootnoteText"/>
        <w:tabs>
          <w:tab w:val="clear" w:pos="360"/>
        </w:tabs>
        <w:rPr>
          <w:sz w:val="20"/>
          <w:lang w:val="fr-FR" w:eastAsia="x-none"/>
        </w:rPr>
      </w:pPr>
    </w:p>
    <w:p w14:paraId="6F15157C" w14:textId="77777777" w:rsidR="000A6BE0" w:rsidRPr="00C04774" w:rsidRDefault="000A6BE0" w:rsidP="00C618DD">
      <w:pPr>
        <w:pStyle w:val="FootnoteText"/>
        <w:tabs>
          <w:tab w:val="clear" w:pos="360"/>
        </w:tabs>
        <w:ind w:left="-180" w:firstLine="900"/>
        <w:rPr>
          <w:sz w:val="20"/>
          <w:lang w:val="fr-FR"/>
        </w:rPr>
      </w:pPr>
      <w:r w:rsidRPr="00C04774">
        <w:rPr>
          <w:rStyle w:val="FootnoteReference"/>
          <w:sz w:val="20"/>
          <w:lang w:val="fr-FR"/>
        </w:rPr>
        <w:t>Le Gouvernement de Sainte-Lucie met des réserves sur toutes les dispositions de cette résolution qui sont contraires à ses lois nationales ainsi que celles que ses lois nationales n’abordent pas et ne sera lié par aucune disposition entre lesdites dispositions.</w:t>
      </w:r>
    </w:p>
    <w:p w14:paraId="16E62C10" w14:textId="77777777" w:rsidR="000A6BE0" w:rsidRPr="00C04774" w:rsidRDefault="000A6BE0" w:rsidP="00C618DD">
      <w:pPr>
        <w:pStyle w:val="FootnoteText"/>
        <w:tabs>
          <w:tab w:val="clear" w:pos="360"/>
        </w:tabs>
        <w:rPr>
          <w:sz w:val="20"/>
          <w:lang w:val="fr-FR"/>
        </w:rPr>
      </w:pPr>
    </w:p>
    <w:p w14:paraId="17351897" w14:textId="77777777" w:rsidR="000A6BE0" w:rsidRPr="00C04774" w:rsidRDefault="000A6BE0" w:rsidP="00C618DD">
      <w:pPr>
        <w:ind w:firstLine="720"/>
        <w:rPr>
          <w:sz w:val="20"/>
          <w:lang w:val="fr-FR"/>
        </w:rPr>
      </w:pPr>
      <w:r w:rsidRPr="00C04774">
        <w:rPr>
          <w:sz w:val="20"/>
          <w:lang w:val="fr-FR"/>
        </w:rPr>
        <w:t>2.</w:t>
      </w:r>
      <w:r w:rsidRPr="00C04774">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AFD03DD" w14:textId="77777777" w:rsidR="000A6BE0" w:rsidRPr="00C04774" w:rsidRDefault="000A6BE0" w:rsidP="00C618DD">
      <w:pPr>
        <w:rPr>
          <w:sz w:val="20"/>
          <w:lang w:val="fr-FR"/>
        </w:rPr>
      </w:pPr>
    </w:p>
    <w:p w14:paraId="078A192B" w14:textId="77777777" w:rsidR="000A6BE0" w:rsidRPr="00C04774" w:rsidRDefault="000A6BE0" w:rsidP="00C618DD">
      <w:pPr>
        <w:ind w:firstLine="720"/>
        <w:rPr>
          <w:sz w:val="20"/>
          <w:lang w:val="fr-FR"/>
        </w:rPr>
      </w:pPr>
      <w:r w:rsidRPr="00C04774">
        <w:rPr>
          <w:sz w:val="20"/>
          <w:lang w:val="fr-FR"/>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57F43F0A" w14:textId="77777777" w:rsidR="000A6BE0" w:rsidRPr="00C04774" w:rsidRDefault="000A6BE0" w:rsidP="00C618DD">
      <w:pPr>
        <w:rPr>
          <w:sz w:val="20"/>
          <w:lang w:val="fr-FR"/>
        </w:rPr>
      </w:pPr>
    </w:p>
    <w:p w14:paraId="50235A38" w14:textId="77777777" w:rsidR="000A6BE0" w:rsidRPr="00C04774" w:rsidRDefault="000A6BE0" w:rsidP="00C618DD">
      <w:pPr>
        <w:ind w:firstLine="720"/>
        <w:rPr>
          <w:sz w:val="20"/>
          <w:lang w:val="fr-FR"/>
        </w:rPr>
      </w:pPr>
      <w:r w:rsidRPr="00C04774">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7748EC49" w14:textId="6ADF7F82" w:rsidR="000A6BE0" w:rsidRPr="00C04774" w:rsidRDefault="000A6BE0" w:rsidP="00C618DD">
      <w:pPr>
        <w:rPr>
          <w:sz w:val="20"/>
          <w:lang w:val="fr-FR"/>
        </w:rPr>
      </w:pPr>
    </w:p>
    <w:p w14:paraId="1B2B822F" w14:textId="0A1D819E" w:rsidR="004953EA" w:rsidRPr="00C04774" w:rsidRDefault="004953EA" w:rsidP="00C618DD">
      <w:pPr>
        <w:rPr>
          <w:sz w:val="20"/>
          <w:lang w:val="fr-FR"/>
        </w:rPr>
      </w:pPr>
      <w:r w:rsidRPr="00C04774">
        <w:rPr>
          <w:sz w:val="20"/>
          <w:lang w:val="fr-FR"/>
        </w:rPr>
        <w:tab/>
        <w:t>3.</w:t>
      </w:r>
      <w:r w:rsidRPr="00C04774">
        <w:rPr>
          <w:sz w:val="20"/>
          <w:lang w:val="fr-FR"/>
        </w:rPr>
        <w:tab/>
        <w:t>… de l'Assemblée générale.</w:t>
      </w:r>
    </w:p>
    <w:p w14:paraId="1FD9C0FB" w14:textId="77777777" w:rsidR="004953EA" w:rsidRPr="00C04774" w:rsidRDefault="004953EA" w:rsidP="00C618DD">
      <w:pPr>
        <w:rPr>
          <w:sz w:val="20"/>
          <w:lang w:val="fr-FR"/>
        </w:rPr>
      </w:pPr>
    </w:p>
    <w:p w14:paraId="439D9379" w14:textId="6FEE3B02" w:rsidR="000A6BE0" w:rsidRPr="00C04774" w:rsidRDefault="004953EA" w:rsidP="00C618DD">
      <w:pPr>
        <w:ind w:firstLine="720"/>
        <w:rPr>
          <w:iCs/>
          <w:sz w:val="20"/>
          <w:lang w:val="fr-FR"/>
        </w:rPr>
      </w:pPr>
      <w:r w:rsidRPr="00C04774">
        <w:rPr>
          <w:sz w:val="20"/>
          <w:lang w:val="fr-FR"/>
        </w:rPr>
        <w:t>4</w:t>
      </w:r>
      <w:r w:rsidR="000A6BE0" w:rsidRPr="00C04774">
        <w:rPr>
          <w:sz w:val="20"/>
          <w:lang w:val="fr-FR"/>
        </w:rPr>
        <w:t>.</w:t>
      </w:r>
      <w:r w:rsidR="000A6BE0" w:rsidRPr="00C04774">
        <w:rPr>
          <w:sz w:val="20"/>
          <w:lang w:val="fr-FR"/>
        </w:rPr>
        <w:tab/>
        <w:t xml:space="preserve">… </w:t>
      </w:r>
      <w:r w:rsidR="000A6BE0" w:rsidRPr="00C04774">
        <w:rPr>
          <w:iCs/>
          <w:sz w:val="20"/>
          <w:lang w:val="fr-FR"/>
        </w:rPr>
        <w:t>par exemple le « droit au plus haut niveau de santé », les « droits et la préservation de la santé » et le « droit à la santé ». Les États-Unis comprennent en outre que les résolutions de l'Assemblée générale de l'OEA ne modifient pas l'état actuel du droit international conventionnel ou coutumier. À cet égard, les États-Unis notent que le droit international relatif aux droits de la personne énonce les conditions dans lesquelles des restrictions peuvent être autorisées pour certains droits de la personne, y compris la conformité avec la loi et la nécessité dans une société démocratique de protéger, entre autres, la santé publique.</w:t>
      </w:r>
    </w:p>
    <w:p w14:paraId="0F2F529D" w14:textId="77777777" w:rsidR="000A6BE0" w:rsidRPr="00C04774" w:rsidRDefault="000A6BE0" w:rsidP="00C618DD">
      <w:pPr>
        <w:rPr>
          <w:iCs/>
          <w:sz w:val="20"/>
          <w:lang w:val="fr-FR"/>
        </w:rPr>
      </w:pPr>
    </w:p>
    <w:p w14:paraId="258119B8" w14:textId="290236AF" w:rsidR="000A6BE0" w:rsidRPr="00C04774" w:rsidRDefault="004953EA" w:rsidP="00C618DD">
      <w:pPr>
        <w:ind w:firstLine="720"/>
        <w:rPr>
          <w:sz w:val="20"/>
          <w:lang w:val="fr-FR"/>
        </w:rPr>
      </w:pPr>
      <w:r w:rsidRPr="00C04774">
        <w:rPr>
          <w:iCs/>
          <w:sz w:val="20"/>
          <w:lang w:val="fr-FR"/>
        </w:rPr>
        <w:t>5</w:t>
      </w:r>
      <w:r w:rsidR="000A6BE0" w:rsidRPr="00C04774">
        <w:rPr>
          <w:iCs/>
          <w:sz w:val="20"/>
          <w:lang w:val="fr-FR"/>
        </w:rPr>
        <w:t>.</w:t>
      </w:r>
      <w:r w:rsidR="000A6BE0" w:rsidRPr="00C04774">
        <w:rPr>
          <w:iCs/>
          <w:sz w:val="20"/>
          <w:lang w:val="fr-FR"/>
        </w:rPr>
        <w:tab/>
        <w:t xml:space="preserve">… </w:t>
      </w:r>
      <w:r w:rsidR="000A6BE0" w:rsidRPr="00C04774">
        <w:rPr>
          <w:sz w:val="20"/>
          <w:lang w:val="fr-FR"/>
        </w:rPr>
        <w:t xml:space="preserve">auxquels les États-Unis sont </w:t>
      </w:r>
      <w:proofErr w:type="gramStart"/>
      <w:r w:rsidR="000A6BE0" w:rsidRPr="00C04774">
        <w:rPr>
          <w:sz w:val="20"/>
          <w:lang w:val="fr-FR"/>
        </w:rPr>
        <w:t>parties</w:t>
      </w:r>
      <w:proofErr w:type="gramEnd"/>
      <w:r w:rsidR="000A6BE0" w:rsidRPr="00C04774">
        <w:rPr>
          <w:sz w:val="20"/>
          <w:lang w:val="fr-FR"/>
        </w:rPr>
        <w:t xml:space="preserve">. Dans la mesure où ces droits sont énoncés dans la Déclaration américaine des droits et devoirs de l'homme et/ou dans la Convention américaine relative aux droits de l'homme, les États-Unis notent que la Déclaration américaine est un instrument non contraignant et que les États-Unis ne sont pas </w:t>
      </w:r>
      <w:proofErr w:type="gramStart"/>
      <w:r w:rsidR="000A6BE0" w:rsidRPr="00C04774">
        <w:rPr>
          <w:sz w:val="20"/>
          <w:lang w:val="fr-FR"/>
        </w:rPr>
        <w:t>parties</w:t>
      </w:r>
      <w:proofErr w:type="gramEnd"/>
      <w:r w:rsidR="000A6BE0" w:rsidRPr="00C04774">
        <w:rPr>
          <w:sz w:val="20"/>
          <w:lang w:val="fr-FR"/>
        </w:rPr>
        <w:t xml:space="preserve"> à la Convention américaine. Les États-Unis comprennent en outre que les résolutions de l'Assemblée générale de l'OEA ne modifient pas l'état actuel du droit international conventionnel ou coutumier.</w:t>
      </w:r>
    </w:p>
    <w:p w14:paraId="64C462A9" w14:textId="77777777" w:rsidR="000A6BE0" w:rsidRPr="00C04774" w:rsidRDefault="000A6BE0" w:rsidP="00C618DD">
      <w:pPr>
        <w:rPr>
          <w:sz w:val="20"/>
          <w:lang w:val="fr-FR"/>
        </w:rPr>
      </w:pPr>
    </w:p>
    <w:p w14:paraId="5D09DDC9" w14:textId="54F89876" w:rsidR="000A6BE0" w:rsidRPr="00C04774" w:rsidRDefault="00D41FA7" w:rsidP="00C618DD">
      <w:pPr>
        <w:ind w:firstLine="720"/>
        <w:rPr>
          <w:sz w:val="20"/>
          <w:lang w:val="fr-FR"/>
        </w:rPr>
      </w:pPr>
      <w:r w:rsidRPr="00C04774">
        <w:rPr>
          <w:sz w:val="20"/>
          <w:lang w:val="fr-FR"/>
        </w:rPr>
        <w:t>6</w:t>
      </w:r>
      <w:r w:rsidR="000A6BE0" w:rsidRPr="00C04774">
        <w:rPr>
          <w:sz w:val="20"/>
          <w:lang w:val="fr-FR"/>
        </w:rPr>
        <w:t>.</w:t>
      </w:r>
      <w:r w:rsidR="000A6BE0" w:rsidRPr="00C04774">
        <w:rPr>
          <w:sz w:val="20"/>
          <w:lang w:val="fr-FR"/>
        </w:rPr>
        <w:tab/>
        <w:t xml:space="preserve">… pour promouvoir la réalisation progressive des droits économiques, sociaux et culturels. En outre, les États-Unis ne considèrent pas que l'obligation d'un État de respecter le droit à la vie en vertu du droit s'étendrait à la prise en compte des conditions générales au sein de la société ou dans la nature qui pourraient éventuellement mettre en péril la vie ou empêcher des individus de jouir du meilleur état de santé possible. En outre, les États-Unis ne reconnaissent pas un « droit à l'alimentation » ou un « droit au logement » autonome. </w:t>
      </w:r>
      <w:r w:rsidR="000A6BE0" w:rsidRPr="00C04774">
        <w:rPr>
          <w:sz w:val="20"/>
          <w:lang w:val="fr-FR"/>
        </w:rPr>
        <w:lastRenderedPageBreak/>
        <w:t>Comme le stipule la Déclaration universelle des droits de l'homme, l’alimentation et le logement sont des composantes du droit à un niveau de vie adéquat. En outre, comme le souligne la Constitution de l'Organisation mondiale de la Santé, tout être humain a le droit de posséder « le meilleur état de santé qu’il est capable d’atteindre », mais pas simplement un « droit à la santé ».</w:t>
      </w:r>
    </w:p>
    <w:p w14:paraId="5E8E538A" w14:textId="77777777" w:rsidR="000A6BE0" w:rsidRPr="00C04774" w:rsidRDefault="000A6BE0" w:rsidP="00C618DD">
      <w:pPr>
        <w:rPr>
          <w:sz w:val="20"/>
          <w:lang w:val="fr-FR"/>
        </w:rPr>
      </w:pPr>
    </w:p>
    <w:p w14:paraId="1527C813" w14:textId="5FFDCC3E" w:rsidR="000A6BE0" w:rsidRPr="00C04774" w:rsidRDefault="00D41FA7" w:rsidP="00C618DD">
      <w:pPr>
        <w:ind w:firstLine="720"/>
        <w:rPr>
          <w:sz w:val="20"/>
          <w:lang w:val="fr-FR"/>
        </w:rPr>
      </w:pPr>
      <w:r w:rsidRPr="00C04774">
        <w:rPr>
          <w:sz w:val="20"/>
          <w:lang w:val="fr-FR"/>
        </w:rPr>
        <w:t>7</w:t>
      </w:r>
      <w:r w:rsidR="000A6BE0" w:rsidRPr="00C04774">
        <w:rPr>
          <w:sz w:val="20"/>
          <w:lang w:val="fr-FR"/>
        </w:rPr>
        <w:t>.</w:t>
      </w:r>
      <w:r w:rsidR="000A6BE0" w:rsidRPr="00C04774">
        <w:rPr>
          <w:sz w:val="20"/>
          <w:lang w:val="fr-FR"/>
        </w:rPr>
        <w:tab/>
        <w:t>… des personnes. Les États-Unis notent que les obligations énoncées dans la présente section s'appliquent uniquement aux États qui ont contracté ces obligations en tant que parties à l'une ou l'autre convention, et que la présente résolution ne crée aucun nouveau droit ou aucune nouvelle obligation.</w:t>
      </w:r>
    </w:p>
    <w:p w14:paraId="32334CCE" w14:textId="77777777" w:rsidR="000A6BE0" w:rsidRPr="00C04774" w:rsidRDefault="000A6BE0" w:rsidP="00C618DD">
      <w:pPr>
        <w:rPr>
          <w:sz w:val="20"/>
          <w:lang w:val="fr-FR"/>
        </w:rPr>
      </w:pPr>
    </w:p>
    <w:p w14:paraId="751654BF" w14:textId="26915D83" w:rsidR="000A6BE0" w:rsidRPr="00C04774" w:rsidRDefault="00D41FA7" w:rsidP="00C618DD">
      <w:pPr>
        <w:ind w:firstLine="720"/>
        <w:rPr>
          <w:sz w:val="20"/>
          <w:lang w:val="fr-FR"/>
        </w:rPr>
      </w:pPr>
      <w:r w:rsidRPr="00C04774">
        <w:rPr>
          <w:sz w:val="20"/>
          <w:lang w:val="fr-FR"/>
        </w:rPr>
        <w:t>8</w:t>
      </w:r>
      <w:r w:rsidR="000A6BE0" w:rsidRPr="00C04774">
        <w:rPr>
          <w:sz w:val="20"/>
          <w:lang w:val="fr-FR"/>
        </w:rPr>
        <w:t>.</w:t>
      </w:r>
      <w:r w:rsidR="000A6BE0" w:rsidRPr="00C04774">
        <w:rPr>
          <w:sz w:val="20"/>
          <w:lang w:val="fr-FR"/>
        </w:rPr>
        <w:tab/>
        <w:t>… concernant le droit à un environnement sain, comme le prévoit l'article 11 de ce traité.</w:t>
      </w:r>
    </w:p>
    <w:p w14:paraId="74BE2263" w14:textId="77777777" w:rsidR="000A6BE0" w:rsidRPr="00C04774" w:rsidRDefault="000A6BE0" w:rsidP="00C618DD">
      <w:pPr>
        <w:rPr>
          <w:sz w:val="20"/>
          <w:lang w:val="fr-FR"/>
        </w:rPr>
      </w:pPr>
    </w:p>
    <w:p w14:paraId="3D3A2BAC" w14:textId="31BD2F27" w:rsidR="000A6BE0" w:rsidRPr="00C04774" w:rsidRDefault="00D41FA7" w:rsidP="00C618DD">
      <w:pPr>
        <w:ind w:firstLine="720"/>
        <w:rPr>
          <w:sz w:val="20"/>
          <w:lang w:val="fr-FR"/>
        </w:rPr>
      </w:pPr>
      <w:r w:rsidRPr="00C04774">
        <w:rPr>
          <w:sz w:val="20"/>
          <w:lang w:val="fr-FR"/>
        </w:rPr>
        <w:t>9</w:t>
      </w:r>
      <w:r w:rsidR="000A6BE0" w:rsidRPr="00C04774">
        <w:rPr>
          <w:sz w:val="20"/>
          <w:lang w:val="fr-FR"/>
        </w:rPr>
        <w:t>.</w:t>
      </w:r>
      <w:r w:rsidR="000A6BE0" w:rsidRPr="00C04774">
        <w:rPr>
          <w:sz w:val="20"/>
          <w:lang w:val="fr-FR"/>
        </w:rPr>
        <w:tab/>
        <w:t xml:space="preserve">… Convention américaine relative aux droits de l'homme. </w:t>
      </w:r>
    </w:p>
    <w:p w14:paraId="7BAA3B20" w14:textId="77777777" w:rsidR="000A6BE0" w:rsidRPr="00C04774" w:rsidRDefault="000A6BE0" w:rsidP="00C618DD">
      <w:pPr>
        <w:rPr>
          <w:sz w:val="20"/>
          <w:lang w:val="fr-FR"/>
        </w:rPr>
      </w:pPr>
    </w:p>
    <w:p w14:paraId="4CAB2C11" w14:textId="77777777" w:rsidR="000A6BE0" w:rsidRPr="00C04774" w:rsidRDefault="000A6BE0" w:rsidP="00C618DD">
      <w:pPr>
        <w:ind w:firstLine="720"/>
        <w:rPr>
          <w:sz w:val="20"/>
          <w:lang w:val="fr-FR"/>
        </w:rPr>
      </w:pPr>
      <w:r w:rsidRPr="00C04774">
        <w:rPr>
          <w:sz w:val="20"/>
          <w:lang w:val="fr-FR"/>
        </w:rPr>
        <w:t>L'article 75 de la Constitution politique du Costa Rica prévoit le devoir de l'État de permettre à toute personne d'exercer la religion de son choix mais n'indique pas que l'État doit fournir un enseignement religieux à tous les élèves, et cette obligation ne découle pas non plus des dispositions des conventions internationales. Certes, ces dernières reconnaissent aux parents ou aux tuteurs le droit de faire bénéficier à leurs enfants ou les personnes sous tutelle d'un enseignement religieux ou moral conforme à leurs propres convictions, mais l’énoncé de ces conventions ne crée aucun droit de recevoir une prestation de l'État, qui obligerait celui-ci à dispenser à tous les élèves un enseignement religieux ou, plus précisément, un enseignement dans la religion choisie par les parents. Actuellement, le ministère de l'Éducation publique du Costa Rica dispense un enseignement religieux dans les écoles, quoique l'adoption de la présente résolution n’impliquerait aucunement une obligation de dispenser un enseignement religieux – selon la doctrine – à tous les élèves qui professent une religion.</w:t>
      </w:r>
    </w:p>
    <w:p w14:paraId="5DC66250" w14:textId="77777777" w:rsidR="000A6BE0" w:rsidRPr="00C04774" w:rsidRDefault="000A6BE0" w:rsidP="00C618DD">
      <w:pPr>
        <w:rPr>
          <w:sz w:val="20"/>
          <w:lang w:val="fr-FR"/>
        </w:rPr>
      </w:pPr>
    </w:p>
    <w:p w14:paraId="1EB6849C" w14:textId="41C6A65D" w:rsidR="000A6BE0" w:rsidRPr="00C04774" w:rsidRDefault="00D41FA7" w:rsidP="00C618DD">
      <w:pPr>
        <w:ind w:firstLine="720"/>
        <w:rPr>
          <w:sz w:val="20"/>
          <w:lang w:val="fr-FR"/>
        </w:rPr>
      </w:pPr>
      <w:r w:rsidRPr="00C04774">
        <w:rPr>
          <w:sz w:val="20"/>
          <w:lang w:val="fr-FR"/>
        </w:rPr>
        <w:t>10</w:t>
      </w:r>
      <w:r w:rsidR="000A6BE0" w:rsidRPr="00C04774">
        <w:rPr>
          <w:sz w:val="20"/>
          <w:lang w:val="fr-FR"/>
        </w:rPr>
        <w:t>.</w:t>
      </w:r>
      <w:r w:rsidR="000A6BE0" w:rsidRPr="00C04774">
        <w:rPr>
          <w:sz w:val="20"/>
          <w:lang w:val="fr-FR"/>
        </w:rPr>
        <w:tab/>
        <w:t>… la subordination catégorique de ces droits au principe de non-discrimination ou à l’intérêt supérieur de l’enfant, selon le cas.</w:t>
      </w:r>
    </w:p>
    <w:p w14:paraId="5B0A1D93" w14:textId="77777777" w:rsidR="000A6BE0" w:rsidRPr="00C04774" w:rsidRDefault="000A6BE0" w:rsidP="00C618DD">
      <w:pPr>
        <w:rPr>
          <w:sz w:val="20"/>
          <w:lang w:val="fr-FR"/>
        </w:rPr>
      </w:pPr>
    </w:p>
    <w:p w14:paraId="2E1D867E" w14:textId="7CE9044A" w:rsidR="000A6BE0" w:rsidRPr="00C04774" w:rsidRDefault="000A6BE0" w:rsidP="00C618DD">
      <w:pPr>
        <w:ind w:firstLine="720"/>
        <w:rPr>
          <w:sz w:val="20"/>
          <w:lang w:val="fr-FR"/>
        </w:rPr>
      </w:pPr>
      <w:r w:rsidRPr="00C04774">
        <w:rPr>
          <w:sz w:val="20"/>
          <w:lang w:val="fr-FR"/>
        </w:rPr>
        <w:t>1</w:t>
      </w:r>
      <w:r w:rsidR="00D41FA7" w:rsidRPr="00C04774">
        <w:rPr>
          <w:sz w:val="20"/>
          <w:lang w:val="fr-FR"/>
        </w:rPr>
        <w:t>1</w:t>
      </w:r>
      <w:r w:rsidRPr="00C04774">
        <w:rPr>
          <w:sz w:val="20"/>
          <w:lang w:val="fr-FR"/>
        </w:rPr>
        <w:t>.</w:t>
      </w:r>
      <w:r w:rsidRPr="00C04774">
        <w:rPr>
          <w:sz w:val="20"/>
          <w:lang w:val="fr-FR"/>
        </w:rPr>
        <w:tab/>
        <w:t>… politique de la République et ne fait aucune discrimination pour quelque raison que ce soit. Il considère également que la non-reconnaissance légale des unions entre personnes de même sexe ou le refus motivé de modifier l'institution du mariage dans sa législation ne constitue pas une pratique discriminatoire illégale.</w:t>
      </w:r>
    </w:p>
    <w:p w14:paraId="3DBD4D71" w14:textId="77777777" w:rsidR="000A6BE0" w:rsidRPr="00C04774" w:rsidRDefault="000A6BE0" w:rsidP="00C618DD">
      <w:pPr>
        <w:rPr>
          <w:sz w:val="20"/>
          <w:lang w:val="fr-FR"/>
        </w:rPr>
      </w:pPr>
    </w:p>
    <w:p w14:paraId="2250AE56" w14:textId="77777777" w:rsidR="000A6BE0" w:rsidRPr="00C04774" w:rsidRDefault="000A6BE0" w:rsidP="00C618DD">
      <w:pPr>
        <w:ind w:firstLine="720"/>
        <w:rPr>
          <w:sz w:val="20"/>
          <w:lang w:val="fr-FR"/>
        </w:rPr>
      </w:pPr>
      <w:r w:rsidRPr="00C04774">
        <w:rPr>
          <w:sz w:val="20"/>
          <w:lang w:val="fr-FR"/>
        </w:rPr>
        <w:t>De même, nous reconnaissons le droit de toute personne à jouir de ses libertés fondamentales sans que cela n’exige une altération des fondements anthropologiques sur lesquels repose l'ensemble de notre ordonnancement juridique. Par conséquent, le Guatemala se dissocie des parties incompatibles qui contreviennent à la législation nationale en vigueur et émet une réserve quant à l'interprétation des termes contenus dans les sections xii, xix, xx et xxi.</w:t>
      </w:r>
    </w:p>
    <w:p w14:paraId="0C3CDB42" w14:textId="77777777" w:rsidR="000A6BE0" w:rsidRPr="00C04774" w:rsidRDefault="000A6BE0" w:rsidP="00C618DD">
      <w:pPr>
        <w:rPr>
          <w:sz w:val="20"/>
          <w:lang w:val="fr-FR"/>
        </w:rPr>
      </w:pPr>
    </w:p>
    <w:p w14:paraId="15B4276E" w14:textId="1256882B" w:rsidR="000A6BE0" w:rsidRPr="00C04774" w:rsidRDefault="000A6BE0" w:rsidP="00C618DD">
      <w:pPr>
        <w:ind w:firstLine="720"/>
        <w:rPr>
          <w:sz w:val="20"/>
          <w:lang w:val="fr-FR"/>
        </w:rPr>
      </w:pPr>
      <w:r w:rsidRPr="00C04774">
        <w:rPr>
          <w:sz w:val="20"/>
          <w:lang w:val="fr-FR"/>
        </w:rPr>
        <w:t>1</w:t>
      </w:r>
      <w:r w:rsidR="00D41FA7" w:rsidRPr="00C04774">
        <w:rPr>
          <w:sz w:val="20"/>
          <w:lang w:val="fr-FR"/>
        </w:rPr>
        <w:t>2</w:t>
      </w:r>
      <w:r w:rsidRPr="00C04774">
        <w:rPr>
          <w:sz w:val="20"/>
          <w:lang w:val="fr-FR"/>
        </w:rPr>
        <w:t>.</w:t>
      </w:r>
      <w:r w:rsidRPr="00C04774">
        <w:rPr>
          <w:sz w:val="20"/>
          <w:lang w:val="fr-FR"/>
        </w:rPr>
        <w:tab/>
        <w:t>… de droits de la personne, y compris en ce qui concerne la liberté d'expression.</w:t>
      </w:r>
    </w:p>
    <w:p w14:paraId="3B596022" w14:textId="77777777" w:rsidR="000A6BE0" w:rsidRPr="00C04774" w:rsidRDefault="000A6BE0" w:rsidP="00C618DD">
      <w:pPr>
        <w:rPr>
          <w:sz w:val="20"/>
          <w:lang w:val="fr-FR"/>
        </w:rPr>
      </w:pPr>
    </w:p>
    <w:p w14:paraId="6EC9C287" w14:textId="1CB281B6" w:rsidR="000A6BE0" w:rsidRPr="00C04774" w:rsidRDefault="000A6BE0" w:rsidP="00C618DD">
      <w:pPr>
        <w:ind w:firstLine="720"/>
        <w:rPr>
          <w:sz w:val="20"/>
          <w:lang w:val="fr-FR"/>
        </w:rPr>
      </w:pPr>
      <w:r w:rsidRPr="00C04774">
        <w:rPr>
          <w:sz w:val="20"/>
          <w:lang w:val="fr-FR"/>
        </w:rPr>
        <w:t>1</w:t>
      </w:r>
      <w:r w:rsidR="00D41FA7" w:rsidRPr="00C04774">
        <w:rPr>
          <w:sz w:val="20"/>
          <w:lang w:val="fr-FR"/>
        </w:rPr>
        <w:t>3</w:t>
      </w:r>
      <w:r w:rsidRPr="00C04774">
        <w:rPr>
          <w:sz w:val="20"/>
          <w:lang w:val="fr-FR"/>
        </w:rPr>
        <w:t>.</w:t>
      </w:r>
      <w:r w:rsidRPr="00C04774">
        <w:rPr>
          <w:sz w:val="20"/>
          <w:lang w:val="fr-FR"/>
        </w:rPr>
        <w:tab/>
        <w:t xml:space="preserve">… </w:t>
      </w:r>
      <w:r w:rsidRPr="00C04774">
        <w:rPr>
          <w:iCs/>
          <w:sz w:val="20"/>
          <w:lang w:val="fr-FR"/>
        </w:rPr>
        <w:t>ont pas les moyens. L'avocat désigné peut faire partie d'une organisation de défense publique ou, dans certains cas, être un avocat privé</w:t>
      </w:r>
      <w:r w:rsidRPr="00C04774">
        <w:rPr>
          <w:sz w:val="20"/>
          <w:lang w:val="fr-FR"/>
        </w:rPr>
        <w:t>.</w:t>
      </w:r>
    </w:p>
    <w:p w14:paraId="4D38AE80" w14:textId="77777777" w:rsidR="000A6BE0" w:rsidRPr="00C04774" w:rsidRDefault="000A6BE0" w:rsidP="00C618DD">
      <w:pPr>
        <w:rPr>
          <w:sz w:val="20"/>
          <w:lang w:val="fr-FR"/>
        </w:rPr>
      </w:pPr>
    </w:p>
    <w:p w14:paraId="128B4F47" w14:textId="0726DD6A" w:rsidR="000A6BE0" w:rsidRPr="00C04774" w:rsidRDefault="000A6BE0" w:rsidP="00C618DD">
      <w:pPr>
        <w:ind w:firstLine="720"/>
        <w:rPr>
          <w:sz w:val="20"/>
          <w:lang w:val="fr-FR"/>
        </w:rPr>
      </w:pPr>
      <w:r w:rsidRPr="00C04774">
        <w:rPr>
          <w:sz w:val="20"/>
          <w:lang w:val="fr-FR"/>
        </w:rPr>
        <w:t>1</w:t>
      </w:r>
      <w:r w:rsidR="00D41FA7" w:rsidRPr="00C04774">
        <w:rPr>
          <w:sz w:val="20"/>
          <w:lang w:val="fr-FR"/>
        </w:rPr>
        <w:t>4</w:t>
      </w:r>
      <w:r w:rsidRPr="00C04774">
        <w:rPr>
          <w:sz w:val="20"/>
          <w:lang w:val="fr-FR"/>
        </w:rPr>
        <w:t>.</w:t>
      </w:r>
      <w:r w:rsidRPr="00C04774">
        <w:rPr>
          <w:sz w:val="20"/>
          <w:lang w:val="fr-FR"/>
        </w:rPr>
        <w:tab/>
        <w:t>… propos des questions environnementales en Amérique latine et dans les Caraïbes (Accord d’Escazú), lequel a été ouvert à la signature le 27 septembre 2018 à New York, en vertu des motifs exposés devant le Congrès national et l’opinion publique chilienne.</w:t>
      </w:r>
    </w:p>
    <w:p w14:paraId="056D040E" w14:textId="79828DC1" w:rsidR="000A6BE0" w:rsidRPr="00C04774" w:rsidRDefault="000A6BE0" w:rsidP="00C618DD">
      <w:pPr>
        <w:rPr>
          <w:sz w:val="20"/>
          <w:lang w:val="fr-FR"/>
        </w:rPr>
      </w:pPr>
    </w:p>
    <w:p w14:paraId="42413579" w14:textId="7908EB1E" w:rsidR="000A6BE0" w:rsidRPr="00C04774" w:rsidRDefault="000A6BE0" w:rsidP="00C618DD">
      <w:pPr>
        <w:ind w:firstLine="720"/>
        <w:rPr>
          <w:sz w:val="20"/>
          <w:lang w:val="fr-FR"/>
        </w:rPr>
      </w:pPr>
      <w:r w:rsidRPr="00C04774">
        <w:rPr>
          <w:sz w:val="20"/>
          <w:lang w:val="fr-FR"/>
        </w:rPr>
        <w:t>1</w:t>
      </w:r>
      <w:r w:rsidR="00D41FA7" w:rsidRPr="00C04774">
        <w:rPr>
          <w:sz w:val="20"/>
          <w:lang w:val="fr-FR"/>
        </w:rPr>
        <w:t>7</w:t>
      </w:r>
      <w:r w:rsidRPr="00C04774">
        <w:rPr>
          <w:sz w:val="20"/>
          <w:lang w:val="fr-FR"/>
        </w:rPr>
        <w:t>.</w:t>
      </w:r>
      <w:r w:rsidRPr="00C04774">
        <w:rPr>
          <w:sz w:val="20"/>
          <w:lang w:val="fr-FR"/>
        </w:rPr>
        <w:tab/>
        <w:t xml:space="preserve">… </w:t>
      </w:r>
      <w:r w:rsidRPr="00C04774">
        <w:rPr>
          <w:bCs/>
          <w:sz w:val="20"/>
          <w:lang w:val="fr-FR"/>
        </w:rPr>
        <w:t>compris contre toute forme de violence, conformément à la Constitution jamaïcaine. La Jamaïque exprime ses réserves concernant certains termes utilisés dans la résolution, y compris « identité de genre » et « expression de genre », qui ne sont pas définis dans le droit jamaïcain</w:t>
      </w:r>
      <w:r w:rsidRPr="00C04774">
        <w:rPr>
          <w:sz w:val="20"/>
          <w:lang w:val="fr-FR"/>
        </w:rPr>
        <w:t>.</w:t>
      </w:r>
    </w:p>
    <w:p w14:paraId="5AAD3920" w14:textId="77777777" w:rsidR="000A6BE0" w:rsidRPr="00C04774" w:rsidRDefault="000A6BE0" w:rsidP="00C618DD">
      <w:pPr>
        <w:rPr>
          <w:sz w:val="20"/>
          <w:lang w:val="fr-FR"/>
        </w:rPr>
      </w:pPr>
    </w:p>
    <w:p w14:paraId="4275561E" w14:textId="6630E644" w:rsidR="000A6BE0" w:rsidRPr="00C04774" w:rsidRDefault="000A6BE0" w:rsidP="00C618DD">
      <w:pPr>
        <w:ind w:firstLine="720"/>
        <w:rPr>
          <w:sz w:val="20"/>
          <w:lang w:val="fr-FR"/>
        </w:rPr>
      </w:pPr>
      <w:r w:rsidRPr="00C04774">
        <w:rPr>
          <w:sz w:val="20"/>
          <w:lang w:val="fr-FR"/>
        </w:rPr>
        <w:lastRenderedPageBreak/>
        <w:t>1</w:t>
      </w:r>
      <w:r w:rsidR="00D41FA7" w:rsidRPr="00C04774">
        <w:rPr>
          <w:sz w:val="20"/>
          <w:lang w:val="fr-FR"/>
        </w:rPr>
        <w:t>8</w:t>
      </w:r>
      <w:r w:rsidRPr="00C04774">
        <w:rPr>
          <w:sz w:val="20"/>
          <w:lang w:val="fr-FR"/>
        </w:rPr>
        <w:t>.</w:t>
      </w:r>
      <w:r w:rsidRPr="00C04774">
        <w:rPr>
          <w:sz w:val="20"/>
          <w:lang w:val="fr-FR"/>
        </w:rPr>
        <w:tab/>
        <w:t xml:space="preserve">… </w:t>
      </w:r>
      <w:r w:rsidRPr="00C04774">
        <w:rPr>
          <w:bCs/>
          <w:iCs/>
          <w:sz w:val="20"/>
          <w:lang w:val="fr-FR"/>
        </w:rPr>
        <w:t>la promotion et à la préservation de l'État de droit ainsi qu’à la protection des droits de la personne et des libertés fondamentales de tous les individus, comme le dispose la constitution du pays</w:t>
      </w:r>
      <w:r w:rsidRPr="00C04774">
        <w:rPr>
          <w:sz w:val="20"/>
          <w:lang w:val="fr-FR"/>
        </w:rPr>
        <w:t>.</w:t>
      </w:r>
    </w:p>
    <w:p w14:paraId="2A75A068" w14:textId="77777777" w:rsidR="000A6BE0" w:rsidRPr="00C04774" w:rsidRDefault="000A6BE0" w:rsidP="00C618DD">
      <w:pPr>
        <w:rPr>
          <w:sz w:val="20"/>
          <w:lang w:val="fr-FR"/>
        </w:rPr>
      </w:pPr>
    </w:p>
    <w:p w14:paraId="7D9771A5" w14:textId="7CFEAF04" w:rsidR="000A6BE0" w:rsidRPr="00C04774" w:rsidRDefault="000A6BE0" w:rsidP="00C618DD">
      <w:pPr>
        <w:ind w:firstLine="720"/>
        <w:rPr>
          <w:sz w:val="20"/>
          <w:lang w:val="fr-FR"/>
        </w:rPr>
      </w:pPr>
      <w:r w:rsidRPr="00C04774">
        <w:rPr>
          <w:sz w:val="20"/>
          <w:lang w:val="fr-FR"/>
        </w:rPr>
        <w:t>1</w:t>
      </w:r>
      <w:r w:rsidR="00D41FA7" w:rsidRPr="00C04774">
        <w:rPr>
          <w:sz w:val="20"/>
          <w:lang w:val="fr-FR"/>
        </w:rPr>
        <w:t>9</w:t>
      </w:r>
      <w:r w:rsidRPr="00C04774">
        <w:rPr>
          <w:sz w:val="20"/>
          <w:lang w:val="fr-FR"/>
        </w:rPr>
        <w:t>.</w:t>
      </w:r>
      <w:r w:rsidRPr="00C04774">
        <w:rPr>
          <w:sz w:val="20"/>
          <w:lang w:val="fr-FR"/>
        </w:rPr>
        <w:tab/>
        <w:t xml:space="preserve">… </w:t>
      </w:r>
      <w:r w:rsidRPr="00C04774">
        <w:rPr>
          <w:sz w:val="20"/>
          <w:shd w:val="clear" w:color="auto" w:fill="FFFFFF"/>
          <w:lang w:val="fr-FR"/>
        </w:rPr>
        <w:t xml:space="preserve">domaine, réaffirmant les dispositions du Titre </w:t>
      </w:r>
      <w:r w:rsidRPr="00C04774">
        <w:rPr>
          <w:color w:val="000000"/>
          <w:sz w:val="20"/>
          <w:shd w:val="clear" w:color="auto" w:fill="FFFFFF"/>
          <w:lang w:val="fr-FR"/>
        </w:rPr>
        <w:t>II « Des droits, des devoirs et des garanties », du Chapitre III « De l’égalité » et du Chapitre IV « Des droits de la famille » contenues dans sa Constitution nationale et ses textes concordants. En conséquence de quoi, elle exprime sa réserve concernant le texte du point xix « Les droits de la personne et la prévention de la discrimination et de la violence à l’égard des personnes LGBTI ». De même, l’expression « identité ou expression de genre » contenues dans les paragraphes de la présente résolution sera interprétée conformément à son droit interne</w:t>
      </w:r>
      <w:r w:rsidRPr="00C04774">
        <w:rPr>
          <w:sz w:val="20"/>
          <w:lang w:val="fr-FR"/>
        </w:rPr>
        <w:t>.</w:t>
      </w:r>
    </w:p>
    <w:p w14:paraId="35EFCC2A" w14:textId="77777777" w:rsidR="000A6BE0" w:rsidRPr="00C04774" w:rsidRDefault="000A6BE0" w:rsidP="00C618DD">
      <w:pPr>
        <w:rPr>
          <w:sz w:val="20"/>
          <w:lang w:val="fr-FR"/>
        </w:rPr>
      </w:pPr>
    </w:p>
    <w:p w14:paraId="4B783F99" w14:textId="3192085C" w:rsidR="000A6BE0" w:rsidRPr="00C04774" w:rsidRDefault="00D41FA7" w:rsidP="00C618DD">
      <w:pPr>
        <w:ind w:firstLine="720"/>
        <w:rPr>
          <w:sz w:val="20"/>
          <w:lang w:val="fr-FR"/>
        </w:rPr>
      </w:pPr>
      <w:r w:rsidRPr="00C04774">
        <w:rPr>
          <w:sz w:val="20"/>
          <w:lang w:val="fr-FR"/>
        </w:rPr>
        <w:t>20</w:t>
      </w:r>
      <w:r w:rsidR="000A6BE0" w:rsidRPr="00C04774">
        <w:rPr>
          <w:sz w:val="20"/>
          <w:lang w:val="fr-FR"/>
        </w:rPr>
        <w:t>.</w:t>
      </w:r>
      <w:r w:rsidR="000A6BE0" w:rsidRPr="00C04774">
        <w:rPr>
          <w:sz w:val="20"/>
          <w:lang w:val="fr-FR"/>
        </w:rPr>
        <w:tab/>
        <w:t xml:space="preserve">… connexes </w:t>
      </w:r>
      <w:r w:rsidRPr="00C04774">
        <w:rPr>
          <w:sz w:val="20"/>
          <w:lang w:val="fr-FR"/>
        </w:rPr>
        <w:t>dont</w:t>
      </w:r>
      <w:r w:rsidR="000A6BE0" w:rsidRPr="00C04774">
        <w:rPr>
          <w:sz w:val="20"/>
          <w:lang w:val="fr-FR"/>
        </w:rPr>
        <w:t xml:space="preserve"> Sainte-Lucie est signataire. Le Gouvernement est guidé par la disposition de sa Constitution qui promeut et protège les droits de la personne, la non-discrimination et les libertés fondamentales de toutes les personnes. </w:t>
      </w:r>
    </w:p>
    <w:p w14:paraId="5F2CB057" w14:textId="77777777" w:rsidR="000A6BE0" w:rsidRPr="00C04774" w:rsidRDefault="000A6BE0" w:rsidP="00C618DD">
      <w:pPr>
        <w:rPr>
          <w:sz w:val="20"/>
          <w:lang w:val="fr-FR"/>
        </w:rPr>
      </w:pPr>
    </w:p>
    <w:p w14:paraId="5075D8B0" w14:textId="232AAE73" w:rsidR="000A6BE0" w:rsidRPr="00C04774" w:rsidRDefault="000A6BE0" w:rsidP="00C618DD">
      <w:pPr>
        <w:ind w:firstLine="720"/>
        <w:rPr>
          <w:sz w:val="20"/>
          <w:lang w:val="fr-FR"/>
        </w:rPr>
      </w:pPr>
      <w:r w:rsidRPr="00C04774">
        <w:rPr>
          <w:sz w:val="20"/>
          <w:lang w:val="fr-FR"/>
        </w:rPr>
        <w:t>Sainte-Lucie maintient que chacun des citoyens a un droit égal à une protection contre la violence et la discrimination arbitraire conformément à notre croyance en la dignité intrinsèque de la personne humaine. Nous continuerons d’appliquer ces principes dans l’application de toutes les lois et politiques. Sainte-Lucie est engagée envers la protection de la famille, en tant que cellule et unité fondamentale de la société et conformément à la Déclaration universelle des droits de l’homme.</w:t>
      </w:r>
      <w:r w:rsidR="0023148D" w:rsidRPr="00C04774">
        <w:rPr>
          <w:sz w:val="20"/>
          <w:lang w:val="fr-FR"/>
        </w:rPr>
        <w:t xml:space="preserve"> </w:t>
      </w:r>
    </w:p>
    <w:p w14:paraId="5406C508" w14:textId="77777777" w:rsidR="000A6BE0" w:rsidRPr="00C04774" w:rsidRDefault="000A6BE0" w:rsidP="00C618DD">
      <w:pPr>
        <w:rPr>
          <w:sz w:val="20"/>
          <w:lang w:val="fr-FR"/>
        </w:rPr>
      </w:pPr>
    </w:p>
    <w:p w14:paraId="22C1AFBB" w14:textId="77777777" w:rsidR="000A6BE0" w:rsidRPr="00C04774" w:rsidRDefault="000A6BE0" w:rsidP="00C618DD">
      <w:pPr>
        <w:ind w:firstLine="720"/>
        <w:rPr>
          <w:sz w:val="20"/>
          <w:lang w:val="fr-FR"/>
        </w:rPr>
      </w:pPr>
      <w:r w:rsidRPr="00C04774">
        <w:rPr>
          <w:sz w:val="20"/>
          <w:lang w:val="fr-FR"/>
        </w:rPr>
        <w:t xml:space="preserve">La promotion de l’égalité et de la parité hommes-femmes, de même que les droits humains des femmes et des filles, ainsi que l’élimination de la discrimination et de toutes les formes de violence contre elles demeure notre priorité. </w:t>
      </w:r>
    </w:p>
    <w:p w14:paraId="7B7F5B04" w14:textId="77777777" w:rsidR="000A6BE0" w:rsidRPr="00C04774" w:rsidRDefault="000A6BE0" w:rsidP="00C618DD">
      <w:pPr>
        <w:rPr>
          <w:sz w:val="20"/>
          <w:lang w:val="fr-FR"/>
        </w:rPr>
      </w:pPr>
    </w:p>
    <w:p w14:paraId="5FD3B099" w14:textId="77777777" w:rsidR="000A6BE0" w:rsidRPr="00C04774" w:rsidRDefault="000A6BE0" w:rsidP="00C618DD">
      <w:pPr>
        <w:ind w:firstLine="720"/>
        <w:rPr>
          <w:sz w:val="20"/>
          <w:lang w:val="fr-FR"/>
        </w:rPr>
      </w:pPr>
      <w:r w:rsidRPr="00C04774">
        <w:rPr>
          <w:sz w:val="20"/>
          <w:lang w:val="fr-FR"/>
        </w:rPr>
        <w:t>La réserve de Sainte-Lucie sur cette section est par conséquent basée sur la condition que nos lois nationales continueront d’être appliquées pour protéger les droits et libertés de tous les citoyens dans la mesure où chacun y a également droit. Le Gouvernement de Sainte-Lucie ne sera par conséquent pas lié par quelque disposition que ce soit dans cette section.</w:t>
      </w:r>
    </w:p>
    <w:p w14:paraId="572AB912" w14:textId="77777777" w:rsidR="000A6BE0" w:rsidRPr="00C04774" w:rsidRDefault="000A6BE0" w:rsidP="00C618DD">
      <w:pPr>
        <w:rPr>
          <w:sz w:val="20"/>
          <w:lang w:val="fr-FR"/>
        </w:rPr>
      </w:pPr>
    </w:p>
    <w:p w14:paraId="1D0AB910" w14:textId="4A578AE3" w:rsidR="000A6BE0" w:rsidRPr="00C04774" w:rsidRDefault="000A6BE0" w:rsidP="00C618DD">
      <w:pPr>
        <w:ind w:firstLine="720"/>
        <w:rPr>
          <w:sz w:val="20"/>
          <w:lang w:val="fr-FR"/>
        </w:rPr>
      </w:pPr>
      <w:r w:rsidRPr="00C04774">
        <w:rPr>
          <w:sz w:val="20"/>
          <w:lang w:val="fr-FR"/>
        </w:rPr>
        <w:t>2</w:t>
      </w:r>
      <w:r w:rsidR="00D41FA7" w:rsidRPr="00C04774">
        <w:rPr>
          <w:sz w:val="20"/>
          <w:lang w:val="fr-FR"/>
        </w:rPr>
        <w:t>2</w:t>
      </w:r>
      <w:r w:rsidRPr="00C04774">
        <w:rPr>
          <w:sz w:val="20"/>
          <w:lang w:val="fr-FR"/>
        </w:rPr>
        <w:t>.</w:t>
      </w:r>
      <w:r w:rsidRPr="00C04774">
        <w:rPr>
          <w:sz w:val="20"/>
          <w:lang w:val="fr-FR"/>
        </w:rPr>
        <w:tab/>
        <w:t>… fait part de sa réserve concernant les articles contraires à la Constitution de la République du Honduras.</w:t>
      </w:r>
    </w:p>
    <w:p w14:paraId="3F6A6644" w14:textId="77777777" w:rsidR="000A6BE0" w:rsidRPr="00C04774" w:rsidRDefault="000A6BE0" w:rsidP="00C618DD">
      <w:pPr>
        <w:rPr>
          <w:sz w:val="20"/>
          <w:lang w:val="fr-FR"/>
        </w:rPr>
      </w:pPr>
    </w:p>
    <w:p w14:paraId="6FE2152B" w14:textId="1B77FBA9" w:rsidR="000A6BE0" w:rsidRPr="00C04774" w:rsidRDefault="000A6BE0" w:rsidP="00C618DD">
      <w:pPr>
        <w:ind w:firstLine="720"/>
        <w:rPr>
          <w:sz w:val="20"/>
          <w:lang w:val="fr-FR"/>
        </w:rPr>
      </w:pPr>
      <w:r w:rsidRPr="00C04774">
        <w:rPr>
          <w:sz w:val="20"/>
          <w:lang w:val="fr-FR"/>
        </w:rPr>
        <w:t>2</w:t>
      </w:r>
      <w:r w:rsidR="00D41FA7" w:rsidRPr="00C04774">
        <w:rPr>
          <w:sz w:val="20"/>
          <w:lang w:val="fr-FR"/>
        </w:rPr>
        <w:t>3</w:t>
      </w:r>
      <w:r w:rsidRPr="00C04774">
        <w:rPr>
          <w:sz w:val="20"/>
          <w:lang w:val="fr-FR"/>
        </w:rPr>
        <w:t>.</w:t>
      </w:r>
      <w:r w:rsidRPr="00C04774">
        <w:rPr>
          <w:sz w:val="20"/>
          <w:lang w:val="fr-FR"/>
        </w:rPr>
        <w:tab/>
        <w:t xml:space="preserve">… Constitution et des lois de ce pays, et en vertu du principe de l’égalité, selon lequel tous ceux qui se trouvent sur le territoire du Suriname ont un droit égal à la protection de leur personne et de leurs biens, la République du Suriname n'exerce aucune discrimination fondée sur la naissance, le sexe, la race, la langue, l’origine religieuse, les convictions politiques, le statut économique ou tout autre statut. </w:t>
      </w:r>
    </w:p>
    <w:p w14:paraId="4F5303FD" w14:textId="77777777" w:rsidR="000A6BE0" w:rsidRPr="00C04774" w:rsidRDefault="000A6BE0" w:rsidP="00C618DD">
      <w:pPr>
        <w:rPr>
          <w:sz w:val="20"/>
          <w:lang w:val="fr-FR"/>
        </w:rPr>
      </w:pPr>
    </w:p>
    <w:p w14:paraId="3ECCD402" w14:textId="3AF7B62F" w:rsidR="000A6BE0" w:rsidRPr="00C04774" w:rsidRDefault="000A6BE0" w:rsidP="00C618DD">
      <w:pPr>
        <w:ind w:firstLine="720"/>
        <w:rPr>
          <w:sz w:val="20"/>
          <w:lang w:val="fr-FR"/>
        </w:rPr>
      </w:pPr>
      <w:r w:rsidRPr="00C04774">
        <w:rPr>
          <w:sz w:val="20"/>
          <w:lang w:val="fr-FR"/>
        </w:rPr>
        <w:t xml:space="preserve">Compte tenu des caractéristiques de notre société multiculturelle et afin d'assurer notre cohésion sociale exemplaire, certains aspects relatifs à l'orientation sexuelle et à l'identité de genre requièrent des consultations supplémentaires au niveau national, impliquant tous les secteurs de notre société, y compris la société civile. </w:t>
      </w:r>
      <w:r w:rsidR="006D7001" w:rsidRPr="00C04774">
        <w:rPr>
          <w:sz w:val="20"/>
          <w:lang w:val="fr-FR"/>
        </w:rPr>
        <w:t>Bien</w:t>
      </w:r>
      <w:r w:rsidRPr="00C04774">
        <w:rPr>
          <w:sz w:val="20"/>
          <w:lang w:val="fr-FR"/>
        </w:rPr>
        <w:t xml:space="preserve"> que des progrès significatifs aient été enregistrés et qu'un large consensus n'ait pas été atteint sur les nombreux principes énoncés dans la section xix. </w:t>
      </w:r>
      <w:proofErr w:type="gramStart"/>
      <w:r w:rsidRPr="00C04774">
        <w:rPr>
          <w:sz w:val="20"/>
          <w:lang w:val="fr-FR"/>
        </w:rPr>
        <w:t>de</w:t>
      </w:r>
      <w:proofErr w:type="gramEnd"/>
      <w:r w:rsidRPr="00C04774">
        <w:rPr>
          <w:sz w:val="20"/>
          <w:lang w:val="fr-FR"/>
        </w:rPr>
        <w:t xml:space="preserve"> la présente résolution, le processus national de consultation reste en cours au niveau du pays. </w:t>
      </w:r>
    </w:p>
    <w:p w14:paraId="52EE150F" w14:textId="77777777" w:rsidR="000A6BE0" w:rsidRPr="00C04774" w:rsidRDefault="000A6BE0" w:rsidP="00C618DD">
      <w:pPr>
        <w:rPr>
          <w:sz w:val="20"/>
          <w:lang w:val="fr-FR"/>
        </w:rPr>
      </w:pPr>
    </w:p>
    <w:p w14:paraId="12AAD378" w14:textId="77777777" w:rsidR="000A6BE0" w:rsidRPr="00C04774" w:rsidRDefault="000A6BE0" w:rsidP="00C618DD">
      <w:pPr>
        <w:ind w:firstLine="720"/>
        <w:rPr>
          <w:sz w:val="20"/>
          <w:lang w:val="fr-FR"/>
        </w:rPr>
      </w:pPr>
      <w:r w:rsidRPr="00C04774">
        <w:rPr>
          <w:sz w:val="20"/>
          <w:lang w:val="fr-FR"/>
        </w:rPr>
        <w:t xml:space="preserve">La République du Suriname serait disposée à agréer l'adoption de la présente résolution mais souhaite donner acte du fait qu’elle ne sera en mesure de reconnaître certains des éléments et principes qui y sont abordés qu'une fois </w:t>
      </w:r>
      <w:proofErr w:type="gramStart"/>
      <w:r w:rsidRPr="00C04774">
        <w:rPr>
          <w:sz w:val="20"/>
          <w:lang w:val="fr-FR"/>
        </w:rPr>
        <w:t>achevé</w:t>
      </w:r>
      <w:proofErr w:type="gramEnd"/>
      <w:r w:rsidRPr="00C04774">
        <w:rPr>
          <w:sz w:val="20"/>
          <w:lang w:val="fr-FR"/>
        </w:rPr>
        <w:t xml:space="preserve"> son processus de consultation nationale et un consensus atteint sur ces questions. Le Gouvernement du Suriname reste attaché aux droits de la personne et aux libertés fondamentales convenus au niveau intergouvernemental, tels qu'ils sont consacrés dans les différents instruments internationaux et régionaux relatifs aux droits de la personne.</w:t>
      </w:r>
    </w:p>
    <w:p w14:paraId="3E7F4F1A" w14:textId="77777777" w:rsidR="000A6BE0" w:rsidRPr="00C04774" w:rsidRDefault="000A6BE0" w:rsidP="00C618DD">
      <w:pPr>
        <w:rPr>
          <w:sz w:val="20"/>
          <w:lang w:val="fr-FR"/>
        </w:rPr>
      </w:pPr>
    </w:p>
    <w:p w14:paraId="350A6E3D" w14:textId="64FE4A06" w:rsidR="000A6BE0" w:rsidRPr="00C04774" w:rsidRDefault="000A6BE0" w:rsidP="00C618DD">
      <w:pPr>
        <w:ind w:firstLine="720"/>
        <w:rPr>
          <w:color w:val="000000"/>
          <w:sz w:val="20"/>
          <w:lang w:val="fr-FR"/>
        </w:rPr>
      </w:pPr>
      <w:r w:rsidRPr="00C04774">
        <w:rPr>
          <w:sz w:val="20"/>
          <w:lang w:val="fr-FR"/>
        </w:rPr>
        <w:lastRenderedPageBreak/>
        <w:t>2</w:t>
      </w:r>
      <w:r w:rsidR="00D41FA7" w:rsidRPr="00C04774">
        <w:rPr>
          <w:sz w:val="20"/>
          <w:lang w:val="fr-FR"/>
        </w:rPr>
        <w:t>4</w:t>
      </w:r>
      <w:r w:rsidRPr="00C04774">
        <w:rPr>
          <w:sz w:val="20"/>
          <w:lang w:val="fr-FR"/>
        </w:rPr>
        <w:t>.</w:t>
      </w:r>
      <w:r w:rsidRPr="00C04774">
        <w:rPr>
          <w:sz w:val="20"/>
          <w:lang w:val="fr-FR"/>
        </w:rPr>
        <w:tab/>
        <w:t xml:space="preserve">… </w:t>
      </w:r>
      <w:r w:rsidR="001F2E21" w:rsidRPr="00C04774">
        <w:rPr>
          <w:sz w:val="20"/>
          <w:lang w:val="fr-FR"/>
        </w:rPr>
        <w:t xml:space="preserve">et </w:t>
      </w:r>
      <w:r w:rsidRPr="00C04774">
        <w:rPr>
          <w:iCs/>
          <w:color w:val="000000"/>
          <w:sz w:val="20"/>
          <w:lang w:val="fr-FR"/>
        </w:rPr>
        <w:t>réaffirme l’égalité de tous les êtres humains tel qu’inscrit dans sa Constitution. Il faut souligner que certains des termes de cette résolution ne sont pas définis dans les lois nationales de Saint-Vincent-et-</w:t>
      </w:r>
      <w:r w:rsidR="001F2E21" w:rsidRPr="00C04774">
        <w:rPr>
          <w:iCs/>
          <w:color w:val="000000"/>
          <w:sz w:val="20"/>
          <w:lang w:val="fr-FR"/>
        </w:rPr>
        <w:t>les-</w:t>
      </w:r>
      <w:r w:rsidRPr="00C04774">
        <w:rPr>
          <w:iCs/>
          <w:color w:val="000000"/>
          <w:sz w:val="20"/>
          <w:lang w:val="fr-FR"/>
        </w:rPr>
        <w:t>Grenadines ni sur le plan international. Par conséquent, Saint-Vincent-et-</w:t>
      </w:r>
      <w:r w:rsidR="001F2E21" w:rsidRPr="00C04774">
        <w:rPr>
          <w:iCs/>
          <w:color w:val="000000"/>
          <w:sz w:val="20"/>
          <w:lang w:val="fr-FR"/>
        </w:rPr>
        <w:t>les-</w:t>
      </w:r>
      <w:r w:rsidRPr="00C04774">
        <w:rPr>
          <w:iCs/>
          <w:color w:val="000000"/>
          <w:sz w:val="20"/>
          <w:lang w:val="fr-FR"/>
        </w:rPr>
        <w:t>Grenadines se dissocie des termes qui sont incompatibles avec ses lois nationales et qui y sont contraires, se réservant le droit d’interpréter les termes de la présente résolution</w:t>
      </w:r>
      <w:r w:rsidRPr="00C04774">
        <w:rPr>
          <w:color w:val="000000"/>
          <w:sz w:val="20"/>
          <w:lang w:val="fr-FR"/>
        </w:rPr>
        <w:t>.</w:t>
      </w:r>
    </w:p>
    <w:p w14:paraId="6C33F32C" w14:textId="77777777" w:rsidR="000A6BE0" w:rsidRPr="00C04774" w:rsidRDefault="000A6BE0" w:rsidP="00C618DD">
      <w:pPr>
        <w:rPr>
          <w:color w:val="000000"/>
          <w:sz w:val="20"/>
          <w:lang w:val="fr-FR"/>
        </w:rPr>
      </w:pPr>
    </w:p>
    <w:p w14:paraId="2004D719" w14:textId="0A6ABAE6" w:rsidR="000A6BE0" w:rsidRPr="00C04774" w:rsidRDefault="000A6BE0" w:rsidP="00C618DD">
      <w:pPr>
        <w:ind w:firstLine="720"/>
        <w:rPr>
          <w:bCs/>
          <w:iCs/>
          <w:color w:val="000000"/>
          <w:sz w:val="20"/>
          <w:lang w:val="fr-FR"/>
        </w:rPr>
      </w:pPr>
      <w:r w:rsidRPr="00C04774">
        <w:rPr>
          <w:color w:val="000000"/>
          <w:sz w:val="20"/>
          <w:lang w:val="fr-FR"/>
        </w:rPr>
        <w:t>2</w:t>
      </w:r>
      <w:r w:rsidR="00D41FA7" w:rsidRPr="00C04774">
        <w:rPr>
          <w:color w:val="000000"/>
          <w:sz w:val="20"/>
          <w:lang w:val="fr-FR"/>
        </w:rPr>
        <w:t>5</w:t>
      </w:r>
      <w:r w:rsidRPr="00C04774">
        <w:rPr>
          <w:color w:val="000000"/>
          <w:sz w:val="20"/>
          <w:lang w:val="fr-FR"/>
        </w:rPr>
        <w:t>.</w:t>
      </w:r>
      <w:r w:rsidRPr="00C04774">
        <w:rPr>
          <w:color w:val="000000"/>
          <w:sz w:val="20"/>
          <w:lang w:val="fr-FR"/>
        </w:rPr>
        <w:tab/>
        <w:t xml:space="preserve">… </w:t>
      </w:r>
      <w:r w:rsidRPr="00C04774">
        <w:rPr>
          <w:bCs/>
          <w:iCs/>
          <w:color w:val="000000"/>
          <w:sz w:val="20"/>
          <w:lang w:val="fr-FR"/>
        </w:rPr>
        <w:t>national. Par conséquent, la Barbade ne serait pas en mesure de répondre à ces exigences. Le Gouvernement de la Barbade demeure toutefois engagé à protéger les droits de tous contre le préjudice et la violence, dans le respect de l’autorité de la loi ainsi que des dispositions de sa Constitution.</w:t>
      </w:r>
    </w:p>
    <w:p w14:paraId="74BC9426" w14:textId="77777777" w:rsidR="000A6BE0" w:rsidRPr="00C04774" w:rsidRDefault="000A6BE0" w:rsidP="00C618DD">
      <w:pPr>
        <w:rPr>
          <w:bCs/>
          <w:iCs/>
          <w:color w:val="000000"/>
          <w:sz w:val="20"/>
          <w:lang w:val="fr-FR"/>
        </w:rPr>
      </w:pPr>
    </w:p>
    <w:p w14:paraId="018C6D3F" w14:textId="3B90C08D" w:rsidR="000A6BE0" w:rsidRPr="00C04774" w:rsidRDefault="000A6BE0" w:rsidP="00C618DD">
      <w:pPr>
        <w:ind w:firstLine="720"/>
        <w:rPr>
          <w:sz w:val="20"/>
          <w:lang w:val="fr-FR"/>
        </w:rPr>
      </w:pPr>
      <w:r w:rsidRPr="00C04774">
        <w:rPr>
          <w:bCs/>
          <w:iCs/>
          <w:color w:val="000000"/>
          <w:sz w:val="20"/>
          <w:lang w:val="fr-FR"/>
        </w:rPr>
        <w:t>2</w:t>
      </w:r>
      <w:r w:rsidR="00D41FA7" w:rsidRPr="00C04774">
        <w:rPr>
          <w:bCs/>
          <w:iCs/>
          <w:color w:val="000000"/>
          <w:sz w:val="20"/>
          <w:lang w:val="fr-FR"/>
        </w:rPr>
        <w:t>6</w:t>
      </w:r>
      <w:r w:rsidRPr="00C04774">
        <w:rPr>
          <w:bCs/>
          <w:iCs/>
          <w:color w:val="000000"/>
          <w:sz w:val="20"/>
          <w:lang w:val="fr-FR"/>
        </w:rPr>
        <w:t>.</w:t>
      </w:r>
      <w:r w:rsidRPr="00C04774">
        <w:rPr>
          <w:bCs/>
          <w:iCs/>
          <w:color w:val="000000"/>
          <w:sz w:val="20"/>
          <w:lang w:val="fr-FR"/>
        </w:rPr>
        <w:tab/>
        <w:t xml:space="preserve">… </w:t>
      </w:r>
      <w:r w:rsidRPr="00C04774">
        <w:rPr>
          <w:sz w:val="20"/>
          <w:lang w:val="fr-FR"/>
        </w:rPr>
        <w:t>démocratie », émanant de la XXXVIII</w:t>
      </w:r>
      <w:r w:rsidRPr="00C04774">
        <w:rPr>
          <w:sz w:val="20"/>
          <w:vertAlign w:val="superscript"/>
          <w:lang w:val="fr-FR"/>
        </w:rPr>
        <w:t>e</w:t>
      </w:r>
      <w:r w:rsidRPr="00C04774">
        <w:rPr>
          <w:sz w:val="20"/>
          <w:lang w:val="fr-FR"/>
        </w:rPr>
        <w:t xml:space="preserve"> Assemblée générale de la Commission interaméricaine des femmes tenue le 8 mai 2019 en raison de son inadéquation avec les dispositions de sa Constitution nationale et les autres dispositions législatives équivalentes. Le Paraguay</w:t>
      </w:r>
      <w:r w:rsidRPr="00C04774">
        <w:rPr>
          <w:color w:val="000000"/>
          <w:sz w:val="20"/>
          <w:lang w:val="fr-FR"/>
        </w:rPr>
        <w:t xml:space="preserve"> mettra en pratique la présente section et la section XXI conformément à sa règlementation en vigueur, refusant les définitions ou termes qui vont à l’encontre de sa législation</w:t>
      </w:r>
      <w:r w:rsidRPr="00C04774">
        <w:rPr>
          <w:sz w:val="20"/>
          <w:lang w:val="fr-FR"/>
        </w:rPr>
        <w:t>.</w:t>
      </w:r>
    </w:p>
    <w:p w14:paraId="0347ABAF" w14:textId="77777777" w:rsidR="000A6BE0" w:rsidRPr="00C04774" w:rsidRDefault="000A6BE0" w:rsidP="00C618DD">
      <w:pPr>
        <w:rPr>
          <w:sz w:val="20"/>
          <w:lang w:val="fr-FR"/>
        </w:rPr>
      </w:pPr>
    </w:p>
    <w:p w14:paraId="6F9208FA" w14:textId="3B37C780" w:rsidR="000A6BE0" w:rsidRPr="00C04774" w:rsidRDefault="000A6BE0" w:rsidP="00C618DD">
      <w:pPr>
        <w:ind w:firstLine="720"/>
        <w:rPr>
          <w:sz w:val="20"/>
          <w:lang w:val="fr-FR"/>
        </w:rPr>
      </w:pPr>
      <w:r w:rsidRPr="00C04774">
        <w:rPr>
          <w:sz w:val="20"/>
          <w:lang w:val="fr-FR"/>
        </w:rPr>
        <w:t>2</w:t>
      </w:r>
      <w:r w:rsidR="00D41FA7" w:rsidRPr="00C04774">
        <w:rPr>
          <w:sz w:val="20"/>
          <w:lang w:val="fr-FR"/>
        </w:rPr>
        <w:t>8</w:t>
      </w:r>
      <w:r w:rsidRPr="00C04774">
        <w:rPr>
          <w:sz w:val="20"/>
          <w:lang w:val="fr-FR"/>
        </w:rPr>
        <w:t>.</w:t>
      </w:r>
      <w:r w:rsidRPr="00C04774">
        <w:rPr>
          <w:sz w:val="20"/>
          <w:lang w:val="fr-FR"/>
        </w:rPr>
        <w:tab/>
        <w:t xml:space="preserve">… que l’élimination de la discrimination et de toutes les formes de violence à leur encontre. </w:t>
      </w:r>
    </w:p>
    <w:p w14:paraId="506F5132" w14:textId="77777777" w:rsidR="000A6BE0" w:rsidRPr="00C04774" w:rsidRDefault="000A6BE0" w:rsidP="00C618DD">
      <w:pPr>
        <w:rPr>
          <w:sz w:val="20"/>
          <w:lang w:val="fr-FR"/>
        </w:rPr>
      </w:pPr>
    </w:p>
    <w:p w14:paraId="598ACBBF" w14:textId="77777777" w:rsidR="000A6BE0" w:rsidRPr="00C04774" w:rsidRDefault="000A6BE0" w:rsidP="00C618DD">
      <w:pPr>
        <w:ind w:firstLine="720"/>
        <w:rPr>
          <w:sz w:val="20"/>
          <w:lang w:val="fr-FR"/>
        </w:rPr>
      </w:pPr>
      <w:r w:rsidRPr="00C04774">
        <w:rPr>
          <w:sz w:val="20"/>
          <w:lang w:val="fr-FR"/>
        </w:rPr>
        <w:t xml:space="preserve">Le terme « femmes dans toute leur diversité », qui est employé dans le contexte de la section xx, n’est pas conforme aux lois de Sainte-Lucie. Nous faisons remarquer également qu’alors que la justification de son utilisation dans la résolution de cette année est prétendument due à la référence à ce terme dans la résolution « Promotion et protection des droits de la personne » de 2019, cette terminologie ne figure pas dans les versions en anglais de la résolution de 2019 et des questions se posent sur la formulation exacte négociée en 2019. Le Gouvernement de Sainte-Lucie est extrêmement préoccupé à cause des variations terminologiques trouvées dans les différentes langues de la résolution de 2019, qui peuvent ou non refléter l’accord négocié. </w:t>
      </w:r>
    </w:p>
    <w:p w14:paraId="3CB73D65" w14:textId="77777777" w:rsidR="000A6BE0" w:rsidRPr="00C04774" w:rsidRDefault="000A6BE0" w:rsidP="00C618DD">
      <w:pPr>
        <w:rPr>
          <w:sz w:val="20"/>
          <w:lang w:val="fr-FR"/>
        </w:rPr>
      </w:pPr>
    </w:p>
    <w:p w14:paraId="5CBB31D1" w14:textId="77777777" w:rsidR="000A6BE0" w:rsidRPr="00C04774" w:rsidRDefault="000A6BE0" w:rsidP="00C618DD">
      <w:pPr>
        <w:ind w:firstLine="720"/>
        <w:rPr>
          <w:sz w:val="20"/>
          <w:lang w:val="fr-FR"/>
        </w:rPr>
      </w:pPr>
      <w:r w:rsidRPr="00C04774">
        <w:rPr>
          <w:sz w:val="20"/>
          <w:lang w:val="fr-FR"/>
        </w:rPr>
        <w:t>Pour les raisons énoncées ci-dessus, le Gouvernement de Sainte-Lucie consigne sa réserve relativement à cette section. En outre, le Gouvernement de Sainte-Lucie insiste pour que tout travail entrepris par la Commission interaméricaine des femmes (CIM) reconnaisse et reflète les lois nationales des divers États membres.</w:t>
      </w:r>
    </w:p>
    <w:p w14:paraId="14730EDF" w14:textId="77777777" w:rsidR="000A6BE0" w:rsidRPr="00C04774" w:rsidRDefault="000A6BE0" w:rsidP="00C618DD">
      <w:pPr>
        <w:rPr>
          <w:sz w:val="20"/>
          <w:lang w:val="fr-FR"/>
        </w:rPr>
      </w:pPr>
    </w:p>
    <w:p w14:paraId="1D0E42BA" w14:textId="77777777" w:rsidR="000A6BE0" w:rsidRPr="00C04774" w:rsidRDefault="000A6BE0" w:rsidP="00C618DD">
      <w:pPr>
        <w:ind w:firstLine="720"/>
        <w:rPr>
          <w:sz w:val="20"/>
          <w:lang w:val="fr-FR"/>
        </w:rPr>
      </w:pPr>
      <w:r w:rsidRPr="00C04774">
        <w:rPr>
          <w:sz w:val="20"/>
          <w:lang w:val="fr-FR"/>
        </w:rPr>
        <w:t>Le Gouvernement de Sainte-Lucie continuera de travailler sans relâche à promouvoir l’égalité des sexes et l’habilitation des femmes et des filles, tels que définis dans ses lois nationales.</w:t>
      </w:r>
    </w:p>
    <w:p w14:paraId="47229883" w14:textId="77777777" w:rsidR="000A6BE0" w:rsidRPr="00C04774" w:rsidRDefault="000A6BE0" w:rsidP="00C618DD">
      <w:pPr>
        <w:rPr>
          <w:sz w:val="20"/>
          <w:lang w:val="fr-FR"/>
        </w:rPr>
      </w:pPr>
    </w:p>
    <w:p w14:paraId="1541A33F" w14:textId="65ED5104" w:rsidR="000A6BE0" w:rsidRPr="00C04774" w:rsidRDefault="000A6BE0" w:rsidP="00C618DD">
      <w:pPr>
        <w:ind w:firstLine="720"/>
        <w:rPr>
          <w:sz w:val="20"/>
          <w:lang w:val="fr-FR"/>
        </w:rPr>
      </w:pPr>
      <w:r w:rsidRPr="00C04774">
        <w:rPr>
          <w:sz w:val="20"/>
          <w:lang w:val="fr-FR"/>
        </w:rPr>
        <w:t>2</w:t>
      </w:r>
      <w:r w:rsidR="00D41FA7" w:rsidRPr="00C04774">
        <w:rPr>
          <w:sz w:val="20"/>
          <w:lang w:val="fr-FR"/>
        </w:rPr>
        <w:t>9</w:t>
      </w:r>
      <w:r w:rsidRPr="00C04774">
        <w:rPr>
          <w:sz w:val="20"/>
          <w:lang w:val="fr-FR"/>
        </w:rPr>
        <w:t>.</w:t>
      </w:r>
      <w:r w:rsidRPr="00C04774">
        <w:rPr>
          <w:sz w:val="20"/>
          <w:lang w:val="fr-FR"/>
        </w:rPr>
        <w:tab/>
        <w:t>… engagés à prévenir, punir et éradiquer la violence contre les femmes et en particulier à poursuivre en justice les auteurs de cette violence. En outre, les États-Unis considèrent que l'expression « santé sexuelle et génésique » ouvre la voie à de nombreuses interprétations et ne s'associent donc pas à cette section. Les États-Unis soutiennent les politiques qui favorisent le respect des droits fondamentaux de tout un chacun, sans discrimination.</w:t>
      </w:r>
    </w:p>
    <w:p w14:paraId="12207092" w14:textId="77777777" w:rsidR="000A6BE0" w:rsidRPr="00C04774" w:rsidRDefault="000A6BE0" w:rsidP="00C618DD">
      <w:pPr>
        <w:rPr>
          <w:sz w:val="20"/>
          <w:lang w:val="fr-FR"/>
        </w:rPr>
      </w:pPr>
    </w:p>
    <w:p w14:paraId="018B4BDD" w14:textId="7BF2C84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3</w:t>
      </w:r>
      <w:r w:rsidR="00D41FA7" w:rsidRPr="00C04774">
        <w:rPr>
          <w:sz w:val="20"/>
          <w:lang w:val="fr-FR" w:eastAsia="x-none"/>
        </w:rPr>
        <w:t>2</w:t>
      </w:r>
      <w:r w:rsidRPr="00C04774">
        <w:rPr>
          <w:sz w:val="20"/>
          <w:lang w:val="fr-FR" w:eastAsia="x-none"/>
        </w:rPr>
        <w:t>.</w:t>
      </w:r>
      <w:r w:rsidRPr="00C04774">
        <w:rPr>
          <w:sz w:val="20"/>
          <w:lang w:val="fr-FR" w:eastAsia="x-none"/>
        </w:rPr>
        <w:tab/>
        <w:t xml:space="preserve">… obligations aux termes de la Convention de Belém do Pará et appuie les efforts déployés par le Mécanisme de suivi de la </w:t>
      </w:r>
      <w:r w:rsidR="005D6AB8" w:rsidRPr="00C04774">
        <w:rPr>
          <w:sz w:val="20"/>
          <w:lang w:val="fr-FR" w:eastAsia="x-none"/>
        </w:rPr>
        <w:t xml:space="preserve">mise en </w:t>
      </w:r>
      <w:r w:rsidR="006D7001" w:rsidRPr="00C04774">
        <w:rPr>
          <w:sz w:val="20"/>
          <w:lang w:val="fr-FR" w:eastAsia="x-none"/>
        </w:rPr>
        <w:t>œuvre</w:t>
      </w:r>
      <w:r w:rsidR="005D6AB8" w:rsidRPr="00C04774">
        <w:rPr>
          <w:sz w:val="20"/>
          <w:lang w:val="fr-FR" w:eastAsia="x-none"/>
        </w:rPr>
        <w:t xml:space="preserve"> de la </w:t>
      </w:r>
      <w:r w:rsidRPr="00C04774">
        <w:rPr>
          <w:sz w:val="20"/>
          <w:lang w:val="fr-FR" w:eastAsia="x-none"/>
        </w:rPr>
        <w:t xml:space="preserve">Convention de Belém do Pará (MESECVI) </w:t>
      </w:r>
      <w:r w:rsidR="00EF5BF8" w:rsidRPr="00C04774">
        <w:rPr>
          <w:sz w:val="20"/>
          <w:lang w:val="fr-FR" w:eastAsia="x-none"/>
        </w:rPr>
        <w:t xml:space="preserve">aux fins </w:t>
      </w:r>
      <w:r w:rsidR="005D6AB8" w:rsidRPr="00C04774">
        <w:rPr>
          <w:sz w:val="20"/>
          <w:lang w:val="fr-FR" w:eastAsia="x-none"/>
        </w:rPr>
        <w:t>d’application</w:t>
      </w:r>
      <w:r w:rsidRPr="00C04774">
        <w:rPr>
          <w:sz w:val="20"/>
          <w:lang w:val="fr-FR" w:eastAsia="x-none"/>
        </w:rPr>
        <w:t xml:space="preserve">. </w:t>
      </w:r>
    </w:p>
    <w:p w14:paraId="57EA00F3" w14:textId="77777777" w:rsidR="000A6BE0" w:rsidRPr="00C04774" w:rsidRDefault="000A6BE0" w:rsidP="00C618DD">
      <w:pPr>
        <w:pStyle w:val="FootnoteText"/>
        <w:tabs>
          <w:tab w:val="clear" w:pos="360"/>
        </w:tabs>
        <w:ind w:left="0" w:firstLine="0"/>
        <w:rPr>
          <w:sz w:val="20"/>
          <w:lang w:val="fr-FR" w:eastAsia="x-none"/>
        </w:rPr>
      </w:pPr>
    </w:p>
    <w:p w14:paraId="473355CD" w14:textId="7B05E672"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Cependant, le terme “femmes dans toute leur diversité”, tel qu’utilisé dans le contexte de la section xxi</w:t>
      </w:r>
      <w:r w:rsidR="005D6AB8" w:rsidRPr="00C04774">
        <w:rPr>
          <w:sz w:val="20"/>
          <w:lang w:val="fr-FR" w:eastAsia="x-none"/>
        </w:rPr>
        <w:t>.</w:t>
      </w:r>
      <w:r w:rsidRPr="00C04774">
        <w:rPr>
          <w:sz w:val="20"/>
          <w:lang w:val="fr-FR" w:eastAsia="x-none"/>
        </w:rPr>
        <w:t xml:space="preserve">, n’est pas conforme aux lois de Sainte-Lucie et dépasse la portée de la Convention de Belém do Pará. Nous rejetons tous les efforts visant à attribuer une intention à la Convention. Nous faisons remarquer également qu’alors que la justification de son utilisation dans la résolution de cette année est prétendument due à la référence à ce terme dans la résolution « Promotion et protection des droits de la personne » de 2019, cette terminologie ne figure pas dans les versions en anglais de la résolution de 2019 et des questions se posent sur la formulation exacte négociée en 2019. Le Gouvernement de Sainte-Lucie est extrêmement préoccupé </w:t>
      </w:r>
      <w:r w:rsidR="005D6AB8" w:rsidRPr="00C04774">
        <w:rPr>
          <w:sz w:val="20"/>
          <w:lang w:val="fr-FR" w:eastAsia="x-none"/>
        </w:rPr>
        <w:t xml:space="preserve">par les </w:t>
      </w:r>
      <w:r w:rsidRPr="00C04774">
        <w:rPr>
          <w:sz w:val="20"/>
          <w:lang w:val="fr-FR" w:eastAsia="x-none"/>
        </w:rPr>
        <w:t xml:space="preserve">variations </w:t>
      </w:r>
      <w:r w:rsidRPr="00C04774">
        <w:rPr>
          <w:sz w:val="20"/>
          <w:lang w:val="fr-FR" w:eastAsia="x-none"/>
        </w:rPr>
        <w:lastRenderedPageBreak/>
        <w:t>terminologiques trouvées dans les différentes langues de la résolution de 2019, qui peuvent ou non refléter l’accord négocié.</w:t>
      </w:r>
    </w:p>
    <w:p w14:paraId="176F7184" w14:textId="77777777" w:rsidR="000A6BE0" w:rsidRPr="00C04774" w:rsidRDefault="000A6BE0" w:rsidP="00C618DD">
      <w:pPr>
        <w:pStyle w:val="FootnoteText"/>
        <w:tabs>
          <w:tab w:val="clear" w:pos="360"/>
        </w:tabs>
        <w:ind w:left="0" w:firstLine="0"/>
        <w:rPr>
          <w:sz w:val="20"/>
          <w:lang w:val="fr-FR" w:eastAsia="x-none"/>
        </w:rPr>
      </w:pPr>
    </w:p>
    <w:p w14:paraId="296298D7" w14:textId="76B9EC13"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 xml:space="preserve">Pour les raisons énoncées ci-dessus, le Gouvernement de Sainte-Lucie consigne sa réserve relativement à cette section et continuera de travailler sans relâche </w:t>
      </w:r>
      <w:r w:rsidR="005D6AB8" w:rsidRPr="00C04774">
        <w:rPr>
          <w:sz w:val="20"/>
          <w:lang w:val="fr-FR" w:eastAsia="x-none"/>
        </w:rPr>
        <w:t>pour</w:t>
      </w:r>
      <w:r w:rsidRPr="00C04774">
        <w:rPr>
          <w:sz w:val="20"/>
          <w:lang w:val="fr-FR" w:eastAsia="x-none"/>
        </w:rPr>
        <w:t xml:space="preserve"> respecter ses obligations relativement à la Convention susmentionnée. En outre, le Gouvernement de Sainte-Lucie insiste que tous travaux entrepris par la CIM et par le MESECVI reconnaissent et reflète</w:t>
      </w:r>
      <w:r w:rsidR="005D6AB8" w:rsidRPr="00C04774">
        <w:rPr>
          <w:sz w:val="20"/>
          <w:lang w:val="fr-FR" w:eastAsia="x-none"/>
        </w:rPr>
        <w:t>nt</w:t>
      </w:r>
      <w:r w:rsidRPr="00C04774">
        <w:rPr>
          <w:sz w:val="20"/>
          <w:lang w:val="fr-FR" w:eastAsia="x-none"/>
        </w:rPr>
        <w:t xml:space="preserve"> les lois nationales des divers États membres.</w:t>
      </w:r>
    </w:p>
    <w:p w14:paraId="468E394F" w14:textId="77777777" w:rsidR="000A6BE0" w:rsidRPr="00C04774" w:rsidRDefault="000A6BE0" w:rsidP="00C618DD">
      <w:pPr>
        <w:pStyle w:val="FootnoteText"/>
        <w:tabs>
          <w:tab w:val="clear" w:pos="360"/>
        </w:tabs>
        <w:ind w:left="0" w:firstLine="0"/>
        <w:rPr>
          <w:sz w:val="20"/>
          <w:lang w:val="fr-FR" w:eastAsia="x-none"/>
        </w:rPr>
      </w:pPr>
    </w:p>
    <w:p w14:paraId="5939774C" w14:textId="6524A77A"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3</w:t>
      </w:r>
      <w:r w:rsidR="00D41FA7" w:rsidRPr="00C04774">
        <w:rPr>
          <w:sz w:val="20"/>
          <w:lang w:val="fr-FR" w:eastAsia="x-none"/>
        </w:rPr>
        <w:t>3</w:t>
      </w:r>
      <w:r w:rsidRPr="00C04774">
        <w:rPr>
          <w:sz w:val="20"/>
          <w:lang w:val="fr-FR" w:eastAsia="x-none"/>
        </w:rPr>
        <w:t>.</w:t>
      </w:r>
      <w:r w:rsidRPr="00C04774">
        <w:rPr>
          <w:sz w:val="20"/>
          <w:lang w:val="fr-FR" w:eastAsia="x-none"/>
        </w:rPr>
        <w:tab/>
        <w:t xml:space="preserve">… américaine sur les droits des peuples autochtones (2017-2021), réitère son engagement en faveur de la promotion et de la protection des droits de la personne, tant collectifs qu'individuels, pour les peuples autochtones sur la base d'une relation de respect et interculturelle, tout en reconnaissant que les peuples autochtones ont droit à l'autodétermination et qu'en vertu de ce droit, ils déterminent librement leur statut politique et poursuivent librement leur développement économique, social et culturel, comme le prévoient la Déclaration américaine sur les droits des peuples autochtones, la Déclaration des Nations Unies sur les droits des peuples autochtones et d'autres instruments internationaux dans ce domaine. Le Mexique se dissocie de ce paragraphe car il considère qu'il contient des éléments qui ne figurent pas dans la section considérée, à savoir, le suivi de la Déclaration américaine sur les droits des peuples autochtones et du Plan d'action y relatif </w:t>
      </w:r>
      <w:r w:rsidR="00F33A75" w:rsidRPr="00C04774">
        <w:rPr>
          <w:sz w:val="20"/>
          <w:lang w:val="fr-FR" w:eastAsia="x-none"/>
        </w:rPr>
        <w:t>[</w:t>
      </w:r>
      <w:r w:rsidRPr="00C04774">
        <w:rPr>
          <w:sz w:val="20"/>
          <w:lang w:val="fr-FR" w:eastAsia="x-none"/>
        </w:rPr>
        <w:t>adopté en 2017 au moyen de la résolution AG/RES. 2913 (XLVII-O/17)</w:t>
      </w:r>
      <w:r w:rsidR="00F33A75" w:rsidRPr="00C04774">
        <w:rPr>
          <w:sz w:val="20"/>
          <w:lang w:val="fr-FR" w:eastAsia="x-none"/>
        </w:rPr>
        <w:t>]</w:t>
      </w:r>
      <w:r w:rsidRPr="00C04774">
        <w:rPr>
          <w:sz w:val="20"/>
          <w:lang w:val="fr-FR" w:eastAsia="x-none"/>
        </w:rPr>
        <w:t>, éléments qui ont un espace spécifique d’examen dans cette Organisation.</w:t>
      </w:r>
    </w:p>
    <w:p w14:paraId="0CA27228" w14:textId="77777777" w:rsidR="000A6BE0" w:rsidRPr="00C04774" w:rsidRDefault="000A6BE0" w:rsidP="00C618DD">
      <w:pPr>
        <w:pStyle w:val="FootnoteText"/>
        <w:tabs>
          <w:tab w:val="clear" w:pos="360"/>
        </w:tabs>
        <w:ind w:left="0" w:firstLine="0"/>
        <w:rPr>
          <w:sz w:val="20"/>
          <w:lang w:val="fr-FR" w:eastAsia="x-none"/>
        </w:rPr>
      </w:pPr>
    </w:p>
    <w:p w14:paraId="4F023050" w14:textId="4A39CD9C"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3</w:t>
      </w:r>
      <w:r w:rsidR="00D41FA7" w:rsidRPr="00C04774">
        <w:rPr>
          <w:sz w:val="20"/>
          <w:lang w:val="fr-FR" w:eastAsia="x-none"/>
        </w:rPr>
        <w:t>4</w:t>
      </w:r>
      <w:r w:rsidRPr="00C04774">
        <w:rPr>
          <w:sz w:val="20"/>
          <w:lang w:val="fr-FR" w:eastAsia="x-none"/>
        </w:rPr>
        <w:t>.</w:t>
      </w:r>
      <w:r w:rsidRPr="00C04774">
        <w:rPr>
          <w:sz w:val="20"/>
          <w:lang w:val="fr-FR" w:eastAsia="x-none"/>
        </w:rPr>
        <w:tab/>
        <w:t xml:space="preserve">… </w:t>
      </w:r>
      <w:r w:rsidRPr="00C04774">
        <w:rPr>
          <w:bCs/>
          <w:iCs/>
          <w:sz w:val="20"/>
          <w:lang w:val="fr-FR" w:eastAsia="x-none"/>
        </w:rPr>
        <w:t>et dans divers instruments internationaux dont il est un État partie, et qui constituent un engagement à éliminer les situations d’exclusion et de désavantage social qu’ont vécues, tout au long de l’histoire, des groupes de personnes, dont les peuples autochtones. El Salvador estime que de par leur complexité, les questions reliées à la criminalité ne doivent pas faire partie du contenu de la présente résolution, conformément au mécanisme de suivi de la Déclaration américaine sur les droits des peuples autochtones et du Plan d’action relatif à la Déclaration américaine sur les droits des peuples autochtones (2017-2021) et ce lien doivent être abordés dans d’autres espaces correspondants à l’OEA, raison pour laquelle El Salvador se dissocie de ce paragraphe</w:t>
      </w:r>
      <w:r w:rsidRPr="00C04774">
        <w:rPr>
          <w:sz w:val="20"/>
          <w:lang w:val="fr-FR" w:eastAsia="x-none"/>
        </w:rPr>
        <w:t>.</w:t>
      </w:r>
    </w:p>
    <w:p w14:paraId="2204475A" w14:textId="77777777" w:rsidR="000A6BE0" w:rsidRPr="00C04774" w:rsidRDefault="000A6BE0" w:rsidP="00C618DD">
      <w:pPr>
        <w:pStyle w:val="FootnoteText"/>
        <w:tabs>
          <w:tab w:val="clear" w:pos="360"/>
        </w:tabs>
        <w:ind w:left="0" w:firstLine="0"/>
        <w:rPr>
          <w:sz w:val="20"/>
          <w:lang w:val="fr-FR" w:eastAsia="x-none"/>
        </w:rPr>
      </w:pPr>
    </w:p>
    <w:p w14:paraId="19321CD1" w14:textId="2691AECB"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3</w:t>
      </w:r>
      <w:r w:rsidR="00D41FA7" w:rsidRPr="00C04774">
        <w:rPr>
          <w:sz w:val="20"/>
          <w:lang w:val="fr-FR" w:eastAsia="x-none"/>
        </w:rPr>
        <w:t>5</w:t>
      </w:r>
      <w:r w:rsidRPr="00C04774">
        <w:rPr>
          <w:sz w:val="20"/>
          <w:lang w:val="fr-FR" w:eastAsia="x-none"/>
        </w:rPr>
        <w:t>.</w:t>
      </w:r>
      <w:r w:rsidRPr="00C04774">
        <w:rPr>
          <w:sz w:val="20"/>
          <w:lang w:val="fr-FR" w:eastAsia="x-none"/>
        </w:rPr>
        <w:tab/>
        <w:t>… en outre que, sauf exceptions limitées non pertinentes en l'espèce, les obligations internationales des États en matière de droits de la personne ne s'étendent pas à la conduite d’acteurs privés. Les États-Unis soulignent leurs objections persistantes à l’égard de la Déclaration américaine sur les droits des peuples autochtones, lesquelles ont été consignées à l’origine en 2007 et développées par la suite dans la note de bas de page des États-Unis inscrite à la résolution AG/RES. 2888 (XLVI-O/16) de l’Assemblée générale de l’OEA adoptée le 15 juin 2016. En particulier, les États-Unis réitèrent que les États membres de l’OEA devraient centrer leur attention sur la mise en œuvre de la Déclaration des Nations Unies sur les droits des peuples autochtones.</w:t>
      </w:r>
    </w:p>
    <w:p w14:paraId="32883E97" w14:textId="77777777" w:rsidR="000A6BE0" w:rsidRPr="00C04774" w:rsidRDefault="000A6BE0" w:rsidP="00C618DD">
      <w:pPr>
        <w:pStyle w:val="FootnoteText"/>
        <w:tabs>
          <w:tab w:val="clear" w:pos="360"/>
        </w:tabs>
        <w:ind w:left="0" w:firstLine="0"/>
        <w:rPr>
          <w:sz w:val="20"/>
          <w:lang w:val="fr-FR" w:eastAsia="x-none"/>
        </w:rPr>
      </w:pPr>
    </w:p>
    <w:p w14:paraId="2FD5F754" w14:textId="3DEB6269"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3</w:t>
      </w:r>
      <w:r w:rsidR="00D41FA7" w:rsidRPr="00C04774">
        <w:rPr>
          <w:sz w:val="20"/>
          <w:lang w:val="fr-FR" w:eastAsia="x-none"/>
        </w:rPr>
        <w:t>6</w:t>
      </w:r>
      <w:r w:rsidRPr="00C04774">
        <w:rPr>
          <w:sz w:val="20"/>
          <w:lang w:val="fr-FR" w:eastAsia="x-none"/>
        </w:rPr>
        <w:t>.</w:t>
      </w:r>
      <w:r w:rsidRPr="00C04774">
        <w:rPr>
          <w:sz w:val="20"/>
          <w:lang w:val="fr-FR" w:eastAsia="x-none"/>
        </w:rPr>
        <w:tab/>
        <w:t xml:space="preserve">… réduit la pauvreté et l’inégalité le plus rapidement, celui ayant le meilleur accès à des services de santé et d’éducation de qualité, celui où la croissance de la moyenne sur plusieurs années est la plus importante, et l’un des cinq pays où la parité hommes-femmes est la plus élevée au monde. </w:t>
      </w:r>
    </w:p>
    <w:p w14:paraId="3E7E2E81" w14:textId="77777777" w:rsidR="000A6BE0" w:rsidRPr="00C04774" w:rsidRDefault="000A6BE0" w:rsidP="00C618DD">
      <w:pPr>
        <w:pStyle w:val="FootnoteText"/>
        <w:tabs>
          <w:tab w:val="clear" w:pos="360"/>
        </w:tabs>
        <w:ind w:left="0" w:firstLine="0"/>
        <w:rPr>
          <w:sz w:val="20"/>
          <w:lang w:val="fr-FR" w:eastAsia="x-none"/>
        </w:rPr>
      </w:pPr>
    </w:p>
    <w:p w14:paraId="09CACE4D"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En ce qui a trait à l’égalité des sexes, le rapport ONU Femmes, du 4 octobre 2019, a publié une liste des 10 pays ayant le meilleur bilan dans le monde, dans laquelle le Nicaragua figure en troisième place dans le monde. En 2007, le Nicaragua a occupé la 90</w:t>
      </w:r>
      <w:r w:rsidRPr="00C04774">
        <w:rPr>
          <w:sz w:val="20"/>
          <w:vertAlign w:val="superscript"/>
          <w:lang w:val="fr-FR" w:eastAsia="x-none"/>
        </w:rPr>
        <w:t>e</w:t>
      </w:r>
      <w:r w:rsidRPr="00C04774">
        <w:rPr>
          <w:sz w:val="20"/>
          <w:lang w:val="fr-FR" w:eastAsia="x-none"/>
        </w:rPr>
        <w:t xml:space="preserve"> position dans l’index relatif au fossé entre les sexes. </w:t>
      </w:r>
    </w:p>
    <w:p w14:paraId="445925BB" w14:textId="77777777" w:rsidR="000A6BE0" w:rsidRPr="00C04774" w:rsidRDefault="000A6BE0" w:rsidP="00C618DD">
      <w:pPr>
        <w:pStyle w:val="FootnoteText"/>
        <w:tabs>
          <w:tab w:val="clear" w:pos="360"/>
        </w:tabs>
        <w:ind w:left="0" w:firstLine="0"/>
        <w:rPr>
          <w:sz w:val="20"/>
          <w:lang w:val="fr-FR" w:eastAsia="x-none"/>
        </w:rPr>
      </w:pPr>
    </w:p>
    <w:p w14:paraId="2B0954E5"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En 2018 et en 2019, il occupait, dans le même index, la 5</w:t>
      </w:r>
      <w:r w:rsidRPr="00C04774">
        <w:rPr>
          <w:sz w:val="20"/>
          <w:vertAlign w:val="superscript"/>
          <w:lang w:val="fr-FR" w:eastAsia="x-none"/>
        </w:rPr>
        <w:t>e</w:t>
      </w:r>
      <w:r w:rsidRPr="00C04774">
        <w:rPr>
          <w:sz w:val="20"/>
          <w:lang w:val="fr-FR" w:eastAsia="x-none"/>
        </w:rPr>
        <w:t xml:space="preserve"> position au niveau mondial après les pays nordiques. Avec ces résultats, le Nicaragua est en avance sur tous les pays européens, les pays développés, ceux d’Amérique centrale et des Caraïbes, à l’exception des pays nordiques. </w:t>
      </w:r>
    </w:p>
    <w:p w14:paraId="200AA67E" w14:textId="77777777" w:rsidR="000A6BE0" w:rsidRPr="00C04774" w:rsidRDefault="000A6BE0" w:rsidP="00C618DD">
      <w:pPr>
        <w:pStyle w:val="FootnoteText"/>
        <w:tabs>
          <w:tab w:val="clear" w:pos="360"/>
        </w:tabs>
        <w:ind w:left="0" w:firstLine="0"/>
        <w:rPr>
          <w:sz w:val="20"/>
          <w:lang w:val="fr-FR" w:eastAsia="x-none"/>
        </w:rPr>
      </w:pPr>
    </w:p>
    <w:p w14:paraId="53A1E652"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 xml:space="preserve">Le Nicaragua est un pays aimant la paix et la sécurité et respectueux des principes du droit international et du droit de chaque nation à résoudre ses affaires internes sans ingérences externes de quelque type que ce soit. </w:t>
      </w:r>
    </w:p>
    <w:p w14:paraId="050DBAA0" w14:textId="77777777" w:rsidR="000A6BE0" w:rsidRPr="00C04774" w:rsidRDefault="000A6BE0" w:rsidP="00C618DD">
      <w:pPr>
        <w:pStyle w:val="FootnoteText"/>
        <w:tabs>
          <w:tab w:val="clear" w:pos="360"/>
        </w:tabs>
        <w:ind w:left="0" w:firstLine="0"/>
        <w:rPr>
          <w:sz w:val="20"/>
          <w:lang w:val="fr-FR" w:eastAsia="x-none"/>
        </w:rPr>
      </w:pPr>
    </w:p>
    <w:p w14:paraId="7ABD2FA3"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 xml:space="preserve">En ce qui concerne le Rapport annuel de la Commission interaméricaine des droits de l’homme, il insiste à conserver deux poids et deux mesures en matière de traitement des droits de la personne dans la région, ce qui affecte son impartialité et sa crédibilité. </w:t>
      </w:r>
    </w:p>
    <w:p w14:paraId="46D9842A" w14:textId="77777777" w:rsidR="000A6BE0" w:rsidRPr="00C04774" w:rsidRDefault="000A6BE0" w:rsidP="00C618DD">
      <w:pPr>
        <w:pStyle w:val="FootnoteText"/>
        <w:tabs>
          <w:tab w:val="clear" w:pos="360"/>
        </w:tabs>
        <w:ind w:left="0" w:firstLine="0"/>
        <w:rPr>
          <w:sz w:val="20"/>
          <w:lang w:val="fr-FR" w:eastAsia="x-none"/>
        </w:rPr>
      </w:pPr>
    </w:p>
    <w:p w14:paraId="21B01427"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 xml:space="preserve">Envers le Nicaragua, son approche continue d’être loin de la réalité, avec une vision partiale et biaisée car il minimise les actions criminelles des groupes terroristes qui ont semé la terreur au sein de la population civile, et dont les actions visaient à rompre l’ordre constitutionnel, et que la CIDH qualifie de supposées « protestations pacifiques ». </w:t>
      </w:r>
    </w:p>
    <w:p w14:paraId="7B01EE49" w14:textId="77777777" w:rsidR="000A6BE0" w:rsidRPr="00C04774" w:rsidRDefault="000A6BE0" w:rsidP="00C618DD">
      <w:pPr>
        <w:pStyle w:val="FootnoteText"/>
        <w:tabs>
          <w:tab w:val="clear" w:pos="360"/>
        </w:tabs>
        <w:ind w:left="0" w:firstLine="0"/>
        <w:rPr>
          <w:sz w:val="20"/>
          <w:lang w:val="fr-FR" w:eastAsia="x-none"/>
        </w:rPr>
      </w:pPr>
    </w:p>
    <w:p w14:paraId="141F69B9" w14:textId="77777777" w:rsidR="000A6BE0" w:rsidRPr="00C04774" w:rsidRDefault="000A6BE0" w:rsidP="00C618DD">
      <w:pPr>
        <w:pStyle w:val="FootnoteText"/>
        <w:tabs>
          <w:tab w:val="clear" w:pos="360"/>
        </w:tabs>
        <w:ind w:left="0" w:firstLine="0"/>
        <w:rPr>
          <w:sz w:val="20"/>
          <w:lang w:val="fr-FR" w:eastAsia="x-none"/>
        </w:rPr>
      </w:pPr>
      <w:r w:rsidRPr="00C04774">
        <w:rPr>
          <w:sz w:val="20"/>
          <w:lang w:val="fr-FR" w:eastAsia="x-none"/>
        </w:rPr>
        <w:tab/>
        <w:t>Ils répètent, sans vérifier les fausses nouvelles contre l’État du Nicaragua en faisant des signalements de façon irresponsable et à la légère sans aucune preuve, malgré les constants rapports objectifs d’éclaircissement que l’État a fournis à la CIDH.</w:t>
      </w:r>
    </w:p>
    <w:p w14:paraId="142793C9" w14:textId="77777777" w:rsidR="000A6BE0" w:rsidRPr="0026653F" w:rsidRDefault="000A6BE0" w:rsidP="00C618DD">
      <w:pPr>
        <w:pStyle w:val="FootnoteText"/>
        <w:tabs>
          <w:tab w:val="clear" w:pos="360"/>
        </w:tabs>
        <w:ind w:left="-180" w:firstLine="900"/>
        <w:rPr>
          <w:sz w:val="22"/>
          <w:szCs w:val="22"/>
          <w:lang w:val="fr-FR" w:eastAsia="x-none"/>
        </w:rPr>
      </w:pPr>
    </w:p>
    <w:p w14:paraId="4D5D34A0" w14:textId="77777777" w:rsidR="0002025E" w:rsidRPr="0026653F" w:rsidRDefault="0002025E" w:rsidP="00C618DD">
      <w:pPr>
        <w:rPr>
          <w:szCs w:val="22"/>
          <w:lang w:val="fr-FR"/>
        </w:rPr>
        <w:sectPr w:rsidR="0002025E" w:rsidRPr="0026653F" w:rsidSect="00FE7DD6">
          <w:headerReference w:type="default" r:id="rId103"/>
          <w:footerReference w:type="default" r:id="rId104"/>
          <w:headerReference w:type="first" r:id="rId105"/>
          <w:footnotePr>
            <w:numRestart w:val="eachSect"/>
          </w:footnotePr>
          <w:type w:val="oddPage"/>
          <w:pgSz w:w="12240" w:h="15840" w:code="1"/>
          <w:pgMar w:top="2160" w:right="1570" w:bottom="1296" w:left="1699" w:header="1296" w:footer="1296" w:gutter="0"/>
          <w:cols w:space="720"/>
          <w:docGrid w:linePitch="360"/>
        </w:sectPr>
      </w:pPr>
    </w:p>
    <w:p w14:paraId="0BB8B738" w14:textId="77468714" w:rsidR="00D90B33" w:rsidRPr="0026653F" w:rsidRDefault="0002025E" w:rsidP="00C618DD">
      <w:pPr>
        <w:pStyle w:val="Heading1"/>
        <w:rPr>
          <w:szCs w:val="22"/>
          <w:lang w:val="fr-FR"/>
        </w:rPr>
      </w:pPr>
      <w:bookmarkStart w:id="64" w:name="_Toc74732028"/>
      <w:r w:rsidRPr="0026653F">
        <w:rPr>
          <w:rStyle w:val="Heading1Char"/>
          <w:rFonts w:eastAsia="Calibri"/>
          <w:szCs w:val="22"/>
          <w:lang w:val="fr-FR"/>
        </w:rPr>
        <w:lastRenderedPageBreak/>
        <w:t>AG/RES. 2962 (L-O/20)</w:t>
      </w:r>
      <w:r w:rsidRPr="0026653F">
        <w:rPr>
          <w:rStyle w:val="Heading1Char"/>
          <w:rFonts w:eastAsia="Calibri"/>
          <w:szCs w:val="22"/>
          <w:lang w:val="fr-FR"/>
        </w:rPr>
        <w:br/>
      </w:r>
      <w:r w:rsidRPr="0026653F">
        <w:rPr>
          <w:rStyle w:val="Heading1Char"/>
          <w:rFonts w:eastAsia="Calibri"/>
          <w:szCs w:val="22"/>
          <w:lang w:val="fr-FR"/>
        </w:rPr>
        <w:br/>
      </w:r>
      <w:r w:rsidR="00D90B33" w:rsidRPr="0026653F">
        <w:rPr>
          <w:szCs w:val="22"/>
          <w:lang w:val="fr-FR"/>
        </w:rPr>
        <w:t>RÉTABLISSEMENT DES INSTITUTIONS DÉMOCRATIQUES</w:t>
      </w:r>
      <w:r w:rsidR="00D90B33" w:rsidRPr="0026653F">
        <w:rPr>
          <w:szCs w:val="22"/>
          <w:lang w:val="fr-FR"/>
        </w:rPr>
        <w:br/>
        <w:t xml:space="preserve"> ET DU RESPECT DES DROITS DE LA PERSONNE AU NICARAGUA </w:t>
      </w:r>
      <w:r w:rsidR="00D90B33" w:rsidRPr="0026653F">
        <w:rPr>
          <w:szCs w:val="22"/>
          <w:lang w:val="fr-FR"/>
        </w:rPr>
        <w:br/>
        <w:t>PAR LE BIAIS D’ÉLECTIONS LIBRES ET JUSTES</w:t>
      </w:r>
      <w:r w:rsidR="00D90B33" w:rsidRPr="0026653F">
        <w:rPr>
          <w:szCs w:val="22"/>
          <w:u w:val="single"/>
          <w:vertAlign w:val="superscript"/>
          <w:lang w:val="fr-FR"/>
        </w:rPr>
        <w:footnoteReference w:id="112"/>
      </w:r>
      <w:r w:rsidR="00D90B33" w:rsidRPr="0026653F">
        <w:rPr>
          <w:szCs w:val="22"/>
          <w:vertAlign w:val="superscript"/>
          <w:lang w:val="fr-FR"/>
        </w:rPr>
        <w:t>/</w:t>
      </w:r>
      <w:r w:rsidR="00D90B33" w:rsidRPr="0026653F">
        <w:rPr>
          <w:szCs w:val="22"/>
          <w:u w:val="single"/>
          <w:vertAlign w:val="superscript"/>
          <w:lang w:val="fr-FR"/>
        </w:rPr>
        <w:footnoteReference w:id="113"/>
      </w:r>
      <w:r w:rsidR="00D90B33" w:rsidRPr="0026653F">
        <w:rPr>
          <w:szCs w:val="22"/>
          <w:vertAlign w:val="superscript"/>
          <w:lang w:val="fr-FR"/>
        </w:rPr>
        <w:t>/</w:t>
      </w:r>
      <w:r w:rsidR="00D90B33" w:rsidRPr="0026653F">
        <w:rPr>
          <w:szCs w:val="22"/>
          <w:u w:val="single"/>
          <w:vertAlign w:val="superscript"/>
          <w:lang w:val="fr-FR"/>
        </w:rPr>
        <w:footnoteReference w:id="114"/>
      </w:r>
      <w:r w:rsidR="00D90B33" w:rsidRPr="0026653F">
        <w:rPr>
          <w:szCs w:val="22"/>
          <w:vertAlign w:val="superscript"/>
          <w:lang w:val="fr-FR"/>
        </w:rPr>
        <w:t>/</w:t>
      </w:r>
      <w:r w:rsidR="00D90B33" w:rsidRPr="0026653F">
        <w:rPr>
          <w:szCs w:val="22"/>
          <w:u w:val="single"/>
          <w:vertAlign w:val="superscript"/>
          <w:lang w:val="fr-FR"/>
        </w:rPr>
        <w:footnoteReference w:id="115"/>
      </w:r>
      <w:r w:rsidR="00D90B33" w:rsidRPr="0026653F">
        <w:rPr>
          <w:szCs w:val="22"/>
          <w:vertAlign w:val="superscript"/>
          <w:lang w:val="fr-FR"/>
        </w:rPr>
        <w:t>/</w:t>
      </w:r>
      <w:r w:rsidR="00D41FA7" w:rsidRPr="0026653F">
        <w:rPr>
          <w:rStyle w:val="FootnoteReference"/>
          <w:szCs w:val="22"/>
          <w:u w:val="single"/>
          <w:vertAlign w:val="superscript"/>
          <w:lang w:val="fr-FR"/>
        </w:rPr>
        <w:footnoteReference w:id="116"/>
      </w:r>
      <w:r w:rsidR="00D41FA7" w:rsidRPr="0026653F">
        <w:rPr>
          <w:szCs w:val="22"/>
          <w:vertAlign w:val="superscript"/>
          <w:lang w:val="fr-FR"/>
        </w:rPr>
        <w:t>/</w:t>
      </w:r>
      <w:bookmarkEnd w:id="64"/>
    </w:p>
    <w:p w14:paraId="485991B2" w14:textId="77777777" w:rsidR="00D90B33" w:rsidRPr="0026653F" w:rsidRDefault="00D90B33" w:rsidP="00C618DD">
      <w:pPr>
        <w:rPr>
          <w:szCs w:val="22"/>
          <w:lang w:val="fr-FR"/>
        </w:rPr>
      </w:pPr>
    </w:p>
    <w:p w14:paraId="2F3735E7" w14:textId="77777777" w:rsidR="00D90B33" w:rsidRPr="0026653F" w:rsidRDefault="00D90B33" w:rsidP="00C618DD">
      <w:pPr>
        <w:jc w:val="center"/>
        <w:rPr>
          <w:szCs w:val="22"/>
          <w:lang w:val="fr-FR"/>
        </w:rPr>
      </w:pPr>
      <w:r w:rsidRPr="0026653F">
        <w:rPr>
          <w:szCs w:val="22"/>
          <w:lang w:val="fr-FR"/>
        </w:rPr>
        <w:t>(</w:t>
      </w:r>
      <w:r w:rsidRPr="0026653F">
        <w:rPr>
          <w:bCs/>
          <w:color w:val="000000"/>
          <w:szCs w:val="22"/>
          <w:lang w:val="fr-FR" w:eastAsia="es-ES"/>
        </w:rPr>
        <w:t xml:space="preserve">Résolution adoptée à la quatrième séance plénière, le </w:t>
      </w:r>
      <w:r w:rsidRPr="0026653F">
        <w:rPr>
          <w:szCs w:val="22"/>
          <w:lang w:val="fr-FR"/>
        </w:rPr>
        <w:t>21 octobre 2020)</w:t>
      </w:r>
    </w:p>
    <w:p w14:paraId="741BA965" w14:textId="77777777" w:rsidR="00D90B33" w:rsidRPr="0026653F" w:rsidRDefault="00D90B33" w:rsidP="00C618DD">
      <w:pPr>
        <w:rPr>
          <w:szCs w:val="22"/>
          <w:lang w:val="fr-FR"/>
        </w:rPr>
      </w:pPr>
    </w:p>
    <w:p w14:paraId="643E76A9" w14:textId="77777777" w:rsidR="00D90B33" w:rsidRPr="0026653F" w:rsidRDefault="00D90B33" w:rsidP="00C618DD">
      <w:pPr>
        <w:rPr>
          <w:szCs w:val="22"/>
          <w:lang w:val="fr-FR"/>
        </w:rPr>
      </w:pPr>
    </w:p>
    <w:p w14:paraId="4B5B0BAF" w14:textId="77777777" w:rsidR="00D90B33" w:rsidRPr="0026653F" w:rsidRDefault="00D90B33" w:rsidP="00C618DD">
      <w:pPr>
        <w:ind w:firstLine="720"/>
        <w:rPr>
          <w:szCs w:val="22"/>
          <w:lang w:val="fr-FR"/>
        </w:rPr>
      </w:pPr>
      <w:r w:rsidRPr="0026653F">
        <w:rPr>
          <w:szCs w:val="22"/>
          <w:lang w:val="fr-FR"/>
        </w:rPr>
        <w:t>L’ASSEMBLÉE GÉNÉRALE,</w:t>
      </w:r>
    </w:p>
    <w:p w14:paraId="7EDC0DB0" w14:textId="77777777" w:rsidR="00D90B33" w:rsidRPr="0026653F" w:rsidRDefault="00D90B33" w:rsidP="00C618DD">
      <w:pPr>
        <w:rPr>
          <w:szCs w:val="22"/>
          <w:lang w:val="fr-FR"/>
        </w:rPr>
      </w:pPr>
    </w:p>
    <w:p w14:paraId="5B062653" w14:textId="06F2E22E" w:rsidR="00D90B33" w:rsidRPr="0026653F" w:rsidRDefault="00D90B33" w:rsidP="00C618DD">
      <w:pPr>
        <w:ind w:firstLine="720"/>
        <w:rPr>
          <w:szCs w:val="22"/>
          <w:lang w:val="fr-FR"/>
        </w:rPr>
      </w:pPr>
      <w:r w:rsidRPr="0026653F">
        <w:rPr>
          <w:szCs w:val="22"/>
          <w:lang w:val="fr-FR"/>
        </w:rPr>
        <w:t xml:space="preserve">RAPPELANT </w:t>
      </w:r>
      <w:r w:rsidR="00C176EF" w:rsidRPr="0026653F">
        <w:rPr>
          <w:szCs w:val="22"/>
          <w:lang w:val="fr-FR"/>
        </w:rPr>
        <w:t>s</w:t>
      </w:r>
      <w:r w:rsidRPr="0026653F">
        <w:rPr>
          <w:szCs w:val="22"/>
          <w:lang w:val="fr-FR"/>
        </w:rPr>
        <w:t>a résolution AG/RES. 2943 (XLIX-O/19)</w:t>
      </w:r>
      <w:r w:rsidR="00C176EF" w:rsidRPr="0026653F">
        <w:rPr>
          <w:szCs w:val="22"/>
          <w:lang w:val="fr-FR"/>
        </w:rPr>
        <w:t>, « </w:t>
      </w:r>
      <w:r w:rsidRPr="0026653F">
        <w:rPr>
          <w:szCs w:val="22"/>
          <w:lang w:val="fr-FR"/>
        </w:rPr>
        <w:t xml:space="preserve">La situation au Nicaragua », dans laquelle </w:t>
      </w:r>
      <w:r w:rsidR="00402C8A" w:rsidRPr="0026653F">
        <w:rPr>
          <w:szCs w:val="22"/>
          <w:lang w:val="fr-FR"/>
        </w:rPr>
        <w:t xml:space="preserve">elle </w:t>
      </w:r>
      <w:r w:rsidRPr="0026653F">
        <w:rPr>
          <w:szCs w:val="22"/>
          <w:lang w:val="fr-FR"/>
        </w:rPr>
        <w:t xml:space="preserve">réaffirme « les préoccupations de la communauté interaméricaine face à la détérioration des institutions démocratiques et des droits de la personne au Nicaragua et </w:t>
      </w:r>
      <w:r w:rsidR="00402C8A" w:rsidRPr="0026653F">
        <w:rPr>
          <w:szCs w:val="22"/>
          <w:lang w:val="fr-FR"/>
        </w:rPr>
        <w:t>son</w:t>
      </w:r>
      <w:r w:rsidRPr="0026653F">
        <w:rPr>
          <w:szCs w:val="22"/>
          <w:lang w:val="fr-FR"/>
        </w:rPr>
        <w:t xml:space="preserve"> soutien à une résolution pacifique de la crise politique qui touche ce pays depuis plus d’un an »,</w:t>
      </w:r>
    </w:p>
    <w:p w14:paraId="15F93511" w14:textId="77777777" w:rsidR="00D90B33" w:rsidRPr="0026653F" w:rsidRDefault="00D90B33" w:rsidP="00C618DD">
      <w:pPr>
        <w:rPr>
          <w:szCs w:val="22"/>
          <w:lang w:val="fr-FR"/>
        </w:rPr>
      </w:pPr>
    </w:p>
    <w:p w14:paraId="14758AC5" w14:textId="77777777" w:rsidR="00D90B33" w:rsidRPr="0026653F" w:rsidRDefault="00D90B33" w:rsidP="00C618DD">
      <w:pPr>
        <w:ind w:firstLine="720"/>
        <w:rPr>
          <w:szCs w:val="22"/>
          <w:lang w:val="fr-FR"/>
        </w:rPr>
      </w:pPr>
      <w:r w:rsidRPr="0026653F">
        <w:rPr>
          <w:szCs w:val="22"/>
          <w:lang w:val="fr-FR"/>
        </w:rPr>
        <w:t>RÉAFFIRMANT l’article 1 de la Charte démocratique interaméricaine, qui établit que « [l]es peuples des Amériques ont droit à la démocratie et leurs gouvernements ont pour obligation de la promouvoir et de la défendre »,</w:t>
      </w:r>
    </w:p>
    <w:p w14:paraId="7C5966E1" w14:textId="77777777" w:rsidR="00D90B33" w:rsidRPr="0026653F" w:rsidRDefault="00D90B33" w:rsidP="00C618DD">
      <w:pPr>
        <w:rPr>
          <w:szCs w:val="22"/>
          <w:lang w:val="fr-FR"/>
        </w:rPr>
      </w:pPr>
    </w:p>
    <w:p w14:paraId="0CCCB23D" w14:textId="2EDBB64F" w:rsidR="00D90B33" w:rsidRPr="0026653F" w:rsidRDefault="00D90B33" w:rsidP="00C618DD">
      <w:pPr>
        <w:ind w:firstLine="720"/>
        <w:rPr>
          <w:szCs w:val="22"/>
          <w:lang w:val="fr-FR"/>
        </w:rPr>
      </w:pPr>
      <w:r w:rsidRPr="0026653F">
        <w:rPr>
          <w:szCs w:val="22"/>
          <w:lang w:val="fr-FR"/>
        </w:rPr>
        <w:t xml:space="preserve">RAPPELANT que l’article 2 de la Charte démocratique interaméricaine établit que « [l]’exercice effectif de la démocratie représentative </w:t>
      </w:r>
      <w:r w:rsidR="00402C8A" w:rsidRPr="0026653F">
        <w:rPr>
          <w:szCs w:val="22"/>
          <w:lang w:val="fr-FR"/>
        </w:rPr>
        <w:t>constitue</w:t>
      </w:r>
      <w:r w:rsidRPr="0026653F">
        <w:rPr>
          <w:szCs w:val="22"/>
          <w:lang w:val="fr-FR"/>
        </w:rPr>
        <w:t xml:space="preserve"> le fondement de l’État de droit et des régimes constitutionnels des États membres de l’Organisation des États américains »,</w:t>
      </w:r>
    </w:p>
    <w:p w14:paraId="23DE823D" w14:textId="77777777" w:rsidR="00D90B33" w:rsidRPr="0026653F" w:rsidRDefault="00D90B33" w:rsidP="00C618DD">
      <w:pPr>
        <w:rPr>
          <w:szCs w:val="22"/>
          <w:lang w:val="fr-FR"/>
        </w:rPr>
      </w:pPr>
    </w:p>
    <w:p w14:paraId="2A371ADB" w14:textId="70338B4B" w:rsidR="00D90B33" w:rsidRPr="0026653F" w:rsidRDefault="00D90B33" w:rsidP="00C618DD">
      <w:pPr>
        <w:ind w:firstLine="720"/>
        <w:rPr>
          <w:szCs w:val="22"/>
          <w:lang w:val="fr-FR"/>
        </w:rPr>
      </w:pPr>
      <w:r w:rsidRPr="0026653F">
        <w:rPr>
          <w:szCs w:val="22"/>
          <w:lang w:val="fr-FR"/>
        </w:rPr>
        <w:t xml:space="preserve">CONSIDÉRANT les articles 3 à 6 de la Charte démocratique interaméricaine, </w:t>
      </w:r>
      <w:r w:rsidR="00402C8A" w:rsidRPr="0026653F">
        <w:rPr>
          <w:szCs w:val="22"/>
          <w:lang w:val="fr-FR"/>
        </w:rPr>
        <w:t xml:space="preserve">lesquels énoncent les </w:t>
      </w:r>
      <w:r w:rsidRPr="0026653F">
        <w:rPr>
          <w:szCs w:val="22"/>
          <w:lang w:val="fr-FR"/>
        </w:rPr>
        <w:t xml:space="preserve">éléments essentiels de la démocratie représentative, que les États s’engagent à promouvoir et défendre, </w:t>
      </w:r>
      <w:r w:rsidR="00402C8A" w:rsidRPr="0026653F">
        <w:rPr>
          <w:szCs w:val="22"/>
          <w:lang w:val="fr-FR"/>
        </w:rPr>
        <w:t xml:space="preserve">dont </w:t>
      </w:r>
      <w:r w:rsidRPr="0026653F">
        <w:rPr>
          <w:szCs w:val="22"/>
          <w:lang w:val="fr-FR"/>
        </w:rPr>
        <w:t xml:space="preserve">le respect des droits de la personne et des libertés fondamentales, l’accès au pouvoir et son exercice assujetti à l’État de droit, la tenue d’élections périodiques, libres justes et basées sur le suffrage universel et secret à titre d’expression de la souveraineté populaire, le régime plural de partis et </w:t>
      </w:r>
      <w:r w:rsidR="00402C8A" w:rsidRPr="0026653F">
        <w:rPr>
          <w:szCs w:val="22"/>
          <w:lang w:val="fr-FR"/>
        </w:rPr>
        <w:t xml:space="preserve">les </w:t>
      </w:r>
      <w:r w:rsidRPr="0026653F">
        <w:rPr>
          <w:szCs w:val="22"/>
          <w:lang w:val="fr-FR"/>
        </w:rPr>
        <w:t>organisations politiques ainsi que la séparation et l’indépendance des pouvoirs publics, et qui établissent que la liberté d’expression et la liberté de la presse constituent un élément essentiel de l’exercice de la démocratie,</w:t>
      </w:r>
    </w:p>
    <w:p w14:paraId="1F0DFBFB" w14:textId="77777777" w:rsidR="00D90B33" w:rsidRPr="0026653F" w:rsidRDefault="00D90B33" w:rsidP="00C618DD">
      <w:pPr>
        <w:rPr>
          <w:szCs w:val="22"/>
          <w:lang w:val="fr-FR"/>
        </w:rPr>
      </w:pPr>
    </w:p>
    <w:p w14:paraId="76889D67" w14:textId="6650C21D" w:rsidR="00D90B33" w:rsidRPr="0026653F" w:rsidRDefault="00D90B33" w:rsidP="00C618DD">
      <w:pPr>
        <w:ind w:firstLine="720"/>
        <w:rPr>
          <w:rFonts w:eastAsiaTheme="minorEastAsia"/>
          <w:szCs w:val="22"/>
          <w:lang w:val="fr-FR"/>
        </w:rPr>
      </w:pPr>
      <w:r w:rsidRPr="0026653F">
        <w:rPr>
          <w:szCs w:val="22"/>
          <w:shd w:val="clear" w:color="auto" w:fill="FFFFFF"/>
          <w:lang w:val="fr-FR"/>
        </w:rPr>
        <w:t xml:space="preserve">RÉITÉRANT AVEC </w:t>
      </w:r>
      <w:r w:rsidRPr="0026653F">
        <w:rPr>
          <w:szCs w:val="22"/>
          <w:lang w:val="fr-FR"/>
        </w:rPr>
        <w:t>PRÉOCCUPATION que le gouvernement du Nicaragua n’a pas mis en œuvre une série de mesures convenues telles que la libération dûment contrôlée et vérifiée de tous les prisonniers politiques ; qu’il n’a pas permis le travail efficace de la Commission interaméricaine des droits de l’homme (CIDH) et de ses mécanismes au Nicaragua, y compris le M</w:t>
      </w:r>
      <w:r w:rsidR="00402C8A" w:rsidRPr="0026653F">
        <w:rPr>
          <w:szCs w:val="22"/>
          <w:lang w:val="fr-FR"/>
        </w:rPr>
        <w:t xml:space="preserve">écanisme spécial de </w:t>
      </w:r>
      <w:r w:rsidR="00402C8A" w:rsidRPr="0026653F">
        <w:rPr>
          <w:szCs w:val="22"/>
          <w:lang w:val="fr-FR"/>
        </w:rPr>
        <w:lastRenderedPageBreak/>
        <w:t>suivi pour le Nicaragua (M</w:t>
      </w:r>
      <w:r w:rsidRPr="0026653F">
        <w:rPr>
          <w:szCs w:val="22"/>
          <w:lang w:val="fr-FR"/>
        </w:rPr>
        <w:t>ESENI</w:t>
      </w:r>
      <w:r w:rsidR="00402C8A" w:rsidRPr="0026653F">
        <w:rPr>
          <w:szCs w:val="22"/>
          <w:lang w:val="fr-FR"/>
        </w:rPr>
        <w:t>)</w:t>
      </w:r>
      <w:r w:rsidRPr="0026653F">
        <w:rPr>
          <w:szCs w:val="22"/>
          <w:lang w:val="fr-FR"/>
        </w:rPr>
        <w:t xml:space="preserve"> ; et qu’il n’a pas garanti la liberté d’expression, y compris pour la presse, ni l’exercice du droit de réunion pacifique,</w:t>
      </w:r>
    </w:p>
    <w:p w14:paraId="720B74B9" w14:textId="77777777" w:rsidR="00D90B33" w:rsidRPr="0026653F" w:rsidRDefault="00D90B33" w:rsidP="00C618DD">
      <w:pPr>
        <w:rPr>
          <w:szCs w:val="22"/>
          <w:lang w:val="fr-FR"/>
        </w:rPr>
      </w:pPr>
    </w:p>
    <w:p w14:paraId="3C89C43C" w14:textId="798E9520" w:rsidR="00D90B33" w:rsidRPr="002746FA" w:rsidRDefault="00D90B33" w:rsidP="00C618DD">
      <w:pPr>
        <w:ind w:firstLine="720"/>
        <w:rPr>
          <w:szCs w:val="22"/>
          <w:lang w:val="fr-FR"/>
        </w:rPr>
      </w:pPr>
      <w:r w:rsidRPr="0026653F">
        <w:rPr>
          <w:szCs w:val="22"/>
          <w:lang w:val="fr-FR"/>
        </w:rPr>
        <w:t xml:space="preserve">EXPRIMANT SA FORTE PRÉOCCUPATION quant au fait que la détention arbitraire n’a pas cessé ; que les forces de police auxiliaires et les milices armées du parti au pouvoir, qui ont poursuivi leurs abus et leurs actions illégales, n’ont pas été démantelées, comme le demandait la CIDH ; que le travail indépendant des organisations et des défenseurs des droits de la personne n’a pas été protégé et que le retour </w:t>
      </w:r>
      <w:r w:rsidR="000C068C" w:rsidRPr="0026653F">
        <w:rPr>
          <w:szCs w:val="22"/>
          <w:lang w:val="fr-FR"/>
        </w:rPr>
        <w:t xml:space="preserve">définitif et </w:t>
      </w:r>
      <w:r w:rsidRPr="0026653F">
        <w:rPr>
          <w:szCs w:val="22"/>
          <w:lang w:val="fr-FR"/>
        </w:rPr>
        <w:t xml:space="preserve">en toute sécurité de toutes les personnes </w:t>
      </w:r>
      <w:r w:rsidR="000C068C" w:rsidRPr="0026653F">
        <w:rPr>
          <w:szCs w:val="22"/>
          <w:lang w:val="fr-FR"/>
        </w:rPr>
        <w:t xml:space="preserve">contraintes </w:t>
      </w:r>
      <w:r w:rsidRPr="0026653F">
        <w:rPr>
          <w:szCs w:val="22"/>
          <w:lang w:val="fr-FR"/>
        </w:rPr>
        <w:t>de quitter le Nicaragua n’</w:t>
      </w:r>
      <w:r w:rsidR="000C068C" w:rsidRPr="0026653F">
        <w:rPr>
          <w:szCs w:val="22"/>
          <w:lang w:val="fr-FR"/>
        </w:rPr>
        <w:t>a</w:t>
      </w:r>
      <w:r w:rsidRPr="0026653F">
        <w:rPr>
          <w:szCs w:val="22"/>
          <w:lang w:val="fr-FR"/>
        </w:rPr>
        <w:t xml:space="preserve"> pas été autorisé,</w:t>
      </w:r>
    </w:p>
    <w:p w14:paraId="0C3A0259" w14:textId="77777777" w:rsidR="00D90B33" w:rsidRPr="002746FA" w:rsidRDefault="00D90B33" w:rsidP="00C618DD">
      <w:pPr>
        <w:rPr>
          <w:szCs w:val="22"/>
          <w:lang w:val="fr-FR"/>
        </w:rPr>
      </w:pPr>
    </w:p>
    <w:p w14:paraId="2878CDED" w14:textId="6DFBDDFD" w:rsidR="00D90B33" w:rsidRPr="0026653F" w:rsidRDefault="00D90B33" w:rsidP="00C618DD">
      <w:pPr>
        <w:ind w:firstLine="720"/>
        <w:rPr>
          <w:szCs w:val="22"/>
          <w:lang w:val="fr-FR"/>
        </w:rPr>
      </w:pPr>
      <w:r w:rsidRPr="0026653F">
        <w:rPr>
          <w:szCs w:val="22"/>
          <w:lang w:val="fr-FR"/>
        </w:rPr>
        <w:t>NOTANT AVEC ALARME la tendance inquiétante à utiliser la législation pour intimider ou menacer les membres des groupes pro-démocratiques et des médias indépendants au Nicaragua, comme l’introduction de la « loi sur les agents étrangers », d’une autre proposant des peines de prison à vie pour des « crimes de haine » d’acception large, et d’une troisième punissant la diffusion de soi-disant fausses nouvelles sur les médias sociaux d’une peine d’emprisonnement allant jusqu’à quatre ans. Ces projets de loi, selon la CIDH, sapent l’exercice de la protestation sociale et de la liberté d’expression, ainsi que le droit de participer aux affaires publiques et le droit d’association,</w:t>
      </w:r>
    </w:p>
    <w:p w14:paraId="3D80BC6A" w14:textId="77777777" w:rsidR="00D90B33" w:rsidRPr="0026653F" w:rsidRDefault="00D90B33" w:rsidP="00C618DD">
      <w:pPr>
        <w:rPr>
          <w:szCs w:val="22"/>
          <w:lang w:val="fr-FR"/>
        </w:rPr>
      </w:pPr>
    </w:p>
    <w:p w14:paraId="0EC8F4A5" w14:textId="77777777" w:rsidR="00D90B33" w:rsidRPr="0026653F" w:rsidRDefault="00D90B33" w:rsidP="00C618DD">
      <w:pPr>
        <w:ind w:firstLine="720"/>
        <w:rPr>
          <w:szCs w:val="22"/>
          <w:lang w:val="fr-FR"/>
        </w:rPr>
      </w:pPr>
      <w:r w:rsidRPr="0026653F">
        <w:rPr>
          <w:szCs w:val="22"/>
          <w:lang w:val="fr-FR"/>
        </w:rPr>
        <w:t>PRENANT EN COMPTE le fait que la résolution CJI/RES. 159 (LXXV-O/09) du Comité juridique interaméricain établit que « la démocratie ne consiste pas seulement dans les processus électoraux, mais aussi dans l’exercice légitime du pouvoir, dans le cadre de l’État de droit, qui comprend le respect des éléments, composantes et attributs essentiels de la démocratie »,</w:t>
      </w:r>
    </w:p>
    <w:p w14:paraId="4E5E1204" w14:textId="77777777" w:rsidR="00D90B33" w:rsidRPr="0026653F" w:rsidRDefault="00D90B33" w:rsidP="00C618DD">
      <w:pPr>
        <w:rPr>
          <w:szCs w:val="22"/>
          <w:lang w:val="fr-FR"/>
        </w:rPr>
      </w:pPr>
    </w:p>
    <w:p w14:paraId="09E60683" w14:textId="77777777" w:rsidR="00D90B33" w:rsidRPr="002746FA" w:rsidRDefault="00D90B33" w:rsidP="00C618DD">
      <w:pPr>
        <w:ind w:firstLine="720"/>
        <w:rPr>
          <w:bCs/>
          <w:szCs w:val="22"/>
          <w:lang w:val="fr-FR"/>
        </w:rPr>
      </w:pPr>
      <w:r w:rsidRPr="0026653F">
        <w:rPr>
          <w:szCs w:val="22"/>
          <w:lang w:val="fr-FR"/>
        </w:rPr>
        <w:t xml:space="preserve">SALUANT les efforts du Groupe de travail de l’OEA sur le Nicaragua </w:t>
      </w:r>
      <w:r w:rsidRPr="00F535DF">
        <w:rPr>
          <w:szCs w:val="22"/>
          <w:lang w:val="fr-FR"/>
        </w:rPr>
        <w:t>et d</w:t>
      </w:r>
      <w:r w:rsidRPr="0026653F">
        <w:rPr>
          <w:szCs w:val="22"/>
          <w:lang w:val="fr-FR"/>
        </w:rPr>
        <w:t>e la Commission de haut niveau sur le Nicaragua, et exprimant sa préoccupation quant au refus du gouvernement du Nicaragua de participer à ces mécanismes,</w:t>
      </w:r>
    </w:p>
    <w:p w14:paraId="58948802" w14:textId="77777777" w:rsidR="00D90B33" w:rsidRPr="0026653F" w:rsidRDefault="00D90B33" w:rsidP="00C618DD">
      <w:pPr>
        <w:rPr>
          <w:szCs w:val="22"/>
          <w:lang w:val="fr-FR"/>
        </w:rPr>
      </w:pPr>
    </w:p>
    <w:p w14:paraId="5532AC50" w14:textId="0721F134" w:rsidR="00D90B33" w:rsidRPr="0026653F" w:rsidRDefault="00D90B33" w:rsidP="00C618DD">
      <w:pPr>
        <w:ind w:firstLine="720"/>
        <w:rPr>
          <w:szCs w:val="22"/>
          <w:lang w:val="fr-FR"/>
        </w:rPr>
      </w:pPr>
      <w:r w:rsidRPr="0026653F">
        <w:rPr>
          <w:szCs w:val="22"/>
          <w:lang w:val="fr-FR"/>
        </w:rPr>
        <w:t>PRENANT NOTE des conclusions du rapport présenté par le Secrétaire général au Conseil permanent le 24 juin 2020 (CP/INF.8682/20),</w:t>
      </w:r>
    </w:p>
    <w:p w14:paraId="14094F02" w14:textId="77777777" w:rsidR="00D90B33" w:rsidRPr="0026653F" w:rsidRDefault="00D90B33" w:rsidP="00C618DD">
      <w:pPr>
        <w:rPr>
          <w:szCs w:val="22"/>
          <w:lang w:val="fr-FR"/>
        </w:rPr>
      </w:pPr>
    </w:p>
    <w:p w14:paraId="4428C051" w14:textId="77777777" w:rsidR="00D90B33" w:rsidRPr="0026653F" w:rsidRDefault="00D90B33" w:rsidP="00C618DD">
      <w:pPr>
        <w:rPr>
          <w:szCs w:val="22"/>
          <w:lang w:val="fr-FR"/>
        </w:rPr>
      </w:pPr>
      <w:r w:rsidRPr="0026653F">
        <w:rPr>
          <w:szCs w:val="22"/>
          <w:lang w:val="fr-FR"/>
        </w:rPr>
        <w:t>DÉCIDE :</w:t>
      </w:r>
    </w:p>
    <w:p w14:paraId="6A66ACEE" w14:textId="77777777" w:rsidR="00D90B33" w:rsidRPr="0026653F" w:rsidRDefault="00D90B33" w:rsidP="00C618DD">
      <w:pPr>
        <w:rPr>
          <w:szCs w:val="22"/>
          <w:lang w:val="fr-FR"/>
        </w:rPr>
      </w:pPr>
      <w:bookmarkStart w:id="65" w:name="_Hlk23856177"/>
      <w:bookmarkEnd w:id="65"/>
    </w:p>
    <w:p w14:paraId="00050792" w14:textId="77777777" w:rsidR="00D90B33" w:rsidRPr="00C04774" w:rsidRDefault="00D90B33" w:rsidP="002746FA">
      <w:pPr>
        <w:ind w:firstLine="706"/>
        <w:rPr>
          <w:bCs/>
          <w:szCs w:val="22"/>
          <w:lang w:val="fr-FR"/>
        </w:rPr>
      </w:pPr>
      <w:r w:rsidRPr="0026653F">
        <w:rPr>
          <w:szCs w:val="22"/>
          <w:lang w:val="fr-FR"/>
        </w:rPr>
        <w:t>1.</w:t>
      </w:r>
      <w:r w:rsidRPr="0026653F">
        <w:rPr>
          <w:szCs w:val="22"/>
          <w:lang w:val="fr-FR"/>
        </w:rPr>
        <w:tab/>
        <w:t>De réitérer l’inquiétude de la communauté interaméricaine face à la détérioration des institutions démocratiques et d’exhorter le gouvernement du Nicaragua à respecter pleinement l’ordre constitutionnel, les droits de la personne et les libertés fondamentales, et à organiser des élections nationales, présidentielles et législatives libres et justes au Nicaragua, conformément à ses engagements et devoirs fondamentaux tels qu’ils sont énoncés dans la Charte démocratique interaméricaine.</w:t>
      </w:r>
    </w:p>
    <w:p w14:paraId="5C002F19" w14:textId="77777777" w:rsidR="00D90B33" w:rsidRPr="0026653F" w:rsidRDefault="00D90B33" w:rsidP="00C618DD">
      <w:pPr>
        <w:rPr>
          <w:szCs w:val="22"/>
          <w:lang w:val="fr-FR"/>
        </w:rPr>
      </w:pPr>
    </w:p>
    <w:p w14:paraId="0E1BC1BB" w14:textId="3A32FCEC" w:rsidR="00D90B33" w:rsidRPr="00C04774" w:rsidRDefault="00D90B33" w:rsidP="00C618DD">
      <w:pPr>
        <w:ind w:firstLine="720"/>
        <w:rPr>
          <w:bCs/>
          <w:szCs w:val="22"/>
          <w:lang w:val="fr-FR"/>
        </w:rPr>
      </w:pPr>
      <w:r w:rsidRPr="0026653F">
        <w:rPr>
          <w:szCs w:val="22"/>
          <w:lang w:val="fr-FR"/>
        </w:rPr>
        <w:t>2.</w:t>
      </w:r>
      <w:r w:rsidRPr="0026653F">
        <w:rPr>
          <w:szCs w:val="22"/>
          <w:lang w:val="fr-FR"/>
        </w:rPr>
        <w:tab/>
        <w:t xml:space="preserve">D’exhorter le gouvernement du Nicaragua à accepter le déploiement large et </w:t>
      </w:r>
      <w:r w:rsidR="000C068C" w:rsidRPr="0026653F">
        <w:rPr>
          <w:szCs w:val="22"/>
          <w:lang w:val="fr-FR"/>
        </w:rPr>
        <w:t>effectif</w:t>
      </w:r>
      <w:r w:rsidRPr="0026653F">
        <w:rPr>
          <w:szCs w:val="22"/>
          <w:lang w:val="fr-FR"/>
        </w:rPr>
        <w:t xml:space="preserve"> de missions d’observation des élections comprenant des observateurs internationaux indépendants et accrédités dans le processus électoral nicaraguayen.</w:t>
      </w:r>
    </w:p>
    <w:p w14:paraId="59E3D6A2" w14:textId="77777777" w:rsidR="00D90B33" w:rsidRPr="0026653F" w:rsidRDefault="00D90B33" w:rsidP="00C618DD">
      <w:pPr>
        <w:jc w:val="left"/>
        <w:rPr>
          <w:iCs/>
          <w:szCs w:val="22"/>
          <w:lang w:val="fr-FR"/>
        </w:rPr>
      </w:pPr>
    </w:p>
    <w:p w14:paraId="14ADEB6E" w14:textId="7CF8FAAD" w:rsidR="00D90B33" w:rsidRPr="00C04774" w:rsidRDefault="00D90B33" w:rsidP="00C618DD">
      <w:pPr>
        <w:rPr>
          <w:szCs w:val="22"/>
          <w:lang w:val="fr-FR"/>
        </w:rPr>
      </w:pPr>
      <w:r w:rsidRPr="0026653F">
        <w:rPr>
          <w:szCs w:val="22"/>
          <w:lang w:val="fr-FR"/>
        </w:rPr>
        <w:tab/>
        <w:t>3.</w:t>
      </w:r>
      <w:r w:rsidRPr="0026653F">
        <w:rPr>
          <w:szCs w:val="22"/>
          <w:lang w:val="fr-FR"/>
        </w:rPr>
        <w:tab/>
        <w:t>De demander au Secrétariat général de l’</w:t>
      </w:r>
      <w:r w:rsidR="000C068C" w:rsidRPr="0026653F">
        <w:rPr>
          <w:szCs w:val="22"/>
          <w:lang w:val="fr-FR"/>
        </w:rPr>
        <w:t>Organisation des États Américains (O</w:t>
      </w:r>
      <w:r w:rsidRPr="0026653F">
        <w:rPr>
          <w:szCs w:val="22"/>
          <w:lang w:val="fr-FR"/>
        </w:rPr>
        <w:t>EA</w:t>
      </w:r>
      <w:r w:rsidR="000C068C" w:rsidRPr="0026653F">
        <w:rPr>
          <w:szCs w:val="22"/>
          <w:lang w:val="fr-FR"/>
        </w:rPr>
        <w:t>)</w:t>
      </w:r>
      <w:r w:rsidRPr="0026653F">
        <w:rPr>
          <w:szCs w:val="22"/>
          <w:lang w:val="fr-FR"/>
        </w:rPr>
        <w:t xml:space="preserve"> de soutenir des négociations inclusives et opportunes entre le gouvernement du Nicaragua et les acteurs nationaux représentant l’opposition nicaraguayenne sur des mesures de réforme électorale significatives et conformes aux normes internationales applicables, et de fournir une assistance </w:t>
      </w:r>
      <w:r w:rsidRPr="0026653F">
        <w:rPr>
          <w:szCs w:val="22"/>
          <w:lang w:val="fr-FR"/>
        </w:rPr>
        <w:lastRenderedPageBreak/>
        <w:t>technique pour leur mise en œuvre afin de promouvoir des élections libres et justes. Il est essentiel/crucial que ces mesures comprennent, entre autres, les éléments suivants :</w:t>
      </w:r>
    </w:p>
    <w:p w14:paraId="6F2DA7FC" w14:textId="77777777" w:rsidR="00D90B33" w:rsidRPr="0026653F" w:rsidRDefault="00D90B33" w:rsidP="00C618DD">
      <w:pPr>
        <w:rPr>
          <w:szCs w:val="22"/>
          <w:lang w:val="fr-FR"/>
        </w:rPr>
      </w:pPr>
    </w:p>
    <w:p w14:paraId="45926442" w14:textId="76B5B741" w:rsidR="00D90B33" w:rsidRPr="0026653F" w:rsidRDefault="00D90B33" w:rsidP="00C618DD">
      <w:pPr>
        <w:ind w:left="1440" w:hanging="630"/>
        <w:rPr>
          <w:szCs w:val="22"/>
          <w:lang w:val="fr-FR"/>
        </w:rPr>
      </w:pPr>
      <w:r w:rsidRPr="0026653F">
        <w:rPr>
          <w:szCs w:val="22"/>
          <w:lang w:val="fr-FR"/>
        </w:rPr>
        <w:t>a.</w:t>
      </w:r>
      <w:r w:rsidRPr="0026653F">
        <w:rPr>
          <w:szCs w:val="22"/>
          <w:lang w:val="fr-FR"/>
        </w:rPr>
        <w:tab/>
        <w:t xml:space="preserve">la modernisation et la restructuration du Conseil électoral suprême afin de garantir qu’il fonctionne de manière </w:t>
      </w:r>
      <w:r w:rsidR="00443408" w:rsidRPr="0026653F">
        <w:rPr>
          <w:szCs w:val="22"/>
          <w:lang w:val="fr-FR"/>
        </w:rPr>
        <w:t>entièrement</w:t>
      </w:r>
      <w:r w:rsidRPr="0026653F">
        <w:rPr>
          <w:szCs w:val="22"/>
          <w:lang w:val="fr-FR"/>
        </w:rPr>
        <w:t xml:space="preserve"> indépendante, transparente et responsable ;</w:t>
      </w:r>
    </w:p>
    <w:p w14:paraId="1C1D1F9B" w14:textId="77777777" w:rsidR="00D90B33" w:rsidRPr="0026653F" w:rsidRDefault="00D90B33" w:rsidP="00C618DD">
      <w:pPr>
        <w:ind w:left="1440" w:hanging="630"/>
        <w:rPr>
          <w:szCs w:val="22"/>
          <w:lang w:val="fr-FR"/>
        </w:rPr>
      </w:pPr>
      <w:r w:rsidRPr="0026653F">
        <w:rPr>
          <w:szCs w:val="22"/>
          <w:lang w:val="fr-FR"/>
        </w:rPr>
        <w:t>b.</w:t>
      </w:r>
      <w:r w:rsidRPr="0026653F">
        <w:rPr>
          <w:szCs w:val="22"/>
          <w:lang w:val="fr-FR"/>
        </w:rPr>
        <w:tab/>
        <w:t>un processus politique pluraliste conduisant à l’exercice effectif des droits civils et politiques, y compris les droits de réunion pacifique et la liberté d’expression, et l’enregistrement ouvert de nouveaux partis politiques ;</w:t>
      </w:r>
    </w:p>
    <w:p w14:paraId="245238CE" w14:textId="77777777" w:rsidR="00D90B33" w:rsidRPr="0026653F" w:rsidRDefault="00D90B33" w:rsidP="00C618DD">
      <w:pPr>
        <w:ind w:left="1440" w:hanging="630"/>
        <w:rPr>
          <w:szCs w:val="22"/>
          <w:lang w:val="fr-FR"/>
        </w:rPr>
      </w:pPr>
      <w:r w:rsidRPr="0026653F">
        <w:rPr>
          <w:szCs w:val="22"/>
          <w:lang w:val="fr-FR"/>
        </w:rPr>
        <w:t>c.</w:t>
      </w:r>
      <w:r w:rsidRPr="0026653F">
        <w:rPr>
          <w:szCs w:val="22"/>
          <w:lang w:val="fr-FR"/>
        </w:rPr>
        <w:tab/>
        <w:t>un examen technique indépendant et une mise à jour des registres de vote ainsi qu’un audit indépendant des listes électorales ;</w:t>
      </w:r>
    </w:p>
    <w:p w14:paraId="0159F2DC" w14:textId="77777777" w:rsidR="00D90B33" w:rsidRPr="0026653F" w:rsidRDefault="00D90B33" w:rsidP="00C618DD">
      <w:pPr>
        <w:ind w:left="1440" w:hanging="630"/>
        <w:rPr>
          <w:szCs w:val="22"/>
          <w:lang w:val="fr-FR"/>
        </w:rPr>
      </w:pPr>
      <w:r w:rsidRPr="0026653F">
        <w:rPr>
          <w:szCs w:val="22"/>
          <w:lang w:val="fr-FR"/>
        </w:rPr>
        <w:t>d.</w:t>
      </w:r>
      <w:r w:rsidRPr="0026653F">
        <w:rPr>
          <w:szCs w:val="22"/>
          <w:lang w:val="fr-FR"/>
        </w:rPr>
        <w:tab/>
        <w:t>une observation électorale internationale indépendante, crédible et accréditée ;</w:t>
      </w:r>
    </w:p>
    <w:p w14:paraId="72C681FD" w14:textId="37AF0266" w:rsidR="00D90B33" w:rsidRPr="0026653F" w:rsidRDefault="00D90B33" w:rsidP="00C618DD">
      <w:pPr>
        <w:ind w:left="1440" w:hanging="630"/>
        <w:rPr>
          <w:szCs w:val="22"/>
          <w:lang w:val="fr-FR"/>
        </w:rPr>
      </w:pPr>
      <w:r w:rsidRPr="0026653F">
        <w:rPr>
          <w:szCs w:val="22"/>
          <w:lang w:val="fr-FR"/>
        </w:rPr>
        <w:t>e.</w:t>
      </w:r>
      <w:r w:rsidRPr="0026653F">
        <w:rPr>
          <w:szCs w:val="22"/>
          <w:lang w:val="fr-FR"/>
        </w:rPr>
        <w:tab/>
        <w:t xml:space="preserve">l’enregistrement transparent et </w:t>
      </w:r>
      <w:r w:rsidR="00443408" w:rsidRPr="0026653F">
        <w:rPr>
          <w:szCs w:val="22"/>
          <w:lang w:val="fr-FR"/>
        </w:rPr>
        <w:t>effectif</w:t>
      </w:r>
      <w:r w:rsidRPr="0026653F">
        <w:rPr>
          <w:szCs w:val="22"/>
          <w:lang w:val="fr-FR"/>
        </w:rPr>
        <w:t xml:space="preserve"> des électeurs, la distribution de cartes d’identité et la gestion des centres de vote ;</w:t>
      </w:r>
    </w:p>
    <w:p w14:paraId="4475BD39" w14:textId="4FFBD387" w:rsidR="00D90B33" w:rsidRPr="0026653F" w:rsidRDefault="00D90B33" w:rsidP="00C618DD">
      <w:pPr>
        <w:ind w:left="1440" w:hanging="630"/>
        <w:rPr>
          <w:szCs w:val="22"/>
          <w:lang w:val="fr-FR"/>
        </w:rPr>
      </w:pPr>
      <w:r w:rsidRPr="0026653F">
        <w:rPr>
          <w:szCs w:val="22"/>
          <w:lang w:val="fr-FR"/>
        </w:rPr>
        <w:t>f.</w:t>
      </w:r>
      <w:r w:rsidRPr="0026653F">
        <w:rPr>
          <w:szCs w:val="22"/>
          <w:lang w:val="fr-FR"/>
        </w:rPr>
        <w:tab/>
        <w:t>le comptage et la consolidation transparents des résultats de même que la publication en temps réel des résultats ;</w:t>
      </w:r>
    </w:p>
    <w:p w14:paraId="73E911E4" w14:textId="77777777" w:rsidR="00D90B33" w:rsidRPr="0026653F" w:rsidRDefault="00D90B33" w:rsidP="00C618DD">
      <w:pPr>
        <w:ind w:left="1440" w:hanging="630"/>
        <w:rPr>
          <w:szCs w:val="22"/>
          <w:lang w:val="fr-FR"/>
        </w:rPr>
      </w:pPr>
      <w:r w:rsidRPr="0026653F">
        <w:rPr>
          <w:szCs w:val="22"/>
          <w:lang w:val="fr-FR"/>
        </w:rPr>
        <w:t>g.</w:t>
      </w:r>
      <w:r w:rsidRPr="0026653F">
        <w:rPr>
          <w:szCs w:val="22"/>
          <w:lang w:val="fr-FR"/>
        </w:rPr>
        <w:tab/>
        <w:t>des procédures adéquates pour le dépôt de plaintes concernant le déroulement et les résultats des élections, ainsi que des procédures pour les résoudre.</w:t>
      </w:r>
    </w:p>
    <w:p w14:paraId="4F603E08" w14:textId="77777777" w:rsidR="00D90B33" w:rsidRPr="0026653F" w:rsidRDefault="00D90B33" w:rsidP="00C618DD">
      <w:pPr>
        <w:rPr>
          <w:szCs w:val="22"/>
          <w:lang w:val="fr-FR"/>
        </w:rPr>
      </w:pPr>
    </w:p>
    <w:p w14:paraId="3A388974" w14:textId="77777777" w:rsidR="00D90B33" w:rsidRPr="0026653F" w:rsidRDefault="00D90B33" w:rsidP="00C618DD">
      <w:pPr>
        <w:rPr>
          <w:szCs w:val="22"/>
          <w:lang w:val="fr-FR"/>
        </w:rPr>
      </w:pPr>
      <w:r w:rsidRPr="0026653F">
        <w:rPr>
          <w:szCs w:val="22"/>
          <w:lang w:val="fr-FR"/>
        </w:rPr>
        <w:tab/>
        <w:t>4.</w:t>
      </w:r>
      <w:r w:rsidRPr="0026653F">
        <w:rPr>
          <w:szCs w:val="22"/>
          <w:lang w:val="fr-FR"/>
        </w:rPr>
        <w:tab/>
        <w:t>D’insister pour que des engagements concrets de réforme électorale, en particulier la modernisation et la restructuration du Conseil électoral suprême, soient mis en place avant que l’État ne convoque des élections générales, ou au plus tard en mai 2021.</w:t>
      </w:r>
    </w:p>
    <w:p w14:paraId="25FE0B19" w14:textId="77777777" w:rsidR="00D90B33" w:rsidRPr="0026653F" w:rsidRDefault="00D90B33" w:rsidP="00C618DD">
      <w:pPr>
        <w:rPr>
          <w:szCs w:val="22"/>
          <w:lang w:val="fr-FR"/>
        </w:rPr>
      </w:pPr>
    </w:p>
    <w:p w14:paraId="1DFC7D66" w14:textId="749FFDA3" w:rsidR="00D90B33" w:rsidRPr="0026653F" w:rsidRDefault="00D90B33" w:rsidP="00C618DD">
      <w:pPr>
        <w:rPr>
          <w:szCs w:val="22"/>
          <w:lang w:val="fr-FR"/>
        </w:rPr>
      </w:pPr>
      <w:r w:rsidRPr="0026653F">
        <w:rPr>
          <w:szCs w:val="22"/>
          <w:lang w:val="fr-FR"/>
        </w:rPr>
        <w:tab/>
        <w:t>5.</w:t>
      </w:r>
      <w:r w:rsidRPr="0026653F">
        <w:rPr>
          <w:szCs w:val="22"/>
          <w:lang w:val="fr-FR"/>
        </w:rPr>
        <w:tab/>
        <w:t>De demander au Secrétariat général de faire rapport, de façon régulière, sur l’état des accords et des calendriers de mise en œuvre des réformes électorales, conduisant à des élections libres, justes, compétitives, observées et légitimes.</w:t>
      </w:r>
    </w:p>
    <w:p w14:paraId="7A63782F" w14:textId="77777777" w:rsidR="00D90B33" w:rsidRPr="0026653F" w:rsidRDefault="00D90B33" w:rsidP="00C618DD">
      <w:pPr>
        <w:jc w:val="left"/>
        <w:rPr>
          <w:szCs w:val="22"/>
          <w:lang w:val="fr-FR"/>
        </w:rPr>
      </w:pPr>
      <w:r w:rsidRPr="0026653F">
        <w:rPr>
          <w:szCs w:val="22"/>
          <w:lang w:val="fr-FR"/>
        </w:rPr>
        <w:br w:type="page"/>
      </w:r>
    </w:p>
    <w:p w14:paraId="5506A3E0" w14:textId="77777777" w:rsidR="00D90B33" w:rsidRPr="009C2C40" w:rsidRDefault="00D90B33" w:rsidP="00C618DD">
      <w:pPr>
        <w:jc w:val="center"/>
        <w:rPr>
          <w:sz w:val="20"/>
          <w:lang w:val="fr-FR"/>
        </w:rPr>
      </w:pPr>
      <w:r w:rsidRPr="009C2C40">
        <w:rPr>
          <w:sz w:val="20"/>
          <w:lang w:val="fr-FR"/>
        </w:rPr>
        <w:lastRenderedPageBreak/>
        <w:t>NOTES DE BAS DE PAGE</w:t>
      </w:r>
    </w:p>
    <w:p w14:paraId="7AC9AB80" w14:textId="77777777" w:rsidR="00D90B33" w:rsidRPr="009C2C40" w:rsidRDefault="00D90B33" w:rsidP="00C618DD">
      <w:pPr>
        <w:outlineLvl w:val="0"/>
        <w:rPr>
          <w:iCs/>
          <w:sz w:val="20"/>
          <w:lang w:val="fr-FR" w:eastAsia="es-ES"/>
        </w:rPr>
      </w:pPr>
    </w:p>
    <w:p w14:paraId="25C5599E" w14:textId="77777777" w:rsidR="00D90B33" w:rsidRPr="009C2C40" w:rsidRDefault="00D90B33" w:rsidP="00C618DD">
      <w:pPr>
        <w:outlineLvl w:val="0"/>
        <w:rPr>
          <w:bCs/>
          <w:sz w:val="20"/>
          <w:lang w:val="fr-FR" w:eastAsia="es-ES"/>
        </w:rPr>
      </w:pPr>
    </w:p>
    <w:p w14:paraId="1F0BCFA7" w14:textId="77777777" w:rsidR="00D90B33" w:rsidRPr="009C2C40" w:rsidRDefault="00D90B33" w:rsidP="00C618DD">
      <w:pPr>
        <w:rPr>
          <w:sz w:val="20"/>
          <w:lang w:val="fr-FR"/>
        </w:rPr>
      </w:pPr>
      <w:r w:rsidRPr="009C2C40">
        <w:rPr>
          <w:sz w:val="20"/>
          <w:lang w:val="fr-FR"/>
        </w:rPr>
        <w:tab/>
        <w:t>1.</w:t>
      </w:r>
      <w:r w:rsidRPr="009C2C40">
        <w:rPr>
          <w:sz w:val="20"/>
          <w:lang w:val="fr-FR"/>
        </w:rPr>
        <w:tab/>
        <w:t>… ordinaire de l’Assemblée générale et rejette tant la convocation du point sur le Nicaragua que la résolution qui a été déposée, lesquelles n’ont pas été demandées ni autorisées par le Gouvernement du Nicaragua.</w:t>
      </w:r>
    </w:p>
    <w:p w14:paraId="2329F790" w14:textId="77777777" w:rsidR="00D90B33" w:rsidRPr="009C2C40" w:rsidRDefault="00D90B33" w:rsidP="00C618DD">
      <w:pPr>
        <w:rPr>
          <w:sz w:val="20"/>
          <w:lang w:val="fr-FR"/>
        </w:rPr>
      </w:pPr>
    </w:p>
    <w:p w14:paraId="1C0B0424" w14:textId="3385539D" w:rsidR="00D90B33" w:rsidRPr="009C2C40" w:rsidRDefault="00D90B33" w:rsidP="00C618DD">
      <w:pPr>
        <w:rPr>
          <w:sz w:val="20"/>
          <w:lang w:val="fr-FR"/>
        </w:rPr>
      </w:pPr>
      <w:r w:rsidRPr="009C2C40">
        <w:rPr>
          <w:sz w:val="20"/>
          <w:lang w:val="fr-FR"/>
        </w:rPr>
        <w:tab/>
        <w:t>Nous déclarons que la présente résolution interventionniste de cet organe ne jouit pas de l’approbation du gouvernement souverain du Nicaragua et est inacceptable et inadmissible. C’est pourquoi nous la rejetons.</w:t>
      </w:r>
    </w:p>
    <w:p w14:paraId="6DAA8EB9" w14:textId="77777777" w:rsidR="00D90B33" w:rsidRPr="009C2C40" w:rsidRDefault="00D90B33" w:rsidP="00C618DD">
      <w:pPr>
        <w:rPr>
          <w:sz w:val="20"/>
          <w:lang w:val="fr-FR"/>
        </w:rPr>
      </w:pPr>
    </w:p>
    <w:p w14:paraId="43325182" w14:textId="1CE57020" w:rsidR="00D90B33" w:rsidRPr="009C2C40" w:rsidRDefault="00D90B33" w:rsidP="00C618DD">
      <w:pPr>
        <w:rPr>
          <w:sz w:val="20"/>
          <w:lang w:val="fr-FR"/>
        </w:rPr>
      </w:pPr>
      <w:r w:rsidRPr="009C2C40">
        <w:rPr>
          <w:sz w:val="20"/>
          <w:lang w:val="fr-FR"/>
        </w:rPr>
        <w:tab/>
        <w:t xml:space="preserve">Cette résolution n’a aucun effet contraignant pour le gouvernement du </w:t>
      </w:r>
      <w:proofErr w:type="gramStart"/>
      <w:r w:rsidRPr="009C2C40">
        <w:rPr>
          <w:sz w:val="20"/>
          <w:lang w:val="fr-FR"/>
        </w:rPr>
        <w:t>Nicaragua;</w:t>
      </w:r>
      <w:proofErr w:type="gramEnd"/>
      <w:r w:rsidRPr="009C2C40">
        <w:rPr>
          <w:sz w:val="20"/>
          <w:lang w:val="fr-FR"/>
        </w:rPr>
        <w:t xml:space="preserve"> au contraire, elle transgresse les buts et principes de la Charte des Nations Unies, les fondements essentiels ainsi que la nature et les buts de la Charte de l’OEA et les principes de droit international relatifs à l’égalité souveraine des États, la non-ingérence dans les affaires qui sont essentiellement de la juridiction interne des États et le droit de ceux-ci à l’autodétermination.</w:t>
      </w:r>
    </w:p>
    <w:p w14:paraId="7C6DBD44" w14:textId="77777777" w:rsidR="00D90B33" w:rsidRPr="009C2C40" w:rsidRDefault="00D90B33" w:rsidP="00C618DD">
      <w:pPr>
        <w:rPr>
          <w:sz w:val="20"/>
          <w:lang w:val="fr-FR"/>
        </w:rPr>
      </w:pPr>
    </w:p>
    <w:p w14:paraId="556B4721" w14:textId="77777777" w:rsidR="00F535DF" w:rsidRDefault="00D90B33" w:rsidP="00C618DD">
      <w:pPr>
        <w:rPr>
          <w:bCs/>
          <w:sz w:val="20"/>
          <w:lang w:val="fr-FR"/>
        </w:rPr>
      </w:pPr>
      <w:r w:rsidRPr="009C2C40">
        <w:rPr>
          <w:bCs/>
          <w:sz w:val="20"/>
          <w:lang w:val="fr-FR"/>
        </w:rPr>
        <w:tab/>
        <w:t xml:space="preserve">Il convient de rappeler que la Charte démocratique interaméricaine (CDI) est un instrument de rang moins élevé subordonné aux dispositions de la Charte de l’OEA. Par conséquent, elle n’abolit pas et ne substitue pas les principes sur lesquels cette Organisation a été fondée. Elle ne constitue pas non plus une carte blanche pour promouvoir l’ingérence dans les affaires internes et externes des États, et encore moins une lettre de marque permettant de piétiner sa souveraineté et son indépendance et transgresser de façon flagrante l’ordre juridique interaméricain et porter atteinte à la paix et à la sécurité régionale. Tout exercice dans cette direction constitue une illégalité totale que le Nicaragua rejette à cause de son caractère inadmissible. </w:t>
      </w:r>
    </w:p>
    <w:p w14:paraId="53FD8295" w14:textId="77777777" w:rsidR="00F535DF" w:rsidRDefault="00F535DF" w:rsidP="00C618DD">
      <w:pPr>
        <w:rPr>
          <w:bCs/>
          <w:sz w:val="20"/>
          <w:lang w:val="fr-FR"/>
        </w:rPr>
      </w:pPr>
    </w:p>
    <w:p w14:paraId="1902E021" w14:textId="3F876605" w:rsidR="00D90B33" w:rsidRPr="009C2C40" w:rsidRDefault="00F535DF" w:rsidP="00C618DD">
      <w:pPr>
        <w:rPr>
          <w:bCs/>
          <w:sz w:val="20"/>
          <w:lang w:val="fr-FR"/>
        </w:rPr>
      </w:pPr>
      <w:r>
        <w:rPr>
          <w:bCs/>
          <w:sz w:val="20"/>
          <w:lang w:val="fr-FR"/>
        </w:rPr>
        <w:tab/>
      </w:r>
      <w:r w:rsidR="00D90B33" w:rsidRPr="009C2C40">
        <w:rPr>
          <w:bCs/>
          <w:sz w:val="20"/>
          <w:lang w:val="fr-FR"/>
        </w:rPr>
        <w:t>La Charte de l’OEA elle-même est soumise à la Charte des Nations Unies, qui est la charte constitutionnelle de l’ordre juridique mondial, et la Charte de l’ONU repose sur le respect sans restriction de la souveraineté, de l’indépendance et de l’autodétermination des peuples ainsi que sur le principe de non-intervention.</w:t>
      </w:r>
    </w:p>
    <w:p w14:paraId="1E5D005F" w14:textId="77777777" w:rsidR="00D90B33" w:rsidRPr="009C2C40" w:rsidRDefault="00D90B33" w:rsidP="00C618DD">
      <w:pPr>
        <w:rPr>
          <w:bCs/>
          <w:sz w:val="20"/>
          <w:lang w:val="fr-FR"/>
        </w:rPr>
      </w:pPr>
    </w:p>
    <w:p w14:paraId="70E400B2" w14:textId="2E4B7C69" w:rsidR="00D90B33" w:rsidRPr="009C2C40" w:rsidRDefault="00D90B33" w:rsidP="00C618DD">
      <w:pPr>
        <w:rPr>
          <w:bCs/>
          <w:sz w:val="20"/>
          <w:lang w:val="fr-FR"/>
        </w:rPr>
      </w:pPr>
      <w:r w:rsidRPr="009C2C40">
        <w:rPr>
          <w:bCs/>
          <w:sz w:val="20"/>
          <w:lang w:val="fr-FR"/>
        </w:rPr>
        <w:tab/>
        <w:t>L’Assemblée générale de l’OEA doit rejeter, en vertu de la Charte de l’organisation régionale et de la Charte de l’ONU, et en vertu également des principes fondamentaux du droit international, le sinistre projet de résolution, que le Nicaragua n’admettra sous aucun prétexte, étant donné que s’il est adopté, il constituerait un acte illicite international, et les États qui auraient voté en faveur de cette résolution participeraient à cet acte illicite international et, par conséquent, seraient responsables sur le plan international.</w:t>
      </w:r>
    </w:p>
    <w:p w14:paraId="75FB91BD" w14:textId="77777777" w:rsidR="00D90B33" w:rsidRPr="009C2C40" w:rsidRDefault="00D90B33" w:rsidP="00C618DD">
      <w:pPr>
        <w:rPr>
          <w:bCs/>
          <w:sz w:val="20"/>
          <w:lang w:val="fr-FR"/>
        </w:rPr>
      </w:pPr>
    </w:p>
    <w:p w14:paraId="4F130136" w14:textId="20F092B3" w:rsidR="00D90B33" w:rsidRPr="009C2C40" w:rsidRDefault="00D90B33" w:rsidP="00C618DD">
      <w:pPr>
        <w:rPr>
          <w:sz w:val="20"/>
          <w:lang w:val="fr-FR"/>
        </w:rPr>
      </w:pPr>
      <w:r w:rsidRPr="009C2C40">
        <w:rPr>
          <w:sz w:val="20"/>
          <w:lang w:val="fr-FR"/>
        </w:rPr>
        <w:tab/>
        <w:t>Comme le prévoit la Charte de l’OEA, aucun État ou groupe d’États n’a le droit d’intervenir, directement ou indirectement, pour quelque raison que ce soit, dans les affaires internes ou externes de n’importe quel autre. Le principe ci-dessus exclut non seulement la force armée mais aussi toute autre ingérence ou tendance attentatoire de la personnalité de l’État, des éléments politiques, économiques et culturels qui le constituent.</w:t>
      </w:r>
    </w:p>
    <w:p w14:paraId="272250B5" w14:textId="77777777" w:rsidR="00D90B33" w:rsidRPr="009C2C40" w:rsidRDefault="00D90B33" w:rsidP="00C618DD">
      <w:pPr>
        <w:rPr>
          <w:sz w:val="20"/>
          <w:lang w:val="fr-FR"/>
        </w:rPr>
      </w:pPr>
      <w:r w:rsidRPr="009C2C40">
        <w:rPr>
          <w:sz w:val="20"/>
          <w:lang w:val="fr-FR"/>
        </w:rPr>
        <w:t xml:space="preserve"> </w:t>
      </w:r>
    </w:p>
    <w:p w14:paraId="6A7EEC4B" w14:textId="4838AC9A" w:rsidR="00D90B33" w:rsidRPr="009C2C40" w:rsidRDefault="00D90B33" w:rsidP="00C618DD">
      <w:pPr>
        <w:rPr>
          <w:sz w:val="20"/>
          <w:lang w:val="fr-FR"/>
        </w:rPr>
      </w:pPr>
      <w:r w:rsidRPr="009C2C40">
        <w:rPr>
          <w:sz w:val="20"/>
          <w:lang w:val="fr-FR"/>
        </w:rPr>
        <w:tab/>
        <w:t>Le Nicaragua n’est une colonie de personne et par conséquent il n’accepte pas d’impositions de gouvernements impérialistes, ni d’organismes subordonnés à ceux-ci, relativement à ses affaires internes qui sont de la compétence exclusive des citoyens nicaraguayens ainsi que des partis politiques qui ont une personnalité juridique et qui sont représentés à l’Assemblée nationale.</w:t>
      </w:r>
    </w:p>
    <w:p w14:paraId="223BF076" w14:textId="77777777" w:rsidR="00D90B33" w:rsidRPr="009C2C40" w:rsidRDefault="00D90B33" w:rsidP="00C618DD">
      <w:pPr>
        <w:rPr>
          <w:sz w:val="20"/>
          <w:lang w:val="fr-FR"/>
        </w:rPr>
      </w:pPr>
    </w:p>
    <w:p w14:paraId="708491F7" w14:textId="4142660A" w:rsidR="00D90B33" w:rsidRPr="009C2C40" w:rsidRDefault="00D90B33" w:rsidP="00C618DD">
      <w:pPr>
        <w:rPr>
          <w:sz w:val="20"/>
          <w:lang w:val="fr-FR"/>
        </w:rPr>
      </w:pPr>
      <w:r w:rsidRPr="009C2C40">
        <w:rPr>
          <w:sz w:val="20"/>
          <w:lang w:val="fr-FR"/>
        </w:rPr>
        <w:tab/>
        <w:t>Cette nouvelle agression de lynchage diplomatique viole la souveraineté nationale et porte atteinte à ses institutions, à la Constitution de la République, à ses lois, à la gouvernance démocratique, à la paix, à la sécurité et à la stabilité de la nation nicaraguayenne.</w:t>
      </w:r>
    </w:p>
    <w:p w14:paraId="28E0AC4A" w14:textId="77777777" w:rsidR="00D90B33" w:rsidRPr="009C2C40" w:rsidRDefault="00D90B33" w:rsidP="00C618DD">
      <w:pPr>
        <w:rPr>
          <w:sz w:val="20"/>
          <w:lang w:val="fr-FR"/>
        </w:rPr>
      </w:pPr>
    </w:p>
    <w:p w14:paraId="4E3E5A97" w14:textId="2B515C29" w:rsidR="00D90B33" w:rsidRPr="009C2C40" w:rsidRDefault="00D90B33" w:rsidP="00C618DD">
      <w:pPr>
        <w:rPr>
          <w:sz w:val="20"/>
          <w:lang w:val="fr-FR"/>
        </w:rPr>
      </w:pPr>
      <w:r w:rsidRPr="009C2C40">
        <w:rPr>
          <w:sz w:val="20"/>
          <w:lang w:val="fr-FR"/>
        </w:rPr>
        <w:tab/>
        <w:t>Le Nicaragua est une république souveraine dotée d’une démocratie représentative et participative qui dépasse de beaucoup les normes traditionnelles du concept traditionnel de démocratie.</w:t>
      </w:r>
    </w:p>
    <w:p w14:paraId="4926262D" w14:textId="77777777" w:rsidR="00D90B33" w:rsidRPr="009C2C40" w:rsidRDefault="00D90B33" w:rsidP="00C618DD">
      <w:pPr>
        <w:rPr>
          <w:sz w:val="20"/>
          <w:lang w:val="fr-FR"/>
        </w:rPr>
      </w:pPr>
    </w:p>
    <w:p w14:paraId="57936596" w14:textId="6B495228" w:rsidR="00D90B33" w:rsidRPr="009C2C40" w:rsidRDefault="00D90B33" w:rsidP="00C618DD">
      <w:pPr>
        <w:rPr>
          <w:sz w:val="20"/>
          <w:lang w:val="fr-FR"/>
        </w:rPr>
      </w:pPr>
      <w:r w:rsidRPr="009C2C40">
        <w:rPr>
          <w:sz w:val="20"/>
          <w:lang w:val="fr-FR"/>
        </w:rPr>
        <w:lastRenderedPageBreak/>
        <w:tab/>
        <w:t>Nous affirmons le principe selon lequel aucun État ne pourra appliquer ou encourager des mesures coercitives à caractère économique et politique pour forcer la volonté souveraine d’un autre État et obtenir de celui-ci des avantages de quelque nature que ce soit.</w:t>
      </w:r>
    </w:p>
    <w:p w14:paraId="4CAD1225" w14:textId="77777777" w:rsidR="00D90B33" w:rsidRPr="009C2C40" w:rsidRDefault="00D90B33" w:rsidP="00C618DD">
      <w:pPr>
        <w:shd w:val="clear" w:color="auto" w:fill="FFFFFF"/>
        <w:rPr>
          <w:sz w:val="20"/>
          <w:lang w:val="fr-FR"/>
        </w:rPr>
      </w:pPr>
    </w:p>
    <w:p w14:paraId="269DE970" w14:textId="77777777" w:rsidR="00D90B33" w:rsidRPr="009C2C40" w:rsidRDefault="00D90B33" w:rsidP="00C618DD">
      <w:pPr>
        <w:shd w:val="clear" w:color="auto" w:fill="FFFFFF"/>
        <w:rPr>
          <w:sz w:val="20"/>
          <w:lang w:val="fr-FR"/>
        </w:rPr>
      </w:pPr>
      <w:r w:rsidRPr="009C2C40">
        <w:rPr>
          <w:sz w:val="20"/>
          <w:lang w:val="fr-FR"/>
        </w:rPr>
        <w:tab/>
        <w:t>Le Nicaragua exige et demande le respect de sa souveraineté aux nations interventionnistes membres de ce Conseil permanent, subordonnées au Gouvernement des États-</w:t>
      </w:r>
      <w:proofErr w:type="gramStart"/>
      <w:r w:rsidRPr="009C2C40">
        <w:rPr>
          <w:sz w:val="20"/>
          <w:lang w:val="fr-FR"/>
        </w:rPr>
        <w:t>Unis;</w:t>
      </w:r>
      <w:proofErr w:type="gramEnd"/>
      <w:r w:rsidRPr="009C2C40">
        <w:rPr>
          <w:sz w:val="20"/>
          <w:lang w:val="fr-FR"/>
        </w:rPr>
        <w:t xml:space="preserve"> leurs actions visent à déstabiliser et à agresser le Nicaragua.</w:t>
      </w:r>
    </w:p>
    <w:p w14:paraId="131138EB" w14:textId="77777777" w:rsidR="00D90B33" w:rsidRPr="009C2C40" w:rsidRDefault="00D90B33" w:rsidP="00C618DD">
      <w:pPr>
        <w:shd w:val="clear" w:color="auto" w:fill="FFFFFF"/>
        <w:rPr>
          <w:sz w:val="20"/>
          <w:lang w:val="fr-FR"/>
        </w:rPr>
      </w:pPr>
    </w:p>
    <w:p w14:paraId="16C150F0" w14:textId="76E1AA62" w:rsidR="00D90B33" w:rsidRPr="009C2C40" w:rsidRDefault="00D90B33" w:rsidP="00C618DD">
      <w:pPr>
        <w:shd w:val="clear" w:color="auto" w:fill="FFFFFF"/>
        <w:rPr>
          <w:sz w:val="20"/>
          <w:lang w:val="fr-FR"/>
        </w:rPr>
      </w:pPr>
      <w:r w:rsidRPr="009C2C40">
        <w:rPr>
          <w:sz w:val="20"/>
          <w:lang w:val="fr-FR"/>
        </w:rPr>
        <w:tab/>
        <w:t>Avec leurs arguments fallacieux ils continuent de promouvoir la tenue de réunions au sein de l’OEA, dans le but de semer au sein de l’opinion publique nationale et internationale le discrédit envers le Gouvernement du Nicaragua, ses institutions, ses autorités et ses projets sociaux. Le peuple du Nicaragua sait déjà qui sont ces pays, il sait déjà qui sont les traîtres, les Judas et les Caïn qui attentent à la paix et la sécurité de notre pays, quels sont les intérêts auxquels ils sont subordonnés, qui les finance et quels objectifs ils poursuivent.</w:t>
      </w:r>
    </w:p>
    <w:p w14:paraId="114AB832" w14:textId="77777777" w:rsidR="00D90B33" w:rsidRPr="009C2C40" w:rsidRDefault="00D90B33" w:rsidP="00C618DD">
      <w:pPr>
        <w:shd w:val="clear" w:color="auto" w:fill="FFFFFF"/>
        <w:rPr>
          <w:sz w:val="20"/>
          <w:lang w:val="fr-FR"/>
        </w:rPr>
      </w:pPr>
    </w:p>
    <w:p w14:paraId="7A8901B2" w14:textId="4A527A7F" w:rsidR="00D90B33" w:rsidRPr="009C2C40" w:rsidRDefault="00D90B33" w:rsidP="00C618DD">
      <w:pPr>
        <w:shd w:val="clear" w:color="auto" w:fill="FFFFFF"/>
        <w:rPr>
          <w:sz w:val="20"/>
          <w:lang w:val="fr-FR"/>
        </w:rPr>
      </w:pPr>
      <w:r w:rsidRPr="009C2C40">
        <w:rPr>
          <w:sz w:val="20"/>
          <w:lang w:val="fr-FR"/>
        </w:rPr>
        <w:tab/>
        <w:t>Le peuple nicaraguayen et la communauté internationale connaissent cette vérité et ne se laissent pas tromper par ces messieurs.</w:t>
      </w:r>
    </w:p>
    <w:p w14:paraId="7512F7F5" w14:textId="77777777" w:rsidR="00D90B33" w:rsidRPr="009C2C40" w:rsidRDefault="00D90B33" w:rsidP="00C618DD">
      <w:pPr>
        <w:rPr>
          <w:sz w:val="20"/>
          <w:lang w:val="fr-FR"/>
        </w:rPr>
      </w:pPr>
    </w:p>
    <w:p w14:paraId="73BF5A3A" w14:textId="59322E94" w:rsidR="00D90B33" w:rsidRPr="009C2C40" w:rsidRDefault="00D90B33" w:rsidP="00C618DD">
      <w:pPr>
        <w:rPr>
          <w:sz w:val="20"/>
          <w:lang w:val="fr-FR"/>
        </w:rPr>
      </w:pPr>
      <w:r w:rsidRPr="009C2C40">
        <w:rPr>
          <w:sz w:val="20"/>
          <w:lang w:val="fr-FR"/>
        </w:rPr>
        <w:tab/>
        <w:t>Nous déclarons inadmissible et condamnons l’action inamicale d’un groupe d’États membres de cette Organisation qui, pour des raisons de survie politique, endossent les lignes directrices du Département d’État et finissent par s’aligner à la politique d’agression et de chantage qui est celle de l’administration américaine contre les peuples nicaraguayen, vénézuélien et cubain.</w:t>
      </w:r>
    </w:p>
    <w:p w14:paraId="0EF55663" w14:textId="77777777" w:rsidR="00D90B33" w:rsidRPr="009C2C40" w:rsidRDefault="00D90B33" w:rsidP="00C618DD">
      <w:pPr>
        <w:rPr>
          <w:sz w:val="20"/>
          <w:lang w:val="fr-FR"/>
        </w:rPr>
      </w:pPr>
    </w:p>
    <w:p w14:paraId="74FFDC6B" w14:textId="7531D8CD" w:rsidR="00D90B33" w:rsidRPr="009C2C40" w:rsidRDefault="00D90B33" w:rsidP="00C618DD">
      <w:pPr>
        <w:rPr>
          <w:sz w:val="20"/>
          <w:lang w:val="fr-FR"/>
        </w:rPr>
      </w:pPr>
      <w:r w:rsidRPr="009C2C40">
        <w:rPr>
          <w:sz w:val="20"/>
          <w:lang w:val="fr-FR"/>
        </w:rPr>
        <w:tab/>
        <w:t>La perte du cadre institutionnel et de l’autonomie de l’Organisation des États Américains est plus qu’évidente et renforcera encore plus le virus de la division qu’encourage la puissance nord-américaine entre les pays frères latino-américains et caribéens.</w:t>
      </w:r>
    </w:p>
    <w:p w14:paraId="16B7E784" w14:textId="77777777" w:rsidR="00D90B33" w:rsidRPr="009C2C40" w:rsidRDefault="00D90B33" w:rsidP="00C618DD">
      <w:pPr>
        <w:rPr>
          <w:sz w:val="20"/>
          <w:lang w:val="fr-FR"/>
        </w:rPr>
      </w:pPr>
    </w:p>
    <w:p w14:paraId="28396322" w14:textId="1457260A" w:rsidR="00D90B33" w:rsidRPr="009C2C40" w:rsidRDefault="00D90B33" w:rsidP="00C618DD">
      <w:pPr>
        <w:rPr>
          <w:sz w:val="20"/>
          <w:lang w:val="fr-FR"/>
        </w:rPr>
      </w:pPr>
      <w:r w:rsidRPr="009C2C40">
        <w:rPr>
          <w:sz w:val="20"/>
          <w:lang w:val="fr-FR"/>
        </w:rPr>
        <w:tab/>
        <w:t>Le fractionnement systématique dont souffre cette Organisation atomisée par son ordre du jour monothématique se poursuivra tant que continuera l’agression persistante de l’administration américaine et de ses alliés et qu’ils continueront d’interférer dans les affaires internes du Nicaragua et du Venezuela, tant que se poursuivra l’asservissement de leurs souverainetés, l’application des dénommées sanctions unilatérales qui ne sont rien de plus que des agressions, l’imposition de mesures coercitives, le blocus économique, le sabotage des économies de nos pays et le double standard dans le traitement des droits de la personne, car nos pays ne se soumettent pas au consensus de Washington.</w:t>
      </w:r>
    </w:p>
    <w:p w14:paraId="3C9CE153" w14:textId="77777777" w:rsidR="00D90B33" w:rsidRPr="009C2C40" w:rsidRDefault="00D90B33" w:rsidP="00C618DD">
      <w:pPr>
        <w:rPr>
          <w:sz w:val="20"/>
          <w:lang w:val="fr-FR"/>
        </w:rPr>
      </w:pPr>
    </w:p>
    <w:p w14:paraId="697CFC0D" w14:textId="6E5B00F5" w:rsidR="00D90B33" w:rsidRPr="009C2C40" w:rsidRDefault="00D90B33" w:rsidP="00C618DD">
      <w:pPr>
        <w:rPr>
          <w:sz w:val="20"/>
          <w:lang w:val="fr-FR"/>
        </w:rPr>
      </w:pPr>
      <w:r w:rsidRPr="009C2C40">
        <w:rPr>
          <w:sz w:val="20"/>
          <w:lang w:val="fr-FR"/>
        </w:rPr>
        <w:tab/>
        <w:t>Le multilatéralisme mondial et régional est attaqué et essaie de continuer à subsister bien qu’il est confronté à d’importants défis, à des menaces et des lacunes. Le dialogue, la négociation, les bons offices et le règlement pacifique des différends internationaux sont piétinés et remis en question tant au sein des organismes internationaux qu’à l’OEA et ont peu à peu été substitués par l’imposition, les menaces d’utilisation de la force, le chantage, l’intransigeance, la vengeance politique, les mesures arbitraires et non transparentes, la guerre d’agression et la déstabilisation contre certains États, qui sont victimes d’une guerre médiatique de désinformation et de déformation de la réalité nationale qu’ils vivent.</w:t>
      </w:r>
    </w:p>
    <w:p w14:paraId="7ADE62D3" w14:textId="77777777" w:rsidR="00D90B33" w:rsidRPr="009C2C40" w:rsidRDefault="00D90B33" w:rsidP="00C618DD">
      <w:pPr>
        <w:rPr>
          <w:color w:val="000000"/>
          <w:sz w:val="20"/>
          <w:shd w:val="clear" w:color="auto" w:fill="FFFFFF"/>
          <w:lang w:val="fr-FR"/>
        </w:rPr>
      </w:pPr>
    </w:p>
    <w:p w14:paraId="40822C44" w14:textId="3440A11A" w:rsidR="00D90B33" w:rsidRPr="009C2C40" w:rsidRDefault="00D90B33" w:rsidP="00C618DD">
      <w:pPr>
        <w:rPr>
          <w:sz w:val="20"/>
          <w:lang w:val="fr-FR"/>
        </w:rPr>
      </w:pPr>
      <w:r w:rsidRPr="009C2C40">
        <w:rPr>
          <w:b/>
          <w:bCs/>
          <w:color w:val="000000"/>
          <w:sz w:val="20"/>
          <w:shd w:val="clear" w:color="auto" w:fill="FFFFFF"/>
          <w:lang w:val="fr-FR"/>
        </w:rPr>
        <w:tab/>
      </w:r>
      <w:r w:rsidRPr="009C2C40">
        <w:rPr>
          <w:color w:val="000000"/>
          <w:sz w:val="20"/>
          <w:shd w:val="clear" w:color="auto" w:fill="FFFFFF"/>
          <w:lang w:val="fr-FR"/>
        </w:rPr>
        <w:t>Le Nicaragua exprime sa solidarité avec les États membres de la CARICOM, qui sont également agressés et sont victimes de stratégies unilatérales, arbitraires et non transparentes d’inclusion sur des listes noires par l’Union européenne (UE).</w:t>
      </w:r>
    </w:p>
    <w:p w14:paraId="5CE91108" w14:textId="77777777" w:rsidR="00D90B33" w:rsidRPr="009C2C40" w:rsidRDefault="00D90B33" w:rsidP="00C618DD">
      <w:pPr>
        <w:rPr>
          <w:sz w:val="20"/>
          <w:lang w:val="fr-FR"/>
        </w:rPr>
      </w:pPr>
    </w:p>
    <w:p w14:paraId="743F420F" w14:textId="2E714414" w:rsidR="00D90B33" w:rsidRPr="009C2C40" w:rsidRDefault="00D90B33" w:rsidP="00C618DD">
      <w:pPr>
        <w:rPr>
          <w:sz w:val="20"/>
          <w:lang w:val="fr-FR"/>
        </w:rPr>
      </w:pPr>
      <w:r w:rsidRPr="009C2C40">
        <w:rPr>
          <w:sz w:val="20"/>
          <w:lang w:val="fr-FR"/>
        </w:rPr>
        <w:tab/>
        <w:t>Tenter d’utiliser des petits pays comme le Nicaragua pour dévier l’attention, à cause des revendications de leurs citoyens concernant le désastre sanitaire, économique, politique et social que subissent les pays qui coparrainent cette proposition illégale est immoral, revanchard et machiavélique, et ne reflète que l’absence de sensibilité humaine dont ils font étalage.</w:t>
      </w:r>
    </w:p>
    <w:p w14:paraId="39D637B4" w14:textId="77777777" w:rsidR="00D90B33" w:rsidRPr="009C2C40" w:rsidRDefault="00D90B33" w:rsidP="00C618DD">
      <w:pPr>
        <w:rPr>
          <w:sz w:val="20"/>
          <w:lang w:val="fr-FR"/>
        </w:rPr>
      </w:pPr>
    </w:p>
    <w:p w14:paraId="6A23D0C6" w14:textId="77777777" w:rsidR="00D90B33" w:rsidRPr="009C2C40" w:rsidRDefault="00D90B33" w:rsidP="00C618DD">
      <w:pPr>
        <w:rPr>
          <w:sz w:val="20"/>
          <w:lang w:val="fr-FR"/>
        </w:rPr>
      </w:pPr>
      <w:r w:rsidRPr="009C2C40">
        <w:rPr>
          <w:sz w:val="20"/>
          <w:lang w:val="fr-FR"/>
        </w:rPr>
        <w:lastRenderedPageBreak/>
        <w:tab/>
        <w:t>Nous réitérons que la préoccupation centrale des discussions de la Cinquantième Session ordinaire de l’Assemblée générale de l’OEA doit viser le partage de données d’expériences et de bonnes pratiques en matière de sécurité sanitaire, la promotion de la solidarité entre les États de la région pour affronter cette pandémie mondiale et les préoccupations en matière de sécurité alimentaire, l’emploi, le freinage de la détérioration économique de nos économies, la lutte contre la pauvreté, le changement climatique et les conséquences des catastrophes naturelles, au lieu de promouvoir des actions et des mesures d’agression qui portent atteinte à la paix, à la souveraineté et au droit à l’autodétermination des gouvernements du Nicaragua et du Venezuela.</w:t>
      </w:r>
    </w:p>
    <w:p w14:paraId="7B0D3AB4" w14:textId="77777777" w:rsidR="00D90B33" w:rsidRPr="009C2C40" w:rsidRDefault="00D90B33" w:rsidP="00C618DD">
      <w:pPr>
        <w:rPr>
          <w:sz w:val="20"/>
          <w:lang w:val="fr-FR"/>
        </w:rPr>
      </w:pPr>
    </w:p>
    <w:p w14:paraId="4592187B" w14:textId="77777777" w:rsidR="00D90B33" w:rsidRPr="009C2C40" w:rsidRDefault="00D90B33" w:rsidP="00C618DD">
      <w:pPr>
        <w:rPr>
          <w:sz w:val="20"/>
          <w:lang w:val="fr-FR"/>
        </w:rPr>
      </w:pPr>
      <w:r w:rsidRPr="009C2C40">
        <w:rPr>
          <w:sz w:val="20"/>
          <w:lang w:val="fr-FR"/>
        </w:rPr>
        <w:tab/>
        <w:t>La délégation du Gouvernement de réconciliation et d’unité nationale réitère son appel respectueux aux États membres de l’OEA à s’abstenir de porter atteinte à la souveraineté nationale, à arrêter de s’immiscer dans les affaires internes de la nation nicaraguayenne, à ne pas inciter à la violence ni à la violation de la Constitution et des lois et à respecter la volonté du peuple nicaraguayen, qui exige qu’on le laisse vivre en paix, en sécurité et dans l’harmonie afin de continuer à travailler activement en redoublant d’efforts en faveur du progrès, du bien-être, de la santé et du développement socioéconomique du pays.</w:t>
      </w:r>
    </w:p>
    <w:p w14:paraId="10C201BA" w14:textId="77777777" w:rsidR="00D90B33" w:rsidRPr="009C2C40" w:rsidRDefault="00D90B33" w:rsidP="00C618DD">
      <w:pPr>
        <w:rPr>
          <w:sz w:val="20"/>
          <w:lang w:val="fr-FR"/>
        </w:rPr>
      </w:pPr>
    </w:p>
    <w:p w14:paraId="7DC8E447" w14:textId="102ABB94" w:rsidR="00D90B33" w:rsidRPr="009C2C40" w:rsidRDefault="00D90B33" w:rsidP="00C618DD">
      <w:pPr>
        <w:rPr>
          <w:sz w:val="20"/>
          <w:lang w:val="fr-FR"/>
        </w:rPr>
      </w:pPr>
      <w:r w:rsidRPr="009C2C40">
        <w:rPr>
          <w:sz w:val="20"/>
          <w:lang w:val="fr-FR"/>
        </w:rPr>
        <w:tab/>
        <w:t>2.</w:t>
      </w:r>
      <w:r w:rsidRPr="009C2C40">
        <w:rPr>
          <w:sz w:val="20"/>
          <w:lang w:val="fr-FR"/>
        </w:rPr>
        <w:tab/>
        <w:t>… la souveraineté des États, de la non-intervention dans les affaires intérieures des États et du règlement pacifique des différends, tels qu’énoncés dans la Charte des Nations Unies ainsi que dans la Charte de l’Organisation des États Américains en son article 1, lequel dispose que « L’Organisation des États Américains n’a d’autres facultés que celles que lui confère expressément la présente Charte dont aucune disposition ne l’autorise à intervenir dans des questions relevant de la juridiction interne des États membres ». Saint-Vincent-et-</w:t>
      </w:r>
      <w:r w:rsidR="00E507E3" w:rsidRPr="009C2C40">
        <w:rPr>
          <w:sz w:val="20"/>
          <w:lang w:val="fr-FR"/>
        </w:rPr>
        <w:t>les-</w:t>
      </w:r>
      <w:r w:rsidRPr="009C2C40">
        <w:rPr>
          <w:sz w:val="20"/>
          <w:lang w:val="fr-FR"/>
        </w:rPr>
        <w:t>Grenadines note la dynamique de politique locale et les autres processus en cours au Nicaragua et ne soutient pas l’intervention de l’Organisation des États américains dans des questions relevant de la « juridiction interne » de la République du Nicaragua.</w:t>
      </w:r>
    </w:p>
    <w:p w14:paraId="1EEA8256" w14:textId="77777777" w:rsidR="00D90B33" w:rsidRPr="009C2C40" w:rsidRDefault="00D90B33" w:rsidP="00C618DD">
      <w:pPr>
        <w:rPr>
          <w:sz w:val="20"/>
          <w:lang w:val="fr-FR"/>
        </w:rPr>
      </w:pPr>
    </w:p>
    <w:p w14:paraId="2596F18A" w14:textId="0156BE66" w:rsidR="00D90B33" w:rsidRPr="009C2C40" w:rsidRDefault="00D90B33" w:rsidP="00C618DD">
      <w:pPr>
        <w:rPr>
          <w:sz w:val="20"/>
          <w:lang w:val="fr-FR"/>
        </w:rPr>
      </w:pPr>
      <w:r w:rsidRPr="009C2C40">
        <w:rPr>
          <w:sz w:val="20"/>
          <w:lang w:val="fr-FR"/>
        </w:rPr>
        <w:tab/>
        <w:t>Saint-Vincent-et-</w:t>
      </w:r>
      <w:r w:rsidR="00E507E3" w:rsidRPr="009C2C40">
        <w:rPr>
          <w:sz w:val="20"/>
          <w:lang w:val="fr-FR"/>
        </w:rPr>
        <w:t>les-</w:t>
      </w:r>
      <w:r w:rsidRPr="009C2C40">
        <w:rPr>
          <w:sz w:val="20"/>
          <w:lang w:val="fr-FR"/>
        </w:rPr>
        <w:t>Grenadines rappelle que le rôle de facilitation de l’OEA doit être fondé sur la reconnaissance de ce qui précède pour que la paix, la stabilité et le bien-être général de tous les Nicaraguayens soient assurés.</w:t>
      </w:r>
    </w:p>
    <w:p w14:paraId="2ABCFBDF" w14:textId="77777777" w:rsidR="00D90B33" w:rsidRPr="009C2C40" w:rsidRDefault="00D90B33" w:rsidP="00C618DD">
      <w:pPr>
        <w:rPr>
          <w:sz w:val="20"/>
          <w:lang w:val="fr-FR"/>
        </w:rPr>
      </w:pPr>
    </w:p>
    <w:p w14:paraId="2F177174" w14:textId="77777777" w:rsidR="00D90B33" w:rsidRPr="009C2C40" w:rsidRDefault="00D90B33" w:rsidP="00C618DD">
      <w:pPr>
        <w:ind w:firstLine="720"/>
        <w:rPr>
          <w:sz w:val="20"/>
          <w:lang w:val="fr-FR"/>
        </w:rPr>
      </w:pPr>
      <w:r w:rsidRPr="009C2C40">
        <w:rPr>
          <w:sz w:val="20"/>
          <w:lang w:val="fr-FR"/>
        </w:rPr>
        <w:t>3.</w:t>
      </w:r>
      <w:r w:rsidRPr="009C2C40">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31684802" w14:textId="77777777" w:rsidR="00D90B33" w:rsidRPr="009C2C40" w:rsidRDefault="00D90B33" w:rsidP="00C618DD">
      <w:pPr>
        <w:rPr>
          <w:sz w:val="20"/>
          <w:lang w:val="fr-FR"/>
        </w:rPr>
      </w:pPr>
    </w:p>
    <w:p w14:paraId="089F388A" w14:textId="4A4D80BE" w:rsidR="00D90B33" w:rsidRPr="009C2C40" w:rsidRDefault="00D90B33" w:rsidP="00C618DD">
      <w:pPr>
        <w:ind w:firstLine="720"/>
        <w:rPr>
          <w:sz w:val="20"/>
          <w:lang w:val="fr-FR"/>
        </w:rPr>
      </w:pPr>
      <w:r w:rsidRPr="009C2C40">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5F48C85E" w14:textId="77777777" w:rsidR="00D90B33" w:rsidRPr="009C2C40" w:rsidRDefault="00D90B33" w:rsidP="00C618DD">
      <w:pPr>
        <w:rPr>
          <w:sz w:val="20"/>
          <w:lang w:val="fr-FR"/>
        </w:rPr>
      </w:pPr>
    </w:p>
    <w:p w14:paraId="063BADDF" w14:textId="77777777" w:rsidR="00D90B33" w:rsidRPr="009C2C40" w:rsidRDefault="00D90B33" w:rsidP="00C618DD">
      <w:pPr>
        <w:ind w:firstLine="720"/>
        <w:rPr>
          <w:sz w:val="20"/>
          <w:lang w:val="fr-FR"/>
        </w:rPr>
      </w:pPr>
      <w:r w:rsidRPr="009C2C40">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3A89F0D2" w14:textId="77777777" w:rsidR="00D90B33" w:rsidRPr="009C2C40" w:rsidRDefault="00D90B33" w:rsidP="00C618DD">
      <w:pPr>
        <w:rPr>
          <w:sz w:val="20"/>
          <w:lang w:val="fr-FR"/>
        </w:rPr>
      </w:pPr>
    </w:p>
    <w:p w14:paraId="58E87397" w14:textId="1A50CBD2" w:rsidR="00D90B33" w:rsidRPr="009C2C40" w:rsidRDefault="00D90B33" w:rsidP="00C618DD">
      <w:pPr>
        <w:ind w:firstLine="720"/>
        <w:rPr>
          <w:sz w:val="20"/>
          <w:lang w:val="fr-FR"/>
        </w:rPr>
      </w:pPr>
      <w:r w:rsidRPr="009C2C40">
        <w:rPr>
          <w:sz w:val="20"/>
          <w:lang w:val="fr-FR"/>
        </w:rPr>
        <w:t>4.</w:t>
      </w:r>
      <w:r w:rsidRPr="009C2C40">
        <w:rPr>
          <w:sz w:val="20"/>
          <w:lang w:val="fr-FR"/>
        </w:rPr>
        <w:tab/>
        <w:t>… participation et le vote du ou des prétendus représentants de la République bolivarienne du Venezuela pour toutes les résolutions, déclarations et élections examinées par l’Assemblée générale lors de sa cinquantième session ordinaire et par tout autre organe de l’Organisation des États Américains (OEA).</w:t>
      </w:r>
    </w:p>
    <w:p w14:paraId="68A756BF" w14:textId="77777777" w:rsidR="00D90B33" w:rsidRPr="009C2C40" w:rsidRDefault="00D90B33" w:rsidP="00C618DD">
      <w:pPr>
        <w:rPr>
          <w:sz w:val="20"/>
          <w:lang w:val="fr-FR"/>
        </w:rPr>
      </w:pPr>
    </w:p>
    <w:p w14:paraId="76B7D6FE" w14:textId="77777777" w:rsidR="00D90B33" w:rsidRPr="009C2C40" w:rsidRDefault="00D90B33" w:rsidP="00C618DD">
      <w:pPr>
        <w:ind w:firstLine="720"/>
        <w:rPr>
          <w:sz w:val="20"/>
          <w:lang w:val="fr-FR"/>
        </w:rPr>
      </w:pPr>
      <w:r w:rsidRPr="009C2C40">
        <w:rPr>
          <w:sz w:val="20"/>
          <w:lang w:val="fr-FR"/>
        </w:rPr>
        <w:t xml:space="preserve">Le Gouvernement du Commonwealth de la Dominique renouvelle également sa position, qui doit être consignée dans les actes, dans le sens des dispositions de l’article 143 de la Charte de l’OEA, lequel prévoit, entre </w:t>
      </w:r>
      <w:r w:rsidRPr="009C2C40">
        <w:rPr>
          <w:sz w:val="20"/>
          <w:lang w:val="fr-FR"/>
        </w:rPr>
        <w:lastRenderedPageBreak/>
        <w:t>autres, que la dénonciation par un État membre prendra effet deux ans après la date de réception d’un avis de dénonciation, que les effets de la Charte prendront fin pour l’État qui l’aura dénoncée, que celui-ci cessera d’être lié à l’Organisation, que l’État dénonciateur sera sans droits ni devoirs et cessera d’être lié par les mesures et les décisions prises par l’Organisation, enfin, que le Venezuela n’est plus un État membre de l’OEA et qu’il n’a donc pas le droit de siéger à l’OEA. Le Gouvernement du Commonwealth de la Dominique ne reconnaît donc aucune personne occupant le siège du Venezuela qui ne soit pas une personne dûment nommée par le Gouvernement de l’État du Venezuela.</w:t>
      </w:r>
    </w:p>
    <w:p w14:paraId="05BFC6E9" w14:textId="77777777" w:rsidR="00D90B33" w:rsidRPr="009C2C40" w:rsidRDefault="00D90B33" w:rsidP="00C618DD">
      <w:pPr>
        <w:rPr>
          <w:sz w:val="20"/>
          <w:lang w:val="fr-FR"/>
        </w:rPr>
      </w:pPr>
    </w:p>
    <w:p w14:paraId="2837D757" w14:textId="50B402E5" w:rsidR="00D41FA7" w:rsidRPr="009C2C40" w:rsidRDefault="00D90B33" w:rsidP="00C618DD">
      <w:pPr>
        <w:ind w:firstLine="720"/>
        <w:rPr>
          <w:sz w:val="20"/>
          <w:lang w:val="fr-FR"/>
        </w:rPr>
      </w:pPr>
      <w:r w:rsidRPr="009C2C40">
        <w:rPr>
          <w:sz w:val="20"/>
          <w:lang w:val="fr-FR"/>
        </w:rPr>
        <w:t>Le Gouvernement du Commonwealth de la Dominique se réserve pleinement le droit de reconnaître les résolutions et déclarations adoptées par l’Assemblée générale de l’Organisation des États Américains lors de sa cinquantième session ordinaire et toute résolution et déclaration adoptée par la suite avec la participation des prétendus représentants du Venezuela.</w:t>
      </w:r>
    </w:p>
    <w:p w14:paraId="7CFBE46F" w14:textId="77777777" w:rsidR="00D41FA7" w:rsidRPr="009C2C40" w:rsidRDefault="00D41FA7" w:rsidP="009C2C40">
      <w:pPr>
        <w:rPr>
          <w:sz w:val="20"/>
          <w:lang w:val="fr-FR"/>
        </w:rPr>
      </w:pPr>
    </w:p>
    <w:p w14:paraId="293E9D35" w14:textId="28A8061E" w:rsidR="00D90B33" w:rsidRPr="009C2C40" w:rsidRDefault="00D41FA7" w:rsidP="00C618DD">
      <w:pPr>
        <w:ind w:firstLine="720"/>
        <w:rPr>
          <w:sz w:val="20"/>
          <w:lang w:val="fr-FR"/>
        </w:rPr>
      </w:pPr>
      <w:r w:rsidRPr="009C2C40">
        <w:rPr>
          <w:sz w:val="20"/>
          <w:lang w:val="fr-FR"/>
        </w:rPr>
        <w:t>5.</w:t>
      </w:r>
      <w:r w:rsidRPr="009C2C40">
        <w:rPr>
          <w:sz w:val="20"/>
          <w:lang w:val="fr-FR"/>
        </w:rPr>
        <w:tab/>
        <w:t>… de l'Assemblée générale.</w:t>
      </w:r>
    </w:p>
    <w:p w14:paraId="6221B572" w14:textId="77777777" w:rsidR="0002025E" w:rsidRPr="009C2C40" w:rsidRDefault="0002025E" w:rsidP="009C2C40">
      <w:pPr>
        <w:outlineLvl w:val="0"/>
        <w:rPr>
          <w:szCs w:val="22"/>
          <w:lang w:val="fr-FR"/>
        </w:rPr>
      </w:pPr>
    </w:p>
    <w:p w14:paraId="423AC349" w14:textId="77777777" w:rsidR="0002025E" w:rsidRPr="0026653F" w:rsidRDefault="0002025E" w:rsidP="00C618DD">
      <w:pPr>
        <w:pStyle w:val="NormalWeb"/>
        <w:spacing w:before="0" w:after="0"/>
        <w:jc w:val="both"/>
        <w:rPr>
          <w:sz w:val="22"/>
          <w:szCs w:val="22"/>
          <w:lang w:val="fr-FR"/>
        </w:rPr>
      </w:pPr>
    </w:p>
    <w:p w14:paraId="63629E6F" w14:textId="77777777" w:rsidR="0002025E" w:rsidRPr="0026653F" w:rsidRDefault="0002025E" w:rsidP="00C618DD">
      <w:pPr>
        <w:rPr>
          <w:szCs w:val="22"/>
          <w:lang w:val="fr-FR"/>
        </w:rPr>
        <w:sectPr w:rsidR="0002025E" w:rsidRPr="0026653F" w:rsidSect="00FE7DD6">
          <w:headerReference w:type="default" r:id="rId106"/>
          <w:footerReference w:type="default" r:id="rId107"/>
          <w:headerReference w:type="first" r:id="rId108"/>
          <w:footnotePr>
            <w:numRestart w:val="eachSect"/>
          </w:footnotePr>
          <w:type w:val="oddPage"/>
          <w:pgSz w:w="12240" w:h="15840" w:code="1"/>
          <w:pgMar w:top="2160" w:right="1570" w:bottom="1296" w:left="1699" w:header="1296" w:footer="1296" w:gutter="0"/>
          <w:cols w:space="720"/>
          <w:docGrid w:linePitch="360"/>
        </w:sectPr>
      </w:pPr>
    </w:p>
    <w:p w14:paraId="5964FD23" w14:textId="123A6BEB" w:rsidR="00974CA5" w:rsidRPr="0026653F" w:rsidRDefault="007E1C52" w:rsidP="00C618DD">
      <w:pPr>
        <w:pStyle w:val="Heading1"/>
        <w:rPr>
          <w:szCs w:val="22"/>
          <w:lang w:val="fr-FR" w:eastAsia="es-MX"/>
        </w:rPr>
      </w:pPr>
      <w:bookmarkStart w:id="66" w:name="tittle"/>
      <w:bookmarkStart w:id="67" w:name="_Toc74732029"/>
      <w:r w:rsidRPr="0026653F">
        <w:rPr>
          <w:rStyle w:val="Heading1Char"/>
          <w:szCs w:val="22"/>
          <w:lang w:val="fr-FR"/>
        </w:rPr>
        <w:lastRenderedPageBreak/>
        <w:t>AG/RES. 2963 (L-O/20)</w:t>
      </w:r>
      <w:r w:rsidRPr="0026653F">
        <w:rPr>
          <w:rStyle w:val="Heading1Char"/>
          <w:szCs w:val="22"/>
          <w:lang w:val="fr-FR"/>
        </w:rPr>
        <w:br/>
      </w:r>
      <w:r w:rsidRPr="0026653F">
        <w:rPr>
          <w:rStyle w:val="Heading1Char"/>
          <w:szCs w:val="22"/>
          <w:lang w:val="fr-FR"/>
        </w:rPr>
        <w:br/>
      </w:r>
      <w:bookmarkEnd w:id="66"/>
      <w:r w:rsidR="00974CA5" w:rsidRPr="0026653F">
        <w:rPr>
          <w:szCs w:val="22"/>
          <w:lang w:val="fr-FR"/>
        </w:rPr>
        <w:t xml:space="preserve">L’ABSENCE DE CONDITIONS DÉMOCRATIQUES MINIMALES POUR GARANTIR </w:t>
      </w:r>
      <w:r w:rsidR="004B63F1">
        <w:rPr>
          <w:szCs w:val="22"/>
          <w:lang w:val="fr-FR"/>
        </w:rPr>
        <w:br/>
      </w:r>
      <w:r w:rsidR="00974CA5" w:rsidRPr="0026653F">
        <w:rPr>
          <w:szCs w:val="22"/>
          <w:lang w:val="fr-FR"/>
        </w:rPr>
        <w:t xml:space="preserve">DES ÉLECTIONS LIBRES, RÉGULIÈRES ET TRANSPARENTES EN </w:t>
      </w:r>
      <w:r w:rsidR="004B63F1">
        <w:rPr>
          <w:szCs w:val="22"/>
          <w:lang w:val="fr-FR"/>
        </w:rPr>
        <w:br/>
      </w:r>
      <w:r w:rsidR="00974CA5" w:rsidRPr="0026653F">
        <w:rPr>
          <w:szCs w:val="22"/>
          <w:lang w:val="fr-FR"/>
        </w:rPr>
        <w:t>RÉPUBLIQUE BOLIVARIENNE DU VENEZUELA</w:t>
      </w:r>
      <w:r w:rsidR="00974CA5" w:rsidRPr="0026653F">
        <w:rPr>
          <w:szCs w:val="22"/>
          <w:u w:val="single"/>
          <w:vertAlign w:val="superscript"/>
          <w:lang w:val="fr-FR"/>
        </w:rPr>
        <w:footnoteReference w:id="117"/>
      </w:r>
      <w:r w:rsidR="00974CA5" w:rsidRPr="0026653F">
        <w:rPr>
          <w:szCs w:val="22"/>
          <w:vertAlign w:val="superscript"/>
          <w:lang w:val="fr-FR"/>
        </w:rPr>
        <w:t>/</w:t>
      </w:r>
      <w:r w:rsidR="00974CA5" w:rsidRPr="0026653F">
        <w:rPr>
          <w:szCs w:val="22"/>
          <w:u w:val="single"/>
          <w:vertAlign w:val="superscript"/>
          <w:lang w:val="fr-FR"/>
        </w:rPr>
        <w:footnoteReference w:id="118"/>
      </w:r>
      <w:r w:rsidR="00974CA5" w:rsidRPr="0026653F">
        <w:rPr>
          <w:szCs w:val="22"/>
          <w:vertAlign w:val="superscript"/>
          <w:lang w:val="fr-FR"/>
        </w:rPr>
        <w:t>/</w:t>
      </w:r>
      <w:r w:rsidR="00974CA5" w:rsidRPr="0026653F">
        <w:rPr>
          <w:szCs w:val="22"/>
          <w:u w:val="single"/>
          <w:vertAlign w:val="superscript"/>
          <w:lang w:val="fr-FR"/>
        </w:rPr>
        <w:footnoteReference w:id="119"/>
      </w:r>
      <w:r w:rsidR="00974CA5" w:rsidRPr="0026653F">
        <w:rPr>
          <w:szCs w:val="22"/>
          <w:vertAlign w:val="superscript"/>
          <w:lang w:val="fr-FR"/>
        </w:rPr>
        <w:t>/</w:t>
      </w:r>
      <w:r w:rsidR="00974CA5" w:rsidRPr="0026653F">
        <w:rPr>
          <w:szCs w:val="22"/>
          <w:u w:val="single"/>
          <w:vertAlign w:val="superscript"/>
          <w:lang w:val="fr-FR"/>
        </w:rPr>
        <w:footnoteReference w:id="120"/>
      </w:r>
      <w:r w:rsidR="00974CA5" w:rsidRPr="0026653F">
        <w:rPr>
          <w:szCs w:val="22"/>
          <w:vertAlign w:val="superscript"/>
          <w:lang w:val="fr-FR"/>
        </w:rPr>
        <w:t>/</w:t>
      </w:r>
      <w:r w:rsidR="00B263D2" w:rsidRPr="0026653F">
        <w:rPr>
          <w:rStyle w:val="FootnoteReference"/>
          <w:szCs w:val="22"/>
          <w:u w:val="single"/>
          <w:vertAlign w:val="superscript"/>
          <w:lang w:val="fr-FR"/>
        </w:rPr>
        <w:footnoteReference w:id="121"/>
      </w:r>
      <w:r w:rsidR="00B263D2" w:rsidRPr="0026653F">
        <w:rPr>
          <w:szCs w:val="22"/>
          <w:vertAlign w:val="superscript"/>
          <w:lang w:val="fr-FR"/>
        </w:rPr>
        <w:t>/</w:t>
      </w:r>
      <w:bookmarkEnd w:id="67"/>
    </w:p>
    <w:p w14:paraId="12500860" w14:textId="77777777" w:rsidR="00974CA5" w:rsidRPr="0026653F" w:rsidRDefault="00974CA5" w:rsidP="004B63F1">
      <w:pPr>
        <w:rPr>
          <w:szCs w:val="22"/>
          <w:lang w:val="fr-FR" w:eastAsia="zh-CN"/>
        </w:rPr>
      </w:pPr>
    </w:p>
    <w:p w14:paraId="235E0A7E" w14:textId="77777777" w:rsidR="00974CA5" w:rsidRPr="0026653F" w:rsidRDefault="00974CA5" w:rsidP="00C618DD">
      <w:pPr>
        <w:jc w:val="center"/>
        <w:rPr>
          <w:szCs w:val="22"/>
          <w:lang w:val="fr-FR" w:eastAsia="zh-CN"/>
        </w:rPr>
      </w:pPr>
      <w:r w:rsidRPr="0026653F">
        <w:rPr>
          <w:szCs w:val="22"/>
          <w:lang w:val="fr-FR" w:eastAsia="zh-CN"/>
        </w:rPr>
        <w:t>(</w:t>
      </w:r>
      <w:r w:rsidRPr="0026653F">
        <w:rPr>
          <w:bCs/>
          <w:color w:val="000000"/>
          <w:szCs w:val="22"/>
          <w:lang w:val="fr-FR" w:eastAsia="es-ES"/>
        </w:rPr>
        <w:t xml:space="preserve">Résolution adoptée à la quatrième séance plénière, le </w:t>
      </w:r>
      <w:r w:rsidRPr="0026653F">
        <w:rPr>
          <w:szCs w:val="22"/>
          <w:lang w:val="fr-FR"/>
        </w:rPr>
        <w:t>21 octobre 2020</w:t>
      </w:r>
      <w:r w:rsidRPr="0026653F">
        <w:rPr>
          <w:szCs w:val="22"/>
          <w:lang w:val="fr-FR" w:eastAsia="zh-CN"/>
        </w:rPr>
        <w:t>)</w:t>
      </w:r>
    </w:p>
    <w:p w14:paraId="69C53F6A" w14:textId="77777777" w:rsidR="00974CA5" w:rsidRPr="0026653F" w:rsidRDefault="00974CA5" w:rsidP="00C618DD">
      <w:pPr>
        <w:rPr>
          <w:szCs w:val="22"/>
          <w:lang w:val="fr-FR"/>
        </w:rPr>
      </w:pPr>
    </w:p>
    <w:p w14:paraId="4F1EB5D3" w14:textId="77777777" w:rsidR="00974CA5" w:rsidRPr="0026653F" w:rsidRDefault="00974CA5" w:rsidP="00C618DD">
      <w:pPr>
        <w:rPr>
          <w:bCs/>
          <w:szCs w:val="22"/>
          <w:lang w:val="fr-FR"/>
        </w:rPr>
      </w:pPr>
    </w:p>
    <w:p w14:paraId="68324434" w14:textId="77777777" w:rsidR="00974CA5" w:rsidRPr="0026653F" w:rsidRDefault="00974CA5" w:rsidP="00C618DD">
      <w:pPr>
        <w:ind w:firstLine="720"/>
        <w:rPr>
          <w:bCs/>
          <w:szCs w:val="22"/>
          <w:lang w:val="fr-FR"/>
        </w:rPr>
      </w:pPr>
      <w:r w:rsidRPr="0026653F">
        <w:rPr>
          <w:bCs/>
          <w:szCs w:val="22"/>
          <w:lang w:val="fr-FR"/>
        </w:rPr>
        <w:t>L’ASSEMBLÉE GÉNÉRALE,</w:t>
      </w:r>
    </w:p>
    <w:p w14:paraId="6B6F75F3" w14:textId="77777777" w:rsidR="00974CA5" w:rsidRPr="0026653F" w:rsidRDefault="00974CA5" w:rsidP="00C618DD">
      <w:pPr>
        <w:rPr>
          <w:bCs/>
          <w:szCs w:val="22"/>
          <w:lang w:val="fr-FR"/>
        </w:rPr>
      </w:pPr>
    </w:p>
    <w:p w14:paraId="2E0CDD2B" w14:textId="0AEEBF08" w:rsidR="00974CA5" w:rsidRPr="0026653F" w:rsidRDefault="00974CA5" w:rsidP="00C618DD">
      <w:pPr>
        <w:ind w:firstLine="720"/>
        <w:rPr>
          <w:szCs w:val="22"/>
          <w:lang w:val="fr-FR"/>
        </w:rPr>
      </w:pPr>
      <w:r w:rsidRPr="0026653F">
        <w:rPr>
          <w:bCs/>
          <w:szCs w:val="22"/>
          <w:lang w:val="fr-FR"/>
        </w:rPr>
        <w:t>RAPPELANT</w:t>
      </w:r>
      <w:r w:rsidRPr="0026653F">
        <w:rPr>
          <w:szCs w:val="22"/>
          <w:lang w:val="fr-FR"/>
        </w:rPr>
        <w:t xml:space="preserve"> la Charte démocratique interaméricaine, la résolution AG/RES. 2944 (XLIX-O/19) </w:t>
      </w:r>
      <w:r w:rsidR="00464889" w:rsidRPr="0026653F">
        <w:rPr>
          <w:szCs w:val="22"/>
          <w:lang w:val="fr-FR"/>
        </w:rPr>
        <w:t xml:space="preserve">de l’Assemblée générale </w:t>
      </w:r>
      <w:r w:rsidRPr="0026653F">
        <w:rPr>
          <w:szCs w:val="22"/>
          <w:lang w:val="fr-FR"/>
        </w:rPr>
        <w:t>ainsi que les résolutions CP/RES. 1156 (2291/20), CP/RES. 1143 (2269/20) et CP/RES. 1117 (2200/19) du Conseil permanent,</w:t>
      </w:r>
    </w:p>
    <w:p w14:paraId="3E8D980F" w14:textId="664AC93F" w:rsidR="00974CA5" w:rsidRPr="0026653F" w:rsidRDefault="00974CA5" w:rsidP="00C618DD">
      <w:pPr>
        <w:rPr>
          <w:szCs w:val="22"/>
          <w:lang w:val="fr-FR"/>
        </w:rPr>
      </w:pPr>
    </w:p>
    <w:p w14:paraId="590F3E55" w14:textId="77777777" w:rsidR="00974CA5" w:rsidRPr="0026653F" w:rsidRDefault="00974CA5" w:rsidP="00C618DD">
      <w:pPr>
        <w:ind w:firstLine="720"/>
        <w:rPr>
          <w:szCs w:val="22"/>
          <w:lang w:val="fr-FR"/>
        </w:rPr>
      </w:pPr>
      <w:r w:rsidRPr="0026653F">
        <w:rPr>
          <w:bCs/>
          <w:szCs w:val="22"/>
          <w:lang w:val="fr-FR"/>
        </w:rPr>
        <w:t>SOULIGNANT</w:t>
      </w:r>
      <w:r w:rsidRPr="0026653F">
        <w:rPr>
          <w:szCs w:val="22"/>
          <w:lang w:val="fr-FR"/>
        </w:rPr>
        <w:t xml:space="preserve"> la détérioration continue des conditions politiques, sociales, économiques et humanitaires en République bolivarienne du Venezuela, aggravées par la propagation de la pandémie de COVID-19,</w:t>
      </w:r>
    </w:p>
    <w:p w14:paraId="38D71646" w14:textId="77777777" w:rsidR="00974CA5" w:rsidRPr="0026653F" w:rsidRDefault="00974CA5" w:rsidP="00C618DD">
      <w:pPr>
        <w:rPr>
          <w:szCs w:val="22"/>
          <w:lang w:val="fr-FR"/>
        </w:rPr>
      </w:pPr>
    </w:p>
    <w:p w14:paraId="2E7E5BA4" w14:textId="77777777" w:rsidR="00974CA5" w:rsidRPr="0026653F" w:rsidRDefault="00974CA5" w:rsidP="00C618DD">
      <w:pPr>
        <w:ind w:firstLine="720"/>
        <w:rPr>
          <w:szCs w:val="22"/>
          <w:lang w:val="fr-FR"/>
        </w:rPr>
      </w:pPr>
      <w:r w:rsidRPr="0026653F">
        <w:rPr>
          <w:bCs/>
          <w:szCs w:val="22"/>
          <w:lang w:val="fr-FR"/>
        </w:rPr>
        <w:t xml:space="preserve">AFFIRMANT </w:t>
      </w:r>
      <w:r w:rsidRPr="0026653F">
        <w:rPr>
          <w:szCs w:val="22"/>
          <w:lang w:val="fr-FR"/>
        </w:rPr>
        <w:t>sa profonde préoccupation et son rejet des manœuvres de contrôle exercées par le régime illégitime de Nicolás Maduro, qui s’est emparé d’institutions démocratiques essentielles, portant ainsi atteinte à la séparation et à l’indépendance des pouvoirs publics, en violation grave de la Constitution de la République bolivarienne du Venezuela et de la Charte démocratique interaméricaine,</w:t>
      </w:r>
    </w:p>
    <w:p w14:paraId="408E5EBF" w14:textId="77777777" w:rsidR="00974CA5" w:rsidRPr="0026653F" w:rsidRDefault="00974CA5" w:rsidP="00C618DD">
      <w:pPr>
        <w:rPr>
          <w:szCs w:val="22"/>
          <w:lang w:val="fr-FR"/>
        </w:rPr>
      </w:pPr>
    </w:p>
    <w:p w14:paraId="30D599C2" w14:textId="77777777" w:rsidR="00974CA5" w:rsidRPr="0026653F" w:rsidRDefault="00974CA5" w:rsidP="00C618DD">
      <w:pPr>
        <w:ind w:firstLine="720"/>
        <w:rPr>
          <w:szCs w:val="22"/>
          <w:lang w:val="fr-FR"/>
        </w:rPr>
      </w:pPr>
      <w:r w:rsidRPr="0026653F">
        <w:rPr>
          <w:bCs/>
          <w:szCs w:val="22"/>
          <w:lang w:val="fr-FR"/>
        </w:rPr>
        <w:t>GARDANT À L’ESPRIT</w:t>
      </w:r>
      <w:r w:rsidRPr="0026653F">
        <w:rPr>
          <w:szCs w:val="22"/>
          <w:lang w:val="fr-FR"/>
        </w:rPr>
        <w:t xml:space="preserve"> que l’Assemblée nationale de la République bolivarienne du Venezuela continue d’être la seule institution légitime et démocratiquement élue au Venezuela,</w:t>
      </w:r>
    </w:p>
    <w:p w14:paraId="0D786F30" w14:textId="77777777" w:rsidR="00974CA5" w:rsidRPr="0026653F" w:rsidRDefault="00974CA5" w:rsidP="00C618DD">
      <w:pPr>
        <w:rPr>
          <w:szCs w:val="22"/>
          <w:lang w:val="fr-FR"/>
        </w:rPr>
      </w:pPr>
    </w:p>
    <w:p w14:paraId="604E3165" w14:textId="77777777" w:rsidR="00974CA5" w:rsidRPr="0026653F" w:rsidRDefault="00974CA5" w:rsidP="00C618DD">
      <w:pPr>
        <w:ind w:firstLine="720"/>
        <w:rPr>
          <w:szCs w:val="22"/>
          <w:lang w:val="fr-FR"/>
        </w:rPr>
      </w:pPr>
      <w:r w:rsidRPr="0026653F">
        <w:rPr>
          <w:bCs/>
          <w:szCs w:val="22"/>
          <w:lang w:val="fr-FR"/>
        </w:rPr>
        <w:t xml:space="preserve">DÉCLARANT, </w:t>
      </w:r>
      <w:r w:rsidRPr="0026653F">
        <w:rPr>
          <w:szCs w:val="22"/>
          <w:lang w:val="fr-FR"/>
        </w:rPr>
        <w:t>avec une vive préoccupation, que les actions menées par le régime illégitime de Nicolás Maduro violent les lois nationales, en compromettant le processus électoral et en menaçant d’éliminer l’Assemblée nationale légitime, dernier espace démocratique et institutionnel par lequel les demandes de la société vénézuélienne sont transmises et peuvent se faire entendre,</w:t>
      </w:r>
    </w:p>
    <w:p w14:paraId="32C9C8EF" w14:textId="77777777" w:rsidR="00974CA5" w:rsidRPr="0026653F" w:rsidRDefault="00974CA5" w:rsidP="00C618DD">
      <w:pPr>
        <w:rPr>
          <w:bCs/>
          <w:szCs w:val="22"/>
          <w:lang w:val="fr-FR"/>
        </w:rPr>
      </w:pPr>
    </w:p>
    <w:p w14:paraId="022E391E" w14:textId="77777777" w:rsidR="00974CA5" w:rsidRPr="0026653F" w:rsidRDefault="00974CA5" w:rsidP="00C618DD">
      <w:pPr>
        <w:rPr>
          <w:bCs/>
          <w:szCs w:val="22"/>
          <w:lang w:val="fr-FR"/>
        </w:rPr>
      </w:pPr>
      <w:r w:rsidRPr="0026653F">
        <w:rPr>
          <w:bCs/>
          <w:szCs w:val="22"/>
          <w:lang w:val="fr-FR"/>
        </w:rPr>
        <w:t>DÉCIDE :</w:t>
      </w:r>
    </w:p>
    <w:p w14:paraId="4251E188" w14:textId="77777777" w:rsidR="00974CA5" w:rsidRPr="0026653F" w:rsidRDefault="00974CA5" w:rsidP="00C618DD">
      <w:pPr>
        <w:contextualSpacing/>
        <w:rPr>
          <w:szCs w:val="22"/>
          <w:lang w:val="fr-FR"/>
        </w:rPr>
      </w:pPr>
    </w:p>
    <w:p w14:paraId="5A45E9A3" w14:textId="0D6A9F89" w:rsidR="00974CA5" w:rsidRPr="0026653F" w:rsidRDefault="00974CA5" w:rsidP="00C618DD">
      <w:pPr>
        <w:rPr>
          <w:szCs w:val="22"/>
          <w:lang w:val="fr-FR"/>
        </w:rPr>
      </w:pPr>
      <w:r w:rsidRPr="0026653F">
        <w:rPr>
          <w:szCs w:val="22"/>
          <w:lang w:val="fr-FR"/>
        </w:rPr>
        <w:tab/>
        <w:t>1.</w:t>
      </w:r>
      <w:r w:rsidRPr="0026653F">
        <w:rPr>
          <w:szCs w:val="22"/>
          <w:lang w:val="fr-FR"/>
        </w:rPr>
        <w:tab/>
        <w:t xml:space="preserve">De condamner </w:t>
      </w:r>
      <w:r w:rsidR="00464889" w:rsidRPr="0026653F">
        <w:rPr>
          <w:szCs w:val="22"/>
          <w:lang w:val="fr-FR"/>
        </w:rPr>
        <w:t xml:space="preserve">dans les termes les plus énergiques </w:t>
      </w:r>
      <w:r w:rsidRPr="0026653F">
        <w:rPr>
          <w:szCs w:val="22"/>
          <w:lang w:val="fr-FR"/>
        </w:rPr>
        <w:t>les actions du régime illégitime de Nicolás Maduro qui portent atteinte au système démocratique et à la séparation des pouvoirs</w:t>
      </w:r>
      <w:r w:rsidR="00464889" w:rsidRPr="0026653F">
        <w:rPr>
          <w:szCs w:val="22"/>
          <w:lang w:val="fr-FR"/>
        </w:rPr>
        <w:t xml:space="preserve"> au moyen du </w:t>
      </w:r>
      <w:r w:rsidRPr="0026653F">
        <w:rPr>
          <w:szCs w:val="22"/>
          <w:lang w:val="fr-FR"/>
        </w:rPr>
        <w:t xml:space="preserve">contrôle de la Cour suprême de justice et l’usurpation des fonctions constitutionnelles de </w:t>
      </w:r>
      <w:r w:rsidRPr="0026653F">
        <w:rPr>
          <w:szCs w:val="22"/>
          <w:lang w:val="fr-FR"/>
        </w:rPr>
        <w:lastRenderedPageBreak/>
        <w:t>l’Assemblée nationale pour, entre autres, légiférer en matière électorale et nommer les membres du Conseil national électoral, ce qui compromet clairement les conditions minimales pour garantir la tenue de processus électoraux démocratiques, conformément aux normes internationales.</w:t>
      </w:r>
    </w:p>
    <w:p w14:paraId="4720EAC8" w14:textId="77777777" w:rsidR="00974CA5" w:rsidRPr="0026653F" w:rsidRDefault="00974CA5" w:rsidP="00C618DD">
      <w:pPr>
        <w:contextualSpacing/>
        <w:rPr>
          <w:szCs w:val="22"/>
          <w:lang w:val="fr-FR"/>
        </w:rPr>
      </w:pPr>
    </w:p>
    <w:p w14:paraId="54DBC8F5" w14:textId="77777777" w:rsidR="00974CA5" w:rsidRPr="0026653F" w:rsidRDefault="00974CA5" w:rsidP="00C618DD">
      <w:pPr>
        <w:rPr>
          <w:szCs w:val="22"/>
          <w:lang w:val="fr-FR"/>
        </w:rPr>
      </w:pPr>
      <w:r w:rsidRPr="0026653F">
        <w:rPr>
          <w:szCs w:val="22"/>
          <w:lang w:val="fr-FR"/>
        </w:rPr>
        <w:tab/>
        <w:t>2.</w:t>
      </w:r>
      <w:r w:rsidRPr="0026653F">
        <w:rPr>
          <w:szCs w:val="22"/>
          <w:lang w:val="fr-FR"/>
        </w:rPr>
        <w:tab/>
        <w:t>De déclarer que la reconnaissance des élections à l’Assemblée nationale du Venezuela dépendra de l’établissement des conditions nécessaires de liberté, de justice, d’impartialité et de transparence, garantissant la participation de tous les acteurs politiques et des citoyens, la libération des prisonniers politiques, des délais raisonnables pour la tenue du scrutin ainsi qu’une observation des élections internationale, indépendante et crédible.</w:t>
      </w:r>
    </w:p>
    <w:p w14:paraId="0EB931BA" w14:textId="77777777" w:rsidR="00974CA5" w:rsidRPr="0026653F" w:rsidRDefault="00974CA5" w:rsidP="00C618DD">
      <w:pPr>
        <w:contextualSpacing/>
        <w:jc w:val="left"/>
        <w:rPr>
          <w:szCs w:val="22"/>
          <w:lang w:val="fr-FR"/>
        </w:rPr>
      </w:pPr>
    </w:p>
    <w:p w14:paraId="71B5746D" w14:textId="0E610CD3" w:rsidR="00974CA5" w:rsidRPr="0026653F" w:rsidRDefault="00974CA5" w:rsidP="00C618DD">
      <w:pPr>
        <w:rPr>
          <w:szCs w:val="22"/>
          <w:lang w:val="fr-FR"/>
        </w:rPr>
      </w:pPr>
      <w:r w:rsidRPr="0026653F">
        <w:rPr>
          <w:szCs w:val="22"/>
          <w:lang w:val="fr-FR"/>
        </w:rPr>
        <w:tab/>
        <w:t>3.</w:t>
      </w:r>
      <w:r w:rsidRPr="0026653F">
        <w:rPr>
          <w:szCs w:val="22"/>
          <w:lang w:val="fr-FR"/>
        </w:rPr>
        <w:tab/>
        <w:t xml:space="preserve">De se féliciter de la publication du rapport, le 16 septembre 2020, de la Mission internationale indépendante d’établissement des faits des Nations </w:t>
      </w:r>
      <w:r w:rsidR="00464889" w:rsidRPr="0026653F">
        <w:rPr>
          <w:szCs w:val="22"/>
          <w:lang w:val="fr-FR"/>
        </w:rPr>
        <w:t>U</w:t>
      </w:r>
      <w:r w:rsidRPr="0026653F">
        <w:rPr>
          <w:szCs w:val="22"/>
          <w:lang w:val="fr-FR"/>
        </w:rPr>
        <w:t>nies sur la République bolivarienne du Venezuela et de réaffirmer l’importance de la mise en œuvre immédiate et complète des recommandations qui y sont contenues, y compris pour enquêter sur les violations des droits de la personne et mettre fin à l’usage excessif de la force, aux exécutions extrajudiciaires, aux disparitions forcées, aux détentions arbitraires et à la torture.</w:t>
      </w:r>
    </w:p>
    <w:p w14:paraId="59405ADA" w14:textId="77777777" w:rsidR="00974CA5" w:rsidRPr="0026653F" w:rsidRDefault="00974CA5" w:rsidP="00C618DD">
      <w:pPr>
        <w:contextualSpacing/>
        <w:jc w:val="left"/>
        <w:rPr>
          <w:szCs w:val="22"/>
          <w:lang w:val="fr-FR"/>
        </w:rPr>
      </w:pPr>
    </w:p>
    <w:p w14:paraId="14EA54B5" w14:textId="4E76F5B4" w:rsidR="00974CA5" w:rsidRPr="0026653F" w:rsidRDefault="00974CA5" w:rsidP="00C618DD">
      <w:pPr>
        <w:rPr>
          <w:szCs w:val="22"/>
          <w:lang w:val="fr-FR"/>
        </w:rPr>
      </w:pPr>
      <w:r w:rsidRPr="0026653F">
        <w:rPr>
          <w:szCs w:val="22"/>
          <w:lang w:val="fr-FR"/>
        </w:rPr>
        <w:tab/>
        <w:t>4.</w:t>
      </w:r>
      <w:r w:rsidRPr="0026653F">
        <w:rPr>
          <w:szCs w:val="22"/>
          <w:lang w:val="fr-FR"/>
        </w:rPr>
        <w:tab/>
        <w:t xml:space="preserve">De lancer un appel fort pour la protection des membres de l’Assemblée nationale légitime, et </w:t>
      </w:r>
      <w:r w:rsidR="00464889" w:rsidRPr="0026653F">
        <w:rPr>
          <w:szCs w:val="22"/>
          <w:lang w:val="fr-FR"/>
        </w:rPr>
        <w:t>d’</w:t>
      </w:r>
      <w:r w:rsidRPr="0026653F">
        <w:rPr>
          <w:szCs w:val="22"/>
          <w:lang w:val="fr-FR"/>
        </w:rPr>
        <w:t>exiger la libération rapide de tous les prisonniers politiques et la clôture des procédures judiciaires les concernant, la fin des arrestations arbitraires, des détentions et du harcèlement des citoyens, ainsi que le retour en toute sécurité des membres de l’opposition qui sont en exil.</w:t>
      </w:r>
    </w:p>
    <w:p w14:paraId="7CC072BA" w14:textId="77777777" w:rsidR="00974CA5" w:rsidRPr="0026653F" w:rsidRDefault="00974CA5" w:rsidP="00C618DD">
      <w:pPr>
        <w:contextualSpacing/>
        <w:jc w:val="left"/>
        <w:rPr>
          <w:szCs w:val="22"/>
          <w:lang w:val="fr-FR"/>
        </w:rPr>
      </w:pPr>
    </w:p>
    <w:p w14:paraId="7DFE34A4" w14:textId="77777777" w:rsidR="00974CA5" w:rsidRPr="0026653F" w:rsidRDefault="00974CA5" w:rsidP="00C618DD">
      <w:pPr>
        <w:rPr>
          <w:szCs w:val="22"/>
          <w:lang w:val="fr-FR"/>
        </w:rPr>
      </w:pPr>
      <w:r w:rsidRPr="0026653F">
        <w:rPr>
          <w:szCs w:val="22"/>
          <w:lang w:val="fr-FR"/>
        </w:rPr>
        <w:tab/>
        <w:t>5.</w:t>
      </w:r>
      <w:r w:rsidRPr="0026653F">
        <w:rPr>
          <w:szCs w:val="22"/>
          <w:lang w:val="fr-FR"/>
        </w:rPr>
        <w:tab/>
        <w:t>D’exiger un accès complet et sans entrave pour permettre l’acheminement de l’aide humanitaire aux populations les plus vulnérables et les plus touchées par la crise au Venezuela, conformément aux principes humanitaires convenus.</w:t>
      </w:r>
    </w:p>
    <w:p w14:paraId="1C366726" w14:textId="77777777" w:rsidR="00974CA5" w:rsidRPr="0026653F" w:rsidRDefault="00974CA5" w:rsidP="00C618DD">
      <w:pPr>
        <w:contextualSpacing/>
        <w:jc w:val="left"/>
        <w:rPr>
          <w:szCs w:val="22"/>
          <w:lang w:val="fr-FR"/>
        </w:rPr>
      </w:pPr>
    </w:p>
    <w:p w14:paraId="6E1FE21C" w14:textId="44BCD74D" w:rsidR="00974CA5" w:rsidRPr="0026653F" w:rsidRDefault="00974CA5" w:rsidP="00C618DD">
      <w:pPr>
        <w:rPr>
          <w:szCs w:val="22"/>
          <w:lang w:val="fr-FR"/>
        </w:rPr>
      </w:pPr>
      <w:r w:rsidRPr="0026653F">
        <w:rPr>
          <w:szCs w:val="22"/>
          <w:lang w:val="fr-FR"/>
        </w:rPr>
        <w:tab/>
        <w:t>6.</w:t>
      </w:r>
      <w:r w:rsidRPr="0026653F">
        <w:rPr>
          <w:szCs w:val="22"/>
          <w:lang w:val="fr-FR"/>
        </w:rPr>
        <w:tab/>
        <w:t>De rejeter l’ingérence dans le fonctionnement des partis politiques par le régime illégitime de Maduro, qui cherche à porter atteinte à leur indépendance et à la pluralité des partis et organisations politiques, lesquels constituent des éléments essentiels de la démocratie représentative conformément à l’article 3 de la Charte démocratique interaméricaine.</w:t>
      </w:r>
    </w:p>
    <w:p w14:paraId="58324D0C" w14:textId="77777777" w:rsidR="00974CA5" w:rsidRPr="0026653F" w:rsidRDefault="00974CA5" w:rsidP="00C618DD">
      <w:pPr>
        <w:contextualSpacing/>
        <w:jc w:val="left"/>
        <w:rPr>
          <w:szCs w:val="22"/>
          <w:lang w:val="fr-FR"/>
        </w:rPr>
      </w:pPr>
    </w:p>
    <w:p w14:paraId="1CC2AF63" w14:textId="1B9C87CE" w:rsidR="00974CA5" w:rsidRPr="0026653F" w:rsidRDefault="00974CA5" w:rsidP="00C618DD">
      <w:pPr>
        <w:rPr>
          <w:szCs w:val="22"/>
          <w:lang w:val="fr-FR"/>
        </w:rPr>
      </w:pPr>
      <w:r w:rsidRPr="0026653F">
        <w:rPr>
          <w:szCs w:val="22"/>
          <w:lang w:val="fr-FR"/>
        </w:rPr>
        <w:tab/>
        <w:t>7.</w:t>
      </w:r>
      <w:r w:rsidRPr="0026653F">
        <w:rPr>
          <w:szCs w:val="22"/>
          <w:lang w:val="fr-FR"/>
        </w:rPr>
        <w:tab/>
        <w:t xml:space="preserve">De demander instamment la convocation, dans les meilleurs délais, d’une élection présidentielle libre, </w:t>
      </w:r>
      <w:r w:rsidR="00464889" w:rsidRPr="0026653F">
        <w:rPr>
          <w:szCs w:val="22"/>
          <w:lang w:val="fr-FR"/>
        </w:rPr>
        <w:t xml:space="preserve">juste, </w:t>
      </w:r>
      <w:r w:rsidRPr="0026653F">
        <w:rPr>
          <w:szCs w:val="22"/>
          <w:lang w:val="fr-FR"/>
        </w:rPr>
        <w:t>transparente et légitime, sous observation internationale indépendante et crédible, conduisant à la nomination d’un gouvernement démocratiquement élu conformément à la volonté du peuple vénézuélien.</w:t>
      </w:r>
    </w:p>
    <w:p w14:paraId="73CF1D43" w14:textId="77777777" w:rsidR="00974CA5" w:rsidRPr="0026653F" w:rsidRDefault="00974CA5" w:rsidP="00C618DD">
      <w:pPr>
        <w:contextualSpacing/>
        <w:jc w:val="left"/>
        <w:rPr>
          <w:szCs w:val="22"/>
          <w:lang w:val="fr-FR"/>
        </w:rPr>
      </w:pPr>
    </w:p>
    <w:p w14:paraId="6BA28B4C" w14:textId="5F12B3B7" w:rsidR="00974CA5" w:rsidRPr="0026653F" w:rsidRDefault="00974CA5" w:rsidP="00C618DD">
      <w:pPr>
        <w:rPr>
          <w:szCs w:val="22"/>
          <w:lang w:val="fr-FR"/>
        </w:rPr>
      </w:pPr>
      <w:r w:rsidRPr="0026653F">
        <w:rPr>
          <w:szCs w:val="22"/>
          <w:lang w:val="fr-FR"/>
        </w:rPr>
        <w:tab/>
        <w:t>8.</w:t>
      </w:r>
      <w:r w:rsidRPr="0026653F">
        <w:rPr>
          <w:szCs w:val="22"/>
          <w:lang w:val="fr-FR"/>
        </w:rPr>
        <w:tab/>
        <w:t>De réaffirmer la légitimité de l’Assemblée nationale démocratiquement élue et de renforcer le soutien aux acteurs démocratiques de la République bolivarienne du Venezuela dans les efforts qu’ils déploient en vue d’un rétablissement pacifique de la démocratie conformément à la Constitution du Venezuela.</w:t>
      </w:r>
    </w:p>
    <w:p w14:paraId="55C6DB78" w14:textId="77777777" w:rsidR="00974CA5" w:rsidRPr="0026653F" w:rsidRDefault="00974CA5" w:rsidP="00C618DD">
      <w:pPr>
        <w:rPr>
          <w:szCs w:val="22"/>
          <w:lang w:val="fr-FR"/>
        </w:rPr>
      </w:pPr>
    </w:p>
    <w:p w14:paraId="48DE63FC" w14:textId="77777777" w:rsidR="00974CA5" w:rsidRPr="0026653F" w:rsidRDefault="00974CA5" w:rsidP="00C618DD">
      <w:pPr>
        <w:rPr>
          <w:szCs w:val="22"/>
          <w:lang w:val="fr-FR"/>
        </w:rPr>
      </w:pPr>
      <w:r w:rsidRPr="0026653F">
        <w:rPr>
          <w:szCs w:val="22"/>
          <w:lang w:val="fr-FR"/>
        </w:rPr>
        <w:tab/>
        <w:t>9.</w:t>
      </w:r>
      <w:r w:rsidRPr="0026653F">
        <w:rPr>
          <w:szCs w:val="22"/>
          <w:lang w:val="fr-FR"/>
        </w:rPr>
        <w:tab/>
        <w:t>De demander au Secrétaire général de présenter régulièrement au Conseil permanent des rapports sur la situation en République bolivarienne du Venezuela et sur le respect de la présente résolution et d’autres résolutions sur la question, en y formulant des recommandations pertinentes.</w:t>
      </w:r>
    </w:p>
    <w:p w14:paraId="16AE88C6" w14:textId="77777777" w:rsidR="00974CA5" w:rsidRPr="0026653F" w:rsidRDefault="00974CA5" w:rsidP="00C618DD">
      <w:pPr>
        <w:contextualSpacing/>
        <w:jc w:val="left"/>
        <w:rPr>
          <w:szCs w:val="22"/>
          <w:lang w:val="fr-FR"/>
        </w:rPr>
      </w:pPr>
    </w:p>
    <w:p w14:paraId="40C1DFAF" w14:textId="77777777" w:rsidR="00974CA5" w:rsidRPr="0026653F" w:rsidRDefault="00974CA5" w:rsidP="00C618DD">
      <w:pPr>
        <w:rPr>
          <w:szCs w:val="22"/>
          <w:lang w:val="fr-FR"/>
        </w:rPr>
      </w:pPr>
      <w:r w:rsidRPr="0026653F">
        <w:rPr>
          <w:szCs w:val="22"/>
          <w:lang w:val="fr-FR"/>
        </w:rPr>
        <w:tab/>
        <w:t>10.</w:t>
      </w:r>
      <w:r w:rsidRPr="0026653F">
        <w:rPr>
          <w:szCs w:val="22"/>
          <w:lang w:val="fr-FR"/>
        </w:rPr>
        <w:tab/>
        <w:t xml:space="preserve">De demander au Secrétaire général d’user de ses bons offices pour assurer la coordination avec les organisations internationales compétentes afin de présenter des recommandations </w:t>
      </w:r>
      <w:r w:rsidRPr="0026653F">
        <w:rPr>
          <w:szCs w:val="22"/>
          <w:lang w:val="fr-FR"/>
        </w:rPr>
        <w:lastRenderedPageBreak/>
        <w:t>aux États membres sur les possibilités d’actions et d’initiatives à l’appui des efforts déployés par le peuple vénézuélien pour rétablir la démocratie au Venezuela.</w:t>
      </w:r>
    </w:p>
    <w:p w14:paraId="68AF088D" w14:textId="77777777" w:rsidR="00974CA5" w:rsidRPr="0026653F" w:rsidRDefault="00974CA5" w:rsidP="00C618DD">
      <w:pPr>
        <w:contextualSpacing/>
        <w:jc w:val="left"/>
        <w:rPr>
          <w:szCs w:val="22"/>
          <w:lang w:val="fr-FR"/>
        </w:rPr>
      </w:pPr>
    </w:p>
    <w:p w14:paraId="1DE7EA1B" w14:textId="7F827AC9" w:rsidR="00974CA5" w:rsidRPr="0026653F" w:rsidRDefault="00974CA5" w:rsidP="00C618DD">
      <w:pPr>
        <w:rPr>
          <w:szCs w:val="22"/>
          <w:lang w:val="fr-FR"/>
        </w:rPr>
      </w:pPr>
      <w:r w:rsidRPr="0026653F">
        <w:rPr>
          <w:szCs w:val="22"/>
          <w:lang w:val="fr-FR"/>
        </w:rPr>
        <w:tab/>
        <w:t>11.</w:t>
      </w:r>
      <w:r w:rsidRPr="0026653F">
        <w:rPr>
          <w:szCs w:val="22"/>
          <w:lang w:val="fr-FR"/>
        </w:rPr>
        <w:tab/>
        <w:t xml:space="preserve">De réitérer l’acceptation par les États membres du Représentant permanent près l’Organisation des États </w:t>
      </w:r>
      <w:r w:rsidR="00464889" w:rsidRPr="0026653F">
        <w:rPr>
          <w:szCs w:val="22"/>
          <w:lang w:val="fr-FR"/>
        </w:rPr>
        <w:t>A</w:t>
      </w:r>
      <w:r w:rsidRPr="0026653F">
        <w:rPr>
          <w:szCs w:val="22"/>
          <w:lang w:val="fr-FR"/>
        </w:rPr>
        <w:t xml:space="preserve">méricains, nommé par l’Assemblée nationale vénézuélienne, jusqu’à la tenue d’une nouvelle élection présidentielle libre et </w:t>
      </w:r>
      <w:r w:rsidR="00464889" w:rsidRPr="0026653F">
        <w:rPr>
          <w:szCs w:val="22"/>
          <w:lang w:val="fr-FR"/>
        </w:rPr>
        <w:t>juste</w:t>
      </w:r>
      <w:r w:rsidRPr="0026653F">
        <w:rPr>
          <w:szCs w:val="22"/>
          <w:lang w:val="fr-FR"/>
        </w:rPr>
        <w:t xml:space="preserve"> qui conduise à la nomination d’un gouvernement démocratiquement élu, comme le prévoit la résolution AG/RES. 2944</w:t>
      </w:r>
      <w:r w:rsidR="00464889" w:rsidRPr="0026653F">
        <w:rPr>
          <w:szCs w:val="22"/>
          <w:lang w:val="fr-FR"/>
        </w:rPr>
        <w:t xml:space="preserve"> (XLIX-O/19)</w:t>
      </w:r>
      <w:r w:rsidRPr="0026653F">
        <w:rPr>
          <w:szCs w:val="22"/>
          <w:lang w:val="fr-FR"/>
        </w:rPr>
        <w:t>.</w:t>
      </w:r>
      <w:r w:rsidRPr="0026653F">
        <w:rPr>
          <w:szCs w:val="22"/>
          <w:u w:val="single"/>
          <w:vertAlign w:val="superscript"/>
          <w:lang w:val="fr-FR"/>
        </w:rPr>
        <w:footnoteReference w:id="122"/>
      </w:r>
      <w:r w:rsidRPr="0026653F">
        <w:rPr>
          <w:szCs w:val="22"/>
          <w:vertAlign w:val="superscript"/>
          <w:lang w:val="fr-FR"/>
        </w:rPr>
        <w:t>/</w:t>
      </w:r>
    </w:p>
    <w:p w14:paraId="650CE253" w14:textId="77777777" w:rsidR="00974CA5" w:rsidRPr="0026653F" w:rsidRDefault="00974CA5" w:rsidP="00C618DD">
      <w:pPr>
        <w:ind w:left="360"/>
        <w:rPr>
          <w:szCs w:val="22"/>
          <w:lang w:val="fr-FR"/>
        </w:rPr>
      </w:pPr>
      <w:r w:rsidRPr="0026653F">
        <w:rPr>
          <w:szCs w:val="22"/>
          <w:lang w:val="fr-FR"/>
        </w:rPr>
        <w:br w:type="page"/>
      </w:r>
    </w:p>
    <w:p w14:paraId="3A538629" w14:textId="77777777" w:rsidR="00974CA5" w:rsidRPr="004B63F1" w:rsidRDefault="00974CA5" w:rsidP="00C618DD">
      <w:pPr>
        <w:jc w:val="center"/>
        <w:rPr>
          <w:sz w:val="20"/>
          <w:lang w:val="fr-FR"/>
        </w:rPr>
      </w:pPr>
      <w:r w:rsidRPr="004B63F1">
        <w:rPr>
          <w:sz w:val="20"/>
          <w:lang w:val="fr-FR"/>
        </w:rPr>
        <w:lastRenderedPageBreak/>
        <w:t>NOTES DE BAS DE PAGE</w:t>
      </w:r>
    </w:p>
    <w:p w14:paraId="314E9DF9" w14:textId="77777777" w:rsidR="00974CA5" w:rsidRPr="004B63F1" w:rsidRDefault="00974CA5" w:rsidP="00C618DD">
      <w:pPr>
        <w:rPr>
          <w:sz w:val="20"/>
          <w:lang w:val="fr-FR"/>
        </w:rPr>
      </w:pPr>
    </w:p>
    <w:p w14:paraId="300F3372" w14:textId="77777777" w:rsidR="00974CA5" w:rsidRPr="004B63F1" w:rsidRDefault="00974CA5" w:rsidP="00C618DD">
      <w:pPr>
        <w:rPr>
          <w:sz w:val="20"/>
          <w:lang w:val="fr-FR"/>
        </w:rPr>
      </w:pPr>
    </w:p>
    <w:p w14:paraId="52357C06" w14:textId="77777777" w:rsidR="00974CA5" w:rsidRPr="004B63F1" w:rsidRDefault="00974CA5" w:rsidP="00C618DD">
      <w:pPr>
        <w:ind w:firstLine="720"/>
        <w:rPr>
          <w:sz w:val="20"/>
          <w:lang w:val="fr-FR"/>
        </w:rPr>
      </w:pPr>
      <w:r w:rsidRPr="004B63F1">
        <w:rPr>
          <w:sz w:val="20"/>
          <w:lang w:val="fr-FR"/>
        </w:rPr>
        <w:t>1.</w:t>
      </w:r>
      <w:r w:rsidRPr="004B63F1">
        <w:rPr>
          <w:sz w:val="20"/>
          <w:lang w:val="fr-FR"/>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68E3C353" w14:textId="77777777" w:rsidR="00974CA5" w:rsidRPr="004B63F1" w:rsidRDefault="00974CA5" w:rsidP="00C618DD">
      <w:pPr>
        <w:rPr>
          <w:sz w:val="20"/>
          <w:lang w:val="fr-FR"/>
        </w:rPr>
      </w:pPr>
    </w:p>
    <w:p w14:paraId="04C93C7E" w14:textId="71149ACB" w:rsidR="00974CA5" w:rsidRPr="004B63F1" w:rsidRDefault="00974CA5" w:rsidP="00C618DD">
      <w:pPr>
        <w:ind w:firstLine="720"/>
        <w:rPr>
          <w:sz w:val="20"/>
          <w:lang w:val="fr-FR"/>
        </w:rPr>
      </w:pPr>
      <w:r w:rsidRPr="004B63F1">
        <w:rPr>
          <w:sz w:val="20"/>
          <w:lang w:val="fr-FR"/>
        </w:rPr>
        <w:t>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w:t>
      </w:r>
    </w:p>
    <w:p w14:paraId="3722727C" w14:textId="77777777" w:rsidR="00974CA5" w:rsidRPr="004B63F1" w:rsidRDefault="00974CA5" w:rsidP="00C618DD">
      <w:pPr>
        <w:rPr>
          <w:sz w:val="20"/>
          <w:lang w:val="fr-FR"/>
        </w:rPr>
      </w:pPr>
    </w:p>
    <w:p w14:paraId="3F8EC82D" w14:textId="77777777" w:rsidR="00974CA5" w:rsidRPr="004B63F1" w:rsidRDefault="00974CA5" w:rsidP="00C618DD">
      <w:pPr>
        <w:ind w:firstLine="720"/>
        <w:rPr>
          <w:sz w:val="20"/>
          <w:lang w:val="fr-FR"/>
        </w:rPr>
      </w:pPr>
      <w:r w:rsidRPr="004B63F1">
        <w:rPr>
          <w:sz w:val="20"/>
          <w:lang w:val="fr-FR"/>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63A24AF9" w14:textId="77777777" w:rsidR="00974CA5" w:rsidRPr="004B63F1" w:rsidRDefault="00974CA5" w:rsidP="00C618DD">
      <w:pPr>
        <w:rPr>
          <w:sz w:val="20"/>
          <w:lang w:val="fr-FR"/>
        </w:rPr>
      </w:pPr>
    </w:p>
    <w:p w14:paraId="6423307C" w14:textId="3E834140" w:rsidR="00974CA5" w:rsidRPr="004B63F1" w:rsidRDefault="00974CA5" w:rsidP="00C618DD">
      <w:pPr>
        <w:ind w:firstLine="720"/>
        <w:rPr>
          <w:sz w:val="20"/>
          <w:lang w:val="fr-FR"/>
        </w:rPr>
      </w:pPr>
      <w:r w:rsidRPr="004B63F1">
        <w:rPr>
          <w:sz w:val="20"/>
          <w:lang w:val="fr-FR"/>
        </w:rPr>
        <w:t>2.</w:t>
      </w:r>
      <w:r w:rsidRPr="004B63F1">
        <w:rPr>
          <w:sz w:val="20"/>
          <w:lang w:val="fr-FR"/>
        </w:rPr>
        <w:tab/>
        <w:t>… participation et le vote du ou des prétendus représentants de la République bolivarienne du Venezuela pour toutes les résolutions, déclarations et élections examinées par l’Assemblée générale lors de sa cinquantième session ordinaire et par tout autre organe de l’Organisation des États Américains (OEA).</w:t>
      </w:r>
    </w:p>
    <w:p w14:paraId="3507F2D1" w14:textId="77777777" w:rsidR="00974CA5" w:rsidRPr="004B63F1" w:rsidRDefault="00974CA5" w:rsidP="00C618DD">
      <w:pPr>
        <w:rPr>
          <w:sz w:val="20"/>
          <w:lang w:val="fr-FR"/>
        </w:rPr>
      </w:pPr>
    </w:p>
    <w:p w14:paraId="0CFB19BD" w14:textId="77777777" w:rsidR="00974CA5" w:rsidRPr="004B63F1" w:rsidRDefault="00974CA5" w:rsidP="00C618DD">
      <w:pPr>
        <w:ind w:firstLine="720"/>
        <w:rPr>
          <w:sz w:val="20"/>
          <w:lang w:val="fr-FR"/>
        </w:rPr>
      </w:pPr>
      <w:r w:rsidRPr="004B63F1">
        <w:rPr>
          <w:sz w:val="20"/>
          <w:lang w:val="fr-FR"/>
        </w:rPr>
        <w:t>Le Gouvernement du Commonwealth de la Dominique renouvelle également sa position, qui doit être consignée dans les actes, dans le sens des dispositions de l’article 143 de la Charte de l’OEA, lequel prévoit, entre autres, que la dénonciation par un État membre prendra effet deux ans après la date de réception d’un avis de dénonciation, que les effets de la Charte prendront fin pour l’État qui l’aura dénoncée, que celui-ci cessera d’être lié à l’Organisation, que l’État dénonciateur sera sans droits ni devoirs et cessera d’être lié par les mesures et les décisions prises par l’Organisation, enfin, que le Venezuela n’est plus un État membre de l’OEA et qu’il n’a donc pas le droit de siéger à l’OEA. Le Gouvernement du Commonwealth de la Dominique ne reconnaît donc aucune personne occupant le siège du Venezuela qui ne soit pas une personne dûment nommée par le Gouvernement de l’État du Venezuela.</w:t>
      </w:r>
    </w:p>
    <w:p w14:paraId="18172B06" w14:textId="77777777" w:rsidR="00974CA5" w:rsidRPr="004B63F1" w:rsidRDefault="00974CA5" w:rsidP="00C618DD">
      <w:pPr>
        <w:rPr>
          <w:sz w:val="20"/>
          <w:lang w:val="fr-FR"/>
        </w:rPr>
      </w:pPr>
    </w:p>
    <w:p w14:paraId="4BDA43F8" w14:textId="4C6B167B" w:rsidR="00974CA5" w:rsidRPr="004B63F1" w:rsidRDefault="00974CA5" w:rsidP="00C618DD">
      <w:pPr>
        <w:ind w:firstLine="720"/>
        <w:rPr>
          <w:sz w:val="20"/>
          <w:lang w:val="fr-FR"/>
        </w:rPr>
      </w:pPr>
      <w:r w:rsidRPr="004B63F1">
        <w:rPr>
          <w:sz w:val="20"/>
          <w:lang w:val="fr-FR"/>
        </w:rPr>
        <w:t>Le Gouvernement du Commonwealth de la Dominique se réserve pleinement le droit de reconnaître les résolutions et déclarations adoptées par l’Assemblée générale de l’Organisation des États Américains lors de sa cinquantième session ordinaire et toute résolution et déclaration adoptée par la suite avec la participation des prétendus représentants du Venezuela.</w:t>
      </w:r>
    </w:p>
    <w:p w14:paraId="0F6E632E" w14:textId="77777777" w:rsidR="00974CA5" w:rsidRPr="004B63F1" w:rsidRDefault="00974CA5" w:rsidP="00C618DD">
      <w:pPr>
        <w:rPr>
          <w:sz w:val="20"/>
          <w:lang w:val="fr-FR"/>
        </w:rPr>
      </w:pPr>
    </w:p>
    <w:p w14:paraId="18DF8646" w14:textId="434A4B8B" w:rsidR="00974CA5" w:rsidRPr="004B63F1" w:rsidRDefault="00974CA5" w:rsidP="00C618DD">
      <w:pPr>
        <w:ind w:firstLine="720"/>
        <w:rPr>
          <w:sz w:val="20"/>
          <w:lang w:val="fr-FR"/>
        </w:rPr>
      </w:pPr>
      <w:r w:rsidRPr="004B63F1">
        <w:rPr>
          <w:sz w:val="20"/>
          <w:lang w:val="fr-FR"/>
        </w:rPr>
        <w:t>3.</w:t>
      </w:r>
      <w:r w:rsidRPr="004B63F1">
        <w:rPr>
          <w:sz w:val="20"/>
          <w:lang w:val="fr-FR"/>
        </w:rPr>
        <w:tab/>
        <w:t xml:space="preserve">… </w:t>
      </w:r>
      <w:r w:rsidRPr="004B63F1">
        <w:rPr>
          <w:iCs/>
          <w:color w:val="000000" w:themeColor="text1"/>
          <w:sz w:val="20"/>
          <w:lang w:val="fr-FR"/>
        </w:rPr>
        <w:t>En 2017, le Gouvernement dûment élu de la République bolivarienne du Venezuela a pris la décision souveraine de se retirer de l’OEA. Cette dénonciation de la Charte de l’OEA devait prendre effet le 27 avril 2019</w:t>
      </w:r>
      <w:r w:rsidRPr="004B63F1">
        <w:rPr>
          <w:color w:val="000000" w:themeColor="text1"/>
          <w:sz w:val="20"/>
          <w:lang w:val="fr-FR"/>
        </w:rPr>
        <w:t>. Saint-Vincent-et-</w:t>
      </w:r>
      <w:r w:rsidR="00E507E3" w:rsidRPr="004B63F1">
        <w:rPr>
          <w:color w:val="000000" w:themeColor="text1"/>
          <w:sz w:val="20"/>
          <w:lang w:val="fr-FR"/>
        </w:rPr>
        <w:t>les-</w:t>
      </w:r>
      <w:r w:rsidRPr="004B63F1">
        <w:rPr>
          <w:color w:val="000000" w:themeColor="text1"/>
          <w:sz w:val="20"/>
          <w:lang w:val="fr-FR"/>
        </w:rPr>
        <w:t>Grenadines n’a pas soutenu la résolution CP/RES. 1124 (2217/19) du 9 avril 2019, qui visait à nommer M. Gustavo Tarre comme représentant de l’Assemblée nationale près l’OEA. Nous n’acceptons donc les lettres de créances d’aucune personne ici présente qui entend représenter la République bolivarienne du Venezuela à la cinquantième session ordinaire de l’Assemblée générale.</w:t>
      </w:r>
    </w:p>
    <w:p w14:paraId="522EE580" w14:textId="77777777" w:rsidR="00974CA5" w:rsidRPr="004B63F1" w:rsidRDefault="00974CA5" w:rsidP="00C618DD">
      <w:pPr>
        <w:rPr>
          <w:color w:val="000000" w:themeColor="text1"/>
          <w:sz w:val="20"/>
          <w:lang w:val="fr-FR"/>
        </w:rPr>
      </w:pPr>
    </w:p>
    <w:p w14:paraId="6C273092" w14:textId="1440EBB1" w:rsidR="00974CA5" w:rsidRPr="004B63F1" w:rsidRDefault="00974CA5" w:rsidP="00C618DD">
      <w:pPr>
        <w:ind w:firstLine="720"/>
        <w:rPr>
          <w:color w:val="000000" w:themeColor="text1"/>
          <w:sz w:val="20"/>
          <w:lang w:val="fr-FR"/>
        </w:rPr>
      </w:pPr>
      <w:r w:rsidRPr="004B63F1">
        <w:rPr>
          <w:color w:val="000000" w:themeColor="text1"/>
          <w:sz w:val="20"/>
          <w:lang w:val="fr-FR"/>
        </w:rPr>
        <w:t>Par conséquent, Saint-Vincent-et-</w:t>
      </w:r>
      <w:r w:rsidR="00E507E3" w:rsidRPr="004B63F1">
        <w:rPr>
          <w:color w:val="000000" w:themeColor="text1"/>
          <w:sz w:val="20"/>
          <w:lang w:val="fr-FR"/>
        </w:rPr>
        <w:t>les-</w:t>
      </w:r>
      <w:r w:rsidRPr="004B63F1">
        <w:rPr>
          <w:color w:val="000000" w:themeColor="text1"/>
          <w:sz w:val="20"/>
          <w:lang w:val="fr-FR"/>
        </w:rPr>
        <w:t>Grenadines informe tous les États membres ainsi que le Secrétariat général de l’Organisation des États Américains que jusqu’à nouvel ordre, ce pays ne se considérera aucunement lié par toute déclaration ou résolution de la cinquantième session ordinaire de l’Assemblée générale ou par toute déclaration ou résolution à venir de tout Conseil ou organe de l’Organisation auquel participera toute personne ou entité prétendant se prononcer ou agir au nom de la République bolivarienne du Venezuela.</w:t>
      </w:r>
    </w:p>
    <w:p w14:paraId="367F3F69" w14:textId="77777777" w:rsidR="00974CA5" w:rsidRPr="004B63F1" w:rsidRDefault="00974CA5" w:rsidP="00C618DD">
      <w:pPr>
        <w:rPr>
          <w:color w:val="000000" w:themeColor="text1"/>
          <w:sz w:val="20"/>
          <w:lang w:val="fr-FR"/>
        </w:rPr>
      </w:pPr>
    </w:p>
    <w:p w14:paraId="4AB0680D" w14:textId="77777777" w:rsidR="00974CA5" w:rsidRPr="004B63F1" w:rsidRDefault="00974CA5" w:rsidP="00C618DD">
      <w:pPr>
        <w:ind w:firstLine="720"/>
        <w:rPr>
          <w:sz w:val="20"/>
          <w:lang w:val="fr-FR"/>
        </w:rPr>
      </w:pPr>
      <w:r w:rsidRPr="004B63F1">
        <w:rPr>
          <w:color w:val="000000" w:themeColor="text1"/>
          <w:sz w:val="20"/>
          <w:lang w:val="fr-FR"/>
        </w:rPr>
        <w:t>La présentation de cette nouvelle résolution, tout comme la version adoptée lors de la quarante-neuvième session ordinaire de l’Assemblée générale de l’OEA, constitue en fait une violation flagrante des principes et des fondements du droit international.</w:t>
      </w:r>
    </w:p>
    <w:p w14:paraId="6C948A72" w14:textId="77777777" w:rsidR="00974CA5" w:rsidRPr="004B63F1" w:rsidRDefault="00974CA5" w:rsidP="00C618DD">
      <w:pPr>
        <w:rPr>
          <w:sz w:val="20"/>
          <w:lang w:val="fr-FR"/>
        </w:rPr>
      </w:pPr>
    </w:p>
    <w:p w14:paraId="19901B72" w14:textId="199E90C3" w:rsidR="00974CA5" w:rsidRPr="004B63F1" w:rsidRDefault="00E317C7" w:rsidP="00C618DD">
      <w:pPr>
        <w:ind w:firstLine="720"/>
        <w:rPr>
          <w:color w:val="000000" w:themeColor="text1"/>
          <w:sz w:val="20"/>
          <w:lang w:val="fr-FR"/>
        </w:rPr>
      </w:pPr>
      <w:r w:rsidRPr="004B63F1">
        <w:rPr>
          <w:color w:val="000000" w:themeColor="text1"/>
          <w:sz w:val="20"/>
          <w:lang w:val="fr-FR"/>
        </w:rPr>
        <w:t>4</w:t>
      </w:r>
      <w:r w:rsidR="00974CA5" w:rsidRPr="004B63F1">
        <w:rPr>
          <w:color w:val="000000" w:themeColor="text1"/>
          <w:sz w:val="20"/>
          <w:lang w:val="fr-FR"/>
        </w:rPr>
        <w:t>.</w:t>
      </w:r>
      <w:r w:rsidR="00974CA5" w:rsidRPr="004B63F1">
        <w:rPr>
          <w:color w:val="000000" w:themeColor="text1"/>
          <w:sz w:val="20"/>
          <w:lang w:val="fr-FR"/>
        </w:rPr>
        <w:tab/>
        <w:t>… l’Assemblée générale et la résolution présentée sur un pays qui n’est pas membre de cette Organisation ni n’a de représentation juridique au sein de celle-ci, ni d’aucun autre organe du Système interaméricain.</w:t>
      </w:r>
    </w:p>
    <w:p w14:paraId="4879AAC6" w14:textId="77777777" w:rsidR="00974CA5" w:rsidRPr="004B63F1" w:rsidRDefault="00974CA5" w:rsidP="00C618DD">
      <w:pPr>
        <w:rPr>
          <w:color w:val="000000" w:themeColor="text1"/>
          <w:sz w:val="20"/>
          <w:lang w:val="fr-FR"/>
        </w:rPr>
      </w:pPr>
    </w:p>
    <w:p w14:paraId="7E9936E8" w14:textId="77777777" w:rsidR="00974CA5" w:rsidRPr="004B63F1" w:rsidRDefault="00974CA5" w:rsidP="00C618DD">
      <w:pPr>
        <w:ind w:firstLine="720"/>
        <w:rPr>
          <w:color w:val="000000" w:themeColor="text1"/>
          <w:sz w:val="20"/>
          <w:lang w:val="fr-FR"/>
        </w:rPr>
      </w:pPr>
      <w:r w:rsidRPr="004B63F1">
        <w:rPr>
          <w:color w:val="000000" w:themeColor="text1"/>
          <w:sz w:val="20"/>
          <w:lang w:val="fr-FR"/>
        </w:rPr>
        <w:t>Une telle action constitue clairement une violation de la nature et des buts de la Charte de l’OEA et des fins auxquelles elle a été conçue et créée, ce qui a provoqué son absence de crédibilité, sa détérioration en tant qu’institution, sa fragmentation perpétuelle, la polarisation et la division entre les États d’Amérique latine et des Caraïbes, créée par la politique agressive et interventionniste de l’administration actuelle des États-Unis sur les nations souveraines du Venezuela, de Cuba et du Nicaragua, convertissant en monothématique le Programme interaméricain de l’OEA, et sans grande pertinence ou importance pour les citoyens des Amériques.</w:t>
      </w:r>
    </w:p>
    <w:p w14:paraId="56DC5F56" w14:textId="77777777" w:rsidR="00974CA5" w:rsidRPr="004B63F1" w:rsidRDefault="00974CA5" w:rsidP="00C618DD">
      <w:pPr>
        <w:rPr>
          <w:color w:val="000000" w:themeColor="text1"/>
          <w:sz w:val="20"/>
          <w:lang w:val="fr-FR"/>
        </w:rPr>
      </w:pPr>
    </w:p>
    <w:p w14:paraId="5F424639" w14:textId="732449CD" w:rsidR="00974CA5" w:rsidRPr="004B63F1" w:rsidRDefault="00974CA5" w:rsidP="00C618DD">
      <w:pPr>
        <w:ind w:firstLine="720"/>
        <w:rPr>
          <w:color w:val="000000" w:themeColor="text1"/>
          <w:sz w:val="20"/>
          <w:lang w:val="fr-FR"/>
        </w:rPr>
      </w:pPr>
      <w:r w:rsidRPr="004B63F1">
        <w:rPr>
          <w:color w:val="000000" w:themeColor="text1"/>
          <w:sz w:val="20"/>
          <w:lang w:val="fr-FR"/>
        </w:rPr>
        <w:t>Cette Organisation continue à transgresser les buts et principes de la Charte de l’ONU, de même que les principes du droit international, dont le principe de non-ingérence dans les questions internes des États et le droit à l’autodétermination, elle prétend se constituer en une entité supranationale pour pouvoir mettre en tutelle le Venezuela, contrôler et ignorer ses institutions, sa démocratie et ses autorités et chercher comment annuler sa souveraineté nationale pour pouvoir continuer à donner libre cours à la politique agressive de blocage, d’affectation des programmes sociaux et d’asphyxie économique par le truchement du vol des ressources naturelles de ce pays et l’application des supposées sanctions, qui ne sont que des agressions dirigées, parrainées et encouragée par l’administration des États-Unis et ses alliés contre ce Pays Frère, dans le but de punir le peuple vénézuélien pour son soutien au Gouvernement et affecter ainsi le modèle constitutionnel et souverain de démocratie populaire que ce pays a élaboré.</w:t>
      </w:r>
    </w:p>
    <w:p w14:paraId="0C8CECB3" w14:textId="77777777" w:rsidR="00974CA5" w:rsidRPr="004B63F1" w:rsidRDefault="00974CA5" w:rsidP="00C618DD">
      <w:pPr>
        <w:rPr>
          <w:color w:val="000000" w:themeColor="text1"/>
          <w:sz w:val="20"/>
          <w:lang w:val="fr-FR"/>
        </w:rPr>
      </w:pPr>
    </w:p>
    <w:p w14:paraId="15614966" w14:textId="523029D1" w:rsidR="00974CA5" w:rsidRPr="004B63F1" w:rsidRDefault="00974CA5" w:rsidP="00C618DD">
      <w:pPr>
        <w:ind w:firstLine="720"/>
        <w:rPr>
          <w:color w:val="000000" w:themeColor="text1"/>
          <w:sz w:val="20"/>
          <w:lang w:val="fr-FR"/>
        </w:rPr>
      </w:pPr>
      <w:r w:rsidRPr="004B63F1">
        <w:rPr>
          <w:color w:val="000000" w:themeColor="text1"/>
          <w:sz w:val="20"/>
          <w:lang w:val="fr-FR"/>
        </w:rPr>
        <w:t>Le Nicaragua dénonce et condamne cette nouvelle mesure interventionniste et déstabilisatrice d’un groupe de pays intéressés à affecter la souveraineté, la paix, la sécurité, son processus électoral et l’autodétermination du Gouvernement légitime du Venezuela, présidé par le Président Nicolás Maduro, et rejette comme inadmissible, illégale et inappropriée la résolution présentée, qui a converti cette tribune en un centre de conspiration et de déstabilisation contre les nations souveraines et démocratiques d’Amérique latine et des Caraïbes.</w:t>
      </w:r>
    </w:p>
    <w:p w14:paraId="504994A3" w14:textId="77777777" w:rsidR="00974CA5" w:rsidRPr="004B63F1" w:rsidRDefault="00974CA5" w:rsidP="00C618DD">
      <w:pPr>
        <w:rPr>
          <w:color w:val="000000" w:themeColor="text1"/>
          <w:sz w:val="20"/>
          <w:lang w:val="fr-FR"/>
        </w:rPr>
      </w:pPr>
    </w:p>
    <w:p w14:paraId="31D80F1A" w14:textId="77777777" w:rsidR="00974CA5" w:rsidRPr="004B63F1" w:rsidRDefault="00974CA5" w:rsidP="00C618DD">
      <w:pPr>
        <w:ind w:firstLine="720"/>
        <w:rPr>
          <w:color w:val="000000" w:themeColor="text1"/>
          <w:sz w:val="20"/>
          <w:lang w:val="fr-FR"/>
        </w:rPr>
      </w:pPr>
      <w:r w:rsidRPr="004B63F1">
        <w:rPr>
          <w:color w:val="000000" w:themeColor="text1"/>
          <w:sz w:val="20"/>
          <w:lang w:val="fr-FR"/>
        </w:rPr>
        <w:t>Le Gouvernement de réconciliation et d’unité nationale ratifie son irrévocable et invariable solidarité avec le peuple et le Gouvernement légitimement élu par le peuple vénézuélien, ayant à sa tête le Président constitutionnel Nicolás Maduro Moros, qui est un exemple de décorum et de dignité nationale du vaillant et noble peuple de Bolivar ainsi que du Commandant Hugo Rafael Chávez Frías.</w:t>
      </w:r>
    </w:p>
    <w:p w14:paraId="48C822C6" w14:textId="77777777" w:rsidR="00974CA5" w:rsidRPr="004B63F1" w:rsidRDefault="00974CA5" w:rsidP="00C618DD">
      <w:pPr>
        <w:rPr>
          <w:color w:val="000000" w:themeColor="text1"/>
          <w:sz w:val="20"/>
          <w:lang w:val="fr-FR"/>
        </w:rPr>
      </w:pPr>
    </w:p>
    <w:p w14:paraId="40EAE6F6" w14:textId="2879F4AE" w:rsidR="00974CA5" w:rsidRPr="004B63F1" w:rsidRDefault="00974CA5" w:rsidP="00C618DD">
      <w:pPr>
        <w:ind w:firstLine="720"/>
        <w:rPr>
          <w:color w:val="000000" w:themeColor="text1"/>
          <w:sz w:val="20"/>
          <w:lang w:val="fr-FR"/>
        </w:rPr>
      </w:pPr>
      <w:r w:rsidRPr="004B63F1">
        <w:rPr>
          <w:color w:val="000000" w:themeColor="text1"/>
          <w:sz w:val="20"/>
          <w:lang w:val="fr-FR"/>
        </w:rPr>
        <w:t>Le Président Nicolás Maduro et le peuple vénézuélien continuent de défendre contre les agresseurs, dans une ferme unité civico-militaire, le droit à la sécurité, à la stabilité, au travail, au développement économico-social et à la paix des familles vénézuéliennes.</w:t>
      </w:r>
    </w:p>
    <w:p w14:paraId="69AC8C8D" w14:textId="1B98F928" w:rsidR="00BC1094" w:rsidRPr="004B63F1" w:rsidRDefault="00BC1094" w:rsidP="006A6A6F">
      <w:pPr>
        <w:rPr>
          <w:color w:val="000000" w:themeColor="text1"/>
          <w:sz w:val="20"/>
          <w:lang w:val="fr-FR"/>
        </w:rPr>
      </w:pPr>
    </w:p>
    <w:p w14:paraId="569B37A4" w14:textId="3D3610D2" w:rsidR="00BC1094" w:rsidRPr="004B63F1" w:rsidRDefault="00E317C7" w:rsidP="00C618DD">
      <w:pPr>
        <w:ind w:firstLine="720"/>
        <w:rPr>
          <w:sz w:val="20"/>
          <w:lang w:val="fr-FR"/>
        </w:rPr>
      </w:pPr>
      <w:r w:rsidRPr="004B63F1">
        <w:rPr>
          <w:color w:val="000000" w:themeColor="text1"/>
          <w:sz w:val="20"/>
          <w:lang w:val="fr-FR"/>
        </w:rPr>
        <w:t>5</w:t>
      </w:r>
      <w:r w:rsidR="00BC1094" w:rsidRPr="004B63F1">
        <w:rPr>
          <w:color w:val="000000" w:themeColor="text1"/>
          <w:sz w:val="20"/>
          <w:lang w:val="fr-FR"/>
        </w:rPr>
        <w:t>.</w:t>
      </w:r>
      <w:r w:rsidR="00BC1094" w:rsidRPr="004B63F1">
        <w:rPr>
          <w:color w:val="000000" w:themeColor="text1"/>
          <w:sz w:val="20"/>
          <w:lang w:val="fr-FR"/>
        </w:rPr>
        <w:tab/>
        <w:t>… de l'Assemblée générale.</w:t>
      </w:r>
    </w:p>
    <w:p w14:paraId="0EAB4DD4" w14:textId="77777777" w:rsidR="007E1C52" w:rsidRPr="0026653F" w:rsidRDefault="007E1C52" w:rsidP="004B63F1">
      <w:pPr>
        <w:outlineLvl w:val="0"/>
        <w:rPr>
          <w:szCs w:val="22"/>
          <w:lang w:val="fr-FR"/>
        </w:rPr>
      </w:pPr>
    </w:p>
    <w:p w14:paraId="5CD5650D" w14:textId="77777777" w:rsidR="00EE6CD9" w:rsidRPr="0026653F" w:rsidRDefault="00EE6CD9" w:rsidP="00C618DD">
      <w:pPr>
        <w:rPr>
          <w:szCs w:val="22"/>
          <w:lang w:val="fr-FR"/>
        </w:rPr>
      </w:pPr>
    </w:p>
    <w:p w14:paraId="019295EB" w14:textId="77777777" w:rsidR="000D0D52" w:rsidRPr="0026653F" w:rsidRDefault="000D0D52" w:rsidP="00C618DD">
      <w:pPr>
        <w:rPr>
          <w:szCs w:val="22"/>
          <w:lang w:val="fr-FR"/>
        </w:rPr>
        <w:sectPr w:rsidR="000D0D52" w:rsidRPr="0026653F" w:rsidSect="00FE7DD6">
          <w:headerReference w:type="default" r:id="rId109"/>
          <w:footerReference w:type="default" r:id="rId110"/>
          <w:headerReference w:type="first" r:id="rId111"/>
          <w:footnotePr>
            <w:numRestart w:val="eachSect"/>
          </w:footnotePr>
          <w:type w:val="oddPage"/>
          <w:pgSz w:w="12240" w:h="15840" w:code="1"/>
          <w:pgMar w:top="2160" w:right="1570" w:bottom="1296" w:left="1699" w:header="1296" w:footer="1296" w:gutter="0"/>
          <w:cols w:space="720"/>
          <w:docGrid w:linePitch="360"/>
        </w:sectPr>
      </w:pPr>
    </w:p>
    <w:p w14:paraId="6F8E04F3" w14:textId="2A9AA13F" w:rsidR="00C817B5" w:rsidRPr="0026653F" w:rsidRDefault="000D0D52" w:rsidP="00C618DD">
      <w:pPr>
        <w:pStyle w:val="Heading1"/>
        <w:rPr>
          <w:rFonts w:eastAsia="MS Mincho"/>
          <w:szCs w:val="22"/>
          <w:lang w:val="fr-FR"/>
        </w:rPr>
      </w:pPr>
      <w:bookmarkStart w:id="68" w:name="_Toc422324752"/>
      <w:bookmarkStart w:id="69" w:name="_Toc398801981"/>
      <w:bookmarkStart w:id="70" w:name="_Toc74732030"/>
      <w:r w:rsidRPr="0026653F">
        <w:rPr>
          <w:rStyle w:val="Heading1Char"/>
          <w:rFonts w:eastAsia="Calibri"/>
          <w:szCs w:val="22"/>
          <w:lang w:val="fr-FR"/>
        </w:rPr>
        <w:lastRenderedPageBreak/>
        <w:t>AG/RES. 2964 (L-O/20)</w:t>
      </w:r>
      <w:r w:rsidRPr="0026653F">
        <w:rPr>
          <w:rStyle w:val="Heading1Char"/>
          <w:rFonts w:eastAsia="Calibri"/>
          <w:szCs w:val="22"/>
          <w:lang w:val="fr-FR"/>
        </w:rPr>
        <w:br/>
      </w:r>
      <w:r w:rsidRPr="0026653F">
        <w:rPr>
          <w:rStyle w:val="Heading1Char"/>
          <w:rFonts w:eastAsia="Calibri"/>
          <w:szCs w:val="22"/>
          <w:lang w:val="fr-FR"/>
        </w:rPr>
        <w:br/>
      </w:r>
      <w:bookmarkEnd w:id="68"/>
      <w:bookmarkEnd w:id="69"/>
      <w:r w:rsidR="00C817B5" w:rsidRPr="0026653F">
        <w:rPr>
          <w:rFonts w:eastAsia="MS Mincho"/>
          <w:szCs w:val="22"/>
          <w:lang w:val="fr-FR"/>
        </w:rPr>
        <w:t>LIEU ET DATE DE LA CINQUANTE-ET-UNIÈME SESSION ORDINAIRE</w:t>
      </w:r>
      <w:r w:rsidR="00C817B5" w:rsidRPr="0026653F">
        <w:rPr>
          <w:rFonts w:eastAsia="MS Mincho"/>
          <w:szCs w:val="22"/>
          <w:lang w:val="fr-FR"/>
        </w:rPr>
        <w:br/>
        <w:t>DE L’ASSEMBLÉE GÉNÉRALE</w:t>
      </w:r>
      <w:r w:rsidR="00C817B5" w:rsidRPr="0026653F">
        <w:rPr>
          <w:rFonts w:eastAsia="MS Mincho"/>
          <w:szCs w:val="22"/>
          <w:u w:val="single"/>
          <w:vertAlign w:val="superscript"/>
          <w:lang w:val="fr-FR"/>
        </w:rPr>
        <w:footnoteReference w:id="123"/>
      </w:r>
      <w:r w:rsidR="00C817B5" w:rsidRPr="0026653F">
        <w:rPr>
          <w:rFonts w:eastAsia="MS Mincho"/>
          <w:szCs w:val="22"/>
          <w:vertAlign w:val="superscript"/>
          <w:lang w:val="fr-FR"/>
        </w:rPr>
        <w:t>/</w:t>
      </w:r>
      <w:r w:rsidR="00705467" w:rsidRPr="0026653F">
        <w:rPr>
          <w:rStyle w:val="FootnoteReference"/>
          <w:szCs w:val="22"/>
          <w:u w:val="single"/>
          <w:vertAlign w:val="superscript"/>
          <w:lang w:val="fr-FR"/>
        </w:rPr>
        <w:footnoteReference w:id="124"/>
      </w:r>
      <w:r w:rsidR="00705467" w:rsidRPr="0026653F">
        <w:rPr>
          <w:szCs w:val="22"/>
          <w:vertAlign w:val="superscript"/>
          <w:lang w:val="fr-FR"/>
        </w:rPr>
        <w:t>/</w:t>
      </w:r>
      <w:bookmarkEnd w:id="70"/>
    </w:p>
    <w:p w14:paraId="3660E167" w14:textId="77777777" w:rsidR="00C817B5" w:rsidRPr="0026653F" w:rsidRDefault="00C817B5" w:rsidP="004A62BB">
      <w:pPr>
        <w:outlineLvl w:val="1"/>
        <w:rPr>
          <w:rFonts w:eastAsia="MS Mincho"/>
          <w:szCs w:val="22"/>
          <w:lang w:val="fr-FR" w:eastAsia="es-ES_tradnl"/>
        </w:rPr>
      </w:pPr>
    </w:p>
    <w:p w14:paraId="3DB40CDA" w14:textId="77777777" w:rsidR="00C817B5" w:rsidRPr="0026653F" w:rsidRDefault="00C817B5" w:rsidP="00C618DD">
      <w:pPr>
        <w:jc w:val="center"/>
        <w:rPr>
          <w:rFonts w:eastAsia="MS Mincho"/>
          <w:szCs w:val="22"/>
          <w:lang w:val="fr-FR" w:eastAsia="es-ES_tradnl"/>
        </w:rPr>
      </w:pPr>
      <w:r w:rsidRPr="0026653F">
        <w:rPr>
          <w:rFonts w:eastAsia="MS Mincho"/>
          <w:szCs w:val="22"/>
          <w:lang w:val="fr-FR" w:eastAsia="es-ES_tradnl"/>
        </w:rPr>
        <w:t>(Résolution adoptée à la quatrième séance plénière</w:t>
      </w:r>
      <w:r w:rsidRPr="0026653F">
        <w:rPr>
          <w:bCs/>
          <w:color w:val="000000"/>
          <w:szCs w:val="22"/>
          <w:lang w:val="fr-FR" w:eastAsia="es-ES"/>
        </w:rPr>
        <w:t xml:space="preserve">, le </w:t>
      </w:r>
      <w:r w:rsidRPr="0026653F">
        <w:rPr>
          <w:rFonts w:eastAsia="MS Mincho"/>
          <w:szCs w:val="22"/>
          <w:lang w:val="fr-FR" w:eastAsia="es-ES_tradnl"/>
        </w:rPr>
        <w:t>21 octobre 2020)</w:t>
      </w:r>
    </w:p>
    <w:p w14:paraId="3F5DD845" w14:textId="77777777" w:rsidR="00C817B5" w:rsidRPr="0026653F" w:rsidRDefault="00C817B5" w:rsidP="00C618DD">
      <w:pPr>
        <w:rPr>
          <w:rFonts w:eastAsia="MS Mincho"/>
          <w:bCs/>
          <w:szCs w:val="22"/>
          <w:lang w:val="fr-FR" w:eastAsia="es-ES_tradnl"/>
        </w:rPr>
      </w:pPr>
    </w:p>
    <w:p w14:paraId="0E3E9713" w14:textId="77777777" w:rsidR="00C817B5" w:rsidRPr="0026653F" w:rsidRDefault="00C817B5" w:rsidP="00C618DD">
      <w:pPr>
        <w:rPr>
          <w:rFonts w:eastAsia="MS Mincho"/>
          <w:szCs w:val="22"/>
          <w:lang w:val="fr-FR" w:eastAsia="es-ES"/>
        </w:rPr>
      </w:pPr>
    </w:p>
    <w:p w14:paraId="12367CBC" w14:textId="13061CC4" w:rsidR="00C817B5" w:rsidRPr="0026653F" w:rsidRDefault="00C817B5" w:rsidP="00C618DD">
      <w:pPr>
        <w:rPr>
          <w:rFonts w:eastAsia="MS Mincho"/>
          <w:szCs w:val="22"/>
          <w:lang w:val="fr-FR" w:eastAsia="es-ES_tradnl"/>
        </w:rPr>
      </w:pPr>
      <w:r w:rsidRPr="0026653F">
        <w:rPr>
          <w:rFonts w:eastAsia="MS Mincho"/>
          <w:szCs w:val="22"/>
          <w:lang w:val="fr-FR" w:eastAsia="es-ES_tradnl"/>
        </w:rPr>
        <w:tab/>
        <w:t>L’ASSEMBLÉE GÉNÉRALE,</w:t>
      </w:r>
    </w:p>
    <w:p w14:paraId="4F5C010D" w14:textId="77777777" w:rsidR="00C817B5" w:rsidRPr="0026653F" w:rsidRDefault="00C817B5" w:rsidP="00C618DD">
      <w:pPr>
        <w:rPr>
          <w:rFonts w:eastAsia="MS Mincho"/>
          <w:szCs w:val="22"/>
          <w:lang w:val="fr-FR" w:eastAsia="es-ES"/>
        </w:rPr>
      </w:pPr>
    </w:p>
    <w:p w14:paraId="17A137E0"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ab/>
        <w:t>PRENANT EN COMPTE les articles 43 et 44 de son règlement, relatifs à la tenue des sessions ordinaires de l’Assemblée générale et à la détermination des date et lieu de celles-ci,</w:t>
      </w:r>
    </w:p>
    <w:p w14:paraId="1EE95249" w14:textId="77777777" w:rsidR="00C817B5" w:rsidRPr="0026653F" w:rsidRDefault="00C817B5" w:rsidP="00C618DD">
      <w:pPr>
        <w:rPr>
          <w:rFonts w:eastAsia="MS Mincho"/>
          <w:szCs w:val="22"/>
          <w:lang w:val="fr-FR" w:eastAsia="es-ES"/>
        </w:rPr>
      </w:pPr>
    </w:p>
    <w:p w14:paraId="7806800D"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CONSIDÉRANT :</w:t>
      </w:r>
    </w:p>
    <w:p w14:paraId="2C6B6224" w14:textId="77777777" w:rsidR="00C817B5" w:rsidRPr="0026653F" w:rsidRDefault="00C817B5" w:rsidP="00C618DD">
      <w:pPr>
        <w:rPr>
          <w:rFonts w:eastAsia="MS Mincho"/>
          <w:szCs w:val="22"/>
          <w:lang w:val="fr-FR" w:eastAsia="es-ES"/>
        </w:rPr>
      </w:pPr>
    </w:p>
    <w:p w14:paraId="2EA0DCD1" w14:textId="6C8A5920" w:rsidR="00C817B5" w:rsidRPr="0026653F" w:rsidRDefault="00C817B5" w:rsidP="00C618DD">
      <w:pPr>
        <w:rPr>
          <w:rFonts w:eastAsia="MS Mincho"/>
          <w:szCs w:val="22"/>
          <w:lang w:val="fr-FR" w:eastAsia="es-ES_tradnl"/>
        </w:rPr>
      </w:pPr>
      <w:r w:rsidRPr="0026653F">
        <w:rPr>
          <w:rFonts w:eastAsia="MS Mincho"/>
          <w:szCs w:val="22"/>
          <w:lang w:val="fr-FR" w:eastAsia="es-ES_tradnl"/>
        </w:rPr>
        <w:tab/>
        <w:t xml:space="preserve">Que les sessions ordinaires de l’Assemblée générale de l’Organisation des États Américains </w:t>
      </w:r>
      <w:r w:rsidR="00464889" w:rsidRPr="0026653F">
        <w:rPr>
          <w:rFonts w:eastAsia="MS Mincho"/>
          <w:szCs w:val="22"/>
          <w:lang w:val="fr-FR" w:eastAsia="es-ES_tradnl"/>
        </w:rPr>
        <w:t xml:space="preserve">(OEA) </w:t>
      </w:r>
      <w:r w:rsidRPr="0026653F">
        <w:rPr>
          <w:rFonts w:eastAsia="MS Mincho"/>
          <w:szCs w:val="22"/>
          <w:lang w:val="fr-FR" w:eastAsia="es-ES_tradnl"/>
        </w:rPr>
        <w:t>doivent être tenues chaque année de préférence durant le deuxième trimestre ;</w:t>
      </w:r>
    </w:p>
    <w:p w14:paraId="6C43FA51" w14:textId="77777777" w:rsidR="00C817B5" w:rsidRPr="0026653F" w:rsidRDefault="00C817B5" w:rsidP="00C618DD">
      <w:pPr>
        <w:rPr>
          <w:rFonts w:eastAsia="MS Mincho"/>
          <w:szCs w:val="22"/>
          <w:lang w:val="fr-FR" w:eastAsia="es-ES"/>
        </w:rPr>
      </w:pPr>
    </w:p>
    <w:p w14:paraId="06E6DEB4"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ab/>
        <w:t>Que le 21 octobre 2020, à l’occasion de la cinquantième session ordinaire de l’Assemblée générale tenue de manière virtuelle à Washington, D.C. (États-Unis d’Amérique), le Gouvernement du Guatemala a, par l’entremise de son ministre des relations extérieures, offert d’accueillir la cinquante-et-unième session ordinaire de l’Assemblée générale de l’Organisation prévue pour juin 2021, réaffirmant ainsi son engagement envers les principes et les objectifs de la Charte de l’OEA et exprimant sa ferme décision de continuer à participer activement au renforcement de l’Organisation,</w:t>
      </w:r>
    </w:p>
    <w:p w14:paraId="61FA5ACF" w14:textId="77777777" w:rsidR="00C817B5" w:rsidRPr="0026653F" w:rsidRDefault="00C817B5" w:rsidP="00C618DD">
      <w:pPr>
        <w:rPr>
          <w:rFonts w:eastAsia="MS Mincho"/>
          <w:szCs w:val="22"/>
          <w:lang w:val="fr-FR" w:eastAsia="es-ES"/>
        </w:rPr>
      </w:pPr>
    </w:p>
    <w:p w14:paraId="5C7A929C"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DÉCIDE :</w:t>
      </w:r>
    </w:p>
    <w:p w14:paraId="65575B96" w14:textId="77777777" w:rsidR="00C817B5" w:rsidRPr="0026653F" w:rsidRDefault="00C817B5" w:rsidP="00C618DD">
      <w:pPr>
        <w:rPr>
          <w:rFonts w:eastAsia="MS Mincho"/>
          <w:szCs w:val="22"/>
          <w:lang w:val="fr-FR" w:eastAsia="es-ES"/>
        </w:rPr>
      </w:pPr>
    </w:p>
    <w:p w14:paraId="63617F6D"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ab/>
        <w:t>1.</w:t>
      </w:r>
      <w:r w:rsidRPr="0026653F">
        <w:rPr>
          <w:rFonts w:eastAsia="MS Mincho"/>
          <w:szCs w:val="22"/>
          <w:lang w:val="fr-FR" w:eastAsia="es-ES_tradnl"/>
        </w:rPr>
        <w:tab/>
        <w:t>D’arrêter que la cinquante-et-unième session ordinaire de l’Assemblée générale se déroulera au Guatemala, à une date qui sera définie ultérieurement dans le cadre du Conseil permanent de l’Organisation des États Américains.</w:t>
      </w:r>
    </w:p>
    <w:p w14:paraId="2E62750E" w14:textId="77777777" w:rsidR="00C817B5" w:rsidRPr="0026653F" w:rsidRDefault="00C817B5" w:rsidP="00C618DD">
      <w:pPr>
        <w:rPr>
          <w:rFonts w:eastAsia="MS Mincho"/>
          <w:szCs w:val="22"/>
          <w:lang w:val="fr-FR" w:eastAsia="es-ES_tradnl"/>
        </w:rPr>
      </w:pPr>
    </w:p>
    <w:p w14:paraId="1231689D" w14:textId="77777777" w:rsidR="00C817B5" w:rsidRPr="0026653F" w:rsidRDefault="00C817B5" w:rsidP="00C618DD">
      <w:pPr>
        <w:rPr>
          <w:rFonts w:eastAsia="MS Mincho"/>
          <w:szCs w:val="22"/>
          <w:lang w:val="fr-FR" w:eastAsia="es-ES_tradnl"/>
        </w:rPr>
      </w:pPr>
      <w:r w:rsidRPr="0026653F">
        <w:rPr>
          <w:rFonts w:eastAsia="MS Mincho"/>
          <w:szCs w:val="22"/>
          <w:lang w:val="fr-FR" w:eastAsia="es-ES_tradnl"/>
        </w:rPr>
        <w:tab/>
        <w:t>2.</w:t>
      </w:r>
      <w:r w:rsidRPr="0026653F">
        <w:rPr>
          <w:rFonts w:eastAsia="MS Mincho"/>
          <w:szCs w:val="22"/>
          <w:lang w:val="fr-FR" w:eastAsia="es-ES_tradnl"/>
        </w:rPr>
        <w:tab/>
        <w:t>De remercier le Gouvernement du Guatemala pour avoir généreusement offert d’accueillir la cinquante-et-unième session ordinaire de l’Assemblée générale.</w:t>
      </w:r>
    </w:p>
    <w:p w14:paraId="0C87104D" w14:textId="77777777" w:rsidR="00C817B5" w:rsidRPr="0026653F" w:rsidRDefault="00C817B5" w:rsidP="00C618DD">
      <w:pPr>
        <w:jc w:val="left"/>
        <w:rPr>
          <w:rFonts w:eastAsia="MS Mincho"/>
          <w:szCs w:val="22"/>
          <w:lang w:val="fr-FR" w:eastAsia="es-ES_tradnl"/>
        </w:rPr>
      </w:pPr>
      <w:r w:rsidRPr="0026653F">
        <w:rPr>
          <w:rFonts w:eastAsia="MS Mincho"/>
          <w:szCs w:val="22"/>
          <w:lang w:val="fr-FR" w:eastAsia="es-ES_tradnl"/>
        </w:rPr>
        <w:br w:type="page"/>
      </w:r>
    </w:p>
    <w:p w14:paraId="34891577" w14:textId="4BAD786A" w:rsidR="00C817B5" w:rsidRPr="004A62BB" w:rsidRDefault="00C817B5" w:rsidP="00C618DD">
      <w:pPr>
        <w:jc w:val="center"/>
        <w:rPr>
          <w:rFonts w:eastAsia="MS Mincho"/>
          <w:sz w:val="20"/>
          <w:lang w:val="fr-FR" w:eastAsia="es-ES_tradnl"/>
        </w:rPr>
      </w:pPr>
      <w:r w:rsidRPr="004A62BB">
        <w:rPr>
          <w:rFonts w:eastAsia="MS Mincho"/>
          <w:sz w:val="20"/>
          <w:lang w:val="fr-FR" w:eastAsia="es-ES_tradnl"/>
        </w:rPr>
        <w:lastRenderedPageBreak/>
        <w:t>NOTE</w:t>
      </w:r>
      <w:r w:rsidR="00705467" w:rsidRPr="004A62BB">
        <w:rPr>
          <w:rFonts w:eastAsia="MS Mincho"/>
          <w:sz w:val="20"/>
          <w:lang w:val="fr-FR" w:eastAsia="es-ES_tradnl"/>
        </w:rPr>
        <w:t>S</w:t>
      </w:r>
      <w:r w:rsidRPr="004A62BB">
        <w:rPr>
          <w:rFonts w:eastAsia="MS Mincho"/>
          <w:sz w:val="20"/>
          <w:lang w:val="fr-FR" w:eastAsia="es-ES_tradnl"/>
        </w:rPr>
        <w:t xml:space="preserve"> DE BAS DE PAGE</w:t>
      </w:r>
    </w:p>
    <w:p w14:paraId="0A09589D" w14:textId="77777777" w:rsidR="00C817B5" w:rsidRPr="004A62BB" w:rsidRDefault="00C817B5" w:rsidP="00C618DD">
      <w:pPr>
        <w:rPr>
          <w:rFonts w:eastAsia="MS Mincho"/>
          <w:sz w:val="20"/>
          <w:lang w:val="fr-FR" w:eastAsia="es-ES_tradnl"/>
        </w:rPr>
      </w:pPr>
    </w:p>
    <w:p w14:paraId="23994578" w14:textId="77777777" w:rsidR="00C817B5" w:rsidRPr="004A62BB" w:rsidRDefault="00C817B5" w:rsidP="00C618DD">
      <w:pPr>
        <w:rPr>
          <w:rFonts w:eastAsia="MS Mincho"/>
          <w:sz w:val="20"/>
          <w:lang w:val="fr-FR" w:eastAsia="es-ES_tradnl"/>
        </w:rPr>
      </w:pPr>
    </w:p>
    <w:p w14:paraId="4A0ADC8B" w14:textId="77777777" w:rsidR="00C817B5" w:rsidRPr="004A62BB" w:rsidRDefault="00C817B5" w:rsidP="00C618DD">
      <w:pPr>
        <w:ind w:firstLine="720"/>
        <w:rPr>
          <w:rFonts w:eastAsia="MS Mincho"/>
          <w:sz w:val="20"/>
          <w:lang w:val="fr-FR" w:eastAsia="es-ES_tradnl"/>
        </w:rPr>
      </w:pPr>
      <w:r w:rsidRPr="004A62BB">
        <w:rPr>
          <w:rFonts w:eastAsia="MS Mincho"/>
          <w:sz w:val="20"/>
          <w:lang w:val="fr-FR" w:eastAsia="es-ES_tradnl"/>
        </w:rPr>
        <w:t>1.</w:t>
      </w:r>
      <w:r w:rsidRPr="004A62BB">
        <w:rPr>
          <w:rFonts w:eastAsia="MS Mincho"/>
          <w:sz w:val="20"/>
          <w:lang w:val="fr-FR" w:eastAsia="es-ES_tradnl"/>
        </w:rPr>
        <w:tab/>
        <w:t>… bolivarienne du Venezuela a dûment notifié au Secrétaire général sa dénonciation de la Charte conformément à l’article 143 de la Charte de l’Organisation des États Américains, et que la Charte a cessé d’être en vigueur à l’égard de la République bolivarienne du Venezuela qui a cessé d’appartenir à l’Organisation le 27 avril 2019.</w:t>
      </w:r>
    </w:p>
    <w:p w14:paraId="1DBB9312" w14:textId="77777777" w:rsidR="00C817B5" w:rsidRPr="004A62BB" w:rsidRDefault="00C817B5" w:rsidP="00C618DD">
      <w:pPr>
        <w:rPr>
          <w:rFonts w:eastAsia="MS Mincho"/>
          <w:sz w:val="20"/>
          <w:lang w:val="fr-FR" w:eastAsia="es-ES_tradnl"/>
        </w:rPr>
      </w:pPr>
    </w:p>
    <w:p w14:paraId="4005D375" w14:textId="77777777" w:rsidR="00C817B5" w:rsidRPr="004A62BB" w:rsidRDefault="00C817B5" w:rsidP="00C618DD">
      <w:pPr>
        <w:ind w:firstLine="720"/>
        <w:rPr>
          <w:rFonts w:eastAsia="MS Mincho"/>
          <w:sz w:val="20"/>
          <w:lang w:val="fr-FR" w:eastAsia="es-ES_tradnl"/>
        </w:rPr>
      </w:pPr>
      <w:r w:rsidRPr="004A62BB">
        <w:rPr>
          <w:rFonts w:eastAsia="MS Mincho"/>
          <w:sz w:val="20"/>
          <w:lang w:val="fr-FR" w:eastAsia="es-ES_tradnl"/>
        </w:rPr>
        <w:t xml:space="preserve">Antigua-et-Barbuda n’a pas soutenu la résolution CP/RES. 1124 (2217/19) du 9 avril 2019 qui visait à nommer M. Gustavo Tarre comme représentant de l’Assemblée nationale auprès de l’OEA et n’a pas accepté les pouvoirs des fonctionnaires ayant l’intention de représenter la République bolivarienne du Venezuela aux quarante-neuvième et cinquantième sessions ordinaires de l’Assemblée générale. </w:t>
      </w:r>
    </w:p>
    <w:p w14:paraId="3A8E1901" w14:textId="77777777" w:rsidR="00C817B5" w:rsidRPr="004A62BB" w:rsidRDefault="00C817B5" w:rsidP="00C618DD">
      <w:pPr>
        <w:rPr>
          <w:rFonts w:eastAsia="MS Mincho"/>
          <w:sz w:val="20"/>
          <w:lang w:val="fr-FR" w:eastAsia="es-ES_tradnl"/>
        </w:rPr>
      </w:pPr>
    </w:p>
    <w:p w14:paraId="78620B9C" w14:textId="3A46FF0A" w:rsidR="00C817B5" w:rsidRPr="004A62BB" w:rsidRDefault="00C817B5" w:rsidP="00C618DD">
      <w:pPr>
        <w:ind w:firstLine="720"/>
        <w:rPr>
          <w:rFonts w:eastAsia="MS Mincho"/>
          <w:sz w:val="20"/>
          <w:lang w:val="fr-FR" w:eastAsia="es-ES_tradnl"/>
        </w:rPr>
      </w:pPr>
      <w:r w:rsidRPr="004A62BB">
        <w:rPr>
          <w:rFonts w:eastAsia="MS Mincho"/>
          <w:sz w:val="20"/>
          <w:lang w:val="fr-FR" w:eastAsia="es-ES_tradnl"/>
        </w:rPr>
        <w:t>Par conséquent, Antigua-et-Barbuda notifie tous les États membres et le Secrétariat général de l’Organisation des États Américains que, comme elle l’a fait lors de la quarante-neuvième session ordinaire de l’Assemblée générale, et jusqu’à nouvel ordre, elle ne se considère liée par aucune déclaration ou résolution de la cinquantième session ordinaire de l’Assemblée générale ni par aucune déclaration ou résolution future d’un Conseil ou d’un organe de l’Organisation qui prévoit la participation d’une personne ou d’une entité censée parler ou agir au nom de la République bolivarienne du Venezuela et dans laquelle 18 voix sont obtenues avec la participation d’un prétendu représentant de la République bolivarienne du Venezuela.</w:t>
      </w:r>
    </w:p>
    <w:p w14:paraId="50B2F3EE" w14:textId="7C44CE5E" w:rsidR="00705467" w:rsidRPr="004A39E2" w:rsidRDefault="00705467" w:rsidP="004A62BB">
      <w:pPr>
        <w:rPr>
          <w:rFonts w:eastAsia="MS Mincho"/>
          <w:sz w:val="20"/>
          <w:lang w:val="fr-FR" w:eastAsia="es-ES_tradnl"/>
        </w:rPr>
      </w:pPr>
    </w:p>
    <w:p w14:paraId="7715A4D8" w14:textId="77777777" w:rsidR="000D0D52" w:rsidRPr="004A39E2" w:rsidRDefault="00864C34" w:rsidP="00C618DD">
      <w:pPr>
        <w:rPr>
          <w:sz w:val="20"/>
          <w:lang w:val="fr-FR"/>
        </w:rPr>
      </w:pPr>
      <w:r w:rsidRPr="004A39E2">
        <w:rPr>
          <w:noProof/>
          <w:sz w:val="20"/>
          <w:lang w:val="fr-FR"/>
        </w:rPr>
        <mc:AlternateContent>
          <mc:Choice Requires="wps">
            <w:drawing>
              <wp:anchor distT="0" distB="0" distL="114300" distR="114300" simplePos="0" relativeHeight="251657216" behindDoc="0" locked="1" layoutInCell="1" allowOverlap="1" wp14:anchorId="71458D44" wp14:editId="14495215">
                <wp:simplePos x="0" y="0"/>
                <wp:positionH relativeFrom="column">
                  <wp:posOffset>-91440</wp:posOffset>
                </wp:positionH>
                <wp:positionV relativeFrom="page">
                  <wp:posOffset>9144000</wp:posOffset>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977A804" w14:textId="2566DF37" w:rsidR="006564AF" w:rsidRPr="00864C34" w:rsidRDefault="006564AF" w:rsidP="00C817B5">
                            <w:pPr>
                              <w:rPr>
                                <w:sz w:val="18"/>
                              </w:rPr>
                            </w:pPr>
                            <w:r>
                              <w:rPr>
                                <w:sz w:val="18"/>
                              </w:rPr>
                              <w:fldChar w:fldCharType="begin"/>
                            </w:r>
                            <w:r>
                              <w:rPr>
                                <w:sz w:val="18"/>
                              </w:rPr>
                              <w:instrText xml:space="preserve"> FILENAME  \* MERGEFORMAT </w:instrText>
                            </w:r>
                            <w:r>
                              <w:rPr>
                                <w:sz w:val="18"/>
                              </w:rPr>
                              <w:fldChar w:fldCharType="separate"/>
                            </w:r>
                            <w:r w:rsidR="00B44AA1">
                              <w:rPr>
                                <w:noProof/>
                                <w:sz w:val="18"/>
                              </w:rPr>
                              <w:t>AG08273F07</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58D44" id="Text Box 10" o:spid="_x0000_s1032"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" filled="f" stroked="f">
                <v:stroke joinstyle="round"/>
                <v:textbox>
                  <w:txbxContent>
                    <w:p w14:paraId="3977A804" w14:textId="2566DF37" w:rsidR="006564AF" w:rsidRPr="00864C34" w:rsidRDefault="006564AF" w:rsidP="00C817B5">
                      <w:pPr>
                        <w:rPr>
                          <w:sz w:val="18"/>
                        </w:rPr>
                      </w:pPr>
                      <w:r>
                        <w:rPr>
                          <w:sz w:val="18"/>
                        </w:rPr>
                        <w:fldChar w:fldCharType="begin"/>
                      </w:r>
                      <w:r>
                        <w:rPr>
                          <w:sz w:val="18"/>
                        </w:rPr>
                        <w:instrText xml:space="preserve"> FILENAME  \* MERGEFORMAT </w:instrText>
                      </w:r>
                      <w:r>
                        <w:rPr>
                          <w:sz w:val="18"/>
                        </w:rPr>
                        <w:fldChar w:fldCharType="separate"/>
                      </w:r>
                      <w:r w:rsidR="00B44AA1">
                        <w:rPr>
                          <w:noProof/>
                          <w:sz w:val="18"/>
                        </w:rPr>
                        <w:t>AG08273F07</w:t>
                      </w:r>
                      <w:r>
                        <w:rPr>
                          <w:sz w:val="18"/>
                        </w:rPr>
                        <w:fldChar w:fldCharType="end"/>
                      </w:r>
                    </w:p>
                  </w:txbxContent>
                </v:textbox>
                <w10:wrap anchory="page"/>
                <w10:anchorlock/>
              </v:shape>
            </w:pict>
          </mc:Fallback>
        </mc:AlternateContent>
      </w:r>
    </w:p>
    <w:sectPr w:rsidR="000D0D52" w:rsidRPr="004A39E2" w:rsidSect="00FE7DD6">
      <w:headerReference w:type="default" r:id="rId112"/>
      <w:footnotePr>
        <w:numRestart w:val="eachSect"/>
      </w:footnotePr>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6215" w14:textId="77777777" w:rsidR="009C1FA4" w:rsidRDefault="009C1FA4">
      <w:pPr>
        <w:spacing w:line="20" w:lineRule="exact"/>
      </w:pPr>
    </w:p>
  </w:endnote>
  <w:endnote w:type="continuationSeparator" w:id="0">
    <w:p w14:paraId="7913BC46" w14:textId="77777777" w:rsidR="009C1FA4" w:rsidRDefault="009C1FA4">
      <w:r>
        <w:t xml:space="preserve"> </w:t>
      </w:r>
    </w:p>
  </w:endnote>
  <w:endnote w:type="continuationNotice" w:id="1">
    <w:p w14:paraId="5421ADA2" w14:textId="77777777" w:rsidR="009C1FA4" w:rsidRDefault="009C1F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089124"/>
      <w:docPartObj>
        <w:docPartGallery w:val="Page Numbers (Bottom of Page)"/>
        <w:docPartUnique/>
      </w:docPartObj>
    </w:sdtPr>
    <w:sdtEndPr>
      <w:rPr>
        <w:noProof/>
      </w:rPr>
    </w:sdtEndPr>
    <w:sdtContent>
      <w:p w14:paraId="20B62369" w14:textId="77777777" w:rsidR="006564AF" w:rsidRDefault="006564AF">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067941E6" w14:textId="77777777" w:rsidR="006564AF" w:rsidRDefault="006564A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2B0D" w14:textId="77777777" w:rsidR="006564AF" w:rsidRDefault="006564A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2579" w14:textId="77777777" w:rsidR="006564AF" w:rsidRDefault="006564A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476D" w14:textId="77777777" w:rsidR="006564AF" w:rsidRDefault="006564AF" w:rsidP="00EE6CD9">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0395" w14:textId="77777777" w:rsidR="006564AF" w:rsidRDefault="006564AF" w:rsidP="00EE6CD9">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54A4" w14:textId="77777777" w:rsidR="006564AF" w:rsidRDefault="006564AF" w:rsidP="00EE6CD9">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40DC" w14:textId="77777777" w:rsidR="006564AF" w:rsidRDefault="006564AF" w:rsidP="00EE6CD9">
    <w:pPr>
      <w:pStyle w:val="Footer"/>
      <w:ind w:right="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567A" w14:textId="77777777" w:rsidR="006564AF" w:rsidRDefault="006564AF" w:rsidP="00EE6CD9">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FC86" w14:textId="77777777" w:rsidR="006564AF" w:rsidRDefault="006564AF" w:rsidP="00EE6CD9">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7A65" w14:textId="77777777" w:rsidR="006564AF" w:rsidRDefault="006564AF" w:rsidP="00EE6CD9">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4EA" w14:textId="77777777" w:rsidR="006564AF" w:rsidRDefault="006564AF" w:rsidP="00EE6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6619"/>
      <w:docPartObj>
        <w:docPartGallery w:val="Page Numbers (Bottom of Page)"/>
        <w:docPartUnique/>
      </w:docPartObj>
    </w:sdtPr>
    <w:sdtEndPr>
      <w:rPr>
        <w:noProof/>
      </w:rPr>
    </w:sdtEndPr>
    <w:sdtContent>
      <w:p w14:paraId="1FDBE9B2" w14:textId="77777777" w:rsidR="006564AF" w:rsidRDefault="006564AF">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52A1060A" w14:textId="77777777" w:rsidR="006564AF" w:rsidRDefault="006564AF">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1002" w14:textId="77777777" w:rsidR="006564AF" w:rsidRDefault="006564AF" w:rsidP="00EE6CD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1584" w14:textId="77777777" w:rsidR="006564AF" w:rsidRDefault="006564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25A4" w14:textId="77777777" w:rsidR="006564AF" w:rsidRDefault="006564A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BEAD" w14:textId="77777777" w:rsidR="006564AF" w:rsidRDefault="006564A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8D03" w14:textId="77777777" w:rsidR="006564AF" w:rsidRDefault="006564A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7734" w14:textId="77777777" w:rsidR="006564AF" w:rsidRDefault="006564A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8740" w14:textId="77777777" w:rsidR="006564AF" w:rsidRDefault="006564A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AC1F" w14:textId="77777777" w:rsidR="006564AF" w:rsidRDefault="0065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C9A2" w14:textId="77777777" w:rsidR="009C1FA4" w:rsidRDefault="009C1FA4">
      <w:r>
        <w:separator/>
      </w:r>
    </w:p>
  </w:footnote>
  <w:footnote w:type="continuationSeparator" w:id="0">
    <w:p w14:paraId="5970E4E8" w14:textId="77777777" w:rsidR="009C1FA4" w:rsidRDefault="009C1FA4">
      <w:r>
        <w:continuationSeparator/>
      </w:r>
    </w:p>
  </w:footnote>
  <w:footnote w:type="continuationNotice" w:id="1">
    <w:p w14:paraId="3BE29443" w14:textId="77777777" w:rsidR="009C1FA4" w:rsidRDefault="009C1FA4"/>
  </w:footnote>
  <w:footnote w:id="2">
    <w:p w14:paraId="718156F1" w14:textId="77777777" w:rsidR="006564AF" w:rsidRPr="004E44A6" w:rsidRDefault="006564AF" w:rsidP="00FE7DD6">
      <w:pPr>
        <w:pStyle w:val="FootnoteText"/>
        <w:tabs>
          <w:tab w:val="clear" w:pos="360"/>
          <w:tab w:val="left" w:pos="720"/>
        </w:tabs>
        <w:ind w:left="720" w:right="-209"/>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3">
    <w:p w14:paraId="07D61526" w14:textId="3301FF32" w:rsidR="006564AF" w:rsidRPr="004E44A6" w:rsidRDefault="006564AF" w:rsidP="00FE7DD6">
      <w:pPr>
        <w:pStyle w:val="FootnoteText"/>
        <w:ind w:left="720" w:right="-209"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r w:rsidR="00FE7DD6" w:rsidRPr="004E44A6">
        <w:rPr>
          <w:sz w:val="20"/>
          <w:lang w:val="fr-FR"/>
        </w:rPr>
        <w:t xml:space="preserve"> de l'Assemblée générale.</w:t>
      </w:r>
    </w:p>
  </w:footnote>
  <w:footnote w:id="4">
    <w:p w14:paraId="09F14B92"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5">
    <w:p w14:paraId="088821C2"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6">
    <w:p w14:paraId="08ECE8CC"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 xml:space="preserve">Le Gouvernement de la République du Nicaragua continue de faire part de sa réserve expresse aux mandats et initiatives émanés du Cinquième, du Sixième et du Septième Sommets des </w:t>
      </w:r>
      <w:proofErr w:type="gramStart"/>
      <w:r w:rsidRPr="004E44A6">
        <w:rPr>
          <w:sz w:val="20"/>
          <w:lang w:val="fr-FR"/>
        </w:rPr>
        <w:t>Amériques,…</w:t>
      </w:r>
      <w:proofErr w:type="gramEnd"/>
    </w:p>
  </w:footnote>
  <w:footnote w:id="7">
    <w:p w14:paraId="03AB9BE7"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 xml:space="preserve">En ce qui concerne le Huitième Sommet des Amériques, le Gouvernement de la République du Nicaragua a porté à la connaissance des chefs d’État et de gouvernement présents… </w:t>
      </w:r>
    </w:p>
  </w:footnote>
  <w:footnote w:id="8">
    <w:p w14:paraId="69888C76" w14:textId="77777777" w:rsidR="006564AF" w:rsidRPr="004E44A6" w:rsidRDefault="006564AF" w:rsidP="00484ECE">
      <w:pPr>
        <w:pStyle w:val="FootnoteText"/>
        <w:tabs>
          <w:tab w:val="clear" w:pos="360"/>
          <w:tab w:val="left" w:pos="720"/>
        </w:tabs>
        <w:ind w:left="720"/>
        <w:rPr>
          <w:sz w:val="20"/>
          <w:lang w:val="fr-FR"/>
        </w:rPr>
      </w:pPr>
      <w:r w:rsidRPr="004E44A6">
        <w:rPr>
          <w:sz w:val="20"/>
          <w:lang w:val="fr-FR"/>
        </w:rPr>
        <w:footnoteRef/>
      </w:r>
      <w:r w:rsidRPr="004E44A6">
        <w:rPr>
          <w:sz w:val="20"/>
          <w:lang w:val="fr-FR"/>
        </w:rPr>
        <w:t>.</w:t>
      </w:r>
      <w:r w:rsidRPr="004E44A6">
        <w:rPr>
          <w:sz w:val="20"/>
          <w:lang w:val="fr-FR"/>
        </w:rPr>
        <w:tab/>
        <w:t>Idem.</w:t>
      </w:r>
    </w:p>
  </w:footnote>
  <w:footnote w:id="9">
    <w:p w14:paraId="368176C4" w14:textId="77777777" w:rsidR="006564AF" w:rsidRPr="004E44A6" w:rsidRDefault="006564AF" w:rsidP="00484ECE">
      <w:pPr>
        <w:pStyle w:val="FootnoteText"/>
        <w:tabs>
          <w:tab w:val="clear" w:pos="360"/>
          <w:tab w:val="left" w:pos="720"/>
        </w:tabs>
        <w:ind w:left="720"/>
        <w:rPr>
          <w:sz w:val="20"/>
          <w:lang w:val="fr-FR"/>
        </w:rPr>
      </w:pPr>
      <w:r w:rsidRPr="004E44A6">
        <w:rPr>
          <w:sz w:val="20"/>
          <w:lang w:val="fr-FR"/>
        </w:rPr>
        <w:footnoteRef/>
      </w:r>
      <w:r w:rsidRPr="004E44A6">
        <w:rPr>
          <w:sz w:val="20"/>
          <w:lang w:val="fr-FR"/>
        </w:rPr>
        <w:t>.</w:t>
      </w:r>
      <w:r w:rsidRPr="004E44A6">
        <w:rPr>
          <w:sz w:val="20"/>
          <w:lang w:val="fr-FR"/>
        </w:rPr>
        <w:tab/>
        <w:t>Idem.</w:t>
      </w:r>
    </w:p>
  </w:footnote>
  <w:footnote w:id="10">
    <w:p w14:paraId="1FB60643" w14:textId="77777777" w:rsidR="006564AF" w:rsidRPr="004E44A6" w:rsidRDefault="006564AF" w:rsidP="0048605A">
      <w:pPr>
        <w:pStyle w:val="FootnoteText"/>
        <w:tabs>
          <w:tab w:val="clear" w:pos="360"/>
          <w:tab w:val="left" w:pos="720"/>
        </w:tabs>
        <w:ind w:left="720" w:right="-119"/>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11">
    <w:p w14:paraId="5438E2EA" w14:textId="4FA82C98" w:rsidR="006564AF" w:rsidRPr="004E44A6" w:rsidRDefault="006564AF" w:rsidP="0048605A">
      <w:pPr>
        <w:pStyle w:val="FootnoteText"/>
        <w:tabs>
          <w:tab w:val="clear" w:pos="360"/>
          <w:tab w:val="left" w:pos="720"/>
        </w:tabs>
        <w:ind w:left="720" w:right="-119"/>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CA"/>
        </w:rPr>
        <w:t xml:space="preserve">Le </w:t>
      </w:r>
      <w:r w:rsidRPr="004E44A6">
        <w:rPr>
          <w:sz w:val="20"/>
          <w:lang w:val="fr-FR"/>
        </w:rPr>
        <w:t>Mexique</w:t>
      </w:r>
      <w:r w:rsidRPr="004E44A6">
        <w:rPr>
          <w:sz w:val="20"/>
          <w:lang w:val="fr-CA"/>
        </w:rPr>
        <w:t xml:space="preserve"> réitère l’avis exprimé dans son intervention durant le rapport du Secrétaire général sur les pouvoirs dans le cadre de la séance plénière de la cinquantième session ordinaire</w:t>
      </w:r>
      <w:r w:rsidR="0048605A" w:rsidRPr="004E44A6">
        <w:rPr>
          <w:sz w:val="20"/>
          <w:lang w:val="fr-CA"/>
        </w:rPr>
        <w:t xml:space="preserve"> </w:t>
      </w:r>
      <w:r w:rsidR="0048605A" w:rsidRPr="004E44A6">
        <w:rPr>
          <w:sz w:val="20"/>
          <w:lang w:val="fr-FR"/>
        </w:rPr>
        <w:t>de l'Assemblée générale.</w:t>
      </w:r>
    </w:p>
  </w:footnote>
  <w:footnote w:id="12">
    <w:p w14:paraId="251AEFA4"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13">
    <w:p w14:paraId="532AE4B2" w14:textId="2BD8ECF2" w:rsidR="006564AF" w:rsidRPr="004E44A6" w:rsidRDefault="006564AF" w:rsidP="003A29D4">
      <w:pPr>
        <w:pStyle w:val="FootnoteText"/>
        <w:tabs>
          <w:tab w:val="clear" w:pos="360"/>
        </w:tabs>
        <w:ind w:left="720"/>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14">
    <w:p w14:paraId="15681C01"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w:t>
      </w:r>
      <w:r w:rsidRPr="004E44A6">
        <w:rPr>
          <w:sz w:val="20"/>
          <w:lang w:val="fr-CA"/>
        </w:rPr>
        <w:tab/>
      </w:r>
      <w:r w:rsidRPr="004E44A6">
        <w:rPr>
          <w:sz w:val="20"/>
          <w:lang w:val="fr-FR"/>
        </w:rPr>
        <w:t>Septième Réunion des ministres responsables de la sécurité publique des Amériques (MISPA-VII) (Équateur), 30 et 31 octobre 2019 ; Réunion spéciale sur les liens entre la cybercriminalité…</w:t>
      </w:r>
    </w:p>
  </w:footnote>
  <w:footnote w:id="15">
    <w:p w14:paraId="56071965" w14:textId="115ED6B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w:t>
      </w:r>
      <w:r w:rsidRPr="004E44A6">
        <w:rPr>
          <w:sz w:val="20"/>
          <w:lang w:val="fr-CA"/>
        </w:rPr>
        <w:tab/>
      </w:r>
      <w:r w:rsidRPr="004E44A6">
        <w:rPr>
          <w:rFonts w:eastAsia="SimSun"/>
          <w:sz w:val="20"/>
          <w:lang w:val="fr-FR" w:eastAsia="zh-CN"/>
        </w:rPr>
        <w:t xml:space="preserve">Les États-Unis </w:t>
      </w:r>
      <w:r w:rsidRPr="004E44A6">
        <w:rPr>
          <w:sz w:val="20"/>
          <w:lang w:val="fr-FR"/>
        </w:rPr>
        <w:t>ne soutiennent ni ne signeront le Traité sur l’interdiction des armes nucléaires et ne le considèrent pas comme une « mesure efficace » à l’égard du désarmement comme énoncé</w:t>
      </w:r>
      <w:r w:rsidRPr="004E44A6">
        <w:rPr>
          <w:rFonts w:eastAsia="SimSun"/>
          <w:sz w:val="20"/>
          <w:lang w:val="fr-FR" w:eastAsia="zh-CN"/>
        </w:rPr>
        <w:t xml:space="preserve">… </w:t>
      </w:r>
    </w:p>
  </w:footnote>
  <w:footnote w:id="16">
    <w:p w14:paraId="69661905"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w:t>
      </w:r>
      <w:r w:rsidRPr="004E44A6">
        <w:rPr>
          <w:sz w:val="20"/>
          <w:lang w:val="fr-CA"/>
        </w:rPr>
        <w:tab/>
      </w:r>
      <w:r w:rsidRPr="004E44A6">
        <w:rPr>
          <w:sz w:val="20"/>
          <w:lang w:val="fr-FR"/>
        </w:rPr>
        <w:t xml:space="preserve">Les États-Unis ne sont pas </w:t>
      </w:r>
      <w:proofErr w:type="gramStart"/>
      <w:r w:rsidRPr="004E44A6">
        <w:rPr>
          <w:sz w:val="20"/>
          <w:lang w:val="fr-FR"/>
        </w:rPr>
        <w:t>parties</w:t>
      </w:r>
      <w:proofErr w:type="gramEnd"/>
      <w:r w:rsidRPr="004E44A6">
        <w:rPr>
          <w:sz w:val="20"/>
          <w:lang w:val="fr-FR"/>
        </w:rPr>
        <w:t xml:space="preserve"> à la Convention sur l’interdiction de l’utilisation, du stockage, de la production et du transfert de mines antipersonnel et de leur destruction. Les États-Unis sont…</w:t>
      </w:r>
    </w:p>
  </w:footnote>
  <w:footnote w:id="17">
    <w:p w14:paraId="0CDAD326"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w:t>
      </w:r>
      <w:r w:rsidRPr="004E44A6">
        <w:rPr>
          <w:sz w:val="20"/>
          <w:lang w:val="fr-CA"/>
        </w:rPr>
        <w:tab/>
        <w:t xml:space="preserve">Le Gouvernement du Nicaragua n’accompagnera aucune Déclaration de la Conférence des ministres des Amériques, dont les objectifs sont outrepassés quant au caractère et à la nature d’être une… </w:t>
      </w:r>
    </w:p>
  </w:footnote>
  <w:footnote w:id="18">
    <w:p w14:paraId="41E315B9"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w:t>
      </w:r>
      <w:r w:rsidRPr="004E44A6">
        <w:rPr>
          <w:sz w:val="20"/>
          <w:lang w:val="fr-CA"/>
        </w:rPr>
        <w:tab/>
      </w:r>
      <w:r w:rsidRPr="004E44A6">
        <w:rPr>
          <w:sz w:val="20"/>
          <w:lang w:val="fr-FR"/>
        </w:rPr>
        <w:t>Le Gouvernement du Nicaragua reconnait dans les mesures d’encouragement de la confiance et de la sécurité un instrument important qui contribue à la promotion d’un climat international …</w:t>
      </w:r>
    </w:p>
  </w:footnote>
  <w:footnote w:id="19">
    <w:p w14:paraId="3FC52789"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r>
      <w:r w:rsidRPr="004E44A6">
        <w:rPr>
          <w:sz w:val="20"/>
          <w:lang w:val="fr-CA"/>
        </w:rPr>
        <w:t>Le Gouvernement du Nicaragua exprime son désaccord relativement à la mise sur pied d’une unité de soutien policier au sein de la structure du SSM étant donné qu’elle implique un dédoublement …</w:t>
      </w:r>
    </w:p>
  </w:footnote>
  <w:footnote w:id="20">
    <w:p w14:paraId="149BDA57" w14:textId="77777777" w:rsidR="00194A58" w:rsidRPr="004E44A6" w:rsidRDefault="00194A58" w:rsidP="00484ECE">
      <w:pPr>
        <w:pStyle w:val="FootnoteText"/>
        <w:tabs>
          <w:tab w:val="clear" w:pos="360"/>
        </w:tabs>
        <w:ind w:left="720"/>
        <w:rPr>
          <w:sz w:val="20"/>
          <w:lang w:val="fr-FR"/>
        </w:rPr>
      </w:pPr>
      <w:r w:rsidRPr="004E44A6">
        <w:rPr>
          <w:sz w:val="20"/>
        </w:rPr>
        <w:footnoteRef/>
      </w:r>
      <w:r w:rsidRPr="004E44A6">
        <w:rPr>
          <w:sz w:val="20"/>
          <w:lang w:val="fr-CA"/>
        </w:rPr>
        <w:t xml:space="preserve">. </w:t>
      </w:r>
      <w:r w:rsidRPr="004E44A6">
        <w:rPr>
          <w:sz w:val="20"/>
          <w:lang w:val="fr-CA"/>
        </w:rPr>
        <w:tab/>
        <w:t>Résolution E/RES/</w:t>
      </w:r>
      <w:r w:rsidRPr="004E44A6">
        <w:rPr>
          <w:sz w:val="20"/>
          <w:lang w:val="fr-FR"/>
        </w:rPr>
        <w:t>2019/23 adoptée par le Conseil économique et social des Nations Unies (ECOSOC), le 23 juillet 2019.</w:t>
      </w:r>
    </w:p>
  </w:footnote>
  <w:footnote w:id="21">
    <w:p w14:paraId="201C328F"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t>En ce qui concerne le Huitième Sommet des Amériques, le Gouvernement de la République du Nicaragua a porté à la connaissance des chefs d’État et de gouvernement présents…</w:t>
      </w:r>
    </w:p>
  </w:footnote>
  <w:footnote w:id="22">
    <w:p w14:paraId="74CC4DF8" w14:textId="77777777" w:rsidR="006564AF" w:rsidRPr="004E44A6" w:rsidRDefault="006564AF" w:rsidP="00484ECE">
      <w:pPr>
        <w:pStyle w:val="FootnoteText"/>
        <w:tabs>
          <w:tab w:val="clear" w:pos="360"/>
        </w:tabs>
        <w:ind w:left="720"/>
        <w:rPr>
          <w:sz w:val="20"/>
          <w:lang w:val="fr-FR"/>
        </w:rPr>
      </w:pPr>
      <w:r w:rsidRPr="004E44A6">
        <w:rPr>
          <w:sz w:val="20"/>
          <w:lang w:val="fr-CA"/>
        </w:rPr>
        <w:footnoteRef/>
      </w:r>
      <w:r w:rsidRPr="004E44A6">
        <w:rPr>
          <w:sz w:val="20"/>
          <w:lang w:val="fr-CA"/>
        </w:rPr>
        <w:t xml:space="preserve">. </w:t>
      </w:r>
      <w:r w:rsidRPr="004E44A6">
        <w:rPr>
          <w:sz w:val="20"/>
          <w:lang w:val="fr-CA"/>
        </w:rPr>
        <w:tab/>
        <w:t>Le Gouvernement du Nicaragua demeure engagé envers la prévention du trafic illégal d’armes, la lutte contre celui-ci et son élimination. Et gardant à l’esprit son engagement envers la paix et la sécurité…</w:t>
      </w:r>
    </w:p>
  </w:footnote>
  <w:footnote w:id="23">
    <w:p w14:paraId="5CD821DF" w14:textId="0D41D7C8"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 xml:space="preserve">. </w:t>
      </w:r>
      <w:r w:rsidRPr="004E44A6">
        <w:rPr>
          <w:sz w:val="20"/>
          <w:lang w:val="fr-CA"/>
        </w:rPr>
        <w:tab/>
        <w:t xml:space="preserve">Le Réseau virtuel </w:t>
      </w:r>
      <w:r w:rsidR="00F8668E" w:rsidRPr="004E44A6">
        <w:rPr>
          <w:sz w:val="20"/>
          <w:lang w:val="fr-CA"/>
        </w:rPr>
        <w:t xml:space="preserve">d’échange </w:t>
      </w:r>
      <w:r w:rsidRPr="004E44A6">
        <w:rPr>
          <w:sz w:val="20"/>
          <w:lang w:val="fr-CA"/>
        </w:rPr>
        <w:t xml:space="preserve">d’information sur le trafic illicite </w:t>
      </w:r>
      <w:r w:rsidR="00F8668E" w:rsidRPr="004E44A6">
        <w:rPr>
          <w:sz w:val="20"/>
          <w:lang w:val="fr-CA"/>
        </w:rPr>
        <w:t>et les activités de fabrication d’</w:t>
      </w:r>
      <w:r w:rsidRPr="004E44A6">
        <w:rPr>
          <w:sz w:val="20"/>
          <w:lang w:val="fr-CA"/>
        </w:rPr>
        <w:t xml:space="preserve">armes légères et de petit calibre, créé dans le cadre du projet </w:t>
      </w:r>
      <w:r w:rsidR="00F8668E" w:rsidRPr="004E44A6">
        <w:rPr>
          <w:sz w:val="20"/>
          <w:lang w:val="fr-CA"/>
        </w:rPr>
        <w:t>« S</w:t>
      </w:r>
      <w:r w:rsidRPr="004E44A6">
        <w:rPr>
          <w:sz w:val="20"/>
          <w:lang w:val="fr-CA"/>
        </w:rPr>
        <w:t>outien à la lutte contre la prolifération et</w:t>
      </w:r>
      <w:r w:rsidR="00BB1978" w:rsidRPr="004E44A6">
        <w:rPr>
          <w:sz w:val="20"/>
          <w:lang w:val="fr-CA"/>
        </w:rPr>
        <w:t xml:space="preserve"> </w:t>
      </w:r>
      <w:r w:rsidRPr="004E44A6">
        <w:rPr>
          <w:sz w:val="20"/>
          <w:lang w:val="fr-CA"/>
        </w:rPr>
        <w:t>...</w:t>
      </w:r>
    </w:p>
  </w:footnote>
  <w:footnote w:id="24">
    <w:p w14:paraId="6A984EBC"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r>
      <w:r w:rsidRPr="004E44A6">
        <w:rPr>
          <w:sz w:val="20"/>
          <w:lang w:val="fr-CA"/>
        </w:rPr>
        <w:t>Les États-Unis ne pensent pas que l’Organisation des États Américains et la Commission sur la sécurité continentale soient les endroits indiqués pour aborder collectivement toutes les incidences …</w:t>
      </w:r>
    </w:p>
  </w:footnote>
  <w:footnote w:id="25">
    <w:p w14:paraId="7011839F"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r>
      <w:r w:rsidRPr="004E44A6">
        <w:rPr>
          <w:sz w:val="20"/>
          <w:lang w:val="fr-CA"/>
        </w:rPr>
        <w:t>La délégation du Brésil entend que le traitement, dans la résolution sur la sécurité continentale, de questions économiques, telles que la remise et le rééchelonnement …</w:t>
      </w:r>
    </w:p>
  </w:footnote>
  <w:footnote w:id="26">
    <w:p w14:paraId="6AF3583B" w14:textId="21355919"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 xml:space="preserve">. </w:t>
      </w:r>
      <w:r w:rsidRPr="004E44A6">
        <w:rPr>
          <w:sz w:val="20"/>
          <w:lang w:val="fr-CA"/>
        </w:rPr>
        <w:tab/>
      </w:r>
      <w:r w:rsidRPr="004E44A6">
        <w:rPr>
          <w:sz w:val="20"/>
          <w:lang w:val="fr-FR"/>
        </w:rPr>
        <w:t>Les États-Unis font remarquer que toute référence au changement climatique et/ou à l’Accord de Paris est sans préjudice des positions de ce pays. Les États-Unis font remarquer qu’ils ont soumis…</w:t>
      </w:r>
    </w:p>
  </w:footnote>
  <w:footnote w:id="27">
    <w:p w14:paraId="148CB7D0" w14:textId="16A7E814" w:rsidR="006564AF" w:rsidRPr="004E44A6" w:rsidRDefault="006564AF" w:rsidP="00484ECE">
      <w:pPr>
        <w:pStyle w:val="FootnoteText"/>
        <w:tabs>
          <w:tab w:val="clear" w:pos="360"/>
        </w:tabs>
        <w:ind w:left="720"/>
        <w:rPr>
          <w:sz w:val="20"/>
          <w:lang w:val="fr-FR"/>
        </w:rPr>
      </w:pPr>
      <w:r w:rsidRPr="004E44A6">
        <w:rPr>
          <w:sz w:val="20"/>
          <w:lang w:val="fr-CA"/>
        </w:rPr>
        <w:footnoteRef/>
      </w:r>
      <w:r w:rsidRPr="004E44A6">
        <w:rPr>
          <w:sz w:val="20"/>
          <w:lang w:val="fr-CA"/>
        </w:rPr>
        <w:t xml:space="preserve">. </w:t>
      </w:r>
      <w:r w:rsidRPr="004E44A6">
        <w:rPr>
          <w:sz w:val="20"/>
          <w:lang w:val="fr-CA"/>
        </w:rPr>
        <w:tab/>
        <w:t xml:space="preserve">Le Gouvernement du Nicaragua accorde une importance particulière aux incidences du changement climatique sur la sécurité, mais il ne peut toutefois pas appuyer la rédaction de certains… </w:t>
      </w:r>
    </w:p>
  </w:footnote>
  <w:footnote w:id="28">
    <w:p w14:paraId="75745B16" w14:textId="427F127E"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rPr>
        <w:t xml:space="preserve">. </w:t>
      </w:r>
      <w:r w:rsidRPr="004E44A6">
        <w:rPr>
          <w:sz w:val="20"/>
          <w:lang w:val="fr-CA"/>
        </w:rPr>
        <w:tab/>
        <w:t xml:space="preserve">La délégation du Brésil se dissocie du texte actuel de ce chapitre, à commencer par le titre, </w:t>
      </w:r>
      <w:r w:rsidRPr="004E44A6">
        <w:rPr>
          <w:color w:val="000000"/>
          <w:sz w:val="20"/>
          <w:lang w:val="fr-CA"/>
        </w:rPr>
        <w:t>« Incidences du changement climatique en matière de sécurité », …</w:t>
      </w:r>
    </w:p>
  </w:footnote>
  <w:footnote w:id="29">
    <w:p w14:paraId="0BD7417F"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r>
      <w:r w:rsidRPr="004E44A6">
        <w:rPr>
          <w:sz w:val="20"/>
          <w:lang w:val="fr-CA"/>
        </w:rPr>
        <w:t>Le Gouvernement du Nicaragua estime que le contexte historique à l’origine des conditions qui ont permis la création de l’Organisation interaméricaine de défense ne correspond pas aux réalités…</w:t>
      </w:r>
    </w:p>
  </w:footnote>
  <w:footnote w:id="30">
    <w:p w14:paraId="5BF86B31"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FR"/>
        </w:rPr>
        <w:t>.</w:t>
      </w:r>
      <w:r w:rsidRPr="004E44A6">
        <w:rPr>
          <w:sz w:val="20"/>
          <w:lang w:val="fr-FR"/>
        </w:rPr>
        <w:tab/>
        <w:t>Liste de réunions provisoire.</w:t>
      </w:r>
    </w:p>
  </w:footnote>
  <w:footnote w:id="31">
    <w:p w14:paraId="643530A2" w14:textId="31B085B2" w:rsidR="006564AF" w:rsidRPr="004E44A6" w:rsidRDefault="006564AF" w:rsidP="0026653F">
      <w:pPr>
        <w:pStyle w:val="FootnoteText"/>
        <w:tabs>
          <w:tab w:val="clear" w:pos="360"/>
          <w:tab w:val="left" w:pos="720"/>
        </w:tabs>
        <w:ind w:left="720" w:right="-389"/>
        <w:rPr>
          <w:sz w:val="20"/>
          <w:lang w:val="fr-FR"/>
        </w:rPr>
      </w:pPr>
      <w:r w:rsidRPr="004E44A6">
        <w:rPr>
          <w:sz w:val="20"/>
        </w:rPr>
        <w:footnoteRef/>
      </w:r>
      <w:r w:rsidRPr="004E44A6">
        <w:rPr>
          <w:sz w:val="20"/>
          <w:lang w:val="fr-FR"/>
        </w:rPr>
        <w:t>.</w:t>
      </w:r>
      <w:r w:rsidRPr="004E44A6">
        <w:rPr>
          <w:sz w:val="20"/>
          <w:lang w:val="fr-FR"/>
        </w:rPr>
        <w:tab/>
        <w:t xml:space="preserve">Antigua-et-Barbuda considère que la République bolivarienne du Venezuela n’est pas un État membre </w:t>
      </w:r>
      <w:r w:rsidR="0026653F" w:rsidRPr="004E44A6">
        <w:rPr>
          <w:sz w:val="20"/>
          <w:lang w:val="fr-FR"/>
        </w:rPr>
        <w:br/>
      </w:r>
      <w:r w:rsidRPr="004E44A6">
        <w:rPr>
          <w:sz w:val="20"/>
          <w:lang w:val="fr-FR"/>
        </w:rPr>
        <w:t>de l’Organisation des États Américains puisque, le 27 avril 2017, le gouvernement de la République…</w:t>
      </w:r>
    </w:p>
  </w:footnote>
  <w:footnote w:id="32">
    <w:p w14:paraId="77EFBCF2" w14:textId="667CC94B" w:rsidR="006564AF" w:rsidRPr="004E44A6" w:rsidRDefault="006564AF" w:rsidP="0026653F">
      <w:pPr>
        <w:pStyle w:val="FootnoteText"/>
        <w:ind w:left="720" w:right="-389"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 xml:space="preserve">Le Mexique réitère l’avis exprimé dans son intervention durant le rapport du Secrétaire général sur </w:t>
      </w:r>
      <w:r w:rsidR="0026653F" w:rsidRPr="004E44A6">
        <w:rPr>
          <w:sz w:val="20"/>
          <w:lang w:val="fr-CA"/>
        </w:rPr>
        <w:br/>
      </w:r>
      <w:r w:rsidRPr="004E44A6">
        <w:rPr>
          <w:sz w:val="20"/>
          <w:lang w:val="fr-CA"/>
        </w:rPr>
        <w:t>les pouvoirs dans le cadre de la séance plénière de la cinquantième session ordinaire</w:t>
      </w:r>
      <w:r w:rsidR="0026653F" w:rsidRPr="004E44A6">
        <w:rPr>
          <w:sz w:val="20"/>
          <w:lang w:val="fr-CA"/>
        </w:rPr>
        <w:t xml:space="preserve"> </w:t>
      </w:r>
      <w:r w:rsidR="0026653F" w:rsidRPr="004E44A6">
        <w:rPr>
          <w:sz w:val="20"/>
          <w:lang w:val="fr-FR"/>
        </w:rPr>
        <w:t>de l'Assemblée générale.</w:t>
      </w:r>
    </w:p>
  </w:footnote>
  <w:footnote w:id="33">
    <w:p w14:paraId="67979E07" w14:textId="7B328362" w:rsidR="006564AF" w:rsidRPr="004E44A6" w:rsidRDefault="006564AF" w:rsidP="00484ECE">
      <w:pPr>
        <w:pStyle w:val="FootnoteText"/>
        <w:tabs>
          <w:tab w:val="clear" w:pos="360"/>
          <w:tab w:val="left" w:pos="720"/>
        </w:tabs>
        <w:ind w:left="720"/>
        <w:rPr>
          <w:sz w:val="20"/>
          <w:lang w:val="fr-FR"/>
        </w:rPr>
      </w:pPr>
      <w:r w:rsidRPr="004E44A6">
        <w:rPr>
          <w:sz w:val="20"/>
          <w:lang w:val="fr-FR"/>
        </w:rPr>
        <w:footnoteRef/>
      </w:r>
      <w:r w:rsidRPr="004E44A6">
        <w:rPr>
          <w:sz w:val="20"/>
          <w:lang w:val="fr-FR"/>
        </w:rPr>
        <w:t>.</w:t>
      </w:r>
      <w:r w:rsidRPr="004E44A6">
        <w:rPr>
          <w:sz w:val="20"/>
          <w:lang w:val="fr-FR"/>
        </w:rPr>
        <w:tab/>
        <w:t xml:space="preserve">Les États-Unis font remarquer que toute référence au changement climatique et/ou à l’Accord de Paris est sans préjudice des positions de ce pays. Les États-Unis font remarquer qu’ils ont soumis… </w:t>
      </w:r>
    </w:p>
  </w:footnote>
  <w:footnote w:id="34">
    <w:p w14:paraId="3E9650F4"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35">
    <w:p w14:paraId="4E68D15E"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36">
    <w:p w14:paraId="27AC7563" w14:textId="77777777" w:rsidR="006564AF" w:rsidRPr="004E44A6" w:rsidRDefault="006564AF" w:rsidP="00484ECE">
      <w:pPr>
        <w:ind w:left="720" w:hanging="360"/>
        <w:rPr>
          <w:sz w:val="20"/>
          <w:lang w:val="fr-FR"/>
        </w:rPr>
      </w:pPr>
      <w:r w:rsidRPr="004E44A6">
        <w:rPr>
          <w:sz w:val="20"/>
          <w:lang w:val="fr-FR"/>
        </w:rPr>
        <w:footnoteRef/>
      </w:r>
      <w:r w:rsidRPr="004E44A6">
        <w:rPr>
          <w:sz w:val="20"/>
          <w:lang w:val="fr-FR"/>
        </w:rPr>
        <w:t>.</w:t>
      </w:r>
      <w:r w:rsidRPr="004E44A6">
        <w:rPr>
          <w:sz w:val="20"/>
          <w:lang w:val="fr-FR"/>
        </w:rPr>
        <w:tab/>
        <w:t>Le concept d</w:t>
      </w:r>
      <w:proofErr w:type="gramStart"/>
      <w:r w:rsidRPr="004E44A6">
        <w:rPr>
          <w:sz w:val="20"/>
          <w:lang w:val="fr-FR"/>
        </w:rPr>
        <w:t>’«</w:t>
      </w:r>
      <w:proofErr w:type="gramEnd"/>
      <w:r w:rsidRPr="004E44A6">
        <w:rPr>
          <w:sz w:val="20"/>
          <w:lang w:val="fr-FR"/>
        </w:rPr>
        <w:t> approches écosystémiques » est décrit en détail dans la décision VII/11 de la Convention sur la diversité biologique. Il n’existe pas encore de définition internationalement…</w:t>
      </w:r>
    </w:p>
  </w:footnote>
  <w:footnote w:id="37">
    <w:p w14:paraId="1E201B27"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38">
    <w:p w14:paraId="50BE65E2"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39">
    <w:p w14:paraId="33576A37" w14:textId="77777777" w:rsidR="006564AF" w:rsidRPr="004E44A6" w:rsidRDefault="006564AF" w:rsidP="00484ECE">
      <w:pPr>
        <w:pStyle w:val="FootnoteText"/>
        <w:tabs>
          <w:tab w:val="clear" w:pos="360"/>
          <w:tab w:val="left" w:pos="720"/>
        </w:tabs>
        <w:ind w:left="720"/>
        <w:rPr>
          <w:sz w:val="20"/>
          <w:lang w:val="fr-FR"/>
        </w:rPr>
      </w:pPr>
      <w:r w:rsidRPr="004E44A6">
        <w:rPr>
          <w:sz w:val="20"/>
          <w:lang w:val="fr-FR"/>
        </w:rPr>
        <w:footnoteRef/>
      </w:r>
      <w:r w:rsidRPr="004E44A6">
        <w:rPr>
          <w:sz w:val="20"/>
          <w:lang w:val="fr-FR"/>
        </w:rPr>
        <w:t>.</w:t>
      </w:r>
      <w:r w:rsidRPr="004E44A6">
        <w:rPr>
          <w:sz w:val="20"/>
          <w:lang w:val="fr-FR"/>
        </w:rPr>
        <w:tab/>
      </w:r>
      <w:r w:rsidRPr="004E44A6">
        <w:rPr>
          <w:sz w:val="20"/>
          <w:lang w:val="fr-CA"/>
        </w:rPr>
        <w:t>Le Mexique appuie le début des discussions relatives à un projet de résolution intitulé “Vers une Charte interaméricaine des entreprises”, étant entendu que pour le Mexique ce document aura un…</w:t>
      </w:r>
      <w:r w:rsidRPr="004E44A6">
        <w:rPr>
          <w:sz w:val="20"/>
          <w:lang w:val="fr-FR"/>
        </w:rPr>
        <w:t xml:space="preserve"> </w:t>
      </w:r>
    </w:p>
  </w:footnote>
  <w:footnote w:id="40">
    <w:p w14:paraId="3B929506"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41">
    <w:p w14:paraId="250152FF"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42">
    <w:p w14:paraId="016BE73E"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43">
    <w:p w14:paraId="4C119CE8"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44">
    <w:p w14:paraId="2392E3C2" w14:textId="47EB2179" w:rsidR="006564AF" w:rsidRPr="004E44A6" w:rsidRDefault="006564AF" w:rsidP="00484ECE">
      <w:pPr>
        <w:pStyle w:val="FootnoteText"/>
        <w:ind w:left="720"/>
        <w:rPr>
          <w:sz w:val="20"/>
          <w:lang w:val="fr-FR"/>
        </w:rPr>
      </w:pPr>
      <w:r w:rsidRPr="004E44A6">
        <w:rPr>
          <w:color w:val="000000"/>
          <w:sz w:val="20"/>
          <w:lang w:val="fr-FR"/>
        </w:rPr>
        <w:footnoteRef/>
      </w:r>
      <w:r w:rsidRPr="004E44A6">
        <w:rPr>
          <w:sz w:val="20"/>
          <w:lang w:val="fr-FR"/>
        </w:rPr>
        <w:t>.</w:t>
      </w:r>
      <w:r w:rsidRPr="004E44A6">
        <w:rPr>
          <w:sz w:val="20"/>
          <w:lang w:val="fr-FR"/>
        </w:rPr>
        <w:tab/>
        <w:t>Les États-Unis font remarquer que toute référence au changement climatique et/ou à l’Accord de Paris est sans préjudice des positions de ce pays. Les États-Unis font remarquer qu’ils ont soumis</w:t>
      </w:r>
      <w:r w:rsidRPr="004E44A6">
        <w:rPr>
          <w:color w:val="000000"/>
          <w:sz w:val="20"/>
          <w:lang w:val="fr-FR"/>
        </w:rPr>
        <w:t xml:space="preserve">… </w:t>
      </w:r>
    </w:p>
  </w:footnote>
  <w:footnote w:id="45">
    <w:p w14:paraId="55383FBA" w14:textId="1CA2984D" w:rsidR="006564AF" w:rsidRPr="004E44A6" w:rsidRDefault="006564AF" w:rsidP="00484ECE">
      <w:pPr>
        <w:pStyle w:val="NormalWeb"/>
        <w:spacing w:before="0" w:after="0"/>
        <w:ind w:left="720" w:hanging="360"/>
        <w:rPr>
          <w:sz w:val="20"/>
          <w:szCs w:val="20"/>
          <w:lang w:val="fr-FR"/>
        </w:rPr>
      </w:pPr>
      <w:r w:rsidRPr="004E44A6">
        <w:rPr>
          <w:color w:val="000000"/>
          <w:sz w:val="20"/>
          <w:szCs w:val="20"/>
        </w:rPr>
        <w:footnoteRef/>
      </w:r>
      <w:r w:rsidRPr="004E44A6">
        <w:rPr>
          <w:sz w:val="20"/>
          <w:szCs w:val="20"/>
          <w:lang w:val="fr-FR"/>
        </w:rPr>
        <w:t>.</w:t>
      </w:r>
      <w:r w:rsidRPr="004E44A6">
        <w:rPr>
          <w:sz w:val="20"/>
          <w:szCs w:val="20"/>
          <w:lang w:val="fr-FR"/>
        </w:rPr>
        <w:tab/>
      </w:r>
      <w:r w:rsidRPr="004E44A6">
        <w:rPr>
          <w:color w:val="000000"/>
          <w:sz w:val="20"/>
          <w:szCs w:val="20"/>
          <w:lang w:val="fr-FR"/>
        </w:rPr>
        <w:t xml:space="preserve">Idem. </w:t>
      </w:r>
    </w:p>
  </w:footnote>
  <w:footnote w:id="46">
    <w:p w14:paraId="69F19507" w14:textId="5B8FE8F3" w:rsidR="006564AF" w:rsidRPr="004E44A6" w:rsidRDefault="006564AF" w:rsidP="00484ECE">
      <w:pPr>
        <w:ind w:left="720" w:hanging="360"/>
        <w:rPr>
          <w:sz w:val="20"/>
          <w:lang w:val="fr-FR"/>
        </w:rPr>
      </w:pPr>
      <w:r w:rsidRPr="004E44A6">
        <w:rPr>
          <w:color w:val="000000"/>
          <w:sz w:val="20"/>
        </w:rPr>
        <w:footnoteRef/>
      </w:r>
      <w:r w:rsidRPr="004E44A6">
        <w:rPr>
          <w:sz w:val="20"/>
          <w:lang w:val="fr-FR"/>
        </w:rPr>
        <w:t>.</w:t>
      </w:r>
      <w:r w:rsidRPr="004E44A6">
        <w:rPr>
          <w:sz w:val="20"/>
          <w:lang w:val="fr-FR"/>
        </w:rPr>
        <w:tab/>
      </w:r>
      <w:r w:rsidRPr="004E44A6">
        <w:rPr>
          <w:color w:val="202124"/>
          <w:sz w:val="20"/>
          <w:lang w:val="fr-FR"/>
        </w:rPr>
        <w:t>Comme indiqué dans la Déclaration nationale des États-Unis d’Amérique du 7 décembre 2018 sur l’adoption du Pacte mondial pour des migrations sûres, ordonnées et régulières (GCM</w:t>
      </w:r>
      <w:proofErr w:type="gramStart"/>
      <w:r w:rsidRPr="004E44A6">
        <w:rPr>
          <w:color w:val="202124"/>
          <w:sz w:val="20"/>
          <w:lang w:val="fr-FR"/>
        </w:rPr>
        <w:t>),…</w:t>
      </w:r>
      <w:proofErr w:type="gramEnd"/>
      <w:r w:rsidRPr="004E44A6">
        <w:rPr>
          <w:color w:val="202124"/>
          <w:sz w:val="20"/>
          <w:lang w:val="fr-FR"/>
        </w:rPr>
        <w:t xml:space="preserve"> </w:t>
      </w:r>
    </w:p>
  </w:footnote>
  <w:footnote w:id="47">
    <w:p w14:paraId="73EF1697" w14:textId="0F32AEAC" w:rsidR="006564AF" w:rsidRPr="004E44A6" w:rsidRDefault="006564AF" w:rsidP="00484ECE">
      <w:pPr>
        <w:ind w:left="720" w:hanging="360"/>
        <w:rPr>
          <w:sz w:val="20"/>
          <w:lang w:val="fr-FR"/>
        </w:rPr>
      </w:pPr>
      <w:r w:rsidRPr="004E44A6">
        <w:rPr>
          <w:color w:val="000000"/>
          <w:sz w:val="20"/>
        </w:rPr>
        <w:footnoteRef/>
      </w:r>
      <w:r w:rsidRPr="004E44A6">
        <w:rPr>
          <w:sz w:val="20"/>
          <w:lang w:val="fr-FR"/>
        </w:rPr>
        <w:t>.</w:t>
      </w:r>
      <w:r w:rsidRPr="004E44A6">
        <w:rPr>
          <w:sz w:val="20"/>
          <w:lang w:val="fr-FR"/>
        </w:rPr>
        <w:tab/>
      </w:r>
      <w:r w:rsidRPr="004E44A6">
        <w:rPr>
          <w:color w:val="222222"/>
          <w:sz w:val="20"/>
          <w:lang w:val="fr-FR"/>
        </w:rPr>
        <w:t>Les États-Unis estiment que les financements les plus concessionnels devraient être axés sur les pays les plus nécessiteux et les moins capables de mobiliser des financements auprès d’autres source</w:t>
      </w:r>
      <w:r w:rsidR="00BE5CFB" w:rsidRPr="004E44A6">
        <w:rPr>
          <w:color w:val="222222"/>
          <w:sz w:val="20"/>
          <w:lang w:val="fr-FR"/>
        </w:rPr>
        <w:t>s</w:t>
      </w:r>
      <w:r w:rsidRPr="004E44A6">
        <w:rPr>
          <w:color w:val="222222"/>
          <w:sz w:val="20"/>
          <w:lang w:val="fr-FR"/>
        </w:rPr>
        <w:t>.</w:t>
      </w:r>
    </w:p>
  </w:footnote>
  <w:footnote w:id="48">
    <w:p w14:paraId="36429205" w14:textId="77777777" w:rsidR="006564AF" w:rsidRPr="004E44A6" w:rsidRDefault="006564AF" w:rsidP="00484ECE">
      <w:pPr>
        <w:pStyle w:val="NormalWeb"/>
        <w:shd w:val="clear" w:color="auto" w:fill="FFFFFF"/>
        <w:spacing w:before="0" w:after="0"/>
        <w:ind w:left="720" w:hanging="360"/>
        <w:rPr>
          <w:sz w:val="20"/>
          <w:szCs w:val="20"/>
          <w:lang w:val="fr-FR"/>
        </w:rPr>
      </w:pPr>
      <w:r w:rsidRPr="004E44A6">
        <w:rPr>
          <w:color w:val="000000"/>
          <w:sz w:val="20"/>
          <w:szCs w:val="20"/>
        </w:rPr>
        <w:footnoteRef/>
      </w:r>
      <w:r w:rsidRPr="004E44A6">
        <w:rPr>
          <w:sz w:val="20"/>
          <w:szCs w:val="20"/>
          <w:lang w:val="fr-FR"/>
        </w:rPr>
        <w:t>.</w:t>
      </w:r>
      <w:r w:rsidRPr="004E44A6">
        <w:rPr>
          <w:sz w:val="20"/>
          <w:szCs w:val="20"/>
          <w:lang w:val="fr-FR"/>
        </w:rPr>
        <w:tab/>
      </w:r>
      <w:r w:rsidRPr="004E44A6">
        <w:rPr>
          <w:color w:val="222222"/>
          <w:sz w:val="20"/>
          <w:szCs w:val="20"/>
          <w:lang w:val="fr-FR"/>
        </w:rPr>
        <w:t>Les États-Unis notent que les références au changement climatique et/ou à l’Accord de Paris sont sans préjudice des positions des États-Unis.</w:t>
      </w:r>
    </w:p>
  </w:footnote>
  <w:footnote w:id="49">
    <w:p w14:paraId="32B3EAC1" w14:textId="78D09BF7" w:rsidR="006564AF" w:rsidRPr="004E44A6" w:rsidRDefault="006564AF" w:rsidP="00484ECE">
      <w:pPr>
        <w:ind w:left="720" w:hanging="360"/>
        <w:rPr>
          <w:b/>
          <w:sz w:val="20"/>
          <w:lang w:val="fr-FR"/>
        </w:rPr>
      </w:pPr>
      <w:r w:rsidRPr="004E44A6">
        <w:rPr>
          <w:color w:val="000000"/>
          <w:sz w:val="20"/>
        </w:rPr>
        <w:footnoteRef/>
      </w:r>
      <w:r w:rsidRPr="004E44A6">
        <w:rPr>
          <w:sz w:val="20"/>
          <w:lang w:val="fr-FR"/>
        </w:rPr>
        <w:t>.</w:t>
      </w:r>
      <w:r w:rsidRPr="004E44A6">
        <w:rPr>
          <w:sz w:val="20"/>
          <w:shd w:val="clear" w:color="auto" w:fill="FFFFFF"/>
          <w:lang w:val="fr-FR"/>
        </w:rPr>
        <w:t xml:space="preserve"> </w:t>
      </w:r>
      <w:r w:rsidRPr="004E44A6">
        <w:rPr>
          <w:sz w:val="20"/>
          <w:shd w:val="clear" w:color="auto" w:fill="FFFFFF"/>
          <w:lang w:val="fr-FR"/>
        </w:rPr>
        <w:tab/>
        <w:t xml:space="preserve">Ces organisations pourraient comprendre, entre autres, les Nations Unies, la Banque mondiale, le Comité international de la Croix-Rouge (CICR), la </w:t>
      </w:r>
      <w:r w:rsidRPr="004E44A6">
        <w:rPr>
          <w:rStyle w:val="Strong"/>
          <w:b w:val="0"/>
          <w:bCs w:val="0"/>
          <w:sz w:val="20"/>
          <w:shd w:val="clear" w:color="auto" w:fill="FFFFFF"/>
          <w:lang w:val="fr-FR"/>
        </w:rPr>
        <w:t xml:space="preserve">Fédération internationale… </w:t>
      </w:r>
    </w:p>
  </w:footnote>
  <w:footnote w:id="50">
    <w:p w14:paraId="22E9698C" w14:textId="77777777" w:rsidR="006564AF" w:rsidRPr="004E44A6" w:rsidRDefault="006564AF" w:rsidP="00484ECE">
      <w:pPr>
        <w:pStyle w:val="FootnoteText"/>
        <w:tabs>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51">
    <w:p w14:paraId="09F3B12E" w14:textId="00580262"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52">
    <w:p w14:paraId="6F82F580" w14:textId="54F6E4BE" w:rsidR="006564AF" w:rsidRPr="004E44A6" w:rsidRDefault="006564AF" w:rsidP="00484ECE">
      <w:pPr>
        <w:pStyle w:val="FootnoteText"/>
        <w:ind w:left="720"/>
        <w:rPr>
          <w:sz w:val="20"/>
          <w:lang w:val="fr-FR"/>
        </w:rPr>
      </w:pPr>
      <w:r w:rsidRPr="004E44A6">
        <w:rPr>
          <w:sz w:val="20"/>
        </w:rPr>
        <w:footnoteRef/>
      </w:r>
      <w:r w:rsidRPr="004E44A6">
        <w:rPr>
          <w:sz w:val="20"/>
          <w:lang w:val="fr-FR"/>
        </w:rPr>
        <w:t>.</w:t>
      </w:r>
      <w:r w:rsidRPr="004E44A6">
        <w:rPr>
          <w:sz w:val="20"/>
          <w:lang w:val="fr-FR"/>
        </w:rPr>
        <w:tab/>
      </w:r>
      <w:bookmarkStart w:id="43" w:name="_Hlk66427789"/>
      <w:r w:rsidRPr="004E44A6">
        <w:rPr>
          <w:sz w:val="20"/>
          <w:lang w:val="fr-FR"/>
        </w:rPr>
        <w:t>Les États-Unis font remarquer que toute référence au changement climatique et/ou à l’Accord de Paris est sans préjudice des positions de ce pays. Les États-Unis font remarquer qu’ils ont soumis</w:t>
      </w:r>
      <w:bookmarkEnd w:id="43"/>
      <w:r w:rsidRPr="004E44A6">
        <w:rPr>
          <w:sz w:val="20"/>
          <w:lang w:val="fr-FR"/>
        </w:rPr>
        <w:t xml:space="preserve">… </w:t>
      </w:r>
    </w:p>
  </w:footnote>
  <w:footnote w:id="53">
    <w:p w14:paraId="0E1120F2"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54">
    <w:p w14:paraId="2F6CAE5E"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55">
    <w:p w14:paraId="4140E2C5" w14:textId="3FFD7FF9" w:rsidR="00D469AE" w:rsidRPr="00D469AE" w:rsidRDefault="00D469AE" w:rsidP="00D469AE">
      <w:pPr>
        <w:pStyle w:val="FootnoteText"/>
        <w:tabs>
          <w:tab w:val="clear" w:pos="360"/>
        </w:tabs>
        <w:ind w:left="720"/>
        <w:rPr>
          <w:sz w:val="20"/>
          <w:lang w:val="fr-FR"/>
        </w:rPr>
      </w:pPr>
      <w:r w:rsidRPr="00D469AE">
        <w:rPr>
          <w:rStyle w:val="FootnoteReference"/>
          <w:sz w:val="20"/>
        </w:rPr>
        <w:footnoteRef/>
      </w:r>
      <w:r>
        <w:rPr>
          <w:sz w:val="20"/>
          <w:lang w:val="fr-FR"/>
        </w:rPr>
        <w:t>.</w:t>
      </w:r>
      <w:r>
        <w:rPr>
          <w:sz w:val="20"/>
          <w:lang w:val="fr-FR"/>
        </w:rPr>
        <w:tab/>
      </w:r>
      <w:r w:rsidRPr="00D469AE">
        <w:rPr>
          <w:sz w:val="20"/>
          <w:lang w:val="fr-FR"/>
        </w:rPr>
        <w:t>Ces postes demeureront des postes de confiance jusqu’à ce que l’Assemblée générale adopte les modifications aux statuts correspondants qui sont nécessaires pour que le Secrétaire exécutif…</w:t>
      </w:r>
    </w:p>
  </w:footnote>
  <w:footnote w:id="56">
    <w:p w14:paraId="7CC9CF79" w14:textId="42635D22" w:rsidR="00D469AE" w:rsidRPr="009D6D34" w:rsidRDefault="00D469AE" w:rsidP="00D469AE">
      <w:pPr>
        <w:pStyle w:val="FootnoteText"/>
        <w:tabs>
          <w:tab w:val="clear" w:pos="360"/>
        </w:tabs>
        <w:ind w:left="720"/>
        <w:rPr>
          <w:sz w:val="20"/>
          <w:lang w:val="fr-FR"/>
        </w:rPr>
      </w:pPr>
      <w:r w:rsidRPr="00D469AE">
        <w:rPr>
          <w:rStyle w:val="FootnoteReference"/>
          <w:sz w:val="20"/>
        </w:rPr>
        <w:footnoteRef/>
      </w:r>
      <w:r w:rsidRPr="009D6D34">
        <w:rPr>
          <w:sz w:val="20"/>
          <w:lang w:val="fr-FR"/>
        </w:rPr>
        <w:t>.</w:t>
      </w:r>
      <w:r w:rsidRPr="009D6D34">
        <w:rPr>
          <w:sz w:val="20"/>
          <w:lang w:val="fr-FR"/>
        </w:rPr>
        <w:tab/>
      </w:r>
      <w:r w:rsidRPr="00D469AE">
        <w:rPr>
          <w:sz w:val="20"/>
          <w:lang w:val="fr-FR"/>
        </w:rPr>
        <w:t>Idem.</w:t>
      </w:r>
    </w:p>
  </w:footnote>
  <w:footnote w:id="57">
    <w:p w14:paraId="1DF6E5F4"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eastAsia="x-none"/>
        </w:rPr>
        <w:t>.</w:t>
      </w:r>
      <w:r w:rsidRPr="004E44A6">
        <w:rPr>
          <w:sz w:val="20"/>
          <w:lang w:val="fr-FR" w:eastAsia="x-none"/>
        </w:rPr>
        <w:tab/>
        <w:t>Antigua-et-Barbuda considère que la République bolivarienne du Venezuela n’est pas un État membre de l’Organisation des États Américains puisque, le 27 avril 2017, le gouvernement de la République…</w:t>
      </w:r>
    </w:p>
  </w:footnote>
  <w:footnote w:id="58">
    <w:p w14:paraId="0827C98E"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59">
    <w:p w14:paraId="23E0915E"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FR" w:eastAsia="x-none"/>
        </w:rPr>
        <w:footnoteRef/>
      </w:r>
      <w:r w:rsidRPr="004E44A6">
        <w:rPr>
          <w:sz w:val="20"/>
          <w:lang w:val="fr-FR" w:eastAsia="x-none"/>
        </w:rPr>
        <w:t>.</w:t>
      </w:r>
      <w:r w:rsidRPr="004E44A6">
        <w:rPr>
          <w:sz w:val="20"/>
          <w:lang w:val="fr-FR" w:eastAsia="x-none"/>
        </w:rPr>
        <w:tab/>
        <w:t>Le gouvernement de la République du Nicaragua a informé les chefs d’État et de gouvernement présents au Huitième Sommet des Amériques que le Nicaragua n’approuve pas l’Engagement de…</w:t>
      </w:r>
    </w:p>
  </w:footnote>
  <w:footnote w:id="60">
    <w:p w14:paraId="793580D0"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FR" w:eastAsia="x-none"/>
        </w:rPr>
        <w:footnoteRef/>
      </w:r>
      <w:r w:rsidRPr="004E44A6">
        <w:rPr>
          <w:sz w:val="20"/>
          <w:lang w:val="fr-FR" w:eastAsia="x-none"/>
        </w:rPr>
        <w:t>.</w:t>
      </w:r>
      <w:r w:rsidRPr="004E44A6">
        <w:rPr>
          <w:sz w:val="20"/>
          <w:lang w:val="fr-FR" w:eastAsia="x-none"/>
        </w:rPr>
        <w:tab/>
      </w:r>
      <w:r w:rsidRPr="004E44A6">
        <w:rPr>
          <w:sz w:val="20"/>
          <w:lang w:val="fr-FR"/>
        </w:rPr>
        <w:t>Les États-Unis protègent et promeuvent les droits de l’enfant. Toutefois, les États-Unis notent que les pays disposent d’un large éventail de politiques et de mesures qui peuvent être appropriées pour…</w:t>
      </w:r>
    </w:p>
  </w:footnote>
  <w:footnote w:id="61">
    <w:p w14:paraId="149B9836" w14:textId="77777777" w:rsidR="006564AF" w:rsidRPr="004E44A6" w:rsidRDefault="006564AF" w:rsidP="00484ECE">
      <w:pPr>
        <w:pStyle w:val="FootnoteText"/>
        <w:tabs>
          <w:tab w:val="clear" w:pos="360"/>
        </w:tabs>
        <w:ind w:left="720"/>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FR" w:eastAsia="x-none"/>
        </w:rPr>
        <w:t>Voir la note de bas de page 2.</w:t>
      </w:r>
    </w:p>
  </w:footnote>
  <w:footnote w:id="62">
    <w:p w14:paraId="302B11C8"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FR" w:eastAsia="x-none"/>
        </w:rPr>
        <w:t>Voir la note de bas de page 2.</w:t>
      </w:r>
    </w:p>
  </w:footnote>
  <w:footnote w:id="63">
    <w:p w14:paraId="7F55E80A"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rPr>
        <w:t>.</w:t>
      </w:r>
      <w:r w:rsidRPr="004E44A6">
        <w:rPr>
          <w:sz w:val="20"/>
          <w:lang w:val="fr-FR"/>
        </w:rPr>
        <w:tab/>
        <w:t>Les États-Unis notent que le droit international relatif aux droits de la personne ne prévoit pas de droit d’accès à l’information. Le droit à la liberté d’expression comprend la liberté de rechercher, de…</w:t>
      </w:r>
    </w:p>
  </w:footnote>
  <w:footnote w:id="64">
    <w:p w14:paraId="1DB3C54A"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rPr>
        <w:t>.</w:t>
      </w:r>
      <w:r w:rsidRPr="004E44A6">
        <w:rPr>
          <w:sz w:val="20"/>
          <w:lang w:val="fr-FR"/>
        </w:rPr>
        <w:tab/>
        <w:t>Les États-Unis considèrent que différents États disposent de différents moyens pour promouvoir la pleine et véritable participation des femmes aux processus décisionnels, et les États-Unis le font en…</w:t>
      </w:r>
    </w:p>
  </w:footnote>
  <w:footnote w:id="65">
    <w:p w14:paraId="14A472E4"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rPr>
        <w:t>.</w:t>
      </w:r>
      <w:r w:rsidRPr="004E44A6">
        <w:rPr>
          <w:sz w:val="20"/>
          <w:lang w:val="fr-FR"/>
        </w:rPr>
        <w:tab/>
        <w:t>Les États-Unis rappellent que la transparence est essentielle pour une gouvernance efficace et la démocratie, et que les lois garantissant un accès public approprié aux informations…</w:t>
      </w:r>
    </w:p>
  </w:footnote>
  <w:footnote w:id="66">
    <w:p w14:paraId="03D8417D" w14:textId="77777777" w:rsidR="006564AF" w:rsidRPr="004E44A6" w:rsidRDefault="006564AF" w:rsidP="00484ECE">
      <w:pPr>
        <w:pStyle w:val="FootnoteText"/>
        <w:tabs>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67">
    <w:p w14:paraId="6DCB53AD"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68">
    <w:p w14:paraId="1A5515C7" w14:textId="3A33E6A5" w:rsidR="006564AF" w:rsidRPr="004E44A6" w:rsidRDefault="006564AF" w:rsidP="00484ECE">
      <w:pPr>
        <w:pStyle w:val="FootnoteText"/>
        <w:ind w:left="720"/>
        <w:rPr>
          <w:sz w:val="20"/>
          <w:lang w:val="fr-FR"/>
        </w:rPr>
      </w:pPr>
      <w:r w:rsidRPr="004E44A6">
        <w:rPr>
          <w:sz w:val="20"/>
        </w:rPr>
        <w:footnoteRef/>
      </w:r>
      <w:r w:rsidRPr="004E44A6">
        <w:rPr>
          <w:sz w:val="20"/>
          <w:lang w:val="fr-FR"/>
        </w:rPr>
        <w:t>.</w:t>
      </w:r>
      <w:r w:rsidRPr="004E44A6">
        <w:rPr>
          <w:sz w:val="20"/>
          <w:lang w:val="fr-FR"/>
        </w:rPr>
        <w:tab/>
        <w:t xml:space="preserve">Les États-Unis ne sont pas </w:t>
      </w:r>
      <w:proofErr w:type="gramStart"/>
      <w:r w:rsidRPr="004E44A6">
        <w:rPr>
          <w:sz w:val="20"/>
          <w:lang w:val="fr-FR"/>
        </w:rPr>
        <w:t>parties</w:t>
      </w:r>
      <w:proofErr w:type="gramEnd"/>
      <w:r w:rsidRPr="004E44A6">
        <w:rPr>
          <w:sz w:val="20"/>
          <w:lang w:val="fr-FR"/>
        </w:rPr>
        <w:t xml:space="preserve"> à la Convention de l’OEA de 1954 sur l’asile diplomatique et ne reconnaissent pas la pratique de l’asile diplomatique comme une question de droit international… </w:t>
      </w:r>
    </w:p>
  </w:footnote>
  <w:footnote w:id="69">
    <w:p w14:paraId="4D314411" w14:textId="742429CB" w:rsidR="006564AF" w:rsidRPr="004E44A6" w:rsidRDefault="006564AF" w:rsidP="00484ECE">
      <w:pPr>
        <w:pStyle w:val="FootnoteText"/>
        <w:ind w:left="720"/>
        <w:rPr>
          <w:sz w:val="20"/>
          <w:lang w:val="fr-FR"/>
        </w:rPr>
      </w:pPr>
      <w:r w:rsidRPr="004E44A6">
        <w:rPr>
          <w:sz w:val="20"/>
        </w:rPr>
        <w:footnoteRef/>
      </w:r>
      <w:r w:rsidRPr="004E44A6">
        <w:rPr>
          <w:sz w:val="20"/>
          <w:lang w:val="fr-FR"/>
        </w:rPr>
        <w:t>.</w:t>
      </w:r>
      <w:r w:rsidRPr="004E44A6">
        <w:rPr>
          <w:sz w:val="20"/>
          <w:lang w:val="fr-FR"/>
        </w:rPr>
        <w:tab/>
        <w:t>Les États-Unis rappellent qu’un document adopté par le CJI comme étant le produit propre du Comité, tel que les Lignes directrices sur les accords contraignants et non contraignants, ne représente pas…</w:t>
      </w:r>
    </w:p>
  </w:footnote>
  <w:footnote w:id="70">
    <w:p w14:paraId="760D12AB" w14:textId="77777777" w:rsidR="006564AF" w:rsidRPr="004E44A6" w:rsidRDefault="006564AF" w:rsidP="00484ECE">
      <w:pPr>
        <w:pStyle w:val="FootnoteText"/>
        <w:ind w:left="720"/>
        <w:rPr>
          <w:sz w:val="20"/>
          <w:lang w:val="fr-FR"/>
        </w:rPr>
      </w:pPr>
      <w:r w:rsidRPr="004E44A6">
        <w:rPr>
          <w:sz w:val="20"/>
        </w:rPr>
        <w:footnoteRef/>
      </w:r>
      <w:r w:rsidRPr="004E44A6">
        <w:rPr>
          <w:sz w:val="20"/>
          <w:lang w:val="fr-FR"/>
        </w:rPr>
        <w:t xml:space="preserve">. </w:t>
      </w:r>
      <w:r w:rsidRPr="004E44A6">
        <w:rPr>
          <w:sz w:val="20"/>
          <w:lang w:val="fr-FR"/>
        </w:rPr>
        <w:tab/>
        <w:t xml:space="preserve">La position des États-Unis est que ni le droit international coutumier ni la Convention de Genève de 1949 et ses protocoles additionnels n’imposent aux États l’obligation de respecter et de faire… </w:t>
      </w:r>
    </w:p>
  </w:footnote>
  <w:footnote w:id="71">
    <w:p w14:paraId="6E9229CC" w14:textId="77777777" w:rsidR="006564AF" w:rsidRPr="004E44A6" w:rsidRDefault="006564AF" w:rsidP="00484ECE">
      <w:pPr>
        <w:pStyle w:val="FootnoteText"/>
        <w:ind w:left="720"/>
        <w:rPr>
          <w:sz w:val="20"/>
          <w:lang w:val="fr-FR"/>
        </w:rPr>
      </w:pPr>
      <w:r w:rsidRPr="004E44A6">
        <w:rPr>
          <w:sz w:val="20"/>
        </w:rPr>
        <w:footnoteRef/>
      </w:r>
      <w:r w:rsidRPr="004E44A6">
        <w:rPr>
          <w:sz w:val="20"/>
          <w:lang w:val="fr-FR"/>
        </w:rPr>
        <w:t xml:space="preserve">. </w:t>
      </w:r>
      <w:r w:rsidRPr="004E44A6">
        <w:rPr>
          <w:sz w:val="20"/>
          <w:lang w:val="fr-FR"/>
        </w:rPr>
        <w:tab/>
        <w:t xml:space="preserve">Le Canada est engagé à rendre le monde libre d’armes nucléaires et à travailler de façon constructive pour atteindre ce but. Pour ce faire, le Canada met en œuvre ses obligations en tant qu’État partie au… </w:t>
      </w:r>
    </w:p>
  </w:footnote>
  <w:footnote w:id="72">
    <w:p w14:paraId="785A64BA" w14:textId="7A3C806C" w:rsidR="006564AF" w:rsidRPr="004E44A6" w:rsidRDefault="006564AF" w:rsidP="00484ECE">
      <w:pPr>
        <w:pStyle w:val="FootnoteText"/>
        <w:ind w:left="720"/>
        <w:rPr>
          <w:sz w:val="20"/>
          <w:lang w:val="fr-FR"/>
        </w:rPr>
      </w:pPr>
      <w:r w:rsidRPr="004E44A6">
        <w:rPr>
          <w:sz w:val="20"/>
        </w:rPr>
        <w:footnoteRef/>
      </w:r>
      <w:r w:rsidRPr="004E44A6">
        <w:rPr>
          <w:sz w:val="20"/>
          <w:lang w:val="fr-FR"/>
        </w:rPr>
        <w:t xml:space="preserve">. </w:t>
      </w:r>
      <w:r w:rsidRPr="004E44A6">
        <w:rPr>
          <w:sz w:val="20"/>
          <w:lang w:val="fr-FR"/>
        </w:rPr>
        <w:tab/>
        <w:t>Les États-Unis ne soutiennent ni ne signeront le Traité sur l’interdiction des armes nucléaires et ne le considèrent pas comme une « mesure efficace » à l’égard du désarmement comme énoncé…</w:t>
      </w:r>
    </w:p>
  </w:footnote>
  <w:footnote w:id="73">
    <w:p w14:paraId="3ED729E2" w14:textId="7924FA26" w:rsidR="006564AF" w:rsidRPr="004E44A6" w:rsidRDefault="006564AF" w:rsidP="00484ECE">
      <w:pPr>
        <w:pStyle w:val="FootnoteText"/>
        <w:ind w:left="720"/>
        <w:rPr>
          <w:sz w:val="20"/>
          <w:lang w:val="fr-FR"/>
        </w:rPr>
      </w:pPr>
      <w:r w:rsidRPr="004E44A6">
        <w:rPr>
          <w:sz w:val="20"/>
        </w:rPr>
        <w:footnoteRef/>
      </w:r>
      <w:r w:rsidRPr="004E44A6">
        <w:rPr>
          <w:sz w:val="20"/>
          <w:lang w:val="fr-FR"/>
        </w:rPr>
        <w:t>.</w:t>
      </w:r>
      <w:r w:rsidRPr="004E44A6">
        <w:rPr>
          <w:sz w:val="20"/>
          <w:lang w:val="fr-FR"/>
        </w:rPr>
        <w:tab/>
        <w:t>Les États-Unis s’opposent à la discussion proposée sur les systèmes d’armes létaux autonomes dans ce forum. Le Groupe d’experts gouvernementaux sur les technologies émergentes dans le domaine des…</w:t>
      </w:r>
    </w:p>
  </w:footnote>
  <w:footnote w:id="74">
    <w:p w14:paraId="5F6E95BF"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75">
    <w:p w14:paraId="64E7FF31"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76">
    <w:p w14:paraId="3073A7A4"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rStyle w:val="FootnoteReference"/>
          <w:sz w:val="20"/>
          <w:lang w:val="fr-CA" w:eastAsia="x-none"/>
        </w:rPr>
        <w:t>.</w:t>
      </w:r>
      <w:r w:rsidRPr="004E44A6">
        <w:rPr>
          <w:rStyle w:val="FootnoteReference"/>
          <w:sz w:val="20"/>
          <w:lang w:val="fr-CA" w:eastAsia="x-none"/>
        </w:rPr>
        <w:tab/>
      </w:r>
      <w:r w:rsidRPr="004E44A6">
        <w:rPr>
          <w:rStyle w:val="FootnoteReference"/>
          <w:sz w:val="20"/>
          <w:lang w:val="fr-FR"/>
        </w:rPr>
        <w:t>Le Gouvernement de Sainte-Lucie appuie tous les efforts visant la promotion et la protection des droits de tous les citoyens et demeure engagé envers les obligations qu’il a contractées aux termes de la</w:t>
      </w:r>
      <w:r w:rsidRPr="004E44A6">
        <w:rPr>
          <w:sz w:val="20"/>
          <w:lang w:val="fr-FR"/>
        </w:rPr>
        <w:t>…</w:t>
      </w:r>
      <w:r w:rsidRPr="004E44A6">
        <w:rPr>
          <w:rStyle w:val="FootnoteReference"/>
          <w:sz w:val="20"/>
          <w:lang w:val="fr-FR"/>
        </w:rPr>
        <w:t xml:space="preserve"> </w:t>
      </w:r>
    </w:p>
  </w:footnote>
  <w:footnote w:id="77">
    <w:p w14:paraId="5FF2FD97" w14:textId="77777777" w:rsidR="006564AF" w:rsidRPr="004E44A6" w:rsidRDefault="006564AF" w:rsidP="00484ECE">
      <w:pPr>
        <w:pStyle w:val="FootnoteText"/>
        <w:tabs>
          <w:tab w:val="clear" w:pos="360"/>
        </w:tabs>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Antigua-et-Barbuda considère que la République bolivarienne du Venezuela n’est pas un État membre de l’Organisation des États Américains puisque, le 27 avril 2017, le gouvernement de la République…</w:t>
      </w:r>
    </w:p>
  </w:footnote>
  <w:footnote w:id="78">
    <w:p w14:paraId="4DE1CF6E" w14:textId="4E7AD83E" w:rsidR="006564AF" w:rsidRPr="004E44A6" w:rsidRDefault="006564AF" w:rsidP="007D2B0C">
      <w:pPr>
        <w:pStyle w:val="FootnoteText"/>
        <w:tabs>
          <w:tab w:val="clear" w:pos="360"/>
        </w:tabs>
        <w:ind w:left="720"/>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79">
    <w:p w14:paraId="07F780D8"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FR" w:eastAsia="x-none"/>
        </w:rPr>
        <w:t>.</w:t>
      </w:r>
      <w:r w:rsidRPr="004E44A6">
        <w:rPr>
          <w:sz w:val="20"/>
          <w:lang w:val="fr-FR" w:eastAsia="x-none"/>
        </w:rPr>
        <w:tab/>
      </w:r>
      <w:r w:rsidRPr="004E44A6">
        <w:rPr>
          <w:iCs/>
          <w:sz w:val="20"/>
          <w:lang w:val="fr-FR" w:eastAsia="x-none"/>
        </w:rPr>
        <w:t xml:space="preserve">Les États-Unis notent que la présente résolution fait référence à des « droits » qui ne sont pas prévus dans le droit international coutumier ou dans aucun des traités auxquels les États-Unis sont </w:t>
      </w:r>
      <w:proofErr w:type="gramStart"/>
      <w:r w:rsidRPr="004E44A6">
        <w:rPr>
          <w:iCs/>
          <w:sz w:val="20"/>
          <w:lang w:val="fr-FR" w:eastAsia="x-none"/>
        </w:rPr>
        <w:t>parties,…</w:t>
      </w:r>
      <w:proofErr w:type="gramEnd"/>
    </w:p>
  </w:footnote>
  <w:footnote w:id="80">
    <w:p w14:paraId="3D16A307"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 xml:space="preserve">. </w:t>
      </w:r>
      <w:r w:rsidRPr="004E44A6">
        <w:rPr>
          <w:sz w:val="20"/>
          <w:lang w:val="fr-CA" w:eastAsia="x-none"/>
        </w:rPr>
        <w:tab/>
      </w:r>
      <w:r w:rsidRPr="004E44A6">
        <w:rPr>
          <w:sz w:val="20"/>
          <w:lang w:val="fr-FR" w:eastAsia="x-none"/>
        </w:rPr>
        <w:t>Les États-Unis notent que le premier paragraphe du préambule de cette section fait référence à plusieurs « droits » non prévus dans le droit international coutumier ni dans aucun des traités…</w:t>
      </w:r>
    </w:p>
  </w:footnote>
  <w:footnote w:id="81">
    <w:p w14:paraId="2879251A" w14:textId="77777777" w:rsidR="006564AF" w:rsidRPr="004E44A6" w:rsidRDefault="006564AF" w:rsidP="00484ECE">
      <w:pPr>
        <w:pStyle w:val="FootnoteText"/>
        <w:tabs>
          <w:tab w:val="clear" w:pos="360"/>
        </w:tabs>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Les États-Unis protègent et promeuvent les droits de l'enfant. Toutefois, les États-Unis notent que les pays disposent d'un large éventail de politiques et de mesures qui peuvent être appropriées…</w:t>
      </w:r>
    </w:p>
  </w:footnote>
  <w:footnote w:id="82">
    <w:p w14:paraId="4A911CF4" w14:textId="77777777" w:rsidR="006564AF" w:rsidRPr="004E44A6" w:rsidRDefault="006564AF" w:rsidP="00484ECE">
      <w:pPr>
        <w:pStyle w:val="FootnoteText"/>
        <w:tabs>
          <w:tab w:val="clear" w:pos="360"/>
        </w:tabs>
        <w:ind w:left="720"/>
        <w:rPr>
          <w:sz w:val="20"/>
          <w:lang w:val="fr-FR"/>
        </w:rPr>
      </w:pPr>
      <w:r w:rsidRPr="004E44A6">
        <w:rPr>
          <w:rStyle w:val="FootnoteReference"/>
          <w:sz w:val="20"/>
        </w:rPr>
        <w:footnoteRef/>
      </w:r>
      <w:r w:rsidRPr="004E44A6">
        <w:rPr>
          <w:sz w:val="20"/>
          <w:lang w:val="fr-CA" w:eastAsia="x-none"/>
        </w:rPr>
        <w:t>.</w:t>
      </w:r>
      <w:r w:rsidRPr="004E44A6">
        <w:rPr>
          <w:sz w:val="20"/>
          <w:lang w:val="fr-CA" w:eastAsia="x-none"/>
        </w:rPr>
        <w:tab/>
      </w:r>
      <w:r w:rsidRPr="004E44A6">
        <w:rPr>
          <w:sz w:val="20"/>
          <w:lang w:val="fr-FR" w:eastAsia="x-none"/>
        </w:rPr>
        <w:t xml:space="preserve">Les États-Unis ne sont pas </w:t>
      </w:r>
      <w:proofErr w:type="gramStart"/>
      <w:r w:rsidRPr="004E44A6">
        <w:rPr>
          <w:sz w:val="20"/>
          <w:lang w:val="fr-FR" w:eastAsia="x-none"/>
        </w:rPr>
        <w:t>parties</w:t>
      </w:r>
      <w:proofErr w:type="gramEnd"/>
      <w:r w:rsidRPr="004E44A6">
        <w:rPr>
          <w:sz w:val="20"/>
          <w:lang w:val="fr-FR" w:eastAsia="x-none"/>
        </w:rPr>
        <w:t xml:space="preserve"> à la Convention internationale pour la protection de toutes les personnes contre les disparitions forcées ni à la Convention interaméricaine sur la disparition forcée…</w:t>
      </w:r>
    </w:p>
  </w:footnote>
  <w:footnote w:id="83">
    <w:p w14:paraId="3C10938F" w14:textId="77777777" w:rsidR="006564AF" w:rsidRPr="004E44A6" w:rsidRDefault="006564AF" w:rsidP="00484ECE">
      <w:pPr>
        <w:pStyle w:val="FootnoteText"/>
        <w:tabs>
          <w:tab w:val="clear" w:pos="360"/>
          <w:tab w:val="left" w:pos="720"/>
        </w:tabs>
        <w:ind w:left="720"/>
        <w:rPr>
          <w:sz w:val="20"/>
          <w:lang w:val="fr-FR"/>
        </w:rPr>
      </w:pPr>
      <w:r w:rsidRPr="004E44A6">
        <w:rPr>
          <w:rStyle w:val="FootnoteReference"/>
          <w:sz w:val="20"/>
        </w:rPr>
        <w:footnoteRef/>
      </w:r>
      <w:r w:rsidRPr="004E44A6">
        <w:rPr>
          <w:sz w:val="20"/>
          <w:lang w:val="fr-CA" w:eastAsia="x-none"/>
        </w:rPr>
        <w:t>.</w:t>
      </w:r>
      <w:r w:rsidRPr="004E44A6">
        <w:rPr>
          <w:sz w:val="20"/>
          <w:lang w:val="fr-CA" w:eastAsia="x-none"/>
        </w:rPr>
        <w:tab/>
        <w:t>Le Brésil se joint au consensus, étant entendu que l'expression « droits environnementaux », quoique ne figurant pas dans le Protocole de San Salvador, fait référence aux obligations des États…</w:t>
      </w:r>
    </w:p>
  </w:footnote>
  <w:footnote w:id="84">
    <w:p w14:paraId="62F9A366"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eastAsia="x-none"/>
        </w:rPr>
        <w:t xml:space="preserve">. </w:t>
      </w:r>
      <w:r w:rsidRPr="004E44A6">
        <w:rPr>
          <w:sz w:val="20"/>
          <w:lang w:val="fr-CA" w:eastAsia="x-none"/>
        </w:rPr>
        <w:tab/>
        <w:t>Le Costa Rica fait connaître sa position concernant le paragraphe 6 du préambule de cette section. Au Costa Rica, la liberté de culte est garantie par l'article 75 de la Constitution politique et par la…</w:t>
      </w:r>
    </w:p>
  </w:footnote>
  <w:footnote w:id="85">
    <w:p w14:paraId="1DFE60B7" w14:textId="77777777" w:rsidR="006564AF" w:rsidRPr="004E44A6" w:rsidRDefault="006564AF" w:rsidP="00484ECE">
      <w:pPr>
        <w:pStyle w:val="FootnoteText"/>
        <w:tabs>
          <w:tab w:val="clear" w:pos="360"/>
        </w:tabs>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r>
      <w:r w:rsidRPr="004E44A6">
        <w:rPr>
          <w:sz w:val="20"/>
          <w:lang w:val="fr-CA" w:eastAsia="x-none"/>
        </w:rPr>
        <w:t>La délégation de la Bolivie se joint au consensus de la résolution, en faisant remarquer qu’elle estime qu’il s’agit d’un reflet adéquat du droit international des droits de la personne, sans que cela signifie…</w:t>
      </w:r>
    </w:p>
  </w:footnote>
  <w:footnote w:id="86">
    <w:p w14:paraId="42D10C18" w14:textId="77777777" w:rsidR="006564AF" w:rsidRPr="004E44A6" w:rsidRDefault="006564AF" w:rsidP="00484ECE">
      <w:pPr>
        <w:ind w:left="720" w:hanging="360"/>
        <w:rPr>
          <w:sz w:val="20"/>
          <w:lang w:val="fr-FR"/>
        </w:rPr>
      </w:pPr>
      <w:r w:rsidRPr="004E44A6">
        <w:rPr>
          <w:rStyle w:val="FootnoteReference"/>
          <w:sz w:val="20"/>
        </w:rPr>
        <w:footnoteRef/>
      </w:r>
      <w:r w:rsidRPr="004E44A6">
        <w:rPr>
          <w:sz w:val="20"/>
          <w:lang w:val="fr-FR"/>
        </w:rPr>
        <w:t>.</w:t>
      </w:r>
      <w:r w:rsidRPr="004E44A6">
        <w:rPr>
          <w:sz w:val="20"/>
          <w:lang w:val="fr-FR"/>
        </w:rPr>
        <w:tab/>
      </w:r>
      <w:r w:rsidRPr="004E44A6">
        <w:rPr>
          <w:sz w:val="20"/>
          <w:lang w:val="fr-CA"/>
        </w:rPr>
        <w:t>L'État du Guatemala déclare qu'il promeut et défend les droits de la personne reconnus dans les pactes internationaux, pour tous ses citoyens, sous la protection des dispositions de la Constitution…</w:t>
      </w:r>
    </w:p>
  </w:footnote>
  <w:footnote w:id="87">
    <w:p w14:paraId="68C9D6B9" w14:textId="77777777" w:rsidR="006564AF" w:rsidRPr="004E44A6" w:rsidRDefault="006564AF" w:rsidP="00484ECE">
      <w:pPr>
        <w:ind w:left="720" w:hanging="360"/>
        <w:rPr>
          <w:sz w:val="20"/>
          <w:lang w:val="fr-FR"/>
        </w:rPr>
      </w:pPr>
      <w:r w:rsidRPr="004E44A6">
        <w:rPr>
          <w:rStyle w:val="FootnoteReference"/>
          <w:sz w:val="20"/>
          <w:lang w:val="fr-CA"/>
        </w:rPr>
        <w:footnoteRef/>
      </w:r>
      <w:r w:rsidRPr="004E44A6">
        <w:rPr>
          <w:sz w:val="20"/>
          <w:lang w:val="fr-CA"/>
        </w:rPr>
        <w:t xml:space="preserve">. </w:t>
      </w:r>
      <w:r w:rsidRPr="004E44A6">
        <w:rPr>
          <w:sz w:val="20"/>
          <w:lang w:val="fr-CA"/>
        </w:rPr>
        <w:tab/>
      </w:r>
      <w:r w:rsidRPr="004E44A6">
        <w:rPr>
          <w:sz w:val="20"/>
          <w:lang w:val="fr-FR"/>
        </w:rPr>
        <w:t>Les États-Unis comprennent que les efforts visant à éradiquer le racisme et la discrimination doivent être conformes aux obligations et engagements internationaux souscrits par les États en matière…</w:t>
      </w:r>
    </w:p>
  </w:footnote>
  <w:footnote w:id="88">
    <w:p w14:paraId="223F6787" w14:textId="77777777" w:rsidR="006564AF" w:rsidRPr="004E44A6" w:rsidRDefault="006564AF" w:rsidP="00484ECE">
      <w:pPr>
        <w:pStyle w:val="FootnoteText"/>
        <w:ind w:left="720"/>
        <w:rPr>
          <w:sz w:val="20"/>
          <w:lang w:val="fr-FR"/>
        </w:rPr>
      </w:pPr>
      <w:r w:rsidRPr="004E44A6">
        <w:rPr>
          <w:rStyle w:val="FootnoteReference"/>
          <w:sz w:val="20"/>
          <w:lang w:val="fr-CA" w:eastAsia="x-none"/>
        </w:rPr>
        <w:footnoteRef/>
      </w:r>
      <w:r w:rsidRPr="004E44A6">
        <w:rPr>
          <w:sz w:val="20"/>
          <w:lang w:val="fr-CA" w:eastAsia="x-none"/>
        </w:rPr>
        <w:t xml:space="preserve">. </w:t>
      </w:r>
      <w:r w:rsidRPr="004E44A6">
        <w:rPr>
          <w:sz w:val="20"/>
          <w:lang w:val="fr-CA" w:eastAsia="x-none"/>
        </w:rPr>
        <w:tab/>
      </w:r>
      <w:r w:rsidRPr="004E44A6">
        <w:rPr>
          <w:iCs/>
          <w:sz w:val="20"/>
          <w:lang w:val="fr-FR" w:eastAsia="x-none"/>
        </w:rPr>
        <w:t>Aux États-Unis, les personnes accusées de crimes ou de délits pouvant entraîner une peine d'emprisonnement et les prévenus mineurs ont droit à un avocat désigné aux frais de l'État s'ils n'en…</w:t>
      </w:r>
    </w:p>
  </w:footnote>
  <w:footnote w:id="89">
    <w:p w14:paraId="7573643B" w14:textId="77777777" w:rsidR="006564AF" w:rsidRPr="004E44A6" w:rsidRDefault="006564AF" w:rsidP="00484ECE">
      <w:pPr>
        <w:pStyle w:val="FootnoteText"/>
        <w:ind w:left="720"/>
        <w:rPr>
          <w:sz w:val="20"/>
          <w:lang w:val="fr-FR"/>
        </w:rPr>
      </w:pPr>
      <w:r w:rsidRPr="004E44A6">
        <w:rPr>
          <w:rStyle w:val="FootnoteReference"/>
          <w:sz w:val="20"/>
          <w:lang w:val="fr-CA" w:eastAsia="x-none"/>
        </w:rPr>
        <w:footnoteRef/>
      </w:r>
      <w:r w:rsidRPr="004E44A6">
        <w:rPr>
          <w:sz w:val="20"/>
          <w:lang w:val="fr-CA" w:eastAsia="x-none"/>
        </w:rPr>
        <w:t xml:space="preserve">. </w:t>
      </w:r>
      <w:r w:rsidRPr="004E44A6">
        <w:rPr>
          <w:sz w:val="20"/>
          <w:lang w:val="fr-CA" w:eastAsia="x-none"/>
        </w:rPr>
        <w:tab/>
        <w:t>Concernant le paragraphe 3 du dispositif de la présente section, la République du Chili n’a pas souscrit l’Accord régional sur l’accès à l’information, la participation publique et l’accès à la justice à…</w:t>
      </w:r>
    </w:p>
  </w:footnote>
  <w:footnote w:id="90">
    <w:p w14:paraId="66D9227E" w14:textId="1DBFAC2F" w:rsidR="006564AF" w:rsidRPr="004E44A6" w:rsidRDefault="006564AF" w:rsidP="00484ECE">
      <w:pPr>
        <w:autoSpaceDE w:val="0"/>
        <w:autoSpaceDN w:val="0"/>
        <w:adjustRightInd w:val="0"/>
        <w:ind w:left="720" w:hanging="360"/>
        <w:rPr>
          <w:sz w:val="20"/>
          <w:lang w:val="fr-FR"/>
        </w:rPr>
      </w:pPr>
      <w:r w:rsidRPr="004E44A6">
        <w:rPr>
          <w:rStyle w:val="FootnoteReference"/>
          <w:sz w:val="20"/>
          <w:lang w:val="fr-CA"/>
        </w:rPr>
        <w:footnoteRef/>
      </w:r>
      <w:r w:rsidRPr="004E44A6">
        <w:rPr>
          <w:sz w:val="20"/>
          <w:lang w:val="fr-CA"/>
        </w:rPr>
        <w:t>.</w:t>
      </w:r>
      <w:r w:rsidRPr="004E44A6">
        <w:rPr>
          <w:sz w:val="20"/>
          <w:lang w:val="fr-CA"/>
        </w:rPr>
        <w:tab/>
      </w:r>
      <w:r w:rsidRPr="004E44A6">
        <w:rPr>
          <w:color w:val="000000"/>
          <w:sz w:val="20"/>
          <w:lang w:val="fr-CA" w:eastAsia="es-MX"/>
        </w:rPr>
        <w:t>Rapport 2019 sur les tendances mondiales en matière de déplacements forcés, page 75, HCR. Peut être consulté à l’adresse suivante</w:t>
      </w:r>
      <w:r w:rsidR="00EE444E" w:rsidRPr="004E44A6">
        <w:rPr>
          <w:color w:val="000000"/>
          <w:sz w:val="20"/>
          <w:lang w:val="fr-CA" w:eastAsia="es-MX"/>
        </w:rPr>
        <w:t xml:space="preserve"> </w:t>
      </w:r>
      <w:r w:rsidRPr="004E44A6">
        <w:rPr>
          <w:color w:val="000000"/>
          <w:sz w:val="20"/>
          <w:lang w:val="fr-CA" w:eastAsia="es-MX"/>
        </w:rPr>
        <w:t xml:space="preserve">: </w:t>
      </w:r>
      <w:r w:rsidRPr="004E44A6">
        <w:rPr>
          <w:color w:val="0000FF"/>
          <w:sz w:val="20"/>
          <w:u w:val="single"/>
          <w:lang w:val="fr-CA" w:eastAsia="es-MX"/>
        </w:rPr>
        <w:t>https://www.acnur.org/5eeaf5664.pdf</w:t>
      </w:r>
    </w:p>
  </w:footnote>
  <w:footnote w:id="91">
    <w:p w14:paraId="330D2DBE"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r>
      <w:r w:rsidRPr="004E44A6">
        <w:rPr>
          <w:sz w:val="20"/>
          <w:lang w:val="fr-FR" w:eastAsia="x-none"/>
        </w:rPr>
        <w:t>Les États-Unis rappellent que ces mesures doivent être conformes aux obligations et engagements des États en matière de droits de la personne, y compris en ce qui concerne la liberté d'expression</w:t>
      </w:r>
      <w:r w:rsidRPr="004E44A6">
        <w:rPr>
          <w:sz w:val="20"/>
          <w:lang w:val="fr-CA" w:eastAsia="x-none"/>
        </w:rPr>
        <w:t>.</w:t>
      </w:r>
    </w:p>
  </w:footnote>
  <w:footnote w:id="92">
    <w:p w14:paraId="1BA09011"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 xml:space="preserve">. </w:t>
      </w:r>
      <w:r w:rsidRPr="004E44A6">
        <w:rPr>
          <w:sz w:val="20"/>
          <w:lang w:val="fr-CA" w:eastAsia="x-none"/>
        </w:rPr>
        <w:tab/>
      </w:r>
      <w:r w:rsidRPr="004E44A6">
        <w:rPr>
          <w:bCs/>
          <w:sz w:val="20"/>
          <w:lang w:val="fr-FR" w:eastAsia="x-none"/>
        </w:rPr>
        <w:t>Le Gouvernement de la Jamaïque réaffirme son engagement à respecter et à promouvoir les droits de la personne ainsi qu'à protéger et à défendre les droits fondamentaux de tous ses citoyens, y…</w:t>
      </w:r>
    </w:p>
  </w:footnote>
  <w:footnote w:id="93">
    <w:p w14:paraId="79C39EEF"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r>
      <w:r w:rsidRPr="004E44A6">
        <w:rPr>
          <w:bCs/>
          <w:iCs/>
          <w:sz w:val="20"/>
          <w:lang w:val="fr-FR" w:eastAsia="x-none"/>
        </w:rPr>
        <w:t>Trinité-et-Tobago ne peut se joindre au consensus sur cette section en raison d'un conflit avec la législation nationale en vigueur. Le Gouvernement de Trinité-et-Tobago reste fermement attaché à…</w:t>
      </w:r>
    </w:p>
  </w:footnote>
  <w:footnote w:id="94">
    <w:p w14:paraId="60B530F5"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r>
      <w:r w:rsidRPr="004E44A6">
        <w:rPr>
          <w:sz w:val="20"/>
          <w:shd w:val="clear" w:color="auto" w:fill="FFFFFF"/>
          <w:lang w:val="fr-FR" w:eastAsia="x-none"/>
        </w:rPr>
        <w:t xml:space="preserve">La </w:t>
      </w:r>
      <w:r w:rsidRPr="004E44A6">
        <w:rPr>
          <w:sz w:val="20"/>
          <w:lang w:val="fr-FR" w:eastAsia="x-none"/>
        </w:rPr>
        <w:t xml:space="preserve">République du Paraguay réitère son engagement en faveur des principes de la </w:t>
      </w:r>
      <w:r w:rsidRPr="004E44A6">
        <w:rPr>
          <w:sz w:val="20"/>
          <w:shd w:val="clear" w:color="auto" w:fill="FFFFFF"/>
          <w:lang w:val="fr-FR" w:eastAsia="x-none"/>
        </w:rPr>
        <w:t>Déclaration universelle des droits de l’Homme et des conventions internationales signées dans ce…</w:t>
      </w:r>
    </w:p>
  </w:footnote>
  <w:footnote w:id="95">
    <w:p w14:paraId="222403D8" w14:textId="77777777" w:rsidR="006564AF" w:rsidRPr="004E44A6" w:rsidRDefault="006564AF" w:rsidP="00484ECE">
      <w:pPr>
        <w:pStyle w:val="FootnoteText"/>
        <w:tabs>
          <w:tab w:val="clear" w:pos="360"/>
        </w:tabs>
        <w:ind w:left="720"/>
        <w:rPr>
          <w:sz w:val="20"/>
          <w:lang w:val="fr-FR"/>
        </w:rPr>
      </w:pPr>
      <w:r w:rsidRPr="004E44A6">
        <w:rPr>
          <w:sz w:val="20"/>
        </w:rPr>
        <w:footnoteRef/>
      </w:r>
      <w:r w:rsidRPr="004E44A6">
        <w:rPr>
          <w:sz w:val="20"/>
          <w:lang w:val="fr-CA" w:eastAsia="x-none"/>
        </w:rPr>
        <w:t>.</w:t>
      </w:r>
      <w:r w:rsidRPr="004E44A6">
        <w:rPr>
          <w:sz w:val="20"/>
          <w:lang w:val="fr-CA" w:eastAsia="x-none"/>
        </w:rPr>
        <w:tab/>
        <w:t xml:space="preserve">Le Gouvernement de Sainte-Lucie demeure engagé envers toutes les obligations qu’il a contractées aux termes de la Déclaration universelle des droits de l’homme et des conventions internationales… </w:t>
      </w:r>
    </w:p>
  </w:footnote>
  <w:footnote w:id="96">
    <w:p w14:paraId="5AB42AF7"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r>
      <w:r w:rsidRPr="004E44A6">
        <w:rPr>
          <w:sz w:val="20"/>
          <w:lang w:val="fr-FR" w:eastAsia="x-none"/>
        </w:rPr>
        <w:t>Voir la note de bas de page 10</w:t>
      </w:r>
      <w:r w:rsidRPr="004E44A6">
        <w:rPr>
          <w:sz w:val="20"/>
          <w:lang w:val="fr-CA" w:eastAsia="x-none"/>
        </w:rPr>
        <w:t>.</w:t>
      </w:r>
    </w:p>
  </w:footnote>
  <w:footnote w:id="97">
    <w:p w14:paraId="4CE13A18" w14:textId="53E92405"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t xml:space="preserve">La République du Honduras affirme son engagement en faveur des droits de la personne et envers les Conventions internationales et, s’agissant des dispositions contenues dans la présente </w:t>
      </w:r>
      <w:r w:rsidR="000164F1" w:rsidRPr="004E44A6">
        <w:rPr>
          <w:sz w:val="20"/>
          <w:lang w:val="fr-CA" w:eastAsia="x-none"/>
        </w:rPr>
        <w:t>résolution, …</w:t>
      </w:r>
    </w:p>
  </w:footnote>
  <w:footnote w:id="98">
    <w:p w14:paraId="777E87ED" w14:textId="1BFDC3AD"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rStyle w:val="FootnoteReference"/>
          <w:sz w:val="20"/>
          <w:lang w:val="fr-CA" w:eastAsia="x-none"/>
        </w:rPr>
        <w:t>.</w:t>
      </w:r>
      <w:r w:rsidRPr="004E44A6">
        <w:rPr>
          <w:sz w:val="20"/>
          <w:lang w:val="fr-CA" w:eastAsia="x-none"/>
        </w:rPr>
        <w:tab/>
        <w:t xml:space="preserve">Le </w:t>
      </w:r>
      <w:r w:rsidR="00EF74FD" w:rsidRPr="004E44A6">
        <w:rPr>
          <w:sz w:val="20"/>
          <w:lang w:val="fr-CA" w:eastAsia="x-none"/>
        </w:rPr>
        <w:t>G</w:t>
      </w:r>
      <w:r w:rsidRPr="004E44A6">
        <w:rPr>
          <w:sz w:val="20"/>
          <w:lang w:val="fr-CA" w:eastAsia="x-none"/>
        </w:rPr>
        <w:t>ouvernement du Suriname demeure engagé à promouvoir et à défendre les droits de la personne et les libertés fondamentales pour tous. Conformément aux dispositions pertinentes de notre…</w:t>
      </w:r>
    </w:p>
  </w:footnote>
  <w:footnote w:id="99">
    <w:p w14:paraId="4C318DCD" w14:textId="6B118BB2" w:rsidR="006564AF" w:rsidRPr="004E44A6" w:rsidRDefault="006564AF" w:rsidP="00484ECE">
      <w:pPr>
        <w:pStyle w:val="FootnoteText"/>
        <w:tabs>
          <w:tab w:val="clear" w:pos="360"/>
        </w:tabs>
        <w:ind w:left="720"/>
        <w:rPr>
          <w:sz w:val="20"/>
          <w:lang w:val="fr-FR"/>
        </w:rPr>
      </w:pPr>
      <w:r w:rsidRPr="004E44A6">
        <w:rPr>
          <w:sz w:val="20"/>
          <w:lang w:val="fr-CA" w:eastAsia="x-none"/>
        </w:rPr>
        <w:footnoteRef/>
      </w:r>
      <w:r w:rsidRPr="004E44A6">
        <w:rPr>
          <w:sz w:val="20"/>
          <w:lang w:val="fr-CA" w:eastAsia="x-none"/>
        </w:rPr>
        <w:t>.</w:t>
      </w:r>
      <w:r w:rsidRPr="004E44A6">
        <w:rPr>
          <w:sz w:val="20"/>
          <w:lang w:val="fr-CA" w:eastAsia="x-none"/>
        </w:rPr>
        <w:tab/>
      </w:r>
      <w:r w:rsidRPr="004E44A6">
        <w:rPr>
          <w:iCs/>
          <w:color w:val="000000"/>
          <w:sz w:val="20"/>
          <w:lang w:val="fr-FR" w:eastAsia="x-none"/>
        </w:rPr>
        <w:t>Saint-Vincent-et-les-Grenadines n’est pas en mesure de s’unir au consensus sur l’approbation de cette section de la résolution. Saint-Vincent-et-les-Grenadines promeut et défend les droits de la personne…</w:t>
      </w:r>
    </w:p>
  </w:footnote>
  <w:footnote w:id="100">
    <w:p w14:paraId="2419D14F"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r>
      <w:r w:rsidRPr="004E44A6">
        <w:rPr>
          <w:bCs/>
          <w:iCs/>
          <w:color w:val="000000"/>
          <w:sz w:val="20"/>
          <w:lang w:val="fr-CA" w:eastAsia="x-none"/>
        </w:rPr>
        <w:t>Le Gouvernement de la Barbade affirme que cette section de la résolution contient un certain nombre de questions et de termes qui ne sont ni reflétés dans ses lois nationales ni l’objet d’un consensus…</w:t>
      </w:r>
    </w:p>
  </w:footnote>
  <w:footnote w:id="101">
    <w:p w14:paraId="0D7F8364" w14:textId="05EDE79E"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 xml:space="preserve">Le </w:t>
      </w:r>
      <w:r w:rsidR="00EF74FD" w:rsidRPr="004E44A6">
        <w:rPr>
          <w:sz w:val="20"/>
          <w:lang w:val="fr-FR" w:eastAsia="x-none"/>
        </w:rPr>
        <w:t>G</w:t>
      </w:r>
      <w:r w:rsidRPr="004E44A6">
        <w:rPr>
          <w:sz w:val="20"/>
          <w:lang w:val="fr-FR" w:eastAsia="x-none"/>
        </w:rPr>
        <w:t>ouvernement de la République du Paraguay n’adhère pas à la « Déclaration de Santo Domingo sur l’égalité et l’autonomie dans l’exercice des droits politiques des femmes pour le renforcement de la…</w:t>
      </w:r>
    </w:p>
  </w:footnote>
  <w:footnote w:id="102">
    <w:p w14:paraId="6FE055F0"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Voir la note de bas de page 10</w:t>
      </w:r>
      <w:r w:rsidRPr="004E44A6">
        <w:rPr>
          <w:sz w:val="20"/>
          <w:lang w:val="fr-CA" w:eastAsia="x-none"/>
        </w:rPr>
        <w:t>.</w:t>
      </w:r>
    </w:p>
  </w:footnote>
  <w:footnote w:id="103">
    <w:p w14:paraId="0C4DC463" w14:textId="77777777" w:rsidR="006564AF" w:rsidRPr="004E44A6" w:rsidRDefault="006564AF" w:rsidP="00484ECE">
      <w:pPr>
        <w:pStyle w:val="FootnoteText"/>
        <w:ind w:left="720"/>
        <w:rPr>
          <w:sz w:val="20"/>
          <w:lang w:val="fr-CA" w:eastAsia="x-none"/>
        </w:rPr>
      </w:pPr>
      <w:r w:rsidRPr="004E44A6">
        <w:rPr>
          <w:sz w:val="20"/>
        </w:rPr>
        <w:footnoteRef/>
      </w:r>
      <w:r w:rsidRPr="004E44A6">
        <w:rPr>
          <w:sz w:val="20"/>
          <w:lang w:val="fr-CA" w:eastAsia="x-none"/>
        </w:rPr>
        <w:t>.</w:t>
      </w:r>
      <w:r w:rsidRPr="004E44A6">
        <w:rPr>
          <w:sz w:val="20"/>
          <w:lang w:val="fr-CA" w:eastAsia="x-none"/>
        </w:rPr>
        <w:tab/>
        <w:t xml:space="preserve">Le Gouvernement de Sainte-Lucie soutient tous les efforts visant la promotion de l’équité et de l’égalité des sexes ainsi que des droits fondamentaux de toutes les femmes et les fillettes, de même… </w:t>
      </w:r>
    </w:p>
  </w:footnote>
  <w:footnote w:id="104">
    <w:p w14:paraId="1E73C888"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CA" w:eastAsia="x-none"/>
        </w:rPr>
        <w:t>.</w:t>
      </w:r>
      <w:r w:rsidRPr="004E44A6">
        <w:rPr>
          <w:sz w:val="20"/>
          <w:lang w:val="fr-CA" w:eastAsia="x-none"/>
        </w:rPr>
        <w:tab/>
      </w:r>
      <w:r w:rsidRPr="004E44A6">
        <w:rPr>
          <w:sz w:val="20"/>
          <w:lang w:val="fr-FR" w:eastAsia="x-none"/>
        </w:rPr>
        <w:t xml:space="preserve">Les États-Unis ne sont pas en mesure de s’associer à cette section de la présente résolution car ils ne sont pas </w:t>
      </w:r>
      <w:proofErr w:type="gramStart"/>
      <w:r w:rsidRPr="004E44A6">
        <w:rPr>
          <w:sz w:val="20"/>
          <w:lang w:val="fr-FR" w:eastAsia="x-none"/>
        </w:rPr>
        <w:t>parties</w:t>
      </w:r>
      <w:proofErr w:type="gramEnd"/>
      <w:r w:rsidRPr="004E44A6">
        <w:rPr>
          <w:sz w:val="20"/>
          <w:lang w:val="fr-FR" w:eastAsia="x-none"/>
        </w:rPr>
        <w:t xml:space="preserve"> à la Convention de Belem do Pará. Toutefois, les États-Unis restent fermement…</w:t>
      </w:r>
    </w:p>
  </w:footnote>
  <w:footnote w:id="105">
    <w:p w14:paraId="5AE0D695"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Voir la note de bas de page 25</w:t>
      </w:r>
      <w:r w:rsidRPr="004E44A6">
        <w:rPr>
          <w:sz w:val="20"/>
          <w:lang w:val="fr-CA" w:eastAsia="x-none"/>
        </w:rPr>
        <w:t>.</w:t>
      </w:r>
    </w:p>
  </w:footnote>
  <w:footnote w:id="106">
    <w:p w14:paraId="7E94EF69"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Voir la note de bas de page 10</w:t>
      </w:r>
      <w:r w:rsidRPr="004E44A6">
        <w:rPr>
          <w:sz w:val="20"/>
          <w:lang w:val="fr-CA" w:eastAsia="x-none"/>
        </w:rPr>
        <w:t>.</w:t>
      </w:r>
    </w:p>
  </w:footnote>
  <w:footnote w:id="107">
    <w:p w14:paraId="32B194D1" w14:textId="1B291158" w:rsidR="006564AF" w:rsidRPr="004E44A6" w:rsidRDefault="006564AF" w:rsidP="00484ECE">
      <w:pPr>
        <w:pStyle w:val="FootnoteText"/>
        <w:ind w:left="720"/>
        <w:rPr>
          <w:sz w:val="20"/>
          <w:lang w:val="fr-CA" w:eastAsia="x-none"/>
        </w:rPr>
      </w:pPr>
      <w:r w:rsidRPr="004E44A6">
        <w:rPr>
          <w:sz w:val="20"/>
        </w:rPr>
        <w:footnoteRef/>
      </w:r>
      <w:r w:rsidRPr="004E44A6">
        <w:rPr>
          <w:sz w:val="20"/>
          <w:lang w:val="fr-CA" w:eastAsia="x-none"/>
        </w:rPr>
        <w:t>.</w:t>
      </w:r>
      <w:r w:rsidRPr="004E44A6">
        <w:rPr>
          <w:sz w:val="20"/>
          <w:lang w:val="fr-CA" w:eastAsia="x-none"/>
        </w:rPr>
        <w:tab/>
        <w:t>Le Gouvernement de Sainte-Lucie appuie tous les efforts visant la prévention, la sanction et l’élimination de la violence contre les femmes. Sainte-Lucie est engagée envers ses…</w:t>
      </w:r>
    </w:p>
  </w:footnote>
  <w:footnote w:id="108">
    <w:p w14:paraId="61A6F190"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Le Mexique, en qualité de présentateur de la section Suivi de la mise en œuvre de la Déclaration américaine sur les droits des peuples autochtones et du Plan d'action relatif à la Déclaration…</w:t>
      </w:r>
    </w:p>
  </w:footnote>
  <w:footnote w:id="109">
    <w:p w14:paraId="5C8E00C5"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r>
      <w:r w:rsidRPr="004E44A6">
        <w:rPr>
          <w:bCs/>
          <w:iCs/>
          <w:sz w:val="20"/>
          <w:lang w:val="fr-CA" w:eastAsia="x-none"/>
        </w:rPr>
        <w:t xml:space="preserve">El Salvador est un pays qui s’est caractérisé par son engagement élevé envers les droits de la personne et autres principes de base pour la coexistence mondiale établis dans la Charte des Nations Unies… </w:t>
      </w:r>
    </w:p>
  </w:footnote>
  <w:footnote w:id="110">
    <w:p w14:paraId="4EC06F24" w14:textId="77777777" w:rsidR="006564AF" w:rsidRPr="004E44A6" w:rsidRDefault="006564AF" w:rsidP="00484ECE">
      <w:pPr>
        <w:pStyle w:val="FootnoteText"/>
        <w:ind w:left="720"/>
        <w:rPr>
          <w:sz w:val="20"/>
          <w:lang w:val="fr-FR"/>
        </w:rPr>
      </w:pPr>
      <w:r w:rsidRPr="004E44A6">
        <w:rPr>
          <w:rStyle w:val="FootnoteReference"/>
          <w:sz w:val="20"/>
        </w:rPr>
        <w:footnoteRef/>
      </w:r>
      <w:r w:rsidRPr="004E44A6">
        <w:rPr>
          <w:sz w:val="20"/>
          <w:lang w:val="fr-FR" w:eastAsia="x-none"/>
        </w:rPr>
        <w:t>.</w:t>
      </w:r>
      <w:r w:rsidRPr="004E44A6">
        <w:rPr>
          <w:sz w:val="20"/>
          <w:lang w:val="fr-FR" w:eastAsia="x-none"/>
        </w:rPr>
        <w:tab/>
        <w:t xml:space="preserve">Les États-Unis rappellent la distinction entre les droits de la personne, dont les bénéficiaires sont les individus, et les droits collectifs, dont les bénéficiaires sont les peuples. Les États-Unis rappellent… </w:t>
      </w:r>
    </w:p>
  </w:footnote>
  <w:footnote w:id="111">
    <w:p w14:paraId="47748F4B" w14:textId="77777777" w:rsidR="006564AF" w:rsidRPr="004E44A6" w:rsidRDefault="006564AF" w:rsidP="00484ECE">
      <w:pPr>
        <w:pStyle w:val="FootnoteText"/>
        <w:tabs>
          <w:tab w:val="clear" w:pos="360"/>
        </w:tabs>
        <w:ind w:left="720"/>
        <w:rPr>
          <w:sz w:val="20"/>
          <w:lang w:val="fr-FR"/>
        </w:rPr>
      </w:pPr>
      <w:r w:rsidRPr="004E44A6">
        <w:rPr>
          <w:rStyle w:val="FootnoteReference"/>
          <w:sz w:val="20"/>
          <w:lang w:val="fr-CA" w:eastAsia="x-none"/>
        </w:rPr>
        <w:footnoteRef/>
      </w:r>
      <w:r w:rsidRPr="004E44A6">
        <w:rPr>
          <w:sz w:val="20"/>
          <w:lang w:val="fr-CA" w:eastAsia="x-none"/>
        </w:rPr>
        <w:t>.</w:t>
      </w:r>
      <w:r w:rsidRPr="004E44A6">
        <w:rPr>
          <w:sz w:val="20"/>
          <w:lang w:val="fr-CA" w:eastAsia="x-none"/>
        </w:rPr>
        <w:tab/>
        <w:t>Réserve du Nicaragua au Rapport annuel de la CIDH, Chapitre IV. B : « Le Nicaragua a été reconnu internationalement pour sa vocation de paix et pour être le pays le plus sûr de la région, celui qui…</w:t>
      </w:r>
    </w:p>
  </w:footnote>
  <w:footnote w:id="112">
    <w:p w14:paraId="5DAA1A91" w14:textId="77777777" w:rsidR="006564AF" w:rsidRPr="004E44A6" w:rsidRDefault="006564AF" w:rsidP="00484ECE">
      <w:pPr>
        <w:pStyle w:val="NormalWeb"/>
        <w:spacing w:before="0" w:after="0"/>
        <w:ind w:left="720" w:hanging="360"/>
        <w:jc w:val="both"/>
        <w:rPr>
          <w:sz w:val="20"/>
          <w:szCs w:val="20"/>
          <w:lang w:val="fr-FR"/>
        </w:rPr>
      </w:pPr>
      <w:r w:rsidRPr="004E44A6">
        <w:rPr>
          <w:sz w:val="20"/>
          <w:szCs w:val="20"/>
          <w:lang w:val="fr-FR"/>
        </w:rPr>
        <w:footnoteRef/>
      </w:r>
      <w:r w:rsidRPr="004E44A6">
        <w:rPr>
          <w:sz w:val="20"/>
          <w:szCs w:val="20"/>
          <w:lang w:val="fr-FR"/>
        </w:rPr>
        <w:t>.</w:t>
      </w:r>
      <w:r w:rsidRPr="004E44A6">
        <w:rPr>
          <w:sz w:val="20"/>
          <w:szCs w:val="20"/>
          <w:lang w:val="fr-FR"/>
        </w:rPr>
        <w:tab/>
      </w:r>
      <w:r w:rsidRPr="004E44A6">
        <w:rPr>
          <w:sz w:val="20"/>
          <w:szCs w:val="20"/>
          <w:lang w:val="fr-CA"/>
        </w:rPr>
        <w:t>La délégation du Gouvernement de réconciliation et d’unité nationale réitère les termes exprimés dans sa note de bas de page relative au chapitre III de l’ordre du jour de la Cinquantième Session…</w:t>
      </w:r>
    </w:p>
  </w:footnote>
  <w:footnote w:id="113">
    <w:p w14:paraId="61CA2336" w14:textId="502EEF44" w:rsidR="006564AF" w:rsidRPr="004E44A6" w:rsidRDefault="006564AF" w:rsidP="00484ECE">
      <w:pPr>
        <w:pStyle w:val="NormalWeb"/>
        <w:spacing w:before="0" w:after="0"/>
        <w:ind w:left="720" w:hanging="360"/>
        <w:jc w:val="both"/>
        <w:rPr>
          <w:sz w:val="20"/>
          <w:szCs w:val="20"/>
          <w:lang w:val="fr-FR"/>
        </w:rPr>
      </w:pPr>
      <w:r w:rsidRPr="004E44A6">
        <w:rPr>
          <w:sz w:val="20"/>
          <w:szCs w:val="20"/>
          <w:lang w:val="fr-FR"/>
        </w:rPr>
        <w:footnoteRef/>
      </w:r>
      <w:r w:rsidRPr="004E44A6">
        <w:rPr>
          <w:sz w:val="20"/>
          <w:szCs w:val="20"/>
          <w:lang w:val="fr-FR"/>
        </w:rPr>
        <w:t>.</w:t>
      </w:r>
      <w:r w:rsidRPr="004E44A6">
        <w:rPr>
          <w:sz w:val="20"/>
          <w:szCs w:val="20"/>
          <w:lang w:val="fr-FR"/>
        </w:rPr>
        <w:tab/>
      </w:r>
      <w:r w:rsidRPr="004E44A6">
        <w:rPr>
          <w:sz w:val="20"/>
          <w:szCs w:val="20"/>
          <w:lang w:val="fr-CA"/>
        </w:rPr>
        <w:t xml:space="preserve">Saint-Vincent-et-les-Grenadines n’est pas en mesure de s’unir à la majorité en ce qui concerne l’approbation de cette résolution. Saint-Vincent-et-les-Grenadines adhère aux principes du respect de… </w:t>
      </w:r>
    </w:p>
  </w:footnote>
  <w:footnote w:id="114">
    <w:p w14:paraId="22B5B618" w14:textId="77777777" w:rsidR="006564AF" w:rsidRPr="004E44A6" w:rsidRDefault="006564AF" w:rsidP="00484ECE">
      <w:pPr>
        <w:pStyle w:val="FootnoteText"/>
        <w:tabs>
          <w:tab w:val="clear" w:pos="360"/>
          <w:tab w:val="left" w:pos="720"/>
        </w:tabs>
        <w:ind w:left="720"/>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115">
    <w:p w14:paraId="30178AA4" w14:textId="77777777" w:rsidR="006564AF" w:rsidRPr="004E44A6" w:rsidRDefault="006564AF" w:rsidP="00484ECE">
      <w:pPr>
        <w:pStyle w:val="NormalWeb"/>
        <w:spacing w:before="0" w:after="0"/>
        <w:ind w:left="720" w:hanging="360"/>
        <w:jc w:val="both"/>
        <w:rPr>
          <w:sz w:val="20"/>
          <w:szCs w:val="20"/>
          <w:lang w:val="fr-FR"/>
        </w:rPr>
      </w:pPr>
      <w:r w:rsidRPr="004E44A6">
        <w:rPr>
          <w:sz w:val="20"/>
          <w:szCs w:val="20"/>
        </w:rPr>
        <w:footnoteRef/>
      </w:r>
      <w:r w:rsidRPr="004E44A6">
        <w:rPr>
          <w:sz w:val="20"/>
          <w:szCs w:val="20"/>
          <w:lang w:val="fr-FR"/>
        </w:rPr>
        <w:t>.</w:t>
      </w:r>
      <w:r w:rsidRPr="004E44A6">
        <w:rPr>
          <w:sz w:val="20"/>
          <w:szCs w:val="20"/>
          <w:lang w:val="fr-FR"/>
        </w:rPr>
        <w:tab/>
        <w:t xml:space="preserve">Le Gouvernement du Commonwealth de la Dominique réitère ses réserves consignées dans les actes de la quarante-neuvième session ordinaire de l’Assemblée générale et réitère celles-ci concernant la… </w:t>
      </w:r>
    </w:p>
  </w:footnote>
  <w:footnote w:id="116">
    <w:p w14:paraId="67B8F509"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117">
    <w:p w14:paraId="122E79D7" w14:textId="77777777" w:rsidR="006564AF" w:rsidRPr="004E44A6" w:rsidRDefault="006564AF" w:rsidP="00484ECE">
      <w:pPr>
        <w:pStyle w:val="NormalWeb"/>
        <w:spacing w:before="0" w:after="0"/>
        <w:ind w:left="720" w:hanging="360"/>
        <w:jc w:val="both"/>
        <w:rPr>
          <w:sz w:val="20"/>
          <w:szCs w:val="20"/>
          <w:lang w:val="fr-FR"/>
        </w:rPr>
      </w:pPr>
      <w:r w:rsidRPr="004E44A6">
        <w:rPr>
          <w:rStyle w:val="FootnoteReference"/>
          <w:sz w:val="20"/>
          <w:szCs w:val="20"/>
          <w:lang w:val="fr-FR"/>
        </w:rPr>
        <w:footnoteRef/>
      </w:r>
      <w:r w:rsidRPr="004E44A6">
        <w:rPr>
          <w:rStyle w:val="FootnoteReference"/>
          <w:sz w:val="20"/>
          <w:szCs w:val="20"/>
          <w:lang w:val="fr-FR"/>
        </w:rPr>
        <w:t>.</w:t>
      </w:r>
      <w:r w:rsidRPr="004E44A6">
        <w:rPr>
          <w:rStyle w:val="FootnoteReference"/>
          <w:sz w:val="20"/>
          <w:szCs w:val="20"/>
          <w:lang w:val="fr-FR"/>
        </w:rPr>
        <w:tab/>
      </w:r>
      <w:r w:rsidRPr="004E44A6">
        <w:rPr>
          <w:sz w:val="20"/>
          <w:szCs w:val="20"/>
          <w:lang w:val="fr-FR"/>
        </w:rPr>
        <w:t>Antigua-et-Barbuda considère que la République bolivarienne du Venezuela n’est pas un État membre de l’Organisation des États Américains puisque, le 27 avril 2017, le gouvernement de la République…</w:t>
      </w:r>
      <w:r w:rsidRPr="004E44A6">
        <w:rPr>
          <w:rStyle w:val="FootnoteReference"/>
          <w:sz w:val="20"/>
          <w:szCs w:val="20"/>
          <w:lang w:val="fr-FR"/>
        </w:rPr>
        <w:t xml:space="preserve"> </w:t>
      </w:r>
    </w:p>
  </w:footnote>
  <w:footnote w:id="118">
    <w:p w14:paraId="1C04F2CB" w14:textId="77777777" w:rsidR="006564AF" w:rsidRPr="004E44A6" w:rsidRDefault="006564AF" w:rsidP="00484ECE">
      <w:pPr>
        <w:pStyle w:val="NormalWeb"/>
        <w:spacing w:before="0" w:after="0"/>
        <w:ind w:left="720" w:hanging="360"/>
        <w:jc w:val="both"/>
        <w:rPr>
          <w:sz w:val="20"/>
          <w:szCs w:val="20"/>
          <w:lang w:val="fr-FR"/>
        </w:rPr>
      </w:pPr>
      <w:r w:rsidRPr="004E44A6">
        <w:rPr>
          <w:sz w:val="20"/>
          <w:szCs w:val="20"/>
        </w:rPr>
        <w:footnoteRef/>
      </w:r>
      <w:r w:rsidRPr="004E44A6">
        <w:rPr>
          <w:sz w:val="20"/>
          <w:szCs w:val="20"/>
          <w:lang w:val="fr-FR"/>
        </w:rPr>
        <w:t>.</w:t>
      </w:r>
      <w:r w:rsidRPr="004E44A6">
        <w:rPr>
          <w:sz w:val="20"/>
          <w:szCs w:val="20"/>
          <w:lang w:val="fr-FR"/>
        </w:rPr>
        <w:tab/>
        <w:t>Le Gouvernement du Commonwealth de la Dominique réitère ses réserves consignées dans les actes de la quarante-neuvième session ordinaire de l’Assemblée générale et réitère celles-ci concernant la…</w:t>
      </w:r>
      <w:r w:rsidRPr="004E44A6">
        <w:rPr>
          <w:rStyle w:val="FootnoteReference"/>
          <w:sz w:val="20"/>
          <w:szCs w:val="20"/>
          <w:lang w:val="fr-FR"/>
        </w:rPr>
        <w:t xml:space="preserve"> </w:t>
      </w:r>
    </w:p>
  </w:footnote>
  <w:footnote w:id="119">
    <w:p w14:paraId="04E30661" w14:textId="731AECB3" w:rsidR="006564AF" w:rsidRPr="004E44A6" w:rsidRDefault="006564AF" w:rsidP="00484ECE">
      <w:pPr>
        <w:pStyle w:val="NormalWeb"/>
        <w:spacing w:before="0" w:after="0"/>
        <w:ind w:left="720" w:hanging="360"/>
        <w:jc w:val="both"/>
        <w:rPr>
          <w:sz w:val="20"/>
          <w:szCs w:val="20"/>
          <w:lang w:val="fr-FR"/>
        </w:rPr>
      </w:pPr>
      <w:r w:rsidRPr="004E44A6">
        <w:rPr>
          <w:rStyle w:val="FootnoteReference"/>
          <w:sz w:val="20"/>
          <w:szCs w:val="20"/>
          <w:lang w:val="fr-FR"/>
        </w:rPr>
        <w:footnoteRef/>
      </w:r>
      <w:r w:rsidRPr="004E44A6">
        <w:rPr>
          <w:rStyle w:val="FootnoteReference"/>
          <w:sz w:val="20"/>
          <w:szCs w:val="20"/>
          <w:lang w:val="fr-FR"/>
        </w:rPr>
        <w:t>.</w:t>
      </w:r>
      <w:r w:rsidRPr="004E44A6">
        <w:rPr>
          <w:rStyle w:val="FootnoteReference"/>
          <w:sz w:val="20"/>
          <w:szCs w:val="20"/>
          <w:lang w:val="fr-FR"/>
        </w:rPr>
        <w:tab/>
        <w:t>Saint</w:t>
      </w:r>
      <w:r w:rsidRPr="004E44A6">
        <w:rPr>
          <w:sz w:val="20"/>
          <w:szCs w:val="20"/>
          <w:lang w:val="fr-FR"/>
        </w:rPr>
        <w:t xml:space="preserve">-Vincent-et-les-Grenadines </w:t>
      </w:r>
      <w:r w:rsidRPr="004E44A6">
        <w:rPr>
          <w:iCs/>
          <w:sz w:val="20"/>
          <w:szCs w:val="20"/>
          <w:lang w:val="fr-FR"/>
        </w:rPr>
        <w:t>n’est pas en mesure de s’unir à la majorité en ce qui concerne l’approbation de cette résolution et demande que sa réserve soit consignée au</w:t>
      </w:r>
      <w:r w:rsidRPr="004E44A6">
        <w:rPr>
          <w:sz w:val="20"/>
          <w:szCs w:val="20"/>
          <w:lang w:val="fr-FR"/>
        </w:rPr>
        <w:t xml:space="preserve"> </w:t>
      </w:r>
      <w:r w:rsidRPr="004E44A6">
        <w:rPr>
          <w:iCs/>
          <w:sz w:val="20"/>
          <w:szCs w:val="20"/>
          <w:lang w:val="fr-FR"/>
        </w:rPr>
        <w:t>procès-verbal</w:t>
      </w:r>
      <w:r w:rsidRPr="004E44A6">
        <w:rPr>
          <w:sz w:val="20"/>
          <w:szCs w:val="20"/>
          <w:lang w:val="fr-FR"/>
        </w:rPr>
        <w:t xml:space="preserve">… </w:t>
      </w:r>
    </w:p>
  </w:footnote>
  <w:footnote w:id="120">
    <w:p w14:paraId="69F927C8" w14:textId="77777777" w:rsidR="006564AF" w:rsidRPr="004E44A6" w:rsidRDefault="006564AF" w:rsidP="00484ECE">
      <w:pPr>
        <w:pStyle w:val="NormalWeb"/>
        <w:spacing w:before="0" w:after="0"/>
        <w:ind w:left="720" w:hanging="360"/>
        <w:jc w:val="both"/>
        <w:rPr>
          <w:sz w:val="20"/>
          <w:szCs w:val="20"/>
          <w:lang w:val="fr-FR"/>
        </w:rPr>
      </w:pPr>
      <w:r w:rsidRPr="004E44A6">
        <w:rPr>
          <w:rStyle w:val="FootnoteReference"/>
          <w:sz w:val="20"/>
          <w:szCs w:val="20"/>
          <w:lang w:val="fr-FR"/>
        </w:rPr>
        <w:footnoteRef/>
      </w:r>
      <w:r w:rsidRPr="004E44A6">
        <w:rPr>
          <w:rStyle w:val="FootnoteReference"/>
          <w:sz w:val="20"/>
          <w:szCs w:val="20"/>
          <w:lang w:val="fr-FR"/>
        </w:rPr>
        <w:t>.</w:t>
      </w:r>
      <w:r w:rsidRPr="004E44A6">
        <w:rPr>
          <w:rStyle w:val="FootnoteReference"/>
          <w:sz w:val="20"/>
          <w:szCs w:val="20"/>
          <w:lang w:val="fr-FR"/>
        </w:rPr>
        <w:tab/>
        <w:t>Le Gouvernement de la République du Nicaragua rejette et condamne l’inclusion du point « La situation dans la République bolivarienne du Venezuela », dans la section III de l’ordre du jour de</w:t>
      </w:r>
      <w:r w:rsidRPr="004E44A6">
        <w:rPr>
          <w:sz w:val="20"/>
          <w:szCs w:val="20"/>
          <w:lang w:val="fr-FR"/>
        </w:rPr>
        <w:t>…</w:t>
      </w:r>
    </w:p>
  </w:footnote>
  <w:footnote w:id="121">
    <w:p w14:paraId="216EBD07" w14:textId="77777777" w:rsidR="006564AF" w:rsidRPr="004E44A6" w:rsidRDefault="006564AF" w:rsidP="00484ECE">
      <w:pPr>
        <w:pStyle w:val="FootnoteText"/>
        <w:ind w:left="720"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p>
  </w:footnote>
  <w:footnote w:id="122">
    <w:p w14:paraId="16780A03" w14:textId="7139F084" w:rsidR="006564AF" w:rsidRPr="004E44A6" w:rsidRDefault="006564AF" w:rsidP="00484ECE">
      <w:pPr>
        <w:pStyle w:val="NormalWeb"/>
        <w:spacing w:before="0" w:after="0"/>
        <w:ind w:left="720" w:hanging="360"/>
        <w:jc w:val="both"/>
        <w:rPr>
          <w:sz w:val="20"/>
          <w:szCs w:val="20"/>
          <w:lang w:val="fr-FR"/>
        </w:rPr>
      </w:pPr>
      <w:r w:rsidRPr="004E44A6">
        <w:rPr>
          <w:rStyle w:val="FootnoteReference"/>
          <w:sz w:val="20"/>
          <w:szCs w:val="20"/>
          <w:lang w:val="fr-FR"/>
        </w:rPr>
        <w:footnoteRef/>
      </w:r>
      <w:r w:rsidRPr="004E44A6">
        <w:rPr>
          <w:rStyle w:val="FootnoteReference"/>
          <w:sz w:val="20"/>
          <w:szCs w:val="20"/>
          <w:lang w:val="fr-FR"/>
        </w:rPr>
        <w:t>.</w:t>
      </w:r>
      <w:r w:rsidRPr="004E44A6">
        <w:rPr>
          <w:rStyle w:val="FootnoteReference"/>
          <w:sz w:val="20"/>
          <w:szCs w:val="20"/>
          <w:lang w:val="fr-FR"/>
        </w:rPr>
        <w:tab/>
      </w:r>
      <w:r w:rsidRPr="004E44A6">
        <w:rPr>
          <w:sz w:val="20"/>
          <w:szCs w:val="20"/>
          <w:lang w:val="fr-CA"/>
        </w:rPr>
        <w:t>La République dominicaine ne se joint pas au consensus relatif au paragraphe 11 du dispositif de la présente résolution en raison de réserves concernant son application dans le temps</w:t>
      </w:r>
      <w:r w:rsidRPr="004E44A6">
        <w:rPr>
          <w:rStyle w:val="FootnoteReference"/>
          <w:sz w:val="20"/>
          <w:szCs w:val="20"/>
          <w:lang w:val="fr-FR"/>
        </w:rPr>
        <w:t>.</w:t>
      </w:r>
    </w:p>
  </w:footnote>
  <w:footnote w:id="123">
    <w:p w14:paraId="1624CD37" w14:textId="77777777" w:rsidR="006564AF" w:rsidRPr="004E44A6" w:rsidRDefault="006564AF" w:rsidP="004A62BB">
      <w:pPr>
        <w:pStyle w:val="FootnoteText"/>
        <w:tabs>
          <w:tab w:val="clear" w:pos="360"/>
          <w:tab w:val="left" w:pos="720"/>
        </w:tabs>
        <w:ind w:left="720" w:right="-119"/>
        <w:rPr>
          <w:sz w:val="20"/>
          <w:lang w:val="fr-FR"/>
        </w:rPr>
      </w:pPr>
      <w:r w:rsidRPr="004E44A6">
        <w:rPr>
          <w:sz w:val="20"/>
        </w:rPr>
        <w:footnoteRef/>
      </w:r>
      <w:r w:rsidRPr="004E44A6">
        <w:rPr>
          <w:sz w:val="20"/>
          <w:lang w:val="fr-FR"/>
        </w:rPr>
        <w:t>.</w:t>
      </w:r>
      <w:r w:rsidRPr="004E44A6">
        <w:rPr>
          <w:sz w:val="20"/>
          <w:lang w:val="fr-FR"/>
        </w:rPr>
        <w:tab/>
        <w:t>Antigua-et-Barbuda considère que la République bolivarienne du Venezuela n’est pas un État membre de l’Organisation des États Américains puisque, le 27 avril 2017, le gouvernement de la République…</w:t>
      </w:r>
    </w:p>
  </w:footnote>
  <w:footnote w:id="124">
    <w:p w14:paraId="0928C854" w14:textId="0F0B3A87" w:rsidR="006564AF" w:rsidRPr="004E44A6" w:rsidRDefault="006564AF" w:rsidP="004A62BB">
      <w:pPr>
        <w:pStyle w:val="FootnoteText"/>
        <w:ind w:left="720" w:right="-119" w:hanging="720"/>
        <w:rPr>
          <w:sz w:val="20"/>
          <w:lang w:val="fr-FR"/>
        </w:rPr>
      </w:pPr>
      <w:r w:rsidRPr="004E44A6">
        <w:rPr>
          <w:sz w:val="20"/>
          <w:lang w:val="fr-FR"/>
        </w:rPr>
        <w:tab/>
      </w:r>
      <w:r w:rsidRPr="004E44A6">
        <w:rPr>
          <w:rStyle w:val="FootnoteReference"/>
          <w:sz w:val="20"/>
        </w:rPr>
        <w:footnoteRef/>
      </w:r>
      <w:r w:rsidRPr="004E44A6">
        <w:rPr>
          <w:sz w:val="20"/>
          <w:lang w:val="fr-FR"/>
        </w:rPr>
        <w:t>.</w:t>
      </w:r>
      <w:r w:rsidRPr="004E44A6">
        <w:rPr>
          <w:sz w:val="20"/>
          <w:lang w:val="fr-FR"/>
        </w:rPr>
        <w:tab/>
      </w:r>
      <w:r w:rsidRPr="004E44A6">
        <w:rPr>
          <w:sz w:val="20"/>
          <w:lang w:val="fr-CA"/>
        </w:rPr>
        <w:t>Le Mexique réitère l’avis exprimé dans son intervention durant le rapport du Secrétaire général sur les pouvoirs dans le cadre de la séance plénière de la cinquantième session ordinaire</w:t>
      </w:r>
      <w:r w:rsidR="004A62BB" w:rsidRPr="004E44A6">
        <w:rPr>
          <w:sz w:val="20"/>
          <w:lang w:val="fr-CA"/>
        </w:rPr>
        <w:t xml:space="preserve"> </w:t>
      </w:r>
      <w:r w:rsidR="004A62BB" w:rsidRPr="004E44A6">
        <w:rPr>
          <w:rFonts w:eastAsia="MS Mincho"/>
          <w:sz w:val="20"/>
          <w:lang w:val="fr-FR" w:eastAsia="es-ES_tradnl"/>
        </w:rPr>
        <w:t>de l'Assemblée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E5D" w14:textId="77777777" w:rsidR="006564AF" w:rsidRPr="00E33A13" w:rsidRDefault="006564AF">
    <w:pPr>
      <w:pStyle w:val="Header"/>
      <w:jc w:val="center"/>
    </w:pPr>
  </w:p>
  <w:p w14:paraId="1E423611" w14:textId="77777777" w:rsidR="006564AF" w:rsidRDefault="006564AF" w:rsidP="00E33A13">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2CA5" w14:textId="77777777" w:rsidR="006564AF" w:rsidRPr="000E27B1" w:rsidRDefault="006564AF">
    <w:pPr>
      <w:pStyle w:val="Header"/>
      <w:jc w:val="center"/>
    </w:pPr>
    <w:r w:rsidRPr="000E27B1">
      <w:t xml:space="preserve">- </w:t>
    </w:r>
    <w:sdt>
      <w:sdtPr>
        <w:id w:val="-1906673159"/>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59</w:t>
        </w:r>
        <w:r w:rsidRPr="000E27B1">
          <w:rPr>
            <w:noProof/>
          </w:rPr>
          <w:fldChar w:fldCharType="end"/>
        </w:r>
        <w:r w:rsidRPr="000E27B1">
          <w:rPr>
            <w:noProof/>
          </w:rPr>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327038"/>
      <w:docPartObj>
        <w:docPartGallery w:val="Page Numbers (Top of Page)"/>
        <w:docPartUnique/>
      </w:docPartObj>
    </w:sdtPr>
    <w:sdtEndPr>
      <w:rPr>
        <w:noProof/>
      </w:rPr>
    </w:sdtEndPr>
    <w:sdtContent>
      <w:p w14:paraId="0F753B34"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85</w:t>
        </w:r>
        <w:r>
          <w:rPr>
            <w:noProof/>
          </w:rPr>
          <w:fldChar w:fldCharType="end"/>
        </w:r>
        <w:r>
          <w:rPr>
            <w:noProof/>
          </w:rPr>
          <w:t xml:space="preserve"> -</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5099" w14:textId="77777777" w:rsidR="006564AF" w:rsidRPr="0057146C" w:rsidRDefault="006564AF">
    <w:pPr>
      <w:pStyle w:val="Header"/>
      <w:jc w:val="center"/>
      <w:rPr>
        <w:noProof/>
      </w:rPr>
    </w:pPr>
    <w:r>
      <w:t xml:space="preserve">- </w:t>
    </w:r>
    <w:r w:rsidRPr="0057146C">
      <w:fldChar w:fldCharType="begin"/>
    </w:r>
    <w:r w:rsidRPr="0057146C">
      <w:instrText xml:space="preserve"> PAGE   \* MERGEFORMAT </w:instrText>
    </w:r>
    <w:r w:rsidRPr="0057146C">
      <w:fldChar w:fldCharType="separate"/>
    </w:r>
    <w:r w:rsidRPr="0057146C">
      <w:t>2</w:t>
    </w:r>
    <w:r w:rsidRPr="0057146C">
      <w:fldChar w:fldCharType="end"/>
    </w:r>
    <w:r>
      <w:t xml:space="preserve"> -</w:t>
    </w:r>
  </w:p>
  <w:p w14:paraId="4F2CDB04" w14:textId="77777777" w:rsidR="006564AF" w:rsidRPr="0057146C" w:rsidRDefault="006564AF">
    <w:pPr>
      <w:pStyle w:val="Header"/>
      <w:rPr>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40869"/>
      <w:docPartObj>
        <w:docPartGallery w:val="Page Numbers (Top of Page)"/>
        <w:docPartUnique/>
      </w:docPartObj>
    </w:sdtPr>
    <w:sdtEndPr>
      <w:rPr>
        <w:noProof/>
      </w:rPr>
    </w:sdtEndPr>
    <w:sdtContent>
      <w:p w14:paraId="653BD934"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91</w:t>
        </w:r>
        <w:r>
          <w:rPr>
            <w:noProof/>
          </w:rPr>
          <w:fldChar w:fldCharType="end"/>
        </w:r>
        <w:r>
          <w:rPr>
            <w:noProof/>
          </w:rPr>
          <w:t xml:space="preserve"> -</w:t>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19590"/>
      <w:docPartObj>
        <w:docPartGallery w:val="Page Numbers (Top of Page)"/>
        <w:docPartUnique/>
      </w:docPartObj>
    </w:sdtPr>
    <w:sdtEndPr>
      <w:rPr>
        <w:noProof/>
      </w:rPr>
    </w:sdtEndPr>
    <w:sdtContent>
      <w:p w14:paraId="18F88CA6" w14:textId="77777777" w:rsidR="006564AF" w:rsidRPr="009071BD" w:rsidRDefault="006564AF">
        <w:pPr>
          <w:pStyle w:val="Header"/>
          <w:jc w:val="center"/>
        </w:pPr>
        <w:r w:rsidRPr="009071BD">
          <w:t xml:space="preserve">- </w:t>
        </w:r>
        <w:r w:rsidRPr="009071BD">
          <w:fldChar w:fldCharType="begin"/>
        </w:r>
        <w:r w:rsidRPr="009071BD">
          <w:instrText xml:space="preserve"> PAGE   \* MERGEFORMAT </w:instrText>
        </w:r>
        <w:r w:rsidRPr="009071BD">
          <w:fldChar w:fldCharType="separate"/>
        </w:r>
        <w:r>
          <w:rPr>
            <w:noProof/>
          </w:rPr>
          <w:t>121</w:t>
        </w:r>
        <w:r w:rsidRPr="009071BD">
          <w:rPr>
            <w:noProof/>
          </w:rPr>
          <w:fldChar w:fldCharType="end"/>
        </w:r>
        <w:r w:rsidRPr="009071BD">
          <w:rPr>
            <w:noProof/>
          </w:rPr>
          <w:t xml:space="preserve"> -</w:t>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D6DD" w14:textId="77777777" w:rsidR="006564AF" w:rsidRPr="009071BD" w:rsidRDefault="006564AF">
    <w:pPr>
      <w:pStyle w:val="Header"/>
      <w:jc w:val="center"/>
    </w:pPr>
    <w:r w:rsidRPr="009071BD">
      <w:t xml:space="preserve">- </w:t>
    </w:r>
    <w:sdt>
      <w:sdtPr>
        <w:id w:val="-2064406092"/>
        <w:docPartObj>
          <w:docPartGallery w:val="Page Numbers (Top of Page)"/>
          <w:docPartUnique/>
        </w:docPartObj>
      </w:sdtPr>
      <w:sdtEndPr>
        <w:rPr>
          <w:noProof/>
        </w:rPr>
      </w:sdtEndPr>
      <w:sdtContent>
        <w:r w:rsidRPr="009071BD">
          <w:fldChar w:fldCharType="begin"/>
        </w:r>
        <w:r w:rsidRPr="009071BD">
          <w:instrText xml:space="preserve"> PAGE   \* MERGEFORMAT </w:instrText>
        </w:r>
        <w:r w:rsidRPr="009071BD">
          <w:fldChar w:fldCharType="separate"/>
        </w:r>
        <w:r>
          <w:rPr>
            <w:noProof/>
          </w:rPr>
          <w:t>126</w:t>
        </w:r>
        <w:r w:rsidRPr="009071BD">
          <w:rPr>
            <w:noProof/>
          </w:rPr>
          <w:fldChar w:fldCharType="end"/>
        </w:r>
        <w:r w:rsidRPr="009071BD">
          <w:rPr>
            <w:noProof/>
          </w:rPr>
          <w:t xml:space="preserve"> -</w:t>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584583"/>
      <w:docPartObj>
        <w:docPartGallery w:val="Page Numbers (Top of Page)"/>
        <w:docPartUnique/>
      </w:docPartObj>
    </w:sdtPr>
    <w:sdtEndPr>
      <w:rPr>
        <w:noProof/>
      </w:rPr>
    </w:sdtEndPr>
    <w:sdtContent>
      <w:p w14:paraId="139B6290"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143</w:t>
        </w:r>
        <w:r>
          <w:rPr>
            <w:noProof/>
          </w:rPr>
          <w:fldChar w:fldCharType="end"/>
        </w:r>
        <w:r>
          <w:rPr>
            <w:noProof/>
          </w:rPr>
          <w:t xml:space="preserve"> -</w:t>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7079" w14:textId="77777777" w:rsidR="006564AF" w:rsidRPr="00CB249F" w:rsidRDefault="006564AF">
    <w:pPr>
      <w:pStyle w:val="Header"/>
      <w:jc w:val="center"/>
      <w:rPr>
        <w:szCs w:val="22"/>
      </w:rPr>
    </w:pPr>
  </w:p>
  <w:p w14:paraId="2F11A115" w14:textId="77777777" w:rsidR="006564AF" w:rsidRPr="00310F11" w:rsidRDefault="006564AF">
    <w:pPr>
      <w:pStyle w:val="Header"/>
      <w:rPr>
        <w:lang w:val="es-C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955"/>
      <w:docPartObj>
        <w:docPartGallery w:val="Page Numbers (Top of Page)"/>
        <w:docPartUnique/>
      </w:docPartObj>
    </w:sdtPr>
    <w:sdtEndPr>
      <w:rPr>
        <w:noProof/>
      </w:rPr>
    </w:sdtEndPr>
    <w:sdtContent>
      <w:p w14:paraId="6668E5AE"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153</w:t>
        </w:r>
        <w:r>
          <w:rPr>
            <w:noProof/>
          </w:rPr>
          <w:fldChar w:fldCharType="end"/>
        </w:r>
        <w:r>
          <w:rPr>
            <w:noProof/>
          </w:rPr>
          <w:t xml:space="preserve"> -</w:t>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166730"/>
      <w:docPartObj>
        <w:docPartGallery w:val="Page Numbers (Top of Page)"/>
        <w:docPartUnique/>
      </w:docPartObj>
    </w:sdtPr>
    <w:sdtEndPr>
      <w:rPr>
        <w:noProof/>
      </w:rPr>
    </w:sdtEndPr>
    <w:sdtContent>
      <w:p w14:paraId="30873928"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157</w:t>
        </w:r>
        <w:r>
          <w:rPr>
            <w:noProof/>
          </w:rPr>
          <w:fldChar w:fldCharType="end"/>
        </w:r>
        <w:r>
          <w:rPr>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D2EB" w14:textId="77777777" w:rsidR="006564AF" w:rsidRDefault="006564AF" w:rsidP="00E33A13">
    <w:pPr>
      <w:pStyle w:val="Header"/>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622187"/>
      <w:docPartObj>
        <w:docPartGallery w:val="Page Numbers (Top of Page)"/>
        <w:docPartUnique/>
      </w:docPartObj>
    </w:sdtPr>
    <w:sdtEndPr>
      <w:rPr>
        <w:noProof/>
      </w:rPr>
    </w:sdtEndPr>
    <w:sdtContent>
      <w:p w14:paraId="670784FF"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195</w:t>
        </w:r>
        <w:r>
          <w:rPr>
            <w:noProof/>
          </w:rPr>
          <w:fldChar w:fldCharType="end"/>
        </w:r>
        <w:r>
          <w:rPr>
            <w:noProof/>
          </w:rPr>
          <w:t xml:space="preserve"> -</w:t>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A2E3" w14:textId="77777777" w:rsidR="006564AF" w:rsidRPr="00CB249F" w:rsidRDefault="006564AF">
    <w:pPr>
      <w:pStyle w:val="Header"/>
      <w:jc w:val="center"/>
      <w:rPr>
        <w:szCs w:val="22"/>
      </w:rPr>
    </w:pPr>
  </w:p>
  <w:p w14:paraId="107ACF89" w14:textId="77777777" w:rsidR="006564AF" w:rsidRPr="00310F11" w:rsidRDefault="006564AF">
    <w:pPr>
      <w:pStyle w:val="Header"/>
      <w:rPr>
        <w:lang w:val="es-CL"/>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486303"/>
      <w:docPartObj>
        <w:docPartGallery w:val="Page Numbers (Top of Page)"/>
        <w:docPartUnique/>
      </w:docPartObj>
    </w:sdtPr>
    <w:sdtEndPr>
      <w:rPr>
        <w:noProof/>
      </w:rPr>
    </w:sdtEndPr>
    <w:sdtContent>
      <w:p w14:paraId="71B71238"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203</w:t>
        </w:r>
        <w:r>
          <w:rPr>
            <w:noProof/>
          </w:rPr>
          <w:fldChar w:fldCharType="end"/>
        </w:r>
        <w:r>
          <w:rPr>
            <w:noProof/>
          </w:rPr>
          <w:t xml:space="preserve"> -</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BAD" w14:textId="77777777" w:rsidR="006564AF" w:rsidRPr="00EF2809" w:rsidRDefault="006564AF">
    <w:pPr>
      <w:pStyle w:val="Header"/>
      <w:jc w:val="center"/>
      <w:rPr>
        <w:noProof/>
        <w:lang w:val="en-US"/>
      </w:rPr>
    </w:pPr>
  </w:p>
  <w:p w14:paraId="237B2431" w14:textId="77777777" w:rsidR="006564AF" w:rsidRPr="00EF2809" w:rsidRDefault="006564AF">
    <w:pPr>
      <w:pStyle w:val="Header"/>
      <w:jc w:val="center"/>
      <w:rPr>
        <w:noProof/>
        <w:lang w:val="en-U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6761"/>
      <w:docPartObj>
        <w:docPartGallery w:val="Page Numbers (Top of Page)"/>
        <w:docPartUnique/>
      </w:docPartObj>
    </w:sdtPr>
    <w:sdtEndPr>
      <w:rPr>
        <w:noProof/>
      </w:rPr>
    </w:sdtEndPr>
    <w:sdtContent>
      <w:p w14:paraId="0D27CE40"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210</w:t>
        </w:r>
        <w:r>
          <w:rPr>
            <w:noProof/>
          </w:rPr>
          <w:fldChar w:fldCharType="end"/>
        </w:r>
        <w:r>
          <w:rPr>
            <w:noProof/>
          </w:rPr>
          <w:t xml:space="preserve"> -</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B357" w14:textId="77777777" w:rsidR="006564AF" w:rsidRDefault="006564AF">
    <w:pPr>
      <w:pStyle w:val="Header"/>
      <w:jc w:val="center"/>
    </w:pPr>
  </w:p>
  <w:p w14:paraId="6E721261" w14:textId="77777777" w:rsidR="006564AF" w:rsidRDefault="006564AF">
    <w:pPr>
      <w:pStyle w:val="Header"/>
      <w:jc w:val="center"/>
    </w:pPr>
  </w:p>
  <w:p w14:paraId="29380428" w14:textId="77777777" w:rsidR="006564AF" w:rsidRDefault="006564AF">
    <w:pPr>
      <w:pStyle w:val="Header"/>
      <w:jc w:val="cent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077051"/>
      <w:docPartObj>
        <w:docPartGallery w:val="Page Numbers (Top of Page)"/>
        <w:docPartUnique/>
      </w:docPartObj>
    </w:sdtPr>
    <w:sdtEndPr>
      <w:rPr>
        <w:noProof/>
      </w:rPr>
    </w:sdtEndPr>
    <w:sdtContent>
      <w:p w14:paraId="6F6BBBC5"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212</w:t>
        </w:r>
        <w:r>
          <w:rPr>
            <w:noProof/>
          </w:rPr>
          <w:fldChar w:fldCharType="end"/>
        </w:r>
        <w:r>
          <w:rPr>
            <w:noProof/>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147080"/>
      <w:docPartObj>
        <w:docPartGallery w:val="Page Numbers (Top of Page)"/>
        <w:docPartUnique/>
      </w:docPartObj>
    </w:sdtPr>
    <w:sdtEndPr>
      <w:rPr>
        <w:noProof/>
      </w:rPr>
    </w:sdtEndPr>
    <w:sdtContent>
      <w:p w14:paraId="4C3620D4" w14:textId="77777777" w:rsidR="006564AF" w:rsidRDefault="006564AF">
        <w:pPr>
          <w:pStyle w:val="Header"/>
          <w:jc w:val="center"/>
        </w:pPr>
        <w:r>
          <w:t xml:space="preserve">- </w:t>
        </w:r>
        <w:r>
          <w:fldChar w:fldCharType="begin"/>
        </w:r>
        <w:r>
          <w:instrText xml:space="preserve"> PAGE   \* MERGEFORMAT </w:instrText>
        </w:r>
        <w:r>
          <w:fldChar w:fldCharType="separate"/>
        </w:r>
        <w:r>
          <w:rPr>
            <w:noProof/>
          </w:rPr>
          <w:t>97</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CA9E" w14:textId="77777777" w:rsidR="006564AF" w:rsidRDefault="006564A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118007"/>
      <w:docPartObj>
        <w:docPartGallery w:val="Page Numbers (Top of Page)"/>
        <w:docPartUnique/>
      </w:docPartObj>
    </w:sdtPr>
    <w:sdtEndPr>
      <w:rPr>
        <w:noProof/>
      </w:rPr>
    </w:sdtEndPr>
    <w:sdtContent>
      <w:p w14:paraId="7FE52C71" w14:textId="77777777" w:rsidR="006564AF" w:rsidRPr="00611431" w:rsidRDefault="006564A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5</w:t>
        </w:r>
        <w:r w:rsidRPr="00611431">
          <w:rPr>
            <w:noProof/>
          </w:rPr>
          <w:fldChar w:fldCharType="end"/>
        </w:r>
        <w:r w:rsidRPr="00611431">
          <w:rPr>
            <w:noProof/>
          </w:rP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660423"/>
      <w:docPartObj>
        <w:docPartGallery w:val="Page Numbers (Top of Page)"/>
        <w:docPartUnique/>
      </w:docPartObj>
    </w:sdtPr>
    <w:sdtEndPr>
      <w:rPr>
        <w:noProof/>
      </w:rPr>
    </w:sdtEndPr>
    <w:sdtContent>
      <w:p w14:paraId="1EE1E1E2" w14:textId="77777777" w:rsidR="006564AF" w:rsidRPr="00611431" w:rsidRDefault="006564A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9</w:t>
        </w:r>
        <w:r w:rsidRPr="00611431">
          <w:rPr>
            <w:noProof/>
          </w:rPr>
          <w:fldChar w:fldCharType="end"/>
        </w:r>
        <w:r w:rsidRPr="00611431">
          <w:rPr>
            <w:noProof/>
          </w:rPr>
          <w:t xml:space="preserve"> -</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450679"/>
      <w:docPartObj>
        <w:docPartGallery w:val="Page Numbers (Top of Page)"/>
        <w:docPartUnique/>
      </w:docPartObj>
    </w:sdtPr>
    <w:sdtEndPr>
      <w:rPr>
        <w:noProof/>
      </w:rPr>
    </w:sdtEndPr>
    <w:sdtContent>
      <w:p w14:paraId="49BC0AE4" w14:textId="77777777" w:rsidR="006564AF" w:rsidRPr="00611431" w:rsidRDefault="006564A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13</w:t>
        </w:r>
        <w:r w:rsidRPr="00611431">
          <w:rPr>
            <w:noProof/>
          </w:rPr>
          <w:fldChar w:fldCharType="end"/>
        </w:r>
        <w:r w:rsidRPr="00611431">
          <w:rPr>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08153"/>
      <w:docPartObj>
        <w:docPartGallery w:val="Page Numbers (Top of Page)"/>
        <w:docPartUnique/>
      </w:docPartObj>
    </w:sdtPr>
    <w:sdtEndPr>
      <w:rPr>
        <w:noProof/>
      </w:rPr>
    </w:sdtEndPr>
    <w:sdtContent>
      <w:p w14:paraId="3C44603D" w14:textId="77777777" w:rsidR="006564AF" w:rsidRPr="00611431" w:rsidRDefault="006564AF">
        <w:pPr>
          <w:pStyle w:val="Header"/>
          <w:jc w:val="center"/>
        </w:pPr>
        <w:r w:rsidRPr="00611431">
          <w:t xml:space="preserve">- </w:t>
        </w:r>
        <w:r w:rsidRPr="00611431">
          <w:fldChar w:fldCharType="begin"/>
        </w:r>
        <w:r w:rsidRPr="00611431">
          <w:instrText xml:space="preserve"> PAGE   \* MERGEFORMAT </w:instrText>
        </w:r>
        <w:r w:rsidRPr="00611431">
          <w:fldChar w:fldCharType="separate"/>
        </w:r>
        <w:r>
          <w:rPr>
            <w:noProof/>
          </w:rPr>
          <w:t>47</w:t>
        </w:r>
        <w:r w:rsidRPr="00611431">
          <w:rPr>
            <w:noProof/>
          </w:rPr>
          <w:fldChar w:fldCharType="end"/>
        </w:r>
        <w:r w:rsidRPr="00611431">
          <w:rPr>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B5A" w14:textId="77777777" w:rsidR="006564AF" w:rsidRPr="000E27B1" w:rsidRDefault="006564AF">
    <w:pPr>
      <w:pStyle w:val="Header"/>
      <w:jc w:val="center"/>
    </w:pPr>
    <w:r w:rsidRPr="000E27B1">
      <w:t xml:space="preserve">- </w:t>
    </w:r>
    <w:sdt>
      <w:sdtPr>
        <w:id w:val="1452660070"/>
        <w:docPartObj>
          <w:docPartGallery w:val="Page Numbers (Top of Page)"/>
          <w:docPartUnique/>
        </w:docPartObj>
      </w:sdtPr>
      <w:sdtEndPr>
        <w:rPr>
          <w:noProof/>
        </w:rPr>
      </w:sdtEndPr>
      <w:sdtContent>
        <w:r w:rsidRPr="000E27B1">
          <w:fldChar w:fldCharType="begin"/>
        </w:r>
        <w:r w:rsidRPr="000E27B1">
          <w:instrText xml:space="preserve"> PAGE   \* MERGEFORMAT </w:instrText>
        </w:r>
        <w:r w:rsidRPr="000E27B1">
          <w:fldChar w:fldCharType="separate"/>
        </w:r>
        <w:r>
          <w:rPr>
            <w:noProof/>
          </w:rPr>
          <w:t>51</w:t>
        </w:r>
        <w:r w:rsidRPr="000E27B1">
          <w:rPr>
            <w:noProof/>
          </w:rPr>
          <w:fldChar w:fldCharType="end"/>
        </w:r>
        <w:r w:rsidRPr="000E27B1">
          <w:rPr>
            <w:noProof/>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639E0486"/>
    <w:lvl w:ilvl="0" w:tplc="FFFFFFFF">
      <w:start w:val="1"/>
      <w:numFmt w:val="upperRoman"/>
      <w:lvlText w:val="%1."/>
      <w:lvlJc w:val="left"/>
      <w:pPr>
        <w:ind w:left="531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0BE32F5"/>
    <w:multiLevelType w:val="hybridMultilevel"/>
    <w:tmpl w:val="465474DC"/>
    <w:lvl w:ilvl="0" w:tplc="85AA4262">
      <w:start w:val="4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 w15:restartNumberingAfterBreak="0">
    <w:nsid w:val="024A6FD2"/>
    <w:multiLevelType w:val="hybridMultilevel"/>
    <w:tmpl w:val="52920FFA"/>
    <w:lvl w:ilvl="0" w:tplc="974260CC">
      <w:start w:val="15"/>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63476"/>
    <w:multiLevelType w:val="hybridMultilevel"/>
    <w:tmpl w:val="93C4515E"/>
    <w:lvl w:ilvl="0" w:tplc="D4A68DBE">
      <w:start w:val="1"/>
      <w:numFmt w:val="decimal"/>
      <w:lvlText w:val="%1."/>
      <w:lvlJc w:val="left"/>
      <w:pPr>
        <w:ind w:left="1440" w:hanging="720"/>
      </w:pPr>
      <w:rPr>
        <w:b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5" w15:restartNumberingAfterBreak="0">
    <w:nsid w:val="0B96397B"/>
    <w:multiLevelType w:val="hybridMultilevel"/>
    <w:tmpl w:val="A54E49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D1757FA"/>
    <w:multiLevelType w:val="hybridMultilevel"/>
    <w:tmpl w:val="92228D90"/>
    <w:lvl w:ilvl="0" w:tplc="7756B89E">
      <w:start w:val="11"/>
      <w:numFmt w:val="decimal"/>
      <w:lvlText w:val="%1."/>
      <w:lvlJc w:val="left"/>
      <w:pPr>
        <w:ind w:left="1800" w:hanging="360"/>
      </w:pPr>
      <w:rPr>
        <w:rFonts w:cs="Times New Roman"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641C7"/>
    <w:multiLevelType w:val="hybridMultilevel"/>
    <w:tmpl w:val="4526183E"/>
    <w:lvl w:ilvl="0" w:tplc="F60E03CC">
      <w:start w:val="20"/>
      <w:numFmt w:val="decimal"/>
      <w:lvlText w:val="%1."/>
      <w:lvlJc w:val="left"/>
      <w:pPr>
        <w:ind w:left="-9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710" w:hanging="360"/>
      </w:pPr>
      <w:rPr>
        <w:rFonts w:cs="Times New Roman"/>
      </w:rPr>
    </w:lvl>
    <w:lvl w:ilvl="2" w:tplc="040C001B">
      <w:start w:val="1"/>
      <w:numFmt w:val="lowerRoman"/>
      <w:lvlText w:val="%3."/>
      <w:lvlJc w:val="right"/>
      <w:pPr>
        <w:ind w:left="2430" w:hanging="180"/>
      </w:pPr>
      <w:rPr>
        <w:rFonts w:cs="Times New Roman"/>
      </w:rPr>
    </w:lvl>
    <w:lvl w:ilvl="3" w:tplc="040C000F">
      <w:start w:val="1"/>
      <w:numFmt w:val="decimal"/>
      <w:lvlText w:val="%4."/>
      <w:lvlJc w:val="left"/>
      <w:pPr>
        <w:ind w:left="3150" w:hanging="360"/>
      </w:pPr>
      <w:rPr>
        <w:rFonts w:cs="Times New Roman"/>
      </w:rPr>
    </w:lvl>
    <w:lvl w:ilvl="4" w:tplc="040C0019">
      <w:start w:val="1"/>
      <w:numFmt w:val="lowerLetter"/>
      <w:lvlText w:val="%5."/>
      <w:lvlJc w:val="left"/>
      <w:pPr>
        <w:ind w:left="3870" w:hanging="360"/>
      </w:pPr>
      <w:rPr>
        <w:rFonts w:cs="Times New Roman"/>
      </w:rPr>
    </w:lvl>
    <w:lvl w:ilvl="5" w:tplc="040C001B">
      <w:start w:val="1"/>
      <w:numFmt w:val="lowerRoman"/>
      <w:lvlText w:val="%6."/>
      <w:lvlJc w:val="right"/>
      <w:pPr>
        <w:ind w:left="4590" w:hanging="180"/>
      </w:pPr>
      <w:rPr>
        <w:rFonts w:cs="Times New Roman"/>
      </w:rPr>
    </w:lvl>
    <w:lvl w:ilvl="6" w:tplc="040C000F">
      <w:start w:val="1"/>
      <w:numFmt w:val="decimal"/>
      <w:lvlText w:val="%7."/>
      <w:lvlJc w:val="left"/>
      <w:pPr>
        <w:ind w:left="5310" w:hanging="360"/>
      </w:pPr>
      <w:rPr>
        <w:rFonts w:cs="Times New Roman"/>
      </w:rPr>
    </w:lvl>
    <w:lvl w:ilvl="7" w:tplc="040C0019">
      <w:start w:val="1"/>
      <w:numFmt w:val="lowerLetter"/>
      <w:lvlText w:val="%8."/>
      <w:lvlJc w:val="left"/>
      <w:pPr>
        <w:ind w:left="6030" w:hanging="360"/>
      </w:pPr>
      <w:rPr>
        <w:rFonts w:cs="Times New Roman"/>
      </w:rPr>
    </w:lvl>
    <w:lvl w:ilvl="8" w:tplc="040C001B">
      <w:start w:val="1"/>
      <w:numFmt w:val="lowerRoman"/>
      <w:lvlText w:val="%9."/>
      <w:lvlJc w:val="right"/>
      <w:pPr>
        <w:ind w:left="6750" w:hanging="180"/>
      </w:pPr>
      <w:rPr>
        <w:rFonts w:cs="Times New Roman"/>
      </w:rPr>
    </w:lvl>
  </w:abstractNum>
  <w:abstractNum w:abstractNumId="8" w15:restartNumberingAfterBreak="0">
    <w:nsid w:val="117448C7"/>
    <w:multiLevelType w:val="hybridMultilevel"/>
    <w:tmpl w:val="71D218EE"/>
    <w:lvl w:ilvl="0" w:tplc="E44CFCFE">
      <w:start w:val="2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15:restartNumberingAfterBreak="0">
    <w:nsid w:val="11B91A93"/>
    <w:multiLevelType w:val="hybridMultilevel"/>
    <w:tmpl w:val="814EF596"/>
    <w:lvl w:ilvl="0" w:tplc="F2DC91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D4F5E"/>
    <w:multiLevelType w:val="hybridMultilevel"/>
    <w:tmpl w:val="3A0E88BC"/>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49C4FB8"/>
    <w:multiLevelType w:val="hybridMultilevel"/>
    <w:tmpl w:val="E1BA4F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3" w15:restartNumberingAfterBreak="0">
    <w:nsid w:val="1B582EA8"/>
    <w:multiLevelType w:val="hybridMultilevel"/>
    <w:tmpl w:val="02DAAD40"/>
    <w:lvl w:ilvl="0" w:tplc="F364EFC2">
      <w:start w:val="1"/>
      <w:numFmt w:val="lowerLetter"/>
      <w:lvlText w:val="%1)"/>
      <w:lvlJc w:val="left"/>
      <w:pPr>
        <w:ind w:left="1440" w:hanging="360"/>
      </w:pPr>
      <w:rPr>
        <w:b w:val="0"/>
        <w:i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15:restartNumberingAfterBreak="0">
    <w:nsid w:val="1BB533F5"/>
    <w:multiLevelType w:val="hybridMultilevel"/>
    <w:tmpl w:val="1AD4A042"/>
    <w:lvl w:ilvl="0" w:tplc="C3BCA85A">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960F6"/>
    <w:multiLevelType w:val="hybridMultilevel"/>
    <w:tmpl w:val="53927164"/>
    <w:lvl w:ilvl="0" w:tplc="FAFEA0D2">
      <w:start w:val="2"/>
      <w:numFmt w:val="upperLetter"/>
      <w:lvlText w:val="%1."/>
      <w:lvlJc w:val="left"/>
      <w:pPr>
        <w:ind w:left="720" w:hanging="360"/>
      </w:pPr>
      <w:rPr>
        <w:rFonts w:cs="Times New Roman"/>
        <w:strike w:val="0"/>
        <w:dstrike w:val="0"/>
        <w:u w:val="none"/>
        <w:effect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1CE70C4D"/>
    <w:multiLevelType w:val="hybridMultilevel"/>
    <w:tmpl w:val="0540B3DE"/>
    <w:lvl w:ilvl="0" w:tplc="3E9C5530">
      <w:start w:val="1"/>
      <w:numFmt w:val="upperLetter"/>
      <w:lvlText w:val="%1."/>
      <w:lvlJc w:val="left"/>
      <w:pPr>
        <w:ind w:left="1440" w:hanging="720"/>
      </w:pPr>
      <w:rPr>
        <w:rFonts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17"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9"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20" w15:restartNumberingAfterBreak="0">
    <w:nsid w:val="28F44777"/>
    <w:multiLevelType w:val="hybridMultilevel"/>
    <w:tmpl w:val="FBFCB3D0"/>
    <w:lvl w:ilvl="0" w:tplc="B8424BAE">
      <w:start w:val="2"/>
      <w:numFmt w:val="decimal"/>
      <w:lvlText w:val="%1."/>
      <w:lvlJc w:val="left"/>
      <w:pPr>
        <w:ind w:left="1080" w:hanging="360"/>
      </w:pPr>
      <w:rPr>
        <w:rFonts w:cs="Times New Roman"/>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2A7F7BCD"/>
    <w:multiLevelType w:val="hybridMultilevel"/>
    <w:tmpl w:val="8596660A"/>
    <w:lvl w:ilvl="0" w:tplc="968E7252">
      <w:start w:val="11"/>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15:restartNumberingAfterBreak="0">
    <w:nsid w:val="2BD83618"/>
    <w:multiLevelType w:val="hybridMultilevel"/>
    <w:tmpl w:val="03C61A98"/>
    <w:lvl w:ilvl="0" w:tplc="88721A1E">
      <w:start w:val="56"/>
      <w:numFmt w:val="decimal"/>
      <w:lvlText w:val="%1."/>
      <w:lvlJc w:val="left"/>
      <w:pPr>
        <w:ind w:left="-152"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3"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2C3D5C57"/>
    <w:multiLevelType w:val="hybridMultilevel"/>
    <w:tmpl w:val="CDC0E138"/>
    <w:lvl w:ilvl="0" w:tplc="4B102C04">
      <w:start w:val="1"/>
      <w:numFmt w:val="none"/>
      <w:lvlText w:val="2."/>
      <w:lvlJc w:val="left"/>
      <w:pPr>
        <w:ind w:left="928" w:hanging="360"/>
      </w:pPr>
      <w:rPr>
        <w:rFonts w:cs="Times New Roman" w:hint="default"/>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tentative="1">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25" w15:restartNumberingAfterBreak="0">
    <w:nsid w:val="2CA20004"/>
    <w:multiLevelType w:val="hybridMultilevel"/>
    <w:tmpl w:val="898EB6CC"/>
    <w:lvl w:ilvl="0" w:tplc="C5583FDC">
      <w:start w:val="42"/>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2D066C9B"/>
    <w:multiLevelType w:val="hybridMultilevel"/>
    <w:tmpl w:val="C8A849B6"/>
    <w:lvl w:ilvl="0" w:tplc="E4786C68">
      <w:start w:val="10"/>
      <w:numFmt w:val="decimal"/>
      <w:lvlText w:val="%1."/>
      <w:lvlJc w:val="left"/>
      <w:pPr>
        <w:ind w:left="1080" w:hanging="360"/>
      </w:pPr>
      <w:rPr>
        <w:rFonts w:cs="Times New Roman" w:hint="default"/>
        <w:strike w:val="0"/>
        <w:dstrike w:val="0"/>
        <w:u w:val="none" w:color="000000"/>
        <w:effect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9" w15:restartNumberingAfterBreak="0">
    <w:nsid w:val="30CF3FE9"/>
    <w:multiLevelType w:val="hybridMultilevel"/>
    <w:tmpl w:val="E8BC1E6E"/>
    <w:lvl w:ilvl="0" w:tplc="CEA2983A">
      <w:start w:val="121"/>
      <w:numFmt w:val="decimal"/>
      <w:lvlText w:val="%1."/>
      <w:lvlJc w:val="left"/>
      <w:pPr>
        <w:ind w:left="288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34682A57"/>
    <w:multiLevelType w:val="hybridMultilevel"/>
    <w:tmpl w:val="FE48C736"/>
    <w:lvl w:ilvl="0" w:tplc="0EFC1F00">
      <w:start w:val="1"/>
      <w:numFmt w:val="none"/>
      <w:lvlText w:val="4."/>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362E45C9"/>
    <w:multiLevelType w:val="hybridMultilevel"/>
    <w:tmpl w:val="3092D378"/>
    <w:lvl w:ilvl="0" w:tplc="A20655B8">
      <w:start w:val="1"/>
      <w:numFmt w:val="lowerLetter"/>
      <w:lvlText w:val="%1)"/>
      <w:lvlJc w:val="left"/>
      <w:pPr>
        <w:ind w:left="180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3C1812B5"/>
    <w:multiLevelType w:val="hybridMultilevel"/>
    <w:tmpl w:val="8B40C15A"/>
    <w:lvl w:ilvl="0" w:tplc="68C00AA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4" w15:restartNumberingAfterBreak="0">
    <w:nsid w:val="3C7474F8"/>
    <w:multiLevelType w:val="hybridMultilevel"/>
    <w:tmpl w:val="77D4A4E8"/>
    <w:lvl w:ilvl="0" w:tplc="08562156">
      <w:start w:val="1"/>
      <w:numFmt w:val="upperRoman"/>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7"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427B2489"/>
    <w:multiLevelType w:val="hybridMultilevel"/>
    <w:tmpl w:val="CF207972"/>
    <w:lvl w:ilvl="0" w:tplc="036CBBEC">
      <w:start w:val="171"/>
      <w:numFmt w:val="decimal"/>
      <w:lvlText w:val="%1."/>
      <w:lvlJc w:val="left"/>
      <w:pPr>
        <w:ind w:left="1320" w:hanging="420"/>
      </w:pPr>
      <w:rPr>
        <w:rFonts w:cs="Times New Roman"/>
        <w:i w:val="0"/>
      </w:rPr>
    </w:lvl>
    <w:lvl w:ilvl="1" w:tplc="040C0019">
      <w:start w:val="1"/>
      <w:numFmt w:val="lowerLetter"/>
      <w:lvlText w:val="%2."/>
      <w:lvlJc w:val="left"/>
      <w:pPr>
        <w:ind w:left="1980" w:hanging="360"/>
      </w:pPr>
      <w:rPr>
        <w:rFonts w:cs="Times New Roman"/>
      </w:rPr>
    </w:lvl>
    <w:lvl w:ilvl="2" w:tplc="040C001B">
      <w:start w:val="1"/>
      <w:numFmt w:val="lowerRoman"/>
      <w:lvlText w:val="%3."/>
      <w:lvlJc w:val="right"/>
      <w:pPr>
        <w:ind w:left="2700" w:hanging="180"/>
      </w:pPr>
      <w:rPr>
        <w:rFonts w:cs="Times New Roman"/>
      </w:rPr>
    </w:lvl>
    <w:lvl w:ilvl="3" w:tplc="040C000F">
      <w:start w:val="1"/>
      <w:numFmt w:val="decimal"/>
      <w:lvlText w:val="%4."/>
      <w:lvlJc w:val="left"/>
      <w:pPr>
        <w:ind w:left="3420" w:hanging="360"/>
      </w:pPr>
      <w:rPr>
        <w:rFonts w:cs="Times New Roman"/>
      </w:rPr>
    </w:lvl>
    <w:lvl w:ilvl="4" w:tplc="040C0019">
      <w:start w:val="1"/>
      <w:numFmt w:val="lowerLetter"/>
      <w:lvlText w:val="%5."/>
      <w:lvlJc w:val="left"/>
      <w:pPr>
        <w:ind w:left="4140" w:hanging="360"/>
      </w:pPr>
      <w:rPr>
        <w:rFonts w:cs="Times New Roman"/>
      </w:rPr>
    </w:lvl>
    <w:lvl w:ilvl="5" w:tplc="040C001B">
      <w:start w:val="1"/>
      <w:numFmt w:val="lowerRoman"/>
      <w:lvlText w:val="%6."/>
      <w:lvlJc w:val="right"/>
      <w:pPr>
        <w:ind w:left="4860" w:hanging="180"/>
      </w:pPr>
      <w:rPr>
        <w:rFonts w:cs="Times New Roman"/>
      </w:rPr>
    </w:lvl>
    <w:lvl w:ilvl="6" w:tplc="040C000F">
      <w:start w:val="1"/>
      <w:numFmt w:val="decimal"/>
      <w:lvlText w:val="%7."/>
      <w:lvlJc w:val="left"/>
      <w:pPr>
        <w:ind w:left="5580" w:hanging="360"/>
      </w:pPr>
      <w:rPr>
        <w:rFonts w:cs="Times New Roman"/>
      </w:rPr>
    </w:lvl>
    <w:lvl w:ilvl="7" w:tplc="040C0019">
      <w:start w:val="1"/>
      <w:numFmt w:val="lowerLetter"/>
      <w:lvlText w:val="%8."/>
      <w:lvlJc w:val="left"/>
      <w:pPr>
        <w:ind w:left="6300" w:hanging="360"/>
      </w:pPr>
      <w:rPr>
        <w:rFonts w:cs="Times New Roman"/>
      </w:rPr>
    </w:lvl>
    <w:lvl w:ilvl="8" w:tplc="040C001B">
      <w:start w:val="1"/>
      <w:numFmt w:val="lowerRoman"/>
      <w:lvlText w:val="%9."/>
      <w:lvlJc w:val="right"/>
      <w:pPr>
        <w:ind w:left="7020" w:hanging="180"/>
      </w:pPr>
      <w:rPr>
        <w:rFonts w:cs="Times New Roman"/>
      </w:rPr>
    </w:lvl>
  </w:abstractNum>
  <w:abstractNum w:abstractNumId="39" w15:restartNumberingAfterBreak="0">
    <w:nsid w:val="459C24C0"/>
    <w:multiLevelType w:val="hybridMultilevel"/>
    <w:tmpl w:val="2F2400C0"/>
    <w:lvl w:ilvl="0" w:tplc="62ACBC54">
      <w:start w:val="5"/>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0"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41" w15:restartNumberingAfterBreak="0">
    <w:nsid w:val="4AEC7F42"/>
    <w:multiLevelType w:val="hybridMultilevel"/>
    <w:tmpl w:val="D8C81212"/>
    <w:lvl w:ilvl="0" w:tplc="11F66F48">
      <w:start w:val="9"/>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2"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3" w15:restartNumberingAfterBreak="0">
    <w:nsid w:val="4EE72FBB"/>
    <w:multiLevelType w:val="hybridMultilevel"/>
    <w:tmpl w:val="64BAA13C"/>
    <w:lvl w:ilvl="0" w:tplc="8B7EF656">
      <w:start w:val="1"/>
      <w:numFmt w:val="none"/>
      <w:lvlText w:val="3."/>
      <w:lvlJc w:val="left"/>
      <w:pPr>
        <w:ind w:left="928" w:hanging="360"/>
      </w:pPr>
      <w:rPr>
        <w:rFonts w:cs="Times New Roman" w:hint="default"/>
      </w:rPr>
    </w:lvl>
    <w:lvl w:ilvl="1" w:tplc="04090019" w:tentative="1">
      <w:start w:val="1"/>
      <w:numFmt w:val="lowerLetter"/>
      <w:lvlText w:val="%2."/>
      <w:lvlJc w:val="left"/>
      <w:pPr>
        <w:ind w:left="2868" w:hanging="360"/>
      </w:pPr>
      <w:rPr>
        <w:rFonts w:cs="Times New Roman"/>
      </w:rPr>
    </w:lvl>
    <w:lvl w:ilvl="2" w:tplc="0409001B" w:tentative="1">
      <w:start w:val="1"/>
      <w:numFmt w:val="lowerRoman"/>
      <w:lvlText w:val="%3."/>
      <w:lvlJc w:val="right"/>
      <w:pPr>
        <w:ind w:left="3588" w:hanging="180"/>
      </w:pPr>
      <w:rPr>
        <w:rFonts w:cs="Times New Roman"/>
      </w:rPr>
    </w:lvl>
    <w:lvl w:ilvl="3" w:tplc="0409000F" w:tentative="1">
      <w:start w:val="1"/>
      <w:numFmt w:val="decimal"/>
      <w:lvlText w:val="%4."/>
      <w:lvlJc w:val="left"/>
      <w:pPr>
        <w:ind w:left="4308" w:hanging="360"/>
      </w:pPr>
      <w:rPr>
        <w:rFonts w:cs="Times New Roman"/>
      </w:rPr>
    </w:lvl>
    <w:lvl w:ilvl="4" w:tplc="04090019" w:tentative="1">
      <w:start w:val="1"/>
      <w:numFmt w:val="lowerLetter"/>
      <w:lvlText w:val="%5."/>
      <w:lvlJc w:val="left"/>
      <w:pPr>
        <w:ind w:left="5028" w:hanging="360"/>
      </w:pPr>
      <w:rPr>
        <w:rFonts w:cs="Times New Roman"/>
      </w:rPr>
    </w:lvl>
    <w:lvl w:ilvl="5" w:tplc="0409001B" w:tentative="1">
      <w:start w:val="1"/>
      <w:numFmt w:val="lowerRoman"/>
      <w:lvlText w:val="%6."/>
      <w:lvlJc w:val="right"/>
      <w:pPr>
        <w:ind w:left="5748" w:hanging="180"/>
      </w:pPr>
      <w:rPr>
        <w:rFonts w:cs="Times New Roman"/>
      </w:rPr>
    </w:lvl>
    <w:lvl w:ilvl="6" w:tplc="0409000F" w:tentative="1">
      <w:start w:val="1"/>
      <w:numFmt w:val="decimal"/>
      <w:lvlText w:val="%7."/>
      <w:lvlJc w:val="left"/>
      <w:pPr>
        <w:ind w:left="6468" w:hanging="360"/>
      </w:pPr>
      <w:rPr>
        <w:rFonts w:cs="Times New Roman"/>
      </w:rPr>
    </w:lvl>
    <w:lvl w:ilvl="7" w:tplc="04090019" w:tentative="1">
      <w:start w:val="1"/>
      <w:numFmt w:val="lowerLetter"/>
      <w:lvlText w:val="%8."/>
      <w:lvlJc w:val="left"/>
      <w:pPr>
        <w:ind w:left="7188" w:hanging="360"/>
      </w:pPr>
      <w:rPr>
        <w:rFonts w:cs="Times New Roman"/>
      </w:rPr>
    </w:lvl>
    <w:lvl w:ilvl="8" w:tplc="0409001B" w:tentative="1">
      <w:start w:val="1"/>
      <w:numFmt w:val="lowerRoman"/>
      <w:lvlText w:val="%9."/>
      <w:lvlJc w:val="right"/>
      <w:pPr>
        <w:ind w:left="7908" w:hanging="180"/>
      </w:pPr>
      <w:rPr>
        <w:rFonts w:cs="Times New Roman"/>
      </w:rPr>
    </w:lvl>
  </w:abstractNum>
  <w:abstractNum w:abstractNumId="44" w15:restartNumberingAfterBreak="0">
    <w:nsid w:val="4F9C562F"/>
    <w:multiLevelType w:val="hybridMultilevel"/>
    <w:tmpl w:val="E58831A8"/>
    <w:lvl w:ilvl="0" w:tplc="1D8867A4">
      <w:start w:val="32"/>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5" w15:restartNumberingAfterBreak="0">
    <w:nsid w:val="51545A28"/>
    <w:multiLevelType w:val="hybridMultilevel"/>
    <w:tmpl w:val="EB60642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2C75AFF"/>
    <w:multiLevelType w:val="hybridMultilevel"/>
    <w:tmpl w:val="77465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231FB1"/>
    <w:multiLevelType w:val="hybridMultilevel"/>
    <w:tmpl w:val="EE5E39F8"/>
    <w:lvl w:ilvl="0" w:tplc="041A93FC">
      <w:start w:val="23"/>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8"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9" w15:restartNumberingAfterBreak="0">
    <w:nsid w:val="54D5415E"/>
    <w:multiLevelType w:val="hybridMultilevel"/>
    <w:tmpl w:val="7480CE9C"/>
    <w:lvl w:ilvl="0" w:tplc="D38C2874">
      <w:start w:val="1"/>
      <w:numFmt w:val="lowerRoman"/>
      <w:lvlText w:val="(%1)"/>
      <w:lvlJc w:val="left"/>
      <w:pPr>
        <w:ind w:left="2088" w:hanging="720"/>
      </w:pPr>
      <w:rPr>
        <w:rFonts w:cs="Times New Roman"/>
      </w:rPr>
    </w:lvl>
    <w:lvl w:ilvl="1" w:tplc="0C0A0019">
      <w:start w:val="1"/>
      <w:numFmt w:val="lowerLetter"/>
      <w:lvlText w:val="%2."/>
      <w:lvlJc w:val="left"/>
      <w:pPr>
        <w:ind w:left="2448" w:hanging="360"/>
      </w:pPr>
      <w:rPr>
        <w:rFonts w:cs="Times New Roman"/>
      </w:rPr>
    </w:lvl>
    <w:lvl w:ilvl="2" w:tplc="0C0A001B">
      <w:start w:val="1"/>
      <w:numFmt w:val="lowerRoman"/>
      <w:lvlText w:val="%3."/>
      <w:lvlJc w:val="right"/>
      <w:pPr>
        <w:ind w:left="3168" w:hanging="180"/>
      </w:pPr>
      <w:rPr>
        <w:rFonts w:cs="Times New Roman"/>
      </w:rPr>
    </w:lvl>
    <w:lvl w:ilvl="3" w:tplc="0C0A000F">
      <w:start w:val="1"/>
      <w:numFmt w:val="decimal"/>
      <w:lvlText w:val="%4."/>
      <w:lvlJc w:val="left"/>
      <w:pPr>
        <w:ind w:left="3888" w:hanging="360"/>
      </w:pPr>
      <w:rPr>
        <w:rFonts w:cs="Times New Roman"/>
      </w:rPr>
    </w:lvl>
    <w:lvl w:ilvl="4" w:tplc="0C0A0019">
      <w:start w:val="1"/>
      <w:numFmt w:val="lowerLetter"/>
      <w:lvlText w:val="%5."/>
      <w:lvlJc w:val="left"/>
      <w:pPr>
        <w:ind w:left="4608" w:hanging="360"/>
      </w:pPr>
      <w:rPr>
        <w:rFonts w:cs="Times New Roman"/>
      </w:rPr>
    </w:lvl>
    <w:lvl w:ilvl="5" w:tplc="0C0A001B">
      <w:start w:val="1"/>
      <w:numFmt w:val="lowerRoman"/>
      <w:lvlText w:val="%6."/>
      <w:lvlJc w:val="right"/>
      <w:pPr>
        <w:ind w:left="5328" w:hanging="180"/>
      </w:pPr>
      <w:rPr>
        <w:rFonts w:cs="Times New Roman"/>
      </w:rPr>
    </w:lvl>
    <w:lvl w:ilvl="6" w:tplc="0C0A000F">
      <w:start w:val="1"/>
      <w:numFmt w:val="decimal"/>
      <w:lvlText w:val="%7."/>
      <w:lvlJc w:val="left"/>
      <w:pPr>
        <w:ind w:left="6048" w:hanging="360"/>
      </w:pPr>
      <w:rPr>
        <w:rFonts w:cs="Times New Roman"/>
      </w:rPr>
    </w:lvl>
    <w:lvl w:ilvl="7" w:tplc="0C0A0019">
      <w:start w:val="1"/>
      <w:numFmt w:val="lowerLetter"/>
      <w:lvlText w:val="%8."/>
      <w:lvlJc w:val="left"/>
      <w:pPr>
        <w:ind w:left="6768" w:hanging="360"/>
      </w:pPr>
      <w:rPr>
        <w:rFonts w:cs="Times New Roman"/>
      </w:rPr>
    </w:lvl>
    <w:lvl w:ilvl="8" w:tplc="0C0A001B">
      <w:start w:val="1"/>
      <w:numFmt w:val="lowerRoman"/>
      <w:lvlText w:val="%9."/>
      <w:lvlJc w:val="right"/>
      <w:pPr>
        <w:ind w:left="7488" w:hanging="180"/>
      </w:pPr>
      <w:rPr>
        <w:rFonts w:cs="Times New Roman"/>
      </w:rPr>
    </w:lvl>
  </w:abstractNum>
  <w:abstractNum w:abstractNumId="50" w15:restartNumberingAfterBreak="0">
    <w:nsid w:val="55AC6985"/>
    <w:multiLevelType w:val="hybridMultilevel"/>
    <w:tmpl w:val="8132F13A"/>
    <w:lvl w:ilvl="0" w:tplc="C1F08EDC">
      <w:start w:val="1"/>
      <w:numFmt w:val="decimal"/>
      <w:lvlText w:val="%1."/>
      <w:lvlJc w:val="left"/>
      <w:pPr>
        <w:ind w:left="72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CFF481BA">
      <w:start w:val="1"/>
      <w:numFmt w:val="decimal"/>
      <w:lvlText w:val="%4."/>
      <w:lvlJc w:val="left"/>
      <w:pPr>
        <w:ind w:left="2880" w:hanging="360"/>
      </w:pPr>
      <w:rPr>
        <w:rFonts w:cs="Times New Roman"/>
        <w:i w:val="0"/>
        <w:sz w:val="22"/>
        <w:szCs w:val="22"/>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15E0B828">
      <w:start w:val="1"/>
      <w:numFmt w:val="decimal"/>
      <w:lvlText w:val="%7."/>
      <w:lvlJc w:val="left"/>
      <w:pPr>
        <w:ind w:left="5040" w:hanging="360"/>
      </w:pPr>
      <w:rPr>
        <w:rFonts w:cs="Times New Roman"/>
        <w:i w:val="0"/>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52" w15:restartNumberingAfterBreak="0">
    <w:nsid w:val="56596B2A"/>
    <w:multiLevelType w:val="multilevel"/>
    <w:tmpl w:val="E31085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55" w15:restartNumberingAfterBreak="0">
    <w:nsid w:val="5CE168FC"/>
    <w:multiLevelType w:val="hybridMultilevel"/>
    <w:tmpl w:val="60F29B32"/>
    <w:lvl w:ilvl="0" w:tplc="8CFE73BE">
      <w:start w:val="54"/>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6" w15:restartNumberingAfterBreak="0">
    <w:nsid w:val="5ECE4890"/>
    <w:multiLevelType w:val="hybridMultilevel"/>
    <w:tmpl w:val="5F268BAE"/>
    <w:lvl w:ilvl="0" w:tplc="35A2EC3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FCB3985"/>
    <w:multiLevelType w:val="hybridMultilevel"/>
    <w:tmpl w:val="CDC2FF5C"/>
    <w:lvl w:ilvl="0" w:tplc="084A4B44">
      <w:start w:val="125"/>
      <w:numFmt w:val="decimal"/>
      <w:lvlText w:val="%1."/>
      <w:lvlJc w:val="left"/>
      <w:pPr>
        <w:ind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58" w15:restartNumberingAfterBreak="0">
    <w:nsid w:val="63FE6161"/>
    <w:multiLevelType w:val="hybridMultilevel"/>
    <w:tmpl w:val="898C3DB8"/>
    <w:lvl w:ilvl="0" w:tplc="4FB06E66">
      <w:start w:val="114"/>
      <w:numFmt w:val="decimal"/>
      <w:lvlText w:val="%1."/>
      <w:lvlJc w:val="left"/>
      <w:pPr>
        <w:ind w:left="2880" w:hanging="360"/>
      </w:pPr>
      <w:rPr>
        <w:rFonts w:cs="Times New Roman"/>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60"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61"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061E35"/>
    <w:multiLevelType w:val="hybridMultilevel"/>
    <w:tmpl w:val="C2303106"/>
    <w:lvl w:ilvl="0" w:tplc="549C5BA8">
      <w:start w:val="166"/>
      <w:numFmt w:val="decimal"/>
      <w:lvlText w:val="%1."/>
      <w:lvlJc w:val="left"/>
      <w:pPr>
        <w:ind w:left="1320" w:hanging="420"/>
      </w:pPr>
      <w:rPr>
        <w:rFonts w:cs="Times New Roman"/>
        <w:i w:val="0"/>
        <w:color w:val="auto"/>
      </w:rPr>
    </w:lvl>
    <w:lvl w:ilvl="1" w:tplc="040C0019">
      <w:start w:val="1"/>
      <w:numFmt w:val="lowerLetter"/>
      <w:lvlText w:val="%2."/>
      <w:lvlJc w:val="left"/>
      <w:pPr>
        <w:ind w:left="1980" w:hanging="360"/>
      </w:pPr>
      <w:rPr>
        <w:rFonts w:cs="Times New Roman"/>
      </w:rPr>
    </w:lvl>
    <w:lvl w:ilvl="2" w:tplc="040C001B">
      <w:start w:val="1"/>
      <w:numFmt w:val="lowerRoman"/>
      <w:lvlText w:val="%3."/>
      <w:lvlJc w:val="right"/>
      <w:pPr>
        <w:ind w:left="2700" w:hanging="180"/>
      </w:pPr>
      <w:rPr>
        <w:rFonts w:cs="Times New Roman"/>
      </w:rPr>
    </w:lvl>
    <w:lvl w:ilvl="3" w:tplc="040C000F">
      <w:start w:val="1"/>
      <w:numFmt w:val="decimal"/>
      <w:lvlText w:val="%4."/>
      <w:lvlJc w:val="left"/>
      <w:pPr>
        <w:ind w:left="3420" w:hanging="360"/>
      </w:pPr>
      <w:rPr>
        <w:rFonts w:cs="Times New Roman"/>
      </w:rPr>
    </w:lvl>
    <w:lvl w:ilvl="4" w:tplc="040C0019">
      <w:start w:val="1"/>
      <w:numFmt w:val="lowerLetter"/>
      <w:lvlText w:val="%5."/>
      <w:lvlJc w:val="left"/>
      <w:pPr>
        <w:ind w:left="4140" w:hanging="360"/>
      </w:pPr>
      <w:rPr>
        <w:rFonts w:cs="Times New Roman"/>
      </w:rPr>
    </w:lvl>
    <w:lvl w:ilvl="5" w:tplc="040C001B">
      <w:start w:val="1"/>
      <w:numFmt w:val="lowerRoman"/>
      <w:lvlText w:val="%6."/>
      <w:lvlJc w:val="right"/>
      <w:pPr>
        <w:ind w:left="4860" w:hanging="180"/>
      </w:pPr>
      <w:rPr>
        <w:rFonts w:cs="Times New Roman"/>
      </w:rPr>
    </w:lvl>
    <w:lvl w:ilvl="6" w:tplc="040C000F">
      <w:start w:val="1"/>
      <w:numFmt w:val="decimal"/>
      <w:lvlText w:val="%7."/>
      <w:lvlJc w:val="left"/>
      <w:pPr>
        <w:ind w:left="5580" w:hanging="360"/>
      </w:pPr>
      <w:rPr>
        <w:rFonts w:cs="Times New Roman"/>
      </w:rPr>
    </w:lvl>
    <w:lvl w:ilvl="7" w:tplc="040C0019">
      <w:start w:val="1"/>
      <w:numFmt w:val="lowerLetter"/>
      <w:lvlText w:val="%8."/>
      <w:lvlJc w:val="left"/>
      <w:pPr>
        <w:ind w:left="6300" w:hanging="360"/>
      </w:pPr>
      <w:rPr>
        <w:rFonts w:cs="Times New Roman"/>
      </w:rPr>
    </w:lvl>
    <w:lvl w:ilvl="8" w:tplc="040C001B">
      <w:start w:val="1"/>
      <w:numFmt w:val="lowerRoman"/>
      <w:lvlText w:val="%9."/>
      <w:lvlJc w:val="right"/>
      <w:pPr>
        <w:ind w:left="7020" w:hanging="180"/>
      </w:pPr>
      <w:rPr>
        <w:rFonts w:cs="Times New Roman"/>
      </w:rPr>
    </w:lvl>
  </w:abstractNum>
  <w:abstractNum w:abstractNumId="63" w15:restartNumberingAfterBreak="0">
    <w:nsid w:val="6E4221CF"/>
    <w:multiLevelType w:val="hybridMultilevel"/>
    <w:tmpl w:val="C2A00062"/>
    <w:lvl w:ilvl="0" w:tplc="178A677E">
      <w:start w:val="12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4" w15:restartNumberingAfterBreak="0">
    <w:nsid w:val="6F7F1B47"/>
    <w:multiLevelType w:val="hybridMultilevel"/>
    <w:tmpl w:val="611E4098"/>
    <w:lvl w:ilvl="0" w:tplc="8744CCD2">
      <w:start w:val="1"/>
      <w:numFmt w:val="decimal"/>
      <w:lvlText w:val="%1."/>
      <w:lvlJc w:val="left"/>
      <w:pPr>
        <w:ind w:left="928"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66" w15:restartNumberingAfterBreak="0">
    <w:nsid w:val="714D6600"/>
    <w:multiLevelType w:val="hybridMultilevel"/>
    <w:tmpl w:val="7E60BB5C"/>
    <w:lvl w:ilvl="0" w:tplc="E80CD7FC">
      <w:start w:val="91"/>
      <w:numFmt w:val="decimal"/>
      <w:lvlText w:val="%1."/>
      <w:lvlJc w:val="left"/>
      <w:pPr>
        <w:ind w:left="928" w:hanging="360"/>
      </w:pPr>
      <w:rPr>
        <w:rFonts w:cs="Times New Roman"/>
      </w:rPr>
    </w:lvl>
    <w:lvl w:ilvl="1" w:tplc="040C0019">
      <w:start w:val="1"/>
      <w:numFmt w:val="lowerLetter"/>
      <w:lvlText w:val="%2."/>
      <w:lvlJc w:val="left"/>
      <w:pPr>
        <w:ind w:left="1648" w:hanging="360"/>
      </w:pPr>
      <w:rPr>
        <w:rFonts w:cs="Times New Roman"/>
      </w:rPr>
    </w:lvl>
    <w:lvl w:ilvl="2" w:tplc="040C001B">
      <w:start w:val="1"/>
      <w:numFmt w:val="lowerRoman"/>
      <w:lvlText w:val="%3."/>
      <w:lvlJc w:val="right"/>
      <w:pPr>
        <w:ind w:left="2368" w:hanging="180"/>
      </w:pPr>
      <w:rPr>
        <w:rFonts w:cs="Times New Roman"/>
      </w:rPr>
    </w:lvl>
    <w:lvl w:ilvl="3" w:tplc="040C000F">
      <w:start w:val="1"/>
      <w:numFmt w:val="decimal"/>
      <w:lvlText w:val="%4."/>
      <w:lvlJc w:val="left"/>
      <w:pPr>
        <w:ind w:left="3088" w:hanging="360"/>
      </w:pPr>
      <w:rPr>
        <w:rFonts w:cs="Times New Roman"/>
      </w:rPr>
    </w:lvl>
    <w:lvl w:ilvl="4" w:tplc="040C0019">
      <w:start w:val="1"/>
      <w:numFmt w:val="lowerLetter"/>
      <w:lvlText w:val="%5."/>
      <w:lvlJc w:val="left"/>
      <w:pPr>
        <w:ind w:left="3808" w:hanging="360"/>
      </w:pPr>
      <w:rPr>
        <w:rFonts w:cs="Times New Roman"/>
      </w:rPr>
    </w:lvl>
    <w:lvl w:ilvl="5" w:tplc="040C001B">
      <w:start w:val="1"/>
      <w:numFmt w:val="lowerRoman"/>
      <w:lvlText w:val="%6."/>
      <w:lvlJc w:val="right"/>
      <w:pPr>
        <w:ind w:left="4528" w:hanging="180"/>
      </w:pPr>
      <w:rPr>
        <w:rFonts w:cs="Times New Roman"/>
      </w:rPr>
    </w:lvl>
    <w:lvl w:ilvl="6" w:tplc="040C000F">
      <w:start w:val="1"/>
      <w:numFmt w:val="decimal"/>
      <w:lvlText w:val="%7."/>
      <w:lvlJc w:val="left"/>
      <w:pPr>
        <w:ind w:left="5248" w:hanging="360"/>
      </w:pPr>
      <w:rPr>
        <w:rFonts w:cs="Times New Roman"/>
      </w:rPr>
    </w:lvl>
    <w:lvl w:ilvl="7" w:tplc="040C0019">
      <w:start w:val="1"/>
      <w:numFmt w:val="lowerLetter"/>
      <w:lvlText w:val="%8."/>
      <w:lvlJc w:val="left"/>
      <w:pPr>
        <w:ind w:left="5968" w:hanging="360"/>
      </w:pPr>
      <w:rPr>
        <w:rFonts w:cs="Times New Roman"/>
      </w:rPr>
    </w:lvl>
    <w:lvl w:ilvl="8" w:tplc="040C001B">
      <w:start w:val="1"/>
      <w:numFmt w:val="lowerRoman"/>
      <w:lvlText w:val="%9."/>
      <w:lvlJc w:val="right"/>
      <w:pPr>
        <w:ind w:left="6688" w:hanging="180"/>
      </w:pPr>
      <w:rPr>
        <w:rFonts w:cs="Times New Roman"/>
      </w:rPr>
    </w:lvl>
  </w:abstractNum>
  <w:abstractNum w:abstractNumId="67"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68"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9"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70" w15:restartNumberingAfterBreak="0">
    <w:nsid w:val="7A1424B6"/>
    <w:multiLevelType w:val="hybridMultilevel"/>
    <w:tmpl w:val="AF4A4CB2"/>
    <w:lvl w:ilvl="0" w:tplc="B2D415A4">
      <w:start w:val="204"/>
      <w:numFmt w:val="decimal"/>
      <w:lvlText w:val="%1."/>
      <w:lvlJc w:val="left"/>
      <w:pPr>
        <w:ind w:left="1320" w:hanging="420"/>
      </w:pPr>
      <w:rPr>
        <w:rFonts w:cs="Times New Roman"/>
        <w:i w:val="0"/>
      </w:rPr>
    </w:lvl>
    <w:lvl w:ilvl="1" w:tplc="040C0019">
      <w:start w:val="1"/>
      <w:numFmt w:val="lowerLetter"/>
      <w:lvlText w:val="%2."/>
      <w:lvlJc w:val="left"/>
      <w:pPr>
        <w:ind w:left="1980" w:hanging="360"/>
      </w:pPr>
      <w:rPr>
        <w:rFonts w:cs="Times New Roman"/>
      </w:rPr>
    </w:lvl>
    <w:lvl w:ilvl="2" w:tplc="040C001B">
      <w:start w:val="1"/>
      <w:numFmt w:val="lowerRoman"/>
      <w:lvlText w:val="%3."/>
      <w:lvlJc w:val="right"/>
      <w:pPr>
        <w:ind w:left="2700" w:hanging="180"/>
      </w:pPr>
      <w:rPr>
        <w:rFonts w:cs="Times New Roman"/>
      </w:rPr>
    </w:lvl>
    <w:lvl w:ilvl="3" w:tplc="040C000F">
      <w:start w:val="1"/>
      <w:numFmt w:val="decimal"/>
      <w:lvlText w:val="%4."/>
      <w:lvlJc w:val="left"/>
      <w:pPr>
        <w:ind w:left="3420" w:hanging="360"/>
      </w:pPr>
      <w:rPr>
        <w:rFonts w:cs="Times New Roman"/>
      </w:rPr>
    </w:lvl>
    <w:lvl w:ilvl="4" w:tplc="040C0019">
      <w:start w:val="1"/>
      <w:numFmt w:val="lowerLetter"/>
      <w:lvlText w:val="%5."/>
      <w:lvlJc w:val="left"/>
      <w:pPr>
        <w:ind w:left="4140" w:hanging="360"/>
      </w:pPr>
      <w:rPr>
        <w:rFonts w:cs="Times New Roman"/>
      </w:rPr>
    </w:lvl>
    <w:lvl w:ilvl="5" w:tplc="040C001B">
      <w:start w:val="1"/>
      <w:numFmt w:val="lowerRoman"/>
      <w:lvlText w:val="%6."/>
      <w:lvlJc w:val="right"/>
      <w:pPr>
        <w:ind w:left="4860" w:hanging="180"/>
      </w:pPr>
      <w:rPr>
        <w:rFonts w:cs="Times New Roman"/>
      </w:rPr>
    </w:lvl>
    <w:lvl w:ilvl="6" w:tplc="040C000F">
      <w:start w:val="1"/>
      <w:numFmt w:val="decimal"/>
      <w:lvlText w:val="%7."/>
      <w:lvlJc w:val="left"/>
      <w:pPr>
        <w:ind w:left="5580" w:hanging="360"/>
      </w:pPr>
      <w:rPr>
        <w:rFonts w:cs="Times New Roman"/>
      </w:rPr>
    </w:lvl>
    <w:lvl w:ilvl="7" w:tplc="040C0019">
      <w:start w:val="1"/>
      <w:numFmt w:val="lowerLetter"/>
      <w:lvlText w:val="%8."/>
      <w:lvlJc w:val="left"/>
      <w:pPr>
        <w:ind w:left="6300" w:hanging="360"/>
      </w:pPr>
      <w:rPr>
        <w:rFonts w:cs="Times New Roman"/>
      </w:rPr>
    </w:lvl>
    <w:lvl w:ilvl="8" w:tplc="040C001B">
      <w:start w:val="1"/>
      <w:numFmt w:val="lowerRoman"/>
      <w:lvlText w:val="%9."/>
      <w:lvlJc w:val="right"/>
      <w:pPr>
        <w:ind w:left="7020" w:hanging="180"/>
      </w:pPr>
      <w:rPr>
        <w:rFonts w:cs="Times New Roman"/>
      </w:rPr>
    </w:lvl>
  </w:abstractNum>
  <w:abstractNum w:abstractNumId="71" w15:restartNumberingAfterBreak="0">
    <w:nsid w:val="7B32763E"/>
    <w:multiLevelType w:val="hybridMultilevel"/>
    <w:tmpl w:val="2506A3E8"/>
    <w:lvl w:ilvl="0" w:tplc="9C562CDC">
      <w:start w:val="110"/>
      <w:numFmt w:val="decimal"/>
      <w:lvlText w:val="%1."/>
      <w:lvlJc w:val="left"/>
      <w:pPr>
        <w:ind w:left="1353"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73"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7D8D5536"/>
    <w:multiLevelType w:val="hybridMultilevel"/>
    <w:tmpl w:val="9872EF3A"/>
    <w:lvl w:ilvl="0" w:tplc="B748C160">
      <w:start w:val="1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75"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6" w15:restartNumberingAfterBreak="0">
    <w:nsid w:val="7E886CBB"/>
    <w:multiLevelType w:val="hybridMultilevel"/>
    <w:tmpl w:val="22FEAC3A"/>
    <w:lvl w:ilvl="0" w:tplc="89306326">
      <w:start w:val="34"/>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5"/>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2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61"/>
  </w:num>
  <w:num w:numId="54">
    <w:abstractNumId w:val="34"/>
  </w:num>
  <w:num w:numId="55">
    <w:abstractNumId w:val="76"/>
  </w:num>
  <w:num w:numId="56">
    <w:abstractNumId w:val="54"/>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4"/>
  </w:num>
  <w:num w:numId="70">
    <w:abstractNumId w:val="43"/>
  </w:num>
  <w:num w:numId="71">
    <w:abstractNumId w:val="30"/>
  </w:num>
  <w:num w:numId="72">
    <w:abstractNumId w:val="52"/>
    <w:lvlOverride w:ilvl="0">
      <w:startOverride w:val="1"/>
    </w:lvlOverride>
    <w:lvlOverride w:ilvl="1"/>
    <w:lvlOverride w:ilvl="2"/>
    <w:lvlOverride w:ilvl="3"/>
    <w:lvlOverride w:ilvl="4"/>
    <w:lvlOverride w:ilvl="5"/>
    <w:lvlOverride w:ilvl="6"/>
    <w:lvlOverride w:ilvl="7"/>
    <w:lvlOverride w:ilvl="8"/>
  </w:num>
  <w:num w:numId="73">
    <w:abstractNumId w:val="51"/>
  </w:num>
  <w:num w:numId="74">
    <w:abstractNumId w:val="3"/>
  </w:num>
  <w:num w:numId="75">
    <w:abstractNumId w:val="6"/>
  </w:num>
  <w:num w:numId="76">
    <w:abstractNumId w:val="46"/>
  </w:num>
  <w:num w:numId="77">
    <w:abstractNumId w:val="2"/>
  </w:num>
  <w:num w:numId="78">
    <w:abstractNumId w:val="14"/>
  </w:num>
  <w:num w:numId="79">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0648E"/>
    <w:rsid w:val="000073E1"/>
    <w:rsid w:val="0001129F"/>
    <w:rsid w:val="00012604"/>
    <w:rsid w:val="00012937"/>
    <w:rsid w:val="000164F1"/>
    <w:rsid w:val="00017A96"/>
    <w:rsid w:val="0002025E"/>
    <w:rsid w:val="00020542"/>
    <w:rsid w:val="000213F7"/>
    <w:rsid w:val="000269E8"/>
    <w:rsid w:val="000271C9"/>
    <w:rsid w:val="00032ADD"/>
    <w:rsid w:val="00036903"/>
    <w:rsid w:val="00036B43"/>
    <w:rsid w:val="00037053"/>
    <w:rsid w:val="0004134B"/>
    <w:rsid w:val="000418E1"/>
    <w:rsid w:val="000426C1"/>
    <w:rsid w:val="00042BBE"/>
    <w:rsid w:val="00046BC6"/>
    <w:rsid w:val="000502D4"/>
    <w:rsid w:val="000503DB"/>
    <w:rsid w:val="000510C8"/>
    <w:rsid w:val="000523C0"/>
    <w:rsid w:val="00052E75"/>
    <w:rsid w:val="00053527"/>
    <w:rsid w:val="00060867"/>
    <w:rsid w:val="0006131C"/>
    <w:rsid w:val="0006432C"/>
    <w:rsid w:val="00070181"/>
    <w:rsid w:val="00072742"/>
    <w:rsid w:val="0007342C"/>
    <w:rsid w:val="00074474"/>
    <w:rsid w:val="00074CF6"/>
    <w:rsid w:val="00077864"/>
    <w:rsid w:val="000779F7"/>
    <w:rsid w:val="00082576"/>
    <w:rsid w:val="0008430B"/>
    <w:rsid w:val="00086939"/>
    <w:rsid w:val="00087CA1"/>
    <w:rsid w:val="00095E97"/>
    <w:rsid w:val="0009685D"/>
    <w:rsid w:val="000A003C"/>
    <w:rsid w:val="000A06BD"/>
    <w:rsid w:val="000A09A4"/>
    <w:rsid w:val="000A0B9C"/>
    <w:rsid w:val="000A39C0"/>
    <w:rsid w:val="000A4588"/>
    <w:rsid w:val="000A4802"/>
    <w:rsid w:val="000A4978"/>
    <w:rsid w:val="000A5FB5"/>
    <w:rsid w:val="000A6A85"/>
    <w:rsid w:val="000A6BE0"/>
    <w:rsid w:val="000B5A4E"/>
    <w:rsid w:val="000B606B"/>
    <w:rsid w:val="000B75C8"/>
    <w:rsid w:val="000B78D6"/>
    <w:rsid w:val="000B7F3E"/>
    <w:rsid w:val="000C068C"/>
    <w:rsid w:val="000C1806"/>
    <w:rsid w:val="000C2197"/>
    <w:rsid w:val="000C4692"/>
    <w:rsid w:val="000C59C6"/>
    <w:rsid w:val="000C66DF"/>
    <w:rsid w:val="000D0705"/>
    <w:rsid w:val="000D0ABE"/>
    <w:rsid w:val="000D0D52"/>
    <w:rsid w:val="000D3CDE"/>
    <w:rsid w:val="000D4C7B"/>
    <w:rsid w:val="000E14A1"/>
    <w:rsid w:val="000E213C"/>
    <w:rsid w:val="000E27B1"/>
    <w:rsid w:val="000E7965"/>
    <w:rsid w:val="000F331D"/>
    <w:rsid w:val="000F61D4"/>
    <w:rsid w:val="00100A25"/>
    <w:rsid w:val="001034DA"/>
    <w:rsid w:val="00103A19"/>
    <w:rsid w:val="0010424C"/>
    <w:rsid w:val="0010600F"/>
    <w:rsid w:val="00107D99"/>
    <w:rsid w:val="00107F45"/>
    <w:rsid w:val="00110CF1"/>
    <w:rsid w:val="001157FD"/>
    <w:rsid w:val="00116541"/>
    <w:rsid w:val="00116563"/>
    <w:rsid w:val="001220BB"/>
    <w:rsid w:val="0012510B"/>
    <w:rsid w:val="00125C8A"/>
    <w:rsid w:val="00126033"/>
    <w:rsid w:val="00133366"/>
    <w:rsid w:val="00135A1D"/>
    <w:rsid w:val="00137607"/>
    <w:rsid w:val="00143E10"/>
    <w:rsid w:val="0014539D"/>
    <w:rsid w:val="0014641F"/>
    <w:rsid w:val="001526C3"/>
    <w:rsid w:val="00153839"/>
    <w:rsid w:val="00154AC5"/>
    <w:rsid w:val="00155E8B"/>
    <w:rsid w:val="00157581"/>
    <w:rsid w:val="00161AFF"/>
    <w:rsid w:val="00167129"/>
    <w:rsid w:val="00170444"/>
    <w:rsid w:val="001711AC"/>
    <w:rsid w:val="001721BC"/>
    <w:rsid w:val="00172651"/>
    <w:rsid w:val="001749BE"/>
    <w:rsid w:val="00175E74"/>
    <w:rsid w:val="00181484"/>
    <w:rsid w:val="00186AAF"/>
    <w:rsid w:val="001927D4"/>
    <w:rsid w:val="00194A58"/>
    <w:rsid w:val="00196FF3"/>
    <w:rsid w:val="001A6311"/>
    <w:rsid w:val="001A7949"/>
    <w:rsid w:val="001B12A6"/>
    <w:rsid w:val="001B665B"/>
    <w:rsid w:val="001C08C5"/>
    <w:rsid w:val="001C404A"/>
    <w:rsid w:val="001C47A9"/>
    <w:rsid w:val="001C5920"/>
    <w:rsid w:val="001C5C93"/>
    <w:rsid w:val="001C6FB1"/>
    <w:rsid w:val="001C7E2F"/>
    <w:rsid w:val="001D31DC"/>
    <w:rsid w:val="001D3509"/>
    <w:rsid w:val="001D4952"/>
    <w:rsid w:val="001D64A0"/>
    <w:rsid w:val="001D7603"/>
    <w:rsid w:val="001E0559"/>
    <w:rsid w:val="001E1670"/>
    <w:rsid w:val="001E1FA3"/>
    <w:rsid w:val="001F2E21"/>
    <w:rsid w:val="001F326B"/>
    <w:rsid w:val="00203A2C"/>
    <w:rsid w:val="002108BF"/>
    <w:rsid w:val="002129D9"/>
    <w:rsid w:val="00212BE2"/>
    <w:rsid w:val="00215701"/>
    <w:rsid w:val="00226A75"/>
    <w:rsid w:val="00226B10"/>
    <w:rsid w:val="00226F55"/>
    <w:rsid w:val="00227320"/>
    <w:rsid w:val="0023148D"/>
    <w:rsid w:val="0023679B"/>
    <w:rsid w:val="0024006D"/>
    <w:rsid w:val="0024025D"/>
    <w:rsid w:val="00240D62"/>
    <w:rsid w:val="0024203D"/>
    <w:rsid w:val="0024300E"/>
    <w:rsid w:val="00243070"/>
    <w:rsid w:val="00247056"/>
    <w:rsid w:val="002508E0"/>
    <w:rsid w:val="00253A51"/>
    <w:rsid w:val="00254A35"/>
    <w:rsid w:val="0026215C"/>
    <w:rsid w:val="00264153"/>
    <w:rsid w:val="0026653F"/>
    <w:rsid w:val="002746FA"/>
    <w:rsid w:val="002831A9"/>
    <w:rsid w:val="002840C9"/>
    <w:rsid w:val="00284EBE"/>
    <w:rsid w:val="002924B2"/>
    <w:rsid w:val="00292680"/>
    <w:rsid w:val="00292D44"/>
    <w:rsid w:val="002932B0"/>
    <w:rsid w:val="00293B12"/>
    <w:rsid w:val="00293FB1"/>
    <w:rsid w:val="002A24CF"/>
    <w:rsid w:val="002A2C4F"/>
    <w:rsid w:val="002A35E4"/>
    <w:rsid w:val="002A61D5"/>
    <w:rsid w:val="002A64E1"/>
    <w:rsid w:val="002A6883"/>
    <w:rsid w:val="002B0161"/>
    <w:rsid w:val="002B1AB0"/>
    <w:rsid w:val="002B31A6"/>
    <w:rsid w:val="002B5E45"/>
    <w:rsid w:val="002C08AD"/>
    <w:rsid w:val="002C4C3D"/>
    <w:rsid w:val="002C62F8"/>
    <w:rsid w:val="002C6DFD"/>
    <w:rsid w:val="002D089A"/>
    <w:rsid w:val="002D2C04"/>
    <w:rsid w:val="002D33EA"/>
    <w:rsid w:val="002D3FF2"/>
    <w:rsid w:val="002D40A3"/>
    <w:rsid w:val="002D5C87"/>
    <w:rsid w:val="002D683E"/>
    <w:rsid w:val="002D6DBC"/>
    <w:rsid w:val="002D7118"/>
    <w:rsid w:val="002D7E5B"/>
    <w:rsid w:val="002E1936"/>
    <w:rsid w:val="002E39F3"/>
    <w:rsid w:val="002E4306"/>
    <w:rsid w:val="002E45EA"/>
    <w:rsid w:val="002E4999"/>
    <w:rsid w:val="002E62B6"/>
    <w:rsid w:val="002F0DAB"/>
    <w:rsid w:val="002F14C3"/>
    <w:rsid w:val="002F363A"/>
    <w:rsid w:val="002F7618"/>
    <w:rsid w:val="003020C0"/>
    <w:rsid w:val="00311156"/>
    <w:rsid w:val="00312406"/>
    <w:rsid w:val="00313056"/>
    <w:rsid w:val="00315EF4"/>
    <w:rsid w:val="00316FC5"/>
    <w:rsid w:val="003172C4"/>
    <w:rsid w:val="00317D30"/>
    <w:rsid w:val="00321843"/>
    <w:rsid w:val="00322024"/>
    <w:rsid w:val="00322217"/>
    <w:rsid w:val="00322C0C"/>
    <w:rsid w:val="00334F5D"/>
    <w:rsid w:val="00335075"/>
    <w:rsid w:val="00335C63"/>
    <w:rsid w:val="003378ED"/>
    <w:rsid w:val="003403B1"/>
    <w:rsid w:val="003408AF"/>
    <w:rsid w:val="00343097"/>
    <w:rsid w:val="00344E5C"/>
    <w:rsid w:val="00350E3A"/>
    <w:rsid w:val="00355D3C"/>
    <w:rsid w:val="00357AEF"/>
    <w:rsid w:val="00357EBF"/>
    <w:rsid w:val="00360ABD"/>
    <w:rsid w:val="00373847"/>
    <w:rsid w:val="003808F7"/>
    <w:rsid w:val="00384A34"/>
    <w:rsid w:val="0038518A"/>
    <w:rsid w:val="00386609"/>
    <w:rsid w:val="0038678F"/>
    <w:rsid w:val="00387C97"/>
    <w:rsid w:val="0039363B"/>
    <w:rsid w:val="003957CC"/>
    <w:rsid w:val="003962D7"/>
    <w:rsid w:val="00396A11"/>
    <w:rsid w:val="003A08DD"/>
    <w:rsid w:val="003A0AA2"/>
    <w:rsid w:val="003A29D4"/>
    <w:rsid w:val="003A510A"/>
    <w:rsid w:val="003A608B"/>
    <w:rsid w:val="003A66CB"/>
    <w:rsid w:val="003B21BD"/>
    <w:rsid w:val="003B4234"/>
    <w:rsid w:val="003B55CB"/>
    <w:rsid w:val="003C1957"/>
    <w:rsid w:val="003C2933"/>
    <w:rsid w:val="003C30B0"/>
    <w:rsid w:val="003C56A2"/>
    <w:rsid w:val="003C6CF5"/>
    <w:rsid w:val="003D19B6"/>
    <w:rsid w:val="003D1F33"/>
    <w:rsid w:val="003D2367"/>
    <w:rsid w:val="003D2E4A"/>
    <w:rsid w:val="003D2FDE"/>
    <w:rsid w:val="003D44D5"/>
    <w:rsid w:val="003D52F0"/>
    <w:rsid w:val="003E034A"/>
    <w:rsid w:val="003E0AF9"/>
    <w:rsid w:val="003E530A"/>
    <w:rsid w:val="003E6BED"/>
    <w:rsid w:val="003F1273"/>
    <w:rsid w:val="003F72BB"/>
    <w:rsid w:val="00400DD0"/>
    <w:rsid w:val="004014D3"/>
    <w:rsid w:val="00402C8A"/>
    <w:rsid w:val="00404661"/>
    <w:rsid w:val="0040634B"/>
    <w:rsid w:val="00416C05"/>
    <w:rsid w:val="00421306"/>
    <w:rsid w:val="00421820"/>
    <w:rsid w:val="004221FF"/>
    <w:rsid w:val="00427803"/>
    <w:rsid w:val="00427951"/>
    <w:rsid w:val="0043084F"/>
    <w:rsid w:val="00430D76"/>
    <w:rsid w:val="00430E82"/>
    <w:rsid w:val="00435D68"/>
    <w:rsid w:val="00435ECD"/>
    <w:rsid w:val="00435FE2"/>
    <w:rsid w:val="00440E45"/>
    <w:rsid w:val="00441B17"/>
    <w:rsid w:val="00441C4F"/>
    <w:rsid w:val="00441F1B"/>
    <w:rsid w:val="00443408"/>
    <w:rsid w:val="00444296"/>
    <w:rsid w:val="00456122"/>
    <w:rsid w:val="004603B6"/>
    <w:rsid w:val="0046058E"/>
    <w:rsid w:val="00460DB6"/>
    <w:rsid w:val="004612F7"/>
    <w:rsid w:val="00463532"/>
    <w:rsid w:val="00464889"/>
    <w:rsid w:val="00464918"/>
    <w:rsid w:val="00464DED"/>
    <w:rsid w:val="004652F7"/>
    <w:rsid w:val="00465BDC"/>
    <w:rsid w:val="00471505"/>
    <w:rsid w:val="00471807"/>
    <w:rsid w:val="00472EE0"/>
    <w:rsid w:val="00474F34"/>
    <w:rsid w:val="00475547"/>
    <w:rsid w:val="00477BB1"/>
    <w:rsid w:val="00483942"/>
    <w:rsid w:val="00483B9D"/>
    <w:rsid w:val="004841B6"/>
    <w:rsid w:val="00484ECE"/>
    <w:rsid w:val="0048605A"/>
    <w:rsid w:val="004914CB"/>
    <w:rsid w:val="004935D1"/>
    <w:rsid w:val="00494FFE"/>
    <w:rsid w:val="004953EA"/>
    <w:rsid w:val="004963A8"/>
    <w:rsid w:val="00497452"/>
    <w:rsid w:val="00497BB3"/>
    <w:rsid w:val="004A39E2"/>
    <w:rsid w:val="004A492C"/>
    <w:rsid w:val="004A5931"/>
    <w:rsid w:val="004A62BB"/>
    <w:rsid w:val="004A7058"/>
    <w:rsid w:val="004A7956"/>
    <w:rsid w:val="004A7F93"/>
    <w:rsid w:val="004B066B"/>
    <w:rsid w:val="004B2A5B"/>
    <w:rsid w:val="004B2CBC"/>
    <w:rsid w:val="004B63F1"/>
    <w:rsid w:val="004B71A6"/>
    <w:rsid w:val="004C04CE"/>
    <w:rsid w:val="004C32A6"/>
    <w:rsid w:val="004C5D48"/>
    <w:rsid w:val="004C654E"/>
    <w:rsid w:val="004D01F1"/>
    <w:rsid w:val="004D0505"/>
    <w:rsid w:val="004D07C0"/>
    <w:rsid w:val="004D17EE"/>
    <w:rsid w:val="004D33E9"/>
    <w:rsid w:val="004D4A04"/>
    <w:rsid w:val="004D7FDE"/>
    <w:rsid w:val="004E2314"/>
    <w:rsid w:val="004E2B94"/>
    <w:rsid w:val="004E44A6"/>
    <w:rsid w:val="004E59C4"/>
    <w:rsid w:val="004E643A"/>
    <w:rsid w:val="004E7A9E"/>
    <w:rsid w:val="004F0A03"/>
    <w:rsid w:val="004F1ADC"/>
    <w:rsid w:val="004F3321"/>
    <w:rsid w:val="00500B4C"/>
    <w:rsid w:val="00501F1B"/>
    <w:rsid w:val="00506682"/>
    <w:rsid w:val="00506A2E"/>
    <w:rsid w:val="0051302E"/>
    <w:rsid w:val="00515BC1"/>
    <w:rsid w:val="00515BE1"/>
    <w:rsid w:val="00517D72"/>
    <w:rsid w:val="00521EEE"/>
    <w:rsid w:val="00541718"/>
    <w:rsid w:val="0054275E"/>
    <w:rsid w:val="005428B2"/>
    <w:rsid w:val="00544A6E"/>
    <w:rsid w:val="00550281"/>
    <w:rsid w:val="005521BE"/>
    <w:rsid w:val="00553BCC"/>
    <w:rsid w:val="00554FDF"/>
    <w:rsid w:val="0055584A"/>
    <w:rsid w:val="00555EBC"/>
    <w:rsid w:val="00557C1E"/>
    <w:rsid w:val="00557F4E"/>
    <w:rsid w:val="00560227"/>
    <w:rsid w:val="00561F9F"/>
    <w:rsid w:val="0056300D"/>
    <w:rsid w:val="00565204"/>
    <w:rsid w:val="00565770"/>
    <w:rsid w:val="00566E05"/>
    <w:rsid w:val="005705CF"/>
    <w:rsid w:val="005707FC"/>
    <w:rsid w:val="00571839"/>
    <w:rsid w:val="00574CC9"/>
    <w:rsid w:val="005752AB"/>
    <w:rsid w:val="00575DF8"/>
    <w:rsid w:val="0058065D"/>
    <w:rsid w:val="0058283B"/>
    <w:rsid w:val="005845D8"/>
    <w:rsid w:val="00591034"/>
    <w:rsid w:val="00591A03"/>
    <w:rsid w:val="0059675F"/>
    <w:rsid w:val="00597CA7"/>
    <w:rsid w:val="005A06A4"/>
    <w:rsid w:val="005A248B"/>
    <w:rsid w:val="005A40EC"/>
    <w:rsid w:val="005A7983"/>
    <w:rsid w:val="005B1330"/>
    <w:rsid w:val="005B150B"/>
    <w:rsid w:val="005B167A"/>
    <w:rsid w:val="005B27CB"/>
    <w:rsid w:val="005B3ED3"/>
    <w:rsid w:val="005B4429"/>
    <w:rsid w:val="005B5ED9"/>
    <w:rsid w:val="005B7E0E"/>
    <w:rsid w:val="005C1396"/>
    <w:rsid w:val="005C1962"/>
    <w:rsid w:val="005C2CA9"/>
    <w:rsid w:val="005C4AB2"/>
    <w:rsid w:val="005C64C1"/>
    <w:rsid w:val="005D0AB3"/>
    <w:rsid w:val="005D555A"/>
    <w:rsid w:val="005D59A7"/>
    <w:rsid w:val="005D6AB8"/>
    <w:rsid w:val="005E24E3"/>
    <w:rsid w:val="005E3759"/>
    <w:rsid w:val="005E6199"/>
    <w:rsid w:val="005E763B"/>
    <w:rsid w:val="005E7721"/>
    <w:rsid w:val="005F4BE2"/>
    <w:rsid w:val="005F7830"/>
    <w:rsid w:val="005F7F05"/>
    <w:rsid w:val="006005E6"/>
    <w:rsid w:val="00600CE6"/>
    <w:rsid w:val="00601DF0"/>
    <w:rsid w:val="00603293"/>
    <w:rsid w:val="00603317"/>
    <w:rsid w:val="00605B3C"/>
    <w:rsid w:val="006077AA"/>
    <w:rsid w:val="006109C7"/>
    <w:rsid w:val="00611431"/>
    <w:rsid w:val="006125C4"/>
    <w:rsid w:val="00614578"/>
    <w:rsid w:val="00614A88"/>
    <w:rsid w:val="00616AC2"/>
    <w:rsid w:val="0061760D"/>
    <w:rsid w:val="00617EDD"/>
    <w:rsid w:val="00622471"/>
    <w:rsid w:val="0062530B"/>
    <w:rsid w:val="00625873"/>
    <w:rsid w:val="00626E24"/>
    <w:rsid w:val="00630FE0"/>
    <w:rsid w:val="006323A8"/>
    <w:rsid w:val="00633CC4"/>
    <w:rsid w:val="00636FE1"/>
    <w:rsid w:val="00643B6C"/>
    <w:rsid w:val="0064573E"/>
    <w:rsid w:val="00646139"/>
    <w:rsid w:val="00654DCF"/>
    <w:rsid w:val="006564AF"/>
    <w:rsid w:val="00656585"/>
    <w:rsid w:val="00670C12"/>
    <w:rsid w:val="00670DDA"/>
    <w:rsid w:val="006817DE"/>
    <w:rsid w:val="006837BA"/>
    <w:rsid w:val="00690231"/>
    <w:rsid w:val="00690EDB"/>
    <w:rsid w:val="006970C2"/>
    <w:rsid w:val="00697952"/>
    <w:rsid w:val="006A1659"/>
    <w:rsid w:val="006A356D"/>
    <w:rsid w:val="006A5442"/>
    <w:rsid w:val="006A6151"/>
    <w:rsid w:val="006A6A6F"/>
    <w:rsid w:val="006B220B"/>
    <w:rsid w:val="006B526F"/>
    <w:rsid w:val="006B67E9"/>
    <w:rsid w:val="006B6CCF"/>
    <w:rsid w:val="006C4214"/>
    <w:rsid w:val="006C4344"/>
    <w:rsid w:val="006C65B4"/>
    <w:rsid w:val="006D1495"/>
    <w:rsid w:val="006D1B67"/>
    <w:rsid w:val="006D247B"/>
    <w:rsid w:val="006D3563"/>
    <w:rsid w:val="006D4175"/>
    <w:rsid w:val="006D430D"/>
    <w:rsid w:val="006D5753"/>
    <w:rsid w:val="006D678D"/>
    <w:rsid w:val="006D7001"/>
    <w:rsid w:val="006E21F3"/>
    <w:rsid w:val="006E3A90"/>
    <w:rsid w:val="006E6FAE"/>
    <w:rsid w:val="006E7667"/>
    <w:rsid w:val="006F1BBD"/>
    <w:rsid w:val="006F57E9"/>
    <w:rsid w:val="006F6AD4"/>
    <w:rsid w:val="006F6E16"/>
    <w:rsid w:val="00700832"/>
    <w:rsid w:val="0070271D"/>
    <w:rsid w:val="0070375E"/>
    <w:rsid w:val="007038F6"/>
    <w:rsid w:val="0070419A"/>
    <w:rsid w:val="00704711"/>
    <w:rsid w:val="00705467"/>
    <w:rsid w:val="00705ADC"/>
    <w:rsid w:val="00706B47"/>
    <w:rsid w:val="007074F3"/>
    <w:rsid w:val="00710859"/>
    <w:rsid w:val="00713726"/>
    <w:rsid w:val="00715DB3"/>
    <w:rsid w:val="00716BAF"/>
    <w:rsid w:val="00716EDD"/>
    <w:rsid w:val="0071722A"/>
    <w:rsid w:val="00722CE9"/>
    <w:rsid w:val="00724267"/>
    <w:rsid w:val="00726B30"/>
    <w:rsid w:val="00727AEF"/>
    <w:rsid w:val="00731BCD"/>
    <w:rsid w:val="00733D4F"/>
    <w:rsid w:val="00734B2C"/>
    <w:rsid w:val="00735682"/>
    <w:rsid w:val="00735F00"/>
    <w:rsid w:val="00736AC4"/>
    <w:rsid w:val="00736B3B"/>
    <w:rsid w:val="007424B7"/>
    <w:rsid w:val="00743F88"/>
    <w:rsid w:val="00746A35"/>
    <w:rsid w:val="00752D6B"/>
    <w:rsid w:val="007531DB"/>
    <w:rsid w:val="007615D7"/>
    <w:rsid w:val="00762757"/>
    <w:rsid w:val="00763D41"/>
    <w:rsid w:val="00765734"/>
    <w:rsid w:val="0076684B"/>
    <w:rsid w:val="00767721"/>
    <w:rsid w:val="0077041B"/>
    <w:rsid w:val="0077591D"/>
    <w:rsid w:val="00775933"/>
    <w:rsid w:val="0077738E"/>
    <w:rsid w:val="00777536"/>
    <w:rsid w:val="00786994"/>
    <w:rsid w:val="00786B56"/>
    <w:rsid w:val="00794D97"/>
    <w:rsid w:val="00796F9E"/>
    <w:rsid w:val="007A7757"/>
    <w:rsid w:val="007B042D"/>
    <w:rsid w:val="007B2C9C"/>
    <w:rsid w:val="007B512C"/>
    <w:rsid w:val="007B5163"/>
    <w:rsid w:val="007B5895"/>
    <w:rsid w:val="007B6A40"/>
    <w:rsid w:val="007B7E1F"/>
    <w:rsid w:val="007C031F"/>
    <w:rsid w:val="007C1CD7"/>
    <w:rsid w:val="007C3FE5"/>
    <w:rsid w:val="007C4741"/>
    <w:rsid w:val="007C78A1"/>
    <w:rsid w:val="007D26F9"/>
    <w:rsid w:val="007D2B0C"/>
    <w:rsid w:val="007D3929"/>
    <w:rsid w:val="007D416E"/>
    <w:rsid w:val="007D4183"/>
    <w:rsid w:val="007D7ED3"/>
    <w:rsid w:val="007E0150"/>
    <w:rsid w:val="007E1C52"/>
    <w:rsid w:val="007E1F81"/>
    <w:rsid w:val="007E285A"/>
    <w:rsid w:val="007E3911"/>
    <w:rsid w:val="007E3EB4"/>
    <w:rsid w:val="007E43AA"/>
    <w:rsid w:val="007E7B1F"/>
    <w:rsid w:val="007F4074"/>
    <w:rsid w:val="007F51F8"/>
    <w:rsid w:val="007F66DD"/>
    <w:rsid w:val="007F707C"/>
    <w:rsid w:val="008007C8"/>
    <w:rsid w:val="00802F71"/>
    <w:rsid w:val="00803E6E"/>
    <w:rsid w:val="00805DC9"/>
    <w:rsid w:val="008065F6"/>
    <w:rsid w:val="00811CEA"/>
    <w:rsid w:val="00820A24"/>
    <w:rsid w:val="0082432D"/>
    <w:rsid w:val="0082438B"/>
    <w:rsid w:val="008245F7"/>
    <w:rsid w:val="00833C8D"/>
    <w:rsid w:val="00836209"/>
    <w:rsid w:val="008362E3"/>
    <w:rsid w:val="00836E33"/>
    <w:rsid w:val="00837943"/>
    <w:rsid w:val="0084020D"/>
    <w:rsid w:val="00841D65"/>
    <w:rsid w:val="00843F28"/>
    <w:rsid w:val="00845AE2"/>
    <w:rsid w:val="00851442"/>
    <w:rsid w:val="008527F9"/>
    <w:rsid w:val="00855C62"/>
    <w:rsid w:val="00860182"/>
    <w:rsid w:val="00860224"/>
    <w:rsid w:val="008606C4"/>
    <w:rsid w:val="0086197C"/>
    <w:rsid w:val="00864C34"/>
    <w:rsid w:val="00864ED7"/>
    <w:rsid w:val="00865232"/>
    <w:rsid w:val="008724E5"/>
    <w:rsid w:val="00873243"/>
    <w:rsid w:val="0087333D"/>
    <w:rsid w:val="00875E70"/>
    <w:rsid w:val="00876085"/>
    <w:rsid w:val="008771EC"/>
    <w:rsid w:val="0088391E"/>
    <w:rsid w:val="0088602D"/>
    <w:rsid w:val="00892BEB"/>
    <w:rsid w:val="008935E1"/>
    <w:rsid w:val="00895634"/>
    <w:rsid w:val="00896C98"/>
    <w:rsid w:val="00897181"/>
    <w:rsid w:val="008A0E01"/>
    <w:rsid w:val="008A194E"/>
    <w:rsid w:val="008A326E"/>
    <w:rsid w:val="008A451C"/>
    <w:rsid w:val="008A6BF5"/>
    <w:rsid w:val="008A7618"/>
    <w:rsid w:val="008A7BFB"/>
    <w:rsid w:val="008B43ED"/>
    <w:rsid w:val="008B5739"/>
    <w:rsid w:val="008C3F06"/>
    <w:rsid w:val="008C5649"/>
    <w:rsid w:val="008C72CA"/>
    <w:rsid w:val="008D018F"/>
    <w:rsid w:val="008D192E"/>
    <w:rsid w:val="008D1A70"/>
    <w:rsid w:val="008D511A"/>
    <w:rsid w:val="008D5ABA"/>
    <w:rsid w:val="008D626E"/>
    <w:rsid w:val="008E00FE"/>
    <w:rsid w:val="008E0515"/>
    <w:rsid w:val="008E0DC6"/>
    <w:rsid w:val="008E29C0"/>
    <w:rsid w:val="008E4A8C"/>
    <w:rsid w:val="008E5A76"/>
    <w:rsid w:val="008E6DD9"/>
    <w:rsid w:val="008F0064"/>
    <w:rsid w:val="008F15F2"/>
    <w:rsid w:val="008F23DC"/>
    <w:rsid w:val="008F465B"/>
    <w:rsid w:val="008F4A3B"/>
    <w:rsid w:val="008F7F86"/>
    <w:rsid w:val="0090270D"/>
    <w:rsid w:val="00906177"/>
    <w:rsid w:val="00906FF3"/>
    <w:rsid w:val="009071BD"/>
    <w:rsid w:val="00907516"/>
    <w:rsid w:val="009079F2"/>
    <w:rsid w:val="00907D2D"/>
    <w:rsid w:val="00910EB6"/>
    <w:rsid w:val="009114DF"/>
    <w:rsid w:val="00913461"/>
    <w:rsid w:val="00914C67"/>
    <w:rsid w:val="009152E7"/>
    <w:rsid w:val="00915421"/>
    <w:rsid w:val="00915B1A"/>
    <w:rsid w:val="00916C05"/>
    <w:rsid w:val="00920619"/>
    <w:rsid w:val="009213EE"/>
    <w:rsid w:val="0092228A"/>
    <w:rsid w:val="0092242E"/>
    <w:rsid w:val="009239C9"/>
    <w:rsid w:val="009248BC"/>
    <w:rsid w:val="00924B48"/>
    <w:rsid w:val="009260F8"/>
    <w:rsid w:val="00927DEA"/>
    <w:rsid w:val="009316B8"/>
    <w:rsid w:val="009334A5"/>
    <w:rsid w:val="0093382B"/>
    <w:rsid w:val="00935ADB"/>
    <w:rsid w:val="00937E41"/>
    <w:rsid w:val="00940075"/>
    <w:rsid w:val="009404E2"/>
    <w:rsid w:val="0094067A"/>
    <w:rsid w:val="00941974"/>
    <w:rsid w:val="00945333"/>
    <w:rsid w:val="009465D6"/>
    <w:rsid w:val="009466B6"/>
    <w:rsid w:val="00946B99"/>
    <w:rsid w:val="00946E06"/>
    <w:rsid w:val="0095096B"/>
    <w:rsid w:val="00951045"/>
    <w:rsid w:val="0095233E"/>
    <w:rsid w:val="00952F63"/>
    <w:rsid w:val="0095376C"/>
    <w:rsid w:val="00956307"/>
    <w:rsid w:val="0095777C"/>
    <w:rsid w:val="00957797"/>
    <w:rsid w:val="00960729"/>
    <w:rsid w:val="00964DC3"/>
    <w:rsid w:val="009673A7"/>
    <w:rsid w:val="00967AC5"/>
    <w:rsid w:val="00971041"/>
    <w:rsid w:val="009713D0"/>
    <w:rsid w:val="00971EB1"/>
    <w:rsid w:val="00973544"/>
    <w:rsid w:val="0097405D"/>
    <w:rsid w:val="00974CA5"/>
    <w:rsid w:val="0098078E"/>
    <w:rsid w:val="009845B4"/>
    <w:rsid w:val="00986D65"/>
    <w:rsid w:val="00987376"/>
    <w:rsid w:val="00987983"/>
    <w:rsid w:val="009879A5"/>
    <w:rsid w:val="00992917"/>
    <w:rsid w:val="009A1F45"/>
    <w:rsid w:val="009A25D6"/>
    <w:rsid w:val="009A279B"/>
    <w:rsid w:val="009A5356"/>
    <w:rsid w:val="009A62D4"/>
    <w:rsid w:val="009A646A"/>
    <w:rsid w:val="009A7901"/>
    <w:rsid w:val="009A7E02"/>
    <w:rsid w:val="009B4A8C"/>
    <w:rsid w:val="009B4E6E"/>
    <w:rsid w:val="009C0445"/>
    <w:rsid w:val="009C1FA4"/>
    <w:rsid w:val="009C2C40"/>
    <w:rsid w:val="009C3CFC"/>
    <w:rsid w:val="009C4196"/>
    <w:rsid w:val="009C60D3"/>
    <w:rsid w:val="009D1C0E"/>
    <w:rsid w:val="009D3279"/>
    <w:rsid w:val="009D4471"/>
    <w:rsid w:val="009D44A3"/>
    <w:rsid w:val="009D5A3E"/>
    <w:rsid w:val="009D6D34"/>
    <w:rsid w:val="009D7C19"/>
    <w:rsid w:val="009E1795"/>
    <w:rsid w:val="009E3880"/>
    <w:rsid w:val="009E6C73"/>
    <w:rsid w:val="009F0ABA"/>
    <w:rsid w:val="009F1712"/>
    <w:rsid w:val="009F27E3"/>
    <w:rsid w:val="009F2970"/>
    <w:rsid w:val="009F54B1"/>
    <w:rsid w:val="009F777A"/>
    <w:rsid w:val="009F7C00"/>
    <w:rsid w:val="00A02ABA"/>
    <w:rsid w:val="00A0362A"/>
    <w:rsid w:val="00A03AD6"/>
    <w:rsid w:val="00A041ED"/>
    <w:rsid w:val="00A07F86"/>
    <w:rsid w:val="00A11F98"/>
    <w:rsid w:val="00A15A28"/>
    <w:rsid w:val="00A165E8"/>
    <w:rsid w:val="00A16847"/>
    <w:rsid w:val="00A3146A"/>
    <w:rsid w:val="00A31B3A"/>
    <w:rsid w:val="00A31CC4"/>
    <w:rsid w:val="00A3262F"/>
    <w:rsid w:val="00A3367C"/>
    <w:rsid w:val="00A34856"/>
    <w:rsid w:val="00A34A02"/>
    <w:rsid w:val="00A40A16"/>
    <w:rsid w:val="00A41D35"/>
    <w:rsid w:val="00A4378B"/>
    <w:rsid w:val="00A4587D"/>
    <w:rsid w:val="00A50E0B"/>
    <w:rsid w:val="00A50E53"/>
    <w:rsid w:val="00A5283E"/>
    <w:rsid w:val="00A52AEE"/>
    <w:rsid w:val="00A6069C"/>
    <w:rsid w:val="00A66CB6"/>
    <w:rsid w:val="00A6793D"/>
    <w:rsid w:val="00A7065C"/>
    <w:rsid w:val="00A70BD9"/>
    <w:rsid w:val="00A7318B"/>
    <w:rsid w:val="00A738CC"/>
    <w:rsid w:val="00A77F41"/>
    <w:rsid w:val="00A80D7F"/>
    <w:rsid w:val="00A824A5"/>
    <w:rsid w:val="00A96DDE"/>
    <w:rsid w:val="00AA025A"/>
    <w:rsid w:val="00AA483C"/>
    <w:rsid w:val="00AA6DD9"/>
    <w:rsid w:val="00AA73AE"/>
    <w:rsid w:val="00AA7C4E"/>
    <w:rsid w:val="00AB2B1D"/>
    <w:rsid w:val="00AB3F3A"/>
    <w:rsid w:val="00AB7454"/>
    <w:rsid w:val="00AC0EFB"/>
    <w:rsid w:val="00AC136C"/>
    <w:rsid w:val="00AC32C7"/>
    <w:rsid w:val="00AC46BA"/>
    <w:rsid w:val="00AC4EAD"/>
    <w:rsid w:val="00AD190D"/>
    <w:rsid w:val="00AD31FD"/>
    <w:rsid w:val="00AD3823"/>
    <w:rsid w:val="00AD3B8C"/>
    <w:rsid w:val="00AD5214"/>
    <w:rsid w:val="00AD597C"/>
    <w:rsid w:val="00AD6306"/>
    <w:rsid w:val="00AE036B"/>
    <w:rsid w:val="00AE7654"/>
    <w:rsid w:val="00AE7816"/>
    <w:rsid w:val="00AF29BC"/>
    <w:rsid w:val="00AF3C43"/>
    <w:rsid w:val="00AF403D"/>
    <w:rsid w:val="00AF6C12"/>
    <w:rsid w:val="00B056DF"/>
    <w:rsid w:val="00B11044"/>
    <w:rsid w:val="00B1153B"/>
    <w:rsid w:val="00B22526"/>
    <w:rsid w:val="00B24434"/>
    <w:rsid w:val="00B24583"/>
    <w:rsid w:val="00B259A2"/>
    <w:rsid w:val="00B263D2"/>
    <w:rsid w:val="00B30567"/>
    <w:rsid w:val="00B348A3"/>
    <w:rsid w:val="00B407AD"/>
    <w:rsid w:val="00B423D1"/>
    <w:rsid w:val="00B44AA1"/>
    <w:rsid w:val="00B466C4"/>
    <w:rsid w:val="00B50FF9"/>
    <w:rsid w:val="00B51881"/>
    <w:rsid w:val="00B541F9"/>
    <w:rsid w:val="00B5447C"/>
    <w:rsid w:val="00B55192"/>
    <w:rsid w:val="00B61F26"/>
    <w:rsid w:val="00B62067"/>
    <w:rsid w:val="00B63745"/>
    <w:rsid w:val="00B639DE"/>
    <w:rsid w:val="00B65409"/>
    <w:rsid w:val="00B65A3B"/>
    <w:rsid w:val="00B66776"/>
    <w:rsid w:val="00B73B53"/>
    <w:rsid w:val="00B73EDD"/>
    <w:rsid w:val="00B743C7"/>
    <w:rsid w:val="00B748BF"/>
    <w:rsid w:val="00B8327E"/>
    <w:rsid w:val="00B832E6"/>
    <w:rsid w:val="00B83B6E"/>
    <w:rsid w:val="00B84A8F"/>
    <w:rsid w:val="00B857CC"/>
    <w:rsid w:val="00B864E5"/>
    <w:rsid w:val="00B91B2D"/>
    <w:rsid w:val="00B936DA"/>
    <w:rsid w:val="00B949A0"/>
    <w:rsid w:val="00BA36A2"/>
    <w:rsid w:val="00BA428A"/>
    <w:rsid w:val="00BA60D5"/>
    <w:rsid w:val="00BA7973"/>
    <w:rsid w:val="00BB08DB"/>
    <w:rsid w:val="00BB1978"/>
    <w:rsid w:val="00BB25E5"/>
    <w:rsid w:val="00BB2BAA"/>
    <w:rsid w:val="00BB36A3"/>
    <w:rsid w:val="00BB4ECD"/>
    <w:rsid w:val="00BB7313"/>
    <w:rsid w:val="00BB7A15"/>
    <w:rsid w:val="00BC1094"/>
    <w:rsid w:val="00BC13FF"/>
    <w:rsid w:val="00BC195D"/>
    <w:rsid w:val="00BC1E2B"/>
    <w:rsid w:val="00BC3DD5"/>
    <w:rsid w:val="00BC47B7"/>
    <w:rsid w:val="00BC5832"/>
    <w:rsid w:val="00BD032B"/>
    <w:rsid w:val="00BD40E5"/>
    <w:rsid w:val="00BE0DFD"/>
    <w:rsid w:val="00BE1CB9"/>
    <w:rsid w:val="00BE1F93"/>
    <w:rsid w:val="00BE3299"/>
    <w:rsid w:val="00BE4941"/>
    <w:rsid w:val="00BE58F5"/>
    <w:rsid w:val="00BE5CFB"/>
    <w:rsid w:val="00BE7C83"/>
    <w:rsid w:val="00BF3066"/>
    <w:rsid w:val="00BF3D47"/>
    <w:rsid w:val="00BF7B10"/>
    <w:rsid w:val="00C01BBE"/>
    <w:rsid w:val="00C04774"/>
    <w:rsid w:val="00C04901"/>
    <w:rsid w:val="00C050D4"/>
    <w:rsid w:val="00C05BB3"/>
    <w:rsid w:val="00C0610C"/>
    <w:rsid w:val="00C11266"/>
    <w:rsid w:val="00C12BCD"/>
    <w:rsid w:val="00C16E0A"/>
    <w:rsid w:val="00C176EF"/>
    <w:rsid w:val="00C224EF"/>
    <w:rsid w:val="00C3112C"/>
    <w:rsid w:val="00C315A4"/>
    <w:rsid w:val="00C32136"/>
    <w:rsid w:val="00C340C4"/>
    <w:rsid w:val="00C34385"/>
    <w:rsid w:val="00C34885"/>
    <w:rsid w:val="00C3799C"/>
    <w:rsid w:val="00C43733"/>
    <w:rsid w:val="00C461E1"/>
    <w:rsid w:val="00C505AA"/>
    <w:rsid w:val="00C50ADD"/>
    <w:rsid w:val="00C50C0E"/>
    <w:rsid w:val="00C51357"/>
    <w:rsid w:val="00C55099"/>
    <w:rsid w:val="00C558C8"/>
    <w:rsid w:val="00C6065B"/>
    <w:rsid w:val="00C618DD"/>
    <w:rsid w:val="00C65702"/>
    <w:rsid w:val="00C67832"/>
    <w:rsid w:val="00C7070D"/>
    <w:rsid w:val="00C70C76"/>
    <w:rsid w:val="00C71D14"/>
    <w:rsid w:val="00C7293C"/>
    <w:rsid w:val="00C74F8B"/>
    <w:rsid w:val="00C77FFC"/>
    <w:rsid w:val="00C817B5"/>
    <w:rsid w:val="00C81ED1"/>
    <w:rsid w:val="00C86A7B"/>
    <w:rsid w:val="00C911DD"/>
    <w:rsid w:val="00C9560F"/>
    <w:rsid w:val="00CA1684"/>
    <w:rsid w:val="00CA6ACC"/>
    <w:rsid w:val="00CB0E24"/>
    <w:rsid w:val="00CB7D52"/>
    <w:rsid w:val="00CC3193"/>
    <w:rsid w:val="00CC3416"/>
    <w:rsid w:val="00CC5D38"/>
    <w:rsid w:val="00CC6956"/>
    <w:rsid w:val="00CC6C91"/>
    <w:rsid w:val="00CD112B"/>
    <w:rsid w:val="00CD47AF"/>
    <w:rsid w:val="00CD5D04"/>
    <w:rsid w:val="00CD66AA"/>
    <w:rsid w:val="00CD6D48"/>
    <w:rsid w:val="00CD6DF4"/>
    <w:rsid w:val="00CD7F85"/>
    <w:rsid w:val="00CE0A30"/>
    <w:rsid w:val="00CE2093"/>
    <w:rsid w:val="00CE261D"/>
    <w:rsid w:val="00CE2D35"/>
    <w:rsid w:val="00CE38E6"/>
    <w:rsid w:val="00CE490D"/>
    <w:rsid w:val="00CE5CCE"/>
    <w:rsid w:val="00CE70B6"/>
    <w:rsid w:val="00CE7C57"/>
    <w:rsid w:val="00CF2C9C"/>
    <w:rsid w:val="00CF4C84"/>
    <w:rsid w:val="00CF5211"/>
    <w:rsid w:val="00CF69F8"/>
    <w:rsid w:val="00D00A50"/>
    <w:rsid w:val="00D00AA6"/>
    <w:rsid w:val="00D02982"/>
    <w:rsid w:val="00D02DF3"/>
    <w:rsid w:val="00D0510D"/>
    <w:rsid w:val="00D07846"/>
    <w:rsid w:val="00D16499"/>
    <w:rsid w:val="00D21ED9"/>
    <w:rsid w:val="00D22693"/>
    <w:rsid w:val="00D24B93"/>
    <w:rsid w:val="00D30157"/>
    <w:rsid w:val="00D33B00"/>
    <w:rsid w:val="00D33DC8"/>
    <w:rsid w:val="00D35E6E"/>
    <w:rsid w:val="00D36629"/>
    <w:rsid w:val="00D367C0"/>
    <w:rsid w:val="00D41FA7"/>
    <w:rsid w:val="00D469AE"/>
    <w:rsid w:val="00D52494"/>
    <w:rsid w:val="00D52E27"/>
    <w:rsid w:val="00D53765"/>
    <w:rsid w:val="00D544B0"/>
    <w:rsid w:val="00D578C8"/>
    <w:rsid w:val="00D6000E"/>
    <w:rsid w:val="00D60998"/>
    <w:rsid w:val="00D66596"/>
    <w:rsid w:val="00D71196"/>
    <w:rsid w:val="00D71B98"/>
    <w:rsid w:val="00D76B86"/>
    <w:rsid w:val="00D806EE"/>
    <w:rsid w:val="00D81519"/>
    <w:rsid w:val="00D861F8"/>
    <w:rsid w:val="00D902AA"/>
    <w:rsid w:val="00D90B33"/>
    <w:rsid w:val="00D91D3C"/>
    <w:rsid w:val="00D92B80"/>
    <w:rsid w:val="00D92D34"/>
    <w:rsid w:val="00D9651F"/>
    <w:rsid w:val="00D977A4"/>
    <w:rsid w:val="00DA062C"/>
    <w:rsid w:val="00DA1A8E"/>
    <w:rsid w:val="00DA270D"/>
    <w:rsid w:val="00DA2E8B"/>
    <w:rsid w:val="00DA5753"/>
    <w:rsid w:val="00DA7FEA"/>
    <w:rsid w:val="00DB030D"/>
    <w:rsid w:val="00DB16FE"/>
    <w:rsid w:val="00DB2697"/>
    <w:rsid w:val="00DB33F9"/>
    <w:rsid w:val="00DB37A6"/>
    <w:rsid w:val="00DB40FA"/>
    <w:rsid w:val="00DC3049"/>
    <w:rsid w:val="00DC7725"/>
    <w:rsid w:val="00DD4128"/>
    <w:rsid w:val="00DD4E05"/>
    <w:rsid w:val="00DD6523"/>
    <w:rsid w:val="00DD6810"/>
    <w:rsid w:val="00DD715C"/>
    <w:rsid w:val="00DE04E4"/>
    <w:rsid w:val="00DE094A"/>
    <w:rsid w:val="00DE1538"/>
    <w:rsid w:val="00DE1E35"/>
    <w:rsid w:val="00DE212A"/>
    <w:rsid w:val="00DE398B"/>
    <w:rsid w:val="00DE573A"/>
    <w:rsid w:val="00DF071D"/>
    <w:rsid w:val="00DF0934"/>
    <w:rsid w:val="00DF2EB9"/>
    <w:rsid w:val="00DF334D"/>
    <w:rsid w:val="00DF5584"/>
    <w:rsid w:val="00DF572D"/>
    <w:rsid w:val="00DF5BCE"/>
    <w:rsid w:val="00DF67C1"/>
    <w:rsid w:val="00DF6B07"/>
    <w:rsid w:val="00E00119"/>
    <w:rsid w:val="00E03BD8"/>
    <w:rsid w:val="00E04AE4"/>
    <w:rsid w:val="00E10762"/>
    <w:rsid w:val="00E1197F"/>
    <w:rsid w:val="00E14A38"/>
    <w:rsid w:val="00E243D3"/>
    <w:rsid w:val="00E2553A"/>
    <w:rsid w:val="00E26E16"/>
    <w:rsid w:val="00E27378"/>
    <w:rsid w:val="00E302D9"/>
    <w:rsid w:val="00E317C7"/>
    <w:rsid w:val="00E32AA6"/>
    <w:rsid w:val="00E33A13"/>
    <w:rsid w:val="00E36297"/>
    <w:rsid w:val="00E40B25"/>
    <w:rsid w:val="00E41B29"/>
    <w:rsid w:val="00E47AA8"/>
    <w:rsid w:val="00E47DF6"/>
    <w:rsid w:val="00E507E3"/>
    <w:rsid w:val="00E55C6D"/>
    <w:rsid w:val="00E56068"/>
    <w:rsid w:val="00E56B16"/>
    <w:rsid w:val="00E5716F"/>
    <w:rsid w:val="00E63300"/>
    <w:rsid w:val="00E6550E"/>
    <w:rsid w:val="00E660A6"/>
    <w:rsid w:val="00E66EBA"/>
    <w:rsid w:val="00E724A1"/>
    <w:rsid w:val="00E75411"/>
    <w:rsid w:val="00E76528"/>
    <w:rsid w:val="00E807DE"/>
    <w:rsid w:val="00E82D5A"/>
    <w:rsid w:val="00E85075"/>
    <w:rsid w:val="00E86E50"/>
    <w:rsid w:val="00E86FB4"/>
    <w:rsid w:val="00E94EFC"/>
    <w:rsid w:val="00E97DAF"/>
    <w:rsid w:val="00EA1936"/>
    <w:rsid w:val="00EB098B"/>
    <w:rsid w:val="00EB2314"/>
    <w:rsid w:val="00EC2A96"/>
    <w:rsid w:val="00EC2B1D"/>
    <w:rsid w:val="00EC45C8"/>
    <w:rsid w:val="00EC5984"/>
    <w:rsid w:val="00ED3446"/>
    <w:rsid w:val="00ED4CD5"/>
    <w:rsid w:val="00ED6445"/>
    <w:rsid w:val="00EE11FB"/>
    <w:rsid w:val="00EE12F6"/>
    <w:rsid w:val="00EE2A02"/>
    <w:rsid w:val="00EE2F1F"/>
    <w:rsid w:val="00EE3FA7"/>
    <w:rsid w:val="00EE444E"/>
    <w:rsid w:val="00EE517B"/>
    <w:rsid w:val="00EE6CD9"/>
    <w:rsid w:val="00EE785B"/>
    <w:rsid w:val="00EF5BF8"/>
    <w:rsid w:val="00EF6649"/>
    <w:rsid w:val="00EF6CE9"/>
    <w:rsid w:val="00EF74FD"/>
    <w:rsid w:val="00F038B4"/>
    <w:rsid w:val="00F05423"/>
    <w:rsid w:val="00F05573"/>
    <w:rsid w:val="00F06D6C"/>
    <w:rsid w:val="00F07F2B"/>
    <w:rsid w:val="00F14562"/>
    <w:rsid w:val="00F148D1"/>
    <w:rsid w:val="00F177AF"/>
    <w:rsid w:val="00F219ED"/>
    <w:rsid w:val="00F21EA3"/>
    <w:rsid w:val="00F24603"/>
    <w:rsid w:val="00F26012"/>
    <w:rsid w:val="00F2627E"/>
    <w:rsid w:val="00F27AF2"/>
    <w:rsid w:val="00F322B8"/>
    <w:rsid w:val="00F33A75"/>
    <w:rsid w:val="00F33E8D"/>
    <w:rsid w:val="00F4004A"/>
    <w:rsid w:val="00F41462"/>
    <w:rsid w:val="00F42356"/>
    <w:rsid w:val="00F437B9"/>
    <w:rsid w:val="00F52847"/>
    <w:rsid w:val="00F53261"/>
    <w:rsid w:val="00F535DF"/>
    <w:rsid w:val="00F5391A"/>
    <w:rsid w:val="00F55364"/>
    <w:rsid w:val="00F57B28"/>
    <w:rsid w:val="00F621DE"/>
    <w:rsid w:val="00F627B4"/>
    <w:rsid w:val="00F629F5"/>
    <w:rsid w:val="00F63B47"/>
    <w:rsid w:val="00F64B87"/>
    <w:rsid w:val="00F65644"/>
    <w:rsid w:val="00F7092E"/>
    <w:rsid w:val="00F817C8"/>
    <w:rsid w:val="00F820C8"/>
    <w:rsid w:val="00F826A0"/>
    <w:rsid w:val="00F84E4A"/>
    <w:rsid w:val="00F8668E"/>
    <w:rsid w:val="00F953C5"/>
    <w:rsid w:val="00F97C5E"/>
    <w:rsid w:val="00FA02ED"/>
    <w:rsid w:val="00FA0866"/>
    <w:rsid w:val="00FA15A1"/>
    <w:rsid w:val="00FA2EEA"/>
    <w:rsid w:val="00FB03A9"/>
    <w:rsid w:val="00FB23D1"/>
    <w:rsid w:val="00FB62B7"/>
    <w:rsid w:val="00FB6763"/>
    <w:rsid w:val="00FB78F3"/>
    <w:rsid w:val="00FC11B0"/>
    <w:rsid w:val="00FC24ED"/>
    <w:rsid w:val="00FC7AF0"/>
    <w:rsid w:val="00FD2BC8"/>
    <w:rsid w:val="00FD515E"/>
    <w:rsid w:val="00FE0A2D"/>
    <w:rsid w:val="00FE15BD"/>
    <w:rsid w:val="00FE4EE1"/>
    <w:rsid w:val="00FE7DD6"/>
    <w:rsid w:val="00FF2836"/>
    <w:rsid w:val="00FF68B9"/>
    <w:rsid w:val="00F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E6A1CF"/>
  <w15:docId w15:val="{58CE88B6-043F-4D2C-9A6C-44CCA7C9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5A"/>
    <w:pPr>
      <w:jc w:val="both"/>
    </w:pPr>
    <w:rPr>
      <w:sz w:val="22"/>
      <w:lang w:val="es-ES"/>
    </w:rPr>
  </w:style>
  <w:style w:type="paragraph" w:styleId="Heading1">
    <w:name w:val="heading 1"/>
    <w:aliases w:val="Heading 1 Char Char,Heading 1 Char1,Heading 1 Char1 Car"/>
    <w:basedOn w:val="Normal"/>
    <w:next w:val="Normal"/>
    <w:link w:val="Heading1Char"/>
    <w:qFormat/>
    <w:rsid w:val="00EA1936"/>
    <w:pPr>
      <w:jc w:val="center"/>
      <w:outlineLvl w:val="0"/>
    </w:pPr>
    <w:rPr>
      <w:bCs/>
      <w:szCs w:val="28"/>
      <w:lang w:eastAsia="es-ES"/>
    </w:rPr>
  </w:style>
  <w:style w:type="paragraph" w:styleId="Heading2">
    <w:name w:val="heading 2"/>
    <w:basedOn w:val="Normal"/>
    <w:next w:val="Normal"/>
    <w:link w:val="Heading2Char"/>
    <w:unhideWhenUsed/>
    <w:qFormat/>
    <w:rsid w:val="00EE6CD9"/>
    <w:pPr>
      <w:keepNext/>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unhideWhenUsed/>
    <w:qFormat/>
    <w:rsid w:val="00EE6CD9"/>
    <w:pPr>
      <w:keepNext/>
      <w:spacing w:before="240" w:after="60"/>
      <w:jc w:val="left"/>
      <w:outlineLvl w:val="2"/>
    </w:pPr>
    <w:rPr>
      <w:rFonts w:ascii="Cambria" w:hAnsi="Cambria"/>
      <w:b/>
      <w:bCs/>
      <w:sz w:val="26"/>
      <w:szCs w:val="26"/>
      <w:lang w:eastAsia="es-ES"/>
    </w:rPr>
  </w:style>
  <w:style w:type="paragraph" w:styleId="Heading4">
    <w:name w:val="heading 4"/>
    <w:basedOn w:val="Normal"/>
    <w:next w:val="Normal"/>
    <w:link w:val="Heading4Char"/>
    <w:qFormat/>
    <w:rsid w:val="00110CF1"/>
    <w:pPr>
      <w:keepNext/>
      <w:jc w:val="center"/>
      <w:outlineLvl w:val="3"/>
    </w:pPr>
    <w:rPr>
      <w:rFonts w:eastAsia="Batang"/>
      <w:bCs/>
      <w:szCs w:val="28"/>
      <w:lang w:val="es-ES_tradnl" w:eastAsia="x-none"/>
    </w:rPr>
  </w:style>
  <w:style w:type="paragraph" w:styleId="Heading6">
    <w:name w:val="heading 6"/>
    <w:basedOn w:val="Normal"/>
    <w:next w:val="Normal"/>
    <w:link w:val="Heading6Char"/>
    <w:semiHidden/>
    <w:unhideWhenUsed/>
    <w:qFormat/>
    <w:rsid w:val="00110CF1"/>
    <w:pPr>
      <w:spacing w:before="240" w:after="60"/>
      <w:jc w:val="left"/>
      <w:outlineLvl w:val="5"/>
    </w:pPr>
    <w:rPr>
      <w:rFonts w:ascii="Calibri" w:hAnsi="Calibri"/>
      <w:b/>
      <w:bCs/>
      <w:szCs w:val="22"/>
    </w:rPr>
  </w:style>
  <w:style w:type="paragraph" w:styleId="Heading7">
    <w:name w:val="heading 7"/>
    <w:basedOn w:val="Normal"/>
    <w:next w:val="Normal"/>
    <w:link w:val="Heading7Char"/>
    <w:semiHidden/>
    <w:unhideWhenUsed/>
    <w:qFormat/>
    <w:rsid w:val="00110CF1"/>
    <w:pPr>
      <w:spacing w:before="240" w:after="60"/>
      <w:jc w:val="left"/>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qFormat/>
    <w:rsid w:val="00EA1936"/>
    <w:rPr>
      <w:bCs/>
      <w:sz w:val="22"/>
      <w:szCs w:val="28"/>
      <w:lang w:val="es-ES" w:eastAsia="es-ES"/>
    </w:rPr>
  </w:style>
  <w:style w:type="paragraph" w:styleId="EndnoteText">
    <w:name w:val="endnote text"/>
    <w:basedOn w:val="Normal"/>
    <w:link w:val="EndnoteTextChar"/>
  </w:style>
  <w:style w:type="character" w:customStyle="1" w:styleId="EndnoteTextChar">
    <w:name w:val="Endnote Text Char"/>
    <w:basedOn w:val="DefaultParagraphFont"/>
    <w:link w:val="EndnoteText"/>
    <w:rsid w:val="009260F8"/>
    <w:rPr>
      <w:rFonts w:ascii="CG Times" w:hAnsi="CG Times"/>
      <w:sz w:val="22"/>
      <w:lang w:val="es-ES"/>
    </w:rPr>
  </w:style>
  <w:style w:type="character" w:styleId="EndnoteReference">
    <w:name w:val="endnote reference"/>
    <w:basedOn w:val="DefaultParagraphFont"/>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qFormat/>
    <w:pPr>
      <w:tabs>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rsid w:val="009260F8"/>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uiPriority w:val="39"/>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qFormat/>
    <w:pPr>
      <w:tabs>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9260F8"/>
    <w:rPr>
      <w:rFonts w:ascii="CG Times" w:hAnsi="CG Times"/>
      <w:sz w:val="22"/>
      <w:lang w:val="es-ES"/>
    </w:rPr>
  </w:style>
  <w:style w:type="paragraph" w:customStyle="1" w:styleId="FootnoteCall">
    <w:name w:val="Footnote Call"/>
    <w:basedOn w:val="Normal"/>
    <w:qFormat/>
  </w:style>
  <w:style w:type="paragraph" w:customStyle="1" w:styleId="CPClassification">
    <w:name w:val="CP Classification"/>
    <w:basedOn w:val="Normal"/>
    <w:qFormat/>
    <w:pPr>
      <w:tabs>
        <w:tab w:val="center" w:pos="2160"/>
      </w:tabs>
      <w:ind w:left="7200" w:right="-360"/>
    </w:pPr>
    <w:rPr>
      <w:lang w:val="pt-PT"/>
    </w:rPr>
  </w:style>
  <w:style w:type="paragraph" w:customStyle="1" w:styleId="CPTitle">
    <w:name w:val="CP Title"/>
    <w:basedOn w:val="Normal"/>
    <w:uiPriority w:val="99"/>
    <w:qFormat/>
    <w:pPr>
      <w:tabs>
        <w:tab w:val="left" w:pos="8640"/>
      </w:tabs>
      <w:jc w:val="center"/>
    </w:pPr>
    <w:rPr>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yiv6969577381ydp55b6f93cyiv1108822727ydpc3e487cbmsonormal">
    <w:name w:val="yiv6969577381ydp55b6f93cyiv1108822727ydpc3e487cbmsonormal"/>
    <w:basedOn w:val="Normal"/>
    <w:rsid w:val="00EA1936"/>
    <w:pPr>
      <w:spacing w:before="100" w:beforeAutospacing="1" w:after="100" w:afterAutospacing="1"/>
      <w:jc w:val="left"/>
    </w:pPr>
    <w:rPr>
      <w:sz w:val="24"/>
      <w:szCs w:val="24"/>
      <w:lang w:val="es-MX" w:eastAsia="es-MX"/>
    </w:rPr>
  </w:style>
  <w:style w:type="paragraph" w:styleId="ListParagraph">
    <w:name w:val="List Paragraph"/>
    <w:basedOn w:val="Normal"/>
    <w:uiPriority w:val="34"/>
    <w:qFormat/>
    <w:rsid w:val="00EA1936"/>
    <w:pPr>
      <w:spacing w:after="160" w:line="259" w:lineRule="auto"/>
      <w:ind w:left="720"/>
      <w:contextualSpacing/>
      <w:jc w:val="left"/>
    </w:pPr>
    <w:rPr>
      <w:rFonts w:ascii="Calibri" w:eastAsia="Calibri" w:hAnsi="Calibri"/>
      <w:szCs w:val="22"/>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260F8"/>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9260F8"/>
    <w:pPr>
      <w:spacing w:before="100" w:after="100"/>
      <w:jc w:val="left"/>
    </w:pPr>
    <w:rPr>
      <w:sz w:val="16"/>
      <w:szCs w:val="16"/>
      <w:lang w:val="en-US"/>
    </w:rPr>
  </w:style>
  <w:style w:type="paragraph" w:styleId="BalloonText">
    <w:name w:val="Balloon Text"/>
    <w:basedOn w:val="Normal"/>
    <w:link w:val="BalloonTextChar"/>
    <w:rsid w:val="009260F8"/>
    <w:rPr>
      <w:rFonts w:ascii="Segoe UI" w:hAnsi="Segoe UI"/>
      <w:sz w:val="18"/>
      <w:szCs w:val="18"/>
    </w:rPr>
  </w:style>
  <w:style w:type="character" w:customStyle="1" w:styleId="BalloonTextChar">
    <w:name w:val="Balloon Text Char"/>
    <w:basedOn w:val="DefaultParagraphFont"/>
    <w:link w:val="BalloonText"/>
    <w:rsid w:val="009260F8"/>
    <w:rPr>
      <w:rFonts w:ascii="Segoe UI" w:hAnsi="Segoe UI"/>
      <w:sz w:val="18"/>
      <w:szCs w:val="18"/>
      <w:lang w:val="es-ES"/>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9260F8"/>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9260F8"/>
    <w:pPr>
      <w:ind w:left="720"/>
    </w:pPr>
    <w:rPr>
      <w:sz w:val="20"/>
    </w:rPr>
  </w:style>
  <w:style w:type="paragraph" w:customStyle="1" w:styleId="Default">
    <w:name w:val="Default"/>
    <w:qFormat/>
    <w:rsid w:val="009260F8"/>
    <w:pPr>
      <w:autoSpaceDE w:val="0"/>
      <w:autoSpaceDN w:val="0"/>
      <w:adjustRightInd w:val="0"/>
    </w:pPr>
    <w:rPr>
      <w:color w:val="000000"/>
      <w:sz w:val="24"/>
      <w:szCs w:val="24"/>
      <w:lang w:val="es-ES"/>
    </w:rPr>
  </w:style>
  <w:style w:type="character" w:customStyle="1" w:styleId="s7">
    <w:name w:val="s7"/>
    <w:rsid w:val="009260F8"/>
  </w:style>
  <w:style w:type="character" w:customStyle="1" w:styleId="CommentTextChar">
    <w:name w:val="Comment Text Char"/>
    <w:basedOn w:val="DefaultParagraphFont"/>
    <w:link w:val="CommentText"/>
    <w:rsid w:val="009260F8"/>
    <w:rPr>
      <w:rFonts w:ascii="CG Times" w:hAnsi="CG Times"/>
      <w:lang w:val="es-ES"/>
    </w:rPr>
  </w:style>
  <w:style w:type="paragraph" w:styleId="CommentText">
    <w:name w:val="annotation text"/>
    <w:basedOn w:val="Normal"/>
    <w:link w:val="CommentTextChar"/>
    <w:rsid w:val="009260F8"/>
    <w:rPr>
      <w:sz w:val="20"/>
    </w:rPr>
  </w:style>
  <w:style w:type="paragraph" w:customStyle="1" w:styleId="msonormalcxspmiddle">
    <w:name w:val="msonormalcxspmiddle"/>
    <w:basedOn w:val="Normal"/>
    <w:uiPriority w:val="99"/>
    <w:qFormat/>
    <w:rsid w:val="009260F8"/>
    <w:pPr>
      <w:spacing w:before="100" w:beforeAutospacing="1" w:after="100" w:afterAutospacing="1"/>
      <w:jc w:val="left"/>
    </w:pPr>
    <w:rPr>
      <w:sz w:val="24"/>
      <w:szCs w:val="24"/>
    </w:rPr>
  </w:style>
  <w:style w:type="paragraph" w:styleId="PlainText">
    <w:name w:val="Plain Text"/>
    <w:basedOn w:val="Normal"/>
    <w:link w:val="PlainTextChar"/>
    <w:uiPriority w:val="99"/>
    <w:rsid w:val="009260F8"/>
    <w:pPr>
      <w:jc w:val="left"/>
    </w:pPr>
    <w:rPr>
      <w:rFonts w:ascii="Calibri" w:hAnsi="Calibri"/>
      <w:szCs w:val="21"/>
    </w:rPr>
  </w:style>
  <w:style w:type="character" w:customStyle="1" w:styleId="PlainTextChar">
    <w:name w:val="Plain Text Char"/>
    <w:basedOn w:val="DefaultParagraphFont"/>
    <w:link w:val="PlainText"/>
    <w:uiPriority w:val="99"/>
    <w:rsid w:val="009260F8"/>
    <w:rPr>
      <w:rFonts w:ascii="Calibri" w:hAnsi="Calibri"/>
      <w:sz w:val="22"/>
      <w:szCs w:val="21"/>
      <w:lang w:val="es-ES"/>
    </w:rPr>
  </w:style>
  <w:style w:type="character" w:customStyle="1" w:styleId="UnresolvedMention1">
    <w:name w:val="Unresolved Mention1"/>
    <w:uiPriority w:val="99"/>
    <w:rsid w:val="009260F8"/>
    <w:rPr>
      <w:rFonts w:cs="Times New Roman"/>
      <w:color w:val="605E5C"/>
      <w:shd w:val="clear" w:color="auto" w:fill="E1DFDD"/>
    </w:rPr>
  </w:style>
  <w:style w:type="paragraph" w:customStyle="1" w:styleId="null1">
    <w:name w:val="null1"/>
    <w:basedOn w:val="Normal"/>
    <w:uiPriority w:val="99"/>
    <w:qFormat/>
    <w:rsid w:val="009260F8"/>
    <w:pPr>
      <w:spacing w:before="100" w:beforeAutospacing="1" w:after="100" w:afterAutospacing="1"/>
      <w:jc w:val="left"/>
    </w:pPr>
    <w:rPr>
      <w:sz w:val="24"/>
      <w:szCs w:val="24"/>
    </w:rPr>
  </w:style>
  <w:style w:type="character" w:customStyle="1" w:styleId="null">
    <w:name w:val="null"/>
    <w:uiPriority w:val="99"/>
    <w:rsid w:val="009260F8"/>
    <w:rPr>
      <w:rFonts w:cs="Times New Roman"/>
    </w:rPr>
  </w:style>
  <w:style w:type="paragraph" w:styleId="NoSpacing">
    <w:name w:val="No Spacing"/>
    <w:uiPriority w:val="99"/>
    <w:qFormat/>
    <w:rsid w:val="009260F8"/>
    <w:rPr>
      <w:rFonts w:ascii="Calibri" w:hAnsi="Calibri"/>
      <w:sz w:val="22"/>
      <w:szCs w:val="22"/>
      <w:lang w:val="es-ES"/>
    </w:rPr>
  </w:style>
  <w:style w:type="paragraph" w:customStyle="1" w:styleId="xxwordsection1">
    <w:name w:val="x_x_wordsection1"/>
    <w:basedOn w:val="Normal"/>
    <w:uiPriority w:val="99"/>
    <w:qFormat/>
    <w:rsid w:val="009260F8"/>
    <w:pPr>
      <w:jc w:val="left"/>
    </w:pPr>
    <w:rPr>
      <w:rFonts w:eastAsia="Calibri"/>
      <w:sz w:val="24"/>
      <w:szCs w:val="24"/>
      <w:lang w:eastAsia="es-MX"/>
    </w:rPr>
  </w:style>
  <w:style w:type="character" w:customStyle="1" w:styleId="gmail-il">
    <w:name w:val="gmail-il"/>
    <w:basedOn w:val="DefaultParagraphFont"/>
    <w:rsid w:val="009260F8"/>
  </w:style>
  <w:style w:type="character" w:styleId="Strong">
    <w:name w:val="Strong"/>
    <w:qFormat/>
    <w:rsid w:val="009260F8"/>
    <w:rPr>
      <w:rFonts w:cs="Times New Roman"/>
      <w:b/>
      <w:bCs/>
    </w:rPr>
  </w:style>
  <w:style w:type="character" w:styleId="Emphasis">
    <w:name w:val="Emphasis"/>
    <w:uiPriority w:val="20"/>
    <w:qFormat/>
    <w:rsid w:val="009260F8"/>
    <w:rPr>
      <w:i/>
      <w:iCs/>
    </w:rPr>
  </w:style>
  <w:style w:type="paragraph" w:styleId="BodyText">
    <w:name w:val="Body Text"/>
    <w:basedOn w:val="Normal"/>
    <w:link w:val="BodyTextChar"/>
    <w:unhideWhenUsed/>
    <w:rsid w:val="004D7FDE"/>
    <w:pPr>
      <w:tabs>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cs="Arial"/>
      <w:spacing w:val="-2"/>
      <w:sz w:val="16"/>
      <w:szCs w:val="24"/>
      <w:lang w:val="es-ES_tradnl"/>
    </w:rPr>
  </w:style>
  <w:style w:type="character" w:customStyle="1" w:styleId="BodyTextChar">
    <w:name w:val="Body Text Char"/>
    <w:basedOn w:val="DefaultParagraphFont"/>
    <w:link w:val="BodyText"/>
    <w:rsid w:val="004D7FDE"/>
    <w:rPr>
      <w:rFonts w:cs="Arial"/>
      <w:spacing w:val="-2"/>
      <w:sz w:val="16"/>
      <w:szCs w:val="24"/>
      <w:lang w:val="es-ES_tradnl"/>
    </w:rPr>
  </w:style>
  <w:style w:type="character" w:customStyle="1" w:styleId="Heading2Char">
    <w:name w:val="Heading 2 Char"/>
    <w:basedOn w:val="DefaultParagraphFont"/>
    <w:link w:val="Heading2"/>
    <w:rsid w:val="00EE6CD9"/>
    <w:rPr>
      <w:rFonts w:ascii="Calibri Light" w:hAnsi="Calibri Light"/>
      <w:b/>
      <w:bCs/>
      <w:i/>
      <w:iCs/>
      <w:sz w:val="28"/>
      <w:szCs w:val="28"/>
      <w:lang w:val="es-ES" w:eastAsia="es-ES"/>
    </w:rPr>
  </w:style>
  <w:style w:type="character" w:customStyle="1" w:styleId="Heading3Char">
    <w:name w:val="Heading 3 Char"/>
    <w:basedOn w:val="DefaultParagraphFont"/>
    <w:link w:val="Heading3"/>
    <w:rsid w:val="00EE6CD9"/>
    <w:rPr>
      <w:rFonts w:ascii="Cambria" w:hAnsi="Cambria"/>
      <w:b/>
      <w:bCs/>
      <w:sz w:val="26"/>
      <w:szCs w:val="26"/>
      <w:lang w:val="es-ES" w:eastAsia="es-ES"/>
    </w:rPr>
  </w:style>
  <w:style w:type="numbering" w:customStyle="1" w:styleId="NoList1">
    <w:name w:val="No List1"/>
    <w:next w:val="NoList"/>
    <w:uiPriority w:val="99"/>
    <w:semiHidden/>
    <w:unhideWhenUsed/>
    <w:rsid w:val="00EE6CD9"/>
  </w:style>
  <w:style w:type="character" w:styleId="FollowedHyperlink">
    <w:name w:val="FollowedHyperlink"/>
    <w:unhideWhenUsed/>
    <w:rsid w:val="00EE6CD9"/>
    <w:rPr>
      <w:color w:val="800080"/>
      <w:u w:val="single"/>
      <w:lang w:val="es-ES" w:eastAsia="es-ES"/>
    </w:rPr>
  </w:style>
  <w:style w:type="character" w:customStyle="1" w:styleId="Heading1Char2">
    <w:name w:val="Heading 1 Char2"/>
    <w:aliases w:val="Heading 1 Char Char Char1,Heading 1 Char1 Char1,Heading 1 Char1 Car Char1"/>
    <w:rsid w:val="00EE6CD9"/>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semiHidden/>
    <w:rsid w:val="00EE6CD9"/>
    <w:rPr>
      <w:sz w:val="20"/>
      <w:szCs w:val="20"/>
    </w:rPr>
  </w:style>
  <w:style w:type="character" w:customStyle="1" w:styleId="DateChar">
    <w:name w:val="Date Char"/>
    <w:basedOn w:val="DefaultParagraphFont"/>
    <w:link w:val="Date"/>
    <w:semiHidden/>
    <w:locked/>
    <w:rsid w:val="00EE6CD9"/>
  </w:style>
  <w:style w:type="character" w:customStyle="1" w:styleId="BodyTextIndent3Char">
    <w:name w:val="Body Text Indent 3 Char"/>
    <w:link w:val="BodyTextIndent3"/>
    <w:semiHidden/>
    <w:locked/>
    <w:rsid w:val="00EE6CD9"/>
    <w:rPr>
      <w:sz w:val="16"/>
      <w:szCs w:val="16"/>
    </w:rPr>
  </w:style>
  <w:style w:type="character" w:customStyle="1" w:styleId="DocumentMapChar">
    <w:name w:val="Document Map Char"/>
    <w:link w:val="DocumentMap"/>
    <w:semiHidden/>
    <w:locked/>
    <w:rsid w:val="00EE6CD9"/>
    <w:rPr>
      <w:rFonts w:ascii="Tahoma" w:hAnsi="Tahoma" w:cs="Tahoma"/>
      <w:sz w:val="16"/>
      <w:szCs w:val="16"/>
    </w:rPr>
  </w:style>
  <w:style w:type="character" w:customStyle="1" w:styleId="CommentTextChar1">
    <w:name w:val="Comment Text Char1"/>
    <w:semiHidden/>
    <w:rsid w:val="00EE6CD9"/>
    <w:rPr>
      <w:sz w:val="20"/>
      <w:szCs w:val="20"/>
    </w:rPr>
  </w:style>
  <w:style w:type="character" w:customStyle="1" w:styleId="CommentSubjectChar">
    <w:name w:val="Comment Subject Char"/>
    <w:link w:val="CommentSubject"/>
    <w:locked/>
    <w:rsid w:val="00EE6CD9"/>
    <w:rPr>
      <w:b/>
      <w:bCs/>
    </w:rPr>
  </w:style>
  <w:style w:type="paragraph" w:customStyle="1" w:styleId="xmsonormal">
    <w:name w:val="x_msonormal"/>
    <w:basedOn w:val="Normal"/>
    <w:uiPriority w:val="99"/>
    <w:qFormat/>
    <w:rsid w:val="00EE6CD9"/>
    <w:pPr>
      <w:spacing w:before="100" w:beforeAutospacing="1" w:after="100" w:afterAutospacing="1"/>
      <w:jc w:val="left"/>
    </w:pPr>
    <w:rPr>
      <w:sz w:val="24"/>
      <w:szCs w:val="24"/>
      <w:lang w:val="en-US"/>
    </w:rPr>
  </w:style>
  <w:style w:type="paragraph" w:customStyle="1" w:styleId="TitleUppercase">
    <w:name w:val="Title Uppercase"/>
    <w:basedOn w:val="Normal"/>
    <w:uiPriority w:val="99"/>
    <w:qFormat/>
    <w:rsid w:val="00EE6CD9"/>
    <w:pPr>
      <w:tabs>
        <w:tab w:val="left" w:pos="8640"/>
      </w:tabs>
      <w:jc w:val="center"/>
    </w:pPr>
    <w:rPr>
      <w:lang w:val="en-US"/>
    </w:rPr>
  </w:style>
  <w:style w:type="paragraph" w:customStyle="1" w:styleId="Heading">
    <w:name w:val="Heading"/>
    <w:basedOn w:val="Normal"/>
    <w:uiPriority w:val="99"/>
    <w:qFormat/>
    <w:rsid w:val="00EE6CD9"/>
    <w:pPr>
      <w:tabs>
        <w:tab w:val="center" w:pos="2160"/>
      </w:tabs>
      <w:snapToGrid w:val="0"/>
      <w:jc w:val="left"/>
    </w:pPr>
    <w:rPr>
      <w:rFonts w:eastAsia="Calibri"/>
      <w:szCs w:val="22"/>
      <w:lang w:eastAsia="es-ES"/>
    </w:rPr>
  </w:style>
  <w:style w:type="paragraph" w:customStyle="1" w:styleId="xmsonormal0">
    <w:name w:val="xmsonormal"/>
    <w:basedOn w:val="Normal"/>
    <w:uiPriority w:val="99"/>
    <w:qFormat/>
    <w:rsid w:val="00EE6CD9"/>
    <w:pPr>
      <w:spacing w:before="100" w:beforeAutospacing="1" w:after="100" w:afterAutospacing="1"/>
      <w:jc w:val="left"/>
    </w:pPr>
    <w:rPr>
      <w:rFonts w:eastAsia="Calibri"/>
      <w:sz w:val="24"/>
      <w:szCs w:val="24"/>
      <w:lang w:eastAsia="es-ES"/>
    </w:rPr>
  </w:style>
  <w:style w:type="paragraph" w:customStyle="1" w:styleId="Cuerpo">
    <w:name w:val="Cuerpo"/>
    <w:uiPriority w:val="99"/>
    <w:qFormat/>
    <w:rsid w:val="00EE6CD9"/>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EE6CD9"/>
    <w:rPr>
      <w:iCs/>
      <w:caps/>
    </w:rPr>
  </w:style>
  <w:style w:type="paragraph" w:customStyle="1" w:styleId="Style2">
    <w:name w:val="Style2"/>
    <w:basedOn w:val="Heading2"/>
    <w:link w:val="Style2Char"/>
    <w:autoRedefine/>
    <w:qFormat/>
    <w:rsid w:val="00EE6CD9"/>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aliases w:val="encabezado Char1"/>
    <w:basedOn w:val="DefaultParagraphFont"/>
    <w:uiPriority w:val="99"/>
    <w:semiHidden/>
    <w:rsid w:val="00EE6CD9"/>
  </w:style>
  <w:style w:type="paragraph" w:styleId="BodyTextIndent3">
    <w:name w:val="Body Text Indent 3"/>
    <w:basedOn w:val="Normal"/>
    <w:link w:val="BodyTextIndent3Char"/>
    <w:semiHidden/>
    <w:unhideWhenUsed/>
    <w:rsid w:val="00EE6CD9"/>
    <w:pPr>
      <w:spacing w:after="120"/>
      <w:ind w:left="360"/>
    </w:pPr>
    <w:rPr>
      <w:sz w:val="16"/>
      <w:szCs w:val="16"/>
      <w:lang w:val="en-US"/>
    </w:rPr>
  </w:style>
  <w:style w:type="character" w:customStyle="1" w:styleId="BodyTextIndent3Char1">
    <w:name w:val="Body Text Indent 3 Char1"/>
    <w:basedOn w:val="DefaultParagraphFont"/>
    <w:semiHidden/>
    <w:rsid w:val="00EE6CD9"/>
    <w:rPr>
      <w:rFonts w:ascii="CG Times" w:hAnsi="CG Times"/>
      <w:sz w:val="16"/>
      <w:szCs w:val="16"/>
      <w:lang w:val="es-ES"/>
    </w:rPr>
  </w:style>
  <w:style w:type="character" w:customStyle="1" w:styleId="FooterChar1">
    <w:name w:val="Footer Char1"/>
    <w:basedOn w:val="DefaultParagraphFont"/>
    <w:uiPriority w:val="99"/>
    <w:semiHidden/>
    <w:rsid w:val="00EE6CD9"/>
  </w:style>
  <w:style w:type="paragraph" w:styleId="Date">
    <w:name w:val="Date"/>
    <w:basedOn w:val="Normal"/>
    <w:next w:val="Normal"/>
    <w:link w:val="DateChar"/>
    <w:semiHidden/>
    <w:unhideWhenUsed/>
    <w:rsid w:val="00EE6CD9"/>
    <w:rPr>
      <w:sz w:val="20"/>
      <w:lang w:val="en-US"/>
    </w:rPr>
  </w:style>
  <w:style w:type="character" w:customStyle="1" w:styleId="DateChar1">
    <w:name w:val="Date Char1"/>
    <w:basedOn w:val="DefaultParagraphFont"/>
    <w:semiHidden/>
    <w:rsid w:val="00EE6CD9"/>
    <w:rPr>
      <w:rFonts w:ascii="CG Times" w:hAnsi="CG Times"/>
      <w:sz w:val="22"/>
      <w:lang w:val="es-ES"/>
    </w:rPr>
  </w:style>
  <w:style w:type="character" w:customStyle="1" w:styleId="EndnoteTextChar1">
    <w:name w:val="Endnote Text Char1"/>
    <w:semiHidden/>
    <w:rsid w:val="00EE6CD9"/>
    <w:rPr>
      <w:sz w:val="20"/>
      <w:szCs w:val="20"/>
    </w:rPr>
  </w:style>
  <w:style w:type="character" w:customStyle="1" w:styleId="hps">
    <w:name w:val="hps"/>
    <w:rsid w:val="00EE6CD9"/>
  </w:style>
  <w:style w:type="character" w:customStyle="1" w:styleId="tw4winMark">
    <w:name w:val="tw4winMark"/>
    <w:rsid w:val="00EE6CD9"/>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EE6CD9"/>
    <w:rPr>
      <w:rFonts w:ascii="Tahoma" w:hAnsi="Tahoma" w:cs="Tahoma"/>
      <w:sz w:val="16"/>
      <w:szCs w:val="16"/>
      <w:lang w:val="en-US"/>
    </w:rPr>
  </w:style>
  <w:style w:type="character" w:customStyle="1" w:styleId="DocumentMapChar1">
    <w:name w:val="Document Map Char1"/>
    <w:basedOn w:val="DefaultParagraphFont"/>
    <w:semiHidden/>
    <w:rsid w:val="00EE6CD9"/>
    <w:rPr>
      <w:rFonts w:ascii="Segoe UI" w:hAnsi="Segoe UI" w:cs="Segoe UI"/>
      <w:sz w:val="16"/>
      <w:szCs w:val="16"/>
      <w:lang w:val="es-ES"/>
    </w:rPr>
  </w:style>
  <w:style w:type="character" w:customStyle="1" w:styleId="BalloonTextChar1">
    <w:name w:val="Balloon Text Char1"/>
    <w:semiHidden/>
    <w:rsid w:val="00EE6CD9"/>
    <w:rPr>
      <w:rFonts w:ascii="Tahoma" w:hAnsi="Tahoma" w:cs="Tahoma"/>
      <w:sz w:val="16"/>
      <w:szCs w:val="16"/>
    </w:rPr>
  </w:style>
  <w:style w:type="character" w:customStyle="1" w:styleId="PlainTextChar1">
    <w:name w:val="Plain Text Char1"/>
    <w:uiPriority w:val="99"/>
    <w:semiHidden/>
    <w:rsid w:val="00EE6CD9"/>
    <w:rPr>
      <w:rFonts w:ascii="Consolas" w:hAnsi="Consolas" w:cs="Consolas"/>
      <w:sz w:val="21"/>
      <w:szCs w:val="21"/>
    </w:rPr>
  </w:style>
  <w:style w:type="paragraph" w:styleId="CommentSubject">
    <w:name w:val="annotation subject"/>
    <w:basedOn w:val="CommentText"/>
    <w:next w:val="CommentText"/>
    <w:link w:val="CommentSubjectChar"/>
    <w:unhideWhenUsed/>
    <w:rsid w:val="00EE6CD9"/>
    <w:rPr>
      <w:b/>
      <w:bCs/>
      <w:lang w:val="en-US"/>
    </w:rPr>
  </w:style>
  <w:style w:type="character" w:customStyle="1" w:styleId="CommentSubjectChar1">
    <w:name w:val="Comment Subject Char1"/>
    <w:basedOn w:val="CommentTextChar"/>
    <w:semiHidden/>
    <w:rsid w:val="00EE6CD9"/>
    <w:rPr>
      <w:rFonts w:ascii="CG Times" w:hAnsi="CG Times"/>
      <w:b/>
      <w:bCs/>
      <w:lang w:val="es-ES"/>
    </w:rPr>
  </w:style>
  <w:style w:type="character" w:customStyle="1" w:styleId="CharacterStyle2">
    <w:name w:val="Character Style 2"/>
    <w:uiPriority w:val="99"/>
    <w:rsid w:val="00EE6CD9"/>
    <w:rPr>
      <w:rFonts w:ascii="Arial" w:hAnsi="Arial" w:cs="Arial" w:hint="default"/>
      <w:b/>
      <w:bCs/>
      <w:sz w:val="18"/>
      <w:szCs w:val="18"/>
    </w:rPr>
  </w:style>
  <w:style w:type="table" w:styleId="TableList4">
    <w:name w:val="Table List 4"/>
    <w:basedOn w:val="TableNormal"/>
    <w:semiHidden/>
    <w:unhideWhenUsed/>
    <w:rsid w:val="00EE6CD9"/>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EE6CD9"/>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10CF1"/>
    <w:rPr>
      <w:rFonts w:eastAsia="Batang"/>
      <w:bCs/>
      <w:sz w:val="22"/>
      <w:szCs w:val="28"/>
      <w:lang w:val="es-ES_tradnl" w:eastAsia="x-none"/>
    </w:rPr>
  </w:style>
  <w:style w:type="character" w:customStyle="1" w:styleId="Heading6Char">
    <w:name w:val="Heading 6 Char"/>
    <w:basedOn w:val="DefaultParagraphFont"/>
    <w:link w:val="Heading6"/>
    <w:semiHidden/>
    <w:rsid w:val="00110CF1"/>
    <w:rPr>
      <w:rFonts w:ascii="Calibri" w:hAnsi="Calibri"/>
      <w:b/>
      <w:bCs/>
      <w:sz w:val="22"/>
      <w:szCs w:val="22"/>
      <w:lang w:val="es-ES"/>
    </w:rPr>
  </w:style>
  <w:style w:type="character" w:customStyle="1" w:styleId="Heading7Char">
    <w:name w:val="Heading 7 Char"/>
    <w:basedOn w:val="DefaultParagraphFont"/>
    <w:link w:val="Heading7"/>
    <w:semiHidden/>
    <w:rsid w:val="00110CF1"/>
    <w:rPr>
      <w:rFonts w:ascii="Calibri" w:hAnsi="Calibri"/>
      <w:sz w:val="24"/>
      <w:szCs w:val="24"/>
      <w:lang w:val="es-ES"/>
    </w:rPr>
  </w:style>
  <w:style w:type="paragraph" w:customStyle="1" w:styleId="CM4">
    <w:name w:val="CM4"/>
    <w:basedOn w:val="Default"/>
    <w:next w:val="Default"/>
    <w:rsid w:val="00110CF1"/>
    <w:pPr>
      <w:widowControl w:val="0"/>
      <w:spacing w:line="368" w:lineRule="atLeast"/>
    </w:pPr>
    <w:rPr>
      <w:rFonts w:ascii="Arial" w:hAnsi="Arial"/>
      <w:color w:val="auto"/>
      <w:lang w:val="en-US"/>
    </w:rPr>
  </w:style>
  <w:style w:type="paragraph" w:customStyle="1" w:styleId="CM9">
    <w:name w:val="CM9"/>
    <w:basedOn w:val="Default"/>
    <w:next w:val="Default"/>
    <w:rsid w:val="00110CF1"/>
    <w:pPr>
      <w:widowControl w:val="0"/>
    </w:pPr>
    <w:rPr>
      <w:rFonts w:ascii="Arial" w:hAnsi="Arial"/>
      <w:color w:val="auto"/>
      <w:lang w:val="en-US"/>
    </w:rPr>
  </w:style>
  <w:style w:type="paragraph" w:styleId="TOCHeading">
    <w:name w:val="TOC Heading"/>
    <w:basedOn w:val="Heading1"/>
    <w:next w:val="Normal"/>
    <w:uiPriority w:val="39"/>
    <w:unhideWhenUsed/>
    <w:qFormat/>
    <w:rsid w:val="00110CF1"/>
    <w:pPr>
      <w:keepNext/>
      <w:keepLines/>
      <w:spacing w:before="480" w:line="276" w:lineRule="auto"/>
      <w:jc w:val="left"/>
      <w:outlineLvl w:val="9"/>
    </w:pPr>
    <w:rPr>
      <w:rFonts w:ascii="Cambria" w:eastAsia="MS Gothic" w:hAnsi="Cambria"/>
      <w:b/>
      <w:color w:val="365F91"/>
      <w:sz w:val="28"/>
      <w:lang w:val="en-US" w:eastAsia="ja-JP"/>
    </w:rPr>
  </w:style>
  <w:style w:type="paragraph" w:customStyle="1" w:styleId="HeaderFooter">
    <w:name w:val="Header &amp; Footer"/>
    <w:uiPriority w:val="99"/>
    <w:rsid w:val="00110CF1"/>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110CF1"/>
    <w:pPr>
      <w:spacing w:after="120"/>
      <w:ind w:left="360"/>
      <w:jc w:val="left"/>
    </w:pPr>
  </w:style>
  <w:style w:type="character" w:customStyle="1" w:styleId="BodyTextIndentChar">
    <w:name w:val="Body Text Indent Char"/>
    <w:basedOn w:val="DefaultParagraphFont"/>
    <w:link w:val="BodyTextIndent"/>
    <w:rsid w:val="00110CF1"/>
    <w:rPr>
      <w:sz w:val="22"/>
      <w:lang w:val="es-ES"/>
    </w:rPr>
  </w:style>
  <w:style w:type="paragraph" w:customStyle="1" w:styleId="Body1">
    <w:name w:val="Body 1"/>
    <w:rsid w:val="00110CF1"/>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110CF1"/>
    <w:pPr>
      <w:ind w:left="720"/>
      <w:jc w:val="left"/>
    </w:pPr>
    <w:rPr>
      <w:sz w:val="24"/>
      <w:szCs w:val="24"/>
      <w:lang w:eastAsia="es-ES"/>
    </w:rPr>
  </w:style>
  <w:style w:type="paragraph" w:customStyle="1" w:styleId="SingleTxt">
    <w:name w:val="__Single Txt"/>
    <w:basedOn w:val="Normal"/>
    <w:rsid w:val="00110CF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spacing w:val="4"/>
      <w:w w:val="103"/>
      <w:kern w:val="2"/>
      <w:sz w:val="20"/>
      <w:lang w:val="fr-CA" w:eastAsia="ar-SA"/>
    </w:rPr>
  </w:style>
  <w:style w:type="paragraph" w:customStyle="1" w:styleId="Prrafodelista1">
    <w:name w:val="Párrafo de lista1"/>
    <w:basedOn w:val="Normal"/>
    <w:qFormat/>
    <w:rsid w:val="00110CF1"/>
    <w:pPr>
      <w:ind w:left="720"/>
      <w:contextualSpacing/>
      <w:jc w:val="left"/>
    </w:pPr>
    <w:rPr>
      <w:rFonts w:ascii="Cambria" w:eastAsia="MS Mincho" w:hAnsi="Cambria"/>
      <w:sz w:val="24"/>
      <w:szCs w:val="24"/>
      <w:lang w:val="es-ES_tradnl" w:eastAsia="es-ES"/>
    </w:rPr>
  </w:style>
  <w:style w:type="paragraph" w:styleId="BodyTextIndent2">
    <w:name w:val="Body Text Indent 2"/>
    <w:basedOn w:val="Normal"/>
    <w:link w:val="BodyTextIndent2Char"/>
    <w:rsid w:val="00110CF1"/>
    <w:pPr>
      <w:spacing w:after="120" w:line="480" w:lineRule="auto"/>
      <w:ind w:left="360"/>
      <w:jc w:val="left"/>
    </w:pPr>
    <w:rPr>
      <w:sz w:val="24"/>
      <w:szCs w:val="24"/>
    </w:rPr>
  </w:style>
  <w:style w:type="character" w:customStyle="1" w:styleId="BodyTextIndent2Char">
    <w:name w:val="Body Text Indent 2 Char"/>
    <w:basedOn w:val="DefaultParagraphFont"/>
    <w:link w:val="BodyTextIndent2"/>
    <w:rsid w:val="00110CF1"/>
    <w:rPr>
      <w:sz w:val="24"/>
      <w:szCs w:val="24"/>
      <w:lang w:val="es-ES"/>
    </w:rPr>
  </w:style>
  <w:style w:type="paragraph" w:styleId="BodyText3">
    <w:name w:val="Body Text 3"/>
    <w:basedOn w:val="Normal"/>
    <w:link w:val="BodyText3Char"/>
    <w:rsid w:val="00110CF1"/>
    <w:pPr>
      <w:spacing w:after="120"/>
      <w:jc w:val="left"/>
    </w:pPr>
    <w:rPr>
      <w:sz w:val="16"/>
      <w:szCs w:val="16"/>
    </w:rPr>
  </w:style>
  <w:style w:type="character" w:customStyle="1" w:styleId="BodyText3Char">
    <w:name w:val="Body Text 3 Char"/>
    <w:basedOn w:val="DefaultParagraphFont"/>
    <w:link w:val="BodyText3"/>
    <w:rsid w:val="00110CF1"/>
    <w:rPr>
      <w:sz w:val="16"/>
      <w:szCs w:val="16"/>
      <w:lang w:val="es-ES"/>
    </w:rPr>
  </w:style>
  <w:style w:type="paragraph" w:customStyle="1" w:styleId="Prrafodelista2">
    <w:name w:val="Párrafo de lista2"/>
    <w:basedOn w:val="Normal"/>
    <w:qFormat/>
    <w:rsid w:val="00110CF1"/>
    <w:pPr>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110CF1"/>
    <w:rPr>
      <w:sz w:val="24"/>
      <w:szCs w:val="24"/>
      <w:lang w:val="es-ES"/>
    </w:rPr>
  </w:style>
  <w:style w:type="paragraph" w:customStyle="1" w:styleId="Predeterminado">
    <w:name w:val="Predeterminado"/>
    <w:rsid w:val="00110CF1"/>
    <w:pPr>
      <w:tabs>
        <w:tab w:val="left" w:pos="720"/>
      </w:tabs>
      <w:suppressAutoHyphens/>
      <w:spacing w:after="160" w:line="256" w:lineRule="auto"/>
    </w:pPr>
    <w:rPr>
      <w:rFonts w:ascii="Calibri" w:eastAsia="SimSun" w:hAnsi="Calibri" w:cs="Calibri"/>
      <w:sz w:val="22"/>
      <w:szCs w:val="22"/>
    </w:rPr>
  </w:style>
  <w:style w:type="paragraph" w:customStyle="1" w:styleId="paragraph">
    <w:name w:val="paragraph"/>
    <w:basedOn w:val="Normal"/>
    <w:uiPriority w:val="99"/>
    <w:rsid w:val="00110CF1"/>
    <w:pPr>
      <w:spacing w:before="100" w:beforeAutospacing="1" w:after="100" w:afterAutospacing="1"/>
      <w:jc w:val="left"/>
    </w:pPr>
    <w:rPr>
      <w:rFonts w:eastAsiaTheme="minorHAnsi"/>
      <w:sz w:val="24"/>
      <w:szCs w:val="24"/>
      <w:lang w:val="en-US"/>
    </w:rPr>
  </w:style>
  <w:style w:type="character" w:customStyle="1" w:styleId="normaltextrun">
    <w:name w:val="normaltextrun"/>
    <w:basedOn w:val="DefaultParagraphFont"/>
    <w:rsid w:val="00110CF1"/>
  </w:style>
  <w:style w:type="character" w:customStyle="1" w:styleId="eop">
    <w:name w:val="eop"/>
    <w:basedOn w:val="DefaultParagraphFont"/>
    <w:rsid w:val="00110CF1"/>
  </w:style>
  <w:style w:type="character" w:customStyle="1" w:styleId="gmail-normaltextrun">
    <w:name w:val="gmail-normaltextrun"/>
    <w:basedOn w:val="DefaultParagraphFont"/>
    <w:rsid w:val="00110CF1"/>
  </w:style>
  <w:style w:type="character" w:customStyle="1" w:styleId="apple-converted-space">
    <w:name w:val="apple-converted-space"/>
    <w:basedOn w:val="DefaultParagraphFont"/>
    <w:rsid w:val="00110CF1"/>
  </w:style>
  <w:style w:type="character" w:customStyle="1" w:styleId="gmaildefault">
    <w:name w:val="gmail_default"/>
    <w:basedOn w:val="DefaultParagraphFont"/>
    <w:rsid w:val="00110CF1"/>
  </w:style>
  <w:style w:type="paragraph" w:styleId="HTMLPreformatted">
    <w:name w:val="HTML Preformatted"/>
    <w:basedOn w:val="Normal"/>
    <w:link w:val="HTMLPreformattedChar"/>
    <w:uiPriority w:val="99"/>
    <w:semiHidden/>
    <w:unhideWhenUsed/>
    <w:rsid w:val="0002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02025E"/>
    <w:rPr>
      <w:rFonts w:ascii="Courier New" w:hAnsi="Courier New" w:cs="Courier New"/>
      <w:lang w:val="es-ES"/>
    </w:rPr>
  </w:style>
  <w:style w:type="character" w:customStyle="1" w:styleId="Ninguno">
    <w:name w:val="Ninguno"/>
    <w:rsid w:val="007E1C52"/>
    <w:rPr>
      <w:lang w:val="pt-PT"/>
    </w:rPr>
  </w:style>
  <w:style w:type="character" w:customStyle="1" w:styleId="CommentSubjectChar11">
    <w:name w:val="Comment Subject Char11"/>
    <w:basedOn w:val="CommentTextChar"/>
    <w:semiHidden/>
    <w:rsid w:val="00293B12"/>
    <w:rPr>
      <w:rFonts w:ascii="CG Times" w:hAnsi="CG Times" w:cs="Times New Roman"/>
      <w:b/>
      <w:bCs/>
      <w:lang w:val="es-ES" w:eastAsia="x-none"/>
    </w:rPr>
  </w:style>
  <w:style w:type="numbering" w:customStyle="1" w:styleId="NoList2">
    <w:name w:val="No List2"/>
    <w:next w:val="NoList"/>
    <w:uiPriority w:val="99"/>
    <w:semiHidden/>
    <w:unhideWhenUsed/>
    <w:rsid w:val="005A40EC"/>
  </w:style>
  <w:style w:type="paragraph" w:customStyle="1" w:styleId="MediumGrid1-Accent21">
    <w:name w:val="Medium Grid 1 - Accent 21"/>
    <w:basedOn w:val="Normal"/>
    <w:qFormat/>
    <w:rsid w:val="005A40EC"/>
    <w:pPr>
      <w:spacing w:after="200" w:line="276" w:lineRule="auto"/>
      <w:ind w:left="720"/>
      <w:contextualSpacing/>
      <w:jc w:val="left"/>
    </w:pPr>
    <w:rPr>
      <w:rFonts w:ascii="Calibri" w:hAnsi="Calibri" w:cs="Calibri"/>
      <w:szCs w:val="22"/>
      <w:lang w:val="fr-CA" w:eastAsia="es-ES"/>
    </w:rPr>
  </w:style>
  <w:style w:type="paragraph" w:customStyle="1" w:styleId="0">
    <w:name w:val="0"/>
    <w:basedOn w:val="Normal"/>
    <w:rsid w:val="005A40EC"/>
    <w:pPr>
      <w:autoSpaceDE w:val="0"/>
      <w:autoSpaceDN w:val="0"/>
      <w:adjustRightInd w:val="0"/>
      <w:spacing w:line="240" w:lineRule="atLeast"/>
      <w:jc w:val="left"/>
    </w:pPr>
    <w:rPr>
      <w:sz w:val="24"/>
      <w:szCs w:val="24"/>
      <w:lang w:val="fr-CA" w:eastAsia="es-ES"/>
    </w:rPr>
  </w:style>
  <w:style w:type="numbering" w:customStyle="1" w:styleId="NoList3">
    <w:name w:val="No List3"/>
    <w:next w:val="NoList"/>
    <w:uiPriority w:val="99"/>
    <w:semiHidden/>
    <w:unhideWhenUsed/>
    <w:rsid w:val="009071BD"/>
  </w:style>
  <w:style w:type="character" w:customStyle="1" w:styleId="CommentTextChar11">
    <w:name w:val="Comment Text Char11"/>
    <w:basedOn w:val="DefaultParagraphFont"/>
    <w:semiHidden/>
    <w:rsid w:val="009071BD"/>
    <w:rPr>
      <w:rFonts w:cs="Times New Roman"/>
      <w:lang w:val="es-ES" w:eastAsia="x-none"/>
    </w:rPr>
  </w:style>
  <w:style w:type="character" w:customStyle="1" w:styleId="HeaderChar11">
    <w:name w:val="Header Char11"/>
    <w:basedOn w:val="DefaultParagraphFont"/>
    <w:uiPriority w:val="99"/>
    <w:semiHidden/>
    <w:rsid w:val="009071BD"/>
    <w:rPr>
      <w:rFonts w:cs="Times New Roman"/>
      <w:sz w:val="22"/>
      <w:szCs w:val="22"/>
      <w:lang w:val="es-ES" w:eastAsia="x-none"/>
    </w:rPr>
  </w:style>
  <w:style w:type="character" w:customStyle="1" w:styleId="BodyTextIndent3Char11">
    <w:name w:val="Body Text Indent 3 Char11"/>
    <w:basedOn w:val="DefaultParagraphFont"/>
    <w:semiHidden/>
    <w:rsid w:val="009071BD"/>
    <w:rPr>
      <w:rFonts w:cs="Times New Roman"/>
      <w:sz w:val="16"/>
      <w:szCs w:val="16"/>
      <w:lang w:val="es-ES" w:eastAsia="x-none"/>
    </w:rPr>
  </w:style>
  <w:style w:type="character" w:customStyle="1" w:styleId="FooterChar11">
    <w:name w:val="Footer Char11"/>
    <w:basedOn w:val="DefaultParagraphFont"/>
    <w:uiPriority w:val="99"/>
    <w:semiHidden/>
    <w:rsid w:val="009071BD"/>
    <w:rPr>
      <w:rFonts w:cs="Times New Roman"/>
      <w:sz w:val="22"/>
      <w:szCs w:val="22"/>
      <w:lang w:val="es-ES" w:eastAsia="x-none"/>
    </w:rPr>
  </w:style>
  <w:style w:type="character" w:customStyle="1" w:styleId="DateChar11">
    <w:name w:val="Date Char11"/>
    <w:basedOn w:val="DefaultParagraphFont"/>
    <w:semiHidden/>
    <w:rsid w:val="009071BD"/>
    <w:rPr>
      <w:rFonts w:cs="Times New Roman"/>
      <w:sz w:val="22"/>
      <w:szCs w:val="22"/>
      <w:lang w:val="es-ES" w:eastAsia="x-none"/>
    </w:rPr>
  </w:style>
  <w:style w:type="character" w:customStyle="1" w:styleId="EndnoteTextChar11">
    <w:name w:val="Endnote Text Char11"/>
    <w:basedOn w:val="DefaultParagraphFont"/>
    <w:semiHidden/>
    <w:rsid w:val="009071BD"/>
    <w:rPr>
      <w:rFonts w:cs="Times New Roman"/>
      <w:lang w:val="es-ES" w:eastAsia="x-none"/>
    </w:rPr>
  </w:style>
  <w:style w:type="character" w:customStyle="1" w:styleId="DocumentMapChar11">
    <w:name w:val="Document Map Char11"/>
    <w:basedOn w:val="DefaultParagraphFont"/>
    <w:semiHidden/>
    <w:rsid w:val="009071BD"/>
    <w:rPr>
      <w:rFonts w:ascii="Segoe UI" w:hAnsi="Segoe UI" w:cs="Segoe UI"/>
      <w:sz w:val="16"/>
      <w:szCs w:val="16"/>
      <w:lang w:val="es-ES" w:eastAsia="x-none"/>
    </w:rPr>
  </w:style>
  <w:style w:type="character" w:customStyle="1" w:styleId="BalloonTextChar11">
    <w:name w:val="Balloon Text Char11"/>
    <w:basedOn w:val="DefaultParagraphFont"/>
    <w:semiHidden/>
    <w:rsid w:val="009071BD"/>
    <w:rPr>
      <w:rFonts w:ascii="Segoe UI" w:hAnsi="Segoe UI" w:cs="Segoe UI"/>
      <w:sz w:val="18"/>
      <w:szCs w:val="18"/>
      <w:lang w:val="es-ES" w:eastAsia="x-none"/>
    </w:rPr>
  </w:style>
  <w:style w:type="character" w:customStyle="1" w:styleId="PlainTextChar11">
    <w:name w:val="Plain Text Char11"/>
    <w:basedOn w:val="DefaultParagraphFont"/>
    <w:uiPriority w:val="99"/>
    <w:semiHidden/>
    <w:rsid w:val="009071BD"/>
    <w:rPr>
      <w:rFonts w:ascii="Consolas" w:hAnsi="Consolas" w:cs="Times New Roman"/>
      <w:sz w:val="21"/>
      <w:szCs w:val="21"/>
      <w:lang w:val="es-ES" w:eastAsia="x-none"/>
    </w:rPr>
  </w:style>
  <w:style w:type="table" w:customStyle="1" w:styleId="TableList41">
    <w:name w:val="Table List 41"/>
    <w:basedOn w:val="TableNormal"/>
    <w:next w:val="TableList4"/>
    <w:unhideWhenUsed/>
    <w:rsid w:val="009071BD"/>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071BD"/>
    <w:rPr>
      <w:rFonts w:ascii="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00642689">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586693476">
      <w:bodyDiv w:val="1"/>
      <w:marLeft w:val="0"/>
      <w:marRight w:val="0"/>
      <w:marTop w:val="0"/>
      <w:marBottom w:val="0"/>
      <w:divBdr>
        <w:top w:val="none" w:sz="0" w:space="0" w:color="auto"/>
        <w:left w:val="none" w:sz="0" w:space="0" w:color="auto"/>
        <w:bottom w:val="none" w:sz="0" w:space="0" w:color="auto"/>
        <w:right w:val="none" w:sz="0" w:space="0" w:color="auto"/>
      </w:divBdr>
    </w:div>
    <w:div w:id="852494836">
      <w:bodyDiv w:val="1"/>
      <w:marLeft w:val="0"/>
      <w:marRight w:val="0"/>
      <w:marTop w:val="0"/>
      <w:marBottom w:val="0"/>
      <w:divBdr>
        <w:top w:val="none" w:sz="0" w:space="0" w:color="auto"/>
        <w:left w:val="none" w:sz="0" w:space="0" w:color="auto"/>
        <w:bottom w:val="none" w:sz="0" w:space="0" w:color="auto"/>
        <w:right w:val="none" w:sz="0" w:space="0" w:color="auto"/>
      </w:divBdr>
    </w:div>
    <w:div w:id="1152404396">
      <w:bodyDiv w:val="1"/>
      <w:marLeft w:val="0"/>
      <w:marRight w:val="0"/>
      <w:marTop w:val="0"/>
      <w:marBottom w:val="0"/>
      <w:divBdr>
        <w:top w:val="none" w:sz="0" w:space="0" w:color="auto"/>
        <w:left w:val="none" w:sz="0" w:space="0" w:color="auto"/>
        <w:bottom w:val="none" w:sz="0" w:space="0" w:color="auto"/>
        <w:right w:val="none" w:sz="0" w:space="0" w:color="auto"/>
      </w:divBdr>
    </w:div>
    <w:div w:id="1392390432">
      <w:bodyDiv w:val="1"/>
      <w:marLeft w:val="0"/>
      <w:marRight w:val="0"/>
      <w:marTop w:val="0"/>
      <w:marBottom w:val="0"/>
      <w:divBdr>
        <w:top w:val="none" w:sz="0" w:space="0" w:color="auto"/>
        <w:left w:val="none" w:sz="0" w:space="0" w:color="auto"/>
        <w:bottom w:val="none" w:sz="0" w:space="0" w:color="auto"/>
        <w:right w:val="none" w:sz="0" w:space="0" w:color="auto"/>
      </w:divBdr>
    </w:div>
    <w:div w:id="19019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IDMS/Redirectpage.aspx?class=CP/doc&amp;classNum=5598&amp;lang=F" TargetMode="External"/><Relationship Id="rId21" Type="http://schemas.openxmlformats.org/officeDocument/2006/relationships/header" Target="header6.xml"/><Relationship Id="rId42" Type="http://schemas.openxmlformats.org/officeDocument/2006/relationships/footer" Target="footer10.xml"/><Relationship Id="rId47"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63" Type="http://schemas.openxmlformats.org/officeDocument/2006/relationships/hyperlink" Target="http://scm.oas.org/doc_public/FRENCH/HIST_18/CP39515F03.doc" TargetMode="External"/><Relationship Id="rId68" Type="http://schemas.openxmlformats.org/officeDocument/2006/relationships/hyperlink" Target="http://scm.oas.org/doc_public/FRENCH/HIST_18/CP39515F03.doc" TargetMode="External"/><Relationship Id="rId84" Type="http://schemas.openxmlformats.org/officeDocument/2006/relationships/hyperlink" Target="http://scm.oas.org/doc_public/FRENCH/hist_17/CIDRP02030F05.doc" TargetMode="External"/><Relationship Id="rId89" Type="http://schemas.openxmlformats.org/officeDocument/2006/relationships/hyperlink" Target="http://scm.oas.org/doc_public/FRENCH/HIST_20/CP42142F03.docx" TargetMode="External"/><Relationship Id="rId112" Type="http://schemas.openxmlformats.org/officeDocument/2006/relationships/header" Target="header26.xml"/><Relationship Id="rId16" Type="http://schemas.openxmlformats.org/officeDocument/2006/relationships/header" Target="header4.xml"/><Relationship Id="rId107" Type="http://schemas.openxmlformats.org/officeDocument/2006/relationships/footer" Target="footer19.xml"/><Relationship Id="rId11" Type="http://schemas.openxmlformats.org/officeDocument/2006/relationships/footer" Target="footer1.xml"/><Relationship Id="rId32" Type="http://schemas.openxmlformats.org/officeDocument/2006/relationships/hyperlink" Target="http://scm.oas.org/IDMS/Redirectpage.aspx?class=AG/doc.&amp;classNum=5667&amp;lang=f" TargetMode="External"/><Relationship Id="rId37" Type="http://schemas.openxmlformats.org/officeDocument/2006/relationships/header" Target="header8.xml"/><Relationship Id="rId53"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 Id="rId58" Type="http://schemas.openxmlformats.org/officeDocument/2006/relationships/footer" Target="footer13.xml"/><Relationship Id="rId74" Type="http://schemas.openxmlformats.org/officeDocument/2006/relationships/hyperlink" Target="http://scm.oas.org/doc_public/ENGLISH/HIST_17/AG07239E03.doc" TargetMode="External"/><Relationship Id="rId79" Type="http://schemas.openxmlformats.org/officeDocument/2006/relationships/hyperlink" Target="http://scm.oas.org/IDMS/Redirectpage.aspx?class=AG/RES.%20%20(LI-E/16)&amp;classNum=2&amp;lang=f" TargetMode="External"/><Relationship Id="rId102" Type="http://schemas.openxmlformats.org/officeDocument/2006/relationships/footer" Target="footer17.xml"/><Relationship Id="rId5" Type="http://schemas.openxmlformats.org/officeDocument/2006/relationships/webSettings" Target="webSettings.xml"/><Relationship Id="rId90" Type="http://schemas.openxmlformats.org/officeDocument/2006/relationships/hyperlink" Target="http://scm.oas.org/doc_public/SPANISH/HIST_20/CP42590S03.docx" TargetMode="External"/><Relationship Id="rId95" Type="http://schemas.openxmlformats.org/officeDocument/2006/relationships/footer" Target="footer14.xml"/><Relationship Id="rId22" Type="http://schemas.openxmlformats.org/officeDocument/2006/relationships/hyperlink" Target="http://scm.oas.org/IDMS/Redirectpage.aspx?class=AG/doc.&amp;classNum=5691&amp;addendum=1&amp;lang=f" TargetMode="External"/><Relationship Id="rId27" Type="http://schemas.openxmlformats.org/officeDocument/2006/relationships/hyperlink" Target="http://scm.oas.org/IDMS/Redirectpage.aspx?class=CP/CSH/INF&amp;classNum=502&amp;lang=f" TargetMode="External"/><Relationship Id="rId43" Type="http://schemas.openxmlformats.org/officeDocument/2006/relationships/hyperlink" Target="http://scm.oas.org/IDMS/Redirectpage.aspx?class=AG/RES.%20%20(LI-E/16)&amp;classNum=1&amp;lang=f" TargetMode="External"/><Relationship Id="rId48"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64" Type="http://schemas.openxmlformats.org/officeDocument/2006/relationships/hyperlink" Target="http://scm.oas.org/doc_public/FRENCH/HIST_18/CP39512F03.doc" TargetMode="External"/><Relationship Id="rId69" Type="http://schemas.openxmlformats.org/officeDocument/2006/relationships/hyperlink" Target="http://scm.oas.org/doc_public/SPANISH/HIST_20/CP42904S03.docx" TargetMode="External"/><Relationship Id="rId113" Type="http://schemas.openxmlformats.org/officeDocument/2006/relationships/fontTable" Target="fontTable.xml"/><Relationship Id="rId80" Type="http://schemas.openxmlformats.org/officeDocument/2006/relationships/hyperlink" Target="http://scm.oas.org/doc_public/french/HIST_17/AG07524f02.doc" TargetMode="External"/><Relationship Id="rId85" Type="http://schemas.openxmlformats.org/officeDocument/2006/relationships/hyperlink" Target="http://scm.oas.org/doc_public/FRENCH/hist_18/CIDRP02360F05.doc" TargetMode="External"/><Relationship Id="rId12" Type="http://schemas.openxmlformats.org/officeDocument/2006/relationships/header" Target="header2.xml"/><Relationship Id="rId17" Type="http://schemas.openxmlformats.org/officeDocument/2006/relationships/footer" Target="footer4.xml"/><Relationship Id="rId33" Type="http://schemas.openxmlformats.org/officeDocument/2006/relationships/hyperlink" Target="http://scm.oas.org/IDMS/Redirectpage.aspx?class=CP/CSH&amp;classNum=1953&amp;lang=f" TargetMode="External"/><Relationship Id="rId38" Type="http://schemas.openxmlformats.org/officeDocument/2006/relationships/footer" Target="footer8.xml"/><Relationship Id="rId59" Type="http://schemas.openxmlformats.org/officeDocument/2006/relationships/header" Target="header13.xml"/><Relationship Id="rId103" Type="http://schemas.openxmlformats.org/officeDocument/2006/relationships/header" Target="header20.xml"/><Relationship Id="rId108" Type="http://schemas.openxmlformats.org/officeDocument/2006/relationships/header" Target="header23.xml"/><Relationship Id="rId54" Type="http://schemas.openxmlformats.org/officeDocument/2006/relationships/footer" Target="footer11.xml"/><Relationship Id="rId70" Type="http://schemas.openxmlformats.org/officeDocument/2006/relationships/hyperlink" Target="http://scm.oas.org/IDMS/Redirectpage.aspx?class=CP/doc.&amp;classNum=5642&amp;lang=e" TargetMode="External"/><Relationship Id="rId75" Type="http://schemas.openxmlformats.org/officeDocument/2006/relationships/hyperlink" Target="http://scm.oas.org/doc_public/FRENCH/HIST_17/AG07239F03.doc" TargetMode="External"/><Relationship Id="rId91" Type="http://schemas.openxmlformats.org/officeDocument/2006/relationships/hyperlink" Target="http://scm.oas.org/doc_public/FRENCH/HIST_20/CP42590F03.docx" TargetMode="External"/><Relationship Id="rId96"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cm.oas.org/IDMS/Redirectpage.aspx?class=CP/doc&amp;classNum=5625&amp;lang=s" TargetMode="External"/><Relationship Id="rId28" Type="http://schemas.openxmlformats.org/officeDocument/2006/relationships/hyperlink" Target="http://scm.oas.org/IDMS/Redirectpage.aspx?class=CP/CSH&amp;classNum=1953&amp;lang=f" TargetMode="External"/><Relationship Id="rId36" Type="http://schemas.openxmlformats.org/officeDocument/2006/relationships/footer" Target="footer7.xml"/><Relationship Id="rId49" Type="http://schemas.openxmlformats.org/officeDocument/2006/relationships/hyperlink" Target="https://gcc01.safelinks.protection.outlook.com/?url=http://www.caribank.org/&amp;data=02|01|AynesJM@state.gov|740d4aa7f583474226b808d80b4efad8|66cf50745afe48d1a691a12b2121f44b|0|0|637271781131475534&amp;sdata=78vdQJGLnMwPXsw3gA8+DUMwhR3yn8Ot+ksbbPXV9Kw=&amp;reserved=0" TargetMode="External"/><Relationship Id="rId57" Type="http://schemas.openxmlformats.org/officeDocument/2006/relationships/footer" Target="footer12.xml"/><Relationship Id="rId106" Type="http://schemas.openxmlformats.org/officeDocument/2006/relationships/header" Target="header22.xml"/><Relationship Id="rId114"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www.oas.org/ext/es/seguridad/red-prevencion-crimen/" TargetMode="External"/><Relationship Id="rId44" Type="http://schemas.openxmlformats.org/officeDocument/2006/relationships/hyperlink" Target="http://scm.oas.org/IDMS/Redirectpage.aspx?class=CP/doc.&amp;classNum=5469&amp;lang=e" TargetMode="External"/><Relationship Id="rId52"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60" Type="http://schemas.openxmlformats.org/officeDocument/2006/relationships/hyperlink" Target="http://scm.oas.org/doc_public/FRENCH/HIST_07/AG03819F08.doc" TargetMode="External"/><Relationship Id="rId65" Type="http://schemas.openxmlformats.org/officeDocument/2006/relationships/hyperlink" Target="http://scm.oas.org/doc_public/FRENCH/HIST_18/CP39512F03.doc" TargetMode="External"/><Relationship Id="rId73" Type="http://schemas.openxmlformats.org/officeDocument/2006/relationships/hyperlink" Target="http://scm.oas.org/IDMS/Redirectpage.aspx?class=CP/doc.&amp;classNum=5469&amp;lang=s" TargetMode="External"/><Relationship Id="rId78" Type="http://schemas.openxmlformats.org/officeDocument/2006/relationships/hyperlink" Target="http://scm.oas.org/IDMS/Redirectpage.aspx?class=AG/RES.%20%20(XLVIII-E/14)&amp;classNum=1&amp;lang=f" TargetMode="External"/><Relationship Id="rId81" Type="http://schemas.openxmlformats.org/officeDocument/2006/relationships/hyperlink" Target="http://scm.oas.org/doc_public/SPANISH/HIST_17/AG07524S02.doc" TargetMode="External"/><Relationship Id="rId86" Type="http://schemas.openxmlformats.org/officeDocument/2006/relationships/hyperlink" Target="http://scm.oas.org/doc_public/SPANISH/HIST_20/CP42562S03.docx" TargetMode="External"/><Relationship Id="rId94" Type="http://schemas.openxmlformats.org/officeDocument/2006/relationships/header" Target="header15.xml"/><Relationship Id="rId99" Type="http://schemas.openxmlformats.org/officeDocument/2006/relationships/header" Target="header18.xml"/><Relationship Id="rId10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header" Target="header9.xml"/><Relationship Id="rId109" Type="http://schemas.openxmlformats.org/officeDocument/2006/relationships/header" Target="header24.xml"/><Relationship Id="rId34" Type="http://schemas.openxmlformats.org/officeDocument/2006/relationships/hyperlink" Target="http://scm.oas.org/IDMS/Redirectpage.aspx?class=CP/CSH&amp;classNum=1984&amp;lang=F" TargetMode="External"/><Relationship Id="rId50"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55" Type="http://schemas.openxmlformats.org/officeDocument/2006/relationships/header" Target="header11.xml"/><Relationship Id="rId76" Type="http://schemas.openxmlformats.org/officeDocument/2006/relationships/hyperlink" Target="http://www.oas.org/consejo/GENERAL%20ASSEMBLY/Documents/pl00095f06.doc" TargetMode="External"/><Relationship Id="rId97" Type="http://schemas.openxmlformats.org/officeDocument/2006/relationships/footer" Target="footer15.xml"/><Relationship Id="rId104"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scm.oas.org/IDMS/Redirectpage.aspx?class=AG/RES.%20%20(LI-E/16)&amp;classNum=1&amp;lang=f" TargetMode="Externa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oas.org/MFCS/Default.aspx?Country=GT&amp;lang=FRA" TargetMode="External"/><Relationship Id="rId24" Type="http://schemas.openxmlformats.org/officeDocument/2006/relationships/hyperlink" Target="http://scm.oas.org/IDMS/Redirectpage.aspx?class=CP/doc.&amp;classNum=5612&amp;lang=s" TargetMode="External"/><Relationship Id="rId40" Type="http://schemas.openxmlformats.org/officeDocument/2006/relationships/footer" Target="footer9.xml"/><Relationship Id="rId45" Type="http://schemas.openxmlformats.org/officeDocument/2006/relationships/hyperlink" Target="http://scm.oas.org/IDMS/Redirectpage.aspx?class=cidi/doc.&amp;classNum=283&amp;lang=f" TargetMode="External"/><Relationship Id="rId66" Type="http://schemas.openxmlformats.org/officeDocument/2006/relationships/hyperlink" Target="http://scm.oas.org/doc_public/FRENCH/HIST_18/CP39512F03.doc" TargetMode="External"/><Relationship Id="rId87" Type="http://schemas.openxmlformats.org/officeDocument/2006/relationships/hyperlink" Target="http://scm.oas.org/IDMS/Redirectpage.aspx?class=AG/RES.%20%20(XLVIII-E/14)&amp;classNum=1&amp;lang=f" TargetMode="External"/><Relationship Id="rId110" Type="http://schemas.openxmlformats.org/officeDocument/2006/relationships/footer" Target="footer20.xml"/><Relationship Id="rId61" Type="http://schemas.openxmlformats.org/officeDocument/2006/relationships/hyperlink" Target="http://scm.oas.org/doc_public/FRENCH/HIST_07/AG03819F08.doc" TargetMode="External"/><Relationship Id="rId82" Type="http://schemas.openxmlformats.org/officeDocument/2006/relationships/hyperlink" Target="http://scm.oas.org/doc_public/french/HIST_17/AG07524f02.doc" TargetMode="External"/><Relationship Id="rId19" Type="http://schemas.openxmlformats.org/officeDocument/2006/relationships/header" Target="header5.xml"/><Relationship Id="rId14" Type="http://schemas.openxmlformats.org/officeDocument/2006/relationships/header" Target="header3.xml"/><Relationship Id="rId30" Type="http://schemas.openxmlformats.org/officeDocument/2006/relationships/hyperlink" Target="http://scm.oas.org/IDMS/Redirectpage.aspx?class=AG/doc.&amp;classNum=5667&amp;lang=f" TargetMode="External"/><Relationship Id="rId35" Type="http://schemas.openxmlformats.org/officeDocument/2006/relationships/header" Target="header7.xml"/><Relationship Id="rId56" Type="http://schemas.openxmlformats.org/officeDocument/2006/relationships/header" Target="header12.xml"/><Relationship Id="rId77" Type="http://schemas.openxmlformats.org/officeDocument/2006/relationships/hyperlink" Target="http://scm.oas.org/IDMS/Redirectpage.aspx?class=AG/RES.%20%20(XLVIII-E/14)&amp;classNum=1&amp;lang=f" TargetMode="External"/><Relationship Id="rId100" Type="http://schemas.openxmlformats.org/officeDocument/2006/relationships/footer" Target="footer16.xml"/><Relationship Id="rId105" Type="http://schemas.openxmlformats.org/officeDocument/2006/relationships/header" Target="header21.xml"/><Relationship Id="rId8" Type="http://schemas.openxmlformats.org/officeDocument/2006/relationships/image" Target="media/image1.emf"/><Relationship Id="rId51"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72" Type="http://schemas.openxmlformats.org/officeDocument/2006/relationships/hyperlink" Target="http://scm.oas.org/doc_public/FRENCH/hist_19/cp40513F02.doc" TargetMode="External"/><Relationship Id="rId93" Type="http://schemas.openxmlformats.org/officeDocument/2006/relationships/image" Target="media/image2.emf"/><Relationship Id="rId98" Type="http://schemas.openxmlformats.org/officeDocument/2006/relationships/header" Target="header17.xml"/><Relationship Id="rId3" Type="http://schemas.openxmlformats.org/officeDocument/2006/relationships/styles" Target="styles.xml"/><Relationship Id="rId25" Type="http://schemas.openxmlformats.org/officeDocument/2006/relationships/hyperlink" Target="http://scm.oas.org/IDMS/Redirectpage.aspx?class=CP/doc&amp;classNum=5625&amp;lang=s" TargetMode="External"/><Relationship Id="rId46"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67" Type="http://schemas.openxmlformats.org/officeDocument/2006/relationships/hyperlink" Target="http://scm.oas.org/doc_public/FRENCH/HIST_18/CP39515F03.doc" TargetMode="External"/><Relationship Id="rId20" Type="http://schemas.openxmlformats.org/officeDocument/2006/relationships/footer" Target="footer6.xml"/><Relationship Id="rId41" Type="http://schemas.openxmlformats.org/officeDocument/2006/relationships/header" Target="header10.xml"/><Relationship Id="rId62" Type="http://schemas.openxmlformats.org/officeDocument/2006/relationships/hyperlink" Target="http://scm.oas.org/doc_public/FRENCH/HIST_18/CP39515F03.doc" TargetMode="External"/><Relationship Id="rId83" Type="http://schemas.openxmlformats.org/officeDocument/2006/relationships/hyperlink" Target="http://scm.oas.org/doc_public/FRENCH/HIST_07/AG03796F02.doc" TargetMode="External"/><Relationship Id="rId88" Type="http://schemas.openxmlformats.org/officeDocument/2006/relationships/hyperlink" Target="http://scm.oas.org/IDMS/Redirectpage.aspx?class=AG/RES.%20%20(XLVIII-E/14)&amp;classNum=1&amp;lang=f" TargetMode="External"/><Relationship Id="rId11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8BDF-5628-4701-851D-646814BE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211</Pages>
  <Words>82771</Words>
  <Characters>471799</Characters>
  <Application>Microsoft Office Word</Application>
  <DocSecurity>0</DocSecurity>
  <Lines>3931</Lines>
  <Paragraphs>1106</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553464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A. Clermont</dc:creator>
  <cp:lastModifiedBy>Salas, Soledad</cp:lastModifiedBy>
  <cp:revision>124</cp:revision>
  <cp:lastPrinted>2021-04-15T14:11:00Z</cp:lastPrinted>
  <dcterms:created xsi:type="dcterms:W3CDTF">2021-06-04T13:31:00Z</dcterms:created>
  <dcterms:modified xsi:type="dcterms:W3CDTF">2021-06-21T20:23:00Z</dcterms:modified>
</cp:coreProperties>
</file>