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C545" w14:textId="7D68342A" w:rsidR="005F40D1" w:rsidRPr="00F64CC8" w:rsidRDefault="005F40D1" w:rsidP="00F64CC8">
      <w:pPr>
        <w:suppressAutoHyphens/>
        <w:ind w:right="-29"/>
        <w:jc w:val="center"/>
        <w:rPr>
          <w:b/>
          <w:caps/>
          <w:sz w:val="22"/>
          <w:szCs w:val="22"/>
          <w:lang w:val="es-ES"/>
        </w:rPr>
      </w:pPr>
      <w:r w:rsidRPr="00F64CC8">
        <w:rPr>
          <w:b/>
          <w:caps/>
          <w:sz w:val="22"/>
          <w:szCs w:val="22"/>
          <w:lang w:val="es-ES"/>
        </w:rPr>
        <w:t>REUNIÓN DE CONSULTA</w:t>
      </w:r>
      <w:r w:rsidR="00434778" w:rsidRPr="00F64CC8">
        <w:rPr>
          <w:b/>
          <w:caps/>
          <w:sz w:val="22"/>
          <w:szCs w:val="22"/>
          <w:lang w:val="es-ES"/>
        </w:rPr>
        <w:t xml:space="preserve"> </w:t>
      </w:r>
      <w:r w:rsidR="00851690" w:rsidRPr="00F64CC8">
        <w:rPr>
          <w:b/>
          <w:caps/>
          <w:sz w:val="22"/>
          <w:szCs w:val="22"/>
          <w:lang w:val="es-ES"/>
        </w:rPr>
        <w:t>DE</w:t>
      </w:r>
      <w:r w:rsidR="00E57F6C" w:rsidRPr="00F64CC8">
        <w:rPr>
          <w:b/>
          <w:caps/>
          <w:sz w:val="22"/>
          <w:szCs w:val="22"/>
          <w:lang w:val="es-ES"/>
        </w:rPr>
        <w:t xml:space="preserve"> </w:t>
      </w:r>
      <w:r w:rsidRPr="00F64CC8">
        <w:rPr>
          <w:b/>
          <w:caps/>
          <w:sz w:val="22"/>
          <w:szCs w:val="22"/>
          <w:lang w:val="es-ES"/>
        </w:rPr>
        <w:t>Los Estados Parte</w:t>
      </w:r>
    </w:p>
    <w:p w14:paraId="6875D737" w14:textId="69456F80" w:rsidR="00E57F6C" w:rsidRPr="00F64CC8" w:rsidRDefault="005F40D1" w:rsidP="00F64CC8">
      <w:pPr>
        <w:suppressAutoHyphens/>
        <w:ind w:right="-29"/>
        <w:jc w:val="center"/>
        <w:rPr>
          <w:caps/>
          <w:sz w:val="22"/>
          <w:szCs w:val="22"/>
          <w:lang w:val="es-ES"/>
        </w:rPr>
      </w:pPr>
      <w:r w:rsidRPr="00F64CC8">
        <w:rPr>
          <w:b/>
          <w:caps/>
          <w:sz w:val="22"/>
          <w:szCs w:val="22"/>
          <w:lang w:val="es-ES"/>
        </w:rPr>
        <w:t>de la CONVENCIÓN INTERAMERICANA CONTRA EL TERRORISMO</w:t>
      </w:r>
      <w:r w:rsidR="00E924C9" w:rsidRPr="00F64CC8">
        <w:rPr>
          <w:b/>
          <w:caps/>
          <w:sz w:val="22"/>
          <w:szCs w:val="22"/>
          <w:lang w:val="es-ES"/>
        </w:rPr>
        <w:t xml:space="preserve"> </w:t>
      </w:r>
    </w:p>
    <w:p w14:paraId="0BCE3F09" w14:textId="77777777" w:rsidR="00E924C9" w:rsidRPr="00F64CC8" w:rsidRDefault="00E924C9" w:rsidP="00F64CC8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es-ES"/>
        </w:rPr>
      </w:pPr>
    </w:p>
    <w:p w14:paraId="0254FEE3" w14:textId="37379758" w:rsidR="005C2034" w:rsidRPr="00F64CC8" w:rsidRDefault="005F40D1" w:rsidP="00F64CC8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es-US"/>
        </w:rPr>
      </w:pPr>
      <w:r w:rsidRPr="00F64CC8">
        <w:rPr>
          <w:sz w:val="22"/>
          <w:szCs w:val="22"/>
          <w:lang w:val="es-ES"/>
        </w:rPr>
        <w:t>REUNIÓN DE CONSULTA DE LOS ESTADOS PARTE</w:t>
      </w:r>
      <w:r w:rsidR="005C2034" w:rsidRPr="00F64CC8">
        <w:rPr>
          <w:spacing w:val="-2"/>
          <w:sz w:val="22"/>
          <w:szCs w:val="22"/>
          <w:lang w:val="es-ES"/>
        </w:rPr>
        <w:tab/>
      </w:r>
      <w:r w:rsidR="00E05D48" w:rsidRPr="00F64CC8">
        <w:rPr>
          <w:spacing w:val="-2"/>
          <w:sz w:val="22"/>
          <w:szCs w:val="22"/>
          <w:lang w:val="es-US"/>
        </w:rPr>
        <w:t>O</w:t>
      </w:r>
      <w:r w:rsidR="00002EF7">
        <w:rPr>
          <w:spacing w:val="-2"/>
          <w:sz w:val="22"/>
          <w:szCs w:val="22"/>
          <w:lang w:val="es-US"/>
        </w:rPr>
        <w:t>EA</w:t>
      </w:r>
      <w:r w:rsidR="00E05D48" w:rsidRPr="00F64CC8">
        <w:rPr>
          <w:spacing w:val="-2"/>
          <w:sz w:val="22"/>
          <w:szCs w:val="22"/>
          <w:lang w:val="es-US"/>
        </w:rPr>
        <w:t>/</w:t>
      </w:r>
      <w:proofErr w:type="spellStart"/>
      <w:r w:rsidR="00E05D48" w:rsidRPr="00F64CC8">
        <w:rPr>
          <w:spacing w:val="-2"/>
          <w:sz w:val="22"/>
          <w:szCs w:val="22"/>
          <w:lang w:val="es-US"/>
        </w:rPr>
        <w:t>Ser.K</w:t>
      </w:r>
      <w:proofErr w:type="spellEnd"/>
      <w:r w:rsidR="00E05D48" w:rsidRPr="00F64CC8">
        <w:rPr>
          <w:spacing w:val="-2"/>
          <w:sz w:val="22"/>
          <w:szCs w:val="22"/>
          <w:lang w:val="es-US"/>
        </w:rPr>
        <w:t>/L.1</w:t>
      </w:r>
    </w:p>
    <w:p w14:paraId="11C2E9F0" w14:textId="0724FAE6" w:rsidR="005C2034" w:rsidRPr="00F64CC8" w:rsidRDefault="00E05D48" w:rsidP="00F64CC8">
      <w:pPr>
        <w:tabs>
          <w:tab w:val="left" w:pos="7020"/>
        </w:tabs>
        <w:suppressAutoHyphens/>
        <w:ind w:right="-720"/>
        <w:jc w:val="both"/>
        <w:rPr>
          <w:caps/>
          <w:sz w:val="22"/>
          <w:szCs w:val="22"/>
          <w:lang w:val="es-ES"/>
        </w:rPr>
      </w:pPr>
      <w:r w:rsidRPr="00F64CC8">
        <w:rPr>
          <w:spacing w:val="-2"/>
          <w:sz w:val="22"/>
          <w:szCs w:val="22"/>
          <w:lang w:val="es-ES"/>
        </w:rPr>
        <w:t>12</w:t>
      </w:r>
      <w:r w:rsidR="000A786C" w:rsidRPr="00F64CC8">
        <w:rPr>
          <w:spacing w:val="-2"/>
          <w:sz w:val="22"/>
          <w:szCs w:val="22"/>
          <w:lang w:val="es-ES"/>
        </w:rPr>
        <w:t xml:space="preserve"> de </w:t>
      </w:r>
      <w:r w:rsidRPr="00F64CC8">
        <w:rPr>
          <w:spacing w:val="-2"/>
          <w:sz w:val="22"/>
          <w:szCs w:val="22"/>
          <w:lang w:val="es-ES"/>
        </w:rPr>
        <w:t>septiembre</w:t>
      </w:r>
      <w:r w:rsidR="005F40D1" w:rsidRPr="00F64CC8">
        <w:rPr>
          <w:spacing w:val="-2"/>
          <w:sz w:val="22"/>
          <w:szCs w:val="22"/>
          <w:lang w:val="es-ES"/>
        </w:rPr>
        <w:t xml:space="preserve"> de</w:t>
      </w:r>
      <w:r w:rsidR="005C2034" w:rsidRPr="00F64CC8">
        <w:rPr>
          <w:spacing w:val="-2"/>
          <w:sz w:val="22"/>
          <w:szCs w:val="22"/>
          <w:lang w:val="es-ES"/>
        </w:rPr>
        <w:t xml:space="preserve"> 20</w:t>
      </w:r>
      <w:r w:rsidR="00E81558" w:rsidRPr="00F64CC8">
        <w:rPr>
          <w:spacing w:val="-2"/>
          <w:sz w:val="22"/>
          <w:szCs w:val="22"/>
          <w:lang w:val="es-ES"/>
        </w:rPr>
        <w:t>22</w:t>
      </w:r>
      <w:r w:rsidR="005C2034" w:rsidRPr="00F64CC8">
        <w:rPr>
          <w:caps/>
          <w:sz w:val="22"/>
          <w:szCs w:val="22"/>
          <w:lang w:val="es-ES"/>
        </w:rPr>
        <w:tab/>
      </w:r>
      <w:r w:rsidRPr="00F64CC8">
        <w:rPr>
          <w:caps/>
          <w:sz w:val="22"/>
          <w:szCs w:val="22"/>
          <w:lang w:val="es-US"/>
        </w:rPr>
        <w:t>RCEPTER/</w:t>
      </w:r>
      <w:r w:rsidRPr="00F64CC8">
        <w:rPr>
          <w:sz w:val="22"/>
          <w:szCs w:val="22"/>
          <w:lang w:val="es-US"/>
        </w:rPr>
        <w:t>doc.</w:t>
      </w:r>
      <w:r w:rsidR="00457F04" w:rsidRPr="00F64CC8">
        <w:rPr>
          <w:sz w:val="22"/>
          <w:szCs w:val="22"/>
          <w:lang w:val="es-US"/>
        </w:rPr>
        <w:t>7</w:t>
      </w:r>
      <w:r w:rsidRPr="00F64CC8">
        <w:rPr>
          <w:sz w:val="22"/>
          <w:szCs w:val="22"/>
          <w:lang w:val="es-US"/>
        </w:rPr>
        <w:t>/22</w:t>
      </w:r>
      <w:r w:rsidR="004319AF">
        <w:rPr>
          <w:sz w:val="22"/>
          <w:szCs w:val="22"/>
          <w:lang w:val="es-US"/>
        </w:rPr>
        <w:t xml:space="preserve"> rev.</w:t>
      </w:r>
      <w:r w:rsidR="00015721">
        <w:rPr>
          <w:sz w:val="22"/>
          <w:szCs w:val="22"/>
          <w:lang w:val="es-US"/>
        </w:rPr>
        <w:t>2</w:t>
      </w:r>
    </w:p>
    <w:p w14:paraId="7D955AC0" w14:textId="77ACF2B5" w:rsidR="005C2034" w:rsidRPr="00F64CC8" w:rsidRDefault="00E924C9" w:rsidP="00F64CC8">
      <w:pPr>
        <w:tabs>
          <w:tab w:val="left" w:pos="7020"/>
        </w:tabs>
        <w:suppressAutoHyphens/>
        <w:ind w:right="-720"/>
        <w:jc w:val="both"/>
        <w:rPr>
          <w:spacing w:val="-2"/>
          <w:sz w:val="22"/>
          <w:szCs w:val="22"/>
          <w:lang w:val="es-ES"/>
        </w:rPr>
      </w:pPr>
      <w:r w:rsidRPr="00F64CC8">
        <w:rPr>
          <w:spacing w:val="-2"/>
          <w:sz w:val="22"/>
          <w:szCs w:val="22"/>
          <w:lang w:val="es-ES"/>
        </w:rPr>
        <w:t xml:space="preserve">Washington D.C. </w:t>
      </w:r>
      <w:r w:rsidR="005C2034" w:rsidRPr="00F64CC8">
        <w:rPr>
          <w:spacing w:val="-2"/>
          <w:sz w:val="22"/>
          <w:szCs w:val="22"/>
          <w:lang w:val="es-ES"/>
        </w:rPr>
        <w:tab/>
      </w:r>
      <w:r w:rsidR="00015721">
        <w:rPr>
          <w:spacing w:val="-2"/>
          <w:sz w:val="22"/>
          <w:szCs w:val="22"/>
          <w:lang w:val="es-ES"/>
        </w:rPr>
        <w:t>12</w:t>
      </w:r>
      <w:r w:rsidR="004319AF">
        <w:rPr>
          <w:spacing w:val="-2"/>
          <w:sz w:val="22"/>
          <w:szCs w:val="22"/>
          <w:lang w:val="es-ES"/>
        </w:rPr>
        <w:t xml:space="preserve"> septiembre </w:t>
      </w:r>
      <w:r w:rsidR="005C2034" w:rsidRPr="00F64CC8">
        <w:rPr>
          <w:spacing w:val="-2"/>
          <w:sz w:val="22"/>
          <w:szCs w:val="22"/>
          <w:lang w:val="es-ES"/>
        </w:rPr>
        <w:t>20</w:t>
      </w:r>
      <w:r w:rsidRPr="00F64CC8">
        <w:rPr>
          <w:spacing w:val="-2"/>
          <w:sz w:val="22"/>
          <w:szCs w:val="22"/>
          <w:lang w:val="es-ES"/>
        </w:rPr>
        <w:t>22</w:t>
      </w:r>
    </w:p>
    <w:p w14:paraId="65C7824A" w14:textId="1CD470B1" w:rsidR="005C2034" w:rsidRPr="00F64CC8" w:rsidRDefault="005C2034" w:rsidP="00F64CC8">
      <w:pPr>
        <w:tabs>
          <w:tab w:val="left" w:pos="7020"/>
        </w:tabs>
        <w:suppressAutoHyphens/>
        <w:ind w:right="-720"/>
        <w:jc w:val="both"/>
        <w:rPr>
          <w:sz w:val="22"/>
          <w:szCs w:val="22"/>
          <w:lang w:val="es-ES"/>
        </w:rPr>
      </w:pPr>
      <w:r w:rsidRPr="00F64CC8">
        <w:rPr>
          <w:caps/>
          <w:sz w:val="22"/>
          <w:szCs w:val="22"/>
          <w:lang w:val="es-ES"/>
        </w:rPr>
        <w:tab/>
      </w:r>
      <w:r w:rsidRPr="00F64CC8">
        <w:rPr>
          <w:sz w:val="22"/>
          <w:szCs w:val="22"/>
          <w:lang w:val="es-ES"/>
        </w:rPr>
        <w:t xml:space="preserve">Original: </w:t>
      </w:r>
      <w:r w:rsidR="005F40D1" w:rsidRPr="00F64CC8">
        <w:rPr>
          <w:sz w:val="22"/>
          <w:szCs w:val="22"/>
          <w:lang w:val="es-ES"/>
        </w:rPr>
        <w:t>inglés</w:t>
      </w:r>
    </w:p>
    <w:p w14:paraId="31DE4B8B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3804D43C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2C4ED93D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67F0D206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1CB61A5B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111DD74C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40D947F7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6AAAA1E6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2F11E639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5CB9E13C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6202B467" w14:textId="77777777" w:rsidR="005C2034" w:rsidRPr="00F64CC8" w:rsidRDefault="005C2034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1CCFCC0E" w14:textId="2253EF9A" w:rsidR="008B332C" w:rsidRPr="00F64CC8" w:rsidRDefault="008B332C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091BACEF" w14:textId="05C5F2F7" w:rsidR="001A4468" w:rsidRPr="00F64CC8" w:rsidRDefault="001A4468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1606B2AB" w14:textId="77777777" w:rsidR="001A4468" w:rsidRPr="00F64CC8" w:rsidRDefault="001A4468" w:rsidP="00F64CC8">
      <w:pPr>
        <w:pStyle w:val="BodyText"/>
        <w:widowControl/>
        <w:jc w:val="both"/>
        <w:rPr>
          <w:b w:val="0"/>
          <w:bCs w:val="0"/>
          <w:sz w:val="22"/>
          <w:szCs w:val="22"/>
          <w:lang w:val="es-ES"/>
        </w:rPr>
      </w:pPr>
    </w:p>
    <w:p w14:paraId="5569B65B" w14:textId="6B811402" w:rsidR="00FD624F" w:rsidRPr="00F64CC8" w:rsidRDefault="005C2034" w:rsidP="00F64CC8">
      <w:pPr>
        <w:pStyle w:val="BodyText"/>
        <w:widowControl/>
        <w:rPr>
          <w:b w:val="0"/>
          <w:bCs w:val="0"/>
          <w:sz w:val="22"/>
          <w:szCs w:val="22"/>
          <w:lang w:val="es-ES"/>
        </w:rPr>
      </w:pPr>
      <w:r w:rsidRPr="00F64CC8">
        <w:rPr>
          <w:b w:val="0"/>
          <w:bCs w:val="0"/>
          <w:sz w:val="22"/>
          <w:szCs w:val="22"/>
          <w:lang w:val="es-ES"/>
        </w:rPr>
        <w:t>R</w:t>
      </w:r>
      <w:r w:rsidR="005F40D1" w:rsidRPr="00F64CC8">
        <w:rPr>
          <w:b w:val="0"/>
          <w:bCs w:val="0"/>
          <w:sz w:val="22"/>
          <w:szCs w:val="22"/>
          <w:lang w:val="es-ES"/>
        </w:rPr>
        <w:t>EGLAMENTO DE LA</w:t>
      </w:r>
    </w:p>
    <w:p w14:paraId="4E6E92E9" w14:textId="4049541F" w:rsidR="005F40D1" w:rsidRDefault="005F40D1" w:rsidP="00F64CC8">
      <w:pPr>
        <w:pStyle w:val="BodyText"/>
        <w:widowControl/>
        <w:rPr>
          <w:b w:val="0"/>
          <w:bCs w:val="0"/>
          <w:sz w:val="22"/>
          <w:szCs w:val="22"/>
          <w:lang w:val="es-ES"/>
        </w:rPr>
      </w:pPr>
      <w:r w:rsidRPr="00F64CC8">
        <w:rPr>
          <w:b w:val="0"/>
          <w:bCs w:val="0"/>
          <w:sz w:val="22"/>
          <w:szCs w:val="22"/>
          <w:lang w:val="es-ES"/>
        </w:rPr>
        <w:t>REUNIÓN DE CONSULTA</w:t>
      </w:r>
      <w:r w:rsidR="00434778" w:rsidRPr="00F64CC8">
        <w:rPr>
          <w:b w:val="0"/>
          <w:bCs w:val="0"/>
          <w:sz w:val="22"/>
          <w:szCs w:val="22"/>
          <w:lang w:val="es-ES"/>
        </w:rPr>
        <w:t xml:space="preserve"> </w:t>
      </w:r>
      <w:r w:rsidR="001C73F3" w:rsidRPr="00F64CC8">
        <w:rPr>
          <w:b w:val="0"/>
          <w:bCs w:val="0"/>
          <w:sz w:val="22"/>
          <w:szCs w:val="22"/>
          <w:lang w:val="es-ES"/>
        </w:rPr>
        <w:t>DE</w:t>
      </w:r>
      <w:r w:rsidR="005C2034" w:rsidRPr="00F64CC8">
        <w:rPr>
          <w:b w:val="0"/>
          <w:bCs w:val="0"/>
          <w:sz w:val="22"/>
          <w:szCs w:val="22"/>
          <w:lang w:val="es-ES"/>
        </w:rPr>
        <w:t xml:space="preserve"> </w:t>
      </w:r>
      <w:r w:rsidRPr="00F64CC8">
        <w:rPr>
          <w:b w:val="0"/>
          <w:bCs w:val="0"/>
          <w:sz w:val="22"/>
          <w:szCs w:val="22"/>
          <w:lang w:val="es-ES"/>
        </w:rPr>
        <w:t>LOS ESTADOS PARTE</w:t>
      </w:r>
      <w:r w:rsidR="005C2034" w:rsidRPr="00F64CC8">
        <w:rPr>
          <w:b w:val="0"/>
          <w:bCs w:val="0"/>
          <w:sz w:val="22"/>
          <w:szCs w:val="22"/>
          <w:lang w:val="es-ES"/>
        </w:rPr>
        <w:br/>
      </w:r>
      <w:r w:rsidRPr="00F64CC8">
        <w:rPr>
          <w:b w:val="0"/>
          <w:bCs w:val="0"/>
          <w:sz w:val="22"/>
          <w:szCs w:val="22"/>
          <w:lang w:val="es-ES"/>
        </w:rPr>
        <w:t>DE LA CONVENCIÓN INTERAMERICANA CONTRA EL TERRORISMO</w:t>
      </w:r>
    </w:p>
    <w:p w14:paraId="582CFDDB" w14:textId="77777777" w:rsidR="00473030" w:rsidRPr="00F64CC8" w:rsidRDefault="00473030" w:rsidP="00F64CC8">
      <w:pPr>
        <w:pStyle w:val="BodyText"/>
        <w:widowControl/>
        <w:rPr>
          <w:b w:val="0"/>
          <w:bCs w:val="0"/>
          <w:sz w:val="22"/>
          <w:szCs w:val="22"/>
          <w:lang w:val="es-ES"/>
        </w:rPr>
      </w:pPr>
    </w:p>
    <w:p w14:paraId="10D52845" w14:textId="051CE351" w:rsidR="00473030" w:rsidRPr="001F2D5E" w:rsidRDefault="00473030" w:rsidP="00473030">
      <w:pPr>
        <w:jc w:val="center"/>
        <w:rPr>
          <w:snapToGrid w:val="0"/>
          <w:sz w:val="22"/>
          <w:szCs w:val="22"/>
          <w:lang w:val="es-US"/>
        </w:rPr>
      </w:pPr>
      <w:bookmarkStart w:id="0" w:name="_Hlk113873718"/>
      <w:r w:rsidRPr="001F2D5E">
        <w:rPr>
          <w:snapToGrid w:val="0"/>
          <w:sz w:val="22"/>
          <w:szCs w:val="22"/>
          <w:lang w:val="es-US"/>
        </w:rPr>
        <w:t>(Aprobado durante la reunión celebrada el 12 de septiembre de 2022)</w:t>
      </w:r>
    </w:p>
    <w:bookmarkEnd w:id="0"/>
    <w:p w14:paraId="6AD3F97E" w14:textId="5C769FE1" w:rsidR="005C2034" w:rsidRPr="00473030" w:rsidRDefault="005C2034" w:rsidP="00F64CC8">
      <w:pPr>
        <w:pStyle w:val="BodyText"/>
        <w:widowControl/>
        <w:jc w:val="left"/>
        <w:rPr>
          <w:b w:val="0"/>
          <w:bCs w:val="0"/>
          <w:sz w:val="22"/>
          <w:szCs w:val="22"/>
          <w:lang w:val="es-US"/>
        </w:rPr>
      </w:pPr>
    </w:p>
    <w:p w14:paraId="5210143D" w14:textId="77777777" w:rsidR="005C2034" w:rsidRPr="00F64CC8" w:rsidRDefault="005C2034" w:rsidP="00F64CC8">
      <w:pPr>
        <w:pStyle w:val="BodyText"/>
        <w:widowControl/>
        <w:rPr>
          <w:sz w:val="22"/>
          <w:szCs w:val="22"/>
          <w:lang w:val="es-ES"/>
        </w:rPr>
      </w:pPr>
    </w:p>
    <w:p w14:paraId="4DE53DA7" w14:textId="77777777" w:rsidR="005C2034" w:rsidRPr="00F64CC8" w:rsidRDefault="005C2034" w:rsidP="00F64CC8">
      <w:pPr>
        <w:pStyle w:val="BodyText"/>
        <w:widowControl/>
        <w:rPr>
          <w:sz w:val="22"/>
          <w:szCs w:val="22"/>
          <w:lang w:val="es-ES"/>
        </w:rPr>
        <w:sectPr w:rsidR="005C2034" w:rsidRPr="00F64CC8" w:rsidSect="005C2034">
          <w:headerReference w:type="even" r:id="rId7"/>
          <w:footerReference w:type="default" r:id="rId8"/>
          <w:pgSz w:w="12240" w:h="15840" w:code="1"/>
          <w:pgMar w:top="2160" w:right="1570" w:bottom="1296" w:left="1699" w:header="1296" w:footer="1296" w:gutter="0"/>
          <w:cols w:space="720"/>
        </w:sectPr>
      </w:pPr>
    </w:p>
    <w:p w14:paraId="71539070" w14:textId="40E80FA7" w:rsidR="00FD624F" w:rsidRPr="00F64CC8" w:rsidRDefault="005C2034" w:rsidP="00F64CC8">
      <w:pPr>
        <w:pStyle w:val="BodyText"/>
        <w:widowControl/>
        <w:rPr>
          <w:b w:val="0"/>
          <w:bCs w:val="0"/>
          <w:sz w:val="22"/>
          <w:szCs w:val="22"/>
          <w:lang w:val="es-ES"/>
        </w:rPr>
      </w:pPr>
      <w:r w:rsidRPr="00F64CC8">
        <w:rPr>
          <w:b w:val="0"/>
          <w:bCs w:val="0"/>
          <w:sz w:val="22"/>
          <w:szCs w:val="22"/>
          <w:lang w:val="es-ES"/>
        </w:rPr>
        <w:lastRenderedPageBreak/>
        <w:t>R</w:t>
      </w:r>
      <w:r w:rsidR="005F40D1" w:rsidRPr="00F64CC8">
        <w:rPr>
          <w:b w:val="0"/>
          <w:bCs w:val="0"/>
          <w:sz w:val="22"/>
          <w:szCs w:val="22"/>
          <w:lang w:val="es-ES"/>
        </w:rPr>
        <w:t>EGLAMENTO DE LA</w:t>
      </w:r>
    </w:p>
    <w:p w14:paraId="6A7C90BD" w14:textId="5A61B46D" w:rsidR="005F40D1" w:rsidRPr="00F64CC8" w:rsidRDefault="005F40D1" w:rsidP="00F64CC8">
      <w:pPr>
        <w:pStyle w:val="BodyText"/>
        <w:widowControl/>
        <w:rPr>
          <w:b w:val="0"/>
          <w:bCs w:val="0"/>
          <w:sz w:val="22"/>
          <w:szCs w:val="22"/>
          <w:lang w:val="es-ES"/>
        </w:rPr>
      </w:pPr>
      <w:r w:rsidRPr="00F64CC8">
        <w:rPr>
          <w:b w:val="0"/>
          <w:bCs w:val="0"/>
          <w:sz w:val="22"/>
          <w:szCs w:val="22"/>
          <w:lang w:val="es-ES"/>
        </w:rPr>
        <w:t>REUNIÓN DE CONSULTA</w:t>
      </w:r>
      <w:r w:rsidR="00252EA8" w:rsidRPr="00F64CC8">
        <w:rPr>
          <w:b w:val="0"/>
          <w:bCs w:val="0"/>
          <w:sz w:val="22"/>
          <w:szCs w:val="22"/>
          <w:lang w:val="es-ES"/>
        </w:rPr>
        <w:t xml:space="preserve"> </w:t>
      </w:r>
      <w:r w:rsidR="00851690" w:rsidRPr="00F64CC8">
        <w:rPr>
          <w:b w:val="0"/>
          <w:bCs w:val="0"/>
          <w:sz w:val="22"/>
          <w:szCs w:val="22"/>
          <w:lang w:val="es-ES"/>
        </w:rPr>
        <w:t>DE</w:t>
      </w:r>
      <w:r w:rsidR="00252EA8" w:rsidRPr="00F64CC8">
        <w:rPr>
          <w:b w:val="0"/>
          <w:bCs w:val="0"/>
          <w:sz w:val="22"/>
          <w:szCs w:val="22"/>
          <w:lang w:val="es-ES"/>
        </w:rPr>
        <w:t xml:space="preserve"> </w:t>
      </w:r>
      <w:r w:rsidR="00851690" w:rsidRPr="00F64CC8">
        <w:rPr>
          <w:b w:val="0"/>
          <w:bCs w:val="0"/>
          <w:sz w:val="22"/>
          <w:szCs w:val="22"/>
          <w:lang w:val="es-ES"/>
        </w:rPr>
        <w:t xml:space="preserve">LOS </w:t>
      </w:r>
      <w:r w:rsidRPr="00F64CC8">
        <w:rPr>
          <w:b w:val="0"/>
          <w:bCs w:val="0"/>
          <w:sz w:val="22"/>
          <w:szCs w:val="22"/>
          <w:lang w:val="es-ES"/>
        </w:rPr>
        <w:t>ESTADOS PARTE</w:t>
      </w:r>
      <w:r w:rsidR="005C2034" w:rsidRPr="00F64CC8">
        <w:rPr>
          <w:b w:val="0"/>
          <w:bCs w:val="0"/>
          <w:sz w:val="22"/>
          <w:szCs w:val="22"/>
          <w:lang w:val="es-ES"/>
        </w:rPr>
        <w:br/>
      </w:r>
      <w:r w:rsidRPr="00F64CC8">
        <w:rPr>
          <w:b w:val="0"/>
          <w:bCs w:val="0"/>
          <w:sz w:val="22"/>
          <w:szCs w:val="22"/>
          <w:lang w:val="es-ES"/>
        </w:rPr>
        <w:t>DE LA CONVENCIÓN INTERAMERICANA CONTRA EL TERRORISMO</w:t>
      </w:r>
    </w:p>
    <w:p w14:paraId="029B6138" w14:textId="77777777" w:rsidR="005C2034" w:rsidRPr="00F64CC8" w:rsidRDefault="005C2034" w:rsidP="00F64CC8">
      <w:pPr>
        <w:widowControl/>
        <w:rPr>
          <w:bCs/>
          <w:sz w:val="22"/>
          <w:szCs w:val="22"/>
          <w:lang w:val="es-ES"/>
        </w:rPr>
      </w:pPr>
    </w:p>
    <w:p w14:paraId="5E9B7468" w14:textId="77777777" w:rsidR="00473030" w:rsidRPr="001F2D5E" w:rsidRDefault="00473030" w:rsidP="00473030">
      <w:pPr>
        <w:jc w:val="center"/>
        <w:rPr>
          <w:snapToGrid w:val="0"/>
          <w:sz w:val="22"/>
          <w:szCs w:val="22"/>
          <w:lang w:val="es-US"/>
        </w:rPr>
      </w:pPr>
      <w:r w:rsidRPr="001F2D5E">
        <w:rPr>
          <w:snapToGrid w:val="0"/>
          <w:sz w:val="22"/>
          <w:szCs w:val="22"/>
          <w:lang w:val="es-US"/>
        </w:rPr>
        <w:t>(Aprobado durante la reunión celebrada el 12 de septiembre de 2022)</w:t>
      </w:r>
    </w:p>
    <w:p w14:paraId="359F452C" w14:textId="77777777" w:rsidR="005C2034" w:rsidRPr="00473030" w:rsidRDefault="005C2034" w:rsidP="00F64CC8">
      <w:pPr>
        <w:widowControl/>
        <w:rPr>
          <w:sz w:val="22"/>
          <w:szCs w:val="22"/>
          <w:lang w:val="es-US"/>
        </w:rPr>
      </w:pPr>
    </w:p>
    <w:p w14:paraId="3F4CEA4F" w14:textId="77777777" w:rsidR="00FD624F" w:rsidRPr="00F64CC8" w:rsidRDefault="00FD624F" w:rsidP="00F64CC8">
      <w:pPr>
        <w:widowControl/>
        <w:rPr>
          <w:sz w:val="22"/>
          <w:szCs w:val="22"/>
          <w:lang w:val="es-ES"/>
        </w:rPr>
      </w:pPr>
    </w:p>
    <w:p w14:paraId="7AE1B9C9" w14:textId="6F4CD3CD" w:rsidR="005C2034" w:rsidRPr="00F64CC8" w:rsidRDefault="005F40D1" w:rsidP="00F64CC8">
      <w:pPr>
        <w:pStyle w:val="Heading1"/>
        <w:widowControl/>
        <w:rPr>
          <w:b w:val="0"/>
          <w:bCs w:val="0"/>
          <w:sz w:val="22"/>
          <w:szCs w:val="22"/>
          <w:lang w:val="es-ES"/>
        </w:rPr>
      </w:pPr>
      <w:r w:rsidRPr="00F64CC8">
        <w:rPr>
          <w:b w:val="0"/>
          <w:bCs w:val="0"/>
          <w:sz w:val="22"/>
          <w:szCs w:val="22"/>
          <w:lang w:val="es-ES"/>
        </w:rPr>
        <w:t>CAPÍTULO</w:t>
      </w:r>
      <w:r w:rsidR="005C2034" w:rsidRPr="00F64CC8">
        <w:rPr>
          <w:b w:val="0"/>
          <w:bCs w:val="0"/>
          <w:sz w:val="22"/>
          <w:szCs w:val="22"/>
          <w:lang w:val="es-ES"/>
        </w:rPr>
        <w:t xml:space="preserve"> I</w:t>
      </w:r>
    </w:p>
    <w:p w14:paraId="40A13DAB" w14:textId="0AE98A0E" w:rsidR="005C2034" w:rsidRPr="00F64CC8" w:rsidRDefault="005C2034" w:rsidP="00F64CC8">
      <w:pPr>
        <w:widowControl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NATUR</w:t>
      </w:r>
      <w:r w:rsidR="005F40D1" w:rsidRPr="00F64CC8">
        <w:rPr>
          <w:sz w:val="22"/>
          <w:szCs w:val="22"/>
          <w:lang w:val="es-ES"/>
        </w:rPr>
        <w:t>ALEZA Y PROPÓSITO DE LA REUNIÓN DE CONSULTA</w:t>
      </w:r>
    </w:p>
    <w:p w14:paraId="04C7A776" w14:textId="77777777" w:rsidR="005C2034" w:rsidRPr="00F64CC8" w:rsidRDefault="005C2034" w:rsidP="00F64CC8">
      <w:pPr>
        <w:widowControl/>
        <w:jc w:val="both"/>
        <w:rPr>
          <w:sz w:val="22"/>
          <w:szCs w:val="22"/>
          <w:lang w:val="es-ES"/>
        </w:rPr>
      </w:pPr>
    </w:p>
    <w:p w14:paraId="7A700147" w14:textId="624939FE" w:rsidR="005C2034" w:rsidRPr="00F64CC8" w:rsidRDefault="005F40D1" w:rsidP="00F64CC8">
      <w:pPr>
        <w:pStyle w:val="Heading2"/>
        <w:widowControl/>
        <w:rPr>
          <w:b w:val="0"/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Artículo</w:t>
      </w:r>
      <w:r w:rsidR="005C2034" w:rsidRPr="00F64CC8">
        <w:rPr>
          <w:sz w:val="22"/>
          <w:szCs w:val="22"/>
          <w:lang w:val="es-ES"/>
        </w:rPr>
        <w:t xml:space="preserve"> 1</w:t>
      </w:r>
    </w:p>
    <w:p w14:paraId="35EDEF77" w14:textId="77777777" w:rsidR="005C2034" w:rsidRPr="00F64CC8" w:rsidRDefault="005C2034" w:rsidP="00F64CC8">
      <w:pPr>
        <w:widowControl/>
        <w:jc w:val="both"/>
        <w:rPr>
          <w:sz w:val="22"/>
          <w:szCs w:val="22"/>
          <w:lang w:val="es-ES"/>
        </w:rPr>
      </w:pPr>
    </w:p>
    <w:p w14:paraId="040866A6" w14:textId="735DB514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5F40D1" w:rsidRPr="00F64CC8">
        <w:rPr>
          <w:sz w:val="22"/>
          <w:szCs w:val="22"/>
          <w:lang w:val="es-ES"/>
        </w:rPr>
        <w:t>Los Estados Parte</w:t>
      </w:r>
      <w:r w:rsidR="009C5325" w:rsidRPr="00F64CC8">
        <w:rPr>
          <w:sz w:val="22"/>
          <w:szCs w:val="22"/>
          <w:lang w:val="es-ES"/>
        </w:rPr>
        <w:t xml:space="preserve"> </w:t>
      </w:r>
      <w:r w:rsidR="004543AD" w:rsidRPr="00F64CC8">
        <w:rPr>
          <w:sz w:val="22"/>
          <w:szCs w:val="22"/>
          <w:lang w:val="es-ES"/>
        </w:rPr>
        <w:t xml:space="preserve">de </w:t>
      </w:r>
      <w:r w:rsidR="005F40D1" w:rsidRPr="00F64CC8">
        <w:rPr>
          <w:sz w:val="22"/>
          <w:szCs w:val="22"/>
          <w:lang w:val="es-ES"/>
        </w:rPr>
        <w:t>la Convención Interamericana contra el Terrorismo</w:t>
      </w:r>
      <w:r w:rsidR="009C5325" w:rsidRPr="00F64CC8">
        <w:rPr>
          <w:sz w:val="22"/>
          <w:szCs w:val="22"/>
          <w:lang w:val="es-ES"/>
        </w:rPr>
        <w:t xml:space="preserve"> (“</w:t>
      </w:r>
      <w:r w:rsidR="005F40D1" w:rsidRPr="00F64CC8">
        <w:rPr>
          <w:sz w:val="22"/>
          <w:szCs w:val="22"/>
          <w:lang w:val="es-ES"/>
        </w:rPr>
        <w:t>la Convención</w:t>
      </w:r>
      <w:r w:rsidR="009C5325" w:rsidRPr="00F64CC8">
        <w:rPr>
          <w:sz w:val="22"/>
          <w:szCs w:val="22"/>
          <w:lang w:val="es-ES"/>
        </w:rPr>
        <w:t>”)</w:t>
      </w:r>
      <w:r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celebrarán reuniones periódicas de consulta</w:t>
      </w:r>
      <w:r w:rsidR="00252EA8" w:rsidRPr="00F64CC8">
        <w:rPr>
          <w:sz w:val="22"/>
          <w:szCs w:val="22"/>
          <w:lang w:val="es-ES"/>
        </w:rPr>
        <w:t xml:space="preserve"> (</w:t>
      </w:r>
      <w:r w:rsidR="008A2F26" w:rsidRPr="00F64CC8">
        <w:rPr>
          <w:sz w:val="22"/>
          <w:szCs w:val="22"/>
          <w:lang w:val="es-ES"/>
        </w:rPr>
        <w:t>la</w:t>
      </w:r>
      <w:r w:rsidR="00252EA8" w:rsidRPr="00F64CC8">
        <w:rPr>
          <w:sz w:val="22"/>
          <w:szCs w:val="22"/>
          <w:lang w:val="es-ES"/>
        </w:rPr>
        <w:t xml:space="preserve"> “</w:t>
      </w:r>
      <w:r w:rsidR="005F40D1" w:rsidRPr="00F64CC8">
        <w:rPr>
          <w:sz w:val="22"/>
          <w:szCs w:val="22"/>
          <w:lang w:val="es-ES"/>
        </w:rPr>
        <w:t>Reunión de Consulta</w:t>
      </w:r>
      <w:r w:rsidR="00252EA8" w:rsidRPr="00F64CC8">
        <w:rPr>
          <w:sz w:val="22"/>
          <w:szCs w:val="22"/>
          <w:lang w:val="es-ES"/>
        </w:rPr>
        <w:t xml:space="preserve">”) </w:t>
      </w:r>
      <w:r w:rsidR="008A2F26" w:rsidRPr="00F64CC8">
        <w:rPr>
          <w:sz w:val="22"/>
          <w:szCs w:val="22"/>
          <w:lang w:val="es-ES"/>
        </w:rPr>
        <w:t>de conformidad con el</w:t>
      </w:r>
      <w:r w:rsidR="005F40D1" w:rsidRPr="00F64CC8">
        <w:rPr>
          <w:sz w:val="22"/>
          <w:szCs w:val="22"/>
          <w:lang w:val="es-ES"/>
        </w:rPr>
        <w:t xml:space="preserve"> artículo</w:t>
      </w:r>
      <w:r w:rsidR="00E81558" w:rsidRPr="00F64CC8">
        <w:rPr>
          <w:sz w:val="22"/>
          <w:szCs w:val="22"/>
          <w:lang w:val="es-ES"/>
        </w:rPr>
        <w:t xml:space="preserve"> 18 </w:t>
      </w:r>
      <w:r w:rsidR="008A2F26" w:rsidRPr="00F64CC8">
        <w:rPr>
          <w:sz w:val="22"/>
          <w:szCs w:val="22"/>
          <w:lang w:val="es-ES"/>
        </w:rPr>
        <w:t>de la Convención</w:t>
      </w:r>
      <w:r w:rsidRPr="00F64CC8">
        <w:rPr>
          <w:sz w:val="22"/>
          <w:szCs w:val="22"/>
          <w:lang w:val="es-ES"/>
        </w:rPr>
        <w:t>.</w:t>
      </w:r>
    </w:p>
    <w:p w14:paraId="5156AD8B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054C9307" w14:textId="223B69FB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2</w:t>
      </w:r>
    </w:p>
    <w:p w14:paraId="65B12BBD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58E7D457" w14:textId="5E83AAEE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8A2F26" w:rsidRPr="00F64CC8">
        <w:rPr>
          <w:sz w:val="22"/>
          <w:szCs w:val="22"/>
          <w:lang w:val="es-ES"/>
        </w:rPr>
        <w:t xml:space="preserve">El propósito de </w:t>
      </w:r>
      <w:r w:rsidR="005F40D1" w:rsidRPr="00F64CC8">
        <w:rPr>
          <w:sz w:val="22"/>
          <w:szCs w:val="22"/>
          <w:lang w:val="es-ES"/>
        </w:rPr>
        <w:t>la Reunión de Consulta</w:t>
      </w:r>
      <w:r w:rsidR="001050F8" w:rsidRPr="00F64CC8">
        <w:rPr>
          <w:sz w:val="22"/>
          <w:szCs w:val="22"/>
          <w:lang w:val="es-ES"/>
        </w:rPr>
        <w:t xml:space="preserve"> </w:t>
      </w:r>
      <w:r w:rsidR="008A2F26" w:rsidRPr="00F64CC8">
        <w:rPr>
          <w:sz w:val="22"/>
          <w:szCs w:val="22"/>
          <w:lang w:val="es-ES"/>
        </w:rPr>
        <w:t xml:space="preserve">es facilitar las funciones establecidas en el </w:t>
      </w:r>
      <w:r w:rsidR="005F40D1" w:rsidRPr="00F64CC8">
        <w:rPr>
          <w:sz w:val="22"/>
          <w:szCs w:val="22"/>
          <w:lang w:val="es-ES"/>
        </w:rPr>
        <w:t>artículo</w:t>
      </w:r>
      <w:r w:rsidR="007153F3" w:rsidRPr="00F64CC8">
        <w:rPr>
          <w:sz w:val="22"/>
          <w:szCs w:val="22"/>
          <w:lang w:val="es-ES"/>
        </w:rPr>
        <w:t xml:space="preserve"> 3 </w:t>
      </w:r>
      <w:r w:rsidR="008A2F26" w:rsidRPr="00F64CC8">
        <w:rPr>
          <w:sz w:val="22"/>
          <w:szCs w:val="22"/>
          <w:lang w:val="es-ES"/>
        </w:rPr>
        <w:t>del presente</w:t>
      </w:r>
      <w:r w:rsidR="007153F3" w:rsidRPr="00F64CC8">
        <w:rPr>
          <w:sz w:val="22"/>
          <w:szCs w:val="22"/>
          <w:lang w:val="es-ES"/>
        </w:rPr>
        <w:t xml:space="preserve"> </w:t>
      </w:r>
      <w:r w:rsidR="008A2F26" w:rsidRPr="00F64CC8">
        <w:rPr>
          <w:sz w:val="22"/>
          <w:szCs w:val="22"/>
          <w:lang w:val="es-ES"/>
        </w:rPr>
        <w:t>Reglamento</w:t>
      </w:r>
      <w:r w:rsidR="00252EA8" w:rsidRPr="00F64CC8">
        <w:rPr>
          <w:sz w:val="22"/>
          <w:szCs w:val="22"/>
          <w:lang w:val="es-ES"/>
        </w:rPr>
        <w:t xml:space="preserve">. </w:t>
      </w:r>
    </w:p>
    <w:p w14:paraId="50C9EFE9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6E05A378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695D2D06" w14:textId="020D0EC5" w:rsidR="005C2034" w:rsidRPr="00F64CC8" w:rsidRDefault="005F40D1" w:rsidP="00F64CC8">
      <w:pPr>
        <w:pStyle w:val="BodyTextIndent"/>
        <w:widowControl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CAPÍTULO</w:t>
      </w:r>
      <w:r w:rsidR="005C2034" w:rsidRPr="00F64CC8">
        <w:rPr>
          <w:sz w:val="22"/>
          <w:szCs w:val="22"/>
          <w:lang w:val="es-ES"/>
        </w:rPr>
        <w:t xml:space="preserve"> II</w:t>
      </w:r>
    </w:p>
    <w:p w14:paraId="369537E4" w14:textId="73549A0D" w:rsidR="005C2034" w:rsidRPr="00F64CC8" w:rsidRDefault="005C2034" w:rsidP="00F64CC8">
      <w:pPr>
        <w:pStyle w:val="BodyTextIndent"/>
        <w:widowControl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FUNCION</w:t>
      </w:r>
      <w:r w:rsidR="008A2F26" w:rsidRPr="00F64CC8">
        <w:rPr>
          <w:sz w:val="22"/>
          <w:szCs w:val="22"/>
          <w:lang w:val="es-ES"/>
        </w:rPr>
        <w:t>E</w:t>
      </w:r>
      <w:r w:rsidRPr="00F64CC8">
        <w:rPr>
          <w:sz w:val="22"/>
          <w:szCs w:val="22"/>
          <w:lang w:val="es-ES"/>
        </w:rPr>
        <w:t>S</w:t>
      </w:r>
    </w:p>
    <w:p w14:paraId="158DF135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016B4DC2" w14:textId="09189ED4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3</w:t>
      </w:r>
    </w:p>
    <w:p w14:paraId="0C92B43E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73195ACE" w14:textId="71987750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8A2F26" w:rsidRPr="00F64CC8">
        <w:rPr>
          <w:sz w:val="22"/>
          <w:szCs w:val="22"/>
          <w:lang w:val="es-ES"/>
        </w:rPr>
        <w:t xml:space="preserve">A fin de cumplir su propósito, </w:t>
      </w:r>
      <w:r w:rsidR="005F40D1" w:rsidRPr="00F64CC8">
        <w:rPr>
          <w:sz w:val="22"/>
          <w:szCs w:val="22"/>
          <w:lang w:val="es-ES"/>
        </w:rPr>
        <w:t>la Reunión de Consulta</w:t>
      </w:r>
      <w:r w:rsidRPr="00F64CC8">
        <w:rPr>
          <w:sz w:val="22"/>
          <w:szCs w:val="22"/>
          <w:lang w:val="es-ES"/>
        </w:rPr>
        <w:t xml:space="preserve"> </w:t>
      </w:r>
      <w:r w:rsidR="008A2F26" w:rsidRPr="00F64CC8">
        <w:rPr>
          <w:sz w:val="22"/>
          <w:szCs w:val="22"/>
          <w:lang w:val="es-ES"/>
        </w:rPr>
        <w:t xml:space="preserve">tendrá las siguientes funciones, en consonancia con el </w:t>
      </w:r>
      <w:r w:rsidR="005F40D1" w:rsidRPr="00F64CC8">
        <w:rPr>
          <w:sz w:val="22"/>
          <w:szCs w:val="22"/>
          <w:lang w:val="es-ES"/>
        </w:rPr>
        <w:t>artículo</w:t>
      </w:r>
      <w:r w:rsidR="00E81558" w:rsidRPr="00F64CC8">
        <w:rPr>
          <w:sz w:val="22"/>
          <w:szCs w:val="22"/>
          <w:lang w:val="es-ES"/>
        </w:rPr>
        <w:t xml:space="preserve"> 18</w:t>
      </w:r>
      <w:r w:rsidR="008A2F26" w:rsidRPr="00F64CC8">
        <w:rPr>
          <w:sz w:val="22"/>
          <w:szCs w:val="22"/>
          <w:lang w:val="es-ES"/>
        </w:rPr>
        <w:t>.</w:t>
      </w:r>
      <w:r w:rsidR="00BE7FDB" w:rsidRPr="00F64CC8">
        <w:rPr>
          <w:sz w:val="22"/>
          <w:szCs w:val="22"/>
          <w:lang w:val="es-ES"/>
        </w:rPr>
        <w:t>1</w:t>
      </w:r>
      <w:r w:rsidR="008A2F26" w:rsidRPr="00F64CC8">
        <w:rPr>
          <w:sz w:val="22"/>
          <w:szCs w:val="22"/>
          <w:lang w:val="es-ES"/>
        </w:rPr>
        <w:t xml:space="preserve"> de</w:t>
      </w:r>
      <w:r w:rsidR="00E81558"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Convención</w:t>
      </w:r>
      <w:r w:rsidRPr="00F64CC8">
        <w:rPr>
          <w:sz w:val="22"/>
          <w:szCs w:val="22"/>
          <w:lang w:val="es-ES"/>
        </w:rPr>
        <w:t>:</w:t>
      </w:r>
    </w:p>
    <w:p w14:paraId="2EBD8397" w14:textId="77777777" w:rsidR="00E81558" w:rsidRPr="00F64CC8" w:rsidRDefault="00E81558" w:rsidP="00F64CC8">
      <w:pPr>
        <w:pStyle w:val="BodyTextIndent"/>
        <w:widowControl/>
        <w:rPr>
          <w:sz w:val="22"/>
          <w:szCs w:val="22"/>
          <w:lang w:val="es-ES"/>
        </w:rPr>
      </w:pPr>
    </w:p>
    <w:p w14:paraId="376E058F" w14:textId="1A59373F" w:rsidR="00E81558" w:rsidRPr="00F64CC8" w:rsidRDefault="008A2F26" w:rsidP="00F64CC8">
      <w:pPr>
        <w:pStyle w:val="BodyTextIndent"/>
        <w:widowControl/>
        <w:numPr>
          <w:ilvl w:val="0"/>
          <w:numId w:val="15"/>
        </w:numPr>
        <w:ind w:left="1440" w:hanging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la plena implementación de</w:t>
      </w:r>
      <w:r w:rsidR="00E81558"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Convención</w:t>
      </w:r>
      <w:r w:rsidR="00E81558" w:rsidRPr="00F64CC8">
        <w:rPr>
          <w:sz w:val="22"/>
          <w:szCs w:val="22"/>
          <w:lang w:val="es-ES"/>
        </w:rPr>
        <w:t xml:space="preserve">, </w:t>
      </w:r>
      <w:r w:rsidRPr="00F64CC8">
        <w:rPr>
          <w:sz w:val="22"/>
          <w:szCs w:val="22"/>
          <w:lang w:val="es-ES"/>
        </w:rPr>
        <w:t>incluida la consideración de asuntos de interés relacionados con ella identificados por los Estados Parte</w:t>
      </w:r>
      <w:r w:rsidR="004543AD" w:rsidRPr="00F64CC8">
        <w:rPr>
          <w:sz w:val="22"/>
          <w:szCs w:val="22"/>
          <w:lang w:val="es-ES"/>
        </w:rPr>
        <w:t>,</w:t>
      </w:r>
      <w:r w:rsidRPr="00F64CC8">
        <w:rPr>
          <w:sz w:val="22"/>
          <w:szCs w:val="22"/>
          <w:lang w:val="es-ES"/>
        </w:rPr>
        <w:t xml:space="preserve"> y</w:t>
      </w:r>
      <w:r w:rsidR="00E81558" w:rsidRPr="00F64CC8">
        <w:rPr>
          <w:sz w:val="22"/>
          <w:szCs w:val="22"/>
          <w:lang w:val="es-ES"/>
        </w:rPr>
        <w:t xml:space="preserve"> </w:t>
      </w:r>
    </w:p>
    <w:p w14:paraId="12D8004A" w14:textId="031E5F71" w:rsidR="00E81558" w:rsidRPr="00F64CC8" w:rsidRDefault="008A2F26" w:rsidP="00F64CC8">
      <w:pPr>
        <w:pStyle w:val="BodyTextIndent"/>
        <w:widowControl/>
        <w:numPr>
          <w:ilvl w:val="0"/>
          <w:numId w:val="15"/>
        </w:numPr>
        <w:ind w:left="1440" w:hanging="720"/>
        <w:rPr>
          <w:sz w:val="22"/>
          <w:szCs w:val="22"/>
          <w:lang w:val="es-ES"/>
        </w:rPr>
      </w:pPr>
      <w:r w:rsidRPr="00F64CC8">
        <w:rPr>
          <w:sz w:val="22"/>
          <w:szCs w:val="22"/>
        </w:rPr>
        <w:t>el intercambio de información y experiencias sobre formas y métodos efectivos para prevenir, detectar, investigar y sancionar el terrorismo.</w:t>
      </w:r>
    </w:p>
    <w:p w14:paraId="038FD959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4091E33B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37C7153E" w14:textId="6FE7055E" w:rsidR="005C2034" w:rsidRPr="00F64CC8" w:rsidRDefault="005F40D1" w:rsidP="00F64CC8">
      <w:pPr>
        <w:pStyle w:val="BodyTextIndent"/>
        <w:widowControl/>
        <w:ind w:left="360"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CAPÍTULO</w:t>
      </w:r>
      <w:r w:rsidR="005C2034" w:rsidRPr="00F64CC8">
        <w:rPr>
          <w:sz w:val="22"/>
          <w:szCs w:val="22"/>
          <w:lang w:val="es-ES"/>
        </w:rPr>
        <w:t xml:space="preserve"> III</w:t>
      </w:r>
    </w:p>
    <w:p w14:paraId="6B86B7F3" w14:textId="7A6ED507" w:rsidR="005C2034" w:rsidRPr="00F64CC8" w:rsidRDefault="005C2034" w:rsidP="00F64CC8">
      <w:pPr>
        <w:pStyle w:val="BodyTextIndent"/>
        <w:widowControl/>
        <w:ind w:left="360"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COMPOSI</w:t>
      </w:r>
      <w:r w:rsidR="008A2F26" w:rsidRPr="00F64CC8">
        <w:rPr>
          <w:sz w:val="22"/>
          <w:szCs w:val="22"/>
          <w:lang w:val="es-ES"/>
        </w:rPr>
        <w:t xml:space="preserve">CIÓN Y </w:t>
      </w:r>
      <w:r w:rsidRPr="00F64CC8">
        <w:rPr>
          <w:sz w:val="22"/>
          <w:szCs w:val="22"/>
          <w:lang w:val="es-ES"/>
        </w:rPr>
        <w:t>ORGANIZA</w:t>
      </w:r>
      <w:r w:rsidR="008A2F26" w:rsidRPr="00F64CC8">
        <w:rPr>
          <w:sz w:val="22"/>
          <w:szCs w:val="22"/>
          <w:lang w:val="es-ES"/>
        </w:rPr>
        <w:t>CIÓN</w:t>
      </w:r>
    </w:p>
    <w:p w14:paraId="2A4BC99C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3882218A" w14:textId="46E91B41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4</w:t>
      </w:r>
    </w:p>
    <w:p w14:paraId="734D89FD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00B3AD78" w14:textId="46EA05EC" w:rsidR="005C2034" w:rsidRPr="00F64CC8" w:rsidRDefault="005C2034" w:rsidP="00F64CC8">
      <w:pPr>
        <w:pStyle w:val="BodyTextIndent"/>
        <w:widowControl/>
        <w:rPr>
          <w:sz w:val="22"/>
          <w:szCs w:val="22"/>
          <w:u w:val="single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5F40D1" w:rsidRPr="00F64CC8">
        <w:rPr>
          <w:sz w:val="22"/>
          <w:szCs w:val="22"/>
          <w:lang w:val="es-ES"/>
        </w:rPr>
        <w:t>La Reunión de Consulta</w:t>
      </w:r>
      <w:r w:rsidR="00BE7FDB" w:rsidRPr="00F64CC8">
        <w:rPr>
          <w:sz w:val="22"/>
          <w:szCs w:val="22"/>
          <w:lang w:val="es-ES"/>
        </w:rPr>
        <w:t xml:space="preserve"> </w:t>
      </w:r>
      <w:r w:rsidR="007F72EA" w:rsidRPr="00F64CC8">
        <w:rPr>
          <w:sz w:val="22"/>
          <w:szCs w:val="22"/>
          <w:lang w:val="es-ES"/>
        </w:rPr>
        <w:t>estará compuesta por</w:t>
      </w:r>
      <w:r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los Estados Parte</w:t>
      </w:r>
      <w:r w:rsidRPr="00F64CC8">
        <w:rPr>
          <w:sz w:val="22"/>
          <w:szCs w:val="22"/>
          <w:lang w:val="es-ES"/>
        </w:rPr>
        <w:t xml:space="preserve"> </w:t>
      </w:r>
      <w:r w:rsidR="007F72EA" w:rsidRPr="00F64CC8">
        <w:rPr>
          <w:sz w:val="22"/>
          <w:szCs w:val="22"/>
          <w:lang w:val="es-ES"/>
        </w:rPr>
        <w:t>de</w:t>
      </w:r>
      <w:r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Convención</w:t>
      </w:r>
      <w:r w:rsidRPr="00F64CC8">
        <w:rPr>
          <w:sz w:val="22"/>
          <w:szCs w:val="22"/>
          <w:lang w:val="es-ES"/>
        </w:rPr>
        <w:t xml:space="preserve">. </w:t>
      </w:r>
      <w:r w:rsidR="007F72EA" w:rsidRPr="00F64CC8">
        <w:rPr>
          <w:sz w:val="22"/>
          <w:szCs w:val="22"/>
          <w:lang w:val="es-ES"/>
        </w:rPr>
        <w:t>Cada Estado Parte</w:t>
      </w:r>
      <w:r w:rsidRPr="00F64CC8">
        <w:rPr>
          <w:sz w:val="22"/>
          <w:szCs w:val="22"/>
          <w:lang w:val="es-ES"/>
        </w:rPr>
        <w:t xml:space="preserve"> </w:t>
      </w:r>
      <w:r w:rsidR="007F72EA" w:rsidRPr="00F64CC8">
        <w:rPr>
          <w:sz w:val="22"/>
          <w:szCs w:val="22"/>
          <w:lang w:val="es-ES"/>
        </w:rPr>
        <w:t>nombrará un jefe de delegación y los delegados que considere necesarios</w:t>
      </w:r>
      <w:r w:rsidRPr="00F64CC8">
        <w:rPr>
          <w:sz w:val="22"/>
          <w:szCs w:val="22"/>
          <w:lang w:val="es-ES"/>
        </w:rPr>
        <w:t xml:space="preserve">. </w:t>
      </w:r>
    </w:p>
    <w:p w14:paraId="08128021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2C87EA87" w14:textId="77777777" w:rsidR="00FD624F" w:rsidRPr="00F64CC8" w:rsidRDefault="00FD624F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</w:p>
    <w:p w14:paraId="3ED844FF" w14:textId="77777777" w:rsidR="00FD624F" w:rsidRPr="00F64CC8" w:rsidRDefault="00FD624F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</w:p>
    <w:p w14:paraId="48CA39EC" w14:textId="753CF6E2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5</w:t>
      </w:r>
    </w:p>
    <w:p w14:paraId="111CE01A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1BCDFAA6" w14:textId="3B5D8F4B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5F40D1" w:rsidRPr="00F64CC8">
        <w:rPr>
          <w:sz w:val="22"/>
          <w:szCs w:val="22"/>
          <w:lang w:val="es-ES"/>
        </w:rPr>
        <w:t>La Reunión de Consulta</w:t>
      </w:r>
      <w:r w:rsidRPr="00F64CC8">
        <w:rPr>
          <w:sz w:val="22"/>
          <w:szCs w:val="22"/>
          <w:lang w:val="es-ES"/>
        </w:rPr>
        <w:t xml:space="preserve"> </w:t>
      </w:r>
      <w:r w:rsidR="007F72EA" w:rsidRPr="00F64CC8">
        <w:rPr>
          <w:sz w:val="22"/>
          <w:szCs w:val="22"/>
          <w:lang w:val="es-ES"/>
        </w:rPr>
        <w:t xml:space="preserve">tendrá un </w:t>
      </w:r>
      <w:proofErr w:type="gramStart"/>
      <w:r w:rsidR="007F72EA" w:rsidRPr="00F64CC8">
        <w:rPr>
          <w:sz w:val="22"/>
          <w:szCs w:val="22"/>
          <w:lang w:val="es-ES"/>
        </w:rPr>
        <w:t>Presidente</w:t>
      </w:r>
      <w:proofErr w:type="gramEnd"/>
      <w:r w:rsidRPr="00F64CC8">
        <w:rPr>
          <w:sz w:val="22"/>
          <w:szCs w:val="22"/>
          <w:lang w:val="es-ES"/>
        </w:rPr>
        <w:t xml:space="preserve"> </w:t>
      </w:r>
      <w:r w:rsidR="007F72EA" w:rsidRPr="00F64CC8">
        <w:rPr>
          <w:sz w:val="22"/>
          <w:szCs w:val="22"/>
          <w:lang w:val="es-ES"/>
        </w:rPr>
        <w:t>y</w:t>
      </w:r>
      <w:r w:rsidRPr="00F64CC8">
        <w:rPr>
          <w:sz w:val="22"/>
          <w:szCs w:val="22"/>
          <w:lang w:val="es-ES"/>
        </w:rPr>
        <w:t xml:space="preserve"> </w:t>
      </w:r>
      <w:r w:rsidR="004319AF">
        <w:rPr>
          <w:sz w:val="22"/>
          <w:szCs w:val="22"/>
          <w:lang w:val="es-ES"/>
        </w:rPr>
        <w:t xml:space="preserve">un </w:t>
      </w:r>
      <w:r w:rsidR="007F72EA" w:rsidRPr="00F64CC8">
        <w:rPr>
          <w:sz w:val="22"/>
          <w:szCs w:val="22"/>
          <w:lang w:val="es-ES"/>
        </w:rPr>
        <w:t>Vicepresidente</w:t>
      </w:r>
      <w:r w:rsidRPr="00F64CC8">
        <w:rPr>
          <w:sz w:val="22"/>
          <w:szCs w:val="22"/>
          <w:lang w:val="es-ES"/>
        </w:rPr>
        <w:t xml:space="preserve">. </w:t>
      </w:r>
      <w:r w:rsidR="007F72EA" w:rsidRPr="00F64CC8">
        <w:rPr>
          <w:sz w:val="22"/>
          <w:szCs w:val="22"/>
          <w:lang w:val="es-ES"/>
        </w:rPr>
        <w:t xml:space="preserve">El </w:t>
      </w:r>
      <w:proofErr w:type="gramStart"/>
      <w:r w:rsidR="007F72EA" w:rsidRPr="00F64CC8">
        <w:rPr>
          <w:sz w:val="22"/>
          <w:szCs w:val="22"/>
          <w:lang w:val="es-ES"/>
        </w:rPr>
        <w:t>Presidente</w:t>
      </w:r>
      <w:proofErr w:type="gramEnd"/>
      <w:r w:rsidRPr="00F64CC8">
        <w:rPr>
          <w:sz w:val="22"/>
          <w:szCs w:val="22"/>
          <w:lang w:val="es-ES"/>
        </w:rPr>
        <w:t xml:space="preserve"> </w:t>
      </w:r>
      <w:r w:rsidR="007F72EA" w:rsidRPr="00F64CC8">
        <w:rPr>
          <w:sz w:val="22"/>
          <w:szCs w:val="22"/>
          <w:lang w:val="es-ES"/>
        </w:rPr>
        <w:t xml:space="preserve">y </w:t>
      </w:r>
      <w:r w:rsidR="004319AF">
        <w:rPr>
          <w:sz w:val="22"/>
          <w:szCs w:val="22"/>
          <w:lang w:val="es-ES"/>
        </w:rPr>
        <w:t xml:space="preserve">el </w:t>
      </w:r>
      <w:r w:rsidR="007F72EA" w:rsidRPr="00F64CC8">
        <w:rPr>
          <w:sz w:val="22"/>
          <w:szCs w:val="22"/>
          <w:lang w:val="es-ES"/>
        </w:rPr>
        <w:t>Vicepresidente</w:t>
      </w:r>
      <w:r w:rsidRPr="00F64CC8">
        <w:rPr>
          <w:sz w:val="22"/>
          <w:szCs w:val="22"/>
          <w:lang w:val="es-ES"/>
        </w:rPr>
        <w:t xml:space="preserve"> s</w:t>
      </w:r>
      <w:r w:rsidR="007F72EA" w:rsidRPr="00F64CC8">
        <w:rPr>
          <w:sz w:val="22"/>
          <w:szCs w:val="22"/>
          <w:lang w:val="es-ES"/>
        </w:rPr>
        <w:t xml:space="preserve">erán elegidos al comienzo de cada </w:t>
      </w:r>
      <w:r w:rsidR="005F40D1" w:rsidRPr="00F64CC8">
        <w:rPr>
          <w:sz w:val="22"/>
          <w:szCs w:val="22"/>
          <w:lang w:val="es-ES"/>
        </w:rPr>
        <w:t>Reunión de Consulta</w:t>
      </w:r>
      <w:r w:rsidRPr="00F64CC8">
        <w:rPr>
          <w:sz w:val="22"/>
          <w:szCs w:val="22"/>
          <w:lang w:val="es-ES"/>
        </w:rPr>
        <w:t xml:space="preserve">. </w:t>
      </w:r>
    </w:p>
    <w:p w14:paraId="1D3A7DC7" w14:textId="77777777" w:rsidR="004319AF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</w:p>
    <w:p w14:paraId="77BABDA7" w14:textId="6C734567" w:rsidR="005C2034" w:rsidRPr="00F64CC8" w:rsidRDefault="007F72EA" w:rsidP="004319AF">
      <w:pPr>
        <w:pStyle w:val="BodyTextIndent"/>
        <w:widowControl/>
        <w:ind w:firstLine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El Estado Parte</w:t>
      </w:r>
      <w:r w:rsidR="005C2034" w:rsidRPr="00F64CC8">
        <w:rPr>
          <w:sz w:val="22"/>
          <w:szCs w:val="22"/>
          <w:lang w:val="es-ES"/>
        </w:rPr>
        <w:t xml:space="preserve"> ele</w:t>
      </w:r>
      <w:r w:rsidRPr="00F64CC8">
        <w:rPr>
          <w:sz w:val="22"/>
          <w:szCs w:val="22"/>
          <w:lang w:val="es-ES"/>
        </w:rPr>
        <w:t>gido para presidir la Reunión de Consulta</w:t>
      </w:r>
      <w:r w:rsidR="005C2034" w:rsidRPr="00F64CC8">
        <w:rPr>
          <w:sz w:val="22"/>
          <w:szCs w:val="22"/>
          <w:lang w:val="es-ES"/>
        </w:rPr>
        <w:t xml:space="preserve"> </w:t>
      </w:r>
      <w:r w:rsidRPr="00F64CC8">
        <w:rPr>
          <w:sz w:val="22"/>
          <w:szCs w:val="22"/>
          <w:lang w:val="es-ES"/>
        </w:rPr>
        <w:t xml:space="preserve">ocupará ese cargo hasta la </w:t>
      </w:r>
      <w:r w:rsidR="005F40D1" w:rsidRPr="00F64CC8">
        <w:rPr>
          <w:sz w:val="22"/>
          <w:szCs w:val="22"/>
          <w:lang w:val="es-ES"/>
        </w:rPr>
        <w:t>Reunión de Consulta</w:t>
      </w:r>
      <w:r w:rsidRPr="00F64CC8">
        <w:rPr>
          <w:sz w:val="22"/>
          <w:szCs w:val="22"/>
          <w:lang w:val="es-ES"/>
        </w:rPr>
        <w:t xml:space="preserve"> siguiente.</w:t>
      </w:r>
    </w:p>
    <w:p w14:paraId="520AACDF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7E96D4EE" w14:textId="3DD98153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7F72EA" w:rsidRPr="00F64CC8">
        <w:rPr>
          <w:sz w:val="22"/>
          <w:szCs w:val="22"/>
          <w:lang w:val="es-ES"/>
        </w:rPr>
        <w:t xml:space="preserve">Cuando la persona que ejerza la presidencia no pueda asistir a la reunión o a una parte de </w:t>
      </w:r>
      <w:r w:rsidR="004543AD" w:rsidRPr="00F64CC8">
        <w:rPr>
          <w:sz w:val="22"/>
          <w:szCs w:val="22"/>
          <w:lang w:val="es-ES"/>
        </w:rPr>
        <w:t>ell</w:t>
      </w:r>
      <w:r w:rsidR="007F72EA" w:rsidRPr="00F64CC8">
        <w:rPr>
          <w:sz w:val="22"/>
          <w:szCs w:val="22"/>
          <w:lang w:val="es-ES"/>
        </w:rPr>
        <w:t>a</w:t>
      </w:r>
      <w:r w:rsidRPr="00F64CC8">
        <w:rPr>
          <w:sz w:val="22"/>
          <w:szCs w:val="22"/>
          <w:lang w:val="es-ES"/>
        </w:rPr>
        <w:t xml:space="preserve">, </w:t>
      </w:r>
      <w:r w:rsidR="007F72EA" w:rsidRPr="00F64CC8">
        <w:rPr>
          <w:sz w:val="22"/>
          <w:szCs w:val="22"/>
          <w:lang w:val="es-ES"/>
        </w:rPr>
        <w:t xml:space="preserve">el </w:t>
      </w:r>
      <w:proofErr w:type="gramStart"/>
      <w:r w:rsidR="007F72EA" w:rsidRPr="00F64CC8">
        <w:rPr>
          <w:sz w:val="22"/>
          <w:szCs w:val="22"/>
          <w:lang w:val="es-ES"/>
        </w:rPr>
        <w:t>Vicepresidente</w:t>
      </w:r>
      <w:proofErr w:type="gramEnd"/>
      <w:r w:rsidRPr="00F64CC8">
        <w:rPr>
          <w:sz w:val="22"/>
          <w:szCs w:val="22"/>
          <w:lang w:val="es-ES"/>
        </w:rPr>
        <w:t xml:space="preserve"> </w:t>
      </w:r>
      <w:r w:rsidR="000154C8" w:rsidRPr="00F64CC8">
        <w:rPr>
          <w:sz w:val="22"/>
          <w:szCs w:val="22"/>
          <w:lang w:val="es-ES"/>
        </w:rPr>
        <w:t xml:space="preserve">ejercerá las funciones de </w:t>
      </w:r>
      <w:r w:rsidR="007F72EA" w:rsidRPr="00F64CC8">
        <w:rPr>
          <w:sz w:val="22"/>
          <w:szCs w:val="22"/>
          <w:lang w:val="es-ES"/>
        </w:rPr>
        <w:t>Presidente</w:t>
      </w:r>
      <w:r w:rsidR="004319AF">
        <w:rPr>
          <w:sz w:val="22"/>
          <w:szCs w:val="22"/>
          <w:lang w:val="es-ES"/>
        </w:rPr>
        <w:t>.</w:t>
      </w:r>
    </w:p>
    <w:p w14:paraId="7B739A34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1CEFC4E3" w14:textId="15DD8EB5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6</w:t>
      </w:r>
    </w:p>
    <w:p w14:paraId="35610604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6630A137" w14:textId="266DCB1F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0154C8" w:rsidRPr="00F64CC8">
        <w:rPr>
          <w:sz w:val="22"/>
          <w:szCs w:val="22"/>
          <w:lang w:val="es-ES"/>
        </w:rPr>
        <w:t xml:space="preserve">El </w:t>
      </w:r>
      <w:r w:rsidR="007F72EA" w:rsidRPr="00F64CC8">
        <w:rPr>
          <w:sz w:val="22"/>
          <w:szCs w:val="22"/>
          <w:lang w:val="es-ES"/>
        </w:rPr>
        <w:t>Estado Parte</w:t>
      </w:r>
      <w:r w:rsidRPr="00F64CC8">
        <w:rPr>
          <w:sz w:val="22"/>
          <w:szCs w:val="22"/>
          <w:lang w:val="es-ES"/>
        </w:rPr>
        <w:t xml:space="preserve"> </w:t>
      </w:r>
      <w:r w:rsidR="000154C8" w:rsidRPr="00F64CC8">
        <w:rPr>
          <w:sz w:val="22"/>
          <w:szCs w:val="22"/>
          <w:lang w:val="es-ES"/>
        </w:rPr>
        <w:t xml:space="preserve">que </w:t>
      </w:r>
      <w:r w:rsidRPr="00F64CC8">
        <w:rPr>
          <w:sz w:val="22"/>
          <w:szCs w:val="22"/>
          <w:lang w:val="es-ES"/>
        </w:rPr>
        <w:t>presid</w:t>
      </w:r>
      <w:r w:rsidR="000154C8" w:rsidRPr="00F64CC8">
        <w:rPr>
          <w:sz w:val="22"/>
          <w:szCs w:val="22"/>
          <w:lang w:val="es-ES"/>
        </w:rPr>
        <w:t xml:space="preserve">a </w:t>
      </w:r>
      <w:r w:rsidR="005F40D1" w:rsidRPr="00F64CC8">
        <w:rPr>
          <w:sz w:val="22"/>
          <w:szCs w:val="22"/>
          <w:lang w:val="es-ES"/>
        </w:rPr>
        <w:t>la Reunión de Consulta</w:t>
      </w:r>
      <w:r w:rsidRPr="00F64CC8">
        <w:rPr>
          <w:sz w:val="22"/>
          <w:szCs w:val="22"/>
          <w:lang w:val="es-ES"/>
        </w:rPr>
        <w:t xml:space="preserve"> </w:t>
      </w:r>
      <w:r w:rsidR="000154C8" w:rsidRPr="00F64CC8">
        <w:rPr>
          <w:sz w:val="22"/>
          <w:szCs w:val="22"/>
          <w:lang w:val="es-ES"/>
        </w:rPr>
        <w:t>desempeñará las siguientes funciones</w:t>
      </w:r>
      <w:r w:rsidRPr="00F64CC8">
        <w:rPr>
          <w:sz w:val="22"/>
          <w:szCs w:val="22"/>
          <w:lang w:val="es-ES"/>
        </w:rPr>
        <w:t>:</w:t>
      </w:r>
    </w:p>
    <w:p w14:paraId="72A5AC0B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58C625DE" w14:textId="41E9FD97" w:rsidR="005C2034" w:rsidRPr="00F64CC8" w:rsidRDefault="000154C8" w:rsidP="00F64CC8">
      <w:pPr>
        <w:pStyle w:val="BodyTextIndent"/>
        <w:widowControl/>
        <w:numPr>
          <w:ilvl w:val="0"/>
          <w:numId w:val="9"/>
        </w:numPr>
        <w:ind w:left="1440" w:hanging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 xml:space="preserve">organizar </w:t>
      </w:r>
      <w:r w:rsidR="005F40D1" w:rsidRPr="00F64CC8">
        <w:rPr>
          <w:sz w:val="22"/>
          <w:szCs w:val="22"/>
          <w:lang w:val="es-ES"/>
        </w:rPr>
        <w:t>la Reunión de Consulta</w:t>
      </w:r>
      <w:r w:rsidR="005C2034" w:rsidRPr="00F64CC8">
        <w:rPr>
          <w:sz w:val="22"/>
          <w:szCs w:val="22"/>
          <w:lang w:val="es-ES"/>
        </w:rPr>
        <w:t>;</w:t>
      </w:r>
    </w:p>
    <w:p w14:paraId="44A7A9DD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6F2C528F" w14:textId="691FE99E" w:rsidR="005C2034" w:rsidRPr="00F64CC8" w:rsidRDefault="000154C8" w:rsidP="00F64CC8">
      <w:pPr>
        <w:pStyle w:val="BodyTextIndent"/>
        <w:widowControl/>
        <w:numPr>
          <w:ilvl w:val="0"/>
          <w:numId w:val="10"/>
        </w:numPr>
        <w:ind w:left="1440" w:hanging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inaugurar y clausurar las sesiones y dirigir los</w:t>
      </w:r>
      <w:r w:rsidR="005C2034" w:rsidRPr="00F64CC8">
        <w:rPr>
          <w:sz w:val="22"/>
          <w:szCs w:val="22"/>
          <w:lang w:val="es-ES"/>
        </w:rPr>
        <w:t xml:space="preserve"> debates;</w:t>
      </w:r>
    </w:p>
    <w:p w14:paraId="12681889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3E81F87E" w14:textId="439477AA" w:rsidR="005C2034" w:rsidRPr="00F64CC8" w:rsidRDefault="000154C8" w:rsidP="00F64CC8">
      <w:pPr>
        <w:pStyle w:val="BodyTextIndent"/>
        <w:widowControl/>
        <w:numPr>
          <w:ilvl w:val="0"/>
          <w:numId w:val="10"/>
        </w:numPr>
        <w:ind w:left="1440" w:hanging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proponer el proyecto de orden del día de las</w:t>
      </w:r>
      <w:r w:rsidR="005C2034" w:rsidRPr="00F64CC8">
        <w:rPr>
          <w:sz w:val="22"/>
          <w:szCs w:val="22"/>
          <w:lang w:val="es-ES"/>
        </w:rPr>
        <w:t xml:space="preserve"> </w:t>
      </w:r>
      <w:r w:rsidR="007F72EA" w:rsidRPr="00F64CC8">
        <w:rPr>
          <w:sz w:val="22"/>
          <w:szCs w:val="22"/>
          <w:lang w:val="es-ES"/>
        </w:rPr>
        <w:t>reuniones</w:t>
      </w:r>
      <w:r w:rsidR="005C2034" w:rsidRPr="00F64CC8">
        <w:rPr>
          <w:sz w:val="22"/>
          <w:szCs w:val="22"/>
          <w:lang w:val="es-ES"/>
        </w:rPr>
        <w:t xml:space="preserve"> </w:t>
      </w:r>
      <w:r w:rsidRPr="00F64CC8">
        <w:rPr>
          <w:sz w:val="22"/>
          <w:szCs w:val="22"/>
          <w:lang w:val="es-ES"/>
        </w:rPr>
        <w:t>y cualesquiera otros documentos que considere necesarios;</w:t>
      </w:r>
    </w:p>
    <w:p w14:paraId="1B26C082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38B400B0" w14:textId="430F08B8" w:rsidR="005C2034" w:rsidRPr="00F64CC8" w:rsidRDefault="000154C8" w:rsidP="00F64CC8">
      <w:pPr>
        <w:pStyle w:val="BodyTextIndent"/>
        <w:widowControl/>
        <w:numPr>
          <w:ilvl w:val="0"/>
          <w:numId w:val="12"/>
        </w:numPr>
        <w:ind w:left="1440" w:hanging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decidir sobre cuestiones de orden planteadas en el curso de las deliberaciones</w:t>
      </w:r>
      <w:r w:rsidR="005C2034" w:rsidRPr="00F64CC8">
        <w:rPr>
          <w:sz w:val="22"/>
          <w:szCs w:val="22"/>
          <w:lang w:val="es-ES"/>
        </w:rPr>
        <w:t>;</w:t>
      </w:r>
    </w:p>
    <w:p w14:paraId="6C8B2206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30A521F6" w14:textId="744F8585" w:rsidR="005C2034" w:rsidRPr="00F64CC8" w:rsidRDefault="000154C8" w:rsidP="00F64CC8">
      <w:pPr>
        <w:pStyle w:val="BodyTextIndent"/>
        <w:widowControl/>
        <w:numPr>
          <w:ilvl w:val="0"/>
          <w:numId w:val="13"/>
        </w:numPr>
        <w:ind w:left="1440" w:hanging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someter a votación los asuntos debatidos que requieran una decisión y anunciar los resultados</w:t>
      </w:r>
      <w:r w:rsidR="005C2034" w:rsidRPr="00F64CC8">
        <w:rPr>
          <w:sz w:val="22"/>
          <w:szCs w:val="22"/>
          <w:lang w:val="es-ES"/>
        </w:rPr>
        <w:t>;</w:t>
      </w:r>
    </w:p>
    <w:p w14:paraId="4A14B5DB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17916415" w14:textId="1CCB4F82" w:rsidR="005C2034" w:rsidRPr="00F64CC8" w:rsidRDefault="000154C8" w:rsidP="00F64CC8">
      <w:pPr>
        <w:pStyle w:val="BodyTextIndent"/>
        <w:widowControl/>
        <w:numPr>
          <w:ilvl w:val="0"/>
          <w:numId w:val="14"/>
        </w:numPr>
        <w:ind w:left="1440" w:hanging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 xml:space="preserve">cualesquiera otras funciones que le confieran el presente </w:t>
      </w:r>
      <w:r w:rsidR="007F72EA" w:rsidRPr="00F64CC8">
        <w:rPr>
          <w:sz w:val="22"/>
          <w:szCs w:val="22"/>
          <w:lang w:val="es-ES"/>
        </w:rPr>
        <w:t>Reglamento</w:t>
      </w:r>
      <w:r w:rsidR="005C2034" w:rsidRPr="00F64CC8">
        <w:rPr>
          <w:sz w:val="22"/>
          <w:szCs w:val="22"/>
          <w:lang w:val="es-ES"/>
        </w:rPr>
        <w:t xml:space="preserve"> </w:t>
      </w:r>
      <w:r w:rsidRPr="00F64CC8">
        <w:rPr>
          <w:sz w:val="22"/>
          <w:szCs w:val="22"/>
          <w:lang w:val="es-ES"/>
        </w:rPr>
        <w:t>y</w:t>
      </w:r>
      <w:r w:rsidR="005C2034"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Reunión de Consulta</w:t>
      </w:r>
      <w:r w:rsidR="005C2034" w:rsidRPr="00F64CC8">
        <w:rPr>
          <w:sz w:val="22"/>
          <w:szCs w:val="22"/>
          <w:lang w:val="es-ES"/>
        </w:rPr>
        <w:t>.</w:t>
      </w:r>
    </w:p>
    <w:p w14:paraId="3FB94515" w14:textId="77777777" w:rsidR="001050F8" w:rsidRPr="00F64CC8" w:rsidRDefault="001050F8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</w:p>
    <w:p w14:paraId="419C0D19" w14:textId="124D7B3A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7</w:t>
      </w:r>
    </w:p>
    <w:p w14:paraId="1AAF4316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50AD7603" w14:textId="3C82C8F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0154C8" w:rsidRPr="00F64CC8">
        <w:rPr>
          <w:sz w:val="22"/>
          <w:szCs w:val="22"/>
          <w:lang w:val="es-ES"/>
        </w:rPr>
        <w:t>La Secretaría General</w:t>
      </w:r>
      <w:r w:rsidRPr="00F64CC8">
        <w:rPr>
          <w:sz w:val="22"/>
          <w:szCs w:val="22"/>
          <w:lang w:val="es-ES"/>
        </w:rPr>
        <w:t xml:space="preserve"> </w:t>
      </w:r>
      <w:r w:rsidR="000154C8" w:rsidRPr="00F64CC8">
        <w:rPr>
          <w:sz w:val="22"/>
          <w:szCs w:val="22"/>
          <w:lang w:val="es-ES"/>
        </w:rPr>
        <w:t xml:space="preserve">de la </w:t>
      </w:r>
      <w:r w:rsidR="007F72EA" w:rsidRPr="00F64CC8">
        <w:rPr>
          <w:sz w:val="22"/>
          <w:szCs w:val="22"/>
          <w:lang w:val="es-ES"/>
        </w:rPr>
        <w:t>Organización de los Estados Americanos</w:t>
      </w:r>
      <w:r w:rsidRPr="00F64CC8">
        <w:rPr>
          <w:sz w:val="22"/>
          <w:szCs w:val="22"/>
          <w:lang w:val="es-ES"/>
        </w:rPr>
        <w:t xml:space="preserve"> </w:t>
      </w:r>
      <w:r w:rsidR="000154C8" w:rsidRPr="00F64CC8">
        <w:rPr>
          <w:sz w:val="22"/>
          <w:szCs w:val="22"/>
          <w:lang w:val="es-ES"/>
        </w:rPr>
        <w:t xml:space="preserve">proporcionará los servicios de secretaría técnica y </w:t>
      </w:r>
      <w:r w:rsidRPr="00F64CC8">
        <w:rPr>
          <w:sz w:val="22"/>
          <w:szCs w:val="22"/>
          <w:lang w:val="es-ES"/>
        </w:rPr>
        <w:t>administrativ</w:t>
      </w:r>
      <w:r w:rsidR="000154C8" w:rsidRPr="00F64CC8">
        <w:rPr>
          <w:sz w:val="22"/>
          <w:szCs w:val="22"/>
          <w:lang w:val="es-ES"/>
        </w:rPr>
        <w:t xml:space="preserve">a para </w:t>
      </w:r>
      <w:r w:rsidR="005F40D1" w:rsidRPr="00F64CC8">
        <w:rPr>
          <w:sz w:val="22"/>
          <w:szCs w:val="22"/>
          <w:lang w:val="es-ES"/>
        </w:rPr>
        <w:t>la Reunión de Consulta</w:t>
      </w:r>
      <w:r w:rsidR="001050F8" w:rsidRPr="00F64CC8">
        <w:rPr>
          <w:sz w:val="22"/>
          <w:szCs w:val="22"/>
          <w:lang w:val="es-ES"/>
        </w:rPr>
        <w:t>.</w:t>
      </w:r>
      <w:r w:rsidR="007153F3" w:rsidRPr="00F64CC8">
        <w:rPr>
          <w:sz w:val="22"/>
          <w:szCs w:val="22"/>
          <w:lang w:val="es-ES"/>
        </w:rPr>
        <w:t xml:space="preserve"> </w:t>
      </w:r>
      <w:r w:rsidR="000154C8" w:rsidRPr="00F64CC8">
        <w:rPr>
          <w:sz w:val="22"/>
          <w:szCs w:val="22"/>
          <w:lang w:val="es-ES"/>
        </w:rPr>
        <w:t xml:space="preserve">De acuerdo con el </w:t>
      </w:r>
      <w:r w:rsidR="005F40D1" w:rsidRPr="00F64CC8">
        <w:rPr>
          <w:sz w:val="22"/>
          <w:szCs w:val="22"/>
          <w:lang w:val="es-ES"/>
        </w:rPr>
        <w:t>artículo</w:t>
      </w:r>
      <w:r w:rsidR="007153F3" w:rsidRPr="00F64CC8">
        <w:rPr>
          <w:sz w:val="22"/>
          <w:szCs w:val="22"/>
          <w:lang w:val="es-ES"/>
        </w:rPr>
        <w:t xml:space="preserve"> 18</w:t>
      </w:r>
      <w:r w:rsidR="000154C8" w:rsidRPr="00F64CC8">
        <w:rPr>
          <w:sz w:val="22"/>
          <w:szCs w:val="22"/>
          <w:lang w:val="es-ES"/>
        </w:rPr>
        <w:t>.</w:t>
      </w:r>
      <w:r w:rsidR="00BE7FDB" w:rsidRPr="00F64CC8">
        <w:rPr>
          <w:sz w:val="22"/>
          <w:szCs w:val="22"/>
          <w:lang w:val="es-ES"/>
        </w:rPr>
        <w:t>3</w:t>
      </w:r>
      <w:r w:rsidR="000154C8" w:rsidRPr="00F64CC8">
        <w:rPr>
          <w:sz w:val="22"/>
          <w:szCs w:val="22"/>
          <w:lang w:val="es-ES"/>
        </w:rPr>
        <w:t xml:space="preserve"> de </w:t>
      </w:r>
      <w:r w:rsidR="005F40D1" w:rsidRPr="00F64CC8">
        <w:rPr>
          <w:sz w:val="22"/>
          <w:szCs w:val="22"/>
          <w:lang w:val="es-ES"/>
        </w:rPr>
        <w:t>la Convención</w:t>
      </w:r>
      <w:r w:rsidR="007153F3" w:rsidRPr="00F64CC8">
        <w:rPr>
          <w:sz w:val="22"/>
          <w:szCs w:val="22"/>
          <w:lang w:val="es-ES"/>
        </w:rPr>
        <w:t xml:space="preserve">, </w:t>
      </w:r>
      <w:r w:rsidR="005F40D1" w:rsidRPr="00F64CC8">
        <w:rPr>
          <w:sz w:val="22"/>
          <w:szCs w:val="22"/>
          <w:lang w:val="es-ES"/>
        </w:rPr>
        <w:t>los Estados Parte</w:t>
      </w:r>
      <w:r w:rsidR="007153F3" w:rsidRPr="00F64CC8">
        <w:rPr>
          <w:sz w:val="22"/>
          <w:szCs w:val="22"/>
          <w:lang w:val="es-ES"/>
        </w:rPr>
        <w:t xml:space="preserve"> </w:t>
      </w:r>
      <w:r w:rsidR="000154C8" w:rsidRPr="00F64CC8">
        <w:rPr>
          <w:sz w:val="22"/>
          <w:szCs w:val="22"/>
          <w:lang w:val="es-ES"/>
        </w:rPr>
        <w:t>podr</w:t>
      </w:r>
      <w:r w:rsidR="00B77CAD" w:rsidRPr="00F64CC8">
        <w:rPr>
          <w:sz w:val="22"/>
          <w:szCs w:val="22"/>
          <w:lang w:val="es-ES"/>
        </w:rPr>
        <w:t>án</w:t>
      </w:r>
      <w:r w:rsidR="000154C8" w:rsidRPr="00F64CC8">
        <w:rPr>
          <w:sz w:val="22"/>
          <w:szCs w:val="22"/>
          <w:lang w:val="es-ES"/>
        </w:rPr>
        <w:t xml:space="preserve"> solicitar que otros órganos pertinentes de la </w:t>
      </w:r>
      <w:r w:rsidR="007F72EA" w:rsidRPr="00F64CC8">
        <w:rPr>
          <w:sz w:val="22"/>
          <w:szCs w:val="22"/>
          <w:lang w:val="es-ES"/>
        </w:rPr>
        <w:t>Organización de los Estados Americanos</w:t>
      </w:r>
      <w:r w:rsidR="007153F3" w:rsidRPr="00F64CC8">
        <w:rPr>
          <w:sz w:val="22"/>
          <w:szCs w:val="22"/>
          <w:lang w:val="es-ES"/>
        </w:rPr>
        <w:t>, inclu</w:t>
      </w:r>
      <w:r w:rsidR="000154C8" w:rsidRPr="00F64CC8">
        <w:rPr>
          <w:sz w:val="22"/>
          <w:szCs w:val="22"/>
          <w:lang w:val="es-ES"/>
        </w:rPr>
        <w:t xml:space="preserve">ido el </w:t>
      </w:r>
      <w:r w:rsidR="007F72EA" w:rsidRPr="00F64CC8">
        <w:rPr>
          <w:sz w:val="22"/>
          <w:szCs w:val="22"/>
          <w:lang w:val="es-ES"/>
        </w:rPr>
        <w:t>Comité Interamericano contra el Terrorismo</w:t>
      </w:r>
      <w:r w:rsidR="007153F3" w:rsidRPr="00F64CC8">
        <w:rPr>
          <w:sz w:val="22"/>
          <w:szCs w:val="22"/>
          <w:lang w:val="es-ES"/>
        </w:rPr>
        <w:t xml:space="preserve"> (CICTE), </w:t>
      </w:r>
      <w:r w:rsidR="000154C8" w:rsidRPr="00F64CC8">
        <w:rPr>
          <w:sz w:val="22"/>
          <w:szCs w:val="22"/>
          <w:lang w:val="es-ES"/>
        </w:rPr>
        <w:t xml:space="preserve">facilite </w:t>
      </w:r>
      <w:r w:rsidR="007F72EA" w:rsidRPr="00F64CC8">
        <w:rPr>
          <w:sz w:val="22"/>
          <w:szCs w:val="22"/>
          <w:lang w:val="es-ES"/>
        </w:rPr>
        <w:t xml:space="preserve">consultas entre </w:t>
      </w:r>
      <w:r w:rsidR="005F40D1" w:rsidRPr="00F64CC8">
        <w:rPr>
          <w:sz w:val="22"/>
          <w:szCs w:val="22"/>
          <w:lang w:val="es-ES"/>
        </w:rPr>
        <w:t>los Estados Parte</w:t>
      </w:r>
      <w:r w:rsidR="007153F3"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 xml:space="preserve">y provea otras formas de asistencia con respecto a la </w:t>
      </w:r>
      <w:r w:rsidR="007F72EA" w:rsidRPr="00F64CC8">
        <w:rPr>
          <w:sz w:val="22"/>
          <w:szCs w:val="22"/>
          <w:lang w:val="es-ES"/>
        </w:rPr>
        <w:t>implementación</w:t>
      </w:r>
      <w:r w:rsidR="007153F3" w:rsidRPr="00F64CC8">
        <w:rPr>
          <w:sz w:val="22"/>
          <w:szCs w:val="22"/>
          <w:lang w:val="es-ES"/>
        </w:rPr>
        <w:t xml:space="preserve"> </w:t>
      </w:r>
      <w:r w:rsidR="007F72EA" w:rsidRPr="00F64CC8">
        <w:rPr>
          <w:sz w:val="22"/>
          <w:szCs w:val="22"/>
          <w:lang w:val="es-ES"/>
        </w:rPr>
        <w:t>de</w:t>
      </w:r>
      <w:r w:rsidR="007153F3"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Convención</w:t>
      </w:r>
      <w:r w:rsidR="007153F3" w:rsidRPr="00F64CC8">
        <w:rPr>
          <w:sz w:val="22"/>
          <w:szCs w:val="22"/>
          <w:lang w:val="es-ES"/>
        </w:rPr>
        <w:t xml:space="preserve">. </w:t>
      </w:r>
    </w:p>
    <w:p w14:paraId="299534D2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65EF5996" w14:textId="77777777" w:rsidR="00FD624F" w:rsidRPr="00F64CC8" w:rsidRDefault="00FD624F" w:rsidP="00F64CC8">
      <w:pPr>
        <w:pStyle w:val="BodyTextIndent"/>
        <w:widowControl/>
        <w:rPr>
          <w:sz w:val="22"/>
          <w:szCs w:val="22"/>
          <w:lang w:val="es-ES"/>
        </w:rPr>
      </w:pPr>
    </w:p>
    <w:p w14:paraId="37739308" w14:textId="77777777" w:rsidR="00F64CC8" w:rsidRDefault="00F64CC8">
      <w:pPr>
        <w:widowControl/>
        <w:autoSpaceDE/>
        <w:autoSpaceDN/>
        <w:adjustRightInd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br w:type="page"/>
      </w:r>
    </w:p>
    <w:p w14:paraId="2685914F" w14:textId="7AEED523" w:rsidR="005C2034" w:rsidRPr="00F64CC8" w:rsidRDefault="005F40D1" w:rsidP="00F64CC8">
      <w:pPr>
        <w:pStyle w:val="BodyTextIndent"/>
        <w:widowControl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lastRenderedPageBreak/>
        <w:t>CAPÍTULO</w:t>
      </w:r>
      <w:r w:rsidR="005C2034" w:rsidRPr="00F64CC8">
        <w:rPr>
          <w:sz w:val="22"/>
          <w:szCs w:val="22"/>
          <w:lang w:val="es-ES"/>
        </w:rPr>
        <w:t xml:space="preserve"> IV</w:t>
      </w:r>
    </w:p>
    <w:p w14:paraId="6D245D03" w14:textId="01724A8F" w:rsidR="005C2034" w:rsidRPr="00F64CC8" w:rsidRDefault="007F72EA" w:rsidP="00F64CC8">
      <w:pPr>
        <w:pStyle w:val="BodyTextIndent"/>
        <w:widowControl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REUNIONES</w:t>
      </w:r>
    </w:p>
    <w:p w14:paraId="271129B6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5AA18DBF" w14:textId="78241F5A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</w:t>
      </w:r>
      <w:r w:rsidR="00631BF6" w:rsidRPr="00F64CC8">
        <w:rPr>
          <w:b/>
          <w:bCs/>
          <w:sz w:val="22"/>
          <w:szCs w:val="22"/>
          <w:lang w:val="es-ES"/>
        </w:rPr>
        <w:t>8</w:t>
      </w:r>
    </w:p>
    <w:p w14:paraId="02C7B8AC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4304619F" w14:textId="3CCCCB84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B77CAD" w:rsidRPr="00F64CC8">
        <w:rPr>
          <w:sz w:val="22"/>
          <w:szCs w:val="22"/>
          <w:lang w:val="es-ES"/>
        </w:rPr>
        <w:t xml:space="preserve">La acreditación de las delegaciones designadas por </w:t>
      </w:r>
      <w:r w:rsidR="005F40D1" w:rsidRPr="00F64CC8">
        <w:rPr>
          <w:sz w:val="22"/>
          <w:szCs w:val="22"/>
          <w:lang w:val="es-ES"/>
        </w:rPr>
        <w:t>los Estados Parte</w:t>
      </w:r>
      <w:r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>para representarlos en un</w:t>
      </w:r>
      <w:r w:rsidRPr="00F64CC8">
        <w:rPr>
          <w:sz w:val="22"/>
          <w:szCs w:val="22"/>
          <w:lang w:val="es-ES"/>
        </w:rPr>
        <w:t xml:space="preserve">a </w:t>
      </w:r>
      <w:r w:rsidR="005F40D1" w:rsidRPr="00F64CC8">
        <w:rPr>
          <w:sz w:val="22"/>
          <w:szCs w:val="22"/>
          <w:lang w:val="es-ES"/>
        </w:rPr>
        <w:t>Reunión de Consulta</w:t>
      </w:r>
      <w:r w:rsidR="00BE7FDB" w:rsidRPr="00F64CC8">
        <w:rPr>
          <w:sz w:val="22"/>
          <w:szCs w:val="22"/>
          <w:lang w:val="es-ES"/>
        </w:rPr>
        <w:t xml:space="preserve"> </w:t>
      </w:r>
      <w:r w:rsidRPr="00F64CC8">
        <w:rPr>
          <w:sz w:val="22"/>
          <w:szCs w:val="22"/>
          <w:lang w:val="es-ES"/>
        </w:rPr>
        <w:t>s</w:t>
      </w:r>
      <w:r w:rsidR="00B77CAD" w:rsidRPr="00F64CC8">
        <w:rPr>
          <w:sz w:val="22"/>
          <w:szCs w:val="22"/>
          <w:lang w:val="es-ES"/>
        </w:rPr>
        <w:t xml:space="preserve">e efectuará por medio de una notificación por escrito dirigida al </w:t>
      </w:r>
      <w:proofErr w:type="gramStart"/>
      <w:r w:rsidR="00B77CAD" w:rsidRPr="00F64CC8">
        <w:rPr>
          <w:sz w:val="22"/>
          <w:szCs w:val="22"/>
          <w:lang w:val="es-ES"/>
        </w:rPr>
        <w:t>Secretario General</w:t>
      </w:r>
      <w:proofErr w:type="gramEnd"/>
      <w:r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>de</w:t>
      </w:r>
      <w:r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>la OEA</w:t>
      </w:r>
      <w:r w:rsidRPr="00F64CC8">
        <w:rPr>
          <w:sz w:val="22"/>
          <w:szCs w:val="22"/>
          <w:lang w:val="es-ES"/>
        </w:rPr>
        <w:t>.</w:t>
      </w:r>
    </w:p>
    <w:p w14:paraId="3A1D1D8A" w14:textId="77777777" w:rsidR="001A4468" w:rsidRPr="00F64CC8" w:rsidRDefault="001A4468" w:rsidP="00F64CC8">
      <w:pPr>
        <w:pStyle w:val="BodyTextIndent"/>
        <w:widowControl/>
        <w:rPr>
          <w:sz w:val="22"/>
          <w:szCs w:val="22"/>
          <w:lang w:val="es-ES"/>
        </w:rPr>
      </w:pPr>
    </w:p>
    <w:p w14:paraId="20C20F2D" w14:textId="03C8DD0C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</w:t>
      </w:r>
      <w:r w:rsidR="00631BF6" w:rsidRPr="00F64CC8">
        <w:rPr>
          <w:b/>
          <w:bCs/>
          <w:sz w:val="22"/>
          <w:szCs w:val="22"/>
          <w:lang w:val="es-ES"/>
        </w:rPr>
        <w:t>9</w:t>
      </w:r>
    </w:p>
    <w:p w14:paraId="4FCCF814" w14:textId="77777777" w:rsidR="005C2034" w:rsidRPr="00F64CC8" w:rsidRDefault="005C2034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</w:p>
    <w:p w14:paraId="05560317" w14:textId="334530EA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B77CAD" w:rsidRPr="00F64CC8">
        <w:rPr>
          <w:sz w:val="22"/>
          <w:szCs w:val="22"/>
          <w:lang w:val="es-ES"/>
        </w:rPr>
        <w:t>Los proyectos y las propuestas presentados por</w:t>
      </w:r>
      <w:r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los Estados Parte</w:t>
      </w:r>
      <w:r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>para su consideración en una</w:t>
      </w:r>
      <w:r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Reunión de Consulta</w:t>
      </w:r>
      <w:r w:rsidR="00BE7FDB"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 xml:space="preserve">deberán ser recibidos por escrito por la </w:t>
      </w:r>
      <w:r w:rsidR="000154C8" w:rsidRPr="00F64CC8">
        <w:rPr>
          <w:sz w:val="22"/>
          <w:szCs w:val="22"/>
          <w:lang w:val="es-ES"/>
        </w:rPr>
        <w:t>Secretaría General</w:t>
      </w:r>
      <w:r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 xml:space="preserve">de la OEA por lo menos </w:t>
      </w:r>
      <w:r w:rsidRPr="00F64CC8">
        <w:rPr>
          <w:sz w:val="22"/>
          <w:szCs w:val="22"/>
          <w:lang w:val="es-ES"/>
        </w:rPr>
        <w:t>48 ho</w:t>
      </w:r>
      <w:r w:rsidR="00B77CAD" w:rsidRPr="00F64CC8">
        <w:rPr>
          <w:sz w:val="22"/>
          <w:szCs w:val="22"/>
          <w:lang w:val="es-ES"/>
        </w:rPr>
        <w:t>ras antes de la fecha de la reunión respectiva</w:t>
      </w:r>
      <w:r w:rsidRPr="00F64CC8">
        <w:rPr>
          <w:sz w:val="22"/>
          <w:szCs w:val="22"/>
          <w:lang w:val="es-ES"/>
        </w:rPr>
        <w:t xml:space="preserve">. </w:t>
      </w:r>
    </w:p>
    <w:p w14:paraId="4FC14B71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45780FD5" w14:textId="2C198AFE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B77CAD" w:rsidRPr="00F64CC8">
        <w:rPr>
          <w:sz w:val="22"/>
          <w:szCs w:val="22"/>
          <w:lang w:val="es-ES"/>
        </w:rPr>
        <w:t xml:space="preserve">Sin perjuicio de lo que antecede, </w:t>
      </w:r>
      <w:r w:rsidR="005F40D1" w:rsidRPr="00F64CC8">
        <w:rPr>
          <w:sz w:val="22"/>
          <w:szCs w:val="22"/>
          <w:lang w:val="es-ES"/>
        </w:rPr>
        <w:t>la Reunión de Consulta</w:t>
      </w:r>
      <w:r w:rsidR="00BE7FDB"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>podrá autorizar la consideración de proyectos y propuestas que no se hayan presentado por escrito dentro del plazo establecido.</w:t>
      </w:r>
    </w:p>
    <w:p w14:paraId="2A0439CB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7F29EB4C" w14:textId="3A410CE9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1</w:t>
      </w:r>
      <w:r w:rsidR="00631BF6" w:rsidRPr="00F64CC8">
        <w:rPr>
          <w:b/>
          <w:bCs/>
          <w:sz w:val="22"/>
          <w:szCs w:val="22"/>
          <w:lang w:val="es-ES"/>
        </w:rPr>
        <w:t>0</w:t>
      </w:r>
    </w:p>
    <w:p w14:paraId="0634B88D" w14:textId="77777777" w:rsidR="005C2034" w:rsidRPr="00F64CC8" w:rsidRDefault="005C2034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</w:p>
    <w:p w14:paraId="2F98A91A" w14:textId="62665AB2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5F40D1" w:rsidRPr="00F64CC8">
        <w:rPr>
          <w:sz w:val="22"/>
          <w:szCs w:val="22"/>
          <w:lang w:val="es-ES"/>
        </w:rPr>
        <w:t>La Reunión de Consulta</w:t>
      </w:r>
      <w:r w:rsidR="00BE7FDB"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 xml:space="preserve">se celebrará en la Sede de la </w:t>
      </w:r>
      <w:r w:rsidR="000154C8" w:rsidRPr="00F64CC8">
        <w:rPr>
          <w:sz w:val="22"/>
          <w:szCs w:val="22"/>
          <w:lang w:val="es-ES"/>
        </w:rPr>
        <w:t>Secretaría General</w:t>
      </w:r>
      <w:r w:rsidR="00B77CAD" w:rsidRPr="00F64CC8">
        <w:rPr>
          <w:sz w:val="22"/>
          <w:szCs w:val="22"/>
          <w:lang w:val="es-ES"/>
        </w:rPr>
        <w:t xml:space="preserve"> de la OEA, salvo que un </w:t>
      </w:r>
      <w:r w:rsidR="007F72EA" w:rsidRPr="00F64CC8">
        <w:rPr>
          <w:sz w:val="22"/>
          <w:szCs w:val="22"/>
          <w:lang w:val="es-ES"/>
        </w:rPr>
        <w:t>Estado Parte</w:t>
      </w:r>
      <w:r w:rsidRPr="00F64CC8">
        <w:rPr>
          <w:sz w:val="22"/>
          <w:szCs w:val="22"/>
          <w:lang w:val="es-ES"/>
        </w:rPr>
        <w:t xml:space="preserve"> </w:t>
      </w:r>
      <w:r w:rsidR="00B77CAD" w:rsidRPr="00F64CC8">
        <w:rPr>
          <w:sz w:val="22"/>
          <w:szCs w:val="22"/>
          <w:lang w:val="es-ES"/>
        </w:rPr>
        <w:t>se ofrezca a ser el anfitrión</w:t>
      </w:r>
      <w:r w:rsidR="001050F8" w:rsidRPr="00F64CC8">
        <w:rPr>
          <w:sz w:val="22"/>
          <w:szCs w:val="22"/>
          <w:lang w:val="es-ES"/>
        </w:rPr>
        <w:t xml:space="preserve">. </w:t>
      </w:r>
    </w:p>
    <w:p w14:paraId="0E9C26E9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178D71AB" w14:textId="48693343" w:rsidR="005C2034" w:rsidRPr="00F64CC8" w:rsidRDefault="005F40D1" w:rsidP="00F64CC8">
      <w:pPr>
        <w:pStyle w:val="BodyTextIndent"/>
        <w:keepNext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1</w:t>
      </w:r>
      <w:r w:rsidR="00631BF6" w:rsidRPr="00F64CC8">
        <w:rPr>
          <w:b/>
          <w:bCs/>
          <w:sz w:val="22"/>
          <w:szCs w:val="22"/>
          <w:lang w:val="es-ES"/>
        </w:rPr>
        <w:t>1</w:t>
      </w:r>
    </w:p>
    <w:p w14:paraId="284E695D" w14:textId="77777777" w:rsidR="005C2034" w:rsidRPr="00F64CC8" w:rsidRDefault="005C2034" w:rsidP="00F64CC8">
      <w:pPr>
        <w:pStyle w:val="BodyTextIndent"/>
        <w:keepNext/>
        <w:widowControl/>
        <w:rPr>
          <w:sz w:val="22"/>
          <w:szCs w:val="22"/>
          <w:lang w:val="es-ES"/>
        </w:rPr>
      </w:pPr>
    </w:p>
    <w:p w14:paraId="632CF01F" w14:textId="5E71C774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B77CAD" w:rsidRPr="00F64CC8">
        <w:rPr>
          <w:sz w:val="22"/>
          <w:szCs w:val="22"/>
          <w:lang w:val="es-ES"/>
        </w:rPr>
        <w:t xml:space="preserve">El </w:t>
      </w:r>
      <w:r w:rsidRPr="00F64CC8">
        <w:rPr>
          <w:sz w:val="22"/>
          <w:szCs w:val="22"/>
          <w:lang w:val="es-ES"/>
        </w:rPr>
        <w:t>qu</w:t>
      </w:r>
      <w:r w:rsidR="00B77CAD" w:rsidRPr="00F64CC8">
        <w:rPr>
          <w:sz w:val="22"/>
          <w:szCs w:val="22"/>
          <w:lang w:val="es-ES"/>
        </w:rPr>
        <w:t>ó</w:t>
      </w:r>
      <w:r w:rsidRPr="00F64CC8">
        <w:rPr>
          <w:sz w:val="22"/>
          <w:szCs w:val="22"/>
          <w:lang w:val="es-ES"/>
        </w:rPr>
        <w:t xml:space="preserve">rum </w:t>
      </w:r>
      <w:r w:rsidR="00B77CAD" w:rsidRPr="00F64CC8">
        <w:rPr>
          <w:sz w:val="22"/>
          <w:szCs w:val="22"/>
          <w:lang w:val="es-ES"/>
        </w:rPr>
        <w:t xml:space="preserve">para la </w:t>
      </w:r>
      <w:r w:rsidR="005F40D1" w:rsidRPr="00F64CC8">
        <w:rPr>
          <w:sz w:val="22"/>
          <w:szCs w:val="22"/>
          <w:lang w:val="es-ES"/>
        </w:rPr>
        <w:t>Reunión de Consulta</w:t>
      </w:r>
      <w:r w:rsidRPr="00F64CC8">
        <w:rPr>
          <w:sz w:val="22"/>
          <w:szCs w:val="22"/>
          <w:lang w:val="es-ES"/>
        </w:rPr>
        <w:t xml:space="preserve"> s</w:t>
      </w:r>
      <w:r w:rsidR="00012057" w:rsidRPr="00F64CC8">
        <w:rPr>
          <w:sz w:val="22"/>
          <w:szCs w:val="22"/>
          <w:lang w:val="es-ES"/>
        </w:rPr>
        <w:t>erá la mayoría de sus miembros</w:t>
      </w:r>
      <w:r w:rsidRPr="00F64CC8">
        <w:rPr>
          <w:sz w:val="22"/>
          <w:szCs w:val="22"/>
          <w:lang w:val="es-ES"/>
        </w:rPr>
        <w:t>.</w:t>
      </w:r>
    </w:p>
    <w:p w14:paraId="4E04BF36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27284E50" w14:textId="6CD83A39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1</w:t>
      </w:r>
      <w:r w:rsidR="00631BF6" w:rsidRPr="00F64CC8">
        <w:rPr>
          <w:b/>
          <w:bCs/>
          <w:sz w:val="22"/>
          <w:szCs w:val="22"/>
          <w:lang w:val="es-ES"/>
        </w:rPr>
        <w:t>2</w:t>
      </w:r>
    </w:p>
    <w:p w14:paraId="505128C8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549652B4" w14:textId="462EF248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012057" w:rsidRPr="00F64CC8">
        <w:rPr>
          <w:sz w:val="22"/>
          <w:szCs w:val="22"/>
          <w:lang w:val="es-ES"/>
        </w:rPr>
        <w:t>El orden de precedencia de las delegaciones de l</w:t>
      </w:r>
      <w:r w:rsidR="005F40D1" w:rsidRPr="00F64CC8">
        <w:rPr>
          <w:sz w:val="22"/>
          <w:szCs w:val="22"/>
          <w:lang w:val="es-ES"/>
        </w:rPr>
        <w:t>os Estados Parte</w:t>
      </w:r>
      <w:r w:rsidRPr="00F64CC8">
        <w:rPr>
          <w:sz w:val="22"/>
          <w:szCs w:val="22"/>
          <w:lang w:val="es-ES"/>
        </w:rPr>
        <w:t xml:space="preserve"> s</w:t>
      </w:r>
      <w:r w:rsidR="00012057" w:rsidRPr="00F64CC8">
        <w:rPr>
          <w:sz w:val="22"/>
          <w:szCs w:val="22"/>
          <w:lang w:val="es-ES"/>
        </w:rPr>
        <w:t>e establecerá por sorteo durante la reunión preparatoria. Al respecto, se aplicará el orden alfabético de los nombres de los Estados en español</w:t>
      </w:r>
      <w:r w:rsidRPr="00F64CC8">
        <w:rPr>
          <w:sz w:val="22"/>
          <w:szCs w:val="22"/>
          <w:lang w:val="es-ES"/>
        </w:rPr>
        <w:t>.</w:t>
      </w:r>
    </w:p>
    <w:p w14:paraId="25EF9943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73D758F5" w14:textId="7FCF0E27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1</w:t>
      </w:r>
      <w:r w:rsidR="00631BF6" w:rsidRPr="00F64CC8">
        <w:rPr>
          <w:b/>
          <w:bCs/>
          <w:sz w:val="22"/>
          <w:szCs w:val="22"/>
          <w:lang w:val="es-ES"/>
        </w:rPr>
        <w:t>3</w:t>
      </w:r>
    </w:p>
    <w:p w14:paraId="277CA2FF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7385CB01" w14:textId="4B882AD0" w:rsidR="005C2034" w:rsidRPr="00F64CC8" w:rsidRDefault="005C2034" w:rsidP="00F64CC8">
      <w:pPr>
        <w:pStyle w:val="BodyTextIndent"/>
        <w:rPr>
          <w:sz w:val="22"/>
          <w:szCs w:val="22"/>
          <w:shd w:val="clear" w:color="auto" w:fill="00FF00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012057" w:rsidRPr="00F64CC8">
        <w:rPr>
          <w:sz w:val="22"/>
          <w:szCs w:val="22"/>
          <w:lang w:val="es-ES"/>
        </w:rPr>
        <w:t xml:space="preserve">En las </w:t>
      </w:r>
      <w:r w:rsidRPr="00F64CC8">
        <w:rPr>
          <w:sz w:val="22"/>
          <w:szCs w:val="22"/>
          <w:lang w:val="es-ES"/>
        </w:rPr>
        <w:t>delibera</w:t>
      </w:r>
      <w:r w:rsidR="00012057" w:rsidRPr="00F64CC8">
        <w:rPr>
          <w:sz w:val="22"/>
          <w:szCs w:val="22"/>
          <w:lang w:val="es-ES"/>
        </w:rPr>
        <w:t>c</w:t>
      </w:r>
      <w:r w:rsidRPr="00F64CC8">
        <w:rPr>
          <w:sz w:val="22"/>
          <w:szCs w:val="22"/>
          <w:lang w:val="es-ES"/>
        </w:rPr>
        <w:t>ion</w:t>
      </w:r>
      <w:r w:rsidR="00012057" w:rsidRPr="00F64CC8">
        <w:rPr>
          <w:sz w:val="22"/>
          <w:szCs w:val="22"/>
          <w:lang w:val="es-ES"/>
        </w:rPr>
        <w:t>es de</w:t>
      </w:r>
      <w:r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Reunión de Consulta</w:t>
      </w:r>
      <w:r w:rsidRPr="00F64CC8">
        <w:rPr>
          <w:sz w:val="22"/>
          <w:szCs w:val="22"/>
          <w:lang w:val="es-ES"/>
        </w:rPr>
        <w:t xml:space="preserve">, </w:t>
      </w:r>
      <w:r w:rsidR="00012057" w:rsidRPr="00F64CC8">
        <w:rPr>
          <w:sz w:val="22"/>
          <w:szCs w:val="22"/>
          <w:lang w:val="es-ES"/>
        </w:rPr>
        <w:t xml:space="preserve">cada </w:t>
      </w:r>
      <w:r w:rsidR="007F72EA" w:rsidRPr="00F64CC8">
        <w:rPr>
          <w:sz w:val="22"/>
          <w:szCs w:val="22"/>
          <w:lang w:val="es-ES"/>
        </w:rPr>
        <w:t>Estado Parte</w:t>
      </w:r>
      <w:r w:rsidRPr="00F64CC8">
        <w:rPr>
          <w:sz w:val="22"/>
          <w:szCs w:val="22"/>
          <w:lang w:val="es-ES"/>
        </w:rPr>
        <w:t xml:space="preserve"> </w:t>
      </w:r>
      <w:r w:rsidR="00AF0659" w:rsidRPr="00F64CC8">
        <w:rPr>
          <w:sz w:val="22"/>
          <w:szCs w:val="22"/>
          <w:lang w:val="es-ES"/>
        </w:rPr>
        <w:t xml:space="preserve">tendrá un voto. Las decisiones requerirán el voto afirmativo de la mayoría de </w:t>
      </w:r>
      <w:r w:rsidR="005F40D1" w:rsidRPr="00F64CC8">
        <w:rPr>
          <w:sz w:val="22"/>
          <w:szCs w:val="22"/>
          <w:lang w:val="es-ES"/>
        </w:rPr>
        <w:t>los Estados Parte</w:t>
      </w:r>
      <w:r w:rsidRPr="00F64CC8">
        <w:rPr>
          <w:sz w:val="22"/>
          <w:szCs w:val="22"/>
          <w:lang w:val="es-ES"/>
        </w:rPr>
        <w:t xml:space="preserve"> </w:t>
      </w:r>
      <w:r w:rsidR="00AF0659" w:rsidRPr="00F64CC8">
        <w:rPr>
          <w:sz w:val="22"/>
          <w:szCs w:val="22"/>
          <w:lang w:val="es-ES"/>
        </w:rPr>
        <w:t xml:space="preserve">que </w:t>
      </w:r>
      <w:r w:rsidRPr="00F64CC8">
        <w:rPr>
          <w:sz w:val="22"/>
          <w:szCs w:val="22"/>
          <w:lang w:val="es-ES"/>
        </w:rPr>
        <w:t>particip</w:t>
      </w:r>
      <w:r w:rsidR="00AF0659" w:rsidRPr="00F64CC8">
        <w:rPr>
          <w:sz w:val="22"/>
          <w:szCs w:val="22"/>
          <w:lang w:val="es-ES"/>
        </w:rPr>
        <w:t>en e</w:t>
      </w:r>
      <w:r w:rsidRPr="00F64CC8">
        <w:rPr>
          <w:sz w:val="22"/>
          <w:szCs w:val="22"/>
          <w:lang w:val="es-ES"/>
        </w:rPr>
        <w:t xml:space="preserve">n </w:t>
      </w:r>
      <w:r w:rsidR="005F40D1" w:rsidRPr="00F64CC8">
        <w:rPr>
          <w:sz w:val="22"/>
          <w:szCs w:val="22"/>
          <w:lang w:val="es-ES"/>
        </w:rPr>
        <w:t>la Reunión de Consulta</w:t>
      </w:r>
      <w:r w:rsidRPr="00F64CC8">
        <w:rPr>
          <w:sz w:val="22"/>
          <w:szCs w:val="22"/>
          <w:lang w:val="es-ES"/>
        </w:rPr>
        <w:t>, except</w:t>
      </w:r>
      <w:r w:rsidR="00AF0659" w:rsidRPr="00F64CC8">
        <w:rPr>
          <w:sz w:val="22"/>
          <w:szCs w:val="22"/>
          <w:lang w:val="es-ES"/>
        </w:rPr>
        <w:t xml:space="preserve">o por lo dispuesto en el </w:t>
      </w:r>
      <w:r w:rsidR="005F40D1" w:rsidRPr="00F64CC8">
        <w:rPr>
          <w:sz w:val="22"/>
          <w:szCs w:val="22"/>
          <w:lang w:val="es-ES"/>
        </w:rPr>
        <w:t>artículo</w:t>
      </w:r>
      <w:r w:rsidRPr="00F64CC8">
        <w:rPr>
          <w:sz w:val="22"/>
          <w:szCs w:val="22"/>
          <w:lang w:val="es-ES"/>
        </w:rPr>
        <w:t xml:space="preserve"> </w:t>
      </w:r>
      <w:r w:rsidR="00755E31" w:rsidRPr="00F64CC8">
        <w:rPr>
          <w:sz w:val="22"/>
          <w:szCs w:val="22"/>
          <w:lang w:val="es-ES"/>
        </w:rPr>
        <w:t>2</w:t>
      </w:r>
      <w:r w:rsidR="001050F8" w:rsidRPr="00F64CC8">
        <w:rPr>
          <w:sz w:val="22"/>
          <w:szCs w:val="22"/>
          <w:lang w:val="es-ES"/>
        </w:rPr>
        <w:t>0</w:t>
      </w:r>
      <w:r w:rsidRPr="00F64CC8">
        <w:rPr>
          <w:sz w:val="22"/>
          <w:szCs w:val="22"/>
          <w:lang w:val="es-ES"/>
        </w:rPr>
        <w:t xml:space="preserve"> </w:t>
      </w:r>
      <w:r w:rsidR="00AF0659" w:rsidRPr="00F64CC8">
        <w:rPr>
          <w:sz w:val="22"/>
          <w:szCs w:val="22"/>
          <w:lang w:val="es-ES"/>
        </w:rPr>
        <w:t xml:space="preserve">del presente </w:t>
      </w:r>
      <w:r w:rsidR="007F72EA" w:rsidRPr="00F64CC8">
        <w:rPr>
          <w:sz w:val="22"/>
          <w:szCs w:val="22"/>
          <w:lang w:val="es-ES"/>
        </w:rPr>
        <w:t>Reglamento</w:t>
      </w:r>
      <w:r w:rsidRPr="00F64CC8">
        <w:rPr>
          <w:sz w:val="22"/>
          <w:szCs w:val="22"/>
          <w:lang w:val="es-ES"/>
        </w:rPr>
        <w:t>.</w:t>
      </w:r>
    </w:p>
    <w:p w14:paraId="6EC9D24E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4F95FEBC" w14:textId="634242FB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1</w:t>
      </w:r>
      <w:r w:rsidR="00631BF6" w:rsidRPr="00F64CC8">
        <w:rPr>
          <w:b/>
          <w:bCs/>
          <w:sz w:val="22"/>
          <w:szCs w:val="22"/>
          <w:lang w:val="es-ES"/>
        </w:rPr>
        <w:t>4</w:t>
      </w:r>
    </w:p>
    <w:p w14:paraId="485A4AA3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4AEE2EF9" w14:textId="430B6305" w:rsidR="005C2034" w:rsidRPr="00F64CC8" w:rsidRDefault="005C2034" w:rsidP="00F64CC8">
      <w:pPr>
        <w:pStyle w:val="BodyTextIndent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4D35FC" w:rsidRPr="00F64CC8">
        <w:rPr>
          <w:sz w:val="22"/>
          <w:szCs w:val="22"/>
          <w:lang w:val="es-ES"/>
        </w:rPr>
        <w:t xml:space="preserve">Se podrá invitar a Estados que no sean parte de </w:t>
      </w:r>
      <w:r w:rsidR="005F40D1" w:rsidRPr="00F64CC8">
        <w:rPr>
          <w:sz w:val="22"/>
          <w:szCs w:val="22"/>
          <w:lang w:val="es-ES"/>
        </w:rPr>
        <w:t>la Convención</w:t>
      </w:r>
      <w:r w:rsidR="004D35FC" w:rsidRPr="00F64CC8">
        <w:rPr>
          <w:sz w:val="22"/>
          <w:szCs w:val="22"/>
          <w:lang w:val="es-ES"/>
        </w:rPr>
        <w:t xml:space="preserve">, pero que sean miembros de </w:t>
      </w:r>
      <w:r w:rsidR="00B77CAD" w:rsidRPr="00F64CC8">
        <w:rPr>
          <w:sz w:val="22"/>
          <w:szCs w:val="22"/>
          <w:lang w:val="es-ES"/>
        </w:rPr>
        <w:t>la OEA</w:t>
      </w:r>
      <w:r w:rsidR="004D35FC" w:rsidRPr="00F64CC8">
        <w:rPr>
          <w:sz w:val="22"/>
          <w:szCs w:val="22"/>
          <w:lang w:val="es-ES"/>
        </w:rPr>
        <w:t xml:space="preserve">, a asistir a </w:t>
      </w:r>
      <w:r w:rsidR="005F40D1" w:rsidRPr="00F64CC8">
        <w:rPr>
          <w:sz w:val="22"/>
          <w:szCs w:val="22"/>
          <w:lang w:val="es-ES"/>
        </w:rPr>
        <w:t>la Reunión de Consulta</w:t>
      </w:r>
      <w:r w:rsidR="004D35FC" w:rsidRPr="00F64CC8">
        <w:rPr>
          <w:sz w:val="22"/>
          <w:szCs w:val="22"/>
          <w:lang w:val="es-ES"/>
        </w:rPr>
        <w:t xml:space="preserve">, con voz, pero sin voto. Podrán hablar cuando el </w:t>
      </w:r>
      <w:proofErr w:type="gramStart"/>
      <w:r w:rsidR="007F72EA" w:rsidRPr="00F64CC8">
        <w:rPr>
          <w:sz w:val="22"/>
          <w:szCs w:val="22"/>
          <w:lang w:val="es-ES"/>
        </w:rPr>
        <w:t>Presidente</w:t>
      </w:r>
      <w:proofErr w:type="gramEnd"/>
      <w:r w:rsidRPr="00F64CC8">
        <w:rPr>
          <w:sz w:val="22"/>
          <w:szCs w:val="22"/>
          <w:lang w:val="es-ES"/>
        </w:rPr>
        <w:t xml:space="preserve"> </w:t>
      </w:r>
      <w:r w:rsidR="004D35FC" w:rsidRPr="00F64CC8">
        <w:rPr>
          <w:sz w:val="22"/>
          <w:szCs w:val="22"/>
          <w:lang w:val="es-ES"/>
        </w:rPr>
        <w:t>de</w:t>
      </w:r>
      <w:r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Reunión de Consulta</w:t>
      </w:r>
      <w:r w:rsidRPr="00F64CC8">
        <w:rPr>
          <w:sz w:val="22"/>
          <w:szCs w:val="22"/>
          <w:lang w:val="es-ES"/>
        </w:rPr>
        <w:t xml:space="preserve"> </w:t>
      </w:r>
      <w:r w:rsidR="004D35FC" w:rsidRPr="00F64CC8">
        <w:rPr>
          <w:sz w:val="22"/>
          <w:szCs w:val="22"/>
          <w:lang w:val="es-ES"/>
        </w:rPr>
        <w:t>así lo decida.</w:t>
      </w:r>
    </w:p>
    <w:p w14:paraId="2E8CE58B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0CB65611" w14:textId="77777777" w:rsidR="00F64CC8" w:rsidRDefault="00F64CC8">
      <w:pPr>
        <w:widowControl/>
        <w:autoSpaceDE/>
        <w:autoSpaceDN/>
        <w:adjustRightInd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br w:type="page"/>
      </w:r>
    </w:p>
    <w:p w14:paraId="6E4ECC3A" w14:textId="67DC625C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lastRenderedPageBreak/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1</w:t>
      </w:r>
      <w:r w:rsidR="00631BF6" w:rsidRPr="00F64CC8">
        <w:rPr>
          <w:b/>
          <w:bCs/>
          <w:sz w:val="22"/>
          <w:szCs w:val="22"/>
          <w:lang w:val="es-ES"/>
        </w:rPr>
        <w:t>5</w:t>
      </w:r>
    </w:p>
    <w:p w14:paraId="5FFDB8E4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23AAEB5B" w14:textId="486C5536" w:rsidR="005C2034" w:rsidRPr="00F64CC8" w:rsidRDefault="005C2034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AC2F45" w:rsidRPr="00F64CC8">
        <w:rPr>
          <w:sz w:val="22"/>
          <w:szCs w:val="22"/>
          <w:lang w:val="es-ES"/>
        </w:rPr>
        <w:t>L</w:t>
      </w:r>
      <w:r w:rsidR="004D35FC" w:rsidRPr="00F64CC8">
        <w:rPr>
          <w:sz w:val="22"/>
          <w:szCs w:val="22"/>
          <w:lang w:val="es-ES"/>
        </w:rPr>
        <w:t xml:space="preserve">os observadores </w:t>
      </w:r>
      <w:r w:rsidRPr="00F64CC8">
        <w:rPr>
          <w:sz w:val="22"/>
          <w:szCs w:val="22"/>
          <w:lang w:val="es-ES"/>
        </w:rPr>
        <w:t>permanent</w:t>
      </w:r>
      <w:r w:rsidR="004D35FC" w:rsidRPr="00F64CC8">
        <w:rPr>
          <w:sz w:val="22"/>
          <w:szCs w:val="22"/>
          <w:lang w:val="es-ES"/>
        </w:rPr>
        <w:t xml:space="preserve">es de </w:t>
      </w:r>
      <w:r w:rsidR="00B77CAD" w:rsidRPr="00F64CC8">
        <w:rPr>
          <w:sz w:val="22"/>
          <w:szCs w:val="22"/>
          <w:lang w:val="es-ES"/>
        </w:rPr>
        <w:t>la OEA</w:t>
      </w:r>
      <w:r w:rsidRPr="00F64CC8">
        <w:rPr>
          <w:sz w:val="22"/>
          <w:szCs w:val="22"/>
          <w:lang w:val="es-ES"/>
        </w:rPr>
        <w:t xml:space="preserve"> </w:t>
      </w:r>
      <w:r w:rsidR="00AC2F45" w:rsidRPr="00F64CC8">
        <w:rPr>
          <w:sz w:val="22"/>
          <w:szCs w:val="22"/>
          <w:lang w:val="es-ES"/>
        </w:rPr>
        <w:t xml:space="preserve">podrán ser invitados </w:t>
      </w:r>
      <w:r w:rsidR="004D35FC" w:rsidRPr="00F64CC8">
        <w:rPr>
          <w:sz w:val="22"/>
          <w:szCs w:val="22"/>
          <w:lang w:val="es-ES"/>
        </w:rPr>
        <w:t xml:space="preserve">a asistir a </w:t>
      </w:r>
      <w:r w:rsidR="005F40D1" w:rsidRPr="00F64CC8">
        <w:rPr>
          <w:sz w:val="22"/>
          <w:szCs w:val="22"/>
          <w:lang w:val="es-ES"/>
        </w:rPr>
        <w:t>la Reunión de Consulta</w:t>
      </w:r>
      <w:r w:rsidR="001050F8" w:rsidRPr="00F64CC8">
        <w:rPr>
          <w:sz w:val="22"/>
          <w:szCs w:val="22"/>
          <w:lang w:val="es-ES"/>
        </w:rPr>
        <w:t>.</w:t>
      </w:r>
      <w:r w:rsidRPr="00F64CC8">
        <w:rPr>
          <w:sz w:val="22"/>
          <w:szCs w:val="22"/>
          <w:lang w:val="es-ES"/>
        </w:rPr>
        <w:t xml:space="preserve"> </w:t>
      </w:r>
      <w:r w:rsidR="004D35FC" w:rsidRPr="00F64CC8">
        <w:rPr>
          <w:sz w:val="22"/>
          <w:szCs w:val="22"/>
          <w:lang w:val="es-ES"/>
        </w:rPr>
        <w:t xml:space="preserve">Podrán pedir la palabra, y el </w:t>
      </w:r>
      <w:proofErr w:type="gramStart"/>
      <w:r w:rsidR="007F72EA" w:rsidRPr="00F64CC8">
        <w:rPr>
          <w:sz w:val="22"/>
          <w:szCs w:val="22"/>
          <w:lang w:val="es-ES"/>
        </w:rPr>
        <w:t>Presidente</w:t>
      </w:r>
      <w:proofErr w:type="gramEnd"/>
      <w:r w:rsidRPr="00F64CC8">
        <w:rPr>
          <w:sz w:val="22"/>
          <w:szCs w:val="22"/>
          <w:lang w:val="es-ES"/>
        </w:rPr>
        <w:t xml:space="preserve"> </w:t>
      </w:r>
      <w:r w:rsidR="004D35FC" w:rsidRPr="00F64CC8">
        <w:rPr>
          <w:sz w:val="22"/>
          <w:szCs w:val="22"/>
          <w:lang w:val="es-ES"/>
        </w:rPr>
        <w:t>decidirá si la concederá en cada caso.</w:t>
      </w:r>
    </w:p>
    <w:p w14:paraId="5D89CB33" w14:textId="0A454F81" w:rsidR="00FD624F" w:rsidRPr="00F64CC8" w:rsidRDefault="00FD624F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646420B4" w14:textId="77743285" w:rsidR="005C2034" w:rsidRPr="00F64CC8" w:rsidRDefault="005F40D1" w:rsidP="00F64CC8">
      <w:pPr>
        <w:pStyle w:val="BodyTextIndent"/>
        <w:widowControl/>
        <w:rPr>
          <w:b/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1</w:t>
      </w:r>
      <w:r w:rsidR="00631BF6" w:rsidRPr="00F64CC8">
        <w:rPr>
          <w:b/>
          <w:bCs/>
          <w:sz w:val="22"/>
          <w:szCs w:val="22"/>
          <w:lang w:val="es-ES"/>
        </w:rPr>
        <w:t>6</w:t>
      </w:r>
    </w:p>
    <w:p w14:paraId="70478AC1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03A30780" w14:textId="213CAD12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AC2F45" w:rsidRPr="00F64CC8">
        <w:rPr>
          <w:sz w:val="22"/>
          <w:szCs w:val="22"/>
          <w:lang w:val="es-ES"/>
        </w:rPr>
        <w:t xml:space="preserve">También se podrá invitar a </w:t>
      </w:r>
      <w:r w:rsidR="005F40D1" w:rsidRPr="00F64CC8">
        <w:rPr>
          <w:sz w:val="22"/>
          <w:szCs w:val="22"/>
          <w:lang w:val="es-ES"/>
        </w:rPr>
        <w:t>la Reunión de Consulta</w:t>
      </w:r>
      <w:r w:rsidR="00AC2F45" w:rsidRPr="00F64CC8">
        <w:rPr>
          <w:sz w:val="22"/>
          <w:szCs w:val="22"/>
          <w:lang w:val="es-ES"/>
        </w:rPr>
        <w:t xml:space="preserve"> a órganos y organismos internacionales que se consideren pertinentes, los cuales podrán tomar la palabra según lo determine el </w:t>
      </w:r>
      <w:proofErr w:type="gramStart"/>
      <w:r w:rsidR="007F72EA" w:rsidRPr="00F64CC8">
        <w:rPr>
          <w:sz w:val="22"/>
          <w:szCs w:val="22"/>
          <w:lang w:val="es-ES"/>
        </w:rPr>
        <w:t>Presidente</w:t>
      </w:r>
      <w:proofErr w:type="gramEnd"/>
      <w:r w:rsidRPr="00F64CC8">
        <w:rPr>
          <w:sz w:val="22"/>
          <w:szCs w:val="22"/>
          <w:lang w:val="es-ES"/>
        </w:rPr>
        <w:t xml:space="preserve"> </w:t>
      </w:r>
      <w:r w:rsidR="00AC2F45" w:rsidRPr="00F64CC8">
        <w:rPr>
          <w:sz w:val="22"/>
          <w:szCs w:val="22"/>
          <w:lang w:val="es-ES"/>
        </w:rPr>
        <w:t>de</w:t>
      </w:r>
      <w:r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Reunión de Consulta</w:t>
      </w:r>
      <w:r w:rsidRPr="00F64CC8">
        <w:rPr>
          <w:sz w:val="22"/>
          <w:szCs w:val="22"/>
          <w:lang w:val="es-ES"/>
        </w:rPr>
        <w:t>.</w:t>
      </w:r>
    </w:p>
    <w:p w14:paraId="206376DE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22D3F36C" w14:textId="370FA06A" w:rsidR="005C2034" w:rsidRPr="00F64CC8" w:rsidRDefault="005F40D1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1</w:t>
      </w:r>
      <w:r w:rsidR="00631BF6" w:rsidRPr="00F64CC8">
        <w:rPr>
          <w:b/>
          <w:bCs/>
          <w:sz w:val="22"/>
          <w:szCs w:val="22"/>
          <w:lang w:val="es-ES"/>
        </w:rPr>
        <w:t>7</w:t>
      </w:r>
    </w:p>
    <w:p w14:paraId="382E48BB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62A9073F" w14:textId="1C4F0F72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AC2F45" w:rsidRPr="00F64CC8">
        <w:rPr>
          <w:sz w:val="22"/>
          <w:szCs w:val="22"/>
          <w:lang w:val="es-ES"/>
        </w:rPr>
        <w:t xml:space="preserve">Siempre que se considere útil para los fines de </w:t>
      </w:r>
      <w:r w:rsidR="005F40D1" w:rsidRPr="00F64CC8">
        <w:rPr>
          <w:sz w:val="22"/>
          <w:szCs w:val="22"/>
          <w:lang w:val="es-ES"/>
        </w:rPr>
        <w:t>la Reunión de Consulta</w:t>
      </w:r>
      <w:r w:rsidRPr="00F64CC8">
        <w:rPr>
          <w:sz w:val="22"/>
          <w:szCs w:val="22"/>
          <w:lang w:val="es-ES"/>
        </w:rPr>
        <w:t xml:space="preserve">, </w:t>
      </w:r>
      <w:r w:rsidR="00AC2F45" w:rsidRPr="00F64CC8">
        <w:rPr>
          <w:sz w:val="22"/>
          <w:szCs w:val="22"/>
          <w:lang w:val="es-ES"/>
        </w:rPr>
        <w:t xml:space="preserve">se podrán cursar invitaciones a </w:t>
      </w:r>
      <w:r w:rsidRPr="00F64CC8">
        <w:rPr>
          <w:sz w:val="22"/>
          <w:szCs w:val="22"/>
          <w:lang w:val="es-ES"/>
        </w:rPr>
        <w:t>representa</w:t>
      </w:r>
      <w:r w:rsidR="00AC2F45" w:rsidRPr="00F64CC8">
        <w:rPr>
          <w:sz w:val="22"/>
          <w:szCs w:val="22"/>
          <w:lang w:val="es-ES"/>
        </w:rPr>
        <w:t>n</w:t>
      </w:r>
      <w:r w:rsidRPr="00F64CC8">
        <w:rPr>
          <w:sz w:val="22"/>
          <w:szCs w:val="22"/>
          <w:lang w:val="es-ES"/>
        </w:rPr>
        <w:t xml:space="preserve">tes </w:t>
      </w:r>
      <w:r w:rsidR="00AC2F45" w:rsidRPr="00F64CC8">
        <w:rPr>
          <w:sz w:val="22"/>
          <w:szCs w:val="22"/>
          <w:lang w:val="es-ES"/>
        </w:rPr>
        <w:t xml:space="preserve">de organizaciones de la sociedad </w:t>
      </w:r>
      <w:r w:rsidRPr="00F64CC8">
        <w:rPr>
          <w:sz w:val="22"/>
          <w:szCs w:val="22"/>
          <w:lang w:val="es-ES"/>
        </w:rPr>
        <w:t xml:space="preserve">civil </w:t>
      </w:r>
      <w:r w:rsidR="00AC2F45" w:rsidRPr="00F64CC8">
        <w:rPr>
          <w:sz w:val="22"/>
          <w:szCs w:val="22"/>
          <w:lang w:val="es-ES"/>
        </w:rPr>
        <w:t xml:space="preserve">cuyo trabajo esté relacionado con los temas abordados por </w:t>
      </w:r>
      <w:r w:rsidR="005F40D1" w:rsidRPr="00F64CC8">
        <w:rPr>
          <w:sz w:val="22"/>
          <w:szCs w:val="22"/>
          <w:lang w:val="es-ES"/>
        </w:rPr>
        <w:t>la Convención</w:t>
      </w:r>
      <w:r w:rsidRPr="00F64CC8">
        <w:rPr>
          <w:sz w:val="22"/>
          <w:szCs w:val="22"/>
          <w:lang w:val="es-ES"/>
        </w:rPr>
        <w:t xml:space="preserve">, </w:t>
      </w:r>
      <w:r w:rsidR="00AC2F45" w:rsidRPr="00F64CC8">
        <w:rPr>
          <w:sz w:val="22"/>
          <w:szCs w:val="22"/>
          <w:lang w:val="es-ES"/>
        </w:rPr>
        <w:t>de conformidad con las</w:t>
      </w:r>
      <w:r w:rsidRPr="00F64CC8">
        <w:rPr>
          <w:sz w:val="22"/>
          <w:szCs w:val="22"/>
          <w:lang w:val="es-ES"/>
        </w:rPr>
        <w:t xml:space="preserve"> “</w:t>
      </w:r>
      <w:r w:rsidR="00522C9C" w:rsidRPr="00F64CC8">
        <w:rPr>
          <w:sz w:val="22"/>
          <w:szCs w:val="22"/>
          <w:lang w:val="es-ES"/>
        </w:rPr>
        <w:t>Directrices para la Participación de las Organizaciones de la Sociedad Civil en las Actividades de la OEA</w:t>
      </w:r>
      <w:r w:rsidRPr="00F64CC8">
        <w:rPr>
          <w:sz w:val="22"/>
          <w:szCs w:val="22"/>
          <w:lang w:val="es-ES"/>
        </w:rPr>
        <w:t xml:space="preserve">” </w:t>
      </w:r>
      <w:r w:rsidR="00AC2F45" w:rsidRPr="00F64CC8">
        <w:rPr>
          <w:sz w:val="22"/>
          <w:szCs w:val="22"/>
          <w:lang w:val="es-ES"/>
        </w:rPr>
        <w:t xml:space="preserve">y las </w:t>
      </w:r>
      <w:r w:rsidRPr="00F64CC8">
        <w:rPr>
          <w:sz w:val="22"/>
          <w:szCs w:val="22"/>
          <w:lang w:val="es-ES"/>
        </w:rPr>
        <w:t>“</w:t>
      </w:r>
      <w:r w:rsidR="00522C9C" w:rsidRPr="00F64CC8">
        <w:rPr>
          <w:sz w:val="22"/>
          <w:szCs w:val="22"/>
          <w:lang w:val="es-ES"/>
        </w:rPr>
        <w:t>Estrategias para Incrementar y Fortalecer la Participación de las Organizaciones de la Sociedad Civil en las Actividades de la OEA</w:t>
      </w:r>
      <w:r w:rsidRPr="00F64CC8">
        <w:rPr>
          <w:sz w:val="22"/>
          <w:szCs w:val="22"/>
          <w:lang w:val="es-ES"/>
        </w:rPr>
        <w:t>”</w:t>
      </w:r>
      <w:r w:rsidR="00522C9C" w:rsidRPr="00F64CC8">
        <w:rPr>
          <w:sz w:val="22"/>
          <w:szCs w:val="22"/>
          <w:lang w:val="es-ES"/>
        </w:rPr>
        <w:t>, aprobadas por el Consejo Permanente</w:t>
      </w:r>
      <w:r w:rsidRPr="00F64CC8">
        <w:rPr>
          <w:sz w:val="22"/>
          <w:szCs w:val="22"/>
          <w:lang w:val="es-ES"/>
        </w:rPr>
        <w:t>.</w:t>
      </w:r>
    </w:p>
    <w:p w14:paraId="0987E983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3E15F01A" w14:textId="5B0848D3" w:rsidR="005C2034" w:rsidRPr="00F64CC8" w:rsidRDefault="005F40D1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</w:t>
      </w:r>
      <w:r w:rsidR="00631BF6" w:rsidRPr="00F64CC8">
        <w:rPr>
          <w:b/>
          <w:bCs/>
          <w:sz w:val="22"/>
          <w:szCs w:val="22"/>
          <w:lang w:val="es-ES"/>
        </w:rPr>
        <w:t>18</w:t>
      </w:r>
    </w:p>
    <w:p w14:paraId="6AA8E10C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6BCE6DC3" w14:textId="2C325F60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522C9C" w:rsidRPr="00F64CC8">
        <w:rPr>
          <w:sz w:val="22"/>
          <w:szCs w:val="22"/>
          <w:lang w:val="es-ES"/>
        </w:rPr>
        <w:t xml:space="preserve">Los idiomas de trabajo de </w:t>
      </w:r>
      <w:r w:rsidR="005F40D1" w:rsidRPr="00F64CC8">
        <w:rPr>
          <w:sz w:val="22"/>
          <w:szCs w:val="22"/>
          <w:lang w:val="es-ES"/>
        </w:rPr>
        <w:t>la Reunión de Consulta</w:t>
      </w:r>
      <w:r w:rsidR="000E00FF" w:rsidRPr="00F64CC8">
        <w:rPr>
          <w:sz w:val="22"/>
          <w:szCs w:val="22"/>
          <w:lang w:val="es-ES"/>
        </w:rPr>
        <w:t xml:space="preserve"> </w:t>
      </w:r>
      <w:r w:rsidRPr="00F64CC8">
        <w:rPr>
          <w:sz w:val="22"/>
          <w:szCs w:val="22"/>
          <w:lang w:val="es-ES"/>
        </w:rPr>
        <w:t>s</w:t>
      </w:r>
      <w:r w:rsidR="00522C9C" w:rsidRPr="00F64CC8">
        <w:rPr>
          <w:sz w:val="22"/>
          <w:szCs w:val="22"/>
          <w:lang w:val="es-ES"/>
        </w:rPr>
        <w:t xml:space="preserve">erán los idiomas oficiales de </w:t>
      </w:r>
      <w:r w:rsidR="00B77CAD" w:rsidRPr="00F64CC8">
        <w:rPr>
          <w:sz w:val="22"/>
          <w:szCs w:val="22"/>
          <w:lang w:val="es-ES"/>
        </w:rPr>
        <w:t>la OEA</w:t>
      </w:r>
      <w:r w:rsidRPr="00F64CC8">
        <w:rPr>
          <w:sz w:val="22"/>
          <w:szCs w:val="22"/>
          <w:lang w:val="es-ES"/>
        </w:rPr>
        <w:t>.</w:t>
      </w:r>
    </w:p>
    <w:p w14:paraId="6955BAF6" w14:textId="77777777" w:rsidR="005C2034" w:rsidRPr="00F64CC8" w:rsidRDefault="005C2034" w:rsidP="00F64CC8">
      <w:pPr>
        <w:pStyle w:val="BodyTextIndent"/>
        <w:widowControl/>
        <w:jc w:val="center"/>
        <w:rPr>
          <w:sz w:val="22"/>
          <w:szCs w:val="22"/>
          <w:lang w:val="es-ES"/>
        </w:rPr>
      </w:pPr>
    </w:p>
    <w:p w14:paraId="18F26994" w14:textId="77777777" w:rsidR="005C2034" w:rsidRPr="00F64CC8" w:rsidRDefault="005C2034" w:rsidP="00F64CC8">
      <w:pPr>
        <w:pStyle w:val="BodyTextIndent"/>
        <w:widowControl/>
        <w:jc w:val="center"/>
        <w:rPr>
          <w:sz w:val="22"/>
          <w:szCs w:val="22"/>
          <w:lang w:val="es-ES"/>
        </w:rPr>
      </w:pPr>
    </w:p>
    <w:p w14:paraId="26C9100F" w14:textId="25A2857F" w:rsidR="005C2034" w:rsidRPr="00F64CC8" w:rsidRDefault="005F40D1" w:rsidP="00F64CC8">
      <w:pPr>
        <w:pStyle w:val="BodyTextIndent"/>
        <w:widowControl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CAPÍTULO</w:t>
      </w:r>
      <w:r w:rsidR="005C2034" w:rsidRPr="00F64CC8">
        <w:rPr>
          <w:sz w:val="22"/>
          <w:szCs w:val="22"/>
          <w:lang w:val="es-ES"/>
        </w:rPr>
        <w:t xml:space="preserve"> V</w:t>
      </w:r>
    </w:p>
    <w:p w14:paraId="0A79D942" w14:textId="11A3BABD" w:rsidR="005C2034" w:rsidRPr="00F64CC8" w:rsidRDefault="007F72EA" w:rsidP="00F64CC8">
      <w:pPr>
        <w:pStyle w:val="BodyTextIndent"/>
        <w:widowControl/>
        <w:jc w:val="center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>REGLAMENTO</w:t>
      </w:r>
    </w:p>
    <w:p w14:paraId="7F90693A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6221D55F" w14:textId="64638090" w:rsidR="005C2034" w:rsidRPr="00F64CC8" w:rsidRDefault="005F40D1" w:rsidP="00F64CC8">
      <w:pPr>
        <w:pStyle w:val="BodyTextIndent"/>
        <w:widowControl/>
        <w:rPr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</w:t>
      </w:r>
      <w:r w:rsidR="00631BF6" w:rsidRPr="00F64CC8">
        <w:rPr>
          <w:b/>
          <w:bCs/>
          <w:sz w:val="22"/>
          <w:szCs w:val="22"/>
          <w:lang w:val="es-ES"/>
        </w:rPr>
        <w:t>19</w:t>
      </w:r>
    </w:p>
    <w:p w14:paraId="47038EBA" w14:textId="77777777" w:rsidR="005C2034" w:rsidRPr="00F64CC8" w:rsidRDefault="005C2034" w:rsidP="00F64CC8">
      <w:pPr>
        <w:pStyle w:val="BodyTextIndent"/>
        <w:widowControl/>
        <w:rPr>
          <w:bCs/>
          <w:sz w:val="22"/>
          <w:szCs w:val="22"/>
          <w:lang w:val="es-ES"/>
        </w:rPr>
      </w:pPr>
    </w:p>
    <w:p w14:paraId="6E876104" w14:textId="3F8F3974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ab/>
      </w:r>
      <w:r w:rsidR="00AC2F45" w:rsidRPr="00F64CC8">
        <w:rPr>
          <w:sz w:val="22"/>
          <w:szCs w:val="22"/>
          <w:lang w:val="es-ES"/>
        </w:rPr>
        <w:t xml:space="preserve">El </w:t>
      </w:r>
      <w:r w:rsidR="007F72EA" w:rsidRPr="00F64CC8">
        <w:rPr>
          <w:sz w:val="22"/>
          <w:szCs w:val="22"/>
          <w:lang w:val="es-ES"/>
        </w:rPr>
        <w:t>Reglamento</w:t>
      </w:r>
      <w:r w:rsidRPr="00F64CC8">
        <w:rPr>
          <w:sz w:val="22"/>
          <w:szCs w:val="22"/>
          <w:lang w:val="es-ES"/>
        </w:rPr>
        <w:t xml:space="preserve"> s</w:t>
      </w:r>
      <w:r w:rsidR="00AC2F45" w:rsidRPr="00F64CC8">
        <w:rPr>
          <w:sz w:val="22"/>
          <w:szCs w:val="22"/>
          <w:lang w:val="es-ES"/>
        </w:rPr>
        <w:t xml:space="preserve">erá aprobado en la primera </w:t>
      </w:r>
      <w:r w:rsidR="005F40D1" w:rsidRPr="00F64CC8">
        <w:rPr>
          <w:sz w:val="22"/>
          <w:szCs w:val="22"/>
          <w:lang w:val="es-ES"/>
        </w:rPr>
        <w:t>Reunión de Consulta</w:t>
      </w:r>
      <w:r w:rsidRPr="00F64CC8">
        <w:rPr>
          <w:sz w:val="22"/>
          <w:szCs w:val="22"/>
          <w:lang w:val="es-ES"/>
        </w:rPr>
        <w:t xml:space="preserve"> </w:t>
      </w:r>
      <w:r w:rsidR="00AC2F45" w:rsidRPr="00F64CC8">
        <w:rPr>
          <w:sz w:val="22"/>
          <w:szCs w:val="22"/>
          <w:lang w:val="es-ES"/>
        </w:rPr>
        <w:t>y entrará en vigor en la fecha en que sea aprobado</w:t>
      </w:r>
      <w:r w:rsidRPr="00F64CC8">
        <w:rPr>
          <w:sz w:val="22"/>
          <w:szCs w:val="22"/>
          <w:lang w:val="es-ES"/>
        </w:rPr>
        <w:t>.</w:t>
      </w:r>
    </w:p>
    <w:p w14:paraId="5AA1C26C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0AAC9FB3" w14:textId="5C488BAA" w:rsidR="005C2034" w:rsidRPr="00F64CC8" w:rsidRDefault="005F40D1" w:rsidP="00F64CC8">
      <w:pPr>
        <w:pStyle w:val="BodyTextIndent"/>
        <w:widowControl/>
        <w:rPr>
          <w:bCs/>
          <w:sz w:val="22"/>
          <w:szCs w:val="22"/>
          <w:lang w:val="es-ES"/>
        </w:rPr>
      </w:pPr>
      <w:r w:rsidRPr="00F64CC8">
        <w:rPr>
          <w:b/>
          <w:bCs/>
          <w:sz w:val="22"/>
          <w:szCs w:val="22"/>
          <w:lang w:val="es-ES"/>
        </w:rPr>
        <w:t>Artículo</w:t>
      </w:r>
      <w:r w:rsidR="005C2034" w:rsidRPr="00F64CC8">
        <w:rPr>
          <w:b/>
          <w:bCs/>
          <w:sz w:val="22"/>
          <w:szCs w:val="22"/>
          <w:lang w:val="es-ES"/>
        </w:rPr>
        <w:t xml:space="preserve"> 2</w:t>
      </w:r>
      <w:r w:rsidR="00631BF6" w:rsidRPr="00F64CC8">
        <w:rPr>
          <w:b/>
          <w:bCs/>
          <w:sz w:val="22"/>
          <w:szCs w:val="22"/>
          <w:lang w:val="es-ES"/>
        </w:rPr>
        <w:t>0</w:t>
      </w:r>
    </w:p>
    <w:p w14:paraId="1B77502D" w14:textId="77777777" w:rsidR="005C2034" w:rsidRPr="00F64CC8" w:rsidRDefault="005C2034" w:rsidP="00F64CC8">
      <w:pPr>
        <w:pStyle w:val="BodyTextIndent"/>
        <w:widowControl/>
        <w:rPr>
          <w:sz w:val="22"/>
          <w:szCs w:val="22"/>
          <w:lang w:val="es-ES"/>
        </w:rPr>
      </w:pPr>
    </w:p>
    <w:p w14:paraId="4B4B8006" w14:textId="1B000A33" w:rsidR="005C2034" w:rsidRPr="00F64CC8" w:rsidRDefault="00AC2F45" w:rsidP="00F64CC8">
      <w:pPr>
        <w:pStyle w:val="BodyTextIndent"/>
        <w:widowControl/>
        <w:ind w:firstLine="720"/>
        <w:rPr>
          <w:sz w:val="22"/>
          <w:szCs w:val="22"/>
          <w:lang w:val="es-ES"/>
        </w:rPr>
      </w:pPr>
      <w:r w:rsidRPr="00F64CC8">
        <w:rPr>
          <w:sz w:val="22"/>
          <w:szCs w:val="22"/>
          <w:lang w:val="es-ES"/>
        </w:rPr>
        <w:t xml:space="preserve">El </w:t>
      </w:r>
      <w:r w:rsidR="007F72EA" w:rsidRPr="00F64CC8">
        <w:rPr>
          <w:sz w:val="22"/>
          <w:szCs w:val="22"/>
          <w:lang w:val="es-ES"/>
        </w:rPr>
        <w:t>Reglamento</w:t>
      </w:r>
      <w:r w:rsidR="005C2034" w:rsidRPr="00F64CC8">
        <w:rPr>
          <w:sz w:val="22"/>
          <w:szCs w:val="22"/>
          <w:lang w:val="es-ES"/>
        </w:rPr>
        <w:t xml:space="preserve"> </w:t>
      </w:r>
      <w:r w:rsidRPr="00F64CC8">
        <w:rPr>
          <w:sz w:val="22"/>
          <w:szCs w:val="22"/>
          <w:lang w:val="es-ES"/>
        </w:rPr>
        <w:t>podrá ser modificado por</w:t>
      </w:r>
      <w:r w:rsidR="005C2034" w:rsidRPr="00F64CC8">
        <w:rPr>
          <w:sz w:val="22"/>
          <w:szCs w:val="22"/>
          <w:lang w:val="es-ES"/>
        </w:rPr>
        <w:t xml:space="preserve"> </w:t>
      </w:r>
      <w:r w:rsidR="005F40D1" w:rsidRPr="00F64CC8">
        <w:rPr>
          <w:sz w:val="22"/>
          <w:szCs w:val="22"/>
          <w:lang w:val="es-ES"/>
        </w:rPr>
        <w:t>la Reunión de Consulta</w:t>
      </w:r>
      <w:r w:rsidR="000E00FF" w:rsidRPr="00F64CC8">
        <w:rPr>
          <w:sz w:val="22"/>
          <w:szCs w:val="22"/>
          <w:lang w:val="es-ES"/>
        </w:rPr>
        <w:t xml:space="preserve"> </w:t>
      </w:r>
      <w:r w:rsidRPr="00F64CC8">
        <w:rPr>
          <w:sz w:val="22"/>
          <w:szCs w:val="22"/>
          <w:lang w:val="es-ES"/>
        </w:rPr>
        <w:t xml:space="preserve">con una mayoría calificada de dos tercios de los </w:t>
      </w:r>
      <w:r w:rsidR="005F40D1" w:rsidRPr="00F64CC8">
        <w:rPr>
          <w:sz w:val="22"/>
          <w:szCs w:val="22"/>
          <w:lang w:val="es-ES"/>
        </w:rPr>
        <w:t>Estados Parte</w:t>
      </w:r>
      <w:r w:rsidR="005C2034" w:rsidRPr="00F64CC8">
        <w:rPr>
          <w:sz w:val="22"/>
          <w:szCs w:val="22"/>
          <w:lang w:val="es-ES"/>
        </w:rPr>
        <w:t>.</w:t>
      </w:r>
      <w:r w:rsidR="00253677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93FA27" wp14:editId="47D01CA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39B7F66" w14:textId="321EFCF7" w:rsidR="00253677" w:rsidRPr="00253677" w:rsidRDefault="0025367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73030">
                              <w:rPr>
                                <w:noProof/>
                                <w:sz w:val="18"/>
                              </w:rPr>
                              <w:t>CICTE01535S01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FA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639B7F66" w14:textId="321EFCF7" w:rsidR="00253677" w:rsidRPr="00253677" w:rsidRDefault="0025367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73030">
                        <w:rPr>
                          <w:noProof/>
                          <w:sz w:val="18"/>
                        </w:rPr>
                        <w:t>CICTE01535S01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C2034" w:rsidRPr="00F64CC8" w:rsidSect="005C2034">
      <w:headerReference w:type="default" r:id="rId9"/>
      <w:footerReference w:type="default" r:id="rId10"/>
      <w:headerReference w:type="first" r:id="rId11"/>
      <w:footerReference w:type="first" r:id="rId12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BB27" w14:textId="77777777" w:rsidR="00C35E0A" w:rsidRDefault="00C35E0A">
      <w:r>
        <w:separator/>
      </w:r>
    </w:p>
  </w:endnote>
  <w:endnote w:type="continuationSeparator" w:id="0">
    <w:p w14:paraId="10CE3806" w14:textId="77777777" w:rsidR="00C35E0A" w:rsidRDefault="00C3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C3C3" w14:textId="77777777" w:rsidR="000154C8" w:rsidRDefault="000154C8">
    <w:pPr>
      <w:pStyle w:val="Footer"/>
      <w:widowControl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E14E" w14:textId="77777777" w:rsidR="000154C8" w:rsidRDefault="000154C8">
    <w:pPr>
      <w:pStyle w:val="Footer"/>
      <w:widowControl/>
      <w:ind w:right="36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49479" w14:textId="77777777" w:rsidR="000154C8" w:rsidRDefault="000154C8">
    <w:pPr>
      <w:pStyle w:val="Footer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0928" w14:textId="77777777" w:rsidR="00C35E0A" w:rsidRDefault="00C35E0A">
      <w:r>
        <w:separator/>
      </w:r>
    </w:p>
  </w:footnote>
  <w:footnote w:type="continuationSeparator" w:id="0">
    <w:p w14:paraId="3A81DFC7" w14:textId="77777777" w:rsidR="00C35E0A" w:rsidRDefault="00C3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D55E" w14:textId="77777777" w:rsidR="000154C8" w:rsidRDefault="000154C8" w:rsidP="005C20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15B1B" w14:textId="77777777" w:rsidR="000154C8" w:rsidRDefault="0001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CB11" w14:textId="77777777" w:rsidR="000154C8" w:rsidRPr="00D03953" w:rsidRDefault="000154C8" w:rsidP="005C2034">
    <w:pPr>
      <w:pStyle w:val="Header"/>
      <w:widowControl/>
      <w:jc w:val="center"/>
      <w:rPr>
        <w:sz w:val="22"/>
        <w:szCs w:val="22"/>
      </w:rPr>
    </w:pPr>
    <w:r w:rsidRPr="00D03953">
      <w:rPr>
        <w:rStyle w:val="PageNumber"/>
        <w:sz w:val="22"/>
        <w:szCs w:val="22"/>
      </w:rPr>
      <w:t xml:space="preserve">- </w:t>
    </w:r>
    <w:r w:rsidRPr="00D03953">
      <w:rPr>
        <w:rStyle w:val="PageNumber"/>
        <w:sz w:val="22"/>
        <w:szCs w:val="22"/>
      </w:rPr>
      <w:fldChar w:fldCharType="begin"/>
    </w:r>
    <w:r w:rsidRPr="00D03953">
      <w:rPr>
        <w:rStyle w:val="PageNumber"/>
        <w:sz w:val="22"/>
        <w:szCs w:val="22"/>
      </w:rPr>
      <w:instrText xml:space="preserve"> PAGE </w:instrText>
    </w:r>
    <w:r w:rsidRPr="00D03953">
      <w:rPr>
        <w:rStyle w:val="PageNumber"/>
        <w:sz w:val="22"/>
        <w:szCs w:val="22"/>
      </w:rPr>
      <w:fldChar w:fldCharType="separate"/>
    </w:r>
    <w:r w:rsidR="004543AD">
      <w:rPr>
        <w:rStyle w:val="PageNumber"/>
        <w:noProof/>
        <w:sz w:val="22"/>
        <w:szCs w:val="22"/>
      </w:rPr>
      <w:t>4</w:t>
    </w:r>
    <w:r w:rsidRPr="00D03953">
      <w:rPr>
        <w:rStyle w:val="PageNumber"/>
        <w:sz w:val="22"/>
        <w:szCs w:val="22"/>
      </w:rPr>
      <w:fldChar w:fldCharType="end"/>
    </w:r>
    <w:r w:rsidRPr="00D03953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6887" w14:textId="77777777" w:rsidR="000154C8" w:rsidRDefault="000154C8">
    <w:pPr>
      <w:pStyle w:val="Header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E17"/>
    <w:multiLevelType w:val="singleLevel"/>
    <w:tmpl w:val="0E9824CE"/>
    <w:lvl w:ilvl="0">
      <w:start w:val="4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363591"/>
    <w:multiLevelType w:val="singleLevel"/>
    <w:tmpl w:val="872AB57C"/>
    <w:lvl w:ilvl="0">
      <w:start w:val="3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7B12A2"/>
    <w:multiLevelType w:val="singleLevel"/>
    <w:tmpl w:val="0E9824CE"/>
    <w:lvl w:ilvl="0">
      <w:start w:val="4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D090E94"/>
    <w:multiLevelType w:val="singleLevel"/>
    <w:tmpl w:val="D8C224B6"/>
    <w:lvl w:ilvl="0">
      <w:start w:val="5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CE7A6C"/>
    <w:multiLevelType w:val="singleLevel"/>
    <w:tmpl w:val="AC4A1BB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8462449"/>
    <w:multiLevelType w:val="singleLevel"/>
    <w:tmpl w:val="8976036C"/>
    <w:lvl w:ilvl="0">
      <w:start w:val="8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717764A"/>
    <w:multiLevelType w:val="singleLevel"/>
    <w:tmpl w:val="69C62EEA"/>
    <w:lvl w:ilvl="0">
      <w:start w:val="2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2DC19DA"/>
    <w:multiLevelType w:val="singleLevel"/>
    <w:tmpl w:val="D27EBF88"/>
    <w:lvl w:ilvl="0">
      <w:start w:val="7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77B5604"/>
    <w:multiLevelType w:val="hybridMultilevel"/>
    <w:tmpl w:val="2E34F7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4A285A"/>
    <w:multiLevelType w:val="singleLevel"/>
    <w:tmpl w:val="AC4A1BB8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16D581E"/>
    <w:multiLevelType w:val="singleLevel"/>
    <w:tmpl w:val="69C62EEA"/>
    <w:lvl w:ilvl="0">
      <w:start w:val="2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5D7D3B"/>
    <w:multiLevelType w:val="singleLevel"/>
    <w:tmpl w:val="35821BC4"/>
    <w:lvl w:ilvl="0">
      <w:start w:val="6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376995"/>
    <w:multiLevelType w:val="singleLevel"/>
    <w:tmpl w:val="D8C224B6"/>
    <w:lvl w:ilvl="0">
      <w:start w:val="5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1841CD0"/>
    <w:multiLevelType w:val="singleLevel"/>
    <w:tmpl w:val="35821BC4"/>
    <w:lvl w:ilvl="0">
      <w:start w:val="6"/>
      <w:numFmt w:val="lowerLetter"/>
      <w:lvlText w:val="%1."/>
      <w:legacy w:legacy="1" w:legacySpace="12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3"/>
        <w:numFmt w:val="lowerLetter"/>
        <w:lvlText w:val="%1."/>
        <w:legacy w:legacy="1" w:legacySpace="120" w:legacyIndent="360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699"/>
  <w:drawingGridVerticalOrigin w:val="216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8C"/>
    <w:rsid w:val="00002EF7"/>
    <w:rsid w:val="00012057"/>
    <w:rsid w:val="000154C8"/>
    <w:rsid w:val="00015721"/>
    <w:rsid w:val="000268D8"/>
    <w:rsid w:val="000308CA"/>
    <w:rsid w:val="000321BF"/>
    <w:rsid w:val="00032E5D"/>
    <w:rsid w:val="00041D44"/>
    <w:rsid w:val="0004480E"/>
    <w:rsid w:val="0006771C"/>
    <w:rsid w:val="000A786C"/>
    <w:rsid w:val="000B10F0"/>
    <w:rsid w:val="000B750B"/>
    <w:rsid w:val="000B750E"/>
    <w:rsid w:val="000E00FF"/>
    <w:rsid w:val="0010046F"/>
    <w:rsid w:val="00101D51"/>
    <w:rsid w:val="001050F8"/>
    <w:rsid w:val="00117F09"/>
    <w:rsid w:val="001334EF"/>
    <w:rsid w:val="00141CDC"/>
    <w:rsid w:val="00161C6C"/>
    <w:rsid w:val="00170E2D"/>
    <w:rsid w:val="00172BA5"/>
    <w:rsid w:val="00177FAF"/>
    <w:rsid w:val="001A019D"/>
    <w:rsid w:val="001A4468"/>
    <w:rsid w:val="001C73F3"/>
    <w:rsid w:val="00252EA8"/>
    <w:rsid w:val="00253677"/>
    <w:rsid w:val="00253F44"/>
    <w:rsid w:val="00255BFC"/>
    <w:rsid w:val="002716A3"/>
    <w:rsid w:val="0027214B"/>
    <w:rsid w:val="002A7584"/>
    <w:rsid w:val="00315C4C"/>
    <w:rsid w:val="00335463"/>
    <w:rsid w:val="00340756"/>
    <w:rsid w:val="0034183C"/>
    <w:rsid w:val="00354FDB"/>
    <w:rsid w:val="00381B6C"/>
    <w:rsid w:val="003A3EB2"/>
    <w:rsid w:val="003F21D7"/>
    <w:rsid w:val="0040465B"/>
    <w:rsid w:val="004230DC"/>
    <w:rsid w:val="00431575"/>
    <w:rsid w:val="004319AF"/>
    <w:rsid w:val="00434778"/>
    <w:rsid w:val="00436111"/>
    <w:rsid w:val="004521EC"/>
    <w:rsid w:val="004543AD"/>
    <w:rsid w:val="00457F04"/>
    <w:rsid w:val="00473030"/>
    <w:rsid w:val="0047508B"/>
    <w:rsid w:val="00475E44"/>
    <w:rsid w:val="0047688C"/>
    <w:rsid w:val="004A1578"/>
    <w:rsid w:val="004C043D"/>
    <w:rsid w:val="004D35FC"/>
    <w:rsid w:val="00522C9C"/>
    <w:rsid w:val="00523F46"/>
    <w:rsid w:val="005370A9"/>
    <w:rsid w:val="00545335"/>
    <w:rsid w:val="0055505E"/>
    <w:rsid w:val="00571A4F"/>
    <w:rsid w:val="005821AA"/>
    <w:rsid w:val="005A178B"/>
    <w:rsid w:val="005C2034"/>
    <w:rsid w:val="005E7A33"/>
    <w:rsid w:val="005F40D1"/>
    <w:rsid w:val="005F5B4C"/>
    <w:rsid w:val="0061755A"/>
    <w:rsid w:val="00622DAC"/>
    <w:rsid w:val="006254F7"/>
    <w:rsid w:val="00631BF6"/>
    <w:rsid w:val="0063669D"/>
    <w:rsid w:val="006375D5"/>
    <w:rsid w:val="00647D58"/>
    <w:rsid w:val="00675CFC"/>
    <w:rsid w:val="006B447F"/>
    <w:rsid w:val="006B74CC"/>
    <w:rsid w:val="006D063E"/>
    <w:rsid w:val="007153F3"/>
    <w:rsid w:val="007437BF"/>
    <w:rsid w:val="00755E31"/>
    <w:rsid w:val="007768FB"/>
    <w:rsid w:val="00792702"/>
    <w:rsid w:val="007C42CC"/>
    <w:rsid w:val="007C5022"/>
    <w:rsid w:val="007F72EA"/>
    <w:rsid w:val="00851690"/>
    <w:rsid w:val="008545B8"/>
    <w:rsid w:val="00854ED3"/>
    <w:rsid w:val="00877089"/>
    <w:rsid w:val="00880074"/>
    <w:rsid w:val="008A2F26"/>
    <w:rsid w:val="008A3B23"/>
    <w:rsid w:val="008B332C"/>
    <w:rsid w:val="008C1E56"/>
    <w:rsid w:val="008C6887"/>
    <w:rsid w:val="008F1BD9"/>
    <w:rsid w:val="0091282D"/>
    <w:rsid w:val="00947A08"/>
    <w:rsid w:val="00971078"/>
    <w:rsid w:val="00982476"/>
    <w:rsid w:val="009B765C"/>
    <w:rsid w:val="009C437C"/>
    <w:rsid w:val="009C5325"/>
    <w:rsid w:val="00A17F65"/>
    <w:rsid w:val="00A2609B"/>
    <w:rsid w:val="00A32E9B"/>
    <w:rsid w:val="00A34BDA"/>
    <w:rsid w:val="00A44E30"/>
    <w:rsid w:val="00A5104E"/>
    <w:rsid w:val="00A705EB"/>
    <w:rsid w:val="00A711BF"/>
    <w:rsid w:val="00AA3791"/>
    <w:rsid w:val="00AB6214"/>
    <w:rsid w:val="00AC2F45"/>
    <w:rsid w:val="00AF0659"/>
    <w:rsid w:val="00B15390"/>
    <w:rsid w:val="00B16BE2"/>
    <w:rsid w:val="00B7436F"/>
    <w:rsid w:val="00B77CAD"/>
    <w:rsid w:val="00BD50CA"/>
    <w:rsid w:val="00BE7FDB"/>
    <w:rsid w:val="00C35E0A"/>
    <w:rsid w:val="00C426DB"/>
    <w:rsid w:val="00C53937"/>
    <w:rsid w:val="00C7288C"/>
    <w:rsid w:val="00C9282B"/>
    <w:rsid w:val="00D01174"/>
    <w:rsid w:val="00D64C15"/>
    <w:rsid w:val="00D71F04"/>
    <w:rsid w:val="00DD7D4B"/>
    <w:rsid w:val="00E05D48"/>
    <w:rsid w:val="00E2018D"/>
    <w:rsid w:val="00E57F6C"/>
    <w:rsid w:val="00E81558"/>
    <w:rsid w:val="00E924C9"/>
    <w:rsid w:val="00E93122"/>
    <w:rsid w:val="00E94267"/>
    <w:rsid w:val="00E950A4"/>
    <w:rsid w:val="00EA4FBD"/>
    <w:rsid w:val="00EB72BF"/>
    <w:rsid w:val="00EE387D"/>
    <w:rsid w:val="00F16EA2"/>
    <w:rsid w:val="00F350F7"/>
    <w:rsid w:val="00F420E0"/>
    <w:rsid w:val="00F64CC8"/>
    <w:rsid w:val="00F83546"/>
    <w:rsid w:val="00FA1C45"/>
    <w:rsid w:val="00FB3647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9E52E3"/>
  <w15:docId w15:val="{14BA2FEB-F7B2-4BCF-9C85-F4183353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s-C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7288C"/>
    <w:pPr>
      <w:spacing w:after="120" w:line="480" w:lineRule="auto"/>
    </w:pPr>
  </w:style>
  <w:style w:type="paragraph" w:styleId="Revision">
    <w:name w:val="Revision"/>
    <w:hidden/>
    <w:uiPriority w:val="99"/>
    <w:semiHidden/>
    <w:rsid w:val="00E924C9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REGLAMENTO INTERNO DE LA CONFERENCIA DE ESTADOS PARTES ESTABLECIDA EN EL MARCO DE LA CONVENCIÓN INTERAMERICANA CONTRA LA FABRI</vt:lpstr>
    </vt:vector>
  </TitlesOfParts>
  <Company>OAS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LA CONFERENCIA DE ESTADOS PARTES ESTABLECIDA EN EL MARCO DE LA CONVENCIÓN INTERAMERICANA CONTRA LA FABRI</dc:title>
  <dc:creator>Secretaría Técnica Cooperación Jurídica, OEA</dc:creator>
  <cp:lastModifiedBy>Burbano, Carmela</cp:lastModifiedBy>
  <cp:revision>4</cp:revision>
  <cp:lastPrinted>2022-06-23T13:02:00Z</cp:lastPrinted>
  <dcterms:created xsi:type="dcterms:W3CDTF">2022-09-12T15:05:00Z</dcterms:created>
  <dcterms:modified xsi:type="dcterms:W3CDTF">2022-09-12T15:32:00Z</dcterms:modified>
</cp:coreProperties>
</file>