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E8C9" w14:textId="77777777" w:rsidR="00852B25" w:rsidRPr="00F55D96" w:rsidRDefault="00852B25" w:rsidP="00852B25">
      <w:pPr>
        <w:suppressAutoHyphens/>
        <w:ind w:right="-29"/>
        <w:jc w:val="center"/>
        <w:rPr>
          <w:b/>
          <w:caps/>
          <w:sz w:val="22"/>
          <w:szCs w:val="22"/>
          <w:lang w:val="fr-CA"/>
        </w:rPr>
      </w:pPr>
      <w:r w:rsidRPr="00F55D96">
        <w:rPr>
          <w:b/>
          <w:caps/>
          <w:sz w:val="22"/>
          <w:szCs w:val="22"/>
          <w:lang w:val="fr-CA"/>
        </w:rPr>
        <w:t xml:space="preserve">RÉUNION DE CONSULTATION DES ÉTATS PARTIES À LA </w:t>
      </w:r>
    </w:p>
    <w:p w14:paraId="4C132177" w14:textId="77777777" w:rsidR="00852B25" w:rsidRPr="00F55D96" w:rsidRDefault="00852B25" w:rsidP="00852B25">
      <w:pPr>
        <w:suppressAutoHyphens/>
        <w:ind w:right="-29"/>
        <w:jc w:val="center"/>
        <w:rPr>
          <w:caps/>
          <w:sz w:val="22"/>
          <w:szCs w:val="22"/>
          <w:lang w:val="fr-CA"/>
        </w:rPr>
      </w:pPr>
      <w:r w:rsidRPr="00F55D96">
        <w:rPr>
          <w:b/>
          <w:caps/>
          <w:sz w:val="22"/>
          <w:szCs w:val="22"/>
          <w:lang w:val="fr-CA"/>
        </w:rPr>
        <w:t xml:space="preserve">CONVENTION INTERAMÉRICAINE CONTRE LE TerrorismE </w:t>
      </w:r>
    </w:p>
    <w:p w14:paraId="14F79FC9" w14:textId="77777777" w:rsidR="00852B25" w:rsidRPr="00F55D96" w:rsidRDefault="00852B25" w:rsidP="00852B25">
      <w:pPr>
        <w:tabs>
          <w:tab w:val="left" w:pos="7020"/>
        </w:tabs>
        <w:suppressAutoHyphens/>
        <w:ind w:right="-720"/>
        <w:jc w:val="both"/>
        <w:rPr>
          <w:sz w:val="22"/>
          <w:szCs w:val="22"/>
          <w:lang w:val="fr-CA"/>
        </w:rPr>
      </w:pPr>
    </w:p>
    <w:p w14:paraId="7AB9956B" w14:textId="77777777" w:rsidR="00852B25" w:rsidRPr="00F55D96" w:rsidRDefault="00852B25" w:rsidP="00852B25">
      <w:pPr>
        <w:tabs>
          <w:tab w:val="left" w:pos="7020"/>
        </w:tabs>
        <w:suppressAutoHyphens/>
        <w:ind w:right="-720"/>
        <w:jc w:val="both"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>RÉUNION DE CONSUL</w:t>
      </w:r>
      <w:r w:rsidR="00A8522D" w:rsidRPr="00F55D96">
        <w:rPr>
          <w:sz w:val="22"/>
          <w:szCs w:val="22"/>
          <w:lang w:val="fr-CA"/>
        </w:rPr>
        <w:t>T</w:t>
      </w:r>
      <w:r w:rsidRPr="00F55D96">
        <w:rPr>
          <w:sz w:val="22"/>
          <w:szCs w:val="22"/>
          <w:lang w:val="fr-CA"/>
        </w:rPr>
        <w:t>ATION DES ÉTATS PARTIES</w:t>
      </w:r>
      <w:r w:rsidRPr="00F55D96">
        <w:rPr>
          <w:spacing w:val="-2"/>
          <w:sz w:val="22"/>
          <w:szCs w:val="22"/>
          <w:lang w:val="fr-CA"/>
        </w:rPr>
        <w:tab/>
        <w:t>OEA/</w:t>
      </w:r>
      <w:proofErr w:type="spellStart"/>
      <w:r w:rsidRPr="00F55D96">
        <w:rPr>
          <w:spacing w:val="-2"/>
          <w:sz w:val="22"/>
          <w:szCs w:val="22"/>
          <w:lang w:val="fr-CA"/>
        </w:rPr>
        <w:t>Ser.K</w:t>
      </w:r>
      <w:proofErr w:type="spellEnd"/>
      <w:r w:rsidRPr="00F55D96">
        <w:rPr>
          <w:spacing w:val="-2"/>
          <w:sz w:val="22"/>
          <w:szCs w:val="22"/>
          <w:lang w:val="fr-CA"/>
        </w:rPr>
        <w:t>/L.1</w:t>
      </w:r>
    </w:p>
    <w:p w14:paraId="3CA61AF0" w14:textId="6D4FDF68" w:rsidR="00852B25" w:rsidRPr="00F55D96" w:rsidRDefault="00852B25" w:rsidP="00852B25">
      <w:pPr>
        <w:tabs>
          <w:tab w:val="left" w:pos="7020"/>
        </w:tabs>
        <w:suppressAutoHyphens/>
        <w:ind w:right="-1289"/>
        <w:jc w:val="both"/>
        <w:rPr>
          <w:caps/>
          <w:sz w:val="22"/>
          <w:szCs w:val="22"/>
          <w:lang w:val="fr-CA"/>
        </w:rPr>
      </w:pPr>
      <w:r w:rsidRPr="00F55D96">
        <w:rPr>
          <w:spacing w:val="-2"/>
          <w:sz w:val="22"/>
          <w:szCs w:val="22"/>
          <w:lang w:val="fr-CA"/>
        </w:rPr>
        <w:t>12 septembre 2022</w:t>
      </w:r>
      <w:r w:rsidRPr="00F55D96">
        <w:rPr>
          <w:caps/>
          <w:sz w:val="22"/>
          <w:szCs w:val="22"/>
          <w:lang w:val="fr-CA"/>
        </w:rPr>
        <w:tab/>
        <w:t>RCEPTER/</w:t>
      </w:r>
      <w:r w:rsidRPr="00F55D96">
        <w:rPr>
          <w:sz w:val="22"/>
          <w:szCs w:val="22"/>
          <w:lang w:val="fr-CA"/>
        </w:rPr>
        <w:t>doc.7/22</w:t>
      </w:r>
      <w:r w:rsidR="00861EF4" w:rsidRPr="00F55D96">
        <w:rPr>
          <w:sz w:val="22"/>
          <w:szCs w:val="22"/>
          <w:lang w:val="fr-CA"/>
        </w:rPr>
        <w:t xml:space="preserve"> </w:t>
      </w:r>
      <w:proofErr w:type="spellStart"/>
      <w:r w:rsidR="00861EF4" w:rsidRPr="00F55D96">
        <w:rPr>
          <w:sz w:val="22"/>
          <w:szCs w:val="22"/>
          <w:lang w:val="fr-CA"/>
        </w:rPr>
        <w:t>rev</w:t>
      </w:r>
      <w:proofErr w:type="spellEnd"/>
      <w:r w:rsidR="00861EF4" w:rsidRPr="00F55D96">
        <w:rPr>
          <w:sz w:val="22"/>
          <w:szCs w:val="22"/>
          <w:lang w:val="fr-CA"/>
        </w:rPr>
        <w:t xml:space="preserve">. </w:t>
      </w:r>
      <w:r w:rsidR="00F55D96" w:rsidRPr="00F55D96">
        <w:rPr>
          <w:sz w:val="22"/>
          <w:szCs w:val="22"/>
          <w:lang w:val="fr-CA"/>
        </w:rPr>
        <w:t>2</w:t>
      </w:r>
    </w:p>
    <w:p w14:paraId="4B6446C6" w14:textId="4F616F36" w:rsidR="00852B25" w:rsidRPr="00F55D96" w:rsidRDefault="00852B25" w:rsidP="00852B25">
      <w:pPr>
        <w:tabs>
          <w:tab w:val="left" w:pos="7020"/>
        </w:tabs>
        <w:suppressAutoHyphens/>
        <w:ind w:right="-720"/>
        <w:jc w:val="both"/>
        <w:rPr>
          <w:spacing w:val="-2"/>
          <w:sz w:val="22"/>
          <w:szCs w:val="22"/>
          <w:lang w:val="fr-CA"/>
        </w:rPr>
      </w:pPr>
      <w:r w:rsidRPr="00F55D96">
        <w:rPr>
          <w:spacing w:val="-2"/>
          <w:sz w:val="22"/>
          <w:szCs w:val="22"/>
          <w:lang w:val="fr-CA"/>
        </w:rPr>
        <w:t>Washington</w:t>
      </w:r>
      <w:r w:rsidR="00861EF4" w:rsidRPr="00F55D96">
        <w:rPr>
          <w:spacing w:val="-2"/>
          <w:sz w:val="22"/>
          <w:szCs w:val="22"/>
          <w:lang w:val="fr-CA"/>
        </w:rPr>
        <w:t>,</w:t>
      </w:r>
      <w:r w:rsidRPr="00F55D96">
        <w:rPr>
          <w:spacing w:val="-2"/>
          <w:sz w:val="22"/>
          <w:szCs w:val="22"/>
          <w:lang w:val="fr-CA"/>
        </w:rPr>
        <w:t xml:space="preserve"> D.C. </w:t>
      </w:r>
      <w:r w:rsidRPr="00F55D96">
        <w:rPr>
          <w:spacing w:val="-2"/>
          <w:sz w:val="22"/>
          <w:szCs w:val="22"/>
          <w:lang w:val="fr-CA"/>
        </w:rPr>
        <w:tab/>
      </w:r>
      <w:r w:rsidR="00F55D96" w:rsidRPr="00F55D96">
        <w:rPr>
          <w:spacing w:val="-2"/>
          <w:sz w:val="22"/>
          <w:szCs w:val="22"/>
          <w:lang w:val="fr-CA"/>
        </w:rPr>
        <w:t xml:space="preserve">12 </w:t>
      </w:r>
      <w:r w:rsidR="00861EF4" w:rsidRPr="00F55D96">
        <w:rPr>
          <w:spacing w:val="-2"/>
          <w:sz w:val="22"/>
          <w:szCs w:val="22"/>
          <w:lang w:val="fr-CA"/>
        </w:rPr>
        <w:t xml:space="preserve">septembre </w:t>
      </w:r>
      <w:r w:rsidRPr="00F55D96">
        <w:rPr>
          <w:spacing w:val="-2"/>
          <w:sz w:val="22"/>
          <w:szCs w:val="22"/>
          <w:lang w:val="fr-CA"/>
        </w:rPr>
        <w:t>2022</w:t>
      </w:r>
    </w:p>
    <w:p w14:paraId="60FBEEBF" w14:textId="77777777" w:rsidR="00852B25" w:rsidRPr="00F55D96" w:rsidRDefault="00852B25" w:rsidP="00852B25">
      <w:pPr>
        <w:tabs>
          <w:tab w:val="left" w:pos="7020"/>
        </w:tabs>
        <w:suppressAutoHyphens/>
        <w:ind w:right="-720"/>
        <w:jc w:val="both"/>
        <w:rPr>
          <w:sz w:val="22"/>
          <w:szCs w:val="22"/>
          <w:lang w:val="fr-CA"/>
        </w:rPr>
      </w:pPr>
      <w:r w:rsidRPr="00F55D96">
        <w:rPr>
          <w:caps/>
          <w:sz w:val="22"/>
          <w:szCs w:val="22"/>
          <w:lang w:val="fr-CA"/>
        </w:rPr>
        <w:tab/>
      </w:r>
      <w:r w:rsidRPr="00F55D96">
        <w:rPr>
          <w:sz w:val="22"/>
          <w:szCs w:val="22"/>
          <w:lang w:val="fr-CA"/>
        </w:rPr>
        <w:t>Original: anglais</w:t>
      </w:r>
    </w:p>
    <w:p w14:paraId="3C0306E7" w14:textId="77777777" w:rsidR="00852B25" w:rsidRPr="00F55D96" w:rsidRDefault="00852B25" w:rsidP="004B67E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fr-CA"/>
        </w:rPr>
      </w:pPr>
    </w:p>
    <w:p w14:paraId="5B2CACE0" w14:textId="77777777" w:rsidR="00852B25" w:rsidRPr="00F55D96" w:rsidRDefault="00852B25" w:rsidP="004B67E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fr-CA"/>
        </w:rPr>
      </w:pPr>
    </w:p>
    <w:p w14:paraId="5BF0E8DC" w14:textId="77777777" w:rsidR="00852B25" w:rsidRPr="00F55D96" w:rsidRDefault="00852B25" w:rsidP="004B67E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fr-CA"/>
        </w:rPr>
      </w:pPr>
    </w:p>
    <w:p w14:paraId="442237CF" w14:textId="77777777" w:rsidR="00852B25" w:rsidRPr="00F55D96" w:rsidRDefault="00852B25" w:rsidP="004B67E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fr-CA"/>
        </w:rPr>
      </w:pPr>
    </w:p>
    <w:p w14:paraId="6FC3CBA6" w14:textId="77777777" w:rsidR="00852B25" w:rsidRPr="00F55D96" w:rsidRDefault="00852B25" w:rsidP="004B67E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fr-CA"/>
        </w:rPr>
      </w:pPr>
    </w:p>
    <w:p w14:paraId="45689C23" w14:textId="77777777" w:rsidR="00852B25" w:rsidRPr="00F55D96" w:rsidRDefault="00852B25" w:rsidP="004B67E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fr-CA"/>
        </w:rPr>
      </w:pPr>
    </w:p>
    <w:p w14:paraId="593AB5DE" w14:textId="77777777" w:rsidR="00852B25" w:rsidRPr="00F55D96" w:rsidRDefault="00852B25" w:rsidP="004B67E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fr-CA"/>
        </w:rPr>
      </w:pPr>
    </w:p>
    <w:p w14:paraId="3C5FE69B" w14:textId="77777777" w:rsidR="00852B25" w:rsidRPr="00F55D96" w:rsidRDefault="00852B25" w:rsidP="004B67E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fr-CA"/>
        </w:rPr>
      </w:pPr>
    </w:p>
    <w:p w14:paraId="461EA3CC" w14:textId="77777777" w:rsidR="00852B25" w:rsidRPr="00F55D96" w:rsidRDefault="00852B25" w:rsidP="004B67E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fr-CA"/>
        </w:rPr>
      </w:pPr>
    </w:p>
    <w:p w14:paraId="207E9AA2" w14:textId="77777777" w:rsidR="00852B25" w:rsidRPr="00F55D96" w:rsidRDefault="00852B25" w:rsidP="004B67E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fr-CA"/>
        </w:rPr>
      </w:pPr>
    </w:p>
    <w:p w14:paraId="33FF044E" w14:textId="77777777" w:rsidR="00852B25" w:rsidRPr="00F55D96" w:rsidRDefault="00852B25" w:rsidP="004B67E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fr-CA"/>
        </w:rPr>
      </w:pPr>
    </w:p>
    <w:p w14:paraId="5954FACD" w14:textId="7A32BF5B" w:rsidR="00852B25" w:rsidRPr="00F55D96" w:rsidRDefault="00852B25" w:rsidP="004B67E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fr-CA"/>
        </w:rPr>
      </w:pPr>
    </w:p>
    <w:p w14:paraId="07E4019E" w14:textId="77777777" w:rsidR="004B67E8" w:rsidRPr="00F55D96" w:rsidRDefault="004B67E8" w:rsidP="004B67E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fr-CA"/>
        </w:rPr>
      </w:pPr>
    </w:p>
    <w:p w14:paraId="2C267BD7" w14:textId="65779036" w:rsidR="00852B25" w:rsidRPr="00F55D96" w:rsidRDefault="00852B25" w:rsidP="00852B25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  <w:lang w:val="fr-CA"/>
        </w:rPr>
      </w:pPr>
      <w:r w:rsidRPr="00F55D96">
        <w:rPr>
          <w:rStyle w:val="normaltextrun"/>
          <w:sz w:val="22"/>
          <w:szCs w:val="22"/>
          <w:lang w:val="fr-CA"/>
        </w:rPr>
        <w:t>RÈGLEMENT DE LA RÉUNION DES ÉTATS PARTIES</w:t>
      </w:r>
    </w:p>
    <w:p w14:paraId="5B69BA20" w14:textId="496DE789" w:rsidR="00852B25" w:rsidRPr="00F55D96" w:rsidRDefault="00852B25" w:rsidP="00852B25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>À LA CONVENTION INTERAMÉRICAINE CONTRE LE TERRORISM</w:t>
      </w:r>
      <w:r w:rsidR="00227A2A" w:rsidRPr="00F55D96">
        <w:rPr>
          <w:sz w:val="22"/>
          <w:szCs w:val="22"/>
          <w:lang w:val="fr-CA"/>
        </w:rPr>
        <w:t>E</w:t>
      </w:r>
    </w:p>
    <w:p w14:paraId="185845DE" w14:textId="77777777" w:rsidR="00F55D96" w:rsidRPr="00F55D96" w:rsidRDefault="00F55D96" w:rsidP="00852B25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  <w:lang w:val="fr-CA"/>
        </w:rPr>
      </w:pPr>
    </w:p>
    <w:p w14:paraId="246B4637" w14:textId="44805EB3" w:rsidR="00F55D96" w:rsidRPr="00F55D96" w:rsidRDefault="00F55D96" w:rsidP="00F55D96">
      <w:pPr>
        <w:jc w:val="center"/>
        <w:rPr>
          <w:color w:val="000000"/>
          <w:sz w:val="22"/>
          <w:szCs w:val="22"/>
          <w:lang w:val="fr-FR"/>
        </w:rPr>
      </w:pPr>
      <w:r w:rsidRPr="00F55D96">
        <w:rPr>
          <w:sz w:val="22"/>
          <w:szCs w:val="22"/>
          <w:lang w:val="fr-FR"/>
        </w:rPr>
        <w:t>(Approuvé</w:t>
      </w:r>
      <w:r w:rsidRPr="00F55D96">
        <w:rPr>
          <w:spacing w:val="-2"/>
          <w:sz w:val="22"/>
          <w:szCs w:val="22"/>
          <w:lang w:val="fr-FR"/>
        </w:rPr>
        <w:t xml:space="preserve"> </w:t>
      </w:r>
      <w:r w:rsidRPr="00F55D96">
        <w:rPr>
          <w:sz w:val="22"/>
          <w:szCs w:val="22"/>
          <w:lang w:val="fr-CA"/>
        </w:rPr>
        <w:t>lors de la réunion</w:t>
      </w:r>
      <w:r w:rsidRPr="00F55D96">
        <w:rPr>
          <w:spacing w:val="-2"/>
          <w:sz w:val="22"/>
          <w:szCs w:val="22"/>
          <w:lang w:val="fr-FR"/>
        </w:rPr>
        <w:t xml:space="preserve"> tenue le </w:t>
      </w:r>
      <w:r w:rsidRPr="00F55D96">
        <w:rPr>
          <w:sz w:val="22"/>
          <w:szCs w:val="22"/>
          <w:lang w:val="fr-CA"/>
        </w:rPr>
        <w:t>12 septembre 2022</w:t>
      </w:r>
      <w:r w:rsidRPr="00F55D96">
        <w:rPr>
          <w:color w:val="000000"/>
          <w:sz w:val="22"/>
          <w:szCs w:val="22"/>
          <w:lang w:val="fr-FR"/>
        </w:rPr>
        <w:t>)</w:t>
      </w:r>
    </w:p>
    <w:p w14:paraId="71508DE0" w14:textId="77777777" w:rsidR="00852B25" w:rsidRPr="00F55D96" w:rsidRDefault="00852B25" w:rsidP="004B67E8">
      <w:pPr>
        <w:suppressAutoHyphens/>
        <w:ind w:right="-29"/>
        <w:jc w:val="both"/>
        <w:rPr>
          <w:bCs/>
          <w:caps/>
          <w:sz w:val="22"/>
          <w:szCs w:val="22"/>
          <w:lang w:val="fr-FR"/>
        </w:rPr>
      </w:pPr>
    </w:p>
    <w:p w14:paraId="0F7112C1" w14:textId="77777777" w:rsidR="004B67E8" w:rsidRPr="00F55D96" w:rsidRDefault="004B67E8" w:rsidP="00EF1282">
      <w:pPr>
        <w:pStyle w:val="BodyText"/>
        <w:widowControl/>
        <w:jc w:val="both"/>
        <w:rPr>
          <w:b w:val="0"/>
          <w:bCs w:val="0"/>
          <w:sz w:val="22"/>
          <w:szCs w:val="22"/>
          <w:lang w:val="fr-CA"/>
        </w:rPr>
        <w:sectPr w:rsidR="004B67E8" w:rsidRPr="00F55D96" w:rsidSect="004B67E8">
          <w:headerReference w:type="default" r:id="rId7"/>
          <w:footerReference w:type="default" r:id="rId8"/>
          <w:headerReference w:type="first" r:id="rId9"/>
          <w:footerReference w:type="first" r:id="rId10"/>
          <w:type w:val="oddPage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</w:sectPr>
      </w:pPr>
    </w:p>
    <w:p w14:paraId="19860DAA" w14:textId="51B07DAE" w:rsidR="00852B25" w:rsidRPr="00F55D96" w:rsidRDefault="00852B25" w:rsidP="00852B25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  <w:lang w:val="fr-CA"/>
        </w:rPr>
      </w:pPr>
      <w:r w:rsidRPr="00F55D96">
        <w:rPr>
          <w:rStyle w:val="normaltextrun"/>
          <w:sz w:val="22"/>
          <w:szCs w:val="22"/>
          <w:lang w:val="fr-CA"/>
        </w:rPr>
        <w:lastRenderedPageBreak/>
        <w:t xml:space="preserve">RÈGLEMENT DE LA RÉUNION DES ÉTATS PARTIES </w:t>
      </w:r>
    </w:p>
    <w:p w14:paraId="46C6F3F2" w14:textId="5B6C792F" w:rsidR="00852B25" w:rsidRPr="00F55D96" w:rsidRDefault="00852B25" w:rsidP="00852B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>À LA CONVENTION INTERAMÉRICAINE CONTRE LE TERRORISM</w:t>
      </w:r>
      <w:r w:rsidR="00227A2A" w:rsidRPr="00F55D96">
        <w:rPr>
          <w:sz w:val="22"/>
          <w:szCs w:val="22"/>
          <w:lang w:val="fr-CA"/>
        </w:rPr>
        <w:t>E</w:t>
      </w:r>
      <w:r w:rsidRPr="00F55D96">
        <w:rPr>
          <w:rStyle w:val="eop"/>
          <w:sz w:val="22"/>
          <w:szCs w:val="22"/>
          <w:lang w:val="fr-CA"/>
        </w:rPr>
        <w:t> </w:t>
      </w:r>
    </w:p>
    <w:p w14:paraId="6B71F93B" w14:textId="77777777" w:rsidR="00F55D96" w:rsidRPr="00F55D96" w:rsidRDefault="00F55D96" w:rsidP="00852B25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  <w:lang w:val="fr-CA"/>
        </w:rPr>
      </w:pPr>
    </w:p>
    <w:p w14:paraId="738C5343" w14:textId="7C97823E" w:rsidR="00F55D96" w:rsidRPr="00F55D96" w:rsidRDefault="00F55D96" w:rsidP="00F55D96">
      <w:pPr>
        <w:jc w:val="center"/>
        <w:rPr>
          <w:color w:val="000000"/>
          <w:sz w:val="22"/>
          <w:szCs w:val="22"/>
          <w:lang w:val="fr-FR"/>
        </w:rPr>
      </w:pPr>
      <w:r w:rsidRPr="00F55D96">
        <w:rPr>
          <w:sz w:val="22"/>
          <w:szCs w:val="22"/>
          <w:lang w:val="fr-FR"/>
        </w:rPr>
        <w:t>(Approuvé</w:t>
      </w:r>
      <w:r w:rsidRPr="00F55D96">
        <w:rPr>
          <w:spacing w:val="-2"/>
          <w:sz w:val="22"/>
          <w:szCs w:val="22"/>
          <w:lang w:val="fr-FR"/>
        </w:rPr>
        <w:t xml:space="preserve"> </w:t>
      </w:r>
      <w:r w:rsidRPr="00F55D96">
        <w:rPr>
          <w:sz w:val="22"/>
          <w:szCs w:val="22"/>
          <w:lang w:val="fr-CA"/>
        </w:rPr>
        <w:t>lors de la réunion</w:t>
      </w:r>
      <w:r w:rsidRPr="00F55D96">
        <w:rPr>
          <w:spacing w:val="-2"/>
          <w:sz w:val="22"/>
          <w:szCs w:val="22"/>
          <w:lang w:val="fr-FR"/>
        </w:rPr>
        <w:t xml:space="preserve"> tenue le </w:t>
      </w:r>
      <w:r w:rsidRPr="00F55D96">
        <w:rPr>
          <w:sz w:val="22"/>
          <w:szCs w:val="22"/>
          <w:lang w:val="fr-CA"/>
        </w:rPr>
        <w:t>12 septembre 2022</w:t>
      </w:r>
      <w:r w:rsidRPr="00F55D96">
        <w:rPr>
          <w:color w:val="000000"/>
          <w:sz w:val="22"/>
          <w:szCs w:val="22"/>
          <w:lang w:val="fr-FR"/>
        </w:rPr>
        <w:t>)</w:t>
      </w:r>
    </w:p>
    <w:p w14:paraId="0AEFEFE2" w14:textId="77777777" w:rsidR="00852B25" w:rsidRPr="00F55D96" w:rsidRDefault="00852B25" w:rsidP="004B67E8">
      <w:pPr>
        <w:pStyle w:val="BodyText"/>
        <w:widowControl/>
        <w:jc w:val="both"/>
        <w:rPr>
          <w:b w:val="0"/>
          <w:bCs w:val="0"/>
          <w:sz w:val="22"/>
          <w:szCs w:val="22"/>
          <w:lang w:val="fr-FR"/>
        </w:rPr>
      </w:pPr>
    </w:p>
    <w:p w14:paraId="31D25E36" w14:textId="77777777" w:rsidR="00AA4C6C" w:rsidRPr="00F55D96" w:rsidRDefault="00AA4C6C" w:rsidP="004B67E8">
      <w:pPr>
        <w:jc w:val="both"/>
        <w:rPr>
          <w:sz w:val="22"/>
          <w:szCs w:val="22"/>
          <w:lang w:val="fr-CA"/>
        </w:rPr>
      </w:pPr>
    </w:p>
    <w:p w14:paraId="6E74FE6D" w14:textId="77777777" w:rsidR="005C2034" w:rsidRPr="00F55D96" w:rsidRDefault="00852B25" w:rsidP="00EF1282">
      <w:pPr>
        <w:pStyle w:val="Heading1"/>
        <w:widowControl/>
        <w:rPr>
          <w:b w:val="0"/>
          <w:bCs w:val="0"/>
          <w:sz w:val="22"/>
          <w:szCs w:val="22"/>
          <w:lang w:val="fr-CA"/>
        </w:rPr>
      </w:pPr>
      <w:r w:rsidRPr="00F55D96">
        <w:rPr>
          <w:b w:val="0"/>
          <w:bCs w:val="0"/>
          <w:sz w:val="22"/>
          <w:szCs w:val="22"/>
          <w:lang w:val="fr-CA"/>
        </w:rPr>
        <w:t>CHAPITRE</w:t>
      </w:r>
      <w:r w:rsidR="005C2034" w:rsidRPr="00F55D96">
        <w:rPr>
          <w:b w:val="0"/>
          <w:bCs w:val="0"/>
          <w:sz w:val="22"/>
          <w:szCs w:val="22"/>
          <w:lang w:val="fr-CA"/>
        </w:rPr>
        <w:t xml:space="preserve"> I</w:t>
      </w:r>
    </w:p>
    <w:p w14:paraId="1951A060" w14:textId="77777777" w:rsidR="005C2034" w:rsidRPr="00F55D96" w:rsidRDefault="005C2034" w:rsidP="00EF1282">
      <w:pPr>
        <w:widowControl/>
        <w:jc w:val="center"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 xml:space="preserve">NATURE </w:t>
      </w:r>
      <w:r w:rsidR="00852B25" w:rsidRPr="00F55D96">
        <w:rPr>
          <w:sz w:val="22"/>
          <w:szCs w:val="22"/>
          <w:lang w:val="fr-CA"/>
        </w:rPr>
        <w:t xml:space="preserve">ET OBJET DE LA RÉUNION DE </w:t>
      </w:r>
      <w:r w:rsidR="00252EA8" w:rsidRPr="00F55D96">
        <w:rPr>
          <w:sz w:val="22"/>
          <w:szCs w:val="22"/>
          <w:lang w:val="fr-CA"/>
        </w:rPr>
        <w:t>CONSUL</w:t>
      </w:r>
      <w:r w:rsidR="0082731B" w:rsidRPr="00F55D96">
        <w:rPr>
          <w:sz w:val="22"/>
          <w:szCs w:val="22"/>
          <w:lang w:val="fr-CA"/>
        </w:rPr>
        <w:t>T</w:t>
      </w:r>
      <w:r w:rsidR="00252EA8" w:rsidRPr="00F55D96">
        <w:rPr>
          <w:sz w:val="22"/>
          <w:szCs w:val="22"/>
          <w:lang w:val="fr-CA"/>
        </w:rPr>
        <w:t>ATION</w:t>
      </w:r>
    </w:p>
    <w:p w14:paraId="6B823141" w14:textId="77777777" w:rsidR="005C2034" w:rsidRPr="00F55D96" w:rsidRDefault="005C2034" w:rsidP="00EF1282">
      <w:pPr>
        <w:widowControl/>
        <w:jc w:val="both"/>
        <w:rPr>
          <w:sz w:val="22"/>
          <w:szCs w:val="22"/>
          <w:lang w:val="fr-CA"/>
        </w:rPr>
      </w:pPr>
    </w:p>
    <w:p w14:paraId="7CA87528" w14:textId="77777777" w:rsidR="005C2034" w:rsidRPr="00F55D96" w:rsidRDefault="005C2034" w:rsidP="00EF1282">
      <w:pPr>
        <w:pStyle w:val="Heading2"/>
        <w:widowControl/>
        <w:rPr>
          <w:b w:val="0"/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>Article 1</w:t>
      </w:r>
    </w:p>
    <w:p w14:paraId="65A38B1F" w14:textId="77777777" w:rsidR="005C2034" w:rsidRPr="00F55D96" w:rsidRDefault="005C2034" w:rsidP="00EF1282">
      <w:pPr>
        <w:widowControl/>
        <w:jc w:val="both"/>
        <w:rPr>
          <w:sz w:val="22"/>
          <w:szCs w:val="22"/>
          <w:lang w:val="fr-CA"/>
        </w:rPr>
      </w:pPr>
    </w:p>
    <w:p w14:paraId="4E1D0D63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ab/>
      </w:r>
      <w:r w:rsidR="00852B25" w:rsidRPr="00F55D96">
        <w:rPr>
          <w:sz w:val="22"/>
          <w:szCs w:val="22"/>
          <w:lang w:val="fr-CA"/>
        </w:rPr>
        <w:t xml:space="preserve">Les États parties à la </w:t>
      </w:r>
      <w:r w:rsidR="009C5325" w:rsidRPr="00F55D96">
        <w:rPr>
          <w:sz w:val="22"/>
          <w:szCs w:val="22"/>
          <w:lang w:val="fr-CA"/>
        </w:rPr>
        <w:t xml:space="preserve">Convention </w:t>
      </w:r>
      <w:r w:rsidR="00852B25" w:rsidRPr="00F55D96">
        <w:rPr>
          <w:sz w:val="22"/>
          <w:szCs w:val="22"/>
          <w:lang w:val="fr-CA"/>
        </w:rPr>
        <w:t xml:space="preserve">interaméricaine contre le terrorisme </w:t>
      </w:r>
      <w:r w:rsidR="009C5325" w:rsidRPr="00F55D96">
        <w:rPr>
          <w:sz w:val="22"/>
          <w:szCs w:val="22"/>
          <w:lang w:val="fr-CA"/>
        </w:rPr>
        <w:t>(</w:t>
      </w:r>
      <w:r w:rsidR="00852B25" w:rsidRPr="00F55D96">
        <w:rPr>
          <w:sz w:val="22"/>
          <w:szCs w:val="22"/>
          <w:lang w:val="fr-CA"/>
        </w:rPr>
        <w:t>ci-après « la Convention »</w:t>
      </w:r>
      <w:r w:rsidR="009C5325" w:rsidRPr="00F55D96">
        <w:rPr>
          <w:sz w:val="22"/>
          <w:szCs w:val="22"/>
          <w:lang w:val="fr-CA"/>
        </w:rPr>
        <w:t>)</w:t>
      </w:r>
      <w:r w:rsidRPr="00F55D96">
        <w:rPr>
          <w:sz w:val="22"/>
          <w:szCs w:val="22"/>
          <w:lang w:val="fr-CA"/>
        </w:rPr>
        <w:t xml:space="preserve"> </w:t>
      </w:r>
      <w:r w:rsidR="00852B25" w:rsidRPr="00F55D96">
        <w:rPr>
          <w:sz w:val="22"/>
          <w:szCs w:val="22"/>
          <w:lang w:val="fr-CA"/>
        </w:rPr>
        <w:t>tiennent périodiquement des réunions de consultation (ci-après la « Réunion de c</w:t>
      </w:r>
      <w:r w:rsidR="00252EA8" w:rsidRPr="00F55D96">
        <w:rPr>
          <w:sz w:val="22"/>
          <w:szCs w:val="22"/>
          <w:lang w:val="fr-CA"/>
        </w:rPr>
        <w:t>onsultation</w:t>
      </w:r>
      <w:r w:rsidR="00852B25" w:rsidRPr="00F55D96">
        <w:rPr>
          <w:sz w:val="22"/>
          <w:szCs w:val="22"/>
          <w:lang w:val="fr-CA"/>
        </w:rPr>
        <w:t> »</w:t>
      </w:r>
      <w:r w:rsidR="00252EA8" w:rsidRPr="00F55D96">
        <w:rPr>
          <w:sz w:val="22"/>
          <w:szCs w:val="22"/>
          <w:lang w:val="fr-CA"/>
        </w:rPr>
        <w:t xml:space="preserve">) </w:t>
      </w:r>
      <w:r w:rsidR="00852B25" w:rsidRPr="00F55D96">
        <w:rPr>
          <w:sz w:val="22"/>
          <w:szCs w:val="22"/>
          <w:lang w:val="fr-CA"/>
        </w:rPr>
        <w:t>conformément à l’a</w:t>
      </w:r>
      <w:r w:rsidRPr="00F55D96">
        <w:rPr>
          <w:sz w:val="22"/>
          <w:szCs w:val="22"/>
          <w:lang w:val="fr-CA"/>
        </w:rPr>
        <w:t>rticle</w:t>
      </w:r>
      <w:r w:rsidR="00E81558" w:rsidRPr="00F55D96">
        <w:rPr>
          <w:sz w:val="22"/>
          <w:szCs w:val="22"/>
          <w:lang w:val="fr-CA"/>
        </w:rPr>
        <w:t xml:space="preserve"> 18 </w:t>
      </w:r>
      <w:r w:rsidR="00852B25" w:rsidRPr="00F55D96">
        <w:rPr>
          <w:sz w:val="22"/>
          <w:szCs w:val="22"/>
          <w:lang w:val="fr-CA"/>
        </w:rPr>
        <w:t xml:space="preserve">de cette </w:t>
      </w:r>
      <w:r w:rsidRPr="00F55D96">
        <w:rPr>
          <w:sz w:val="22"/>
          <w:szCs w:val="22"/>
          <w:lang w:val="fr-CA"/>
        </w:rPr>
        <w:t>Convention.</w:t>
      </w:r>
    </w:p>
    <w:p w14:paraId="4B9762BC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09B3A2FD" w14:textId="77777777" w:rsidR="005C2034" w:rsidRPr="00F55D96" w:rsidRDefault="005C2034" w:rsidP="00EF1282">
      <w:pPr>
        <w:pStyle w:val="BodyTextIndent"/>
        <w:widowControl/>
        <w:rPr>
          <w:b/>
          <w:bCs/>
          <w:sz w:val="22"/>
          <w:szCs w:val="22"/>
          <w:lang w:val="fr-CA"/>
        </w:rPr>
      </w:pPr>
      <w:r w:rsidRPr="00F55D96">
        <w:rPr>
          <w:b/>
          <w:bCs/>
          <w:sz w:val="22"/>
          <w:szCs w:val="22"/>
          <w:lang w:val="fr-CA"/>
        </w:rPr>
        <w:t>Article 2</w:t>
      </w:r>
    </w:p>
    <w:p w14:paraId="4B806B79" w14:textId="77777777" w:rsidR="005C2034" w:rsidRPr="00F55D96" w:rsidRDefault="005C2034" w:rsidP="00EF1282">
      <w:pPr>
        <w:pStyle w:val="BodyTextIndent"/>
        <w:widowControl/>
        <w:rPr>
          <w:bCs/>
          <w:sz w:val="22"/>
          <w:szCs w:val="22"/>
          <w:lang w:val="fr-CA"/>
        </w:rPr>
      </w:pPr>
    </w:p>
    <w:p w14:paraId="18A7D734" w14:textId="4D0D5989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ab/>
      </w:r>
      <w:r w:rsidR="00852B25" w:rsidRPr="00F55D96">
        <w:rPr>
          <w:sz w:val="22"/>
          <w:szCs w:val="22"/>
          <w:lang w:val="fr-CA"/>
        </w:rPr>
        <w:t>L</w:t>
      </w:r>
      <w:r w:rsidR="0082731B" w:rsidRPr="00F55D96">
        <w:rPr>
          <w:sz w:val="22"/>
          <w:szCs w:val="22"/>
          <w:lang w:val="fr-CA"/>
        </w:rPr>
        <w:t xml:space="preserve">a </w:t>
      </w:r>
      <w:r w:rsidR="00852B25" w:rsidRPr="00F55D96">
        <w:rPr>
          <w:sz w:val="22"/>
          <w:szCs w:val="22"/>
          <w:lang w:val="fr-CA"/>
        </w:rPr>
        <w:t>Réunion de c</w:t>
      </w:r>
      <w:r w:rsidR="00252EA8" w:rsidRPr="00F55D96">
        <w:rPr>
          <w:sz w:val="22"/>
          <w:szCs w:val="22"/>
          <w:lang w:val="fr-CA"/>
        </w:rPr>
        <w:t>onsultation</w:t>
      </w:r>
      <w:r w:rsidR="001050F8" w:rsidRPr="00F55D96">
        <w:rPr>
          <w:sz w:val="22"/>
          <w:szCs w:val="22"/>
          <w:lang w:val="fr-CA"/>
        </w:rPr>
        <w:t xml:space="preserve"> </w:t>
      </w:r>
      <w:r w:rsidR="0082731B" w:rsidRPr="00F55D96">
        <w:rPr>
          <w:sz w:val="22"/>
          <w:szCs w:val="22"/>
          <w:lang w:val="fr-CA"/>
        </w:rPr>
        <w:t xml:space="preserve">a pour objet la rencontre des États parties afin </w:t>
      </w:r>
      <w:r w:rsidR="00852B25" w:rsidRPr="00F55D96">
        <w:rPr>
          <w:sz w:val="22"/>
          <w:szCs w:val="22"/>
          <w:lang w:val="fr-CA"/>
        </w:rPr>
        <w:t>de faciliter la mise en œuvre des fonctions énoncées à l’article 3 du présent Règlement.</w:t>
      </w:r>
      <w:r w:rsidR="001F7D16" w:rsidRPr="00F55D96">
        <w:rPr>
          <w:sz w:val="22"/>
          <w:szCs w:val="22"/>
          <w:lang w:val="fr-CA"/>
        </w:rPr>
        <w:t xml:space="preserve"> </w:t>
      </w:r>
    </w:p>
    <w:p w14:paraId="79F79BFC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2B28184C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3C38D7ED" w14:textId="77777777" w:rsidR="005C2034" w:rsidRPr="00F55D96" w:rsidRDefault="00852B25" w:rsidP="00EF1282">
      <w:pPr>
        <w:pStyle w:val="BodyTextIndent"/>
        <w:widowControl/>
        <w:jc w:val="center"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>CHAPITRE</w:t>
      </w:r>
      <w:r w:rsidR="005C2034" w:rsidRPr="00F55D96">
        <w:rPr>
          <w:sz w:val="22"/>
          <w:szCs w:val="22"/>
          <w:lang w:val="fr-CA"/>
        </w:rPr>
        <w:t xml:space="preserve"> II</w:t>
      </w:r>
    </w:p>
    <w:p w14:paraId="6BC08167" w14:textId="77777777" w:rsidR="005C2034" w:rsidRPr="00F55D96" w:rsidRDefault="00854CBC" w:rsidP="00EF1282">
      <w:pPr>
        <w:pStyle w:val="BodyTextIndent"/>
        <w:widowControl/>
        <w:jc w:val="center"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 xml:space="preserve">FONCTIONS </w:t>
      </w:r>
    </w:p>
    <w:p w14:paraId="5331323F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21616F09" w14:textId="77777777" w:rsidR="005C2034" w:rsidRPr="00F55D96" w:rsidRDefault="005C2034" w:rsidP="00EF1282">
      <w:pPr>
        <w:pStyle w:val="BodyTextIndent"/>
        <w:widowControl/>
        <w:rPr>
          <w:b/>
          <w:bCs/>
          <w:sz w:val="22"/>
          <w:szCs w:val="22"/>
          <w:lang w:val="fr-CA"/>
        </w:rPr>
      </w:pPr>
      <w:r w:rsidRPr="00F55D96">
        <w:rPr>
          <w:b/>
          <w:bCs/>
          <w:sz w:val="22"/>
          <w:szCs w:val="22"/>
          <w:lang w:val="fr-CA"/>
        </w:rPr>
        <w:t>Article 3</w:t>
      </w:r>
    </w:p>
    <w:p w14:paraId="31ED5F12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7A651538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ab/>
      </w:r>
      <w:r w:rsidR="007A1C5D" w:rsidRPr="00F55D96">
        <w:rPr>
          <w:sz w:val="22"/>
          <w:szCs w:val="22"/>
          <w:lang w:val="fr-CA"/>
        </w:rPr>
        <w:t xml:space="preserve">Pour </w:t>
      </w:r>
      <w:r w:rsidR="00854CBC" w:rsidRPr="00F55D96">
        <w:rPr>
          <w:sz w:val="22"/>
          <w:szCs w:val="22"/>
          <w:lang w:val="fr-CA"/>
        </w:rPr>
        <w:t xml:space="preserve">réaliser son objet, </w:t>
      </w:r>
      <w:r w:rsidR="007A1C5D" w:rsidRPr="00F55D96">
        <w:rPr>
          <w:sz w:val="22"/>
          <w:szCs w:val="22"/>
          <w:lang w:val="fr-CA"/>
        </w:rPr>
        <w:t xml:space="preserve">la Réunion de consultation a les fonctions suivantes en vertu de l’article </w:t>
      </w:r>
      <w:r w:rsidR="00E81558" w:rsidRPr="00F55D96">
        <w:rPr>
          <w:sz w:val="22"/>
          <w:szCs w:val="22"/>
          <w:lang w:val="fr-CA"/>
        </w:rPr>
        <w:t>18</w:t>
      </w:r>
      <w:r w:rsidR="007A1C5D" w:rsidRPr="00F55D96">
        <w:rPr>
          <w:sz w:val="22"/>
          <w:szCs w:val="22"/>
          <w:lang w:val="fr-CA"/>
        </w:rPr>
        <w:t xml:space="preserve"> </w:t>
      </w:r>
      <w:r w:rsidR="00BE7FDB" w:rsidRPr="00F55D96">
        <w:rPr>
          <w:sz w:val="22"/>
          <w:szCs w:val="22"/>
          <w:lang w:val="fr-CA"/>
        </w:rPr>
        <w:t>(1)</w:t>
      </w:r>
      <w:r w:rsidR="00E81558" w:rsidRPr="00F55D96">
        <w:rPr>
          <w:sz w:val="22"/>
          <w:szCs w:val="22"/>
          <w:lang w:val="fr-CA"/>
        </w:rPr>
        <w:t xml:space="preserve"> </w:t>
      </w:r>
      <w:r w:rsidR="007A1C5D" w:rsidRPr="00F55D96">
        <w:rPr>
          <w:sz w:val="22"/>
          <w:szCs w:val="22"/>
          <w:lang w:val="fr-CA"/>
        </w:rPr>
        <w:t xml:space="preserve">de la </w:t>
      </w:r>
      <w:r w:rsidR="00E81558" w:rsidRPr="00F55D96">
        <w:rPr>
          <w:sz w:val="22"/>
          <w:szCs w:val="22"/>
          <w:lang w:val="fr-CA"/>
        </w:rPr>
        <w:t>Convention</w:t>
      </w:r>
      <w:r w:rsidRPr="00F55D96">
        <w:rPr>
          <w:sz w:val="22"/>
          <w:szCs w:val="22"/>
          <w:lang w:val="fr-CA"/>
        </w:rPr>
        <w:t>:</w:t>
      </w:r>
    </w:p>
    <w:p w14:paraId="12EC03D3" w14:textId="77777777" w:rsidR="00E81558" w:rsidRPr="00F55D96" w:rsidRDefault="00E81558" w:rsidP="00EF1282">
      <w:pPr>
        <w:pStyle w:val="BodyTextIndent"/>
        <w:widowControl/>
        <w:rPr>
          <w:sz w:val="22"/>
          <w:szCs w:val="22"/>
          <w:lang w:val="fr-CA"/>
        </w:rPr>
      </w:pPr>
    </w:p>
    <w:p w14:paraId="035B8082" w14:textId="77777777" w:rsidR="00E81558" w:rsidRPr="00F55D96" w:rsidRDefault="007A1C5D" w:rsidP="00EF1282">
      <w:pPr>
        <w:pStyle w:val="BodyTextIndent"/>
        <w:widowControl/>
        <w:numPr>
          <w:ilvl w:val="0"/>
          <w:numId w:val="15"/>
        </w:numPr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>La mise en œuvre intégrale de la</w:t>
      </w:r>
      <w:r w:rsidR="00E81558" w:rsidRPr="00F55D96">
        <w:rPr>
          <w:sz w:val="22"/>
          <w:szCs w:val="22"/>
          <w:lang w:val="fr-CA"/>
        </w:rPr>
        <w:t xml:space="preserve"> Convention, </w:t>
      </w:r>
      <w:r w:rsidRPr="00F55D96">
        <w:rPr>
          <w:sz w:val="22"/>
          <w:szCs w:val="22"/>
          <w:lang w:val="fr-CA"/>
        </w:rPr>
        <w:t xml:space="preserve">notamment l’examen de questions liées à la Convention et identifiées par les États parties; </w:t>
      </w:r>
    </w:p>
    <w:p w14:paraId="685DC04F" w14:textId="2D7DFD77" w:rsidR="00E81558" w:rsidRPr="00F55D96" w:rsidRDefault="007A1C5D" w:rsidP="00EF1282">
      <w:pPr>
        <w:pStyle w:val="BodyTextIndent"/>
        <w:widowControl/>
        <w:numPr>
          <w:ilvl w:val="0"/>
          <w:numId w:val="15"/>
        </w:numPr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>L’échange de renseignements et de données d’expériences sur les moyens et les méthodes efficaces pour prévenir</w:t>
      </w:r>
      <w:r w:rsidR="00227A2A" w:rsidRPr="00F55D96">
        <w:rPr>
          <w:sz w:val="22"/>
          <w:szCs w:val="22"/>
          <w:lang w:val="fr-CA"/>
        </w:rPr>
        <w:t xml:space="preserve"> et</w:t>
      </w:r>
      <w:r w:rsidRPr="00F55D96">
        <w:rPr>
          <w:sz w:val="22"/>
          <w:szCs w:val="22"/>
          <w:lang w:val="fr-CA"/>
        </w:rPr>
        <w:t xml:space="preserve"> détecter le terrorisme, mener des enquêtes à son sujet et le sanctionner.</w:t>
      </w:r>
      <w:r w:rsidR="001F7D16" w:rsidRPr="00F55D96">
        <w:rPr>
          <w:sz w:val="22"/>
          <w:szCs w:val="22"/>
          <w:lang w:val="fr-CA"/>
        </w:rPr>
        <w:t xml:space="preserve"> </w:t>
      </w:r>
    </w:p>
    <w:p w14:paraId="6FA782AB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084CD083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05E7E4C5" w14:textId="77777777" w:rsidR="005C2034" w:rsidRPr="00F55D96" w:rsidRDefault="00852B25" w:rsidP="00EF1282">
      <w:pPr>
        <w:pStyle w:val="BodyTextIndent"/>
        <w:widowControl/>
        <w:ind w:left="360"/>
        <w:jc w:val="center"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>CHAPITRE</w:t>
      </w:r>
      <w:r w:rsidR="005C2034" w:rsidRPr="00F55D96">
        <w:rPr>
          <w:sz w:val="22"/>
          <w:szCs w:val="22"/>
          <w:lang w:val="fr-CA"/>
        </w:rPr>
        <w:t xml:space="preserve"> III</w:t>
      </w:r>
    </w:p>
    <w:p w14:paraId="2C400F5E" w14:textId="77777777" w:rsidR="005C2034" w:rsidRPr="00F55D96" w:rsidRDefault="005C2034" w:rsidP="00EF1282">
      <w:pPr>
        <w:pStyle w:val="BodyTextIndent"/>
        <w:widowControl/>
        <w:ind w:left="360"/>
        <w:jc w:val="center"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 xml:space="preserve">COMPOSITION </w:t>
      </w:r>
      <w:r w:rsidR="00AA14C7" w:rsidRPr="00F55D96">
        <w:rPr>
          <w:sz w:val="22"/>
          <w:szCs w:val="22"/>
          <w:lang w:val="fr-CA"/>
        </w:rPr>
        <w:t xml:space="preserve">ET </w:t>
      </w:r>
      <w:r w:rsidRPr="00F55D96">
        <w:rPr>
          <w:sz w:val="22"/>
          <w:szCs w:val="22"/>
          <w:lang w:val="fr-CA"/>
        </w:rPr>
        <w:t>ORGANI</w:t>
      </w:r>
      <w:r w:rsidR="00AA14C7" w:rsidRPr="00F55D96">
        <w:rPr>
          <w:sz w:val="22"/>
          <w:szCs w:val="22"/>
          <w:lang w:val="fr-CA"/>
        </w:rPr>
        <w:t>S</w:t>
      </w:r>
      <w:r w:rsidRPr="00F55D96">
        <w:rPr>
          <w:sz w:val="22"/>
          <w:szCs w:val="22"/>
          <w:lang w:val="fr-CA"/>
        </w:rPr>
        <w:t>ATION</w:t>
      </w:r>
    </w:p>
    <w:p w14:paraId="309A4CA9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2A7BBC1F" w14:textId="77777777" w:rsidR="005C2034" w:rsidRPr="00F55D96" w:rsidRDefault="005C2034" w:rsidP="00EF1282">
      <w:pPr>
        <w:pStyle w:val="BodyTextIndent"/>
        <w:widowControl/>
        <w:rPr>
          <w:b/>
          <w:bCs/>
          <w:sz w:val="22"/>
          <w:szCs w:val="22"/>
          <w:lang w:val="fr-CA"/>
        </w:rPr>
      </w:pPr>
      <w:r w:rsidRPr="00F55D96">
        <w:rPr>
          <w:b/>
          <w:bCs/>
          <w:sz w:val="22"/>
          <w:szCs w:val="22"/>
          <w:lang w:val="fr-CA"/>
        </w:rPr>
        <w:t>Article 4</w:t>
      </w:r>
    </w:p>
    <w:p w14:paraId="67ECCB19" w14:textId="77777777" w:rsidR="005C2034" w:rsidRPr="00F55D96" w:rsidRDefault="005C2034" w:rsidP="00EF1282">
      <w:pPr>
        <w:pStyle w:val="BodyTextIndent"/>
        <w:widowControl/>
        <w:rPr>
          <w:bCs/>
          <w:sz w:val="22"/>
          <w:szCs w:val="22"/>
          <w:lang w:val="fr-CA"/>
        </w:rPr>
      </w:pPr>
    </w:p>
    <w:p w14:paraId="0238761F" w14:textId="58E9BBD7" w:rsidR="005C2034" w:rsidRPr="00F55D96" w:rsidRDefault="005C2034" w:rsidP="00EF1282">
      <w:pPr>
        <w:pStyle w:val="BodyTextIndent"/>
        <w:widowControl/>
        <w:rPr>
          <w:sz w:val="22"/>
          <w:szCs w:val="22"/>
          <w:u w:val="single"/>
          <w:lang w:val="fr-CA"/>
        </w:rPr>
      </w:pPr>
      <w:r w:rsidRPr="00F55D96">
        <w:rPr>
          <w:sz w:val="22"/>
          <w:szCs w:val="22"/>
          <w:lang w:val="fr-CA"/>
        </w:rPr>
        <w:tab/>
      </w:r>
      <w:r w:rsidR="007A1C5D" w:rsidRPr="00F55D96">
        <w:rPr>
          <w:sz w:val="22"/>
          <w:szCs w:val="22"/>
          <w:lang w:val="fr-CA"/>
        </w:rPr>
        <w:t>La Réunion de consultation</w:t>
      </w:r>
      <w:r w:rsidR="00AA14C7" w:rsidRPr="00F55D96">
        <w:rPr>
          <w:sz w:val="22"/>
          <w:szCs w:val="22"/>
          <w:lang w:val="fr-CA"/>
        </w:rPr>
        <w:t xml:space="preserve"> est composée des États parties à la </w:t>
      </w:r>
      <w:r w:rsidRPr="00F55D96">
        <w:rPr>
          <w:sz w:val="22"/>
          <w:szCs w:val="22"/>
          <w:lang w:val="fr-CA"/>
        </w:rPr>
        <w:t>Convention.</w:t>
      </w:r>
      <w:r w:rsidR="001F7D16" w:rsidRPr="00F55D96">
        <w:rPr>
          <w:sz w:val="22"/>
          <w:szCs w:val="22"/>
          <w:lang w:val="fr-CA"/>
        </w:rPr>
        <w:t xml:space="preserve"> </w:t>
      </w:r>
      <w:r w:rsidR="00AA14C7" w:rsidRPr="00F55D96">
        <w:rPr>
          <w:sz w:val="22"/>
          <w:szCs w:val="22"/>
          <w:lang w:val="fr-CA"/>
        </w:rPr>
        <w:t>Chaque État partie désigne un chef de délégation et autant de délégués qu’il le considère nécessaire.</w:t>
      </w:r>
      <w:r w:rsidR="001F7D16" w:rsidRPr="00F55D96">
        <w:rPr>
          <w:sz w:val="22"/>
          <w:szCs w:val="22"/>
          <w:lang w:val="fr-CA"/>
        </w:rPr>
        <w:t xml:space="preserve"> </w:t>
      </w:r>
    </w:p>
    <w:p w14:paraId="4B18364A" w14:textId="77777777" w:rsidR="005C2034" w:rsidRPr="00F55D96" w:rsidRDefault="005C2034" w:rsidP="00EF1282">
      <w:pPr>
        <w:pStyle w:val="BodyTextIndent"/>
        <w:widowControl/>
        <w:rPr>
          <w:bCs/>
          <w:sz w:val="22"/>
          <w:szCs w:val="22"/>
          <w:lang w:val="fr-CA"/>
        </w:rPr>
      </w:pPr>
    </w:p>
    <w:p w14:paraId="1E9DABEE" w14:textId="77777777" w:rsidR="005C2034" w:rsidRPr="00F55D96" w:rsidRDefault="005C2034" w:rsidP="00EF1282">
      <w:pPr>
        <w:pStyle w:val="BodyTextIndent"/>
        <w:widowControl/>
        <w:rPr>
          <w:b/>
          <w:bCs/>
          <w:sz w:val="22"/>
          <w:szCs w:val="22"/>
          <w:lang w:val="fr-CA"/>
        </w:rPr>
      </w:pPr>
      <w:r w:rsidRPr="00F55D96">
        <w:rPr>
          <w:b/>
          <w:bCs/>
          <w:sz w:val="22"/>
          <w:szCs w:val="22"/>
          <w:lang w:val="fr-CA"/>
        </w:rPr>
        <w:t>Article 5</w:t>
      </w:r>
    </w:p>
    <w:p w14:paraId="21D98C86" w14:textId="77777777" w:rsidR="005C2034" w:rsidRPr="00F55D96" w:rsidRDefault="005C2034" w:rsidP="00EF1282">
      <w:pPr>
        <w:pStyle w:val="BodyTextIndent"/>
        <w:widowControl/>
        <w:rPr>
          <w:bCs/>
          <w:sz w:val="22"/>
          <w:szCs w:val="22"/>
          <w:lang w:val="fr-CA"/>
        </w:rPr>
      </w:pPr>
    </w:p>
    <w:p w14:paraId="31F0B9F6" w14:textId="118054DF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ab/>
      </w:r>
      <w:r w:rsidR="007A1C5D" w:rsidRPr="00F55D96">
        <w:rPr>
          <w:sz w:val="22"/>
          <w:szCs w:val="22"/>
          <w:lang w:val="fr-CA"/>
        </w:rPr>
        <w:t>La Réunion de consultation</w:t>
      </w:r>
      <w:r w:rsidR="00AA14C7" w:rsidRPr="00F55D96">
        <w:rPr>
          <w:sz w:val="22"/>
          <w:szCs w:val="22"/>
          <w:lang w:val="fr-CA"/>
        </w:rPr>
        <w:t xml:space="preserve"> a un </w:t>
      </w:r>
      <w:r w:rsidRPr="00F55D96">
        <w:rPr>
          <w:sz w:val="22"/>
          <w:szCs w:val="22"/>
          <w:lang w:val="fr-CA"/>
        </w:rPr>
        <w:t>Pr</w:t>
      </w:r>
      <w:r w:rsidR="00AA14C7" w:rsidRPr="00F55D96">
        <w:rPr>
          <w:sz w:val="22"/>
          <w:szCs w:val="22"/>
          <w:lang w:val="fr-CA"/>
        </w:rPr>
        <w:t>é</w:t>
      </w:r>
      <w:r w:rsidRPr="00F55D96">
        <w:rPr>
          <w:sz w:val="22"/>
          <w:szCs w:val="22"/>
          <w:lang w:val="fr-CA"/>
        </w:rPr>
        <w:t xml:space="preserve">sident </w:t>
      </w:r>
      <w:r w:rsidR="00AA14C7" w:rsidRPr="00F55D96">
        <w:rPr>
          <w:sz w:val="22"/>
          <w:szCs w:val="22"/>
          <w:lang w:val="fr-CA"/>
        </w:rPr>
        <w:t xml:space="preserve">et </w:t>
      </w:r>
      <w:r w:rsidR="00C60ADA" w:rsidRPr="00F55D96">
        <w:rPr>
          <w:sz w:val="22"/>
          <w:szCs w:val="22"/>
          <w:lang w:val="fr-CA"/>
        </w:rPr>
        <w:t>un</w:t>
      </w:r>
      <w:r w:rsidR="00AA14C7" w:rsidRPr="00F55D96">
        <w:rPr>
          <w:sz w:val="22"/>
          <w:szCs w:val="22"/>
          <w:lang w:val="fr-CA"/>
        </w:rPr>
        <w:t xml:space="preserve"> </w:t>
      </w:r>
      <w:r w:rsidRPr="00F55D96">
        <w:rPr>
          <w:sz w:val="22"/>
          <w:szCs w:val="22"/>
          <w:lang w:val="fr-CA"/>
        </w:rPr>
        <w:t>Vice</w:t>
      </w:r>
      <w:r w:rsidR="00AA14C7" w:rsidRPr="00F55D96">
        <w:rPr>
          <w:sz w:val="22"/>
          <w:szCs w:val="22"/>
          <w:lang w:val="fr-CA"/>
        </w:rPr>
        <w:t>-p</w:t>
      </w:r>
      <w:r w:rsidRPr="00F55D96">
        <w:rPr>
          <w:sz w:val="22"/>
          <w:szCs w:val="22"/>
          <w:lang w:val="fr-CA"/>
        </w:rPr>
        <w:t>r</w:t>
      </w:r>
      <w:r w:rsidR="00AA14C7" w:rsidRPr="00F55D96">
        <w:rPr>
          <w:sz w:val="22"/>
          <w:szCs w:val="22"/>
          <w:lang w:val="fr-CA"/>
        </w:rPr>
        <w:t>é</w:t>
      </w:r>
      <w:r w:rsidRPr="00F55D96">
        <w:rPr>
          <w:sz w:val="22"/>
          <w:szCs w:val="22"/>
          <w:lang w:val="fr-CA"/>
        </w:rPr>
        <w:t>sident.</w:t>
      </w:r>
      <w:r w:rsidR="001F7D16" w:rsidRPr="00F55D96">
        <w:rPr>
          <w:sz w:val="22"/>
          <w:szCs w:val="22"/>
          <w:lang w:val="fr-CA"/>
        </w:rPr>
        <w:t xml:space="preserve"> </w:t>
      </w:r>
      <w:r w:rsidR="00AA14C7" w:rsidRPr="00F55D96">
        <w:rPr>
          <w:sz w:val="22"/>
          <w:szCs w:val="22"/>
          <w:lang w:val="fr-CA"/>
        </w:rPr>
        <w:t>Le Président et le Vice-président sont élus au début de chaque Réunion de c</w:t>
      </w:r>
      <w:r w:rsidR="00BE7FDB" w:rsidRPr="00F55D96">
        <w:rPr>
          <w:sz w:val="22"/>
          <w:szCs w:val="22"/>
          <w:lang w:val="fr-CA"/>
        </w:rPr>
        <w:t>onsultation</w:t>
      </w:r>
      <w:r w:rsidRPr="00F55D96">
        <w:rPr>
          <w:sz w:val="22"/>
          <w:szCs w:val="22"/>
          <w:lang w:val="fr-CA"/>
        </w:rPr>
        <w:t>.</w:t>
      </w:r>
    </w:p>
    <w:p w14:paraId="7B1ADE91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50D95676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ab/>
      </w:r>
      <w:r w:rsidR="00AA14C7" w:rsidRPr="00F55D96">
        <w:rPr>
          <w:sz w:val="22"/>
          <w:szCs w:val="22"/>
          <w:lang w:val="fr-CA"/>
        </w:rPr>
        <w:t>L’État partie qui est élu Président de la Réunion de c</w:t>
      </w:r>
      <w:r w:rsidR="00BE7FDB" w:rsidRPr="00F55D96">
        <w:rPr>
          <w:sz w:val="22"/>
          <w:szCs w:val="22"/>
          <w:lang w:val="fr-CA"/>
        </w:rPr>
        <w:t>onsultation</w:t>
      </w:r>
      <w:r w:rsidRPr="00F55D96">
        <w:rPr>
          <w:sz w:val="22"/>
          <w:szCs w:val="22"/>
          <w:lang w:val="fr-CA"/>
        </w:rPr>
        <w:t xml:space="preserve"> </w:t>
      </w:r>
      <w:r w:rsidR="00AA14C7" w:rsidRPr="00F55D96">
        <w:rPr>
          <w:sz w:val="22"/>
          <w:szCs w:val="22"/>
          <w:lang w:val="fr-CA"/>
        </w:rPr>
        <w:t>exerce ce mandat jusqu’à la prochaine Réunion de c</w:t>
      </w:r>
      <w:r w:rsidR="00BE7FDB" w:rsidRPr="00F55D96">
        <w:rPr>
          <w:sz w:val="22"/>
          <w:szCs w:val="22"/>
          <w:lang w:val="fr-CA"/>
        </w:rPr>
        <w:t>onsultation</w:t>
      </w:r>
      <w:r w:rsidRPr="00F55D96">
        <w:rPr>
          <w:sz w:val="22"/>
          <w:szCs w:val="22"/>
          <w:lang w:val="fr-CA"/>
        </w:rPr>
        <w:t>.</w:t>
      </w:r>
    </w:p>
    <w:p w14:paraId="3CD6DB63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19AB3BBC" w14:textId="5037A66B" w:rsidR="00854CBC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ab/>
      </w:r>
      <w:r w:rsidR="00AA14C7" w:rsidRPr="00F55D96">
        <w:rPr>
          <w:sz w:val="22"/>
          <w:szCs w:val="22"/>
          <w:lang w:val="fr-CA"/>
        </w:rPr>
        <w:t>Lorsque la personne exerçant la Présidence ne peut assister à toute la réunion ou à une partie de celle-ci, le Vice-président assume les fonctions de Président.</w:t>
      </w:r>
    </w:p>
    <w:p w14:paraId="591F5BCF" w14:textId="40D54FD9" w:rsidR="005C2034" w:rsidRPr="00F55D96" w:rsidRDefault="005C2034" w:rsidP="00EF1282">
      <w:pPr>
        <w:pStyle w:val="BodyTextIndent"/>
        <w:widowControl/>
        <w:rPr>
          <w:bCs/>
          <w:sz w:val="22"/>
          <w:szCs w:val="22"/>
          <w:lang w:val="fr-CA"/>
        </w:rPr>
      </w:pPr>
    </w:p>
    <w:p w14:paraId="2311FD1A" w14:textId="77777777" w:rsidR="005C2034" w:rsidRPr="00F55D96" w:rsidRDefault="005C2034" w:rsidP="00EF1282">
      <w:pPr>
        <w:pStyle w:val="BodyTextIndent"/>
        <w:widowControl/>
        <w:rPr>
          <w:b/>
          <w:bCs/>
          <w:sz w:val="22"/>
          <w:szCs w:val="22"/>
          <w:lang w:val="fr-CA"/>
        </w:rPr>
      </w:pPr>
      <w:r w:rsidRPr="00F55D96">
        <w:rPr>
          <w:b/>
          <w:bCs/>
          <w:sz w:val="22"/>
          <w:szCs w:val="22"/>
          <w:lang w:val="fr-CA"/>
        </w:rPr>
        <w:t>Article 6</w:t>
      </w:r>
    </w:p>
    <w:p w14:paraId="04278D50" w14:textId="77777777" w:rsidR="005C2034" w:rsidRPr="00F55D96" w:rsidRDefault="005C2034" w:rsidP="00EF1282">
      <w:pPr>
        <w:pStyle w:val="BodyTextIndent"/>
        <w:widowControl/>
        <w:rPr>
          <w:bCs/>
          <w:sz w:val="22"/>
          <w:szCs w:val="22"/>
          <w:lang w:val="fr-CA"/>
        </w:rPr>
      </w:pPr>
    </w:p>
    <w:p w14:paraId="7C64F8BF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ab/>
      </w:r>
      <w:r w:rsidR="00854CBC" w:rsidRPr="00F55D96">
        <w:rPr>
          <w:sz w:val="22"/>
          <w:szCs w:val="22"/>
          <w:lang w:val="fr-CA"/>
        </w:rPr>
        <w:t>L’</w:t>
      </w:r>
      <w:r w:rsidR="00AA14C7" w:rsidRPr="00F55D96">
        <w:rPr>
          <w:sz w:val="22"/>
          <w:szCs w:val="22"/>
          <w:lang w:val="fr-CA"/>
        </w:rPr>
        <w:t xml:space="preserve">État partie qui préside la Réunion de consultation exerce les fonctions suivantes : </w:t>
      </w:r>
    </w:p>
    <w:p w14:paraId="48A7AA8D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6346C41A" w14:textId="77777777" w:rsidR="005C2034" w:rsidRPr="00F55D96" w:rsidRDefault="003748A8" w:rsidP="00EF1282">
      <w:pPr>
        <w:pStyle w:val="BodyTextIndent"/>
        <w:widowControl/>
        <w:numPr>
          <w:ilvl w:val="0"/>
          <w:numId w:val="9"/>
        </w:numPr>
        <w:ind w:left="1440" w:hanging="720"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>Organiser la Réunion de c</w:t>
      </w:r>
      <w:r w:rsidR="00BE7FDB" w:rsidRPr="00F55D96">
        <w:rPr>
          <w:sz w:val="22"/>
          <w:szCs w:val="22"/>
          <w:lang w:val="fr-CA"/>
        </w:rPr>
        <w:t>onsultation</w:t>
      </w:r>
      <w:r w:rsidR="005C2034" w:rsidRPr="00F55D96">
        <w:rPr>
          <w:sz w:val="22"/>
          <w:szCs w:val="22"/>
          <w:lang w:val="fr-CA"/>
        </w:rPr>
        <w:t>;</w:t>
      </w:r>
    </w:p>
    <w:p w14:paraId="2CDE1454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5EBEB028" w14:textId="77777777" w:rsidR="005C2034" w:rsidRPr="00F55D96" w:rsidRDefault="003748A8" w:rsidP="00EF1282">
      <w:pPr>
        <w:pStyle w:val="BodyTextIndent"/>
        <w:widowControl/>
        <w:numPr>
          <w:ilvl w:val="0"/>
          <w:numId w:val="10"/>
        </w:numPr>
        <w:ind w:left="1440" w:hanging="720"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 xml:space="preserve">Ouvrir et clore les séances et diriger les débats; </w:t>
      </w:r>
    </w:p>
    <w:p w14:paraId="5478DFF9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3C352D72" w14:textId="77777777" w:rsidR="005C2034" w:rsidRPr="00F55D96" w:rsidRDefault="003748A8" w:rsidP="00EF1282">
      <w:pPr>
        <w:pStyle w:val="BodyTextIndent"/>
        <w:widowControl/>
        <w:numPr>
          <w:ilvl w:val="0"/>
          <w:numId w:val="10"/>
        </w:numPr>
        <w:ind w:left="1440" w:hanging="720"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 xml:space="preserve">Proposer le projet d’ordre du jour de la réunion et tout autre document qu’il estime nécessaire; </w:t>
      </w:r>
    </w:p>
    <w:p w14:paraId="5F1D4E05" w14:textId="77777777" w:rsidR="003748A8" w:rsidRPr="00F55D96" w:rsidRDefault="003748A8" w:rsidP="003748A8">
      <w:pPr>
        <w:pStyle w:val="BodyTextIndent"/>
        <w:widowControl/>
        <w:rPr>
          <w:sz w:val="22"/>
          <w:szCs w:val="22"/>
          <w:lang w:val="fr-CA"/>
        </w:rPr>
      </w:pPr>
    </w:p>
    <w:p w14:paraId="02470D55" w14:textId="77777777" w:rsidR="005C2034" w:rsidRPr="00F55D96" w:rsidRDefault="003748A8" w:rsidP="00EF1282">
      <w:pPr>
        <w:pStyle w:val="BodyTextIndent"/>
        <w:widowControl/>
        <w:numPr>
          <w:ilvl w:val="0"/>
          <w:numId w:val="12"/>
        </w:numPr>
        <w:ind w:left="1440" w:hanging="720"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 xml:space="preserve">Statuer sur les motions d’ordre soulevées au cours des délibérations; </w:t>
      </w:r>
    </w:p>
    <w:p w14:paraId="7AD71E7D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29B98C7D" w14:textId="77777777" w:rsidR="005C2034" w:rsidRPr="00F55D96" w:rsidRDefault="003748A8" w:rsidP="00EF1282">
      <w:pPr>
        <w:pStyle w:val="BodyTextIndent"/>
        <w:widowControl/>
        <w:numPr>
          <w:ilvl w:val="0"/>
          <w:numId w:val="13"/>
        </w:numPr>
        <w:ind w:left="1440" w:hanging="720"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>Mettre au vote les questions faisant l’objet des débats pour lesquel</w:t>
      </w:r>
      <w:r w:rsidR="00854CBC" w:rsidRPr="00F55D96">
        <w:rPr>
          <w:sz w:val="22"/>
          <w:szCs w:val="22"/>
          <w:lang w:val="fr-CA"/>
        </w:rPr>
        <w:t>les</w:t>
      </w:r>
      <w:r w:rsidRPr="00F55D96">
        <w:rPr>
          <w:sz w:val="22"/>
          <w:szCs w:val="22"/>
          <w:lang w:val="fr-CA"/>
        </w:rPr>
        <w:t xml:space="preserve"> une décision s’avère nécessaire et annoncer le</w:t>
      </w:r>
      <w:r w:rsidR="00854CBC" w:rsidRPr="00F55D96">
        <w:rPr>
          <w:sz w:val="22"/>
          <w:szCs w:val="22"/>
          <w:lang w:val="fr-CA"/>
        </w:rPr>
        <w:t>s</w:t>
      </w:r>
      <w:r w:rsidRPr="00F55D96">
        <w:rPr>
          <w:sz w:val="22"/>
          <w:szCs w:val="22"/>
          <w:lang w:val="fr-CA"/>
        </w:rPr>
        <w:t xml:space="preserve"> résultat</w:t>
      </w:r>
      <w:r w:rsidR="00854CBC" w:rsidRPr="00F55D96">
        <w:rPr>
          <w:sz w:val="22"/>
          <w:szCs w:val="22"/>
          <w:lang w:val="fr-CA"/>
        </w:rPr>
        <w:t>s</w:t>
      </w:r>
      <w:r w:rsidRPr="00F55D96">
        <w:rPr>
          <w:sz w:val="22"/>
          <w:szCs w:val="22"/>
          <w:lang w:val="fr-CA"/>
        </w:rPr>
        <w:t xml:space="preserve">; </w:t>
      </w:r>
    </w:p>
    <w:p w14:paraId="4E4F512E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53EA2D46" w14:textId="77777777" w:rsidR="005C2034" w:rsidRPr="00F55D96" w:rsidRDefault="003748A8" w:rsidP="00EF1282">
      <w:pPr>
        <w:pStyle w:val="BodyTextIndent"/>
        <w:widowControl/>
        <w:numPr>
          <w:ilvl w:val="0"/>
          <w:numId w:val="14"/>
        </w:numPr>
        <w:ind w:left="1440" w:hanging="720"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>Toute autre fonction conférée par ce Règlement et par la Réunion de c</w:t>
      </w:r>
      <w:r w:rsidR="00BE7FDB" w:rsidRPr="00F55D96">
        <w:rPr>
          <w:sz w:val="22"/>
          <w:szCs w:val="22"/>
          <w:lang w:val="fr-CA"/>
        </w:rPr>
        <w:t>onsultation</w:t>
      </w:r>
      <w:r w:rsidR="005C2034" w:rsidRPr="00F55D96">
        <w:rPr>
          <w:sz w:val="22"/>
          <w:szCs w:val="22"/>
          <w:lang w:val="fr-CA"/>
        </w:rPr>
        <w:t>.</w:t>
      </w:r>
    </w:p>
    <w:p w14:paraId="59D7AEEB" w14:textId="77777777" w:rsidR="001050F8" w:rsidRPr="00F55D96" w:rsidRDefault="001050F8" w:rsidP="00EF1282">
      <w:pPr>
        <w:pStyle w:val="BodyTextIndent"/>
        <w:widowControl/>
        <w:rPr>
          <w:sz w:val="22"/>
          <w:szCs w:val="22"/>
          <w:lang w:val="fr-CA"/>
        </w:rPr>
      </w:pPr>
    </w:p>
    <w:p w14:paraId="425E5B11" w14:textId="77777777" w:rsidR="005C2034" w:rsidRPr="00F55D96" w:rsidRDefault="005C2034" w:rsidP="00EF1282">
      <w:pPr>
        <w:pStyle w:val="BodyTextIndent"/>
        <w:widowControl/>
        <w:rPr>
          <w:b/>
          <w:bCs/>
          <w:sz w:val="22"/>
          <w:szCs w:val="22"/>
          <w:lang w:val="fr-CA"/>
        </w:rPr>
      </w:pPr>
      <w:r w:rsidRPr="00F55D96">
        <w:rPr>
          <w:b/>
          <w:bCs/>
          <w:sz w:val="22"/>
          <w:szCs w:val="22"/>
          <w:lang w:val="fr-CA"/>
        </w:rPr>
        <w:t>Article 7</w:t>
      </w:r>
    </w:p>
    <w:p w14:paraId="38D87205" w14:textId="77777777" w:rsidR="005C2034" w:rsidRPr="00F55D96" w:rsidRDefault="005C2034" w:rsidP="00EF1282">
      <w:pPr>
        <w:pStyle w:val="BodyTextIndent"/>
        <w:widowControl/>
        <w:rPr>
          <w:bCs/>
          <w:sz w:val="22"/>
          <w:szCs w:val="22"/>
          <w:lang w:val="fr-CA"/>
        </w:rPr>
      </w:pPr>
    </w:p>
    <w:p w14:paraId="629AF14C" w14:textId="526517F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ab/>
      </w:r>
      <w:r w:rsidR="003748A8" w:rsidRPr="00F55D96">
        <w:rPr>
          <w:sz w:val="22"/>
          <w:szCs w:val="22"/>
          <w:lang w:val="fr-CA"/>
        </w:rPr>
        <w:t xml:space="preserve">Le </w:t>
      </w:r>
      <w:r w:rsidR="00836B35" w:rsidRPr="00F55D96">
        <w:rPr>
          <w:sz w:val="22"/>
          <w:szCs w:val="22"/>
          <w:lang w:val="fr-CA"/>
        </w:rPr>
        <w:t>Secrétariat général de l’Organisation des États Américain fournit les services de secrétariat administratif et technique à la Réunion de consu</w:t>
      </w:r>
      <w:r w:rsidR="00434778" w:rsidRPr="00F55D96">
        <w:rPr>
          <w:sz w:val="22"/>
          <w:szCs w:val="22"/>
          <w:lang w:val="fr-CA"/>
        </w:rPr>
        <w:t>ltation</w:t>
      </w:r>
      <w:r w:rsidR="001050F8" w:rsidRPr="00F55D96">
        <w:rPr>
          <w:sz w:val="22"/>
          <w:szCs w:val="22"/>
          <w:lang w:val="fr-CA"/>
        </w:rPr>
        <w:t>.</w:t>
      </w:r>
      <w:r w:rsidR="007153F3" w:rsidRPr="00F55D96">
        <w:rPr>
          <w:sz w:val="22"/>
          <w:szCs w:val="22"/>
          <w:lang w:val="fr-CA"/>
        </w:rPr>
        <w:t xml:space="preserve"> </w:t>
      </w:r>
      <w:r w:rsidR="00836B35" w:rsidRPr="00F55D96">
        <w:rPr>
          <w:sz w:val="22"/>
          <w:szCs w:val="22"/>
          <w:lang w:val="fr-CA"/>
        </w:rPr>
        <w:t>Aux termes de l’a</w:t>
      </w:r>
      <w:r w:rsidR="007153F3" w:rsidRPr="00F55D96">
        <w:rPr>
          <w:sz w:val="22"/>
          <w:szCs w:val="22"/>
          <w:lang w:val="fr-CA"/>
        </w:rPr>
        <w:t>rticle 18 (</w:t>
      </w:r>
      <w:r w:rsidR="00BE7FDB" w:rsidRPr="00F55D96">
        <w:rPr>
          <w:sz w:val="22"/>
          <w:szCs w:val="22"/>
          <w:lang w:val="fr-CA"/>
        </w:rPr>
        <w:t>3</w:t>
      </w:r>
      <w:r w:rsidR="007153F3" w:rsidRPr="00F55D96">
        <w:rPr>
          <w:sz w:val="22"/>
          <w:szCs w:val="22"/>
          <w:lang w:val="fr-CA"/>
        </w:rPr>
        <w:t xml:space="preserve">) </w:t>
      </w:r>
      <w:r w:rsidR="00836B35" w:rsidRPr="00F55D96">
        <w:rPr>
          <w:sz w:val="22"/>
          <w:szCs w:val="22"/>
          <w:lang w:val="fr-CA"/>
        </w:rPr>
        <w:t xml:space="preserve">de la </w:t>
      </w:r>
      <w:r w:rsidR="007153F3" w:rsidRPr="00F55D96">
        <w:rPr>
          <w:sz w:val="22"/>
          <w:szCs w:val="22"/>
          <w:lang w:val="fr-CA"/>
        </w:rPr>
        <w:t xml:space="preserve">Convention, </w:t>
      </w:r>
      <w:r w:rsidR="00836B35" w:rsidRPr="00F55D96">
        <w:rPr>
          <w:sz w:val="22"/>
          <w:szCs w:val="22"/>
          <w:lang w:val="fr-CA"/>
        </w:rPr>
        <w:t xml:space="preserve">les États parties peuvent </w:t>
      </w:r>
      <w:r w:rsidR="00ED60BE" w:rsidRPr="00F55D96">
        <w:rPr>
          <w:sz w:val="22"/>
          <w:szCs w:val="22"/>
          <w:lang w:val="fr-CA"/>
        </w:rPr>
        <w:t>demander à d’autres organes pertinents de l’Organisation des États Américains, notamment au Comité interaméricain contre le terrorisme (CICTE)</w:t>
      </w:r>
      <w:r w:rsidR="00854CBC" w:rsidRPr="00F55D96">
        <w:rPr>
          <w:sz w:val="22"/>
          <w:szCs w:val="22"/>
          <w:lang w:val="fr-CA"/>
        </w:rPr>
        <w:t>,</w:t>
      </w:r>
      <w:r w:rsidR="00ED60BE" w:rsidRPr="00F55D96">
        <w:rPr>
          <w:sz w:val="22"/>
          <w:szCs w:val="22"/>
          <w:lang w:val="fr-CA"/>
        </w:rPr>
        <w:t xml:space="preserve"> de faciliter les consultations des États parties et de fournir d’autres formes d’assistance </w:t>
      </w:r>
      <w:r w:rsidR="002E11CE" w:rsidRPr="00F55D96">
        <w:rPr>
          <w:sz w:val="22"/>
          <w:szCs w:val="22"/>
          <w:lang w:val="fr-CA"/>
        </w:rPr>
        <w:t xml:space="preserve">pour </w:t>
      </w:r>
      <w:r w:rsidR="00ED60BE" w:rsidRPr="00F55D96">
        <w:rPr>
          <w:sz w:val="22"/>
          <w:szCs w:val="22"/>
          <w:lang w:val="fr-CA"/>
        </w:rPr>
        <w:t>la mise en œuvre de</w:t>
      </w:r>
      <w:r w:rsidR="00854CBC" w:rsidRPr="00F55D96">
        <w:rPr>
          <w:sz w:val="22"/>
          <w:szCs w:val="22"/>
          <w:lang w:val="fr-CA"/>
        </w:rPr>
        <w:t xml:space="preserve"> la</w:t>
      </w:r>
      <w:r w:rsidR="00ED60BE" w:rsidRPr="00F55D96">
        <w:rPr>
          <w:sz w:val="22"/>
          <w:szCs w:val="22"/>
          <w:lang w:val="fr-CA"/>
        </w:rPr>
        <w:t xml:space="preserve"> </w:t>
      </w:r>
      <w:r w:rsidR="007153F3" w:rsidRPr="00F55D96">
        <w:rPr>
          <w:sz w:val="22"/>
          <w:szCs w:val="22"/>
          <w:lang w:val="fr-CA"/>
        </w:rPr>
        <w:t xml:space="preserve">Convention. </w:t>
      </w:r>
    </w:p>
    <w:p w14:paraId="6D27D563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2C321C92" w14:textId="77777777" w:rsidR="005C2034" w:rsidRPr="00F55D96" w:rsidRDefault="00852B25" w:rsidP="00EF1282">
      <w:pPr>
        <w:pStyle w:val="BodyTextIndent"/>
        <w:widowControl/>
        <w:jc w:val="center"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>CHAPITRE</w:t>
      </w:r>
      <w:r w:rsidR="005C2034" w:rsidRPr="00F55D96">
        <w:rPr>
          <w:sz w:val="22"/>
          <w:szCs w:val="22"/>
          <w:lang w:val="fr-CA"/>
        </w:rPr>
        <w:t xml:space="preserve"> IV</w:t>
      </w:r>
    </w:p>
    <w:p w14:paraId="197ECC35" w14:textId="77777777" w:rsidR="005C2034" w:rsidRPr="00F55D96" w:rsidRDefault="00ED60BE" w:rsidP="00EF1282">
      <w:pPr>
        <w:pStyle w:val="BodyTextIndent"/>
        <w:widowControl/>
        <w:jc w:val="center"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>RÉUNIONS</w:t>
      </w:r>
    </w:p>
    <w:p w14:paraId="306CC574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57DFAF75" w14:textId="77777777" w:rsidR="005C2034" w:rsidRPr="00F55D96" w:rsidRDefault="005C2034" w:rsidP="00EF1282">
      <w:pPr>
        <w:pStyle w:val="BodyTextIndent"/>
        <w:widowControl/>
        <w:rPr>
          <w:b/>
          <w:bCs/>
          <w:sz w:val="22"/>
          <w:szCs w:val="22"/>
          <w:lang w:val="fr-CA"/>
        </w:rPr>
      </w:pPr>
      <w:r w:rsidRPr="00F55D96">
        <w:rPr>
          <w:b/>
          <w:bCs/>
          <w:sz w:val="22"/>
          <w:szCs w:val="22"/>
          <w:lang w:val="fr-CA"/>
        </w:rPr>
        <w:t xml:space="preserve">Article </w:t>
      </w:r>
      <w:r w:rsidR="00631BF6" w:rsidRPr="00F55D96">
        <w:rPr>
          <w:b/>
          <w:bCs/>
          <w:sz w:val="22"/>
          <w:szCs w:val="22"/>
          <w:lang w:val="fr-CA"/>
        </w:rPr>
        <w:t>8</w:t>
      </w:r>
    </w:p>
    <w:p w14:paraId="3B5AFDCF" w14:textId="77777777" w:rsidR="00ED60BE" w:rsidRPr="00F55D96" w:rsidRDefault="00ED60BE" w:rsidP="00EF1282">
      <w:pPr>
        <w:pStyle w:val="BodyTextIndent"/>
        <w:widowControl/>
        <w:rPr>
          <w:sz w:val="22"/>
          <w:szCs w:val="22"/>
          <w:lang w:val="fr-CA"/>
        </w:rPr>
      </w:pPr>
    </w:p>
    <w:p w14:paraId="2CC7D407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ab/>
      </w:r>
      <w:r w:rsidR="00ED60BE" w:rsidRPr="00F55D96">
        <w:rPr>
          <w:sz w:val="22"/>
          <w:szCs w:val="22"/>
          <w:lang w:val="fr-CA"/>
        </w:rPr>
        <w:t>L’accréditation des délégations désignées par les États parties pour les représenter à la Réunion de consultation se fait sous la forme d’une notification écrite, adressée au Secrétariat général de l’OEA.</w:t>
      </w:r>
    </w:p>
    <w:p w14:paraId="091DE49E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5AD82D3B" w14:textId="77777777" w:rsidR="005C2034" w:rsidRPr="00F55D96" w:rsidRDefault="005C2034" w:rsidP="004B67E8">
      <w:pPr>
        <w:pStyle w:val="BodyTextIndent"/>
        <w:keepNext/>
        <w:widowControl/>
        <w:rPr>
          <w:b/>
          <w:bCs/>
          <w:sz w:val="22"/>
          <w:szCs w:val="22"/>
          <w:lang w:val="fr-CA"/>
        </w:rPr>
      </w:pPr>
      <w:r w:rsidRPr="00F55D96">
        <w:rPr>
          <w:b/>
          <w:bCs/>
          <w:sz w:val="22"/>
          <w:szCs w:val="22"/>
          <w:lang w:val="fr-CA"/>
        </w:rPr>
        <w:t xml:space="preserve">Article </w:t>
      </w:r>
      <w:r w:rsidR="00631BF6" w:rsidRPr="00F55D96">
        <w:rPr>
          <w:b/>
          <w:bCs/>
          <w:sz w:val="22"/>
          <w:szCs w:val="22"/>
          <w:lang w:val="fr-CA"/>
        </w:rPr>
        <w:t>9</w:t>
      </w:r>
    </w:p>
    <w:p w14:paraId="324C143D" w14:textId="77777777" w:rsidR="005C2034" w:rsidRPr="00F55D96" w:rsidRDefault="005C2034" w:rsidP="004B67E8">
      <w:pPr>
        <w:pStyle w:val="BodyTextIndent"/>
        <w:keepNext/>
        <w:widowControl/>
        <w:rPr>
          <w:b/>
          <w:bCs/>
          <w:sz w:val="22"/>
          <w:szCs w:val="22"/>
          <w:lang w:val="fr-CA"/>
        </w:rPr>
      </w:pPr>
    </w:p>
    <w:p w14:paraId="2BB13FE7" w14:textId="7330F4F5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ab/>
      </w:r>
      <w:r w:rsidR="00ED60BE" w:rsidRPr="00F55D96">
        <w:rPr>
          <w:sz w:val="22"/>
          <w:szCs w:val="22"/>
          <w:lang w:val="fr-CA"/>
        </w:rPr>
        <w:t>Les projets et les propositions présentés par les États parties aux fins d’examen par la Réunion de c</w:t>
      </w:r>
      <w:r w:rsidR="00BE7FDB" w:rsidRPr="00F55D96">
        <w:rPr>
          <w:sz w:val="22"/>
          <w:szCs w:val="22"/>
          <w:lang w:val="fr-CA"/>
        </w:rPr>
        <w:t xml:space="preserve">onsultation </w:t>
      </w:r>
      <w:r w:rsidR="00ED60BE" w:rsidRPr="00F55D96">
        <w:rPr>
          <w:sz w:val="22"/>
          <w:szCs w:val="22"/>
          <w:lang w:val="fr-CA"/>
        </w:rPr>
        <w:t>doivent être déposés par écrit auprès du Secrétariat général au moins 48 heures avant la date fixée pour la réunion en question.</w:t>
      </w:r>
      <w:r w:rsidR="001F7D16" w:rsidRPr="00F55D96">
        <w:rPr>
          <w:sz w:val="22"/>
          <w:szCs w:val="22"/>
          <w:lang w:val="fr-CA"/>
        </w:rPr>
        <w:t xml:space="preserve"> </w:t>
      </w:r>
    </w:p>
    <w:p w14:paraId="49ED4F4B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3007C9F0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lastRenderedPageBreak/>
        <w:tab/>
        <w:t>No</w:t>
      </w:r>
      <w:r w:rsidR="00ED60BE" w:rsidRPr="00F55D96">
        <w:rPr>
          <w:sz w:val="22"/>
          <w:szCs w:val="22"/>
          <w:lang w:val="fr-CA"/>
        </w:rPr>
        <w:t xml:space="preserve">nobstant ce qui précède, </w:t>
      </w:r>
      <w:r w:rsidR="007A1C5D" w:rsidRPr="00F55D96">
        <w:rPr>
          <w:sz w:val="22"/>
          <w:szCs w:val="22"/>
          <w:lang w:val="fr-CA"/>
        </w:rPr>
        <w:t>la Réunion de consultation</w:t>
      </w:r>
      <w:r w:rsidR="00ED60BE" w:rsidRPr="00F55D96">
        <w:rPr>
          <w:sz w:val="22"/>
          <w:szCs w:val="22"/>
          <w:lang w:val="fr-CA"/>
        </w:rPr>
        <w:t xml:space="preserve"> peut autoriser que des projets et des propositions qui n’ont pas été présentés par écrit dans les délais </w:t>
      </w:r>
      <w:r w:rsidR="00A33AAB" w:rsidRPr="00F55D96">
        <w:rPr>
          <w:sz w:val="22"/>
          <w:szCs w:val="22"/>
          <w:lang w:val="fr-CA"/>
        </w:rPr>
        <w:t xml:space="preserve">fixés fassent l’objet de discussions. </w:t>
      </w:r>
    </w:p>
    <w:p w14:paraId="35DABFEC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2401A25E" w14:textId="77777777" w:rsidR="005C2034" w:rsidRPr="00F55D96" w:rsidRDefault="005C2034" w:rsidP="00EF1282">
      <w:pPr>
        <w:pStyle w:val="BodyTextIndent"/>
        <w:widowControl/>
        <w:rPr>
          <w:b/>
          <w:bCs/>
          <w:sz w:val="22"/>
          <w:szCs w:val="22"/>
          <w:lang w:val="fr-CA"/>
        </w:rPr>
      </w:pPr>
      <w:r w:rsidRPr="00F55D96">
        <w:rPr>
          <w:b/>
          <w:bCs/>
          <w:sz w:val="22"/>
          <w:szCs w:val="22"/>
          <w:lang w:val="fr-CA"/>
        </w:rPr>
        <w:t>Article 1</w:t>
      </w:r>
      <w:r w:rsidR="00631BF6" w:rsidRPr="00F55D96">
        <w:rPr>
          <w:b/>
          <w:bCs/>
          <w:sz w:val="22"/>
          <w:szCs w:val="22"/>
          <w:lang w:val="fr-CA"/>
        </w:rPr>
        <w:t>0</w:t>
      </w:r>
    </w:p>
    <w:p w14:paraId="6DBEBD9F" w14:textId="77777777" w:rsidR="005C2034" w:rsidRPr="00F55D96" w:rsidRDefault="005C2034" w:rsidP="00EF1282">
      <w:pPr>
        <w:pStyle w:val="BodyTextIndent"/>
        <w:widowControl/>
        <w:rPr>
          <w:b/>
          <w:bCs/>
          <w:sz w:val="22"/>
          <w:szCs w:val="22"/>
          <w:lang w:val="fr-CA"/>
        </w:rPr>
      </w:pPr>
    </w:p>
    <w:p w14:paraId="497D75EC" w14:textId="7DCAFE9E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ab/>
      </w:r>
      <w:r w:rsidR="007A1C5D" w:rsidRPr="00F55D96">
        <w:rPr>
          <w:sz w:val="22"/>
          <w:szCs w:val="22"/>
          <w:lang w:val="fr-CA"/>
        </w:rPr>
        <w:t>La Réunion de consultation</w:t>
      </w:r>
      <w:r w:rsidR="00A33AAB" w:rsidRPr="00F55D96">
        <w:rPr>
          <w:sz w:val="22"/>
          <w:szCs w:val="22"/>
          <w:lang w:val="fr-CA"/>
        </w:rPr>
        <w:t xml:space="preserve"> </w:t>
      </w:r>
      <w:r w:rsidRPr="00F55D96">
        <w:rPr>
          <w:sz w:val="22"/>
          <w:szCs w:val="22"/>
          <w:lang w:val="fr-CA"/>
        </w:rPr>
        <w:t>s</w:t>
      </w:r>
      <w:r w:rsidR="00A33AAB" w:rsidRPr="00F55D96">
        <w:rPr>
          <w:sz w:val="22"/>
          <w:szCs w:val="22"/>
          <w:lang w:val="fr-CA"/>
        </w:rPr>
        <w:t>e tient au siège du Secrétariat général de l’OEA</w:t>
      </w:r>
      <w:r w:rsidR="002E11CE" w:rsidRPr="00F55D96">
        <w:rPr>
          <w:sz w:val="22"/>
          <w:szCs w:val="22"/>
          <w:lang w:val="fr-CA"/>
        </w:rPr>
        <w:t xml:space="preserve">, sauf </w:t>
      </w:r>
      <w:r w:rsidR="00A33AAB" w:rsidRPr="00F55D96">
        <w:rPr>
          <w:sz w:val="22"/>
          <w:szCs w:val="22"/>
          <w:lang w:val="fr-CA"/>
        </w:rPr>
        <w:t>si un État partie propose de l’accueillir.</w:t>
      </w:r>
      <w:r w:rsidR="001F7D16" w:rsidRPr="00F55D96">
        <w:rPr>
          <w:sz w:val="22"/>
          <w:szCs w:val="22"/>
          <w:lang w:val="fr-CA"/>
        </w:rPr>
        <w:t xml:space="preserve"> </w:t>
      </w:r>
    </w:p>
    <w:p w14:paraId="6D21ADA2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400F03F5" w14:textId="77777777" w:rsidR="005C2034" w:rsidRPr="00F55D96" w:rsidRDefault="005C2034" w:rsidP="00EF1282">
      <w:pPr>
        <w:pStyle w:val="BodyTextIndent"/>
        <w:keepNext/>
        <w:widowControl/>
        <w:rPr>
          <w:b/>
          <w:bCs/>
          <w:sz w:val="22"/>
          <w:szCs w:val="22"/>
          <w:lang w:val="fr-CA"/>
        </w:rPr>
      </w:pPr>
      <w:r w:rsidRPr="00F55D96">
        <w:rPr>
          <w:b/>
          <w:bCs/>
          <w:sz w:val="22"/>
          <w:szCs w:val="22"/>
          <w:lang w:val="fr-CA"/>
        </w:rPr>
        <w:t>Article 1</w:t>
      </w:r>
      <w:r w:rsidR="00631BF6" w:rsidRPr="00F55D96">
        <w:rPr>
          <w:b/>
          <w:bCs/>
          <w:sz w:val="22"/>
          <w:szCs w:val="22"/>
          <w:lang w:val="fr-CA"/>
        </w:rPr>
        <w:t>1</w:t>
      </w:r>
    </w:p>
    <w:p w14:paraId="1B179B42" w14:textId="77777777" w:rsidR="005C2034" w:rsidRPr="00F55D96" w:rsidRDefault="005C2034" w:rsidP="00EF1282">
      <w:pPr>
        <w:pStyle w:val="BodyTextIndent"/>
        <w:keepNext/>
        <w:widowControl/>
        <w:rPr>
          <w:sz w:val="22"/>
          <w:szCs w:val="22"/>
          <w:lang w:val="fr-CA"/>
        </w:rPr>
      </w:pPr>
    </w:p>
    <w:p w14:paraId="73ABF0DD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ab/>
      </w:r>
      <w:r w:rsidR="00A33AAB" w:rsidRPr="00F55D96">
        <w:rPr>
          <w:sz w:val="22"/>
          <w:szCs w:val="22"/>
          <w:lang w:val="fr-CA"/>
        </w:rPr>
        <w:t xml:space="preserve">Le </w:t>
      </w:r>
      <w:r w:rsidRPr="00F55D96">
        <w:rPr>
          <w:sz w:val="22"/>
          <w:szCs w:val="22"/>
          <w:lang w:val="fr-CA"/>
        </w:rPr>
        <w:t>quorum requi</w:t>
      </w:r>
      <w:r w:rsidR="00A33AAB" w:rsidRPr="00F55D96">
        <w:rPr>
          <w:sz w:val="22"/>
          <w:szCs w:val="22"/>
          <w:lang w:val="fr-CA"/>
        </w:rPr>
        <w:t>s pour tenir la Réunion de c</w:t>
      </w:r>
      <w:r w:rsidR="00BE7FDB" w:rsidRPr="00F55D96">
        <w:rPr>
          <w:sz w:val="22"/>
          <w:szCs w:val="22"/>
          <w:lang w:val="fr-CA"/>
        </w:rPr>
        <w:t>onsultation</w:t>
      </w:r>
      <w:r w:rsidRPr="00F55D96">
        <w:rPr>
          <w:sz w:val="22"/>
          <w:szCs w:val="22"/>
          <w:lang w:val="fr-CA"/>
        </w:rPr>
        <w:t xml:space="preserve"> </w:t>
      </w:r>
      <w:r w:rsidR="00A33AAB" w:rsidRPr="00F55D96">
        <w:rPr>
          <w:sz w:val="22"/>
          <w:szCs w:val="22"/>
          <w:lang w:val="fr-CA"/>
        </w:rPr>
        <w:t xml:space="preserve">est constitué par la majorité de ses membres. </w:t>
      </w:r>
    </w:p>
    <w:p w14:paraId="26444FD7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25B7A0D5" w14:textId="77777777" w:rsidR="005C2034" w:rsidRPr="00F55D96" w:rsidRDefault="005C2034" w:rsidP="00EF1282">
      <w:pPr>
        <w:pStyle w:val="BodyTextIndent"/>
        <w:widowControl/>
        <w:rPr>
          <w:b/>
          <w:bCs/>
          <w:sz w:val="22"/>
          <w:szCs w:val="22"/>
          <w:lang w:val="fr-CA"/>
        </w:rPr>
      </w:pPr>
      <w:r w:rsidRPr="00F55D96">
        <w:rPr>
          <w:b/>
          <w:bCs/>
          <w:sz w:val="22"/>
          <w:szCs w:val="22"/>
          <w:lang w:val="fr-CA"/>
        </w:rPr>
        <w:t>Article 1</w:t>
      </w:r>
      <w:r w:rsidR="00631BF6" w:rsidRPr="00F55D96">
        <w:rPr>
          <w:b/>
          <w:bCs/>
          <w:sz w:val="22"/>
          <w:szCs w:val="22"/>
          <w:lang w:val="fr-CA"/>
        </w:rPr>
        <w:t>2</w:t>
      </w:r>
    </w:p>
    <w:p w14:paraId="10A1C7ED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297F7995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ab/>
      </w:r>
      <w:r w:rsidR="00A33AAB" w:rsidRPr="00F55D96">
        <w:rPr>
          <w:sz w:val="22"/>
          <w:szCs w:val="22"/>
          <w:lang w:val="fr-CA"/>
        </w:rPr>
        <w:t xml:space="preserve">L’ordre de préséance des délégations des États parties est établi par tirage au sort pendant la réunion préparatoire. À cet égard, </w:t>
      </w:r>
      <w:r w:rsidR="007B7BFC" w:rsidRPr="00F55D96">
        <w:rPr>
          <w:sz w:val="22"/>
          <w:szCs w:val="22"/>
          <w:lang w:val="fr-CA"/>
        </w:rPr>
        <w:t xml:space="preserve">c’est </w:t>
      </w:r>
      <w:r w:rsidR="00A33AAB" w:rsidRPr="00F55D96">
        <w:rPr>
          <w:sz w:val="22"/>
          <w:szCs w:val="22"/>
          <w:lang w:val="fr-CA"/>
        </w:rPr>
        <w:t xml:space="preserve">l’ordre alphabétique du nom des États en espagnol </w:t>
      </w:r>
      <w:r w:rsidR="007B7BFC" w:rsidRPr="00F55D96">
        <w:rPr>
          <w:sz w:val="22"/>
          <w:szCs w:val="22"/>
          <w:lang w:val="fr-CA"/>
        </w:rPr>
        <w:t xml:space="preserve">qui s’applique. </w:t>
      </w:r>
    </w:p>
    <w:p w14:paraId="1A682299" w14:textId="1495E1F9" w:rsidR="005C2034" w:rsidRPr="00F55D96" w:rsidRDefault="005C2034" w:rsidP="007B7BFC">
      <w:pPr>
        <w:pStyle w:val="BodyTextIndent"/>
        <w:widowControl/>
        <w:tabs>
          <w:tab w:val="left" w:pos="3016"/>
        </w:tabs>
        <w:rPr>
          <w:sz w:val="22"/>
          <w:szCs w:val="22"/>
          <w:lang w:val="fr-CA"/>
        </w:rPr>
      </w:pPr>
    </w:p>
    <w:p w14:paraId="2803F66A" w14:textId="77777777" w:rsidR="005C2034" w:rsidRPr="00F55D96" w:rsidRDefault="005C2034" w:rsidP="00EF1282">
      <w:pPr>
        <w:pStyle w:val="BodyTextIndent"/>
        <w:widowControl/>
        <w:rPr>
          <w:b/>
          <w:bCs/>
          <w:sz w:val="22"/>
          <w:szCs w:val="22"/>
          <w:lang w:val="fr-CA"/>
        </w:rPr>
      </w:pPr>
      <w:r w:rsidRPr="00F55D96">
        <w:rPr>
          <w:b/>
          <w:bCs/>
          <w:sz w:val="22"/>
          <w:szCs w:val="22"/>
          <w:lang w:val="fr-CA"/>
        </w:rPr>
        <w:t>Article 1</w:t>
      </w:r>
      <w:r w:rsidR="00631BF6" w:rsidRPr="00F55D96">
        <w:rPr>
          <w:b/>
          <w:bCs/>
          <w:sz w:val="22"/>
          <w:szCs w:val="22"/>
          <w:lang w:val="fr-CA"/>
        </w:rPr>
        <w:t>3</w:t>
      </w:r>
    </w:p>
    <w:p w14:paraId="3B110824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1772196F" w14:textId="77777777" w:rsidR="005C2034" w:rsidRPr="00F55D96" w:rsidRDefault="005C2034" w:rsidP="00EF1282">
      <w:pPr>
        <w:pStyle w:val="BodyTextIndent"/>
        <w:rPr>
          <w:sz w:val="22"/>
          <w:szCs w:val="22"/>
          <w:shd w:val="clear" w:color="auto" w:fill="00FF00"/>
          <w:lang w:val="fr-CA"/>
        </w:rPr>
      </w:pPr>
      <w:r w:rsidRPr="00F55D96">
        <w:rPr>
          <w:sz w:val="22"/>
          <w:szCs w:val="22"/>
          <w:lang w:val="fr-CA"/>
        </w:rPr>
        <w:tab/>
      </w:r>
      <w:r w:rsidR="007B7BFC" w:rsidRPr="00F55D96">
        <w:rPr>
          <w:sz w:val="22"/>
          <w:szCs w:val="22"/>
          <w:lang w:val="fr-CA"/>
        </w:rPr>
        <w:t>Pendant les délibérations de la Réunion de c</w:t>
      </w:r>
      <w:r w:rsidR="00BE7FDB" w:rsidRPr="00F55D96">
        <w:rPr>
          <w:sz w:val="22"/>
          <w:szCs w:val="22"/>
          <w:lang w:val="fr-CA"/>
        </w:rPr>
        <w:t>onsultation</w:t>
      </w:r>
      <w:r w:rsidRPr="00F55D96">
        <w:rPr>
          <w:sz w:val="22"/>
          <w:szCs w:val="22"/>
          <w:lang w:val="fr-CA"/>
        </w:rPr>
        <w:t xml:space="preserve">, </w:t>
      </w:r>
      <w:r w:rsidR="007B7BFC" w:rsidRPr="00F55D96">
        <w:rPr>
          <w:sz w:val="22"/>
          <w:szCs w:val="22"/>
          <w:lang w:val="fr-CA"/>
        </w:rPr>
        <w:t xml:space="preserve">chaque </w:t>
      </w:r>
      <w:r w:rsidR="00AA14C7" w:rsidRPr="00F55D96">
        <w:rPr>
          <w:sz w:val="22"/>
          <w:szCs w:val="22"/>
          <w:lang w:val="fr-CA"/>
        </w:rPr>
        <w:t>État partie</w:t>
      </w:r>
      <w:r w:rsidR="007B7BFC" w:rsidRPr="00F55D96">
        <w:rPr>
          <w:sz w:val="22"/>
          <w:szCs w:val="22"/>
          <w:lang w:val="fr-CA"/>
        </w:rPr>
        <w:t xml:space="preserve"> a droit à une voix. Les décisions </w:t>
      </w:r>
      <w:r w:rsidR="00770F82" w:rsidRPr="00F55D96">
        <w:rPr>
          <w:sz w:val="22"/>
          <w:szCs w:val="22"/>
          <w:lang w:val="fr-CA"/>
        </w:rPr>
        <w:t xml:space="preserve">requièrent le </w:t>
      </w:r>
      <w:r w:rsidR="007B7BFC" w:rsidRPr="00F55D96">
        <w:rPr>
          <w:sz w:val="22"/>
          <w:szCs w:val="22"/>
          <w:lang w:val="fr-CA"/>
        </w:rPr>
        <w:t>vote affirmatif de la majorité des États parties qui participent à la Réunion de con</w:t>
      </w:r>
      <w:r w:rsidR="00BE7FDB" w:rsidRPr="00F55D96">
        <w:rPr>
          <w:sz w:val="22"/>
          <w:szCs w:val="22"/>
          <w:lang w:val="fr-CA"/>
        </w:rPr>
        <w:t>sultation</w:t>
      </w:r>
      <w:r w:rsidRPr="00F55D96">
        <w:rPr>
          <w:sz w:val="22"/>
          <w:szCs w:val="22"/>
          <w:lang w:val="fr-CA"/>
        </w:rPr>
        <w:t xml:space="preserve">, </w:t>
      </w:r>
      <w:r w:rsidR="007B7BFC" w:rsidRPr="00F55D96">
        <w:rPr>
          <w:sz w:val="22"/>
          <w:szCs w:val="22"/>
          <w:lang w:val="fr-CA"/>
        </w:rPr>
        <w:t>sauf dans le cas prévu à l’a</w:t>
      </w:r>
      <w:r w:rsidRPr="00F55D96">
        <w:rPr>
          <w:sz w:val="22"/>
          <w:szCs w:val="22"/>
          <w:lang w:val="fr-CA"/>
        </w:rPr>
        <w:t xml:space="preserve">rticle </w:t>
      </w:r>
      <w:r w:rsidR="00755E31" w:rsidRPr="00F55D96">
        <w:rPr>
          <w:sz w:val="22"/>
          <w:szCs w:val="22"/>
          <w:lang w:val="fr-CA"/>
        </w:rPr>
        <w:t>2</w:t>
      </w:r>
      <w:r w:rsidR="001050F8" w:rsidRPr="00F55D96">
        <w:rPr>
          <w:sz w:val="22"/>
          <w:szCs w:val="22"/>
          <w:lang w:val="fr-CA"/>
        </w:rPr>
        <w:t>0</w:t>
      </w:r>
      <w:r w:rsidRPr="00F55D96">
        <w:rPr>
          <w:sz w:val="22"/>
          <w:szCs w:val="22"/>
          <w:lang w:val="fr-CA"/>
        </w:rPr>
        <w:t xml:space="preserve"> </w:t>
      </w:r>
      <w:r w:rsidR="007B7BFC" w:rsidRPr="00F55D96">
        <w:rPr>
          <w:sz w:val="22"/>
          <w:szCs w:val="22"/>
          <w:lang w:val="fr-CA"/>
        </w:rPr>
        <w:t xml:space="preserve">du présent Règlement. </w:t>
      </w:r>
    </w:p>
    <w:p w14:paraId="0F466E53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1C032612" w14:textId="77777777" w:rsidR="005C2034" w:rsidRPr="00F55D96" w:rsidRDefault="005C2034" w:rsidP="00EF1282">
      <w:pPr>
        <w:pStyle w:val="BodyTextIndent"/>
        <w:widowControl/>
        <w:rPr>
          <w:b/>
          <w:bCs/>
          <w:sz w:val="22"/>
          <w:szCs w:val="22"/>
          <w:lang w:val="fr-CA"/>
        </w:rPr>
      </w:pPr>
      <w:r w:rsidRPr="00F55D96">
        <w:rPr>
          <w:b/>
          <w:bCs/>
          <w:sz w:val="22"/>
          <w:szCs w:val="22"/>
          <w:lang w:val="fr-CA"/>
        </w:rPr>
        <w:t>Article 1</w:t>
      </w:r>
      <w:r w:rsidR="00631BF6" w:rsidRPr="00F55D96">
        <w:rPr>
          <w:b/>
          <w:bCs/>
          <w:sz w:val="22"/>
          <w:szCs w:val="22"/>
          <w:lang w:val="fr-CA"/>
        </w:rPr>
        <w:t>4</w:t>
      </w:r>
    </w:p>
    <w:p w14:paraId="3FD831B1" w14:textId="77777777" w:rsidR="005C2034" w:rsidRPr="00F55D96" w:rsidRDefault="005C2034" w:rsidP="00EF1282">
      <w:pPr>
        <w:pStyle w:val="BodyTextIndent"/>
        <w:widowControl/>
        <w:rPr>
          <w:bCs/>
          <w:sz w:val="22"/>
          <w:szCs w:val="22"/>
          <w:lang w:val="fr-CA"/>
        </w:rPr>
      </w:pPr>
    </w:p>
    <w:p w14:paraId="63F73322" w14:textId="77777777" w:rsidR="005C2034" w:rsidRPr="00F55D96" w:rsidRDefault="005C2034" w:rsidP="007B7BFC">
      <w:pPr>
        <w:pStyle w:val="BodyTextIndent"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ab/>
      </w:r>
      <w:r w:rsidR="007B7BFC" w:rsidRPr="00F55D96">
        <w:rPr>
          <w:sz w:val="22"/>
          <w:szCs w:val="22"/>
          <w:lang w:val="fr-CA"/>
        </w:rPr>
        <w:t xml:space="preserve">Les États qui ne sont pas parties à la </w:t>
      </w:r>
      <w:r w:rsidRPr="00F55D96">
        <w:rPr>
          <w:sz w:val="22"/>
          <w:szCs w:val="22"/>
          <w:lang w:val="fr-CA"/>
        </w:rPr>
        <w:t xml:space="preserve">Convention </w:t>
      </w:r>
      <w:r w:rsidR="007B7BFC" w:rsidRPr="00F55D96">
        <w:rPr>
          <w:sz w:val="22"/>
          <w:szCs w:val="22"/>
          <w:lang w:val="fr-CA"/>
        </w:rPr>
        <w:t xml:space="preserve">mais qui sont membres de l’OEA peuvent être invités à </w:t>
      </w:r>
      <w:r w:rsidR="000A2C77" w:rsidRPr="00F55D96">
        <w:rPr>
          <w:sz w:val="22"/>
          <w:szCs w:val="22"/>
          <w:lang w:val="fr-CA"/>
        </w:rPr>
        <w:t xml:space="preserve">participer </w:t>
      </w:r>
      <w:r w:rsidR="007B7BFC" w:rsidRPr="00F55D96">
        <w:rPr>
          <w:sz w:val="22"/>
          <w:szCs w:val="22"/>
          <w:lang w:val="fr-CA"/>
        </w:rPr>
        <w:t xml:space="preserve">à la </w:t>
      </w:r>
      <w:r w:rsidR="007A1C5D" w:rsidRPr="00F55D96">
        <w:rPr>
          <w:sz w:val="22"/>
          <w:szCs w:val="22"/>
          <w:lang w:val="fr-CA"/>
        </w:rPr>
        <w:t>Réunion de consultation</w:t>
      </w:r>
      <w:r w:rsidR="007B7BFC" w:rsidRPr="00F55D96">
        <w:rPr>
          <w:sz w:val="22"/>
          <w:szCs w:val="22"/>
          <w:lang w:val="fr-CA"/>
        </w:rPr>
        <w:t xml:space="preserve"> avec droit de parole mais pas de vote. Ils peuvent prendre la parole lorsque le Président de la </w:t>
      </w:r>
      <w:r w:rsidR="007A1C5D" w:rsidRPr="00F55D96">
        <w:rPr>
          <w:sz w:val="22"/>
          <w:szCs w:val="22"/>
          <w:lang w:val="fr-CA"/>
        </w:rPr>
        <w:t>Réunion de consultation</w:t>
      </w:r>
      <w:r w:rsidR="007B7BFC" w:rsidRPr="00F55D96">
        <w:rPr>
          <w:sz w:val="22"/>
          <w:szCs w:val="22"/>
          <w:lang w:val="fr-CA"/>
        </w:rPr>
        <w:t xml:space="preserve"> en décide ainsi. </w:t>
      </w:r>
    </w:p>
    <w:p w14:paraId="1D718568" w14:textId="77777777" w:rsidR="000A2C77" w:rsidRPr="00F55D96" w:rsidRDefault="000A2C77" w:rsidP="007B7BFC">
      <w:pPr>
        <w:pStyle w:val="BodyTextIndent"/>
        <w:rPr>
          <w:sz w:val="22"/>
          <w:szCs w:val="22"/>
          <w:lang w:val="fr-CA"/>
        </w:rPr>
      </w:pPr>
    </w:p>
    <w:p w14:paraId="2717A965" w14:textId="77777777" w:rsidR="005C2034" w:rsidRPr="00F55D96" w:rsidRDefault="005C2034" w:rsidP="00EF1282">
      <w:pPr>
        <w:pStyle w:val="BodyTextIndent"/>
        <w:widowControl/>
        <w:rPr>
          <w:b/>
          <w:bCs/>
          <w:sz w:val="22"/>
          <w:szCs w:val="22"/>
          <w:lang w:val="fr-CA"/>
        </w:rPr>
      </w:pPr>
      <w:r w:rsidRPr="00F55D96">
        <w:rPr>
          <w:b/>
          <w:bCs/>
          <w:sz w:val="22"/>
          <w:szCs w:val="22"/>
          <w:lang w:val="fr-CA"/>
        </w:rPr>
        <w:t>Article 1</w:t>
      </w:r>
      <w:r w:rsidR="00631BF6" w:rsidRPr="00F55D96">
        <w:rPr>
          <w:b/>
          <w:bCs/>
          <w:sz w:val="22"/>
          <w:szCs w:val="22"/>
          <w:lang w:val="fr-CA"/>
        </w:rPr>
        <w:t>5</w:t>
      </w:r>
    </w:p>
    <w:p w14:paraId="51CA4D86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590CF29B" w14:textId="77777777" w:rsidR="005C2034" w:rsidRPr="00F55D96" w:rsidRDefault="005C2034" w:rsidP="00EF1282">
      <w:pPr>
        <w:pStyle w:val="BodyTextIndent"/>
        <w:widowControl/>
        <w:rPr>
          <w:b/>
          <w:bCs/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ab/>
      </w:r>
      <w:r w:rsidR="001465EA" w:rsidRPr="00F55D96">
        <w:rPr>
          <w:sz w:val="22"/>
          <w:szCs w:val="22"/>
          <w:lang w:val="fr-CA"/>
        </w:rPr>
        <w:t>Les observateurs permanents près l’OEA peuvent être invités à participer à la Réunion de c</w:t>
      </w:r>
      <w:r w:rsidR="000E00FF" w:rsidRPr="00F55D96">
        <w:rPr>
          <w:sz w:val="22"/>
          <w:szCs w:val="22"/>
          <w:lang w:val="fr-CA"/>
        </w:rPr>
        <w:t>onsultation</w:t>
      </w:r>
      <w:r w:rsidR="001050F8" w:rsidRPr="00F55D96">
        <w:rPr>
          <w:sz w:val="22"/>
          <w:szCs w:val="22"/>
          <w:lang w:val="fr-CA"/>
        </w:rPr>
        <w:t>.</w:t>
      </w:r>
      <w:r w:rsidRPr="00F55D96">
        <w:rPr>
          <w:sz w:val="22"/>
          <w:szCs w:val="22"/>
          <w:lang w:val="fr-CA"/>
        </w:rPr>
        <w:t xml:space="preserve"> </w:t>
      </w:r>
      <w:r w:rsidR="001465EA" w:rsidRPr="00F55D96">
        <w:rPr>
          <w:sz w:val="22"/>
          <w:szCs w:val="22"/>
          <w:lang w:val="fr-CA"/>
        </w:rPr>
        <w:t xml:space="preserve">Ils peuvent demander </w:t>
      </w:r>
      <w:r w:rsidR="000A2C77" w:rsidRPr="00F55D96">
        <w:rPr>
          <w:sz w:val="22"/>
          <w:szCs w:val="22"/>
          <w:lang w:val="fr-CA"/>
        </w:rPr>
        <w:t>de</w:t>
      </w:r>
      <w:r w:rsidR="001465EA" w:rsidRPr="00F55D96">
        <w:rPr>
          <w:sz w:val="22"/>
          <w:szCs w:val="22"/>
          <w:lang w:val="fr-CA"/>
        </w:rPr>
        <w:t xml:space="preserve"> prendre la parole et le Président en décidera au cas par cas. </w:t>
      </w:r>
    </w:p>
    <w:p w14:paraId="60C417D9" w14:textId="77777777" w:rsidR="005C2034" w:rsidRPr="00F55D96" w:rsidRDefault="005C2034" w:rsidP="00EF1282">
      <w:pPr>
        <w:pStyle w:val="BodyTextIndent"/>
        <w:widowControl/>
        <w:rPr>
          <w:bCs/>
          <w:sz w:val="22"/>
          <w:szCs w:val="22"/>
          <w:lang w:val="fr-CA"/>
        </w:rPr>
      </w:pPr>
    </w:p>
    <w:p w14:paraId="1F0B0736" w14:textId="77777777" w:rsidR="005C2034" w:rsidRPr="00F55D96" w:rsidRDefault="005C2034" w:rsidP="00EF1282">
      <w:pPr>
        <w:pStyle w:val="BodyTextIndent"/>
        <w:widowControl/>
        <w:rPr>
          <w:b/>
          <w:bCs/>
          <w:sz w:val="22"/>
          <w:szCs w:val="22"/>
          <w:lang w:val="fr-CA"/>
        </w:rPr>
      </w:pPr>
      <w:r w:rsidRPr="00F55D96">
        <w:rPr>
          <w:b/>
          <w:bCs/>
          <w:sz w:val="22"/>
          <w:szCs w:val="22"/>
          <w:lang w:val="fr-CA"/>
        </w:rPr>
        <w:t>Article 1</w:t>
      </w:r>
      <w:r w:rsidR="00631BF6" w:rsidRPr="00F55D96">
        <w:rPr>
          <w:b/>
          <w:bCs/>
          <w:sz w:val="22"/>
          <w:szCs w:val="22"/>
          <w:lang w:val="fr-CA"/>
        </w:rPr>
        <w:t>6</w:t>
      </w:r>
    </w:p>
    <w:p w14:paraId="052057E5" w14:textId="77777777" w:rsidR="005C2034" w:rsidRPr="00F55D96" w:rsidRDefault="005C2034" w:rsidP="00EF1282">
      <w:pPr>
        <w:pStyle w:val="BodyTextIndent"/>
        <w:widowControl/>
        <w:rPr>
          <w:bCs/>
          <w:sz w:val="22"/>
          <w:szCs w:val="22"/>
          <w:lang w:val="fr-CA"/>
        </w:rPr>
      </w:pPr>
    </w:p>
    <w:p w14:paraId="44D8A549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ab/>
      </w:r>
      <w:r w:rsidR="001465EA" w:rsidRPr="00F55D96">
        <w:rPr>
          <w:sz w:val="22"/>
          <w:szCs w:val="22"/>
          <w:lang w:val="fr-CA"/>
        </w:rPr>
        <w:t>Les agences et les organismes internationaux considérés comme pertinents peuvent être invités à la Réunion de c</w:t>
      </w:r>
      <w:r w:rsidR="000E00FF" w:rsidRPr="00F55D96">
        <w:rPr>
          <w:sz w:val="22"/>
          <w:szCs w:val="22"/>
          <w:lang w:val="fr-CA"/>
        </w:rPr>
        <w:t>onsultation.</w:t>
      </w:r>
      <w:r w:rsidRPr="00F55D96">
        <w:rPr>
          <w:sz w:val="22"/>
          <w:szCs w:val="22"/>
          <w:lang w:val="fr-CA"/>
        </w:rPr>
        <w:t xml:space="preserve"> </w:t>
      </w:r>
      <w:r w:rsidR="001465EA" w:rsidRPr="00F55D96">
        <w:rPr>
          <w:sz w:val="22"/>
          <w:szCs w:val="22"/>
          <w:lang w:val="fr-CA"/>
        </w:rPr>
        <w:t>Ils peuvent prendre la parole si le Président de la Réunion de c</w:t>
      </w:r>
      <w:r w:rsidR="00434778" w:rsidRPr="00F55D96">
        <w:rPr>
          <w:sz w:val="22"/>
          <w:szCs w:val="22"/>
          <w:lang w:val="fr-CA"/>
        </w:rPr>
        <w:t>onsultation</w:t>
      </w:r>
      <w:r w:rsidR="001465EA" w:rsidRPr="00F55D96">
        <w:rPr>
          <w:sz w:val="22"/>
          <w:szCs w:val="22"/>
          <w:lang w:val="fr-CA"/>
        </w:rPr>
        <w:t xml:space="preserve"> le décide</w:t>
      </w:r>
      <w:r w:rsidRPr="00F55D96">
        <w:rPr>
          <w:sz w:val="22"/>
          <w:szCs w:val="22"/>
          <w:lang w:val="fr-CA"/>
        </w:rPr>
        <w:t>.</w:t>
      </w:r>
    </w:p>
    <w:p w14:paraId="4649CB18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18012EF0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  <w:r w:rsidRPr="00F55D96">
        <w:rPr>
          <w:b/>
          <w:bCs/>
          <w:sz w:val="22"/>
          <w:szCs w:val="22"/>
          <w:lang w:val="fr-CA"/>
        </w:rPr>
        <w:t>Article 1</w:t>
      </w:r>
      <w:r w:rsidR="00631BF6" w:rsidRPr="00F55D96">
        <w:rPr>
          <w:b/>
          <w:bCs/>
          <w:sz w:val="22"/>
          <w:szCs w:val="22"/>
          <w:lang w:val="fr-CA"/>
        </w:rPr>
        <w:t>7</w:t>
      </w:r>
    </w:p>
    <w:p w14:paraId="00727127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416B8EFA" w14:textId="0BBBDBE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ab/>
      </w:r>
      <w:r w:rsidR="00D86C8D" w:rsidRPr="00F55D96">
        <w:rPr>
          <w:sz w:val="22"/>
          <w:szCs w:val="22"/>
          <w:lang w:val="fr-CA"/>
        </w:rPr>
        <w:t>Chaque fois que cela est jugé utile pour les objectifs de la Réunion de consu</w:t>
      </w:r>
      <w:r w:rsidR="000E00FF" w:rsidRPr="00F55D96">
        <w:rPr>
          <w:sz w:val="22"/>
          <w:szCs w:val="22"/>
          <w:lang w:val="fr-CA"/>
        </w:rPr>
        <w:t>ltation</w:t>
      </w:r>
      <w:r w:rsidRPr="00F55D96">
        <w:rPr>
          <w:sz w:val="22"/>
          <w:szCs w:val="22"/>
          <w:lang w:val="fr-CA"/>
        </w:rPr>
        <w:t xml:space="preserve">, </w:t>
      </w:r>
      <w:r w:rsidR="00D86C8D" w:rsidRPr="00F55D96">
        <w:rPr>
          <w:sz w:val="22"/>
          <w:szCs w:val="22"/>
          <w:lang w:val="fr-CA"/>
        </w:rPr>
        <w:t xml:space="preserve">des invitations à participer à cette Réunion peuvent être </w:t>
      </w:r>
      <w:r w:rsidR="000A2C77" w:rsidRPr="00F55D96">
        <w:rPr>
          <w:sz w:val="22"/>
          <w:szCs w:val="22"/>
          <w:lang w:val="fr-CA"/>
        </w:rPr>
        <w:t xml:space="preserve">adressées </w:t>
      </w:r>
      <w:r w:rsidR="00D86C8D" w:rsidRPr="00F55D96">
        <w:rPr>
          <w:sz w:val="22"/>
          <w:szCs w:val="22"/>
          <w:lang w:val="fr-CA"/>
        </w:rPr>
        <w:t>à des représentants d’organisations de la société civile dont les activités sont en relation avec les domaines dont s’occupe la Convention,</w:t>
      </w:r>
      <w:r w:rsidR="001F7D16" w:rsidRPr="00F55D96">
        <w:rPr>
          <w:sz w:val="22"/>
          <w:szCs w:val="22"/>
          <w:lang w:val="fr-CA"/>
        </w:rPr>
        <w:t xml:space="preserve"> </w:t>
      </w:r>
      <w:r w:rsidR="00D86C8D" w:rsidRPr="00F55D96">
        <w:rPr>
          <w:sz w:val="22"/>
          <w:szCs w:val="22"/>
          <w:lang w:val="fr-CA"/>
        </w:rPr>
        <w:t xml:space="preserve">conformément aux « Directives pour la participation des organisations de la société civile aux activités </w:t>
      </w:r>
      <w:r w:rsidR="00D86C8D" w:rsidRPr="00F55D96">
        <w:rPr>
          <w:sz w:val="22"/>
          <w:szCs w:val="22"/>
          <w:lang w:val="fr-CA"/>
        </w:rPr>
        <w:lastRenderedPageBreak/>
        <w:t xml:space="preserve">de l’OEA » et aux « Stratégies visant à accroître et à renforcer la participation des organisations de la société civile aux activités de l’OEA », adoptées par le Conseil permanent. </w:t>
      </w:r>
    </w:p>
    <w:p w14:paraId="5658F44C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2DA0E6FF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  <w:r w:rsidRPr="00F55D96">
        <w:rPr>
          <w:b/>
          <w:bCs/>
          <w:sz w:val="22"/>
          <w:szCs w:val="22"/>
          <w:lang w:val="fr-CA"/>
        </w:rPr>
        <w:t xml:space="preserve">Article </w:t>
      </w:r>
      <w:r w:rsidR="00631BF6" w:rsidRPr="00F55D96">
        <w:rPr>
          <w:b/>
          <w:bCs/>
          <w:sz w:val="22"/>
          <w:szCs w:val="22"/>
          <w:lang w:val="fr-CA"/>
        </w:rPr>
        <w:t>18</w:t>
      </w:r>
    </w:p>
    <w:p w14:paraId="10CA80E2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43BF1313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ab/>
      </w:r>
      <w:r w:rsidR="00D86C8D" w:rsidRPr="00F55D96">
        <w:rPr>
          <w:sz w:val="22"/>
          <w:szCs w:val="22"/>
          <w:lang w:val="fr-CA"/>
        </w:rPr>
        <w:t xml:space="preserve">Les langues de travail de la </w:t>
      </w:r>
      <w:r w:rsidR="007A1C5D" w:rsidRPr="00F55D96">
        <w:rPr>
          <w:sz w:val="22"/>
          <w:szCs w:val="22"/>
          <w:lang w:val="fr-CA"/>
        </w:rPr>
        <w:t>Réunion de consultation</w:t>
      </w:r>
      <w:r w:rsidR="00D86C8D" w:rsidRPr="00F55D96">
        <w:rPr>
          <w:sz w:val="22"/>
          <w:szCs w:val="22"/>
          <w:lang w:val="fr-CA"/>
        </w:rPr>
        <w:t xml:space="preserve"> sont les langues officielles de l’OEA. </w:t>
      </w:r>
    </w:p>
    <w:p w14:paraId="144BA9DB" w14:textId="77777777" w:rsidR="005C2034" w:rsidRPr="00F55D96" w:rsidRDefault="005C2034" w:rsidP="00EF1282">
      <w:pPr>
        <w:pStyle w:val="BodyTextIndent"/>
        <w:widowControl/>
        <w:jc w:val="center"/>
        <w:rPr>
          <w:sz w:val="22"/>
          <w:szCs w:val="22"/>
          <w:lang w:val="fr-CA"/>
        </w:rPr>
      </w:pPr>
    </w:p>
    <w:p w14:paraId="35BFE3E4" w14:textId="77777777" w:rsidR="005C2034" w:rsidRPr="00F55D96" w:rsidRDefault="005C2034" w:rsidP="00EF1282">
      <w:pPr>
        <w:pStyle w:val="BodyTextIndent"/>
        <w:widowControl/>
        <w:jc w:val="center"/>
        <w:rPr>
          <w:sz w:val="22"/>
          <w:szCs w:val="22"/>
          <w:lang w:val="fr-CA"/>
        </w:rPr>
      </w:pPr>
    </w:p>
    <w:p w14:paraId="1D96778C" w14:textId="77777777" w:rsidR="005C2034" w:rsidRPr="00F55D96" w:rsidRDefault="00852B25" w:rsidP="00EF1282">
      <w:pPr>
        <w:pStyle w:val="BodyTextIndent"/>
        <w:widowControl/>
        <w:jc w:val="center"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>CHAPITRE</w:t>
      </w:r>
      <w:r w:rsidR="005C2034" w:rsidRPr="00F55D96">
        <w:rPr>
          <w:sz w:val="22"/>
          <w:szCs w:val="22"/>
          <w:lang w:val="fr-CA"/>
        </w:rPr>
        <w:t xml:space="preserve"> V</w:t>
      </w:r>
    </w:p>
    <w:p w14:paraId="307507E8" w14:textId="5D479E79" w:rsidR="005C2034" w:rsidRPr="00F55D96" w:rsidRDefault="005C6952" w:rsidP="00EF1282">
      <w:pPr>
        <w:pStyle w:val="BodyTextIndent"/>
        <w:widowControl/>
        <w:jc w:val="center"/>
        <w:rPr>
          <w:sz w:val="22"/>
          <w:szCs w:val="22"/>
          <w:lang w:val="fr-CA"/>
        </w:rPr>
      </w:pPr>
      <w:r w:rsidRPr="00F55D96">
        <w:rPr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E5E22AB" wp14:editId="5FC680C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AD033" w14:textId="07E8B749" w:rsidR="00B87EDC" w:rsidRPr="00B87EDC" w:rsidRDefault="00B87ED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4D6199">
                              <w:rPr>
                                <w:noProof/>
                                <w:sz w:val="18"/>
                              </w:rPr>
                              <w:t>CICTE01535F01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E22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0DBAD033" w14:textId="07E8B749" w:rsidR="00B87EDC" w:rsidRPr="00B87EDC" w:rsidRDefault="00B87ED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4D6199">
                        <w:rPr>
                          <w:noProof/>
                          <w:sz w:val="18"/>
                        </w:rPr>
                        <w:t>CICTE01535F01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C2034" w:rsidRPr="00F55D96">
        <w:rPr>
          <w:sz w:val="22"/>
          <w:szCs w:val="22"/>
          <w:lang w:val="fr-CA"/>
        </w:rPr>
        <w:t>R</w:t>
      </w:r>
      <w:r w:rsidR="002A51DD" w:rsidRPr="00F55D96">
        <w:rPr>
          <w:sz w:val="22"/>
          <w:szCs w:val="22"/>
          <w:lang w:val="fr-CA"/>
        </w:rPr>
        <w:t xml:space="preserve">ÈGLEMENT </w:t>
      </w:r>
    </w:p>
    <w:p w14:paraId="14BD2527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374702CA" w14:textId="77777777" w:rsidR="005C2034" w:rsidRPr="00F55D96" w:rsidRDefault="005C2034" w:rsidP="00EF1282">
      <w:pPr>
        <w:pStyle w:val="BodyTextIndent"/>
        <w:widowControl/>
        <w:rPr>
          <w:bCs/>
          <w:sz w:val="22"/>
          <w:szCs w:val="22"/>
          <w:lang w:val="fr-CA"/>
        </w:rPr>
      </w:pPr>
      <w:r w:rsidRPr="00F55D96">
        <w:rPr>
          <w:b/>
          <w:bCs/>
          <w:sz w:val="22"/>
          <w:szCs w:val="22"/>
          <w:lang w:val="fr-CA"/>
        </w:rPr>
        <w:t xml:space="preserve">Article </w:t>
      </w:r>
      <w:r w:rsidR="00631BF6" w:rsidRPr="00F55D96">
        <w:rPr>
          <w:b/>
          <w:bCs/>
          <w:sz w:val="22"/>
          <w:szCs w:val="22"/>
          <w:lang w:val="fr-CA"/>
        </w:rPr>
        <w:t>19</w:t>
      </w:r>
    </w:p>
    <w:p w14:paraId="3A42CD02" w14:textId="77777777" w:rsidR="005C2034" w:rsidRPr="00F55D96" w:rsidRDefault="005C2034" w:rsidP="00EF1282">
      <w:pPr>
        <w:pStyle w:val="BodyTextIndent"/>
        <w:widowControl/>
        <w:rPr>
          <w:bCs/>
          <w:sz w:val="22"/>
          <w:szCs w:val="22"/>
          <w:lang w:val="fr-CA"/>
        </w:rPr>
      </w:pPr>
    </w:p>
    <w:p w14:paraId="2FBFA676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ab/>
      </w:r>
      <w:r w:rsidR="002A51DD" w:rsidRPr="00F55D96">
        <w:rPr>
          <w:sz w:val="22"/>
          <w:szCs w:val="22"/>
          <w:lang w:val="fr-CA"/>
        </w:rPr>
        <w:t>Le Règlement est adopté à la première Réunion de c</w:t>
      </w:r>
      <w:r w:rsidR="000E00FF" w:rsidRPr="00F55D96">
        <w:rPr>
          <w:sz w:val="22"/>
          <w:szCs w:val="22"/>
          <w:lang w:val="fr-CA"/>
        </w:rPr>
        <w:t>onsultation</w:t>
      </w:r>
      <w:r w:rsidRPr="00F55D96">
        <w:rPr>
          <w:sz w:val="22"/>
          <w:szCs w:val="22"/>
          <w:lang w:val="fr-CA"/>
        </w:rPr>
        <w:t xml:space="preserve"> </w:t>
      </w:r>
      <w:r w:rsidR="002A51DD" w:rsidRPr="00F55D96">
        <w:rPr>
          <w:sz w:val="22"/>
          <w:szCs w:val="22"/>
          <w:lang w:val="fr-CA"/>
        </w:rPr>
        <w:t xml:space="preserve">et entre en vigueur à la date à laquelle il est adopté. </w:t>
      </w:r>
    </w:p>
    <w:p w14:paraId="6661C373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4F93F0A9" w14:textId="77777777" w:rsidR="005C2034" w:rsidRPr="00F55D96" w:rsidRDefault="005C2034" w:rsidP="00EF1282">
      <w:pPr>
        <w:pStyle w:val="BodyTextIndent"/>
        <w:widowControl/>
        <w:rPr>
          <w:bCs/>
          <w:sz w:val="22"/>
          <w:szCs w:val="22"/>
          <w:lang w:val="fr-CA"/>
        </w:rPr>
      </w:pPr>
      <w:r w:rsidRPr="00F55D96">
        <w:rPr>
          <w:b/>
          <w:bCs/>
          <w:sz w:val="22"/>
          <w:szCs w:val="22"/>
          <w:lang w:val="fr-CA"/>
        </w:rPr>
        <w:t>Article 2</w:t>
      </w:r>
      <w:r w:rsidR="00631BF6" w:rsidRPr="00F55D96">
        <w:rPr>
          <w:b/>
          <w:bCs/>
          <w:sz w:val="22"/>
          <w:szCs w:val="22"/>
          <w:lang w:val="fr-CA"/>
        </w:rPr>
        <w:t>0</w:t>
      </w:r>
    </w:p>
    <w:p w14:paraId="79847415" w14:textId="77777777" w:rsidR="005C2034" w:rsidRPr="00F55D96" w:rsidRDefault="005C2034" w:rsidP="00EF1282">
      <w:pPr>
        <w:pStyle w:val="BodyTextIndent"/>
        <w:widowControl/>
        <w:rPr>
          <w:sz w:val="22"/>
          <w:szCs w:val="22"/>
          <w:lang w:val="fr-CA"/>
        </w:rPr>
      </w:pPr>
    </w:p>
    <w:p w14:paraId="69665106" w14:textId="77777777" w:rsidR="005C2034" w:rsidRPr="00F55D96" w:rsidRDefault="002A51DD" w:rsidP="00EF1282">
      <w:pPr>
        <w:pStyle w:val="BodyTextIndent"/>
        <w:widowControl/>
        <w:ind w:firstLine="720"/>
        <w:rPr>
          <w:sz w:val="22"/>
          <w:szCs w:val="22"/>
          <w:lang w:val="fr-CA"/>
        </w:rPr>
      </w:pPr>
      <w:r w:rsidRPr="00F55D96">
        <w:rPr>
          <w:sz w:val="22"/>
          <w:szCs w:val="22"/>
          <w:lang w:val="fr-CA"/>
        </w:rPr>
        <w:t xml:space="preserve">Le Règlement peut être modifié par la </w:t>
      </w:r>
      <w:r w:rsidR="007A1C5D" w:rsidRPr="00F55D96">
        <w:rPr>
          <w:sz w:val="22"/>
          <w:szCs w:val="22"/>
          <w:lang w:val="fr-CA"/>
        </w:rPr>
        <w:t>Réunion de consultation</w:t>
      </w:r>
      <w:r w:rsidRPr="00F55D96">
        <w:rPr>
          <w:sz w:val="22"/>
          <w:szCs w:val="22"/>
          <w:lang w:val="fr-CA"/>
        </w:rPr>
        <w:t xml:space="preserve"> à la majorité qualifiée des deux tiers des États parties. </w:t>
      </w:r>
    </w:p>
    <w:sectPr w:rsidR="005C2034" w:rsidRPr="00F55D96" w:rsidSect="004B67E8"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22B9" w14:textId="77777777" w:rsidR="00E82C41" w:rsidRDefault="00E82C41">
      <w:r>
        <w:separator/>
      </w:r>
    </w:p>
  </w:endnote>
  <w:endnote w:type="continuationSeparator" w:id="0">
    <w:p w14:paraId="7187BF4E" w14:textId="77777777" w:rsidR="00E82C41" w:rsidRDefault="00E8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96FD" w14:textId="77777777" w:rsidR="0047688C" w:rsidRDefault="0047688C">
    <w:pPr>
      <w:pStyle w:val="Footer"/>
      <w:widowControl/>
      <w:ind w:right="360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7046" w14:textId="77777777" w:rsidR="0047688C" w:rsidRDefault="0047688C">
    <w:pPr>
      <w:pStyle w:val="Footer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421F" w14:textId="77777777" w:rsidR="00E82C41" w:rsidRDefault="00E82C41">
      <w:r>
        <w:separator/>
      </w:r>
    </w:p>
  </w:footnote>
  <w:footnote w:type="continuationSeparator" w:id="0">
    <w:p w14:paraId="4C410DAC" w14:textId="77777777" w:rsidR="00E82C41" w:rsidRDefault="00E8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9DBB" w14:textId="77777777" w:rsidR="0047688C" w:rsidRPr="00D03953" w:rsidRDefault="005C2034" w:rsidP="005C2034">
    <w:pPr>
      <w:pStyle w:val="Header"/>
      <w:widowControl/>
      <w:jc w:val="center"/>
      <w:rPr>
        <w:sz w:val="22"/>
        <w:szCs w:val="22"/>
      </w:rPr>
    </w:pPr>
    <w:r w:rsidRPr="00D03953">
      <w:rPr>
        <w:rStyle w:val="PageNumber"/>
        <w:sz w:val="22"/>
        <w:szCs w:val="22"/>
      </w:rPr>
      <w:t xml:space="preserve">- </w:t>
    </w:r>
    <w:r w:rsidR="0095711E" w:rsidRPr="00D03953">
      <w:rPr>
        <w:rStyle w:val="PageNumber"/>
        <w:sz w:val="22"/>
        <w:szCs w:val="22"/>
      </w:rPr>
      <w:fldChar w:fldCharType="begin"/>
    </w:r>
    <w:r w:rsidRPr="00D03953">
      <w:rPr>
        <w:rStyle w:val="PageNumber"/>
        <w:sz w:val="22"/>
        <w:szCs w:val="22"/>
      </w:rPr>
      <w:instrText xml:space="preserve"> PAGE </w:instrText>
    </w:r>
    <w:r w:rsidR="0095711E" w:rsidRPr="00D03953">
      <w:rPr>
        <w:rStyle w:val="PageNumber"/>
        <w:sz w:val="22"/>
        <w:szCs w:val="22"/>
      </w:rPr>
      <w:fldChar w:fldCharType="separate"/>
    </w:r>
    <w:r w:rsidR="00227A2A">
      <w:rPr>
        <w:rStyle w:val="PageNumber"/>
        <w:noProof/>
        <w:sz w:val="22"/>
        <w:szCs w:val="22"/>
      </w:rPr>
      <w:t>5</w:t>
    </w:r>
    <w:r w:rsidR="0095711E" w:rsidRPr="00D03953">
      <w:rPr>
        <w:rStyle w:val="PageNumber"/>
        <w:sz w:val="22"/>
        <w:szCs w:val="22"/>
      </w:rPr>
      <w:fldChar w:fldCharType="end"/>
    </w:r>
    <w:r w:rsidRPr="00D03953"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DE60" w14:textId="77777777" w:rsidR="0047688C" w:rsidRDefault="0047688C">
    <w:pPr>
      <w:pStyle w:val="Header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E17"/>
    <w:multiLevelType w:val="singleLevel"/>
    <w:tmpl w:val="0E9824CE"/>
    <w:lvl w:ilvl="0">
      <w:start w:val="4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3363591"/>
    <w:multiLevelType w:val="singleLevel"/>
    <w:tmpl w:val="872AB57C"/>
    <w:lvl w:ilvl="0">
      <w:start w:val="3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A7B12A2"/>
    <w:multiLevelType w:val="singleLevel"/>
    <w:tmpl w:val="0E9824CE"/>
    <w:lvl w:ilvl="0">
      <w:start w:val="4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D090E94"/>
    <w:multiLevelType w:val="singleLevel"/>
    <w:tmpl w:val="D8C224B6"/>
    <w:lvl w:ilvl="0">
      <w:start w:val="5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1CE7A6C"/>
    <w:multiLevelType w:val="singleLevel"/>
    <w:tmpl w:val="AC4A1BB8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8462449"/>
    <w:multiLevelType w:val="singleLevel"/>
    <w:tmpl w:val="8976036C"/>
    <w:lvl w:ilvl="0">
      <w:start w:val="8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717764A"/>
    <w:multiLevelType w:val="singleLevel"/>
    <w:tmpl w:val="69C62EEA"/>
    <w:lvl w:ilvl="0">
      <w:start w:val="2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2DC19DA"/>
    <w:multiLevelType w:val="singleLevel"/>
    <w:tmpl w:val="D27EBF88"/>
    <w:lvl w:ilvl="0">
      <w:start w:val="7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77B5604"/>
    <w:multiLevelType w:val="hybridMultilevel"/>
    <w:tmpl w:val="95CAEE4C"/>
    <w:lvl w:ilvl="0" w:tplc="E75091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4A285A"/>
    <w:multiLevelType w:val="singleLevel"/>
    <w:tmpl w:val="AC4A1BB8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16D581E"/>
    <w:multiLevelType w:val="singleLevel"/>
    <w:tmpl w:val="69C62EEA"/>
    <w:lvl w:ilvl="0">
      <w:start w:val="2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C5D7D3B"/>
    <w:multiLevelType w:val="singleLevel"/>
    <w:tmpl w:val="35821BC4"/>
    <w:lvl w:ilvl="0">
      <w:start w:val="6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F376995"/>
    <w:multiLevelType w:val="singleLevel"/>
    <w:tmpl w:val="D8C224B6"/>
    <w:lvl w:ilvl="0">
      <w:start w:val="5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1841CD0"/>
    <w:multiLevelType w:val="singleLevel"/>
    <w:tmpl w:val="35821BC4"/>
    <w:lvl w:ilvl="0">
      <w:start w:val="6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6"/>
    <w:lvlOverride w:ilvl="0">
      <w:lvl w:ilvl="0">
        <w:start w:val="3"/>
        <w:numFmt w:val="lowerLetter"/>
        <w:lvlText w:val="%1."/>
        <w:legacy w:legacy="1" w:legacySpace="120" w:legacyIndent="360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UseMarginsForDrawingGridOrigin/>
  <w:drawingGridHorizontalOrigin w:val="1699"/>
  <w:drawingGridVerticalOrigin w:val="216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8C"/>
    <w:rsid w:val="000268D8"/>
    <w:rsid w:val="000308CA"/>
    <w:rsid w:val="000321BF"/>
    <w:rsid w:val="00041D44"/>
    <w:rsid w:val="0004480E"/>
    <w:rsid w:val="000A2C77"/>
    <w:rsid w:val="000B10F0"/>
    <w:rsid w:val="000B750B"/>
    <w:rsid w:val="000E00FF"/>
    <w:rsid w:val="0010046F"/>
    <w:rsid w:val="00101D51"/>
    <w:rsid w:val="001050F8"/>
    <w:rsid w:val="00115A37"/>
    <w:rsid w:val="00117F09"/>
    <w:rsid w:val="00141CDC"/>
    <w:rsid w:val="001465EA"/>
    <w:rsid w:val="00161C6C"/>
    <w:rsid w:val="00170E2D"/>
    <w:rsid w:val="00177FAF"/>
    <w:rsid w:val="001F7D16"/>
    <w:rsid w:val="00227A2A"/>
    <w:rsid w:val="00252EA8"/>
    <w:rsid w:val="00255BFC"/>
    <w:rsid w:val="00262E92"/>
    <w:rsid w:val="002716A3"/>
    <w:rsid w:val="0027214B"/>
    <w:rsid w:val="002A51DD"/>
    <w:rsid w:val="002A7584"/>
    <w:rsid w:val="002E11CE"/>
    <w:rsid w:val="00315C4C"/>
    <w:rsid w:val="00337807"/>
    <w:rsid w:val="00340756"/>
    <w:rsid w:val="0034183C"/>
    <w:rsid w:val="00354FDB"/>
    <w:rsid w:val="003748A8"/>
    <w:rsid w:val="00381B6C"/>
    <w:rsid w:val="003A3EB2"/>
    <w:rsid w:val="003E7D9F"/>
    <w:rsid w:val="003F21D7"/>
    <w:rsid w:val="0040465B"/>
    <w:rsid w:val="00431575"/>
    <w:rsid w:val="00434778"/>
    <w:rsid w:val="00436111"/>
    <w:rsid w:val="00443198"/>
    <w:rsid w:val="004521EC"/>
    <w:rsid w:val="0047508B"/>
    <w:rsid w:val="00475E44"/>
    <w:rsid w:val="0047688C"/>
    <w:rsid w:val="004A5506"/>
    <w:rsid w:val="004B67E8"/>
    <w:rsid w:val="004D6199"/>
    <w:rsid w:val="004F2671"/>
    <w:rsid w:val="00523F46"/>
    <w:rsid w:val="005370A9"/>
    <w:rsid w:val="00545335"/>
    <w:rsid w:val="0055505E"/>
    <w:rsid w:val="00560847"/>
    <w:rsid w:val="00571A4F"/>
    <w:rsid w:val="005773C8"/>
    <w:rsid w:val="005821AA"/>
    <w:rsid w:val="005A178B"/>
    <w:rsid w:val="005C2034"/>
    <w:rsid w:val="005C6952"/>
    <w:rsid w:val="005E7A33"/>
    <w:rsid w:val="005F5B4C"/>
    <w:rsid w:val="00610C36"/>
    <w:rsid w:val="0061755A"/>
    <w:rsid w:val="00622DAC"/>
    <w:rsid w:val="006254F7"/>
    <w:rsid w:val="00631BF6"/>
    <w:rsid w:val="0063669D"/>
    <w:rsid w:val="006375D5"/>
    <w:rsid w:val="00647D58"/>
    <w:rsid w:val="00675CFC"/>
    <w:rsid w:val="006B007C"/>
    <w:rsid w:val="006B447F"/>
    <w:rsid w:val="006B74CC"/>
    <w:rsid w:val="006D063E"/>
    <w:rsid w:val="007153F3"/>
    <w:rsid w:val="00720E26"/>
    <w:rsid w:val="007437BF"/>
    <w:rsid w:val="00755E31"/>
    <w:rsid w:val="00770F82"/>
    <w:rsid w:val="007768FB"/>
    <w:rsid w:val="00792702"/>
    <w:rsid w:val="007A1C5D"/>
    <w:rsid w:val="007B7BFC"/>
    <w:rsid w:val="007C42CC"/>
    <w:rsid w:val="007C5022"/>
    <w:rsid w:val="007E4BB3"/>
    <w:rsid w:val="0080415D"/>
    <w:rsid w:val="0082731B"/>
    <w:rsid w:val="00836B35"/>
    <w:rsid w:val="00852B25"/>
    <w:rsid w:val="008545B8"/>
    <w:rsid w:val="00854CBC"/>
    <w:rsid w:val="00854ED3"/>
    <w:rsid w:val="00861EF4"/>
    <w:rsid w:val="00877089"/>
    <w:rsid w:val="00880074"/>
    <w:rsid w:val="00882E61"/>
    <w:rsid w:val="00894E2B"/>
    <w:rsid w:val="008A3B23"/>
    <w:rsid w:val="008B332C"/>
    <w:rsid w:val="008C1E56"/>
    <w:rsid w:val="008C6887"/>
    <w:rsid w:val="009007EF"/>
    <w:rsid w:val="00947A08"/>
    <w:rsid w:val="0095711E"/>
    <w:rsid w:val="00971078"/>
    <w:rsid w:val="00982476"/>
    <w:rsid w:val="00996033"/>
    <w:rsid w:val="009B765C"/>
    <w:rsid w:val="009C437C"/>
    <w:rsid w:val="009C5325"/>
    <w:rsid w:val="009E574A"/>
    <w:rsid w:val="00A17F65"/>
    <w:rsid w:val="00A2609B"/>
    <w:rsid w:val="00A32E9B"/>
    <w:rsid w:val="00A33AAB"/>
    <w:rsid w:val="00A34BDA"/>
    <w:rsid w:val="00A44E30"/>
    <w:rsid w:val="00A705EB"/>
    <w:rsid w:val="00A711BF"/>
    <w:rsid w:val="00A8522D"/>
    <w:rsid w:val="00AA14C7"/>
    <w:rsid w:val="00AA4C6C"/>
    <w:rsid w:val="00AB6214"/>
    <w:rsid w:val="00B15390"/>
    <w:rsid w:val="00B16BE2"/>
    <w:rsid w:val="00B7436F"/>
    <w:rsid w:val="00B758D6"/>
    <w:rsid w:val="00B764FB"/>
    <w:rsid w:val="00B87EDC"/>
    <w:rsid w:val="00BB0691"/>
    <w:rsid w:val="00BD50CA"/>
    <w:rsid w:val="00BE7FDB"/>
    <w:rsid w:val="00C426DB"/>
    <w:rsid w:val="00C53937"/>
    <w:rsid w:val="00C60ADA"/>
    <w:rsid w:val="00C7288C"/>
    <w:rsid w:val="00C9282B"/>
    <w:rsid w:val="00D01174"/>
    <w:rsid w:val="00D06504"/>
    <w:rsid w:val="00D64C15"/>
    <w:rsid w:val="00D71F04"/>
    <w:rsid w:val="00D86C8D"/>
    <w:rsid w:val="00DD7D4B"/>
    <w:rsid w:val="00E35696"/>
    <w:rsid w:val="00E47064"/>
    <w:rsid w:val="00E57F6C"/>
    <w:rsid w:val="00E73014"/>
    <w:rsid w:val="00E81558"/>
    <w:rsid w:val="00E82C41"/>
    <w:rsid w:val="00E924C9"/>
    <w:rsid w:val="00E93122"/>
    <w:rsid w:val="00E94267"/>
    <w:rsid w:val="00E950A4"/>
    <w:rsid w:val="00EB72BF"/>
    <w:rsid w:val="00ED60BE"/>
    <w:rsid w:val="00EE387D"/>
    <w:rsid w:val="00EF1282"/>
    <w:rsid w:val="00F307F9"/>
    <w:rsid w:val="00F350F7"/>
    <w:rsid w:val="00F420E0"/>
    <w:rsid w:val="00F55D96"/>
    <w:rsid w:val="00F82DB6"/>
    <w:rsid w:val="00FA1C45"/>
    <w:rsid w:val="00FB3647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C085DE7"/>
  <w15:docId w15:val="{672F5B4C-BDEA-4AF1-974F-BEBA7483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E2B"/>
    <w:pPr>
      <w:widowControl w:val="0"/>
      <w:autoSpaceDE w:val="0"/>
      <w:autoSpaceDN w:val="0"/>
      <w:adjustRightInd w:val="0"/>
    </w:pPr>
    <w:rPr>
      <w:sz w:val="24"/>
      <w:szCs w:val="24"/>
      <w:lang w:val="es-CO"/>
    </w:rPr>
  </w:style>
  <w:style w:type="paragraph" w:styleId="Heading1">
    <w:name w:val="heading 1"/>
    <w:basedOn w:val="Normal"/>
    <w:next w:val="Normal"/>
    <w:qFormat/>
    <w:rsid w:val="00894E2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94E2B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E2B"/>
    <w:pPr>
      <w:jc w:val="center"/>
    </w:pPr>
    <w:rPr>
      <w:b/>
      <w:bCs/>
    </w:rPr>
  </w:style>
  <w:style w:type="paragraph" w:styleId="BodyTextIndent">
    <w:name w:val="Body Text Indent"/>
    <w:basedOn w:val="Normal"/>
    <w:rsid w:val="00894E2B"/>
    <w:pPr>
      <w:jc w:val="both"/>
    </w:pPr>
  </w:style>
  <w:style w:type="paragraph" w:styleId="Footer">
    <w:name w:val="footer"/>
    <w:basedOn w:val="Normal"/>
    <w:rsid w:val="00894E2B"/>
    <w:pPr>
      <w:tabs>
        <w:tab w:val="center" w:pos="4320"/>
        <w:tab w:val="right" w:pos="8640"/>
      </w:tabs>
    </w:pPr>
  </w:style>
  <w:style w:type="character" w:styleId="PageNumber">
    <w:name w:val="page number"/>
    <w:rsid w:val="00894E2B"/>
    <w:rPr>
      <w:sz w:val="20"/>
      <w:szCs w:val="20"/>
    </w:rPr>
  </w:style>
  <w:style w:type="paragraph" w:styleId="BalloonText">
    <w:name w:val="Balloon Text"/>
    <w:basedOn w:val="Normal"/>
    <w:semiHidden/>
    <w:rsid w:val="00894E2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94E2B"/>
    <w:rPr>
      <w:sz w:val="16"/>
      <w:szCs w:val="16"/>
    </w:rPr>
  </w:style>
  <w:style w:type="paragraph" w:styleId="CommentText">
    <w:name w:val="annotation text"/>
    <w:basedOn w:val="Normal"/>
    <w:semiHidden/>
    <w:rsid w:val="00894E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4E2B"/>
    <w:rPr>
      <w:b/>
      <w:bCs/>
    </w:rPr>
  </w:style>
  <w:style w:type="paragraph" w:styleId="Header">
    <w:name w:val="header"/>
    <w:basedOn w:val="Normal"/>
    <w:rsid w:val="00894E2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7288C"/>
    <w:pPr>
      <w:spacing w:after="120" w:line="480" w:lineRule="auto"/>
    </w:pPr>
  </w:style>
  <w:style w:type="paragraph" w:styleId="Revision">
    <w:name w:val="Revision"/>
    <w:hidden/>
    <w:uiPriority w:val="99"/>
    <w:semiHidden/>
    <w:rsid w:val="00E924C9"/>
    <w:rPr>
      <w:sz w:val="24"/>
      <w:szCs w:val="24"/>
      <w:lang w:val="es-CO"/>
    </w:rPr>
  </w:style>
  <w:style w:type="paragraph" w:customStyle="1" w:styleId="paragraph">
    <w:name w:val="paragraph"/>
    <w:basedOn w:val="Normal"/>
    <w:rsid w:val="00852B25"/>
    <w:pPr>
      <w:widowControl/>
      <w:autoSpaceDE/>
      <w:autoSpaceDN/>
      <w:adjustRightInd/>
      <w:spacing w:before="100" w:beforeAutospacing="1" w:after="100" w:afterAutospacing="1"/>
    </w:pPr>
    <w:rPr>
      <w:lang w:val="es-PE" w:eastAsia="es-PE"/>
    </w:rPr>
  </w:style>
  <w:style w:type="character" w:customStyle="1" w:styleId="normaltextrun">
    <w:name w:val="normaltextrun"/>
    <w:basedOn w:val="DefaultParagraphFont"/>
    <w:rsid w:val="00852B25"/>
  </w:style>
  <w:style w:type="character" w:customStyle="1" w:styleId="eop">
    <w:name w:val="eop"/>
    <w:basedOn w:val="DefaultParagraphFont"/>
    <w:rsid w:val="0085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REGLAMENTO INTERNO DE LA CONFERENCIA DE ESTADOS PARTES ESTABLECIDA EN EL MARCO DE LA CONVENCIÓN INTERAMERICANA CONTRA LA FABRI</vt:lpstr>
    </vt:vector>
  </TitlesOfParts>
  <Company>OAS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INTERNO DE LA CONFERENCIA DE ESTADOS PARTES ESTABLECIDA EN EL MARCO DE LA CONVENCIÓN INTERAMERICANA CONTRA LA FABRI</dc:title>
  <dc:creator>Secretaría Técnica Cooperación Jurídica, OEA</dc:creator>
  <cp:lastModifiedBy>Burbano, Carmela</cp:lastModifiedBy>
  <cp:revision>4</cp:revision>
  <cp:lastPrinted>2022-07-14T13:58:00Z</cp:lastPrinted>
  <dcterms:created xsi:type="dcterms:W3CDTF">2022-09-12T15:04:00Z</dcterms:created>
  <dcterms:modified xsi:type="dcterms:W3CDTF">2022-09-12T15:23:00Z</dcterms:modified>
</cp:coreProperties>
</file>