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F028" w14:textId="056F5791" w:rsidR="005C5BD1" w:rsidRPr="00204A47" w:rsidRDefault="00204A47" w:rsidP="00117A6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r w:rsidRPr="00DE7DD2">
        <w:rPr>
          <w:noProof/>
        </w:rPr>
        <w:drawing>
          <wp:anchor distT="0" distB="0" distL="114300" distR="114300" simplePos="0" relativeHeight="251661312" behindDoc="0" locked="0" layoutInCell="1" allowOverlap="0" wp14:anchorId="7BB7BAC5" wp14:editId="58426025">
            <wp:simplePos x="0" y="0"/>
            <wp:positionH relativeFrom="margin">
              <wp:align>left</wp:align>
            </wp:positionH>
            <wp:positionV relativeFrom="page">
              <wp:posOffset>719179</wp:posOffset>
            </wp:positionV>
            <wp:extent cx="2258568" cy="640080"/>
            <wp:effectExtent l="0" t="0" r="8890" b="7620"/>
            <wp:wrapSquare wrapText="bothSides"/>
            <wp:docPr id="3" name="Picture 8" descr="OEA-ESP-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OEA-ESP-Main-CICTE-0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568"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384E7" w14:textId="6E9A4078" w:rsidR="001D27AB" w:rsidRPr="00DE7DD2" w:rsidRDefault="001A27BB"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szCs w:val="22"/>
          <w:lang w:val="fr-CA"/>
        </w:rPr>
      </w:pPr>
      <w:r w:rsidRPr="00DE7DD2">
        <w:rPr>
          <w:rFonts w:ascii="Times New Roman" w:hAnsi="Times New Roman"/>
          <w:b/>
          <w:bCs/>
          <w:szCs w:val="22"/>
          <w:lang w:val="fr-CA"/>
        </w:rPr>
        <w:t xml:space="preserve">COMITÉ </w:t>
      </w:r>
      <w:r w:rsidR="001D27AB" w:rsidRPr="00DE7DD2">
        <w:rPr>
          <w:rFonts w:ascii="Times New Roman" w:hAnsi="Times New Roman"/>
          <w:b/>
          <w:bCs/>
          <w:szCs w:val="22"/>
          <w:lang w:val="fr-CA"/>
        </w:rPr>
        <w:t>INTERAM</w:t>
      </w:r>
      <w:r w:rsidRPr="00DE7DD2">
        <w:rPr>
          <w:rFonts w:ascii="Times New Roman" w:hAnsi="Times New Roman"/>
          <w:b/>
          <w:bCs/>
          <w:szCs w:val="22"/>
          <w:lang w:val="fr-CA"/>
        </w:rPr>
        <w:t xml:space="preserve">ÉRICAIN CONTRE LE </w:t>
      </w:r>
      <w:r w:rsidR="001D27AB" w:rsidRPr="00DE7DD2">
        <w:rPr>
          <w:rFonts w:ascii="Times New Roman" w:hAnsi="Times New Roman"/>
          <w:b/>
          <w:bCs/>
          <w:szCs w:val="22"/>
          <w:lang w:val="fr-CA"/>
        </w:rPr>
        <w:t>TERRORISM</w:t>
      </w:r>
      <w:r w:rsidRPr="00DE7DD2">
        <w:rPr>
          <w:rFonts w:ascii="Times New Roman" w:hAnsi="Times New Roman"/>
          <w:b/>
          <w:bCs/>
          <w:szCs w:val="22"/>
          <w:lang w:val="fr-CA"/>
        </w:rPr>
        <w:t>E</w:t>
      </w:r>
      <w:r w:rsidR="001D27AB" w:rsidRPr="00DE7DD2">
        <w:rPr>
          <w:rFonts w:ascii="Times New Roman" w:hAnsi="Times New Roman"/>
          <w:b/>
          <w:bCs/>
          <w:szCs w:val="22"/>
          <w:lang w:val="fr-CA"/>
        </w:rPr>
        <w:t xml:space="preserve"> (CICTE)</w:t>
      </w:r>
    </w:p>
    <w:p w14:paraId="7FCE9929" w14:textId="77777777" w:rsidR="001D27AB" w:rsidRPr="00DE7DD2" w:rsidRDefault="001D27AB" w:rsidP="00117A6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33D6B4DA" w14:textId="4DEEABAA" w:rsidR="001D27AB" w:rsidRPr="00DE7DD2" w:rsidRDefault="001A27BB" w:rsidP="00325966">
      <w:pPr>
        <w:widowControl/>
        <w:tabs>
          <w:tab w:val="clear" w:pos="720"/>
          <w:tab w:val="clear" w:pos="1440"/>
          <w:tab w:val="clear" w:pos="2160"/>
          <w:tab w:val="clear" w:pos="2880"/>
          <w:tab w:val="clear" w:pos="3600"/>
          <w:tab w:val="clear" w:pos="4320"/>
          <w:tab w:val="clear" w:pos="5760"/>
          <w:tab w:val="clear" w:pos="6480"/>
          <w:tab w:val="clear" w:pos="7920"/>
        </w:tabs>
        <w:rPr>
          <w:rFonts w:ascii="Times New Roman" w:hAnsi="Times New Roman"/>
          <w:szCs w:val="22"/>
          <w:lang w:val="fr-CA"/>
        </w:rPr>
      </w:pPr>
      <w:r w:rsidRPr="00DE7DD2">
        <w:rPr>
          <w:rFonts w:ascii="Times New Roman" w:hAnsi="Times New Roman"/>
          <w:szCs w:val="22"/>
          <w:lang w:val="fr-CA"/>
        </w:rPr>
        <w:t xml:space="preserve">VINGT-DEUXIÈME SESSION ORDINAIRE </w:t>
      </w:r>
      <w:r w:rsidR="001D27AB" w:rsidRPr="00DE7DD2">
        <w:rPr>
          <w:rFonts w:ascii="Times New Roman" w:hAnsi="Times New Roman"/>
          <w:szCs w:val="22"/>
          <w:lang w:val="fr-CA"/>
        </w:rPr>
        <w:tab/>
        <w:t>OEA/Ser.L/X.2.22</w:t>
      </w:r>
    </w:p>
    <w:p w14:paraId="4EE4EBE2" w14:textId="7BC471F6" w:rsidR="001D27AB" w:rsidRPr="00DE7DD2" w:rsidRDefault="001A27BB" w:rsidP="00325966">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fr-CA"/>
        </w:rPr>
      </w:pPr>
      <w:r w:rsidRPr="00DE7DD2">
        <w:rPr>
          <w:rFonts w:ascii="Times New Roman" w:hAnsi="Times New Roman"/>
          <w:szCs w:val="22"/>
          <w:lang w:val="fr-CA"/>
        </w:rPr>
        <w:t xml:space="preserve">27 juillet </w:t>
      </w:r>
      <w:r w:rsidR="001D27AB" w:rsidRPr="00DE7DD2">
        <w:rPr>
          <w:rFonts w:ascii="Times New Roman" w:hAnsi="Times New Roman"/>
          <w:szCs w:val="22"/>
          <w:lang w:val="fr-CA"/>
        </w:rPr>
        <w:t>2022</w:t>
      </w:r>
      <w:r w:rsidR="001D27AB" w:rsidRPr="00DE7DD2">
        <w:rPr>
          <w:rFonts w:ascii="Times New Roman" w:hAnsi="Times New Roman"/>
          <w:szCs w:val="22"/>
          <w:lang w:val="fr-CA"/>
        </w:rPr>
        <w:tab/>
        <w:t>CICTE/doc.</w:t>
      </w:r>
      <w:r w:rsidR="007A1912" w:rsidRPr="00DE7DD2">
        <w:rPr>
          <w:rFonts w:ascii="Times New Roman" w:hAnsi="Times New Roman"/>
          <w:szCs w:val="22"/>
          <w:lang w:val="fr-CA"/>
        </w:rPr>
        <w:t>10</w:t>
      </w:r>
      <w:r w:rsidR="001D27AB" w:rsidRPr="00DE7DD2">
        <w:rPr>
          <w:rFonts w:ascii="Times New Roman" w:hAnsi="Times New Roman"/>
          <w:szCs w:val="22"/>
          <w:lang w:val="fr-CA"/>
        </w:rPr>
        <w:t>/22</w:t>
      </w:r>
      <w:r w:rsidR="005C5BD1">
        <w:rPr>
          <w:rFonts w:ascii="Times New Roman" w:hAnsi="Times New Roman"/>
          <w:szCs w:val="22"/>
          <w:lang w:val="fr-CA"/>
        </w:rPr>
        <w:t xml:space="preserve"> </w:t>
      </w:r>
      <w:r w:rsidR="005757A4">
        <w:rPr>
          <w:rFonts w:ascii="Times New Roman" w:hAnsi="Times New Roman"/>
          <w:szCs w:val="22"/>
          <w:lang w:val="fr-CA"/>
        </w:rPr>
        <w:t>rev</w:t>
      </w:r>
      <w:r w:rsidR="005C5BD1">
        <w:rPr>
          <w:rFonts w:ascii="Times New Roman" w:hAnsi="Times New Roman"/>
          <w:szCs w:val="22"/>
          <w:lang w:val="fr-CA"/>
        </w:rPr>
        <w:t>. 1</w:t>
      </w:r>
    </w:p>
    <w:p w14:paraId="3F3A0B07" w14:textId="0FEFDC30" w:rsidR="001D27AB" w:rsidRPr="00DE7DD2" w:rsidRDefault="001D27AB" w:rsidP="00325966">
      <w:pPr>
        <w:widowControl/>
        <w:tabs>
          <w:tab w:val="clear" w:pos="720"/>
          <w:tab w:val="clear" w:pos="1440"/>
          <w:tab w:val="clear" w:pos="2160"/>
          <w:tab w:val="clear" w:pos="2880"/>
          <w:tab w:val="clear" w:pos="3600"/>
          <w:tab w:val="clear" w:pos="4320"/>
          <w:tab w:val="clear" w:pos="5760"/>
          <w:tab w:val="clear" w:pos="6480"/>
          <w:tab w:val="clear" w:pos="7920"/>
        </w:tabs>
        <w:rPr>
          <w:rFonts w:ascii="Times New Roman" w:hAnsi="Times New Roman"/>
          <w:szCs w:val="22"/>
          <w:lang w:val="fr-CA"/>
        </w:rPr>
      </w:pPr>
      <w:r w:rsidRPr="00DE7DD2">
        <w:rPr>
          <w:rFonts w:ascii="Times New Roman" w:hAnsi="Times New Roman"/>
          <w:szCs w:val="22"/>
          <w:lang w:val="fr-CA"/>
        </w:rPr>
        <w:t>Washington, D.C.</w:t>
      </w:r>
      <w:r w:rsidRPr="00DE7DD2">
        <w:rPr>
          <w:rFonts w:ascii="Times New Roman" w:hAnsi="Times New Roman"/>
          <w:szCs w:val="22"/>
          <w:lang w:val="fr-CA"/>
        </w:rPr>
        <w:tab/>
      </w:r>
      <w:r w:rsidR="005C5BD1">
        <w:rPr>
          <w:rFonts w:ascii="Times New Roman" w:hAnsi="Times New Roman"/>
          <w:szCs w:val="22"/>
          <w:lang w:val="fr-CA"/>
        </w:rPr>
        <w:t>2</w:t>
      </w:r>
      <w:r w:rsidR="005757A4">
        <w:rPr>
          <w:rFonts w:ascii="Times New Roman" w:hAnsi="Times New Roman"/>
          <w:szCs w:val="22"/>
          <w:lang w:val="fr-CA"/>
        </w:rPr>
        <w:t>7</w:t>
      </w:r>
      <w:r w:rsidRPr="00DE7DD2">
        <w:rPr>
          <w:rFonts w:ascii="Times New Roman" w:hAnsi="Times New Roman"/>
          <w:szCs w:val="22"/>
          <w:lang w:val="fr-CA"/>
        </w:rPr>
        <w:t xml:space="preserve"> </w:t>
      </w:r>
      <w:r w:rsidR="001A27BB" w:rsidRPr="00DE7DD2">
        <w:rPr>
          <w:rFonts w:ascii="Times New Roman" w:hAnsi="Times New Roman"/>
          <w:szCs w:val="22"/>
          <w:lang w:val="fr-CA"/>
        </w:rPr>
        <w:t xml:space="preserve">juillet </w:t>
      </w:r>
      <w:r w:rsidRPr="00DE7DD2">
        <w:rPr>
          <w:rFonts w:ascii="Times New Roman" w:hAnsi="Times New Roman"/>
          <w:szCs w:val="22"/>
          <w:lang w:val="fr-CA"/>
        </w:rPr>
        <w:t>2022</w:t>
      </w:r>
    </w:p>
    <w:p w14:paraId="30C5E1C9" w14:textId="3C76EBA4" w:rsidR="001D27AB" w:rsidRPr="00DE7DD2" w:rsidRDefault="001D27AB" w:rsidP="00325966">
      <w:pPr>
        <w:widowControl/>
        <w:tabs>
          <w:tab w:val="clear" w:pos="720"/>
          <w:tab w:val="clear" w:pos="1440"/>
          <w:tab w:val="clear" w:pos="2160"/>
          <w:tab w:val="clear" w:pos="2880"/>
          <w:tab w:val="clear" w:pos="3600"/>
          <w:tab w:val="clear" w:pos="4320"/>
          <w:tab w:val="clear" w:pos="5760"/>
          <w:tab w:val="clear" w:pos="6480"/>
          <w:tab w:val="clear" w:pos="7920"/>
        </w:tabs>
        <w:ind w:right="-29"/>
        <w:rPr>
          <w:rFonts w:ascii="Times New Roman" w:hAnsi="Times New Roman"/>
          <w:szCs w:val="22"/>
          <w:lang w:val="fr-CA"/>
        </w:rPr>
      </w:pPr>
      <w:r w:rsidRPr="00DE7DD2">
        <w:rPr>
          <w:rFonts w:ascii="Times New Roman" w:hAnsi="Times New Roman"/>
          <w:szCs w:val="22"/>
          <w:lang w:val="fr-CA"/>
        </w:rPr>
        <w:tab/>
        <w:t xml:space="preserve">Original: </w:t>
      </w:r>
      <w:r w:rsidR="001A27BB" w:rsidRPr="00DE7DD2">
        <w:rPr>
          <w:rFonts w:ascii="Times New Roman" w:hAnsi="Times New Roman"/>
          <w:szCs w:val="22"/>
          <w:lang w:val="fr-CA"/>
        </w:rPr>
        <w:t>anglais</w:t>
      </w:r>
    </w:p>
    <w:p w14:paraId="3273B87B" w14:textId="77777777" w:rsidR="001D27AB" w:rsidRPr="00DE7DD2" w:rsidRDefault="001D27AB"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fr-CA"/>
        </w:rPr>
      </w:pPr>
    </w:p>
    <w:p w14:paraId="1C792612" w14:textId="77777777" w:rsidR="00574DC3" w:rsidRPr="00DE7DD2" w:rsidRDefault="00574DC3"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60469FFE" w14:textId="77777777" w:rsidR="00574DC3" w:rsidRPr="00DE7DD2" w:rsidRDefault="00574DC3"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1074BD4D" w14:textId="6EBD5981" w:rsidR="00B820B6" w:rsidRPr="00DE7DD2" w:rsidRDefault="005757A4" w:rsidP="00325966">
      <w:pPr>
        <w:pStyle w:val="paragraph"/>
        <w:spacing w:before="0" w:beforeAutospacing="0" w:after="0" w:afterAutospacing="0"/>
        <w:jc w:val="center"/>
        <w:textAlignment w:val="baseline"/>
        <w:rPr>
          <w:sz w:val="22"/>
          <w:szCs w:val="22"/>
          <w:lang w:val="fr-CA"/>
        </w:rPr>
      </w:pPr>
      <w:r>
        <w:rPr>
          <w:rStyle w:val="normaltextrun"/>
          <w:caps/>
          <w:sz w:val="22"/>
          <w:szCs w:val="22"/>
          <w:lang w:val="fr-CA"/>
        </w:rPr>
        <w:t xml:space="preserve">PARAGRAPHES DU </w:t>
      </w:r>
      <w:r w:rsidR="00B820B6" w:rsidRPr="00DE7DD2">
        <w:rPr>
          <w:rStyle w:val="normaltextrun"/>
          <w:caps/>
          <w:sz w:val="22"/>
          <w:szCs w:val="22"/>
          <w:lang w:val="fr-CA"/>
        </w:rPr>
        <w:t>CICTE</w:t>
      </w:r>
      <w:r w:rsidR="001A27BB" w:rsidRPr="00DE7DD2">
        <w:rPr>
          <w:rStyle w:val="normaltextrun"/>
          <w:caps/>
          <w:sz w:val="22"/>
          <w:szCs w:val="22"/>
          <w:lang w:val="fr-CA"/>
        </w:rPr>
        <w:t xml:space="preserve"> pour la résolution globale de la </w:t>
      </w:r>
      <w:r w:rsidR="00B820B6" w:rsidRPr="00DE7DD2">
        <w:rPr>
          <w:rStyle w:val="normaltextrun"/>
          <w:caps/>
          <w:sz w:val="22"/>
          <w:szCs w:val="22"/>
          <w:lang w:val="fr-CA"/>
        </w:rPr>
        <w:t xml:space="preserve">CSH </w:t>
      </w:r>
      <w:r w:rsidR="00B820B6" w:rsidRPr="00DE7DD2">
        <w:rPr>
          <w:rStyle w:val="eop"/>
          <w:sz w:val="22"/>
          <w:szCs w:val="22"/>
          <w:lang w:val="fr-CA"/>
        </w:rPr>
        <w:t> </w:t>
      </w:r>
    </w:p>
    <w:p w14:paraId="698EE745" w14:textId="77777777" w:rsidR="00B820B6" w:rsidRPr="00FC09FA" w:rsidRDefault="00B820B6" w:rsidP="00325966">
      <w:pPr>
        <w:pStyle w:val="paragraph"/>
        <w:spacing w:before="0" w:beforeAutospacing="0" w:after="0" w:afterAutospacing="0"/>
        <w:jc w:val="both"/>
        <w:textAlignment w:val="baseline"/>
        <w:rPr>
          <w:sz w:val="22"/>
          <w:szCs w:val="22"/>
          <w:lang w:val="fr-CA"/>
        </w:rPr>
      </w:pPr>
    </w:p>
    <w:p w14:paraId="0906EDE5" w14:textId="4833993F" w:rsidR="00231558" w:rsidRDefault="00231558" w:rsidP="00231558">
      <w:pPr>
        <w:pStyle w:val="paragraph"/>
        <w:spacing w:before="0" w:beforeAutospacing="0" w:after="0" w:afterAutospacing="0"/>
        <w:jc w:val="center"/>
        <w:textAlignment w:val="baseline"/>
        <w:rPr>
          <w:sz w:val="22"/>
          <w:szCs w:val="22"/>
          <w:lang w:val="fr-CA"/>
        </w:rPr>
      </w:pPr>
      <w:r>
        <w:rPr>
          <w:rStyle w:val="normaltextrun"/>
          <w:sz w:val="22"/>
          <w:szCs w:val="22"/>
          <w:lang w:val="fr-CA"/>
        </w:rPr>
        <w:t>(</w:t>
      </w:r>
      <w:r w:rsidR="005757A4">
        <w:rPr>
          <w:rStyle w:val="normaltextrun"/>
          <w:sz w:val="22"/>
          <w:szCs w:val="22"/>
          <w:lang w:val="fr-CA"/>
        </w:rPr>
        <w:t>Examinés et approuvés à la troisième séance plénière, le 27 juillet 2022</w:t>
      </w:r>
      <w:r>
        <w:rPr>
          <w:rStyle w:val="normaltextrun"/>
          <w:sz w:val="22"/>
          <w:szCs w:val="22"/>
          <w:lang w:val="fr-CA"/>
        </w:rPr>
        <w:t>)</w:t>
      </w:r>
    </w:p>
    <w:p w14:paraId="22FDF0F7" w14:textId="77777777" w:rsidR="008F3DC0" w:rsidRPr="00DE7DD2" w:rsidRDefault="008F3DC0"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CA"/>
        </w:rPr>
      </w:pPr>
    </w:p>
    <w:p w14:paraId="03120615" w14:textId="77777777" w:rsidR="008F3DC0" w:rsidRPr="00DE7DD2" w:rsidRDefault="008F3DC0"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CA"/>
        </w:rPr>
      </w:pPr>
    </w:p>
    <w:p w14:paraId="657FF8A4" w14:textId="77777777" w:rsidR="00B52A55" w:rsidRPr="00DE7DD2" w:rsidRDefault="001A27BB"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u w:val="single"/>
          <w:lang w:val="fr-CA"/>
        </w:rPr>
      </w:pPr>
      <w:r w:rsidRPr="00DE7DD2">
        <w:rPr>
          <w:rFonts w:ascii="Times New Roman" w:hAnsi="Times New Roman"/>
          <w:szCs w:val="22"/>
          <w:u w:val="single"/>
          <w:lang w:val="fr-CA"/>
        </w:rPr>
        <w:t>Convention interaméricaine contre le terrorisme</w:t>
      </w:r>
    </w:p>
    <w:p w14:paraId="7972A171" w14:textId="77777777" w:rsidR="00B52A55" w:rsidRPr="00DE7DD2" w:rsidRDefault="00B52A55"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CA"/>
        </w:rPr>
      </w:pPr>
    </w:p>
    <w:p w14:paraId="3DA8522E" w14:textId="6A50EC4A" w:rsidR="00B52A55" w:rsidRPr="00DE7DD2" w:rsidRDefault="00CF028A" w:rsidP="00325966">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CA"/>
        </w:rPr>
      </w:pPr>
      <w:r w:rsidRPr="00DE7DD2">
        <w:rPr>
          <w:rFonts w:ascii="Times New Roman" w:hAnsi="Times New Roman"/>
          <w:szCs w:val="22"/>
          <w:lang w:val="fr-CA"/>
        </w:rPr>
        <w:t>De remercier le Gouvernement du Pérou d</w:t>
      </w:r>
      <w:r w:rsidR="00847DD4" w:rsidRPr="00DE7DD2">
        <w:rPr>
          <w:rFonts w:ascii="Times New Roman" w:hAnsi="Times New Roman"/>
          <w:szCs w:val="22"/>
          <w:lang w:val="fr-CA"/>
        </w:rPr>
        <w:t xml:space="preserve">’avoir présidé et </w:t>
      </w:r>
      <w:r w:rsidRPr="00DE7DD2">
        <w:rPr>
          <w:rFonts w:ascii="Times New Roman" w:hAnsi="Times New Roman"/>
          <w:szCs w:val="22"/>
          <w:lang w:val="fr-CA"/>
        </w:rPr>
        <w:t>dirig</w:t>
      </w:r>
      <w:r w:rsidR="00847DD4" w:rsidRPr="00DE7DD2">
        <w:rPr>
          <w:rFonts w:ascii="Times New Roman" w:hAnsi="Times New Roman"/>
          <w:szCs w:val="22"/>
          <w:lang w:val="fr-CA"/>
        </w:rPr>
        <w:t>é</w:t>
      </w:r>
      <w:r w:rsidRPr="00DE7DD2">
        <w:rPr>
          <w:rFonts w:ascii="Times New Roman" w:hAnsi="Times New Roman"/>
          <w:szCs w:val="22"/>
          <w:lang w:val="fr-CA"/>
        </w:rPr>
        <w:t xml:space="preserve"> les travaux de la Réunion de consultation des États parties à la Convention interaméricaine contre le terrorisme (ci-après « la Convention »</w:t>
      </w:r>
      <w:r w:rsidR="00847DD4" w:rsidRPr="00DE7DD2">
        <w:rPr>
          <w:rFonts w:ascii="Times New Roman" w:hAnsi="Times New Roman"/>
          <w:szCs w:val="22"/>
          <w:lang w:val="fr-CA"/>
        </w:rPr>
        <w:t>)</w:t>
      </w:r>
      <w:r w:rsidRPr="00DE7DD2">
        <w:rPr>
          <w:rFonts w:ascii="Times New Roman" w:hAnsi="Times New Roman"/>
          <w:szCs w:val="22"/>
          <w:lang w:val="fr-CA"/>
        </w:rPr>
        <w:t xml:space="preserve"> qui s’est tenue de manière virtuelle le 12 septembre 2022</w:t>
      </w:r>
      <w:r w:rsidR="00847DD4" w:rsidRPr="00DE7DD2">
        <w:rPr>
          <w:rFonts w:ascii="Times New Roman" w:hAnsi="Times New Roman"/>
          <w:szCs w:val="22"/>
          <w:lang w:val="fr-CA"/>
        </w:rPr>
        <w:t>,</w:t>
      </w:r>
      <w:r w:rsidRPr="00DE7DD2">
        <w:rPr>
          <w:rFonts w:ascii="Times New Roman" w:hAnsi="Times New Roman"/>
          <w:szCs w:val="22"/>
          <w:lang w:val="fr-CA"/>
        </w:rPr>
        <w:t xml:space="preserve"> et d</w:t>
      </w:r>
      <w:r w:rsidR="00191D3C" w:rsidRPr="00DE7DD2">
        <w:rPr>
          <w:rFonts w:ascii="Times New Roman" w:hAnsi="Times New Roman"/>
          <w:szCs w:val="22"/>
          <w:lang w:val="fr-CA"/>
        </w:rPr>
        <w:t xml:space="preserve">’adopter </w:t>
      </w:r>
      <w:r w:rsidRPr="00DE7DD2">
        <w:rPr>
          <w:rFonts w:ascii="Times New Roman" w:hAnsi="Times New Roman"/>
          <w:szCs w:val="22"/>
          <w:lang w:val="fr-CA"/>
        </w:rPr>
        <w:t>la Déclaration et les recommandations de la réunion qui demande</w:t>
      </w:r>
      <w:r w:rsidR="00847DD4" w:rsidRPr="00DE7DD2">
        <w:rPr>
          <w:rFonts w:ascii="Times New Roman" w:hAnsi="Times New Roman"/>
          <w:szCs w:val="22"/>
          <w:lang w:val="fr-CA"/>
        </w:rPr>
        <w:t>nt</w:t>
      </w:r>
      <w:r w:rsidR="00191D3C" w:rsidRPr="00DE7DD2">
        <w:rPr>
          <w:rFonts w:ascii="Times New Roman" w:hAnsi="Times New Roman"/>
          <w:szCs w:val="22"/>
          <w:lang w:val="fr-CA"/>
        </w:rPr>
        <w:t>, entre autres,</w:t>
      </w:r>
      <w:r w:rsidRPr="00DE7DD2">
        <w:rPr>
          <w:rFonts w:ascii="Times New Roman" w:hAnsi="Times New Roman"/>
          <w:szCs w:val="22"/>
          <w:lang w:val="fr-CA"/>
        </w:rPr>
        <w:t xml:space="preserve"> aux États membres</w:t>
      </w:r>
      <w:r w:rsidR="00847DD4" w:rsidRPr="00DE7DD2">
        <w:rPr>
          <w:rFonts w:ascii="Times New Roman" w:hAnsi="Times New Roman"/>
          <w:szCs w:val="22"/>
          <w:lang w:val="fr-CA"/>
        </w:rPr>
        <w:t xml:space="preserve"> </w:t>
      </w:r>
      <w:r w:rsidRPr="00DE7DD2">
        <w:rPr>
          <w:rFonts w:ascii="Times New Roman" w:hAnsi="Times New Roman"/>
          <w:szCs w:val="22"/>
          <w:lang w:val="fr-CA"/>
        </w:rPr>
        <w:t>de réaffirmer leur engagement à l’égard de</w:t>
      </w:r>
      <w:r w:rsidR="00191D3C" w:rsidRPr="00DE7DD2">
        <w:rPr>
          <w:rFonts w:ascii="Times New Roman" w:hAnsi="Times New Roman"/>
          <w:szCs w:val="22"/>
          <w:lang w:val="fr-CA"/>
        </w:rPr>
        <w:t>s principes de</w:t>
      </w:r>
      <w:r w:rsidRPr="00DE7DD2">
        <w:rPr>
          <w:rFonts w:ascii="Times New Roman" w:hAnsi="Times New Roman"/>
          <w:szCs w:val="22"/>
          <w:lang w:val="fr-CA"/>
        </w:rPr>
        <w:t xml:space="preserve"> la Convention et de convoquer une nouvelle Réunion de</w:t>
      </w:r>
      <w:r w:rsidR="00191D3C" w:rsidRPr="00DE7DD2">
        <w:rPr>
          <w:rFonts w:ascii="Times New Roman" w:hAnsi="Times New Roman"/>
          <w:szCs w:val="22"/>
          <w:lang w:val="fr-CA"/>
        </w:rPr>
        <w:t xml:space="preserve"> consultation de</w:t>
      </w:r>
      <w:r w:rsidRPr="00DE7DD2">
        <w:rPr>
          <w:rFonts w:ascii="Times New Roman" w:hAnsi="Times New Roman"/>
          <w:szCs w:val="22"/>
          <w:lang w:val="fr-CA"/>
        </w:rPr>
        <w:t>s États parties en 2027.</w:t>
      </w:r>
    </w:p>
    <w:p w14:paraId="7D65785D" w14:textId="77777777" w:rsidR="00B52A55" w:rsidRPr="00DE7DD2" w:rsidRDefault="00B52A55"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38C776D4" w14:textId="05033FEA" w:rsidR="00B52A55" w:rsidRPr="00DE7DD2" w:rsidRDefault="00CF028A" w:rsidP="00325966">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CA"/>
        </w:rPr>
      </w:pPr>
      <w:r w:rsidRPr="00DE7DD2">
        <w:rPr>
          <w:rFonts w:ascii="Times New Roman" w:hAnsi="Times New Roman"/>
          <w:szCs w:val="22"/>
          <w:lang w:val="fr-CA"/>
        </w:rPr>
        <w:t xml:space="preserve">D’inviter les États membres qui ne l’ont pas encore fait </w:t>
      </w:r>
      <w:r w:rsidR="00803624">
        <w:rPr>
          <w:rFonts w:ascii="Times New Roman" w:hAnsi="Times New Roman"/>
          <w:szCs w:val="22"/>
          <w:lang w:val="fr-CA"/>
        </w:rPr>
        <w:t xml:space="preserve">à </w:t>
      </w:r>
      <w:r w:rsidRPr="00DE7DD2">
        <w:rPr>
          <w:rFonts w:ascii="Times New Roman" w:hAnsi="Times New Roman"/>
          <w:szCs w:val="22"/>
          <w:lang w:val="fr-CA"/>
        </w:rPr>
        <w:t xml:space="preserve">envisager de ratifier la Convention interaméricaine contre le terrorisme, adoptée </w:t>
      </w:r>
      <w:r w:rsidR="00191D3C" w:rsidRPr="00DE7DD2">
        <w:rPr>
          <w:rFonts w:ascii="Times New Roman" w:hAnsi="Times New Roman"/>
          <w:szCs w:val="22"/>
          <w:lang w:val="fr-CA"/>
        </w:rPr>
        <w:t xml:space="preserve">à </w:t>
      </w:r>
      <w:r w:rsidR="00B52A55" w:rsidRPr="00DE7DD2">
        <w:rPr>
          <w:rFonts w:ascii="Times New Roman" w:hAnsi="Times New Roman"/>
          <w:szCs w:val="22"/>
          <w:lang w:val="fr-CA"/>
        </w:rPr>
        <w:t>Bridgetown</w:t>
      </w:r>
      <w:r w:rsidRPr="00DE7DD2">
        <w:rPr>
          <w:rFonts w:ascii="Times New Roman" w:hAnsi="Times New Roman"/>
          <w:szCs w:val="22"/>
          <w:lang w:val="fr-CA"/>
        </w:rPr>
        <w:t xml:space="preserve"> (B</w:t>
      </w:r>
      <w:r w:rsidR="00B52A55" w:rsidRPr="00DE7DD2">
        <w:rPr>
          <w:rFonts w:ascii="Times New Roman" w:hAnsi="Times New Roman"/>
          <w:szCs w:val="22"/>
          <w:lang w:val="fr-CA"/>
        </w:rPr>
        <w:t>arbad</w:t>
      </w:r>
      <w:r w:rsidRPr="00DE7DD2">
        <w:rPr>
          <w:rFonts w:ascii="Times New Roman" w:hAnsi="Times New Roman"/>
          <w:szCs w:val="22"/>
          <w:lang w:val="fr-CA"/>
        </w:rPr>
        <w:t xml:space="preserve">e) le 3 juin </w:t>
      </w:r>
      <w:r w:rsidR="00B52A55" w:rsidRPr="00DE7DD2">
        <w:rPr>
          <w:rFonts w:ascii="Times New Roman" w:hAnsi="Times New Roman"/>
          <w:szCs w:val="22"/>
          <w:lang w:val="fr-CA"/>
        </w:rPr>
        <w:t>2002</w:t>
      </w:r>
      <w:r w:rsidR="00191D3C" w:rsidRPr="00DE7DD2">
        <w:rPr>
          <w:rFonts w:ascii="Times New Roman" w:hAnsi="Times New Roman"/>
          <w:szCs w:val="22"/>
          <w:lang w:val="fr-CA"/>
        </w:rPr>
        <w:t>,</w:t>
      </w:r>
      <w:r w:rsidRPr="00DE7DD2">
        <w:rPr>
          <w:rFonts w:ascii="Times New Roman" w:hAnsi="Times New Roman"/>
          <w:szCs w:val="22"/>
          <w:lang w:val="fr-CA"/>
        </w:rPr>
        <w:t xml:space="preserve"> ou d’y adhérer, selon le cas</w:t>
      </w:r>
      <w:r w:rsidR="00B52A55" w:rsidRPr="00DE7DD2">
        <w:rPr>
          <w:rFonts w:ascii="Times New Roman" w:hAnsi="Times New Roman"/>
          <w:szCs w:val="22"/>
          <w:lang w:val="fr-CA"/>
        </w:rPr>
        <w:t xml:space="preserve">, </w:t>
      </w:r>
      <w:r w:rsidRPr="00DE7DD2">
        <w:rPr>
          <w:rFonts w:ascii="Times New Roman" w:hAnsi="Times New Roman"/>
          <w:szCs w:val="22"/>
          <w:lang w:val="fr-CA"/>
        </w:rPr>
        <w:t xml:space="preserve">et </w:t>
      </w:r>
      <w:r w:rsidR="00803624">
        <w:rPr>
          <w:rFonts w:ascii="Times New Roman" w:hAnsi="Times New Roman"/>
          <w:szCs w:val="22"/>
          <w:lang w:val="fr-CA"/>
        </w:rPr>
        <w:t xml:space="preserve">à </w:t>
      </w:r>
      <w:r w:rsidRPr="00DE7DD2">
        <w:rPr>
          <w:rFonts w:ascii="Times New Roman" w:hAnsi="Times New Roman"/>
          <w:szCs w:val="22"/>
          <w:lang w:val="fr-CA"/>
        </w:rPr>
        <w:t>accorder leur soutien à sa mise en application totale.</w:t>
      </w:r>
    </w:p>
    <w:p w14:paraId="57268459" w14:textId="77777777" w:rsidR="00B52A55" w:rsidRPr="00DE7DD2" w:rsidRDefault="00B52A55" w:rsidP="00325966">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CA"/>
        </w:rPr>
      </w:pPr>
    </w:p>
    <w:p w14:paraId="7BB0224B" w14:textId="77777777" w:rsidR="00B52A55" w:rsidRPr="00DE7DD2" w:rsidRDefault="00B52A55"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2F20A0E4" w14:textId="77777777" w:rsidR="00B52A55" w:rsidRPr="00DE7DD2" w:rsidRDefault="00B52A55"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r w:rsidRPr="00DE7DD2">
        <w:rPr>
          <w:rFonts w:ascii="Times New Roman" w:hAnsi="Times New Roman"/>
          <w:szCs w:val="22"/>
          <w:lang w:val="fr-CA"/>
        </w:rPr>
        <w:tab/>
      </w:r>
      <w:r w:rsidR="00CF028A" w:rsidRPr="00DE7DD2">
        <w:rPr>
          <w:rFonts w:ascii="Times New Roman" w:hAnsi="Times New Roman"/>
          <w:szCs w:val="22"/>
          <w:u w:val="single"/>
          <w:lang w:val="fr-CA"/>
        </w:rPr>
        <w:t>Comité i</w:t>
      </w:r>
      <w:r w:rsidRPr="00DE7DD2">
        <w:rPr>
          <w:rFonts w:ascii="Times New Roman" w:hAnsi="Times New Roman"/>
          <w:szCs w:val="22"/>
          <w:u w:val="single"/>
          <w:lang w:val="fr-CA"/>
        </w:rPr>
        <w:t>nter</w:t>
      </w:r>
      <w:r w:rsidR="00CF028A" w:rsidRPr="00DE7DD2">
        <w:rPr>
          <w:rFonts w:ascii="Times New Roman" w:hAnsi="Times New Roman"/>
          <w:szCs w:val="22"/>
          <w:u w:val="single"/>
          <w:lang w:val="fr-CA"/>
        </w:rPr>
        <w:t>américain contre le t</w:t>
      </w:r>
      <w:r w:rsidRPr="00DE7DD2">
        <w:rPr>
          <w:rFonts w:ascii="Times New Roman" w:hAnsi="Times New Roman"/>
          <w:szCs w:val="22"/>
          <w:u w:val="single"/>
          <w:lang w:val="fr-CA"/>
        </w:rPr>
        <w:t>errorism</w:t>
      </w:r>
      <w:r w:rsidR="00CF028A" w:rsidRPr="00DE7DD2">
        <w:rPr>
          <w:rFonts w:ascii="Times New Roman" w:hAnsi="Times New Roman"/>
          <w:szCs w:val="22"/>
          <w:u w:val="single"/>
          <w:lang w:val="fr-CA"/>
        </w:rPr>
        <w:t>e</w:t>
      </w:r>
      <w:r w:rsidRPr="00DE7DD2">
        <w:rPr>
          <w:rFonts w:ascii="Times New Roman" w:hAnsi="Times New Roman"/>
          <w:szCs w:val="22"/>
          <w:u w:val="single"/>
          <w:lang w:val="fr-CA"/>
        </w:rPr>
        <w:t xml:space="preserve"> (CICTE</w:t>
      </w:r>
      <w:r w:rsidRPr="00803624">
        <w:rPr>
          <w:rFonts w:ascii="Times New Roman" w:hAnsi="Times New Roman"/>
          <w:szCs w:val="22"/>
          <w:lang w:val="fr-CA"/>
        </w:rPr>
        <w:t>)</w:t>
      </w:r>
    </w:p>
    <w:p w14:paraId="11C9183B" w14:textId="77777777" w:rsidR="00B52A55" w:rsidRPr="00DE7DD2" w:rsidRDefault="00B52A55"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6AB35B42" w14:textId="77777777" w:rsidR="00CF028A" w:rsidRPr="00DE7DD2" w:rsidRDefault="00FC42A1"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fr-FR"/>
        </w:rPr>
      </w:pPr>
      <w:r w:rsidRPr="00DE7DD2">
        <w:rPr>
          <w:rFonts w:ascii="Times New Roman" w:hAnsi="Times New Roman"/>
          <w:szCs w:val="22"/>
          <w:lang w:val="fr-CA"/>
        </w:rPr>
        <w:t>1.</w:t>
      </w:r>
      <w:r w:rsidRPr="00DE7DD2">
        <w:rPr>
          <w:rFonts w:ascii="Times New Roman" w:hAnsi="Times New Roman"/>
          <w:szCs w:val="22"/>
          <w:lang w:val="fr-CA"/>
        </w:rPr>
        <w:tab/>
      </w:r>
      <w:r w:rsidR="00CF028A" w:rsidRPr="00DE7DD2">
        <w:rPr>
          <w:rFonts w:ascii="Times New Roman" w:hAnsi="Times New Roman"/>
          <w:szCs w:val="22"/>
          <w:lang w:val="fr-CA"/>
        </w:rPr>
        <w:t xml:space="preserve">De </w:t>
      </w:r>
      <w:r w:rsidR="00CF028A" w:rsidRPr="00DE7DD2">
        <w:rPr>
          <w:rFonts w:ascii="Times New Roman" w:hAnsi="Times New Roman"/>
          <w:lang w:val="fr-FR"/>
        </w:rPr>
        <w:t>réitérer sa condamnation énergique et sans équivoque du terrorisme sous toutes ses formes et manifestations, quels qu’en soient les auteurs, les lieux et les buts pour lesquels celui-ci est commis.</w:t>
      </w:r>
    </w:p>
    <w:p w14:paraId="7DC0EC48" w14:textId="77777777" w:rsidR="00FC42A1" w:rsidRPr="00DE7DD2" w:rsidRDefault="00FC42A1"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fr-FR"/>
        </w:rPr>
      </w:pPr>
    </w:p>
    <w:p w14:paraId="6D358947" w14:textId="3661A448" w:rsidR="00FC42A1" w:rsidRPr="00DE7DD2" w:rsidRDefault="00FC42A1"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fr-FR"/>
        </w:rPr>
      </w:pPr>
      <w:r w:rsidRPr="00DE7DD2">
        <w:rPr>
          <w:rFonts w:ascii="Times New Roman" w:hAnsi="Times New Roman"/>
          <w:lang w:val="fr-FR"/>
        </w:rPr>
        <w:t>2.</w:t>
      </w:r>
      <w:r w:rsidRPr="00DE7DD2">
        <w:rPr>
          <w:rFonts w:ascii="Times New Roman" w:hAnsi="Times New Roman"/>
          <w:lang w:val="fr-FR"/>
        </w:rPr>
        <w:tab/>
        <w:t>De réaffirmer son engagement à l’égard des activités mises en œuvre par le Comité interaméricain contre le terrorisme (CICTE) en tant que principale entité régionale dont le but est de prévenir et combattre le terrorisme dans les Amériques ainsi que de reconnaître les résultats importants obtenus pendant plus de vingt ans de travail et de soutenir et financer la mise en œuvre de son plan de travail 202</w:t>
      </w:r>
      <w:r w:rsidR="00191D3C" w:rsidRPr="00DE7DD2">
        <w:rPr>
          <w:rFonts w:ascii="Times New Roman" w:hAnsi="Times New Roman"/>
          <w:lang w:val="fr-FR"/>
        </w:rPr>
        <w:t>2</w:t>
      </w:r>
      <w:r w:rsidRPr="00DE7DD2">
        <w:rPr>
          <w:rFonts w:ascii="Times New Roman" w:hAnsi="Times New Roman"/>
          <w:lang w:val="fr-FR"/>
        </w:rPr>
        <w:t>-202</w:t>
      </w:r>
      <w:r w:rsidR="00191D3C" w:rsidRPr="00DE7DD2">
        <w:rPr>
          <w:rFonts w:ascii="Times New Roman" w:hAnsi="Times New Roman"/>
          <w:lang w:val="fr-FR"/>
        </w:rPr>
        <w:t>3</w:t>
      </w:r>
      <w:r w:rsidR="00922648">
        <w:rPr>
          <w:rFonts w:ascii="Times New Roman" w:hAnsi="Times New Roman"/>
          <w:lang w:val="fr-FR"/>
        </w:rPr>
        <w:t xml:space="preserve"> à partir des contributions volontaires des États</w:t>
      </w:r>
      <w:r w:rsidRPr="00DE7DD2">
        <w:rPr>
          <w:rFonts w:ascii="Times New Roman" w:hAnsi="Times New Roman"/>
          <w:lang w:val="fr-FR"/>
        </w:rPr>
        <w:t>.</w:t>
      </w:r>
    </w:p>
    <w:p w14:paraId="39E06433" w14:textId="77777777" w:rsidR="00FC42A1" w:rsidRPr="00DE7DD2" w:rsidRDefault="00FC42A1"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fr-FR"/>
        </w:rPr>
      </w:pPr>
    </w:p>
    <w:p w14:paraId="7070D8A8" w14:textId="49A0A2EC" w:rsidR="00FC42A1" w:rsidRPr="00DE7DD2" w:rsidRDefault="00FC42A1"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fr-FR"/>
        </w:rPr>
      </w:pPr>
      <w:r w:rsidRPr="00DE7DD2">
        <w:rPr>
          <w:rFonts w:ascii="Times New Roman" w:hAnsi="Times New Roman"/>
          <w:lang w:val="fr-FR"/>
        </w:rPr>
        <w:t>3.</w:t>
      </w:r>
      <w:r w:rsidRPr="00DE7DD2">
        <w:rPr>
          <w:rFonts w:ascii="Times New Roman" w:hAnsi="Times New Roman"/>
          <w:lang w:val="fr-FR"/>
        </w:rPr>
        <w:tab/>
        <w:t>D’</w:t>
      </w:r>
      <w:r w:rsidR="005757A4">
        <w:rPr>
          <w:rFonts w:ascii="Times New Roman" w:hAnsi="Times New Roman"/>
          <w:lang w:val="fr-FR"/>
        </w:rPr>
        <w:t xml:space="preserve">entériner </w:t>
      </w:r>
      <w:r w:rsidRPr="00DE7DD2">
        <w:rPr>
          <w:rFonts w:ascii="Times New Roman" w:hAnsi="Times New Roman"/>
          <w:lang w:val="fr-FR"/>
        </w:rPr>
        <w:t xml:space="preserve">la modification du Règlement du Comité interaméricain contre le terrorisme contenu dans le document </w:t>
      </w:r>
      <w:r w:rsidR="005757A4" w:rsidRPr="00117A63">
        <w:rPr>
          <w:rFonts w:ascii="Times New Roman" w:hAnsi="Times New Roman"/>
          <w:szCs w:val="22"/>
          <w:lang w:val="fr-FR"/>
        </w:rPr>
        <w:t xml:space="preserve">X.2.22 CICTE/doc.7 </w:t>
      </w:r>
      <w:proofErr w:type="spellStart"/>
      <w:r w:rsidR="005757A4" w:rsidRPr="00117A63">
        <w:rPr>
          <w:rFonts w:ascii="Times New Roman" w:hAnsi="Times New Roman"/>
          <w:szCs w:val="22"/>
          <w:lang w:val="fr-FR"/>
        </w:rPr>
        <w:t>rev</w:t>
      </w:r>
      <w:proofErr w:type="spellEnd"/>
      <w:r w:rsidR="005757A4" w:rsidRPr="00117A63">
        <w:rPr>
          <w:rFonts w:ascii="Times New Roman" w:hAnsi="Times New Roman"/>
          <w:szCs w:val="22"/>
          <w:lang w:val="fr-FR"/>
        </w:rPr>
        <w:t>. 1</w:t>
      </w:r>
      <w:r w:rsidRPr="00DE7DD2">
        <w:rPr>
          <w:rFonts w:ascii="Times New Roman" w:hAnsi="Times New Roman"/>
          <w:lang w:val="fr-FR"/>
        </w:rPr>
        <w:t xml:space="preserve">, approuvé par le CICTE à sa vingt-deuxième session ordinaire.  </w:t>
      </w:r>
    </w:p>
    <w:p w14:paraId="3434A6F5" w14:textId="77777777" w:rsidR="00B52A55" w:rsidRPr="00DE7DD2" w:rsidRDefault="00B52A55"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62F5DDA4" w14:textId="77777777" w:rsidR="00B52A55" w:rsidRPr="00DE7DD2" w:rsidRDefault="00FC42A1" w:rsidP="00325966">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fr-CA"/>
        </w:rPr>
      </w:pPr>
      <w:r w:rsidRPr="00DE7DD2">
        <w:rPr>
          <w:rFonts w:ascii="Times New Roman" w:hAnsi="Times New Roman"/>
          <w:szCs w:val="22"/>
          <w:lang w:val="fr-CA"/>
        </w:rPr>
        <w:t>4.</w:t>
      </w:r>
      <w:r w:rsidRPr="00DE7DD2">
        <w:rPr>
          <w:rFonts w:ascii="Times New Roman" w:hAnsi="Times New Roman"/>
          <w:szCs w:val="22"/>
          <w:lang w:val="fr-CA"/>
        </w:rPr>
        <w:tab/>
        <w:t xml:space="preserve">De demander au Secrétariat du </w:t>
      </w:r>
      <w:r w:rsidR="00B52A55" w:rsidRPr="00DE7DD2">
        <w:rPr>
          <w:rFonts w:ascii="Times New Roman" w:hAnsi="Times New Roman"/>
          <w:szCs w:val="22"/>
          <w:lang w:val="fr-CA"/>
        </w:rPr>
        <w:t>CICTE</w:t>
      </w:r>
      <w:r w:rsidRPr="00DE7DD2">
        <w:rPr>
          <w:rFonts w:ascii="Times New Roman" w:hAnsi="Times New Roman"/>
          <w:szCs w:val="22"/>
          <w:lang w:val="fr-CA"/>
        </w:rPr>
        <w:t xml:space="preserve">, conformément </w:t>
      </w:r>
      <w:r w:rsidR="00191D3C" w:rsidRPr="00DE7DD2">
        <w:rPr>
          <w:rFonts w:ascii="Times New Roman" w:hAnsi="Times New Roman"/>
          <w:szCs w:val="22"/>
          <w:lang w:val="fr-CA"/>
        </w:rPr>
        <w:t xml:space="preserve">au plan </w:t>
      </w:r>
      <w:r w:rsidRPr="00DE7DD2">
        <w:rPr>
          <w:rFonts w:ascii="Times New Roman" w:hAnsi="Times New Roman"/>
          <w:szCs w:val="22"/>
          <w:lang w:val="fr-CA"/>
        </w:rPr>
        <w:t xml:space="preserve">de travail </w:t>
      </w:r>
      <w:r w:rsidR="00191D3C" w:rsidRPr="00DE7DD2">
        <w:rPr>
          <w:rFonts w:ascii="Times New Roman" w:hAnsi="Times New Roman"/>
          <w:szCs w:val="22"/>
          <w:lang w:val="fr-CA"/>
        </w:rPr>
        <w:t xml:space="preserve">qu’il a </w:t>
      </w:r>
      <w:r w:rsidRPr="00DE7DD2">
        <w:rPr>
          <w:rFonts w:ascii="Times New Roman" w:hAnsi="Times New Roman"/>
          <w:szCs w:val="22"/>
          <w:lang w:val="fr-CA"/>
        </w:rPr>
        <w:t xml:space="preserve">approuvé et en fonction de la disponibilité des ressources financières, de continuer à </w:t>
      </w:r>
      <w:r w:rsidR="00A21E40" w:rsidRPr="00DE7DD2">
        <w:rPr>
          <w:rFonts w:ascii="Times New Roman" w:hAnsi="Times New Roman"/>
          <w:szCs w:val="22"/>
          <w:lang w:val="fr-CA"/>
        </w:rPr>
        <w:t xml:space="preserve">appuyer les États </w:t>
      </w:r>
      <w:r w:rsidR="00A21E40" w:rsidRPr="00DE7DD2">
        <w:rPr>
          <w:rFonts w:ascii="Times New Roman" w:hAnsi="Times New Roman"/>
          <w:szCs w:val="22"/>
          <w:lang w:val="fr-CA"/>
        </w:rPr>
        <w:lastRenderedPageBreak/>
        <w:t xml:space="preserve">membres qui en font la demande une assistance technique, législative et/ou de sensibilisation </w:t>
      </w:r>
      <w:r w:rsidR="00191D3C" w:rsidRPr="00DE7DD2">
        <w:rPr>
          <w:rFonts w:ascii="Times New Roman" w:hAnsi="Times New Roman"/>
          <w:szCs w:val="22"/>
          <w:lang w:val="fr-CA"/>
        </w:rPr>
        <w:t xml:space="preserve">afin de </w:t>
      </w:r>
      <w:r w:rsidR="00A21E40" w:rsidRPr="00DE7DD2">
        <w:rPr>
          <w:rFonts w:ascii="Times New Roman" w:hAnsi="Times New Roman"/>
          <w:szCs w:val="22"/>
          <w:lang w:val="fr-CA"/>
        </w:rPr>
        <w:t xml:space="preserve">renforcer : </w:t>
      </w:r>
      <w:r w:rsidR="00B52A55" w:rsidRPr="00DE7DD2">
        <w:rPr>
          <w:rFonts w:ascii="Times New Roman" w:hAnsi="Times New Roman"/>
          <w:szCs w:val="22"/>
          <w:lang w:val="fr-CA"/>
        </w:rPr>
        <w:t xml:space="preserve"> </w:t>
      </w:r>
    </w:p>
    <w:p w14:paraId="0D44D837" w14:textId="77777777" w:rsidR="00B52A55" w:rsidRPr="00DE7DD2" w:rsidRDefault="00B52A55"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25275E38" w14:textId="77777777" w:rsidR="006603D5" w:rsidRPr="00DE7DD2" w:rsidRDefault="00A21E40" w:rsidP="00412C07">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CA"/>
        </w:rPr>
      </w:pPr>
      <w:r w:rsidRPr="00DE7DD2">
        <w:rPr>
          <w:rFonts w:ascii="Times New Roman" w:hAnsi="Times New Roman"/>
          <w:szCs w:val="22"/>
          <w:lang w:val="fr-CA"/>
        </w:rPr>
        <w:t xml:space="preserve">La sécurité et la résilience de la chaîne régionale et mondiale d’approvisionnement face aux menaces physiques et cybernétiques, notamment les mesures destinées à renforcer la sécurité sur terre, dans les ports et les aéroports, telles que les capacités d’interception, la coopération avec les secteurs public et privé et la coordination </w:t>
      </w:r>
      <w:r w:rsidR="006603D5" w:rsidRPr="00DE7DD2">
        <w:rPr>
          <w:rFonts w:ascii="Times New Roman" w:hAnsi="Times New Roman"/>
          <w:szCs w:val="22"/>
          <w:lang w:val="fr-CA"/>
        </w:rPr>
        <w:t xml:space="preserve">interinstitutionnelle; </w:t>
      </w:r>
    </w:p>
    <w:p w14:paraId="72565292" w14:textId="77777777" w:rsidR="00B52A55" w:rsidRPr="00DE7DD2" w:rsidRDefault="006603D5" w:rsidP="00412C07">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CA"/>
        </w:rPr>
      </w:pPr>
      <w:r w:rsidRPr="00DE7DD2">
        <w:rPr>
          <w:rFonts w:ascii="Times New Roman" w:hAnsi="Times New Roman"/>
          <w:szCs w:val="22"/>
          <w:lang w:val="fr-CA"/>
        </w:rPr>
        <w:t xml:space="preserve">La </w:t>
      </w:r>
      <w:r w:rsidR="00B52A55" w:rsidRPr="00DE7DD2">
        <w:rPr>
          <w:rFonts w:ascii="Times New Roman" w:hAnsi="Times New Roman"/>
          <w:szCs w:val="22"/>
          <w:lang w:val="fr-CA"/>
        </w:rPr>
        <w:t xml:space="preserve">protection </w:t>
      </w:r>
      <w:r w:rsidRPr="00DE7DD2">
        <w:rPr>
          <w:rFonts w:ascii="Times New Roman" w:hAnsi="Times New Roman"/>
          <w:szCs w:val="22"/>
          <w:lang w:val="fr-CA"/>
        </w:rPr>
        <w:t xml:space="preserve">de l’aviation civile </w:t>
      </w:r>
      <w:r w:rsidR="00B52A55" w:rsidRPr="00DE7DD2">
        <w:rPr>
          <w:rFonts w:ascii="Times New Roman" w:hAnsi="Times New Roman"/>
          <w:szCs w:val="22"/>
          <w:lang w:val="fr-CA"/>
        </w:rPr>
        <w:t>international</w:t>
      </w:r>
      <w:r w:rsidRPr="00DE7DD2">
        <w:rPr>
          <w:rFonts w:ascii="Times New Roman" w:hAnsi="Times New Roman"/>
          <w:szCs w:val="22"/>
          <w:lang w:val="fr-CA"/>
        </w:rPr>
        <w:t>e contre des actes d’interférence illicite, y compris d’éventuels actes terroristes, en étroite collaboration avec l’Organisation de l’aviation civile internationale (OACI);</w:t>
      </w:r>
    </w:p>
    <w:p w14:paraId="74AAAF22" w14:textId="293F84B6" w:rsidR="00B52A55" w:rsidRPr="00DE7DD2" w:rsidRDefault="006603D5" w:rsidP="00412C07">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CA"/>
        </w:rPr>
      </w:pPr>
      <w:r w:rsidRPr="00DE7DD2">
        <w:rPr>
          <w:szCs w:val="22"/>
          <w:lang w:val="fr-CA"/>
        </w:rPr>
        <w:t>La capacité institutionnelle ainsi que la coopération</w:t>
      </w:r>
      <w:r w:rsidR="00191D3C" w:rsidRPr="00DE7DD2">
        <w:rPr>
          <w:szCs w:val="22"/>
          <w:lang w:val="fr-CA"/>
        </w:rPr>
        <w:t xml:space="preserve"> nationale,</w:t>
      </w:r>
      <w:r w:rsidRPr="00DE7DD2">
        <w:rPr>
          <w:szCs w:val="22"/>
          <w:lang w:val="fr-CA"/>
        </w:rPr>
        <w:t xml:space="preserve"> régionale et internationale afin de protéger les cibles vulnérables et les espaces très fréquentés, notamment les destinations touristiques et les manifestations d’envergure contre d’éventuelles menaces terroristes et </w:t>
      </w:r>
      <w:r w:rsidR="00B52A55" w:rsidRPr="00DE7DD2">
        <w:rPr>
          <w:szCs w:val="22"/>
          <w:lang w:val="fr-CA"/>
        </w:rPr>
        <w:t>d</w:t>
      </w:r>
      <w:r w:rsidRPr="00DE7DD2">
        <w:rPr>
          <w:szCs w:val="22"/>
          <w:lang w:val="fr-CA"/>
        </w:rPr>
        <w:t>’autres risques pour la sécurité;</w:t>
      </w:r>
    </w:p>
    <w:p w14:paraId="530DB48B" w14:textId="5EE52DDC" w:rsidR="00B52A55" w:rsidRPr="00DE7DD2" w:rsidRDefault="006603D5" w:rsidP="00412C07">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CA"/>
        </w:rPr>
      </w:pPr>
      <w:r w:rsidRPr="00DE7DD2">
        <w:rPr>
          <w:rFonts w:ascii="Times New Roman" w:hAnsi="Times New Roman"/>
          <w:szCs w:val="22"/>
          <w:lang w:val="fr-CA"/>
        </w:rPr>
        <w:t xml:space="preserve">Les initiatives visant à prévenir et à combattre l’extrémisme violent qui peut </w:t>
      </w:r>
      <w:r w:rsidR="00191D3C" w:rsidRPr="00DE7DD2">
        <w:rPr>
          <w:rFonts w:ascii="Times New Roman" w:hAnsi="Times New Roman"/>
          <w:szCs w:val="22"/>
          <w:lang w:val="fr-CA"/>
        </w:rPr>
        <w:t xml:space="preserve">déboucher sur du </w:t>
      </w:r>
      <w:r w:rsidRPr="00DE7DD2">
        <w:rPr>
          <w:rFonts w:ascii="Times New Roman" w:hAnsi="Times New Roman"/>
          <w:szCs w:val="22"/>
          <w:lang w:val="fr-CA"/>
        </w:rPr>
        <w:t xml:space="preserve">terrorisme, en accordant une attention particulière aux activités de renforcement des capacités et de sensibilisation à l’intention des fonctionnaires </w:t>
      </w:r>
      <w:r w:rsidR="005757A4">
        <w:rPr>
          <w:rFonts w:ascii="Times New Roman" w:hAnsi="Times New Roman"/>
          <w:szCs w:val="22"/>
          <w:lang w:val="fr-CA"/>
        </w:rPr>
        <w:t xml:space="preserve">des secteurs de la sécurité, </w:t>
      </w:r>
      <w:r w:rsidRPr="00DE7DD2">
        <w:rPr>
          <w:rFonts w:ascii="Times New Roman" w:hAnsi="Times New Roman"/>
          <w:szCs w:val="22"/>
          <w:lang w:val="fr-CA"/>
        </w:rPr>
        <w:t>diplomatiques et consulaires;</w:t>
      </w:r>
    </w:p>
    <w:p w14:paraId="4FD428D0" w14:textId="24113EDD" w:rsidR="00B52A55" w:rsidRPr="00DE7DD2" w:rsidRDefault="006603D5" w:rsidP="00412C07">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CA"/>
        </w:rPr>
      </w:pPr>
      <w:r w:rsidRPr="00DE7DD2">
        <w:rPr>
          <w:rFonts w:ascii="Times New Roman" w:hAnsi="Times New Roman"/>
          <w:szCs w:val="22"/>
          <w:lang w:val="fr-CA"/>
        </w:rPr>
        <w:t>L’identification et l</w:t>
      </w:r>
      <w:r w:rsidR="00042F0E" w:rsidRPr="00DE7DD2">
        <w:rPr>
          <w:rFonts w:ascii="Times New Roman" w:hAnsi="Times New Roman"/>
          <w:szCs w:val="22"/>
          <w:lang w:val="fr-CA"/>
        </w:rPr>
        <w:t>’investigation des groupes terroristes qui opèrent dans la région, s’il y a lieu, et en conformité avec les lois nationales, notamment par l’intermédiaire du Réseau interaméricain contre le terrorisme;</w:t>
      </w:r>
    </w:p>
    <w:p w14:paraId="192E981E" w14:textId="77777777" w:rsidR="00B52A55" w:rsidRPr="00DE7DD2" w:rsidRDefault="00042F0E" w:rsidP="00412C07">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CA"/>
        </w:rPr>
      </w:pPr>
      <w:r w:rsidRPr="00DE7DD2">
        <w:rPr>
          <w:rFonts w:ascii="Times New Roman" w:hAnsi="Times New Roman"/>
          <w:szCs w:val="22"/>
          <w:lang w:val="fr-CA"/>
        </w:rPr>
        <w:t xml:space="preserve">La résilience aux menaces croissantes que posent les incidents cybernétiques malveillants aux </w:t>
      </w:r>
      <w:r w:rsidR="00B52A55" w:rsidRPr="00DE7DD2">
        <w:rPr>
          <w:szCs w:val="22"/>
          <w:lang w:val="fr-CA"/>
        </w:rPr>
        <w:t>infrastructure</w:t>
      </w:r>
      <w:r w:rsidRPr="00DE7DD2">
        <w:rPr>
          <w:szCs w:val="22"/>
          <w:lang w:val="fr-CA"/>
        </w:rPr>
        <w:t>s critiques</w:t>
      </w:r>
      <w:r w:rsidR="00B52A55" w:rsidRPr="00DE7DD2">
        <w:rPr>
          <w:szCs w:val="22"/>
          <w:lang w:val="fr-CA"/>
        </w:rPr>
        <w:t xml:space="preserve"> / </w:t>
      </w:r>
      <w:r w:rsidRPr="00DE7DD2">
        <w:rPr>
          <w:szCs w:val="22"/>
          <w:lang w:val="fr-CA"/>
        </w:rPr>
        <w:t xml:space="preserve">aux services </w:t>
      </w:r>
      <w:r w:rsidR="00B52A55" w:rsidRPr="00DE7DD2">
        <w:rPr>
          <w:szCs w:val="22"/>
          <w:lang w:val="fr-CA"/>
        </w:rPr>
        <w:t>essenti</w:t>
      </w:r>
      <w:r w:rsidRPr="00DE7DD2">
        <w:rPr>
          <w:szCs w:val="22"/>
          <w:lang w:val="fr-CA"/>
        </w:rPr>
        <w:t xml:space="preserve">els de la région et l’amélioration de la coopération et de la </w:t>
      </w:r>
      <w:r w:rsidR="00B52A55" w:rsidRPr="00DE7DD2">
        <w:rPr>
          <w:szCs w:val="22"/>
          <w:lang w:val="fr-CA"/>
        </w:rPr>
        <w:t xml:space="preserve">coordination </w:t>
      </w:r>
      <w:r w:rsidRPr="00DE7DD2">
        <w:rPr>
          <w:szCs w:val="22"/>
          <w:lang w:val="fr-CA"/>
        </w:rPr>
        <w:t xml:space="preserve">continentales afin de prévenir ces menaces et d’en adoucir les effets, y compris par le biais du réseau </w:t>
      </w:r>
      <w:r w:rsidR="00B52A55" w:rsidRPr="00DE7DD2">
        <w:rPr>
          <w:szCs w:val="22"/>
          <w:lang w:val="fr-CA"/>
        </w:rPr>
        <w:t>CSIRTAmericas</w:t>
      </w:r>
      <w:r w:rsidRPr="00DE7DD2">
        <w:rPr>
          <w:szCs w:val="22"/>
          <w:lang w:val="fr-CA"/>
        </w:rPr>
        <w:t>;</w:t>
      </w:r>
      <w:r w:rsidR="00B52A55" w:rsidRPr="00DE7DD2">
        <w:rPr>
          <w:szCs w:val="22"/>
          <w:lang w:val="fr-CA"/>
        </w:rPr>
        <w:t xml:space="preserve"> </w:t>
      </w:r>
    </w:p>
    <w:p w14:paraId="2B8E8799" w14:textId="77777777" w:rsidR="00B52A55" w:rsidRPr="00DE7DD2" w:rsidRDefault="00042F0E" w:rsidP="00412C07">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CA"/>
        </w:rPr>
      </w:pPr>
      <w:r w:rsidRPr="00DE7DD2">
        <w:rPr>
          <w:szCs w:val="22"/>
          <w:lang w:val="fr-CA"/>
        </w:rPr>
        <w:t xml:space="preserve">D’incorporer la perspective de </w:t>
      </w:r>
      <w:r w:rsidR="00191D3C" w:rsidRPr="00DE7DD2">
        <w:rPr>
          <w:szCs w:val="22"/>
          <w:lang w:val="fr-CA"/>
        </w:rPr>
        <w:t>genre et</w:t>
      </w:r>
      <w:r w:rsidRPr="00DE7DD2">
        <w:rPr>
          <w:szCs w:val="22"/>
          <w:lang w:val="fr-CA"/>
        </w:rPr>
        <w:t xml:space="preserve"> le point de vue des jeunes dans toutes les activités d’assistance technique et de renforcement des capacités</w:t>
      </w:r>
      <w:r w:rsidR="00191D3C" w:rsidRPr="00DE7DD2">
        <w:rPr>
          <w:szCs w:val="22"/>
          <w:lang w:val="fr-CA"/>
        </w:rPr>
        <w:t>.</w:t>
      </w:r>
      <w:r w:rsidRPr="00DE7DD2">
        <w:rPr>
          <w:szCs w:val="22"/>
          <w:lang w:val="fr-CA"/>
        </w:rPr>
        <w:t xml:space="preserve"> </w:t>
      </w:r>
    </w:p>
    <w:p w14:paraId="15F4C41D" w14:textId="2ECBA588" w:rsidR="008031C1" w:rsidRPr="00DE7DD2" w:rsidRDefault="008031C1"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6A14439B" w14:textId="3248BC79" w:rsidR="00B52A55" w:rsidRPr="00DE7DD2" w:rsidRDefault="008031C1"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r w:rsidRPr="00DE7DD2">
        <w:rPr>
          <w:b/>
          <w:szCs w:val="22"/>
          <w:lang w:val="fr-CA"/>
        </w:rPr>
        <w:tab/>
      </w:r>
      <w:r w:rsidRPr="00FB78E6">
        <w:rPr>
          <w:bCs/>
          <w:szCs w:val="22"/>
          <w:lang w:val="fr-CA"/>
        </w:rPr>
        <w:t>5.</w:t>
      </w:r>
      <w:r w:rsidRPr="00DE7DD2">
        <w:rPr>
          <w:b/>
          <w:szCs w:val="22"/>
          <w:lang w:val="fr-CA"/>
        </w:rPr>
        <w:tab/>
      </w:r>
      <w:r w:rsidR="00042F0E" w:rsidRPr="00DE7DD2">
        <w:rPr>
          <w:rFonts w:ascii="Times New Roman" w:hAnsi="Times New Roman"/>
          <w:szCs w:val="22"/>
          <w:lang w:val="fr-CA"/>
        </w:rPr>
        <w:t xml:space="preserve">De convoquer, avec le soutien technique du Secrétariat du </w:t>
      </w:r>
      <w:r w:rsidR="00B52A55" w:rsidRPr="00DE7DD2">
        <w:rPr>
          <w:rFonts w:ascii="Times New Roman" w:hAnsi="Times New Roman"/>
          <w:szCs w:val="22"/>
          <w:lang w:val="fr-CA"/>
        </w:rPr>
        <w:t>CICTE</w:t>
      </w:r>
      <w:r w:rsidR="00191D3C" w:rsidRPr="00DE7DD2">
        <w:rPr>
          <w:rFonts w:ascii="Times New Roman" w:hAnsi="Times New Roman"/>
          <w:szCs w:val="22"/>
          <w:lang w:val="fr-CA"/>
        </w:rPr>
        <w:t>,</w:t>
      </w:r>
      <w:r w:rsidR="00B52A55" w:rsidRPr="00DE7DD2">
        <w:rPr>
          <w:rFonts w:ascii="Times New Roman" w:hAnsi="Times New Roman"/>
          <w:szCs w:val="22"/>
          <w:lang w:val="fr-CA"/>
        </w:rPr>
        <w:t xml:space="preserve"> </w:t>
      </w:r>
      <w:r w:rsidR="00042F0E" w:rsidRPr="00DE7DD2">
        <w:rPr>
          <w:rFonts w:ascii="Times New Roman" w:hAnsi="Times New Roman"/>
          <w:szCs w:val="22"/>
          <w:lang w:val="fr-CA"/>
        </w:rPr>
        <w:t xml:space="preserve">et en fonction des ressources humaines et financières disponibles : </w:t>
      </w:r>
    </w:p>
    <w:p w14:paraId="26727E8E" w14:textId="77777777" w:rsidR="00B52A55" w:rsidRPr="00DE7DD2" w:rsidRDefault="00B52A55" w:rsidP="00412C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116DE0FC" w14:textId="0C613E4E" w:rsidR="00B52A55" w:rsidRPr="00DE7DD2" w:rsidRDefault="00042F0E" w:rsidP="00412C07">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CA"/>
        </w:rPr>
      </w:pPr>
      <w:r w:rsidRPr="00DE7DD2">
        <w:rPr>
          <w:rFonts w:ascii="Times New Roman" w:hAnsi="Times New Roman"/>
          <w:szCs w:val="22"/>
          <w:lang w:val="fr-CA"/>
        </w:rPr>
        <w:t>une réunion</w:t>
      </w:r>
      <w:r w:rsidR="00191D3C" w:rsidRPr="00DE7DD2">
        <w:rPr>
          <w:rFonts w:ascii="Times New Roman" w:hAnsi="Times New Roman"/>
          <w:szCs w:val="22"/>
          <w:lang w:val="fr-CA"/>
        </w:rPr>
        <w:t>,</w:t>
      </w:r>
      <w:r w:rsidRPr="00DE7DD2">
        <w:rPr>
          <w:rFonts w:ascii="Times New Roman" w:hAnsi="Times New Roman"/>
          <w:szCs w:val="22"/>
          <w:lang w:val="fr-CA"/>
        </w:rPr>
        <w:t xml:space="preserve"> en </w:t>
      </w:r>
      <w:r w:rsidR="00B52A55" w:rsidRPr="00DE7DD2">
        <w:rPr>
          <w:rFonts w:ascii="Times New Roman" w:hAnsi="Times New Roman"/>
          <w:szCs w:val="22"/>
          <w:lang w:val="fr-CA"/>
        </w:rPr>
        <w:t>2023</w:t>
      </w:r>
      <w:r w:rsidR="00191D3C" w:rsidRPr="00DE7DD2">
        <w:rPr>
          <w:rFonts w:ascii="Times New Roman" w:hAnsi="Times New Roman"/>
          <w:szCs w:val="22"/>
          <w:lang w:val="fr-CA"/>
        </w:rPr>
        <w:t>,</w:t>
      </w:r>
      <w:r w:rsidR="00B52A55" w:rsidRPr="00DE7DD2">
        <w:rPr>
          <w:rFonts w:ascii="Times New Roman" w:hAnsi="Times New Roman"/>
          <w:szCs w:val="22"/>
          <w:lang w:val="fr-CA"/>
        </w:rPr>
        <w:t xml:space="preserve"> </w:t>
      </w:r>
      <w:r w:rsidRPr="00DE7DD2">
        <w:rPr>
          <w:rFonts w:ascii="Times New Roman" w:hAnsi="Times New Roman"/>
          <w:szCs w:val="22"/>
          <w:lang w:val="fr-CA"/>
        </w:rPr>
        <w:t>des</w:t>
      </w:r>
      <w:r w:rsidR="00B52A55" w:rsidRPr="00DE7DD2">
        <w:rPr>
          <w:rFonts w:ascii="Times New Roman" w:hAnsi="Times New Roman"/>
          <w:szCs w:val="22"/>
          <w:lang w:val="fr-CA"/>
        </w:rPr>
        <w:t xml:space="preserve"> </w:t>
      </w:r>
      <w:r w:rsidRPr="00DE7DD2">
        <w:rPr>
          <w:rFonts w:ascii="Times New Roman" w:hAnsi="Times New Roman"/>
          <w:lang w:val="fr-CA"/>
        </w:rPr>
        <w:t>a</w:t>
      </w:r>
      <w:r w:rsidR="00B52A55" w:rsidRPr="00DE7DD2">
        <w:rPr>
          <w:rFonts w:ascii="Times New Roman" w:hAnsi="Times New Roman"/>
          <w:lang w:val="fr-CA"/>
        </w:rPr>
        <w:t>u</w:t>
      </w:r>
      <w:r w:rsidRPr="00DE7DD2">
        <w:rPr>
          <w:rFonts w:ascii="Times New Roman" w:hAnsi="Times New Roman"/>
          <w:lang w:val="fr-CA"/>
        </w:rPr>
        <w:t xml:space="preserve">torités </w:t>
      </w:r>
      <w:r w:rsidR="00C25CFF" w:rsidRPr="00DE7DD2">
        <w:rPr>
          <w:rFonts w:ascii="Times New Roman" w:hAnsi="Times New Roman"/>
          <w:lang w:val="fr-CA"/>
        </w:rPr>
        <w:t xml:space="preserve">de la région chargées des </w:t>
      </w:r>
      <w:r w:rsidRPr="00DE7DD2">
        <w:rPr>
          <w:rFonts w:ascii="Times New Roman" w:hAnsi="Times New Roman"/>
          <w:lang w:val="fr-CA"/>
        </w:rPr>
        <w:t>douan</w:t>
      </w:r>
      <w:r w:rsidR="00C25CFF" w:rsidRPr="00DE7DD2">
        <w:rPr>
          <w:rFonts w:ascii="Times New Roman" w:hAnsi="Times New Roman"/>
          <w:lang w:val="fr-CA"/>
        </w:rPr>
        <w:t>es, de faire respecter la loi et de la gestion des frontières, y compris des représentants des  institutions sanitaires et agricoles</w:t>
      </w:r>
      <w:r w:rsidR="00B52A55" w:rsidRPr="00DE7DD2">
        <w:rPr>
          <w:rFonts w:ascii="Times New Roman" w:hAnsi="Times New Roman"/>
          <w:lang w:val="fr-CA"/>
        </w:rPr>
        <w:t xml:space="preserve">, </w:t>
      </w:r>
      <w:r w:rsidR="00C25CFF" w:rsidRPr="00DE7DD2">
        <w:rPr>
          <w:rFonts w:ascii="Times New Roman" w:hAnsi="Times New Roman"/>
          <w:lang w:val="fr-CA"/>
        </w:rPr>
        <w:t xml:space="preserve">en vue de favoriser </w:t>
      </w:r>
      <w:r w:rsidR="00191D3C" w:rsidRPr="00DE7DD2">
        <w:rPr>
          <w:rFonts w:ascii="Times New Roman" w:hAnsi="Times New Roman"/>
          <w:lang w:val="fr-CA"/>
        </w:rPr>
        <w:t xml:space="preserve">le dialogue et </w:t>
      </w:r>
      <w:r w:rsidR="00C25CFF" w:rsidRPr="00DE7DD2">
        <w:rPr>
          <w:rFonts w:ascii="Times New Roman" w:hAnsi="Times New Roman"/>
          <w:lang w:val="fr-CA"/>
        </w:rPr>
        <w:t xml:space="preserve">une plus grande </w:t>
      </w:r>
      <w:r w:rsidR="00B52A55" w:rsidRPr="00DE7DD2">
        <w:rPr>
          <w:rFonts w:ascii="Times New Roman" w:hAnsi="Times New Roman"/>
          <w:szCs w:val="22"/>
          <w:lang w:val="fr-CA"/>
        </w:rPr>
        <w:t>coop</w:t>
      </w:r>
      <w:r w:rsidR="00C25CFF" w:rsidRPr="00DE7DD2">
        <w:rPr>
          <w:rFonts w:ascii="Times New Roman" w:hAnsi="Times New Roman"/>
          <w:szCs w:val="22"/>
          <w:lang w:val="fr-CA"/>
        </w:rPr>
        <w:t>é</w:t>
      </w:r>
      <w:r w:rsidR="00B52A55" w:rsidRPr="00DE7DD2">
        <w:rPr>
          <w:rFonts w:ascii="Times New Roman" w:hAnsi="Times New Roman"/>
          <w:szCs w:val="22"/>
          <w:lang w:val="fr-CA"/>
        </w:rPr>
        <w:t xml:space="preserve">ration </w:t>
      </w:r>
      <w:r w:rsidR="00191D3C" w:rsidRPr="00DE7DD2">
        <w:rPr>
          <w:rFonts w:ascii="Times New Roman" w:hAnsi="Times New Roman"/>
          <w:szCs w:val="22"/>
          <w:lang w:val="fr-CA"/>
        </w:rPr>
        <w:t xml:space="preserve">concernant </w:t>
      </w:r>
      <w:r w:rsidR="00C25CFF" w:rsidRPr="00DE7DD2">
        <w:rPr>
          <w:rFonts w:ascii="Times New Roman" w:hAnsi="Times New Roman"/>
          <w:szCs w:val="22"/>
          <w:lang w:val="fr-CA"/>
        </w:rPr>
        <w:t xml:space="preserve">les mesures destinées à renforcer la sécurité de la chaîne d’approvisionnement dans les ports d’entrée, </w:t>
      </w:r>
      <w:r w:rsidR="00191D3C" w:rsidRPr="00DE7DD2">
        <w:rPr>
          <w:rFonts w:ascii="Times New Roman" w:hAnsi="Times New Roman"/>
          <w:szCs w:val="22"/>
          <w:lang w:val="fr-CA"/>
        </w:rPr>
        <w:t xml:space="preserve">y compris </w:t>
      </w:r>
      <w:r w:rsidR="00C25CFF" w:rsidRPr="00DE7DD2">
        <w:rPr>
          <w:rFonts w:ascii="Times New Roman" w:hAnsi="Times New Roman"/>
          <w:szCs w:val="22"/>
          <w:lang w:val="fr-CA"/>
        </w:rPr>
        <w:t>les ports d’entrée terrestres, les ports maritimes et les aéroports, en colla</w:t>
      </w:r>
      <w:r w:rsidR="00B52A55" w:rsidRPr="00DE7DD2">
        <w:rPr>
          <w:rFonts w:ascii="Times New Roman" w:hAnsi="Times New Roman"/>
          <w:szCs w:val="22"/>
          <w:lang w:val="fr-CA"/>
        </w:rPr>
        <w:t>boration</w:t>
      </w:r>
      <w:r w:rsidR="00C25CFF" w:rsidRPr="00DE7DD2">
        <w:rPr>
          <w:rFonts w:ascii="Times New Roman" w:hAnsi="Times New Roman"/>
          <w:szCs w:val="22"/>
          <w:lang w:val="fr-CA"/>
        </w:rPr>
        <w:t xml:space="preserve"> avec d’autres partenaires travaillant dans ce domaine, notamment l’Organisation</w:t>
      </w:r>
      <w:r w:rsidR="00B52A55" w:rsidRPr="00DE7DD2">
        <w:rPr>
          <w:rFonts w:ascii="Times New Roman" w:hAnsi="Times New Roman"/>
          <w:szCs w:val="22"/>
          <w:lang w:val="fr-CA"/>
        </w:rPr>
        <w:t xml:space="preserve"> </w:t>
      </w:r>
      <w:r w:rsidR="00C25CFF" w:rsidRPr="00DE7DD2">
        <w:rPr>
          <w:rFonts w:ascii="Times New Roman" w:hAnsi="Times New Roman"/>
          <w:szCs w:val="22"/>
          <w:lang w:val="fr-CA"/>
        </w:rPr>
        <w:t xml:space="preserve">mondiale des douanes. </w:t>
      </w:r>
    </w:p>
    <w:p w14:paraId="3F5CDD64" w14:textId="77777777" w:rsidR="00B52A55" w:rsidRPr="00DE7DD2" w:rsidRDefault="00C25CFF" w:rsidP="00412C07">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CA"/>
        </w:rPr>
      </w:pPr>
      <w:r w:rsidRPr="00DE7DD2">
        <w:rPr>
          <w:rFonts w:ascii="Times New Roman" w:hAnsi="Times New Roman"/>
          <w:szCs w:val="22"/>
          <w:lang w:val="fr-CA"/>
        </w:rPr>
        <w:t xml:space="preserve">et les autorités de la région chargées de faire respecter les lois </w:t>
      </w:r>
      <w:r w:rsidR="00CE610E" w:rsidRPr="00DE7DD2">
        <w:rPr>
          <w:rFonts w:ascii="Times New Roman" w:hAnsi="Times New Roman"/>
          <w:szCs w:val="22"/>
          <w:lang w:val="fr-CA"/>
        </w:rPr>
        <w:t xml:space="preserve">en vue de favoriser </w:t>
      </w:r>
      <w:r w:rsidR="00973C0D" w:rsidRPr="00DE7DD2">
        <w:rPr>
          <w:rFonts w:ascii="Times New Roman" w:hAnsi="Times New Roman"/>
          <w:szCs w:val="22"/>
          <w:lang w:val="fr-CA"/>
        </w:rPr>
        <w:t xml:space="preserve">le dialogue et </w:t>
      </w:r>
      <w:r w:rsidR="00CE610E" w:rsidRPr="00DE7DD2">
        <w:rPr>
          <w:rFonts w:ascii="Times New Roman" w:hAnsi="Times New Roman"/>
          <w:lang w:val="fr-CA"/>
        </w:rPr>
        <w:t xml:space="preserve">une plus grande </w:t>
      </w:r>
      <w:r w:rsidR="00CE610E" w:rsidRPr="00DE7DD2">
        <w:rPr>
          <w:rFonts w:ascii="Times New Roman" w:hAnsi="Times New Roman"/>
          <w:szCs w:val="22"/>
          <w:lang w:val="fr-CA"/>
        </w:rPr>
        <w:t xml:space="preserve">coopération </w:t>
      </w:r>
      <w:r w:rsidR="00973C0D" w:rsidRPr="00DE7DD2">
        <w:rPr>
          <w:rFonts w:ascii="Times New Roman" w:hAnsi="Times New Roman"/>
          <w:szCs w:val="22"/>
          <w:lang w:val="fr-CA"/>
        </w:rPr>
        <w:t xml:space="preserve">concernant </w:t>
      </w:r>
      <w:r w:rsidR="00CE610E" w:rsidRPr="00DE7DD2">
        <w:rPr>
          <w:rFonts w:ascii="Times New Roman" w:hAnsi="Times New Roman"/>
          <w:szCs w:val="22"/>
          <w:lang w:val="fr-CA"/>
        </w:rPr>
        <w:t xml:space="preserve">les mesures destinées à renforcer la sécurité de la chaîne d’approvisionnement dans les ports d’entrée, notamment les ports d’entrée terrestres, les ports maritimes et les aéroports, en collaboration avec d’autres partenaires travaillant dans ce domaine, notamment l’Organisation mondiale des douanes. </w:t>
      </w:r>
    </w:p>
    <w:p w14:paraId="68A627DB" w14:textId="77777777" w:rsidR="008031C1" w:rsidRPr="00DE7DD2" w:rsidRDefault="00CE610E" w:rsidP="00412C07">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CA"/>
        </w:rPr>
      </w:pPr>
      <w:r w:rsidRPr="00DE7DD2">
        <w:rPr>
          <w:rFonts w:ascii="Times New Roman" w:hAnsi="Times New Roman"/>
          <w:szCs w:val="22"/>
          <w:lang w:val="fr-CA"/>
        </w:rPr>
        <w:lastRenderedPageBreak/>
        <w:t>la quatrième réunion du Groupe de travail du C</w:t>
      </w:r>
      <w:r w:rsidR="00B52A55" w:rsidRPr="00DE7DD2">
        <w:rPr>
          <w:rFonts w:ascii="Times New Roman" w:hAnsi="Times New Roman"/>
          <w:szCs w:val="22"/>
          <w:lang w:val="fr-CA"/>
        </w:rPr>
        <w:t>ICTE</w:t>
      </w:r>
      <w:r w:rsidRPr="00DE7DD2">
        <w:rPr>
          <w:rFonts w:ascii="Times New Roman" w:hAnsi="Times New Roman"/>
          <w:szCs w:val="22"/>
          <w:lang w:val="fr-CA"/>
        </w:rPr>
        <w:t xml:space="preserve"> sur la coopération et les mesures de renforcement de la confiance dans le c</w:t>
      </w:r>
      <w:r w:rsidR="00B52A55" w:rsidRPr="00DE7DD2">
        <w:rPr>
          <w:rFonts w:ascii="Times New Roman" w:hAnsi="Times New Roman"/>
          <w:szCs w:val="22"/>
          <w:lang w:val="fr-CA"/>
        </w:rPr>
        <w:t>yberspace</w:t>
      </w:r>
      <w:r w:rsidR="00733BC6" w:rsidRPr="00DE7DD2">
        <w:rPr>
          <w:rFonts w:ascii="Times New Roman" w:hAnsi="Times New Roman"/>
          <w:szCs w:val="22"/>
          <w:lang w:val="fr-CA"/>
        </w:rPr>
        <w:t xml:space="preserve"> au premier semestre 2023 ou suffisamment avant la session ordinaire de l’Assemblée générale de 2023</w:t>
      </w:r>
      <w:r w:rsidR="00973C0D" w:rsidRPr="00DE7DD2">
        <w:rPr>
          <w:rFonts w:ascii="Times New Roman" w:hAnsi="Times New Roman"/>
          <w:szCs w:val="22"/>
          <w:lang w:val="fr-CA"/>
        </w:rPr>
        <w:t>,</w:t>
      </w:r>
      <w:r w:rsidR="00733BC6" w:rsidRPr="00DE7DD2">
        <w:rPr>
          <w:rFonts w:ascii="Times New Roman" w:hAnsi="Times New Roman"/>
          <w:szCs w:val="22"/>
          <w:lang w:val="fr-CA"/>
        </w:rPr>
        <w:t xml:space="preserve"> </w:t>
      </w:r>
      <w:r w:rsidRPr="00DE7DD2">
        <w:rPr>
          <w:rFonts w:ascii="Times New Roman" w:hAnsi="Times New Roman"/>
          <w:szCs w:val="22"/>
          <w:lang w:val="fr-CA"/>
        </w:rPr>
        <w:t>afin d’examiner</w:t>
      </w:r>
      <w:r w:rsidR="00D40A07" w:rsidRPr="00DE7DD2">
        <w:rPr>
          <w:rFonts w:ascii="Times New Roman" w:hAnsi="Times New Roman"/>
          <w:szCs w:val="22"/>
          <w:lang w:val="fr-CA"/>
        </w:rPr>
        <w:t xml:space="preserve">, entre autres, </w:t>
      </w:r>
      <w:r w:rsidR="00973C0D" w:rsidRPr="00DE7DD2">
        <w:rPr>
          <w:rFonts w:ascii="Times New Roman" w:hAnsi="Times New Roman"/>
          <w:szCs w:val="22"/>
          <w:lang w:val="fr-CA"/>
        </w:rPr>
        <w:t>les</w:t>
      </w:r>
      <w:r w:rsidR="00D40A07" w:rsidRPr="00DE7DD2">
        <w:rPr>
          <w:rFonts w:ascii="Times New Roman" w:hAnsi="Times New Roman"/>
          <w:szCs w:val="22"/>
          <w:lang w:val="fr-CA"/>
        </w:rPr>
        <w:t xml:space="preserve"> nouvelles mesures de renforcement de la confiance dans le cyberespace qui ont été convenues et </w:t>
      </w:r>
      <w:r w:rsidR="00733BC6" w:rsidRPr="00DE7DD2">
        <w:rPr>
          <w:rFonts w:ascii="Times New Roman" w:hAnsi="Times New Roman"/>
          <w:szCs w:val="22"/>
          <w:lang w:val="fr-CA"/>
        </w:rPr>
        <w:t xml:space="preserve">le renforcement de </w:t>
      </w:r>
      <w:r w:rsidR="00D40A07" w:rsidRPr="00DE7DD2">
        <w:rPr>
          <w:rFonts w:ascii="Times New Roman" w:hAnsi="Times New Roman"/>
          <w:szCs w:val="22"/>
          <w:lang w:val="fr-CA"/>
        </w:rPr>
        <w:t xml:space="preserve">la coopération régionale, </w:t>
      </w:r>
      <w:r w:rsidR="00733BC6" w:rsidRPr="00DE7DD2">
        <w:rPr>
          <w:rFonts w:ascii="Times New Roman" w:hAnsi="Times New Roman"/>
          <w:szCs w:val="22"/>
          <w:lang w:val="fr-CA"/>
        </w:rPr>
        <w:t xml:space="preserve">de </w:t>
      </w:r>
      <w:r w:rsidR="00D40A07" w:rsidRPr="00DE7DD2">
        <w:rPr>
          <w:rFonts w:ascii="Times New Roman" w:hAnsi="Times New Roman"/>
          <w:szCs w:val="22"/>
          <w:lang w:val="fr-CA"/>
        </w:rPr>
        <w:t xml:space="preserve">la transparence, </w:t>
      </w:r>
      <w:r w:rsidR="00733BC6" w:rsidRPr="00DE7DD2">
        <w:rPr>
          <w:rFonts w:ascii="Times New Roman" w:hAnsi="Times New Roman"/>
          <w:szCs w:val="22"/>
          <w:lang w:val="fr-CA"/>
        </w:rPr>
        <w:t xml:space="preserve">de </w:t>
      </w:r>
      <w:r w:rsidR="00D40A07" w:rsidRPr="00DE7DD2">
        <w:rPr>
          <w:rFonts w:ascii="Times New Roman" w:hAnsi="Times New Roman"/>
          <w:szCs w:val="22"/>
          <w:lang w:val="fr-CA"/>
        </w:rPr>
        <w:t xml:space="preserve">la prévisibilité et </w:t>
      </w:r>
      <w:r w:rsidR="00733BC6" w:rsidRPr="00DE7DD2">
        <w:rPr>
          <w:rFonts w:ascii="Times New Roman" w:hAnsi="Times New Roman"/>
          <w:szCs w:val="22"/>
          <w:lang w:val="fr-CA"/>
        </w:rPr>
        <w:t xml:space="preserve">de </w:t>
      </w:r>
      <w:r w:rsidR="00D40A07" w:rsidRPr="00DE7DD2">
        <w:rPr>
          <w:rFonts w:ascii="Times New Roman" w:hAnsi="Times New Roman"/>
          <w:szCs w:val="22"/>
          <w:lang w:val="fr-CA"/>
        </w:rPr>
        <w:t xml:space="preserve">la stabilité dans le cyberespace </w:t>
      </w:r>
      <w:r w:rsidR="00733BC6" w:rsidRPr="00DE7DD2">
        <w:rPr>
          <w:rFonts w:ascii="Times New Roman" w:hAnsi="Times New Roman"/>
          <w:szCs w:val="22"/>
          <w:lang w:val="fr-CA"/>
        </w:rPr>
        <w:t xml:space="preserve">lors de </w:t>
      </w:r>
      <w:r w:rsidR="00D40A07" w:rsidRPr="00DE7DD2">
        <w:rPr>
          <w:rFonts w:ascii="Times New Roman" w:hAnsi="Times New Roman"/>
          <w:szCs w:val="22"/>
          <w:lang w:val="fr-CA"/>
        </w:rPr>
        <w:t xml:space="preserve">la vingt-deuxième session ordinaire du </w:t>
      </w:r>
      <w:r w:rsidR="00B52A55" w:rsidRPr="00DE7DD2">
        <w:rPr>
          <w:rFonts w:ascii="Times New Roman" w:hAnsi="Times New Roman"/>
          <w:szCs w:val="22"/>
          <w:lang w:val="fr-CA"/>
        </w:rPr>
        <w:t>CICTE</w:t>
      </w:r>
      <w:r w:rsidR="008031C1" w:rsidRPr="00DE7DD2">
        <w:rPr>
          <w:rFonts w:ascii="Times New Roman" w:hAnsi="Times New Roman"/>
          <w:szCs w:val="22"/>
          <w:lang w:val="fr-CA"/>
        </w:rPr>
        <w:t>.</w:t>
      </w:r>
    </w:p>
    <w:p w14:paraId="4953F74A" w14:textId="77777777" w:rsidR="008031C1" w:rsidRPr="00DE7DD2" w:rsidRDefault="008031C1" w:rsidP="00EE2D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3542BFF4" w14:textId="672E5D38" w:rsidR="00B52A55" w:rsidRPr="00DE7DD2" w:rsidRDefault="008031C1"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CA"/>
        </w:rPr>
      </w:pPr>
      <w:r w:rsidRPr="00DE7DD2">
        <w:rPr>
          <w:rFonts w:ascii="Times New Roman" w:hAnsi="Times New Roman"/>
          <w:szCs w:val="22"/>
          <w:lang w:val="fr-CA"/>
        </w:rPr>
        <w:tab/>
        <w:t>6.</w:t>
      </w:r>
      <w:r w:rsidRPr="00DE7DD2">
        <w:rPr>
          <w:rFonts w:ascii="Times New Roman" w:hAnsi="Times New Roman"/>
          <w:szCs w:val="22"/>
          <w:lang w:val="fr-CA"/>
        </w:rPr>
        <w:tab/>
      </w:r>
      <w:r w:rsidR="00733BC6" w:rsidRPr="00DE7DD2">
        <w:rPr>
          <w:szCs w:val="22"/>
          <w:lang w:val="fr-CA"/>
        </w:rPr>
        <w:t>De reconnaître la valeur de l’engagement pris par les Chefs d’État des Amériques lors du Neuvième Sommet des Amériques « Programme d’action régional pour la transformation numérique, paragraphe C - Cybersécurité » et de charger le SSM, par l’intermédiaire du Secrétariat du CICTE, de continuer à apporter son soutien aux États membres dans leurs initiatives de renforcement des capacités en matière de cybersécurité</w:t>
      </w:r>
      <w:r w:rsidRPr="00DE7DD2">
        <w:rPr>
          <w:szCs w:val="22"/>
          <w:lang w:val="fr-CA"/>
        </w:rPr>
        <w:t>, de sorte à développer les professionnels régionaux qui s’avèrent nécessaires pour mettre en œuvre les mandats du Sommet.</w:t>
      </w:r>
    </w:p>
    <w:p w14:paraId="5CCAC6F6" w14:textId="77777777" w:rsidR="008031C1" w:rsidRPr="00DE7DD2" w:rsidRDefault="008031C1"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CA"/>
        </w:rPr>
      </w:pPr>
    </w:p>
    <w:p w14:paraId="6A3FA49B" w14:textId="41A25197" w:rsidR="00B52A55" w:rsidRPr="00DE7DD2" w:rsidRDefault="008031C1"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rPr>
          <w:lang w:val="fr-CA"/>
        </w:rPr>
      </w:pPr>
      <w:r w:rsidRPr="00DE7DD2">
        <w:rPr>
          <w:szCs w:val="22"/>
          <w:lang w:val="fr-CA"/>
        </w:rPr>
        <w:tab/>
        <w:t>7.</w:t>
      </w:r>
      <w:r w:rsidRPr="00DE7DD2">
        <w:rPr>
          <w:szCs w:val="22"/>
          <w:lang w:val="fr-CA"/>
        </w:rPr>
        <w:tab/>
        <w:t>De demander au SSM, par le biais du Secrétariat du CI</w:t>
      </w:r>
      <w:r w:rsidR="00B52A55" w:rsidRPr="00DE7DD2">
        <w:rPr>
          <w:szCs w:val="22"/>
          <w:lang w:val="fr-CA"/>
        </w:rPr>
        <w:t>CTE</w:t>
      </w:r>
      <w:r w:rsidRPr="00DE7DD2">
        <w:rPr>
          <w:szCs w:val="22"/>
          <w:lang w:val="fr-CA"/>
        </w:rPr>
        <w:t>, de continuer à apporter son soutien aux États membres pour la mise au point et/ou la révision des stratégies et/ou des programmes en matière de cybersécurité et de continuer à encourager les échanges d’information, les données d’expérience et les bonnes pratiques ainsi que de continuer à soutenir le renforcement des capacités en matière de cybersécurité</w:t>
      </w:r>
      <w:r w:rsidR="00922648">
        <w:rPr>
          <w:szCs w:val="22"/>
          <w:lang w:val="fr-CA"/>
        </w:rPr>
        <w:t>. En ce sens, il convient d’encourager la création de synergies avec d’autres processus multilatéraux de cybersécurité, incluant l’analyse des menaces</w:t>
      </w:r>
      <w:r w:rsidR="00DC4FB4">
        <w:rPr>
          <w:szCs w:val="22"/>
          <w:lang w:val="fr-CA"/>
        </w:rPr>
        <w:t xml:space="preserve"> existantes et potentielles</w:t>
      </w:r>
      <w:r w:rsidR="00922648">
        <w:rPr>
          <w:szCs w:val="22"/>
          <w:lang w:val="fr-CA"/>
        </w:rPr>
        <w:t xml:space="preserve">, le droit international, </w:t>
      </w:r>
      <w:r w:rsidR="00DC4FB4">
        <w:rPr>
          <w:szCs w:val="22"/>
          <w:lang w:val="fr-CA"/>
        </w:rPr>
        <w:t xml:space="preserve">les normes, règles et principes </w:t>
      </w:r>
      <w:r w:rsidR="00E62E3A">
        <w:rPr>
          <w:szCs w:val="22"/>
          <w:lang w:val="fr-CA"/>
        </w:rPr>
        <w:t xml:space="preserve">de </w:t>
      </w:r>
      <w:r w:rsidR="00DC4FB4">
        <w:rPr>
          <w:szCs w:val="22"/>
          <w:lang w:val="fr-CA"/>
        </w:rPr>
        <w:t xml:space="preserve">comportement responsable des États, </w:t>
      </w:r>
      <w:r w:rsidR="00922648">
        <w:rPr>
          <w:szCs w:val="22"/>
          <w:lang w:val="fr-CA"/>
        </w:rPr>
        <w:t>les mesures d’encouragement de la confiance</w:t>
      </w:r>
      <w:r w:rsidR="00DC4FB4">
        <w:rPr>
          <w:szCs w:val="22"/>
          <w:lang w:val="fr-CA"/>
        </w:rPr>
        <w:t>,</w:t>
      </w:r>
      <w:r w:rsidR="00922648">
        <w:rPr>
          <w:szCs w:val="22"/>
          <w:lang w:val="fr-CA"/>
        </w:rPr>
        <w:t xml:space="preserve"> le développement des capacités</w:t>
      </w:r>
      <w:r w:rsidR="00DC4FB4">
        <w:rPr>
          <w:szCs w:val="22"/>
          <w:lang w:val="fr-CA"/>
        </w:rPr>
        <w:t xml:space="preserve"> et la perspective du genre.</w:t>
      </w:r>
    </w:p>
    <w:p w14:paraId="269AB4F6" w14:textId="5C49C851" w:rsidR="00B52A55" w:rsidRDefault="00B52A55" w:rsidP="009B18B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90"/>
        <w:rPr>
          <w:rFonts w:ascii="Times New Roman" w:hAnsi="Times New Roman"/>
          <w:szCs w:val="22"/>
          <w:lang w:val="fr-CA"/>
        </w:rPr>
      </w:pPr>
    </w:p>
    <w:p w14:paraId="1596C423" w14:textId="77777777" w:rsidR="00FB78E6" w:rsidRPr="00DE7DD2" w:rsidRDefault="00FB78E6" w:rsidP="009B18B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90"/>
        <w:rPr>
          <w:rFonts w:ascii="Times New Roman" w:hAnsi="Times New Roman"/>
          <w:szCs w:val="22"/>
          <w:lang w:val="fr-CA"/>
        </w:rPr>
      </w:pPr>
    </w:p>
    <w:p w14:paraId="181D155D" w14:textId="77777777" w:rsidR="00B52A55" w:rsidRPr="00DE7DD2" w:rsidRDefault="00B52A55" w:rsidP="00325966">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336" w:firstLine="24"/>
        <w:rPr>
          <w:rFonts w:ascii="Calibri" w:hAnsi="Calibri"/>
          <w:lang w:val="fr-CA"/>
        </w:rPr>
      </w:pPr>
      <w:r w:rsidRPr="00DE7DD2">
        <w:rPr>
          <w:u w:val="single"/>
          <w:lang w:val="fr-CA"/>
        </w:rPr>
        <w:t>Promoti</w:t>
      </w:r>
      <w:r w:rsidR="00EB7D0C" w:rsidRPr="00DE7DD2">
        <w:rPr>
          <w:u w:val="single"/>
          <w:lang w:val="fr-CA"/>
        </w:rPr>
        <w:t>on de la c</w:t>
      </w:r>
      <w:r w:rsidRPr="00DE7DD2">
        <w:rPr>
          <w:u w:val="single"/>
          <w:lang w:val="fr-CA"/>
        </w:rPr>
        <w:t>yber</w:t>
      </w:r>
      <w:r w:rsidR="00EB7D0C" w:rsidRPr="00DE7DD2">
        <w:rPr>
          <w:u w:val="single"/>
          <w:lang w:val="fr-CA"/>
        </w:rPr>
        <w:t>sécurité</w:t>
      </w:r>
    </w:p>
    <w:p w14:paraId="2EC95C04" w14:textId="77777777" w:rsidR="00B52A55" w:rsidRPr="00DE7DD2" w:rsidRDefault="00B52A55" w:rsidP="00325966">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CA"/>
        </w:rPr>
      </w:pPr>
    </w:p>
    <w:p w14:paraId="7DDBC703" w14:textId="3255FD60" w:rsidR="00B52A55" w:rsidRPr="00DE7DD2" w:rsidRDefault="00EB7D0C" w:rsidP="00EE2DEC">
      <w:pPr>
        <w:pStyle w:val="ListParagraph"/>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lang w:val="fr-CA"/>
        </w:rPr>
      </w:pPr>
      <w:r w:rsidRPr="00DE7DD2">
        <w:rPr>
          <w:szCs w:val="22"/>
          <w:lang w:val="fr-CA"/>
        </w:rPr>
        <w:t xml:space="preserve">De se réjouir des mesures prises par le </w:t>
      </w:r>
      <w:r w:rsidR="00B52A55" w:rsidRPr="00DE7DD2">
        <w:rPr>
          <w:szCs w:val="22"/>
          <w:lang w:val="fr-CA"/>
        </w:rPr>
        <w:t xml:space="preserve">CICTE </w:t>
      </w:r>
      <w:r w:rsidRPr="00DE7DD2">
        <w:rPr>
          <w:szCs w:val="22"/>
          <w:lang w:val="fr-CA"/>
        </w:rPr>
        <w:t xml:space="preserve">afin de rendre opérationnelles les mesures de renforcement de la confiance et de la coopération dans le cyberespace et de mieux faire face aux menaces communes dans le cyberespace, notamment les activités cybernétiques malveillantes qui ont perturbé des infrastructures critiques et des services essentiels pour les citoyens et les économies dans le continent américain. </w:t>
      </w:r>
    </w:p>
    <w:p w14:paraId="27E62AA9" w14:textId="77777777" w:rsidR="00EE2DEC" w:rsidRPr="00DE7DD2" w:rsidRDefault="00EE2DEC" w:rsidP="00EE2DEC">
      <w:pPr>
        <w:widowControl/>
        <w:tabs>
          <w:tab w:val="clear" w:pos="720"/>
          <w:tab w:val="clear" w:pos="1440"/>
          <w:tab w:val="clear" w:pos="2160"/>
          <w:tab w:val="clear" w:pos="2880"/>
          <w:tab w:val="clear" w:pos="3600"/>
          <w:tab w:val="clear" w:pos="4320"/>
          <w:tab w:val="clear" w:pos="5760"/>
          <w:tab w:val="clear" w:pos="6480"/>
          <w:tab w:val="clear" w:pos="7200"/>
          <w:tab w:val="clear" w:pos="7920"/>
        </w:tabs>
        <w:rPr>
          <w:lang w:val="fr-CA"/>
        </w:rPr>
      </w:pPr>
    </w:p>
    <w:p w14:paraId="736EBBD1" w14:textId="2F4F769A" w:rsidR="00B52A55" w:rsidRPr="00DE7DD2" w:rsidRDefault="00EB7D0C" w:rsidP="00EE2DEC">
      <w:pPr>
        <w:pStyle w:val="ListParagraph"/>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szCs w:val="22"/>
          <w:lang w:val="fr-CA"/>
        </w:rPr>
      </w:pPr>
      <w:r w:rsidRPr="00DE7DD2">
        <w:rPr>
          <w:szCs w:val="22"/>
          <w:lang w:val="fr-CA"/>
        </w:rPr>
        <w:t xml:space="preserve">De prendre de nouvelles mesures visant à promouvoir les échanges d’information et l’assistance technique à travers toute la région, </w:t>
      </w:r>
      <w:r w:rsidR="008D172D">
        <w:rPr>
          <w:szCs w:val="22"/>
          <w:lang w:val="fr-CA"/>
        </w:rPr>
        <w:t xml:space="preserve">y compris avec les </w:t>
      </w:r>
      <w:r w:rsidRPr="00DE7DD2">
        <w:rPr>
          <w:szCs w:val="22"/>
          <w:lang w:val="fr-CA"/>
        </w:rPr>
        <w:t>organismes des Nations Unies</w:t>
      </w:r>
      <w:r w:rsidR="008D172D">
        <w:rPr>
          <w:szCs w:val="22"/>
          <w:lang w:val="fr-CA"/>
        </w:rPr>
        <w:t xml:space="preserve"> et par leur intermédiaire</w:t>
      </w:r>
      <w:r w:rsidRPr="00DE7DD2">
        <w:rPr>
          <w:szCs w:val="22"/>
          <w:lang w:val="fr-CA"/>
        </w:rPr>
        <w:t xml:space="preserve">, </w:t>
      </w:r>
      <w:r w:rsidR="00161E2A">
        <w:rPr>
          <w:szCs w:val="22"/>
          <w:lang w:val="fr-CA"/>
        </w:rPr>
        <w:t xml:space="preserve">qui portent sur les conséquences des </w:t>
      </w:r>
      <w:r w:rsidRPr="00DE7DD2">
        <w:rPr>
          <w:szCs w:val="22"/>
          <w:lang w:val="fr-CA"/>
        </w:rPr>
        <w:t xml:space="preserve">acteurs malveillants </w:t>
      </w:r>
      <w:r w:rsidR="00B03F3E" w:rsidRPr="00DE7DD2">
        <w:rPr>
          <w:szCs w:val="22"/>
          <w:lang w:val="fr-CA"/>
        </w:rPr>
        <w:t>impliqués dans des rançongiciels</w:t>
      </w:r>
      <w:r w:rsidR="008D172D">
        <w:rPr>
          <w:szCs w:val="22"/>
          <w:lang w:val="fr-CA"/>
        </w:rPr>
        <w:t xml:space="preserve"> </w:t>
      </w:r>
      <w:r w:rsidR="00B03F3E" w:rsidRPr="00DE7DD2">
        <w:rPr>
          <w:szCs w:val="22"/>
          <w:lang w:val="fr-CA"/>
        </w:rPr>
        <w:t xml:space="preserve">et d’autres </w:t>
      </w:r>
      <w:r w:rsidR="00161E2A">
        <w:rPr>
          <w:szCs w:val="22"/>
          <w:lang w:val="fr-CA"/>
        </w:rPr>
        <w:t xml:space="preserve">usages abusifs </w:t>
      </w:r>
      <w:r w:rsidR="00B03F3E" w:rsidRPr="00DE7DD2">
        <w:rPr>
          <w:szCs w:val="22"/>
          <w:lang w:val="fr-CA"/>
        </w:rPr>
        <w:t>des TIC à des fins criminelles</w:t>
      </w:r>
      <w:r w:rsidR="00161E2A">
        <w:rPr>
          <w:szCs w:val="22"/>
          <w:lang w:val="fr-CA"/>
        </w:rPr>
        <w:t>, dans le but de les empêcher et d’en atténuer les effets</w:t>
      </w:r>
      <w:r w:rsidR="00B03F3E" w:rsidRPr="00DE7DD2">
        <w:rPr>
          <w:szCs w:val="22"/>
          <w:lang w:val="fr-CA"/>
        </w:rPr>
        <w:t xml:space="preserve">. </w:t>
      </w:r>
      <w:r w:rsidR="00B52A55" w:rsidRPr="00DE7DD2">
        <w:rPr>
          <w:szCs w:val="22"/>
          <w:lang w:val="fr-CA"/>
        </w:rPr>
        <w:t xml:space="preserve"> </w:t>
      </w:r>
    </w:p>
    <w:p w14:paraId="742C6E2F" w14:textId="77777777" w:rsidR="00B52A55" w:rsidRPr="00DE7DD2" w:rsidRDefault="00B52A55" w:rsidP="00FB78E6">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90"/>
        <w:rPr>
          <w:lang w:val="fr-CA"/>
        </w:rPr>
      </w:pPr>
    </w:p>
    <w:p w14:paraId="1A43DD3B" w14:textId="6EB1FF75" w:rsidR="00444B5B" w:rsidRPr="00DE7DD2" w:rsidRDefault="00B03F3E" w:rsidP="00EE2DEC">
      <w:pPr>
        <w:pStyle w:val="ListParagraph"/>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lang w:val="fr-CA"/>
        </w:rPr>
      </w:pPr>
      <w:r w:rsidRPr="00DE7DD2">
        <w:rPr>
          <w:rFonts w:ascii="Times New Roman" w:hAnsi="Times New Roman"/>
          <w:szCs w:val="22"/>
          <w:lang w:val="fr-CA"/>
        </w:rPr>
        <w:t xml:space="preserve">De demander au SSM de convoquer en </w:t>
      </w:r>
      <w:r w:rsidR="00B52A55" w:rsidRPr="00DE7DD2">
        <w:rPr>
          <w:rFonts w:ascii="Times New Roman" w:hAnsi="Times New Roman"/>
          <w:szCs w:val="22"/>
          <w:lang w:val="fr-CA"/>
        </w:rPr>
        <w:t xml:space="preserve">2023 </w:t>
      </w:r>
      <w:r w:rsidRPr="00DE7DD2">
        <w:rPr>
          <w:rFonts w:ascii="Times New Roman" w:hAnsi="Times New Roman"/>
          <w:szCs w:val="22"/>
          <w:lang w:val="fr-CA"/>
        </w:rPr>
        <w:t>une réunion de</w:t>
      </w:r>
      <w:r w:rsidR="00B52A55" w:rsidRPr="00DE7DD2">
        <w:rPr>
          <w:rFonts w:ascii="Times New Roman" w:hAnsi="Times New Roman"/>
          <w:szCs w:val="22"/>
          <w:lang w:val="fr-CA"/>
        </w:rPr>
        <w:t xml:space="preserve"> coordination </w:t>
      </w:r>
      <w:r w:rsidRPr="00DE7DD2">
        <w:rPr>
          <w:rFonts w:ascii="Times New Roman" w:hAnsi="Times New Roman"/>
          <w:szCs w:val="22"/>
          <w:lang w:val="fr-CA"/>
        </w:rPr>
        <w:t xml:space="preserve">entre plusieurs organes de l’OEA chargés de la sécurité numérique et de la protection des technologies de l’information et de la </w:t>
      </w:r>
      <w:r w:rsidRPr="00DE7DD2">
        <w:rPr>
          <w:szCs w:val="22"/>
          <w:lang w:val="fr-CA"/>
        </w:rPr>
        <w:t>communication</w:t>
      </w:r>
      <w:r w:rsidRPr="00DE7DD2">
        <w:rPr>
          <w:rFonts w:ascii="Times New Roman" w:hAnsi="Times New Roman"/>
          <w:szCs w:val="22"/>
          <w:lang w:val="fr-CA"/>
        </w:rPr>
        <w:t xml:space="preserve"> (TIC) afin d’examiner et d’harmoniser les différents mandats </w:t>
      </w:r>
      <w:r w:rsidRPr="00DE7DD2">
        <w:rPr>
          <w:szCs w:val="22"/>
          <w:lang w:val="fr-CA"/>
        </w:rPr>
        <w:t>dans</w:t>
      </w:r>
      <w:r w:rsidRPr="00DE7DD2">
        <w:rPr>
          <w:rFonts w:ascii="Times New Roman" w:hAnsi="Times New Roman"/>
          <w:szCs w:val="22"/>
          <w:lang w:val="fr-CA"/>
        </w:rPr>
        <w:t xml:space="preserve"> le but d’améliorer la coordination, l’efficacité et l’efficience des actions, des programmes et des projets et de présenter </w:t>
      </w:r>
      <w:r w:rsidR="00803624" w:rsidRPr="00DE7DD2">
        <w:rPr>
          <w:rFonts w:ascii="Times New Roman" w:hAnsi="Times New Roman"/>
          <w:szCs w:val="22"/>
          <w:lang w:val="fr-CA"/>
        </w:rPr>
        <w:t xml:space="preserve">à l’Assemblée générale </w:t>
      </w:r>
      <w:r w:rsidRPr="00DE7DD2">
        <w:rPr>
          <w:rFonts w:ascii="Times New Roman" w:hAnsi="Times New Roman"/>
          <w:szCs w:val="22"/>
          <w:lang w:val="fr-CA"/>
        </w:rPr>
        <w:t xml:space="preserve">un rapport </w:t>
      </w:r>
      <w:r w:rsidR="00803624">
        <w:rPr>
          <w:rFonts w:ascii="Times New Roman" w:hAnsi="Times New Roman"/>
          <w:szCs w:val="22"/>
          <w:lang w:val="fr-CA"/>
        </w:rPr>
        <w:t xml:space="preserve">décrivant </w:t>
      </w:r>
      <w:r w:rsidRPr="00DE7DD2">
        <w:rPr>
          <w:rFonts w:ascii="Times New Roman" w:hAnsi="Times New Roman"/>
          <w:szCs w:val="22"/>
          <w:lang w:val="fr-CA"/>
        </w:rPr>
        <w:t>les résultats et les conclusions de la réunion.</w:t>
      </w:r>
      <w:r w:rsidR="00117A63">
        <w:rPr>
          <w:noProof/>
          <w:lang w:val="fr-CA"/>
        </w:rPr>
        <mc:AlternateContent>
          <mc:Choice Requires="wps">
            <w:drawing>
              <wp:anchor distT="0" distB="0" distL="114300" distR="114300" simplePos="0" relativeHeight="251662336" behindDoc="0" locked="1" layoutInCell="1" allowOverlap="1" wp14:anchorId="3DA21381" wp14:editId="70301CA2">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6A0E44D" w14:textId="5A8ACCA8" w:rsidR="00117A63" w:rsidRPr="00117A63" w:rsidRDefault="00117A6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8D6497">
                              <w:rPr>
                                <w:rFonts w:ascii="Times New Roman" w:hAnsi="Times New Roman"/>
                                <w:noProof/>
                                <w:sz w:val="18"/>
                              </w:rPr>
                              <w:t>CICTE01498F06</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A21381"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6A0E44D" w14:textId="5A8ACCA8" w:rsidR="00117A63" w:rsidRPr="00117A63" w:rsidRDefault="00117A6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8D6497">
                        <w:rPr>
                          <w:rFonts w:ascii="Times New Roman" w:hAnsi="Times New Roman"/>
                          <w:noProof/>
                          <w:sz w:val="18"/>
                        </w:rPr>
                        <w:t>CICTE01498F06</w:t>
                      </w:r>
                      <w:r>
                        <w:rPr>
                          <w:rFonts w:ascii="Times New Roman" w:hAnsi="Times New Roman"/>
                          <w:sz w:val="18"/>
                        </w:rPr>
                        <w:fldChar w:fldCharType="end"/>
                      </w:r>
                    </w:p>
                  </w:txbxContent>
                </v:textbox>
                <w10:wrap anchory="page"/>
                <w10:anchorlock/>
              </v:shape>
            </w:pict>
          </mc:Fallback>
        </mc:AlternateContent>
      </w:r>
    </w:p>
    <w:sectPr w:rsidR="00444B5B" w:rsidRPr="00DE7DD2" w:rsidSect="007A4A14">
      <w:headerReference w:type="default" r:id="rId9"/>
      <w:footerReference w:type="default" r:id="rId10"/>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D5FC" w14:textId="77777777" w:rsidR="007A754B" w:rsidRDefault="007A754B" w:rsidP="008C117E">
      <w:r>
        <w:separator/>
      </w:r>
    </w:p>
  </w:endnote>
  <w:endnote w:type="continuationSeparator" w:id="0">
    <w:p w14:paraId="0A82E59B" w14:textId="77777777" w:rsidR="007A754B" w:rsidRDefault="007A754B" w:rsidP="008C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AC77" w14:textId="77777777" w:rsidR="00EB7D0C" w:rsidRDefault="00EB7D0C" w:rsidP="001D27AB">
    <w:pPr>
      <w:pStyle w:val="Footer"/>
      <w:tabs>
        <w:tab w:val="left" w:pos="1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3EDF" w14:textId="77777777" w:rsidR="007A754B" w:rsidRDefault="007A754B" w:rsidP="008C117E">
      <w:r>
        <w:separator/>
      </w:r>
    </w:p>
  </w:footnote>
  <w:footnote w:type="continuationSeparator" w:id="0">
    <w:p w14:paraId="4523A3AB" w14:textId="77777777" w:rsidR="007A754B" w:rsidRDefault="007A754B" w:rsidP="008C1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975850"/>
      <w:docPartObj>
        <w:docPartGallery w:val="Page Numbers (Top of Page)"/>
        <w:docPartUnique/>
      </w:docPartObj>
    </w:sdtPr>
    <w:sdtEndPr>
      <w:rPr>
        <w:noProof/>
      </w:rPr>
    </w:sdtEndPr>
    <w:sdtContent>
      <w:p w14:paraId="2039E2B1" w14:textId="77777777" w:rsidR="00EB7D0C" w:rsidRDefault="00DE7DD2">
        <w:pPr>
          <w:pStyle w:val="Header"/>
          <w:jc w:val="center"/>
        </w:pPr>
        <w:r>
          <w:fldChar w:fldCharType="begin"/>
        </w:r>
        <w:r>
          <w:instrText xml:space="preserve"> PAGE   \* MERGEFORMAT </w:instrText>
        </w:r>
        <w:r>
          <w:fldChar w:fldCharType="separate"/>
        </w:r>
        <w:r w:rsidR="00973C0D">
          <w:rPr>
            <w:noProof/>
          </w:rPr>
          <w:t>- 3 -</w:t>
        </w:r>
        <w:r>
          <w:rPr>
            <w:noProof/>
          </w:rPr>
          <w:fldChar w:fldCharType="end"/>
        </w:r>
      </w:p>
    </w:sdtContent>
  </w:sdt>
  <w:p w14:paraId="67BA5DD1" w14:textId="77777777" w:rsidR="00EB7D0C" w:rsidRDefault="00EB7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4A69"/>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1" w15:restartNumberingAfterBreak="0">
    <w:nsid w:val="1F9D0BB8"/>
    <w:multiLevelType w:val="hybridMultilevel"/>
    <w:tmpl w:val="6A129C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BD79D2"/>
    <w:multiLevelType w:val="hybridMultilevel"/>
    <w:tmpl w:val="FFFFFFFF"/>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93349F3"/>
    <w:multiLevelType w:val="hybridMultilevel"/>
    <w:tmpl w:val="56DC8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1132AFA"/>
    <w:multiLevelType w:val="hybridMultilevel"/>
    <w:tmpl w:val="D6840738"/>
    <w:lvl w:ilvl="0" w:tplc="40C06E20">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85C88"/>
    <w:multiLevelType w:val="hybridMultilevel"/>
    <w:tmpl w:val="E21CDB72"/>
    <w:lvl w:ilvl="0" w:tplc="1D5CB502">
      <w:start w:val="1"/>
      <w:numFmt w:val="upperLetter"/>
      <w:lvlText w:val="%1."/>
      <w:lvlJc w:val="left"/>
      <w:pPr>
        <w:ind w:left="696" w:hanging="360"/>
      </w:pPr>
      <w:rPr>
        <w:rFonts w:cs="Times New Roman"/>
        <w:strike w:val="0"/>
        <w:dstrike w:val="0"/>
        <w:u w:val="none"/>
        <w:effect w:val="none"/>
      </w:rPr>
    </w:lvl>
    <w:lvl w:ilvl="1" w:tplc="AA5E46EE">
      <w:start w:val="1"/>
      <w:numFmt w:val="lowerLetter"/>
      <w:lvlText w:val="%2."/>
      <w:lvlJc w:val="left"/>
      <w:pPr>
        <w:ind w:left="1416" w:hanging="360"/>
      </w:pPr>
      <w:rPr>
        <w:rFonts w:cs="Times New Roman"/>
      </w:rPr>
    </w:lvl>
    <w:lvl w:ilvl="2" w:tplc="76C83BB6">
      <w:start w:val="1"/>
      <w:numFmt w:val="lowerRoman"/>
      <w:lvlText w:val="%3."/>
      <w:lvlJc w:val="right"/>
      <w:pPr>
        <w:ind w:left="2136" w:hanging="180"/>
      </w:pPr>
      <w:rPr>
        <w:rFonts w:cs="Times New Roman"/>
      </w:rPr>
    </w:lvl>
    <w:lvl w:ilvl="3" w:tplc="2558163E">
      <w:start w:val="1"/>
      <w:numFmt w:val="decimal"/>
      <w:lvlText w:val="%4."/>
      <w:lvlJc w:val="left"/>
      <w:pPr>
        <w:ind w:left="2856" w:hanging="360"/>
      </w:pPr>
      <w:rPr>
        <w:rFonts w:cs="Times New Roman"/>
      </w:rPr>
    </w:lvl>
    <w:lvl w:ilvl="4" w:tplc="8B04BCB6">
      <w:start w:val="1"/>
      <w:numFmt w:val="lowerLetter"/>
      <w:lvlText w:val="%5."/>
      <w:lvlJc w:val="left"/>
      <w:pPr>
        <w:ind w:left="3576" w:hanging="360"/>
      </w:pPr>
      <w:rPr>
        <w:rFonts w:cs="Times New Roman"/>
      </w:rPr>
    </w:lvl>
    <w:lvl w:ilvl="5" w:tplc="07FCC942">
      <w:start w:val="1"/>
      <w:numFmt w:val="lowerRoman"/>
      <w:lvlText w:val="%6."/>
      <w:lvlJc w:val="right"/>
      <w:pPr>
        <w:ind w:left="4296" w:hanging="180"/>
      </w:pPr>
      <w:rPr>
        <w:rFonts w:cs="Times New Roman"/>
      </w:rPr>
    </w:lvl>
    <w:lvl w:ilvl="6" w:tplc="883A79DE">
      <w:start w:val="1"/>
      <w:numFmt w:val="decimal"/>
      <w:lvlText w:val="%7."/>
      <w:lvlJc w:val="left"/>
      <w:pPr>
        <w:ind w:left="5016" w:hanging="360"/>
      </w:pPr>
      <w:rPr>
        <w:rFonts w:cs="Times New Roman"/>
      </w:rPr>
    </w:lvl>
    <w:lvl w:ilvl="7" w:tplc="C4A0A86E">
      <w:start w:val="1"/>
      <w:numFmt w:val="lowerLetter"/>
      <w:lvlText w:val="%8."/>
      <w:lvlJc w:val="left"/>
      <w:pPr>
        <w:ind w:left="5736" w:hanging="360"/>
      </w:pPr>
      <w:rPr>
        <w:rFonts w:cs="Times New Roman"/>
      </w:rPr>
    </w:lvl>
    <w:lvl w:ilvl="8" w:tplc="1938FEB2">
      <w:start w:val="1"/>
      <w:numFmt w:val="lowerRoman"/>
      <w:lvlText w:val="%9."/>
      <w:lvlJc w:val="right"/>
      <w:pPr>
        <w:ind w:left="6456" w:hanging="180"/>
      </w:pPr>
      <w:rPr>
        <w:rFonts w:cs="Times New Roman"/>
      </w:rPr>
    </w:lvl>
  </w:abstractNum>
  <w:abstractNum w:abstractNumId="6" w15:restartNumberingAfterBreak="0">
    <w:nsid w:val="71C436BC"/>
    <w:multiLevelType w:val="hybridMultilevel"/>
    <w:tmpl w:val="4FD2B6C2"/>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7" w15:restartNumberingAfterBreak="0">
    <w:nsid w:val="7F327C2C"/>
    <w:multiLevelType w:val="hybridMultilevel"/>
    <w:tmpl w:val="2E46990C"/>
    <w:lvl w:ilvl="0" w:tplc="457E4AD2">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DD"/>
    <w:rsid w:val="000142A9"/>
    <w:rsid w:val="000321E4"/>
    <w:rsid w:val="00042F0E"/>
    <w:rsid w:val="00050EC3"/>
    <w:rsid w:val="0005724C"/>
    <w:rsid w:val="00070B2E"/>
    <w:rsid w:val="000737D2"/>
    <w:rsid w:val="00082FD2"/>
    <w:rsid w:val="000A629D"/>
    <w:rsid w:val="000C1500"/>
    <w:rsid w:val="00117A63"/>
    <w:rsid w:val="00155A35"/>
    <w:rsid w:val="00161E2A"/>
    <w:rsid w:val="00191D3C"/>
    <w:rsid w:val="001A27BB"/>
    <w:rsid w:val="001D27AB"/>
    <w:rsid w:val="00201C8A"/>
    <w:rsid w:val="00204A47"/>
    <w:rsid w:val="00212E69"/>
    <w:rsid w:val="002220DD"/>
    <w:rsid w:val="002240C2"/>
    <w:rsid w:val="00231558"/>
    <w:rsid w:val="002456B8"/>
    <w:rsid w:val="0025208D"/>
    <w:rsid w:val="00275955"/>
    <w:rsid w:val="002D55C2"/>
    <w:rsid w:val="00321F72"/>
    <w:rsid w:val="00325966"/>
    <w:rsid w:val="003A144C"/>
    <w:rsid w:val="003B44D1"/>
    <w:rsid w:val="003D04CE"/>
    <w:rsid w:val="003F0CA2"/>
    <w:rsid w:val="00412C07"/>
    <w:rsid w:val="00420293"/>
    <w:rsid w:val="00444B5B"/>
    <w:rsid w:val="00487422"/>
    <w:rsid w:val="00497F8F"/>
    <w:rsid w:val="004B72C7"/>
    <w:rsid w:val="004C423E"/>
    <w:rsid w:val="0055775F"/>
    <w:rsid w:val="00574DC3"/>
    <w:rsid w:val="005757A4"/>
    <w:rsid w:val="005A04C2"/>
    <w:rsid w:val="005A7FD3"/>
    <w:rsid w:val="005B139D"/>
    <w:rsid w:val="005C5BD1"/>
    <w:rsid w:val="005D5008"/>
    <w:rsid w:val="005E51DA"/>
    <w:rsid w:val="00622A5F"/>
    <w:rsid w:val="006603D5"/>
    <w:rsid w:val="00733BC6"/>
    <w:rsid w:val="00754DB8"/>
    <w:rsid w:val="00767B9C"/>
    <w:rsid w:val="007A1912"/>
    <w:rsid w:val="007A4A14"/>
    <w:rsid w:val="007A7440"/>
    <w:rsid w:val="007A754B"/>
    <w:rsid w:val="008031C1"/>
    <w:rsid w:val="00803624"/>
    <w:rsid w:val="00805132"/>
    <w:rsid w:val="008213E9"/>
    <w:rsid w:val="00847DD4"/>
    <w:rsid w:val="008A0425"/>
    <w:rsid w:val="008B16BC"/>
    <w:rsid w:val="008C117E"/>
    <w:rsid w:val="008C1DB2"/>
    <w:rsid w:val="008C4FE4"/>
    <w:rsid w:val="008D172D"/>
    <w:rsid w:val="008D6497"/>
    <w:rsid w:val="008F04CD"/>
    <w:rsid w:val="008F3DC0"/>
    <w:rsid w:val="00906EBB"/>
    <w:rsid w:val="00914DC8"/>
    <w:rsid w:val="00922648"/>
    <w:rsid w:val="009720AC"/>
    <w:rsid w:val="00973C0D"/>
    <w:rsid w:val="009B18B1"/>
    <w:rsid w:val="00A21E40"/>
    <w:rsid w:val="00A4397E"/>
    <w:rsid w:val="00A518E7"/>
    <w:rsid w:val="00A5734E"/>
    <w:rsid w:val="00A67D63"/>
    <w:rsid w:val="00A761AC"/>
    <w:rsid w:val="00A94066"/>
    <w:rsid w:val="00B03F3E"/>
    <w:rsid w:val="00B52A55"/>
    <w:rsid w:val="00B717A2"/>
    <w:rsid w:val="00B820B6"/>
    <w:rsid w:val="00B82746"/>
    <w:rsid w:val="00B929B5"/>
    <w:rsid w:val="00BB5788"/>
    <w:rsid w:val="00BD1BAF"/>
    <w:rsid w:val="00BE578F"/>
    <w:rsid w:val="00C07725"/>
    <w:rsid w:val="00C25CFF"/>
    <w:rsid w:val="00C31878"/>
    <w:rsid w:val="00C8156D"/>
    <w:rsid w:val="00CB2AD1"/>
    <w:rsid w:val="00CB4EB7"/>
    <w:rsid w:val="00CE610E"/>
    <w:rsid w:val="00CF028A"/>
    <w:rsid w:val="00D40A07"/>
    <w:rsid w:val="00D6392E"/>
    <w:rsid w:val="00D6644A"/>
    <w:rsid w:val="00D66501"/>
    <w:rsid w:val="00D710AD"/>
    <w:rsid w:val="00DC4FB4"/>
    <w:rsid w:val="00DE7DD2"/>
    <w:rsid w:val="00E14DB6"/>
    <w:rsid w:val="00E408CA"/>
    <w:rsid w:val="00E40FC8"/>
    <w:rsid w:val="00E46E15"/>
    <w:rsid w:val="00E55316"/>
    <w:rsid w:val="00E62E3A"/>
    <w:rsid w:val="00E6446A"/>
    <w:rsid w:val="00EB5847"/>
    <w:rsid w:val="00EB7D0C"/>
    <w:rsid w:val="00EE2DEC"/>
    <w:rsid w:val="00F14422"/>
    <w:rsid w:val="00F27E40"/>
    <w:rsid w:val="00F33BAC"/>
    <w:rsid w:val="00F77DAD"/>
    <w:rsid w:val="00F83CCE"/>
    <w:rsid w:val="00FA7A45"/>
    <w:rsid w:val="00FB03A6"/>
    <w:rsid w:val="00FB78E6"/>
    <w:rsid w:val="00FC09FA"/>
    <w:rsid w:val="00FC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C6FAF"/>
  <w15:docId w15:val="{2A066E86-E769-44BB-AE6E-C4EE3BC8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D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2220DD"/>
    <w:pPr>
      <w:ind w:left="720"/>
      <w:contextualSpacing/>
    </w:pPr>
  </w:style>
  <w:style w:type="paragraph" w:styleId="NoSpacing">
    <w:name w:val="No Spacing"/>
    <w:basedOn w:val="Normal"/>
    <w:uiPriority w:val="1"/>
    <w:qFormat/>
    <w:rsid w:val="0025208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en-US"/>
    </w:rPr>
  </w:style>
  <w:style w:type="character" w:customStyle="1" w:styleId="ListParagraphChar">
    <w:name w:val="List Paragraph Char"/>
    <w:basedOn w:val="DefaultParagraphFont"/>
    <w:link w:val="ListParagraph"/>
    <w:uiPriority w:val="1"/>
    <w:locked/>
    <w:rsid w:val="0025208D"/>
    <w:rPr>
      <w:rFonts w:ascii="CG Times" w:eastAsia="Times New Roman" w:hAnsi="CG Times" w:cs="Times New Roman"/>
      <w:szCs w:val="20"/>
      <w:lang w:val="es-ES"/>
    </w:rPr>
  </w:style>
  <w:style w:type="paragraph" w:styleId="Revision">
    <w:name w:val="Revision"/>
    <w:hidden/>
    <w:uiPriority w:val="99"/>
    <w:semiHidden/>
    <w:rsid w:val="005E51DA"/>
    <w:pPr>
      <w:spacing w:after="0" w:line="240" w:lineRule="auto"/>
    </w:pPr>
    <w:rPr>
      <w:rFonts w:ascii="CG Times" w:eastAsia="Times New Roman" w:hAnsi="CG Times" w:cs="Times New Roman"/>
      <w:szCs w:val="20"/>
      <w:lang w:val="es-ES"/>
    </w:rPr>
  </w:style>
  <w:style w:type="character" w:customStyle="1" w:styleId="normaltextrun">
    <w:name w:val="normaltextrun"/>
    <w:basedOn w:val="DefaultParagraphFont"/>
    <w:rsid w:val="005B139D"/>
  </w:style>
  <w:style w:type="character" w:customStyle="1" w:styleId="s12">
    <w:name w:val="s12"/>
    <w:basedOn w:val="DefaultParagraphFont"/>
    <w:rsid w:val="000321E4"/>
  </w:style>
  <w:style w:type="character" w:customStyle="1" w:styleId="apple-converted-space">
    <w:name w:val="apple-converted-space"/>
    <w:basedOn w:val="DefaultParagraphFont"/>
    <w:rsid w:val="000321E4"/>
  </w:style>
  <w:style w:type="paragraph" w:styleId="Header">
    <w:name w:val="header"/>
    <w:basedOn w:val="Normal"/>
    <w:link w:val="HeaderChar"/>
    <w:uiPriority w:val="99"/>
    <w:unhideWhenUsed/>
    <w:rsid w:val="008C117E"/>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8C117E"/>
    <w:rPr>
      <w:rFonts w:ascii="CG Times" w:eastAsia="Times New Roman" w:hAnsi="CG Times" w:cs="Times New Roman"/>
      <w:szCs w:val="20"/>
      <w:lang w:val="es-ES"/>
    </w:rPr>
  </w:style>
  <w:style w:type="paragraph" w:styleId="Footer">
    <w:name w:val="footer"/>
    <w:basedOn w:val="Normal"/>
    <w:link w:val="FooterChar"/>
    <w:uiPriority w:val="99"/>
    <w:unhideWhenUsed/>
    <w:rsid w:val="008C117E"/>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8C117E"/>
    <w:rPr>
      <w:rFonts w:ascii="CG Times" w:eastAsia="Times New Roman" w:hAnsi="CG Times" w:cs="Times New Roman"/>
      <w:szCs w:val="20"/>
      <w:lang w:val="es-ES"/>
    </w:rPr>
  </w:style>
  <w:style w:type="character" w:styleId="CommentReference">
    <w:name w:val="annotation reference"/>
    <w:basedOn w:val="DefaultParagraphFont"/>
    <w:uiPriority w:val="99"/>
    <w:semiHidden/>
    <w:unhideWhenUsed/>
    <w:rsid w:val="007A7440"/>
    <w:rPr>
      <w:sz w:val="16"/>
      <w:szCs w:val="16"/>
    </w:rPr>
  </w:style>
  <w:style w:type="paragraph" w:styleId="CommentText">
    <w:name w:val="annotation text"/>
    <w:basedOn w:val="Normal"/>
    <w:link w:val="CommentTextChar"/>
    <w:uiPriority w:val="99"/>
    <w:unhideWhenUsed/>
    <w:rsid w:val="007A7440"/>
    <w:rPr>
      <w:sz w:val="20"/>
    </w:rPr>
  </w:style>
  <w:style w:type="character" w:customStyle="1" w:styleId="CommentTextChar">
    <w:name w:val="Comment Text Char"/>
    <w:basedOn w:val="DefaultParagraphFont"/>
    <w:link w:val="CommentText"/>
    <w:uiPriority w:val="99"/>
    <w:rsid w:val="007A7440"/>
    <w:rPr>
      <w:rFonts w:ascii="CG Times" w:eastAsia="Times New Roman" w:hAnsi="CG Times"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7A7440"/>
    <w:rPr>
      <w:b/>
      <w:bCs/>
    </w:rPr>
  </w:style>
  <w:style w:type="character" w:customStyle="1" w:styleId="CommentSubjectChar">
    <w:name w:val="Comment Subject Char"/>
    <w:basedOn w:val="CommentTextChar"/>
    <w:link w:val="CommentSubject"/>
    <w:uiPriority w:val="99"/>
    <w:semiHidden/>
    <w:rsid w:val="007A7440"/>
    <w:rPr>
      <w:rFonts w:ascii="CG Times" w:eastAsia="Times New Roman" w:hAnsi="CG Times" w:cs="Times New Roman"/>
      <w:b/>
      <w:bCs/>
      <w:sz w:val="20"/>
      <w:szCs w:val="20"/>
      <w:lang w:val="es-ES"/>
    </w:rPr>
  </w:style>
  <w:style w:type="paragraph" w:styleId="BalloonText">
    <w:name w:val="Balloon Text"/>
    <w:basedOn w:val="Normal"/>
    <w:link w:val="BalloonTextChar"/>
    <w:uiPriority w:val="99"/>
    <w:semiHidden/>
    <w:unhideWhenUsed/>
    <w:rsid w:val="007A7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440"/>
    <w:rPr>
      <w:rFonts w:ascii="Segoe UI" w:eastAsia="Times New Roman" w:hAnsi="Segoe UI" w:cs="Segoe UI"/>
      <w:sz w:val="18"/>
      <w:szCs w:val="18"/>
      <w:lang w:val="es-ES"/>
    </w:rPr>
  </w:style>
  <w:style w:type="paragraph" w:customStyle="1" w:styleId="paragraph">
    <w:name w:val="paragraph"/>
    <w:basedOn w:val="Normal"/>
    <w:rsid w:val="00B820B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character" w:customStyle="1" w:styleId="eop">
    <w:name w:val="eop"/>
    <w:basedOn w:val="DefaultParagraphFont"/>
    <w:rsid w:val="00B8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18047">
      <w:bodyDiv w:val="1"/>
      <w:marLeft w:val="0"/>
      <w:marRight w:val="0"/>
      <w:marTop w:val="0"/>
      <w:marBottom w:val="0"/>
      <w:divBdr>
        <w:top w:val="none" w:sz="0" w:space="0" w:color="auto"/>
        <w:left w:val="none" w:sz="0" w:space="0" w:color="auto"/>
        <w:bottom w:val="none" w:sz="0" w:space="0" w:color="auto"/>
        <w:right w:val="none" w:sz="0" w:space="0" w:color="auto"/>
      </w:divBdr>
      <w:divsChild>
        <w:div w:id="417101141">
          <w:marLeft w:val="0"/>
          <w:marRight w:val="0"/>
          <w:marTop w:val="0"/>
          <w:marBottom w:val="0"/>
          <w:divBdr>
            <w:top w:val="none" w:sz="0" w:space="0" w:color="auto"/>
            <w:left w:val="none" w:sz="0" w:space="0" w:color="auto"/>
            <w:bottom w:val="none" w:sz="0" w:space="0" w:color="auto"/>
            <w:right w:val="none" w:sz="0" w:space="0" w:color="auto"/>
          </w:divBdr>
        </w:div>
        <w:div w:id="1748191754">
          <w:marLeft w:val="0"/>
          <w:marRight w:val="0"/>
          <w:marTop w:val="0"/>
          <w:marBottom w:val="0"/>
          <w:divBdr>
            <w:top w:val="none" w:sz="0" w:space="0" w:color="auto"/>
            <w:left w:val="none" w:sz="0" w:space="0" w:color="auto"/>
            <w:bottom w:val="none" w:sz="0" w:space="0" w:color="auto"/>
            <w:right w:val="none" w:sz="0" w:space="0" w:color="auto"/>
          </w:divBdr>
        </w:div>
        <w:div w:id="1984045760">
          <w:marLeft w:val="0"/>
          <w:marRight w:val="0"/>
          <w:marTop w:val="0"/>
          <w:marBottom w:val="0"/>
          <w:divBdr>
            <w:top w:val="none" w:sz="0" w:space="0" w:color="auto"/>
            <w:left w:val="none" w:sz="0" w:space="0" w:color="auto"/>
            <w:bottom w:val="none" w:sz="0" w:space="0" w:color="auto"/>
            <w:right w:val="none" w:sz="0" w:space="0" w:color="auto"/>
          </w:divBdr>
        </w:div>
      </w:divsChild>
    </w:div>
    <w:div w:id="959842849">
      <w:bodyDiv w:val="1"/>
      <w:marLeft w:val="0"/>
      <w:marRight w:val="0"/>
      <w:marTop w:val="0"/>
      <w:marBottom w:val="0"/>
      <w:divBdr>
        <w:top w:val="none" w:sz="0" w:space="0" w:color="auto"/>
        <w:left w:val="none" w:sz="0" w:space="0" w:color="auto"/>
        <w:bottom w:val="none" w:sz="0" w:space="0" w:color="auto"/>
        <w:right w:val="none" w:sz="0" w:space="0" w:color="auto"/>
      </w:divBdr>
    </w:div>
    <w:div w:id="1003892519">
      <w:bodyDiv w:val="1"/>
      <w:marLeft w:val="0"/>
      <w:marRight w:val="0"/>
      <w:marTop w:val="0"/>
      <w:marBottom w:val="0"/>
      <w:divBdr>
        <w:top w:val="none" w:sz="0" w:space="0" w:color="auto"/>
        <w:left w:val="none" w:sz="0" w:space="0" w:color="auto"/>
        <w:bottom w:val="none" w:sz="0" w:space="0" w:color="auto"/>
        <w:right w:val="none" w:sz="0" w:space="0" w:color="auto"/>
      </w:divBdr>
    </w:div>
    <w:div w:id="1674063323">
      <w:bodyDiv w:val="1"/>
      <w:marLeft w:val="0"/>
      <w:marRight w:val="0"/>
      <w:marTop w:val="0"/>
      <w:marBottom w:val="0"/>
      <w:divBdr>
        <w:top w:val="none" w:sz="0" w:space="0" w:color="auto"/>
        <w:left w:val="none" w:sz="0" w:space="0" w:color="auto"/>
        <w:bottom w:val="none" w:sz="0" w:space="0" w:color="auto"/>
        <w:right w:val="none" w:sz="0" w:space="0" w:color="auto"/>
      </w:divBdr>
    </w:div>
    <w:div w:id="1694841586">
      <w:bodyDiv w:val="1"/>
      <w:marLeft w:val="0"/>
      <w:marRight w:val="0"/>
      <w:marTop w:val="0"/>
      <w:marBottom w:val="0"/>
      <w:divBdr>
        <w:top w:val="none" w:sz="0" w:space="0" w:color="auto"/>
        <w:left w:val="none" w:sz="0" w:space="0" w:color="auto"/>
        <w:bottom w:val="none" w:sz="0" w:space="0" w:color="auto"/>
        <w:right w:val="none" w:sz="0" w:space="0" w:color="auto"/>
      </w:divBdr>
    </w:div>
    <w:div w:id="193694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25A34-D973-4370-B09F-85E5AC21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1305</Words>
  <Characters>7442</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Treppel, Alison</dc:creator>
  <cp:lastModifiedBy>Burbano, Carmela</cp:lastModifiedBy>
  <cp:revision>4</cp:revision>
  <cp:lastPrinted>2022-07-18T21:25:00Z</cp:lastPrinted>
  <dcterms:created xsi:type="dcterms:W3CDTF">2022-07-29T14:51:00Z</dcterms:created>
  <dcterms:modified xsi:type="dcterms:W3CDTF">2022-07-29T15:17:00Z</dcterms:modified>
</cp:coreProperties>
</file>