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85B2" w14:textId="27B671AC" w:rsidR="008E05E8" w:rsidRPr="00567368" w:rsidRDefault="008E05E8" w:rsidP="008E05E8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567368">
        <w:rPr>
          <w:b/>
          <w:bC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EAB446A" wp14:editId="5A67A394">
            <wp:simplePos x="0" y="0"/>
            <wp:positionH relativeFrom="column">
              <wp:posOffset>83185</wp:posOffset>
            </wp:positionH>
            <wp:positionV relativeFrom="paragraph">
              <wp:posOffset>-914400</wp:posOffset>
            </wp:positionV>
            <wp:extent cx="2258695" cy="639445"/>
            <wp:effectExtent l="0" t="0" r="8255" b="8255"/>
            <wp:wrapNone/>
            <wp:docPr id="3" name="Picture 8" descr="OEA-ESP-Main-CICT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EA-ESP-Main-CICTE-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368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3CABB8F" w14:textId="77777777" w:rsidR="008E05E8" w:rsidRPr="00567368" w:rsidRDefault="008E05E8" w:rsidP="008E05E8">
      <w:pPr>
        <w:tabs>
          <w:tab w:val="left" w:pos="7200"/>
        </w:tabs>
        <w:rPr>
          <w:sz w:val="22"/>
          <w:szCs w:val="22"/>
          <w:lang w:val="es-ES_tradnl"/>
        </w:rPr>
      </w:pPr>
    </w:p>
    <w:p w14:paraId="638A11C6" w14:textId="57F6E6BF" w:rsidR="008E05E8" w:rsidRPr="00567368" w:rsidRDefault="008E05E8" w:rsidP="008E05E8">
      <w:pPr>
        <w:tabs>
          <w:tab w:val="left" w:pos="7200"/>
        </w:tabs>
        <w:rPr>
          <w:sz w:val="22"/>
          <w:szCs w:val="22"/>
          <w:lang w:val="es-AR"/>
        </w:rPr>
      </w:pPr>
      <w:r w:rsidRPr="00567368">
        <w:rPr>
          <w:sz w:val="22"/>
          <w:szCs w:val="22"/>
          <w:lang w:val="es-AR"/>
        </w:rPr>
        <w:t>VIGÉSIMO SEGUNDO PERÍODO ORDINARIO DE SESIONES</w:t>
      </w:r>
      <w:r w:rsidRPr="00567368">
        <w:rPr>
          <w:sz w:val="22"/>
          <w:szCs w:val="22"/>
          <w:lang w:val="es-AR"/>
        </w:rPr>
        <w:tab/>
        <w:t>OEA/</w:t>
      </w:r>
      <w:proofErr w:type="spellStart"/>
      <w:r w:rsidRPr="00567368">
        <w:rPr>
          <w:sz w:val="22"/>
          <w:szCs w:val="22"/>
          <w:lang w:val="es-AR"/>
        </w:rPr>
        <w:t>Ser.L</w:t>
      </w:r>
      <w:proofErr w:type="spellEnd"/>
      <w:r w:rsidRPr="00567368">
        <w:rPr>
          <w:sz w:val="22"/>
          <w:szCs w:val="22"/>
          <w:lang w:val="es-AR"/>
        </w:rPr>
        <w:t>/X.2.22</w:t>
      </w:r>
    </w:p>
    <w:p w14:paraId="42D8B4F1" w14:textId="0C97305F" w:rsidR="008E05E8" w:rsidRPr="00567368" w:rsidRDefault="008E05E8" w:rsidP="008E05E8">
      <w:pPr>
        <w:tabs>
          <w:tab w:val="left" w:pos="7200"/>
        </w:tabs>
        <w:ind w:right="-1109"/>
        <w:rPr>
          <w:sz w:val="22"/>
          <w:szCs w:val="22"/>
          <w:lang w:val="es-AR"/>
        </w:rPr>
      </w:pPr>
      <w:r w:rsidRPr="00567368">
        <w:rPr>
          <w:sz w:val="22"/>
          <w:szCs w:val="22"/>
          <w:lang w:val="es-AR"/>
        </w:rPr>
        <w:t>27 julio de 2022</w:t>
      </w:r>
      <w:r w:rsidRPr="00567368">
        <w:rPr>
          <w:sz w:val="22"/>
          <w:szCs w:val="22"/>
          <w:lang w:val="es-AR"/>
        </w:rPr>
        <w:tab/>
        <w:t>CICTE/doc.6/22</w:t>
      </w:r>
      <w:r w:rsidR="00567368" w:rsidRPr="00567368">
        <w:rPr>
          <w:sz w:val="22"/>
          <w:szCs w:val="22"/>
          <w:lang w:val="es-AR"/>
        </w:rPr>
        <w:t xml:space="preserve"> </w:t>
      </w:r>
      <w:proofErr w:type="spellStart"/>
      <w:r w:rsidR="00567368" w:rsidRPr="00567368">
        <w:rPr>
          <w:sz w:val="22"/>
          <w:szCs w:val="22"/>
          <w:lang w:val="es-AR"/>
        </w:rPr>
        <w:t>rev.</w:t>
      </w:r>
      <w:proofErr w:type="spellEnd"/>
      <w:r w:rsidR="00567368" w:rsidRPr="00567368">
        <w:rPr>
          <w:sz w:val="22"/>
          <w:szCs w:val="22"/>
          <w:lang w:val="es-AR"/>
        </w:rPr>
        <w:t xml:space="preserve"> 1</w:t>
      </w:r>
    </w:p>
    <w:p w14:paraId="0EA25D7E" w14:textId="1DDDCAD4" w:rsidR="008E05E8" w:rsidRPr="00567368" w:rsidRDefault="008E05E8" w:rsidP="008E05E8">
      <w:pPr>
        <w:tabs>
          <w:tab w:val="left" w:pos="7200"/>
        </w:tabs>
        <w:rPr>
          <w:sz w:val="22"/>
          <w:szCs w:val="22"/>
          <w:lang w:val="es-AR"/>
        </w:rPr>
      </w:pPr>
      <w:r w:rsidRPr="00567368">
        <w:rPr>
          <w:sz w:val="22"/>
          <w:szCs w:val="22"/>
          <w:lang w:val="es-AR"/>
        </w:rPr>
        <w:t>Washington, D.C</w:t>
      </w:r>
      <w:r w:rsidRPr="00567368">
        <w:rPr>
          <w:sz w:val="22"/>
          <w:szCs w:val="22"/>
          <w:lang w:val="es-AR"/>
        </w:rPr>
        <w:tab/>
      </w:r>
      <w:r w:rsidR="00567368" w:rsidRPr="00567368">
        <w:rPr>
          <w:sz w:val="22"/>
          <w:szCs w:val="22"/>
          <w:lang w:val="es-AR"/>
        </w:rPr>
        <w:t>27</w:t>
      </w:r>
      <w:r w:rsidRPr="00567368">
        <w:rPr>
          <w:sz w:val="22"/>
          <w:szCs w:val="22"/>
          <w:lang w:val="es-AR"/>
        </w:rPr>
        <w:t xml:space="preserve"> julio 2022</w:t>
      </w:r>
    </w:p>
    <w:p w14:paraId="05E95962" w14:textId="77777777" w:rsidR="008E05E8" w:rsidRPr="00567368" w:rsidRDefault="008E05E8" w:rsidP="008E05E8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  <w:r w:rsidRPr="00567368">
        <w:rPr>
          <w:sz w:val="22"/>
          <w:szCs w:val="22"/>
          <w:lang w:val="es-AR"/>
        </w:rPr>
        <w:tab/>
        <w:t>Original: español</w:t>
      </w:r>
    </w:p>
    <w:p w14:paraId="5C3C55A2" w14:textId="78386CE4" w:rsidR="005B741B" w:rsidRPr="00567368" w:rsidRDefault="005B741B" w:rsidP="134984BE">
      <w:pPr>
        <w:jc w:val="center"/>
        <w:rPr>
          <w:caps/>
          <w:sz w:val="22"/>
          <w:szCs w:val="22"/>
          <w:lang w:val="es-AR"/>
        </w:rPr>
      </w:pPr>
    </w:p>
    <w:p w14:paraId="5AC03DC4" w14:textId="77777777" w:rsidR="005B741B" w:rsidRPr="00567368" w:rsidRDefault="005B741B" w:rsidP="134984BE">
      <w:pPr>
        <w:jc w:val="center"/>
        <w:rPr>
          <w:caps/>
          <w:sz w:val="22"/>
          <w:szCs w:val="22"/>
          <w:lang w:val="es-AR"/>
        </w:rPr>
      </w:pPr>
    </w:p>
    <w:p w14:paraId="70833E44" w14:textId="77777777" w:rsidR="005B741B" w:rsidRPr="00567368" w:rsidRDefault="005B741B" w:rsidP="134984BE">
      <w:pPr>
        <w:jc w:val="center"/>
        <w:rPr>
          <w:caps/>
          <w:sz w:val="22"/>
          <w:szCs w:val="22"/>
          <w:lang w:val="es-AR"/>
        </w:rPr>
      </w:pPr>
    </w:p>
    <w:p w14:paraId="60D5BC4E" w14:textId="750C9ED6" w:rsidR="005B741B" w:rsidRPr="00567368" w:rsidRDefault="005B741B" w:rsidP="134984BE">
      <w:pPr>
        <w:jc w:val="center"/>
        <w:rPr>
          <w:caps/>
          <w:sz w:val="22"/>
          <w:szCs w:val="22"/>
          <w:lang w:val="es-AR"/>
        </w:rPr>
      </w:pPr>
    </w:p>
    <w:p w14:paraId="003674F4" w14:textId="5CFC2433" w:rsidR="005B741B" w:rsidRPr="00567368" w:rsidRDefault="005B741B" w:rsidP="134984BE">
      <w:pPr>
        <w:jc w:val="center"/>
        <w:rPr>
          <w:caps/>
          <w:sz w:val="22"/>
          <w:szCs w:val="22"/>
          <w:lang w:val="es-AR"/>
        </w:rPr>
      </w:pPr>
    </w:p>
    <w:p w14:paraId="50059391" w14:textId="00FAEFC1" w:rsidR="005B741B" w:rsidRPr="00567368" w:rsidRDefault="005B741B" w:rsidP="134984BE">
      <w:pPr>
        <w:jc w:val="center"/>
        <w:rPr>
          <w:caps/>
          <w:sz w:val="22"/>
          <w:szCs w:val="22"/>
          <w:lang w:val="es-AR"/>
        </w:rPr>
      </w:pPr>
    </w:p>
    <w:p w14:paraId="35CC7CEE" w14:textId="00E18AB0" w:rsidR="005B741B" w:rsidRPr="00567368" w:rsidRDefault="005B741B" w:rsidP="134984BE">
      <w:pPr>
        <w:jc w:val="center"/>
        <w:rPr>
          <w:caps/>
          <w:sz w:val="22"/>
          <w:szCs w:val="22"/>
          <w:lang w:val="es-AR"/>
        </w:rPr>
      </w:pPr>
    </w:p>
    <w:p w14:paraId="679220CE" w14:textId="6EC356AF" w:rsidR="005B741B" w:rsidRPr="00567368" w:rsidRDefault="005B741B" w:rsidP="134984BE">
      <w:pPr>
        <w:jc w:val="center"/>
        <w:rPr>
          <w:caps/>
          <w:sz w:val="22"/>
          <w:szCs w:val="22"/>
          <w:lang w:val="es-AR"/>
        </w:rPr>
      </w:pPr>
    </w:p>
    <w:p w14:paraId="56E16904" w14:textId="20869898" w:rsidR="008926BA" w:rsidRPr="00567368" w:rsidRDefault="008926BA" w:rsidP="134984BE">
      <w:pPr>
        <w:jc w:val="center"/>
        <w:rPr>
          <w:caps/>
          <w:sz w:val="22"/>
          <w:szCs w:val="22"/>
          <w:lang w:val="es-AR"/>
        </w:rPr>
      </w:pPr>
    </w:p>
    <w:p w14:paraId="6698C666" w14:textId="0E002654" w:rsidR="008926BA" w:rsidRPr="00567368" w:rsidRDefault="008926BA" w:rsidP="134984BE">
      <w:pPr>
        <w:jc w:val="center"/>
        <w:rPr>
          <w:caps/>
          <w:sz w:val="22"/>
          <w:szCs w:val="22"/>
          <w:lang w:val="es-AR"/>
        </w:rPr>
      </w:pPr>
    </w:p>
    <w:p w14:paraId="36CB0DE0" w14:textId="26E02E68" w:rsidR="008926BA" w:rsidRPr="00567368" w:rsidRDefault="008926BA" w:rsidP="134984BE">
      <w:pPr>
        <w:jc w:val="center"/>
        <w:rPr>
          <w:caps/>
          <w:sz w:val="22"/>
          <w:szCs w:val="22"/>
          <w:lang w:val="es-AR"/>
        </w:rPr>
      </w:pPr>
    </w:p>
    <w:p w14:paraId="01611211" w14:textId="77777777" w:rsidR="008926BA" w:rsidRPr="00567368" w:rsidRDefault="008926BA" w:rsidP="134984BE">
      <w:pPr>
        <w:jc w:val="center"/>
        <w:rPr>
          <w:caps/>
          <w:sz w:val="22"/>
          <w:szCs w:val="22"/>
          <w:lang w:val="es-AR"/>
        </w:rPr>
      </w:pPr>
    </w:p>
    <w:p w14:paraId="0F820AA3" w14:textId="0ADEBB34" w:rsidR="005B741B" w:rsidRPr="00567368" w:rsidRDefault="005B741B" w:rsidP="134984BE">
      <w:pPr>
        <w:jc w:val="center"/>
        <w:rPr>
          <w:caps/>
          <w:sz w:val="22"/>
          <w:szCs w:val="22"/>
          <w:lang w:val="es-AR"/>
        </w:rPr>
      </w:pPr>
    </w:p>
    <w:p w14:paraId="1DC05EE8" w14:textId="77777777" w:rsidR="005B741B" w:rsidRPr="00567368" w:rsidRDefault="005B741B" w:rsidP="134984BE">
      <w:pPr>
        <w:jc w:val="center"/>
        <w:rPr>
          <w:caps/>
          <w:sz w:val="22"/>
          <w:szCs w:val="22"/>
          <w:lang w:val="es-AR"/>
        </w:rPr>
      </w:pPr>
    </w:p>
    <w:p w14:paraId="33B6B821" w14:textId="77777777" w:rsidR="005B741B" w:rsidRPr="00567368" w:rsidRDefault="005B741B" w:rsidP="134984BE">
      <w:pPr>
        <w:jc w:val="center"/>
        <w:rPr>
          <w:caps/>
          <w:sz w:val="22"/>
          <w:szCs w:val="22"/>
          <w:lang w:val="es-AR"/>
        </w:rPr>
      </w:pPr>
    </w:p>
    <w:p w14:paraId="6BD4596B" w14:textId="60BAE727" w:rsidR="00D06CE9" w:rsidRPr="00567368" w:rsidRDefault="00294263" w:rsidP="134984BE">
      <w:pPr>
        <w:jc w:val="center"/>
        <w:rPr>
          <w:sz w:val="22"/>
          <w:szCs w:val="22"/>
          <w:lang w:val="es-ES"/>
        </w:rPr>
      </w:pPr>
      <w:r w:rsidRPr="00567368">
        <w:rPr>
          <w:sz w:val="22"/>
          <w:szCs w:val="22"/>
          <w:lang w:val="es-ES"/>
        </w:rPr>
        <w:t>PLAN DE TRABAJO 2022-2023</w:t>
      </w:r>
    </w:p>
    <w:p w14:paraId="4ACF739E" w14:textId="77777777" w:rsidR="00D06CE9" w:rsidRPr="00567368" w:rsidRDefault="00D06CE9" w:rsidP="00294263">
      <w:pPr>
        <w:jc w:val="center"/>
        <w:rPr>
          <w:bCs/>
          <w:sz w:val="22"/>
          <w:szCs w:val="22"/>
          <w:lang w:val="es-ES"/>
        </w:rPr>
      </w:pPr>
      <w:r w:rsidRPr="00567368">
        <w:rPr>
          <w:bCs/>
          <w:sz w:val="22"/>
          <w:szCs w:val="22"/>
          <w:lang w:val="es-ES"/>
        </w:rPr>
        <w:t>DE LA SECRETARIA DEL COMITÉ INTERAMERICANO CONTRA EL TERRORISMO</w:t>
      </w:r>
    </w:p>
    <w:p w14:paraId="5FC0E27A" w14:textId="25F3CA36" w:rsidR="00567368" w:rsidRPr="00567368" w:rsidRDefault="00567368" w:rsidP="00567368">
      <w:pPr>
        <w:pStyle w:val="NormalWeb"/>
        <w:jc w:val="center"/>
        <w:rPr>
          <w:rFonts w:ascii="Times New Roman" w:hAnsi="Times New Roman" w:cs="Times New Roman"/>
          <w:lang w:val="es-US"/>
        </w:rPr>
      </w:pPr>
      <w:r w:rsidRPr="00567368">
        <w:rPr>
          <w:rFonts w:ascii="Times New Roman" w:hAnsi="Times New Roman" w:cs="Times New Roman"/>
          <w:lang w:val="es-US"/>
        </w:rPr>
        <w:t>(Aprobado durante la tercera sesión plenaria celebrada el 27 de julio de 2022)</w:t>
      </w:r>
    </w:p>
    <w:p w14:paraId="0EB4FCC9" w14:textId="77777777" w:rsidR="005B741B" w:rsidRPr="00567368" w:rsidRDefault="005B741B" w:rsidP="00294263">
      <w:pPr>
        <w:jc w:val="center"/>
        <w:rPr>
          <w:bCs/>
          <w:sz w:val="22"/>
          <w:szCs w:val="22"/>
          <w:lang w:val="es-US"/>
        </w:rPr>
        <w:sectPr w:rsidR="005B741B" w:rsidRPr="00567368" w:rsidSect="008E05E8"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2160" w:right="1570" w:bottom="1296" w:left="1699" w:header="720" w:footer="720" w:gutter="0"/>
          <w:pgNumType w:fmt="numberInDash"/>
          <w:cols w:space="720"/>
          <w:titlePg/>
          <w:docGrid w:linePitch="360"/>
        </w:sectPr>
      </w:pPr>
    </w:p>
    <w:p w14:paraId="52A7E0F6" w14:textId="7D42AF96" w:rsidR="005B741B" w:rsidRPr="00567368" w:rsidRDefault="005B741B" w:rsidP="005B741B">
      <w:pPr>
        <w:jc w:val="center"/>
        <w:rPr>
          <w:sz w:val="22"/>
          <w:szCs w:val="22"/>
          <w:lang w:val="es-ES"/>
        </w:rPr>
      </w:pPr>
      <w:r w:rsidRPr="00567368">
        <w:rPr>
          <w:sz w:val="22"/>
          <w:szCs w:val="22"/>
          <w:lang w:val="es-ES"/>
        </w:rPr>
        <w:lastRenderedPageBreak/>
        <w:t>PLAN DE TRABAJO 2022-2023</w:t>
      </w:r>
    </w:p>
    <w:p w14:paraId="0D6E15DC" w14:textId="77777777" w:rsidR="005B741B" w:rsidRPr="00567368" w:rsidRDefault="005B741B" w:rsidP="005B741B">
      <w:pPr>
        <w:jc w:val="center"/>
        <w:rPr>
          <w:bCs/>
          <w:sz w:val="22"/>
          <w:szCs w:val="22"/>
          <w:lang w:val="es-ES"/>
        </w:rPr>
      </w:pPr>
      <w:r w:rsidRPr="00567368">
        <w:rPr>
          <w:bCs/>
          <w:sz w:val="22"/>
          <w:szCs w:val="22"/>
          <w:lang w:val="es-ES"/>
        </w:rPr>
        <w:t>DE LA SECRETARIA DEL COMITÉ INTERAMERICANO CONTRA EL TERRORISMO</w:t>
      </w:r>
    </w:p>
    <w:p w14:paraId="395A8C71" w14:textId="0119220E" w:rsidR="00567368" w:rsidRPr="00567368" w:rsidRDefault="00567368" w:rsidP="00567368">
      <w:pPr>
        <w:pStyle w:val="NormalWeb"/>
        <w:jc w:val="center"/>
        <w:rPr>
          <w:rFonts w:ascii="Times New Roman" w:hAnsi="Times New Roman" w:cs="Times New Roman"/>
          <w:lang w:val="es-US"/>
        </w:rPr>
      </w:pPr>
      <w:r w:rsidRPr="00567368">
        <w:rPr>
          <w:rFonts w:ascii="Times New Roman" w:hAnsi="Times New Roman" w:cs="Times New Roman"/>
          <w:lang w:val="es-US"/>
        </w:rPr>
        <w:t>(Aprobado durante la tercera sesión plenaria celebrada el 27 de julio de 2022)</w:t>
      </w:r>
    </w:p>
    <w:p w14:paraId="43330D04" w14:textId="77777777" w:rsidR="004A4AA6" w:rsidRPr="00567368" w:rsidRDefault="004A4AA6" w:rsidP="00294263">
      <w:pPr>
        <w:jc w:val="center"/>
        <w:rPr>
          <w:bCs/>
          <w:sz w:val="22"/>
          <w:szCs w:val="22"/>
          <w:lang w:val="es-ES"/>
        </w:rPr>
      </w:pPr>
    </w:p>
    <w:p w14:paraId="274808E0" w14:textId="77777777" w:rsidR="00FE713F" w:rsidRPr="00567368" w:rsidRDefault="00FE713F" w:rsidP="00FE713F">
      <w:pPr>
        <w:jc w:val="both"/>
        <w:rPr>
          <w:b/>
          <w:bCs/>
          <w:sz w:val="22"/>
          <w:szCs w:val="22"/>
          <w:lang w:val="es-EC"/>
        </w:rPr>
      </w:pPr>
      <w:r w:rsidRPr="00567368">
        <w:rPr>
          <w:b/>
          <w:bCs/>
          <w:sz w:val="22"/>
          <w:szCs w:val="22"/>
          <w:lang w:val="es-EC"/>
        </w:rPr>
        <w:t>I.</w:t>
      </w:r>
      <w:r w:rsidRPr="00567368">
        <w:rPr>
          <w:b/>
          <w:bCs/>
          <w:sz w:val="22"/>
          <w:szCs w:val="22"/>
          <w:lang w:val="es-EC"/>
        </w:rPr>
        <w:tab/>
        <w:t xml:space="preserve">Introducción </w:t>
      </w:r>
    </w:p>
    <w:p w14:paraId="11894BE0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sz w:val="22"/>
          <w:szCs w:val="22"/>
          <w:lang w:val="es-ES"/>
        </w:rPr>
        <w:tab/>
      </w:r>
    </w:p>
    <w:p w14:paraId="161D0F1B" w14:textId="601A345F" w:rsidR="00FE713F" w:rsidRPr="00567368" w:rsidRDefault="00FE713F" w:rsidP="134984BE">
      <w:pPr>
        <w:ind w:firstLine="720"/>
        <w:jc w:val="both"/>
        <w:rPr>
          <w:sz w:val="22"/>
          <w:szCs w:val="22"/>
          <w:lang w:val="es-CO"/>
        </w:rPr>
      </w:pPr>
      <w:r w:rsidRPr="00567368">
        <w:rPr>
          <w:sz w:val="22"/>
          <w:szCs w:val="22"/>
          <w:lang w:val="es-CO"/>
        </w:rPr>
        <w:t xml:space="preserve">La Secretaría del CICTE presenta la propuesta de plan de trabajo </w:t>
      </w:r>
      <w:r w:rsidR="004F78B0" w:rsidRPr="00567368">
        <w:rPr>
          <w:sz w:val="22"/>
          <w:szCs w:val="22"/>
          <w:lang w:val="es-CO"/>
        </w:rPr>
        <w:t>d</w:t>
      </w:r>
      <w:r w:rsidRPr="00567368">
        <w:rPr>
          <w:sz w:val="22"/>
          <w:szCs w:val="22"/>
          <w:lang w:val="es-CO"/>
        </w:rPr>
        <w:t>el período</w:t>
      </w:r>
      <w:r w:rsidRPr="00567368">
        <w:rPr>
          <w:sz w:val="22"/>
          <w:szCs w:val="22"/>
          <w:lang w:val="es-ES"/>
        </w:rPr>
        <w:t xml:space="preserve"> 202</w:t>
      </w:r>
      <w:r w:rsidR="004C6BB5" w:rsidRPr="00567368">
        <w:rPr>
          <w:sz w:val="22"/>
          <w:szCs w:val="22"/>
          <w:lang w:val="es-ES"/>
        </w:rPr>
        <w:t>2</w:t>
      </w:r>
      <w:r w:rsidRPr="00567368">
        <w:rPr>
          <w:sz w:val="22"/>
          <w:szCs w:val="22"/>
          <w:lang w:val="es-ES"/>
        </w:rPr>
        <w:t>-202</w:t>
      </w:r>
      <w:r w:rsidR="004C6BB5" w:rsidRPr="00567368">
        <w:rPr>
          <w:sz w:val="22"/>
          <w:szCs w:val="22"/>
          <w:lang w:val="es-ES"/>
        </w:rPr>
        <w:t>3</w:t>
      </w:r>
      <w:r w:rsidRPr="00567368">
        <w:rPr>
          <w:sz w:val="22"/>
          <w:szCs w:val="22"/>
          <w:lang w:val="es-ES"/>
        </w:rPr>
        <w:t xml:space="preserve"> </w:t>
      </w:r>
      <w:r w:rsidR="00F75FCD" w:rsidRPr="00567368">
        <w:rPr>
          <w:sz w:val="22"/>
          <w:szCs w:val="22"/>
          <w:lang w:val="es-CO"/>
        </w:rPr>
        <w:t xml:space="preserve">para </w:t>
      </w:r>
      <w:r w:rsidRPr="00567368">
        <w:rPr>
          <w:sz w:val="22"/>
          <w:szCs w:val="22"/>
          <w:lang w:val="es-CO"/>
        </w:rPr>
        <w:t>continua</w:t>
      </w:r>
      <w:r w:rsidR="00F75FCD" w:rsidRPr="00567368">
        <w:rPr>
          <w:sz w:val="22"/>
          <w:szCs w:val="22"/>
          <w:lang w:val="es-CO"/>
        </w:rPr>
        <w:t xml:space="preserve">r </w:t>
      </w:r>
      <w:r w:rsidRPr="00567368">
        <w:rPr>
          <w:sz w:val="22"/>
          <w:szCs w:val="22"/>
          <w:lang w:val="es-CO"/>
        </w:rPr>
        <w:t xml:space="preserve">con el apoyo a los Estados miembros en los temas prioritarios y, a la vez, avanzar en el fortalecimiento de la capacidad de respuesta ante la diversidad de temas </w:t>
      </w:r>
      <w:r w:rsidR="004C6BB5" w:rsidRPr="00567368">
        <w:rPr>
          <w:sz w:val="22"/>
          <w:szCs w:val="22"/>
          <w:lang w:val="es-CO"/>
        </w:rPr>
        <w:t xml:space="preserve">actuales y </w:t>
      </w:r>
      <w:r w:rsidRPr="00567368">
        <w:rPr>
          <w:sz w:val="22"/>
          <w:szCs w:val="22"/>
          <w:lang w:val="es-CO"/>
        </w:rPr>
        <w:t>emergentes. La modalidad de trabajo será virtual</w:t>
      </w:r>
      <w:r w:rsidR="00B66590" w:rsidRPr="00567368">
        <w:rPr>
          <w:sz w:val="22"/>
          <w:szCs w:val="22"/>
          <w:lang w:val="es-CO"/>
        </w:rPr>
        <w:t xml:space="preserve">, presencial o </w:t>
      </w:r>
      <w:r w:rsidRPr="00567368">
        <w:rPr>
          <w:sz w:val="22"/>
          <w:szCs w:val="22"/>
          <w:lang w:val="es-CO"/>
        </w:rPr>
        <w:t xml:space="preserve">híbrida en la medida que sea factible </w:t>
      </w:r>
      <w:r w:rsidR="004F78B0" w:rsidRPr="00567368">
        <w:rPr>
          <w:sz w:val="22"/>
          <w:szCs w:val="22"/>
          <w:lang w:val="es-CO"/>
        </w:rPr>
        <w:t xml:space="preserve">ante </w:t>
      </w:r>
      <w:r w:rsidRPr="00567368">
        <w:rPr>
          <w:sz w:val="22"/>
          <w:szCs w:val="22"/>
          <w:lang w:val="es-CO"/>
        </w:rPr>
        <w:t xml:space="preserve">las condiciones sanitarias por la pandemia del COVID-19. </w:t>
      </w:r>
    </w:p>
    <w:p w14:paraId="506F138E" w14:textId="77777777" w:rsidR="00FE713F" w:rsidRPr="00567368" w:rsidRDefault="00FE713F" w:rsidP="00C4415C">
      <w:pPr>
        <w:jc w:val="both"/>
        <w:rPr>
          <w:bCs/>
          <w:sz w:val="22"/>
          <w:szCs w:val="22"/>
          <w:lang w:val="es-CO"/>
        </w:rPr>
      </w:pPr>
    </w:p>
    <w:p w14:paraId="61B66451" w14:textId="33F05D1B" w:rsidR="00A2031A" w:rsidRPr="00567368" w:rsidRDefault="00FE713F" w:rsidP="6687CCA9">
      <w:pPr>
        <w:ind w:firstLine="720"/>
        <w:jc w:val="both"/>
        <w:rPr>
          <w:sz w:val="22"/>
          <w:szCs w:val="22"/>
          <w:lang w:val="es-CO"/>
        </w:rPr>
      </w:pPr>
      <w:r w:rsidRPr="00567368">
        <w:rPr>
          <w:sz w:val="22"/>
          <w:szCs w:val="22"/>
          <w:lang w:val="es-CO"/>
        </w:rPr>
        <w:t xml:space="preserve">En el período comprendido para este plan de trabajo </w:t>
      </w:r>
      <w:r w:rsidR="006B41CE" w:rsidRPr="00567368">
        <w:rPr>
          <w:sz w:val="22"/>
          <w:szCs w:val="22"/>
          <w:lang w:val="es-CO"/>
        </w:rPr>
        <w:t xml:space="preserve">(septiembre </w:t>
      </w:r>
      <w:r w:rsidRPr="00567368">
        <w:rPr>
          <w:sz w:val="22"/>
          <w:szCs w:val="22"/>
          <w:lang w:val="es-CO"/>
        </w:rPr>
        <w:t>202</w:t>
      </w:r>
      <w:r w:rsidR="006B41CE" w:rsidRPr="00567368">
        <w:rPr>
          <w:sz w:val="22"/>
          <w:szCs w:val="22"/>
          <w:lang w:val="es-CO"/>
        </w:rPr>
        <w:t>2</w:t>
      </w:r>
      <w:r w:rsidRPr="00567368">
        <w:rPr>
          <w:sz w:val="22"/>
          <w:szCs w:val="22"/>
          <w:lang w:val="es-CO"/>
        </w:rPr>
        <w:t xml:space="preserve"> </w:t>
      </w:r>
      <w:r w:rsidR="0082687B" w:rsidRPr="00567368">
        <w:rPr>
          <w:sz w:val="22"/>
          <w:szCs w:val="22"/>
          <w:lang w:val="es-CO"/>
        </w:rPr>
        <w:t>–</w:t>
      </w:r>
      <w:r w:rsidR="006B41CE" w:rsidRPr="00567368">
        <w:rPr>
          <w:sz w:val="22"/>
          <w:szCs w:val="22"/>
          <w:lang w:val="es-CO"/>
        </w:rPr>
        <w:t xml:space="preserve"> diciembr</w:t>
      </w:r>
      <w:r w:rsidR="0082687B" w:rsidRPr="00567368">
        <w:rPr>
          <w:sz w:val="22"/>
          <w:szCs w:val="22"/>
          <w:lang w:val="es-CO"/>
        </w:rPr>
        <w:t xml:space="preserve">e </w:t>
      </w:r>
      <w:r w:rsidRPr="00567368">
        <w:rPr>
          <w:sz w:val="22"/>
          <w:szCs w:val="22"/>
          <w:lang w:val="es-CO"/>
        </w:rPr>
        <w:t>202</w:t>
      </w:r>
      <w:r w:rsidR="006B41CE" w:rsidRPr="00567368">
        <w:rPr>
          <w:sz w:val="22"/>
          <w:szCs w:val="22"/>
          <w:lang w:val="es-CO"/>
        </w:rPr>
        <w:t>3</w:t>
      </w:r>
      <w:r w:rsidR="0082687B" w:rsidRPr="00567368">
        <w:rPr>
          <w:sz w:val="22"/>
          <w:szCs w:val="22"/>
          <w:lang w:val="es-CO"/>
        </w:rPr>
        <w:t xml:space="preserve"> aproximadamente</w:t>
      </w:r>
      <w:r w:rsidRPr="00567368">
        <w:rPr>
          <w:sz w:val="22"/>
          <w:szCs w:val="22"/>
          <w:lang w:val="es-CO"/>
        </w:rPr>
        <w:t>), la Secretaría del Comité brindar</w:t>
      </w:r>
      <w:r w:rsidR="00374BEC" w:rsidRPr="00567368">
        <w:rPr>
          <w:sz w:val="22"/>
          <w:szCs w:val="22"/>
          <w:lang w:val="es-CO"/>
        </w:rPr>
        <w:t>á</w:t>
      </w:r>
      <w:r w:rsidRPr="00567368">
        <w:rPr>
          <w:sz w:val="22"/>
          <w:szCs w:val="22"/>
          <w:lang w:val="es-CO"/>
        </w:rPr>
        <w:t xml:space="preserve"> el soporte </w:t>
      </w:r>
      <w:r w:rsidR="00374BEC" w:rsidRPr="00567368">
        <w:rPr>
          <w:sz w:val="22"/>
          <w:szCs w:val="22"/>
          <w:lang w:val="es-CO"/>
        </w:rPr>
        <w:t xml:space="preserve">técnico </w:t>
      </w:r>
      <w:r w:rsidRPr="00567368">
        <w:rPr>
          <w:sz w:val="22"/>
          <w:szCs w:val="22"/>
          <w:lang w:val="es-CO"/>
        </w:rPr>
        <w:t>necesario</w:t>
      </w:r>
      <w:r w:rsidR="0087355E" w:rsidRPr="00567368">
        <w:rPr>
          <w:sz w:val="22"/>
          <w:szCs w:val="22"/>
          <w:lang w:val="es-CO"/>
        </w:rPr>
        <w:t xml:space="preserve"> para la realización de l</w:t>
      </w:r>
      <w:r w:rsidR="00A2031A" w:rsidRPr="00567368">
        <w:rPr>
          <w:sz w:val="22"/>
          <w:szCs w:val="22"/>
          <w:lang w:val="es-CO"/>
        </w:rPr>
        <w:t xml:space="preserve">a Primera </w:t>
      </w:r>
      <w:r w:rsidR="003F5467" w:rsidRPr="00567368">
        <w:rPr>
          <w:sz w:val="22"/>
          <w:szCs w:val="22"/>
          <w:lang w:val="es-CO"/>
        </w:rPr>
        <w:t>R</w:t>
      </w:r>
      <w:r w:rsidR="00A2031A" w:rsidRPr="00567368">
        <w:rPr>
          <w:sz w:val="22"/>
          <w:szCs w:val="22"/>
          <w:lang w:val="es-CO"/>
        </w:rPr>
        <w:t xml:space="preserve">eunión de </w:t>
      </w:r>
      <w:r w:rsidR="003F5467" w:rsidRPr="00567368">
        <w:rPr>
          <w:sz w:val="22"/>
          <w:szCs w:val="22"/>
          <w:lang w:val="es-CO"/>
        </w:rPr>
        <w:t>C</w:t>
      </w:r>
      <w:r w:rsidR="00A2031A" w:rsidRPr="00567368">
        <w:rPr>
          <w:sz w:val="22"/>
          <w:szCs w:val="22"/>
          <w:lang w:val="es-CO"/>
        </w:rPr>
        <w:t xml:space="preserve">onsulta de los Estados Parte de la Convención Interamericana contra el Terrorismo, el período ordinario de sesiones del Comité, </w:t>
      </w:r>
      <w:r w:rsidR="0087355E" w:rsidRPr="00567368">
        <w:rPr>
          <w:sz w:val="22"/>
          <w:szCs w:val="22"/>
          <w:lang w:val="es-CO"/>
        </w:rPr>
        <w:t xml:space="preserve">la reunión </w:t>
      </w:r>
      <w:r w:rsidR="00A2031A" w:rsidRPr="00567368">
        <w:rPr>
          <w:sz w:val="22"/>
          <w:szCs w:val="22"/>
          <w:lang w:val="es-CO"/>
        </w:rPr>
        <w:t>del Grupo de Trabajo sobre medidas de fomento de la confianza</w:t>
      </w:r>
      <w:r w:rsidR="00A2031A" w:rsidRPr="00567368">
        <w:rPr>
          <w:sz w:val="22"/>
          <w:szCs w:val="22"/>
          <w:lang w:val="es-ES"/>
        </w:rPr>
        <w:t xml:space="preserve"> y la cooperación</w:t>
      </w:r>
      <w:r w:rsidR="00A2031A" w:rsidRPr="00567368">
        <w:rPr>
          <w:sz w:val="22"/>
          <w:szCs w:val="22"/>
          <w:lang w:val="es-CO"/>
        </w:rPr>
        <w:t xml:space="preserve"> en el ciberespacio, así como las discusiones sobre los temas del CICTE que se lleven a cabo en el marco de los cuerpos políticos de la OE</w:t>
      </w:r>
      <w:r w:rsidR="002D674D" w:rsidRPr="00567368">
        <w:rPr>
          <w:sz w:val="22"/>
          <w:szCs w:val="22"/>
          <w:lang w:val="es-CO"/>
        </w:rPr>
        <w:t>A.</w:t>
      </w:r>
    </w:p>
    <w:p w14:paraId="29BDB5F5" w14:textId="77777777" w:rsidR="00A2031A" w:rsidRPr="00567368" w:rsidRDefault="00A2031A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24D63E96" w14:textId="77777777" w:rsidR="00FE713F" w:rsidRPr="00567368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  <w:r w:rsidRPr="00567368">
        <w:rPr>
          <w:bCs/>
          <w:sz w:val="22"/>
          <w:szCs w:val="22"/>
          <w:lang w:val="es-CO"/>
        </w:rPr>
        <w:t>Los programas del Comité estarán enfocados en brindar apoyo a los Estados Miembros que así lo requieran en las siguientes áreas prioritarias: ciberseguridad,  no-proliferación de armas de destrucción masiva, prevención</w:t>
      </w:r>
      <w:r w:rsidRPr="00567368">
        <w:rPr>
          <w:bCs/>
          <w:sz w:val="22"/>
          <w:szCs w:val="22"/>
          <w:lang w:val="es-ES"/>
        </w:rPr>
        <w:t xml:space="preserve"> del extremismo violento que podría conducir al terrorismo, </w:t>
      </w:r>
      <w:r w:rsidRPr="00567368">
        <w:rPr>
          <w:bCs/>
          <w:sz w:val="22"/>
          <w:szCs w:val="22"/>
          <w:lang w:val="es-CO"/>
        </w:rPr>
        <w:t xml:space="preserve">seguridad de fronteras aéreas, terrestres y marítimas, seguridad de espacios concurridos, asistencia técnica contra el financiamiento del terrorismo y protección de infraestructuras críticas ante ataques terroristas y otras amenazas emergentes. </w:t>
      </w:r>
    </w:p>
    <w:p w14:paraId="4A2BCC78" w14:textId="77777777" w:rsidR="00FE713F" w:rsidRPr="00567368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0D4FF87B" w14:textId="52AF01B0" w:rsidR="00FE713F" w:rsidRPr="00567368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  <w:r w:rsidRPr="00567368">
        <w:rPr>
          <w:bCs/>
          <w:sz w:val="22"/>
          <w:szCs w:val="22"/>
          <w:lang w:val="es-CO"/>
        </w:rPr>
        <w:t>Además, la Secretaría continuará con los esfuerzos para apoyar el desarrollo o fortalecimiento de las herramientas de intercambio de información y</w:t>
      </w:r>
      <w:r w:rsidRPr="00567368">
        <w:rPr>
          <w:bCs/>
          <w:sz w:val="22"/>
          <w:szCs w:val="22"/>
          <w:lang w:val="es-ES"/>
        </w:rPr>
        <w:t>/o</w:t>
      </w:r>
      <w:r w:rsidRPr="00567368">
        <w:rPr>
          <w:bCs/>
          <w:sz w:val="22"/>
          <w:szCs w:val="22"/>
          <w:lang w:val="es-CO"/>
        </w:rPr>
        <w:t xml:space="preserve"> buenas prácticas en los temas de competencia del Comité. También continuará alentando la coordinación </w:t>
      </w:r>
      <w:proofErr w:type="spellStart"/>
      <w:r w:rsidRPr="00567368">
        <w:rPr>
          <w:bCs/>
          <w:sz w:val="22"/>
          <w:szCs w:val="22"/>
          <w:lang w:val="es-CO"/>
        </w:rPr>
        <w:t>inter-institucional</w:t>
      </w:r>
      <w:proofErr w:type="spellEnd"/>
      <w:r w:rsidRPr="00567368">
        <w:rPr>
          <w:bCs/>
          <w:sz w:val="22"/>
          <w:szCs w:val="22"/>
          <w:lang w:val="es-CO"/>
        </w:rPr>
        <w:t xml:space="preserve"> con otros organismos internacionales especializados en la materia para apuntalar la capacidad de respuesta ante los desafíos actuales y emergentes. </w:t>
      </w:r>
    </w:p>
    <w:p w14:paraId="4FFC34D7" w14:textId="77777777" w:rsidR="00FE713F" w:rsidRPr="00567368" w:rsidRDefault="00FE713F" w:rsidP="00FE713F">
      <w:pPr>
        <w:ind w:firstLine="720"/>
        <w:jc w:val="both"/>
        <w:rPr>
          <w:bCs/>
          <w:sz w:val="22"/>
          <w:szCs w:val="22"/>
          <w:lang w:val="es-CO"/>
        </w:rPr>
      </w:pPr>
    </w:p>
    <w:p w14:paraId="1983F1C0" w14:textId="5887D6DA" w:rsidR="00FE713F" w:rsidRPr="00567368" w:rsidRDefault="00FE713F" w:rsidP="00FE713F">
      <w:pPr>
        <w:ind w:firstLine="720"/>
        <w:jc w:val="both"/>
        <w:rPr>
          <w:sz w:val="22"/>
          <w:szCs w:val="22"/>
          <w:lang w:val="es-ES"/>
        </w:rPr>
      </w:pPr>
      <w:r w:rsidRPr="00567368">
        <w:rPr>
          <w:sz w:val="22"/>
          <w:szCs w:val="22"/>
          <w:lang w:val="es-ES"/>
        </w:rPr>
        <w:t xml:space="preserve">Todos los programas de la Secretaría del Comité tienen un alcance regional, con actividades específicas que pueden implementarse en varios Estados Miembros, conforme sea requerido, dependiendo de las necesidades y la disponibilidad de recursos. </w:t>
      </w:r>
    </w:p>
    <w:p w14:paraId="7EBEF219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</w:p>
    <w:p w14:paraId="652B2801" w14:textId="214F0B20" w:rsidR="00FE713F" w:rsidRPr="00567368" w:rsidRDefault="00FE713F" w:rsidP="00FE713F">
      <w:pPr>
        <w:jc w:val="both"/>
        <w:rPr>
          <w:b/>
          <w:bCs/>
          <w:sz w:val="22"/>
          <w:szCs w:val="22"/>
          <w:lang w:val="es-ES"/>
        </w:rPr>
      </w:pPr>
      <w:r w:rsidRPr="00567368">
        <w:rPr>
          <w:b/>
          <w:bCs/>
          <w:sz w:val="22"/>
          <w:szCs w:val="22"/>
          <w:lang w:val="es-EC"/>
        </w:rPr>
        <w:t>II.</w:t>
      </w:r>
      <w:r w:rsidRPr="00567368">
        <w:rPr>
          <w:b/>
          <w:bCs/>
          <w:sz w:val="22"/>
          <w:szCs w:val="22"/>
          <w:lang w:val="es-EC"/>
        </w:rPr>
        <w:tab/>
        <w:t>Principales programas</w:t>
      </w:r>
      <w:r w:rsidRPr="00567368">
        <w:rPr>
          <w:sz w:val="22"/>
          <w:szCs w:val="22"/>
          <w:lang w:val="es-ES"/>
        </w:rPr>
        <w:t xml:space="preserve"> </w:t>
      </w:r>
      <w:r w:rsidR="005A1D60" w:rsidRPr="00567368">
        <w:rPr>
          <w:sz w:val="22"/>
          <w:szCs w:val="22"/>
          <w:lang w:val="es-ES"/>
        </w:rPr>
        <w:t xml:space="preserve"> </w:t>
      </w:r>
    </w:p>
    <w:p w14:paraId="43AA8E0C" w14:textId="77777777" w:rsidR="00FE713F" w:rsidRPr="00567368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01183A7B" w14:textId="7422DA8E" w:rsidR="00FE713F" w:rsidRPr="00567368" w:rsidRDefault="00FE713F" w:rsidP="00FE713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Ciberseguridad</w:t>
      </w:r>
      <w:r w:rsidR="00D56ED1" w:rsidRPr="00567368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 xml:space="preserve"> </w:t>
      </w:r>
    </w:p>
    <w:p w14:paraId="1988252D" w14:textId="77777777" w:rsidR="00FE713F" w:rsidRPr="00567368" w:rsidRDefault="00FE713F" w:rsidP="00FE713F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es-ES"/>
        </w:rPr>
      </w:pPr>
    </w:p>
    <w:p w14:paraId="1706F46F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sz w:val="22"/>
          <w:szCs w:val="22"/>
          <w:u w:val="single"/>
          <w:lang w:val="es-ES"/>
        </w:rPr>
        <w:t>Propósito:</w:t>
      </w:r>
      <w:r w:rsidRPr="00567368">
        <w:rPr>
          <w:sz w:val="22"/>
          <w:szCs w:val="22"/>
          <w:lang w:val="es-ES"/>
        </w:rPr>
        <w:t xml:space="preserve"> </w:t>
      </w:r>
    </w:p>
    <w:p w14:paraId="00DC1770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</w:p>
    <w:p w14:paraId="167BDC00" w14:textId="220FADB4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sz w:val="22"/>
          <w:szCs w:val="22"/>
          <w:lang w:val="es-ES"/>
        </w:rPr>
        <w:t>Apoyar a los Estados Miembros en sus esfuerzos orientados al desarrollo de políticas públicas en materia de ciberseguridad</w:t>
      </w:r>
      <w:r w:rsidR="0078164B" w:rsidRPr="00567368">
        <w:rPr>
          <w:sz w:val="22"/>
          <w:szCs w:val="22"/>
          <w:lang w:val="es-ES"/>
        </w:rPr>
        <w:t xml:space="preserve">; al </w:t>
      </w:r>
      <w:r w:rsidRPr="00567368">
        <w:rPr>
          <w:sz w:val="22"/>
          <w:szCs w:val="22"/>
          <w:lang w:val="es-ES"/>
        </w:rPr>
        <w:t xml:space="preserve">fortalecimiento de las capacidades institucionales para </w:t>
      </w:r>
      <w:r w:rsidR="001F3F59" w:rsidRPr="00567368">
        <w:rPr>
          <w:sz w:val="22"/>
          <w:szCs w:val="22"/>
          <w:lang w:val="es-ES"/>
        </w:rPr>
        <w:t xml:space="preserve">proteger la infraestructura crítica y </w:t>
      </w:r>
      <w:r w:rsidR="005A60F5" w:rsidRPr="00567368">
        <w:rPr>
          <w:sz w:val="22"/>
          <w:szCs w:val="22"/>
          <w:lang w:val="es-ES"/>
        </w:rPr>
        <w:t>hacer frente y/o recuperarse de</w:t>
      </w:r>
      <w:r w:rsidRPr="00567368">
        <w:rPr>
          <w:sz w:val="22"/>
          <w:szCs w:val="22"/>
          <w:lang w:val="es-ES"/>
        </w:rPr>
        <w:t xml:space="preserve"> amenazas</w:t>
      </w:r>
      <w:r w:rsidR="005A60F5" w:rsidRPr="00567368">
        <w:rPr>
          <w:sz w:val="22"/>
          <w:szCs w:val="22"/>
          <w:lang w:val="es-ES"/>
        </w:rPr>
        <w:t xml:space="preserve"> y ataques</w:t>
      </w:r>
      <w:r w:rsidRPr="00567368">
        <w:rPr>
          <w:sz w:val="22"/>
          <w:szCs w:val="22"/>
          <w:lang w:val="es-ES"/>
        </w:rPr>
        <w:t xml:space="preserve"> cibernétic</w:t>
      </w:r>
      <w:r w:rsidR="005A60F5" w:rsidRPr="00567368">
        <w:rPr>
          <w:sz w:val="22"/>
          <w:szCs w:val="22"/>
          <w:lang w:val="es-ES"/>
        </w:rPr>
        <w:t>o</w:t>
      </w:r>
      <w:r w:rsidRPr="00567368">
        <w:rPr>
          <w:sz w:val="22"/>
          <w:szCs w:val="22"/>
          <w:lang w:val="es-ES"/>
        </w:rPr>
        <w:t>s</w:t>
      </w:r>
      <w:r w:rsidR="001F3F59" w:rsidRPr="00567368">
        <w:rPr>
          <w:sz w:val="22"/>
          <w:szCs w:val="22"/>
          <w:lang w:val="es-ES"/>
        </w:rPr>
        <w:t xml:space="preserve">, </w:t>
      </w:r>
      <w:r w:rsidRPr="00567368">
        <w:rPr>
          <w:sz w:val="22"/>
          <w:szCs w:val="22"/>
          <w:lang w:val="es-ES"/>
        </w:rPr>
        <w:t xml:space="preserve">incluyendo el intercambio de información y alertas por medio de la plataforma </w:t>
      </w:r>
      <w:r w:rsidRPr="00567368">
        <w:rPr>
          <w:i/>
          <w:sz w:val="22"/>
          <w:szCs w:val="22"/>
          <w:lang w:val="es-ES"/>
        </w:rPr>
        <w:t>CSIRTamericas.org</w:t>
      </w:r>
      <w:r w:rsidR="0078164B" w:rsidRPr="00567368">
        <w:rPr>
          <w:i/>
          <w:sz w:val="22"/>
          <w:szCs w:val="22"/>
          <w:lang w:val="es-ES"/>
        </w:rPr>
        <w:t xml:space="preserve">; </w:t>
      </w:r>
      <w:r w:rsidR="0078164B" w:rsidRPr="00567368">
        <w:rPr>
          <w:iCs/>
          <w:sz w:val="22"/>
          <w:szCs w:val="22"/>
          <w:lang w:val="es-ES"/>
        </w:rPr>
        <w:t>y al fomento de la concientización y de la</w:t>
      </w:r>
      <w:r w:rsidR="001F3F59" w:rsidRPr="00567368">
        <w:rPr>
          <w:iCs/>
          <w:sz w:val="22"/>
          <w:szCs w:val="22"/>
          <w:lang w:val="es-ES"/>
        </w:rPr>
        <w:t xml:space="preserve"> </w:t>
      </w:r>
      <w:r w:rsidRPr="00567368">
        <w:rPr>
          <w:sz w:val="22"/>
          <w:szCs w:val="22"/>
          <w:lang w:val="es-ES"/>
        </w:rPr>
        <w:t>cooperación internacional y regional en la materia</w:t>
      </w:r>
      <w:r w:rsidR="0078164B" w:rsidRPr="00567368">
        <w:rPr>
          <w:sz w:val="22"/>
          <w:szCs w:val="22"/>
          <w:lang w:val="es-ES"/>
        </w:rPr>
        <w:t>.</w:t>
      </w:r>
    </w:p>
    <w:p w14:paraId="0DFE384E" w14:textId="281D6F4D" w:rsidR="00FE713F" w:rsidRPr="00567368" w:rsidRDefault="00FE713F" w:rsidP="00FE713F">
      <w:pPr>
        <w:jc w:val="both"/>
        <w:rPr>
          <w:sz w:val="22"/>
          <w:szCs w:val="22"/>
          <w:u w:val="single"/>
          <w:lang w:val="es-ES"/>
        </w:rPr>
      </w:pPr>
      <w:r w:rsidRPr="00567368">
        <w:rPr>
          <w:rFonts w:eastAsia="Calibri"/>
          <w:sz w:val="22"/>
          <w:szCs w:val="22"/>
          <w:u w:val="single"/>
          <w:lang w:val="es-ES"/>
        </w:rPr>
        <w:lastRenderedPageBreak/>
        <w:t>Actividades propuestas</w:t>
      </w:r>
      <w:r w:rsidRPr="00567368">
        <w:rPr>
          <w:sz w:val="22"/>
          <w:szCs w:val="22"/>
          <w:u w:val="single"/>
          <w:lang w:val="es-ES"/>
        </w:rPr>
        <w:t xml:space="preserve">: </w:t>
      </w:r>
    </w:p>
    <w:p w14:paraId="6CC2B0A5" w14:textId="77777777" w:rsidR="00FE713F" w:rsidRPr="00567368" w:rsidRDefault="00FE713F" w:rsidP="00FE713F">
      <w:pPr>
        <w:jc w:val="both"/>
        <w:rPr>
          <w:sz w:val="22"/>
          <w:szCs w:val="22"/>
          <w:u w:val="single"/>
          <w:lang w:val="es-ES"/>
        </w:rPr>
      </w:pPr>
    </w:p>
    <w:p w14:paraId="3F53B6F8" w14:textId="4AA85EA4" w:rsidR="00DE7A3F" w:rsidRPr="00567368" w:rsidRDefault="00DE7A3F" w:rsidP="004A4AA6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bookmarkStart w:id="0" w:name="_Hlk77173673"/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Curso</w:t>
      </w:r>
      <w:r w:rsidR="004A6D32" w:rsidRPr="00567368">
        <w:rPr>
          <w:rFonts w:ascii="Times New Roman" w:hAnsi="Times New Roman"/>
          <w:bCs/>
          <w:iCs/>
          <w:sz w:val="22"/>
          <w:szCs w:val="22"/>
          <w:lang w:val="es-ES"/>
        </w:rPr>
        <w:t>s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de </w:t>
      </w:r>
      <w:proofErr w:type="spellStart"/>
      <w:r w:rsidR="002925B2" w:rsidRPr="00567368">
        <w:rPr>
          <w:rFonts w:ascii="Times New Roman" w:hAnsi="Times New Roman"/>
          <w:bCs/>
          <w:iCs/>
          <w:sz w:val="22"/>
          <w:szCs w:val="22"/>
          <w:lang w:val="es-ES"/>
        </w:rPr>
        <w:t>c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iberdiplomacia</w:t>
      </w:r>
      <w:proofErr w:type="spellEnd"/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2925B2" w:rsidRPr="00567368">
        <w:rPr>
          <w:rFonts w:ascii="Times New Roman" w:hAnsi="Times New Roman"/>
          <w:bCs/>
          <w:iCs/>
          <w:sz w:val="22"/>
          <w:szCs w:val="22"/>
          <w:lang w:val="es-ES"/>
        </w:rPr>
        <w:t>i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nternacional, </w:t>
      </w:r>
      <w:r w:rsidR="002925B2" w:rsidRPr="00567368">
        <w:rPr>
          <w:rFonts w:ascii="Times New Roman" w:hAnsi="Times New Roman"/>
          <w:bCs/>
          <w:iCs/>
          <w:sz w:val="22"/>
          <w:szCs w:val="22"/>
          <w:lang w:val="es-ES"/>
        </w:rPr>
        <w:t>l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eyes y </w:t>
      </w:r>
      <w:r w:rsidR="002925B2" w:rsidRPr="00567368">
        <w:rPr>
          <w:rFonts w:ascii="Times New Roman" w:hAnsi="Times New Roman"/>
          <w:bCs/>
          <w:iCs/>
          <w:sz w:val="22"/>
          <w:szCs w:val="22"/>
          <w:lang w:val="es-ES"/>
        </w:rPr>
        <w:t>n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ormas</w:t>
      </w:r>
      <w:r w:rsidR="00310243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para apoyar el fortalecimiento de 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la</w:t>
      </w:r>
      <w:r w:rsidR="00CF5201" w:rsidRPr="00567368">
        <w:rPr>
          <w:rFonts w:ascii="Times New Roman" w:hAnsi="Times New Roman"/>
          <w:bCs/>
          <w:iCs/>
          <w:sz w:val="22"/>
          <w:szCs w:val="22"/>
          <w:lang w:val="es-ES"/>
        </w:rPr>
        <w:t>s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capacidad</w:t>
      </w:r>
      <w:r w:rsidR="00CF5201" w:rsidRPr="00567368">
        <w:rPr>
          <w:rFonts w:ascii="Times New Roman" w:hAnsi="Times New Roman"/>
          <w:bCs/>
          <w:iCs/>
          <w:sz w:val="22"/>
          <w:szCs w:val="22"/>
          <w:lang w:val="es-ES"/>
        </w:rPr>
        <w:t>es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entre funcionarios gubernamentales</w:t>
      </w:r>
      <w:r w:rsidR="00CF5201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de </w:t>
      </w:r>
      <w:r w:rsidR="00402980" w:rsidRPr="00567368">
        <w:rPr>
          <w:rFonts w:ascii="Times New Roman" w:hAnsi="Times New Roman"/>
          <w:bCs/>
          <w:iCs/>
          <w:sz w:val="22"/>
          <w:szCs w:val="22"/>
          <w:lang w:val="es-ES"/>
        </w:rPr>
        <w:t>E</w:t>
      </w:r>
      <w:r w:rsidR="00CF5201" w:rsidRPr="00567368">
        <w:rPr>
          <w:rFonts w:ascii="Times New Roman" w:hAnsi="Times New Roman"/>
          <w:bCs/>
          <w:iCs/>
          <w:sz w:val="22"/>
          <w:szCs w:val="22"/>
          <w:lang w:val="es-ES"/>
        </w:rPr>
        <w:t>stados miembros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C50C33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y su efectiva 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participa</w:t>
      </w:r>
      <w:r w:rsidR="00C50C33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ción en 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las discusiones internacionales sobre seguridad cibernética. </w:t>
      </w:r>
    </w:p>
    <w:p w14:paraId="4B04E127" w14:textId="77777777" w:rsidR="004A6D32" w:rsidRPr="00567368" w:rsidRDefault="004A6D32" w:rsidP="004A6D32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Apoyo para desarrollar y/o actualizar estrategias nacionales de ciberseguridad.</w:t>
      </w:r>
    </w:p>
    <w:p w14:paraId="1C514CEA" w14:textId="555F4300" w:rsidR="008A6392" w:rsidRPr="00567368" w:rsidRDefault="004A6D32" w:rsidP="004A4AA6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Foros </w:t>
      </w:r>
      <w:r w:rsidR="000B69BE" w:rsidRPr="00567368">
        <w:rPr>
          <w:rFonts w:ascii="Times New Roman" w:hAnsi="Times New Roman"/>
          <w:bCs/>
          <w:iCs/>
          <w:sz w:val="22"/>
          <w:szCs w:val="22"/>
          <w:lang w:val="es-ES"/>
        </w:rPr>
        <w:t>sobre</w:t>
      </w:r>
      <w:r w:rsidR="00144F4B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DE7A3F" w:rsidRPr="00567368">
        <w:rPr>
          <w:rFonts w:ascii="Times New Roman" w:hAnsi="Times New Roman"/>
          <w:bCs/>
          <w:iCs/>
          <w:sz w:val="22"/>
          <w:szCs w:val="22"/>
          <w:lang w:val="es-ES"/>
        </w:rPr>
        <w:t>infraestructura</w:t>
      </w:r>
      <w:r w:rsidR="00144F4B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DE7A3F" w:rsidRPr="00567368">
        <w:rPr>
          <w:rFonts w:ascii="Times New Roman" w:hAnsi="Times New Roman"/>
          <w:bCs/>
          <w:iCs/>
          <w:sz w:val="22"/>
          <w:szCs w:val="22"/>
          <w:lang w:val="es-ES"/>
        </w:rPr>
        <w:t>crítica que analiza</w:t>
      </w:r>
      <w:r w:rsidR="009B23AD" w:rsidRPr="00567368">
        <w:rPr>
          <w:rFonts w:ascii="Times New Roman" w:hAnsi="Times New Roman"/>
          <w:bCs/>
          <w:iCs/>
          <w:sz w:val="22"/>
          <w:szCs w:val="22"/>
          <w:lang w:val="es-ES"/>
        </w:rPr>
        <w:t>rá</w:t>
      </w:r>
      <w:r w:rsidR="00DE7A3F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las principales amenazas de ciberseguridad </w:t>
      </w:r>
      <w:r w:rsidR="009800D7" w:rsidRPr="00567368">
        <w:rPr>
          <w:rFonts w:ascii="Times New Roman" w:hAnsi="Times New Roman"/>
          <w:bCs/>
          <w:iCs/>
          <w:sz w:val="22"/>
          <w:szCs w:val="22"/>
          <w:lang w:val="es-ES"/>
        </w:rPr>
        <w:t>y las mejores prácticas para</w:t>
      </w:r>
      <w:r w:rsidR="00724CC8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su protección</w:t>
      </w:r>
      <w:r w:rsidR="008D5AA4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, incluyendo </w:t>
      </w:r>
      <w:r w:rsidR="003F1D2F" w:rsidRPr="00567368">
        <w:rPr>
          <w:rFonts w:ascii="Times New Roman" w:hAnsi="Times New Roman"/>
          <w:bCs/>
          <w:iCs/>
          <w:sz w:val="22"/>
          <w:szCs w:val="22"/>
          <w:lang w:val="es-ES"/>
        </w:rPr>
        <w:t>tendencias de ataques en</w:t>
      </w:r>
      <w:r w:rsidR="009800D7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la región</w:t>
      </w:r>
      <w:r w:rsidR="00CF5201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8D5AA4" w:rsidRPr="00567368">
        <w:rPr>
          <w:rFonts w:ascii="Times New Roman" w:hAnsi="Times New Roman"/>
          <w:bCs/>
          <w:iCs/>
          <w:sz w:val="22"/>
          <w:szCs w:val="22"/>
          <w:lang w:val="es-ES"/>
        </w:rPr>
        <w:t>e</w:t>
      </w:r>
      <w:r w:rsidR="008A6392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impacto del COVID-19 en las amenazas de ciberseguridad</w:t>
      </w:r>
      <w:r w:rsidR="00CF5201" w:rsidRPr="00567368">
        <w:rPr>
          <w:rFonts w:ascii="Times New Roman" w:hAnsi="Times New Roman"/>
          <w:bCs/>
          <w:iCs/>
          <w:sz w:val="22"/>
          <w:szCs w:val="22"/>
          <w:lang w:val="es-ES"/>
        </w:rPr>
        <w:t>.</w:t>
      </w:r>
    </w:p>
    <w:p w14:paraId="2C89C169" w14:textId="77777777" w:rsidR="001308FD" w:rsidRPr="00567368" w:rsidRDefault="001308FD" w:rsidP="001308FD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Entrenamientos para los Centros de Respuesta a Incidentes Informáticos (</w:t>
      </w:r>
      <w:proofErr w:type="spellStart"/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CSIRTs</w:t>
      </w:r>
      <w:proofErr w:type="spellEnd"/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por sus siglas en inglés) sobre la gestión de alertas de ciberseguridad, así como la automatización del flujo de información que permita a estos centros establecer protocolos para prevenir, enfrentar y recuperarse de incidentes cibernéticos.</w:t>
      </w:r>
    </w:p>
    <w:p w14:paraId="7E07B033" w14:textId="183B05A2" w:rsidR="00DE7A3F" w:rsidRPr="00567368" w:rsidRDefault="00DE7A3F" w:rsidP="004A4AA6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Jornadas </w:t>
      </w:r>
      <w:r w:rsidR="00386615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sobre </w:t>
      </w:r>
      <w:r w:rsidR="00D01004" w:rsidRPr="00567368">
        <w:rPr>
          <w:rFonts w:ascii="Times New Roman" w:hAnsi="Times New Roman"/>
          <w:bCs/>
          <w:iCs/>
          <w:sz w:val="22"/>
          <w:szCs w:val="22"/>
          <w:lang w:val="es-ES"/>
        </w:rPr>
        <w:t>Seguridad en las Tecnologías de la Información y la Comuni</w:t>
      </w:r>
      <w:r w:rsidR="00386615" w:rsidRPr="00567368">
        <w:rPr>
          <w:rFonts w:ascii="Times New Roman" w:hAnsi="Times New Roman"/>
          <w:bCs/>
          <w:iCs/>
          <w:sz w:val="22"/>
          <w:szCs w:val="22"/>
          <w:lang w:val="es-ES"/>
        </w:rPr>
        <w:t>c</w:t>
      </w:r>
      <w:r w:rsidR="00D01004" w:rsidRPr="00567368">
        <w:rPr>
          <w:rFonts w:ascii="Times New Roman" w:hAnsi="Times New Roman"/>
          <w:bCs/>
          <w:iCs/>
          <w:sz w:val="22"/>
          <w:szCs w:val="22"/>
          <w:lang w:val="es-ES"/>
        </w:rPr>
        <w:t>ación</w:t>
      </w:r>
      <w:r w:rsidR="00386615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(STIC</w:t>
      </w:r>
      <w:r w:rsidR="00D01004" w:rsidRPr="00567368">
        <w:rPr>
          <w:rFonts w:ascii="Times New Roman" w:hAnsi="Times New Roman"/>
          <w:bCs/>
          <w:iCs/>
          <w:sz w:val="22"/>
          <w:szCs w:val="22"/>
          <w:lang w:val="es-ES"/>
        </w:rPr>
        <w:t>)</w:t>
      </w:r>
      <w:r w:rsidR="003630BE" w:rsidRPr="00567368">
        <w:rPr>
          <w:rFonts w:ascii="Times New Roman" w:hAnsi="Times New Roman"/>
          <w:bCs/>
          <w:iCs/>
          <w:sz w:val="22"/>
          <w:szCs w:val="22"/>
          <w:lang w:val="es-ES"/>
        </w:rPr>
        <w:t>, e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vento coorganizado por el Equipo de Respuesta a Incidentes </w:t>
      </w:r>
      <w:r w:rsidR="003630BE" w:rsidRPr="00567368">
        <w:rPr>
          <w:rFonts w:ascii="Times New Roman" w:hAnsi="Times New Roman"/>
          <w:bCs/>
          <w:iCs/>
          <w:sz w:val="22"/>
          <w:szCs w:val="22"/>
          <w:lang w:val="es-ES"/>
        </w:rPr>
        <w:t>Cibernéticos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del Centro Criptológico Nacional (CCN-CERT) y el Instituto Nacional de Ciberseguridad de España (INCIBE) con el apoyo de la Secretaría del CICTE.</w:t>
      </w:r>
    </w:p>
    <w:p w14:paraId="0CC19E78" w14:textId="488F7D10" w:rsidR="003630BE" w:rsidRPr="00567368" w:rsidRDefault="003630BE" w:rsidP="004A4AA6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proofErr w:type="spellStart"/>
      <w:r w:rsidRPr="00567368">
        <w:rPr>
          <w:rFonts w:ascii="Times New Roman" w:hAnsi="Times New Roman"/>
          <w:bCs/>
          <w:i/>
          <w:sz w:val="22"/>
          <w:szCs w:val="22"/>
          <w:lang w:val="es-ES"/>
        </w:rPr>
        <w:t>Cybersecurity</w:t>
      </w:r>
      <w:proofErr w:type="spellEnd"/>
      <w:r w:rsidRPr="00567368">
        <w:rPr>
          <w:rFonts w:ascii="Times New Roman" w:hAnsi="Times New Roman"/>
          <w:bCs/>
          <w:i/>
          <w:sz w:val="22"/>
          <w:szCs w:val="22"/>
          <w:lang w:val="es-ES"/>
        </w:rPr>
        <w:t xml:space="preserve"> Summer </w:t>
      </w:r>
      <w:proofErr w:type="spellStart"/>
      <w:r w:rsidRPr="00567368">
        <w:rPr>
          <w:rFonts w:ascii="Times New Roman" w:hAnsi="Times New Roman"/>
          <w:bCs/>
          <w:i/>
          <w:sz w:val="22"/>
          <w:szCs w:val="22"/>
          <w:lang w:val="es-ES"/>
        </w:rPr>
        <w:t>Bootcamp</w:t>
      </w:r>
      <w:proofErr w:type="spellEnd"/>
      <w:r w:rsidR="00E134DC" w:rsidRPr="00567368">
        <w:rPr>
          <w:rFonts w:ascii="Times New Roman" w:hAnsi="Times New Roman"/>
          <w:bCs/>
          <w:iCs/>
          <w:sz w:val="22"/>
          <w:szCs w:val="22"/>
          <w:lang w:val="es-ES"/>
        </w:rPr>
        <w:t>,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un programa de formación internacional especializado en ciberseguridad dirigido a formuladores de políticas, Fuerzas y Cuerpos de Seguridad, Autoridades Fiscales y Especialistas Técnicos de los CSIRT.</w:t>
      </w:r>
    </w:p>
    <w:p w14:paraId="7AE90854" w14:textId="0A5F104F" w:rsidR="003630BE" w:rsidRPr="00567368" w:rsidRDefault="003630BE" w:rsidP="004A4AA6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Simposio de Ciberseguridad</w:t>
      </w:r>
      <w:r w:rsidR="00F91137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que reunirá a ex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pertos y profesionales de la industria </w:t>
      </w:r>
      <w:r w:rsidR="00F91137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y que tendrá como eje central 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promover el desarrollo de capacidades nacionales en ciberseguridad y una cultura que fortalezca el trabajo que realiza la OEA en todo el </w:t>
      </w:r>
      <w:r w:rsidR="00CF5201" w:rsidRPr="00567368">
        <w:rPr>
          <w:rFonts w:ascii="Times New Roman" w:hAnsi="Times New Roman"/>
          <w:bCs/>
          <w:iCs/>
          <w:sz w:val="22"/>
          <w:szCs w:val="22"/>
          <w:lang w:val="es-ES"/>
        </w:rPr>
        <w:t>hemisferio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.</w:t>
      </w:r>
    </w:p>
    <w:p w14:paraId="58F17B32" w14:textId="7C188407" w:rsidR="003630BE" w:rsidRPr="00567368" w:rsidRDefault="003630BE" w:rsidP="004A4AA6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/>
          <w:sz w:val="22"/>
          <w:szCs w:val="22"/>
          <w:lang w:val="es-ES"/>
        </w:rPr>
        <w:t>International Cyber ​​E</w:t>
      </w:r>
      <w:r w:rsidR="00F223DC" w:rsidRPr="00567368">
        <w:rPr>
          <w:rFonts w:ascii="Times New Roman" w:hAnsi="Times New Roman"/>
          <w:bCs/>
          <w:i/>
          <w:sz w:val="22"/>
          <w:szCs w:val="22"/>
          <w:lang w:val="es-ES"/>
        </w:rPr>
        <w:t>x</w:t>
      </w:r>
      <w:r w:rsidR="00F223DC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, 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una compet</w:t>
      </w:r>
      <w:r w:rsidR="00F223DC" w:rsidRPr="00567368">
        <w:rPr>
          <w:rFonts w:ascii="Times New Roman" w:hAnsi="Times New Roman"/>
          <w:bCs/>
          <w:iCs/>
          <w:sz w:val="22"/>
          <w:szCs w:val="22"/>
          <w:lang w:val="es-ES"/>
        </w:rPr>
        <w:t>encia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C767C9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orientada a fortalecer las capacidades de respuesta ante incidentes cibernéticos y la cooperación entre los países participantes. Esta iniciativa es 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coordinada por la OEA, el Instituto Nacional de Ciberseguridad de España (INCIBE) y el Centro Nacional para la Protección de las Infraestructuras y la Ciberseguridad (CNPIC) de España</w:t>
      </w:r>
      <w:r w:rsidR="00C767C9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. </w:t>
      </w:r>
    </w:p>
    <w:p w14:paraId="7D87CD7E" w14:textId="77777777" w:rsidR="004A6D32" w:rsidRPr="00567368" w:rsidRDefault="004A6D32" w:rsidP="004A6D32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Talleres de comunicación de manejo de crisis sobre cómo comunicar de manera efectiva las decisiones de los organismos encargados del manejo de incidentes cibernéticos.</w:t>
      </w:r>
    </w:p>
    <w:p w14:paraId="5DE35E92" w14:textId="34EBCAB9" w:rsidR="004A6D32" w:rsidRPr="00567368" w:rsidRDefault="001308FD" w:rsidP="004A6D32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Talleres </w:t>
      </w:r>
      <w:r w:rsidR="004A6D32" w:rsidRPr="00567368">
        <w:rPr>
          <w:rFonts w:ascii="Times New Roman" w:hAnsi="Times New Roman"/>
          <w:bCs/>
          <w:iCs/>
          <w:sz w:val="22"/>
          <w:szCs w:val="22"/>
          <w:lang w:val="es-ES"/>
        </w:rPr>
        <w:t>sobre ciberseguridad para mujeres con el objetivo de promover un intercambio con representantes gubernamentales para identificar los principales avances en la adopción de marcos legales que aborden el abuso y la violencia contra las mujeres en línea.</w:t>
      </w:r>
    </w:p>
    <w:p w14:paraId="5A59727B" w14:textId="585AFDAE" w:rsidR="003630BE" w:rsidRPr="00567368" w:rsidRDefault="004A6D32" w:rsidP="004A6D32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C</w:t>
      </w:r>
      <w:r w:rsidR="003630BE" w:rsidRPr="00567368">
        <w:rPr>
          <w:rFonts w:ascii="Times New Roman" w:hAnsi="Times New Roman"/>
          <w:bCs/>
          <w:iCs/>
          <w:sz w:val="22"/>
          <w:szCs w:val="22"/>
          <w:lang w:val="es-ES"/>
        </w:rPr>
        <w:t>apacitación técnica sobre herramientas y tendencias de ciberseguridad para agentes de la ley. Se realizará en alianza con Meta (Facebook, WhatsApp e Instagram), FBI y Microsoft, quienes facilitarán sesiones específicas sobre sus herramientas y oportunidades de colaboración con las fuerzas del orden.</w:t>
      </w:r>
    </w:p>
    <w:p w14:paraId="22F14093" w14:textId="6C3CFD6C" w:rsidR="003630BE" w:rsidRPr="00567368" w:rsidRDefault="00CF5201" w:rsidP="004A4AA6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/>
          <w:sz w:val="22"/>
          <w:szCs w:val="22"/>
          <w:lang w:val="es-ES"/>
        </w:rPr>
        <w:t>Programa Creando una Trayectoria Profesional en Ciberseguridad</w:t>
      </w:r>
      <w:r w:rsidR="00326170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que brinda c</w:t>
      </w:r>
      <w:r w:rsidR="003630BE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apacitación en ciberseguridad y desarrollo profesional coordinada con los Estados Miembros de la OEA y financiada por la Fundación Citi. </w:t>
      </w:r>
    </w:p>
    <w:p w14:paraId="1C471CC0" w14:textId="579B4E2A" w:rsidR="003630BE" w:rsidRPr="00567368" w:rsidRDefault="003630BE" w:rsidP="004A4AA6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proofErr w:type="spellStart"/>
      <w:r w:rsidRPr="00567368">
        <w:rPr>
          <w:rFonts w:ascii="Times New Roman" w:hAnsi="Times New Roman"/>
          <w:bCs/>
          <w:i/>
          <w:sz w:val="22"/>
          <w:szCs w:val="22"/>
          <w:lang w:val="es-ES"/>
        </w:rPr>
        <w:t>Cyberwomen</w:t>
      </w:r>
      <w:proofErr w:type="spellEnd"/>
      <w:r w:rsidRPr="00567368">
        <w:rPr>
          <w:rFonts w:ascii="Times New Roman" w:hAnsi="Times New Roman"/>
          <w:bCs/>
          <w:i/>
          <w:sz w:val="22"/>
          <w:szCs w:val="22"/>
          <w:lang w:val="es-ES"/>
        </w:rPr>
        <w:t xml:space="preserve"> </w:t>
      </w:r>
      <w:proofErr w:type="spellStart"/>
      <w:r w:rsidRPr="00567368">
        <w:rPr>
          <w:rFonts w:ascii="Times New Roman" w:hAnsi="Times New Roman"/>
          <w:bCs/>
          <w:i/>
          <w:sz w:val="22"/>
          <w:szCs w:val="22"/>
          <w:lang w:val="es-ES"/>
        </w:rPr>
        <w:t>Challenge</w:t>
      </w:r>
      <w:proofErr w:type="spellEnd"/>
      <w:r w:rsidR="00496D6D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, un evento 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de dos días enfocado en inspirar a más mujeres a unirse a la industria de la ciberseguridad. </w:t>
      </w:r>
    </w:p>
    <w:bookmarkEnd w:id="0"/>
    <w:p w14:paraId="5333DBED" w14:textId="3BCDAA5E" w:rsidR="003630BE" w:rsidRPr="00567368" w:rsidRDefault="60844CFE" w:rsidP="004A4AA6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Programa </w:t>
      </w:r>
      <w:r w:rsidRPr="00567368">
        <w:rPr>
          <w:rFonts w:ascii="Times New Roman" w:hAnsi="Times New Roman"/>
          <w:bCs/>
          <w:i/>
          <w:sz w:val="22"/>
          <w:szCs w:val="22"/>
          <w:lang w:val="es-ES"/>
        </w:rPr>
        <w:t>Optimización de la ciberseguridad</w:t>
      </w:r>
      <w:r w:rsidR="00F26B28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que tiene como 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objetivo construir un mecanismo replicable y escalable que ayude a los países a diseñar una hoja de ruta para acelerar su madurez cibernética siguiendo la metodología del Modelo de Madurez de Capacidades en Ciberseguridad de la Universidad de Oxford.</w:t>
      </w:r>
    </w:p>
    <w:p w14:paraId="47047935" w14:textId="77777777" w:rsidR="00984059" w:rsidRPr="00567368" w:rsidRDefault="00984059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</w:p>
    <w:p w14:paraId="1ED1F0E4" w14:textId="62833F2C" w:rsidR="00FE713F" w:rsidRPr="00567368" w:rsidRDefault="00FE713F" w:rsidP="00FE713F">
      <w:pPr>
        <w:pStyle w:val="ListParagraph"/>
        <w:numPr>
          <w:ilvl w:val="0"/>
          <w:numId w:val="11"/>
        </w:numPr>
        <w:ind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lastRenderedPageBreak/>
        <w:t>Fortalecimiento de los regímenes de no proliferación de armas de destrucción masiva, incluyendo la implementación de la resolución 1540 (2004) del Consejo de Seguridad de Naciones Unidas</w:t>
      </w:r>
    </w:p>
    <w:p w14:paraId="771312CC" w14:textId="77777777" w:rsidR="00FE713F" w:rsidRPr="00567368" w:rsidRDefault="00FE713F" w:rsidP="00FE713F">
      <w:pPr>
        <w:jc w:val="both"/>
        <w:rPr>
          <w:sz w:val="22"/>
          <w:szCs w:val="22"/>
          <w:u w:val="single"/>
          <w:lang w:val="es-ES"/>
        </w:rPr>
      </w:pPr>
    </w:p>
    <w:p w14:paraId="31C51040" w14:textId="6743F5ED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sz w:val="22"/>
          <w:szCs w:val="22"/>
          <w:u w:val="single"/>
          <w:lang w:val="es-ES"/>
        </w:rPr>
        <w:t>Propósito</w:t>
      </w:r>
      <w:r w:rsidR="001210E7" w:rsidRPr="00567368">
        <w:rPr>
          <w:sz w:val="22"/>
          <w:szCs w:val="22"/>
          <w:u w:val="single"/>
          <w:lang w:val="es-ES"/>
        </w:rPr>
        <w:t>s</w:t>
      </w:r>
      <w:r w:rsidRPr="00567368">
        <w:rPr>
          <w:sz w:val="22"/>
          <w:szCs w:val="22"/>
          <w:lang w:val="es-ES"/>
        </w:rPr>
        <w:t>:</w:t>
      </w:r>
    </w:p>
    <w:p w14:paraId="700D2FB4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</w:p>
    <w:p w14:paraId="6B68C9B4" w14:textId="6E523747" w:rsidR="00FE713F" w:rsidRPr="00567368" w:rsidRDefault="00910B18" w:rsidP="00FE713F">
      <w:pPr>
        <w:jc w:val="both"/>
        <w:rPr>
          <w:bCs/>
          <w:iCs/>
          <w:sz w:val="22"/>
          <w:szCs w:val="22"/>
          <w:lang w:val="es-ES"/>
        </w:rPr>
      </w:pPr>
      <w:bookmarkStart w:id="1" w:name="_Hlk77172165"/>
      <w:r w:rsidRPr="00567368">
        <w:rPr>
          <w:bCs/>
          <w:iCs/>
          <w:sz w:val="22"/>
          <w:szCs w:val="22"/>
          <w:lang w:val="es-ES"/>
        </w:rPr>
        <w:t xml:space="preserve">Promover </w:t>
      </w:r>
      <w:r w:rsidR="00FE713F" w:rsidRPr="00567368">
        <w:rPr>
          <w:bCs/>
          <w:iCs/>
          <w:sz w:val="22"/>
          <w:szCs w:val="22"/>
          <w:lang w:val="es-ES"/>
        </w:rPr>
        <w:t>un régimen universal, genuino y no discriminatorio</w:t>
      </w:r>
      <w:r w:rsidRPr="00567368">
        <w:rPr>
          <w:bCs/>
          <w:iCs/>
          <w:sz w:val="22"/>
          <w:szCs w:val="22"/>
          <w:lang w:val="es-ES"/>
        </w:rPr>
        <w:t xml:space="preserve"> </w:t>
      </w:r>
      <w:r w:rsidR="00FE713F" w:rsidRPr="00567368">
        <w:rPr>
          <w:bCs/>
          <w:iCs/>
          <w:sz w:val="22"/>
          <w:szCs w:val="22"/>
          <w:lang w:val="es-ES"/>
        </w:rPr>
        <w:t xml:space="preserve">de desarme y no proliferación </w:t>
      </w:r>
      <w:r w:rsidRPr="00567368">
        <w:rPr>
          <w:bCs/>
          <w:iCs/>
          <w:sz w:val="22"/>
          <w:szCs w:val="22"/>
          <w:lang w:val="es-ES"/>
        </w:rPr>
        <w:t xml:space="preserve">de armas nucleares, químicas y biológicas, así como sus sistemas vectores, y en particular, apoyar </w:t>
      </w:r>
      <w:r w:rsidR="00FE713F" w:rsidRPr="00567368">
        <w:rPr>
          <w:bCs/>
          <w:iCs/>
          <w:sz w:val="22"/>
          <w:szCs w:val="22"/>
          <w:lang w:val="es-ES"/>
        </w:rPr>
        <w:t xml:space="preserve">a los Estados Miembros en la implementación efectiva de la resolución 1540 (2004) del Consejo de Seguridad de las Naciones Unidas </w:t>
      </w:r>
      <w:r w:rsidR="00DB522C" w:rsidRPr="00567368">
        <w:rPr>
          <w:bCs/>
          <w:iCs/>
          <w:sz w:val="22"/>
          <w:szCs w:val="22"/>
          <w:lang w:val="es-ES"/>
        </w:rPr>
        <w:t xml:space="preserve">por medio de </w:t>
      </w:r>
      <w:bookmarkEnd w:id="1"/>
      <w:r w:rsidR="00FE713F" w:rsidRPr="00567368">
        <w:rPr>
          <w:bCs/>
          <w:iCs/>
          <w:sz w:val="22"/>
          <w:szCs w:val="22"/>
          <w:lang w:val="es-ES"/>
        </w:rPr>
        <w:t>asistencia técnica y legislativa para fortalecer los marcos regulatorios, mecanismos de control interno y listas de control de exportaciones y materiales de uso dual</w:t>
      </w:r>
      <w:r w:rsidRPr="00567368">
        <w:rPr>
          <w:bCs/>
          <w:iCs/>
          <w:sz w:val="22"/>
          <w:szCs w:val="22"/>
          <w:lang w:val="es-ES"/>
        </w:rPr>
        <w:t>.</w:t>
      </w:r>
    </w:p>
    <w:p w14:paraId="642C36E0" w14:textId="77777777" w:rsidR="00FE713F" w:rsidRPr="00567368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09679E66" w14:textId="0F422C95" w:rsidR="00FE713F" w:rsidRPr="00567368" w:rsidRDefault="00FE713F" w:rsidP="00FE713F">
      <w:pPr>
        <w:jc w:val="both"/>
        <w:rPr>
          <w:bCs/>
          <w:iCs/>
          <w:sz w:val="22"/>
          <w:szCs w:val="22"/>
          <w:lang w:val="es-ES"/>
        </w:rPr>
      </w:pPr>
      <w:r w:rsidRPr="00567368">
        <w:rPr>
          <w:rFonts w:eastAsia="Calibri"/>
          <w:sz w:val="22"/>
          <w:szCs w:val="22"/>
          <w:u w:val="single"/>
          <w:lang w:val="es-ES"/>
        </w:rPr>
        <w:t>Actividades propuestas</w:t>
      </w:r>
      <w:r w:rsidRPr="00567368">
        <w:rPr>
          <w:bCs/>
          <w:iCs/>
          <w:sz w:val="22"/>
          <w:szCs w:val="22"/>
          <w:lang w:val="es-ES"/>
        </w:rPr>
        <w:t>:</w:t>
      </w:r>
    </w:p>
    <w:p w14:paraId="78B5179B" w14:textId="77777777" w:rsidR="00FE713F" w:rsidRPr="00567368" w:rsidRDefault="00FE713F" w:rsidP="00FE713F">
      <w:pPr>
        <w:jc w:val="both"/>
        <w:rPr>
          <w:bCs/>
          <w:iCs/>
          <w:sz w:val="22"/>
          <w:szCs w:val="22"/>
          <w:lang w:val="es-ES"/>
        </w:rPr>
      </w:pPr>
    </w:p>
    <w:p w14:paraId="67346CF2" w14:textId="355124B3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Actividades de divulgación</w:t>
      </w:r>
      <w:r w:rsidR="0009287C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(conocimientos en materia de no proliferación de ADM, amenazas, instrumentos </w:t>
      </w:r>
      <w:proofErr w:type="gramStart"/>
      <w:r w:rsidR="0009287C" w:rsidRPr="00567368">
        <w:rPr>
          <w:rFonts w:ascii="Times New Roman" w:hAnsi="Times New Roman"/>
          <w:bCs/>
          <w:iCs/>
          <w:sz w:val="22"/>
          <w:szCs w:val="22"/>
          <w:lang w:val="es-ES"/>
        </w:rPr>
        <w:t>e</w:t>
      </w:r>
      <w:proofErr w:type="gramEnd"/>
      <w:r w:rsidR="0009287C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obligaciones internacionales, entre otros)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. </w:t>
      </w:r>
    </w:p>
    <w:p w14:paraId="61445B1A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Fortalecimiento de la red de puntos de contacto sobre la resolución 1540 (2004) en la región.</w:t>
      </w:r>
    </w:p>
    <w:p w14:paraId="1667D076" w14:textId="50C5381C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sz w:val="22"/>
          <w:szCs w:val="22"/>
          <w:lang w:val="es-ES"/>
        </w:rPr>
        <w:t xml:space="preserve">Capacitación a oficiales de gobierno, personal laboratorista, científicos y académicos en bioseguridad y </w:t>
      </w:r>
      <w:proofErr w:type="spellStart"/>
      <w:r w:rsidRPr="00567368">
        <w:rPr>
          <w:rFonts w:ascii="Times New Roman" w:hAnsi="Times New Roman"/>
          <w:bCs/>
          <w:sz w:val="22"/>
          <w:szCs w:val="22"/>
          <w:lang w:val="es-ES"/>
        </w:rPr>
        <w:t>biocustodia</w:t>
      </w:r>
      <w:proofErr w:type="spellEnd"/>
      <w:r w:rsidRPr="00567368">
        <w:rPr>
          <w:rFonts w:ascii="Times New Roman" w:hAnsi="Times New Roman"/>
          <w:bCs/>
          <w:sz w:val="22"/>
          <w:szCs w:val="22"/>
          <w:lang w:val="es-ES"/>
        </w:rPr>
        <w:t xml:space="preserve"> por medio de</w:t>
      </w:r>
      <w:r w:rsidR="0096413E" w:rsidRPr="00567368">
        <w:rPr>
          <w:rFonts w:ascii="Times New Roman" w:hAnsi="Times New Roman"/>
          <w:bCs/>
          <w:sz w:val="22"/>
          <w:szCs w:val="22"/>
          <w:lang w:val="es-ES"/>
        </w:rPr>
        <w:t xml:space="preserve"> dos</w:t>
      </w:r>
      <w:r w:rsidRPr="00567368">
        <w:rPr>
          <w:rFonts w:ascii="Times New Roman" w:hAnsi="Times New Roman"/>
          <w:bCs/>
          <w:sz w:val="22"/>
          <w:szCs w:val="22"/>
          <w:lang w:val="es-ES"/>
        </w:rPr>
        <w:t xml:space="preserve"> curso</w:t>
      </w:r>
      <w:r w:rsidR="0096413E" w:rsidRPr="00567368">
        <w:rPr>
          <w:rFonts w:ascii="Times New Roman" w:hAnsi="Times New Roman"/>
          <w:bCs/>
          <w:sz w:val="22"/>
          <w:szCs w:val="22"/>
          <w:lang w:val="es-ES"/>
        </w:rPr>
        <w:t>s</w:t>
      </w:r>
      <w:r w:rsidRPr="00567368">
        <w:rPr>
          <w:rFonts w:ascii="Times New Roman" w:hAnsi="Times New Roman"/>
          <w:bCs/>
          <w:sz w:val="22"/>
          <w:szCs w:val="22"/>
          <w:lang w:val="es-ES"/>
        </w:rPr>
        <w:t xml:space="preserve"> masivo</w:t>
      </w:r>
      <w:r w:rsidR="0096413E" w:rsidRPr="00567368">
        <w:rPr>
          <w:rFonts w:ascii="Times New Roman" w:hAnsi="Times New Roman"/>
          <w:bCs/>
          <w:sz w:val="22"/>
          <w:szCs w:val="22"/>
          <w:lang w:val="es-ES"/>
        </w:rPr>
        <w:t>s</w:t>
      </w:r>
      <w:r w:rsidRPr="00567368">
        <w:rPr>
          <w:rFonts w:ascii="Times New Roman" w:hAnsi="Times New Roman"/>
          <w:bCs/>
          <w:sz w:val="22"/>
          <w:szCs w:val="22"/>
          <w:lang w:val="es-ES"/>
        </w:rPr>
        <w:t xml:space="preserve"> abierto</w:t>
      </w:r>
      <w:r w:rsidR="0096413E" w:rsidRPr="00567368">
        <w:rPr>
          <w:rFonts w:ascii="Times New Roman" w:hAnsi="Times New Roman"/>
          <w:bCs/>
          <w:sz w:val="22"/>
          <w:szCs w:val="22"/>
          <w:lang w:val="es-ES"/>
        </w:rPr>
        <w:t>s</w:t>
      </w:r>
      <w:r w:rsidRPr="00567368">
        <w:rPr>
          <w:rFonts w:ascii="Times New Roman" w:hAnsi="Times New Roman"/>
          <w:bCs/>
          <w:sz w:val="22"/>
          <w:szCs w:val="22"/>
          <w:lang w:val="es-ES"/>
        </w:rPr>
        <w:t xml:space="preserve"> en línea </w:t>
      </w:r>
      <w:r w:rsidR="0096413E" w:rsidRPr="00567368">
        <w:rPr>
          <w:rFonts w:ascii="Times New Roman" w:hAnsi="Times New Roman"/>
          <w:bCs/>
          <w:sz w:val="22"/>
          <w:szCs w:val="22"/>
          <w:lang w:val="es-ES"/>
        </w:rPr>
        <w:t xml:space="preserve">(MOOC) </w:t>
      </w:r>
      <w:r w:rsidRPr="00567368">
        <w:rPr>
          <w:rFonts w:ascii="Times New Roman" w:hAnsi="Times New Roman"/>
          <w:bCs/>
          <w:sz w:val="22"/>
          <w:szCs w:val="22"/>
          <w:lang w:val="es-ES"/>
        </w:rPr>
        <w:t>que estará</w:t>
      </w:r>
      <w:r w:rsidR="0096413E" w:rsidRPr="00567368">
        <w:rPr>
          <w:rFonts w:ascii="Times New Roman" w:hAnsi="Times New Roman"/>
          <w:bCs/>
          <w:sz w:val="22"/>
          <w:szCs w:val="22"/>
          <w:lang w:val="es-ES"/>
        </w:rPr>
        <w:t>n</w:t>
      </w:r>
      <w:r w:rsidRPr="00567368">
        <w:rPr>
          <w:rFonts w:ascii="Times New Roman" w:hAnsi="Times New Roman"/>
          <w:bCs/>
          <w:sz w:val="22"/>
          <w:szCs w:val="22"/>
          <w:lang w:val="es-ES"/>
        </w:rPr>
        <w:t xml:space="preserve"> a disposición de todos los países de</w:t>
      </w:r>
      <w:r w:rsidR="0096413E" w:rsidRPr="00567368">
        <w:rPr>
          <w:rFonts w:ascii="Times New Roman" w:hAnsi="Times New Roman"/>
          <w:bCs/>
          <w:sz w:val="22"/>
          <w:szCs w:val="22"/>
          <w:lang w:val="es-ES"/>
        </w:rPr>
        <w:t xml:space="preserve"> habla hispana de</w:t>
      </w:r>
      <w:r w:rsidRPr="00567368">
        <w:rPr>
          <w:rFonts w:ascii="Times New Roman" w:hAnsi="Times New Roman"/>
          <w:bCs/>
          <w:sz w:val="22"/>
          <w:szCs w:val="22"/>
          <w:lang w:val="es-ES"/>
        </w:rPr>
        <w:t xml:space="preserve"> la región. </w:t>
      </w:r>
    </w:p>
    <w:p w14:paraId="27B4F471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Investigación sobre el estado de situación en bioseguridad y </w:t>
      </w:r>
      <w:proofErr w:type="spellStart"/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biocustodia</w:t>
      </w:r>
      <w:proofErr w:type="spellEnd"/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con el abordaje de casos específicos de la región.</w:t>
      </w:r>
    </w:p>
    <w:p w14:paraId="64126805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sz w:val="22"/>
          <w:szCs w:val="22"/>
          <w:lang w:val="es-ES"/>
        </w:rPr>
        <w:t xml:space="preserve">Asistencia legislativa para el fortalecimiento de los marcos regulatorios internos en línea con la resolución 1540 (2004). </w:t>
      </w:r>
    </w:p>
    <w:p w14:paraId="312D60E8" w14:textId="1258BA24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Entrenamientos </w:t>
      </w:r>
      <w:r w:rsidRPr="00567368">
        <w:rPr>
          <w:rFonts w:ascii="Times New Roman" w:hAnsi="Times New Roman"/>
          <w:bCs/>
          <w:sz w:val="22"/>
          <w:szCs w:val="22"/>
          <w:lang w:val="es-ES"/>
        </w:rPr>
        <w:t>nacionales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sobre bioseguridad</w:t>
      </w:r>
      <w:r w:rsidR="0096413E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y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proofErr w:type="spellStart"/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biocustodia</w:t>
      </w:r>
      <w:proofErr w:type="spellEnd"/>
      <w:r w:rsidR="0096413E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para personal de laboratorio.</w:t>
      </w:r>
    </w:p>
    <w:p w14:paraId="34EB7CFF" w14:textId="74EDCCD8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sz w:val="22"/>
          <w:szCs w:val="22"/>
          <w:lang w:val="es-ES"/>
        </w:rPr>
        <w:t>Ejercicios de revisión entre pares (</w:t>
      </w:r>
      <w:r w:rsidRPr="00567368">
        <w:rPr>
          <w:rFonts w:ascii="Times New Roman" w:hAnsi="Times New Roman"/>
          <w:bCs/>
          <w:i/>
          <w:iCs/>
          <w:sz w:val="22"/>
          <w:szCs w:val="22"/>
          <w:lang w:val="es-ES"/>
        </w:rPr>
        <w:t>peer</w:t>
      </w:r>
      <w:r w:rsidRPr="00567368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  <w:proofErr w:type="spellStart"/>
      <w:r w:rsidRPr="00567368">
        <w:rPr>
          <w:rFonts w:ascii="Times New Roman" w:hAnsi="Times New Roman"/>
          <w:bCs/>
          <w:i/>
          <w:iCs/>
          <w:sz w:val="22"/>
          <w:szCs w:val="22"/>
          <w:lang w:val="es-ES"/>
        </w:rPr>
        <w:t>reviews</w:t>
      </w:r>
      <w:proofErr w:type="spellEnd"/>
      <w:r w:rsidRPr="00567368">
        <w:rPr>
          <w:rFonts w:ascii="Times New Roman" w:hAnsi="Times New Roman"/>
          <w:bCs/>
          <w:sz w:val="22"/>
          <w:szCs w:val="22"/>
          <w:lang w:val="es-ES"/>
        </w:rPr>
        <w:t>)</w:t>
      </w:r>
      <w:r w:rsidR="0009287C" w:rsidRPr="00567368">
        <w:rPr>
          <w:rFonts w:ascii="Times New Roman" w:hAnsi="Times New Roman"/>
          <w:bCs/>
          <w:sz w:val="22"/>
          <w:szCs w:val="22"/>
          <w:lang w:val="es-ES"/>
        </w:rPr>
        <w:t>.</w:t>
      </w:r>
      <w:r w:rsidRPr="00567368">
        <w:rPr>
          <w:rFonts w:ascii="Times New Roman" w:hAnsi="Times New Roman"/>
          <w:bCs/>
          <w:sz w:val="22"/>
          <w:szCs w:val="22"/>
          <w:lang w:val="es-ES"/>
        </w:rPr>
        <w:t xml:space="preserve"> </w:t>
      </w:r>
    </w:p>
    <w:p w14:paraId="49271EE0" w14:textId="61D87EDE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Sensibilización del sector público y privado sobre las amenazas de armas de destrucción masiva en particular en los operadores de comercio exterior de las zonas francas.</w:t>
      </w:r>
    </w:p>
    <w:p w14:paraId="4987E2FD" w14:textId="77D34314" w:rsidR="0009287C" w:rsidRPr="00567368" w:rsidRDefault="0009287C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Publicaciones técnicas sobre temas de relevancia para la región.</w:t>
      </w:r>
    </w:p>
    <w:p w14:paraId="0F63372B" w14:textId="5DAE4BA9" w:rsidR="00FE713F" w:rsidRPr="00567368" w:rsidRDefault="00FE713F" w:rsidP="00FE713F">
      <w:pPr>
        <w:pStyle w:val="ListParagraph"/>
        <w:ind w:left="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</w:pPr>
    </w:p>
    <w:p w14:paraId="6C48208B" w14:textId="77777777" w:rsidR="00FE713F" w:rsidRPr="00567368" w:rsidRDefault="00FE713F" w:rsidP="00FE713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Prevención del extremismo violento</w:t>
      </w:r>
    </w:p>
    <w:p w14:paraId="26156FFB" w14:textId="77777777" w:rsidR="00FE713F" w:rsidRPr="00567368" w:rsidRDefault="00FE713F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</w:p>
    <w:p w14:paraId="1F75B0D9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sz w:val="22"/>
          <w:szCs w:val="22"/>
          <w:u w:val="single"/>
          <w:lang w:val="es-ES"/>
        </w:rPr>
        <w:t>Propósito</w:t>
      </w:r>
      <w:r w:rsidRPr="00567368">
        <w:rPr>
          <w:sz w:val="22"/>
          <w:szCs w:val="22"/>
          <w:lang w:val="es-ES"/>
        </w:rPr>
        <w:t>:</w:t>
      </w:r>
    </w:p>
    <w:p w14:paraId="010E454F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sz w:val="22"/>
          <w:szCs w:val="22"/>
          <w:lang w:val="es-ES"/>
        </w:rPr>
        <w:t xml:space="preserve"> </w:t>
      </w:r>
    </w:p>
    <w:p w14:paraId="1B859E53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bCs/>
          <w:iCs/>
          <w:sz w:val="22"/>
          <w:szCs w:val="22"/>
          <w:lang w:val="es-ES"/>
        </w:rPr>
        <w:t xml:space="preserve">Apoyar a los Estados Miembros en sus esfuerzos para fomentar el diálogo hemisférico, la cooperación regional y el fortalecimiento de las capacidades para prevenir el extremismo violento que puede conducir al terrorismo, conforme a lo establecido en los mandatos de la Asamblea General de la OEA y del CICTE y en línea con los instrumentos </w:t>
      </w:r>
      <w:r w:rsidRPr="00567368">
        <w:rPr>
          <w:sz w:val="22"/>
          <w:szCs w:val="22"/>
          <w:lang w:val="es-ES"/>
        </w:rPr>
        <w:t xml:space="preserve">internacionales pertinentes. </w:t>
      </w:r>
    </w:p>
    <w:p w14:paraId="70179996" w14:textId="77777777" w:rsidR="00FE713F" w:rsidRPr="00567368" w:rsidRDefault="00FE713F" w:rsidP="00FE713F">
      <w:pPr>
        <w:jc w:val="both"/>
        <w:rPr>
          <w:bCs/>
          <w:iCs/>
          <w:sz w:val="22"/>
          <w:szCs w:val="22"/>
          <w:lang w:val="es-ES"/>
        </w:rPr>
      </w:pPr>
    </w:p>
    <w:p w14:paraId="546C071D" w14:textId="77777777" w:rsidR="00FE713F" w:rsidRPr="00567368" w:rsidRDefault="00FE713F" w:rsidP="00FE713F">
      <w:pPr>
        <w:jc w:val="both"/>
        <w:rPr>
          <w:bCs/>
          <w:iCs/>
          <w:sz w:val="22"/>
          <w:szCs w:val="22"/>
          <w:lang w:val="es-ES"/>
        </w:rPr>
      </w:pPr>
      <w:r w:rsidRPr="00567368">
        <w:rPr>
          <w:rFonts w:eastAsia="Calibri"/>
          <w:sz w:val="22"/>
          <w:szCs w:val="22"/>
          <w:u w:val="single"/>
          <w:lang w:val="es-ES"/>
        </w:rPr>
        <w:t>Actividades propuestas</w:t>
      </w:r>
      <w:r w:rsidRPr="00567368">
        <w:rPr>
          <w:bCs/>
          <w:iCs/>
          <w:sz w:val="22"/>
          <w:szCs w:val="22"/>
          <w:lang w:val="es-ES"/>
        </w:rPr>
        <w:t>:</w:t>
      </w:r>
    </w:p>
    <w:p w14:paraId="4F59D041" w14:textId="77777777" w:rsidR="00FE713F" w:rsidRPr="00567368" w:rsidRDefault="00FE713F" w:rsidP="00FE713F">
      <w:pPr>
        <w:jc w:val="both"/>
        <w:rPr>
          <w:bCs/>
          <w:iCs/>
          <w:sz w:val="22"/>
          <w:szCs w:val="22"/>
          <w:lang w:val="es-ES"/>
        </w:rPr>
      </w:pPr>
    </w:p>
    <w:p w14:paraId="43973CF5" w14:textId="56316113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Identificación de expertos e instituciones especializadas en prevención del extremismo violento que puedan contribuir al diálogo hemisférico en el marco del CICTE</w:t>
      </w:r>
      <w:r w:rsidR="002F0934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y, eventualmente, conformar una red de expertos de la región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.</w:t>
      </w:r>
    </w:p>
    <w:p w14:paraId="1C0A59B3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Organización de foros, seminarios, talleres y otras actividades para facilitar una mayor comprensión del fenómeno del extremismo violento y sus manifestaciones, así como la amenaza que presenta y la necesidad de prevenirlo. </w:t>
      </w:r>
    </w:p>
    <w:p w14:paraId="541FE192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lastRenderedPageBreak/>
        <w:t xml:space="preserve">Participación en encuentros especializados sobre el estudio de las tendencias actuales y emergentes en materia de prevención del extremismo violento. </w:t>
      </w:r>
    </w:p>
    <w:p w14:paraId="661D8B0F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Apoyo en el intercambio de información y experiencias para prevenir y responder a los desafíos que conlleva el extremismo violento y, en particular, el reclutamiento, la propaganda y la radicalización (en línea y </w:t>
      </w:r>
      <w:r w:rsidRPr="00567368">
        <w:rPr>
          <w:rFonts w:ascii="Times New Roman" w:hAnsi="Times New Roman"/>
          <w:bCs/>
          <w:i/>
          <w:sz w:val="22"/>
          <w:szCs w:val="22"/>
          <w:lang w:val="es-ES"/>
        </w:rPr>
        <w:t>off line)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. </w:t>
      </w:r>
    </w:p>
    <w:p w14:paraId="166CA34E" w14:textId="0AB75D79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Apoyo en el desarrollo/fortalecimiento de las capacidades técnicas para prevenir y abordar el extremismo violento. </w:t>
      </w:r>
    </w:p>
    <w:p w14:paraId="3789937E" w14:textId="77777777" w:rsidR="004A4AA6" w:rsidRPr="00567368" w:rsidRDefault="004A4AA6" w:rsidP="004A4AA6">
      <w:pPr>
        <w:pStyle w:val="ListParagraph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</w:p>
    <w:p w14:paraId="23338056" w14:textId="5657A073" w:rsidR="00FE713F" w:rsidRPr="00567368" w:rsidRDefault="00FE713F" w:rsidP="00FE713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/>
          <w:bCs/>
          <w:i/>
          <w:iCs/>
          <w:sz w:val="22"/>
          <w:szCs w:val="22"/>
          <w:lang w:val="es-ES"/>
        </w:rPr>
        <w:t>Seguridad de fronteras (aéreas, terrestres, marítimas)</w:t>
      </w:r>
    </w:p>
    <w:p w14:paraId="09CF2E79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</w:p>
    <w:p w14:paraId="6C369984" w14:textId="77777777" w:rsidR="00FE713F" w:rsidRPr="00567368" w:rsidRDefault="00FE713F" w:rsidP="00FE713F">
      <w:pPr>
        <w:jc w:val="both"/>
        <w:rPr>
          <w:b/>
          <w:bCs/>
          <w:sz w:val="22"/>
          <w:szCs w:val="22"/>
          <w:lang w:val="es-ES"/>
        </w:rPr>
      </w:pPr>
      <w:r w:rsidRPr="00567368">
        <w:rPr>
          <w:b/>
          <w:bCs/>
          <w:sz w:val="22"/>
          <w:szCs w:val="22"/>
          <w:lang w:val="es-ES"/>
        </w:rPr>
        <w:t>Protección marítima</w:t>
      </w:r>
    </w:p>
    <w:p w14:paraId="4680F6D9" w14:textId="77777777" w:rsidR="00FE713F" w:rsidRPr="00567368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401FBD9F" w14:textId="1AE7B7C0" w:rsidR="00FE713F" w:rsidRPr="00567368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567368">
        <w:rPr>
          <w:rFonts w:eastAsia="Calibri"/>
          <w:sz w:val="22"/>
          <w:szCs w:val="22"/>
          <w:u w:val="single"/>
          <w:lang w:val="es-ES"/>
        </w:rPr>
        <w:t>Propósito</w:t>
      </w:r>
      <w:r w:rsidRPr="00567368">
        <w:rPr>
          <w:rFonts w:eastAsia="Calibri"/>
          <w:b/>
          <w:bCs/>
          <w:sz w:val="22"/>
          <w:szCs w:val="22"/>
          <w:lang w:val="es-ES"/>
        </w:rPr>
        <w:t xml:space="preserve">: </w:t>
      </w:r>
    </w:p>
    <w:p w14:paraId="1CBA52A2" w14:textId="77777777" w:rsidR="00FE713F" w:rsidRPr="00567368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3300CA79" w14:textId="36A9756A" w:rsidR="00FE713F" w:rsidRPr="00567368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567368">
        <w:rPr>
          <w:rFonts w:eastAsia="Calibri"/>
          <w:bCs/>
          <w:sz w:val="22"/>
          <w:szCs w:val="22"/>
          <w:lang w:val="es-ES"/>
        </w:rPr>
        <w:t>A</w:t>
      </w:r>
      <w:r w:rsidRPr="00567368">
        <w:rPr>
          <w:rFonts w:eastAsia="Calibri"/>
          <w:sz w:val="22"/>
          <w:szCs w:val="22"/>
          <w:lang w:val="es-ES"/>
        </w:rPr>
        <w:t>poyar en el fortalecimiento de las capacidades de seguridad marítima y portuaria por medio de actividades especializadas a nivel nacional y regional, con una metodología propia, en concertación con los actores clave involucrados en el desarrollo de capacidades de protección portuaria y en estrecha coordinación con otros organismos internacionales especializados como la Organización Marítima Internacional.</w:t>
      </w:r>
    </w:p>
    <w:p w14:paraId="40645195" w14:textId="77777777" w:rsidR="00FE713F" w:rsidRPr="00567368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639AA1DC" w14:textId="77777777" w:rsidR="00FE713F" w:rsidRPr="00567368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  <w:r w:rsidRPr="00567368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E4061DE" w14:textId="77777777" w:rsidR="00FE713F" w:rsidRPr="00567368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46F75F89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Apoyo en el desarrollo e implementación de estrategias protección marítima, a nivel nacional y subregional.</w:t>
      </w:r>
    </w:p>
    <w:p w14:paraId="1B18D51A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Facilitación del intercambio de información, mejores prácticas y cooperación internacional entre gobiernos, el sector privado y sociedad civil, así como con otras organizaciones internacionales y regionales en materia de seguridad marítima y portuaria.</w:t>
      </w:r>
    </w:p>
    <w:p w14:paraId="22B4011E" w14:textId="3D780894" w:rsidR="00FE713F" w:rsidRPr="00567368" w:rsidRDefault="00FE713F" w:rsidP="26C56B4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sz w:val="22"/>
          <w:szCs w:val="22"/>
          <w:lang w:val="es-ES"/>
        </w:rPr>
        <w:t>Organización de talleres y conferencias nacionales, subregionales y regionales sobre una amplia gama de temas de protección marítima, incluyendo desarrollo de comités de protección marítima, evaluaciones de riesgos marítimo a nivel nacional, y desarrollo de estrategias de protección marítima.</w:t>
      </w:r>
    </w:p>
    <w:p w14:paraId="6E9B97FD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Implementación de iniciativas destinadas a reducir la brecha de mujeres que trabajan en el sector marítimo.</w:t>
      </w:r>
    </w:p>
    <w:p w14:paraId="6222B8AC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Elaboración y difusión de informes sobre tendencias y problemas regionales de seguridad marítima y portuaria, incluyendo protección de instalaciones portuarias. </w:t>
      </w:r>
    </w:p>
    <w:p w14:paraId="45E6B00A" w14:textId="45E35EE7" w:rsidR="00FE713F" w:rsidRPr="00567368" w:rsidRDefault="00FE713F" w:rsidP="00294EF8">
      <w:pPr>
        <w:jc w:val="both"/>
        <w:rPr>
          <w:color w:val="000000" w:themeColor="text1"/>
          <w:sz w:val="22"/>
          <w:szCs w:val="22"/>
          <w:lang w:val="es-ES"/>
        </w:rPr>
      </w:pPr>
    </w:p>
    <w:p w14:paraId="46B7455E" w14:textId="053EDB1C" w:rsidR="00FE713F" w:rsidRPr="00567368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567368">
        <w:rPr>
          <w:b/>
          <w:bCs/>
          <w:color w:val="000000" w:themeColor="text1"/>
          <w:sz w:val="22"/>
          <w:szCs w:val="22"/>
          <w:lang w:val="es-ES"/>
        </w:rPr>
        <w:t xml:space="preserve">Seguridad en la aviación </w:t>
      </w:r>
    </w:p>
    <w:p w14:paraId="5AD8BB31" w14:textId="5873692D" w:rsidR="00FE713F" w:rsidRPr="00567368" w:rsidRDefault="00FE713F" w:rsidP="4A7240B3">
      <w:pPr>
        <w:jc w:val="both"/>
        <w:rPr>
          <w:color w:val="000000" w:themeColor="text1"/>
          <w:sz w:val="22"/>
          <w:szCs w:val="22"/>
          <w:lang w:val="es-ES"/>
        </w:rPr>
      </w:pPr>
    </w:p>
    <w:p w14:paraId="32C12C97" w14:textId="76B996FA" w:rsidR="00FE713F" w:rsidRPr="00567368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567368">
        <w:rPr>
          <w:color w:val="000000" w:themeColor="text1"/>
          <w:sz w:val="22"/>
          <w:szCs w:val="22"/>
          <w:u w:val="single"/>
          <w:lang w:val="es-ES"/>
        </w:rPr>
        <w:t>Propósito</w:t>
      </w:r>
      <w:r w:rsidRPr="00567368">
        <w:rPr>
          <w:b/>
          <w:bCs/>
          <w:color w:val="000000" w:themeColor="text1"/>
          <w:sz w:val="22"/>
          <w:szCs w:val="22"/>
          <w:lang w:val="es-ES"/>
        </w:rPr>
        <w:t>:</w:t>
      </w:r>
    </w:p>
    <w:p w14:paraId="41315E03" w14:textId="138DB8EB" w:rsidR="00FE713F" w:rsidRPr="00567368" w:rsidRDefault="00FE713F" w:rsidP="4A7240B3">
      <w:pPr>
        <w:jc w:val="both"/>
        <w:rPr>
          <w:color w:val="000000" w:themeColor="text1"/>
          <w:sz w:val="22"/>
          <w:szCs w:val="22"/>
          <w:lang w:val="es-ES"/>
        </w:rPr>
      </w:pPr>
    </w:p>
    <w:p w14:paraId="52A449C3" w14:textId="1276D066" w:rsidR="00FE713F" w:rsidRPr="00567368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567368">
        <w:rPr>
          <w:color w:val="000000" w:themeColor="text1"/>
          <w:sz w:val="22"/>
          <w:szCs w:val="22"/>
          <w:lang w:val="es-ES"/>
        </w:rPr>
        <w:t xml:space="preserve">Apoyar en el fortalecimiento de la capacidad instalada para cumplir con las normas y prácticas recomendadas por la Organización de Aviación Civil Internacional (OACI), el Convenio de Aviación Civil Internacional, especialmente el Anexo 17 – Seguridad: protección de la aviación civil internacional contra los actos de interferencia ilícita) y otras recomendaciones para proteger la aviación civil internacional de posibles actos de terrorismo. </w:t>
      </w:r>
    </w:p>
    <w:p w14:paraId="40C6B693" w14:textId="5E462CD9" w:rsidR="00FE713F" w:rsidRPr="00567368" w:rsidRDefault="4A7240B3" w:rsidP="4A7240B3">
      <w:pPr>
        <w:jc w:val="both"/>
        <w:rPr>
          <w:color w:val="000000" w:themeColor="text1"/>
          <w:sz w:val="22"/>
          <w:szCs w:val="22"/>
          <w:lang w:val="es-ES"/>
        </w:rPr>
      </w:pPr>
      <w:r w:rsidRPr="00567368">
        <w:rPr>
          <w:color w:val="000000" w:themeColor="text1"/>
          <w:sz w:val="22"/>
          <w:szCs w:val="22"/>
          <w:u w:val="single"/>
          <w:lang w:val="es-ES"/>
        </w:rPr>
        <w:t>Actividades propuestas:</w:t>
      </w:r>
    </w:p>
    <w:p w14:paraId="18E236B8" w14:textId="03414A2E" w:rsidR="00FE713F" w:rsidRPr="00567368" w:rsidRDefault="00FE713F" w:rsidP="4A7240B3">
      <w:pPr>
        <w:jc w:val="both"/>
        <w:rPr>
          <w:sz w:val="22"/>
          <w:szCs w:val="22"/>
          <w:lang w:val="es-ES"/>
        </w:rPr>
      </w:pPr>
    </w:p>
    <w:p w14:paraId="3EFFA8BB" w14:textId="3B22E518" w:rsidR="00FE713F" w:rsidRPr="00567368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</w:pPr>
      <w:r w:rsidRPr="00567368">
        <w:rPr>
          <w:rFonts w:ascii="Times New Roman" w:eastAsia="Times New Roman" w:hAnsi="Times New Roman"/>
          <w:sz w:val="22"/>
          <w:szCs w:val="22"/>
          <w:lang w:val="es-ES"/>
        </w:rPr>
        <w:t>Capacitación de personal</w:t>
      </w:r>
      <w:r w:rsidR="00250A03"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 </w:t>
      </w:r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con responsabilidad operativa y actores clave para la seguridad de la aviación en la identificación y mitigación de amenazas internas y externas en el sector de la </w:t>
      </w:r>
      <w:r w:rsidRPr="00567368">
        <w:rPr>
          <w:rFonts w:ascii="Times New Roman" w:eastAsia="Times New Roman" w:hAnsi="Times New Roman"/>
          <w:sz w:val="22"/>
          <w:szCs w:val="22"/>
          <w:lang w:val="es-ES"/>
        </w:rPr>
        <w:lastRenderedPageBreak/>
        <w:t>aviación civil.</w:t>
      </w:r>
      <w:r w:rsidRPr="00567368"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  <w:t xml:space="preserve"> Esto incluye el fortalecimiento de las capacidades para enfrentar las amenazas internas en los aeropuertos, las amenazas de baja y alta tecnología, los Sistemas de Defensa Aérea Portátil/ </w:t>
      </w:r>
      <w:r w:rsidRPr="00567368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val="es-ES"/>
        </w:rPr>
        <w:t xml:space="preserve">Man-Portable Air-defense </w:t>
      </w:r>
      <w:proofErr w:type="spellStart"/>
      <w:r w:rsidRPr="00567368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val="es-ES"/>
        </w:rPr>
        <w:t>Systems</w:t>
      </w:r>
      <w:proofErr w:type="spellEnd"/>
      <w:r w:rsidRPr="00567368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val="es-ES"/>
        </w:rPr>
        <w:t xml:space="preserve"> </w:t>
      </w:r>
      <w:r w:rsidRPr="00567368"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  <w:t>(MANPADS</w:t>
      </w:r>
      <w:r w:rsidRPr="00567368">
        <w:rPr>
          <w:rFonts w:ascii="Times New Roman" w:eastAsia="Times New Roman" w:hAnsi="Times New Roman"/>
          <w:color w:val="0078D4"/>
          <w:sz w:val="22"/>
          <w:szCs w:val="22"/>
          <w:u w:val="single"/>
          <w:lang w:val="es-ES"/>
        </w:rPr>
        <w:t>,</w:t>
      </w:r>
      <w:r w:rsidRPr="00567368"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  <w:t xml:space="preserve"> por sus siglas en inglés) y los controles de acceso nacional, entre otros.</w:t>
      </w:r>
    </w:p>
    <w:p w14:paraId="5498E8AB" w14:textId="730577F8" w:rsidR="00FE713F" w:rsidRPr="00567368" w:rsidRDefault="003D30B0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567368">
        <w:rPr>
          <w:rFonts w:ascii="Times New Roman" w:eastAsia="Times New Roman" w:hAnsi="Times New Roman"/>
          <w:sz w:val="22"/>
          <w:szCs w:val="22"/>
          <w:lang w:val="es-ES"/>
        </w:rPr>
        <w:t>C</w:t>
      </w:r>
      <w:r w:rsidR="4A7240B3" w:rsidRPr="00567368">
        <w:rPr>
          <w:rFonts w:ascii="Times New Roman" w:eastAsia="Times New Roman" w:hAnsi="Times New Roman"/>
          <w:sz w:val="22"/>
          <w:szCs w:val="22"/>
          <w:lang w:val="es-ES"/>
        </w:rPr>
        <w:t>oncientiza</w:t>
      </w:r>
      <w:r w:rsidR="00107039" w:rsidRPr="00567368">
        <w:rPr>
          <w:rFonts w:ascii="Times New Roman" w:eastAsia="Times New Roman" w:hAnsi="Times New Roman"/>
          <w:sz w:val="22"/>
          <w:szCs w:val="22"/>
          <w:lang w:val="es-ES"/>
        </w:rPr>
        <w:t>ción</w:t>
      </w:r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 de autoridades subregionales en el sector de la seguridad de la aviación </w:t>
      </w:r>
      <w:r w:rsidR="4A7240B3"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sobre las amenazas internas a la seguridad </w:t>
      </w:r>
      <w:r w:rsidR="002230D4" w:rsidRPr="00567368">
        <w:rPr>
          <w:rFonts w:ascii="Times New Roman" w:eastAsia="Times New Roman" w:hAnsi="Times New Roman"/>
          <w:sz w:val="22"/>
          <w:szCs w:val="22"/>
          <w:lang w:val="es-ES"/>
        </w:rPr>
        <w:t>en este sector para facilitar el intercambio de</w:t>
      </w:r>
      <w:r w:rsidR="4A7240B3"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 buenas prácticas </w:t>
      </w:r>
      <w:r w:rsidR="002230D4"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orientadas a </w:t>
      </w:r>
      <w:r w:rsidR="4A7240B3"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mitigar amenazas y fomentar una cultura de seguridad.  </w:t>
      </w:r>
    </w:p>
    <w:p w14:paraId="34C2C5FA" w14:textId="0BFA3875" w:rsidR="00FE713F" w:rsidRPr="00567368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Capacitación de personal con responsabilidad operativa y actores clave para la seguridad de la aviación sobre los estándares y buenas prácticas recomendadas por </w:t>
      </w:r>
      <w:r w:rsidR="004D23E3"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OACI, con particular atención </w:t>
      </w:r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a los requisitos de control de acceso. </w:t>
      </w:r>
    </w:p>
    <w:p w14:paraId="3F2AC6E1" w14:textId="0DE3FCF4" w:rsidR="00FE713F" w:rsidRPr="00567368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567368">
        <w:rPr>
          <w:rFonts w:ascii="Times New Roman" w:eastAsia="Times New Roman" w:hAnsi="Times New Roman"/>
          <w:sz w:val="22"/>
          <w:szCs w:val="22"/>
          <w:lang w:val="es-ES"/>
        </w:rPr>
        <w:t>Capacitación de autoridades aduaneras, inspectores de carga y otros actores relevantes en la identificación y mitigación de riesgos en la cadena de suministro de la carga aérea.</w:t>
      </w:r>
    </w:p>
    <w:p w14:paraId="6583778D" w14:textId="2B03DB15" w:rsidR="00FE713F" w:rsidRPr="00567368" w:rsidRDefault="00B32F0C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Intercambios </w:t>
      </w:r>
      <w:r w:rsidR="4A7240B3"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de buenas prácticas y lecciones aprendidas en el marco de la seguridad de la aviación </w:t>
      </w:r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por medio de </w:t>
      </w:r>
      <w:r w:rsidR="4A7240B3" w:rsidRPr="00567368">
        <w:rPr>
          <w:rFonts w:ascii="Times New Roman" w:eastAsia="Times New Roman" w:hAnsi="Times New Roman"/>
          <w:sz w:val="22"/>
          <w:szCs w:val="22"/>
          <w:lang w:val="es-ES"/>
        </w:rPr>
        <w:t>un taller hemisférico dirigido a los encargados de las políticas públicas del sector de la aviación en la región.</w:t>
      </w:r>
    </w:p>
    <w:p w14:paraId="354F2D4F" w14:textId="1C3D9257" w:rsidR="00FE713F" w:rsidRPr="00567368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</w:pPr>
      <w:r w:rsidRPr="00567368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>Establecimiento de red de puntos focales nacionales para la seguridad de la aviación, con la finalidad de fomentar una coordinación más e</w:t>
      </w:r>
      <w:r w:rsidRPr="00567368">
        <w:rPr>
          <w:rFonts w:ascii="Times New Roman" w:eastAsia="Times New Roman" w:hAnsi="Times New Roman"/>
          <w:sz w:val="22"/>
          <w:szCs w:val="22"/>
          <w:lang w:val="es-419"/>
        </w:rPr>
        <w:t>fectiva y el intercambio de información y buenas prácticas entre las autoridades policiales</w:t>
      </w:r>
      <w:r w:rsidRPr="00567368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 y organizaciones nacionales, regionales e internacionales.</w:t>
      </w:r>
    </w:p>
    <w:p w14:paraId="3537479A" w14:textId="6A2AB00C" w:rsidR="00FE713F" w:rsidRPr="00567368" w:rsidRDefault="4A7240B3" w:rsidP="4A7240B3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es-ES"/>
        </w:rPr>
      </w:pPr>
      <w:r w:rsidRPr="00567368">
        <w:rPr>
          <w:rFonts w:ascii="Times New Roman" w:eastAsia="Times New Roman" w:hAnsi="Times New Roman"/>
          <w:color w:val="000000" w:themeColor="text1"/>
          <w:sz w:val="22"/>
          <w:szCs w:val="22"/>
          <w:lang w:val="es-419"/>
        </w:rPr>
        <w:t xml:space="preserve">Fortalecimiento de los estándares de perspectiva de género en las políticas de seguridad de la aviación. </w:t>
      </w:r>
    </w:p>
    <w:p w14:paraId="12620D67" w14:textId="2F9666B0" w:rsidR="00FE713F" w:rsidRPr="00567368" w:rsidRDefault="00FE713F" w:rsidP="4A7240B3">
      <w:pPr>
        <w:jc w:val="both"/>
        <w:rPr>
          <w:b/>
          <w:bCs/>
          <w:sz w:val="22"/>
          <w:szCs w:val="22"/>
          <w:lang w:val="es-ES"/>
        </w:rPr>
      </w:pPr>
    </w:p>
    <w:p w14:paraId="56A8DDB1" w14:textId="77777777" w:rsidR="00FE713F" w:rsidRPr="00567368" w:rsidRDefault="00FE713F" w:rsidP="00FE713F">
      <w:pPr>
        <w:jc w:val="both"/>
        <w:rPr>
          <w:b/>
          <w:sz w:val="22"/>
          <w:szCs w:val="22"/>
          <w:u w:val="single"/>
          <w:lang w:val="es-ES"/>
        </w:rPr>
      </w:pPr>
      <w:r w:rsidRPr="00567368">
        <w:rPr>
          <w:b/>
          <w:sz w:val="22"/>
          <w:szCs w:val="22"/>
          <w:lang w:val="es-ES"/>
        </w:rPr>
        <w:t xml:space="preserve">Seguridad de carga y contenedores </w:t>
      </w:r>
    </w:p>
    <w:p w14:paraId="274DAEC3" w14:textId="77777777" w:rsidR="00FE713F" w:rsidRPr="00567368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6A36320C" w14:textId="77777777" w:rsidR="00FE713F" w:rsidRPr="00567368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  <w:r w:rsidRPr="00567368">
        <w:rPr>
          <w:rFonts w:eastAsia="Calibri"/>
          <w:sz w:val="22"/>
          <w:szCs w:val="22"/>
          <w:u w:val="single"/>
          <w:lang w:val="es-ES"/>
        </w:rPr>
        <w:t>Propósito</w:t>
      </w:r>
      <w:r w:rsidRPr="00567368">
        <w:rPr>
          <w:rFonts w:eastAsia="Calibri"/>
          <w:b/>
          <w:bCs/>
          <w:sz w:val="22"/>
          <w:szCs w:val="22"/>
          <w:lang w:val="es-ES"/>
        </w:rPr>
        <w:t xml:space="preserve">: </w:t>
      </w:r>
    </w:p>
    <w:p w14:paraId="3C2AF3F1" w14:textId="77777777" w:rsidR="00FE713F" w:rsidRPr="00567368" w:rsidRDefault="00FE713F" w:rsidP="00FE713F">
      <w:pPr>
        <w:jc w:val="both"/>
        <w:rPr>
          <w:rFonts w:eastAsia="Calibri"/>
          <w:b/>
          <w:bCs/>
          <w:sz w:val="22"/>
          <w:szCs w:val="22"/>
          <w:lang w:val="es-ES"/>
        </w:rPr>
      </w:pPr>
    </w:p>
    <w:p w14:paraId="56DD2882" w14:textId="126AA508" w:rsidR="00FE713F" w:rsidRPr="00567368" w:rsidRDefault="00AD5267" w:rsidP="5A89713C">
      <w:pPr>
        <w:jc w:val="both"/>
        <w:rPr>
          <w:sz w:val="22"/>
          <w:szCs w:val="22"/>
          <w:lang w:val="es-ES"/>
        </w:rPr>
      </w:pPr>
      <w:r w:rsidRPr="00567368">
        <w:rPr>
          <w:rFonts w:eastAsia="Calibri"/>
          <w:sz w:val="22"/>
          <w:szCs w:val="22"/>
          <w:lang w:val="es-ES"/>
        </w:rPr>
        <w:t xml:space="preserve">Apoyar a los Estados Miembros en fortalecer los </w:t>
      </w:r>
      <w:r w:rsidR="00FE713F" w:rsidRPr="00567368">
        <w:rPr>
          <w:sz w:val="22"/>
          <w:szCs w:val="22"/>
          <w:lang w:val="es-ES"/>
        </w:rPr>
        <w:t xml:space="preserve">mecanismos de seguridad de carga y sus medios de transporte, </w:t>
      </w:r>
      <w:r w:rsidRPr="00567368">
        <w:rPr>
          <w:sz w:val="22"/>
          <w:szCs w:val="22"/>
          <w:lang w:val="es-ES"/>
        </w:rPr>
        <w:t xml:space="preserve">particularmente </w:t>
      </w:r>
      <w:r w:rsidR="00FE713F" w:rsidRPr="00567368">
        <w:rPr>
          <w:sz w:val="22"/>
          <w:szCs w:val="22"/>
          <w:lang w:val="es-ES"/>
        </w:rPr>
        <w:t>los procedimientos aduaneros, control, inspección e interdicción de cargas transfronterizas y sus medios de transporte.</w:t>
      </w:r>
    </w:p>
    <w:p w14:paraId="7D67F9C2" w14:textId="77777777" w:rsidR="00FE713F" w:rsidRPr="00567368" w:rsidRDefault="00FE713F" w:rsidP="00FE713F">
      <w:pPr>
        <w:jc w:val="both"/>
        <w:rPr>
          <w:bCs/>
          <w:sz w:val="22"/>
          <w:szCs w:val="22"/>
          <w:lang w:val="es-ES"/>
        </w:rPr>
      </w:pPr>
    </w:p>
    <w:p w14:paraId="18E59552" w14:textId="77777777" w:rsidR="00FE713F" w:rsidRPr="00567368" w:rsidRDefault="00FE713F" w:rsidP="00FE713F">
      <w:pPr>
        <w:jc w:val="both"/>
        <w:rPr>
          <w:rFonts w:eastAsia="Calibri"/>
          <w:bCs/>
          <w:sz w:val="22"/>
          <w:szCs w:val="22"/>
          <w:lang w:val="es-US"/>
        </w:rPr>
      </w:pPr>
      <w:r w:rsidRPr="00567368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A9E186C" w14:textId="77777777" w:rsidR="00FE713F" w:rsidRPr="00567368" w:rsidRDefault="00FE713F" w:rsidP="00FE713F">
      <w:pPr>
        <w:jc w:val="both"/>
        <w:rPr>
          <w:rFonts w:eastAsia="Calibri"/>
          <w:bCs/>
          <w:sz w:val="22"/>
          <w:szCs w:val="22"/>
          <w:u w:val="single"/>
          <w:lang w:val="es-US"/>
        </w:rPr>
      </w:pPr>
    </w:p>
    <w:p w14:paraId="5E1BB276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sz w:val="22"/>
          <w:szCs w:val="22"/>
          <w:lang w:val="es-ES"/>
        </w:rPr>
        <w:t>Desarrollo de cursos introductorios virtuales en seguridad de cargas en fronteras terrestres.</w:t>
      </w:r>
    </w:p>
    <w:p w14:paraId="679A40CA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sz w:val="22"/>
          <w:szCs w:val="22"/>
          <w:lang w:val="es-ES"/>
        </w:rPr>
        <w:t>Desarrollo de curso de bioseguridad dirigido a oficiales aduaneros y de seguridad fronteriza sobre el uso adecuado del equipo necesario ante la pandemia.</w:t>
      </w:r>
    </w:p>
    <w:p w14:paraId="23B4831D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sz w:val="22"/>
          <w:szCs w:val="22"/>
          <w:lang w:val="es-ES"/>
        </w:rPr>
        <w:t>Donación de equipos de protección personal para 5 Estados Miembros.</w:t>
      </w:r>
    </w:p>
    <w:p w14:paraId="5F16C16E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sz w:val="22"/>
          <w:szCs w:val="22"/>
          <w:lang w:val="es-ES"/>
        </w:rPr>
        <w:t>Desarrollo de foros virtuales subregionales y regionales en materia de aduanas y seguridad de mercancías transfronterizas.</w:t>
      </w:r>
    </w:p>
    <w:p w14:paraId="07078742" w14:textId="694B9B6B" w:rsidR="00FE713F" w:rsidRPr="00567368" w:rsidRDefault="00FE713F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sz w:val="22"/>
          <w:szCs w:val="22"/>
          <w:lang w:val="es-ES"/>
        </w:rPr>
        <w:t xml:space="preserve">Creación de un listado regional de expertos con el propósito de servir de instructores nacionales e internacionales certificados en la materia en apoyo a este programa y a otras iniciativas en la región, fortaleciendo a su vez el perfil profesional de los oficiales y fomentando la coordinación y cooperación regional y el intercambio de buenas prácticas y lecciones aprendidas. </w:t>
      </w:r>
    </w:p>
    <w:p w14:paraId="46DCB0D7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sz w:val="22"/>
          <w:szCs w:val="22"/>
          <w:lang w:val="es-ES"/>
        </w:rPr>
        <w:t>Apoyo a los Estados Miembros que así lo soliciten en el diseño e implementación de protocolos de bioseguridad aplicables por aduanas y otras agencias de control de mercancías transfronterizas en puntos de acceso nacionales terrestres, aéreos y marítimos.</w:t>
      </w:r>
    </w:p>
    <w:p w14:paraId="1B78F4FC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HN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HN"/>
        </w:rPr>
        <w:lastRenderedPageBreak/>
        <w:t xml:space="preserve">Misiones de análisis y evaluación técnica </w:t>
      </w:r>
      <w:proofErr w:type="spellStart"/>
      <w:r w:rsidRPr="00567368">
        <w:rPr>
          <w:rFonts w:ascii="Times New Roman" w:hAnsi="Times New Roman"/>
          <w:bCs/>
          <w:iCs/>
          <w:sz w:val="22"/>
          <w:szCs w:val="22"/>
          <w:lang w:val="es-HN"/>
        </w:rPr>
        <w:t>in-situ</w:t>
      </w:r>
      <w:proofErr w:type="spellEnd"/>
      <w:r w:rsidRPr="00567368">
        <w:rPr>
          <w:rFonts w:ascii="Times New Roman" w:hAnsi="Times New Roman"/>
          <w:bCs/>
          <w:iCs/>
          <w:sz w:val="22"/>
          <w:szCs w:val="22"/>
          <w:lang w:val="es-HN"/>
        </w:rPr>
        <w:t xml:space="preserve"> en fronteras terrestres, aéreas y marítimas para identificar vulnerabilidades y estrategias para optimizar los procesos de inspección y control de carga y los medios que las transportan.</w:t>
      </w:r>
    </w:p>
    <w:p w14:paraId="0A5B28F6" w14:textId="77777777" w:rsidR="00FE713F" w:rsidRPr="00567368" w:rsidRDefault="00FE713F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567368">
        <w:rPr>
          <w:rFonts w:ascii="Times New Roman" w:hAnsi="Times New Roman"/>
          <w:sz w:val="22"/>
          <w:szCs w:val="22"/>
          <w:lang w:val="es-HN"/>
        </w:rPr>
        <w:t>Fortalecimiento de las capacidades de interdicción de las aduanas, las fuerzas del orden y otras agencias de seguridad que operan en las zonas francas clave.</w:t>
      </w:r>
    </w:p>
    <w:p w14:paraId="700CCAE8" w14:textId="5B7F67CE" w:rsidR="5A89713C" w:rsidRPr="00567368" w:rsidRDefault="5A89713C" w:rsidP="5A89713C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567368">
        <w:rPr>
          <w:rFonts w:ascii="Times New Roman" w:hAnsi="Times New Roman"/>
          <w:sz w:val="22"/>
          <w:szCs w:val="22"/>
          <w:lang w:val="es-HN"/>
        </w:rPr>
        <w:t>Desarrollo de publicaciones sobre el estado actual de la seguridad de la carga y los contenedores en el hemisferio, tendencias recientes y posibles vulnerabilidades de la cadena de suministro.</w:t>
      </w:r>
    </w:p>
    <w:p w14:paraId="5C213132" w14:textId="12702B44" w:rsidR="5A89713C" w:rsidRPr="00567368" w:rsidRDefault="00E921B8" w:rsidP="5A89713C">
      <w:pPr>
        <w:pStyle w:val="ListParagraph"/>
        <w:numPr>
          <w:ilvl w:val="0"/>
          <w:numId w:val="12"/>
        </w:numPr>
        <w:spacing w:line="259" w:lineRule="auto"/>
        <w:ind w:left="720" w:hanging="720"/>
        <w:jc w:val="both"/>
        <w:rPr>
          <w:rFonts w:ascii="Times New Roman" w:hAnsi="Times New Roman"/>
          <w:sz w:val="22"/>
          <w:szCs w:val="22"/>
          <w:lang w:val="es-HN"/>
        </w:rPr>
      </w:pPr>
      <w:r w:rsidRPr="00567368">
        <w:rPr>
          <w:rFonts w:ascii="Times New Roman" w:hAnsi="Times New Roman"/>
          <w:sz w:val="22"/>
          <w:szCs w:val="22"/>
          <w:lang w:val="es-HN"/>
        </w:rPr>
        <w:t>Iniciativas</w:t>
      </w:r>
      <w:r w:rsidR="00B93934" w:rsidRPr="00567368">
        <w:rPr>
          <w:rFonts w:ascii="Times New Roman" w:hAnsi="Times New Roman"/>
          <w:sz w:val="22"/>
          <w:szCs w:val="22"/>
          <w:lang w:val="es-HN"/>
        </w:rPr>
        <w:t xml:space="preserve"> de </w:t>
      </w:r>
      <w:r w:rsidR="5A89713C" w:rsidRPr="00567368">
        <w:rPr>
          <w:rFonts w:ascii="Times New Roman" w:hAnsi="Times New Roman"/>
          <w:sz w:val="22"/>
          <w:szCs w:val="22"/>
          <w:lang w:val="es-HN"/>
        </w:rPr>
        <w:t xml:space="preserve">concientización y cursos de capacitación sobre las brechas de género y los desafíos, estrategias y </w:t>
      </w:r>
      <w:r w:rsidR="005C60F5" w:rsidRPr="00567368">
        <w:rPr>
          <w:rFonts w:ascii="Times New Roman" w:hAnsi="Times New Roman"/>
          <w:sz w:val="22"/>
          <w:szCs w:val="22"/>
          <w:lang w:val="es-HN"/>
        </w:rPr>
        <w:t xml:space="preserve">herramientas </w:t>
      </w:r>
      <w:r w:rsidR="5A89713C" w:rsidRPr="00567368">
        <w:rPr>
          <w:rFonts w:ascii="Times New Roman" w:hAnsi="Times New Roman"/>
          <w:sz w:val="22"/>
          <w:szCs w:val="22"/>
          <w:lang w:val="es-HN"/>
        </w:rPr>
        <w:t>para el empoderamiento de las oficiales de dichas agencias.</w:t>
      </w:r>
    </w:p>
    <w:p w14:paraId="663F2ECB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</w:p>
    <w:p w14:paraId="20F32240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b/>
          <w:bCs/>
          <w:sz w:val="22"/>
          <w:szCs w:val="22"/>
          <w:lang w:val="es-ES"/>
        </w:rPr>
        <w:t xml:space="preserve">Seguridad en la cadena de suministros / Operador Económico Autorizado </w:t>
      </w:r>
    </w:p>
    <w:p w14:paraId="2A75B86F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</w:p>
    <w:p w14:paraId="0131433C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sz w:val="22"/>
          <w:szCs w:val="22"/>
          <w:u w:val="single"/>
          <w:lang w:val="es-ES"/>
        </w:rPr>
        <w:t>Propósito</w:t>
      </w:r>
      <w:r w:rsidRPr="00567368">
        <w:rPr>
          <w:sz w:val="22"/>
          <w:szCs w:val="22"/>
          <w:lang w:val="es-ES"/>
        </w:rPr>
        <w:t xml:space="preserve">: </w:t>
      </w:r>
    </w:p>
    <w:p w14:paraId="59ECFE28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</w:p>
    <w:p w14:paraId="247095E2" w14:textId="0B5CBABD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sz w:val="22"/>
          <w:szCs w:val="22"/>
          <w:lang w:val="es-ES"/>
        </w:rPr>
        <w:t>Apoyar el fortalecimiento de la seguridad en la cadena de suministros por medio de operadores económicos autorizados que generan certeza para los oficiales aduaneros y facilitan el comercio para las empresas, conforme a los lineamientos contemplados en el marco SAFE de la Organización Mundial de Aduanas.</w:t>
      </w:r>
    </w:p>
    <w:p w14:paraId="336C941A" w14:textId="77777777" w:rsidR="002C4EDA" w:rsidRPr="00567368" w:rsidRDefault="002C4EDA" w:rsidP="00FE713F">
      <w:pPr>
        <w:jc w:val="both"/>
        <w:rPr>
          <w:sz w:val="22"/>
          <w:szCs w:val="22"/>
          <w:u w:val="single"/>
          <w:lang w:val="es-ES"/>
        </w:rPr>
      </w:pPr>
    </w:p>
    <w:p w14:paraId="4E69165A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33BBECC8" w14:textId="77777777" w:rsidR="002C4EDA" w:rsidRPr="00567368" w:rsidRDefault="002C4EDA" w:rsidP="002C4EDA">
      <w:pPr>
        <w:jc w:val="both"/>
        <w:rPr>
          <w:sz w:val="22"/>
          <w:szCs w:val="22"/>
          <w:lang w:val="es-ES"/>
        </w:rPr>
      </w:pPr>
    </w:p>
    <w:p w14:paraId="4B77802F" w14:textId="574DC600" w:rsidR="002C4EDA" w:rsidRPr="00567368" w:rsidRDefault="002C4EDA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567368">
        <w:rPr>
          <w:rFonts w:ascii="Times New Roman" w:eastAsia="Times New Roman" w:hAnsi="Times New Roman"/>
          <w:sz w:val="22"/>
          <w:szCs w:val="22"/>
          <w:lang w:val="es-ES"/>
        </w:rPr>
        <w:t>Evaluaciones nacionales y desarrollo de planes de trabajo para la identificación de asistencia técnica a las aduanas,</w:t>
      </w:r>
      <w:r w:rsidR="00E449A4"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 así como para el</w:t>
      </w:r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 fortalecimiento de la cooperación y coordinación </w:t>
      </w:r>
      <w:proofErr w:type="spellStart"/>
      <w:r w:rsidRPr="00567368">
        <w:rPr>
          <w:rFonts w:ascii="Times New Roman" w:eastAsia="Times New Roman" w:hAnsi="Times New Roman"/>
          <w:sz w:val="22"/>
          <w:szCs w:val="22"/>
          <w:lang w:val="es-ES"/>
        </w:rPr>
        <w:t>inter-institucional</w:t>
      </w:r>
      <w:proofErr w:type="spellEnd"/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 con otras agencias gubernamentales de control fronterizo.</w:t>
      </w:r>
    </w:p>
    <w:p w14:paraId="774412CB" w14:textId="45B0657D" w:rsidR="26C56B4E" w:rsidRPr="00567368" w:rsidRDefault="26C56B4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Actividades relacionadas con la identificación de vacíos </w:t>
      </w:r>
      <w:r w:rsidR="003C7A87" w:rsidRPr="00567368">
        <w:rPr>
          <w:rFonts w:ascii="Times New Roman" w:eastAsia="Times New Roman" w:hAnsi="Times New Roman"/>
          <w:sz w:val="22"/>
          <w:szCs w:val="22"/>
          <w:lang w:val="es-US"/>
        </w:rPr>
        <w:t>jurídicos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 u obstáculos interinstitucionales, con especial atención a los operadores comerciales en las Zonas de Libre Comercio (Zonas Francas).</w:t>
      </w:r>
    </w:p>
    <w:p w14:paraId="52583E75" w14:textId="2049D210" w:rsidR="26C56B4E" w:rsidRPr="00567368" w:rsidRDefault="26C56B4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Taller subregional de capacitación para </w:t>
      </w:r>
      <w:r w:rsidR="00616718" w:rsidRPr="00567368">
        <w:rPr>
          <w:rFonts w:ascii="Times New Roman" w:eastAsia="Times New Roman" w:hAnsi="Times New Roman"/>
          <w:sz w:val="22"/>
          <w:szCs w:val="22"/>
          <w:lang w:val="es-US"/>
        </w:rPr>
        <w:t>a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>duanas y otras agencias gubernamentales para aumentar la comprensión de las amenazas</w:t>
      </w:r>
      <w:r w:rsidR="00485D9C"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 de armas de destrucción masiva y el terrorismo químico, biológica, radiológico y nuclear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>,</w:t>
      </w:r>
      <w:r w:rsidR="005C5889"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 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>cerrar brechas de capacidad en todos los niveles, mejorar la comunicación dentro de las agencias y</w:t>
      </w:r>
      <w:r w:rsidR="005C5889" w:rsidRPr="00567368">
        <w:rPr>
          <w:rFonts w:ascii="Times New Roman" w:eastAsia="Times New Roman" w:hAnsi="Times New Roman"/>
          <w:sz w:val="22"/>
          <w:szCs w:val="22"/>
          <w:lang w:val="es-ES"/>
        </w:rPr>
        <w:t>/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o considerar otorgar beneficios especializados para operadores de comercio certificados bajo las reglas del </w:t>
      </w:r>
      <w:r w:rsidR="00BD2177" w:rsidRPr="00567368">
        <w:rPr>
          <w:rFonts w:ascii="Times New Roman" w:eastAsia="Times New Roman" w:hAnsi="Times New Roman"/>
          <w:sz w:val="22"/>
          <w:szCs w:val="22"/>
          <w:lang w:val="es-US"/>
        </w:rPr>
        <w:t>P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rograma de </w:t>
      </w:r>
      <w:r w:rsidR="00BD2177" w:rsidRPr="00567368">
        <w:rPr>
          <w:rFonts w:ascii="Times New Roman" w:eastAsia="Times New Roman" w:hAnsi="Times New Roman"/>
          <w:sz w:val="22"/>
          <w:szCs w:val="22"/>
          <w:lang w:val="es-US"/>
        </w:rPr>
        <w:t>O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peradores </w:t>
      </w:r>
      <w:r w:rsidR="00BD2177" w:rsidRPr="00567368">
        <w:rPr>
          <w:rFonts w:ascii="Times New Roman" w:eastAsia="Times New Roman" w:hAnsi="Times New Roman"/>
          <w:sz w:val="22"/>
          <w:szCs w:val="22"/>
          <w:lang w:val="es-US"/>
        </w:rPr>
        <w:t>E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conómicos </w:t>
      </w:r>
      <w:r w:rsidR="00BD2177" w:rsidRPr="00567368">
        <w:rPr>
          <w:rFonts w:ascii="Times New Roman" w:eastAsia="Times New Roman" w:hAnsi="Times New Roman"/>
          <w:sz w:val="22"/>
          <w:szCs w:val="22"/>
          <w:lang w:val="es-US"/>
        </w:rPr>
        <w:t>A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>utorizados</w:t>
      </w:r>
      <w:r w:rsidR="00AD5267" w:rsidRPr="00567368">
        <w:rPr>
          <w:rFonts w:ascii="Times New Roman" w:eastAsia="Times New Roman" w:hAnsi="Times New Roman"/>
          <w:sz w:val="22"/>
          <w:szCs w:val="22"/>
          <w:lang w:val="es-US"/>
        </w:rPr>
        <w:t>.</w:t>
      </w:r>
    </w:p>
    <w:p w14:paraId="54E14495" w14:textId="2B88A7AE" w:rsidR="26C56B4E" w:rsidRPr="00567368" w:rsidRDefault="26C56B4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Taller subregional del Programa del </w:t>
      </w:r>
      <w:r w:rsidR="00BD2177" w:rsidRPr="00567368">
        <w:rPr>
          <w:rFonts w:ascii="Times New Roman" w:eastAsia="Times New Roman" w:hAnsi="Times New Roman"/>
          <w:sz w:val="22"/>
          <w:szCs w:val="22"/>
          <w:lang w:val="es-US"/>
        </w:rPr>
        <w:t>O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perador </w:t>
      </w:r>
      <w:r w:rsidR="00BD2177" w:rsidRPr="00567368">
        <w:rPr>
          <w:rFonts w:ascii="Times New Roman" w:eastAsia="Times New Roman" w:hAnsi="Times New Roman"/>
          <w:sz w:val="22"/>
          <w:szCs w:val="22"/>
          <w:lang w:val="es-US"/>
        </w:rPr>
        <w:t>E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conómico </w:t>
      </w:r>
      <w:r w:rsidR="00BD2177" w:rsidRPr="00567368">
        <w:rPr>
          <w:rFonts w:ascii="Times New Roman" w:eastAsia="Times New Roman" w:hAnsi="Times New Roman"/>
          <w:sz w:val="22"/>
          <w:szCs w:val="22"/>
          <w:lang w:val="es-US"/>
        </w:rPr>
        <w:t>A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utorizado para compartir las mejores prácticas en seguridad de la cadena de suministro y así contribuir a asegurar y optimizar la cadena de suministro regional y global.  </w:t>
      </w:r>
    </w:p>
    <w:p w14:paraId="1CB63973" w14:textId="2700CE6E" w:rsidR="002C4EDA" w:rsidRPr="00567368" w:rsidRDefault="002C4EDA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Promoción de la certificación de </w:t>
      </w:r>
      <w:r w:rsidR="00BF1BA0" w:rsidRPr="00567368">
        <w:rPr>
          <w:rFonts w:ascii="Times New Roman" w:eastAsia="Times New Roman" w:hAnsi="Times New Roman"/>
          <w:sz w:val="22"/>
          <w:szCs w:val="22"/>
          <w:lang w:val="es-ES"/>
        </w:rPr>
        <w:t>O</w:t>
      </w:r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perador </w:t>
      </w:r>
      <w:r w:rsidR="00BF1BA0" w:rsidRPr="00567368">
        <w:rPr>
          <w:rFonts w:ascii="Times New Roman" w:eastAsia="Times New Roman" w:hAnsi="Times New Roman"/>
          <w:sz w:val="22"/>
          <w:szCs w:val="22"/>
          <w:lang w:val="es-ES"/>
        </w:rPr>
        <w:t>E</w:t>
      </w:r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conómico </w:t>
      </w:r>
      <w:r w:rsidR="00BF1BA0" w:rsidRPr="00567368">
        <w:rPr>
          <w:rFonts w:ascii="Times New Roman" w:eastAsia="Times New Roman" w:hAnsi="Times New Roman"/>
          <w:sz w:val="22"/>
          <w:szCs w:val="22"/>
          <w:lang w:val="es-ES"/>
        </w:rPr>
        <w:t>A</w:t>
      </w:r>
      <w:r w:rsidRPr="00567368">
        <w:rPr>
          <w:rFonts w:ascii="Times New Roman" w:eastAsia="Times New Roman" w:hAnsi="Times New Roman"/>
          <w:sz w:val="22"/>
          <w:szCs w:val="22"/>
          <w:lang w:val="es-ES"/>
        </w:rPr>
        <w:t>utorizado entre operadores comerciales de zonas francas.</w:t>
      </w:r>
    </w:p>
    <w:p w14:paraId="637210D0" w14:textId="4B0C8575" w:rsidR="26C56B4E" w:rsidRPr="00567368" w:rsidRDefault="00D561DD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567368">
        <w:rPr>
          <w:rFonts w:ascii="Times New Roman" w:eastAsia="Times New Roman" w:hAnsi="Times New Roman"/>
          <w:sz w:val="22"/>
          <w:szCs w:val="22"/>
          <w:lang w:val="es-ES"/>
        </w:rPr>
        <w:t>C</w:t>
      </w:r>
      <w:proofErr w:type="spellStart"/>
      <w:r w:rsidR="26C56B4E" w:rsidRPr="00567368">
        <w:rPr>
          <w:rFonts w:ascii="Times New Roman" w:eastAsia="Times New Roman" w:hAnsi="Times New Roman"/>
          <w:sz w:val="22"/>
          <w:szCs w:val="22"/>
          <w:lang w:val="es-US"/>
        </w:rPr>
        <w:t>apacitación</w:t>
      </w:r>
      <w:proofErr w:type="spellEnd"/>
      <w:r w:rsidR="26C56B4E"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 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>virtual</w:t>
      </w:r>
      <w:r w:rsidR="26C56B4E"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 a entidades del sector privado dentro de los </w:t>
      </w:r>
      <w:r w:rsidR="006E39CC" w:rsidRPr="00567368">
        <w:rPr>
          <w:rFonts w:ascii="Times New Roman" w:eastAsia="Times New Roman" w:hAnsi="Times New Roman"/>
          <w:sz w:val="22"/>
          <w:szCs w:val="22"/>
          <w:lang w:val="es-US"/>
        </w:rPr>
        <w:t>E</w:t>
      </w:r>
      <w:r w:rsidR="26C56B4E" w:rsidRPr="00567368">
        <w:rPr>
          <w:rFonts w:ascii="Times New Roman" w:eastAsia="Times New Roman" w:hAnsi="Times New Roman"/>
          <w:sz w:val="22"/>
          <w:szCs w:val="22"/>
          <w:lang w:val="es-US"/>
        </w:rPr>
        <w:t>stados beneficiarios para identificar desafíos, posibles soluciones, oportunidades y beneficios en coordinación con cámaras de comercio, agencias de facilitación del comercio y organizaciones internacionales subregionales o globales</w:t>
      </w:r>
      <w:r w:rsidR="00AD5267" w:rsidRPr="00567368">
        <w:rPr>
          <w:rFonts w:ascii="Times New Roman" w:eastAsia="Times New Roman" w:hAnsi="Times New Roman"/>
          <w:sz w:val="22"/>
          <w:szCs w:val="22"/>
          <w:lang w:val="es-US"/>
        </w:rPr>
        <w:t>.</w:t>
      </w:r>
    </w:p>
    <w:p w14:paraId="50A09840" w14:textId="53B237E8" w:rsidR="26C56B4E" w:rsidRPr="00567368" w:rsidRDefault="26C56B4E" w:rsidP="26C56B4E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US"/>
        </w:rPr>
      </w:pP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Ejercicio de validación </w:t>
      </w:r>
      <w:r w:rsidR="00C47E62"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en torno a 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las prioridades de las administraciones aduaneras nacionales </w:t>
      </w:r>
      <w:r w:rsidR="001A75C6" w:rsidRPr="00567368">
        <w:rPr>
          <w:rFonts w:ascii="Times New Roman" w:eastAsia="Times New Roman" w:hAnsi="Times New Roman"/>
          <w:sz w:val="22"/>
          <w:szCs w:val="22"/>
          <w:lang w:val="es-US"/>
        </w:rPr>
        <w:t>con</w:t>
      </w:r>
      <w:r w:rsidRPr="00567368">
        <w:rPr>
          <w:rFonts w:ascii="Times New Roman" w:eastAsia="Times New Roman" w:hAnsi="Times New Roman"/>
          <w:sz w:val="22"/>
          <w:szCs w:val="22"/>
          <w:lang w:val="es-US"/>
        </w:rPr>
        <w:t xml:space="preserve"> relación a los operadores económico y/o comerciales que desarrollen sus operaciones en zonas francas.</w:t>
      </w:r>
    </w:p>
    <w:p w14:paraId="5003A9D8" w14:textId="4927A8D4" w:rsidR="26C56B4E" w:rsidRPr="00567368" w:rsidRDefault="26C56B4E" w:rsidP="26C56B4E">
      <w:pPr>
        <w:jc w:val="both"/>
        <w:rPr>
          <w:sz w:val="22"/>
          <w:szCs w:val="22"/>
          <w:lang w:val="es-US"/>
        </w:rPr>
      </w:pPr>
    </w:p>
    <w:p w14:paraId="1184B984" w14:textId="77777777" w:rsidR="005B741B" w:rsidRPr="00567368" w:rsidRDefault="005B741B" w:rsidP="26C56B4E">
      <w:pPr>
        <w:jc w:val="both"/>
        <w:rPr>
          <w:sz w:val="22"/>
          <w:szCs w:val="22"/>
          <w:lang w:val="es-US"/>
        </w:rPr>
      </w:pPr>
    </w:p>
    <w:p w14:paraId="2FD7E0C8" w14:textId="2C301DB0" w:rsidR="00FE713F" w:rsidRPr="00567368" w:rsidRDefault="00FE713F" w:rsidP="00FE713F">
      <w:pPr>
        <w:pStyle w:val="xmsonormal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  <w:lang w:val="es-US"/>
        </w:rPr>
      </w:pPr>
      <w:r w:rsidRPr="00567368">
        <w:rPr>
          <w:b/>
          <w:bCs/>
          <w:i/>
          <w:iCs/>
          <w:sz w:val="22"/>
          <w:szCs w:val="22"/>
          <w:lang w:val="es-US"/>
        </w:rPr>
        <w:lastRenderedPageBreak/>
        <w:t>E.</w:t>
      </w:r>
      <w:r w:rsidR="00EB226B" w:rsidRPr="00567368">
        <w:rPr>
          <w:b/>
          <w:bCs/>
          <w:i/>
          <w:iCs/>
          <w:sz w:val="22"/>
          <w:szCs w:val="22"/>
          <w:lang w:val="es-US"/>
        </w:rPr>
        <w:tab/>
      </w:r>
      <w:r w:rsidRPr="00567368">
        <w:rPr>
          <w:b/>
          <w:bCs/>
          <w:i/>
          <w:iCs/>
          <w:sz w:val="22"/>
          <w:szCs w:val="22"/>
          <w:lang w:val="es-US"/>
        </w:rPr>
        <w:t>Seguridad de espacios concurridos, incluyendo destinos turísticos y grandes eventos</w:t>
      </w:r>
    </w:p>
    <w:p w14:paraId="07D71760" w14:textId="543562D8" w:rsidR="00FE713F" w:rsidRPr="00567368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ES"/>
        </w:rPr>
      </w:pPr>
    </w:p>
    <w:p w14:paraId="61A8729F" w14:textId="77777777" w:rsidR="00FE713F" w:rsidRPr="00567368" w:rsidRDefault="00FE713F" w:rsidP="00FE713F">
      <w:pPr>
        <w:pStyle w:val="xmsonormal"/>
        <w:spacing w:before="0" w:beforeAutospacing="0" w:after="0" w:afterAutospacing="0"/>
        <w:jc w:val="both"/>
        <w:rPr>
          <w:rStyle w:val="apple-converted-space"/>
          <w:sz w:val="22"/>
          <w:szCs w:val="22"/>
          <w:lang w:val="es-US"/>
        </w:rPr>
      </w:pPr>
      <w:r w:rsidRPr="00567368">
        <w:rPr>
          <w:sz w:val="22"/>
          <w:szCs w:val="22"/>
          <w:u w:val="single"/>
          <w:lang w:val="es-ES"/>
        </w:rPr>
        <w:t>Propósito:</w:t>
      </w:r>
      <w:r w:rsidRPr="00567368">
        <w:rPr>
          <w:rStyle w:val="apple-converted-space"/>
          <w:sz w:val="22"/>
          <w:szCs w:val="22"/>
          <w:lang w:val="es-ES"/>
        </w:rPr>
        <w:t> </w:t>
      </w:r>
    </w:p>
    <w:p w14:paraId="1642392C" w14:textId="77777777" w:rsidR="00FE713F" w:rsidRPr="00567368" w:rsidRDefault="00FE713F" w:rsidP="00FE713F">
      <w:pPr>
        <w:pStyle w:val="xmsonormal"/>
        <w:spacing w:before="0" w:beforeAutospacing="0" w:after="0" w:afterAutospacing="0"/>
        <w:jc w:val="both"/>
        <w:rPr>
          <w:rStyle w:val="apple-converted-space"/>
          <w:sz w:val="22"/>
          <w:szCs w:val="22"/>
          <w:lang w:val="es-ES"/>
        </w:rPr>
      </w:pPr>
    </w:p>
    <w:p w14:paraId="059806AF" w14:textId="77777777" w:rsidR="00FE713F" w:rsidRPr="00567368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NI"/>
        </w:rPr>
      </w:pPr>
      <w:r w:rsidRPr="00567368">
        <w:rPr>
          <w:rStyle w:val="apple-converted-space"/>
          <w:sz w:val="22"/>
          <w:szCs w:val="22"/>
          <w:lang w:val="es-ES"/>
        </w:rPr>
        <w:t>C</w:t>
      </w:r>
      <w:r w:rsidRPr="00567368">
        <w:rPr>
          <w:sz w:val="22"/>
          <w:szCs w:val="22"/>
          <w:lang w:val="es-ES"/>
        </w:rPr>
        <w:t xml:space="preserve">ontribuir al fortalecimiento de las capacidades existentes, la coordinación interinstitucional y la cooperación hemisférica para la protección de objetivos vulnerables y espacios concurridos, incluyendo destinos turísticos y grandes eventos, ante posibles amenazas terroristas.  </w:t>
      </w:r>
    </w:p>
    <w:p w14:paraId="344515CE" w14:textId="77777777" w:rsidR="00FE713F" w:rsidRPr="00567368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lang w:val="es-NI"/>
        </w:rPr>
      </w:pPr>
    </w:p>
    <w:p w14:paraId="59625C72" w14:textId="77777777" w:rsidR="00FE713F" w:rsidRPr="00567368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  <w:u w:val="single"/>
          <w:lang w:val="es-ES"/>
        </w:rPr>
      </w:pPr>
      <w:r w:rsidRPr="00567368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2D816EBC" w14:textId="77777777" w:rsidR="00FE713F" w:rsidRPr="00567368" w:rsidRDefault="00FE713F" w:rsidP="00FE713F">
      <w:pPr>
        <w:pStyle w:val="xmsonormal"/>
        <w:spacing w:before="0" w:beforeAutospacing="0" w:after="0" w:afterAutospacing="0"/>
        <w:jc w:val="both"/>
        <w:rPr>
          <w:sz w:val="22"/>
          <w:szCs w:val="22"/>
        </w:rPr>
      </w:pPr>
    </w:p>
    <w:p w14:paraId="5981FCA9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Apoyo en el desarrollo de estrategias nacionales de seguridad turística y seguridad de grandes eventos.</w:t>
      </w:r>
    </w:p>
    <w:p w14:paraId="6AC6BB7B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Capacitación especializada para la implementación de protocolos de seguridad turística y de grandes eventos, así como para la estandarización de protocolos de bioseguridad. </w:t>
      </w:r>
    </w:p>
    <w:p w14:paraId="65134096" w14:textId="3553C58A" w:rsidR="00FE713F" w:rsidRPr="00567368" w:rsidRDefault="00FE713F" w:rsidP="60844CF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sz w:val="22"/>
          <w:szCs w:val="22"/>
          <w:lang w:val="es-ES"/>
        </w:rPr>
        <w:t>Consolidación de la red de puntos focales nacionales del programa de seguridad de grandes eventos y de seguridad Turística.   </w:t>
      </w:r>
    </w:p>
    <w:p w14:paraId="2EA1B1B4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Rediseño del sistema de gestión de conocimiento del IPO Américas, una iniciativa regional lanzada en el 2007 por la OEA y el Instituto de Investigación de Justicia y Delito de las Naciones Unidas para fortalecer la cooperación entre los Estados Miembros de la OEA en el ámbito de la seguridad de grandes eventos. </w:t>
      </w:r>
    </w:p>
    <w:p w14:paraId="0C2B1FDC" w14:textId="77777777" w:rsidR="00FE713F" w:rsidRPr="00567368" w:rsidRDefault="00FE713F" w:rsidP="60844CF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sz w:val="22"/>
          <w:szCs w:val="22"/>
          <w:lang w:val="es-ES"/>
        </w:rPr>
        <w:t xml:space="preserve">Actualización del modelo de planeación de la seguridad de grandes eventos – Manual IPO y del Modelo de Alianzas Público-Privadas para la Planificación de Seguridad de Grandes eventos. </w:t>
      </w:r>
    </w:p>
    <w:p w14:paraId="6B6FA1A5" w14:textId="45130FAB" w:rsidR="60844CFE" w:rsidRPr="00567368" w:rsidRDefault="60844CFE" w:rsidP="60844CF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sz w:val="22"/>
          <w:szCs w:val="22"/>
          <w:lang w:val="es-ES"/>
        </w:rPr>
        <w:t>Diseño del modelo de planeación de seguridad de grandes eventos – versión electrónica</w:t>
      </w:r>
    </w:p>
    <w:p w14:paraId="6D71E9C0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Compilación de recomendaciones y hallazgos claves en perspectiva de género para la seguridad turística y de grandes eventos. </w:t>
      </w:r>
    </w:p>
    <w:p w14:paraId="41785D4F" w14:textId="77777777" w:rsidR="00FE713F" w:rsidRPr="00567368" w:rsidRDefault="00FE713F" w:rsidP="00FE713F">
      <w:pPr>
        <w:jc w:val="both"/>
        <w:rPr>
          <w:b/>
          <w:bCs/>
          <w:i/>
          <w:iCs/>
          <w:sz w:val="22"/>
          <w:szCs w:val="22"/>
          <w:lang w:val="es-NI"/>
        </w:rPr>
      </w:pPr>
    </w:p>
    <w:p w14:paraId="41A08680" w14:textId="3D2E16DE" w:rsidR="00FE713F" w:rsidRPr="00567368" w:rsidRDefault="00FE713F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  <w:r w:rsidRPr="00567368">
        <w:rPr>
          <w:b/>
          <w:bCs/>
          <w:i/>
          <w:iCs/>
          <w:sz w:val="22"/>
          <w:szCs w:val="22"/>
          <w:lang w:val="es-ES"/>
        </w:rPr>
        <w:t>F.</w:t>
      </w:r>
      <w:r w:rsidR="00EB226B" w:rsidRPr="00567368">
        <w:rPr>
          <w:b/>
          <w:bCs/>
          <w:i/>
          <w:iCs/>
          <w:sz w:val="22"/>
          <w:szCs w:val="22"/>
          <w:lang w:val="es-ES"/>
        </w:rPr>
        <w:tab/>
      </w:r>
      <w:r w:rsidRPr="00567368">
        <w:rPr>
          <w:b/>
          <w:bCs/>
          <w:i/>
          <w:iCs/>
          <w:sz w:val="22"/>
          <w:szCs w:val="22"/>
          <w:lang w:val="es-ES"/>
        </w:rPr>
        <w:t>Asistencia técnica y legislativa contra el financiamiento del terrorismo</w:t>
      </w:r>
    </w:p>
    <w:p w14:paraId="4654BE6E" w14:textId="77777777" w:rsidR="00FE713F" w:rsidRPr="00567368" w:rsidRDefault="00FE713F" w:rsidP="00FE713F">
      <w:pPr>
        <w:jc w:val="both"/>
        <w:rPr>
          <w:bCs/>
          <w:i/>
          <w:iCs/>
          <w:sz w:val="22"/>
          <w:szCs w:val="22"/>
          <w:lang w:val="es-ES"/>
        </w:rPr>
      </w:pPr>
    </w:p>
    <w:p w14:paraId="3C1A6B50" w14:textId="77777777" w:rsidR="00FE713F" w:rsidRPr="00567368" w:rsidRDefault="00FE713F" w:rsidP="00FE713F">
      <w:pPr>
        <w:jc w:val="both"/>
        <w:rPr>
          <w:bCs/>
          <w:sz w:val="22"/>
          <w:szCs w:val="22"/>
          <w:lang w:val="es-ES"/>
        </w:rPr>
      </w:pPr>
      <w:r w:rsidRPr="00567368">
        <w:rPr>
          <w:bCs/>
          <w:sz w:val="22"/>
          <w:szCs w:val="22"/>
          <w:u w:val="single"/>
          <w:lang w:val="es-ES"/>
        </w:rPr>
        <w:t>Propósito</w:t>
      </w:r>
      <w:r w:rsidRPr="00567368">
        <w:rPr>
          <w:bCs/>
          <w:sz w:val="22"/>
          <w:szCs w:val="22"/>
          <w:lang w:val="es-ES"/>
        </w:rPr>
        <w:t xml:space="preserve">: </w:t>
      </w:r>
    </w:p>
    <w:p w14:paraId="5C939E5F" w14:textId="77777777" w:rsidR="00FE713F" w:rsidRPr="00567368" w:rsidRDefault="00FE713F" w:rsidP="00FE713F">
      <w:pPr>
        <w:jc w:val="both"/>
        <w:rPr>
          <w:bCs/>
          <w:sz w:val="22"/>
          <w:szCs w:val="22"/>
          <w:lang w:val="es-ES"/>
        </w:rPr>
      </w:pPr>
    </w:p>
    <w:p w14:paraId="262F9933" w14:textId="77777777" w:rsidR="00FE713F" w:rsidRPr="00567368" w:rsidRDefault="00FE713F" w:rsidP="00FE713F">
      <w:pPr>
        <w:jc w:val="both"/>
        <w:rPr>
          <w:bCs/>
          <w:sz w:val="22"/>
          <w:szCs w:val="22"/>
          <w:lang w:val="es-ES"/>
        </w:rPr>
      </w:pPr>
      <w:r w:rsidRPr="00567368">
        <w:rPr>
          <w:bCs/>
          <w:sz w:val="22"/>
          <w:szCs w:val="22"/>
          <w:lang w:val="es-ES"/>
        </w:rPr>
        <w:t xml:space="preserve">Apoyar a los Estados Miembros que así lo que requieran en la lucha contra el terrorismo y su financiamiento por medio de la implementación de un marco legislativo acorde a sus obligaciones jurídicas, estándares internacionales y sistemas eficaces de prevención y detección en materia de lavados de activos y financiamiento del terrorismo. </w:t>
      </w:r>
    </w:p>
    <w:p w14:paraId="7A84EC36" w14:textId="77777777" w:rsidR="008E7FCB" w:rsidRPr="00567368" w:rsidRDefault="008E7FCB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</w:p>
    <w:p w14:paraId="40F6E172" w14:textId="54A5DFBB" w:rsidR="00FE713F" w:rsidRPr="00567368" w:rsidRDefault="00FE713F" w:rsidP="00FE713F">
      <w:pPr>
        <w:jc w:val="both"/>
        <w:rPr>
          <w:rFonts w:eastAsia="Calibri"/>
          <w:sz w:val="22"/>
          <w:szCs w:val="22"/>
          <w:u w:val="single"/>
          <w:lang w:val="es-ES"/>
        </w:rPr>
      </w:pPr>
      <w:r w:rsidRPr="00567368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5A33976C" w14:textId="77777777" w:rsidR="00FE713F" w:rsidRPr="00567368" w:rsidRDefault="00FE713F" w:rsidP="00FE713F">
      <w:pPr>
        <w:jc w:val="both"/>
        <w:rPr>
          <w:sz w:val="22"/>
          <w:szCs w:val="22"/>
          <w:u w:val="single"/>
          <w:lang w:val="es-ES"/>
        </w:rPr>
      </w:pPr>
    </w:p>
    <w:p w14:paraId="0844EF3E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Provisión de asistencia técnica y legislativa a los Estados Miembros que lo requieran para la actualización de su marco legal interno en materia de lavado de activos/financiamiento contra el terrorismo de acuerdo con los instrumentos internacionales en la materia y las recomendaciones del Grupo de Acción Financiera International (GAFI). </w:t>
      </w:r>
    </w:p>
    <w:p w14:paraId="579ACB4E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Asistencia a los países miembros de la OEA en el desarrollo de sistemas eficaces para la implementación de sanciones financieras dirigidas y sistemas para elaboración de listados domésticos, de acuerdo con los instrumentos jurídicos internacionales. </w:t>
      </w:r>
    </w:p>
    <w:p w14:paraId="68764880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Apoyo al desarrollo de capacidades de funcionarios e instituciones nacionales en técnicas especiales de investigación, enjuiciamiento y otras herramientas conforme a los estándares internacionales en la materia. </w:t>
      </w:r>
    </w:p>
    <w:p w14:paraId="1CC83630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lastRenderedPageBreak/>
        <w:t xml:space="preserve">Capacitación especializada de analistas de unidades de inteligencia financiera, funcionarios de instituciones financieras reguladoras/supervisoras y representantes del sector privado para promover la cooperación entre los diferentes actores involucrados en la investigación y persecución de casos de lavado de activos y financiamiento del terrorismo a nivel nacional y regional. </w:t>
      </w:r>
    </w:p>
    <w:p w14:paraId="47D38131" w14:textId="77777777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Facilitación del intercambio de información, mejores prácticas y cooperación internacional entre los Estados Miembros como elemento esencial en la lucha contra la financiación del terrorismo. </w:t>
      </w:r>
    </w:p>
    <w:p w14:paraId="180FFFA8" w14:textId="77777777" w:rsidR="00FE713F" w:rsidRPr="00567368" w:rsidRDefault="00FE713F" w:rsidP="60844CF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sz w:val="22"/>
          <w:szCs w:val="22"/>
          <w:lang w:val="es-ES"/>
        </w:rPr>
        <w:t xml:space="preserve">Realización de talleres y foros virtuales dirigidos a funcionarios gubernamentales y miembros del sector privado sobre las amenazas emergentes en materia de financiamiento del terrorismo, así como los métodos de detección, prevención e investigación judicial, según corresponda. </w:t>
      </w:r>
    </w:p>
    <w:p w14:paraId="6AAB680D" w14:textId="55B46769" w:rsidR="60844CFE" w:rsidRPr="00567368" w:rsidRDefault="60844CFE" w:rsidP="60844CFE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eastAsia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sz w:val="22"/>
          <w:szCs w:val="22"/>
          <w:lang w:val="es-ES"/>
        </w:rPr>
        <w:t xml:space="preserve">Publicación sobre los vínculos entre el </w:t>
      </w:r>
      <w:r w:rsidR="00531227" w:rsidRPr="00567368">
        <w:rPr>
          <w:rFonts w:ascii="Times New Roman" w:hAnsi="Times New Roman"/>
          <w:sz w:val="22"/>
          <w:szCs w:val="22"/>
          <w:lang w:val="es-ES"/>
        </w:rPr>
        <w:t>c</w:t>
      </w:r>
      <w:r w:rsidRPr="00567368">
        <w:rPr>
          <w:rFonts w:ascii="Times New Roman" w:hAnsi="Times New Roman"/>
          <w:sz w:val="22"/>
          <w:szCs w:val="22"/>
          <w:lang w:val="es-ES"/>
        </w:rPr>
        <w:t xml:space="preserve">rimen </w:t>
      </w:r>
      <w:r w:rsidR="00531227" w:rsidRPr="00567368">
        <w:rPr>
          <w:rFonts w:ascii="Times New Roman" w:hAnsi="Times New Roman"/>
          <w:sz w:val="22"/>
          <w:szCs w:val="22"/>
          <w:lang w:val="es-ES"/>
        </w:rPr>
        <w:t>o</w:t>
      </w:r>
      <w:r w:rsidRPr="00567368">
        <w:rPr>
          <w:rFonts w:ascii="Times New Roman" w:hAnsi="Times New Roman"/>
          <w:sz w:val="22"/>
          <w:szCs w:val="22"/>
          <w:lang w:val="es-ES"/>
        </w:rPr>
        <w:t xml:space="preserve">rganizado </w:t>
      </w:r>
      <w:r w:rsidR="00531227" w:rsidRPr="00567368">
        <w:rPr>
          <w:rFonts w:ascii="Times New Roman" w:hAnsi="Times New Roman"/>
          <w:sz w:val="22"/>
          <w:szCs w:val="22"/>
          <w:lang w:val="es-ES"/>
        </w:rPr>
        <w:t>t</w:t>
      </w:r>
      <w:r w:rsidRPr="00567368">
        <w:rPr>
          <w:rFonts w:ascii="Times New Roman" w:hAnsi="Times New Roman"/>
          <w:sz w:val="22"/>
          <w:szCs w:val="22"/>
          <w:lang w:val="es-ES"/>
        </w:rPr>
        <w:t xml:space="preserve">ransnacional y el </w:t>
      </w:r>
      <w:r w:rsidR="00531227" w:rsidRPr="00567368">
        <w:rPr>
          <w:rFonts w:ascii="Times New Roman" w:hAnsi="Times New Roman"/>
          <w:sz w:val="22"/>
          <w:szCs w:val="22"/>
          <w:lang w:val="es-ES"/>
        </w:rPr>
        <w:t>t</w:t>
      </w:r>
      <w:r w:rsidRPr="00567368">
        <w:rPr>
          <w:rFonts w:ascii="Times New Roman" w:hAnsi="Times New Roman"/>
          <w:sz w:val="22"/>
          <w:szCs w:val="22"/>
          <w:lang w:val="es-ES"/>
        </w:rPr>
        <w:t xml:space="preserve">errorismo, en colaboración con el Departamento contra el Crimen Organizado Transnacional y </w:t>
      </w:r>
      <w:r w:rsidRPr="00567368">
        <w:rPr>
          <w:rFonts w:ascii="Times New Roman" w:eastAsia="Times New Roman" w:hAnsi="Times New Roman"/>
          <w:sz w:val="22"/>
          <w:szCs w:val="22"/>
          <w:lang w:val="es-ES"/>
        </w:rPr>
        <w:t xml:space="preserve">el </w:t>
      </w:r>
      <w:r w:rsidRPr="00567368">
        <w:rPr>
          <w:rFonts w:ascii="Times New Roman" w:eastAsia="Times New Roman" w:hAnsi="Times New Roman"/>
          <w:color w:val="202122"/>
          <w:sz w:val="22"/>
          <w:szCs w:val="22"/>
          <w:lang w:val="es-ES"/>
        </w:rPr>
        <w:t>Instituto Interregional de las Naciones Unidas para Investigaciones sobre la Delincuencia y la Justicia (UNICRI).</w:t>
      </w:r>
    </w:p>
    <w:p w14:paraId="38CF951E" w14:textId="7F3F51A6" w:rsidR="00FE713F" w:rsidRPr="00567368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0E986583" w14:textId="4CEFB703" w:rsidR="00FE713F" w:rsidRPr="00567368" w:rsidRDefault="00FE713F" w:rsidP="00FE713F">
      <w:pPr>
        <w:jc w:val="both"/>
        <w:rPr>
          <w:b/>
          <w:bCs/>
          <w:i/>
          <w:iCs/>
          <w:sz w:val="22"/>
          <w:szCs w:val="22"/>
          <w:lang w:val="es-ES"/>
        </w:rPr>
      </w:pPr>
      <w:r w:rsidRPr="00567368">
        <w:rPr>
          <w:b/>
          <w:bCs/>
          <w:i/>
          <w:sz w:val="22"/>
          <w:szCs w:val="22"/>
          <w:lang w:val="es-ES"/>
        </w:rPr>
        <w:t>G.</w:t>
      </w:r>
      <w:r w:rsidR="00EB226B" w:rsidRPr="00567368">
        <w:rPr>
          <w:b/>
          <w:bCs/>
          <w:i/>
          <w:sz w:val="22"/>
          <w:szCs w:val="22"/>
          <w:lang w:val="es-ES"/>
        </w:rPr>
        <w:tab/>
      </w:r>
      <w:r w:rsidRPr="00567368">
        <w:rPr>
          <w:b/>
          <w:bCs/>
          <w:i/>
          <w:sz w:val="22"/>
          <w:szCs w:val="22"/>
          <w:lang w:val="es-ES"/>
        </w:rPr>
        <w:t>Red Interamericana contra el Terrorismo</w:t>
      </w:r>
    </w:p>
    <w:p w14:paraId="077AFC41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</w:p>
    <w:p w14:paraId="142BFCCB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sz w:val="22"/>
          <w:szCs w:val="22"/>
          <w:u w:val="single"/>
          <w:lang w:val="es-ES"/>
        </w:rPr>
        <w:t>Propósito</w:t>
      </w:r>
      <w:r w:rsidRPr="00567368">
        <w:rPr>
          <w:sz w:val="22"/>
          <w:szCs w:val="22"/>
          <w:lang w:val="es-ES"/>
        </w:rPr>
        <w:t>:</w:t>
      </w:r>
    </w:p>
    <w:p w14:paraId="768DAD8B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</w:p>
    <w:p w14:paraId="3447975F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  <w:r w:rsidRPr="00567368">
        <w:rPr>
          <w:sz w:val="22"/>
          <w:szCs w:val="22"/>
          <w:lang w:val="es-ES"/>
        </w:rPr>
        <w:t xml:space="preserve">Facilitar el intercambio de información oportuna para prevenir y contrarrestar el terrorismo en la región, así como para fortalecer los vínculos de cooperación entre las personas e instituciones designadas. La Red está conformada con la participación (voluntaria) de los Estados Miembros de la OEA y cuenta con un directorio de acceso seguro de contactos institucionales, designados por los Estados Miembros, que está disponible 24 horas/7 días a la semana. </w:t>
      </w:r>
    </w:p>
    <w:p w14:paraId="01418591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</w:p>
    <w:p w14:paraId="49ADBF14" w14:textId="77777777" w:rsidR="00FE713F" w:rsidRPr="00567368" w:rsidRDefault="00FE713F" w:rsidP="00FE713F">
      <w:pPr>
        <w:jc w:val="both"/>
        <w:rPr>
          <w:sz w:val="22"/>
          <w:szCs w:val="22"/>
          <w:u w:val="single"/>
          <w:lang w:val="es-ES"/>
        </w:rPr>
      </w:pPr>
      <w:r w:rsidRPr="00567368">
        <w:rPr>
          <w:rFonts w:eastAsia="Calibri"/>
          <w:sz w:val="22"/>
          <w:szCs w:val="22"/>
          <w:u w:val="single"/>
          <w:lang w:val="es-ES"/>
        </w:rPr>
        <w:t>Actividades propuestas:</w:t>
      </w:r>
    </w:p>
    <w:p w14:paraId="29882CF9" w14:textId="77777777" w:rsidR="00FE713F" w:rsidRPr="00567368" w:rsidRDefault="00FE713F" w:rsidP="00FE713F">
      <w:pPr>
        <w:jc w:val="both"/>
        <w:rPr>
          <w:sz w:val="22"/>
          <w:szCs w:val="22"/>
          <w:lang w:val="es-ES"/>
        </w:rPr>
      </w:pPr>
    </w:p>
    <w:p w14:paraId="30EA8071" w14:textId="6A7D5829" w:rsidR="00FE713F" w:rsidRPr="00567368" w:rsidRDefault="00FE713F" w:rsidP="00FE713F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bCs/>
          <w:iCs/>
          <w:sz w:val="22"/>
          <w:szCs w:val="22"/>
          <w:lang w:val="es-ES"/>
        </w:rPr>
      </w:pP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>Organización de reuniones trimestrales virtuales y, por lo menos una reunión presencial si las condiciones sanitarias lo permiten, para facilitar el intercambio de información y buenas prácticas entre los Estados Miembros</w:t>
      </w:r>
      <w:r w:rsidR="00297A0B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 </w:t>
      </w:r>
      <w:r w:rsidR="00B84B36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que </w:t>
      </w:r>
      <w:r w:rsidR="00B3174A"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integran </w:t>
      </w:r>
      <w:r w:rsidR="00297A0B" w:rsidRPr="00567368">
        <w:rPr>
          <w:rFonts w:ascii="Times New Roman" w:hAnsi="Times New Roman"/>
          <w:bCs/>
          <w:iCs/>
          <w:sz w:val="22"/>
          <w:szCs w:val="22"/>
          <w:lang w:val="es-ES"/>
        </w:rPr>
        <w:t>la Red</w:t>
      </w:r>
      <w:r w:rsidRPr="00567368">
        <w:rPr>
          <w:rFonts w:ascii="Times New Roman" w:hAnsi="Times New Roman"/>
          <w:bCs/>
          <w:iCs/>
          <w:sz w:val="22"/>
          <w:szCs w:val="22"/>
          <w:lang w:val="es-ES"/>
        </w:rPr>
        <w:t xml:space="preserve">. </w:t>
      </w:r>
    </w:p>
    <w:p w14:paraId="2F4E3C3A" w14:textId="77777777" w:rsidR="00FE713F" w:rsidRPr="00567368" w:rsidRDefault="00FE713F" w:rsidP="293C4AE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sz w:val="22"/>
          <w:szCs w:val="22"/>
          <w:lang w:val="es-ES"/>
        </w:rPr>
        <w:t>Intercambio de experiencias con otros organismos multilaterales que cuentan con redes similares.</w:t>
      </w:r>
    </w:p>
    <w:p w14:paraId="07DBB0C4" w14:textId="136EA266" w:rsidR="293C4AE5" w:rsidRPr="00567368" w:rsidRDefault="293C4AE5" w:rsidP="293C4AE5">
      <w:pPr>
        <w:pStyle w:val="ListParagraph"/>
        <w:numPr>
          <w:ilvl w:val="0"/>
          <w:numId w:val="12"/>
        </w:numPr>
        <w:ind w:left="720" w:hanging="720"/>
        <w:jc w:val="both"/>
        <w:rPr>
          <w:rFonts w:ascii="Times New Roman" w:hAnsi="Times New Roman"/>
          <w:sz w:val="22"/>
          <w:szCs w:val="22"/>
          <w:lang w:val="es-ES"/>
        </w:rPr>
      </w:pPr>
      <w:r w:rsidRPr="00567368">
        <w:rPr>
          <w:rFonts w:ascii="Times New Roman" w:hAnsi="Times New Roman"/>
          <w:sz w:val="22"/>
          <w:szCs w:val="22"/>
          <w:lang w:val="es-ES"/>
        </w:rPr>
        <w:t>Organiza</w:t>
      </w:r>
      <w:r w:rsidR="006322AA" w:rsidRPr="00567368">
        <w:rPr>
          <w:rFonts w:ascii="Times New Roman" w:hAnsi="Times New Roman"/>
          <w:sz w:val="22"/>
          <w:szCs w:val="22"/>
          <w:lang w:val="es-ES"/>
        </w:rPr>
        <w:t>ción de</w:t>
      </w:r>
      <w:r w:rsidRPr="00567368">
        <w:rPr>
          <w:rFonts w:ascii="Times New Roman" w:hAnsi="Times New Roman"/>
          <w:sz w:val="22"/>
          <w:szCs w:val="22"/>
          <w:lang w:val="es-ES"/>
        </w:rPr>
        <w:t xml:space="preserve"> una reunión regional de alto nivel en la que se promueva la Red Interamericana contra el Terrorismo y se pueda resaltar el papel de liderazgo regional del CICTE en la lucha contra el terrorismo. </w:t>
      </w:r>
    </w:p>
    <w:p w14:paraId="4FBC345E" w14:textId="234CD245" w:rsidR="00FE713F" w:rsidRPr="00567368" w:rsidRDefault="00FE713F" w:rsidP="00FE713F">
      <w:pPr>
        <w:jc w:val="both"/>
        <w:rPr>
          <w:b/>
          <w:bCs/>
          <w:sz w:val="22"/>
          <w:szCs w:val="22"/>
          <w:lang w:val="es-ES"/>
        </w:rPr>
      </w:pPr>
    </w:p>
    <w:p w14:paraId="0231D5CA" w14:textId="6D18DFF1" w:rsidR="00FE713F" w:rsidRPr="00567368" w:rsidRDefault="00FE713F" w:rsidP="00FE713F">
      <w:pPr>
        <w:jc w:val="both"/>
        <w:rPr>
          <w:b/>
          <w:bCs/>
          <w:sz w:val="22"/>
          <w:szCs w:val="22"/>
          <w:lang w:val="es-EC"/>
        </w:rPr>
      </w:pPr>
      <w:r w:rsidRPr="00567368">
        <w:rPr>
          <w:b/>
          <w:bCs/>
          <w:sz w:val="22"/>
          <w:szCs w:val="22"/>
          <w:lang w:val="es-EC"/>
        </w:rPr>
        <w:t>III.</w:t>
      </w:r>
      <w:r w:rsidRPr="00567368">
        <w:rPr>
          <w:b/>
          <w:bCs/>
          <w:sz w:val="22"/>
          <w:szCs w:val="22"/>
          <w:lang w:val="es-EC"/>
        </w:rPr>
        <w:tab/>
      </w:r>
      <w:proofErr w:type="spellStart"/>
      <w:r w:rsidRPr="00567368">
        <w:rPr>
          <w:b/>
          <w:bCs/>
          <w:sz w:val="22"/>
          <w:szCs w:val="22"/>
          <w:lang w:val="es-EC"/>
        </w:rPr>
        <w:t>Outreach</w:t>
      </w:r>
      <w:proofErr w:type="spellEnd"/>
      <w:r w:rsidRPr="00567368">
        <w:rPr>
          <w:b/>
          <w:bCs/>
          <w:sz w:val="22"/>
          <w:szCs w:val="22"/>
          <w:lang w:val="es-EC"/>
        </w:rPr>
        <w:t xml:space="preserve">: comunicaciones, consultas, cooperación </w:t>
      </w:r>
    </w:p>
    <w:p w14:paraId="4CE35F7A" w14:textId="77777777" w:rsidR="00FE713F" w:rsidRPr="00567368" w:rsidRDefault="00FE713F" w:rsidP="00FE713F">
      <w:pPr>
        <w:jc w:val="both"/>
        <w:rPr>
          <w:sz w:val="22"/>
          <w:szCs w:val="22"/>
          <w:lang w:val="es-EC"/>
        </w:rPr>
      </w:pPr>
    </w:p>
    <w:p w14:paraId="49D2B4E5" w14:textId="2A5572D6" w:rsidR="00FE713F" w:rsidRPr="00567368" w:rsidRDefault="00FE713F" w:rsidP="00FE713F">
      <w:pPr>
        <w:ind w:firstLine="720"/>
        <w:jc w:val="both"/>
        <w:rPr>
          <w:sz w:val="22"/>
          <w:szCs w:val="22"/>
          <w:lang w:val="es-EC"/>
        </w:rPr>
      </w:pPr>
      <w:r w:rsidRPr="00567368">
        <w:rPr>
          <w:sz w:val="22"/>
          <w:szCs w:val="22"/>
          <w:lang w:val="es-EC"/>
        </w:rPr>
        <w:t>La Secretaría del CICTE continuará con las consultas periódicas con autoridades pertinentes de los Estados Miembros de la OEA para la programación y ejecución de sus actividades. También continuará trabajando de manera estrecha con los Observadores Permanentes ante la OEA.</w:t>
      </w:r>
    </w:p>
    <w:p w14:paraId="3372A369" w14:textId="77777777" w:rsidR="00FE713F" w:rsidRPr="00567368" w:rsidRDefault="00FE713F" w:rsidP="00FE713F">
      <w:pPr>
        <w:jc w:val="both"/>
        <w:rPr>
          <w:sz w:val="22"/>
          <w:szCs w:val="22"/>
          <w:lang w:val="es-EC"/>
        </w:rPr>
      </w:pPr>
    </w:p>
    <w:p w14:paraId="68D8EB9A" w14:textId="174B22DF" w:rsidR="008950F4" w:rsidRPr="00567368" w:rsidRDefault="00FE713F" w:rsidP="008E7FCB">
      <w:pPr>
        <w:ind w:firstLine="720"/>
        <w:jc w:val="both"/>
        <w:rPr>
          <w:sz w:val="22"/>
          <w:szCs w:val="22"/>
          <w:lang w:val="es-EC"/>
        </w:rPr>
      </w:pPr>
      <w:r w:rsidRPr="00567368">
        <w:rPr>
          <w:sz w:val="22"/>
          <w:szCs w:val="22"/>
          <w:lang w:val="es-EC"/>
        </w:rPr>
        <w:t xml:space="preserve">La Secretaría del CICTE continuará fortaleciendo los mecanismos de cooperación existentes con el sistema de las Naciones Unidas y sus agencias especializadas, así como con otros organismos internacionales y regionales. Además, mantendrá sus vínculos de cooperación con organizaciones de la sociedad civil, sector privado y otros socios estratégicos. </w:t>
      </w:r>
      <w:r w:rsidR="00041DCE" w:rsidRPr="00567368">
        <w:rPr>
          <w:noProof/>
          <w:sz w:val="22"/>
          <w:szCs w:val="22"/>
          <w:lang w:val="es-EC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885908A" wp14:editId="480BCC4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99C4F0" w14:textId="37DCFD6B" w:rsidR="00041DCE" w:rsidRPr="00041DCE" w:rsidRDefault="00041DCE">
                            <w:r w:rsidRPr="00041DCE">
                              <w:rPr>
                                <w:sz w:val="18"/>
                              </w:rPr>
                              <w:fldChar w:fldCharType="begin"/>
                            </w:r>
                            <w:r w:rsidRPr="00041DCE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041DCE">
                              <w:rPr>
                                <w:sz w:val="18"/>
                              </w:rPr>
                              <w:fldChar w:fldCharType="separate"/>
                            </w:r>
                            <w:r w:rsidR="00E93FC9">
                              <w:rPr>
                                <w:noProof/>
                                <w:sz w:val="18"/>
                              </w:rPr>
                              <w:t>CICTE01497S01</w:t>
                            </w:r>
                            <w:r w:rsidRPr="00041DCE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590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4E99C4F0" w14:textId="37DCFD6B" w:rsidR="00041DCE" w:rsidRPr="00041DCE" w:rsidRDefault="00041DCE">
                      <w:r w:rsidRPr="00041DCE">
                        <w:rPr>
                          <w:sz w:val="18"/>
                        </w:rPr>
                        <w:fldChar w:fldCharType="begin"/>
                      </w:r>
                      <w:r w:rsidRPr="00041DCE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041DCE">
                        <w:rPr>
                          <w:sz w:val="18"/>
                        </w:rPr>
                        <w:fldChar w:fldCharType="separate"/>
                      </w:r>
                      <w:r w:rsidR="00E93FC9">
                        <w:rPr>
                          <w:noProof/>
                          <w:sz w:val="18"/>
                        </w:rPr>
                        <w:t>CICTE01497S01</w:t>
                      </w:r>
                      <w:r w:rsidRPr="00041DCE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50F4" w:rsidRPr="00567368" w:rsidSect="005B741B">
      <w:pgSz w:w="12240" w:h="15840"/>
      <w:pgMar w:top="198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C411" w14:textId="77777777" w:rsidR="00F82967" w:rsidRDefault="00F82967">
      <w:r>
        <w:separator/>
      </w:r>
    </w:p>
  </w:endnote>
  <w:endnote w:type="continuationSeparator" w:id="0">
    <w:p w14:paraId="173637D3" w14:textId="77777777" w:rsidR="00F82967" w:rsidRDefault="00F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C70D" w14:textId="2077043C" w:rsidR="00F7096C" w:rsidRDefault="00F7096C" w:rsidP="00F709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9D1F123" w14:textId="77777777" w:rsidR="00F7096C" w:rsidRDefault="00F7096C" w:rsidP="00F709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349C" w14:textId="77777777" w:rsidR="00F7096C" w:rsidRDefault="00F7096C" w:rsidP="00F709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ABD4" w14:textId="77777777" w:rsidR="00F82967" w:rsidRDefault="00F82967">
      <w:r>
        <w:separator/>
      </w:r>
    </w:p>
  </w:footnote>
  <w:footnote w:type="continuationSeparator" w:id="0">
    <w:p w14:paraId="395290AF" w14:textId="77777777" w:rsidR="00F82967" w:rsidRDefault="00F8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072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9BE55" w14:textId="52EB2449" w:rsidR="00325B50" w:rsidRDefault="00325B50">
        <w:pPr>
          <w:pStyle w:val="Header"/>
          <w:jc w:val="center"/>
        </w:pPr>
        <w:r w:rsidRPr="00325B50">
          <w:rPr>
            <w:sz w:val="20"/>
            <w:szCs w:val="20"/>
          </w:rPr>
          <w:fldChar w:fldCharType="begin"/>
        </w:r>
        <w:r w:rsidRPr="00325B50">
          <w:rPr>
            <w:sz w:val="20"/>
            <w:szCs w:val="20"/>
          </w:rPr>
          <w:instrText xml:space="preserve"> PAGE   \* MERGEFORMAT </w:instrText>
        </w:r>
        <w:r w:rsidRPr="00325B50">
          <w:rPr>
            <w:sz w:val="20"/>
            <w:szCs w:val="20"/>
          </w:rPr>
          <w:fldChar w:fldCharType="separate"/>
        </w:r>
        <w:r w:rsidRPr="00325B50">
          <w:rPr>
            <w:noProof/>
            <w:sz w:val="20"/>
            <w:szCs w:val="20"/>
          </w:rPr>
          <w:t>2</w:t>
        </w:r>
        <w:r w:rsidRPr="00325B50">
          <w:rPr>
            <w:noProof/>
            <w:sz w:val="20"/>
            <w:szCs w:val="20"/>
          </w:rPr>
          <w:fldChar w:fldCharType="end"/>
        </w:r>
      </w:p>
    </w:sdtContent>
  </w:sdt>
  <w:p w14:paraId="6AB99139" w14:textId="77777777" w:rsidR="00325B50" w:rsidRDefault="00325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3230" w14:textId="77777777" w:rsidR="008E05E8" w:rsidRDefault="008E05E8">
    <w:pPr>
      <w:pStyle w:val="Header"/>
      <w:rPr>
        <w:b/>
        <w:bCs/>
        <w:noProof/>
        <w:sz w:val="22"/>
        <w:szCs w:val="22"/>
        <w:lang w:val="es-MX" w:eastAsia="es-MX"/>
      </w:rPr>
    </w:pPr>
  </w:p>
  <w:p w14:paraId="549A9530" w14:textId="77777777" w:rsidR="008E05E8" w:rsidRDefault="008E05E8">
    <w:pPr>
      <w:pStyle w:val="Header"/>
      <w:rPr>
        <w:b/>
        <w:bCs/>
        <w:noProof/>
        <w:sz w:val="22"/>
        <w:szCs w:val="22"/>
        <w:lang w:val="es-MX" w:eastAsia="es-MX"/>
      </w:rPr>
    </w:pPr>
  </w:p>
  <w:p w14:paraId="6B642446" w14:textId="495A2FA6" w:rsidR="008E05E8" w:rsidRDefault="008E05E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4Pvt9elQi11C8" int2:id="ECISgof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78B"/>
    <w:multiLevelType w:val="hybridMultilevel"/>
    <w:tmpl w:val="D9DE9AE0"/>
    <w:lvl w:ilvl="0" w:tplc="0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8C92843"/>
    <w:multiLevelType w:val="hybridMultilevel"/>
    <w:tmpl w:val="86F8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201"/>
    <w:multiLevelType w:val="hybridMultilevel"/>
    <w:tmpl w:val="A11669B8"/>
    <w:lvl w:ilvl="0" w:tplc="1840C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3A3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82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E9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8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6D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4A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8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41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543C"/>
    <w:multiLevelType w:val="hybridMultilevel"/>
    <w:tmpl w:val="CCF43C12"/>
    <w:lvl w:ilvl="0" w:tplc="0CFEA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9A7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D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8C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B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E1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24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C1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4A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0595"/>
    <w:multiLevelType w:val="hybridMultilevel"/>
    <w:tmpl w:val="D9DEBE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992F8D"/>
    <w:multiLevelType w:val="hybridMultilevel"/>
    <w:tmpl w:val="04E62964"/>
    <w:lvl w:ilvl="0" w:tplc="BD12D91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03B51"/>
    <w:multiLevelType w:val="multilevel"/>
    <w:tmpl w:val="984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CC4255"/>
    <w:multiLevelType w:val="hybridMultilevel"/>
    <w:tmpl w:val="72B63882"/>
    <w:lvl w:ilvl="0" w:tplc="55F284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D4E6C"/>
    <w:multiLevelType w:val="hybridMultilevel"/>
    <w:tmpl w:val="A2DA1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7F0EF"/>
    <w:multiLevelType w:val="hybridMultilevel"/>
    <w:tmpl w:val="A2D2F342"/>
    <w:lvl w:ilvl="0" w:tplc="EF4CF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58D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4A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68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C2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00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63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B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0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C7E20"/>
    <w:multiLevelType w:val="hybridMultilevel"/>
    <w:tmpl w:val="DE18C720"/>
    <w:lvl w:ilvl="0" w:tplc="A48AC7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21A3"/>
    <w:multiLevelType w:val="hybridMultilevel"/>
    <w:tmpl w:val="623E527A"/>
    <w:lvl w:ilvl="0" w:tplc="BF6657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3"/>
    <w:rsid w:val="000004D0"/>
    <w:rsid w:val="00001467"/>
    <w:rsid w:val="00003415"/>
    <w:rsid w:val="00005062"/>
    <w:rsid w:val="00010935"/>
    <w:rsid w:val="00010C2C"/>
    <w:rsid w:val="000130CB"/>
    <w:rsid w:val="000132D8"/>
    <w:rsid w:val="00017750"/>
    <w:rsid w:val="00026AEC"/>
    <w:rsid w:val="000304E6"/>
    <w:rsid w:val="0003402D"/>
    <w:rsid w:val="00041DCE"/>
    <w:rsid w:val="00042F2F"/>
    <w:rsid w:val="00051DEF"/>
    <w:rsid w:val="000526FF"/>
    <w:rsid w:val="00052E04"/>
    <w:rsid w:val="000606F7"/>
    <w:rsid w:val="00066EA1"/>
    <w:rsid w:val="000714BF"/>
    <w:rsid w:val="00071C6F"/>
    <w:rsid w:val="00074C1B"/>
    <w:rsid w:val="00076E41"/>
    <w:rsid w:val="00084309"/>
    <w:rsid w:val="0008435C"/>
    <w:rsid w:val="00086CED"/>
    <w:rsid w:val="00087D21"/>
    <w:rsid w:val="0009048A"/>
    <w:rsid w:val="0009287C"/>
    <w:rsid w:val="00093D06"/>
    <w:rsid w:val="00093EE4"/>
    <w:rsid w:val="000A2FE7"/>
    <w:rsid w:val="000A3D85"/>
    <w:rsid w:val="000B5EDF"/>
    <w:rsid w:val="000B61C9"/>
    <w:rsid w:val="000B653B"/>
    <w:rsid w:val="000B69BE"/>
    <w:rsid w:val="000D04AA"/>
    <w:rsid w:val="000D14A8"/>
    <w:rsid w:val="000E56E4"/>
    <w:rsid w:val="000E6641"/>
    <w:rsid w:val="000E670F"/>
    <w:rsid w:val="000E7F7D"/>
    <w:rsid w:val="000F0157"/>
    <w:rsid w:val="001025CA"/>
    <w:rsid w:val="0010279A"/>
    <w:rsid w:val="001031EF"/>
    <w:rsid w:val="00106BD4"/>
    <w:rsid w:val="00107039"/>
    <w:rsid w:val="00107806"/>
    <w:rsid w:val="00111F22"/>
    <w:rsid w:val="0011531E"/>
    <w:rsid w:val="001210E7"/>
    <w:rsid w:val="0012115F"/>
    <w:rsid w:val="00125A44"/>
    <w:rsid w:val="001308FD"/>
    <w:rsid w:val="00130FBC"/>
    <w:rsid w:val="0013196B"/>
    <w:rsid w:val="0013210D"/>
    <w:rsid w:val="00144F4B"/>
    <w:rsid w:val="00151232"/>
    <w:rsid w:val="0015552A"/>
    <w:rsid w:val="001600A5"/>
    <w:rsid w:val="00160C4F"/>
    <w:rsid w:val="0016599C"/>
    <w:rsid w:val="00165E1A"/>
    <w:rsid w:val="00174D4B"/>
    <w:rsid w:val="00176BAA"/>
    <w:rsid w:val="001840AD"/>
    <w:rsid w:val="0018538B"/>
    <w:rsid w:val="00185DED"/>
    <w:rsid w:val="00190252"/>
    <w:rsid w:val="00192FDD"/>
    <w:rsid w:val="0019411A"/>
    <w:rsid w:val="00194173"/>
    <w:rsid w:val="00196159"/>
    <w:rsid w:val="001A4C89"/>
    <w:rsid w:val="001A75C6"/>
    <w:rsid w:val="001A7A3B"/>
    <w:rsid w:val="001A7C68"/>
    <w:rsid w:val="001B0ADC"/>
    <w:rsid w:val="001B0B60"/>
    <w:rsid w:val="001B2A7A"/>
    <w:rsid w:val="001C1B6C"/>
    <w:rsid w:val="001C331B"/>
    <w:rsid w:val="001C4B54"/>
    <w:rsid w:val="001C4C00"/>
    <w:rsid w:val="001C658D"/>
    <w:rsid w:val="001C7620"/>
    <w:rsid w:val="001D2438"/>
    <w:rsid w:val="001D2F15"/>
    <w:rsid w:val="001F3F59"/>
    <w:rsid w:val="001F491F"/>
    <w:rsid w:val="00200DE5"/>
    <w:rsid w:val="00205888"/>
    <w:rsid w:val="002065CC"/>
    <w:rsid w:val="002122D5"/>
    <w:rsid w:val="0021236C"/>
    <w:rsid w:val="002157A3"/>
    <w:rsid w:val="002173EB"/>
    <w:rsid w:val="002223C5"/>
    <w:rsid w:val="002230D4"/>
    <w:rsid w:val="00224543"/>
    <w:rsid w:val="00225FFC"/>
    <w:rsid w:val="00226D08"/>
    <w:rsid w:val="0023588C"/>
    <w:rsid w:val="00235A57"/>
    <w:rsid w:val="00235D2B"/>
    <w:rsid w:val="00242C58"/>
    <w:rsid w:val="00245E0D"/>
    <w:rsid w:val="00246CC7"/>
    <w:rsid w:val="00250A03"/>
    <w:rsid w:val="002615A8"/>
    <w:rsid w:val="00264094"/>
    <w:rsid w:val="00270A16"/>
    <w:rsid w:val="0027211F"/>
    <w:rsid w:val="00272408"/>
    <w:rsid w:val="0027798C"/>
    <w:rsid w:val="0028060D"/>
    <w:rsid w:val="00281534"/>
    <w:rsid w:val="002839D5"/>
    <w:rsid w:val="002925B2"/>
    <w:rsid w:val="00294263"/>
    <w:rsid w:val="00294EF8"/>
    <w:rsid w:val="00296743"/>
    <w:rsid w:val="00297A0B"/>
    <w:rsid w:val="002B66D5"/>
    <w:rsid w:val="002B7AE0"/>
    <w:rsid w:val="002B7CD7"/>
    <w:rsid w:val="002C10C4"/>
    <w:rsid w:val="002C24A7"/>
    <w:rsid w:val="002C27E9"/>
    <w:rsid w:val="002C3F0E"/>
    <w:rsid w:val="002C4217"/>
    <w:rsid w:val="002C4EDA"/>
    <w:rsid w:val="002C6861"/>
    <w:rsid w:val="002C71AC"/>
    <w:rsid w:val="002D290A"/>
    <w:rsid w:val="002D2A4C"/>
    <w:rsid w:val="002D54FB"/>
    <w:rsid w:val="002D674D"/>
    <w:rsid w:val="002E30AA"/>
    <w:rsid w:val="002E77CA"/>
    <w:rsid w:val="002F0934"/>
    <w:rsid w:val="002F2B8B"/>
    <w:rsid w:val="002F7201"/>
    <w:rsid w:val="00300549"/>
    <w:rsid w:val="0030673E"/>
    <w:rsid w:val="00310243"/>
    <w:rsid w:val="0031369A"/>
    <w:rsid w:val="003172EB"/>
    <w:rsid w:val="0032031C"/>
    <w:rsid w:val="0032521A"/>
    <w:rsid w:val="00325B50"/>
    <w:rsid w:val="00326170"/>
    <w:rsid w:val="00327FB3"/>
    <w:rsid w:val="003362CA"/>
    <w:rsid w:val="00343ABF"/>
    <w:rsid w:val="00344A41"/>
    <w:rsid w:val="00350480"/>
    <w:rsid w:val="0035200C"/>
    <w:rsid w:val="00360CFB"/>
    <w:rsid w:val="003630BE"/>
    <w:rsid w:val="00363460"/>
    <w:rsid w:val="00363E64"/>
    <w:rsid w:val="00374AA4"/>
    <w:rsid w:val="00374BEC"/>
    <w:rsid w:val="00383DEC"/>
    <w:rsid w:val="00386615"/>
    <w:rsid w:val="00393EB2"/>
    <w:rsid w:val="003B2CFC"/>
    <w:rsid w:val="003B36BA"/>
    <w:rsid w:val="003B3C32"/>
    <w:rsid w:val="003B502B"/>
    <w:rsid w:val="003B78AE"/>
    <w:rsid w:val="003B7AAB"/>
    <w:rsid w:val="003C02C2"/>
    <w:rsid w:val="003C2EA6"/>
    <w:rsid w:val="003C2F0B"/>
    <w:rsid w:val="003C7A87"/>
    <w:rsid w:val="003D1F47"/>
    <w:rsid w:val="003D30B0"/>
    <w:rsid w:val="003D3190"/>
    <w:rsid w:val="003D4F96"/>
    <w:rsid w:val="003D58FE"/>
    <w:rsid w:val="003D6468"/>
    <w:rsid w:val="003E08CE"/>
    <w:rsid w:val="003E3761"/>
    <w:rsid w:val="003F1D2F"/>
    <w:rsid w:val="003F403B"/>
    <w:rsid w:val="003F4842"/>
    <w:rsid w:val="003F5467"/>
    <w:rsid w:val="004006B7"/>
    <w:rsid w:val="00402980"/>
    <w:rsid w:val="00403B57"/>
    <w:rsid w:val="00405FA4"/>
    <w:rsid w:val="00412A9C"/>
    <w:rsid w:val="00414D56"/>
    <w:rsid w:val="004162A2"/>
    <w:rsid w:val="00417700"/>
    <w:rsid w:val="00425F7D"/>
    <w:rsid w:val="00430C12"/>
    <w:rsid w:val="0043458E"/>
    <w:rsid w:val="00436CFA"/>
    <w:rsid w:val="00437F06"/>
    <w:rsid w:val="004430B7"/>
    <w:rsid w:val="004432B8"/>
    <w:rsid w:val="00444A10"/>
    <w:rsid w:val="00450EF1"/>
    <w:rsid w:val="004520B5"/>
    <w:rsid w:val="00457569"/>
    <w:rsid w:val="004665DE"/>
    <w:rsid w:val="0047153C"/>
    <w:rsid w:val="00473132"/>
    <w:rsid w:val="00474635"/>
    <w:rsid w:val="00474689"/>
    <w:rsid w:val="0047770E"/>
    <w:rsid w:val="004817F8"/>
    <w:rsid w:val="004836E7"/>
    <w:rsid w:val="0048466D"/>
    <w:rsid w:val="00485D9C"/>
    <w:rsid w:val="004909FA"/>
    <w:rsid w:val="00492BAB"/>
    <w:rsid w:val="00496D6D"/>
    <w:rsid w:val="004A1053"/>
    <w:rsid w:val="004A4AA6"/>
    <w:rsid w:val="004A6D32"/>
    <w:rsid w:val="004B01F7"/>
    <w:rsid w:val="004B031F"/>
    <w:rsid w:val="004B0C43"/>
    <w:rsid w:val="004B22FB"/>
    <w:rsid w:val="004C16B5"/>
    <w:rsid w:val="004C63F5"/>
    <w:rsid w:val="004C6BB5"/>
    <w:rsid w:val="004D1015"/>
    <w:rsid w:val="004D23E3"/>
    <w:rsid w:val="004D2699"/>
    <w:rsid w:val="004D37C3"/>
    <w:rsid w:val="004D4207"/>
    <w:rsid w:val="004D46E3"/>
    <w:rsid w:val="004E5C50"/>
    <w:rsid w:val="004F0485"/>
    <w:rsid w:val="004F19CA"/>
    <w:rsid w:val="004F2DE6"/>
    <w:rsid w:val="004F31D1"/>
    <w:rsid w:val="004F566C"/>
    <w:rsid w:val="004F78B0"/>
    <w:rsid w:val="004F7E11"/>
    <w:rsid w:val="00507244"/>
    <w:rsid w:val="00517E9A"/>
    <w:rsid w:val="005208BC"/>
    <w:rsid w:val="00524C02"/>
    <w:rsid w:val="00527908"/>
    <w:rsid w:val="005306D6"/>
    <w:rsid w:val="00531227"/>
    <w:rsid w:val="005314B7"/>
    <w:rsid w:val="00532414"/>
    <w:rsid w:val="00533129"/>
    <w:rsid w:val="00534A08"/>
    <w:rsid w:val="00537901"/>
    <w:rsid w:val="00540907"/>
    <w:rsid w:val="00540FD0"/>
    <w:rsid w:val="005428BA"/>
    <w:rsid w:val="00542BF9"/>
    <w:rsid w:val="00542D76"/>
    <w:rsid w:val="005439F4"/>
    <w:rsid w:val="0054583B"/>
    <w:rsid w:val="00545DBC"/>
    <w:rsid w:val="00546447"/>
    <w:rsid w:val="00550C07"/>
    <w:rsid w:val="00551D69"/>
    <w:rsid w:val="00553062"/>
    <w:rsid w:val="00562CC5"/>
    <w:rsid w:val="00567368"/>
    <w:rsid w:val="005723DF"/>
    <w:rsid w:val="00574AFF"/>
    <w:rsid w:val="00577490"/>
    <w:rsid w:val="0058246E"/>
    <w:rsid w:val="0058507F"/>
    <w:rsid w:val="00587AA6"/>
    <w:rsid w:val="0059097B"/>
    <w:rsid w:val="005924CF"/>
    <w:rsid w:val="00592646"/>
    <w:rsid w:val="005A1885"/>
    <w:rsid w:val="005A1D60"/>
    <w:rsid w:val="005A60F5"/>
    <w:rsid w:val="005B741B"/>
    <w:rsid w:val="005C0156"/>
    <w:rsid w:val="005C3DC3"/>
    <w:rsid w:val="005C5889"/>
    <w:rsid w:val="005C60F5"/>
    <w:rsid w:val="005D39B7"/>
    <w:rsid w:val="005D74FB"/>
    <w:rsid w:val="005E0688"/>
    <w:rsid w:val="005F46AB"/>
    <w:rsid w:val="005F6F6F"/>
    <w:rsid w:val="005F72D4"/>
    <w:rsid w:val="00605293"/>
    <w:rsid w:val="00606B13"/>
    <w:rsid w:val="006124B1"/>
    <w:rsid w:val="00616718"/>
    <w:rsid w:val="00621331"/>
    <w:rsid w:val="0062392A"/>
    <w:rsid w:val="00625C7D"/>
    <w:rsid w:val="00626920"/>
    <w:rsid w:val="006307AE"/>
    <w:rsid w:val="00630C1F"/>
    <w:rsid w:val="0063185F"/>
    <w:rsid w:val="006322AA"/>
    <w:rsid w:val="00633D3E"/>
    <w:rsid w:val="00634778"/>
    <w:rsid w:val="006357F0"/>
    <w:rsid w:val="00644755"/>
    <w:rsid w:val="00647213"/>
    <w:rsid w:val="00647640"/>
    <w:rsid w:val="006522AD"/>
    <w:rsid w:val="00656F9B"/>
    <w:rsid w:val="006577D4"/>
    <w:rsid w:val="006614DC"/>
    <w:rsid w:val="0066293C"/>
    <w:rsid w:val="006731AF"/>
    <w:rsid w:val="00675014"/>
    <w:rsid w:val="00676EAC"/>
    <w:rsid w:val="0068086C"/>
    <w:rsid w:val="00682758"/>
    <w:rsid w:val="00690D36"/>
    <w:rsid w:val="006920E7"/>
    <w:rsid w:val="006937B5"/>
    <w:rsid w:val="006A386F"/>
    <w:rsid w:val="006B0068"/>
    <w:rsid w:val="006B4026"/>
    <w:rsid w:val="006B41CE"/>
    <w:rsid w:val="006B6ECF"/>
    <w:rsid w:val="006B7D2B"/>
    <w:rsid w:val="006D0915"/>
    <w:rsid w:val="006D13B5"/>
    <w:rsid w:val="006D359C"/>
    <w:rsid w:val="006D6FBE"/>
    <w:rsid w:val="006D7FEA"/>
    <w:rsid w:val="006E39CC"/>
    <w:rsid w:val="006E7DA3"/>
    <w:rsid w:val="006F0DBA"/>
    <w:rsid w:val="006F69AD"/>
    <w:rsid w:val="00704EB6"/>
    <w:rsid w:val="00706B56"/>
    <w:rsid w:val="00706C45"/>
    <w:rsid w:val="00715F04"/>
    <w:rsid w:val="00716494"/>
    <w:rsid w:val="007165DD"/>
    <w:rsid w:val="007224C3"/>
    <w:rsid w:val="00724CC8"/>
    <w:rsid w:val="00730549"/>
    <w:rsid w:val="0073211C"/>
    <w:rsid w:val="00732A7B"/>
    <w:rsid w:val="00732FE3"/>
    <w:rsid w:val="00733216"/>
    <w:rsid w:val="007342EA"/>
    <w:rsid w:val="0074116C"/>
    <w:rsid w:val="007419F5"/>
    <w:rsid w:val="00741D0E"/>
    <w:rsid w:val="007439C2"/>
    <w:rsid w:val="00743AC0"/>
    <w:rsid w:val="00753FCA"/>
    <w:rsid w:val="007548F1"/>
    <w:rsid w:val="0076104D"/>
    <w:rsid w:val="007654C3"/>
    <w:rsid w:val="00767481"/>
    <w:rsid w:val="00771912"/>
    <w:rsid w:val="00774CF4"/>
    <w:rsid w:val="00775BC1"/>
    <w:rsid w:val="007813DB"/>
    <w:rsid w:val="0078164B"/>
    <w:rsid w:val="00783133"/>
    <w:rsid w:val="007866D9"/>
    <w:rsid w:val="00795CA5"/>
    <w:rsid w:val="007A0368"/>
    <w:rsid w:val="007A19BA"/>
    <w:rsid w:val="007A242F"/>
    <w:rsid w:val="007A28B4"/>
    <w:rsid w:val="007A2F7F"/>
    <w:rsid w:val="007A33AC"/>
    <w:rsid w:val="007B04D8"/>
    <w:rsid w:val="007B3695"/>
    <w:rsid w:val="007B59B6"/>
    <w:rsid w:val="007C2A4C"/>
    <w:rsid w:val="007C2B08"/>
    <w:rsid w:val="007C39F1"/>
    <w:rsid w:val="007C5454"/>
    <w:rsid w:val="007E1F8C"/>
    <w:rsid w:val="00812C14"/>
    <w:rsid w:val="008238DF"/>
    <w:rsid w:val="00826719"/>
    <w:rsid w:val="0082687B"/>
    <w:rsid w:val="00835140"/>
    <w:rsid w:val="00835243"/>
    <w:rsid w:val="00841852"/>
    <w:rsid w:val="00854C5E"/>
    <w:rsid w:val="00856FBA"/>
    <w:rsid w:val="00857B29"/>
    <w:rsid w:val="00860A4F"/>
    <w:rsid w:val="00861E5F"/>
    <w:rsid w:val="0086235B"/>
    <w:rsid w:val="00870888"/>
    <w:rsid w:val="00870FC3"/>
    <w:rsid w:val="0087355E"/>
    <w:rsid w:val="0087367C"/>
    <w:rsid w:val="00883E2A"/>
    <w:rsid w:val="00885E8A"/>
    <w:rsid w:val="00890A39"/>
    <w:rsid w:val="00890B9A"/>
    <w:rsid w:val="008926BA"/>
    <w:rsid w:val="00893BE5"/>
    <w:rsid w:val="008950F4"/>
    <w:rsid w:val="00895E4B"/>
    <w:rsid w:val="008A22F3"/>
    <w:rsid w:val="008A6392"/>
    <w:rsid w:val="008A75A1"/>
    <w:rsid w:val="008B1CE2"/>
    <w:rsid w:val="008B2FD2"/>
    <w:rsid w:val="008B5FCD"/>
    <w:rsid w:val="008B6416"/>
    <w:rsid w:val="008B718A"/>
    <w:rsid w:val="008B7A99"/>
    <w:rsid w:val="008C0DFA"/>
    <w:rsid w:val="008C23EC"/>
    <w:rsid w:val="008C2B9E"/>
    <w:rsid w:val="008C60C3"/>
    <w:rsid w:val="008C6B49"/>
    <w:rsid w:val="008D181E"/>
    <w:rsid w:val="008D32C3"/>
    <w:rsid w:val="008D5AA4"/>
    <w:rsid w:val="008D5D18"/>
    <w:rsid w:val="008D62C9"/>
    <w:rsid w:val="008E05E8"/>
    <w:rsid w:val="008E2E2F"/>
    <w:rsid w:val="008E58DF"/>
    <w:rsid w:val="008E7FCB"/>
    <w:rsid w:val="008F0065"/>
    <w:rsid w:val="008F50DD"/>
    <w:rsid w:val="008F5976"/>
    <w:rsid w:val="008F7EC0"/>
    <w:rsid w:val="00904ECD"/>
    <w:rsid w:val="009057BA"/>
    <w:rsid w:val="00905AFC"/>
    <w:rsid w:val="00910B18"/>
    <w:rsid w:val="00920502"/>
    <w:rsid w:val="0092065E"/>
    <w:rsid w:val="00930933"/>
    <w:rsid w:val="00933231"/>
    <w:rsid w:val="009336EE"/>
    <w:rsid w:val="0093454F"/>
    <w:rsid w:val="0093575C"/>
    <w:rsid w:val="00936C14"/>
    <w:rsid w:val="00936D7E"/>
    <w:rsid w:val="0094004F"/>
    <w:rsid w:val="00940C7D"/>
    <w:rsid w:val="009429CD"/>
    <w:rsid w:val="00943E18"/>
    <w:rsid w:val="009467D3"/>
    <w:rsid w:val="00952BB9"/>
    <w:rsid w:val="00957782"/>
    <w:rsid w:val="00962769"/>
    <w:rsid w:val="00962AAD"/>
    <w:rsid w:val="0096413E"/>
    <w:rsid w:val="00964D2A"/>
    <w:rsid w:val="00966C67"/>
    <w:rsid w:val="00966D19"/>
    <w:rsid w:val="0097087A"/>
    <w:rsid w:val="0097361D"/>
    <w:rsid w:val="0097371D"/>
    <w:rsid w:val="009800D7"/>
    <w:rsid w:val="00984059"/>
    <w:rsid w:val="009875BD"/>
    <w:rsid w:val="00991528"/>
    <w:rsid w:val="00992A70"/>
    <w:rsid w:val="00997C45"/>
    <w:rsid w:val="009A1086"/>
    <w:rsid w:val="009A1398"/>
    <w:rsid w:val="009A2CFA"/>
    <w:rsid w:val="009A307E"/>
    <w:rsid w:val="009B23AD"/>
    <w:rsid w:val="009B4032"/>
    <w:rsid w:val="009B4FB3"/>
    <w:rsid w:val="009B675F"/>
    <w:rsid w:val="009C0433"/>
    <w:rsid w:val="009C76EF"/>
    <w:rsid w:val="009D0AA4"/>
    <w:rsid w:val="009D164E"/>
    <w:rsid w:val="009D45F0"/>
    <w:rsid w:val="009E446A"/>
    <w:rsid w:val="009F0604"/>
    <w:rsid w:val="009F09AD"/>
    <w:rsid w:val="00A02FD2"/>
    <w:rsid w:val="00A07553"/>
    <w:rsid w:val="00A109E8"/>
    <w:rsid w:val="00A14C75"/>
    <w:rsid w:val="00A17A19"/>
    <w:rsid w:val="00A2024C"/>
    <w:rsid w:val="00A2031A"/>
    <w:rsid w:val="00A2144D"/>
    <w:rsid w:val="00A26D97"/>
    <w:rsid w:val="00A31001"/>
    <w:rsid w:val="00A33D33"/>
    <w:rsid w:val="00A351AF"/>
    <w:rsid w:val="00A36574"/>
    <w:rsid w:val="00A3698C"/>
    <w:rsid w:val="00A40509"/>
    <w:rsid w:val="00A405D8"/>
    <w:rsid w:val="00A44121"/>
    <w:rsid w:val="00A457C3"/>
    <w:rsid w:val="00A47302"/>
    <w:rsid w:val="00A5101A"/>
    <w:rsid w:val="00A602BA"/>
    <w:rsid w:val="00A63E6A"/>
    <w:rsid w:val="00A6510C"/>
    <w:rsid w:val="00A65921"/>
    <w:rsid w:val="00A65A15"/>
    <w:rsid w:val="00A6797F"/>
    <w:rsid w:val="00A67E78"/>
    <w:rsid w:val="00A71C53"/>
    <w:rsid w:val="00A74461"/>
    <w:rsid w:val="00A81A92"/>
    <w:rsid w:val="00A85991"/>
    <w:rsid w:val="00A86346"/>
    <w:rsid w:val="00A93D26"/>
    <w:rsid w:val="00A95957"/>
    <w:rsid w:val="00AA4CCD"/>
    <w:rsid w:val="00AB75A9"/>
    <w:rsid w:val="00AC2949"/>
    <w:rsid w:val="00AD5267"/>
    <w:rsid w:val="00AD7F40"/>
    <w:rsid w:val="00AE11A5"/>
    <w:rsid w:val="00AE2BDA"/>
    <w:rsid w:val="00AF1694"/>
    <w:rsid w:val="00AF1D3C"/>
    <w:rsid w:val="00AF7F33"/>
    <w:rsid w:val="00B036BB"/>
    <w:rsid w:val="00B11351"/>
    <w:rsid w:val="00B13650"/>
    <w:rsid w:val="00B17F11"/>
    <w:rsid w:val="00B206BE"/>
    <w:rsid w:val="00B228B4"/>
    <w:rsid w:val="00B25E88"/>
    <w:rsid w:val="00B27B9C"/>
    <w:rsid w:val="00B3174A"/>
    <w:rsid w:val="00B32F0C"/>
    <w:rsid w:val="00B40E33"/>
    <w:rsid w:val="00B41883"/>
    <w:rsid w:val="00B44E7B"/>
    <w:rsid w:val="00B45053"/>
    <w:rsid w:val="00B47A21"/>
    <w:rsid w:val="00B508DC"/>
    <w:rsid w:val="00B554B4"/>
    <w:rsid w:val="00B6104D"/>
    <w:rsid w:val="00B63758"/>
    <w:rsid w:val="00B66578"/>
    <w:rsid w:val="00B66590"/>
    <w:rsid w:val="00B7278A"/>
    <w:rsid w:val="00B804B9"/>
    <w:rsid w:val="00B8484D"/>
    <w:rsid w:val="00B84B36"/>
    <w:rsid w:val="00B873A5"/>
    <w:rsid w:val="00B93934"/>
    <w:rsid w:val="00BA6E82"/>
    <w:rsid w:val="00BB02D1"/>
    <w:rsid w:val="00BB3101"/>
    <w:rsid w:val="00BB727A"/>
    <w:rsid w:val="00BC0026"/>
    <w:rsid w:val="00BC0868"/>
    <w:rsid w:val="00BC3044"/>
    <w:rsid w:val="00BD186F"/>
    <w:rsid w:val="00BD2177"/>
    <w:rsid w:val="00BD7982"/>
    <w:rsid w:val="00BE14D8"/>
    <w:rsid w:val="00BE484D"/>
    <w:rsid w:val="00BE5806"/>
    <w:rsid w:val="00BE62E4"/>
    <w:rsid w:val="00BE6E66"/>
    <w:rsid w:val="00BF1BA0"/>
    <w:rsid w:val="00C11973"/>
    <w:rsid w:val="00C13EF4"/>
    <w:rsid w:val="00C1532E"/>
    <w:rsid w:val="00C17205"/>
    <w:rsid w:val="00C20E93"/>
    <w:rsid w:val="00C21304"/>
    <w:rsid w:val="00C27305"/>
    <w:rsid w:val="00C27A0D"/>
    <w:rsid w:val="00C31200"/>
    <w:rsid w:val="00C3287B"/>
    <w:rsid w:val="00C3563B"/>
    <w:rsid w:val="00C40278"/>
    <w:rsid w:val="00C4354D"/>
    <w:rsid w:val="00C437BE"/>
    <w:rsid w:val="00C4415C"/>
    <w:rsid w:val="00C447D1"/>
    <w:rsid w:val="00C44B12"/>
    <w:rsid w:val="00C45DAC"/>
    <w:rsid w:val="00C47E62"/>
    <w:rsid w:val="00C50C33"/>
    <w:rsid w:val="00C57605"/>
    <w:rsid w:val="00C658D6"/>
    <w:rsid w:val="00C65C21"/>
    <w:rsid w:val="00C70EB9"/>
    <w:rsid w:val="00C71774"/>
    <w:rsid w:val="00C7599C"/>
    <w:rsid w:val="00C767C9"/>
    <w:rsid w:val="00C76D02"/>
    <w:rsid w:val="00C80F23"/>
    <w:rsid w:val="00C8215C"/>
    <w:rsid w:val="00C8451D"/>
    <w:rsid w:val="00C84A8D"/>
    <w:rsid w:val="00C86DB2"/>
    <w:rsid w:val="00C87086"/>
    <w:rsid w:val="00C87D49"/>
    <w:rsid w:val="00C96C54"/>
    <w:rsid w:val="00CA1CA7"/>
    <w:rsid w:val="00CA1DB1"/>
    <w:rsid w:val="00CA2674"/>
    <w:rsid w:val="00CA5426"/>
    <w:rsid w:val="00CA55BA"/>
    <w:rsid w:val="00CB0322"/>
    <w:rsid w:val="00CB071D"/>
    <w:rsid w:val="00CB6D77"/>
    <w:rsid w:val="00CB6F56"/>
    <w:rsid w:val="00CB7C44"/>
    <w:rsid w:val="00CC107A"/>
    <w:rsid w:val="00CC2A1C"/>
    <w:rsid w:val="00CC38A0"/>
    <w:rsid w:val="00CC62CC"/>
    <w:rsid w:val="00CC6D23"/>
    <w:rsid w:val="00CD057E"/>
    <w:rsid w:val="00CD2290"/>
    <w:rsid w:val="00CD26C0"/>
    <w:rsid w:val="00CD3638"/>
    <w:rsid w:val="00CD466D"/>
    <w:rsid w:val="00CD7521"/>
    <w:rsid w:val="00CD7B49"/>
    <w:rsid w:val="00CE2665"/>
    <w:rsid w:val="00CE26D9"/>
    <w:rsid w:val="00CE53FD"/>
    <w:rsid w:val="00CF0492"/>
    <w:rsid w:val="00CF3011"/>
    <w:rsid w:val="00CF363D"/>
    <w:rsid w:val="00CF3A9A"/>
    <w:rsid w:val="00CF4B1F"/>
    <w:rsid w:val="00CF4DDC"/>
    <w:rsid w:val="00CF5201"/>
    <w:rsid w:val="00CF63CD"/>
    <w:rsid w:val="00D01004"/>
    <w:rsid w:val="00D028A8"/>
    <w:rsid w:val="00D02A1C"/>
    <w:rsid w:val="00D02D95"/>
    <w:rsid w:val="00D06CE9"/>
    <w:rsid w:val="00D07F7D"/>
    <w:rsid w:val="00D12710"/>
    <w:rsid w:val="00D2722A"/>
    <w:rsid w:val="00D2759B"/>
    <w:rsid w:val="00D326B9"/>
    <w:rsid w:val="00D340E3"/>
    <w:rsid w:val="00D37C2C"/>
    <w:rsid w:val="00D43311"/>
    <w:rsid w:val="00D4369F"/>
    <w:rsid w:val="00D45FF9"/>
    <w:rsid w:val="00D51AD3"/>
    <w:rsid w:val="00D561DD"/>
    <w:rsid w:val="00D56ED1"/>
    <w:rsid w:val="00D60F5B"/>
    <w:rsid w:val="00D63FF3"/>
    <w:rsid w:val="00D64CE1"/>
    <w:rsid w:val="00D703B7"/>
    <w:rsid w:val="00D75DAB"/>
    <w:rsid w:val="00D76013"/>
    <w:rsid w:val="00D77DB3"/>
    <w:rsid w:val="00D77F99"/>
    <w:rsid w:val="00D81AC2"/>
    <w:rsid w:val="00D81EA2"/>
    <w:rsid w:val="00D83476"/>
    <w:rsid w:val="00D9310C"/>
    <w:rsid w:val="00D94B8B"/>
    <w:rsid w:val="00DA322F"/>
    <w:rsid w:val="00DB0605"/>
    <w:rsid w:val="00DB522C"/>
    <w:rsid w:val="00DC3BF3"/>
    <w:rsid w:val="00DD1616"/>
    <w:rsid w:val="00DD4D8D"/>
    <w:rsid w:val="00DD51A6"/>
    <w:rsid w:val="00DE444E"/>
    <w:rsid w:val="00DE553D"/>
    <w:rsid w:val="00DE6645"/>
    <w:rsid w:val="00DE7A3F"/>
    <w:rsid w:val="00DF27E1"/>
    <w:rsid w:val="00DF3B5F"/>
    <w:rsid w:val="00DF45AF"/>
    <w:rsid w:val="00DF4632"/>
    <w:rsid w:val="00DF6C96"/>
    <w:rsid w:val="00E0369E"/>
    <w:rsid w:val="00E0370C"/>
    <w:rsid w:val="00E04C30"/>
    <w:rsid w:val="00E134DC"/>
    <w:rsid w:val="00E166C0"/>
    <w:rsid w:val="00E21BF3"/>
    <w:rsid w:val="00E22FAC"/>
    <w:rsid w:val="00E250AA"/>
    <w:rsid w:val="00E31060"/>
    <w:rsid w:val="00E31128"/>
    <w:rsid w:val="00E3624C"/>
    <w:rsid w:val="00E449A4"/>
    <w:rsid w:val="00E55ACF"/>
    <w:rsid w:val="00E57276"/>
    <w:rsid w:val="00E57BC8"/>
    <w:rsid w:val="00E60CC5"/>
    <w:rsid w:val="00E64489"/>
    <w:rsid w:val="00E74CCA"/>
    <w:rsid w:val="00E751D1"/>
    <w:rsid w:val="00E76676"/>
    <w:rsid w:val="00E8613C"/>
    <w:rsid w:val="00E869E6"/>
    <w:rsid w:val="00E91A06"/>
    <w:rsid w:val="00E91A72"/>
    <w:rsid w:val="00E921B8"/>
    <w:rsid w:val="00E9353D"/>
    <w:rsid w:val="00E93E7A"/>
    <w:rsid w:val="00E93FC9"/>
    <w:rsid w:val="00EA0A90"/>
    <w:rsid w:val="00EB226B"/>
    <w:rsid w:val="00EB5600"/>
    <w:rsid w:val="00EC3985"/>
    <w:rsid w:val="00EC4145"/>
    <w:rsid w:val="00EC75DB"/>
    <w:rsid w:val="00ED2B57"/>
    <w:rsid w:val="00ED329B"/>
    <w:rsid w:val="00EE0B2B"/>
    <w:rsid w:val="00EE4B43"/>
    <w:rsid w:val="00EE54D4"/>
    <w:rsid w:val="00EF4C0E"/>
    <w:rsid w:val="00F00394"/>
    <w:rsid w:val="00F00BC5"/>
    <w:rsid w:val="00F01A98"/>
    <w:rsid w:val="00F04352"/>
    <w:rsid w:val="00F0585E"/>
    <w:rsid w:val="00F069F5"/>
    <w:rsid w:val="00F07E33"/>
    <w:rsid w:val="00F119C5"/>
    <w:rsid w:val="00F11D67"/>
    <w:rsid w:val="00F12BED"/>
    <w:rsid w:val="00F15DF5"/>
    <w:rsid w:val="00F16179"/>
    <w:rsid w:val="00F20319"/>
    <w:rsid w:val="00F223DC"/>
    <w:rsid w:val="00F22821"/>
    <w:rsid w:val="00F26B28"/>
    <w:rsid w:val="00F27E93"/>
    <w:rsid w:val="00F31F66"/>
    <w:rsid w:val="00F3484C"/>
    <w:rsid w:val="00F35551"/>
    <w:rsid w:val="00F4153F"/>
    <w:rsid w:val="00F46165"/>
    <w:rsid w:val="00F6439A"/>
    <w:rsid w:val="00F64D98"/>
    <w:rsid w:val="00F7037B"/>
    <w:rsid w:val="00F7096C"/>
    <w:rsid w:val="00F75FCD"/>
    <w:rsid w:val="00F82967"/>
    <w:rsid w:val="00F85844"/>
    <w:rsid w:val="00F9066A"/>
    <w:rsid w:val="00F9070F"/>
    <w:rsid w:val="00F91137"/>
    <w:rsid w:val="00F93992"/>
    <w:rsid w:val="00F97562"/>
    <w:rsid w:val="00FA2127"/>
    <w:rsid w:val="00FB12F9"/>
    <w:rsid w:val="00FB16D4"/>
    <w:rsid w:val="00FB25CE"/>
    <w:rsid w:val="00FB49DD"/>
    <w:rsid w:val="00FC59D0"/>
    <w:rsid w:val="00FD2486"/>
    <w:rsid w:val="00FD4450"/>
    <w:rsid w:val="00FE713F"/>
    <w:rsid w:val="00FF0227"/>
    <w:rsid w:val="00FF1FAE"/>
    <w:rsid w:val="00FF5D21"/>
    <w:rsid w:val="019FFF90"/>
    <w:rsid w:val="030A17AA"/>
    <w:rsid w:val="048463E4"/>
    <w:rsid w:val="06B1AAE4"/>
    <w:rsid w:val="07ED3BFA"/>
    <w:rsid w:val="0C4937AA"/>
    <w:rsid w:val="0E6DC20D"/>
    <w:rsid w:val="134984BE"/>
    <w:rsid w:val="14D88F0E"/>
    <w:rsid w:val="16DB1401"/>
    <w:rsid w:val="182D5264"/>
    <w:rsid w:val="188EEA52"/>
    <w:rsid w:val="18EF5C15"/>
    <w:rsid w:val="1A234F9F"/>
    <w:rsid w:val="23A9EBEF"/>
    <w:rsid w:val="24E77136"/>
    <w:rsid w:val="266DF740"/>
    <w:rsid w:val="26C56B4E"/>
    <w:rsid w:val="293C4AE5"/>
    <w:rsid w:val="2AC87406"/>
    <w:rsid w:val="2C450E27"/>
    <w:rsid w:val="2D2413E1"/>
    <w:rsid w:val="3C45D2D2"/>
    <w:rsid w:val="3D1D32E2"/>
    <w:rsid w:val="3F007A68"/>
    <w:rsid w:val="410597E6"/>
    <w:rsid w:val="419F7118"/>
    <w:rsid w:val="4225296B"/>
    <w:rsid w:val="4229284B"/>
    <w:rsid w:val="426EB209"/>
    <w:rsid w:val="43B5B16A"/>
    <w:rsid w:val="47374149"/>
    <w:rsid w:val="4907653A"/>
    <w:rsid w:val="4A7240B3"/>
    <w:rsid w:val="4BB3C10E"/>
    <w:rsid w:val="4F061313"/>
    <w:rsid w:val="504953CE"/>
    <w:rsid w:val="51E5242F"/>
    <w:rsid w:val="5470944F"/>
    <w:rsid w:val="547DFC14"/>
    <w:rsid w:val="59BD7716"/>
    <w:rsid w:val="5A2E33D7"/>
    <w:rsid w:val="5A89713C"/>
    <w:rsid w:val="5C627DD7"/>
    <w:rsid w:val="5E74296F"/>
    <w:rsid w:val="5F097320"/>
    <w:rsid w:val="6047756B"/>
    <w:rsid w:val="60844CFE"/>
    <w:rsid w:val="617818B1"/>
    <w:rsid w:val="643127C4"/>
    <w:rsid w:val="6687CCA9"/>
    <w:rsid w:val="66F38E82"/>
    <w:rsid w:val="68727703"/>
    <w:rsid w:val="6E899D81"/>
    <w:rsid w:val="712EB1D1"/>
    <w:rsid w:val="72CA8232"/>
    <w:rsid w:val="73E8448F"/>
    <w:rsid w:val="74345EBB"/>
    <w:rsid w:val="7943EF60"/>
    <w:rsid w:val="7C9AD625"/>
    <w:rsid w:val="7D1B9ECD"/>
    <w:rsid w:val="7E6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1EF0D"/>
  <w15:chartTrackingRefBased/>
  <w15:docId w15:val="{D83AAEFE-3C39-924B-B584-B554E0C5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2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63"/>
    <w:pPr>
      <w:ind w:left="720"/>
      <w:contextualSpacing/>
    </w:pPr>
    <w:rPr>
      <w:rFonts w:ascii="Calibri" w:eastAsia="Calibri" w:hAnsi="Calibri"/>
    </w:rPr>
  </w:style>
  <w:style w:type="paragraph" w:customStyle="1" w:styleId="xmsonormal">
    <w:name w:val="x_msonormal"/>
    <w:basedOn w:val="Normal"/>
    <w:rsid w:val="002942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4263"/>
  </w:style>
  <w:style w:type="paragraph" w:styleId="Header">
    <w:name w:val="header"/>
    <w:basedOn w:val="Normal"/>
    <w:link w:val="HeaderChar"/>
    <w:uiPriority w:val="99"/>
    <w:unhideWhenUsed/>
    <w:rsid w:val="00294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6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3454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54F"/>
    <w:rPr>
      <w:rFonts w:ascii="Arial" w:eastAsia="Arial" w:hAnsi="Arial" w:cs="Arial"/>
      <w:sz w:val="20"/>
      <w:szCs w:val="20"/>
      <w:lang w:val="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54F"/>
    <w:rPr>
      <w:rFonts w:ascii="Arial" w:eastAsia="Arial" w:hAnsi="Arial" w:cs="Arial"/>
      <w:sz w:val="20"/>
      <w:szCs w:val="20"/>
      <w:lang w:val="es"/>
    </w:rPr>
  </w:style>
  <w:style w:type="character" w:styleId="FootnoteReference">
    <w:name w:val="footnote reference"/>
    <w:basedOn w:val="DefaultParagraphFont"/>
    <w:uiPriority w:val="99"/>
    <w:semiHidden/>
    <w:unhideWhenUsed/>
    <w:rsid w:val="009345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454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7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7096C"/>
  </w:style>
  <w:style w:type="paragraph" w:customStyle="1" w:styleId="xmsolistparagraph">
    <w:name w:val="x_msolistparagraph"/>
    <w:basedOn w:val="Normal"/>
    <w:rsid w:val="000130C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E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16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4" ma:contentTypeDescription="Create a new document." ma:contentTypeScope="" ma:versionID="96df27de7b3baed287c886babaad3a9e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7572a49cc95d632abbc73d3553dd3271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688C-50D0-4587-AAA3-87DF760A689D}">
  <ds:schemaRefs>
    <ds:schemaRef ds:uri="http://schemas.microsoft.com/office/2006/metadata/properties"/>
    <ds:schemaRef ds:uri="http://schemas.microsoft.com/office/infopath/2007/PartnerControls"/>
    <ds:schemaRef ds:uri="1e29f7a6-09d7-4e0e-8ca1-7b83d4477d3c"/>
  </ds:schemaRefs>
</ds:datastoreItem>
</file>

<file path=customXml/itemProps2.xml><?xml version="1.0" encoding="utf-8"?>
<ds:datastoreItem xmlns:ds="http://schemas.openxmlformats.org/officeDocument/2006/customXml" ds:itemID="{5AA6E34E-E1E0-495A-8776-146EE0196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72381-EB44-4755-8492-DEA1C2296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18279-4861-4688-B98C-4EDE3523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Perez Katz</dc:creator>
  <cp:keywords/>
  <dc:description/>
  <cp:lastModifiedBy>Burbano, Carmela</cp:lastModifiedBy>
  <cp:revision>5</cp:revision>
  <dcterms:created xsi:type="dcterms:W3CDTF">2022-07-13T13:15:00Z</dcterms:created>
  <dcterms:modified xsi:type="dcterms:W3CDTF">2022-07-27T19:56:00Z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0x0101008E003B3FC94A834DBEE01557366D7C59</vt:lpwstr>
  </property>
</Properties>
</file>