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F61" w14:textId="77777777" w:rsidR="00313B00" w:rsidRPr="0048401A" w:rsidRDefault="00313B00" w:rsidP="00313B0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48401A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4AB9BE8A" w14:textId="77777777" w:rsidR="00313B00" w:rsidRPr="0048401A" w:rsidRDefault="00313B00" w:rsidP="00313B00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52CF892D" w14:textId="77777777" w:rsidR="00313B00" w:rsidRPr="0048401A" w:rsidRDefault="00313B00" w:rsidP="00313B00">
      <w:pPr>
        <w:tabs>
          <w:tab w:val="left" w:pos="7200"/>
        </w:tabs>
        <w:rPr>
          <w:sz w:val="22"/>
          <w:szCs w:val="22"/>
          <w:lang w:val="es-ES_tradnl"/>
        </w:rPr>
      </w:pPr>
      <w:r w:rsidRPr="0048401A">
        <w:rPr>
          <w:sz w:val="22"/>
          <w:szCs w:val="22"/>
          <w:lang w:val="es-AR"/>
        </w:rPr>
        <w:t>VIGÉSIMO TERCER PERÍODO ORDINARIO DE SESIONES</w:t>
      </w:r>
      <w:r w:rsidRPr="0048401A">
        <w:rPr>
          <w:sz w:val="22"/>
          <w:szCs w:val="22"/>
          <w:lang w:val="es-ES_tradnl"/>
        </w:rPr>
        <w:tab/>
        <w:t>OEA/</w:t>
      </w:r>
      <w:proofErr w:type="spellStart"/>
      <w:r w:rsidRPr="0048401A">
        <w:rPr>
          <w:sz w:val="22"/>
          <w:szCs w:val="22"/>
          <w:lang w:val="es-ES_tradnl"/>
        </w:rPr>
        <w:t>Ser.L</w:t>
      </w:r>
      <w:proofErr w:type="spellEnd"/>
      <w:r w:rsidRPr="0048401A">
        <w:rPr>
          <w:sz w:val="22"/>
          <w:szCs w:val="22"/>
          <w:lang w:val="es-ES_tradnl"/>
        </w:rPr>
        <w:t>/X.2.23</w:t>
      </w:r>
    </w:p>
    <w:p w14:paraId="7ECE6367" w14:textId="53360577" w:rsidR="00313B00" w:rsidRPr="0048401A" w:rsidRDefault="00313B00" w:rsidP="00313B00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48401A">
        <w:rPr>
          <w:sz w:val="22"/>
          <w:szCs w:val="22"/>
          <w:lang w:val="es-ES_tradnl"/>
        </w:rPr>
        <w:t>17 y 18 de mayo de 2023</w:t>
      </w:r>
      <w:r w:rsidRPr="0048401A">
        <w:rPr>
          <w:sz w:val="22"/>
          <w:szCs w:val="22"/>
          <w:lang w:val="es-ES_tradnl"/>
        </w:rPr>
        <w:tab/>
        <w:t>CICTE/doc.</w:t>
      </w:r>
      <w:r>
        <w:rPr>
          <w:sz w:val="22"/>
          <w:szCs w:val="22"/>
          <w:lang w:val="es-ES_tradnl"/>
        </w:rPr>
        <w:t>5</w:t>
      </w:r>
      <w:r w:rsidRPr="0048401A">
        <w:rPr>
          <w:sz w:val="22"/>
          <w:szCs w:val="22"/>
          <w:lang w:val="es-ES_tradnl"/>
        </w:rPr>
        <w:t>/23</w:t>
      </w:r>
      <w:r w:rsidRPr="0048401A">
        <w:rPr>
          <w:sz w:val="22"/>
          <w:szCs w:val="22"/>
          <w:lang w:val="es-US"/>
        </w:rPr>
        <w:t xml:space="preserve"> </w:t>
      </w:r>
      <w:proofErr w:type="spellStart"/>
      <w:r w:rsidR="00C0028C">
        <w:rPr>
          <w:sz w:val="22"/>
          <w:szCs w:val="22"/>
          <w:lang w:val="es-US"/>
        </w:rPr>
        <w:t>rev.</w:t>
      </w:r>
      <w:proofErr w:type="spellEnd"/>
      <w:r w:rsidR="00C0028C">
        <w:rPr>
          <w:sz w:val="22"/>
          <w:szCs w:val="22"/>
          <w:lang w:val="es-US"/>
        </w:rPr>
        <w:t xml:space="preserve"> 1</w:t>
      </w:r>
    </w:p>
    <w:p w14:paraId="4EC86160" w14:textId="5E41CA29" w:rsidR="00313B00" w:rsidRPr="0048401A" w:rsidRDefault="00313B00" w:rsidP="00313B00">
      <w:pPr>
        <w:tabs>
          <w:tab w:val="left" w:pos="7200"/>
        </w:tabs>
        <w:rPr>
          <w:sz w:val="22"/>
          <w:szCs w:val="22"/>
          <w:lang w:val="es-ES_tradnl"/>
        </w:rPr>
      </w:pPr>
      <w:r w:rsidRPr="0048401A">
        <w:rPr>
          <w:sz w:val="22"/>
          <w:szCs w:val="22"/>
          <w:lang w:val="es-ES_tradnl"/>
        </w:rPr>
        <w:t>Ciudad de México, México.</w:t>
      </w:r>
      <w:r w:rsidRPr="0048401A">
        <w:rPr>
          <w:sz w:val="22"/>
          <w:szCs w:val="22"/>
          <w:lang w:val="es-ES_tradnl"/>
        </w:rPr>
        <w:tab/>
      </w:r>
      <w:r w:rsidR="00C0028C">
        <w:rPr>
          <w:sz w:val="22"/>
          <w:szCs w:val="22"/>
          <w:lang w:val="es-ES_tradnl"/>
        </w:rPr>
        <w:t>18</w:t>
      </w:r>
      <w:r w:rsidRPr="0048401A">
        <w:rPr>
          <w:sz w:val="22"/>
          <w:szCs w:val="22"/>
          <w:lang w:val="es-ES_tradnl"/>
        </w:rPr>
        <w:t xml:space="preserve"> mayo 2023</w:t>
      </w:r>
    </w:p>
    <w:p w14:paraId="784C7C8F" w14:textId="77777777" w:rsidR="00313B00" w:rsidRPr="0048401A" w:rsidRDefault="00313B00" w:rsidP="00313B00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48401A">
        <w:rPr>
          <w:sz w:val="22"/>
          <w:szCs w:val="22"/>
          <w:lang w:val="es-ES_tradnl"/>
        </w:rPr>
        <w:tab/>
        <w:t>Original: español</w:t>
      </w:r>
    </w:p>
    <w:p w14:paraId="4B2865D2" w14:textId="09C8900A" w:rsidR="00741882" w:rsidRPr="00313B00" w:rsidRDefault="00741882" w:rsidP="134984BE">
      <w:pPr>
        <w:jc w:val="center"/>
        <w:rPr>
          <w:sz w:val="22"/>
          <w:szCs w:val="22"/>
          <w:lang w:val="es-ES_tradnl"/>
        </w:rPr>
      </w:pPr>
    </w:p>
    <w:p w14:paraId="6E4A87C0" w14:textId="3C46D2D3" w:rsidR="009A2987" w:rsidRPr="00381300" w:rsidRDefault="009A2987" w:rsidP="134984BE">
      <w:pPr>
        <w:jc w:val="center"/>
        <w:rPr>
          <w:sz w:val="22"/>
          <w:szCs w:val="22"/>
          <w:lang w:val="es-ES"/>
        </w:rPr>
      </w:pPr>
    </w:p>
    <w:p w14:paraId="0412CF15" w14:textId="609F17B8" w:rsidR="009A2987" w:rsidRPr="00381300" w:rsidRDefault="009A2987" w:rsidP="134984BE">
      <w:pPr>
        <w:jc w:val="center"/>
        <w:rPr>
          <w:sz w:val="22"/>
          <w:szCs w:val="22"/>
          <w:lang w:val="es-ES"/>
        </w:rPr>
      </w:pPr>
    </w:p>
    <w:p w14:paraId="525DC56F" w14:textId="77777777" w:rsidR="009A2987" w:rsidRPr="00381300" w:rsidRDefault="009A2987" w:rsidP="134984BE">
      <w:pPr>
        <w:jc w:val="center"/>
        <w:rPr>
          <w:sz w:val="22"/>
          <w:szCs w:val="22"/>
          <w:lang w:val="es-ES"/>
        </w:rPr>
      </w:pPr>
    </w:p>
    <w:p w14:paraId="6BD4596B" w14:textId="1CF56070" w:rsidR="00D06CE9" w:rsidRPr="00381300" w:rsidRDefault="00294263" w:rsidP="134984BE">
      <w:pPr>
        <w:jc w:val="center"/>
        <w:rPr>
          <w:sz w:val="22"/>
          <w:szCs w:val="22"/>
          <w:lang w:val="es-ES"/>
        </w:rPr>
      </w:pPr>
      <w:r w:rsidRPr="00381300">
        <w:rPr>
          <w:sz w:val="22"/>
          <w:szCs w:val="22"/>
          <w:lang w:val="es-ES"/>
        </w:rPr>
        <w:t>PLAN DE TRABAJO 202</w:t>
      </w:r>
      <w:r w:rsidR="005004AC" w:rsidRPr="00381300">
        <w:rPr>
          <w:sz w:val="22"/>
          <w:szCs w:val="22"/>
          <w:lang w:val="es-ES"/>
        </w:rPr>
        <w:t>3</w:t>
      </w:r>
      <w:r w:rsidRPr="00381300">
        <w:rPr>
          <w:sz w:val="22"/>
          <w:szCs w:val="22"/>
          <w:lang w:val="es-ES"/>
        </w:rPr>
        <w:t>-202</w:t>
      </w:r>
      <w:r w:rsidR="005004AC" w:rsidRPr="00381300">
        <w:rPr>
          <w:sz w:val="22"/>
          <w:szCs w:val="22"/>
          <w:lang w:val="es-ES"/>
        </w:rPr>
        <w:t>4</w:t>
      </w:r>
    </w:p>
    <w:p w14:paraId="4ACF739E" w14:textId="43327092" w:rsidR="00D06CE9" w:rsidRPr="00381300" w:rsidRDefault="00D06CE9" w:rsidP="00294263">
      <w:pPr>
        <w:jc w:val="center"/>
        <w:rPr>
          <w:bCs/>
          <w:sz w:val="22"/>
          <w:szCs w:val="22"/>
          <w:lang w:val="es-ES"/>
        </w:rPr>
      </w:pPr>
      <w:r w:rsidRPr="00381300">
        <w:rPr>
          <w:bCs/>
          <w:sz w:val="22"/>
          <w:szCs w:val="22"/>
          <w:lang w:val="es-ES"/>
        </w:rPr>
        <w:t>DE LA SECRETARIA DEL COMITÉ INTERAMERICANO CONTRA EL TERRORISMO</w:t>
      </w:r>
    </w:p>
    <w:p w14:paraId="01156197" w14:textId="77777777" w:rsidR="00846253" w:rsidRPr="00381300" w:rsidRDefault="00846253" w:rsidP="00294263">
      <w:pPr>
        <w:jc w:val="center"/>
        <w:rPr>
          <w:bCs/>
          <w:sz w:val="22"/>
          <w:szCs w:val="22"/>
          <w:lang w:val="es"/>
        </w:rPr>
      </w:pPr>
    </w:p>
    <w:p w14:paraId="1F5D8A01" w14:textId="77777777" w:rsidR="00C0028C" w:rsidRDefault="00C0028C" w:rsidP="00C0028C">
      <w:pPr>
        <w:jc w:val="center"/>
        <w:rPr>
          <w:snapToGrid w:val="0"/>
          <w:lang w:val="es-US"/>
        </w:rPr>
      </w:pPr>
      <w:r>
        <w:rPr>
          <w:snapToGrid w:val="0"/>
          <w:lang w:val="es-US"/>
        </w:rPr>
        <w:t>(Aprobado durante la cuarta sesión plenaria celebrada el 18 de mayo de 2023)</w:t>
      </w:r>
    </w:p>
    <w:p w14:paraId="43330D04" w14:textId="26874BC8" w:rsidR="004A4AA6" w:rsidRPr="00381300" w:rsidRDefault="004A4AA6" w:rsidP="00294263">
      <w:pPr>
        <w:jc w:val="center"/>
        <w:rPr>
          <w:bCs/>
          <w:sz w:val="22"/>
          <w:szCs w:val="22"/>
          <w:lang w:val="es-US"/>
        </w:rPr>
      </w:pPr>
    </w:p>
    <w:p w14:paraId="368DA07E" w14:textId="7252D5B1" w:rsidR="00A948BD" w:rsidRPr="00381300" w:rsidRDefault="00A948BD" w:rsidP="00294263">
      <w:pPr>
        <w:jc w:val="center"/>
        <w:rPr>
          <w:bCs/>
          <w:sz w:val="22"/>
          <w:szCs w:val="22"/>
          <w:lang w:val="es-ES"/>
        </w:rPr>
      </w:pPr>
    </w:p>
    <w:p w14:paraId="6EDCD1EC" w14:textId="77777777" w:rsidR="00A948BD" w:rsidRPr="00381300" w:rsidRDefault="00A948BD" w:rsidP="00294263">
      <w:pPr>
        <w:jc w:val="center"/>
        <w:rPr>
          <w:bCs/>
          <w:sz w:val="22"/>
          <w:szCs w:val="22"/>
          <w:lang w:val="es-ES"/>
        </w:rPr>
      </w:pPr>
    </w:p>
    <w:p w14:paraId="274808E0" w14:textId="77777777" w:rsidR="00FE713F" w:rsidRPr="00381300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381300">
        <w:rPr>
          <w:b/>
          <w:bCs/>
          <w:sz w:val="22"/>
          <w:szCs w:val="22"/>
          <w:lang w:val="es-EC"/>
        </w:rPr>
        <w:t>I.</w:t>
      </w:r>
      <w:r w:rsidRPr="00381300">
        <w:rPr>
          <w:b/>
          <w:bCs/>
          <w:sz w:val="22"/>
          <w:szCs w:val="22"/>
          <w:lang w:val="es-EC"/>
        </w:rPr>
        <w:tab/>
        <w:t xml:space="preserve">Introducción </w:t>
      </w:r>
    </w:p>
    <w:p w14:paraId="506F138E" w14:textId="6605E4CC" w:rsidR="00FE713F" w:rsidRPr="00381300" w:rsidRDefault="00FE713F" w:rsidP="00C4415C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lang w:val="es-ES"/>
        </w:rPr>
        <w:tab/>
      </w:r>
    </w:p>
    <w:p w14:paraId="61B66451" w14:textId="04F8E7D0" w:rsidR="00A2031A" w:rsidRPr="00381300" w:rsidRDefault="00DF4A99" w:rsidP="6687CCA9">
      <w:pPr>
        <w:ind w:firstLine="720"/>
        <w:jc w:val="both"/>
        <w:rPr>
          <w:sz w:val="22"/>
          <w:szCs w:val="22"/>
          <w:lang w:val="es-CO"/>
        </w:rPr>
      </w:pPr>
      <w:r w:rsidRPr="00381300">
        <w:rPr>
          <w:sz w:val="22"/>
          <w:szCs w:val="22"/>
          <w:lang w:val="es-CO"/>
        </w:rPr>
        <w:t>La Secretar</w:t>
      </w:r>
      <w:proofErr w:type="spellStart"/>
      <w:r w:rsidR="00903CB0" w:rsidRPr="00381300">
        <w:rPr>
          <w:sz w:val="22"/>
          <w:szCs w:val="22"/>
          <w:lang w:val="es-ES"/>
        </w:rPr>
        <w:t>ía</w:t>
      </w:r>
      <w:proofErr w:type="spellEnd"/>
      <w:r w:rsidRPr="00381300">
        <w:rPr>
          <w:sz w:val="22"/>
          <w:szCs w:val="22"/>
          <w:lang w:val="es-ES"/>
        </w:rPr>
        <w:t xml:space="preserve"> del Comité Interamericano contra el Terrorismo (CICTE) presenta </w:t>
      </w:r>
      <w:r w:rsidRPr="00381300">
        <w:rPr>
          <w:sz w:val="22"/>
          <w:szCs w:val="22"/>
          <w:lang w:val="es-CO"/>
        </w:rPr>
        <w:t>el</w:t>
      </w:r>
      <w:r w:rsidR="00FE713F" w:rsidRPr="00381300">
        <w:rPr>
          <w:sz w:val="22"/>
          <w:szCs w:val="22"/>
          <w:lang w:val="es-CO"/>
        </w:rPr>
        <w:t xml:space="preserve"> plan de trabajo </w:t>
      </w:r>
      <w:r w:rsidRPr="00381300">
        <w:rPr>
          <w:sz w:val="22"/>
          <w:szCs w:val="22"/>
          <w:lang w:val="es-CO"/>
        </w:rPr>
        <w:t xml:space="preserve">para el período 2023-2024. Durante este período, </w:t>
      </w:r>
      <w:r w:rsidR="00FE713F" w:rsidRPr="00381300">
        <w:rPr>
          <w:sz w:val="22"/>
          <w:szCs w:val="22"/>
          <w:lang w:val="es-CO"/>
        </w:rPr>
        <w:t>la Secretaría del Comité brindar</w:t>
      </w:r>
      <w:r w:rsidR="00374BEC" w:rsidRPr="00381300">
        <w:rPr>
          <w:sz w:val="22"/>
          <w:szCs w:val="22"/>
          <w:lang w:val="es-CO"/>
        </w:rPr>
        <w:t>á</w:t>
      </w:r>
      <w:r w:rsidR="00FE713F" w:rsidRPr="00381300">
        <w:rPr>
          <w:sz w:val="22"/>
          <w:szCs w:val="22"/>
          <w:lang w:val="es-CO"/>
        </w:rPr>
        <w:t xml:space="preserve"> el soporte </w:t>
      </w:r>
      <w:r w:rsidR="00374BEC" w:rsidRPr="00381300">
        <w:rPr>
          <w:sz w:val="22"/>
          <w:szCs w:val="22"/>
          <w:lang w:val="es-CO"/>
        </w:rPr>
        <w:t xml:space="preserve">técnico </w:t>
      </w:r>
      <w:r w:rsidR="00FE713F" w:rsidRPr="00381300">
        <w:rPr>
          <w:sz w:val="22"/>
          <w:szCs w:val="22"/>
          <w:lang w:val="es-CO"/>
        </w:rPr>
        <w:t>necesario</w:t>
      </w:r>
      <w:r w:rsidR="0087355E" w:rsidRPr="00381300">
        <w:rPr>
          <w:sz w:val="22"/>
          <w:szCs w:val="22"/>
          <w:lang w:val="es-CO"/>
        </w:rPr>
        <w:t xml:space="preserve"> para la realización d</w:t>
      </w:r>
      <w:r w:rsidR="00A2031A" w:rsidRPr="00381300">
        <w:rPr>
          <w:sz w:val="22"/>
          <w:szCs w:val="22"/>
          <w:lang w:val="es-CO"/>
        </w:rPr>
        <w:t xml:space="preserve">el período ordinario de sesiones del Comité, </w:t>
      </w:r>
      <w:r w:rsidR="0087355E" w:rsidRPr="00381300">
        <w:rPr>
          <w:sz w:val="22"/>
          <w:szCs w:val="22"/>
          <w:lang w:val="es-CO"/>
        </w:rPr>
        <w:t xml:space="preserve">la reunión </w:t>
      </w:r>
      <w:r w:rsidR="00A2031A" w:rsidRPr="00381300">
        <w:rPr>
          <w:sz w:val="22"/>
          <w:szCs w:val="22"/>
          <w:lang w:val="es-CO"/>
        </w:rPr>
        <w:t>del Grupo de Trabajo sobre medidas de fomento de la confianza</w:t>
      </w:r>
      <w:r w:rsidR="00A2031A" w:rsidRPr="00381300">
        <w:rPr>
          <w:sz w:val="22"/>
          <w:szCs w:val="22"/>
          <w:lang w:val="es-ES"/>
        </w:rPr>
        <w:t xml:space="preserve"> y la cooperación</w:t>
      </w:r>
      <w:r w:rsidR="00A2031A" w:rsidRPr="00381300">
        <w:rPr>
          <w:sz w:val="22"/>
          <w:szCs w:val="22"/>
          <w:lang w:val="es-CO"/>
        </w:rPr>
        <w:t xml:space="preserve"> en el ciberespacio, así como las discusiones sobre los temas del CICTE que se lleven a cabo en el marco de los cuerpos políticos de la OE</w:t>
      </w:r>
      <w:r w:rsidR="002D674D" w:rsidRPr="00381300">
        <w:rPr>
          <w:sz w:val="22"/>
          <w:szCs w:val="22"/>
          <w:lang w:val="es-CO"/>
        </w:rPr>
        <w:t>A.</w:t>
      </w:r>
    </w:p>
    <w:p w14:paraId="29BDB5F5" w14:textId="77777777" w:rsidR="00A2031A" w:rsidRPr="00381300" w:rsidRDefault="00A2031A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30BAA1A5" w14:textId="79608C79" w:rsidR="00846253" w:rsidRPr="00381300" w:rsidRDefault="00FE713F" w:rsidP="00846253">
      <w:pPr>
        <w:ind w:firstLine="720"/>
        <w:jc w:val="both"/>
        <w:rPr>
          <w:bCs/>
          <w:sz w:val="22"/>
          <w:szCs w:val="22"/>
          <w:lang w:val="es-CO"/>
        </w:rPr>
      </w:pPr>
      <w:r w:rsidRPr="00381300">
        <w:rPr>
          <w:bCs/>
          <w:sz w:val="22"/>
          <w:szCs w:val="22"/>
          <w:lang w:val="es-CO"/>
        </w:rPr>
        <w:t xml:space="preserve">Los programas del Comité estarán enfocados en brindar apoyo a los Estados Miembros </w:t>
      </w:r>
      <w:r w:rsidR="00066EF9" w:rsidRPr="00381300">
        <w:rPr>
          <w:bCs/>
          <w:sz w:val="22"/>
          <w:szCs w:val="22"/>
          <w:lang w:val="es-CO"/>
        </w:rPr>
        <w:t xml:space="preserve">de la OEA </w:t>
      </w:r>
      <w:r w:rsidRPr="00381300">
        <w:rPr>
          <w:bCs/>
          <w:sz w:val="22"/>
          <w:szCs w:val="22"/>
          <w:lang w:val="es-CO"/>
        </w:rPr>
        <w:t>que así lo requieran en las siguientes áreas prioritarias: ciberseguridad,  no-proliferación de armas de destrucción masiva, prevención</w:t>
      </w:r>
      <w:r w:rsidRPr="00381300">
        <w:rPr>
          <w:bCs/>
          <w:sz w:val="22"/>
          <w:szCs w:val="22"/>
          <w:lang w:val="es-ES"/>
        </w:rPr>
        <w:t xml:space="preserve"> del extremismo violento que podría conducir al terrorismo, </w:t>
      </w:r>
      <w:r w:rsidRPr="00381300">
        <w:rPr>
          <w:bCs/>
          <w:sz w:val="22"/>
          <w:szCs w:val="22"/>
          <w:lang w:val="es-CO"/>
        </w:rPr>
        <w:t xml:space="preserve">seguridad de fronteras aéreas, terrestres y marítimas, seguridad de espacios concurridos, asistencia técnica contra el financiamiento del terrorismo y protección de infraestructuras críticas ante ataques terroristas y otras amenazas emergentes. </w:t>
      </w:r>
    </w:p>
    <w:p w14:paraId="4A2BCC78" w14:textId="77777777" w:rsidR="00FE713F" w:rsidRPr="00381300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0D4FF87B" w14:textId="52AF01B0" w:rsidR="00FE713F" w:rsidRPr="00381300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  <w:r w:rsidRPr="00381300">
        <w:rPr>
          <w:bCs/>
          <w:sz w:val="22"/>
          <w:szCs w:val="22"/>
          <w:lang w:val="es-CO"/>
        </w:rPr>
        <w:t>Además, la Secretaría continuará con los esfuerzos para apoyar el desarrollo o fortalecimiento de las herramientas de intercambio de información y</w:t>
      </w:r>
      <w:r w:rsidRPr="00381300">
        <w:rPr>
          <w:bCs/>
          <w:sz w:val="22"/>
          <w:szCs w:val="22"/>
          <w:lang w:val="es-ES"/>
        </w:rPr>
        <w:t>/o</w:t>
      </w:r>
      <w:r w:rsidRPr="00381300">
        <w:rPr>
          <w:bCs/>
          <w:sz w:val="22"/>
          <w:szCs w:val="22"/>
          <w:lang w:val="es-CO"/>
        </w:rPr>
        <w:t xml:space="preserve"> buenas prácticas en los temas de competencia del Comité. También continuará alentando la coordinación </w:t>
      </w:r>
      <w:proofErr w:type="spellStart"/>
      <w:r w:rsidRPr="00381300">
        <w:rPr>
          <w:bCs/>
          <w:sz w:val="22"/>
          <w:szCs w:val="22"/>
          <w:lang w:val="es-CO"/>
        </w:rPr>
        <w:t>inter-institucional</w:t>
      </w:r>
      <w:proofErr w:type="spellEnd"/>
      <w:r w:rsidRPr="00381300">
        <w:rPr>
          <w:bCs/>
          <w:sz w:val="22"/>
          <w:szCs w:val="22"/>
          <w:lang w:val="es-CO"/>
        </w:rPr>
        <w:t xml:space="preserve"> con otros organismos internacionales especializados en la materia para apuntalar la capacidad de respuesta ante los desafíos actuales y emergentes. </w:t>
      </w:r>
    </w:p>
    <w:p w14:paraId="4FFC34D7" w14:textId="77777777" w:rsidR="00FE713F" w:rsidRPr="00381300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1983F1C0" w14:textId="5887D6DA" w:rsidR="00FE713F" w:rsidRPr="00381300" w:rsidRDefault="00FE713F" w:rsidP="00FE713F">
      <w:pPr>
        <w:ind w:firstLine="720"/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lang w:val="es-ES"/>
        </w:rPr>
        <w:t xml:space="preserve">Todos los programas de la Secretaría del Comité tienen un alcance regional, con actividades específicas que pueden implementarse en varios Estados Miembros, conforme sea requerido, dependiendo de las necesidades y la disponibilidad de recursos. </w:t>
      </w:r>
    </w:p>
    <w:p w14:paraId="7EBEF219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160B38C9" w14:textId="77777777" w:rsidR="00900598" w:rsidRPr="00381300" w:rsidRDefault="00900598">
      <w:pPr>
        <w:rPr>
          <w:b/>
          <w:bCs/>
          <w:sz w:val="22"/>
          <w:szCs w:val="22"/>
          <w:lang w:val="es-EC"/>
        </w:rPr>
      </w:pPr>
      <w:r w:rsidRPr="00381300">
        <w:rPr>
          <w:b/>
          <w:bCs/>
          <w:sz w:val="22"/>
          <w:szCs w:val="22"/>
          <w:lang w:val="es-EC"/>
        </w:rPr>
        <w:br w:type="page"/>
      </w:r>
    </w:p>
    <w:p w14:paraId="652B2801" w14:textId="48739AEC" w:rsidR="00FE713F" w:rsidRPr="00381300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381300">
        <w:rPr>
          <w:b/>
          <w:bCs/>
          <w:sz w:val="22"/>
          <w:szCs w:val="22"/>
          <w:lang w:val="es-EC"/>
        </w:rPr>
        <w:lastRenderedPageBreak/>
        <w:t>II.</w:t>
      </w:r>
      <w:r w:rsidRPr="00381300">
        <w:rPr>
          <w:b/>
          <w:bCs/>
          <w:sz w:val="22"/>
          <w:szCs w:val="22"/>
          <w:lang w:val="es-EC"/>
        </w:rPr>
        <w:tab/>
        <w:t>Principales programas</w:t>
      </w:r>
      <w:r w:rsidRPr="00381300">
        <w:rPr>
          <w:sz w:val="22"/>
          <w:szCs w:val="22"/>
          <w:lang w:val="es-ES"/>
        </w:rPr>
        <w:t xml:space="preserve"> </w:t>
      </w:r>
      <w:r w:rsidR="005A1D60" w:rsidRPr="00381300">
        <w:rPr>
          <w:sz w:val="22"/>
          <w:szCs w:val="22"/>
          <w:lang w:val="es-ES"/>
        </w:rPr>
        <w:t xml:space="preserve"> </w:t>
      </w:r>
    </w:p>
    <w:p w14:paraId="43AA8E0C" w14:textId="77777777" w:rsidR="00FE713F" w:rsidRPr="00381300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01183A7B" w14:textId="7422DA8E" w:rsidR="00FE713F" w:rsidRPr="00381300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Ciberseguridad</w:t>
      </w:r>
      <w:r w:rsidR="00D56ED1" w:rsidRPr="00381300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</w:t>
      </w:r>
    </w:p>
    <w:p w14:paraId="1988252D" w14:textId="77777777" w:rsidR="00FE713F" w:rsidRPr="00381300" w:rsidRDefault="00FE713F" w:rsidP="00FE713F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14:paraId="1706F46F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u w:val="single"/>
          <w:lang w:val="es-ES"/>
        </w:rPr>
        <w:t>Propósito:</w:t>
      </w:r>
      <w:r w:rsidRPr="00381300">
        <w:rPr>
          <w:sz w:val="22"/>
          <w:szCs w:val="22"/>
          <w:lang w:val="es-ES"/>
        </w:rPr>
        <w:t xml:space="preserve"> </w:t>
      </w:r>
    </w:p>
    <w:p w14:paraId="00DC1770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38A30B9B" w14:textId="0BA8EF9A" w:rsidR="00034296" w:rsidRPr="00381300" w:rsidRDefault="00034296" w:rsidP="00034296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lang w:val="es-ES"/>
        </w:rPr>
        <w:t xml:space="preserve">Apoyar a los Estados Miembros en sus esfuerzos orientados </w:t>
      </w:r>
      <w:r w:rsidR="00CA2237" w:rsidRPr="00381300">
        <w:rPr>
          <w:sz w:val="22"/>
          <w:szCs w:val="22"/>
          <w:lang w:val="es-ES"/>
        </w:rPr>
        <w:t>a</w:t>
      </w:r>
      <w:r w:rsidRPr="00381300">
        <w:rPr>
          <w:sz w:val="22"/>
          <w:szCs w:val="22"/>
          <w:lang w:val="es-ES"/>
        </w:rPr>
        <w:t xml:space="preserve"> prevenir, </w:t>
      </w:r>
      <w:r w:rsidR="00B064B7" w:rsidRPr="00381300">
        <w:rPr>
          <w:sz w:val="22"/>
          <w:szCs w:val="22"/>
          <w:lang w:val="es-ES"/>
        </w:rPr>
        <w:t xml:space="preserve">mitigar </w:t>
      </w:r>
      <w:r w:rsidRPr="00381300">
        <w:rPr>
          <w:sz w:val="22"/>
          <w:szCs w:val="22"/>
          <w:lang w:val="es-ES"/>
        </w:rPr>
        <w:t xml:space="preserve">y recuperarse de amenazas y/o ataques cibernéticos </w:t>
      </w:r>
      <w:r w:rsidR="00973E7F" w:rsidRPr="00381300">
        <w:rPr>
          <w:sz w:val="22"/>
          <w:szCs w:val="22"/>
          <w:lang w:val="es-ES"/>
        </w:rPr>
        <w:t xml:space="preserve">por medio del desarrollo </w:t>
      </w:r>
      <w:r w:rsidRPr="00381300">
        <w:rPr>
          <w:sz w:val="22"/>
          <w:szCs w:val="22"/>
          <w:lang w:val="es-ES"/>
        </w:rPr>
        <w:t>de políticas y marcos regulatorios</w:t>
      </w:r>
      <w:r w:rsidR="00973E7F" w:rsidRPr="00381300">
        <w:rPr>
          <w:sz w:val="22"/>
          <w:szCs w:val="22"/>
          <w:lang w:val="es-ES"/>
        </w:rPr>
        <w:t xml:space="preserve">, </w:t>
      </w:r>
      <w:r w:rsidR="006A6690" w:rsidRPr="00381300">
        <w:rPr>
          <w:sz w:val="22"/>
          <w:szCs w:val="22"/>
          <w:lang w:val="es-ES"/>
        </w:rPr>
        <w:t xml:space="preserve">el fortalecimiento </w:t>
      </w:r>
      <w:r w:rsidRPr="00381300">
        <w:rPr>
          <w:sz w:val="22"/>
          <w:szCs w:val="22"/>
          <w:lang w:val="es-ES"/>
        </w:rPr>
        <w:t>de capacidades técnicas</w:t>
      </w:r>
      <w:r w:rsidR="00973E7F" w:rsidRPr="00381300">
        <w:rPr>
          <w:sz w:val="22"/>
          <w:szCs w:val="22"/>
          <w:lang w:val="es-ES"/>
        </w:rPr>
        <w:t xml:space="preserve">, </w:t>
      </w:r>
      <w:r w:rsidRPr="00381300">
        <w:rPr>
          <w:sz w:val="22"/>
          <w:szCs w:val="22"/>
          <w:lang w:val="es-ES"/>
        </w:rPr>
        <w:t>la cooperación internacional</w:t>
      </w:r>
      <w:r w:rsidR="00973E7F" w:rsidRPr="00381300">
        <w:rPr>
          <w:sz w:val="22"/>
          <w:szCs w:val="22"/>
          <w:lang w:val="es-ES"/>
        </w:rPr>
        <w:t xml:space="preserve"> y </w:t>
      </w:r>
      <w:r w:rsidRPr="00381300">
        <w:rPr>
          <w:sz w:val="22"/>
          <w:szCs w:val="22"/>
          <w:lang w:val="es-ES"/>
        </w:rPr>
        <w:t xml:space="preserve">la difusión de conocimiento </w:t>
      </w:r>
      <w:r w:rsidR="00973E7F" w:rsidRPr="00381300">
        <w:rPr>
          <w:sz w:val="22"/>
          <w:szCs w:val="22"/>
          <w:lang w:val="es-ES"/>
        </w:rPr>
        <w:t>especializado en materia d</w:t>
      </w:r>
      <w:r w:rsidR="003A39B6" w:rsidRPr="00381300">
        <w:rPr>
          <w:sz w:val="22"/>
          <w:szCs w:val="22"/>
          <w:lang w:val="es-ES"/>
        </w:rPr>
        <w:t>e</w:t>
      </w:r>
      <w:r w:rsidRPr="00381300">
        <w:rPr>
          <w:sz w:val="22"/>
          <w:szCs w:val="22"/>
          <w:lang w:val="es-ES"/>
        </w:rPr>
        <w:t xml:space="preserve"> ciberseguridad.</w:t>
      </w:r>
    </w:p>
    <w:p w14:paraId="6200FEFD" w14:textId="77777777" w:rsidR="00034296" w:rsidRPr="00381300" w:rsidRDefault="00034296" w:rsidP="00034296">
      <w:pPr>
        <w:jc w:val="both"/>
        <w:rPr>
          <w:sz w:val="22"/>
          <w:szCs w:val="22"/>
          <w:lang w:val="es-ES"/>
        </w:rPr>
      </w:pPr>
    </w:p>
    <w:p w14:paraId="5B432D44" w14:textId="77777777" w:rsidR="00034296" w:rsidRPr="00381300" w:rsidRDefault="00034296" w:rsidP="00034296">
      <w:pPr>
        <w:jc w:val="both"/>
        <w:rPr>
          <w:sz w:val="22"/>
          <w:szCs w:val="22"/>
          <w:u w:val="single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381300">
        <w:rPr>
          <w:sz w:val="22"/>
          <w:szCs w:val="22"/>
          <w:u w:val="single"/>
          <w:lang w:val="es-ES"/>
        </w:rPr>
        <w:t xml:space="preserve">: </w:t>
      </w:r>
    </w:p>
    <w:p w14:paraId="3B2C5F1F" w14:textId="77777777" w:rsidR="00034296" w:rsidRPr="00381300" w:rsidRDefault="00034296" w:rsidP="00034296">
      <w:pPr>
        <w:jc w:val="both"/>
        <w:rPr>
          <w:sz w:val="22"/>
          <w:szCs w:val="22"/>
          <w:u w:val="single"/>
          <w:lang w:val="es-ES"/>
        </w:rPr>
      </w:pPr>
    </w:p>
    <w:p w14:paraId="304A04CD" w14:textId="6C282030" w:rsidR="00034296" w:rsidRPr="00381300" w:rsidRDefault="00034296" w:rsidP="00034296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Asistencia técnica para desarrollar</w:t>
      </w:r>
      <w:r w:rsidR="005538DB" w:rsidRPr="00381300">
        <w:rPr>
          <w:rFonts w:ascii="Times New Roman" w:hAnsi="Times New Roman"/>
          <w:bCs/>
          <w:iCs/>
          <w:sz w:val="22"/>
          <w:szCs w:val="22"/>
          <w:lang w:val="es-ES"/>
        </w:rPr>
        <w:t>,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actualizar</w:t>
      </w:r>
      <w:r w:rsidR="005538DB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y/o ejecutar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estrategias nacionales de ciberseguridad</w:t>
      </w:r>
      <w:r w:rsidR="00147468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conforme sea requerido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.</w:t>
      </w:r>
    </w:p>
    <w:p w14:paraId="22A6EC77" w14:textId="0B0708E5" w:rsidR="00034296" w:rsidRPr="00381300" w:rsidRDefault="00A22A74" w:rsidP="00034296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C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ursos 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sobre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ciber</w:t>
      </w:r>
      <w:r w:rsidR="005F2BCA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diplomacia internacional, leyes y normas para apoyar el fortalecimiento de las capacidades </w:t>
      </w:r>
      <w:r w:rsidR="005B7E06" w:rsidRPr="00381300">
        <w:rPr>
          <w:rFonts w:ascii="Times New Roman" w:hAnsi="Times New Roman"/>
          <w:bCs/>
          <w:iCs/>
          <w:sz w:val="22"/>
          <w:szCs w:val="22"/>
          <w:lang w:val="es-ES"/>
        </w:rPr>
        <w:t>de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funcionarios gubernamentales de </w:t>
      </w:r>
      <w:r w:rsidR="005B7E06" w:rsidRPr="00381300">
        <w:rPr>
          <w:rFonts w:ascii="Times New Roman" w:hAnsi="Times New Roman"/>
          <w:bCs/>
          <w:iCs/>
          <w:sz w:val="22"/>
          <w:szCs w:val="22"/>
          <w:lang w:val="es-ES"/>
        </w:rPr>
        <w:t>los E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stados </w:t>
      </w:r>
      <w:r w:rsidR="005B7E06" w:rsidRPr="00381300">
        <w:rPr>
          <w:rFonts w:ascii="Times New Roman" w:hAnsi="Times New Roman"/>
          <w:bCs/>
          <w:iCs/>
          <w:sz w:val="22"/>
          <w:szCs w:val="22"/>
          <w:lang w:val="es-ES"/>
        </w:rPr>
        <w:t>M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>iembros</w:t>
      </w:r>
      <w:r w:rsidR="005B7E0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y su participación en las discusiones internacionales sobre seguridad cibernética. </w:t>
      </w:r>
    </w:p>
    <w:p w14:paraId="78CA4959" w14:textId="6203C915" w:rsidR="00034296" w:rsidRPr="00381300" w:rsidRDefault="00034296" w:rsidP="00034296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Entrenamientos para los Centros de Respuesta a Incidentes Informáticos (</w:t>
      </w:r>
      <w:proofErr w:type="spellStart"/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CSIRTs</w:t>
      </w:r>
      <w:proofErr w:type="spellEnd"/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por sus siglas en inglés) sobre la gestión de alertas de ciberseguridad, así como la automatización del flujo de información que </w:t>
      </w:r>
      <w:r w:rsidR="00733CC1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les 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permita </w:t>
      </w:r>
      <w:r w:rsidR="00733CC1" w:rsidRPr="00381300">
        <w:rPr>
          <w:rFonts w:ascii="Times New Roman" w:hAnsi="Times New Roman"/>
          <w:bCs/>
          <w:iCs/>
          <w:sz w:val="22"/>
          <w:szCs w:val="22"/>
          <w:lang w:val="es-ES"/>
        </w:rPr>
        <w:t>el establecimiento de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protocolos para prevenir, enfrentar y recuperarse de incidentes cibernéticos.</w:t>
      </w:r>
    </w:p>
    <w:p w14:paraId="47C18265" w14:textId="178EA366" w:rsidR="00DE419F" w:rsidRPr="00381300" w:rsidRDefault="00DE419F" w:rsidP="00DE41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Realización de jornadas sobre Seguridad en las Tecnologías de la Información y la Comunicación (STIC), organizadas con el Equipo de Respuesta a Incidentes Cibernéticos del Centro Criptológico Nacional (CCN-CERT) y el Instituto Nacional de Ciberseguridad de España (INCIBE), para el intercambio de prácticas internacionales en el campo de la respuesta a incidentes informáticos.</w:t>
      </w:r>
    </w:p>
    <w:p w14:paraId="65B44344" w14:textId="77777777" w:rsidR="00DE419F" w:rsidRPr="00381300" w:rsidRDefault="00DE419F" w:rsidP="00DE41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Organización del</w:t>
      </w:r>
      <w:r w:rsidRPr="00381300">
        <w:rPr>
          <w:rFonts w:ascii="Times New Roman" w:hAnsi="Times New Roman"/>
          <w:bCs/>
          <w:i/>
          <w:sz w:val="22"/>
          <w:szCs w:val="22"/>
          <w:lang w:val="es-ES"/>
        </w:rPr>
        <w:t xml:space="preserve"> </w:t>
      </w:r>
      <w:proofErr w:type="spellStart"/>
      <w:r w:rsidRPr="00381300">
        <w:rPr>
          <w:rFonts w:ascii="Times New Roman" w:hAnsi="Times New Roman"/>
          <w:bCs/>
          <w:i/>
          <w:sz w:val="22"/>
          <w:szCs w:val="22"/>
          <w:lang w:val="es-ES"/>
        </w:rPr>
        <w:t>Cybersecurity</w:t>
      </w:r>
      <w:proofErr w:type="spellEnd"/>
      <w:r w:rsidRPr="00381300">
        <w:rPr>
          <w:rFonts w:ascii="Times New Roman" w:hAnsi="Times New Roman"/>
          <w:bCs/>
          <w:i/>
          <w:sz w:val="22"/>
          <w:szCs w:val="22"/>
          <w:lang w:val="es-ES"/>
        </w:rPr>
        <w:t xml:space="preserve"> Summer </w:t>
      </w:r>
      <w:proofErr w:type="spellStart"/>
      <w:r w:rsidRPr="00381300">
        <w:rPr>
          <w:rFonts w:ascii="Times New Roman" w:hAnsi="Times New Roman"/>
          <w:bCs/>
          <w:i/>
          <w:sz w:val="22"/>
          <w:szCs w:val="22"/>
          <w:lang w:val="es-ES"/>
        </w:rPr>
        <w:t>Bootcamp</w:t>
      </w:r>
      <w:proofErr w:type="spellEnd"/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, programa de formación internacional especializado en ciberseguridad dirigido a formuladores de políticas, fuerzas y cuerpos de seguridad, autoridades fiscales y especialistas técnicos de los CSIRT.</w:t>
      </w:r>
    </w:p>
    <w:p w14:paraId="4F857B18" w14:textId="58A0914A" w:rsidR="00DE419F" w:rsidRPr="00381300" w:rsidRDefault="00FA17B4" w:rsidP="00DE41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Organización del</w:t>
      </w:r>
      <w:r w:rsidRPr="00381300">
        <w:rPr>
          <w:rFonts w:ascii="Times New Roman" w:hAnsi="Times New Roman"/>
          <w:bCs/>
          <w:i/>
          <w:sz w:val="22"/>
          <w:szCs w:val="22"/>
          <w:lang w:val="es-ES"/>
        </w:rPr>
        <w:t xml:space="preserve"> </w:t>
      </w:r>
      <w:r w:rsidR="00DE419F" w:rsidRPr="00381300">
        <w:rPr>
          <w:rFonts w:ascii="Times New Roman" w:hAnsi="Times New Roman"/>
          <w:bCs/>
          <w:i/>
          <w:sz w:val="22"/>
          <w:szCs w:val="22"/>
          <w:lang w:val="es-ES"/>
        </w:rPr>
        <w:t>International Cyber ​​Ex</w:t>
      </w:r>
      <w:r w:rsidR="00DE419F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, competencia orientada a fortalecer las capacidades de respuesta ante incidentes cibernéticos y la cooperación entre los países participantes. Esta iniciativa se realiza en conjunto con el INCIBE y el Centro Nacional para la Protección de las Infraestructuras y la Ciberseguridad (CNPIC) de España. </w:t>
      </w:r>
    </w:p>
    <w:p w14:paraId="5A243DFD" w14:textId="2AC6B693" w:rsidR="00245D0A" w:rsidRPr="00381300" w:rsidRDefault="00245D0A" w:rsidP="00245D0A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Organización del Simposio de Ciberseguridad que reúne a expertos y profesionales de la industria para promover el desarrollo de capacidades nacionales en ciberseguridad.</w:t>
      </w:r>
    </w:p>
    <w:p w14:paraId="036CDD69" w14:textId="528ECFEB" w:rsidR="00034296" w:rsidRPr="00381300" w:rsidRDefault="00A27D14" w:rsidP="00B8403C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Implementación de i</w:t>
      </w:r>
      <w:r w:rsidR="00B745C3" w:rsidRPr="00381300">
        <w:rPr>
          <w:rFonts w:ascii="Times New Roman" w:hAnsi="Times New Roman"/>
          <w:bCs/>
          <w:iCs/>
          <w:sz w:val="22"/>
          <w:szCs w:val="22"/>
          <w:lang w:val="es-ES"/>
        </w:rPr>
        <w:t>niciativas orientadas al desarrollo de la fuerza laboral de ciberseguridad en los Estados Miembros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,</w:t>
      </w:r>
      <w:r w:rsidR="00B8403C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incluyendo el de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sarrollo profesional </w:t>
      </w:r>
      <w:r w:rsidR="00DD46CD" w:rsidRPr="00381300">
        <w:rPr>
          <w:rFonts w:ascii="Times New Roman" w:hAnsi="Times New Roman"/>
          <w:bCs/>
          <w:iCs/>
          <w:sz w:val="22"/>
          <w:szCs w:val="22"/>
          <w:lang w:val="es-ES"/>
        </w:rPr>
        <w:t>de</w:t>
      </w:r>
      <w:r w:rsidR="00BC5A0F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313FDB" w:rsidRPr="00381300">
        <w:rPr>
          <w:rFonts w:ascii="Times New Roman" w:hAnsi="Times New Roman"/>
          <w:bCs/>
          <w:iCs/>
          <w:sz w:val="22"/>
          <w:szCs w:val="22"/>
          <w:lang w:val="es-ES"/>
        </w:rPr>
        <w:t>jóvenes</w:t>
      </w:r>
      <w:r w:rsidR="009367A9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de áreas </w:t>
      </w:r>
      <w:r w:rsidR="00BF729E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desfavorecidos. </w:t>
      </w:r>
    </w:p>
    <w:p w14:paraId="6725BE8C" w14:textId="77777777" w:rsidR="002A5286" w:rsidRPr="00381300" w:rsidRDefault="002A5286" w:rsidP="002A5286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Implementación de actividades destinadas a cerrar la brecha de género en la agenda de ciberseguridad de la región, incluyendo el desarrollo de investigaciones, programas de capacitación y la realización de ferias de mentores en ciberseguridad para mujeres jóvenes.</w:t>
      </w:r>
    </w:p>
    <w:p w14:paraId="71788911" w14:textId="516A2A60" w:rsidR="00034296" w:rsidRPr="00381300" w:rsidRDefault="00011313" w:rsidP="00011313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Desarrollo de los “</w:t>
      </w:r>
      <w:proofErr w:type="spellStart"/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>Cyberwomen</w:t>
      </w:r>
      <w:proofErr w:type="spellEnd"/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>Challenge</w:t>
      </w:r>
      <w:proofErr w:type="spellEnd"/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”,</w:t>
      </w:r>
      <w:r w:rsidR="002D7E25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competición que tiene como objetivo promocionar el role de la mujer en ciberseguridad e inspirar a más mujeres a unirse a la industria de la ciberseguridad. </w:t>
      </w:r>
    </w:p>
    <w:p w14:paraId="4C29D863" w14:textId="77777777" w:rsidR="00941B44" w:rsidRPr="00381300" w:rsidRDefault="00941B44">
      <w:pPr>
        <w:rPr>
          <w:rFonts w:eastAsia="Calibri"/>
          <w:bCs/>
          <w:iCs/>
          <w:sz w:val="22"/>
          <w:szCs w:val="22"/>
          <w:lang w:val="es-ES"/>
        </w:rPr>
      </w:pPr>
      <w:r w:rsidRPr="00381300">
        <w:rPr>
          <w:bCs/>
          <w:iCs/>
          <w:sz w:val="22"/>
          <w:szCs w:val="22"/>
          <w:lang w:val="es-ES"/>
        </w:rPr>
        <w:br w:type="page"/>
      </w:r>
    </w:p>
    <w:p w14:paraId="382F47B7" w14:textId="5DC43B75" w:rsidR="00034296" w:rsidRPr="00381300" w:rsidRDefault="009D06A1" w:rsidP="00034296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U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lastRenderedPageBreak/>
        <w:t>Organización de</w:t>
      </w:r>
      <w:r w:rsidR="00807882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re</w:t>
      </w:r>
      <w:r w:rsidR="00105930" w:rsidRPr="00381300">
        <w:rPr>
          <w:rFonts w:ascii="Times New Roman" w:hAnsi="Times New Roman"/>
          <w:bCs/>
          <w:iCs/>
          <w:sz w:val="22"/>
          <w:szCs w:val="22"/>
          <w:lang w:val="es-ES"/>
        </w:rPr>
        <w:t>uniones de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los Consejos de </w:t>
      </w:r>
      <w:r w:rsidR="00105930" w:rsidRPr="00381300">
        <w:rPr>
          <w:rFonts w:ascii="Times New Roman" w:hAnsi="Times New Roman"/>
          <w:bCs/>
          <w:iCs/>
          <w:sz w:val="22"/>
          <w:szCs w:val="22"/>
          <w:lang w:val="es-ES"/>
        </w:rPr>
        <w:t>Innovación en Ciberseguridad donde</w:t>
      </w:r>
      <w:r w:rsidR="00535FE1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los principales líderes del sector público, privado, sociedad civil y academia </w:t>
      </w:r>
      <w:r w:rsidR="00105930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se reúnen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para impulsar la innovación, concientizar a la ciudadanía y difundir </w:t>
      </w:r>
      <w:r w:rsidR="0004289D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buenas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US"/>
        </w:rPr>
        <w:t>prácticas en materia de ciberseguridad.</w:t>
      </w:r>
    </w:p>
    <w:p w14:paraId="08DEF8BF" w14:textId="0F5E84EA" w:rsidR="00034296" w:rsidRPr="00381300" w:rsidRDefault="0016480F" w:rsidP="00034296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U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Organización de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US"/>
        </w:rPr>
        <w:t>la reunión regional de las Américas para el Foro Global de Experticia Cibernética (GFCE en inglés)</w:t>
      </w:r>
      <w:r w:rsidR="0004289D" w:rsidRPr="00381300">
        <w:rPr>
          <w:rFonts w:ascii="Times New Roman" w:hAnsi="Times New Roman"/>
          <w:bCs/>
          <w:iCs/>
          <w:sz w:val="22"/>
          <w:szCs w:val="22"/>
          <w:lang w:val="es-US"/>
        </w:rPr>
        <w:t>.</w:t>
      </w:r>
    </w:p>
    <w:p w14:paraId="6CF972E1" w14:textId="13DB9C1F" w:rsidR="00034296" w:rsidRPr="00381300" w:rsidRDefault="00034296" w:rsidP="0003429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iCs/>
          <w:sz w:val="22"/>
          <w:szCs w:val="22"/>
          <w:lang w:val="es-U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Participación en las Consultas del Comité </w:t>
      </w:r>
      <w:r w:rsidR="0016480F" w:rsidRPr="00381300">
        <w:rPr>
          <w:rFonts w:ascii="Times New Roman" w:hAnsi="Times New Roman"/>
          <w:bCs/>
          <w:i/>
          <w:sz w:val="22"/>
          <w:szCs w:val="22"/>
          <w:lang w:val="es-US"/>
        </w:rPr>
        <w:t>a</w:t>
      </w:r>
      <w:r w:rsidRPr="00381300">
        <w:rPr>
          <w:rFonts w:ascii="Times New Roman" w:hAnsi="Times New Roman"/>
          <w:bCs/>
          <w:i/>
          <w:sz w:val="22"/>
          <w:szCs w:val="22"/>
          <w:lang w:val="es-US"/>
        </w:rPr>
        <w:t>d hoc</w:t>
      </w:r>
      <w:r w:rsidR="0016480F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 de las Naciones Unidas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 encargado de elaborar una convención internacional integral para combatir el uso de las tecnologías de la información y las comunicaciones con fines delictivos</w:t>
      </w:r>
      <w:r w:rsidR="0019064F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, así como </w:t>
      </w:r>
      <w:r w:rsidR="0016480F" w:rsidRPr="00381300">
        <w:rPr>
          <w:rFonts w:ascii="Times New Roman" w:hAnsi="Times New Roman"/>
          <w:bCs/>
          <w:iCs/>
          <w:sz w:val="22"/>
          <w:szCs w:val="22"/>
          <w:lang w:val="es-US"/>
        </w:rPr>
        <w:t>en e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l Grupo de </w:t>
      </w:r>
      <w:r w:rsidR="008E0FF5" w:rsidRPr="00381300">
        <w:rPr>
          <w:rFonts w:ascii="Times New Roman" w:hAnsi="Times New Roman"/>
          <w:bCs/>
          <w:iCs/>
          <w:sz w:val="22"/>
          <w:szCs w:val="22"/>
          <w:lang w:val="es-US"/>
        </w:rPr>
        <w:t>Trabajo de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 Composición Abierta </w:t>
      </w:r>
      <w:r w:rsidR="00687A4A" w:rsidRPr="00381300">
        <w:rPr>
          <w:rFonts w:ascii="Times New Roman" w:hAnsi="Times New Roman"/>
          <w:bCs/>
          <w:iCs/>
          <w:sz w:val="22"/>
          <w:szCs w:val="22"/>
          <w:lang w:val="es-US"/>
        </w:rPr>
        <w:t>d</w:t>
      </w:r>
      <w:r w:rsidR="008E0FF5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e las Naciones Unidas 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sobre </w:t>
      </w:r>
      <w:r w:rsidR="004E6540" w:rsidRPr="00381300">
        <w:rPr>
          <w:rFonts w:ascii="Times New Roman" w:hAnsi="Times New Roman"/>
          <w:bCs/>
          <w:iCs/>
          <w:sz w:val="22"/>
          <w:szCs w:val="22"/>
          <w:lang w:val="es-US"/>
        </w:rPr>
        <w:t>d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esarrollos en el </w:t>
      </w:r>
      <w:r w:rsidR="004E6540" w:rsidRPr="00381300">
        <w:rPr>
          <w:rFonts w:ascii="Times New Roman" w:hAnsi="Times New Roman"/>
          <w:bCs/>
          <w:iCs/>
          <w:sz w:val="22"/>
          <w:szCs w:val="22"/>
          <w:lang w:val="es-US"/>
        </w:rPr>
        <w:t>c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ampo de las </w:t>
      </w:r>
      <w:r w:rsidR="004E6540" w:rsidRPr="00381300">
        <w:rPr>
          <w:rFonts w:ascii="Times New Roman" w:hAnsi="Times New Roman"/>
          <w:bCs/>
          <w:iCs/>
          <w:sz w:val="22"/>
          <w:szCs w:val="22"/>
          <w:lang w:val="es-US"/>
        </w:rPr>
        <w:t>te</w:t>
      </w:r>
      <w:r w:rsidR="002A2782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cnologías de la </w:t>
      </w:r>
      <w:r w:rsidR="003B0B44" w:rsidRPr="00381300">
        <w:rPr>
          <w:rFonts w:ascii="Times New Roman" w:hAnsi="Times New Roman"/>
          <w:bCs/>
          <w:iCs/>
          <w:sz w:val="22"/>
          <w:szCs w:val="22"/>
          <w:lang w:val="es-US"/>
        </w:rPr>
        <w:t>i</w:t>
      </w:r>
      <w:r w:rsidR="002A2782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nformación y </w:t>
      </w:r>
      <w:r w:rsidR="004E6540" w:rsidRPr="00381300">
        <w:rPr>
          <w:rFonts w:ascii="Times New Roman" w:hAnsi="Times New Roman"/>
          <w:bCs/>
          <w:iCs/>
          <w:sz w:val="22"/>
          <w:szCs w:val="22"/>
          <w:lang w:val="es-US"/>
        </w:rPr>
        <w:t>c</w:t>
      </w:r>
      <w:r w:rsidR="002A2782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omunicación 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en el </w:t>
      </w:r>
      <w:r w:rsidR="004E6540" w:rsidRPr="00381300">
        <w:rPr>
          <w:rFonts w:ascii="Times New Roman" w:hAnsi="Times New Roman"/>
          <w:bCs/>
          <w:iCs/>
          <w:sz w:val="22"/>
          <w:szCs w:val="22"/>
          <w:lang w:val="es-US"/>
        </w:rPr>
        <w:t>c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ontexto de la </w:t>
      </w:r>
      <w:r w:rsidR="004E6540" w:rsidRPr="00381300">
        <w:rPr>
          <w:rFonts w:ascii="Times New Roman" w:hAnsi="Times New Roman"/>
          <w:bCs/>
          <w:iCs/>
          <w:sz w:val="22"/>
          <w:szCs w:val="22"/>
          <w:lang w:val="es-US"/>
        </w:rPr>
        <w:t>s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eguridad </w:t>
      </w:r>
      <w:r w:rsidR="004E6540" w:rsidRPr="00381300">
        <w:rPr>
          <w:rFonts w:ascii="Times New Roman" w:hAnsi="Times New Roman"/>
          <w:bCs/>
          <w:iCs/>
          <w:sz w:val="22"/>
          <w:szCs w:val="22"/>
          <w:lang w:val="es-US"/>
        </w:rPr>
        <w:t>i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>nternacional</w:t>
      </w:r>
      <w:r w:rsidR="0016480F"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 (UN Cyber OEWG por sus siglas en inglés)</w:t>
      </w:r>
      <w:r w:rsidRPr="00381300">
        <w:rPr>
          <w:rFonts w:ascii="Times New Roman" w:hAnsi="Times New Roman"/>
          <w:bCs/>
          <w:iCs/>
          <w:sz w:val="22"/>
          <w:szCs w:val="22"/>
          <w:lang w:val="es-US"/>
        </w:rPr>
        <w:t xml:space="preserve">. </w:t>
      </w:r>
    </w:p>
    <w:p w14:paraId="38B9041F" w14:textId="5313BBD1" w:rsidR="00034296" w:rsidRPr="00381300" w:rsidRDefault="0004289D" w:rsidP="0003429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Apoyo a los Estados Miembros </w:t>
      </w:r>
      <w:r w:rsidR="00B745C3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en el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>diseñ</w:t>
      </w:r>
      <w:r w:rsidR="00B745C3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o de </w:t>
      </w:r>
      <w:r w:rsidR="00034296" w:rsidRPr="00381300">
        <w:rPr>
          <w:rFonts w:ascii="Times New Roman" w:hAnsi="Times New Roman"/>
          <w:bCs/>
          <w:iCs/>
          <w:sz w:val="22"/>
          <w:szCs w:val="22"/>
          <w:lang w:val="es-ES"/>
        </w:rPr>
        <w:t>una hoja de ruta para acelerar su madurez cibernética siguiendo la metodología del Modelo de Madurez de Capacidades en Ciberseguridad de la Universidad de Oxford.</w:t>
      </w:r>
    </w:p>
    <w:p w14:paraId="00553AFF" w14:textId="77777777" w:rsidR="00DD76C7" w:rsidRPr="00381300" w:rsidRDefault="00DD76C7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1ED1F0E4" w14:textId="62833F2C" w:rsidR="00FE713F" w:rsidRPr="00381300" w:rsidRDefault="00FE713F" w:rsidP="00FE713F">
      <w:pPr>
        <w:pStyle w:val="ListParagraph"/>
        <w:numPr>
          <w:ilvl w:val="0"/>
          <w:numId w:val="11"/>
        </w:numPr>
        <w:ind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Fortalecimiento de los regímenes de no proliferación de armas de destrucción masiva, incluyendo la implementación de la resolución 1540 (2004) del Consejo de Seguridad de Naciones Unidas</w:t>
      </w:r>
    </w:p>
    <w:p w14:paraId="771312CC" w14:textId="77777777" w:rsidR="00FE713F" w:rsidRPr="00381300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31C51040" w14:textId="6743F5ED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u w:val="single"/>
          <w:lang w:val="es-ES"/>
        </w:rPr>
        <w:t>Propósito</w:t>
      </w:r>
      <w:r w:rsidR="001210E7" w:rsidRPr="00381300">
        <w:rPr>
          <w:sz w:val="22"/>
          <w:szCs w:val="22"/>
          <w:u w:val="single"/>
          <w:lang w:val="es-ES"/>
        </w:rPr>
        <w:t>s</w:t>
      </w:r>
      <w:r w:rsidRPr="00381300">
        <w:rPr>
          <w:sz w:val="22"/>
          <w:szCs w:val="22"/>
          <w:lang w:val="es-ES"/>
        </w:rPr>
        <w:t>:</w:t>
      </w:r>
    </w:p>
    <w:p w14:paraId="700D2FB4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6B68C9B4" w14:textId="24AE032D" w:rsidR="00FE713F" w:rsidRPr="00381300" w:rsidRDefault="00910B18" w:rsidP="00FE713F">
      <w:pPr>
        <w:jc w:val="both"/>
        <w:rPr>
          <w:bCs/>
          <w:iCs/>
          <w:sz w:val="22"/>
          <w:szCs w:val="22"/>
          <w:lang w:val="es-ES"/>
        </w:rPr>
      </w:pPr>
      <w:bookmarkStart w:id="0" w:name="_Hlk77172165"/>
      <w:r w:rsidRPr="00381300">
        <w:rPr>
          <w:bCs/>
          <w:iCs/>
          <w:sz w:val="22"/>
          <w:szCs w:val="22"/>
          <w:lang w:val="es-ES"/>
        </w:rPr>
        <w:t xml:space="preserve">Promover </w:t>
      </w:r>
      <w:r w:rsidR="00FE713F" w:rsidRPr="00381300">
        <w:rPr>
          <w:bCs/>
          <w:iCs/>
          <w:sz w:val="22"/>
          <w:szCs w:val="22"/>
          <w:lang w:val="es-ES"/>
        </w:rPr>
        <w:t>un régimen universal, genuino y no discriminatorio</w:t>
      </w:r>
      <w:r w:rsidRPr="00381300">
        <w:rPr>
          <w:bCs/>
          <w:iCs/>
          <w:sz w:val="22"/>
          <w:szCs w:val="22"/>
          <w:lang w:val="es-ES"/>
        </w:rPr>
        <w:t xml:space="preserve"> </w:t>
      </w:r>
      <w:r w:rsidR="00FE713F" w:rsidRPr="00381300">
        <w:rPr>
          <w:bCs/>
          <w:iCs/>
          <w:sz w:val="22"/>
          <w:szCs w:val="22"/>
          <w:lang w:val="es-ES"/>
        </w:rPr>
        <w:t xml:space="preserve">de desarme y no proliferación </w:t>
      </w:r>
      <w:r w:rsidRPr="00381300">
        <w:rPr>
          <w:bCs/>
          <w:iCs/>
          <w:sz w:val="22"/>
          <w:szCs w:val="22"/>
          <w:lang w:val="es-ES"/>
        </w:rPr>
        <w:t xml:space="preserve">de armas nucleares, químicas y biológicas, así como sus sistemas vectores, y en particular, apoyar </w:t>
      </w:r>
      <w:r w:rsidR="00FE713F" w:rsidRPr="00381300">
        <w:rPr>
          <w:bCs/>
          <w:iCs/>
          <w:sz w:val="22"/>
          <w:szCs w:val="22"/>
          <w:lang w:val="es-ES"/>
        </w:rPr>
        <w:t xml:space="preserve">a los Estados Miembros en la implementación efectiva de la resolución 1540 (2004) del Consejo de Seguridad de las Naciones Unidas </w:t>
      </w:r>
      <w:r w:rsidR="00DB522C" w:rsidRPr="00381300">
        <w:rPr>
          <w:bCs/>
          <w:iCs/>
          <w:sz w:val="22"/>
          <w:szCs w:val="22"/>
          <w:lang w:val="es-ES"/>
        </w:rPr>
        <w:t xml:space="preserve">por medio de </w:t>
      </w:r>
      <w:bookmarkEnd w:id="0"/>
      <w:r w:rsidR="00FE713F" w:rsidRPr="00381300">
        <w:rPr>
          <w:bCs/>
          <w:iCs/>
          <w:sz w:val="22"/>
          <w:szCs w:val="22"/>
          <w:lang w:val="es-ES"/>
        </w:rPr>
        <w:t>asistencia técnica y legislativa</w:t>
      </w:r>
      <w:r w:rsidRPr="00381300">
        <w:rPr>
          <w:bCs/>
          <w:iCs/>
          <w:sz w:val="22"/>
          <w:szCs w:val="22"/>
          <w:lang w:val="es-ES"/>
        </w:rPr>
        <w:t>.</w:t>
      </w:r>
    </w:p>
    <w:p w14:paraId="642C36E0" w14:textId="77777777" w:rsidR="00FE713F" w:rsidRPr="00381300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09679E66" w14:textId="0F422C95" w:rsidR="00FE713F" w:rsidRPr="00381300" w:rsidRDefault="00FE713F" w:rsidP="00FE713F">
      <w:pPr>
        <w:jc w:val="both"/>
        <w:rPr>
          <w:bCs/>
          <w:iCs/>
          <w:sz w:val="22"/>
          <w:szCs w:val="22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381300">
        <w:rPr>
          <w:bCs/>
          <w:iCs/>
          <w:sz w:val="22"/>
          <w:szCs w:val="22"/>
          <w:lang w:val="es-ES"/>
        </w:rPr>
        <w:t>:</w:t>
      </w:r>
    </w:p>
    <w:p w14:paraId="78B5179B" w14:textId="77777777" w:rsidR="00FE713F" w:rsidRPr="00381300" w:rsidRDefault="00FE713F" w:rsidP="00FE713F">
      <w:pPr>
        <w:jc w:val="both"/>
        <w:rPr>
          <w:bCs/>
          <w:iCs/>
          <w:sz w:val="22"/>
          <w:szCs w:val="22"/>
          <w:lang w:val="es-ES"/>
        </w:rPr>
      </w:pPr>
    </w:p>
    <w:p w14:paraId="67346CF2" w14:textId="08037619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Actividades de divulgación</w:t>
      </w:r>
      <w:r w:rsidR="0009287C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(conocimientos en materia de no proliferación de </w:t>
      </w:r>
      <w:r w:rsidR="004B766F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armas de destrucción masiva, </w:t>
      </w:r>
      <w:r w:rsidR="0009287C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menazas, instrumentos </w:t>
      </w:r>
      <w:r w:rsidR="418C2C1F" w:rsidRPr="00381300">
        <w:rPr>
          <w:rFonts w:ascii="Times New Roman" w:hAnsi="Times New Roman"/>
          <w:sz w:val="22"/>
          <w:szCs w:val="22"/>
          <w:lang w:val="es-ES"/>
        </w:rPr>
        <w:t>y</w:t>
      </w:r>
      <w:r w:rsidR="0009287C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obligaciones internacionales, entre otros)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. </w:t>
      </w:r>
    </w:p>
    <w:p w14:paraId="61445B1A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Fortalecimiento de la red de puntos de contacto sobre la resolución 1540 (2004) en la región.</w:t>
      </w:r>
    </w:p>
    <w:p w14:paraId="1667D076" w14:textId="1FCBFC40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Capacitación a oficiales de gobierno, personal laboratorista, científicos y académicos en bioseguridad y </w:t>
      </w:r>
      <w:proofErr w:type="spellStart"/>
      <w:r w:rsidRPr="00381300">
        <w:rPr>
          <w:rFonts w:ascii="Times New Roman" w:hAnsi="Times New Roman"/>
          <w:bCs/>
          <w:sz w:val="22"/>
          <w:szCs w:val="22"/>
          <w:lang w:val="es-ES"/>
        </w:rPr>
        <w:t>biocustodia</w:t>
      </w:r>
      <w:proofErr w:type="spellEnd"/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por medio de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 xml:space="preserve"> dos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curso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>s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masivo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>s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abierto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>s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en línea 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>(MOOC</w:t>
      </w:r>
      <w:r w:rsidR="002A17BD" w:rsidRPr="00381300">
        <w:rPr>
          <w:rFonts w:ascii="Times New Roman" w:hAnsi="Times New Roman"/>
          <w:bCs/>
          <w:sz w:val="22"/>
          <w:szCs w:val="22"/>
          <w:lang w:val="es-ES"/>
        </w:rPr>
        <w:t xml:space="preserve"> por sus siglas en inglés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 xml:space="preserve">) 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>que estará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>n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a disposición de todos los países de</w:t>
      </w:r>
      <w:r w:rsidR="0096413E" w:rsidRPr="00381300">
        <w:rPr>
          <w:rFonts w:ascii="Times New Roman" w:hAnsi="Times New Roman"/>
          <w:bCs/>
          <w:sz w:val="22"/>
          <w:szCs w:val="22"/>
          <w:lang w:val="es-ES"/>
        </w:rPr>
        <w:t xml:space="preserve"> habla hispana de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la región. </w:t>
      </w:r>
    </w:p>
    <w:p w14:paraId="27B4F471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Investigación sobre el estado de situación en bioseguridad y </w:t>
      </w:r>
      <w:proofErr w:type="spellStart"/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biocustodia</w:t>
      </w:r>
      <w:proofErr w:type="spellEnd"/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con el abordaje de casos específicos de la región.</w:t>
      </w:r>
    </w:p>
    <w:p w14:paraId="64126805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Asistencia legislativa para el fortalecimiento de los marcos regulatorios internos en línea con la resolución 1540 (2004). </w:t>
      </w:r>
    </w:p>
    <w:p w14:paraId="312D60E8" w14:textId="1258BA24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Entrenamientos 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>nacionales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sobre bioseguridad</w:t>
      </w:r>
      <w:r w:rsidR="0096413E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y</w:t>
      </w:r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Pr="00381300">
        <w:rPr>
          <w:rFonts w:ascii="Times New Roman" w:hAnsi="Times New Roman"/>
          <w:bCs/>
          <w:iCs/>
          <w:sz w:val="22"/>
          <w:szCs w:val="22"/>
          <w:lang w:val="es-ES"/>
        </w:rPr>
        <w:t>biocustodia</w:t>
      </w:r>
      <w:proofErr w:type="spellEnd"/>
      <w:r w:rsidR="0096413E" w:rsidRPr="00381300">
        <w:rPr>
          <w:rFonts w:ascii="Times New Roman" w:hAnsi="Times New Roman"/>
          <w:bCs/>
          <w:iCs/>
          <w:sz w:val="22"/>
          <w:szCs w:val="22"/>
          <w:lang w:val="es-ES"/>
        </w:rPr>
        <w:t xml:space="preserve"> para personal de laboratorio.</w:t>
      </w:r>
    </w:p>
    <w:p w14:paraId="34EB7CFF" w14:textId="74EDCCD8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Cs/>
          <w:sz w:val="22"/>
          <w:szCs w:val="22"/>
          <w:lang w:val="es-ES"/>
        </w:rPr>
        <w:t>Ejercicios de revisión entre pares (</w:t>
      </w:r>
      <w:r w:rsidRPr="00381300">
        <w:rPr>
          <w:rFonts w:ascii="Times New Roman" w:hAnsi="Times New Roman"/>
          <w:bCs/>
          <w:i/>
          <w:iCs/>
          <w:sz w:val="22"/>
          <w:szCs w:val="22"/>
          <w:lang w:val="es-ES"/>
        </w:rPr>
        <w:t>peer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  <w:proofErr w:type="spellStart"/>
      <w:r w:rsidRPr="00381300">
        <w:rPr>
          <w:rFonts w:ascii="Times New Roman" w:hAnsi="Times New Roman"/>
          <w:bCs/>
          <w:i/>
          <w:iCs/>
          <w:sz w:val="22"/>
          <w:szCs w:val="22"/>
          <w:lang w:val="es-ES"/>
        </w:rPr>
        <w:t>reviews</w:t>
      </w:r>
      <w:proofErr w:type="spellEnd"/>
      <w:r w:rsidRPr="00381300">
        <w:rPr>
          <w:rFonts w:ascii="Times New Roman" w:hAnsi="Times New Roman"/>
          <w:bCs/>
          <w:sz w:val="22"/>
          <w:szCs w:val="22"/>
          <w:lang w:val="es-ES"/>
        </w:rPr>
        <w:t>)</w:t>
      </w:r>
      <w:r w:rsidR="0009287C" w:rsidRPr="00381300">
        <w:rPr>
          <w:rFonts w:ascii="Times New Roman" w:hAnsi="Times New Roman"/>
          <w:bCs/>
          <w:sz w:val="22"/>
          <w:szCs w:val="22"/>
          <w:lang w:val="es-ES"/>
        </w:rPr>
        <w:t>.</w:t>
      </w:r>
      <w:r w:rsidRPr="00381300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</w:p>
    <w:p w14:paraId="49271EE0" w14:textId="61D87EDE" w:rsidR="00FE713F" w:rsidRPr="00381300" w:rsidRDefault="00FE713F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Sensibilización del sector público y privado sobre las amenazas de armas de destrucción masiva en particular en los operadores de comercio exterior de las zonas francas.</w:t>
      </w:r>
    </w:p>
    <w:p w14:paraId="3F14AF46" w14:textId="7C17C231" w:rsidR="5B97979E" w:rsidRPr="00381300" w:rsidRDefault="0F9F8429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Sensibilización </w:t>
      </w:r>
      <w:r w:rsidR="12D724EB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del sector público y aduanero </w:t>
      </w:r>
      <w:r w:rsidRPr="00381300">
        <w:rPr>
          <w:rFonts w:ascii="Times New Roman" w:eastAsia="Times New Roman" w:hAnsi="Times New Roman"/>
          <w:sz w:val="22"/>
          <w:szCs w:val="22"/>
          <w:lang w:val="es-ES"/>
        </w:rPr>
        <w:t>sobre las salvaguardias del uso, almacenamiento y transporte seguro de materiales químicos y tóxicos en el régimen de comercio estra</w:t>
      </w:r>
      <w:r w:rsidR="7C49D216" w:rsidRPr="00381300">
        <w:rPr>
          <w:rFonts w:ascii="Times New Roman" w:eastAsia="Times New Roman" w:hAnsi="Times New Roman"/>
          <w:sz w:val="22"/>
          <w:szCs w:val="22"/>
          <w:lang w:val="es-ES"/>
        </w:rPr>
        <w:t>tégico</w:t>
      </w:r>
      <w:r w:rsidR="1FB33417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. </w:t>
      </w:r>
    </w:p>
    <w:p w14:paraId="3488C0B9" w14:textId="77777777" w:rsidR="000A2A19" w:rsidRPr="00381300" w:rsidRDefault="6AA113EE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>Asistencia técnica y legislativa para el fortalecimiento</w:t>
      </w:r>
      <w:r w:rsidR="1FB33417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 de medidas efectivas para la seguridad de químicos y tóxicos en el régimen de comercio estratégico.</w:t>
      </w:r>
    </w:p>
    <w:p w14:paraId="4987E2FD" w14:textId="088D6C84" w:rsidR="0009287C" w:rsidRPr="00381300" w:rsidRDefault="0009287C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Publicaciones técnicas sobre temas de relevancia para la región.</w:t>
      </w:r>
    </w:p>
    <w:p w14:paraId="344F9533" w14:textId="6ECD9E60" w:rsidR="48619B1E" w:rsidRPr="00381300" w:rsidRDefault="48619B1E" w:rsidP="450842F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lastRenderedPageBreak/>
        <w:t xml:space="preserve">Sensibilización del sector público y privado sobre </w:t>
      </w:r>
      <w:r w:rsidR="7C452505" w:rsidRPr="00381300">
        <w:rPr>
          <w:rFonts w:ascii="Times New Roman" w:hAnsi="Times New Roman"/>
          <w:sz w:val="22"/>
          <w:szCs w:val="22"/>
          <w:lang w:val="es-ES"/>
        </w:rPr>
        <w:t>la transferencia y tecnologías</w:t>
      </w:r>
      <w:r w:rsidR="5A56C62C" w:rsidRPr="00381300">
        <w:rPr>
          <w:rFonts w:ascii="Times New Roman" w:hAnsi="Times New Roman"/>
          <w:sz w:val="22"/>
          <w:szCs w:val="22"/>
          <w:lang w:val="es-ES"/>
        </w:rPr>
        <w:t xml:space="preserve"> emergentes</w:t>
      </w:r>
      <w:r w:rsidR="7C452505" w:rsidRPr="00381300">
        <w:rPr>
          <w:rFonts w:ascii="Times New Roman" w:hAnsi="Times New Roman"/>
          <w:sz w:val="22"/>
          <w:szCs w:val="22"/>
          <w:lang w:val="es-ES"/>
        </w:rPr>
        <w:t xml:space="preserve"> asociadas a los semiconductores en el régimen de comercio estratégico. </w:t>
      </w:r>
    </w:p>
    <w:p w14:paraId="0F63372B" w14:textId="5DAE4BA9" w:rsidR="00FE713F" w:rsidRPr="00381300" w:rsidRDefault="00FE713F" w:rsidP="00FE713F">
      <w:pPr>
        <w:pStyle w:val="ListParagraph"/>
        <w:ind w:left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</w:p>
    <w:p w14:paraId="6C48208B" w14:textId="138F7AC7" w:rsidR="00FE713F" w:rsidRPr="00381300" w:rsidRDefault="00552A83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P</w:t>
      </w:r>
      <w:r w:rsidR="00FE713F" w:rsidRPr="00381300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revención del extremismo violento</w:t>
      </w:r>
      <w:r w:rsidRPr="00381300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que puede conducir al terrorismo</w:t>
      </w:r>
    </w:p>
    <w:p w14:paraId="26156FFB" w14:textId="77777777" w:rsidR="00FE713F" w:rsidRPr="00381300" w:rsidRDefault="00FE713F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1F75B0D9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u w:val="single"/>
          <w:lang w:val="es-ES"/>
        </w:rPr>
        <w:t>Propósito</w:t>
      </w:r>
      <w:r w:rsidRPr="00381300">
        <w:rPr>
          <w:sz w:val="22"/>
          <w:szCs w:val="22"/>
          <w:lang w:val="es-ES"/>
        </w:rPr>
        <w:t>:</w:t>
      </w:r>
    </w:p>
    <w:p w14:paraId="010E454F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lang w:val="es-ES"/>
        </w:rPr>
        <w:t xml:space="preserve"> </w:t>
      </w:r>
    </w:p>
    <w:p w14:paraId="1B859E53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bCs/>
          <w:iCs/>
          <w:sz w:val="22"/>
          <w:szCs w:val="22"/>
          <w:lang w:val="es-ES"/>
        </w:rPr>
        <w:t xml:space="preserve">Apoyar a los Estados Miembros en sus esfuerzos para fomentar el diálogo hemisférico, la cooperación regional y el fortalecimiento de las capacidades para prevenir el extremismo violento que puede conducir al terrorismo, conforme a lo establecido en los mandatos de la Asamblea General de la OEA y del CICTE y en línea con los instrumentos </w:t>
      </w:r>
      <w:r w:rsidRPr="00381300">
        <w:rPr>
          <w:sz w:val="22"/>
          <w:szCs w:val="22"/>
          <w:lang w:val="es-ES"/>
        </w:rPr>
        <w:t xml:space="preserve">internacionales pertinentes. </w:t>
      </w:r>
    </w:p>
    <w:p w14:paraId="4C256974" w14:textId="77777777" w:rsidR="002A21C2" w:rsidRPr="00381300" w:rsidRDefault="002A21C2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546C071D" w14:textId="5A5363B8" w:rsidR="00FE713F" w:rsidRPr="00381300" w:rsidRDefault="00FE713F" w:rsidP="00FE713F">
      <w:pPr>
        <w:jc w:val="both"/>
        <w:rPr>
          <w:bCs/>
          <w:iCs/>
          <w:sz w:val="22"/>
          <w:szCs w:val="22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381300">
        <w:rPr>
          <w:bCs/>
          <w:iCs/>
          <w:sz w:val="22"/>
          <w:szCs w:val="22"/>
          <w:lang w:val="es-ES"/>
        </w:rPr>
        <w:t>:</w:t>
      </w:r>
    </w:p>
    <w:p w14:paraId="4F59D041" w14:textId="77777777" w:rsidR="00FE713F" w:rsidRPr="00381300" w:rsidRDefault="00FE713F" w:rsidP="00FE713F">
      <w:pPr>
        <w:jc w:val="both"/>
        <w:rPr>
          <w:bCs/>
          <w:iCs/>
          <w:sz w:val="22"/>
          <w:szCs w:val="22"/>
          <w:lang w:val="es-ES"/>
        </w:rPr>
      </w:pPr>
    </w:p>
    <w:p w14:paraId="43973CF5" w14:textId="56316113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Identificación de expertos e instituciones especializadas en prevención del extremismo violento que puedan contribuir al diálogo hemisférico en el marco del CICTE</w:t>
      </w:r>
      <w:r w:rsidR="002F0934" w:rsidRPr="00381300">
        <w:rPr>
          <w:rFonts w:ascii="Times New Roman" w:hAnsi="Times New Roman"/>
          <w:sz w:val="22"/>
          <w:szCs w:val="22"/>
          <w:lang w:val="es-ES"/>
        </w:rPr>
        <w:t xml:space="preserve"> y, eventualmente, conformar una red de expertos de la región</w:t>
      </w:r>
      <w:r w:rsidRPr="00381300">
        <w:rPr>
          <w:rFonts w:ascii="Times New Roman" w:hAnsi="Times New Roman"/>
          <w:sz w:val="22"/>
          <w:szCs w:val="22"/>
          <w:lang w:val="es-ES"/>
        </w:rPr>
        <w:t>.</w:t>
      </w:r>
    </w:p>
    <w:p w14:paraId="1C0A59B3" w14:textId="0DA20B9B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Organización de foros, seminarios, talleres y otras actividades </w:t>
      </w:r>
      <w:r w:rsidR="59F98E48" w:rsidRPr="00381300">
        <w:rPr>
          <w:rFonts w:ascii="Times New Roman" w:hAnsi="Times New Roman"/>
          <w:sz w:val="22"/>
          <w:szCs w:val="22"/>
          <w:lang w:val="es-ES"/>
        </w:rPr>
        <w:t xml:space="preserve">presenciales y virtuales 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para facilitar una mayor comprensión del fenómeno del extremismo violento y sus manifestaciones, así como la amenaza que presenta y la necesidad de prevenirlo. </w:t>
      </w:r>
    </w:p>
    <w:p w14:paraId="541FE192" w14:textId="21D839CF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Participación en encuentros especializados </w:t>
      </w:r>
      <w:r w:rsidR="2797D08F" w:rsidRPr="00381300">
        <w:rPr>
          <w:rFonts w:ascii="Times New Roman" w:hAnsi="Times New Roman"/>
          <w:sz w:val="22"/>
          <w:szCs w:val="22"/>
          <w:lang w:val="es-ES"/>
        </w:rPr>
        <w:t xml:space="preserve">y diálogos multisectoriales </w:t>
      </w:r>
      <w:r w:rsidRPr="00381300">
        <w:rPr>
          <w:rFonts w:ascii="Times New Roman" w:hAnsi="Times New Roman"/>
          <w:sz w:val="22"/>
          <w:szCs w:val="22"/>
          <w:lang w:val="es-ES"/>
        </w:rPr>
        <w:t>sobre tendencias actuales y emergentes en materia de prevención del extremismo violento</w:t>
      </w:r>
      <w:r w:rsidR="71B8944E" w:rsidRPr="00381300">
        <w:rPr>
          <w:rFonts w:ascii="Times New Roman" w:hAnsi="Times New Roman"/>
          <w:sz w:val="22"/>
          <w:szCs w:val="22"/>
          <w:lang w:val="es-ES"/>
        </w:rPr>
        <w:t xml:space="preserve"> y los esfuerzos multilaterales para desarrollar e implementar marcos de trabajo de prevención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661D8B0F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Apoyo en el intercambio de información y experiencias para prevenir y responder a los desafíos que conlleva el extremismo violento y, en particular, el reclutamiento, la propaganda y la radicalización (en línea y </w:t>
      </w:r>
      <w:r w:rsidRPr="00381300">
        <w:rPr>
          <w:rFonts w:ascii="Times New Roman" w:hAnsi="Times New Roman"/>
          <w:i/>
          <w:iCs/>
          <w:sz w:val="22"/>
          <w:szCs w:val="22"/>
          <w:lang w:val="es-ES"/>
        </w:rPr>
        <w:t>off line)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166CA34E" w14:textId="2CE1AE6E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Apoyo en el desarrollo/fortalecimiento de las capacidades técnicas </w:t>
      </w:r>
      <w:r w:rsidR="34E1C47D" w:rsidRPr="00381300">
        <w:rPr>
          <w:rFonts w:ascii="Times New Roman" w:hAnsi="Times New Roman"/>
          <w:sz w:val="22"/>
          <w:szCs w:val="22"/>
          <w:lang w:val="es-ES"/>
        </w:rPr>
        <w:t xml:space="preserve">de los Estados Miembros que </w:t>
      </w:r>
      <w:proofErr w:type="spellStart"/>
      <w:r w:rsidR="34E1C47D" w:rsidRPr="00381300">
        <w:rPr>
          <w:rFonts w:ascii="Times New Roman" w:hAnsi="Times New Roman"/>
          <w:sz w:val="22"/>
          <w:szCs w:val="22"/>
          <w:lang w:val="es-ES"/>
        </w:rPr>
        <w:t>asi</w:t>
      </w:r>
      <w:proofErr w:type="spellEnd"/>
      <w:r w:rsidR="34E1C47D" w:rsidRPr="00381300">
        <w:rPr>
          <w:rFonts w:ascii="Times New Roman" w:hAnsi="Times New Roman"/>
          <w:sz w:val="22"/>
          <w:szCs w:val="22"/>
          <w:lang w:val="es-ES"/>
        </w:rPr>
        <w:t xml:space="preserve"> lo soliciten, 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para prevenir y abordar el extremismo violento. </w:t>
      </w:r>
    </w:p>
    <w:p w14:paraId="3789937E" w14:textId="77777777" w:rsidR="004A4AA6" w:rsidRPr="00381300" w:rsidRDefault="004A4AA6" w:rsidP="004A4AA6">
      <w:pPr>
        <w:pStyle w:val="ListParagraph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</w:p>
    <w:p w14:paraId="23338056" w14:textId="5657A073" w:rsidR="00FE713F" w:rsidRPr="00381300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Seguridad de fronteras (aéreas, terrestres, marítimas)</w:t>
      </w:r>
    </w:p>
    <w:p w14:paraId="09CF2E79" w14:textId="478E43D2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6C369984" w14:textId="77777777" w:rsidR="00FE713F" w:rsidRPr="00381300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381300">
        <w:rPr>
          <w:b/>
          <w:bCs/>
          <w:sz w:val="22"/>
          <w:szCs w:val="22"/>
          <w:lang w:val="es-ES"/>
        </w:rPr>
        <w:t>Protección marítima</w:t>
      </w:r>
    </w:p>
    <w:p w14:paraId="4680F6D9" w14:textId="77777777" w:rsidR="00FE713F" w:rsidRPr="00381300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1FBD9F" w14:textId="1AE7B7C0" w:rsidR="00FE713F" w:rsidRPr="00381300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Propósito</w:t>
      </w:r>
      <w:r w:rsidRPr="00381300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1CBA52A2" w14:textId="77777777" w:rsidR="00FE713F" w:rsidRPr="00381300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3300CA79" w14:textId="292670E0" w:rsidR="00FE713F" w:rsidRPr="00381300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381300">
        <w:rPr>
          <w:rFonts w:eastAsia="Calibri"/>
          <w:bCs/>
          <w:sz w:val="22"/>
          <w:szCs w:val="22"/>
          <w:lang w:val="es-ES"/>
        </w:rPr>
        <w:t>A</w:t>
      </w:r>
      <w:r w:rsidRPr="00381300">
        <w:rPr>
          <w:rFonts w:eastAsia="Calibri"/>
          <w:sz w:val="22"/>
          <w:szCs w:val="22"/>
          <w:lang w:val="es-ES"/>
        </w:rPr>
        <w:t xml:space="preserve">poyar </w:t>
      </w:r>
      <w:r w:rsidR="00B93741" w:rsidRPr="00381300">
        <w:rPr>
          <w:rFonts w:eastAsia="Calibri"/>
          <w:sz w:val="22"/>
          <w:szCs w:val="22"/>
          <w:lang w:val="es-ES"/>
        </w:rPr>
        <w:t xml:space="preserve">a los Estados Miembros </w:t>
      </w:r>
      <w:r w:rsidRPr="00381300">
        <w:rPr>
          <w:rFonts w:eastAsia="Calibri"/>
          <w:sz w:val="22"/>
          <w:szCs w:val="22"/>
          <w:lang w:val="es-ES"/>
        </w:rPr>
        <w:t xml:space="preserve">en el fortalecimiento de las capacidades de </w:t>
      </w:r>
      <w:r w:rsidR="00107516" w:rsidRPr="00381300">
        <w:rPr>
          <w:rFonts w:eastAsia="Calibri"/>
          <w:sz w:val="22"/>
          <w:szCs w:val="22"/>
          <w:lang w:val="es-ES"/>
        </w:rPr>
        <w:t xml:space="preserve">protección </w:t>
      </w:r>
      <w:r w:rsidRPr="00381300">
        <w:rPr>
          <w:rFonts w:eastAsia="Calibri"/>
          <w:sz w:val="22"/>
          <w:szCs w:val="22"/>
          <w:lang w:val="es-ES"/>
        </w:rPr>
        <w:t>marítima y portuaria por medio de actividades especializadas a nivel nacional y regional, con una metodología propia, en concertación con los actores clave involucrados en el desarrollo de capacidades de protección portuaria y en estrecha coordinación con otros organismos internacionales especializados como la Organización Marítima Internacional.</w:t>
      </w:r>
    </w:p>
    <w:p w14:paraId="40645195" w14:textId="77777777" w:rsidR="00FE713F" w:rsidRPr="00381300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639AA1DC" w14:textId="77777777" w:rsidR="00FE713F" w:rsidRPr="00381300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E4061DE" w14:textId="77777777" w:rsidR="00FE713F" w:rsidRPr="00381300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46F75F89" w14:textId="2209BB7F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Apoyo en el desarrollo e implementación de estrategias </w:t>
      </w:r>
      <w:r w:rsidR="00107516" w:rsidRPr="00381300">
        <w:rPr>
          <w:rFonts w:ascii="Times New Roman" w:hAnsi="Times New Roman"/>
          <w:sz w:val="22"/>
          <w:szCs w:val="22"/>
          <w:lang w:val="es-ES"/>
        </w:rPr>
        <w:t xml:space="preserve">de </w:t>
      </w:r>
      <w:r w:rsidRPr="00381300">
        <w:rPr>
          <w:rFonts w:ascii="Times New Roman" w:hAnsi="Times New Roman"/>
          <w:sz w:val="22"/>
          <w:szCs w:val="22"/>
          <w:lang w:val="es-ES"/>
        </w:rPr>
        <w:t>protección marítima, a nivel nacional y subregional.</w:t>
      </w:r>
    </w:p>
    <w:p w14:paraId="1B18D51A" w14:textId="618F517F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Facilitación del intercambio de información, mejores prácticas y cooperación internacional entre gobiernos, el sector privado y sociedad civil, así como con otras organizaciones internacionales y regionales en materia de </w:t>
      </w:r>
      <w:r w:rsidR="00107516" w:rsidRPr="00381300">
        <w:rPr>
          <w:rFonts w:ascii="Times New Roman" w:hAnsi="Times New Roman"/>
          <w:sz w:val="22"/>
          <w:szCs w:val="22"/>
          <w:lang w:val="es-ES"/>
        </w:rPr>
        <w:t xml:space="preserve">protección </w:t>
      </w:r>
      <w:r w:rsidRPr="00381300">
        <w:rPr>
          <w:rFonts w:ascii="Times New Roman" w:hAnsi="Times New Roman"/>
          <w:sz w:val="22"/>
          <w:szCs w:val="22"/>
          <w:lang w:val="es-ES"/>
        </w:rPr>
        <w:t>marítima y portuaria.</w:t>
      </w:r>
    </w:p>
    <w:p w14:paraId="22B4011E" w14:textId="3D780894" w:rsidR="00FE713F" w:rsidRPr="00381300" w:rsidRDefault="00FE713F" w:rsidP="26C56B4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lastRenderedPageBreak/>
        <w:t>Organización de talleres y conferencias nacionales, subregionales y regionales sobre una amplia gama de temas de protección marítima, incluyendo desarrollo de comités de protección marítima, evaluaciones de riesgos marítimo a nivel nacional, y desarrollo de estrategias de protección marítima.</w:t>
      </w:r>
    </w:p>
    <w:p w14:paraId="6E9B97FD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Implementación de iniciativas destinadas a reducir la brecha de mujeres que trabajan en el sector marítimo.</w:t>
      </w:r>
    </w:p>
    <w:p w14:paraId="6222B8AC" w14:textId="12B850F2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Elaboración y difusión de informes sobre tendencias y problemas regionales de </w:t>
      </w:r>
      <w:r w:rsidR="00B17AB4" w:rsidRPr="00381300">
        <w:rPr>
          <w:rFonts w:ascii="Times New Roman" w:hAnsi="Times New Roman"/>
          <w:sz w:val="22"/>
          <w:szCs w:val="22"/>
          <w:lang w:val="es-ES"/>
        </w:rPr>
        <w:t xml:space="preserve">protección 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marítima y portuaria, incluyendo protección de instalaciones portuarias. </w:t>
      </w:r>
    </w:p>
    <w:p w14:paraId="45E6B00A" w14:textId="531D92ED" w:rsidR="00FE713F" w:rsidRPr="00381300" w:rsidRDefault="00FE713F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46B7455E" w14:textId="053EDB1C" w:rsidR="00FE713F" w:rsidRPr="00381300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381300">
        <w:rPr>
          <w:b/>
          <w:bCs/>
          <w:color w:val="000000" w:themeColor="text1"/>
          <w:sz w:val="22"/>
          <w:szCs w:val="22"/>
          <w:lang w:val="es-ES"/>
        </w:rPr>
        <w:t xml:space="preserve">Seguridad en la aviación </w:t>
      </w:r>
    </w:p>
    <w:p w14:paraId="5AD8BB31" w14:textId="5873692D" w:rsidR="00FE713F" w:rsidRPr="00381300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32C12C97" w14:textId="76B996FA" w:rsidR="00FE713F" w:rsidRPr="00381300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381300">
        <w:rPr>
          <w:color w:val="000000" w:themeColor="text1"/>
          <w:sz w:val="22"/>
          <w:szCs w:val="22"/>
          <w:u w:val="single"/>
          <w:lang w:val="es-ES"/>
        </w:rPr>
        <w:t>Propósito</w:t>
      </w:r>
      <w:r w:rsidRPr="00381300">
        <w:rPr>
          <w:b/>
          <w:bCs/>
          <w:color w:val="000000" w:themeColor="text1"/>
          <w:sz w:val="22"/>
          <w:szCs w:val="22"/>
          <w:lang w:val="es-ES"/>
        </w:rPr>
        <w:t>:</w:t>
      </w:r>
    </w:p>
    <w:p w14:paraId="41315E03" w14:textId="138DB8EB" w:rsidR="00FE713F" w:rsidRPr="00381300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52A449C3" w14:textId="103A9780" w:rsidR="00FE713F" w:rsidRPr="00381300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381300">
        <w:rPr>
          <w:color w:val="000000" w:themeColor="text1"/>
          <w:sz w:val="22"/>
          <w:szCs w:val="22"/>
          <w:lang w:val="es-ES"/>
        </w:rPr>
        <w:t xml:space="preserve">Apoyar en el fortalecimiento de la capacidad instalada para cumplir con las normas y prácticas recomendadas por la Organización de Aviación Civil Internacional (OACI), el Convenio de Aviación Civil Internacional, especialmente el Anexo 17 – Seguridad: protección de la aviación civil internacional contra los actos de interferencia ilícita) y otras recomendaciones para proteger la aviación civil internacional de posibles actos de terrorismo. </w:t>
      </w:r>
    </w:p>
    <w:p w14:paraId="32D2C3CC" w14:textId="77777777" w:rsidR="00D442EC" w:rsidRPr="00381300" w:rsidRDefault="00D442EC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40C6B693" w14:textId="5E462CD9" w:rsidR="00FE713F" w:rsidRPr="00381300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381300">
        <w:rPr>
          <w:color w:val="000000" w:themeColor="text1"/>
          <w:sz w:val="22"/>
          <w:szCs w:val="22"/>
          <w:u w:val="single"/>
          <w:lang w:val="es-ES"/>
        </w:rPr>
        <w:t>Actividades propuestas:</w:t>
      </w:r>
    </w:p>
    <w:p w14:paraId="18E236B8" w14:textId="03414A2E" w:rsidR="00FE713F" w:rsidRPr="00381300" w:rsidRDefault="00FE713F" w:rsidP="4A7240B3">
      <w:pPr>
        <w:jc w:val="both"/>
        <w:rPr>
          <w:sz w:val="22"/>
          <w:szCs w:val="22"/>
          <w:lang w:val="es-ES"/>
        </w:rPr>
      </w:pPr>
    </w:p>
    <w:p w14:paraId="3EFFA8BB" w14:textId="3B22E518" w:rsidR="00FE713F" w:rsidRPr="00381300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>Capacitación de personal</w:t>
      </w:r>
      <w:r w:rsidR="00250A03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 </w:t>
      </w: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con responsabilidad operativa y actores clave para la seguridad de la aviación en la identificación y mitigación de amenazas internas y externas en el sector de la aviación civil. Esto incluye el fortalecimiento de las capacidades para enfrentar las amenazas internas en los aeropuertos, las amenazas de baja y alta tecnología, los Sistemas de Defensa Aérea Portátil/ </w:t>
      </w:r>
      <w:r w:rsidRPr="00381300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 xml:space="preserve">Man-Portable Air-defense </w:t>
      </w:r>
      <w:proofErr w:type="spellStart"/>
      <w:r w:rsidRPr="00381300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>Systems</w:t>
      </w:r>
      <w:proofErr w:type="spellEnd"/>
      <w:r w:rsidRPr="00381300">
        <w:rPr>
          <w:rFonts w:ascii="Times New Roman" w:eastAsia="Times New Roman" w:hAnsi="Times New Roman"/>
          <w:i/>
          <w:iCs/>
          <w:sz w:val="22"/>
          <w:szCs w:val="22"/>
          <w:lang w:val="es-ES"/>
        </w:rPr>
        <w:t xml:space="preserve"> </w:t>
      </w:r>
      <w:r w:rsidRPr="00381300">
        <w:rPr>
          <w:rFonts w:ascii="Times New Roman" w:eastAsia="Times New Roman" w:hAnsi="Times New Roman"/>
          <w:sz w:val="22"/>
          <w:szCs w:val="22"/>
          <w:lang w:val="es-ES"/>
        </w:rPr>
        <w:t>(MANPADS, por sus siglas en inglés) y los controles de acceso nacional, entre otros.</w:t>
      </w:r>
    </w:p>
    <w:p w14:paraId="5498E8AB" w14:textId="730577F8" w:rsidR="00FE713F" w:rsidRPr="00381300" w:rsidRDefault="003D30B0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>C</w:t>
      </w:r>
      <w:r w:rsidR="4A7240B3" w:rsidRPr="00381300">
        <w:rPr>
          <w:rFonts w:ascii="Times New Roman" w:eastAsia="Times New Roman" w:hAnsi="Times New Roman"/>
          <w:sz w:val="22"/>
          <w:szCs w:val="22"/>
          <w:lang w:val="es-ES"/>
        </w:rPr>
        <w:t>oncientiza</w:t>
      </w:r>
      <w:r w:rsidR="00107039" w:rsidRPr="00381300">
        <w:rPr>
          <w:rFonts w:ascii="Times New Roman" w:eastAsia="Times New Roman" w:hAnsi="Times New Roman"/>
          <w:sz w:val="22"/>
          <w:szCs w:val="22"/>
          <w:lang w:val="es-ES"/>
        </w:rPr>
        <w:t>ción</w:t>
      </w: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 de autoridades subregionales en el sector de la seguridad de la aviación </w:t>
      </w:r>
      <w:r w:rsidR="4A7240B3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sobre las amenazas internas a la seguridad </w:t>
      </w:r>
      <w:r w:rsidR="002230D4" w:rsidRPr="00381300">
        <w:rPr>
          <w:rFonts w:ascii="Times New Roman" w:eastAsia="Times New Roman" w:hAnsi="Times New Roman"/>
          <w:sz w:val="22"/>
          <w:szCs w:val="22"/>
          <w:lang w:val="es-ES"/>
        </w:rPr>
        <w:t>en este sector para facilitar el intercambio de</w:t>
      </w:r>
      <w:r w:rsidR="4A7240B3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 buenas prácticas </w:t>
      </w:r>
      <w:r w:rsidR="002230D4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orientadas a </w:t>
      </w:r>
      <w:r w:rsidR="4A7240B3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mitigar amenazas y fomentar una cultura de seguridad.  </w:t>
      </w:r>
    </w:p>
    <w:p w14:paraId="34C2C5FA" w14:textId="0BFA3875" w:rsidR="00FE713F" w:rsidRPr="00381300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Capacitación de personal con responsabilidad operativa y actores clave para la seguridad de la aviación sobre los estándares y buenas prácticas recomendadas por </w:t>
      </w:r>
      <w:r w:rsidR="004D23E3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OACI, con particular atención </w:t>
      </w: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a los requisitos de control de acceso. </w:t>
      </w:r>
    </w:p>
    <w:p w14:paraId="3F2AC6E1" w14:textId="0DE3FCF4" w:rsidR="00FE713F" w:rsidRPr="00381300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>Capacitación de autoridades aduaneras, inspectores de carga y otros actores relevantes en la identificación y mitigación de riesgos en la cadena de suministro de la carga aérea.</w:t>
      </w:r>
    </w:p>
    <w:p w14:paraId="6583778D" w14:textId="2B03DB15" w:rsidR="00FE713F" w:rsidRPr="00381300" w:rsidRDefault="00B32F0C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Intercambios </w:t>
      </w:r>
      <w:r w:rsidR="4A7240B3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de buenas prácticas y lecciones aprendidas en el marco de la seguridad de la aviación </w:t>
      </w: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por medio de </w:t>
      </w:r>
      <w:r w:rsidR="4A7240B3" w:rsidRPr="00381300">
        <w:rPr>
          <w:rFonts w:ascii="Times New Roman" w:eastAsia="Times New Roman" w:hAnsi="Times New Roman"/>
          <w:sz w:val="22"/>
          <w:szCs w:val="22"/>
          <w:lang w:val="es-ES"/>
        </w:rPr>
        <w:t>un taller hemisférico dirigido a los encargados de las políticas públicas del sector de la aviación en la región.</w:t>
      </w:r>
    </w:p>
    <w:p w14:paraId="354F2D4F" w14:textId="1C3D9257" w:rsidR="00FE713F" w:rsidRPr="00381300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>Establecimiento de red de puntos focales nacionales para la seguridad de la aviación, con la finalidad de fomentar una coordinación más e</w:t>
      </w:r>
      <w:r w:rsidRPr="00381300">
        <w:rPr>
          <w:rFonts w:ascii="Times New Roman" w:eastAsia="Times New Roman" w:hAnsi="Times New Roman"/>
          <w:sz w:val="22"/>
          <w:szCs w:val="22"/>
          <w:lang w:val="es-419"/>
        </w:rPr>
        <w:t>fectiva y el intercambio de información y buenas prácticas entre las autoridades policiales</w:t>
      </w:r>
      <w:r w:rsidRPr="00381300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 y organizaciones nacionales, regionales e internacionales.</w:t>
      </w:r>
    </w:p>
    <w:p w14:paraId="3537479A" w14:textId="6A2AB00C" w:rsidR="00FE713F" w:rsidRPr="00381300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Fortalecimiento de los estándares de perspectiva de género en las políticas de seguridad de la aviación. </w:t>
      </w:r>
    </w:p>
    <w:p w14:paraId="12620D67" w14:textId="2F9666B0" w:rsidR="00FE713F" w:rsidRPr="00381300" w:rsidRDefault="00FE713F" w:rsidP="4A7240B3">
      <w:pPr>
        <w:jc w:val="both"/>
        <w:rPr>
          <w:b/>
          <w:bCs/>
          <w:sz w:val="22"/>
          <w:szCs w:val="22"/>
          <w:lang w:val="es-ES"/>
        </w:rPr>
      </w:pPr>
    </w:p>
    <w:p w14:paraId="68BAC4B0" w14:textId="77777777" w:rsidR="00941B44" w:rsidRPr="00381300" w:rsidRDefault="00941B44">
      <w:pPr>
        <w:rPr>
          <w:b/>
          <w:sz w:val="22"/>
          <w:szCs w:val="22"/>
          <w:lang w:val="es-ES"/>
        </w:rPr>
      </w:pPr>
      <w:r w:rsidRPr="00381300">
        <w:rPr>
          <w:b/>
          <w:sz w:val="22"/>
          <w:szCs w:val="22"/>
          <w:lang w:val="es-ES"/>
        </w:rPr>
        <w:br w:type="page"/>
      </w:r>
    </w:p>
    <w:p w14:paraId="56A8DDB1" w14:textId="7C5F227B" w:rsidR="00FE713F" w:rsidRPr="00381300" w:rsidRDefault="00FE713F" w:rsidP="00FE713F">
      <w:pPr>
        <w:jc w:val="both"/>
        <w:rPr>
          <w:b/>
          <w:sz w:val="22"/>
          <w:szCs w:val="22"/>
          <w:u w:val="single"/>
          <w:lang w:val="es-ES"/>
        </w:rPr>
      </w:pPr>
      <w:r w:rsidRPr="00381300">
        <w:rPr>
          <w:b/>
          <w:sz w:val="22"/>
          <w:szCs w:val="22"/>
          <w:lang w:val="es-ES"/>
        </w:rPr>
        <w:lastRenderedPageBreak/>
        <w:t xml:space="preserve">Seguridad de carga y contenedores </w:t>
      </w:r>
    </w:p>
    <w:p w14:paraId="274DAEC3" w14:textId="77777777" w:rsidR="00FE713F" w:rsidRPr="00381300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6A36320C" w14:textId="77777777" w:rsidR="00FE713F" w:rsidRPr="00381300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Propósito</w:t>
      </w:r>
      <w:r w:rsidRPr="00381300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3C2AF3F1" w14:textId="77777777" w:rsidR="00FE713F" w:rsidRPr="00381300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56DD2882" w14:textId="126AA508" w:rsidR="00FE713F" w:rsidRPr="00381300" w:rsidRDefault="00AD5267" w:rsidP="5A89713C">
      <w:pPr>
        <w:jc w:val="both"/>
        <w:rPr>
          <w:sz w:val="22"/>
          <w:szCs w:val="22"/>
          <w:lang w:val="es-ES"/>
        </w:rPr>
      </w:pPr>
      <w:r w:rsidRPr="00381300">
        <w:rPr>
          <w:rFonts w:eastAsia="Calibri"/>
          <w:sz w:val="22"/>
          <w:szCs w:val="22"/>
          <w:lang w:val="es-ES"/>
        </w:rPr>
        <w:t xml:space="preserve">Apoyar a los Estados Miembros en fortalecer los </w:t>
      </w:r>
      <w:r w:rsidR="00FE713F" w:rsidRPr="00381300">
        <w:rPr>
          <w:sz w:val="22"/>
          <w:szCs w:val="22"/>
          <w:lang w:val="es-ES"/>
        </w:rPr>
        <w:t xml:space="preserve">mecanismos de seguridad de carga y sus medios de transporte, </w:t>
      </w:r>
      <w:r w:rsidRPr="00381300">
        <w:rPr>
          <w:sz w:val="22"/>
          <w:szCs w:val="22"/>
          <w:lang w:val="es-ES"/>
        </w:rPr>
        <w:t xml:space="preserve">particularmente </w:t>
      </w:r>
      <w:r w:rsidR="00FE713F" w:rsidRPr="00381300">
        <w:rPr>
          <w:sz w:val="22"/>
          <w:szCs w:val="22"/>
          <w:lang w:val="es-ES"/>
        </w:rPr>
        <w:t>los procedimientos aduaneros, control, inspección e interdicción de cargas transfronterizas y sus medios de transporte.</w:t>
      </w:r>
    </w:p>
    <w:p w14:paraId="7D67F9C2" w14:textId="77777777" w:rsidR="00FE713F" w:rsidRPr="00381300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18E59552" w14:textId="428C7CA2" w:rsidR="00FE713F" w:rsidRPr="00381300" w:rsidRDefault="00FE713F" w:rsidP="00FE713F">
      <w:pPr>
        <w:jc w:val="both"/>
        <w:rPr>
          <w:rFonts w:eastAsia="Calibri"/>
          <w:bCs/>
          <w:sz w:val="22"/>
          <w:szCs w:val="22"/>
          <w:lang w:val="es-U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A9E186C" w14:textId="77777777" w:rsidR="00FE713F" w:rsidRPr="00381300" w:rsidRDefault="00FE713F" w:rsidP="00FE713F">
      <w:pPr>
        <w:jc w:val="both"/>
        <w:rPr>
          <w:rFonts w:eastAsia="Calibri"/>
          <w:bCs/>
          <w:sz w:val="22"/>
          <w:szCs w:val="22"/>
          <w:u w:val="single"/>
          <w:lang w:val="es-US"/>
        </w:rPr>
      </w:pPr>
    </w:p>
    <w:p w14:paraId="5E1BB276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Desarrollo de cursos introductorios virtuales en seguridad de cargas en fronteras terrestres.</w:t>
      </w:r>
    </w:p>
    <w:p w14:paraId="679A40CA" w14:textId="31933C5F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Desarrollo de curso</w:t>
      </w:r>
      <w:r w:rsidR="006655AD" w:rsidRPr="00381300">
        <w:rPr>
          <w:rFonts w:ascii="Times New Roman" w:hAnsi="Times New Roman"/>
          <w:sz w:val="22"/>
          <w:szCs w:val="22"/>
          <w:lang w:val="es-ES"/>
        </w:rPr>
        <w:t>s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 de bioseguridad dirigido a oficiales aduaneros y de seguridad fronteriza sobre </w:t>
      </w:r>
      <w:r w:rsidR="008016D9" w:rsidRPr="00381300">
        <w:rPr>
          <w:rFonts w:ascii="Times New Roman" w:hAnsi="Times New Roman"/>
          <w:sz w:val="22"/>
          <w:szCs w:val="22"/>
          <w:lang w:val="es-ES"/>
        </w:rPr>
        <w:t xml:space="preserve">cómo protegerse ante </w:t>
      </w:r>
      <w:r w:rsidR="00014BD9" w:rsidRPr="00381300">
        <w:rPr>
          <w:rFonts w:ascii="Times New Roman" w:hAnsi="Times New Roman"/>
          <w:sz w:val="22"/>
          <w:szCs w:val="22"/>
          <w:lang w:val="es-ES"/>
        </w:rPr>
        <w:t xml:space="preserve">una futura </w:t>
      </w:r>
      <w:r w:rsidR="008016D9" w:rsidRPr="00381300">
        <w:rPr>
          <w:rFonts w:ascii="Times New Roman" w:hAnsi="Times New Roman"/>
          <w:sz w:val="22"/>
          <w:szCs w:val="22"/>
          <w:lang w:val="es-ES"/>
        </w:rPr>
        <w:t>endemia o pandemia</w:t>
      </w:r>
      <w:r w:rsidRPr="00381300">
        <w:rPr>
          <w:rFonts w:ascii="Times New Roman" w:hAnsi="Times New Roman"/>
          <w:sz w:val="22"/>
          <w:szCs w:val="22"/>
          <w:lang w:val="es-ES"/>
        </w:rPr>
        <w:t>.</w:t>
      </w:r>
    </w:p>
    <w:p w14:paraId="23B4831D" w14:textId="21FE7834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Donación de equipos de protección personal.</w:t>
      </w:r>
    </w:p>
    <w:p w14:paraId="5F16C16E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Desarrollo de foros virtuales subregionales y regionales en materia de aduanas y seguridad de mercancías transfronterizas.</w:t>
      </w:r>
    </w:p>
    <w:p w14:paraId="07078742" w14:textId="2D816E86" w:rsidR="00FE713F" w:rsidRPr="00381300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Creación de un listado regional de expertos </w:t>
      </w:r>
      <w:r w:rsidR="00F508EF" w:rsidRPr="00381300">
        <w:rPr>
          <w:rFonts w:ascii="Times New Roman" w:hAnsi="Times New Roman"/>
          <w:sz w:val="22"/>
          <w:szCs w:val="22"/>
          <w:lang w:val="es-ES"/>
        </w:rPr>
        <w:t xml:space="preserve">quienes pueden 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servir de instructores nacionales e internacionales </w:t>
      </w:r>
      <w:r w:rsidR="00100987" w:rsidRPr="00381300">
        <w:rPr>
          <w:rFonts w:ascii="Times New Roman" w:hAnsi="Times New Roman"/>
          <w:sz w:val="22"/>
          <w:szCs w:val="22"/>
          <w:lang w:val="es-ES"/>
        </w:rPr>
        <w:t xml:space="preserve">en 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apoyo a este programa, fortaleciendo a su vez el perfil profesional de los oficiales y fomentando la coordinación y cooperación regional. </w:t>
      </w:r>
    </w:p>
    <w:p w14:paraId="46DCB0D7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Apoyo a los Estados Miembros que así lo soliciten en el diseño e implementación de protocolos de bioseguridad aplicables por aduanas y otras agencias de control de mercancías transfronterizas en puntos de acceso nacionales terrestres, aéreos y marítimos.</w:t>
      </w:r>
    </w:p>
    <w:p w14:paraId="1B78F4FC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HN"/>
        </w:rPr>
      </w:pPr>
      <w:r w:rsidRPr="00381300">
        <w:rPr>
          <w:rFonts w:ascii="Times New Roman" w:hAnsi="Times New Roman"/>
          <w:sz w:val="22"/>
          <w:szCs w:val="22"/>
          <w:lang w:val="es-HN"/>
        </w:rPr>
        <w:t xml:space="preserve">Misiones de análisis y evaluación técnica </w:t>
      </w:r>
      <w:proofErr w:type="spellStart"/>
      <w:r w:rsidRPr="00381300">
        <w:rPr>
          <w:rFonts w:ascii="Times New Roman" w:hAnsi="Times New Roman"/>
          <w:sz w:val="22"/>
          <w:szCs w:val="22"/>
          <w:lang w:val="es-HN"/>
        </w:rPr>
        <w:t>in-situ</w:t>
      </w:r>
      <w:proofErr w:type="spellEnd"/>
      <w:r w:rsidRPr="00381300">
        <w:rPr>
          <w:rFonts w:ascii="Times New Roman" w:hAnsi="Times New Roman"/>
          <w:sz w:val="22"/>
          <w:szCs w:val="22"/>
          <w:lang w:val="es-HN"/>
        </w:rPr>
        <w:t xml:space="preserve"> en fronteras terrestres, aéreas y marítimas para identificar vulnerabilidades y estrategias para optimizar los procesos de inspección y control de carga y los medios que las transportan.</w:t>
      </w:r>
    </w:p>
    <w:p w14:paraId="0A5B28F6" w14:textId="77777777" w:rsidR="00FE713F" w:rsidRPr="00381300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381300">
        <w:rPr>
          <w:rFonts w:ascii="Times New Roman" w:hAnsi="Times New Roman"/>
          <w:sz w:val="22"/>
          <w:szCs w:val="22"/>
          <w:lang w:val="es-HN"/>
        </w:rPr>
        <w:t>Fortalecimiento de las capacidades de interdicción de las aduanas, las fuerzas del orden y otras agencias de seguridad que operan en las zonas francas clave.</w:t>
      </w:r>
    </w:p>
    <w:p w14:paraId="700CCAE8" w14:textId="5B7F67CE" w:rsidR="5A89713C" w:rsidRPr="00381300" w:rsidRDefault="5A89713C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381300">
        <w:rPr>
          <w:rFonts w:ascii="Times New Roman" w:hAnsi="Times New Roman"/>
          <w:sz w:val="22"/>
          <w:szCs w:val="22"/>
          <w:lang w:val="es-HN"/>
        </w:rPr>
        <w:t>Desarrollo de publicaciones sobre el estado actual de la seguridad de la carga y los contenedores en el hemisferio, tendencias recientes y posibles vulnerabilidades de la cadena de suministro.</w:t>
      </w:r>
    </w:p>
    <w:p w14:paraId="5C213132" w14:textId="12702B44" w:rsidR="5A89713C" w:rsidRPr="00381300" w:rsidRDefault="00E921B8" w:rsidP="5A89713C">
      <w:pPr>
        <w:pStyle w:val="ListParagraph"/>
        <w:numPr>
          <w:ilvl w:val="0"/>
          <w:numId w:val="12"/>
        </w:numPr>
        <w:spacing w:line="259" w:lineRule="auto"/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381300">
        <w:rPr>
          <w:rFonts w:ascii="Times New Roman" w:hAnsi="Times New Roman"/>
          <w:sz w:val="22"/>
          <w:szCs w:val="22"/>
          <w:lang w:val="es-HN"/>
        </w:rPr>
        <w:t>Iniciativas</w:t>
      </w:r>
      <w:r w:rsidR="00B93934" w:rsidRPr="00381300">
        <w:rPr>
          <w:rFonts w:ascii="Times New Roman" w:hAnsi="Times New Roman"/>
          <w:sz w:val="22"/>
          <w:szCs w:val="22"/>
          <w:lang w:val="es-HN"/>
        </w:rPr>
        <w:t xml:space="preserve"> de </w:t>
      </w:r>
      <w:r w:rsidR="5A89713C" w:rsidRPr="00381300">
        <w:rPr>
          <w:rFonts w:ascii="Times New Roman" w:hAnsi="Times New Roman"/>
          <w:sz w:val="22"/>
          <w:szCs w:val="22"/>
          <w:lang w:val="es-HN"/>
        </w:rPr>
        <w:t xml:space="preserve">concientización y cursos de capacitación sobre las brechas de género y los desafíos, estrategias y </w:t>
      </w:r>
      <w:r w:rsidR="005C60F5" w:rsidRPr="00381300">
        <w:rPr>
          <w:rFonts w:ascii="Times New Roman" w:hAnsi="Times New Roman"/>
          <w:sz w:val="22"/>
          <w:szCs w:val="22"/>
          <w:lang w:val="es-HN"/>
        </w:rPr>
        <w:t xml:space="preserve">herramientas </w:t>
      </w:r>
      <w:r w:rsidR="5A89713C" w:rsidRPr="00381300">
        <w:rPr>
          <w:rFonts w:ascii="Times New Roman" w:hAnsi="Times New Roman"/>
          <w:sz w:val="22"/>
          <w:szCs w:val="22"/>
          <w:lang w:val="es-HN"/>
        </w:rPr>
        <w:t>para el empoderamiento de las oficiales de dichas agencias.</w:t>
      </w:r>
    </w:p>
    <w:p w14:paraId="663F2ECB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20F32240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b/>
          <w:bCs/>
          <w:sz w:val="22"/>
          <w:szCs w:val="22"/>
          <w:lang w:val="es-ES"/>
        </w:rPr>
        <w:t xml:space="preserve">Seguridad en la cadena de suministros / Operador Económico Autorizado </w:t>
      </w:r>
    </w:p>
    <w:p w14:paraId="2A75B86F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0131433C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u w:val="single"/>
          <w:lang w:val="es-ES"/>
        </w:rPr>
        <w:t>Propósito</w:t>
      </w:r>
      <w:r w:rsidRPr="00381300">
        <w:rPr>
          <w:sz w:val="22"/>
          <w:szCs w:val="22"/>
          <w:lang w:val="es-ES"/>
        </w:rPr>
        <w:t xml:space="preserve">: </w:t>
      </w:r>
    </w:p>
    <w:p w14:paraId="59ECFE28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247095E2" w14:textId="5EC06B81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lang w:val="es-ES"/>
        </w:rPr>
        <w:t xml:space="preserve">Apoyar el fortalecimiento de la seguridad en la cadena de suministros por medio de operadores económicos autorizados que generan </w:t>
      </w:r>
      <w:r w:rsidR="00225347" w:rsidRPr="00381300">
        <w:rPr>
          <w:sz w:val="22"/>
          <w:szCs w:val="22"/>
          <w:lang w:val="es-ES"/>
        </w:rPr>
        <w:t xml:space="preserve">mayor seguridad </w:t>
      </w:r>
      <w:r w:rsidRPr="00381300">
        <w:rPr>
          <w:sz w:val="22"/>
          <w:szCs w:val="22"/>
          <w:lang w:val="es-ES"/>
        </w:rPr>
        <w:t>para los oficiales aduaneros y facilitan el comercio para las empresas, conforme a los lineamientos contemplados en el marco SAFE de la Organización Mundial de Aduanas.</w:t>
      </w:r>
    </w:p>
    <w:p w14:paraId="336C941A" w14:textId="77777777" w:rsidR="002C4EDA" w:rsidRPr="00381300" w:rsidRDefault="002C4EDA" w:rsidP="00FE713F">
      <w:pPr>
        <w:jc w:val="both"/>
        <w:rPr>
          <w:sz w:val="22"/>
          <w:szCs w:val="22"/>
          <w:u w:val="single"/>
          <w:lang w:val="es-ES"/>
        </w:rPr>
      </w:pPr>
    </w:p>
    <w:p w14:paraId="4E69165A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3BBECC8" w14:textId="77777777" w:rsidR="002C4EDA" w:rsidRPr="00381300" w:rsidRDefault="002C4EDA" w:rsidP="002C4EDA">
      <w:pPr>
        <w:jc w:val="both"/>
        <w:rPr>
          <w:sz w:val="22"/>
          <w:szCs w:val="22"/>
          <w:lang w:val="es-ES"/>
        </w:rPr>
      </w:pPr>
    </w:p>
    <w:p w14:paraId="4B77802F" w14:textId="62111F41" w:rsidR="002C4EDA" w:rsidRPr="00381300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>Desarroll</w:t>
      </w:r>
      <w:r w:rsidR="003E7607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o de </w:t>
      </w:r>
      <w:r w:rsidR="00C32998" w:rsidRPr="00381300">
        <w:rPr>
          <w:rFonts w:ascii="Times New Roman" w:eastAsia="Times New Roman" w:hAnsi="Times New Roman"/>
          <w:sz w:val="22"/>
          <w:szCs w:val="22"/>
          <w:lang w:val="es-ES"/>
        </w:rPr>
        <w:t>e</w:t>
      </w:r>
      <w:r w:rsidR="002C4EDA" w:rsidRPr="00381300">
        <w:rPr>
          <w:rFonts w:ascii="Times New Roman" w:eastAsia="Times New Roman" w:hAnsi="Times New Roman"/>
          <w:sz w:val="22"/>
          <w:szCs w:val="22"/>
          <w:lang w:val="es-ES"/>
        </w:rPr>
        <w:t>valuaciones nacionales y planes de trabajo</w:t>
      </w:r>
      <w:r w:rsidR="00E449A4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 </w:t>
      </w:r>
      <w:r w:rsidR="00D47086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para agencias aduaneras con el fin de fortalecer </w:t>
      </w:r>
      <w:r w:rsidR="002C4EDA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la cooperación y coordinación </w:t>
      </w:r>
      <w:proofErr w:type="spellStart"/>
      <w:r w:rsidR="002C4EDA" w:rsidRPr="00381300">
        <w:rPr>
          <w:rFonts w:ascii="Times New Roman" w:eastAsia="Times New Roman" w:hAnsi="Times New Roman"/>
          <w:sz w:val="22"/>
          <w:szCs w:val="22"/>
          <w:lang w:val="es-ES"/>
        </w:rPr>
        <w:t>inter-institucional</w:t>
      </w:r>
      <w:proofErr w:type="spellEnd"/>
      <w:r w:rsidR="002C4EDA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 con otras agencias gubernamentales de control fronterizo.</w:t>
      </w:r>
    </w:p>
    <w:p w14:paraId="774412CB" w14:textId="02EB79B0" w:rsidR="26C56B4E" w:rsidRPr="00381300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381300">
        <w:rPr>
          <w:rFonts w:ascii="Times New Roman" w:eastAsia="Times New Roman" w:hAnsi="Times New Roman"/>
          <w:sz w:val="22"/>
          <w:szCs w:val="22"/>
          <w:lang w:val="es-US"/>
        </w:rPr>
        <w:lastRenderedPageBreak/>
        <w:t xml:space="preserve">Organización de </w:t>
      </w:r>
      <w:r w:rsidR="00E4537B" w:rsidRPr="00381300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ctividades relacionadas con la identificación de vacíos </w:t>
      </w:r>
      <w:r w:rsidR="003C7A87" w:rsidRPr="00381300">
        <w:rPr>
          <w:rFonts w:ascii="Times New Roman" w:eastAsia="Times New Roman" w:hAnsi="Times New Roman"/>
          <w:sz w:val="22"/>
          <w:szCs w:val="22"/>
          <w:lang w:val="es-US"/>
        </w:rPr>
        <w:t>jurídicos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 u obstáculos interinstitucionales, con especial atención a los operadores comerciales en las Zonas de Libre Comercio (Zonas Francas).</w:t>
      </w:r>
    </w:p>
    <w:p w14:paraId="52583E75" w14:textId="0EAA844C" w:rsidR="26C56B4E" w:rsidRPr="00381300" w:rsidRDefault="00642C1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Sensibilización de </w:t>
      </w:r>
      <w:r w:rsidR="006D36FE" w:rsidRPr="00381300">
        <w:rPr>
          <w:rFonts w:ascii="Times New Roman" w:eastAsia="Times New Roman" w:hAnsi="Times New Roman"/>
          <w:sz w:val="22"/>
          <w:szCs w:val="22"/>
          <w:lang w:val="es-US"/>
        </w:rPr>
        <w:t>oficiales adu</w:t>
      </w:r>
      <w:r w:rsidR="00ED2496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aneros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>y otras agencias gubernamentales</w:t>
      </w:r>
      <w:r w:rsidR="00C90101" w:rsidRPr="00381300">
        <w:rPr>
          <w:rFonts w:ascii="Times New Roman" w:eastAsia="Times New Roman" w:hAnsi="Times New Roman"/>
          <w:sz w:val="22"/>
          <w:szCs w:val="22"/>
          <w:lang w:val="es-US"/>
        </w:rPr>
        <w:t>, así como de los o</w:t>
      </w:r>
      <w:proofErr w:type="spellStart"/>
      <w:r w:rsidR="00C90101" w:rsidRPr="00381300">
        <w:rPr>
          <w:rFonts w:ascii="Times New Roman" w:eastAsia="Times New Roman" w:hAnsi="Times New Roman"/>
          <w:sz w:val="22"/>
          <w:szCs w:val="22"/>
          <w:lang w:val="es-AR"/>
        </w:rPr>
        <w:t>peradores</w:t>
      </w:r>
      <w:proofErr w:type="spellEnd"/>
      <w:r w:rsidR="00C90101" w:rsidRPr="00381300">
        <w:rPr>
          <w:rFonts w:ascii="Times New Roman" w:eastAsia="Times New Roman" w:hAnsi="Times New Roman"/>
          <w:sz w:val="22"/>
          <w:szCs w:val="22"/>
          <w:lang w:val="es-AR"/>
        </w:rPr>
        <w:t xml:space="preserve"> comerciales</w:t>
      </w:r>
      <w:r w:rsidR="00D2663C" w:rsidRPr="00381300">
        <w:rPr>
          <w:rFonts w:ascii="Times New Roman" w:eastAsia="Times New Roman" w:hAnsi="Times New Roman"/>
          <w:sz w:val="22"/>
          <w:szCs w:val="22"/>
          <w:lang w:val="es-AR"/>
        </w:rPr>
        <w:t xml:space="preserve">, </w:t>
      </w:r>
      <w:r w:rsidR="006D36F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sobre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>las amenazas</w:t>
      </w:r>
      <w:r w:rsidR="00485D9C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 de armas de destrucción masiva y el terrorismo químico, biológica, radiológico y nuclear</w:t>
      </w:r>
      <w:r w:rsidR="00ED2496" w:rsidRPr="00381300">
        <w:rPr>
          <w:rFonts w:ascii="Times New Roman" w:eastAsia="Times New Roman" w:hAnsi="Times New Roman"/>
          <w:sz w:val="22"/>
          <w:szCs w:val="22"/>
          <w:lang w:val="es-US"/>
        </w:rPr>
        <w:t>;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 </w:t>
      </w:r>
      <w:r w:rsidR="003250D8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fortalecer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la comunicación </w:t>
      </w:r>
      <w:r w:rsidR="003250D8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entre ellos; </w:t>
      </w:r>
      <w:r w:rsidR="00907C25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y concientizarles sobre los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beneficios especializados para operadores de comercio certificados bajo las reglas del </w:t>
      </w:r>
      <w:r w:rsidR="00BD2177" w:rsidRPr="00381300">
        <w:rPr>
          <w:rFonts w:ascii="Times New Roman" w:eastAsia="Times New Roman" w:hAnsi="Times New Roman"/>
          <w:sz w:val="22"/>
          <w:szCs w:val="22"/>
          <w:lang w:val="es-US"/>
        </w:rPr>
        <w:t>P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rograma de </w:t>
      </w:r>
      <w:r w:rsidR="00BD2177" w:rsidRPr="00381300">
        <w:rPr>
          <w:rFonts w:ascii="Times New Roman" w:eastAsia="Times New Roman" w:hAnsi="Times New Roman"/>
          <w:sz w:val="22"/>
          <w:szCs w:val="22"/>
          <w:lang w:val="es-US"/>
        </w:rPr>
        <w:t>O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peradores </w:t>
      </w:r>
      <w:r w:rsidR="00BD2177" w:rsidRPr="00381300">
        <w:rPr>
          <w:rFonts w:ascii="Times New Roman" w:eastAsia="Times New Roman" w:hAnsi="Times New Roman"/>
          <w:sz w:val="22"/>
          <w:szCs w:val="22"/>
          <w:lang w:val="es-US"/>
        </w:rPr>
        <w:t>E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conómicos </w:t>
      </w:r>
      <w:r w:rsidR="00BD2177" w:rsidRPr="00381300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>utorizados</w:t>
      </w:r>
      <w:r w:rsidR="00AD5267" w:rsidRPr="00381300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4E14495" w14:textId="7023D7A8" w:rsidR="26C56B4E" w:rsidRPr="00381300" w:rsidRDefault="00D709A0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Promover el intercambio de </w:t>
      </w:r>
      <w:r w:rsidR="00907C25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buenas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prácticas en seguridad de la cadena de suministro y así contribuir a asegurar y optimizar la cadena de suministro regional y global.  </w:t>
      </w:r>
    </w:p>
    <w:p w14:paraId="637210D0" w14:textId="4A258424" w:rsidR="26C56B4E" w:rsidRPr="00381300" w:rsidRDefault="00642C1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381300">
        <w:rPr>
          <w:rFonts w:ascii="Times New Roman" w:eastAsia="Times New Roman" w:hAnsi="Times New Roman"/>
          <w:sz w:val="22"/>
          <w:szCs w:val="22"/>
          <w:lang w:val="es-ES"/>
        </w:rPr>
        <w:t>Capacita</w:t>
      </w:r>
      <w:r w:rsidR="004529F8" w:rsidRPr="00381300">
        <w:rPr>
          <w:rFonts w:ascii="Times New Roman" w:eastAsia="Times New Roman" w:hAnsi="Times New Roman"/>
          <w:sz w:val="22"/>
          <w:szCs w:val="22"/>
          <w:lang w:val="es-ES"/>
        </w:rPr>
        <w:t>ciones para e</w:t>
      </w:r>
      <w:r w:rsidR="001533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l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sector privado </w:t>
      </w:r>
      <w:r w:rsidR="007360E7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sobre el programa </w:t>
      </w:r>
      <w:r w:rsidR="007360E7"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Operador Económico Autorizado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>para identificar desafíos, posibles soluciones, oportunidades y beneficios en coordinación con cámaras de comercio, agencias de facilitación del comercio y organizaciones internacionales subregionales o globales</w:t>
      </w:r>
      <w:r w:rsidR="00AD5267" w:rsidRPr="00381300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0A09840" w14:textId="505023BB" w:rsidR="26C56B4E" w:rsidRPr="00381300" w:rsidRDefault="004529F8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Realización de </w:t>
      </w:r>
      <w:r w:rsidR="00642C1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ejercicios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de validación </w:t>
      </w:r>
      <w:r w:rsidR="00C47E62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en torno a 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las prioridades de las administraciones aduaneras nacionales </w:t>
      </w:r>
      <w:r w:rsidR="001A75C6" w:rsidRPr="00381300">
        <w:rPr>
          <w:rFonts w:ascii="Times New Roman" w:eastAsia="Times New Roman" w:hAnsi="Times New Roman"/>
          <w:sz w:val="22"/>
          <w:szCs w:val="22"/>
          <w:lang w:val="es-US"/>
        </w:rPr>
        <w:t>con</w:t>
      </w:r>
      <w:r w:rsidR="26C56B4E" w:rsidRPr="00381300">
        <w:rPr>
          <w:rFonts w:ascii="Times New Roman" w:eastAsia="Times New Roman" w:hAnsi="Times New Roman"/>
          <w:sz w:val="22"/>
          <w:szCs w:val="22"/>
          <w:lang w:val="es-US"/>
        </w:rPr>
        <w:t xml:space="preserve"> relación a los operadores económico y/o comerciales que desarrollen sus operaciones en zonas francas.</w:t>
      </w:r>
    </w:p>
    <w:p w14:paraId="1184B984" w14:textId="77777777" w:rsidR="005B741B" w:rsidRPr="00381300" w:rsidRDefault="005B741B" w:rsidP="26C56B4E">
      <w:pPr>
        <w:jc w:val="both"/>
        <w:rPr>
          <w:sz w:val="22"/>
          <w:szCs w:val="22"/>
          <w:lang w:val="es-US"/>
        </w:rPr>
      </w:pPr>
    </w:p>
    <w:p w14:paraId="2FD7E0C8" w14:textId="2C301DB0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  <w:lang w:val="es-US"/>
        </w:rPr>
      </w:pPr>
      <w:r w:rsidRPr="00381300">
        <w:rPr>
          <w:b/>
          <w:bCs/>
          <w:i/>
          <w:iCs/>
          <w:sz w:val="22"/>
          <w:szCs w:val="22"/>
          <w:lang w:val="es-US"/>
        </w:rPr>
        <w:t>E.</w:t>
      </w:r>
      <w:r w:rsidR="00EB226B" w:rsidRPr="00381300">
        <w:rPr>
          <w:b/>
          <w:bCs/>
          <w:i/>
          <w:iCs/>
          <w:sz w:val="22"/>
          <w:szCs w:val="22"/>
          <w:lang w:val="es-US"/>
        </w:rPr>
        <w:tab/>
      </w:r>
      <w:r w:rsidRPr="00381300">
        <w:rPr>
          <w:b/>
          <w:bCs/>
          <w:i/>
          <w:iCs/>
          <w:sz w:val="22"/>
          <w:szCs w:val="22"/>
          <w:lang w:val="es-US"/>
        </w:rPr>
        <w:t>Seguridad de espacios concurridos, incluyendo destinos turísticos y grandes eventos</w:t>
      </w:r>
    </w:p>
    <w:p w14:paraId="07D71760" w14:textId="543562D8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61A8729F" w14:textId="77777777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US"/>
        </w:rPr>
      </w:pPr>
      <w:r w:rsidRPr="00381300">
        <w:rPr>
          <w:sz w:val="22"/>
          <w:szCs w:val="22"/>
          <w:u w:val="single"/>
          <w:lang w:val="es-ES"/>
        </w:rPr>
        <w:t>Propósito:</w:t>
      </w:r>
      <w:r w:rsidRPr="00381300">
        <w:rPr>
          <w:rStyle w:val="apple-converted-space"/>
          <w:sz w:val="22"/>
          <w:szCs w:val="22"/>
          <w:lang w:val="es-ES"/>
        </w:rPr>
        <w:t> </w:t>
      </w:r>
    </w:p>
    <w:p w14:paraId="1642392C" w14:textId="77777777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ES"/>
        </w:rPr>
      </w:pPr>
    </w:p>
    <w:p w14:paraId="059806AF" w14:textId="77777777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  <w:r w:rsidRPr="00381300">
        <w:rPr>
          <w:rStyle w:val="apple-converted-space"/>
          <w:sz w:val="22"/>
          <w:szCs w:val="22"/>
          <w:lang w:val="es-ES"/>
        </w:rPr>
        <w:t>C</w:t>
      </w:r>
      <w:r w:rsidRPr="00381300">
        <w:rPr>
          <w:sz w:val="22"/>
          <w:szCs w:val="22"/>
          <w:lang w:val="es-ES"/>
        </w:rPr>
        <w:t xml:space="preserve">ontribuir al fortalecimiento de las capacidades existentes, la coordinación interinstitucional y la cooperación hemisférica para la protección de objetivos vulnerables y espacios concurridos, incluyendo destinos turísticos y grandes eventos, ante posibles amenazas terroristas.  </w:t>
      </w:r>
    </w:p>
    <w:p w14:paraId="344515CE" w14:textId="77777777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</w:p>
    <w:p w14:paraId="59625C72" w14:textId="77777777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u w:val="single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D816EBC" w14:textId="77777777" w:rsidR="00FE713F" w:rsidRPr="00381300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</w:p>
    <w:p w14:paraId="2D5DFF21" w14:textId="77777777" w:rsidR="00D6439F" w:rsidRPr="00381300" w:rsidRDefault="00FE713F" w:rsidP="704206BA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Apoyo en el desarrollo de estrategias nacionales de seguridad turística</w:t>
      </w:r>
      <w:r w:rsidR="00D6439F" w:rsidRPr="00381300">
        <w:rPr>
          <w:rFonts w:ascii="Times New Roman" w:hAnsi="Times New Roman"/>
          <w:sz w:val="22"/>
          <w:szCs w:val="22"/>
          <w:lang w:val="es-ES"/>
        </w:rPr>
        <w:t>.</w:t>
      </w:r>
    </w:p>
    <w:p w14:paraId="41359D63" w14:textId="7E21C00B" w:rsidR="668FE34D" w:rsidRPr="00381300" w:rsidRDefault="668FE34D" w:rsidP="704206BA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-US"/>
        </w:rPr>
      </w:pPr>
      <w:r w:rsidRPr="00381300">
        <w:rPr>
          <w:rFonts w:ascii="Times New Roman" w:hAnsi="Times New Roman"/>
          <w:sz w:val="22"/>
          <w:szCs w:val="22"/>
          <w:lang w:val="es-US"/>
        </w:rPr>
        <w:t>Apoyo a los países miembros en la planeación de la seguridad de grandes eventos en la región.</w:t>
      </w:r>
    </w:p>
    <w:p w14:paraId="3E4F05C6" w14:textId="77777777" w:rsidR="00D6439F" w:rsidRPr="00381300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381300">
        <w:rPr>
          <w:rFonts w:ascii="Times New Roman" w:hAnsi="Times New Roman"/>
          <w:sz w:val="22"/>
          <w:szCs w:val="22"/>
          <w:lang w:val="es"/>
        </w:rPr>
        <w:t xml:space="preserve">Documentación de las prácticas y lecciones aprendidas durante la planeación de la seguridad de un gran evento. </w:t>
      </w:r>
    </w:p>
    <w:p w14:paraId="275F0247" w14:textId="07921AB1" w:rsidR="00D6439F" w:rsidRPr="00381300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381300">
        <w:rPr>
          <w:rFonts w:ascii="Times New Roman" w:hAnsi="Times New Roman"/>
          <w:sz w:val="22"/>
          <w:szCs w:val="22"/>
          <w:lang w:val="es"/>
        </w:rPr>
        <w:t xml:space="preserve">Mantenimiento de las redes de puntos focales nacionales del programa de seguridad de grandes eventos y de seguridad </w:t>
      </w:r>
      <w:r w:rsidR="00D6439F" w:rsidRPr="00381300">
        <w:rPr>
          <w:rFonts w:ascii="Times New Roman" w:hAnsi="Times New Roman"/>
          <w:sz w:val="22"/>
          <w:szCs w:val="22"/>
          <w:lang w:val="es"/>
        </w:rPr>
        <w:t>t</w:t>
      </w:r>
      <w:r w:rsidRPr="00381300">
        <w:rPr>
          <w:rFonts w:ascii="Times New Roman" w:hAnsi="Times New Roman"/>
          <w:sz w:val="22"/>
          <w:szCs w:val="22"/>
          <w:lang w:val="es"/>
        </w:rPr>
        <w:t>urística.   </w:t>
      </w:r>
      <w:r w:rsidRPr="00381300">
        <w:rPr>
          <w:rFonts w:ascii="Times New Roman" w:hAnsi="Times New Roman"/>
          <w:sz w:val="22"/>
          <w:szCs w:val="22"/>
          <w:lang w:val="es-US"/>
        </w:rPr>
        <w:t xml:space="preserve"> </w:t>
      </w:r>
    </w:p>
    <w:p w14:paraId="77D607DF" w14:textId="77777777" w:rsidR="00D6439F" w:rsidRPr="00381300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381300">
        <w:rPr>
          <w:rFonts w:ascii="Times New Roman" w:hAnsi="Times New Roman"/>
          <w:sz w:val="22"/>
          <w:szCs w:val="22"/>
          <w:lang w:val="es"/>
        </w:rPr>
        <w:t>Actualización de la versión electrónica</w:t>
      </w:r>
      <w:r w:rsidRPr="00381300">
        <w:rPr>
          <w:rFonts w:ascii="Times New Roman" w:hAnsi="Times New Roman"/>
          <w:sz w:val="22"/>
          <w:szCs w:val="22"/>
          <w:lang w:val="es-US"/>
        </w:rPr>
        <w:t xml:space="preserve"> </w:t>
      </w:r>
      <w:r w:rsidRPr="00381300">
        <w:rPr>
          <w:rFonts w:ascii="Times New Roman" w:hAnsi="Times New Roman"/>
          <w:sz w:val="22"/>
          <w:szCs w:val="22"/>
          <w:lang w:val="es"/>
        </w:rPr>
        <w:t xml:space="preserve">del modelo de planeación de seguridad de grandes eventos </w:t>
      </w:r>
    </w:p>
    <w:p w14:paraId="39861E2F" w14:textId="77777777" w:rsidR="00D6439F" w:rsidRPr="00381300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sz w:val="22"/>
          <w:szCs w:val="22"/>
          <w:lang w:val="es"/>
        </w:rPr>
      </w:pPr>
      <w:r w:rsidRPr="00381300">
        <w:rPr>
          <w:rFonts w:ascii="Times New Roman" w:hAnsi="Times New Roman"/>
          <w:sz w:val="22"/>
          <w:szCs w:val="22"/>
          <w:lang w:val="es"/>
        </w:rPr>
        <w:t>Compilación de recomendaciones y hallazgos claves en perspectiva de género para la seguridad turística y de grandes eventos</w:t>
      </w:r>
    </w:p>
    <w:p w14:paraId="071ECFD9" w14:textId="2CCB2CF4" w:rsidR="668FE34D" w:rsidRPr="00381300" w:rsidRDefault="668FE34D" w:rsidP="00D6439F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/>
          <w:color w:val="1F497D"/>
          <w:sz w:val="22"/>
          <w:szCs w:val="22"/>
          <w:lang w:val="es"/>
        </w:rPr>
      </w:pPr>
      <w:r w:rsidRPr="00381300">
        <w:rPr>
          <w:rFonts w:ascii="Times New Roman" w:hAnsi="Times New Roman"/>
          <w:sz w:val="22"/>
          <w:szCs w:val="22"/>
          <w:lang w:val="es"/>
        </w:rPr>
        <w:t>Actualización del Manual de Alianzas Publico Privadas</w:t>
      </w:r>
      <w:r w:rsidR="00D6439F" w:rsidRPr="00381300">
        <w:rPr>
          <w:rFonts w:ascii="Times New Roman" w:hAnsi="Times New Roman"/>
          <w:sz w:val="22"/>
          <w:szCs w:val="22"/>
          <w:lang w:val="es"/>
        </w:rPr>
        <w:t xml:space="preserve"> para la Planificación de Seguridad de Grandes Eventos.</w:t>
      </w:r>
      <w:r w:rsidR="00D6439F" w:rsidRPr="00381300">
        <w:rPr>
          <w:rFonts w:ascii="Times New Roman" w:hAnsi="Times New Roman"/>
          <w:color w:val="1F497D"/>
          <w:sz w:val="22"/>
          <w:szCs w:val="22"/>
          <w:lang w:val="es"/>
        </w:rPr>
        <w:t xml:space="preserve"> </w:t>
      </w:r>
    </w:p>
    <w:p w14:paraId="41785D4F" w14:textId="77777777" w:rsidR="00FE713F" w:rsidRPr="00381300" w:rsidRDefault="00FE713F" w:rsidP="00FE713F">
      <w:pPr>
        <w:jc w:val="both"/>
        <w:rPr>
          <w:b/>
          <w:bCs/>
          <w:i/>
          <w:iCs/>
          <w:sz w:val="22"/>
          <w:szCs w:val="22"/>
          <w:lang w:val="es-NI"/>
        </w:rPr>
      </w:pPr>
    </w:p>
    <w:p w14:paraId="41A08680" w14:textId="3D2E16DE" w:rsidR="00FE713F" w:rsidRPr="00381300" w:rsidRDefault="00FE713F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  <w:r w:rsidRPr="00381300">
        <w:rPr>
          <w:b/>
          <w:bCs/>
          <w:i/>
          <w:iCs/>
          <w:sz w:val="22"/>
          <w:szCs w:val="22"/>
          <w:lang w:val="es-ES"/>
        </w:rPr>
        <w:t>F.</w:t>
      </w:r>
      <w:r w:rsidR="00EB226B" w:rsidRPr="00381300">
        <w:rPr>
          <w:b/>
          <w:bCs/>
          <w:i/>
          <w:iCs/>
          <w:sz w:val="22"/>
          <w:szCs w:val="22"/>
          <w:lang w:val="es-ES"/>
        </w:rPr>
        <w:tab/>
      </w:r>
      <w:r w:rsidRPr="00381300">
        <w:rPr>
          <w:b/>
          <w:bCs/>
          <w:i/>
          <w:iCs/>
          <w:sz w:val="22"/>
          <w:szCs w:val="22"/>
          <w:lang w:val="es-ES"/>
        </w:rPr>
        <w:t>Asistencia técnica y legislativa contra el financiamiento del terrorismo</w:t>
      </w:r>
    </w:p>
    <w:p w14:paraId="4654BE6E" w14:textId="77777777" w:rsidR="00FE713F" w:rsidRPr="00381300" w:rsidRDefault="00FE713F" w:rsidP="00FE713F">
      <w:pPr>
        <w:jc w:val="both"/>
        <w:rPr>
          <w:bCs/>
          <w:i/>
          <w:iCs/>
          <w:sz w:val="22"/>
          <w:szCs w:val="22"/>
          <w:lang w:val="es-ES"/>
        </w:rPr>
      </w:pPr>
    </w:p>
    <w:p w14:paraId="3C1A6B50" w14:textId="77777777" w:rsidR="00FE713F" w:rsidRPr="00381300" w:rsidRDefault="00FE713F" w:rsidP="00FE713F">
      <w:pPr>
        <w:jc w:val="both"/>
        <w:rPr>
          <w:bCs/>
          <w:sz w:val="22"/>
          <w:szCs w:val="22"/>
          <w:lang w:val="es-ES"/>
        </w:rPr>
      </w:pPr>
      <w:r w:rsidRPr="00381300">
        <w:rPr>
          <w:bCs/>
          <w:sz w:val="22"/>
          <w:szCs w:val="22"/>
          <w:u w:val="single"/>
          <w:lang w:val="es-ES"/>
        </w:rPr>
        <w:t>Propósito</w:t>
      </w:r>
      <w:r w:rsidRPr="00381300">
        <w:rPr>
          <w:bCs/>
          <w:sz w:val="22"/>
          <w:szCs w:val="22"/>
          <w:lang w:val="es-ES"/>
        </w:rPr>
        <w:t xml:space="preserve">: </w:t>
      </w:r>
    </w:p>
    <w:p w14:paraId="5C939E5F" w14:textId="77777777" w:rsidR="00FE713F" w:rsidRPr="00381300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262F9933" w14:textId="77777777" w:rsidR="00FE713F" w:rsidRPr="00381300" w:rsidRDefault="00FE713F" w:rsidP="00FE713F">
      <w:pPr>
        <w:jc w:val="both"/>
        <w:rPr>
          <w:bCs/>
          <w:sz w:val="22"/>
          <w:szCs w:val="22"/>
          <w:lang w:val="es-ES"/>
        </w:rPr>
      </w:pPr>
      <w:r w:rsidRPr="00381300">
        <w:rPr>
          <w:bCs/>
          <w:sz w:val="22"/>
          <w:szCs w:val="22"/>
          <w:lang w:val="es-ES"/>
        </w:rPr>
        <w:t xml:space="preserve">Apoyar a los Estados Miembros que así lo que requieran en la lucha contra el terrorismo y su financiamiento por medio de la implementación de un marco legislativo acorde a sus obligaciones </w:t>
      </w:r>
      <w:r w:rsidRPr="00381300">
        <w:rPr>
          <w:bCs/>
          <w:sz w:val="22"/>
          <w:szCs w:val="22"/>
          <w:lang w:val="es-ES"/>
        </w:rPr>
        <w:lastRenderedPageBreak/>
        <w:t xml:space="preserve">jurídicas, estándares internacionales y sistemas eficaces de prevención y detección en materia de lavados de activos y financiamiento del terrorismo. </w:t>
      </w:r>
    </w:p>
    <w:p w14:paraId="7A84EC36" w14:textId="5FBCEC23" w:rsidR="008E7FCB" w:rsidRPr="00381300" w:rsidRDefault="008E7FCB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F6E172" w14:textId="54A5DFBB" w:rsidR="00FE713F" w:rsidRPr="00381300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5A33976C" w14:textId="77777777" w:rsidR="00FE713F" w:rsidRPr="00381300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0844EF3E" w14:textId="77777777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Provisión de asistencia técnica y legislativa a los Estados Miembros que lo requieran para la actualización de su marco legal interno en materia de lavado de activos/financiamiento contra el terrorismo de acuerdo con los instrumentos internacionales en la materia y las recomendaciones del Grupo de Acción Financiera International (GAFI). </w:t>
      </w:r>
    </w:p>
    <w:p w14:paraId="579ACB4E" w14:textId="3E2AD7F6" w:rsidR="00FE713F" w:rsidRPr="00381300" w:rsidRDefault="000D2469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Apoyo en el d</w:t>
      </w:r>
      <w:r w:rsidR="00FE713F" w:rsidRPr="00381300">
        <w:rPr>
          <w:rFonts w:ascii="Times New Roman" w:hAnsi="Times New Roman"/>
          <w:sz w:val="22"/>
          <w:szCs w:val="22"/>
          <w:lang w:val="es-ES"/>
        </w:rPr>
        <w:t xml:space="preserve">esarrollo de sistemas eficaces para la implementación de sanciones financieras dirigidas y sistemas para elaboración de listados domésticos, de acuerdo con los instrumentos jurídicos internacionales. </w:t>
      </w:r>
    </w:p>
    <w:p w14:paraId="68764880" w14:textId="2CE66653" w:rsidR="00FE713F" w:rsidRPr="00381300" w:rsidRDefault="002217CE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D</w:t>
      </w:r>
      <w:r w:rsidR="00FE713F" w:rsidRPr="00381300">
        <w:rPr>
          <w:rFonts w:ascii="Times New Roman" w:hAnsi="Times New Roman"/>
          <w:sz w:val="22"/>
          <w:szCs w:val="22"/>
          <w:lang w:val="es-ES"/>
        </w:rPr>
        <w:t xml:space="preserve">esarrollo de capacidades de funcionarios e instituciones nacionales en técnicas especiales de investigación, enjuiciamiento y otras herramientas conforme a los estándares internacionales en la materia. </w:t>
      </w:r>
    </w:p>
    <w:p w14:paraId="1CC83630" w14:textId="68A300BF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Capacitación especializada de analistas de unidades de inteligencia financiera, funcionarios de instituciones financieras reguladoras/supervisoras y representantes del sector privado para promover la cooperación entre los diferentes actores involucrados en la investigación y persecución de casos de lavado de </w:t>
      </w:r>
      <w:r w:rsidR="00FC5507" w:rsidRPr="00381300">
        <w:rPr>
          <w:rFonts w:ascii="Times New Roman" w:hAnsi="Times New Roman"/>
          <w:sz w:val="22"/>
          <w:szCs w:val="22"/>
          <w:lang w:val="es-ES"/>
        </w:rPr>
        <w:t>activos, financiamiento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 del terrorismo </w:t>
      </w:r>
      <w:r w:rsidR="056DCC88" w:rsidRPr="00381300">
        <w:rPr>
          <w:rFonts w:ascii="Times New Roman" w:hAnsi="Times New Roman"/>
          <w:sz w:val="22"/>
          <w:szCs w:val="22"/>
          <w:lang w:val="es-ES"/>
        </w:rPr>
        <w:t xml:space="preserve">y financiamiento de la proliferación de armas de destrucción 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a nivel nacional y regional. </w:t>
      </w:r>
    </w:p>
    <w:p w14:paraId="180FFFA8" w14:textId="77777777" w:rsidR="00FE713F" w:rsidRPr="00381300" w:rsidRDefault="00FE713F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Realización de talleres y foros virtuales dirigidos a funcionarios gubernamentales y miembros del sector privado sobre las amenazas emergentes en materia de financiamiento del terrorismo, así como los métodos de detección, prevención e investigación judicial, según corresponda. </w:t>
      </w:r>
    </w:p>
    <w:p w14:paraId="6AAB680D" w14:textId="55B46769" w:rsidR="60844CFE" w:rsidRPr="00381300" w:rsidRDefault="60844CFE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 xml:space="preserve">Publicación sobre los vínculos entre el </w:t>
      </w:r>
      <w:r w:rsidR="00531227" w:rsidRPr="00381300">
        <w:rPr>
          <w:rFonts w:ascii="Times New Roman" w:hAnsi="Times New Roman"/>
          <w:sz w:val="22"/>
          <w:szCs w:val="22"/>
          <w:lang w:val="es-ES"/>
        </w:rPr>
        <w:t>c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rimen </w:t>
      </w:r>
      <w:r w:rsidR="00531227" w:rsidRPr="00381300">
        <w:rPr>
          <w:rFonts w:ascii="Times New Roman" w:hAnsi="Times New Roman"/>
          <w:sz w:val="22"/>
          <w:szCs w:val="22"/>
          <w:lang w:val="es-ES"/>
        </w:rPr>
        <w:t>o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rganizado </w:t>
      </w:r>
      <w:r w:rsidR="00531227" w:rsidRPr="00381300">
        <w:rPr>
          <w:rFonts w:ascii="Times New Roman" w:hAnsi="Times New Roman"/>
          <w:sz w:val="22"/>
          <w:szCs w:val="22"/>
          <w:lang w:val="es-ES"/>
        </w:rPr>
        <w:t>t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ransnacional y el </w:t>
      </w:r>
      <w:r w:rsidR="00531227" w:rsidRPr="00381300">
        <w:rPr>
          <w:rFonts w:ascii="Times New Roman" w:hAnsi="Times New Roman"/>
          <w:sz w:val="22"/>
          <w:szCs w:val="22"/>
          <w:lang w:val="es-ES"/>
        </w:rPr>
        <w:t>t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errorismo, en colaboración con el Departamento contra el Crimen Organizado Transnacional y </w:t>
      </w:r>
      <w:r w:rsidRPr="00381300">
        <w:rPr>
          <w:rFonts w:ascii="Times New Roman" w:eastAsia="Times New Roman" w:hAnsi="Times New Roman"/>
          <w:sz w:val="22"/>
          <w:szCs w:val="22"/>
          <w:lang w:val="es-ES"/>
        </w:rPr>
        <w:t xml:space="preserve">el </w:t>
      </w:r>
      <w:r w:rsidRPr="00381300">
        <w:rPr>
          <w:rFonts w:ascii="Times New Roman" w:eastAsia="Times New Roman" w:hAnsi="Times New Roman"/>
          <w:color w:val="202122"/>
          <w:sz w:val="22"/>
          <w:szCs w:val="22"/>
          <w:lang w:val="es-ES"/>
        </w:rPr>
        <w:t>Instituto Interregional de las Naciones Unidas para Investigaciones sobre la Delincuencia y la Justicia (UNICRI).</w:t>
      </w:r>
    </w:p>
    <w:p w14:paraId="38CF951E" w14:textId="7F3F51A6" w:rsidR="00FE713F" w:rsidRPr="00381300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0E986583" w14:textId="4CEFB703" w:rsidR="00FE713F" w:rsidRPr="00381300" w:rsidRDefault="00FE713F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  <w:r w:rsidRPr="00381300">
        <w:rPr>
          <w:b/>
          <w:bCs/>
          <w:i/>
          <w:sz w:val="22"/>
          <w:szCs w:val="22"/>
          <w:lang w:val="es-ES"/>
        </w:rPr>
        <w:t>G.</w:t>
      </w:r>
      <w:r w:rsidR="00EB226B" w:rsidRPr="00381300">
        <w:rPr>
          <w:b/>
          <w:bCs/>
          <w:i/>
          <w:sz w:val="22"/>
          <w:szCs w:val="22"/>
          <w:lang w:val="es-ES"/>
        </w:rPr>
        <w:tab/>
      </w:r>
      <w:r w:rsidRPr="00381300">
        <w:rPr>
          <w:b/>
          <w:bCs/>
          <w:i/>
          <w:sz w:val="22"/>
          <w:szCs w:val="22"/>
          <w:lang w:val="es-ES"/>
        </w:rPr>
        <w:t>Red Interamericana contra el Terrorismo</w:t>
      </w:r>
    </w:p>
    <w:p w14:paraId="077AFC41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142BFCCB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u w:val="single"/>
          <w:lang w:val="es-ES"/>
        </w:rPr>
        <w:t>Propósito</w:t>
      </w:r>
      <w:r w:rsidRPr="00381300">
        <w:rPr>
          <w:sz w:val="22"/>
          <w:szCs w:val="22"/>
          <w:lang w:val="es-ES"/>
        </w:rPr>
        <w:t>:</w:t>
      </w:r>
    </w:p>
    <w:p w14:paraId="768DAD8B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3447975F" w14:textId="49D780F5" w:rsidR="00FE713F" w:rsidRPr="00381300" w:rsidRDefault="00FE713F" w:rsidP="00FE713F">
      <w:pPr>
        <w:jc w:val="both"/>
        <w:rPr>
          <w:sz w:val="22"/>
          <w:szCs w:val="22"/>
          <w:lang w:val="es-ES"/>
        </w:rPr>
      </w:pPr>
      <w:r w:rsidRPr="00381300">
        <w:rPr>
          <w:sz w:val="22"/>
          <w:szCs w:val="22"/>
          <w:lang w:val="es-ES"/>
        </w:rPr>
        <w:t xml:space="preserve">Facilitar el intercambio de información oportuna para prevenir y contrarrestar el terrorismo en la región, así como para fortalecer los vínculos de cooperación entre las personas e instituciones designadas. La Red está conformada con la participación (voluntaria) de los Estados Miembros y cuenta con un directorio de acceso seguro de contactos institucionales, designados por los Estados Miembros, que está disponible 24 horas/7 días a la semana. </w:t>
      </w:r>
    </w:p>
    <w:p w14:paraId="01418591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49ADBF14" w14:textId="77777777" w:rsidR="00FE713F" w:rsidRPr="00381300" w:rsidRDefault="00FE713F" w:rsidP="00FE713F">
      <w:pPr>
        <w:jc w:val="both"/>
        <w:rPr>
          <w:sz w:val="22"/>
          <w:szCs w:val="22"/>
          <w:u w:val="single"/>
          <w:lang w:val="es-ES"/>
        </w:rPr>
      </w:pPr>
      <w:r w:rsidRPr="00381300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9882CF9" w14:textId="77777777" w:rsidR="00FE713F" w:rsidRPr="00381300" w:rsidRDefault="00FE713F" w:rsidP="00FE713F">
      <w:pPr>
        <w:jc w:val="both"/>
        <w:rPr>
          <w:sz w:val="22"/>
          <w:szCs w:val="22"/>
          <w:lang w:val="es-ES"/>
        </w:rPr>
      </w:pPr>
    </w:p>
    <w:p w14:paraId="30EA8071" w14:textId="6A7D5829" w:rsidR="00FE713F" w:rsidRPr="00381300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Organización de reuniones trimestrales virtuales y, por lo menos una reunión presencial si las condiciones sanitarias lo permiten, para facilitar el intercambio de información y buenas prácticas entre los Estados Miembros</w:t>
      </w:r>
      <w:r w:rsidR="00297A0B" w:rsidRPr="00381300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B84B36" w:rsidRPr="00381300">
        <w:rPr>
          <w:rFonts w:ascii="Times New Roman" w:hAnsi="Times New Roman"/>
          <w:sz w:val="22"/>
          <w:szCs w:val="22"/>
          <w:lang w:val="es-ES"/>
        </w:rPr>
        <w:t xml:space="preserve">que </w:t>
      </w:r>
      <w:r w:rsidR="00B3174A" w:rsidRPr="00381300">
        <w:rPr>
          <w:rFonts w:ascii="Times New Roman" w:hAnsi="Times New Roman"/>
          <w:sz w:val="22"/>
          <w:szCs w:val="22"/>
          <w:lang w:val="es-ES"/>
        </w:rPr>
        <w:t xml:space="preserve">integran </w:t>
      </w:r>
      <w:r w:rsidR="00297A0B" w:rsidRPr="00381300">
        <w:rPr>
          <w:rFonts w:ascii="Times New Roman" w:hAnsi="Times New Roman"/>
          <w:sz w:val="22"/>
          <w:szCs w:val="22"/>
          <w:lang w:val="es-ES"/>
        </w:rPr>
        <w:t>la Red</w:t>
      </w:r>
      <w:r w:rsidRPr="00381300">
        <w:rPr>
          <w:rFonts w:ascii="Times New Roman" w:hAnsi="Times New Roman"/>
          <w:sz w:val="22"/>
          <w:szCs w:val="22"/>
          <w:lang w:val="es-ES"/>
        </w:rPr>
        <w:t xml:space="preserve">. </w:t>
      </w:r>
    </w:p>
    <w:p w14:paraId="2F4E3C3A" w14:textId="77777777" w:rsidR="00FE713F" w:rsidRPr="00381300" w:rsidRDefault="00FE713F" w:rsidP="293C4AE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381300">
        <w:rPr>
          <w:rFonts w:ascii="Times New Roman" w:hAnsi="Times New Roman"/>
          <w:sz w:val="22"/>
          <w:szCs w:val="22"/>
          <w:lang w:val="es-ES"/>
        </w:rPr>
        <w:t>Intercambio de experiencias con otros organismos multilaterales que cuentan con redes similares.</w:t>
      </w:r>
    </w:p>
    <w:p w14:paraId="4FBC345E" w14:textId="234CD245" w:rsidR="00FE713F" w:rsidRPr="00381300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27C4941A" w14:textId="77777777" w:rsidR="00941B44" w:rsidRPr="00381300" w:rsidRDefault="00941B44">
      <w:pPr>
        <w:rPr>
          <w:b/>
          <w:bCs/>
          <w:sz w:val="22"/>
          <w:szCs w:val="22"/>
          <w:lang w:val="es-EC"/>
        </w:rPr>
      </w:pPr>
      <w:r w:rsidRPr="00381300">
        <w:rPr>
          <w:b/>
          <w:bCs/>
          <w:sz w:val="22"/>
          <w:szCs w:val="22"/>
          <w:lang w:val="es-EC"/>
        </w:rPr>
        <w:br w:type="page"/>
      </w:r>
    </w:p>
    <w:p w14:paraId="0231D5CA" w14:textId="60188574" w:rsidR="00FE713F" w:rsidRPr="00381300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381300">
        <w:rPr>
          <w:b/>
          <w:bCs/>
          <w:sz w:val="22"/>
          <w:szCs w:val="22"/>
          <w:lang w:val="es-EC"/>
        </w:rPr>
        <w:lastRenderedPageBreak/>
        <w:t>III.</w:t>
      </w:r>
      <w:r w:rsidRPr="00381300">
        <w:rPr>
          <w:b/>
          <w:bCs/>
          <w:sz w:val="22"/>
          <w:szCs w:val="22"/>
          <w:lang w:val="es-EC"/>
        </w:rPr>
        <w:tab/>
      </w:r>
      <w:proofErr w:type="spellStart"/>
      <w:r w:rsidRPr="00381300">
        <w:rPr>
          <w:b/>
          <w:bCs/>
          <w:sz w:val="22"/>
          <w:szCs w:val="22"/>
          <w:lang w:val="es-EC"/>
        </w:rPr>
        <w:t>Outreach</w:t>
      </w:r>
      <w:proofErr w:type="spellEnd"/>
      <w:r w:rsidRPr="00381300">
        <w:rPr>
          <w:b/>
          <w:bCs/>
          <w:sz w:val="22"/>
          <w:szCs w:val="22"/>
          <w:lang w:val="es-EC"/>
        </w:rPr>
        <w:t xml:space="preserve">: comunicaciones, consultas, cooperación </w:t>
      </w:r>
    </w:p>
    <w:p w14:paraId="4CE35F7A" w14:textId="77777777" w:rsidR="00FE713F" w:rsidRPr="00381300" w:rsidRDefault="00FE713F" w:rsidP="00FE713F">
      <w:pPr>
        <w:jc w:val="both"/>
        <w:rPr>
          <w:sz w:val="22"/>
          <w:szCs w:val="22"/>
          <w:lang w:val="es-EC"/>
        </w:rPr>
      </w:pPr>
    </w:p>
    <w:p w14:paraId="49D2B4E5" w14:textId="63967EC5" w:rsidR="00FE713F" w:rsidRPr="00381300" w:rsidRDefault="00FE713F" w:rsidP="00FE713F">
      <w:pPr>
        <w:ind w:firstLine="720"/>
        <w:jc w:val="both"/>
        <w:rPr>
          <w:sz w:val="22"/>
          <w:szCs w:val="22"/>
          <w:lang w:val="es-EC"/>
        </w:rPr>
      </w:pPr>
      <w:r w:rsidRPr="00381300">
        <w:rPr>
          <w:sz w:val="22"/>
          <w:szCs w:val="22"/>
          <w:lang w:val="es-EC"/>
        </w:rPr>
        <w:t>La Secretaría del CICTE continuará con las consultas periódicas con autoridades pertinentes de los Estados Miembros para la programación y ejecución de sus actividades. También continuará trabajando de manera estrecha con los Observadores Permanentes ante la OEA.</w:t>
      </w:r>
    </w:p>
    <w:p w14:paraId="3372A369" w14:textId="77777777" w:rsidR="00FE713F" w:rsidRPr="00381300" w:rsidRDefault="00FE713F" w:rsidP="00FE713F">
      <w:pPr>
        <w:jc w:val="both"/>
        <w:rPr>
          <w:sz w:val="22"/>
          <w:szCs w:val="22"/>
          <w:lang w:val="es-EC"/>
        </w:rPr>
      </w:pPr>
    </w:p>
    <w:p w14:paraId="68D8EB9A" w14:textId="1019A8C2" w:rsidR="008950F4" w:rsidRPr="00381300" w:rsidRDefault="00FE713F" w:rsidP="008E7FCB">
      <w:pPr>
        <w:ind w:firstLine="720"/>
        <w:jc w:val="both"/>
        <w:rPr>
          <w:sz w:val="22"/>
          <w:szCs w:val="22"/>
          <w:lang w:val="es-EC"/>
        </w:rPr>
      </w:pPr>
      <w:r w:rsidRPr="00381300">
        <w:rPr>
          <w:sz w:val="22"/>
          <w:szCs w:val="22"/>
          <w:lang w:val="es-EC"/>
        </w:rPr>
        <w:t xml:space="preserve">La Secretaría del CICTE continuará fortaleciendo los mecanismos de cooperación existentes con el sistema de las Naciones Unidas y sus agencias especializadas, así como con otros organismos internacionales y regionales. Además, mantendrá sus vínculos de cooperación con organizaciones de la sociedad civil, sector privado y otros socios estratégicos. </w:t>
      </w:r>
      <w:r w:rsidR="00636753" w:rsidRPr="00381300">
        <w:rPr>
          <w:noProof/>
          <w:sz w:val="22"/>
          <w:szCs w:val="22"/>
          <w:lang w:val="es-EC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7BC231A" wp14:editId="036F73D8">
                <wp:simplePos x="0" y="0"/>
                <wp:positionH relativeFrom="margin">
                  <wp:align>left</wp:align>
                </wp:positionH>
                <wp:positionV relativeFrom="page">
                  <wp:posOffset>9235440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D8CF09" w14:textId="6CA2E5BC" w:rsidR="00636753" w:rsidRPr="00636753" w:rsidRDefault="0063675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36EB8">
                              <w:rPr>
                                <w:noProof/>
                                <w:sz w:val="18"/>
                              </w:rPr>
                              <w:t>CICTE01642S01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C2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7.2pt;width:266.4pt;height:18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" fillcolor="white [3212]" stroked="f">
                <v:stroke joinstyle="round"/>
                <v:textbox>
                  <w:txbxContent>
                    <w:p w14:paraId="5ED8CF09" w14:textId="6CA2E5BC" w:rsidR="00636753" w:rsidRPr="00636753" w:rsidRDefault="0063675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36EB8">
                        <w:rPr>
                          <w:noProof/>
                          <w:sz w:val="18"/>
                        </w:rPr>
                        <w:t>CICTE01642S01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8950F4" w:rsidRPr="00381300" w:rsidSect="001C729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8059" w14:textId="77777777" w:rsidR="008A1E14" w:rsidRDefault="008A1E14">
      <w:r>
        <w:separator/>
      </w:r>
    </w:p>
  </w:endnote>
  <w:endnote w:type="continuationSeparator" w:id="0">
    <w:p w14:paraId="56521360" w14:textId="77777777" w:rsidR="008A1E14" w:rsidRDefault="008A1E14">
      <w:r>
        <w:continuationSeparator/>
      </w:r>
    </w:p>
  </w:endnote>
  <w:endnote w:type="continuationNotice" w:id="1">
    <w:p w14:paraId="0EA5C487" w14:textId="77777777" w:rsidR="008A1E14" w:rsidRDefault="008A1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70D" w14:textId="2077043C" w:rsidR="00F7096C" w:rsidRDefault="00F7096C" w:rsidP="00F709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9D1F123" w14:textId="77777777" w:rsidR="00F7096C" w:rsidRDefault="00F7096C" w:rsidP="00F7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49C" w14:textId="77777777" w:rsidR="00F7096C" w:rsidRDefault="00F7096C" w:rsidP="00F70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083F" w14:textId="77777777" w:rsidR="008A1E14" w:rsidRDefault="008A1E14">
      <w:r>
        <w:separator/>
      </w:r>
    </w:p>
  </w:footnote>
  <w:footnote w:type="continuationSeparator" w:id="0">
    <w:p w14:paraId="1AE0BE38" w14:textId="77777777" w:rsidR="008A1E14" w:rsidRDefault="008A1E14">
      <w:r>
        <w:continuationSeparator/>
      </w:r>
    </w:p>
  </w:footnote>
  <w:footnote w:type="continuationNotice" w:id="1">
    <w:p w14:paraId="5E9E5491" w14:textId="77777777" w:rsidR="008A1E14" w:rsidRDefault="008A1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072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9BE55" w14:textId="52EB2449" w:rsidR="00325B50" w:rsidRDefault="00325B50">
        <w:pPr>
          <w:pStyle w:val="Header"/>
          <w:jc w:val="center"/>
        </w:pPr>
        <w:r w:rsidRPr="00325B50">
          <w:rPr>
            <w:sz w:val="20"/>
            <w:szCs w:val="20"/>
          </w:rPr>
          <w:fldChar w:fldCharType="begin"/>
        </w:r>
        <w:r w:rsidRPr="00325B50">
          <w:rPr>
            <w:sz w:val="20"/>
            <w:szCs w:val="20"/>
          </w:rPr>
          <w:instrText xml:space="preserve"> PAGE   \* MERGEFORMAT </w:instrText>
        </w:r>
        <w:r w:rsidRPr="00325B50">
          <w:rPr>
            <w:sz w:val="20"/>
            <w:szCs w:val="20"/>
          </w:rPr>
          <w:fldChar w:fldCharType="separate"/>
        </w:r>
        <w:r w:rsidRPr="00325B50">
          <w:rPr>
            <w:noProof/>
            <w:sz w:val="20"/>
            <w:szCs w:val="20"/>
          </w:rPr>
          <w:t>2</w:t>
        </w:r>
        <w:r w:rsidRPr="00325B50">
          <w:rPr>
            <w:noProof/>
            <w:sz w:val="20"/>
            <w:szCs w:val="20"/>
          </w:rPr>
          <w:fldChar w:fldCharType="end"/>
        </w:r>
      </w:p>
    </w:sdtContent>
  </w:sdt>
  <w:p w14:paraId="6AB99139" w14:textId="77777777" w:rsidR="00325B50" w:rsidRDefault="0032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3230" w14:textId="001E8D04" w:rsidR="008E05E8" w:rsidRDefault="00741882">
    <w:pPr>
      <w:pStyle w:val="Header"/>
      <w:rPr>
        <w:b/>
        <w:bCs/>
        <w:noProof/>
        <w:sz w:val="22"/>
        <w:szCs w:val="22"/>
        <w:lang w:val="es-MX" w:eastAsia="es-MX"/>
      </w:rPr>
    </w:pPr>
    <w:r w:rsidRPr="0048261F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349D473C" wp14:editId="6701334F">
          <wp:simplePos x="0" y="0"/>
          <wp:positionH relativeFrom="margin">
            <wp:posOffset>47625</wp:posOffset>
          </wp:positionH>
          <wp:positionV relativeFrom="paragraph">
            <wp:posOffset>150495</wp:posOffset>
          </wp:positionV>
          <wp:extent cx="2258695" cy="639445"/>
          <wp:effectExtent l="0" t="0" r="8255" b="8255"/>
          <wp:wrapNone/>
          <wp:docPr id="3" name="Picture 3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9530" w14:textId="0E0565C9" w:rsidR="008E05E8" w:rsidRDefault="008E05E8">
    <w:pPr>
      <w:pStyle w:val="Header"/>
      <w:rPr>
        <w:b/>
        <w:bCs/>
        <w:noProof/>
        <w:sz w:val="22"/>
        <w:szCs w:val="22"/>
        <w:lang w:val="es-MX" w:eastAsia="es-MX"/>
      </w:rPr>
    </w:pPr>
  </w:p>
  <w:p w14:paraId="6B642446" w14:textId="495A2FA6" w:rsidR="008E05E8" w:rsidRDefault="008E05E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Pvt9elQi11C8" int2:id="ECISgof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8B"/>
    <w:multiLevelType w:val="hybridMultilevel"/>
    <w:tmpl w:val="D9DE9AE0"/>
    <w:lvl w:ilvl="0" w:tplc="0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C92843"/>
    <w:multiLevelType w:val="hybridMultilevel"/>
    <w:tmpl w:val="86F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201"/>
    <w:multiLevelType w:val="hybridMultilevel"/>
    <w:tmpl w:val="A11669B8"/>
    <w:lvl w:ilvl="0" w:tplc="1840C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3A3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82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E9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8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6D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A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8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41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543C"/>
    <w:multiLevelType w:val="hybridMultilevel"/>
    <w:tmpl w:val="CCF43C12"/>
    <w:lvl w:ilvl="0" w:tplc="0CFEA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9A7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D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C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B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E1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4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C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595"/>
    <w:multiLevelType w:val="hybridMultilevel"/>
    <w:tmpl w:val="D9DEB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959CE"/>
    <w:multiLevelType w:val="multilevel"/>
    <w:tmpl w:val="1D5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992F8D"/>
    <w:multiLevelType w:val="hybridMultilevel"/>
    <w:tmpl w:val="04E62964"/>
    <w:lvl w:ilvl="0" w:tplc="BD12D91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03B51"/>
    <w:multiLevelType w:val="multilevel"/>
    <w:tmpl w:val="984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76F73"/>
    <w:multiLevelType w:val="multilevel"/>
    <w:tmpl w:val="1D5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7CC4255"/>
    <w:multiLevelType w:val="hybridMultilevel"/>
    <w:tmpl w:val="72B63882"/>
    <w:lvl w:ilvl="0" w:tplc="55F28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E6C"/>
    <w:multiLevelType w:val="hybridMultilevel"/>
    <w:tmpl w:val="A2DA1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7F0EF"/>
    <w:multiLevelType w:val="hybridMultilevel"/>
    <w:tmpl w:val="A2D2F342"/>
    <w:lvl w:ilvl="0" w:tplc="EF4CF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58D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4A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8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63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B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0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C7E20"/>
    <w:multiLevelType w:val="hybridMultilevel"/>
    <w:tmpl w:val="DE18C720"/>
    <w:lvl w:ilvl="0" w:tplc="A48AC7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921A3"/>
    <w:multiLevelType w:val="hybridMultilevel"/>
    <w:tmpl w:val="623E527A"/>
    <w:lvl w:ilvl="0" w:tplc="BF6657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75085">
    <w:abstractNumId w:val="3"/>
  </w:num>
  <w:num w:numId="2" w16cid:durableId="1448889249">
    <w:abstractNumId w:val="11"/>
  </w:num>
  <w:num w:numId="3" w16cid:durableId="1154376261">
    <w:abstractNumId w:val="2"/>
  </w:num>
  <w:num w:numId="4" w16cid:durableId="1977753902">
    <w:abstractNumId w:val="12"/>
  </w:num>
  <w:num w:numId="5" w16cid:durableId="1259947288">
    <w:abstractNumId w:val="4"/>
  </w:num>
  <w:num w:numId="6" w16cid:durableId="631984441">
    <w:abstractNumId w:val="10"/>
  </w:num>
  <w:num w:numId="7" w16cid:durableId="1831211847">
    <w:abstractNumId w:val="0"/>
  </w:num>
  <w:num w:numId="8" w16cid:durableId="1964114829">
    <w:abstractNumId w:val="6"/>
  </w:num>
  <w:num w:numId="9" w16cid:durableId="1332442673">
    <w:abstractNumId w:val="9"/>
  </w:num>
  <w:num w:numId="10" w16cid:durableId="61872722">
    <w:abstractNumId w:val="7"/>
  </w:num>
  <w:num w:numId="11" w16cid:durableId="795761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7852939">
    <w:abstractNumId w:val="4"/>
  </w:num>
  <w:num w:numId="13" w16cid:durableId="1955358555">
    <w:abstractNumId w:val="1"/>
  </w:num>
  <w:num w:numId="14" w16cid:durableId="1694187651">
    <w:abstractNumId w:val="13"/>
  </w:num>
  <w:num w:numId="15" w16cid:durableId="90857198">
    <w:abstractNumId w:val="5"/>
  </w:num>
  <w:num w:numId="16" w16cid:durableId="713575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3"/>
    <w:rsid w:val="000004D0"/>
    <w:rsid w:val="00001467"/>
    <w:rsid w:val="00003415"/>
    <w:rsid w:val="00005062"/>
    <w:rsid w:val="0000657B"/>
    <w:rsid w:val="00010935"/>
    <w:rsid w:val="00010C2C"/>
    <w:rsid w:val="00011313"/>
    <w:rsid w:val="000130CB"/>
    <w:rsid w:val="000132D8"/>
    <w:rsid w:val="00014BD9"/>
    <w:rsid w:val="00017750"/>
    <w:rsid w:val="00026AEC"/>
    <w:rsid w:val="000304E6"/>
    <w:rsid w:val="0003402D"/>
    <w:rsid w:val="00034296"/>
    <w:rsid w:val="00041DCE"/>
    <w:rsid w:val="0004289D"/>
    <w:rsid w:val="00042F2F"/>
    <w:rsid w:val="000502D0"/>
    <w:rsid w:val="00051DEF"/>
    <w:rsid w:val="000526FF"/>
    <w:rsid w:val="00052E04"/>
    <w:rsid w:val="000606F7"/>
    <w:rsid w:val="00066EA1"/>
    <w:rsid w:val="00066EF9"/>
    <w:rsid w:val="000714BF"/>
    <w:rsid w:val="00071C6F"/>
    <w:rsid w:val="00074C1B"/>
    <w:rsid w:val="00076523"/>
    <w:rsid w:val="00076E41"/>
    <w:rsid w:val="00084309"/>
    <w:rsid w:val="0008435C"/>
    <w:rsid w:val="00086CED"/>
    <w:rsid w:val="00087D21"/>
    <w:rsid w:val="0009048A"/>
    <w:rsid w:val="000924E4"/>
    <w:rsid w:val="0009287C"/>
    <w:rsid w:val="00093D06"/>
    <w:rsid w:val="00093EE4"/>
    <w:rsid w:val="000A2A19"/>
    <w:rsid w:val="000A2FE7"/>
    <w:rsid w:val="000A3D85"/>
    <w:rsid w:val="000B5EDF"/>
    <w:rsid w:val="000B61C9"/>
    <w:rsid w:val="000B653B"/>
    <w:rsid w:val="000B69BE"/>
    <w:rsid w:val="000C4FDB"/>
    <w:rsid w:val="000D04AA"/>
    <w:rsid w:val="000D14A8"/>
    <w:rsid w:val="000D2469"/>
    <w:rsid w:val="000E56E4"/>
    <w:rsid w:val="000E6641"/>
    <w:rsid w:val="000E670F"/>
    <w:rsid w:val="000E7993"/>
    <w:rsid w:val="000E7F7D"/>
    <w:rsid w:val="000F0157"/>
    <w:rsid w:val="00100987"/>
    <w:rsid w:val="001025CA"/>
    <w:rsid w:val="0010279A"/>
    <w:rsid w:val="001031EF"/>
    <w:rsid w:val="00103F23"/>
    <w:rsid w:val="00105930"/>
    <w:rsid w:val="00106BD4"/>
    <w:rsid w:val="00107039"/>
    <w:rsid w:val="00107516"/>
    <w:rsid w:val="00107806"/>
    <w:rsid w:val="00111F22"/>
    <w:rsid w:val="0011531E"/>
    <w:rsid w:val="001210E7"/>
    <w:rsid w:val="0012115F"/>
    <w:rsid w:val="00125A44"/>
    <w:rsid w:val="001308FD"/>
    <w:rsid w:val="00130FBC"/>
    <w:rsid w:val="0013196B"/>
    <w:rsid w:val="0013210D"/>
    <w:rsid w:val="0013444B"/>
    <w:rsid w:val="00144F4B"/>
    <w:rsid w:val="00147468"/>
    <w:rsid w:val="00151232"/>
    <w:rsid w:val="0015334E"/>
    <w:rsid w:val="00154DC8"/>
    <w:rsid w:val="0015552A"/>
    <w:rsid w:val="001600A5"/>
    <w:rsid w:val="00160C4F"/>
    <w:rsid w:val="0016480F"/>
    <w:rsid w:val="0016599C"/>
    <w:rsid w:val="00165E1A"/>
    <w:rsid w:val="00174D4B"/>
    <w:rsid w:val="00176BAA"/>
    <w:rsid w:val="001840AD"/>
    <w:rsid w:val="0018538B"/>
    <w:rsid w:val="00185DED"/>
    <w:rsid w:val="001874F9"/>
    <w:rsid w:val="00190252"/>
    <w:rsid w:val="0019064F"/>
    <w:rsid w:val="00192FDD"/>
    <w:rsid w:val="0019411A"/>
    <w:rsid w:val="00194173"/>
    <w:rsid w:val="00196159"/>
    <w:rsid w:val="001A02AD"/>
    <w:rsid w:val="001A4C89"/>
    <w:rsid w:val="001A75C6"/>
    <w:rsid w:val="001A7A3B"/>
    <w:rsid w:val="001A7C68"/>
    <w:rsid w:val="001B0ADC"/>
    <w:rsid w:val="001B0B60"/>
    <w:rsid w:val="001B2A7A"/>
    <w:rsid w:val="001B5E91"/>
    <w:rsid w:val="001C1B6C"/>
    <w:rsid w:val="001C331B"/>
    <w:rsid w:val="001C4B54"/>
    <w:rsid w:val="001C4C00"/>
    <w:rsid w:val="001C658D"/>
    <w:rsid w:val="001C729B"/>
    <w:rsid w:val="001C7620"/>
    <w:rsid w:val="001D2438"/>
    <w:rsid w:val="001D2F15"/>
    <w:rsid w:val="001F3F59"/>
    <w:rsid w:val="001F491F"/>
    <w:rsid w:val="00200DE5"/>
    <w:rsid w:val="00205888"/>
    <w:rsid w:val="002065CC"/>
    <w:rsid w:val="002122D5"/>
    <w:rsid w:val="0021236C"/>
    <w:rsid w:val="002157A3"/>
    <w:rsid w:val="002173EB"/>
    <w:rsid w:val="002217CE"/>
    <w:rsid w:val="002223C5"/>
    <w:rsid w:val="002230D4"/>
    <w:rsid w:val="00224543"/>
    <w:rsid w:val="00225347"/>
    <w:rsid w:val="00225FFC"/>
    <w:rsid w:val="00226D08"/>
    <w:rsid w:val="0023588C"/>
    <w:rsid w:val="00235A57"/>
    <w:rsid w:val="00235D2B"/>
    <w:rsid w:val="00242C58"/>
    <w:rsid w:val="00245D0A"/>
    <w:rsid w:val="00245E0D"/>
    <w:rsid w:val="00246CC7"/>
    <w:rsid w:val="00250A03"/>
    <w:rsid w:val="002615A8"/>
    <w:rsid w:val="00264094"/>
    <w:rsid w:val="00270A16"/>
    <w:rsid w:val="0027211F"/>
    <w:rsid w:val="00272408"/>
    <w:rsid w:val="0027798C"/>
    <w:rsid w:val="0028060D"/>
    <w:rsid w:val="00281534"/>
    <w:rsid w:val="002839D5"/>
    <w:rsid w:val="002925B2"/>
    <w:rsid w:val="00293600"/>
    <w:rsid w:val="00294263"/>
    <w:rsid w:val="00294EF8"/>
    <w:rsid w:val="00296743"/>
    <w:rsid w:val="00297A0B"/>
    <w:rsid w:val="002A17BD"/>
    <w:rsid w:val="002A21C2"/>
    <w:rsid w:val="002A2782"/>
    <w:rsid w:val="002A5286"/>
    <w:rsid w:val="002A57FC"/>
    <w:rsid w:val="002A5A36"/>
    <w:rsid w:val="002B2970"/>
    <w:rsid w:val="002B66D5"/>
    <w:rsid w:val="002B7AE0"/>
    <w:rsid w:val="002B7CD7"/>
    <w:rsid w:val="002C10C4"/>
    <w:rsid w:val="002C24A7"/>
    <w:rsid w:val="002C27E9"/>
    <w:rsid w:val="002C3F0E"/>
    <w:rsid w:val="002C4217"/>
    <w:rsid w:val="002C4EDA"/>
    <w:rsid w:val="002C6861"/>
    <w:rsid w:val="002C71AC"/>
    <w:rsid w:val="002D290A"/>
    <w:rsid w:val="002D2A4C"/>
    <w:rsid w:val="002D4895"/>
    <w:rsid w:val="002D54FB"/>
    <w:rsid w:val="002D674D"/>
    <w:rsid w:val="002D7E25"/>
    <w:rsid w:val="002E30AA"/>
    <w:rsid w:val="002E749A"/>
    <w:rsid w:val="002E77CA"/>
    <w:rsid w:val="002F0934"/>
    <w:rsid w:val="002F2B8B"/>
    <w:rsid w:val="002F7201"/>
    <w:rsid w:val="00300549"/>
    <w:rsid w:val="0030673E"/>
    <w:rsid w:val="00310243"/>
    <w:rsid w:val="0031369A"/>
    <w:rsid w:val="00313B00"/>
    <w:rsid w:val="00313FDB"/>
    <w:rsid w:val="00316DCD"/>
    <w:rsid w:val="003172EB"/>
    <w:rsid w:val="0032031C"/>
    <w:rsid w:val="003250D8"/>
    <w:rsid w:val="0032521A"/>
    <w:rsid w:val="00325B50"/>
    <w:rsid w:val="00326170"/>
    <w:rsid w:val="00327FB3"/>
    <w:rsid w:val="003309C6"/>
    <w:rsid w:val="003362CA"/>
    <w:rsid w:val="00336EB8"/>
    <w:rsid w:val="00343ABF"/>
    <w:rsid w:val="00344A41"/>
    <w:rsid w:val="00350480"/>
    <w:rsid w:val="0035200C"/>
    <w:rsid w:val="003566E6"/>
    <w:rsid w:val="00360CFB"/>
    <w:rsid w:val="003630BE"/>
    <w:rsid w:val="00363460"/>
    <w:rsid w:val="00363B5A"/>
    <w:rsid w:val="00363E64"/>
    <w:rsid w:val="00366039"/>
    <w:rsid w:val="00371C3D"/>
    <w:rsid w:val="00374AA4"/>
    <w:rsid w:val="00374BEC"/>
    <w:rsid w:val="00381300"/>
    <w:rsid w:val="00383DEC"/>
    <w:rsid w:val="00386615"/>
    <w:rsid w:val="00387EE2"/>
    <w:rsid w:val="00393EB2"/>
    <w:rsid w:val="003A0DE5"/>
    <w:rsid w:val="003A39B6"/>
    <w:rsid w:val="003A73B0"/>
    <w:rsid w:val="003B0B44"/>
    <w:rsid w:val="003B2CFC"/>
    <w:rsid w:val="003B36BA"/>
    <w:rsid w:val="003B3C32"/>
    <w:rsid w:val="003B502B"/>
    <w:rsid w:val="003B5957"/>
    <w:rsid w:val="003B78AE"/>
    <w:rsid w:val="003B7AAB"/>
    <w:rsid w:val="003C02C2"/>
    <w:rsid w:val="003C2EA6"/>
    <w:rsid w:val="003C2F0B"/>
    <w:rsid w:val="003C7729"/>
    <w:rsid w:val="003C7A87"/>
    <w:rsid w:val="003D1F47"/>
    <w:rsid w:val="003D30B0"/>
    <w:rsid w:val="003D3190"/>
    <w:rsid w:val="003D4F96"/>
    <w:rsid w:val="003D58FE"/>
    <w:rsid w:val="003D6468"/>
    <w:rsid w:val="003E08CE"/>
    <w:rsid w:val="003E3158"/>
    <w:rsid w:val="003E3761"/>
    <w:rsid w:val="003E58FE"/>
    <w:rsid w:val="003E7607"/>
    <w:rsid w:val="003F1D2F"/>
    <w:rsid w:val="003F403B"/>
    <w:rsid w:val="003F4842"/>
    <w:rsid w:val="003F5467"/>
    <w:rsid w:val="004006B7"/>
    <w:rsid w:val="00402980"/>
    <w:rsid w:val="00403B57"/>
    <w:rsid w:val="00403E22"/>
    <w:rsid w:val="004054E7"/>
    <w:rsid w:val="00405FA4"/>
    <w:rsid w:val="00412A9C"/>
    <w:rsid w:val="00414D56"/>
    <w:rsid w:val="004162A2"/>
    <w:rsid w:val="00417700"/>
    <w:rsid w:val="00425F7D"/>
    <w:rsid w:val="00430C12"/>
    <w:rsid w:val="0043458E"/>
    <w:rsid w:val="00436CFA"/>
    <w:rsid w:val="00437F06"/>
    <w:rsid w:val="004430B7"/>
    <w:rsid w:val="004432B8"/>
    <w:rsid w:val="00444A10"/>
    <w:rsid w:val="00450EF1"/>
    <w:rsid w:val="004520B5"/>
    <w:rsid w:val="004529F8"/>
    <w:rsid w:val="00457569"/>
    <w:rsid w:val="004665DE"/>
    <w:rsid w:val="0047153C"/>
    <w:rsid w:val="00473132"/>
    <w:rsid w:val="00474635"/>
    <w:rsid w:val="00474689"/>
    <w:rsid w:val="0047770E"/>
    <w:rsid w:val="004817F8"/>
    <w:rsid w:val="004836E7"/>
    <w:rsid w:val="00483B62"/>
    <w:rsid w:val="0048466D"/>
    <w:rsid w:val="00485D9C"/>
    <w:rsid w:val="004909FA"/>
    <w:rsid w:val="00492B85"/>
    <w:rsid w:val="00492BAB"/>
    <w:rsid w:val="00496D6D"/>
    <w:rsid w:val="00496EDA"/>
    <w:rsid w:val="004A1053"/>
    <w:rsid w:val="004A1F0D"/>
    <w:rsid w:val="004A2B56"/>
    <w:rsid w:val="004A4AA6"/>
    <w:rsid w:val="004A6D32"/>
    <w:rsid w:val="004B01F7"/>
    <w:rsid w:val="004B031F"/>
    <w:rsid w:val="004B0C43"/>
    <w:rsid w:val="004B22FB"/>
    <w:rsid w:val="004B766F"/>
    <w:rsid w:val="004C16B5"/>
    <w:rsid w:val="004C63F5"/>
    <w:rsid w:val="004C6BB5"/>
    <w:rsid w:val="004C7572"/>
    <w:rsid w:val="004D1015"/>
    <w:rsid w:val="004D23E3"/>
    <w:rsid w:val="004D2699"/>
    <w:rsid w:val="004D37C3"/>
    <w:rsid w:val="004D4207"/>
    <w:rsid w:val="004D46E3"/>
    <w:rsid w:val="004E5C50"/>
    <w:rsid w:val="004E6540"/>
    <w:rsid w:val="004F0485"/>
    <w:rsid w:val="004F19CA"/>
    <w:rsid w:val="004F2DE6"/>
    <w:rsid w:val="004F31D1"/>
    <w:rsid w:val="004F566C"/>
    <w:rsid w:val="004F78B0"/>
    <w:rsid w:val="004F7E11"/>
    <w:rsid w:val="005004AC"/>
    <w:rsid w:val="005050BA"/>
    <w:rsid w:val="00507244"/>
    <w:rsid w:val="00517E9A"/>
    <w:rsid w:val="005208BC"/>
    <w:rsid w:val="00524C02"/>
    <w:rsid w:val="0052540D"/>
    <w:rsid w:val="00527908"/>
    <w:rsid w:val="005306D6"/>
    <w:rsid w:val="00531227"/>
    <w:rsid w:val="005314B7"/>
    <w:rsid w:val="005317FC"/>
    <w:rsid w:val="00532414"/>
    <w:rsid w:val="00533129"/>
    <w:rsid w:val="005334D5"/>
    <w:rsid w:val="00534A08"/>
    <w:rsid w:val="00535FE1"/>
    <w:rsid w:val="00537901"/>
    <w:rsid w:val="00540907"/>
    <w:rsid w:val="00540FD0"/>
    <w:rsid w:val="005428BA"/>
    <w:rsid w:val="00542BF9"/>
    <w:rsid w:val="00542D76"/>
    <w:rsid w:val="005439F4"/>
    <w:rsid w:val="0054583B"/>
    <w:rsid w:val="00545DBC"/>
    <w:rsid w:val="00546447"/>
    <w:rsid w:val="00550C07"/>
    <w:rsid w:val="00551D69"/>
    <w:rsid w:val="00552A83"/>
    <w:rsid w:val="00553062"/>
    <w:rsid w:val="005538DB"/>
    <w:rsid w:val="00562CC5"/>
    <w:rsid w:val="00567368"/>
    <w:rsid w:val="00570E01"/>
    <w:rsid w:val="005723DF"/>
    <w:rsid w:val="00574AFF"/>
    <w:rsid w:val="00577490"/>
    <w:rsid w:val="0058246E"/>
    <w:rsid w:val="0058507F"/>
    <w:rsid w:val="0058767F"/>
    <w:rsid w:val="00587AA6"/>
    <w:rsid w:val="0059097B"/>
    <w:rsid w:val="005924CF"/>
    <w:rsid w:val="00592646"/>
    <w:rsid w:val="005A1885"/>
    <w:rsid w:val="005A1D60"/>
    <w:rsid w:val="005A3C59"/>
    <w:rsid w:val="005A60F5"/>
    <w:rsid w:val="005B741B"/>
    <w:rsid w:val="005B7E06"/>
    <w:rsid w:val="005C0156"/>
    <w:rsid w:val="005C3DC3"/>
    <w:rsid w:val="005C44DA"/>
    <w:rsid w:val="005C5889"/>
    <w:rsid w:val="005C60F5"/>
    <w:rsid w:val="005D0EE7"/>
    <w:rsid w:val="005D39B7"/>
    <w:rsid w:val="005D74FB"/>
    <w:rsid w:val="005E0688"/>
    <w:rsid w:val="005F2BCA"/>
    <w:rsid w:val="005F46AB"/>
    <w:rsid w:val="005F5B7D"/>
    <w:rsid w:val="005F6F6F"/>
    <w:rsid w:val="005F72D4"/>
    <w:rsid w:val="00605293"/>
    <w:rsid w:val="00606B13"/>
    <w:rsid w:val="00607E94"/>
    <w:rsid w:val="006124B1"/>
    <w:rsid w:val="00616718"/>
    <w:rsid w:val="00621331"/>
    <w:rsid w:val="00621A81"/>
    <w:rsid w:val="0062392A"/>
    <w:rsid w:val="00625C7D"/>
    <w:rsid w:val="00626920"/>
    <w:rsid w:val="006307AE"/>
    <w:rsid w:val="00630C1F"/>
    <w:rsid w:val="0063185F"/>
    <w:rsid w:val="006322AA"/>
    <w:rsid w:val="00633D3E"/>
    <w:rsid w:val="00634778"/>
    <w:rsid w:val="006357F0"/>
    <w:rsid w:val="00636753"/>
    <w:rsid w:val="00642C1E"/>
    <w:rsid w:val="00644755"/>
    <w:rsid w:val="00647213"/>
    <w:rsid w:val="00647640"/>
    <w:rsid w:val="006522AD"/>
    <w:rsid w:val="00656705"/>
    <w:rsid w:val="00656C28"/>
    <w:rsid w:val="00656F9B"/>
    <w:rsid w:val="006577D4"/>
    <w:rsid w:val="006614DC"/>
    <w:rsid w:val="0066293C"/>
    <w:rsid w:val="006655AD"/>
    <w:rsid w:val="00670290"/>
    <w:rsid w:val="006731AF"/>
    <w:rsid w:val="00675014"/>
    <w:rsid w:val="00676EAC"/>
    <w:rsid w:val="0068086C"/>
    <w:rsid w:val="00682758"/>
    <w:rsid w:val="00682AD1"/>
    <w:rsid w:val="0068593C"/>
    <w:rsid w:val="00687A4A"/>
    <w:rsid w:val="00690D36"/>
    <w:rsid w:val="006920E7"/>
    <w:rsid w:val="006937B5"/>
    <w:rsid w:val="00697DE9"/>
    <w:rsid w:val="006A386F"/>
    <w:rsid w:val="006A6690"/>
    <w:rsid w:val="006B0068"/>
    <w:rsid w:val="006B4026"/>
    <w:rsid w:val="006B41CE"/>
    <w:rsid w:val="006B6ECF"/>
    <w:rsid w:val="006B7D2B"/>
    <w:rsid w:val="006C46FE"/>
    <w:rsid w:val="006D0915"/>
    <w:rsid w:val="006D13B5"/>
    <w:rsid w:val="006D359C"/>
    <w:rsid w:val="006D36FE"/>
    <w:rsid w:val="006D6FBE"/>
    <w:rsid w:val="006D7FEA"/>
    <w:rsid w:val="006E39CC"/>
    <w:rsid w:val="006E7DA3"/>
    <w:rsid w:val="006F0DBA"/>
    <w:rsid w:val="006F69AD"/>
    <w:rsid w:val="006F732B"/>
    <w:rsid w:val="00702130"/>
    <w:rsid w:val="00704EB6"/>
    <w:rsid w:val="00706B56"/>
    <w:rsid w:val="00706C45"/>
    <w:rsid w:val="00715F04"/>
    <w:rsid w:val="00716494"/>
    <w:rsid w:val="007165DD"/>
    <w:rsid w:val="007224C3"/>
    <w:rsid w:val="00724CC8"/>
    <w:rsid w:val="00730549"/>
    <w:rsid w:val="0073211C"/>
    <w:rsid w:val="00732A7B"/>
    <w:rsid w:val="00732FE3"/>
    <w:rsid w:val="00733216"/>
    <w:rsid w:val="00733CC1"/>
    <w:rsid w:val="007342EA"/>
    <w:rsid w:val="007360E7"/>
    <w:rsid w:val="0074116C"/>
    <w:rsid w:val="00741882"/>
    <w:rsid w:val="007419F5"/>
    <w:rsid w:val="00741D0E"/>
    <w:rsid w:val="007439C2"/>
    <w:rsid w:val="00743AC0"/>
    <w:rsid w:val="00753FCA"/>
    <w:rsid w:val="007548F1"/>
    <w:rsid w:val="0076104D"/>
    <w:rsid w:val="00761536"/>
    <w:rsid w:val="007654C3"/>
    <w:rsid w:val="00766124"/>
    <w:rsid w:val="00767481"/>
    <w:rsid w:val="00771912"/>
    <w:rsid w:val="00774CF4"/>
    <w:rsid w:val="00775BC1"/>
    <w:rsid w:val="007813DB"/>
    <w:rsid w:val="0078164B"/>
    <w:rsid w:val="00783133"/>
    <w:rsid w:val="007866D9"/>
    <w:rsid w:val="00795CA5"/>
    <w:rsid w:val="007A0368"/>
    <w:rsid w:val="007A19BA"/>
    <w:rsid w:val="007A242F"/>
    <w:rsid w:val="007A28B4"/>
    <w:rsid w:val="007A2F7F"/>
    <w:rsid w:val="007A33AC"/>
    <w:rsid w:val="007B04D8"/>
    <w:rsid w:val="007B3695"/>
    <w:rsid w:val="007B59B6"/>
    <w:rsid w:val="007C2A4C"/>
    <w:rsid w:val="007C2B08"/>
    <w:rsid w:val="007C39F1"/>
    <w:rsid w:val="007C43FE"/>
    <w:rsid w:val="007C5454"/>
    <w:rsid w:val="007E1F8C"/>
    <w:rsid w:val="008016D9"/>
    <w:rsid w:val="0080436A"/>
    <w:rsid w:val="00807882"/>
    <w:rsid w:val="00812C14"/>
    <w:rsid w:val="00820135"/>
    <w:rsid w:val="008238DF"/>
    <w:rsid w:val="00826719"/>
    <w:rsid w:val="0082687B"/>
    <w:rsid w:val="00835140"/>
    <w:rsid w:val="00835243"/>
    <w:rsid w:val="00841852"/>
    <w:rsid w:val="008458A0"/>
    <w:rsid w:val="00846253"/>
    <w:rsid w:val="00854C5E"/>
    <w:rsid w:val="00856FBA"/>
    <w:rsid w:val="00857B29"/>
    <w:rsid w:val="00860A4F"/>
    <w:rsid w:val="00861E5F"/>
    <w:rsid w:val="0086235B"/>
    <w:rsid w:val="00870888"/>
    <w:rsid w:val="00870FC3"/>
    <w:rsid w:val="0087355E"/>
    <w:rsid w:val="0087367C"/>
    <w:rsid w:val="00874ADA"/>
    <w:rsid w:val="00880EB2"/>
    <w:rsid w:val="00883E2A"/>
    <w:rsid w:val="00885E8A"/>
    <w:rsid w:val="00890A39"/>
    <w:rsid w:val="00890B9A"/>
    <w:rsid w:val="008926BA"/>
    <w:rsid w:val="00893BE5"/>
    <w:rsid w:val="008950F4"/>
    <w:rsid w:val="00895E4B"/>
    <w:rsid w:val="008A1E14"/>
    <w:rsid w:val="008A22F3"/>
    <w:rsid w:val="008A6392"/>
    <w:rsid w:val="008A7359"/>
    <w:rsid w:val="008A75A1"/>
    <w:rsid w:val="008A75FD"/>
    <w:rsid w:val="008A7A48"/>
    <w:rsid w:val="008B1CE2"/>
    <w:rsid w:val="008B2FD2"/>
    <w:rsid w:val="008B5FCD"/>
    <w:rsid w:val="008B6416"/>
    <w:rsid w:val="008B718A"/>
    <w:rsid w:val="008B7A99"/>
    <w:rsid w:val="008C0DFA"/>
    <w:rsid w:val="008C10D2"/>
    <w:rsid w:val="008C23EC"/>
    <w:rsid w:val="008C2B9E"/>
    <w:rsid w:val="008C60C3"/>
    <w:rsid w:val="008C6B49"/>
    <w:rsid w:val="008D181E"/>
    <w:rsid w:val="008D32C3"/>
    <w:rsid w:val="008D5AA4"/>
    <w:rsid w:val="008D5D18"/>
    <w:rsid w:val="008D62C9"/>
    <w:rsid w:val="008E05E8"/>
    <w:rsid w:val="008E0FF5"/>
    <w:rsid w:val="008E2E2F"/>
    <w:rsid w:val="008E340C"/>
    <w:rsid w:val="008E51D5"/>
    <w:rsid w:val="008E58DF"/>
    <w:rsid w:val="008E74E1"/>
    <w:rsid w:val="008E7FCB"/>
    <w:rsid w:val="008F0065"/>
    <w:rsid w:val="008F50DD"/>
    <w:rsid w:val="008F5976"/>
    <w:rsid w:val="008F7EC0"/>
    <w:rsid w:val="00900598"/>
    <w:rsid w:val="00903CB0"/>
    <w:rsid w:val="00904ECD"/>
    <w:rsid w:val="00905389"/>
    <w:rsid w:val="009057BA"/>
    <w:rsid w:val="00905AFC"/>
    <w:rsid w:val="00906CD5"/>
    <w:rsid w:val="00907C25"/>
    <w:rsid w:val="00910B18"/>
    <w:rsid w:val="009121E3"/>
    <w:rsid w:val="00920502"/>
    <w:rsid w:val="0092065E"/>
    <w:rsid w:val="009215F3"/>
    <w:rsid w:val="00930933"/>
    <w:rsid w:val="00933231"/>
    <w:rsid w:val="009336EE"/>
    <w:rsid w:val="0093454F"/>
    <w:rsid w:val="0093575C"/>
    <w:rsid w:val="009367A9"/>
    <w:rsid w:val="00936C14"/>
    <w:rsid w:val="00936D7E"/>
    <w:rsid w:val="0094004F"/>
    <w:rsid w:val="00940C7D"/>
    <w:rsid w:val="00941B44"/>
    <w:rsid w:val="009429CD"/>
    <w:rsid w:val="00943E18"/>
    <w:rsid w:val="009467D3"/>
    <w:rsid w:val="00952BB9"/>
    <w:rsid w:val="00956FAD"/>
    <w:rsid w:val="00957782"/>
    <w:rsid w:val="00962769"/>
    <w:rsid w:val="00962AAD"/>
    <w:rsid w:val="009634F0"/>
    <w:rsid w:val="009636BF"/>
    <w:rsid w:val="0096413E"/>
    <w:rsid w:val="00964D2A"/>
    <w:rsid w:val="00966C67"/>
    <w:rsid w:val="00966D19"/>
    <w:rsid w:val="0097087A"/>
    <w:rsid w:val="0097361D"/>
    <w:rsid w:val="0097371D"/>
    <w:rsid w:val="00973E7F"/>
    <w:rsid w:val="009763F5"/>
    <w:rsid w:val="009800D7"/>
    <w:rsid w:val="00984059"/>
    <w:rsid w:val="009875BD"/>
    <w:rsid w:val="00991099"/>
    <w:rsid w:val="00991528"/>
    <w:rsid w:val="00992A70"/>
    <w:rsid w:val="00997C45"/>
    <w:rsid w:val="009A1086"/>
    <w:rsid w:val="009A1398"/>
    <w:rsid w:val="009A2987"/>
    <w:rsid w:val="009A2CFA"/>
    <w:rsid w:val="009A307E"/>
    <w:rsid w:val="009B23AD"/>
    <w:rsid w:val="009B4032"/>
    <w:rsid w:val="009B4FB3"/>
    <w:rsid w:val="009B675F"/>
    <w:rsid w:val="009C0433"/>
    <w:rsid w:val="009C76EF"/>
    <w:rsid w:val="009D06A1"/>
    <w:rsid w:val="009D0AA4"/>
    <w:rsid w:val="009D164E"/>
    <w:rsid w:val="009D45F0"/>
    <w:rsid w:val="009E446A"/>
    <w:rsid w:val="009F0604"/>
    <w:rsid w:val="009F09AD"/>
    <w:rsid w:val="00A02A4C"/>
    <w:rsid w:val="00A02FD2"/>
    <w:rsid w:val="00A07553"/>
    <w:rsid w:val="00A109E8"/>
    <w:rsid w:val="00A14C75"/>
    <w:rsid w:val="00A17A19"/>
    <w:rsid w:val="00A2024C"/>
    <w:rsid w:val="00A2031A"/>
    <w:rsid w:val="00A2144D"/>
    <w:rsid w:val="00A22A74"/>
    <w:rsid w:val="00A23E0C"/>
    <w:rsid w:val="00A26D97"/>
    <w:rsid w:val="00A27D14"/>
    <w:rsid w:val="00A31001"/>
    <w:rsid w:val="00A33D33"/>
    <w:rsid w:val="00A351AF"/>
    <w:rsid w:val="00A36574"/>
    <w:rsid w:val="00A3698C"/>
    <w:rsid w:val="00A40509"/>
    <w:rsid w:val="00A405D8"/>
    <w:rsid w:val="00A42FAB"/>
    <w:rsid w:val="00A44121"/>
    <w:rsid w:val="00A44600"/>
    <w:rsid w:val="00A457C3"/>
    <w:rsid w:val="00A47302"/>
    <w:rsid w:val="00A5101A"/>
    <w:rsid w:val="00A602BA"/>
    <w:rsid w:val="00A63E6A"/>
    <w:rsid w:val="00A6510C"/>
    <w:rsid w:val="00A65921"/>
    <w:rsid w:val="00A65A15"/>
    <w:rsid w:val="00A6797F"/>
    <w:rsid w:val="00A67E78"/>
    <w:rsid w:val="00A71C53"/>
    <w:rsid w:val="00A74461"/>
    <w:rsid w:val="00A81A92"/>
    <w:rsid w:val="00A85991"/>
    <w:rsid w:val="00A86346"/>
    <w:rsid w:val="00A93D26"/>
    <w:rsid w:val="00A948BD"/>
    <w:rsid w:val="00A95957"/>
    <w:rsid w:val="00AA4CCD"/>
    <w:rsid w:val="00AB274C"/>
    <w:rsid w:val="00AB75A9"/>
    <w:rsid w:val="00AC2949"/>
    <w:rsid w:val="00AD5267"/>
    <w:rsid w:val="00AD5F68"/>
    <w:rsid w:val="00AD7F40"/>
    <w:rsid w:val="00AE11A5"/>
    <w:rsid w:val="00AE2BDA"/>
    <w:rsid w:val="00AF1694"/>
    <w:rsid w:val="00AF1D3C"/>
    <w:rsid w:val="00AF7F33"/>
    <w:rsid w:val="00B036BB"/>
    <w:rsid w:val="00B064B7"/>
    <w:rsid w:val="00B11351"/>
    <w:rsid w:val="00B13650"/>
    <w:rsid w:val="00B13935"/>
    <w:rsid w:val="00B17AB4"/>
    <w:rsid w:val="00B17F11"/>
    <w:rsid w:val="00B206BE"/>
    <w:rsid w:val="00B228B4"/>
    <w:rsid w:val="00B25E88"/>
    <w:rsid w:val="00B27B9C"/>
    <w:rsid w:val="00B3174A"/>
    <w:rsid w:val="00B32F0C"/>
    <w:rsid w:val="00B40E33"/>
    <w:rsid w:val="00B41883"/>
    <w:rsid w:val="00B44E7B"/>
    <w:rsid w:val="00B45053"/>
    <w:rsid w:val="00B47A21"/>
    <w:rsid w:val="00B508DC"/>
    <w:rsid w:val="00B554B4"/>
    <w:rsid w:val="00B6104D"/>
    <w:rsid w:val="00B63758"/>
    <w:rsid w:val="00B66578"/>
    <w:rsid w:val="00B66590"/>
    <w:rsid w:val="00B7278A"/>
    <w:rsid w:val="00B745C3"/>
    <w:rsid w:val="00B804B9"/>
    <w:rsid w:val="00B80F0E"/>
    <w:rsid w:val="00B8403C"/>
    <w:rsid w:val="00B8484D"/>
    <w:rsid w:val="00B84B36"/>
    <w:rsid w:val="00B8536D"/>
    <w:rsid w:val="00B873A5"/>
    <w:rsid w:val="00B93741"/>
    <w:rsid w:val="00B93934"/>
    <w:rsid w:val="00BA6E82"/>
    <w:rsid w:val="00BB02D1"/>
    <w:rsid w:val="00BB2A1F"/>
    <w:rsid w:val="00BB3101"/>
    <w:rsid w:val="00BB727A"/>
    <w:rsid w:val="00BC0026"/>
    <w:rsid w:val="00BC0868"/>
    <w:rsid w:val="00BC3044"/>
    <w:rsid w:val="00BC3FA1"/>
    <w:rsid w:val="00BC5A0F"/>
    <w:rsid w:val="00BC6C15"/>
    <w:rsid w:val="00BD186F"/>
    <w:rsid w:val="00BD2177"/>
    <w:rsid w:val="00BD3332"/>
    <w:rsid w:val="00BD6364"/>
    <w:rsid w:val="00BD7982"/>
    <w:rsid w:val="00BE0DB4"/>
    <w:rsid w:val="00BE14D8"/>
    <w:rsid w:val="00BE484D"/>
    <w:rsid w:val="00BE5806"/>
    <w:rsid w:val="00BE62E4"/>
    <w:rsid w:val="00BE6E66"/>
    <w:rsid w:val="00BF1BA0"/>
    <w:rsid w:val="00BF729E"/>
    <w:rsid w:val="00C0028C"/>
    <w:rsid w:val="00C11973"/>
    <w:rsid w:val="00C1337A"/>
    <w:rsid w:val="00C13EF4"/>
    <w:rsid w:val="00C1532E"/>
    <w:rsid w:val="00C17205"/>
    <w:rsid w:val="00C20E93"/>
    <w:rsid w:val="00C21304"/>
    <w:rsid w:val="00C27305"/>
    <w:rsid w:val="00C27A0D"/>
    <w:rsid w:val="00C31200"/>
    <w:rsid w:val="00C3287B"/>
    <w:rsid w:val="00C32998"/>
    <w:rsid w:val="00C3563B"/>
    <w:rsid w:val="00C40278"/>
    <w:rsid w:val="00C411BE"/>
    <w:rsid w:val="00C4354D"/>
    <w:rsid w:val="00C437BE"/>
    <w:rsid w:val="00C4415C"/>
    <w:rsid w:val="00C447D1"/>
    <w:rsid w:val="00C44B12"/>
    <w:rsid w:val="00C45DAC"/>
    <w:rsid w:val="00C47E62"/>
    <w:rsid w:val="00C50C33"/>
    <w:rsid w:val="00C54DDF"/>
    <w:rsid w:val="00C57605"/>
    <w:rsid w:val="00C658D6"/>
    <w:rsid w:val="00C65C21"/>
    <w:rsid w:val="00C70EB9"/>
    <w:rsid w:val="00C71774"/>
    <w:rsid w:val="00C7599C"/>
    <w:rsid w:val="00C767C9"/>
    <w:rsid w:val="00C76D02"/>
    <w:rsid w:val="00C80131"/>
    <w:rsid w:val="00C80F23"/>
    <w:rsid w:val="00C81AEB"/>
    <w:rsid w:val="00C8215C"/>
    <w:rsid w:val="00C8451D"/>
    <w:rsid w:val="00C84A8D"/>
    <w:rsid w:val="00C86DB2"/>
    <w:rsid w:val="00C87086"/>
    <w:rsid w:val="00C87D49"/>
    <w:rsid w:val="00C90101"/>
    <w:rsid w:val="00C92F5F"/>
    <w:rsid w:val="00C96C54"/>
    <w:rsid w:val="00CA1CA7"/>
    <w:rsid w:val="00CA1DB1"/>
    <w:rsid w:val="00CA2237"/>
    <w:rsid w:val="00CA2674"/>
    <w:rsid w:val="00CA5426"/>
    <w:rsid w:val="00CA55BA"/>
    <w:rsid w:val="00CB0322"/>
    <w:rsid w:val="00CB071D"/>
    <w:rsid w:val="00CB6D77"/>
    <w:rsid w:val="00CB6F56"/>
    <w:rsid w:val="00CB7C44"/>
    <w:rsid w:val="00CC107A"/>
    <w:rsid w:val="00CC2A1C"/>
    <w:rsid w:val="00CC38A0"/>
    <w:rsid w:val="00CC62CC"/>
    <w:rsid w:val="00CC6D23"/>
    <w:rsid w:val="00CC7FAE"/>
    <w:rsid w:val="00CD057E"/>
    <w:rsid w:val="00CD2290"/>
    <w:rsid w:val="00CD26C0"/>
    <w:rsid w:val="00CD3638"/>
    <w:rsid w:val="00CD466D"/>
    <w:rsid w:val="00CD7521"/>
    <w:rsid w:val="00CD7B49"/>
    <w:rsid w:val="00CE2665"/>
    <w:rsid w:val="00CE26D9"/>
    <w:rsid w:val="00CE53FD"/>
    <w:rsid w:val="00CF0492"/>
    <w:rsid w:val="00CF3011"/>
    <w:rsid w:val="00CF363D"/>
    <w:rsid w:val="00CF3A9A"/>
    <w:rsid w:val="00CF4B1F"/>
    <w:rsid w:val="00CF4DDC"/>
    <w:rsid w:val="00CF5201"/>
    <w:rsid w:val="00CF63CD"/>
    <w:rsid w:val="00D01004"/>
    <w:rsid w:val="00D028A8"/>
    <w:rsid w:val="00D02A1C"/>
    <w:rsid w:val="00D02D95"/>
    <w:rsid w:val="00D06CE9"/>
    <w:rsid w:val="00D07F7D"/>
    <w:rsid w:val="00D12710"/>
    <w:rsid w:val="00D214C6"/>
    <w:rsid w:val="00D2663C"/>
    <w:rsid w:val="00D2722A"/>
    <w:rsid w:val="00D2759B"/>
    <w:rsid w:val="00D326B9"/>
    <w:rsid w:val="00D340E3"/>
    <w:rsid w:val="00D37C2C"/>
    <w:rsid w:val="00D41F29"/>
    <w:rsid w:val="00D42F85"/>
    <w:rsid w:val="00D43311"/>
    <w:rsid w:val="00D4369F"/>
    <w:rsid w:val="00D442EC"/>
    <w:rsid w:val="00D45FF9"/>
    <w:rsid w:val="00D47086"/>
    <w:rsid w:val="00D51AD3"/>
    <w:rsid w:val="00D561DD"/>
    <w:rsid w:val="00D56D83"/>
    <w:rsid w:val="00D56ED1"/>
    <w:rsid w:val="00D60F5B"/>
    <w:rsid w:val="00D63FF3"/>
    <w:rsid w:val="00D6439F"/>
    <w:rsid w:val="00D64CE1"/>
    <w:rsid w:val="00D703B7"/>
    <w:rsid w:val="00D709A0"/>
    <w:rsid w:val="00D71D3C"/>
    <w:rsid w:val="00D75DAB"/>
    <w:rsid w:val="00D76013"/>
    <w:rsid w:val="00D77DB3"/>
    <w:rsid w:val="00D77F99"/>
    <w:rsid w:val="00D81AC2"/>
    <w:rsid w:val="00D81EA2"/>
    <w:rsid w:val="00D83476"/>
    <w:rsid w:val="00D9310C"/>
    <w:rsid w:val="00D94B8B"/>
    <w:rsid w:val="00DA322F"/>
    <w:rsid w:val="00DA59BA"/>
    <w:rsid w:val="00DB0605"/>
    <w:rsid w:val="00DB522C"/>
    <w:rsid w:val="00DC3BF3"/>
    <w:rsid w:val="00DD1596"/>
    <w:rsid w:val="00DD1616"/>
    <w:rsid w:val="00DD3DA4"/>
    <w:rsid w:val="00DD46CD"/>
    <w:rsid w:val="00DD4D8D"/>
    <w:rsid w:val="00DD51A6"/>
    <w:rsid w:val="00DD76C7"/>
    <w:rsid w:val="00DE419F"/>
    <w:rsid w:val="00DE444E"/>
    <w:rsid w:val="00DE49A9"/>
    <w:rsid w:val="00DE553D"/>
    <w:rsid w:val="00DE6645"/>
    <w:rsid w:val="00DE7A3F"/>
    <w:rsid w:val="00DF27E1"/>
    <w:rsid w:val="00DF3B5F"/>
    <w:rsid w:val="00DF3E91"/>
    <w:rsid w:val="00DF45AF"/>
    <w:rsid w:val="00DF4632"/>
    <w:rsid w:val="00DF4A99"/>
    <w:rsid w:val="00DF6C96"/>
    <w:rsid w:val="00E0369E"/>
    <w:rsid w:val="00E0370C"/>
    <w:rsid w:val="00E04C30"/>
    <w:rsid w:val="00E134DC"/>
    <w:rsid w:val="00E14558"/>
    <w:rsid w:val="00E166C0"/>
    <w:rsid w:val="00E21BF3"/>
    <w:rsid w:val="00E22FAC"/>
    <w:rsid w:val="00E250AA"/>
    <w:rsid w:val="00E30A86"/>
    <w:rsid w:val="00E31060"/>
    <w:rsid w:val="00E31128"/>
    <w:rsid w:val="00E3624C"/>
    <w:rsid w:val="00E41977"/>
    <w:rsid w:val="00E449A4"/>
    <w:rsid w:val="00E4537B"/>
    <w:rsid w:val="00E53605"/>
    <w:rsid w:val="00E55ACF"/>
    <w:rsid w:val="00E57276"/>
    <w:rsid w:val="00E57BC8"/>
    <w:rsid w:val="00E60783"/>
    <w:rsid w:val="00E60CC5"/>
    <w:rsid w:val="00E64489"/>
    <w:rsid w:val="00E74CCA"/>
    <w:rsid w:val="00E751D1"/>
    <w:rsid w:val="00E76676"/>
    <w:rsid w:val="00E8613C"/>
    <w:rsid w:val="00E869E6"/>
    <w:rsid w:val="00E91A06"/>
    <w:rsid w:val="00E91A72"/>
    <w:rsid w:val="00E91B9A"/>
    <w:rsid w:val="00E921B8"/>
    <w:rsid w:val="00E92668"/>
    <w:rsid w:val="00E9353D"/>
    <w:rsid w:val="00E936C6"/>
    <w:rsid w:val="00E93E7A"/>
    <w:rsid w:val="00E93FC9"/>
    <w:rsid w:val="00EA0A90"/>
    <w:rsid w:val="00EB226B"/>
    <w:rsid w:val="00EB3E82"/>
    <w:rsid w:val="00EB5600"/>
    <w:rsid w:val="00EC3985"/>
    <w:rsid w:val="00EC4145"/>
    <w:rsid w:val="00EC555F"/>
    <w:rsid w:val="00EC75DB"/>
    <w:rsid w:val="00ED2496"/>
    <w:rsid w:val="00ED2B57"/>
    <w:rsid w:val="00ED329B"/>
    <w:rsid w:val="00EE0B2B"/>
    <w:rsid w:val="00EE2251"/>
    <w:rsid w:val="00EE4B43"/>
    <w:rsid w:val="00EE54D4"/>
    <w:rsid w:val="00EF2997"/>
    <w:rsid w:val="00EF4C0E"/>
    <w:rsid w:val="00EF4D5E"/>
    <w:rsid w:val="00EF64D6"/>
    <w:rsid w:val="00F00394"/>
    <w:rsid w:val="00F00BC5"/>
    <w:rsid w:val="00F01A98"/>
    <w:rsid w:val="00F04352"/>
    <w:rsid w:val="00F0585E"/>
    <w:rsid w:val="00F059C9"/>
    <w:rsid w:val="00F05F1B"/>
    <w:rsid w:val="00F069F5"/>
    <w:rsid w:val="00F06C35"/>
    <w:rsid w:val="00F07E33"/>
    <w:rsid w:val="00F119C5"/>
    <w:rsid w:val="00F11D67"/>
    <w:rsid w:val="00F12BED"/>
    <w:rsid w:val="00F15DF5"/>
    <w:rsid w:val="00F16179"/>
    <w:rsid w:val="00F20319"/>
    <w:rsid w:val="00F223DC"/>
    <w:rsid w:val="00F22821"/>
    <w:rsid w:val="00F26B28"/>
    <w:rsid w:val="00F27E93"/>
    <w:rsid w:val="00F31F66"/>
    <w:rsid w:val="00F3484C"/>
    <w:rsid w:val="00F35551"/>
    <w:rsid w:val="00F4153F"/>
    <w:rsid w:val="00F46165"/>
    <w:rsid w:val="00F473E4"/>
    <w:rsid w:val="00F508EF"/>
    <w:rsid w:val="00F53EC2"/>
    <w:rsid w:val="00F6439A"/>
    <w:rsid w:val="00F64D98"/>
    <w:rsid w:val="00F7037B"/>
    <w:rsid w:val="00F7096C"/>
    <w:rsid w:val="00F732D0"/>
    <w:rsid w:val="00F75FCD"/>
    <w:rsid w:val="00F82967"/>
    <w:rsid w:val="00F85844"/>
    <w:rsid w:val="00F9066A"/>
    <w:rsid w:val="00F9070F"/>
    <w:rsid w:val="00F91137"/>
    <w:rsid w:val="00F93992"/>
    <w:rsid w:val="00F97562"/>
    <w:rsid w:val="00FA17B4"/>
    <w:rsid w:val="00FA2127"/>
    <w:rsid w:val="00FA4C05"/>
    <w:rsid w:val="00FA78CC"/>
    <w:rsid w:val="00FB12F9"/>
    <w:rsid w:val="00FB16D4"/>
    <w:rsid w:val="00FB25CE"/>
    <w:rsid w:val="00FB338C"/>
    <w:rsid w:val="00FB49DD"/>
    <w:rsid w:val="00FC5507"/>
    <w:rsid w:val="00FC59D0"/>
    <w:rsid w:val="00FD2486"/>
    <w:rsid w:val="00FD4450"/>
    <w:rsid w:val="00FE713F"/>
    <w:rsid w:val="00FF0227"/>
    <w:rsid w:val="00FF1FAE"/>
    <w:rsid w:val="00FF58F9"/>
    <w:rsid w:val="00FF5D21"/>
    <w:rsid w:val="00FF5EA9"/>
    <w:rsid w:val="019FFF90"/>
    <w:rsid w:val="030A17AA"/>
    <w:rsid w:val="048463E4"/>
    <w:rsid w:val="056DCC88"/>
    <w:rsid w:val="06B1AAE4"/>
    <w:rsid w:val="07ED3BFA"/>
    <w:rsid w:val="09ABF53D"/>
    <w:rsid w:val="0C4937AA"/>
    <w:rsid w:val="0E6DC20D"/>
    <w:rsid w:val="0EAB6FD3"/>
    <w:rsid w:val="0F9F8429"/>
    <w:rsid w:val="12D724EB"/>
    <w:rsid w:val="1309EF7C"/>
    <w:rsid w:val="134984BE"/>
    <w:rsid w:val="14D88F0E"/>
    <w:rsid w:val="16714FE8"/>
    <w:rsid w:val="16DB1401"/>
    <w:rsid w:val="182D5264"/>
    <w:rsid w:val="188EEA52"/>
    <w:rsid w:val="18EF5C15"/>
    <w:rsid w:val="1A234F9F"/>
    <w:rsid w:val="1ACA5187"/>
    <w:rsid w:val="1B731EA3"/>
    <w:rsid w:val="1FB33417"/>
    <w:rsid w:val="22A92116"/>
    <w:rsid w:val="23A9EBEF"/>
    <w:rsid w:val="24E77136"/>
    <w:rsid w:val="266DF740"/>
    <w:rsid w:val="26C56B4E"/>
    <w:rsid w:val="2797D08F"/>
    <w:rsid w:val="293C4AE5"/>
    <w:rsid w:val="2AC87406"/>
    <w:rsid w:val="2C450E27"/>
    <w:rsid w:val="2CB6E79B"/>
    <w:rsid w:val="2D2413E1"/>
    <w:rsid w:val="2F0A95F2"/>
    <w:rsid w:val="30C3D6C1"/>
    <w:rsid w:val="34E1C47D"/>
    <w:rsid w:val="37522E97"/>
    <w:rsid w:val="3C45D2D2"/>
    <w:rsid w:val="3CF3187B"/>
    <w:rsid w:val="3D1D32E2"/>
    <w:rsid w:val="3F007A68"/>
    <w:rsid w:val="410597E6"/>
    <w:rsid w:val="4150A09B"/>
    <w:rsid w:val="418C2C1F"/>
    <w:rsid w:val="419F7118"/>
    <w:rsid w:val="4225296B"/>
    <w:rsid w:val="4229284B"/>
    <w:rsid w:val="426EB209"/>
    <w:rsid w:val="43A852AB"/>
    <w:rsid w:val="43B5B16A"/>
    <w:rsid w:val="448D0038"/>
    <w:rsid w:val="450842F5"/>
    <w:rsid w:val="4628D099"/>
    <w:rsid w:val="466A95D6"/>
    <w:rsid w:val="47374149"/>
    <w:rsid w:val="47C4A0FA"/>
    <w:rsid w:val="48619B1E"/>
    <w:rsid w:val="4907653A"/>
    <w:rsid w:val="4A7240B3"/>
    <w:rsid w:val="4BB3C10E"/>
    <w:rsid w:val="4F061313"/>
    <w:rsid w:val="504953CE"/>
    <w:rsid w:val="509C1E35"/>
    <w:rsid w:val="51E5242F"/>
    <w:rsid w:val="5470944F"/>
    <w:rsid w:val="547DFC14"/>
    <w:rsid w:val="54B9A9EC"/>
    <w:rsid w:val="59BD7716"/>
    <w:rsid w:val="59F98E48"/>
    <w:rsid w:val="5A2E33D7"/>
    <w:rsid w:val="5A56C62C"/>
    <w:rsid w:val="5A89713C"/>
    <w:rsid w:val="5B16E70E"/>
    <w:rsid w:val="5B2B417A"/>
    <w:rsid w:val="5B97979E"/>
    <w:rsid w:val="5C627DD7"/>
    <w:rsid w:val="5E74296F"/>
    <w:rsid w:val="5F097320"/>
    <w:rsid w:val="6047756B"/>
    <w:rsid w:val="60844CFE"/>
    <w:rsid w:val="610E4EE5"/>
    <w:rsid w:val="617818B1"/>
    <w:rsid w:val="64225364"/>
    <w:rsid w:val="643127C4"/>
    <w:rsid w:val="657967E0"/>
    <w:rsid w:val="6687CCA9"/>
    <w:rsid w:val="668FE34D"/>
    <w:rsid w:val="66BB78C5"/>
    <w:rsid w:val="66F38E82"/>
    <w:rsid w:val="68727703"/>
    <w:rsid w:val="69BD4355"/>
    <w:rsid w:val="6AA113EE"/>
    <w:rsid w:val="6AB827F4"/>
    <w:rsid w:val="6E899D81"/>
    <w:rsid w:val="7022B259"/>
    <w:rsid w:val="704206BA"/>
    <w:rsid w:val="712EB1D1"/>
    <w:rsid w:val="71B8944E"/>
    <w:rsid w:val="72CA8232"/>
    <w:rsid w:val="73BDDFEF"/>
    <w:rsid w:val="73E8448F"/>
    <w:rsid w:val="74345EBB"/>
    <w:rsid w:val="74991B24"/>
    <w:rsid w:val="789365F8"/>
    <w:rsid w:val="79131727"/>
    <w:rsid w:val="7943EF60"/>
    <w:rsid w:val="7C452505"/>
    <w:rsid w:val="7C49D216"/>
    <w:rsid w:val="7C9AD625"/>
    <w:rsid w:val="7D1B9ECD"/>
    <w:rsid w:val="7E6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1EF0D"/>
  <w15:chartTrackingRefBased/>
  <w15:docId w15:val="{7CCE1A4A-6B58-47A6-B4DE-A5C5B62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2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63"/>
    <w:pPr>
      <w:ind w:left="720"/>
      <w:contextualSpacing/>
    </w:pPr>
    <w:rPr>
      <w:rFonts w:ascii="Calibri" w:eastAsia="Calibri" w:hAnsi="Calibri"/>
    </w:rPr>
  </w:style>
  <w:style w:type="paragraph" w:customStyle="1" w:styleId="xmsonormal">
    <w:name w:val="x_msonormal"/>
    <w:basedOn w:val="Normal"/>
    <w:rsid w:val="002942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4263"/>
  </w:style>
  <w:style w:type="paragraph" w:styleId="Header">
    <w:name w:val="header"/>
    <w:basedOn w:val="Normal"/>
    <w:link w:val="HeaderChar"/>
    <w:uiPriority w:val="99"/>
    <w:unhideWhenUsed/>
    <w:rsid w:val="0029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454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54F"/>
    <w:rPr>
      <w:rFonts w:ascii="Arial" w:eastAsia="Arial" w:hAnsi="Arial" w:cs="Arial"/>
      <w:sz w:val="20"/>
      <w:szCs w:val="20"/>
      <w:lang w:val="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54F"/>
    <w:rPr>
      <w:rFonts w:ascii="Arial" w:eastAsia="Arial" w:hAnsi="Arial" w:cs="Arial"/>
      <w:sz w:val="20"/>
      <w:szCs w:val="20"/>
      <w:lang w:val="es"/>
    </w:rPr>
  </w:style>
  <w:style w:type="character" w:styleId="FootnoteReference">
    <w:name w:val="footnote reference"/>
    <w:basedOn w:val="DefaultParagraphFont"/>
    <w:uiPriority w:val="99"/>
    <w:semiHidden/>
    <w:unhideWhenUsed/>
    <w:rsid w:val="009345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5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7096C"/>
  </w:style>
  <w:style w:type="paragraph" w:customStyle="1" w:styleId="xmsolistparagraph">
    <w:name w:val="x_msolistparagraph"/>
    <w:basedOn w:val="Normal"/>
    <w:rsid w:val="000130C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E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1616"/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38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4" ma:contentTypeDescription="Create a new document." ma:contentTypeScope="" ma:versionID="96df27de7b3baed287c886babaad3a9e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7572a49cc95d632abbc73d3553dd3271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688C-50D0-4587-AAA3-87DF760A689D}">
  <ds:schemaRefs>
    <ds:schemaRef ds:uri="http://schemas.microsoft.com/office/2006/metadata/properties"/>
    <ds:schemaRef ds:uri="http://schemas.microsoft.com/office/infopath/2007/PartnerControls"/>
    <ds:schemaRef ds:uri="1e29f7a6-09d7-4e0e-8ca1-7b83d4477d3c"/>
  </ds:schemaRefs>
</ds:datastoreItem>
</file>

<file path=customXml/itemProps2.xml><?xml version="1.0" encoding="utf-8"?>
<ds:datastoreItem xmlns:ds="http://schemas.openxmlformats.org/officeDocument/2006/customXml" ds:itemID="{00172381-EB44-4755-8492-DEA1C2296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6E34E-E1E0-495A-8776-146EE0196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18279-4861-4688-B98C-4EDE3523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3388</Words>
  <Characters>19314</Characters>
  <Application>Microsoft Office Word</Application>
  <DocSecurity>0</DocSecurity>
  <Lines>160</Lines>
  <Paragraphs>45</Paragraphs>
  <ScaleCrop>false</ScaleCrop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Perez Katz</dc:creator>
  <cp:keywords/>
  <dc:description/>
  <cp:lastModifiedBy>Burbano, Carmela</cp:lastModifiedBy>
  <cp:revision>3</cp:revision>
  <dcterms:created xsi:type="dcterms:W3CDTF">2023-05-18T17:34:00Z</dcterms:created>
  <dcterms:modified xsi:type="dcterms:W3CDTF">2023-05-18T17:36:00Z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</Properties>
</file>