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166A" w14:textId="77777777" w:rsidR="003B1C68" w:rsidRPr="00E62BD7" w:rsidRDefault="003B1C68" w:rsidP="003B1C68">
      <w:pPr>
        <w:jc w:val="center"/>
        <w:outlineLvl w:val="0"/>
        <w:rPr>
          <w:rFonts w:ascii="Times New Roman" w:hAnsi="Times New Roman"/>
          <w:b/>
          <w:bCs/>
          <w:szCs w:val="22"/>
          <w:lang w:val="pt-BR"/>
        </w:rPr>
      </w:pPr>
      <w:r w:rsidRPr="00E62BD7">
        <w:rPr>
          <w:rFonts w:ascii="Times New Roman" w:hAnsi="Times New Roman"/>
          <w:b/>
          <w:bCs/>
          <w:szCs w:val="22"/>
          <w:lang w:val="pt-BR"/>
        </w:rPr>
        <w:t>COMITÊ INTERAMERICANO CONTRA O TERRORISMO (CICTE)</w:t>
      </w:r>
    </w:p>
    <w:p w14:paraId="4F52D120" w14:textId="77777777" w:rsidR="003B1C68" w:rsidRPr="00E62BD7" w:rsidRDefault="003B1C68" w:rsidP="003B1C68">
      <w:pPr>
        <w:rPr>
          <w:rFonts w:ascii="Times New Roman" w:hAnsi="Times New Roman"/>
          <w:caps/>
          <w:szCs w:val="22"/>
          <w:lang w:val="pt-BR"/>
        </w:rPr>
      </w:pPr>
    </w:p>
    <w:p w14:paraId="372D92B1" w14:textId="77777777" w:rsidR="003B1C68" w:rsidRPr="00E62BD7" w:rsidRDefault="003B1C68" w:rsidP="003B1C68">
      <w:pPr>
        <w:tabs>
          <w:tab w:val="clear" w:pos="6480"/>
        </w:tabs>
        <w:rPr>
          <w:rFonts w:ascii="Times New Roman" w:hAnsi="Times New Roman"/>
          <w:szCs w:val="22"/>
          <w:lang w:val="pt-BR"/>
        </w:rPr>
      </w:pPr>
      <w:r w:rsidRPr="00E62BD7">
        <w:rPr>
          <w:rFonts w:ascii="Times New Roman" w:hAnsi="Times New Roman"/>
          <w:caps/>
          <w:szCs w:val="22"/>
          <w:lang w:val="pt-BR"/>
        </w:rPr>
        <w:t>VIGÉSIMO TERCEIRO PERÍODO ORDINÁRIO DE SESSÕES</w:t>
      </w:r>
      <w:r w:rsidRPr="00E62BD7">
        <w:rPr>
          <w:rFonts w:ascii="Times New Roman" w:hAnsi="Times New Roman"/>
          <w:szCs w:val="22"/>
          <w:lang w:val="pt-BR"/>
        </w:rPr>
        <w:tab/>
        <w:t>OEA/Ser.L/X.2.23</w:t>
      </w:r>
    </w:p>
    <w:p w14:paraId="6A615083" w14:textId="04801665" w:rsidR="003B1C68" w:rsidRPr="00E62BD7" w:rsidRDefault="003B1C68" w:rsidP="003B1C68">
      <w:pPr>
        <w:tabs>
          <w:tab w:val="clear" w:pos="6480"/>
        </w:tabs>
        <w:ind w:right="-1109"/>
        <w:rPr>
          <w:rFonts w:ascii="Times New Roman" w:hAnsi="Times New Roman"/>
          <w:szCs w:val="22"/>
          <w:lang w:val="pt-BR"/>
        </w:rPr>
      </w:pPr>
      <w:r w:rsidRPr="00E62BD7">
        <w:rPr>
          <w:rFonts w:ascii="Times New Roman" w:hAnsi="Times New Roman"/>
          <w:szCs w:val="22"/>
          <w:lang w:val="pt-BR"/>
        </w:rPr>
        <w:t>17 e 18 de maio de 2023</w:t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  <w:t>CICTE/doc.6</w:t>
      </w:r>
      <w:r>
        <w:rPr>
          <w:rFonts w:ascii="Times New Roman" w:hAnsi="Times New Roman"/>
          <w:szCs w:val="22"/>
          <w:lang w:val="pt-BR"/>
        </w:rPr>
        <w:t xml:space="preserve"> rev. 2</w:t>
      </w:r>
    </w:p>
    <w:p w14:paraId="325AA4FB" w14:textId="0B71A528" w:rsidR="003B1C68" w:rsidRPr="00E62BD7" w:rsidRDefault="003B1C68" w:rsidP="003B1C68">
      <w:pPr>
        <w:tabs>
          <w:tab w:val="clear" w:pos="6480"/>
        </w:tabs>
        <w:rPr>
          <w:rFonts w:ascii="Times New Roman" w:hAnsi="Times New Roman"/>
          <w:szCs w:val="22"/>
          <w:lang w:val="pt-BR"/>
        </w:rPr>
      </w:pPr>
      <w:r w:rsidRPr="00E62BD7">
        <w:rPr>
          <w:rFonts w:ascii="Times New Roman" w:hAnsi="Times New Roman"/>
          <w:szCs w:val="22"/>
          <w:lang w:val="pt-BR"/>
        </w:rPr>
        <w:t>Cidade do México</w:t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  <w:t>1</w:t>
      </w:r>
      <w:r>
        <w:rPr>
          <w:rFonts w:ascii="Times New Roman" w:hAnsi="Times New Roman"/>
          <w:szCs w:val="22"/>
          <w:lang w:val="pt-BR"/>
        </w:rPr>
        <w:t>8</w:t>
      </w:r>
      <w:r w:rsidRPr="00E62BD7">
        <w:rPr>
          <w:rFonts w:ascii="Times New Roman" w:hAnsi="Times New Roman"/>
          <w:szCs w:val="22"/>
          <w:lang w:val="pt-BR"/>
        </w:rPr>
        <w:t xml:space="preserve"> maio 2023</w:t>
      </w:r>
    </w:p>
    <w:p w14:paraId="5A780088" w14:textId="77777777" w:rsidR="003B1C68" w:rsidRPr="00E62BD7" w:rsidRDefault="003B1C68" w:rsidP="003B1C68">
      <w:pPr>
        <w:tabs>
          <w:tab w:val="clear" w:pos="6480"/>
          <w:tab w:val="right" w:pos="9000"/>
        </w:tabs>
        <w:ind w:right="-29"/>
        <w:rPr>
          <w:rFonts w:ascii="Times New Roman" w:hAnsi="Times New Roman"/>
          <w:szCs w:val="22"/>
          <w:lang w:val="pt-BR"/>
        </w:rPr>
      </w:pP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</w:r>
      <w:r w:rsidRPr="00E62BD7">
        <w:rPr>
          <w:rFonts w:ascii="Times New Roman" w:hAnsi="Times New Roman"/>
          <w:szCs w:val="22"/>
          <w:lang w:val="pt-BR"/>
        </w:rPr>
        <w:tab/>
        <w:t>Original: espanhol</w:t>
      </w:r>
    </w:p>
    <w:p w14:paraId="48B948F5" w14:textId="77777777" w:rsidR="003B1C68" w:rsidRPr="00E62BD7" w:rsidRDefault="003B1C68" w:rsidP="003B1C68">
      <w:pPr>
        <w:rPr>
          <w:rFonts w:ascii="Times New Roman" w:hAnsi="Times New Roman"/>
          <w:b/>
          <w:szCs w:val="22"/>
          <w:lang w:val="pt-BR"/>
        </w:rPr>
      </w:pPr>
    </w:p>
    <w:p w14:paraId="0730B9E5" w14:textId="77777777" w:rsidR="003B1C68" w:rsidRPr="00E62BD7" w:rsidRDefault="003B1C68" w:rsidP="003B1C68">
      <w:pPr>
        <w:rPr>
          <w:rFonts w:ascii="Times New Roman" w:hAnsi="Times New Roman"/>
          <w:b/>
          <w:szCs w:val="22"/>
          <w:lang w:val="pt-BR"/>
        </w:rPr>
      </w:pPr>
    </w:p>
    <w:p w14:paraId="73584654" w14:textId="77777777" w:rsidR="003B1C68" w:rsidRPr="00E62BD7" w:rsidRDefault="003B1C68" w:rsidP="003B1C68">
      <w:pPr>
        <w:rPr>
          <w:rFonts w:ascii="Times New Roman" w:hAnsi="Times New Roman"/>
          <w:b/>
          <w:szCs w:val="22"/>
          <w:lang w:val="pt-BR"/>
        </w:rPr>
      </w:pPr>
    </w:p>
    <w:p w14:paraId="1C8EF0F0" w14:textId="77777777" w:rsidR="003B1C68" w:rsidRPr="00E62BD7" w:rsidRDefault="003B1C68" w:rsidP="003B1C68">
      <w:pPr>
        <w:jc w:val="center"/>
        <w:rPr>
          <w:rFonts w:ascii="Times New Roman" w:hAnsi="Times New Roman"/>
          <w:szCs w:val="22"/>
          <w:lang w:val="pt-BR"/>
        </w:rPr>
      </w:pPr>
      <w:bookmarkStart w:id="0" w:name="_Hlk134179804"/>
      <w:r w:rsidRPr="00E62BD7">
        <w:rPr>
          <w:rFonts w:ascii="Times New Roman" w:hAnsi="Times New Roman"/>
          <w:szCs w:val="22"/>
          <w:lang w:val="pt-BR"/>
        </w:rPr>
        <w:t xml:space="preserve">PROPOSTA DE PARÁGRAFOS PARA A RESOLUÇÃO </w:t>
      </w:r>
      <w:r w:rsidRPr="00E62BD7">
        <w:rPr>
          <w:rFonts w:ascii="Times New Roman" w:hAnsi="Times New Roman"/>
          <w:i/>
          <w:iCs/>
          <w:szCs w:val="22"/>
          <w:lang w:val="pt-BR"/>
        </w:rPr>
        <w:t>OMNIBUS</w:t>
      </w:r>
      <w:r w:rsidRPr="00E62BD7">
        <w:rPr>
          <w:rFonts w:ascii="Times New Roman" w:hAnsi="Times New Roman"/>
          <w:szCs w:val="22"/>
          <w:lang w:val="pt-BR"/>
        </w:rPr>
        <w:t xml:space="preserve"> </w:t>
      </w:r>
    </w:p>
    <w:p w14:paraId="32BDFABC" w14:textId="77777777" w:rsidR="003B1C68" w:rsidRPr="00E62BD7" w:rsidRDefault="003B1C68" w:rsidP="003B1C68">
      <w:pPr>
        <w:jc w:val="center"/>
        <w:rPr>
          <w:rFonts w:ascii="Times New Roman" w:hAnsi="Times New Roman"/>
          <w:b/>
          <w:szCs w:val="22"/>
          <w:lang w:val="pt-BR"/>
        </w:rPr>
      </w:pPr>
      <w:r w:rsidRPr="00E62BD7">
        <w:rPr>
          <w:rFonts w:ascii="Times New Roman" w:hAnsi="Times New Roman"/>
          <w:szCs w:val="22"/>
          <w:lang w:val="pt-BR"/>
        </w:rPr>
        <w:t>SOBRE SEGURANÇA MULTIDIMENSIONAL</w:t>
      </w:r>
    </w:p>
    <w:p w14:paraId="3D48C614" w14:textId="77777777" w:rsidR="003B1C68" w:rsidRPr="00E62BD7" w:rsidRDefault="003B1C68" w:rsidP="003B1C68">
      <w:pPr>
        <w:rPr>
          <w:rFonts w:ascii="Times New Roman" w:hAnsi="Times New Roman"/>
          <w:b/>
          <w:szCs w:val="22"/>
          <w:lang w:val="pt-BR"/>
        </w:rPr>
      </w:pPr>
    </w:p>
    <w:p w14:paraId="2BE3C78E" w14:textId="7AA103DE" w:rsidR="003B1C68" w:rsidRPr="00E62BD7" w:rsidRDefault="003B1C68" w:rsidP="003B1C68">
      <w:pPr>
        <w:jc w:val="center"/>
        <w:rPr>
          <w:rFonts w:ascii="Times New Roman" w:hAnsi="Times New Roman"/>
          <w:bCs/>
          <w:szCs w:val="22"/>
          <w:lang w:val="pt-BR"/>
        </w:rPr>
      </w:pPr>
      <w:r w:rsidRPr="00E62BD7">
        <w:rPr>
          <w:rFonts w:ascii="Times New Roman" w:hAnsi="Times New Roman"/>
          <w:bCs/>
          <w:szCs w:val="22"/>
          <w:lang w:val="pt-BR"/>
        </w:rPr>
        <w:t>(</w:t>
      </w:r>
      <w:r>
        <w:rPr>
          <w:rFonts w:ascii="Times New Roman" w:hAnsi="Times New Roman"/>
          <w:bCs/>
          <w:szCs w:val="22"/>
          <w:lang w:val="pt-BR"/>
        </w:rPr>
        <w:t>Aprovada</w:t>
      </w:r>
      <w:r w:rsidRPr="00E62BD7">
        <w:rPr>
          <w:rFonts w:ascii="Times New Roman" w:hAnsi="Times New Roman"/>
          <w:bCs/>
          <w:szCs w:val="22"/>
          <w:lang w:val="pt-BR"/>
        </w:rPr>
        <w:t xml:space="preserve"> na </w:t>
      </w:r>
      <w:r>
        <w:rPr>
          <w:rFonts w:ascii="Times New Roman" w:hAnsi="Times New Roman"/>
          <w:bCs/>
          <w:szCs w:val="22"/>
          <w:lang w:val="pt-BR"/>
        </w:rPr>
        <w:t>quarta</w:t>
      </w:r>
      <w:r w:rsidRPr="00E62BD7">
        <w:rPr>
          <w:rFonts w:ascii="Times New Roman" w:hAnsi="Times New Roman"/>
          <w:bCs/>
          <w:szCs w:val="22"/>
          <w:lang w:val="pt-BR"/>
        </w:rPr>
        <w:t xml:space="preserve"> </w:t>
      </w:r>
      <w:r>
        <w:rPr>
          <w:rFonts w:ascii="Times New Roman" w:hAnsi="Times New Roman"/>
          <w:bCs/>
          <w:szCs w:val="22"/>
          <w:lang w:val="pt-BR"/>
        </w:rPr>
        <w:t>sessão plenária</w:t>
      </w:r>
      <w:r w:rsidRPr="00E62BD7">
        <w:rPr>
          <w:rFonts w:ascii="Times New Roman" w:hAnsi="Times New Roman"/>
          <w:bCs/>
          <w:szCs w:val="22"/>
          <w:lang w:val="pt-BR"/>
        </w:rPr>
        <w:t xml:space="preserve">, realizada em </w:t>
      </w:r>
      <w:r>
        <w:rPr>
          <w:rFonts w:ascii="Times New Roman" w:hAnsi="Times New Roman"/>
          <w:bCs/>
          <w:szCs w:val="22"/>
          <w:lang w:val="pt-BR"/>
        </w:rPr>
        <w:t>1</w:t>
      </w:r>
      <w:r w:rsidRPr="00E62BD7">
        <w:rPr>
          <w:rFonts w:ascii="Times New Roman" w:hAnsi="Times New Roman"/>
          <w:bCs/>
          <w:szCs w:val="22"/>
          <w:lang w:val="pt-BR"/>
        </w:rPr>
        <w:t>8 de maio de 2023)</w:t>
      </w:r>
    </w:p>
    <w:bookmarkEnd w:id="0"/>
    <w:p w14:paraId="5C6B67B4" w14:textId="77777777" w:rsidR="003B1C68" w:rsidRPr="00E62BD7" w:rsidRDefault="003B1C68" w:rsidP="003B1C68">
      <w:pPr>
        <w:rPr>
          <w:rFonts w:ascii="Times New Roman" w:hAnsi="Times New Roman"/>
          <w:b/>
          <w:szCs w:val="22"/>
          <w:lang w:val="pt-BR"/>
        </w:rPr>
      </w:pPr>
    </w:p>
    <w:p w14:paraId="1F764B6B" w14:textId="77777777" w:rsidR="003B1C68" w:rsidRPr="00E62BD7" w:rsidRDefault="003B1C68" w:rsidP="003B1C68">
      <w:pPr>
        <w:rPr>
          <w:rFonts w:ascii="Times New Roman" w:hAnsi="Times New Roman"/>
          <w:szCs w:val="22"/>
          <w:lang w:val="pt-BR"/>
        </w:rPr>
      </w:pPr>
    </w:p>
    <w:p w14:paraId="18381859" w14:textId="77777777" w:rsidR="003B1C68" w:rsidRPr="00E62BD7" w:rsidRDefault="003B1C68" w:rsidP="003B1C68">
      <w:pPr>
        <w:rPr>
          <w:rFonts w:ascii="Times New Roman" w:hAnsi="Times New Roman"/>
          <w:b/>
          <w:noProof/>
          <w:szCs w:val="22"/>
          <w:u w:val="single"/>
          <w:lang w:val="pt-BR"/>
        </w:rPr>
      </w:pPr>
      <w:r w:rsidRPr="00E62BD7">
        <w:rPr>
          <w:rFonts w:ascii="Times New Roman" w:hAnsi="Times New Roman"/>
          <w:b/>
          <w:noProof/>
          <w:szCs w:val="22"/>
          <w:u w:val="single"/>
          <w:lang w:val="pt-BR"/>
        </w:rPr>
        <w:t>Comitê Interamericano Contra o Terrorismo (CICTE)</w:t>
      </w:r>
    </w:p>
    <w:p w14:paraId="3B0AC4F5" w14:textId="77777777" w:rsidR="003B1C68" w:rsidRPr="00E62BD7" w:rsidRDefault="003B1C68" w:rsidP="003B1C68">
      <w:pPr>
        <w:rPr>
          <w:rFonts w:ascii="Times New Roman" w:hAnsi="Times New Roman"/>
          <w:i/>
          <w:szCs w:val="22"/>
          <w:lang w:val="pt-BR"/>
        </w:rPr>
      </w:pPr>
    </w:p>
    <w:p w14:paraId="5E5AEACF" w14:textId="53AD179D" w:rsidR="003B1C68" w:rsidRPr="003B1C68" w:rsidRDefault="003B1C68" w:rsidP="003B1C68">
      <w:pPr>
        <w:pStyle w:val="ListParagraph"/>
        <w:numPr>
          <w:ilvl w:val="0"/>
          <w:numId w:val="7"/>
        </w:numPr>
        <w:ind w:hanging="720"/>
        <w:jc w:val="both"/>
        <w:rPr>
          <w:szCs w:val="22"/>
          <w:lang w:val="pt-BR"/>
        </w:rPr>
      </w:pPr>
      <w:r w:rsidRPr="003B1C68">
        <w:rPr>
          <w:sz w:val="22"/>
          <w:szCs w:val="22"/>
          <w:lang w:val="pt-BR"/>
        </w:rPr>
        <w:t xml:space="preserve">Reiterar que o diálogo, o fortalecimento de capacidade e o intercâmbio de boas práticas e experiências, bem como a cooperação internacional e regional, são elementos fundamentais </w:t>
      </w:r>
      <w:r w:rsidRPr="003B1C68">
        <w:rPr>
          <w:rFonts w:eastAsia="Montserrat"/>
          <w:sz w:val="22"/>
          <w:szCs w:val="22"/>
          <w:lang w:val="pt-BR"/>
        </w:rPr>
        <w:t xml:space="preserve">para atender de maneira integral em nossa região aos desafios de caráter multidimensional decorrentes do terrorismo e do extremismo violento que pode levar ao terrorismo, e, por esse motivo, aprovar e apoiar a </w:t>
      </w:r>
      <w:r w:rsidRPr="003B1C68">
        <w:rPr>
          <w:sz w:val="22"/>
          <w:szCs w:val="22"/>
          <w:lang w:val="pt-BR"/>
        </w:rPr>
        <w:t xml:space="preserve">execução do Plano de Trabalho 2023-2024 do CICTE, tanto financeira como politicamente. </w:t>
      </w:r>
    </w:p>
    <w:p w14:paraId="053C3E65" w14:textId="77777777" w:rsidR="003B1C68" w:rsidRPr="003B1C68" w:rsidRDefault="003B1C68" w:rsidP="003B1C68">
      <w:pPr>
        <w:pStyle w:val="ListParagraph"/>
        <w:jc w:val="both"/>
        <w:rPr>
          <w:szCs w:val="22"/>
          <w:lang w:val="pt-BR"/>
        </w:rPr>
      </w:pPr>
    </w:p>
    <w:p w14:paraId="60EEE528" w14:textId="11175879" w:rsidR="003B1C68" w:rsidRPr="00E62BD7" w:rsidRDefault="003B1C68" w:rsidP="003B1C68">
      <w:pPr>
        <w:pStyle w:val="ListParagraph"/>
        <w:numPr>
          <w:ilvl w:val="0"/>
          <w:numId w:val="7"/>
        </w:numPr>
        <w:ind w:hanging="720"/>
        <w:jc w:val="both"/>
        <w:rPr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t>Fomentar a criação e o fortalecimento de sinergias e mecanismos de colaboração que beneficiem e apoiem os Estados membros na prevenção e no combate do terrorismo e do extremismo violento, de um enfoque integral, com perspectiva de gênero e inclusão, com base nas necessidades particulares da região, com pleno apego ao Estado de Direito, ao Direito Internacional, ao Direito Internacional Humanitário e aos direitos humanos, e, por conseguinte, à Estratégia Global das Nações Unidas contra o Terrorismo e seu Plano de Ação para Prevenir o Extremismo Violento.</w:t>
      </w:r>
    </w:p>
    <w:p w14:paraId="47DA2731" w14:textId="77777777" w:rsidR="003B1C68" w:rsidRPr="00E62BD7" w:rsidRDefault="003B1C68" w:rsidP="003B1C68">
      <w:pPr>
        <w:rPr>
          <w:szCs w:val="22"/>
          <w:lang w:val="pt-BR"/>
        </w:rPr>
      </w:pPr>
    </w:p>
    <w:p w14:paraId="171E5FB7" w14:textId="51FC50AE" w:rsidR="003B1C68" w:rsidRPr="00E62BD7" w:rsidRDefault="003B1C68" w:rsidP="003B1C68">
      <w:pPr>
        <w:pStyle w:val="ListParagraph"/>
        <w:numPr>
          <w:ilvl w:val="0"/>
          <w:numId w:val="7"/>
        </w:numPr>
        <w:ind w:hanging="720"/>
        <w:jc w:val="both"/>
        <w:rPr>
          <w:i/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t>Solicitar que a Secretaria do CICTE apoie os Estados membros que o solicitem, na medida da disponibilidade de recursos humanos e financeiros para essa finalidade, no fortalecimento de seus mecanismos nacionais de coordenação para prevenir e enfrentar o terrorismo e o extremismo violento, na promoção do intercâmbio de informações e de lições aprendidas, bem como na construção de competências, a fim de prevenir e enfrentar as ameaças existentes, emergentes e potenciais à paz e à segurança do Hemisfério.</w:t>
      </w:r>
    </w:p>
    <w:p w14:paraId="034AABF4" w14:textId="77777777" w:rsidR="003B1C68" w:rsidRPr="00E62BD7" w:rsidRDefault="003B1C68" w:rsidP="003B1C68">
      <w:pPr>
        <w:rPr>
          <w:rFonts w:ascii="Times New Roman" w:hAnsi="Times New Roman"/>
          <w:i/>
          <w:szCs w:val="22"/>
          <w:lang w:val="pt-BR"/>
        </w:rPr>
      </w:pPr>
    </w:p>
    <w:p w14:paraId="62B35328" w14:textId="77777777" w:rsidR="003B1C68" w:rsidRPr="00E62BD7" w:rsidRDefault="003B1C68" w:rsidP="003B1C68">
      <w:pPr>
        <w:pStyle w:val="ListParagraph"/>
        <w:numPr>
          <w:ilvl w:val="0"/>
          <w:numId w:val="7"/>
        </w:numPr>
        <w:ind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Solicitar que a Secretaria do CICTE, em concordância com seu Plano de Trabalho anual aprovado, continue apoiando os Estados membros que o soliciten com assistência écnica e legislativa, a fim de fortalecer, bem como enfatizar, a relevância: </w:t>
      </w:r>
    </w:p>
    <w:p w14:paraId="148A031F" w14:textId="77777777" w:rsidR="003B1C68" w:rsidRPr="00E62BD7" w:rsidRDefault="003B1C68" w:rsidP="003B1C68">
      <w:pPr>
        <w:pStyle w:val="ListParagraph"/>
        <w:numPr>
          <w:ilvl w:val="1"/>
          <w:numId w:val="11"/>
        </w:numPr>
        <w:ind w:left="144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dos esforços por prevenir e combater o extremismo violento que pode levar ao terrorismo, dispensndo especial atenção ao estudo das tendências e desafios dos efeitos </w:t>
      </w:r>
      <w:r w:rsidRPr="00E62BD7">
        <w:rPr>
          <w:i/>
          <w:iCs/>
          <w:noProof/>
          <w:sz w:val="22"/>
          <w:szCs w:val="22"/>
          <w:lang w:val="pt-BR"/>
        </w:rPr>
        <w:t>offline</w:t>
      </w:r>
      <w:r w:rsidRPr="00E62BD7">
        <w:rPr>
          <w:noProof/>
          <w:sz w:val="22"/>
          <w:szCs w:val="22"/>
          <w:lang w:val="pt-BR"/>
        </w:rPr>
        <w:t xml:space="preserve"> da atividade </w:t>
      </w:r>
      <w:r w:rsidRPr="00E62BD7">
        <w:rPr>
          <w:i/>
          <w:iCs/>
          <w:noProof/>
          <w:sz w:val="22"/>
          <w:szCs w:val="22"/>
          <w:lang w:val="pt-BR"/>
        </w:rPr>
        <w:t>online</w:t>
      </w:r>
      <w:r w:rsidRPr="00E62BD7">
        <w:rPr>
          <w:noProof/>
          <w:sz w:val="22"/>
          <w:szCs w:val="22"/>
          <w:lang w:val="pt-BR"/>
        </w:rPr>
        <w:t>, bem como à prevenção e combate do uso das tecnologias da informação e das comunicações com fins terroristas e de extremismo violento, de uma perspectiva multidisciplinar e com a colaboração voluntária do setor privado, da sociedade civil e do setor acadêmico;</w:t>
      </w:r>
    </w:p>
    <w:p w14:paraId="0DA681B9" w14:textId="77777777" w:rsidR="003B1C68" w:rsidRPr="00E62BD7" w:rsidRDefault="003B1C68" w:rsidP="003B1C68">
      <w:pPr>
        <w:pStyle w:val="ListParagraph"/>
        <w:numPr>
          <w:ilvl w:val="1"/>
          <w:numId w:val="11"/>
        </w:numPr>
        <w:ind w:left="144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lastRenderedPageBreak/>
        <w:t>do papel do esporte como agente de mudança para prevenir o terrorismo e o extremismo violento que pode levar ao terrorismo, bem como da necessidade de continuar fortalecendo as medidas de segurança no contexto dos grandes eventos esportios;</w:t>
      </w:r>
    </w:p>
    <w:p w14:paraId="47CB584B" w14:textId="77777777" w:rsidR="003B1C68" w:rsidRPr="00E62BD7" w:rsidRDefault="003B1C68" w:rsidP="003B1C68">
      <w:pPr>
        <w:pStyle w:val="ListParagraph"/>
        <w:numPr>
          <w:ilvl w:val="1"/>
          <w:numId w:val="11"/>
        </w:numPr>
        <w:ind w:left="144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>da resiliência diante da ameaça crescente que as atividades cibernéticas maliciosas suscitam para a infraestrutura crítica e os serviços essenciais da região, e da cooperação e da coordenação hemisféricas para prevenir e reduzir os efeitos dessas ameaças, inclusive por meio da Rede Hemisférica de Equipes de Resposta a Incidentes de Segurança Cibernética (CSIRTAmericas).</w:t>
      </w:r>
    </w:p>
    <w:p w14:paraId="5F071707" w14:textId="77777777" w:rsidR="003B1C68" w:rsidRPr="00E62BD7" w:rsidRDefault="003B1C68" w:rsidP="003B1C68">
      <w:pPr>
        <w:rPr>
          <w:noProof/>
          <w:szCs w:val="22"/>
          <w:lang w:val="pt-BR"/>
        </w:rPr>
      </w:pPr>
    </w:p>
    <w:p w14:paraId="09D4EC87" w14:textId="06791755" w:rsidR="003B1C68" w:rsidRPr="00E62BD7" w:rsidRDefault="003B1C68" w:rsidP="003B1C68">
      <w:pPr>
        <w:pStyle w:val="ListParagraph"/>
        <w:numPr>
          <w:ilvl w:val="0"/>
          <w:numId w:val="7"/>
        </w:numPr>
        <w:ind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>Agradecer ao Governo do Mexico a organização da Vigésima Terceira Reuniao do Comitê Interamericano contra o Terrorismo (CICTE), realizada em 17 e 18 de maio de 2023, na Cidade do México, e convocar a Vigésima Quarta Reunião do CICTE no primeiro semestre de 2024.</w:t>
      </w:r>
    </w:p>
    <w:p w14:paraId="4882A6C6" w14:textId="77777777" w:rsidR="003B1C68" w:rsidRPr="00E62BD7" w:rsidRDefault="003B1C68" w:rsidP="003B1C68">
      <w:pPr>
        <w:rPr>
          <w:rFonts w:ascii="Times New Roman" w:hAnsi="Times New Roman"/>
          <w:szCs w:val="22"/>
          <w:lang w:val="pt-BR"/>
        </w:rPr>
      </w:pPr>
    </w:p>
    <w:p w14:paraId="5744D3F4" w14:textId="77777777" w:rsidR="003B1C68" w:rsidRPr="00E62BD7" w:rsidRDefault="003B1C68" w:rsidP="003B1C68">
      <w:pPr>
        <w:rPr>
          <w:rFonts w:ascii="Times New Roman" w:hAnsi="Times New Roman"/>
          <w:b/>
          <w:noProof/>
          <w:szCs w:val="22"/>
          <w:u w:val="single"/>
          <w:lang w:val="es-AR"/>
        </w:rPr>
      </w:pPr>
      <w:r w:rsidRPr="00E62BD7">
        <w:rPr>
          <w:rFonts w:ascii="Times New Roman" w:hAnsi="Times New Roman"/>
          <w:b/>
          <w:noProof/>
          <w:szCs w:val="22"/>
          <w:u w:val="single"/>
          <w:lang w:val="es-AR"/>
        </w:rPr>
        <w:t>Promoção da segurança cibernética</w:t>
      </w:r>
    </w:p>
    <w:p w14:paraId="06842DE2" w14:textId="77777777" w:rsidR="003B1C68" w:rsidRPr="00E62BD7" w:rsidRDefault="003B1C68" w:rsidP="003B1C68">
      <w:pPr>
        <w:rPr>
          <w:rFonts w:ascii="Times New Roman" w:hAnsi="Times New Roman"/>
          <w:szCs w:val="22"/>
          <w:lang w:val="es-AR"/>
        </w:rPr>
      </w:pPr>
    </w:p>
    <w:p w14:paraId="17E0DC58" w14:textId="7219AC48" w:rsidR="003B1C68" w:rsidRPr="00E62BD7" w:rsidRDefault="003B1C68" w:rsidP="003B1C68">
      <w:pPr>
        <w:pStyle w:val="ListParagraph"/>
        <w:numPr>
          <w:ilvl w:val="0"/>
          <w:numId w:val="8"/>
        </w:numPr>
        <w:ind w:left="72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Receber com satisfação as gestões do CICTE para colocar em prática as normas e medidas de fortalecimento da confiança; do comportamento estatal responsável no espaço cibernético; da cooperação no espaço cibernético; e do desenvolvimento de competências para continuar abordando as ameaças comuns no espaço cibernético, entre elas as atividades cibernéticas maliciosas </w:t>
      </w:r>
      <w:r w:rsidRPr="003B1C68">
        <w:rPr>
          <w:noProof/>
          <w:sz w:val="22"/>
          <w:szCs w:val="22"/>
          <w:lang w:val="pt-BR"/>
        </w:rPr>
        <w:t xml:space="preserve">contra a infraestrutura. </w:t>
      </w:r>
    </w:p>
    <w:p w14:paraId="2871DA03" w14:textId="77777777" w:rsidR="003B1C68" w:rsidRPr="00E62BD7" w:rsidRDefault="003B1C68" w:rsidP="003B1C68">
      <w:pPr>
        <w:pStyle w:val="ListParagraph"/>
        <w:ind w:hanging="720"/>
        <w:jc w:val="both"/>
        <w:rPr>
          <w:noProof/>
          <w:sz w:val="22"/>
          <w:szCs w:val="22"/>
          <w:lang w:val="pt-BR"/>
        </w:rPr>
      </w:pPr>
    </w:p>
    <w:p w14:paraId="32C567DA" w14:textId="4E062683" w:rsidR="003B1C68" w:rsidRPr="00E62BD7" w:rsidRDefault="003B1C68" w:rsidP="003B1C68">
      <w:pPr>
        <w:pStyle w:val="ListParagraph"/>
        <w:numPr>
          <w:ilvl w:val="0"/>
          <w:numId w:val="8"/>
        </w:numPr>
        <w:ind w:left="72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Tomar mais medidas para promover o intercâmbio de informações e o apoio técnico inter-regional, inclusive com órgãos das Nações Unidas e por seu intermédio, sobre o impacto </w:t>
      </w:r>
      <w:r>
        <w:rPr>
          <w:noProof/>
          <w:sz w:val="22"/>
          <w:szCs w:val="22"/>
          <w:lang w:val="pt-BR"/>
        </w:rPr>
        <w:t>do delito cibernético</w:t>
      </w:r>
      <w:r w:rsidRPr="00E62BD7">
        <w:rPr>
          <w:noProof/>
          <w:sz w:val="22"/>
          <w:szCs w:val="22"/>
          <w:lang w:val="pt-BR"/>
        </w:rPr>
        <w:t>, com o objetivo de prevenir e reduzir seus efeitos.</w:t>
      </w:r>
    </w:p>
    <w:p w14:paraId="5A2DE9F7" w14:textId="77777777" w:rsidR="003B1C68" w:rsidRPr="00E62BD7" w:rsidRDefault="003B1C68" w:rsidP="003B1C68">
      <w:pPr>
        <w:ind w:left="720" w:hanging="720"/>
        <w:rPr>
          <w:rFonts w:ascii="Times New Roman" w:hAnsi="Times New Roman"/>
          <w:noProof/>
          <w:szCs w:val="22"/>
          <w:lang w:val="pt-BR"/>
        </w:rPr>
      </w:pPr>
    </w:p>
    <w:p w14:paraId="2E75856B" w14:textId="2F8E4B38" w:rsidR="003B1C68" w:rsidRDefault="003B1C68" w:rsidP="003B1C68">
      <w:pPr>
        <w:pStyle w:val="ListParagraph"/>
        <w:numPr>
          <w:ilvl w:val="0"/>
          <w:numId w:val="8"/>
        </w:numPr>
        <w:ind w:left="72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Solicitar que a SSM, por meio da Secretaria do CICTE, continue apoiando os Estados membros na formulação ou na revisão de estratégias ou programas de segurança cibernética, fomentando o intercâmbio de informações, experiências e boas práticas e apoiando o desenvolvimento da capacidade em matéria de segurança cibernética. Nesse sentido, fomentar a criação de sinergias com outros processos multilaterais de segurança cibernética, inclusive análise de ameaças existentes e potenciais; Direito Internacional; </w:t>
      </w:r>
      <w:r w:rsidRPr="003B1C68">
        <w:rPr>
          <w:noProof/>
          <w:sz w:val="22"/>
          <w:szCs w:val="22"/>
          <w:lang w:val="pt-BR"/>
        </w:rPr>
        <w:t>Direito Internacional Humanitário,</w:t>
      </w:r>
      <w:r w:rsidRPr="00E62BD7">
        <w:rPr>
          <w:noProof/>
          <w:sz w:val="22"/>
          <w:szCs w:val="22"/>
          <w:lang w:val="pt-BR"/>
        </w:rPr>
        <w:t xml:space="preserve"> normas, regras e princípios de comportamento responsável dos Estados; medidas de fortalecimento da confiança; criação de capacidade; e perspectiva de gênero.</w:t>
      </w:r>
    </w:p>
    <w:p w14:paraId="1B89475A" w14:textId="77777777" w:rsidR="003B1C68" w:rsidRPr="003B1C68" w:rsidRDefault="003B1C68" w:rsidP="003B1C68">
      <w:pPr>
        <w:rPr>
          <w:noProof/>
          <w:szCs w:val="22"/>
          <w:lang w:val="pt-BR"/>
        </w:rPr>
      </w:pPr>
    </w:p>
    <w:p w14:paraId="6D8C27CB" w14:textId="77777777" w:rsidR="003B1C68" w:rsidRPr="00E62BD7" w:rsidRDefault="003B1C68" w:rsidP="003B1C68">
      <w:pPr>
        <w:pStyle w:val="ListParagraph"/>
        <w:numPr>
          <w:ilvl w:val="0"/>
          <w:numId w:val="8"/>
        </w:numPr>
        <w:ind w:left="72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>Solicitar que a SSM, por meio do CICTE, convoque, em 2024, uma reunião hemisférica de altas autoridades em matéria de segurança digital e tecnologias da informação e das comunicações, a fim de refletir sobre o panorama atual de ameaças cibernéticas e elaborar uma agenda regional sobre segurança cibernética e proteção de infraestrutura crítica.</w:t>
      </w:r>
    </w:p>
    <w:p w14:paraId="34DF935A" w14:textId="77777777" w:rsidR="003B1C68" w:rsidRPr="00E62BD7" w:rsidRDefault="003B1C68" w:rsidP="003B1C68">
      <w:pPr>
        <w:rPr>
          <w:noProof/>
          <w:szCs w:val="22"/>
          <w:lang w:val="pt-BR"/>
        </w:rPr>
      </w:pPr>
    </w:p>
    <w:p w14:paraId="2AB96682" w14:textId="77777777" w:rsidR="003B1C68" w:rsidRPr="00E62BD7" w:rsidRDefault="003B1C68" w:rsidP="003B1C68">
      <w:pPr>
        <w:rPr>
          <w:rFonts w:ascii="Times New Roman" w:hAnsi="Times New Roman"/>
          <w:b/>
          <w:szCs w:val="22"/>
          <w:u w:val="single"/>
          <w:lang w:val="pt-BR"/>
        </w:rPr>
      </w:pPr>
      <w:r w:rsidRPr="00E62BD7">
        <w:rPr>
          <w:rFonts w:ascii="Times New Roman" w:hAnsi="Times New Roman"/>
          <w:b/>
          <w:szCs w:val="22"/>
          <w:u w:val="single"/>
          <w:lang w:val="pt-BR"/>
        </w:rPr>
        <w:t xml:space="preserve">Medidas de fortalecimento da confiança e da segurança nas Américas </w:t>
      </w:r>
    </w:p>
    <w:p w14:paraId="259E4CF7" w14:textId="77777777" w:rsidR="003B1C68" w:rsidRPr="00E62BD7" w:rsidRDefault="003B1C68" w:rsidP="003B1C68">
      <w:pPr>
        <w:rPr>
          <w:rFonts w:ascii="Times New Roman" w:hAnsi="Times New Roman"/>
          <w:b/>
          <w:szCs w:val="22"/>
          <w:u w:val="single"/>
          <w:lang w:val="pt-BR"/>
        </w:rPr>
      </w:pPr>
    </w:p>
    <w:p w14:paraId="44FB5B00" w14:textId="017BCE82" w:rsidR="003B1C68" w:rsidRPr="003B1C68" w:rsidRDefault="003B1C68" w:rsidP="003B1C68">
      <w:pPr>
        <w:pStyle w:val="ListParagraph"/>
        <w:numPr>
          <w:ilvl w:val="0"/>
          <w:numId w:val="12"/>
        </w:numPr>
        <w:ind w:left="720" w:hanging="720"/>
        <w:jc w:val="both"/>
        <w:rPr>
          <w:noProof/>
          <w:sz w:val="22"/>
          <w:szCs w:val="22"/>
          <w:lang w:val="pt-BR"/>
        </w:rPr>
      </w:pPr>
      <w:r w:rsidRPr="00E62BD7">
        <w:rPr>
          <w:noProof/>
          <w:sz w:val="22"/>
          <w:szCs w:val="22"/>
          <w:lang w:val="pt-BR"/>
        </w:rPr>
        <w:t xml:space="preserve">Agradecer ao Governo do México por haver sediado a Quarta Reunião do Grupo de Trabalho do CICTE sobre Cooperação e Medidas de Fortalecimento da Confiança no Espaço Cibernético, em 27 de outubro de 2022, na Cidade do México e </w:t>
      </w:r>
      <w:r w:rsidRPr="003B1C68">
        <w:rPr>
          <w:noProof/>
          <w:sz w:val="22"/>
          <w:szCs w:val="22"/>
          <w:lang w:val="pt-BR"/>
        </w:rPr>
        <w:t xml:space="preserve">recomendar a adoção das cinco medidas de fortalecimento da confiança </w:t>
      </w:r>
      <w:r>
        <w:rPr>
          <w:noProof/>
          <w:sz w:val="22"/>
          <w:szCs w:val="22"/>
          <w:lang w:val="pt-BR"/>
        </w:rPr>
        <w:t>(</w:t>
      </w:r>
      <w:r w:rsidRPr="003B1C68">
        <w:rPr>
          <w:noProof/>
          <w:sz w:val="22"/>
          <w:szCs w:val="22"/>
          <w:lang w:val="pt-BR"/>
        </w:rPr>
        <w:t xml:space="preserve">CICTE/GT/MFCC/Doc.4 </w:t>
      </w:r>
      <w:r>
        <w:rPr>
          <w:noProof/>
          <w:sz w:val="22"/>
          <w:szCs w:val="22"/>
          <w:lang w:val="pt-BR"/>
        </w:rPr>
        <w:t>r</w:t>
      </w:r>
      <w:r w:rsidRPr="003B1C68">
        <w:rPr>
          <w:noProof/>
          <w:sz w:val="22"/>
          <w:szCs w:val="22"/>
          <w:lang w:val="pt-BR"/>
        </w:rPr>
        <w:t>ev.1</w:t>
      </w:r>
      <w:r>
        <w:rPr>
          <w:noProof/>
          <w:sz w:val="22"/>
          <w:szCs w:val="22"/>
          <w:lang w:val="pt-BR"/>
        </w:rPr>
        <w:t>)</w:t>
      </w:r>
      <w:r w:rsidRPr="003B1C68">
        <w:rPr>
          <w:noProof/>
          <w:sz w:val="22"/>
          <w:szCs w:val="22"/>
          <w:lang w:val="pt-BR"/>
        </w:rPr>
        <w:t xml:space="preserve"> acordadas na reunião e sua inclusão na Lista Consolidada de Medidas de Fortalecimento da Confiança no Espaço Cibernético:</w:t>
      </w:r>
    </w:p>
    <w:p w14:paraId="79DEDC79" w14:textId="77777777" w:rsidR="003B1C68" w:rsidRPr="00E62BD7" w:rsidRDefault="003B1C68" w:rsidP="003B1C68">
      <w:pPr>
        <w:pStyle w:val="ListParagraph"/>
        <w:numPr>
          <w:ilvl w:val="1"/>
          <w:numId w:val="10"/>
        </w:numPr>
        <w:ind w:hanging="720"/>
        <w:jc w:val="both"/>
        <w:rPr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lastRenderedPageBreak/>
        <w:t xml:space="preserve">Fomentar e promover a inclusão, a participação e a liderança eficazes e significativas das mulheres nos processos de tomada de decisões vinculados às tecnologias da informação e das comunicações, promovendo medidas específicas nos planos nacional e internacional, com o objetivo de abordar dimensões quanto à igualdade de gênero e a redução da lacuna digital de gênero, em conformidade com a agenda da mulher, paz e segurança. </w:t>
      </w:r>
    </w:p>
    <w:p w14:paraId="75BD071D" w14:textId="35555A36" w:rsidR="003B1C68" w:rsidRPr="003B1C68" w:rsidRDefault="003B1C68" w:rsidP="003B1C68">
      <w:pPr>
        <w:pStyle w:val="ListParagraph"/>
        <w:numPr>
          <w:ilvl w:val="1"/>
          <w:numId w:val="10"/>
        </w:numPr>
        <w:ind w:hanging="720"/>
        <w:jc w:val="both"/>
        <w:rPr>
          <w:sz w:val="22"/>
          <w:szCs w:val="22"/>
          <w:lang w:val="pt-BR"/>
        </w:rPr>
      </w:pPr>
      <w:r w:rsidRPr="003B1C68">
        <w:rPr>
          <w:sz w:val="22"/>
          <w:szCs w:val="22"/>
          <w:lang w:val="pt-BR"/>
        </w:rPr>
        <w:t>Promover o estudo, debate, desenvolvimento e criação de capacidade nos âmbitos nacional e internacional a respeito da aplicação do Direito Internacional e do Direito Internacional Humanitário no uso das tecnologias da informação e das comunicações no contexto da segurança internacional, promovendo o intercâmbio voluntário de posições e declarações de visão nacionais, pareceres, legislações, políticas e práticas sobre a matéria, a fim de promover entendimentos comuns.</w:t>
      </w:r>
    </w:p>
    <w:p w14:paraId="6FC6D8CC" w14:textId="77777777" w:rsidR="003B1C68" w:rsidRPr="00E62BD7" w:rsidRDefault="003B1C68" w:rsidP="003B1C68">
      <w:pPr>
        <w:pStyle w:val="ListParagraph"/>
        <w:numPr>
          <w:ilvl w:val="1"/>
          <w:numId w:val="10"/>
        </w:numPr>
        <w:ind w:hanging="720"/>
        <w:jc w:val="both"/>
        <w:rPr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t xml:space="preserve">Promover a implementação das 11 normas voluntárias não vinculantes sobre comportamento responsável dos Estados no espaço cibernético adotadas na resolução 70/237 da Assembleia Geral das Nações Unidas e promover a apresentação de relatórios sobre essas atividades, levando em conta a pesquisa de implementação nacional. </w:t>
      </w:r>
    </w:p>
    <w:p w14:paraId="3A77EE4A" w14:textId="77777777" w:rsidR="003B1C68" w:rsidRPr="00E62BD7" w:rsidRDefault="003B1C68" w:rsidP="003B1C68">
      <w:pPr>
        <w:pStyle w:val="ListParagraph"/>
        <w:numPr>
          <w:ilvl w:val="1"/>
          <w:numId w:val="10"/>
        </w:numPr>
        <w:ind w:hanging="720"/>
        <w:jc w:val="both"/>
        <w:rPr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t xml:space="preserve">Promover, no âmbito das tecnologias da informação e das comunicações, o trabalho e o diálogo com todas as partes interessadas, inclusive a sociedade civil, as instituições educacionais, o setor privado e a comunidade técnica, entre outros. </w:t>
      </w:r>
    </w:p>
    <w:p w14:paraId="25FD612E" w14:textId="77777777" w:rsidR="003B1C68" w:rsidRPr="00E62BD7" w:rsidRDefault="003B1C68" w:rsidP="003B1C68">
      <w:pPr>
        <w:pStyle w:val="ListParagraph"/>
        <w:numPr>
          <w:ilvl w:val="1"/>
          <w:numId w:val="10"/>
        </w:numPr>
        <w:ind w:hanging="720"/>
        <w:jc w:val="both"/>
        <w:rPr>
          <w:noProof/>
          <w:sz w:val="22"/>
          <w:szCs w:val="22"/>
          <w:lang w:val="pt-BR"/>
        </w:rPr>
      </w:pPr>
      <w:r w:rsidRPr="00E62BD7">
        <w:rPr>
          <w:sz w:val="22"/>
          <w:szCs w:val="22"/>
          <w:lang w:val="pt-BR"/>
        </w:rPr>
        <w:t>Elaborar esquemas nacionais de gravidade de incidentes cibernéticos e divulgar informação sobre eles.</w:t>
      </w:r>
    </w:p>
    <w:p w14:paraId="1F4D2D39" w14:textId="77777777" w:rsidR="003B1C68" w:rsidRPr="00E62BD7" w:rsidRDefault="003B1C68" w:rsidP="003B1C68">
      <w:pPr>
        <w:textAlignment w:val="baseline"/>
        <w:rPr>
          <w:rFonts w:ascii="Times New Roman" w:hAnsi="Times New Roman"/>
          <w:b/>
          <w:bCs/>
          <w:szCs w:val="22"/>
          <w:bdr w:val="none" w:sz="0" w:space="0" w:color="auto" w:frame="1"/>
          <w:lang w:val="pt-BR"/>
        </w:rPr>
      </w:pPr>
    </w:p>
    <w:p w14:paraId="6ECC9635" w14:textId="77777777" w:rsidR="003B1C68" w:rsidRDefault="003B1C68" w:rsidP="003B1C68">
      <w:pPr>
        <w:textAlignment w:val="baseline"/>
        <w:rPr>
          <w:rFonts w:ascii="Times New Roman" w:hAnsi="Times New Roman"/>
          <w:b/>
          <w:bCs/>
          <w:szCs w:val="22"/>
          <w:bdr w:val="none" w:sz="0" w:space="0" w:color="auto" w:frame="1"/>
          <w:lang w:val="pt-BR"/>
        </w:rPr>
      </w:pPr>
      <w:r w:rsidRPr="00E62BD7">
        <w:rPr>
          <w:rFonts w:ascii="Times New Roman" w:hAnsi="Times New Roman"/>
          <w:b/>
          <w:bCs/>
          <w:szCs w:val="22"/>
          <w:bdr w:val="none" w:sz="0" w:space="0" w:color="auto" w:frame="1"/>
          <w:lang w:val="pt-BR"/>
        </w:rPr>
        <w:t xml:space="preserve">Convenção Interamericana contra o Terrorismo </w:t>
      </w:r>
    </w:p>
    <w:p w14:paraId="39AB596E" w14:textId="77777777" w:rsidR="003B1C68" w:rsidRPr="00E62BD7" w:rsidRDefault="003B1C68" w:rsidP="003B1C68">
      <w:pPr>
        <w:textAlignment w:val="baseline"/>
        <w:rPr>
          <w:rFonts w:ascii="Times New Roman" w:hAnsi="Times New Roman"/>
          <w:b/>
          <w:bCs/>
          <w:szCs w:val="22"/>
          <w:bdr w:val="none" w:sz="0" w:space="0" w:color="auto" w:frame="1"/>
          <w:lang w:val="pt-BR"/>
        </w:rPr>
      </w:pPr>
    </w:p>
    <w:p w14:paraId="7D929345" w14:textId="47F0BE38" w:rsidR="003B1C68" w:rsidRPr="003B1C68" w:rsidRDefault="003B1C68" w:rsidP="003B1C68">
      <w:pPr>
        <w:textAlignment w:val="baseline"/>
        <w:rPr>
          <w:rFonts w:ascii="Times New Roman" w:hAnsi="Times New Roman"/>
          <w:szCs w:val="22"/>
          <w:bdr w:val="none" w:sz="0" w:space="0" w:color="auto" w:frame="1"/>
          <w:lang w:val="pt-BR"/>
        </w:rPr>
      </w:pPr>
      <w:r w:rsidRPr="003B1C68">
        <w:rPr>
          <w:rFonts w:ascii="Times New Roman" w:hAnsi="Times New Roman"/>
          <w:szCs w:val="22"/>
          <w:bdr w:val="none" w:sz="0" w:space="0" w:color="auto" w:frame="1"/>
          <w:lang w:val="pt-BR"/>
        </w:rPr>
        <w:t>Solicitar que os Estados membros da OEA implementem a Declaração Final (OEA/Ser.K/L.1/RCEPTER/DEC.</w:t>
      </w:r>
      <w:r w:rsidRPr="003B1C68">
        <w:rPr>
          <w:rFonts w:ascii="Times New Roman" w:hAnsi="Times New Roman"/>
          <w:szCs w:val="22"/>
          <w:lang w:val="pt-BR"/>
        </w:rPr>
        <w:t>1/22</w:t>
      </w:r>
      <w:r w:rsidRPr="003B1C68">
        <w:rPr>
          <w:rFonts w:ascii="Times New Roman" w:hAnsi="Times New Roman"/>
          <w:szCs w:val="22"/>
          <w:bdr w:val="none" w:sz="0" w:space="0" w:color="auto" w:frame="1"/>
          <w:lang w:val="pt-BR"/>
        </w:rPr>
        <w:t>) e as Recomendações (OEA/Ser.K/L.1/RCEPTER/doc.5/22</w:t>
      </w:r>
      <w:r>
        <w:rPr>
          <w:rFonts w:ascii="Times New Roman" w:hAnsi="Times New Roman"/>
          <w:szCs w:val="22"/>
          <w:bdr w:val="none" w:sz="0" w:space="0" w:color="auto" w:frame="1"/>
          <w:lang w:val="pt-BR"/>
        </w:rPr>
        <w:t>)</w:t>
      </w:r>
      <w:r w:rsidRPr="003B1C68">
        <w:rPr>
          <w:rFonts w:ascii="Times New Roman" w:hAnsi="Times New Roman"/>
          <w:szCs w:val="22"/>
          <w:bdr w:val="none" w:sz="0" w:space="0" w:color="auto" w:frame="1"/>
          <w:lang w:val="pt-BR"/>
        </w:rPr>
        <w:t xml:space="preserve"> emitidas pelos Estados Partes na Convenção Interamericana contra o Terrorismo, em 12 de setembro de 2022.</w:t>
      </w:r>
      <w:r w:rsidRPr="003B1C68"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28B4C0" wp14:editId="63AB1F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403835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A913A" w14:textId="614D7680" w:rsidR="003B1C68" w:rsidRPr="00E62BD7" w:rsidRDefault="003B1C68" w:rsidP="003B1C6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0035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CICTE01643P05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B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8A913A" w14:textId="614D7680" w:rsidR="003B1C68" w:rsidRPr="00E62BD7" w:rsidRDefault="003B1C68" w:rsidP="003B1C6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00357">
                        <w:rPr>
                          <w:rFonts w:ascii="Times New Roman" w:hAnsi="Times New Roman"/>
                          <w:noProof/>
                          <w:sz w:val="18"/>
                        </w:rPr>
                        <w:t>CICTE01643P05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ED4D3F" w14:textId="5D43DD38" w:rsidR="00120E2D" w:rsidRPr="00CF04BE" w:rsidRDefault="00120E2D" w:rsidP="003B1C68">
      <w:pPr>
        <w:rPr>
          <w:lang w:val="pt-BR"/>
        </w:rPr>
      </w:pPr>
    </w:p>
    <w:sectPr w:rsidR="00120E2D" w:rsidRPr="00CF04BE" w:rsidSect="007D5F4F">
      <w:headerReference w:type="default" r:id="rId8"/>
      <w:headerReference w:type="first" r:id="rId9"/>
      <w:pgSz w:w="12240" w:h="15840"/>
      <w:pgMar w:top="2160" w:right="1570" w:bottom="1296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5E9C" w14:textId="77777777" w:rsidR="00750383" w:rsidRDefault="00750383" w:rsidP="00D7654A">
      <w:r>
        <w:separator/>
      </w:r>
    </w:p>
  </w:endnote>
  <w:endnote w:type="continuationSeparator" w:id="0">
    <w:p w14:paraId="1C51B7AD" w14:textId="77777777" w:rsidR="00750383" w:rsidRDefault="00750383" w:rsidP="00D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4846" w14:textId="77777777" w:rsidR="00750383" w:rsidRDefault="00750383" w:rsidP="00D7654A">
      <w:r>
        <w:separator/>
      </w:r>
    </w:p>
  </w:footnote>
  <w:footnote w:type="continuationSeparator" w:id="0">
    <w:p w14:paraId="7D7FE541" w14:textId="77777777" w:rsidR="00750383" w:rsidRDefault="00750383" w:rsidP="00D7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494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865DC" w14:textId="55A4E59E" w:rsidR="00303912" w:rsidRDefault="003039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5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3B24508" w14:textId="77777777" w:rsidR="00303912" w:rsidRPr="00303912" w:rsidRDefault="00303912" w:rsidP="00303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D54E" w14:textId="0F6BED4C" w:rsidR="00D21528" w:rsidRDefault="00D21528">
    <w:pPr>
      <w:pStyle w:val="Header"/>
    </w:pPr>
    <w:r w:rsidRPr="00217C69">
      <w:rPr>
        <w:b/>
        <w:bCs/>
        <w:noProof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7B4883" wp14:editId="41D7371D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2258695" cy="639445"/>
          <wp:effectExtent l="0" t="0" r="8255" b="8255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669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210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44D"/>
    <w:multiLevelType w:val="hybridMultilevel"/>
    <w:tmpl w:val="4238F178"/>
    <w:lvl w:ilvl="0" w:tplc="D6505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199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D07"/>
    <w:multiLevelType w:val="hybridMultilevel"/>
    <w:tmpl w:val="5A5602D8"/>
    <w:lvl w:ilvl="0" w:tplc="755EF516">
      <w:start w:val="1"/>
      <w:numFmt w:val="upperLetter"/>
      <w:lvlText w:val="%1."/>
      <w:lvlJc w:val="left"/>
      <w:pPr>
        <w:ind w:left="720" w:hanging="360"/>
      </w:pPr>
      <w:rPr>
        <w:vanish w:val="0"/>
      </w:rPr>
    </w:lvl>
    <w:lvl w:ilvl="1" w:tplc="17046C18">
      <w:start w:val="1"/>
      <w:numFmt w:val="lowerLetter"/>
      <w:lvlText w:val="%2."/>
      <w:lvlJc w:val="left"/>
      <w:pPr>
        <w:ind w:left="1440" w:hanging="360"/>
      </w:pPr>
    </w:lvl>
    <w:lvl w:ilvl="2" w:tplc="5E124770">
      <w:start w:val="1"/>
      <w:numFmt w:val="lowerRoman"/>
      <w:lvlText w:val="%3."/>
      <w:lvlJc w:val="right"/>
      <w:pPr>
        <w:ind w:left="2160" w:hanging="180"/>
      </w:pPr>
    </w:lvl>
    <w:lvl w:ilvl="3" w:tplc="FA0A0794">
      <w:start w:val="1"/>
      <w:numFmt w:val="decimal"/>
      <w:lvlText w:val="%4."/>
      <w:lvlJc w:val="left"/>
      <w:pPr>
        <w:ind w:left="2880" w:hanging="360"/>
      </w:pPr>
    </w:lvl>
    <w:lvl w:ilvl="4" w:tplc="014407D2">
      <w:start w:val="1"/>
      <w:numFmt w:val="lowerLetter"/>
      <w:lvlText w:val="%5."/>
      <w:lvlJc w:val="left"/>
      <w:pPr>
        <w:ind w:left="3600" w:hanging="360"/>
      </w:pPr>
    </w:lvl>
    <w:lvl w:ilvl="5" w:tplc="554CCEB2">
      <w:start w:val="1"/>
      <w:numFmt w:val="lowerRoman"/>
      <w:lvlText w:val="%6."/>
      <w:lvlJc w:val="right"/>
      <w:pPr>
        <w:ind w:left="4320" w:hanging="180"/>
      </w:pPr>
    </w:lvl>
    <w:lvl w:ilvl="6" w:tplc="19AC3740">
      <w:start w:val="1"/>
      <w:numFmt w:val="decimal"/>
      <w:lvlText w:val="%7."/>
      <w:lvlJc w:val="left"/>
      <w:pPr>
        <w:ind w:left="5040" w:hanging="360"/>
      </w:pPr>
    </w:lvl>
    <w:lvl w:ilvl="7" w:tplc="0834FE50">
      <w:start w:val="1"/>
      <w:numFmt w:val="lowerLetter"/>
      <w:lvlText w:val="%8."/>
      <w:lvlJc w:val="left"/>
      <w:pPr>
        <w:ind w:left="5760" w:hanging="360"/>
      </w:pPr>
    </w:lvl>
    <w:lvl w:ilvl="8" w:tplc="050E27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AA8"/>
    <w:multiLevelType w:val="hybridMultilevel"/>
    <w:tmpl w:val="70A616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563D"/>
    <w:multiLevelType w:val="hybridMultilevel"/>
    <w:tmpl w:val="7D72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70ACF4B8">
      <w:start w:val="1"/>
      <w:numFmt w:val="lowerLetter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21A80"/>
    <w:multiLevelType w:val="hybridMultilevel"/>
    <w:tmpl w:val="C38A14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29F"/>
    <w:multiLevelType w:val="hybridMultilevel"/>
    <w:tmpl w:val="FFB8F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5AD3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E5C"/>
    <w:multiLevelType w:val="hybridMultilevel"/>
    <w:tmpl w:val="3E10485C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416784"/>
    <w:multiLevelType w:val="hybridMultilevel"/>
    <w:tmpl w:val="151EA2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32943">
    <w:abstractNumId w:val="4"/>
  </w:num>
  <w:num w:numId="2" w16cid:durableId="1301686713">
    <w:abstractNumId w:val="3"/>
  </w:num>
  <w:num w:numId="3" w16cid:durableId="1231041584">
    <w:abstractNumId w:val="1"/>
  </w:num>
  <w:num w:numId="4" w16cid:durableId="438986171">
    <w:abstractNumId w:val="0"/>
  </w:num>
  <w:num w:numId="5" w16cid:durableId="663364511">
    <w:abstractNumId w:val="9"/>
  </w:num>
  <w:num w:numId="6" w16cid:durableId="117115802">
    <w:abstractNumId w:val="7"/>
  </w:num>
  <w:num w:numId="7" w16cid:durableId="1322655204">
    <w:abstractNumId w:val="5"/>
  </w:num>
  <w:num w:numId="8" w16cid:durableId="2076583221">
    <w:abstractNumId w:val="10"/>
  </w:num>
  <w:num w:numId="9" w16cid:durableId="1261333409">
    <w:abstractNumId w:val="11"/>
  </w:num>
  <w:num w:numId="10" w16cid:durableId="848839016">
    <w:abstractNumId w:val="8"/>
  </w:num>
  <w:num w:numId="11" w16cid:durableId="2056731658">
    <w:abstractNumId w:val="6"/>
  </w:num>
  <w:num w:numId="12" w16cid:durableId="188640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04"/>
    <w:rsid w:val="0002476F"/>
    <w:rsid w:val="00025DF8"/>
    <w:rsid w:val="000305D9"/>
    <w:rsid w:val="00031074"/>
    <w:rsid w:val="00031B09"/>
    <w:rsid w:val="00096705"/>
    <w:rsid w:val="000D6510"/>
    <w:rsid w:val="00120E2D"/>
    <w:rsid w:val="0012215E"/>
    <w:rsid w:val="00152482"/>
    <w:rsid w:val="00156C21"/>
    <w:rsid w:val="001645F8"/>
    <w:rsid w:val="00165E2D"/>
    <w:rsid w:val="00186AC7"/>
    <w:rsid w:val="001C78CA"/>
    <w:rsid w:val="001D49E2"/>
    <w:rsid w:val="001D6D58"/>
    <w:rsid w:val="001F17B1"/>
    <w:rsid w:val="001F57E7"/>
    <w:rsid w:val="00202E79"/>
    <w:rsid w:val="002049B1"/>
    <w:rsid w:val="00217461"/>
    <w:rsid w:val="00262295"/>
    <w:rsid w:val="00262FA0"/>
    <w:rsid w:val="00265D97"/>
    <w:rsid w:val="002A6F02"/>
    <w:rsid w:val="002B0B04"/>
    <w:rsid w:val="002C3027"/>
    <w:rsid w:val="002C63A9"/>
    <w:rsid w:val="002E2BA8"/>
    <w:rsid w:val="002E74C5"/>
    <w:rsid w:val="00303912"/>
    <w:rsid w:val="00304869"/>
    <w:rsid w:val="00307FF9"/>
    <w:rsid w:val="00311B8E"/>
    <w:rsid w:val="003343B4"/>
    <w:rsid w:val="003501FC"/>
    <w:rsid w:val="0036089C"/>
    <w:rsid w:val="00367367"/>
    <w:rsid w:val="00372779"/>
    <w:rsid w:val="00396A5B"/>
    <w:rsid w:val="003A2B53"/>
    <w:rsid w:val="003A331D"/>
    <w:rsid w:val="003B1C68"/>
    <w:rsid w:val="003D786B"/>
    <w:rsid w:val="003E0914"/>
    <w:rsid w:val="003E52DC"/>
    <w:rsid w:val="00407474"/>
    <w:rsid w:val="0042439B"/>
    <w:rsid w:val="0043518E"/>
    <w:rsid w:val="00437024"/>
    <w:rsid w:val="00475A74"/>
    <w:rsid w:val="004B0BF9"/>
    <w:rsid w:val="00527BE7"/>
    <w:rsid w:val="00534397"/>
    <w:rsid w:val="00537283"/>
    <w:rsid w:val="0054027E"/>
    <w:rsid w:val="005414F1"/>
    <w:rsid w:val="0054556F"/>
    <w:rsid w:val="00547957"/>
    <w:rsid w:val="0055550A"/>
    <w:rsid w:val="005663A4"/>
    <w:rsid w:val="005A29E9"/>
    <w:rsid w:val="005A7243"/>
    <w:rsid w:val="005B3D5C"/>
    <w:rsid w:val="005B4669"/>
    <w:rsid w:val="005E2502"/>
    <w:rsid w:val="005F4B9A"/>
    <w:rsid w:val="00601993"/>
    <w:rsid w:val="006078CD"/>
    <w:rsid w:val="00614ABB"/>
    <w:rsid w:val="00614BD6"/>
    <w:rsid w:val="00623521"/>
    <w:rsid w:val="0063193F"/>
    <w:rsid w:val="006368A4"/>
    <w:rsid w:val="00637803"/>
    <w:rsid w:val="006416A8"/>
    <w:rsid w:val="00641998"/>
    <w:rsid w:val="006665B6"/>
    <w:rsid w:val="006669BF"/>
    <w:rsid w:val="006679AE"/>
    <w:rsid w:val="00676BA8"/>
    <w:rsid w:val="006E0653"/>
    <w:rsid w:val="0073026D"/>
    <w:rsid w:val="00740B02"/>
    <w:rsid w:val="00740E90"/>
    <w:rsid w:val="00750383"/>
    <w:rsid w:val="00764E10"/>
    <w:rsid w:val="007665B9"/>
    <w:rsid w:val="00785C6F"/>
    <w:rsid w:val="007A6D3D"/>
    <w:rsid w:val="007D5F4F"/>
    <w:rsid w:val="007D6655"/>
    <w:rsid w:val="007F70F8"/>
    <w:rsid w:val="00800357"/>
    <w:rsid w:val="008128E8"/>
    <w:rsid w:val="00853A92"/>
    <w:rsid w:val="00892F62"/>
    <w:rsid w:val="008B5EB2"/>
    <w:rsid w:val="008D207B"/>
    <w:rsid w:val="008D3ADD"/>
    <w:rsid w:val="008D66D2"/>
    <w:rsid w:val="0092200C"/>
    <w:rsid w:val="00924D46"/>
    <w:rsid w:val="00953AD8"/>
    <w:rsid w:val="0099762F"/>
    <w:rsid w:val="00A61D40"/>
    <w:rsid w:val="00A95418"/>
    <w:rsid w:val="00A97C09"/>
    <w:rsid w:val="00AC57A1"/>
    <w:rsid w:val="00AD29D3"/>
    <w:rsid w:val="00B0158C"/>
    <w:rsid w:val="00B503CA"/>
    <w:rsid w:val="00B81F69"/>
    <w:rsid w:val="00B85E7F"/>
    <w:rsid w:val="00BA0C5A"/>
    <w:rsid w:val="00BB41E9"/>
    <w:rsid w:val="00BD3E09"/>
    <w:rsid w:val="00C71EE7"/>
    <w:rsid w:val="00C862B3"/>
    <w:rsid w:val="00CA6C53"/>
    <w:rsid w:val="00CD1313"/>
    <w:rsid w:val="00CE2C7A"/>
    <w:rsid w:val="00CE40CB"/>
    <w:rsid w:val="00CF04BE"/>
    <w:rsid w:val="00CF3346"/>
    <w:rsid w:val="00CF74D9"/>
    <w:rsid w:val="00D21528"/>
    <w:rsid w:val="00D714DF"/>
    <w:rsid w:val="00D74570"/>
    <w:rsid w:val="00D7654A"/>
    <w:rsid w:val="00D869CC"/>
    <w:rsid w:val="00D9308D"/>
    <w:rsid w:val="00D9588F"/>
    <w:rsid w:val="00DB2902"/>
    <w:rsid w:val="00DB7284"/>
    <w:rsid w:val="00DC2D75"/>
    <w:rsid w:val="00E00920"/>
    <w:rsid w:val="00E36F17"/>
    <w:rsid w:val="00E4078D"/>
    <w:rsid w:val="00E418BB"/>
    <w:rsid w:val="00E80C9B"/>
    <w:rsid w:val="00E948AB"/>
    <w:rsid w:val="00EB21A2"/>
    <w:rsid w:val="00EB29E6"/>
    <w:rsid w:val="00EC3E35"/>
    <w:rsid w:val="00F242F6"/>
    <w:rsid w:val="00F47406"/>
    <w:rsid w:val="00F552E1"/>
    <w:rsid w:val="00F65F1A"/>
    <w:rsid w:val="00F71FC0"/>
    <w:rsid w:val="00F73A8A"/>
    <w:rsid w:val="00F74D16"/>
    <w:rsid w:val="00F76A56"/>
    <w:rsid w:val="00F94395"/>
    <w:rsid w:val="00FA4B65"/>
    <w:rsid w:val="00FF4125"/>
    <w:rsid w:val="07286E48"/>
    <w:rsid w:val="0CFF5904"/>
    <w:rsid w:val="107D4AAE"/>
    <w:rsid w:val="149BACF1"/>
    <w:rsid w:val="271F0587"/>
    <w:rsid w:val="2EB63622"/>
    <w:rsid w:val="30520683"/>
    <w:rsid w:val="31EDD6E4"/>
    <w:rsid w:val="3535E92F"/>
    <w:rsid w:val="3D64D273"/>
    <w:rsid w:val="464AA698"/>
    <w:rsid w:val="4E1CB55F"/>
    <w:rsid w:val="518C3C99"/>
    <w:rsid w:val="63B79B81"/>
    <w:rsid w:val="64BF0C48"/>
    <w:rsid w:val="6A652A7B"/>
    <w:rsid w:val="75A32140"/>
    <w:rsid w:val="7ED1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A19D"/>
  <w15:chartTrackingRefBased/>
  <w15:docId w15:val="{8139B06E-E22B-438D-B4A6-E360C18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B0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2B0B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5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4A"/>
    <w:rPr>
      <w:rFonts w:ascii="CG Times" w:eastAsia="Times New Roman" w:hAnsi="CG Times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765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4A"/>
    <w:rPr>
      <w:rFonts w:ascii="CG Times" w:eastAsia="Times New Roman" w:hAnsi="CG Times" w:cs="Times New Roman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2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2D"/>
    <w:rPr>
      <w:rFonts w:ascii="CG Times" w:eastAsia="Times New Roman" w:hAnsi="CG Times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2D"/>
    <w:rPr>
      <w:rFonts w:ascii="CG Times" w:eastAsia="Times New Roman" w:hAnsi="CG Times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2D"/>
    <w:rPr>
      <w:rFonts w:ascii="Segoe UI" w:eastAsia="Times New Roman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120E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4A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paragraph" w:styleId="Revision">
    <w:name w:val="Revision"/>
    <w:hidden/>
    <w:uiPriority w:val="99"/>
    <w:semiHidden/>
    <w:rsid w:val="00B85E7F"/>
    <w:pPr>
      <w:spacing w:after="0" w:line="240" w:lineRule="auto"/>
    </w:pPr>
    <w:rPr>
      <w:rFonts w:ascii="CG Times" w:eastAsia="Times New Roman" w:hAnsi="CG Times" w:cs="Times New Roman"/>
      <w:szCs w:val="20"/>
      <w:lang w:val="es-ES"/>
    </w:rPr>
  </w:style>
  <w:style w:type="character" w:styleId="Emphasis">
    <w:name w:val="Emphasis"/>
    <w:basedOn w:val="DefaultParagraphFont"/>
    <w:uiPriority w:val="20"/>
    <w:qFormat/>
    <w:rsid w:val="00202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670C-0C5C-4580-A419-7142640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Salgado, Liliane Herandi</dc:creator>
  <cp:keywords/>
  <dc:description/>
  <cp:lastModifiedBy>Burbano, Carmela</cp:lastModifiedBy>
  <cp:revision>5</cp:revision>
  <cp:lastPrinted>2023-05-16T16:46:00Z</cp:lastPrinted>
  <dcterms:created xsi:type="dcterms:W3CDTF">2023-05-22T18:44:00Z</dcterms:created>
  <dcterms:modified xsi:type="dcterms:W3CDTF">2023-05-23T19:27:00Z</dcterms:modified>
</cp:coreProperties>
</file>