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4436" w14:textId="77777777" w:rsidR="006B38F5" w:rsidRPr="00A67CD3" w:rsidRDefault="006B38F5" w:rsidP="006B38F5">
      <w:pPr>
        <w:jc w:val="center"/>
        <w:outlineLvl w:val="0"/>
        <w:rPr>
          <w:b/>
          <w:bCs/>
          <w:sz w:val="22"/>
          <w:szCs w:val="22"/>
          <w:lang w:val="es-ES_tradnl"/>
        </w:rPr>
      </w:pPr>
      <w:r w:rsidRPr="00A67CD3">
        <w:rPr>
          <w:b/>
          <w:bCs/>
          <w:sz w:val="22"/>
          <w:szCs w:val="22"/>
          <w:lang w:val="es-ES_tradnl"/>
        </w:rPr>
        <w:t>COMITÉ INTERAMERICANO CONTRA EL TERRORISMO (CICTE)</w:t>
      </w:r>
    </w:p>
    <w:p w14:paraId="2FB4BE69" w14:textId="77777777" w:rsidR="006B38F5" w:rsidRDefault="006B38F5" w:rsidP="006B38F5">
      <w:pPr>
        <w:tabs>
          <w:tab w:val="left" w:pos="7200"/>
        </w:tabs>
        <w:rPr>
          <w:sz w:val="22"/>
          <w:szCs w:val="22"/>
          <w:lang w:val="es-AR"/>
        </w:rPr>
      </w:pPr>
    </w:p>
    <w:p w14:paraId="43F9971D" w14:textId="77777777" w:rsidR="006B38F5" w:rsidRPr="00A67CD3" w:rsidRDefault="006B38F5" w:rsidP="006B38F5">
      <w:pPr>
        <w:tabs>
          <w:tab w:val="left" w:pos="7200"/>
        </w:tabs>
        <w:rPr>
          <w:sz w:val="22"/>
          <w:szCs w:val="22"/>
          <w:lang w:val="es-ES_tradnl"/>
        </w:rPr>
      </w:pPr>
      <w:r w:rsidRPr="00A67CD3">
        <w:rPr>
          <w:sz w:val="22"/>
          <w:szCs w:val="22"/>
          <w:lang w:val="es-AR"/>
        </w:rPr>
        <w:t>VIGÉSIMO TERCER PERÍODO ORDINARIO DE SESIONES</w:t>
      </w:r>
      <w:r w:rsidRPr="00A67CD3">
        <w:rPr>
          <w:sz w:val="22"/>
          <w:szCs w:val="22"/>
          <w:lang w:val="es-ES_tradnl"/>
        </w:rPr>
        <w:tab/>
        <w:t>OEA/</w:t>
      </w:r>
      <w:proofErr w:type="spellStart"/>
      <w:r w:rsidRPr="00A67CD3">
        <w:rPr>
          <w:sz w:val="22"/>
          <w:szCs w:val="22"/>
          <w:lang w:val="es-ES_tradnl"/>
        </w:rPr>
        <w:t>Ser.L</w:t>
      </w:r>
      <w:proofErr w:type="spellEnd"/>
      <w:r w:rsidRPr="00A67CD3">
        <w:rPr>
          <w:sz w:val="22"/>
          <w:szCs w:val="22"/>
          <w:lang w:val="es-ES_tradnl"/>
        </w:rPr>
        <w:t>/X.2.23</w:t>
      </w:r>
    </w:p>
    <w:p w14:paraId="59270CA0" w14:textId="436B3117" w:rsidR="006B38F5" w:rsidRPr="00A67CD3" w:rsidRDefault="006B38F5" w:rsidP="006B38F5">
      <w:pPr>
        <w:tabs>
          <w:tab w:val="left" w:pos="7200"/>
        </w:tabs>
        <w:ind w:right="-1109"/>
        <w:rPr>
          <w:sz w:val="22"/>
          <w:szCs w:val="22"/>
          <w:lang w:val="es-ES_tradnl"/>
        </w:rPr>
      </w:pPr>
      <w:r w:rsidRPr="00A67CD3">
        <w:rPr>
          <w:sz w:val="22"/>
          <w:szCs w:val="22"/>
          <w:lang w:val="es-ES_tradnl"/>
        </w:rPr>
        <w:t>17 y 18 de mayo de 2023</w:t>
      </w:r>
      <w:r w:rsidRPr="00A67CD3">
        <w:rPr>
          <w:sz w:val="22"/>
          <w:szCs w:val="22"/>
          <w:lang w:val="es-ES_tradnl"/>
        </w:rPr>
        <w:tab/>
        <w:t>CICTE/</w:t>
      </w:r>
      <w:r>
        <w:rPr>
          <w:sz w:val="22"/>
          <w:szCs w:val="22"/>
          <w:lang w:val="es-ES_tradnl"/>
        </w:rPr>
        <w:t>INF</w:t>
      </w:r>
      <w:r>
        <w:rPr>
          <w:sz w:val="22"/>
          <w:szCs w:val="22"/>
          <w:lang w:val="es-ES_tradnl"/>
        </w:rPr>
        <w:t>.</w:t>
      </w:r>
      <w:r>
        <w:rPr>
          <w:sz w:val="22"/>
          <w:szCs w:val="22"/>
          <w:lang w:val="es-ES_tradnl"/>
        </w:rPr>
        <w:t xml:space="preserve"> </w:t>
      </w:r>
      <w:r>
        <w:rPr>
          <w:sz w:val="22"/>
          <w:szCs w:val="22"/>
          <w:lang w:val="es-ES_tradnl"/>
        </w:rPr>
        <w:t>2</w:t>
      </w:r>
      <w:r w:rsidRPr="00A67CD3">
        <w:rPr>
          <w:sz w:val="22"/>
          <w:szCs w:val="22"/>
          <w:lang w:val="es-ES_tradnl"/>
        </w:rPr>
        <w:t>/23</w:t>
      </w:r>
      <w:r w:rsidRPr="006B38F5">
        <w:rPr>
          <w:sz w:val="22"/>
          <w:szCs w:val="22"/>
          <w:lang w:val="es-US"/>
        </w:rPr>
        <w:t xml:space="preserve"> </w:t>
      </w:r>
    </w:p>
    <w:p w14:paraId="4A1C2ED7" w14:textId="28123F15" w:rsidR="006B38F5" w:rsidRPr="00A67CD3" w:rsidRDefault="006B38F5" w:rsidP="006B38F5">
      <w:pPr>
        <w:tabs>
          <w:tab w:val="left" w:pos="7200"/>
        </w:tabs>
        <w:rPr>
          <w:sz w:val="22"/>
          <w:szCs w:val="22"/>
          <w:lang w:val="es-ES_tradnl"/>
        </w:rPr>
      </w:pPr>
      <w:r w:rsidRPr="00A67CD3">
        <w:rPr>
          <w:sz w:val="22"/>
          <w:szCs w:val="22"/>
          <w:lang w:val="es-ES_tradnl"/>
        </w:rPr>
        <w:t>Ciudad de México, México.</w:t>
      </w:r>
      <w:r w:rsidRPr="00A67CD3">
        <w:rPr>
          <w:sz w:val="22"/>
          <w:szCs w:val="22"/>
          <w:lang w:val="es-ES_tradnl"/>
        </w:rPr>
        <w:tab/>
      </w:r>
      <w:r>
        <w:rPr>
          <w:sz w:val="22"/>
          <w:szCs w:val="22"/>
          <w:lang w:val="es-ES_tradnl"/>
        </w:rPr>
        <w:t>12</w:t>
      </w:r>
      <w:r>
        <w:rPr>
          <w:sz w:val="22"/>
          <w:szCs w:val="22"/>
          <w:lang w:val="es-ES_tradnl"/>
        </w:rPr>
        <w:t xml:space="preserve"> </w:t>
      </w:r>
      <w:r w:rsidRPr="00A67CD3">
        <w:rPr>
          <w:sz w:val="22"/>
          <w:szCs w:val="22"/>
          <w:lang w:val="es-ES_tradnl"/>
        </w:rPr>
        <w:t>mayo 2023</w:t>
      </w:r>
    </w:p>
    <w:p w14:paraId="363DCA58" w14:textId="77777777" w:rsidR="006B38F5" w:rsidRPr="00A67CD3" w:rsidRDefault="006B38F5" w:rsidP="006B38F5">
      <w:pPr>
        <w:tabs>
          <w:tab w:val="left" w:pos="7200"/>
        </w:tabs>
        <w:ind w:right="-29"/>
        <w:jc w:val="both"/>
        <w:rPr>
          <w:sz w:val="22"/>
          <w:szCs w:val="22"/>
          <w:lang w:val="es-ES_tradnl"/>
        </w:rPr>
      </w:pPr>
      <w:r w:rsidRPr="00A67CD3">
        <w:rPr>
          <w:sz w:val="22"/>
          <w:szCs w:val="22"/>
          <w:lang w:val="es-ES_tradnl"/>
        </w:rPr>
        <w:tab/>
        <w:t>Original: español</w:t>
      </w:r>
    </w:p>
    <w:p w14:paraId="646D09D9" w14:textId="29883156" w:rsidR="00084258" w:rsidRPr="00F2069D" w:rsidRDefault="00084258" w:rsidP="00F2069D">
      <w:pPr>
        <w:tabs>
          <w:tab w:val="left" w:pos="7020"/>
        </w:tabs>
        <w:rPr>
          <w:sz w:val="22"/>
          <w:szCs w:val="22"/>
          <w:lang w:val="es-ES_tradnl"/>
        </w:rPr>
      </w:pPr>
    </w:p>
    <w:p w14:paraId="68D9867C" w14:textId="7C091F81" w:rsidR="00F2069D" w:rsidRPr="00F2069D" w:rsidRDefault="00F2069D" w:rsidP="00F2069D">
      <w:pPr>
        <w:tabs>
          <w:tab w:val="left" w:pos="7020"/>
        </w:tabs>
        <w:rPr>
          <w:sz w:val="22"/>
          <w:szCs w:val="22"/>
          <w:lang w:val="es-ES_tradnl"/>
        </w:rPr>
      </w:pPr>
    </w:p>
    <w:p w14:paraId="050A9D9D" w14:textId="034D4C5B" w:rsidR="00F2069D" w:rsidRPr="00F2069D" w:rsidRDefault="00F2069D" w:rsidP="00F2069D">
      <w:pPr>
        <w:tabs>
          <w:tab w:val="left" w:pos="7020"/>
        </w:tabs>
        <w:rPr>
          <w:sz w:val="22"/>
          <w:szCs w:val="22"/>
          <w:lang w:val="es-ES_tradnl"/>
        </w:rPr>
      </w:pPr>
    </w:p>
    <w:p w14:paraId="4776FB00" w14:textId="77777777" w:rsidR="00F2069D" w:rsidRPr="00F2069D" w:rsidRDefault="00F2069D" w:rsidP="00F2069D">
      <w:pPr>
        <w:tabs>
          <w:tab w:val="left" w:pos="7020"/>
        </w:tabs>
        <w:rPr>
          <w:sz w:val="22"/>
          <w:szCs w:val="22"/>
          <w:lang w:val="es-ES_tradnl"/>
        </w:rPr>
      </w:pPr>
    </w:p>
    <w:p w14:paraId="649F1EB9" w14:textId="77777777" w:rsidR="00F2069D" w:rsidRPr="00F2069D" w:rsidRDefault="00F2069D" w:rsidP="00F2069D">
      <w:pPr>
        <w:jc w:val="center"/>
        <w:rPr>
          <w:rFonts w:eastAsiaTheme="minorHAnsi"/>
          <w:snapToGrid/>
          <w:sz w:val="22"/>
          <w:szCs w:val="22"/>
          <w:lang w:val="es-ES"/>
        </w:rPr>
      </w:pPr>
      <w:r w:rsidRPr="00F2069D">
        <w:rPr>
          <w:rFonts w:eastAsiaTheme="minorHAnsi"/>
          <w:snapToGrid/>
          <w:sz w:val="22"/>
          <w:szCs w:val="22"/>
          <w:lang w:val="es-ES"/>
        </w:rPr>
        <w:t>NOTA CONCEPTUAL</w:t>
      </w:r>
    </w:p>
    <w:p w14:paraId="476A791F" w14:textId="77777777" w:rsidR="00F2069D" w:rsidRPr="00F2069D" w:rsidRDefault="00F2069D" w:rsidP="00F2069D">
      <w:pPr>
        <w:jc w:val="center"/>
        <w:rPr>
          <w:rFonts w:eastAsiaTheme="minorHAnsi"/>
          <w:snapToGrid/>
          <w:sz w:val="22"/>
          <w:szCs w:val="22"/>
          <w:lang w:val="es-ES"/>
        </w:rPr>
      </w:pPr>
      <w:r w:rsidRPr="00F2069D">
        <w:rPr>
          <w:rFonts w:eastAsiaTheme="minorHAnsi"/>
          <w:snapToGrid/>
          <w:sz w:val="22"/>
          <w:szCs w:val="22"/>
          <w:lang w:val="es-ES"/>
        </w:rPr>
        <w:t>VIGÉSIMO TERCER PERÍODO ORDINARIO DE SESIONES DEL</w:t>
      </w:r>
    </w:p>
    <w:p w14:paraId="5AB572E7" w14:textId="77777777" w:rsidR="00F2069D" w:rsidRPr="00F2069D" w:rsidRDefault="00F2069D" w:rsidP="00F2069D">
      <w:pPr>
        <w:jc w:val="center"/>
        <w:rPr>
          <w:rFonts w:eastAsiaTheme="minorHAnsi"/>
          <w:snapToGrid/>
          <w:sz w:val="22"/>
          <w:szCs w:val="22"/>
          <w:lang w:val="es-ES"/>
        </w:rPr>
      </w:pPr>
      <w:r w:rsidRPr="00F2069D">
        <w:rPr>
          <w:rFonts w:eastAsiaTheme="minorHAnsi"/>
          <w:snapToGrid/>
          <w:sz w:val="22"/>
          <w:szCs w:val="22"/>
          <w:lang w:val="es-ES"/>
        </w:rPr>
        <w:t>COMITÉ INTERAMERICANO CONTRA EL TERRORISMO</w:t>
      </w:r>
    </w:p>
    <w:p w14:paraId="7E05DD2F" w14:textId="77777777" w:rsidR="00F2069D" w:rsidRPr="00F2069D" w:rsidRDefault="00F2069D" w:rsidP="00F2069D">
      <w:pPr>
        <w:jc w:val="center"/>
        <w:rPr>
          <w:rFonts w:eastAsiaTheme="minorHAnsi"/>
          <w:snapToGrid/>
          <w:sz w:val="22"/>
          <w:szCs w:val="22"/>
          <w:lang w:val="es-ES"/>
        </w:rPr>
      </w:pPr>
    </w:p>
    <w:p w14:paraId="4203490A" w14:textId="77777777" w:rsidR="00F2069D" w:rsidRPr="00F2069D" w:rsidRDefault="00F2069D" w:rsidP="00F2069D">
      <w:pPr>
        <w:jc w:val="center"/>
        <w:rPr>
          <w:rFonts w:eastAsiaTheme="minorHAnsi"/>
          <w:snapToGrid/>
          <w:sz w:val="22"/>
          <w:szCs w:val="22"/>
          <w:lang w:val="es-ES"/>
        </w:rPr>
      </w:pPr>
      <w:r w:rsidRPr="00F2069D">
        <w:rPr>
          <w:rFonts w:eastAsiaTheme="minorHAnsi"/>
          <w:snapToGrid/>
          <w:sz w:val="22"/>
          <w:szCs w:val="22"/>
          <w:lang w:val="es-ES"/>
        </w:rPr>
        <w:t xml:space="preserve">“Tendencias, retos y prácticas en la prevención y abordaje del terrorismo y </w:t>
      </w:r>
    </w:p>
    <w:p w14:paraId="1315CCF1" w14:textId="77777777" w:rsidR="00F2069D" w:rsidRPr="00F2069D" w:rsidRDefault="00F2069D" w:rsidP="00F2069D">
      <w:pPr>
        <w:jc w:val="center"/>
        <w:rPr>
          <w:rFonts w:eastAsiaTheme="minorHAnsi"/>
          <w:snapToGrid/>
          <w:sz w:val="22"/>
          <w:szCs w:val="22"/>
          <w:lang w:val="es-ES"/>
        </w:rPr>
      </w:pPr>
      <w:r w:rsidRPr="00F2069D">
        <w:rPr>
          <w:rFonts w:eastAsiaTheme="minorHAnsi"/>
          <w:snapToGrid/>
          <w:sz w:val="22"/>
          <w:szCs w:val="22"/>
          <w:lang w:val="es-ES"/>
        </w:rPr>
        <w:t xml:space="preserve">extremismo violento que puede conducir al terrorismo” </w:t>
      </w:r>
    </w:p>
    <w:p w14:paraId="4663F7E4" w14:textId="77777777" w:rsidR="00F2069D" w:rsidRPr="00F2069D" w:rsidRDefault="00F2069D" w:rsidP="00F2069D">
      <w:pPr>
        <w:jc w:val="center"/>
        <w:rPr>
          <w:rFonts w:eastAsiaTheme="minorHAnsi"/>
          <w:snapToGrid/>
          <w:sz w:val="22"/>
          <w:szCs w:val="22"/>
          <w:lang w:val="es-ES"/>
        </w:rPr>
      </w:pPr>
    </w:p>
    <w:p w14:paraId="0429C477" w14:textId="77777777" w:rsidR="00F2069D" w:rsidRPr="00F2069D" w:rsidRDefault="00F2069D" w:rsidP="00F2069D">
      <w:pPr>
        <w:jc w:val="center"/>
        <w:rPr>
          <w:rFonts w:eastAsiaTheme="minorHAnsi"/>
          <w:snapToGrid/>
          <w:sz w:val="22"/>
          <w:szCs w:val="22"/>
          <w:lang w:val="es-ES"/>
        </w:rPr>
      </w:pPr>
      <w:r w:rsidRPr="00F2069D">
        <w:rPr>
          <w:rFonts w:eastAsiaTheme="minorHAnsi"/>
          <w:snapToGrid/>
          <w:sz w:val="22"/>
          <w:szCs w:val="22"/>
          <w:lang w:val="es-ES"/>
        </w:rPr>
        <w:t>17 y 18 de mayo de 2023</w:t>
      </w:r>
    </w:p>
    <w:p w14:paraId="5162CC84" w14:textId="77777777" w:rsidR="00F2069D" w:rsidRPr="00F2069D" w:rsidRDefault="00F2069D" w:rsidP="00F2069D">
      <w:pPr>
        <w:jc w:val="center"/>
        <w:rPr>
          <w:rFonts w:eastAsiaTheme="minorHAnsi"/>
          <w:snapToGrid/>
          <w:sz w:val="22"/>
          <w:szCs w:val="22"/>
          <w:lang w:val="es-ES"/>
        </w:rPr>
      </w:pPr>
      <w:r w:rsidRPr="00F2069D">
        <w:rPr>
          <w:rFonts w:eastAsiaTheme="minorHAnsi"/>
          <w:snapToGrid/>
          <w:sz w:val="22"/>
          <w:szCs w:val="22"/>
          <w:lang w:val="es-ES"/>
        </w:rPr>
        <w:t>Ciudad de México, México</w:t>
      </w:r>
    </w:p>
    <w:p w14:paraId="564CC223" w14:textId="71C343A4" w:rsidR="00F2069D" w:rsidRDefault="00F2069D" w:rsidP="00F2069D">
      <w:pPr>
        <w:tabs>
          <w:tab w:val="left" w:pos="3497"/>
        </w:tabs>
        <w:jc w:val="both"/>
        <w:rPr>
          <w:rFonts w:eastAsiaTheme="minorHAnsi"/>
          <w:b/>
          <w:bCs/>
          <w:snapToGrid/>
          <w:sz w:val="22"/>
          <w:szCs w:val="22"/>
          <w:lang w:val="es-ES"/>
        </w:rPr>
      </w:pPr>
    </w:p>
    <w:p w14:paraId="6B06EB87" w14:textId="77777777" w:rsidR="0003072D" w:rsidRPr="00F2069D" w:rsidRDefault="0003072D" w:rsidP="00F2069D">
      <w:pPr>
        <w:tabs>
          <w:tab w:val="left" w:pos="3497"/>
        </w:tabs>
        <w:jc w:val="both"/>
        <w:rPr>
          <w:rFonts w:eastAsiaTheme="minorHAnsi"/>
          <w:b/>
          <w:bCs/>
          <w:snapToGrid/>
          <w:sz w:val="22"/>
          <w:szCs w:val="22"/>
          <w:lang w:val="es-ES"/>
        </w:rPr>
      </w:pPr>
    </w:p>
    <w:p w14:paraId="59C09EEA" w14:textId="3A8814D5" w:rsidR="00F2069D" w:rsidRPr="00F2069D" w:rsidRDefault="00F2069D" w:rsidP="00F2069D">
      <w:pPr>
        <w:jc w:val="both"/>
        <w:rPr>
          <w:rFonts w:eastAsiaTheme="minorHAnsi"/>
          <w:b/>
          <w:bCs/>
          <w:snapToGrid/>
          <w:color w:val="000000" w:themeColor="text1"/>
          <w:sz w:val="22"/>
          <w:szCs w:val="22"/>
          <w:lang w:val="es-ES"/>
        </w:rPr>
      </w:pPr>
      <w:r w:rsidRPr="00F2069D">
        <w:rPr>
          <w:rFonts w:eastAsiaTheme="minorHAnsi"/>
          <w:snapToGrid/>
          <w:color w:val="000000" w:themeColor="text1"/>
          <w:sz w:val="22"/>
          <w:szCs w:val="22"/>
          <w:lang w:val="es-ES"/>
        </w:rPr>
        <w:tab/>
        <w:t xml:space="preserve">El Comité Interamericano contra el Terrorismo (CICTE) de la Organización de los Estados Americanos (OEA) llevará a cabo su Vigésimo Tercer Período Ordinario de sesiones en la Ciudad de México los días 17 y 18 de mayo del 2023, conforme a lo acordado en la resolución [CP/Res. 1216 (2419/23] y a lo estipulado en la resolución de la Asamblea General AG/Res. 2986 (LII-O/22) / “Promoción de la seguridad hemisférica: un enfoque multidimensional”. El tema central propuesto para el período ordinario de sesiones es el siguiente: </w:t>
      </w:r>
      <w:r w:rsidRPr="00F2069D">
        <w:rPr>
          <w:rFonts w:eastAsiaTheme="minorHAnsi"/>
          <w:b/>
          <w:bCs/>
          <w:snapToGrid/>
          <w:color w:val="000000" w:themeColor="text1"/>
          <w:sz w:val="22"/>
          <w:szCs w:val="22"/>
          <w:lang w:val="es-ES"/>
        </w:rPr>
        <w:t xml:space="preserve">“Tendencias, retos y prácticas en la prevención y abordaje del terrorismo y extremismo violento que podría conducir al terrorismo”. </w:t>
      </w:r>
    </w:p>
    <w:p w14:paraId="4D9D6DEB" w14:textId="77777777" w:rsidR="00F2069D" w:rsidRPr="00F2069D" w:rsidRDefault="00F2069D" w:rsidP="00F2069D">
      <w:pPr>
        <w:tabs>
          <w:tab w:val="left" w:pos="3497"/>
        </w:tabs>
        <w:jc w:val="both"/>
        <w:rPr>
          <w:rFonts w:eastAsiaTheme="minorHAnsi"/>
          <w:b/>
          <w:bCs/>
          <w:snapToGrid/>
          <w:sz w:val="22"/>
          <w:szCs w:val="22"/>
          <w:lang w:val="es-ES"/>
        </w:rPr>
      </w:pPr>
    </w:p>
    <w:p w14:paraId="2B8EB454" w14:textId="1193F417" w:rsidR="00F2069D" w:rsidRPr="00F2069D" w:rsidRDefault="00F2069D" w:rsidP="00F2069D">
      <w:pPr>
        <w:jc w:val="both"/>
        <w:rPr>
          <w:rFonts w:eastAsiaTheme="minorHAnsi"/>
          <w:b/>
          <w:bCs/>
          <w:snapToGrid/>
          <w:color w:val="000000" w:themeColor="text1"/>
          <w:sz w:val="22"/>
          <w:szCs w:val="22"/>
          <w:u w:val="single"/>
          <w:lang w:val="es-ES"/>
        </w:rPr>
      </w:pPr>
      <w:r w:rsidRPr="00F2069D">
        <w:rPr>
          <w:rFonts w:eastAsiaTheme="minorHAnsi"/>
          <w:b/>
          <w:bCs/>
          <w:snapToGrid/>
          <w:color w:val="000000" w:themeColor="text1"/>
          <w:sz w:val="22"/>
          <w:szCs w:val="22"/>
          <w:u w:val="single"/>
          <w:lang w:val="es-ES"/>
        </w:rPr>
        <w:t>Antecedentes</w:t>
      </w:r>
    </w:p>
    <w:p w14:paraId="7407DF7C" w14:textId="77777777" w:rsidR="00F2069D" w:rsidRPr="00F2069D" w:rsidRDefault="00F2069D" w:rsidP="00F2069D">
      <w:pPr>
        <w:jc w:val="both"/>
        <w:rPr>
          <w:rFonts w:eastAsiaTheme="minorHAnsi"/>
          <w:b/>
          <w:bCs/>
          <w:snapToGrid/>
          <w:color w:val="000000" w:themeColor="text1"/>
          <w:sz w:val="22"/>
          <w:szCs w:val="22"/>
          <w:u w:val="single"/>
          <w:lang w:val="es-ES"/>
        </w:rPr>
      </w:pPr>
    </w:p>
    <w:p w14:paraId="1CA8B9D5" w14:textId="77777777" w:rsidR="00F2069D" w:rsidRPr="00F2069D" w:rsidRDefault="00F2069D" w:rsidP="00F2069D">
      <w:pPr>
        <w:ind w:firstLine="72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 xml:space="preserve">Durante más de dos décadas, el Comité Interamericano contra el Terrorismo (CICTE) de la Organización de los Estados Americanos (OEA) ha abordado de manera pionera los temas actuales y emergentes en la prevención y combate contra el terrorismo y el extremismo violento que puede conducir al terrorismo. Ejemplo de ello lo constituye la adopción de la Declaración “Fortaleciendo esfuerzos hemisféricos para abordar y contrarrestar el extremismo violento que puede conducir al terrorismo”, adoptada por el Comité durante su XVIII Período Ordinario de Sesiones, en mayo del 2018, durante el XVIII Período Ordinario de Sesiones del CICTE. </w:t>
      </w:r>
    </w:p>
    <w:p w14:paraId="0FEDE684" w14:textId="77777777" w:rsidR="00F2069D" w:rsidRPr="00F2069D" w:rsidRDefault="00F2069D" w:rsidP="00F2069D">
      <w:pPr>
        <w:jc w:val="both"/>
        <w:rPr>
          <w:rFonts w:eastAsiaTheme="minorHAnsi"/>
          <w:snapToGrid/>
          <w:color w:val="000000" w:themeColor="text1"/>
          <w:sz w:val="22"/>
          <w:szCs w:val="22"/>
          <w:lang w:val="es-ES"/>
        </w:rPr>
      </w:pPr>
    </w:p>
    <w:p w14:paraId="34B10A08" w14:textId="77777777" w:rsidR="00F2069D" w:rsidRPr="00F2069D" w:rsidRDefault="00F2069D" w:rsidP="00F2069D">
      <w:pPr>
        <w:ind w:firstLine="72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Las resoluciones de la Asamblea General de la OEA sobre “Promoción de la seguridad hemisférica: un enfoque multidimensional” adoptadas entre el 2020 y el 2022 han reconocido de diversas maneras la utilidad de promover debates a nivel regional sobre la importancia de prevenir y combatir el extremismo violento que puede conducir al terrorismo, con la finalidad de fortalecer la cooperación y las capacidades hemisféricas para hacer frente a esta amenaza a la paz y seguridad internacional. Estos mandatos han sido reflejados en las líneas concretas de acción propuestas y llevadas a cabo por la Secretaría Ejecutiva del CICTE en su respectivo Informe Anual 2022 y Plan de Trabajo 2023-2024.</w:t>
      </w:r>
    </w:p>
    <w:p w14:paraId="06DA919A" w14:textId="77777777" w:rsidR="00F2069D" w:rsidRPr="00F2069D" w:rsidRDefault="00F2069D" w:rsidP="00F2069D">
      <w:pPr>
        <w:jc w:val="both"/>
        <w:rPr>
          <w:rFonts w:eastAsiaTheme="minorHAnsi"/>
          <w:snapToGrid/>
          <w:color w:val="000000" w:themeColor="text1"/>
          <w:sz w:val="22"/>
          <w:szCs w:val="22"/>
          <w:lang w:val="es-ES"/>
        </w:rPr>
      </w:pPr>
    </w:p>
    <w:p w14:paraId="0A10795F" w14:textId="77777777" w:rsidR="00F2069D" w:rsidRPr="00F2069D" w:rsidRDefault="00F2069D" w:rsidP="00F2069D">
      <w:pPr>
        <w:ind w:firstLine="720"/>
        <w:jc w:val="both"/>
        <w:rPr>
          <w:rFonts w:eastAsiaTheme="minorHAnsi"/>
          <w:bCs/>
          <w:snapToGrid/>
          <w:color w:val="000000" w:themeColor="text1"/>
          <w:sz w:val="22"/>
          <w:szCs w:val="22"/>
          <w:lang w:val="es-ES"/>
        </w:rPr>
      </w:pPr>
      <w:r w:rsidRPr="00F2069D">
        <w:rPr>
          <w:rFonts w:eastAsiaTheme="minorHAnsi"/>
          <w:snapToGrid/>
          <w:color w:val="000000" w:themeColor="text1"/>
          <w:sz w:val="22"/>
          <w:szCs w:val="22"/>
          <w:lang w:val="es-ES"/>
        </w:rPr>
        <w:lastRenderedPageBreak/>
        <w:t xml:space="preserve">Por otro lado, durante la primera Reunión de Estados Parte de la Convención Interamericana contra el Terrorismo, que tuvo lugar en septiembre de 2022, los Estados reiteraron la necesidad de tomar medidas para mejorar la coordinación y la cooperación regional a fin de reducir el impacto del terrorismo y extremismo violento en todas sus formas y manifestaciones. Entre las recomendaciones formuladas por los Estados Parte, se encuentran aspectos puntuales orientados a la prevención, mitigación y lucha contra los flagelos del terrorismo y el extremismo violento en línea. </w:t>
      </w:r>
    </w:p>
    <w:p w14:paraId="350CDC5F" w14:textId="77777777" w:rsidR="00F2069D" w:rsidRPr="00F2069D" w:rsidRDefault="00F2069D" w:rsidP="00F2069D">
      <w:pPr>
        <w:tabs>
          <w:tab w:val="left" w:pos="3497"/>
        </w:tabs>
        <w:jc w:val="both"/>
        <w:rPr>
          <w:rFonts w:eastAsiaTheme="minorHAnsi"/>
          <w:b/>
          <w:bCs/>
          <w:snapToGrid/>
          <w:color w:val="000000" w:themeColor="text1"/>
          <w:sz w:val="22"/>
          <w:szCs w:val="22"/>
          <w:u w:val="single"/>
          <w:lang w:val="es-ES"/>
        </w:rPr>
      </w:pPr>
    </w:p>
    <w:p w14:paraId="496EFE74" w14:textId="6422DE9B" w:rsidR="00F2069D" w:rsidRPr="00F2069D" w:rsidRDefault="00F2069D" w:rsidP="00F2069D">
      <w:pPr>
        <w:tabs>
          <w:tab w:val="left" w:pos="3497"/>
        </w:tabs>
        <w:jc w:val="both"/>
        <w:rPr>
          <w:rFonts w:eastAsiaTheme="minorHAnsi"/>
          <w:b/>
          <w:bCs/>
          <w:snapToGrid/>
          <w:color w:val="000000" w:themeColor="text1"/>
          <w:sz w:val="22"/>
          <w:szCs w:val="22"/>
          <w:u w:val="single"/>
          <w:lang w:val="es-ES"/>
        </w:rPr>
      </w:pPr>
      <w:r w:rsidRPr="00F2069D">
        <w:rPr>
          <w:rFonts w:eastAsiaTheme="minorHAnsi"/>
          <w:b/>
          <w:bCs/>
          <w:snapToGrid/>
          <w:color w:val="000000" w:themeColor="text1"/>
          <w:sz w:val="22"/>
          <w:szCs w:val="22"/>
          <w:u w:val="single"/>
          <w:lang w:val="es-ES"/>
        </w:rPr>
        <w:t>Justificación</w:t>
      </w:r>
    </w:p>
    <w:p w14:paraId="28C2D9D8" w14:textId="77777777" w:rsidR="00F2069D" w:rsidRPr="00F2069D" w:rsidRDefault="00F2069D" w:rsidP="00F2069D">
      <w:pPr>
        <w:tabs>
          <w:tab w:val="left" w:pos="3497"/>
        </w:tabs>
        <w:jc w:val="both"/>
        <w:rPr>
          <w:rFonts w:eastAsiaTheme="minorHAnsi"/>
          <w:b/>
          <w:bCs/>
          <w:snapToGrid/>
          <w:color w:val="000000" w:themeColor="text1"/>
          <w:sz w:val="22"/>
          <w:szCs w:val="22"/>
          <w:u w:val="single"/>
          <w:lang w:val="es-ES"/>
        </w:rPr>
      </w:pPr>
    </w:p>
    <w:p w14:paraId="42248F18" w14:textId="77777777" w:rsidR="00F2069D" w:rsidRPr="00F2069D" w:rsidRDefault="00F2069D" w:rsidP="00F2069D">
      <w:pPr>
        <w:ind w:firstLine="72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 xml:space="preserve">El terrorismo y extremismo violento son amenazas complejas y cambiantes que no distinguen fronteras, religión u origen étnico-racial. No son fenómenos aislados ni estáticos por lo que su constante evolución trae consigo una multiplicidad de retos que demandan de estrategias integrales de prevención, respuesta y mitigación. </w:t>
      </w:r>
    </w:p>
    <w:p w14:paraId="0F92553A" w14:textId="77777777" w:rsidR="00F2069D" w:rsidRPr="00F2069D" w:rsidRDefault="00F2069D" w:rsidP="00F2069D">
      <w:pPr>
        <w:jc w:val="both"/>
        <w:rPr>
          <w:rFonts w:eastAsiaTheme="minorHAnsi"/>
          <w:snapToGrid/>
          <w:color w:val="000000" w:themeColor="text1"/>
          <w:sz w:val="22"/>
          <w:szCs w:val="22"/>
          <w:lang w:val="es-ES"/>
        </w:rPr>
      </w:pPr>
    </w:p>
    <w:p w14:paraId="7BDC4CD0" w14:textId="77777777" w:rsidR="00F2069D" w:rsidRPr="00F2069D" w:rsidRDefault="00F2069D" w:rsidP="00F2069D">
      <w:pPr>
        <w:ind w:firstLine="72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 xml:space="preserve">El tránsito de la radicalización a la violencia es una amenaza inminente alrededor del mundo. Individuos y/o grupos terroristas o extremistas pueden emerger y crecer en diferentes territorios, tomar ventaja de grupos marginalizados o del descontento que experimentan una variedad de individuos o grupos en una sociedad. Los terroristas o extremistas también pueden nutrir en cualquier momento temores públicos asociados con aspectos de coyuntura - como la pandemia del COVID-19 y otros elementos - para incitar a la violencia. </w:t>
      </w:r>
    </w:p>
    <w:p w14:paraId="4D7BB0FC" w14:textId="77777777" w:rsidR="00F2069D" w:rsidRPr="00F2069D" w:rsidRDefault="00F2069D" w:rsidP="00F2069D">
      <w:pPr>
        <w:ind w:firstLine="720"/>
        <w:jc w:val="both"/>
        <w:rPr>
          <w:rFonts w:eastAsiaTheme="minorHAnsi"/>
          <w:snapToGrid/>
          <w:color w:val="000000" w:themeColor="text1"/>
          <w:sz w:val="22"/>
          <w:szCs w:val="22"/>
          <w:lang w:val="es-ES"/>
        </w:rPr>
      </w:pPr>
    </w:p>
    <w:p w14:paraId="1D41A344" w14:textId="77777777" w:rsidR="00F2069D" w:rsidRPr="00F2069D" w:rsidRDefault="00F2069D" w:rsidP="00F2069D">
      <w:pPr>
        <w:ind w:firstLine="72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 xml:space="preserve">Las poblaciones de los Estados Miembros de la OEA han sido víctimas de actos terroristas de pequeña, mediana y gran escala. Paradójicamente, el abordaje del extremismo violento que puede conducir al terrorismo aún podría considerarse relativamente nueva en el espectro de temas de seguridad multidimensional que usualmente están en primera línea de discusión a nivel regional.  Por ello, el tema propuesto por la presidencia tiene como objetivo afianzar el diálogo hemisférico sobre el fenómeno del terrorismo y el extremismo violento que puede conducir al terrorismo, y sus diversas manifestaciones, desde una perspectiva integral y holística que priorice la prevención, el conocimiento de los avances realizados en los últimos cinco años a nivel regional, el intercambio de información sobre las herramientas especializadas y los mecanismos disponibles -incluyendo el deporte- y la identificación de posibilidades concretas de cooperación hemisférica. </w:t>
      </w:r>
    </w:p>
    <w:p w14:paraId="7A213ADF" w14:textId="77777777" w:rsidR="00F2069D" w:rsidRPr="00F2069D" w:rsidRDefault="00F2069D" w:rsidP="00F2069D">
      <w:pPr>
        <w:jc w:val="both"/>
        <w:rPr>
          <w:rFonts w:eastAsiaTheme="minorHAnsi"/>
          <w:snapToGrid/>
          <w:color w:val="000000" w:themeColor="text1"/>
          <w:sz w:val="22"/>
          <w:szCs w:val="22"/>
          <w:lang w:val="es-ES"/>
        </w:rPr>
      </w:pPr>
    </w:p>
    <w:p w14:paraId="0E8ED1D2" w14:textId="7F0AD882" w:rsidR="00F2069D" w:rsidRPr="00F2069D" w:rsidRDefault="00F2069D" w:rsidP="00F2069D">
      <w:pPr>
        <w:tabs>
          <w:tab w:val="left" w:pos="991"/>
        </w:tabs>
        <w:jc w:val="both"/>
        <w:rPr>
          <w:rFonts w:eastAsiaTheme="minorHAnsi"/>
          <w:b/>
          <w:bCs/>
          <w:snapToGrid/>
          <w:color w:val="000000" w:themeColor="text1"/>
          <w:sz w:val="22"/>
          <w:szCs w:val="22"/>
          <w:lang w:val="es-ES"/>
        </w:rPr>
      </w:pPr>
      <w:r w:rsidRPr="00F2069D">
        <w:rPr>
          <w:rFonts w:eastAsiaTheme="minorHAnsi"/>
          <w:snapToGrid/>
          <w:color w:val="000000" w:themeColor="text1"/>
          <w:sz w:val="22"/>
          <w:szCs w:val="22"/>
          <w:lang w:val="es-ES"/>
        </w:rPr>
        <w:tab/>
        <w:t xml:space="preserve">Para ello, se tendrán en cuenta los avances realizados a nivel global en el marco de las Naciones Unidas y, en particular, lo contemplado en el Plan de Acción del Secretario General de las Naciones Unidas para Prevenir el Extremismo Violento, el </w:t>
      </w:r>
      <w:r w:rsidRPr="00F2069D">
        <w:rPr>
          <w:rFonts w:eastAsiaTheme="minorHAnsi"/>
          <w:i/>
          <w:snapToGrid/>
          <w:color w:val="000000" w:themeColor="text1"/>
          <w:sz w:val="22"/>
          <w:szCs w:val="22"/>
          <w:lang w:val="es-ES"/>
        </w:rPr>
        <w:t xml:space="preserve">Christchurch </w:t>
      </w:r>
      <w:proofErr w:type="spellStart"/>
      <w:r w:rsidRPr="00F2069D">
        <w:rPr>
          <w:rFonts w:eastAsiaTheme="minorHAnsi"/>
          <w:i/>
          <w:snapToGrid/>
          <w:color w:val="000000" w:themeColor="text1"/>
          <w:sz w:val="22"/>
          <w:szCs w:val="22"/>
          <w:lang w:val="es-ES"/>
        </w:rPr>
        <w:t>Call</w:t>
      </w:r>
      <w:proofErr w:type="spellEnd"/>
      <w:r w:rsidRPr="00F2069D">
        <w:rPr>
          <w:rFonts w:eastAsiaTheme="minorHAnsi"/>
          <w:i/>
          <w:snapToGrid/>
          <w:color w:val="000000" w:themeColor="text1"/>
          <w:sz w:val="22"/>
          <w:szCs w:val="22"/>
          <w:lang w:val="es-ES"/>
        </w:rPr>
        <w:t xml:space="preserve"> </w:t>
      </w:r>
      <w:proofErr w:type="spellStart"/>
      <w:r w:rsidRPr="00F2069D">
        <w:rPr>
          <w:rFonts w:eastAsiaTheme="minorHAnsi"/>
          <w:i/>
          <w:snapToGrid/>
          <w:color w:val="000000" w:themeColor="text1"/>
          <w:sz w:val="22"/>
          <w:szCs w:val="22"/>
          <w:lang w:val="es-ES"/>
        </w:rPr>
        <w:t>to</w:t>
      </w:r>
      <w:proofErr w:type="spellEnd"/>
      <w:r w:rsidRPr="00F2069D">
        <w:rPr>
          <w:rFonts w:eastAsiaTheme="minorHAnsi"/>
          <w:i/>
          <w:snapToGrid/>
          <w:color w:val="000000" w:themeColor="text1"/>
          <w:sz w:val="22"/>
          <w:szCs w:val="22"/>
          <w:lang w:val="es-ES"/>
        </w:rPr>
        <w:t xml:space="preserve"> </w:t>
      </w:r>
      <w:proofErr w:type="spellStart"/>
      <w:r w:rsidRPr="00F2069D">
        <w:rPr>
          <w:rFonts w:eastAsiaTheme="minorHAnsi"/>
          <w:i/>
          <w:snapToGrid/>
          <w:color w:val="000000" w:themeColor="text1"/>
          <w:sz w:val="22"/>
          <w:szCs w:val="22"/>
          <w:lang w:val="es-ES"/>
        </w:rPr>
        <w:t>Action</w:t>
      </w:r>
      <w:proofErr w:type="spellEnd"/>
      <w:r w:rsidRPr="00F2069D">
        <w:rPr>
          <w:rFonts w:eastAsiaTheme="minorHAnsi"/>
          <w:snapToGrid/>
          <w:color w:val="000000" w:themeColor="text1"/>
          <w:sz w:val="22"/>
          <w:szCs w:val="22"/>
          <w:lang w:val="es-ES"/>
        </w:rPr>
        <w:t>, la implementación de las resoluciones pertinentes del Consejo de Seguridad de Naciones Unidas 1267 (1999), 1373 (2001), 1989 (2011), 2253 (2015), la Estrategia Global de las Naciones Unidas contra el Terrorismo, la resolución de la Asamblea General de la ONU: Medidas para eliminar el terrorismo internacional, los mandatos de la Asamblea General de la OEA, entre otros. También se tendrá en cuenta como eje transversal de las discusiones sobre los estándares internacionales en materia de derechos humanos, incluyendo la implementación de perspectiva de género, en los esfuerzos de prevención y del terrorismo y extremismo violento.</w:t>
      </w:r>
    </w:p>
    <w:p w14:paraId="18141924" w14:textId="77777777" w:rsidR="00F2069D" w:rsidRPr="00F2069D" w:rsidRDefault="00F2069D" w:rsidP="00F2069D">
      <w:pPr>
        <w:jc w:val="both"/>
        <w:rPr>
          <w:rFonts w:eastAsiaTheme="minorHAnsi"/>
          <w:snapToGrid/>
          <w:color w:val="000000" w:themeColor="text1"/>
          <w:sz w:val="22"/>
          <w:szCs w:val="22"/>
          <w:lang w:val="es-ES"/>
        </w:rPr>
      </w:pPr>
    </w:p>
    <w:p w14:paraId="5B938EC2" w14:textId="77777777" w:rsidR="0003072D" w:rsidRDefault="0003072D">
      <w:pPr>
        <w:rPr>
          <w:rFonts w:eastAsiaTheme="minorHAnsi"/>
          <w:b/>
          <w:bCs/>
          <w:snapToGrid/>
          <w:color w:val="000000" w:themeColor="text1"/>
          <w:sz w:val="22"/>
          <w:szCs w:val="22"/>
          <w:u w:val="single"/>
          <w:lang w:val="es-ES"/>
        </w:rPr>
      </w:pPr>
      <w:r>
        <w:rPr>
          <w:rFonts w:eastAsiaTheme="minorHAnsi"/>
          <w:b/>
          <w:bCs/>
          <w:snapToGrid/>
          <w:color w:val="000000" w:themeColor="text1"/>
          <w:sz w:val="22"/>
          <w:szCs w:val="22"/>
          <w:u w:val="single"/>
          <w:lang w:val="es-ES"/>
        </w:rPr>
        <w:br w:type="page"/>
      </w:r>
    </w:p>
    <w:p w14:paraId="2EF42E0F" w14:textId="03868B1D" w:rsidR="00F2069D" w:rsidRPr="00F2069D" w:rsidRDefault="00F2069D" w:rsidP="00F2069D">
      <w:pPr>
        <w:jc w:val="both"/>
        <w:rPr>
          <w:rFonts w:eastAsiaTheme="minorHAnsi"/>
          <w:b/>
          <w:bCs/>
          <w:snapToGrid/>
          <w:color w:val="000000" w:themeColor="text1"/>
          <w:sz w:val="22"/>
          <w:szCs w:val="22"/>
          <w:u w:val="single"/>
          <w:lang w:val="es-ES"/>
        </w:rPr>
      </w:pPr>
      <w:r w:rsidRPr="00F2069D">
        <w:rPr>
          <w:rFonts w:eastAsiaTheme="minorHAnsi"/>
          <w:b/>
          <w:bCs/>
          <w:snapToGrid/>
          <w:color w:val="000000" w:themeColor="text1"/>
          <w:sz w:val="22"/>
          <w:szCs w:val="22"/>
          <w:u w:val="single"/>
          <w:lang w:val="es-ES"/>
        </w:rPr>
        <w:lastRenderedPageBreak/>
        <w:t>Temas de discusión propuestos</w:t>
      </w:r>
    </w:p>
    <w:p w14:paraId="5615483A" w14:textId="5E20E4BE" w:rsidR="00F2069D" w:rsidRPr="00F2069D" w:rsidRDefault="00F2069D" w:rsidP="00F2069D">
      <w:pPr>
        <w:jc w:val="both"/>
        <w:rPr>
          <w:rFonts w:eastAsiaTheme="minorHAnsi"/>
          <w:b/>
          <w:bCs/>
          <w:snapToGrid/>
          <w:color w:val="000000" w:themeColor="text1"/>
          <w:sz w:val="22"/>
          <w:szCs w:val="22"/>
          <w:u w:val="single"/>
          <w:lang w:val="es-ES"/>
        </w:rPr>
      </w:pPr>
      <w:r w:rsidRPr="00F2069D">
        <w:rPr>
          <w:rFonts w:eastAsiaTheme="minorHAnsi"/>
          <w:b/>
          <w:bCs/>
          <w:snapToGrid/>
          <w:color w:val="000000" w:themeColor="text1"/>
          <w:sz w:val="22"/>
          <w:szCs w:val="22"/>
          <w:u w:val="single"/>
          <w:lang w:val="es-ES"/>
        </w:rPr>
        <w:t xml:space="preserve"> </w:t>
      </w:r>
    </w:p>
    <w:p w14:paraId="0980C439" w14:textId="62559628" w:rsidR="00F2069D" w:rsidRPr="00F2069D" w:rsidRDefault="00F2069D" w:rsidP="00F2069D">
      <w:pPr>
        <w:ind w:left="2160" w:hanging="144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Panel 1:</w:t>
      </w:r>
      <w:r w:rsidRPr="00F2069D">
        <w:rPr>
          <w:rFonts w:eastAsiaTheme="minorHAnsi"/>
          <w:snapToGrid/>
          <w:color w:val="000000" w:themeColor="text1"/>
          <w:sz w:val="22"/>
          <w:szCs w:val="22"/>
          <w:lang w:val="es-ES"/>
        </w:rPr>
        <w:tab/>
        <w:t>Tendencias, retos y prácticas en materia de reclutamiento, propaganda y radicalización violenta que podría conducir al terrorismo.</w:t>
      </w:r>
    </w:p>
    <w:p w14:paraId="2BF46872" w14:textId="7EA7D1B3" w:rsidR="00F2069D" w:rsidRPr="00F2069D" w:rsidRDefault="00F2069D" w:rsidP="00F2069D">
      <w:pPr>
        <w:ind w:left="2160" w:hanging="144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Panel 2:</w:t>
      </w:r>
      <w:r w:rsidRPr="00F2069D">
        <w:rPr>
          <w:rFonts w:eastAsiaTheme="minorHAnsi"/>
          <w:snapToGrid/>
          <w:color w:val="000000" w:themeColor="text1"/>
          <w:sz w:val="22"/>
          <w:szCs w:val="22"/>
          <w:lang w:val="es-ES"/>
        </w:rPr>
        <w:tab/>
        <w:t>La perspectiva de derechos humanos en los esfuerzos de prevención del terrorismo y del extremismo violento.</w:t>
      </w:r>
    </w:p>
    <w:p w14:paraId="5A57978F" w14:textId="2870C34A" w:rsidR="00F2069D" w:rsidRPr="00F2069D" w:rsidRDefault="00F2069D" w:rsidP="00F2069D">
      <w:pPr>
        <w:ind w:left="2160" w:hanging="144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Panel 3:</w:t>
      </w:r>
      <w:r w:rsidRPr="00F2069D">
        <w:rPr>
          <w:rFonts w:eastAsiaTheme="minorHAnsi"/>
          <w:snapToGrid/>
          <w:color w:val="000000" w:themeColor="text1"/>
          <w:sz w:val="22"/>
          <w:szCs w:val="22"/>
          <w:lang w:val="es-ES"/>
        </w:rPr>
        <w:tab/>
        <w:t>Cooperación internacional durante grandes eventos para la prevención del terrorismo y del extremismo violento.</w:t>
      </w:r>
    </w:p>
    <w:p w14:paraId="6D5E20FD" w14:textId="791E2DE0" w:rsidR="00F2069D" w:rsidRPr="00F2069D" w:rsidRDefault="00F2069D" w:rsidP="00F2069D">
      <w:pPr>
        <w:ind w:left="2160" w:hanging="144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Panel 4:</w:t>
      </w:r>
      <w:r w:rsidRPr="00F2069D">
        <w:rPr>
          <w:rFonts w:eastAsiaTheme="minorHAnsi"/>
          <w:snapToGrid/>
          <w:color w:val="000000" w:themeColor="text1"/>
          <w:sz w:val="22"/>
          <w:szCs w:val="22"/>
          <w:lang w:val="es-ES"/>
        </w:rPr>
        <w:tab/>
        <w:t>El impacto del deporte en la prevención del terrorismo y del extremismo violento.</w:t>
      </w:r>
    </w:p>
    <w:p w14:paraId="4F247428" w14:textId="029B7516" w:rsidR="00F2069D" w:rsidRPr="00F2069D" w:rsidRDefault="00F2069D" w:rsidP="00F2069D">
      <w:pPr>
        <w:ind w:left="1440" w:hanging="720"/>
        <w:jc w:val="both"/>
        <w:rPr>
          <w:rFonts w:eastAsiaTheme="minorHAnsi"/>
          <w:snapToGrid/>
          <w:color w:val="000000" w:themeColor="text1"/>
          <w:sz w:val="22"/>
          <w:szCs w:val="22"/>
          <w:lang w:val="es-ES"/>
        </w:rPr>
      </w:pPr>
    </w:p>
    <w:p w14:paraId="44891240" w14:textId="2013B962" w:rsidR="00F2069D" w:rsidRPr="00F2069D" w:rsidRDefault="00F2069D" w:rsidP="00F2069D">
      <w:pPr>
        <w:jc w:val="both"/>
        <w:rPr>
          <w:rFonts w:eastAsiaTheme="minorHAnsi"/>
          <w:b/>
          <w:bCs/>
          <w:snapToGrid/>
          <w:color w:val="000000" w:themeColor="text1"/>
          <w:sz w:val="22"/>
          <w:szCs w:val="22"/>
          <w:u w:val="single"/>
          <w:lang w:val="es-ES"/>
        </w:rPr>
      </w:pPr>
      <w:r w:rsidRPr="00F2069D">
        <w:rPr>
          <w:rFonts w:eastAsiaTheme="minorHAnsi"/>
          <w:b/>
          <w:bCs/>
          <w:snapToGrid/>
          <w:color w:val="000000" w:themeColor="text1"/>
          <w:sz w:val="22"/>
          <w:szCs w:val="22"/>
          <w:u w:val="single"/>
          <w:lang w:val="es-ES"/>
        </w:rPr>
        <w:t>Formato</w:t>
      </w:r>
    </w:p>
    <w:p w14:paraId="2FBBB78C" w14:textId="77777777" w:rsidR="00F2069D" w:rsidRPr="00F2069D" w:rsidRDefault="00F2069D" w:rsidP="00F2069D">
      <w:pPr>
        <w:jc w:val="both"/>
        <w:rPr>
          <w:rFonts w:eastAsiaTheme="minorHAnsi"/>
          <w:b/>
          <w:bCs/>
          <w:snapToGrid/>
          <w:color w:val="000000" w:themeColor="text1"/>
          <w:sz w:val="22"/>
          <w:szCs w:val="22"/>
          <w:u w:val="single"/>
          <w:lang w:val="es-ES"/>
        </w:rPr>
      </w:pPr>
    </w:p>
    <w:p w14:paraId="598DF46B" w14:textId="77777777" w:rsidR="00F2069D" w:rsidRPr="00F2069D" w:rsidRDefault="00F2069D" w:rsidP="00F2069D">
      <w:pPr>
        <w:ind w:firstLine="72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Híbrido, con participantes en persona, de los Estados Miembros, así como participación virtual a través de la plataforma KUDO, de aquellos que así lo prefieran.</w:t>
      </w:r>
    </w:p>
    <w:p w14:paraId="35E69E8A" w14:textId="6B83356A" w:rsidR="00F2069D" w:rsidRPr="00F2069D" w:rsidRDefault="00F2069D" w:rsidP="00F2069D">
      <w:pPr>
        <w:jc w:val="both"/>
        <w:rPr>
          <w:rFonts w:eastAsiaTheme="minorHAnsi"/>
          <w:snapToGrid/>
          <w:color w:val="000000" w:themeColor="text1"/>
          <w:sz w:val="22"/>
          <w:szCs w:val="22"/>
          <w:lang w:val="es-419"/>
        </w:rPr>
      </w:pPr>
    </w:p>
    <w:p w14:paraId="6B5CDCA9" w14:textId="4F7D529F" w:rsidR="00F2069D" w:rsidRPr="00F2069D" w:rsidRDefault="00F2069D" w:rsidP="00F2069D">
      <w:pPr>
        <w:jc w:val="both"/>
        <w:rPr>
          <w:rFonts w:eastAsiaTheme="minorHAnsi"/>
          <w:b/>
          <w:bCs/>
          <w:snapToGrid/>
          <w:color w:val="000000" w:themeColor="text1"/>
          <w:sz w:val="22"/>
          <w:szCs w:val="22"/>
          <w:u w:val="single"/>
          <w:lang w:val="es-ES"/>
        </w:rPr>
      </w:pPr>
      <w:r w:rsidRPr="00F2069D">
        <w:rPr>
          <w:rFonts w:eastAsiaTheme="minorHAnsi"/>
          <w:b/>
          <w:bCs/>
          <w:snapToGrid/>
          <w:color w:val="000000" w:themeColor="text1"/>
          <w:sz w:val="22"/>
          <w:szCs w:val="22"/>
          <w:u w:val="single"/>
          <w:lang w:val="es-ES"/>
        </w:rPr>
        <w:t>Resultados esperados</w:t>
      </w:r>
    </w:p>
    <w:p w14:paraId="15D772A9" w14:textId="77777777" w:rsidR="00F2069D" w:rsidRPr="00F2069D" w:rsidRDefault="00F2069D" w:rsidP="00F2069D">
      <w:pPr>
        <w:jc w:val="both"/>
        <w:rPr>
          <w:rFonts w:eastAsiaTheme="minorHAnsi"/>
          <w:b/>
          <w:bCs/>
          <w:snapToGrid/>
          <w:color w:val="000000" w:themeColor="text1"/>
          <w:sz w:val="22"/>
          <w:szCs w:val="22"/>
          <w:u w:val="single"/>
          <w:lang w:val="es-ES"/>
        </w:rPr>
      </w:pPr>
    </w:p>
    <w:p w14:paraId="4FAE9717" w14:textId="77777777" w:rsidR="00F2069D" w:rsidRDefault="00F2069D" w:rsidP="00F2069D">
      <w:pPr>
        <w:ind w:firstLine="360"/>
        <w:jc w:val="both"/>
        <w:rPr>
          <w:rFonts w:eastAsiaTheme="minorHAnsi"/>
          <w:snapToGrid/>
          <w:color w:val="000000" w:themeColor="text1"/>
          <w:sz w:val="22"/>
          <w:szCs w:val="22"/>
          <w:lang w:val="es-ES"/>
        </w:rPr>
      </w:pPr>
      <w:r w:rsidRPr="00F2069D">
        <w:rPr>
          <w:rFonts w:eastAsiaTheme="minorHAnsi"/>
          <w:snapToGrid/>
          <w:color w:val="000000" w:themeColor="text1"/>
          <w:sz w:val="22"/>
          <w:szCs w:val="22"/>
          <w:lang w:val="es-ES"/>
        </w:rPr>
        <w:t>Los resultados esperados para esta reunión incluyen:</w:t>
      </w:r>
    </w:p>
    <w:p w14:paraId="648A3900" w14:textId="77E73488" w:rsidR="00F2069D" w:rsidRPr="00F2069D" w:rsidRDefault="00F2069D" w:rsidP="00F2069D">
      <w:pPr>
        <w:ind w:firstLine="360"/>
        <w:jc w:val="both"/>
        <w:rPr>
          <w:rFonts w:eastAsiaTheme="minorHAnsi"/>
          <w:snapToGrid/>
          <w:color w:val="000000" w:themeColor="text1"/>
          <w:sz w:val="22"/>
          <w:szCs w:val="22"/>
          <w:lang w:val="es-ES"/>
        </w:rPr>
      </w:pPr>
    </w:p>
    <w:p w14:paraId="25B9ADB6" w14:textId="77777777" w:rsidR="00F2069D" w:rsidRPr="00F2069D" w:rsidRDefault="00F2069D" w:rsidP="00F2069D">
      <w:pPr>
        <w:numPr>
          <w:ilvl w:val="0"/>
          <w:numId w:val="35"/>
        </w:numPr>
        <w:contextualSpacing/>
        <w:jc w:val="both"/>
        <w:rPr>
          <w:snapToGrid/>
          <w:color w:val="000000" w:themeColor="text1"/>
          <w:sz w:val="22"/>
          <w:szCs w:val="22"/>
          <w:lang w:val="es-ES"/>
        </w:rPr>
      </w:pPr>
      <w:r w:rsidRPr="00F2069D">
        <w:rPr>
          <w:snapToGrid/>
          <w:color w:val="000000" w:themeColor="text1"/>
          <w:sz w:val="22"/>
          <w:szCs w:val="22"/>
          <w:lang w:val="es-ES"/>
        </w:rPr>
        <w:t>Realización del XXIII Período Ordinario de sesiones del CICTE.</w:t>
      </w:r>
    </w:p>
    <w:p w14:paraId="5F49EA7E" w14:textId="77777777" w:rsidR="00F2069D" w:rsidRPr="00F2069D" w:rsidRDefault="00F2069D" w:rsidP="00F2069D">
      <w:pPr>
        <w:numPr>
          <w:ilvl w:val="0"/>
          <w:numId w:val="35"/>
        </w:numPr>
        <w:contextualSpacing/>
        <w:jc w:val="both"/>
        <w:rPr>
          <w:snapToGrid/>
          <w:color w:val="000000" w:themeColor="text1"/>
          <w:sz w:val="22"/>
          <w:szCs w:val="22"/>
          <w:lang w:val="es-ES"/>
        </w:rPr>
      </w:pPr>
      <w:r w:rsidRPr="00F2069D">
        <w:rPr>
          <w:snapToGrid/>
          <w:color w:val="000000" w:themeColor="text1"/>
          <w:sz w:val="22"/>
          <w:szCs w:val="22"/>
          <w:lang w:val="es-ES"/>
        </w:rPr>
        <w:t>Generación de un espacio de diálogo que aborda temas actuales, emergentes y transversales en materia de prevención y abordaje del extremismo violento que podría conducir al terrorismo.</w:t>
      </w:r>
    </w:p>
    <w:p w14:paraId="31B5D9A3" w14:textId="77777777" w:rsidR="00F2069D" w:rsidRPr="00F2069D" w:rsidRDefault="00F2069D" w:rsidP="00F2069D">
      <w:pPr>
        <w:numPr>
          <w:ilvl w:val="0"/>
          <w:numId w:val="35"/>
        </w:numPr>
        <w:contextualSpacing/>
        <w:jc w:val="both"/>
        <w:rPr>
          <w:snapToGrid/>
          <w:color w:val="000000" w:themeColor="text1"/>
          <w:sz w:val="22"/>
          <w:szCs w:val="22"/>
          <w:lang w:val="es-419"/>
        </w:rPr>
      </w:pPr>
      <w:r w:rsidRPr="00F2069D">
        <w:rPr>
          <w:snapToGrid/>
          <w:color w:val="000000" w:themeColor="text1"/>
          <w:sz w:val="22"/>
          <w:szCs w:val="22"/>
          <w:lang w:val="es-ES"/>
        </w:rPr>
        <w:t xml:space="preserve">Identificación de áreas de apoyo ante la naturaleza cambiante del flagelo del terrorismo y, en particular, del extremismo violento y sus diferentes manifestaciones. </w:t>
      </w:r>
    </w:p>
    <w:p w14:paraId="286B1157" w14:textId="77777777" w:rsidR="00F2069D" w:rsidRPr="00F2069D" w:rsidRDefault="00F2069D" w:rsidP="00F2069D">
      <w:pPr>
        <w:numPr>
          <w:ilvl w:val="0"/>
          <w:numId w:val="35"/>
        </w:numPr>
        <w:contextualSpacing/>
        <w:jc w:val="both"/>
        <w:rPr>
          <w:snapToGrid/>
          <w:color w:val="000000" w:themeColor="text1"/>
          <w:sz w:val="22"/>
          <w:szCs w:val="22"/>
          <w:lang w:val="es-419"/>
        </w:rPr>
      </w:pPr>
      <w:r w:rsidRPr="00F2069D">
        <w:rPr>
          <w:snapToGrid/>
          <w:color w:val="000000" w:themeColor="text1"/>
          <w:sz w:val="22"/>
          <w:szCs w:val="22"/>
          <w:lang w:val="es-419"/>
        </w:rPr>
        <w:t>Amplificación del</w:t>
      </w:r>
      <w:r w:rsidRPr="00F2069D">
        <w:rPr>
          <w:snapToGrid/>
          <w:color w:val="000000" w:themeColor="text1"/>
          <w:sz w:val="22"/>
          <w:szCs w:val="22"/>
          <w:lang w:val="es-ES"/>
        </w:rPr>
        <w:t xml:space="preserve"> impacto de los programas-proyectos existentes en el ámbito del CICTE y la cooperación hemisférica. </w:t>
      </w:r>
    </w:p>
    <w:p w14:paraId="2E850941" w14:textId="77777777" w:rsidR="00F2069D" w:rsidRPr="00F2069D" w:rsidRDefault="00F2069D" w:rsidP="00F2069D">
      <w:pPr>
        <w:numPr>
          <w:ilvl w:val="0"/>
          <w:numId w:val="35"/>
        </w:numPr>
        <w:contextualSpacing/>
        <w:jc w:val="both"/>
        <w:rPr>
          <w:snapToGrid/>
          <w:color w:val="000000" w:themeColor="text1"/>
          <w:sz w:val="22"/>
          <w:szCs w:val="22"/>
          <w:lang w:val="es-419"/>
        </w:rPr>
      </w:pPr>
      <w:r w:rsidRPr="00F2069D">
        <w:rPr>
          <w:snapToGrid/>
          <w:color w:val="000000" w:themeColor="text1"/>
          <w:sz w:val="22"/>
          <w:szCs w:val="22"/>
          <w:lang w:val="es-419"/>
        </w:rPr>
        <w:t>Fortalecimiento de capacidades de los Mecanismos Nacionales de Coordinación para Prevenir y Contrarrestar el Terrorismo, a fin de mejorar las estrategias para detectar amenazas existentes y potenciales para la paz y seguridad en el hemisferio.</w:t>
      </w:r>
    </w:p>
    <w:p w14:paraId="461FAE03" w14:textId="093DA9F6" w:rsidR="00F26274" w:rsidRPr="00F2069D" w:rsidRDefault="00F2069D" w:rsidP="00F2069D">
      <w:pPr>
        <w:jc w:val="center"/>
        <w:outlineLvl w:val="0"/>
        <w:rPr>
          <w:b/>
          <w:sz w:val="22"/>
          <w:szCs w:val="22"/>
          <w:lang w:val="es-419"/>
        </w:rPr>
      </w:pPr>
      <w:r>
        <w:rPr>
          <w:b/>
          <w:noProof/>
          <w:snapToGrid/>
          <w:sz w:val="22"/>
          <w:szCs w:val="22"/>
          <w:lang w:val="es-419"/>
        </w:rPr>
        <mc:AlternateContent>
          <mc:Choice Requires="wps">
            <w:drawing>
              <wp:anchor distT="0" distB="0" distL="114300" distR="114300" simplePos="0" relativeHeight="251659264" behindDoc="0" locked="1" layoutInCell="1" allowOverlap="1" wp14:anchorId="1DADFCE3" wp14:editId="1E7ABF36">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3EDED31" w14:textId="3053F32A" w:rsidR="00F2069D" w:rsidRPr="00F2069D" w:rsidRDefault="00F2069D">
                            <w:pPr>
                              <w:rPr>
                                <w:sz w:val="18"/>
                              </w:rPr>
                            </w:pPr>
                            <w:r>
                              <w:rPr>
                                <w:sz w:val="18"/>
                              </w:rPr>
                              <w:fldChar w:fldCharType="begin"/>
                            </w:r>
                            <w:r>
                              <w:rPr>
                                <w:sz w:val="18"/>
                              </w:rPr>
                              <w:instrText xml:space="preserve"> FILENAME  \* MERGEFORMAT </w:instrText>
                            </w:r>
                            <w:r>
                              <w:rPr>
                                <w:sz w:val="18"/>
                              </w:rPr>
                              <w:fldChar w:fldCharType="separate"/>
                            </w:r>
                            <w:r w:rsidR="006B38F5">
                              <w:rPr>
                                <w:noProof/>
                                <w:sz w:val="18"/>
                              </w:rPr>
                              <w:t>CICTE01626S01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DFCE3"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33EDED31" w14:textId="3053F32A" w:rsidR="00F2069D" w:rsidRPr="00F2069D" w:rsidRDefault="00F2069D">
                      <w:pPr>
                        <w:rPr>
                          <w:sz w:val="18"/>
                        </w:rPr>
                      </w:pPr>
                      <w:r>
                        <w:rPr>
                          <w:sz w:val="18"/>
                        </w:rPr>
                        <w:fldChar w:fldCharType="begin"/>
                      </w:r>
                      <w:r>
                        <w:rPr>
                          <w:sz w:val="18"/>
                        </w:rPr>
                        <w:instrText xml:space="preserve"> FILENAME  \* MERGEFORMAT </w:instrText>
                      </w:r>
                      <w:r>
                        <w:rPr>
                          <w:sz w:val="18"/>
                        </w:rPr>
                        <w:fldChar w:fldCharType="separate"/>
                      </w:r>
                      <w:r w:rsidR="006B38F5">
                        <w:rPr>
                          <w:noProof/>
                          <w:sz w:val="18"/>
                        </w:rPr>
                        <w:t>CICTE01626S01</w:t>
                      </w:r>
                      <w:r>
                        <w:rPr>
                          <w:sz w:val="18"/>
                        </w:rPr>
                        <w:fldChar w:fldCharType="end"/>
                      </w:r>
                    </w:p>
                  </w:txbxContent>
                </v:textbox>
                <w10:wrap anchory="page"/>
                <w10:anchorlock/>
              </v:shape>
            </w:pict>
          </mc:Fallback>
        </mc:AlternateContent>
      </w:r>
    </w:p>
    <w:sectPr w:rsidR="00F26274" w:rsidRPr="00F2069D" w:rsidSect="00C900C9">
      <w:headerReference w:type="default" r:id="rId12"/>
      <w:headerReference w:type="first" r:id="rId13"/>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5EA5" w14:textId="77777777" w:rsidR="00A74124" w:rsidRDefault="00A74124">
      <w:r>
        <w:separator/>
      </w:r>
    </w:p>
  </w:endnote>
  <w:endnote w:type="continuationSeparator" w:id="0">
    <w:p w14:paraId="576CB2A7" w14:textId="77777777" w:rsidR="00A74124" w:rsidRDefault="00A7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730A" w14:textId="77777777" w:rsidR="00A74124" w:rsidRDefault="00A74124">
      <w:r>
        <w:separator/>
      </w:r>
    </w:p>
  </w:footnote>
  <w:footnote w:type="continuationSeparator" w:id="0">
    <w:p w14:paraId="3A190281" w14:textId="77777777" w:rsidR="00A74124" w:rsidRDefault="00A7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990A" w14:textId="77777777" w:rsidR="00DE6FD1" w:rsidRDefault="00DE6FD1">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6B57F1">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6992" w14:textId="767752D3" w:rsidR="00DE6FD1" w:rsidRDefault="004C02C3">
    <w:pPr>
      <w:pStyle w:val="Header"/>
      <w:tabs>
        <w:tab w:val="clear" w:pos="8640"/>
        <w:tab w:val="right" w:pos="9000"/>
      </w:tabs>
      <w:ind w:right="-389"/>
    </w:pPr>
    <w:r>
      <w:rPr>
        <w:noProof/>
        <w:snapToGrid/>
      </w:rPr>
      <w:drawing>
        <wp:anchor distT="0" distB="0" distL="114300" distR="114300" simplePos="0" relativeHeight="251657728" behindDoc="0" locked="0" layoutInCell="1" allowOverlap="1" wp14:anchorId="7F2FE256" wp14:editId="2A22071B">
          <wp:simplePos x="0" y="0"/>
          <wp:positionH relativeFrom="column">
            <wp:posOffset>635</wp:posOffset>
          </wp:positionH>
          <wp:positionV relativeFrom="paragraph">
            <wp:posOffset>-321945</wp:posOffset>
          </wp:positionV>
          <wp:extent cx="2258695" cy="639445"/>
          <wp:effectExtent l="0" t="0" r="0" b="0"/>
          <wp:wrapSquare wrapText="bothSides"/>
          <wp:docPr id="1"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484"/>
    <w:multiLevelType w:val="hybridMultilevel"/>
    <w:tmpl w:val="A6686CC4"/>
    <w:lvl w:ilvl="0" w:tplc="504618E6">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 w15:restartNumberingAfterBreak="0">
    <w:nsid w:val="0D3A0B1E"/>
    <w:multiLevelType w:val="hybridMultilevel"/>
    <w:tmpl w:val="0C80D452"/>
    <w:lvl w:ilvl="0" w:tplc="93AEF5B0">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10A36508"/>
    <w:multiLevelType w:val="multilevel"/>
    <w:tmpl w:val="AC0A957C"/>
    <w:lvl w:ilvl="0">
      <w:start w:val="9"/>
      <w:numFmt w:val="lowerLetter"/>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3" w15:restartNumberingAfterBreak="0">
    <w:nsid w:val="13042762"/>
    <w:multiLevelType w:val="hybridMultilevel"/>
    <w:tmpl w:val="6D164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F7498C"/>
    <w:multiLevelType w:val="hybridMultilevel"/>
    <w:tmpl w:val="8D1E43BE"/>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5" w15:restartNumberingAfterBreak="0">
    <w:nsid w:val="19632713"/>
    <w:multiLevelType w:val="hybridMultilevel"/>
    <w:tmpl w:val="84368578"/>
    <w:lvl w:ilvl="0" w:tplc="18C24882">
      <w:start w:val="1"/>
      <w:numFmt w:val="lowerLetter"/>
      <w:lvlText w:val="%1."/>
      <w:lvlJc w:val="left"/>
      <w:pPr>
        <w:tabs>
          <w:tab w:val="num" w:pos="1440"/>
        </w:tabs>
        <w:ind w:left="2160" w:firstLine="720"/>
      </w:pPr>
      <w:rPr>
        <w:rFonts w:hint="default"/>
      </w:rPr>
    </w:lvl>
    <w:lvl w:ilvl="1" w:tplc="04090019" w:tentative="1">
      <w:start w:val="1"/>
      <w:numFmt w:val="lowerLetter"/>
      <w:lvlText w:val="%2."/>
      <w:lvlJc w:val="left"/>
      <w:pPr>
        <w:tabs>
          <w:tab w:val="num" w:pos="1440"/>
        </w:tabs>
        <w:ind w:left="1440" w:hanging="360"/>
      </w:pPr>
    </w:lvl>
    <w:lvl w:ilvl="2" w:tplc="18C24882">
      <w:start w:val="1"/>
      <w:numFmt w:val="lowerLetter"/>
      <w:lvlText w:val="%3."/>
      <w:lvlJc w:val="left"/>
      <w:pPr>
        <w:tabs>
          <w:tab w:val="num" w:pos="540"/>
        </w:tabs>
        <w:ind w:left="126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C2991"/>
    <w:multiLevelType w:val="hybridMultilevel"/>
    <w:tmpl w:val="98569048"/>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36018A"/>
    <w:multiLevelType w:val="hybridMultilevel"/>
    <w:tmpl w:val="5D74882C"/>
    <w:lvl w:ilvl="0" w:tplc="0409000F">
      <w:start w:val="4"/>
      <w:numFmt w:val="decimal"/>
      <w:lvlText w:val="%1."/>
      <w:lvlJc w:val="left"/>
      <w:pPr>
        <w:tabs>
          <w:tab w:val="num" w:pos="720"/>
        </w:tabs>
        <w:ind w:left="720" w:hanging="360"/>
      </w:pPr>
      <w:rPr>
        <w:rFonts w:hint="default"/>
      </w:rPr>
    </w:lvl>
    <w:lvl w:ilvl="1" w:tplc="F93ABDE6">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DD7F77"/>
    <w:multiLevelType w:val="hybridMultilevel"/>
    <w:tmpl w:val="E9366BC0"/>
    <w:lvl w:ilvl="0" w:tplc="18D0671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4395A3E"/>
    <w:multiLevelType w:val="hybridMultilevel"/>
    <w:tmpl w:val="A322EE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cs="Symbol" w:hint="default"/>
      </w:rPr>
    </w:lvl>
    <w:lvl w:ilvl="4" w:tplc="CDA6F956">
      <w:numFmt w:val="bullet"/>
      <w:lvlText w:val="–"/>
      <w:lvlJc w:val="left"/>
      <w:pPr>
        <w:tabs>
          <w:tab w:val="num" w:pos="4320"/>
        </w:tabs>
        <w:ind w:left="4320" w:hanging="360"/>
      </w:pPr>
      <w:rPr>
        <w:rFonts w:ascii="Times New Roman" w:eastAsia="Times New Roman" w:hAnsi="Times New Roman" w:hint="default"/>
      </w:rPr>
    </w:lvl>
    <w:lvl w:ilvl="5" w:tplc="BAFE1EC6">
      <w:start w:val="1"/>
      <w:numFmt w:val="lowerRoman"/>
      <w:lvlText w:val="%6."/>
      <w:lvlJc w:val="left"/>
      <w:pPr>
        <w:tabs>
          <w:tab w:val="num" w:pos="5040"/>
        </w:tabs>
        <w:ind w:left="5040" w:hanging="180"/>
      </w:pPr>
      <w:rPr>
        <w:rFonts w:hint="default"/>
      </w:r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250D12EB"/>
    <w:multiLevelType w:val="hybridMultilevel"/>
    <w:tmpl w:val="F000E5C4"/>
    <w:lvl w:ilvl="0" w:tplc="DBB2EC32">
      <w:start w:val="1"/>
      <w:numFmt w:val="lowerRoman"/>
      <w:lvlText w:val="%1."/>
      <w:lvlJc w:val="left"/>
      <w:pPr>
        <w:tabs>
          <w:tab w:val="num" w:pos="2700"/>
        </w:tabs>
        <w:ind w:left="270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FB2025C"/>
    <w:multiLevelType w:val="multilevel"/>
    <w:tmpl w:val="573ADDD4"/>
    <w:lvl w:ilvl="0">
      <w:start w:val="1"/>
      <w:numFmt w:val="lowerLetter"/>
      <w:lvlText w:val="%1."/>
      <w:lvlJc w:val="left"/>
      <w:pPr>
        <w:tabs>
          <w:tab w:val="num" w:pos="1440"/>
        </w:tabs>
        <w:ind w:left="216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B95E1B"/>
    <w:multiLevelType w:val="hybridMultilevel"/>
    <w:tmpl w:val="8C16A9A6"/>
    <w:lvl w:ilvl="0" w:tplc="5D3E8E1E">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3" w15:restartNumberingAfterBreak="0">
    <w:nsid w:val="35C515C0"/>
    <w:multiLevelType w:val="multilevel"/>
    <w:tmpl w:val="D4EE4668"/>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4" w15:restartNumberingAfterBreak="0">
    <w:nsid w:val="3868340D"/>
    <w:multiLevelType w:val="hybridMultilevel"/>
    <w:tmpl w:val="0AA01140"/>
    <w:lvl w:ilvl="0" w:tplc="0150A5A6">
      <w:start w:val="1"/>
      <w:numFmt w:val="bullet"/>
      <w:lvlText w:val=""/>
      <w:lvlJc w:val="left"/>
      <w:pPr>
        <w:tabs>
          <w:tab w:val="num" w:pos="6120"/>
        </w:tabs>
        <w:ind w:left="61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355AB"/>
    <w:multiLevelType w:val="hybridMultilevel"/>
    <w:tmpl w:val="7510494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FEA34E6"/>
    <w:multiLevelType w:val="hybridMultilevel"/>
    <w:tmpl w:val="6AEA0266"/>
    <w:lvl w:ilvl="0" w:tplc="B038F9AC">
      <w:start w:val="1"/>
      <w:numFmt w:val="decimal"/>
      <w:lvlText w:val="%1."/>
      <w:lvlJc w:val="left"/>
      <w:pPr>
        <w:tabs>
          <w:tab w:val="num" w:pos="2880"/>
        </w:tabs>
        <w:ind w:left="2880" w:hanging="720"/>
      </w:pPr>
      <w:rPr>
        <w:rFonts w:hint="default"/>
      </w:rPr>
    </w:lvl>
    <w:lvl w:ilvl="1" w:tplc="6074D886">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0553133"/>
    <w:multiLevelType w:val="hybridMultilevel"/>
    <w:tmpl w:val="C3449FB6"/>
    <w:lvl w:ilvl="0" w:tplc="ACD4AEA4">
      <w:start w:val="1"/>
      <w:numFmt w:val="lowerRoman"/>
      <w:lvlText w:val="%1."/>
      <w:lvlJc w:val="left"/>
      <w:pPr>
        <w:tabs>
          <w:tab w:val="num" w:pos="3240"/>
        </w:tabs>
        <w:ind w:left="3240" w:hanging="360"/>
      </w:pPr>
      <w:rPr>
        <w:rFonts w:hint="default"/>
        <w:i w:val="0"/>
        <w:iCs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8" w15:restartNumberingAfterBreak="0">
    <w:nsid w:val="43CA4F46"/>
    <w:multiLevelType w:val="hybridMultilevel"/>
    <w:tmpl w:val="02E6AF68"/>
    <w:lvl w:ilvl="0" w:tplc="A1106E7E">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9" w15:restartNumberingAfterBreak="0">
    <w:nsid w:val="4B75185D"/>
    <w:multiLevelType w:val="hybridMultilevel"/>
    <w:tmpl w:val="620283A6"/>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0" w15:restartNumberingAfterBreak="0">
    <w:nsid w:val="4DD34EA1"/>
    <w:multiLevelType w:val="hybridMultilevel"/>
    <w:tmpl w:val="AB3213FE"/>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74DDC"/>
    <w:multiLevelType w:val="hybridMultilevel"/>
    <w:tmpl w:val="05F855A6"/>
    <w:lvl w:ilvl="0" w:tplc="DCBCA254">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2" w15:restartNumberingAfterBreak="0">
    <w:nsid w:val="58ED4E80"/>
    <w:multiLevelType w:val="hybridMultilevel"/>
    <w:tmpl w:val="A1167662"/>
    <w:lvl w:ilvl="0" w:tplc="A1106E7E">
      <w:start w:val="1"/>
      <w:numFmt w:val="bullet"/>
      <w:lvlText w:val=""/>
      <w:lvlJc w:val="left"/>
      <w:pPr>
        <w:tabs>
          <w:tab w:val="num" w:pos="3240"/>
        </w:tabs>
        <w:ind w:left="3240" w:hanging="360"/>
      </w:pPr>
      <w:rPr>
        <w:rFonts w:ascii="Symbol" w:hAnsi="Symbol" w:cs="Symbol"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start w:val="1"/>
      <w:numFmt w:val="decimal"/>
      <w:lvlText w:val="%4."/>
      <w:lvlJc w:val="left"/>
      <w:pPr>
        <w:tabs>
          <w:tab w:val="num" w:pos="5400"/>
        </w:tabs>
        <w:ind w:left="5400" w:hanging="360"/>
      </w:pPr>
    </w:lvl>
    <w:lvl w:ilvl="4" w:tplc="FFFFFFFF">
      <w:start w:val="1"/>
      <w:numFmt w:val="lowerLetter"/>
      <w:lvlText w:val="%5."/>
      <w:lvlJc w:val="left"/>
      <w:pPr>
        <w:tabs>
          <w:tab w:val="num" w:pos="6120"/>
        </w:tabs>
        <w:ind w:left="6120" w:hanging="360"/>
      </w:pPr>
    </w:lvl>
    <w:lvl w:ilvl="5" w:tplc="FFFFFFFF">
      <w:start w:val="1"/>
      <w:numFmt w:val="lowerRoman"/>
      <w:lvlText w:val="%6."/>
      <w:lvlJc w:val="right"/>
      <w:pPr>
        <w:tabs>
          <w:tab w:val="num" w:pos="6840"/>
        </w:tabs>
        <w:ind w:left="6840" w:hanging="180"/>
      </w:pPr>
    </w:lvl>
    <w:lvl w:ilvl="6" w:tplc="FFFFFFFF">
      <w:start w:val="1"/>
      <w:numFmt w:val="decimal"/>
      <w:lvlText w:val="%7."/>
      <w:lvlJc w:val="left"/>
      <w:pPr>
        <w:tabs>
          <w:tab w:val="num" w:pos="7560"/>
        </w:tabs>
        <w:ind w:left="7560" w:hanging="360"/>
      </w:pPr>
    </w:lvl>
    <w:lvl w:ilvl="7" w:tplc="FFFFFFFF">
      <w:start w:val="1"/>
      <w:numFmt w:val="lowerLetter"/>
      <w:lvlText w:val="%8."/>
      <w:lvlJc w:val="left"/>
      <w:pPr>
        <w:tabs>
          <w:tab w:val="num" w:pos="8280"/>
        </w:tabs>
        <w:ind w:left="8280" w:hanging="360"/>
      </w:pPr>
    </w:lvl>
    <w:lvl w:ilvl="8" w:tplc="FFFFFFFF">
      <w:start w:val="1"/>
      <w:numFmt w:val="lowerRoman"/>
      <w:lvlText w:val="%9."/>
      <w:lvlJc w:val="right"/>
      <w:pPr>
        <w:tabs>
          <w:tab w:val="num" w:pos="9000"/>
        </w:tabs>
        <w:ind w:left="9000" w:hanging="180"/>
      </w:pPr>
    </w:lvl>
  </w:abstractNum>
  <w:abstractNum w:abstractNumId="23" w15:restartNumberingAfterBreak="0">
    <w:nsid w:val="59B07200"/>
    <w:multiLevelType w:val="hybridMultilevel"/>
    <w:tmpl w:val="7BB690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AA64FBF"/>
    <w:multiLevelType w:val="hybridMultilevel"/>
    <w:tmpl w:val="EDA6A270"/>
    <w:lvl w:ilvl="0" w:tplc="FEE65FC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5" w15:restartNumberingAfterBreak="0">
    <w:nsid w:val="5CB25FA7"/>
    <w:multiLevelType w:val="multilevel"/>
    <w:tmpl w:val="C3F89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A1A4312"/>
    <w:multiLevelType w:val="multilevel"/>
    <w:tmpl w:val="A4D85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A9C3658"/>
    <w:multiLevelType w:val="hybridMultilevel"/>
    <w:tmpl w:val="BFD60382"/>
    <w:lvl w:ilvl="0" w:tplc="8FA67A78">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8" w15:restartNumberingAfterBreak="0">
    <w:nsid w:val="6DD54DAF"/>
    <w:multiLevelType w:val="hybridMultilevel"/>
    <w:tmpl w:val="0520F70C"/>
    <w:lvl w:ilvl="0" w:tplc="136A280A">
      <w:start w:val="1"/>
      <w:numFmt w:val="decimal"/>
      <w:lvlText w:val="%1."/>
      <w:lvlJc w:val="left"/>
      <w:pPr>
        <w:tabs>
          <w:tab w:val="num" w:pos="1440"/>
        </w:tabs>
        <w:ind w:firstLine="720"/>
      </w:pPr>
      <w:rPr>
        <w:rFonts w:hint="default"/>
        <w:sz w:val="22"/>
        <w:szCs w:val="22"/>
      </w:rPr>
    </w:lvl>
    <w:lvl w:ilvl="1" w:tplc="FFFFFFFF">
      <w:start w:val="1"/>
      <w:numFmt w:val="lowerLetter"/>
      <w:lvlText w:val="%2."/>
      <w:lvlJc w:val="left"/>
      <w:pPr>
        <w:tabs>
          <w:tab w:val="num" w:pos="1440"/>
        </w:tabs>
        <w:ind w:left="1440" w:hanging="360"/>
      </w:pPr>
    </w:lvl>
    <w:lvl w:ilvl="2" w:tplc="C5DABEF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EAC09F4"/>
    <w:multiLevelType w:val="hybridMultilevel"/>
    <w:tmpl w:val="C2EEB410"/>
    <w:lvl w:ilvl="0" w:tplc="A4DE547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702B047D"/>
    <w:multiLevelType w:val="multilevel"/>
    <w:tmpl w:val="6ABE8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bullet"/>
      <w:lvlText w:val=""/>
      <w:lvlJc w:val="left"/>
      <w:pPr>
        <w:tabs>
          <w:tab w:val="num" w:pos="3600"/>
        </w:tabs>
        <w:ind w:left="3600" w:hanging="360"/>
      </w:pPr>
      <w:rPr>
        <w:rFonts w:ascii="Symbol" w:hAnsi="Symbol" w:cs="Symbol" w:hint="default"/>
      </w:rPr>
    </w:lvl>
    <w:lvl w:ilvl="4">
      <w:numFmt w:val="bullet"/>
      <w:lvlText w:val="–"/>
      <w:lvlJc w:val="left"/>
      <w:pPr>
        <w:tabs>
          <w:tab w:val="num" w:pos="4320"/>
        </w:tabs>
        <w:ind w:left="4320" w:hanging="360"/>
      </w:pPr>
      <w:rPr>
        <w:rFonts w:ascii="Times New Roman" w:eastAsia="Times New Roman" w:hAnsi="Times New Roman" w:hint="default"/>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738E6354"/>
    <w:multiLevelType w:val="hybridMultilevel"/>
    <w:tmpl w:val="AA3C6010"/>
    <w:lvl w:ilvl="0" w:tplc="A8E8632A">
      <w:start w:val="1"/>
      <w:numFmt w:val="lowerRoman"/>
      <w:lvlText w:val="%1."/>
      <w:lvlJc w:val="left"/>
      <w:pPr>
        <w:tabs>
          <w:tab w:val="num" w:pos="5760"/>
        </w:tabs>
        <w:ind w:left="5760" w:hanging="72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2" w15:restartNumberingAfterBreak="0">
    <w:nsid w:val="7411039B"/>
    <w:multiLevelType w:val="hybridMultilevel"/>
    <w:tmpl w:val="4D4CEEC4"/>
    <w:lvl w:ilvl="0" w:tplc="8C42399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3" w15:restartNumberingAfterBreak="0">
    <w:nsid w:val="7480156D"/>
    <w:multiLevelType w:val="hybridMultilevel"/>
    <w:tmpl w:val="9B883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DBB2EC32">
      <w:start w:val="1"/>
      <w:numFmt w:val="lowerRoman"/>
      <w:lvlText w:val="%3."/>
      <w:lvlJc w:val="left"/>
      <w:pPr>
        <w:tabs>
          <w:tab w:val="num" w:pos="2700"/>
        </w:tabs>
        <w:ind w:left="2700" w:hanging="72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5DD7F77"/>
    <w:multiLevelType w:val="hybridMultilevel"/>
    <w:tmpl w:val="795E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713131">
    <w:abstractNumId w:val="9"/>
  </w:num>
  <w:num w:numId="2" w16cid:durableId="1113786003">
    <w:abstractNumId w:val="33"/>
  </w:num>
  <w:num w:numId="3" w16cid:durableId="1942376748">
    <w:abstractNumId w:val="3"/>
  </w:num>
  <w:num w:numId="4" w16cid:durableId="1110315268">
    <w:abstractNumId w:val="26"/>
  </w:num>
  <w:num w:numId="5" w16cid:durableId="1726878350">
    <w:abstractNumId w:val="15"/>
  </w:num>
  <w:num w:numId="6" w16cid:durableId="73477781">
    <w:abstractNumId w:val="17"/>
  </w:num>
  <w:num w:numId="7" w16cid:durableId="1273902090">
    <w:abstractNumId w:val="2"/>
  </w:num>
  <w:num w:numId="8" w16cid:durableId="847326206">
    <w:abstractNumId w:val="27"/>
  </w:num>
  <w:num w:numId="9" w16cid:durableId="2048486567">
    <w:abstractNumId w:val="22"/>
  </w:num>
  <w:num w:numId="10" w16cid:durableId="92436450">
    <w:abstractNumId w:val="18"/>
  </w:num>
  <w:num w:numId="11" w16cid:durableId="2083290868">
    <w:abstractNumId w:val="25"/>
  </w:num>
  <w:num w:numId="12" w16cid:durableId="845561264">
    <w:abstractNumId w:val="10"/>
  </w:num>
  <w:num w:numId="13" w16cid:durableId="1157184876">
    <w:abstractNumId w:val="0"/>
  </w:num>
  <w:num w:numId="14" w16cid:durableId="164786764">
    <w:abstractNumId w:val="19"/>
  </w:num>
  <w:num w:numId="15" w16cid:durableId="607784427">
    <w:abstractNumId w:val="12"/>
  </w:num>
  <w:num w:numId="16" w16cid:durableId="819276446">
    <w:abstractNumId w:val="28"/>
  </w:num>
  <w:num w:numId="17" w16cid:durableId="839857593">
    <w:abstractNumId w:val="21"/>
  </w:num>
  <w:num w:numId="18" w16cid:durableId="1116483305">
    <w:abstractNumId w:val="1"/>
  </w:num>
  <w:num w:numId="19" w16cid:durableId="1743719313">
    <w:abstractNumId w:val="4"/>
  </w:num>
  <w:num w:numId="20" w16cid:durableId="1563176246">
    <w:abstractNumId w:val="32"/>
  </w:num>
  <w:num w:numId="21" w16cid:durableId="468286977">
    <w:abstractNumId w:val="13"/>
  </w:num>
  <w:num w:numId="22" w16cid:durableId="1051540717">
    <w:abstractNumId w:val="6"/>
  </w:num>
  <w:num w:numId="23" w16cid:durableId="272368432">
    <w:abstractNumId w:val="31"/>
  </w:num>
  <w:num w:numId="24" w16cid:durableId="1960794079">
    <w:abstractNumId w:val="24"/>
  </w:num>
  <w:num w:numId="25" w16cid:durableId="1357583458">
    <w:abstractNumId w:val="30"/>
  </w:num>
  <w:num w:numId="26" w16cid:durableId="854882107">
    <w:abstractNumId w:val="14"/>
  </w:num>
  <w:num w:numId="27" w16cid:durableId="2004695116">
    <w:abstractNumId w:val="29"/>
  </w:num>
  <w:num w:numId="28" w16cid:durableId="36589370">
    <w:abstractNumId w:val="5"/>
  </w:num>
  <w:num w:numId="29" w16cid:durableId="1004094725">
    <w:abstractNumId w:val="11"/>
  </w:num>
  <w:num w:numId="30" w16cid:durableId="269629208">
    <w:abstractNumId w:val="16"/>
  </w:num>
  <w:num w:numId="31" w16cid:durableId="1309629907">
    <w:abstractNumId w:val="8"/>
  </w:num>
  <w:num w:numId="32" w16cid:durableId="673534748">
    <w:abstractNumId w:val="23"/>
  </w:num>
  <w:num w:numId="33" w16cid:durableId="236981914">
    <w:abstractNumId w:val="20"/>
  </w:num>
  <w:num w:numId="34" w16cid:durableId="1708607722">
    <w:abstractNumId w:val="7"/>
  </w:num>
  <w:num w:numId="35" w16cid:durableId="13368063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1F11"/>
    <w:rsid w:val="00002C68"/>
    <w:rsid w:val="00003817"/>
    <w:rsid w:val="00005A53"/>
    <w:rsid w:val="0000760C"/>
    <w:rsid w:val="00011470"/>
    <w:rsid w:val="00014D20"/>
    <w:rsid w:val="0002394A"/>
    <w:rsid w:val="000303F8"/>
    <w:rsid w:val="0003072D"/>
    <w:rsid w:val="00036380"/>
    <w:rsid w:val="000403A5"/>
    <w:rsid w:val="000407D4"/>
    <w:rsid w:val="00045847"/>
    <w:rsid w:val="000546C5"/>
    <w:rsid w:val="0005644E"/>
    <w:rsid w:val="00056F1C"/>
    <w:rsid w:val="0005713E"/>
    <w:rsid w:val="0006335A"/>
    <w:rsid w:val="00063E36"/>
    <w:rsid w:val="00067189"/>
    <w:rsid w:val="0006778A"/>
    <w:rsid w:val="0007077C"/>
    <w:rsid w:val="00070891"/>
    <w:rsid w:val="00074A16"/>
    <w:rsid w:val="00080BC4"/>
    <w:rsid w:val="00082766"/>
    <w:rsid w:val="00083C15"/>
    <w:rsid w:val="00084258"/>
    <w:rsid w:val="000854E8"/>
    <w:rsid w:val="000861C1"/>
    <w:rsid w:val="000909C5"/>
    <w:rsid w:val="0009368A"/>
    <w:rsid w:val="000A02EE"/>
    <w:rsid w:val="000A1DBB"/>
    <w:rsid w:val="000A1F2E"/>
    <w:rsid w:val="000A3006"/>
    <w:rsid w:val="000A73E8"/>
    <w:rsid w:val="000A7AE4"/>
    <w:rsid w:val="000B0832"/>
    <w:rsid w:val="000B09AA"/>
    <w:rsid w:val="000B627A"/>
    <w:rsid w:val="000C19AF"/>
    <w:rsid w:val="000C324F"/>
    <w:rsid w:val="000C4602"/>
    <w:rsid w:val="000C4BCB"/>
    <w:rsid w:val="000C6F6B"/>
    <w:rsid w:val="000C7B70"/>
    <w:rsid w:val="000D0054"/>
    <w:rsid w:val="000D0A77"/>
    <w:rsid w:val="000D3149"/>
    <w:rsid w:val="00100FA9"/>
    <w:rsid w:val="001051AB"/>
    <w:rsid w:val="00105D0F"/>
    <w:rsid w:val="0010631F"/>
    <w:rsid w:val="00107496"/>
    <w:rsid w:val="001075B5"/>
    <w:rsid w:val="00110D11"/>
    <w:rsid w:val="001121A8"/>
    <w:rsid w:val="00113C94"/>
    <w:rsid w:val="00115469"/>
    <w:rsid w:val="00121552"/>
    <w:rsid w:val="001242A1"/>
    <w:rsid w:val="001251F4"/>
    <w:rsid w:val="00125C12"/>
    <w:rsid w:val="00131F35"/>
    <w:rsid w:val="001323AF"/>
    <w:rsid w:val="001403ED"/>
    <w:rsid w:val="0014280E"/>
    <w:rsid w:val="001445C1"/>
    <w:rsid w:val="00146081"/>
    <w:rsid w:val="0014620C"/>
    <w:rsid w:val="00157F59"/>
    <w:rsid w:val="001700B1"/>
    <w:rsid w:val="0017144E"/>
    <w:rsid w:val="00172789"/>
    <w:rsid w:val="00177F78"/>
    <w:rsid w:val="001851A2"/>
    <w:rsid w:val="00193C8F"/>
    <w:rsid w:val="00194112"/>
    <w:rsid w:val="00195AE2"/>
    <w:rsid w:val="00196BBD"/>
    <w:rsid w:val="001A187F"/>
    <w:rsid w:val="001A40F4"/>
    <w:rsid w:val="001B19C5"/>
    <w:rsid w:val="001B1E71"/>
    <w:rsid w:val="001B35E4"/>
    <w:rsid w:val="001B47DE"/>
    <w:rsid w:val="001B557C"/>
    <w:rsid w:val="001C2998"/>
    <w:rsid w:val="001C5A02"/>
    <w:rsid w:val="001C72C3"/>
    <w:rsid w:val="001D3703"/>
    <w:rsid w:val="001D551A"/>
    <w:rsid w:val="001D5587"/>
    <w:rsid w:val="001E3F9E"/>
    <w:rsid w:val="001E6FB0"/>
    <w:rsid w:val="001E7545"/>
    <w:rsid w:val="001F0E86"/>
    <w:rsid w:val="001F1E2C"/>
    <w:rsid w:val="001F6362"/>
    <w:rsid w:val="0020017F"/>
    <w:rsid w:val="00213271"/>
    <w:rsid w:val="00215C8F"/>
    <w:rsid w:val="00215E79"/>
    <w:rsid w:val="002318A7"/>
    <w:rsid w:val="00231F77"/>
    <w:rsid w:val="0023209B"/>
    <w:rsid w:val="002327BD"/>
    <w:rsid w:val="00234FF4"/>
    <w:rsid w:val="00236DB2"/>
    <w:rsid w:val="002409A3"/>
    <w:rsid w:val="00243D17"/>
    <w:rsid w:val="00245DDA"/>
    <w:rsid w:val="00247947"/>
    <w:rsid w:val="00251B4D"/>
    <w:rsid w:val="00252ADD"/>
    <w:rsid w:val="00253A2C"/>
    <w:rsid w:val="0025467A"/>
    <w:rsid w:val="00255046"/>
    <w:rsid w:val="00260309"/>
    <w:rsid w:val="00260F8D"/>
    <w:rsid w:val="0026482B"/>
    <w:rsid w:val="00264FF7"/>
    <w:rsid w:val="0026570A"/>
    <w:rsid w:val="00275A9F"/>
    <w:rsid w:val="00276A5B"/>
    <w:rsid w:val="002778F2"/>
    <w:rsid w:val="00283B9C"/>
    <w:rsid w:val="00286482"/>
    <w:rsid w:val="0029003C"/>
    <w:rsid w:val="00294443"/>
    <w:rsid w:val="00297B7F"/>
    <w:rsid w:val="002A19DB"/>
    <w:rsid w:val="002A2E2D"/>
    <w:rsid w:val="002A56F2"/>
    <w:rsid w:val="002A5959"/>
    <w:rsid w:val="002B032F"/>
    <w:rsid w:val="002B2EE8"/>
    <w:rsid w:val="002B4EBC"/>
    <w:rsid w:val="002C2B83"/>
    <w:rsid w:val="002C5F90"/>
    <w:rsid w:val="002D46BE"/>
    <w:rsid w:val="002D5D78"/>
    <w:rsid w:val="002E2B37"/>
    <w:rsid w:val="002E3046"/>
    <w:rsid w:val="002E6C8C"/>
    <w:rsid w:val="002F1129"/>
    <w:rsid w:val="002F1C23"/>
    <w:rsid w:val="002F4EB7"/>
    <w:rsid w:val="002F5EAE"/>
    <w:rsid w:val="00300C2F"/>
    <w:rsid w:val="0030278A"/>
    <w:rsid w:val="00305E3E"/>
    <w:rsid w:val="003069EE"/>
    <w:rsid w:val="0031106B"/>
    <w:rsid w:val="0031149C"/>
    <w:rsid w:val="00315450"/>
    <w:rsid w:val="00315DD0"/>
    <w:rsid w:val="00316EB8"/>
    <w:rsid w:val="00317642"/>
    <w:rsid w:val="00323527"/>
    <w:rsid w:val="00337ED9"/>
    <w:rsid w:val="0034022C"/>
    <w:rsid w:val="00341E3F"/>
    <w:rsid w:val="003431CB"/>
    <w:rsid w:val="00346303"/>
    <w:rsid w:val="003468BC"/>
    <w:rsid w:val="00351413"/>
    <w:rsid w:val="00351F4E"/>
    <w:rsid w:val="0035512D"/>
    <w:rsid w:val="00362FDF"/>
    <w:rsid w:val="00364B40"/>
    <w:rsid w:val="00364BCA"/>
    <w:rsid w:val="0037156C"/>
    <w:rsid w:val="00374CE7"/>
    <w:rsid w:val="0037634D"/>
    <w:rsid w:val="00381913"/>
    <w:rsid w:val="00385163"/>
    <w:rsid w:val="00386DC3"/>
    <w:rsid w:val="0039325F"/>
    <w:rsid w:val="0039786D"/>
    <w:rsid w:val="003A22EE"/>
    <w:rsid w:val="003A6A05"/>
    <w:rsid w:val="003A788B"/>
    <w:rsid w:val="003B1B5A"/>
    <w:rsid w:val="003B2B9C"/>
    <w:rsid w:val="003B42C8"/>
    <w:rsid w:val="003B7F24"/>
    <w:rsid w:val="003C5737"/>
    <w:rsid w:val="003D05E7"/>
    <w:rsid w:val="003D6AEC"/>
    <w:rsid w:val="003D73C0"/>
    <w:rsid w:val="003E747D"/>
    <w:rsid w:val="003F35D6"/>
    <w:rsid w:val="003F41DD"/>
    <w:rsid w:val="00400D52"/>
    <w:rsid w:val="0040558B"/>
    <w:rsid w:val="00420CDD"/>
    <w:rsid w:val="00422CE9"/>
    <w:rsid w:val="0042389E"/>
    <w:rsid w:val="0042741B"/>
    <w:rsid w:val="00430C13"/>
    <w:rsid w:val="004314D4"/>
    <w:rsid w:val="00431F20"/>
    <w:rsid w:val="00433EAC"/>
    <w:rsid w:val="00435193"/>
    <w:rsid w:val="004416B6"/>
    <w:rsid w:val="004418E2"/>
    <w:rsid w:val="00443CD0"/>
    <w:rsid w:val="00447588"/>
    <w:rsid w:val="00455FAA"/>
    <w:rsid w:val="004612C9"/>
    <w:rsid w:val="00461CC2"/>
    <w:rsid w:val="004657A2"/>
    <w:rsid w:val="004659A3"/>
    <w:rsid w:val="0047093A"/>
    <w:rsid w:val="00472FE7"/>
    <w:rsid w:val="004760FD"/>
    <w:rsid w:val="00484C5A"/>
    <w:rsid w:val="00492565"/>
    <w:rsid w:val="00495B03"/>
    <w:rsid w:val="004A2451"/>
    <w:rsid w:val="004A44EC"/>
    <w:rsid w:val="004A58FA"/>
    <w:rsid w:val="004A6C69"/>
    <w:rsid w:val="004A715D"/>
    <w:rsid w:val="004B5BE2"/>
    <w:rsid w:val="004B5FC9"/>
    <w:rsid w:val="004B6F24"/>
    <w:rsid w:val="004B759A"/>
    <w:rsid w:val="004C02C3"/>
    <w:rsid w:val="004C061B"/>
    <w:rsid w:val="004D62C0"/>
    <w:rsid w:val="004D63B1"/>
    <w:rsid w:val="004E06E0"/>
    <w:rsid w:val="004E0D6C"/>
    <w:rsid w:val="004F2AAE"/>
    <w:rsid w:val="004F3086"/>
    <w:rsid w:val="004F645D"/>
    <w:rsid w:val="005072C7"/>
    <w:rsid w:val="00512964"/>
    <w:rsid w:val="00514E78"/>
    <w:rsid w:val="005158B8"/>
    <w:rsid w:val="005175B5"/>
    <w:rsid w:val="00523D00"/>
    <w:rsid w:val="00525DC8"/>
    <w:rsid w:val="00525ECE"/>
    <w:rsid w:val="00532094"/>
    <w:rsid w:val="005321F2"/>
    <w:rsid w:val="00532E24"/>
    <w:rsid w:val="00532F4C"/>
    <w:rsid w:val="0053579F"/>
    <w:rsid w:val="005441BB"/>
    <w:rsid w:val="0054714E"/>
    <w:rsid w:val="00553267"/>
    <w:rsid w:val="00554171"/>
    <w:rsid w:val="00557D70"/>
    <w:rsid w:val="00560860"/>
    <w:rsid w:val="00563070"/>
    <w:rsid w:val="0056462C"/>
    <w:rsid w:val="005671AC"/>
    <w:rsid w:val="005723EE"/>
    <w:rsid w:val="005729D5"/>
    <w:rsid w:val="0057707A"/>
    <w:rsid w:val="00581657"/>
    <w:rsid w:val="00582622"/>
    <w:rsid w:val="00587887"/>
    <w:rsid w:val="00590DC2"/>
    <w:rsid w:val="0059419B"/>
    <w:rsid w:val="005A17DB"/>
    <w:rsid w:val="005A1865"/>
    <w:rsid w:val="005A1F7D"/>
    <w:rsid w:val="005B0F72"/>
    <w:rsid w:val="005B501F"/>
    <w:rsid w:val="005C12E9"/>
    <w:rsid w:val="005C1B8A"/>
    <w:rsid w:val="005C21C5"/>
    <w:rsid w:val="005C26D4"/>
    <w:rsid w:val="005C2B52"/>
    <w:rsid w:val="005C5AF2"/>
    <w:rsid w:val="005C60E6"/>
    <w:rsid w:val="005D3EFB"/>
    <w:rsid w:val="005D60D6"/>
    <w:rsid w:val="005E1448"/>
    <w:rsid w:val="005E25C4"/>
    <w:rsid w:val="005E5543"/>
    <w:rsid w:val="005F3894"/>
    <w:rsid w:val="005F5CD2"/>
    <w:rsid w:val="005F6FA1"/>
    <w:rsid w:val="005F7ED9"/>
    <w:rsid w:val="00601B5D"/>
    <w:rsid w:val="006031A4"/>
    <w:rsid w:val="006031D8"/>
    <w:rsid w:val="00603376"/>
    <w:rsid w:val="00607019"/>
    <w:rsid w:val="00607824"/>
    <w:rsid w:val="00610C81"/>
    <w:rsid w:val="00613718"/>
    <w:rsid w:val="006169A9"/>
    <w:rsid w:val="00616CFB"/>
    <w:rsid w:val="006326BE"/>
    <w:rsid w:val="00633968"/>
    <w:rsid w:val="006350E1"/>
    <w:rsid w:val="00635678"/>
    <w:rsid w:val="00637E73"/>
    <w:rsid w:val="00641EF8"/>
    <w:rsid w:val="006442F7"/>
    <w:rsid w:val="006522A6"/>
    <w:rsid w:val="006550EE"/>
    <w:rsid w:val="00656CC0"/>
    <w:rsid w:val="00662C26"/>
    <w:rsid w:val="0066555C"/>
    <w:rsid w:val="00666CEC"/>
    <w:rsid w:val="00674164"/>
    <w:rsid w:val="006822BE"/>
    <w:rsid w:val="00687F68"/>
    <w:rsid w:val="006A1CFD"/>
    <w:rsid w:val="006A6C07"/>
    <w:rsid w:val="006A713A"/>
    <w:rsid w:val="006B01F4"/>
    <w:rsid w:val="006B070A"/>
    <w:rsid w:val="006B38F5"/>
    <w:rsid w:val="006B4086"/>
    <w:rsid w:val="006B57F1"/>
    <w:rsid w:val="006B61A5"/>
    <w:rsid w:val="006C1860"/>
    <w:rsid w:val="006C3527"/>
    <w:rsid w:val="006C3C46"/>
    <w:rsid w:val="006D13F5"/>
    <w:rsid w:val="006D16C9"/>
    <w:rsid w:val="006D3626"/>
    <w:rsid w:val="006D3B08"/>
    <w:rsid w:val="006D4EEB"/>
    <w:rsid w:val="006D6AA3"/>
    <w:rsid w:val="006D723D"/>
    <w:rsid w:val="006D7B38"/>
    <w:rsid w:val="006E23FB"/>
    <w:rsid w:val="006E3729"/>
    <w:rsid w:val="006E68A5"/>
    <w:rsid w:val="006F3CFA"/>
    <w:rsid w:val="006F401B"/>
    <w:rsid w:val="006F4A43"/>
    <w:rsid w:val="007006D1"/>
    <w:rsid w:val="00707C4A"/>
    <w:rsid w:val="0071331C"/>
    <w:rsid w:val="007154CD"/>
    <w:rsid w:val="007169B7"/>
    <w:rsid w:val="00723A21"/>
    <w:rsid w:val="00727B40"/>
    <w:rsid w:val="00742D9E"/>
    <w:rsid w:val="007441C8"/>
    <w:rsid w:val="0074529C"/>
    <w:rsid w:val="007458F7"/>
    <w:rsid w:val="00747D17"/>
    <w:rsid w:val="00755ED0"/>
    <w:rsid w:val="00766EA6"/>
    <w:rsid w:val="00776A7E"/>
    <w:rsid w:val="00780D0E"/>
    <w:rsid w:val="00783368"/>
    <w:rsid w:val="00784774"/>
    <w:rsid w:val="007957C7"/>
    <w:rsid w:val="00796345"/>
    <w:rsid w:val="007A3C58"/>
    <w:rsid w:val="007A4891"/>
    <w:rsid w:val="007A532F"/>
    <w:rsid w:val="007A6597"/>
    <w:rsid w:val="007B081E"/>
    <w:rsid w:val="007B0B4A"/>
    <w:rsid w:val="007B5F7D"/>
    <w:rsid w:val="007B71D0"/>
    <w:rsid w:val="007C1068"/>
    <w:rsid w:val="007C4C6B"/>
    <w:rsid w:val="007C54C5"/>
    <w:rsid w:val="007C5950"/>
    <w:rsid w:val="007D062A"/>
    <w:rsid w:val="007D209E"/>
    <w:rsid w:val="007D27D7"/>
    <w:rsid w:val="007D339E"/>
    <w:rsid w:val="007D6D8D"/>
    <w:rsid w:val="007D71D1"/>
    <w:rsid w:val="007E52AE"/>
    <w:rsid w:val="007F1DBC"/>
    <w:rsid w:val="007F43D1"/>
    <w:rsid w:val="008013CD"/>
    <w:rsid w:val="00801F04"/>
    <w:rsid w:val="00804659"/>
    <w:rsid w:val="0080554A"/>
    <w:rsid w:val="00806988"/>
    <w:rsid w:val="00815A50"/>
    <w:rsid w:val="00820703"/>
    <w:rsid w:val="00821BA1"/>
    <w:rsid w:val="00821CA0"/>
    <w:rsid w:val="00826E48"/>
    <w:rsid w:val="00831BB8"/>
    <w:rsid w:val="00832F51"/>
    <w:rsid w:val="0083316E"/>
    <w:rsid w:val="0084033A"/>
    <w:rsid w:val="00840FEC"/>
    <w:rsid w:val="008447B1"/>
    <w:rsid w:val="00845F36"/>
    <w:rsid w:val="00846170"/>
    <w:rsid w:val="00847F64"/>
    <w:rsid w:val="00851776"/>
    <w:rsid w:val="00853967"/>
    <w:rsid w:val="00854F9B"/>
    <w:rsid w:val="00857F96"/>
    <w:rsid w:val="008641E2"/>
    <w:rsid w:val="008647B8"/>
    <w:rsid w:val="008652F4"/>
    <w:rsid w:val="00871C72"/>
    <w:rsid w:val="00873EBB"/>
    <w:rsid w:val="00875FBB"/>
    <w:rsid w:val="008840D6"/>
    <w:rsid w:val="008875B3"/>
    <w:rsid w:val="008910E7"/>
    <w:rsid w:val="00893BDD"/>
    <w:rsid w:val="00895F0A"/>
    <w:rsid w:val="008A0265"/>
    <w:rsid w:val="008A0ACE"/>
    <w:rsid w:val="008A1F1D"/>
    <w:rsid w:val="008B2901"/>
    <w:rsid w:val="008B781C"/>
    <w:rsid w:val="008C0C86"/>
    <w:rsid w:val="008C230E"/>
    <w:rsid w:val="008C3746"/>
    <w:rsid w:val="008C7637"/>
    <w:rsid w:val="008D0CF2"/>
    <w:rsid w:val="008D1ED2"/>
    <w:rsid w:val="008D2092"/>
    <w:rsid w:val="008D393F"/>
    <w:rsid w:val="008D529B"/>
    <w:rsid w:val="008E048A"/>
    <w:rsid w:val="008E7B78"/>
    <w:rsid w:val="008F13AD"/>
    <w:rsid w:val="008F1B96"/>
    <w:rsid w:val="008F716C"/>
    <w:rsid w:val="00902893"/>
    <w:rsid w:val="009057EF"/>
    <w:rsid w:val="00922AAE"/>
    <w:rsid w:val="00926087"/>
    <w:rsid w:val="009343FA"/>
    <w:rsid w:val="0093471A"/>
    <w:rsid w:val="00934AC7"/>
    <w:rsid w:val="009378A0"/>
    <w:rsid w:val="00937CBC"/>
    <w:rsid w:val="00940E37"/>
    <w:rsid w:val="0094405C"/>
    <w:rsid w:val="00945E92"/>
    <w:rsid w:val="00952AAF"/>
    <w:rsid w:val="009534B4"/>
    <w:rsid w:val="00954AFA"/>
    <w:rsid w:val="00955D66"/>
    <w:rsid w:val="00957020"/>
    <w:rsid w:val="00957FA4"/>
    <w:rsid w:val="00960D56"/>
    <w:rsid w:val="00964C0E"/>
    <w:rsid w:val="0096701D"/>
    <w:rsid w:val="00973274"/>
    <w:rsid w:val="009835C3"/>
    <w:rsid w:val="0098437F"/>
    <w:rsid w:val="00990FDC"/>
    <w:rsid w:val="009935F6"/>
    <w:rsid w:val="009A059F"/>
    <w:rsid w:val="009A229D"/>
    <w:rsid w:val="009B3B00"/>
    <w:rsid w:val="009B4BB7"/>
    <w:rsid w:val="009C3ED9"/>
    <w:rsid w:val="009D0576"/>
    <w:rsid w:val="009D3176"/>
    <w:rsid w:val="009D44D1"/>
    <w:rsid w:val="009E441C"/>
    <w:rsid w:val="009E4A52"/>
    <w:rsid w:val="009E6A06"/>
    <w:rsid w:val="009F3621"/>
    <w:rsid w:val="009F46A8"/>
    <w:rsid w:val="00A02C1A"/>
    <w:rsid w:val="00A044EB"/>
    <w:rsid w:val="00A0670D"/>
    <w:rsid w:val="00A10EB5"/>
    <w:rsid w:val="00A14155"/>
    <w:rsid w:val="00A14390"/>
    <w:rsid w:val="00A211D5"/>
    <w:rsid w:val="00A25B51"/>
    <w:rsid w:val="00A27121"/>
    <w:rsid w:val="00A308A1"/>
    <w:rsid w:val="00A366AA"/>
    <w:rsid w:val="00A37BC0"/>
    <w:rsid w:val="00A4028B"/>
    <w:rsid w:val="00A41D5D"/>
    <w:rsid w:val="00A50D90"/>
    <w:rsid w:val="00A534C8"/>
    <w:rsid w:val="00A5357E"/>
    <w:rsid w:val="00A552F9"/>
    <w:rsid w:val="00A654E0"/>
    <w:rsid w:val="00A65FC1"/>
    <w:rsid w:val="00A7106E"/>
    <w:rsid w:val="00A71D9E"/>
    <w:rsid w:val="00A72481"/>
    <w:rsid w:val="00A74124"/>
    <w:rsid w:val="00A86DD9"/>
    <w:rsid w:val="00A86EE1"/>
    <w:rsid w:val="00A933F3"/>
    <w:rsid w:val="00A9447D"/>
    <w:rsid w:val="00A97DE6"/>
    <w:rsid w:val="00AA0E74"/>
    <w:rsid w:val="00AA48AC"/>
    <w:rsid w:val="00AA5EAB"/>
    <w:rsid w:val="00AB2C84"/>
    <w:rsid w:val="00AB652A"/>
    <w:rsid w:val="00AC19A0"/>
    <w:rsid w:val="00AC258A"/>
    <w:rsid w:val="00AC33E4"/>
    <w:rsid w:val="00AC54FA"/>
    <w:rsid w:val="00AC735E"/>
    <w:rsid w:val="00AD52C0"/>
    <w:rsid w:val="00AD606C"/>
    <w:rsid w:val="00AD65C8"/>
    <w:rsid w:val="00AE1613"/>
    <w:rsid w:val="00AE4B5E"/>
    <w:rsid w:val="00AE50F6"/>
    <w:rsid w:val="00AF28D0"/>
    <w:rsid w:val="00AF42A9"/>
    <w:rsid w:val="00B009D0"/>
    <w:rsid w:val="00B04F2B"/>
    <w:rsid w:val="00B05EC7"/>
    <w:rsid w:val="00B10E3C"/>
    <w:rsid w:val="00B11781"/>
    <w:rsid w:val="00B1245B"/>
    <w:rsid w:val="00B12F66"/>
    <w:rsid w:val="00B150C2"/>
    <w:rsid w:val="00B15952"/>
    <w:rsid w:val="00B175B9"/>
    <w:rsid w:val="00B261A1"/>
    <w:rsid w:val="00B30D94"/>
    <w:rsid w:val="00B32FDE"/>
    <w:rsid w:val="00B33711"/>
    <w:rsid w:val="00B3421D"/>
    <w:rsid w:val="00B36E7F"/>
    <w:rsid w:val="00B36F0E"/>
    <w:rsid w:val="00B431AF"/>
    <w:rsid w:val="00B449FB"/>
    <w:rsid w:val="00B47A4C"/>
    <w:rsid w:val="00B505DE"/>
    <w:rsid w:val="00B50954"/>
    <w:rsid w:val="00B51025"/>
    <w:rsid w:val="00B52579"/>
    <w:rsid w:val="00B56D1E"/>
    <w:rsid w:val="00B5760F"/>
    <w:rsid w:val="00B61DFA"/>
    <w:rsid w:val="00B6445E"/>
    <w:rsid w:val="00B64724"/>
    <w:rsid w:val="00B6634A"/>
    <w:rsid w:val="00B677A7"/>
    <w:rsid w:val="00B74488"/>
    <w:rsid w:val="00B76671"/>
    <w:rsid w:val="00B77B90"/>
    <w:rsid w:val="00B86AF7"/>
    <w:rsid w:val="00B917B7"/>
    <w:rsid w:val="00B95211"/>
    <w:rsid w:val="00BA009F"/>
    <w:rsid w:val="00BA0E1B"/>
    <w:rsid w:val="00BA1A34"/>
    <w:rsid w:val="00BA38FA"/>
    <w:rsid w:val="00BB04DD"/>
    <w:rsid w:val="00BB3615"/>
    <w:rsid w:val="00BB3B0B"/>
    <w:rsid w:val="00BB408E"/>
    <w:rsid w:val="00BB72A4"/>
    <w:rsid w:val="00BC2211"/>
    <w:rsid w:val="00BC4634"/>
    <w:rsid w:val="00BD00B4"/>
    <w:rsid w:val="00BD1282"/>
    <w:rsid w:val="00BD1911"/>
    <w:rsid w:val="00BD5258"/>
    <w:rsid w:val="00BE439A"/>
    <w:rsid w:val="00BF0B6C"/>
    <w:rsid w:val="00BF0C67"/>
    <w:rsid w:val="00BF28A7"/>
    <w:rsid w:val="00BF65D9"/>
    <w:rsid w:val="00C0008B"/>
    <w:rsid w:val="00C0060B"/>
    <w:rsid w:val="00C02389"/>
    <w:rsid w:val="00C05833"/>
    <w:rsid w:val="00C06265"/>
    <w:rsid w:val="00C2364F"/>
    <w:rsid w:val="00C258D1"/>
    <w:rsid w:val="00C26DEA"/>
    <w:rsid w:val="00C30D9B"/>
    <w:rsid w:val="00C33FD2"/>
    <w:rsid w:val="00C40097"/>
    <w:rsid w:val="00C46345"/>
    <w:rsid w:val="00C525E1"/>
    <w:rsid w:val="00C534CF"/>
    <w:rsid w:val="00C547CA"/>
    <w:rsid w:val="00C56931"/>
    <w:rsid w:val="00C57887"/>
    <w:rsid w:val="00C60964"/>
    <w:rsid w:val="00C60EB9"/>
    <w:rsid w:val="00C62E4D"/>
    <w:rsid w:val="00C63174"/>
    <w:rsid w:val="00C65531"/>
    <w:rsid w:val="00C72052"/>
    <w:rsid w:val="00C755C5"/>
    <w:rsid w:val="00C80E47"/>
    <w:rsid w:val="00C816F4"/>
    <w:rsid w:val="00C82D1C"/>
    <w:rsid w:val="00C84689"/>
    <w:rsid w:val="00C900C9"/>
    <w:rsid w:val="00C90F70"/>
    <w:rsid w:val="00C91D26"/>
    <w:rsid w:val="00C940E5"/>
    <w:rsid w:val="00C94DAB"/>
    <w:rsid w:val="00C96231"/>
    <w:rsid w:val="00C965F6"/>
    <w:rsid w:val="00CA1908"/>
    <w:rsid w:val="00CB1152"/>
    <w:rsid w:val="00CC73A4"/>
    <w:rsid w:val="00CC7C64"/>
    <w:rsid w:val="00CD5C21"/>
    <w:rsid w:val="00CD6956"/>
    <w:rsid w:val="00CE1252"/>
    <w:rsid w:val="00CE4859"/>
    <w:rsid w:val="00CE5F5D"/>
    <w:rsid w:val="00CE77BC"/>
    <w:rsid w:val="00CF43DD"/>
    <w:rsid w:val="00D04325"/>
    <w:rsid w:val="00D1231E"/>
    <w:rsid w:val="00D12B71"/>
    <w:rsid w:val="00D17599"/>
    <w:rsid w:val="00D17FF7"/>
    <w:rsid w:val="00D230C5"/>
    <w:rsid w:val="00D25405"/>
    <w:rsid w:val="00D27F0C"/>
    <w:rsid w:val="00D30852"/>
    <w:rsid w:val="00D31C75"/>
    <w:rsid w:val="00D3501F"/>
    <w:rsid w:val="00D359AA"/>
    <w:rsid w:val="00D406F1"/>
    <w:rsid w:val="00D40AD9"/>
    <w:rsid w:val="00D4131C"/>
    <w:rsid w:val="00D437FE"/>
    <w:rsid w:val="00D4707D"/>
    <w:rsid w:val="00D52578"/>
    <w:rsid w:val="00D53135"/>
    <w:rsid w:val="00D57130"/>
    <w:rsid w:val="00D619EF"/>
    <w:rsid w:val="00D7273C"/>
    <w:rsid w:val="00D75BF1"/>
    <w:rsid w:val="00D82619"/>
    <w:rsid w:val="00D83696"/>
    <w:rsid w:val="00D913C3"/>
    <w:rsid w:val="00D97176"/>
    <w:rsid w:val="00D97766"/>
    <w:rsid w:val="00DA3004"/>
    <w:rsid w:val="00DA3324"/>
    <w:rsid w:val="00DA3D35"/>
    <w:rsid w:val="00DA4F4A"/>
    <w:rsid w:val="00DB008C"/>
    <w:rsid w:val="00DB0109"/>
    <w:rsid w:val="00DB402F"/>
    <w:rsid w:val="00DB51D6"/>
    <w:rsid w:val="00DB5BA5"/>
    <w:rsid w:val="00DC65A4"/>
    <w:rsid w:val="00DC66EE"/>
    <w:rsid w:val="00DC7D22"/>
    <w:rsid w:val="00DD10F9"/>
    <w:rsid w:val="00DD2894"/>
    <w:rsid w:val="00DD4F3A"/>
    <w:rsid w:val="00DE6FD1"/>
    <w:rsid w:val="00DF52B6"/>
    <w:rsid w:val="00E1229E"/>
    <w:rsid w:val="00E12F33"/>
    <w:rsid w:val="00E16C5C"/>
    <w:rsid w:val="00E17F86"/>
    <w:rsid w:val="00E22D9A"/>
    <w:rsid w:val="00E25E87"/>
    <w:rsid w:val="00E31590"/>
    <w:rsid w:val="00E4095F"/>
    <w:rsid w:val="00E41567"/>
    <w:rsid w:val="00E41B1A"/>
    <w:rsid w:val="00E45881"/>
    <w:rsid w:val="00E45EA1"/>
    <w:rsid w:val="00E46A73"/>
    <w:rsid w:val="00E474D7"/>
    <w:rsid w:val="00E47C00"/>
    <w:rsid w:val="00E508DE"/>
    <w:rsid w:val="00E532F7"/>
    <w:rsid w:val="00E56717"/>
    <w:rsid w:val="00E5672A"/>
    <w:rsid w:val="00E628CA"/>
    <w:rsid w:val="00E62DDC"/>
    <w:rsid w:val="00E64E39"/>
    <w:rsid w:val="00E65208"/>
    <w:rsid w:val="00E6538D"/>
    <w:rsid w:val="00E653F8"/>
    <w:rsid w:val="00E65532"/>
    <w:rsid w:val="00E655D3"/>
    <w:rsid w:val="00E719A3"/>
    <w:rsid w:val="00E80C78"/>
    <w:rsid w:val="00E87B09"/>
    <w:rsid w:val="00EA07C7"/>
    <w:rsid w:val="00EA2761"/>
    <w:rsid w:val="00EA3839"/>
    <w:rsid w:val="00EA6C73"/>
    <w:rsid w:val="00EB45C5"/>
    <w:rsid w:val="00EC07C1"/>
    <w:rsid w:val="00EC570E"/>
    <w:rsid w:val="00ED3355"/>
    <w:rsid w:val="00ED3A11"/>
    <w:rsid w:val="00ED459B"/>
    <w:rsid w:val="00ED4988"/>
    <w:rsid w:val="00ED4F4A"/>
    <w:rsid w:val="00ED5319"/>
    <w:rsid w:val="00ED587E"/>
    <w:rsid w:val="00ED79EF"/>
    <w:rsid w:val="00EE0F22"/>
    <w:rsid w:val="00EE6D39"/>
    <w:rsid w:val="00EF1184"/>
    <w:rsid w:val="00EF4D49"/>
    <w:rsid w:val="00EF5E3E"/>
    <w:rsid w:val="00EF5FBE"/>
    <w:rsid w:val="00F05F1E"/>
    <w:rsid w:val="00F1230E"/>
    <w:rsid w:val="00F14624"/>
    <w:rsid w:val="00F14DAE"/>
    <w:rsid w:val="00F16B61"/>
    <w:rsid w:val="00F2069D"/>
    <w:rsid w:val="00F222AA"/>
    <w:rsid w:val="00F25143"/>
    <w:rsid w:val="00F26274"/>
    <w:rsid w:val="00F300C5"/>
    <w:rsid w:val="00F3388B"/>
    <w:rsid w:val="00F341DB"/>
    <w:rsid w:val="00F3435C"/>
    <w:rsid w:val="00F3542C"/>
    <w:rsid w:val="00F35DF3"/>
    <w:rsid w:val="00F45D2B"/>
    <w:rsid w:val="00F5026A"/>
    <w:rsid w:val="00F52CCB"/>
    <w:rsid w:val="00F53770"/>
    <w:rsid w:val="00F5465E"/>
    <w:rsid w:val="00F62C6C"/>
    <w:rsid w:val="00F65587"/>
    <w:rsid w:val="00F66CEE"/>
    <w:rsid w:val="00F70DD2"/>
    <w:rsid w:val="00F71646"/>
    <w:rsid w:val="00F72527"/>
    <w:rsid w:val="00F844A9"/>
    <w:rsid w:val="00F84FCA"/>
    <w:rsid w:val="00F87B3F"/>
    <w:rsid w:val="00F907E2"/>
    <w:rsid w:val="00F911F2"/>
    <w:rsid w:val="00F93890"/>
    <w:rsid w:val="00F96E78"/>
    <w:rsid w:val="00FA04B4"/>
    <w:rsid w:val="00FA0AF9"/>
    <w:rsid w:val="00FA2B72"/>
    <w:rsid w:val="00FA2F6F"/>
    <w:rsid w:val="00FA70D3"/>
    <w:rsid w:val="00FA71C5"/>
    <w:rsid w:val="00FB1051"/>
    <w:rsid w:val="00FB4C72"/>
    <w:rsid w:val="00FC3A78"/>
    <w:rsid w:val="00FC42E1"/>
    <w:rsid w:val="00FC45D7"/>
    <w:rsid w:val="00FC4D49"/>
    <w:rsid w:val="00FD0FEA"/>
    <w:rsid w:val="00FD1835"/>
    <w:rsid w:val="00FD1FA9"/>
    <w:rsid w:val="00FD201C"/>
    <w:rsid w:val="00FD4685"/>
    <w:rsid w:val="00FD5437"/>
    <w:rsid w:val="00FD631F"/>
    <w:rsid w:val="00FE0623"/>
    <w:rsid w:val="00FE3DC1"/>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6A3BFD"/>
  <w15:chartTrackingRefBased/>
  <w15:docId w15:val="{EBAF243B-AB44-4D5F-A105-F6F25E8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odyTextIndent3">
    <w:name w:val="Body Text Indent 3"/>
    <w:basedOn w:val="Normal"/>
    <w:link w:val="BodyTextIndent3Char"/>
    <w:rsid w:val="00260309"/>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260309"/>
    <w:rPr>
      <w:snapToGrid w:val="0"/>
      <w:sz w:val="22"/>
      <w:szCs w:val="22"/>
      <w:lang w:val="es-ES" w:eastAsia="es-ES"/>
    </w:rPr>
  </w:style>
  <w:style w:type="character" w:styleId="Hyperlink">
    <w:name w:val="Hyperlink"/>
    <w:uiPriority w:val="99"/>
    <w:rsid w:val="00B36E7F"/>
    <w:rPr>
      <w:color w:val="0563C1"/>
      <w:u w:val="single"/>
    </w:rPr>
  </w:style>
  <w:style w:type="character" w:styleId="FollowedHyperlink">
    <w:name w:val="FollowedHyperlink"/>
    <w:rsid w:val="00D619EF"/>
    <w:rPr>
      <w:color w:val="954F72"/>
      <w:u w:val="single"/>
    </w:rPr>
  </w:style>
  <w:style w:type="character" w:styleId="UnresolvedMention">
    <w:name w:val="Unresolved Mention"/>
    <w:basedOn w:val="DefaultParagraphFont"/>
    <w:uiPriority w:val="99"/>
    <w:semiHidden/>
    <w:unhideWhenUsed/>
    <w:rsid w:val="0013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23494580">
      <w:bodyDiv w:val="1"/>
      <w:marLeft w:val="0"/>
      <w:marRight w:val="0"/>
      <w:marTop w:val="0"/>
      <w:marBottom w:val="0"/>
      <w:divBdr>
        <w:top w:val="none" w:sz="0" w:space="0" w:color="auto"/>
        <w:left w:val="none" w:sz="0" w:space="0" w:color="auto"/>
        <w:bottom w:val="none" w:sz="0" w:space="0" w:color="auto"/>
        <w:right w:val="none" w:sz="0" w:space="0" w:color="auto"/>
      </w:divBdr>
    </w:div>
    <w:div w:id="17969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lcf76f155ced4ddcb4097134ff3c332f xmlns="1e29f7a6-09d7-4e0e-8ca1-7b83d4477d3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3EA47-704E-4AE4-8D1C-B80E1BE27009}">
  <ds:schemaRefs>
    <ds:schemaRef ds:uri="http://schemas.microsoft.com/office/2006/metadata/longProperties"/>
  </ds:schemaRefs>
</ds:datastoreItem>
</file>

<file path=customXml/itemProps2.xml><?xml version="1.0" encoding="utf-8"?>
<ds:datastoreItem xmlns:ds="http://schemas.openxmlformats.org/officeDocument/2006/customXml" ds:itemID="{C1B38D0E-62DD-4EBB-8AD9-C888F26D2124}">
  <ds:schemaRefs>
    <ds:schemaRef ds:uri="http://schemas.openxmlformats.org/officeDocument/2006/bibliography"/>
  </ds:schemaRefs>
</ds:datastoreItem>
</file>

<file path=customXml/itemProps3.xml><?xml version="1.0" encoding="utf-8"?>
<ds:datastoreItem xmlns:ds="http://schemas.openxmlformats.org/officeDocument/2006/customXml" ds:itemID="{3060DC0F-41C4-471B-840D-2C8F5028D1D2}">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4.xml><?xml version="1.0" encoding="utf-8"?>
<ds:datastoreItem xmlns:ds="http://schemas.openxmlformats.org/officeDocument/2006/customXml" ds:itemID="{72351695-A137-411F-9A18-ABADA6B69C00}">
  <ds:schemaRefs>
    <ds:schemaRef ds:uri="http://schemas.microsoft.com/sharepoint/v3/contenttype/forms"/>
  </ds:schemaRefs>
</ds:datastoreItem>
</file>

<file path=customXml/itemProps5.xml><?xml version="1.0" encoding="utf-8"?>
<ds:datastoreItem xmlns:ds="http://schemas.openxmlformats.org/officeDocument/2006/customXml" ds:itemID="{7AAA758C-C9F7-43FF-82F2-C5D0826BC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3</cp:revision>
  <cp:lastPrinted>2020-02-27T20:53:00Z</cp:lastPrinted>
  <dcterms:created xsi:type="dcterms:W3CDTF">2023-05-12T12:06:00Z</dcterms:created>
  <dcterms:modified xsi:type="dcterms:W3CDTF">2023-05-12T12:08:00Z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Burbano, Carmela</vt:lpwstr>
  </property>
  <property fmtid="{D5CDD505-2E9C-101B-9397-08002B2CF9AE}" pid="3" name="Title">
    <vt:lpwstr>DRAFT ITINERARY</vt:lpwstr>
  </property>
  <property fmtid="{D5CDD505-2E9C-101B-9397-08002B2CF9AE}" pid="4" name="Order">
    <vt:lpwstr>32573600.0000000</vt:lpwstr>
  </property>
  <property fmtid="{D5CDD505-2E9C-101B-9397-08002B2CF9AE}" pid="5" name="display_urn:schemas-microsoft-com:office:office#Author">
    <vt:lpwstr>Burbano, Carmela</vt:lpwstr>
  </property>
</Properties>
</file>