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F70B" w14:textId="77777777" w:rsidR="00785AC8" w:rsidRPr="00FB6D16" w:rsidRDefault="00785AC8" w:rsidP="00785AC8">
      <w:pPr>
        <w:jc w:val="center"/>
        <w:outlineLvl w:val="0"/>
        <w:rPr>
          <w:b/>
          <w:bCs/>
          <w:sz w:val="22"/>
          <w:szCs w:val="22"/>
        </w:rPr>
      </w:pPr>
      <w:r w:rsidRPr="000A6FD4">
        <w:rPr>
          <w:b/>
          <w:sz w:val="22"/>
          <w:szCs w:val="22"/>
        </w:rPr>
        <w:t xml:space="preserve">INTER-AMERICAN </w:t>
      </w:r>
      <w:r w:rsidRPr="00FB6D16">
        <w:rPr>
          <w:b/>
          <w:sz w:val="22"/>
          <w:szCs w:val="22"/>
        </w:rPr>
        <w:t>COMMITTEE AGAINST TERRORISM (CICTE)</w:t>
      </w:r>
    </w:p>
    <w:p w14:paraId="6B310ACE" w14:textId="77777777" w:rsidR="00785AC8" w:rsidRPr="00FB6D16" w:rsidRDefault="00785AC8" w:rsidP="00785AC8">
      <w:pPr>
        <w:tabs>
          <w:tab w:val="left" w:pos="7200"/>
        </w:tabs>
        <w:rPr>
          <w:caps/>
          <w:sz w:val="22"/>
          <w:szCs w:val="22"/>
        </w:rPr>
      </w:pPr>
    </w:p>
    <w:p w14:paraId="187E48CC" w14:textId="77777777" w:rsidR="003A4BCE" w:rsidRPr="00FB6D16" w:rsidRDefault="003A4BCE" w:rsidP="003A4BCE">
      <w:pPr>
        <w:tabs>
          <w:tab w:val="left" w:pos="7200"/>
        </w:tabs>
        <w:rPr>
          <w:sz w:val="22"/>
          <w:szCs w:val="22"/>
        </w:rPr>
      </w:pPr>
      <w:r w:rsidRPr="00FB6D16">
        <w:rPr>
          <w:sz w:val="22"/>
          <w:szCs w:val="22"/>
        </w:rPr>
        <w:t>TWENTY-FOURTH REGULAR PERIOD OF SESSIONS</w:t>
      </w:r>
      <w:r w:rsidRPr="00FB6D16">
        <w:rPr>
          <w:sz w:val="22"/>
          <w:szCs w:val="22"/>
        </w:rPr>
        <w:tab/>
        <w:t>OEA/</w:t>
      </w:r>
      <w:proofErr w:type="spellStart"/>
      <w:r w:rsidRPr="00FB6D16">
        <w:rPr>
          <w:sz w:val="22"/>
          <w:szCs w:val="22"/>
        </w:rPr>
        <w:t>Ser.L</w:t>
      </w:r>
      <w:proofErr w:type="spellEnd"/>
      <w:r w:rsidRPr="00FB6D16">
        <w:rPr>
          <w:sz w:val="22"/>
          <w:szCs w:val="22"/>
        </w:rPr>
        <w:t>/X.2.24</w:t>
      </w:r>
    </w:p>
    <w:p w14:paraId="3FBB754E" w14:textId="613198D0" w:rsidR="003A4BCE" w:rsidRPr="00FB6D16" w:rsidRDefault="003A4BCE" w:rsidP="003A4BCE">
      <w:pPr>
        <w:tabs>
          <w:tab w:val="left" w:pos="7200"/>
        </w:tabs>
        <w:ind w:right="-1109"/>
        <w:rPr>
          <w:sz w:val="22"/>
          <w:szCs w:val="22"/>
        </w:rPr>
      </w:pPr>
      <w:r w:rsidRPr="00FB6D16">
        <w:rPr>
          <w:sz w:val="22"/>
          <w:szCs w:val="22"/>
        </w:rPr>
        <w:t xml:space="preserve">April 24-25, </w:t>
      </w:r>
      <w:proofErr w:type="gramStart"/>
      <w:r w:rsidRPr="00FB6D16">
        <w:rPr>
          <w:sz w:val="22"/>
          <w:szCs w:val="22"/>
        </w:rPr>
        <w:t>2024</w:t>
      </w:r>
      <w:proofErr w:type="gramEnd"/>
      <w:r w:rsidRPr="00FB6D16">
        <w:rPr>
          <w:sz w:val="22"/>
          <w:szCs w:val="22"/>
        </w:rPr>
        <w:tab/>
        <w:t>CICTE/doc.6/24</w:t>
      </w:r>
      <w:r w:rsidR="00FB6D16" w:rsidRPr="00FB6D16">
        <w:rPr>
          <w:sz w:val="22"/>
          <w:szCs w:val="22"/>
        </w:rPr>
        <w:t xml:space="preserve"> rev. 1</w:t>
      </w:r>
      <w:r w:rsidRPr="00FB6D16">
        <w:rPr>
          <w:sz w:val="22"/>
          <w:szCs w:val="22"/>
        </w:rPr>
        <w:t xml:space="preserve"> </w:t>
      </w:r>
    </w:p>
    <w:p w14:paraId="158FF7D9" w14:textId="74D0C85B" w:rsidR="003A4BCE" w:rsidRPr="00FB6D16" w:rsidRDefault="003A4BCE" w:rsidP="003A4BCE">
      <w:pPr>
        <w:tabs>
          <w:tab w:val="left" w:pos="7200"/>
        </w:tabs>
        <w:rPr>
          <w:sz w:val="22"/>
          <w:szCs w:val="22"/>
        </w:rPr>
      </w:pPr>
      <w:r w:rsidRPr="00FB6D16">
        <w:rPr>
          <w:color w:val="000000"/>
          <w:sz w:val="22"/>
          <w:szCs w:val="22"/>
        </w:rPr>
        <w:t>Washington D.C.</w:t>
      </w:r>
      <w:r w:rsidRPr="00FB6D16">
        <w:rPr>
          <w:sz w:val="22"/>
          <w:szCs w:val="22"/>
        </w:rPr>
        <w:tab/>
      </w:r>
      <w:r w:rsidR="00FB6D16" w:rsidRPr="00FB6D16">
        <w:rPr>
          <w:sz w:val="22"/>
          <w:szCs w:val="22"/>
        </w:rPr>
        <w:t>25</w:t>
      </w:r>
      <w:r w:rsidRPr="00FB6D16">
        <w:rPr>
          <w:sz w:val="22"/>
          <w:szCs w:val="22"/>
        </w:rPr>
        <w:t xml:space="preserve"> April 2024 </w:t>
      </w:r>
    </w:p>
    <w:p w14:paraId="4F23F063" w14:textId="77777777" w:rsidR="003A4BCE" w:rsidRPr="00FB6D16" w:rsidRDefault="003A4BCE" w:rsidP="003A4BCE">
      <w:pPr>
        <w:tabs>
          <w:tab w:val="left" w:pos="7200"/>
        </w:tabs>
        <w:ind w:right="-29"/>
        <w:jc w:val="both"/>
        <w:rPr>
          <w:sz w:val="22"/>
          <w:szCs w:val="22"/>
        </w:rPr>
      </w:pPr>
      <w:r w:rsidRPr="00FB6D16">
        <w:rPr>
          <w:sz w:val="22"/>
          <w:szCs w:val="22"/>
        </w:rPr>
        <w:tab/>
        <w:t>Original: Spanish</w:t>
      </w:r>
    </w:p>
    <w:p w14:paraId="43F4AF3F" w14:textId="77777777" w:rsidR="00793A47" w:rsidRPr="00FB6D16" w:rsidRDefault="00793A47" w:rsidP="00793A47">
      <w:pPr>
        <w:outlineLvl w:val="0"/>
        <w:rPr>
          <w:noProof/>
          <w:sz w:val="22"/>
          <w:szCs w:val="22"/>
        </w:rPr>
      </w:pPr>
    </w:p>
    <w:p w14:paraId="1CF3E7FE" w14:textId="77777777" w:rsidR="00793A47" w:rsidRPr="00FB6D16" w:rsidRDefault="00793A47" w:rsidP="00793A47">
      <w:pPr>
        <w:jc w:val="center"/>
        <w:rPr>
          <w:sz w:val="22"/>
          <w:szCs w:val="22"/>
        </w:rPr>
      </w:pPr>
    </w:p>
    <w:p w14:paraId="5417C886" w14:textId="77777777" w:rsidR="00793A47" w:rsidRPr="00FB6D16" w:rsidRDefault="00793A47" w:rsidP="00793A47">
      <w:pPr>
        <w:jc w:val="center"/>
        <w:rPr>
          <w:sz w:val="22"/>
          <w:szCs w:val="22"/>
        </w:rPr>
      </w:pPr>
    </w:p>
    <w:p w14:paraId="2F74A0EF" w14:textId="77777777" w:rsidR="00793A47" w:rsidRPr="00FB6D16" w:rsidRDefault="00793A47" w:rsidP="00793A47">
      <w:pPr>
        <w:jc w:val="center"/>
        <w:rPr>
          <w:sz w:val="22"/>
          <w:szCs w:val="22"/>
        </w:rPr>
      </w:pPr>
    </w:p>
    <w:p w14:paraId="284ECC04" w14:textId="77777777" w:rsidR="00793A47" w:rsidRPr="00FB6D16" w:rsidRDefault="00793A47" w:rsidP="00793A47">
      <w:pPr>
        <w:jc w:val="center"/>
        <w:rPr>
          <w:sz w:val="22"/>
          <w:szCs w:val="22"/>
        </w:rPr>
      </w:pPr>
    </w:p>
    <w:p w14:paraId="71F56B19" w14:textId="77777777" w:rsidR="00793A47" w:rsidRPr="00FB6D16" w:rsidRDefault="00793A47" w:rsidP="00793A47">
      <w:pPr>
        <w:jc w:val="center"/>
        <w:rPr>
          <w:sz w:val="22"/>
          <w:szCs w:val="22"/>
        </w:rPr>
      </w:pPr>
    </w:p>
    <w:p w14:paraId="6F1AA061" w14:textId="77777777" w:rsidR="00793A47" w:rsidRPr="00FB6D16" w:rsidRDefault="00793A47" w:rsidP="00793A47">
      <w:pPr>
        <w:jc w:val="center"/>
        <w:rPr>
          <w:sz w:val="22"/>
          <w:szCs w:val="22"/>
        </w:rPr>
      </w:pPr>
    </w:p>
    <w:p w14:paraId="6B87A4A5" w14:textId="77777777" w:rsidR="00793A47" w:rsidRPr="00FB6D16" w:rsidRDefault="00793A47" w:rsidP="00793A47">
      <w:pPr>
        <w:jc w:val="center"/>
        <w:rPr>
          <w:sz w:val="22"/>
          <w:szCs w:val="22"/>
        </w:rPr>
      </w:pPr>
    </w:p>
    <w:p w14:paraId="4DC42E13" w14:textId="77777777" w:rsidR="00793A47" w:rsidRPr="00FB6D16" w:rsidRDefault="00793A47" w:rsidP="00793A47">
      <w:pPr>
        <w:jc w:val="center"/>
        <w:rPr>
          <w:sz w:val="22"/>
          <w:szCs w:val="22"/>
        </w:rPr>
      </w:pPr>
    </w:p>
    <w:p w14:paraId="7A286A89" w14:textId="77777777" w:rsidR="00E904C1" w:rsidRPr="00FB6D16" w:rsidRDefault="00542904">
      <w:pPr>
        <w:tabs>
          <w:tab w:val="left" w:pos="3563"/>
        </w:tabs>
        <w:rPr>
          <w:sz w:val="22"/>
          <w:szCs w:val="22"/>
        </w:rPr>
      </w:pPr>
      <w:r w:rsidRPr="00FB6D16">
        <w:rPr>
          <w:sz w:val="22"/>
          <w:szCs w:val="22"/>
        </w:rPr>
        <w:tab/>
      </w:r>
    </w:p>
    <w:p w14:paraId="7B8C0F97" w14:textId="77777777" w:rsidR="00793A47" w:rsidRPr="00FB6D16" w:rsidRDefault="00793A47" w:rsidP="00793A47">
      <w:pPr>
        <w:jc w:val="center"/>
        <w:rPr>
          <w:sz w:val="22"/>
          <w:szCs w:val="22"/>
        </w:rPr>
      </w:pPr>
    </w:p>
    <w:p w14:paraId="5844CB33" w14:textId="77777777" w:rsidR="00785AC8" w:rsidRPr="00FB6D16" w:rsidRDefault="00785AC8" w:rsidP="00793A47">
      <w:pPr>
        <w:jc w:val="center"/>
        <w:rPr>
          <w:sz w:val="22"/>
          <w:szCs w:val="22"/>
        </w:rPr>
      </w:pPr>
    </w:p>
    <w:p w14:paraId="0B1A1A31" w14:textId="77777777" w:rsidR="00785AC8" w:rsidRPr="00FB6D16" w:rsidRDefault="00785AC8" w:rsidP="00793A47">
      <w:pPr>
        <w:jc w:val="center"/>
        <w:rPr>
          <w:sz w:val="22"/>
          <w:szCs w:val="22"/>
        </w:rPr>
      </w:pPr>
    </w:p>
    <w:p w14:paraId="4EC8B1EB" w14:textId="77777777" w:rsidR="00785AC8" w:rsidRPr="00FB6D16" w:rsidRDefault="00785AC8" w:rsidP="00793A47">
      <w:pPr>
        <w:jc w:val="center"/>
        <w:rPr>
          <w:sz w:val="22"/>
          <w:szCs w:val="22"/>
        </w:rPr>
      </w:pPr>
    </w:p>
    <w:p w14:paraId="369589A8" w14:textId="77777777" w:rsidR="00785AC8" w:rsidRPr="00FB6D16" w:rsidRDefault="00785AC8" w:rsidP="00793A47">
      <w:pPr>
        <w:jc w:val="center"/>
        <w:rPr>
          <w:sz w:val="22"/>
          <w:szCs w:val="22"/>
        </w:rPr>
      </w:pPr>
    </w:p>
    <w:p w14:paraId="473EFD94" w14:textId="77777777" w:rsidR="00793A47" w:rsidRPr="00FB6D16" w:rsidRDefault="00793A47" w:rsidP="00793A47">
      <w:pPr>
        <w:jc w:val="center"/>
        <w:rPr>
          <w:sz w:val="22"/>
          <w:szCs w:val="22"/>
        </w:rPr>
      </w:pPr>
    </w:p>
    <w:p w14:paraId="5FDA2852" w14:textId="46C03C81" w:rsidR="00E904C1" w:rsidRPr="00FB6D16" w:rsidRDefault="00542904">
      <w:pPr>
        <w:jc w:val="center"/>
        <w:rPr>
          <w:sz w:val="22"/>
          <w:szCs w:val="22"/>
        </w:rPr>
      </w:pPr>
      <w:r w:rsidRPr="00FB6D16">
        <w:rPr>
          <w:sz w:val="22"/>
          <w:szCs w:val="22"/>
        </w:rPr>
        <w:t>WORK</w:t>
      </w:r>
      <w:r w:rsidR="009D0517" w:rsidRPr="00FB6D16">
        <w:rPr>
          <w:sz w:val="22"/>
          <w:szCs w:val="22"/>
        </w:rPr>
        <w:t xml:space="preserve"> </w:t>
      </w:r>
      <w:r w:rsidRPr="00FB6D16">
        <w:rPr>
          <w:sz w:val="22"/>
          <w:szCs w:val="22"/>
        </w:rPr>
        <w:t>PLAN 2024–2025</w:t>
      </w:r>
    </w:p>
    <w:p w14:paraId="4F49C4F4" w14:textId="77777777" w:rsidR="00E904C1" w:rsidRPr="00FB6D16" w:rsidRDefault="00542904">
      <w:pPr>
        <w:jc w:val="center"/>
        <w:rPr>
          <w:bCs/>
          <w:sz w:val="22"/>
          <w:szCs w:val="22"/>
        </w:rPr>
      </w:pPr>
      <w:r w:rsidRPr="00FB6D16">
        <w:rPr>
          <w:bCs/>
          <w:sz w:val="22"/>
          <w:szCs w:val="22"/>
        </w:rPr>
        <w:t>OF THE SECRETARIAT OF THE INTER-AMERICAN COMMITTEE AGAINST TERRORISM</w:t>
      </w:r>
    </w:p>
    <w:p w14:paraId="5C15A572" w14:textId="77777777" w:rsidR="00793A47" w:rsidRPr="00FB6D16" w:rsidRDefault="00793A47" w:rsidP="00793A47">
      <w:pPr>
        <w:jc w:val="center"/>
        <w:rPr>
          <w:caps/>
          <w:sz w:val="22"/>
          <w:szCs w:val="22"/>
        </w:rPr>
      </w:pPr>
    </w:p>
    <w:p w14:paraId="7C06B599" w14:textId="77777777" w:rsidR="00FB6D16" w:rsidRPr="00FB6D16" w:rsidRDefault="00FB6D16" w:rsidP="00FB6D16">
      <w:pPr>
        <w:pStyle w:val="NormalWeb"/>
        <w:spacing w:before="0" w:beforeAutospacing="0" w:after="0" w:afterAutospacing="0"/>
        <w:jc w:val="center"/>
        <w:rPr>
          <w:rFonts w:ascii="Times New Roman" w:hAnsi="Times New Roman" w:cs="Times New Roman"/>
        </w:rPr>
      </w:pPr>
      <w:r w:rsidRPr="00FB6D16">
        <w:rPr>
          <w:rFonts w:ascii="Times New Roman" w:hAnsi="Times New Roman" w:cs="Times New Roman"/>
        </w:rPr>
        <w:t>(Approved at the fourth plenary session held on April 25, 2024)</w:t>
      </w:r>
    </w:p>
    <w:p w14:paraId="4D284247" w14:textId="77777777" w:rsidR="00793A47" w:rsidRPr="00FB6D16" w:rsidRDefault="00793A47" w:rsidP="134984BE">
      <w:pPr>
        <w:jc w:val="center"/>
        <w:rPr>
          <w:sz w:val="22"/>
          <w:szCs w:val="22"/>
        </w:rPr>
      </w:pPr>
    </w:p>
    <w:p w14:paraId="1C838EDD" w14:textId="77777777" w:rsidR="0036593C" w:rsidRPr="00FB6D16" w:rsidRDefault="0036593C" w:rsidP="134984BE">
      <w:pPr>
        <w:jc w:val="center"/>
        <w:rPr>
          <w:sz w:val="22"/>
          <w:szCs w:val="22"/>
        </w:rPr>
      </w:pPr>
    </w:p>
    <w:p w14:paraId="7E0C6B6E" w14:textId="77777777" w:rsidR="00025BB1" w:rsidRPr="00FB6D16" w:rsidRDefault="00025BB1" w:rsidP="134984BE">
      <w:pPr>
        <w:jc w:val="center"/>
        <w:rPr>
          <w:sz w:val="22"/>
          <w:szCs w:val="22"/>
        </w:rPr>
        <w:sectPr w:rsidR="00025BB1" w:rsidRPr="00FB6D16" w:rsidSect="001C729B">
          <w:headerReference w:type="default" r:id="rId11"/>
          <w:footerReference w:type="even" r:id="rId12"/>
          <w:footerReference w:type="default" r:id="rId13"/>
          <w:headerReference w:type="first" r:id="rId14"/>
          <w:pgSz w:w="12240" w:h="15840"/>
          <w:pgMar w:top="2160" w:right="1570" w:bottom="1296" w:left="1699" w:header="720" w:footer="720" w:gutter="0"/>
          <w:pgNumType w:fmt="numberInDash" w:start="1"/>
          <w:cols w:space="720"/>
          <w:titlePg/>
          <w:docGrid w:linePitch="360"/>
        </w:sectPr>
      </w:pPr>
    </w:p>
    <w:p w14:paraId="3D824F2D" w14:textId="57DDEBA4" w:rsidR="00E904C1" w:rsidRPr="00FB6D16" w:rsidRDefault="00542904">
      <w:pPr>
        <w:jc w:val="center"/>
        <w:rPr>
          <w:sz w:val="22"/>
          <w:szCs w:val="22"/>
        </w:rPr>
      </w:pPr>
      <w:r w:rsidRPr="00FB6D16">
        <w:rPr>
          <w:sz w:val="22"/>
          <w:szCs w:val="22"/>
        </w:rPr>
        <w:lastRenderedPageBreak/>
        <w:t>WORKPLAN 2024–2025</w:t>
      </w:r>
    </w:p>
    <w:p w14:paraId="4B2440B2" w14:textId="77777777" w:rsidR="00E904C1" w:rsidRPr="00FB6D16" w:rsidRDefault="00542904">
      <w:pPr>
        <w:jc w:val="center"/>
        <w:rPr>
          <w:bCs/>
          <w:sz w:val="22"/>
          <w:szCs w:val="22"/>
        </w:rPr>
      </w:pPr>
      <w:r w:rsidRPr="00FB6D16">
        <w:rPr>
          <w:bCs/>
          <w:sz w:val="22"/>
          <w:szCs w:val="22"/>
        </w:rPr>
        <w:t>OF THE SECRETARIAT OF THE INTER-AMERICAN COMMITTEE AGAINST TERRORISM</w:t>
      </w:r>
    </w:p>
    <w:p w14:paraId="48D2D437" w14:textId="77777777" w:rsidR="00A948BD" w:rsidRPr="00FB6D16" w:rsidRDefault="00A948BD" w:rsidP="00294263">
      <w:pPr>
        <w:jc w:val="center"/>
        <w:rPr>
          <w:bCs/>
          <w:sz w:val="22"/>
          <w:szCs w:val="22"/>
        </w:rPr>
      </w:pPr>
    </w:p>
    <w:p w14:paraId="642C964C" w14:textId="77777777" w:rsidR="00FB6D16" w:rsidRPr="00FB6D16" w:rsidRDefault="00FB6D16" w:rsidP="00FB6D16">
      <w:pPr>
        <w:pStyle w:val="NormalWeb"/>
        <w:spacing w:before="0" w:beforeAutospacing="0" w:after="0" w:afterAutospacing="0"/>
        <w:jc w:val="center"/>
        <w:rPr>
          <w:rFonts w:ascii="Times New Roman" w:hAnsi="Times New Roman" w:cs="Times New Roman"/>
        </w:rPr>
      </w:pPr>
      <w:r w:rsidRPr="00FB6D16">
        <w:rPr>
          <w:rFonts w:ascii="Times New Roman" w:hAnsi="Times New Roman" w:cs="Times New Roman"/>
        </w:rPr>
        <w:t>(Approved at the fourth plenary session held on April 25, 2024)</w:t>
      </w:r>
    </w:p>
    <w:p w14:paraId="13745727" w14:textId="77777777" w:rsidR="00A948BD" w:rsidRPr="00FB6D16" w:rsidRDefault="00A948BD" w:rsidP="00294263">
      <w:pPr>
        <w:jc w:val="center"/>
        <w:rPr>
          <w:bCs/>
          <w:sz w:val="22"/>
          <w:szCs w:val="22"/>
        </w:rPr>
      </w:pPr>
    </w:p>
    <w:p w14:paraId="71403939" w14:textId="77777777" w:rsidR="00793A47" w:rsidRPr="000A6FD4" w:rsidRDefault="00793A47" w:rsidP="00294263">
      <w:pPr>
        <w:jc w:val="center"/>
        <w:rPr>
          <w:bCs/>
          <w:sz w:val="22"/>
          <w:szCs w:val="22"/>
        </w:rPr>
      </w:pPr>
    </w:p>
    <w:p w14:paraId="47E0398A" w14:textId="77777777" w:rsidR="00E904C1" w:rsidRPr="000A6FD4" w:rsidRDefault="00542904">
      <w:pPr>
        <w:jc w:val="both"/>
        <w:rPr>
          <w:b/>
          <w:bCs/>
          <w:sz w:val="22"/>
          <w:szCs w:val="22"/>
        </w:rPr>
      </w:pPr>
      <w:r w:rsidRPr="000A6FD4">
        <w:rPr>
          <w:b/>
          <w:bCs/>
          <w:sz w:val="22"/>
          <w:szCs w:val="22"/>
        </w:rPr>
        <w:t>I.</w:t>
      </w:r>
      <w:r w:rsidRPr="000A6FD4">
        <w:rPr>
          <w:b/>
          <w:bCs/>
          <w:sz w:val="22"/>
          <w:szCs w:val="22"/>
        </w:rPr>
        <w:tab/>
        <w:t xml:space="preserve">Introduction </w:t>
      </w:r>
    </w:p>
    <w:p w14:paraId="000C4A77" w14:textId="77777777" w:rsidR="00E904C1" w:rsidRPr="000A6FD4" w:rsidRDefault="00542904">
      <w:pPr>
        <w:jc w:val="both"/>
        <w:rPr>
          <w:sz w:val="22"/>
          <w:szCs w:val="22"/>
        </w:rPr>
      </w:pPr>
      <w:r w:rsidRPr="000A6FD4">
        <w:rPr>
          <w:sz w:val="22"/>
          <w:szCs w:val="22"/>
        </w:rPr>
        <w:tab/>
      </w:r>
    </w:p>
    <w:p w14:paraId="729156D9" w14:textId="49E0B274" w:rsidR="00E904C1" w:rsidRPr="000A6FD4" w:rsidRDefault="00542904">
      <w:pPr>
        <w:ind w:firstLine="720"/>
        <w:jc w:val="both"/>
        <w:rPr>
          <w:sz w:val="22"/>
          <w:szCs w:val="22"/>
        </w:rPr>
      </w:pPr>
      <w:r w:rsidRPr="000A6FD4">
        <w:rPr>
          <w:sz w:val="22"/>
          <w:szCs w:val="22"/>
        </w:rPr>
        <w:t>The Secretariat of the Inter-American Committee against Terrorism (CICTE) presents the workplan for the period 2024-2025. During this period, the Committee</w:t>
      </w:r>
      <w:r w:rsidR="00EF5528" w:rsidRPr="000A6FD4">
        <w:rPr>
          <w:sz w:val="22"/>
          <w:szCs w:val="22"/>
        </w:rPr>
        <w:t>’</w:t>
      </w:r>
      <w:r w:rsidRPr="000A6FD4">
        <w:rPr>
          <w:sz w:val="22"/>
          <w:szCs w:val="22"/>
        </w:rPr>
        <w:t xml:space="preserve">s Secretariat will provide the necessary technical support for </w:t>
      </w:r>
      <w:r w:rsidR="00EF5528" w:rsidRPr="000A6FD4">
        <w:rPr>
          <w:sz w:val="22"/>
          <w:szCs w:val="22"/>
        </w:rPr>
        <w:t xml:space="preserve">carrying out </w:t>
      </w:r>
      <w:r w:rsidRPr="000A6FD4">
        <w:rPr>
          <w:sz w:val="22"/>
          <w:szCs w:val="22"/>
        </w:rPr>
        <w:t>the Committee</w:t>
      </w:r>
      <w:r w:rsidR="00EF5528" w:rsidRPr="000A6FD4">
        <w:rPr>
          <w:sz w:val="22"/>
          <w:szCs w:val="22"/>
        </w:rPr>
        <w:t>’</w:t>
      </w:r>
      <w:r w:rsidRPr="000A6FD4">
        <w:rPr>
          <w:sz w:val="22"/>
          <w:szCs w:val="22"/>
        </w:rPr>
        <w:t>s regular session, the meeting of the Working Group on Confidence-Building Measures and Cooperation in Cyberspace, as well as discussions on CICTE</w:t>
      </w:r>
      <w:r w:rsidR="00EF5528" w:rsidRPr="000A6FD4">
        <w:rPr>
          <w:sz w:val="22"/>
          <w:szCs w:val="22"/>
        </w:rPr>
        <w:t xml:space="preserve">-related </w:t>
      </w:r>
      <w:r w:rsidRPr="000A6FD4">
        <w:rPr>
          <w:sz w:val="22"/>
          <w:szCs w:val="22"/>
        </w:rPr>
        <w:t>issues to be held within the framework of the OAS political bodies.</w:t>
      </w:r>
    </w:p>
    <w:p w14:paraId="4CBDB5B3" w14:textId="77777777" w:rsidR="00A2031A" w:rsidRPr="000A6FD4" w:rsidRDefault="00A2031A" w:rsidP="00FE713F">
      <w:pPr>
        <w:ind w:firstLine="720"/>
        <w:jc w:val="both"/>
        <w:rPr>
          <w:bCs/>
          <w:sz w:val="22"/>
          <w:szCs w:val="22"/>
        </w:rPr>
      </w:pPr>
    </w:p>
    <w:p w14:paraId="24F066AD" w14:textId="103A3045" w:rsidR="00E904C1" w:rsidRPr="000A6FD4" w:rsidRDefault="00542904">
      <w:pPr>
        <w:ind w:firstLine="720"/>
        <w:jc w:val="both"/>
        <w:rPr>
          <w:sz w:val="22"/>
          <w:szCs w:val="22"/>
        </w:rPr>
      </w:pPr>
      <w:r w:rsidRPr="000A6FD4">
        <w:rPr>
          <w:sz w:val="22"/>
          <w:szCs w:val="22"/>
        </w:rPr>
        <w:t>The Committee</w:t>
      </w:r>
      <w:r w:rsidR="00EF5528" w:rsidRPr="000A6FD4">
        <w:rPr>
          <w:sz w:val="22"/>
          <w:szCs w:val="22"/>
        </w:rPr>
        <w:t>’</w:t>
      </w:r>
      <w:r w:rsidRPr="000A6FD4">
        <w:rPr>
          <w:sz w:val="22"/>
          <w:szCs w:val="22"/>
        </w:rPr>
        <w:t>s programs will focus on providing support to OAS member states that require it in the following priority areas: cybersecurity; disarmament and non-proliferation of weapons of mass destruction, including the implementation of United Nations Security Council resolution 1540 (2004); security of air, land, and sea borders; protection of vulnerable targets and crowded spaces, including tourist destinations and major events; and prevention of terrorism, including violent extremism and terrorist financing.</w:t>
      </w:r>
    </w:p>
    <w:p w14:paraId="359FBBBD" w14:textId="77777777" w:rsidR="00FE713F" w:rsidRPr="000A6FD4" w:rsidRDefault="00FE713F" w:rsidP="00FE713F">
      <w:pPr>
        <w:ind w:firstLine="720"/>
        <w:jc w:val="both"/>
        <w:rPr>
          <w:bCs/>
          <w:sz w:val="22"/>
          <w:szCs w:val="22"/>
        </w:rPr>
      </w:pPr>
    </w:p>
    <w:p w14:paraId="4BF200AD" w14:textId="1754C1AA" w:rsidR="00E904C1" w:rsidRPr="000A6FD4" w:rsidRDefault="00542904">
      <w:pPr>
        <w:ind w:firstLine="720"/>
        <w:jc w:val="both"/>
        <w:rPr>
          <w:bCs/>
          <w:sz w:val="22"/>
          <w:szCs w:val="22"/>
        </w:rPr>
      </w:pPr>
      <w:r w:rsidRPr="000A6FD4">
        <w:rPr>
          <w:bCs/>
          <w:sz w:val="22"/>
          <w:szCs w:val="22"/>
        </w:rPr>
        <w:t xml:space="preserve">In addition, the Secretariat will continue efforts to support the development or strengthening of information-sharing tools and/or good practices </w:t>
      </w:r>
      <w:r w:rsidR="00EF5528" w:rsidRPr="000A6FD4">
        <w:rPr>
          <w:bCs/>
          <w:sz w:val="22"/>
          <w:szCs w:val="22"/>
        </w:rPr>
        <w:t xml:space="preserve">around </w:t>
      </w:r>
      <w:r w:rsidRPr="000A6FD4">
        <w:rPr>
          <w:bCs/>
          <w:sz w:val="22"/>
          <w:szCs w:val="22"/>
        </w:rPr>
        <w:t xml:space="preserve">the Committee’s topics of competence. It will also continue to encourage inter-agency coordination with other specialized international agencies to strengthen capacity to respond to current and emerging challenges. </w:t>
      </w:r>
    </w:p>
    <w:p w14:paraId="1E10BD79" w14:textId="77777777" w:rsidR="00FE713F" w:rsidRPr="000A6FD4" w:rsidRDefault="00FE713F" w:rsidP="00FE713F">
      <w:pPr>
        <w:ind w:firstLine="720"/>
        <w:jc w:val="both"/>
        <w:rPr>
          <w:bCs/>
          <w:sz w:val="22"/>
          <w:szCs w:val="22"/>
        </w:rPr>
      </w:pPr>
    </w:p>
    <w:p w14:paraId="03418F85" w14:textId="77777777" w:rsidR="00E904C1" w:rsidRPr="000A6FD4" w:rsidRDefault="00542904">
      <w:pPr>
        <w:ind w:firstLine="720"/>
        <w:jc w:val="both"/>
        <w:rPr>
          <w:sz w:val="22"/>
          <w:szCs w:val="22"/>
        </w:rPr>
      </w:pPr>
      <w:r w:rsidRPr="000A6FD4">
        <w:rPr>
          <w:sz w:val="22"/>
          <w:szCs w:val="22"/>
        </w:rPr>
        <w:t xml:space="preserve">All programs of the Committee’s Secretariat have a regional scope, with specific activities that can be implemented in several Member States, as required, depending on needs and availability of resources. </w:t>
      </w:r>
    </w:p>
    <w:p w14:paraId="052B9C84" w14:textId="77777777" w:rsidR="00900598" w:rsidRPr="000A6FD4" w:rsidRDefault="00900598">
      <w:pPr>
        <w:rPr>
          <w:b/>
          <w:bCs/>
          <w:sz w:val="22"/>
          <w:szCs w:val="22"/>
        </w:rPr>
      </w:pPr>
    </w:p>
    <w:p w14:paraId="75201419" w14:textId="77777777" w:rsidR="00CE6824" w:rsidRPr="000A6FD4" w:rsidRDefault="00CE6824">
      <w:pPr>
        <w:rPr>
          <w:b/>
          <w:bCs/>
          <w:sz w:val="22"/>
          <w:szCs w:val="22"/>
        </w:rPr>
      </w:pPr>
    </w:p>
    <w:p w14:paraId="6AAFF0FD" w14:textId="77777777" w:rsidR="00E904C1" w:rsidRPr="000A6FD4" w:rsidRDefault="00542904">
      <w:pPr>
        <w:jc w:val="both"/>
        <w:rPr>
          <w:b/>
          <w:bCs/>
          <w:sz w:val="22"/>
          <w:szCs w:val="22"/>
          <w:lang w:val="es-ES"/>
        </w:rPr>
      </w:pPr>
      <w:r w:rsidRPr="000A6FD4">
        <w:rPr>
          <w:b/>
          <w:bCs/>
          <w:sz w:val="22"/>
          <w:szCs w:val="22"/>
        </w:rPr>
        <w:t>II.</w:t>
      </w:r>
      <w:r w:rsidRPr="000A6FD4">
        <w:rPr>
          <w:b/>
          <w:bCs/>
          <w:sz w:val="22"/>
          <w:szCs w:val="22"/>
        </w:rPr>
        <w:tab/>
        <w:t>Main programs</w:t>
      </w:r>
      <w:r w:rsidRPr="000A6FD4">
        <w:rPr>
          <w:sz w:val="22"/>
          <w:szCs w:val="22"/>
        </w:rPr>
        <w:t xml:space="preserve">  </w:t>
      </w:r>
    </w:p>
    <w:p w14:paraId="7ABD1CCE" w14:textId="77777777" w:rsidR="00FE713F" w:rsidRPr="000A6FD4" w:rsidRDefault="00FE713F" w:rsidP="00FE713F">
      <w:pPr>
        <w:jc w:val="both"/>
        <w:rPr>
          <w:b/>
          <w:bCs/>
          <w:sz w:val="22"/>
          <w:szCs w:val="22"/>
          <w:lang w:val="es-ES"/>
        </w:rPr>
      </w:pPr>
    </w:p>
    <w:p w14:paraId="4407178D" w14:textId="77777777" w:rsidR="00E904C1" w:rsidRPr="000A6FD4" w:rsidRDefault="00542904">
      <w:pPr>
        <w:pStyle w:val="ListParagraph"/>
        <w:numPr>
          <w:ilvl w:val="0"/>
          <w:numId w:val="11"/>
        </w:numPr>
        <w:ind w:left="0" w:firstLine="0"/>
        <w:jc w:val="both"/>
        <w:rPr>
          <w:rFonts w:ascii="Times New Roman" w:hAnsi="Times New Roman"/>
          <w:sz w:val="22"/>
          <w:szCs w:val="22"/>
          <w:lang w:val="es-ES"/>
        </w:rPr>
      </w:pPr>
      <w:r w:rsidRPr="000A6FD4">
        <w:rPr>
          <w:rFonts w:ascii="Times New Roman" w:hAnsi="Times New Roman"/>
          <w:b/>
          <w:bCs/>
          <w:i/>
          <w:iCs/>
          <w:sz w:val="22"/>
          <w:szCs w:val="22"/>
        </w:rPr>
        <w:t xml:space="preserve">Cybersecurity </w:t>
      </w:r>
    </w:p>
    <w:p w14:paraId="5F1F5ADB" w14:textId="77777777" w:rsidR="00FE713F" w:rsidRPr="000A6FD4" w:rsidRDefault="00FE713F" w:rsidP="00FE713F">
      <w:pPr>
        <w:pStyle w:val="ListParagraph"/>
        <w:ind w:left="0"/>
        <w:jc w:val="both"/>
        <w:rPr>
          <w:rFonts w:ascii="Times New Roman" w:hAnsi="Times New Roman"/>
          <w:sz w:val="22"/>
          <w:szCs w:val="22"/>
          <w:lang w:val="es-ES"/>
        </w:rPr>
      </w:pPr>
    </w:p>
    <w:p w14:paraId="50ED6D35" w14:textId="77777777" w:rsidR="00E904C1" w:rsidRPr="000A6FD4" w:rsidRDefault="00542904">
      <w:pPr>
        <w:jc w:val="both"/>
        <w:rPr>
          <w:sz w:val="22"/>
          <w:szCs w:val="22"/>
          <w:lang w:val="es-ES"/>
        </w:rPr>
      </w:pPr>
      <w:r w:rsidRPr="000A6FD4">
        <w:rPr>
          <w:sz w:val="22"/>
          <w:szCs w:val="22"/>
          <w:u w:val="single"/>
        </w:rPr>
        <w:t>Purpose:</w:t>
      </w:r>
      <w:r w:rsidRPr="000A6FD4">
        <w:rPr>
          <w:sz w:val="22"/>
          <w:szCs w:val="22"/>
        </w:rPr>
        <w:t xml:space="preserve"> </w:t>
      </w:r>
    </w:p>
    <w:p w14:paraId="3F836870" w14:textId="77777777" w:rsidR="00FE713F" w:rsidRPr="000A6FD4" w:rsidRDefault="00FE713F" w:rsidP="00FE713F">
      <w:pPr>
        <w:jc w:val="both"/>
        <w:rPr>
          <w:sz w:val="22"/>
          <w:szCs w:val="22"/>
          <w:lang w:val="es-ES"/>
        </w:rPr>
      </w:pPr>
    </w:p>
    <w:p w14:paraId="2F4A76E4" w14:textId="77777777" w:rsidR="00E904C1" w:rsidRPr="000A6FD4" w:rsidRDefault="00542904">
      <w:pPr>
        <w:jc w:val="both"/>
        <w:rPr>
          <w:sz w:val="22"/>
          <w:szCs w:val="22"/>
        </w:rPr>
      </w:pPr>
      <w:r w:rsidRPr="000A6FD4">
        <w:rPr>
          <w:sz w:val="22"/>
          <w:szCs w:val="22"/>
        </w:rPr>
        <w:t xml:space="preserve">Support Member States in their efforts to prevent, mitigate and recover from cyber threats and/or attacks through the development of policies and regulatory frameworks, the strengthening of technical capacities, international </w:t>
      </w:r>
      <w:proofErr w:type="gramStart"/>
      <w:r w:rsidRPr="000A6FD4">
        <w:rPr>
          <w:sz w:val="22"/>
          <w:szCs w:val="22"/>
        </w:rPr>
        <w:t>cooperation</w:t>
      </w:r>
      <w:proofErr w:type="gramEnd"/>
      <w:r w:rsidRPr="000A6FD4">
        <w:rPr>
          <w:sz w:val="22"/>
          <w:szCs w:val="22"/>
        </w:rPr>
        <w:t xml:space="preserve"> and the dissemination of cybersecurity expertise.</w:t>
      </w:r>
    </w:p>
    <w:p w14:paraId="56BFD960" w14:textId="77777777" w:rsidR="00034296" w:rsidRPr="000A6FD4" w:rsidRDefault="00034296" w:rsidP="00034296">
      <w:pPr>
        <w:jc w:val="both"/>
        <w:rPr>
          <w:sz w:val="22"/>
          <w:szCs w:val="22"/>
        </w:rPr>
      </w:pPr>
    </w:p>
    <w:p w14:paraId="19031BD5" w14:textId="77777777" w:rsidR="00E904C1" w:rsidRPr="000A6FD4" w:rsidRDefault="00542904">
      <w:pPr>
        <w:jc w:val="both"/>
        <w:rPr>
          <w:sz w:val="22"/>
          <w:szCs w:val="22"/>
          <w:u w:val="single"/>
          <w:lang w:val="es-ES"/>
        </w:rPr>
      </w:pPr>
      <w:r w:rsidRPr="000A6FD4">
        <w:rPr>
          <w:rFonts w:eastAsia="Calibri"/>
          <w:sz w:val="22"/>
          <w:szCs w:val="22"/>
          <w:u w:val="single"/>
        </w:rPr>
        <w:t>Proposed activities</w:t>
      </w:r>
      <w:r w:rsidRPr="000A6FD4">
        <w:rPr>
          <w:sz w:val="22"/>
          <w:szCs w:val="22"/>
          <w:u w:val="single"/>
        </w:rPr>
        <w:t xml:space="preserve">: </w:t>
      </w:r>
    </w:p>
    <w:p w14:paraId="274F79B2" w14:textId="77777777" w:rsidR="00E663FF" w:rsidRPr="000A6FD4" w:rsidRDefault="00E663FF" w:rsidP="00034296">
      <w:pPr>
        <w:jc w:val="both"/>
        <w:rPr>
          <w:sz w:val="22"/>
          <w:szCs w:val="22"/>
          <w:u w:val="single"/>
          <w:lang w:val="es-ES"/>
        </w:rPr>
      </w:pPr>
    </w:p>
    <w:p w14:paraId="2EFC67CC"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Technical and legislative assistance to develop, update and implement national cybersecurity strategies and/or legislation as required.</w:t>
      </w:r>
    </w:p>
    <w:p w14:paraId="2426D78D"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Organization of workshops, courses and meetings on international cyber diplomacy, </w:t>
      </w:r>
      <w:proofErr w:type="gramStart"/>
      <w:r w:rsidRPr="000A6FD4">
        <w:rPr>
          <w:rFonts w:ascii="Times New Roman" w:hAnsi="Times New Roman"/>
          <w:bCs/>
          <w:iCs/>
          <w:sz w:val="22"/>
          <w:szCs w:val="22"/>
        </w:rPr>
        <w:t>laws</w:t>
      </w:r>
      <w:proofErr w:type="gramEnd"/>
      <w:r w:rsidRPr="000A6FD4">
        <w:rPr>
          <w:rFonts w:ascii="Times New Roman" w:hAnsi="Times New Roman"/>
          <w:bCs/>
          <w:iCs/>
          <w:sz w:val="22"/>
          <w:szCs w:val="22"/>
        </w:rPr>
        <w:t xml:space="preserve"> and standards to support the strengthening of the capacities of government officials of Member States and their participation in international discussions on cyber security. </w:t>
      </w:r>
    </w:p>
    <w:p w14:paraId="0127F8EB" w14:textId="12004724"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lastRenderedPageBreak/>
        <w:t xml:space="preserve">Strengthening the capacity of the Computer Incident Response </w:t>
      </w:r>
      <w:r w:rsidR="00EF5528" w:rsidRPr="000A6FD4">
        <w:rPr>
          <w:rFonts w:ascii="Times New Roman" w:hAnsi="Times New Roman"/>
          <w:bCs/>
          <w:iCs/>
          <w:sz w:val="22"/>
          <w:szCs w:val="22"/>
        </w:rPr>
        <w:t xml:space="preserve">Teams </w:t>
      </w:r>
      <w:r w:rsidRPr="000A6FD4">
        <w:rPr>
          <w:rFonts w:ascii="Times New Roman" w:hAnsi="Times New Roman"/>
          <w:bCs/>
          <w:iCs/>
          <w:sz w:val="22"/>
          <w:szCs w:val="22"/>
        </w:rPr>
        <w:t xml:space="preserve">(CSIRTs) </w:t>
      </w:r>
      <w:r w:rsidR="00EF5528" w:rsidRPr="000A6FD4">
        <w:rPr>
          <w:rFonts w:ascii="Times New Roman" w:hAnsi="Times New Roman"/>
          <w:bCs/>
          <w:iCs/>
          <w:sz w:val="22"/>
          <w:szCs w:val="22"/>
        </w:rPr>
        <w:t xml:space="preserve">of </w:t>
      </w:r>
      <w:r w:rsidRPr="000A6FD4">
        <w:rPr>
          <w:rFonts w:ascii="Times New Roman" w:hAnsi="Times New Roman"/>
          <w:bCs/>
          <w:iCs/>
          <w:sz w:val="22"/>
          <w:szCs w:val="22"/>
        </w:rPr>
        <w:t xml:space="preserve">the region to prevent, confront and recover from cyber incidents, mainly through the </w:t>
      </w:r>
      <w:proofErr w:type="spellStart"/>
      <w:r w:rsidRPr="000A6FD4">
        <w:rPr>
          <w:rFonts w:ascii="Times New Roman" w:hAnsi="Times New Roman"/>
          <w:bCs/>
          <w:iCs/>
          <w:sz w:val="22"/>
          <w:szCs w:val="22"/>
        </w:rPr>
        <w:t>CSIRTAméricas</w:t>
      </w:r>
      <w:proofErr w:type="spellEnd"/>
      <w:r w:rsidRPr="000A6FD4">
        <w:rPr>
          <w:rFonts w:ascii="Times New Roman" w:hAnsi="Times New Roman"/>
          <w:bCs/>
          <w:iCs/>
          <w:sz w:val="22"/>
          <w:szCs w:val="22"/>
        </w:rPr>
        <w:t xml:space="preserve"> network and the “</w:t>
      </w:r>
      <w:proofErr w:type="spellStart"/>
      <w:r w:rsidRPr="000A6FD4">
        <w:rPr>
          <w:rFonts w:ascii="Times New Roman" w:hAnsi="Times New Roman"/>
          <w:bCs/>
          <w:iCs/>
          <w:sz w:val="22"/>
          <w:szCs w:val="22"/>
        </w:rPr>
        <w:t>CSIRTAméricas</w:t>
      </w:r>
      <w:proofErr w:type="spellEnd"/>
      <w:r w:rsidRPr="000A6FD4">
        <w:rPr>
          <w:rFonts w:ascii="Times New Roman" w:hAnsi="Times New Roman"/>
          <w:bCs/>
          <w:iCs/>
          <w:sz w:val="22"/>
          <w:szCs w:val="22"/>
        </w:rPr>
        <w:t xml:space="preserve"> academy”, a platform </w:t>
      </w:r>
      <w:r w:rsidR="00EF5528" w:rsidRPr="000A6FD4">
        <w:rPr>
          <w:rFonts w:ascii="Times New Roman" w:hAnsi="Times New Roman"/>
          <w:bCs/>
          <w:iCs/>
          <w:sz w:val="22"/>
          <w:szCs w:val="22"/>
        </w:rPr>
        <w:t xml:space="preserve">through which </w:t>
      </w:r>
      <w:r w:rsidRPr="000A6FD4">
        <w:rPr>
          <w:rFonts w:ascii="Times New Roman" w:hAnsi="Times New Roman"/>
          <w:bCs/>
          <w:iCs/>
          <w:sz w:val="22"/>
          <w:szCs w:val="22"/>
        </w:rPr>
        <w:t>virtual courses on essential aspects of incident management</w:t>
      </w:r>
      <w:r w:rsidR="00EF5528" w:rsidRPr="000A6FD4">
        <w:rPr>
          <w:rFonts w:ascii="Times New Roman" w:hAnsi="Times New Roman"/>
          <w:bCs/>
          <w:iCs/>
          <w:sz w:val="22"/>
          <w:szCs w:val="22"/>
        </w:rPr>
        <w:t xml:space="preserve"> are offered</w:t>
      </w:r>
      <w:r w:rsidRPr="000A6FD4">
        <w:rPr>
          <w:rFonts w:ascii="Times New Roman" w:hAnsi="Times New Roman"/>
          <w:bCs/>
          <w:iCs/>
          <w:sz w:val="22"/>
          <w:szCs w:val="22"/>
        </w:rPr>
        <w:t>.</w:t>
      </w:r>
    </w:p>
    <w:p w14:paraId="758507CA" w14:textId="6B9A82C9"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Organization of regional and international courses, exercises and/or events to strengthen cyber incident response capacity, facilitate the exchange of good practices and promote national, </w:t>
      </w:r>
      <w:proofErr w:type="gramStart"/>
      <w:r w:rsidRPr="000A6FD4">
        <w:rPr>
          <w:rFonts w:ascii="Times New Roman" w:hAnsi="Times New Roman"/>
          <w:bCs/>
          <w:iCs/>
          <w:sz w:val="22"/>
          <w:szCs w:val="22"/>
        </w:rPr>
        <w:t>regional</w:t>
      </w:r>
      <w:proofErr w:type="gramEnd"/>
      <w:r w:rsidRPr="000A6FD4">
        <w:rPr>
          <w:rFonts w:ascii="Times New Roman" w:hAnsi="Times New Roman"/>
          <w:bCs/>
          <w:iCs/>
          <w:sz w:val="22"/>
          <w:szCs w:val="22"/>
        </w:rPr>
        <w:t xml:space="preserve"> and international cooperation on cybersecurity, such as the Cybersecurity Summer Bootcamp, the International Cyber Ex, and the Cybersecurity Symposium and </w:t>
      </w:r>
      <w:r w:rsidR="00EF5528" w:rsidRPr="000A6FD4">
        <w:rPr>
          <w:rFonts w:ascii="Times New Roman" w:hAnsi="Times New Roman"/>
          <w:bCs/>
          <w:iCs/>
          <w:sz w:val="22"/>
          <w:szCs w:val="22"/>
        </w:rPr>
        <w:t xml:space="preserve">the </w:t>
      </w:r>
      <w:r w:rsidRPr="000A6FD4">
        <w:rPr>
          <w:rFonts w:ascii="Times New Roman" w:hAnsi="Times New Roman"/>
          <w:bCs/>
          <w:iCs/>
          <w:sz w:val="22"/>
          <w:szCs w:val="22"/>
        </w:rPr>
        <w:t>Global Cyber Expertise Forum (GFCE).</w:t>
      </w:r>
    </w:p>
    <w:p w14:paraId="0B88C7F9"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Implementation of initiatives aimed at the development of the cybersecurity workforce in Member States, including the professional development of young people from disadvantaged areas and the development of national cybersecurity education frameworks. </w:t>
      </w:r>
    </w:p>
    <w:p w14:paraId="196C5694"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Implementation of activities aimed at closing the gender gap in the cybersecurity agenda of the region, including the development of research, training programs and mentoring fairs.</w:t>
      </w:r>
    </w:p>
    <w:p w14:paraId="6C422B4D"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Implementation of activities aimed at providing practical tools to protect the digital identity, </w:t>
      </w:r>
      <w:proofErr w:type="gramStart"/>
      <w:r w:rsidRPr="000A6FD4">
        <w:rPr>
          <w:rFonts w:ascii="Times New Roman" w:hAnsi="Times New Roman"/>
          <w:bCs/>
          <w:iCs/>
          <w:sz w:val="22"/>
          <w:szCs w:val="22"/>
        </w:rPr>
        <w:t>privacy</w:t>
      </w:r>
      <w:proofErr w:type="gramEnd"/>
      <w:r w:rsidRPr="000A6FD4">
        <w:rPr>
          <w:rFonts w:ascii="Times New Roman" w:hAnsi="Times New Roman"/>
          <w:bCs/>
          <w:iCs/>
          <w:sz w:val="22"/>
          <w:szCs w:val="22"/>
        </w:rPr>
        <w:t xml:space="preserve"> and personal data of internet users in the Americas.</w:t>
      </w:r>
    </w:p>
    <w:p w14:paraId="41842A60"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Development of publications and/or technical documents to promote greater awareness of cybersecurity issues, including a new edition of the report on the state of cybersecurity in Latin America and the Caribbean, in collaboration with the Inter-American Development Bank. </w:t>
      </w:r>
    </w:p>
    <w:p w14:paraId="065A7307" w14:textId="77777777" w:rsidR="00E663FF" w:rsidRPr="000A6FD4" w:rsidRDefault="00E663FF" w:rsidP="00E663FF">
      <w:pPr>
        <w:pStyle w:val="ListParagraph"/>
        <w:rPr>
          <w:rFonts w:ascii="Times New Roman" w:hAnsi="Times New Roman"/>
          <w:bCs/>
          <w:iCs/>
          <w:sz w:val="22"/>
          <w:szCs w:val="22"/>
        </w:rPr>
      </w:pPr>
    </w:p>
    <w:p w14:paraId="56FB9853" w14:textId="77777777" w:rsidR="00DD76C7" w:rsidRPr="000A6FD4" w:rsidRDefault="00DD76C7" w:rsidP="00FE713F">
      <w:pPr>
        <w:jc w:val="both"/>
        <w:rPr>
          <w:b/>
          <w:bCs/>
          <w:i/>
          <w:iCs/>
          <w:sz w:val="22"/>
          <w:szCs w:val="22"/>
        </w:rPr>
      </w:pPr>
    </w:p>
    <w:p w14:paraId="0D0F9E9E" w14:textId="02E7C6BE" w:rsidR="00E904C1" w:rsidRPr="000A6FD4" w:rsidRDefault="00542904">
      <w:pPr>
        <w:pStyle w:val="ListParagraph"/>
        <w:numPr>
          <w:ilvl w:val="0"/>
          <w:numId w:val="11"/>
        </w:numPr>
        <w:ind w:hanging="720"/>
        <w:jc w:val="both"/>
        <w:rPr>
          <w:rFonts w:ascii="Times New Roman" w:hAnsi="Times New Roman"/>
          <w:sz w:val="22"/>
          <w:szCs w:val="22"/>
        </w:rPr>
      </w:pPr>
      <w:r w:rsidRPr="000A6FD4">
        <w:rPr>
          <w:rFonts w:ascii="Times New Roman" w:hAnsi="Times New Roman"/>
          <w:b/>
          <w:bCs/>
          <w:i/>
          <w:iCs/>
          <w:sz w:val="22"/>
          <w:szCs w:val="22"/>
        </w:rPr>
        <w:t>Disarmament and nonproliferation of weapons of mass destruction, including the implementation of United Nations Security Council resolution 1540 (2004)</w:t>
      </w:r>
    </w:p>
    <w:p w14:paraId="2B44CD8B" w14:textId="77777777" w:rsidR="00FE713F" w:rsidRPr="000A6FD4" w:rsidRDefault="00FE713F" w:rsidP="00FE713F">
      <w:pPr>
        <w:jc w:val="both"/>
        <w:rPr>
          <w:sz w:val="22"/>
          <w:szCs w:val="22"/>
          <w:u w:val="single"/>
        </w:rPr>
      </w:pPr>
    </w:p>
    <w:p w14:paraId="098E258A" w14:textId="77777777" w:rsidR="00E904C1" w:rsidRPr="000A6FD4" w:rsidRDefault="00542904">
      <w:pPr>
        <w:jc w:val="both"/>
        <w:rPr>
          <w:sz w:val="22"/>
          <w:szCs w:val="22"/>
        </w:rPr>
      </w:pPr>
      <w:r w:rsidRPr="000A6FD4">
        <w:rPr>
          <w:sz w:val="22"/>
          <w:szCs w:val="22"/>
          <w:u w:val="single"/>
        </w:rPr>
        <w:t>Purposes</w:t>
      </w:r>
      <w:r w:rsidRPr="000A6FD4">
        <w:rPr>
          <w:sz w:val="22"/>
          <w:szCs w:val="22"/>
        </w:rPr>
        <w:t>:</w:t>
      </w:r>
    </w:p>
    <w:p w14:paraId="2D42E305" w14:textId="77777777" w:rsidR="00FE713F" w:rsidRPr="000A6FD4" w:rsidRDefault="00FE713F" w:rsidP="00FE713F">
      <w:pPr>
        <w:jc w:val="both"/>
        <w:rPr>
          <w:sz w:val="22"/>
          <w:szCs w:val="22"/>
        </w:rPr>
      </w:pPr>
    </w:p>
    <w:p w14:paraId="7A0C0005" w14:textId="2FFC2E8D" w:rsidR="00E904C1" w:rsidRPr="000A6FD4" w:rsidRDefault="00542904">
      <w:pPr>
        <w:jc w:val="both"/>
        <w:rPr>
          <w:bCs/>
          <w:iCs/>
          <w:sz w:val="22"/>
          <w:szCs w:val="22"/>
        </w:rPr>
      </w:pPr>
      <w:bookmarkStart w:id="0" w:name="_Hlk77172165"/>
      <w:r w:rsidRPr="000A6FD4">
        <w:rPr>
          <w:bCs/>
          <w:iCs/>
          <w:sz w:val="22"/>
          <w:szCs w:val="22"/>
        </w:rPr>
        <w:t xml:space="preserve">Promote a universal, </w:t>
      </w:r>
      <w:r w:rsidR="00EF5528" w:rsidRPr="000A6FD4">
        <w:rPr>
          <w:bCs/>
          <w:iCs/>
          <w:sz w:val="22"/>
          <w:szCs w:val="22"/>
        </w:rPr>
        <w:t xml:space="preserve">legitimate, </w:t>
      </w:r>
      <w:r w:rsidRPr="000A6FD4">
        <w:rPr>
          <w:bCs/>
          <w:iCs/>
          <w:sz w:val="22"/>
          <w:szCs w:val="22"/>
        </w:rPr>
        <w:t xml:space="preserve">and non-discriminatory regime for the disarmament and non-proliferation of nuclear, </w:t>
      </w:r>
      <w:proofErr w:type="gramStart"/>
      <w:r w:rsidRPr="000A6FD4">
        <w:rPr>
          <w:bCs/>
          <w:iCs/>
          <w:sz w:val="22"/>
          <w:szCs w:val="22"/>
        </w:rPr>
        <w:t>chemical</w:t>
      </w:r>
      <w:proofErr w:type="gramEnd"/>
      <w:r w:rsidRPr="000A6FD4">
        <w:rPr>
          <w:bCs/>
          <w:iCs/>
          <w:sz w:val="22"/>
          <w:szCs w:val="22"/>
        </w:rPr>
        <w:t xml:space="preserve"> and biological weapons and their means of delivery, and in particular support Member States in the effective implementation of United Nations Security Council resolution 1540 (2004) through technical and legislative </w:t>
      </w:r>
      <w:bookmarkEnd w:id="0"/>
      <w:r w:rsidRPr="000A6FD4">
        <w:rPr>
          <w:bCs/>
          <w:iCs/>
          <w:sz w:val="22"/>
          <w:szCs w:val="22"/>
        </w:rPr>
        <w:t>assistance.</w:t>
      </w:r>
    </w:p>
    <w:p w14:paraId="3969AB6A" w14:textId="77777777" w:rsidR="00FE713F" w:rsidRPr="000A6FD4" w:rsidRDefault="00FE713F" w:rsidP="00FE713F">
      <w:pPr>
        <w:jc w:val="both"/>
        <w:rPr>
          <w:rFonts w:eastAsia="Calibri"/>
          <w:sz w:val="22"/>
          <w:szCs w:val="22"/>
          <w:u w:val="single"/>
        </w:rPr>
      </w:pPr>
    </w:p>
    <w:p w14:paraId="25E1D50E" w14:textId="77777777" w:rsidR="00E904C1" w:rsidRPr="000A6FD4" w:rsidRDefault="00542904">
      <w:pPr>
        <w:jc w:val="both"/>
        <w:rPr>
          <w:bCs/>
          <w:iCs/>
          <w:sz w:val="22"/>
          <w:szCs w:val="22"/>
          <w:lang w:val="es-ES"/>
        </w:rPr>
      </w:pPr>
      <w:r w:rsidRPr="000A6FD4">
        <w:rPr>
          <w:rFonts w:eastAsia="Calibri"/>
          <w:sz w:val="22"/>
          <w:szCs w:val="22"/>
          <w:u w:val="single"/>
        </w:rPr>
        <w:t>Proposed activities</w:t>
      </w:r>
      <w:r w:rsidRPr="000A6FD4">
        <w:rPr>
          <w:bCs/>
          <w:iCs/>
          <w:sz w:val="22"/>
          <w:szCs w:val="22"/>
        </w:rPr>
        <w:t>:</w:t>
      </w:r>
    </w:p>
    <w:p w14:paraId="63B741DE" w14:textId="77777777" w:rsidR="00FE713F" w:rsidRPr="000A6FD4" w:rsidRDefault="00FE713F" w:rsidP="00FE713F">
      <w:pPr>
        <w:jc w:val="both"/>
        <w:rPr>
          <w:bCs/>
          <w:iCs/>
          <w:sz w:val="22"/>
          <w:szCs w:val="22"/>
          <w:lang w:val="es-ES"/>
        </w:rPr>
      </w:pPr>
    </w:p>
    <w:p w14:paraId="0866BBF1" w14:textId="34F05488" w:rsidR="00E904C1" w:rsidRPr="000A6FD4" w:rsidRDefault="00EF5528">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Organization of o</w:t>
      </w:r>
      <w:r w:rsidR="00542904" w:rsidRPr="000A6FD4">
        <w:rPr>
          <w:rFonts w:ascii="Times New Roman" w:hAnsi="Times New Roman"/>
          <w:sz w:val="22"/>
          <w:szCs w:val="22"/>
        </w:rPr>
        <w:t>utreach activities (</w:t>
      </w:r>
      <w:r w:rsidRPr="000A6FD4">
        <w:rPr>
          <w:rFonts w:ascii="Times New Roman" w:hAnsi="Times New Roman"/>
          <w:sz w:val="22"/>
          <w:szCs w:val="22"/>
        </w:rPr>
        <w:t xml:space="preserve">awareness of </w:t>
      </w:r>
      <w:r w:rsidR="00542904" w:rsidRPr="000A6FD4">
        <w:rPr>
          <w:rFonts w:ascii="Times New Roman" w:hAnsi="Times New Roman"/>
          <w:sz w:val="22"/>
          <w:szCs w:val="22"/>
        </w:rPr>
        <w:t xml:space="preserve">nonproliferation of weapons of mass destruction, threats, international </w:t>
      </w:r>
      <w:proofErr w:type="gramStart"/>
      <w:r w:rsidR="00542904" w:rsidRPr="000A6FD4">
        <w:rPr>
          <w:rFonts w:ascii="Times New Roman" w:hAnsi="Times New Roman"/>
          <w:sz w:val="22"/>
          <w:szCs w:val="22"/>
        </w:rPr>
        <w:t>instruments</w:t>
      </w:r>
      <w:proofErr w:type="gramEnd"/>
      <w:r w:rsidR="00542904" w:rsidRPr="000A6FD4">
        <w:rPr>
          <w:rFonts w:ascii="Times New Roman" w:hAnsi="Times New Roman"/>
          <w:sz w:val="22"/>
          <w:szCs w:val="22"/>
        </w:rPr>
        <w:t xml:space="preserve"> and obligations, among others). </w:t>
      </w:r>
    </w:p>
    <w:p w14:paraId="6844BB4E" w14:textId="00D7478F"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Strengthening the network of </w:t>
      </w:r>
      <w:r w:rsidR="00EF5528" w:rsidRPr="000A6FD4">
        <w:rPr>
          <w:rFonts w:ascii="Times New Roman" w:hAnsi="Times New Roman"/>
          <w:bCs/>
          <w:iCs/>
          <w:sz w:val="22"/>
          <w:szCs w:val="22"/>
        </w:rPr>
        <w:t xml:space="preserve">1540 (2004) </w:t>
      </w:r>
      <w:r w:rsidR="005E73BE" w:rsidRPr="000A6FD4">
        <w:rPr>
          <w:rFonts w:ascii="Times New Roman" w:hAnsi="Times New Roman"/>
          <w:bCs/>
          <w:iCs/>
          <w:sz w:val="22"/>
          <w:szCs w:val="22"/>
        </w:rPr>
        <w:t>regional points of contact.</w:t>
      </w:r>
    </w:p>
    <w:p w14:paraId="2FD2865D"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Training for government officials, laboratory personnel, life sciences scientists, and academics in biosafety and biosecurity through two massive open online courses (MOOCs) that will be available to all Spanish-speaking countries in the region. </w:t>
      </w:r>
    </w:p>
    <w:p w14:paraId="487844C4" w14:textId="77777777" w:rsidR="00EF5528" w:rsidRPr="000A6FD4" w:rsidRDefault="00EF5528">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Carry out research on </w:t>
      </w:r>
      <w:r w:rsidR="00542904" w:rsidRPr="000A6FD4">
        <w:rPr>
          <w:rFonts w:ascii="Times New Roman" w:hAnsi="Times New Roman"/>
          <w:sz w:val="22"/>
          <w:szCs w:val="22"/>
        </w:rPr>
        <w:t xml:space="preserve">biosecurity </w:t>
      </w:r>
      <w:r w:rsidRPr="000A6FD4">
        <w:rPr>
          <w:rFonts w:ascii="Times New Roman" w:hAnsi="Times New Roman"/>
          <w:sz w:val="22"/>
          <w:szCs w:val="22"/>
        </w:rPr>
        <w:t xml:space="preserve">threats </w:t>
      </w:r>
      <w:r w:rsidR="00542904" w:rsidRPr="000A6FD4">
        <w:rPr>
          <w:rFonts w:ascii="Times New Roman" w:hAnsi="Times New Roman"/>
          <w:sz w:val="22"/>
          <w:szCs w:val="22"/>
        </w:rPr>
        <w:t xml:space="preserve">in the region, </w:t>
      </w:r>
      <w:r w:rsidRPr="000A6FD4">
        <w:rPr>
          <w:rFonts w:ascii="Times New Roman" w:hAnsi="Times New Roman"/>
          <w:sz w:val="22"/>
          <w:szCs w:val="22"/>
        </w:rPr>
        <w:t xml:space="preserve">using </w:t>
      </w:r>
      <w:r w:rsidR="00542904" w:rsidRPr="000A6FD4">
        <w:rPr>
          <w:rFonts w:ascii="Times New Roman" w:hAnsi="Times New Roman"/>
          <w:sz w:val="22"/>
          <w:szCs w:val="22"/>
        </w:rPr>
        <w:t>specific cases.</w:t>
      </w:r>
    </w:p>
    <w:p w14:paraId="3A796E42" w14:textId="3B5F0CBB"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bCs/>
          <w:sz w:val="22"/>
          <w:szCs w:val="22"/>
        </w:rPr>
        <w:t xml:space="preserve">Legislative assistance for strengthening internal regulatory frameworks in line with resolution 1540 (2004). </w:t>
      </w:r>
    </w:p>
    <w:p w14:paraId="5F87B6F6" w14:textId="366C2E60"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bCs/>
          <w:sz w:val="22"/>
          <w:szCs w:val="22"/>
        </w:rPr>
        <w:t xml:space="preserve">National </w:t>
      </w:r>
      <w:r w:rsidRPr="000A6FD4">
        <w:rPr>
          <w:rFonts w:ascii="Times New Roman" w:hAnsi="Times New Roman"/>
          <w:bCs/>
          <w:iCs/>
          <w:sz w:val="22"/>
          <w:szCs w:val="22"/>
        </w:rPr>
        <w:t xml:space="preserve">biosafety and biosecurity </w:t>
      </w:r>
      <w:r w:rsidR="005E73BE" w:rsidRPr="000A6FD4">
        <w:rPr>
          <w:rFonts w:ascii="Times New Roman" w:hAnsi="Times New Roman"/>
          <w:bCs/>
          <w:iCs/>
          <w:sz w:val="22"/>
          <w:szCs w:val="22"/>
        </w:rPr>
        <w:t xml:space="preserve">training </w:t>
      </w:r>
      <w:r w:rsidRPr="000A6FD4">
        <w:rPr>
          <w:rFonts w:ascii="Times New Roman" w:hAnsi="Times New Roman"/>
          <w:bCs/>
          <w:iCs/>
          <w:sz w:val="22"/>
          <w:szCs w:val="22"/>
        </w:rPr>
        <w:t>for laboratory personnel.</w:t>
      </w:r>
    </w:p>
    <w:p w14:paraId="7482E52A" w14:textId="628465AF"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bCs/>
          <w:sz w:val="22"/>
          <w:szCs w:val="22"/>
        </w:rPr>
        <w:t xml:space="preserve">Peer review exercises. </w:t>
      </w:r>
    </w:p>
    <w:p w14:paraId="5C9E6861" w14:textId="77777777" w:rsidR="00E904C1" w:rsidRPr="000A6FD4" w:rsidRDefault="00542904">
      <w:pPr>
        <w:pStyle w:val="ListParagraph"/>
        <w:numPr>
          <w:ilvl w:val="0"/>
          <w:numId w:val="12"/>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Public and customs sector awareness on safeguards for the safe use, </w:t>
      </w:r>
      <w:proofErr w:type="gramStart"/>
      <w:r w:rsidRPr="000A6FD4">
        <w:rPr>
          <w:rFonts w:ascii="Times New Roman" w:eastAsia="Times New Roman" w:hAnsi="Times New Roman"/>
          <w:sz w:val="22"/>
          <w:szCs w:val="22"/>
        </w:rPr>
        <w:t>storage</w:t>
      </w:r>
      <w:proofErr w:type="gramEnd"/>
      <w:r w:rsidRPr="000A6FD4">
        <w:rPr>
          <w:rFonts w:ascii="Times New Roman" w:eastAsia="Times New Roman" w:hAnsi="Times New Roman"/>
          <w:sz w:val="22"/>
          <w:szCs w:val="22"/>
        </w:rPr>
        <w:t xml:space="preserve"> and transport of chemical and toxic materials in the strategic trade regime. </w:t>
      </w:r>
    </w:p>
    <w:p w14:paraId="44172F46" w14:textId="3DD5E90A"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eastAsia="Times New Roman" w:hAnsi="Times New Roman"/>
          <w:sz w:val="22"/>
          <w:szCs w:val="22"/>
        </w:rPr>
        <w:t xml:space="preserve">Technical and legislative assistance for the strengthening of effective measures </w:t>
      </w:r>
      <w:r w:rsidR="005E73BE" w:rsidRPr="000A6FD4">
        <w:rPr>
          <w:rFonts w:ascii="Times New Roman" w:eastAsia="Times New Roman" w:hAnsi="Times New Roman"/>
          <w:sz w:val="22"/>
          <w:szCs w:val="22"/>
        </w:rPr>
        <w:t xml:space="preserve">to secure </w:t>
      </w:r>
      <w:r w:rsidRPr="000A6FD4">
        <w:rPr>
          <w:rFonts w:ascii="Times New Roman" w:eastAsia="Times New Roman" w:hAnsi="Times New Roman"/>
          <w:sz w:val="22"/>
          <w:szCs w:val="22"/>
        </w:rPr>
        <w:t>chemicals and toxins in the strategic trade regime.</w:t>
      </w:r>
    </w:p>
    <w:p w14:paraId="487D68B2"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lastRenderedPageBreak/>
        <w:t>Technical publications on topics of relevance to the region.</w:t>
      </w:r>
    </w:p>
    <w:p w14:paraId="0E264D75" w14:textId="56E2C0DA"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Public and private sector awareness on emerging semiconductor-associated technologies in the strategic trade regime. </w:t>
      </w:r>
    </w:p>
    <w:p w14:paraId="6E763E58" w14:textId="77777777" w:rsidR="50AC6867" w:rsidRPr="000A6FD4" w:rsidRDefault="50AC6867" w:rsidP="009674AE">
      <w:pPr>
        <w:jc w:val="both"/>
        <w:rPr>
          <w:sz w:val="22"/>
          <w:szCs w:val="22"/>
        </w:rPr>
      </w:pPr>
    </w:p>
    <w:p w14:paraId="4942A2B1" w14:textId="77777777" w:rsidR="00FE713F" w:rsidRPr="000A6FD4" w:rsidRDefault="00FE713F" w:rsidP="00FE713F">
      <w:pPr>
        <w:pStyle w:val="ListParagraph"/>
        <w:ind w:left="0"/>
        <w:jc w:val="both"/>
        <w:rPr>
          <w:rFonts w:ascii="Times New Roman" w:hAnsi="Times New Roman"/>
          <w:b/>
          <w:bCs/>
          <w:i/>
          <w:iCs/>
          <w:sz w:val="22"/>
          <w:szCs w:val="22"/>
        </w:rPr>
      </w:pPr>
    </w:p>
    <w:p w14:paraId="1C68295C" w14:textId="77777777" w:rsidR="00E904C1" w:rsidRPr="000A6FD4" w:rsidRDefault="00542904">
      <w:pPr>
        <w:pStyle w:val="ListParagraph"/>
        <w:numPr>
          <w:ilvl w:val="0"/>
          <w:numId w:val="11"/>
        </w:numPr>
        <w:ind w:left="0" w:firstLine="0"/>
        <w:jc w:val="both"/>
        <w:rPr>
          <w:rFonts w:ascii="Times New Roman" w:hAnsi="Times New Roman"/>
          <w:b/>
          <w:bCs/>
          <w:i/>
          <w:iCs/>
          <w:sz w:val="22"/>
          <w:szCs w:val="22"/>
        </w:rPr>
      </w:pPr>
      <w:r w:rsidRPr="000A6FD4">
        <w:rPr>
          <w:rFonts w:ascii="Times New Roman" w:hAnsi="Times New Roman"/>
          <w:b/>
          <w:bCs/>
          <w:i/>
          <w:iCs/>
          <w:sz w:val="22"/>
          <w:szCs w:val="22"/>
        </w:rPr>
        <w:t xml:space="preserve">Security of air, </w:t>
      </w:r>
      <w:proofErr w:type="gramStart"/>
      <w:r w:rsidRPr="000A6FD4">
        <w:rPr>
          <w:rFonts w:ascii="Times New Roman" w:hAnsi="Times New Roman"/>
          <w:b/>
          <w:bCs/>
          <w:i/>
          <w:iCs/>
          <w:sz w:val="22"/>
          <w:szCs w:val="22"/>
        </w:rPr>
        <w:t>land</w:t>
      </w:r>
      <w:proofErr w:type="gramEnd"/>
      <w:r w:rsidRPr="000A6FD4">
        <w:rPr>
          <w:rFonts w:ascii="Times New Roman" w:hAnsi="Times New Roman"/>
          <w:b/>
          <w:bCs/>
          <w:i/>
          <w:iCs/>
          <w:sz w:val="22"/>
          <w:szCs w:val="22"/>
        </w:rPr>
        <w:t xml:space="preserve"> and sea borders</w:t>
      </w:r>
    </w:p>
    <w:p w14:paraId="630765B8" w14:textId="77777777" w:rsidR="00FE713F" w:rsidRPr="000A6FD4" w:rsidRDefault="00FE713F" w:rsidP="00FE713F">
      <w:pPr>
        <w:jc w:val="both"/>
        <w:rPr>
          <w:sz w:val="22"/>
          <w:szCs w:val="22"/>
        </w:rPr>
      </w:pPr>
    </w:p>
    <w:p w14:paraId="2DD61FA2" w14:textId="277E541E" w:rsidR="00E904C1" w:rsidRPr="000A6FD4" w:rsidRDefault="00542904">
      <w:pPr>
        <w:jc w:val="both"/>
        <w:rPr>
          <w:b/>
          <w:bCs/>
          <w:sz w:val="22"/>
          <w:szCs w:val="22"/>
        </w:rPr>
      </w:pPr>
      <w:r w:rsidRPr="000A6FD4">
        <w:rPr>
          <w:b/>
          <w:bCs/>
          <w:sz w:val="22"/>
          <w:szCs w:val="22"/>
        </w:rPr>
        <w:t xml:space="preserve">Maritime </w:t>
      </w:r>
      <w:r w:rsidR="005E73BE" w:rsidRPr="000A6FD4">
        <w:rPr>
          <w:b/>
          <w:bCs/>
          <w:sz w:val="22"/>
          <w:szCs w:val="22"/>
        </w:rPr>
        <w:t>security</w:t>
      </w:r>
    </w:p>
    <w:p w14:paraId="0A8850E3" w14:textId="77777777" w:rsidR="00FE713F" w:rsidRPr="000A6FD4" w:rsidRDefault="00FE713F" w:rsidP="00FE713F">
      <w:pPr>
        <w:jc w:val="both"/>
        <w:rPr>
          <w:rFonts w:eastAsia="Calibri"/>
          <w:sz w:val="22"/>
          <w:szCs w:val="22"/>
          <w:u w:val="single"/>
        </w:rPr>
      </w:pPr>
    </w:p>
    <w:p w14:paraId="2A93CF6F" w14:textId="77777777" w:rsidR="00E904C1" w:rsidRPr="000A6FD4" w:rsidRDefault="00542904">
      <w:pPr>
        <w:jc w:val="both"/>
        <w:rPr>
          <w:rFonts w:eastAsia="Calibri"/>
          <w:b/>
          <w:bCs/>
          <w:sz w:val="22"/>
          <w:szCs w:val="22"/>
        </w:rPr>
      </w:pPr>
      <w:r w:rsidRPr="000A6FD4">
        <w:rPr>
          <w:rFonts w:eastAsia="Calibri"/>
          <w:sz w:val="22"/>
          <w:szCs w:val="22"/>
          <w:u w:val="single"/>
        </w:rPr>
        <w:t>Purpose</w:t>
      </w:r>
      <w:r w:rsidRPr="000A6FD4">
        <w:rPr>
          <w:rFonts w:eastAsia="Calibri"/>
          <w:b/>
          <w:bCs/>
          <w:sz w:val="22"/>
          <w:szCs w:val="22"/>
        </w:rPr>
        <w:t xml:space="preserve">: </w:t>
      </w:r>
    </w:p>
    <w:p w14:paraId="0389AD4B" w14:textId="77777777" w:rsidR="00FE713F" w:rsidRPr="000A6FD4" w:rsidRDefault="00FE713F" w:rsidP="00FE713F">
      <w:pPr>
        <w:jc w:val="both"/>
        <w:rPr>
          <w:rFonts w:eastAsia="Calibri"/>
          <w:b/>
          <w:bCs/>
          <w:sz w:val="22"/>
          <w:szCs w:val="22"/>
        </w:rPr>
      </w:pPr>
    </w:p>
    <w:p w14:paraId="53C9D329" w14:textId="32F933C0" w:rsidR="00E904C1" w:rsidRPr="000A6FD4" w:rsidRDefault="00542904">
      <w:pPr>
        <w:jc w:val="both"/>
        <w:rPr>
          <w:rFonts w:eastAsia="Calibri"/>
          <w:b/>
          <w:bCs/>
          <w:sz w:val="22"/>
          <w:szCs w:val="22"/>
        </w:rPr>
      </w:pPr>
      <w:r w:rsidRPr="000A6FD4">
        <w:rPr>
          <w:rFonts w:eastAsia="Calibri"/>
          <w:sz w:val="22"/>
          <w:szCs w:val="22"/>
        </w:rPr>
        <w:t xml:space="preserve">Support Member States in strengthening maritime and port security capacities through specialized activities at </w:t>
      </w:r>
      <w:r w:rsidR="005E73BE" w:rsidRPr="000A6FD4">
        <w:rPr>
          <w:rFonts w:eastAsia="Calibri"/>
          <w:sz w:val="22"/>
          <w:szCs w:val="22"/>
        </w:rPr>
        <w:t xml:space="preserve">the </w:t>
      </w:r>
      <w:r w:rsidRPr="000A6FD4">
        <w:rPr>
          <w:rFonts w:eastAsia="Calibri"/>
          <w:sz w:val="22"/>
          <w:szCs w:val="22"/>
        </w:rPr>
        <w:t>national and regional levels, in close coordination with other specialized international agencies such as the International Maritime Organization.</w:t>
      </w:r>
    </w:p>
    <w:p w14:paraId="00B6BF97" w14:textId="77777777" w:rsidR="00FE713F" w:rsidRPr="000A6FD4" w:rsidRDefault="00FE713F" w:rsidP="00FE713F">
      <w:pPr>
        <w:jc w:val="both"/>
        <w:rPr>
          <w:rFonts w:eastAsia="Calibri"/>
          <w:sz w:val="22"/>
          <w:szCs w:val="22"/>
          <w:u w:val="single"/>
        </w:rPr>
      </w:pPr>
    </w:p>
    <w:p w14:paraId="7DE0A259" w14:textId="77777777" w:rsidR="00E904C1" w:rsidRPr="000A6FD4" w:rsidRDefault="00542904">
      <w:pPr>
        <w:jc w:val="both"/>
        <w:rPr>
          <w:rFonts w:eastAsia="Calibri"/>
          <w:sz w:val="22"/>
          <w:szCs w:val="22"/>
          <w:u w:val="single"/>
          <w:lang w:val="es-ES"/>
        </w:rPr>
      </w:pPr>
      <w:r w:rsidRPr="000A6FD4">
        <w:rPr>
          <w:rFonts w:eastAsia="Calibri"/>
          <w:sz w:val="22"/>
          <w:szCs w:val="22"/>
          <w:u w:val="single"/>
        </w:rPr>
        <w:t>Proposed activities:</w:t>
      </w:r>
    </w:p>
    <w:p w14:paraId="2DC12DC4" w14:textId="77777777" w:rsidR="00FE713F" w:rsidRPr="000A6FD4" w:rsidRDefault="00FE713F" w:rsidP="00FE713F">
      <w:pPr>
        <w:jc w:val="both"/>
        <w:rPr>
          <w:rFonts w:eastAsia="Calibri"/>
          <w:b/>
          <w:bCs/>
          <w:sz w:val="22"/>
          <w:szCs w:val="22"/>
          <w:lang w:val="es-ES"/>
        </w:rPr>
      </w:pPr>
    </w:p>
    <w:p w14:paraId="670579C3" w14:textId="38F711DC"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Support the development and implementation of maritime security strategies, at </w:t>
      </w:r>
      <w:r w:rsidR="005E73BE" w:rsidRPr="000A6FD4">
        <w:rPr>
          <w:rFonts w:ascii="Times New Roman" w:hAnsi="Times New Roman"/>
          <w:sz w:val="22"/>
          <w:szCs w:val="22"/>
        </w:rPr>
        <w:t xml:space="preserve">the </w:t>
      </w:r>
      <w:r w:rsidRPr="000A6FD4">
        <w:rPr>
          <w:rFonts w:ascii="Times New Roman" w:hAnsi="Times New Roman"/>
          <w:sz w:val="22"/>
          <w:szCs w:val="22"/>
        </w:rPr>
        <w:t>national and subregional levels.</w:t>
      </w:r>
    </w:p>
    <w:p w14:paraId="581D2B92" w14:textId="6776DA41"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Facilitat</w:t>
      </w:r>
      <w:r w:rsidR="005E73BE" w:rsidRPr="000A6FD4">
        <w:rPr>
          <w:rFonts w:ascii="Times New Roman" w:hAnsi="Times New Roman"/>
          <w:sz w:val="22"/>
          <w:szCs w:val="22"/>
        </w:rPr>
        <w:t xml:space="preserve">e </w:t>
      </w:r>
      <w:r w:rsidRPr="000A6FD4">
        <w:rPr>
          <w:rFonts w:ascii="Times New Roman" w:hAnsi="Times New Roman"/>
          <w:sz w:val="22"/>
          <w:szCs w:val="22"/>
        </w:rPr>
        <w:t>the exchange of information, good practices and international cooperation between governments, the private sector and civil society, as well as with other international and regional organizations in the field of maritime and port security.</w:t>
      </w:r>
    </w:p>
    <w:p w14:paraId="721D51EF"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Organization of national, </w:t>
      </w:r>
      <w:proofErr w:type="gramStart"/>
      <w:r w:rsidRPr="000A6FD4">
        <w:rPr>
          <w:rFonts w:ascii="Times New Roman" w:hAnsi="Times New Roman"/>
          <w:sz w:val="22"/>
          <w:szCs w:val="22"/>
        </w:rPr>
        <w:t>subregional</w:t>
      </w:r>
      <w:proofErr w:type="gramEnd"/>
      <w:r w:rsidRPr="000A6FD4">
        <w:rPr>
          <w:rFonts w:ascii="Times New Roman" w:hAnsi="Times New Roman"/>
          <w:sz w:val="22"/>
          <w:szCs w:val="22"/>
        </w:rPr>
        <w:t xml:space="preserve"> and regional workshops and conferences on a wide range of maritime security topics, including the development of maritime security committees, maritime risk assessments at the national level, and the development of maritime security strategies.</w:t>
      </w:r>
    </w:p>
    <w:p w14:paraId="69DD2C1E" w14:textId="5345022A"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Implementation of initiatives aimed at reducing the </w:t>
      </w:r>
      <w:r w:rsidR="005E73BE" w:rsidRPr="000A6FD4">
        <w:rPr>
          <w:rFonts w:ascii="Times New Roman" w:hAnsi="Times New Roman"/>
          <w:sz w:val="22"/>
          <w:szCs w:val="22"/>
        </w:rPr>
        <w:t xml:space="preserve">gender </w:t>
      </w:r>
      <w:r w:rsidRPr="000A6FD4">
        <w:rPr>
          <w:rFonts w:ascii="Times New Roman" w:hAnsi="Times New Roman"/>
          <w:sz w:val="22"/>
          <w:szCs w:val="22"/>
        </w:rPr>
        <w:t>gap in the maritime sector.</w:t>
      </w:r>
    </w:p>
    <w:p w14:paraId="64F2631F" w14:textId="00197711"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Preparation and dissemination of reports on regional trends and </w:t>
      </w:r>
      <w:r w:rsidR="005E73BE" w:rsidRPr="000A6FD4">
        <w:rPr>
          <w:rFonts w:ascii="Times New Roman" w:hAnsi="Times New Roman"/>
          <w:sz w:val="22"/>
          <w:szCs w:val="22"/>
        </w:rPr>
        <w:t xml:space="preserve">challenges </w:t>
      </w:r>
      <w:r w:rsidRPr="000A6FD4">
        <w:rPr>
          <w:rFonts w:ascii="Times New Roman" w:hAnsi="Times New Roman"/>
          <w:sz w:val="22"/>
          <w:szCs w:val="22"/>
        </w:rPr>
        <w:t xml:space="preserve">in maritime and port security, including port facility security. </w:t>
      </w:r>
    </w:p>
    <w:p w14:paraId="41D18F80" w14:textId="77777777" w:rsidR="00FE713F" w:rsidRPr="000A6FD4" w:rsidRDefault="00FE713F" w:rsidP="00294EF8">
      <w:pPr>
        <w:jc w:val="both"/>
        <w:rPr>
          <w:color w:val="000000" w:themeColor="text1"/>
          <w:sz w:val="22"/>
          <w:szCs w:val="22"/>
        </w:rPr>
      </w:pPr>
    </w:p>
    <w:p w14:paraId="1F7B0947" w14:textId="0012A4FF" w:rsidR="00E904C1" w:rsidRPr="000A6FD4" w:rsidRDefault="00542904">
      <w:pPr>
        <w:jc w:val="both"/>
        <w:rPr>
          <w:color w:val="000000" w:themeColor="text1"/>
          <w:sz w:val="22"/>
          <w:szCs w:val="22"/>
        </w:rPr>
      </w:pPr>
      <w:r w:rsidRPr="000A6FD4">
        <w:rPr>
          <w:b/>
          <w:bCs/>
          <w:color w:val="000000" w:themeColor="text1"/>
          <w:sz w:val="22"/>
          <w:szCs w:val="22"/>
        </w:rPr>
        <w:t>Aviation S</w:t>
      </w:r>
      <w:r w:rsidR="005E73BE" w:rsidRPr="000A6FD4">
        <w:rPr>
          <w:b/>
          <w:bCs/>
          <w:color w:val="000000" w:themeColor="text1"/>
          <w:sz w:val="22"/>
          <w:szCs w:val="22"/>
        </w:rPr>
        <w:t>ecurity</w:t>
      </w:r>
      <w:r w:rsidRPr="000A6FD4">
        <w:rPr>
          <w:b/>
          <w:bCs/>
          <w:color w:val="000000" w:themeColor="text1"/>
          <w:sz w:val="22"/>
          <w:szCs w:val="22"/>
        </w:rPr>
        <w:t xml:space="preserve"> </w:t>
      </w:r>
    </w:p>
    <w:p w14:paraId="4E1FB239" w14:textId="77777777" w:rsidR="00FE713F" w:rsidRPr="000A6FD4" w:rsidRDefault="00FE713F" w:rsidP="4A7240B3">
      <w:pPr>
        <w:jc w:val="both"/>
        <w:rPr>
          <w:color w:val="000000" w:themeColor="text1"/>
          <w:sz w:val="22"/>
          <w:szCs w:val="22"/>
        </w:rPr>
      </w:pPr>
    </w:p>
    <w:p w14:paraId="31050ED9" w14:textId="77777777" w:rsidR="00E904C1" w:rsidRPr="000A6FD4" w:rsidRDefault="00542904">
      <w:pPr>
        <w:jc w:val="both"/>
        <w:rPr>
          <w:color w:val="000000" w:themeColor="text1"/>
          <w:sz w:val="22"/>
          <w:szCs w:val="22"/>
        </w:rPr>
      </w:pPr>
      <w:r w:rsidRPr="000A6FD4">
        <w:rPr>
          <w:color w:val="000000" w:themeColor="text1"/>
          <w:sz w:val="22"/>
          <w:szCs w:val="22"/>
          <w:u w:val="single"/>
        </w:rPr>
        <w:t>Purpose</w:t>
      </w:r>
      <w:r w:rsidRPr="000A6FD4">
        <w:rPr>
          <w:b/>
          <w:bCs/>
          <w:color w:val="000000" w:themeColor="text1"/>
          <w:sz w:val="22"/>
          <w:szCs w:val="22"/>
        </w:rPr>
        <w:t>:</w:t>
      </w:r>
    </w:p>
    <w:p w14:paraId="2A176204" w14:textId="77777777" w:rsidR="00FE713F" w:rsidRPr="000A6FD4" w:rsidRDefault="00FE713F" w:rsidP="4A7240B3">
      <w:pPr>
        <w:jc w:val="both"/>
        <w:rPr>
          <w:color w:val="000000" w:themeColor="text1"/>
          <w:sz w:val="22"/>
          <w:szCs w:val="22"/>
        </w:rPr>
      </w:pPr>
    </w:p>
    <w:p w14:paraId="5E17FC5B" w14:textId="1D0B14B0" w:rsidR="00E904C1" w:rsidRPr="000A6FD4" w:rsidRDefault="00542904">
      <w:pPr>
        <w:jc w:val="both"/>
        <w:rPr>
          <w:color w:val="000000" w:themeColor="text1"/>
          <w:sz w:val="22"/>
          <w:szCs w:val="22"/>
        </w:rPr>
      </w:pPr>
      <w:r w:rsidRPr="000A6FD4">
        <w:rPr>
          <w:color w:val="000000" w:themeColor="text1"/>
          <w:sz w:val="22"/>
          <w:szCs w:val="22"/>
        </w:rPr>
        <w:t xml:space="preserve">Support </w:t>
      </w:r>
      <w:r w:rsidR="005E73BE" w:rsidRPr="000A6FD4">
        <w:rPr>
          <w:color w:val="000000" w:themeColor="text1"/>
          <w:sz w:val="22"/>
          <w:szCs w:val="22"/>
        </w:rPr>
        <w:t xml:space="preserve">the strengthening of institutional </w:t>
      </w:r>
      <w:r w:rsidRPr="000A6FD4">
        <w:rPr>
          <w:color w:val="000000" w:themeColor="text1"/>
          <w:sz w:val="22"/>
          <w:szCs w:val="22"/>
        </w:rPr>
        <w:t xml:space="preserve">capacity to comply with standards and practices recommended by the International Civil Aviation Organization (ICAO), the International Civil Aviation Convention, especially Annex 17 – Security: protection of international civil aviation against acts of unlawful interference, and other recommendations to protect international civil aviation from possible acts of terrorism. </w:t>
      </w:r>
    </w:p>
    <w:p w14:paraId="59392525" w14:textId="77777777" w:rsidR="00D442EC" w:rsidRPr="000A6FD4" w:rsidRDefault="00D442EC" w:rsidP="4A7240B3">
      <w:pPr>
        <w:jc w:val="both"/>
        <w:rPr>
          <w:color w:val="000000" w:themeColor="text1"/>
          <w:sz w:val="22"/>
          <w:szCs w:val="22"/>
        </w:rPr>
      </w:pPr>
    </w:p>
    <w:p w14:paraId="0052E07A" w14:textId="77777777" w:rsidR="00E904C1" w:rsidRPr="000A6FD4" w:rsidRDefault="00542904">
      <w:pPr>
        <w:jc w:val="both"/>
        <w:rPr>
          <w:color w:val="000000" w:themeColor="text1"/>
          <w:sz w:val="22"/>
          <w:szCs w:val="22"/>
          <w:lang w:val="es-ES"/>
        </w:rPr>
      </w:pPr>
      <w:r w:rsidRPr="000A6FD4">
        <w:rPr>
          <w:color w:val="000000" w:themeColor="text1"/>
          <w:sz w:val="22"/>
          <w:szCs w:val="22"/>
          <w:u w:val="single"/>
        </w:rPr>
        <w:t>Proposed activities:</w:t>
      </w:r>
    </w:p>
    <w:p w14:paraId="067A483E" w14:textId="77777777" w:rsidR="00FE713F" w:rsidRPr="000A6FD4" w:rsidRDefault="00FE713F" w:rsidP="4A7240B3">
      <w:pPr>
        <w:jc w:val="both"/>
        <w:rPr>
          <w:sz w:val="22"/>
          <w:szCs w:val="22"/>
          <w:lang w:val="es-ES"/>
        </w:rPr>
      </w:pPr>
    </w:p>
    <w:p w14:paraId="1C32348A" w14:textId="21865D10" w:rsidR="00E904C1" w:rsidRPr="000A6FD4" w:rsidRDefault="00542904">
      <w:pPr>
        <w:pStyle w:val="ListParagraph"/>
        <w:numPr>
          <w:ilvl w:val="0"/>
          <w:numId w:val="3"/>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Training of personnel with operational responsibility and </w:t>
      </w:r>
      <w:r w:rsidR="005E73BE" w:rsidRPr="000A6FD4">
        <w:rPr>
          <w:rFonts w:ascii="Times New Roman" w:eastAsia="Times New Roman" w:hAnsi="Times New Roman"/>
          <w:sz w:val="22"/>
          <w:szCs w:val="22"/>
        </w:rPr>
        <w:t xml:space="preserve">other </w:t>
      </w:r>
      <w:r w:rsidRPr="000A6FD4">
        <w:rPr>
          <w:rFonts w:ascii="Times New Roman" w:eastAsia="Times New Roman" w:hAnsi="Times New Roman"/>
          <w:sz w:val="22"/>
          <w:szCs w:val="22"/>
        </w:rPr>
        <w:t xml:space="preserve">key actors </w:t>
      </w:r>
      <w:r w:rsidR="005E73BE" w:rsidRPr="000A6FD4">
        <w:rPr>
          <w:rFonts w:ascii="Times New Roman" w:eastAsia="Times New Roman" w:hAnsi="Times New Roman"/>
          <w:sz w:val="22"/>
          <w:szCs w:val="22"/>
        </w:rPr>
        <w:t xml:space="preserve">from </w:t>
      </w:r>
      <w:r w:rsidRPr="000A6FD4">
        <w:rPr>
          <w:rFonts w:ascii="Times New Roman" w:eastAsia="Times New Roman" w:hAnsi="Times New Roman"/>
          <w:sz w:val="22"/>
          <w:szCs w:val="22"/>
        </w:rPr>
        <w:t xml:space="preserve">aviation security </w:t>
      </w:r>
      <w:r w:rsidR="005E73BE" w:rsidRPr="000A6FD4">
        <w:rPr>
          <w:rFonts w:ascii="Times New Roman" w:eastAsia="Times New Roman" w:hAnsi="Times New Roman"/>
          <w:sz w:val="22"/>
          <w:szCs w:val="22"/>
        </w:rPr>
        <w:t xml:space="preserve">to identify and mitigate </w:t>
      </w:r>
      <w:r w:rsidRPr="000A6FD4">
        <w:rPr>
          <w:rFonts w:ascii="Times New Roman" w:eastAsia="Times New Roman" w:hAnsi="Times New Roman"/>
          <w:sz w:val="22"/>
          <w:szCs w:val="22"/>
        </w:rPr>
        <w:t xml:space="preserve">internal and external threats </w:t>
      </w:r>
      <w:r w:rsidR="005E73BE" w:rsidRPr="000A6FD4">
        <w:rPr>
          <w:rFonts w:ascii="Times New Roman" w:eastAsia="Times New Roman" w:hAnsi="Times New Roman"/>
          <w:sz w:val="22"/>
          <w:szCs w:val="22"/>
        </w:rPr>
        <w:t xml:space="preserve">to </w:t>
      </w:r>
      <w:r w:rsidRPr="000A6FD4">
        <w:rPr>
          <w:rFonts w:ascii="Times New Roman" w:eastAsia="Times New Roman" w:hAnsi="Times New Roman"/>
          <w:sz w:val="22"/>
          <w:szCs w:val="22"/>
        </w:rPr>
        <w:t>the civil aviation sector. This includes strengthening capabilities to address internal threats at airports, low- and high-tech threats, Portable Air Defense Systems/</w:t>
      </w:r>
      <w:r w:rsidRPr="000A6FD4">
        <w:rPr>
          <w:rFonts w:ascii="Times New Roman" w:eastAsia="Times New Roman" w:hAnsi="Times New Roman"/>
          <w:i/>
          <w:iCs/>
          <w:sz w:val="22"/>
          <w:szCs w:val="22"/>
        </w:rPr>
        <w:t xml:space="preserve">Man-Portable Air-defense Systems </w:t>
      </w:r>
      <w:r w:rsidRPr="000A6FD4">
        <w:rPr>
          <w:rFonts w:ascii="Times New Roman" w:eastAsia="Times New Roman" w:hAnsi="Times New Roman"/>
          <w:sz w:val="22"/>
          <w:szCs w:val="22"/>
        </w:rPr>
        <w:t>(MANPADS), and national access controls, among others.</w:t>
      </w:r>
    </w:p>
    <w:p w14:paraId="4D1654F4" w14:textId="02099C26" w:rsidR="00E904C1" w:rsidRPr="000A6FD4" w:rsidRDefault="00542904">
      <w:pPr>
        <w:pStyle w:val="ListParagraph"/>
        <w:numPr>
          <w:ilvl w:val="0"/>
          <w:numId w:val="3"/>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lastRenderedPageBreak/>
        <w:t xml:space="preserve">Raising awareness of authorities in the aviation security sector about internal security threats </w:t>
      </w:r>
      <w:r w:rsidR="005E73BE" w:rsidRPr="000A6FD4">
        <w:rPr>
          <w:rFonts w:ascii="Times New Roman" w:eastAsia="Times New Roman" w:hAnsi="Times New Roman"/>
          <w:sz w:val="22"/>
          <w:szCs w:val="22"/>
        </w:rPr>
        <w:t xml:space="preserve">and </w:t>
      </w:r>
      <w:r w:rsidRPr="000A6FD4">
        <w:rPr>
          <w:rFonts w:ascii="Times New Roman" w:eastAsia="Times New Roman" w:hAnsi="Times New Roman"/>
          <w:sz w:val="22"/>
          <w:szCs w:val="22"/>
        </w:rPr>
        <w:t xml:space="preserve">facilitate the exchange of good practices </w:t>
      </w:r>
      <w:r w:rsidR="005E73BE" w:rsidRPr="000A6FD4">
        <w:rPr>
          <w:rFonts w:ascii="Times New Roman" w:eastAsia="Times New Roman" w:hAnsi="Times New Roman"/>
          <w:sz w:val="22"/>
          <w:szCs w:val="22"/>
        </w:rPr>
        <w:t xml:space="preserve">to mitigate those </w:t>
      </w:r>
      <w:r w:rsidRPr="000A6FD4">
        <w:rPr>
          <w:rFonts w:ascii="Times New Roman" w:eastAsia="Times New Roman" w:hAnsi="Times New Roman"/>
          <w:sz w:val="22"/>
          <w:szCs w:val="22"/>
        </w:rPr>
        <w:t xml:space="preserve">threats and </w:t>
      </w:r>
      <w:r w:rsidR="005E73BE" w:rsidRPr="000A6FD4">
        <w:rPr>
          <w:rFonts w:ascii="Times New Roman" w:eastAsia="Times New Roman" w:hAnsi="Times New Roman"/>
          <w:sz w:val="22"/>
          <w:szCs w:val="22"/>
        </w:rPr>
        <w:t xml:space="preserve">foster </w:t>
      </w:r>
      <w:r w:rsidRPr="000A6FD4">
        <w:rPr>
          <w:rFonts w:ascii="Times New Roman" w:eastAsia="Times New Roman" w:hAnsi="Times New Roman"/>
          <w:sz w:val="22"/>
          <w:szCs w:val="22"/>
        </w:rPr>
        <w:t xml:space="preserve">a safety culture.  </w:t>
      </w:r>
    </w:p>
    <w:p w14:paraId="6CC5FED9" w14:textId="77777777" w:rsidR="00E904C1" w:rsidRPr="000A6FD4" w:rsidRDefault="00542904">
      <w:pPr>
        <w:pStyle w:val="ListParagraph"/>
        <w:numPr>
          <w:ilvl w:val="0"/>
          <w:numId w:val="3"/>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Training of personnel with operational responsibility and key actors for aviation security on ICAO recommended standards and good practices, with particular attention to access control requirements. </w:t>
      </w:r>
    </w:p>
    <w:p w14:paraId="02CECA10" w14:textId="3DB33BBE" w:rsidR="00E904C1" w:rsidRPr="000A6FD4" w:rsidRDefault="00542904">
      <w:pPr>
        <w:pStyle w:val="ListParagraph"/>
        <w:numPr>
          <w:ilvl w:val="0"/>
          <w:numId w:val="3"/>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Training of customs authorities, cargo inspectors and other relevant actors in the identification and mitigation of risks </w:t>
      </w:r>
      <w:r w:rsidR="005E73BE" w:rsidRPr="000A6FD4">
        <w:rPr>
          <w:rFonts w:ascii="Times New Roman" w:eastAsia="Times New Roman" w:hAnsi="Times New Roman"/>
          <w:sz w:val="22"/>
          <w:szCs w:val="22"/>
        </w:rPr>
        <w:t xml:space="preserve">to </w:t>
      </w:r>
      <w:r w:rsidRPr="000A6FD4">
        <w:rPr>
          <w:rFonts w:ascii="Times New Roman" w:eastAsia="Times New Roman" w:hAnsi="Times New Roman"/>
          <w:sz w:val="22"/>
          <w:szCs w:val="22"/>
        </w:rPr>
        <w:t>the air cargo supply chain.</w:t>
      </w:r>
    </w:p>
    <w:p w14:paraId="522A8BC6" w14:textId="2C0255DC" w:rsidR="00E904C1" w:rsidRPr="000A6FD4" w:rsidRDefault="00542904">
      <w:pPr>
        <w:pStyle w:val="ListParagraph"/>
        <w:numPr>
          <w:ilvl w:val="0"/>
          <w:numId w:val="3"/>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Exchanges of good practices and lessons learned </w:t>
      </w:r>
      <w:r w:rsidR="005E73BE" w:rsidRPr="000A6FD4">
        <w:rPr>
          <w:rFonts w:ascii="Times New Roman" w:eastAsia="Times New Roman" w:hAnsi="Times New Roman"/>
          <w:sz w:val="22"/>
          <w:szCs w:val="22"/>
        </w:rPr>
        <w:t xml:space="preserve">through </w:t>
      </w:r>
      <w:r w:rsidRPr="000A6FD4">
        <w:rPr>
          <w:rFonts w:ascii="Times New Roman" w:eastAsia="Times New Roman" w:hAnsi="Times New Roman"/>
          <w:sz w:val="22"/>
          <w:szCs w:val="22"/>
        </w:rPr>
        <w:t>regional and/or hemispheric workshops for public policy makers in the aviation sector.</w:t>
      </w:r>
    </w:p>
    <w:p w14:paraId="4540FB1B" w14:textId="77777777" w:rsidR="00E904C1" w:rsidRPr="000A6FD4" w:rsidRDefault="00542904">
      <w:pPr>
        <w:pStyle w:val="ListParagraph"/>
        <w:numPr>
          <w:ilvl w:val="0"/>
          <w:numId w:val="3"/>
        </w:numPr>
        <w:ind w:left="720" w:hanging="720"/>
        <w:jc w:val="both"/>
        <w:rPr>
          <w:rFonts w:ascii="Times New Roman" w:eastAsia="Times New Roman" w:hAnsi="Times New Roman"/>
          <w:color w:val="000000" w:themeColor="text1"/>
          <w:sz w:val="22"/>
          <w:szCs w:val="22"/>
        </w:rPr>
      </w:pPr>
      <w:r w:rsidRPr="000A6FD4">
        <w:rPr>
          <w:rFonts w:ascii="Times New Roman" w:eastAsia="Times New Roman" w:hAnsi="Times New Roman"/>
          <w:color w:val="000000" w:themeColor="text1"/>
          <w:sz w:val="22"/>
          <w:szCs w:val="22"/>
        </w:rPr>
        <w:t xml:space="preserve">Maintenance of a network of national focal points to promote greater cooperation and to promote </w:t>
      </w:r>
      <w:r w:rsidRPr="000A6FD4">
        <w:rPr>
          <w:rFonts w:ascii="Times New Roman" w:eastAsia="Times New Roman" w:hAnsi="Times New Roman"/>
          <w:sz w:val="22"/>
          <w:szCs w:val="22"/>
        </w:rPr>
        <w:t xml:space="preserve">the exchange of information and good practices between </w:t>
      </w:r>
      <w:r w:rsidRPr="000A6FD4">
        <w:rPr>
          <w:rFonts w:ascii="Times New Roman" w:eastAsia="Times New Roman" w:hAnsi="Times New Roman"/>
          <w:color w:val="000000" w:themeColor="text1"/>
          <w:sz w:val="22"/>
          <w:szCs w:val="22"/>
        </w:rPr>
        <w:t>aviation safety</w:t>
      </w:r>
      <w:r w:rsidRPr="000A6FD4">
        <w:rPr>
          <w:rFonts w:ascii="Times New Roman" w:eastAsia="Times New Roman" w:hAnsi="Times New Roman"/>
          <w:sz w:val="22"/>
          <w:szCs w:val="22"/>
        </w:rPr>
        <w:t xml:space="preserve"> authorities.</w:t>
      </w:r>
    </w:p>
    <w:p w14:paraId="68EE12EC" w14:textId="77777777" w:rsidR="00E904C1" w:rsidRPr="000A6FD4" w:rsidRDefault="00542904">
      <w:pPr>
        <w:pStyle w:val="ListParagraph"/>
        <w:numPr>
          <w:ilvl w:val="0"/>
          <w:numId w:val="3"/>
        </w:numPr>
        <w:ind w:left="720" w:hanging="720"/>
        <w:jc w:val="both"/>
        <w:rPr>
          <w:rFonts w:ascii="Times New Roman" w:eastAsia="Times New Roman" w:hAnsi="Times New Roman"/>
          <w:color w:val="000000" w:themeColor="text1"/>
          <w:sz w:val="22"/>
          <w:szCs w:val="22"/>
        </w:rPr>
      </w:pPr>
      <w:r w:rsidRPr="000A6FD4">
        <w:rPr>
          <w:rFonts w:ascii="Times New Roman" w:eastAsia="Times New Roman" w:hAnsi="Times New Roman"/>
          <w:color w:val="000000" w:themeColor="text1"/>
          <w:sz w:val="22"/>
          <w:szCs w:val="22"/>
        </w:rPr>
        <w:t xml:space="preserve">Strengthening a gender perspective in aviation security policies. </w:t>
      </w:r>
    </w:p>
    <w:p w14:paraId="1058D8F4" w14:textId="77777777" w:rsidR="00FE713F" w:rsidRPr="000A6FD4" w:rsidRDefault="00FE713F" w:rsidP="4A7240B3">
      <w:pPr>
        <w:jc w:val="both"/>
        <w:rPr>
          <w:b/>
          <w:bCs/>
          <w:sz w:val="22"/>
          <w:szCs w:val="22"/>
        </w:rPr>
      </w:pPr>
    </w:p>
    <w:p w14:paraId="13E06DAA" w14:textId="77777777" w:rsidR="00785AC8" w:rsidRPr="000A6FD4" w:rsidRDefault="00785AC8" w:rsidP="4A7240B3">
      <w:pPr>
        <w:jc w:val="both"/>
        <w:rPr>
          <w:b/>
          <w:bCs/>
          <w:sz w:val="22"/>
          <w:szCs w:val="22"/>
        </w:rPr>
      </w:pPr>
    </w:p>
    <w:p w14:paraId="3B87CDBA" w14:textId="77777777" w:rsidR="00E904C1" w:rsidRPr="000A6FD4" w:rsidRDefault="00542904">
      <w:pPr>
        <w:jc w:val="both"/>
        <w:rPr>
          <w:b/>
          <w:sz w:val="22"/>
          <w:szCs w:val="22"/>
          <w:u w:val="single"/>
        </w:rPr>
      </w:pPr>
      <w:r w:rsidRPr="000A6FD4">
        <w:rPr>
          <w:b/>
          <w:sz w:val="22"/>
          <w:szCs w:val="22"/>
        </w:rPr>
        <w:t xml:space="preserve">Cargo and container security </w:t>
      </w:r>
    </w:p>
    <w:p w14:paraId="63EC1E2D" w14:textId="77777777" w:rsidR="00FE713F" w:rsidRPr="000A6FD4" w:rsidRDefault="00FE713F" w:rsidP="00FE713F">
      <w:pPr>
        <w:jc w:val="both"/>
        <w:rPr>
          <w:b/>
          <w:bCs/>
          <w:sz w:val="22"/>
          <w:szCs w:val="22"/>
        </w:rPr>
      </w:pPr>
    </w:p>
    <w:p w14:paraId="744E9ABB" w14:textId="77777777" w:rsidR="00E904C1" w:rsidRPr="000A6FD4" w:rsidRDefault="00542904">
      <w:pPr>
        <w:jc w:val="both"/>
        <w:rPr>
          <w:rFonts w:eastAsia="Calibri"/>
          <w:b/>
          <w:bCs/>
          <w:sz w:val="22"/>
          <w:szCs w:val="22"/>
        </w:rPr>
      </w:pPr>
      <w:r w:rsidRPr="000A6FD4">
        <w:rPr>
          <w:rFonts w:eastAsia="Calibri"/>
          <w:sz w:val="22"/>
          <w:szCs w:val="22"/>
          <w:u w:val="single"/>
        </w:rPr>
        <w:t>Purpose</w:t>
      </w:r>
      <w:r w:rsidRPr="000A6FD4">
        <w:rPr>
          <w:rFonts w:eastAsia="Calibri"/>
          <w:b/>
          <w:bCs/>
          <w:sz w:val="22"/>
          <w:szCs w:val="22"/>
        </w:rPr>
        <w:t xml:space="preserve">: </w:t>
      </w:r>
    </w:p>
    <w:p w14:paraId="0692F7D7" w14:textId="77777777" w:rsidR="00FE713F" w:rsidRPr="000A6FD4" w:rsidRDefault="00FE713F" w:rsidP="00FE713F">
      <w:pPr>
        <w:jc w:val="both"/>
        <w:rPr>
          <w:rFonts w:eastAsia="Calibri"/>
          <w:b/>
          <w:bCs/>
          <w:sz w:val="22"/>
          <w:szCs w:val="22"/>
        </w:rPr>
      </w:pPr>
    </w:p>
    <w:p w14:paraId="4F3AA8FA" w14:textId="77777777" w:rsidR="00E904C1" w:rsidRPr="000A6FD4" w:rsidRDefault="00542904">
      <w:pPr>
        <w:jc w:val="both"/>
        <w:rPr>
          <w:sz w:val="22"/>
          <w:szCs w:val="22"/>
        </w:rPr>
      </w:pPr>
      <w:r w:rsidRPr="000A6FD4">
        <w:rPr>
          <w:rFonts w:eastAsia="Calibri"/>
          <w:sz w:val="22"/>
          <w:szCs w:val="22"/>
        </w:rPr>
        <w:t xml:space="preserve">Support Member States in strengthening </w:t>
      </w:r>
      <w:r w:rsidRPr="000A6FD4">
        <w:rPr>
          <w:sz w:val="22"/>
          <w:szCs w:val="22"/>
        </w:rPr>
        <w:t>cargo security mechanisms and their means of transport, particularly customs procedures, control, inspection and interdiction of cross-border cargo and its means of transport.</w:t>
      </w:r>
    </w:p>
    <w:p w14:paraId="18716FAA" w14:textId="77777777" w:rsidR="00FE713F" w:rsidRPr="000A6FD4" w:rsidRDefault="00FE713F" w:rsidP="00FE713F">
      <w:pPr>
        <w:jc w:val="both"/>
        <w:rPr>
          <w:bCs/>
          <w:sz w:val="22"/>
          <w:szCs w:val="22"/>
        </w:rPr>
      </w:pPr>
    </w:p>
    <w:p w14:paraId="52D5955D" w14:textId="77777777" w:rsidR="00E904C1" w:rsidRPr="000A6FD4" w:rsidRDefault="00542904">
      <w:pPr>
        <w:jc w:val="both"/>
        <w:rPr>
          <w:rFonts w:eastAsia="Calibri"/>
          <w:bCs/>
          <w:sz w:val="22"/>
          <w:szCs w:val="22"/>
          <w:lang w:val="es-US"/>
        </w:rPr>
      </w:pPr>
      <w:r w:rsidRPr="000A6FD4">
        <w:rPr>
          <w:rFonts w:eastAsia="Calibri"/>
          <w:sz w:val="22"/>
          <w:szCs w:val="22"/>
          <w:u w:val="single"/>
        </w:rPr>
        <w:t>Proposed activities:</w:t>
      </w:r>
    </w:p>
    <w:p w14:paraId="66CFEAFF" w14:textId="77777777" w:rsidR="00FE713F" w:rsidRPr="000A6FD4" w:rsidRDefault="00FE713F" w:rsidP="00FE713F">
      <w:pPr>
        <w:jc w:val="both"/>
        <w:rPr>
          <w:rFonts w:eastAsia="Calibri"/>
          <w:bCs/>
          <w:sz w:val="22"/>
          <w:szCs w:val="22"/>
          <w:u w:val="single"/>
          <w:lang w:val="es-US"/>
        </w:rPr>
      </w:pPr>
    </w:p>
    <w:p w14:paraId="51772D26" w14:textId="77777777"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Development of virtual introductory courses in cargo security at land borders.</w:t>
      </w:r>
    </w:p>
    <w:p w14:paraId="640BF5F3" w14:textId="77777777"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Development of biosafety courses for customs and border security officers on how to protect against a future endemic or pandemic.</w:t>
      </w:r>
    </w:p>
    <w:p w14:paraId="39E761BD"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Donation of tactical and personal protection equipment.</w:t>
      </w:r>
    </w:p>
    <w:p w14:paraId="7C9D702A" w14:textId="77777777"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Development of virtual subregional and regional forums on customs and cross-border goods security.</w:t>
      </w:r>
    </w:p>
    <w:p w14:paraId="3EE4F9AA"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Establishment of a regional roster of experts who can serve as national and international trainers in support of this program, while strengthening the professional profile of officers and fostering regional coordination and cooperation. </w:t>
      </w:r>
    </w:p>
    <w:p w14:paraId="714AB2B7" w14:textId="3CACC64F"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Support the design and implementation of biosafety protocols applicable by customs and other cross-border goods control agencies at national land, </w:t>
      </w:r>
      <w:proofErr w:type="gramStart"/>
      <w:r w:rsidRPr="000A6FD4">
        <w:rPr>
          <w:rFonts w:ascii="Times New Roman" w:hAnsi="Times New Roman"/>
          <w:sz w:val="22"/>
          <w:szCs w:val="22"/>
        </w:rPr>
        <w:t>air</w:t>
      </w:r>
      <w:proofErr w:type="gramEnd"/>
      <w:r w:rsidRPr="000A6FD4">
        <w:rPr>
          <w:rFonts w:ascii="Times New Roman" w:hAnsi="Times New Roman"/>
          <w:sz w:val="22"/>
          <w:szCs w:val="22"/>
        </w:rPr>
        <w:t xml:space="preserve"> and sea access points.</w:t>
      </w:r>
    </w:p>
    <w:p w14:paraId="59B70D04" w14:textId="3422E5E4"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On-site technical assessment and analysis missions at land, </w:t>
      </w:r>
      <w:proofErr w:type="gramStart"/>
      <w:r w:rsidRPr="000A6FD4">
        <w:rPr>
          <w:rFonts w:ascii="Times New Roman" w:hAnsi="Times New Roman"/>
          <w:sz w:val="22"/>
          <w:szCs w:val="22"/>
        </w:rPr>
        <w:t>air</w:t>
      </w:r>
      <w:proofErr w:type="gramEnd"/>
      <w:r w:rsidRPr="000A6FD4">
        <w:rPr>
          <w:rFonts w:ascii="Times New Roman" w:hAnsi="Times New Roman"/>
          <w:sz w:val="22"/>
          <w:szCs w:val="22"/>
        </w:rPr>
        <w:t xml:space="preserve"> and sea borders to identify vulnerabilities and strategies to optimize inspection and control processes for cargo and</w:t>
      </w:r>
      <w:r w:rsidR="00D218FA" w:rsidRPr="000A6FD4">
        <w:rPr>
          <w:rFonts w:ascii="Times New Roman" w:hAnsi="Times New Roman"/>
          <w:sz w:val="22"/>
          <w:szCs w:val="22"/>
        </w:rPr>
        <w:t xml:space="preserve"> their means of transportation.</w:t>
      </w:r>
    </w:p>
    <w:p w14:paraId="5E7B3A14" w14:textId="487F6529"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Strengthening the interdiction capacities of customs, law enforcement and other security agencies operating in key free </w:t>
      </w:r>
      <w:r w:rsidR="00D218FA" w:rsidRPr="000A6FD4">
        <w:rPr>
          <w:rFonts w:ascii="Times New Roman" w:hAnsi="Times New Roman"/>
          <w:sz w:val="22"/>
          <w:szCs w:val="22"/>
        </w:rPr>
        <w:t xml:space="preserve">trade </w:t>
      </w:r>
      <w:r w:rsidRPr="000A6FD4">
        <w:rPr>
          <w:rFonts w:ascii="Times New Roman" w:hAnsi="Times New Roman"/>
          <w:sz w:val="22"/>
          <w:szCs w:val="22"/>
        </w:rPr>
        <w:t>zones.</w:t>
      </w:r>
    </w:p>
    <w:p w14:paraId="386FF31F" w14:textId="2C1A126C"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Development of publications on the current state of cargo and container security in the hemisphere, </w:t>
      </w:r>
      <w:r w:rsidR="00D218FA" w:rsidRPr="000A6FD4">
        <w:rPr>
          <w:rFonts w:ascii="Times New Roman" w:hAnsi="Times New Roman"/>
          <w:sz w:val="22"/>
          <w:szCs w:val="22"/>
        </w:rPr>
        <w:t xml:space="preserve">including </w:t>
      </w:r>
      <w:r w:rsidRPr="000A6FD4">
        <w:rPr>
          <w:rFonts w:ascii="Times New Roman" w:hAnsi="Times New Roman"/>
          <w:sz w:val="22"/>
          <w:szCs w:val="22"/>
        </w:rPr>
        <w:t>recent trends and possible supply chain vulnerabilities.</w:t>
      </w:r>
    </w:p>
    <w:p w14:paraId="39CECEA5" w14:textId="77777777" w:rsidR="00E904C1" w:rsidRPr="000A6FD4" w:rsidRDefault="00542904">
      <w:pPr>
        <w:pStyle w:val="ListParagraph"/>
        <w:numPr>
          <w:ilvl w:val="0"/>
          <w:numId w:val="12"/>
        </w:numPr>
        <w:spacing w:line="259" w:lineRule="auto"/>
        <w:ind w:left="720" w:hanging="720"/>
        <w:jc w:val="both"/>
        <w:rPr>
          <w:rFonts w:ascii="Times New Roman" w:hAnsi="Times New Roman"/>
          <w:sz w:val="22"/>
          <w:szCs w:val="22"/>
        </w:rPr>
      </w:pPr>
      <w:r w:rsidRPr="000A6FD4">
        <w:rPr>
          <w:rFonts w:ascii="Times New Roman" w:hAnsi="Times New Roman"/>
          <w:sz w:val="22"/>
          <w:szCs w:val="22"/>
        </w:rPr>
        <w:t xml:space="preserve">Awareness-raising initiatives and training courses on gender gaps and challenges, </w:t>
      </w:r>
      <w:proofErr w:type="gramStart"/>
      <w:r w:rsidRPr="000A6FD4">
        <w:rPr>
          <w:rFonts w:ascii="Times New Roman" w:hAnsi="Times New Roman"/>
          <w:sz w:val="22"/>
          <w:szCs w:val="22"/>
        </w:rPr>
        <w:t>strategies</w:t>
      </w:r>
      <w:proofErr w:type="gramEnd"/>
      <w:r w:rsidRPr="000A6FD4">
        <w:rPr>
          <w:rFonts w:ascii="Times New Roman" w:hAnsi="Times New Roman"/>
          <w:sz w:val="22"/>
          <w:szCs w:val="22"/>
        </w:rPr>
        <w:t xml:space="preserve"> and tools for the empowerment of female officers of such agencies.</w:t>
      </w:r>
    </w:p>
    <w:p w14:paraId="4DDA5660" w14:textId="77777777" w:rsidR="00FE713F" w:rsidRPr="000A6FD4" w:rsidRDefault="00FE713F" w:rsidP="00FE713F">
      <w:pPr>
        <w:jc w:val="both"/>
        <w:rPr>
          <w:sz w:val="22"/>
          <w:szCs w:val="22"/>
        </w:rPr>
      </w:pPr>
    </w:p>
    <w:p w14:paraId="31F177F0" w14:textId="77777777" w:rsidR="00542904" w:rsidRPr="000A6FD4" w:rsidRDefault="00542904" w:rsidP="00FE713F">
      <w:pPr>
        <w:jc w:val="both"/>
        <w:rPr>
          <w:sz w:val="22"/>
          <w:szCs w:val="22"/>
        </w:rPr>
      </w:pPr>
    </w:p>
    <w:p w14:paraId="4C3070D3" w14:textId="77777777" w:rsidR="00E904C1" w:rsidRPr="000A6FD4" w:rsidRDefault="00542904">
      <w:pPr>
        <w:jc w:val="both"/>
        <w:rPr>
          <w:sz w:val="22"/>
          <w:szCs w:val="22"/>
        </w:rPr>
      </w:pPr>
      <w:r w:rsidRPr="000A6FD4">
        <w:rPr>
          <w:b/>
          <w:bCs/>
          <w:sz w:val="22"/>
          <w:szCs w:val="22"/>
        </w:rPr>
        <w:lastRenderedPageBreak/>
        <w:t xml:space="preserve">Supply Chain Security </w:t>
      </w:r>
    </w:p>
    <w:p w14:paraId="79652138" w14:textId="77777777" w:rsidR="00FE713F" w:rsidRPr="000A6FD4" w:rsidRDefault="00FE713F" w:rsidP="00FE713F">
      <w:pPr>
        <w:jc w:val="both"/>
        <w:rPr>
          <w:sz w:val="22"/>
          <w:szCs w:val="22"/>
        </w:rPr>
      </w:pPr>
    </w:p>
    <w:p w14:paraId="37B867FE" w14:textId="77777777" w:rsidR="00E904C1" w:rsidRPr="000A6FD4" w:rsidRDefault="00542904">
      <w:pPr>
        <w:jc w:val="both"/>
        <w:rPr>
          <w:sz w:val="22"/>
          <w:szCs w:val="22"/>
        </w:rPr>
      </w:pPr>
      <w:r w:rsidRPr="000A6FD4">
        <w:rPr>
          <w:sz w:val="22"/>
          <w:szCs w:val="22"/>
          <w:u w:val="single"/>
        </w:rPr>
        <w:t>Purpose</w:t>
      </w:r>
      <w:r w:rsidRPr="000A6FD4">
        <w:rPr>
          <w:sz w:val="22"/>
          <w:szCs w:val="22"/>
        </w:rPr>
        <w:t xml:space="preserve">: </w:t>
      </w:r>
    </w:p>
    <w:p w14:paraId="387A3E7C" w14:textId="77777777" w:rsidR="00FE713F" w:rsidRPr="000A6FD4" w:rsidRDefault="00FE713F" w:rsidP="00FE713F">
      <w:pPr>
        <w:jc w:val="both"/>
        <w:rPr>
          <w:sz w:val="22"/>
          <w:szCs w:val="22"/>
        </w:rPr>
      </w:pPr>
    </w:p>
    <w:p w14:paraId="44BBF243" w14:textId="19ED563A" w:rsidR="00E904C1" w:rsidRPr="000A6FD4" w:rsidRDefault="00542904">
      <w:pPr>
        <w:jc w:val="both"/>
        <w:rPr>
          <w:sz w:val="22"/>
          <w:szCs w:val="22"/>
        </w:rPr>
      </w:pPr>
      <w:r w:rsidRPr="000A6FD4">
        <w:rPr>
          <w:sz w:val="22"/>
          <w:szCs w:val="22"/>
        </w:rPr>
        <w:t>Support the strengthening of supply chain</w:t>
      </w:r>
      <w:r w:rsidR="00D218FA" w:rsidRPr="000A6FD4">
        <w:rPr>
          <w:sz w:val="22"/>
          <w:szCs w:val="22"/>
        </w:rPr>
        <w:t xml:space="preserve"> security</w:t>
      </w:r>
      <w:r w:rsidRPr="000A6FD4">
        <w:rPr>
          <w:sz w:val="22"/>
          <w:szCs w:val="22"/>
        </w:rPr>
        <w:t xml:space="preserve">, mainly through the “Authorized Economic Operators” program to ensure and, </w:t>
      </w:r>
      <w:r w:rsidR="00D218FA" w:rsidRPr="000A6FD4">
        <w:rPr>
          <w:sz w:val="22"/>
          <w:szCs w:val="22"/>
        </w:rPr>
        <w:t>at the same time</w:t>
      </w:r>
      <w:r w:rsidRPr="000A6FD4">
        <w:rPr>
          <w:sz w:val="22"/>
          <w:szCs w:val="22"/>
        </w:rPr>
        <w:t>, facilitate international trade, in accordance with the guidelines provided for in the World Customs Organization’s SAFE framework.</w:t>
      </w:r>
    </w:p>
    <w:p w14:paraId="7949DEA9" w14:textId="77777777" w:rsidR="002C4EDA" w:rsidRPr="000A6FD4" w:rsidRDefault="002C4EDA" w:rsidP="00FE713F">
      <w:pPr>
        <w:jc w:val="both"/>
        <w:rPr>
          <w:sz w:val="22"/>
          <w:szCs w:val="22"/>
          <w:u w:val="single"/>
        </w:rPr>
      </w:pPr>
    </w:p>
    <w:p w14:paraId="21EFEFEF" w14:textId="77777777" w:rsidR="00E904C1" w:rsidRPr="000A6FD4" w:rsidRDefault="00542904">
      <w:pPr>
        <w:jc w:val="both"/>
        <w:rPr>
          <w:sz w:val="22"/>
          <w:szCs w:val="22"/>
          <w:lang w:val="es-ES"/>
        </w:rPr>
      </w:pPr>
      <w:r w:rsidRPr="000A6FD4">
        <w:rPr>
          <w:rFonts w:eastAsia="Calibri"/>
          <w:sz w:val="22"/>
          <w:szCs w:val="22"/>
          <w:u w:val="single"/>
        </w:rPr>
        <w:t>Proposed activities:</w:t>
      </w:r>
    </w:p>
    <w:p w14:paraId="0CD46517" w14:textId="77777777" w:rsidR="002C4EDA" w:rsidRPr="000A6FD4" w:rsidRDefault="002C4EDA" w:rsidP="002C4EDA">
      <w:pPr>
        <w:jc w:val="both"/>
        <w:rPr>
          <w:sz w:val="22"/>
          <w:szCs w:val="22"/>
          <w:lang w:val="es-ES"/>
        </w:rPr>
      </w:pPr>
    </w:p>
    <w:p w14:paraId="4B36DED9" w14:textId="77777777"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Development of national assessments and work plans for customs agencies to strengthen inter-agency cooperation and coordination with other government border control agencies.</w:t>
      </w:r>
    </w:p>
    <w:p w14:paraId="13100D37" w14:textId="77777777"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Organization of activities related to the identification of legal loopholes or inter-institutional obstacles, with a particular focus on commercial operators in Free Trade Areas (Free Trade Zones).</w:t>
      </w:r>
    </w:p>
    <w:p w14:paraId="69D7BD69" w14:textId="7731E8C1"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Rais</w:t>
      </w:r>
      <w:r w:rsidR="00D218FA" w:rsidRPr="000A6FD4">
        <w:rPr>
          <w:rFonts w:ascii="Times New Roman" w:eastAsia="Times New Roman" w:hAnsi="Times New Roman"/>
          <w:sz w:val="22"/>
          <w:szCs w:val="22"/>
        </w:rPr>
        <w:t xml:space="preserve">e </w:t>
      </w:r>
      <w:r w:rsidRPr="000A6FD4">
        <w:rPr>
          <w:rFonts w:ascii="Times New Roman" w:eastAsia="Times New Roman" w:hAnsi="Times New Roman"/>
          <w:sz w:val="22"/>
          <w:szCs w:val="22"/>
        </w:rPr>
        <w:t xml:space="preserve">awareness among customs officers and other government agencies, as well as commercial operators, about threats of weapons of mass destruction and chemical, biological, </w:t>
      </w:r>
      <w:proofErr w:type="gramStart"/>
      <w:r w:rsidRPr="000A6FD4">
        <w:rPr>
          <w:rFonts w:ascii="Times New Roman" w:eastAsia="Times New Roman" w:hAnsi="Times New Roman"/>
          <w:sz w:val="22"/>
          <w:szCs w:val="22"/>
        </w:rPr>
        <w:t>radiological</w:t>
      </w:r>
      <w:proofErr w:type="gramEnd"/>
      <w:r w:rsidRPr="000A6FD4">
        <w:rPr>
          <w:rFonts w:ascii="Times New Roman" w:eastAsia="Times New Roman" w:hAnsi="Times New Roman"/>
          <w:sz w:val="22"/>
          <w:szCs w:val="22"/>
        </w:rPr>
        <w:t xml:space="preserve"> and nuclear terrorism; strengthening communication among them; and raising awareness about the </w:t>
      </w:r>
      <w:r w:rsidR="00D218FA" w:rsidRPr="000A6FD4">
        <w:rPr>
          <w:rFonts w:ascii="Times New Roman" w:eastAsia="Times New Roman" w:hAnsi="Times New Roman"/>
          <w:sz w:val="22"/>
          <w:szCs w:val="22"/>
        </w:rPr>
        <w:t xml:space="preserve">special </w:t>
      </w:r>
      <w:r w:rsidRPr="000A6FD4">
        <w:rPr>
          <w:rFonts w:ascii="Times New Roman" w:eastAsia="Times New Roman" w:hAnsi="Times New Roman"/>
          <w:sz w:val="22"/>
          <w:szCs w:val="22"/>
        </w:rPr>
        <w:t>benefits for certified trade operators under the Authorized Economic Operators Program.</w:t>
      </w:r>
    </w:p>
    <w:p w14:paraId="148A5B76" w14:textId="77777777"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Promote the exchange of good practices in supply chain security and thus contribute to securing and optimizing the regional and global supply chain.  </w:t>
      </w:r>
    </w:p>
    <w:p w14:paraId="1AE36A14" w14:textId="77777777"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Training for the private sector on the Authorized Economic Operator program to identify challenges, possible solutions, </w:t>
      </w:r>
      <w:proofErr w:type="gramStart"/>
      <w:r w:rsidRPr="000A6FD4">
        <w:rPr>
          <w:rFonts w:ascii="Times New Roman" w:eastAsia="Times New Roman" w:hAnsi="Times New Roman"/>
          <w:sz w:val="22"/>
          <w:szCs w:val="22"/>
        </w:rPr>
        <w:t>opportunities</w:t>
      </w:r>
      <w:proofErr w:type="gramEnd"/>
      <w:r w:rsidRPr="000A6FD4">
        <w:rPr>
          <w:rFonts w:ascii="Times New Roman" w:eastAsia="Times New Roman" w:hAnsi="Times New Roman"/>
          <w:sz w:val="22"/>
          <w:szCs w:val="22"/>
        </w:rPr>
        <w:t xml:space="preserve"> and benefits in coordination with chambers of commerce, trade facilitation agencies and international subregional or global organizations.</w:t>
      </w:r>
    </w:p>
    <w:p w14:paraId="21693B30" w14:textId="77777777"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Conducting validation exercises around the priorities of national customs administrations in relation to economic and/or commercial operators operating in free zones.</w:t>
      </w:r>
    </w:p>
    <w:p w14:paraId="5D106392" w14:textId="77777777" w:rsidR="00123FB9" w:rsidRPr="000A6FD4" w:rsidRDefault="00123FB9" w:rsidP="00123FB9">
      <w:pPr>
        <w:jc w:val="both"/>
        <w:rPr>
          <w:sz w:val="22"/>
          <w:szCs w:val="22"/>
        </w:rPr>
      </w:pPr>
    </w:p>
    <w:p w14:paraId="58C8CEA6" w14:textId="77777777" w:rsidR="00123FB9" w:rsidRPr="000A6FD4" w:rsidRDefault="00123FB9" w:rsidP="00123FB9">
      <w:pPr>
        <w:jc w:val="both"/>
        <w:rPr>
          <w:sz w:val="22"/>
          <w:szCs w:val="22"/>
        </w:rPr>
      </w:pPr>
    </w:p>
    <w:p w14:paraId="3C39298D" w14:textId="16F48784" w:rsidR="00E904C1" w:rsidRPr="000A6FD4" w:rsidRDefault="00542904">
      <w:pPr>
        <w:pStyle w:val="xmsonormal"/>
        <w:spacing w:before="0" w:beforeAutospacing="0" w:after="0" w:afterAutospacing="0"/>
        <w:jc w:val="both"/>
        <w:rPr>
          <w:b/>
          <w:bCs/>
          <w:i/>
          <w:iCs/>
          <w:sz w:val="22"/>
          <w:szCs w:val="22"/>
        </w:rPr>
      </w:pPr>
      <w:r w:rsidRPr="000A6FD4">
        <w:rPr>
          <w:b/>
          <w:bCs/>
          <w:i/>
          <w:iCs/>
          <w:sz w:val="22"/>
          <w:szCs w:val="22"/>
        </w:rPr>
        <w:t>D.</w:t>
      </w:r>
      <w:r w:rsidRPr="000A6FD4">
        <w:rPr>
          <w:b/>
          <w:bCs/>
          <w:i/>
          <w:iCs/>
          <w:sz w:val="22"/>
          <w:szCs w:val="22"/>
        </w:rPr>
        <w:tab/>
        <w:t xml:space="preserve">Protecting Vulnerable Targets and </w:t>
      </w:r>
      <w:r w:rsidR="00D218FA" w:rsidRPr="000A6FD4">
        <w:rPr>
          <w:b/>
          <w:bCs/>
          <w:i/>
          <w:iCs/>
          <w:sz w:val="22"/>
          <w:szCs w:val="22"/>
        </w:rPr>
        <w:t xml:space="preserve">Crowded </w:t>
      </w:r>
      <w:r w:rsidRPr="000A6FD4">
        <w:rPr>
          <w:b/>
          <w:bCs/>
          <w:i/>
          <w:iCs/>
          <w:sz w:val="22"/>
          <w:szCs w:val="22"/>
        </w:rPr>
        <w:t>Spaces</w:t>
      </w:r>
    </w:p>
    <w:p w14:paraId="77FBCADB" w14:textId="77777777" w:rsidR="00FE713F" w:rsidRPr="000A6FD4" w:rsidRDefault="00FE713F" w:rsidP="00FE713F">
      <w:pPr>
        <w:pStyle w:val="xmsonormal"/>
        <w:spacing w:before="0" w:beforeAutospacing="0" w:after="0" w:afterAutospacing="0"/>
        <w:jc w:val="both"/>
        <w:rPr>
          <w:sz w:val="22"/>
          <w:szCs w:val="22"/>
        </w:rPr>
      </w:pPr>
    </w:p>
    <w:p w14:paraId="11A21C16" w14:textId="77777777" w:rsidR="00E904C1" w:rsidRPr="000A6FD4" w:rsidRDefault="00542904">
      <w:pPr>
        <w:pStyle w:val="xmsonormal"/>
        <w:spacing w:before="0" w:beforeAutospacing="0" w:after="0" w:afterAutospacing="0"/>
        <w:jc w:val="both"/>
        <w:rPr>
          <w:rStyle w:val="apple-converted-space"/>
          <w:sz w:val="22"/>
          <w:szCs w:val="22"/>
        </w:rPr>
      </w:pPr>
      <w:r w:rsidRPr="000A6FD4">
        <w:rPr>
          <w:sz w:val="22"/>
          <w:szCs w:val="22"/>
          <w:u w:val="single"/>
        </w:rPr>
        <w:t>Purpose:</w:t>
      </w:r>
      <w:r w:rsidRPr="000A6FD4">
        <w:rPr>
          <w:rStyle w:val="apple-converted-space"/>
          <w:sz w:val="22"/>
          <w:szCs w:val="22"/>
        </w:rPr>
        <w:t> </w:t>
      </w:r>
    </w:p>
    <w:p w14:paraId="131C3A75" w14:textId="77777777" w:rsidR="00FE713F" w:rsidRPr="000A6FD4" w:rsidRDefault="00FE713F" w:rsidP="00FE713F">
      <w:pPr>
        <w:pStyle w:val="xmsonormal"/>
        <w:spacing w:before="0" w:beforeAutospacing="0" w:after="0" w:afterAutospacing="0"/>
        <w:jc w:val="both"/>
        <w:rPr>
          <w:rStyle w:val="apple-converted-space"/>
          <w:sz w:val="22"/>
          <w:szCs w:val="22"/>
        </w:rPr>
      </w:pPr>
    </w:p>
    <w:p w14:paraId="3CFB5267" w14:textId="77777777" w:rsidR="00E904C1" w:rsidRPr="000A6FD4" w:rsidRDefault="00542904">
      <w:pPr>
        <w:pStyle w:val="xmsonormal"/>
        <w:spacing w:before="0" w:beforeAutospacing="0" w:after="0" w:afterAutospacing="0"/>
        <w:jc w:val="both"/>
        <w:rPr>
          <w:sz w:val="22"/>
          <w:szCs w:val="22"/>
        </w:rPr>
      </w:pPr>
      <w:r w:rsidRPr="000A6FD4">
        <w:rPr>
          <w:bCs/>
          <w:sz w:val="22"/>
          <w:szCs w:val="22"/>
        </w:rPr>
        <w:t xml:space="preserve">Support Member States in strengthening </w:t>
      </w:r>
      <w:r w:rsidRPr="000A6FD4">
        <w:rPr>
          <w:sz w:val="22"/>
          <w:szCs w:val="22"/>
        </w:rPr>
        <w:t>existing capacities, inter-agency coordination, and hemispheric cooperation for the protection of vulnerable targets and crowded spaces, including tourist destinations and major events, from potential terrorist threats.</w:t>
      </w:r>
    </w:p>
    <w:p w14:paraId="1095003A" w14:textId="77777777" w:rsidR="00FE713F" w:rsidRPr="000A6FD4" w:rsidRDefault="00FE713F" w:rsidP="00FE713F">
      <w:pPr>
        <w:pStyle w:val="xmsonormal"/>
        <w:spacing w:before="0" w:beforeAutospacing="0" w:after="0" w:afterAutospacing="0"/>
        <w:jc w:val="both"/>
        <w:rPr>
          <w:sz w:val="22"/>
          <w:szCs w:val="22"/>
        </w:rPr>
      </w:pPr>
    </w:p>
    <w:p w14:paraId="3F367D7F" w14:textId="77777777" w:rsidR="00E904C1" w:rsidRPr="000A6FD4" w:rsidRDefault="00542904">
      <w:pPr>
        <w:pStyle w:val="xmsonormal"/>
        <w:spacing w:before="0" w:beforeAutospacing="0" w:after="0" w:afterAutospacing="0"/>
        <w:jc w:val="both"/>
        <w:rPr>
          <w:sz w:val="22"/>
          <w:szCs w:val="22"/>
          <w:u w:val="single"/>
          <w:lang w:val="es-ES"/>
        </w:rPr>
      </w:pPr>
      <w:r w:rsidRPr="000A6FD4">
        <w:rPr>
          <w:rFonts w:eastAsia="Calibri"/>
          <w:sz w:val="22"/>
          <w:szCs w:val="22"/>
          <w:u w:val="single"/>
        </w:rPr>
        <w:t>Proposed activities:</w:t>
      </w:r>
    </w:p>
    <w:p w14:paraId="28795578" w14:textId="77777777" w:rsidR="00FE713F" w:rsidRPr="000A6FD4" w:rsidRDefault="00FE713F" w:rsidP="00FE713F">
      <w:pPr>
        <w:pStyle w:val="xmsonormal"/>
        <w:spacing w:before="0" w:beforeAutospacing="0" w:after="0" w:afterAutospacing="0"/>
        <w:jc w:val="both"/>
        <w:rPr>
          <w:sz w:val="22"/>
          <w:szCs w:val="22"/>
        </w:rPr>
      </w:pPr>
    </w:p>
    <w:p w14:paraId="51D09863" w14:textId="3DFF9F61"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sz w:val="22"/>
          <w:szCs w:val="22"/>
        </w:rPr>
        <w:t>Support the development of national tourism security strategies.</w:t>
      </w:r>
    </w:p>
    <w:p w14:paraId="4A72E5DB" w14:textId="00FF7662" w:rsidR="00E904C1" w:rsidRPr="000A6FD4" w:rsidRDefault="00542904">
      <w:pPr>
        <w:pStyle w:val="ListParagraph"/>
        <w:numPr>
          <w:ilvl w:val="0"/>
          <w:numId w:val="5"/>
        </w:numPr>
        <w:ind w:left="720" w:hanging="720"/>
        <w:jc w:val="both"/>
        <w:rPr>
          <w:rFonts w:ascii="Times New Roman" w:hAnsi="Times New Roman"/>
          <w:sz w:val="22"/>
          <w:szCs w:val="22"/>
        </w:rPr>
      </w:pPr>
      <w:r w:rsidRPr="000A6FD4">
        <w:rPr>
          <w:rFonts w:ascii="Times New Roman" w:hAnsi="Times New Roman"/>
          <w:sz w:val="22"/>
          <w:szCs w:val="22"/>
        </w:rPr>
        <w:t xml:space="preserve">Organization of courses, </w:t>
      </w:r>
      <w:proofErr w:type="gramStart"/>
      <w:r w:rsidRPr="000A6FD4">
        <w:rPr>
          <w:rFonts w:ascii="Times New Roman" w:hAnsi="Times New Roman"/>
          <w:sz w:val="22"/>
          <w:szCs w:val="22"/>
        </w:rPr>
        <w:t>workshops</w:t>
      </w:r>
      <w:proofErr w:type="gramEnd"/>
      <w:r w:rsidRPr="000A6FD4">
        <w:rPr>
          <w:rFonts w:ascii="Times New Roman" w:hAnsi="Times New Roman"/>
          <w:sz w:val="22"/>
          <w:szCs w:val="22"/>
        </w:rPr>
        <w:t xml:space="preserve"> and other initiatives to support Member States in planning </w:t>
      </w:r>
      <w:r w:rsidR="00D218FA" w:rsidRPr="000A6FD4">
        <w:rPr>
          <w:rFonts w:ascii="Times New Roman" w:hAnsi="Times New Roman"/>
          <w:sz w:val="22"/>
          <w:szCs w:val="22"/>
        </w:rPr>
        <w:t xml:space="preserve">for </w:t>
      </w:r>
      <w:r w:rsidRPr="000A6FD4">
        <w:rPr>
          <w:rFonts w:ascii="Times New Roman" w:hAnsi="Times New Roman"/>
          <w:sz w:val="22"/>
          <w:szCs w:val="22"/>
        </w:rPr>
        <w:t>the security of major events in the region.</w:t>
      </w:r>
    </w:p>
    <w:p w14:paraId="34E8DEDF" w14:textId="5F56E4C8" w:rsidR="00E904C1" w:rsidRPr="000A6FD4" w:rsidRDefault="00542904">
      <w:pPr>
        <w:pStyle w:val="ListParagraph"/>
        <w:numPr>
          <w:ilvl w:val="0"/>
          <w:numId w:val="5"/>
        </w:numPr>
        <w:ind w:left="720" w:hanging="720"/>
        <w:jc w:val="both"/>
        <w:rPr>
          <w:rFonts w:ascii="Times New Roman" w:hAnsi="Times New Roman"/>
          <w:sz w:val="22"/>
          <w:szCs w:val="22"/>
        </w:rPr>
      </w:pPr>
      <w:r w:rsidRPr="000A6FD4">
        <w:rPr>
          <w:rFonts w:ascii="Times New Roman" w:hAnsi="Times New Roman"/>
          <w:sz w:val="22"/>
          <w:szCs w:val="22"/>
        </w:rPr>
        <w:t xml:space="preserve">Documentation of the practices and lessons learned during the </w:t>
      </w:r>
      <w:r w:rsidR="00D218FA" w:rsidRPr="000A6FD4">
        <w:rPr>
          <w:rFonts w:ascii="Times New Roman" w:hAnsi="Times New Roman"/>
          <w:sz w:val="22"/>
          <w:szCs w:val="22"/>
        </w:rPr>
        <w:t xml:space="preserve">security </w:t>
      </w:r>
      <w:r w:rsidRPr="000A6FD4">
        <w:rPr>
          <w:rFonts w:ascii="Times New Roman" w:hAnsi="Times New Roman"/>
          <w:sz w:val="22"/>
          <w:szCs w:val="22"/>
        </w:rPr>
        <w:t xml:space="preserve">planning </w:t>
      </w:r>
      <w:r w:rsidR="00D218FA" w:rsidRPr="000A6FD4">
        <w:rPr>
          <w:rFonts w:ascii="Times New Roman" w:hAnsi="Times New Roman"/>
          <w:sz w:val="22"/>
          <w:szCs w:val="22"/>
        </w:rPr>
        <w:t xml:space="preserve">for </w:t>
      </w:r>
      <w:r w:rsidRPr="000A6FD4">
        <w:rPr>
          <w:rFonts w:ascii="Times New Roman" w:hAnsi="Times New Roman"/>
          <w:sz w:val="22"/>
          <w:szCs w:val="22"/>
        </w:rPr>
        <w:t xml:space="preserve">a </w:t>
      </w:r>
      <w:r w:rsidR="00D218FA" w:rsidRPr="000A6FD4">
        <w:rPr>
          <w:rFonts w:ascii="Times New Roman" w:hAnsi="Times New Roman"/>
          <w:sz w:val="22"/>
          <w:szCs w:val="22"/>
        </w:rPr>
        <w:t xml:space="preserve">major </w:t>
      </w:r>
      <w:r w:rsidRPr="000A6FD4">
        <w:rPr>
          <w:rFonts w:ascii="Times New Roman" w:hAnsi="Times New Roman"/>
          <w:sz w:val="22"/>
          <w:szCs w:val="22"/>
        </w:rPr>
        <w:t xml:space="preserve">event. </w:t>
      </w:r>
    </w:p>
    <w:p w14:paraId="64BAE275" w14:textId="475EFBCB" w:rsidR="00E904C1" w:rsidRPr="000A6FD4" w:rsidRDefault="00D218FA">
      <w:pPr>
        <w:pStyle w:val="ListParagraph"/>
        <w:numPr>
          <w:ilvl w:val="0"/>
          <w:numId w:val="5"/>
        </w:numPr>
        <w:ind w:left="720" w:hanging="720"/>
        <w:jc w:val="both"/>
        <w:rPr>
          <w:rFonts w:ascii="Times New Roman" w:hAnsi="Times New Roman"/>
          <w:sz w:val="22"/>
          <w:szCs w:val="22"/>
        </w:rPr>
      </w:pPr>
      <w:r w:rsidRPr="000A6FD4">
        <w:rPr>
          <w:rFonts w:ascii="Times New Roman" w:hAnsi="Times New Roman"/>
          <w:sz w:val="22"/>
          <w:szCs w:val="22"/>
        </w:rPr>
        <w:t xml:space="preserve">Maintain the </w:t>
      </w:r>
      <w:r w:rsidR="00542904" w:rsidRPr="000A6FD4">
        <w:rPr>
          <w:rFonts w:ascii="Times New Roman" w:hAnsi="Times New Roman"/>
          <w:sz w:val="22"/>
          <w:szCs w:val="22"/>
        </w:rPr>
        <w:t xml:space="preserve">national focal points </w:t>
      </w:r>
      <w:r w:rsidRPr="000A6FD4">
        <w:rPr>
          <w:rFonts w:ascii="Times New Roman" w:hAnsi="Times New Roman"/>
          <w:sz w:val="22"/>
          <w:szCs w:val="22"/>
        </w:rPr>
        <w:t xml:space="preserve">networks </w:t>
      </w:r>
      <w:r w:rsidR="00542904" w:rsidRPr="000A6FD4">
        <w:rPr>
          <w:rFonts w:ascii="Times New Roman" w:hAnsi="Times New Roman"/>
          <w:sz w:val="22"/>
          <w:szCs w:val="22"/>
        </w:rPr>
        <w:t xml:space="preserve">for the security of major events and tourism security.   </w:t>
      </w:r>
    </w:p>
    <w:p w14:paraId="708E8D59" w14:textId="7EC364A9" w:rsidR="00E904C1" w:rsidRPr="000A6FD4" w:rsidRDefault="00542904">
      <w:pPr>
        <w:pStyle w:val="ListParagraph"/>
        <w:numPr>
          <w:ilvl w:val="0"/>
          <w:numId w:val="5"/>
        </w:numPr>
        <w:ind w:left="720" w:hanging="720"/>
        <w:jc w:val="both"/>
        <w:rPr>
          <w:rFonts w:ascii="Times New Roman" w:hAnsi="Times New Roman"/>
          <w:sz w:val="22"/>
          <w:szCs w:val="22"/>
        </w:rPr>
      </w:pPr>
      <w:r w:rsidRPr="000A6FD4">
        <w:rPr>
          <w:rFonts w:ascii="Times New Roman" w:hAnsi="Times New Roman"/>
          <w:sz w:val="22"/>
          <w:szCs w:val="22"/>
        </w:rPr>
        <w:t xml:space="preserve">Updating the electronic version of the </w:t>
      </w:r>
      <w:r w:rsidR="00D218FA" w:rsidRPr="000A6FD4">
        <w:rPr>
          <w:rFonts w:ascii="Times New Roman" w:hAnsi="Times New Roman"/>
          <w:sz w:val="22"/>
          <w:szCs w:val="22"/>
        </w:rPr>
        <w:t xml:space="preserve">major </w:t>
      </w:r>
      <w:r w:rsidRPr="000A6FD4">
        <w:rPr>
          <w:rFonts w:ascii="Times New Roman" w:hAnsi="Times New Roman"/>
          <w:sz w:val="22"/>
          <w:szCs w:val="22"/>
        </w:rPr>
        <w:t>event security planning model</w:t>
      </w:r>
      <w:r w:rsidR="00D218FA" w:rsidRPr="000A6FD4">
        <w:rPr>
          <w:rFonts w:ascii="Times New Roman" w:hAnsi="Times New Roman"/>
          <w:sz w:val="22"/>
          <w:szCs w:val="22"/>
        </w:rPr>
        <w:t>.</w:t>
      </w:r>
    </w:p>
    <w:p w14:paraId="27D19049" w14:textId="31CE976B" w:rsidR="00E904C1" w:rsidRPr="000A6FD4" w:rsidRDefault="00542904">
      <w:pPr>
        <w:pStyle w:val="ListParagraph"/>
        <w:numPr>
          <w:ilvl w:val="0"/>
          <w:numId w:val="5"/>
        </w:numPr>
        <w:ind w:left="720" w:hanging="720"/>
        <w:jc w:val="both"/>
        <w:rPr>
          <w:rFonts w:ascii="Times New Roman" w:hAnsi="Times New Roman"/>
          <w:sz w:val="22"/>
          <w:szCs w:val="22"/>
        </w:rPr>
      </w:pPr>
      <w:r w:rsidRPr="000A6FD4">
        <w:rPr>
          <w:rFonts w:ascii="Times New Roman" w:hAnsi="Times New Roman"/>
          <w:sz w:val="22"/>
          <w:szCs w:val="22"/>
        </w:rPr>
        <w:lastRenderedPageBreak/>
        <w:t>Compilation of recommendations and key findings on gender perspective for tourism security and major events</w:t>
      </w:r>
      <w:r w:rsidR="00D218FA" w:rsidRPr="000A6FD4">
        <w:rPr>
          <w:rFonts w:ascii="Times New Roman" w:hAnsi="Times New Roman"/>
          <w:sz w:val="22"/>
          <w:szCs w:val="22"/>
        </w:rPr>
        <w:t>.</w:t>
      </w:r>
    </w:p>
    <w:p w14:paraId="2D990B39" w14:textId="604DEC3D" w:rsidR="00E904C1" w:rsidRPr="000A6FD4" w:rsidRDefault="00542904">
      <w:pPr>
        <w:pStyle w:val="ListParagraph"/>
        <w:numPr>
          <w:ilvl w:val="0"/>
          <w:numId w:val="5"/>
        </w:numPr>
        <w:ind w:left="720" w:hanging="720"/>
        <w:jc w:val="both"/>
        <w:rPr>
          <w:rFonts w:ascii="Times New Roman" w:hAnsi="Times New Roman"/>
          <w:color w:val="1F497D"/>
          <w:sz w:val="22"/>
          <w:szCs w:val="22"/>
        </w:rPr>
      </w:pPr>
      <w:r w:rsidRPr="000A6FD4">
        <w:rPr>
          <w:rFonts w:ascii="Times New Roman" w:hAnsi="Times New Roman"/>
          <w:sz w:val="22"/>
          <w:szCs w:val="22"/>
        </w:rPr>
        <w:t xml:space="preserve">Update of the Manual of Public-Private Partnerships for the </w:t>
      </w:r>
      <w:r w:rsidR="00D218FA" w:rsidRPr="000A6FD4">
        <w:rPr>
          <w:rFonts w:ascii="Times New Roman" w:hAnsi="Times New Roman"/>
          <w:sz w:val="22"/>
          <w:szCs w:val="22"/>
        </w:rPr>
        <w:t xml:space="preserve">Security </w:t>
      </w:r>
      <w:r w:rsidRPr="000A6FD4">
        <w:rPr>
          <w:rFonts w:ascii="Times New Roman" w:hAnsi="Times New Roman"/>
          <w:sz w:val="22"/>
          <w:szCs w:val="22"/>
        </w:rPr>
        <w:t>Planning of Major Events.</w:t>
      </w:r>
      <w:r w:rsidRPr="000A6FD4">
        <w:rPr>
          <w:rFonts w:ascii="Times New Roman" w:hAnsi="Times New Roman"/>
          <w:color w:val="1F497D"/>
          <w:sz w:val="22"/>
          <w:szCs w:val="22"/>
        </w:rPr>
        <w:t xml:space="preserve"> </w:t>
      </w:r>
    </w:p>
    <w:p w14:paraId="63506737" w14:textId="77777777" w:rsidR="00FE713F" w:rsidRPr="000A6FD4" w:rsidRDefault="00FE713F" w:rsidP="00FE713F">
      <w:pPr>
        <w:jc w:val="both"/>
        <w:rPr>
          <w:b/>
          <w:bCs/>
          <w:i/>
          <w:iCs/>
          <w:sz w:val="22"/>
          <w:szCs w:val="22"/>
        </w:rPr>
      </w:pPr>
    </w:p>
    <w:p w14:paraId="10EA0A73" w14:textId="77777777" w:rsidR="00542904" w:rsidRPr="000A6FD4" w:rsidRDefault="00542904">
      <w:pPr>
        <w:jc w:val="both"/>
        <w:rPr>
          <w:b/>
          <w:bCs/>
          <w:i/>
          <w:iCs/>
          <w:sz w:val="22"/>
          <w:szCs w:val="22"/>
        </w:rPr>
      </w:pPr>
    </w:p>
    <w:p w14:paraId="1E949D32" w14:textId="4981BADA" w:rsidR="00E904C1" w:rsidRPr="000A6FD4" w:rsidRDefault="00542904">
      <w:pPr>
        <w:jc w:val="both"/>
        <w:rPr>
          <w:b/>
          <w:bCs/>
          <w:i/>
          <w:iCs/>
          <w:sz w:val="22"/>
          <w:szCs w:val="22"/>
        </w:rPr>
      </w:pPr>
      <w:r w:rsidRPr="000A6FD4">
        <w:rPr>
          <w:b/>
          <w:bCs/>
          <w:i/>
          <w:iCs/>
          <w:sz w:val="22"/>
          <w:szCs w:val="22"/>
        </w:rPr>
        <w:t>E.</w:t>
      </w:r>
      <w:r w:rsidRPr="000A6FD4">
        <w:rPr>
          <w:b/>
          <w:bCs/>
          <w:i/>
          <w:iCs/>
          <w:sz w:val="22"/>
          <w:szCs w:val="22"/>
        </w:rPr>
        <w:tab/>
        <w:t>Prevention of terrorism</w:t>
      </w:r>
    </w:p>
    <w:p w14:paraId="465F5670" w14:textId="77777777" w:rsidR="0088662B" w:rsidRPr="000A6FD4" w:rsidRDefault="0088662B" w:rsidP="00FE713F">
      <w:pPr>
        <w:jc w:val="both"/>
        <w:rPr>
          <w:b/>
          <w:bCs/>
          <w:i/>
          <w:iCs/>
          <w:sz w:val="22"/>
          <w:szCs w:val="22"/>
        </w:rPr>
      </w:pPr>
    </w:p>
    <w:p w14:paraId="5283E745" w14:textId="77777777" w:rsidR="00E904C1" w:rsidRPr="000A6FD4" w:rsidRDefault="00542904">
      <w:pPr>
        <w:jc w:val="both"/>
        <w:rPr>
          <w:b/>
          <w:bCs/>
          <w:sz w:val="22"/>
          <w:szCs w:val="22"/>
        </w:rPr>
      </w:pPr>
      <w:r w:rsidRPr="000A6FD4">
        <w:rPr>
          <w:b/>
          <w:bCs/>
          <w:sz w:val="22"/>
          <w:szCs w:val="22"/>
        </w:rPr>
        <w:t>Preventing terrorist financing and proliferation</w:t>
      </w:r>
    </w:p>
    <w:p w14:paraId="294C2114" w14:textId="77777777" w:rsidR="00FE713F" w:rsidRPr="000A6FD4" w:rsidRDefault="00FE713F" w:rsidP="00FE713F">
      <w:pPr>
        <w:jc w:val="both"/>
        <w:rPr>
          <w:bCs/>
          <w:i/>
          <w:iCs/>
          <w:sz w:val="22"/>
          <w:szCs w:val="22"/>
        </w:rPr>
      </w:pPr>
    </w:p>
    <w:p w14:paraId="689DBC07" w14:textId="77777777" w:rsidR="00E904C1" w:rsidRPr="000A6FD4" w:rsidRDefault="00542904">
      <w:pPr>
        <w:jc w:val="both"/>
        <w:rPr>
          <w:bCs/>
          <w:sz w:val="22"/>
          <w:szCs w:val="22"/>
        </w:rPr>
      </w:pPr>
      <w:r w:rsidRPr="000A6FD4">
        <w:rPr>
          <w:bCs/>
          <w:sz w:val="22"/>
          <w:szCs w:val="22"/>
          <w:u w:val="single"/>
        </w:rPr>
        <w:t>Purpose</w:t>
      </w:r>
      <w:r w:rsidRPr="000A6FD4">
        <w:rPr>
          <w:bCs/>
          <w:sz w:val="22"/>
          <w:szCs w:val="22"/>
        </w:rPr>
        <w:t xml:space="preserve">: </w:t>
      </w:r>
    </w:p>
    <w:p w14:paraId="0643487D" w14:textId="77777777" w:rsidR="00FE713F" w:rsidRPr="000A6FD4" w:rsidRDefault="00FE713F" w:rsidP="00FE713F">
      <w:pPr>
        <w:jc w:val="both"/>
        <w:rPr>
          <w:bCs/>
          <w:sz w:val="22"/>
          <w:szCs w:val="22"/>
        </w:rPr>
      </w:pPr>
    </w:p>
    <w:p w14:paraId="5E40A51F" w14:textId="784619DC" w:rsidR="00E904C1" w:rsidRPr="000A6FD4" w:rsidRDefault="00542904">
      <w:pPr>
        <w:jc w:val="both"/>
        <w:rPr>
          <w:bCs/>
          <w:sz w:val="22"/>
          <w:szCs w:val="22"/>
        </w:rPr>
      </w:pPr>
      <w:r w:rsidRPr="000A6FD4">
        <w:rPr>
          <w:bCs/>
          <w:sz w:val="22"/>
          <w:szCs w:val="22"/>
        </w:rPr>
        <w:t>Support Member States in countering terrorism and its financing through the implementation of legislative framework</w:t>
      </w:r>
      <w:r w:rsidR="00D218FA" w:rsidRPr="000A6FD4">
        <w:rPr>
          <w:bCs/>
          <w:sz w:val="22"/>
          <w:szCs w:val="22"/>
        </w:rPr>
        <w:t>s</w:t>
      </w:r>
      <w:r w:rsidRPr="000A6FD4">
        <w:rPr>
          <w:bCs/>
          <w:sz w:val="22"/>
          <w:szCs w:val="22"/>
        </w:rPr>
        <w:t xml:space="preserve"> in line with their legal obligations, international </w:t>
      </w:r>
      <w:proofErr w:type="gramStart"/>
      <w:r w:rsidRPr="000A6FD4">
        <w:rPr>
          <w:bCs/>
          <w:sz w:val="22"/>
          <w:szCs w:val="22"/>
        </w:rPr>
        <w:t>standards</w:t>
      </w:r>
      <w:proofErr w:type="gramEnd"/>
      <w:r w:rsidRPr="000A6FD4">
        <w:rPr>
          <w:bCs/>
          <w:sz w:val="22"/>
          <w:szCs w:val="22"/>
        </w:rPr>
        <w:t xml:space="preserve"> and effective systems for </w:t>
      </w:r>
      <w:r w:rsidR="00D218FA" w:rsidRPr="000A6FD4">
        <w:rPr>
          <w:bCs/>
          <w:sz w:val="22"/>
          <w:szCs w:val="22"/>
        </w:rPr>
        <w:t xml:space="preserve">preventing and detecting </w:t>
      </w:r>
      <w:r w:rsidRPr="000A6FD4">
        <w:rPr>
          <w:bCs/>
          <w:sz w:val="22"/>
          <w:szCs w:val="22"/>
        </w:rPr>
        <w:t xml:space="preserve">money laundering and terrorist financing. </w:t>
      </w:r>
    </w:p>
    <w:p w14:paraId="710B7B90" w14:textId="77777777" w:rsidR="008E7FCB" w:rsidRPr="000A6FD4" w:rsidRDefault="008E7FCB" w:rsidP="00FE713F">
      <w:pPr>
        <w:jc w:val="both"/>
        <w:rPr>
          <w:rFonts w:eastAsia="Calibri"/>
          <w:sz w:val="22"/>
          <w:szCs w:val="22"/>
          <w:u w:val="single"/>
        </w:rPr>
      </w:pPr>
    </w:p>
    <w:p w14:paraId="60903354" w14:textId="77777777" w:rsidR="00E904C1" w:rsidRPr="000A6FD4" w:rsidRDefault="00542904">
      <w:pPr>
        <w:jc w:val="both"/>
        <w:rPr>
          <w:rFonts w:eastAsia="Calibri"/>
          <w:sz w:val="22"/>
          <w:szCs w:val="22"/>
          <w:u w:val="single"/>
          <w:lang w:val="es-ES"/>
        </w:rPr>
      </w:pPr>
      <w:r w:rsidRPr="000A6FD4">
        <w:rPr>
          <w:rFonts w:eastAsia="Calibri"/>
          <w:sz w:val="22"/>
          <w:szCs w:val="22"/>
          <w:u w:val="single"/>
        </w:rPr>
        <w:t>Proposed activities:</w:t>
      </w:r>
    </w:p>
    <w:p w14:paraId="170E0CA3" w14:textId="77777777" w:rsidR="00FE713F" w:rsidRPr="000A6FD4" w:rsidRDefault="00FE713F" w:rsidP="00FE713F">
      <w:pPr>
        <w:jc w:val="both"/>
        <w:rPr>
          <w:sz w:val="22"/>
          <w:szCs w:val="22"/>
          <w:u w:val="single"/>
          <w:lang w:val="es-ES"/>
        </w:rPr>
      </w:pPr>
    </w:p>
    <w:p w14:paraId="11078B01" w14:textId="77777777"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Provision of technical and legislative assistance to update domestic legal frameworks on money laundering/</w:t>
      </w:r>
      <w:proofErr w:type="spellStart"/>
      <w:r w:rsidRPr="000A6FD4">
        <w:rPr>
          <w:rFonts w:ascii="Times New Roman" w:hAnsi="Times New Roman"/>
          <w:sz w:val="22"/>
          <w:szCs w:val="22"/>
        </w:rPr>
        <w:t>counter-terrorism</w:t>
      </w:r>
      <w:proofErr w:type="spellEnd"/>
      <w:r w:rsidRPr="000A6FD4">
        <w:rPr>
          <w:rFonts w:ascii="Times New Roman" w:hAnsi="Times New Roman"/>
          <w:sz w:val="22"/>
          <w:szCs w:val="22"/>
        </w:rPr>
        <w:t xml:space="preserve"> financing in line with relevant international instruments and Financial Action Task Force (FATF) recommendations. </w:t>
      </w:r>
    </w:p>
    <w:p w14:paraId="696C6B45" w14:textId="345AFAFE"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Support the development of effective systems for the implementation of targeted financial sanctions and systems for domestic listing, in accordance with international legal instruments. </w:t>
      </w:r>
    </w:p>
    <w:p w14:paraId="7F5C21F6" w14:textId="4C24E079"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Capacity-building of national officials and institutions on special investigative</w:t>
      </w:r>
      <w:r w:rsidR="00D218FA" w:rsidRPr="000A6FD4">
        <w:rPr>
          <w:rFonts w:ascii="Times New Roman" w:hAnsi="Times New Roman"/>
          <w:sz w:val="22"/>
          <w:szCs w:val="22"/>
        </w:rPr>
        <w:t xml:space="preserve"> techniques</w:t>
      </w:r>
      <w:r w:rsidRPr="000A6FD4">
        <w:rPr>
          <w:rFonts w:ascii="Times New Roman" w:hAnsi="Times New Roman"/>
          <w:sz w:val="22"/>
          <w:szCs w:val="22"/>
        </w:rPr>
        <w:t xml:space="preserve">, </w:t>
      </w:r>
      <w:proofErr w:type="gramStart"/>
      <w:r w:rsidRPr="000A6FD4">
        <w:rPr>
          <w:rFonts w:ascii="Times New Roman" w:hAnsi="Times New Roman"/>
          <w:sz w:val="22"/>
          <w:szCs w:val="22"/>
        </w:rPr>
        <w:t>prosecut</w:t>
      </w:r>
      <w:r w:rsidR="00D218FA" w:rsidRPr="000A6FD4">
        <w:rPr>
          <w:rFonts w:ascii="Times New Roman" w:hAnsi="Times New Roman"/>
          <w:sz w:val="22"/>
          <w:szCs w:val="22"/>
        </w:rPr>
        <w:t>ions</w:t>
      </w:r>
      <w:proofErr w:type="gramEnd"/>
      <w:r w:rsidR="00D218FA" w:rsidRPr="000A6FD4">
        <w:rPr>
          <w:rFonts w:ascii="Times New Roman" w:hAnsi="Times New Roman"/>
          <w:sz w:val="22"/>
          <w:szCs w:val="22"/>
        </w:rPr>
        <w:t xml:space="preserve"> </w:t>
      </w:r>
      <w:r w:rsidRPr="000A6FD4">
        <w:rPr>
          <w:rFonts w:ascii="Times New Roman" w:hAnsi="Times New Roman"/>
          <w:sz w:val="22"/>
          <w:szCs w:val="22"/>
        </w:rPr>
        <w:t xml:space="preserve">and other tools in accordance with international standards in this area. </w:t>
      </w:r>
    </w:p>
    <w:p w14:paraId="0C8FC9CA" w14:textId="77777777"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Specialized training of analysts from financial intelligence units, officials from regulatory/supervisory financial institutions and representatives of the private sector to promote cooperation between the different actors involved in the investigation and prosecution of cases of money laundering, terrorist financing and financing of the proliferation of weapons of destruction at the national and regional levels. </w:t>
      </w:r>
    </w:p>
    <w:p w14:paraId="033D01C2" w14:textId="5DCE3D19"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Conduct virtual workshops and forums for government officials and private sector members on emerging terrorist financing threats, as well as methods of detection, </w:t>
      </w:r>
      <w:proofErr w:type="gramStart"/>
      <w:r w:rsidRPr="000A6FD4">
        <w:rPr>
          <w:rFonts w:ascii="Times New Roman" w:hAnsi="Times New Roman"/>
          <w:sz w:val="22"/>
          <w:szCs w:val="22"/>
        </w:rPr>
        <w:t>prevention</w:t>
      </w:r>
      <w:proofErr w:type="gramEnd"/>
      <w:r w:rsidRPr="000A6FD4">
        <w:rPr>
          <w:rFonts w:ascii="Times New Roman" w:hAnsi="Times New Roman"/>
          <w:sz w:val="22"/>
          <w:szCs w:val="22"/>
        </w:rPr>
        <w:t xml:space="preserve"> and judicial investigation, as appropriate. </w:t>
      </w:r>
    </w:p>
    <w:p w14:paraId="56792BDE" w14:textId="77777777" w:rsidR="00E904C1" w:rsidRPr="000A6FD4" w:rsidRDefault="00542904">
      <w:pPr>
        <w:pStyle w:val="ListParagraph"/>
        <w:numPr>
          <w:ilvl w:val="0"/>
          <w:numId w:val="12"/>
        </w:numPr>
        <w:ind w:left="720" w:hanging="720"/>
        <w:jc w:val="both"/>
        <w:rPr>
          <w:rFonts w:ascii="Times New Roman" w:eastAsia="Times New Roman" w:hAnsi="Times New Roman"/>
          <w:sz w:val="22"/>
          <w:szCs w:val="22"/>
        </w:rPr>
      </w:pPr>
      <w:r w:rsidRPr="000A6FD4">
        <w:rPr>
          <w:rFonts w:ascii="Times New Roman" w:hAnsi="Times New Roman"/>
          <w:sz w:val="22"/>
          <w:szCs w:val="22"/>
        </w:rPr>
        <w:t xml:space="preserve">Conduct a study on the links between transnational organized crime and terrorism, in collaboration with the Department against Transnational Organized Crime and </w:t>
      </w:r>
      <w:r w:rsidRPr="000A6FD4">
        <w:rPr>
          <w:rFonts w:ascii="Times New Roman" w:eastAsia="Times New Roman" w:hAnsi="Times New Roman"/>
          <w:sz w:val="22"/>
          <w:szCs w:val="22"/>
        </w:rPr>
        <w:t xml:space="preserve">the </w:t>
      </w:r>
      <w:r w:rsidRPr="000A6FD4">
        <w:rPr>
          <w:rFonts w:ascii="Times New Roman" w:eastAsia="Times New Roman" w:hAnsi="Times New Roman"/>
          <w:color w:val="202122"/>
          <w:sz w:val="22"/>
          <w:szCs w:val="22"/>
        </w:rPr>
        <w:t>United Nations Interregional Crime and Justice Research Institute (UNICRI).</w:t>
      </w:r>
    </w:p>
    <w:p w14:paraId="0194CCEE" w14:textId="77777777" w:rsidR="00FE713F" w:rsidRPr="000A6FD4" w:rsidRDefault="00FE713F" w:rsidP="00FE713F">
      <w:pPr>
        <w:jc w:val="both"/>
        <w:rPr>
          <w:b/>
          <w:bCs/>
          <w:sz w:val="22"/>
          <w:szCs w:val="22"/>
        </w:rPr>
      </w:pPr>
    </w:p>
    <w:p w14:paraId="40DAE2C5" w14:textId="77777777" w:rsidR="00785AC8" w:rsidRPr="000A6FD4" w:rsidRDefault="00785AC8" w:rsidP="00FE713F">
      <w:pPr>
        <w:jc w:val="both"/>
        <w:rPr>
          <w:b/>
          <w:bCs/>
          <w:sz w:val="22"/>
          <w:szCs w:val="22"/>
        </w:rPr>
      </w:pPr>
    </w:p>
    <w:p w14:paraId="44867272" w14:textId="77777777" w:rsidR="00E904C1" w:rsidRPr="000A6FD4" w:rsidRDefault="00542904">
      <w:pPr>
        <w:pStyle w:val="ListParagraph"/>
        <w:ind w:left="0"/>
        <w:jc w:val="both"/>
        <w:rPr>
          <w:rFonts w:ascii="Times New Roman" w:hAnsi="Times New Roman"/>
          <w:b/>
          <w:bCs/>
          <w:sz w:val="22"/>
          <w:szCs w:val="22"/>
        </w:rPr>
      </w:pPr>
      <w:r w:rsidRPr="000A6FD4">
        <w:rPr>
          <w:rFonts w:ascii="Times New Roman" w:hAnsi="Times New Roman"/>
          <w:b/>
          <w:bCs/>
          <w:sz w:val="22"/>
          <w:szCs w:val="22"/>
        </w:rPr>
        <w:t xml:space="preserve">Preventing violent extremism that can lead to </w:t>
      </w:r>
      <w:proofErr w:type="gramStart"/>
      <w:r w:rsidRPr="000A6FD4">
        <w:rPr>
          <w:rFonts w:ascii="Times New Roman" w:hAnsi="Times New Roman"/>
          <w:b/>
          <w:bCs/>
          <w:sz w:val="22"/>
          <w:szCs w:val="22"/>
        </w:rPr>
        <w:t>terrorism</w:t>
      </w:r>
      <w:proofErr w:type="gramEnd"/>
    </w:p>
    <w:p w14:paraId="74E14ACA" w14:textId="77777777" w:rsidR="007662A0" w:rsidRPr="000A6FD4" w:rsidRDefault="007662A0" w:rsidP="007662A0">
      <w:pPr>
        <w:jc w:val="both"/>
        <w:rPr>
          <w:b/>
          <w:bCs/>
          <w:i/>
          <w:iCs/>
          <w:sz w:val="22"/>
          <w:szCs w:val="22"/>
        </w:rPr>
      </w:pPr>
    </w:p>
    <w:p w14:paraId="01FF28B7" w14:textId="77777777" w:rsidR="00E904C1" w:rsidRPr="000A6FD4" w:rsidRDefault="00542904">
      <w:pPr>
        <w:jc w:val="both"/>
        <w:rPr>
          <w:sz w:val="22"/>
          <w:szCs w:val="22"/>
        </w:rPr>
      </w:pPr>
      <w:r w:rsidRPr="000A6FD4">
        <w:rPr>
          <w:sz w:val="22"/>
          <w:szCs w:val="22"/>
          <w:u w:val="single"/>
        </w:rPr>
        <w:t>Purpose</w:t>
      </w:r>
      <w:r w:rsidRPr="000A6FD4">
        <w:rPr>
          <w:sz w:val="22"/>
          <w:szCs w:val="22"/>
        </w:rPr>
        <w:t>:</w:t>
      </w:r>
    </w:p>
    <w:p w14:paraId="34C99560" w14:textId="77777777" w:rsidR="00E904C1" w:rsidRPr="000A6FD4" w:rsidRDefault="00542904">
      <w:pPr>
        <w:jc w:val="both"/>
        <w:rPr>
          <w:sz w:val="22"/>
          <w:szCs w:val="22"/>
        </w:rPr>
      </w:pPr>
      <w:r w:rsidRPr="000A6FD4">
        <w:rPr>
          <w:sz w:val="22"/>
          <w:szCs w:val="22"/>
        </w:rPr>
        <w:t xml:space="preserve"> </w:t>
      </w:r>
    </w:p>
    <w:p w14:paraId="347453C0" w14:textId="7492EA99" w:rsidR="00E904C1" w:rsidRPr="000A6FD4" w:rsidRDefault="00542904">
      <w:pPr>
        <w:jc w:val="both"/>
        <w:rPr>
          <w:bCs/>
          <w:iCs/>
          <w:sz w:val="22"/>
          <w:szCs w:val="22"/>
        </w:rPr>
      </w:pPr>
      <w:r w:rsidRPr="000A6FD4">
        <w:rPr>
          <w:bCs/>
          <w:iCs/>
          <w:sz w:val="22"/>
          <w:szCs w:val="22"/>
        </w:rPr>
        <w:t>Support Member States in their efforts to prevent violent extremism that can lead to terrorism, particularly through strengthening national capacities and regional cooperation.</w:t>
      </w:r>
    </w:p>
    <w:p w14:paraId="6DBDCF5A" w14:textId="77777777" w:rsidR="007662A0" w:rsidRPr="000A6FD4" w:rsidRDefault="007662A0" w:rsidP="007662A0">
      <w:pPr>
        <w:jc w:val="both"/>
        <w:rPr>
          <w:rFonts w:eastAsia="Calibri"/>
          <w:sz w:val="22"/>
          <w:szCs w:val="22"/>
          <w:u w:val="single"/>
        </w:rPr>
      </w:pPr>
    </w:p>
    <w:p w14:paraId="68922275" w14:textId="77777777" w:rsidR="00785AC8" w:rsidRPr="000A6FD4" w:rsidRDefault="00785AC8" w:rsidP="007662A0">
      <w:pPr>
        <w:jc w:val="both"/>
        <w:rPr>
          <w:rFonts w:eastAsia="Calibri"/>
          <w:sz w:val="22"/>
          <w:szCs w:val="22"/>
          <w:u w:val="single"/>
        </w:rPr>
      </w:pPr>
    </w:p>
    <w:p w14:paraId="55CDD363" w14:textId="77777777" w:rsidR="00785AC8" w:rsidRPr="000A6FD4" w:rsidRDefault="00785AC8" w:rsidP="007662A0">
      <w:pPr>
        <w:jc w:val="both"/>
        <w:rPr>
          <w:rFonts w:eastAsia="Calibri"/>
          <w:sz w:val="22"/>
          <w:szCs w:val="22"/>
          <w:u w:val="single"/>
        </w:rPr>
      </w:pPr>
    </w:p>
    <w:p w14:paraId="51A1427B" w14:textId="77777777" w:rsidR="00785AC8" w:rsidRPr="000A6FD4" w:rsidRDefault="00785AC8" w:rsidP="007662A0">
      <w:pPr>
        <w:jc w:val="both"/>
        <w:rPr>
          <w:rFonts w:eastAsia="Calibri"/>
          <w:sz w:val="22"/>
          <w:szCs w:val="22"/>
          <w:u w:val="single"/>
        </w:rPr>
      </w:pPr>
    </w:p>
    <w:p w14:paraId="7D82007A" w14:textId="77777777" w:rsidR="00785AC8" w:rsidRPr="000A6FD4" w:rsidRDefault="00785AC8" w:rsidP="007662A0">
      <w:pPr>
        <w:jc w:val="both"/>
        <w:rPr>
          <w:rFonts w:eastAsia="Calibri"/>
          <w:sz w:val="22"/>
          <w:szCs w:val="22"/>
          <w:u w:val="single"/>
        </w:rPr>
      </w:pPr>
    </w:p>
    <w:p w14:paraId="25C8B166" w14:textId="77777777" w:rsidR="00E904C1" w:rsidRPr="000A6FD4" w:rsidRDefault="00542904">
      <w:pPr>
        <w:jc w:val="both"/>
        <w:rPr>
          <w:bCs/>
          <w:iCs/>
          <w:sz w:val="22"/>
          <w:szCs w:val="22"/>
          <w:lang w:val="es-ES"/>
        </w:rPr>
      </w:pPr>
      <w:r w:rsidRPr="000A6FD4">
        <w:rPr>
          <w:rFonts w:eastAsia="Calibri"/>
          <w:sz w:val="22"/>
          <w:szCs w:val="22"/>
          <w:u w:val="single"/>
        </w:rPr>
        <w:lastRenderedPageBreak/>
        <w:t>Proposed activities</w:t>
      </w:r>
      <w:r w:rsidRPr="000A6FD4">
        <w:rPr>
          <w:bCs/>
          <w:iCs/>
          <w:sz w:val="22"/>
          <w:szCs w:val="22"/>
        </w:rPr>
        <w:t>:</w:t>
      </w:r>
    </w:p>
    <w:p w14:paraId="1F4A59B8" w14:textId="77777777" w:rsidR="007662A0" w:rsidRPr="000A6FD4" w:rsidRDefault="007662A0" w:rsidP="007662A0">
      <w:pPr>
        <w:jc w:val="both"/>
        <w:rPr>
          <w:bCs/>
          <w:iCs/>
          <w:sz w:val="22"/>
          <w:szCs w:val="22"/>
          <w:lang w:val="es-ES"/>
        </w:rPr>
      </w:pPr>
    </w:p>
    <w:p w14:paraId="02609C26" w14:textId="393F9863"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Identification of experts and institutions specialized in the prevention of violent extremism that can contribute to hemispheric dialog within the framework of CICTE and, eventually, form a network of experts from the region in this area.</w:t>
      </w:r>
    </w:p>
    <w:p w14:paraId="4F53090A" w14:textId="433EE0CC"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Organization of forums, seminars, </w:t>
      </w:r>
      <w:proofErr w:type="gramStart"/>
      <w:r w:rsidRPr="000A6FD4">
        <w:rPr>
          <w:rFonts w:ascii="Times New Roman" w:hAnsi="Times New Roman"/>
          <w:sz w:val="22"/>
          <w:szCs w:val="22"/>
        </w:rPr>
        <w:t>workshops</w:t>
      </w:r>
      <w:proofErr w:type="gramEnd"/>
      <w:r w:rsidRPr="000A6FD4">
        <w:rPr>
          <w:rFonts w:ascii="Times New Roman" w:hAnsi="Times New Roman"/>
          <w:sz w:val="22"/>
          <w:szCs w:val="22"/>
        </w:rPr>
        <w:t xml:space="preserve"> and other face-to-face and virtual activities to facilitate better understanding of the phenomenon of violent extremism and its manifestations, as well as the threat it presents and the need to prevent it. </w:t>
      </w:r>
    </w:p>
    <w:p w14:paraId="3F8E970E"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Participation in specialized meetings and multisectoral dialogs on current and emerging trends in the prevention of violent extremism and multilateral efforts to develop and implement prevention frameworks. </w:t>
      </w:r>
    </w:p>
    <w:p w14:paraId="5C45DD6F" w14:textId="756711F8" w:rsidR="00E904C1" w:rsidRPr="000A6FD4" w:rsidRDefault="00542904">
      <w:pPr>
        <w:pStyle w:val="ListParagraph"/>
        <w:numPr>
          <w:ilvl w:val="0"/>
          <w:numId w:val="12"/>
        </w:numPr>
        <w:ind w:left="720" w:hanging="720"/>
        <w:jc w:val="both"/>
        <w:rPr>
          <w:rFonts w:ascii="Times New Roman" w:hAnsi="Times New Roman"/>
          <w:bCs/>
          <w:sz w:val="22"/>
          <w:szCs w:val="22"/>
        </w:rPr>
      </w:pPr>
      <w:r w:rsidRPr="000A6FD4">
        <w:rPr>
          <w:rFonts w:ascii="Times New Roman" w:hAnsi="Times New Roman"/>
          <w:sz w:val="22"/>
          <w:szCs w:val="22"/>
        </w:rPr>
        <w:t xml:space="preserve">Facilitate the exchange of information and experiences to prevent and respond to violent extremism challenges, particularly recruitment, </w:t>
      </w:r>
      <w:proofErr w:type="gramStart"/>
      <w:r w:rsidRPr="000A6FD4">
        <w:rPr>
          <w:rFonts w:ascii="Times New Roman" w:hAnsi="Times New Roman"/>
          <w:sz w:val="22"/>
          <w:szCs w:val="22"/>
        </w:rPr>
        <w:t>propaganda</w:t>
      </w:r>
      <w:proofErr w:type="gramEnd"/>
      <w:r w:rsidRPr="000A6FD4">
        <w:rPr>
          <w:rFonts w:ascii="Times New Roman" w:hAnsi="Times New Roman"/>
          <w:sz w:val="22"/>
          <w:szCs w:val="22"/>
        </w:rPr>
        <w:t xml:space="preserve"> and radicalization (online and offline). </w:t>
      </w:r>
    </w:p>
    <w:p w14:paraId="2D774334" w14:textId="77777777" w:rsidR="007662A0" w:rsidRPr="000A6FD4" w:rsidRDefault="007662A0" w:rsidP="00FE713F">
      <w:pPr>
        <w:jc w:val="both"/>
        <w:rPr>
          <w:b/>
          <w:bCs/>
          <w:sz w:val="22"/>
          <w:szCs w:val="22"/>
        </w:rPr>
      </w:pPr>
    </w:p>
    <w:p w14:paraId="1FCCE804" w14:textId="77777777" w:rsidR="00785AC8" w:rsidRPr="000A6FD4" w:rsidRDefault="00785AC8" w:rsidP="00FE713F">
      <w:pPr>
        <w:jc w:val="both"/>
        <w:rPr>
          <w:b/>
          <w:bCs/>
          <w:sz w:val="22"/>
          <w:szCs w:val="22"/>
        </w:rPr>
      </w:pPr>
    </w:p>
    <w:p w14:paraId="5359ED91" w14:textId="77777777" w:rsidR="00E904C1" w:rsidRPr="000A6FD4" w:rsidRDefault="00542904">
      <w:pPr>
        <w:jc w:val="both"/>
        <w:rPr>
          <w:b/>
          <w:bCs/>
          <w:iCs/>
          <w:sz w:val="22"/>
          <w:szCs w:val="22"/>
        </w:rPr>
      </w:pPr>
      <w:r w:rsidRPr="000A6FD4">
        <w:rPr>
          <w:b/>
          <w:bCs/>
          <w:iCs/>
          <w:sz w:val="22"/>
          <w:szCs w:val="22"/>
        </w:rPr>
        <w:t>Inter-American Network Against Terrorism</w:t>
      </w:r>
    </w:p>
    <w:p w14:paraId="3BFBBF0C" w14:textId="77777777" w:rsidR="00FE713F" w:rsidRPr="000A6FD4" w:rsidRDefault="00FE713F" w:rsidP="00FE713F">
      <w:pPr>
        <w:jc w:val="both"/>
        <w:rPr>
          <w:sz w:val="22"/>
          <w:szCs w:val="22"/>
        </w:rPr>
      </w:pPr>
    </w:p>
    <w:p w14:paraId="43DD145D" w14:textId="77777777" w:rsidR="00E904C1" w:rsidRPr="000A6FD4" w:rsidRDefault="00542904">
      <w:pPr>
        <w:jc w:val="both"/>
        <w:rPr>
          <w:sz w:val="22"/>
          <w:szCs w:val="22"/>
        </w:rPr>
      </w:pPr>
      <w:r w:rsidRPr="000A6FD4">
        <w:rPr>
          <w:sz w:val="22"/>
          <w:szCs w:val="22"/>
          <w:u w:val="single"/>
        </w:rPr>
        <w:t>Purpose</w:t>
      </w:r>
      <w:r w:rsidRPr="000A6FD4">
        <w:rPr>
          <w:sz w:val="22"/>
          <w:szCs w:val="22"/>
        </w:rPr>
        <w:t>:</w:t>
      </w:r>
    </w:p>
    <w:p w14:paraId="136307EF" w14:textId="77777777" w:rsidR="00FE713F" w:rsidRPr="000A6FD4" w:rsidRDefault="00FE713F" w:rsidP="00FE713F">
      <w:pPr>
        <w:jc w:val="both"/>
        <w:rPr>
          <w:sz w:val="22"/>
          <w:szCs w:val="22"/>
        </w:rPr>
      </w:pPr>
    </w:p>
    <w:p w14:paraId="59340EA0" w14:textId="49D59027" w:rsidR="00E904C1" w:rsidRPr="000A6FD4" w:rsidRDefault="00542904">
      <w:pPr>
        <w:jc w:val="both"/>
        <w:rPr>
          <w:sz w:val="22"/>
          <w:szCs w:val="22"/>
        </w:rPr>
      </w:pPr>
      <w:r w:rsidRPr="000A6FD4">
        <w:rPr>
          <w:sz w:val="22"/>
          <w:szCs w:val="22"/>
        </w:rPr>
        <w:t xml:space="preserve">Facilitate the exchange of timely information to prevent and counter terrorism in the region, as well as to strengthen cooperation between designated individuals and institutions. The Network is made up of the (voluntary) participation of Member States and has a secure directory of institutional contacts, designated by Member States, which is available 24/7 days a week. </w:t>
      </w:r>
    </w:p>
    <w:p w14:paraId="3D21EFCF" w14:textId="77777777" w:rsidR="00FE713F" w:rsidRPr="000A6FD4" w:rsidRDefault="00FE713F" w:rsidP="00FE713F">
      <w:pPr>
        <w:jc w:val="both"/>
        <w:rPr>
          <w:sz w:val="22"/>
          <w:szCs w:val="22"/>
        </w:rPr>
      </w:pPr>
    </w:p>
    <w:p w14:paraId="59F9B050" w14:textId="77777777" w:rsidR="00E904C1" w:rsidRPr="000A6FD4" w:rsidRDefault="00542904">
      <w:pPr>
        <w:jc w:val="both"/>
        <w:rPr>
          <w:sz w:val="22"/>
          <w:szCs w:val="22"/>
          <w:u w:val="single"/>
          <w:lang w:val="es-ES"/>
        </w:rPr>
      </w:pPr>
      <w:r w:rsidRPr="000A6FD4">
        <w:rPr>
          <w:rFonts w:eastAsia="Calibri"/>
          <w:sz w:val="22"/>
          <w:szCs w:val="22"/>
          <w:u w:val="single"/>
        </w:rPr>
        <w:t>Proposed activities:</w:t>
      </w:r>
    </w:p>
    <w:p w14:paraId="5AEDDE47" w14:textId="77777777" w:rsidR="00FE713F" w:rsidRPr="000A6FD4" w:rsidRDefault="00FE713F" w:rsidP="00FE713F">
      <w:pPr>
        <w:jc w:val="both"/>
        <w:rPr>
          <w:sz w:val="22"/>
          <w:szCs w:val="22"/>
          <w:lang w:val="es-ES"/>
        </w:rPr>
      </w:pPr>
    </w:p>
    <w:p w14:paraId="7275353D"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Organization of virtual quarterly/biannual meetings and at least one face-to-face meeting to facilitate the exchange of information and good practices among Member States that are members of the Network. </w:t>
      </w:r>
    </w:p>
    <w:p w14:paraId="15885122"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Exchange of experiences with other multilateral organizations with similar networks.</w:t>
      </w:r>
    </w:p>
    <w:p w14:paraId="299D5574" w14:textId="77777777" w:rsidR="00FE713F" w:rsidRPr="000A6FD4" w:rsidRDefault="00FE713F" w:rsidP="00FE713F">
      <w:pPr>
        <w:jc w:val="both"/>
        <w:rPr>
          <w:b/>
          <w:bCs/>
          <w:sz w:val="22"/>
          <w:szCs w:val="22"/>
        </w:rPr>
      </w:pPr>
    </w:p>
    <w:p w14:paraId="13E3FD4A" w14:textId="77777777" w:rsidR="00941B44" w:rsidRPr="000A6FD4" w:rsidRDefault="00941B44">
      <w:pPr>
        <w:rPr>
          <w:b/>
          <w:bCs/>
          <w:sz w:val="22"/>
          <w:szCs w:val="22"/>
        </w:rPr>
      </w:pPr>
    </w:p>
    <w:p w14:paraId="2C78B190" w14:textId="77777777" w:rsidR="00E904C1" w:rsidRPr="000A6FD4" w:rsidRDefault="00542904">
      <w:pPr>
        <w:jc w:val="both"/>
        <w:rPr>
          <w:b/>
          <w:bCs/>
          <w:sz w:val="22"/>
          <w:szCs w:val="22"/>
          <w:highlight w:val="yellow"/>
        </w:rPr>
      </w:pPr>
      <w:r w:rsidRPr="000A6FD4">
        <w:rPr>
          <w:b/>
          <w:bCs/>
          <w:sz w:val="22"/>
          <w:szCs w:val="22"/>
        </w:rPr>
        <w:t>III. Project portfolio</w:t>
      </w:r>
    </w:p>
    <w:p w14:paraId="2D40A533" w14:textId="77777777" w:rsidR="00D46CBE" w:rsidRPr="000A6FD4" w:rsidRDefault="00D46CBE" w:rsidP="00FE713F">
      <w:pPr>
        <w:jc w:val="both"/>
        <w:rPr>
          <w:b/>
          <w:bCs/>
          <w:sz w:val="22"/>
          <w:szCs w:val="22"/>
        </w:rPr>
      </w:pPr>
    </w:p>
    <w:p w14:paraId="43A49006" w14:textId="77777777" w:rsidR="00785AC8" w:rsidRPr="000A6FD4" w:rsidRDefault="00785AC8" w:rsidP="00FE713F">
      <w:pPr>
        <w:jc w:val="both"/>
        <w:rPr>
          <w:b/>
          <w:bCs/>
          <w:sz w:val="22"/>
          <w:szCs w:val="22"/>
        </w:rPr>
      </w:pPr>
    </w:p>
    <w:p w14:paraId="240E5EBC" w14:textId="77777777" w:rsidR="00E904C1" w:rsidRPr="000A6FD4" w:rsidRDefault="00542904">
      <w:pPr>
        <w:jc w:val="both"/>
        <w:rPr>
          <w:sz w:val="22"/>
          <w:szCs w:val="22"/>
        </w:rPr>
      </w:pPr>
      <w:r w:rsidRPr="000A6FD4">
        <w:rPr>
          <w:sz w:val="22"/>
          <w:szCs w:val="22"/>
        </w:rPr>
        <w:tab/>
        <w:t>The list of projects under way for 2024 is as follows:</w:t>
      </w:r>
    </w:p>
    <w:p w14:paraId="56551788" w14:textId="1B361112" w:rsidR="00E904C1" w:rsidRPr="000A6FD4" w:rsidRDefault="00E904C1">
      <w:pPr>
        <w:rPr>
          <w:sz w:val="22"/>
          <w:szCs w:val="22"/>
        </w:rPr>
      </w:pPr>
    </w:p>
    <w:p w14:paraId="19748FF4" w14:textId="77777777" w:rsidR="00A26BA3" w:rsidRPr="000A6FD4" w:rsidRDefault="00A26BA3" w:rsidP="00A7676C">
      <w:pPr>
        <w:rPr>
          <w:sz w:val="22"/>
          <w:szCs w:val="22"/>
        </w:rPr>
      </w:pPr>
    </w:p>
    <w:p w14:paraId="27C34B6C" w14:textId="77777777" w:rsidR="00E904C1" w:rsidRPr="000A6FD4" w:rsidRDefault="00542904">
      <w:pPr>
        <w:rPr>
          <w:sz w:val="22"/>
          <w:szCs w:val="22"/>
          <w:lang w:val="es-419"/>
        </w:rPr>
      </w:pPr>
      <w:r w:rsidRPr="000A6FD4">
        <w:rPr>
          <w:sz w:val="22"/>
          <w:szCs w:val="22"/>
        </w:rPr>
        <w:t>Cybersecurity</w:t>
      </w:r>
    </w:p>
    <w:p w14:paraId="0A314887" w14:textId="77777777" w:rsidR="00A7676C" w:rsidRPr="000A6FD4" w:rsidRDefault="00A7676C" w:rsidP="00A7676C">
      <w:pPr>
        <w:rPr>
          <w:sz w:val="22"/>
          <w:szCs w:val="22"/>
          <w:lang w:val="es-419"/>
        </w:rPr>
      </w:pPr>
    </w:p>
    <w:p w14:paraId="1FB811CD" w14:textId="77777777" w:rsidR="00E904C1" w:rsidRPr="000A6FD4" w:rsidRDefault="00542904">
      <w:pPr>
        <w:pStyle w:val="ListParagraph"/>
        <w:numPr>
          <w:ilvl w:val="0"/>
          <w:numId w:val="17"/>
        </w:numPr>
        <w:contextualSpacing w:val="0"/>
        <w:jc w:val="both"/>
        <w:rPr>
          <w:rFonts w:ascii="Times New Roman" w:hAnsi="Times New Roman"/>
          <w:color w:val="000000"/>
          <w:sz w:val="22"/>
          <w:szCs w:val="22"/>
        </w:rPr>
      </w:pPr>
      <w:r w:rsidRPr="000A6FD4">
        <w:rPr>
          <w:rFonts w:ascii="Times New Roman" w:hAnsi="Times New Roman"/>
          <w:color w:val="000000"/>
          <w:sz w:val="22"/>
          <w:szCs w:val="22"/>
        </w:rPr>
        <w:t xml:space="preserve">Support to the OAS and its Member States to prevent, combat and </w:t>
      </w:r>
      <w:r w:rsidRPr="000A6FD4">
        <w:rPr>
          <w:rFonts w:ascii="Times New Roman" w:hAnsi="Times New Roman"/>
          <w:color w:val="000000"/>
          <w:sz w:val="22"/>
          <w:szCs w:val="22"/>
        </w:rPr>
        <w:br/>
        <w:t xml:space="preserve">mitigate cybersecurity threats in the Americas (2020–2024). Donor: Canada. </w:t>
      </w:r>
    </w:p>
    <w:p w14:paraId="738FA622" w14:textId="77777777" w:rsidR="001B3851" w:rsidRPr="000A6FD4" w:rsidRDefault="001B3851" w:rsidP="001B3851">
      <w:pPr>
        <w:pStyle w:val="ListParagraph"/>
        <w:ind w:left="360"/>
        <w:contextualSpacing w:val="0"/>
        <w:jc w:val="both"/>
        <w:rPr>
          <w:rFonts w:ascii="Times New Roman" w:hAnsi="Times New Roman"/>
          <w:color w:val="000000"/>
          <w:sz w:val="22"/>
          <w:szCs w:val="22"/>
        </w:rPr>
      </w:pPr>
    </w:p>
    <w:p w14:paraId="68E55D30" w14:textId="77777777" w:rsidR="00E904C1" w:rsidRPr="000A6FD4" w:rsidRDefault="00542904">
      <w:pPr>
        <w:pStyle w:val="ListParagraph"/>
        <w:numPr>
          <w:ilvl w:val="0"/>
          <w:numId w:val="17"/>
        </w:numPr>
        <w:contextualSpacing w:val="0"/>
        <w:jc w:val="both"/>
        <w:rPr>
          <w:rFonts w:ascii="Times New Roman" w:hAnsi="Times New Roman"/>
          <w:color w:val="000000"/>
          <w:sz w:val="22"/>
          <w:szCs w:val="22"/>
          <w:lang w:val="es-419"/>
        </w:rPr>
      </w:pPr>
      <w:r w:rsidRPr="000A6FD4">
        <w:rPr>
          <w:rFonts w:ascii="Times New Roman" w:hAnsi="Times New Roman"/>
          <w:color w:val="242424"/>
          <w:sz w:val="22"/>
          <w:szCs w:val="22"/>
          <w:bdr w:val="none" w:sz="0" w:space="0" w:color="auto" w:frame="1"/>
        </w:rPr>
        <w:t xml:space="preserve">Closing the gender gap in the cybersecurity agenda of the Americas and the Caribbean (2022-2026). Donor: Canada. </w:t>
      </w:r>
    </w:p>
    <w:p w14:paraId="4234D793" w14:textId="77777777" w:rsidR="00A7676C" w:rsidRPr="000A6FD4" w:rsidRDefault="00A7676C" w:rsidP="00A7676C">
      <w:pPr>
        <w:pStyle w:val="ListParagraph"/>
        <w:rPr>
          <w:rFonts w:ascii="Times New Roman" w:hAnsi="Times New Roman"/>
          <w:color w:val="000000"/>
          <w:sz w:val="22"/>
          <w:szCs w:val="22"/>
          <w:lang w:val="es-419"/>
        </w:rPr>
      </w:pPr>
    </w:p>
    <w:p w14:paraId="003EF3C7" w14:textId="77777777" w:rsidR="00E904C1" w:rsidRPr="000A6FD4" w:rsidRDefault="00542904">
      <w:pPr>
        <w:pStyle w:val="ListParagraph"/>
        <w:numPr>
          <w:ilvl w:val="0"/>
          <w:numId w:val="17"/>
        </w:numPr>
        <w:contextualSpacing w:val="0"/>
        <w:jc w:val="both"/>
        <w:rPr>
          <w:rFonts w:ascii="Times New Roman" w:hAnsi="Times New Roman"/>
          <w:color w:val="000000"/>
          <w:sz w:val="22"/>
          <w:szCs w:val="22"/>
          <w:lang w:val="es-419"/>
        </w:rPr>
      </w:pPr>
      <w:r w:rsidRPr="000A6FD4">
        <w:rPr>
          <w:rFonts w:ascii="Times New Roman" w:hAnsi="Times New Roman"/>
          <w:color w:val="000000"/>
          <w:sz w:val="22"/>
          <w:szCs w:val="22"/>
        </w:rPr>
        <w:t>Creating a career in cybersecurity. Phase VII (2024). Donor: CITI Foundation</w:t>
      </w:r>
    </w:p>
    <w:p w14:paraId="7E716E0A" w14:textId="7E57DB0D" w:rsidR="00E904C1" w:rsidRPr="000A6FD4" w:rsidRDefault="00542904">
      <w:pPr>
        <w:pStyle w:val="ListParagraph"/>
        <w:numPr>
          <w:ilvl w:val="0"/>
          <w:numId w:val="17"/>
        </w:numPr>
        <w:contextualSpacing w:val="0"/>
        <w:jc w:val="both"/>
        <w:rPr>
          <w:rFonts w:ascii="Times New Roman" w:hAnsi="Times New Roman"/>
          <w:color w:val="000000"/>
          <w:sz w:val="22"/>
          <w:szCs w:val="22"/>
        </w:rPr>
      </w:pPr>
      <w:r w:rsidRPr="000A6FD4">
        <w:rPr>
          <w:rFonts w:ascii="Times New Roman" w:hAnsi="Times New Roman"/>
          <w:color w:val="000000"/>
          <w:sz w:val="22"/>
          <w:szCs w:val="22"/>
        </w:rPr>
        <w:lastRenderedPageBreak/>
        <w:t xml:space="preserve">Support to continue strengthening cybersecurity capabilities in OAS </w:t>
      </w:r>
      <w:r w:rsidRPr="000A6FD4">
        <w:rPr>
          <w:rFonts w:ascii="Times New Roman" w:hAnsi="Times New Roman"/>
          <w:color w:val="000000"/>
          <w:sz w:val="22"/>
          <w:szCs w:val="22"/>
        </w:rPr>
        <w:br/>
        <w:t>Member States (2020-2024). Donor: United States.</w:t>
      </w:r>
    </w:p>
    <w:p w14:paraId="2E315D40" w14:textId="77777777" w:rsidR="00651AE6" w:rsidRPr="000A6FD4" w:rsidRDefault="00651AE6" w:rsidP="00A7676C">
      <w:pPr>
        <w:jc w:val="both"/>
        <w:rPr>
          <w:color w:val="000000"/>
          <w:sz w:val="22"/>
          <w:szCs w:val="22"/>
        </w:rPr>
      </w:pPr>
    </w:p>
    <w:p w14:paraId="02CB4601" w14:textId="77777777" w:rsidR="00542904" w:rsidRPr="000A6FD4" w:rsidRDefault="00542904" w:rsidP="00A7676C">
      <w:pPr>
        <w:jc w:val="both"/>
        <w:rPr>
          <w:color w:val="000000"/>
          <w:sz w:val="22"/>
          <w:szCs w:val="22"/>
        </w:rPr>
      </w:pPr>
    </w:p>
    <w:p w14:paraId="36D319A5" w14:textId="77777777" w:rsidR="00E904C1" w:rsidRPr="000A6FD4" w:rsidRDefault="00542904">
      <w:pPr>
        <w:jc w:val="both"/>
        <w:rPr>
          <w:color w:val="000000"/>
          <w:sz w:val="22"/>
          <w:szCs w:val="22"/>
          <w:lang w:val="es-419"/>
        </w:rPr>
      </w:pPr>
      <w:r w:rsidRPr="000A6FD4">
        <w:rPr>
          <w:color w:val="000000"/>
          <w:sz w:val="22"/>
          <w:szCs w:val="22"/>
        </w:rPr>
        <w:t>Disarmament and non-proliferation</w:t>
      </w:r>
    </w:p>
    <w:p w14:paraId="5B8BAE06" w14:textId="77777777" w:rsidR="00A7676C" w:rsidRPr="000A6FD4" w:rsidRDefault="00A7676C" w:rsidP="00A7676C">
      <w:pPr>
        <w:pStyle w:val="ListParagraph"/>
        <w:rPr>
          <w:rFonts w:ascii="Times New Roman" w:hAnsi="Times New Roman"/>
          <w:color w:val="000000"/>
          <w:sz w:val="22"/>
          <w:szCs w:val="22"/>
          <w:lang w:val="es-419"/>
        </w:rPr>
      </w:pPr>
    </w:p>
    <w:p w14:paraId="18A00947" w14:textId="0B7B6F7F" w:rsidR="00E904C1" w:rsidRPr="000A6FD4" w:rsidRDefault="00542904">
      <w:pPr>
        <w:pStyle w:val="ListParagraph"/>
        <w:numPr>
          <w:ilvl w:val="0"/>
          <w:numId w:val="17"/>
        </w:numPr>
        <w:contextualSpacing w:val="0"/>
        <w:jc w:val="both"/>
        <w:rPr>
          <w:rFonts w:ascii="Times New Roman" w:hAnsi="Times New Roman"/>
          <w:color w:val="000000"/>
          <w:sz w:val="22"/>
          <w:szCs w:val="22"/>
        </w:rPr>
      </w:pPr>
      <w:r w:rsidRPr="000A6FD4">
        <w:rPr>
          <w:rFonts w:ascii="Times New Roman" w:hAnsi="Times New Roman"/>
          <w:color w:val="000000"/>
          <w:sz w:val="22"/>
          <w:szCs w:val="22"/>
        </w:rPr>
        <w:t>Strengthening biosafety and biosecurity in line with United Nations Security Council resolution 1540 (2004) on non-proliferation of weapons of mass destruction and their means of delivery, phase 2 (2024–2027). Donor: European Union.</w:t>
      </w:r>
    </w:p>
    <w:p w14:paraId="4E90AE40" w14:textId="77777777" w:rsidR="002B1EFA" w:rsidRPr="000A6FD4" w:rsidRDefault="002B1EFA" w:rsidP="002B1EFA">
      <w:pPr>
        <w:rPr>
          <w:sz w:val="22"/>
          <w:szCs w:val="22"/>
        </w:rPr>
      </w:pPr>
    </w:p>
    <w:p w14:paraId="1F79B5B4" w14:textId="77777777" w:rsidR="00E904C1" w:rsidRPr="000A6FD4" w:rsidRDefault="00542904">
      <w:pPr>
        <w:pStyle w:val="ListParagraph"/>
        <w:numPr>
          <w:ilvl w:val="0"/>
          <w:numId w:val="18"/>
        </w:numPr>
        <w:rPr>
          <w:rFonts w:ascii="Times New Roman" w:eastAsia="Times New Roman" w:hAnsi="Times New Roman"/>
          <w:sz w:val="22"/>
          <w:szCs w:val="22"/>
        </w:rPr>
      </w:pPr>
      <w:r w:rsidRPr="000A6FD4">
        <w:rPr>
          <w:rFonts w:ascii="Times New Roman" w:eastAsia="Times New Roman" w:hAnsi="Times New Roman"/>
          <w:color w:val="000000"/>
          <w:sz w:val="22"/>
          <w:szCs w:val="22"/>
        </w:rPr>
        <w:t>Assist LAC region to develop strong legal and regulatory frameworks for strategic trade control with a view towards regulating transfers of WMD, related materials, and dual-use items (2024–2025). Donor: United States.</w:t>
      </w:r>
    </w:p>
    <w:p w14:paraId="1B3C75D0" w14:textId="77777777" w:rsidR="002B1EFA" w:rsidRPr="000A6FD4" w:rsidRDefault="002B1EFA" w:rsidP="002B1EFA">
      <w:pPr>
        <w:pStyle w:val="ListParagraph"/>
        <w:rPr>
          <w:rFonts w:ascii="Times New Roman" w:eastAsiaTheme="minorHAnsi" w:hAnsi="Times New Roman"/>
          <w:sz w:val="22"/>
          <w:szCs w:val="22"/>
        </w:rPr>
      </w:pPr>
    </w:p>
    <w:p w14:paraId="7980619C" w14:textId="77777777" w:rsidR="00E904C1" w:rsidRPr="000A6FD4" w:rsidRDefault="00542904">
      <w:pPr>
        <w:pStyle w:val="ListParagraph"/>
        <w:numPr>
          <w:ilvl w:val="0"/>
          <w:numId w:val="18"/>
        </w:numPr>
        <w:rPr>
          <w:rFonts w:ascii="Times New Roman" w:eastAsia="Times New Roman" w:hAnsi="Times New Roman"/>
          <w:sz w:val="22"/>
          <w:szCs w:val="22"/>
        </w:rPr>
      </w:pPr>
      <w:r w:rsidRPr="000A6FD4">
        <w:rPr>
          <w:rFonts w:ascii="Times New Roman" w:eastAsia="Times New Roman" w:hAnsi="Times New Roman"/>
          <w:sz w:val="22"/>
          <w:szCs w:val="22"/>
        </w:rPr>
        <w:t>Establishing Institutional Mechanisms to Safeguard Dual Use Research of Concern (DURC), High Consequence Pathogens (HCPs), Synthetic Biological Materials (SBMs) and Related Bioscience Infrastructure (2024). Donor: United States.</w:t>
      </w:r>
    </w:p>
    <w:p w14:paraId="4D2D8E97" w14:textId="77777777" w:rsidR="002B1EFA" w:rsidRPr="000A6FD4" w:rsidRDefault="002B1EFA" w:rsidP="002B1EFA">
      <w:pPr>
        <w:pStyle w:val="ListParagraph"/>
        <w:rPr>
          <w:rFonts w:ascii="Times New Roman" w:eastAsiaTheme="minorHAnsi" w:hAnsi="Times New Roman"/>
          <w:sz w:val="22"/>
          <w:szCs w:val="22"/>
        </w:rPr>
      </w:pPr>
    </w:p>
    <w:p w14:paraId="67C40681" w14:textId="77777777" w:rsidR="00E904C1" w:rsidRPr="000A6FD4" w:rsidRDefault="00542904">
      <w:pPr>
        <w:pStyle w:val="ListParagraph"/>
        <w:numPr>
          <w:ilvl w:val="0"/>
          <w:numId w:val="18"/>
        </w:numPr>
        <w:rPr>
          <w:rFonts w:ascii="Times New Roman" w:eastAsia="Times New Roman" w:hAnsi="Times New Roman"/>
          <w:sz w:val="22"/>
          <w:szCs w:val="22"/>
        </w:rPr>
      </w:pPr>
      <w:r w:rsidRPr="000A6FD4">
        <w:rPr>
          <w:rFonts w:ascii="Times New Roman" w:eastAsia="Times New Roman" w:hAnsi="Times New Roman"/>
          <w:sz w:val="22"/>
          <w:szCs w:val="22"/>
        </w:rPr>
        <w:t>Countering Proliferation Financing Threats and Vulnerabilities in the Western Hemisphere (WHA) Region (2004). Donor: United States</w:t>
      </w:r>
    </w:p>
    <w:p w14:paraId="663A5FEC" w14:textId="77777777" w:rsidR="000410E8" w:rsidRPr="000A6FD4" w:rsidRDefault="000410E8" w:rsidP="000410E8">
      <w:pPr>
        <w:jc w:val="both"/>
        <w:rPr>
          <w:color w:val="000000"/>
          <w:sz w:val="22"/>
          <w:szCs w:val="22"/>
          <w:lang w:val="es-419"/>
        </w:rPr>
      </w:pPr>
    </w:p>
    <w:p w14:paraId="687ED180" w14:textId="77777777" w:rsidR="00942796" w:rsidRPr="000A6FD4" w:rsidRDefault="00942796" w:rsidP="00A7676C">
      <w:pPr>
        <w:rPr>
          <w:color w:val="000000"/>
          <w:sz w:val="22"/>
          <w:szCs w:val="22"/>
          <w:lang w:val="es-419"/>
        </w:rPr>
      </w:pPr>
    </w:p>
    <w:p w14:paraId="64380380" w14:textId="69424E92" w:rsidR="00E904C1" w:rsidRPr="000A6FD4" w:rsidRDefault="00542904">
      <w:pPr>
        <w:rPr>
          <w:color w:val="000000"/>
          <w:sz w:val="22"/>
          <w:szCs w:val="22"/>
          <w:lang w:val="es-419"/>
        </w:rPr>
      </w:pPr>
      <w:r w:rsidRPr="000A6FD4">
        <w:rPr>
          <w:color w:val="000000"/>
          <w:sz w:val="22"/>
          <w:szCs w:val="22"/>
        </w:rPr>
        <w:t>Cargo and Container Security</w:t>
      </w:r>
    </w:p>
    <w:p w14:paraId="53EB23D5" w14:textId="77777777" w:rsidR="00A7676C" w:rsidRPr="000A6FD4" w:rsidRDefault="00A7676C" w:rsidP="00A7676C">
      <w:pPr>
        <w:rPr>
          <w:color w:val="000000"/>
          <w:sz w:val="22"/>
          <w:szCs w:val="22"/>
          <w:lang w:val="es-419"/>
        </w:rPr>
      </w:pPr>
    </w:p>
    <w:p w14:paraId="7ECA9684" w14:textId="6A09AE2F" w:rsidR="00E904C1" w:rsidRPr="000A6FD4" w:rsidRDefault="00542904">
      <w:pPr>
        <w:pStyle w:val="ListParagraph"/>
        <w:numPr>
          <w:ilvl w:val="0"/>
          <w:numId w:val="17"/>
        </w:numPr>
        <w:contextualSpacing w:val="0"/>
        <w:jc w:val="both"/>
        <w:rPr>
          <w:rFonts w:ascii="Times New Roman" w:hAnsi="Times New Roman"/>
          <w:sz w:val="22"/>
          <w:szCs w:val="22"/>
        </w:rPr>
      </w:pPr>
      <w:r w:rsidRPr="000A6FD4">
        <w:rPr>
          <w:rFonts w:ascii="Times New Roman" w:hAnsi="Times New Roman"/>
          <w:color w:val="000000"/>
          <w:sz w:val="22"/>
          <w:szCs w:val="22"/>
        </w:rPr>
        <w:t xml:space="preserve">Strengthening Cargo Security in the Americas </w:t>
      </w:r>
      <w:bookmarkStart w:id="1" w:name="_Hlk154081165"/>
      <w:r w:rsidRPr="000A6FD4">
        <w:rPr>
          <w:rFonts w:ascii="Times New Roman" w:hAnsi="Times New Roman"/>
          <w:color w:val="000000"/>
          <w:sz w:val="22"/>
          <w:szCs w:val="22"/>
        </w:rPr>
        <w:t xml:space="preserve">(2024-2027). </w:t>
      </w:r>
      <w:bookmarkEnd w:id="1"/>
      <w:r w:rsidRPr="000A6FD4">
        <w:rPr>
          <w:rFonts w:ascii="Times New Roman" w:hAnsi="Times New Roman"/>
          <w:color w:val="000000"/>
          <w:sz w:val="22"/>
          <w:szCs w:val="22"/>
        </w:rPr>
        <w:t>Donor: Canada.</w:t>
      </w:r>
    </w:p>
    <w:p w14:paraId="3CFD349F" w14:textId="77777777" w:rsidR="00A7676C" w:rsidRPr="000A6FD4" w:rsidRDefault="00A7676C" w:rsidP="00A7676C">
      <w:pPr>
        <w:rPr>
          <w:sz w:val="22"/>
          <w:szCs w:val="22"/>
        </w:rPr>
      </w:pPr>
    </w:p>
    <w:p w14:paraId="58D89C8A" w14:textId="77777777" w:rsidR="00651AE6" w:rsidRPr="000A6FD4" w:rsidRDefault="00651AE6" w:rsidP="00A7676C">
      <w:pPr>
        <w:rPr>
          <w:sz w:val="22"/>
          <w:szCs w:val="22"/>
        </w:rPr>
      </w:pPr>
    </w:p>
    <w:p w14:paraId="08FA3FBD" w14:textId="77777777" w:rsidR="00E904C1" w:rsidRPr="000A6FD4" w:rsidRDefault="00542904">
      <w:pPr>
        <w:rPr>
          <w:sz w:val="22"/>
          <w:szCs w:val="22"/>
          <w:lang w:val="es-419"/>
        </w:rPr>
      </w:pPr>
      <w:r w:rsidRPr="000A6FD4">
        <w:rPr>
          <w:sz w:val="22"/>
          <w:szCs w:val="22"/>
        </w:rPr>
        <w:t>Aviation Safety</w:t>
      </w:r>
    </w:p>
    <w:p w14:paraId="036BF4D4" w14:textId="77777777" w:rsidR="00A7676C" w:rsidRPr="000A6FD4" w:rsidRDefault="00A7676C" w:rsidP="00A7676C">
      <w:pPr>
        <w:rPr>
          <w:sz w:val="22"/>
          <w:szCs w:val="22"/>
          <w:lang w:val="es-419"/>
        </w:rPr>
      </w:pPr>
    </w:p>
    <w:p w14:paraId="5F9C2136" w14:textId="77777777" w:rsidR="00E904C1" w:rsidRPr="000A6FD4" w:rsidRDefault="00542904">
      <w:pPr>
        <w:pStyle w:val="ListParagraph"/>
        <w:numPr>
          <w:ilvl w:val="0"/>
          <w:numId w:val="17"/>
        </w:numPr>
        <w:contextualSpacing w:val="0"/>
        <w:rPr>
          <w:rFonts w:ascii="Times New Roman" w:hAnsi="Times New Roman"/>
          <w:color w:val="000000"/>
          <w:sz w:val="22"/>
          <w:szCs w:val="22"/>
          <w:lang w:val="es-419"/>
        </w:rPr>
      </w:pPr>
      <w:r w:rsidRPr="000A6FD4">
        <w:rPr>
          <w:rFonts w:ascii="Times New Roman" w:hAnsi="Times New Roman"/>
          <w:color w:val="000000"/>
          <w:sz w:val="22"/>
          <w:szCs w:val="22"/>
        </w:rPr>
        <w:t xml:space="preserve">Countering internal and external threats to civil aviation in Latin America and the Caribbean (October 2021-September 2024). Donor: United States. </w:t>
      </w:r>
    </w:p>
    <w:p w14:paraId="03B2F74D" w14:textId="77777777" w:rsidR="00A7676C" w:rsidRPr="000A6FD4" w:rsidRDefault="00A7676C" w:rsidP="00A7676C">
      <w:pPr>
        <w:rPr>
          <w:color w:val="000000"/>
          <w:sz w:val="22"/>
          <w:szCs w:val="22"/>
          <w:lang w:val="es-419"/>
        </w:rPr>
      </w:pPr>
    </w:p>
    <w:p w14:paraId="03C600EB" w14:textId="77777777" w:rsidR="000410E8" w:rsidRPr="000A6FD4" w:rsidRDefault="000410E8" w:rsidP="00A7676C">
      <w:pPr>
        <w:rPr>
          <w:color w:val="000000"/>
          <w:sz w:val="22"/>
          <w:szCs w:val="22"/>
          <w:lang w:val="es-419"/>
        </w:rPr>
      </w:pPr>
    </w:p>
    <w:p w14:paraId="5E1DF6D5" w14:textId="1799B759" w:rsidR="00E904C1" w:rsidRPr="000A6FD4" w:rsidRDefault="00542904">
      <w:pPr>
        <w:rPr>
          <w:color w:val="000000"/>
          <w:sz w:val="22"/>
          <w:szCs w:val="22"/>
          <w:lang w:val="es-419"/>
        </w:rPr>
      </w:pPr>
      <w:r w:rsidRPr="000A6FD4">
        <w:rPr>
          <w:color w:val="000000"/>
          <w:sz w:val="22"/>
          <w:szCs w:val="22"/>
        </w:rPr>
        <w:t>Crowded Spaces Security</w:t>
      </w:r>
    </w:p>
    <w:p w14:paraId="3E9343D0" w14:textId="77777777" w:rsidR="00A7676C" w:rsidRPr="000A6FD4" w:rsidRDefault="00A7676C" w:rsidP="00A7676C">
      <w:pPr>
        <w:rPr>
          <w:color w:val="000000"/>
          <w:sz w:val="22"/>
          <w:szCs w:val="22"/>
          <w:lang w:val="es-419"/>
        </w:rPr>
      </w:pPr>
    </w:p>
    <w:p w14:paraId="329D54C3" w14:textId="77777777" w:rsidR="00E904C1" w:rsidRPr="000A6FD4" w:rsidRDefault="00542904">
      <w:pPr>
        <w:pStyle w:val="ListParagraph"/>
        <w:numPr>
          <w:ilvl w:val="0"/>
          <w:numId w:val="17"/>
        </w:numPr>
        <w:contextualSpacing w:val="0"/>
        <w:jc w:val="both"/>
        <w:rPr>
          <w:rFonts w:ascii="Times New Roman" w:hAnsi="Times New Roman"/>
          <w:color w:val="000000"/>
          <w:sz w:val="22"/>
          <w:szCs w:val="22"/>
          <w:lang w:val="es-419"/>
        </w:rPr>
      </w:pPr>
      <w:r w:rsidRPr="000A6FD4">
        <w:rPr>
          <w:rFonts w:ascii="Times New Roman" w:hAnsi="Times New Roman"/>
          <w:color w:val="000000"/>
          <w:sz w:val="22"/>
          <w:szCs w:val="22"/>
        </w:rPr>
        <w:t>Improved crime prevention policies and international cooperation for the protection of crowded spaces and other vulnerable targets (2024-2027). Donor: Canada.</w:t>
      </w:r>
    </w:p>
    <w:p w14:paraId="58C97A48" w14:textId="77777777" w:rsidR="00A7676C" w:rsidRPr="000A6FD4" w:rsidRDefault="00A7676C" w:rsidP="00A7676C">
      <w:pPr>
        <w:rPr>
          <w:sz w:val="22"/>
          <w:szCs w:val="22"/>
          <w:lang w:val="es-419"/>
        </w:rPr>
      </w:pPr>
    </w:p>
    <w:p w14:paraId="4464F3E6" w14:textId="77777777" w:rsidR="000410E8" w:rsidRPr="000A6FD4" w:rsidRDefault="000410E8" w:rsidP="00A7676C">
      <w:pPr>
        <w:rPr>
          <w:color w:val="000000"/>
          <w:sz w:val="22"/>
          <w:szCs w:val="22"/>
          <w:lang w:val="es-419"/>
        </w:rPr>
      </w:pPr>
    </w:p>
    <w:p w14:paraId="6FED8CED" w14:textId="77777777" w:rsidR="00E904C1" w:rsidRPr="000A6FD4" w:rsidRDefault="00542904">
      <w:pPr>
        <w:rPr>
          <w:color w:val="000000"/>
          <w:sz w:val="22"/>
          <w:szCs w:val="22"/>
          <w:lang w:val="es-419"/>
        </w:rPr>
      </w:pPr>
      <w:r w:rsidRPr="000A6FD4">
        <w:rPr>
          <w:color w:val="000000"/>
          <w:sz w:val="22"/>
          <w:szCs w:val="22"/>
        </w:rPr>
        <w:t>Inter-American Network Against Terrorism</w:t>
      </w:r>
    </w:p>
    <w:p w14:paraId="07446027" w14:textId="77777777" w:rsidR="00A7676C" w:rsidRPr="000A6FD4" w:rsidRDefault="00A7676C" w:rsidP="00A7676C">
      <w:pPr>
        <w:rPr>
          <w:color w:val="000000"/>
          <w:sz w:val="22"/>
          <w:szCs w:val="22"/>
          <w:lang w:val="es-419"/>
        </w:rPr>
      </w:pPr>
    </w:p>
    <w:p w14:paraId="65297BFA" w14:textId="77777777" w:rsidR="00E904C1" w:rsidRPr="000A6FD4" w:rsidRDefault="00542904">
      <w:pPr>
        <w:pStyle w:val="ListParagraph"/>
        <w:numPr>
          <w:ilvl w:val="0"/>
          <w:numId w:val="17"/>
        </w:numPr>
        <w:contextualSpacing w:val="0"/>
        <w:rPr>
          <w:rFonts w:ascii="Times New Roman" w:hAnsi="Times New Roman"/>
          <w:color w:val="000000"/>
          <w:sz w:val="22"/>
          <w:szCs w:val="22"/>
        </w:rPr>
      </w:pPr>
      <w:r w:rsidRPr="000A6FD4">
        <w:rPr>
          <w:rFonts w:ascii="Times New Roman" w:hAnsi="Times New Roman"/>
          <w:color w:val="000000"/>
          <w:sz w:val="22"/>
          <w:szCs w:val="22"/>
        </w:rPr>
        <w:t>Inter-American Network against Terrorism (2020-2025). Donors: United States and Chile.</w:t>
      </w:r>
    </w:p>
    <w:p w14:paraId="03860E6D" w14:textId="77777777" w:rsidR="00A7676C" w:rsidRPr="000A6FD4" w:rsidRDefault="00A7676C" w:rsidP="00A7676C">
      <w:pPr>
        <w:rPr>
          <w:color w:val="000000"/>
          <w:sz w:val="22"/>
          <w:szCs w:val="22"/>
        </w:rPr>
      </w:pPr>
    </w:p>
    <w:p w14:paraId="48E40E97" w14:textId="77777777" w:rsidR="000410E8" w:rsidRPr="000A6FD4" w:rsidRDefault="000410E8" w:rsidP="00A7676C">
      <w:pPr>
        <w:rPr>
          <w:color w:val="000000"/>
          <w:sz w:val="22"/>
          <w:szCs w:val="22"/>
        </w:rPr>
      </w:pPr>
    </w:p>
    <w:p w14:paraId="70108A06" w14:textId="77777777" w:rsidR="00E904C1" w:rsidRPr="000A6FD4" w:rsidRDefault="00542904">
      <w:pPr>
        <w:rPr>
          <w:color w:val="000000"/>
          <w:sz w:val="22"/>
          <w:szCs w:val="22"/>
          <w:lang w:val="es-419"/>
        </w:rPr>
      </w:pPr>
      <w:r w:rsidRPr="000A6FD4">
        <w:rPr>
          <w:color w:val="000000"/>
          <w:sz w:val="22"/>
          <w:szCs w:val="22"/>
        </w:rPr>
        <w:t>Preventing violent extremism</w:t>
      </w:r>
    </w:p>
    <w:p w14:paraId="458BF9D9" w14:textId="77777777" w:rsidR="00A7676C" w:rsidRPr="000A6FD4" w:rsidRDefault="00A7676C" w:rsidP="00A7676C">
      <w:pPr>
        <w:rPr>
          <w:color w:val="000000"/>
          <w:sz w:val="22"/>
          <w:szCs w:val="22"/>
          <w:lang w:val="es-419"/>
        </w:rPr>
      </w:pPr>
    </w:p>
    <w:p w14:paraId="25FCC271" w14:textId="7F1B99C9" w:rsidR="00E904C1" w:rsidRPr="000A6FD4" w:rsidRDefault="00542904">
      <w:pPr>
        <w:pStyle w:val="ListParagraph"/>
        <w:numPr>
          <w:ilvl w:val="0"/>
          <w:numId w:val="17"/>
        </w:numPr>
        <w:contextualSpacing w:val="0"/>
        <w:rPr>
          <w:rFonts w:ascii="Times New Roman" w:hAnsi="Times New Roman"/>
          <w:color w:val="000000"/>
          <w:sz w:val="22"/>
          <w:szCs w:val="22"/>
        </w:rPr>
      </w:pPr>
      <w:r w:rsidRPr="000A6FD4">
        <w:rPr>
          <w:rFonts w:ascii="Times New Roman" w:hAnsi="Times New Roman"/>
          <w:color w:val="000000"/>
          <w:sz w:val="22"/>
          <w:szCs w:val="22"/>
        </w:rPr>
        <w:t xml:space="preserve">Prevention of violent extremism: addressing recruitment, propaganda and radicalization that could lead to terrorism (2022-August 2024). Donor: Mexico. </w:t>
      </w:r>
    </w:p>
    <w:p w14:paraId="53E8B31F" w14:textId="77777777" w:rsidR="00E904C1" w:rsidRPr="000A6FD4" w:rsidRDefault="00542904">
      <w:pPr>
        <w:jc w:val="both"/>
        <w:rPr>
          <w:b/>
          <w:bCs/>
          <w:sz w:val="22"/>
          <w:szCs w:val="22"/>
        </w:rPr>
      </w:pPr>
      <w:r w:rsidRPr="000A6FD4">
        <w:rPr>
          <w:b/>
          <w:bCs/>
          <w:sz w:val="22"/>
          <w:szCs w:val="22"/>
        </w:rPr>
        <w:lastRenderedPageBreak/>
        <w:t>IV.</w:t>
      </w:r>
      <w:r w:rsidRPr="000A6FD4">
        <w:rPr>
          <w:b/>
          <w:bCs/>
          <w:sz w:val="22"/>
          <w:szCs w:val="22"/>
        </w:rPr>
        <w:tab/>
        <w:t xml:space="preserve">Outreach: communications, consultation, cooperation </w:t>
      </w:r>
    </w:p>
    <w:p w14:paraId="212C88A7" w14:textId="77777777" w:rsidR="00FE713F" w:rsidRPr="000A6FD4" w:rsidRDefault="00FE713F" w:rsidP="00FE713F">
      <w:pPr>
        <w:jc w:val="both"/>
        <w:rPr>
          <w:sz w:val="22"/>
          <w:szCs w:val="22"/>
        </w:rPr>
      </w:pPr>
    </w:p>
    <w:p w14:paraId="448320B8" w14:textId="77777777" w:rsidR="00E904C1" w:rsidRPr="000A6FD4" w:rsidRDefault="00542904">
      <w:pPr>
        <w:ind w:firstLine="720"/>
        <w:jc w:val="both"/>
        <w:rPr>
          <w:sz w:val="22"/>
          <w:szCs w:val="22"/>
        </w:rPr>
      </w:pPr>
      <w:r w:rsidRPr="000A6FD4">
        <w:rPr>
          <w:sz w:val="22"/>
          <w:szCs w:val="22"/>
        </w:rPr>
        <w:t>The CICTE Secretariat will continue regular consultations with relevant authorities of Member States for the programming and implementation of its activities. It will also continue to work closely with the Permanent Observers to the OAS.</w:t>
      </w:r>
    </w:p>
    <w:p w14:paraId="758B1991" w14:textId="77777777" w:rsidR="00FE713F" w:rsidRPr="000A6FD4" w:rsidRDefault="00FE713F" w:rsidP="00FE713F">
      <w:pPr>
        <w:jc w:val="both"/>
        <w:rPr>
          <w:sz w:val="22"/>
          <w:szCs w:val="22"/>
        </w:rPr>
      </w:pPr>
    </w:p>
    <w:p w14:paraId="7460D100" w14:textId="423E9599" w:rsidR="00E904C1" w:rsidRPr="000A6FD4" w:rsidRDefault="00542904">
      <w:pPr>
        <w:ind w:firstLine="720"/>
        <w:jc w:val="both"/>
        <w:rPr>
          <w:sz w:val="22"/>
          <w:szCs w:val="22"/>
        </w:rPr>
      </w:pPr>
      <w:r w:rsidRPr="000A6FD4">
        <w:rPr>
          <w:sz w:val="22"/>
          <w:szCs w:val="22"/>
        </w:rPr>
        <w:t xml:space="preserve">The CICTE Secretariat will continue to strengthen existing cooperation mechanisms with the UN system and its specialized agencies, as well as with other international and regional bodies. It will also maintain its cooperative links with civil society organizations, the private </w:t>
      </w:r>
      <w:proofErr w:type="gramStart"/>
      <w:r w:rsidRPr="000A6FD4">
        <w:rPr>
          <w:sz w:val="22"/>
          <w:szCs w:val="22"/>
        </w:rPr>
        <w:t>sector</w:t>
      </w:r>
      <w:proofErr w:type="gramEnd"/>
      <w:r w:rsidRPr="000A6FD4">
        <w:rPr>
          <w:sz w:val="22"/>
          <w:szCs w:val="22"/>
        </w:rPr>
        <w:t xml:space="preserve"> and other strategic partners. </w:t>
      </w:r>
      <w:r w:rsidR="00AF3191">
        <w:rPr>
          <w:noProof/>
          <w:sz w:val="22"/>
          <w:szCs w:val="22"/>
        </w:rPr>
        <mc:AlternateContent>
          <mc:Choice Requires="wps">
            <w:drawing>
              <wp:anchor distT="0" distB="0" distL="114300" distR="114300" simplePos="0" relativeHeight="251659264" behindDoc="0" locked="1" layoutInCell="1" allowOverlap="1" wp14:anchorId="75FDF156" wp14:editId="04D2BEBC">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03AD09AD" w14:textId="5AC6E4CC" w:rsidR="00AF3191" w:rsidRPr="00AF3191" w:rsidRDefault="00AF3191">
                            <w:pPr>
                              <w:rPr>
                                <w:caps/>
                                <w:sz w:val="18"/>
                              </w:rPr>
                            </w:pPr>
                            <w:r w:rsidRPr="00AF3191">
                              <w:rPr>
                                <w:caps/>
                                <w:sz w:val="18"/>
                              </w:rPr>
                              <w:fldChar w:fldCharType="begin"/>
                            </w:r>
                            <w:r w:rsidRPr="00AF3191">
                              <w:rPr>
                                <w:caps/>
                                <w:sz w:val="18"/>
                              </w:rPr>
                              <w:instrText xml:space="preserve"> FILENAME  \* MERGEFORMAT </w:instrText>
                            </w:r>
                            <w:r w:rsidRPr="00AF3191">
                              <w:rPr>
                                <w:caps/>
                                <w:sz w:val="18"/>
                              </w:rPr>
                              <w:fldChar w:fldCharType="separate"/>
                            </w:r>
                            <w:r w:rsidR="00D2700F">
                              <w:rPr>
                                <w:caps/>
                                <w:noProof/>
                                <w:sz w:val="18"/>
                              </w:rPr>
                              <w:t>cicte01720e01</w:t>
                            </w:r>
                            <w:r w:rsidRPr="00AF3191">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DF15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03AD09AD" w14:textId="5AC6E4CC" w:rsidR="00AF3191" w:rsidRPr="00AF3191" w:rsidRDefault="00AF3191">
                      <w:pPr>
                        <w:rPr>
                          <w:caps/>
                          <w:sz w:val="18"/>
                        </w:rPr>
                      </w:pPr>
                      <w:r w:rsidRPr="00AF3191">
                        <w:rPr>
                          <w:caps/>
                          <w:sz w:val="18"/>
                        </w:rPr>
                        <w:fldChar w:fldCharType="begin"/>
                      </w:r>
                      <w:r w:rsidRPr="00AF3191">
                        <w:rPr>
                          <w:caps/>
                          <w:sz w:val="18"/>
                        </w:rPr>
                        <w:instrText xml:space="preserve"> FILENAME  \* MERGEFORMAT </w:instrText>
                      </w:r>
                      <w:r w:rsidRPr="00AF3191">
                        <w:rPr>
                          <w:caps/>
                          <w:sz w:val="18"/>
                        </w:rPr>
                        <w:fldChar w:fldCharType="separate"/>
                      </w:r>
                      <w:r w:rsidR="00D2700F">
                        <w:rPr>
                          <w:caps/>
                          <w:noProof/>
                          <w:sz w:val="18"/>
                        </w:rPr>
                        <w:t>cicte01720e01</w:t>
                      </w:r>
                      <w:r w:rsidRPr="00AF3191">
                        <w:rPr>
                          <w:caps/>
                          <w:sz w:val="18"/>
                        </w:rPr>
                        <w:fldChar w:fldCharType="end"/>
                      </w:r>
                    </w:p>
                  </w:txbxContent>
                </v:textbox>
                <w10:wrap anchory="page"/>
                <w10:anchorlock/>
              </v:shape>
            </w:pict>
          </mc:Fallback>
        </mc:AlternateContent>
      </w:r>
    </w:p>
    <w:sectPr w:rsidR="00E904C1" w:rsidRPr="000A6FD4" w:rsidSect="001C729B">
      <w:headerReference w:type="first" r:id="rId15"/>
      <w:pgSz w:w="12240" w:h="15840"/>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8EFF" w14:textId="77777777" w:rsidR="00E904C1" w:rsidRDefault="00542904">
      <w:r>
        <w:separator/>
      </w:r>
    </w:p>
  </w:endnote>
  <w:endnote w:type="continuationSeparator" w:id="0">
    <w:p w14:paraId="712D4B14" w14:textId="77777777" w:rsidR="00E904C1" w:rsidRDefault="00542904">
      <w:r>
        <w:continuationSeparator/>
      </w:r>
    </w:p>
  </w:endnote>
  <w:endnote w:type="continuationNotice" w:id="1">
    <w:p w14:paraId="0E395B7D" w14:textId="77777777" w:rsidR="00181B5C" w:rsidRDefault="00181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094B" w14:textId="77777777" w:rsidR="00F7096C" w:rsidRDefault="00F7096C" w:rsidP="00F70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358513" w14:textId="77777777" w:rsidR="00F7096C" w:rsidRDefault="00F7096C" w:rsidP="00F70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1A14" w14:textId="77777777" w:rsidR="00F7096C" w:rsidRDefault="00F7096C" w:rsidP="00F70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DA9F" w14:textId="77777777" w:rsidR="00E904C1" w:rsidRDefault="00542904">
      <w:r>
        <w:separator/>
      </w:r>
    </w:p>
  </w:footnote>
  <w:footnote w:type="continuationSeparator" w:id="0">
    <w:p w14:paraId="2EF479B1" w14:textId="77777777" w:rsidR="00E904C1" w:rsidRDefault="00542904">
      <w:r>
        <w:continuationSeparator/>
      </w:r>
    </w:p>
  </w:footnote>
  <w:footnote w:type="continuationNotice" w:id="1">
    <w:p w14:paraId="6E1F8ED7" w14:textId="77777777" w:rsidR="00181B5C" w:rsidRDefault="00181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72892"/>
      <w:docPartObj>
        <w:docPartGallery w:val="Page Numbers (Top of Page)"/>
        <w:docPartUnique/>
      </w:docPartObj>
    </w:sdtPr>
    <w:sdtEndPr>
      <w:rPr>
        <w:noProof/>
      </w:rPr>
    </w:sdtEndPr>
    <w:sdtContent>
      <w:p w14:paraId="0A6FA4C2" w14:textId="77777777" w:rsidR="00E904C1" w:rsidRDefault="00542904">
        <w:pPr>
          <w:pStyle w:val="Header"/>
          <w:jc w:val="center"/>
        </w:pPr>
        <w:r w:rsidRPr="00325B50">
          <w:rPr>
            <w:sz w:val="20"/>
            <w:szCs w:val="20"/>
          </w:rPr>
          <w:fldChar w:fldCharType="begin"/>
        </w:r>
        <w:r w:rsidRPr="00325B50">
          <w:rPr>
            <w:sz w:val="20"/>
            <w:szCs w:val="20"/>
          </w:rPr>
          <w:instrText xml:space="preserve"> PAGE   \* MERGEFORMAT </w:instrText>
        </w:r>
        <w:r w:rsidRPr="00325B50">
          <w:rPr>
            <w:sz w:val="20"/>
            <w:szCs w:val="20"/>
          </w:rPr>
          <w:fldChar w:fldCharType="separate"/>
        </w:r>
        <w:r>
          <w:rPr>
            <w:noProof/>
            <w:sz w:val="20"/>
            <w:szCs w:val="20"/>
          </w:rPr>
          <w:t>2</w:t>
        </w:r>
        <w:r w:rsidRPr="00325B50">
          <w:rPr>
            <w:noProof/>
            <w:sz w:val="20"/>
            <w:szCs w:val="20"/>
          </w:rPr>
          <w:fldChar w:fldCharType="end"/>
        </w:r>
      </w:p>
    </w:sdtContent>
  </w:sdt>
  <w:p w14:paraId="78105CCC" w14:textId="77777777" w:rsidR="00325B50" w:rsidRDefault="0032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25E7" w14:textId="6F878A14" w:rsidR="000A2A5A" w:rsidRDefault="00785AC8">
    <w:pPr>
      <w:pStyle w:val="Header"/>
    </w:pPr>
    <w:r>
      <w:rPr>
        <w:noProof/>
      </w:rPr>
      <w:drawing>
        <wp:anchor distT="0" distB="0" distL="114300" distR="114300" simplePos="0" relativeHeight="251659264" behindDoc="1" locked="0" layoutInCell="1" allowOverlap="1" wp14:anchorId="3EA3C026" wp14:editId="1427B7FD">
          <wp:simplePos x="0" y="0"/>
          <wp:positionH relativeFrom="margin">
            <wp:posOffset>-15368</wp:posOffset>
          </wp:positionH>
          <wp:positionV relativeFrom="paragraph">
            <wp:posOffset>159054</wp:posOffset>
          </wp:positionV>
          <wp:extent cx="2325370" cy="658495"/>
          <wp:effectExtent l="0" t="0" r="0" b="8255"/>
          <wp:wrapTight wrapText="bothSides">
            <wp:wrapPolygon edited="0">
              <wp:start x="0" y="0"/>
              <wp:lineTo x="0" y="21246"/>
              <wp:lineTo x="21411" y="21246"/>
              <wp:lineTo x="21411" y="0"/>
              <wp:lineTo x="0" y="0"/>
            </wp:wrapPolygon>
          </wp:wrapTight>
          <wp:docPr id="2"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901EF" w14:textId="03550403" w:rsidR="008E05E8" w:rsidRDefault="008E0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8BE0" w14:textId="2AC42E58" w:rsidR="00785AC8" w:rsidRDefault="00785AC8">
    <w:pPr>
      <w:pStyle w:val="Header"/>
    </w:pPr>
  </w:p>
  <w:p w14:paraId="2868E139" w14:textId="77777777" w:rsidR="00785AC8" w:rsidRDefault="00785AC8">
    <w:pPr>
      <w:pStyle w:val="Header"/>
    </w:pPr>
  </w:p>
</w:hdr>
</file>

<file path=word/intelligence2.xml><?xml version="1.0" encoding="utf-8"?>
<int2:intelligence xmlns:int2="http://schemas.microsoft.com/office/intelligence/2020/intelligence" xmlns:oel="http://schemas.microsoft.com/office/2019/extlst">
  <int2:observations>
    <int2:textHash int2:hashCode="b4Pvt9elQi11C8" int2:id="ECISgof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8B"/>
    <w:multiLevelType w:val="hybridMultilevel"/>
    <w:tmpl w:val="D9DE9AE0"/>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 w15:restartNumberingAfterBreak="0">
    <w:nsid w:val="08C92843"/>
    <w:multiLevelType w:val="hybridMultilevel"/>
    <w:tmpl w:val="86F8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3201"/>
    <w:multiLevelType w:val="hybridMultilevel"/>
    <w:tmpl w:val="A11669B8"/>
    <w:lvl w:ilvl="0" w:tplc="1840CA8C">
      <w:start w:val="1"/>
      <w:numFmt w:val="bullet"/>
      <w:lvlText w:val=""/>
      <w:lvlJc w:val="left"/>
      <w:pPr>
        <w:ind w:left="360" w:hanging="360"/>
      </w:pPr>
      <w:rPr>
        <w:rFonts w:ascii="Symbol" w:hAnsi="Symbol" w:hint="default"/>
      </w:rPr>
    </w:lvl>
    <w:lvl w:ilvl="1" w:tplc="093A3A82">
      <w:start w:val="1"/>
      <w:numFmt w:val="bullet"/>
      <w:lvlText w:val="o"/>
      <w:lvlJc w:val="left"/>
      <w:pPr>
        <w:ind w:left="1440" w:hanging="360"/>
      </w:pPr>
      <w:rPr>
        <w:rFonts w:ascii="Courier New" w:hAnsi="Courier New" w:hint="default"/>
      </w:rPr>
    </w:lvl>
    <w:lvl w:ilvl="2" w:tplc="F6F827A8">
      <w:start w:val="1"/>
      <w:numFmt w:val="bullet"/>
      <w:lvlText w:val=""/>
      <w:lvlJc w:val="left"/>
      <w:pPr>
        <w:ind w:left="2160" w:hanging="360"/>
      </w:pPr>
      <w:rPr>
        <w:rFonts w:ascii="Wingdings" w:hAnsi="Wingdings" w:hint="default"/>
      </w:rPr>
    </w:lvl>
    <w:lvl w:ilvl="3" w:tplc="C0DE91E0">
      <w:start w:val="1"/>
      <w:numFmt w:val="bullet"/>
      <w:lvlText w:val=""/>
      <w:lvlJc w:val="left"/>
      <w:pPr>
        <w:ind w:left="2880" w:hanging="360"/>
      </w:pPr>
      <w:rPr>
        <w:rFonts w:ascii="Symbol" w:hAnsi="Symbol" w:hint="default"/>
      </w:rPr>
    </w:lvl>
    <w:lvl w:ilvl="4" w:tplc="C4348CCC">
      <w:start w:val="1"/>
      <w:numFmt w:val="bullet"/>
      <w:lvlText w:val="o"/>
      <w:lvlJc w:val="left"/>
      <w:pPr>
        <w:ind w:left="3600" w:hanging="360"/>
      </w:pPr>
      <w:rPr>
        <w:rFonts w:ascii="Courier New" w:hAnsi="Courier New" w:hint="default"/>
      </w:rPr>
    </w:lvl>
    <w:lvl w:ilvl="5" w:tplc="D2A6D214">
      <w:start w:val="1"/>
      <w:numFmt w:val="bullet"/>
      <w:lvlText w:val=""/>
      <w:lvlJc w:val="left"/>
      <w:pPr>
        <w:ind w:left="4320" w:hanging="360"/>
      </w:pPr>
      <w:rPr>
        <w:rFonts w:ascii="Wingdings" w:hAnsi="Wingdings" w:hint="default"/>
      </w:rPr>
    </w:lvl>
    <w:lvl w:ilvl="6" w:tplc="DE74A71A">
      <w:start w:val="1"/>
      <w:numFmt w:val="bullet"/>
      <w:lvlText w:val=""/>
      <w:lvlJc w:val="left"/>
      <w:pPr>
        <w:ind w:left="5040" w:hanging="360"/>
      </w:pPr>
      <w:rPr>
        <w:rFonts w:ascii="Symbol" w:hAnsi="Symbol" w:hint="default"/>
      </w:rPr>
    </w:lvl>
    <w:lvl w:ilvl="7" w:tplc="33188E58">
      <w:start w:val="1"/>
      <w:numFmt w:val="bullet"/>
      <w:lvlText w:val="o"/>
      <w:lvlJc w:val="left"/>
      <w:pPr>
        <w:ind w:left="5760" w:hanging="360"/>
      </w:pPr>
      <w:rPr>
        <w:rFonts w:ascii="Courier New" w:hAnsi="Courier New" w:hint="default"/>
      </w:rPr>
    </w:lvl>
    <w:lvl w:ilvl="8" w:tplc="64941C6C">
      <w:start w:val="1"/>
      <w:numFmt w:val="bullet"/>
      <w:lvlText w:val=""/>
      <w:lvlJc w:val="left"/>
      <w:pPr>
        <w:ind w:left="6480" w:hanging="360"/>
      </w:pPr>
      <w:rPr>
        <w:rFonts w:ascii="Wingdings" w:hAnsi="Wingdings" w:hint="default"/>
      </w:rPr>
    </w:lvl>
  </w:abstractNum>
  <w:abstractNum w:abstractNumId="3" w15:restartNumberingAfterBreak="0">
    <w:nsid w:val="2DAE543C"/>
    <w:multiLevelType w:val="hybridMultilevel"/>
    <w:tmpl w:val="CCF43C12"/>
    <w:lvl w:ilvl="0" w:tplc="0CFEA9A6">
      <w:start w:val="1"/>
      <w:numFmt w:val="bullet"/>
      <w:lvlText w:val=""/>
      <w:lvlJc w:val="left"/>
      <w:pPr>
        <w:ind w:left="360" w:hanging="360"/>
      </w:pPr>
      <w:rPr>
        <w:rFonts w:ascii="Symbol" w:hAnsi="Symbol" w:hint="default"/>
      </w:rPr>
    </w:lvl>
    <w:lvl w:ilvl="1" w:tplc="DE9A74BE">
      <w:start w:val="1"/>
      <w:numFmt w:val="bullet"/>
      <w:lvlText w:val="o"/>
      <w:lvlJc w:val="left"/>
      <w:pPr>
        <w:ind w:left="1440" w:hanging="360"/>
      </w:pPr>
      <w:rPr>
        <w:rFonts w:ascii="Courier New" w:hAnsi="Courier New" w:hint="default"/>
      </w:rPr>
    </w:lvl>
    <w:lvl w:ilvl="2" w:tplc="FC90D506">
      <w:start w:val="1"/>
      <w:numFmt w:val="bullet"/>
      <w:lvlText w:val=""/>
      <w:lvlJc w:val="left"/>
      <w:pPr>
        <w:ind w:left="2160" w:hanging="360"/>
      </w:pPr>
      <w:rPr>
        <w:rFonts w:ascii="Wingdings" w:hAnsi="Wingdings" w:hint="default"/>
      </w:rPr>
    </w:lvl>
    <w:lvl w:ilvl="3" w:tplc="F6E8CD28">
      <w:start w:val="1"/>
      <w:numFmt w:val="bullet"/>
      <w:lvlText w:val=""/>
      <w:lvlJc w:val="left"/>
      <w:pPr>
        <w:ind w:left="2880" w:hanging="360"/>
      </w:pPr>
      <w:rPr>
        <w:rFonts w:ascii="Symbol" w:hAnsi="Symbol" w:hint="default"/>
      </w:rPr>
    </w:lvl>
    <w:lvl w:ilvl="4" w:tplc="2F58BBB2">
      <w:start w:val="1"/>
      <w:numFmt w:val="bullet"/>
      <w:lvlText w:val="o"/>
      <w:lvlJc w:val="left"/>
      <w:pPr>
        <w:ind w:left="3600" w:hanging="360"/>
      </w:pPr>
      <w:rPr>
        <w:rFonts w:ascii="Courier New" w:hAnsi="Courier New" w:hint="default"/>
      </w:rPr>
    </w:lvl>
    <w:lvl w:ilvl="5" w:tplc="17DE18B4">
      <w:start w:val="1"/>
      <w:numFmt w:val="bullet"/>
      <w:lvlText w:val=""/>
      <w:lvlJc w:val="left"/>
      <w:pPr>
        <w:ind w:left="4320" w:hanging="360"/>
      </w:pPr>
      <w:rPr>
        <w:rFonts w:ascii="Wingdings" w:hAnsi="Wingdings" w:hint="default"/>
      </w:rPr>
    </w:lvl>
    <w:lvl w:ilvl="6" w:tplc="34424958">
      <w:start w:val="1"/>
      <w:numFmt w:val="bullet"/>
      <w:lvlText w:val=""/>
      <w:lvlJc w:val="left"/>
      <w:pPr>
        <w:ind w:left="5040" w:hanging="360"/>
      </w:pPr>
      <w:rPr>
        <w:rFonts w:ascii="Symbol" w:hAnsi="Symbol" w:hint="default"/>
      </w:rPr>
    </w:lvl>
    <w:lvl w:ilvl="7" w:tplc="014C1CFC">
      <w:start w:val="1"/>
      <w:numFmt w:val="bullet"/>
      <w:lvlText w:val="o"/>
      <w:lvlJc w:val="left"/>
      <w:pPr>
        <w:ind w:left="5760" w:hanging="360"/>
      </w:pPr>
      <w:rPr>
        <w:rFonts w:ascii="Courier New" w:hAnsi="Courier New" w:hint="default"/>
      </w:rPr>
    </w:lvl>
    <w:lvl w:ilvl="8" w:tplc="75D4A502">
      <w:start w:val="1"/>
      <w:numFmt w:val="bullet"/>
      <w:lvlText w:val=""/>
      <w:lvlJc w:val="left"/>
      <w:pPr>
        <w:ind w:left="6480" w:hanging="360"/>
      </w:pPr>
      <w:rPr>
        <w:rFonts w:ascii="Wingdings" w:hAnsi="Wingdings" w:hint="default"/>
      </w:rPr>
    </w:lvl>
  </w:abstractNum>
  <w:abstractNum w:abstractNumId="4" w15:restartNumberingAfterBreak="0">
    <w:nsid w:val="35000595"/>
    <w:multiLevelType w:val="hybridMultilevel"/>
    <w:tmpl w:val="5F6AE508"/>
    <w:lvl w:ilvl="0" w:tplc="FF562A00">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2959CE"/>
    <w:multiLevelType w:val="multilevel"/>
    <w:tmpl w:val="1D56E9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992F8D"/>
    <w:multiLevelType w:val="hybridMultilevel"/>
    <w:tmpl w:val="04E62964"/>
    <w:lvl w:ilvl="0" w:tplc="BD12D918">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F03B51"/>
    <w:multiLevelType w:val="multilevel"/>
    <w:tmpl w:val="984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276F73"/>
    <w:multiLevelType w:val="multilevel"/>
    <w:tmpl w:val="1D56E9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7CC4255"/>
    <w:multiLevelType w:val="hybridMultilevel"/>
    <w:tmpl w:val="72B63882"/>
    <w:lvl w:ilvl="0" w:tplc="55F284FE">
      <w:numFmt w:val="bullet"/>
      <w:lvlText w:val=""/>
      <w:lvlJc w:val="left"/>
      <w:pPr>
        <w:ind w:left="720" w:hanging="360"/>
      </w:pPr>
      <w:rPr>
        <w:rFonts w:ascii="Symbol" w:eastAsia="Times New Roman"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D4E6C"/>
    <w:multiLevelType w:val="hybridMultilevel"/>
    <w:tmpl w:val="A2DA1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17F0EF"/>
    <w:multiLevelType w:val="hybridMultilevel"/>
    <w:tmpl w:val="A2D2F342"/>
    <w:lvl w:ilvl="0" w:tplc="EF4CF212">
      <w:start w:val="1"/>
      <w:numFmt w:val="bullet"/>
      <w:lvlText w:val=""/>
      <w:lvlJc w:val="left"/>
      <w:pPr>
        <w:ind w:left="360" w:hanging="360"/>
      </w:pPr>
      <w:rPr>
        <w:rFonts w:ascii="Symbol" w:hAnsi="Symbol" w:hint="default"/>
      </w:rPr>
    </w:lvl>
    <w:lvl w:ilvl="1" w:tplc="4358D6FA">
      <w:start w:val="1"/>
      <w:numFmt w:val="bullet"/>
      <w:lvlText w:val="o"/>
      <w:lvlJc w:val="left"/>
      <w:pPr>
        <w:ind w:left="1440" w:hanging="360"/>
      </w:pPr>
      <w:rPr>
        <w:rFonts w:ascii="Courier New" w:hAnsi="Courier New" w:hint="default"/>
      </w:rPr>
    </w:lvl>
    <w:lvl w:ilvl="2" w:tplc="D054A40C">
      <w:start w:val="1"/>
      <w:numFmt w:val="bullet"/>
      <w:lvlText w:val=""/>
      <w:lvlJc w:val="left"/>
      <w:pPr>
        <w:ind w:left="2160" w:hanging="360"/>
      </w:pPr>
      <w:rPr>
        <w:rFonts w:ascii="Wingdings" w:hAnsi="Wingdings" w:hint="default"/>
      </w:rPr>
    </w:lvl>
    <w:lvl w:ilvl="3" w:tplc="F3768B84">
      <w:start w:val="1"/>
      <w:numFmt w:val="bullet"/>
      <w:lvlText w:val=""/>
      <w:lvlJc w:val="left"/>
      <w:pPr>
        <w:ind w:left="2880" w:hanging="360"/>
      </w:pPr>
      <w:rPr>
        <w:rFonts w:ascii="Symbol" w:hAnsi="Symbol" w:hint="default"/>
      </w:rPr>
    </w:lvl>
    <w:lvl w:ilvl="4" w:tplc="E3DC21E6">
      <w:start w:val="1"/>
      <w:numFmt w:val="bullet"/>
      <w:lvlText w:val="o"/>
      <w:lvlJc w:val="left"/>
      <w:pPr>
        <w:ind w:left="3600" w:hanging="360"/>
      </w:pPr>
      <w:rPr>
        <w:rFonts w:ascii="Courier New" w:hAnsi="Courier New" w:hint="default"/>
      </w:rPr>
    </w:lvl>
    <w:lvl w:ilvl="5" w:tplc="B8900B32">
      <w:start w:val="1"/>
      <w:numFmt w:val="bullet"/>
      <w:lvlText w:val=""/>
      <w:lvlJc w:val="left"/>
      <w:pPr>
        <w:ind w:left="4320" w:hanging="360"/>
      </w:pPr>
      <w:rPr>
        <w:rFonts w:ascii="Wingdings" w:hAnsi="Wingdings" w:hint="default"/>
      </w:rPr>
    </w:lvl>
    <w:lvl w:ilvl="6" w:tplc="D866389E">
      <w:start w:val="1"/>
      <w:numFmt w:val="bullet"/>
      <w:lvlText w:val=""/>
      <w:lvlJc w:val="left"/>
      <w:pPr>
        <w:ind w:left="5040" w:hanging="360"/>
      </w:pPr>
      <w:rPr>
        <w:rFonts w:ascii="Symbol" w:hAnsi="Symbol" w:hint="default"/>
      </w:rPr>
    </w:lvl>
    <w:lvl w:ilvl="7" w:tplc="73D8B062">
      <w:start w:val="1"/>
      <w:numFmt w:val="bullet"/>
      <w:lvlText w:val="o"/>
      <w:lvlJc w:val="left"/>
      <w:pPr>
        <w:ind w:left="5760" w:hanging="360"/>
      </w:pPr>
      <w:rPr>
        <w:rFonts w:ascii="Courier New" w:hAnsi="Courier New" w:hint="default"/>
      </w:rPr>
    </w:lvl>
    <w:lvl w:ilvl="8" w:tplc="1520C1DE">
      <w:start w:val="1"/>
      <w:numFmt w:val="bullet"/>
      <w:lvlText w:val=""/>
      <w:lvlJc w:val="left"/>
      <w:pPr>
        <w:ind w:left="6480" w:hanging="360"/>
      </w:pPr>
      <w:rPr>
        <w:rFonts w:ascii="Wingdings" w:hAnsi="Wingdings" w:hint="default"/>
      </w:rPr>
    </w:lvl>
  </w:abstractNum>
  <w:abstractNum w:abstractNumId="12" w15:restartNumberingAfterBreak="0">
    <w:nsid w:val="711C7E20"/>
    <w:multiLevelType w:val="hybridMultilevel"/>
    <w:tmpl w:val="DE18C720"/>
    <w:lvl w:ilvl="0" w:tplc="A48AC742">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800F2"/>
    <w:multiLevelType w:val="hybridMultilevel"/>
    <w:tmpl w:val="DD909CA8"/>
    <w:lvl w:ilvl="0" w:tplc="FFFFFFFF">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8921A3"/>
    <w:multiLevelType w:val="hybridMultilevel"/>
    <w:tmpl w:val="623E527A"/>
    <w:lvl w:ilvl="0" w:tplc="BF665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375085">
    <w:abstractNumId w:val="3"/>
  </w:num>
  <w:num w:numId="2" w16cid:durableId="1448889249">
    <w:abstractNumId w:val="11"/>
  </w:num>
  <w:num w:numId="3" w16cid:durableId="1154376261">
    <w:abstractNumId w:val="2"/>
  </w:num>
  <w:num w:numId="4" w16cid:durableId="1977753902">
    <w:abstractNumId w:val="12"/>
  </w:num>
  <w:num w:numId="5" w16cid:durableId="1259947288">
    <w:abstractNumId w:val="4"/>
  </w:num>
  <w:num w:numId="6" w16cid:durableId="631984441">
    <w:abstractNumId w:val="10"/>
  </w:num>
  <w:num w:numId="7" w16cid:durableId="1831211847">
    <w:abstractNumId w:val="0"/>
  </w:num>
  <w:num w:numId="8" w16cid:durableId="1964114829">
    <w:abstractNumId w:val="6"/>
  </w:num>
  <w:num w:numId="9" w16cid:durableId="1332442673">
    <w:abstractNumId w:val="9"/>
  </w:num>
  <w:num w:numId="10" w16cid:durableId="61872722">
    <w:abstractNumId w:val="7"/>
  </w:num>
  <w:num w:numId="11" w16cid:durableId="795761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7852939">
    <w:abstractNumId w:val="4"/>
  </w:num>
  <w:num w:numId="13" w16cid:durableId="1955358555">
    <w:abstractNumId w:val="1"/>
  </w:num>
  <w:num w:numId="14" w16cid:durableId="1694187651">
    <w:abstractNumId w:val="14"/>
  </w:num>
  <w:num w:numId="15" w16cid:durableId="90857198">
    <w:abstractNumId w:val="5"/>
  </w:num>
  <w:num w:numId="16" w16cid:durableId="713575699">
    <w:abstractNumId w:val="8"/>
  </w:num>
  <w:num w:numId="17" w16cid:durableId="316736495">
    <w:abstractNumId w:val="13"/>
  </w:num>
  <w:num w:numId="18" w16cid:durableId="569753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63"/>
    <w:rsid w:val="000004D0"/>
    <w:rsid w:val="00001467"/>
    <w:rsid w:val="00003415"/>
    <w:rsid w:val="00005062"/>
    <w:rsid w:val="0000657B"/>
    <w:rsid w:val="00010935"/>
    <w:rsid w:val="00010C2C"/>
    <w:rsid w:val="00011313"/>
    <w:rsid w:val="000130CB"/>
    <w:rsid w:val="000132D8"/>
    <w:rsid w:val="00014BD9"/>
    <w:rsid w:val="00017750"/>
    <w:rsid w:val="00023C49"/>
    <w:rsid w:val="00025BB1"/>
    <w:rsid w:val="00026AEC"/>
    <w:rsid w:val="000304E6"/>
    <w:rsid w:val="0003402D"/>
    <w:rsid w:val="00034296"/>
    <w:rsid w:val="000410E8"/>
    <w:rsid w:val="00041DCE"/>
    <w:rsid w:val="00042861"/>
    <w:rsid w:val="0004289D"/>
    <w:rsid w:val="00042F2F"/>
    <w:rsid w:val="000502D0"/>
    <w:rsid w:val="00051DEF"/>
    <w:rsid w:val="000526FF"/>
    <w:rsid w:val="00052E04"/>
    <w:rsid w:val="000606F7"/>
    <w:rsid w:val="00066EA1"/>
    <w:rsid w:val="00066EF9"/>
    <w:rsid w:val="000714BF"/>
    <w:rsid w:val="00071C6F"/>
    <w:rsid w:val="00074C1B"/>
    <w:rsid w:val="00076523"/>
    <w:rsid w:val="00076E41"/>
    <w:rsid w:val="00084309"/>
    <w:rsid w:val="0008435C"/>
    <w:rsid w:val="00086CED"/>
    <w:rsid w:val="00087D21"/>
    <w:rsid w:val="0009048A"/>
    <w:rsid w:val="000924E4"/>
    <w:rsid w:val="0009287C"/>
    <w:rsid w:val="00093D06"/>
    <w:rsid w:val="00093EE4"/>
    <w:rsid w:val="000A2A19"/>
    <w:rsid w:val="000A2A5A"/>
    <w:rsid w:val="000A2FE7"/>
    <w:rsid w:val="000A3D85"/>
    <w:rsid w:val="000A6FD4"/>
    <w:rsid w:val="000B5EDF"/>
    <w:rsid w:val="000B61C9"/>
    <w:rsid w:val="000B653B"/>
    <w:rsid w:val="000B69BE"/>
    <w:rsid w:val="000C4FDB"/>
    <w:rsid w:val="000D04AA"/>
    <w:rsid w:val="000D14A8"/>
    <w:rsid w:val="000D2469"/>
    <w:rsid w:val="000E56E4"/>
    <w:rsid w:val="000E6641"/>
    <w:rsid w:val="000E670F"/>
    <w:rsid w:val="000E7993"/>
    <w:rsid w:val="000E7F7D"/>
    <w:rsid w:val="000F0157"/>
    <w:rsid w:val="00100987"/>
    <w:rsid w:val="001025CA"/>
    <w:rsid w:val="0010279A"/>
    <w:rsid w:val="001031EF"/>
    <w:rsid w:val="00103F23"/>
    <w:rsid w:val="00105930"/>
    <w:rsid w:val="00106BD4"/>
    <w:rsid w:val="00107039"/>
    <w:rsid w:val="00107516"/>
    <w:rsid w:val="00107806"/>
    <w:rsid w:val="00111F22"/>
    <w:rsid w:val="0011531E"/>
    <w:rsid w:val="001210E7"/>
    <w:rsid w:val="0012115F"/>
    <w:rsid w:val="00123FB9"/>
    <w:rsid w:val="00125A44"/>
    <w:rsid w:val="001302B6"/>
    <w:rsid w:val="001308FD"/>
    <w:rsid w:val="00130FBC"/>
    <w:rsid w:val="00131557"/>
    <w:rsid w:val="0013196B"/>
    <w:rsid w:val="0013210D"/>
    <w:rsid w:val="0013444B"/>
    <w:rsid w:val="0013475A"/>
    <w:rsid w:val="00144F4B"/>
    <w:rsid w:val="00147468"/>
    <w:rsid w:val="00151232"/>
    <w:rsid w:val="0015334E"/>
    <w:rsid w:val="00154DC8"/>
    <w:rsid w:val="0015552A"/>
    <w:rsid w:val="001600A5"/>
    <w:rsid w:val="00160C4F"/>
    <w:rsid w:val="0016480F"/>
    <w:rsid w:val="0016599C"/>
    <w:rsid w:val="00165E1A"/>
    <w:rsid w:val="0017249C"/>
    <w:rsid w:val="00174D4B"/>
    <w:rsid w:val="00176BAA"/>
    <w:rsid w:val="00180544"/>
    <w:rsid w:val="00181B5C"/>
    <w:rsid w:val="001840AD"/>
    <w:rsid w:val="0018538B"/>
    <w:rsid w:val="00185DED"/>
    <w:rsid w:val="001874F9"/>
    <w:rsid w:val="00190252"/>
    <w:rsid w:val="0019064F"/>
    <w:rsid w:val="00192FDD"/>
    <w:rsid w:val="0019411A"/>
    <w:rsid w:val="00194173"/>
    <w:rsid w:val="00196159"/>
    <w:rsid w:val="001A02AD"/>
    <w:rsid w:val="001A4C89"/>
    <w:rsid w:val="001A75C6"/>
    <w:rsid w:val="001A7A3B"/>
    <w:rsid w:val="001A7C68"/>
    <w:rsid w:val="001B0ADC"/>
    <w:rsid w:val="001B0B60"/>
    <w:rsid w:val="001B2A7A"/>
    <w:rsid w:val="001B3851"/>
    <w:rsid w:val="001B5E91"/>
    <w:rsid w:val="001C14D4"/>
    <w:rsid w:val="001C1B6C"/>
    <w:rsid w:val="001C331B"/>
    <w:rsid w:val="001C4B54"/>
    <w:rsid w:val="001C4C00"/>
    <w:rsid w:val="001C658D"/>
    <w:rsid w:val="001C729B"/>
    <w:rsid w:val="001C7620"/>
    <w:rsid w:val="001D2438"/>
    <w:rsid w:val="001D2F15"/>
    <w:rsid w:val="001D5464"/>
    <w:rsid w:val="001F3F59"/>
    <w:rsid w:val="001F491F"/>
    <w:rsid w:val="00200DE5"/>
    <w:rsid w:val="00205888"/>
    <w:rsid w:val="002065CC"/>
    <w:rsid w:val="002122D5"/>
    <w:rsid w:val="0021236C"/>
    <w:rsid w:val="002157A3"/>
    <w:rsid w:val="00215C38"/>
    <w:rsid w:val="002173EB"/>
    <w:rsid w:val="002217CE"/>
    <w:rsid w:val="002223C5"/>
    <w:rsid w:val="002230D4"/>
    <w:rsid w:val="00224543"/>
    <w:rsid w:val="00225347"/>
    <w:rsid w:val="00225FFC"/>
    <w:rsid w:val="00226D08"/>
    <w:rsid w:val="0023588C"/>
    <w:rsid w:val="00235A57"/>
    <w:rsid w:val="00235D2B"/>
    <w:rsid w:val="00242C58"/>
    <w:rsid w:val="00245D0A"/>
    <w:rsid w:val="00245E0D"/>
    <w:rsid w:val="00246CC7"/>
    <w:rsid w:val="00250A03"/>
    <w:rsid w:val="00251D45"/>
    <w:rsid w:val="0025228D"/>
    <w:rsid w:val="002615A8"/>
    <w:rsid w:val="00264094"/>
    <w:rsid w:val="00265332"/>
    <w:rsid w:val="00270A16"/>
    <w:rsid w:val="0027211F"/>
    <w:rsid w:val="00272408"/>
    <w:rsid w:val="0027798C"/>
    <w:rsid w:val="0028060D"/>
    <w:rsid w:val="00281534"/>
    <w:rsid w:val="002839D5"/>
    <w:rsid w:val="002925B2"/>
    <w:rsid w:val="00293600"/>
    <w:rsid w:val="00294263"/>
    <w:rsid w:val="00294EF8"/>
    <w:rsid w:val="0029591D"/>
    <w:rsid w:val="00296743"/>
    <w:rsid w:val="00297A0B"/>
    <w:rsid w:val="002A17BD"/>
    <w:rsid w:val="002A21C2"/>
    <w:rsid w:val="002A2782"/>
    <w:rsid w:val="002A5286"/>
    <w:rsid w:val="002A57FC"/>
    <w:rsid w:val="002A5A36"/>
    <w:rsid w:val="002B1EFA"/>
    <w:rsid w:val="002B2970"/>
    <w:rsid w:val="002B2E3C"/>
    <w:rsid w:val="002B66D5"/>
    <w:rsid w:val="002B7AE0"/>
    <w:rsid w:val="002B7CD7"/>
    <w:rsid w:val="002C10C4"/>
    <w:rsid w:val="002C24A7"/>
    <w:rsid w:val="002C27E9"/>
    <w:rsid w:val="002C3F0E"/>
    <w:rsid w:val="002C4217"/>
    <w:rsid w:val="002C4EDA"/>
    <w:rsid w:val="002C6861"/>
    <w:rsid w:val="002C71AC"/>
    <w:rsid w:val="002D290A"/>
    <w:rsid w:val="002D2A4C"/>
    <w:rsid w:val="002D4895"/>
    <w:rsid w:val="002D54FB"/>
    <w:rsid w:val="002D674D"/>
    <w:rsid w:val="002D7E25"/>
    <w:rsid w:val="002E30AA"/>
    <w:rsid w:val="002E749A"/>
    <w:rsid w:val="002E77CA"/>
    <w:rsid w:val="002F0934"/>
    <w:rsid w:val="002F2B8B"/>
    <w:rsid w:val="002F2DD3"/>
    <w:rsid w:val="002F7201"/>
    <w:rsid w:val="00300549"/>
    <w:rsid w:val="0030673E"/>
    <w:rsid w:val="00310243"/>
    <w:rsid w:val="0031369A"/>
    <w:rsid w:val="00313B00"/>
    <w:rsid w:val="00313FDB"/>
    <w:rsid w:val="00316DCD"/>
    <w:rsid w:val="003172EB"/>
    <w:rsid w:val="0032031C"/>
    <w:rsid w:val="003250D8"/>
    <w:rsid w:val="0032521A"/>
    <w:rsid w:val="00325B50"/>
    <w:rsid w:val="00326170"/>
    <w:rsid w:val="00327FB3"/>
    <w:rsid w:val="003309C6"/>
    <w:rsid w:val="00332565"/>
    <w:rsid w:val="003362CA"/>
    <w:rsid w:val="00336EB8"/>
    <w:rsid w:val="00343ABF"/>
    <w:rsid w:val="00344A41"/>
    <w:rsid w:val="00350480"/>
    <w:rsid w:val="0035200C"/>
    <w:rsid w:val="003566E6"/>
    <w:rsid w:val="00360CFB"/>
    <w:rsid w:val="003630BE"/>
    <w:rsid w:val="00363460"/>
    <w:rsid w:val="00363B5A"/>
    <w:rsid w:val="00363E64"/>
    <w:rsid w:val="0036593C"/>
    <w:rsid w:val="00366039"/>
    <w:rsid w:val="00371C3D"/>
    <w:rsid w:val="00374AA4"/>
    <w:rsid w:val="00374BEC"/>
    <w:rsid w:val="00381300"/>
    <w:rsid w:val="00383DEC"/>
    <w:rsid w:val="00386615"/>
    <w:rsid w:val="00387EE2"/>
    <w:rsid w:val="00393EB2"/>
    <w:rsid w:val="003A0DE5"/>
    <w:rsid w:val="003A39B6"/>
    <w:rsid w:val="003A45DE"/>
    <w:rsid w:val="003A4BCE"/>
    <w:rsid w:val="003A73B0"/>
    <w:rsid w:val="003B0B44"/>
    <w:rsid w:val="003B2CFC"/>
    <w:rsid w:val="003B36BA"/>
    <w:rsid w:val="003B3C32"/>
    <w:rsid w:val="003B502B"/>
    <w:rsid w:val="003B5957"/>
    <w:rsid w:val="003B78AE"/>
    <w:rsid w:val="003B7AAB"/>
    <w:rsid w:val="003C02C2"/>
    <w:rsid w:val="003C2EA6"/>
    <w:rsid w:val="003C2F0B"/>
    <w:rsid w:val="003C3978"/>
    <w:rsid w:val="003C7729"/>
    <w:rsid w:val="003C7A87"/>
    <w:rsid w:val="003D1F47"/>
    <w:rsid w:val="003D30B0"/>
    <w:rsid w:val="003D3190"/>
    <w:rsid w:val="003D4F96"/>
    <w:rsid w:val="003D58FE"/>
    <w:rsid w:val="003D6468"/>
    <w:rsid w:val="003E08CE"/>
    <w:rsid w:val="003E3158"/>
    <w:rsid w:val="003E3761"/>
    <w:rsid w:val="003E58FE"/>
    <w:rsid w:val="003E7607"/>
    <w:rsid w:val="003F1D2F"/>
    <w:rsid w:val="003F403B"/>
    <w:rsid w:val="003F4842"/>
    <w:rsid w:val="003F5467"/>
    <w:rsid w:val="004006B7"/>
    <w:rsid w:val="00402980"/>
    <w:rsid w:val="00403B57"/>
    <w:rsid w:val="00403E22"/>
    <w:rsid w:val="004054E7"/>
    <w:rsid w:val="00405FA4"/>
    <w:rsid w:val="00412A9C"/>
    <w:rsid w:val="00414D56"/>
    <w:rsid w:val="004162A2"/>
    <w:rsid w:val="00417700"/>
    <w:rsid w:val="00425F7D"/>
    <w:rsid w:val="00430C12"/>
    <w:rsid w:val="00433264"/>
    <w:rsid w:val="0043458E"/>
    <w:rsid w:val="00436CFA"/>
    <w:rsid w:val="00437F06"/>
    <w:rsid w:val="004430B7"/>
    <w:rsid w:val="004432B8"/>
    <w:rsid w:val="00444A10"/>
    <w:rsid w:val="00450EF1"/>
    <w:rsid w:val="004520B5"/>
    <w:rsid w:val="004529F8"/>
    <w:rsid w:val="00455EEF"/>
    <w:rsid w:val="00457569"/>
    <w:rsid w:val="004665DE"/>
    <w:rsid w:val="0047129D"/>
    <w:rsid w:val="0047153C"/>
    <w:rsid w:val="00473132"/>
    <w:rsid w:val="00474635"/>
    <w:rsid w:val="00474689"/>
    <w:rsid w:val="0047770E"/>
    <w:rsid w:val="00477F80"/>
    <w:rsid w:val="004817F8"/>
    <w:rsid w:val="004836E7"/>
    <w:rsid w:val="004838FB"/>
    <w:rsid w:val="00483B62"/>
    <w:rsid w:val="0048466D"/>
    <w:rsid w:val="00485D9C"/>
    <w:rsid w:val="004909FA"/>
    <w:rsid w:val="00492B85"/>
    <w:rsid w:val="00492BAB"/>
    <w:rsid w:val="00496D6D"/>
    <w:rsid w:val="00496EDA"/>
    <w:rsid w:val="004A1053"/>
    <w:rsid w:val="004A1F0D"/>
    <w:rsid w:val="004A2B56"/>
    <w:rsid w:val="004A4AA6"/>
    <w:rsid w:val="004A6A1E"/>
    <w:rsid w:val="004A6D32"/>
    <w:rsid w:val="004B01F7"/>
    <w:rsid w:val="004B031F"/>
    <w:rsid w:val="004B0C43"/>
    <w:rsid w:val="004B22FB"/>
    <w:rsid w:val="004B766F"/>
    <w:rsid w:val="004C16B5"/>
    <w:rsid w:val="004C63F5"/>
    <w:rsid w:val="004C6BB5"/>
    <w:rsid w:val="004C7572"/>
    <w:rsid w:val="004D05C0"/>
    <w:rsid w:val="004D1015"/>
    <w:rsid w:val="004D23E3"/>
    <w:rsid w:val="004D2699"/>
    <w:rsid w:val="004D37C3"/>
    <w:rsid w:val="004D4207"/>
    <w:rsid w:val="004D46E3"/>
    <w:rsid w:val="004E5C50"/>
    <w:rsid w:val="004E6540"/>
    <w:rsid w:val="004F0485"/>
    <w:rsid w:val="004F19CA"/>
    <w:rsid w:val="004F2DE6"/>
    <w:rsid w:val="004F31D1"/>
    <w:rsid w:val="004F566C"/>
    <w:rsid w:val="004F78B0"/>
    <w:rsid w:val="004F7E11"/>
    <w:rsid w:val="005004AC"/>
    <w:rsid w:val="005050BA"/>
    <w:rsid w:val="00507244"/>
    <w:rsid w:val="00517E9A"/>
    <w:rsid w:val="005208BC"/>
    <w:rsid w:val="00524C02"/>
    <w:rsid w:val="0052540D"/>
    <w:rsid w:val="00527908"/>
    <w:rsid w:val="005306D6"/>
    <w:rsid w:val="00531227"/>
    <w:rsid w:val="005314B7"/>
    <w:rsid w:val="005317FC"/>
    <w:rsid w:val="00532414"/>
    <w:rsid w:val="00533129"/>
    <w:rsid w:val="005334D5"/>
    <w:rsid w:val="00534A08"/>
    <w:rsid w:val="00535FE1"/>
    <w:rsid w:val="00537901"/>
    <w:rsid w:val="00540907"/>
    <w:rsid w:val="00540FD0"/>
    <w:rsid w:val="005428BA"/>
    <w:rsid w:val="00542904"/>
    <w:rsid w:val="00542BF9"/>
    <w:rsid w:val="00542D76"/>
    <w:rsid w:val="005439F4"/>
    <w:rsid w:val="0054583B"/>
    <w:rsid w:val="00545DBC"/>
    <w:rsid w:val="00546447"/>
    <w:rsid w:val="00550C07"/>
    <w:rsid w:val="00551D69"/>
    <w:rsid w:val="00552A83"/>
    <w:rsid w:val="00553062"/>
    <w:rsid w:val="005538DB"/>
    <w:rsid w:val="00555785"/>
    <w:rsid w:val="00562CC5"/>
    <w:rsid w:val="00567368"/>
    <w:rsid w:val="00570E01"/>
    <w:rsid w:val="005723DF"/>
    <w:rsid w:val="00574AFF"/>
    <w:rsid w:val="00577490"/>
    <w:rsid w:val="0058246E"/>
    <w:rsid w:val="0058507F"/>
    <w:rsid w:val="0058767F"/>
    <w:rsid w:val="00587AA6"/>
    <w:rsid w:val="0059097B"/>
    <w:rsid w:val="005924CF"/>
    <w:rsid w:val="00592646"/>
    <w:rsid w:val="005A1885"/>
    <w:rsid w:val="005A1D60"/>
    <w:rsid w:val="005A3C59"/>
    <w:rsid w:val="005A60F5"/>
    <w:rsid w:val="005B741B"/>
    <w:rsid w:val="005B7E06"/>
    <w:rsid w:val="005C0156"/>
    <w:rsid w:val="005C3DC3"/>
    <w:rsid w:val="005C44DA"/>
    <w:rsid w:val="005C5889"/>
    <w:rsid w:val="005C60F5"/>
    <w:rsid w:val="005D0EE7"/>
    <w:rsid w:val="005D1A8E"/>
    <w:rsid w:val="005D39B7"/>
    <w:rsid w:val="005D74FB"/>
    <w:rsid w:val="005D7969"/>
    <w:rsid w:val="005E0688"/>
    <w:rsid w:val="005E73BE"/>
    <w:rsid w:val="005F2BCA"/>
    <w:rsid w:val="005F46AB"/>
    <w:rsid w:val="005F5B7D"/>
    <w:rsid w:val="005F6F6F"/>
    <w:rsid w:val="005F72D4"/>
    <w:rsid w:val="00604958"/>
    <w:rsid w:val="00605293"/>
    <w:rsid w:val="00605C3B"/>
    <w:rsid w:val="00606B13"/>
    <w:rsid w:val="00607E94"/>
    <w:rsid w:val="006124B1"/>
    <w:rsid w:val="00616718"/>
    <w:rsid w:val="00621331"/>
    <w:rsid w:val="00621A81"/>
    <w:rsid w:val="00623204"/>
    <w:rsid w:val="0062392A"/>
    <w:rsid w:val="00625C7D"/>
    <w:rsid w:val="00626920"/>
    <w:rsid w:val="006307AE"/>
    <w:rsid w:val="00630C1F"/>
    <w:rsid w:val="0063185F"/>
    <w:rsid w:val="006322AA"/>
    <w:rsid w:val="00633D3E"/>
    <w:rsid w:val="00634778"/>
    <w:rsid w:val="00634FB1"/>
    <w:rsid w:val="006357F0"/>
    <w:rsid w:val="006364C3"/>
    <w:rsid w:val="00636753"/>
    <w:rsid w:val="00642C1E"/>
    <w:rsid w:val="00644755"/>
    <w:rsid w:val="00647213"/>
    <w:rsid w:val="00647640"/>
    <w:rsid w:val="00651AE6"/>
    <w:rsid w:val="006522AD"/>
    <w:rsid w:val="006526CF"/>
    <w:rsid w:val="00656705"/>
    <w:rsid w:val="00656C28"/>
    <w:rsid w:val="00656F9B"/>
    <w:rsid w:val="006577D4"/>
    <w:rsid w:val="006614DC"/>
    <w:rsid w:val="0066293C"/>
    <w:rsid w:val="006655AD"/>
    <w:rsid w:val="00670290"/>
    <w:rsid w:val="006731AF"/>
    <w:rsid w:val="00675014"/>
    <w:rsid w:val="00676EAC"/>
    <w:rsid w:val="0068086C"/>
    <w:rsid w:val="00682758"/>
    <w:rsid w:val="00682AD1"/>
    <w:rsid w:val="0068593C"/>
    <w:rsid w:val="00687A4A"/>
    <w:rsid w:val="00690D36"/>
    <w:rsid w:val="006920E7"/>
    <w:rsid w:val="006937B5"/>
    <w:rsid w:val="00697DE9"/>
    <w:rsid w:val="006A386F"/>
    <w:rsid w:val="006A6690"/>
    <w:rsid w:val="006B0068"/>
    <w:rsid w:val="006B4026"/>
    <w:rsid w:val="006B41CE"/>
    <w:rsid w:val="006B6ECF"/>
    <w:rsid w:val="006B7D2B"/>
    <w:rsid w:val="006C46FE"/>
    <w:rsid w:val="006D0915"/>
    <w:rsid w:val="006D13B5"/>
    <w:rsid w:val="006D359C"/>
    <w:rsid w:val="006D36FE"/>
    <w:rsid w:val="006D6FBE"/>
    <w:rsid w:val="006D7FEA"/>
    <w:rsid w:val="006E39CC"/>
    <w:rsid w:val="006E6B9B"/>
    <w:rsid w:val="006E7DA3"/>
    <w:rsid w:val="006F0DBA"/>
    <w:rsid w:val="006F1B3D"/>
    <w:rsid w:val="006F69AD"/>
    <w:rsid w:val="006F732B"/>
    <w:rsid w:val="00702130"/>
    <w:rsid w:val="00704EB6"/>
    <w:rsid w:val="00706B56"/>
    <w:rsid w:val="00706C45"/>
    <w:rsid w:val="00713136"/>
    <w:rsid w:val="00715F04"/>
    <w:rsid w:val="00716494"/>
    <w:rsid w:val="007165DD"/>
    <w:rsid w:val="007224C3"/>
    <w:rsid w:val="00724CC8"/>
    <w:rsid w:val="00727153"/>
    <w:rsid w:val="00730549"/>
    <w:rsid w:val="0073211C"/>
    <w:rsid w:val="00732A7B"/>
    <w:rsid w:val="00732FE3"/>
    <w:rsid w:val="00733216"/>
    <w:rsid w:val="00733441"/>
    <w:rsid w:val="00733CC1"/>
    <w:rsid w:val="007342EA"/>
    <w:rsid w:val="007360E7"/>
    <w:rsid w:val="0074116C"/>
    <w:rsid w:val="00741639"/>
    <w:rsid w:val="00741882"/>
    <w:rsid w:val="007419F5"/>
    <w:rsid w:val="00741D0E"/>
    <w:rsid w:val="007439C2"/>
    <w:rsid w:val="00743AC0"/>
    <w:rsid w:val="00752D4C"/>
    <w:rsid w:val="00753FCA"/>
    <w:rsid w:val="007548F1"/>
    <w:rsid w:val="0076104D"/>
    <w:rsid w:val="00761536"/>
    <w:rsid w:val="007654C3"/>
    <w:rsid w:val="00766124"/>
    <w:rsid w:val="007662A0"/>
    <w:rsid w:val="00767481"/>
    <w:rsid w:val="00771912"/>
    <w:rsid w:val="00774CF4"/>
    <w:rsid w:val="00775BC1"/>
    <w:rsid w:val="00776392"/>
    <w:rsid w:val="007813DB"/>
    <w:rsid w:val="0078164B"/>
    <w:rsid w:val="00783133"/>
    <w:rsid w:val="00785AC8"/>
    <w:rsid w:val="007866D9"/>
    <w:rsid w:val="00793A47"/>
    <w:rsid w:val="00795CA5"/>
    <w:rsid w:val="007A0368"/>
    <w:rsid w:val="007A19BA"/>
    <w:rsid w:val="007A242F"/>
    <w:rsid w:val="007A28B4"/>
    <w:rsid w:val="007A2F7F"/>
    <w:rsid w:val="007A33AC"/>
    <w:rsid w:val="007B04D8"/>
    <w:rsid w:val="007B3695"/>
    <w:rsid w:val="007B59B6"/>
    <w:rsid w:val="007B5BA6"/>
    <w:rsid w:val="007C2A4C"/>
    <w:rsid w:val="007C2B08"/>
    <w:rsid w:val="007C39F1"/>
    <w:rsid w:val="007C43FE"/>
    <w:rsid w:val="007C5454"/>
    <w:rsid w:val="007E1F8C"/>
    <w:rsid w:val="008016D9"/>
    <w:rsid w:val="0080436A"/>
    <w:rsid w:val="00807882"/>
    <w:rsid w:val="00812C14"/>
    <w:rsid w:val="00814DD1"/>
    <w:rsid w:val="00820135"/>
    <w:rsid w:val="00821E23"/>
    <w:rsid w:val="008238DF"/>
    <w:rsid w:val="00826719"/>
    <w:rsid w:val="0082687B"/>
    <w:rsid w:val="00835140"/>
    <w:rsid w:val="00835243"/>
    <w:rsid w:val="00841852"/>
    <w:rsid w:val="008458A0"/>
    <w:rsid w:val="00846253"/>
    <w:rsid w:val="00854C5E"/>
    <w:rsid w:val="00856FBA"/>
    <w:rsid w:val="00857B29"/>
    <w:rsid w:val="00860A4F"/>
    <w:rsid w:val="00861E5F"/>
    <w:rsid w:val="0086235B"/>
    <w:rsid w:val="00870548"/>
    <w:rsid w:val="00870888"/>
    <w:rsid w:val="00870FC3"/>
    <w:rsid w:val="00872281"/>
    <w:rsid w:val="0087355E"/>
    <w:rsid w:val="0087367C"/>
    <w:rsid w:val="00874ADA"/>
    <w:rsid w:val="0087706D"/>
    <w:rsid w:val="00880EB2"/>
    <w:rsid w:val="00883E2A"/>
    <w:rsid w:val="00885E8A"/>
    <w:rsid w:val="0088662B"/>
    <w:rsid w:val="00890A39"/>
    <w:rsid w:val="00890B9A"/>
    <w:rsid w:val="008926BA"/>
    <w:rsid w:val="00893BE5"/>
    <w:rsid w:val="008950F4"/>
    <w:rsid w:val="00895E4B"/>
    <w:rsid w:val="008A1E14"/>
    <w:rsid w:val="008A22F3"/>
    <w:rsid w:val="008A6392"/>
    <w:rsid w:val="008A7359"/>
    <w:rsid w:val="008A75A1"/>
    <w:rsid w:val="008A75FD"/>
    <w:rsid w:val="008A7A48"/>
    <w:rsid w:val="008B1CE2"/>
    <w:rsid w:val="008B2FD2"/>
    <w:rsid w:val="008B5FCD"/>
    <w:rsid w:val="008B6416"/>
    <w:rsid w:val="008B718A"/>
    <w:rsid w:val="008B7A99"/>
    <w:rsid w:val="008C0DFA"/>
    <w:rsid w:val="008C10D2"/>
    <w:rsid w:val="008C23EC"/>
    <w:rsid w:val="008C2B9E"/>
    <w:rsid w:val="008C60C3"/>
    <w:rsid w:val="008C6B49"/>
    <w:rsid w:val="008D181E"/>
    <w:rsid w:val="008D1B3A"/>
    <w:rsid w:val="008D32C3"/>
    <w:rsid w:val="008D5AA4"/>
    <w:rsid w:val="008D5D18"/>
    <w:rsid w:val="008D62C9"/>
    <w:rsid w:val="008D7FF1"/>
    <w:rsid w:val="008E05E8"/>
    <w:rsid w:val="008E0FF5"/>
    <w:rsid w:val="008E2E2F"/>
    <w:rsid w:val="008E340C"/>
    <w:rsid w:val="008E47B2"/>
    <w:rsid w:val="008E51D5"/>
    <w:rsid w:val="008E58DF"/>
    <w:rsid w:val="008E74E1"/>
    <w:rsid w:val="008E7FCB"/>
    <w:rsid w:val="008F0065"/>
    <w:rsid w:val="008F50DD"/>
    <w:rsid w:val="008F5976"/>
    <w:rsid w:val="008F6BC3"/>
    <w:rsid w:val="008F7EC0"/>
    <w:rsid w:val="00900598"/>
    <w:rsid w:val="00903CB0"/>
    <w:rsid w:val="00904ECD"/>
    <w:rsid w:val="00905389"/>
    <w:rsid w:val="009057BA"/>
    <w:rsid w:val="00905AFC"/>
    <w:rsid w:val="00906CD5"/>
    <w:rsid w:val="00907C25"/>
    <w:rsid w:val="00910B18"/>
    <w:rsid w:val="009121E3"/>
    <w:rsid w:val="00920502"/>
    <w:rsid w:val="0092065E"/>
    <w:rsid w:val="009215F3"/>
    <w:rsid w:val="00930933"/>
    <w:rsid w:val="00933231"/>
    <w:rsid w:val="009336EE"/>
    <w:rsid w:val="0093454F"/>
    <w:rsid w:val="0093575C"/>
    <w:rsid w:val="009367A9"/>
    <w:rsid w:val="00936C14"/>
    <w:rsid w:val="00936D7E"/>
    <w:rsid w:val="0094004F"/>
    <w:rsid w:val="00940C7D"/>
    <w:rsid w:val="00941B44"/>
    <w:rsid w:val="00942796"/>
    <w:rsid w:val="009429CD"/>
    <w:rsid w:val="00943E18"/>
    <w:rsid w:val="009467D3"/>
    <w:rsid w:val="00952BB9"/>
    <w:rsid w:val="00956FAD"/>
    <w:rsid w:val="00957782"/>
    <w:rsid w:val="00960964"/>
    <w:rsid w:val="00962769"/>
    <w:rsid w:val="00962AAD"/>
    <w:rsid w:val="009634F0"/>
    <w:rsid w:val="009636BF"/>
    <w:rsid w:val="0096413E"/>
    <w:rsid w:val="00964693"/>
    <w:rsid w:val="00964D2A"/>
    <w:rsid w:val="00966C67"/>
    <w:rsid w:val="00966D19"/>
    <w:rsid w:val="009674AE"/>
    <w:rsid w:val="0097087A"/>
    <w:rsid w:val="0097361D"/>
    <w:rsid w:val="0097371D"/>
    <w:rsid w:val="00973E7F"/>
    <w:rsid w:val="009763F5"/>
    <w:rsid w:val="00976B9A"/>
    <w:rsid w:val="009800D7"/>
    <w:rsid w:val="00984059"/>
    <w:rsid w:val="009875BD"/>
    <w:rsid w:val="00991099"/>
    <w:rsid w:val="00991528"/>
    <w:rsid w:val="00992A70"/>
    <w:rsid w:val="00997C45"/>
    <w:rsid w:val="009A1086"/>
    <w:rsid w:val="009A1398"/>
    <w:rsid w:val="009A198E"/>
    <w:rsid w:val="009A2987"/>
    <w:rsid w:val="009A2CFA"/>
    <w:rsid w:val="009A307E"/>
    <w:rsid w:val="009B23AD"/>
    <w:rsid w:val="009B4032"/>
    <w:rsid w:val="009B4FB3"/>
    <w:rsid w:val="009B675F"/>
    <w:rsid w:val="009C0433"/>
    <w:rsid w:val="009C16A6"/>
    <w:rsid w:val="009C76EF"/>
    <w:rsid w:val="009D0517"/>
    <w:rsid w:val="009D06A1"/>
    <w:rsid w:val="009D0AA4"/>
    <w:rsid w:val="009D164E"/>
    <w:rsid w:val="009D45F0"/>
    <w:rsid w:val="009E446A"/>
    <w:rsid w:val="009F0604"/>
    <w:rsid w:val="009F09AD"/>
    <w:rsid w:val="009F67BF"/>
    <w:rsid w:val="00A02A4C"/>
    <w:rsid w:val="00A02FD2"/>
    <w:rsid w:val="00A07553"/>
    <w:rsid w:val="00A109E8"/>
    <w:rsid w:val="00A14C75"/>
    <w:rsid w:val="00A17A19"/>
    <w:rsid w:val="00A2024C"/>
    <w:rsid w:val="00A2031A"/>
    <w:rsid w:val="00A2144D"/>
    <w:rsid w:val="00A22A74"/>
    <w:rsid w:val="00A23E0C"/>
    <w:rsid w:val="00A26BA3"/>
    <w:rsid w:val="00A26D97"/>
    <w:rsid w:val="00A27D14"/>
    <w:rsid w:val="00A31001"/>
    <w:rsid w:val="00A33D33"/>
    <w:rsid w:val="00A351AF"/>
    <w:rsid w:val="00A36574"/>
    <w:rsid w:val="00A3698C"/>
    <w:rsid w:val="00A40509"/>
    <w:rsid w:val="00A405D8"/>
    <w:rsid w:val="00A42FAB"/>
    <w:rsid w:val="00A44121"/>
    <w:rsid w:val="00A44600"/>
    <w:rsid w:val="00A457C3"/>
    <w:rsid w:val="00A47302"/>
    <w:rsid w:val="00A5101A"/>
    <w:rsid w:val="00A51F44"/>
    <w:rsid w:val="00A554C3"/>
    <w:rsid w:val="00A602BA"/>
    <w:rsid w:val="00A63E6A"/>
    <w:rsid w:val="00A6510C"/>
    <w:rsid w:val="00A65921"/>
    <w:rsid w:val="00A65A15"/>
    <w:rsid w:val="00A6797F"/>
    <w:rsid w:val="00A67E78"/>
    <w:rsid w:val="00A71C53"/>
    <w:rsid w:val="00A74461"/>
    <w:rsid w:val="00A7676C"/>
    <w:rsid w:val="00A81A92"/>
    <w:rsid w:val="00A85991"/>
    <w:rsid w:val="00A86346"/>
    <w:rsid w:val="00A93D26"/>
    <w:rsid w:val="00A948BD"/>
    <w:rsid w:val="00A95957"/>
    <w:rsid w:val="00AA0D8D"/>
    <w:rsid w:val="00AA4CCD"/>
    <w:rsid w:val="00AB274C"/>
    <w:rsid w:val="00AB75A9"/>
    <w:rsid w:val="00AC2949"/>
    <w:rsid w:val="00AD1E8D"/>
    <w:rsid w:val="00AD5267"/>
    <w:rsid w:val="00AD5F68"/>
    <w:rsid w:val="00AD7F40"/>
    <w:rsid w:val="00AE0219"/>
    <w:rsid w:val="00AE11A5"/>
    <w:rsid w:val="00AE2BDA"/>
    <w:rsid w:val="00AF1694"/>
    <w:rsid w:val="00AF1D3C"/>
    <w:rsid w:val="00AF3191"/>
    <w:rsid w:val="00AF7F33"/>
    <w:rsid w:val="00B036BB"/>
    <w:rsid w:val="00B064B7"/>
    <w:rsid w:val="00B10226"/>
    <w:rsid w:val="00B11351"/>
    <w:rsid w:val="00B13650"/>
    <w:rsid w:val="00B13935"/>
    <w:rsid w:val="00B17AB4"/>
    <w:rsid w:val="00B17F11"/>
    <w:rsid w:val="00B206BE"/>
    <w:rsid w:val="00B228B4"/>
    <w:rsid w:val="00B23DA2"/>
    <w:rsid w:val="00B25E88"/>
    <w:rsid w:val="00B26CC4"/>
    <w:rsid w:val="00B27B9C"/>
    <w:rsid w:val="00B314ED"/>
    <w:rsid w:val="00B3174A"/>
    <w:rsid w:val="00B32F0C"/>
    <w:rsid w:val="00B40E33"/>
    <w:rsid w:val="00B41883"/>
    <w:rsid w:val="00B44E7B"/>
    <w:rsid w:val="00B45053"/>
    <w:rsid w:val="00B47A21"/>
    <w:rsid w:val="00B508DC"/>
    <w:rsid w:val="00B554B4"/>
    <w:rsid w:val="00B6104D"/>
    <w:rsid w:val="00B63758"/>
    <w:rsid w:val="00B66578"/>
    <w:rsid w:val="00B66590"/>
    <w:rsid w:val="00B7278A"/>
    <w:rsid w:val="00B745C3"/>
    <w:rsid w:val="00B76C3A"/>
    <w:rsid w:val="00B804B9"/>
    <w:rsid w:val="00B80F0E"/>
    <w:rsid w:val="00B81C63"/>
    <w:rsid w:val="00B8403C"/>
    <w:rsid w:val="00B8484D"/>
    <w:rsid w:val="00B84B36"/>
    <w:rsid w:val="00B8536D"/>
    <w:rsid w:val="00B873A5"/>
    <w:rsid w:val="00B92473"/>
    <w:rsid w:val="00B93741"/>
    <w:rsid w:val="00B93934"/>
    <w:rsid w:val="00BA6E82"/>
    <w:rsid w:val="00BB02D1"/>
    <w:rsid w:val="00BB2A1F"/>
    <w:rsid w:val="00BB3101"/>
    <w:rsid w:val="00BB727A"/>
    <w:rsid w:val="00BC0026"/>
    <w:rsid w:val="00BC0868"/>
    <w:rsid w:val="00BC3044"/>
    <w:rsid w:val="00BC3FA1"/>
    <w:rsid w:val="00BC5A0F"/>
    <w:rsid w:val="00BC6C15"/>
    <w:rsid w:val="00BD0394"/>
    <w:rsid w:val="00BD186F"/>
    <w:rsid w:val="00BD2177"/>
    <w:rsid w:val="00BD3332"/>
    <w:rsid w:val="00BD6364"/>
    <w:rsid w:val="00BD7982"/>
    <w:rsid w:val="00BE0D4B"/>
    <w:rsid w:val="00BE0DB4"/>
    <w:rsid w:val="00BE14D8"/>
    <w:rsid w:val="00BE484D"/>
    <w:rsid w:val="00BE5806"/>
    <w:rsid w:val="00BE62E4"/>
    <w:rsid w:val="00BE6E66"/>
    <w:rsid w:val="00BF1BA0"/>
    <w:rsid w:val="00BF5594"/>
    <w:rsid w:val="00BF729E"/>
    <w:rsid w:val="00C0028C"/>
    <w:rsid w:val="00C11973"/>
    <w:rsid w:val="00C1337A"/>
    <w:rsid w:val="00C13EF4"/>
    <w:rsid w:val="00C1532E"/>
    <w:rsid w:val="00C17205"/>
    <w:rsid w:val="00C20E93"/>
    <w:rsid w:val="00C21304"/>
    <w:rsid w:val="00C27305"/>
    <w:rsid w:val="00C27A0D"/>
    <w:rsid w:val="00C31200"/>
    <w:rsid w:val="00C3287B"/>
    <w:rsid w:val="00C32998"/>
    <w:rsid w:val="00C3563B"/>
    <w:rsid w:val="00C40278"/>
    <w:rsid w:val="00C411BE"/>
    <w:rsid w:val="00C4354D"/>
    <w:rsid w:val="00C437BE"/>
    <w:rsid w:val="00C4415C"/>
    <w:rsid w:val="00C447D1"/>
    <w:rsid w:val="00C44B12"/>
    <w:rsid w:val="00C45DAC"/>
    <w:rsid w:val="00C47E62"/>
    <w:rsid w:val="00C502E8"/>
    <w:rsid w:val="00C50C33"/>
    <w:rsid w:val="00C54DDF"/>
    <w:rsid w:val="00C57605"/>
    <w:rsid w:val="00C658D6"/>
    <w:rsid w:val="00C65C21"/>
    <w:rsid w:val="00C70EB9"/>
    <w:rsid w:val="00C71774"/>
    <w:rsid w:val="00C7599C"/>
    <w:rsid w:val="00C767C9"/>
    <w:rsid w:val="00C76D02"/>
    <w:rsid w:val="00C80131"/>
    <w:rsid w:val="00C80F23"/>
    <w:rsid w:val="00C81AEB"/>
    <w:rsid w:val="00C8215C"/>
    <w:rsid w:val="00C8451D"/>
    <w:rsid w:val="00C84A8D"/>
    <w:rsid w:val="00C86DB2"/>
    <w:rsid w:val="00C87086"/>
    <w:rsid w:val="00C87D49"/>
    <w:rsid w:val="00C90101"/>
    <w:rsid w:val="00C92F5F"/>
    <w:rsid w:val="00C96C54"/>
    <w:rsid w:val="00CA1CA7"/>
    <w:rsid w:val="00CA1DB1"/>
    <w:rsid w:val="00CA2237"/>
    <w:rsid w:val="00CA2674"/>
    <w:rsid w:val="00CA5426"/>
    <w:rsid w:val="00CA55BA"/>
    <w:rsid w:val="00CB0322"/>
    <w:rsid w:val="00CB071D"/>
    <w:rsid w:val="00CB6D77"/>
    <w:rsid w:val="00CB6F56"/>
    <w:rsid w:val="00CB7C44"/>
    <w:rsid w:val="00CC107A"/>
    <w:rsid w:val="00CC2A1C"/>
    <w:rsid w:val="00CC38A0"/>
    <w:rsid w:val="00CC3AB3"/>
    <w:rsid w:val="00CC62CC"/>
    <w:rsid w:val="00CC6D23"/>
    <w:rsid w:val="00CC7FAE"/>
    <w:rsid w:val="00CD057E"/>
    <w:rsid w:val="00CD2290"/>
    <w:rsid w:val="00CD26C0"/>
    <w:rsid w:val="00CD3638"/>
    <w:rsid w:val="00CD466D"/>
    <w:rsid w:val="00CD7521"/>
    <w:rsid w:val="00CD7B49"/>
    <w:rsid w:val="00CE2665"/>
    <w:rsid w:val="00CE26D9"/>
    <w:rsid w:val="00CE53FD"/>
    <w:rsid w:val="00CE6824"/>
    <w:rsid w:val="00CF0492"/>
    <w:rsid w:val="00CF3011"/>
    <w:rsid w:val="00CF363D"/>
    <w:rsid w:val="00CF3A9A"/>
    <w:rsid w:val="00CF4132"/>
    <w:rsid w:val="00CF4B1F"/>
    <w:rsid w:val="00CF4DDC"/>
    <w:rsid w:val="00CF5201"/>
    <w:rsid w:val="00CF63CD"/>
    <w:rsid w:val="00D0085D"/>
    <w:rsid w:val="00D01004"/>
    <w:rsid w:val="00D028A8"/>
    <w:rsid w:val="00D02A1C"/>
    <w:rsid w:val="00D02D95"/>
    <w:rsid w:val="00D06CE9"/>
    <w:rsid w:val="00D07F7D"/>
    <w:rsid w:val="00D12710"/>
    <w:rsid w:val="00D214C6"/>
    <w:rsid w:val="00D218FA"/>
    <w:rsid w:val="00D2663C"/>
    <w:rsid w:val="00D2700F"/>
    <w:rsid w:val="00D2722A"/>
    <w:rsid w:val="00D2759B"/>
    <w:rsid w:val="00D3049A"/>
    <w:rsid w:val="00D326B9"/>
    <w:rsid w:val="00D340E3"/>
    <w:rsid w:val="00D37C2C"/>
    <w:rsid w:val="00D41F29"/>
    <w:rsid w:val="00D42F85"/>
    <w:rsid w:val="00D43311"/>
    <w:rsid w:val="00D4369F"/>
    <w:rsid w:val="00D442EC"/>
    <w:rsid w:val="00D45FF9"/>
    <w:rsid w:val="00D46CBE"/>
    <w:rsid w:val="00D47086"/>
    <w:rsid w:val="00D51AD3"/>
    <w:rsid w:val="00D561DD"/>
    <w:rsid w:val="00D56D83"/>
    <w:rsid w:val="00D56ED1"/>
    <w:rsid w:val="00D60F5B"/>
    <w:rsid w:val="00D63FF3"/>
    <w:rsid w:val="00D6439F"/>
    <w:rsid w:val="00D64CE1"/>
    <w:rsid w:val="00D703B7"/>
    <w:rsid w:val="00D709A0"/>
    <w:rsid w:val="00D71D3C"/>
    <w:rsid w:val="00D75DAB"/>
    <w:rsid w:val="00D76013"/>
    <w:rsid w:val="00D77DB3"/>
    <w:rsid w:val="00D77F99"/>
    <w:rsid w:val="00D81AC2"/>
    <w:rsid w:val="00D81EA2"/>
    <w:rsid w:val="00D83476"/>
    <w:rsid w:val="00D9310C"/>
    <w:rsid w:val="00D94B8B"/>
    <w:rsid w:val="00DA322F"/>
    <w:rsid w:val="00DA59BA"/>
    <w:rsid w:val="00DB0605"/>
    <w:rsid w:val="00DB522C"/>
    <w:rsid w:val="00DC3BF3"/>
    <w:rsid w:val="00DD1596"/>
    <w:rsid w:val="00DD1616"/>
    <w:rsid w:val="00DD3DA4"/>
    <w:rsid w:val="00DD46CD"/>
    <w:rsid w:val="00DD4D8D"/>
    <w:rsid w:val="00DD51A6"/>
    <w:rsid w:val="00DD76C7"/>
    <w:rsid w:val="00DE419F"/>
    <w:rsid w:val="00DE444E"/>
    <w:rsid w:val="00DE49A9"/>
    <w:rsid w:val="00DE553D"/>
    <w:rsid w:val="00DE6645"/>
    <w:rsid w:val="00DE7A3F"/>
    <w:rsid w:val="00DF27E1"/>
    <w:rsid w:val="00DF3B5F"/>
    <w:rsid w:val="00DF3E91"/>
    <w:rsid w:val="00DF45AF"/>
    <w:rsid w:val="00DF4632"/>
    <w:rsid w:val="00DF4A99"/>
    <w:rsid w:val="00DF6C96"/>
    <w:rsid w:val="00E0369E"/>
    <w:rsid w:val="00E0370C"/>
    <w:rsid w:val="00E04C30"/>
    <w:rsid w:val="00E134DC"/>
    <w:rsid w:val="00E1363E"/>
    <w:rsid w:val="00E14558"/>
    <w:rsid w:val="00E166C0"/>
    <w:rsid w:val="00E21BF3"/>
    <w:rsid w:val="00E22FAC"/>
    <w:rsid w:val="00E250AA"/>
    <w:rsid w:val="00E30A86"/>
    <w:rsid w:val="00E31060"/>
    <w:rsid w:val="00E31128"/>
    <w:rsid w:val="00E3624C"/>
    <w:rsid w:val="00E41977"/>
    <w:rsid w:val="00E442BB"/>
    <w:rsid w:val="00E449A4"/>
    <w:rsid w:val="00E4537B"/>
    <w:rsid w:val="00E462E0"/>
    <w:rsid w:val="00E53605"/>
    <w:rsid w:val="00E54163"/>
    <w:rsid w:val="00E55ACF"/>
    <w:rsid w:val="00E57276"/>
    <w:rsid w:val="00E57BC8"/>
    <w:rsid w:val="00E60783"/>
    <w:rsid w:val="00E60CC5"/>
    <w:rsid w:val="00E64489"/>
    <w:rsid w:val="00E663FF"/>
    <w:rsid w:val="00E70948"/>
    <w:rsid w:val="00E74CCA"/>
    <w:rsid w:val="00E751D1"/>
    <w:rsid w:val="00E76676"/>
    <w:rsid w:val="00E8104E"/>
    <w:rsid w:val="00E8613C"/>
    <w:rsid w:val="00E869E6"/>
    <w:rsid w:val="00E904C1"/>
    <w:rsid w:val="00E91A06"/>
    <w:rsid w:val="00E91A72"/>
    <w:rsid w:val="00E91B9A"/>
    <w:rsid w:val="00E921B8"/>
    <w:rsid w:val="00E92668"/>
    <w:rsid w:val="00E9353D"/>
    <w:rsid w:val="00E936C6"/>
    <w:rsid w:val="00E93E7A"/>
    <w:rsid w:val="00E93FC9"/>
    <w:rsid w:val="00EA0A90"/>
    <w:rsid w:val="00EB226B"/>
    <w:rsid w:val="00EB3E82"/>
    <w:rsid w:val="00EB5600"/>
    <w:rsid w:val="00EC3985"/>
    <w:rsid w:val="00EC4145"/>
    <w:rsid w:val="00EC555F"/>
    <w:rsid w:val="00EC75DB"/>
    <w:rsid w:val="00ED2496"/>
    <w:rsid w:val="00ED2B57"/>
    <w:rsid w:val="00ED329B"/>
    <w:rsid w:val="00EE0B2B"/>
    <w:rsid w:val="00EE2251"/>
    <w:rsid w:val="00EE4B43"/>
    <w:rsid w:val="00EE54D4"/>
    <w:rsid w:val="00EF2997"/>
    <w:rsid w:val="00EF4C0E"/>
    <w:rsid w:val="00EF4D5E"/>
    <w:rsid w:val="00EF5528"/>
    <w:rsid w:val="00EF64D6"/>
    <w:rsid w:val="00F00394"/>
    <w:rsid w:val="00F00BC5"/>
    <w:rsid w:val="00F01A98"/>
    <w:rsid w:val="00F04352"/>
    <w:rsid w:val="00F0585E"/>
    <w:rsid w:val="00F059C9"/>
    <w:rsid w:val="00F05F1B"/>
    <w:rsid w:val="00F069F5"/>
    <w:rsid w:val="00F06C35"/>
    <w:rsid w:val="00F07E33"/>
    <w:rsid w:val="00F119C5"/>
    <w:rsid w:val="00F11D67"/>
    <w:rsid w:val="00F12BED"/>
    <w:rsid w:val="00F15DF5"/>
    <w:rsid w:val="00F16179"/>
    <w:rsid w:val="00F20319"/>
    <w:rsid w:val="00F223DC"/>
    <w:rsid w:val="00F22821"/>
    <w:rsid w:val="00F26B28"/>
    <w:rsid w:val="00F27E93"/>
    <w:rsid w:val="00F31F66"/>
    <w:rsid w:val="00F3484C"/>
    <w:rsid w:val="00F35551"/>
    <w:rsid w:val="00F4153F"/>
    <w:rsid w:val="00F46165"/>
    <w:rsid w:val="00F473E4"/>
    <w:rsid w:val="00F508EF"/>
    <w:rsid w:val="00F53EC2"/>
    <w:rsid w:val="00F6439A"/>
    <w:rsid w:val="00F64D98"/>
    <w:rsid w:val="00F7037B"/>
    <w:rsid w:val="00F7096C"/>
    <w:rsid w:val="00F732D0"/>
    <w:rsid w:val="00F75645"/>
    <w:rsid w:val="00F75FCD"/>
    <w:rsid w:val="00F82967"/>
    <w:rsid w:val="00F85844"/>
    <w:rsid w:val="00F9066A"/>
    <w:rsid w:val="00F9070F"/>
    <w:rsid w:val="00F91137"/>
    <w:rsid w:val="00F93992"/>
    <w:rsid w:val="00F97562"/>
    <w:rsid w:val="00FA17B4"/>
    <w:rsid w:val="00FA2127"/>
    <w:rsid w:val="00FA4C05"/>
    <w:rsid w:val="00FA78CC"/>
    <w:rsid w:val="00FB12F9"/>
    <w:rsid w:val="00FB16D4"/>
    <w:rsid w:val="00FB25CE"/>
    <w:rsid w:val="00FB338C"/>
    <w:rsid w:val="00FB49DD"/>
    <w:rsid w:val="00FB6D16"/>
    <w:rsid w:val="00FC5507"/>
    <w:rsid w:val="00FC59D0"/>
    <w:rsid w:val="00FD2486"/>
    <w:rsid w:val="00FD4450"/>
    <w:rsid w:val="00FD679C"/>
    <w:rsid w:val="00FE0B59"/>
    <w:rsid w:val="00FE713F"/>
    <w:rsid w:val="00FF0227"/>
    <w:rsid w:val="00FF1FAE"/>
    <w:rsid w:val="00FF58F9"/>
    <w:rsid w:val="00FF5D21"/>
    <w:rsid w:val="00FF5EA9"/>
    <w:rsid w:val="019FFF90"/>
    <w:rsid w:val="030A17AA"/>
    <w:rsid w:val="048463E4"/>
    <w:rsid w:val="056DCC88"/>
    <w:rsid w:val="06B1AAE4"/>
    <w:rsid w:val="0774A079"/>
    <w:rsid w:val="07ED3BFA"/>
    <w:rsid w:val="09ABF53D"/>
    <w:rsid w:val="0C4937AA"/>
    <w:rsid w:val="0D448309"/>
    <w:rsid w:val="0E6DC20D"/>
    <w:rsid w:val="0EAB6FD3"/>
    <w:rsid w:val="0F9F8429"/>
    <w:rsid w:val="11A2432E"/>
    <w:rsid w:val="12D724EB"/>
    <w:rsid w:val="1309EF7C"/>
    <w:rsid w:val="134984BE"/>
    <w:rsid w:val="14D88F0E"/>
    <w:rsid w:val="16714FE8"/>
    <w:rsid w:val="16DB1401"/>
    <w:rsid w:val="182D5264"/>
    <w:rsid w:val="188EEA52"/>
    <w:rsid w:val="18EF5C15"/>
    <w:rsid w:val="1A234F9F"/>
    <w:rsid w:val="1ACA5187"/>
    <w:rsid w:val="1B731EA3"/>
    <w:rsid w:val="1FB33417"/>
    <w:rsid w:val="20BF451F"/>
    <w:rsid w:val="22A92116"/>
    <w:rsid w:val="23A9EBEF"/>
    <w:rsid w:val="24E77136"/>
    <w:rsid w:val="266DF740"/>
    <w:rsid w:val="26C56B4E"/>
    <w:rsid w:val="2797D08F"/>
    <w:rsid w:val="293C4AE5"/>
    <w:rsid w:val="295F336E"/>
    <w:rsid w:val="2AC87406"/>
    <w:rsid w:val="2C450E27"/>
    <w:rsid w:val="2CB6E79B"/>
    <w:rsid w:val="2D2413E1"/>
    <w:rsid w:val="2D241CAA"/>
    <w:rsid w:val="2F0A95F2"/>
    <w:rsid w:val="30C3D6C1"/>
    <w:rsid w:val="34E1C47D"/>
    <w:rsid w:val="37522E97"/>
    <w:rsid w:val="3C45D2D2"/>
    <w:rsid w:val="3CF3187B"/>
    <w:rsid w:val="3D1D32E2"/>
    <w:rsid w:val="3EF286B6"/>
    <w:rsid w:val="3F007A68"/>
    <w:rsid w:val="410597E6"/>
    <w:rsid w:val="4150A09B"/>
    <w:rsid w:val="418C2C1F"/>
    <w:rsid w:val="419F7118"/>
    <w:rsid w:val="41BBAE95"/>
    <w:rsid w:val="4225296B"/>
    <w:rsid w:val="4229284B"/>
    <w:rsid w:val="426EB209"/>
    <w:rsid w:val="43A852AB"/>
    <w:rsid w:val="43B5B16A"/>
    <w:rsid w:val="448D0038"/>
    <w:rsid w:val="450842F5"/>
    <w:rsid w:val="461CA799"/>
    <w:rsid w:val="4628D099"/>
    <w:rsid w:val="466A95D6"/>
    <w:rsid w:val="47374149"/>
    <w:rsid w:val="47C4A0FA"/>
    <w:rsid w:val="48619B1E"/>
    <w:rsid w:val="4907653A"/>
    <w:rsid w:val="497ADF36"/>
    <w:rsid w:val="4A7240B3"/>
    <w:rsid w:val="4ABE22E2"/>
    <w:rsid w:val="4BB3C10E"/>
    <w:rsid w:val="4F061313"/>
    <w:rsid w:val="504953CE"/>
    <w:rsid w:val="509C1E35"/>
    <w:rsid w:val="50AC6867"/>
    <w:rsid w:val="51E5242F"/>
    <w:rsid w:val="524838C8"/>
    <w:rsid w:val="5307FA14"/>
    <w:rsid w:val="5470944F"/>
    <w:rsid w:val="547DFC14"/>
    <w:rsid w:val="54B9A9EC"/>
    <w:rsid w:val="54CCE6DD"/>
    <w:rsid w:val="554BC433"/>
    <w:rsid w:val="58DC4706"/>
    <w:rsid w:val="59BD7716"/>
    <w:rsid w:val="59F98E48"/>
    <w:rsid w:val="5A2E33D7"/>
    <w:rsid w:val="5A56C62C"/>
    <w:rsid w:val="5A6D8511"/>
    <w:rsid w:val="5A89713C"/>
    <w:rsid w:val="5B16E70E"/>
    <w:rsid w:val="5B2B417A"/>
    <w:rsid w:val="5B97979E"/>
    <w:rsid w:val="5C627DD7"/>
    <w:rsid w:val="5E74296F"/>
    <w:rsid w:val="5F097320"/>
    <w:rsid w:val="5F78D104"/>
    <w:rsid w:val="6047756B"/>
    <w:rsid w:val="60844CFE"/>
    <w:rsid w:val="610E4EE5"/>
    <w:rsid w:val="617818B1"/>
    <w:rsid w:val="64225364"/>
    <w:rsid w:val="643127C4"/>
    <w:rsid w:val="6549989E"/>
    <w:rsid w:val="657967E0"/>
    <w:rsid w:val="6687CCA9"/>
    <w:rsid w:val="668FE34D"/>
    <w:rsid w:val="66BB78C5"/>
    <w:rsid w:val="66F38E82"/>
    <w:rsid w:val="68727703"/>
    <w:rsid w:val="69BD4355"/>
    <w:rsid w:val="6AA113EE"/>
    <w:rsid w:val="6AB827F4"/>
    <w:rsid w:val="6B2DAEDD"/>
    <w:rsid w:val="6D76CD61"/>
    <w:rsid w:val="6E899D81"/>
    <w:rsid w:val="7022B259"/>
    <w:rsid w:val="704206BA"/>
    <w:rsid w:val="712EB1D1"/>
    <w:rsid w:val="71B8944E"/>
    <w:rsid w:val="72CA8232"/>
    <w:rsid w:val="73BDDFEF"/>
    <w:rsid w:val="73E8448F"/>
    <w:rsid w:val="74345EBB"/>
    <w:rsid w:val="74991B24"/>
    <w:rsid w:val="783BD272"/>
    <w:rsid w:val="789365F8"/>
    <w:rsid w:val="79131727"/>
    <w:rsid w:val="7943EF60"/>
    <w:rsid w:val="7C452505"/>
    <w:rsid w:val="7C49D216"/>
    <w:rsid w:val="7C9AD625"/>
    <w:rsid w:val="7D1B9ECD"/>
    <w:rsid w:val="7E685ECD"/>
    <w:rsid w:val="7F29C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75F45"/>
  <w15:chartTrackingRefBased/>
  <w15:docId w15:val="{7CCE1A4A-6B58-47A6-B4DE-A5C5B626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2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63"/>
    <w:pPr>
      <w:ind w:left="720"/>
      <w:contextualSpacing/>
    </w:pPr>
    <w:rPr>
      <w:rFonts w:ascii="Calibri" w:eastAsia="Calibri" w:hAnsi="Calibri"/>
    </w:rPr>
  </w:style>
  <w:style w:type="paragraph" w:customStyle="1" w:styleId="xmsonormal">
    <w:name w:val="x_msonormal"/>
    <w:basedOn w:val="Normal"/>
    <w:rsid w:val="00294263"/>
    <w:pPr>
      <w:spacing w:before="100" w:beforeAutospacing="1" w:after="100" w:afterAutospacing="1"/>
    </w:pPr>
  </w:style>
  <w:style w:type="character" w:customStyle="1" w:styleId="apple-converted-space">
    <w:name w:val="apple-converted-space"/>
    <w:basedOn w:val="DefaultParagraphFont"/>
    <w:rsid w:val="00294263"/>
  </w:style>
  <w:style w:type="paragraph" w:styleId="Header">
    <w:name w:val="header"/>
    <w:basedOn w:val="Normal"/>
    <w:link w:val="HeaderChar"/>
    <w:uiPriority w:val="99"/>
    <w:unhideWhenUsed/>
    <w:rsid w:val="00294263"/>
    <w:pPr>
      <w:tabs>
        <w:tab w:val="center" w:pos="4680"/>
        <w:tab w:val="right" w:pos="9360"/>
      </w:tabs>
    </w:pPr>
  </w:style>
  <w:style w:type="character" w:customStyle="1" w:styleId="HeaderChar">
    <w:name w:val="Header Char"/>
    <w:basedOn w:val="DefaultParagraphFont"/>
    <w:link w:val="Header"/>
    <w:uiPriority w:val="99"/>
    <w:rsid w:val="00294263"/>
    <w:rPr>
      <w:rFonts w:ascii="Times New Roman" w:eastAsia="Times New Roman" w:hAnsi="Times New Roman" w:cs="Times New Roman"/>
    </w:rPr>
  </w:style>
  <w:style w:type="paragraph" w:styleId="NormalWeb">
    <w:name w:val="Normal (Web)"/>
    <w:basedOn w:val="Normal"/>
    <w:uiPriority w:val="99"/>
    <w:semiHidden/>
    <w:unhideWhenUsed/>
    <w:rsid w:val="0093454F"/>
    <w:pPr>
      <w:spacing w:before="100" w:beforeAutospacing="1" w:after="100" w:afterAutospacing="1"/>
    </w:pPr>
    <w:rPr>
      <w:rFonts w:ascii="Calibri" w:hAnsi="Calibri" w:cs="Calibri"/>
      <w:sz w:val="22"/>
      <w:szCs w:val="22"/>
    </w:rPr>
  </w:style>
  <w:style w:type="paragraph" w:styleId="FootnoteText">
    <w:name w:val="footnote text"/>
    <w:basedOn w:val="Normal"/>
    <w:link w:val="FootnoteTextChar"/>
    <w:uiPriority w:val="99"/>
    <w:semiHidden/>
    <w:unhideWhenUsed/>
    <w:rsid w:val="0093454F"/>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93454F"/>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93454F"/>
    <w:rPr>
      <w:vertAlign w:val="superscript"/>
    </w:rPr>
  </w:style>
  <w:style w:type="character" w:styleId="Hyperlink">
    <w:name w:val="Hyperlink"/>
    <w:basedOn w:val="DefaultParagraphFont"/>
    <w:uiPriority w:val="99"/>
    <w:unhideWhenUsed/>
    <w:rsid w:val="0093454F"/>
    <w:rPr>
      <w:color w:val="0563C1" w:themeColor="hyperlink"/>
      <w:u w:val="single"/>
    </w:rPr>
  </w:style>
  <w:style w:type="paragraph" w:styleId="Footer">
    <w:name w:val="footer"/>
    <w:basedOn w:val="Normal"/>
    <w:link w:val="FooterChar"/>
    <w:uiPriority w:val="99"/>
    <w:unhideWhenUsed/>
    <w:rsid w:val="00296743"/>
    <w:pPr>
      <w:tabs>
        <w:tab w:val="center" w:pos="4680"/>
        <w:tab w:val="right" w:pos="9360"/>
      </w:tabs>
    </w:pPr>
  </w:style>
  <w:style w:type="character" w:customStyle="1" w:styleId="FooterChar">
    <w:name w:val="Footer Char"/>
    <w:basedOn w:val="DefaultParagraphFont"/>
    <w:link w:val="Footer"/>
    <w:uiPriority w:val="99"/>
    <w:rsid w:val="00296743"/>
    <w:rPr>
      <w:rFonts w:ascii="Times New Roman" w:eastAsia="Times New Roman" w:hAnsi="Times New Roman" w:cs="Times New Roman"/>
    </w:rPr>
  </w:style>
  <w:style w:type="character" w:styleId="PageNumber">
    <w:name w:val="page number"/>
    <w:basedOn w:val="DefaultParagraphFont"/>
    <w:uiPriority w:val="99"/>
    <w:semiHidden/>
    <w:unhideWhenUsed/>
    <w:rsid w:val="00F7096C"/>
  </w:style>
  <w:style w:type="paragraph" w:customStyle="1" w:styleId="xmsolistparagraph">
    <w:name w:val="x_msolistparagraph"/>
    <w:basedOn w:val="Normal"/>
    <w:rsid w:val="000130CB"/>
    <w:pPr>
      <w:spacing w:before="100" w:beforeAutospacing="1" w:after="100" w:afterAutospacing="1"/>
    </w:pPr>
  </w:style>
  <w:style w:type="table" w:styleId="TableGrid">
    <w:name w:val="Table Grid"/>
    <w:basedOn w:val="TableNormal"/>
    <w:uiPriority w:val="39"/>
    <w:rsid w:val="00DE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616"/>
    <w:rPr>
      <w:rFonts w:ascii="Times New Roman" w:eastAsia="Times New Roman" w:hAnsi="Times New Roman" w:cs="Times New Roman"/>
    </w:rPr>
  </w:style>
  <w:style w:type="character" w:customStyle="1" w:styleId="contentpasted0">
    <w:name w:val="contentpasted0"/>
    <w:basedOn w:val="DefaultParagraphFont"/>
    <w:rsid w:val="0038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5517">
      <w:bodyDiv w:val="1"/>
      <w:marLeft w:val="0"/>
      <w:marRight w:val="0"/>
      <w:marTop w:val="0"/>
      <w:marBottom w:val="0"/>
      <w:divBdr>
        <w:top w:val="none" w:sz="0" w:space="0" w:color="auto"/>
        <w:left w:val="none" w:sz="0" w:space="0" w:color="auto"/>
        <w:bottom w:val="none" w:sz="0" w:space="0" w:color="auto"/>
        <w:right w:val="none" w:sz="0" w:space="0" w:color="auto"/>
      </w:divBdr>
    </w:div>
    <w:div w:id="230777150">
      <w:bodyDiv w:val="1"/>
      <w:marLeft w:val="0"/>
      <w:marRight w:val="0"/>
      <w:marTop w:val="0"/>
      <w:marBottom w:val="0"/>
      <w:divBdr>
        <w:top w:val="none" w:sz="0" w:space="0" w:color="auto"/>
        <w:left w:val="none" w:sz="0" w:space="0" w:color="auto"/>
        <w:bottom w:val="none" w:sz="0" w:space="0" w:color="auto"/>
        <w:right w:val="none" w:sz="0" w:space="0" w:color="auto"/>
      </w:divBdr>
    </w:div>
    <w:div w:id="313994631">
      <w:bodyDiv w:val="1"/>
      <w:marLeft w:val="0"/>
      <w:marRight w:val="0"/>
      <w:marTop w:val="0"/>
      <w:marBottom w:val="0"/>
      <w:divBdr>
        <w:top w:val="none" w:sz="0" w:space="0" w:color="auto"/>
        <w:left w:val="none" w:sz="0" w:space="0" w:color="auto"/>
        <w:bottom w:val="none" w:sz="0" w:space="0" w:color="auto"/>
        <w:right w:val="none" w:sz="0" w:space="0" w:color="auto"/>
      </w:divBdr>
    </w:div>
    <w:div w:id="617639796">
      <w:bodyDiv w:val="1"/>
      <w:marLeft w:val="0"/>
      <w:marRight w:val="0"/>
      <w:marTop w:val="0"/>
      <w:marBottom w:val="0"/>
      <w:divBdr>
        <w:top w:val="none" w:sz="0" w:space="0" w:color="auto"/>
        <w:left w:val="none" w:sz="0" w:space="0" w:color="auto"/>
        <w:bottom w:val="none" w:sz="0" w:space="0" w:color="auto"/>
        <w:right w:val="none" w:sz="0" w:space="0" w:color="auto"/>
      </w:divBdr>
    </w:div>
    <w:div w:id="650870613">
      <w:bodyDiv w:val="1"/>
      <w:marLeft w:val="0"/>
      <w:marRight w:val="0"/>
      <w:marTop w:val="0"/>
      <w:marBottom w:val="0"/>
      <w:divBdr>
        <w:top w:val="none" w:sz="0" w:space="0" w:color="auto"/>
        <w:left w:val="none" w:sz="0" w:space="0" w:color="auto"/>
        <w:bottom w:val="none" w:sz="0" w:space="0" w:color="auto"/>
        <w:right w:val="none" w:sz="0" w:space="0" w:color="auto"/>
      </w:divBdr>
    </w:div>
    <w:div w:id="664092873">
      <w:bodyDiv w:val="1"/>
      <w:marLeft w:val="0"/>
      <w:marRight w:val="0"/>
      <w:marTop w:val="0"/>
      <w:marBottom w:val="0"/>
      <w:divBdr>
        <w:top w:val="none" w:sz="0" w:space="0" w:color="auto"/>
        <w:left w:val="none" w:sz="0" w:space="0" w:color="auto"/>
        <w:bottom w:val="none" w:sz="0" w:space="0" w:color="auto"/>
        <w:right w:val="none" w:sz="0" w:space="0" w:color="auto"/>
      </w:divBdr>
    </w:div>
    <w:div w:id="664363082">
      <w:bodyDiv w:val="1"/>
      <w:marLeft w:val="0"/>
      <w:marRight w:val="0"/>
      <w:marTop w:val="0"/>
      <w:marBottom w:val="0"/>
      <w:divBdr>
        <w:top w:val="none" w:sz="0" w:space="0" w:color="auto"/>
        <w:left w:val="none" w:sz="0" w:space="0" w:color="auto"/>
        <w:bottom w:val="none" w:sz="0" w:space="0" w:color="auto"/>
        <w:right w:val="none" w:sz="0" w:space="0" w:color="auto"/>
      </w:divBdr>
    </w:div>
    <w:div w:id="804006748">
      <w:bodyDiv w:val="1"/>
      <w:marLeft w:val="0"/>
      <w:marRight w:val="0"/>
      <w:marTop w:val="0"/>
      <w:marBottom w:val="0"/>
      <w:divBdr>
        <w:top w:val="none" w:sz="0" w:space="0" w:color="auto"/>
        <w:left w:val="none" w:sz="0" w:space="0" w:color="auto"/>
        <w:bottom w:val="none" w:sz="0" w:space="0" w:color="auto"/>
        <w:right w:val="none" w:sz="0" w:space="0" w:color="auto"/>
      </w:divBdr>
    </w:div>
    <w:div w:id="1037047740">
      <w:bodyDiv w:val="1"/>
      <w:marLeft w:val="0"/>
      <w:marRight w:val="0"/>
      <w:marTop w:val="0"/>
      <w:marBottom w:val="0"/>
      <w:divBdr>
        <w:top w:val="none" w:sz="0" w:space="0" w:color="auto"/>
        <w:left w:val="none" w:sz="0" w:space="0" w:color="auto"/>
        <w:bottom w:val="none" w:sz="0" w:space="0" w:color="auto"/>
        <w:right w:val="none" w:sz="0" w:space="0" w:color="auto"/>
      </w:divBdr>
    </w:div>
    <w:div w:id="1482431820">
      <w:bodyDiv w:val="1"/>
      <w:marLeft w:val="0"/>
      <w:marRight w:val="0"/>
      <w:marTop w:val="0"/>
      <w:marBottom w:val="0"/>
      <w:divBdr>
        <w:top w:val="none" w:sz="0" w:space="0" w:color="auto"/>
        <w:left w:val="none" w:sz="0" w:space="0" w:color="auto"/>
        <w:bottom w:val="none" w:sz="0" w:space="0" w:color="auto"/>
        <w:right w:val="none" w:sz="0" w:space="0" w:color="auto"/>
      </w:divBdr>
    </w:div>
    <w:div w:id="1590233632">
      <w:bodyDiv w:val="1"/>
      <w:marLeft w:val="0"/>
      <w:marRight w:val="0"/>
      <w:marTop w:val="0"/>
      <w:marBottom w:val="0"/>
      <w:divBdr>
        <w:top w:val="none" w:sz="0" w:space="0" w:color="auto"/>
        <w:left w:val="none" w:sz="0" w:space="0" w:color="auto"/>
        <w:bottom w:val="none" w:sz="0" w:space="0" w:color="auto"/>
        <w:right w:val="none" w:sz="0" w:space="0" w:color="auto"/>
      </w:divBdr>
    </w:div>
    <w:div w:id="20524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4" ma:contentTypeDescription="Create a new document." ma:contentTypeScope="" ma:versionID="96df27de7b3baed287c886babaad3a9e">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7572a49cc95d632abbc73d3553dd3271"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9688C-50D0-4587-AAA3-87DF760A689D}">
  <ds:schemaRefs>
    <ds:schemaRef ds:uri="http://schemas.microsoft.com/office/2006/metadata/properties"/>
    <ds:schemaRef ds:uri="http://schemas.microsoft.com/office/infopath/2007/PartnerControls"/>
    <ds:schemaRef ds:uri="1e29f7a6-09d7-4e0e-8ca1-7b83d4477d3c"/>
  </ds:schemaRefs>
</ds:datastoreItem>
</file>

<file path=customXml/itemProps2.xml><?xml version="1.0" encoding="utf-8"?>
<ds:datastoreItem xmlns:ds="http://schemas.openxmlformats.org/officeDocument/2006/customXml" ds:itemID="{A7218279-4861-4688-B98C-4EDE35238126}">
  <ds:schemaRefs>
    <ds:schemaRef ds:uri="http://schemas.openxmlformats.org/officeDocument/2006/bibliography"/>
  </ds:schemaRefs>
</ds:datastoreItem>
</file>

<file path=customXml/itemProps3.xml><?xml version="1.0" encoding="utf-8"?>
<ds:datastoreItem xmlns:ds="http://schemas.openxmlformats.org/officeDocument/2006/customXml" ds:itemID="{5AA6E34E-E1E0-495A-8776-146EE0196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72381-EB44-4755-8492-DEA1C22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Perez Katz</dc:creator>
  <cp:keywords/>
  <dc:description/>
  <cp:lastModifiedBy>Burbano, Carmela</cp:lastModifiedBy>
  <cp:revision>4</cp:revision>
  <dcterms:created xsi:type="dcterms:W3CDTF">2024-04-25T16:49:00Z</dcterms:created>
  <dcterms:modified xsi:type="dcterms:W3CDTF">2024-04-25T16:50:00Z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0x0101008E003B3FC94A834DBEE01557366D7C59</vt:lpwstr>
  </property>
</Properties>
</file>