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65FF" w14:textId="77777777" w:rsidR="004037A1" w:rsidRPr="004037A1" w:rsidRDefault="004037A1" w:rsidP="004037A1">
      <w:pPr>
        <w:tabs>
          <w:tab w:val="left" w:pos="6480"/>
        </w:tabs>
        <w:suppressAutoHyphens/>
        <w:ind w:right="-29"/>
        <w:rPr>
          <w:bCs/>
          <w:caps/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CONVENÇÃO INTERAMERICANA SOBRE </w:t>
      </w:r>
      <w:r w:rsidRPr="004037A1">
        <w:rPr>
          <w:sz w:val="22"/>
          <w:lang w:val="pt-BR"/>
        </w:rPr>
        <w:tab/>
        <w:t>OEA/Ser.K/XLIV.2</w:t>
      </w:r>
    </w:p>
    <w:p w14:paraId="192CB6EA" w14:textId="6D5AAA49" w:rsidR="004037A1" w:rsidRPr="004037A1" w:rsidRDefault="004037A1" w:rsidP="004037A1">
      <w:pPr>
        <w:tabs>
          <w:tab w:val="left" w:pos="6480"/>
        </w:tabs>
        <w:suppressAutoHyphens/>
        <w:ind w:right="-659"/>
        <w:rPr>
          <w:bCs/>
          <w:caps/>
          <w:sz w:val="22"/>
          <w:szCs w:val="22"/>
          <w:lang w:val="pt-BR"/>
        </w:rPr>
      </w:pPr>
      <w:r w:rsidRPr="004037A1">
        <w:rPr>
          <w:caps/>
          <w:sz w:val="22"/>
          <w:lang w:val="pt-BR"/>
        </w:rPr>
        <w:t xml:space="preserve">TRANSPARÊNCIA NAS AQUISIÇÕES                           </w:t>
      </w:r>
      <w:r w:rsidRPr="004037A1">
        <w:rPr>
          <w:caps/>
          <w:sz w:val="22"/>
          <w:lang w:val="pt-BR"/>
        </w:rPr>
        <w:tab/>
        <w:t>CITAAC/CEP-II/</w:t>
      </w:r>
      <w:r w:rsidR="00F86BDD" w:rsidRPr="004037A1">
        <w:rPr>
          <w:sz w:val="22"/>
          <w:lang w:val="pt-BR"/>
        </w:rPr>
        <w:t>doc</w:t>
      </w:r>
      <w:r w:rsidRPr="004037A1">
        <w:rPr>
          <w:sz w:val="22"/>
          <w:lang w:val="pt-BR"/>
        </w:rPr>
        <w:t xml:space="preserve">.3/22 Rev. </w:t>
      </w:r>
      <w:r w:rsidR="00F76988">
        <w:rPr>
          <w:sz w:val="22"/>
          <w:lang w:val="pt-BR"/>
        </w:rPr>
        <w:t>3</w:t>
      </w:r>
    </w:p>
    <w:p w14:paraId="6371E93A" w14:textId="4A43A948" w:rsidR="004037A1" w:rsidRPr="004037A1" w:rsidRDefault="004037A1" w:rsidP="004037A1">
      <w:pPr>
        <w:tabs>
          <w:tab w:val="left" w:pos="6480"/>
        </w:tabs>
        <w:suppressAutoHyphens/>
        <w:ind w:right="-29"/>
        <w:rPr>
          <w:bCs/>
          <w:caps/>
          <w:sz w:val="22"/>
          <w:szCs w:val="22"/>
          <w:lang w:val="pt-BR"/>
        </w:rPr>
      </w:pPr>
      <w:r w:rsidRPr="004037A1">
        <w:rPr>
          <w:caps/>
          <w:sz w:val="22"/>
          <w:lang w:val="pt-BR"/>
        </w:rPr>
        <w:t xml:space="preserve">DE ARMAS CONVENCIONAIS (CITAAC) </w:t>
      </w:r>
      <w:r w:rsidRPr="004037A1">
        <w:rPr>
          <w:caps/>
          <w:sz w:val="22"/>
          <w:lang w:val="pt-BR"/>
        </w:rPr>
        <w:tab/>
        <w:t>1</w:t>
      </w:r>
      <w:r w:rsidR="00F76988">
        <w:rPr>
          <w:caps/>
          <w:sz w:val="22"/>
          <w:lang w:val="pt-BR"/>
        </w:rPr>
        <w:t>9</w:t>
      </w:r>
      <w:r w:rsidRPr="004037A1">
        <w:rPr>
          <w:caps/>
          <w:sz w:val="22"/>
          <w:lang w:val="pt-BR"/>
        </w:rPr>
        <w:t xml:space="preserve"> </w:t>
      </w:r>
      <w:r w:rsidRPr="004037A1">
        <w:rPr>
          <w:sz w:val="22"/>
          <w:lang w:val="pt-BR"/>
        </w:rPr>
        <w:t xml:space="preserve">abril </w:t>
      </w:r>
      <w:r w:rsidRPr="004037A1">
        <w:rPr>
          <w:caps/>
          <w:sz w:val="22"/>
          <w:lang w:val="pt-BR"/>
        </w:rPr>
        <w:t>2022</w:t>
      </w:r>
    </w:p>
    <w:p w14:paraId="240D3515" w14:textId="77777777" w:rsidR="004037A1" w:rsidRPr="004037A1" w:rsidRDefault="004037A1" w:rsidP="004037A1">
      <w:pPr>
        <w:tabs>
          <w:tab w:val="left" w:pos="6545"/>
        </w:tabs>
        <w:rPr>
          <w:sz w:val="22"/>
          <w:szCs w:val="22"/>
          <w:u w:val="single"/>
          <w:lang w:val="pt-BR"/>
        </w:rPr>
      </w:pPr>
      <w:r w:rsidRPr="004037A1">
        <w:rPr>
          <w:sz w:val="22"/>
          <w:u w:val="single"/>
          <w:lang w:val="pt-BR"/>
        </w:rPr>
        <w:t>Segunda Conferência dos Estados Partes</w:t>
      </w:r>
      <w:r w:rsidRPr="004037A1">
        <w:rPr>
          <w:sz w:val="22"/>
          <w:lang w:val="pt-BR"/>
        </w:rPr>
        <w:t xml:space="preserve"> </w:t>
      </w:r>
      <w:r w:rsidRPr="004037A1">
        <w:rPr>
          <w:sz w:val="22"/>
          <w:lang w:val="pt-BR"/>
        </w:rPr>
        <w:tab/>
        <w:t>Original: inglês</w:t>
      </w:r>
    </w:p>
    <w:p w14:paraId="29BA2665" w14:textId="77777777" w:rsidR="004037A1" w:rsidRPr="004037A1" w:rsidRDefault="004037A1" w:rsidP="004037A1">
      <w:pPr>
        <w:tabs>
          <w:tab w:val="left" w:pos="6545"/>
        </w:tabs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>19 de abril de 2022</w:t>
      </w:r>
    </w:p>
    <w:p w14:paraId="655FBA45" w14:textId="77777777" w:rsidR="004037A1" w:rsidRPr="004037A1" w:rsidRDefault="004037A1" w:rsidP="004037A1">
      <w:pPr>
        <w:tabs>
          <w:tab w:val="left" w:pos="6545"/>
        </w:tabs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>Formato virtual</w:t>
      </w:r>
    </w:p>
    <w:p w14:paraId="2479D125" w14:textId="77777777" w:rsidR="004037A1" w:rsidRPr="004037A1" w:rsidRDefault="004037A1" w:rsidP="004037A1">
      <w:pPr>
        <w:tabs>
          <w:tab w:val="left" w:pos="6480"/>
        </w:tabs>
        <w:suppressAutoHyphens/>
        <w:ind w:right="-29"/>
        <w:rPr>
          <w:sz w:val="22"/>
          <w:szCs w:val="22"/>
          <w:u w:val="single"/>
          <w:lang w:val="pt-BR"/>
        </w:rPr>
      </w:pPr>
      <w:r w:rsidRPr="004037A1">
        <w:rPr>
          <w:sz w:val="22"/>
          <w:lang w:val="pt-BR"/>
        </w:rPr>
        <w:tab/>
      </w:r>
    </w:p>
    <w:p w14:paraId="70593761" w14:textId="77777777" w:rsidR="004037A1" w:rsidRPr="004037A1" w:rsidRDefault="004037A1" w:rsidP="004037A1">
      <w:pPr>
        <w:tabs>
          <w:tab w:val="left" w:pos="6840"/>
        </w:tabs>
        <w:suppressAutoHyphens/>
        <w:ind w:right="-29"/>
        <w:jc w:val="center"/>
        <w:rPr>
          <w:sz w:val="22"/>
          <w:szCs w:val="22"/>
          <w:lang w:val="pt-BR"/>
        </w:rPr>
      </w:pPr>
    </w:p>
    <w:p w14:paraId="29AE7442" w14:textId="77777777" w:rsidR="004037A1" w:rsidRPr="004037A1" w:rsidRDefault="004037A1" w:rsidP="004037A1">
      <w:pPr>
        <w:tabs>
          <w:tab w:val="left" w:pos="6840"/>
        </w:tabs>
        <w:suppressAutoHyphens/>
        <w:ind w:right="-29"/>
        <w:jc w:val="center"/>
        <w:rPr>
          <w:sz w:val="22"/>
          <w:szCs w:val="22"/>
          <w:lang w:val="pt-BR"/>
        </w:rPr>
      </w:pPr>
    </w:p>
    <w:p w14:paraId="24AED0BC" w14:textId="20C20540" w:rsidR="004037A1" w:rsidRPr="004037A1" w:rsidRDefault="004037A1" w:rsidP="004037A1">
      <w:pPr>
        <w:jc w:val="center"/>
        <w:rPr>
          <w:b/>
          <w:bCs/>
          <w:sz w:val="22"/>
          <w:szCs w:val="22"/>
          <w:lang w:val="pt-BR"/>
        </w:rPr>
      </w:pPr>
      <w:r w:rsidRPr="004037A1">
        <w:rPr>
          <w:sz w:val="22"/>
          <w:lang w:val="pt-BR"/>
        </w:rPr>
        <w:tab/>
      </w:r>
      <w:r w:rsidRPr="004037A1">
        <w:rPr>
          <w:b/>
          <w:sz w:val="22"/>
          <w:lang w:val="pt-BR"/>
        </w:rPr>
        <w:t xml:space="preserve">AGENDA </w:t>
      </w:r>
    </w:p>
    <w:p w14:paraId="618A7E15" w14:textId="77777777" w:rsidR="004037A1" w:rsidRPr="004037A1" w:rsidRDefault="004037A1" w:rsidP="004037A1">
      <w:pPr>
        <w:jc w:val="center"/>
        <w:rPr>
          <w:b/>
          <w:bCs/>
          <w:sz w:val="22"/>
          <w:szCs w:val="22"/>
          <w:lang w:val="pt-BR"/>
        </w:rPr>
      </w:pPr>
      <w:r w:rsidRPr="004037A1">
        <w:rPr>
          <w:b/>
          <w:sz w:val="22"/>
          <w:lang w:val="pt-BR"/>
        </w:rPr>
        <w:t>SEGUNDA CONFERÊNCIA DOS ESTADOS PARTES NA CITAAC</w:t>
      </w:r>
    </w:p>
    <w:p w14:paraId="7770E2A9" w14:textId="77777777" w:rsidR="00F76988" w:rsidRPr="000A2AA3" w:rsidRDefault="00F76988" w:rsidP="00F76988">
      <w:pPr>
        <w:widowControl w:val="0"/>
        <w:autoSpaceDE w:val="0"/>
        <w:autoSpaceDN w:val="0"/>
        <w:ind w:left="397" w:right="397"/>
        <w:jc w:val="center"/>
        <w:rPr>
          <w:sz w:val="22"/>
          <w:szCs w:val="22"/>
          <w:lang w:val="pt-BR"/>
        </w:rPr>
      </w:pPr>
      <w:r w:rsidRPr="000A2AA3">
        <w:rPr>
          <w:sz w:val="22"/>
          <w:szCs w:val="22"/>
          <w:lang w:val="pt-BR"/>
        </w:rPr>
        <w:t>(</w:t>
      </w:r>
      <w:r w:rsidRPr="00217CA1">
        <w:rPr>
          <w:color w:val="000000"/>
          <w:lang w:val="pt-BR"/>
        </w:rPr>
        <w:t>Aprovado na sessão</w:t>
      </w:r>
      <w:r w:rsidRPr="000A2AA3" w:rsidDel="00F71ADA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introdutória </w:t>
      </w:r>
      <w:r w:rsidRPr="00217CA1">
        <w:rPr>
          <w:color w:val="000000"/>
          <w:lang w:val="pt-BR"/>
        </w:rPr>
        <w:t xml:space="preserve">realizada em </w:t>
      </w:r>
      <w:r>
        <w:rPr>
          <w:color w:val="000000"/>
          <w:lang w:val="pt-BR"/>
        </w:rPr>
        <w:t>19 de abril de 2022</w:t>
      </w:r>
      <w:r>
        <w:rPr>
          <w:sz w:val="22"/>
          <w:szCs w:val="22"/>
          <w:lang w:val="pt-BR"/>
        </w:rPr>
        <w:t xml:space="preserve"> </w:t>
      </w:r>
      <w:r w:rsidRPr="000A2AA3">
        <w:rPr>
          <w:sz w:val="22"/>
          <w:szCs w:val="22"/>
          <w:lang w:val="pt-BR"/>
        </w:rPr>
        <w:t>)</w:t>
      </w:r>
    </w:p>
    <w:p w14:paraId="294E7E74" w14:textId="77777777" w:rsidR="004037A1" w:rsidRPr="004037A1" w:rsidRDefault="004037A1" w:rsidP="004037A1">
      <w:pPr>
        <w:rPr>
          <w:sz w:val="22"/>
          <w:szCs w:val="22"/>
          <w:lang w:val="pt-BR"/>
        </w:rPr>
      </w:pPr>
    </w:p>
    <w:p w14:paraId="4355F132" w14:textId="77777777" w:rsidR="004037A1" w:rsidRPr="004037A1" w:rsidRDefault="004037A1" w:rsidP="004037A1">
      <w:pPr>
        <w:rPr>
          <w:sz w:val="22"/>
          <w:szCs w:val="22"/>
          <w:lang w:val="pt-BR"/>
        </w:rPr>
      </w:pPr>
    </w:p>
    <w:p w14:paraId="5312E8D3" w14:textId="77777777" w:rsidR="004037A1" w:rsidRPr="004037A1" w:rsidRDefault="004037A1" w:rsidP="004037A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line="252" w:lineRule="auto"/>
        <w:ind w:left="72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>Eleição das autoridades da Segunda Conferência das Partes</w:t>
      </w:r>
    </w:p>
    <w:p w14:paraId="177AC271" w14:textId="77777777" w:rsidR="004037A1" w:rsidRDefault="004037A1" w:rsidP="004037A1">
      <w:pPr>
        <w:numPr>
          <w:ilvl w:val="2"/>
          <w:numId w:val="8"/>
        </w:numPr>
        <w:tabs>
          <w:tab w:val="left" w:pos="720"/>
          <w:tab w:val="left" w:pos="1440"/>
          <w:tab w:val="left" w:pos="2160"/>
        </w:tabs>
        <w:spacing w:line="252" w:lineRule="auto"/>
        <w:ind w:left="720" w:firstLine="0"/>
        <w:contextualSpacing/>
        <w:jc w:val="both"/>
        <w:rPr>
          <w:sz w:val="22"/>
          <w:szCs w:val="22"/>
        </w:rPr>
      </w:pPr>
      <w:r>
        <w:rPr>
          <w:sz w:val="22"/>
        </w:rPr>
        <w:t>Presidente</w:t>
      </w:r>
    </w:p>
    <w:p w14:paraId="5B823015" w14:textId="77777777" w:rsidR="004037A1" w:rsidRDefault="004037A1" w:rsidP="004037A1">
      <w:pPr>
        <w:numPr>
          <w:ilvl w:val="2"/>
          <w:numId w:val="8"/>
        </w:numPr>
        <w:tabs>
          <w:tab w:val="left" w:pos="720"/>
          <w:tab w:val="left" w:pos="1440"/>
          <w:tab w:val="left" w:pos="2160"/>
        </w:tabs>
        <w:spacing w:line="252" w:lineRule="auto"/>
        <w:ind w:left="720" w:firstLine="0"/>
        <w:contextualSpacing/>
        <w:jc w:val="both"/>
        <w:rPr>
          <w:sz w:val="22"/>
          <w:szCs w:val="22"/>
        </w:rPr>
      </w:pPr>
      <w:r>
        <w:rPr>
          <w:sz w:val="22"/>
        </w:rPr>
        <w:t xml:space="preserve">Vice-Presidente </w:t>
      </w:r>
    </w:p>
    <w:p w14:paraId="2C7B76F6" w14:textId="77777777" w:rsidR="004037A1" w:rsidRDefault="004037A1" w:rsidP="004037A1">
      <w:pPr>
        <w:numPr>
          <w:ilvl w:val="2"/>
          <w:numId w:val="8"/>
        </w:numPr>
        <w:tabs>
          <w:tab w:val="left" w:pos="720"/>
          <w:tab w:val="left" w:pos="1440"/>
          <w:tab w:val="left" w:pos="2160"/>
        </w:tabs>
        <w:spacing w:line="252" w:lineRule="auto"/>
        <w:ind w:left="720" w:firstLine="0"/>
        <w:contextualSpacing/>
        <w:jc w:val="both"/>
        <w:rPr>
          <w:sz w:val="22"/>
          <w:szCs w:val="22"/>
        </w:rPr>
      </w:pPr>
      <w:r>
        <w:rPr>
          <w:sz w:val="22"/>
        </w:rPr>
        <w:t>Relator</w:t>
      </w:r>
    </w:p>
    <w:p w14:paraId="178F9356" w14:textId="77777777" w:rsid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spacing w:line="252" w:lineRule="auto"/>
        <w:ind w:left="720" w:hanging="720"/>
        <w:contextualSpacing/>
        <w:jc w:val="both"/>
        <w:rPr>
          <w:sz w:val="22"/>
          <w:szCs w:val="22"/>
        </w:rPr>
      </w:pPr>
    </w:p>
    <w:p w14:paraId="7A140728" w14:textId="77777777" w:rsidR="004037A1" w:rsidRPr="004037A1" w:rsidRDefault="004037A1" w:rsidP="004037A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line="252" w:lineRule="auto"/>
        <w:ind w:left="72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>Consideração e adoção do projeto de agenda e calendário da Segunda Conferência dos Estados Partes</w:t>
      </w:r>
    </w:p>
    <w:p w14:paraId="6D637D38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spacing w:line="252" w:lineRule="auto"/>
        <w:ind w:left="720" w:hanging="720"/>
        <w:contextualSpacing/>
        <w:jc w:val="both"/>
        <w:rPr>
          <w:sz w:val="22"/>
          <w:szCs w:val="22"/>
          <w:lang w:val="pt-BR"/>
        </w:rPr>
      </w:pPr>
    </w:p>
    <w:p w14:paraId="1CC7B892" w14:textId="77777777" w:rsidR="004037A1" w:rsidRPr="004037A1" w:rsidRDefault="004037A1" w:rsidP="004037A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line="252" w:lineRule="auto"/>
        <w:ind w:left="72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>Relatório da Secretaria-Geral da OEA sobre o seguinte:</w:t>
      </w:r>
    </w:p>
    <w:p w14:paraId="350069D2" w14:textId="77777777" w:rsidR="004037A1" w:rsidRPr="004037A1" w:rsidRDefault="004037A1" w:rsidP="004037A1">
      <w:pPr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</w:tabs>
        <w:spacing w:after="200" w:line="276" w:lineRule="auto"/>
        <w:ind w:left="1440"/>
        <w:contextualSpacing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>Situação das assinaturas e ratificações da CITAAC</w:t>
      </w:r>
    </w:p>
    <w:p w14:paraId="6BE85A47" w14:textId="77777777" w:rsidR="004037A1" w:rsidRPr="004037A1" w:rsidRDefault="004037A1" w:rsidP="004037A1">
      <w:pPr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</w:tabs>
        <w:spacing w:line="276" w:lineRule="auto"/>
        <w:ind w:left="1440"/>
        <w:contextualSpacing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>Situação dos relatórios apresentados em conformidade com os artigos III e IV da convenção</w:t>
      </w:r>
    </w:p>
    <w:p w14:paraId="4BDC5073" w14:textId="72F71EA4" w:rsidR="004037A1" w:rsidRPr="00D6411F" w:rsidRDefault="004037A1" w:rsidP="004037A1">
      <w:pPr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</w:tabs>
        <w:spacing w:line="276" w:lineRule="auto"/>
        <w:ind w:left="1440"/>
        <w:contextualSpacing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Diretório dos Pontos de Contato da CITAAC </w:t>
      </w:r>
    </w:p>
    <w:p w14:paraId="0D5F76DD" w14:textId="77777777" w:rsidR="00D6411F" w:rsidRPr="004037A1" w:rsidRDefault="00D6411F" w:rsidP="00D6411F">
      <w:pPr>
        <w:tabs>
          <w:tab w:val="left" w:pos="720"/>
          <w:tab w:val="left" w:pos="1440"/>
          <w:tab w:val="left" w:pos="2160"/>
          <w:tab w:val="left" w:pos="2880"/>
        </w:tabs>
        <w:spacing w:line="276" w:lineRule="auto"/>
        <w:ind w:left="1440"/>
        <w:contextualSpacing/>
        <w:jc w:val="both"/>
        <w:rPr>
          <w:sz w:val="22"/>
          <w:szCs w:val="22"/>
          <w:lang w:val="pt-BR"/>
        </w:rPr>
      </w:pPr>
    </w:p>
    <w:p w14:paraId="5E0732F4" w14:textId="77777777" w:rsidR="004037A1" w:rsidRDefault="004037A1" w:rsidP="004037A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after="200" w:line="276" w:lineRule="auto"/>
        <w:ind w:left="720" w:hanging="720"/>
        <w:jc w:val="both"/>
        <w:rPr>
          <w:sz w:val="22"/>
          <w:szCs w:val="22"/>
        </w:rPr>
      </w:pPr>
      <w:r>
        <w:rPr>
          <w:sz w:val="22"/>
        </w:rPr>
        <w:t>Institucionalização da CITAAC</w:t>
      </w:r>
    </w:p>
    <w:p w14:paraId="553A990D" w14:textId="77777777" w:rsidR="004037A1" w:rsidRPr="004037A1" w:rsidRDefault="004037A1" w:rsidP="004037A1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num" w:pos="1800"/>
          <w:tab w:val="left" w:pos="2160"/>
          <w:tab w:val="left" w:pos="2880"/>
        </w:tabs>
        <w:ind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>Apresentação da Secretaria-Geral da OEA sobre os esforços para fortalecer a CITAAC mediante a institucionalização da Conferência dos Estados Partes, da Comissão Consultiva e da Secretaria Técnica</w:t>
      </w:r>
    </w:p>
    <w:p w14:paraId="440E5C77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</w:p>
    <w:p w14:paraId="75FE2BC7" w14:textId="77777777" w:rsidR="004037A1" w:rsidRPr="004037A1" w:rsidRDefault="004037A1" w:rsidP="004037A1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num" w:pos="1800"/>
          <w:tab w:val="left" w:pos="2160"/>
          <w:tab w:val="left" w:pos="2880"/>
        </w:tabs>
        <w:ind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Consideração e aprovação do Regulamento da Conferência dos Estados Partes e do Regulamento da Comissão Consultiva </w:t>
      </w:r>
    </w:p>
    <w:p w14:paraId="32E2565F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1440" w:hanging="720"/>
        <w:contextualSpacing/>
        <w:jc w:val="both"/>
        <w:rPr>
          <w:sz w:val="22"/>
          <w:szCs w:val="22"/>
          <w:lang w:val="pt-BR"/>
        </w:rPr>
      </w:pPr>
    </w:p>
    <w:p w14:paraId="301855B3" w14:textId="77777777" w:rsidR="004037A1" w:rsidRPr="004037A1" w:rsidRDefault="004037A1" w:rsidP="004037A1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2880"/>
        </w:tabs>
        <w:ind w:hanging="144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 temático: A relevância da CITAAC no Sistema Interamericano e as sinergias com outras convenções </w:t>
      </w:r>
    </w:p>
    <w:p w14:paraId="309C900A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</w:p>
    <w:p w14:paraId="014EAB93" w14:textId="77777777" w:rsidR="004037A1" w:rsidRPr="004037A1" w:rsidRDefault="004037A1" w:rsidP="004037A1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num" w:pos="1800"/>
          <w:tab w:val="left" w:pos="2160"/>
          <w:tab w:val="left" w:pos="2880"/>
        </w:tabs>
        <w:ind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Painelista 1 – Importância da CITAAC e convenções similares para promover a transparência e fortalecer a confiança – Carina Solmirano, Coordenadora de Monitoramento do TCA, Control Arms </w:t>
      </w:r>
    </w:p>
    <w:p w14:paraId="4218D502" w14:textId="77777777" w:rsidR="004037A1" w:rsidRPr="004037A1" w:rsidRDefault="004037A1" w:rsidP="004037A1">
      <w:pPr>
        <w:pStyle w:val="ListParagraph"/>
        <w:tabs>
          <w:tab w:val="left" w:pos="720"/>
          <w:tab w:val="left" w:pos="2160"/>
          <w:tab w:val="left" w:pos="2880"/>
        </w:tabs>
        <w:ind w:left="1440"/>
        <w:jc w:val="both"/>
        <w:rPr>
          <w:sz w:val="22"/>
          <w:szCs w:val="22"/>
          <w:lang w:val="pt-BR"/>
        </w:rPr>
      </w:pPr>
    </w:p>
    <w:p w14:paraId="0830E41C" w14:textId="77777777" w:rsidR="004037A1" w:rsidRPr="004037A1" w:rsidRDefault="004037A1" w:rsidP="004037A1">
      <w:pPr>
        <w:pStyle w:val="ListParagraph"/>
        <w:tabs>
          <w:tab w:val="left" w:pos="1440"/>
          <w:tab w:val="num" w:pos="1800"/>
        </w:tabs>
        <w:rPr>
          <w:sz w:val="22"/>
          <w:lang w:val="pt-BR"/>
        </w:rPr>
      </w:pPr>
    </w:p>
    <w:p w14:paraId="56ABB407" w14:textId="77777777" w:rsidR="004037A1" w:rsidRPr="004037A1" w:rsidRDefault="004037A1" w:rsidP="004037A1">
      <w:pPr>
        <w:pStyle w:val="ListParagraph"/>
        <w:tabs>
          <w:tab w:val="left" w:pos="720"/>
          <w:tab w:val="left" w:pos="2160"/>
          <w:tab w:val="left" w:pos="2880"/>
        </w:tabs>
        <w:ind w:left="1440"/>
        <w:jc w:val="both"/>
        <w:rPr>
          <w:sz w:val="22"/>
          <w:szCs w:val="22"/>
          <w:lang w:val="pt-BR"/>
        </w:rPr>
      </w:pPr>
    </w:p>
    <w:p w14:paraId="142650AE" w14:textId="694D266D" w:rsidR="004037A1" w:rsidRPr="004037A1" w:rsidRDefault="004037A1" w:rsidP="004037A1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lastRenderedPageBreak/>
        <w:t xml:space="preserve">Painelista </w:t>
      </w:r>
      <w:r w:rsidR="00F76988">
        <w:rPr>
          <w:sz w:val="22"/>
          <w:lang w:val="pt-BR"/>
        </w:rPr>
        <w:t>2</w:t>
      </w:r>
      <w:r w:rsidR="00F76988" w:rsidRPr="004037A1">
        <w:rPr>
          <w:sz w:val="22"/>
          <w:lang w:val="pt-BR"/>
        </w:rPr>
        <w:t xml:space="preserve"> </w:t>
      </w:r>
      <w:r w:rsidRPr="004037A1">
        <w:rPr>
          <w:sz w:val="22"/>
          <w:lang w:val="pt-BR"/>
        </w:rPr>
        <w:t>– Sinergias entre a CITAAC e outros mecanismos do sistema internacional - Paul Holtom, Chefe do Programa de Armas Convencionais e Munições do Instituto das Nações Unidas de Pesquisa para o Desarmamento (UNIDIR)</w:t>
      </w:r>
    </w:p>
    <w:p w14:paraId="1CF1D86A" w14:textId="77777777" w:rsidR="004037A1" w:rsidRPr="004037A1" w:rsidRDefault="004037A1" w:rsidP="004037A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</w:p>
    <w:p w14:paraId="05080CA4" w14:textId="77777777" w:rsidR="004037A1" w:rsidRPr="004037A1" w:rsidRDefault="004037A1" w:rsidP="004037A1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>Painelista 3 – Princípios e boas práticas de sobre transferências internacionais de armas convencionais – Sintja Oskalne, Oficial de MFCS, Organização para a Segurança e Cooperação da Europa (OSCE)</w:t>
      </w:r>
    </w:p>
    <w:p w14:paraId="20D9908C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</w:p>
    <w:p w14:paraId="558B21B3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ab/>
        <w:t>Diálogo entre participantes, Estados Partes e Estados Não Partes</w:t>
      </w:r>
    </w:p>
    <w:p w14:paraId="5598BDDF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bCs/>
          <w:sz w:val="22"/>
          <w:szCs w:val="22"/>
          <w:lang w:val="pt-BR"/>
        </w:rPr>
      </w:pPr>
    </w:p>
    <w:p w14:paraId="5FB8F8CA" w14:textId="77777777" w:rsidR="004037A1" w:rsidRPr="004037A1" w:rsidRDefault="004037A1" w:rsidP="004037A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 temático: Medidas adicionais de transparência e a relevância da CITAAC no Sistema Interamericano </w:t>
      </w:r>
    </w:p>
    <w:p w14:paraId="562D42FC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</w:p>
    <w:p w14:paraId="216FA314" w14:textId="77777777" w:rsidR="004037A1" w:rsidRPr="004037A1" w:rsidRDefault="004037A1" w:rsidP="004037A1">
      <w:pPr>
        <w:pStyle w:val="ListParagraph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Painelista 1 – </w:t>
      </w:r>
      <w:r w:rsidRPr="004037A1">
        <w:rPr>
          <w:sz w:val="22"/>
          <w:szCs w:val="22"/>
          <w:lang w:val="pt-BR"/>
        </w:rPr>
        <w:t>CIFTA: complementariedade e sinergias com a CITAAC – Mauricio Zapata, Diretor para Prevenção do Delito e Combate a Corrupção, Ministério de Relações Exteriores de México</w:t>
      </w:r>
    </w:p>
    <w:p w14:paraId="52CFEE76" w14:textId="77777777" w:rsidR="004037A1" w:rsidRPr="004037A1" w:rsidRDefault="004037A1" w:rsidP="004037A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</w:p>
    <w:p w14:paraId="0DFC078D" w14:textId="77777777" w:rsidR="004037A1" w:rsidRPr="004037A1" w:rsidRDefault="004037A1" w:rsidP="004037A1">
      <w:pPr>
        <w:pStyle w:val="ListParagraph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Painelista 2 – Medidas de fortalecimento da confiança e da segurança (MFCS) – </w:t>
      </w:r>
      <w:r w:rsidRPr="004037A1">
        <w:rPr>
          <w:sz w:val="22"/>
          <w:szCs w:val="22"/>
          <w:lang w:val="pt-BR"/>
        </w:rPr>
        <w:t xml:space="preserve">Capitão de Navio Douglas Campos Crespo, Marinha do Equador, Chefe da Seção de Gestão de Armas, Junta Interamericana de Defensa  </w:t>
      </w:r>
    </w:p>
    <w:p w14:paraId="18BA682B" w14:textId="77777777" w:rsidR="004037A1" w:rsidRPr="004037A1" w:rsidRDefault="004037A1" w:rsidP="004037A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</w:p>
    <w:p w14:paraId="423AF916" w14:textId="77777777" w:rsidR="004037A1" w:rsidRPr="004037A1" w:rsidRDefault="004037A1" w:rsidP="004037A1">
      <w:pPr>
        <w:pStyle w:val="ListParagraph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Painelista 3 – </w:t>
      </w:r>
      <w:r w:rsidRPr="004037A1">
        <w:rPr>
          <w:sz w:val="22"/>
          <w:szCs w:val="22"/>
          <w:lang w:val="pt-BR"/>
        </w:rPr>
        <w:t>Sistema Inter-Americano: complementariedade da CITAAC, CIFTA e das MFCS</w:t>
      </w:r>
      <w:r w:rsidRPr="004037A1">
        <w:rPr>
          <w:sz w:val="22"/>
          <w:lang w:val="pt-BR"/>
        </w:rPr>
        <w:t>– Pier Angelli De Luca, Especialista do Departamento de Segurança Pública da OEA (DPS/OEA)</w:t>
      </w:r>
    </w:p>
    <w:p w14:paraId="6B72950F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</w:p>
    <w:p w14:paraId="25CD5903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ab/>
        <w:t>Diálogo entre participantes, Estados Partes e Estados Não Partes</w:t>
      </w:r>
    </w:p>
    <w:p w14:paraId="51DC859B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</w:p>
    <w:p w14:paraId="13FE6A05" w14:textId="77777777" w:rsidR="004037A1" w:rsidRPr="004037A1" w:rsidRDefault="004037A1" w:rsidP="004037A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 técnico: Desafios e oportunidades com os relatórios </w:t>
      </w:r>
    </w:p>
    <w:p w14:paraId="22360C13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</w:p>
    <w:p w14:paraId="0E79E89B" w14:textId="77777777" w:rsidR="004037A1" w:rsidRPr="004037A1" w:rsidRDefault="004037A1" w:rsidP="004037A1">
      <w:pPr>
        <w:pStyle w:val="ListParagraph"/>
        <w:numPr>
          <w:ilvl w:val="0"/>
          <w:numId w:val="47"/>
        </w:numPr>
        <w:tabs>
          <w:tab w:val="clear" w:pos="1800"/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Painelista 1 – Apresentação da Secretaria-Geral da OEA sobre o histórico dos relatórios, desafios e sugestões de melhorias </w:t>
      </w:r>
    </w:p>
    <w:p w14:paraId="75DD4285" w14:textId="77777777" w:rsidR="004037A1" w:rsidRPr="004037A1" w:rsidRDefault="004037A1" w:rsidP="004037A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</w:p>
    <w:p w14:paraId="444DDBB5" w14:textId="77777777" w:rsidR="004037A1" w:rsidRPr="004037A1" w:rsidRDefault="004037A1" w:rsidP="004037A1">
      <w:pPr>
        <w:pStyle w:val="ListParagraph"/>
        <w:numPr>
          <w:ilvl w:val="0"/>
          <w:numId w:val="47"/>
        </w:numPr>
        <w:tabs>
          <w:tab w:val="clear" w:pos="1800"/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Painelista 2 – </w:t>
      </w:r>
      <w:r w:rsidRPr="004037A1">
        <w:rPr>
          <w:sz w:val="22"/>
          <w:szCs w:val="22"/>
          <w:lang w:val="pt-BR"/>
        </w:rPr>
        <w:t>Grisselle Rodriguez, Conselheira, Missão Permanente do Panamá em Genebra</w:t>
      </w:r>
    </w:p>
    <w:p w14:paraId="79F27E1A" w14:textId="77777777" w:rsidR="004037A1" w:rsidRPr="004037A1" w:rsidRDefault="004037A1" w:rsidP="004037A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</w:p>
    <w:p w14:paraId="66DC92FF" w14:textId="77777777" w:rsidR="004037A1" w:rsidRPr="004037A1" w:rsidRDefault="004037A1" w:rsidP="004037A1">
      <w:pPr>
        <w:pStyle w:val="ListParagraph"/>
        <w:numPr>
          <w:ilvl w:val="0"/>
          <w:numId w:val="47"/>
        </w:numPr>
        <w:tabs>
          <w:tab w:val="clear" w:pos="1800"/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  <w:r w:rsidRPr="004037A1">
        <w:rPr>
          <w:sz w:val="22"/>
          <w:lang w:val="pt-BR"/>
        </w:rPr>
        <w:t xml:space="preserve">Painelista 3 – </w:t>
      </w:r>
      <w:r w:rsidRPr="004037A1">
        <w:rPr>
          <w:sz w:val="22"/>
          <w:szCs w:val="22"/>
          <w:lang w:val="pt-BR"/>
        </w:rPr>
        <w:t>Coronel Marlinson José do Nascimento Gonçalves, Ministério da Defesa do Brasil</w:t>
      </w:r>
    </w:p>
    <w:p w14:paraId="37001BAD" w14:textId="77777777" w:rsidR="004037A1" w:rsidRPr="004037A1" w:rsidRDefault="004037A1" w:rsidP="004037A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  <w:lang w:val="pt-BR"/>
        </w:rPr>
      </w:pPr>
    </w:p>
    <w:p w14:paraId="1A3289ED" w14:textId="77777777" w:rsidR="004037A1" w:rsidRDefault="004037A1" w:rsidP="004037A1">
      <w:pPr>
        <w:pStyle w:val="ListParagraph"/>
        <w:numPr>
          <w:ilvl w:val="0"/>
          <w:numId w:val="47"/>
        </w:numPr>
        <w:tabs>
          <w:tab w:val="clear" w:pos="1800"/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</w:rPr>
      </w:pPr>
      <w:r>
        <w:rPr>
          <w:sz w:val="22"/>
        </w:rPr>
        <w:t>Comentários dos Estados Partes</w:t>
      </w:r>
    </w:p>
    <w:p w14:paraId="1FE206EA" w14:textId="77777777" w:rsidR="004037A1" w:rsidRDefault="004037A1" w:rsidP="004037A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</w:rPr>
      </w:pPr>
    </w:p>
    <w:p w14:paraId="3D30133A" w14:textId="77777777" w:rsidR="004037A1" w:rsidRDefault="004037A1" w:rsidP="004037A1">
      <w:pPr>
        <w:pStyle w:val="ListParagraph"/>
        <w:numPr>
          <w:ilvl w:val="0"/>
          <w:numId w:val="47"/>
        </w:numPr>
        <w:tabs>
          <w:tab w:val="clear" w:pos="1800"/>
          <w:tab w:val="left" w:pos="720"/>
          <w:tab w:val="left" w:pos="1440"/>
          <w:tab w:val="left" w:pos="2160"/>
          <w:tab w:val="left" w:pos="2880"/>
        </w:tabs>
        <w:ind w:left="1440" w:hanging="720"/>
        <w:jc w:val="both"/>
        <w:rPr>
          <w:sz w:val="22"/>
          <w:szCs w:val="22"/>
        </w:rPr>
      </w:pPr>
      <w:r>
        <w:rPr>
          <w:sz w:val="22"/>
        </w:rPr>
        <w:t xml:space="preserve">Comentários dos Estados Não Partes </w:t>
      </w:r>
    </w:p>
    <w:p w14:paraId="785E7833" w14:textId="77777777" w:rsid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</w:rPr>
      </w:pPr>
    </w:p>
    <w:p w14:paraId="5B363E74" w14:textId="05745406" w:rsidR="004037A1" w:rsidRPr="004037A1" w:rsidRDefault="004037A1" w:rsidP="004037A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5C088C2" wp14:editId="337E0AE2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1590040" cy="10731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10E40" w14:textId="77777777" w:rsidR="004037A1" w:rsidRDefault="004037A1" w:rsidP="004037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DPASP00129P03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088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10in;width:125.2pt;height: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" filled="f" stroked="f">
                <v:textbox>
                  <w:txbxContent>
                    <w:p w14:paraId="6E510E40" w14:textId="77777777" w:rsidR="004037A1" w:rsidRDefault="004037A1" w:rsidP="004037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DPASP00129P03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037A1">
        <w:rPr>
          <w:sz w:val="22"/>
          <w:lang w:val="pt-BR"/>
        </w:rPr>
        <w:t>Adoção das recomendações da Segunda Conferência dos Estados Partes na CITAAC</w:t>
      </w:r>
    </w:p>
    <w:p w14:paraId="4B06C0C8" w14:textId="77777777" w:rsidR="004037A1" w:rsidRPr="004037A1" w:rsidRDefault="004037A1" w:rsidP="004037A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  <w:lang w:val="pt-BR"/>
        </w:rPr>
      </w:pPr>
    </w:p>
    <w:p w14:paraId="5D1E8DEC" w14:textId="77777777" w:rsidR="004037A1" w:rsidRDefault="004037A1" w:rsidP="004037A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ind w:left="720" w:hanging="720"/>
        <w:jc w:val="both"/>
        <w:rPr>
          <w:sz w:val="22"/>
          <w:szCs w:val="22"/>
        </w:rPr>
      </w:pPr>
      <w:r>
        <w:rPr>
          <w:sz w:val="22"/>
        </w:rPr>
        <w:t>Outros assuntos</w:t>
      </w:r>
    </w:p>
    <w:p w14:paraId="78378BB2" w14:textId="19F8E576" w:rsidR="004037A1" w:rsidRDefault="004037A1" w:rsidP="004037A1">
      <w:pPr>
        <w:keepLines/>
        <w:tabs>
          <w:tab w:val="left" w:pos="6840"/>
        </w:tabs>
        <w:suppressAutoHyphens/>
        <w:ind w:right="-2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64B3585" wp14:editId="646536EC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9C8C69" w14:textId="046DBB66" w:rsidR="004037A1" w:rsidRDefault="004037A1" w:rsidP="004037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6B5231">
                              <w:rPr>
                                <w:noProof/>
                                <w:sz w:val="18"/>
                              </w:rPr>
                              <w:t>DPASP00149P01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3585" id="Text Box 3" o:spid="_x0000_s1027" type="#_x0000_t202" style="position:absolute;left:0;text-align:left;margin-left:-7.2pt;margin-top:10in;width:266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n+A8H3ECAADc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369C8C69" w14:textId="046DBB66" w:rsidR="004037A1" w:rsidRDefault="004037A1" w:rsidP="004037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6B5231">
                        <w:rPr>
                          <w:noProof/>
                          <w:sz w:val="18"/>
                        </w:rPr>
                        <w:t>DPASP00149P01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DD7798F" w14:textId="4E080BFB" w:rsidR="00CE2724" w:rsidRPr="004037A1" w:rsidRDefault="00CE2724" w:rsidP="004037A1"/>
    <w:sectPr w:rsidR="00CE2724" w:rsidRPr="004037A1" w:rsidSect="009A757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160" w:right="1570" w:bottom="1296" w:left="169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027A" w14:textId="77777777" w:rsidR="00CB29CD" w:rsidRDefault="00CB29CD">
      <w:r>
        <w:separator/>
      </w:r>
    </w:p>
  </w:endnote>
  <w:endnote w:type="continuationSeparator" w:id="0">
    <w:p w14:paraId="3359A77B" w14:textId="77777777" w:rsidR="00CB29CD" w:rsidRDefault="00C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7A50" w14:textId="77777777" w:rsidR="007F3CE7" w:rsidRDefault="007F3CE7" w:rsidP="00D51C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54A2B" w14:textId="77777777" w:rsidR="007F3CE7" w:rsidRDefault="007F3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BCA5" w14:textId="63C7CEC8" w:rsidR="007F3CE7" w:rsidRDefault="007F3CE7">
    <w:pPr>
      <w:pStyle w:val="Footer"/>
      <w:rPr>
        <w:rStyle w:val="PageNumber"/>
        <w:sz w:val="22"/>
        <w:szCs w:val="22"/>
      </w:rPr>
    </w:pPr>
  </w:p>
  <w:p w14:paraId="5ED4E3E6" w14:textId="77777777" w:rsidR="007F3CE7" w:rsidRDefault="007F3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523D" w14:textId="77777777" w:rsidR="00CB29CD" w:rsidRDefault="00CB29CD">
      <w:r>
        <w:separator/>
      </w:r>
    </w:p>
  </w:footnote>
  <w:footnote w:type="continuationSeparator" w:id="0">
    <w:p w14:paraId="3A01A75D" w14:textId="77777777" w:rsidR="00CB29CD" w:rsidRDefault="00C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C45F" w14:textId="77777777" w:rsidR="007F3CE7" w:rsidRDefault="007F3CE7" w:rsidP="00A257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66A58" w14:textId="77777777" w:rsidR="007F3CE7" w:rsidRDefault="007F3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BEAB" w14:textId="77777777" w:rsidR="007F3CE7" w:rsidRPr="00B6332D" w:rsidRDefault="007F3CE7" w:rsidP="00A2572C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B6332D">
      <w:rPr>
        <w:rStyle w:val="PageNumber"/>
        <w:sz w:val="22"/>
        <w:szCs w:val="22"/>
      </w:rPr>
      <w:t xml:space="preserve">- </w:t>
    </w:r>
    <w:r w:rsidRPr="00B6332D"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>PAGE</w:instrText>
    </w:r>
    <w:r w:rsidRPr="00B6332D">
      <w:rPr>
        <w:rStyle w:val="PageNumber"/>
        <w:sz w:val="22"/>
        <w:szCs w:val="22"/>
      </w:rPr>
      <w:instrText xml:space="preserve">  </w:instrText>
    </w:r>
    <w:r w:rsidRPr="00B6332D">
      <w:rPr>
        <w:rStyle w:val="PageNumber"/>
        <w:sz w:val="22"/>
        <w:szCs w:val="22"/>
      </w:rPr>
      <w:fldChar w:fldCharType="separate"/>
    </w:r>
    <w:r w:rsidR="00BC24D4">
      <w:rPr>
        <w:rStyle w:val="PageNumber"/>
        <w:noProof/>
        <w:sz w:val="22"/>
        <w:szCs w:val="22"/>
      </w:rPr>
      <w:t>2</w:t>
    </w:r>
    <w:r w:rsidRPr="00B6332D">
      <w:rPr>
        <w:rStyle w:val="PageNumber"/>
        <w:sz w:val="22"/>
        <w:szCs w:val="22"/>
      </w:rPr>
      <w:fldChar w:fldCharType="end"/>
    </w:r>
    <w:r w:rsidRPr="00B6332D">
      <w:rPr>
        <w:rStyle w:val="PageNumber"/>
        <w:sz w:val="22"/>
        <w:szCs w:val="22"/>
      </w:rPr>
      <w:t xml:space="preserve"> -</w:t>
    </w:r>
  </w:p>
  <w:p w14:paraId="675A7997" w14:textId="77777777" w:rsidR="007F3CE7" w:rsidRDefault="007F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1ED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C53A3"/>
    <w:multiLevelType w:val="hybridMultilevel"/>
    <w:tmpl w:val="43F470DE"/>
    <w:lvl w:ilvl="0" w:tplc="942E10C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EE87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14C39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B5A2A"/>
    <w:multiLevelType w:val="hybridMultilevel"/>
    <w:tmpl w:val="CA48E5AE"/>
    <w:lvl w:ilvl="0" w:tplc="04090019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363287E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E9EEE87A">
      <w:start w:val="1"/>
      <w:numFmt w:val="lowerRoman"/>
      <w:lvlText w:val="%3."/>
      <w:lvlJc w:val="left"/>
      <w:pPr>
        <w:tabs>
          <w:tab w:val="num" w:pos="2389"/>
        </w:tabs>
        <w:ind w:left="2389" w:hanging="360"/>
      </w:pPr>
      <w:rPr>
        <w:rFonts w:ascii="Times New Roman" w:hAnsi="Times New Roman" w:cs="Times New Roman" w:hint="default"/>
      </w:rPr>
    </w:lvl>
    <w:lvl w:ilvl="3" w:tplc="648CD3A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394F7B"/>
    <w:multiLevelType w:val="hybridMultilevel"/>
    <w:tmpl w:val="F66E6AC4"/>
    <w:lvl w:ilvl="0" w:tplc="44003ACE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5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964DCC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11" w:hanging="360"/>
      </w:pPr>
    </w:lvl>
    <w:lvl w:ilvl="2" w:tplc="0409001B">
      <w:start w:val="1"/>
      <w:numFmt w:val="lowerRoman"/>
      <w:lvlText w:val="%3."/>
      <w:lvlJc w:val="right"/>
      <w:pPr>
        <w:ind w:left="2831" w:hanging="180"/>
      </w:pPr>
    </w:lvl>
    <w:lvl w:ilvl="3" w:tplc="0409000F">
      <w:start w:val="1"/>
      <w:numFmt w:val="decimal"/>
      <w:lvlText w:val="%4."/>
      <w:lvlJc w:val="left"/>
      <w:pPr>
        <w:ind w:left="3551" w:hanging="360"/>
      </w:pPr>
    </w:lvl>
    <w:lvl w:ilvl="4" w:tplc="04090019">
      <w:start w:val="1"/>
      <w:numFmt w:val="lowerLetter"/>
      <w:lvlText w:val="%5."/>
      <w:lvlJc w:val="left"/>
      <w:pPr>
        <w:ind w:left="4271" w:hanging="360"/>
      </w:pPr>
    </w:lvl>
    <w:lvl w:ilvl="5" w:tplc="0409001B">
      <w:start w:val="1"/>
      <w:numFmt w:val="lowerRoman"/>
      <w:lvlText w:val="%6."/>
      <w:lvlJc w:val="right"/>
      <w:pPr>
        <w:ind w:left="4991" w:hanging="180"/>
      </w:pPr>
    </w:lvl>
    <w:lvl w:ilvl="6" w:tplc="0409000F">
      <w:start w:val="1"/>
      <w:numFmt w:val="decimal"/>
      <w:lvlText w:val="%7."/>
      <w:lvlJc w:val="left"/>
      <w:pPr>
        <w:ind w:left="5711" w:hanging="360"/>
      </w:pPr>
    </w:lvl>
    <w:lvl w:ilvl="7" w:tplc="04090019">
      <w:start w:val="1"/>
      <w:numFmt w:val="lowerLetter"/>
      <w:lvlText w:val="%8."/>
      <w:lvlJc w:val="left"/>
      <w:pPr>
        <w:ind w:left="6431" w:hanging="360"/>
      </w:pPr>
    </w:lvl>
    <w:lvl w:ilvl="8" w:tplc="0409001B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15C96C38"/>
    <w:multiLevelType w:val="multilevel"/>
    <w:tmpl w:val="411E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42045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8" w15:restartNumberingAfterBreak="0">
    <w:nsid w:val="1B9C7412"/>
    <w:multiLevelType w:val="multilevel"/>
    <w:tmpl w:val="BBD6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F2450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451F19"/>
    <w:multiLevelType w:val="hybridMultilevel"/>
    <w:tmpl w:val="CA48E5AE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3287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EEE87A">
      <w:start w:val="1"/>
      <w:numFmt w:val="lowerRoman"/>
      <w:lvlText w:val="%3.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  <w:lvl w:ilvl="3" w:tplc="648CD3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97424"/>
    <w:multiLevelType w:val="hybridMultilevel"/>
    <w:tmpl w:val="C7188B26"/>
    <w:lvl w:ilvl="0" w:tplc="AA786164">
      <w:start w:val="1"/>
      <w:numFmt w:val="lowerLetter"/>
      <w:lvlText w:val="%1."/>
      <w:lvlJc w:val="left"/>
      <w:pPr>
        <w:ind w:left="2160" w:hanging="360"/>
      </w:pPr>
      <w:rPr>
        <w:rFonts w:ascii="Times New Roman" w:eastAsia="Batang" w:hAnsi="Times New Roman" w:cs="Times New Roman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6B2322"/>
    <w:multiLevelType w:val="hybridMultilevel"/>
    <w:tmpl w:val="CA48E5AE"/>
    <w:lvl w:ilvl="0" w:tplc="04090019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363287E6">
      <w:numFmt w:val="decimal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E9EEE87A">
      <w:start w:val="1"/>
      <w:numFmt w:val="lowerRoman"/>
      <w:lvlText w:val="%3."/>
      <w:lvlJc w:val="left"/>
      <w:pPr>
        <w:tabs>
          <w:tab w:val="num" w:pos="2389"/>
        </w:tabs>
        <w:ind w:left="2389" w:hanging="360"/>
      </w:pPr>
      <w:rPr>
        <w:rFonts w:ascii="Times New Roman" w:hAnsi="Times New Roman" w:cs="Times New Roman" w:hint="default"/>
      </w:rPr>
    </w:lvl>
    <w:lvl w:ilvl="3" w:tplc="648CD3A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CE43E22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40BF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5" w15:restartNumberingAfterBreak="0">
    <w:nsid w:val="4260258E"/>
    <w:multiLevelType w:val="hybridMultilevel"/>
    <w:tmpl w:val="798A3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6126"/>
    <w:multiLevelType w:val="hybridMultilevel"/>
    <w:tmpl w:val="79E6CE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357CE"/>
    <w:multiLevelType w:val="hybridMultilevel"/>
    <w:tmpl w:val="53B474F4"/>
    <w:lvl w:ilvl="0" w:tplc="CE26011E">
      <w:start w:val="1"/>
      <w:numFmt w:val="lowerRoman"/>
      <w:lvlText w:val="%1."/>
      <w:lvlJc w:val="left"/>
      <w:pPr>
        <w:ind w:left="1890" w:hanging="72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C8D0750"/>
    <w:multiLevelType w:val="hybridMultilevel"/>
    <w:tmpl w:val="3B62A66E"/>
    <w:lvl w:ilvl="0" w:tplc="839EAC2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4324A49"/>
    <w:multiLevelType w:val="hybridMultilevel"/>
    <w:tmpl w:val="1B2261AC"/>
    <w:lvl w:ilvl="0" w:tplc="E9EEE87A">
      <w:start w:val="1"/>
      <w:numFmt w:val="lowerRoman"/>
      <w:lvlText w:val="%1.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738E9"/>
    <w:multiLevelType w:val="hybridMultilevel"/>
    <w:tmpl w:val="F7B6C02E"/>
    <w:lvl w:ilvl="0" w:tplc="E9EEE87A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947B71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8C3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23" w15:restartNumberingAfterBreak="0">
    <w:nsid w:val="64AF5500"/>
    <w:multiLevelType w:val="hybridMultilevel"/>
    <w:tmpl w:val="39EA1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287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49016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901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C17E1"/>
    <w:multiLevelType w:val="multilevel"/>
    <w:tmpl w:val="1E6C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3333E"/>
    <w:multiLevelType w:val="hybridMultilevel"/>
    <w:tmpl w:val="1E6C9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45138F"/>
    <w:multiLevelType w:val="hybridMultilevel"/>
    <w:tmpl w:val="00FE55E6"/>
    <w:lvl w:ilvl="0" w:tplc="E9EEE87A">
      <w:start w:val="1"/>
      <w:numFmt w:val="lowerRoman"/>
      <w:lvlText w:val="%1.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32557"/>
    <w:multiLevelType w:val="hybridMultilevel"/>
    <w:tmpl w:val="798A3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51CC"/>
    <w:multiLevelType w:val="hybridMultilevel"/>
    <w:tmpl w:val="8EA833D6"/>
    <w:lvl w:ilvl="0" w:tplc="069876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6C4CEC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65755">
    <w:abstractNumId w:val="3"/>
  </w:num>
  <w:num w:numId="2" w16cid:durableId="154423043">
    <w:abstractNumId w:val="25"/>
  </w:num>
  <w:num w:numId="3" w16cid:durableId="1680501333">
    <w:abstractNumId w:val="24"/>
  </w:num>
  <w:num w:numId="4" w16cid:durableId="1045524746">
    <w:abstractNumId w:val="23"/>
  </w:num>
  <w:num w:numId="5" w16cid:durableId="1800492424">
    <w:abstractNumId w:val="6"/>
  </w:num>
  <w:num w:numId="6" w16cid:durableId="1815756627">
    <w:abstractNumId w:val="8"/>
  </w:num>
  <w:num w:numId="7" w16cid:durableId="1413241107">
    <w:abstractNumId w:val="4"/>
  </w:num>
  <w:num w:numId="8" w16cid:durableId="1029573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9325839">
    <w:abstractNumId w:val="1"/>
  </w:num>
  <w:num w:numId="10" w16cid:durableId="807435018">
    <w:abstractNumId w:val="26"/>
  </w:num>
  <w:num w:numId="11" w16cid:durableId="1502043925">
    <w:abstractNumId w:val="19"/>
  </w:num>
  <w:num w:numId="12" w16cid:durableId="103157283">
    <w:abstractNumId w:val="22"/>
  </w:num>
  <w:num w:numId="13" w16cid:durableId="749011089">
    <w:abstractNumId w:val="20"/>
  </w:num>
  <w:num w:numId="14" w16cid:durableId="973369648">
    <w:abstractNumId w:val="28"/>
  </w:num>
  <w:num w:numId="15" w16cid:durableId="2102529965">
    <w:abstractNumId w:val="27"/>
  </w:num>
  <w:num w:numId="16" w16cid:durableId="1187518196">
    <w:abstractNumId w:val="7"/>
  </w:num>
  <w:num w:numId="17" w16cid:durableId="1141381569">
    <w:abstractNumId w:val="14"/>
  </w:num>
  <w:num w:numId="18" w16cid:durableId="1990861123">
    <w:abstractNumId w:val="10"/>
  </w:num>
  <w:num w:numId="19" w16cid:durableId="1920673543">
    <w:abstractNumId w:val="15"/>
  </w:num>
  <w:num w:numId="20" w16cid:durableId="382876999">
    <w:abstractNumId w:val="4"/>
  </w:num>
  <w:num w:numId="21" w16cid:durableId="187920174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80949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516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6064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9039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406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703184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76229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1737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675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8496589">
    <w:abstractNumId w:val="0"/>
  </w:num>
  <w:num w:numId="32" w16cid:durableId="1533179631">
    <w:abstractNumId w:val="4"/>
  </w:num>
  <w:num w:numId="33" w16cid:durableId="1242062381">
    <w:abstractNumId w:val="12"/>
  </w:num>
  <w:num w:numId="34" w16cid:durableId="1133670162">
    <w:abstractNumId w:val="11"/>
  </w:num>
  <w:num w:numId="35" w16cid:durableId="983464709">
    <w:abstractNumId w:val="4"/>
  </w:num>
  <w:num w:numId="36" w16cid:durableId="594753900">
    <w:abstractNumId w:val="11"/>
  </w:num>
  <w:num w:numId="37" w16cid:durableId="11600820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7719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490085">
    <w:abstractNumId w:val="13"/>
  </w:num>
  <w:num w:numId="40" w16cid:durableId="1879778173">
    <w:abstractNumId w:val="29"/>
  </w:num>
  <w:num w:numId="41" w16cid:durableId="771164452">
    <w:abstractNumId w:val="21"/>
  </w:num>
  <w:num w:numId="42" w16cid:durableId="531068899">
    <w:abstractNumId w:val="16"/>
  </w:num>
  <w:num w:numId="43" w16cid:durableId="1052533078">
    <w:abstractNumId w:val="9"/>
  </w:num>
  <w:num w:numId="44" w16cid:durableId="11762474">
    <w:abstractNumId w:val="2"/>
  </w:num>
  <w:num w:numId="45" w16cid:durableId="272371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23548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51458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NzGxsDAzMTMAAiUdpeDU4uLM/DyQAkOjWgD58YpcLQAAAA=="/>
  </w:docVars>
  <w:rsids>
    <w:rsidRoot w:val="009671D0"/>
    <w:rsid w:val="00004180"/>
    <w:rsid w:val="00012154"/>
    <w:rsid w:val="00012687"/>
    <w:rsid w:val="000161A0"/>
    <w:rsid w:val="00045E55"/>
    <w:rsid w:val="00052CD4"/>
    <w:rsid w:val="0005479D"/>
    <w:rsid w:val="000A0EAB"/>
    <w:rsid w:val="000A34AA"/>
    <w:rsid w:val="000A5156"/>
    <w:rsid w:val="000B53C1"/>
    <w:rsid w:val="000C37BE"/>
    <w:rsid w:val="000D4142"/>
    <w:rsid w:val="00110205"/>
    <w:rsid w:val="00117022"/>
    <w:rsid w:val="00120863"/>
    <w:rsid w:val="00123FE6"/>
    <w:rsid w:val="001241AE"/>
    <w:rsid w:val="00130CBC"/>
    <w:rsid w:val="00133C60"/>
    <w:rsid w:val="00163AFE"/>
    <w:rsid w:val="00184049"/>
    <w:rsid w:val="001B146F"/>
    <w:rsid w:val="001B339C"/>
    <w:rsid w:val="001B4FE0"/>
    <w:rsid w:val="001C35A7"/>
    <w:rsid w:val="001C6751"/>
    <w:rsid w:val="001D11EA"/>
    <w:rsid w:val="001D2AAE"/>
    <w:rsid w:val="00214C76"/>
    <w:rsid w:val="002209EF"/>
    <w:rsid w:val="00221D6C"/>
    <w:rsid w:val="00221F16"/>
    <w:rsid w:val="002333A5"/>
    <w:rsid w:val="00242A04"/>
    <w:rsid w:val="00244158"/>
    <w:rsid w:val="00246E34"/>
    <w:rsid w:val="00257FC7"/>
    <w:rsid w:val="00266C36"/>
    <w:rsid w:val="00267F4D"/>
    <w:rsid w:val="00273577"/>
    <w:rsid w:val="002770B9"/>
    <w:rsid w:val="00291C4D"/>
    <w:rsid w:val="00293C2B"/>
    <w:rsid w:val="002B1C9B"/>
    <w:rsid w:val="002B37AF"/>
    <w:rsid w:val="002D3426"/>
    <w:rsid w:val="002D522E"/>
    <w:rsid w:val="00307A32"/>
    <w:rsid w:val="003144C9"/>
    <w:rsid w:val="00331627"/>
    <w:rsid w:val="00350280"/>
    <w:rsid w:val="00385E27"/>
    <w:rsid w:val="003872DD"/>
    <w:rsid w:val="00391A06"/>
    <w:rsid w:val="00391A8F"/>
    <w:rsid w:val="003A402D"/>
    <w:rsid w:val="003B3A6D"/>
    <w:rsid w:val="003B772E"/>
    <w:rsid w:val="003E3459"/>
    <w:rsid w:val="003E7D84"/>
    <w:rsid w:val="003F4DB6"/>
    <w:rsid w:val="003F7CDC"/>
    <w:rsid w:val="004037A1"/>
    <w:rsid w:val="00406297"/>
    <w:rsid w:val="00421FEA"/>
    <w:rsid w:val="004359CA"/>
    <w:rsid w:val="004566DA"/>
    <w:rsid w:val="0047526F"/>
    <w:rsid w:val="00487BB2"/>
    <w:rsid w:val="004C63CE"/>
    <w:rsid w:val="004D4B08"/>
    <w:rsid w:val="004D63D7"/>
    <w:rsid w:val="004F1E20"/>
    <w:rsid w:val="004F6E64"/>
    <w:rsid w:val="0050092F"/>
    <w:rsid w:val="00505FF2"/>
    <w:rsid w:val="005112F5"/>
    <w:rsid w:val="0054265C"/>
    <w:rsid w:val="00545916"/>
    <w:rsid w:val="00553B79"/>
    <w:rsid w:val="005545C7"/>
    <w:rsid w:val="00571F5F"/>
    <w:rsid w:val="00573F59"/>
    <w:rsid w:val="0059063D"/>
    <w:rsid w:val="005C3E20"/>
    <w:rsid w:val="005C41E1"/>
    <w:rsid w:val="005D0BCB"/>
    <w:rsid w:val="005D48FF"/>
    <w:rsid w:val="005E5E1B"/>
    <w:rsid w:val="0066196C"/>
    <w:rsid w:val="006773F2"/>
    <w:rsid w:val="00681530"/>
    <w:rsid w:val="006B4A1E"/>
    <w:rsid w:val="006B5231"/>
    <w:rsid w:val="006B6870"/>
    <w:rsid w:val="006B6F93"/>
    <w:rsid w:val="006C0826"/>
    <w:rsid w:val="006E1C29"/>
    <w:rsid w:val="006E1F58"/>
    <w:rsid w:val="006E5627"/>
    <w:rsid w:val="006F3F8C"/>
    <w:rsid w:val="00702466"/>
    <w:rsid w:val="00704660"/>
    <w:rsid w:val="00714209"/>
    <w:rsid w:val="007230F8"/>
    <w:rsid w:val="00731493"/>
    <w:rsid w:val="007377AB"/>
    <w:rsid w:val="00740A0D"/>
    <w:rsid w:val="00750C1E"/>
    <w:rsid w:val="007513AA"/>
    <w:rsid w:val="00754700"/>
    <w:rsid w:val="007725A8"/>
    <w:rsid w:val="00773799"/>
    <w:rsid w:val="00781EF3"/>
    <w:rsid w:val="0078229A"/>
    <w:rsid w:val="00784C5F"/>
    <w:rsid w:val="00786897"/>
    <w:rsid w:val="00786F10"/>
    <w:rsid w:val="007A4349"/>
    <w:rsid w:val="007A5200"/>
    <w:rsid w:val="007A6781"/>
    <w:rsid w:val="007B2734"/>
    <w:rsid w:val="007D1681"/>
    <w:rsid w:val="007E2F05"/>
    <w:rsid w:val="007F33F4"/>
    <w:rsid w:val="007F3CE7"/>
    <w:rsid w:val="00803921"/>
    <w:rsid w:val="00814296"/>
    <w:rsid w:val="00817417"/>
    <w:rsid w:val="00820EE9"/>
    <w:rsid w:val="008252D7"/>
    <w:rsid w:val="0082647A"/>
    <w:rsid w:val="0084516B"/>
    <w:rsid w:val="008712CD"/>
    <w:rsid w:val="00875592"/>
    <w:rsid w:val="00877E2B"/>
    <w:rsid w:val="00883523"/>
    <w:rsid w:val="0089576B"/>
    <w:rsid w:val="008B0B00"/>
    <w:rsid w:val="008B1D16"/>
    <w:rsid w:val="008D1406"/>
    <w:rsid w:val="008D1CD3"/>
    <w:rsid w:val="008D7D18"/>
    <w:rsid w:val="00925B40"/>
    <w:rsid w:val="00930DAD"/>
    <w:rsid w:val="00947BD5"/>
    <w:rsid w:val="00951550"/>
    <w:rsid w:val="009571B0"/>
    <w:rsid w:val="009671D0"/>
    <w:rsid w:val="00970D51"/>
    <w:rsid w:val="00972F63"/>
    <w:rsid w:val="009A7577"/>
    <w:rsid w:val="009B0383"/>
    <w:rsid w:val="009B4021"/>
    <w:rsid w:val="009B60B9"/>
    <w:rsid w:val="009C5D7D"/>
    <w:rsid w:val="009E52CA"/>
    <w:rsid w:val="009F3584"/>
    <w:rsid w:val="009F4877"/>
    <w:rsid w:val="009F56C0"/>
    <w:rsid w:val="00A06413"/>
    <w:rsid w:val="00A20CCB"/>
    <w:rsid w:val="00A2572C"/>
    <w:rsid w:val="00A4181D"/>
    <w:rsid w:val="00A41C49"/>
    <w:rsid w:val="00A54ED0"/>
    <w:rsid w:val="00A72E6F"/>
    <w:rsid w:val="00A908AD"/>
    <w:rsid w:val="00AA2B7E"/>
    <w:rsid w:val="00AB2B97"/>
    <w:rsid w:val="00AB783A"/>
    <w:rsid w:val="00AC1109"/>
    <w:rsid w:val="00AC6D4A"/>
    <w:rsid w:val="00AE607E"/>
    <w:rsid w:val="00AE6C9B"/>
    <w:rsid w:val="00AF46D3"/>
    <w:rsid w:val="00B00186"/>
    <w:rsid w:val="00B13FA4"/>
    <w:rsid w:val="00B20A93"/>
    <w:rsid w:val="00B22142"/>
    <w:rsid w:val="00B24C0D"/>
    <w:rsid w:val="00B24CEF"/>
    <w:rsid w:val="00B320A2"/>
    <w:rsid w:val="00B329C8"/>
    <w:rsid w:val="00B4307C"/>
    <w:rsid w:val="00B444DD"/>
    <w:rsid w:val="00B6164C"/>
    <w:rsid w:val="00B61A41"/>
    <w:rsid w:val="00B6332D"/>
    <w:rsid w:val="00B77E33"/>
    <w:rsid w:val="00B8384A"/>
    <w:rsid w:val="00B96ED1"/>
    <w:rsid w:val="00BA0608"/>
    <w:rsid w:val="00BA7284"/>
    <w:rsid w:val="00BB3196"/>
    <w:rsid w:val="00BB5C40"/>
    <w:rsid w:val="00BC24D4"/>
    <w:rsid w:val="00BD2002"/>
    <w:rsid w:val="00BD4C04"/>
    <w:rsid w:val="00BE4AE2"/>
    <w:rsid w:val="00C060E1"/>
    <w:rsid w:val="00C3562D"/>
    <w:rsid w:val="00C45ED0"/>
    <w:rsid w:val="00C50BEB"/>
    <w:rsid w:val="00C614DF"/>
    <w:rsid w:val="00C70DED"/>
    <w:rsid w:val="00C73051"/>
    <w:rsid w:val="00C75D1F"/>
    <w:rsid w:val="00C813D4"/>
    <w:rsid w:val="00C87CBD"/>
    <w:rsid w:val="00C90E0A"/>
    <w:rsid w:val="00C91E0E"/>
    <w:rsid w:val="00CA7443"/>
    <w:rsid w:val="00CB0E5A"/>
    <w:rsid w:val="00CB29CD"/>
    <w:rsid w:val="00CB47E2"/>
    <w:rsid w:val="00CB5291"/>
    <w:rsid w:val="00CB7FC5"/>
    <w:rsid w:val="00CC0AD3"/>
    <w:rsid w:val="00CC1611"/>
    <w:rsid w:val="00CC19EF"/>
    <w:rsid w:val="00CD3E3D"/>
    <w:rsid w:val="00CD6DCB"/>
    <w:rsid w:val="00CE2724"/>
    <w:rsid w:val="00CE4CE4"/>
    <w:rsid w:val="00CF30D3"/>
    <w:rsid w:val="00CF525C"/>
    <w:rsid w:val="00D20C8E"/>
    <w:rsid w:val="00D3254E"/>
    <w:rsid w:val="00D51C7E"/>
    <w:rsid w:val="00D557CA"/>
    <w:rsid w:val="00D57A9D"/>
    <w:rsid w:val="00D61368"/>
    <w:rsid w:val="00D635D9"/>
    <w:rsid w:val="00D6411F"/>
    <w:rsid w:val="00D67EC2"/>
    <w:rsid w:val="00DA0B1B"/>
    <w:rsid w:val="00DA7AC3"/>
    <w:rsid w:val="00DC5497"/>
    <w:rsid w:val="00DE7570"/>
    <w:rsid w:val="00DF1055"/>
    <w:rsid w:val="00DF6B12"/>
    <w:rsid w:val="00E07851"/>
    <w:rsid w:val="00E15992"/>
    <w:rsid w:val="00E249B1"/>
    <w:rsid w:val="00E3052A"/>
    <w:rsid w:val="00E35FFC"/>
    <w:rsid w:val="00E37BF8"/>
    <w:rsid w:val="00E579AF"/>
    <w:rsid w:val="00E61277"/>
    <w:rsid w:val="00E960AD"/>
    <w:rsid w:val="00EA00AA"/>
    <w:rsid w:val="00EA6228"/>
    <w:rsid w:val="00EC39BE"/>
    <w:rsid w:val="00EC761C"/>
    <w:rsid w:val="00EC772A"/>
    <w:rsid w:val="00EC7DA0"/>
    <w:rsid w:val="00EE0019"/>
    <w:rsid w:val="00EF3A90"/>
    <w:rsid w:val="00F02A3C"/>
    <w:rsid w:val="00F27A37"/>
    <w:rsid w:val="00F27D06"/>
    <w:rsid w:val="00F50DAB"/>
    <w:rsid w:val="00F61ACE"/>
    <w:rsid w:val="00F66D3C"/>
    <w:rsid w:val="00F70A2F"/>
    <w:rsid w:val="00F721F5"/>
    <w:rsid w:val="00F7626D"/>
    <w:rsid w:val="00F76988"/>
    <w:rsid w:val="00F86BDD"/>
    <w:rsid w:val="00FB1B81"/>
    <w:rsid w:val="00FC344A"/>
    <w:rsid w:val="00FE650A"/>
    <w:rsid w:val="00FE7202"/>
    <w:rsid w:val="00FF1442"/>
    <w:rsid w:val="00FF53F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D36795"/>
  <w15:docId w15:val="{06751B0E-0878-44C4-BBF6-F62B1B7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291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4D63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67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51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1C7E"/>
  </w:style>
  <w:style w:type="paragraph" w:styleId="Header">
    <w:name w:val="header"/>
    <w:basedOn w:val="Normal"/>
    <w:rsid w:val="00D51C7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A5156"/>
    <w:rPr>
      <w:sz w:val="16"/>
      <w:szCs w:val="16"/>
    </w:rPr>
  </w:style>
  <w:style w:type="paragraph" w:styleId="CommentText">
    <w:name w:val="annotation text"/>
    <w:basedOn w:val="Normal"/>
    <w:semiHidden/>
    <w:rsid w:val="000A51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5156"/>
    <w:rPr>
      <w:b/>
      <w:bCs/>
    </w:rPr>
  </w:style>
  <w:style w:type="paragraph" w:customStyle="1" w:styleId="MediumGrid1-Accent21">
    <w:name w:val="Medium Grid 1 - Accent 21"/>
    <w:aliases w:val="Dot pt,No Spacing1,List Paragraph Char Char Char,Indicator Text,Numbered Para 1,Colorful List - Accent 11,Bullet 1,F5 List Paragraph,Bullet Points,Normal Fv,viñetas,List Paragraph2,MAIN CONTENT,3,List Paragraph1,Figuras"/>
    <w:basedOn w:val="Normal"/>
    <w:link w:val="MediumGrid1-Accent2Char"/>
    <w:uiPriority w:val="34"/>
    <w:qFormat/>
    <w:rsid w:val="00F66D3C"/>
    <w:pPr>
      <w:ind w:left="720"/>
    </w:pPr>
  </w:style>
  <w:style w:type="character" w:customStyle="1" w:styleId="MediumGrid1-Accent2Char">
    <w:name w:val="Medium Grid 1 - Accent 2 Char"/>
    <w:aliases w:val="Dot pt Char,No Spacing1 Char,List Paragraph Char Char Char Char,Indicator Text Char,Numbered Para 1 Char,Colorful List - Accent 11 Char,Bullet 1 Char,F5 List Paragraph Char,Bullet Points Char,Normal Fv Char,viñetas Char"/>
    <w:link w:val="MediumGrid1-Accent21"/>
    <w:uiPriority w:val="34"/>
    <w:qFormat/>
    <w:rsid w:val="00F02A3C"/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2735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/>
    </w:rPr>
  </w:style>
  <w:style w:type="paragraph" w:customStyle="1" w:styleId="ColorfulShading-Accent11">
    <w:name w:val="Colorful Shading - Accent 11"/>
    <w:hidden/>
    <w:uiPriority w:val="71"/>
    <w:unhideWhenUsed/>
    <w:rsid w:val="003F7CDC"/>
    <w:rPr>
      <w:sz w:val="24"/>
      <w:szCs w:val="24"/>
      <w:lang w:val="en-US" w:eastAsia="en-US"/>
    </w:rPr>
  </w:style>
  <w:style w:type="paragraph" w:styleId="Revision">
    <w:name w:val="Revision"/>
    <w:hidden/>
    <w:uiPriority w:val="71"/>
    <w:unhideWhenUsed/>
    <w:rsid w:val="00246E3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0d1605-260b-47fd-804b-8c27edd2405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4F217CB57A14084E98EFFAD3C7D62" ma:contentTypeVersion="13" ma:contentTypeDescription="Create a new document." ma:contentTypeScope="" ma:versionID="126ad7bb14d80183512cac346430aea6">
  <xsd:schema xmlns:xsd="http://www.w3.org/2001/XMLSchema" xmlns:xs="http://www.w3.org/2001/XMLSchema" xmlns:p="http://schemas.microsoft.com/office/2006/metadata/properties" xmlns:ns2="8b0d1605-260b-47fd-804b-8c27edd2405b" xmlns:ns3="730f74aa-8393-4aa5-b2f8-3c7aae566a68" targetNamespace="http://schemas.microsoft.com/office/2006/metadata/properties" ma:root="true" ma:fieldsID="633102269903bb9e93c1f5352fbcc284" ns2:_="" ns3:_="">
    <xsd:import namespace="8b0d1605-260b-47fd-804b-8c27edd2405b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1605-260b-47fd-804b-8c27edd240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E25BA-B67A-4653-835D-151ACAFE2226}">
  <ds:schemaRefs>
    <ds:schemaRef ds:uri="http://schemas.microsoft.com/office/2006/metadata/properties"/>
    <ds:schemaRef ds:uri="http://schemas.microsoft.com/office/infopath/2007/PartnerControls"/>
    <ds:schemaRef ds:uri="8b0d1605-260b-47fd-804b-8c27edd2405b"/>
  </ds:schemaRefs>
</ds:datastoreItem>
</file>

<file path=customXml/itemProps2.xml><?xml version="1.0" encoding="utf-8"?>
<ds:datastoreItem xmlns:ds="http://schemas.openxmlformats.org/officeDocument/2006/customXml" ds:itemID="{778CCE66-259F-4D9C-82F1-333E3100E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C7A29-6480-45B2-A774-39704811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d1605-260b-47fd-804b-8c27edd2405b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OAS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atreppel</dc:creator>
  <cp:lastModifiedBy>Lobaton, Ursula</cp:lastModifiedBy>
  <cp:revision>3</cp:revision>
  <cp:lastPrinted>2018-04-03T19:37:00Z</cp:lastPrinted>
  <dcterms:created xsi:type="dcterms:W3CDTF">2022-04-19T19:21:00Z</dcterms:created>
  <dcterms:modified xsi:type="dcterms:W3CDTF">2022-04-19T19:21:00Z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0x01010003A4F217CB57A14084E98EFFAD3C7D62</vt:lpwstr>
  </property>
</Properties>
</file>