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CFC0" w14:textId="77777777" w:rsidR="00367B2E" w:rsidRPr="00205AEA" w:rsidRDefault="00367B2E" w:rsidP="006D3430">
      <w:pPr>
        <w:widowControl/>
        <w:tabs>
          <w:tab w:val="left" w:pos="6480"/>
        </w:tabs>
        <w:suppressAutoHyphens/>
        <w:ind w:right="-29"/>
        <w:rPr>
          <w:rFonts w:ascii="Times New Roman" w:hAnsi="Times New Roman"/>
          <w:bCs/>
          <w:caps/>
          <w:snapToGrid/>
          <w:szCs w:val="22"/>
          <w:lang w:val="fr-CA"/>
        </w:rPr>
      </w:pPr>
      <w:r w:rsidRPr="00205AEA">
        <w:rPr>
          <w:rFonts w:ascii="Times New Roman" w:hAnsi="Times New Roman"/>
          <w:caps/>
          <w:snapToGrid/>
          <w:szCs w:val="22"/>
          <w:lang w:val="fr-CA"/>
        </w:rPr>
        <w:t xml:space="preserve">CONVENTION INTERAMÉRICAINE SUR LA </w:t>
      </w:r>
      <w:r w:rsidRPr="00205AEA">
        <w:rPr>
          <w:rFonts w:ascii="Times New Roman" w:hAnsi="Times New Roman"/>
          <w:caps/>
          <w:snapToGrid/>
          <w:szCs w:val="22"/>
          <w:lang w:val="fr-CA"/>
        </w:rPr>
        <w:tab/>
        <w:t>OEA/S</w:t>
      </w:r>
      <w:r w:rsidRPr="00205AEA">
        <w:rPr>
          <w:rFonts w:ascii="Times New Roman" w:hAnsi="Times New Roman"/>
          <w:snapToGrid/>
          <w:szCs w:val="22"/>
          <w:lang w:val="fr-CA"/>
        </w:rPr>
        <w:t>er.K/XLIV.2</w:t>
      </w:r>
    </w:p>
    <w:p w14:paraId="3E26E6E5" w14:textId="574F2F44" w:rsidR="00367B2E" w:rsidRPr="00205AEA" w:rsidRDefault="00367B2E" w:rsidP="006D3430">
      <w:pPr>
        <w:widowControl/>
        <w:tabs>
          <w:tab w:val="left" w:pos="6480"/>
        </w:tabs>
        <w:suppressAutoHyphens/>
        <w:ind w:right="-839"/>
        <w:rPr>
          <w:rFonts w:ascii="Times New Roman" w:hAnsi="Times New Roman"/>
          <w:bCs/>
          <w:caps/>
          <w:snapToGrid/>
          <w:szCs w:val="22"/>
          <w:lang w:val="fr-CA"/>
        </w:rPr>
      </w:pPr>
      <w:r w:rsidRPr="00205AEA">
        <w:rPr>
          <w:rFonts w:ascii="Times New Roman" w:hAnsi="Times New Roman"/>
          <w:caps/>
          <w:snapToGrid/>
          <w:szCs w:val="22"/>
          <w:lang w:val="fr-CA"/>
        </w:rPr>
        <w:t>TRANSPARENCE DE L’ACQUISITION DES</w:t>
      </w:r>
      <w:r w:rsidRPr="00205AEA">
        <w:rPr>
          <w:rFonts w:ascii="Times New Roman" w:hAnsi="Times New Roman"/>
          <w:caps/>
          <w:snapToGrid/>
          <w:szCs w:val="22"/>
          <w:lang w:val="fr-CA"/>
        </w:rPr>
        <w:tab/>
        <w:t>CITAAC/CEP-ii/</w:t>
      </w:r>
      <w:r w:rsidRPr="00205AEA">
        <w:rPr>
          <w:rFonts w:ascii="Times New Roman" w:hAnsi="Times New Roman"/>
          <w:snapToGrid/>
          <w:szCs w:val="22"/>
          <w:lang w:val="fr-CA"/>
        </w:rPr>
        <w:t>doc.4/22</w:t>
      </w:r>
      <w:r w:rsidR="004C7302" w:rsidRPr="00205AEA">
        <w:rPr>
          <w:rFonts w:ascii="Times New Roman" w:hAnsi="Times New Roman"/>
          <w:snapToGrid/>
          <w:szCs w:val="22"/>
          <w:lang w:val="fr-CA"/>
        </w:rPr>
        <w:t xml:space="preserve"> </w:t>
      </w:r>
      <w:r w:rsidR="00D1648A" w:rsidRPr="00205AEA">
        <w:rPr>
          <w:rFonts w:ascii="Times New Roman" w:hAnsi="Times New Roman"/>
          <w:snapToGrid/>
          <w:szCs w:val="22"/>
          <w:lang w:val="fr-CA"/>
        </w:rPr>
        <w:t>r</w:t>
      </w:r>
      <w:r w:rsidR="004C7302" w:rsidRPr="00205AEA">
        <w:rPr>
          <w:rFonts w:ascii="Times New Roman" w:hAnsi="Times New Roman"/>
          <w:snapToGrid/>
          <w:szCs w:val="22"/>
          <w:lang w:val="fr-CA"/>
        </w:rPr>
        <w:t>ev.</w:t>
      </w:r>
      <w:r w:rsidR="00D1648A" w:rsidRPr="00205AEA">
        <w:rPr>
          <w:rFonts w:ascii="Times New Roman" w:hAnsi="Times New Roman"/>
          <w:snapToGrid/>
          <w:szCs w:val="22"/>
          <w:lang w:val="fr-CA"/>
        </w:rPr>
        <w:t xml:space="preserve"> 2</w:t>
      </w:r>
    </w:p>
    <w:p w14:paraId="7574B97A" w14:textId="74B82E30" w:rsidR="00367B2E" w:rsidRPr="00205AEA" w:rsidRDefault="00367B2E" w:rsidP="006D3430">
      <w:pPr>
        <w:widowControl/>
        <w:tabs>
          <w:tab w:val="left" w:pos="6480"/>
        </w:tabs>
        <w:suppressAutoHyphens/>
        <w:ind w:right="-29"/>
        <w:rPr>
          <w:rFonts w:ascii="Times New Roman" w:hAnsi="Times New Roman"/>
          <w:bCs/>
          <w:caps/>
          <w:snapToGrid/>
          <w:szCs w:val="22"/>
          <w:lang w:val="fr-CA"/>
        </w:rPr>
      </w:pPr>
      <w:r w:rsidRPr="00205AEA">
        <w:rPr>
          <w:rFonts w:ascii="Times New Roman" w:hAnsi="Times New Roman"/>
          <w:caps/>
          <w:snapToGrid/>
          <w:szCs w:val="22"/>
          <w:lang w:val="fr-CA"/>
        </w:rPr>
        <w:t>ARMES CLASSIQUES (CITAAC)</w:t>
      </w:r>
      <w:r w:rsidRPr="00205AEA">
        <w:rPr>
          <w:rFonts w:ascii="Times New Roman" w:hAnsi="Times New Roman"/>
          <w:caps/>
          <w:snapToGrid/>
          <w:szCs w:val="22"/>
          <w:lang w:val="fr-CA"/>
        </w:rPr>
        <w:tab/>
      </w:r>
      <w:r w:rsidR="004C7302" w:rsidRPr="00205AEA">
        <w:rPr>
          <w:rFonts w:ascii="Times New Roman" w:hAnsi="Times New Roman"/>
          <w:caps/>
          <w:snapToGrid/>
          <w:szCs w:val="22"/>
          <w:lang w:val="fr-CA"/>
        </w:rPr>
        <w:t>1</w:t>
      </w:r>
      <w:r w:rsidR="00D1648A" w:rsidRPr="00205AEA">
        <w:rPr>
          <w:rFonts w:ascii="Times New Roman" w:hAnsi="Times New Roman"/>
          <w:caps/>
          <w:snapToGrid/>
          <w:szCs w:val="22"/>
          <w:lang w:val="fr-CA"/>
        </w:rPr>
        <w:t>9</w:t>
      </w:r>
      <w:r w:rsidRPr="00205AEA">
        <w:rPr>
          <w:rFonts w:ascii="Times New Roman" w:hAnsi="Times New Roman"/>
          <w:caps/>
          <w:snapToGrid/>
          <w:szCs w:val="22"/>
          <w:lang w:val="fr-CA"/>
        </w:rPr>
        <w:t xml:space="preserve"> </w:t>
      </w:r>
      <w:r w:rsidR="004C7302" w:rsidRPr="00205AEA">
        <w:rPr>
          <w:rFonts w:ascii="Times New Roman" w:hAnsi="Times New Roman"/>
          <w:snapToGrid/>
          <w:szCs w:val="22"/>
          <w:lang w:val="fr-CA"/>
        </w:rPr>
        <w:t>avril</w:t>
      </w:r>
      <w:r w:rsidRPr="00205AEA">
        <w:rPr>
          <w:rFonts w:ascii="Times New Roman" w:hAnsi="Times New Roman"/>
          <w:caps/>
          <w:snapToGrid/>
          <w:szCs w:val="22"/>
          <w:lang w:val="fr-CA"/>
        </w:rPr>
        <w:t xml:space="preserve"> 2022</w:t>
      </w:r>
    </w:p>
    <w:p w14:paraId="332D8391" w14:textId="5AE16A74" w:rsidR="004C7302" w:rsidRPr="00205AEA" w:rsidRDefault="004C7302" w:rsidP="006D3430">
      <w:pPr>
        <w:widowControl/>
        <w:tabs>
          <w:tab w:val="left" w:pos="6480"/>
        </w:tabs>
        <w:rPr>
          <w:rFonts w:ascii="Times New Roman" w:hAnsi="Times New Roman"/>
          <w:snapToGrid/>
          <w:szCs w:val="22"/>
          <w:u w:val="single"/>
          <w:lang w:val="fr-CA"/>
        </w:rPr>
      </w:pPr>
      <w:r w:rsidRPr="00205AEA">
        <w:rPr>
          <w:rFonts w:ascii="Times New Roman" w:hAnsi="Times New Roman"/>
          <w:snapToGrid/>
          <w:szCs w:val="22"/>
          <w:u w:val="single"/>
          <w:lang w:val="fr-CA"/>
        </w:rPr>
        <w:t>Deuxième Conférence des États parties</w:t>
      </w:r>
      <w:r w:rsidRPr="00205AEA">
        <w:rPr>
          <w:rFonts w:ascii="Times New Roman" w:hAnsi="Times New Roman"/>
          <w:snapToGrid/>
          <w:szCs w:val="22"/>
          <w:lang w:val="fr-CA"/>
        </w:rPr>
        <w:tab/>
        <w:t>Original: espagnol</w:t>
      </w:r>
    </w:p>
    <w:p w14:paraId="741D24FE" w14:textId="77777777" w:rsidR="004C7302" w:rsidRPr="00205AEA" w:rsidRDefault="004C7302" w:rsidP="00205AEA">
      <w:pPr>
        <w:widowControl/>
        <w:tabs>
          <w:tab w:val="left" w:pos="6570"/>
        </w:tabs>
        <w:rPr>
          <w:rFonts w:ascii="Times New Roman" w:hAnsi="Times New Roman"/>
          <w:snapToGrid/>
          <w:szCs w:val="22"/>
          <w:lang w:val="fr-CA"/>
        </w:rPr>
      </w:pPr>
      <w:r w:rsidRPr="00205AEA">
        <w:rPr>
          <w:rFonts w:ascii="Times New Roman" w:hAnsi="Times New Roman"/>
          <w:snapToGrid/>
          <w:szCs w:val="22"/>
          <w:lang w:val="fr-CA"/>
        </w:rPr>
        <w:t>19 avril 2022</w:t>
      </w:r>
    </w:p>
    <w:p w14:paraId="1D2123E1" w14:textId="77777777" w:rsidR="004C7302" w:rsidRPr="00205AEA" w:rsidRDefault="004C7302" w:rsidP="00205AEA">
      <w:pPr>
        <w:widowControl/>
        <w:tabs>
          <w:tab w:val="left" w:pos="6570"/>
        </w:tabs>
        <w:rPr>
          <w:rFonts w:ascii="Times New Roman" w:hAnsi="Times New Roman"/>
          <w:snapToGrid/>
          <w:szCs w:val="22"/>
          <w:lang w:val="fr-CA"/>
        </w:rPr>
      </w:pPr>
      <w:r w:rsidRPr="00205AEA">
        <w:rPr>
          <w:rFonts w:ascii="Times New Roman" w:hAnsi="Times New Roman"/>
          <w:snapToGrid/>
          <w:szCs w:val="22"/>
          <w:lang w:val="fr-CA"/>
        </w:rPr>
        <w:t>Format virtuel</w:t>
      </w:r>
    </w:p>
    <w:p w14:paraId="19FC78CE" w14:textId="10DBB8BA" w:rsidR="00367B2E" w:rsidRPr="00205AEA" w:rsidRDefault="00367B2E" w:rsidP="00205AEA">
      <w:pPr>
        <w:widowControl/>
        <w:tabs>
          <w:tab w:val="left" w:pos="6840"/>
        </w:tabs>
        <w:suppressAutoHyphens/>
        <w:ind w:right="-29"/>
        <w:rPr>
          <w:rFonts w:ascii="Times New Roman" w:hAnsi="Times New Roman"/>
          <w:snapToGrid/>
          <w:szCs w:val="22"/>
          <w:u w:val="single"/>
          <w:lang w:val="fr-CA"/>
        </w:rPr>
      </w:pPr>
    </w:p>
    <w:p w14:paraId="2A6534A6" w14:textId="51E6BF5A" w:rsidR="00BA3FC0" w:rsidRPr="00205AEA" w:rsidRDefault="00BA3FC0" w:rsidP="00205AEA">
      <w:pPr>
        <w:widowControl/>
        <w:tabs>
          <w:tab w:val="left" w:pos="7560"/>
        </w:tabs>
        <w:ind w:right="-1080"/>
        <w:rPr>
          <w:rFonts w:ascii="Times New Roman" w:hAnsi="Times New Roman"/>
          <w:szCs w:val="22"/>
          <w:lang w:val="fr-CA"/>
        </w:rPr>
      </w:pPr>
    </w:p>
    <w:p w14:paraId="07A18845"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5AF568E0"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13C540DB"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1155BF1E"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2191A629"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6BA03893"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7CA75CC1"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3B9E53F8"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440834AC"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09D993B0"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7B037B4F"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4F9E84A1" w14:textId="77777777" w:rsidR="00BA3FC0" w:rsidRPr="00205AEA" w:rsidRDefault="00BA3FC0" w:rsidP="00205AEA">
      <w:pPr>
        <w:widowControl/>
        <w:tabs>
          <w:tab w:val="center" w:pos="3960"/>
        </w:tabs>
        <w:jc w:val="both"/>
        <w:rPr>
          <w:rFonts w:ascii="Times New Roman" w:hAnsi="Times New Roman"/>
          <w:spacing w:val="-2"/>
          <w:szCs w:val="22"/>
          <w:lang w:val="fr-CA"/>
        </w:rPr>
      </w:pPr>
    </w:p>
    <w:p w14:paraId="00D75C87" w14:textId="049A74CF" w:rsidR="0013343B" w:rsidRPr="00205AEA" w:rsidRDefault="0013343B" w:rsidP="00205AEA">
      <w:pPr>
        <w:widowControl/>
        <w:tabs>
          <w:tab w:val="left" w:pos="-720"/>
        </w:tabs>
        <w:jc w:val="center"/>
        <w:rPr>
          <w:rFonts w:ascii="Times New Roman" w:hAnsi="Times New Roman"/>
          <w:snapToGrid/>
          <w:spacing w:val="-2"/>
          <w:szCs w:val="22"/>
          <w:lang w:val="fr-CA"/>
        </w:rPr>
      </w:pPr>
      <w:r w:rsidRPr="00205AEA">
        <w:rPr>
          <w:rFonts w:ascii="Times New Roman" w:hAnsi="Times New Roman"/>
          <w:szCs w:val="22"/>
          <w:lang w:val="fr-CA"/>
        </w:rPr>
        <w:t xml:space="preserve">RÈGLEMENT INTÉRIEUR DU COMITÉ CONSULTATIF DE LA CONVENTION INTERAMÉRICAINE SUR LA TRANSPARENCE DE L’ACQUISITION </w:t>
      </w:r>
      <w:r w:rsidR="00205AEA" w:rsidRPr="00205AEA">
        <w:rPr>
          <w:rFonts w:ascii="Times New Roman" w:hAnsi="Times New Roman"/>
          <w:szCs w:val="22"/>
          <w:lang w:val="fr-CA"/>
        </w:rPr>
        <w:br/>
      </w:r>
      <w:r w:rsidRPr="00205AEA">
        <w:rPr>
          <w:rFonts w:ascii="Times New Roman" w:hAnsi="Times New Roman"/>
          <w:szCs w:val="22"/>
          <w:lang w:val="fr-CA"/>
        </w:rPr>
        <w:t>DES ARMES CLASSIQUES (CITAAC)</w:t>
      </w:r>
    </w:p>
    <w:p w14:paraId="12C2D173" w14:textId="77777777" w:rsidR="007C05C1" w:rsidRPr="00205AEA" w:rsidRDefault="007C05C1" w:rsidP="00205AEA">
      <w:pPr>
        <w:widowControl/>
        <w:tabs>
          <w:tab w:val="left" w:pos="-720"/>
        </w:tabs>
        <w:jc w:val="center"/>
        <w:rPr>
          <w:rFonts w:ascii="Times New Roman" w:hAnsi="Times New Roman"/>
          <w:spacing w:val="-2"/>
          <w:szCs w:val="22"/>
          <w:lang w:val="fr-CA"/>
        </w:rPr>
      </w:pPr>
    </w:p>
    <w:p w14:paraId="3D2EC72D" w14:textId="56B77F59" w:rsidR="00BA3FC0" w:rsidRPr="00205AEA" w:rsidRDefault="00D35FFB" w:rsidP="00205AEA">
      <w:pPr>
        <w:widowControl/>
        <w:tabs>
          <w:tab w:val="left" w:pos="-720"/>
        </w:tabs>
        <w:jc w:val="center"/>
        <w:rPr>
          <w:rFonts w:ascii="Times New Roman" w:hAnsi="Times New Roman"/>
          <w:szCs w:val="22"/>
          <w:lang w:val="fr-CA"/>
        </w:rPr>
      </w:pPr>
      <w:r w:rsidRPr="00205AEA">
        <w:rPr>
          <w:rFonts w:ascii="Times New Roman" w:hAnsi="Times New Roman"/>
          <w:szCs w:val="22"/>
          <w:lang w:val="fr-CA"/>
        </w:rPr>
        <w:t>(</w:t>
      </w:r>
      <w:r w:rsidR="00D1648A" w:rsidRPr="00205AEA">
        <w:rPr>
          <w:rFonts w:ascii="Times New Roman" w:hAnsi="Times New Roman"/>
          <w:szCs w:val="22"/>
          <w:lang w:val="fr-CA"/>
        </w:rPr>
        <w:t>Approuvé à la D</w:t>
      </w:r>
      <w:r w:rsidRPr="00205AEA">
        <w:rPr>
          <w:rFonts w:ascii="Times New Roman" w:hAnsi="Times New Roman"/>
          <w:szCs w:val="22"/>
          <w:lang w:val="fr-CA"/>
        </w:rPr>
        <w:t xml:space="preserve">euxième Conférence des États </w:t>
      </w:r>
      <w:r w:rsidR="00D1648A" w:rsidRPr="00205AEA">
        <w:rPr>
          <w:rFonts w:ascii="Times New Roman" w:hAnsi="Times New Roman"/>
          <w:szCs w:val="22"/>
          <w:lang w:val="fr-CA"/>
        </w:rPr>
        <w:t>p</w:t>
      </w:r>
      <w:r w:rsidRPr="00205AEA">
        <w:rPr>
          <w:rFonts w:ascii="Times New Roman" w:hAnsi="Times New Roman"/>
          <w:szCs w:val="22"/>
          <w:lang w:val="fr-CA"/>
        </w:rPr>
        <w:t>arties à la CITAAC</w:t>
      </w:r>
      <w:r w:rsidR="00D1648A" w:rsidRPr="00205AEA">
        <w:rPr>
          <w:rFonts w:ascii="Times New Roman" w:hAnsi="Times New Roman"/>
          <w:szCs w:val="22"/>
          <w:lang w:val="fr-CA"/>
        </w:rPr>
        <w:t>, le 19 avril 2022</w:t>
      </w:r>
      <w:r w:rsidRPr="00205AEA">
        <w:rPr>
          <w:rFonts w:ascii="Times New Roman" w:hAnsi="Times New Roman"/>
          <w:szCs w:val="22"/>
          <w:lang w:val="fr-CA"/>
        </w:rPr>
        <w:t>)</w:t>
      </w:r>
    </w:p>
    <w:p w14:paraId="3F9B571A" w14:textId="77777777" w:rsidR="00BA3FC0" w:rsidRPr="00205AEA" w:rsidRDefault="00BA3FC0" w:rsidP="00205AEA">
      <w:pPr>
        <w:widowControl/>
        <w:tabs>
          <w:tab w:val="left" w:pos="-720"/>
        </w:tabs>
        <w:jc w:val="both"/>
        <w:rPr>
          <w:rFonts w:ascii="Times New Roman" w:hAnsi="Times New Roman"/>
          <w:spacing w:val="-2"/>
          <w:szCs w:val="22"/>
          <w:lang w:val="fr-CA"/>
        </w:rPr>
      </w:pPr>
    </w:p>
    <w:p w14:paraId="439D4CDC" w14:textId="77777777" w:rsidR="00205AEA" w:rsidRPr="00205AEA" w:rsidRDefault="00205AEA" w:rsidP="00205AEA">
      <w:pPr>
        <w:widowControl/>
        <w:shd w:val="clear" w:color="auto" w:fill="FFFFFF"/>
        <w:rPr>
          <w:rFonts w:ascii="Times New Roman" w:hAnsi="Times New Roman"/>
          <w:snapToGrid/>
          <w:color w:val="242424"/>
          <w:szCs w:val="22"/>
          <w:lang w:val="fr-CA"/>
        </w:rPr>
        <w:sectPr w:rsidR="00205AEA" w:rsidRPr="00205AEA" w:rsidSect="00196A36">
          <w:headerReference w:type="default" r:id="rId11"/>
          <w:endnotePr>
            <w:numFmt w:val="decimal"/>
          </w:endnotePr>
          <w:pgSz w:w="12240" w:h="15840"/>
          <w:pgMar w:top="2160" w:right="1570" w:bottom="1296" w:left="1699" w:header="1296" w:footer="1296" w:gutter="0"/>
          <w:pgNumType w:start="1"/>
          <w:cols w:space="720"/>
          <w:noEndnote/>
          <w:titlePg/>
        </w:sectPr>
      </w:pPr>
    </w:p>
    <w:p w14:paraId="01454650" w14:textId="347FD75B" w:rsidR="0013343B" w:rsidRPr="00205AEA" w:rsidRDefault="0013343B" w:rsidP="00205AEA">
      <w:pPr>
        <w:widowControl/>
        <w:tabs>
          <w:tab w:val="left" w:pos="-720"/>
        </w:tabs>
        <w:jc w:val="center"/>
        <w:rPr>
          <w:rFonts w:ascii="Times New Roman" w:hAnsi="Times New Roman"/>
          <w:snapToGrid/>
          <w:spacing w:val="-2"/>
          <w:szCs w:val="22"/>
          <w:lang w:val="fr-CA"/>
        </w:rPr>
      </w:pPr>
      <w:r w:rsidRPr="00205AEA">
        <w:rPr>
          <w:rFonts w:ascii="Times New Roman" w:hAnsi="Times New Roman"/>
          <w:szCs w:val="22"/>
          <w:lang w:val="fr-CA"/>
        </w:rPr>
        <w:lastRenderedPageBreak/>
        <w:t xml:space="preserve">RÈGLEMENT INTÉRIEUR DU COMITÉ CONSULTATIF DE LA CONVENTION INTERAMÉRICAINE SUR LA TRANSPARENCE DE L’ACQUISITION </w:t>
      </w:r>
      <w:r w:rsidR="00205AEA" w:rsidRPr="00205AEA">
        <w:rPr>
          <w:rFonts w:ascii="Times New Roman" w:hAnsi="Times New Roman"/>
          <w:szCs w:val="22"/>
          <w:lang w:val="fr-CA"/>
        </w:rPr>
        <w:br/>
      </w:r>
      <w:r w:rsidRPr="00205AEA">
        <w:rPr>
          <w:rFonts w:ascii="Times New Roman" w:hAnsi="Times New Roman"/>
          <w:szCs w:val="22"/>
          <w:lang w:val="fr-CA"/>
        </w:rPr>
        <w:t>DES ARMES CLASSIQUES (CITAAC)</w:t>
      </w:r>
    </w:p>
    <w:p w14:paraId="2D89468A" w14:textId="77777777" w:rsidR="00BA3FC0" w:rsidRPr="00205AEA" w:rsidRDefault="00BA3FC0" w:rsidP="00205AEA">
      <w:pPr>
        <w:widowControl/>
        <w:tabs>
          <w:tab w:val="left" w:pos="-720"/>
        </w:tabs>
        <w:jc w:val="both"/>
        <w:rPr>
          <w:rFonts w:ascii="Times New Roman" w:hAnsi="Times New Roman"/>
          <w:szCs w:val="22"/>
          <w:lang w:val="fr-CA"/>
        </w:rPr>
      </w:pPr>
    </w:p>
    <w:p w14:paraId="0663E8F0" w14:textId="77777777" w:rsidR="00BA3FC0" w:rsidRPr="00205AEA" w:rsidRDefault="00BA3FC0" w:rsidP="00205AEA">
      <w:pPr>
        <w:widowControl/>
        <w:tabs>
          <w:tab w:val="center" w:pos="3960"/>
        </w:tabs>
        <w:jc w:val="center"/>
        <w:rPr>
          <w:rFonts w:ascii="Times New Roman" w:hAnsi="Times New Roman"/>
          <w:spacing w:val="-2"/>
          <w:szCs w:val="22"/>
          <w:lang w:val="fr-CA"/>
        </w:rPr>
      </w:pPr>
    </w:p>
    <w:p w14:paraId="765C2006" w14:textId="77777777" w:rsidR="00367B2E" w:rsidRPr="00205AEA" w:rsidRDefault="00367B2E" w:rsidP="00205AEA">
      <w:pPr>
        <w:widowControl/>
        <w:tabs>
          <w:tab w:val="left" w:pos="-720"/>
        </w:tabs>
        <w:jc w:val="center"/>
        <w:rPr>
          <w:rFonts w:ascii="Times New Roman" w:hAnsi="Times New Roman"/>
          <w:snapToGrid/>
          <w:spacing w:val="-2"/>
          <w:szCs w:val="22"/>
          <w:lang w:val="fr-CA"/>
        </w:rPr>
      </w:pPr>
      <w:r w:rsidRPr="00205AEA">
        <w:rPr>
          <w:rFonts w:ascii="Times New Roman" w:hAnsi="Times New Roman"/>
          <w:szCs w:val="22"/>
          <w:lang w:val="fr-CA"/>
        </w:rPr>
        <w:t>CHAPITRE I</w:t>
      </w:r>
    </w:p>
    <w:p w14:paraId="4745760C" w14:textId="77777777" w:rsidR="00367B2E" w:rsidRPr="00205AEA" w:rsidRDefault="00367B2E" w:rsidP="00205AEA">
      <w:pPr>
        <w:widowControl/>
        <w:tabs>
          <w:tab w:val="left" w:pos="-720"/>
        </w:tabs>
        <w:jc w:val="center"/>
        <w:rPr>
          <w:rFonts w:ascii="Times New Roman" w:hAnsi="Times New Roman"/>
          <w:spacing w:val="-2"/>
          <w:szCs w:val="22"/>
          <w:lang w:val="fr-CA"/>
        </w:rPr>
      </w:pPr>
      <w:r w:rsidRPr="00205AEA">
        <w:rPr>
          <w:rFonts w:ascii="Times New Roman" w:hAnsi="Times New Roman"/>
          <w:szCs w:val="22"/>
          <w:lang w:val="fr-CA"/>
        </w:rPr>
        <w:t>NATURE</w:t>
      </w:r>
    </w:p>
    <w:p w14:paraId="4ECE8B8A" w14:textId="77777777" w:rsidR="00367B2E" w:rsidRPr="00205AEA" w:rsidRDefault="00367B2E" w:rsidP="00205AEA">
      <w:pPr>
        <w:widowControl/>
        <w:tabs>
          <w:tab w:val="left" w:pos="-720"/>
        </w:tabs>
        <w:jc w:val="both"/>
        <w:rPr>
          <w:rFonts w:ascii="Times New Roman" w:hAnsi="Times New Roman"/>
          <w:b/>
          <w:spacing w:val="-2"/>
          <w:szCs w:val="22"/>
          <w:lang w:val="fr-CA"/>
        </w:rPr>
      </w:pPr>
    </w:p>
    <w:p w14:paraId="64CC1D86"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premier</w:t>
      </w:r>
    </w:p>
    <w:p w14:paraId="05958935" w14:textId="77777777" w:rsidR="00367B2E" w:rsidRPr="00205AEA" w:rsidRDefault="00367B2E" w:rsidP="00205AEA">
      <w:pPr>
        <w:widowControl/>
        <w:tabs>
          <w:tab w:val="left" w:pos="-720"/>
        </w:tabs>
        <w:jc w:val="both"/>
        <w:rPr>
          <w:rFonts w:ascii="Times New Roman" w:hAnsi="Times New Roman"/>
          <w:spacing w:val="-2"/>
          <w:szCs w:val="22"/>
          <w:lang w:val="fr-CA"/>
        </w:rPr>
      </w:pPr>
    </w:p>
    <w:p w14:paraId="54BD5C77"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 xml:space="preserve">Le Comité consultatif est un organe établi par les États parties à la Convention interaméricaine sur la transparence de l’acquisition des armes classiques (ci-après « la Convention ») conformément à l’article 21 du Règlement de la Conférence des États parties à la Convention. </w:t>
      </w:r>
    </w:p>
    <w:p w14:paraId="7F91337E" w14:textId="77777777" w:rsidR="00367B2E" w:rsidRPr="00205AEA" w:rsidRDefault="00367B2E" w:rsidP="00205AEA">
      <w:pPr>
        <w:widowControl/>
        <w:tabs>
          <w:tab w:val="left" w:pos="-720"/>
        </w:tabs>
        <w:jc w:val="both"/>
        <w:rPr>
          <w:rFonts w:ascii="Times New Roman" w:hAnsi="Times New Roman"/>
          <w:spacing w:val="-2"/>
          <w:szCs w:val="22"/>
          <w:lang w:val="fr-FR"/>
        </w:rPr>
      </w:pPr>
    </w:p>
    <w:p w14:paraId="0071690E"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2</w:t>
      </w:r>
    </w:p>
    <w:p w14:paraId="19D7F05E" w14:textId="77777777" w:rsidR="00367B2E" w:rsidRPr="00205AEA" w:rsidRDefault="00367B2E" w:rsidP="00205AEA">
      <w:pPr>
        <w:widowControl/>
        <w:tabs>
          <w:tab w:val="left" w:pos="-720"/>
        </w:tabs>
        <w:jc w:val="both"/>
        <w:rPr>
          <w:rFonts w:ascii="Times New Roman" w:hAnsi="Times New Roman"/>
          <w:spacing w:val="-2"/>
          <w:szCs w:val="22"/>
          <w:lang w:val="fr-FR"/>
        </w:rPr>
      </w:pPr>
    </w:p>
    <w:p w14:paraId="0C2CF50F"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Les activités du Comité consultatif sont menées dans le cadre de la Convention et sont régies par le présent Règlement intérieur.</w:t>
      </w:r>
    </w:p>
    <w:p w14:paraId="33C1F430" w14:textId="77777777" w:rsidR="00367B2E" w:rsidRPr="00205AEA" w:rsidRDefault="00367B2E" w:rsidP="00205AEA">
      <w:pPr>
        <w:widowControl/>
        <w:tabs>
          <w:tab w:val="left" w:pos="-720"/>
        </w:tabs>
        <w:jc w:val="both"/>
        <w:rPr>
          <w:rFonts w:ascii="Times New Roman" w:hAnsi="Times New Roman"/>
          <w:spacing w:val="-2"/>
          <w:szCs w:val="22"/>
          <w:lang w:val="fr-FR"/>
        </w:rPr>
      </w:pPr>
    </w:p>
    <w:p w14:paraId="32C1AC51"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CHAPITRE II</w:t>
      </w:r>
    </w:p>
    <w:p w14:paraId="4AFC7D93"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ATTRIBUTIONS</w:t>
      </w:r>
    </w:p>
    <w:p w14:paraId="536A3FF0" w14:textId="77777777" w:rsidR="00367B2E" w:rsidRPr="00205AEA" w:rsidRDefault="00367B2E" w:rsidP="00205AEA">
      <w:pPr>
        <w:widowControl/>
        <w:tabs>
          <w:tab w:val="left" w:pos="-720"/>
        </w:tabs>
        <w:jc w:val="both"/>
        <w:rPr>
          <w:rFonts w:ascii="Times New Roman" w:hAnsi="Times New Roman"/>
          <w:spacing w:val="-2"/>
          <w:szCs w:val="22"/>
          <w:lang w:val="fr-FR"/>
        </w:rPr>
      </w:pPr>
    </w:p>
    <w:p w14:paraId="2E23BFF1"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3</w:t>
      </w:r>
    </w:p>
    <w:p w14:paraId="2C874DA7" w14:textId="77777777" w:rsidR="00367B2E" w:rsidRPr="00205AEA" w:rsidRDefault="00367B2E" w:rsidP="00205AEA">
      <w:pPr>
        <w:widowControl/>
        <w:tabs>
          <w:tab w:val="left" w:pos="-720"/>
        </w:tabs>
        <w:jc w:val="both"/>
        <w:rPr>
          <w:rFonts w:ascii="Times New Roman" w:hAnsi="Times New Roman"/>
          <w:spacing w:val="-2"/>
          <w:szCs w:val="22"/>
          <w:lang w:val="fr-FR"/>
        </w:rPr>
      </w:pPr>
    </w:p>
    <w:p w14:paraId="5DBAD5FC"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Les attributions du Comité consultatif sont les suivantes :</w:t>
      </w:r>
    </w:p>
    <w:p w14:paraId="63B007FA"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32EDD15"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 xml:space="preserve">Promouvoir le respect par les États parties de leurs obligations au titre des articles III, IV et V de la Convention ; </w:t>
      </w:r>
    </w:p>
    <w:p w14:paraId="67E4519B" w14:textId="77777777" w:rsidR="00367B2E" w:rsidRPr="00205AEA" w:rsidRDefault="00367B2E" w:rsidP="00205AEA">
      <w:pPr>
        <w:widowControl/>
        <w:tabs>
          <w:tab w:val="left" w:pos="-720"/>
        </w:tabs>
        <w:jc w:val="both"/>
        <w:rPr>
          <w:rFonts w:ascii="Times New Roman" w:hAnsi="Times New Roman"/>
          <w:spacing w:val="-2"/>
          <w:szCs w:val="22"/>
          <w:lang w:val="fr-CA"/>
        </w:rPr>
      </w:pPr>
    </w:p>
    <w:p w14:paraId="3D1BA590"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Soutenir le Secrétariat général de l’Organisation des États Américains (SG/OEA), en sa qualité de secrétariat technique et administratif de la Convention, dans la réception, la compilation, l'analyse et la distribution aux États parties de toute information soumise conformément aux articles III, IV et V de la Convention ;</w:t>
      </w:r>
    </w:p>
    <w:p w14:paraId="68AB619F" w14:textId="77777777" w:rsidR="00367B2E" w:rsidRPr="00205AEA" w:rsidRDefault="00367B2E" w:rsidP="00205AEA">
      <w:pPr>
        <w:widowControl/>
        <w:tabs>
          <w:tab w:val="left" w:pos="-720"/>
        </w:tabs>
        <w:jc w:val="both"/>
        <w:rPr>
          <w:rFonts w:ascii="Times New Roman" w:hAnsi="Times New Roman"/>
          <w:spacing w:val="-2"/>
          <w:szCs w:val="22"/>
          <w:lang w:val="fr-CA"/>
        </w:rPr>
      </w:pPr>
    </w:p>
    <w:p w14:paraId="11CD0893"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Fournir les informations nécessaires à la mise à jour de la liste des points de contact des États parties ;</w:t>
      </w:r>
    </w:p>
    <w:p w14:paraId="01CEB3E4" w14:textId="77777777" w:rsidR="00367B2E" w:rsidRPr="00205AEA" w:rsidRDefault="00367B2E" w:rsidP="00205AEA">
      <w:pPr>
        <w:widowControl/>
        <w:tabs>
          <w:tab w:val="left" w:pos="-720"/>
        </w:tabs>
        <w:jc w:val="both"/>
        <w:rPr>
          <w:rFonts w:ascii="Times New Roman" w:hAnsi="Times New Roman"/>
          <w:spacing w:val="-2"/>
          <w:szCs w:val="22"/>
          <w:lang w:val="fr-CA"/>
        </w:rPr>
      </w:pPr>
    </w:p>
    <w:p w14:paraId="71D7E60D"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Promouvoir l’échange d’informations visées par la Convention ;</w:t>
      </w:r>
    </w:p>
    <w:p w14:paraId="02A171B9" w14:textId="77777777" w:rsidR="00367B2E" w:rsidRPr="00205AEA" w:rsidRDefault="00367B2E" w:rsidP="00205AEA">
      <w:pPr>
        <w:widowControl/>
        <w:tabs>
          <w:tab w:val="left" w:pos="-720"/>
        </w:tabs>
        <w:jc w:val="both"/>
        <w:rPr>
          <w:rFonts w:ascii="Times New Roman" w:hAnsi="Times New Roman"/>
          <w:spacing w:val="-2"/>
          <w:szCs w:val="22"/>
          <w:lang w:val="fr-FR"/>
        </w:rPr>
      </w:pPr>
    </w:p>
    <w:p w14:paraId="0694671B"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 xml:space="preserve">Faciliter l’échange d’informations sur la législation nationale et les procédures administratives des États parties à la Convention ; </w:t>
      </w:r>
    </w:p>
    <w:p w14:paraId="06442053"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E98CC62"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Promouvoir la formation, l’échange de connaissances et d’expériences de même que l’assistance technique entre les États parties à la Convention et les organisations internationales compétentes, ainsi que les études universitaires ;</w:t>
      </w:r>
    </w:p>
    <w:p w14:paraId="46E5BE0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6B89B43"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lastRenderedPageBreak/>
        <w:t xml:space="preserve">Demander aux autres États non parties à la Convention, le cas échéant, des informations sur les exportations d’armes classiques vers les États parties, conformément à l’article V de la Convention ; </w:t>
      </w:r>
    </w:p>
    <w:p w14:paraId="23294F6E" w14:textId="77777777" w:rsidR="00367B2E" w:rsidRPr="00205AEA" w:rsidRDefault="00367B2E" w:rsidP="00205AEA">
      <w:pPr>
        <w:widowControl/>
        <w:tabs>
          <w:tab w:val="left" w:pos="-720"/>
        </w:tabs>
        <w:jc w:val="both"/>
        <w:rPr>
          <w:rFonts w:ascii="Times New Roman" w:hAnsi="Times New Roman"/>
          <w:spacing w:val="-2"/>
          <w:szCs w:val="22"/>
          <w:lang w:val="fr-FR"/>
        </w:rPr>
      </w:pPr>
    </w:p>
    <w:p w14:paraId="02D8ECA2"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 xml:space="preserve">Promouvoir l’universalisation de la Convention au moyen de l’adhésion et de la ratification de la Convention par les États membres de l'OEA qui n'y sont pas parties ; </w:t>
      </w:r>
    </w:p>
    <w:p w14:paraId="56FAA2C5" w14:textId="77777777" w:rsidR="00367B2E" w:rsidRPr="00205AEA" w:rsidRDefault="00367B2E" w:rsidP="00205AEA">
      <w:pPr>
        <w:widowControl/>
        <w:tabs>
          <w:tab w:val="left" w:pos="-720"/>
        </w:tabs>
        <w:jc w:val="both"/>
        <w:rPr>
          <w:rFonts w:ascii="Times New Roman" w:hAnsi="Times New Roman"/>
          <w:spacing w:val="-2"/>
          <w:szCs w:val="22"/>
          <w:lang w:val="fr-FR"/>
        </w:rPr>
      </w:pPr>
    </w:p>
    <w:p w14:paraId="684347F1"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Analyser les mesures visant à promouvoir l’intégration de la Convention avec d’autres instruments régionaux et internationaux ayant des objectifs complémentaires à ceux de la Convention tels que la Convention interaméricaine contre la fabrication et le trafic illicites d’armes à feu, de munitions, d’explosifs et d’autres matériels connexes (CIFTA) et le Registre des armes classiques de l’ONU ;</w:t>
      </w:r>
    </w:p>
    <w:p w14:paraId="782BDA5D" w14:textId="77777777" w:rsidR="00367B2E" w:rsidRPr="00205AEA" w:rsidRDefault="00367B2E" w:rsidP="00205AEA">
      <w:pPr>
        <w:widowControl/>
        <w:tabs>
          <w:tab w:val="left" w:pos="-720"/>
        </w:tabs>
        <w:jc w:val="both"/>
        <w:rPr>
          <w:rFonts w:ascii="Times New Roman" w:hAnsi="Times New Roman"/>
          <w:spacing w:val="-2"/>
          <w:szCs w:val="22"/>
          <w:lang w:val="fr-FR"/>
        </w:rPr>
      </w:pPr>
    </w:p>
    <w:p w14:paraId="45651E9E"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Coordonner et maintenir une communication permanente avec l’Organisation interaméricaine de défense par l’intermédiaire de la Division des services techniques - section Gestion des armes, sur toutes les questions relatives à la Convention ;</w:t>
      </w:r>
    </w:p>
    <w:p w14:paraId="53545E8D" w14:textId="77777777" w:rsidR="00367B2E" w:rsidRPr="00205AEA" w:rsidRDefault="00367B2E" w:rsidP="00205AEA">
      <w:pPr>
        <w:widowControl/>
        <w:tabs>
          <w:tab w:val="left" w:pos="-720"/>
        </w:tabs>
        <w:jc w:val="both"/>
        <w:rPr>
          <w:rFonts w:ascii="Times New Roman" w:hAnsi="Times New Roman"/>
          <w:spacing w:val="-2"/>
          <w:szCs w:val="22"/>
          <w:lang w:val="fr-FR"/>
        </w:rPr>
      </w:pPr>
    </w:p>
    <w:p w14:paraId="66BC282E"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Contribuer à la mise en œuvre des programmes, projets et activités mis au point par le SG/OEA pour faciliter l'application de la Convention ;</w:t>
      </w:r>
    </w:p>
    <w:p w14:paraId="5B5E4832" w14:textId="77777777" w:rsidR="00367B2E" w:rsidRPr="00205AEA" w:rsidRDefault="00367B2E" w:rsidP="00205AEA">
      <w:pPr>
        <w:widowControl/>
        <w:tabs>
          <w:tab w:val="left" w:pos="-720"/>
        </w:tabs>
        <w:jc w:val="both"/>
        <w:rPr>
          <w:rFonts w:ascii="Times New Roman" w:hAnsi="Times New Roman"/>
          <w:spacing w:val="-2"/>
          <w:szCs w:val="22"/>
          <w:lang w:val="fr-FR"/>
        </w:rPr>
      </w:pPr>
    </w:p>
    <w:p w14:paraId="4B049E0D" w14:textId="77777777" w:rsidR="00367B2E" w:rsidRPr="00205AEA" w:rsidRDefault="00367B2E" w:rsidP="00205AEA">
      <w:pPr>
        <w:widowControl/>
        <w:numPr>
          <w:ilvl w:val="0"/>
          <w:numId w:val="3"/>
        </w:numPr>
        <w:tabs>
          <w:tab w:val="left" w:pos="-720"/>
        </w:tabs>
        <w:ind w:left="1440" w:hanging="720"/>
        <w:jc w:val="both"/>
        <w:rPr>
          <w:rFonts w:ascii="Times New Roman" w:hAnsi="Times New Roman"/>
          <w:spacing w:val="-2"/>
          <w:szCs w:val="22"/>
          <w:lang w:val="fr-CA"/>
        </w:rPr>
      </w:pPr>
      <w:r w:rsidRPr="00205AEA">
        <w:rPr>
          <w:rFonts w:ascii="Times New Roman" w:hAnsi="Times New Roman"/>
          <w:szCs w:val="22"/>
          <w:lang w:val="fr-CA"/>
        </w:rPr>
        <w:t>Promouvoir des mesures visant à faciliter la mise en œuvre de la Convention.</w:t>
      </w:r>
    </w:p>
    <w:p w14:paraId="0B30242E" w14:textId="77777777" w:rsidR="00367B2E" w:rsidRPr="00205AEA" w:rsidRDefault="00367B2E" w:rsidP="00205AEA">
      <w:pPr>
        <w:widowControl/>
        <w:tabs>
          <w:tab w:val="left" w:pos="-720"/>
        </w:tabs>
        <w:jc w:val="both"/>
        <w:rPr>
          <w:rFonts w:ascii="Times New Roman" w:hAnsi="Times New Roman"/>
          <w:spacing w:val="-2"/>
          <w:szCs w:val="22"/>
          <w:lang w:val="fr-FR"/>
        </w:rPr>
      </w:pPr>
    </w:p>
    <w:p w14:paraId="50E8A8D0" w14:textId="77777777" w:rsidR="00367B2E" w:rsidRPr="00205AEA" w:rsidRDefault="00367B2E" w:rsidP="00205AEA">
      <w:pPr>
        <w:widowControl/>
        <w:tabs>
          <w:tab w:val="center" w:pos="3960"/>
        </w:tabs>
        <w:jc w:val="both"/>
        <w:rPr>
          <w:rFonts w:ascii="Times New Roman" w:hAnsi="Times New Roman"/>
          <w:spacing w:val="-2"/>
          <w:szCs w:val="22"/>
          <w:lang w:val="fr-FR"/>
        </w:rPr>
      </w:pPr>
    </w:p>
    <w:p w14:paraId="08A124EF"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CHAPITRE III</w:t>
      </w:r>
    </w:p>
    <w:p w14:paraId="2912917C" w14:textId="77777777" w:rsidR="00367B2E" w:rsidRPr="00205AEA" w:rsidRDefault="00367B2E" w:rsidP="00205AEA">
      <w:pPr>
        <w:widowControl/>
        <w:tabs>
          <w:tab w:val="center" w:pos="3960"/>
        </w:tabs>
        <w:jc w:val="center"/>
        <w:rPr>
          <w:rFonts w:ascii="Times New Roman" w:hAnsi="Times New Roman"/>
          <w:b/>
          <w:spacing w:val="-2"/>
          <w:szCs w:val="22"/>
          <w:lang w:val="fr-CA"/>
        </w:rPr>
      </w:pPr>
      <w:r w:rsidRPr="00205AEA">
        <w:rPr>
          <w:rFonts w:ascii="Times New Roman" w:hAnsi="Times New Roman"/>
          <w:szCs w:val="22"/>
          <w:lang w:val="fr-CA"/>
        </w:rPr>
        <w:t>COMPOSITION</w:t>
      </w:r>
    </w:p>
    <w:p w14:paraId="4863FF6A" w14:textId="77777777" w:rsidR="00367B2E" w:rsidRPr="00205AEA" w:rsidRDefault="00367B2E" w:rsidP="00205AEA">
      <w:pPr>
        <w:widowControl/>
        <w:tabs>
          <w:tab w:val="left" w:pos="-720"/>
        </w:tabs>
        <w:jc w:val="both"/>
        <w:rPr>
          <w:rFonts w:ascii="Times New Roman" w:hAnsi="Times New Roman"/>
          <w:spacing w:val="-2"/>
          <w:szCs w:val="22"/>
          <w:lang w:val="fr-FR"/>
        </w:rPr>
      </w:pPr>
    </w:p>
    <w:p w14:paraId="3F4A5648"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4</w:t>
      </w:r>
    </w:p>
    <w:p w14:paraId="21DCDAA8" w14:textId="77777777" w:rsidR="00367B2E" w:rsidRPr="00205AEA" w:rsidRDefault="00367B2E" w:rsidP="00205AEA">
      <w:pPr>
        <w:widowControl/>
        <w:tabs>
          <w:tab w:val="left" w:pos="-720"/>
        </w:tabs>
        <w:jc w:val="both"/>
        <w:rPr>
          <w:rFonts w:ascii="Times New Roman" w:hAnsi="Times New Roman"/>
          <w:spacing w:val="-2"/>
          <w:szCs w:val="22"/>
          <w:lang w:val="fr-FR"/>
        </w:rPr>
      </w:pPr>
    </w:p>
    <w:p w14:paraId="30BD11FC"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 Comité consultatif est composé d'un représentant de chaque État partie à la Convention.</w:t>
      </w:r>
    </w:p>
    <w:p w14:paraId="6067B7CD" w14:textId="77777777" w:rsidR="00367B2E" w:rsidRPr="00205AEA" w:rsidRDefault="00367B2E" w:rsidP="00205AEA">
      <w:pPr>
        <w:widowControl/>
        <w:tabs>
          <w:tab w:val="left" w:pos="-720"/>
        </w:tabs>
        <w:jc w:val="both"/>
        <w:rPr>
          <w:rFonts w:ascii="Times New Roman" w:hAnsi="Times New Roman"/>
          <w:b/>
          <w:spacing w:val="-2"/>
          <w:szCs w:val="22"/>
          <w:lang w:val="fr-FR"/>
        </w:rPr>
      </w:pPr>
    </w:p>
    <w:p w14:paraId="060329B7"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5</w:t>
      </w:r>
    </w:p>
    <w:p w14:paraId="4263F6B8" w14:textId="77777777" w:rsidR="00367B2E" w:rsidRPr="00205AEA" w:rsidRDefault="00367B2E" w:rsidP="00205AEA">
      <w:pPr>
        <w:widowControl/>
        <w:tabs>
          <w:tab w:val="left" w:pos="-720"/>
        </w:tabs>
        <w:jc w:val="both"/>
        <w:rPr>
          <w:rFonts w:ascii="Times New Roman" w:hAnsi="Times New Roman"/>
          <w:spacing w:val="-2"/>
          <w:szCs w:val="22"/>
          <w:lang w:val="fr-FR"/>
        </w:rPr>
      </w:pPr>
    </w:p>
    <w:p w14:paraId="0FFCD540"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 xml:space="preserve">Le Comité consultatif dispose d'un secrétariat </w:t>
      </w:r>
      <w:r w:rsidRPr="00205AEA">
        <w:rPr>
          <w:rFonts w:ascii="Times New Roman" w:hAnsi="Times New Roman"/>
          <w:i/>
          <w:iCs/>
          <w:szCs w:val="22"/>
          <w:lang w:val="fr-CA"/>
        </w:rPr>
        <w:t>pro tempore</w:t>
      </w:r>
      <w:r w:rsidRPr="00205AEA">
        <w:rPr>
          <w:rFonts w:ascii="Times New Roman" w:hAnsi="Times New Roman"/>
          <w:szCs w:val="22"/>
          <w:lang w:val="fr-CA"/>
        </w:rPr>
        <w:t xml:space="preserve">. L’État partie qui accueille une réunion ordinaire du Comité consultatif assure le secrétariat </w:t>
      </w:r>
      <w:r w:rsidRPr="00205AEA">
        <w:rPr>
          <w:rFonts w:ascii="Times New Roman" w:hAnsi="Times New Roman"/>
          <w:i/>
          <w:iCs/>
          <w:szCs w:val="22"/>
          <w:lang w:val="fr-CA"/>
        </w:rPr>
        <w:t>pro tempore</w:t>
      </w:r>
      <w:r w:rsidRPr="00205AEA">
        <w:rPr>
          <w:rFonts w:ascii="Times New Roman" w:hAnsi="Times New Roman"/>
          <w:szCs w:val="22"/>
          <w:lang w:val="fr-CA"/>
        </w:rPr>
        <w:t xml:space="preserve"> jusqu'à sa prochaine réunion ordinaire. Lorsque la réunion ordinaire se tient au siège de l’OEA, l’État partie qui assure le secrétariat </w:t>
      </w:r>
      <w:r w:rsidRPr="00205AEA">
        <w:rPr>
          <w:rFonts w:ascii="Times New Roman" w:hAnsi="Times New Roman"/>
          <w:i/>
          <w:iCs/>
          <w:szCs w:val="22"/>
          <w:lang w:val="fr-CA"/>
        </w:rPr>
        <w:t>pro tempore</w:t>
      </w:r>
      <w:r w:rsidRPr="00205AEA">
        <w:rPr>
          <w:rFonts w:ascii="Times New Roman" w:hAnsi="Times New Roman"/>
          <w:szCs w:val="22"/>
          <w:lang w:val="fr-CA"/>
        </w:rPr>
        <w:t xml:space="preserve"> est élu à cette réunion.</w:t>
      </w:r>
    </w:p>
    <w:p w14:paraId="3986C15A" w14:textId="77777777" w:rsidR="00D1648A" w:rsidRPr="00205AEA" w:rsidRDefault="00D1648A" w:rsidP="00205AEA">
      <w:pPr>
        <w:widowControl/>
        <w:tabs>
          <w:tab w:val="left" w:pos="-720"/>
        </w:tabs>
        <w:jc w:val="both"/>
        <w:rPr>
          <w:rFonts w:ascii="Times New Roman" w:hAnsi="Times New Roman"/>
          <w:b/>
          <w:szCs w:val="22"/>
          <w:lang w:val="fr-CA"/>
        </w:rPr>
      </w:pPr>
    </w:p>
    <w:p w14:paraId="718DBB02" w14:textId="28394E8A"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6</w:t>
      </w:r>
    </w:p>
    <w:p w14:paraId="654C35D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37BB15C2"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 xml:space="preserve">Le Secrétariat </w:t>
      </w:r>
      <w:r w:rsidRPr="00205AEA">
        <w:rPr>
          <w:rFonts w:ascii="Times New Roman" w:hAnsi="Times New Roman"/>
          <w:i/>
          <w:iCs/>
          <w:szCs w:val="22"/>
          <w:lang w:val="fr-CA"/>
        </w:rPr>
        <w:t>pro tempore</w:t>
      </w:r>
      <w:r w:rsidRPr="00205AEA">
        <w:rPr>
          <w:rFonts w:ascii="Times New Roman" w:hAnsi="Times New Roman"/>
          <w:szCs w:val="22"/>
          <w:lang w:val="fr-CA"/>
        </w:rPr>
        <w:t xml:space="preserve">, en consultation avec les États parties à la Convention, a pour attributions les suivantes : </w:t>
      </w:r>
    </w:p>
    <w:p w14:paraId="1F3E8F57" w14:textId="77777777" w:rsidR="00367B2E" w:rsidRPr="00205AEA" w:rsidRDefault="00367B2E" w:rsidP="00205AEA">
      <w:pPr>
        <w:widowControl/>
        <w:tabs>
          <w:tab w:val="left" w:pos="-720"/>
        </w:tabs>
        <w:jc w:val="both"/>
        <w:rPr>
          <w:rFonts w:ascii="Times New Roman" w:hAnsi="Times New Roman"/>
          <w:spacing w:val="-2"/>
          <w:szCs w:val="22"/>
          <w:lang w:val="fr-FR"/>
        </w:rPr>
      </w:pPr>
    </w:p>
    <w:p w14:paraId="3E0DCA9B" w14:textId="72539574"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szCs w:val="22"/>
          <w:lang w:val="fr-CA"/>
        </w:rPr>
        <w:tab/>
        <w:t>a.</w:t>
      </w:r>
      <w:r w:rsidR="00205AEA" w:rsidRPr="00205AEA">
        <w:rPr>
          <w:rFonts w:ascii="Times New Roman" w:hAnsi="Times New Roman"/>
          <w:szCs w:val="22"/>
          <w:lang w:val="fr-CA"/>
        </w:rPr>
        <w:tab/>
      </w:r>
      <w:r w:rsidRPr="00205AEA">
        <w:rPr>
          <w:rFonts w:ascii="Times New Roman" w:hAnsi="Times New Roman"/>
          <w:szCs w:val="22"/>
          <w:lang w:val="fr-CA"/>
        </w:rPr>
        <w:t>convoquer les réunions ordinaires et extraordinaires du Comité consultatif ;</w:t>
      </w:r>
    </w:p>
    <w:p w14:paraId="32227985" w14:textId="77777777" w:rsidR="00367B2E" w:rsidRPr="00205AEA" w:rsidRDefault="00367B2E" w:rsidP="00205AEA">
      <w:pPr>
        <w:widowControl/>
        <w:tabs>
          <w:tab w:val="left" w:pos="-720"/>
        </w:tabs>
        <w:jc w:val="both"/>
        <w:rPr>
          <w:rFonts w:ascii="Times New Roman" w:hAnsi="Times New Roman"/>
          <w:spacing w:val="-2"/>
          <w:szCs w:val="22"/>
          <w:lang w:val="fr-FR"/>
        </w:rPr>
      </w:pPr>
    </w:p>
    <w:p w14:paraId="6F9CBBA7" w14:textId="0B996A78"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szCs w:val="22"/>
          <w:lang w:val="fr-CA"/>
        </w:rPr>
        <w:tab/>
        <w:t>b.</w:t>
      </w:r>
      <w:r w:rsidR="00205AEA" w:rsidRPr="00205AEA">
        <w:rPr>
          <w:rFonts w:ascii="Times New Roman" w:hAnsi="Times New Roman"/>
          <w:szCs w:val="22"/>
          <w:lang w:val="fr-CA"/>
        </w:rPr>
        <w:tab/>
      </w:r>
      <w:r w:rsidRPr="00205AEA">
        <w:rPr>
          <w:rFonts w:ascii="Times New Roman" w:hAnsi="Times New Roman"/>
          <w:szCs w:val="22"/>
          <w:lang w:val="fr-CA"/>
        </w:rPr>
        <w:t>mettre au point le projet d'ordre du jour des réunions ;</w:t>
      </w:r>
    </w:p>
    <w:p w14:paraId="6AD7FBCA"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AE3539D" w14:textId="179643A8"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szCs w:val="22"/>
          <w:lang w:val="fr-CA"/>
        </w:rPr>
        <w:tab/>
        <w:t>c.</w:t>
      </w:r>
      <w:r w:rsidR="00205AEA" w:rsidRPr="00205AEA">
        <w:rPr>
          <w:rFonts w:ascii="Times New Roman" w:hAnsi="Times New Roman"/>
          <w:szCs w:val="22"/>
          <w:lang w:val="fr-CA"/>
        </w:rPr>
        <w:tab/>
      </w:r>
      <w:r w:rsidRPr="00205AEA">
        <w:rPr>
          <w:rFonts w:ascii="Times New Roman" w:hAnsi="Times New Roman"/>
          <w:szCs w:val="22"/>
          <w:lang w:val="fr-CA"/>
        </w:rPr>
        <w:t>préparer les projets de rapports et procès-verbaux des réunions ;</w:t>
      </w:r>
    </w:p>
    <w:p w14:paraId="7E0BA924" w14:textId="77777777" w:rsidR="00367B2E" w:rsidRPr="00205AEA" w:rsidRDefault="00367B2E" w:rsidP="00205AEA">
      <w:pPr>
        <w:widowControl/>
        <w:tabs>
          <w:tab w:val="left" w:pos="-720"/>
        </w:tabs>
        <w:jc w:val="both"/>
        <w:rPr>
          <w:rFonts w:ascii="Times New Roman" w:hAnsi="Times New Roman"/>
          <w:spacing w:val="-2"/>
          <w:szCs w:val="22"/>
          <w:lang w:val="fr-FR"/>
        </w:rPr>
      </w:pPr>
    </w:p>
    <w:p w14:paraId="2064B4B4" w14:textId="7AAE3123"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szCs w:val="22"/>
          <w:lang w:val="fr-CA"/>
        </w:rPr>
        <w:lastRenderedPageBreak/>
        <w:tab/>
        <w:t>d.</w:t>
      </w:r>
      <w:r w:rsidR="00205AEA" w:rsidRPr="00205AEA">
        <w:rPr>
          <w:rFonts w:ascii="Times New Roman" w:hAnsi="Times New Roman"/>
          <w:szCs w:val="22"/>
          <w:lang w:val="fr-CA"/>
        </w:rPr>
        <w:tab/>
      </w:r>
      <w:r w:rsidRPr="00205AEA">
        <w:rPr>
          <w:rFonts w:ascii="Times New Roman" w:hAnsi="Times New Roman"/>
          <w:szCs w:val="22"/>
          <w:lang w:val="fr-CA"/>
        </w:rPr>
        <w:t>exercer toute autre attribution que lui confie le Comité consultatif.</w:t>
      </w:r>
    </w:p>
    <w:p w14:paraId="52752326"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2D246C3" w14:textId="77777777" w:rsidR="00367B2E" w:rsidRPr="00205AEA" w:rsidRDefault="00367B2E" w:rsidP="00205AEA">
      <w:pPr>
        <w:widowControl/>
        <w:tabs>
          <w:tab w:val="center" w:pos="3960"/>
        </w:tabs>
        <w:jc w:val="both"/>
        <w:rPr>
          <w:rFonts w:ascii="Times New Roman" w:hAnsi="Times New Roman"/>
          <w:spacing w:val="-2"/>
          <w:szCs w:val="22"/>
          <w:lang w:val="fr-FR"/>
        </w:rPr>
      </w:pPr>
    </w:p>
    <w:p w14:paraId="07F19E81"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CHAPITRE IV</w:t>
      </w:r>
    </w:p>
    <w:p w14:paraId="5B5A717C"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RÉUNIONS</w:t>
      </w:r>
    </w:p>
    <w:p w14:paraId="37C08BD9"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0C1C996"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7</w:t>
      </w:r>
    </w:p>
    <w:p w14:paraId="555F83D1" w14:textId="77777777" w:rsidR="00367B2E" w:rsidRPr="00205AEA" w:rsidRDefault="00367B2E" w:rsidP="00205AEA">
      <w:pPr>
        <w:widowControl/>
        <w:tabs>
          <w:tab w:val="left" w:pos="-720"/>
        </w:tabs>
        <w:jc w:val="both"/>
        <w:rPr>
          <w:rFonts w:ascii="Times New Roman" w:hAnsi="Times New Roman"/>
          <w:spacing w:val="-2"/>
          <w:szCs w:val="22"/>
          <w:lang w:val="fr-FR"/>
        </w:rPr>
      </w:pPr>
    </w:p>
    <w:p w14:paraId="4C50BA5F"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 Comité consultatif tient au moins une réunion ordinaire semestrielle et les réunions extraordinaires qui s'avèrent nécessaires.</w:t>
      </w:r>
    </w:p>
    <w:p w14:paraId="500AB95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4675D903"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8</w:t>
      </w:r>
    </w:p>
    <w:p w14:paraId="321312B8" w14:textId="77777777" w:rsidR="00367B2E" w:rsidRPr="00205AEA" w:rsidRDefault="00367B2E" w:rsidP="00205AEA">
      <w:pPr>
        <w:widowControl/>
        <w:tabs>
          <w:tab w:val="left" w:pos="-720"/>
        </w:tabs>
        <w:jc w:val="both"/>
        <w:rPr>
          <w:rFonts w:ascii="Times New Roman" w:hAnsi="Times New Roman"/>
          <w:spacing w:val="-2"/>
          <w:szCs w:val="22"/>
          <w:lang w:val="fr-FR"/>
        </w:rPr>
      </w:pPr>
    </w:p>
    <w:p w14:paraId="20C1F363" w14:textId="77777777" w:rsidR="00367B2E" w:rsidRPr="00205AEA" w:rsidRDefault="00367B2E" w:rsidP="00205AEA">
      <w:pPr>
        <w:widowControl/>
        <w:ind w:firstLine="720"/>
        <w:jc w:val="both"/>
        <w:rPr>
          <w:rFonts w:ascii="Times New Roman" w:hAnsi="Times New Roman"/>
          <w:szCs w:val="22"/>
          <w:lang w:val="fr-CA"/>
        </w:rPr>
      </w:pPr>
      <w:r w:rsidRPr="00205AEA">
        <w:rPr>
          <w:rFonts w:ascii="Times New Roman" w:hAnsi="Times New Roman"/>
          <w:szCs w:val="22"/>
          <w:lang w:val="fr-CA"/>
        </w:rPr>
        <w:t>La première réunion ordinaire du Comité consultatif se tiendra au siège du SG/OEA, à moins qu’un État partie n’offre d’accueillir celle-ci, à une date qui sera convenue au sein de la Commission sur la sécurité continentale et approuvée par les États parties par l’intermédiaire de leurs missions permanentes près l'OEA au sein du Conseil permanent.</w:t>
      </w:r>
    </w:p>
    <w:p w14:paraId="4BA2EEF0" w14:textId="77777777" w:rsidR="00367B2E" w:rsidRPr="00205AEA" w:rsidRDefault="00367B2E" w:rsidP="00205AEA">
      <w:pPr>
        <w:widowControl/>
        <w:tabs>
          <w:tab w:val="left" w:pos="720"/>
        </w:tabs>
        <w:jc w:val="both"/>
        <w:rPr>
          <w:rFonts w:ascii="Times New Roman" w:hAnsi="Times New Roman"/>
          <w:szCs w:val="22"/>
          <w:lang w:val="fr-FR"/>
        </w:rPr>
      </w:pPr>
    </w:p>
    <w:p w14:paraId="44B53C16" w14:textId="77777777" w:rsidR="00367B2E" w:rsidRPr="00205AEA" w:rsidRDefault="00367B2E" w:rsidP="00205AEA">
      <w:pPr>
        <w:widowControl/>
        <w:ind w:firstLine="720"/>
        <w:jc w:val="both"/>
        <w:rPr>
          <w:rFonts w:ascii="Times New Roman" w:hAnsi="Times New Roman"/>
          <w:szCs w:val="22"/>
          <w:lang w:val="fr-CA"/>
        </w:rPr>
      </w:pPr>
      <w:r w:rsidRPr="00205AEA">
        <w:rPr>
          <w:rFonts w:ascii="Times New Roman" w:hAnsi="Times New Roman"/>
          <w:szCs w:val="22"/>
          <w:lang w:val="fr-CA"/>
        </w:rPr>
        <w:t xml:space="preserve">Le lieu des réunions du Comité consultatif est arrêté </w:t>
      </w:r>
      <w:proofErr w:type="gramStart"/>
      <w:r w:rsidRPr="00205AEA">
        <w:rPr>
          <w:rFonts w:ascii="Times New Roman" w:hAnsi="Times New Roman"/>
          <w:szCs w:val="22"/>
          <w:lang w:val="fr-CA"/>
        </w:rPr>
        <w:t>suite à</w:t>
      </w:r>
      <w:proofErr w:type="gramEnd"/>
      <w:r w:rsidRPr="00205AEA">
        <w:rPr>
          <w:rFonts w:ascii="Times New Roman" w:hAnsi="Times New Roman"/>
          <w:szCs w:val="22"/>
          <w:lang w:val="fr-CA"/>
        </w:rPr>
        <w:t xml:space="preserve"> la décision des États parties à la réunion ordinaire antérieure. En l’absence d’une offre d’accueil, le Comité consultatif se réunit au siège du SG/OEA.</w:t>
      </w:r>
    </w:p>
    <w:p w14:paraId="77CEFC18" w14:textId="77777777" w:rsidR="00367B2E" w:rsidRPr="00205AEA" w:rsidRDefault="00367B2E" w:rsidP="00205AEA">
      <w:pPr>
        <w:widowControl/>
        <w:tabs>
          <w:tab w:val="left" w:pos="-720"/>
        </w:tabs>
        <w:jc w:val="both"/>
        <w:rPr>
          <w:rFonts w:ascii="Times New Roman" w:hAnsi="Times New Roman"/>
          <w:szCs w:val="22"/>
          <w:lang w:val="fr-FR"/>
        </w:rPr>
      </w:pPr>
    </w:p>
    <w:p w14:paraId="5AAA1855" w14:textId="3F6C7FF2"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 SG/OEA, en plus de ses fonctions de dépositaire de la Convention conformément à l’article XIV de celle-ci, fournit au Comité consultatif les services de secrétariat et le soutien dont il a besoin pour s'acquitter de son mandat.</w:t>
      </w:r>
    </w:p>
    <w:p w14:paraId="4A745935" w14:textId="77777777" w:rsidR="00367B2E" w:rsidRPr="00205AEA" w:rsidRDefault="00367B2E" w:rsidP="00205AEA">
      <w:pPr>
        <w:widowControl/>
        <w:tabs>
          <w:tab w:val="left" w:pos="-720"/>
        </w:tabs>
        <w:jc w:val="both"/>
        <w:rPr>
          <w:rFonts w:ascii="Times New Roman" w:hAnsi="Times New Roman"/>
          <w:bCs/>
          <w:spacing w:val="-2"/>
          <w:szCs w:val="22"/>
          <w:lang w:val="fr-FR"/>
        </w:rPr>
      </w:pPr>
    </w:p>
    <w:p w14:paraId="6C8F2868" w14:textId="77777777" w:rsidR="00367B2E" w:rsidRPr="00205AEA" w:rsidRDefault="00367B2E" w:rsidP="00205AEA">
      <w:pPr>
        <w:widowControl/>
        <w:tabs>
          <w:tab w:val="left" w:pos="-720"/>
        </w:tabs>
        <w:jc w:val="both"/>
        <w:rPr>
          <w:rFonts w:ascii="Times New Roman" w:hAnsi="Times New Roman"/>
          <w:b/>
          <w:spacing w:val="-2"/>
          <w:szCs w:val="22"/>
          <w:lang w:val="fr-CA"/>
        </w:rPr>
      </w:pPr>
      <w:r w:rsidRPr="00205AEA">
        <w:rPr>
          <w:rFonts w:ascii="Times New Roman" w:hAnsi="Times New Roman"/>
          <w:b/>
          <w:szCs w:val="22"/>
          <w:lang w:val="fr-CA"/>
        </w:rPr>
        <w:t>Article 9</w:t>
      </w:r>
    </w:p>
    <w:p w14:paraId="4B0E1C09"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75661A7"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 quorum requis pour la tenue d’une réunion du Comité consultatif est constitué de plus d’un tiers de ses membres.</w:t>
      </w:r>
    </w:p>
    <w:p w14:paraId="47ED4272" w14:textId="77777777" w:rsidR="00367B2E" w:rsidRPr="00205AEA" w:rsidRDefault="00367B2E" w:rsidP="00205AEA">
      <w:pPr>
        <w:widowControl/>
        <w:tabs>
          <w:tab w:val="left" w:pos="-720"/>
        </w:tabs>
        <w:jc w:val="both"/>
        <w:rPr>
          <w:rFonts w:ascii="Times New Roman" w:hAnsi="Times New Roman"/>
          <w:bCs/>
          <w:spacing w:val="-2"/>
          <w:szCs w:val="22"/>
          <w:lang w:val="fr-FR"/>
        </w:rPr>
      </w:pPr>
    </w:p>
    <w:p w14:paraId="741AF623" w14:textId="77777777" w:rsidR="00367B2E" w:rsidRPr="00205AEA" w:rsidRDefault="00367B2E" w:rsidP="00205AEA">
      <w:pPr>
        <w:widowControl/>
        <w:tabs>
          <w:tab w:val="left" w:pos="-720"/>
        </w:tabs>
        <w:jc w:val="both"/>
        <w:rPr>
          <w:rFonts w:ascii="Times New Roman" w:hAnsi="Times New Roman"/>
          <w:b/>
          <w:spacing w:val="-2"/>
          <w:szCs w:val="22"/>
          <w:lang w:val="fr-CA"/>
        </w:rPr>
      </w:pPr>
      <w:r w:rsidRPr="00205AEA">
        <w:rPr>
          <w:rFonts w:ascii="Times New Roman" w:hAnsi="Times New Roman"/>
          <w:b/>
          <w:szCs w:val="22"/>
          <w:lang w:val="fr-CA"/>
        </w:rPr>
        <w:t>Article 10</w:t>
      </w:r>
    </w:p>
    <w:p w14:paraId="49619E0A" w14:textId="77777777" w:rsidR="00367B2E" w:rsidRPr="00205AEA" w:rsidRDefault="00367B2E" w:rsidP="00205AEA">
      <w:pPr>
        <w:widowControl/>
        <w:tabs>
          <w:tab w:val="left" w:pos="-720"/>
        </w:tabs>
        <w:jc w:val="both"/>
        <w:rPr>
          <w:rFonts w:ascii="Times New Roman" w:hAnsi="Times New Roman"/>
          <w:bCs/>
          <w:spacing w:val="-2"/>
          <w:szCs w:val="22"/>
          <w:lang w:val="fr-FR"/>
        </w:rPr>
      </w:pPr>
    </w:p>
    <w:p w14:paraId="07956C03" w14:textId="77777777" w:rsidR="00D1648A" w:rsidRPr="00205AEA" w:rsidRDefault="00367B2E" w:rsidP="00205AEA">
      <w:pPr>
        <w:widowControl/>
        <w:ind w:firstLine="720"/>
        <w:jc w:val="both"/>
        <w:rPr>
          <w:rFonts w:ascii="Times New Roman" w:hAnsi="Times New Roman"/>
          <w:szCs w:val="22"/>
          <w:lang w:val="fr-CA"/>
        </w:rPr>
      </w:pPr>
      <w:r w:rsidRPr="00205AEA">
        <w:rPr>
          <w:rFonts w:ascii="Times New Roman" w:hAnsi="Times New Roman"/>
          <w:szCs w:val="22"/>
          <w:lang w:val="fr-CA"/>
        </w:rPr>
        <w:t>Lors des délibérations du Comité consultatif, chaque représentant dispose d'une voix. Les décisions sont prises à la majorité des représentants des États parties et ont un caractère de recommandation.</w:t>
      </w:r>
    </w:p>
    <w:p w14:paraId="40F8D341" w14:textId="71BA6655" w:rsidR="00367B2E" w:rsidRPr="00205AEA" w:rsidRDefault="00367B2E" w:rsidP="00205AEA">
      <w:pPr>
        <w:widowControl/>
        <w:tabs>
          <w:tab w:val="left" w:pos="-720"/>
        </w:tabs>
        <w:jc w:val="both"/>
        <w:rPr>
          <w:rFonts w:ascii="Times New Roman" w:hAnsi="Times New Roman"/>
          <w:spacing w:val="-2"/>
          <w:szCs w:val="22"/>
          <w:lang w:val="fr-CA"/>
        </w:rPr>
      </w:pPr>
    </w:p>
    <w:p w14:paraId="24CD347D" w14:textId="77777777" w:rsidR="00367B2E" w:rsidRPr="00205AEA" w:rsidRDefault="00367B2E" w:rsidP="00205AEA">
      <w:pPr>
        <w:widowControl/>
        <w:tabs>
          <w:tab w:val="left" w:pos="-720"/>
        </w:tabs>
        <w:jc w:val="both"/>
        <w:rPr>
          <w:rFonts w:ascii="Times New Roman" w:hAnsi="Times New Roman"/>
          <w:b/>
          <w:spacing w:val="-2"/>
          <w:szCs w:val="22"/>
          <w:lang w:val="fr-CA"/>
        </w:rPr>
      </w:pPr>
      <w:r w:rsidRPr="00205AEA">
        <w:rPr>
          <w:rFonts w:ascii="Times New Roman" w:hAnsi="Times New Roman"/>
          <w:b/>
          <w:szCs w:val="22"/>
          <w:lang w:val="fr-CA"/>
        </w:rPr>
        <w:t>Article 11</w:t>
      </w:r>
    </w:p>
    <w:p w14:paraId="6F636B03" w14:textId="77777777" w:rsidR="00367B2E" w:rsidRPr="00205AEA" w:rsidRDefault="00367B2E" w:rsidP="00205AEA">
      <w:pPr>
        <w:widowControl/>
        <w:tabs>
          <w:tab w:val="left" w:pos="-720"/>
        </w:tabs>
        <w:jc w:val="both"/>
        <w:rPr>
          <w:rFonts w:ascii="Times New Roman" w:hAnsi="Times New Roman"/>
          <w:b/>
          <w:spacing w:val="-2"/>
          <w:szCs w:val="22"/>
          <w:lang w:val="fr-FR"/>
        </w:rPr>
      </w:pPr>
    </w:p>
    <w:p w14:paraId="540D367E"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Le Comité consultatif est tenu de préserver la confidentialité de toute information qu’il reçoit dans l’exercice de ses attributions, si la demande lui en est faite.</w:t>
      </w:r>
    </w:p>
    <w:p w14:paraId="3D55D26F" w14:textId="77777777" w:rsidR="00D1648A" w:rsidRPr="00205AEA" w:rsidRDefault="00D1648A" w:rsidP="00205AEA">
      <w:pPr>
        <w:widowControl/>
        <w:tabs>
          <w:tab w:val="left" w:pos="-720"/>
        </w:tabs>
        <w:jc w:val="both"/>
        <w:rPr>
          <w:rFonts w:ascii="Times New Roman" w:hAnsi="Times New Roman"/>
          <w:b/>
          <w:szCs w:val="22"/>
          <w:lang w:val="fr-CA"/>
        </w:rPr>
      </w:pPr>
    </w:p>
    <w:p w14:paraId="19F068E7" w14:textId="0A5D6E1C" w:rsidR="00367B2E" w:rsidRPr="00205AEA" w:rsidRDefault="00367B2E" w:rsidP="00205AEA">
      <w:pPr>
        <w:widowControl/>
        <w:tabs>
          <w:tab w:val="left" w:pos="-720"/>
        </w:tabs>
        <w:jc w:val="both"/>
        <w:rPr>
          <w:rFonts w:ascii="Times New Roman" w:hAnsi="Times New Roman"/>
          <w:b/>
          <w:szCs w:val="22"/>
          <w:lang w:val="fr-CA"/>
        </w:rPr>
      </w:pPr>
      <w:r w:rsidRPr="00205AEA">
        <w:rPr>
          <w:rFonts w:ascii="Times New Roman" w:hAnsi="Times New Roman"/>
          <w:b/>
          <w:szCs w:val="22"/>
          <w:lang w:val="fr-CA"/>
        </w:rPr>
        <w:t>Article 12</w:t>
      </w:r>
    </w:p>
    <w:p w14:paraId="36F51353" w14:textId="77777777" w:rsidR="00367B2E" w:rsidRPr="00205AEA" w:rsidRDefault="00367B2E" w:rsidP="00205AEA">
      <w:pPr>
        <w:widowControl/>
        <w:tabs>
          <w:tab w:val="left" w:pos="-720"/>
        </w:tabs>
        <w:jc w:val="both"/>
        <w:rPr>
          <w:rFonts w:ascii="Times New Roman" w:hAnsi="Times New Roman"/>
          <w:spacing w:val="-2"/>
          <w:szCs w:val="22"/>
          <w:lang w:val="fr-FR"/>
        </w:rPr>
      </w:pPr>
    </w:p>
    <w:p w14:paraId="72F333D6" w14:textId="77777777" w:rsidR="00367B2E" w:rsidRPr="00205AEA" w:rsidRDefault="00367B2E" w:rsidP="00AD6624">
      <w:pPr>
        <w:widowControl/>
        <w:ind w:firstLine="720"/>
        <w:jc w:val="both"/>
        <w:rPr>
          <w:rFonts w:ascii="Times New Roman" w:hAnsi="Times New Roman"/>
          <w:szCs w:val="22"/>
          <w:lang w:val="fr-CA"/>
        </w:rPr>
      </w:pPr>
      <w:r w:rsidRPr="00205AEA">
        <w:rPr>
          <w:rFonts w:ascii="Times New Roman" w:hAnsi="Times New Roman"/>
          <w:szCs w:val="22"/>
          <w:lang w:val="fr-CA"/>
        </w:rPr>
        <w:t>Les langues de travail du Comité consultatif sont les langues officielles de l’OEA.</w:t>
      </w:r>
    </w:p>
    <w:p w14:paraId="77188D07" w14:textId="77777777" w:rsidR="00367B2E" w:rsidRPr="00205AEA" w:rsidRDefault="00367B2E" w:rsidP="00205AEA">
      <w:pPr>
        <w:widowControl/>
        <w:tabs>
          <w:tab w:val="left" w:pos="-720"/>
        </w:tabs>
        <w:jc w:val="both"/>
        <w:rPr>
          <w:rFonts w:ascii="Times New Roman" w:hAnsi="Times New Roman"/>
          <w:szCs w:val="22"/>
          <w:lang w:val="fr-FR"/>
        </w:rPr>
      </w:pPr>
    </w:p>
    <w:p w14:paraId="03E74227" w14:textId="77777777" w:rsidR="00367B2E" w:rsidRPr="00205AEA" w:rsidRDefault="00367B2E" w:rsidP="00205AEA">
      <w:pPr>
        <w:keepNext/>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lastRenderedPageBreak/>
        <w:t>Article 13</w:t>
      </w:r>
    </w:p>
    <w:p w14:paraId="59E18857" w14:textId="77777777" w:rsidR="00367B2E" w:rsidRPr="00205AEA" w:rsidRDefault="00367B2E" w:rsidP="00205AEA">
      <w:pPr>
        <w:keepNext/>
        <w:widowControl/>
        <w:tabs>
          <w:tab w:val="left" w:pos="-720"/>
        </w:tabs>
        <w:jc w:val="both"/>
        <w:rPr>
          <w:rFonts w:ascii="Times New Roman" w:hAnsi="Times New Roman"/>
          <w:spacing w:val="-2"/>
          <w:szCs w:val="22"/>
          <w:lang w:val="fr-FR"/>
        </w:rPr>
      </w:pPr>
    </w:p>
    <w:p w14:paraId="3C3857F5" w14:textId="77777777" w:rsidR="00367B2E" w:rsidRPr="00205AEA" w:rsidRDefault="00367B2E" w:rsidP="00205AEA">
      <w:pPr>
        <w:widowControl/>
        <w:ind w:firstLine="720"/>
        <w:jc w:val="both"/>
        <w:rPr>
          <w:rFonts w:ascii="Times New Roman" w:hAnsi="Times New Roman"/>
          <w:spacing w:val="-2"/>
          <w:szCs w:val="22"/>
          <w:lang w:val="fr-CA"/>
        </w:rPr>
      </w:pPr>
      <w:r w:rsidRPr="00205AEA">
        <w:rPr>
          <w:rFonts w:ascii="Times New Roman" w:hAnsi="Times New Roman"/>
          <w:szCs w:val="22"/>
          <w:lang w:val="fr-CA"/>
        </w:rPr>
        <w:t xml:space="preserve">Les réunions sont présidées par l’État partie qui assure le Secrétariat </w:t>
      </w:r>
      <w:r w:rsidRPr="00205AEA">
        <w:rPr>
          <w:rFonts w:ascii="Times New Roman" w:hAnsi="Times New Roman"/>
          <w:i/>
          <w:iCs/>
          <w:szCs w:val="22"/>
          <w:lang w:val="fr-CA"/>
        </w:rPr>
        <w:t>pro tempore</w:t>
      </w:r>
      <w:r w:rsidRPr="00205AEA">
        <w:rPr>
          <w:rFonts w:ascii="Times New Roman" w:hAnsi="Times New Roman"/>
          <w:szCs w:val="22"/>
          <w:lang w:val="fr-CA"/>
        </w:rPr>
        <w:t>.</w:t>
      </w:r>
    </w:p>
    <w:p w14:paraId="5893307D" w14:textId="77777777" w:rsidR="00367B2E" w:rsidRPr="00205AEA" w:rsidRDefault="00367B2E" w:rsidP="00205AEA">
      <w:pPr>
        <w:widowControl/>
        <w:tabs>
          <w:tab w:val="left" w:pos="-720"/>
        </w:tabs>
        <w:jc w:val="both"/>
        <w:rPr>
          <w:rFonts w:ascii="Times New Roman" w:hAnsi="Times New Roman"/>
          <w:spacing w:val="-2"/>
          <w:szCs w:val="22"/>
          <w:lang w:val="fr-FR"/>
        </w:rPr>
      </w:pPr>
    </w:p>
    <w:p w14:paraId="21B80720"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CHAPITRE V</w:t>
      </w:r>
    </w:p>
    <w:p w14:paraId="2BF616B1" w14:textId="77777777" w:rsidR="00367B2E" w:rsidRPr="00205AEA" w:rsidRDefault="00367B2E" w:rsidP="00205AEA">
      <w:pPr>
        <w:widowControl/>
        <w:tabs>
          <w:tab w:val="center" w:pos="3960"/>
        </w:tabs>
        <w:jc w:val="center"/>
        <w:rPr>
          <w:rFonts w:ascii="Times New Roman" w:hAnsi="Times New Roman"/>
          <w:b/>
          <w:spacing w:val="-2"/>
          <w:szCs w:val="22"/>
          <w:lang w:val="fr-CA"/>
        </w:rPr>
      </w:pPr>
      <w:r w:rsidRPr="00205AEA">
        <w:rPr>
          <w:rFonts w:ascii="Times New Roman" w:hAnsi="Times New Roman"/>
          <w:szCs w:val="22"/>
          <w:lang w:val="fr-CA"/>
        </w:rPr>
        <w:t>BUDGET ET FINANCES</w:t>
      </w:r>
    </w:p>
    <w:p w14:paraId="1AD14365" w14:textId="77777777" w:rsidR="00367B2E" w:rsidRPr="00205AEA" w:rsidRDefault="00367B2E" w:rsidP="00205AEA">
      <w:pPr>
        <w:widowControl/>
        <w:tabs>
          <w:tab w:val="left" w:pos="-720"/>
        </w:tabs>
        <w:jc w:val="both"/>
        <w:rPr>
          <w:rFonts w:ascii="Times New Roman" w:hAnsi="Times New Roman"/>
          <w:spacing w:val="-2"/>
          <w:szCs w:val="22"/>
          <w:lang w:val="fr-FR"/>
        </w:rPr>
      </w:pPr>
    </w:p>
    <w:p w14:paraId="69132AEB" w14:textId="77777777" w:rsidR="00367B2E" w:rsidRPr="00205AEA" w:rsidRDefault="00367B2E" w:rsidP="00205AEA">
      <w:pPr>
        <w:widowControl/>
        <w:tabs>
          <w:tab w:val="left" w:pos="-720"/>
        </w:tabs>
        <w:jc w:val="both"/>
        <w:rPr>
          <w:rFonts w:ascii="Times New Roman" w:hAnsi="Times New Roman"/>
          <w:b/>
          <w:spacing w:val="-2"/>
          <w:szCs w:val="22"/>
          <w:lang w:val="fr-CA"/>
        </w:rPr>
      </w:pPr>
      <w:r w:rsidRPr="00205AEA">
        <w:rPr>
          <w:rFonts w:ascii="Times New Roman" w:hAnsi="Times New Roman"/>
          <w:b/>
          <w:szCs w:val="22"/>
          <w:lang w:val="fr-CA"/>
        </w:rPr>
        <w:t>Article 14</w:t>
      </w:r>
    </w:p>
    <w:p w14:paraId="1F62602D" w14:textId="77777777" w:rsidR="00367B2E" w:rsidRPr="00205AEA" w:rsidRDefault="00367B2E" w:rsidP="00205AEA">
      <w:pPr>
        <w:widowControl/>
        <w:tabs>
          <w:tab w:val="left" w:pos="-720"/>
        </w:tabs>
        <w:jc w:val="both"/>
        <w:rPr>
          <w:rFonts w:ascii="Times New Roman" w:hAnsi="Times New Roman"/>
          <w:spacing w:val="-2"/>
          <w:szCs w:val="22"/>
          <w:lang w:val="fr-FR"/>
        </w:rPr>
      </w:pPr>
    </w:p>
    <w:p w14:paraId="1C1059EB" w14:textId="77777777" w:rsidR="00367B2E" w:rsidRPr="00205AEA" w:rsidRDefault="00367B2E" w:rsidP="00205AEA">
      <w:pPr>
        <w:widowControl/>
        <w:ind w:firstLine="720"/>
        <w:jc w:val="both"/>
        <w:rPr>
          <w:rFonts w:ascii="Times New Roman" w:hAnsi="Times New Roman"/>
          <w:szCs w:val="22"/>
          <w:lang w:val="fr-CA"/>
        </w:rPr>
      </w:pPr>
      <w:r w:rsidRPr="00205AEA">
        <w:rPr>
          <w:rFonts w:ascii="Times New Roman" w:hAnsi="Times New Roman"/>
          <w:szCs w:val="22"/>
          <w:lang w:val="fr-CA"/>
        </w:rPr>
        <w:t xml:space="preserve">Le Comité consultatif, par l’intermédiaire de l’État partie faisant office de Secrétariat </w:t>
      </w:r>
      <w:r w:rsidRPr="00205AEA">
        <w:rPr>
          <w:rFonts w:ascii="Times New Roman" w:hAnsi="Times New Roman"/>
          <w:i/>
          <w:iCs/>
          <w:szCs w:val="22"/>
          <w:lang w:val="fr-CA"/>
        </w:rPr>
        <w:t>pro tempore</w:t>
      </w:r>
      <w:r w:rsidRPr="00205AEA">
        <w:rPr>
          <w:rFonts w:ascii="Times New Roman" w:hAnsi="Times New Roman"/>
          <w:szCs w:val="22"/>
          <w:lang w:val="fr-CA"/>
        </w:rPr>
        <w:t>, est habilité à recevoir des contributions volontaires de tout État ou organisme international pour l’accomplissement de ses attributions, selon les modalités convenues par les États parties.</w:t>
      </w:r>
    </w:p>
    <w:p w14:paraId="3A564F5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1C2F3EB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5B86829E" w14:textId="77777777" w:rsidR="00367B2E" w:rsidRPr="00205AEA" w:rsidRDefault="00367B2E" w:rsidP="00205AEA">
      <w:pPr>
        <w:widowControl/>
        <w:tabs>
          <w:tab w:val="center" w:pos="3960"/>
        </w:tabs>
        <w:jc w:val="center"/>
        <w:rPr>
          <w:rFonts w:ascii="Times New Roman" w:hAnsi="Times New Roman"/>
          <w:spacing w:val="-2"/>
          <w:szCs w:val="22"/>
          <w:lang w:val="fr-CA"/>
        </w:rPr>
      </w:pPr>
      <w:r w:rsidRPr="00205AEA">
        <w:rPr>
          <w:rFonts w:ascii="Times New Roman" w:hAnsi="Times New Roman"/>
          <w:szCs w:val="22"/>
          <w:lang w:val="fr-CA"/>
        </w:rPr>
        <w:t>CHAPITRE VI</w:t>
      </w:r>
    </w:p>
    <w:p w14:paraId="524DDCCF" w14:textId="77777777" w:rsidR="00367B2E" w:rsidRPr="00205AEA" w:rsidRDefault="00367B2E" w:rsidP="00205AEA">
      <w:pPr>
        <w:widowControl/>
        <w:tabs>
          <w:tab w:val="center" w:pos="3960"/>
        </w:tabs>
        <w:jc w:val="center"/>
        <w:rPr>
          <w:rFonts w:ascii="Times New Roman" w:hAnsi="Times New Roman"/>
          <w:b/>
          <w:spacing w:val="-2"/>
          <w:szCs w:val="22"/>
          <w:lang w:val="fr-CA"/>
        </w:rPr>
      </w:pPr>
      <w:r w:rsidRPr="00205AEA">
        <w:rPr>
          <w:rFonts w:ascii="Times New Roman" w:hAnsi="Times New Roman"/>
          <w:szCs w:val="22"/>
          <w:lang w:val="fr-CA"/>
        </w:rPr>
        <w:t>RÈGLEMENT INTÉRIEUR</w:t>
      </w:r>
    </w:p>
    <w:p w14:paraId="101CE33E" w14:textId="77777777" w:rsidR="00367B2E" w:rsidRPr="00205AEA" w:rsidRDefault="00367B2E" w:rsidP="00205AEA">
      <w:pPr>
        <w:widowControl/>
        <w:tabs>
          <w:tab w:val="left" w:pos="-720"/>
        </w:tabs>
        <w:jc w:val="both"/>
        <w:rPr>
          <w:rFonts w:ascii="Times New Roman" w:hAnsi="Times New Roman"/>
          <w:bCs/>
          <w:spacing w:val="-2"/>
          <w:szCs w:val="22"/>
          <w:lang w:val="fr-FR"/>
        </w:rPr>
      </w:pPr>
    </w:p>
    <w:p w14:paraId="3F468688" w14:textId="77777777" w:rsidR="00367B2E" w:rsidRPr="00205AEA" w:rsidRDefault="00367B2E" w:rsidP="00205AEA">
      <w:pPr>
        <w:widowControl/>
        <w:tabs>
          <w:tab w:val="left" w:pos="-720"/>
        </w:tabs>
        <w:jc w:val="both"/>
        <w:rPr>
          <w:rFonts w:ascii="Times New Roman" w:hAnsi="Times New Roman"/>
          <w:b/>
          <w:spacing w:val="-2"/>
          <w:szCs w:val="22"/>
          <w:lang w:val="fr-CA"/>
        </w:rPr>
      </w:pPr>
      <w:r w:rsidRPr="00205AEA">
        <w:rPr>
          <w:rFonts w:ascii="Times New Roman" w:hAnsi="Times New Roman"/>
          <w:b/>
          <w:szCs w:val="22"/>
          <w:lang w:val="fr-CA"/>
        </w:rPr>
        <w:t>Article 15</w:t>
      </w:r>
    </w:p>
    <w:p w14:paraId="0FA3F46A" w14:textId="77777777" w:rsidR="00367B2E" w:rsidRPr="00205AEA" w:rsidRDefault="00367B2E" w:rsidP="00205AEA">
      <w:pPr>
        <w:widowControl/>
        <w:tabs>
          <w:tab w:val="left" w:pos="-720"/>
        </w:tabs>
        <w:jc w:val="both"/>
        <w:rPr>
          <w:rFonts w:ascii="Times New Roman" w:hAnsi="Times New Roman"/>
          <w:bCs/>
          <w:szCs w:val="22"/>
          <w:lang w:val="fr-FR"/>
        </w:rPr>
      </w:pPr>
    </w:p>
    <w:p w14:paraId="1FE4344B" w14:textId="7DEA44E0" w:rsidR="00367B2E" w:rsidRPr="00205AEA" w:rsidRDefault="00367B2E" w:rsidP="00205AEA">
      <w:pPr>
        <w:widowControl/>
        <w:ind w:firstLine="720"/>
        <w:jc w:val="both"/>
        <w:rPr>
          <w:rFonts w:ascii="Times New Roman" w:hAnsi="Times New Roman"/>
          <w:szCs w:val="22"/>
          <w:lang w:val="fr-CA"/>
        </w:rPr>
      </w:pPr>
      <w:r w:rsidRPr="00205AEA">
        <w:rPr>
          <w:rFonts w:ascii="Times New Roman" w:hAnsi="Times New Roman"/>
          <w:szCs w:val="22"/>
          <w:lang w:val="fr-CA"/>
        </w:rPr>
        <w:t>Le présent Règlement intérieur est approuvé par l</w:t>
      </w:r>
      <w:r w:rsidR="00D1648A" w:rsidRPr="00205AEA">
        <w:rPr>
          <w:rFonts w:ascii="Times New Roman" w:hAnsi="Times New Roman"/>
          <w:szCs w:val="22"/>
          <w:lang w:val="fr-CA"/>
        </w:rPr>
        <w:t>a Conférence des États parties</w:t>
      </w:r>
      <w:r w:rsidRPr="00205AEA">
        <w:rPr>
          <w:rFonts w:ascii="Times New Roman" w:hAnsi="Times New Roman"/>
          <w:szCs w:val="22"/>
          <w:lang w:val="fr-CA"/>
        </w:rPr>
        <w:t xml:space="preserve">. L’approbation et les éventuelles modifications du Règlement sont soumises </w:t>
      </w:r>
      <w:r w:rsidR="00D1648A" w:rsidRPr="00205AEA">
        <w:rPr>
          <w:rFonts w:ascii="Times New Roman" w:hAnsi="Times New Roman"/>
          <w:szCs w:val="22"/>
          <w:lang w:val="fr-CA"/>
        </w:rPr>
        <w:t>au quorum constitué par les deux tiers des États parties présents à la Conférence</w:t>
      </w:r>
      <w:r w:rsidRPr="00205AEA">
        <w:rPr>
          <w:rFonts w:ascii="Times New Roman" w:hAnsi="Times New Roman"/>
          <w:szCs w:val="22"/>
          <w:lang w:val="fr-CA"/>
        </w:rPr>
        <w:t>.</w:t>
      </w:r>
    </w:p>
    <w:p w14:paraId="10B6D40D" w14:textId="77777777" w:rsidR="00367B2E" w:rsidRPr="00205AEA" w:rsidRDefault="00367B2E" w:rsidP="00205AEA">
      <w:pPr>
        <w:widowControl/>
        <w:tabs>
          <w:tab w:val="left" w:pos="-720"/>
        </w:tabs>
        <w:jc w:val="both"/>
        <w:rPr>
          <w:rFonts w:ascii="Times New Roman" w:hAnsi="Times New Roman"/>
          <w:bCs/>
          <w:spacing w:val="-2"/>
          <w:szCs w:val="22"/>
          <w:lang w:val="fr-FR"/>
        </w:rPr>
      </w:pPr>
    </w:p>
    <w:p w14:paraId="50F1B00B" w14:textId="77777777" w:rsidR="00367B2E" w:rsidRPr="00205AEA" w:rsidRDefault="00367B2E" w:rsidP="00205AEA">
      <w:pPr>
        <w:widowControl/>
        <w:tabs>
          <w:tab w:val="left" w:pos="-720"/>
        </w:tabs>
        <w:jc w:val="both"/>
        <w:rPr>
          <w:rFonts w:ascii="Times New Roman" w:hAnsi="Times New Roman"/>
          <w:spacing w:val="-2"/>
          <w:szCs w:val="22"/>
          <w:lang w:val="fr-CA"/>
        </w:rPr>
      </w:pPr>
      <w:r w:rsidRPr="00205AEA">
        <w:rPr>
          <w:rFonts w:ascii="Times New Roman" w:hAnsi="Times New Roman"/>
          <w:b/>
          <w:szCs w:val="22"/>
          <w:lang w:val="fr-CA"/>
        </w:rPr>
        <w:t>Article 16</w:t>
      </w:r>
    </w:p>
    <w:p w14:paraId="62FB6E1C" w14:textId="77777777" w:rsidR="00367B2E" w:rsidRPr="00205AEA" w:rsidRDefault="00367B2E" w:rsidP="00205AEA">
      <w:pPr>
        <w:widowControl/>
        <w:tabs>
          <w:tab w:val="left" w:pos="-720"/>
        </w:tabs>
        <w:jc w:val="both"/>
        <w:rPr>
          <w:rFonts w:ascii="Times New Roman" w:hAnsi="Times New Roman"/>
          <w:spacing w:val="-2"/>
          <w:szCs w:val="22"/>
          <w:lang w:val="fr-FR"/>
        </w:rPr>
      </w:pPr>
    </w:p>
    <w:p w14:paraId="6356854C" w14:textId="2BBA6B9F" w:rsidR="001557A5" w:rsidRPr="00205AEA" w:rsidRDefault="00367B2E" w:rsidP="00205AEA">
      <w:pPr>
        <w:widowControl/>
        <w:ind w:firstLine="720"/>
        <w:jc w:val="both"/>
        <w:rPr>
          <w:rFonts w:ascii="Times New Roman" w:hAnsi="Times New Roman"/>
          <w:b/>
          <w:spacing w:val="-2"/>
          <w:szCs w:val="22"/>
          <w:lang w:val="fr-CA"/>
        </w:rPr>
      </w:pPr>
      <w:r w:rsidRPr="00205AEA">
        <w:rPr>
          <w:rFonts w:ascii="Times New Roman" w:hAnsi="Times New Roman"/>
          <w:szCs w:val="22"/>
          <w:lang w:val="fr-CA"/>
        </w:rPr>
        <w:t>Le présent Règlement intérieur entre en vigueur à la date de son adoption par le Comité consultatif.</w:t>
      </w:r>
      <w:r w:rsidR="00047C91" w:rsidRPr="00205AEA">
        <w:rPr>
          <w:rFonts w:ascii="Times New Roman" w:hAnsi="Times New Roman"/>
          <w:b/>
          <w:noProof/>
          <w:snapToGrid/>
          <w:spacing w:val="-2"/>
          <w:szCs w:val="22"/>
          <w:lang w:val="fr-CA"/>
        </w:rPr>
        <mc:AlternateContent>
          <mc:Choice Requires="wps">
            <w:drawing>
              <wp:anchor distT="0" distB="0" distL="114300" distR="114300" simplePos="0" relativeHeight="251659264" behindDoc="0" locked="1" layoutInCell="1" allowOverlap="1" wp14:anchorId="29BF6C62" wp14:editId="1C054E25">
                <wp:simplePos x="0" y="0"/>
                <wp:positionH relativeFrom="column">
                  <wp:posOffset>-93345</wp:posOffset>
                </wp:positionH>
                <wp:positionV relativeFrom="page">
                  <wp:posOffset>9144000</wp:posOffset>
                </wp:positionV>
                <wp:extent cx="12877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228600"/>
                        </a:xfrm>
                        <a:prstGeom prst="rect">
                          <a:avLst/>
                        </a:prstGeom>
                        <a:noFill/>
                        <a:ln w="9525" cap="flat" cmpd="sng" algn="ctr">
                          <a:noFill/>
                          <a:prstDash val="solid"/>
                          <a:round/>
                          <a:headEnd type="none" w="med" len="med"/>
                          <a:tailEnd type="none" w="med" len="med"/>
                        </a:ln>
                      </wps:spPr>
                      <wps:txbx>
                        <w:txbxContent>
                          <w:p w14:paraId="755E4DC1" w14:textId="08D75DE7" w:rsidR="00047C91" w:rsidRPr="00047C91" w:rsidRDefault="00047C9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225F9F">
                              <w:rPr>
                                <w:rFonts w:ascii="Times New Roman" w:hAnsi="Times New Roman"/>
                                <w:noProof/>
                                <w:sz w:val="18"/>
                              </w:rPr>
                              <w:t>DPASP00150F05</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F6C62" id="_x0000_t202" coordsize="21600,21600" o:spt="202" path="m,l,21600r21600,l21600,xe">
                <v:stroke joinstyle="miter"/>
                <v:path gradientshapeok="t" o:connecttype="rect"/>
              </v:shapetype>
              <v:shape id="Text Box 1" o:spid="_x0000_s1026" type="#_x0000_t202" style="position:absolute;left:0;text-align:left;margin-left:-7.35pt;margin-top:10in;width:10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" filled="f" stroked="f">
                <v:stroke joinstyle="round"/>
                <v:textbox>
                  <w:txbxContent>
                    <w:p w14:paraId="755E4DC1" w14:textId="08D75DE7" w:rsidR="00047C91" w:rsidRPr="00047C91" w:rsidRDefault="00047C9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225F9F">
                        <w:rPr>
                          <w:rFonts w:ascii="Times New Roman" w:hAnsi="Times New Roman"/>
                          <w:noProof/>
                          <w:sz w:val="18"/>
                        </w:rPr>
                        <w:t>DPASP00150F05</w:t>
                      </w:r>
                      <w:r>
                        <w:rPr>
                          <w:rFonts w:ascii="Times New Roman" w:hAnsi="Times New Roman"/>
                          <w:sz w:val="18"/>
                        </w:rPr>
                        <w:fldChar w:fldCharType="end"/>
                      </w:r>
                    </w:p>
                  </w:txbxContent>
                </v:textbox>
                <w10:wrap anchory="page"/>
                <w10:anchorlock/>
              </v:shape>
            </w:pict>
          </mc:Fallback>
        </mc:AlternateContent>
      </w:r>
    </w:p>
    <w:sectPr w:rsidR="001557A5" w:rsidRPr="00205AEA" w:rsidSect="00205AEA">
      <w:endnotePr>
        <w:numFmt w:val="decimal"/>
      </w:endnotePr>
      <w:type w:val="oddPage"/>
      <w:pgSz w:w="12240" w:h="15840"/>
      <w:pgMar w:top="2160" w:right="1570" w:bottom="1296" w:left="1699" w:header="1296" w:footer="129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77F9" w14:textId="77777777" w:rsidR="00152CD9" w:rsidRDefault="00152CD9">
      <w:pPr>
        <w:spacing w:line="20" w:lineRule="exact"/>
        <w:rPr>
          <w:sz w:val="24"/>
        </w:rPr>
      </w:pPr>
    </w:p>
  </w:endnote>
  <w:endnote w:type="continuationSeparator" w:id="0">
    <w:p w14:paraId="1A003413" w14:textId="77777777" w:rsidR="00152CD9" w:rsidRDefault="00152CD9">
      <w:r>
        <w:rPr>
          <w:sz w:val="24"/>
        </w:rPr>
        <w:t xml:space="preserve"> </w:t>
      </w:r>
    </w:p>
  </w:endnote>
  <w:endnote w:type="continuationNotice" w:id="1">
    <w:p w14:paraId="1F2F3BB5" w14:textId="77777777" w:rsidR="00152CD9" w:rsidRDefault="00152C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11p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A162" w14:textId="77777777" w:rsidR="00152CD9" w:rsidRDefault="00152CD9">
      <w:r>
        <w:rPr>
          <w:sz w:val="24"/>
        </w:rPr>
        <w:separator/>
      </w:r>
    </w:p>
  </w:footnote>
  <w:footnote w:type="continuationSeparator" w:id="0">
    <w:p w14:paraId="155BDF18" w14:textId="77777777" w:rsidR="00152CD9" w:rsidRDefault="001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8F81" w14:textId="77777777" w:rsidR="00BA3FC0" w:rsidRDefault="00BA3FC0">
    <w:pPr>
      <w:pStyle w:val="Header"/>
      <w:framePr w:wrap="around" w:vAnchor="text" w:hAnchor="margin" w:xAlign="center" w:y="1"/>
      <w:rPr>
        <w:rStyle w:val="PageNumber"/>
        <w:rFonts w:ascii="Times New Roman" w:hAnsi="Times New Roman"/>
      </w:rPr>
    </w:pPr>
    <w:r>
      <w:rPr>
        <w:rStyle w:val="PageNumbe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12DC7">
      <w:rPr>
        <w:rStyle w:val="PageNumber"/>
        <w:rFonts w:ascii="Times New Roman" w:hAnsi="Times New Roman"/>
        <w:noProof/>
      </w:rPr>
      <w:t>5</w:t>
    </w:r>
    <w:r>
      <w:rPr>
        <w:rStyle w:val="PageNumber"/>
        <w:rFonts w:ascii="Times New Roman" w:hAnsi="Times New Roman"/>
      </w:rPr>
      <w:fldChar w:fldCharType="end"/>
    </w:r>
    <w:r>
      <w:rPr>
        <w:rStyle w:val="PageNumber"/>
        <w:rFonts w:ascii="Times New Roman" w:hAnsi="Times New Roman"/>
      </w:rPr>
      <w:t xml:space="preserve"> -</w:t>
    </w:r>
  </w:p>
  <w:p w14:paraId="51D426A6" w14:textId="77777777" w:rsidR="00BA3FC0" w:rsidRDefault="00BA3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C42"/>
    <w:multiLevelType w:val="hybridMultilevel"/>
    <w:tmpl w:val="BAE46B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564CB"/>
    <w:multiLevelType w:val="hybridMultilevel"/>
    <w:tmpl w:val="CBFAC6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32584A"/>
    <w:multiLevelType w:val="hybridMultilevel"/>
    <w:tmpl w:val="CBFA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539393">
    <w:abstractNumId w:val="0"/>
  </w:num>
  <w:num w:numId="2" w16cid:durableId="175576935">
    <w:abstractNumId w:val="2"/>
  </w:num>
  <w:num w:numId="3" w16cid:durableId="1338773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MDI3NTa2NDMAAiUdpeDU4uLM/DyQAsNaAJ35teosAAAA"/>
  </w:docVars>
  <w:rsids>
    <w:rsidRoot w:val="00BA3FC0"/>
    <w:rsid w:val="00047C91"/>
    <w:rsid w:val="0007039A"/>
    <w:rsid w:val="00081B89"/>
    <w:rsid w:val="000B4EAB"/>
    <w:rsid w:val="00122532"/>
    <w:rsid w:val="0013343B"/>
    <w:rsid w:val="00147F15"/>
    <w:rsid w:val="00152CD9"/>
    <w:rsid w:val="001557A5"/>
    <w:rsid w:val="001857D4"/>
    <w:rsid w:val="00196A36"/>
    <w:rsid w:val="00200D02"/>
    <w:rsid w:val="00205AEA"/>
    <w:rsid w:val="00225F9F"/>
    <w:rsid w:val="002468D7"/>
    <w:rsid w:val="002A5E2D"/>
    <w:rsid w:val="002E5B6E"/>
    <w:rsid w:val="0030225E"/>
    <w:rsid w:val="00341199"/>
    <w:rsid w:val="00367B2E"/>
    <w:rsid w:val="0037300D"/>
    <w:rsid w:val="003A4975"/>
    <w:rsid w:val="003B311C"/>
    <w:rsid w:val="003D61B0"/>
    <w:rsid w:val="00405506"/>
    <w:rsid w:val="00426B0E"/>
    <w:rsid w:val="00433EF1"/>
    <w:rsid w:val="00464F93"/>
    <w:rsid w:val="00471E4E"/>
    <w:rsid w:val="00472A1F"/>
    <w:rsid w:val="00477A0B"/>
    <w:rsid w:val="004C7302"/>
    <w:rsid w:val="00527698"/>
    <w:rsid w:val="00563C6A"/>
    <w:rsid w:val="005B4AA3"/>
    <w:rsid w:val="005E28DB"/>
    <w:rsid w:val="00643058"/>
    <w:rsid w:val="006816C2"/>
    <w:rsid w:val="006D2940"/>
    <w:rsid w:val="006D3430"/>
    <w:rsid w:val="00706CEA"/>
    <w:rsid w:val="00744D1E"/>
    <w:rsid w:val="00745BE8"/>
    <w:rsid w:val="00750813"/>
    <w:rsid w:val="007A011F"/>
    <w:rsid w:val="007B2223"/>
    <w:rsid w:val="007C05C1"/>
    <w:rsid w:val="007D6888"/>
    <w:rsid w:val="007E0304"/>
    <w:rsid w:val="008430F8"/>
    <w:rsid w:val="008D6E4E"/>
    <w:rsid w:val="008E496B"/>
    <w:rsid w:val="009D6C6A"/>
    <w:rsid w:val="00A35F9B"/>
    <w:rsid w:val="00A4047A"/>
    <w:rsid w:val="00A7580C"/>
    <w:rsid w:val="00AD6624"/>
    <w:rsid w:val="00AE360E"/>
    <w:rsid w:val="00B30575"/>
    <w:rsid w:val="00B3372D"/>
    <w:rsid w:val="00B33CD7"/>
    <w:rsid w:val="00BA3FC0"/>
    <w:rsid w:val="00BB2DC2"/>
    <w:rsid w:val="00BE06EA"/>
    <w:rsid w:val="00C12DC7"/>
    <w:rsid w:val="00C21FD3"/>
    <w:rsid w:val="00C72467"/>
    <w:rsid w:val="00C96F96"/>
    <w:rsid w:val="00D1648A"/>
    <w:rsid w:val="00D34600"/>
    <w:rsid w:val="00D35FFB"/>
    <w:rsid w:val="00D44B57"/>
    <w:rsid w:val="00D65DB4"/>
    <w:rsid w:val="00D71FFD"/>
    <w:rsid w:val="00D84B5C"/>
    <w:rsid w:val="00DA2DA8"/>
    <w:rsid w:val="00DF73AA"/>
    <w:rsid w:val="00E648A7"/>
    <w:rsid w:val="00ED40D8"/>
    <w:rsid w:val="00F067C1"/>
    <w:rsid w:val="00F06CFF"/>
    <w:rsid w:val="00F22ACD"/>
    <w:rsid w:val="00F744FB"/>
    <w:rsid w:val="00FA0AC4"/>
    <w:rsid w:val="00FA7CE5"/>
    <w:rsid w:val="00FF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E0AC501"/>
  <w15:chartTrackingRefBased/>
  <w15:docId w15:val="{D509515F-BFED-4928-A3D6-DC764281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ms Rmn 11pt" w:hAnsi="Tms Rmn 11pt"/>
      <w:snapToGrid w:val="0"/>
      <w:sz w:val="22"/>
    </w:rPr>
  </w:style>
  <w:style w:type="paragraph" w:styleId="Heading1">
    <w:name w:val="heading 1"/>
    <w:basedOn w:val="Normal"/>
    <w:next w:val="Normal"/>
    <w:qFormat/>
    <w:pPr>
      <w:keepNext/>
      <w:tabs>
        <w:tab w:val="left" w:pos="-720"/>
      </w:tabs>
      <w:suppressAutoHyphens/>
      <w:jc w:val="both"/>
      <w:outlineLvl w:val="0"/>
    </w:pPr>
    <w:rPr>
      <w:rFonts w:ascii="CG Times" w:hAnsi="CG Times"/>
      <w:b/>
      <w:spacing w:val="-2"/>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pPr>
    <w:rPr>
      <w:rFonts w:ascii="CG Times" w:hAnsi="CG Times"/>
      <w:b/>
      <w:spacing w:val="-2"/>
      <w:lang w:val="es-CL"/>
    </w:rPr>
  </w:style>
  <w:style w:type="paragraph" w:styleId="BodyText2">
    <w:name w:val="Body Text 2"/>
    <w:basedOn w:val="Normal"/>
    <w:pPr>
      <w:tabs>
        <w:tab w:val="left" w:pos="720"/>
      </w:tabs>
      <w:jc w:val="both"/>
    </w:pPr>
    <w:rPr>
      <w:rFonts w:ascii="CG Times" w:hAnsi="CG Times"/>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Spacing">
    <w:name w:val="No Spacing"/>
    <w:uiPriority w:val="1"/>
    <w:qFormat/>
    <w:rsid w:val="00BE06EA"/>
    <w:rPr>
      <w:rFonts w:ascii="Calibri" w:eastAsia="Calibri" w:hAnsi="Calibri"/>
      <w:sz w:val="22"/>
      <w:szCs w:val="22"/>
      <w:lang w:val="es-PA"/>
    </w:rPr>
  </w:style>
  <w:style w:type="paragraph" w:styleId="ListParagraph">
    <w:name w:val="List Paragraph"/>
    <w:basedOn w:val="Normal"/>
    <w:uiPriority w:val="34"/>
    <w:qFormat/>
    <w:rsid w:val="005E28DB"/>
    <w:pPr>
      <w:ind w:left="720"/>
    </w:pPr>
  </w:style>
  <w:style w:type="character" w:styleId="CommentReference">
    <w:name w:val="annotation reference"/>
    <w:rsid w:val="007A011F"/>
    <w:rPr>
      <w:sz w:val="16"/>
      <w:szCs w:val="16"/>
    </w:rPr>
  </w:style>
  <w:style w:type="paragraph" w:styleId="CommentText">
    <w:name w:val="annotation text"/>
    <w:basedOn w:val="Normal"/>
    <w:link w:val="CommentTextChar"/>
    <w:rsid w:val="007A011F"/>
    <w:rPr>
      <w:sz w:val="20"/>
    </w:rPr>
  </w:style>
  <w:style w:type="character" w:customStyle="1" w:styleId="CommentTextChar">
    <w:name w:val="Comment Text Char"/>
    <w:link w:val="CommentText"/>
    <w:rsid w:val="007A011F"/>
    <w:rPr>
      <w:rFonts w:ascii="Tms Rmn 11pt" w:hAnsi="Tms Rmn 11pt"/>
      <w:snapToGrid w:val="0"/>
    </w:rPr>
  </w:style>
  <w:style w:type="paragraph" w:styleId="CommentSubject">
    <w:name w:val="annotation subject"/>
    <w:basedOn w:val="CommentText"/>
    <w:next w:val="CommentText"/>
    <w:link w:val="CommentSubjectChar"/>
    <w:rsid w:val="007A011F"/>
    <w:rPr>
      <w:b/>
      <w:bCs/>
    </w:rPr>
  </w:style>
  <w:style w:type="character" w:customStyle="1" w:styleId="CommentSubjectChar">
    <w:name w:val="Comment Subject Char"/>
    <w:link w:val="CommentSubject"/>
    <w:rsid w:val="007A011F"/>
    <w:rPr>
      <w:rFonts w:ascii="Tms Rmn 11pt" w:hAnsi="Tms Rmn 11pt"/>
      <w:b/>
      <w:bCs/>
      <w:snapToGrid w:val="0"/>
    </w:rPr>
  </w:style>
  <w:style w:type="paragraph" w:styleId="BalloonText">
    <w:name w:val="Balloon Text"/>
    <w:basedOn w:val="Normal"/>
    <w:link w:val="BalloonTextChar"/>
    <w:rsid w:val="007A011F"/>
    <w:rPr>
      <w:rFonts w:ascii="Segoe UI" w:hAnsi="Segoe UI" w:cs="Segoe UI"/>
      <w:sz w:val="18"/>
      <w:szCs w:val="18"/>
    </w:rPr>
  </w:style>
  <w:style w:type="character" w:customStyle="1" w:styleId="BalloonTextChar">
    <w:name w:val="Balloon Text Char"/>
    <w:link w:val="BalloonText"/>
    <w:rsid w:val="007A011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7932">
      <w:bodyDiv w:val="1"/>
      <w:marLeft w:val="0"/>
      <w:marRight w:val="0"/>
      <w:marTop w:val="0"/>
      <w:marBottom w:val="0"/>
      <w:divBdr>
        <w:top w:val="none" w:sz="0" w:space="0" w:color="auto"/>
        <w:left w:val="none" w:sz="0" w:space="0" w:color="auto"/>
        <w:bottom w:val="none" w:sz="0" w:space="0" w:color="auto"/>
        <w:right w:val="none" w:sz="0" w:space="0" w:color="auto"/>
      </w:divBdr>
    </w:div>
    <w:div w:id="1272326161">
      <w:bodyDiv w:val="1"/>
      <w:marLeft w:val="0"/>
      <w:marRight w:val="0"/>
      <w:marTop w:val="0"/>
      <w:marBottom w:val="0"/>
      <w:divBdr>
        <w:top w:val="none" w:sz="0" w:space="0" w:color="auto"/>
        <w:left w:val="none" w:sz="0" w:space="0" w:color="auto"/>
        <w:bottom w:val="none" w:sz="0" w:space="0" w:color="auto"/>
        <w:right w:val="none" w:sz="0" w:space="0" w:color="auto"/>
      </w:divBdr>
    </w:div>
    <w:div w:id="1719553093">
      <w:bodyDiv w:val="1"/>
      <w:marLeft w:val="0"/>
      <w:marRight w:val="0"/>
      <w:marTop w:val="0"/>
      <w:marBottom w:val="0"/>
      <w:divBdr>
        <w:top w:val="none" w:sz="0" w:space="0" w:color="auto"/>
        <w:left w:val="none" w:sz="0" w:space="0" w:color="auto"/>
        <w:bottom w:val="none" w:sz="0" w:space="0" w:color="auto"/>
        <w:right w:val="none" w:sz="0" w:space="0" w:color="auto"/>
      </w:divBdr>
    </w:div>
    <w:div w:id="1733649824">
      <w:bodyDiv w:val="1"/>
      <w:marLeft w:val="0"/>
      <w:marRight w:val="0"/>
      <w:marTop w:val="0"/>
      <w:marBottom w:val="0"/>
      <w:divBdr>
        <w:top w:val="none" w:sz="0" w:space="0" w:color="auto"/>
        <w:left w:val="none" w:sz="0" w:space="0" w:color="auto"/>
        <w:bottom w:val="none" w:sz="0" w:space="0" w:color="auto"/>
        <w:right w:val="none" w:sz="0" w:space="0" w:color="auto"/>
      </w:divBdr>
    </w:div>
    <w:div w:id="1938438145">
      <w:bodyDiv w:val="1"/>
      <w:marLeft w:val="0"/>
      <w:marRight w:val="0"/>
      <w:marTop w:val="0"/>
      <w:marBottom w:val="0"/>
      <w:divBdr>
        <w:top w:val="none" w:sz="0" w:space="0" w:color="auto"/>
        <w:left w:val="none" w:sz="0" w:space="0" w:color="auto"/>
        <w:bottom w:val="none" w:sz="0" w:space="0" w:color="auto"/>
        <w:right w:val="none" w:sz="0" w:space="0" w:color="auto"/>
      </w:divBdr>
    </w:div>
    <w:div w:id="20073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3F31-14DA-44F8-ABE9-0A2AFF49C265}">
  <ds:schemaRefs>
    <ds:schemaRef ds:uri="http://schemas.microsoft.com/office/2006/metadata/properties"/>
    <ds:schemaRef ds:uri="http://schemas.microsoft.com/office/infopath/2007/PartnerControls"/>
    <ds:schemaRef ds:uri="8b0d1605-260b-47fd-804b-8c27edd2405b"/>
  </ds:schemaRefs>
</ds:datastoreItem>
</file>

<file path=customXml/itemProps2.xml><?xml version="1.0" encoding="utf-8"?>
<ds:datastoreItem xmlns:ds="http://schemas.openxmlformats.org/officeDocument/2006/customXml" ds:itemID="{0693138B-0315-4128-B360-1F8BFCDE356C}">
  <ds:schemaRefs>
    <ds:schemaRef ds:uri="http://schemas.microsoft.com/sharepoint/v3/contenttype/forms"/>
  </ds:schemaRefs>
</ds:datastoreItem>
</file>

<file path=customXml/itemProps3.xml><?xml version="1.0" encoding="utf-8"?>
<ds:datastoreItem xmlns:ds="http://schemas.openxmlformats.org/officeDocument/2006/customXml" ds:itemID="{D1B7660B-DF4A-4EDA-A148-596160868439}">
  <ds:schemaRefs>
    <ds:schemaRef ds:uri="http://schemas.openxmlformats.org/officeDocument/2006/bibliography"/>
  </ds:schemaRefs>
</ds:datastoreItem>
</file>

<file path=customXml/itemProps4.xml><?xml version="1.0" encoding="utf-8"?>
<ds:datastoreItem xmlns:ds="http://schemas.openxmlformats.org/officeDocument/2006/customXml" ds:itemID="{2D719B68-6DDE-49DE-8C71-A999607A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CONVENCIÓN INTERAMERICANA CONTRA LA FABRICACIÓN</vt:lpstr>
    </vt:vector>
  </TitlesOfParts>
  <Company>OAS</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CONTRA LA FABRICACIÓN</dc:title>
  <dc:subject/>
  <dc:creator>Luis Toro Utillano</dc:creator>
  <cp:keywords/>
  <cp:lastModifiedBy>Lobaton, Ursula</cp:lastModifiedBy>
  <cp:revision>5</cp:revision>
  <cp:lastPrinted>2019-10-29T15:00:00Z</cp:lastPrinted>
  <dcterms:created xsi:type="dcterms:W3CDTF">2022-04-21T14:05:00Z</dcterms:created>
  <dcterms:modified xsi:type="dcterms:W3CDTF">2022-04-22T20:53:00Z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