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7E2A" w14:textId="77777777" w:rsidR="008C00D8" w:rsidRPr="00F372F7" w:rsidRDefault="008C00D8" w:rsidP="008C00D8">
      <w:pPr>
        <w:widowControl/>
        <w:tabs>
          <w:tab w:val="left" w:pos="6300"/>
        </w:tabs>
        <w:suppressAutoHyphens/>
        <w:ind w:right="-29"/>
        <w:rPr>
          <w:rFonts w:ascii="Times New Roman" w:hAnsi="Times New Roman"/>
          <w:bCs/>
          <w:caps/>
          <w:snapToGrid/>
          <w:szCs w:val="22"/>
          <w:lang w:val="pt-BR"/>
        </w:rPr>
      </w:pPr>
      <w:r w:rsidRPr="00F372F7">
        <w:rPr>
          <w:rFonts w:ascii="Times New Roman" w:hAnsi="Times New Roman"/>
          <w:snapToGrid/>
          <w:szCs w:val="22"/>
          <w:lang w:val="pt-BR"/>
        </w:rPr>
        <w:t xml:space="preserve">CONVENÇÃO INTERAMERICANA SOBRE </w:t>
      </w:r>
      <w:r w:rsidRPr="00F372F7">
        <w:rPr>
          <w:rFonts w:ascii="Times New Roman" w:hAnsi="Times New Roman"/>
          <w:snapToGrid/>
          <w:szCs w:val="22"/>
          <w:lang w:val="pt-BR"/>
        </w:rPr>
        <w:tab/>
        <w:t>OEA/Ser.K/XLIV.2</w:t>
      </w:r>
    </w:p>
    <w:p w14:paraId="7205DF55" w14:textId="72EB7BC1" w:rsidR="008C00D8" w:rsidRPr="00F372F7" w:rsidRDefault="008C00D8" w:rsidP="008C00D8">
      <w:pPr>
        <w:widowControl/>
        <w:tabs>
          <w:tab w:val="left" w:pos="6300"/>
        </w:tabs>
        <w:suppressAutoHyphens/>
        <w:ind w:right="-479"/>
        <w:rPr>
          <w:rFonts w:ascii="Times New Roman" w:hAnsi="Times New Roman"/>
          <w:bCs/>
          <w:caps/>
          <w:snapToGrid/>
          <w:szCs w:val="22"/>
          <w:lang w:val="pt-BR"/>
        </w:rPr>
      </w:pPr>
      <w:r w:rsidRPr="00F372F7">
        <w:rPr>
          <w:rFonts w:ascii="Times New Roman" w:hAnsi="Times New Roman"/>
          <w:caps/>
          <w:snapToGrid/>
          <w:szCs w:val="22"/>
          <w:lang w:val="pt-BR"/>
        </w:rPr>
        <w:t xml:space="preserve">TRANSPARÊNCIA NAS AQUISIÇÕES </w:t>
      </w:r>
      <w:r w:rsidRPr="00F372F7">
        <w:rPr>
          <w:rFonts w:ascii="Times New Roman" w:hAnsi="Times New Roman"/>
          <w:caps/>
          <w:snapToGrid/>
          <w:szCs w:val="22"/>
          <w:lang w:val="pt-BR"/>
        </w:rPr>
        <w:tab/>
        <w:t>CITAAC/CEP-II/</w:t>
      </w:r>
      <w:r w:rsidRPr="00F372F7">
        <w:rPr>
          <w:rFonts w:ascii="Times New Roman" w:hAnsi="Times New Roman"/>
          <w:snapToGrid/>
          <w:szCs w:val="22"/>
          <w:lang w:val="pt-BR"/>
        </w:rPr>
        <w:t>doc.4/22</w:t>
      </w:r>
      <w:r w:rsidR="00F372F7" w:rsidRPr="00F372F7">
        <w:rPr>
          <w:rFonts w:ascii="Times New Roman" w:hAnsi="Times New Roman"/>
          <w:snapToGrid/>
          <w:szCs w:val="22"/>
          <w:lang w:val="pt-BR"/>
        </w:rPr>
        <w:t xml:space="preserve"> rev. 2</w:t>
      </w:r>
    </w:p>
    <w:p w14:paraId="6655A40E" w14:textId="06DDB00C" w:rsidR="008C00D8" w:rsidRPr="00F372F7" w:rsidRDefault="008C00D8" w:rsidP="008C00D8">
      <w:pPr>
        <w:widowControl/>
        <w:tabs>
          <w:tab w:val="left" w:pos="6300"/>
        </w:tabs>
        <w:suppressAutoHyphens/>
        <w:ind w:right="-29"/>
        <w:rPr>
          <w:rFonts w:ascii="Times New Roman" w:hAnsi="Times New Roman"/>
          <w:bCs/>
          <w:caps/>
          <w:snapToGrid/>
          <w:szCs w:val="22"/>
          <w:lang w:val="pt-BR"/>
        </w:rPr>
      </w:pPr>
      <w:r w:rsidRPr="00F372F7">
        <w:rPr>
          <w:rFonts w:ascii="Times New Roman" w:hAnsi="Times New Roman"/>
          <w:caps/>
          <w:snapToGrid/>
          <w:szCs w:val="22"/>
          <w:lang w:val="pt-BR"/>
        </w:rPr>
        <w:t xml:space="preserve">DE ARMAS CONVENCIONAIS (CITAAC) </w:t>
      </w:r>
      <w:r w:rsidRPr="00F372F7">
        <w:rPr>
          <w:rFonts w:ascii="Times New Roman" w:hAnsi="Times New Roman"/>
          <w:caps/>
          <w:snapToGrid/>
          <w:szCs w:val="22"/>
          <w:lang w:val="pt-BR"/>
        </w:rPr>
        <w:tab/>
        <w:t>1</w:t>
      </w:r>
      <w:r w:rsidR="0097559B" w:rsidRPr="00F372F7">
        <w:rPr>
          <w:rFonts w:ascii="Times New Roman" w:hAnsi="Times New Roman"/>
          <w:caps/>
          <w:snapToGrid/>
          <w:szCs w:val="22"/>
          <w:lang w:val="pt-BR"/>
        </w:rPr>
        <w:t>9</w:t>
      </w:r>
      <w:r w:rsidRPr="00F372F7">
        <w:rPr>
          <w:rFonts w:ascii="Times New Roman" w:hAnsi="Times New Roman"/>
          <w:caps/>
          <w:snapToGrid/>
          <w:szCs w:val="22"/>
          <w:lang w:val="pt-BR"/>
        </w:rPr>
        <w:t xml:space="preserve"> </w:t>
      </w:r>
      <w:r w:rsidRPr="00F372F7">
        <w:rPr>
          <w:rFonts w:ascii="Times New Roman" w:hAnsi="Times New Roman"/>
          <w:snapToGrid/>
          <w:szCs w:val="22"/>
          <w:lang w:val="pt-BR"/>
        </w:rPr>
        <w:t xml:space="preserve">abril </w:t>
      </w:r>
      <w:r w:rsidRPr="00F372F7">
        <w:rPr>
          <w:rFonts w:ascii="Times New Roman" w:hAnsi="Times New Roman"/>
          <w:caps/>
          <w:snapToGrid/>
          <w:szCs w:val="22"/>
          <w:lang w:val="pt-BR"/>
        </w:rPr>
        <w:t>2022</w:t>
      </w:r>
    </w:p>
    <w:p w14:paraId="7E83A7BD" w14:textId="77777777" w:rsidR="008C00D8" w:rsidRPr="00F372F7" w:rsidRDefault="008C00D8" w:rsidP="008C00D8">
      <w:pPr>
        <w:widowControl/>
        <w:tabs>
          <w:tab w:val="left" w:pos="6300"/>
        </w:tabs>
        <w:rPr>
          <w:rFonts w:ascii="Times New Roman" w:hAnsi="Times New Roman"/>
          <w:snapToGrid/>
          <w:szCs w:val="22"/>
          <w:u w:val="single"/>
          <w:lang w:val="pt-BR"/>
        </w:rPr>
      </w:pPr>
      <w:r w:rsidRPr="00F372F7">
        <w:rPr>
          <w:rFonts w:ascii="Times New Roman" w:hAnsi="Times New Roman"/>
          <w:snapToGrid/>
          <w:szCs w:val="22"/>
          <w:u w:val="single"/>
          <w:lang w:val="pt-BR"/>
        </w:rPr>
        <w:t>Segunda Conferência dos Estados Partes</w:t>
      </w:r>
      <w:r w:rsidRPr="00F372F7">
        <w:rPr>
          <w:rFonts w:ascii="Times New Roman" w:hAnsi="Times New Roman"/>
          <w:snapToGrid/>
          <w:szCs w:val="22"/>
          <w:lang w:val="pt-BR"/>
        </w:rPr>
        <w:t xml:space="preserve"> </w:t>
      </w:r>
      <w:r w:rsidRPr="00F372F7">
        <w:rPr>
          <w:rFonts w:ascii="Times New Roman" w:hAnsi="Times New Roman"/>
          <w:snapToGrid/>
          <w:szCs w:val="22"/>
          <w:lang w:val="pt-BR"/>
        </w:rPr>
        <w:tab/>
        <w:t>Original: espanhol</w:t>
      </w:r>
    </w:p>
    <w:p w14:paraId="1BC70B21" w14:textId="77777777" w:rsidR="008C00D8" w:rsidRPr="00F372F7" w:rsidRDefault="008C00D8" w:rsidP="008C00D8">
      <w:pPr>
        <w:widowControl/>
        <w:tabs>
          <w:tab w:val="left" w:pos="6300"/>
        </w:tabs>
        <w:rPr>
          <w:rFonts w:ascii="Times New Roman" w:hAnsi="Times New Roman"/>
          <w:snapToGrid/>
          <w:szCs w:val="22"/>
          <w:lang w:val="pt-BR"/>
        </w:rPr>
      </w:pPr>
      <w:r w:rsidRPr="00F372F7">
        <w:rPr>
          <w:rFonts w:ascii="Times New Roman" w:hAnsi="Times New Roman"/>
          <w:snapToGrid/>
          <w:szCs w:val="22"/>
          <w:lang w:val="pt-BR"/>
        </w:rPr>
        <w:t>19 de abril de 2022</w:t>
      </w:r>
    </w:p>
    <w:p w14:paraId="3E02A211" w14:textId="77777777" w:rsidR="008C00D8" w:rsidRPr="00F372F7" w:rsidRDefault="008C00D8" w:rsidP="008C00D8">
      <w:pPr>
        <w:widowControl/>
        <w:tabs>
          <w:tab w:val="left" w:pos="6300"/>
        </w:tabs>
        <w:rPr>
          <w:rFonts w:ascii="Times New Roman" w:hAnsi="Times New Roman"/>
          <w:snapToGrid/>
          <w:szCs w:val="22"/>
          <w:lang w:val="pt-BR"/>
        </w:rPr>
      </w:pPr>
      <w:r w:rsidRPr="00F372F7">
        <w:rPr>
          <w:rFonts w:ascii="Times New Roman" w:hAnsi="Times New Roman"/>
          <w:snapToGrid/>
          <w:szCs w:val="22"/>
          <w:lang w:val="pt-BR"/>
        </w:rPr>
        <w:t>Formato virtual</w:t>
      </w:r>
    </w:p>
    <w:p w14:paraId="06103F0B" w14:textId="77777777" w:rsidR="008C00D8" w:rsidRPr="00F372F7" w:rsidRDefault="008C00D8" w:rsidP="008C00D8">
      <w:pPr>
        <w:widowControl/>
        <w:tabs>
          <w:tab w:val="left" w:pos="6570"/>
        </w:tabs>
        <w:suppressAutoHyphens/>
        <w:ind w:right="-29"/>
        <w:rPr>
          <w:rFonts w:ascii="Times New Roman" w:hAnsi="Times New Roman"/>
          <w:snapToGrid/>
          <w:szCs w:val="22"/>
          <w:u w:val="single"/>
          <w:lang w:val="pt-BR"/>
        </w:rPr>
      </w:pPr>
      <w:r w:rsidRPr="00F372F7">
        <w:rPr>
          <w:rFonts w:ascii="Times New Roman" w:hAnsi="Times New Roman"/>
          <w:snapToGrid/>
          <w:szCs w:val="22"/>
          <w:lang w:val="pt-BR"/>
        </w:rPr>
        <w:tab/>
      </w:r>
    </w:p>
    <w:p w14:paraId="384F4CCF" w14:textId="77777777" w:rsidR="008C00D8" w:rsidRPr="00F372F7" w:rsidRDefault="008C00D8" w:rsidP="008C00D8">
      <w:pPr>
        <w:widowControl/>
        <w:tabs>
          <w:tab w:val="left" w:pos="7560"/>
        </w:tabs>
        <w:ind w:right="-1080"/>
        <w:rPr>
          <w:rFonts w:ascii="Times New Roman" w:hAnsi="Times New Roman"/>
          <w:szCs w:val="22"/>
          <w:lang w:val="pt-BR"/>
        </w:rPr>
      </w:pPr>
      <w:r w:rsidRPr="00F372F7">
        <w:rPr>
          <w:rFonts w:ascii="Times New Roman" w:hAnsi="Times New Roman"/>
          <w:szCs w:val="22"/>
          <w:lang w:val="pt-BR"/>
        </w:rPr>
        <w:tab/>
      </w:r>
    </w:p>
    <w:p w14:paraId="5542636F" w14:textId="77777777" w:rsidR="008C00D8" w:rsidRPr="00F372F7" w:rsidRDefault="008C00D8" w:rsidP="008C00D8">
      <w:pPr>
        <w:widowControl/>
        <w:tabs>
          <w:tab w:val="center" w:pos="3960"/>
        </w:tabs>
        <w:jc w:val="both"/>
        <w:rPr>
          <w:rFonts w:ascii="Times New Roman" w:hAnsi="Times New Roman"/>
          <w:b/>
          <w:spacing w:val="-2"/>
          <w:szCs w:val="22"/>
          <w:lang w:val="pt-BR"/>
        </w:rPr>
      </w:pPr>
    </w:p>
    <w:p w14:paraId="6EED890A" w14:textId="77777777" w:rsidR="008C00D8" w:rsidRPr="00F372F7" w:rsidRDefault="008C00D8" w:rsidP="008C00D8">
      <w:pPr>
        <w:widowControl/>
        <w:tabs>
          <w:tab w:val="center" w:pos="3960"/>
        </w:tabs>
        <w:jc w:val="both"/>
        <w:rPr>
          <w:rFonts w:ascii="Times New Roman" w:hAnsi="Times New Roman"/>
          <w:b/>
          <w:spacing w:val="-2"/>
          <w:szCs w:val="22"/>
          <w:lang w:val="pt-BR"/>
        </w:rPr>
      </w:pPr>
    </w:p>
    <w:p w14:paraId="29AF3E2B" w14:textId="77777777" w:rsidR="008C00D8" w:rsidRPr="00F372F7" w:rsidRDefault="008C00D8" w:rsidP="008C00D8">
      <w:pPr>
        <w:widowControl/>
        <w:tabs>
          <w:tab w:val="center" w:pos="3960"/>
        </w:tabs>
        <w:jc w:val="both"/>
        <w:rPr>
          <w:rFonts w:ascii="Times New Roman" w:hAnsi="Times New Roman"/>
          <w:b/>
          <w:spacing w:val="-2"/>
          <w:szCs w:val="22"/>
          <w:lang w:val="pt-BR"/>
        </w:rPr>
      </w:pPr>
    </w:p>
    <w:p w14:paraId="42F0C313"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2978865F"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0FC7B585"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7B8B5BF8"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2C544330"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37A25949"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6A481EFB"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6BD97EBD"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11E006A8" w14:textId="77777777" w:rsidR="008C00D8" w:rsidRPr="00F372F7" w:rsidRDefault="008C00D8" w:rsidP="008C00D8">
      <w:pPr>
        <w:widowControl/>
        <w:tabs>
          <w:tab w:val="center" w:pos="3960"/>
        </w:tabs>
        <w:jc w:val="center"/>
        <w:rPr>
          <w:rFonts w:ascii="Times New Roman" w:hAnsi="Times New Roman"/>
          <w:b/>
          <w:bCs/>
          <w:spacing w:val="-2"/>
          <w:szCs w:val="22"/>
          <w:lang w:val="pt-BR"/>
        </w:rPr>
      </w:pPr>
    </w:p>
    <w:p w14:paraId="5A6C2762" w14:textId="01B77DC7" w:rsidR="008C00D8" w:rsidRPr="00F372F7" w:rsidRDefault="008C00D8" w:rsidP="008C00D8">
      <w:pPr>
        <w:tabs>
          <w:tab w:val="left" w:pos="-720"/>
        </w:tabs>
        <w:jc w:val="center"/>
        <w:rPr>
          <w:rFonts w:ascii="Times New Roman" w:hAnsi="Times New Roman"/>
          <w:snapToGrid/>
          <w:spacing w:val="-2"/>
          <w:szCs w:val="22"/>
          <w:lang w:val="pt-BR"/>
        </w:rPr>
      </w:pPr>
      <w:r w:rsidRPr="00F372F7">
        <w:rPr>
          <w:rFonts w:ascii="Times New Roman" w:hAnsi="Times New Roman"/>
          <w:szCs w:val="22"/>
          <w:lang w:val="pt-BR"/>
        </w:rPr>
        <w:t>REGULAMENTO INTERNO DA COMISSÃO CONSULTIVA DA CONVENÇÃO INTERAMERICANA SOBRE TRANSPARÊNCIA NAS AQUISIÇÕES DE ARMAS CONVENCIONAIS (CITAAC)</w:t>
      </w:r>
    </w:p>
    <w:p w14:paraId="022FB7F7" w14:textId="77777777" w:rsidR="008C00D8" w:rsidRPr="00F372F7" w:rsidRDefault="008C00D8" w:rsidP="008C00D8">
      <w:pPr>
        <w:widowControl/>
        <w:tabs>
          <w:tab w:val="left" w:pos="-720"/>
        </w:tabs>
        <w:jc w:val="center"/>
        <w:rPr>
          <w:rFonts w:ascii="Times New Roman" w:hAnsi="Times New Roman"/>
          <w:spacing w:val="-2"/>
          <w:szCs w:val="22"/>
          <w:lang w:val="pt-BR"/>
        </w:rPr>
      </w:pPr>
    </w:p>
    <w:p w14:paraId="485DF36F" w14:textId="77777777" w:rsidR="0097559B" w:rsidRPr="00F372F7" w:rsidRDefault="008C00D8" w:rsidP="008C00D8">
      <w:pPr>
        <w:widowControl/>
        <w:jc w:val="center"/>
        <w:rPr>
          <w:rFonts w:ascii="Times New Roman" w:hAnsi="Times New Roman"/>
          <w:snapToGrid/>
          <w:szCs w:val="22"/>
          <w:lang w:val="pt-BR"/>
        </w:rPr>
      </w:pPr>
      <w:r w:rsidRPr="00F372F7">
        <w:rPr>
          <w:rFonts w:ascii="Times New Roman" w:hAnsi="Times New Roman"/>
          <w:snapToGrid/>
          <w:szCs w:val="22"/>
          <w:lang w:val="pt-BR"/>
        </w:rPr>
        <w:t>(</w:t>
      </w:r>
      <w:r w:rsidR="0097559B" w:rsidRPr="00F372F7">
        <w:rPr>
          <w:rFonts w:ascii="Times New Roman" w:hAnsi="Times New Roman"/>
          <w:snapToGrid/>
          <w:szCs w:val="22"/>
          <w:lang w:val="pt-BR"/>
        </w:rPr>
        <w:t>Aprovado na</w:t>
      </w:r>
      <w:r w:rsidRPr="00F372F7">
        <w:rPr>
          <w:rFonts w:ascii="Times New Roman" w:hAnsi="Times New Roman"/>
          <w:snapToGrid/>
          <w:szCs w:val="22"/>
          <w:lang w:val="pt-BR"/>
        </w:rPr>
        <w:t xml:space="preserve"> Segunda Conferência dos Estados Partes da CITAAC</w:t>
      </w:r>
      <w:r w:rsidR="0097559B" w:rsidRPr="00F372F7">
        <w:rPr>
          <w:rFonts w:ascii="Times New Roman" w:hAnsi="Times New Roman"/>
          <w:snapToGrid/>
          <w:szCs w:val="22"/>
          <w:lang w:val="pt-BR"/>
        </w:rPr>
        <w:t xml:space="preserve">, </w:t>
      </w:r>
    </w:p>
    <w:p w14:paraId="7BB13EA4" w14:textId="28651185" w:rsidR="008C00D8" w:rsidRPr="00F372F7" w:rsidRDefault="0097559B" w:rsidP="008C00D8">
      <w:pPr>
        <w:widowControl/>
        <w:jc w:val="center"/>
        <w:rPr>
          <w:rFonts w:ascii="Times New Roman" w:hAnsi="Times New Roman"/>
          <w:bCs/>
          <w:snapToGrid/>
          <w:szCs w:val="22"/>
          <w:lang w:val="pt-BR"/>
        </w:rPr>
      </w:pPr>
      <w:r w:rsidRPr="00F372F7">
        <w:rPr>
          <w:rFonts w:ascii="Times New Roman" w:hAnsi="Times New Roman"/>
          <w:snapToGrid/>
          <w:szCs w:val="22"/>
          <w:lang w:val="pt-BR"/>
        </w:rPr>
        <w:t>realizada em 19 de abril de 2022</w:t>
      </w:r>
      <w:r w:rsidR="008C00D8" w:rsidRPr="00F372F7">
        <w:rPr>
          <w:rFonts w:ascii="Times New Roman" w:hAnsi="Times New Roman"/>
          <w:snapToGrid/>
          <w:szCs w:val="22"/>
          <w:lang w:val="pt-BR"/>
        </w:rPr>
        <w:t xml:space="preserve"> )</w:t>
      </w:r>
    </w:p>
    <w:p w14:paraId="59BD1775" w14:textId="77777777" w:rsidR="008C00D8" w:rsidRPr="00F372F7" w:rsidRDefault="008C00D8" w:rsidP="008C00D8">
      <w:pPr>
        <w:widowControl/>
        <w:tabs>
          <w:tab w:val="left" w:pos="-720"/>
        </w:tabs>
        <w:jc w:val="both"/>
        <w:rPr>
          <w:rFonts w:ascii="Times New Roman" w:hAnsi="Times New Roman"/>
          <w:spacing w:val="-2"/>
          <w:szCs w:val="22"/>
          <w:lang w:val="pt-BR"/>
        </w:rPr>
      </w:pPr>
      <w:r w:rsidRPr="00F372F7" w:rsidDel="007C05C1">
        <w:rPr>
          <w:rFonts w:ascii="Times New Roman" w:hAnsi="Times New Roman"/>
          <w:spacing w:val="-2"/>
          <w:szCs w:val="22"/>
          <w:lang w:val="pt-BR"/>
        </w:rPr>
        <w:t xml:space="preserve"> </w:t>
      </w:r>
    </w:p>
    <w:p w14:paraId="4639DA6A" w14:textId="77777777" w:rsidR="008C00D8" w:rsidRPr="00F372F7" w:rsidRDefault="008C00D8" w:rsidP="008C00D8">
      <w:pPr>
        <w:widowControl/>
        <w:tabs>
          <w:tab w:val="left" w:pos="-720"/>
        </w:tabs>
        <w:jc w:val="both"/>
        <w:rPr>
          <w:rFonts w:ascii="Times New Roman" w:hAnsi="Times New Roman"/>
          <w:spacing w:val="-2"/>
          <w:szCs w:val="22"/>
          <w:lang w:val="pt-BR"/>
        </w:rPr>
      </w:pPr>
    </w:p>
    <w:p w14:paraId="347CF877" w14:textId="77777777" w:rsidR="008C00D8" w:rsidRPr="00F372F7" w:rsidRDefault="008C00D8" w:rsidP="008C00D8">
      <w:pPr>
        <w:widowControl/>
        <w:tabs>
          <w:tab w:val="left" w:pos="-720"/>
        </w:tabs>
        <w:jc w:val="both"/>
        <w:rPr>
          <w:rFonts w:ascii="Times New Roman" w:hAnsi="Times New Roman"/>
          <w:spacing w:val="-2"/>
          <w:szCs w:val="22"/>
          <w:lang w:val="pt-BR"/>
        </w:rPr>
      </w:pPr>
    </w:p>
    <w:p w14:paraId="3954AC8C" w14:textId="77777777" w:rsidR="008C00D8" w:rsidRPr="00F372F7" w:rsidRDefault="008C00D8" w:rsidP="008C00D8">
      <w:pPr>
        <w:widowControl/>
        <w:tabs>
          <w:tab w:val="left" w:pos="-720"/>
        </w:tabs>
        <w:jc w:val="both"/>
        <w:rPr>
          <w:rFonts w:ascii="Times New Roman" w:hAnsi="Times New Roman"/>
          <w:spacing w:val="-2"/>
          <w:szCs w:val="22"/>
          <w:lang w:val="pt-BR"/>
        </w:rPr>
      </w:pPr>
    </w:p>
    <w:p w14:paraId="006C3CFF" w14:textId="77777777" w:rsidR="008C00D8" w:rsidRPr="00F372F7" w:rsidRDefault="008C00D8" w:rsidP="008C00D8">
      <w:pPr>
        <w:widowControl/>
        <w:tabs>
          <w:tab w:val="left" w:pos="-720"/>
        </w:tabs>
        <w:jc w:val="both"/>
        <w:rPr>
          <w:rFonts w:ascii="Times New Roman" w:hAnsi="Times New Roman"/>
          <w:spacing w:val="-2"/>
          <w:szCs w:val="22"/>
          <w:lang w:val="pt-BR"/>
        </w:rPr>
      </w:pPr>
    </w:p>
    <w:p w14:paraId="536CB6B6" w14:textId="77777777" w:rsidR="008C00D8" w:rsidRPr="00F372F7" w:rsidRDefault="008C00D8" w:rsidP="008C00D8">
      <w:pPr>
        <w:widowControl/>
        <w:tabs>
          <w:tab w:val="left" w:pos="-720"/>
        </w:tabs>
        <w:jc w:val="both"/>
        <w:rPr>
          <w:rFonts w:ascii="Times New Roman" w:hAnsi="Times New Roman"/>
          <w:spacing w:val="-2"/>
          <w:szCs w:val="22"/>
          <w:lang w:val="pt-BR"/>
        </w:rPr>
      </w:pPr>
    </w:p>
    <w:p w14:paraId="0CAA472D" w14:textId="77777777" w:rsidR="008C00D8" w:rsidRPr="00F372F7" w:rsidRDefault="008C00D8" w:rsidP="008C00D8">
      <w:pPr>
        <w:widowControl/>
        <w:tabs>
          <w:tab w:val="left" w:pos="-720"/>
        </w:tabs>
        <w:jc w:val="both"/>
        <w:rPr>
          <w:rFonts w:ascii="Times New Roman" w:hAnsi="Times New Roman"/>
          <w:spacing w:val="-2"/>
          <w:szCs w:val="22"/>
          <w:lang w:val="pt-BR"/>
        </w:rPr>
      </w:pPr>
    </w:p>
    <w:p w14:paraId="7B794D3B" w14:textId="77777777" w:rsidR="008C00D8" w:rsidRPr="00F372F7" w:rsidRDefault="008C00D8" w:rsidP="008C00D8">
      <w:pPr>
        <w:widowControl/>
        <w:tabs>
          <w:tab w:val="left" w:pos="-720"/>
        </w:tabs>
        <w:jc w:val="both"/>
        <w:rPr>
          <w:rFonts w:ascii="Times New Roman" w:hAnsi="Times New Roman"/>
          <w:spacing w:val="-2"/>
          <w:szCs w:val="22"/>
          <w:lang w:val="pt-BR"/>
        </w:rPr>
      </w:pPr>
    </w:p>
    <w:p w14:paraId="7794C000" w14:textId="77777777" w:rsidR="008C00D8" w:rsidRPr="00F372F7" w:rsidRDefault="008C00D8" w:rsidP="008C00D8">
      <w:pPr>
        <w:widowControl/>
        <w:tabs>
          <w:tab w:val="left" w:pos="-720"/>
        </w:tabs>
        <w:jc w:val="both"/>
        <w:rPr>
          <w:rFonts w:ascii="Times New Roman" w:hAnsi="Times New Roman"/>
          <w:spacing w:val="-2"/>
          <w:szCs w:val="22"/>
          <w:lang w:val="pt-BR"/>
        </w:rPr>
      </w:pPr>
    </w:p>
    <w:p w14:paraId="2096ABAD" w14:textId="77777777" w:rsidR="008C00D8" w:rsidRPr="00F372F7" w:rsidRDefault="008C00D8" w:rsidP="008C00D8">
      <w:pPr>
        <w:widowControl/>
        <w:tabs>
          <w:tab w:val="left" w:pos="-720"/>
        </w:tabs>
        <w:jc w:val="both"/>
        <w:rPr>
          <w:rFonts w:ascii="Times New Roman" w:hAnsi="Times New Roman"/>
          <w:spacing w:val="-2"/>
          <w:szCs w:val="22"/>
          <w:lang w:val="pt-BR"/>
        </w:rPr>
      </w:pPr>
    </w:p>
    <w:p w14:paraId="1FA3751C" w14:textId="77777777" w:rsidR="008C00D8" w:rsidRPr="00F372F7" w:rsidRDefault="008C00D8" w:rsidP="008C00D8">
      <w:pPr>
        <w:widowControl/>
        <w:tabs>
          <w:tab w:val="left" w:pos="-720"/>
        </w:tabs>
        <w:jc w:val="both"/>
        <w:rPr>
          <w:rFonts w:ascii="Times New Roman" w:hAnsi="Times New Roman"/>
          <w:spacing w:val="-2"/>
          <w:szCs w:val="22"/>
          <w:lang w:val="pt-BR"/>
        </w:rPr>
      </w:pPr>
    </w:p>
    <w:p w14:paraId="5CD086B7" w14:textId="77777777" w:rsidR="008C00D8" w:rsidRPr="00F372F7" w:rsidRDefault="008C00D8" w:rsidP="008C00D8">
      <w:pPr>
        <w:widowControl/>
        <w:tabs>
          <w:tab w:val="left" w:pos="-720"/>
        </w:tabs>
        <w:jc w:val="both"/>
        <w:rPr>
          <w:rFonts w:ascii="Times New Roman" w:hAnsi="Times New Roman"/>
          <w:spacing w:val="-2"/>
          <w:szCs w:val="22"/>
          <w:lang w:val="pt-BR"/>
        </w:rPr>
      </w:pPr>
    </w:p>
    <w:p w14:paraId="46CD08A0" w14:textId="77777777" w:rsidR="008C00D8" w:rsidRPr="00F372F7" w:rsidRDefault="008C00D8" w:rsidP="008C00D8">
      <w:pPr>
        <w:widowControl/>
        <w:tabs>
          <w:tab w:val="left" w:pos="-720"/>
        </w:tabs>
        <w:jc w:val="both"/>
        <w:rPr>
          <w:rFonts w:ascii="Times New Roman" w:hAnsi="Times New Roman"/>
          <w:spacing w:val="-2"/>
          <w:szCs w:val="22"/>
          <w:lang w:val="pt-BR"/>
        </w:rPr>
      </w:pPr>
    </w:p>
    <w:p w14:paraId="42D0BC6A" w14:textId="77777777" w:rsidR="008C00D8" w:rsidRPr="00F372F7" w:rsidRDefault="008C00D8" w:rsidP="008C00D8">
      <w:pPr>
        <w:widowControl/>
        <w:tabs>
          <w:tab w:val="left" w:pos="-720"/>
        </w:tabs>
        <w:jc w:val="both"/>
        <w:rPr>
          <w:rFonts w:ascii="Times New Roman" w:hAnsi="Times New Roman"/>
          <w:spacing w:val="-2"/>
          <w:szCs w:val="22"/>
          <w:lang w:val="pt-BR"/>
        </w:rPr>
      </w:pPr>
    </w:p>
    <w:p w14:paraId="5CD903A0" w14:textId="77777777" w:rsidR="008C00D8" w:rsidRPr="00F372F7" w:rsidRDefault="008C00D8" w:rsidP="008C00D8">
      <w:pPr>
        <w:widowControl/>
        <w:tabs>
          <w:tab w:val="left" w:pos="-720"/>
        </w:tabs>
        <w:jc w:val="both"/>
        <w:rPr>
          <w:rFonts w:ascii="Times New Roman" w:hAnsi="Times New Roman"/>
          <w:spacing w:val="-2"/>
          <w:szCs w:val="22"/>
          <w:lang w:val="pt-BR"/>
        </w:rPr>
      </w:pPr>
    </w:p>
    <w:p w14:paraId="63CE8DDA" w14:textId="77777777" w:rsidR="00A205ED" w:rsidRDefault="00A205ED" w:rsidP="008C00D8">
      <w:pPr>
        <w:tabs>
          <w:tab w:val="left" w:pos="-720"/>
        </w:tabs>
        <w:jc w:val="center"/>
        <w:rPr>
          <w:rFonts w:ascii="Times New Roman" w:hAnsi="Times New Roman"/>
          <w:b/>
          <w:bCs/>
          <w:szCs w:val="22"/>
          <w:lang w:val="pt-BR"/>
        </w:rPr>
        <w:sectPr w:rsidR="00A205ED" w:rsidSect="00196A36">
          <w:headerReference w:type="default" r:id="rId11"/>
          <w:endnotePr>
            <w:numFmt w:val="decimal"/>
          </w:endnotePr>
          <w:pgSz w:w="12240" w:h="15840"/>
          <w:pgMar w:top="2160" w:right="1570" w:bottom="1296" w:left="1699" w:header="1296" w:footer="1296" w:gutter="0"/>
          <w:pgNumType w:start="1"/>
          <w:cols w:space="720"/>
          <w:noEndnote/>
          <w:titlePg/>
        </w:sectPr>
      </w:pPr>
    </w:p>
    <w:p w14:paraId="0C6CF828" w14:textId="5750B42D" w:rsidR="008C00D8" w:rsidRPr="00F372F7" w:rsidRDefault="008C00D8" w:rsidP="008C00D8">
      <w:pPr>
        <w:tabs>
          <w:tab w:val="left" w:pos="-720"/>
        </w:tabs>
        <w:jc w:val="center"/>
        <w:rPr>
          <w:rFonts w:ascii="Times New Roman" w:hAnsi="Times New Roman"/>
          <w:b/>
          <w:bCs/>
          <w:snapToGrid/>
          <w:spacing w:val="-2"/>
          <w:szCs w:val="22"/>
          <w:lang w:val="pt-BR"/>
        </w:rPr>
      </w:pPr>
      <w:r w:rsidRPr="00F372F7">
        <w:rPr>
          <w:rFonts w:ascii="Times New Roman" w:hAnsi="Times New Roman"/>
          <w:b/>
          <w:bCs/>
          <w:szCs w:val="22"/>
          <w:lang w:val="pt-BR"/>
        </w:rPr>
        <w:lastRenderedPageBreak/>
        <w:t>REGULAMENTO INTERNO DA COMISSÃO CONSULTIVA DA CONVENÇÃO INTERAMERICANA SOBRE TRANSPARÊNCIA NAS AQUISIÇÕES DE ARMAS CONVENCIONAIS (CITAAC)</w:t>
      </w:r>
    </w:p>
    <w:p w14:paraId="4B78C0A4" w14:textId="77777777" w:rsidR="008C00D8" w:rsidRPr="00F372F7" w:rsidRDefault="008C00D8" w:rsidP="008C00D8">
      <w:pPr>
        <w:widowControl/>
        <w:tabs>
          <w:tab w:val="left" w:pos="-720"/>
        </w:tabs>
        <w:jc w:val="both"/>
        <w:rPr>
          <w:rFonts w:ascii="Times New Roman" w:hAnsi="Times New Roman"/>
          <w:szCs w:val="22"/>
          <w:lang w:val="pt-BR"/>
        </w:rPr>
      </w:pPr>
    </w:p>
    <w:p w14:paraId="72833090" w14:textId="77777777" w:rsidR="008C00D8" w:rsidRPr="00F372F7" w:rsidRDefault="008C00D8" w:rsidP="008C00D8">
      <w:pPr>
        <w:widowControl/>
        <w:tabs>
          <w:tab w:val="center" w:pos="3960"/>
        </w:tabs>
        <w:jc w:val="center"/>
        <w:rPr>
          <w:rFonts w:ascii="Times New Roman" w:hAnsi="Times New Roman"/>
          <w:spacing w:val="-2"/>
          <w:szCs w:val="22"/>
          <w:lang w:val="pt-BR"/>
        </w:rPr>
      </w:pPr>
    </w:p>
    <w:p w14:paraId="2DEAEE1D" w14:textId="77777777" w:rsidR="008C00D8" w:rsidRPr="00F372F7" w:rsidRDefault="008C00D8" w:rsidP="008C00D8">
      <w:pPr>
        <w:tabs>
          <w:tab w:val="left" w:pos="-720"/>
        </w:tabs>
        <w:jc w:val="center"/>
        <w:rPr>
          <w:rFonts w:ascii="Times New Roman" w:hAnsi="Times New Roman"/>
          <w:snapToGrid/>
          <w:spacing w:val="-2"/>
          <w:szCs w:val="22"/>
          <w:lang w:val="pt-BR"/>
        </w:rPr>
      </w:pPr>
      <w:r w:rsidRPr="00F372F7">
        <w:rPr>
          <w:rFonts w:ascii="Times New Roman" w:hAnsi="Times New Roman"/>
          <w:szCs w:val="22"/>
          <w:lang w:val="pt-BR"/>
        </w:rPr>
        <w:t>CAPÍTULO I</w:t>
      </w:r>
    </w:p>
    <w:p w14:paraId="28BD944C" w14:textId="77777777" w:rsidR="008C00D8" w:rsidRPr="00F372F7" w:rsidRDefault="008C00D8" w:rsidP="008C00D8">
      <w:pPr>
        <w:tabs>
          <w:tab w:val="left" w:pos="-720"/>
        </w:tabs>
        <w:jc w:val="center"/>
        <w:rPr>
          <w:rFonts w:ascii="Times New Roman" w:hAnsi="Times New Roman"/>
          <w:spacing w:val="-2"/>
          <w:szCs w:val="22"/>
          <w:lang w:val="pt-BR"/>
        </w:rPr>
      </w:pPr>
      <w:r w:rsidRPr="00F372F7">
        <w:rPr>
          <w:rFonts w:ascii="Times New Roman" w:hAnsi="Times New Roman"/>
          <w:szCs w:val="22"/>
          <w:lang w:val="pt-BR"/>
        </w:rPr>
        <w:t>NATUREZA</w:t>
      </w:r>
    </w:p>
    <w:p w14:paraId="0BEEDF36" w14:textId="77777777" w:rsidR="008C00D8" w:rsidRPr="00F372F7" w:rsidRDefault="008C00D8" w:rsidP="008C00D8">
      <w:pPr>
        <w:tabs>
          <w:tab w:val="left" w:pos="-720"/>
        </w:tabs>
        <w:jc w:val="both"/>
        <w:rPr>
          <w:rFonts w:ascii="Times New Roman" w:hAnsi="Times New Roman"/>
          <w:b/>
          <w:spacing w:val="-2"/>
          <w:szCs w:val="22"/>
          <w:lang w:val="pt-BR"/>
        </w:rPr>
      </w:pPr>
    </w:p>
    <w:p w14:paraId="65F5C58D"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1º</w:t>
      </w:r>
    </w:p>
    <w:p w14:paraId="20A88F23" w14:textId="77777777" w:rsidR="008C00D8" w:rsidRPr="00F372F7" w:rsidRDefault="008C00D8" w:rsidP="008C00D8">
      <w:pPr>
        <w:tabs>
          <w:tab w:val="left" w:pos="-720"/>
        </w:tabs>
        <w:jc w:val="both"/>
        <w:rPr>
          <w:rFonts w:ascii="Times New Roman" w:hAnsi="Times New Roman"/>
          <w:spacing w:val="-2"/>
          <w:szCs w:val="22"/>
          <w:lang w:val="pt-BR"/>
        </w:rPr>
      </w:pPr>
    </w:p>
    <w:p w14:paraId="7D87EE2E"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 xml:space="preserve">A Comissão Consultiva é um órgão estabelecido pelos Estados Partes na Convenção Interamericana sobre Transparência nas Aquisições de Armas Convencionais (doravante denominada “a Convenção”), em virtude do artigo 21 do Regulamento da Conferência de Estados Partes na Convenção. </w:t>
      </w:r>
    </w:p>
    <w:p w14:paraId="62C94AF4" w14:textId="77777777" w:rsidR="008C00D8" w:rsidRPr="00F372F7" w:rsidRDefault="008C00D8" w:rsidP="008C00D8">
      <w:pPr>
        <w:tabs>
          <w:tab w:val="left" w:pos="-720"/>
        </w:tabs>
        <w:jc w:val="both"/>
        <w:rPr>
          <w:rFonts w:ascii="Times New Roman" w:hAnsi="Times New Roman"/>
          <w:spacing w:val="-2"/>
          <w:szCs w:val="22"/>
          <w:lang w:val="pt-BR"/>
        </w:rPr>
      </w:pPr>
    </w:p>
    <w:p w14:paraId="5F4D5060"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2º</w:t>
      </w:r>
    </w:p>
    <w:p w14:paraId="341155A2" w14:textId="77777777" w:rsidR="008C00D8" w:rsidRPr="00F372F7" w:rsidRDefault="008C00D8" w:rsidP="008C00D8">
      <w:pPr>
        <w:tabs>
          <w:tab w:val="left" w:pos="-720"/>
        </w:tabs>
        <w:jc w:val="both"/>
        <w:rPr>
          <w:rFonts w:ascii="Times New Roman" w:hAnsi="Times New Roman"/>
          <w:spacing w:val="-2"/>
          <w:szCs w:val="22"/>
          <w:lang w:val="pt-BR"/>
        </w:rPr>
      </w:pPr>
    </w:p>
    <w:p w14:paraId="180EEAC4"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As atividades da Comissão Consultiva realizam-se no âmbito da Convenção e regem-se de acordo com o presente Regulamento Interno.</w:t>
      </w:r>
    </w:p>
    <w:p w14:paraId="0F511C8D" w14:textId="77777777" w:rsidR="008C00D8" w:rsidRPr="00F372F7" w:rsidRDefault="008C00D8" w:rsidP="008C00D8">
      <w:pPr>
        <w:tabs>
          <w:tab w:val="left" w:pos="-720"/>
        </w:tabs>
        <w:jc w:val="both"/>
        <w:rPr>
          <w:rFonts w:ascii="Times New Roman" w:hAnsi="Times New Roman"/>
          <w:spacing w:val="-2"/>
          <w:szCs w:val="22"/>
          <w:lang w:val="pt-BR"/>
        </w:rPr>
      </w:pPr>
    </w:p>
    <w:p w14:paraId="35C0FB4E"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CAPÍTULO II</w:t>
      </w:r>
    </w:p>
    <w:p w14:paraId="4775AE03"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FUNÇÕES</w:t>
      </w:r>
    </w:p>
    <w:p w14:paraId="08A1784B" w14:textId="77777777" w:rsidR="008C00D8" w:rsidRPr="00F372F7" w:rsidRDefault="008C00D8" w:rsidP="008C00D8">
      <w:pPr>
        <w:tabs>
          <w:tab w:val="left" w:pos="-720"/>
        </w:tabs>
        <w:jc w:val="both"/>
        <w:rPr>
          <w:rFonts w:ascii="Times New Roman" w:hAnsi="Times New Roman"/>
          <w:spacing w:val="-2"/>
          <w:szCs w:val="22"/>
          <w:lang w:val="pt-BR"/>
        </w:rPr>
      </w:pPr>
    </w:p>
    <w:p w14:paraId="3590887F"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3</w:t>
      </w:r>
      <w:r w:rsidRPr="00F372F7">
        <w:rPr>
          <w:rFonts w:ascii="Times New Roman" w:hAnsi="Times New Roman"/>
          <w:b/>
          <w:szCs w:val="22"/>
          <w:vertAlign w:val="superscript"/>
          <w:lang w:val="pt-BR"/>
        </w:rPr>
        <w:t>o</w:t>
      </w:r>
    </w:p>
    <w:p w14:paraId="04D15345" w14:textId="77777777" w:rsidR="008C00D8" w:rsidRPr="00F372F7" w:rsidRDefault="008C00D8" w:rsidP="008C00D8">
      <w:pPr>
        <w:tabs>
          <w:tab w:val="left" w:pos="-720"/>
        </w:tabs>
        <w:jc w:val="both"/>
        <w:rPr>
          <w:rFonts w:ascii="Times New Roman" w:hAnsi="Times New Roman"/>
          <w:spacing w:val="-2"/>
          <w:szCs w:val="22"/>
          <w:lang w:val="pt-BR"/>
        </w:rPr>
      </w:pPr>
    </w:p>
    <w:p w14:paraId="6D743D74"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São funções da Comissão Consultiva:</w:t>
      </w:r>
    </w:p>
    <w:p w14:paraId="1F667E9C" w14:textId="77777777" w:rsidR="008C00D8" w:rsidRPr="00F372F7" w:rsidRDefault="008C00D8" w:rsidP="008C00D8">
      <w:pPr>
        <w:tabs>
          <w:tab w:val="left" w:pos="-720"/>
        </w:tabs>
        <w:jc w:val="both"/>
        <w:rPr>
          <w:rFonts w:ascii="Times New Roman" w:hAnsi="Times New Roman"/>
          <w:spacing w:val="-2"/>
          <w:szCs w:val="22"/>
          <w:lang w:val="pt-BR"/>
        </w:rPr>
      </w:pPr>
    </w:p>
    <w:p w14:paraId="3A13D6B4"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 xml:space="preserve">Promover o cumprimento das obrigações dos Estados Partes estabelecidas nos artigos III, IV e V da Convenção; </w:t>
      </w:r>
    </w:p>
    <w:p w14:paraId="26207B6D"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472BDBBD"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Apoiar a Secretaria-Geral da Organização dos Estados Americanos (SG/OEA), em sua qualidade de Secretaria Técnica e Administrativa da Convenção, no recebimento, compilação, análise e distribuição aos Estados Partes de qualquer informação em virtude dos artigos III, IV e V da Convenção;</w:t>
      </w:r>
    </w:p>
    <w:p w14:paraId="7899C503"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3E27FEBF"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Fornecer as informações necessárias para manter atualizada a lista de pontos de contato dos Estados Partes;</w:t>
      </w:r>
    </w:p>
    <w:p w14:paraId="1F64CC91" w14:textId="77777777" w:rsidR="008C00D8" w:rsidRPr="00F372F7" w:rsidRDefault="008C00D8" w:rsidP="008C00D8">
      <w:pPr>
        <w:tabs>
          <w:tab w:val="left" w:pos="-720"/>
        </w:tabs>
        <w:jc w:val="both"/>
        <w:rPr>
          <w:rFonts w:ascii="Times New Roman" w:hAnsi="Times New Roman"/>
          <w:spacing w:val="-2"/>
          <w:szCs w:val="22"/>
          <w:lang w:val="pt-BR"/>
        </w:rPr>
      </w:pPr>
    </w:p>
    <w:p w14:paraId="79088EB8"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Promover o intercâmbio de informações a que se refere a Convenção;</w:t>
      </w:r>
    </w:p>
    <w:p w14:paraId="585823F3"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48680BE6"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 xml:space="preserve">Facilitar o intercâmbio de informações sobre legislações nacionais e procedimentos administrativos dos Estados Partes na Convenção; </w:t>
      </w:r>
    </w:p>
    <w:p w14:paraId="5A9D629A"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62DC84EF"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Promover a capacitação, o intercâmbio de conhecimentos e experiências, e a assistência técnica entre os Estados Partes na Convenção e as organizações internacionais pertinentes, bem como os estudos acadêmicos;</w:t>
      </w:r>
    </w:p>
    <w:p w14:paraId="40E4C09B"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22BDD6D9"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lastRenderedPageBreak/>
        <w:t xml:space="preserve">Solicitar a outros Estados não Partes na Convenção, quando apropriado, informações sobre as exportações de armas convencionais aos Estados Partes, em conformidade com o artigo V da Convenção; </w:t>
      </w:r>
    </w:p>
    <w:p w14:paraId="67E802D2" w14:textId="77777777" w:rsidR="008C00D8" w:rsidRPr="00F372F7" w:rsidRDefault="008C00D8" w:rsidP="008C00D8">
      <w:pPr>
        <w:pStyle w:val="ListParagraph"/>
        <w:ind w:left="1440" w:hanging="720"/>
        <w:rPr>
          <w:rFonts w:ascii="Times New Roman" w:hAnsi="Times New Roman"/>
          <w:spacing w:val="-2"/>
          <w:szCs w:val="22"/>
          <w:lang w:val="pt-BR"/>
        </w:rPr>
      </w:pPr>
    </w:p>
    <w:p w14:paraId="4AC110C6"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 xml:space="preserve">Promover a universalização da Convenção mediante a adesão e a ratificação por parte dos Estados membros da OEA que ainda não se tornaram partes da Convenção; </w:t>
      </w:r>
    </w:p>
    <w:p w14:paraId="6BAD57A4"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74081501"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Analisar medidas para promover a integração da Convenção com outros instrumentos regionais e internacionais com objetivos complementares a ela, como a Convenção Interamericana contra a Fabricação e o Tráfico Ilícitos de Armas de Fogo, Munições, Explosivos e Outros Materiais Correlatos (CIFTA), e o Registro de Armas Convencionais das Nações Unidas;</w:t>
      </w:r>
    </w:p>
    <w:p w14:paraId="751AACE3"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1B678577"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Coordenar e manter comunicação permanente com a Junta Interamericana de Defesa, por meio da Divisão de Serviços Técnicos – Seção de Gestão de Armas, sobre todos os assuntos relacionados com a Convenção;</w:t>
      </w:r>
    </w:p>
    <w:p w14:paraId="6D77E997"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2C492B03"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Contribuir para a implementação de programas, projetos e atividades desenvolvidos pela SG/OEA a fim de facilitar a aplicação da Convenção; e</w:t>
      </w:r>
    </w:p>
    <w:p w14:paraId="0E03CDF6"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43010EDD" w14:textId="77777777" w:rsidR="008C00D8" w:rsidRPr="00F372F7" w:rsidRDefault="008C00D8" w:rsidP="008C00D8">
      <w:pPr>
        <w:widowControl/>
        <w:numPr>
          <w:ilvl w:val="0"/>
          <w:numId w:val="3"/>
        </w:numPr>
        <w:tabs>
          <w:tab w:val="left" w:pos="-720"/>
        </w:tabs>
        <w:ind w:left="1440" w:hanging="720"/>
        <w:jc w:val="both"/>
        <w:rPr>
          <w:rFonts w:ascii="Times New Roman" w:hAnsi="Times New Roman"/>
          <w:spacing w:val="-2"/>
          <w:szCs w:val="22"/>
          <w:lang w:val="pt-BR"/>
        </w:rPr>
      </w:pPr>
      <w:r w:rsidRPr="00F372F7">
        <w:rPr>
          <w:rFonts w:ascii="Times New Roman" w:hAnsi="Times New Roman"/>
          <w:szCs w:val="22"/>
          <w:lang w:val="pt-BR"/>
        </w:rPr>
        <w:t>Promover medidas para facilitar a aplicação da Convenção.</w:t>
      </w:r>
    </w:p>
    <w:p w14:paraId="1AA40C7A" w14:textId="77777777" w:rsidR="008C00D8" w:rsidRPr="00F372F7" w:rsidRDefault="008C00D8" w:rsidP="008C00D8">
      <w:pPr>
        <w:tabs>
          <w:tab w:val="left" w:pos="-720"/>
        </w:tabs>
        <w:ind w:left="1440" w:hanging="720"/>
        <w:jc w:val="both"/>
        <w:rPr>
          <w:rFonts w:ascii="Times New Roman" w:hAnsi="Times New Roman"/>
          <w:spacing w:val="-2"/>
          <w:szCs w:val="22"/>
          <w:lang w:val="pt-BR"/>
        </w:rPr>
      </w:pPr>
    </w:p>
    <w:p w14:paraId="227F7625" w14:textId="77777777" w:rsidR="008C00D8" w:rsidRPr="00F372F7" w:rsidRDefault="008C00D8" w:rsidP="008C00D8">
      <w:pPr>
        <w:tabs>
          <w:tab w:val="center" w:pos="3960"/>
        </w:tabs>
        <w:jc w:val="center"/>
        <w:rPr>
          <w:rFonts w:ascii="Times New Roman" w:hAnsi="Times New Roman"/>
          <w:spacing w:val="-2"/>
          <w:szCs w:val="22"/>
          <w:lang w:val="pt-BR"/>
        </w:rPr>
      </w:pPr>
    </w:p>
    <w:p w14:paraId="0EE42A68"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CAPÍTULO III</w:t>
      </w:r>
    </w:p>
    <w:p w14:paraId="623B9DC3" w14:textId="77777777" w:rsidR="008C00D8" w:rsidRPr="00F372F7" w:rsidRDefault="008C00D8" w:rsidP="008C00D8">
      <w:pPr>
        <w:tabs>
          <w:tab w:val="center" w:pos="3960"/>
        </w:tabs>
        <w:jc w:val="center"/>
        <w:rPr>
          <w:rFonts w:ascii="Times New Roman" w:hAnsi="Times New Roman"/>
          <w:b/>
          <w:spacing w:val="-2"/>
          <w:szCs w:val="22"/>
          <w:lang w:val="pt-BR"/>
        </w:rPr>
      </w:pPr>
      <w:r w:rsidRPr="00F372F7">
        <w:rPr>
          <w:rFonts w:ascii="Times New Roman" w:hAnsi="Times New Roman"/>
          <w:szCs w:val="22"/>
          <w:lang w:val="pt-BR"/>
        </w:rPr>
        <w:t>COMPOSIÇÃO</w:t>
      </w:r>
    </w:p>
    <w:p w14:paraId="242034B5" w14:textId="77777777" w:rsidR="008C00D8" w:rsidRPr="00F372F7" w:rsidRDefault="008C00D8" w:rsidP="008C00D8">
      <w:pPr>
        <w:tabs>
          <w:tab w:val="left" w:pos="-720"/>
        </w:tabs>
        <w:jc w:val="both"/>
        <w:rPr>
          <w:rFonts w:ascii="Times New Roman" w:hAnsi="Times New Roman"/>
          <w:spacing w:val="-2"/>
          <w:szCs w:val="22"/>
          <w:lang w:val="pt-BR"/>
        </w:rPr>
      </w:pPr>
    </w:p>
    <w:p w14:paraId="0292C8B1"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4</w:t>
      </w:r>
      <w:r w:rsidRPr="00F372F7">
        <w:rPr>
          <w:rFonts w:ascii="Times New Roman" w:hAnsi="Times New Roman"/>
          <w:b/>
          <w:szCs w:val="22"/>
          <w:vertAlign w:val="superscript"/>
          <w:lang w:val="pt-BR"/>
        </w:rPr>
        <w:t>o</w:t>
      </w:r>
    </w:p>
    <w:p w14:paraId="5429E5F9" w14:textId="77777777" w:rsidR="008C00D8" w:rsidRPr="00F372F7" w:rsidRDefault="008C00D8" w:rsidP="008C00D8">
      <w:pPr>
        <w:tabs>
          <w:tab w:val="left" w:pos="-720"/>
        </w:tabs>
        <w:jc w:val="both"/>
        <w:rPr>
          <w:rFonts w:ascii="Times New Roman" w:hAnsi="Times New Roman"/>
          <w:spacing w:val="-2"/>
          <w:szCs w:val="22"/>
          <w:lang w:val="pt-BR"/>
        </w:rPr>
      </w:pPr>
    </w:p>
    <w:p w14:paraId="666859B9"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 Comissão Consultiva será constituída de um representante de cada Estado Parte na Convenção.</w:t>
      </w:r>
    </w:p>
    <w:p w14:paraId="4C46FE00" w14:textId="77777777" w:rsidR="008C00D8" w:rsidRPr="00F372F7" w:rsidRDefault="008C00D8" w:rsidP="008C00D8">
      <w:pPr>
        <w:tabs>
          <w:tab w:val="left" w:pos="-720"/>
        </w:tabs>
        <w:jc w:val="both"/>
        <w:rPr>
          <w:rFonts w:ascii="Times New Roman" w:hAnsi="Times New Roman"/>
          <w:b/>
          <w:spacing w:val="-2"/>
          <w:szCs w:val="22"/>
          <w:lang w:val="pt-BR"/>
        </w:rPr>
      </w:pPr>
    </w:p>
    <w:p w14:paraId="5A8B2023"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5</w:t>
      </w:r>
      <w:r w:rsidRPr="00F372F7">
        <w:rPr>
          <w:rFonts w:ascii="Times New Roman" w:hAnsi="Times New Roman"/>
          <w:b/>
          <w:szCs w:val="22"/>
          <w:vertAlign w:val="superscript"/>
          <w:lang w:val="pt-BR"/>
        </w:rPr>
        <w:t>o</w:t>
      </w:r>
    </w:p>
    <w:p w14:paraId="265CCC43" w14:textId="77777777" w:rsidR="008C00D8" w:rsidRPr="00F372F7" w:rsidRDefault="008C00D8" w:rsidP="008C00D8">
      <w:pPr>
        <w:tabs>
          <w:tab w:val="left" w:pos="-720"/>
        </w:tabs>
        <w:jc w:val="both"/>
        <w:rPr>
          <w:rFonts w:ascii="Times New Roman" w:hAnsi="Times New Roman"/>
          <w:spacing w:val="-2"/>
          <w:szCs w:val="22"/>
          <w:lang w:val="pt-BR"/>
        </w:rPr>
      </w:pPr>
    </w:p>
    <w:p w14:paraId="5114EF3F"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 xml:space="preserve">A Comissão Consultiva terá uma Secretaria </w:t>
      </w:r>
      <w:r w:rsidRPr="00F372F7">
        <w:rPr>
          <w:rFonts w:ascii="Times New Roman" w:hAnsi="Times New Roman"/>
          <w:i/>
          <w:iCs/>
          <w:szCs w:val="22"/>
          <w:lang w:val="pt-BR"/>
        </w:rPr>
        <w:t>Pro Tempore</w:t>
      </w:r>
      <w:r w:rsidRPr="00F372F7">
        <w:rPr>
          <w:rFonts w:ascii="Times New Roman" w:hAnsi="Times New Roman"/>
          <w:szCs w:val="22"/>
          <w:lang w:val="pt-BR"/>
        </w:rPr>
        <w:t xml:space="preserve">. O Estado Parte sede de cada reunião ordinária da Comissão Consultiva exercerá a Secretaria </w:t>
      </w:r>
      <w:r w:rsidRPr="00F372F7">
        <w:rPr>
          <w:rFonts w:ascii="Times New Roman" w:hAnsi="Times New Roman"/>
          <w:i/>
          <w:iCs/>
          <w:szCs w:val="22"/>
          <w:lang w:val="pt-BR"/>
        </w:rPr>
        <w:t>Pro Tempore</w:t>
      </w:r>
      <w:r w:rsidRPr="00F372F7">
        <w:rPr>
          <w:rFonts w:ascii="Times New Roman" w:hAnsi="Times New Roman"/>
          <w:szCs w:val="22"/>
          <w:lang w:val="pt-BR"/>
        </w:rPr>
        <w:t xml:space="preserve"> até a reunião ordinária seguinte.  Quando a reunião ordinária for realizada na sede principal da SG/OEA, nela será eleito o Estado Parte que exercerá a Secretaria </w:t>
      </w:r>
      <w:r w:rsidRPr="00F372F7">
        <w:rPr>
          <w:rFonts w:ascii="Times New Roman" w:hAnsi="Times New Roman"/>
          <w:i/>
          <w:iCs/>
          <w:szCs w:val="22"/>
          <w:lang w:val="pt-BR"/>
        </w:rPr>
        <w:t>Pro Tempore.</w:t>
      </w:r>
    </w:p>
    <w:p w14:paraId="2B2B139D" w14:textId="77777777" w:rsidR="008C00D8" w:rsidRPr="00F372F7" w:rsidRDefault="008C00D8" w:rsidP="008C00D8">
      <w:pPr>
        <w:tabs>
          <w:tab w:val="left" w:pos="-720"/>
        </w:tabs>
        <w:jc w:val="both"/>
        <w:rPr>
          <w:rFonts w:ascii="Times New Roman" w:hAnsi="Times New Roman"/>
          <w:b/>
          <w:spacing w:val="-2"/>
          <w:szCs w:val="22"/>
          <w:lang w:val="pt-BR"/>
        </w:rPr>
      </w:pPr>
    </w:p>
    <w:p w14:paraId="2E9C2BB4"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6</w:t>
      </w:r>
      <w:r w:rsidRPr="00F372F7">
        <w:rPr>
          <w:rFonts w:ascii="Times New Roman" w:hAnsi="Times New Roman"/>
          <w:b/>
          <w:szCs w:val="22"/>
          <w:vertAlign w:val="superscript"/>
          <w:lang w:val="pt-BR"/>
        </w:rPr>
        <w:t>o</w:t>
      </w:r>
    </w:p>
    <w:p w14:paraId="38455EAD" w14:textId="77777777" w:rsidR="008C00D8" w:rsidRPr="00F372F7" w:rsidRDefault="008C00D8" w:rsidP="008C00D8">
      <w:pPr>
        <w:tabs>
          <w:tab w:val="left" w:pos="-720"/>
        </w:tabs>
        <w:jc w:val="both"/>
        <w:rPr>
          <w:rFonts w:ascii="Times New Roman" w:hAnsi="Times New Roman"/>
          <w:spacing w:val="-2"/>
          <w:szCs w:val="22"/>
          <w:lang w:val="pt-BR"/>
        </w:rPr>
      </w:pPr>
    </w:p>
    <w:p w14:paraId="584DD4DC"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 xml:space="preserve">Em consulta com os Estados Partes na Convenção, a Secretaria </w:t>
      </w:r>
      <w:r w:rsidRPr="00F372F7">
        <w:rPr>
          <w:rFonts w:ascii="Times New Roman" w:hAnsi="Times New Roman"/>
          <w:i/>
          <w:iCs/>
          <w:szCs w:val="22"/>
          <w:lang w:val="pt-BR"/>
        </w:rPr>
        <w:t>Pro Tempore</w:t>
      </w:r>
      <w:r w:rsidRPr="00F372F7">
        <w:rPr>
          <w:rFonts w:ascii="Times New Roman" w:hAnsi="Times New Roman"/>
          <w:szCs w:val="22"/>
          <w:lang w:val="pt-BR"/>
        </w:rPr>
        <w:t xml:space="preserve"> exercerá as seguintes funções: </w:t>
      </w:r>
    </w:p>
    <w:p w14:paraId="3CEBD6BC" w14:textId="77777777" w:rsidR="008C00D8" w:rsidRPr="00F372F7" w:rsidRDefault="008C00D8" w:rsidP="008C00D8">
      <w:pPr>
        <w:tabs>
          <w:tab w:val="left" w:pos="-720"/>
        </w:tabs>
        <w:jc w:val="both"/>
        <w:rPr>
          <w:rFonts w:ascii="Times New Roman" w:hAnsi="Times New Roman"/>
          <w:spacing w:val="-2"/>
          <w:szCs w:val="22"/>
          <w:lang w:val="pt-BR"/>
        </w:rPr>
      </w:pPr>
    </w:p>
    <w:p w14:paraId="3E99C9D5"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b/>
        <w:t>a)</w:t>
      </w:r>
      <w:r w:rsidRPr="00F372F7">
        <w:rPr>
          <w:rFonts w:ascii="Times New Roman" w:hAnsi="Times New Roman"/>
          <w:szCs w:val="22"/>
          <w:lang w:val="pt-BR"/>
        </w:rPr>
        <w:tab/>
        <w:t>convocar as reuniões ordinárias e extraordinárias da Comissão Consultiva;</w:t>
      </w:r>
    </w:p>
    <w:p w14:paraId="2CE0BA8F" w14:textId="77777777" w:rsidR="008C00D8" w:rsidRPr="00F372F7" w:rsidRDefault="008C00D8" w:rsidP="008C00D8">
      <w:pPr>
        <w:tabs>
          <w:tab w:val="left" w:pos="-720"/>
        </w:tabs>
        <w:jc w:val="both"/>
        <w:rPr>
          <w:rFonts w:ascii="Times New Roman" w:hAnsi="Times New Roman"/>
          <w:spacing w:val="-2"/>
          <w:szCs w:val="22"/>
          <w:lang w:val="pt-BR"/>
        </w:rPr>
      </w:pPr>
    </w:p>
    <w:p w14:paraId="4461D30B"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b/>
        <w:t xml:space="preserve">b) </w:t>
      </w:r>
      <w:r w:rsidRPr="00F372F7">
        <w:rPr>
          <w:rFonts w:ascii="Times New Roman" w:hAnsi="Times New Roman"/>
          <w:szCs w:val="22"/>
          <w:lang w:val="pt-BR"/>
        </w:rPr>
        <w:tab/>
        <w:t>elaborar o projeto de agenda das reuniões;</w:t>
      </w:r>
    </w:p>
    <w:p w14:paraId="77EA37B1" w14:textId="77777777" w:rsidR="008C00D8" w:rsidRPr="00F372F7" w:rsidRDefault="008C00D8" w:rsidP="008C00D8">
      <w:pPr>
        <w:tabs>
          <w:tab w:val="left" w:pos="-720"/>
        </w:tabs>
        <w:jc w:val="both"/>
        <w:rPr>
          <w:rFonts w:ascii="Times New Roman" w:hAnsi="Times New Roman"/>
          <w:spacing w:val="-2"/>
          <w:szCs w:val="22"/>
          <w:lang w:val="pt-BR"/>
        </w:rPr>
      </w:pPr>
    </w:p>
    <w:p w14:paraId="6F677450"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b/>
        <w:t xml:space="preserve">c) </w:t>
      </w:r>
      <w:r w:rsidRPr="00F372F7">
        <w:rPr>
          <w:rFonts w:ascii="Times New Roman" w:hAnsi="Times New Roman"/>
          <w:szCs w:val="22"/>
          <w:lang w:val="pt-BR"/>
        </w:rPr>
        <w:tab/>
        <w:t xml:space="preserve">preparar os projetos de relatório e atas das reuniões; e </w:t>
      </w:r>
    </w:p>
    <w:p w14:paraId="6EE61A5E" w14:textId="77777777" w:rsidR="008C00D8" w:rsidRPr="00F372F7" w:rsidRDefault="008C00D8" w:rsidP="008C00D8">
      <w:pPr>
        <w:tabs>
          <w:tab w:val="left" w:pos="-720"/>
        </w:tabs>
        <w:jc w:val="both"/>
        <w:rPr>
          <w:rFonts w:ascii="Times New Roman" w:hAnsi="Times New Roman"/>
          <w:spacing w:val="-2"/>
          <w:szCs w:val="22"/>
          <w:lang w:val="pt-BR"/>
        </w:rPr>
      </w:pPr>
    </w:p>
    <w:p w14:paraId="0C8E8B5A"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lastRenderedPageBreak/>
        <w:tab/>
        <w:t xml:space="preserve">d) </w:t>
      </w:r>
      <w:r w:rsidRPr="00F372F7">
        <w:rPr>
          <w:rFonts w:ascii="Times New Roman" w:hAnsi="Times New Roman"/>
          <w:szCs w:val="22"/>
          <w:lang w:val="pt-BR"/>
        </w:rPr>
        <w:tab/>
        <w:t>as demais funções atribuídas pela Comissão Consultiva.</w:t>
      </w:r>
    </w:p>
    <w:p w14:paraId="5384B145" w14:textId="77777777" w:rsidR="008C00D8" w:rsidRPr="00F372F7" w:rsidRDefault="008C00D8" w:rsidP="008C00D8">
      <w:pPr>
        <w:tabs>
          <w:tab w:val="left" w:pos="-720"/>
        </w:tabs>
        <w:jc w:val="both"/>
        <w:rPr>
          <w:rFonts w:ascii="Times New Roman" w:hAnsi="Times New Roman"/>
          <w:spacing w:val="-2"/>
          <w:szCs w:val="22"/>
          <w:lang w:val="pt-BR"/>
        </w:rPr>
      </w:pPr>
    </w:p>
    <w:p w14:paraId="24917909" w14:textId="77777777" w:rsidR="008C00D8" w:rsidRPr="00F372F7" w:rsidRDefault="008C00D8" w:rsidP="008C00D8">
      <w:pPr>
        <w:tabs>
          <w:tab w:val="center" w:pos="3960"/>
        </w:tabs>
        <w:jc w:val="center"/>
        <w:rPr>
          <w:rFonts w:ascii="Times New Roman" w:hAnsi="Times New Roman"/>
          <w:spacing w:val="-2"/>
          <w:szCs w:val="22"/>
          <w:lang w:val="pt-BR"/>
        </w:rPr>
      </w:pPr>
    </w:p>
    <w:p w14:paraId="7BDD275B"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CAPÍTULO IV</w:t>
      </w:r>
    </w:p>
    <w:p w14:paraId="6E3BCD22"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REUNIÕES</w:t>
      </w:r>
    </w:p>
    <w:p w14:paraId="073993F5" w14:textId="77777777" w:rsidR="008C00D8" w:rsidRPr="00F372F7" w:rsidRDefault="008C00D8" w:rsidP="008C00D8">
      <w:pPr>
        <w:tabs>
          <w:tab w:val="left" w:pos="-720"/>
        </w:tabs>
        <w:jc w:val="both"/>
        <w:rPr>
          <w:rFonts w:ascii="Times New Roman" w:hAnsi="Times New Roman"/>
          <w:spacing w:val="-2"/>
          <w:szCs w:val="22"/>
          <w:lang w:val="pt-BR"/>
        </w:rPr>
      </w:pPr>
    </w:p>
    <w:p w14:paraId="46EDC232"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7</w:t>
      </w:r>
      <w:r w:rsidRPr="00F372F7">
        <w:rPr>
          <w:rFonts w:ascii="Times New Roman" w:hAnsi="Times New Roman"/>
          <w:b/>
          <w:szCs w:val="22"/>
          <w:vertAlign w:val="superscript"/>
          <w:lang w:val="pt-BR"/>
        </w:rPr>
        <w:t>o</w:t>
      </w:r>
    </w:p>
    <w:p w14:paraId="2A3FC7BD" w14:textId="77777777" w:rsidR="008C00D8" w:rsidRPr="00F372F7" w:rsidRDefault="008C00D8" w:rsidP="008C00D8">
      <w:pPr>
        <w:tabs>
          <w:tab w:val="left" w:pos="-720"/>
        </w:tabs>
        <w:jc w:val="both"/>
        <w:rPr>
          <w:rFonts w:ascii="Times New Roman" w:hAnsi="Times New Roman"/>
          <w:spacing w:val="-2"/>
          <w:szCs w:val="22"/>
          <w:lang w:val="pt-BR"/>
        </w:rPr>
      </w:pPr>
    </w:p>
    <w:p w14:paraId="6BDE73C0"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 Comissão Consultiva realizará pelo menos uma reunião ordinária semestral e as reuniões extraordinárias que forem necessárias.</w:t>
      </w:r>
    </w:p>
    <w:p w14:paraId="500B81A3" w14:textId="77777777" w:rsidR="008C00D8" w:rsidRPr="00F372F7" w:rsidRDefault="008C00D8" w:rsidP="008C00D8">
      <w:pPr>
        <w:tabs>
          <w:tab w:val="left" w:pos="-720"/>
        </w:tabs>
        <w:jc w:val="both"/>
        <w:rPr>
          <w:rFonts w:ascii="Times New Roman" w:hAnsi="Times New Roman"/>
          <w:spacing w:val="-2"/>
          <w:szCs w:val="22"/>
          <w:lang w:val="pt-BR"/>
        </w:rPr>
      </w:pPr>
    </w:p>
    <w:p w14:paraId="647931D7"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8</w:t>
      </w:r>
      <w:r w:rsidRPr="00F372F7">
        <w:rPr>
          <w:rFonts w:ascii="Times New Roman" w:hAnsi="Times New Roman"/>
          <w:b/>
          <w:szCs w:val="22"/>
          <w:vertAlign w:val="superscript"/>
          <w:lang w:val="pt-BR"/>
        </w:rPr>
        <w:t>o</w:t>
      </w:r>
    </w:p>
    <w:p w14:paraId="1879E6F7" w14:textId="77777777" w:rsidR="008C00D8" w:rsidRPr="00F372F7" w:rsidRDefault="008C00D8" w:rsidP="008C00D8">
      <w:pPr>
        <w:tabs>
          <w:tab w:val="left" w:pos="-720"/>
        </w:tabs>
        <w:jc w:val="both"/>
        <w:rPr>
          <w:rFonts w:ascii="Times New Roman" w:hAnsi="Times New Roman"/>
          <w:spacing w:val="-2"/>
          <w:szCs w:val="22"/>
          <w:lang w:val="pt-BR"/>
        </w:rPr>
      </w:pPr>
    </w:p>
    <w:p w14:paraId="179E4DC0" w14:textId="77777777" w:rsidR="008C00D8" w:rsidRPr="00F372F7" w:rsidRDefault="008C00D8" w:rsidP="008C00D8">
      <w:pPr>
        <w:tabs>
          <w:tab w:val="left" w:pos="-720"/>
        </w:tabs>
        <w:jc w:val="both"/>
        <w:rPr>
          <w:rFonts w:ascii="Times New Roman" w:hAnsi="Times New Roman"/>
          <w:szCs w:val="22"/>
          <w:lang w:val="pt-BR"/>
        </w:rPr>
      </w:pPr>
      <w:r w:rsidRPr="00F372F7">
        <w:rPr>
          <w:rFonts w:ascii="Times New Roman" w:hAnsi="Times New Roman"/>
          <w:szCs w:val="22"/>
          <w:lang w:val="pt-BR"/>
        </w:rPr>
        <w:t>A primeira reunião ordinária da Comissão Consultiva será realizada na sede principal da SG/OEA, a menos que um Estado Parte ofereça sede, em data a ser acordada na Comissão de Segurança Hemisférica e aprovada pelos Estados Partes, por meio de suas missões permanentes junto à OEA, no Conselho Permanente.</w:t>
      </w:r>
    </w:p>
    <w:p w14:paraId="2F19852F" w14:textId="77777777" w:rsidR="008C00D8" w:rsidRPr="00F372F7" w:rsidRDefault="008C00D8" w:rsidP="008C00D8">
      <w:pPr>
        <w:tabs>
          <w:tab w:val="left" w:pos="720"/>
        </w:tabs>
        <w:jc w:val="both"/>
        <w:rPr>
          <w:rFonts w:ascii="Times New Roman" w:hAnsi="Times New Roman"/>
          <w:szCs w:val="22"/>
          <w:lang w:val="pt-BR"/>
        </w:rPr>
      </w:pPr>
    </w:p>
    <w:p w14:paraId="01172C07" w14:textId="77777777" w:rsidR="008C00D8" w:rsidRPr="00F372F7" w:rsidRDefault="008C00D8" w:rsidP="008C00D8">
      <w:pPr>
        <w:tabs>
          <w:tab w:val="left" w:pos="720"/>
        </w:tabs>
        <w:jc w:val="both"/>
        <w:rPr>
          <w:rFonts w:ascii="Times New Roman" w:hAnsi="Times New Roman"/>
          <w:szCs w:val="22"/>
          <w:lang w:val="pt-BR"/>
        </w:rPr>
      </w:pPr>
      <w:r w:rsidRPr="00F372F7">
        <w:rPr>
          <w:rFonts w:ascii="Times New Roman" w:hAnsi="Times New Roman"/>
          <w:szCs w:val="22"/>
          <w:lang w:val="pt-BR"/>
        </w:rPr>
        <w:t>As reuniões da Comissão Consultiva serão realizadas no local acordado pelos Estados Partes na reunião ordinária anterior. Na ausência de oferecimento de sede, a Comissão Consultiva reunir-se-á na sede principal da SG/OEA.</w:t>
      </w:r>
    </w:p>
    <w:p w14:paraId="7100B4BF" w14:textId="77777777" w:rsidR="008C00D8" w:rsidRPr="00F372F7" w:rsidRDefault="008C00D8" w:rsidP="008C00D8">
      <w:pPr>
        <w:tabs>
          <w:tab w:val="left" w:pos="-720"/>
        </w:tabs>
        <w:jc w:val="both"/>
        <w:rPr>
          <w:rFonts w:ascii="Times New Roman" w:hAnsi="Times New Roman"/>
          <w:szCs w:val="22"/>
          <w:lang w:val="pt-BR"/>
        </w:rPr>
      </w:pPr>
    </w:p>
    <w:p w14:paraId="43230A09" w14:textId="77777777" w:rsidR="008C00D8" w:rsidRPr="00F372F7" w:rsidRDefault="008C00D8" w:rsidP="008C00D8">
      <w:pPr>
        <w:pStyle w:val="TOAHeading"/>
        <w:widowControl/>
        <w:tabs>
          <w:tab w:val="left" w:pos="720"/>
        </w:tabs>
        <w:suppressAutoHyphens w:val="0"/>
        <w:jc w:val="both"/>
        <w:rPr>
          <w:rFonts w:ascii="Times New Roman" w:hAnsi="Times New Roman"/>
          <w:spacing w:val="-2"/>
          <w:szCs w:val="22"/>
          <w:lang w:val="pt-BR"/>
        </w:rPr>
      </w:pPr>
      <w:r w:rsidRPr="00F372F7">
        <w:rPr>
          <w:rFonts w:ascii="Times New Roman" w:hAnsi="Times New Roman"/>
          <w:szCs w:val="22"/>
          <w:lang w:val="pt-BR"/>
        </w:rPr>
        <w:t>A SG/OEA, além das funções que lhe competem na qualidade de depositária da Convenção de acordo com o artigo XIV, prestará à Comissão Consultiva os serviços de secretaria e o apoio necessário para o cumprimento de seu mandato.</w:t>
      </w:r>
      <w:r w:rsidRPr="00F372F7">
        <w:rPr>
          <w:rFonts w:ascii="Times New Roman" w:hAnsi="Times New Roman"/>
          <w:szCs w:val="22"/>
          <w:lang w:val="pt-BR"/>
        </w:rPr>
        <w:tab/>
      </w:r>
    </w:p>
    <w:p w14:paraId="3244CA05" w14:textId="77777777" w:rsidR="008C00D8" w:rsidRPr="00F372F7" w:rsidRDefault="008C00D8" w:rsidP="008C00D8">
      <w:pPr>
        <w:tabs>
          <w:tab w:val="left" w:pos="-720"/>
        </w:tabs>
        <w:jc w:val="both"/>
        <w:rPr>
          <w:rFonts w:ascii="Times New Roman" w:hAnsi="Times New Roman"/>
          <w:b/>
          <w:spacing w:val="-2"/>
          <w:szCs w:val="22"/>
          <w:lang w:val="pt-BR"/>
        </w:rPr>
      </w:pPr>
    </w:p>
    <w:p w14:paraId="1406F7FD" w14:textId="77777777" w:rsidR="008C00D8" w:rsidRPr="00F372F7" w:rsidRDefault="008C00D8" w:rsidP="008C00D8">
      <w:pPr>
        <w:tabs>
          <w:tab w:val="left" w:pos="-720"/>
        </w:tabs>
        <w:jc w:val="both"/>
        <w:rPr>
          <w:rFonts w:ascii="Times New Roman" w:hAnsi="Times New Roman"/>
          <w:b/>
          <w:spacing w:val="-2"/>
          <w:szCs w:val="22"/>
          <w:lang w:val="pt-BR"/>
        </w:rPr>
      </w:pPr>
      <w:r w:rsidRPr="00F372F7">
        <w:rPr>
          <w:rFonts w:ascii="Times New Roman" w:hAnsi="Times New Roman"/>
          <w:b/>
          <w:szCs w:val="22"/>
          <w:lang w:val="pt-BR"/>
        </w:rPr>
        <w:t>Artigo 9</w:t>
      </w:r>
      <w:r w:rsidRPr="00F372F7">
        <w:rPr>
          <w:rFonts w:ascii="Times New Roman" w:hAnsi="Times New Roman"/>
          <w:b/>
          <w:szCs w:val="22"/>
          <w:vertAlign w:val="superscript"/>
          <w:lang w:val="pt-BR"/>
        </w:rPr>
        <w:t>o</w:t>
      </w:r>
    </w:p>
    <w:p w14:paraId="6A64540A" w14:textId="77777777" w:rsidR="008C00D8" w:rsidRPr="00F372F7" w:rsidRDefault="008C00D8" w:rsidP="008C00D8">
      <w:pPr>
        <w:tabs>
          <w:tab w:val="left" w:pos="-720"/>
        </w:tabs>
        <w:jc w:val="both"/>
        <w:rPr>
          <w:rFonts w:ascii="Times New Roman" w:hAnsi="Times New Roman"/>
          <w:spacing w:val="-2"/>
          <w:szCs w:val="22"/>
          <w:lang w:val="pt-BR"/>
        </w:rPr>
      </w:pPr>
    </w:p>
    <w:p w14:paraId="25F8E724"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O quórum necessário para a realização de uma reunião da Comissão Consultiva será constituído por mais de um terço de seus membros.</w:t>
      </w:r>
    </w:p>
    <w:p w14:paraId="58C80BF2" w14:textId="77777777" w:rsidR="008C00D8" w:rsidRPr="00F372F7" w:rsidRDefault="008C00D8" w:rsidP="008C00D8">
      <w:pPr>
        <w:tabs>
          <w:tab w:val="left" w:pos="-720"/>
        </w:tabs>
        <w:jc w:val="both"/>
        <w:rPr>
          <w:rFonts w:ascii="Times New Roman" w:hAnsi="Times New Roman"/>
          <w:b/>
          <w:spacing w:val="-2"/>
          <w:szCs w:val="22"/>
          <w:lang w:val="pt-BR"/>
        </w:rPr>
      </w:pPr>
    </w:p>
    <w:p w14:paraId="0D7F21C7" w14:textId="77777777" w:rsidR="008C00D8" w:rsidRPr="00F372F7" w:rsidRDefault="008C00D8" w:rsidP="008C00D8">
      <w:pPr>
        <w:tabs>
          <w:tab w:val="left" w:pos="-720"/>
        </w:tabs>
        <w:jc w:val="both"/>
        <w:rPr>
          <w:rFonts w:ascii="Times New Roman" w:hAnsi="Times New Roman"/>
          <w:b/>
          <w:spacing w:val="-2"/>
          <w:szCs w:val="22"/>
          <w:lang w:val="pt-BR"/>
        </w:rPr>
      </w:pPr>
      <w:r w:rsidRPr="00F372F7">
        <w:rPr>
          <w:rFonts w:ascii="Times New Roman" w:hAnsi="Times New Roman"/>
          <w:b/>
          <w:szCs w:val="22"/>
          <w:lang w:val="pt-BR"/>
        </w:rPr>
        <w:t>Artigo 10</w:t>
      </w:r>
    </w:p>
    <w:p w14:paraId="613F811E" w14:textId="77777777" w:rsidR="008C00D8" w:rsidRPr="00F372F7" w:rsidRDefault="008C00D8" w:rsidP="008C00D8">
      <w:pPr>
        <w:tabs>
          <w:tab w:val="left" w:pos="-720"/>
        </w:tabs>
        <w:jc w:val="both"/>
        <w:rPr>
          <w:rFonts w:ascii="Times New Roman" w:hAnsi="Times New Roman"/>
          <w:b/>
          <w:spacing w:val="-2"/>
          <w:szCs w:val="22"/>
          <w:lang w:val="pt-BR"/>
        </w:rPr>
      </w:pPr>
    </w:p>
    <w:p w14:paraId="5C495415" w14:textId="77777777" w:rsidR="008C00D8" w:rsidRPr="00F372F7" w:rsidRDefault="008C00D8" w:rsidP="008C00D8">
      <w:pPr>
        <w:tabs>
          <w:tab w:val="left" w:pos="-720"/>
        </w:tabs>
        <w:jc w:val="both"/>
        <w:rPr>
          <w:rFonts w:ascii="Times New Roman" w:hAnsi="Times New Roman"/>
          <w:szCs w:val="22"/>
          <w:lang w:val="pt-BR"/>
        </w:rPr>
      </w:pPr>
      <w:r w:rsidRPr="00F372F7">
        <w:rPr>
          <w:rFonts w:ascii="Times New Roman" w:hAnsi="Times New Roman"/>
          <w:szCs w:val="22"/>
          <w:lang w:val="pt-BR"/>
        </w:rPr>
        <w:t xml:space="preserve">Nas deliberações da Comissão Consultiva, cada representante terá um voto.  As decisões serão adotadas pela maioria dos representantes dos Estados Partes e terão caráter de recomendação. </w:t>
      </w:r>
    </w:p>
    <w:p w14:paraId="0AC692EB" w14:textId="77777777" w:rsidR="00F372F7" w:rsidRPr="00F372F7" w:rsidRDefault="00F372F7" w:rsidP="008C00D8">
      <w:pPr>
        <w:tabs>
          <w:tab w:val="left" w:pos="-720"/>
        </w:tabs>
        <w:jc w:val="both"/>
        <w:rPr>
          <w:rFonts w:ascii="Times New Roman" w:hAnsi="Times New Roman"/>
          <w:b/>
          <w:szCs w:val="22"/>
          <w:lang w:val="pt-BR"/>
        </w:rPr>
      </w:pPr>
    </w:p>
    <w:p w14:paraId="042B90F6" w14:textId="4EF792C6" w:rsidR="008C00D8" w:rsidRPr="00F372F7" w:rsidRDefault="008C00D8" w:rsidP="008C00D8">
      <w:pPr>
        <w:tabs>
          <w:tab w:val="left" w:pos="-720"/>
        </w:tabs>
        <w:jc w:val="both"/>
        <w:rPr>
          <w:rFonts w:ascii="Times New Roman" w:hAnsi="Times New Roman"/>
          <w:b/>
          <w:spacing w:val="-2"/>
          <w:szCs w:val="22"/>
          <w:lang w:val="pt-BR"/>
        </w:rPr>
      </w:pPr>
      <w:r w:rsidRPr="00F372F7">
        <w:rPr>
          <w:rFonts w:ascii="Times New Roman" w:hAnsi="Times New Roman"/>
          <w:b/>
          <w:szCs w:val="22"/>
          <w:lang w:val="pt-BR"/>
        </w:rPr>
        <w:t>Artigo 11</w:t>
      </w:r>
    </w:p>
    <w:p w14:paraId="1664CCFD" w14:textId="77777777" w:rsidR="008C00D8" w:rsidRPr="00F372F7" w:rsidRDefault="008C00D8" w:rsidP="008C00D8">
      <w:pPr>
        <w:tabs>
          <w:tab w:val="left" w:pos="-720"/>
        </w:tabs>
        <w:jc w:val="both"/>
        <w:rPr>
          <w:rFonts w:ascii="Times New Roman" w:hAnsi="Times New Roman"/>
          <w:b/>
          <w:spacing w:val="-2"/>
          <w:szCs w:val="22"/>
          <w:lang w:val="pt-BR"/>
        </w:rPr>
      </w:pPr>
    </w:p>
    <w:p w14:paraId="3418D26A"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A Comissão Consultiva manterá a confidencialidade de qualquer informação que receba no exercício das suas funções, se isso lhe for solicitado.</w:t>
      </w:r>
    </w:p>
    <w:p w14:paraId="18683EF6" w14:textId="77777777" w:rsidR="00F372F7" w:rsidRPr="00F372F7" w:rsidRDefault="00F372F7" w:rsidP="008C00D8">
      <w:pPr>
        <w:tabs>
          <w:tab w:val="left" w:pos="-720"/>
        </w:tabs>
        <w:jc w:val="both"/>
        <w:rPr>
          <w:rFonts w:ascii="Times New Roman" w:hAnsi="Times New Roman"/>
          <w:b/>
          <w:szCs w:val="22"/>
          <w:lang w:val="pt-BR"/>
        </w:rPr>
      </w:pPr>
    </w:p>
    <w:p w14:paraId="374CF171" w14:textId="7EFF04CE" w:rsidR="008C00D8" w:rsidRPr="00F372F7" w:rsidRDefault="008C00D8" w:rsidP="008C00D8">
      <w:pPr>
        <w:tabs>
          <w:tab w:val="left" w:pos="-720"/>
        </w:tabs>
        <w:jc w:val="both"/>
        <w:rPr>
          <w:rFonts w:ascii="Times New Roman" w:hAnsi="Times New Roman"/>
          <w:b/>
          <w:szCs w:val="22"/>
          <w:lang w:val="pt-BR"/>
        </w:rPr>
      </w:pPr>
      <w:r w:rsidRPr="00F372F7">
        <w:rPr>
          <w:rFonts w:ascii="Times New Roman" w:hAnsi="Times New Roman"/>
          <w:b/>
          <w:szCs w:val="22"/>
          <w:lang w:val="pt-BR"/>
        </w:rPr>
        <w:t>Artigo 12</w:t>
      </w:r>
    </w:p>
    <w:p w14:paraId="1DD75A17" w14:textId="77777777" w:rsidR="008C00D8" w:rsidRPr="00F372F7" w:rsidRDefault="008C00D8" w:rsidP="008C00D8">
      <w:pPr>
        <w:tabs>
          <w:tab w:val="left" w:pos="-720"/>
        </w:tabs>
        <w:jc w:val="both"/>
        <w:rPr>
          <w:rFonts w:ascii="Times New Roman" w:hAnsi="Times New Roman"/>
          <w:spacing w:val="-2"/>
          <w:szCs w:val="22"/>
          <w:lang w:val="pt-BR"/>
        </w:rPr>
      </w:pPr>
    </w:p>
    <w:p w14:paraId="69A7D641" w14:textId="77777777" w:rsidR="008C00D8" w:rsidRPr="00F372F7" w:rsidRDefault="008C00D8" w:rsidP="008C00D8">
      <w:pPr>
        <w:tabs>
          <w:tab w:val="left" w:pos="720"/>
        </w:tabs>
        <w:rPr>
          <w:rFonts w:ascii="Times New Roman" w:hAnsi="Times New Roman"/>
          <w:szCs w:val="22"/>
          <w:lang w:val="pt-BR"/>
        </w:rPr>
      </w:pPr>
      <w:r w:rsidRPr="00F372F7">
        <w:rPr>
          <w:rFonts w:ascii="Times New Roman" w:hAnsi="Times New Roman"/>
          <w:szCs w:val="22"/>
          <w:lang w:val="pt-BR"/>
        </w:rPr>
        <w:t>Os idiomas de trabalho da Comissão Consultiva serão os idiomas oficiais da Organização dos Estados Americanos.</w:t>
      </w:r>
    </w:p>
    <w:p w14:paraId="66D37AC4" w14:textId="77777777" w:rsidR="008C00D8" w:rsidRPr="00F372F7" w:rsidRDefault="008C00D8" w:rsidP="008C00D8">
      <w:pPr>
        <w:tabs>
          <w:tab w:val="left" w:pos="-720"/>
        </w:tabs>
        <w:jc w:val="both"/>
        <w:rPr>
          <w:rFonts w:ascii="Times New Roman" w:hAnsi="Times New Roman"/>
          <w:szCs w:val="22"/>
          <w:lang w:val="pt-BR"/>
        </w:rPr>
      </w:pPr>
    </w:p>
    <w:p w14:paraId="39CE26E6" w14:textId="77777777" w:rsidR="00F372F7" w:rsidRPr="00F372F7" w:rsidRDefault="00F372F7" w:rsidP="008C00D8">
      <w:pPr>
        <w:tabs>
          <w:tab w:val="left" w:pos="-720"/>
        </w:tabs>
        <w:jc w:val="both"/>
        <w:rPr>
          <w:rFonts w:ascii="Times New Roman" w:hAnsi="Times New Roman"/>
          <w:b/>
          <w:szCs w:val="22"/>
          <w:lang w:val="pt-BR"/>
        </w:rPr>
      </w:pPr>
    </w:p>
    <w:p w14:paraId="7019B8EA" w14:textId="77777777" w:rsidR="00F372F7" w:rsidRPr="00F372F7" w:rsidRDefault="00F372F7" w:rsidP="008C00D8">
      <w:pPr>
        <w:tabs>
          <w:tab w:val="left" w:pos="-720"/>
        </w:tabs>
        <w:jc w:val="both"/>
        <w:rPr>
          <w:rFonts w:ascii="Times New Roman" w:hAnsi="Times New Roman"/>
          <w:b/>
          <w:szCs w:val="22"/>
          <w:lang w:val="pt-BR"/>
        </w:rPr>
      </w:pPr>
    </w:p>
    <w:p w14:paraId="5A199468" w14:textId="34B71E7F"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lastRenderedPageBreak/>
        <w:t>Artigo 13</w:t>
      </w:r>
    </w:p>
    <w:p w14:paraId="225F4681" w14:textId="77777777" w:rsidR="008C00D8" w:rsidRPr="00F372F7" w:rsidRDefault="008C00D8" w:rsidP="008C00D8">
      <w:pPr>
        <w:tabs>
          <w:tab w:val="left" w:pos="-720"/>
        </w:tabs>
        <w:jc w:val="both"/>
        <w:rPr>
          <w:rFonts w:ascii="Times New Roman" w:hAnsi="Times New Roman"/>
          <w:spacing w:val="-2"/>
          <w:szCs w:val="22"/>
          <w:lang w:val="pt-BR"/>
        </w:rPr>
      </w:pPr>
    </w:p>
    <w:p w14:paraId="3C208BD8"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szCs w:val="22"/>
          <w:lang w:val="pt-BR"/>
        </w:rPr>
        <w:t xml:space="preserve">A presidência das reuniões será exercida pelo Estado Parte que estiver exercendo a Secretaria </w:t>
      </w:r>
      <w:r w:rsidRPr="00F372F7">
        <w:rPr>
          <w:rFonts w:ascii="Times New Roman" w:hAnsi="Times New Roman"/>
          <w:i/>
          <w:iCs/>
          <w:szCs w:val="22"/>
          <w:lang w:val="pt-BR"/>
        </w:rPr>
        <w:t>Pro Tempore</w:t>
      </w:r>
      <w:r w:rsidRPr="00F372F7">
        <w:rPr>
          <w:rFonts w:ascii="Times New Roman" w:hAnsi="Times New Roman"/>
          <w:szCs w:val="22"/>
          <w:lang w:val="pt-BR"/>
        </w:rPr>
        <w:t>.</w:t>
      </w:r>
    </w:p>
    <w:p w14:paraId="47A1B429" w14:textId="77777777" w:rsidR="008C00D8" w:rsidRPr="00F372F7" w:rsidRDefault="008C00D8" w:rsidP="008C00D8">
      <w:pPr>
        <w:tabs>
          <w:tab w:val="left" w:pos="-720"/>
        </w:tabs>
        <w:jc w:val="both"/>
        <w:rPr>
          <w:rFonts w:ascii="Times New Roman" w:hAnsi="Times New Roman"/>
          <w:spacing w:val="-2"/>
          <w:szCs w:val="22"/>
          <w:lang w:val="pt-BR"/>
        </w:rPr>
      </w:pPr>
    </w:p>
    <w:p w14:paraId="218968CE" w14:textId="77777777"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CAPÍTULO V</w:t>
      </w:r>
    </w:p>
    <w:p w14:paraId="2F866D7F" w14:textId="77777777" w:rsidR="008C00D8" w:rsidRPr="00F372F7" w:rsidRDefault="008C00D8" w:rsidP="008C00D8">
      <w:pPr>
        <w:tabs>
          <w:tab w:val="center" w:pos="3960"/>
        </w:tabs>
        <w:jc w:val="center"/>
        <w:rPr>
          <w:rFonts w:ascii="Times New Roman" w:hAnsi="Times New Roman"/>
          <w:b/>
          <w:spacing w:val="-2"/>
          <w:szCs w:val="22"/>
          <w:lang w:val="pt-BR"/>
        </w:rPr>
      </w:pPr>
      <w:r w:rsidRPr="00F372F7">
        <w:rPr>
          <w:rFonts w:ascii="Times New Roman" w:hAnsi="Times New Roman"/>
          <w:szCs w:val="22"/>
          <w:lang w:val="pt-BR"/>
        </w:rPr>
        <w:t>ORÇAMENTO E FINANÇAS</w:t>
      </w:r>
    </w:p>
    <w:p w14:paraId="53235FA0" w14:textId="77777777" w:rsidR="008C00D8" w:rsidRPr="00F372F7" w:rsidRDefault="008C00D8" w:rsidP="008C00D8">
      <w:pPr>
        <w:tabs>
          <w:tab w:val="left" w:pos="-720"/>
        </w:tabs>
        <w:jc w:val="both"/>
        <w:rPr>
          <w:rFonts w:ascii="Times New Roman" w:hAnsi="Times New Roman"/>
          <w:spacing w:val="-2"/>
          <w:szCs w:val="22"/>
          <w:lang w:val="pt-BR"/>
        </w:rPr>
      </w:pPr>
    </w:p>
    <w:p w14:paraId="0F1869B3" w14:textId="77777777" w:rsidR="008C00D8" w:rsidRPr="00F372F7" w:rsidRDefault="008C00D8" w:rsidP="008C00D8">
      <w:pPr>
        <w:tabs>
          <w:tab w:val="left" w:pos="-720"/>
        </w:tabs>
        <w:jc w:val="both"/>
        <w:rPr>
          <w:rFonts w:ascii="Times New Roman" w:hAnsi="Times New Roman"/>
          <w:b/>
          <w:spacing w:val="-2"/>
          <w:szCs w:val="22"/>
          <w:lang w:val="pt-BR"/>
        </w:rPr>
      </w:pPr>
      <w:r w:rsidRPr="00F372F7">
        <w:rPr>
          <w:rFonts w:ascii="Times New Roman" w:hAnsi="Times New Roman"/>
          <w:b/>
          <w:szCs w:val="22"/>
          <w:lang w:val="pt-BR"/>
        </w:rPr>
        <w:t>Artigo 14</w:t>
      </w:r>
    </w:p>
    <w:p w14:paraId="369BB312" w14:textId="77777777" w:rsidR="008C00D8" w:rsidRPr="00F372F7" w:rsidRDefault="008C00D8" w:rsidP="008C00D8">
      <w:pPr>
        <w:tabs>
          <w:tab w:val="left" w:pos="-720"/>
        </w:tabs>
        <w:jc w:val="both"/>
        <w:rPr>
          <w:rFonts w:ascii="Times New Roman" w:hAnsi="Times New Roman"/>
          <w:spacing w:val="-2"/>
          <w:szCs w:val="22"/>
          <w:lang w:val="pt-BR"/>
        </w:rPr>
      </w:pPr>
    </w:p>
    <w:p w14:paraId="0E31987A" w14:textId="77777777" w:rsidR="008C00D8" w:rsidRPr="00F372F7" w:rsidRDefault="008C00D8" w:rsidP="008C00D8">
      <w:pPr>
        <w:tabs>
          <w:tab w:val="left" w:pos="720"/>
        </w:tabs>
        <w:jc w:val="both"/>
        <w:rPr>
          <w:rFonts w:ascii="Times New Roman" w:hAnsi="Times New Roman"/>
          <w:szCs w:val="22"/>
          <w:lang w:val="pt-BR"/>
        </w:rPr>
      </w:pPr>
      <w:r w:rsidRPr="00F372F7">
        <w:rPr>
          <w:rFonts w:ascii="Times New Roman" w:hAnsi="Times New Roman"/>
          <w:szCs w:val="22"/>
          <w:lang w:val="pt-BR"/>
        </w:rPr>
        <w:t xml:space="preserve">A Comissão Consultiva, por intermédio do Estado Parte que estiver exercendo a Secretaria </w:t>
      </w:r>
      <w:r w:rsidRPr="00F372F7">
        <w:rPr>
          <w:rFonts w:ascii="Times New Roman" w:hAnsi="Times New Roman"/>
          <w:i/>
          <w:iCs/>
          <w:szCs w:val="22"/>
          <w:lang w:val="pt-BR"/>
        </w:rPr>
        <w:t>Pro Tempore</w:t>
      </w:r>
      <w:r w:rsidRPr="00F372F7">
        <w:rPr>
          <w:rFonts w:ascii="Times New Roman" w:hAnsi="Times New Roman"/>
          <w:szCs w:val="22"/>
          <w:lang w:val="pt-BR"/>
        </w:rPr>
        <w:t>, terá faculdades para receber contribuições voluntárias de qualquer Estado ou organismo internacional para o desempenho de suas funções, segundo as modalidades que acordarem os Estados Partes.</w:t>
      </w:r>
    </w:p>
    <w:p w14:paraId="1FB3391E" w14:textId="77777777" w:rsidR="008C00D8" w:rsidRPr="00F372F7" w:rsidRDefault="008C00D8" w:rsidP="008C00D8">
      <w:pPr>
        <w:tabs>
          <w:tab w:val="left" w:pos="-720"/>
        </w:tabs>
        <w:jc w:val="both"/>
        <w:rPr>
          <w:rFonts w:ascii="Times New Roman" w:hAnsi="Times New Roman"/>
          <w:spacing w:val="-2"/>
          <w:szCs w:val="22"/>
          <w:lang w:val="pt-BR"/>
        </w:rPr>
      </w:pPr>
    </w:p>
    <w:p w14:paraId="39A3019A" w14:textId="77777777" w:rsidR="008C00D8" w:rsidRPr="00F372F7" w:rsidRDefault="008C00D8" w:rsidP="008C00D8">
      <w:pPr>
        <w:tabs>
          <w:tab w:val="left" w:pos="-720"/>
        </w:tabs>
        <w:jc w:val="both"/>
        <w:rPr>
          <w:rFonts w:ascii="Times New Roman" w:hAnsi="Times New Roman"/>
          <w:spacing w:val="-2"/>
          <w:szCs w:val="22"/>
          <w:lang w:val="pt-BR"/>
        </w:rPr>
      </w:pPr>
    </w:p>
    <w:p w14:paraId="3D813249" w14:textId="0624D1BF" w:rsidR="008C00D8" w:rsidRPr="00F372F7" w:rsidRDefault="008C00D8" w:rsidP="008C00D8">
      <w:pPr>
        <w:tabs>
          <w:tab w:val="center" w:pos="3960"/>
        </w:tabs>
        <w:jc w:val="center"/>
        <w:rPr>
          <w:rFonts w:ascii="Times New Roman" w:hAnsi="Times New Roman"/>
          <w:spacing w:val="-2"/>
          <w:szCs w:val="22"/>
          <w:lang w:val="pt-BR"/>
        </w:rPr>
      </w:pPr>
      <w:r w:rsidRPr="00F372F7">
        <w:rPr>
          <w:rFonts w:ascii="Times New Roman" w:hAnsi="Times New Roman"/>
          <w:szCs w:val="22"/>
          <w:lang w:val="pt-BR"/>
        </w:rPr>
        <w:t>CAPÍTULO VI</w:t>
      </w:r>
    </w:p>
    <w:p w14:paraId="2072DCFC" w14:textId="77777777" w:rsidR="008C00D8" w:rsidRPr="00F372F7" w:rsidRDefault="008C00D8" w:rsidP="008C00D8">
      <w:pPr>
        <w:tabs>
          <w:tab w:val="center" w:pos="3960"/>
        </w:tabs>
        <w:jc w:val="center"/>
        <w:rPr>
          <w:rFonts w:ascii="Times New Roman" w:hAnsi="Times New Roman"/>
          <w:b/>
          <w:spacing w:val="-2"/>
          <w:szCs w:val="22"/>
          <w:lang w:val="pt-BR"/>
        </w:rPr>
      </w:pPr>
      <w:r w:rsidRPr="00F372F7">
        <w:rPr>
          <w:rFonts w:ascii="Times New Roman" w:hAnsi="Times New Roman"/>
          <w:szCs w:val="22"/>
          <w:lang w:val="pt-BR"/>
        </w:rPr>
        <w:t>REGULAMENTO INTERNO</w:t>
      </w:r>
    </w:p>
    <w:p w14:paraId="71946771" w14:textId="77777777" w:rsidR="008C00D8" w:rsidRPr="00F372F7" w:rsidRDefault="008C00D8" w:rsidP="008C00D8">
      <w:pPr>
        <w:tabs>
          <w:tab w:val="left" w:pos="-720"/>
        </w:tabs>
        <w:jc w:val="both"/>
        <w:rPr>
          <w:rFonts w:ascii="Times New Roman" w:hAnsi="Times New Roman"/>
          <w:b/>
          <w:spacing w:val="-2"/>
          <w:szCs w:val="22"/>
          <w:lang w:val="pt-BR"/>
        </w:rPr>
      </w:pPr>
    </w:p>
    <w:p w14:paraId="65514738" w14:textId="77777777" w:rsidR="008C00D8" w:rsidRPr="00F372F7" w:rsidRDefault="008C00D8" w:rsidP="008C00D8">
      <w:pPr>
        <w:tabs>
          <w:tab w:val="left" w:pos="-720"/>
        </w:tabs>
        <w:jc w:val="both"/>
        <w:rPr>
          <w:rFonts w:ascii="Times New Roman" w:hAnsi="Times New Roman"/>
          <w:b/>
          <w:spacing w:val="-2"/>
          <w:szCs w:val="22"/>
          <w:lang w:val="pt-BR"/>
        </w:rPr>
      </w:pPr>
      <w:r w:rsidRPr="00F372F7">
        <w:rPr>
          <w:rFonts w:ascii="Times New Roman" w:hAnsi="Times New Roman"/>
          <w:b/>
          <w:szCs w:val="22"/>
          <w:lang w:val="pt-BR"/>
        </w:rPr>
        <w:t>Artigo 15</w:t>
      </w:r>
    </w:p>
    <w:p w14:paraId="7A262235" w14:textId="77777777" w:rsidR="008C00D8" w:rsidRPr="00F372F7" w:rsidRDefault="008C00D8" w:rsidP="008C00D8">
      <w:pPr>
        <w:tabs>
          <w:tab w:val="left" w:pos="-720"/>
        </w:tabs>
        <w:jc w:val="both"/>
        <w:rPr>
          <w:rFonts w:ascii="Times New Roman" w:hAnsi="Times New Roman"/>
          <w:b/>
          <w:szCs w:val="22"/>
          <w:lang w:val="pt-BR"/>
        </w:rPr>
      </w:pPr>
    </w:p>
    <w:p w14:paraId="23FB368E" w14:textId="4D7C8331" w:rsidR="008C00D8" w:rsidRPr="00F372F7" w:rsidRDefault="008C00D8" w:rsidP="008C00D8">
      <w:pPr>
        <w:tabs>
          <w:tab w:val="left" w:pos="-720"/>
        </w:tabs>
        <w:jc w:val="both"/>
        <w:rPr>
          <w:rFonts w:ascii="Times New Roman" w:hAnsi="Times New Roman"/>
          <w:szCs w:val="22"/>
          <w:lang w:val="pt-BR"/>
        </w:rPr>
      </w:pPr>
      <w:r w:rsidRPr="00F372F7">
        <w:rPr>
          <w:rFonts w:ascii="Times New Roman" w:hAnsi="Times New Roman"/>
          <w:szCs w:val="22"/>
          <w:lang w:val="pt-BR"/>
        </w:rPr>
        <w:t xml:space="preserve">Este Regulamento Interno será aprovado pela </w:t>
      </w:r>
      <w:r w:rsidR="0097559B" w:rsidRPr="00F372F7">
        <w:rPr>
          <w:rFonts w:ascii="Times New Roman" w:hAnsi="Times New Roman"/>
          <w:szCs w:val="22"/>
          <w:lang w:val="pt-BR"/>
        </w:rPr>
        <w:t>Conferência de Estados Partes</w:t>
      </w:r>
      <w:r w:rsidRPr="00F372F7">
        <w:rPr>
          <w:rFonts w:ascii="Times New Roman" w:hAnsi="Times New Roman"/>
          <w:szCs w:val="22"/>
          <w:lang w:val="pt-BR"/>
        </w:rPr>
        <w:t xml:space="preserve">. Sua aprovação e modificações propostas estarão sujeitas ao </w:t>
      </w:r>
      <w:r w:rsidR="0097559B" w:rsidRPr="00F372F7">
        <w:rPr>
          <w:rFonts w:ascii="Times New Roman" w:hAnsi="Times New Roman"/>
          <w:szCs w:val="22"/>
          <w:lang w:val="pt-BR"/>
        </w:rPr>
        <w:t>quórum de dois terços dos Estados Partes presentes na conferência</w:t>
      </w:r>
      <w:r w:rsidRPr="00F372F7">
        <w:rPr>
          <w:rFonts w:ascii="Times New Roman" w:hAnsi="Times New Roman"/>
          <w:szCs w:val="22"/>
          <w:lang w:val="pt-BR"/>
        </w:rPr>
        <w:t>.</w:t>
      </w:r>
    </w:p>
    <w:p w14:paraId="77689D41" w14:textId="77777777" w:rsidR="008C00D8" w:rsidRPr="00F372F7" w:rsidRDefault="008C00D8" w:rsidP="008C00D8">
      <w:pPr>
        <w:tabs>
          <w:tab w:val="left" w:pos="-720"/>
        </w:tabs>
        <w:jc w:val="both"/>
        <w:rPr>
          <w:rFonts w:ascii="Times New Roman" w:hAnsi="Times New Roman"/>
          <w:b/>
          <w:spacing w:val="-2"/>
          <w:szCs w:val="22"/>
          <w:lang w:val="pt-BR"/>
        </w:rPr>
      </w:pPr>
    </w:p>
    <w:p w14:paraId="0365C53F" w14:textId="77777777" w:rsidR="008C00D8" w:rsidRPr="00F372F7" w:rsidRDefault="008C00D8" w:rsidP="008C00D8">
      <w:pPr>
        <w:tabs>
          <w:tab w:val="left" w:pos="-720"/>
        </w:tabs>
        <w:jc w:val="both"/>
        <w:rPr>
          <w:rFonts w:ascii="Times New Roman" w:hAnsi="Times New Roman"/>
          <w:spacing w:val="-2"/>
          <w:szCs w:val="22"/>
          <w:lang w:val="pt-BR"/>
        </w:rPr>
      </w:pPr>
      <w:r w:rsidRPr="00F372F7">
        <w:rPr>
          <w:rFonts w:ascii="Times New Roman" w:hAnsi="Times New Roman"/>
          <w:b/>
          <w:szCs w:val="22"/>
          <w:lang w:val="pt-BR"/>
        </w:rPr>
        <w:t>Artigo 16</w:t>
      </w:r>
    </w:p>
    <w:p w14:paraId="724CB476" w14:textId="77777777" w:rsidR="008C00D8" w:rsidRPr="00F372F7" w:rsidRDefault="008C00D8" w:rsidP="008C00D8">
      <w:pPr>
        <w:tabs>
          <w:tab w:val="left" w:pos="-720"/>
        </w:tabs>
        <w:jc w:val="both"/>
        <w:rPr>
          <w:rFonts w:ascii="Times New Roman" w:hAnsi="Times New Roman"/>
          <w:spacing w:val="-2"/>
          <w:szCs w:val="22"/>
          <w:lang w:val="pt-BR"/>
        </w:rPr>
      </w:pPr>
    </w:p>
    <w:p w14:paraId="03B40403" w14:textId="77777777" w:rsidR="008C00D8" w:rsidRPr="00F372F7" w:rsidRDefault="008C00D8" w:rsidP="008C00D8">
      <w:pPr>
        <w:widowControl/>
        <w:tabs>
          <w:tab w:val="left" w:pos="-720"/>
        </w:tabs>
        <w:jc w:val="both"/>
        <w:rPr>
          <w:rFonts w:ascii="Times New Roman" w:hAnsi="Times New Roman"/>
          <w:spacing w:val="-2"/>
          <w:szCs w:val="22"/>
          <w:lang w:val="pt-BR"/>
        </w:rPr>
      </w:pPr>
      <w:r w:rsidRPr="00F372F7">
        <w:rPr>
          <w:rFonts w:ascii="Times New Roman" w:hAnsi="Times New Roman"/>
          <w:szCs w:val="22"/>
          <w:lang w:val="pt-BR"/>
        </w:rPr>
        <w:t>Este Regulamento Interno entrará em vigor na data de sua aprovação pela Comissão Consultiva.</w:t>
      </w:r>
    </w:p>
    <w:p w14:paraId="2C0AA55B" w14:textId="77777777" w:rsidR="008C00D8" w:rsidRPr="00F372F7" w:rsidRDefault="008C00D8" w:rsidP="008C00D8">
      <w:pPr>
        <w:widowControl/>
        <w:tabs>
          <w:tab w:val="left" w:pos="-720"/>
        </w:tabs>
        <w:jc w:val="both"/>
        <w:rPr>
          <w:rFonts w:ascii="Times New Roman" w:hAnsi="Times New Roman"/>
          <w:b/>
          <w:spacing w:val="-2"/>
          <w:szCs w:val="22"/>
          <w:lang w:val="pt-BR"/>
        </w:rPr>
      </w:pPr>
    </w:p>
    <w:p w14:paraId="6356854C" w14:textId="09083030" w:rsidR="001557A5" w:rsidRPr="00F372F7" w:rsidRDefault="00A205ED" w:rsidP="008C00D8">
      <w:pPr>
        <w:rPr>
          <w:lang w:val="pt-BR"/>
        </w:rPr>
      </w:pPr>
      <w:r>
        <w:rPr>
          <w:noProof/>
          <w:snapToGrid/>
          <w:lang w:val="pt-BR"/>
        </w:rPr>
        <mc:AlternateContent>
          <mc:Choice Requires="wps">
            <w:drawing>
              <wp:anchor distT="0" distB="0" distL="114300" distR="114300" simplePos="0" relativeHeight="251659264" behindDoc="0" locked="1" layoutInCell="1" allowOverlap="1" wp14:anchorId="1A2D5F1B" wp14:editId="71B25DA4">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D1B3BBB" w14:textId="74C95914" w:rsidR="00A205ED" w:rsidRPr="00A205ED" w:rsidRDefault="00A205E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DPASP00150P04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2D5F1B" id="_x0000_t202" coordsize="21600,21600" o:spt="202" path="m,l,21600r21600,l21600,xe">
                <v:stroke joinstyle="miter"/>
                <v:path gradientshapeok="t" o:connecttype="rect"/>
              </v:shapetype>
              <v:shape id="Text Box 2"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D1B3BBB" w14:textId="74C95914" w:rsidR="00A205ED" w:rsidRPr="00A205ED" w:rsidRDefault="00A205ED">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DPASP00150P04</w:t>
                      </w:r>
                      <w:r>
                        <w:rPr>
                          <w:rFonts w:ascii="Times New Roman" w:hAnsi="Times New Roman"/>
                          <w:sz w:val="18"/>
                        </w:rPr>
                        <w:fldChar w:fldCharType="end"/>
                      </w:r>
                    </w:p>
                  </w:txbxContent>
                </v:textbox>
                <w10:wrap anchory="page"/>
                <w10:anchorlock/>
              </v:shape>
            </w:pict>
          </mc:Fallback>
        </mc:AlternateContent>
      </w:r>
    </w:p>
    <w:sectPr w:rsidR="001557A5" w:rsidRPr="00F372F7" w:rsidSect="00A205ED">
      <w:endnotePr>
        <w:numFmt w:val="decimal"/>
      </w:endnotePr>
      <w:type w:val="oddPage"/>
      <w:pgSz w:w="12240" w:h="15840"/>
      <w:pgMar w:top="2160" w:right="1570" w:bottom="1296" w:left="1699" w:header="1296" w:footer="129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7DE1" w14:textId="77777777" w:rsidR="004419EE" w:rsidRDefault="004419EE">
      <w:pPr>
        <w:spacing w:line="20" w:lineRule="exact"/>
        <w:rPr>
          <w:sz w:val="24"/>
        </w:rPr>
      </w:pPr>
    </w:p>
  </w:endnote>
  <w:endnote w:type="continuationSeparator" w:id="0">
    <w:p w14:paraId="35689BE7" w14:textId="77777777" w:rsidR="004419EE" w:rsidRDefault="004419EE">
      <w:r>
        <w:rPr>
          <w:sz w:val="24"/>
        </w:rPr>
        <w:t xml:space="preserve"> </w:t>
      </w:r>
    </w:p>
  </w:endnote>
  <w:endnote w:type="continuationNotice" w:id="1">
    <w:p w14:paraId="52025BEB" w14:textId="77777777" w:rsidR="004419EE" w:rsidRDefault="004419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11p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28B4" w14:textId="77777777" w:rsidR="004419EE" w:rsidRDefault="004419EE">
      <w:r>
        <w:rPr>
          <w:sz w:val="24"/>
        </w:rPr>
        <w:separator/>
      </w:r>
    </w:p>
  </w:footnote>
  <w:footnote w:type="continuationSeparator" w:id="0">
    <w:p w14:paraId="0E6CD43B" w14:textId="77777777" w:rsidR="004419EE" w:rsidRDefault="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8F81" w14:textId="77777777" w:rsidR="00BA3FC0" w:rsidRDefault="00BA3FC0">
    <w:pPr>
      <w:pStyle w:val="Header"/>
      <w:framePr w:wrap="around" w:vAnchor="text" w:hAnchor="margin" w:xAlign="center" w:y="1"/>
      <w:rPr>
        <w:rStyle w:val="PageNumber"/>
        <w:rFonts w:ascii="Times New Roman" w:hAnsi="Times New Roman"/>
      </w:rPr>
    </w:pPr>
    <w:r>
      <w:rPr>
        <w:rStyle w:val="PageNumbe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B7F0B">
      <w:rPr>
        <w:rStyle w:val="PageNumber"/>
        <w:rFonts w:ascii="Times New Roman" w:hAnsi="Times New Roman"/>
        <w:noProof/>
      </w:rPr>
      <w:t>3</w:t>
    </w:r>
    <w:r>
      <w:rPr>
        <w:rStyle w:val="PageNumber"/>
        <w:rFonts w:ascii="Times New Roman" w:hAnsi="Times New Roman"/>
      </w:rPr>
      <w:fldChar w:fldCharType="end"/>
    </w:r>
    <w:r>
      <w:rPr>
        <w:rStyle w:val="PageNumber"/>
        <w:rFonts w:ascii="Times New Roman" w:hAnsi="Times New Roman"/>
      </w:rPr>
      <w:t xml:space="preserve"> -</w:t>
    </w:r>
  </w:p>
  <w:p w14:paraId="51D426A6" w14:textId="77777777" w:rsidR="00BA3FC0" w:rsidRDefault="00BA3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C42"/>
    <w:multiLevelType w:val="hybridMultilevel"/>
    <w:tmpl w:val="BAE46B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564CB"/>
    <w:multiLevelType w:val="hybridMultilevel"/>
    <w:tmpl w:val="CC1AB7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32584A"/>
    <w:multiLevelType w:val="hybridMultilevel"/>
    <w:tmpl w:val="CBFA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3620">
    <w:abstractNumId w:val="0"/>
  </w:num>
  <w:num w:numId="2" w16cid:durableId="556629328">
    <w:abstractNumId w:val="2"/>
  </w:num>
  <w:num w:numId="3" w16cid:durableId="1818181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wMDI3NTa2NDMAAiUdpeDU4uLM/DyQAuNaAB+bg9gsAAAA"/>
  </w:docVars>
  <w:rsids>
    <w:rsidRoot w:val="00BA3FC0"/>
    <w:rsid w:val="00081B89"/>
    <w:rsid w:val="000B4EAB"/>
    <w:rsid w:val="000E604C"/>
    <w:rsid w:val="00122532"/>
    <w:rsid w:val="00147F15"/>
    <w:rsid w:val="00152CD9"/>
    <w:rsid w:val="001557A5"/>
    <w:rsid w:val="001857D4"/>
    <w:rsid w:val="00196A36"/>
    <w:rsid w:val="00200D02"/>
    <w:rsid w:val="002468D7"/>
    <w:rsid w:val="00246EEC"/>
    <w:rsid w:val="002A5E2D"/>
    <w:rsid w:val="002B7F0B"/>
    <w:rsid w:val="002E5B6E"/>
    <w:rsid w:val="0030225E"/>
    <w:rsid w:val="003066DF"/>
    <w:rsid w:val="00341199"/>
    <w:rsid w:val="0037300D"/>
    <w:rsid w:val="003A4975"/>
    <w:rsid w:val="003B311C"/>
    <w:rsid w:val="003D61B0"/>
    <w:rsid w:val="00411F37"/>
    <w:rsid w:val="00426B0E"/>
    <w:rsid w:val="00433EF1"/>
    <w:rsid w:val="004419EE"/>
    <w:rsid w:val="00464F93"/>
    <w:rsid w:val="00471E4E"/>
    <w:rsid w:val="00472A1F"/>
    <w:rsid w:val="00527698"/>
    <w:rsid w:val="00563C6A"/>
    <w:rsid w:val="005D7619"/>
    <w:rsid w:val="005E28DB"/>
    <w:rsid w:val="00643058"/>
    <w:rsid w:val="00645EF7"/>
    <w:rsid w:val="006816C2"/>
    <w:rsid w:val="006B2423"/>
    <w:rsid w:val="006D2940"/>
    <w:rsid w:val="00700EB1"/>
    <w:rsid w:val="00706CEA"/>
    <w:rsid w:val="00744D1E"/>
    <w:rsid w:val="00745BE8"/>
    <w:rsid w:val="00750813"/>
    <w:rsid w:val="007A011F"/>
    <w:rsid w:val="007B2223"/>
    <w:rsid w:val="007C05C1"/>
    <w:rsid w:val="007D3366"/>
    <w:rsid w:val="007D6888"/>
    <w:rsid w:val="007E0304"/>
    <w:rsid w:val="008430F8"/>
    <w:rsid w:val="008B3573"/>
    <w:rsid w:val="008C00D8"/>
    <w:rsid w:val="008D6E4E"/>
    <w:rsid w:val="008E496B"/>
    <w:rsid w:val="0097559B"/>
    <w:rsid w:val="00983F33"/>
    <w:rsid w:val="009D6C6A"/>
    <w:rsid w:val="00A15715"/>
    <w:rsid w:val="00A205ED"/>
    <w:rsid w:val="00A35F9B"/>
    <w:rsid w:val="00A4047A"/>
    <w:rsid w:val="00AD0AEB"/>
    <w:rsid w:val="00AE360E"/>
    <w:rsid w:val="00B17E71"/>
    <w:rsid w:val="00B30575"/>
    <w:rsid w:val="00B3372D"/>
    <w:rsid w:val="00B33CD7"/>
    <w:rsid w:val="00BA3FC0"/>
    <w:rsid w:val="00BB2DC2"/>
    <w:rsid w:val="00BE06EA"/>
    <w:rsid w:val="00C12DC7"/>
    <w:rsid w:val="00C17A37"/>
    <w:rsid w:val="00C21FD3"/>
    <w:rsid w:val="00C72467"/>
    <w:rsid w:val="00C963CC"/>
    <w:rsid w:val="00C96F96"/>
    <w:rsid w:val="00D34600"/>
    <w:rsid w:val="00D44B57"/>
    <w:rsid w:val="00D65DB4"/>
    <w:rsid w:val="00D71FFD"/>
    <w:rsid w:val="00D84B5C"/>
    <w:rsid w:val="00DA2DA8"/>
    <w:rsid w:val="00DF73AA"/>
    <w:rsid w:val="00E24857"/>
    <w:rsid w:val="00E648A7"/>
    <w:rsid w:val="00ED40D8"/>
    <w:rsid w:val="00F067C1"/>
    <w:rsid w:val="00F06CFF"/>
    <w:rsid w:val="00F372F7"/>
    <w:rsid w:val="00FA0AC4"/>
    <w:rsid w:val="00FA7CE5"/>
    <w:rsid w:val="00FF0042"/>
    <w:rsid w:val="136C3943"/>
    <w:rsid w:val="54A4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C501"/>
  <w15:docId w15:val="{08283229-8C04-42A2-BB3F-3937A92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ms Rmn 11pt" w:hAnsi="Tms Rmn 11pt"/>
      <w:snapToGrid w:val="0"/>
      <w:sz w:val="22"/>
    </w:rPr>
  </w:style>
  <w:style w:type="paragraph" w:styleId="Heading1">
    <w:name w:val="heading 1"/>
    <w:basedOn w:val="Normal"/>
    <w:next w:val="Normal"/>
    <w:qFormat/>
    <w:pPr>
      <w:keepNext/>
      <w:tabs>
        <w:tab w:val="left" w:pos="-720"/>
      </w:tabs>
      <w:suppressAutoHyphens/>
      <w:jc w:val="both"/>
      <w:outlineLvl w:val="0"/>
    </w:pPr>
    <w:rPr>
      <w:rFonts w:ascii="CG Times" w:hAnsi="CG Times"/>
      <w:b/>
      <w:spacing w:val="-2"/>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pPr>
    <w:rPr>
      <w:rFonts w:ascii="CG Times" w:hAnsi="CG Times"/>
      <w:b/>
      <w:spacing w:val="-2"/>
      <w:lang w:val="es-CL"/>
    </w:rPr>
  </w:style>
  <w:style w:type="paragraph" w:styleId="BodyText2">
    <w:name w:val="Body Text 2"/>
    <w:basedOn w:val="Normal"/>
    <w:pPr>
      <w:tabs>
        <w:tab w:val="left" w:pos="720"/>
      </w:tabs>
      <w:jc w:val="both"/>
    </w:pPr>
    <w:rPr>
      <w:rFonts w:ascii="CG Times" w:hAnsi="CG Times"/>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Spacing">
    <w:name w:val="No Spacing"/>
    <w:uiPriority w:val="1"/>
    <w:qFormat/>
    <w:rsid w:val="00BE06EA"/>
    <w:rPr>
      <w:rFonts w:ascii="Calibri" w:eastAsia="Calibri" w:hAnsi="Calibri"/>
      <w:sz w:val="22"/>
      <w:szCs w:val="22"/>
      <w:lang w:val="es-PA"/>
    </w:rPr>
  </w:style>
  <w:style w:type="paragraph" w:styleId="ListParagraph">
    <w:name w:val="List Paragraph"/>
    <w:basedOn w:val="Normal"/>
    <w:uiPriority w:val="34"/>
    <w:qFormat/>
    <w:rsid w:val="005E28DB"/>
    <w:pPr>
      <w:ind w:left="720"/>
    </w:pPr>
  </w:style>
  <w:style w:type="character" w:styleId="CommentReference">
    <w:name w:val="annotation reference"/>
    <w:rsid w:val="007A011F"/>
    <w:rPr>
      <w:sz w:val="16"/>
      <w:szCs w:val="16"/>
    </w:rPr>
  </w:style>
  <w:style w:type="paragraph" w:styleId="CommentText">
    <w:name w:val="annotation text"/>
    <w:basedOn w:val="Normal"/>
    <w:link w:val="CommentTextChar"/>
    <w:rsid w:val="007A011F"/>
    <w:rPr>
      <w:sz w:val="20"/>
    </w:rPr>
  </w:style>
  <w:style w:type="character" w:customStyle="1" w:styleId="CommentTextChar">
    <w:name w:val="Comment Text Char"/>
    <w:link w:val="CommentText"/>
    <w:rsid w:val="007A011F"/>
    <w:rPr>
      <w:rFonts w:ascii="Tms Rmn 11pt" w:hAnsi="Tms Rmn 11pt"/>
      <w:snapToGrid w:val="0"/>
    </w:rPr>
  </w:style>
  <w:style w:type="paragraph" w:styleId="CommentSubject">
    <w:name w:val="annotation subject"/>
    <w:basedOn w:val="CommentText"/>
    <w:next w:val="CommentText"/>
    <w:link w:val="CommentSubjectChar"/>
    <w:rsid w:val="007A011F"/>
    <w:rPr>
      <w:b/>
      <w:bCs/>
    </w:rPr>
  </w:style>
  <w:style w:type="character" w:customStyle="1" w:styleId="CommentSubjectChar">
    <w:name w:val="Comment Subject Char"/>
    <w:link w:val="CommentSubject"/>
    <w:rsid w:val="007A011F"/>
    <w:rPr>
      <w:rFonts w:ascii="Tms Rmn 11pt" w:hAnsi="Tms Rmn 11pt"/>
      <w:b/>
      <w:bCs/>
      <w:snapToGrid w:val="0"/>
    </w:rPr>
  </w:style>
  <w:style w:type="paragraph" w:styleId="BalloonText">
    <w:name w:val="Balloon Text"/>
    <w:basedOn w:val="Normal"/>
    <w:link w:val="BalloonTextChar"/>
    <w:rsid w:val="007A011F"/>
    <w:rPr>
      <w:rFonts w:ascii="Segoe UI" w:hAnsi="Segoe UI" w:cs="Segoe UI"/>
      <w:sz w:val="18"/>
      <w:szCs w:val="18"/>
    </w:rPr>
  </w:style>
  <w:style w:type="character" w:customStyle="1" w:styleId="BalloonTextChar">
    <w:name w:val="Balloon Text Char"/>
    <w:link w:val="BalloonText"/>
    <w:rsid w:val="007A011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26161">
      <w:bodyDiv w:val="1"/>
      <w:marLeft w:val="0"/>
      <w:marRight w:val="0"/>
      <w:marTop w:val="0"/>
      <w:marBottom w:val="0"/>
      <w:divBdr>
        <w:top w:val="none" w:sz="0" w:space="0" w:color="auto"/>
        <w:left w:val="none" w:sz="0" w:space="0" w:color="auto"/>
        <w:bottom w:val="none" w:sz="0" w:space="0" w:color="auto"/>
        <w:right w:val="none" w:sz="0" w:space="0" w:color="auto"/>
      </w:divBdr>
    </w:div>
    <w:div w:id="1719553093">
      <w:bodyDiv w:val="1"/>
      <w:marLeft w:val="0"/>
      <w:marRight w:val="0"/>
      <w:marTop w:val="0"/>
      <w:marBottom w:val="0"/>
      <w:divBdr>
        <w:top w:val="none" w:sz="0" w:space="0" w:color="auto"/>
        <w:left w:val="none" w:sz="0" w:space="0" w:color="auto"/>
        <w:bottom w:val="none" w:sz="0" w:space="0" w:color="auto"/>
        <w:right w:val="none" w:sz="0" w:space="0" w:color="auto"/>
      </w:divBdr>
    </w:div>
    <w:div w:id="17336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9B68-6DDE-49DE-8C71-A999607A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3F31-14DA-44F8-ABE9-0A2AFF49C265}">
  <ds:schemaRefs>
    <ds:schemaRef ds:uri="http://schemas.microsoft.com/office/2006/metadata/properties"/>
    <ds:schemaRef ds:uri="http://schemas.microsoft.com/office/infopath/2007/PartnerControls"/>
    <ds:schemaRef ds:uri="8b0d1605-260b-47fd-804b-8c27edd2405b"/>
  </ds:schemaRefs>
</ds:datastoreItem>
</file>

<file path=customXml/itemProps3.xml><?xml version="1.0" encoding="utf-8"?>
<ds:datastoreItem xmlns:ds="http://schemas.openxmlformats.org/officeDocument/2006/customXml" ds:itemID="{0693138B-0315-4128-B360-1F8BFCDE356C}">
  <ds:schemaRefs>
    <ds:schemaRef ds:uri="http://schemas.microsoft.com/sharepoint/v3/contenttype/forms"/>
  </ds:schemaRefs>
</ds:datastoreItem>
</file>

<file path=customXml/itemProps4.xml><?xml version="1.0" encoding="utf-8"?>
<ds:datastoreItem xmlns:ds="http://schemas.openxmlformats.org/officeDocument/2006/customXml" ds:itemID="{30600403-15EE-4F7C-9A8E-950E1640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940</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CONVENCIÓN INTERAMERICANA CONTRA LA FABRICACIÓN</vt:lpstr>
    </vt:vector>
  </TitlesOfParts>
  <Company>OAS</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CONTRA LA FABRICACIÓN</dc:title>
  <dc:creator>Luis Toro Utillano</dc:creator>
  <cp:lastModifiedBy>Santos, Ada</cp:lastModifiedBy>
  <cp:revision>4</cp:revision>
  <cp:lastPrinted>2019-10-29T15:00:00Z</cp:lastPrinted>
  <dcterms:created xsi:type="dcterms:W3CDTF">2022-04-21T13:13:00Z</dcterms:created>
  <dcterms:modified xsi:type="dcterms:W3CDTF">2022-04-21T14:59:00Z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