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E244" w14:textId="77777777" w:rsidR="00521F18" w:rsidRPr="001142E2" w:rsidRDefault="00521F18" w:rsidP="00521F18">
      <w:pPr>
        <w:widowControl/>
        <w:tabs>
          <w:tab w:val="left" w:pos="6570"/>
        </w:tabs>
        <w:suppressAutoHyphens/>
        <w:autoSpaceDE/>
        <w:autoSpaceDN/>
        <w:adjustRightInd/>
        <w:ind w:right="-29"/>
        <w:rPr>
          <w:bCs/>
          <w:caps/>
          <w:sz w:val="22"/>
          <w:szCs w:val="22"/>
          <w:lang w:val="pt-BR"/>
        </w:rPr>
      </w:pPr>
      <w:bookmarkStart w:id="0" w:name="_Hlk100741640"/>
      <w:r w:rsidRPr="001142E2">
        <w:rPr>
          <w:sz w:val="22"/>
          <w:szCs w:val="22"/>
          <w:lang w:val="pt-BR"/>
        </w:rPr>
        <w:t xml:space="preserve">CONVENÇÃO INTERAMERICANA SOBRE </w:t>
      </w:r>
      <w:r w:rsidRPr="001142E2">
        <w:rPr>
          <w:sz w:val="22"/>
          <w:szCs w:val="22"/>
          <w:lang w:val="pt-BR"/>
        </w:rPr>
        <w:tab/>
        <w:t>OEA/Ser.K/XLIV.2</w:t>
      </w:r>
    </w:p>
    <w:p w14:paraId="682833AD" w14:textId="5D8D69FE" w:rsidR="00521F18" w:rsidRPr="001142E2" w:rsidRDefault="00521F18" w:rsidP="00521F18">
      <w:pPr>
        <w:widowControl/>
        <w:tabs>
          <w:tab w:val="left" w:pos="6570"/>
        </w:tabs>
        <w:suppressAutoHyphens/>
        <w:autoSpaceDE/>
        <w:autoSpaceDN/>
        <w:adjustRightInd/>
        <w:ind w:right="-659"/>
        <w:rPr>
          <w:bCs/>
          <w:caps/>
          <w:sz w:val="22"/>
          <w:szCs w:val="22"/>
          <w:lang w:val="pt-BR"/>
        </w:rPr>
      </w:pPr>
      <w:r w:rsidRPr="001142E2">
        <w:rPr>
          <w:caps/>
          <w:sz w:val="22"/>
          <w:szCs w:val="22"/>
          <w:lang w:val="pt-BR"/>
        </w:rPr>
        <w:t xml:space="preserve">TRANSPARÊNCIA NAS AQUISIÇÕES </w:t>
      </w:r>
      <w:r w:rsidRPr="001142E2">
        <w:rPr>
          <w:caps/>
          <w:sz w:val="22"/>
          <w:szCs w:val="22"/>
          <w:lang w:val="pt-BR"/>
        </w:rPr>
        <w:tab/>
        <w:t>CITAAC/CEP-II/</w:t>
      </w:r>
      <w:r w:rsidRPr="001142E2">
        <w:rPr>
          <w:sz w:val="22"/>
          <w:szCs w:val="22"/>
          <w:lang w:val="pt-BR"/>
        </w:rPr>
        <w:t xml:space="preserve">doc.5/22 </w:t>
      </w:r>
      <w:r w:rsidR="00784552" w:rsidRPr="001142E2">
        <w:rPr>
          <w:sz w:val="22"/>
          <w:szCs w:val="22"/>
          <w:lang w:val="pt-BR"/>
        </w:rPr>
        <w:t>r</w:t>
      </w:r>
      <w:r w:rsidRPr="001142E2">
        <w:rPr>
          <w:sz w:val="22"/>
          <w:szCs w:val="22"/>
          <w:lang w:val="pt-BR"/>
        </w:rPr>
        <w:t>ev.</w:t>
      </w:r>
      <w:r w:rsidR="00784552" w:rsidRPr="001142E2">
        <w:rPr>
          <w:sz w:val="22"/>
          <w:szCs w:val="22"/>
          <w:lang w:val="pt-BR"/>
        </w:rPr>
        <w:t xml:space="preserve"> 2</w:t>
      </w:r>
    </w:p>
    <w:p w14:paraId="6953600B" w14:textId="41E06345" w:rsidR="00521F18" w:rsidRPr="001142E2" w:rsidRDefault="00521F18" w:rsidP="00521F18">
      <w:pPr>
        <w:widowControl/>
        <w:tabs>
          <w:tab w:val="left" w:pos="6570"/>
        </w:tabs>
        <w:suppressAutoHyphens/>
        <w:autoSpaceDE/>
        <w:autoSpaceDN/>
        <w:adjustRightInd/>
        <w:ind w:right="-29"/>
        <w:rPr>
          <w:bCs/>
          <w:caps/>
          <w:sz w:val="22"/>
          <w:szCs w:val="22"/>
          <w:lang w:val="pt-BR"/>
        </w:rPr>
      </w:pPr>
      <w:r w:rsidRPr="001142E2">
        <w:rPr>
          <w:caps/>
          <w:sz w:val="22"/>
          <w:szCs w:val="22"/>
          <w:lang w:val="pt-BR"/>
        </w:rPr>
        <w:t xml:space="preserve">DE ARMAS CONVENCIONAIS (CITAAC) </w:t>
      </w:r>
      <w:r w:rsidRPr="001142E2">
        <w:rPr>
          <w:caps/>
          <w:sz w:val="22"/>
          <w:szCs w:val="22"/>
          <w:lang w:val="pt-BR"/>
        </w:rPr>
        <w:tab/>
        <w:t>1</w:t>
      </w:r>
      <w:r w:rsidR="00784552" w:rsidRPr="001142E2">
        <w:rPr>
          <w:caps/>
          <w:sz w:val="22"/>
          <w:szCs w:val="22"/>
          <w:lang w:val="pt-BR"/>
        </w:rPr>
        <w:t>9</w:t>
      </w:r>
      <w:r w:rsidRPr="001142E2">
        <w:rPr>
          <w:caps/>
          <w:sz w:val="22"/>
          <w:szCs w:val="22"/>
          <w:lang w:val="pt-BR"/>
        </w:rPr>
        <w:t xml:space="preserve"> </w:t>
      </w:r>
      <w:r w:rsidRPr="001142E2">
        <w:rPr>
          <w:sz w:val="22"/>
          <w:szCs w:val="22"/>
          <w:lang w:val="pt-BR"/>
        </w:rPr>
        <w:t xml:space="preserve">abril </w:t>
      </w:r>
      <w:r w:rsidRPr="001142E2">
        <w:rPr>
          <w:caps/>
          <w:sz w:val="22"/>
          <w:szCs w:val="22"/>
          <w:lang w:val="pt-BR"/>
        </w:rPr>
        <w:t>2022</w:t>
      </w:r>
    </w:p>
    <w:p w14:paraId="3E986AED" w14:textId="77777777" w:rsidR="00521F18" w:rsidRPr="001142E2" w:rsidRDefault="00521F18" w:rsidP="00521F18">
      <w:pPr>
        <w:widowControl/>
        <w:tabs>
          <w:tab w:val="left" w:pos="6545"/>
        </w:tabs>
        <w:autoSpaceDE/>
        <w:autoSpaceDN/>
        <w:adjustRightInd/>
        <w:rPr>
          <w:sz w:val="22"/>
          <w:szCs w:val="22"/>
          <w:u w:val="single"/>
          <w:lang w:val="pt-BR"/>
        </w:rPr>
      </w:pPr>
      <w:r w:rsidRPr="001142E2">
        <w:rPr>
          <w:sz w:val="22"/>
          <w:szCs w:val="22"/>
          <w:u w:val="single"/>
          <w:lang w:val="pt-BR"/>
        </w:rPr>
        <w:t>Segunda Conferência dos Estados Partes</w:t>
      </w:r>
      <w:r w:rsidRPr="001142E2">
        <w:rPr>
          <w:sz w:val="22"/>
          <w:szCs w:val="22"/>
          <w:lang w:val="pt-BR"/>
        </w:rPr>
        <w:t xml:space="preserve"> </w:t>
      </w:r>
      <w:r w:rsidRPr="001142E2">
        <w:rPr>
          <w:sz w:val="22"/>
          <w:szCs w:val="22"/>
          <w:lang w:val="pt-BR"/>
        </w:rPr>
        <w:tab/>
        <w:t xml:space="preserve"> Original: espanhol</w:t>
      </w:r>
    </w:p>
    <w:p w14:paraId="784AD345" w14:textId="77777777" w:rsidR="00521F18" w:rsidRPr="001142E2" w:rsidRDefault="00521F18" w:rsidP="00521F18">
      <w:pPr>
        <w:widowControl/>
        <w:tabs>
          <w:tab w:val="left" w:pos="6545"/>
        </w:tabs>
        <w:autoSpaceDE/>
        <w:autoSpaceDN/>
        <w:adjustRightInd/>
        <w:rPr>
          <w:sz w:val="22"/>
          <w:szCs w:val="22"/>
          <w:lang w:val="pt-BR"/>
        </w:rPr>
      </w:pPr>
      <w:r w:rsidRPr="001142E2">
        <w:rPr>
          <w:sz w:val="22"/>
          <w:szCs w:val="22"/>
          <w:lang w:val="pt-BR"/>
        </w:rPr>
        <w:t>19 de abril de 2022</w:t>
      </w:r>
    </w:p>
    <w:p w14:paraId="699801B7" w14:textId="77777777" w:rsidR="00521F18" w:rsidRPr="001142E2" w:rsidRDefault="00521F18" w:rsidP="00521F18">
      <w:pPr>
        <w:widowControl/>
        <w:tabs>
          <w:tab w:val="left" w:pos="6545"/>
        </w:tabs>
        <w:autoSpaceDE/>
        <w:autoSpaceDN/>
        <w:adjustRightInd/>
        <w:rPr>
          <w:sz w:val="22"/>
          <w:szCs w:val="22"/>
          <w:lang w:val="pt-BR"/>
        </w:rPr>
      </w:pPr>
      <w:r w:rsidRPr="001142E2">
        <w:rPr>
          <w:sz w:val="22"/>
          <w:szCs w:val="22"/>
          <w:lang w:val="pt-BR"/>
        </w:rPr>
        <w:t>Formato virtual</w:t>
      </w:r>
    </w:p>
    <w:p w14:paraId="0786A8DE" w14:textId="77777777" w:rsidR="00521F18" w:rsidRPr="001142E2" w:rsidRDefault="00521F18" w:rsidP="00521F18">
      <w:pPr>
        <w:widowControl/>
        <w:tabs>
          <w:tab w:val="left" w:pos="6570"/>
        </w:tabs>
        <w:suppressAutoHyphens/>
        <w:autoSpaceDE/>
        <w:autoSpaceDN/>
        <w:adjustRightInd/>
        <w:ind w:right="-29"/>
        <w:rPr>
          <w:sz w:val="22"/>
          <w:szCs w:val="22"/>
          <w:u w:val="single"/>
          <w:lang w:val="pt-BR"/>
        </w:rPr>
      </w:pPr>
      <w:r w:rsidRPr="001142E2">
        <w:rPr>
          <w:sz w:val="22"/>
          <w:szCs w:val="22"/>
          <w:lang w:val="pt-BR"/>
        </w:rPr>
        <w:tab/>
      </w:r>
    </w:p>
    <w:bookmarkEnd w:id="0"/>
    <w:p w14:paraId="540908E4" w14:textId="77777777" w:rsidR="00521F18" w:rsidRPr="001142E2" w:rsidRDefault="00521F18" w:rsidP="00521F18">
      <w:pPr>
        <w:rPr>
          <w:sz w:val="22"/>
          <w:szCs w:val="22"/>
          <w:lang w:val="pt-BR"/>
        </w:rPr>
      </w:pPr>
    </w:p>
    <w:p w14:paraId="79A6EE2A" w14:textId="77777777" w:rsidR="00521F18" w:rsidRPr="001142E2" w:rsidRDefault="00521F18" w:rsidP="00521F18">
      <w:pPr>
        <w:rPr>
          <w:sz w:val="22"/>
          <w:szCs w:val="22"/>
          <w:lang w:val="pt-BR"/>
        </w:rPr>
      </w:pPr>
    </w:p>
    <w:p w14:paraId="140BAB36" w14:textId="77777777" w:rsidR="00521F18" w:rsidRPr="001142E2" w:rsidRDefault="00521F18" w:rsidP="00521F18">
      <w:pPr>
        <w:pStyle w:val="BodyText"/>
        <w:widowControl/>
        <w:rPr>
          <w:b w:val="0"/>
          <w:bCs w:val="0"/>
          <w:sz w:val="22"/>
          <w:szCs w:val="22"/>
          <w:lang w:val="pt-BR"/>
        </w:rPr>
      </w:pPr>
    </w:p>
    <w:p w14:paraId="1EB3E41A" w14:textId="77777777" w:rsidR="00521F18" w:rsidRPr="001142E2" w:rsidRDefault="00521F18" w:rsidP="00521F18">
      <w:pPr>
        <w:pStyle w:val="BodyText"/>
        <w:widowControl/>
        <w:rPr>
          <w:b w:val="0"/>
          <w:bCs w:val="0"/>
          <w:sz w:val="22"/>
          <w:szCs w:val="22"/>
          <w:lang w:val="pt-BR"/>
        </w:rPr>
      </w:pPr>
    </w:p>
    <w:p w14:paraId="764276BC" w14:textId="77777777" w:rsidR="00521F18" w:rsidRPr="001142E2" w:rsidRDefault="00521F18" w:rsidP="00521F18">
      <w:pPr>
        <w:pStyle w:val="BodyText"/>
        <w:widowControl/>
        <w:rPr>
          <w:b w:val="0"/>
          <w:bCs w:val="0"/>
          <w:sz w:val="22"/>
          <w:szCs w:val="22"/>
          <w:lang w:val="pt-BR"/>
        </w:rPr>
      </w:pPr>
    </w:p>
    <w:p w14:paraId="6ED1FA76" w14:textId="77777777" w:rsidR="00521F18" w:rsidRPr="001142E2" w:rsidRDefault="00521F18" w:rsidP="00521F18">
      <w:pPr>
        <w:pStyle w:val="BodyText"/>
        <w:widowControl/>
        <w:rPr>
          <w:b w:val="0"/>
          <w:bCs w:val="0"/>
          <w:sz w:val="22"/>
          <w:szCs w:val="22"/>
          <w:lang w:val="pt-BR"/>
        </w:rPr>
      </w:pPr>
    </w:p>
    <w:p w14:paraId="08827DED" w14:textId="77777777" w:rsidR="00521F18" w:rsidRPr="001142E2" w:rsidRDefault="00521F18" w:rsidP="00521F18">
      <w:pPr>
        <w:pStyle w:val="BodyText"/>
        <w:widowControl/>
        <w:rPr>
          <w:b w:val="0"/>
          <w:bCs w:val="0"/>
          <w:sz w:val="22"/>
          <w:szCs w:val="22"/>
          <w:lang w:val="pt-BR"/>
        </w:rPr>
      </w:pPr>
    </w:p>
    <w:p w14:paraId="1125A6B8" w14:textId="77777777" w:rsidR="00521F18" w:rsidRPr="001142E2" w:rsidRDefault="00521F18" w:rsidP="00521F18">
      <w:pPr>
        <w:pStyle w:val="BodyText"/>
        <w:widowControl/>
        <w:rPr>
          <w:b w:val="0"/>
          <w:bCs w:val="0"/>
          <w:sz w:val="22"/>
          <w:szCs w:val="22"/>
          <w:lang w:val="pt-BR"/>
        </w:rPr>
      </w:pPr>
    </w:p>
    <w:p w14:paraId="6C79AE78" w14:textId="77777777" w:rsidR="00521F18" w:rsidRPr="001142E2" w:rsidRDefault="00521F18" w:rsidP="00521F18">
      <w:pPr>
        <w:pStyle w:val="BodyText"/>
        <w:widowControl/>
        <w:rPr>
          <w:b w:val="0"/>
          <w:bCs w:val="0"/>
          <w:sz w:val="22"/>
          <w:szCs w:val="22"/>
          <w:lang w:val="pt-BR"/>
        </w:rPr>
      </w:pPr>
    </w:p>
    <w:p w14:paraId="13271254" w14:textId="77777777" w:rsidR="00521F18" w:rsidRPr="001142E2" w:rsidRDefault="00521F18" w:rsidP="00521F18">
      <w:pPr>
        <w:pStyle w:val="BodyText"/>
        <w:widowControl/>
        <w:rPr>
          <w:b w:val="0"/>
          <w:bCs w:val="0"/>
          <w:sz w:val="22"/>
          <w:szCs w:val="22"/>
          <w:lang w:val="pt-BR"/>
        </w:rPr>
      </w:pPr>
    </w:p>
    <w:p w14:paraId="5CF6E72C" w14:textId="77777777" w:rsidR="00521F18" w:rsidRPr="001142E2" w:rsidRDefault="00521F18" w:rsidP="00521F18">
      <w:pPr>
        <w:pStyle w:val="BodyText"/>
        <w:widowControl/>
        <w:rPr>
          <w:b w:val="0"/>
          <w:bCs w:val="0"/>
          <w:sz w:val="22"/>
          <w:szCs w:val="22"/>
          <w:lang w:val="pt-BR"/>
        </w:rPr>
      </w:pPr>
    </w:p>
    <w:p w14:paraId="070F67D7" w14:textId="77777777" w:rsidR="00521F18" w:rsidRPr="001142E2" w:rsidRDefault="00521F18" w:rsidP="00521F18">
      <w:pPr>
        <w:pStyle w:val="BodyText"/>
        <w:widowControl/>
        <w:rPr>
          <w:b w:val="0"/>
          <w:bCs w:val="0"/>
          <w:sz w:val="22"/>
          <w:szCs w:val="22"/>
          <w:lang w:val="pt-BR"/>
        </w:rPr>
      </w:pPr>
    </w:p>
    <w:p w14:paraId="750F694F" w14:textId="77777777" w:rsidR="00521F18" w:rsidRPr="001142E2" w:rsidRDefault="00521F18" w:rsidP="00521F18">
      <w:pPr>
        <w:pStyle w:val="BodyText"/>
        <w:widowControl/>
        <w:rPr>
          <w:b w:val="0"/>
          <w:bCs w:val="0"/>
          <w:sz w:val="22"/>
          <w:szCs w:val="22"/>
          <w:lang w:val="pt-BR"/>
        </w:rPr>
      </w:pPr>
    </w:p>
    <w:p w14:paraId="6B480378" w14:textId="77777777" w:rsidR="00521F18" w:rsidRPr="001142E2" w:rsidRDefault="00521F18" w:rsidP="00521F18">
      <w:pPr>
        <w:pStyle w:val="BodyText"/>
        <w:widowControl/>
        <w:rPr>
          <w:sz w:val="22"/>
          <w:szCs w:val="22"/>
          <w:lang w:val="pt-BR"/>
        </w:rPr>
      </w:pPr>
    </w:p>
    <w:p w14:paraId="5265FB73" w14:textId="77777777" w:rsidR="001142E2" w:rsidRPr="001142E2" w:rsidRDefault="00521F18" w:rsidP="001142E2">
      <w:pPr>
        <w:pStyle w:val="BodyText"/>
        <w:widowControl/>
        <w:rPr>
          <w:sz w:val="22"/>
          <w:szCs w:val="22"/>
          <w:lang w:val="pt-BR"/>
        </w:rPr>
      </w:pPr>
      <w:r w:rsidRPr="001142E2">
        <w:rPr>
          <w:bCs w:val="0"/>
          <w:sz w:val="22"/>
          <w:szCs w:val="22"/>
          <w:lang w:val="pt-BR"/>
        </w:rPr>
        <w:t>REGULAMENTO</w:t>
      </w:r>
      <w:r w:rsidR="001142E2" w:rsidRPr="001142E2">
        <w:rPr>
          <w:bCs w:val="0"/>
          <w:sz w:val="22"/>
          <w:szCs w:val="22"/>
          <w:lang w:val="pt-BR"/>
        </w:rPr>
        <w:t xml:space="preserve"> </w:t>
      </w:r>
      <w:r w:rsidRPr="001142E2">
        <w:rPr>
          <w:sz w:val="22"/>
          <w:szCs w:val="22"/>
          <w:lang w:val="pt-BR"/>
        </w:rPr>
        <w:t xml:space="preserve">DA CONFERÊNCIA DOS ESTADOS PARTES NA </w:t>
      </w:r>
    </w:p>
    <w:p w14:paraId="2DF00ECE" w14:textId="77777777" w:rsidR="001142E2" w:rsidRPr="001142E2" w:rsidRDefault="00521F18" w:rsidP="001142E2">
      <w:pPr>
        <w:pStyle w:val="BodyText"/>
        <w:widowControl/>
        <w:rPr>
          <w:sz w:val="22"/>
          <w:szCs w:val="22"/>
          <w:lang w:val="pt-BR"/>
        </w:rPr>
      </w:pPr>
      <w:r w:rsidRPr="001142E2">
        <w:rPr>
          <w:sz w:val="22"/>
          <w:szCs w:val="22"/>
          <w:lang w:val="pt-BR"/>
        </w:rPr>
        <w:t xml:space="preserve">CONVENÇÃO INTERAMERICANA SOBRE TRANSPARÊNCIA NAS </w:t>
      </w:r>
    </w:p>
    <w:p w14:paraId="2C73A747" w14:textId="2D6C4717" w:rsidR="00521F18" w:rsidRPr="001142E2" w:rsidRDefault="00521F18" w:rsidP="001142E2">
      <w:pPr>
        <w:pStyle w:val="BodyText"/>
        <w:widowControl/>
        <w:rPr>
          <w:b w:val="0"/>
          <w:sz w:val="22"/>
          <w:szCs w:val="22"/>
          <w:lang w:val="pt-BR"/>
        </w:rPr>
      </w:pPr>
      <w:r w:rsidRPr="001142E2">
        <w:rPr>
          <w:sz w:val="22"/>
          <w:szCs w:val="22"/>
          <w:lang w:val="pt-BR"/>
        </w:rPr>
        <w:t>AQUISIÇÕES DE ARMAS CONVENCIONAIS (CITAAC)</w:t>
      </w:r>
    </w:p>
    <w:p w14:paraId="0A13637D" w14:textId="77777777" w:rsidR="001142E2" w:rsidRPr="001142E2" w:rsidRDefault="001142E2" w:rsidP="00521F18">
      <w:pPr>
        <w:widowControl/>
        <w:autoSpaceDE/>
        <w:autoSpaceDN/>
        <w:adjustRightInd/>
        <w:jc w:val="center"/>
        <w:rPr>
          <w:sz w:val="22"/>
          <w:szCs w:val="22"/>
          <w:lang w:val="pt-BR"/>
        </w:rPr>
      </w:pPr>
    </w:p>
    <w:p w14:paraId="06DBE74B" w14:textId="11A1DFCD" w:rsidR="00784552" w:rsidRPr="001142E2" w:rsidRDefault="00521F18" w:rsidP="00521F18">
      <w:pPr>
        <w:widowControl/>
        <w:autoSpaceDE/>
        <w:autoSpaceDN/>
        <w:adjustRightInd/>
        <w:jc w:val="center"/>
        <w:rPr>
          <w:sz w:val="22"/>
          <w:szCs w:val="22"/>
          <w:lang w:val="pt-BR"/>
        </w:rPr>
      </w:pPr>
      <w:r w:rsidRPr="001142E2">
        <w:rPr>
          <w:sz w:val="22"/>
          <w:szCs w:val="22"/>
          <w:lang w:val="pt-BR"/>
        </w:rPr>
        <w:t>(</w:t>
      </w:r>
      <w:r w:rsidR="00784552" w:rsidRPr="001142E2">
        <w:rPr>
          <w:sz w:val="22"/>
          <w:szCs w:val="22"/>
          <w:lang w:val="pt-BR"/>
        </w:rPr>
        <w:t>Aprovado na</w:t>
      </w:r>
      <w:r w:rsidRPr="001142E2">
        <w:rPr>
          <w:sz w:val="22"/>
          <w:szCs w:val="22"/>
          <w:lang w:val="pt-BR"/>
        </w:rPr>
        <w:t xml:space="preserve"> Segunda Conferência dos Estados Partes </w:t>
      </w:r>
      <w:r w:rsidR="00784552" w:rsidRPr="001142E2">
        <w:rPr>
          <w:sz w:val="22"/>
          <w:szCs w:val="22"/>
          <w:lang w:val="pt-BR"/>
        </w:rPr>
        <w:t>n</w:t>
      </w:r>
      <w:r w:rsidRPr="001142E2">
        <w:rPr>
          <w:sz w:val="22"/>
          <w:szCs w:val="22"/>
          <w:lang w:val="pt-BR"/>
        </w:rPr>
        <w:t>a CITAAC</w:t>
      </w:r>
      <w:r w:rsidR="00784552" w:rsidRPr="001142E2">
        <w:rPr>
          <w:sz w:val="22"/>
          <w:szCs w:val="22"/>
          <w:lang w:val="pt-BR"/>
        </w:rPr>
        <w:t xml:space="preserve">, </w:t>
      </w:r>
    </w:p>
    <w:p w14:paraId="6BE52376" w14:textId="167AFA2A" w:rsidR="00521F18" w:rsidRPr="001142E2" w:rsidRDefault="00784552" w:rsidP="00521F18">
      <w:pPr>
        <w:widowControl/>
        <w:autoSpaceDE/>
        <w:autoSpaceDN/>
        <w:adjustRightInd/>
        <w:jc w:val="center"/>
        <w:rPr>
          <w:bCs/>
          <w:sz w:val="22"/>
          <w:szCs w:val="22"/>
          <w:lang w:val="pt-BR"/>
        </w:rPr>
      </w:pPr>
      <w:r w:rsidRPr="001142E2">
        <w:rPr>
          <w:sz w:val="22"/>
          <w:szCs w:val="22"/>
          <w:lang w:val="pt-BR"/>
        </w:rPr>
        <w:t>realizada em 19 de abril de 2022</w:t>
      </w:r>
      <w:r w:rsidR="00521F18" w:rsidRPr="001142E2">
        <w:rPr>
          <w:sz w:val="22"/>
          <w:szCs w:val="22"/>
          <w:lang w:val="pt-BR"/>
        </w:rPr>
        <w:t xml:space="preserve"> )</w:t>
      </w:r>
    </w:p>
    <w:p w14:paraId="508E4972" w14:textId="523A4E91" w:rsidR="00521F18" w:rsidRDefault="00521F18" w:rsidP="00521F18">
      <w:pPr>
        <w:pStyle w:val="BodyText"/>
        <w:widowControl/>
        <w:rPr>
          <w:sz w:val="22"/>
          <w:szCs w:val="22"/>
          <w:lang w:val="pt-BR"/>
        </w:rPr>
      </w:pPr>
    </w:p>
    <w:p w14:paraId="79A72F24" w14:textId="77777777" w:rsidR="00404912" w:rsidRDefault="00404912" w:rsidP="001142E2">
      <w:pPr>
        <w:pStyle w:val="BodyText"/>
        <w:widowControl/>
        <w:rPr>
          <w:bCs w:val="0"/>
          <w:sz w:val="22"/>
          <w:szCs w:val="22"/>
          <w:lang w:val="pt-BR"/>
        </w:rPr>
        <w:sectPr w:rsidR="00404912" w:rsidSect="005B6681">
          <w:headerReference w:type="default" r:id="rId11"/>
          <w:footerReference w:type="default" r:id="rId12"/>
          <w:headerReference w:type="first" r:id="rId13"/>
          <w:footerReference w:type="first" r:id="rId14"/>
          <w:pgSz w:w="12240" w:h="15840" w:code="1"/>
          <w:pgMar w:top="2160" w:right="1570" w:bottom="1296" w:left="1699" w:header="1296" w:footer="720" w:gutter="0"/>
          <w:pgNumType w:start="2"/>
          <w:cols w:space="720"/>
          <w:docGrid w:linePitch="326"/>
        </w:sectPr>
      </w:pPr>
    </w:p>
    <w:p w14:paraId="0203B680" w14:textId="77777777" w:rsidR="001142E2" w:rsidRPr="001142E2" w:rsidRDefault="00521F18" w:rsidP="001142E2">
      <w:pPr>
        <w:pStyle w:val="BodyText"/>
        <w:widowControl/>
        <w:rPr>
          <w:bCs w:val="0"/>
          <w:sz w:val="22"/>
          <w:szCs w:val="22"/>
          <w:lang w:val="pt-BR"/>
        </w:rPr>
      </w:pPr>
      <w:r w:rsidRPr="001142E2">
        <w:rPr>
          <w:bCs w:val="0"/>
          <w:sz w:val="22"/>
          <w:szCs w:val="22"/>
          <w:lang w:val="pt-BR"/>
        </w:rPr>
        <w:lastRenderedPageBreak/>
        <w:t>REGULAMENTO</w:t>
      </w:r>
      <w:r w:rsidR="001142E2" w:rsidRPr="001142E2">
        <w:rPr>
          <w:bCs w:val="0"/>
          <w:sz w:val="22"/>
          <w:szCs w:val="22"/>
          <w:lang w:val="pt-BR"/>
        </w:rPr>
        <w:t xml:space="preserve"> </w:t>
      </w:r>
      <w:r w:rsidRPr="001142E2">
        <w:rPr>
          <w:bCs w:val="0"/>
          <w:sz w:val="22"/>
          <w:szCs w:val="22"/>
          <w:lang w:val="pt-BR"/>
        </w:rPr>
        <w:t xml:space="preserve">DA CONFERÊNCIA DOS ESTADOS PARTES NA </w:t>
      </w:r>
    </w:p>
    <w:p w14:paraId="4BAEBFED" w14:textId="77777777" w:rsidR="001142E2" w:rsidRPr="001142E2" w:rsidRDefault="00521F18" w:rsidP="001142E2">
      <w:pPr>
        <w:pStyle w:val="BodyText"/>
        <w:widowControl/>
        <w:rPr>
          <w:bCs w:val="0"/>
          <w:sz w:val="22"/>
          <w:szCs w:val="22"/>
          <w:lang w:val="pt-BR"/>
        </w:rPr>
      </w:pPr>
      <w:r w:rsidRPr="001142E2">
        <w:rPr>
          <w:bCs w:val="0"/>
          <w:sz w:val="22"/>
          <w:szCs w:val="22"/>
          <w:lang w:val="pt-BR"/>
        </w:rPr>
        <w:t xml:space="preserve">CONVENÇÃO INTERAMERICANA SOBRE TRANSPARÊNCIA NAS </w:t>
      </w:r>
    </w:p>
    <w:p w14:paraId="23F00663" w14:textId="637CF423" w:rsidR="00521F18" w:rsidRPr="001142E2" w:rsidRDefault="00521F18" w:rsidP="001142E2">
      <w:pPr>
        <w:pStyle w:val="BodyText"/>
        <w:widowControl/>
        <w:rPr>
          <w:b w:val="0"/>
          <w:bCs w:val="0"/>
          <w:sz w:val="22"/>
          <w:szCs w:val="22"/>
          <w:lang w:val="pt-BR"/>
        </w:rPr>
      </w:pPr>
      <w:r w:rsidRPr="001142E2">
        <w:rPr>
          <w:bCs w:val="0"/>
          <w:sz w:val="22"/>
          <w:szCs w:val="22"/>
          <w:lang w:val="pt-BR"/>
        </w:rPr>
        <w:t>AQUISIÇÕES DE ARMAS CONVENCIONAIS (CITAAC)</w:t>
      </w:r>
    </w:p>
    <w:p w14:paraId="4A31D2A4" w14:textId="77777777" w:rsidR="00521F18" w:rsidRPr="001142E2" w:rsidRDefault="00521F18" w:rsidP="00521F18">
      <w:pPr>
        <w:widowControl/>
        <w:rPr>
          <w:sz w:val="22"/>
          <w:szCs w:val="22"/>
          <w:lang w:val="pt-BR"/>
        </w:rPr>
      </w:pPr>
    </w:p>
    <w:p w14:paraId="746AACC6"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I</w:t>
      </w:r>
    </w:p>
    <w:p w14:paraId="3B7327E8" w14:textId="77777777" w:rsidR="00521F18" w:rsidRPr="001142E2" w:rsidRDefault="00521F18" w:rsidP="00521F18">
      <w:pPr>
        <w:pStyle w:val="BodyTextIndent"/>
        <w:widowControl/>
        <w:jc w:val="center"/>
        <w:rPr>
          <w:sz w:val="22"/>
          <w:szCs w:val="22"/>
          <w:lang w:val="pt-BR"/>
        </w:rPr>
      </w:pPr>
      <w:r w:rsidRPr="001142E2">
        <w:rPr>
          <w:sz w:val="22"/>
          <w:szCs w:val="22"/>
          <w:lang w:val="pt-BR"/>
        </w:rPr>
        <w:t>NATUREZA DA CONFERÊNCIA E SUA FINALIDADE</w:t>
      </w:r>
    </w:p>
    <w:p w14:paraId="4BCED269" w14:textId="77777777" w:rsidR="00521F18" w:rsidRPr="001142E2" w:rsidRDefault="00521F18" w:rsidP="00521F18">
      <w:pPr>
        <w:jc w:val="both"/>
        <w:rPr>
          <w:sz w:val="22"/>
          <w:szCs w:val="22"/>
          <w:lang w:val="pt-BR"/>
        </w:rPr>
      </w:pPr>
    </w:p>
    <w:p w14:paraId="586AEBE5" w14:textId="77777777" w:rsidR="00521F18" w:rsidRPr="001142E2" w:rsidRDefault="00521F18" w:rsidP="00521F18">
      <w:pPr>
        <w:pStyle w:val="BodyTextIndent"/>
        <w:widowControl/>
        <w:rPr>
          <w:sz w:val="22"/>
          <w:szCs w:val="22"/>
          <w:lang w:val="pt-BR"/>
        </w:rPr>
      </w:pPr>
      <w:r w:rsidRPr="001142E2">
        <w:rPr>
          <w:b/>
          <w:sz w:val="22"/>
          <w:szCs w:val="22"/>
          <w:lang w:val="pt-BR"/>
        </w:rPr>
        <w:t>Artigo 1º</w:t>
      </w:r>
    </w:p>
    <w:p w14:paraId="18E8A3A9" w14:textId="77777777" w:rsidR="00521F18" w:rsidRPr="001142E2" w:rsidRDefault="00521F18" w:rsidP="00521F18">
      <w:pPr>
        <w:pStyle w:val="BodyTextIndent"/>
        <w:widowControl/>
        <w:rPr>
          <w:sz w:val="22"/>
          <w:szCs w:val="22"/>
          <w:lang w:val="pt-BR"/>
        </w:rPr>
      </w:pPr>
    </w:p>
    <w:p w14:paraId="2FDB3A5A" w14:textId="77777777" w:rsidR="00521F18" w:rsidRPr="001142E2" w:rsidRDefault="00521F18" w:rsidP="00521F18">
      <w:pPr>
        <w:pStyle w:val="BodyTextIndent"/>
        <w:widowControl/>
        <w:rPr>
          <w:sz w:val="22"/>
          <w:szCs w:val="22"/>
          <w:lang w:val="pt-BR"/>
        </w:rPr>
      </w:pPr>
      <w:r w:rsidRPr="001142E2">
        <w:rPr>
          <w:sz w:val="22"/>
          <w:szCs w:val="22"/>
          <w:lang w:val="pt-BR"/>
        </w:rPr>
        <w:tab/>
        <w:t>A Conferência dos Estados Partes (doravante “a Conferência”) é uma reunião dos Estados Partes da Convenção Interamericana sobre Transparência nas Aquisições de Armas Convencionais (doravante “a Convenção”), prevista no artigo VIII da referida Convenção, e que pode ser convocada em diversas oportunidades, segundo os requisitos contemplados na própria Convenção.</w:t>
      </w:r>
    </w:p>
    <w:p w14:paraId="085A4BC4" w14:textId="77777777" w:rsidR="00521F18" w:rsidRPr="001142E2" w:rsidRDefault="00521F18" w:rsidP="00521F18">
      <w:pPr>
        <w:pStyle w:val="BodyTextIndent"/>
        <w:widowControl/>
        <w:rPr>
          <w:sz w:val="22"/>
          <w:szCs w:val="22"/>
          <w:lang w:val="pt-BR"/>
        </w:rPr>
      </w:pPr>
    </w:p>
    <w:p w14:paraId="0B19531B" w14:textId="77777777" w:rsidR="00521F18" w:rsidRPr="001142E2" w:rsidRDefault="00521F18" w:rsidP="00521F18">
      <w:pPr>
        <w:pStyle w:val="BodyTextIndent"/>
        <w:widowControl/>
        <w:rPr>
          <w:b/>
          <w:bCs/>
          <w:sz w:val="22"/>
          <w:szCs w:val="22"/>
          <w:lang w:val="pt-BR"/>
        </w:rPr>
      </w:pPr>
      <w:r w:rsidRPr="001142E2">
        <w:rPr>
          <w:b/>
          <w:sz w:val="22"/>
          <w:szCs w:val="22"/>
          <w:lang w:val="pt-BR"/>
        </w:rPr>
        <w:t>Artigo 2º</w:t>
      </w:r>
    </w:p>
    <w:p w14:paraId="6595EF6C" w14:textId="77777777" w:rsidR="00521F18" w:rsidRPr="001142E2" w:rsidRDefault="00521F18" w:rsidP="00521F18">
      <w:pPr>
        <w:pStyle w:val="BodyTextIndent"/>
        <w:widowControl/>
        <w:rPr>
          <w:b/>
          <w:bCs/>
          <w:sz w:val="22"/>
          <w:szCs w:val="22"/>
          <w:lang w:val="pt-BR"/>
        </w:rPr>
      </w:pPr>
    </w:p>
    <w:p w14:paraId="440F006A" w14:textId="77777777" w:rsidR="00521F18" w:rsidRPr="001142E2" w:rsidRDefault="00521F18" w:rsidP="00521F18">
      <w:pPr>
        <w:pStyle w:val="BodyTextIndent"/>
        <w:widowControl/>
        <w:rPr>
          <w:sz w:val="22"/>
          <w:szCs w:val="22"/>
          <w:lang w:val="pt-BR"/>
        </w:rPr>
      </w:pPr>
      <w:r w:rsidRPr="001142E2">
        <w:rPr>
          <w:sz w:val="22"/>
          <w:szCs w:val="22"/>
          <w:lang w:val="pt-BR"/>
        </w:rPr>
        <w:tab/>
        <w:t>A Conferência tem por finalidade, de acordo com o previsto no artigo VIII da Convenção, o exame do funcionamento e aplicação da Convenção, bem como a consideração de medidas adicionais de transparência compatíveis com o objetivo da Convenção.</w:t>
      </w:r>
    </w:p>
    <w:p w14:paraId="0E8FB7DB" w14:textId="77777777" w:rsidR="00521F18" w:rsidRPr="001142E2" w:rsidRDefault="00521F18" w:rsidP="00521F18">
      <w:pPr>
        <w:pStyle w:val="BodyTextIndent"/>
        <w:widowControl/>
        <w:rPr>
          <w:sz w:val="22"/>
          <w:szCs w:val="22"/>
          <w:lang w:val="pt-BR"/>
        </w:rPr>
      </w:pPr>
    </w:p>
    <w:p w14:paraId="3A8CFBC4" w14:textId="77777777" w:rsidR="00521F18" w:rsidRPr="001142E2" w:rsidRDefault="00521F18" w:rsidP="00521F18">
      <w:pPr>
        <w:pStyle w:val="BodyTextIndent"/>
        <w:widowControl/>
        <w:rPr>
          <w:sz w:val="22"/>
          <w:szCs w:val="22"/>
          <w:lang w:val="pt-BR"/>
        </w:rPr>
      </w:pPr>
    </w:p>
    <w:p w14:paraId="4DA35250"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II</w:t>
      </w:r>
    </w:p>
    <w:p w14:paraId="0D99A52D" w14:textId="77777777" w:rsidR="00521F18" w:rsidRPr="001142E2" w:rsidRDefault="00521F18" w:rsidP="00521F18">
      <w:pPr>
        <w:pStyle w:val="BodyTextIndent"/>
        <w:widowControl/>
        <w:jc w:val="center"/>
        <w:rPr>
          <w:sz w:val="22"/>
          <w:szCs w:val="22"/>
          <w:lang w:val="pt-BR"/>
        </w:rPr>
      </w:pPr>
      <w:r w:rsidRPr="001142E2">
        <w:rPr>
          <w:sz w:val="22"/>
          <w:szCs w:val="22"/>
          <w:lang w:val="pt-BR"/>
        </w:rPr>
        <w:t>FUNÇÕES</w:t>
      </w:r>
    </w:p>
    <w:p w14:paraId="5A626838" w14:textId="77777777" w:rsidR="00521F18" w:rsidRPr="001142E2" w:rsidRDefault="00521F18" w:rsidP="00521F18">
      <w:pPr>
        <w:pStyle w:val="BodyTextIndent"/>
        <w:widowControl/>
        <w:rPr>
          <w:sz w:val="22"/>
          <w:szCs w:val="22"/>
          <w:lang w:val="pt-BR"/>
        </w:rPr>
      </w:pPr>
    </w:p>
    <w:p w14:paraId="0C450104" w14:textId="77777777" w:rsidR="00521F18" w:rsidRPr="001142E2" w:rsidRDefault="00521F18" w:rsidP="00521F18">
      <w:pPr>
        <w:pStyle w:val="BodyTextIndent"/>
        <w:widowControl/>
        <w:rPr>
          <w:b/>
          <w:bCs/>
          <w:sz w:val="22"/>
          <w:szCs w:val="22"/>
          <w:lang w:val="pt-BR"/>
        </w:rPr>
      </w:pPr>
      <w:r w:rsidRPr="001142E2">
        <w:rPr>
          <w:b/>
          <w:sz w:val="22"/>
          <w:szCs w:val="22"/>
          <w:lang w:val="pt-BR"/>
        </w:rPr>
        <w:t>Artigo 3º</w:t>
      </w:r>
    </w:p>
    <w:p w14:paraId="4E44B3AB" w14:textId="77777777" w:rsidR="00521F18" w:rsidRPr="001142E2" w:rsidRDefault="00521F18" w:rsidP="00521F18">
      <w:pPr>
        <w:pStyle w:val="BodyTextIndent"/>
        <w:widowControl/>
        <w:rPr>
          <w:sz w:val="22"/>
          <w:szCs w:val="22"/>
          <w:lang w:val="pt-BR"/>
        </w:rPr>
      </w:pPr>
    </w:p>
    <w:p w14:paraId="3CAD9052" w14:textId="77777777" w:rsidR="00521F18" w:rsidRPr="001142E2" w:rsidRDefault="00521F18" w:rsidP="00521F18">
      <w:pPr>
        <w:pStyle w:val="BodyTextIndent"/>
        <w:widowControl/>
        <w:rPr>
          <w:sz w:val="22"/>
          <w:szCs w:val="22"/>
          <w:lang w:val="pt-BR"/>
        </w:rPr>
      </w:pPr>
      <w:r w:rsidRPr="001142E2">
        <w:rPr>
          <w:sz w:val="22"/>
          <w:szCs w:val="22"/>
          <w:lang w:val="pt-BR"/>
        </w:rPr>
        <w:tab/>
        <w:t>Para o cumprimento de sua finalidade, são as seguintes as funções da Conferência:</w:t>
      </w:r>
    </w:p>
    <w:p w14:paraId="69867486" w14:textId="77777777" w:rsidR="00521F18" w:rsidRPr="001142E2" w:rsidRDefault="00521F18" w:rsidP="00521F18">
      <w:pPr>
        <w:pStyle w:val="BodyTextIndent"/>
        <w:widowControl/>
        <w:rPr>
          <w:sz w:val="22"/>
          <w:szCs w:val="22"/>
          <w:lang w:val="pt-BR"/>
        </w:rPr>
      </w:pPr>
    </w:p>
    <w:p w14:paraId="6631379B" w14:textId="79F9D9F4" w:rsidR="00521F18" w:rsidRDefault="00521F18" w:rsidP="00521F18">
      <w:pPr>
        <w:pStyle w:val="BodyTextIndent"/>
        <w:widowControl/>
        <w:numPr>
          <w:ilvl w:val="0"/>
          <w:numId w:val="18"/>
        </w:numPr>
        <w:ind w:left="1440" w:hanging="720"/>
        <w:rPr>
          <w:sz w:val="22"/>
          <w:szCs w:val="22"/>
          <w:lang w:val="pt-BR"/>
        </w:rPr>
      </w:pPr>
      <w:r w:rsidRPr="001142E2">
        <w:rPr>
          <w:sz w:val="22"/>
          <w:szCs w:val="22"/>
          <w:lang w:val="pt-BR"/>
        </w:rPr>
        <w:t>adotar as decisões que considera necessárias para orientar os Estados Partes e a Comissão Consultiva quanto ao funcionamento e à aplicação da Convenção, particularmente no que se refere ao cumprimento das obrigações previstas nos artigos III e IV;</w:t>
      </w:r>
    </w:p>
    <w:p w14:paraId="012B6463" w14:textId="77777777" w:rsidR="00404912" w:rsidRDefault="00404912" w:rsidP="00404912">
      <w:pPr>
        <w:pStyle w:val="BodyTextIndent"/>
        <w:widowControl/>
        <w:ind w:left="720"/>
        <w:rPr>
          <w:sz w:val="22"/>
          <w:szCs w:val="22"/>
          <w:lang w:val="pt-BR"/>
        </w:rPr>
      </w:pPr>
    </w:p>
    <w:p w14:paraId="716A082D" w14:textId="6E6C713D" w:rsidR="00521F18" w:rsidRDefault="00521F18" w:rsidP="00404912">
      <w:pPr>
        <w:pStyle w:val="BodyTextIndent"/>
        <w:widowControl/>
        <w:numPr>
          <w:ilvl w:val="0"/>
          <w:numId w:val="18"/>
        </w:numPr>
        <w:ind w:left="1440" w:hanging="720"/>
        <w:rPr>
          <w:sz w:val="22"/>
          <w:szCs w:val="22"/>
          <w:lang w:val="pt-BR"/>
        </w:rPr>
      </w:pPr>
      <w:r w:rsidRPr="00404912">
        <w:rPr>
          <w:sz w:val="22"/>
          <w:szCs w:val="22"/>
          <w:lang w:val="pt-BR"/>
        </w:rPr>
        <w:t>estabelecer as prioridades e determinar os objetivos que permitam alcançar a aplicação efetiva da Convenção;</w:t>
      </w:r>
    </w:p>
    <w:p w14:paraId="4BC7DD46" w14:textId="77777777" w:rsidR="00404912" w:rsidRDefault="00404912" w:rsidP="00404912">
      <w:pPr>
        <w:pStyle w:val="ListParagraph"/>
        <w:rPr>
          <w:sz w:val="22"/>
          <w:szCs w:val="22"/>
          <w:lang w:val="pt-BR"/>
        </w:rPr>
      </w:pPr>
    </w:p>
    <w:p w14:paraId="28F86002" w14:textId="0F7C9BDD" w:rsidR="00521F18" w:rsidRDefault="00521F18" w:rsidP="00404912">
      <w:pPr>
        <w:pStyle w:val="BodyTextIndent"/>
        <w:widowControl/>
        <w:numPr>
          <w:ilvl w:val="0"/>
          <w:numId w:val="18"/>
        </w:numPr>
        <w:ind w:left="1440" w:hanging="720"/>
        <w:rPr>
          <w:sz w:val="22"/>
          <w:szCs w:val="22"/>
          <w:lang w:val="pt-BR"/>
        </w:rPr>
      </w:pPr>
      <w:r w:rsidRPr="00404912">
        <w:rPr>
          <w:sz w:val="22"/>
          <w:szCs w:val="22"/>
          <w:lang w:val="pt-BR"/>
        </w:rPr>
        <w:t>instruir a Comissão Consultiva a adotar e desenvolver medidas que facilitem o adequado funcionamento e aplicação da Convenção;</w:t>
      </w:r>
    </w:p>
    <w:p w14:paraId="1416CAA5" w14:textId="77777777" w:rsidR="00404912" w:rsidRDefault="00404912" w:rsidP="00404912">
      <w:pPr>
        <w:pStyle w:val="ListParagraph"/>
        <w:rPr>
          <w:sz w:val="22"/>
          <w:szCs w:val="22"/>
          <w:lang w:val="pt-BR"/>
        </w:rPr>
      </w:pPr>
    </w:p>
    <w:p w14:paraId="0C28DD96" w14:textId="18DA74F0" w:rsidR="00521F18" w:rsidRDefault="00784552" w:rsidP="00404912">
      <w:pPr>
        <w:pStyle w:val="BodyTextIndent"/>
        <w:widowControl/>
        <w:numPr>
          <w:ilvl w:val="0"/>
          <w:numId w:val="18"/>
        </w:numPr>
        <w:ind w:left="1440" w:hanging="720"/>
        <w:rPr>
          <w:sz w:val="22"/>
          <w:szCs w:val="22"/>
          <w:lang w:val="pt-BR"/>
        </w:rPr>
      </w:pPr>
      <w:r w:rsidRPr="00404912">
        <w:rPr>
          <w:sz w:val="22"/>
          <w:szCs w:val="22"/>
          <w:lang w:val="pt-BR"/>
        </w:rPr>
        <w:t>examinar</w:t>
      </w:r>
      <w:r w:rsidR="00521F18" w:rsidRPr="00404912">
        <w:rPr>
          <w:sz w:val="22"/>
          <w:szCs w:val="22"/>
          <w:lang w:val="pt-BR"/>
        </w:rPr>
        <w:t xml:space="preserve"> os resultados das medidas adotadas pela Comissão Consultiva para facilitar o funcionamento e a aplicação da Convenção;</w:t>
      </w:r>
    </w:p>
    <w:p w14:paraId="0FBFB8D3" w14:textId="77777777" w:rsidR="00404912" w:rsidRDefault="00404912" w:rsidP="00404912">
      <w:pPr>
        <w:pStyle w:val="ListParagraph"/>
        <w:rPr>
          <w:sz w:val="22"/>
          <w:szCs w:val="22"/>
          <w:lang w:val="pt-BR"/>
        </w:rPr>
      </w:pPr>
    </w:p>
    <w:p w14:paraId="4805CF5D" w14:textId="5214A789" w:rsidR="00521F18" w:rsidRDefault="00521F18" w:rsidP="00404912">
      <w:pPr>
        <w:pStyle w:val="BodyTextIndent"/>
        <w:widowControl/>
        <w:numPr>
          <w:ilvl w:val="0"/>
          <w:numId w:val="18"/>
        </w:numPr>
        <w:ind w:left="1440" w:hanging="720"/>
        <w:rPr>
          <w:sz w:val="22"/>
          <w:szCs w:val="22"/>
          <w:lang w:val="pt-BR"/>
        </w:rPr>
      </w:pPr>
      <w:r w:rsidRPr="00404912">
        <w:rPr>
          <w:sz w:val="22"/>
          <w:szCs w:val="22"/>
          <w:lang w:val="pt-BR"/>
        </w:rPr>
        <w:t>solicitar relatórios à Secretaria Técnica e à Comissão Consultiva, quando o considerar necessário, a fim de examinar o funcionamento e o grau de aplicação da Convenção, bem como dispor a realização de estudos ou trabalhos de análise que contribuam para identificar pontos fortes e deficiências em sua aplicação;</w:t>
      </w:r>
    </w:p>
    <w:p w14:paraId="34AB342A" w14:textId="77777777" w:rsidR="00404912" w:rsidRDefault="00404912" w:rsidP="00404912">
      <w:pPr>
        <w:pStyle w:val="ListParagraph"/>
        <w:rPr>
          <w:sz w:val="22"/>
          <w:szCs w:val="22"/>
          <w:lang w:val="pt-BR"/>
        </w:rPr>
      </w:pPr>
    </w:p>
    <w:p w14:paraId="34ADFC95" w14:textId="6D3A43A6" w:rsidR="00521F18" w:rsidRDefault="00521F18" w:rsidP="00404912">
      <w:pPr>
        <w:pStyle w:val="BodyTextIndent"/>
        <w:widowControl/>
        <w:numPr>
          <w:ilvl w:val="0"/>
          <w:numId w:val="18"/>
        </w:numPr>
        <w:ind w:left="1440" w:hanging="720"/>
        <w:rPr>
          <w:sz w:val="22"/>
          <w:szCs w:val="22"/>
          <w:lang w:val="pt-BR"/>
        </w:rPr>
      </w:pPr>
      <w:r w:rsidRPr="00404912">
        <w:rPr>
          <w:sz w:val="22"/>
          <w:szCs w:val="22"/>
          <w:lang w:val="pt-BR"/>
        </w:rPr>
        <w:lastRenderedPageBreak/>
        <w:t>considerar medidas adicionais de transparência compatíveis com o objetivo da Convenção e modificações às categorias de armas convencionais enumeradas no Anexo I da Convenção, considerando a convergência entre a Convenção e o Registro de Armas Convencionais das Nações Unidas. Será também considerada a possibilidade de incluir armas pequenas e armamento leve no âmbito da Convenção</w:t>
      </w:r>
      <w:r w:rsidR="00784552" w:rsidRPr="00404912">
        <w:rPr>
          <w:sz w:val="22"/>
          <w:szCs w:val="22"/>
          <w:lang w:val="pt-BR"/>
        </w:rPr>
        <w:t>. As modificações do Anexo I serão feitas de acordo com o previsto no artigo IX da Convenção</w:t>
      </w:r>
      <w:r w:rsidRPr="00404912">
        <w:rPr>
          <w:sz w:val="22"/>
          <w:szCs w:val="22"/>
          <w:lang w:val="pt-BR"/>
        </w:rPr>
        <w:t>;</w:t>
      </w:r>
    </w:p>
    <w:p w14:paraId="5A35C986" w14:textId="77777777" w:rsidR="00404912" w:rsidRDefault="00404912" w:rsidP="00404912">
      <w:pPr>
        <w:pStyle w:val="ListParagraph"/>
        <w:rPr>
          <w:sz w:val="22"/>
          <w:szCs w:val="22"/>
          <w:lang w:val="pt-BR"/>
        </w:rPr>
      </w:pPr>
    </w:p>
    <w:p w14:paraId="0317933A" w14:textId="77777777" w:rsidR="00521F18" w:rsidRPr="00404912" w:rsidRDefault="00521F18" w:rsidP="00404912">
      <w:pPr>
        <w:pStyle w:val="BodyTextIndent"/>
        <w:widowControl/>
        <w:numPr>
          <w:ilvl w:val="0"/>
          <w:numId w:val="18"/>
        </w:numPr>
        <w:ind w:left="1440" w:hanging="720"/>
        <w:rPr>
          <w:sz w:val="22"/>
          <w:szCs w:val="22"/>
          <w:lang w:val="pt-BR"/>
        </w:rPr>
      </w:pPr>
      <w:r w:rsidRPr="00404912">
        <w:rPr>
          <w:sz w:val="22"/>
          <w:szCs w:val="22"/>
          <w:lang w:val="pt-BR"/>
        </w:rPr>
        <w:t>dispor o necessário para fortalecer as relações dos Estados Partes na Convenção e da Comissão Consultiva com os outros organismos internacionais e regionais, a fim de desenvolver programas conjuntos que facilitem a aplicação da Convenção e negociar cooperação técnica e financeira para sua execução, incluindo a coordenação com as Nações Unidas e o Registro de Armas Convencionais das Nações Unidas.</w:t>
      </w:r>
    </w:p>
    <w:p w14:paraId="3A77CCAC" w14:textId="77777777" w:rsidR="00521F18" w:rsidRPr="001142E2" w:rsidRDefault="00521F18" w:rsidP="00521F18">
      <w:pPr>
        <w:pStyle w:val="BodyTextIndent"/>
        <w:widowControl/>
        <w:rPr>
          <w:sz w:val="22"/>
          <w:szCs w:val="22"/>
          <w:lang w:val="pt-BR"/>
        </w:rPr>
      </w:pPr>
    </w:p>
    <w:p w14:paraId="20F3A999" w14:textId="77777777" w:rsidR="00521F18" w:rsidRPr="001142E2" w:rsidRDefault="00521F18" w:rsidP="00521F18">
      <w:pPr>
        <w:pStyle w:val="BodyTextIndent"/>
        <w:widowControl/>
        <w:rPr>
          <w:sz w:val="22"/>
          <w:szCs w:val="22"/>
          <w:lang w:val="pt-BR"/>
        </w:rPr>
      </w:pPr>
    </w:p>
    <w:p w14:paraId="3EBE0529" w14:textId="77777777" w:rsidR="00521F18" w:rsidRPr="001142E2" w:rsidRDefault="00521F18" w:rsidP="00521F18">
      <w:pPr>
        <w:pStyle w:val="BodyTextIndent"/>
        <w:widowControl/>
        <w:ind w:left="360"/>
        <w:jc w:val="center"/>
        <w:rPr>
          <w:sz w:val="22"/>
          <w:szCs w:val="22"/>
          <w:lang w:val="pt-BR"/>
        </w:rPr>
      </w:pPr>
      <w:r w:rsidRPr="001142E2">
        <w:rPr>
          <w:sz w:val="22"/>
          <w:szCs w:val="22"/>
          <w:lang w:val="pt-BR"/>
        </w:rPr>
        <w:t>CAPÍTULO III</w:t>
      </w:r>
    </w:p>
    <w:p w14:paraId="1AD8C0AD" w14:textId="77777777" w:rsidR="00521F18" w:rsidRPr="001142E2" w:rsidRDefault="00521F18" w:rsidP="00521F18">
      <w:pPr>
        <w:pStyle w:val="BodyTextIndent"/>
        <w:widowControl/>
        <w:ind w:left="360"/>
        <w:jc w:val="center"/>
        <w:rPr>
          <w:sz w:val="22"/>
          <w:szCs w:val="22"/>
          <w:lang w:val="pt-BR"/>
        </w:rPr>
      </w:pPr>
      <w:r w:rsidRPr="001142E2">
        <w:rPr>
          <w:sz w:val="22"/>
          <w:szCs w:val="22"/>
          <w:lang w:val="pt-BR"/>
        </w:rPr>
        <w:t>COMPOSIÇÃO E ORGANIZAÇÃO</w:t>
      </w:r>
    </w:p>
    <w:p w14:paraId="08646AF8" w14:textId="77777777" w:rsidR="00521F18" w:rsidRPr="001142E2" w:rsidRDefault="00521F18" w:rsidP="00521F18">
      <w:pPr>
        <w:pStyle w:val="BodyTextIndent"/>
        <w:widowControl/>
        <w:rPr>
          <w:sz w:val="22"/>
          <w:szCs w:val="22"/>
          <w:lang w:val="pt-BR"/>
        </w:rPr>
      </w:pPr>
    </w:p>
    <w:p w14:paraId="0F684F77" w14:textId="0A05D672" w:rsidR="00521F18" w:rsidRPr="001142E2" w:rsidRDefault="00521F18" w:rsidP="00521F18">
      <w:pPr>
        <w:pStyle w:val="BodyTextIndent"/>
        <w:widowControl/>
        <w:rPr>
          <w:b/>
          <w:bCs/>
          <w:sz w:val="22"/>
          <w:szCs w:val="22"/>
          <w:lang w:val="pt-BR"/>
        </w:rPr>
      </w:pPr>
      <w:r w:rsidRPr="001142E2">
        <w:rPr>
          <w:b/>
          <w:sz w:val="22"/>
          <w:szCs w:val="22"/>
          <w:lang w:val="pt-BR"/>
        </w:rPr>
        <w:t>Artigo 4</w:t>
      </w:r>
      <w:r w:rsidR="001142E2" w:rsidRPr="001142E2">
        <w:rPr>
          <w:b/>
          <w:sz w:val="22"/>
          <w:szCs w:val="22"/>
          <w:lang w:val="pt-BR"/>
        </w:rPr>
        <w:t>º</w:t>
      </w:r>
    </w:p>
    <w:p w14:paraId="2FBD3184" w14:textId="77777777" w:rsidR="00521F18" w:rsidRPr="001142E2" w:rsidRDefault="00521F18" w:rsidP="00521F18">
      <w:pPr>
        <w:pStyle w:val="BodyTextIndent"/>
        <w:widowControl/>
        <w:rPr>
          <w:b/>
          <w:bCs/>
          <w:sz w:val="22"/>
          <w:szCs w:val="22"/>
          <w:lang w:val="pt-BR"/>
        </w:rPr>
      </w:pPr>
    </w:p>
    <w:p w14:paraId="08217205" w14:textId="77777777" w:rsidR="00521F18" w:rsidRPr="001142E2" w:rsidRDefault="00521F18" w:rsidP="00521F18">
      <w:pPr>
        <w:pStyle w:val="BodyTextIndent"/>
        <w:widowControl/>
        <w:rPr>
          <w:sz w:val="22"/>
          <w:szCs w:val="22"/>
          <w:u w:val="single"/>
          <w:lang w:val="pt-BR"/>
        </w:rPr>
      </w:pPr>
      <w:r w:rsidRPr="001142E2">
        <w:rPr>
          <w:sz w:val="22"/>
          <w:szCs w:val="22"/>
          <w:lang w:val="pt-BR"/>
        </w:rPr>
        <w:tab/>
        <w:t xml:space="preserve">A Conferência será constituída pelos Estados Partes na Convenção. Cada Estado Parte designará um chefe de delegação e os delegados que considerar necessários. </w:t>
      </w:r>
    </w:p>
    <w:p w14:paraId="061FCDDC" w14:textId="77777777" w:rsidR="00521F18" w:rsidRPr="001142E2" w:rsidRDefault="00521F18" w:rsidP="00521F18">
      <w:pPr>
        <w:pStyle w:val="BodyTextIndent"/>
        <w:widowControl/>
        <w:rPr>
          <w:b/>
          <w:bCs/>
          <w:sz w:val="22"/>
          <w:szCs w:val="22"/>
          <w:lang w:val="pt-BR"/>
        </w:rPr>
      </w:pPr>
    </w:p>
    <w:p w14:paraId="0D293290" w14:textId="77777777" w:rsidR="00521F18" w:rsidRPr="001142E2" w:rsidRDefault="00521F18" w:rsidP="00521F18">
      <w:pPr>
        <w:pStyle w:val="BodyTextIndent"/>
        <w:widowControl/>
        <w:rPr>
          <w:b/>
          <w:bCs/>
          <w:sz w:val="22"/>
          <w:szCs w:val="22"/>
          <w:lang w:val="pt-BR"/>
        </w:rPr>
      </w:pPr>
      <w:r w:rsidRPr="001142E2">
        <w:rPr>
          <w:b/>
          <w:sz w:val="22"/>
          <w:szCs w:val="22"/>
          <w:lang w:val="pt-BR"/>
        </w:rPr>
        <w:t>Artigo 5</w:t>
      </w:r>
      <w:r w:rsidRPr="001142E2">
        <w:rPr>
          <w:b/>
          <w:sz w:val="22"/>
          <w:szCs w:val="22"/>
          <w:vertAlign w:val="superscript"/>
          <w:lang w:val="pt-BR"/>
        </w:rPr>
        <w:t>o</w:t>
      </w:r>
    </w:p>
    <w:p w14:paraId="0085764A" w14:textId="77777777" w:rsidR="00521F18" w:rsidRPr="001142E2" w:rsidRDefault="00521F18" w:rsidP="00521F18">
      <w:pPr>
        <w:pStyle w:val="BodyTextIndent"/>
        <w:widowControl/>
        <w:rPr>
          <w:b/>
          <w:bCs/>
          <w:sz w:val="22"/>
          <w:szCs w:val="22"/>
          <w:lang w:val="pt-BR"/>
        </w:rPr>
      </w:pPr>
    </w:p>
    <w:p w14:paraId="1B179C4C" w14:textId="77777777" w:rsidR="00521F18" w:rsidRPr="001142E2" w:rsidRDefault="00521F18" w:rsidP="00521F18">
      <w:pPr>
        <w:pStyle w:val="BodyTextIndent"/>
        <w:widowControl/>
        <w:rPr>
          <w:sz w:val="22"/>
          <w:szCs w:val="22"/>
          <w:lang w:val="pt-BR"/>
        </w:rPr>
      </w:pPr>
      <w:r w:rsidRPr="001142E2">
        <w:rPr>
          <w:sz w:val="22"/>
          <w:szCs w:val="22"/>
          <w:lang w:val="pt-BR"/>
        </w:rPr>
        <w:tab/>
        <w:t>A Conferência terá um Presidente e três Vice-Presidentes.  O Presidente e os Vice-Presidentes serão eleitos no início de cada Conferência, segundo o procedimento estabelecido no artigo 14 deste Regulamento.</w:t>
      </w:r>
    </w:p>
    <w:p w14:paraId="73D3D7EA" w14:textId="77777777" w:rsidR="00521F18" w:rsidRPr="001142E2" w:rsidRDefault="00521F18" w:rsidP="00521F18">
      <w:pPr>
        <w:pStyle w:val="BodyTextIndent"/>
        <w:widowControl/>
        <w:rPr>
          <w:sz w:val="22"/>
          <w:szCs w:val="22"/>
          <w:lang w:val="pt-BR"/>
        </w:rPr>
      </w:pPr>
    </w:p>
    <w:p w14:paraId="210F1C37" w14:textId="77777777" w:rsidR="00521F18" w:rsidRPr="001142E2" w:rsidRDefault="00521F18" w:rsidP="00521F18">
      <w:pPr>
        <w:pStyle w:val="BodyTextIndent"/>
        <w:widowControl/>
        <w:rPr>
          <w:sz w:val="22"/>
          <w:szCs w:val="22"/>
          <w:lang w:val="pt-BR"/>
        </w:rPr>
      </w:pPr>
      <w:r w:rsidRPr="001142E2">
        <w:rPr>
          <w:sz w:val="22"/>
          <w:szCs w:val="22"/>
          <w:lang w:val="pt-BR"/>
        </w:rPr>
        <w:tab/>
        <w:t>O Estado Parte eleito como Presidente da Conferência exercerá a Presidência até a Conferência seguinte.</w:t>
      </w:r>
    </w:p>
    <w:p w14:paraId="5BBA30F0" w14:textId="77777777" w:rsidR="00521F18" w:rsidRPr="001142E2" w:rsidRDefault="00521F18" w:rsidP="00521F18">
      <w:pPr>
        <w:pStyle w:val="BodyTextIndent"/>
        <w:widowControl/>
        <w:rPr>
          <w:sz w:val="22"/>
          <w:szCs w:val="22"/>
          <w:lang w:val="pt-BR"/>
        </w:rPr>
      </w:pPr>
    </w:p>
    <w:p w14:paraId="10F4418E" w14:textId="77777777" w:rsidR="00521F18" w:rsidRPr="001142E2" w:rsidRDefault="00521F18" w:rsidP="00521F18">
      <w:pPr>
        <w:pStyle w:val="BodyTextIndent"/>
        <w:widowControl/>
        <w:rPr>
          <w:sz w:val="22"/>
          <w:szCs w:val="22"/>
          <w:lang w:val="pt-BR"/>
        </w:rPr>
      </w:pPr>
      <w:r w:rsidRPr="001142E2">
        <w:rPr>
          <w:sz w:val="22"/>
          <w:szCs w:val="22"/>
          <w:lang w:val="pt-BR"/>
        </w:rPr>
        <w:tab/>
        <w:t>No caso de ausência do Presidente em uma reunião ou em parte dela, o Primeiro Vice-Presidente o substituirá e, na ausência deste, o Segundo Vice-Presidente. Se este estiver ausente, o Terceiro Vice-Presidente o substituirá.</w:t>
      </w:r>
    </w:p>
    <w:p w14:paraId="05839A50" w14:textId="77777777" w:rsidR="00521F18" w:rsidRPr="001142E2" w:rsidRDefault="00521F18" w:rsidP="00521F18">
      <w:pPr>
        <w:pStyle w:val="BodyTextIndent"/>
        <w:widowControl/>
        <w:rPr>
          <w:bCs/>
          <w:sz w:val="22"/>
          <w:szCs w:val="22"/>
          <w:lang w:val="pt-BR"/>
        </w:rPr>
      </w:pPr>
    </w:p>
    <w:p w14:paraId="24C3AB9B" w14:textId="1D0083BF" w:rsidR="00521F18" w:rsidRPr="001142E2" w:rsidRDefault="00521F18" w:rsidP="00521F18">
      <w:pPr>
        <w:pStyle w:val="BodyTextIndent"/>
        <w:keepNext/>
        <w:widowControl/>
        <w:rPr>
          <w:b/>
          <w:bCs/>
          <w:sz w:val="22"/>
          <w:szCs w:val="22"/>
          <w:lang w:val="pt-BR"/>
        </w:rPr>
      </w:pPr>
      <w:r w:rsidRPr="001142E2">
        <w:rPr>
          <w:b/>
          <w:sz w:val="22"/>
          <w:szCs w:val="22"/>
          <w:lang w:val="pt-BR"/>
        </w:rPr>
        <w:t>Artigo 6</w:t>
      </w:r>
      <w:r w:rsidR="001142E2" w:rsidRPr="001142E2">
        <w:rPr>
          <w:b/>
          <w:sz w:val="22"/>
          <w:szCs w:val="22"/>
          <w:lang w:val="pt-BR"/>
        </w:rPr>
        <w:t>º</w:t>
      </w:r>
    </w:p>
    <w:p w14:paraId="019B2A29" w14:textId="77777777" w:rsidR="00521F18" w:rsidRPr="001142E2" w:rsidRDefault="00521F18" w:rsidP="00521F18">
      <w:pPr>
        <w:pStyle w:val="BodyTextIndent"/>
        <w:keepNext/>
        <w:widowControl/>
        <w:rPr>
          <w:b/>
          <w:bCs/>
          <w:sz w:val="22"/>
          <w:szCs w:val="22"/>
          <w:lang w:val="pt-BR"/>
        </w:rPr>
      </w:pPr>
    </w:p>
    <w:p w14:paraId="38AD19FF" w14:textId="77777777" w:rsidR="00521F18" w:rsidRPr="001142E2" w:rsidRDefault="00521F18" w:rsidP="00521F18">
      <w:pPr>
        <w:pStyle w:val="BodyTextIndent"/>
        <w:keepNext/>
        <w:widowControl/>
        <w:rPr>
          <w:sz w:val="22"/>
          <w:szCs w:val="22"/>
          <w:lang w:val="pt-BR"/>
        </w:rPr>
      </w:pPr>
      <w:r w:rsidRPr="001142E2">
        <w:rPr>
          <w:sz w:val="22"/>
          <w:szCs w:val="22"/>
          <w:lang w:val="pt-BR"/>
        </w:rPr>
        <w:tab/>
        <w:t>O Estado Parte que presidir a Conferência terá as seguintes funções:</w:t>
      </w:r>
    </w:p>
    <w:p w14:paraId="63CB20D4" w14:textId="77777777" w:rsidR="00521F18" w:rsidRPr="001142E2" w:rsidRDefault="00521F18" w:rsidP="00521F18">
      <w:pPr>
        <w:pStyle w:val="BodyTextIndent"/>
        <w:keepNext/>
        <w:widowControl/>
        <w:rPr>
          <w:sz w:val="22"/>
          <w:szCs w:val="22"/>
          <w:lang w:val="pt-BR"/>
        </w:rPr>
      </w:pPr>
    </w:p>
    <w:p w14:paraId="02B75E7A" w14:textId="4F67CE3B" w:rsidR="00521F18" w:rsidRDefault="00521F18" w:rsidP="00521F18">
      <w:pPr>
        <w:pStyle w:val="BodyTextIndent"/>
        <w:widowControl/>
        <w:numPr>
          <w:ilvl w:val="0"/>
          <w:numId w:val="22"/>
        </w:numPr>
        <w:ind w:left="1440" w:hanging="720"/>
        <w:rPr>
          <w:sz w:val="22"/>
          <w:szCs w:val="22"/>
          <w:lang w:val="pt-BR"/>
        </w:rPr>
      </w:pPr>
      <w:r w:rsidRPr="001142E2">
        <w:rPr>
          <w:sz w:val="22"/>
          <w:szCs w:val="22"/>
          <w:lang w:val="pt-BR"/>
        </w:rPr>
        <w:t>organizar a Conferência;</w:t>
      </w:r>
    </w:p>
    <w:p w14:paraId="5C5F979B" w14:textId="77777777" w:rsidR="00404912" w:rsidRDefault="00404912" w:rsidP="00404912">
      <w:pPr>
        <w:pStyle w:val="BodyTextIndent"/>
        <w:widowControl/>
        <w:ind w:left="720"/>
        <w:rPr>
          <w:sz w:val="22"/>
          <w:szCs w:val="22"/>
          <w:lang w:val="pt-BR"/>
        </w:rPr>
      </w:pPr>
    </w:p>
    <w:p w14:paraId="359423B0" w14:textId="27548205" w:rsidR="00521F18" w:rsidRDefault="00521F18" w:rsidP="00404912">
      <w:pPr>
        <w:pStyle w:val="BodyTextIndent"/>
        <w:widowControl/>
        <w:numPr>
          <w:ilvl w:val="0"/>
          <w:numId w:val="22"/>
        </w:numPr>
        <w:ind w:left="1440" w:hanging="720"/>
        <w:rPr>
          <w:sz w:val="22"/>
          <w:szCs w:val="22"/>
          <w:lang w:val="pt-BR"/>
        </w:rPr>
      </w:pPr>
      <w:r w:rsidRPr="00404912">
        <w:rPr>
          <w:sz w:val="22"/>
          <w:szCs w:val="22"/>
          <w:lang w:val="pt-BR"/>
        </w:rPr>
        <w:t>abrir e encerrar as sessões e dirigir as discussões;</w:t>
      </w:r>
    </w:p>
    <w:p w14:paraId="365A4EA1" w14:textId="77777777" w:rsidR="00404912" w:rsidRDefault="00404912" w:rsidP="00404912">
      <w:pPr>
        <w:pStyle w:val="ListParagraph"/>
        <w:rPr>
          <w:sz w:val="22"/>
          <w:szCs w:val="22"/>
          <w:lang w:val="pt-BR"/>
        </w:rPr>
      </w:pPr>
    </w:p>
    <w:p w14:paraId="53AE3A81" w14:textId="19C8E248" w:rsidR="00521F18" w:rsidRDefault="00521F18" w:rsidP="00404912">
      <w:pPr>
        <w:pStyle w:val="BodyTextIndent"/>
        <w:widowControl/>
        <w:numPr>
          <w:ilvl w:val="0"/>
          <w:numId w:val="22"/>
        </w:numPr>
        <w:ind w:left="1440" w:hanging="720"/>
        <w:rPr>
          <w:sz w:val="22"/>
          <w:szCs w:val="22"/>
          <w:lang w:val="pt-BR"/>
        </w:rPr>
      </w:pPr>
      <w:r w:rsidRPr="00404912">
        <w:rPr>
          <w:sz w:val="22"/>
          <w:szCs w:val="22"/>
          <w:lang w:val="pt-BR"/>
        </w:rPr>
        <w:t>propor o projeto de agenda da Conferência e outros documentos que julgar necessários;</w:t>
      </w:r>
    </w:p>
    <w:p w14:paraId="1F04E307" w14:textId="77777777" w:rsidR="00404912" w:rsidRDefault="00404912" w:rsidP="00404912">
      <w:pPr>
        <w:pStyle w:val="ListParagraph"/>
        <w:rPr>
          <w:sz w:val="22"/>
          <w:szCs w:val="22"/>
          <w:lang w:val="pt-BR"/>
        </w:rPr>
      </w:pPr>
    </w:p>
    <w:p w14:paraId="574A0B10" w14:textId="3A9939F8" w:rsidR="00521F18" w:rsidRDefault="00521F18" w:rsidP="00404912">
      <w:pPr>
        <w:pStyle w:val="BodyTextIndent"/>
        <w:widowControl/>
        <w:numPr>
          <w:ilvl w:val="0"/>
          <w:numId w:val="22"/>
        </w:numPr>
        <w:ind w:left="1440" w:hanging="720"/>
        <w:rPr>
          <w:sz w:val="22"/>
          <w:szCs w:val="22"/>
          <w:lang w:val="pt-BR"/>
        </w:rPr>
      </w:pPr>
      <w:r w:rsidRPr="00404912">
        <w:rPr>
          <w:sz w:val="22"/>
          <w:szCs w:val="22"/>
          <w:lang w:val="pt-BR"/>
        </w:rPr>
        <w:t>decidir as questões de ordem que forem suscitadas nas deliberações;</w:t>
      </w:r>
    </w:p>
    <w:p w14:paraId="117E1702" w14:textId="77777777" w:rsidR="00404912" w:rsidRDefault="00404912" w:rsidP="00404912">
      <w:pPr>
        <w:pStyle w:val="ListParagraph"/>
        <w:rPr>
          <w:sz w:val="22"/>
          <w:szCs w:val="22"/>
          <w:lang w:val="pt-BR"/>
        </w:rPr>
      </w:pPr>
    </w:p>
    <w:p w14:paraId="1B3A1F1E" w14:textId="0A360C7F" w:rsidR="00521F18" w:rsidRDefault="00521F18" w:rsidP="00404912">
      <w:pPr>
        <w:pStyle w:val="BodyTextIndent"/>
        <w:widowControl/>
        <w:numPr>
          <w:ilvl w:val="0"/>
          <w:numId w:val="22"/>
        </w:numPr>
        <w:ind w:left="1440" w:hanging="720"/>
        <w:rPr>
          <w:sz w:val="22"/>
          <w:szCs w:val="22"/>
          <w:lang w:val="pt-BR"/>
        </w:rPr>
      </w:pPr>
      <w:r w:rsidRPr="00404912">
        <w:rPr>
          <w:sz w:val="22"/>
          <w:szCs w:val="22"/>
          <w:lang w:val="pt-BR"/>
        </w:rPr>
        <w:t>submeter a votação os pontos em discussão que requeiram decisão e anunciar os resultados;</w:t>
      </w:r>
    </w:p>
    <w:p w14:paraId="0B00907A" w14:textId="77777777" w:rsidR="00404912" w:rsidRDefault="00404912" w:rsidP="00404912">
      <w:pPr>
        <w:pStyle w:val="ListParagraph"/>
        <w:rPr>
          <w:sz w:val="22"/>
          <w:szCs w:val="22"/>
          <w:lang w:val="pt-BR"/>
        </w:rPr>
      </w:pPr>
    </w:p>
    <w:p w14:paraId="6BEF0BA5" w14:textId="77777777" w:rsidR="00521F18" w:rsidRPr="00404912" w:rsidRDefault="00521F18" w:rsidP="00404912">
      <w:pPr>
        <w:pStyle w:val="BodyTextIndent"/>
        <w:widowControl/>
        <w:numPr>
          <w:ilvl w:val="0"/>
          <w:numId w:val="22"/>
        </w:numPr>
        <w:ind w:left="1440" w:hanging="720"/>
        <w:rPr>
          <w:sz w:val="22"/>
          <w:szCs w:val="22"/>
          <w:lang w:val="pt-BR"/>
        </w:rPr>
      </w:pPr>
      <w:r w:rsidRPr="00404912">
        <w:rPr>
          <w:sz w:val="22"/>
          <w:szCs w:val="22"/>
          <w:lang w:val="pt-BR"/>
        </w:rPr>
        <w:t>as demais funções conferidas a ele por este Regulamento e pela Conferência.</w:t>
      </w:r>
    </w:p>
    <w:p w14:paraId="4C9E99D3" w14:textId="77777777" w:rsidR="00521F18" w:rsidRPr="001142E2" w:rsidRDefault="00521F18" w:rsidP="00521F18">
      <w:pPr>
        <w:pStyle w:val="BodyTextIndent"/>
        <w:widowControl/>
        <w:rPr>
          <w:bCs/>
          <w:sz w:val="22"/>
          <w:szCs w:val="22"/>
          <w:lang w:val="pt-BR"/>
        </w:rPr>
      </w:pPr>
    </w:p>
    <w:p w14:paraId="7B80083E" w14:textId="37CAEFEF" w:rsidR="00521F18" w:rsidRPr="001142E2" w:rsidRDefault="00521F18" w:rsidP="00521F18">
      <w:pPr>
        <w:pStyle w:val="BodyTextIndent"/>
        <w:widowControl/>
        <w:rPr>
          <w:b/>
          <w:bCs/>
          <w:sz w:val="22"/>
          <w:szCs w:val="22"/>
          <w:lang w:val="pt-BR"/>
        </w:rPr>
      </w:pPr>
      <w:r w:rsidRPr="001142E2">
        <w:rPr>
          <w:b/>
          <w:sz w:val="22"/>
          <w:szCs w:val="22"/>
          <w:lang w:val="pt-BR"/>
        </w:rPr>
        <w:t>Artigo 7</w:t>
      </w:r>
      <w:r w:rsidR="001142E2" w:rsidRPr="001142E2">
        <w:rPr>
          <w:b/>
          <w:sz w:val="22"/>
          <w:szCs w:val="22"/>
          <w:lang w:val="pt-BR"/>
        </w:rPr>
        <w:t>º</w:t>
      </w:r>
    </w:p>
    <w:p w14:paraId="79C9357F" w14:textId="77777777" w:rsidR="00521F18" w:rsidRPr="001142E2" w:rsidRDefault="00521F18" w:rsidP="00521F18">
      <w:pPr>
        <w:pStyle w:val="BodyTextIndent"/>
        <w:widowControl/>
        <w:rPr>
          <w:bCs/>
          <w:sz w:val="22"/>
          <w:szCs w:val="22"/>
          <w:lang w:val="pt-BR"/>
        </w:rPr>
      </w:pPr>
    </w:p>
    <w:p w14:paraId="37163675" w14:textId="77777777" w:rsidR="00521F18" w:rsidRPr="001142E2" w:rsidRDefault="00521F18" w:rsidP="00521F18">
      <w:pPr>
        <w:pStyle w:val="BodyTextIndent"/>
        <w:widowControl/>
        <w:rPr>
          <w:sz w:val="22"/>
          <w:szCs w:val="22"/>
          <w:lang w:val="pt-BR"/>
        </w:rPr>
      </w:pPr>
      <w:r w:rsidRPr="001142E2">
        <w:rPr>
          <w:sz w:val="22"/>
          <w:szCs w:val="22"/>
          <w:lang w:val="pt-BR"/>
        </w:rPr>
        <w:tab/>
        <w:t>A Presidência convocará pelo menos uma reunião preparatória para a Conferência seguinte, com antecedência suficiente em relação à data prevista para a Conferência, para que os Estados Partes possam considerar o envio dos seus representantes.</w:t>
      </w:r>
    </w:p>
    <w:p w14:paraId="6A3400F1" w14:textId="77777777" w:rsidR="00521F18" w:rsidRPr="001142E2" w:rsidRDefault="00521F18" w:rsidP="00521F18">
      <w:pPr>
        <w:pStyle w:val="BodyTextIndent"/>
        <w:widowControl/>
        <w:rPr>
          <w:sz w:val="22"/>
          <w:szCs w:val="22"/>
          <w:lang w:val="pt-BR"/>
        </w:rPr>
      </w:pPr>
    </w:p>
    <w:p w14:paraId="6815009B"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As reuniões preparatórias considerarão e elaborarão os projetos de agenda, calendário e documento final da respectiva Conferência. Para esse efeito, as reuniões preparatórias acordarão os prazos dentro dos quais os Estados Partes na Convenção, por intermédio de suas missões permanentes junto à Organização dos Estados Americanos (OEA), poderão apresentar propostas relativas aos projetos de documentos acima mencionados. </w:t>
      </w:r>
    </w:p>
    <w:p w14:paraId="08C51919" w14:textId="77777777" w:rsidR="00521F18" w:rsidRPr="001142E2" w:rsidRDefault="00521F18" w:rsidP="00521F18">
      <w:pPr>
        <w:pStyle w:val="BodyTextIndent"/>
        <w:widowControl/>
        <w:rPr>
          <w:sz w:val="22"/>
          <w:szCs w:val="22"/>
          <w:lang w:val="pt-BR"/>
        </w:rPr>
      </w:pPr>
    </w:p>
    <w:p w14:paraId="0C607EF2"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Para a aprovação das decisões nas reuniões preparatórias será aplicado, no que for pertinente, o estabelecido nos artigos 13, 14 e 15 deste Regulamento. </w:t>
      </w:r>
    </w:p>
    <w:p w14:paraId="6CF2B97E" w14:textId="77777777" w:rsidR="00521F18" w:rsidRPr="001142E2" w:rsidRDefault="00521F18" w:rsidP="00521F18">
      <w:pPr>
        <w:pStyle w:val="BodyTextIndent"/>
        <w:widowControl/>
        <w:rPr>
          <w:sz w:val="22"/>
          <w:szCs w:val="22"/>
          <w:lang w:val="pt-BR"/>
        </w:rPr>
      </w:pPr>
    </w:p>
    <w:p w14:paraId="36C2FDBA" w14:textId="77777777" w:rsidR="00521F18" w:rsidRPr="001142E2" w:rsidRDefault="00521F18" w:rsidP="00521F18">
      <w:pPr>
        <w:pStyle w:val="BodyTextIndent"/>
        <w:widowControl/>
        <w:rPr>
          <w:sz w:val="22"/>
          <w:szCs w:val="22"/>
          <w:lang w:val="pt-BR"/>
        </w:rPr>
      </w:pPr>
    </w:p>
    <w:p w14:paraId="718C9239"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IV</w:t>
      </w:r>
    </w:p>
    <w:p w14:paraId="38D283C0" w14:textId="77777777" w:rsidR="00521F18" w:rsidRPr="001142E2" w:rsidRDefault="00521F18" w:rsidP="00521F18">
      <w:pPr>
        <w:pStyle w:val="BodyTextIndent"/>
        <w:widowControl/>
        <w:jc w:val="center"/>
        <w:rPr>
          <w:sz w:val="22"/>
          <w:szCs w:val="22"/>
          <w:lang w:val="pt-BR"/>
        </w:rPr>
      </w:pPr>
      <w:r w:rsidRPr="001142E2">
        <w:rPr>
          <w:sz w:val="22"/>
          <w:szCs w:val="22"/>
          <w:lang w:val="pt-BR"/>
        </w:rPr>
        <w:t>REUNIÕES</w:t>
      </w:r>
    </w:p>
    <w:p w14:paraId="7F153E14" w14:textId="77777777" w:rsidR="00521F18" w:rsidRPr="001142E2" w:rsidRDefault="00521F18" w:rsidP="00521F18">
      <w:pPr>
        <w:pStyle w:val="BodyTextIndent"/>
        <w:widowControl/>
        <w:rPr>
          <w:sz w:val="22"/>
          <w:szCs w:val="22"/>
          <w:lang w:val="pt-BR"/>
        </w:rPr>
      </w:pPr>
    </w:p>
    <w:p w14:paraId="6CFB8398" w14:textId="7F636A7A" w:rsidR="00521F18" w:rsidRPr="001142E2" w:rsidRDefault="00521F18" w:rsidP="00521F18">
      <w:pPr>
        <w:pStyle w:val="BodyTextIndent"/>
        <w:widowControl/>
        <w:rPr>
          <w:b/>
          <w:bCs/>
          <w:sz w:val="22"/>
          <w:szCs w:val="22"/>
          <w:lang w:val="pt-BR"/>
        </w:rPr>
      </w:pPr>
      <w:r w:rsidRPr="001142E2">
        <w:rPr>
          <w:b/>
          <w:sz w:val="22"/>
          <w:szCs w:val="22"/>
          <w:lang w:val="pt-BR"/>
        </w:rPr>
        <w:t>Artigo 8</w:t>
      </w:r>
      <w:r w:rsidR="001142E2" w:rsidRPr="001142E2">
        <w:rPr>
          <w:b/>
          <w:sz w:val="22"/>
          <w:szCs w:val="22"/>
          <w:lang w:val="pt-BR"/>
        </w:rPr>
        <w:t>º</w:t>
      </w:r>
    </w:p>
    <w:p w14:paraId="07F441A7" w14:textId="77777777" w:rsidR="00521F18" w:rsidRPr="001142E2" w:rsidRDefault="00521F18" w:rsidP="00521F18">
      <w:pPr>
        <w:pStyle w:val="BodyTextIndent"/>
        <w:widowControl/>
        <w:rPr>
          <w:bCs/>
          <w:sz w:val="22"/>
          <w:szCs w:val="22"/>
          <w:lang w:val="pt-BR"/>
        </w:rPr>
      </w:pPr>
    </w:p>
    <w:p w14:paraId="408758A4"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A Segunda Conferência realizar-se-á na data a ser acordada na Comissão de Segurança Hemisférica e aprovada pelos Estados Partes por intermédio de suas missões permanentes junto à OEA no Conselho Permanente. Cada Conferência decidirá a data em que se realizará a seguinte, sem prejuízo da convocação de Conferências adicionais quando a Comissão Consultiva dos Estados Partes o considere necessário. </w:t>
      </w:r>
    </w:p>
    <w:p w14:paraId="23607587" w14:textId="77777777" w:rsidR="00521F18" w:rsidRPr="001142E2" w:rsidRDefault="00521F18" w:rsidP="00521F18">
      <w:pPr>
        <w:pStyle w:val="BodyTextIndent"/>
        <w:widowControl/>
        <w:rPr>
          <w:sz w:val="22"/>
          <w:szCs w:val="22"/>
          <w:lang w:val="pt-BR"/>
        </w:rPr>
      </w:pPr>
    </w:p>
    <w:p w14:paraId="46898FBD" w14:textId="23F8D58A" w:rsidR="00521F18" w:rsidRPr="001142E2" w:rsidRDefault="00521F18" w:rsidP="00521F18">
      <w:pPr>
        <w:pStyle w:val="BodyTextIndent"/>
        <w:keepNext/>
        <w:widowControl/>
        <w:rPr>
          <w:b/>
          <w:bCs/>
          <w:sz w:val="22"/>
          <w:szCs w:val="22"/>
          <w:lang w:val="pt-BR"/>
        </w:rPr>
      </w:pPr>
      <w:r w:rsidRPr="001142E2">
        <w:rPr>
          <w:b/>
          <w:sz w:val="22"/>
          <w:szCs w:val="22"/>
          <w:lang w:val="pt-BR"/>
        </w:rPr>
        <w:t>Artigo 9</w:t>
      </w:r>
      <w:r w:rsidR="001142E2" w:rsidRPr="001142E2">
        <w:rPr>
          <w:b/>
          <w:sz w:val="22"/>
          <w:szCs w:val="22"/>
          <w:lang w:val="pt-BR"/>
        </w:rPr>
        <w:t>º</w:t>
      </w:r>
    </w:p>
    <w:p w14:paraId="265C1B61" w14:textId="77777777" w:rsidR="00521F18" w:rsidRPr="001142E2" w:rsidRDefault="00521F18" w:rsidP="00521F18">
      <w:pPr>
        <w:pStyle w:val="BodyTextIndent"/>
        <w:keepNext/>
        <w:widowControl/>
        <w:rPr>
          <w:bCs/>
          <w:sz w:val="22"/>
          <w:szCs w:val="22"/>
          <w:lang w:val="pt-BR"/>
        </w:rPr>
      </w:pPr>
    </w:p>
    <w:p w14:paraId="36932A49" w14:textId="77777777" w:rsidR="00521F18" w:rsidRPr="001142E2" w:rsidRDefault="00521F18" w:rsidP="00521F18">
      <w:pPr>
        <w:pStyle w:val="BodyTextIndent"/>
        <w:widowControl/>
        <w:rPr>
          <w:sz w:val="22"/>
          <w:szCs w:val="22"/>
          <w:lang w:val="pt-BR"/>
        </w:rPr>
      </w:pPr>
      <w:r w:rsidRPr="001142E2">
        <w:rPr>
          <w:sz w:val="22"/>
          <w:szCs w:val="22"/>
          <w:lang w:val="pt-BR"/>
        </w:rPr>
        <w:tab/>
        <w:t>A acreditação das delegações que forem designadas pelos Estados Partes para representá-los em uma Conferência será feita por meio de comunicação escrita dirigida ao Secretário-Geral da OEA.</w:t>
      </w:r>
    </w:p>
    <w:p w14:paraId="46CA0863" w14:textId="77777777" w:rsidR="00521F18" w:rsidRPr="001142E2" w:rsidRDefault="00521F18" w:rsidP="00521F18">
      <w:pPr>
        <w:pStyle w:val="BodyTextIndent"/>
        <w:widowControl/>
        <w:rPr>
          <w:sz w:val="22"/>
          <w:szCs w:val="22"/>
          <w:lang w:val="pt-BR"/>
        </w:rPr>
      </w:pPr>
    </w:p>
    <w:p w14:paraId="4FB09DF3" w14:textId="77777777" w:rsidR="00521F18" w:rsidRPr="001142E2" w:rsidRDefault="00521F18" w:rsidP="00521F18">
      <w:pPr>
        <w:pStyle w:val="BodyTextIndent"/>
        <w:widowControl/>
        <w:rPr>
          <w:b/>
          <w:bCs/>
          <w:sz w:val="22"/>
          <w:szCs w:val="22"/>
          <w:lang w:val="pt-BR"/>
        </w:rPr>
      </w:pPr>
      <w:r w:rsidRPr="001142E2">
        <w:rPr>
          <w:b/>
          <w:sz w:val="22"/>
          <w:szCs w:val="22"/>
          <w:lang w:val="pt-BR"/>
        </w:rPr>
        <w:t>Artigo 10</w:t>
      </w:r>
    </w:p>
    <w:p w14:paraId="45A840E7" w14:textId="77777777" w:rsidR="00521F18" w:rsidRPr="001142E2" w:rsidRDefault="00521F18" w:rsidP="00521F18">
      <w:pPr>
        <w:pStyle w:val="BodyTextIndent"/>
        <w:widowControl/>
        <w:rPr>
          <w:b/>
          <w:bCs/>
          <w:sz w:val="22"/>
          <w:szCs w:val="22"/>
          <w:lang w:val="pt-BR"/>
        </w:rPr>
      </w:pPr>
    </w:p>
    <w:p w14:paraId="62CEBEA6"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Os projetos e propostas que forem apresentados pelos Estados Partes para serem considerados em uma Conferência deverão ser enviados por escrito à Secretaria-Geral da OEA (SG/OEA) com pelo menos 48 horas de antecedência à data da respectiva reunião. </w:t>
      </w:r>
    </w:p>
    <w:p w14:paraId="3074D340" w14:textId="77777777" w:rsidR="00521F18" w:rsidRPr="001142E2" w:rsidRDefault="00521F18" w:rsidP="00521F18">
      <w:pPr>
        <w:pStyle w:val="BodyTextIndent"/>
        <w:widowControl/>
        <w:rPr>
          <w:sz w:val="22"/>
          <w:szCs w:val="22"/>
          <w:lang w:val="pt-BR"/>
        </w:rPr>
      </w:pPr>
    </w:p>
    <w:p w14:paraId="0CD91C23" w14:textId="77777777" w:rsidR="00521F18" w:rsidRPr="001142E2" w:rsidRDefault="00521F18" w:rsidP="00521F18">
      <w:pPr>
        <w:pStyle w:val="BodyTextIndent"/>
        <w:widowControl/>
        <w:rPr>
          <w:sz w:val="22"/>
          <w:szCs w:val="22"/>
          <w:lang w:val="pt-BR"/>
        </w:rPr>
      </w:pPr>
      <w:r w:rsidRPr="001142E2">
        <w:rPr>
          <w:sz w:val="22"/>
          <w:szCs w:val="22"/>
          <w:lang w:val="pt-BR"/>
        </w:rPr>
        <w:tab/>
        <w:t>No entanto, a Conferência poderá autorizar a discussão de projetos ou propostas que não tenham sido apresentados por escrito dentro desse prazo.</w:t>
      </w:r>
    </w:p>
    <w:p w14:paraId="0019350C" w14:textId="77777777" w:rsidR="00521F18" w:rsidRPr="001142E2" w:rsidRDefault="00521F18" w:rsidP="00521F18">
      <w:pPr>
        <w:rPr>
          <w:sz w:val="22"/>
          <w:szCs w:val="22"/>
          <w:lang w:val="pt-BR"/>
        </w:rPr>
      </w:pPr>
    </w:p>
    <w:p w14:paraId="10A1DBBF" w14:textId="77777777" w:rsidR="001142E2" w:rsidRPr="001142E2" w:rsidRDefault="001142E2" w:rsidP="00521F18">
      <w:pPr>
        <w:pStyle w:val="BodyTextIndent"/>
        <w:widowControl/>
        <w:rPr>
          <w:b/>
          <w:sz w:val="22"/>
          <w:szCs w:val="22"/>
          <w:lang w:val="pt-BR"/>
        </w:rPr>
      </w:pPr>
    </w:p>
    <w:p w14:paraId="6214C807" w14:textId="5E12C1CE" w:rsidR="00521F18" w:rsidRPr="001142E2" w:rsidRDefault="00521F18" w:rsidP="00521F18">
      <w:pPr>
        <w:pStyle w:val="BodyTextIndent"/>
        <w:widowControl/>
        <w:rPr>
          <w:b/>
          <w:bCs/>
          <w:sz w:val="22"/>
          <w:szCs w:val="22"/>
          <w:lang w:val="pt-BR"/>
        </w:rPr>
      </w:pPr>
      <w:r w:rsidRPr="001142E2">
        <w:rPr>
          <w:b/>
          <w:sz w:val="22"/>
          <w:szCs w:val="22"/>
          <w:lang w:val="pt-BR"/>
        </w:rPr>
        <w:lastRenderedPageBreak/>
        <w:t>Artigo 11</w:t>
      </w:r>
    </w:p>
    <w:p w14:paraId="524A9700" w14:textId="77777777" w:rsidR="00521F18" w:rsidRPr="001142E2" w:rsidRDefault="00521F18" w:rsidP="00521F18">
      <w:pPr>
        <w:pStyle w:val="BodyTextIndent"/>
        <w:widowControl/>
        <w:rPr>
          <w:bCs/>
          <w:sz w:val="22"/>
          <w:szCs w:val="22"/>
          <w:lang w:val="pt-BR"/>
        </w:rPr>
      </w:pPr>
    </w:p>
    <w:p w14:paraId="128FB60A" w14:textId="77777777" w:rsidR="00521F18" w:rsidRPr="001142E2" w:rsidRDefault="00521F18" w:rsidP="00521F18">
      <w:pPr>
        <w:pStyle w:val="BodyTextIndent"/>
        <w:widowControl/>
        <w:rPr>
          <w:sz w:val="22"/>
          <w:szCs w:val="22"/>
          <w:lang w:val="pt-BR"/>
        </w:rPr>
      </w:pPr>
      <w:r w:rsidRPr="001142E2">
        <w:rPr>
          <w:sz w:val="22"/>
          <w:szCs w:val="22"/>
          <w:lang w:val="pt-BR"/>
        </w:rPr>
        <w:tab/>
        <w:t>A Conferência reunir-se-á na sede principal da SG/OEA em Washington, D.C., a menos que um Estado Parte ofereça sede e os Estados Partes concordem.</w:t>
      </w:r>
    </w:p>
    <w:p w14:paraId="2E476BB6" w14:textId="77777777" w:rsidR="00521F18" w:rsidRPr="001142E2" w:rsidRDefault="00521F18" w:rsidP="00521F18">
      <w:pPr>
        <w:pStyle w:val="BodyTextIndent"/>
        <w:widowControl/>
        <w:rPr>
          <w:sz w:val="22"/>
          <w:szCs w:val="22"/>
          <w:lang w:val="pt-BR"/>
        </w:rPr>
      </w:pPr>
    </w:p>
    <w:p w14:paraId="04FBE2F0" w14:textId="77777777" w:rsidR="00521F18" w:rsidRPr="001142E2" w:rsidRDefault="00521F18" w:rsidP="00521F18">
      <w:pPr>
        <w:pStyle w:val="BodyTextIndent"/>
        <w:widowControl/>
        <w:rPr>
          <w:b/>
          <w:bCs/>
          <w:sz w:val="22"/>
          <w:szCs w:val="22"/>
          <w:lang w:val="pt-BR"/>
        </w:rPr>
      </w:pPr>
      <w:r w:rsidRPr="001142E2">
        <w:rPr>
          <w:b/>
          <w:sz w:val="22"/>
          <w:szCs w:val="22"/>
          <w:lang w:val="pt-BR"/>
        </w:rPr>
        <w:t>Artigo 12</w:t>
      </w:r>
    </w:p>
    <w:p w14:paraId="4E3DBF0B" w14:textId="77777777" w:rsidR="00521F18" w:rsidRPr="001142E2" w:rsidRDefault="00521F18" w:rsidP="00521F18">
      <w:pPr>
        <w:pStyle w:val="BodyTextIndent"/>
        <w:widowControl/>
        <w:rPr>
          <w:sz w:val="22"/>
          <w:szCs w:val="22"/>
          <w:lang w:val="pt-BR"/>
        </w:rPr>
      </w:pPr>
    </w:p>
    <w:p w14:paraId="31D6E921" w14:textId="77777777" w:rsidR="00521F18" w:rsidRPr="001142E2" w:rsidRDefault="00521F18" w:rsidP="00521F18">
      <w:pPr>
        <w:pStyle w:val="BodyTextIndent"/>
        <w:widowControl/>
        <w:rPr>
          <w:sz w:val="22"/>
          <w:szCs w:val="22"/>
          <w:lang w:val="pt-BR"/>
        </w:rPr>
      </w:pPr>
      <w:r w:rsidRPr="001142E2">
        <w:rPr>
          <w:sz w:val="22"/>
          <w:szCs w:val="22"/>
          <w:lang w:val="pt-BR"/>
        </w:rPr>
        <w:tab/>
        <w:t>O quórum necessário para a realização de uma Conferência será constituído por um terço dos Estados Partes.</w:t>
      </w:r>
    </w:p>
    <w:p w14:paraId="1CBA728E" w14:textId="77777777" w:rsidR="00521F18" w:rsidRPr="001142E2" w:rsidRDefault="00521F18" w:rsidP="00521F18">
      <w:pPr>
        <w:pStyle w:val="BodyTextIndent"/>
        <w:widowControl/>
        <w:rPr>
          <w:sz w:val="22"/>
          <w:szCs w:val="22"/>
          <w:lang w:val="pt-BR"/>
        </w:rPr>
      </w:pPr>
    </w:p>
    <w:p w14:paraId="37C963B7" w14:textId="77777777" w:rsidR="00521F18" w:rsidRPr="001142E2" w:rsidRDefault="00521F18" w:rsidP="00521F18">
      <w:pPr>
        <w:pStyle w:val="BodyTextIndent"/>
        <w:widowControl/>
        <w:rPr>
          <w:b/>
          <w:bCs/>
          <w:sz w:val="22"/>
          <w:szCs w:val="22"/>
          <w:lang w:val="pt-BR"/>
        </w:rPr>
      </w:pPr>
      <w:r w:rsidRPr="001142E2">
        <w:rPr>
          <w:b/>
          <w:sz w:val="22"/>
          <w:szCs w:val="22"/>
          <w:lang w:val="pt-BR"/>
        </w:rPr>
        <w:t>Artigo 13</w:t>
      </w:r>
    </w:p>
    <w:p w14:paraId="44032AD0" w14:textId="77777777" w:rsidR="00521F18" w:rsidRPr="001142E2" w:rsidRDefault="00521F18" w:rsidP="00521F18">
      <w:pPr>
        <w:pStyle w:val="BodyTextIndent"/>
        <w:widowControl/>
        <w:rPr>
          <w:sz w:val="22"/>
          <w:szCs w:val="22"/>
          <w:lang w:val="pt-BR"/>
        </w:rPr>
      </w:pPr>
    </w:p>
    <w:p w14:paraId="488E4467"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A ordem de precedência das delegações dos Estados Partes será estabelecida mediante sorteio na sessão preparatória.  Para esses efeitos, seguir-se-á a ordem alfabética dos nomes dos Estados em espanhol. </w:t>
      </w:r>
    </w:p>
    <w:p w14:paraId="14E31144" w14:textId="77777777" w:rsidR="00521F18" w:rsidRPr="001142E2" w:rsidRDefault="00521F18" w:rsidP="00521F18">
      <w:pPr>
        <w:pStyle w:val="BodyTextIndent"/>
        <w:widowControl/>
        <w:rPr>
          <w:sz w:val="22"/>
          <w:szCs w:val="22"/>
          <w:lang w:val="pt-BR"/>
        </w:rPr>
      </w:pPr>
    </w:p>
    <w:p w14:paraId="661A1C1E" w14:textId="77777777" w:rsidR="00521F18" w:rsidRPr="001142E2" w:rsidRDefault="00521F18" w:rsidP="00521F18">
      <w:pPr>
        <w:pStyle w:val="BodyTextIndent"/>
        <w:widowControl/>
        <w:rPr>
          <w:b/>
          <w:bCs/>
          <w:sz w:val="22"/>
          <w:szCs w:val="22"/>
          <w:lang w:val="pt-BR"/>
        </w:rPr>
      </w:pPr>
      <w:r w:rsidRPr="001142E2">
        <w:rPr>
          <w:b/>
          <w:sz w:val="22"/>
          <w:szCs w:val="22"/>
          <w:lang w:val="pt-BR"/>
        </w:rPr>
        <w:t>Artigo 14</w:t>
      </w:r>
    </w:p>
    <w:p w14:paraId="12B59081" w14:textId="77777777" w:rsidR="00521F18" w:rsidRPr="001142E2" w:rsidRDefault="00521F18" w:rsidP="00521F18">
      <w:pPr>
        <w:pStyle w:val="BodyTextIndent"/>
        <w:widowControl/>
        <w:rPr>
          <w:sz w:val="22"/>
          <w:szCs w:val="22"/>
          <w:lang w:val="pt-BR"/>
        </w:rPr>
      </w:pPr>
    </w:p>
    <w:p w14:paraId="5A756407" w14:textId="77777777" w:rsidR="00521F18" w:rsidRPr="001142E2" w:rsidRDefault="00521F18" w:rsidP="00521F18">
      <w:pPr>
        <w:pStyle w:val="BodyTextIndent"/>
        <w:widowControl/>
        <w:rPr>
          <w:sz w:val="22"/>
          <w:szCs w:val="22"/>
          <w:shd w:val="clear" w:color="auto" w:fill="00FF00"/>
          <w:lang w:val="pt-BR"/>
        </w:rPr>
      </w:pPr>
      <w:r w:rsidRPr="001142E2">
        <w:rPr>
          <w:sz w:val="22"/>
          <w:szCs w:val="22"/>
          <w:lang w:val="pt-BR"/>
        </w:rPr>
        <w:tab/>
        <w:t>Nas deliberações da Conferência, cada Estado Parte terá direito a um voto. As decisões serão tomadas pela maioria de votos dos Estados Partes presentes, salvo em caso de adoção de emendas à Convenção, que requer a aprovação de dois terços dos Estados Partes presentes, em conformidade com o previsto no artigo XI da Convenção.</w:t>
      </w:r>
    </w:p>
    <w:p w14:paraId="648B3F1A" w14:textId="77777777" w:rsidR="00521F18" w:rsidRPr="001142E2" w:rsidRDefault="00521F18" w:rsidP="00521F18">
      <w:pPr>
        <w:pStyle w:val="BodyTextIndent"/>
        <w:widowControl/>
        <w:rPr>
          <w:sz w:val="22"/>
          <w:szCs w:val="22"/>
          <w:lang w:val="pt-BR"/>
        </w:rPr>
      </w:pPr>
    </w:p>
    <w:p w14:paraId="4D00AB20" w14:textId="77777777" w:rsidR="00521F18" w:rsidRPr="001142E2" w:rsidRDefault="00521F18" w:rsidP="00521F18">
      <w:pPr>
        <w:pStyle w:val="BodyText2"/>
        <w:spacing w:after="0" w:line="240" w:lineRule="auto"/>
        <w:jc w:val="both"/>
        <w:rPr>
          <w:b/>
          <w:sz w:val="22"/>
          <w:szCs w:val="22"/>
          <w:lang w:val="pt-BR"/>
        </w:rPr>
      </w:pPr>
      <w:r w:rsidRPr="001142E2">
        <w:rPr>
          <w:b/>
          <w:sz w:val="22"/>
          <w:szCs w:val="22"/>
          <w:lang w:val="pt-BR"/>
        </w:rPr>
        <w:t>Artigo 15</w:t>
      </w:r>
    </w:p>
    <w:p w14:paraId="2DB1CCEF" w14:textId="77777777" w:rsidR="00521F18" w:rsidRPr="001142E2" w:rsidRDefault="00521F18" w:rsidP="00521F18">
      <w:pPr>
        <w:pStyle w:val="BodyTextIndent"/>
        <w:widowControl/>
        <w:rPr>
          <w:sz w:val="22"/>
          <w:szCs w:val="22"/>
          <w:lang w:val="pt-BR"/>
        </w:rPr>
      </w:pPr>
    </w:p>
    <w:p w14:paraId="190FAC4B" w14:textId="77777777" w:rsidR="00521F18" w:rsidRPr="001142E2" w:rsidRDefault="00521F18" w:rsidP="00521F18">
      <w:pPr>
        <w:pStyle w:val="BodyText2"/>
        <w:spacing w:after="0" w:line="240" w:lineRule="auto"/>
        <w:jc w:val="both"/>
        <w:rPr>
          <w:sz w:val="22"/>
          <w:szCs w:val="22"/>
          <w:lang w:val="pt-BR"/>
        </w:rPr>
      </w:pPr>
      <w:r w:rsidRPr="001142E2">
        <w:rPr>
          <w:sz w:val="22"/>
          <w:szCs w:val="22"/>
          <w:lang w:val="pt-BR"/>
        </w:rPr>
        <w:tab/>
        <w:t xml:space="preserve">Poderão ser convidados para assistir à Conferência os Estados não Partes na Convenção que forem membros da OEA, com direito a palavra, mas não a voto.  Eles poderão fazer uso da palavra quando o Presidente da Conferência assim decidir. </w:t>
      </w:r>
    </w:p>
    <w:p w14:paraId="095166F5" w14:textId="77777777" w:rsidR="00521F18" w:rsidRPr="001142E2" w:rsidRDefault="00521F18" w:rsidP="00521F18">
      <w:pPr>
        <w:pStyle w:val="BodyTextIndent"/>
        <w:widowControl/>
        <w:rPr>
          <w:sz w:val="22"/>
          <w:szCs w:val="22"/>
          <w:lang w:val="pt-BR"/>
        </w:rPr>
      </w:pPr>
    </w:p>
    <w:p w14:paraId="12E770D7" w14:textId="77777777" w:rsidR="00521F18" w:rsidRPr="001142E2" w:rsidRDefault="00521F18" w:rsidP="00521F18">
      <w:pPr>
        <w:pStyle w:val="BodyTextIndent"/>
        <w:widowControl/>
        <w:rPr>
          <w:b/>
          <w:sz w:val="22"/>
          <w:szCs w:val="22"/>
          <w:lang w:val="pt-BR"/>
        </w:rPr>
      </w:pPr>
      <w:r w:rsidRPr="001142E2">
        <w:rPr>
          <w:b/>
          <w:sz w:val="22"/>
          <w:szCs w:val="22"/>
          <w:lang w:val="pt-BR"/>
        </w:rPr>
        <w:t xml:space="preserve">Artigo 16 </w:t>
      </w:r>
    </w:p>
    <w:p w14:paraId="53E0A58C" w14:textId="77777777" w:rsidR="00521F18" w:rsidRPr="001142E2" w:rsidRDefault="00521F18" w:rsidP="00521F18">
      <w:pPr>
        <w:pStyle w:val="BodyTextIndent"/>
        <w:widowControl/>
        <w:rPr>
          <w:sz w:val="22"/>
          <w:szCs w:val="22"/>
          <w:lang w:val="pt-BR"/>
        </w:rPr>
      </w:pPr>
    </w:p>
    <w:p w14:paraId="6C3BC399" w14:textId="77777777" w:rsidR="00521F18" w:rsidRPr="001142E2" w:rsidRDefault="00521F18" w:rsidP="00521F18">
      <w:pPr>
        <w:pStyle w:val="BodyTextIndent"/>
        <w:widowControl/>
        <w:rPr>
          <w:b/>
          <w:sz w:val="22"/>
          <w:szCs w:val="22"/>
          <w:lang w:val="pt-BR"/>
        </w:rPr>
      </w:pPr>
      <w:r w:rsidRPr="001142E2">
        <w:rPr>
          <w:sz w:val="22"/>
          <w:szCs w:val="22"/>
          <w:lang w:val="pt-BR"/>
        </w:rPr>
        <w:tab/>
        <w:t xml:space="preserve">Poderão ser convidados para assistir à Conferência os Estados Observadores Permanentes junto à OEA. Eles poderão solicitar o uso da palavra, e o Presidente decidirá sobre o caso. </w:t>
      </w:r>
    </w:p>
    <w:p w14:paraId="4BCBB952" w14:textId="77777777" w:rsidR="00521F18" w:rsidRPr="001142E2" w:rsidRDefault="00521F18" w:rsidP="00521F18">
      <w:pPr>
        <w:pStyle w:val="BodyTextIndent"/>
        <w:widowControl/>
        <w:rPr>
          <w:sz w:val="22"/>
          <w:szCs w:val="22"/>
          <w:lang w:val="pt-BR"/>
        </w:rPr>
      </w:pPr>
    </w:p>
    <w:p w14:paraId="619158A0" w14:textId="77777777" w:rsidR="00521F18" w:rsidRPr="001142E2" w:rsidRDefault="00521F18" w:rsidP="00521F18">
      <w:pPr>
        <w:pStyle w:val="BodyTextIndent"/>
        <w:widowControl/>
        <w:rPr>
          <w:b/>
          <w:sz w:val="22"/>
          <w:szCs w:val="22"/>
          <w:lang w:val="pt-BR"/>
        </w:rPr>
      </w:pPr>
      <w:r w:rsidRPr="001142E2">
        <w:rPr>
          <w:b/>
          <w:sz w:val="22"/>
          <w:szCs w:val="22"/>
          <w:lang w:val="pt-BR"/>
        </w:rPr>
        <w:t>Artigo 17</w:t>
      </w:r>
    </w:p>
    <w:p w14:paraId="2001EA2A" w14:textId="77777777" w:rsidR="00521F18" w:rsidRPr="001142E2" w:rsidRDefault="00521F18" w:rsidP="00521F18">
      <w:pPr>
        <w:pStyle w:val="BodyTextIndent"/>
        <w:widowControl/>
        <w:rPr>
          <w:sz w:val="22"/>
          <w:szCs w:val="22"/>
          <w:lang w:val="pt-BR"/>
        </w:rPr>
      </w:pPr>
    </w:p>
    <w:p w14:paraId="0481004A"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Também poderão ser convidados para a Conferência os órgãos e organismos internacionais que forem considerados pertinentes. Eles poderão intervir da maneira como o Presidente da Conferência decidir. </w:t>
      </w:r>
    </w:p>
    <w:p w14:paraId="63F4BEBE" w14:textId="77777777" w:rsidR="00521F18" w:rsidRPr="001142E2" w:rsidRDefault="00521F18" w:rsidP="00521F18">
      <w:pPr>
        <w:pStyle w:val="BodyTextIndent"/>
        <w:widowControl/>
        <w:rPr>
          <w:sz w:val="22"/>
          <w:szCs w:val="22"/>
          <w:lang w:val="pt-BR"/>
        </w:rPr>
      </w:pPr>
    </w:p>
    <w:p w14:paraId="3F467124" w14:textId="77777777" w:rsidR="00521F18" w:rsidRPr="001142E2" w:rsidRDefault="00521F18" w:rsidP="00521F18">
      <w:pPr>
        <w:pStyle w:val="BodyTextIndent"/>
        <w:widowControl/>
        <w:rPr>
          <w:b/>
          <w:sz w:val="22"/>
          <w:szCs w:val="22"/>
          <w:lang w:val="pt-BR"/>
        </w:rPr>
      </w:pPr>
      <w:r w:rsidRPr="001142E2">
        <w:rPr>
          <w:b/>
          <w:sz w:val="22"/>
          <w:szCs w:val="22"/>
          <w:lang w:val="pt-BR"/>
        </w:rPr>
        <w:t xml:space="preserve">Artigo 18 </w:t>
      </w:r>
    </w:p>
    <w:p w14:paraId="0C6F3E0F" w14:textId="77777777" w:rsidR="00521F18" w:rsidRPr="001142E2" w:rsidRDefault="00521F18" w:rsidP="00521F18">
      <w:pPr>
        <w:pStyle w:val="BodyTextIndent"/>
        <w:widowControl/>
        <w:rPr>
          <w:sz w:val="22"/>
          <w:szCs w:val="22"/>
          <w:lang w:val="pt-BR"/>
        </w:rPr>
      </w:pPr>
    </w:p>
    <w:p w14:paraId="22AC7FF8" w14:textId="77777777" w:rsidR="00521F18" w:rsidRPr="001142E2" w:rsidRDefault="00521F18" w:rsidP="00521F18">
      <w:pPr>
        <w:pStyle w:val="BodyTextIndent"/>
        <w:widowControl/>
        <w:rPr>
          <w:sz w:val="22"/>
          <w:szCs w:val="22"/>
          <w:lang w:val="pt-BR"/>
        </w:rPr>
      </w:pPr>
      <w:r w:rsidRPr="001142E2">
        <w:rPr>
          <w:sz w:val="22"/>
          <w:szCs w:val="22"/>
          <w:lang w:val="pt-BR"/>
        </w:rPr>
        <w:tab/>
        <w:t>Quando se considerar conveniente para os fins da Conferência, poderão ser convidados representantes de organizações da sociedade civil relacionadas com os temas da Convenção, de acordo com as “Diretrizes para a Participação das Organizações da Sociedade Civil nas Atividades da Organização” e as “Estratégias para Implementar e Fortalecer a Participação das Organizações da Sociedade Civil nas Atividades da OEA”, aprovadas pelo Conselho Permanente da OEA.</w:t>
      </w:r>
    </w:p>
    <w:p w14:paraId="4EB6219D" w14:textId="77777777" w:rsidR="00521F18" w:rsidRPr="001142E2" w:rsidRDefault="00521F18" w:rsidP="00521F18">
      <w:pPr>
        <w:pStyle w:val="BodyTextIndent"/>
        <w:widowControl/>
        <w:rPr>
          <w:b/>
          <w:bCs/>
          <w:sz w:val="22"/>
          <w:szCs w:val="22"/>
          <w:lang w:val="pt-BR"/>
        </w:rPr>
      </w:pPr>
    </w:p>
    <w:p w14:paraId="3C3459AE" w14:textId="77777777" w:rsidR="00521F18" w:rsidRPr="001142E2" w:rsidRDefault="00521F18" w:rsidP="00521F18">
      <w:pPr>
        <w:pStyle w:val="BodyTextIndent"/>
        <w:widowControl/>
        <w:rPr>
          <w:sz w:val="22"/>
          <w:szCs w:val="22"/>
          <w:lang w:val="pt-BR"/>
        </w:rPr>
      </w:pPr>
      <w:r w:rsidRPr="001142E2">
        <w:rPr>
          <w:b/>
          <w:sz w:val="22"/>
          <w:szCs w:val="22"/>
          <w:lang w:val="pt-BR"/>
        </w:rPr>
        <w:lastRenderedPageBreak/>
        <w:t>Artigo 19</w:t>
      </w:r>
    </w:p>
    <w:p w14:paraId="3F61334A" w14:textId="77777777" w:rsidR="00521F18" w:rsidRPr="001142E2" w:rsidRDefault="00521F18" w:rsidP="00521F18">
      <w:pPr>
        <w:pStyle w:val="BodyTextIndent"/>
        <w:widowControl/>
        <w:rPr>
          <w:sz w:val="22"/>
          <w:szCs w:val="22"/>
          <w:lang w:val="pt-BR"/>
        </w:rPr>
      </w:pPr>
    </w:p>
    <w:p w14:paraId="0EF977E0" w14:textId="77777777" w:rsidR="00521F18" w:rsidRPr="001142E2" w:rsidRDefault="00521F18" w:rsidP="00521F18">
      <w:pPr>
        <w:pStyle w:val="BodyTextIndent"/>
        <w:widowControl/>
        <w:rPr>
          <w:sz w:val="22"/>
          <w:szCs w:val="22"/>
          <w:lang w:val="pt-BR"/>
        </w:rPr>
      </w:pPr>
      <w:r w:rsidRPr="001142E2">
        <w:rPr>
          <w:sz w:val="22"/>
          <w:szCs w:val="22"/>
          <w:lang w:val="pt-BR"/>
        </w:rPr>
        <w:tab/>
        <w:t>Os idiomas de trabalho da Conferência serão os idiomas oficiais da OEA.</w:t>
      </w:r>
    </w:p>
    <w:p w14:paraId="137885A0" w14:textId="77777777" w:rsidR="00521F18" w:rsidRPr="001142E2" w:rsidRDefault="00521F18" w:rsidP="00521F18">
      <w:pPr>
        <w:pStyle w:val="BodyTextIndent"/>
        <w:widowControl/>
        <w:rPr>
          <w:sz w:val="22"/>
          <w:szCs w:val="22"/>
          <w:lang w:val="pt-BR"/>
        </w:rPr>
      </w:pPr>
    </w:p>
    <w:p w14:paraId="11AAF5EA" w14:textId="77777777" w:rsidR="00521F18" w:rsidRPr="001142E2" w:rsidRDefault="00521F18" w:rsidP="00521F18">
      <w:pPr>
        <w:pStyle w:val="BodyTextIndent"/>
        <w:widowControl/>
        <w:rPr>
          <w:sz w:val="22"/>
          <w:szCs w:val="22"/>
          <w:lang w:val="pt-BR"/>
        </w:rPr>
      </w:pPr>
    </w:p>
    <w:p w14:paraId="66A8BA9E"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V</w:t>
      </w:r>
    </w:p>
    <w:p w14:paraId="720C2A78" w14:textId="77777777" w:rsidR="00521F18" w:rsidRPr="001142E2" w:rsidRDefault="00521F18" w:rsidP="00521F18">
      <w:pPr>
        <w:pStyle w:val="BodyTextIndent"/>
        <w:widowControl/>
        <w:jc w:val="center"/>
        <w:rPr>
          <w:sz w:val="22"/>
          <w:szCs w:val="22"/>
          <w:lang w:val="pt-BR"/>
        </w:rPr>
      </w:pPr>
      <w:r w:rsidRPr="001142E2">
        <w:rPr>
          <w:sz w:val="22"/>
          <w:szCs w:val="22"/>
          <w:lang w:val="pt-BR"/>
        </w:rPr>
        <w:t>COMISSÃO CONSULTIVA</w:t>
      </w:r>
    </w:p>
    <w:p w14:paraId="57C62D16" w14:textId="77777777" w:rsidR="00521F18" w:rsidRPr="001142E2" w:rsidRDefault="00521F18" w:rsidP="00521F18">
      <w:pPr>
        <w:pStyle w:val="BodyTextIndent"/>
        <w:widowControl/>
        <w:rPr>
          <w:sz w:val="22"/>
          <w:szCs w:val="22"/>
          <w:lang w:val="pt-BR"/>
        </w:rPr>
      </w:pPr>
    </w:p>
    <w:p w14:paraId="68BC899E" w14:textId="77777777" w:rsidR="00521F18" w:rsidRPr="001142E2" w:rsidRDefault="00521F18" w:rsidP="00521F18">
      <w:pPr>
        <w:pStyle w:val="BodyTextIndent"/>
        <w:widowControl/>
        <w:rPr>
          <w:b/>
          <w:sz w:val="22"/>
          <w:szCs w:val="22"/>
          <w:lang w:val="pt-BR"/>
        </w:rPr>
      </w:pPr>
      <w:r w:rsidRPr="001142E2">
        <w:rPr>
          <w:b/>
          <w:sz w:val="22"/>
          <w:szCs w:val="22"/>
          <w:lang w:val="pt-BR"/>
        </w:rPr>
        <w:t>Artigo 20</w:t>
      </w:r>
    </w:p>
    <w:p w14:paraId="23F8706E" w14:textId="77777777" w:rsidR="00521F18" w:rsidRPr="001142E2" w:rsidRDefault="00521F18" w:rsidP="00521F18">
      <w:pPr>
        <w:pStyle w:val="BodyTextIndent"/>
        <w:widowControl/>
        <w:rPr>
          <w:sz w:val="22"/>
          <w:szCs w:val="22"/>
          <w:lang w:val="pt-BR"/>
        </w:rPr>
      </w:pPr>
    </w:p>
    <w:p w14:paraId="0CFDF35F"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Para alcançar os objetivos da Convenção e promover a cooperação e a continuidade das atividades dos Estados Partes, será criada uma Comissão Consultiva cujas decisões serão de caráter recomendatório e validadas pela Conferência. </w:t>
      </w:r>
    </w:p>
    <w:p w14:paraId="056E3AF6" w14:textId="77777777" w:rsidR="00521F18" w:rsidRPr="001142E2" w:rsidRDefault="00521F18" w:rsidP="00521F18">
      <w:pPr>
        <w:tabs>
          <w:tab w:val="left" w:pos="-720"/>
        </w:tabs>
        <w:jc w:val="both"/>
        <w:rPr>
          <w:sz w:val="22"/>
          <w:szCs w:val="22"/>
          <w:lang w:val="pt-BR"/>
        </w:rPr>
      </w:pPr>
    </w:p>
    <w:p w14:paraId="70D8B2BA" w14:textId="77777777" w:rsidR="00521F18" w:rsidRPr="001142E2" w:rsidRDefault="00521F18" w:rsidP="00521F18">
      <w:pPr>
        <w:pStyle w:val="BodyTextIndent"/>
        <w:widowControl/>
        <w:rPr>
          <w:b/>
          <w:sz w:val="22"/>
          <w:szCs w:val="22"/>
          <w:lang w:val="pt-BR"/>
        </w:rPr>
      </w:pPr>
      <w:r w:rsidRPr="001142E2">
        <w:rPr>
          <w:b/>
          <w:sz w:val="22"/>
          <w:szCs w:val="22"/>
          <w:lang w:val="pt-BR"/>
        </w:rPr>
        <w:t>Artigo 21</w:t>
      </w:r>
    </w:p>
    <w:p w14:paraId="444D6EB9" w14:textId="77777777" w:rsidR="00521F18" w:rsidRPr="001142E2" w:rsidRDefault="00521F18" w:rsidP="00521F18">
      <w:pPr>
        <w:tabs>
          <w:tab w:val="left" w:pos="-720"/>
        </w:tabs>
        <w:jc w:val="both"/>
        <w:rPr>
          <w:sz w:val="22"/>
          <w:szCs w:val="22"/>
          <w:lang w:val="pt-BR"/>
        </w:rPr>
      </w:pPr>
    </w:p>
    <w:p w14:paraId="699D9170" w14:textId="77777777" w:rsidR="00521F18" w:rsidRPr="001142E2" w:rsidRDefault="00521F18" w:rsidP="00521F18">
      <w:pPr>
        <w:tabs>
          <w:tab w:val="left" w:pos="-720"/>
        </w:tabs>
        <w:jc w:val="both"/>
        <w:rPr>
          <w:spacing w:val="-2"/>
          <w:sz w:val="22"/>
          <w:szCs w:val="22"/>
          <w:lang w:val="pt-BR"/>
        </w:rPr>
      </w:pPr>
      <w:r w:rsidRPr="001142E2">
        <w:rPr>
          <w:sz w:val="22"/>
          <w:szCs w:val="22"/>
          <w:lang w:val="pt-BR"/>
        </w:rPr>
        <w:tab/>
        <w:t>As funções da Comissão Consultiva são as seguintes:</w:t>
      </w:r>
    </w:p>
    <w:p w14:paraId="5CE1548C" w14:textId="77777777" w:rsidR="00521F18" w:rsidRPr="001142E2" w:rsidRDefault="00521F18" w:rsidP="00521F18">
      <w:pPr>
        <w:tabs>
          <w:tab w:val="left" w:pos="-720"/>
        </w:tabs>
        <w:jc w:val="both"/>
        <w:rPr>
          <w:spacing w:val="-2"/>
          <w:sz w:val="22"/>
          <w:szCs w:val="22"/>
          <w:lang w:val="pt-BR"/>
        </w:rPr>
      </w:pPr>
    </w:p>
    <w:p w14:paraId="4B75570D"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promover o cumprimento pelos Estados Partes das obrigações estabelecidas nos artigos III, IV e V da Convenção;</w:t>
      </w:r>
    </w:p>
    <w:p w14:paraId="6F995F8B" w14:textId="77777777" w:rsidR="00521F18" w:rsidRPr="001142E2" w:rsidRDefault="00521F18" w:rsidP="00521F18">
      <w:pPr>
        <w:tabs>
          <w:tab w:val="left" w:pos="-720"/>
        </w:tabs>
        <w:jc w:val="both"/>
        <w:rPr>
          <w:spacing w:val="-2"/>
          <w:sz w:val="22"/>
          <w:szCs w:val="22"/>
          <w:lang w:val="pt-BR"/>
        </w:rPr>
      </w:pPr>
    </w:p>
    <w:p w14:paraId="69F33ED2"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apoiar a SG/OEA, em sua qualidade de Secretaria Técnica e Administrativa da Convenção, no recebimento, compilação, análise e distribuição aos Estados Partes de quaisquer informações apresentadas nos termos dos artigos III, IV e V da Convenção;</w:t>
      </w:r>
    </w:p>
    <w:p w14:paraId="33BDEAB6" w14:textId="77777777" w:rsidR="00521F18" w:rsidRPr="001142E2" w:rsidRDefault="00521F18" w:rsidP="00521F18">
      <w:pPr>
        <w:tabs>
          <w:tab w:val="left" w:pos="-720"/>
        </w:tabs>
        <w:jc w:val="both"/>
        <w:rPr>
          <w:spacing w:val="-2"/>
          <w:sz w:val="22"/>
          <w:szCs w:val="22"/>
          <w:lang w:val="pt-BR"/>
        </w:rPr>
      </w:pPr>
    </w:p>
    <w:p w14:paraId="17E21B97"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fornecer as informações necessárias para manter atualizada a lista de pontos de contato dos Estados Partes;</w:t>
      </w:r>
    </w:p>
    <w:p w14:paraId="584930AB" w14:textId="77777777" w:rsidR="00521F18" w:rsidRPr="001142E2" w:rsidRDefault="00521F18" w:rsidP="00521F18">
      <w:pPr>
        <w:tabs>
          <w:tab w:val="left" w:pos="-720"/>
        </w:tabs>
        <w:jc w:val="both"/>
        <w:rPr>
          <w:spacing w:val="-2"/>
          <w:sz w:val="22"/>
          <w:szCs w:val="22"/>
          <w:lang w:val="pt-BR"/>
        </w:rPr>
      </w:pPr>
    </w:p>
    <w:p w14:paraId="0ADCEE89"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promover o intercâmbio de informações ao qual se refere a Convenção;</w:t>
      </w:r>
    </w:p>
    <w:p w14:paraId="58B7AC26" w14:textId="77777777" w:rsidR="00521F18" w:rsidRPr="001142E2" w:rsidRDefault="00521F18" w:rsidP="00521F18">
      <w:pPr>
        <w:tabs>
          <w:tab w:val="left" w:pos="-720"/>
        </w:tabs>
        <w:jc w:val="both"/>
        <w:rPr>
          <w:spacing w:val="-2"/>
          <w:sz w:val="22"/>
          <w:szCs w:val="22"/>
          <w:lang w:val="pt-BR"/>
        </w:rPr>
      </w:pPr>
    </w:p>
    <w:p w14:paraId="1954185B"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facilitar o intercâmbio de informações sobre legislações nacionais e procedimentos administrativos dos Estados Partes na Convenção;</w:t>
      </w:r>
    </w:p>
    <w:p w14:paraId="4A3719C6" w14:textId="77777777" w:rsidR="00521F18" w:rsidRPr="001142E2" w:rsidRDefault="00521F18" w:rsidP="00521F18">
      <w:pPr>
        <w:tabs>
          <w:tab w:val="left" w:pos="-720"/>
        </w:tabs>
        <w:jc w:val="both"/>
        <w:rPr>
          <w:spacing w:val="-2"/>
          <w:sz w:val="22"/>
          <w:szCs w:val="22"/>
          <w:lang w:val="pt-BR"/>
        </w:rPr>
      </w:pPr>
    </w:p>
    <w:p w14:paraId="3EE49C0B"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promover a capacitação, o intercâmbio de conhecimentos e experiências e a assistência técnica entre os Estados Partes na Convenção e as organizações internacionais pertinentes, bem como os estudos acadêmicos;</w:t>
      </w:r>
    </w:p>
    <w:p w14:paraId="6343270A" w14:textId="77777777" w:rsidR="00521F18" w:rsidRPr="001142E2" w:rsidRDefault="00521F18" w:rsidP="00521F18">
      <w:pPr>
        <w:tabs>
          <w:tab w:val="left" w:pos="-720"/>
        </w:tabs>
        <w:jc w:val="both"/>
        <w:rPr>
          <w:spacing w:val="-2"/>
          <w:sz w:val="22"/>
          <w:szCs w:val="22"/>
          <w:lang w:val="pt-BR"/>
        </w:rPr>
      </w:pPr>
    </w:p>
    <w:p w14:paraId="223D8AB1"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 xml:space="preserve">solicitar a outros Estados não Partes na Convenção, quando apropriado, informações sobre exportações de armas convencionais para os Estados Partes, em conformidade com o artigo V da Convenção; </w:t>
      </w:r>
    </w:p>
    <w:p w14:paraId="2DFE7CE5" w14:textId="77777777" w:rsidR="00521F18" w:rsidRPr="001142E2" w:rsidRDefault="00521F18" w:rsidP="00521F18">
      <w:pPr>
        <w:tabs>
          <w:tab w:val="left" w:pos="-720"/>
        </w:tabs>
        <w:jc w:val="both"/>
        <w:rPr>
          <w:spacing w:val="-2"/>
          <w:sz w:val="22"/>
          <w:szCs w:val="22"/>
          <w:lang w:val="pt-BR"/>
        </w:rPr>
      </w:pPr>
    </w:p>
    <w:p w14:paraId="170A39CE"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 xml:space="preserve">promover a universalização da Convenção mediante a adesão e ratificação da Convenção pelos Estados membros da OEA que ainda não se tornaram partes; </w:t>
      </w:r>
    </w:p>
    <w:p w14:paraId="7E585ACA" w14:textId="77777777" w:rsidR="00521F18" w:rsidRPr="001142E2" w:rsidRDefault="00521F18" w:rsidP="00521F18">
      <w:pPr>
        <w:tabs>
          <w:tab w:val="left" w:pos="-720"/>
        </w:tabs>
        <w:jc w:val="both"/>
        <w:rPr>
          <w:spacing w:val="-2"/>
          <w:sz w:val="22"/>
          <w:szCs w:val="22"/>
          <w:lang w:val="pt-BR"/>
        </w:rPr>
      </w:pPr>
    </w:p>
    <w:p w14:paraId="1E9FF81D"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 xml:space="preserve">analisar medidas para promover a integração da Convenção com outros instrumentos regionais e internacionais com objetivos complementares ao da Convenção, como a Convenção Interamericana contra a Fabricação e o Tráfico Ilícitos de Armas de Fogo, </w:t>
      </w:r>
      <w:r w:rsidRPr="001142E2">
        <w:rPr>
          <w:sz w:val="22"/>
          <w:szCs w:val="22"/>
          <w:lang w:val="pt-BR"/>
        </w:rPr>
        <w:lastRenderedPageBreak/>
        <w:t>Munições, Explosivos e Outros Materiais Correlatos (CIFTA) e o Registro de Armas Convencionais das Nações Unidas;</w:t>
      </w:r>
    </w:p>
    <w:p w14:paraId="79FE2668" w14:textId="77777777" w:rsidR="00521F18" w:rsidRPr="001142E2" w:rsidRDefault="00521F18" w:rsidP="00521F18">
      <w:pPr>
        <w:tabs>
          <w:tab w:val="left" w:pos="-720"/>
        </w:tabs>
        <w:jc w:val="both"/>
        <w:rPr>
          <w:spacing w:val="-2"/>
          <w:sz w:val="22"/>
          <w:szCs w:val="22"/>
          <w:lang w:val="pt-BR"/>
        </w:rPr>
      </w:pPr>
    </w:p>
    <w:p w14:paraId="261454A0"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coordenar e manter comunicação permanente com a Junta Interamericana de Defesa, por meio da Divisão de Serviços Técnicos – Seção de Gestão de Armas, sobre todos os assuntos relacionados com a Convenção;</w:t>
      </w:r>
    </w:p>
    <w:p w14:paraId="74FF46E1" w14:textId="77777777" w:rsidR="00521F18" w:rsidRPr="001142E2" w:rsidRDefault="00521F18" w:rsidP="00521F18">
      <w:pPr>
        <w:tabs>
          <w:tab w:val="left" w:pos="-720"/>
        </w:tabs>
        <w:jc w:val="both"/>
        <w:rPr>
          <w:spacing w:val="-2"/>
          <w:sz w:val="22"/>
          <w:szCs w:val="22"/>
          <w:lang w:val="pt-BR"/>
        </w:rPr>
      </w:pPr>
    </w:p>
    <w:p w14:paraId="004F0DE5"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contribuir para a implementação de programas, projetos e atividades desenvolvidos pela SG/OEA a fim de facilitar a aplicação da Convenção; e</w:t>
      </w:r>
    </w:p>
    <w:p w14:paraId="73D4A9E2" w14:textId="77777777" w:rsidR="00521F18" w:rsidRPr="001142E2" w:rsidRDefault="00521F18" w:rsidP="00521F18">
      <w:pPr>
        <w:tabs>
          <w:tab w:val="left" w:pos="-720"/>
        </w:tabs>
        <w:jc w:val="both"/>
        <w:rPr>
          <w:spacing w:val="-2"/>
          <w:sz w:val="22"/>
          <w:szCs w:val="22"/>
          <w:lang w:val="pt-BR"/>
        </w:rPr>
      </w:pPr>
    </w:p>
    <w:p w14:paraId="40863CF0" w14:textId="77777777" w:rsidR="00521F18" w:rsidRPr="001142E2" w:rsidRDefault="00521F18" w:rsidP="00521F18">
      <w:pPr>
        <w:widowControl/>
        <w:numPr>
          <w:ilvl w:val="0"/>
          <w:numId w:val="27"/>
        </w:numPr>
        <w:tabs>
          <w:tab w:val="left" w:pos="-720"/>
        </w:tabs>
        <w:autoSpaceDE/>
        <w:autoSpaceDN/>
        <w:adjustRightInd/>
        <w:ind w:left="1440" w:hanging="720"/>
        <w:jc w:val="both"/>
        <w:rPr>
          <w:spacing w:val="-2"/>
          <w:sz w:val="22"/>
          <w:szCs w:val="22"/>
          <w:lang w:val="pt-BR"/>
        </w:rPr>
      </w:pPr>
      <w:r w:rsidRPr="001142E2">
        <w:rPr>
          <w:sz w:val="22"/>
          <w:szCs w:val="22"/>
          <w:lang w:val="pt-BR"/>
        </w:rPr>
        <w:t>promover medidas que facilitem a aplicação da Convenção.</w:t>
      </w:r>
    </w:p>
    <w:p w14:paraId="78DC9262" w14:textId="77777777" w:rsidR="00521F18" w:rsidRPr="001142E2" w:rsidRDefault="00521F18" w:rsidP="00521F18">
      <w:pPr>
        <w:tabs>
          <w:tab w:val="left" w:pos="-720"/>
        </w:tabs>
        <w:jc w:val="both"/>
        <w:rPr>
          <w:sz w:val="22"/>
          <w:szCs w:val="22"/>
          <w:lang w:val="pt-BR"/>
        </w:rPr>
      </w:pPr>
    </w:p>
    <w:p w14:paraId="40E8B994" w14:textId="77777777" w:rsidR="00521F18" w:rsidRPr="001142E2" w:rsidRDefault="00521F18" w:rsidP="00521F18">
      <w:pPr>
        <w:pStyle w:val="BodyTextIndent"/>
        <w:widowControl/>
        <w:rPr>
          <w:b/>
          <w:sz w:val="22"/>
          <w:szCs w:val="22"/>
          <w:lang w:val="pt-BR"/>
        </w:rPr>
      </w:pPr>
      <w:r w:rsidRPr="001142E2">
        <w:rPr>
          <w:b/>
          <w:sz w:val="22"/>
          <w:szCs w:val="22"/>
          <w:lang w:val="pt-BR"/>
        </w:rPr>
        <w:t>Artigo 22</w:t>
      </w:r>
    </w:p>
    <w:p w14:paraId="3B2445E5" w14:textId="77777777" w:rsidR="00521F18" w:rsidRPr="001142E2" w:rsidRDefault="00521F18" w:rsidP="00521F18">
      <w:pPr>
        <w:tabs>
          <w:tab w:val="left" w:pos="-720"/>
        </w:tabs>
        <w:jc w:val="both"/>
        <w:rPr>
          <w:b/>
          <w:sz w:val="22"/>
          <w:szCs w:val="22"/>
          <w:lang w:val="pt-BR"/>
        </w:rPr>
      </w:pPr>
    </w:p>
    <w:p w14:paraId="799A47F1" w14:textId="77777777" w:rsidR="00521F18" w:rsidRPr="001142E2" w:rsidRDefault="00521F18" w:rsidP="00521F18">
      <w:pPr>
        <w:pStyle w:val="BodyTextIndent"/>
        <w:widowControl/>
        <w:rPr>
          <w:b/>
          <w:sz w:val="22"/>
          <w:szCs w:val="22"/>
          <w:lang w:val="pt-BR"/>
        </w:rPr>
      </w:pPr>
      <w:r w:rsidRPr="001142E2">
        <w:rPr>
          <w:sz w:val="22"/>
          <w:szCs w:val="22"/>
          <w:lang w:val="pt-BR"/>
        </w:rPr>
        <w:tab/>
        <w:t>Os Estados Partes identificarão um ponto único de contato para servir de ligação entre os Estados Partes, bem como entre estes e a Comissão Consultiva, para fins de cooperação e intercâmbio de informações.</w:t>
      </w:r>
    </w:p>
    <w:p w14:paraId="2EC6DC04" w14:textId="77777777" w:rsidR="00521F18" w:rsidRPr="001142E2" w:rsidRDefault="00521F18" w:rsidP="00521F18">
      <w:pPr>
        <w:tabs>
          <w:tab w:val="left" w:pos="-720"/>
        </w:tabs>
        <w:jc w:val="both"/>
        <w:rPr>
          <w:b/>
          <w:sz w:val="22"/>
          <w:szCs w:val="22"/>
          <w:lang w:val="pt-BR"/>
        </w:rPr>
      </w:pPr>
    </w:p>
    <w:p w14:paraId="1DF35BD9" w14:textId="77777777" w:rsidR="00521F18" w:rsidRPr="001142E2" w:rsidRDefault="00521F18" w:rsidP="00521F18">
      <w:pPr>
        <w:pStyle w:val="BodyTextIndent"/>
        <w:widowControl/>
        <w:rPr>
          <w:b/>
          <w:sz w:val="22"/>
          <w:szCs w:val="22"/>
          <w:lang w:val="pt-BR"/>
        </w:rPr>
      </w:pPr>
      <w:r w:rsidRPr="001142E2">
        <w:rPr>
          <w:b/>
          <w:sz w:val="22"/>
          <w:szCs w:val="22"/>
          <w:lang w:val="pt-BR"/>
        </w:rPr>
        <w:t>Artigo 23</w:t>
      </w:r>
    </w:p>
    <w:p w14:paraId="1C1757DF" w14:textId="77777777" w:rsidR="00521F18" w:rsidRPr="001142E2" w:rsidRDefault="00521F18" w:rsidP="00521F18">
      <w:pPr>
        <w:tabs>
          <w:tab w:val="left" w:pos="-720"/>
        </w:tabs>
        <w:jc w:val="both"/>
        <w:rPr>
          <w:sz w:val="22"/>
          <w:szCs w:val="22"/>
          <w:lang w:val="pt-BR"/>
        </w:rPr>
      </w:pPr>
    </w:p>
    <w:p w14:paraId="4692B6CA"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A Comissão Consultiva estabelecerá um regulamento específico para reger suas atividades. </w:t>
      </w:r>
    </w:p>
    <w:p w14:paraId="057B46BE" w14:textId="77777777" w:rsidR="00521F18" w:rsidRPr="001142E2" w:rsidRDefault="00521F18" w:rsidP="00521F18">
      <w:pPr>
        <w:pStyle w:val="BodyTextIndent"/>
        <w:widowControl/>
        <w:rPr>
          <w:sz w:val="22"/>
          <w:szCs w:val="22"/>
          <w:lang w:val="pt-BR"/>
        </w:rPr>
      </w:pPr>
    </w:p>
    <w:p w14:paraId="655594F4" w14:textId="77777777" w:rsidR="00521F18" w:rsidRPr="001142E2" w:rsidRDefault="00521F18" w:rsidP="00521F18">
      <w:pPr>
        <w:pStyle w:val="BodyTextIndent"/>
        <w:widowControl/>
        <w:rPr>
          <w:sz w:val="22"/>
          <w:szCs w:val="22"/>
          <w:lang w:val="pt-BR"/>
        </w:rPr>
      </w:pPr>
    </w:p>
    <w:p w14:paraId="1F403BBF"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VI</w:t>
      </w:r>
    </w:p>
    <w:p w14:paraId="7E40BF76" w14:textId="77777777" w:rsidR="00521F18" w:rsidRPr="001142E2" w:rsidRDefault="00521F18" w:rsidP="00521F18">
      <w:pPr>
        <w:pStyle w:val="BodyTextIndent"/>
        <w:widowControl/>
        <w:jc w:val="center"/>
        <w:rPr>
          <w:sz w:val="22"/>
          <w:szCs w:val="22"/>
          <w:lang w:val="pt-BR"/>
        </w:rPr>
      </w:pPr>
      <w:r w:rsidRPr="001142E2">
        <w:rPr>
          <w:sz w:val="22"/>
          <w:szCs w:val="22"/>
          <w:lang w:val="pt-BR"/>
        </w:rPr>
        <w:t>SECRETARIA</w:t>
      </w:r>
    </w:p>
    <w:p w14:paraId="14FE1119" w14:textId="77777777" w:rsidR="00521F18" w:rsidRPr="001142E2" w:rsidRDefault="00521F18" w:rsidP="00521F18">
      <w:pPr>
        <w:tabs>
          <w:tab w:val="left" w:pos="-720"/>
        </w:tabs>
        <w:jc w:val="both"/>
        <w:rPr>
          <w:sz w:val="22"/>
          <w:szCs w:val="22"/>
          <w:lang w:val="pt-BR"/>
        </w:rPr>
      </w:pPr>
    </w:p>
    <w:p w14:paraId="71E2B00A" w14:textId="77777777" w:rsidR="00521F18" w:rsidRPr="001142E2" w:rsidRDefault="00521F18" w:rsidP="00521F18">
      <w:pPr>
        <w:pStyle w:val="BodyTextIndent"/>
        <w:widowControl/>
        <w:rPr>
          <w:b/>
          <w:sz w:val="22"/>
          <w:szCs w:val="22"/>
          <w:lang w:val="pt-BR"/>
        </w:rPr>
      </w:pPr>
      <w:r w:rsidRPr="001142E2">
        <w:rPr>
          <w:b/>
          <w:sz w:val="22"/>
          <w:szCs w:val="22"/>
          <w:lang w:val="pt-BR"/>
        </w:rPr>
        <w:t>Artigo 24</w:t>
      </w:r>
    </w:p>
    <w:p w14:paraId="2088662C" w14:textId="77777777" w:rsidR="00521F18" w:rsidRPr="001142E2" w:rsidRDefault="00521F18" w:rsidP="00521F18">
      <w:pPr>
        <w:pStyle w:val="BodyTextIndent"/>
        <w:widowControl/>
        <w:rPr>
          <w:sz w:val="22"/>
          <w:szCs w:val="22"/>
          <w:lang w:val="pt-BR"/>
        </w:rPr>
      </w:pPr>
    </w:p>
    <w:p w14:paraId="2BC46740"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A SG/OEA, na condição de depositária da Convenção nos termos do seu artigo XIV, prestará os serviços de secretaria técnica e administrativa para o processo da Conferência. </w:t>
      </w:r>
    </w:p>
    <w:p w14:paraId="28B9BDBF" w14:textId="77777777" w:rsidR="00521F18" w:rsidRPr="001142E2" w:rsidRDefault="00521F18" w:rsidP="00521F18">
      <w:pPr>
        <w:tabs>
          <w:tab w:val="left" w:pos="-720"/>
        </w:tabs>
        <w:jc w:val="both"/>
        <w:rPr>
          <w:sz w:val="22"/>
          <w:szCs w:val="22"/>
          <w:lang w:val="pt-BR"/>
        </w:rPr>
      </w:pPr>
    </w:p>
    <w:p w14:paraId="78B10467" w14:textId="77777777" w:rsidR="00521F18" w:rsidRPr="001142E2" w:rsidRDefault="00521F18" w:rsidP="00521F18">
      <w:pPr>
        <w:pStyle w:val="BodyTextIndent"/>
        <w:widowControl/>
        <w:rPr>
          <w:sz w:val="22"/>
          <w:szCs w:val="22"/>
          <w:lang w:val="pt-BR"/>
        </w:rPr>
      </w:pPr>
      <w:r w:rsidRPr="001142E2">
        <w:rPr>
          <w:sz w:val="22"/>
          <w:szCs w:val="22"/>
          <w:lang w:val="pt-BR"/>
        </w:rPr>
        <w:tab/>
        <w:t xml:space="preserve">Por conseguinte, em todos os assuntos relacionados com seu pessoal técnico e administrativo, bem como com sua organização e funcionamento, a Secretaria será regida pelas disposições da Carta da OEA, pelas Normas Gerais para seu funcionamento, aprovadas pela Assembleia Geral, e pelas decisões adotadas pelo Secretário-Geral da OEA em seu cumprimento. </w:t>
      </w:r>
    </w:p>
    <w:p w14:paraId="3A02D037" w14:textId="77777777" w:rsidR="00521F18" w:rsidRPr="001142E2" w:rsidRDefault="00521F18" w:rsidP="00521F18">
      <w:pPr>
        <w:tabs>
          <w:tab w:val="left" w:pos="-720"/>
        </w:tabs>
        <w:jc w:val="both"/>
        <w:rPr>
          <w:sz w:val="22"/>
          <w:szCs w:val="22"/>
          <w:lang w:val="pt-BR"/>
        </w:rPr>
      </w:pPr>
    </w:p>
    <w:p w14:paraId="18FA9DEF" w14:textId="77777777" w:rsidR="00521F18" w:rsidRPr="001142E2" w:rsidRDefault="00521F18" w:rsidP="00521F18">
      <w:pPr>
        <w:pStyle w:val="BodyTextIndent"/>
        <w:widowControl/>
        <w:rPr>
          <w:b/>
          <w:sz w:val="22"/>
          <w:szCs w:val="22"/>
          <w:lang w:val="pt-BR"/>
        </w:rPr>
      </w:pPr>
      <w:r w:rsidRPr="001142E2">
        <w:rPr>
          <w:b/>
          <w:sz w:val="22"/>
          <w:szCs w:val="22"/>
          <w:lang w:val="pt-BR"/>
        </w:rPr>
        <w:t>Artigo 25</w:t>
      </w:r>
    </w:p>
    <w:p w14:paraId="61898608" w14:textId="77777777" w:rsidR="00521F18" w:rsidRPr="001142E2" w:rsidRDefault="00521F18" w:rsidP="00521F18">
      <w:pPr>
        <w:tabs>
          <w:tab w:val="left" w:pos="-720"/>
        </w:tabs>
        <w:jc w:val="both"/>
        <w:rPr>
          <w:sz w:val="22"/>
          <w:szCs w:val="22"/>
          <w:lang w:val="pt-BR"/>
        </w:rPr>
      </w:pPr>
    </w:p>
    <w:p w14:paraId="73E7C130" w14:textId="77777777" w:rsidR="00521F18" w:rsidRPr="001142E2" w:rsidRDefault="00521F18" w:rsidP="00521F18">
      <w:pPr>
        <w:tabs>
          <w:tab w:val="left" w:pos="-720"/>
        </w:tabs>
        <w:jc w:val="both"/>
        <w:rPr>
          <w:w w:val="103"/>
          <w:sz w:val="22"/>
          <w:szCs w:val="22"/>
          <w:lang w:val="pt-BR"/>
        </w:rPr>
      </w:pPr>
      <w:r w:rsidRPr="001142E2">
        <w:rPr>
          <w:sz w:val="22"/>
          <w:szCs w:val="22"/>
          <w:lang w:val="pt-BR"/>
        </w:rPr>
        <w:tab/>
        <w:t xml:space="preserve">A Secretaria exercerá as seguintes funções: </w:t>
      </w:r>
    </w:p>
    <w:p w14:paraId="1CEB37F0" w14:textId="77777777" w:rsidR="00521F18" w:rsidRPr="001142E2" w:rsidRDefault="00521F18" w:rsidP="00521F18">
      <w:pPr>
        <w:tabs>
          <w:tab w:val="left" w:pos="-720"/>
        </w:tabs>
        <w:jc w:val="both"/>
        <w:rPr>
          <w:sz w:val="22"/>
          <w:szCs w:val="22"/>
          <w:lang w:val="pt-BR"/>
        </w:rPr>
      </w:pPr>
    </w:p>
    <w:p w14:paraId="06CDC271"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assessorar as respectivas presidências na preparação e condução de cada Conferência e das reuniões da Comissão Consultiva, incluindo o apoio na elaboração e distribuição, por meio das missões permanentes junto à OEA, dos projetos de agenda;</w:t>
      </w:r>
    </w:p>
    <w:p w14:paraId="1EA90AC5" w14:textId="77777777" w:rsidR="00521F18" w:rsidRPr="001142E2" w:rsidRDefault="00521F18" w:rsidP="00404912">
      <w:pPr>
        <w:tabs>
          <w:tab w:val="left" w:pos="-720"/>
        </w:tabs>
        <w:ind w:left="1440" w:hanging="720"/>
        <w:jc w:val="both"/>
        <w:rPr>
          <w:sz w:val="22"/>
          <w:szCs w:val="22"/>
          <w:lang w:val="pt-BR"/>
        </w:rPr>
      </w:pPr>
    </w:p>
    <w:p w14:paraId="560EF75D"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 xml:space="preserve">coordenar os aspectos organizacionais e administrativos relacionados com cada Conferência e com as reuniões da Comissão Consultiva. Quando um Estado Parte oferecer sede para alguma delas, a Secretaria celebrará com o referido Estado Parte </w:t>
      </w:r>
      <w:r w:rsidRPr="001142E2">
        <w:rPr>
          <w:sz w:val="22"/>
          <w:szCs w:val="22"/>
          <w:lang w:val="pt-BR"/>
        </w:rPr>
        <w:lastRenderedPageBreak/>
        <w:t>um acordo cuja negociação e assinatura será coordenada por meio da sua missão permanente junto da OEA;</w:t>
      </w:r>
    </w:p>
    <w:p w14:paraId="173495C9" w14:textId="77777777" w:rsidR="00521F18" w:rsidRPr="001142E2" w:rsidRDefault="00521F18" w:rsidP="00404912">
      <w:pPr>
        <w:tabs>
          <w:tab w:val="left" w:pos="-720"/>
        </w:tabs>
        <w:ind w:left="1440" w:hanging="720"/>
        <w:jc w:val="both"/>
        <w:rPr>
          <w:sz w:val="22"/>
          <w:szCs w:val="22"/>
          <w:lang w:val="pt-BR"/>
        </w:rPr>
      </w:pPr>
    </w:p>
    <w:p w14:paraId="5763022E"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prestar serviços próprios de secretaria para cada Conferência e para as reuniões da Comissão Consultiva, assisti-las na elaboração e consideração dos respectivos projetos de recomendações, classificar, traduzir, distribuir às delegações e, se necessário, divulgar na internet e em qualquer outro meio, os textos oficiais dos documentos apresentados, considerados e aprovados no âmbito das reuniões;</w:t>
      </w:r>
    </w:p>
    <w:p w14:paraId="0C578777" w14:textId="77777777" w:rsidR="00521F18" w:rsidRPr="001142E2" w:rsidRDefault="00521F18" w:rsidP="00404912">
      <w:pPr>
        <w:tabs>
          <w:tab w:val="left" w:pos="-720"/>
        </w:tabs>
        <w:ind w:left="1440" w:hanging="720"/>
        <w:jc w:val="both"/>
        <w:rPr>
          <w:sz w:val="22"/>
          <w:szCs w:val="22"/>
          <w:lang w:val="pt-BR"/>
        </w:rPr>
      </w:pPr>
    </w:p>
    <w:p w14:paraId="14F49129"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 xml:space="preserve">servir como ponto central de coordenação e contato para o envio e recepção de documentos e comunicações entre as autoridades participantes de cada Conferência dos Estados Partes e das reuniões da Comissão Consultiva, no que se refere a todos os assuntos relacionados com a organização, o funcionamento e a implementação de suas respectivas recomendações; </w:t>
      </w:r>
    </w:p>
    <w:p w14:paraId="05719CD4" w14:textId="77777777" w:rsidR="00521F18" w:rsidRPr="001142E2" w:rsidRDefault="00521F18" w:rsidP="00404912">
      <w:pPr>
        <w:tabs>
          <w:tab w:val="left" w:pos="-720"/>
        </w:tabs>
        <w:ind w:left="1440" w:hanging="720"/>
        <w:jc w:val="both"/>
        <w:rPr>
          <w:sz w:val="22"/>
          <w:szCs w:val="22"/>
          <w:lang w:val="pt-BR"/>
        </w:rPr>
      </w:pPr>
    </w:p>
    <w:p w14:paraId="729A16B4"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promover o envio regular e constante dos relatórios previstos nos artigos III, IV e V da Convenção, por meio de ações de sensibilização, divulgação e capacitação das autoridades competentes dos Estados Partes, bem como da implementação de mecanismos que facilitem o envio dos relatórios, como sistemas de informação e a possibilidade de envio de relatórios eletrônicos, entre outras medidas pertinentes;</w:t>
      </w:r>
    </w:p>
    <w:p w14:paraId="1C65DF3E" w14:textId="77777777" w:rsidR="00521F18" w:rsidRPr="001142E2" w:rsidRDefault="00521F18" w:rsidP="00404912">
      <w:pPr>
        <w:tabs>
          <w:tab w:val="left" w:pos="-720"/>
        </w:tabs>
        <w:ind w:left="1440" w:hanging="720"/>
        <w:jc w:val="both"/>
        <w:rPr>
          <w:spacing w:val="-2"/>
          <w:sz w:val="22"/>
          <w:szCs w:val="22"/>
          <w:lang w:val="pt-BR"/>
        </w:rPr>
      </w:pPr>
    </w:p>
    <w:p w14:paraId="0B321E13"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consolidar os relatórios recebidos dos Estados Partes, estabelecidos nos artigos III, IV e V da Convenção, e transmiti-lo aos Estados Partes;</w:t>
      </w:r>
    </w:p>
    <w:p w14:paraId="1CB87C7F" w14:textId="77777777" w:rsidR="00521F18" w:rsidRPr="001142E2" w:rsidRDefault="00521F18" w:rsidP="00404912">
      <w:pPr>
        <w:tabs>
          <w:tab w:val="left" w:pos="-720"/>
        </w:tabs>
        <w:ind w:left="1440" w:hanging="720"/>
        <w:jc w:val="both"/>
        <w:rPr>
          <w:spacing w:val="-2"/>
          <w:sz w:val="22"/>
          <w:szCs w:val="22"/>
          <w:lang w:val="pt-BR"/>
        </w:rPr>
      </w:pPr>
    </w:p>
    <w:p w14:paraId="6C8CD373"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elaborar o relatório anual consolidado das informações fornecidas ao abrigo da Convenção, a ser apresentado aos Estados Partes;</w:t>
      </w:r>
    </w:p>
    <w:p w14:paraId="7198CF45" w14:textId="77777777" w:rsidR="00521F18" w:rsidRPr="001142E2" w:rsidRDefault="00521F18" w:rsidP="00404912">
      <w:pPr>
        <w:tabs>
          <w:tab w:val="left" w:pos="-720"/>
        </w:tabs>
        <w:ind w:left="1440" w:hanging="720"/>
        <w:jc w:val="both"/>
        <w:rPr>
          <w:spacing w:val="-2"/>
          <w:sz w:val="22"/>
          <w:szCs w:val="22"/>
          <w:lang w:val="pt-BR"/>
        </w:rPr>
      </w:pPr>
    </w:p>
    <w:p w14:paraId="0E548ADF"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manter um banco de dados atualizado com informações dos Pontos de Contato Nacionais da Convenção;</w:t>
      </w:r>
    </w:p>
    <w:p w14:paraId="5C6049C7" w14:textId="77777777" w:rsidR="00521F18" w:rsidRPr="001142E2" w:rsidRDefault="00521F18" w:rsidP="00404912">
      <w:pPr>
        <w:tabs>
          <w:tab w:val="left" w:pos="-720"/>
        </w:tabs>
        <w:ind w:left="1440" w:hanging="720"/>
        <w:jc w:val="both"/>
        <w:rPr>
          <w:spacing w:val="-2"/>
          <w:sz w:val="22"/>
          <w:szCs w:val="22"/>
          <w:lang w:val="pt-BR"/>
        </w:rPr>
      </w:pPr>
    </w:p>
    <w:p w14:paraId="74FB3D0B"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promover, organizar e coordenar programas, projetos e atividades para facilitar e fortalecer o intercâmbio de informações, treinamento e cooperação técnica para a promoção da Convenção. Para tanto, e em permanente comunicação com os Estados Partes, assinará os respectivos acordos com Estados, organizações internacionais e agências que contribuam para o seu financiamento e com os Estados nos quais serão executados, em conformidade com as disposições em vigor que regem a matéria no âmbito da OEA;</w:t>
      </w:r>
    </w:p>
    <w:p w14:paraId="6561C275" w14:textId="77777777" w:rsidR="00521F18" w:rsidRPr="001142E2" w:rsidRDefault="00521F18" w:rsidP="00404912">
      <w:pPr>
        <w:tabs>
          <w:tab w:val="left" w:pos="-720"/>
        </w:tabs>
        <w:ind w:left="1440" w:hanging="720"/>
        <w:jc w:val="both"/>
        <w:rPr>
          <w:spacing w:val="-2"/>
          <w:sz w:val="22"/>
          <w:szCs w:val="22"/>
          <w:lang w:val="pt-BR"/>
        </w:rPr>
      </w:pPr>
    </w:p>
    <w:p w14:paraId="726DFF42"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 xml:space="preserve">implementar estratégias com o objetivo de motivar os Estados que não tenham assinado ou que tenham assinado e não tenham ratificado a Convenção a ratificá-la ou a ela aderirem; </w:t>
      </w:r>
    </w:p>
    <w:p w14:paraId="00E67161" w14:textId="77777777" w:rsidR="00521F18" w:rsidRPr="001142E2" w:rsidRDefault="00521F18" w:rsidP="00404912">
      <w:pPr>
        <w:tabs>
          <w:tab w:val="left" w:pos="-720"/>
        </w:tabs>
        <w:ind w:left="1440" w:hanging="720"/>
        <w:jc w:val="both"/>
        <w:rPr>
          <w:spacing w:val="-2"/>
          <w:sz w:val="22"/>
          <w:szCs w:val="22"/>
          <w:lang w:val="pt-BR"/>
        </w:rPr>
      </w:pPr>
    </w:p>
    <w:p w14:paraId="23984705"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manter comunicação e coordenação permanentes com a Junta Interamericana de Defesa, por meio da Divisão de Serviços Técnicos – Seção de Gestão de Armas, sobre todos os assuntos relacionados com a Convenção;</w:t>
      </w:r>
    </w:p>
    <w:p w14:paraId="23E947D0" w14:textId="77777777" w:rsidR="00521F18" w:rsidRPr="001142E2" w:rsidRDefault="00521F18" w:rsidP="00404912">
      <w:pPr>
        <w:tabs>
          <w:tab w:val="left" w:pos="-720"/>
        </w:tabs>
        <w:ind w:left="1440" w:hanging="720"/>
        <w:jc w:val="both"/>
        <w:rPr>
          <w:spacing w:val="-2"/>
          <w:sz w:val="22"/>
          <w:szCs w:val="22"/>
          <w:lang w:val="pt-BR"/>
        </w:rPr>
      </w:pPr>
    </w:p>
    <w:p w14:paraId="4774AFFF"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lastRenderedPageBreak/>
        <w:t>estabelecer um mecanismo no âmbito da Convenção para sistematizar o registro técnico e o apoio político para a Convenção, de acordo com a disponibilidade de recursos;</w:t>
      </w:r>
    </w:p>
    <w:p w14:paraId="62909905" w14:textId="77777777" w:rsidR="00521F18" w:rsidRPr="001142E2" w:rsidRDefault="00521F18" w:rsidP="00404912">
      <w:pPr>
        <w:tabs>
          <w:tab w:val="left" w:pos="-720"/>
        </w:tabs>
        <w:ind w:left="1440" w:hanging="720"/>
        <w:jc w:val="both"/>
        <w:rPr>
          <w:spacing w:val="-2"/>
          <w:sz w:val="22"/>
          <w:szCs w:val="22"/>
          <w:lang w:val="pt-BR"/>
        </w:rPr>
      </w:pPr>
    </w:p>
    <w:p w14:paraId="604B52FE"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conceber e manter uma página eletrônica ou plataforma para o intercâmbio de informações, de acordo com a disponibilidade de recursos;</w:t>
      </w:r>
    </w:p>
    <w:p w14:paraId="44BBD5FB" w14:textId="77777777" w:rsidR="00521F18" w:rsidRPr="001142E2" w:rsidRDefault="00521F18" w:rsidP="00404912">
      <w:pPr>
        <w:tabs>
          <w:tab w:val="left" w:pos="-720"/>
        </w:tabs>
        <w:ind w:left="1440" w:hanging="720"/>
        <w:jc w:val="both"/>
        <w:rPr>
          <w:spacing w:val="-2"/>
          <w:sz w:val="22"/>
          <w:szCs w:val="22"/>
          <w:lang w:val="pt-BR"/>
        </w:rPr>
      </w:pPr>
    </w:p>
    <w:p w14:paraId="750CD3C0"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acompanhar as decisões emanadas da Assembleia Geral da OEA relacionadas com a Convenção;</w:t>
      </w:r>
    </w:p>
    <w:p w14:paraId="0824573A" w14:textId="77777777" w:rsidR="00521F18" w:rsidRPr="001142E2" w:rsidRDefault="00521F18" w:rsidP="00404912">
      <w:pPr>
        <w:tabs>
          <w:tab w:val="left" w:pos="-720"/>
        </w:tabs>
        <w:ind w:left="1440" w:hanging="720"/>
        <w:jc w:val="both"/>
        <w:rPr>
          <w:spacing w:val="-2"/>
          <w:sz w:val="22"/>
          <w:szCs w:val="22"/>
          <w:lang w:val="pt-BR"/>
        </w:rPr>
      </w:pPr>
    </w:p>
    <w:p w14:paraId="753303E4" w14:textId="77777777" w:rsidR="00521F18" w:rsidRPr="001142E2" w:rsidRDefault="00521F18" w:rsidP="00404912">
      <w:pPr>
        <w:widowControl/>
        <w:numPr>
          <w:ilvl w:val="0"/>
          <w:numId w:val="28"/>
        </w:numPr>
        <w:tabs>
          <w:tab w:val="left" w:pos="-720"/>
        </w:tabs>
        <w:autoSpaceDE/>
        <w:autoSpaceDN/>
        <w:adjustRightInd/>
        <w:ind w:left="1440" w:hanging="720"/>
        <w:jc w:val="both"/>
        <w:rPr>
          <w:sz w:val="22"/>
          <w:szCs w:val="22"/>
          <w:lang w:val="pt-BR"/>
        </w:rPr>
      </w:pPr>
      <w:r w:rsidRPr="001142E2">
        <w:rPr>
          <w:sz w:val="22"/>
          <w:szCs w:val="22"/>
          <w:lang w:val="pt-BR"/>
        </w:rPr>
        <w:t>apresentar os relatórios que possam ser solicitados pela Conferência, pela Comissão Consultiva, pela Assembleia Geral, pelo Conselho Permanente da OEA ou por suas comissões permanentes, no âmbito de suas funções de secretaria técnica e administrativa; e</w:t>
      </w:r>
    </w:p>
    <w:p w14:paraId="41292808" w14:textId="77777777" w:rsidR="00521F18" w:rsidRPr="001142E2" w:rsidRDefault="00521F18" w:rsidP="00404912">
      <w:pPr>
        <w:tabs>
          <w:tab w:val="left" w:pos="-720"/>
        </w:tabs>
        <w:ind w:left="1440" w:hanging="720"/>
        <w:jc w:val="both"/>
        <w:rPr>
          <w:spacing w:val="-2"/>
          <w:sz w:val="22"/>
          <w:szCs w:val="22"/>
          <w:lang w:val="pt-BR"/>
        </w:rPr>
      </w:pPr>
    </w:p>
    <w:p w14:paraId="62F18B74" w14:textId="77777777" w:rsidR="00521F18" w:rsidRPr="001142E2" w:rsidRDefault="00521F18" w:rsidP="00404912">
      <w:pPr>
        <w:widowControl/>
        <w:numPr>
          <w:ilvl w:val="0"/>
          <w:numId w:val="28"/>
        </w:numPr>
        <w:tabs>
          <w:tab w:val="left" w:pos="-720"/>
        </w:tabs>
        <w:autoSpaceDE/>
        <w:autoSpaceDN/>
        <w:adjustRightInd/>
        <w:ind w:left="1440" w:hanging="720"/>
        <w:jc w:val="both"/>
        <w:rPr>
          <w:spacing w:val="-2"/>
          <w:sz w:val="22"/>
          <w:szCs w:val="22"/>
          <w:lang w:val="pt-BR"/>
        </w:rPr>
      </w:pPr>
      <w:r w:rsidRPr="001142E2">
        <w:rPr>
          <w:sz w:val="22"/>
          <w:szCs w:val="22"/>
          <w:lang w:val="pt-BR"/>
        </w:rPr>
        <w:t>outras atividades relacionadas com a Convenção, em conformidade com as resoluções aprovadas pelos Estados Partes.</w:t>
      </w:r>
    </w:p>
    <w:p w14:paraId="677FC518" w14:textId="77777777" w:rsidR="00521F18" w:rsidRPr="001142E2" w:rsidRDefault="00521F18" w:rsidP="00404912">
      <w:pPr>
        <w:tabs>
          <w:tab w:val="left" w:pos="-720"/>
        </w:tabs>
        <w:ind w:left="1440" w:hanging="720"/>
        <w:jc w:val="both"/>
        <w:rPr>
          <w:sz w:val="22"/>
          <w:szCs w:val="22"/>
          <w:lang w:val="pt-BR"/>
        </w:rPr>
      </w:pPr>
    </w:p>
    <w:p w14:paraId="2BB90F66" w14:textId="77777777" w:rsidR="00521F18" w:rsidRPr="001142E2" w:rsidRDefault="00521F18" w:rsidP="00521F18">
      <w:pPr>
        <w:tabs>
          <w:tab w:val="left" w:pos="-720"/>
        </w:tabs>
        <w:jc w:val="both"/>
        <w:rPr>
          <w:b/>
          <w:sz w:val="22"/>
          <w:szCs w:val="22"/>
          <w:lang w:val="pt-BR"/>
        </w:rPr>
      </w:pPr>
      <w:r w:rsidRPr="001142E2">
        <w:rPr>
          <w:b/>
          <w:sz w:val="22"/>
          <w:szCs w:val="22"/>
          <w:lang w:val="pt-BR"/>
        </w:rPr>
        <w:t>Artigo 26</w:t>
      </w:r>
    </w:p>
    <w:p w14:paraId="7590822F" w14:textId="77777777" w:rsidR="00521F18" w:rsidRPr="001142E2" w:rsidRDefault="00521F18" w:rsidP="00521F18">
      <w:pPr>
        <w:tabs>
          <w:tab w:val="left" w:pos="-720"/>
        </w:tabs>
        <w:jc w:val="both"/>
        <w:rPr>
          <w:sz w:val="22"/>
          <w:szCs w:val="22"/>
          <w:lang w:val="pt-BR"/>
        </w:rPr>
      </w:pPr>
    </w:p>
    <w:p w14:paraId="43DF45E0" w14:textId="77777777" w:rsidR="00521F18" w:rsidRPr="001142E2" w:rsidRDefault="00521F18" w:rsidP="00521F18">
      <w:pPr>
        <w:tabs>
          <w:tab w:val="left" w:pos="-720"/>
        </w:tabs>
        <w:jc w:val="both"/>
        <w:rPr>
          <w:w w:val="103"/>
          <w:sz w:val="22"/>
          <w:szCs w:val="22"/>
          <w:lang w:val="pt-BR"/>
        </w:rPr>
      </w:pPr>
      <w:r w:rsidRPr="001142E2">
        <w:rPr>
          <w:sz w:val="22"/>
          <w:szCs w:val="22"/>
          <w:lang w:val="pt-BR"/>
        </w:rPr>
        <w:tab/>
        <w:t xml:space="preserve">A Secretaria exercerá as funções determinadas no artigo anterior de acordo com a disponibilidade de recursos humanos e financeiros e tomará as medidas necessárias para obter recursos internos e externos para o financiamento dessas atividades.  </w:t>
      </w:r>
    </w:p>
    <w:p w14:paraId="67888581" w14:textId="77777777" w:rsidR="00521F18" w:rsidRPr="001142E2" w:rsidRDefault="00521F18" w:rsidP="00521F18">
      <w:pPr>
        <w:rPr>
          <w:w w:val="103"/>
          <w:sz w:val="22"/>
          <w:szCs w:val="22"/>
          <w:lang w:val="pt-BR"/>
        </w:rPr>
      </w:pPr>
    </w:p>
    <w:p w14:paraId="7B768B9D" w14:textId="77777777" w:rsidR="00521F18" w:rsidRPr="001142E2" w:rsidRDefault="00521F18" w:rsidP="00521F18">
      <w:pPr>
        <w:rPr>
          <w:w w:val="103"/>
          <w:sz w:val="22"/>
          <w:szCs w:val="22"/>
          <w:lang w:val="pt-BR"/>
        </w:rPr>
      </w:pPr>
    </w:p>
    <w:p w14:paraId="0DD6F981" w14:textId="77777777" w:rsidR="00521F18" w:rsidRPr="001142E2" w:rsidRDefault="00521F18" w:rsidP="00521F18">
      <w:pPr>
        <w:pStyle w:val="BodyTextIndent"/>
        <w:widowControl/>
        <w:jc w:val="center"/>
        <w:rPr>
          <w:sz w:val="22"/>
          <w:szCs w:val="22"/>
          <w:lang w:val="pt-BR"/>
        </w:rPr>
      </w:pPr>
      <w:r w:rsidRPr="001142E2">
        <w:rPr>
          <w:sz w:val="22"/>
          <w:szCs w:val="22"/>
          <w:lang w:val="pt-BR"/>
        </w:rPr>
        <w:t>CAPÍTULO VII</w:t>
      </w:r>
    </w:p>
    <w:p w14:paraId="0B2E79E5" w14:textId="77777777" w:rsidR="00521F18" w:rsidRPr="001142E2" w:rsidRDefault="00521F18" w:rsidP="00521F18">
      <w:pPr>
        <w:pStyle w:val="BodyTextIndent"/>
        <w:widowControl/>
        <w:jc w:val="center"/>
        <w:rPr>
          <w:sz w:val="22"/>
          <w:szCs w:val="22"/>
          <w:lang w:val="pt-BR"/>
        </w:rPr>
      </w:pPr>
      <w:r w:rsidRPr="001142E2">
        <w:rPr>
          <w:sz w:val="22"/>
          <w:szCs w:val="22"/>
          <w:lang w:val="pt-BR"/>
        </w:rPr>
        <w:t>REGULAMENTO</w:t>
      </w:r>
    </w:p>
    <w:p w14:paraId="11070A3B" w14:textId="77777777" w:rsidR="00521F18" w:rsidRPr="001142E2" w:rsidRDefault="00521F18" w:rsidP="00521F18">
      <w:pPr>
        <w:tabs>
          <w:tab w:val="left" w:pos="-720"/>
        </w:tabs>
        <w:jc w:val="both"/>
        <w:rPr>
          <w:sz w:val="22"/>
          <w:szCs w:val="22"/>
          <w:lang w:val="pt-BR"/>
        </w:rPr>
      </w:pPr>
    </w:p>
    <w:p w14:paraId="56202A36" w14:textId="77777777" w:rsidR="00521F18" w:rsidRPr="001142E2" w:rsidRDefault="00521F18" w:rsidP="00521F18">
      <w:pPr>
        <w:pStyle w:val="BodyTextIndent"/>
        <w:widowControl/>
        <w:rPr>
          <w:b/>
          <w:bCs/>
          <w:sz w:val="22"/>
          <w:szCs w:val="22"/>
          <w:lang w:val="pt-BR"/>
        </w:rPr>
      </w:pPr>
      <w:r w:rsidRPr="001142E2">
        <w:rPr>
          <w:b/>
          <w:sz w:val="22"/>
          <w:szCs w:val="22"/>
          <w:lang w:val="pt-BR"/>
        </w:rPr>
        <w:t>Artigo 27</w:t>
      </w:r>
    </w:p>
    <w:p w14:paraId="2B003CF9" w14:textId="77777777" w:rsidR="00521F18" w:rsidRPr="001142E2" w:rsidRDefault="00521F18" w:rsidP="00521F18">
      <w:pPr>
        <w:tabs>
          <w:tab w:val="left" w:pos="-720"/>
        </w:tabs>
        <w:jc w:val="both"/>
        <w:rPr>
          <w:b/>
          <w:bCs/>
          <w:sz w:val="22"/>
          <w:szCs w:val="22"/>
          <w:lang w:val="pt-BR"/>
        </w:rPr>
      </w:pPr>
    </w:p>
    <w:p w14:paraId="432FF0C0" w14:textId="77777777" w:rsidR="00521F18" w:rsidRPr="001142E2" w:rsidRDefault="00521F18" w:rsidP="00521F18">
      <w:pPr>
        <w:pStyle w:val="BodyTextIndent"/>
        <w:widowControl/>
        <w:rPr>
          <w:sz w:val="22"/>
          <w:szCs w:val="22"/>
          <w:lang w:val="pt-BR"/>
        </w:rPr>
      </w:pPr>
      <w:r w:rsidRPr="001142E2">
        <w:rPr>
          <w:sz w:val="22"/>
          <w:szCs w:val="22"/>
          <w:lang w:val="pt-BR"/>
        </w:rPr>
        <w:tab/>
        <w:t>O Regulamento será adotado pela Segunda Conferência e entrará em vigor na data de sua adoção.</w:t>
      </w:r>
    </w:p>
    <w:p w14:paraId="2133DCDB" w14:textId="77777777" w:rsidR="00521F18" w:rsidRPr="001142E2" w:rsidRDefault="00521F18" w:rsidP="00521F18">
      <w:pPr>
        <w:tabs>
          <w:tab w:val="left" w:pos="-720"/>
        </w:tabs>
        <w:jc w:val="both"/>
        <w:rPr>
          <w:sz w:val="22"/>
          <w:szCs w:val="22"/>
          <w:lang w:val="pt-BR"/>
        </w:rPr>
      </w:pPr>
    </w:p>
    <w:p w14:paraId="5DAC6EA3" w14:textId="77777777" w:rsidR="00521F18" w:rsidRPr="001142E2" w:rsidRDefault="00521F18" w:rsidP="00521F18">
      <w:pPr>
        <w:pStyle w:val="BodyTextIndent"/>
        <w:widowControl/>
        <w:rPr>
          <w:b/>
          <w:bCs/>
          <w:sz w:val="22"/>
          <w:szCs w:val="22"/>
          <w:lang w:val="pt-BR"/>
        </w:rPr>
      </w:pPr>
      <w:r w:rsidRPr="001142E2">
        <w:rPr>
          <w:b/>
          <w:sz w:val="22"/>
          <w:szCs w:val="22"/>
          <w:lang w:val="pt-BR"/>
        </w:rPr>
        <w:t>Artigo 28</w:t>
      </w:r>
    </w:p>
    <w:p w14:paraId="3B1D3C15" w14:textId="77777777" w:rsidR="00521F18" w:rsidRPr="001142E2" w:rsidRDefault="00521F18" w:rsidP="00521F18">
      <w:pPr>
        <w:tabs>
          <w:tab w:val="left" w:pos="-720"/>
        </w:tabs>
        <w:jc w:val="both"/>
        <w:rPr>
          <w:sz w:val="22"/>
          <w:szCs w:val="22"/>
          <w:lang w:val="pt-BR"/>
        </w:rPr>
      </w:pPr>
    </w:p>
    <w:p w14:paraId="6B96B570" w14:textId="2EA16DFD" w:rsidR="00521F18" w:rsidRPr="001142E2" w:rsidRDefault="00521F18" w:rsidP="00521F18">
      <w:pPr>
        <w:tabs>
          <w:tab w:val="left" w:pos="-720"/>
        </w:tabs>
        <w:jc w:val="both"/>
        <w:rPr>
          <w:sz w:val="22"/>
          <w:szCs w:val="22"/>
          <w:lang w:val="pt-BR"/>
        </w:rPr>
      </w:pPr>
      <w:r w:rsidRPr="001142E2">
        <w:rPr>
          <w:sz w:val="22"/>
          <w:szCs w:val="22"/>
          <w:lang w:val="pt-BR"/>
        </w:rPr>
        <w:tab/>
        <w:t>O Regulamento poderá ser modificado pela Conferência mediante a maioria qualificada de dois terços dos Estados Partes.</w:t>
      </w:r>
    </w:p>
    <w:p w14:paraId="268DDFA8" w14:textId="463F7A83" w:rsidR="00D75EDB" w:rsidRPr="001142E2" w:rsidRDefault="00404912" w:rsidP="00521F18">
      <w:pPr>
        <w:rPr>
          <w:lang w:val="pt-BR"/>
        </w:rPr>
      </w:pPr>
      <w:r>
        <w:rPr>
          <w:noProof/>
          <w:lang w:val="pt-BR"/>
        </w:rPr>
        <mc:AlternateContent>
          <mc:Choice Requires="wps">
            <w:drawing>
              <wp:anchor distT="0" distB="0" distL="114300" distR="114300" simplePos="0" relativeHeight="251659264" behindDoc="0" locked="1" layoutInCell="1" allowOverlap="1" wp14:anchorId="0C4BE004" wp14:editId="7C0933A9">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34BA320" w14:textId="797899F3" w:rsidR="00404912" w:rsidRPr="00404912" w:rsidRDefault="00404912">
                            <w:pPr>
                              <w:rPr>
                                <w:sz w:val="18"/>
                              </w:rPr>
                            </w:pPr>
                            <w:r>
                              <w:rPr>
                                <w:sz w:val="18"/>
                              </w:rPr>
                              <w:fldChar w:fldCharType="begin"/>
                            </w:r>
                            <w:r>
                              <w:rPr>
                                <w:sz w:val="18"/>
                              </w:rPr>
                              <w:instrText xml:space="preserve"> FILENAME  \* MERGEFORMAT </w:instrText>
                            </w:r>
                            <w:r>
                              <w:rPr>
                                <w:sz w:val="18"/>
                              </w:rPr>
                              <w:fldChar w:fldCharType="separate"/>
                            </w:r>
                            <w:r w:rsidR="00F555FC">
                              <w:rPr>
                                <w:noProof/>
                                <w:sz w:val="18"/>
                              </w:rPr>
                              <w:t>DPASP00151P05</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4BE004" id="_x0000_t202" coordsize="21600,21600" o:spt="202" path="m,l,21600r21600,l21600,xe">
                <v:stroke joinstyle="miter"/>
                <v:path gradientshapeok="t" o:connecttype="rect"/>
              </v:shapetype>
              <v:shape id="Text Box 2"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34BA320" w14:textId="797899F3" w:rsidR="00404912" w:rsidRPr="00404912" w:rsidRDefault="00404912">
                      <w:pPr>
                        <w:rPr>
                          <w:sz w:val="18"/>
                        </w:rPr>
                      </w:pPr>
                      <w:r>
                        <w:rPr>
                          <w:sz w:val="18"/>
                        </w:rPr>
                        <w:fldChar w:fldCharType="begin"/>
                      </w:r>
                      <w:r>
                        <w:rPr>
                          <w:sz w:val="18"/>
                        </w:rPr>
                        <w:instrText xml:space="preserve"> FILENAME  \* MERGEFORMAT </w:instrText>
                      </w:r>
                      <w:r>
                        <w:rPr>
                          <w:sz w:val="18"/>
                        </w:rPr>
                        <w:fldChar w:fldCharType="separate"/>
                      </w:r>
                      <w:r w:rsidR="00F555FC">
                        <w:rPr>
                          <w:noProof/>
                          <w:sz w:val="18"/>
                        </w:rPr>
                        <w:t>DPASP00151P05</w:t>
                      </w:r>
                      <w:r>
                        <w:rPr>
                          <w:sz w:val="18"/>
                        </w:rPr>
                        <w:fldChar w:fldCharType="end"/>
                      </w:r>
                    </w:p>
                  </w:txbxContent>
                </v:textbox>
                <w10:wrap anchory="page"/>
                <w10:anchorlock/>
              </v:shape>
            </w:pict>
          </mc:Fallback>
        </mc:AlternateContent>
      </w:r>
    </w:p>
    <w:sectPr w:rsidR="00D75EDB" w:rsidRPr="001142E2" w:rsidSect="00404912">
      <w:headerReference w:type="default" r:id="rId15"/>
      <w:headerReference w:type="first" r:id="rId16"/>
      <w:type w:val="oddPage"/>
      <w:pgSz w:w="12240" w:h="15840" w:code="1"/>
      <w:pgMar w:top="2160" w:right="1570" w:bottom="1296" w:left="1699" w:header="1296" w:footer="720"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F7" w14:textId="77777777" w:rsidR="009E4B63" w:rsidRDefault="009E4B63">
      <w:r>
        <w:separator/>
      </w:r>
    </w:p>
  </w:endnote>
  <w:endnote w:type="continuationSeparator" w:id="0">
    <w:p w14:paraId="7FC447C1" w14:textId="77777777" w:rsidR="009E4B63" w:rsidRDefault="009E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A5E7" w14:textId="77777777" w:rsidR="00DB7A30" w:rsidRDefault="00DB7A30">
    <w:pPr>
      <w:pStyle w:val="Footer"/>
      <w:widowControl/>
      <w:ind w:right="360"/>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AE4" w14:textId="77777777" w:rsidR="00DB7A30" w:rsidRDefault="00DB7A30">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6CC5" w14:textId="77777777" w:rsidR="009E4B63" w:rsidRDefault="009E4B63">
      <w:r>
        <w:separator/>
      </w:r>
    </w:p>
  </w:footnote>
  <w:footnote w:type="continuationSeparator" w:id="0">
    <w:p w14:paraId="2C696ADF" w14:textId="77777777" w:rsidR="009E4B63" w:rsidRDefault="009E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A551" w14:textId="77777777" w:rsidR="00DB7A30" w:rsidRDefault="00DB7A30">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BB8F" w14:textId="77777777" w:rsidR="00DB7A30" w:rsidRDefault="00DB7A30">
    <w:pPr>
      <w:pStyle w:val="Heade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12512"/>
      <w:docPartObj>
        <w:docPartGallery w:val="Page Numbers (Top of Page)"/>
        <w:docPartUnique/>
      </w:docPartObj>
    </w:sdtPr>
    <w:sdtEndPr>
      <w:rPr>
        <w:noProof/>
      </w:rPr>
    </w:sdtEndPr>
    <w:sdtContent>
      <w:p w14:paraId="588B2122" w14:textId="0785EB65" w:rsidR="00404912" w:rsidRDefault="0040491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AFF190" w14:textId="77777777" w:rsidR="00404912" w:rsidRDefault="00404912">
    <w:pPr>
      <w:pStyle w:val="Heade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19E9" w14:textId="77777777" w:rsidR="00404912" w:rsidRDefault="00404912">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E17"/>
    <w:multiLevelType w:val="singleLevel"/>
    <w:tmpl w:val="0E9824CE"/>
    <w:lvl w:ilvl="0">
      <w:start w:val="4"/>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1" w15:restartNumberingAfterBreak="0">
    <w:nsid w:val="13363591"/>
    <w:multiLevelType w:val="singleLevel"/>
    <w:tmpl w:val="872AB57C"/>
    <w:lvl w:ilvl="0">
      <w:start w:val="3"/>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2" w15:restartNumberingAfterBreak="0">
    <w:nsid w:val="1A7B12A2"/>
    <w:multiLevelType w:val="singleLevel"/>
    <w:tmpl w:val="0E9824CE"/>
    <w:lvl w:ilvl="0">
      <w:start w:val="4"/>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3" w15:restartNumberingAfterBreak="0">
    <w:nsid w:val="1D090E94"/>
    <w:multiLevelType w:val="singleLevel"/>
    <w:tmpl w:val="D8C224B6"/>
    <w:lvl w:ilvl="0">
      <w:start w:val="5"/>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4" w15:restartNumberingAfterBreak="0">
    <w:nsid w:val="1EB67202"/>
    <w:multiLevelType w:val="hybridMultilevel"/>
    <w:tmpl w:val="BD90D6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CE7A6C"/>
    <w:multiLevelType w:val="singleLevel"/>
    <w:tmpl w:val="04090017"/>
    <w:lvl w:ilvl="0">
      <w:start w:val="1"/>
      <w:numFmt w:val="lowerLetter"/>
      <w:lvlText w:val="%1)"/>
      <w:lvlJc w:val="left"/>
      <w:pPr>
        <w:ind w:left="1080" w:hanging="360"/>
      </w:pPr>
      <w:rPr>
        <w:rFonts w:hint="default"/>
      </w:rPr>
    </w:lvl>
  </w:abstractNum>
  <w:abstractNum w:abstractNumId="6" w15:restartNumberingAfterBreak="0">
    <w:nsid w:val="31D564CB"/>
    <w:multiLevelType w:val="hybridMultilevel"/>
    <w:tmpl w:val="933614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462449"/>
    <w:multiLevelType w:val="singleLevel"/>
    <w:tmpl w:val="8976036C"/>
    <w:lvl w:ilvl="0">
      <w:start w:val="8"/>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8" w15:restartNumberingAfterBreak="0">
    <w:nsid w:val="4132584A"/>
    <w:multiLevelType w:val="hybridMultilevel"/>
    <w:tmpl w:val="AAC4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7764A"/>
    <w:multiLevelType w:val="singleLevel"/>
    <w:tmpl w:val="69C62EEA"/>
    <w:lvl w:ilvl="0">
      <w:start w:val="2"/>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10" w15:restartNumberingAfterBreak="0">
    <w:nsid w:val="52DC19DA"/>
    <w:multiLevelType w:val="singleLevel"/>
    <w:tmpl w:val="D27EBF88"/>
    <w:lvl w:ilvl="0">
      <w:start w:val="7"/>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11" w15:restartNumberingAfterBreak="0">
    <w:nsid w:val="535358CD"/>
    <w:multiLevelType w:val="hybridMultilevel"/>
    <w:tmpl w:val="CBFA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A285A"/>
    <w:multiLevelType w:val="singleLevel"/>
    <w:tmpl w:val="04090017"/>
    <w:lvl w:ilvl="0">
      <w:start w:val="1"/>
      <w:numFmt w:val="lowerLetter"/>
      <w:lvlText w:val="%1)"/>
      <w:lvlJc w:val="left"/>
      <w:pPr>
        <w:ind w:left="720" w:hanging="360"/>
      </w:pPr>
      <w:rPr>
        <w:rFonts w:hint="default"/>
      </w:rPr>
    </w:lvl>
  </w:abstractNum>
  <w:abstractNum w:abstractNumId="13" w15:restartNumberingAfterBreak="0">
    <w:nsid w:val="616D581E"/>
    <w:multiLevelType w:val="singleLevel"/>
    <w:tmpl w:val="04090017"/>
    <w:lvl w:ilvl="0">
      <w:start w:val="1"/>
      <w:numFmt w:val="lowerLetter"/>
      <w:lvlText w:val="%1)"/>
      <w:lvlJc w:val="left"/>
      <w:pPr>
        <w:ind w:left="720" w:hanging="360"/>
      </w:pPr>
      <w:rPr>
        <w:rFonts w:hint="default"/>
      </w:rPr>
    </w:lvl>
  </w:abstractNum>
  <w:abstractNum w:abstractNumId="14" w15:restartNumberingAfterBreak="0">
    <w:nsid w:val="6C5D7D3B"/>
    <w:multiLevelType w:val="singleLevel"/>
    <w:tmpl w:val="35821BC4"/>
    <w:lvl w:ilvl="0">
      <w:start w:val="6"/>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15" w15:restartNumberingAfterBreak="0">
    <w:nsid w:val="6F376995"/>
    <w:multiLevelType w:val="singleLevel"/>
    <w:tmpl w:val="D8C224B6"/>
    <w:lvl w:ilvl="0">
      <w:start w:val="5"/>
      <w:numFmt w:val="lowerLetter"/>
      <w:lvlText w:val="%1."/>
      <w:legacy w:legacy="1" w:legacySpace="120" w:legacyIndent="360"/>
      <w:lvlJc w:val="left"/>
      <w:pPr>
        <w:ind w:left="1080" w:hanging="360"/>
      </w:pPr>
      <w:rPr>
        <w:rFonts w:ascii="Times New Roman" w:hAnsi="Times New Roman" w:cs="Times New Roman" w:hint="default"/>
      </w:rPr>
    </w:lvl>
  </w:abstractNum>
  <w:abstractNum w:abstractNumId="16" w15:restartNumberingAfterBreak="0">
    <w:nsid w:val="71841CD0"/>
    <w:multiLevelType w:val="singleLevel"/>
    <w:tmpl w:val="35821BC4"/>
    <w:lvl w:ilvl="0">
      <w:start w:val="6"/>
      <w:numFmt w:val="lowerLetter"/>
      <w:lvlText w:val="%1."/>
      <w:legacy w:legacy="1" w:legacySpace="120" w:legacyIndent="360"/>
      <w:lvlJc w:val="left"/>
      <w:pPr>
        <w:ind w:left="1080" w:hanging="360"/>
      </w:pPr>
      <w:rPr>
        <w:rFonts w:ascii="Times New Roman" w:hAnsi="Times New Roman" w:cs="Times New Roman" w:hint="default"/>
      </w:rPr>
    </w:lvl>
  </w:abstractNum>
  <w:num w:numId="1" w16cid:durableId="258223630">
    <w:abstractNumId w:val="5"/>
  </w:num>
  <w:num w:numId="2" w16cid:durableId="1748917863">
    <w:abstractNumId w:val="13"/>
  </w:num>
  <w:num w:numId="3" w16cid:durableId="436289562">
    <w:abstractNumId w:val="1"/>
  </w:num>
  <w:num w:numId="4" w16cid:durableId="726760783">
    <w:abstractNumId w:val="0"/>
  </w:num>
  <w:num w:numId="5" w16cid:durableId="1828128981">
    <w:abstractNumId w:val="3"/>
  </w:num>
  <w:num w:numId="6" w16cid:durableId="1324091170">
    <w:abstractNumId w:val="16"/>
  </w:num>
  <w:num w:numId="7" w16cid:durableId="880173441">
    <w:abstractNumId w:val="10"/>
  </w:num>
  <w:num w:numId="8" w16cid:durableId="84960553">
    <w:abstractNumId w:val="7"/>
  </w:num>
  <w:num w:numId="9" w16cid:durableId="1156872940">
    <w:abstractNumId w:val="12"/>
  </w:num>
  <w:num w:numId="10" w16cid:durableId="894580341">
    <w:abstractNumId w:val="9"/>
  </w:num>
  <w:num w:numId="11" w16cid:durableId="138612921">
    <w:abstractNumId w:val="9"/>
    <w:lvlOverride w:ilvl="0">
      <w:lvl w:ilvl="0">
        <w:start w:val="3"/>
        <w:numFmt w:val="lowerLetter"/>
        <w:lvlText w:val="%1."/>
        <w:legacy w:legacy="1" w:legacySpace="120" w:legacyIndent="360"/>
        <w:lvlJc w:val="left"/>
        <w:pPr>
          <w:ind w:left="1080" w:hanging="360"/>
        </w:pPr>
        <w:rPr>
          <w:rFonts w:ascii="Times New Roman" w:hAnsi="Times New Roman" w:cs="Times New Roman" w:hint="default"/>
        </w:rPr>
      </w:lvl>
    </w:lvlOverride>
  </w:num>
  <w:num w:numId="12" w16cid:durableId="991636857">
    <w:abstractNumId w:val="2"/>
  </w:num>
  <w:num w:numId="13" w16cid:durableId="1291401086">
    <w:abstractNumId w:val="15"/>
  </w:num>
  <w:num w:numId="14" w16cid:durableId="1796829791">
    <w:abstractNumId w:val="14"/>
  </w:num>
  <w:num w:numId="15" w16cid:durableId="894464629">
    <w:abstractNumId w:val="8"/>
  </w:num>
  <w:num w:numId="16" w16cid:durableId="161555056">
    <w:abstractNumId w:val="11"/>
  </w:num>
  <w:num w:numId="17" w16cid:durableId="285819134">
    <w:abstractNumId w:val="4"/>
  </w:num>
  <w:num w:numId="18" w16cid:durableId="1135678604">
    <w:abstractNumId w:val="5"/>
  </w:num>
  <w:num w:numId="19" w16cid:durableId="858005745">
    <w:abstractNumId w:val="13"/>
  </w:num>
  <w:num w:numId="20" w16cid:durableId="941380489">
    <w:abstractNumId w:val="1"/>
    <w:lvlOverride w:ilvl="0">
      <w:startOverride w:val="3"/>
    </w:lvlOverride>
  </w:num>
  <w:num w:numId="21" w16cid:durableId="2082562453">
    <w:abstractNumId w:val="0"/>
    <w:lvlOverride w:ilvl="0">
      <w:startOverride w:val="4"/>
    </w:lvlOverride>
  </w:num>
  <w:num w:numId="22" w16cid:durableId="1364399889">
    <w:abstractNumId w:val="12"/>
  </w:num>
  <w:num w:numId="23" w16cid:durableId="209417729">
    <w:abstractNumId w:val="9"/>
    <w:lvlOverride w:ilvl="0">
      <w:startOverride w:val="2"/>
    </w:lvlOverride>
  </w:num>
  <w:num w:numId="24" w16cid:durableId="272178062">
    <w:abstractNumId w:val="2"/>
    <w:lvlOverride w:ilvl="0">
      <w:startOverride w:val="4"/>
    </w:lvlOverride>
  </w:num>
  <w:num w:numId="25" w16cid:durableId="1788967702">
    <w:abstractNumId w:val="15"/>
    <w:lvlOverride w:ilvl="0">
      <w:startOverride w:val="5"/>
    </w:lvlOverride>
  </w:num>
  <w:num w:numId="26" w16cid:durableId="1175458011">
    <w:abstractNumId w:val="14"/>
    <w:lvlOverride w:ilvl="0">
      <w:startOverride w:val="6"/>
    </w:lvlOverride>
  </w:num>
  <w:num w:numId="27" w16cid:durableId="2057117664">
    <w:abstractNumId w:val="8"/>
  </w:num>
  <w:num w:numId="28" w16cid:durableId="1941984584">
    <w:abstractNumId w:val="6"/>
  </w:num>
  <w:num w:numId="29" w16cid:durableId="83298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UseMarginsForDrawingGridOrigin/>
  <w:drawingGridHorizontalOrigin w:val="1699"/>
  <w:drawingGridVerticalOrigin w:val="216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MDI1MzCwNDQAAiUdpeDU4uLM/DyQAqNaAC9BI6YsAAAA"/>
  </w:docVars>
  <w:rsids>
    <w:rsidRoot w:val="0047688C"/>
    <w:rsid w:val="00010A96"/>
    <w:rsid w:val="0001335F"/>
    <w:rsid w:val="000268D8"/>
    <w:rsid w:val="000308CA"/>
    <w:rsid w:val="000321BF"/>
    <w:rsid w:val="00077F2A"/>
    <w:rsid w:val="000A3B9D"/>
    <w:rsid w:val="000B10F0"/>
    <w:rsid w:val="000F60F2"/>
    <w:rsid w:val="00101D51"/>
    <w:rsid w:val="001053DB"/>
    <w:rsid w:val="001142E2"/>
    <w:rsid w:val="00131256"/>
    <w:rsid w:val="0013638B"/>
    <w:rsid w:val="00141CDC"/>
    <w:rsid w:val="00151756"/>
    <w:rsid w:val="00161C6C"/>
    <w:rsid w:val="00170E2D"/>
    <w:rsid w:val="00177FAF"/>
    <w:rsid w:val="0018259D"/>
    <w:rsid w:val="001B494E"/>
    <w:rsid w:val="001C4336"/>
    <w:rsid w:val="00210B5D"/>
    <w:rsid w:val="00255BFC"/>
    <w:rsid w:val="002716A3"/>
    <w:rsid w:val="0027214B"/>
    <w:rsid w:val="00285BD8"/>
    <w:rsid w:val="00297214"/>
    <w:rsid w:val="002B6D90"/>
    <w:rsid w:val="002E1920"/>
    <w:rsid w:val="002E694B"/>
    <w:rsid w:val="003071DB"/>
    <w:rsid w:val="0032113F"/>
    <w:rsid w:val="00337F07"/>
    <w:rsid w:val="0034183C"/>
    <w:rsid w:val="00381B6C"/>
    <w:rsid w:val="003A3EB2"/>
    <w:rsid w:val="00404912"/>
    <w:rsid w:val="00410111"/>
    <w:rsid w:val="00415528"/>
    <w:rsid w:val="00436111"/>
    <w:rsid w:val="004521EC"/>
    <w:rsid w:val="00472319"/>
    <w:rsid w:val="0047688C"/>
    <w:rsid w:val="004A1B99"/>
    <w:rsid w:val="004B5CE5"/>
    <w:rsid w:val="004C1692"/>
    <w:rsid w:val="004D0E76"/>
    <w:rsid w:val="004D530F"/>
    <w:rsid w:val="004E7489"/>
    <w:rsid w:val="00521F18"/>
    <w:rsid w:val="00523F46"/>
    <w:rsid w:val="005370A9"/>
    <w:rsid w:val="0054451A"/>
    <w:rsid w:val="00545335"/>
    <w:rsid w:val="00567440"/>
    <w:rsid w:val="005706FC"/>
    <w:rsid w:val="00571A4F"/>
    <w:rsid w:val="0057761F"/>
    <w:rsid w:val="005821AA"/>
    <w:rsid w:val="005A178B"/>
    <w:rsid w:val="005A4CC9"/>
    <w:rsid w:val="005B6681"/>
    <w:rsid w:val="005C46ED"/>
    <w:rsid w:val="005C6CC6"/>
    <w:rsid w:val="005D4354"/>
    <w:rsid w:val="005D5112"/>
    <w:rsid w:val="005D5908"/>
    <w:rsid w:val="005E49C7"/>
    <w:rsid w:val="005F7137"/>
    <w:rsid w:val="0061755A"/>
    <w:rsid w:val="00622791"/>
    <w:rsid w:val="00624A97"/>
    <w:rsid w:val="006254F7"/>
    <w:rsid w:val="00627F6D"/>
    <w:rsid w:val="0063669D"/>
    <w:rsid w:val="0063715A"/>
    <w:rsid w:val="00647D58"/>
    <w:rsid w:val="006515F8"/>
    <w:rsid w:val="00654852"/>
    <w:rsid w:val="00655747"/>
    <w:rsid w:val="00675CFC"/>
    <w:rsid w:val="00677A15"/>
    <w:rsid w:val="00681951"/>
    <w:rsid w:val="006934D9"/>
    <w:rsid w:val="006B447F"/>
    <w:rsid w:val="006B74CC"/>
    <w:rsid w:val="006D063E"/>
    <w:rsid w:val="006F2D69"/>
    <w:rsid w:val="00713895"/>
    <w:rsid w:val="007437BF"/>
    <w:rsid w:val="007768FB"/>
    <w:rsid w:val="00784552"/>
    <w:rsid w:val="007928CF"/>
    <w:rsid w:val="007B7FD7"/>
    <w:rsid w:val="007C42CC"/>
    <w:rsid w:val="007C5022"/>
    <w:rsid w:val="007D5A17"/>
    <w:rsid w:val="00826CEE"/>
    <w:rsid w:val="008545B8"/>
    <w:rsid w:val="00854ED3"/>
    <w:rsid w:val="00877089"/>
    <w:rsid w:val="00880074"/>
    <w:rsid w:val="0089279B"/>
    <w:rsid w:val="008A3B23"/>
    <w:rsid w:val="008A625D"/>
    <w:rsid w:val="008B3746"/>
    <w:rsid w:val="008C1E56"/>
    <w:rsid w:val="008C3DE7"/>
    <w:rsid w:val="008C6887"/>
    <w:rsid w:val="008D7371"/>
    <w:rsid w:val="009036B5"/>
    <w:rsid w:val="00903BD2"/>
    <w:rsid w:val="00943C9B"/>
    <w:rsid w:val="00947A08"/>
    <w:rsid w:val="00971078"/>
    <w:rsid w:val="009753D9"/>
    <w:rsid w:val="00982476"/>
    <w:rsid w:val="009B765C"/>
    <w:rsid w:val="009C388F"/>
    <w:rsid w:val="009C437C"/>
    <w:rsid w:val="009D04E5"/>
    <w:rsid w:val="009E4B63"/>
    <w:rsid w:val="00A011AB"/>
    <w:rsid w:val="00A17F65"/>
    <w:rsid w:val="00A20151"/>
    <w:rsid w:val="00A32E9B"/>
    <w:rsid w:val="00A34BDA"/>
    <w:rsid w:val="00A44E30"/>
    <w:rsid w:val="00A46A0A"/>
    <w:rsid w:val="00A62A17"/>
    <w:rsid w:val="00A64FBB"/>
    <w:rsid w:val="00A6555A"/>
    <w:rsid w:val="00A705EB"/>
    <w:rsid w:val="00A711BF"/>
    <w:rsid w:val="00AA5970"/>
    <w:rsid w:val="00AE3C81"/>
    <w:rsid w:val="00B13A9C"/>
    <w:rsid w:val="00B15390"/>
    <w:rsid w:val="00B16BE2"/>
    <w:rsid w:val="00B32CBB"/>
    <w:rsid w:val="00B54165"/>
    <w:rsid w:val="00B7436F"/>
    <w:rsid w:val="00B749A7"/>
    <w:rsid w:val="00B77488"/>
    <w:rsid w:val="00B77C2D"/>
    <w:rsid w:val="00B838D4"/>
    <w:rsid w:val="00BC1983"/>
    <w:rsid w:val="00BD0B3B"/>
    <w:rsid w:val="00BD50CA"/>
    <w:rsid w:val="00BF18B9"/>
    <w:rsid w:val="00BF71A7"/>
    <w:rsid w:val="00C2268B"/>
    <w:rsid w:val="00C238F5"/>
    <w:rsid w:val="00C338FA"/>
    <w:rsid w:val="00C37333"/>
    <w:rsid w:val="00C426DB"/>
    <w:rsid w:val="00C527ED"/>
    <w:rsid w:val="00C53C5C"/>
    <w:rsid w:val="00C62A34"/>
    <w:rsid w:val="00C71786"/>
    <w:rsid w:val="00C7288C"/>
    <w:rsid w:val="00C807BC"/>
    <w:rsid w:val="00C81626"/>
    <w:rsid w:val="00C90507"/>
    <w:rsid w:val="00C9282B"/>
    <w:rsid w:val="00CA18EA"/>
    <w:rsid w:val="00CA18EE"/>
    <w:rsid w:val="00CF1E45"/>
    <w:rsid w:val="00CF3E56"/>
    <w:rsid w:val="00D01174"/>
    <w:rsid w:val="00D36CE0"/>
    <w:rsid w:val="00D75EDB"/>
    <w:rsid w:val="00D80756"/>
    <w:rsid w:val="00DB7A30"/>
    <w:rsid w:val="00DD49E7"/>
    <w:rsid w:val="00DD7D4B"/>
    <w:rsid w:val="00DF1EBD"/>
    <w:rsid w:val="00DF1F27"/>
    <w:rsid w:val="00E41551"/>
    <w:rsid w:val="00E42A3E"/>
    <w:rsid w:val="00E54180"/>
    <w:rsid w:val="00E94267"/>
    <w:rsid w:val="00E950A4"/>
    <w:rsid w:val="00EB72BF"/>
    <w:rsid w:val="00EE387D"/>
    <w:rsid w:val="00F350F7"/>
    <w:rsid w:val="00F420E0"/>
    <w:rsid w:val="00F555FC"/>
    <w:rsid w:val="00F56085"/>
    <w:rsid w:val="00F7377A"/>
    <w:rsid w:val="00F74B4B"/>
    <w:rsid w:val="00F8286D"/>
    <w:rsid w:val="00F91945"/>
    <w:rsid w:val="00F93E65"/>
    <w:rsid w:val="00FB2D0E"/>
    <w:rsid w:val="00FB3647"/>
    <w:rsid w:val="00FC49AA"/>
    <w:rsid w:val="00FC507E"/>
    <w:rsid w:val="00FF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E68504"/>
  <w15:docId w15:val="{C6E483AD-9B13-4582-8851-23C056B1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s-CO"/>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bCs/>
    </w:rPr>
  </w:style>
  <w:style w:type="paragraph" w:styleId="BodyTextIndent">
    <w:name w:val="Body Text Indent"/>
    <w:basedOn w:val="Normal"/>
    <w:link w:val="BodyTextIndentChar"/>
    <w:pPr>
      <w:jc w:val="both"/>
    </w:pPr>
  </w:style>
  <w:style w:type="paragraph" w:styleId="Footer">
    <w:name w:val="footer"/>
    <w:basedOn w:val="Normal"/>
    <w:link w:val="FooterChar"/>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link w:val="BodyText2Char"/>
    <w:rsid w:val="00C7288C"/>
    <w:pPr>
      <w:spacing w:after="120" w:line="480" w:lineRule="auto"/>
    </w:pPr>
  </w:style>
  <w:style w:type="paragraph" w:styleId="ListParagraph">
    <w:name w:val="List Paragraph"/>
    <w:basedOn w:val="Normal"/>
    <w:uiPriority w:val="34"/>
    <w:qFormat/>
    <w:rsid w:val="008A625D"/>
    <w:pPr>
      <w:ind w:left="720"/>
    </w:pPr>
  </w:style>
  <w:style w:type="paragraph" w:customStyle="1" w:styleId="Default">
    <w:name w:val="Default"/>
    <w:rsid w:val="00943C9B"/>
    <w:pPr>
      <w:autoSpaceDE w:val="0"/>
      <w:autoSpaceDN w:val="0"/>
      <w:adjustRightInd w:val="0"/>
    </w:pPr>
    <w:rPr>
      <w:color w:val="000000"/>
      <w:sz w:val="24"/>
      <w:szCs w:val="24"/>
      <w:lang w:val="es-MX" w:eastAsia="es-MX"/>
    </w:rPr>
  </w:style>
  <w:style w:type="character" w:styleId="EndnoteReference">
    <w:name w:val="endnote reference"/>
    <w:rsid w:val="009D04E5"/>
    <w:rPr>
      <w:vertAlign w:val="superscript"/>
    </w:rPr>
  </w:style>
  <w:style w:type="paragraph" w:styleId="Revision">
    <w:name w:val="Revision"/>
    <w:hidden/>
    <w:uiPriority w:val="99"/>
    <w:semiHidden/>
    <w:rsid w:val="006934D9"/>
    <w:rPr>
      <w:sz w:val="24"/>
      <w:szCs w:val="24"/>
      <w:lang w:val="es-CO"/>
    </w:rPr>
  </w:style>
  <w:style w:type="character" w:customStyle="1" w:styleId="HeaderChar">
    <w:name w:val="Header Char"/>
    <w:link w:val="Header"/>
    <w:uiPriority w:val="99"/>
    <w:rsid w:val="005B6681"/>
    <w:rPr>
      <w:sz w:val="24"/>
      <w:szCs w:val="24"/>
      <w:lang w:val="es-CO"/>
    </w:rPr>
  </w:style>
  <w:style w:type="character" w:customStyle="1" w:styleId="Heading1Char">
    <w:name w:val="Heading 1 Char"/>
    <w:basedOn w:val="DefaultParagraphFont"/>
    <w:link w:val="Heading1"/>
    <w:rsid w:val="00521F18"/>
    <w:rPr>
      <w:b/>
      <w:bCs/>
      <w:sz w:val="24"/>
      <w:szCs w:val="24"/>
      <w:lang w:val="es-CO"/>
    </w:rPr>
  </w:style>
  <w:style w:type="character" w:customStyle="1" w:styleId="BodyTextChar">
    <w:name w:val="Body Text Char"/>
    <w:basedOn w:val="DefaultParagraphFont"/>
    <w:link w:val="BodyText"/>
    <w:rsid w:val="00521F18"/>
    <w:rPr>
      <w:b/>
      <w:bCs/>
      <w:sz w:val="24"/>
      <w:szCs w:val="24"/>
      <w:lang w:val="es-CO"/>
    </w:rPr>
  </w:style>
  <w:style w:type="character" w:customStyle="1" w:styleId="BodyTextIndentChar">
    <w:name w:val="Body Text Indent Char"/>
    <w:basedOn w:val="DefaultParagraphFont"/>
    <w:link w:val="BodyTextIndent"/>
    <w:rsid w:val="00521F18"/>
    <w:rPr>
      <w:sz w:val="24"/>
      <w:szCs w:val="24"/>
      <w:lang w:val="es-CO"/>
    </w:rPr>
  </w:style>
  <w:style w:type="character" w:customStyle="1" w:styleId="FooterChar">
    <w:name w:val="Footer Char"/>
    <w:basedOn w:val="DefaultParagraphFont"/>
    <w:link w:val="Footer"/>
    <w:rsid w:val="00521F18"/>
    <w:rPr>
      <w:sz w:val="24"/>
      <w:szCs w:val="24"/>
      <w:lang w:val="es-CO"/>
    </w:rPr>
  </w:style>
  <w:style w:type="character" w:customStyle="1" w:styleId="BodyText2Char">
    <w:name w:val="Body Text 2 Char"/>
    <w:basedOn w:val="DefaultParagraphFont"/>
    <w:link w:val="BodyText2"/>
    <w:rsid w:val="00521F18"/>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Props1.xml><?xml version="1.0" encoding="utf-8"?>
<ds:datastoreItem xmlns:ds="http://schemas.openxmlformats.org/officeDocument/2006/customXml" ds:itemID="{F4982E35-C448-49AC-8093-FB3101F93B9A}">
  <ds:schemaRefs>
    <ds:schemaRef ds:uri="http://schemas.openxmlformats.org/officeDocument/2006/bibliography"/>
  </ds:schemaRefs>
</ds:datastoreItem>
</file>

<file path=customXml/itemProps2.xml><?xml version="1.0" encoding="utf-8"?>
<ds:datastoreItem xmlns:ds="http://schemas.openxmlformats.org/officeDocument/2006/customXml" ds:itemID="{FBC908D9-92FF-4149-BF6F-03772C4DBDA2}">
  <ds:schemaRefs>
    <ds:schemaRef ds:uri="http://schemas.microsoft.com/sharepoint/v3/contenttype/forms"/>
  </ds:schemaRefs>
</ds:datastoreItem>
</file>

<file path=customXml/itemProps3.xml><?xml version="1.0" encoding="utf-8"?>
<ds:datastoreItem xmlns:ds="http://schemas.openxmlformats.org/officeDocument/2006/customXml" ds:itemID="{E559AA1B-4168-44CD-A733-A4EF16705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42CE0-7A60-4064-863C-E51BF83DEB5D}">
  <ds:schemaRefs>
    <ds:schemaRef ds:uri="http://schemas.microsoft.com/office/2006/metadata/properties"/>
    <ds:schemaRef ds:uri="http://schemas.microsoft.com/office/infopath/2007/PartnerControls"/>
    <ds:schemaRef ds:uri="8b0d1605-260b-47fd-804b-8c27edd2405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2384</Words>
  <Characters>13633</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REGLAMENTO INTERNO DE LA CONFERENCIA DE ESTADOS PARTES ESTABLECIDA EN EL MARCO DE LA CONVENCIÓN INTERAMERICANA CONTRA LA FABRI</vt:lpstr>
      <vt:lpstr>REGLAMENTO INTERNO DE LA CONFERENCIA DE ESTADOS PARTES ESTABLECIDA EN EL MARCO DE LA CONVENCIÓN INTERAMERICANA CONTRA LA FABRI</vt:lpstr>
    </vt:vector>
  </TitlesOfParts>
  <Company>OAS</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LA CONFERENCIA DE ESTADOS PARTES ESTABLECIDA EN EL MARCO DE LA CONVENCIÓN INTERAMERICANA CONTRA LA FABRI</dc:title>
  <dc:creator>Secretaría Técnica Cooperación Jurídica, OEA</dc:creator>
  <cp:lastModifiedBy>Lobaton, Ursula</cp:lastModifiedBy>
  <cp:revision>6</cp:revision>
  <cp:lastPrinted>2004-03-08T16:14:00Z</cp:lastPrinted>
  <dcterms:created xsi:type="dcterms:W3CDTF">2022-04-21T13:24:00Z</dcterms:created>
  <dcterms:modified xsi:type="dcterms:W3CDTF">2022-04-22T21:04:00Z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