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244D" w14:textId="77777777" w:rsidR="008F215E" w:rsidRPr="005972C4" w:rsidRDefault="008F215E" w:rsidP="008F215E">
      <w:pPr>
        <w:tabs>
          <w:tab w:val="left" w:pos="6840"/>
        </w:tabs>
        <w:suppressAutoHyphens/>
        <w:ind w:right="-29"/>
        <w:rPr>
          <w:bCs/>
          <w:caps/>
          <w:lang w:val="en-US"/>
        </w:rPr>
      </w:pPr>
      <w:r w:rsidRPr="00950A20">
        <w:rPr>
          <w:bCs/>
          <w:caps/>
          <w:lang w:val="en-US"/>
        </w:rPr>
        <w:t xml:space="preserve">INTER-AMERICAN CONVENTION ON </w:t>
      </w:r>
      <w:r w:rsidRPr="00950A20">
        <w:rPr>
          <w:bCs/>
          <w:caps/>
          <w:lang w:val="en-US"/>
        </w:rPr>
        <w:tab/>
      </w:r>
      <w:r w:rsidRPr="005972C4">
        <w:rPr>
          <w:noProof/>
          <w:lang w:val="en-US"/>
        </w:rPr>
        <w:t>OEA/Ser.K/XLIV.2</w:t>
      </w:r>
    </w:p>
    <w:p w14:paraId="3829642E" w14:textId="2D9C153E" w:rsidR="008F215E" w:rsidRPr="005972C4" w:rsidRDefault="008F215E" w:rsidP="7FCBD06D">
      <w:pPr>
        <w:tabs>
          <w:tab w:val="left" w:pos="6840"/>
        </w:tabs>
        <w:suppressAutoHyphens/>
        <w:ind w:right="-209"/>
        <w:rPr>
          <w:caps/>
          <w:lang w:val="en-US"/>
        </w:rPr>
      </w:pPr>
      <w:r w:rsidRPr="7FCBD06D">
        <w:rPr>
          <w:caps/>
          <w:lang w:val="en-US"/>
        </w:rPr>
        <w:t>TRANSPARENCY IN CONVENTIONAL</w:t>
      </w:r>
      <w:r w:rsidRPr="00992CB4">
        <w:rPr>
          <w:lang w:val="en-US"/>
        </w:rPr>
        <w:tab/>
      </w:r>
      <w:r w:rsidRPr="7FCBD06D">
        <w:rPr>
          <w:noProof/>
          <w:lang w:val="en-US"/>
        </w:rPr>
        <w:t>CITAAC/CEP-II/</w:t>
      </w:r>
      <w:r w:rsidR="005972C4" w:rsidRPr="7FCBD06D">
        <w:rPr>
          <w:noProof/>
          <w:lang w:val="en-US"/>
        </w:rPr>
        <w:t>doc.8</w:t>
      </w:r>
      <w:r w:rsidRPr="7FCBD06D">
        <w:rPr>
          <w:noProof/>
          <w:lang w:val="en-US"/>
        </w:rPr>
        <w:t>/22 rev.</w:t>
      </w:r>
      <w:r w:rsidR="00B806CF">
        <w:rPr>
          <w:noProof/>
          <w:lang w:val="en-US"/>
        </w:rPr>
        <w:t>2</w:t>
      </w:r>
    </w:p>
    <w:p w14:paraId="6578BB87" w14:textId="6E71F626" w:rsidR="00992CB4" w:rsidRDefault="008F215E" w:rsidP="00992CB4">
      <w:pPr>
        <w:tabs>
          <w:tab w:val="left" w:pos="6545"/>
        </w:tabs>
        <w:rPr>
          <w:bCs/>
          <w:caps/>
          <w:lang w:val="en-US"/>
        </w:rPr>
      </w:pPr>
      <w:r w:rsidRPr="005972C4">
        <w:rPr>
          <w:bCs/>
          <w:caps/>
          <w:lang w:val="en-US"/>
        </w:rPr>
        <w:t>WEAPONS ACQUISITIONS (CITAAC)</w:t>
      </w:r>
      <w:r w:rsidRPr="005972C4">
        <w:rPr>
          <w:bCs/>
          <w:caps/>
          <w:lang w:val="en-US"/>
        </w:rPr>
        <w:tab/>
      </w:r>
      <w:r w:rsidR="00992CB4">
        <w:rPr>
          <w:bCs/>
          <w:caps/>
          <w:lang w:val="en-US"/>
        </w:rPr>
        <w:t xml:space="preserve">     </w:t>
      </w:r>
      <w:r w:rsidR="00B806CF">
        <w:rPr>
          <w:bCs/>
          <w:caps/>
          <w:lang w:val="en-US"/>
        </w:rPr>
        <w:t>1</w:t>
      </w:r>
      <w:r w:rsidR="00B806CF">
        <w:rPr>
          <w:bCs/>
          <w:caps/>
          <w:lang w:val="en-US"/>
        </w:rPr>
        <w:t>9</w:t>
      </w:r>
      <w:r w:rsidR="00B806CF" w:rsidRPr="005972C4">
        <w:rPr>
          <w:bCs/>
          <w:caps/>
          <w:lang w:val="en-US"/>
        </w:rPr>
        <w:t xml:space="preserve"> </w:t>
      </w:r>
      <w:r w:rsidR="00904842">
        <w:rPr>
          <w:lang w:val="en-US"/>
        </w:rPr>
        <w:t>April</w:t>
      </w:r>
      <w:r w:rsidRPr="005972C4">
        <w:rPr>
          <w:bCs/>
          <w:caps/>
          <w:lang w:val="en-US"/>
        </w:rPr>
        <w:t xml:space="preserve"> 2022</w:t>
      </w:r>
    </w:p>
    <w:p w14:paraId="51BDC073" w14:textId="043AF940" w:rsidR="00992CB4" w:rsidRPr="00950A20" w:rsidRDefault="00992CB4" w:rsidP="00992CB4">
      <w:pPr>
        <w:tabs>
          <w:tab w:val="left" w:pos="6545"/>
        </w:tabs>
        <w:rPr>
          <w:u w:val="single"/>
          <w:lang w:val="en-US"/>
        </w:rPr>
      </w:pPr>
      <w:r w:rsidRPr="00950A20">
        <w:rPr>
          <w:u w:val="single"/>
          <w:lang w:val="en-US"/>
        </w:rPr>
        <w:t>Second</w:t>
      </w:r>
      <w:r>
        <w:rPr>
          <w:u w:val="single"/>
          <w:lang w:val="en-US"/>
        </w:rPr>
        <w:t xml:space="preserve"> Conference of</w:t>
      </w:r>
      <w:r w:rsidRPr="00950A20">
        <w:rPr>
          <w:u w:val="single"/>
          <w:lang w:val="en-US"/>
        </w:rPr>
        <w:t xml:space="preserve"> the States Parties</w:t>
      </w:r>
      <w:r w:rsidRPr="00904842">
        <w:rPr>
          <w:lang w:val="en-US"/>
        </w:rPr>
        <w:t xml:space="preserve"> </w:t>
      </w:r>
      <w:r>
        <w:rPr>
          <w:lang w:val="en-US"/>
        </w:rPr>
        <w:tab/>
        <w:t xml:space="preserve">     </w:t>
      </w:r>
      <w:r w:rsidRPr="00950A20">
        <w:rPr>
          <w:lang w:val="en-US"/>
        </w:rPr>
        <w:t>Original: English</w:t>
      </w:r>
    </w:p>
    <w:p w14:paraId="778CED37" w14:textId="77777777" w:rsidR="00992CB4" w:rsidRPr="00950A20" w:rsidRDefault="00992CB4" w:rsidP="00992CB4">
      <w:pPr>
        <w:tabs>
          <w:tab w:val="left" w:pos="6545"/>
        </w:tabs>
        <w:rPr>
          <w:lang w:val="en-US"/>
        </w:rPr>
      </w:pPr>
      <w:r w:rsidRPr="00950A20">
        <w:rPr>
          <w:lang w:val="en-US"/>
        </w:rPr>
        <w:t>April 19</w:t>
      </w:r>
      <w:r w:rsidRPr="00950A20">
        <w:rPr>
          <w:vertAlign w:val="superscript"/>
          <w:lang w:val="en-US"/>
        </w:rPr>
        <w:t>th</w:t>
      </w:r>
      <w:r w:rsidRPr="00950A20">
        <w:rPr>
          <w:lang w:val="en-US"/>
        </w:rPr>
        <w:t>, 2022</w:t>
      </w:r>
    </w:p>
    <w:p w14:paraId="74755754" w14:textId="77777777" w:rsidR="00992CB4" w:rsidRPr="00950A20" w:rsidRDefault="00992CB4" w:rsidP="00992CB4">
      <w:pPr>
        <w:pStyle w:val="BodyText"/>
        <w:spacing w:before="6"/>
        <w:rPr>
          <w:lang w:val="en-US"/>
        </w:rPr>
      </w:pPr>
      <w:r w:rsidRPr="00950A20">
        <w:rPr>
          <w:lang w:val="en-US"/>
        </w:rPr>
        <w:t>Virtual Format</w:t>
      </w:r>
    </w:p>
    <w:p w14:paraId="610EF2F6" w14:textId="77777777" w:rsidR="008F215E" w:rsidRPr="00950A20" w:rsidRDefault="008F215E" w:rsidP="00616A6A">
      <w:pPr>
        <w:pStyle w:val="BodyText"/>
        <w:ind w:left="2814" w:right="2814"/>
        <w:jc w:val="center"/>
        <w:rPr>
          <w:lang w:val="en-US"/>
        </w:rPr>
      </w:pPr>
    </w:p>
    <w:p w14:paraId="158BA182" w14:textId="77777777" w:rsidR="008F215E" w:rsidRPr="00950A20" w:rsidRDefault="008F215E" w:rsidP="00616A6A">
      <w:pPr>
        <w:pStyle w:val="BodyText"/>
        <w:ind w:left="2814" w:right="2814"/>
        <w:jc w:val="center"/>
        <w:rPr>
          <w:lang w:val="en-US"/>
        </w:rPr>
      </w:pPr>
    </w:p>
    <w:p w14:paraId="19E5E66D" w14:textId="457E4501" w:rsidR="00616A6A" w:rsidRPr="00950A20" w:rsidRDefault="008F215E" w:rsidP="005972C4">
      <w:pPr>
        <w:pStyle w:val="BodyText"/>
        <w:ind w:right="10"/>
        <w:jc w:val="center"/>
        <w:rPr>
          <w:lang w:val="en-US"/>
        </w:rPr>
      </w:pPr>
      <w:r w:rsidRPr="00950A20">
        <w:rPr>
          <w:lang w:val="en-US"/>
        </w:rPr>
        <w:t>RECOMMENDATIONS</w:t>
      </w:r>
      <w:r w:rsidR="00D727C6">
        <w:rPr>
          <w:lang w:val="en-US"/>
        </w:rPr>
        <w:t xml:space="preserve"> OF THE</w:t>
      </w:r>
      <w:r w:rsidR="005D6AD9">
        <w:rPr>
          <w:lang w:val="en-US"/>
        </w:rPr>
        <w:t xml:space="preserve"> </w:t>
      </w:r>
      <w:r w:rsidRPr="00950A20">
        <w:rPr>
          <w:lang w:val="en-US"/>
        </w:rPr>
        <w:t>SECOND CONFERENCE OF STATES PARTIES TO CITAAC</w:t>
      </w:r>
    </w:p>
    <w:p w14:paraId="6DE589B6" w14:textId="2D70AB06" w:rsidR="00616A6A" w:rsidRPr="00950A20" w:rsidRDefault="006970F0" w:rsidP="00B806CF">
      <w:pPr>
        <w:tabs>
          <w:tab w:val="left" w:pos="5456"/>
        </w:tabs>
        <w:jc w:val="center"/>
        <w:rPr>
          <w:lang w:val="en-US"/>
        </w:rPr>
      </w:pPr>
      <w:r w:rsidRPr="006970F0">
        <w:rPr>
          <w:spacing w:val="-2"/>
          <w:lang w:val="en-US"/>
        </w:rPr>
        <w:t>(</w:t>
      </w:r>
      <w:r w:rsidR="00B806CF">
        <w:rPr>
          <w:spacing w:val="-2"/>
          <w:lang w:val="en-US"/>
        </w:rPr>
        <w:t>A</w:t>
      </w:r>
      <w:r w:rsidR="00533DFB">
        <w:rPr>
          <w:spacing w:val="-2"/>
          <w:lang w:val="en-US"/>
        </w:rPr>
        <w:t xml:space="preserve">dopted on </w:t>
      </w:r>
      <w:r w:rsidR="00550C09">
        <w:rPr>
          <w:spacing w:val="-2"/>
          <w:lang w:val="en-US"/>
        </w:rPr>
        <w:t>April 19, 2022</w:t>
      </w:r>
      <w:r w:rsidRPr="006970F0">
        <w:rPr>
          <w:spacing w:val="-2"/>
          <w:lang w:val="en-US"/>
        </w:rPr>
        <w:t>)</w:t>
      </w:r>
    </w:p>
    <w:p w14:paraId="19E0F54B" w14:textId="77777777" w:rsidR="00616A6A" w:rsidRPr="00950A20" w:rsidRDefault="00616A6A" w:rsidP="00616A6A">
      <w:pPr>
        <w:pStyle w:val="BodyText"/>
        <w:rPr>
          <w:lang w:val="en-US"/>
        </w:rPr>
      </w:pPr>
    </w:p>
    <w:p w14:paraId="662F008E" w14:textId="77777777" w:rsidR="00616A6A" w:rsidRPr="00950A20" w:rsidRDefault="00616A6A" w:rsidP="00616A6A">
      <w:pPr>
        <w:pStyle w:val="BodyText"/>
        <w:spacing w:before="10"/>
        <w:rPr>
          <w:lang w:val="en-US"/>
        </w:rPr>
      </w:pPr>
    </w:p>
    <w:p w14:paraId="4778A39A" w14:textId="74C75B78" w:rsidR="008F215E" w:rsidRPr="00950A20" w:rsidRDefault="008F215E" w:rsidP="008F215E">
      <w:pPr>
        <w:ind w:left="118" w:right="116" w:firstLine="707"/>
        <w:jc w:val="both"/>
        <w:rPr>
          <w:lang w:val="en-US"/>
        </w:rPr>
      </w:pPr>
      <w:r w:rsidRPr="00950A20">
        <w:rPr>
          <w:lang w:val="en-US"/>
        </w:rPr>
        <w:t xml:space="preserve">The States Parties to the Inter-American Convention </w:t>
      </w:r>
      <w:r w:rsidR="00B8189C" w:rsidRPr="00950A20">
        <w:rPr>
          <w:lang w:val="en-US"/>
        </w:rPr>
        <w:t>on Transparency in Conventional Weapons Acquisitions (CITAAC)</w:t>
      </w:r>
      <w:r w:rsidRPr="00950A20">
        <w:rPr>
          <w:lang w:val="en-US"/>
        </w:rPr>
        <w:t xml:space="preserve"> gathered in virtual format on </w:t>
      </w:r>
      <w:r w:rsidR="00B8189C" w:rsidRPr="00950A20">
        <w:rPr>
          <w:lang w:val="en-US"/>
        </w:rPr>
        <w:t>April 19</w:t>
      </w:r>
      <w:r w:rsidR="00B8189C" w:rsidRPr="00950A20">
        <w:rPr>
          <w:vertAlign w:val="superscript"/>
          <w:lang w:val="en-US"/>
        </w:rPr>
        <w:t>th</w:t>
      </w:r>
      <w:r w:rsidR="00B8189C" w:rsidRPr="00950A20">
        <w:rPr>
          <w:lang w:val="en-US"/>
        </w:rPr>
        <w:t>, 2022</w:t>
      </w:r>
      <w:r w:rsidRPr="00950A20">
        <w:rPr>
          <w:lang w:val="en-US"/>
        </w:rPr>
        <w:t xml:space="preserve">, at the </w:t>
      </w:r>
      <w:r w:rsidR="00B8189C" w:rsidRPr="00950A20">
        <w:rPr>
          <w:lang w:val="en-US"/>
        </w:rPr>
        <w:t>Second</w:t>
      </w:r>
      <w:r w:rsidRPr="00950A20">
        <w:rPr>
          <w:lang w:val="en-US"/>
        </w:rPr>
        <w:t xml:space="preserve"> Conference of States Parties </w:t>
      </w:r>
      <w:r w:rsidR="00F762CC">
        <w:rPr>
          <w:lang w:val="en-US"/>
        </w:rPr>
        <w:t>to</w:t>
      </w:r>
      <w:r w:rsidR="00F762CC" w:rsidRPr="00950A20">
        <w:rPr>
          <w:lang w:val="en-US"/>
        </w:rPr>
        <w:t xml:space="preserve"> </w:t>
      </w:r>
      <w:r w:rsidRPr="00950A20">
        <w:rPr>
          <w:lang w:val="en-US"/>
        </w:rPr>
        <w:t>the Convention;</w:t>
      </w:r>
    </w:p>
    <w:p w14:paraId="7A2937E3" w14:textId="77777777" w:rsidR="008F215E" w:rsidRPr="00950A20" w:rsidRDefault="008F215E" w:rsidP="008F215E">
      <w:pPr>
        <w:ind w:left="118" w:right="116" w:firstLine="707"/>
        <w:jc w:val="both"/>
        <w:rPr>
          <w:lang w:val="en-US"/>
        </w:rPr>
      </w:pPr>
    </w:p>
    <w:p w14:paraId="2FADE91A" w14:textId="088E0AC2" w:rsidR="00B8189C" w:rsidRPr="00950A20" w:rsidRDefault="008F215E" w:rsidP="00B8189C">
      <w:pPr>
        <w:ind w:left="118" w:right="116" w:firstLine="707"/>
        <w:jc w:val="both"/>
        <w:rPr>
          <w:lang w:val="en-US"/>
        </w:rPr>
      </w:pPr>
      <w:r w:rsidRPr="00950A20">
        <w:rPr>
          <w:lang w:val="en-US"/>
        </w:rPr>
        <w:t>EMPHASIZING the</w:t>
      </w:r>
      <w:r w:rsidR="00B8189C" w:rsidRPr="00950A20">
        <w:rPr>
          <w:lang w:val="en-US"/>
        </w:rPr>
        <w:t xml:space="preserve"> relevance</w:t>
      </w:r>
      <w:r w:rsidRPr="00950A20">
        <w:rPr>
          <w:lang w:val="en-US"/>
        </w:rPr>
        <w:t xml:space="preserve"> of the CI</w:t>
      </w:r>
      <w:r w:rsidR="00B8189C" w:rsidRPr="00950A20">
        <w:rPr>
          <w:lang w:val="en-US"/>
        </w:rPr>
        <w:t xml:space="preserve">TAAC to contribute to the openness and transparency in the Americas, and the fulfillment of one of the </w:t>
      </w:r>
      <w:r w:rsidR="00B8189C" w:rsidRPr="00950A20">
        <w:rPr>
          <w:noProof/>
          <w:lang w:val="en-US"/>
        </w:rPr>
        <w:t>essential purposes of the Organization of American States set forth in its Charter is to achieve an effective limitation of conventional weapons that will make it possible to devote the largest amount of resources to the economic and social development of the member states</w:t>
      </w:r>
      <w:r w:rsidR="00B8189C" w:rsidRPr="00950A20">
        <w:rPr>
          <w:lang w:val="en-US"/>
        </w:rPr>
        <w:t>;</w:t>
      </w:r>
    </w:p>
    <w:p w14:paraId="3DD45A2B" w14:textId="77777777" w:rsidR="00B8189C" w:rsidRPr="00950A20" w:rsidRDefault="00B8189C" w:rsidP="00B8189C">
      <w:pPr>
        <w:widowControl/>
        <w:rPr>
          <w:lang w:val="en-US" w:bidi="en-US"/>
        </w:rPr>
      </w:pPr>
    </w:p>
    <w:p w14:paraId="052B860B" w14:textId="77777777" w:rsidR="00B8189C" w:rsidRPr="00950A20" w:rsidRDefault="00B8189C" w:rsidP="00B8189C">
      <w:pPr>
        <w:widowControl/>
        <w:ind w:firstLine="720"/>
        <w:jc w:val="both"/>
        <w:rPr>
          <w:noProof/>
          <w:lang w:val="en-US"/>
        </w:rPr>
      </w:pPr>
      <w:r w:rsidRPr="00950A20">
        <w:rPr>
          <w:lang w:val="en-US"/>
        </w:rPr>
        <w:t xml:space="preserve">BEARING IN MIND the CITAAC </w:t>
      </w:r>
      <w:r w:rsidRPr="00950A20">
        <w:rPr>
          <w:noProof/>
          <w:lang w:val="en-US"/>
        </w:rPr>
        <w:t>recognizes that, in accordance with the Charter of the Organization of American States and the Charter of the United Nations, member states have the inherent right to individual and collective self-defense;</w:t>
      </w:r>
    </w:p>
    <w:p w14:paraId="3DE464C4" w14:textId="77777777" w:rsidR="00B8189C" w:rsidRPr="00950A20" w:rsidRDefault="00B8189C" w:rsidP="00B8189C">
      <w:pPr>
        <w:widowControl/>
        <w:ind w:firstLine="720"/>
        <w:rPr>
          <w:noProof/>
          <w:lang w:val="en-US"/>
        </w:rPr>
      </w:pPr>
    </w:p>
    <w:p w14:paraId="4E174EF6" w14:textId="24CB1B0A" w:rsidR="00B8189C" w:rsidRPr="00950A20" w:rsidRDefault="00B8189C" w:rsidP="00B8189C">
      <w:pPr>
        <w:widowControl/>
        <w:ind w:firstLine="720"/>
        <w:rPr>
          <w:lang w:val="en-US"/>
        </w:rPr>
      </w:pPr>
      <w:r w:rsidRPr="00950A20">
        <w:rPr>
          <w:lang w:val="en-US"/>
        </w:rPr>
        <w:t>REAFFIRMING the importance of transparency in conventional weapons acquisitions and transfers as confidence and security-building measures to contribute to the reduction of tensions and the strengthening of regional and international peace and security;</w:t>
      </w:r>
    </w:p>
    <w:p w14:paraId="12CC0BF7" w14:textId="77777777" w:rsidR="00B8189C" w:rsidRPr="00950A20" w:rsidRDefault="00B8189C" w:rsidP="00B8189C">
      <w:pPr>
        <w:widowControl/>
        <w:ind w:firstLine="720"/>
        <w:rPr>
          <w:lang w:val="en-US"/>
        </w:rPr>
      </w:pPr>
    </w:p>
    <w:p w14:paraId="169407A7" w14:textId="45E5B4B3" w:rsidR="00B8189C" w:rsidRDefault="00B8189C" w:rsidP="00AD7606">
      <w:pPr>
        <w:widowControl/>
        <w:ind w:firstLine="720"/>
        <w:jc w:val="both"/>
        <w:rPr>
          <w:lang w:val="en-US"/>
        </w:rPr>
      </w:pPr>
      <w:r w:rsidRPr="00950A20">
        <w:rPr>
          <w:lang w:val="en-US"/>
        </w:rPr>
        <w:t>RECOGNIZING the importance of continuing to develop cooperation and technical assistance to facilitate full implementation of the CITAAC</w:t>
      </w:r>
      <w:r w:rsidR="00F762CC">
        <w:rPr>
          <w:lang w:val="en-US"/>
        </w:rPr>
        <w:t>, and the need to address challenges posed by reporting requirements</w:t>
      </w:r>
      <w:r w:rsidRPr="00950A20">
        <w:rPr>
          <w:lang w:val="en-US"/>
        </w:rPr>
        <w:t>;</w:t>
      </w:r>
    </w:p>
    <w:p w14:paraId="17882FC1" w14:textId="5E9CCEB0" w:rsidR="006D5B76" w:rsidRDefault="006D5B76" w:rsidP="00AD7606">
      <w:pPr>
        <w:widowControl/>
        <w:ind w:firstLine="720"/>
        <w:jc w:val="both"/>
        <w:rPr>
          <w:lang w:val="en-US"/>
        </w:rPr>
      </w:pPr>
    </w:p>
    <w:p w14:paraId="40B20C08" w14:textId="780AC7F0" w:rsidR="006D5B76" w:rsidRPr="00950A20" w:rsidRDefault="006D5B76" w:rsidP="00AD7606">
      <w:pPr>
        <w:widowControl/>
        <w:ind w:firstLine="720"/>
        <w:jc w:val="both"/>
        <w:rPr>
          <w:lang w:val="en-US"/>
        </w:rPr>
      </w:pPr>
      <w:r>
        <w:rPr>
          <w:lang w:val="en-US"/>
        </w:rPr>
        <w:t xml:space="preserve">CONSIDERING </w:t>
      </w:r>
      <w:r w:rsidRPr="00BC2D77">
        <w:rPr>
          <w:lang w:val="en-US"/>
        </w:rPr>
        <w:t xml:space="preserve">the </w:t>
      </w:r>
      <w:r>
        <w:rPr>
          <w:lang w:val="en-US"/>
        </w:rPr>
        <w:t xml:space="preserve">Conference’s </w:t>
      </w:r>
      <w:r w:rsidRPr="00BC2D77">
        <w:rPr>
          <w:lang w:val="en-US"/>
        </w:rPr>
        <w:t>approval of the Rules of Procedure of the Conference of State Parties and the Rules of Procedure of the Consultative Committee, and the mandate of paragraph 80 of the AG/RES. 2970 (LI-O/21)</w:t>
      </w:r>
      <w:r w:rsidR="00A02B56">
        <w:rPr>
          <w:lang w:val="en-US"/>
        </w:rPr>
        <w:t>;</w:t>
      </w:r>
    </w:p>
    <w:p w14:paraId="5973256F" w14:textId="77777777" w:rsidR="008F215E" w:rsidRPr="00950A20" w:rsidRDefault="008F215E" w:rsidP="00B8189C">
      <w:pPr>
        <w:ind w:right="116"/>
        <w:jc w:val="both"/>
        <w:rPr>
          <w:lang w:val="en-US"/>
        </w:rPr>
      </w:pPr>
    </w:p>
    <w:p w14:paraId="316FFCF9" w14:textId="1851FE70" w:rsidR="008F215E" w:rsidRPr="00950A20" w:rsidRDefault="008F215E" w:rsidP="006A11F9">
      <w:pPr>
        <w:ind w:right="116" w:firstLine="707"/>
        <w:jc w:val="both"/>
        <w:rPr>
          <w:lang w:val="en-US"/>
        </w:rPr>
      </w:pPr>
      <w:r w:rsidRPr="00950A20">
        <w:rPr>
          <w:lang w:val="en-US"/>
        </w:rPr>
        <w:t>NOTING the</w:t>
      </w:r>
      <w:r w:rsidR="00AD7606" w:rsidRPr="00950A20">
        <w:rPr>
          <w:lang w:val="en-US"/>
        </w:rPr>
        <w:t xml:space="preserve"> need to strengthen </w:t>
      </w:r>
      <w:r w:rsidRPr="00950A20">
        <w:rPr>
          <w:lang w:val="en-US"/>
        </w:rPr>
        <w:t xml:space="preserve">efforts to promote synergies with the United Nations </w:t>
      </w:r>
      <w:r w:rsidR="00AD7606" w:rsidRPr="00950A20">
        <w:rPr>
          <w:lang w:val="en-US"/>
        </w:rPr>
        <w:t>Register of Conventional Arms (UNROCA) and the Arms Trade Treaty</w:t>
      </w:r>
      <w:r w:rsidRPr="00950A20">
        <w:rPr>
          <w:lang w:val="en-US"/>
        </w:rPr>
        <w:t xml:space="preserve"> (ATT); </w:t>
      </w:r>
    </w:p>
    <w:p w14:paraId="6829C834" w14:textId="77777777" w:rsidR="008F215E" w:rsidRPr="00950A20" w:rsidRDefault="008F215E" w:rsidP="008F215E">
      <w:pPr>
        <w:ind w:right="116"/>
        <w:jc w:val="both"/>
        <w:rPr>
          <w:lang w:val="en-US"/>
        </w:rPr>
      </w:pPr>
    </w:p>
    <w:p w14:paraId="25F256EC" w14:textId="77777777" w:rsidR="008F215E" w:rsidRPr="00950A20" w:rsidRDefault="008F215E" w:rsidP="008F215E">
      <w:pPr>
        <w:ind w:right="116"/>
        <w:jc w:val="both"/>
        <w:rPr>
          <w:lang w:val="en-US"/>
        </w:rPr>
      </w:pPr>
      <w:r w:rsidRPr="00950A20">
        <w:rPr>
          <w:lang w:val="en-US"/>
        </w:rPr>
        <w:t>RECOMMEND:</w:t>
      </w:r>
    </w:p>
    <w:p w14:paraId="1317FC6A" w14:textId="77777777" w:rsidR="00616A6A" w:rsidRPr="00950A20" w:rsidRDefault="00616A6A" w:rsidP="00616A6A">
      <w:pPr>
        <w:pStyle w:val="BodyText"/>
      </w:pPr>
    </w:p>
    <w:p w14:paraId="5E772D05" w14:textId="78AFF012" w:rsidR="00972CB5" w:rsidRPr="00950A20" w:rsidRDefault="00972CB5" w:rsidP="006A11F9">
      <w:pPr>
        <w:widowControl/>
        <w:numPr>
          <w:ilvl w:val="0"/>
          <w:numId w:val="2"/>
        </w:numPr>
        <w:tabs>
          <w:tab w:val="left" w:pos="1535"/>
        </w:tabs>
        <w:autoSpaceDE/>
        <w:ind w:left="0" w:right="119" w:firstLine="899"/>
        <w:jc w:val="both"/>
        <w:rPr>
          <w:lang w:val="en-US"/>
        </w:rPr>
      </w:pPr>
      <w:r w:rsidRPr="00950A20">
        <w:rPr>
          <w:lang w:val="en-US"/>
        </w:rPr>
        <w:t>To reaffirm the</w:t>
      </w:r>
      <w:r w:rsidR="00F762CC">
        <w:rPr>
          <w:lang w:val="en-US"/>
        </w:rPr>
        <w:t>ir</w:t>
      </w:r>
      <w:r w:rsidR="00AD7606" w:rsidRPr="00950A20">
        <w:rPr>
          <w:lang w:val="en-US"/>
        </w:rPr>
        <w:t xml:space="preserve"> commitment to the principles of the Inter-American Convention on Transparency in Conventional Weapons Acquisitions</w:t>
      </w:r>
      <w:r w:rsidR="00BC6D58">
        <w:rPr>
          <w:lang w:val="en-US"/>
        </w:rPr>
        <w:t xml:space="preserve"> (CITAAC)</w:t>
      </w:r>
      <w:r w:rsidR="00AD7606" w:rsidRPr="00950A20">
        <w:rPr>
          <w:lang w:val="en-US"/>
        </w:rPr>
        <w:t xml:space="preserve"> and other related instruments applicable at the global, regional, and sub</w:t>
      </w:r>
      <w:r w:rsidRPr="00950A20">
        <w:rPr>
          <w:lang w:val="en-US"/>
        </w:rPr>
        <w:t xml:space="preserve">-regional levels, and to undertake efforts to </w:t>
      </w:r>
      <w:r w:rsidR="00F762CC">
        <w:rPr>
          <w:lang w:val="en-US"/>
        </w:rPr>
        <w:t>build</w:t>
      </w:r>
      <w:r w:rsidR="00F762CC" w:rsidRPr="00950A20">
        <w:rPr>
          <w:lang w:val="en-US"/>
        </w:rPr>
        <w:t xml:space="preserve"> </w:t>
      </w:r>
      <w:r w:rsidRPr="00950A20">
        <w:rPr>
          <w:lang w:val="en-US"/>
        </w:rPr>
        <w:t xml:space="preserve">trust and promote peace in the region by strengthening security and confidence-building measures, including improved </w:t>
      </w:r>
      <w:r w:rsidR="00F762CC">
        <w:rPr>
          <w:lang w:val="en-US"/>
        </w:rPr>
        <w:t xml:space="preserve">ongoing </w:t>
      </w:r>
      <w:r w:rsidRPr="00950A20">
        <w:rPr>
          <w:lang w:val="en-US"/>
        </w:rPr>
        <w:t xml:space="preserve">cooperation regarding conventional weapons and defense matters; </w:t>
      </w:r>
    </w:p>
    <w:p w14:paraId="19553F4A" w14:textId="77777777" w:rsidR="00AD7606" w:rsidRPr="00950A20" w:rsidRDefault="00AD7606" w:rsidP="00AD7606">
      <w:pPr>
        <w:widowControl/>
        <w:tabs>
          <w:tab w:val="left" w:pos="1535"/>
        </w:tabs>
        <w:autoSpaceDE/>
        <w:ind w:left="1017" w:right="119"/>
        <w:jc w:val="both"/>
        <w:rPr>
          <w:lang w:val="en-US"/>
        </w:rPr>
      </w:pPr>
    </w:p>
    <w:p w14:paraId="7669A723" w14:textId="4506D7CC" w:rsidR="00AD7606" w:rsidRPr="00950A20" w:rsidRDefault="00AD7606" w:rsidP="006A11F9">
      <w:pPr>
        <w:widowControl/>
        <w:numPr>
          <w:ilvl w:val="0"/>
          <w:numId w:val="2"/>
        </w:numPr>
        <w:tabs>
          <w:tab w:val="left" w:pos="1535"/>
        </w:tabs>
        <w:autoSpaceDE/>
        <w:ind w:left="0" w:right="119" w:firstLine="899"/>
        <w:jc w:val="both"/>
        <w:rPr>
          <w:lang w:val="en-US"/>
        </w:rPr>
      </w:pPr>
      <w:r w:rsidRPr="00950A20">
        <w:rPr>
          <w:lang w:val="en-US"/>
        </w:rPr>
        <w:t>To invite all OAS member states which have not already done so to consider signing, ratifying, and/or acceding to the Convention.</w:t>
      </w:r>
    </w:p>
    <w:p w14:paraId="4A25EDFC" w14:textId="77777777" w:rsidR="00AD7606" w:rsidRPr="00950A20" w:rsidRDefault="00AD7606" w:rsidP="00AD7606">
      <w:pPr>
        <w:widowControl/>
        <w:tabs>
          <w:tab w:val="left" w:pos="1535"/>
        </w:tabs>
        <w:autoSpaceDE/>
        <w:ind w:left="1017" w:right="119"/>
        <w:jc w:val="both"/>
        <w:rPr>
          <w:lang w:val="en-US"/>
        </w:rPr>
      </w:pPr>
    </w:p>
    <w:p w14:paraId="6404B77A" w14:textId="1099EE0F" w:rsidR="00F4553D" w:rsidRPr="00950A20" w:rsidRDefault="00687389" w:rsidP="006A11F9">
      <w:pPr>
        <w:widowControl/>
        <w:numPr>
          <w:ilvl w:val="0"/>
          <w:numId w:val="2"/>
        </w:numPr>
        <w:tabs>
          <w:tab w:val="left" w:pos="1535"/>
        </w:tabs>
        <w:autoSpaceDE/>
        <w:ind w:left="0" w:right="119" w:firstLine="899"/>
        <w:jc w:val="both"/>
        <w:rPr>
          <w:lang w:val="en-US"/>
        </w:rPr>
      </w:pPr>
      <w:r w:rsidRPr="00950A20">
        <w:rPr>
          <w:lang w:val="en-US"/>
        </w:rPr>
        <w:lastRenderedPageBreak/>
        <w:t xml:space="preserve">To </w:t>
      </w:r>
      <w:r w:rsidR="00F4553D" w:rsidRPr="00950A20">
        <w:rPr>
          <w:lang w:val="en-US"/>
        </w:rPr>
        <w:t xml:space="preserve">urge State Parties to submit, in a timely fashion, annual reports and notifications in compliance with their obligations, pursuant </w:t>
      </w:r>
      <w:r w:rsidR="008F50F8">
        <w:rPr>
          <w:lang w:val="en-US"/>
        </w:rPr>
        <w:t xml:space="preserve">to </w:t>
      </w:r>
      <w:r w:rsidR="00F4553D" w:rsidRPr="00950A20">
        <w:rPr>
          <w:lang w:val="en-US"/>
        </w:rPr>
        <w:t>Artic</w:t>
      </w:r>
      <w:r w:rsidR="00950A20" w:rsidRPr="00950A20">
        <w:rPr>
          <w:lang w:val="en-US"/>
        </w:rPr>
        <w:t>le III and IV of the Convention, and to recommend they consider voluntarily</w:t>
      </w:r>
      <w:r w:rsidR="00F762CC">
        <w:rPr>
          <w:lang w:val="en-US"/>
        </w:rPr>
        <w:t xml:space="preserve"> </w:t>
      </w:r>
      <w:r w:rsidR="00F762CC" w:rsidRPr="00950A20">
        <w:rPr>
          <w:lang w:val="en-US"/>
        </w:rPr>
        <w:t>submitting</w:t>
      </w:r>
      <w:r w:rsidR="00950A20" w:rsidRPr="00950A20">
        <w:rPr>
          <w:lang w:val="en-US"/>
        </w:rPr>
        <w:t xml:space="preserve"> additional information to strengthen transparency, including on transfers of Small Arms and Light Weapons. </w:t>
      </w:r>
    </w:p>
    <w:p w14:paraId="254A855F" w14:textId="77777777" w:rsidR="00F4553D" w:rsidRPr="00950A20" w:rsidRDefault="00F4553D" w:rsidP="00950A20">
      <w:pPr>
        <w:rPr>
          <w:lang w:val="en-US"/>
        </w:rPr>
      </w:pPr>
    </w:p>
    <w:p w14:paraId="34BC1A0F" w14:textId="379A6072" w:rsidR="00F4553D" w:rsidRDefault="00F4553D" w:rsidP="006A11F9">
      <w:pPr>
        <w:widowControl/>
        <w:numPr>
          <w:ilvl w:val="0"/>
          <w:numId w:val="2"/>
        </w:numPr>
        <w:tabs>
          <w:tab w:val="left" w:pos="1535"/>
        </w:tabs>
        <w:autoSpaceDE/>
        <w:ind w:left="0" w:right="119" w:firstLine="899"/>
        <w:jc w:val="both"/>
        <w:rPr>
          <w:lang w:val="en-US"/>
        </w:rPr>
      </w:pPr>
      <w:r w:rsidRPr="00950A20">
        <w:rPr>
          <w:lang w:val="en-US"/>
        </w:rPr>
        <w:t xml:space="preserve">To request State Parties designate a national point of contact (POC) by July </w:t>
      </w:r>
      <w:r w:rsidR="008F50F8">
        <w:rPr>
          <w:lang w:val="en-US"/>
        </w:rPr>
        <w:t>3</w:t>
      </w:r>
      <w:r w:rsidRPr="00950A20">
        <w:rPr>
          <w:lang w:val="en-US"/>
        </w:rPr>
        <w:t>1</w:t>
      </w:r>
      <w:r w:rsidRPr="00950A20">
        <w:rPr>
          <w:vertAlign w:val="superscript"/>
          <w:lang w:val="en-US"/>
        </w:rPr>
        <w:t>st</w:t>
      </w:r>
      <w:r w:rsidR="008F50F8">
        <w:rPr>
          <w:vertAlign w:val="superscript"/>
          <w:lang w:val="en-US"/>
        </w:rPr>
        <w:t>,</w:t>
      </w:r>
      <w:r w:rsidRPr="00950A20">
        <w:rPr>
          <w:lang w:val="en-US"/>
        </w:rPr>
        <w:t xml:space="preserve"> 2022 to facilitate cooperation and </w:t>
      </w:r>
      <w:r w:rsidR="00F762CC">
        <w:rPr>
          <w:lang w:val="en-US"/>
        </w:rPr>
        <w:t xml:space="preserve">to </w:t>
      </w:r>
      <w:r w:rsidRPr="00950A20">
        <w:rPr>
          <w:lang w:val="en-US"/>
        </w:rPr>
        <w:t>support the elaboration and submission of the annual reports,</w:t>
      </w:r>
      <w:r w:rsidR="00BC5C3E" w:rsidRPr="00950A20">
        <w:rPr>
          <w:lang w:val="en-US"/>
        </w:rPr>
        <w:t xml:space="preserve"> per article 22 of the Rules of Procedure of the Conference of State Parties;</w:t>
      </w:r>
      <w:r w:rsidRPr="00950A20">
        <w:rPr>
          <w:lang w:val="en-US"/>
        </w:rPr>
        <w:t xml:space="preserve"> and to </w:t>
      </w:r>
      <w:r w:rsidR="00F762CC">
        <w:rPr>
          <w:lang w:val="en-US"/>
        </w:rPr>
        <w:t>keep</w:t>
      </w:r>
      <w:r w:rsidR="00F762CC" w:rsidRPr="00950A20">
        <w:rPr>
          <w:lang w:val="en-US"/>
        </w:rPr>
        <w:t xml:space="preserve"> </w:t>
      </w:r>
      <w:r w:rsidRPr="00950A20">
        <w:rPr>
          <w:lang w:val="en-US"/>
        </w:rPr>
        <w:t xml:space="preserve">the CITAAC Technical Secretariat </w:t>
      </w:r>
      <w:r w:rsidR="00F762CC">
        <w:rPr>
          <w:lang w:val="en-US"/>
        </w:rPr>
        <w:t xml:space="preserve">updated </w:t>
      </w:r>
      <w:r w:rsidRPr="00950A20">
        <w:rPr>
          <w:lang w:val="en-US"/>
        </w:rPr>
        <w:t xml:space="preserve">with </w:t>
      </w:r>
      <w:r w:rsidR="00F762CC">
        <w:rPr>
          <w:lang w:val="en-US"/>
        </w:rPr>
        <w:t>the POC’s contact</w:t>
      </w:r>
      <w:r w:rsidRPr="00950A20">
        <w:rPr>
          <w:lang w:val="en-US"/>
        </w:rPr>
        <w:t xml:space="preserve"> information</w:t>
      </w:r>
      <w:r w:rsidR="006D5B76">
        <w:rPr>
          <w:lang w:val="en-US"/>
        </w:rPr>
        <w:t>.</w:t>
      </w:r>
    </w:p>
    <w:p w14:paraId="0945A5BB" w14:textId="77777777" w:rsidR="00BC2D77" w:rsidRDefault="00BC2D77" w:rsidP="00BC2D77">
      <w:pPr>
        <w:pStyle w:val="ListParagraph"/>
        <w:rPr>
          <w:lang w:val="en-US"/>
        </w:rPr>
      </w:pPr>
    </w:p>
    <w:p w14:paraId="1B5CE2CF" w14:textId="79FA5FDA" w:rsidR="00F4553D" w:rsidRPr="00BC2D77" w:rsidRDefault="00BC2D77" w:rsidP="006A11F9">
      <w:pPr>
        <w:widowControl/>
        <w:numPr>
          <w:ilvl w:val="0"/>
          <w:numId w:val="2"/>
        </w:numPr>
        <w:tabs>
          <w:tab w:val="left" w:pos="1535"/>
        </w:tabs>
        <w:autoSpaceDE/>
        <w:ind w:left="0" w:right="119" w:firstLine="851"/>
        <w:jc w:val="both"/>
        <w:rPr>
          <w:lang w:val="en-US"/>
        </w:rPr>
      </w:pPr>
      <w:r>
        <w:rPr>
          <w:lang w:val="en-US"/>
        </w:rPr>
        <w:t>To recognize the work of the Department of Public Security of the OAS (DPS/OAS), in collaboration with the Inter-American Defense Board, in drafting the documents to institutionalize the Consultative Committee and the Technical Secretariat of the CITAAC</w:t>
      </w:r>
      <w:r w:rsidR="00A02B56">
        <w:rPr>
          <w:lang w:val="en-US"/>
        </w:rPr>
        <w:t xml:space="preserve">, and to request the General Secretariat of the OAS to take the necessary steps to formalize the DPS/OAS as the entity responsible to serve as the CITAAC Technical Secretariat. </w:t>
      </w:r>
      <w:r>
        <w:rPr>
          <w:lang w:val="en-US"/>
        </w:rPr>
        <w:t xml:space="preserve"> </w:t>
      </w:r>
      <w:r w:rsidR="00F4553D" w:rsidRPr="00BC2D77">
        <w:rPr>
          <w:lang w:val="en-US"/>
        </w:rPr>
        <w:t xml:space="preserve"> </w:t>
      </w:r>
    </w:p>
    <w:p w14:paraId="50CF30A3" w14:textId="77777777" w:rsidR="00594B8C" w:rsidRPr="00BC2D77" w:rsidRDefault="00594B8C" w:rsidP="00570E88">
      <w:pPr>
        <w:rPr>
          <w:lang w:val="en-US"/>
        </w:rPr>
      </w:pPr>
    </w:p>
    <w:p w14:paraId="12A96354" w14:textId="62372D62" w:rsidR="00F4553D" w:rsidRPr="00950A20" w:rsidRDefault="00F4553D" w:rsidP="006A11F9">
      <w:pPr>
        <w:widowControl/>
        <w:numPr>
          <w:ilvl w:val="0"/>
          <w:numId w:val="2"/>
        </w:numPr>
        <w:tabs>
          <w:tab w:val="left" w:pos="1535"/>
        </w:tabs>
        <w:autoSpaceDE/>
        <w:ind w:left="0" w:right="119" w:firstLine="899"/>
        <w:jc w:val="both"/>
        <w:rPr>
          <w:lang w:val="en-US"/>
        </w:rPr>
      </w:pPr>
      <w:r w:rsidRPr="00950A20">
        <w:rPr>
          <w:lang w:val="en-US"/>
        </w:rPr>
        <w:t xml:space="preserve">To </w:t>
      </w:r>
      <w:r w:rsidR="00A02B56">
        <w:rPr>
          <w:lang w:val="en-US"/>
        </w:rPr>
        <w:t>request the General Secretariat of the OAS</w:t>
      </w:r>
      <w:r w:rsidR="006A11F9">
        <w:rPr>
          <w:lang w:val="en-US"/>
        </w:rPr>
        <w:t xml:space="preserve">, through the </w:t>
      </w:r>
      <w:r w:rsidR="003A56F8">
        <w:rPr>
          <w:lang w:val="en-US"/>
        </w:rPr>
        <w:t>D</w:t>
      </w:r>
      <w:r w:rsidR="006A11F9">
        <w:rPr>
          <w:lang w:val="en-US"/>
        </w:rPr>
        <w:t>PS/OAS, to</w:t>
      </w:r>
      <w:r w:rsidRPr="00950A20">
        <w:rPr>
          <w:lang w:val="en-US"/>
        </w:rPr>
        <w:t xml:space="preserve"> </w:t>
      </w:r>
      <w:r w:rsidR="00972CB5" w:rsidRPr="00950A20">
        <w:rPr>
          <w:lang w:val="en-US"/>
        </w:rPr>
        <w:t xml:space="preserve">provide technical assistance and cooperation, at the request of State Parties, to promote compliance with the </w:t>
      </w:r>
      <w:r w:rsidR="006D5B76">
        <w:rPr>
          <w:lang w:val="en-US"/>
        </w:rPr>
        <w:t>C</w:t>
      </w:r>
      <w:r w:rsidR="00972CB5" w:rsidRPr="00950A20">
        <w:rPr>
          <w:lang w:val="en-US"/>
        </w:rPr>
        <w:t xml:space="preserve">onvention, and </w:t>
      </w:r>
      <w:r w:rsidRPr="00950A20">
        <w:rPr>
          <w:lang w:val="en-US"/>
        </w:rPr>
        <w:t xml:space="preserve">to explore strategies to </w:t>
      </w:r>
      <w:r w:rsidR="006D5B76">
        <w:rPr>
          <w:lang w:val="en-US"/>
        </w:rPr>
        <w:t>improve</w:t>
      </w:r>
      <w:r w:rsidR="006D5B76" w:rsidRPr="00950A20">
        <w:rPr>
          <w:lang w:val="en-US"/>
        </w:rPr>
        <w:t xml:space="preserve"> </w:t>
      </w:r>
      <w:r w:rsidRPr="00950A20">
        <w:rPr>
          <w:lang w:val="en-US"/>
        </w:rPr>
        <w:t>compliance with the annual reporting, including the electronic submission of data, the elaboration</w:t>
      </w:r>
      <w:r w:rsidR="00BC5C3E" w:rsidRPr="00950A20">
        <w:rPr>
          <w:lang w:val="en-US"/>
        </w:rPr>
        <w:t xml:space="preserve"> and dissemination</w:t>
      </w:r>
      <w:r w:rsidRPr="00950A20">
        <w:rPr>
          <w:lang w:val="en-US"/>
        </w:rPr>
        <w:t xml:space="preserve"> of consolidated annual reports, and cooperation with instruments of the United Nations systems </w:t>
      </w:r>
      <w:r w:rsidR="00CC48FA">
        <w:rPr>
          <w:lang w:val="en-US"/>
        </w:rPr>
        <w:t xml:space="preserve">and other international instruments </w:t>
      </w:r>
      <w:r w:rsidRPr="00950A20">
        <w:rPr>
          <w:lang w:val="en-US"/>
        </w:rPr>
        <w:t xml:space="preserve">with similar reports. </w:t>
      </w:r>
    </w:p>
    <w:p w14:paraId="7126E0B5" w14:textId="77777777" w:rsidR="00950A20" w:rsidRPr="00950A20" w:rsidRDefault="00950A20" w:rsidP="00950A20">
      <w:pPr>
        <w:pStyle w:val="ListParagraph"/>
        <w:rPr>
          <w:lang w:val="en-US"/>
        </w:rPr>
      </w:pPr>
    </w:p>
    <w:p w14:paraId="7F0EAD9A" w14:textId="5C8305CB" w:rsidR="00950A20" w:rsidRPr="00950A20" w:rsidRDefault="00950A20" w:rsidP="006A11F9">
      <w:pPr>
        <w:widowControl/>
        <w:numPr>
          <w:ilvl w:val="0"/>
          <w:numId w:val="2"/>
        </w:numPr>
        <w:tabs>
          <w:tab w:val="left" w:pos="1535"/>
        </w:tabs>
        <w:autoSpaceDE/>
        <w:ind w:left="0" w:right="119" w:firstLine="899"/>
        <w:jc w:val="both"/>
        <w:rPr>
          <w:lang w:val="en-US"/>
        </w:rPr>
      </w:pPr>
      <w:r w:rsidRPr="00950A20">
        <w:rPr>
          <w:lang w:val="en-US"/>
        </w:rPr>
        <w:t>To encourage relevant international and regional organizations, the private sector, industry, non-governmental organizations, the academic community, and civil society to strengthen their cooperation and work with the States Parties on compliance with the CITAAC, as well as other pertinent international instruments, and that they join forums, discussions, and campaigns to generate greater awareness.</w:t>
      </w:r>
    </w:p>
    <w:p w14:paraId="7BB72FEB" w14:textId="77777777" w:rsidR="00B8189C" w:rsidRPr="00950A20" w:rsidRDefault="00B8189C" w:rsidP="00B8189C">
      <w:pPr>
        <w:tabs>
          <w:tab w:val="left" w:pos="1535"/>
        </w:tabs>
        <w:ind w:right="119"/>
        <w:jc w:val="both"/>
        <w:rPr>
          <w:lang w:val="en-US"/>
        </w:rPr>
      </w:pPr>
    </w:p>
    <w:p w14:paraId="1A403CE3" w14:textId="70CC2B30" w:rsidR="007F559C" w:rsidRPr="00950A20" w:rsidRDefault="00B8189C" w:rsidP="006A11F9">
      <w:pPr>
        <w:widowControl/>
        <w:numPr>
          <w:ilvl w:val="0"/>
          <w:numId w:val="2"/>
        </w:numPr>
        <w:tabs>
          <w:tab w:val="left" w:pos="1535"/>
        </w:tabs>
        <w:autoSpaceDE/>
        <w:ind w:left="0" w:right="119" w:firstLine="899"/>
        <w:jc w:val="both"/>
        <w:rPr>
          <w:lang w:val="en-US"/>
        </w:rPr>
      </w:pPr>
      <w:r w:rsidRPr="00950A20">
        <w:rPr>
          <w:lang w:val="en-US"/>
        </w:rPr>
        <w:t>To invite member states to consider providing financial resources to the</w:t>
      </w:r>
      <w:r w:rsidR="006A11F9">
        <w:rPr>
          <w:lang w:val="en-US"/>
        </w:rPr>
        <w:t xml:space="preserve"> Department of Public Security of</w:t>
      </w:r>
      <w:r w:rsidRPr="00950A20">
        <w:rPr>
          <w:lang w:val="en-US"/>
        </w:rPr>
        <w:t xml:space="preserve"> General Secretariat</w:t>
      </w:r>
      <w:r w:rsidR="006A11F9">
        <w:rPr>
          <w:lang w:val="en-US"/>
        </w:rPr>
        <w:t xml:space="preserve"> of the OAS</w:t>
      </w:r>
      <w:r w:rsidRPr="00950A20">
        <w:rPr>
          <w:lang w:val="en-US"/>
        </w:rPr>
        <w:t xml:space="preserve">, </w:t>
      </w:r>
      <w:r w:rsidR="003A56F8">
        <w:rPr>
          <w:lang w:val="en-US"/>
        </w:rPr>
        <w:t>as CITAAC’s technical secretariat</w:t>
      </w:r>
      <w:r w:rsidR="000C2334">
        <w:rPr>
          <w:lang w:val="en-US"/>
        </w:rPr>
        <w:t xml:space="preserve">, </w:t>
      </w:r>
      <w:r w:rsidRPr="00950A20">
        <w:rPr>
          <w:lang w:val="en-US"/>
        </w:rPr>
        <w:t>to provide the necessary technical assistance to the member states that require it, to allow for effective implementation of the C</w:t>
      </w:r>
      <w:r w:rsidR="00972CB5" w:rsidRPr="00950A20">
        <w:rPr>
          <w:lang w:val="en-US"/>
        </w:rPr>
        <w:t xml:space="preserve">ITAAC. </w:t>
      </w:r>
      <w:r w:rsidR="00DD330C">
        <w:rPr>
          <w:noProof/>
          <w:lang w:val="en-US"/>
        </w:rPr>
        <mc:AlternateContent>
          <mc:Choice Requires="wps">
            <w:drawing>
              <wp:anchor distT="0" distB="0" distL="114300" distR="114300" simplePos="0" relativeHeight="251659264" behindDoc="0" locked="1" layoutInCell="1" allowOverlap="1" wp14:anchorId="63A1B49E" wp14:editId="5E34F8F8">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91B8C04" w14:textId="4A56BB1F" w:rsidR="00DD330C" w:rsidRPr="00DD330C" w:rsidRDefault="00DD330C">
                            <w:pPr>
                              <w:rPr>
                                <w:sz w:val="18"/>
                              </w:rPr>
                            </w:pPr>
                            <w:r>
                              <w:rPr>
                                <w:sz w:val="18"/>
                              </w:rPr>
                              <w:fldChar w:fldCharType="begin"/>
                            </w:r>
                            <w:r>
                              <w:rPr>
                                <w:sz w:val="18"/>
                              </w:rPr>
                              <w:instrText xml:space="preserve"> FILENAME  \* MERGEFORMAT </w:instrText>
                            </w:r>
                            <w:r>
                              <w:rPr>
                                <w:sz w:val="18"/>
                              </w:rPr>
                              <w:fldChar w:fldCharType="separate"/>
                            </w:r>
                            <w:r w:rsidR="005D6AD9">
                              <w:rPr>
                                <w:noProof/>
                                <w:sz w:val="18"/>
                              </w:rPr>
                              <w:t>DPASP00152E01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1B49E"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91B8C04" w14:textId="4A56BB1F" w:rsidR="00DD330C" w:rsidRPr="00DD330C" w:rsidRDefault="00DD330C">
                      <w:pPr>
                        <w:rPr>
                          <w:sz w:val="18"/>
                        </w:rPr>
                      </w:pPr>
                      <w:r>
                        <w:rPr>
                          <w:sz w:val="18"/>
                        </w:rPr>
                        <w:fldChar w:fldCharType="begin"/>
                      </w:r>
                      <w:r>
                        <w:rPr>
                          <w:sz w:val="18"/>
                        </w:rPr>
                        <w:instrText xml:space="preserve"> FILENAME  \* MERGEFORMAT </w:instrText>
                      </w:r>
                      <w:r>
                        <w:rPr>
                          <w:sz w:val="18"/>
                        </w:rPr>
                        <w:fldChar w:fldCharType="separate"/>
                      </w:r>
                      <w:r w:rsidR="005D6AD9">
                        <w:rPr>
                          <w:noProof/>
                          <w:sz w:val="18"/>
                        </w:rPr>
                        <w:t>DPASP00152E01</w:t>
                      </w:r>
                      <w:r>
                        <w:rPr>
                          <w:sz w:val="18"/>
                        </w:rPr>
                        <w:fldChar w:fldCharType="end"/>
                      </w:r>
                    </w:p>
                  </w:txbxContent>
                </v:textbox>
                <w10:wrap anchory="page"/>
                <w10:anchorlock/>
              </v:shape>
            </w:pict>
          </mc:Fallback>
        </mc:AlternateContent>
      </w:r>
    </w:p>
    <w:sectPr w:rsidR="007F559C" w:rsidRPr="00950A20" w:rsidSect="007F559C">
      <w:pgSz w:w="12240" w:h="15840"/>
      <w:pgMar w:top="1500" w:right="1300" w:bottom="135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F792" w14:textId="77777777" w:rsidR="009375B4" w:rsidRDefault="009375B4" w:rsidP="007F559C">
      <w:r>
        <w:separator/>
      </w:r>
    </w:p>
  </w:endnote>
  <w:endnote w:type="continuationSeparator" w:id="0">
    <w:p w14:paraId="4E24C70C" w14:textId="77777777" w:rsidR="009375B4" w:rsidRDefault="009375B4" w:rsidP="007F559C">
      <w:r>
        <w:continuationSeparator/>
      </w:r>
    </w:p>
  </w:endnote>
  <w:endnote w:type="continuationNotice" w:id="1">
    <w:p w14:paraId="17F57645" w14:textId="77777777" w:rsidR="009375B4" w:rsidRDefault="00937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panose1 w:val="02020603050405020304"/>
    <w:charset w:val="00"/>
    <w:family w:val="roman"/>
    <w:pitch w:val="variable"/>
    <w:sig w:usb0="00000007" w:usb1="00000000" w:usb2="00000000" w:usb3="00000000" w:csb0="00000093"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44D9" w14:textId="77777777" w:rsidR="009375B4" w:rsidRDefault="009375B4" w:rsidP="007F559C">
      <w:r>
        <w:separator/>
      </w:r>
    </w:p>
  </w:footnote>
  <w:footnote w:type="continuationSeparator" w:id="0">
    <w:p w14:paraId="499FBFA4" w14:textId="77777777" w:rsidR="009375B4" w:rsidRDefault="009375B4" w:rsidP="007F559C">
      <w:r>
        <w:continuationSeparator/>
      </w:r>
    </w:p>
  </w:footnote>
  <w:footnote w:type="continuationNotice" w:id="1">
    <w:p w14:paraId="48168ABB" w14:textId="77777777" w:rsidR="009375B4" w:rsidRDefault="009375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84129"/>
    <w:multiLevelType w:val="hybridMultilevel"/>
    <w:tmpl w:val="FFF895BC"/>
    <w:lvl w:ilvl="0" w:tplc="B45E07EA">
      <w:start w:val="1"/>
      <w:numFmt w:val="decimal"/>
      <w:lvlText w:val="%1."/>
      <w:lvlJc w:val="left"/>
      <w:pPr>
        <w:ind w:left="118" w:hanging="516"/>
      </w:pPr>
      <w:rPr>
        <w:rFonts w:ascii="Times New Roman" w:eastAsia="Times New Roman" w:hAnsi="Times New Roman" w:cs="Times New Roman" w:hint="default"/>
        <w:w w:val="100"/>
        <w:sz w:val="22"/>
        <w:szCs w:val="22"/>
        <w:lang w:val="es-ES" w:eastAsia="en-US" w:bidi="ar-SA"/>
      </w:rPr>
    </w:lvl>
    <w:lvl w:ilvl="1" w:tplc="D9F08244">
      <w:numFmt w:val="bullet"/>
      <w:lvlText w:val="•"/>
      <w:lvlJc w:val="left"/>
      <w:pPr>
        <w:ind w:left="1072" w:hanging="516"/>
      </w:pPr>
      <w:rPr>
        <w:rFonts w:hint="default"/>
        <w:lang w:val="es-ES" w:eastAsia="en-US" w:bidi="ar-SA"/>
      </w:rPr>
    </w:lvl>
    <w:lvl w:ilvl="2" w:tplc="F0522FFC">
      <w:numFmt w:val="bullet"/>
      <w:lvlText w:val="•"/>
      <w:lvlJc w:val="left"/>
      <w:pPr>
        <w:ind w:left="2024" w:hanging="516"/>
      </w:pPr>
      <w:rPr>
        <w:rFonts w:hint="default"/>
        <w:lang w:val="es-ES" w:eastAsia="en-US" w:bidi="ar-SA"/>
      </w:rPr>
    </w:lvl>
    <w:lvl w:ilvl="3" w:tplc="5D46A34E">
      <w:numFmt w:val="bullet"/>
      <w:lvlText w:val="•"/>
      <w:lvlJc w:val="left"/>
      <w:pPr>
        <w:ind w:left="2976" w:hanging="516"/>
      </w:pPr>
      <w:rPr>
        <w:rFonts w:hint="default"/>
        <w:lang w:val="es-ES" w:eastAsia="en-US" w:bidi="ar-SA"/>
      </w:rPr>
    </w:lvl>
    <w:lvl w:ilvl="4" w:tplc="8E20C4D6">
      <w:numFmt w:val="bullet"/>
      <w:lvlText w:val="•"/>
      <w:lvlJc w:val="left"/>
      <w:pPr>
        <w:ind w:left="3928" w:hanging="516"/>
      </w:pPr>
      <w:rPr>
        <w:rFonts w:hint="default"/>
        <w:lang w:val="es-ES" w:eastAsia="en-US" w:bidi="ar-SA"/>
      </w:rPr>
    </w:lvl>
    <w:lvl w:ilvl="5" w:tplc="F5F0956A">
      <w:numFmt w:val="bullet"/>
      <w:lvlText w:val="•"/>
      <w:lvlJc w:val="left"/>
      <w:pPr>
        <w:ind w:left="4880" w:hanging="516"/>
      </w:pPr>
      <w:rPr>
        <w:rFonts w:hint="default"/>
        <w:lang w:val="es-ES" w:eastAsia="en-US" w:bidi="ar-SA"/>
      </w:rPr>
    </w:lvl>
    <w:lvl w:ilvl="6" w:tplc="81948C24">
      <w:numFmt w:val="bullet"/>
      <w:lvlText w:val="•"/>
      <w:lvlJc w:val="left"/>
      <w:pPr>
        <w:ind w:left="5832" w:hanging="516"/>
      </w:pPr>
      <w:rPr>
        <w:rFonts w:hint="default"/>
        <w:lang w:val="es-ES" w:eastAsia="en-US" w:bidi="ar-SA"/>
      </w:rPr>
    </w:lvl>
    <w:lvl w:ilvl="7" w:tplc="C7C69D06">
      <w:numFmt w:val="bullet"/>
      <w:lvlText w:val="•"/>
      <w:lvlJc w:val="left"/>
      <w:pPr>
        <w:ind w:left="6784" w:hanging="516"/>
      </w:pPr>
      <w:rPr>
        <w:rFonts w:hint="default"/>
        <w:lang w:val="es-ES" w:eastAsia="en-US" w:bidi="ar-SA"/>
      </w:rPr>
    </w:lvl>
    <w:lvl w:ilvl="8" w:tplc="967EF976">
      <w:numFmt w:val="bullet"/>
      <w:lvlText w:val="•"/>
      <w:lvlJc w:val="left"/>
      <w:pPr>
        <w:ind w:left="7736" w:hanging="516"/>
      </w:pPr>
      <w:rPr>
        <w:rFonts w:hint="default"/>
        <w:lang w:val="es-ES" w:eastAsia="en-US" w:bidi="ar-SA"/>
      </w:rPr>
    </w:lvl>
  </w:abstractNum>
  <w:num w:numId="1" w16cid:durableId="69156093">
    <w:abstractNumId w:val="0"/>
  </w:num>
  <w:num w:numId="2" w16cid:durableId="156837427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MTaxNLYwMQABJR2l4NTi4sz8PJACs1oAqO6RWiwAAAA="/>
  </w:docVars>
  <w:rsids>
    <w:rsidRoot w:val="004076A9"/>
    <w:rsid w:val="00011F60"/>
    <w:rsid w:val="00027040"/>
    <w:rsid w:val="000C2334"/>
    <w:rsid w:val="0012202B"/>
    <w:rsid w:val="00125D01"/>
    <w:rsid w:val="00147EB0"/>
    <w:rsid w:val="001849DF"/>
    <w:rsid w:val="001D5471"/>
    <w:rsid w:val="001F1A6C"/>
    <w:rsid w:val="001F53EE"/>
    <w:rsid w:val="00200940"/>
    <w:rsid w:val="002A07BE"/>
    <w:rsid w:val="00304A0B"/>
    <w:rsid w:val="00334393"/>
    <w:rsid w:val="003707BB"/>
    <w:rsid w:val="00386CD1"/>
    <w:rsid w:val="003940BF"/>
    <w:rsid w:val="003A56F8"/>
    <w:rsid w:val="003A740D"/>
    <w:rsid w:val="003B3152"/>
    <w:rsid w:val="004076A9"/>
    <w:rsid w:val="00414B8F"/>
    <w:rsid w:val="0042542B"/>
    <w:rsid w:val="004431C8"/>
    <w:rsid w:val="004A7755"/>
    <w:rsid w:val="004B36BF"/>
    <w:rsid w:val="004C2227"/>
    <w:rsid w:val="005266A8"/>
    <w:rsid w:val="00533DFB"/>
    <w:rsid w:val="00543861"/>
    <w:rsid w:val="00545A1C"/>
    <w:rsid w:val="00550C09"/>
    <w:rsid w:val="00570E88"/>
    <w:rsid w:val="0057116C"/>
    <w:rsid w:val="00594B8C"/>
    <w:rsid w:val="005972C4"/>
    <w:rsid w:val="005D6AD9"/>
    <w:rsid w:val="005E4036"/>
    <w:rsid w:val="006156C9"/>
    <w:rsid w:val="00616A6A"/>
    <w:rsid w:val="00625020"/>
    <w:rsid w:val="00687389"/>
    <w:rsid w:val="006957DC"/>
    <w:rsid w:val="006970F0"/>
    <w:rsid w:val="006A11F9"/>
    <w:rsid w:val="006B4F68"/>
    <w:rsid w:val="006D5B76"/>
    <w:rsid w:val="007203D5"/>
    <w:rsid w:val="00730DC7"/>
    <w:rsid w:val="00745379"/>
    <w:rsid w:val="00747291"/>
    <w:rsid w:val="00756044"/>
    <w:rsid w:val="007753BA"/>
    <w:rsid w:val="007B314B"/>
    <w:rsid w:val="007B4BC7"/>
    <w:rsid w:val="007F559C"/>
    <w:rsid w:val="00832F3D"/>
    <w:rsid w:val="00864F77"/>
    <w:rsid w:val="00865C0E"/>
    <w:rsid w:val="00882279"/>
    <w:rsid w:val="008D6202"/>
    <w:rsid w:val="008F17F6"/>
    <w:rsid w:val="008F215E"/>
    <w:rsid w:val="008F50F8"/>
    <w:rsid w:val="00904842"/>
    <w:rsid w:val="009358B2"/>
    <w:rsid w:val="009375B4"/>
    <w:rsid w:val="00950A20"/>
    <w:rsid w:val="00972CB5"/>
    <w:rsid w:val="00992CB4"/>
    <w:rsid w:val="009B01F6"/>
    <w:rsid w:val="009D5169"/>
    <w:rsid w:val="009F5A43"/>
    <w:rsid w:val="00A02B56"/>
    <w:rsid w:val="00A51722"/>
    <w:rsid w:val="00AB7AAC"/>
    <w:rsid w:val="00AC3ED4"/>
    <w:rsid w:val="00AD7606"/>
    <w:rsid w:val="00B326D0"/>
    <w:rsid w:val="00B6205F"/>
    <w:rsid w:val="00B76040"/>
    <w:rsid w:val="00B806CF"/>
    <w:rsid w:val="00B8189C"/>
    <w:rsid w:val="00BC2D77"/>
    <w:rsid w:val="00BC5C3E"/>
    <w:rsid w:val="00BC6D58"/>
    <w:rsid w:val="00BD690D"/>
    <w:rsid w:val="00BE3AE0"/>
    <w:rsid w:val="00C52AA0"/>
    <w:rsid w:val="00C624E4"/>
    <w:rsid w:val="00C96B58"/>
    <w:rsid w:val="00CB0EC3"/>
    <w:rsid w:val="00CC48FA"/>
    <w:rsid w:val="00CC51CB"/>
    <w:rsid w:val="00CD6AEB"/>
    <w:rsid w:val="00D727C6"/>
    <w:rsid w:val="00D77318"/>
    <w:rsid w:val="00DD330C"/>
    <w:rsid w:val="00E734A2"/>
    <w:rsid w:val="00F16196"/>
    <w:rsid w:val="00F4553D"/>
    <w:rsid w:val="00F762CC"/>
    <w:rsid w:val="7FCBD06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FF7BA0"/>
  <w15:docId w15:val="{7FF3D5EC-EE14-4058-ACF4-ED565238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A9"/>
    <w:pPr>
      <w:widowControl w:val="0"/>
      <w:autoSpaceDE w:val="0"/>
      <w:autoSpaceDN w:val="0"/>
      <w:spacing w:after="0" w:line="240" w:lineRule="auto"/>
    </w:pPr>
    <w:rPr>
      <w:rFonts w:ascii="Times New Roman" w:eastAsia="Times New Roman" w:hAnsi="Times New Roman" w:cs="Times New Roman"/>
      <w:lang w:val="es-ES"/>
    </w:rPr>
  </w:style>
  <w:style w:type="paragraph" w:styleId="Heading1">
    <w:name w:val="heading 1"/>
    <w:basedOn w:val="Normal"/>
    <w:next w:val="Normal"/>
    <w:link w:val="Heading1Char"/>
    <w:uiPriority w:val="9"/>
    <w:qFormat/>
    <w:rsid w:val="00B620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76A9"/>
  </w:style>
  <w:style w:type="character" w:customStyle="1" w:styleId="BodyTextChar">
    <w:name w:val="Body Text Char"/>
    <w:basedOn w:val="DefaultParagraphFont"/>
    <w:link w:val="BodyText"/>
    <w:uiPriority w:val="1"/>
    <w:rsid w:val="004076A9"/>
    <w:rPr>
      <w:rFonts w:ascii="Times New Roman" w:eastAsia="Times New Roman" w:hAnsi="Times New Roman" w:cs="Times New Roman"/>
      <w:lang w:val="es-ES"/>
    </w:rPr>
  </w:style>
  <w:style w:type="paragraph" w:styleId="Title">
    <w:name w:val="Title"/>
    <w:basedOn w:val="Normal"/>
    <w:link w:val="TitleChar"/>
    <w:uiPriority w:val="10"/>
    <w:qFormat/>
    <w:rsid w:val="004076A9"/>
    <w:pPr>
      <w:spacing w:before="77"/>
      <w:ind w:left="1470" w:right="1420" w:firstLine="816"/>
    </w:pPr>
    <w:rPr>
      <w:b/>
      <w:bCs/>
    </w:rPr>
  </w:style>
  <w:style w:type="character" w:customStyle="1" w:styleId="TitleChar">
    <w:name w:val="Title Char"/>
    <w:basedOn w:val="DefaultParagraphFont"/>
    <w:link w:val="Title"/>
    <w:uiPriority w:val="10"/>
    <w:rsid w:val="004076A9"/>
    <w:rPr>
      <w:rFonts w:ascii="Times New Roman" w:eastAsia="Times New Roman" w:hAnsi="Times New Roman" w:cs="Times New Roman"/>
      <w:b/>
      <w:bCs/>
      <w:lang w:val="es-ES"/>
    </w:rPr>
  </w:style>
  <w:style w:type="paragraph" w:styleId="ListParagraph">
    <w:name w:val="List Paragraph"/>
    <w:basedOn w:val="Normal"/>
    <w:uiPriority w:val="1"/>
    <w:qFormat/>
    <w:rsid w:val="004076A9"/>
    <w:pPr>
      <w:ind w:left="118" w:right="112" w:firstLine="899"/>
      <w:jc w:val="both"/>
    </w:pPr>
  </w:style>
  <w:style w:type="character" w:customStyle="1" w:styleId="Heading1Char">
    <w:name w:val="Heading 1 Char"/>
    <w:basedOn w:val="DefaultParagraphFont"/>
    <w:link w:val="Heading1"/>
    <w:uiPriority w:val="9"/>
    <w:rsid w:val="00B6205F"/>
    <w:rPr>
      <w:rFonts w:asciiTheme="majorHAnsi" w:eastAsiaTheme="majorEastAsia" w:hAnsiTheme="majorHAnsi" w:cstheme="majorBidi"/>
      <w:color w:val="2F5496" w:themeColor="accent1" w:themeShade="BF"/>
      <w:sz w:val="32"/>
      <w:szCs w:val="32"/>
      <w:lang w:val="es-ES"/>
    </w:rPr>
  </w:style>
  <w:style w:type="character" w:styleId="CommentReference">
    <w:name w:val="annotation reference"/>
    <w:basedOn w:val="DefaultParagraphFont"/>
    <w:uiPriority w:val="99"/>
    <w:semiHidden/>
    <w:unhideWhenUsed/>
    <w:rsid w:val="002A07BE"/>
    <w:rPr>
      <w:sz w:val="16"/>
      <w:szCs w:val="16"/>
    </w:rPr>
  </w:style>
  <w:style w:type="paragraph" w:styleId="CommentText">
    <w:name w:val="annotation text"/>
    <w:basedOn w:val="Normal"/>
    <w:link w:val="CommentTextChar"/>
    <w:uiPriority w:val="99"/>
    <w:semiHidden/>
    <w:unhideWhenUsed/>
    <w:rsid w:val="002A07BE"/>
    <w:rPr>
      <w:sz w:val="20"/>
      <w:szCs w:val="20"/>
    </w:rPr>
  </w:style>
  <w:style w:type="character" w:customStyle="1" w:styleId="CommentTextChar">
    <w:name w:val="Comment Text Char"/>
    <w:basedOn w:val="DefaultParagraphFont"/>
    <w:link w:val="CommentText"/>
    <w:uiPriority w:val="99"/>
    <w:semiHidden/>
    <w:rsid w:val="002A07BE"/>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2A07BE"/>
    <w:rPr>
      <w:b/>
      <w:bCs/>
    </w:rPr>
  </w:style>
  <w:style w:type="character" w:customStyle="1" w:styleId="CommentSubjectChar">
    <w:name w:val="Comment Subject Char"/>
    <w:basedOn w:val="CommentTextChar"/>
    <w:link w:val="CommentSubject"/>
    <w:uiPriority w:val="99"/>
    <w:semiHidden/>
    <w:rsid w:val="002A07BE"/>
    <w:rPr>
      <w:rFonts w:ascii="Times New Roman" w:eastAsia="Times New Roman" w:hAnsi="Times New Roman" w:cs="Times New Roman"/>
      <w:b/>
      <w:bCs/>
      <w:sz w:val="20"/>
      <w:szCs w:val="20"/>
      <w:lang w:val="es-ES"/>
    </w:rPr>
  </w:style>
  <w:style w:type="paragraph" w:styleId="Header">
    <w:name w:val="header"/>
    <w:basedOn w:val="Normal"/>
    <w:link w:val="HeaderChar"/>
    <w:unhideWhenUsed/>
    <w:rsid w:val="007F559C"/>
    <w:pPr>
      <w:tabs>
        <w:tab w:val="center" w:pos="4680"/>
        <w:tab w:val="right" w:pos="9360"/>
      </w:tabs>
    </w:pPr>
  </w:style>
  <w:style w:type="character" w:customStyle="1" w:styleId="HeaderChar">
    <w:name w:val="Header Char"/>
    <w:basedOn w:val="DefaultParagraphFont"/>
    <w:link w:val="Header"/>
    <w:uiPriority w:val="99"/>
    <w:rsid w:val="007F559C"/>
    <w:rPr>
      <w:rFonts w:ascii="Times New Roman" w:eastAsia="Times New Roman" w:hAnsi="Times New Roman" w:cs="Times New Roman"/>
      <w:lang w:val="es-ES"/>
    </w:rPr>
  </w:style>
  <w:style w:type="paragraph" w:styleId="Footer">
    <w:name w:val="footer"/>
    <w:basedOn w:val="Normal"/>
    <w:link w:val="FooterChar"/>
    <w:uiPriority w:val="99"/>
    <w:unhideWhenUsed/>
    <w:rsid w:val="007F559C"/>
    <w:pPr>
      <w:tabs>
        <w:tab w:val="center" w:pos="4680"/>
        <w:tab w:val="right" w:pos="9360"/>
      </w:tabs>
    </w:pPr>
  </w:style>
  <w:style w:type="character" w:customStyle="1" w:styleId="FooterChar">
    <w:name w:val="Footer Char"/>
    <w:basedOn w:val="DefaultParagraphFont"/>
    <w:link w:val="Footer"/>
    <w:uiPriority w:val="99"/>
    <w:rsid w:val="007F559C"/>
    <w:rPr>
      <w:rFonts w:ascii="Times New Roman" w:eastAsia="Times New Roman" w:hAnsi="Times New Roman" w:cs="Times New Roman"/>
      <w:lang w:val="es-ES"/>
    </w:rPr>
  </w:style>
  <w:style w:type="paragraph" w:styleId="EndnoteText">
    <w:name w:val="endnote text"/>
    <w:basedOn w:val="Normal"/>
    <w:link w:val="EndnoteTextChar"/>
    <w:rsid w:val="008F215E"/>
    <w:pPr>
      <w:tabs>
        <w:tab w:val="left" w:pos="720"/>
        <w:tab w:val="left" w:pos="1440"/>
        <w:tab w:val="left" w:pos="2160"/>
        <w:tab w:val="left" w:pos="2880"/>
        <w:tab w:val="left" w:pos="3600"/>
        <w:tab w:val="left" w:pos="4320"/>
        <w:tab w:val="left" w:pos="5760"/>
        <w:tab w:val="left" w:pos="6480"/>
        <w:tab w:val="left" w:pos="7200"/>
        <w:tab w:val="left" w:pos="7920"/>
      </w:tabs>
      <w:autoSpaceDE/>
      <w:autoSpaceDN/>
      <w:jc w:val="both"/>
    </w:pPr>
    <w:rPr>
      <w:rFonts w:ascii="CG Times" w:eastAsia="SimSun" w:hAnsi="CG Times"/>
      <w:szCs w:val="20"/>
      <w:lang w:eastAsia="zh-CN"/>
    </w:rPr>
  </w:style>
  <w:style w:type="character" w:customStyle="1" w:styleId="EndnoteTextChar">
    <w:name w:val="Endnote Text Char"/>
    <w:basedOn w:val="DefaultParagraphFont"/>
    <w:link w:val="EndnoteText"/>
    <w:rsid w:val="008F215E"/>
    <w:rPr>
      <w:rFonts w:ascii="CG Times" w:eastAsia="SimSun" w:hAnsi="CG Times" w:cs="Times New Roman"/>
      <w:szCs w:val="20"/>
      <w:lang w:val="es-ES" w:eastAsia="zh-CN"/>
    </w:rPr>
  </w:style>
  <w:style w:type="paragraph" w:styleId="BalloonText">
    <w:name w:val="Balloon Text"/>
    <w:basedOn w:val="Normal"/>
    <w:link w:val="BalloonTextChar"/>
    <w:semiHidden/>
    <w:rsid w:val="008F215E"/>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semiHidden/>
    <w:rsid w:val="008F215E"/>
    <w:rPr>
      <w:rFonts w:ascii="Tahoma" w:eastAsia="Times New Roman" w:hAnsi="Tahoma" w:cs="Tahoma"/>
      <w:sz w:val="16"/>
      <w:szCs w:val="16"/>
      <w:lang w:val="en-US"/>
    </w:rPr>
  </w:style>
  <w:style w:type="paragraph" w:styleId="Revision">
    <w:name w:val="Revision"/>
    <w:hidden/>
    <w:uiPriority w:val="99"/>
    <w:semiHidden/>
    <w:rsid w:val="001849DF"/>
    <w:pPr>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01952">
      <w:bodyDiv w:val="1"/>
      <w:marLeft w:val="0"/>
      <w:marRight w:val="0"/>
      <w:marTop w:val="0"/>
      <w:marBottom w:val="0"/>
      <w:divBdr>
        <w:top w:val="none" w:sz="0" w:space="0" w:color="auto"/>
        <w:left w:val="none" w:sz="0" w:space="0" w:color="auto"/>
        <w:bottom w:val="none" w:sz="0" w:space="0" w:color="auto"/>
        <w:right w:val="none" w:sz="0" w:space="0" w:color="auto"/>
      </w:divBdr>
    </w:div>
    <w:div w:id="1472863049">
      <w:bodyDiv w:val="1"/>
      <w:marLeft w:val="0"/>
      <w:marRight w:val="0"/>
      <w:marTop w:val="0"/>
      <w:marBottom w:val="0"/>
      <w:divBdr>
        <w:top w:val="none" w:sz="0" w:space="0" w:color="auto"/>
        <w:left w:val="none" w:sz="0" w:space="0" w:color="auto"/>
        <w:bottom w:val="none" w:sz="0" w:space="0" w:color="auto"/>
        <w:right w:val="none" w:sz="0" w:space="0" w:color="auto"/>
      </w:divBdr>
    </w:div>
    <w:div w:id="14970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4F217CB57A14084E98EFFAD3C7D62" ma:contentTypeVersion="13" ma:contentTypeDescription="Create a new document." ma:contentTypeScope="" ma:versionID="126ad7bb14d80183512cac346430aea6">
  <xsd:schema xmlns:xsd="http://www.w3.org/2001/XMLSchema" xmlns:xs="http://www.w3.org/2001/XMLSchema" xmlns:p="http://schemas.microsoft.com/office/2006/metadata/properties" xmlns:ns2="8b0d1605-260b-47fd-804b-8c27edd2405b" xmlns:ns3="730f74aa-8393-4aa5-b2f8-3c7aae566a68" targetNamespace="http://schemas.microsoft.com/office/2006/metadata/properties" ma:root="true" ma:fieldsID="633102269903bb9e93c1f5352fbcc284" ns2:_="" ns3:_="">
    <xsd:import namespace="8b0d1605-260b-47fd-804b-8c27edd2405b"/>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1605-260b-47fd-804b-8c27edd2405b"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b0d1605-260b-47fd-804b-8c27edd2405b">
      <UserInfo>
        <DisplayName/>
        <AccountId xsi:nil="true"/>
        <AccountType/>
      </UserInfo>
    </SharedWithUsers>
  </documentManagement>
</p:properties>
</file>

<file path=customXml/itemProps1.xml><?xml version="1.0" encoding="utf-8"?>
<ds:datastoreItem xmlns:ds="http://schemas.openxmlformats.org/officeDocument/2006/customXml" ds:itemID="{23C45899-7ADB-4DF5-BB65-CF1ED2DCFB11}">
  <ds:schemaRefs>
    <ds:schemaRef ds:uri="http://schemas.openxmlformats.org/officeDocument/2006/bibliography"/>
  </ds:schemaRefs>
</ds:datastoreItem>
</file>

<file path=customXml/itemProps2.xml><?xml version="1.0" encoding="utf-8"?>
<ds:datastoreItem xmlns:ds="http://schemas.openxmlformats.org/officeDocument/2006/customXml" ds:itemID="{154D986E-20CE-4EE2-9459-63E0998977FB}">
  <ds:schemaRefs>
    <ds:schemaRef ds:uri="http://schemas.microsoft.com/sharepoint/v3/contenttype/forms"/>
  </ds:schemaRefs>
</ds:datastoreItem>
</file>

<file path=customXml/itemProps3.xml><?xml version="1.0" encoding="utf-8"?>
<ds:datastoreItem xmlns:ds="http://schemas.openxmlformats.org/officeDocument/2006/customXml" ds:itemID="{72056E3F-637D-4397-B2C0-18F2220C7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1605-260b-47fd-804b-8c27edd2405b"/>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5DA82-DE6D-4CAB-8BE9-6118E111EB36}">
  <ds:schemaRefs>
    <ds:schemaRef ds:uri="http://schemas.microsoft.com/office/2006/metadata/properties"/>
    <ds:schemaRef ds:uri="http://schemas.microsoft.com/office/infopath/2007/PartnerControls"/>
    <ds:schemaRef ds:uri="8b0d1605-260b-47fd-804b-8c27edd2405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MZZ</dc:creator>
  <cp:lastModifiedBy>Lobaton, Ursula</cp:lastModifiedBy>
  <cp:revision>4</cp:revision>
  <dcterms:created xsi:type="dcterms:W3CDTF">2022-04-19T21:06:00Z</dcterms:created>
  <dcterms:modified xsi:type="dcterms:W3CDTF">2022-04-19T21:13:00Z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0x01010003A4F217CB57A14084E98EFFAD3C7D62</vt:lpwstr>
  </property>
</Properties>
</file>