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11B1C" w14:textId="77777777" w:rsidR="001F52BB" w:rsidRDefault="001F52BB" w:rsidP="001C57E0">
      <w:pPr>
        <w:tabs>
          <w:tab w:val="left" w:pos="6930"/>
        </w:tabs>
        <w:suppressAutoHyphens/>
        <w:ind w:right="-29"/>
        <w:rPr>
          <w:bCs/>
          <w:caps/>
          <w:lang w:val="pt-BR"/>
        </w:rPr>
      </w:pPr>
      <w:r w:rsidRPr="001F52BB">
        <w:rPr>
          <w:lang w:val="pt-BR"/>
        </w:rPr>
        <w:t xml:space="preserve">CONVENÇÃO INTERAMERICANA SOBRE </w:t>
      </w:r>
      <w:r w:rsidRPr="001F52BB">
        <w:rPr>
          <w:lang w:val="pt-BR"/>
        </w:rPr>
        <w:tab/>
        <w:t>OEA/Ser.K/XLIV.2</w:t>
      </w:r>
    </w:p>
    <w:p w14:paraId="7309E007" w14:textId="68884510" w:rsidR="001F52BB" w:rsidRPr="001F52BB" w:rsidRDefault="001F52BB" w:rsidP="001C57E0">
      <w:pPr>
        <w:tabs>
          <w:tab w:val="left" w:pos="6930"/>
        </w:tabs>
        <w:suppressAutoHyphens/>
        <w:ind w:right="-1109"/>
        <w:rPr>
          <w:lang w:val="pt-BR"/>
        </w:rPr>
      </w:pPr>
      <w:r w:rsidRPr="001F52BB">
        <w:rPr>
          <w:caps/>
          <w:lang w:val="pt-BR"/>
        </w:rPr>
        <w:t xml:space="preserve">TRANSPARÊNCIA NAS AQUISIÇÕES </w:t>
      </w:r>
      <w:r w:rsidRPr="001F52BB">
        <w:rPr>
          <w:lang w:val="pt-BR"/>
        </w:rPr>
        <w:tab/>
      </w:r>
      <w:r w:rsidRPr="001F52BB">
        <w:rPr>
          <w:caps/>
          <w:lang w:val="pt-BR"/>
        </w:rPr>
        <w:t>CITAAC/CEP-II/</w:t>
      </w:r>
      <w:r w:rsidRPr="001F52BB">
        <w:rPr>
          <w:lang w:val="pt-BR"/>
        </w:rPr>
        <w:t>doc.8/22 rev</w:t>
      </w:r>
      <w:r>
        <w:rPr>
          <w:lang w:val="pt-BR"/>
        </w:rPr>
        <w:t>.</w:t>
      </w:r>
      <w:r w:rsidR="008775AB">
        <w:rPr>
          <w:lang w:val="pt-BR"/>
        </w:rPr>
        <w:t>2</w:t>
      </w:r>
    </w:p>
    <w:p w14:paraId="5CE46B3F" w14:textId="4ECE7644" w:rsidR="001F52BB" w:rsidRPr="001F52BB" w:rsidRDefault="001F52BB" w:rsidP="001C57E0">
      <w:pPr>
        <w:tabs>
          <w:tab w:val="left" w:pos="6930"/>
        </w:tabs>
        <w:suppressAutoHyphens/>
        <w:ind w:right="-29"/>
        <w:rPr>
          <w:bCs/>
          <w:caps/>
          <w:lang w:val="pt-BR"/>
        </w:rPr>
      </w:pPr>
      <w:r w:rsidRPr="001F52BB">
        <w:rPr>
          <w:caps/>
          <w:lang w:val="pt-BR"/>
        </w:rPr>
        <w:t xml:space="preserve">DE ARMAS CONVENCIONAIS (CITAAC) </w:t>
      </w:r>
      <w:r w:rsidRPr="001F52BB">
        <w:rPr>
          <w:caps/>
          <w:lang w:val="pt-BR"/>
        </w:rPr>
        <w:tab/>
      </w:r>
      <w:r w:rsidR="008775AB" w:rsidRPr="001F52BB">
        <w:rPr>
          <w:caps/>
          <w:lang w:val="pt-BR"/>
        </w:rPr>
        <w:t>1</w:t>
      </w:r>
      <w:r w:rsidR="008775AB">
        <w:rPr>
          <w:caps/>
          <w:lang w:val="pt-BR"/>
        </w:rPr>
        <w:t>9</w:t>
      </w:r>
      <w:r w:rsidR="008775AB" w:rsidRPr="001F52BB">
        <w:rPr>
          <w:caps/>
          <w:lang w:val="pt-BR"/>
        </w:rPr>
        <w:t xml:space="preserve"> </w:t>
      </w:r>
      <w:r w:rsidRPr="001F52BB">
        <w:rPr>
          <w:lang w:val="pt-BR"/>
        </w:rPr>
        <w:t xml:space="preserve">abril </w:t>
      </w:r>
      <w:r w:rsidRPr="001F52BB">
        <w:rPr>
          <w:caps/>
          <w:lang w:val="pt-BR"/>
        </w:rPr>
        <w:t>2022</w:t>
      </w:r>
    </w:p>
    <w:p w14:paraId="41F32FB8" w14:textId="6E634955" w:rsidR="001F52BB" w:rsidRPr="001F52BB" w:rsidRDefault="001F52BB" w:rsidP="001C57E0">
      <w:pPr>
        <w:tabs>
          <w:tab w:val="left" w:pos="6545"/>
          <w:tab w:val="left" w:pos="6930"/>
        </w:tabs>
        <w:rPr>
          <w:u w:val="single"/>
          <w:lang w:val="pt-BR"/>
        </w:rPr>
      </w:pPr>
      <w:r w:rsidRPr="001F52BB">
        <w:rPr>
          <w:u w:val="single"/>
          <w:lang w:val="pt-BR"/>
        </w:rPr>
        <w:t>Segunda Conferência dos Estados Partes</w:t>
      </w:r>
      <w:r w:rsidRPr="001F52BB">
        <w:rPr>
          <w:lang w:val="pt-BR"/>
        </w:rPr>
        <w:t xml:space="preserve"> </w:t>
      </w:r>
      <w:r w:rsidRPr="001F52BB">
        <w:rPr>
          <w:lang w:val="pt-BR"/>
        </w:rPr>
        <w:tab/>
      </w:r>
      <w:r w:rsidRPr="001F52BB">
        <w:rPr>
          <w:lang w:val="pt-BR"/>
        </w:rPr>
        <w:tab/>
        <w:t>Original: inglês</w:t>
      </w:r>
    </w:p>
    <w:p w14:paraId="297A8BE6" w14:textId="77777777" w:rsidR="001F52BB" w:rsidRPr="001F52BB" w:rsidRDefault="001F52BB" w:rsidP="001F52BB">
      <w:pPr>
        <w:tabs>
          <w:tab w:val="left" w:pos="6545"/>
        </w:tabs>
        <w:rPr>
          <w:lang w:val="pt-BR"/>
        </w:rPr>
      </w:pPr>
      <w:r w:rsidRPr="001F52BB">
        <w:rPr>
          <w:lang w:val="pt-BR"/>
        </w:rPr>
        <w:t>19 de abril de 2022</w:t>
      </w:r>
    </w:p>
    <w:p w14:paraId="5D55B92A" w14:textId="77777777" w:rsidR="001F52BB" w:rsidRPr="001F52BB" w:rsidRDefault="001F52BB" w:rsidP="001F52BB">
      <w:pPr>
        <w:pStyle w:val="BodyText"/>
        <w:spacing w:before="6"/>
        <w:rPr>
          <w:lang w:val="pt-BR"/>
        </w:rPr>
      </w:pPr>
      <w:r w:rsidRPr="001F52BB">
        <w:rPr>
          <w:lang w:val="pt-BR"/>
        </w:rPr>
        <w:t>Formato virtual</w:t>
      </w:r>
    </w:p>
    <w:p w14:paraId="3CAD6C74" w14:textId="77777777" w:rsidR="001F52BB" w:rsidRPr="001F52BB" w:rsidRDefault="001F52BB" w:rsidP="001F52BB">
      <w:pPr>
        <w:tabs>
          <w:tab w:val="left" w:pos="7200"/>
        </w:tabs>
        <w:suppressAutoHyphens/>
        <w:ind w:right="-29"/>
        <w:rPr>
          <w:u w:val="single"/>
          <w:lang w:val="pt-BR"/>
        </w:rPr>
      </w:pPr>
      <w:r w:rsidRPr="001F52BB">
        <w:rPr>
          <w:lang w:val="pt-BR"/>
        </w:rPr>
        <w:tab/>
      </w:r>
    </w:p>
    <w:p w14:paraId="64268311" w14:textId="77777777" w:rsidR="001F52BB" w:rsidRPr="001F52BB" w:rsidRDefault="001F52BB" w:rsidP="001F52BB">
      <w:pPr>
        <w:pStyle w:val="BodyText"/>
        <w:ind w:right="2814"/>
        <w:rPr>
          <w:lang w:val="pt-BR"/>
        </w:rPr>
      </w:pPr>
    </w:p>
    <w:p w14:paraId="347F16B7" w14:textId="77777777" w:rsidR="001F52BB" w:rsidRPr="001F52BB" w:rsidRDefault="001F52BB" w:rsidP="001F52BB">
      <w:pPr>
        <w:pStyle w:val="BodyText"/>
        <w:ind w:right="2814"/>
        <w:rPr>
          <w:lang w:val="pt-BR"/>
        </w:rPr>
      </w:pPr>
    </w:p>
    <w:p w14:paraId="68A90982" w14:textId="1B1203F7" w:rsidR="001F52BB" w:rsidRPr="001F52BB" w:rsidRDefault="001F52BB" w:rsidP="001F52BB">
      <w:pPr>
        <w:pStyle w:val="BodyText"/>
        <w:ind w:right="10"/>
        <w:jc w:val="center"/>
        <w:rPr>
          <w:lang w:val="pt-BR"/>
        </w:rPr>
      </w:pPr>
      <w:r w:rsidRPr="001F52BB">
        <w:rPr>
          <w:lang w:val="pt-BR"/>
        </w:rPr>
        <w:t xml:space="preserve">RECOMENDAÇÕES </w:t>
      </w:r>
      <w:r w:rsidR="00CA2FF5">
        <w:rPr>
          <w:lang w:val="pt-BR"/>
        </w:rPr>
        <w:t>DA</w:t>
      </w:r>
      <w:r w:rsidR="001C57E0">
        <w:rPr>
          <w:lang w:val="pt-BR"/>
        </w:rPr>
        <w:t xml:space="preserve"> </w:t>
      </w:r>
      <w:r w:rsidRPr="001F52BB">
        <w:rPr>
          <w:lang w:val="pt-BR"/>
        </w:rPr>
        <w:t xml:space="preserve">SEGUNDA CONFERÊNCIA DOS ESTADOS PARTES </w:t>
      </w:r>
      <w:r>
        <w:rPr>
          <w:lang w:val="pt-BR"/>
        </w:rPr>
        <w:t>D</w:t>
      </w:r>
      <w:r w:rsidRPr="001F52BB">
        <w:rPr>
          <w:lang w:val="pt-BR"/>
        </w:rPr>
        <w:t>A CITAAC</w:t>
      </w:r>
    </w:p>
    <w:p w14:paraId="77CE0A87" w14:textId="54818CA6" w:rsidR="001F52BB" w:rsidRPr="001F52BB" w:rsidRDefault="001F52BB" w:rsidP="001F52BB">
      <w:pPr>
        <w:pStyle w:val="BodyText"/>
        <w:ind w:left="397" w:right="397"/>
        <w:jc w:val="center"/>
        <w:rPr>
          <w:lang w:val="pt-BR"/>
        </w:rPr>
      </w:pPr>
      <w:r w:rsidRPr="001F52BB">
        <w:rPr>
          <w:lang w:val="pt-BR"/>
        </w:rPr>
        <w:t>(</w:t>
      </w:r>
      <w:r w:rsidR="008775AB">
        <w:rPr>
          <w:lang w:val="pt-BR"/>
        </w:rPr>
        <w:t>Aprovadas em 19 de abril de 2022</w:t>
      </w:r>
      <w:r w:rsidRPr="001F52BB">
        <w:rPr>
          <w:lang w:val="pt-BR"/>
        </w:rPr>
        <w:t>)</w:t>
      </w:r>
    </w:p>
    <w:p w14:paraId="3676C69E" w14:textId="77777777" w:rsidR="001F52BB" w:rsidRPr="001F52BB" w:rsidRDefault="001F52BB" w:rsidP="001F52BB">
      <w:pPr>
        <w:pStyle w:val="BodyText"/>
        <w:rPr>
          <w:lang w:val="pt-BR"/>
        </w:rPr>
      </w:pPr>
    </w:p>
    <w:p w14:paraId="05AE72B2" w14:textId="77777777" w:rsidR="001F52BB" w:rsidRPr="001F52BB" w:rsidRDefault="001F52BB" w:rsidP="001F52BB">
      <w:pPr>
        <w:pStyle w:val="BodyText"/>
        <w:spacing w:before="10"/>
        <w:rPr>
          <w:lang w:val="pt-BR"/>
        </w:rPr>
      </w:pPr>
    </w:p>
    <w:p w14:paraId="1072BB3B" w14:textId="77777777" w:rsidR="001F52BB" w:rsidRPr="001F52BB" w:rsidRDefault="001F52BB" w:rsidP="001F52BB">
      <w:pPr>
        <w:ind w:right="116" w:firstLine="707"/>
        <w:jc w:val="both"/>
        <w:rPr>
          <w:lang w:val="pt-BR"/>
        </w:rPr>
      </w:pPr>
      <w:r w:rsidRPr="001F52BB">
        <w:rPr>
          <w:lang w:val="pt-BR"/>
        </w:rPr>
        <w:t>Os Estados Partes na Convenção Interamericana sobre Transparência nas Aquisições de Armas Convencionais (CITAAC), reunidos em formato virtual em 19 de abril de 2022, na Segunda Conferência dos Estados Partes na Convenção,</w:t>
      </w:r>
    </w:p>
    <w:p w14:paraId="1C85927D" w14:textId="77777777" w:rsidR="001F52BB" w:rsidRPr="001F52BB" w:rsidRDefault="001F52BB" w:rsidP="001F52BB">
      <w:pPr>
        <w:ind w:right="116"/>
        <w:jc w:val="both"/>
        <w:rPr>
          <w:lang w:val="pt-BR"/>
        </w:rPr>
      </w:pPr>
    </w:p>
    <w:p w14:paraId="4B5186E6" w14:textId="77777777" w:rsidR="001F52BB" w:rsidRPr="001F52BB" w:rsidRDefault="001F52BB" w:rsidP="001F52BB">
      <w:pPr>
        <w:ind w:right="116" w:firstLine="707"/>
        <w:jc w:val="both"/>
        <w:rPr>
          <w:lang w:val="pt-BR"/>
        </w:rPr>
      </w:pPr>
      <w:r w:rsidRPr="001F52BB">
        <w:rPr>
          <w:lang w:val="pt-BR"/>
        </w:rPr>
        <w:t>ENFATIZANDO a relevância da CITAAC em contribuir para a abertura e transparência nas Américas e para o cumprimento de um dos propósitos essenciais da Organização dos Estados Americanos dispostos em sua Carta, qual seja o de alcançar uma efetiva limitação de armas convencionais que torne possível a aplicação do montante máximo de recursos no desenvolvimento econômico e social dos Estados membros;</w:t>
      </w:r>
    </w:p>
    <w:p w14:paraId="11B0F5F5" w14:textId="77777777" w:rsidR="001F52BB" w:rsidRPr="001F52BB" w:rsidRDefault="001F52BB" w:rsidP="001F52BB">
      <w:pPr>
        <w:widowControl/>
        <w:rPr>
          <w:lang w:val="pt-BR" w:bidi="en-US"/>
        </w:rPr>
      </w:pPr>
    </w:p>
    <w:p w14:paraId="4CD867A8" w14:textId="77777777" w:rsidR="001F52BB" w:rsidRPr="001F52BB" w:rsidRDefault="001F52BB" w:rsidP="001F52BB">
      <w:pPr>
        <w:widowControl/>
        <w:ind w:firstLine="707"/>
        <w:jc w:val="both"/>
        <w:rPr>
          <w:noProof/>
          <w:lang w:val="pt-BR"/>
        </w:rPr>
      </w:pPr>
      <w:r w:rsidRPr="001F52BB">
        <w:rPr>
          <w:lang w:val="pt-BR"/>
        </w:rPr>
        <w:t>TENDO PRESENTE que a CITAAC reconhece que, em conformidade com a Carta da Organização dos Estados Americanos e a Carta das Nações Unidas, os Estados membros têm o direito inerente de legítima defesa individual e coletiva;</w:t>
      </w:r>
    </w:p>
    <w:p w14:paraId="250D85F4" w14:textId="77777777" w:rsidR="001F52BB" w:rsidRPr="001F52BB" w:rsidRDefault="001F52BB" w:rsidP="001F52BB">
      <w:pPr>
        <w:widowControl/>
        <w:rPr>
          <w:noProof/>
          <w:lang w:val="pt-BR"/>
        </w:rPr>
      </w:pPr>
    </w:p>
    <w:p w14:paraId="12D8A707" w14:textId="77777777" w:rsidR="001F52BB" w:rsidRPr="001F52BB" w:rsidRDefault="001F52BB" w:rsidP="001F52BB">
      <w:pPr>
        <w:widowControl/>
        <w:ind w:firstLine="707"/>
        <w:jc w:val="both"/>
        <w:rPr>
          <w:lang w:val="pt-BR"/>
        </w:rPr>
      </w:pPr>
      <w:r w:rsidRPr="001F52BB">
        <w:rPr>
          <w:lang w:val="pt-BR"/>
        </w:rPr>
        <w:t>REAFIRMANDO a importância da transparência nas aquisições e transferências de armas convencionais como medidas de fortalecimento da confiança e da segurança destinadas a contribuir para a redução das tensões e para o fortalecimento da paz e da segurança regional e internacional;</w:t>
      </w:r>
    </w:p>
    <w:p w14:paraId="1C8C72AA" w14:textId="77777777" w:rsidR="001F52BB" w:rsidRPr="001F52BB" w:rsidRDefault="001F52BB" w:rsidP="001F52BB">
      <w:pPr>
        <w:widowControl/>
        <w:rPr>
          <w:lang w:val="pt-BR"/>
        </w:rPr>
      </w:pPr>
    </w:p>
    <w:p w14:paraId="5317A34C" w14:textId="77777777" w:rsidR="001F52BB" w:rsidRPr="001F52BB" w:rsidRDefault="001F52BB" w:rsidP="001F52BB">
      <w:pPr>
        <w:widowControl/>
        <w:ind w:firstLine="707"/>
        <w:jc w:val="both"/>
        <w:rPr>
          <w:lang w:val="pt-BR"/>
        </w:rPr>
      </w:pPr>
      <w:r w:rsidRPr="001F52BB">
        <w:rPr>
          <w:lang w:val="pt-BR"/>
        </w:rPr>
        <w:t>RECONHECENDO a importância de continuar desenvolvendo a cooperação e assistência técnica para facilitar a plena implementação da CITAAC, e a necessidade de enfrentar os desafios colocados pelas exigências de relatórios;</w:t>
      </w:r>
    </w:p>
    <w:p w14:paraId="4CE075A6" w14:textId="77777777" w:rsidR="001F52BB" w:rsidRPr="001F52BB" w:rsidRDefault="001F52BB" w:rsidP="001F52BB">
      <w:pPr>
        <w:widowControl/>
        <w:jc w:val="both"/>
        <w:rPr>
          <w:lang w:val="pt-BR"/>
        </w:rPr>
      </w:pPr>
    </w:p>
    <w:p w14:paraId="5A0E2F61" w14:textId="77777777" w:rsidR="001F52BB" w:rsidRPr="001F52BB" w:rsidRDefault="001F52BB" w:rsidP="001F52BB">
      <w:pPr>
        <w:widowControl/>
        <w:ind w:firstLine="707"/>
        <w:jc w:val="both"/>
        <w:rPr>
          <w:lang w:val="pt-BR"/>
        </w:rPr>
      </w:pPr>
      <w:r w:rsidRPr="001F52BB">
        <w:rPr>
          <w:lang w:val="pt-BR"/>
        </w:rPr>
        <w:t>CONSIDERANDO a aprovação pela Conferência do Regulamento da Conferência dos Estados Partes e do Regulamento da Comissão Consultiva, e o mandato do parágrafo 80 da resolução AG/RES. 2970 (LI-O/21);</w:t>
      </w:r>
    </w:p>
    <w:p w14:paraId="6D3C806A" w14:textId="77777777" w:rsidR="001F52BB" w:rsidRPr="001F52BB" w:rsidRDefault="001F52BB" w:rsidP="001F52BB">
      <w:pPr>
        <w:ind w:right="116"/>
        <w:jc w:val="both"/>
        <w:rPr>
          <w:lang w:val="pt-BR"/>
        </w:rPr>
      </w:pPr>
    </w:p>
    <w:p w14:paraId="45175D17" w14:textId="77777777" w:rsidR="001F52BB" w:rsidRPr="001F52BB" w:rsidRDefault="001F52BB" w:rsidP="001F52BB">
      <w:pPr>
        <w:ind w:right="116" w:firstLine="707"/>
        <w:jc w:val="both"/>
        <w:rPr>
          <w:lang w:val="pt-BR"/>
        </w:rPr>
      </w:pPr>
      <w:r w:rsidRPr="001F52BB">
        <w:rPr>
          <w:lang w:val="pt-BR"/>
        </w:rPr>
        <w:t xml:space="preserve">NOTANDO a necessidade de fortalecer os esforços para a promoção de sinergias com o Registro de Armas Convencionais das Nações Unidas (UNROCA) e o Tratado sobre o Comércio de Armas (TCA); </w:t>
      </w:r>
    </w:p>
    <w:p w14:paraId="2C5B1B7D" w14:textId="77777777" w:rsidR="001F52BB" w:rsidRPr="001F52BB" w:rsidRDefault="001F52BB" w:rsidP="001F52BB">
      <w:pPr>
        <w:ind w:right="116"/>
        <w:jc w:val="both"/>
        <w:rPr>
          <w:lang w:val="pt-BR"/>
        </w:rPr>
      </w:pPr>
    </w:p>
    <w:p w14:paraId="3E3A65F9" w14:textId="77777777" w:rsidR="001F52BB" w:rsidRDefault="001F52BB" w:rsidP="001F52BB">
      <w:pPr>
        <w:ind w:right="116"/>
        <w:jc w:val="both"/>
      </w:pPr>
      <w:r>
        <w:t>RECOMENDAM:</w:t>
      </w:r>
    </w:p>
    <w:p w14:paraId="6166D9F2" w14:textId="77777777" w:rsidR="001F52BB" w:rsidRDefault="001F52BB" w:rsidP="001F52BB">
      <w:pPr>
        <w:pStyle w:val="BodyText"/>
      </w:pPr>
    </w:p>
    <w:p w14:paraId="41C4069C" w14:textId="77777777" w:rsidR="001F52BB" w:rsidRPr="001F52BB" w:rsidRDefault="001F52BB" w:rsidP="001F52BB">
      <w:pPr>
        <w:widowControl/>
        <w:numPr>
          <w:ilvl w:val="0"/>
          <w:numId w:val="3"/>
        </w:numPr>
        <w:tabs>
          <w:tab w:val="left" w:pos="1440"/>
        </w:tabs>
        <w:autoSpaceDE/>
        <w:ind w:left="0" w:right="119" w:firstLine="720"/>
        <w:jc w:val="both"/>
        <w:rPr>
          <w:lang w:val="pt-BR"/>
        </w:rPr>
      </w:pPr>
      <w:r w:rsidRPr="001F52BB">
        <w:rPr>
          <w:lang w:val="pt-BR"/>
        </w:rPr>
        <w:t xml:space="preserve">Reafirmar seu compromisso com os princípios da Convenção Interamericana sobre Transparência nas Aquisições de Armas Convencionais (CITAAC) e outros instrumentos correlatos aplicáveis em nível mundial, regional e sub-regional, e empreender esforços para construir confiança </w:t>
      </w:r>
      <w:r w:rsidRPr="001F52BB">
        <w:rPr>
          <w:lang w:val="pt-BR"/>
        </w:rPr>
        <w:lastRenderedPageBreak/>
        <w:t xml:space="preserve">e promover a paz na região mediante o fortalecimento das medidas de fomento da segurança e da confiança, dentre elas a melhoria da cooperação que já existe em relação a armas convencionais e assuntos de defesa; </w:t>
      </w:r>
    </w:p>
    <w:p w14:paraId="183E6584" w14:textId="77777777" w:rsidR="001F52BB" w:rsidRPr="001F52BB" w:rsidRDefault="001F52BB" w:rsidP="001F52BB">
      <w:pPr>
        <w:widowControl/>
        <w:numPr>
          <w:ilvl w:val="0"/>
          <w:numId w:val="3"/>
        </w:numPr>
        <w:tabs>
          <w:tab w:val="left" w:pos="1440"/>
        </w:tabs>
        <w:autoSpaceDE/>
        <w:ind w:left="0" w:right="119" w:firstLine="720"/>
        <w:jc w:val="both"/>
        <w:rPr>
          <w:lang w:val="pt-BR"/>
        </w:rPr>
      </w:pPr>
      <w:r w:rsidRPr="001F52BB">
        <w:rPr>
          <w:lang w:val="pt-BR"/>
        </w:rPr>
        <w:t>Convidar todos os Estados membros da OEA que ainda não o tenham feito a que considerem a possibilidade de assinar ou ratificar a Convenção ou a ela aderir.</w:t>
      </w:r>
    </w:p>
    <w:p w14:paraId="2CC94070" w14:textId="77777777" w:rsidR="001F52BB" w:rsidRPr="001F52BB" w:rsidRDefault="001F52BB" w:rsidP="001F52BB">
      <w:pPr>
        <w:widowControl/>
        <w:tabs>
          <w:tab w:val="left" w:pos="1440"/>
        </w:tabs>
        <w:autoSpaceDE/>
        <w:ind w:right="119"/>
        <w:jc w:val="both"/>
        <w:rPr>
          <w:lang w:val="pt-BR"/>
        </w:rPr>
      </w:pPr>
    </w:p>
    <w:p w14:paraId="3FB9C71A" w14:textId="77777777" w:rsidR="001F52BB" w:rsidRPr="001F52BB" w:rsidRDefault="001F52BB" w:rsidP="001F52BB">
      <w:pPr>
        <w:widowControl/>
        <w:numPr>
          <w:ilvl w:val="0"/>
          <w:numId w:val="3"/>
        </w:numPr>
        <w:tabs>
          <w:tab w:val="left" w:pos="1440"/>
        </w:tabs>
        <w:autoSpaceDE/>
        <w:ind w:left="0" w:right="119" w:firstLine="720"/>
        <w:jc w:val="both"/>
        <w:rPr>
          <w:lang w:val="pt-BR"/>
        </w:rPr>
      </w:pPr>
      <w:r w:rsidRPr="001F52BB">
        <w:rPr>
          <w:lang w:val="pt-BR"/>
        </w:rPr>
        <w:t xml:space="preserve">Exortar os Estados Partes a que apresentem, em tempo hábil, relatórios anuais e notificações em cumprimento de suas obrigações, em conformidade com os artigos III e IV da Convenção, e recomendar que considerem a possibilidade de enviar voluntariamente informações adicionais para reforçar a transparência, inclusive sobre transferências de armas pequenas e armamento leve. </w:t>
      </w:r>
    </w:p>
    <w:p w14:paraId="5518160C" w14:textId="77777777" w:rsidR="001F52BB" w:rsidRPr="001F52BB" w:rsidRDefault="001F52BB" w:rsidP="001F52BB">
      <w:pPr>
        <w:tabs>
          <w:tab w:val="left" w:pos="1440"/>
        </w:tabs>
        <w:rPr>
          <w:lang w:val="pt-BR"/>
        </w:rPr>
      </w:pPr>
    </w:p>
    <w:p w14:paraId="1812AFE4" w14:textId="77777777" w:rsidR="001F52BB" w:rsidRPr="001F52BB" w:rsidRDefault="001F52BB" w:rsidP="001F52BB">
      <w:pPr>
        <w:widowControl/>
        <w:numPr>
          <w:ilvl w:val="0"/>
          <w:numId w:val="3"/>
        </w:numPr>
        <w:tabs>
          <w:tab w:val="left" w:pos="1440"/>
        </w:tabs>
        <w:autoSpaceDE/>
        <w:ind w:left="0" w:right="119" w:firstLine="720"/>
        <w:jc w:val="both"/>
        <w:rPr>
          <w:lang w:val="pt-BR"/>
        </w:rPr>
      </w:pPr>
      <w:r w:rsidRPr="001F52BB">
        <w:rPr>
          <w:lang w:val="pt-BR"/>
        </w:rPr>
        <w:t>Solicitar aos Estados Partes que designem um ponto de contato nacional até 31 de julho de 2022 a fim de facilitar a cooperação e apoiar a elaboração e apresentação dos relatórios anuais, conforme o artigo 22 do Regulamento da Conferência dos Estados Partes; e manter a Secretaria Técnica da CITAAC atualizada com as informações de contato do ponto de contato nacional.</w:t>
      </w:r>
    </w:p>
    <w:p w14:paraId="1FF27607" w14:textId="77777777" w:rsidR="001F52BB" w:rsidRPr="001F52BB" w:rsidRDefault="001F52BB" w:rsidP="001F52BB">
      <w:pPr>
        <w:tabs>
          <w:tab w:val="left" w:pos="1440"/>
        </w:tabs>
        <w:rPr>
          <w:lang w:val="pt-BR"/>
        </w:rPr>
      </w:pPr>
    </w:p>
    <w:p w14:paraId="33A6A6DC" w14:textId="77777777" w:rsidR="001F52BB" w:rsidRPr="001F52BB" w:rsidRDefault="001F52BB" w:rsidP="001F52BB">
      <w:pPr>
        <w:widowControl/>
        <w:numPr>
          <w:ilvl w:val="0"/>
          <w:numId w:val="3"/>
        </w:numPr>
        <w:tabs>
          <w:tab w:val="left" w:pos="1440"/>
        </w:tabs>
        <w:autoSpaceDE/>
        <w:ind w:left="0" w:right="119" w:firstLine="720"/>
        <w:jc w:val="both"/>
        <w:rPr>
          <w:lang w:val="pt-BR"/>
        </w:rPr>
      </w:pPr>
      <w:r w:rsidRPr="001F52BB">
        <w:rPr>
          <w:lang w:val="pt-BR"/>
        </w:rPr>
        <w:t>Reconhecer o trabalho do Departamento de Segurança Pública da OEA (DSP/OEA), em colaboração com a Junta Interamericana de Defesa, na elaboração dos documentos para institucionalizar a Comissão Consultiva e a Secretaria Técnica da CITAAC, e solicitar à Secretaria-Geral da OEA que tome as providências necessárias para formalizar o DSP/OEA como entidade responsável por atuar como Secretaria Técnica da CITAAC.</w:t>
      </w:r>
    </w:p>
    <w:p w14:paraId="1B5C283B" w14:textId="77777777" w:rsidR="001F52BB" w:rsidRPr="001F52BB" w:rsidRDefault="001F52BB" w:rsidP="001F52BB">
      <w:pPr>
        <w:tabs>
          <w:tab w:val="left" w:pos="1440"/>
        </w:tabs>
        <w:rPr>
          <w:lang w:val="pt-BR"/>
        </w:rPr>
      </w:pPr>
    </w:p>
    <w:p w14:paraId="39801EE6" w14:textId="77777777" w:rsidR="001F52BB" w:rsidRPr="001F52BB" w:rsidRDefault="001F52BB" w:rsidP="001F52BB">
      <w:pPr>
        <w:widowControl/>
        <w:numPr>
          <w:ilvl w:val="0"/>
          <w:numId w:val="3"/>
        </w:numPr>
        <w:tabs>
          <w:tab w:val="left" w:pos="1440"/>
        </w:tabs>
        <w:autoSpaceDE/>
        <w:ind w:left="0" w:right="119" w:firstLine="720"/>
        <w:jc w:val="both"/>
        <w:rPr>
          <w:lang w:val="pt-BR"/>
        </w:rPr>
      </w:pPr>
      <w:r w:rsidRPr="001F52BB">
        <w:rPr>
          <w:lang w:val="pt-BR"/>
        </w:rPr>
        <w:t xml:space="preserve">Solicitar à Secretaria-Geral da OEA que, por meio do DSP/OEA, preste assistência técnica e cooperação, a pedido dos Estados Partes, para promover o cumprimento da Convenção e explorar estratégias para melhorar o cumprimento das exigências de apresentação de relatórios anuais, como a apresentação eletrônica de dados, a elaboração e divulgação de relatórios anuais consolidados e a cooperação com instrumentos dos sistemas das Nações Unidas e outros instrumentos internacionales com relatórios semelhantes. </w:t>
      </w:r>
    </w:p>
    <w:p w14:paraId="032E31A1" w14:textId="77777777" w:rsidR="001F52BB" w:rsidRPr="001F52BB" w:rsidRDefault="001F52BB" w:rsidP="001F52BB">
      <w:pPr>
        <w:tabs>
          <w:tab w:val="left" w:pos="1440"/>
        </w:tabs>
        <w:rPr>
          <w:lang w:val="pt-BR"/>
        </w:rPr>
      </w:pPr>
    </w:p>
    <w:p w14:paraId="1E329953" w14:textId="77777777" w:rsidR="001F52BB" w:rsidRPr="001F52BB" w:rsidRDefault="001F52BB" w:rsidP="001F52BB">
      <w:pPr>
        <w:widowControl/>
        <w:numPr>
          <w:ilvl w:val="0"/>
          <w:numId w:val="3"/>
        </w:numPr>
        <w:tabs>
          <w:tab w:val="left" w:pos="1440"/>
        </w:tabs>
        <w:autoSpaceDE/>
        <w:ind w:left="0" w:right="119" w:firstLine="720"/>
        <w:jc w:val="both"/>
        <w:rPr>
          <w:lang w:val="pt-BR"/>
        </w:rPr>
      </w:pPr>
      <w:r w:rsidRPr="001F52BB">
        <w:rPr>
          <w:lang w:val="pt-BR"/>
        </w:rPr>
        <w:t>Incentivar as organizações internacionais e regionais pertinentes, o setor privado, a indústria, as organizações não governamentais, a comunidade acadêmica e a sociedade civil a que fortaleçam sua cooperação e trabalho com os Estados Partes para o cumprimento da CITAAC, bem como outros instrumentos internacionais pertinentes, e que participem de fóruns, discussões e campanhas para gerar maior conscientização.</w:t>
      </w:r>
    </w:p>
    <w:p w14:paraId="1630C299" w14:textId="77777777" w:rsidR="001F52BB" w:rsidRPr="001F52BB" w:rsidRDefault="001F52BB" w:rsidP="001F52BB">
      <w:pPr>
        <w:tabs>
          <w:tab w:val="left" w:pos="1440"/>
        </w:tabs>
        <w:ind w:right="119"/>
        <w:jc w:val="both"/>
        <w:rPr>
          <w:lang w:val="pt-BR"/>
        </w:rPr>
      </w:pPr>
    </w:p>
    <w:p w14:paraId="67A62FF6" w14:textId="430C1765" w:rsidR="001F52BB" w:rsidRPr="001F52BB" w:rsidRDefault="001F52BB" w:rsidP="001F52BB">
      <w:pPr>
        <w:widowControl/>
        <w:numPr>
          <w:ilvl w:val="0"/>
          <w:numId w:val="3"/>
        </w:numPr>
        <w:tabs>
          <w:tab w:val="left" w:pos="1440"/>
        </w:tabs>
        <w:autoSpaceDE/>
        <w:ind w:left="0" w:right="119" w:firstLine="720"/>
        <w:jc w:val="both"/>
        <w:rPr>
          <w:lang w:val="pt-BR"/>
        </w:rPr>
      </w:pPr>
      <w:r w:rsidRPr="001F52BB">
        <w:rPr>
          <w:lang w:val="pt-BR"/>
        </w:rPr>
        <w:t xml:space="preserve">Convidar os Estados membros a que considerem a possibilidade de fornecer recursos financeiros ao Departamento de Segurança Pública da Secretaria Geral da OEA, na sua qualidade de Secretaria Técnica da CITAAC, a fim de que possa prestar a assistência técnica necessária aos Estados membros que dela necessitem, permitindo assim a implementação efetiva da CITAAC. </w:t>
      </w:r>
      <w:r>
        <w:rPr>
          <w:noProof/>
        </w:rPr>
        <mc:AlternateContent>
          <mc:Choice Requires="wps">
            <w:drawing>
              <wp:anchor distT="0" distB="0" distL="114300" distR="114300" simplePos="0" relativeHeight="251659264" behindDoc="0" locked="1" layoutInCell="1" allowOverlap="1" wp14:anchorId="7AEB36E3" wp14:editId="3ACF7018">
                <wp:simplePos x="0" y="0"/>
                <wp:positionH relativeFrom="column">
                  <wp:posOffset>-91440</wp:posOffset>
                </wp:positionH>
                <wp:positionV relativeFrom="page">
                  <wp:posOffset>9144000</wp:posOffset>
                </wp:positionV>
                <wp:extent cx="338328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2CA5AC56" w14:textId="771B5B10" w:rsidR="001F52BB" w:rsidRDefault="001F52BB" w:rsidP="001F52BB">
                            <w:pPr>
                              <w:rPr>
                                <w:sz w:val="18"/>
                              </w:rPr>
                            </w:pPr>
                            <w:r>
                              <w:rPr>
                                <w:sz w:val="18"/>
                              </w:rPr>
                              <w:fldChar w:fldCharType="begin"/>
                            </w:r>
                            <w:r>
                              <w:rPr>
                                <w:sz w:val="18"/>
                              </w:rPr>
                              <w:instrText xml:space="preserve"> FILENAME  \* MERGEFORMAT </w:instrText>
                            </w:r>
                            <w:r>
                              <w:rPr>
                                <w:sz w:val="18"/>
                              </w:rPr>
                              <w:fldChar w:fldCharType="separate"/>
                            </w:r>
                            <w:r w:rsidR="001C57E0">
                              <w:rPr>
                                <w:noProof/>
                                <w:sz w:val="18"/>
                              </w:rPr>
                              <w:t>DPASP00152P01</w:t>
                            </w:r>
                            <w:r>
                              <w:rPr>
                                <w:sz w:val="18"/>
                              </w:rPr>
                              <w:fldChar w:fldCharType="end"/>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AEB36E3" id="_x0000_t202" coordsize="21600,21600" o:spt="202" path="m,l,21600r21600,l21600,xe">
                <v:stroke joinstyle="miter"/>
                <v:path gradientshapeok="t" o:connecttype="rect"/>
              </v:shapetype>
              <v:shape id="Text Box 2" o:spid="_x0000_s1026" type="#_x0000_t202" style="position:absolute;left:0;text-align:left;margin-left:-7.2pt;margin-top:10in;width:266.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" filled="f" stroked="f">
                <v:stroke joinstyle="round"/>
                <v:textbox>
                  <w:txbxContent>
                    <w:p w14:paraId="2CA5AC56" w14:textId="771B5B10" w:rsidR="001F52BB" w:rsidRDefault="001F52BB" w:rsidP="001F52BB">
                      <w:pPr>
                        <w:rPr>
                          <w:sz w:val="18"/>
                        </w:rPr>
                      </w:pPr>
                      <w:r>
                        <w:rPr>
                          <w:sz w:val="18"/>
                        </w:rPr>
                        <w:fldChar w:fldCharType="begin"/>
                      </w:r>
                      <w:r>
                        <w:rPr>
                          <w:sz w:val="18"/>
                        </w:rPr>
                        <w:instrText xml:space="preserve"> FILENAME  \* MERGEFORMAT </w:instrText>
                      </w:r>
                      <w:r>
                        <w:rPr>
                          <w:sz w:val="18"/>
                        </w:rPr>
                        <w:fldChar w:fldCharType="separate"/>
                      </w:r>
                      <w:r w:rsidR="001C57E0">
                        <w:rPr>
                          <w:noProof/>
                          <w:sz w:val="18"/>
                        </w:rPr>
                        <w:t>DPASP00152P01</w:t>
                      </w:r>
                      <w:r>
                        <w:rPr>
                          <w:sz w:val="18"/>
                        </w:rPr>
                        <w:fldChar w:fldCharType="end"/>
                      </w:r>
                    </w:p>
                  </w:txbxContent>
                </v:textbox>
                <w10:wrap anchory="page"/>
                <w10:anchorlock/>
              </v:shape>
            </w:pict>
          </mc:Fallback>
        </mc:AlternateContent>
      </w:r>
    </w:p>
    <w:p w14:paraId="1A403CE3" w14:textId="668E449D" w:rsidR="007F559C" w:rsidRPr="001F52BB" w:rsidRDefault="007F559C" w:rsidP="001F52BB">
      <w:pPr>
        <w:rPr>
          <w:lang w:val="pt-BR"/>
        </w:rPr>
      </w:pPr>
    </w:p>
    <w:sectPr w:rsidR="007F559C" w:rsidRPr="001F52BB" w:rsidSect="00BD4CE4">
      <w:headerReference w:type="default" r:id="rId11"/>
      <w:pgSz w:w="12240" w:h="15840"/>
      <w:pgMar w:top="2160" w:right="1570" w:bottom="1296" w:left="1699" w:header="720" w:footer="720" w:gutter="0"/>
      <w:pgNumType w:fmt="numberInDash"/>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DF792" w14:textId="77777777" w:rsidR="009375B4" w:rsidRDefault="009375B4" w:rsidP="007F559C">
      <w:r>
        <w:separator/>
      </w:r>
    </w:p>
  </w:endnote>
  <w:endnote w:type="continuationSeparator" w:id="0">
    <w:p w14:paraId="4E24C70C" w14:textId="77777777" w:rsidR="009375B4" w:rsidRDefault="009375B4" w:rsidP="007F559C">
      <w:r>
        <w:continuationSeparator/>
      </w:r>
    </w:p>
  </w:endnote>
  <w:endnote w:type="continuationNotice" w:id="1">
    <w:p w14:paraId="17F57645" w14:textId="77777777" w:rsidR="009375B4" w:rsidRDefault="009375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G Times">
    <w:panose1 w:val="02020603050405020304"/>
    <w:charset w:val="00"/>
    <w:family w:val="roman"/>
    <w:pitch w:val="variable"/>
    <w:sig w:usb0="00000007" w:usb1="00000000" w:usb2="00000000" w:usb3="00000000" w:csb0="00000093" w:csb1="00000000"/>
  </w:font>
  <w:font w:name="SimSun">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044D9" w14:textId="77777777" w:rsidR="009375B4" w:rsidRDefault="009375B4" w:rsidP="007F559C">
      <w:r>
        <w:separator/>
      </w:r>
    </w:p>
  </w:footnote>
  <w:footnote w:type="continuationSeparator" w:id="0">
    <w:p w14:paraId="499FBFA4" w14:textId="77777777" w:rsidR="009375B4" w:rsidRDefault="009375B4" w:rsidP="007F559C">
      <w:r>
        <w:continuationSeparator/>
      </w:r>
    </w:p>
  </w:footnote>
  <w:footnote w:type="continuationNotice" w:id="1">
    <w:p w14:paraId="48168ABB" w14:textId="77777777" w:rsidR="009375B4" w:rsidRDefault="009375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309324"/>
      <w:docPartObj>
        <w:docPartGallery w:val="Page Numbers (Top of Page)"/>
        <w:docPartUnique/>
      </w:docPartObj>
    </w:sdtPr>
    <w:sdtEndPr>
      <w:rPr>
        <w:noProof/>
      </w:rPr>
    </w:sdtEndPr>
    <w:sdtContent>
      <w:p w14:paraId="25869455" w14:textId="3F37ADF5" w:rsidR="00BD4CE4" w:rsidRDefault="00BD4CE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8FFC009" w14:textId="77777777" w:rsidR="00BD4CE4" w:rsidRDefault="00BD4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684129"/>
    <w:multiLevelType w:val="hybridMultilevel"/>
    <w:tmpl w:val="FFF895BC"/>
    <w:lvl w:ilvl="0" w:tplc="B45E07EA">
      <w:start w:val="1"/>
      <w:numFmt w:val="decimal"/>
      <w:lvlText w:val="%1."/>
      <w:lvlJc w:val="left"/>
      <w:pPr>
        <w:ind w:left="118" w:hanging="516"/>
      </w:pPr>
      <w:rPr>
        <w:rFonts w:ascii="Times New Roman" w:eastAsia="Times New Roman" w:hAnsi="Times New Roman" w:cs="Times New Roman" w:hint="default"/>
        <w:w w:val="100"/>
        <w:sz w:val="22"/>
        <w:szCs w:val="22"/>
        <w:lang w:val="es-ES" w:eastAsia="en-US" w:bidi="ar-SA"/>
      </w:rPr>
    </w:lvl>
    <w:lvl w:ilvl="1" w:tplc="D9F08244">
      <w:numFmt w:val="bullet"/>
      <w:lvlText w:val="•"/>
      <w:lvlJc w:val="left"/>
      <w:pPr>
        <w:ind w:left="1072" w:hanging="516"/>
      </w:pPr>
      <w:rPr>
        <w:rFonts w:hint="default"/>
        <w:lang w:val="es-ES" w:eastAsia="en-US" w:bidi="ar-SA"/>
      </w:rPr>
    </w:lvl>
    <w:lvl w:ilvl="2" w:tplc="F0522FFC">
      <w:numFmt w:val="bullet"/>
      <w:lvlText w:val="•"/>
      <w:lvlJc w:val="left"/>
      <w:pPr>
        <w:ind w:left="2024" w:hanging="516"/>
      </w:pPr>
      <w:rPr>
        <w:rFonts w:hint="default"/>
        <w:lang w:val="es-ES" w:eastAsia="en-US" w:bidi="ar-SA"/>
      </w:rPr>
    </w:lvl>
    <w:lvl w:ilvl="3" w:tplc="5D46A34E">
      <w:numFmt w:val="bullet"/>
      <w:lvlText w:val="•"/>
      <w:lvlJc w:val="left"/>
      <w:pPr>
        <w:ind w:left="2976" w:hanging="516"/>
      </w:pPr>
      <w:rPr>
        <w:rFonts w:hint="default"/>
        <w:lang w:val="es-ES" w:eastAsia="en-US" w:bidi="ar-SA"/>
      </w:rPr>
    </w:lvl>
    <w:lvl w:ilvl="4" w:tplc="8E20C4D6">
      <w:numFmt w:val="bullet"/>
      <w:lvlText w:val="•"/>
      <w:lvlJc w:val="left"/>
      <w:pPr>
        <w:ind w:left="3928" w:hanging="516"/>
      </w:pPr>
      <w:rPr>
        <w:rFonts w:hint="default"/>
        <w:lang w:val="es-ES" w:eastAsia="en-US" w:bidi="ar-SA"/>
      </w:rPr>
    </w:lvl>
    <w:lvl w:ilvl="5" w:tplc="F5F0956A">
      <w:numFmt w:val="bullet"/>
      <w:lvlText w:val="•"/>
      <w:lvlJc w:val="left"/>
      <w:pPr>
        <w:ind w:left="4880" w:hanging="516"/>
      </w:pPr>
      <w:rPr>
        <w:rFonts w:hint="default"/>
        <w:lang w:val="es-ES" w:eastAsia="en-US" w:bidi="ar-SA"/>
      </w:rPr>
    </w:lvl>
    <w:lvl w:ilvl="6" w:tplc="81948C24">
      <w:numFmt w:val="bullet"/>
      <w:lvlText w:val="•"/>
      <w:lvlJc w:val="left"/>
      <w:pPr>
        <w:ind w:left="5832" w:hanging="516"/>
      </w:pPr>
      <w:rPr>
        <w:rFonts w:hint="default"/>
        <w:lang w:val="es-ES" w:eastAsia="en-US" w:bidi="ar-SA"/>
      </w:rPr>
    </w:lvl>
    <w:lvl w:ilvl="7" w:tplc="C7C69D06">
      <w:numFmt w:val="bullet"/>
      <w:lvlText w:val="•"/>
      <w:lvlJc w:val="left"/>
      <w:pPr>
        <w:ind w:left="6784" w:hanging="516"/>
      </w:pPr>
      <w:rPr>
        <w:rFonts w:hint="default"/>
        <w:lang w:val="es-ES" w:eastAsia="en-US" w:bidi="ar-SA"/>
      </w:rPr>
    </w:lvl>
    <w:lvl w:ilvl="8" w:tplc="967EF976">
      <w:numFmt w:val="bullet"/>
      <w:lvlText w:val="•"/>
      <w:lvlJc w:val="left"/>
      <w:pPr>
        <w:ind w:left="7736" w:hanging="516"/>
      </w:pPr>
      <w:rPr>
        <w:rFonts w:hint="default"/>
        <w:lang w:val="es-ES" w:eastAsia="en-US" w:bidi="ar-SA"/>
      </w:rPr>
    </w:lvl>
  </w:abstractNum>
  <w:num w:numId="1" w16cid:durableId="69156093">
    <w:abstractNumId w:val="0"/>
  </w:num>
  <w:num w:numId="2" w16cid:durableId="1568374278">
    <w:abstractNumId w:val="0"/>
    <w:lvlOverride w:ilvl="0">
      <w:startOverride w:val="1"/>
    </w:lvlOverride>
    <w:lvlOverride w:ilvl="1"/>
    <w:lvlOverride w:ilvl="2"/>
    <w:lvlOverride w:ilvl="3"/>
    <w:lvlOverride w:ilvl="4"/>
    <w:lvlOverride w:ilvl="5"/>
    <w:lvlOverride w:ilvl="6"/>
    <w:lvlOverride w:ilvl="7"/>
    <w:lvlOverride w:ilvl="8"/>
  </w:num>
  <w:num w:numId="3" w16cid:durableId="127406988">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I0MTaxNLYwMQABJR2l4NTi4sz8PJACs1oAqO6RWiwAAAA="/>
  </w:docVars>
  <w:rsids>
    <w:rsidRoot w:val="004076A9"/>
    <w:rsid w:val="00011F60"/>
    <w:rsid w:val="00027040"/>
    <w:rsid w:val="000C2334"/>
    <w:rsid w:val="0012202B"/>
    <w:rsid w:val="00125D01"/>
    <w:rsid w:val="00147EB0"/>
    <w:rsid w:val="001849DF"/>
    <w:rsid w:val="001C57E0"/>
    <w:rsid w:val="001D5471"/>
    <w:rsid w:val="001F1A6C"/>
    <w:rsid w:val="001F52BB"/>
    <w:rsid w:val="001F53EE"/>
    <w:rsid w:val="00200940"/>
    <w:rsid w:val="00260FCB"/>
    <w:rsid w:val="002A07BE"/>
    <w:rsid w:val="00304A0B"/>
    <w:rsid w:val="00334393"/>
    <w:rsid w:val="003707BB"/>
    <w:rsid w:val="003940BF"/>
    <w:rsid w:val="003A56F8"/>
    <w:rsid w:val="003A740D"/>
    <w:rsid w:val="003B3152"/>
    <w:rsid w:val="004076A9"/>
    <w:rsid w:val="00414B8F"/>
    <w:rsid w:val="0042542B"/>
    <w:rsid w:val="004431C8"/>
    <w:rsid w:val="004A7755"/>
    <w:rsid w:val="004B36BF"/>
    <w:rsid w:val="004C2227"/>
    <w:rsid w:val="005266A8"/>
    <w:rsid w:val="00543861"/>
    <w:rsid w:val="00545A1C"/>
    <w:rsid w:val="00570E88"/>
    <w:rsid w:val="0057116C"/>
    <w:rsid w:val="00594B8C"/>
    <w:rsid w:val="005972C4"/>
    <w:rsid w:val="005E4036"/>
    <w:rsid w:val="006156C9"/>
    <w:rsid w:val="00616A6A"/>
    <w:rsid w:val="00625020"/>
    <w:rsid w:val="00687389"/>
    <w:rsid w:val="006957DC"/>
    <w:rsid w:val="006970F0"/>
    <w:rsid w:val="006A11F9"/>
    <w:rsid w:val="006B4F68"/>
    <w:rsid w:val="006D5B76"/>
    <w:rsid w:val="007203D5"/>
    <w:rsid w:val="007230C8"/>
    <w:rsid w:val="00730DC7"/>
    <w:rsid w:val="00745379"/>
    <w:rsid w:val="00747291"/>
    <w:rsid w:val="00756044"/>
    <w:rsid w:val="007753BA"/>
    <w:rsid w:val="007B314B"/>
    <w:rsid w:val="007B4BC7"/>
    <w:rsid w:val="007F559C"/>
    <w:rsid w:val="008203D1"/>
    <w:rsid w:val="00832F3D"/>
    <w:rsid w:val="00864F77"/>
    <w:rsid w:val="00865C0E"/>
    <w:rsid w:val="008775AB"/>
    <w:rsid w:val="00882279"/>
    <w:rsid w:val="008D6202"/>
    <w:rsid w:val="008F17F6"/>
    <w:rsid w:val="008F215E"/>
    <w:rsid w:val="008F50F8"/>
    <w:rsid w:val="00904842"/>
    <w:rsid w:val="009375B4"/>
    <w:rsid w:val="00950A20"/>
    <w:rsid w:val="00972CB5"/>
    <w:rsid w:val="00992CB4"/>
    <w:rsid w:val="0099431D"/>
    <w:rsid w:val="009B01F6"/>
    <w:rsid w:val="009D5169"/>
    <w:rsid w:val="009F5A43"/>
    <w:rsid w:val="00A02B56"/>
    <w:rsid w:val="00A51722"/>
    <w:rsid w:val="00AB7AAC"/>
    <w:rsid w:val="00AC3ED4"/>
    <w:rsid w:val="00AD7606"/>
    <w:rsid w:val="00B326D0"/>
    <w:rsid w:val="00B6205F"/>
    <w:rsid w:val="00B76040"/>
    <w:rsid w:val="00B8189C"/>
    <w:rsid w:val="00BC2D77"/>
    <w:rsid w:val="00BC5C3E"/>
    <w:rsid w:val="00BC6D58"/>
    <w:rsid w:val="00BD4CE4"/>
    <w:rsid w:val="00BD690D"/>
    <w:rsid w:val="00BE3AE0"/>
    <w:rsid w:val="00C52AA0"/>
    <w:rsid w:val="00C624E4"/>
    <w:rsid w:val="00C96B58"/>
    <w:rsid w:val="00CA2FF5"/>
    <w:rsid w:val="00CB0EC3"/>
    <w:rsid w:val="00CC48FA"/>
    <w:rsid w:val="00CD6AEB"/>
    <w:rsid w:val="00D77318"/>
    <w:rsid w:val="00DC13FF"/>
    <w:rsid w:val="00DD330C"/>
    <w:rsid w:val="00E734A2"/>
    <w:rsid w:val="00F16196"/>
    <w:rsid w:val="00F4553D"/>
    <w:rsid w:val="00F762CC"/>
    <w:rsid w:val="7FCBD06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FF7BA0"/>
  <w15:docId w15:val="{7FF3D5EC-EE14-4058-ACF4-ED565238C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6A9"/>
    <w:pPr>
      <w:widowControl w:val="0"/>
      <w:autoSpaceDE w:val="0"/>
      <w:autoSpaceDN w:val="0"/>
      <w:spacing w:after="0" w:line="240" w:lineRule="auto"/>
    </w:pPr>
    <w:rPr>
      <w:rFonts w:ascii="Times New Roman" w:eastAsia="Times New Roman" w:hAnsi="Times New Roman" w:cs="Times New Roman"/>
      <w:lang w:val="es-ES"/>
    </w:rPr>
  </w:style>
  <w:style w:type="paragraph" w:styleId="Heading1">
    <w:name w:val="heading 1"/>
    <w:basedOn w:val="Normal"/>
    <w:next w:val="Normal"/>
    <w:link w:val="Heading1Char"/>
    <w:uiPriority w:val="9"/>
    <w:qFormat/>
    <w:rsid w:val="00B6205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076A9"/>
  </w:style>
  <w:style w:type="character" w:customStyle="1" w:styleId="BodyTextChar">
    <w:name w:val="Body Text Char"/>
    <w:basedOn w:val="DefaultParagraphFont"/>
    <w:link w:val="BodyText"/>
    <w:uiPriority w:val="1"/>
    <w:rsid w:val="004076A9"/>
    <w:rPr>
      <w:rFonts w:ascii="Times New Roman" w:eastAsia="Times New Roman" w:hAnsi="Times New Roman" w:cs="Times New Roman"/>
      <w:lang w:val="es-ES"/>
    </w:rPr>
  </w:style>
  <w:style w:type="paragraph" w:styleId="Title">
    <w:name w:val="Title"/>
    <w:basedOn w:val="Normal"/>
    <w:link w:val="TitleChar"/>
    <w:uiPriority w:val="10"/>
    <w:qFormat/>
    <w:rsid w:val="004076A9"/>
    <w:pPr>
      <w:spacing w:before="77"/>
      <w:ind w:left="1470" w:right="1420" w:firstLine="816"/>
    </w:pPr>
    <w:rPr>
      <w:b/>
      <w:bCs/>
    </w:rPr>
  </w:style>
  <w:style w:type="character" w:customStyle="1" w:styleId="TitleChar">
    <w:name w:val="Title Char"/>
    <w:basedOn w:val="DefaultParagraphFont"/>
    <w:link w:val="Title"/>
    <w:uiPriority w:val="10"/>
    <w:rsid w:val="004076A9"/>
    <w:rPr>
      <w:rFonts w:ascii="Times New Roman" w:eastAsia="Times New Roman" w:hAnsi="Times New Roman" w:cs="Times New Roman"/>
      <w:b/>
      <w:bCs/>
      <w:lang w:val="es-ES"/>
    </w:rPr>
  </w:style>
  <w:style w:type="paragraph" w:styleId="ListParagraph">
    <w:name w:val="List Paragraph"/>
    <w:basedOn w:val="Normal"/>
    <w:uiPriority w:val="1"/>
    <w:qFormat/>
    <w:rsid w:val="004076A9"/>
    <w:pPr>
      <w:ind w:left="118" w:right="112" w:firstLine="899"/>
      <w:jc w:val="both"/>
    </w:pPr>
  </w:style>
  <w:style w:type="character" w:customStyle="1" w:styleId="Heading1Char">
    <w:name w:val="Heading 1 Char"/>
    <w:basedOn w:val="DefaultParagraphFont"/>
    <w:link w:val="Heading1"/>
    <w:uiPriority w:val="9"/>
    <w:rsid w:val="00B6205F"/>
    <w:rPr>
      <w:rFonts w:asciiTheme="majorHAnsi" w:eastAsiaTheme="majorEastAsia" w:hAnsiTheme="majorHAnsi" w:cstheme="majorBidi"/>
      <w:color w:val="2F5496" w:themeColor="accent1" w:themeShade="BF"/>
      <w:sz w:val="32"/>
      <w:szCs w:val="32"/>
      <w:lang w:val="es-ES"/>
    </w:rPr>
  </w:style>
  <w:style w:type="character" w:styleId="CommentReference">
    <w:name w:val="annotation reference"/>
    <w:basedOn w:val="DefaultParagraphFont"/>
    <w:uiPriority w:val="99"/>
    <w:semiHidden/>
    <w:unhideWhenUsed/>
    <w:rsid w:val="002A07BE"/>
    <w:rPr>
      <w:sz w:val="16"/>
      <w:szCs w:val="16"/>
    </w:rPr>
  </w:style>
  <w:style w:type="paragraph" w:styleId="CommentText">
    <w:name w:val="annotation text"/>
    <w:basedOn w:val="Normal"/>
    <w:link w:val="CommentTextChar"/>
    <w:uiPriority w:val="99"/>
    <w:semiHidden/>
    <w:unhideWhenUsed/>
    <w:rsid w:val="002A07BE"/>
    <w:rPr>
      <w:sz w:val="20"/>
      <w:szCs w:val="20"/>
    </w:rPr>
  </w:style>
  <w:style w:type="character" w:customStyle="1" w:styleId="CommentTextChar">
    <w:name w:val="Comment Text Char"/>
    <w:basedOn w:val="DefaultParagraphFont"/>
    <w:link w:val="CommentText"/>
    <w:uiPriority w:val="99"/>
    <w:semiHidden/>
    <w:rsid w:val="002A07BE"/>
    <w:rPr>
      <w:rFonts w:ascii="Times New Roman" w:eastAsia="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sid w:val="002A07BE"/>
    <w:rPr>
      <w:b/>
      <w:bCs/>
    </w:rPr>
  </w:style>
  <w:style w:type="character" w:customStyle="1" w:styleId="CommentSubjectChar">
    <w:name w:val="Comment Subject Char"/>
    <w:basedOn w:val="CommentTextChar"/>
    <w:link w:val="CommentSubject"/>
    <w:uiPriority w:val="99"/>
    <w:semiHidden/>
    <w:rsid w:val="002A07BE"/>
    <w:rPr>
      <w:rFonts w:ascii="Times New Roman" w:eastAsia="Times New Roman" w:hAnsi="Times New Roman" w:cs="Times New Roman"/>
      <w:b/>
      <w:bCs/>
      <w:sz w:val="20"/>
      <w:szCs w:val="20"/>
      <w:lang w:val="es-ES"/>
    </w:rPr>
  </w:style>
  <w:style w:type="paragraph" w:styleId="Header">
    <w:name w:val="header"/>
    <w:basedOn w:val="Normal"/>
    <w:link w:val="HeaderChar"/>
    <w:uiPriority w:val="99"/>
    <w:unhideWhenUsed/>
    <w:rsid w:val="007F559C"/>
    <w:pPr>
      <w:tabs>
        <w:tab w:val="center" w:pos="4680"/>
        <w:tab w:val="right" w:pos="9360"/>
      </w:tabs>
    </w:pPr>
  </w:style>
  <w:style w:type="character" w:customStyle="1" w:styleId="HeaderChar">
    <w:name w:val="Header Char"/>
    <w:basedOn w:val="DefaultParagraphFont"/>
    <w:link w:val="Header"/>
    <w:uiPriority w:val="99"/>
    <w:rsid w:val="007F559C"/>
    <w:rPr>
      <w:rFonts w:ascii="Times New Roman" w:eastAsia="Times New Roman" w:hAnsi="Times New Roman" w:cs="Times New Roman"/>
      <w:lang w:val="es-ES"/>
    </w:rPr>
  </w:style>
  <w:style w:type="paragraph" w:styleId="Footer">
    <w:name w:val="footer"/>
    <w:basedOn w:val="Normal"/>
    <w:link w:val="FooterChar"/>
    <w:uiPriority w:val="99"/>
    <w:unhideWhenUsed/>
    <w:rsid w:val="007F559C"/>
    <w:pPr>
      <w:tabs>
        <w:tab w:val="center" w:pos="4680"/>
        <w:tab w:val="right" w:pos="9360"/>
      </w:tabs>
    </w:pPr>
  </w:style>
  <w:style w:type="character" w:customStyle="1" w:styleId="FooterChar">
    <w:name w:val="Footer Char"/>
    <w:basedOn w:val="DefaultParagraphFont"/>
    <w:link w:val="Footer"/>
    <w:uiPriority w:val="99"/>
    <w:rsid w:val="007F559C"/>
    <w:rPr>
      <w:rFonts w:ascii="Times New Roman" w:eastAsia="Times New Roman" w:hAnsi="Times New Roman" w:cs="Times New Roman"/>
      <w:lang w:val="es-ES"/>
    </w:rPr>
  </w:style>
  <w:style w:type="paragraph" w:styleId="EndnoteText">
    <w:name w:val="endnote text"/>
    <w:basedOn w:val="Normal"/>
    <w:link w:val="EndnoteTextChar"/>
    <w:rsid w:val="008F215E"/>
    <w:pPr>
      <w:tabs>
        <w:tab w:val="left" w:pos="720"/>
        <w:tab w:val="left" w:pos="1440"/>
        <w:tab w:val="left" w:pos="2160"/>
        <w:tab w:val="left" w:pos="2880"/>
        <w:tab w:val="left" w:pos="3600"/>
        <w:tab w:val="left" w:pos="4320"/>
        <w:tab w:val="left" w:pos="5760"/>
        <w:tab w:val="left" w:pos="6480"/>
        <w:tab w:val="left" w:pos="7200"/>
        <w:tab w:val="left" w:pos="7920"/>
      </w:tabs>
      <w:autoSpaceDE/>
      <w:autoSpaceDN/>
      <w:jc w:val="both"/>
    </w:pPr>
    <w:rPr>
      <w:rFonts w:ascii="CG Times" w:eastAsia="SimSun" w:hAnsi="CG Times"/>
      <w:szCs w:val="20"/>
      <w:lang w:eastAsia="zh-CN"/>
    </w:rPr>
  </w:style>
  <w:style w:type="character" w:customStyle="1" w:styleId="EndnoteTextChar">
    <w:name w:val="Endnote Text Char"/>
    <w:basedOn w:val="DefaultParagraphFont"/>
    <w:link w:val="EndnoteText"/>
    <w:rsid w:val="008F215E"/>
    <w:rPr>
      <w:rFonts w:ascii="CG Times" w:eastAsia="SimSun" w:hAnsi="CG Times" w:cs="Times New Roman"/>
      <w:szCs w:val="20"/>
      <w:lang w:val="es-ES" w:eastAsia="zh-CN"/>
    </w:rPr>
  </w:style>
  <w:style w:type="paragraph" w:styleId="BalloonText">
    <w:name w:val="Balloon Text"/>
    <w:basedOn w:val="Normal"/>
    <w:link w:val="BalloonTextChar"/>
    <w:semiHidden/>
    <w:rsid w:val="008F215E"/>
    <w:pPr>
      <w:widowControl/>
      <w:autoSpaceDE/>
      <w:autoSpaceDN/>
    </w:pPr>
    <w:rPr>
      <w:rFonts w:ascii="Tahoma" w:hAnsi="Tahoma" w:cs="Tahoma"/>
      <w:sz w:val="16"/>
      <w:szCs w:val="16"/>
      <w:lang w:val="en-US"/>
    </w:rPr>
  </w:style>
  <w:style w:type="character" w:customStyle="1" w:styleId="BalloonTextChar">
    <w:name w:val="Balloon Text Char"/>
    <w:basedOn w:val="DefaultParagraphFont"/>
    <w:link w:val="BalloonText"/>
    <w:semiHidden/>
    <w:rsid w:val="008F215E"/>
    <w:rPr>
      <w:rFonts w:ascii="Tahoma" w:eastAsia="Times New Roman" w:hAnsi="Tahoma" w:cs="Tahoma"/>
      <w:sz w:val="16"/>
      <w:szCs w:val="16"/>
      <w:lang w:val="en-US"/>
    </w:rPr>
  </w:style>
  <w:style w:type="paragraph" w:styleId="Revision">
    <w:name w:val="Revision"/>
    <w:hidden/>
    <w:uiPriority w:val="99"/>
    <w:semiHidden/>
    <w:rsid w:val="001849DF"/>
    <w:pPr>
      <w:spacing w:after="0" w:line="240" w:lineRule="auto"/>
    </w:pPr>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601952">
      <w:bodyDiv w:val="1"/>
      <w:marLeft w:val="0"/>
      <w:marRight w:val="0"/>
      <w:marTop w:val="0"/>
      <w:marBottom w:val="0"/>
      <w:divBdr>
        <w:top w:val="none" w:sz="0" w:space="0" w:color="auto"/>
        <w:left w:val="none" w:sz="0" w:space="0" w:color="auto"/>
        <w:bottom w:val="none" w:sz="0" w:space="0" w:color="auto"/>
        <w:right w:val="none" w:sz="0" w:space="0" w:color="auto"/>
      </w:divBdr>
    </w:div>
    <w:div w:id="1472863049">
      <w:bodyDiv w:val="1"/>
      <w:marLeft w:val="0"/>
      <w:marRight w:val="0"/>
      <w:marTop w:val="0"/>
      <w:marBottom w:val="0"/>
      <w:divBdr>
        <w:top w:val="none" w:sz="0" w:space="0" w:color="auto"/>
        <w:left w:val="none" w:sz="0" w:space="0" w:color="auto"/>
        <w:bottom w:val="none" w:sz="0" w:space="0" w:color="auto"/>
        <w:right w:val="none" w:sz="0" w:space="0" w:color="auto"/>
      </w:divBdr>
    </w:div>
    <w:div w:id="1497067430">
      <w:bodyDiv w:val="1"/>
      <w:marLeft w:val="0"/>
      <w:marRight w:val="0"/>
      <w:marTop w:val="0"/>
      <w:marBottom w:val="0"/>
      <w:divBdr>
        <w:top w:val="none" w:sz="0" w:space="0" w:color="auto"/>
        <w:left w:val="none" w:sz="0" w:space="0" w:color="auto"/>
        <w:bottom w:val="none" w:sz="0" w:space="0" w:color="auto"/>
        <w:right w:val="none" w:sz="0" w:space="0" w:color="auto"/>
      </w:divBdr>
    </w:div>
    <w:div w:id="195297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b0d1605-260b-47fd-804b-8c27edd2405b">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A4F217CB57A14084E98EFFAD3C7D62" ma:contentTypeVersion="13" ma:contentTypeDescription="Create a new document." ma:contentTypeScope="" ma:versionID="126ad7bb14d80183512cac346430aea6">
  <xsd:schema xmlns:xsd="http://www.w3.org/2001/XMLSchema" xmlns:xs="http://www.w3.org/2001/XMLSchema" xmlns:p="http://schemas.microsoft.com/office/2006/metadata/properties" xmlns:ns2="8b0d1605-260b-47fd-804b-8c27edd2405b" xmlns:ns3="730f74aa-8393-4aa5-b2f8-3c7aae566a68" targetNamespace="http://schemas.microsoft.com/office/2006/metadata/properties" ma:root="true" ma:fieldsID="633102269903bb9e93c1f5352fbcc284" ns2:_="" ns3:_="">
    <xsd:import namespace="8b0d1605-260b-47fd-804b-8c27edd2405b"/>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d1605-260b-47fd-804b-8c27edd2405b"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5DA82-DE6D-4CAB-8BE9-6118E111EB36}">
  <ds:schemaRefs>
    <ds:schemaRef ds:uri="http://schemas.microsoft.com/office/2006/metadata/properties"/>
    <ds:schemaRef ds:uri="http://schemas.microsoft.com/office/infopath/2007/PartnerControls"/>
    <ds:schemaRef ds:uri="8b0d1605-260b-47fd-804b-8c27edd2405b"/>
  </ds:schemaRefs>
</ds:datastoreItem>
</file>

<file path=customXml/itemProps2.xml><?xml version="1.0" encoding="utf-8"?>
<ds:datastoreItem xmlns:ds="http://schemas.openxmlformats.org/officeDocument/2006/customXml" ds:itemID="{72056E3F-637D-4397-B2C0-18F2220C7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0d1605-260b-47fd-804b-8c27edd2405b"/>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4D986E-20CE-4EE2-9459-63E0998977FB}">
  <ds:schemaRefs>
    <ds:schemaRef ds:uri="http://schemas.microsoft.com/sharepoint/v3/contenttype/forms"/>
  </ds:schemaRefs>
</ds:datastoreItem>
</file>

<file path=customXml/itemProps4.xml><?xml version="1.0" encoding="utf-8"?>
<ds:datastoreItem xmlns:ds="http://schemas.openxmlformats.org/officeDocument/2006/customXml" ds:itemID="{23C45899-7ADB-4DF5-BB65-CF1ED2DCF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MZZ</dc:creator>
  <cp:lastModifiedBy>Lobaton, Ursula</cp:lastModifiedBy>
  <cp:revision>3</cp:revision>
  <dcterms:created xsi:type="dcterms:W3CDTF">2022-04-19T21:19:00Z</dcterms:created>
  <dcterms:modified xsi:type="dcterms:W3CDTF">2022-04-19T21:20:00Z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0x01010003A4F217CB57A14084E98EFFAD3C7D62</vt:lpwstr>
  </property>
</Properties>
</file>