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6796B" w14:textId="77777777" w:rsidR="00D90589" w:rsidRDefault="00D90589" w:rsidP="00D90589">
      <w:pPr>
        <w:tabs>
          <w:tab w:val="left" w:pos="7200"/>
        </w:tabs>
        <w:suppressAutoHyphens/>
        <w:spacing w:after="0" w:line="240" w:lineRule="auto"/>
        <w:ind w:right="-749"/>
        <w:rPr>
          <w:rFonts w:ascii="Times New Roman" w:eastAsia="Times New Roman" w:hAnsi="Times New Roman"/>
          <w:bCs/>
          <w:caps/>
        </w:rPr>
      </w:pPr>
      <w:r>
        <w:rPr>
          <w:rFonts w:ascii="Times New Roman" w:hAnsi="Times New Roman"/>
          <w:caps/>
        </w:rPr>
        <w:t>CONVENTION INTERAMÉRICAINE SUR LA</w:t>
      </w:r>
      <w:r>
        <w:rPr>
          <w:rFonts w:ascii="Times New Roman" w:hAnsi="Times New Roman"/>
          <w:caps/>
        </w:rPr>
        <w:tab/>
        <w:t>OEA/S</w:t>
      </w:r>
      <w:r>
        <w:rPr>
          <w:rFonts w:ascii="Times New Roman" w:hAnsi="Times New Roman"/>
        </w:rPr>
        <w:t>er.K/XLIV.2</w:t>
      </w:r>
    </w:p>
    <w:p w14:paraId="20ECF7A2" w14:textId="77777777" w:rsidR="00D90589" w:rsidRDefault="00D90589" w:rsidP="00D90589">
      <w:pPr>
        <w:tabs>
          <w:tab w:val="left" w:pos="7200"/>
        </w:tabs>
        <w:suppressAutoHyphens/>
        <w:spacing w:after="0" w:line="240" w:lineRule="auto"/>
        <w:ind w:right="-749"/>
        <w:rPr>
          <w:rFonts w:ascii="Times New Roman" w:eastAsia="Times New Roman" w:hAnsi="Times New Roman"/>
          <w:bCs/>
          <w:caps/>
        </w:rPr>
      </w:pPr>
      <w:r>
        <w:rPr>
          <w:rFonts w:ascii="Times New Roman" w:hAnsi="Times New Roman"/>
          <w:caps/>
        </w:rPr>
        <w:t>TRANSPARENCE DE L’ACQUISITION DES</w:t>
      </w:r>
      <w:r>
        <w:rPr>
          <w:rFonts w:ascii="Times New Roman" w:hAnsi="Times New Roman"/>
          <w:caps/>
        </w:rPr>
        <w:tab/>
        <w:t>CITAAC/CEP-II/INF.1</w:t>
      </w:r>
      <w:r>
        <w:rPr>
          <w:rFonts w:ascii="Times New Roman" w:hAnsi="Times New Roman"/>
        </w:rPr>
        <w:t>/22</w:t>
      </w:r>
    </w:p>
    <w:p w14:paraId="3DE4BBC6" w14:textId="77777777" w:rsidR="00D90589" w:rsidRDefault="00D90589" w:rsidP="00D90589">
      <w:pPr>
        <w:tabs>
          <w:tab w:val="left" w:pos="7200"/>
        </w:tabs>
        <w:suppressAutoHyphens/>
        <w:spacing w:after="0" w:line="240" w:lineRule="auto"/>
        <w:ind w:right="-749"/>
        <w:rPr>
          <w:rFonts w:ascii="Times New Roman" w:eastAsia="Times New Roman" w:hAnsi="Times New Roman"/>
          <w:bCs/>
          <w:caps/>
        </w:rPr>
      </w:pPr>
      <w:r>
        <w:rPr>
          <w:rFonts w:ascii="Times New Roman" w:hAnsi="Times New Roman"/>
          <w:caps/>
        </w:rPr>
        <w:t>ARMES CLASSIQUES (CITAAC)</w:t>
      </w:r>
      <w:r>
        <w:rPr>
          <w:rFonts w:ascii="Times New Roman" w:hAnsi="Times New Roman"/>
          <w:caps/>
        </w:rPr>
        <w:tab/>
        <w:t xml:space="preserve">25 </w:t>
      </w:r>
      <w:r>
        <w:rPr>
          <w:rFonts w:ascii="Times New Roman" w:hAnsi="Times New Roman"/>
        </w:rPr>
        <w:t>mars</w:t>
      </w:r>
      <w:r>
        <w:rPr>
          <w:rFonts w:ascii="Times New Roman" w:hAnsi="Times New Roman"/>
          <w:caps/>
        </w:rPr>
        <w:t xml:space="preserve"> 2022</w:t>
      </w:r>
    </w:p>
    <w:p w14:paraId="0B045E12" w14:textId="77777777" w:rsidR="00D90589" w:rsidRDefault="00D90589" w:rsidP="00D90589">
      <w:pPr>
        <w:tabs>
          <w:tab w:val="left" w:pos="7200"/>
        </w:tabs>
        <w:spacing w:after="0" w:line="240" w:lineRule="auto"/>
        <w:ind w:right="-749"/>
        <w:rPr>
          <w:rFonts w:ascii="Times New Roman" w:eastAsia="Times New Roman" w:hAnsi="Times New Roman"/>
          <w:u w:val="single"/>
        </w:rPr>
      </w:pPr>
      <w:r>
        <w:rPr>
          <w:rFonts w:ascii="Times New Roman" w:hAnsi="Times New Roman"/>
          <w:u w:val="single"/>
        </w:rPr>
        <w:t>Deuxième Conférence des États parties</w:t>
      </w:r>
      <w:r>
        <w:rPr>
          <w:rFonts w:ascii="Times New Roman" w:hAnsi="Times New Roman"/>
        </w:rPr>
        <w:tab/>
        <w:t>Original: anglais</w:t>
      </w:r>
    </w:p>
    <w:p w14:paraId="4199826D" w14:textId="77777777" w:rsidR="00D90589" w:rsidRDefault="00D90589" w:rsidP="00D90589">
      <w:pPr>
        <w:tabs>
          <w:tab w:val="left" w:pos="6545"/>
        </w:tabs>
        <w:spacing w:after="0" w:line="240" w:lineRule="auto"/>
        <w:rPr>
          <w:rFonts w:ascii="Times New Roman" w:eastAsia="Times New Roman" w:hAnsi="Times New Roman"/>
        </w:rPr>
      </w:pPr>
      <w:r>
        <w:rPr>
          <w:rFonts w:ascii="Times New Roman" w:hAnsi="Times New Roman"/>
        </w:rPr>
        <w:t>19 avril 2022</w:t>
      </w:r>
    </w:p>
    <w:p w14:paraId="392D57AE" w14:textId="77777777" w:rsidR="00D90589" w:rsidRDefault="00D90589" w:rsidP="00D90589">
      <w:pPr>
        <w:tabs>
          <w:tab w:val="left" w:pos="6545"/>
        </w:tabs>
        <w:spacing w:after="0" w:line="240" w:lineRule="auto"/>
        <w:rPr>
          <w:rFonts w:ascii="Times New Roman" w:eastAsia="Times New Roman" w:hAnsi="Times New Roman"/>
        </w:rPr>
      </w:pPr>
      <w:r>
        <w:rPr>
          <w:rFonts w:ascii="Times New Roman" w:hAnsi="Times New Roman"/>
        </w:rPr>
        <w:t>Format virtuel</w:t>
      </w:r>
    </w:p>
    <w:p w14:paraId="1B897E03" w14:textId="77777777" w:rsidR="00D90589" w:rsidRDefault="00D90589" w:rsidP="00D90589">
      <w:pPr>
        <w:spacing w:after="0" w:line="240" w:lineRule="auto"/>
        <w:rPr>
          <w:rFonts w:ascii="Times New Roman" w:eastAsia="Calibri" w:hAnsi="Times New Roman"/>
          <w:lang w:val="fr-FR"/>
        </w:rPr>
      </w:pPr>
    </w:p>
    <w:p w14:paraId="04B3FDBA" w14:textId="77777777" w:rsidR="00D90589" w:rsidRDefault="00D90589" w:rsidP="00D90589">
      <w:pPr>
        <w:spacing w:after="0" w:line="240" w:lineRule="auto"/>
        <w:rPr>
          <w:rFonts w:ascii="Times New Roman" w:eastAsia="Calibri" w:hAnsi="Times New Roman"/>
          <w:lang w:val="fr-FR"/>
        </w:rPr>
      </w:pPr>
    </w:p>
    <w:p w14:paraId="08198ABC" w14:textId="77777777" w:rsidR="00D90589" w:rsidRDefault="00D90589" w:rsidP="00D90589">
      <w:pPr>
        <w:spacing w:after="0" w:line="240" w:lineRule="auto"/>
        <w:rPr>
          <w:rFonts w:ascii="Times New Roman" w:eastAsia="Calibri" w:hAnsi="Times New Roman"/>
          <w:lang w:val="fr-FR"/>
        </w:rPr>
      </w:pPr>
    </w:p>
    <w:p w14:paraId="56EC10AF" w14:textId="77777777" w:rsidR="00D90589" w:rsidRDefault="00D90589" w:rsidP="00D90589">
      <w:pPr>
        <w:spacing w:after="0" w:line="240" w:lineRule="auto"/>
        <w:rPr>
          <w:rFonts w:ascii="Times New Roman" w:eastAsia="Calibri" w:hAnsi="Times New Roman"/>
          <w:lang w:val="fr-FR"/>
        </w:rPr>
      </w:pPr>
    </w:p>
    <w:p w14:paraId="3948E0DE" w14:textId="77777777" w:rsidR="00D90589" w:rsidRDefault="00D90589" w:rsidP="00D90589">
      <w:pPr>
        <w:widowControl w:val="0"/>
        <w:autoSpaceDE w:val="0"/>
        <w:autoSpaceDN w:val="0"/>
        <w:spacing w:after="0" w:line="240" w:lineRule="auto"/>
        <w:ind w:left="2814" w:right="2814"/>
        <w:jc w:val="center"/>
        <w:rPr>
          <w:rFonts w:ascii="Times New Roman" w:hAnsi="Times New Roman"/>
        </w:rPr>
      </w:pPr>
      <w:r>
        <w:rPr>
          <w:rFonts w:ascii="Times New Roman" w:hAnsi="Times New Roman"/>
        </w:rPr>
        <w:t>NOTE D’INFORMATION</w:t>
      </w:r>
    </w:p>
    <w:p w14:paraId="3BE76F94" w14:textId="77777777" w:rsidR="00D90589" w:rsidRDefault="00D90589" w:rsidP="00D90589">
      <w:pPr>
        <w:spacing w:after="0" w:line="240" w:lineRule="auto"/>
        <w:rPr>
          <w:rFonts w:ascii="Times New Roman" w:eastAsia="Times New Roman" w:hAnsi="Times New Roman"/>
        </w:rPr>
      </w:pPr>
    </w:p>
    <w:p w14:paraId="38B04CD2" w14:textId="77777777" w:rsidR="00D90589" w:rsidRDefault="00D90589" w:rsidP="00D90589">
      <w:pPr>
        <w:spacing w:after="0" w:line="240" w:lineRule="auto"/>
        <w:jc w:val="center"/>
        <w:rPr>
          <w:rFonts w:ascii="Times New Roman" w:eastAsia="Calibri" w:hAnsi="Times New Roman"/>
        </w:rPr>
      </w:pPr>
      <w:r>
        <w:rPr>
          <w:rFonts w:ascii="Times New Roman" w:hAnsi="Times New Roman"/>
        </w:rPr>
        <w:t>(Présentée par le Canada)</w:t>
      </w:r>
    </w:p>
    <w:p w14:paraId="5E7FD5C6" w14:textId="77777777" w:rsidR="00D90589" w:rsidRDefault="00D90589" w:rsidP="00D90589">
      <w:pPr>
        <w:spacing w:after="0" w:line="240" w:lineRule="auto"/>
        <w:jc w:val="both"/>
        <w:rPr>
          <w:rFonts w:ascii="Times New Roman" w:eastAsia="Calibri" w:hAnsi="Times New Roman"/>
        </w:rPr>
      </w:pPr>
    </w:p>
    <w:p w14:paraId="693903B0" w14:textId="77777777" w:rsidR="00D90589" w:rsidRDefault="00D90589" w:rsidP="00D90589">
      <w:pPr>
        <w:spacing w:after="0" w:line="240" w:lineRule="auto"/>
        <w:jc w:val="both"/>
        <w:rPr>
          <w:rFonts w:ascii="Times New Roman" w:eastAsia="Calibri" w:hAnsi="Times New Roman"/>
        </w:rPr>
      </w:pPr>
    </w:p>
    <w:p w14:paraId="4B4F7351" w14:textId="77777777" w:rsidR="00D90589" w:rsidRDefault="00D90589" w:rsidP="00D90589">
      <w:pPr>
        <w:autoSpaceDE w:val="0"/>
        <w:autoSpaceDN w:val="0"/>
        <w:adjustRightInd w:val="0"/>
        <w:spacing w:after="0" w:line="240" w:lineRule="auto"/>
        <w:jc w:val="both"/>
        <w:rPr>
          <w:rFonts w:ascii="Times New Roman" w:hAnsi="Times New Roman"/>
          <w:b/>
        </w:rPr>
      </w:pPr>
      <w:r>
        <w:rPr>
          <w:rFonts w:ascii="Times New Roman" w:hAnsi="Times New Roman"/>
          <w:b/>
        </w:rPr>
        <w:t>APERÇU</w:t>
      </w:r>
    </w:p>
    <w:p w14:paraId="4207D859" w14:textId="77777777" w:rsidR="00D90589" w:rsidRDefault="00D90589" w:rsidP="00D90589">
      <w:pPr>
        <w:autoSpaceDE w:val="0"/>
        <w:autoSpaceDN w:val="0"/>
        <w:adjustRightInd w:val="0"/>
        <w:spacing w:after="0" w:line="240" w:lineRule="auto"/>
        <w:jc w:val="both"/>
        <w:rPr>
          <w:rFonts w:ascii="Times New Roman" w:hAnsi="Times New Roman"/>
          <w:lang w:val="fr-FR"/>
        </w:rPr>
      </w:pPr>
    </w:p>
    <w:p w14:paraId="420393B7" w14:textId="77777777" w:rsidR="00D90589" w:rsidRDefault="00D90589" w:rsidP="00D90589">
      <w:pPr>
        <w:autoSpaceDE w:val="0"/>
        <w:autoSpaceDN w:val="0"/>
        <w:adjustRightInd w:val="0"/>
        <w:spacing w:after="0" w:line="240" w:lineRule="auto"/>
        <w:ind w:firstLine="720"/>
        <w:jc w:val="both"/>
        <w:rPr>
          <w:rFonts w:ascii="Times New Roman" w:hAnsi="Times New Roman"/>
        </w:rPr>
      </w:pPr>
      <w:r>
        <w:rPr>
          <w:rFonts w:ascii="Times New Roman" w:hAnsi="Times New Roman"/>
        </w:rPr>
        <w:t>Le présent document a pour objet d'établir les questions qui seront abordées lors de la deuxième Conférence des États parties à la Convention interaméricaine sur la transparence de l'acquisition des armes classiques (CITAAC), qui se tiendra sous la présidence du Canada, en format virtuel, le 19 avril 2022.</w:t>
      </w:r>
    </w:p>
    <w:p w14:paraId="1E46B4F7" w14:textId="77777777" w:rsidR="00D90589" w:rsidRDefault="00D90589" w:rsidP="00D90589">
      <w:pPr>
        <w:autoSpaceDE w:val="0"/>
        <w:autoSpaceDN w:val="0"/>
        <w:adjustRightInd w:val="0"/>
        <w:spacing w:after="0" w:line="240" w:lineRule="auto"/>
        <w:jc w:val="both"/>
        <w:rPr>
          <w:rFonts w:ascii="Times New Roman" w:hAnsi="Times New Roman"/>
          <w:lang w:val="fr-FR"/>
        </w:rPr>
      </w:pPr>
    </w:p>
    <w:p w14:paraId="19992746" w14:textId="77777777" w:rsidR="00D90589" w:rsidRDefault="00D90589" w:rsidP="00D90589">
      <w:pPr>
        <w:autoSpaceDE w:val="0"/>
        <w:autoSpaceDN w:val="0"/>
        <w:adjustRightInd w:val="0"/>
        <w:spacing w:after="0" w:line="240" w:lineRule="auto"/>
        <w:ind w:firstLine="720"/>
        <w:jc w:val="both"/>
        <w:rPr>
          <w:rFonts w:ascii="Times New Roman" w:hAnsi="Times New Roman"/>
        </w:rPr>
      </w:pPr>
      <w:r>
        <w:rPr>
          <w:rFonts w:ascii="Times New Roman" w:hAnsi="Times New Roman"/>
        </w:rPr>
        <w:t>La Conférence des États parties à la CITAAC est l'organe politique suprême de la Convention et réunit les autorités des États parties pour examiner son fonctionnement et son application et pour envisager de nouvelles mesures de transparence conformément à ses objectifs (article VIII de la CITAAC). En outre, lors de cette deuxième Conférence, les États parties à la CITAAC analyseront une stratégie d'institutionnalisation de la Convention afin de favoriser la conformité aux obligations relatives aux rapports annuels et l'adhésion à la CITAAC.</w:t>
      </w:r>
    </w:p>
    <w:p w14:paraId="23845D1B" w14:textId="77777777" w:rsidR="00D90589" w:rsidRDefault="00D90589" w:rsidP="00D90589">
      <w:pPr>
        <w:autoSpaceDE w:val="0"/>
        <w:autoSpaceDN w:val="0"/>
        <w:adjustRightInd w:val="0"/>
        <w:spacing w:after="0" w:line="240" w:lineRule="auto"/>
        <w:jc w:val="both"/>
        <w:rPr>
          <w:rFonts w:ascii="Times New Roman" w:hAnsi="Times New Roman"/>
          <w:bCs/>
          <w:lang w:val="fr-FR"/>
        </w:rPr>
      </w:pPr>
    </w:p>
    <w:p w14:paraId="27F4A2E3" w14:textId="77777777" w:rsidR="00D90589" w:rsidRDefault="00D90589" w:rsidP="00D90589">
      <w:pPr>
        <w:autoSpaceDE w:val="0"/>
        <w:autoSpaceDN w:val="0"/>
        <w:adjustRightInd w:val="0"/>
        <w:spacing w:after="0" w:line="240" w:lineRule="auto"/>
        <w:jc w:val="both"/>
        <w:rPr>
          <w:rFonts w:ascii="Times New Roman" w:hAnsi="Times New Roman"/>
          <w:b/>
        </w:rPr>
      </w:pPr>
      <w:r>
        <w:rPr>
          <w:rFonts w:ascii="Times New Roman" w:hAnsi="Times New Roman"/>
          <w:b/>
        </w:rPr>
        <w:t>JUSTIFICATION</w:t>
      </w:r>
    </w:p>
    <w:p w14:paraId="6F199C47" w14:textId="77777777" w:rsidR="00D90589" w:rsidRDefault="00D90589" w:rsidP="00D90589">
      <w:pPr>
        <w:autoSpaceDE w:val="0"/>
        <w:autoSpaceDN w:val="0"/>
        <w:adjustRightInd w:val="0"/>
        <w:spacing w:after="0" w:line="240" w:lineRule="auto"/>
        <w:jc w:val="both"/>
        <w:rPr>
          <w:rFonts w:ascii="Times New Roman" w:hAnsi="Times New Roman"/>
          <w:lang w:val="fr-FR"/>
        </w:rPr>
      </w:pPr>
    </w:p>
    <w:p w14:paraId="448D4A60" w14:textId="77777777" w:rsidR="00D90589" w:rsidRDefault="00D90589" w:rsidP="00D90589">
      <w:pPr>
        <w:autoSpaceDE w:val="0"/>
        <w:autoSpaceDN w:val="0"/>
        <w:adjustRightInd w:val="0"/>
        <w:spacing w:after="0" w:line="240" w:lineRule="auto"/>
        <w:ind w:firstLine="720"/>
        <w:jc w:val="both"/>
        <w:rPr>
          <w:rFonts w:ascii="Times New Roman" w:hAnsi="Times New Roman"/>
        </w:rPr>
      </w:pPr>
      <w:r>
        <w:rPr>
          <w:rFonts w:ascii="Times New Roman" w:hAnsi="Times New Roman"/>
        </w:rPr>
        <w:t xml:space="preserve">La transparence concernant les acquisitions d'armes classiques est une mesure importante pour contribuer à la paix et à la stabilité dans le monde. C'est dans cet esprit que la CITAAC a été adoptée en 1999. La Convention est entrée en vigueur en 2002 : elle a été ratifiée par 17 États membres de l'OEA et signée par 4 États membres de l'OEA. </w:t>
      </w:r>
    </w:p>
    <w:p w14:paraId="7B6B2501" w14:textId="77777777" w:rsidR="00D90589" w:rsidRDefault="00D90589" w:rsidP="00D90589">
      <w:pPr>
        <w:autoSpaceDE w:val="0"/>
        <w:autoSpaceDN w:val="0"/>
        <w:adjustRightInd w:val="0"/>
        <w:spacing w:after="0" w:line="240" w:lineRule="auto"/>
        <w:jc w:val="both"/>
        <w:rPr>
          <w:rFonts w:ascii="Times New Roman" w:hAnsi="Times New Roman"/>
          <w:lang w:val="fr-FR"/>
        </w:rPr>
      </w:pPr>
    </w:p>
    <w:p w14:paraId="5877994A" w14:textId="77777777" w:rsidR="00D90589" w:rsidRDefault="00D90589" w:rsidP="00D90589">
      <w:pPr>
        <w:autoSpaceDE w:val="0"/>
        <w:autoSpaceDN w:val="0"/>
        <w:adjustRightInd w:val="0"/>
        <w:spacing w:after="0" w:line="240" w:lineRule="auto"/>
        <w:ind w:firstLine="720"/>
        <w:jc w:val="both"/>
        <w:rPr>
          <w:rFonts w:ascii="Times New Roman" w:hAnsi="Times New Roman"/>
        </w:rPr>
      </w:pPr>
      <w:r>
        <w:rPr>
          <w:rFonts w:ascii="Times New Roman" w:hAnsi="Times New Roman"/>
        </w:rPr>
        <w:t xml:space="preserve">Par le biais de la CITAAC, les gouvernements se sont engagés à fournir des rapports annuels sur leurs importations et exportations d'armes, ainsi que sur leur production nationale. L'échange de ces informations peut favoriser la confiance et renforcer la confiance dans la région. Il peut également contribuer à l'identification précoce et à la prévention de tout risque lié à des accumulations excessives ou déstabilisantes. Les armes classiques sont celles qui sont habituellement utilisées dans les conflits armés, comme les chars de combat, les missiles et les véhicules de combat blindés. La plupart des pays ont une législation qui interdit aux civils de porter ces armes, dont l'usage est limité aux forces armées. En étant transparents et prévisibles, les États peuvent renforcer la confiance tout en maintenant leurs besoins légitimes en matière de sécurité. </w:t>
      </w:r>
    </w:p>
    <w:p w14:paraId="7F408485" w14:textId="77777777" w:rsidR="00D90589" w:rsidRDefault="00D90589" w:rsidP="00D90589">
      <w:pPr>
        <w:autoSpaceDE w:val="0"/>
        <w:autoSpaceDN w:val="0"/>
        <w:adjustRightInd w:val="0"/>
        <w:spacing w:after="0" w:line="240" w:lineRule="auto"/>
        <w:jc w:val="both"/>
        <w:rPr>
          <w:rFonts w:ascii="Times New Roman" w:hAnsi="Times New Roman"/>
          <w:lang w:val="fr-FR"/>
        </w:rPr>
      </w:pPr>
    </w:p>
    <w:p w14:paraId="6928DDF2" w14:textId="77777777" w:rsidR="00D90589" w:rsidRDefault="00D90589" w:rsidP="00D90589">
      <w:pPr>
        <w:autoSpaceDE w:val="0"/>
        <w:autoSpaceDN w:val="0"/>
        <w:adjustRightInd w:val="0"/>
        <w:spacing w:after="0" w:line="240" w:lineRule="auto"/>
        <w:ind w:firstLine="720"/>
        <w:jc w:val="both"/>
        <w:rPr>
          <w:rFonts w:ascii="Times New Roman" w:hAnsi="Times New Roman"/>
        </w:rPr>
      </w:pPr>
      <w:r>
        <w:rPr>
          <w:rFonts w:ascii="Times New Roman" w:hAnsi="Times New Roman"/>
        </w:rPr>
        <w:lastRenderedPageBreak/>
        <w:t>Actuellement, l'efficacité de la CITAAC a été diminuée par le faible nombre de rapports présentés par les États parties et par l'absence d'espaces constructifs pour promouvoir le dialogue entre eux. Au total, la CITAAC a tenu cinq réunions de politique :</w:t>
      </w:r>
    </w:p>
    <w:p w14:paraId="5FD78206" w14:textId="77777777" w:rsidR="00D90589" w:rsidRDefault="00D90589" w:rsidP="00D90589">
      <w:pPr>
        <w:autoSpaceDE w:val="0"/>
        <w:autoSpaceDN w:val="0"/>
        <w:adjustRightInd w:val="0"/>
        <w:spacing w:after="0" w:line="240" w:lineRule="auto"/>
        <w:jc w:val="both"/>
        <w:rPr>
          <w:rFonts w:ascii="Times New Roman" w:hAnsi="Times New Roman"/>
          <w:lang w:val="fr-FR"/>
        </w:rPr>
      </w:pPr>
    </w:p>
    <w:p w14:paraId="69A41CB5" w14:textId="77777777" w:rsidR="00D90589" w:rsidRDefault="00D90589" w:rsidP="00D90589">
      <w:pPr>
        <w:pStyle w:val="ListParagraph"/>
        <w:numPr>
          <w:ilvl w:val="0"/>
          <w:numId w:val="42"/>
        </w:numPr>
        <w:spacing w:after="0" w:line="240" w:lineRule="auto"/>
        <w:jc w:val="both"/>
        <w:rPr>
          <w:rFonts w:ascii="Times New Roman" w:eastAsia="Times New Roman" w:hAnsi="Times New Roman"/>
        </w:rPr>
      </w:pPr>
      <w:r>
        <w:rPr>
          <w:rFonts w:ascii="Times New Roman" w:hAnsi="Times New Roman"/>
        </w:rPr>
        <w:t>2006 - Première Réunion des États parties à la CITAAC (en prévision de la Conférence des États parties de 2009)</w:t>
      </w:r>
    </w:p>
    <w:p w14:paraId="57EE479C" w14:textId="77777777" w:rsidR="00D90589" w:rsidRDefault="00D90589" w:rsidP="00D90589">
      <w:pPr>
        <w:pStyle w:val="ListParagraph"/>
        <w:numPr>
          <w:ilvl w:val="0"/>
          <w:numId w:val="42"/>
        </w:numPr>
        <w:spacing w:after="0" w:line="240" w:lineRule="auto"/>
        <w:jc w:val="both"/>
        <w:rPr>
          <w:rFonts w:ascii="Times New Roman" w:eastAsia="Times New Roman" w:hAnsi="Times New Roman"/>
        </w:rPr>
      </w:pPr>
      <w:r>
        <w:rPr>
          <w:rFonts w:ascii="Times New Roman" w:hAnsi="Times New Roman"/>
        </w:rPr>
        <w:t>2008 - Deuxième Réunion des États parties à la CITAAC (en prévision de la Conférence des États parties en 2009)</w:t>
      </w:r>
    </w:p>
    <w:p w14:paraId="6B3E0F2D" w14:textId="77777777" w:rsidR="00D90589" w:rsidRDefault="00D90589" w:rsidP="00D90589">
      <w:pPr>
        <w:pStyle w:val="ListParagraph"/>
        <w:numPr>
          <w:ilvl w:val="0"/>
          <w:numId w:val="42"/>
        </w:numPr>
        <w:spacing w:after="0" w:line="240" w:lineRule="auto"/>
        <w:jc w:val="both"/>
        <w:rPr>
          <w:rFonts w:ascii="Times New Roman" w:eastAsia="Times New Roman" w:hAnsi="Times New Roman"/>
        </w:rPr>
      </w:pPr>
      <w:r>
        <w:rPr>
          <w:rFonts w:ascii="Times New Roman" w:hAnsi="Times New Roman"/>
        </w:rPr>
        <w:t>2009 - Troisième Réunion des États parties à la CITAAC (en prévision de la Conférence des États parties en 2009)</w:t>
      </w:r>
    </w:p>
    <w:p w14:paraId="46D91394" w14:textId="77777777" w:rsidR="00D90589" w:rsidRDefault="00D90589" w:rsidP="00D90589">
      <w:pPr>
        <w:pStyle w:val="ListParagraph"/>
        <w:numPr>
          <w:ilvl w:val="0"/>
          <w:numId w:val="42"/>
        </w:numPr>
        <w:spacing w:after="0" w:line="240" w:lineRule="auto"/>
        <w:jc w:val="both"/>
        <w:rPr>
          <w:rFonts w:ascii="Times New Roman" w:eastAsia="Times New Roman" w:hAnsi="Times New Roman"/>
        </w:rPr>
      </w:pPr>
      <w:r>
        <w:rPr>
          <w:rFonts w:ascii="Times New Roman" w:hAnsi="Times New Roman"/>
        </w:rPr>
        <w:t>2009 - Première Conférence des États parties à la CITAAC</w:t>
      </w:r>
    </w:p>
    <w:p w14:paraId="10D0F3B4" w14:textId="77777777" w:rsidR="00D90589" w:rsidRDefault="00D90589" w:rsidP="00D90589">
      <w:pPr>
        <w:pStyle w:val="ListParagraph"/>
        <w:numPr>
          <w:ilvl w:val="0"/>
          <w:numId w:val="42"/>
        </w:numPr>
        <w:spacing w:after="0" w:line="240" w:lineRule="auto"/>
        <w:jc w:val="both"/>
        <w:rPr>
          <w:rFonts w:ascii="Times New Roman" w:eastAsia="Times New Roman" w:hAnsi="Times New Roman"/>
        </w:rPr>
      </w:pPr>
      <w:r>
        <w:rPr>
          <w:rFonts w:ascii="Times New Roman" w:hAnsi="Times New Roman"/>
        </w:rPr>
        <w:t>2013 - Réunion des points de contact nationaux de la CITAAC</w:t>
      </w:r>
    </w:p>
    <w:p w14:paraId="3B21F930" w14:textId="77777777" w:rsidR="00D90589" w:rsidRDefault="00D90589" w:rsidP="00D90589">
      <w:pPr>
        <w:autoSpaceDE w:val="0"/>
        <w:autoSpaceDN w:val="0"/>
        <w:adjustRightInd w:val="0"/>
        <w:spacing w:after="0" w:line="240" w:lineRule="auto"/>
        <w:jc w:val="both"/>
        <w:rPr>
          <w:rFonts w:ascii="Times New Roman" w:hAnsi="Times New Roman"/>
          <w:lang w:val="fr-FR"/>
        </w:rPr>
      </w:pPr>
    </w:p>
    <w:p w14:paraId="21617424" w14:textId="77777777" w:rsidR="00D90589" w:rsidRDefault="00D90589" w:rsidP="00D90589">
      <w:pPr>
        <w:autoSpaceDE w:val="0"/>
        <w:autoSpaceDN w:val="0"/>
        <w:adjustRightInd w:val="0"/>
        <w:spacing w:after="0" w:line="240" w:lineRule="auto"/>
        <w:ind w:firstLine="720"/>
        <w:jc w:val="both"/>
        <w:rPr>
          <w:rFonts w:ascii="Times New Roman" w:eastAsia="Times New Roman" w:hAnsi="Times New Roman"/>
        </w:rPr>
      </w:pPr>
      <w:r>
        <w:rPr>
          <w:rFonts w:ascii="Times New Roman" w:hAnsi="Times New Roman"/>
        </w:rPr>
        <w:t>À ces occasions, les États parties ont discuté des défis à relever pour se conformer aux obligations concernant les rapports annuels, ainsi que des stratégies pour augmenter le nombre de rapports présentés. Ils ont réitéré la nécessité de mettre en place des mécanismes de suivi afin d'accroître la mise en œuvre de la CITAAC et d'aider les États parties à mettre en œuvre ses dispositions, y compris la création d'un Secrétariat technique. Le Secrétariat technique serait en mesure d'aider les pays à établir leurs rapports, de systématiser et disséminer les informations contenues dans les rapports, de même que de promouvoir le dialogue entre les États parties en organisant systématiquement des conférences et des réunions.</w:t>
      </w:r>
    </w:p>
    <w:p w14:paraId="32B14A6B" w14:textId="77777777" w:rsidR="00D90589" w:rsidRDefault="00D90589" w:rsidP="00D90589">
      <w:pPr>
        <w:autoSpaceDE w:val="0"/>
        <w:autoSpaceDN w:val="0"/>
        <w:adjustRightInd w:val="0"/>
        <w:spacing w:after="0" w:line="240" w:lineRule="auto"/>
        <w:jc w:val="both"/>
        <w:rPr>
          <w:rFonts w:ascii="Times New Roman" w:hAnsi="Times New Roman"/>
          <w:lang w:val="fr-FR"/>
        </w:rPr>
      </w:pPr>
    </w:p>
    <w:p w14:paraId="5680AD55" w14:textId="77777777" w:rsidR="00D90589" w:rsidRDefault="00D90589" w:rsidP="00D90589">
      <w:pPr>
        <w:autoSpaceDE w:val="0"/>
        <w:autoSpaceDN w:val="0"/>
        <w:adjustRightInd w:val="0"/>
        <w:spacing w:after="0" w:line="240" w:lineRule="auto"/>
        <w:ind w:firstLine="720"/>
        <w:jc w:val="both"/>
        <w:rPr>
          <w:rFonts w:ascii="Times New Roman" w:hAnsi="Times New Roman"/>
        </w:rPr>
      </w:pPr>
      <w:r>
        <w:rPr>
          <w:rFonts w:ascii="Times New Roman" w:hAnsi="Times New Roman"/>
        </w:rPr>
        <w:t xml:space="preserve">Avec l'organisation de la Deuxième Conférence, on s'attend à ce que les États parties envisagent la mise en place de la gouvernance de la CITAAC, avec l'institutionnalisation du Comité consultatif et du Secrétariat technique, afin de renforcer la Convention. En outre, on s'attend à ce qu'un débat approfondi ait lieu sur la voie à suivre pour la CITAAC. </w:t>
      </w:r>
    </w:p>
    <w:p w14:paraId="21867424" w14:textId="77777777" w:rsidR="00D90589" w:rsidRDefault="00D90589" w:rsidP="00D90589">
      <w:pPr>
        <w:autoSpaceDE w:val="0"/>
        <w:autoSpaceDN w:val="0"/>
        <w:adjustRightInd w:val="0"/>
        <w:spacing w:after="0" w:line="240" w:lineRule="auto"/>
        <w:jc w:val="both"/>
        <w:rPr>
          <w:rFonts w:ascii="Times New Roman" w:hAnsi="Times New Roman"/>
          <w:lang w:val="fr-FR"/>
        </w:rPr>
      </w:pPr>
    </w:p>
    <w:p w14:paraId="3E224FE3" w14:textId="77777777" w:rsidR="00D90589" w:rsidRDefault="00D90589" w:rsidP="00D90589">
      <w:pPr>
        <w:autoSpaceDE w:val="0"/>
        <w:autoSpaceDN w:val="0"/>
        <w:adjustRightInd w:val="0"/>
        <w:spacing w:after="0" w:line="240" w:lineRule="auto"/>
        <w:jc w:val="both"/>
        <w:rPr>
          <w:rFonts w:ascii="Times New Roman" w:hAnsi="Times New Roman"/>
          <w:b/>
        </w:rPr>
      </w:pPr>
      <w:r>
        <w:rPr>
          <w:rFonts w:ascii="Times New Roman" w:hAnsi="Times New Roman"/>
          <w:b/>
        </w:rPr>
        <w:t>OBJECTIFS</w:t>
      </w:r>
    </w:p>
    <w:p w14:paraId="455F83E4" w14:textId="77777777" w:rsidR="00D90589" w:rsidRDefault="00D90589" w:rsidP="00D90589">
      <w:pPr>
        <w:autoSpaceDE w:val="0"/>
        <w:autoSpaceDN w:val="0"/>
        <w:adjustRightInd w:val="0"/>
        <w:spacing w:line="240" w:lineRule="auto"/>
        <w:contextualSpacing/>
        <w:jc w:val="both"/>
        <w:rPr>
          <w:rFonts w:ascii="Times New Roman" w:eastAsia="SimSun" w:hAnsi="Times New Roman"/>
          <w:lang w:val="fr-FR" w:eastAsia="es-MX"/>
        </w:rPr>
      </w:pPr>
    </w:p>
    <w:p w14:paraId="7C53A627" w14:textId="77777777" w:rsidR="00D90589" w:rsidRDefault="00D90589" w:rsidP="00D90589">
      <w:pPr>
        <w:autoSpaceDE w:val="0"/>
        <w:autoSpaceDN w:val="0"/>
        <w:adjustRightInd w:val="0"/>
        <w:spacing w:after="0" w:line="240" w:lineRule="auto"/>
        <w:ind w:firstLine="720"/>
        <w:jc w:val="both"/>
        <w:rPr>
          <w:rFonts w:ascii="Times New Roman" w:hAnsi="Times New Roman"/>
        </w:rPr>
      </w:pPr>
      <w:r>
        <w:rPr>
          <w:rFonts w:ascii="Times New Roman" w:hAnsi="Times New Roman"/>
        </w:rPr>
        <w:t>Les objectifs de la Deuxième Conférence de la CITAAC sont les suivants :</w:t>
      </w:r>
    </w:p>
    <w:p w14:paraId="301A2EB0" w14:textId="77777777" w:rsidR="00D90589" w:rsidRDefault="00D90589" w:rsidP="00D90589">
      <w:pPr>
        <w:autoSpaceDE w:val="0"/>
        <w:autoSpaceDN w:val="0"/>
        <w:adjustRightInd w:val="0"/>
        <w:spacing w:after="0" w:line="240" w:lineRule="auto"/>
        <w:jc w:val="both"/>
        <w:rPr>
          <w:rFonts w:ascii="Times New Roman" w:hAnsi="Times New Roman"/>
          <w:lang w:val="fr-FR"/>
        </w:rPr>
      </w:pPr>
    </w:p>
    <w:p w14:paraId="777DEDFA" w14:textId="77777777" w:rsidR="00D90589" w:rsidRDefault="00D90589" w:rsidP="00D90589">
      <w:pPr>
        <w:pStyle w:val="ListParagraph"/>
        <w:numPr>
          <w:ilvl w:val="0"/>
          <w:numId w:val="43"/>
        </w:numPr>
        <w:autoSpaceDE w:val="0"/>
        <w:autoSpaceDN w:val="0"/>
        <w:adjustRightInd w:val="0"/>
        <w:spacing w:after="0" w:line="240" w:lineRule="auto"/>
        <w:jc w:val="both"/>
        <w:rPr>
          <w:rFonts w:ascii="Times New Roman" w:hAnsi="Times New Roman"/>
        </w:rPr>
      </w:pPr>
      <w:r>
        <w:rPr>
          <w:rFonts w:ascii="Times New Roman" w:hAnsi="Times New Roman"/>
        </w:rPr>
        <w:t>Examen et approbation du projet de Règlement de la Conférence des États parties à la CITAAC et du projet de Règlement du Comité consultatif de la CITAAC ;</w:t>
      </w:r>
    </w:p>
    <w:p w14:paraId="351F7A12" w14:textId="77777777" w:rsidR="00D90589" w:rsidRDefault="00D90589" w:rsidP="00D90589">
      <w:pPr>
        <w:pStyle w:val="ListParagraph"/>
        <w:numPr>
          <w:ilvl w:val="0"/>
          <w:numId w:val="43"/>
        </w:numPr>
        <w:autoSpaceDE w:val="0"/>
        <w:autoSpaceDN w:val="0"/>
        <w:adjustRightInd w:val="0"/>
        <w:spacing w:after="0" w:line="240" w:lineRule="auto"/>
        <w:jc w:val="both"/>
        <w:rPr>
          <w:rFonts w:ascii="Times New Roman" w:hAnsi="Times New Roman"/>
        </w:rPr>
      </w:pPr>
      <w:r>
        <w:rPr>
          <w:rFonts w:ascii="Times New Roman" w:hAnsi="Times New Roman"/>
        </w:rPr>
        <w:t>Analyse des progrès réalisés dans la mise en œuvre de la Convention et examen de mesures de transparence supplémentaires, y compris des modifications de la liste des armes classiques ;</w:t>
      </w:r>
    </w:p>
    <w:p w14:paraId="139ACDE6" w14:textId="77777777" w:rsidR="00D90589" w:rsidRDefault="00D90589" w:rsidP="00D90589">
      <w:pPr>
        <w:pStyle w:val="ListParagraph"/>
        <w:numPr>
          <w:ilvl w:val="0"/>
          <w:numId w:val="43"/>
        </w:numPr>
        <w:autoSpaceDE w:val="0"/>
        <w:autoSpaceDN w:val="0"/>
        <w:adjustRightInd w:val="0"/>
        <w:spacing w:after="0" w:line="240" w:lineRule="auto"/>
        <w:jc w:val="both"/>
        <w:rPr>
          <w:rFonts w:ascii="Times New Roman" w:hAnsi="Times New Roman"/>
        </w:rPr>
      </w:pPr>
      <w:r>
        <w:rPr>
          <w:rFonts w:ascii="Times New Roman" w:hAnsi="Times New Roman"/>
        </w:rPr>
        <w:t>Débats sur les priorités et objectifs pour progresser dans la réalisation des dispositions de la Convention ;</w:t>
      </w:r>
    </w:p>
    <w:p w14:paraId="34D99D5D" w14:textId="77777777" w:rsidR="00D90589" w:rsidRDefault="00D90589" w:rsidP="00D90589">
      <w:pPr>
        <w:pStyle w:val="ListParagraph"/>
        <w:numPr>
          <w:ilvl w:val="0"/>
          <w:numId w:val="43"/>
        </w:numPr>
        <w:autoSpaceDE w:val="0"/>
        <w:autoSpaceDN w:val="0"/>
        <w:adjustRightInd w:val="0"/>
        <w:spacing w:after="0" w:line="240" w:lineRule="auto"/>
        <w:jc w:val="both"/>
        <w:rPr>
          <w:rFonts w:ascii="Times New Roman" w:hAnsi="Times New Roman"/>
          <w:b/>
        </w:rPr>
      </w:pPr>
      <w:r>
        <w:rPr>
          <w:rFonts w:ascii="Times New Roman" w:hAnsi="Times New Roman"/>
        </w:rPr>
        <w:t xml:space="preserve">Examen et approbation des Recommandations de la Deuxième Conférence des États parties. </w:t>
      </w:r>
    </w:p>
    <w:p w14:paraId="1B76C417" w14:textId="77777777" w:rsidR="00D90589" w:rsidRDefault="00D90589" w:rsidP="00D90589">
      <w:pPr>
        <w:autoSpaceDE w:val="0"/>
        <w:autoSpaceDN w:val="0"/>
        <w:adjustRightInd w:val="0"/>
        <w:spacing w:after="0" w:line="240" w:lineRule="auto"/>
        <w:jc w:val="both"/>
        <w:rPr>
          <w:rFonts w:ascii="Times New Roman" w:hAnsi="Times New Roman"/>
          <w:lang w:val="fr-FR"/>
        </w:rPr>
      </w:pPr>
    </w:p>
    <w:p w14:paraId="364D6EE3" w14:textId="77777777" w:rsidR="00D90589" w:rsidRDefault="00D90589" w:rsidP="00D90589">
      <w:pPr>
        <w:autoSpaceDE w:val="0"/>
        <w:autoSpaceDN w:val="0"/>
        <w:adjustRightInd w:val="0"/>
        <w:spacing w:after="0" w:line="240" w:lineRule="auto"/>
        <w:jc w:val="both"/>
        <w:rPr>
          <w:rFonts w:ascii="Times New Roman" w:hAnsi="Times New Roman"/>
          <w:b/>
        </w:rPr>
      </w:pPr>
      <w:r>
        <w:rPr>
          <w:rFonts w:ascii="Times New Roman" w:hAnsi="Times New Roman"/>
          <w:b/>
        </w:rPr>
        <w:t>FORMAT DE LA RÉUNION</w:t>
      </w:r>
    </w:p>
    <w:p w14:paraId="53A3CDB6" w14:textId="77777777" w:rsidR="00D90589" w:rsidRDefault="00D90589" w:rsidP="00D90589">
      <w:pPr>
        <w:autoSpaceDE w:val="0"/>
        <w:autoSpaceDN w:val="0"/>
        <w:adjustRightInd w:val="0"/>
        <w:spacing w:after="0" w:line="240" w:lineRule="auto"/>
        <w:jc w:val="both"/>
        <w:rPr>
          <w:rFonts w:ascii="Times New Roman" w:hAnsi="Times New Roman"/>
          <w:lang w:val="pt-BR"/>
        </w:rPr>
      </w:pPr>
    </w:p>
    <w:p w14:paraId="4E179163" w14:textId="77777777" w:rsidR="00D90589" w:rsidRDefault="00D90589" w:rsidP="00D90589">
      <w:pPr>
        <w:numPr>
          <w:ilvl w:val="0"/>
          <w:numId w:val="44"/>
        </w:numPr>
        <w:autoSpaceDE w:val="0"/>
        <w:autoSpaceDN w:val="0"/>
        <w:adjustRightInd w:val="0"/>
        <w:spacing w:after="0" w:line="240" w:lineRule="auto"/>
        <w:ind w:hanging="720"/>
        <w:jc w:val="both"/>
        <w:rPr>
          <w:rFonts w:ascii="Times New Roman" w:hAnsi="Times New Roman"/>
        </w:rPr>
      </w:pPr>
      <w:r>
        <w:rPr>
          <w:rFonts w:ascii="Times New Roman" w:hAnsi="Times New Roman"/>
        </w:rPr>
        <w:t xml:space="preserve">La Deuxième Conférence se déroulera sur une journée, avec une session de deux heures le matin (de 10 h 00 à 12 h 00 - heure de Washington) et une session de deux heures l'après-midi (de 14 h 30 à 16 h 30 - heure de Washington). Elle se déroulera par le biais de la plateforme virtuelle utilisée par l'OEA pour ses réunions virtuelles (plateforme Kudo), et sera divisée en six parties : </w:t>
      </w:r>
    </w:p>
    <w:p w14:paraId="79316DBC" w14:textId="77777777" w:rsidR="00D90589" w:rsidRDefault="00D90589" w:rsidP="00D90589">
      <w:pPr>
        <w:numPr>
          <w:ilvl w:val="0"/>
          <w:numId w:val="34"/>
        </w:numPr>
        <w:autoSpaceDE w:val="0"/>
        <w:autoSpaceDN w:val="0"/>
        <w:adjustRightInd w:val="0"/>
        <w:spacing w:before="120" w:after="120" w:line="240" w:lineRule="auto"/>
        <w:ind w:left="1440"/>
        <w:jc w:val="both"/>
        <w:rPr>
          <w:rFonts w:ascii="Times New Roman" w:hAnsi="Times New Roman"/>
        </w:rPr>
      </w:pPr>
      <w:r>
        <w:rPr>
          <w:rFonts w:ascii="Times New Roman" w:hAnsi="Times New Roman"/>
        </w:rPr>
        <w:lastRenderedPageBreak/>
        <w:t xml:space="preserve">Connexion à la plateforme ; </w:t>
      </w:r>
    </w:p>
    <w:p w14:paraId="784BBF47" w14:textId="77777777" w:rsidR="00D90589" w:rsidRDefault="00D90589" w:rsidP="00D90589">
      <w:pPr>
        <w:numPr>
          <w:ilvl w:val="0"/>
          <w:numId w:val="34"/>
        </w:numPr>
        <w:autoSpaceDE w:val="0"/>
        <w:autoSpaceDN w:val="0"/>
        <w:adjustRightInd w:val="0"/>
        <w:spacing w:before="120" w:after="120" w:line="240" w:lineRule="auto"/>
        <w:ind w:left="1440"/>
        <w:jc w:val="both"/>
        <w:rPr>
          <w:rFonts w:ascii="Times New Roman" w:hAnsi="Times New Roman"/>
        </w:rPr>
      </w:pPr>
      <w:r>
        <w:rPr>
          <w:rFonts w:ascii="Times New Roman" w:hAnsi="Times New Roman"/>
        </w:rPr>
        <w:t xml:space="preserve">Cérémonie d’ouverture ; </w:t>
      </w:r>
    </w:p>
    <w:p w14:paraId="0CF5FBE9" w14:textId="77777777" w:rsidR="00D90589" w:rsidRDefault="00D90589" w:rsidP="00D90589">
      <w:pPr>
        <w:numPr>
          <w:ilvl w:val="0"/>
          <w:numId w:val="34"/>
        </w:numPr>
        <w:autoSpaceDE w:val="0"/>
        <w:autoSpaceDN w:val="0"/>
        <w:adjustRightInd w:val="0"/>
        <w:spacing w:before="120" w:after="120" w:line="240" w:lineRule="auto"/>
        <w:ind w:left="1440"/>
        <w:jc w:val="both"/>
        <w:rPr>
          <w:rFonts w:ascii="Times New Roman" w:hAnsi="Times New Roman"/>
        </w:rPr>
      </w:pPr>
      <w:r>
        <w:rPr>
          <w:rFonts w:ascii="Times New Roman" w:hAnsi="Times New Roman"/>
        </w:rPr>
        <w:t>Séance liminaire, au cours de laquelle seront élus le Président, le Vice-président et le Rapporteur de la Conférence. Immédiatement après les élections, l'ordre du jour et le calendrier de la réunion seront approuvés. Le Secrétariat général de l'OEA présentera un rapport sur l'état de la Convention ;</w:t>
      </w:r>
    </w:p>
    <w:p w14:paraId="53CDC986" w14:textId="77777777" w:rsidR="00D90589" w:rsidRDefault="00D90589" w:rsidP="00D90589">
      <w:pPr>
        <w:numPr>
          <w:ilvl w:val="0"/>
          <w:numId w:val="34"/>
        </w:numPr>
        <w:autoSpaceDE w:val="0"/>
        <w:autoSpaceDN w:val="0"/>
        <w:adjustRightInd w:val="0"/>
        <w:spacing w:before="120" w:after="120" w:line="240" w:lineRule="auto"/>
        <w:ind w:left="1440"/>
        <w:jc w:val="both"/>
        <w:rPr>
          <w:rFonts w:ascii="Times New Roman" w:hAnsi="Times New Roman"/>
        </w:rPr>
      </w:pPr>
      <w:r>
        <w:rPr>
          <w:rFonts w:ascii="Times New Roman" w:hAnsi="Times New Roman"/>
        </w:rPr>
        <w:t>Réunion consacrée à un débat sur l'institutionnalisation de la CITAAC, avec un exposé du Secrétariat général de l'OEA sur les efforts déployés pour renforcer la Convention. Les États parties envisageront ensuite l'approbation des deux documents pour institutionnaliser la Convention : Règlement de la Conférence des États parties et Règlement du Comité consultatif ;</w:t>
      </w:r>
    </w:p>
    <w:p w14:paraId="18B8F625" w14:textId="77777777" w:rsidR="00D90589" w:rsidRDefault="00D90589" w:rsidP="00D90589">
      <w:pPr>
        <w:numPr>
          <w:ilvl w:val="0"/>
          <w:numId w:val="34"/>
        </w:numPr>
        <w:autoSpaceDE w:val="0"/>
        <w:autoSpaceDN w:val="0"/>
        <w:adjustRightInd w:val="0"/>
        <w:spacing w:before="120" w:after="120" w:line="240" w:lineRule="auto"/>
        <w:ind w:left="1440"/>
        <w:jc w:val="both"/>
        <w:rPr>
          <w:rFonts w:ascii="Times New Roman" w:hAnsi="Times New Roman"/>
        </w:rPr>
      </w:pPr>
      <w:r>
        <w:rPr>
          <w:rFonts w:ascii="Times New Roman" w:hAnsi="Times New Roman"/>
        </w:rPr>
        <w:t>Les États membres seront invités à participer à deux panels thématiques et à un panel technique, comme décrit ci-dessous ;</w:t>
      </w:r>
    </w:p>
    <w:p w14:paraId="0AC7A277" w14:textId="77777777" w:rsidR="00D90589" w:rsidRDefault="00D90589" w:rsidP="00D90589">
      <w:pPr>
        <w:numPr>
          <w:ilvl w:val="0"/>
          <w:numId w:val="34"/>
        </w:numPr>
        <w:autoSpaceDE w:val="0"/>
        <w:autoSpaceDN w:val="0"/>
        <w:adjustRightInd w:val="0"/>
        <w:spacing w:before="120" w:after="120" w:line="240" w:lineRule="auto"/>
        <w:ind w:left="1440"/>
        <w:jc w:val="both"/>
        <w:rPr>
          <w:rFonts w:ascii="Times New Roman" w:hAnsi="Times New Roman"/>
        </w:rPr>
      </w:pPr>
      <w:r>
        <w:rPr>
          <w:rFonts w:ascii="Times New Roman" w:hAnsi="Times New Roman"/>
        </w:rPr>
        <w:t xml:space="preserve">Approbation des Recommandations de la Deuxième Conférence des États parties à la CITAAC ; </w:t>
      </w:r>
    </w:p>
    <w:p w14:paraId="27B06B7A" w14:textId="77777777" w:rsidR="00D90589" w:rsidRDefault="00D90589" w:rsidP="00D90589">
      <w:pPr>
        <w:numPr>
          <w:ilvl w:val="0"/>
          <w:numId w:val="34"/>
        </w:numPr>
        <w:autoSpaceDE w:val="0"/>
        <w:autoSpaceDN w:val="0"/>
        <w:adjustRightInd w:val="0"/>
        <w:spacing w:before="120" w:after="120" w:line="240" w:lineRule="auto"/>
        <w:ind w:left="1440"/>
        <w:jc w:val="both"/>
        <w:rPr>
          <w:rFonts w:ascii="Times New Roman" w:hAnsi="Times New Roman"/>
        </w:rPr>
      </w:pPr>
      <w:r>
        <w:rPr>
          <w:rFonts w:ascii="Times New Roman" w:hAnsi="Times New Roman"/>
        </w:rPr>
        <w:t>Cérémonie de clôture.</w:t>
      </w:r>
    </w:p>
    <w:p w14:paraId="3617DC4C" w14:textId="77777777" w:rsidR="00D90589" w:rsidRDefault="00D90589" w:rsidP="00D90589">
      <w:pPr>
        <w:autoSpaceDE w:val="0"/>
        <w:autoSpaceDN w:val="0"/>
        <w:adjustRightInd w:val="0"/>
        <w:spacing w:after="0" w:line="240" w:lineRule="auto"/>
        <w:jc w:val="both"/>
        <w:rPr>
          <w:rFonts w:ascii="Times New Roman" w:hAnsi="Times New Roman"/>
          <w:bCs/>
          <w:lang w:val="fr-FR"/>
        </w:rPr>
      </w:pPr>
    </w:p>
    <w:p w14:paraId="4C6B1332" w14:textId="77777777" w:rsidR="00D90589" w:rsidRDefault="00D90589" w:rsidP="00D90589">
      <w:pPr>
        <w:autoSpaceDE w:val="0"/>
        <w:autoSpaceDN w:val="0"/>
        <w:adjustRightInd w:val="0"/>
        <w:spacing w:after="0" w:line="240" w:lineRule="auto"/>
        <w:jc w:val="both"/>
        <w:rPr>
          <w:rFonts w:ascii="Times New Roman" w:hAnsi="Times New Roman"/>
          <w:b/>
        </w:rPr>
      </w:pPr>
      <w:r>
        <w:rPr>
          <w:rFonts w:ascii="Times New Roman" w:hAnsi="Times New Roman"/>
          <w:b/>
        </w:rPr>
        <w:t>INSTITUTIONNALISATION DE LA CITAAC</w:t>
      </w:r>
    </w:p>
    <w:p w14:paraId="42CC38DC" w14:textId="77777777" w:rsidR="00D90589" w:rsidRDefault="00D90589" w:rsidP="00D90589">
      <w:pPr>
        <w:autoSpaceDE w:val="0"/>
        <w:autoSpaceDN w:val="0"/>
        <w:adjustRightInd w:val="0"/>
        <w:spacing w:after="0" w:line="240" w:lineRule="auto"/>
        <w:jc w:val="both"/>
        <w:rPr>
          <w:rFonts w:ascii="Times New Roman" w:hAnsi="Times New Roman"/>
          <w:bCs/>
          <w:lang w:val="fr-FR"/>
        </w:rPr>
      </w:pPr>
    </w:p>
    <w:p w14:paraId="2FAE25A4" w14:textId="77777777" w:rsidR="00D90589" w:rsidRDefault="00D90589" w:rsidP="00D90589">
      <w:pPr>
        <w:autoSpaceDE w:val="0"/>
        <w:autoSpaceDN w:val="0"/>
        <w:adjustRightInd w:val="0"/>
        <w:spacing w:after="0" w:line="240" w:lineRule="auto"/>
        <w:ind w:firstLine="720"/>
        <w:jc w:val="both"/>
        <w:rPr>
          <w:rFonts w:ascii="Times New Roman" w:eastAsia="Times New Roman" w:hAnsi="Times New Roman"/>
        </w:rPr>
      </w:pPr>
      <w:r>
        <w:rPr>
          <w:rFonts w:ascii="Times New Roman" w:hAnsi="Times New Roman"/>
        </w:rPr>
        <w:t xml:space="preserve">Tenant compte des recommandations précédentes des réunions des États parties à la CITAAC, les États membres de l'OEA ont demandé au Secrétariat général de l'OEA de prendre les mesures appropriées pour établir et définir un secrétariat technique pour la CITAAC afin d'aider les États membres à mettre en œuvre la Convention [paragraphe 94 de la résolution AG/RES. 2945 (XLIX-O/19)]. </w:t>
      </w:r>
    </w:p>
    <w:p w14:paraId="46E6D6A0" w14:textId="77777777" w:rsidR="00D90589" w:rsidRDefault="00D90589" w:rsidP="00D90589">
      <w:pPr>
        <w:autoSpaceDE w:val="0"/>
        <w:autoSpaceDN w:val="0"/>
        <w:adjustRightInd w:val="0"/>
        <w:spacing w:after="0" w:line="240" w:lineRule="auto"/>
        <w:jc w:val="both"/>
        <w:rPr>
          <w:rFonts w:ascii="Times New Roman" w:eastAsia="Times New Roman" w:hAnsi="Times New Roman"/>
          <w:lang w:val="fr-FR"/>
        </w:rPr>
      </w:pPr>
    </w:p>
    <w:p w14:paraId="20C48DFF" w14:textId="77777777" w:rsidR="00D90589" w:rsidRDefault="00D90589" w:rsidP="00D90589">
      <w:pPr>
        <w:autoSpaceDE w:val="0"/>
        <w:autoSpaceDN w:val="0"/>
        <w:adjustRightInd w:val="0"/>
        <w:spacing w:after="0" w:line="240" w:lineRule="auto"/>
        <w:ind w:firstLine="720"/>
        <w:jc w:val="both"/>
        <w:rPr>
          <w:rFonts w:ascii="Times New Roman" w:eastAsia="Times New Roman" w:hAnsi="Times New Roman"/>
        </w:rPr>
      </w:pPr>
      <w:r>
        <w:rPr>
          <w:rFonts w:ascii="Times New Roman" w:hAnsi="Times New Roman"/>
        </w:rPr>
        <w:t>Sur la base de ce mandat, le Département de la sécurité publique du Secrétariat à la sécurité multidimensionnelle de l'OEA (DSP/OEA), avec le soutien de l'Organisation interaméricaine de défense, a rédigé deux documents qui permettraient l'institutionnalisation de la CITAAC :</w:t>
      </w:r>
    </w:p>
    <w:p w14:paraId="2F882942" w14:textId="77777777" w:rsidR="00D90589" w:rsidRDefault="00D90589" w:rsidP="00D90589">
      <w:pPr>
        <w:spacing w:after="0" w:line="240" w:lineRule="auto"/>
        <w:jc w:val="both"/>
        <w:rPr>
          <w:rFonts w:ascii="Times New Roman" w:eastAsia="Times New Roman" w:hAnsi="Times New Roman"/>
          <w:lang w:val="fr-FR"/>
        </w:rPr>
      </w:pPr>
    </w:p>
    <w:p w14:paraId="15A3969B" w14:textId="77777777" w:rsidR="00D90589" w:rsidRDefault="00D90589" w:rsidP="00D90589">
      <w:pPr>
        <w:pStyle w:val="ListParagraph"/>
        <w:numPr>
          <w:ilvl w:val="0"/>
          <w:numId w:val="42"/>
        </w:numPr>
        <w:spacing w:after="0" w:line="240" w:lineRule="auto"/>
        <w:jc w:val="both"/>
        <w:rPr>
          <w:rFonts w:ascii="Times New Roman" w:eastAsia="Times New Roman" w:hAnsi="Times New Roman"/>
        </w:rPr>
      </w:pPr>
      <w:r>
        <w:rPr>
          <w:rFonts w:ascii="Times New Roman" w:hAnsi="Times New Roman"/>
        </w:rPr>
        <w:t>Projet de Règlement de la Conférence des États parties à la CITAAC</w:t>
      </w:r>
    </w:p>
    <w:p w14:paraId="3FD572AE" w14:textId="77777777" w:rsidR="00D90589" w:rsidRDefault="00D90589" w:rsidP="00D90589">
      <w:pPr>
        <w:pStyle w:val="ListParagraph"/>
        <w:numPr>
          <w:ilvl w:val="0"/>
          <w:numId w:val="42"/>
        </w:numPr>
        <w:spacing w:after="0" w:line="240" w:lineRule="auto"/>
        <w:jc w:val="both"/>
        <w:rPr>
          <w:rFonts w:ascii="Times New Roman" w:eastAsia="Times New Roman" w:hAnsi="Times New Roman"/>
        </w:rPr>
      </w:pPr>
      <w:r>
        <w:rPr>
          <w:rFonts w:ascii="Times New Roman" w:hAnsi="Times New Roman"/>
        </w:rPr>
        <w:t>Projet de Règlement du Comité Consultatif de la CITAAC</w:t>
      </w:r>
    </w:p>
    <w:p w14:paraId="7A9D43CA" w14:textId="77777777" w:rsidR="00D90589" w:rsidRDefault="00D90589" w:rsidP="00D90589">
      <w:pPr>
        <w:autoSpaceDE w:val="0"/>
        <w:autoSpaceDN w:val="0"/>
        <w:adjustRightInd w:val="0"/>
        <w:spacing w:after="0" w:line="240" w:lineRule="auto"/>
        <w:jc w:val="both"/>
        <w:rPr>
          <w:rFonts w:ascii="Times New Roman" w:hAnsi="Times New Roman"/>
          <w:lang w:val="fr-FR"/>
        </w:rPr>
      </w:pPr>
    </w:p>
    <w:p w14:paraId="7E3EA0A1" w14:textId="77777777" w:rsidR="00D90589" w:rsidRDefault="00D90589" w:rsidP="00D90589">
      <w:pPr>
        <w:autoSpaceDE w:val="0"/>
        <w:autoSpaceDN w:val="0"/>
        <w:adjustRightInd w:val="0"/>
        <w:spacing w:after="0" w:line="240" w:lineRule="auto"/>
        <w:ind w:firstLine="720"/>
        <w:jc w:val="both"/>
        <w:rPr>
          <w:rFonts w:ascii="Times New Roman" w:hAnsi="Times New Roman"/>
        </w:rPr>
      </w:pPr>
      <w:r>
        <w:rPr>
          <w:rFonts w:ascii="Times New Roman" w:hAnsi="Times New Roman"/>
        </w:rPr>
        <w:t>L'élaboration de ces documents a été guidée par une étude documentaire des autres conventions et du contexte de la CITAAC, inclus dans le rapport du DSP/OEA à la Commission sur la sécurité continentale (CSH) du Conseil permanent de l'OEA (CP/CSH-1978/20). Les États membres de l'OEA ont analysé les deux documents et les ont approuvés pour qu'ils soient soumis à l'examen de la Deuxième Conférence des États parties à la CITAAC [paragraphe 80 de la résolution AG/RES. 2970 (LI-O/21)].</w:t>
      </w:r>
    </w:p>
    <w:p w14:paraId="43A53141" w14:textId="77777777" w:rsidR="00D90589" w:rsidRDefault="00D90589" w:rsidP="00D90589">
      <w:pPr>
        <w:autoSpaceDE w:val="0"/>
        <w:autoSpaceDN w:val="0"/>
        <w:adjustRightInd w:val="0"/>
        <w:spacing w:after="0" w:line="240" w:lineRule="auto"/>
        <w:jc w:val="both"/>
        <w:rPr>
          <w:rFonts w:ascii="Times New Roman" w:hAnsi="Times New Roman"/>
          <w:lang w:val="fr-FR"/>
        </w:rPr>
      </w:pPr>
    </w:p>
    <w:p w14:paraId="335F72B1" w14:textId="77777777" w:rsidR="00D90589" w:rsidRDefault="00D90589" w:rsidP="00D90589">
      <w:pPr>
        <w:autoSpaceDE w:val="0"/>
        <w:autoSpaceDN w:val="0"/>
        <w:adjustRightInd w:val="0"/>
        <w:spacing w:after="0" w:line="240" w:lineRule="auto"/>
        <w:ind w:firstLine="720"/>
        <w:jc w:val="both"/>
        <w:rPr>
          <w:rFonts w:ascii="Times New Roman" w:hAnsi="Times New Roman"/>
        </w:rPr>
      </w:pPr>
      <w:r>
        <w:rPr>
          <w:rFonts w:ascii="Times New Roman" w:hAnsi="Times New Roman"/>
        </w:rPr>
        <w:t xml:space="preserve">Ainsi, lors de la Deuxième Conférence, les États parties devraient envisager d'approuver les documents visant à institutionnaliser le Secrétariat technique de la CITAAC, en tant que mécanisme efficace pour accroître l'efficacité de la Convention et aider les États parties à mettre en œuvre ses dispositions. </w:t>
      </w:r>
    </w:p>
    <w:p w14:paraId="6FBFAF3D" w14:textId="77777777" w:rsidR="00D90589" w:rsidRDefault="00D90589" w:rsidP="00D90589">
      <w:pPr>
        <w:autoSpaceDE w:val="0"/>
        <w:autoSpaceDN w:val="0"/>
        <w:adjustRightInd w:val="0"/>
        <w:spacing w:after="0" w:line="240" w:lineRule="auto"/>
        <w:jc w:val="both"/>
        <w:rPr>
          <w:rFonts w:ascii="Times New Roman" w:hAnsi="Times New Roman"/>
          <w:bCs/>
        </w:rPr>
      </w:pPr>
    </w:p>
    <w:p w14:paraId="27B2A72E" w14:textId="77777777" w:rsidR="00D90589" w:rsidRDefault="00D90589" w:rsidP="00D90589">
      <w:pPr>
        <w:autoSpaceDE w:val="0"/>
        <w:autoSpaceDN w:val="0"/>
        <w:adjustRightInd w:val="0"/>
        <w:spacing w:after="0" w:line="240" w:lineRule="auto"/>
        <w:jc w:val="both"/>
        <w:rPr>
          <w:rFonts w:ascii="Times New Roman" w:hAnsi="Times New Roman"/>
          <w:b/>
        </w:rPr>
      </w:pPr>
      <w:r>
        <w:rPr>
          <w:rFonts w:ascii="Times New Roman" w:hAnsi="Times New Roman"/>
          <w:b/>
        </w:rPr>
        <w:t>PANELS</w:t>
      </w:r>
    </w:p>
    <w:p w14:paraId="0BC45878" w14:textId="77777777" w:rsidR="00D90589" w:rsidRDefault="00D90589" w:rsidP="00D90589">
      <w:pPr>
        <w:spacing w:after="0" w:line="240" w:lineRule="auto"/>
        <w:jc w:val="both"/>
        <w:rPr>
          <w:rFonts w:ascii="Times New Roman" w:hAnsi="Times New Roman"/>
          <w:bCs/>
          <w:lang w:val="fr-FR"/>
        </w:rPr>
      </w:pPr>
    </w:p>
    <w:p w14:paraId="0682B562" w14:textId="77777777" w:rsidR="00D90589" w:rsidRDefault="00D90589" w:rsidP="00D90589">
      <w:pPr>
        <w:autoSpaceDE w:val="0"/>
        <w:autoSpaceDN w:val="0"/>
        <w:adjustRightInd w:val="0"/>
        <w:spacing w:after="0" w:line="240" w:lineRule="auto"/>
        <w:ind w:firstLine="720"/>
        <w:jc w:val="both"/>
        <w:rPr>
          <w:rFonts w:ascii="Times New Roman" w:hAnsi="Times New Roman"/>
        </w:rPr>
      </w:pPr>
      <w:r>
        <w:rPr>
          <w:rFonts w:ascii="Times New Roman" w:hAnsi="Times New Roman"/>
        </w:rPr>
        <w:t>Il y aura deux panels thématiques et un panel technique lors de la Conférence. Les États parties intéressés à être conférenciers sur un ou plusieurs sujets sont invités à communiquer avec le Département de la sécurité publique de l'OEA.</w:t>
      </w:r>
    </w:p>
    <w:p w14:paraId="5F753682" w14:textId="77777777" w:rsidR="00D90589" w:rsidRDefault="00D90589" w:rsidP="00D90589">
      <w:pPr>
        <w:spacing w:after="0" w:line="240" w:lineRule="auto"/>
        <w:jc w:val="both"/>
        <w:rPr>
          <w:rFonts w:ascii="Times New Roman" w:hAnsi="Times New Roman"/>
          <w:bCs/>
          <w:lang w:val="fr-FR"/>
        </w:rPr>
      </w:pPr>
    </w:p>
    <w:p w14:paraId="2EB90520" w14:textId="77777777" w:rsidR="00D90589" w:rsidRDefault="00D90589" w:rsidP="00D90589">
      <w:pPr>
        <w:spacing w:after="0" w:line="240" w:lineRule="auto"/>
        <w:jc w:val="both"/>
        <w:rPr>
          <w:rFonts w:ascii="Times New Roman" w:hAnsi="Times New Roman"/>
          <w:b/>
        </w:rPr>
      </w:pPr>
      <w:r>
        <w:rPr>
          <w:rFonts w:ascii="Times New Roman" w:hAnsi="Times New Roman"/>
          <w:b/>
        </w:rPr>
        <w:t>THÈME 1. La pertinence de l’approche régionale et les synergies avec d'autres conventions</w:t>
      </w:r>
    </w:p>
    <w:p w14:paraId="0B0665AF" w14:textId="77777777" w:rsidR="00D90589" w:rsidRDefault="00D90589" w:rsidP="00D90589">
      <w:pPr>
        <w:spacing w:line="240" w:lineRule="auto"/>
        <w:contextualSpacing/>
        <w:rPr>
          <w:rFonts w:ascii="Times New Roman" w:eastAsia="SimSun" w:hAnsi="Times New Roman"/>
          <w:lang w:val="fr-FR" w:eastAsia="es-MX"/>
        </w:rPr>
      </w:pPr>
    </w:p>
    <w:p w14:paraId="0F77A1E0" w14:textId="77777777" w:rsidR="00D90589" w:rsidRDefault="00D90589" w:rsidP="00D90589">
      <w:pPr>
        <w:autoSpaceDE w:val="0"/>
        <w:autoSpaceDN w:val="0"/>
        <w:adjustRightInd w:val="0"/>
        <w:spacing w:after="0" w:line="240" w:lineRule="auto"/>
        <w:ind w:firstLine="720"/>
        <w:jc w:val="both"/>
        <w:rPr>
          <w:rFonts w:ascii="Times New Roman" w:eastAsia="SimSun" w:hAnsi="Times New Roman"/>
        </w:rPr>
      </w:pPr>
      <w:r>
        <w:rPr>
          <w:rFonts w:ascii="Times New Roman" w:hAnsi="Times New Roman"/>
        </w:rPr>
        <w:t xml:space="preserve">Le premier panel de la Conférence vise à promouvoir un dialogue ouvert sur la pertinence de la CITAAC, en tant qu'outil régional, et sa complémentarité avec les autres conventions et mécanismes existants en la matière. Il examinera les leçons apprises et les processus de collaboration qui pourraient être établis pour accroître la conformité à tous ces instruments. </w:t>
      </w:r>
    </w:p>
    <w:p w14:paraId="7B89C3CC" w14:textId="77777777" w:rsidR="00D90589" w:rsidRDefault="00D90589" w:rsidP="00D90589">
      <w:pPr>
        <w:spacing w:line="240" w:lineRule="auto"/>
        <w:contextualSpacing/>
        <w:jc w:val="both"/>
        <w:rPr>
          <w:rFonts w:ascii="Times New Roman" w:eastAsia="SimSun" w:hAnsi="Times New Roman"/>
          <w:lang w:val="fr-FR" w:eastAsia="es-MX"/>
        </w:rPr>
      </w:pPr>
    </w:p>
    <w:p w14:paraId="6F295681" w14:textId="77777777" w:rsidR="00D90589" w:rsidRDefault="00D90589" w:rsidP="00D90589">
      <w:pPr>
        <w:autoSpaceDE w:val="0"/>
        <w:autoSpaceDN w:val="0"/>
        <w:adjustRightInd w:val="0"/>
        <w:spacing w:after="0" w:line="240" w:lineRule="auto"/>
        <w:ind w:firstLine="720"/>
        <w:jc w:val="both"/>
        <w:rPr>
          <w:rFonts w:ascii="Times New Roman" w:hAnsi="Times New Roman"/>
        </w:rPr>
      </w:pPr>
      <w:r>
        <w:rPr>
          <w:rFonts w:ascii="Times New Roman" w:hAnsi="Times New Roman"/>
        </w:rPr>
        <w:t>En particulier, au niveau des Nations Unies, deux instruments clés favorisent la transparence des transferts d'armes classiques :</w:t>
      </w:r>
    </w:p>
    <w:p w14:paraId="1FE87433" w14:textId="77777777" w:rsidR="00D90589" w:rsidRDefault="00D90589" w:rsidP="00D90589">
      <w:pPr>
        <w:autoSpaceDE w:val="0"/>
        <w:autoSpaceDN w:val="0"/>
        <w:adjustRightInd w:val="0"/>
        <w:spacing w:after="0" w:line="240" w:lineRule="auto"/>
        <w:jc w:val="both"/>
        <w:rPr>
          <w:rFonts w:ascii="Times New Roman" w:eastAsia="SimSun" w:hAnsi="Times New Roman"/>
        </w:rPr>
      </w:pPr>
    </w:p>
    <w:p w14:paraId="33BE7A35" w14:textId="77777777" w:rsidR="00D90589" w:rsidRDefault="00D90589" w:rsidP="00D90589">
      <w:pPr>
        <w:pStyle w:val="ListParagraph"/>
        <w:numPr>
          <w:ilvl w:val="0"/>
          <w:numId w:val="44"/>
        </w:numPr>
        <w:spacing w:after="0" w:line="240" w:lineRule="auto"/>
        <w:ind w:left="1080"/>
        <w:jc w:val="both"/>
        <w:rPr>
          <w:rFonts w:ascii="Times New Roman" w:hAnsi="Times New Roman"/>
        </w:rPr>
      </w:pPr>
      <w:r>
        <w:rPr>
          <w:rFonts w:ascii="Times New Roman" w:hAnsi="Times New Roman"/>
        </w:rPr>
        <w:t>Registre des armes classiques de l’ONU : le registre a été créé en 1991 par l'Assemblée générale des Nations Unies. Il s'agit d'un mécanisme d’établissement de rapports annuels par lequel les gouvernements partagent des informations sur les transferts d'armes auxquels ils ont participé l'année précédente. Il comporte deux niveaux de notification : l'un pour les transferts de sept catégories prédéfinies d'armes lourdes, ainsi que d'armes légères (« 7+1 »), et un second pour des informations générales supplémentaires, notamment les stocks actuels d'armes et les achats par le biais de la production nationale d'armes ;</w:t>
      </w:r>
    </w:p>
    <w:p w14:paraId="2D630724" w14:textId="77777777" w:rsidR="00D90589" w:rsidRDefault="00D90589" w:rsidP="00D90589">
      <w:pPr>
        <w:spacing w:line="240" w:lineRule="auto"/>
        <w:contextualSpacing/>
        <w:jc w:val="both"/>
        <w:rPr>
          <w:rFonts w:ascii="Times New Roman" w:hAnsi="Times New Roman"/>
          <w:lang w:val="fr-FR"/>
        </w:rPr>
      </w:pPr>
    </w:p>
    <w:p w14:paraId="4B15B948" w14:textId="77777777" w:rsidR="00D90589" w:rsidRDefault="00D90589" w:rsidP="00D90589">
      <w:pPr>
        <w:pStyle w:val="ListParagraph"/>
        <w:numPr>
          <w:ilvl w:val="0"/>
          <w:numId w:val="44"/>
        </w:numPr>
        <w:spacing w:after="0" w:line="240" w:lineRule="auto"/>
        <w:ind w:left="1080"/>
        <w:jc w:val="both"/>
        <w:rPr>
          <w:rFonts w:ascii="Times New Roman" w:hAnsi="Times New Roman"/>
        </w:rPr>
      </w:pPr>
      <w:r>
        <w:rPr>
          <w:rFonts w:ascii="Times New Roman" w:hAnsi="Times New Roman"/>
        </w:rPr>
        <w:t xml:space="preserve">Traité sur le commerce des armes (TCA) : le TCA est un traité international, entré en vigueur en 2014, qui vise à réglementer le commerce international des armes classiques et cherche à prévenir et à éradiquer le commerce illicite et le détournement d'armes classiques en établissant des normes internationales régissant les transferts d'armes, notamment la présentation de rapports annuels. Sur les 17 États parties à la CITAAC, 14 ont ratifié le TCA. </w:t>
      </w:r>
    </w:p>
    <w:p w14:paraId="1B71EAC1" w14:textId="77777777" w:rsidR="00D90589" w:rsidRDefault="00D90589" w:rsidP="00D90589">
      <w:pPr>
        <w:spacing w:line="240" w:lineRule="auto"/>
        <w:contextualSpacing/>
        <w:jc w:val="both"/>
        <w:rPr>
          <w:rFonts w:ascii="Times New Roman" w:hAnsi="Times New Roman"/>
        </w:rPr>
      </w:pPr>
    </w:p>
    <w:p w14:paraId="7C47C1A8" w14:textId="77777777" w:rsidR="00D90589" w:rsidRDefault="00D90589" w:rsidP="00D90589">
      <w:pPr>
        <w:autoSpaceDE w:val="0"/>
        <w:autoSpaceDN w:val="0"/>
        <w:adjustRightInd w:val="0"/>
        <w:spacing w:after="0" w:line="240" w:lineRule="auto"/>
        <w:ind w:firstLine="720"/>
        <w:jc w:val="both"/>
        <w:rPr>
          <w:rFonts w:ascii="Times New Roman" w:eastAsia="SimSun" w:hAnsi="Times New Roman"/>
        </w:rPr>
      </w:pPr>
      <w:r>
        <w:rPr>
          <w:rFonts w:ascii="Times New Roman" w:hAnsi="Times New Roman"/>
        </w:rPr>
        <w:t xml:space="preserve">Des représentants de ces organismes seront invités à la table ronde pour présenter l'état des instruments et des rapports qui leur sont présentés afin de trouver des stratégies communes pour collaborer et soutenir les pays. Le groupe d'experts se pencherait également sur d'autres partenariats entre des conventions régionales dans d'autres parties du monde et le système universel comme modèles auxquels la CITAAC pourrait aspirer. </w:t>
      </w:r>
    </w:p>
    <w:p w14:paraId="67DD382C" w14:textId="77777777" w:rsidR="00D90589" w:rsidRDefault="00D90589" w:rsidP="00D90589">
      <w:pPr>
        <w:spacing w:line="240" w:lineRule="auto"/>
        <w:contextualSpacing/>
        <w:jc w:val="both"/>
        <w:rPr>
          <w:rFonts w:ascii="Times New Roman" w:eastAsia="SimSun" w:hAnsi="Times New Roman"/>
          <w:lang w:val="fr-FR" w:eastAsia="es-MX"/>
        </w:rPr>
      </w:pPr>
    </w:p>
    <w:p w14:paraId="2CC0F0CA" w14:textId="77777777" w:rsidR="00D90589" w:rsidRDefault="00D90589" w:rsidP="00D90589">
      <w:pPr>
        <w:autoSpaceDE w:val="0"/>
        <w:autoSpaceDN w:val="0"/>
        <w:adjustRightInd w:val="0"/>
        <w:spacing w:after="0" w:line="240" w:lineRule="auto"/>
        <w:ind w:firstLine="720"/>
        <w:jc w:val="both"/>
        <w:rPr>
          <w:rFonts w:ascii="Times New Roman" w:eastAsia="SimSun" w:hAnsi="Times New Roman"/>
        </w:rPr>
      </w:pPr>
      <w:r>
        <w:rPr>
          <w:rFonts w:ascii="Times New Roman" w:hAnsi="Times New Roman"/>
        </w:rPr>
        <w:t xml:space="preserve">Chaque panéliste disposera de douze (12) minutes pour son intervention, qui sera suivie de vingt (20) minutes de dialogue avec les représentants des États parties et les autres participants présents à la réunion. </w:t>
      </w:r>
    </w:p>
    <w:p w14:paraId="00E23214" w14:textId="77777777" w:rsidR="00D90589" w:rsidRDefault="00D90589" w:rsidP="00D90589">
      <w:pPr>
        <w:spacing w:line="240" w:lineRule="auto"/>
        <w:contextualSpacing/>
        <w:jc w:val="both"/>
        <w:rPr>
          <w:rFonts w:ascii="Times New Roman" w:eastAsia="SimSun" w:hAnsi="Times New Roman"/>
          <w:bCs/>
          <w:lang w:val="fr-FR" w:eastAsia="es-MX"/>
        </w:rPr>
      </w:pPr>
    </w:p>
    <w:p w14:paraId="00A7E1B1" w14:textId="77777777" w:rsidR="00D90589" w:rsidRDefault="00D90589" w:rsidP="00D90589">
      <w:pPr>
        <w:keepNext/>
        <w:spacing w:after="0" w:line="240" w:lineRule="auto"/>
        <w:jc w:val="both"/>
        <w:rPr>
          <w:rFonts w:ascii="Times New Roman" w:hAnsi="Times New Roman"/>
          <w:b/>
          <w:bCs/>
        </w:rPr>
      </w:pPr>
      <w:r>
        <w:rPr>
          <w:rFonts w:ascii="Times New Roman" w:hAnsi="Times New Roman"/>
          <w:b/>
        </w:rPr>
        <w:t>THÈME 2. Mesures de transparence supplémentaires et pertinence de la CITAAC dans le système interaméricain</w:t>
      </w:r>
    </w:p>
    <w:p w14:paraId="4389EE29" w14:textId="77777777" w:rsidR="00D90589" w:rsidRDefault="00D90589" w:rsidP="00D90589">
      <w:pPr>
        <w:keepNext/>
        <w:spacing w:after="0" w:line="240" w:lineRule="auto"/>
        <w:jc w:val="both"/>
        <w:rPr>
          <w:rFonts w:ascii="Times New Roman" w:hAnsi="Times New Roman"/>
          <w:lang w:val="fr-FR"/>
        </w:rPr>
      </w:pPr>
    </w:p>
    <w:p w14:paraId="1D827C57" w14:textId="77777777" w:rsidR="00D90589" w:rsidRDefault="00D90589" w:rsidP="00D90589">
      <w:pPr>
        <w:spacing w:line="240" w:lineRule="auto"/>
        <w:ind w:firstLine="720"/>
        <w:contextualSpacing/>
        <w:jc w:val="both"/>
        <w:rPr>
          <w:rFonts w:ascii="Times New Roman" w:eastAsia="SimSun" w:hAnsi="Times New Roman"/>
        </w:rPr>
      </w:pPr>
      <w:r>
        <w:rPr>
          <w:rFonts w:ascii="Times New Roman" w:hAnsi="Times New Roman"/>
        </w:rPr>
        <w:t>Le deuxième panel thématique examinera l'interrelation entre le CITAAC et les mesures d’encouragement de la confiance et de la sécurité. En ce qui concerne le système interaméricain, la liste consolidée des mesures d’encouragement de la confiance et de la sécurité, approuvée par l'Assemblée générale, comprend deux mesures fortement corrélées à la convention :</w:t>
      </w:r>
    </w:p>
    <w:p w14:paraId="31E8CDE1" w14:textId="77777777" w:rsidR="00D90589" w:rsidRDefault="00D90589" w:rsidP="00D90589">
      <w:pPr>
        <w:pStyle w:val="ListParagraph"/>
        <w:numPr>
          <w:ilvl w:val="0"/>
          <w:numId w:val="44"/>
        </w:numPr>
        <w:spacing w:after="160" w:line="240" w:lineRule="auto"/>
        <w:ind w:left="1080"/>
        <w:jc w:val="both"/>
        <w:rPr>
          <w:rFonts w:ascii="Times New Roman" w:hAnsi="Times New Roman"/>
        </w:rPr>
      </w:pPr>
      <w:r>
        <w:rPr>
          <w:rFonts w:ascii="Times New Roman" w:hAnsi="Times New Roman"/>
        </w:rPr>
        <w:lastRenderedPageBreak/>
        <w:t>Mesure 7 : Participer au Registre des armes classiques des Nations Unies, y compris la fourniture et l'échange d'informations sur la production nationale d'armes classiques.</w:t>
      </w:r>
    </w:p>
    <w:p w14:paraId="4B2EF406" w14:textId="77777777" w:rsidR="00D90589" w:rsidRDefault="00D90589" w:rsidP="00D90589">
      <w:pPr>
        <w:pStyle w:val="ListParagraph"/>
        <w:numPr>
          <w:ilvl w:val="0"/>
          <w:numId w:val="44"/>
        </w:numPr>
        <w:spacing w:after="160" w:line="240" w:lineRule="auto"/>
        <w:ind w:left="1080"/>
        <w:jc w:val="both"/>
        <w:rPr>
          <w:rFonts w:ascii="Times New Roman" w:hAnsi="Times New Roman"/>
        </w:rPr>
      </w:pPr>
      <w:r>
        <w:rPr>
          <w:rFonts w:ascii="Times New Roman" w:hAnsi="Times New Roman"/>
        </w:rPr>
        <w:t xml:space="preserve">Mesure 22 : Signer, ratifier et mettre en œuvre la Convention interaméricaine sur la transparence de l’acquisition des armes classiques (CITAAC). </w:t>
      </w:r>
    </w:p>
    <w:p w14:paraId="6354685D" w14:textId="77777777" w:rsidR="00D90589" w:rsidRDefault="00D90589" w:rsidP="00D90589">
      <w:pPr>
        <w:spacing w:line="240" w:lineRule="auto"/>
        <w:ind w:firstLine="720"/>
        <w:contextualSpacing/>
        <w:jc w:val="both"/>
        <w:rPr>
          <w:rFonts w:ascii="Times New Roman" w:eastAsia="SimSun" w:hAnsi="Times New Roman"/>
        </w:rPr>
      </w:pPr>
      <w:r>
        <w:rPr>
          <w:rFonts w:ascii="Times New Roman" w:hAnsi="Times New Roman"/>
        </w:rPr>
        <w:t xml:space="preserve">Dans ce contexte, les panélistes discuteront des liens entre la CITAAC et la transparence afin de fournir des éléments de réflexion pour le dialogue des États parties sur les mesures de transparence supplémentaires, en tenant compte de l'article VIII de la Convention. </w:t>
      </w:r>
    </w:p>
    <w:p w14:paraId="38349DFD" w14:textId="77777777" w:rsidR="00D90589" w:rsidRDefault="00D90589" w:rsidP="00D90589">
      <w:pPr>
        <w:spacing w:after="0" w:line="240" w:lineRule="auto"/>
        <w:jc w:val="both"/>
        <w:rPr>
          <w:rFonts w:ascii="Times New Roman" w:eastAsia="SimSun" w:hAnsi="Times New Roman"/>
          <w:lang w:val="fr-FR" w:eastAsia="es-MX"/>
        </w:rPr>
      </w:pPr>
    </w:p>
    <w:p w14:paraId="559DC375" w14:textId="77777777" w:rsidR="00D90589" w:rsidRDefault="00D90589" w:rsidP="00D90589">
      <w:pPr>
        <w:spacing w:line="240" w:lineRule="auto"/>
        <w:ind w:firstLine="720"/>
        <w:contextualSpacing/>
        <w:jc w:val="both"/>
        <w:rPr>
          <w:rFonts w:ascii="Times New Roman" w:eastAsia="SimSun" w:hAnsi="Times New Roman"/>
        </w:rPr>
      </w:pPr>
      <w:r>
        <w:rPr>
          <w:rFonts w:ascii="Times New Roman" w:hAnsi="Times New Roman"/>
        </w:rPr>
        <w:t>Ce panel explorera également la complémentarité de la CITAAC et d'autres conventions du système interaméricain, notamment la Convention interaméricaine contre la fabrication et le trafic illicites d'armes à feu, de munitions, d'explosifs et d'autres matériels connexes (CIFTA).</w:t>
      </w:r>
    </w:p>
    <w:p w14:paraId="20604376" w14:textId="77777777" w:rsidR="00D90589" w:rsidRDefault="00D90589" w:rsidP="00D90589">
      <w:pPr>
        <w:spacing w:after="0" w:line="240" w:lineRule="auto"/>
        <w:jc w:val="both"/>
        <w:rPr>
          <w:rFonts w:ascii="Times New Roman" w:eastAsia="SimSun" w:hAnsi="Times New Roman"/>
          <w:lang w:val="fr-FR" w:eastAsia="es-MX"/>
        </w:rPr>
      </w:pPr>
    </w:p>
    <w:p w14:paraId="2808C52F" w14:textId="77777777" w:rsidR="00D90589" w:rsidRDefault="00D90589" w:rsidP="00D90589">
      <w:pPr>
        <w:spacing w:line="240" w:lineRule="auto"/>
        <w:ind w:firstLine="720"/>
        <w:contextualSpacing/>
        <w:jc w:val="both"/>
        <w:rPr>
          <w:rFonts w:ascii="Times New Roman" w:hAnsi="Times New Roman"/>
        </w:rPr>
      </w:pPr>
      <w:r>
        <w:rPr>
          <w:rFonts w:ascii="Times New Roman" w:hAnsi="Times New Roman"/>
        </w:rPr>
        <w:t>Chaque panéliste disposera de dix (10) minutes pour son intervention, qui sera suivie de quinze (15) minutes de dialogue avec les représentants des États parties présents à la réunion.</w:t>
      </w:r>
    </w:p>
    <w:p w14:paraId="73816234" w14:textId="77777777" w:rsidR="00D90589" w:rsidRDefault="00D90589" w:rsidP="00D90589">
      <w:pPr>
        <w:spacing w:after="0" w:line="240" w:lineRule="auto"/>
        <w:jc w:val="both"/>
        <w:rPr>
          <w:rFonts w:ascii="Times New Roman" w:hAnsi="Times New Roman"/>
          <w:bCs/>
          <w:lang w:val="fr-FR"/>
        </w:rPr>
      </w:pPr>
    </w:p>
    <w:p w14:paraId="45A165B1" w14:textId="77777777" w:rsidR="00D90589" w:rsidRDefault="00D90589" w:rsidP="00D90589">
      <w:pPr>
        <w:spacing w:after="0" w:line="240" w:lineRule="auto"/>
        <w:jc w:val="both"/>
        <w:rPr>
          <w:rFonts w:ascii="Times New Roman" w:hAnsi="Times New Roman"/>
          <w:b/>
        </w:rPr>
      </w:pPr>
      <w:r>
        <w:rPr>
          <w:rFonts w:ascii="Times New Roman" w:hAnsi="Times New Roman"/>
          <w:b/>
        </w:rPr>
        <w:t>THÈME 3. Défis et opportunités de l’établissement de rapports</w:t>
      </w:r>
    </w:p>
    <w:p w14:paraId="5BC71A6E" w14:textId="77777777" w:rsidR="00D90589" w:rsidRDefault="00D90589" w:rsidP="00D90589">
      <w:pPr>
        <w:spacing w:after="0" w:line="240" w:lineRule="auto"/>
        <w:jc w:val="both"/>
        <w:rPr>
          <w:rFonts w:ascii="Times New Roman" w:hAnsi="Times New Roman"/>
          <w:highlight w:val="yellow"/>
          <w:lang w:val="fr-FR"/>
        </w:rPr>
      </w:pPr>
    </w:p>
    <w:p w14:paraId="004DD3B8" w14:textId="77777777" w:rsidR="00D90589" w:rsidRDefault="00D90589" w:rsidP="00D90589">
      <w:pPr>
        <w:spacing w:line="240" w:lineRule="auto"/>
        <w:ind w:firstLine="720"/>
        <w:contextualSpacing/>
        <w:jc w:val="both"/>
        <w:rPr>
          <w:rFonts w:ascii="Times New Roman" w:eastAsia="SimSun" w:hAnsi="Times New Roman"/>
        </w:rPr>
      </w:pPr>
      <w:r>
        <w:rPr>
          <w:rFonts w:ascii="Times New Roman" w:hAnsi="Times New Roman"/>
        </w:rPr>
        <w:t>Le troisième panel est de nature technique et opérationnelle et cherche à promouvoir un dialogue ouvert sur les défis et les opportunités avec les rapports annuels de la CITAAC. Comme indiqué précédemment, le niveau d’établissement de rapports à la CITAAC a diminué au fil du temps. Cette question qui reste d'actualité a déjà été abordée lors des autres réunions des États parties, avec des suggestions pour améliorer la présentation de rapports :</w:t>
      </w:r>
    </w:p>
    <w:p w14:paraId="44BFE095" w14:textId="77777777" w:rsidR="00D90589" w:rsidRDefault="00D90589" w:rsidP="00D90589">
      <w:pPr>
        <w:autoSpaceDE w:val="0"/>
        <w:autoSpaceDN w:val="0"/>
        <w:adjustRightInd w:val="0"/>
        <w:spacing w:after="0" w:line="240" w:lineRule="auto"/>
        <w:jc w:val="both"/>
        <w:rPr>
          <w:rFonts w:ascii="Times New Roman" w:eastAsia="SimSun" w:hAnsi="Times New Roman"/>
          <w:lang w:val="fr-FR" w:eastAsia="es-MX"/>
        </w:rPr>
      </w:pPr>
    </w:p>
    <w:p w14:paraId="10178A73" w14:textId="77777777" w:rsidR="00D90589" w:rsidRDefault="00D90589" w:rsidP="00D90589">
      <w:pPr>
        <w:pStyle w:val="ListParagraph"/>
        <w:numPr>
          <w:ilvl w:val="0"/>
          <w:numId w:val="44"/>
        </w:numPr>
        <w:autoSpaceDE w:val="0"/>
        <w:autoSpaceDN w:val="0"/>
        <w:adjustRightInd w:val="0"/>
        <w:spacing w:after="0" w:line="240" w:lineRule="auto"/>
        <w:ind w:left="1080"/>
        <w:jc w:val="both"/>
        <w:rPr>
          <w:rFonts w:ascii="Times New Roman" w:hAnsi="Times New Roman"/>
        </w:rPr>
      </w:pPr>
      <w:r>
        <w:rPr>
          <w:rFonts w:ascii="Times New Roman" w:hAnsi="Times New Roman"/>
        </w:rPr>
        <w:t>Identification des points de contact nationaux, responsables de la soumission des rapports ;</w:t>
      </w:r>
    </w:p>
    <w:p w14:paraId="7227293A" w14:textId="77777777" w:rsidR="00D90589" w:rsidRDefault="00D90589" w:rsidP="00D90589">
      <w:pPr>
        <w:pStyle w:val="ListParagraph"/>
        <w:numPr>
          <w:ilvl w:val="0"/>
          <w:numId w:val="44"/>
        </w:numPr>
        <w:autoSpaceDE w:val="0"/>
        <w:autoSpaceDN w:val="0"/>
        <w:adjustRightInd w:val="0"/>
        <w:spacing w:after="0" w:line="240" w:lineRule="auto"/>
        <w:ind w:left="1080"/>
        <w:jc w:val="both"/>
        <w:rPr>
          <w:rFonts w:ascii="Times New Roman" w:hAnsi="Times New Roman"/>
        </w:rPr>
      </w:pPr>
      <w:r>
        <w:rPr>
          <w:rFonts w:ascii="Times New Roman" w:hAnsi="Times New Roman"/>
        </w:rPr>
        <w:t>Mise au point d'une base de données électronique pour faciliter la soumission des rapports et l'accès aux données consolidées sur les transferts ;</w:t>
      </w:r>
    </w:p>
    <w:p w14:paraId="636592E6" w14:textId="77777777" w:rsidR="00D90589" w:rsidRDefault="00D90589" w:rsidP="00D90589">
      <w:pPr>
        <w:pStyle w:val="ListParagraph"/>
        <w:numPr>
          <w:ilvl w:val="0"/>
          <w:numId w:val="44"/>
        </w:numPr>
        <w:autoSpaceDE w:val="0"/>
        <w:autoSpaceDN w:val="0"/>
        <w:adjustRightInd w:val="0"/>
        <w:spacing w:after="0" w:line="240" w:lineRule="auto"/>
        <w:ind w:left="1080"/>
        <w:jc w:val="both"/>
        <w:rPr>
          <w:rFonts w:ascii="Times New Roman" w:hAnsi="Times New Roman"/>
        </w:rPr>
      </w:pPr>
      <w:r>
        <w:rPr>
          <w:rFonts w:ascii="Times New Roman" w:hAnsi="Times New Roman"/>
        </w:rPr>
        <w:t>Proposition visant l’organisation d'ateliers de sensibilisation pour les pays ;</w:t>
      </w:r>
    </w:p>
    <w:p w14:paraId="4AC17312" w14:textId="77777777" w:rsidR="00D90589" w:rsidRDefault="00D90589" w:rsidP="00D90589">
      <w:pPr>
        <w:pStyle w:val="ListParagraph"/>
        <w:numPr>
          <w:ilvl w:val="0"/>
          <w:numId w:val="44"/>
        </w:numPr>
        <w:autoSpaceDE w:val="0"/>
        <w:autoSpaceDN w:val="0"/>
        <w:adjustRightInd w:val="0"/>
        <w:spacing w:after="0" w:line="240" w:lineRule="auto"/>
        <w:ind w:left="1080"/>
        <w:jc w:val="both"/>
        <w:rPr>
          <w:rFonts w:ascii="Times New Roman" w:hAnsi="Times New Roman"/>
        </w:rPr>
      </w:pPr>
      <w:r>
        <w:rPr>
          <w:rFonts w:ascii="Times New Roman" w:hAnsi="Times New Roman"/>
        </w:rPr>
        <w:t>Intégration des rapports avec ceux du système des Nations Unies (par exemple, soumission d'une copie des rapports du Registre des armes classiques à l'OEA) ;</w:t>
      </w:r>
    </w:p>
    <w:p w14:paraId="7A685A7E" w14:textId="77777777" w:rsidR="00D90589" w:rsidRDefault="00D90589" w:rsidP="00D90589">
      <w:pPr>
        <w:pStyle w:val="ListParagraph"/>
        <w:numPr>
          <w:ilvl w:val="0"/>
          <w:numId w:val="44"/>
        </w:numPr>
        <w:autoSpaceDE w:val="0"/>
        <w:autoSpaceDN w:val="0"/>
        <w:adjustRightInd w:val="0"/>
        <w:spacing w:after="0" w:line="240" w:lineRule="auto"/>
        <w:ind w:left="1080"/>
        <w:jc w:val="both"/>
        <w:rPr>
          <w:rFonts w:ascii="Times New Roman" w:hAnsi="Times New Roman"/>
        </w:rPr>
      </w:pPr>
      <w:r>
        <w:rPr>
          <w:rFonts w:ascii="Times New Roman" w:hAnsi="Times New Roman"/>
        </w:rPr>
        <w:t xml:space="preserve">Soumission de rapports nuls. </w:t>
      </w:r>
    </w:p>
    <w:p w14:paraId="106495A1" w14:textId="77777777" w:rsidR="00D90589" w:rsidRDefault="00D90589" w:rsidP="00D90589">
      <w:pPr>
        <w:autoSpaceDE w:val="0"/>
        <w:autoSpaceDN w:val="0"/>
        <w:adjustRightInd w:val="0"/>
        <w:spacing w:after="0" w:line="240" w:lineRule="auto"/>
        <w:jc w:val="both"/>
        <w:rPr>
          <w:rFonts w:ascii="Times New Roman" w:hAnsi="Times New Roman"/>
          <w:lang w:val="en-US"/>
        </w:rPr>
      </w:pPr>
    </w:p>
    <w:p w14:paraId="7DCCECB8" w14:textId="77777777" w:rsidR="00D90589" w:rsidRDefault="00D90589" w:rsidP="00D90589">
      <w:pPr>
        <w:spacing w:line="240" w:lineRule="auto"/>
        <w:ind w:firstLine="720"/>
        <w:contextualSpacing/>
        <w:jc w:val="both"/>
        <w:rPr>
          <w:rFonts w:ascii="Times New Roman" w:eastAsia="SimSun" w:hAnsi="Times New Roman"/>
        </w:rPr>
      </w:pPr>
      <w:r>
        <w:rPr>
          <w:rFonts w:ascii="Times New Roman" w:hAnsi="Times New Roman"/>
        </w:rPr>
        <w:t xml:space="preserve">Afin d'éclairer le dialogue des États parties, le panel écoutera tout d'abord un exposé du Secrétariat général de l'OEA sur l'historique des rapports, y compris une analyse comparative avec les autres rapports existants sur la question. Des experts des pays présenteront également des bonnes pratiques sur la manière dont ils ont pu se conformer aux rapports. </w:t>
      </w:r>
    </w:p>
    <w:p w14:paraId="39A247A1" w14:textId="77777777" w:rsidR="00D90589" w:rsidRDefault="00D90589" w:rsidP="00D90589">
      <w:pPr>
        <w:autoSpaceDE w:val="0"/>
        <w:autoSpaceDN w:val="0"/>
        <w:adjustRightInd w:val="0"/>
        <w:spacing w:after="0" w:line="240" w:lineRule="auto"/>
        <w:jc w:val="both"/>
        <w:rPr>
          <w:rFonts w:ascii="Times New Roman" w:eastAsia="SimSun" w:hAnsi="Times New Roman"/>
          <w:lang w:val="fr-FR" w:eastAsia="es-MX"/>
        </w:rPr>
      </w:pPr>
    </w:p>
    <w:p w14:paraId="21A2BDD6" w14:textId="7B361DCF" w:rsidR="00D90589" w:rsidRDefault="00D90589" w:rsidP="00D90589">
      <w:pPr>
        <w:spacing w:line="240" w:lineRule="auto"/>
        <w:ind w:firstLine="720"/>
        <w:contextualSpacing/>
        <w:jc w:val="both"/>
        <w:rPr>
          <w:rFonts w:ascii="Times New Roman" w:eastAsia="SimSun" w:hAnsi="Times New Roman"/>
          <w:lang w:val="fr-FR" w:eastAsia="es-MX"/>
        </w:rPr>
      </w:pPr>
      <w:r>
        <w:rPr>
          <w:rFonts w:ascii="Times New Roman" w:hAnsi="Times New Roman"/>
        </w:rPr>
        <w:t>Chaque panéliste disposera de dix (10) minutes pour son intervention, qui sera suivie de vingt (20) minutes de dialogue avec les représentants des États parties présents à la réunion afin d'identifier des solutions communes et des stratégies pratiques qui pourraient être soutenues par le Secrétariat technique pour encourager la conformité avec les rapports.</w:t>
      </w:r>
      <w:r>
        <w:rPr>
          <w:noProof/>
        </w:rPr>
        <mc:AlternateContent>
          <mc:Choice Requires="wps">
            <w:drawing>
              <wp:anchor distT="0" distB="0" distL="114300" distR="114300" simplePos="0" relativeHeight="251658240" behindDoc="0" locked="1" layoutInCell="1" allowOverlap="1" wp14:anchorId="3436FF0A" wp14:editId="201C5D5B">
                <wp:simplePos x="0" y="0"/>
                <wp:positionH relativeFrom="column">
                  <wp:posOffset>-91440</wp:posOffset>
                </wp:positionH>
                <wp:positionV relativeFrom="page">
                  <wp:posOffset>9413875</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CE30012" w14:textId="4BAB2D78" w:rsidR="00D90589" w:rsidRDefault="00D90589" w:rsidP="00D90589">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DPASP00133F05</w:t>
                            </w:r>
                            <w:r>
                              <w:rPr>
                                <w:rFonts w:ascii="Times New Roman" w:hAnsi="Times New Roman"/>
                                <w:sz w:val="18"/>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436FF0A" id="_x0000_t202" coordsize="21600,21600" o:spt="202" path="m,l,21600r21600,l21600,xe">
                <v:stroke joinstyle="miter"/>
                <v:path gradientshapeok="t" o:connecttype="rect"/>
              </v:shapetype>
              <v:shape id="Text Box 2" o:spid="_x0000_s1026" type="#_x0000_t202" style="position:absolute;left:0;text-align:left;margin-left:-7.2pt;margin-top:741.25pt;width:266.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" filled="f" stroked="f">
                <v:stroke joinstyle="round"/>
                <v:textbox>
                  <w:txbxContent>
                    <w:p w14:paraId="3CE30012" w14:textId="4BAB2D78" w:rsidR="00D90589" w:rsidRDefault="00D90589" w:rsidP="00D90589">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DPASP00133F05</w:t>
                      </w:r>
                      <w:r>
                        <w:rPr>
                          <w:rFonts w:ascii="Times New Roman" w:hAnsi="Times New Roman"/>
                          <w:sz w:val="18"/>
                        </w:rPr>
                        <w:fldChar w:fldCharType="end"/>
                      </w:r>
                    </w:p>
                  </w:txbxContent>
                </v:textbox>
                <w10:wrap anchory="page"/>
                <w10:anchorlock/>
              </v:shape>
            </w:pict>
          </mc:Fallback>
        </mc:AlternateContent>
      </w:r>
    </w:p>
    <w:p w14:paraId="5C640326" w14:textId="7CAA8180" w:rsidR="008174E6" w:rsidRPr="00D90589" w:rsidRDefault="008174E6" w:rsidP="00D90589">
      <w:pPr>
        <w:rPr>
          <w:lang w:val="fr-FR"/>
        </w:rPr>
      </w:pPr>
    </w:p>
    <w:sectPr w:rsidR="008174E6" w:rsidRPr="00D90589" w:rsidSect="00C51618">
      <w:headerReference w:type="default" r:id="rId11"/>
      <w:pgSz w:w="12240" w:h="15840" w:code="1"/>
      <w:pgMar w:top="2160" w:right="1570" w:bottom="1296"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DB22" w14:textId="77777777" w:rsidR="00807677" w:rsidRDefault="00807677" w:rsidP="006070A3">
      <w:pPr>
        <w:spacing w:after="0" w:line="240" w:lineRule="auto"/>
      </w:pPr>
      <w:r>
        <w:separator/>
      </w:r>
    </w:p>
  </w:endnote>
  <w:endnote w:type="continuationSeparator" w:id="0">
    <w:p w14:paraId="1A3CD902" w14:textId="77777777" w:rsidR="00807677" w:rsidRDefault="00807677" w:rsidP="0060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Sans">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23A2" w14:textId="77777777" w:rsidR="00807677" w:rsidRDefault="00807677" w:rsidP="006070A3">
      <w:pPr>
        <w:spacing w:after="0" w:line="240" w:lineRule="auto"/>
      </w:pPr>
      <w:r>
        <w:separator/>
      </w:r>
    </w:p>
  </w:footnote>
  <w:footnote w:type="continuationSeparator" w:id="0">
    <w:p w14:paraId="30337B70" w14:textId="77777777" w:rsidR="00807677" w:rsidRDefault="00807677" w:rsidP="0060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CBF6" w14:textId="77777777" w:rsidR="00574BC8" w:rsidRPr="00AC4321" w:rsidRDefault="00574BC8">
    <w:pPr>
      <w:pStyle w:val="Header"/>
      <w:jc w:val="center"/>
      <w:rPr>
        <w:rFonts w:ascii="Times New Roman" w:hAnsi="Times New Roman"/>
      </w:rPr>
    </w:pPr>
    <w:r>
      <w:rPr>
        <w:rFonts w:ascii="Times New Roman" w:hAnsi="Times New Roman"/>
      </w:rPr>
      <w:t xml:space="preserve">- </w:t>
    </w:r>
    <w:r w:rsidRPr="00AC4321">
      <w:rPr>
        <w:rFonts w:ascii="Times New Roman" w:hAnsi="Times New Roman"/>
      </w:rPr>
      <w:fldChar w:fldCharType="begin"/>
    </w:r>
    <w:r w:rsidRPr="00AC4321">
      <w:rPr>
        <w:rFonts w:ascii="Times New Roman" w:hAnsi="Times New Roman"/>
      </w:rPr>
      <w:instrText xml:space="preserve"> PAGE   \* MERGEFORMAT </w:instrText>
    </w:r>
    <w:r w:rsidRPr="00AC4321">
      <w:rPr>
        <w:rFonts w:ascii="Times New Roman" w:hAnsi="Times New Roman"/>
      </w:rPr>
      <w:fldChar w:fldCharType="separate"/>
    </w:r>
    <w:r w:rsidR="0044271B">
      <w:rPr>
        <w:rFonts w:ascii="Times New Roman" w:hAnsi="Times New Roman"/>
      </w:rPr>
      <w:t>2</w:t>
    </w:r>
    <w:r w:rsidRPr="00AC4321">
      <w:rPr>
        <w:rFonts w:ascii="Times New Roman" w:hAnsi="Times New Roman"/>
      </w:rPr>
      <w:fldChar w:fldCharType="end"/>
    </w:r>
    <w:r>
      <w:rPr>
        <w:rFonts w:ascii="Times New Roman" w:hAnsi="Times New Roman"/>
      </w:rPr>
      <w:t xml:space="preserve"> -</w:t>
    </w:r>
  </w:p>
  <w:p w14:paraId="46F080FF" w14:textId="77777777" w:rsidR="00574BC8" w:rsidRDefault="00574B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181F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452A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18D0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2457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34ED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EC7F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14FE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0801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2A44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AE8C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42A3B"/>
    <w:multiLevelType w:val="hybridMultilevel"/>
    <w:tmpl w:val="E22426C2"/>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072B3033"/>
    <w:multiLevelType w:val="hybridMultilevel"/>
    <w:tmpl w:val="15E0A552"/>
    <w:lvl w:ilvl="0" w:tplc="1968F99C">
      <w:start w:val="1"/>
      <w:numFmt w:val="bullet"/>
      <w:lvlText w:val="-"/>
      <w:lvlJc w:val="left"/>
      <w:pPr>
        <w:ind w:left="1440" w:hanging="360"/>
      </w:pPr>
      <w:rPr>
        <w:rFonts w:ascii="Times New Roman" w:eastAsia="Times New Roman" w:hAnsi="Times New Roman"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0B3D5578"/>
    <w:multiLevelType w:val="hybridMultilevel"/>
    <w:tmpl w:val="DD0E0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5B18A0"/>
    <w:multiLevelType w:val="hybridMultilevel"/>
    <w:tmpl w:val="602C0EE2"/>
    <w:lvl w:ilvl="0" w:tplc="3546451A">
      <w:start w:val="3"/>
      <w:numFmt w:val="bullet"/>
      <w:lvlText w:val="-"/>
      <w:lvlJc w:val="left"/>
      <w:pPr>
        <w:ind w:left="1080" w:hanging="360"/>
      </w:pPr>
      <w:rPr>
        <w:rFonts w:ascii="Times New Roman" w:eastAsia="Batang"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0F393E29"/>
    <w:multiLevelType w:val="hybridMultilevel"/>
    <w:tmpl w:val="5024ECFC"/>
    <w:lvl w:ilvl="0" w:tplc="0409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15D12203"/>
    <w:multiLevelType w:val="hybridMultilevel"/>
    <w:tmpl w:val="D772DCF0"/>
    <w:lvl w:ilvl="0" w:tplc="74E60E44">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58680A"/>
    <w:multiLevelType w:val="hybridMultilevel"/>
    <w:tmpl w:val="D52C9ABC"/>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D2429F6"/>
    <w:multiLevelType w:val="hybridMultilevel"/>
    <w:tmpl w:val="00EA70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237D3911"/>
    <w:multiLevelType w:val="hybridMultilevel"/>
    <w:tmpl w:val="F66409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BA4AA2"/>
    <w:multiLevelType w:val="hybridMultilevel"/>
    <w:tmpl w:val="E5E41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80EFC"/>
    <w:multiLevelType w:val="hybridMultilevel"/>
    <w:tmpl w:val="331ACF86"/>
    <w:lvl w:ilvl="0" w:tplc="FFFFFFFF">
      <w:start w:val="1"/>
      <w:numFmt w:val="decimal"/>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ECC0363"/>
    <w:multiLevelType w:val="multilevel"/>
    <w:tmpl w:val="38F0B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9A261E"/>
    <w:multiLevelType w:val="hybridMultilevel"/>
    <w:tmpl w:val="90268A04"/>
    <w:lvl w:ilvl="0" w:tplc="153C1310">
      <w:start w:val="3"/>
      <w:numFmt w:val="bullet"/>
      <w:lvlText w:val="-"/>
      <w:lvlJc w:val="left"/>
      <w:pPr>
        <w:ind w:left="1068" w:hanging="360"/>
      </w:pPr>
      <w:rPr>
        <w:rFonts w:ascii="Times New Roman" w:eastAsia="Times New Roman"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36F337CE"/>
    <w:multiLevelType w:val="multilevel"/>
    <w:tmpl w:val="4700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D4213E"/>
    <w:multiLevelType w:val="hybridMultilevel"/>
    <w:tmpl w:val="52224022"/>
    <w:lvl w:ilvl="0" w:tplc="6B7E491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EC3A82"/>
    <w:multiLevelType w:val="hybridMultilevel"/>
    <w:tmpl w:val="BEEAC3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45477235"/>
    <w:multiLevelType w:val="hybridMultilevel"/>
    <w:tmpl w:val="780026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B0D6B56"/>
    <w:multiLevelType w:val="hybridMultilevel"/>
    <w:tmpl w:val="670CCE0A"/>
    <w:lvl w:ilvl="0" w:tplc="FFFFFFFF">
      <w:start w:val="1"/>
      <w:numFmt w:val="decimal"/>
      <w:lvlText w:val="%1."/>
      <w:lvlJc w:val="left"/>
      <w:pPr>
        <w:ind w:left="720" w:hanging="360"/>
      </w:pPr>
      <w:rPr>
        <w:rFonts w:cs="Times New Roman"/>
        <w:b w:val="0"/>
        <w:b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8" w15:restartNumberingAfterBreak="0">
    <w:nsid w:val="4C2A216F"/>
    <w:multiLevelType w:val="hybridMultilevel"/>
    <w:tmpl w:val="75E8E6B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9" w15:restartNumberingAfterBreak="0">
    <w:nsid w:val="578A0328"/>
    <w:multiLevelType w:val="hybridMultilevel"/>
    <w:tmpl w:val="8730BC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3341BD4"/>
    <w:multiLevelType w:val="hybridMultilevel"/>
    <w:tmpl w:val="94945EAC"/>
    <w:lvl w:ilvl="0" w:tplc="595C71B8">
      <w:numFmt w:val="bullet"/>
      <w:lvlText w:val="-"/>
      <w:lvlJc w:val="left"/>
      <w:pPr>
        <w:ind w:left="720" w:hanging="360"/>
      </w:pPr>
      <w:rPr>
        <w:rFonts w:ascii="Century Gothic" w:eastAsia="Times New Roman" w:hAnsi="Century Gothic" w:cs="Open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93739"/>
    <w:multiLevelType w:val="hybridMultilevel"/>
    <w:tmpl w:val="E9D8A7A2"/>
    <w:lvl w:ilvl="0" w:tplc="B05AF858">
      <w:start w:val="1"/>
      <w:numFmt w:val="upperRoman"/>
      <w:lvlText w:val="%1."/>
      <w:lvlJc w:val="left"/>
      <w:pPr>
        <w:ind w:left="1080" w:hanging="72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2" w15:restartNumberingAfterBreak="0">
    <w:nsid w:val="76A31738"/>
    <w:multiLevelType w:val="hybridMultilevel"/>
    <w:tmpl w:val="064E47AE"/>
    <w:lvl w:ilvl="0" w:tplc="595C71B8">
      <w:numFmt w:val="bullet"/>
      <w:lvlText w:val="-"/>
      <w:lvlJc w:val="left"/>
      <w:pPr>
        <w:ind w:left="720" w:hanging="360"/>
      </w:pPr>
      <w:rPr>
        <w:rFonts w:ascii="Century Gothic" w:eastAsia="Times New Roman" w:hAnsi="Century Gothic" w:cs="OpenSan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CE5A8F"/>
    <w:multiLevelType w:val="hybridMultilevel"/>
    <w:tmpl w:val="D1068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5D36CE"/>
    <w:multiLevelType w:val="hybridMultilevel"/>
    <w:tmpl w:val="459CE0E6"/>
    <w:lvl w:ilvl="0" w:tplc="3AFA09E8">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5" w15:restartNumberingAfterBreak="0">
    <w:nsid w:val="7BC61B26"/>
    <w:multiLevelType w:val="multilevel"/>
    <w:tmpl w:val="600E7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C322F1"/>
    <w:multiLevelType w:val="hybridMultilevel"/>
    <w:tmpl w:val="089A5426"/>
    <w:lvl w:ilvl="0" w:tplc="97EEEBF8">
      <w:start w:val="1"/>
      <w:numFmt w:val="lowerRoman"/>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3690363">
    <w:abstractNumId w:val="10"/>
  </w:num>
  <w:num w:numId="2" w16cid:durableId="1148981206">
    <w:abstractNumId w:val="31"/>
  </w:num>
  <w:num w:numId="3" w16cid:durableId="209650733">
    <w:abstractNumId w:val="23"/>
  </w:num>
  <w:num w:numId="4" w16cid:durableId="13969323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899696">
    <w:abstractNumId w:val="25"/>
  </w:num>
  <w:num w:numId="6" w16cid:durableId="1413429309">
    <w:abstractNumId w:val="24"/>
  </w:num>
  <w:num w:numId="7" w16cid:durableId="1941525438">
    <w:abstractNumId w:val="17"/>
  </w:num>
  <w:num w:numId="8" w16cid:durableId="787822793">
    <w:abstractNumId w:val="26"/>
  </w:num>
  <w:num w:numId="9" w16cid:durableId="1654484411">
    <w:abstractNumId w:val="12"/>
  </w:num>
  <w:num w:numId="10" w16cid:durableId="1651131749">
    <w:abstractNumId w:val="21"/>
  </w:num>
  <w:num w:numId="11" w16cid:durableId="160509634">
    <w:abstractNumId w:val="35"/>
  </w:num>
  <w:num w:numId="12" w16cid:durableId="351540532">
    <w:abstractNumId w:val="28"/>
  </w:num>
  <w:num w:numId="13" w16cid:durableId="2123763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7615407">
    <w:abstractNumId w:val="14"/>
  </w:num>
  <w:num w:numId="15" w16cid:durableId="1001078410">
    <w:abstractNumId w:val="9"/>
  </w:num>
  <w:num w:numId="16" w16cid:durableId="1550606607">
    <w:abstractNumId w:val="7"/>
  </w:num>
  <w:num w:numId="17" w16cid:durableId="1765413925">
    <w:abstractNumId w:val="6"/>
  </w:num>
  <w:num w:numId="18" w16cid:durableId="1131943502">
    <w:abstractNumId w:val="5"/>
  </w:num>
  <w:num w:numId="19" w16cid:durableId="1377391681">
    <w:abstractNumId w:val="4"/>
  </w:num>
  <w:num w:numId="20" w16cid:durableId="1535147911">
    <w:abstractNumId w:val="8"/>
  </w:num>
  <w:num w:numId="21" w16cid:durableId="1375304096">
    <w:abstractNumId w:val="3"/>
  </w:num>
  <w:num w:numId="22" w16cid:durableId="1600603652">
    <w:abstractNumId w:val="2"/>
  </w:num>
  <w:num w:numId="23" w16cid:durableId="1957834303">
    <w:abstractNumId w:val="1"/>
  </w:num>
  <w:num w:numId="24" w16cid:durableId="670303364">
    <w:abstractNumId w:val="0"/>
  </w:num>
  <w:num w:numId="25" w16cid:durableId="824394630">
    <w:abstractNumId w:val="20"/>
  </w:num>
  <w:num w:numId="26" w16cid:durableId="739013712">
    <w:abstractNumId w:val="29"/>
  </w:num>
  <w:num w:numId="27" w16cid:durableId="459301045">
    <w:abstractNumId w:val="32"/>
  </w:num>
  <w:num w:numId="28" w16cid:durableId="1519809073">
    <w:abstractNumId w:val="36"/>
  </w:num>
  <w:num w:numId="29" w16cid:durableId="1558320091">
    <w:abstractNumId w:val="30"/>
  </w:num>
  <w:num w:numId="30" w16cid:durableId="178660037">
    <w:abstractNumId w:val="34"/>
  </w:num>
  <w:num w:numId="31" w16cid:durableId="13933896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368294">
    <w:abstractNumId w:val="32"/>
  </w:num>
  <w:num w:numId="33" w16cid:durableId="1754429293">
    <w:abstractNumId w:val="30"/>
  </w:num>
  <w:num w:numId="34" w16cid:durableId="7848123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6830548">
    <w:abstractNumId w:val="33"/>
  </w:num>
  <w:num w:numId="36" w16cid:durableId="996809779">
    <w:abstractNumId w:val="18"/>
  </w:num>
  <w:num w:numId="37" w16cid:durableId="1809474826">
    <w:abstractNumId w:val="16"/>
  </w:num>
  <w:num w:numId="38" w16cid:durableId="301469694">
    <w:abstractNumId w:val="13"/>
  </w:num>
  <w:num w:numId="39" w16cid:durableId="875432120">
    <w:abstractNumId w:val="22"/>
  </w:num>
  <w:num w:numId="40" w16cid:durableId="1898741500">
    <w:abstractNumId w:val="19"/>
  </w:num>
  <w:num w:numId="41" w16cid:durableId="1723556544">
    <w:abstractNumId w:val="11"/>
  </w:num>
  <w:num w:numId="42" w16cid:durableId="953948275">
    <w:abstractNumId w:val="22"/>
    <w:lvlOverride w:ilvl="0"/>
    <w:lvlOverride w:ilvl="1"/>
    <w:lvlOverride w:ilvl="2"/>
    <w:lvlOverride w:ilvl="3"/>
    <w:lvlOverride w:ilvl="4"/>
    <w:lvlOverride w:ilvl="5"/>
    <w:lvlOverride w:ilvl="6"/>
    <w:lvlOverride w:ilvl="7"/>
    <w:lvlOverride w:ilvl="8"/>
  </w:num>
  <w:num w:numId="43" w16cid:durableId="103890569">
    <w:abstractNumId w:val="13"/>
    <w:lvlOverride w:ilvl="0"/>
    <w:lvlOverride w:ilvl="1"/>
    <w:lvlOverride w:ilvl="2"/>
    <w:lvlOverride w:ilvl="3"/>
    <w:lvlOverride w:ilvl="4"/>
    <w:lvlOverride w:ilvl="5"/>
    <w:lvlOverride w:ilvl="6"/>
    <w:lvlOverride w:ilvl="7"/>
    <w:lvlOverride w:ilvl="8"/>
  </w:num>
  <w:num w:numId="44" w16cid:durableId="38819747">
    <w:abstractNumId w:val="3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OwtLQ0MDYBEkCgpKMUnFpcnJmfB1JgUgsAuo7gSSwAAAA="/>
  </w:docVars>
  <w:rsids>
    <w:rsidRoot w:val="00711AA0"/>
    <w:rsid w:val="00001C8D"/>
    <w:rsid w:val="0000254A"/>
    <w:rsid w:val="000221C2"/>
    <w:rsid w:val="000244EF"/>
    <w:rsid w:val="00025357"/>
    <w:rsid w:val="00025F7B"/>
    <w:rsid w:val="000306CB"/>
    <w:rsid w:val="00031CC3"/>
    <w:rsid w:val="000325B4"/>
    <w:rsid w:val="0003324D"/>
    <w:rsid w:val="00042B7E"/>
    <w:rsid w:val="00056EE7"/>
    <w:rsid w:val="000579C2"/>
    <w:rsid w:val="0007600A"/>
    <w:rsid w:val="00085219"/>
    <w:rsid w:val="00090DF2"/>
    <w:rsid w:val="00095C17"/>
    <w:rsid w:val="000A0916"/>
    <w:rsid w:val="000A1810"/>
    <w:rsid w:val="000A29E5"/>
    <w:rsid w:val="000A3436"/>
    <w:rsid w:val="000A6122"/>
    <w:rsid w:val="000A64AA"/>
    <w:rsid w:val="000A72D1"/>
    <w:rsid w:val="000B0303"/>
    <w:rsid w:val="000C1C8C"/>
    <w:rsid w:val="000C2CE2"/>
    <w:rsid w:val="000C41A9"/>
    <w:rsid w:val="000C72FD"/>
    <w:rsid w:val="000D065D"/>
    <w:rsid w:val="000D7367"/>
    <w:rsid w:val="000E15D6"/>
    <w:rsid w:val="000E1EEF"/>
    <w:rsid w:val="000F3748"/>
    <w:rsid w:val="00100773"/>
    <w:rsid w:val="00102ABF"/>
    <w:rsid w:val="00112D79"/>
    <w:rsid w:val="001357F9"/>
    <w:rsid w:val="00137F88"/>
    <w:rsid w:val="00144C6A"/>
    <w:rsid w:val="00152219"/>
    <w:rsid w:val="00156171"/>
    <w:rsid w:val="00156B6F"/>
    <w:rsid w:val="001661C6"/>
    <w:rsid w:val="00170A4F"/>
    <w:rsid w:val="001834E8"/>
    <w:rsid w:val="00192C2A"/>
    <w:rsid w:val="001A1C2D"/>
    <w:rsid w:val="001A317B"/>
    <w:rsid w:val="001A49A3"/>
    <w:rsid w:val="001A63E1"/>
    <w:rsid w:val="001B38EE"/>
    <w:rsid w:val="001D64F3"/>
    <w:rsid w:val="001F343E"/>
    <w:rsid w:val="00214582"/>
    <w:rsid w:val="002162E3"/>
    <w:rsid w:val="00216E07"/>
    <w:rsid w:val="00223878"/>
    <w:rsid w:val="00224C75"/>
    <w:rsid w:val="002329F8"/>
    <w:rsid w:val="002330FB"/>
    <w:rsid w:val="00245875"/>
    <w:rsid w:val="00245FCA"/>
    <w:rsid w:val="00247512"/>
    <w:rsid w:val="00247C4B"/>
    <w:rsid w:val="0025364F"/>
    <w:rsid w:val="00256109"/>
    <w:rsid w:val="002572C7"/>
    <w:rsid w:val="002615FE"/>
    <w:rsid w:val="0026479F"/>
    <w:rsid w:val="00266E5D"/>
    <w:rsid w:val="00277681"/>
    <w:rsid w:val="00282639"/>
    <w:rsid w:val="002870A3"/>
    <w:rsid w:val="0029431C"/>
    <w:rsid w:val="00295914"/>
    <w:rsid w:val="002A1EC2"/>
    <w:rsid w:val="002A78AD"/>
    <w:rsid w:val="002B0499"/>
    <w:rsid w:val="002B6B3D"/>
    <w:rsid w:val="002C6227"/>
    <w:rsid w:val="002C669C"/>
    <w:rsid w:val="002D39EF"/>
    <w:rsid w:val="002D3CE8"/>
    <w:rsid w:val="002E3E1D"/>
    <w:rsid w:val="003006AE"/>
    <w:rsid w:val="003037EE"/>
    <w:rsid w:val="00330C5C"/>
    <w:rsid w:val="003355AB"/>
    <w:rsid w:val="003401CB"/>
    <w:rsid w:val="00343BB0"/>
    <w:rsid w:val="00343CCF"/>
    <w:rsid w:val="00345863"/>
    <w:rsid w:val="003471FB"/>
    <w:rsid w:val="00356CF5"/>
    <w:rsid w:val="00363489"/>
    <w:rsid w:val="00367196"/>
    <w:rsid w:val="00367964"/>
    <w:rsid w:val="00371914"/>
    <w:rsid w:val="00382590"/>
    <w:rsid w:val="00387627"/>
    <w:rsid w:val="003916F5"/>
    <w:rsid w:val="00391832"/>
    <w:rsid w:val="00396835"/>
    <w:rsid w:val="003A24CA"/>
    <w:rsid w:val="003C0FD2"/>
    <w:rsid w:val="003C26F7"/>
    <w:rsid w:val="003C3C26"/>
    <w:rsid w:val="003C7F39"/>
    <w:rsid w:val="003D2D5B"/>
    <w:rsid w:val="003D496C"/>
    <w:rsid w:val="003D4A90"/>
    <w:rsid w:val="003D6646"/>
    <w:rsid w:val="003F1E30"/>
    <w:rsid w:val="00404591"/>
    <w:rsid w:val="00410885"/>
    <w:rsid w:val="00410AE4"/>
    <w:rsid w:val="00433AFA"/>
    <w:rsid w:val="00434560"/>
    <w:rsid w:val="0044271B"/>
    <w:rsid w:val="00443F7D"/>
    <w:rsid w:val="00445A82"/>
    <w:rsid w:val="00450ABE"/>
    <w:rsid w:val="00453E1B"/>
    <w:rsid w:val="004603C3"/>
    <w:rsid w:val="00470248"/>
    <w:rsid w:val="00472759"/>
    <w:rsid w:val="0048154E"/>
    <w:rsid w:val="004913BC"/>
    <w:rsid w:val="00491829"/>
    <w:rsid w:val="00492D6A"/>
    <w:rsid w:val="00497338"/>
    <w:rsid w:val="004A2764"/>
    <w:rsid w:val="004A2BE4"/>
    <w:rsid w:val="004A7E4D"/>
    <w:rsid w:val="004B624C"/>
    <w:rsid w:val="004C3D29"/>
    <w:rsid w:val="004D5F6F"/>
    <w:rsid w:val="004E4F1B"/>
    <w:rsid w:val="004F2002"/>
    <w:rsid w:val="004F7C7F"/>
    <w:rsid w:val="0050702E"/>
    <w:rsid w:val="00510263"/>
    <w:rsid w:val="00513F78"/>
    <w:rsid w:val="0052474D"/>
    <w:rsid w:val="005248B6"/>
    <w:rsid w:val="00524A5F"/>
    <w:rsid w:val="005343FE"/>
    <w:rsid w:val="005353EB"/>
    <w:rsid w:val="00540B0D"/>
    <w:rsid w:val="005460F5"/>
    <w:rsid w:val="0057358A"/>
    <w:rsid w:val="00573BC8"/>
    <w:rsid w:val="00574BC8"/>
    <w:rsid w:val="005801FA"/>
    <w:rsid w:val="005813A1"/>
    <w:rsid w:val="0058452D"/>
    <w:rsid w:val="00595566"/>
    <w:rsid w:val="0059790C"/>
    <w:rsid w:val="005A5A85"/>
    <w:rsid w:val="005B36B4"/>
    <w:rsid w:val="005B57AD"/>
    <w:rsid w:val="005C1459"/>
    <w:rsid w:val="005C76EF"/>
    <w:rsid w:val="005F07C5"/>
    <w:rsid w:val="005F3081"/>
    <w:rsid w:val="006070A3"/>
    <w:rsid w:val="00613C7B"/>
    <w:rsid w:val="00622663"/>
    <w:rsid w:val="00624475"/>
    <w:rsid w:val="00626BAE"/>
    <w:rsid w:val="00631F9F"/>
    <w:rsid w:val="00645E93"/>
    <w:rsid w:val="0066376B"/>
    <w:rsid w:val="0069639D"/>
    <w:rsid w:val="006C21BE"/>
    <w:rsid w:val="006C7C1D"/>
    <w:rsid w:val="006D2C5A"/>
    <w:rsid w:val="006F2027"/>
    <w:rsid w:val="006F5F9D"/>
    <w:rsid w:val="007021DA"/>
    <w:rsid w:val="0071083B"/>
    <w:rsid w:val="00710EF6"/>
    <w:rsid w:val="00711AA0"/>
    <w:rsid w:val="007125C9"/>
    <w:rsid w:val="0071759D"/>
    <w:rsid w:val="00723770"/>
    <w:rsid w:val="00726B14"/>
    <w:rsid w:val="00733A02"/>
    <w:rsid w:val="00734F80"/>
    <w:rsid w:val="007372A2"/>
    <w:rsid w:val="00747980"/>
    <w:rsid w:val="00754096"/>
    <w:rsid w:val="00763EE1"/>
    <w:rsid w:val="0076608C"/>
    <w:rsid w:val="0078321B"/>
    <w:rsid w:val="007840C1"/>
    <w:rsid w:val="0078537C"/>
    <w:rsid w:val="007A07D2"/>
    <w:rsid w:val="007A0926"/>
    <w:rsid w:val="007B0E73"/>
    <w:rsid w:val="007B0FE7"/>
    <w:rsid w:val="007B6AC9"/>
    <w:rsid w:val="007C1751"/>
    <w:rsid w:val="007C4EBC"/>
    <w:rsid w:val="007C516C"/>
    <w:rsid w:val="007D5E1A"/>
    <w:rsid w:val="007E0DE9"/>
    <w:rsid w:val="007E482E"/>
    <w:rsid w:val="007E5DE1"/>
    <w:rsid w:val="007F0E31"/>
    <w:rsid w:val="007F4F7D"/>
    <w:rsid w:val="00801D8A"/>
    <w:rsid w:val="00805868"/>
    <w:rsid w:val="00807677"/>
    <w:rsid w:val="008109FD"/>
    <w:rsid w:val="008174E6"/>
    <w:rsid w:val="0082166A"/>
    <w:rsid w:val="00821FB1"/>
    <w:rsid w:val="00822505"/>
    <w:rsid w:val="00833049"/>
    <w:rsid w:val="00833BFE"/>
    <w:rsid w:val="00851C41"/>
    <w:rsid w:val="00856F94"/>
    <w:rsid w:val="00881250"/>
    <w:rsid w:val="00886D6B"/>
    <w:rsid w:val="00887C44"/>
    <w:rsid w:val="00895058"/>
    <w:rsid w:val="008A6EF2"/>
    <w:rsid w:val="008A7065"/>
    <w:rsid w:val="008A756B"/>
    <w:rsid w:val="008C053A"/>
    <w:rsid w:val="008C2593"/>
    <w:rsid w:val="008C60D8"/>
    <w:rsid w:val="008D3A64"/>
    <w:rsid w:val="008D5238"/>
    <w:rsid w:val="008D5633"/>
    <w:rsid w:val="009009AF"/>
    <w:rsid w:val="00903D0B"/>
    <w:rsid w:val="0090628A"/>
    <w:rsid w:val="00923F29"/>
    <w:rsid w:val="00936F18"/>
    <w:rsid w:val="009427D6"/>
    <w:rsid w:val="00946A75"/>
    <w:rsid w:val="0095633C"/>
    <w:rsid w:val="00963720"/>
    <w:rsid w:val="00982A11"/>
    <w:rsid w:val="00986241"/>
    <w:rsid w:val="00994F80"/>
    <w:rsid w:val="009A0231"/>
    <w:rsid w:val="009A250D"/>
    <w:rsid w:val="009A40B4"/>
    <w:rsid w:val="009B7847"/>
    <w:rsid w:val="009C1BE7"/>
    <w:rsid w:val="009C320B"/>
    <w:rsid w:val="009D7AB8"/>
    <w:rsid w:val="009E11C0"/>
    <w:rsid w:val="009F4AE0"/>
    <w:rsid w:val="009F614D"/>
    <w:rsid w:val="00A02143"/>
    <w:rsid w:val="00A06AB9"/>
    <w:rsid w:val="00A140A9"/>
    <w:rsid w:val="00A276C3"/>
    <w:rsid w:val="00A33B9D"/>
    <w:rsid w:val="00A46D33"/>
    <w:rsid w:val="00A549E1"/>
    <w:rsid w:val="00A554B6"/>
    <w:rsid w:val="00A65192"/>
    <w:rsid w:val="00A71DC6"/>
    <w:rsid w:val="00A75E05"/>
    <w:rsid w:val="00A90611"/>
    <w:rsid w:val="00A92F7B"/>
    <w:rsid w:val="00A938D3"/>
    <w:rsid w:val="00AA06D1"/>
    <w:rsid w:val="00AA390D"/>
    <w:rsid w:val="00AC4321"/>
    <w:rsid w:val="00AC56B1"/>
    <w:rsid w:val="00AC6B4B"/>
    <w:rsid w:val="00AD137C"/>
    <w:rsid w:val="00AD717F"/>
    <w:rsid w:val="00AE0412"/>
    <w:rsid w:val="00AE3134"/>
    <w:rsid w:val="00B071CC"/>
    <w:rsid w:val="00B1102B"/>
    <w:rsid w:val="00B16701"/>
    <w:rsid w:val="00B172D0"/>
    <w:rsid w:val="00B24C1B"/>
    <w:rsid w:val="00B25B99"/>
    <w:rsid w:val="00B30CBB"/>
    <w:rsid w:val="00B31DA6"/>
    <w:rsid w:val="00B32CDE"/>
    <w:rsid w:val="00B45511"/>
    <w:rsid w:val="00B50058"/>
    <w:rsid w:val="00B51A37"/>
    <w:rsid w:val="00B553C4"/>
    <w:rsid w:val="00B7041B"/>
    <w:rsid w:val="00B71472"/>
    <w:rsid w:val="00B715D1"/>
    <w:rsid w:val="00B71699"/>
    <w:rsid w:val="00B747A8"/>
    <w:rsid w:val="00B76C5B"/>
    <w:rsid w:val="00B7710C"/>
    <w:rsid w:val="00B83D83"/>
    <w:rsid w:val="00B86CE1"/>
    <w:rsid w:val="00B924AF"/>
    <w:rsid w:val="00B95D02"/>
    <w:rsid w:val="00BA2978"/>
    <w:rsid w:val="00BB0377"/>
    <w:rsid w:val="00BB08BA"/>
    <w:rsid w:val="00BB2060"/>
    <w:rsid w:val="00BB4816"/>
    <w:rsid w:val="00BB5BA7"/>
    <w:rsid w:val="00BC757C"/>
    <w:rsid w:val="00BD3650"/>
    <w:rsid w:val="00BD3E99"/>
    <w:rsid w:val="00BE1479"/>
    <w:rsid w:val="00BF164F"/>
    <w:rsid w:val="00BF7FDB"/>
    <w:rsid w:val="00C04885"/>
    <w:rsid w:val="00C05E07"/>
    <w:rsid w:val="00C174BE"/>
    <w:rsid w:val="00C23E3A"/>
    <w:rsid w:val="00C33EF8"/>
    <w:rsid w:val="00C36087"/>
    <w:rsid w:val="00C370C5"/>
    <w:rsid w:val="00C51618"/>
    <w:rsid w:val="00C5461D"/>
    <w:rsid w:val="00C561FB"/>
    <w:rsid w:val="00C622A8"/>
    <w:rsid w:val="00C84171"/>
    <w:rsid w:val="00C84F28"/>
    <w:rsid w:val="00C85267"/>
    <w:rsid w:val="00C9380F"/>
    <w:rsid w:val="00CA00D2"/>
    <w:rsid w:val="00CA325E"/>
    <w:rsid w:val="00CB465F"/>
    <w:rsid w:val="00CC3B51"/>
    <w:rsid w:val="00CF33F6"/>
    <w:rsid w:val="00CF6D51"/>
    <w:rsid w:val="00D01539"/>
    <w:rsid w:val="00D0274D"/>
    <w:rsid w:val="00D032EE"/>
    <w:rsid w:val="00D056BD"/>
    <w:rsid w:val="00D205FB"/>
    <w:rsid w:val="00D27F6F"/>
    <w:rsid w:val="00D32E1E"/>
    <w:rsid w:val="00D43945"/>
    <w:rsid w:val="00D5592F"/>
    <w:rsid w:val="00D64B13"/>
    <w:rsid w:val="00D744BB"/>
    <w:rsid w:val="00D820CE"/>
    <w:rsid w:val="00D87453"/>
    <w:rsid w:val="00D90589"/>
    <w:rsid w:val="00DC40C6"/>
    <w:rsid w:val="00DD4EB9"/>
    <w:rsid w:val="00DD7175"/>
    <w:rsid w:val="00DD76FE"/>
    <w:rsid w:val="00DE271F"/>
    <w:rsid w:val="00DE3A3A"/>
    <w:rsid w:val="00E01006"/>
    <w:rsid w:val="00E13225"/>
    <w:rsid w:val="00E15C6A"/>
    <w:rsid w:val="00E22C7C"/>
    <w:rsid w:val="00E25258"/>
    <w:rsid w:val="00E265B3"/>
    <w:rsid w:val="00E374DB"/>
    <w:rsid w:val="00E579BA"/>
    <w:rsid w:val="00E62E3E"/>
    <w:rsid w:val="00E657D3"/>
    <w:rsid w:val="00E87706"/>
    <w:rsid w:val="00E90DBE"/>
    <w:rsid w:val="00EA2D3D"/>
    <w:rsid w:val="00EC15FE"/>
    <w:rsid w:val="00EC5C47"/>
    <w:rsid w:val="00EC5C6A"/>
    <w:rsid w:val="00ED294E"/>
    <w:rsid w:val="00ED61A8"/>
    <w:rsid w:val="00EE1530"/>
    <w:rsid w:val="00EE3599"/>
    <w:rsid w:val="00EE7210"/>
    <w:rsid w:val="00EF7A23"/>
    <w:rsid w:val="00F02D92"/>
    <w:rsid w:val="00F26E3D"/>
    <w:rsid w:val="00F30115"/>
    <w:rsid w:val="00F3336F"/>
    <w:rsid w:val="00F40483"/>
    <w:rsid w:val="00F41936"/>
    <w:rsid w:val="00F4373A"/>
    <w:rsid w:val="00F43A70"/>
    <w:rsid w:val="00F46AF4"/>
    <w:rsid w:val="00F56CA8"/>
    <w:rsid w:val="00F61E3C"/>
    <w:rsid w:val="00F62842"/>
    <w:rsid w:val="00F640A3"/>
    <w:rsid w:val="00F75108"/>
    <w:rsid w:val="00F81FB3"/>
    <w:rsid w:val="00F8386D"/>
    <w:rsid w:val="00F87763"/>
    <w:rsid w:val="00F9117B"/>
    <w:rsid w:val="00F960EF"/>
    <w:rsid w:val="00FA3AF4"/>
    <w:rsid w:val="00FB4C80"/>
    <w:rsid w:val="00FC2D69"/>
    <w:rsid w:val="00FC388A"/>
    <w:rsid w:val="00FD323C"/>
    <w:rsid w:val="00FD73DB"/>
    <w:rsid w:val="00FE4D69"/>
    <w:rsid w:val="00FF2EFA"/>
    <w:rsid w:val="00FF4BD7"/>
    <w:rsid w:val="00FF6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0757FAF"/>
  <w15:docId w15:val="{4F5FA9CB-46A6-4BCA-AC85-F0EDE859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Batang" w:hAnsi="Calibri"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aliases w:val="Heading 1 Char Char,Heading 1 Char1,Heading 1 Char1 Car"/>
    <w:basedOn w:val="Normal"/>
    <w:next w:val="Normal"/>
    <w:link w:val="Heading1Char"/>
    <w:qFormat/>
    <w:rsid w:val="000A72D1"/>
    <w:pPr>
      <w:keepNext/>
      <w:snapToGrid w:val="0"/>
      <w:spacing w:before="240" w:after="60" w:line="240" w:lineRule="auto"/>
      <w:outlineLvl w:val="0"/>
    </w:pPr>
    <w:rPr>
      <w:rFonts w:ascii="Arial" w:eastAsia="Times New Roman" w:hAnsi="Arial" w:cs="Arial"/>
      <w:kern w:val="32"/>
      <w:sz w:val="32"/>
      <w:szCs w:val="32"/>
    </w:rPr>
  </w:style>
  <w:style w:type="paragraph" w:styleId="Heading2">
    <w:name w:val="heading 2"/>
    <w:basedOn w:val="Normal"/>
    <w:next w:val="Normal"/>
    <w:link w:val="Heading2Char"/>
    <w:uiPriority w:val="9"/>
    <w:qFormat/>
    <w:rsid w:val="00EC5C6A"/>
    <w:pPr>
      <w:keepNext/>
      <w:keepLines/>
      <w:spacing w:before="200" w:after="0"/>
      <w:outlineLvl w:val="1"/>
    </w:pPr>
    <w:rPr>
      <w:rFonts w:ascii="Cambria" w:eastAsia="MS Gothic"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6070A3"/>
    <w:pPr>
      <w:spacing w:before="100" w:beforeAutospacing="1" w:after="100" w:afterAutospacing="1" w:line="240" w:lineRule="auto"/>
    </w:pPr>
    <w:rPr>
      <w:rFonts w:ascii="Times New Roman" w:eastAsia="Times New Roman" w:hAnsi="Times New Roman"/>
      <w:sz w:val="24"/>
      <w:szCs w:val="24"/>
    </w:rPr>
  </w:style>
  <w:style w:type="paragraph" w:customStyle="1" w:styleId="CPClassification">
    <w:name w:val="CP Classification"/>
    <w:basedOn w:val="Normal"/>
    <w:rsid w:val="006070A3"/>
    <w:pPr>
      <w:tabs>
        <w:tab w:val="center" w:pos="2160"/>
        <w:tab w:val="left" w:pos="7200"/>
      </w:tabs>
      <w:spacing w:after="0" w:line="240" w:lineRule="auto"/>
      <w:ind w:left="7200" w:right="-360"/>
      <w:jc w:val="both"/>
    </w:pPr>
    <w:rPr>
      <w:rFonts w:ascii="Times New Roman" w:eastAsia="Times New Roman" w:hAnsi="Times New Roman"/>
      <w:szCs w:val="20"/>
    </w:rPr>
  </w:style>
  <w:style w:type="character" w:customStyle="1" w:styleId="NormalWebChar">
    <w:name w:val="Normal (Web) Char"/>
    <w:link w:val="NormalWeb"/>
    <w:rsid w:val="006070A3"/>
    <w:rPr>
      <w:rFonts w:ascii="Times New Roman" w:eastAsia="Times New Roman" w:hAnsi="Times New Roman" w:cs="Times New Roman"/>
      <w:sz w:val="24"/>
      <w:szCs w:val="24"/>
      <w:lang w:val="fr-CA"/>
    </w:rPr>
  </w:style>
  <w:style w:type="paragraph" w:styleId="Header">
    <w:name w:val="header"/>
    <w:aliases w:val="encabezado"/>
    <w:basedOn w:val="Normal"/>
    <w:link w:val="HeaderChar"/>
    <w:uiPriority w:val="99"/>
    <w:unhideWhenUsed/>
    <w:rsid w:val="006070A3"/>
    <w:pPr>
      <w:tabs>
        <w:tab w:val="center" w:pos="4419"/>
        <w:tab w:val="right" w:pos="8838"/>
      </w:tabs>
      <w:spacing w:after="0" w:line="240" w:lineRule="auto"/>
    </w:pPr>
  </w:style>
  <w:style w:type="character" w:customStyle="1" w:styleId="HeaderChar">
    <w:name w:val="Header Char"/>
    <w:aliases w:val="encabezado Char"/>
    <w:basedOn w:val="DefaultParagraphFont"/>
    <w:link w:val="Header"/>
    <w:uiPriority w:val="99"/>
    <w:rsid w:val="006070A3"/>
  </w:style>
  <w:style w:type="paragraph" w:styleId="Footer">
    <w:name w:val="footer"/>
    <w:basedOn w:val="Normal"/>
    <w:link w:val="FooterChar"/>
    <w:uiPriority w:val="99"/>
    <w:unhideWhenUsed/>
    <w:rsid w:val="006070A3"/>
    <w:pPr>
      <w:tabs>
        <w:tab w:val="center" w:pos="4419"/>
        <w:tab w:val="right" w:pos="8838"/>
      </w:tabs>
      <w:spacing w:after="0" w:line="240" w:lineRule="auto"/>
    </w:pPr>
  </w:style>
  <w:style w:type="character" w:customStyle="1" w:styleId="FooterChar">
    <w:name w:val="Footer Char"/>
    <w:basedOn w:val="DefaultParagraphFont"/>
    <w:link w:val="Footer"/>
    <w:uiPriority w:val="99"/>
    <w:rsid w:val="006070A3"/>
  </w:style>
  <w:style w:type="paragraph" w:customStyle="1" w:styleId="Prrafodelista1">
    <w:name w:val="Párrafo de lista1"/>
    <w:basedOn w:val="Normal"/>
    <w:uiPriority w:val="34"/>
    <w:qFormat/>
    <w:rsid w:val="006070A3"/>
    <w:pPr>
      <w:ind w:left="720"/>
      <w:contextualSpacing/>
    </w:pPr>
  </w:style>
  <w:style w:type="paragraph" w:customStyle="1" w:styleId="Heading">
    <w:name w:val="Heading"/>
    <w:basedOn w:val="Normal"/>
    <w:rsid w:val="006070A3"/>
    <w:pPr>
      <w:tabs>
        <w:tab w:val="center" w:pos="2160"/>
        <w:tab w:val="left" w:pos="7200"/>
      </w:tabs>
      <w:spacing w:after="0" w:line="240" w:lineRule="auto"/>
    </w:pPr>
    <w:rPr>
      <w:rFonts w:ascii="Times New Roman" w:eastAsia="SimSun" w:hAnsi="Times New Roman"/>
      <w:szCs w:val="20"/>
      <w:lang w:eastAsia="zh-CN"/>
    </w:rPr>
  </w:style>
  <w:style w:type="paragraph" w:customStyle="1" w:styleId="Indenthangi">
    <w:name w:val="Indent hangi"/>
    <w:rsid w:val="006070A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snapToGrid w:val="0"/>
      <w:sz w:val="22"/>
      <w:szCs w:val="22"/>
    </w:rPr>
  </w:style>
  <w:style w:type="character" w:customStyle="1" w:styleId="Heading1Char">
    <w:name w:val="Heading 1 Char"/>
    <w:aliases w:val="Heading 1 Char Char Char,Heading 1 Char1 Char,Heading 1 Char1 Car Char"/>
    <w:link w:val="Heading1"/>
    <w:rsid w:val="000A72D1"/>
    <w:rPr>
      <w:rFonts w:ascii="Arial" w:eastAsia="Times New Roman" w:hAnsi="Arial" w:cs="Arial"/>
      <w:kern w:val="32"/>
      <w:sz w:val="32"/>
      <w:szCs w:val="32"/>
      <w:lang w:val="fr-CA"/>
    </w:rPr>
  </w:style>
  <w:style w:type="character" w:styleId="Hyperlink">
    <w:name w:val="Hyperlink"/>
    <w:uiPriority w:val="99"/>
    <w:semiHidden/>
    <w:unhideWhenUsed/>
    <w:rsid w:val="00A02143"/>
    <w:rPr>
      <w:strike w:val="0"/>
      <w:dstrike w:val="0"/>
      <w:color w:val="0000FF"/>
      <w:u w:val="none"/>
      <w:effect w:val="none"/>
    </w:rPr>
  </w:style>
  <w:style w:type="paragraph" w:styleId="FootnoteText">
    <w:name w:val="footnote text"/>
    <w:basedOn w:val="Normal"/>
    <w:link w:val="FootnoteTextChar"/>
    <w:uiPriority w:val="99"/>
    <w:semiHidden/>
    <w:unhideWhenUsed/>
    <w:rsid w:val="007A07D2"/>
    <w:pPr>
      <w:spacing w:after="0" w:line="240" w:lineRule="auto"/>
    </w:pPr>
    <w:rPr>
      <w:sz w:val="20"/>
      <w:szCs w:val="20"/>
    </w:rPr>
  </w:style>
  <w:style w:type="character" w:customStyle="1" w:styleId="FootnoteTextChar">
    <w:name w:val="Footnote Text Char"/>
    <w:link w:val="FootnoteText"/>
    <w:uiPriority w:val="99"/>
    <w:semiHidden/>
    <w:rsid w:val="007A07D2"/>
    <w:rPr>
      <w:sz w:val="20"/>
      <w:szCs w:val="20"/>
    </w:rPr>
  </w:style>
  <w:style w:type="character" w:styleId="FootnoteReference">
    <w:name w:val="footnote reference"/>
    <w:uiPriority w:val="99"/>
    <w:semiHidden/>
    <w:unhideWhenUsed/>
    <w:rsid w:val="007A07D2"/>
    <w:rPr>
      <w:vertAlign w:val="superscript"/>
    </w:rPr>
  </w:style>
  <w:style w:type="paragraph" w:customStyle="1" w:styleId="msonormalcxspmiddle">
    <w:name w:val="msonormalcxspmiddle"/>
    <w:basedOn w:val="Normal"/>
    <w:rsid w:val="00D205FB"/>
    <w:pPr>
      <w:spacing w:before="100" w:beforeAutospacing="1" w:after="100" w:afterAutospacing="1" w:line="240" w:lineRule="auto"/>
    </w:pPr>
    <w:rPr>
      <w:rFonts w:ascii="Times New Roman" w:eastAsia="Times New Roman" w:hAnsi="Times New Roman"/>
      <w:sz w:val="24"/>
      <w:szCs w:val="24"/>
    </w:rPr>
  </w:style>
  <w:style w:type="paragraph" w:customStyle="1" w:styleId="Style2">
    <w:name w:val="Style2"/>
    <w:basedOn w:val="Heading2"/>
    <w:link w:val="Style2Char"/>
    <w:autoRedefine/>
    <w:rsid w:val="00EC5C6A"/>
    <w:pPr>
      <w:keepLines w:val="0"/>
      <w:spacing w:before="0" w:line="240" w:lineRule="auto"/>
      <w:jc w:val="center"/>
    </w:pPr>
    <w:rPr>
      <w:rFonts w:ascii="Times New Roman" w:eastAsia="Times New Roman" w:hAnsi="Times New Roman" w:cs="Arial"/>
      <w:b w:val="0"/>
      <w:bCs w:val="0"/>
      <w:iCs/>
      <w:caps/>
      <w:noProof/>
      <w:snapToGrid w:val="0"/>
      <w:color w:val="auto"/>
      <w:kern w:val="32"/>
      <w:sz w:val="22"/>
      <w:szCs w:val="22"/>
    </w:rPr>
  </w:style>
  <w:style w:type="character" w:customStyle="1" w:styleId="Style2Char">
    <w:name w:val="Style2 Char"/>
    <w:link w:val="Style2"/>
    <w:locked/>
    <w:rsid w:val="00EC5C6A"/>
    <w:rPr>
      <w:rFonts w:ascii="Times New Roman" w:eastAsia="Times New Roman" w:hAnsi="Times New Roman" w:cs="Arial"/>
      <w:iCs/>
      <w:caps/>
      <w:noProof/>
      <w:snapToGrid w:val="0"/>
      <w:kern w:val="32"/>
      <w:lang w:val="fr-CA"/>
    </w:rPr>
  </w:style>
  <w:style w:type="character" w:customStyle="1" w:styleId="Heading2Char">
    <w:name w:val="Heading 2 Char"/>
    <w:link w:val="Heading2"/>
    <w:uiPriority w:val="9"/>
    <w:semiHidden/>
    <w:rsid w:val="00EC5C6A"/>
    <w:rPr>
      <w:rFonts w:ascii="Cambria" w:eastAsia="MS Gothic" w:hAnsi="Cambria" w:cs="Times New Roman"/>
      <w:b/>
      <w:bCs/>
      <w:color w:val="4F81BD"/>
      <w:sz w:val="26"/>
      <w:szCs w:val="26"/>
    </w:rPr>
  </w:style>
  <w:style w:type="paragraph" w:styleId="BalloonText">
    <w:name w:val="Balloon Text"/>
    <w:basedOn w:val="Normal"/>
    <w:semiHidden/>
    <w:rsid w:val="007F0E31"/>
    <w:rPr>
      <w:rFonts w:ascii="Tahoma" w:hAnsi="Tahoma" w:cs="Tahoma"/>
      <w:sz w:val="16"/>
      <w:szCs w:val="16"/>
    </w:rPr>
  </w:style>
  <w:style w:type="paragraph" w:customStyle="1" w:styleId="CharCharCharChar">
    <w:name w:val="Char Char Char Char"/>
    <w:basedOn w:val="Normal"/>
    <w:rsid w:val="009A40B4"/>
    <w:pPr>
      <w:tabs>
        <w:tab w:val="left" w:pos="540"/>
        <w:tab w:val="left" w:pos="1260"/>
        <w:tab w:val="left" w:pos="1800"/>
      </w:tabs>
      <w:spacing w:before="240" w:after="160" w:line="240" w:lineRule="exact"/>
    </w:pPr>
    <w:rPr>
      <w:rFonts w:ascii="Verdana" w:eastAsia="Times New Roman" w:hAnsi="Verdana"/>
      <w:sz w:val="24"/>
      <w:szCs w:val="20"/>
    </w:rPr>
  </w:style>
  <w:style w:type="paragraph" w:customStyle="1" w:styleId="Char">
    <w:name w:val="Char"/>
    <w:basedOn w:val="Normal"/>
    <w:rsid w:val="009A40B4"/>
    <w:pPr>
      <w:tabs>
        <w:tab w:val="left" w:pos="540"/>
        <w:tab w:val="left" w:pos="1260"/>
        <w:tab w:val="left" w:pos="1800"/>
      </w:tabs>
      <w:spacing w:before="240" w:after="160" w:line="240" w:lineRule="exact"/>
    </w:pPr>
    <w:rPr>
      <w:rFonts w:ascii="Verdana" w:eastAsia="Times New Roman" w:hAnsi="Verdana"/>
      <w:sz w:val="24"/>
      <w:szCs w:val="20"/>
    </w:rPr>
  </w:style>
  <w:style w:type="paragraph" w:styleId="EndnoteText">
    <w:name w:val="endnote text"/>
    <w:basedOn w:val="Normal"/>
    <w:link w:val="EndnoteTextChar"/>
    <w:uiPriority w:val="99"/>
    <w:semiHidden/>
    <w:unhideWhenUsed/>
    <w:rsid w:val="00445A82"/>
    <w:rPr>
      <w:sz w:val="20"/>
      <w:szCs w:val="20"/>
    </w:rPr>
  </w:style>
  <w:style w:type="character" w:customStyle="1" w:styleId="EndnoteTextChar">
    <w:name w:val="Endnote Text Char"/>
    <w:link w:val="EndnoteText"/>
    <w:uiPriority w:val="99"/>
    <w:semiHidden/>
    <w:rsid w:val="00445A82"/>
    <w:rPr>
      <w:lang w:eastAsia="en-US"/>
    </w:rPr>
  </w:style>
  <w:style w:type="character" w:styleId="EndnoteReference">
    <w:name w:val="endnote reference"/>
    <w:uiPriority w:val="99"/>
    <w:semiHidden/>
    <w:unhideWhenUsed/>
    <w:rsid w:val="00445A82"/>
    <w:rPr>
      <w:vertAlign w:val="superscript"/>
    </w:rPr>
  </w:style>
  <w:style w:type="character" w:styleId="CommentReference">
    <w:name w:val="annotation reference"/>
    <w:semiHidden/>
    <w:rsid w:val="00851C41"/>
    <w:rPr>
      <w:sz w:val="16"/>
      <w:szCs w:val="16"/>
    </w:rPr>
  </w:style>
  <w:style w:type="paragraph" w:styleId="CommentText">
    <w:name w:val="annotation text"/>
    <w:basedOn w:val="Normal"/>
    <w:semiHidden/>
    <w:rsid w:val="00851C41"/>
    <w:rPr>
      <w:sz w:val="20"/>
      <w:szCs w:val="20"/>
    </w:rPr>
  </w:style>
  <w:style w:type="paragraph" w:styleId="CommentSubject">
    <w:name w:val="annotation subject"/>
    <w:basedOn w:val="CommentText"/>
    <w:next w:val="CommentText"/>
    <w:semiHidden/>
    <w:rsid w:val="00851C41"/>
    <w:rPr>
      <w:b/>
      <w:bCs/>
    </w:rPr>
  </w:style>
  <w:style w:type="paragraph" w:styleId="BodyText">
    <w:name w:val="Body Text"/>
    <w:basedOn w:val="Normal"/>
    <w:rsid w:val="00BA2978"/>
    <w:pPr>
      <w:spacing w:after="120"/>
    </w:pPr>
  </w:style>
  <w:style w:type="paragraph" w:styleId="PlainText">
    <w:name w:val="Plain Text"/>
    <w:basedOn w:val="Normal"/>
    <w:unhideWhenUsed/>
    <w:rsid w:val="00805868"/>
    <w:pPr>
      <w:spacing w:after="0" w:line="240" w:lineRule="auto"/>
    </w:pPr>
    <w:rPr>
      <w:rFonts w:ascii="Consolas" w:eastAsia="Calibri" w:hAnsi="Consolas"/>
      <w:sz w:val="21"/>
      <w:szCs w:val="21"/>
      <w:lang w:eastAsia="x-none"/>
    </w:rPr>
  </w:style>
  <w:style w:type="paragraph" w:styleId="ListParagraph">
    <w:name w:val="List Paragraph"/>
    <w:aliases w:val="Dot pt,No Spacing1,List Paragraph Char Char Char,Indicator Text,Numbered Para 1,Colorful List - Accent 11,Bullet 1,F5 List Paragraph,Bullet Points,Normal Fv,viñetas,List Paragraph2,MAIN CONTENT,3,List Paragraph1,Figuras"/>
    <w:basedOn w:val="Normal"/>
    <w:link w:val="ListParagraphChar"/>
    <w:uiPriority w:val="34"/>
    <w:qFormat/>
    <w:rsid w:val="00B071CC"/>
    <w:pPr>
      <w:ind w:left="720"/>
      <w:contextualSpacing/>
    </w:pPr>
    <w:rPr>
      <w:rFonts w:eastAsia="SimSun"/>
      <w:lang w:eastAsia="es-MX"/>
    </w:rPr>
  </w:style>
  <w:style w:type="character" w:customStyle="1" w:styleId="ListParagraphChar">
    <w:name w:val="List Paragraph Char"/>
    <w:aliases w:val="Dot pt Char,No Spacing1 Char,List Paragraph Char Char Char Char,Indicator Text Char,Numbered Para 1 Char,Colorful List - Accent 11 Char,Bullet 1 Char,F5 List Paragraph Char,Bullet Points Char,Normal Fv Char,viñetas Char,3 Char"/>
    <w:link w:val="ListParagraph"/>
    <w:uiPriority w:val="34"/>
    <w:qFormat/>
    <w:rsid w:val="00B071CC"/>
    <w:rPr>
      <w:rFonts w:eastAsia="SimSun"/>
      <w:sz w:val="22"/>
      <w:szCs w:val="22"/>
      <w:lang w:val="fr-CA" w:eastAsia="es-MX"/>
    </w:rPr>
  </w:style>
  <w:style w:type="paragraph" w:customStyle="1" w:styleId="horario">
    <w:name w:val="horario"/>
    <w:basedOn w:val="Normal"/>
    <w:rsid w:val="00295914"/>
    <w:pPr>
      <w:spacing w:before="100" w:beforeAutospacing="1" w:after="100" w:afterAutospacing="1" w:line="240" w:lineRule="auto"/>
    </w:pPr>
    <w:rPr>
      <w:rFonts w:ascii="Times New Roman" w:eastAsiaTheme="minorHAnsi" w:hAnsi="Times New Roman"/>
      <w:sz w:val="24"/>
      <w:szCs w:val="24"/>
    </w:rPr>
  </w:style>
  <w:style w:type="character" w:styleId="Emphasis">
    <w:name w:val="Emphasis"/>
    <w:basedOn w:val="DefaultParagraphFont"/>
    <w:uiPriority w:val="20"/>
    <w:qFormat/>
    <w:rsid w:val="000E1E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68360">
      <w:bodyDiv w:val="1"/>
      <w:marLeft w:val="0"/>
      <w:marRight w:val="0"/>
      <w:marTop w:val="0"/>
      <w:marBottom w:val="0"/>
      <w:divBdr>
        <w:top w:val="none" w:sz="0" w:space="0" w:color="auto"/>
        <w:left w:val="none" w:sz="0" w:space="0" w:color="auto"/>
        <w:bottom w:val="none" w:sz="0" w:space="0" w:color="auto"/>
        <w:right w:val="none" w:sz="0" w:space="0" w:color="auto"/>
      </w:divBdr>
    </w:div>
    <w:div w:id="336663065">
      <w:bodyDiv w:val="1"/>
      <w:marLeft w:val="0"/>
      <w:marRight w:val="0"/>
      <w:marTop w:val="0"/>
      <w:marBottom w:val="0"/>
      <w:divBdr>
        <w:top w:val="none" w:sz="0" w:space="0" w:color="auto"/>
        <w:left w:val="none" w:sz="0" w:space="0" w:color="auto"/>
        <w:bottom w:val="none" w:sz="0" w:space="0" w:color="auto"/>
        <w:right w:val="none" w:sz="0" w:space="0" w:color="auto"/>
      </w:divBdr>
    </w:div>
    <w:div w:id="441806439">
      <w:bodyDiv w:val="1"/>
      <w:marLeft w:val="0"/>
      <w:marRight w:val="0"/>
      <w:marTop w:val="75"/>
      <w:marBottom w:val="0"/>
      <w:divBdr>
        <w:top w:val="none" w:sz="0" w:space="0" w:color="auto"/>
        <w:left w:val="none" w:sz="0" w:space="0" w:color="auto"/>
        <w:bottom w:val="none" w:sz="0" w:space="0" w:color="auto"/>
        <w:right w:val="none" w:sz="0" w:space="0" w:color="auto"/>
      </w:divBdr>
      <w:divsChild>
        <w:div w:id="1677534955">
          <w:marLeft w:val="0"/>
          <w:marRight w:val="0"/>
          <w:marTop w:val="0"/>
          <w:marBottom w:val="0"/>
          <w:divBdr>
            <w:top w:val="none" w:sz="0" w:space="0" w:color="auto"/>
            <w:left w:val="none" w:sz="0" w:space="0" w:color="auto"/>
            <w:bottom w:val="none" w:sz="0" w:space="0" w:color="auto"/>
            <w:right w:val="none" w:sz="0" w:space="0" w:color="auto"/>
          </w:divBdr>
        </w:div>
      </w:divsChild>
    </w:div>
    <w:div w:id="774833296">
      <w:bodyDiv w:val="1"/>
      <w:marLeft w:val="0"/>
      <w:marRight w:val="0"/>
      <w:marTop w:val="0"/>
      <w:marBottom w:val="0"/>
      <w:divBdr>
        <w:top w:val="none" w:sz="0" w:space="0" w:color="auto"/>
        <w:left w:val="none" w:sz="0" w:space="0" w:color="auto"/>
        <w:bottom w:val="none" w:sz="0" w:space="0" w:color="auto"/>
        <w:right w:val="none" w:sz="0" w:space="0" w:color="auto"/>
      </w:divBdr>
    </w:div>
    <w:div w:id="976568450">
      <w:bodyDiv w:val="1"/>
      <w:marLeft w:val="0"/>
      <w:marRight w:val="0"/>
      <w:marTop w:val="0"/>
      <w:marBottom w:val="0"/>
      <w:divBdr>
        <w:top w:val="none" w:sz="0" w:space="0" w:color="auto"/>
        <w:left w:val="none" w:sz="0" w:space="0" w:color="auto"/>
        <w:bottom w:val="none" w:sz="0" w:space="0" w:color="auto"/>
        <w:right w:val="none" w:sz="0" w:space="0" w:color="auto"/>
      </w:divBdr>
    </w:div>
    <w:div w:id="1222063365">
      <w:bodyDiv w:val="1"/>
      <w:marLeft w:val="0"/>
      <w:marRight w:val="0"/>
      <w:marTop w:val="0"/>
      <w:marBottom w:val="0"/>
      <w:divBdr>
        <w:top w:val="none" w:sz="0" w:space="0" w:color="auto"/>
        <w:left w:val="none" w:sz="0" w:space="0" w:color="auto"/>
        <w:bottom w:val="none" w:sz="0" w:space="0" w:color="auto"/>
        <w:right w:val="none" w:sz="0" w:space="0" w:color="auto"/>
      </w:divBdr>
    </w:div>
    <w:div w:id="1271818818">
      <w:bodyDiv w:val="1"/>
      <w:marLeft w:val="0"/>
      <w:marRight w:val="0"/>
      <w:marTop w:val="0"/>
      <w:marBottom w:val="0"/>
      <w:divBdr>
        <w:top w:val="none" w:sz="0" w:space="0" w:color="auto"/>
        <w:left w:val="none" w:sz="0" w:space="0" w:color="auto"/>
        <w:bottom w:val="none" w:sz="0" w:space="0" w:color="auto"/>
        <w:right w:val="none" w:sz="0" w:space="0" w:color="auto"/>
      </w:divBdr>
    </w:div>
    <w:div w:id="1369839472">
      <w:bodyDiv w:val="1"/>
      <w:marLeft w:val="0"/>
      <w:marRight w:val="0"/>
      <w:marTop w:val="0"/>
      <w:marBottom w:val="0"/>
      <w:divBdr>
        <w:top w:val="none" w:sz="0" w:space="0" w:color="auto"/>
        <w:left w:val="none" w:sz="0" w:space="0" w:color="auto"/>
        <w:bottom w:val="none" w:sz="0" w:space="0" w:color="auto"/>
        <w:right w:val="none" w:sz="0" w:space="0" w:color="auto"/>
      </w:divBdr>
    </w:div>
    <w:div w:id="1490171181">
      <w:bodyDiv w:val="1"/>
      <w:marLeft w:val="0"/>
      <w:marRight w:val="0"/>
      <w:marTop w:val="0"/>
      <w:marBottom w:val="0"/>
      <w:divBdr>
        <w:top w:val="none" w:sz="0" w:space="0" w:color="auto"/>
        <w:left w:val="none" w:sz="0" w:space="0" w:color="auto"/>
        <w:bottom w:val="none" w:sz="0" w:space="0" w:color="auto"/>
        <w:right w:val="none" w:sz="0" w:space="0" w:color="auto"/>
      </w:divBdr>
    </w:div>
    <w:div w:id="1506242555">
      <w:bodyDiv w:val="1"/>
      <w:marLeft w:val="0"/>
      <w:marRight w:val="0"/>
      <w:marTop w:val="0"/>
      <w:marBottom w:val="0"/>
      <w:divBdr>
        <w:top w:val="none" w:sz="0" w:space="0" w:color="auto"/>
        <w:left w:val="none" w:sz="0" w:space="0" w:color="auto"/>
        <w:bottom w:val="none" w:sz="0" w:space="0" w:color="auto"/>
        <w:right w:val="none" w:sz="0" w:space="0" w:color="auto"/>
      </w:divBdr>
    </w:div>
    <w:div w:id="1651713272">
      <w:bodyDiv w:val="1"/>
      <w:marLeft w:val="0"/>
      <w:marRight w:val="0"/>
      <w:marTop w:val="75"/>
      <w:marBottom w:val="0"/>
      <w:divBdr>
        <w:top w:val="none" w:sz="0" w:space="0" w:color="auto"/>
        <w:left w:val="none" w:sz="0" w:space="0" w:color="auto"/>
        <w:bottom w:val="none" w:sz="0" w:space="0" w:color="auto"/>
        <w:right w:val="none" w:sz="0" w:space="0" w:color="auto"/>
      </w:divBdr>
      <w:divsChild>
        <w:div w:id="1946420942">
          <w:marLeft w:val="0"/>
          <w:marRight w:val="0"/>
          <w:marTop w:val="0"/>
          <w:marBottom w:val="0"/>
          <w:divBdr>
            <w:top w:val="none" w:sz="0" w:space="0" w:color="auto"/>
            <w:left w:val="none" w:sz="0" w:space="0" w:color="auto"/>
            <w:bottom w:val="none" w:sz="0" w:space="0" w:color="auto"/>
            <w:right w:val="none" w:sz="0" w:space="0" w:color="auto"/>
          </w:divBdr>
        </w:div>
      </w:divsChild>
    </w:div>
    <w:div w:id="1719276998">
      <w:bodyDiv w:val="1"/>
      <w:marLeft w:val="0"/>
      <w:marRight w:val="0"/>
      <w:marTop w:val="0"/>
      <w:marBottom w:val="0"/>
      <w:divBdr>
        <w:top w:val="none" w:sz="0" w:space="0" w:color="auto"/>
        <w:left w:val="none" w:sz="0" w:space="0" w:color="auto"/>
        <w:bottom w:val="none" w:sz="0" w:space="0" w:color="auto"/>
        <w:right w:val="none" w:sz="0" w:space="0" w:color="auto"/>
      </w:divBdr>
    </w:div>
    <w:div w:id="1721589382">
      <w:bodyDiv w:val="1"/>
      <w:marLeft w:val="0"/>
      <w:marRight w:val="0"/>
      <w:marTop w:val="0"/>
      <w:marBottom w:val="0"/>
      <w:divBdr>
        <w:top w:val="none" w:sz="0" w:space="0" w:color="auto"/>
        <w:left w:val="none" w:sz="0" w:space="0" w:color="auto"/>
        <w:bottom w:val="none" w:sz="0" w:space="0" w:color="auto"/>
        <w:right w:val="none" w:sz="0" w:space="0" w:color="auto"/>
      </w:divBdr>
    </w:div>
    <w:div w:id="2070571016">
      <w:bodyDiv w:val="1"/>
      <w:marLeft w:val="0"/>
      <w:marRight w:val="0"/>
      <w:marTop w:val="0"/>
      <w:marBottom w:val="0"/>
      <w:divBdr>
        <w:top w:val="none" w:sz="0" w:space="0" w:color="auto"/>
        <w:left w:val="none" w:sz="0" w:space="0" w:color="auto"/>
        <w:bottom w:val="none" w:sz="0" w:space="0" w:color="auto"/>
        <w:right w:val="none" w:sz="0" w:space="0" w:color="auto"/>
      </w:divBdr>
    </w:div>
    <w:div w:id="2084063990">
      <w:bodyDiv w:val="1"/>
      <w:marLeft w:val="0"/>
      <w:marRight w:val="0"/>
      <w:marTop w:val="0"/>
      <w:marBottom w:val="0"/>
      <w:divBdr>
        <w:top w:val="none" w:sz="0" w:space="0" w:color="auto"/>
        <w:left w:val="none" w:sz="0" w:space="0" w:color="auto"/>
        <w:bottom w:val="none" w:sz="0" w:space="0" w:color="auto"/>
        <w:right w:val="none" w:sz="0" w:space="0" w:color="auto"/>
      </w:divBdr>
    </w:div>
    <w:div w:id="2094429882">
      <w:bodyDiv w:val="1"/>
      <w:marLeft w:val="0"/>
      <w:marRight w:val="0"/>
      <w:marTop w:val="0"/>
      <w:marBottom w:val="0"/>
      <w:divBdr>
        <w:top w:val="none" w:sz="0" w:space="0" w:color="auto"/>
        <w:left w:val="none" w:sz="0" w:space="0" w:color="auto"/>
        <w:bottom w:val="none" w:sz="0" w:space="0" w:color="auto"/>
        <w:right w:val="none" w:sz="0" w:space="0" w:color="auto"/>
      </w:divBdr>
    </w:div>
    <w:div w:id="214041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035A163BC0046A41C2EBE1E58AFFF" ma:contentTypeVersion="1" ma:contentTypeDescription="Create a new document." ma:contentTypeScope="" ma:versionID="413af19bcb59ebd614d4f80392d470c1">
  <xsd:schema xmlns:xsd="http://www.w3.org/2001/XMLSchema" xmlns:xs="http://www.w3.org/2001/XMLSchema" xmlns:p="http://schemas.microsoft.com/office/2006/metadata/properties" xmlns:ns2="89f4cd83-a2d3-4405-9b45-6aff5241ff81" targetNamespace="http://schemas.microsoft.com/office/2006/metadata/properties" ma:root="true" ma:fieldsID="4b0342c81372e05998e770e64ad0cf8c" ns2:_="">
    <xsd:import namespace="89f4cd83-a2d3-4405-9b45-6aff5241ff8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9BC5F-7294-443F-BBD7-761C1783B696}">
  <ds:schemaRefs>
    <ds:schemaRef ds:uri="http://schemas.microsoft.com/sharepoint/v3/contenttype/forms"/>
  </ds:schemaRefs>
</ds:datastoreItem>
</file>

<file path=customXml/itemProps2.xml><?xml version="1.0" encoding="utf-8"?>
<ds:datastoreItem xmlns:ds="http://schemas.openxmlformats.org/officeDocument/2006/customXml" ds:itemID="{85A76E65-E618-4215-A782-C247498B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1C21C-61F5-4164-8693-00938F9415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E10A8A-D66A-4681-97B3-FD9B7569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PLAN DE TRABAJO</vt:lpstr>
    </vt:vector>
  </TitlesOfParts>
  <Company>Microsoft</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TRABAJO</dc:title>
  <dc:creator>MPCOEA</dc:creator>
  <cp:lastModifiedBy>Lobaton, Ursula</cp:lastModifiedBy>
  <cp:revision>9</cp:revision>
  <cp:lastPrinted>2013-08-05T22:05:00Z</cp:lastPrinted>
  <dcterms:created xsi:type="dcterms:W3CDTF">2022-04-05T16:20:00Z</dcterms:created>
  <dcterms:modified xsi:type="dcterms:W3CDTF">2022-04-12T20:49:00Z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0x01010076D035A163BC0046A41C2EBE1E58AFFF</vt:lpwstr>
  </property>
</Properties>
</file>