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337A8" w14:textId="77777777" w:rsidR="00743F38" w:rsidRDefault="00743F38" w:rsidP="00743F38">
      <w:pPr>
        <w:tabs>
          <w:tab w:val="left" w:pos="6840"/>
        </w:tabs>
        <w:suppressAutoHyphens/>
        <w:spacing w:after="0" w:line="240" w:lineRule="auto"/>
        <w:ind w:right="-29"/>
        <w:rPr>
          <w:rFonts w:ascii="Times New Roman" w:eastAsia="Times New Roman" w:hAnsi="Times New Roman"/>
          <w:bCs/>
          <w:caps/>
        </w:rPr>
      </w:pPr>
      <w:r>
        <w:rPr>
          <w:rFonts w:ascii="Times New Roman" w:hAnsi="Times New Roman"/>
        </w:rPr>
        <w:t xml:space="preserve">CONVENÇÃO INTERAMERICANA SOBRE </w:t>
      </w:r>
      <w:r>
        <w:rPr>
          <w:rFonts w:ascii="Times New Roman" w:hAnsi="Times New Roman"/>
        </w:rPr>
        <w:tab/>
        <w:t>OEA/Ser.K/XLIV.2</w:t>
      </w:r>
    </w:p>
    <w:p w14:paraId="313B1DBF" w14:textId="77777777" w:rsidR="00743F38" w:rsidRDefault="00743F38" w:rsidP="00743F38">
      <w:pPr>
        <w:tabs>
          <w:tab w:val="left" w:pos="6840"/>
        </w:tabs>
        <w:suppressAutoHyphens/>
        <w:spacing w:after="0" w:line="240" w:lineRule="auto"/>
        <w:ind w:right="-299"/>
        <w:rPr>
          <w:rFonts w:ascii="Times New Roman" w:eastAsia="Times New Roman" w:hAnsi="Times New Roman"/>
          <w:bCs/>
          <w:caps/>
        </w:rPr>
      </w:pPr>
      <w:r>
        <w:rPr>
          <w:rFonts w:ascii="Times New Roman" w:hAnsi="Times New Roman"/>
          <w:caps/>
        </w:rPr>
        <w:t xml:space="preserve">TRANSPARÊNCIA NAS AQUISIÇÕES </w:t>
      </w:r>
      <w:r>
        <w:rPr>
          <w:rFonts w:ascii="Times New Roman" w:hAnsi="Times New Roman"/>
          <w:caps/>
        </w:rPr>
        <w:tab/>
        <w:t>CITAAC/CEP-II/INF.1</w:t>
      </w:r>
      <w:r>
        <w:rPr>
          <w:rFonts w:ascii="Times New Roman" w:hAnsi="Times New Roman"/>
        </w:rPr>
        <w:t>/22</w:t>
      </w:r>
    </w:p>
    <w:p w14:paraId="43F0E993" w14:textId="77777777" w:rsidR="00743F38" w:rsidRDefault="00743F38" w:rsidP="00743F38">
      <w:pPr>
        <w:tabs>
          <w:tab w:val="left" w:pos="6840"/>
        </w:tabs>
        <w:suppressAutoHyphens/>
        <w:spacing w:after="0" w:line="240" w:lineRule="auto"/>
        <w:ind w:right="-29"/>
        <w:rPr>
          <w:rFonts w:ascii="Times New Roman" w:eastAsia="Times New Roman" w:hAnsi="Times New Roman"/>
          <w:bCs/>
          <w:caps/>
        </w:rPr>
      </w:pPr>
      <w:r>
        <w:rPr>
          <w:rFonts w:ascii="Times New Roman" w:hAnsi="Times New Roman"/>
          <w:caps/>
        </w:rPr>
        <w:t xml:space="preserve">DE ARMAS CONVENCIONAIS (CITAAC) </w:t>
      </w:r>
      <w:r>
        <w:rPr>
          <w:rFonts w:ascii="Times New Roman" w:hAnsi="Times New Roman"/>
          <w:caps/>
        </w:rPr>
        <w:tab/>
        <w:t xml:space="preserve">25 </w:t>
      </w:r>
      <w:r>
        <w:rPr>
          <w:rFonts w:ascii="Times New Roman" w:hAnsi="Times New Roman"/>
        </w:rPr>
        <w:t xml:space="preserve">março </w:t>
      </w:r>
      <w:r>
        <w:rPr>
          <w:rFonts w:ascii="Times New Roman" w:hAnsi="Times New Roman"/>
          <w:caps/>
        </w:rPr>
        <w:t>2022</w:t>
      </w:r>
    </w:p>
    <w:p w14:paraId="0C3D874B" w14:textId="77777777" w:rsidR="00743F38" w:rsidRDefault="00743F38" w:rsidP="00743F38">
      <w:pPr>
        <w:tabs>
          <w:tab w:val="left" w:pos="6545"/>
        </w:tabs>
        <w:spacing w:after="0" w:line="240" w:lineRule="auto"/>
        <w:rPr>
          <w:rFonts w:ascii="Times New Roman" w:eastAsia="Times New Roman" w:hAnsi="Times New Roman"/>
          <w:u w:val="single"/>
        </w:rPr>
      </w:pPr>
      <w:r>
        <w:rPr>
          <w:rFonts w:ascii="Times New Roman" w:hAnsi="Times New Roman"/>
          <w:u w:val="single"/>
        </w:rPr>
        <w:t>Segunda Conferência dos Estados Partes</w:t>
      </w:r>
      <w:r>
        <w:rPr>
          <w:rFonts w:ascii="Times New Roman" w:hAnsi="Times New Roman"/>
        </w:rPr>
        <w:t xml:space="preserve"> </w:t>
      </w:r>
      <w:r>
        <w:rPr>
          <w:rFonts w:ascii="Times New Roman" w:hAnsi="Times New Roman"/>
        </w:rPr>
        <w:tab/>
        <w:t xml:space="preserve">     Original: inglês</w:t>
      </w:r>
    </w:p>
    <w:p w14:paraId="2F7C0863" w14:textId="77777777" w:rsidR="00743F38" w:rsidRDefault="00743F38" w:rsidP="00743F38">
      <w:pPr>
        <w:tabs>
          <w:tab w:val="left" w:pos="6545"/>
        </w:tabs>
        <w:spacing w:after="0" w:line="240" w:lineRule="auto"/>
        <w:rPr>
          <w:rFonts w:ascii="Times New Roman" w:eastAsia="Times New Roman" w:hAnsi="Times New Roman"/>
        </w:rPr>
      </w:pPr>
      <w:r>
        <w:rPr>
          <w:rFonts w:ascii="Times New Roman" w:hAnsi="Times New Roman"/>
        </w:rPr>
        <w:t>19 de abril de 2022</w:t>
      </w:r>
    </w:p>
    <w:p w14:paraId="445A8406" w14:textId="77777777" w:rsidR="00743F38" w:rsidRDefault="00743F38" w:rsidP="00743F38">
      <w:pPr>
        <w:tabs>
          <w:tab w:val="left" w:pos="6545"/>
        </w:tabs>
        <w:spacing w:after="0" w:line="240" w:lineRule="auto"/>
        <w:rPr>
          <w:rFonts w:ascii="Times New Roman" w:eastAsia="Times New Roman" w:hAnsi="Times New Roman"/>
        </w:rPr>
      </w:pPr>
      <w:r>
        <w:rPr>
          <w:rFonts w:ascii="Times New Roman" w:hAnsi="Times New Roman"/>
        </w:rPr>
        <w:t>Formato virtual</w:t>
      </w:r>
    </w:p>
    <w:p w14:paraId="5F87ADA6" w14:textId="77777777" w:rsidR="00743F38" w:rsidRDefault="00743F38" w:rsidP="00743F38">
      <w:pPr>
        <w:spacing w:after="160" w:line="252" w:lineRule="auto"/>
        <w:rPr>
          <w:rFonts w:ascii="Times New Roman" w:eastAsia="Calibri" w:hAnsi="Times New Roman"/>
        </w:rPr>
      </w:pPr>
    </w:p>
    <w:p w14:paraId="731DA07A" w14:textId="77777777" w:rsidR="00743F38" w:rsidRDefault="00743F38" w:rsidP="00743F38">
      <w:pPr>
        <w:spacing w:after="160" w:line="252" w:lineRule="auto"/>
        <w:rPr>
          <w:rFonts w:ascii="Times New Roman" w:eastAsia="Calibri" w:hAnsi="Times New Roman"/>
        </w:rPr>
      </w:pPr>
    </w:p>
    <w:p w14:paraId="52A26D18" w14:textId="77777777" w:rsidR="00743F38" w:rsidRDefault="00743F38" w:rsidP="00743F38">
      <w:pPr>
        <w:widowControl w:val="0"/>
        <w:autoSpaceDE w:val="0"/>
        <w:autoSpaceDN w:val="0"/>
        <w:spacing w:after="0" w:line="240" w:lineRule="auto"/>
        <w:ind w:left="2814" w:right="2814"/>
        <w:jc w:val="center"/>
        <w:rPr>
          <w:rFonts w:ascii="Times New Roman" w:hAnsi="Times New Roman"/>
        </w:rPr>
      </w:pPr>
      <w:r>
        <w:rPr>
          <w:rFonts w:ascii="Times New Roman" w:hAnsi="Times New Roman"/>
        </w:rPr>
        <w:t>NOTA INFORMATIVA</w:t>
      </w:r>
    </w:p>
    <w:p w14:paraId="3C400677" w14:textId="77777777" w:rsidR="00743F38" w:rsidRDefault="00743F38" w:rsidP="00743F38">
      <w:pPr>
        <w:widowControl w:val="0"/>
        <w:autoSpaceDE w:val="0"/>
        <w:autoSpaceDN w:val="0"/>
        <w:spacing w:after="0" w:line="240" w:lineRule="auto"/>
        <w:ind w:right="2814"/>
        <w:rPr>
          <w:rFonts w:ascii="Times New Roman" w:eastAsia="Times New Roman" w:hAnsi="Times New Roman"/>
        </w:rPr>
      </w:pPr>
    </w:p>
    <w:p w14:paraId="7F44C769" w14:textId="77777777" w:rsidR="00743F38" w:rsidRDefault="00743F38" w:rsidP="00743F38">
      <w:pPr>
        <w:spacing w:after="160" w:line="254" w:lineRule="auto"/>
        <w:jc w:val="center"/>
        <w:rPr>
          <w:rFonts w:ascii="Times New Roman" w:eastAsia="Calibri" w:hAnsi="Times New Roman"/>
        </w:rPr>
      </w:pPr>
      <w:r>
        <w:rPr>
          <w:rFonts w:ascii="Times New Roman" w:hAnsi="Times New Roman"/>
        </w:rPr>
        <w:t>(Apresentada pelo Canadá)</w:t>
      </w:r>
    </w:p>
    <w:p w14:paraId="0CA31297" w14:textId="77777777" w:rsidR="00743F38" w:rsidRDefault="00743F38" w:rsidP="00743F38">
      <w:pPr>
        <w:autoSpaceDE w:val="0"/>
        <w:autoSpaceDN w:val="0"/>
        <w:adjustRightInd w:val="0"/>
        <w:spacing w:after="0" w:line="240" w:lineRule="auto"/>
        <w:jc w:val="both"/>
        <w:rPr>
          <w:rFonts w:ascii="Times New Roman" w:hAnsi="Times New Roman"/>
          <w:b/>
        </w:rPr>
      </w:pPr>
      <w:r>
        <w:rPr>
          <w:rFonts w:ascii="Times New Roman" w:hAnsi="Times New Roman"/>
          <w:b/>
        </w:rPr>
        <w:t>VISÃO GERAL</w:t>
      </w:r>
    </w:p>
    <w:p w14:paraId="670CDFAE" w14:textId="77777777" w:rsidR="00743F38" w:rsidRDefault="00743F38" w:rsidP="00743F38">
      <w:pPr>
        <w:autoSpaceDE w:val="0"/>
        <w:autoSpaceDN w:val="0"/>
        <w:adjustRightInd w:val="0"/>
        <w:spacing w:after="0" w:line="240" w:lineRule="auto"/>
        <w:jc w:val="both"/>
        <w:rPr>
          <w:rFonts w:ascii="Times New Roman" w:hAnsi="Times New Roman"/>
        </w:rPr>
      </w:pPr>
    </w:p>
    <w:p w14:paraId="73EDF238" w14:textId="77777777" w:rsidR="00743F38" w:rsidRDefault="00743F38" w:rsidP="00743F38">
      <w:pPr>
        <w:autoSpaceDE w:val="0"/>
        <w:autoSpaceDN w:val="0"/>
        <w:adjustRightInd w:val="0"/>
        <w:spacing w:after="0" w:line="240" w:lineRule="auto"/>
        <w:jc w:val="both"/>
        <w:rPr>
          <w:rFonts w:ascii="Times New Roman" w:hAnsi="Times New Roman"/>
        </w:rPr>
      </w:pPr>
      <w:r>
        <w:rPr>
          <w:rFonts w:ascii="Times New Roman" w:hAnsi="Times New Roman"/>
        </w:rPr>
        <w:t>O objetivo deste documento é estabelecer os temas que serão tratados na Segunda Conferência dos Estados Partes na Convenção Interamericana sobre Transparência nas Aquisições de Armas Convencionais (CITAAC), que se realizará sob a Presidência do Canadá, em formato virtual, em 19 de abril de 2022.</w:t>
      </w:r>
    </w:p>
    <w:p w14:paraId="0A7250A6" w14:textId="77777777" w:rsidR="00743F38" w:rsidRDefault="00743F38" w:rsidP="00743F38">
      <w:pPr>
        <w:autoSpaceDE w:val="0"/>
        <w:autoSpaceDN w:val="0"/>
        <w:adjustRightInd w:val="0"/>
        <w:spacing w:after="0" w:line="240" w:lineRule="auto"/>
        <w:jc w:val="both"/>
        <w:rPr>
          <w:rFonts w:ascii="Times New Roman" w:hAnsi="Times New Roman"/>
        </w:rPr>
      </w:pPr>
    </w:p>
    <w:p w14:paraId="5E8C9EFC" w14:textId="77777777" w:rsidR="00743F38" w:rsidRDefault="00743F38" w:rsidP="00743F38">
      <w:pPr>
        <w:autoSpaceDE w:val="0"/>
        <w:autoSpaceDN w:val="0"/>
        <w:adjustRightInd w:val="0"/>
        <w:spacing w:after="0" w:line="240" w:lineRule="auto"/>
        <w:jc w:val="both"/>
        <w:rPr>
          <w:rFonts w:ascii="Times New Roman" w:hAnsi="Times New Roman"/>
        </w:rPr>
      </w:pPr>
      <w:r>
        <w:rPr>
          <w:rFonts w:ascii="Times New Roman" w:hAnsi="Times New Roman"/>
        </w:rPr>
        <w:t>A Conferência dos Estados Partes na CITAAC é o mais alto órgão político da Convenção e reúne as autoridades dos Estados Partes para examinar seu funcionamento e aplicação e considerar medidas adicionais de transparência compatíveis com seus objetivos (artigo VIII da CITAAC). Além disso, nesta Segunda Conferência, os Estados Partes na CITAAC analisarão uma estratégia de institucionalização da Convenção para fomentar o cumprimento das exigências de apresentação de relatórios anuais e maior adesão à CITAAC.</w:t>
      </w:r>
    </w:p>
    <w:p w14:paraId="53BC099B" w14:textId="77777777" w:rsidR="00743F38" w:rsidRDefault="00743F38" w:rsidP="00743F38">
      <w:pPr>
        <w:autoSpaceDE w:val="0"/>
        <w:autoSpaceDN w:val="0"/>
        <w:adjustRightInd w:val="0"/>
        <w:spacing w:after="0" w:line="240" w:lineRule="auto"/>
        <w:jc w:val="both"/>
        <w:rPr>
          <w:rFonts w:ascii="Times New Roman" w:hAnsi="Times New Roman"/>
          <w:b/>
        </w:rPr>
      </w:pPr>
    </w:p>
    <w:p w14:paraId="6FC953E6" w14:textId="77777777" w:rsidR="00743F38" w:rsidRDefault="00743F38" w:rsidP="00743F38">
      <w:pPr>
        <w:autoSpaceDE w:val="0"/>
        <w:autoSpaceDN w:val="0"/>
        <w:adjustRightInd w:val="0"/>
        <w:spacing w:after="0" w:line="240" w:lineRule="auto"/>
        <w:jc w:val="both"/>
        <w:rPr>
          <w:rFonts w:ascii="Times New Roman" w:hAnsi="Times New Roman"/>
          <w:b/>
        </w:rPr>
      </w:pPr>
      <w:r>
        <w:rPr>
          <w:rFonts w:ascii="Times New Roman" w:hAnsi="Times New Roman"/>
          <w:b/>
        </w:rPr>
        <w:t>JUSTIFICAÇÃO</w:t>
      </w:r>
    </w:p>
    <w:p w14:paraId="19A4A188" w14:textId="77777777" w:rsidR="00743F38" w:rsidRDefault="00743F38" w:rsidP="00743F38">
      <w:pPr>
        <w:autoSpaceDE w:val="0"/>
        <w:autoSpaceDN w:val="0"/>
        <w:adjustRightInd w:val="0"/>
        <w:spacing w:after="0" w:line="240" w:lineRule="auto"/>
        <w:jc w:val="both"/>
        <w:rPr>
          <w:rFonts w:ascii="Times New Roman" w:hAnsi="Times New Roman"/>
        </w:rPr>
      </w:pPr>
    </w:p>
    <w:p w14:paraId="5BD5A55D" w14:textId="77777777" w:rsidR="00743F38" w:rsidRDefault="00743F38" w:rsidP="00743F38">
      <w:pPr>
        <w:autoSpaceDE w:val="0"/>
        <w:autoSpaceDN w:val="0"/>
        <w:adjustRightInd w:val="0"/>
        <w:spacing w:after="0" w:line="240" w:lineRule="auto"/>
        <w:jc w:val="both"/>
        <w:rPr>
          <w:rFonts w:ascii="Times New Roman" w:hAnsi="Times New Roman"/>
        </w:rPr>
      </w:pPr>
      <w:r>
        <w:rPr>
          <w:rFonts w:ascii="Times New Roman" w:hAnsi="Times New Roman"/>
        </w:rPr>
        <w:t xml:space="preserve">A transparência em relação às aquisições de armas convencionais é uma medida importante para contribuir para a paz e a estabilidade no mundo inteiro. Tendo isso em mente, a CITAAC foi adotada em 1999. A Convenção entrou em vigor em 2002: foi ratificada por 17 Estados membros da OEA e assinada por quatro. </w:t>
      </w:r>
    </w:p>
    <w:p w14:paraId="2E35BB26" w14:textId="77777777" w:rsidR="00743F38" w:rsidRDefault="00743F38" w:rsidP="00743F38">
      <w:pPr>
        <w:autoSpaceDE w:val="0"/>
        <w:autoSpaceDN w:val="0"/>
        <w:adjustRightInd w:val="0"/>
        <w:spacing w:after="0" w:line="240" w:lineRule="auto"/>
        <w:jc w:val="both"/>
        <w:rPr>
          <w:rFonts w:ascii="Times New Roman" w:hAnsi="Times New Roman"/>
        </w:rPr>
      </w:pPr>
    </w:p>
    <w:p w14:paraId="5E597CE4" w14:textId="77777777" w:rsidR="00743F38" w:rsidRDefault="00743F38" w:rsidP="00743F38">
      <w:pPr>
        <w:autoSpaceDE w:val="0"/>
        <w:autoSpaceDN w:val="0"/>
        <w:adjustRightInd w:val="0"/>
        <w:spacing w:after="0" w:line="240" w:lineRule="auto"/>
        <w:jc w:val="both"/>
        <w:rPr>
          <w:rFonts w:ascii="Times New Roman" w:hAnsi="Times New Roman"/>
        </w:rPr>
      </w:pPr>
      <w:r>
        <w:rPr>
          <w:rFonts w:ascii="Times New Roman" w:hAnsi="Times New Roman"/>
        </w:rPr>
        <w:t xml:space="preserve">Por meio da CITAAC, os governos se comprometeram a apresentar relatórios anuais sobre suas importações, suas exportações e sua produção nacional de armas. O intercâmbio dessas informações pode fomentar a confiança na região e facilitar a identificação precoce e a prevenção de riscos decorrentes do acúmulo de armas excessivo ou desestabilizador. As armas convencionais são aquelas normalmente utilizadas em conflitos armados, como tanques de batalha, mísseis e veículos blindados de combate. A maioria dos países tem leis que proíbem os civis de portarem armas desse tipo que são de uso restrito pelas Forças Armadas. Ao serem transparentes e previsíveis, os Estados conseguem construir confiança e, ao mesmo tempo atender suas necessidades legítimas em matéria de segurança. </w:t>
      </w:r>
    </w:p>
    <w:p w14:paraId="2A1919BC" w14:textId="77777777" w:rsidR="00743F38" w:rsidRDefault="00743F38" w:rsidP="00743F38">
      <w:pPr>
        <w:autoSpaceDE w:val="0"/>
        <w:autoSpaceDN w:val="0"/>
        <w:adjustRightInd w:val="0"/>
        <w:spacing w:after="0" w:line="240" w:lineRule="auto"/>
        <w:jc w:val="both"/>
        <w:rPr>
          <w:rFonts w:ascii="Times New Roman" w:hAnsi="Times New Roman"/>
        </w:rPr>
      </w:pPr>
    </w:p>
    <w:p w14:paraId="1FFD1226" w14:textId="77777777" w:rsidR="00743F38" w:rsidRDefault="00743F38" w:rsidP="00743F38">
      <w:pPr>
        <w:autoSpaceDE w:val="0"/>
        <w:autoSpaceDN w:val="0"/>
        <w:adjustRightInd w:val="0"/>
        <w:spacing w:after="0" w:line="240" w:lineRule="auto"/>
        <w:jc w:val="both"/>
        <w:rPr>
          <w:rFonts w:ascii="Times New Roman" w:hAnsi="Times New Roman"/>
        </w:rPr>
      </w:pPr>
      <w:r>
        <w:rPr>
          <w:rFonts w:ascii="Times New Roman" w:hAnsi="Times New Roman"/>
        </w:rPr>
        <w:t>Atualmente, a eficácia da CITAAC foi reduzida pela escassez de relatórios apresentados pelos Estados Partes e pela ausência de espaços construtivos para promover o diálogo entre eles. No total, houve cinco reuniões políticas da CITAAC:</w:t>
      </w:r>
    </w:p>
    <w:p w14:paraId="4AADEEE8" w14:textId="77777777" w:rsidR="00743F38" w:rsidRDefault="00743F38" w:rsidP="00743F38">
      <w:pPr>
        <w:pStyle w:val="ListParagraph"/>
        <w:numPr>
          <w:ilvl w:val="0"/>
          <w:numId w:val="42"/>
        </w:numPr>
        <w:spacing w:after="0" w:line="240" w:lineRule="auto"/>
        <w:jc w:val="both"/>
        <w:rPr>
          <w:rFonts w:ascii="Times New Roman" w:eastAsia="Times New Roman" w:hAnsi="Times New Roman"/>
        </w:rPr>
      </w:pPr>
      <w:r>
        <w:rPr>
          <w:rFonts w:ascii="Times New Roman" w:hAnsi="Times New Roman"/>
        </w:rPr>
        <w:t>2006 – Primeira Reunião dos Estados Partes na CITAAC (em preparação à Conferência dos Estados Partes a realizar-se em 2009)</w:t>
      </w:r>
    </w:p>
    <w:p w14:paraId="0DB30F7A" w14:textId="77777777" w:rsidR="00743F38" w:rsidRDefault="00743F38" w:rsidP="00743F38">
      <w:pPr>
        <w:pStyle w:val="ListParagraph"/>
        <w:numPr>
          <w:ilvl w:val="0"/>
          <w:numId w:val="42"/>
        </w:numPr>
        <w:spacing w:after="0" w:line="240" w:lineRule="auto"/>
        <w:jc w:val="both"/>
        <w:rPr>
          <w:rFonts w:ascii="Times New Roman" w:eastAsia="Times New Roman" w:hAnsi="Times New Roman"/>
        </w:rPr>
      </w:pPr>
      <w:r>
        <w:rPr>
          <w:rFonts w:ascii="Times New Roman" w:hAnsi="Times New Roman"/>
        </w:rPr>
        <w:lastRenderedPageBreak/>
        <w:t>2008 – Segunda Reunião dos Estados Partes na CITAAC (em preparação à Conferência dos Estados Partes a realizar-se em 2009)</w:t>
      </w:r>
    </w:p>
    <w:p w14:paraId="296582F4" w14:textId="77777777" w:rsidR="00743F38" w:rsidRDefault="00743F38" w:rsidP="00743F38">
      <w:pPr>
        <w:pStyle w:val="ListParagraph"/>
        <w:numPr>
          <w:ilvl w:val="0"/>
          <w:numId w:val="42"/>
        </w:numPr>
        <w:spacing w:after="0" w:line="240" w:lineRule="auto"/>
        <w:jc w:val="both"/>
        <w:rPr>
          <w:rFonts w:ascii="Times New Roman" w:eastAsia="Times New Roman" w:hAnsi="Times New Roman"/>
        </w:rPr>
      </w:pPr>
      <w:r>
        <w:rPr>
          <w:rFonts w:ascii="Times New Roman" w:hAnsi="Times New Roman"/>
        </w:rPr>
        <w:t>2009 – Terceira Reunião dos Estados Partes na CITAAC (em preparação à Conferência dos Estados Partes a realizar-se em 2009)</w:t>
      </w:r>
    </w:p>
    <w:p w14:paraId="365D96FE" w14:textId="77777777" w:rsidR="00743F38" w:rsidRDefault="00743F38" w:rsidP="00743F38">
      <w:pPr>
        <w:pStyle w:val="ListParagraph"/>
        <w:numPr>
          <w:ilvl w:val="0"/>
          <w:numId w:val="42"/>
        </w:numPr>
        <w:spacing w:after="0" w:line="240" w:lineRule="auto"/>
        <w:jc w:val="both"/>
        <w:rPr>
          <w:rFonts w:ascii="Times New Roman" w:eastAsia="Times New Roman" w:hAnsi="Times New Roman"/>
        </w:rPr>
      </w:pPr>
      <w:r>
        <w:rPr>
          <w:rFonts w:ascii="Times New Roman" w:hAnsi="Times New Roman"/>
        </w:rPr>
        <w:t>2009 – Primeira Conferência dos Estados Partes na CITAAC</w:t>
      </w:r>
    </w:p>
    <w:p w14:paraId="3F766BA2" w14:textId="77777777" w:rsidR="00743F38" w:rsidRDefault="00743F38" w:rsidP="00743F38">
      <w:pPr>
        <w:pStyle w:val="ListParagraph"/>
        <w:numPr>
          <w:ilvl w:val="0"/>
          <w:numId w:val="42"/>
        </w:numPr>
        <w:spacing w:after="0" w:line="240" w:lineRule="auto"/>
        <w:jc w:val="both"/>
        <w:rPr>
          <w:rFonts w:ascii="Times New Roman" w:eastAsia="Times New Roman" w:hAnsi="Times New Roman"/>
        </w:rPr>
      </w:pPr>
      <w:r>
        <w:rPr>
          <w:rFonts w:ascii="Times New Roman" w:hAnsi="Times New Roman"/>
        </w:rPr>
        <w:t>2013 – Reunião dos Pontos Nacionais de Contato da CITAAC</w:t>
      </w:r>
    </w:p>
    <w:p w14:paraId="3D0C0C21" w14:textId="77777777" w:rsidR="00743F38" w:rsidRDefault="00743F38" w:rsidP="00743F38">
      <w:pPr>
        <w:autoSpaceDE w:val="0"/>
        <w:autoSpaceDN w:val="0"/>
        <w:adjustRightInd w:val="0"/>
        <w:spacing w:after="0" w:line="240" w:lineRule="auto"/>
        <w:jc w:val="both"/>
        <w:rPr>
          <w:rFonts w:ascii="Times New Roman" w:hAnsi="Times New Roman"/>
        </w:rPr>
      </w:pPr>
    </w:p>
    <w:p w14:paraId="123A2582" w14:textId="77777777" w:rsidR="00743F38" w:rsidRDefault="00743F38" w:rsidP="00743F38">
      <w:pPr>
        <w:autoSpaceDE w:val="0"/>
        <w:autoSpaceDN w:val="0"/>
        <w:adjustRightInd w:val="0"/>
        <w:spacing w:after="0" w:line="240" w:lineRule="auto"/>
        <w:jc w:val="both"/>
        <w:rPr>
          <w:rFonts w:ascii="Times New Roman" w:eastAsia="Times New Roman" w:hAnsi="Times New Roman"/>
        </w:rPr>
      </w:pPr>
      <w:r>
        <w:rPr>
          <w:rFonts w:ascii="Times New Roman" w:hAnsi="Times New Roman"/>
        </w:rPr>
        <w:t>Nessas oportunidades, os Estados Partes discutiram os desafios para apresentar os relatórios anuais e abordaram as estratégias para facilitar essa tarefa. Reiteraram a necessidade de estabelecer mecanismos de acompanhamento para aumentar a operacionalização da CITAAC e para auxiliar os Estados Partes na implementação de suas disposições, dentre elas o estabelecimento de uma Secretaria Técnica. A Secretaria Técnica poderia ajudar os países a apresentar relatórios e encarregar-se de sistematizar e divulgar as informações neles contidas, e promover o diálogo entre os Estados Partes mediante a organização de conferências e reuniões periódicas.</w:t>
      </w:r>
    </w:p>
    <w:p w14:paraId="5BBDA5B2" w14:textId="77777777" w:rsidR="00743F38" w:rsidRDefault="00743F38" w:rsidP="00743F38">
      <w:pPr>
        <w:autoSpaceDE w:val="0"/>
        <w:autoSpaceDN w:val="0"/>
        <w:adjustRightInd w:val="0"/>
        <w:spacing w:after="0" w:line="240" w:lineRule="auto"/>
        <w:jc w:val="both"/>
        <w:rPr>
          <w:rFonts w:ascii="Times New Roman" w:hAnsi="Times New Roman"/>
        </w:rPr>
      </w:pPr>
    </w:p>
    <w:p w14:paraId="158A83B8" w14:textId="77777777" w:rsidR="00743F38" w:rsidRDefault="00743F38" w:rsidP="00743F38">
      <w:pPr>
        <w:autoSpaceDE w:val="0"/>
        <w:autoSpaceDN w:val="0"/>
        <w:adjustRightInd w:val="0"/>
        <w:spacing w:after="0" w:line="240" w:lineRule="auto"/>
        <w:jc w:val="both"/>
        <w:rPr>
          <w:rFonts w:ascii="Times New Roman" w:hAnsi="Times New Roman"/>
        </w:rPr>
      </w:pPr>
      <w:r>
        <w:rPr>
          <w:rFonts w:ascii="Times New Roman" w:hAnsi="Times New Roman"/>
        </w:rPr>
        <w:t xml:space="preserve">Na Segunda Conferência, espera-se  que os Estados Partes considerem o estabelecimento da estrutura de governança da CITAAC, com a institucionalização da Comissão Consultiva e da Secretaria Técnica, a fim de fortalecer a Convenção. Além disso, espera-se manter um diálogo integral sobre a orientação futura da CITAAC. </w:t>
      </w:r>
    </w:p>
    <w:p w14:paraId="7DEBEC74" w14:textId="77777777" w:rsidR="00743F38" w:rsidRDefault="00743F38" w:rsidP="00743F38">
      <w:pPr>
        <w:autoSpaceDE w:val="0"/>
        <w:autoSpaceDN w:val="0"/>
        <w:adjustRightInd w:val="0"/>
        <w:spacing w:after="0" w:line="240" w:lineRule="auto"/>
        <w:jc w:val="both"/>
        <w:rPr>
          <w:rFonts w:ascii="Times New Roman" w:hAnsi="Times New Roman"/>
        </w:rPr>
      </w:pPr>
    </w:p>
    <w:p w14:paraId="5EDB0A56" w14:textId="77777777" w:rsidR="00743F38" w:rsidRDefault="00743F38" w:rsidP="00743F38">
      <w:pPr>
        <w:autoSpaceDE w:val="0"/>
        <w:autoSpaceDN w:val="0"/>
        <w:adjustRightInd w:val="0"/>
        <w:spacing w:after="0" w:line="240" w:lineRule="auto"/>
        <w:jc w:val="both"/>
        <w:rPr>
          <w:rFonts w:ascii="Times New Roman" w:hAnsi="Times New Roman"/>
          <w:b/>
        </w:rPr>
      </w:pPr>
      <w:r>
        <w:rPr>
          <w:rFonts w:ascii="Times New Roman" w:hAnsi="Times New Roman"/>
          <w:b/>
        </w:rPr>
        <w:t>OBJETIVOS</w:t>
      </w:r>
    </w:p>
    <w:p w14:paraId="14286A2C" w14:textId="77777777" w:rsidR="00743F38" w:rsidRDefault="00743F38" w:rsidP="00743F38">
      <w:pPr>
        <w:autoSpaceDE w:val="0"/>
        <w:autoSpaceDN w:val="0"/>
        <w:adjustRightInd w:val="0"/>
        <w:spacing w:line="240" w:lineRule="auto"/>
        <w:contextualSpacing/>
        <w:jc w:val="both"/>
        <w:rPr>
          <w:rFonts w:ascii="Times New Roman" w:eastAsia="SimSun" w:hAnsi="Times New Roman"/>
          <w:lang w:eastAsia="es-MX"/>
        </w:rPr>
      </w:pPr>
    </w:p>
    <w:p w14:paraId="6D7DE728" w14:textId="77777777" w:rsidR="00743F38" w:rsidRDefault="00743F38" w:rsidP="00743F38">
      <w:pPr>
        <w:autoSpaceDE w:val="0"/>
        <w:autoSpaceDN w:val="0"/>
        <w:adjustRightInd w:val="0"/>
        <w:spacing w:after="0" w:line="240" w:lineRule="auto"/>
        <w:ind w:firstLine="720"/>
        <w:jc w:val="both"/>
        <w:rPr>
          <w:rFonts w:ascii="Times New Roman" w:hAnsi="Times New Roman"/>
        </w:rPr>
      </w:pPr>
      <w:r>
        <w:rPr>
          <w:rFonts w:ascii="Times New Roman" w:hAnsi="Times New Roman"/>
        </w:rPr>
        <w:t>Os objetivos da Segunda Conferência da CITAAC são os seguintes:</w:t>
      </w:r>
    </w:p>
    <w:p w14:paraId="1219ED2F" w14:textId="77777777" w:rsidR="00743F38" w:rsidRDefault="00743F38" w:rsidP="00743F38">
      <w:pPr>
        <w:autoSpaceDE w:val="0"/>
        <w:autoSpaceDN w:val="0"/>
        <w:adjustRightInd w:val="0"/>
        <w:spacing w:after="0" w:line="240" w:lineRule="auto"/>
        <w:jc w:val="both"/>
        <w:rPr>
          <w:rFonts w:ascii="Times New Roman" w:hAnsi="Times New Roman"/>
        </w:rPr>
      </w:pPr>
    </w:p>
    <w:p w14:paraId="07ACDD19" w14:textId="77777777" w:rsidR="00743F38" w:rsidRDefault="00743F38" w:rsidP="00743F38">
      <w:pPr>
        <w:pStyle w:val="ListParagraph"/>
        <w:numPr>
          <w:ilvl w:val="0"/>
          <w:numId w:val="43"/>
        </w:numPr>
        <w:autoSpaceDE w:val="0"/>
        <w:autoSpaceDN w:val="0"/>
        <w:adjustRightInd w:val="0"/>
        <w:spacing w:after="0" w:line="240" w:lineRule="auto"/>
        <w:jc w:val="both"/>
        <w:rPr>
          <w:rFonts w:ascii="Times New Roman" w:hAnsi="Times New Roman"/>
        </w:rPr>
      </w:pPr>
      <w:r>
        <w:rPr>
          <w:rFonts w:ascii="Times New Roman" w:hAnsi="Times New Roman"/>
        </w:rPr>
        <w:t>considerar e aprovar o projeto de Regulamento da Conferência dos Estados Partes na CITAAC e do projeto de Regulamento da Comissão Consultiva da CITAAC;</w:t>
      </w:r>
    </w:p>
    <w:p w14:paraId="0DAAC454" w14:textId="77777777" w:rsidR="00743F38" w:rsidRDefault="00743F38" w:rsidP="00743F38">
      <w:pPr>
        <w:pStyle w:val="ListParagraph"/>
        <w:autoSpaceDE w:val="0"/>
        <w:autoSpaceDN w:val="0"/>
        <w:adjustRightInd w:val="0"/>
        <w:spacing w:after="0" w:line="240" w:lineRule="auto"/>
        <w:ind w:left="1080"/>
        <w:jc w:val="both"/>
        <w:rPr>
          <w:rFonts w:ascii="Times New Roman" w:hAnsi="Times New Roman"/>
        </w:rPr>
      </w:pPr>
    </w:p>
    <w:p w14:paraId="6B3A7F7D" w14:textId="77777777" w:rsidR="00743F38" w:rsidRDefault="00743F38" w:rsidP="00743F38">
      <w:pPr>
        <w:pStyle w:val="ListParagraph"/>
        <w:numPr>
          <w:ilvl w:val="0"/>
          <w:numId w:val="43"/>
        </w:numPr>
        <w:autoSpaceDE w:val="0"/>
        <w:autoSpaceDN w:val="0"/>
        <w:adjustRightInd w:val="0"/>
        <w:spacing w:after="0" w:line="240" w:lineRule="auto"/>
        <w:jc w:val="both"/>
        <w:rPr>
          <w:rFonts w:ascii="Times New Roman" w:hAnsi="Times New Roman"/>
        </w:rPr>
      </w:pPr>
      <w:r>
        <w:rPr>
          <w:rFonts w:ascii="Times New Roman" w:hAnsi="Times New Roman"/>
        </w:rPr>
        <w:t>analisar o progresso na implementação da Convenção e considerar potenciais medidas adicionais de transparência, inclusive alterações na lista de armas convencionais;</w:t>
      </w:r>
    </w:p>
    <w:p w14:paraId="3E39C85C" w14:textId="77777777" w:rsidR="00743F38" w:rsidRDefault="00743F38" w:rsidP="00743F38">
      <w:pPr>
        <w:autoSpaceDE w:val="0"/>
        <w:autoSpaceDN w:val="0"/>
        <w:adjustRightInd w:val="0"/>
        <w:spacing w:after="0" w:line="240" w:lineRule="auto"/>
        <w:jc w:val="both"/>
        <w:rPr>
          <w:rFonts w:ascii="Times New Roman" w:hAnsi="Times New Roman"/>
        </w:rPr>
      </w:pPr>
    </w:p>
    <w:p w14:paraId="49C84544" w14:textId="77777777" w:rsidR="00743F38" w:rsidRDefault="00743F38" w:rsidP="00743F38">
      <w:pPr>
        <w:pStyle w:val="ListParagraph"/>
        <w:numPr>
          <w:ilvl w:val="0"/>
          <w:numId w:val="43"/>
        </w:numPr>
        <w:autoSpaceDE w:val="0"/>
        <w:autoSpaceDN w:val="0"/>
        <w:adjustRightInd w:val="0"/>
        <w:spacing w:after="0" w:line="240" w:lineRule="auto"/>
        <w:jc w:val="both"/>
        <w:rPr>
          <w:rFonts w:ascii="Times New Roman" w:hAnsi="Times New Roman"/>
        </w:rPr>
      </w:pPr>
      <w:r>
        <w:rPr>
          <w:rFonts w:ascii="Times New Roman" w:hAnsi="Times New Roman"/>
        </w:rPr>
        <w:t>discutir prioridades e objetivos para avançar no cumprimento das disposições da Convenção;</w:t>
      </w:r>
    </w:p>
    <w:p w14:paraId="2316255C" w14:textId="77777777" w:rsidR="00743F38" w:rsidRDefault="00743F38" w:rsidP="00743F38">
      <w:pPr>
        <w:pStyle w:val="ListParagraph"/>
        <w:autoSpaceDE w:val="0"/>
        <w:autoSpaceDN w:val="0"/>
        <w:adjustRightInd w:val="0"/>
        <w:spacing w:after="0" w:line="240" w:lineRule="auto"/>
        <w:ind w:left="1080"/>
        <w:jc w:val="both"/>
        <w:rPr>
          <w:rFonts w:ascii="Times New Roman" w:hAnsi="Times New Roman"/>
        </w:rPr>
      </w:pPr>
    </w:p>
    <w:p w14:paraId="23A4043A" w14:textId="77777777" w:rsidR="00743F38" w:rsidRDefault="00743F38" w:rsidP="00743F38">
      <w:pPr>
        <w:pStyle w:val="ListParagraph"/>
        <w:numPr>
          <w:ilvl w:val="0"/>
          <w:numId w:val="43"/>
        </w:numPr>
        <w:autoSpaceDE w:val="0"/>
        <w:autoSpaceDN w:val="0"/>
        <w:adjustRightInd w:val="0"/>
        <w:spacing w:after="0" w:line="240" w:lineRule="auto"/>
        <w:jc w:val="both"/>
        <w:rPr>
          <w:rFonts w:ascii="Times New Roman" w:hAnsi="Times New Roman"/>
          <w:b/>
        </w:rPr>
      </w:pPr>
      <w:r>
        <w:rPr>
          <w:rFonts w:ascii="Times New Roman" w:hAnsi="Times New Roman"/>
        </w:rPr>
        <w:t xml:space="preserve">considerar e aprovar as Recomendações da Segunda Conferência dos Estados Partes. </w:t>
      </w:r>
    </w:p>
    <w:p w14:paraId="6642FBAF" w14:textId="77777777" w:rsidR="00743F38" w:rsidRDefault="00743F38" w:rsidP="00743F38">
      <w:pPr>
        <w:pStyle w:val="ListParagraph"/>
        <w:autoSpaceDE w:val="0"/>
        <w:autoSpaceDN w:val="0"/>
        <w:adjustRightInd w:val="0"/>
        <w:spacing w:after="0" w:line="240" w:lineRule="auto"/>
        <w:ind w:left="1080"/>
        <w:jc w:val="both"/>
        <w:rPr>
          <w:rFonts w:ascii="Times New Roman" w:hAnsi="Times New Roman"/>
          <w:b/>
        </w:rPr>
      </w:pPr>
    </w:p>
    <w:p w14:paraId="32BE67E1" w14:textId="77777777" w:rsidR="00743F38" w:rsidRDefault="00743F38" w:rsidP="00743F38">
      <w:pPr>
        <w:autoSpaceDE w:val="0"/>
        <w:autoSpaceDN w:val="0"/>
        <w:adjustRightInd w:val="0"/>
        <w:spacing w:after="0" w:line="240" w:lineRule="auto"/>
        <w:jc w:val="both"/>
        <w:rPr>
          <w:rFonts w:ascii="Times New Roman" w:hAnsi="Times New Roman"/>
          <w:b/>
        </w:rPr>
      </w:pPr>
      <w:r>
        <w:rPr>
          <w:rFonts w:ascii="Times New Roman" w:hAnsi="Times New Roman"/>
          <w:b/>
        </w:rPr>
        <w:t>FORMATO DA REUNIÃO</w:t>
      </w:r>
    </w:p>
    <w:p w14:paraId="4DA3ED84" w14:textId="77777777" w:rsidR="00743F38" w:rsidRDefault="00743F38" w:rsidP="00743F38">
      <w:pPr>
        <w:autoSpaceDE w:val="0"/>
        <w:autoSpaceDN w:val="0"/>
        <w:adjustRightInd w:val="0"/>
        <w:spacing w:after="0" w:line="240" w:lineRule="auto"/>
        <w:jc w:val="both"/>
        <w:rPr>
          <w:rFonts w:ascii="Times New Roman" w:hAnsi="Times New Roman"/>
        </w:rPr>
      </w:pPr>
    </w:p>
    <w:p w14:paraId="24DBC56F" w14:textId="77777777" w:rsidR="00743F38" w:rsidRDefault="00743F38" w:rsidP="00743F38">
      <w:pPr>
        <w:numPr>
          <w:ilvl w:val="0"/>
          <w:numId w:val="44"/>
        </w:numPr>
        <w:autoSpaceDE w:val="0"/>
        <w:autoSpaceDN w:val="0"/>
        <w:adjustRightInd w:val="0"/>
        <w:spacing w:after="0" w:line="240" w:lineRule="auto"/>
        <w:jc w:val="both"/>
        <w:rPr>
          <w:rFonts w:ascii="Times New Roman" w:hAnsi="Times New Roman"/>
        </w:rPr>
      </w:pPr>
      <w:r>
        <w:rPr>
          <w:rFonts w:ascii="Times New Roman" w:hAnsi="Times New Roman"/>
        </w:rPr>
        <w:t xml:space="preserve">A Segunda Conferência terá duração de um dia, com uma sessão matutina de duas horas (das 10h às 12h – horário de Washington, D.C.) e uma sessão vespertina de duas horas  (das 14h30 às 16h30 – horário de Washington, D.C.). A conferência, que será realizada por meio da plataforma virtual utilizada pela OEA para reuniões virtuais (Kudo), terá seis partes: </w:t>
      </w:r>
    </w:p>
    <w:p w14:paraId="1E31FD0E" w14:textId="77777777" w:rsidR="00743F38" w:rsidRDefault="00743F38" w:rsidP="00743F38">
      <w:pPr>
        <w:numPr>
          <w:ilvl w:val="0"/>
          <w:numId w:val="34"/>
        </w:numPr>
        <w:autoSpaceDE w:val="0"/>
        <w:autoSpaceDN w:val="0"/>
        <w:adjustRightInd w:val="0"/>
        <w:spacing w:before="120" w:after="120" w:line="240" w:lineRule="auto"/>
        <w:jc w:val="both"/>
        <w:rPr>
          <w:rFonts w:ascii="Times New Roman" w:hAnsi="Times New Roman"/>
        </w:rPr>
      </w:pPr>
      <w:r>
        <w:rPr>
          <w:rFonts w:ascii="Times New Roman" w:hAnsi="Times New Roman"/>
        </w:rPr>
        <w:t xml:space="preserve">Conexão com a plataforma; </w:t>
      </w:r>
    </w:p>
    <w:p w14:paraId="7EC5D1BB" w14:textId="77777777" w:rsidR="00743F38" w:rsidRDefault="00743F38" w:rsidP="00743F38">
      <w:pPr>
        <w:numPr>
          <w:ilvl w:val="0"/>
          <w:numId w:val="34"/>
        </w:numPr>
        <w:autoSpaceDE w:val="0"/>
        <w:autoSpaceDN w:val="0"/>
        <w:adjustRightInd w:val="0"/>
        <w:spacing w:before="120" w:after="120" w:line="240" w:lineRule="auto"/>
        <w:jc w:val="both"/>
        <w:rPr>
          <w:rFonts w:ascii="Times New Roman" w:hAnsi="Times New Roman"/>
        </w:rPr>
      </w:pPr>
      <w:r>
        <w:rPr>
          <w:rFonts w:ascii="Times New Roman" w:hAnsi="Times New Roman"/>
        </w:rPr>
        <w:t xml:space="preserve">Cerimônia de abertura; </w:t>
      </w:r>
    </w:p>
    <w:p w14:paraId="060BF65D" w14:textId="77777777" w:rsidR="00743F38" w:rsidRDefault="00743F38" w:rsidP="00743F38">
      <w:pPr>
        <w:numPr>
          <w:ilvl w:val="0"/>
          <w:numId w:val="34"/>
        </w:numPr>
        <w:autoSpaceDE w:val="0"/>
        <w:autoSpaceDN w:val="0"/>
        <w:adjustRightInd w:val="0"/>
        <w:spacing w:before="120" w:after="120" w:line="240" w:lineRule="auto"/>
        <w:jc w:val="both"/>
        <w:rPr>
          <w:rFonts w:ascii="Times New Roman" w:hAnsi="Times New Roman"/>
        </w:rPr>
      </w:pPr>
      <w:r>
        <w:rPr>
          <w:rFonts w:ascii="Times New Roman" w:hAnsi="Times New Roman"/>
        </w:rPr>
        <w:t>Sessão introdutória, durante a qual serão eleitos o Presidente, o Vice-Presidente e o Relator da Conferência. Imediatamente após as eleições, será aprovada a agenda e o calendário da reunião. A Secretaria-Geral da OEA apresentará um relatório sobre a situação da convenção;</w:t>
      </w:r>
    </w:p>
    <w:p w14:paraId="13F6F1FB" w14:textId="77777777" w:rsidR="00743F38" w:rsidRDefault="00743F38" w:rsidP="00743F38">
      <w:pPr>
        <w:numPr>
          <w:ilvl w:val="0"/>
          <w:numId w:val="34"/>
        </w:numPr>
        <w:autoSpaceDE w:val="0"/>
        <w:autoSpaceDN w:val="0"/>
        <w:adjustRightInd w:val="0"/>
        <w:spacing w:before="120" w:after="120" w:line="240" w:lineRule="auto"/>
        <w:jc w:val="both"/>
        <w:rPr>
          <w:rFonts w:ascii="Times New Roman" w:hAnsi="Times New Roman"/>
        </w:rPr>
      </w:pPr>
      <w:r>
        <w:rPr>
          <w:rFonts w:ascii="Times New Roman" w:hAnsi="Times New Roman"/>
        </w:rPr>
        <w:lastRenderedPageBreak/>
        <w:t>Sessão para discutir a institucionalização da CITAAC, com uma apresentação da Secretaria-Geral da OEA sobre os esforços para fortalecer a Convenção. A seguir, os Estados Partes considerarão a aprovação dos dois documentos para institucionalizar a Convenção: o Regulamento da Conferência dos Estados Partes e o Regulamento da Comissão Consultiva;</w:t>
      </w:r>
    </w:p>
    <w:p w14:paraId="03ADD366" w14:textId="77777777" w:rsidR="00743F38" w:rsidRDefault="00743F38" w:rsidP="00743F38">
      <w:pPr>
        <w:numPr>
          <w:ilvl w:val="0"/>
          <w:numId w:val="34"/>
        </w:numPr>
        <w:autoSpaceDE w:val="0"/>
        <w:autoSpaceDN w:val="0"/>
        <w:adjustRightInd w:val="0"/>
        <w:spacing w:before="120" w:after="120" w:line="240" w:lineRule="auto"/>
        <w:jc w:val="both"/>
        <w:rPr>
          <w:rFonts w:ascii="Times New Roman" w:hAnsi="Times New Roman"/>
        </w:rPr>
      </w:pPr>
      <w:r>
        <w:rPr>
          <w:rFonts w:ascii="Times New Roman" w:hAnsi="Times New Roman"/>
        </w:rPr>
        <w:t>Os Estados membros serão convidados a participar de dois painéis temáticos e de um painel técnico, conforme descritos abaixo;</w:t>
      </w:r>
    </w:p>
    <w:p w14:paraId="3E939FC9" w14:textId="77777777" w:rsidR="00743F38" w:rsidRDefault="00743F38" w:rsidP="00743F38">
      <w:pPr>
        <w:numPr>
          <w:ilvl w:val="0"/>
          <w:numId w:val="34"/>
        </w:numPr>
        <w:autoSpaceDE w:val="0"/>
        <w:autoSpaceDN w:val="0"/>
        <w:adjustRightInd w:val="0"/>
        <w:spacing w:before="120" w:after="120" w:line="240" w:lineRule="auto"/>
        <w:jc w:val="both"/>
        <w:rPr>
          <w:rFonts w:ascii="Times New Roman" w:hAnsi="Times New Roman"/>
        </w:rPr>
      </w:pPr>
      <w:r>
        <w:rPr>
          <w:rFonts w:ascii="Times New Roman" w:hAnsi="Times New Roman"/>
        </w:rPr>
        <w:t xml:space="preserve">Aprovação das recomendações da Segunda Conferência dos Estados Partes na CITAAC; e </w:t>
      </w:r>
    </w:p>
    <w:p w14:paraId="4065B08B" w14:textId="77777777" w:rsidR="00743F38" w:rsidRDefault="00743F38" w:rsidP="00743F38">
      <w:pPr>
        <w:numPr>
          <w:ilvl w:val="0"/>
          <w:numId w:val="34"/>
        </w:numPr>
        <w:autoSpaceDE w:val="0"/>
        <w:autoSpaceDN w:val="0"/>
        <w:adjustRightInd w:val="0"/>
        <w:spacing w:before="120" w:after="120" w:line="240" w:lineRule="auto"/>
        <w:jc w:val="both"/>
        <w:rPr>
          <w:rFonts w:ascii="Times New Roman" w:hAnsi="Times New Roman"/>
        </w:rPr>
      </w:pPr>
      <w:r>
        <w:rPr>
          <w:rFonts w:ascii="Times New Roman" w:hAnsi="Times New Roman"/>
        </w:rPr>
        <w:t>Cerimônia de encerramento.</w:t>
      </w:r>
    </w:p>
    <w:p w14:paraId="1832AC20" w14:textId="77777777" w:rsidR="00743F38" w:rsidRDefault="00743F38" w:rsidP="00743F38">
      <w:pPr>
        <w:autoSpaceDE w:val="0"/>
        <w:autoSpaceDN w:val="0"/>
        <w:adjustRightInd w:val="0"/>
        <w:spacing w:after="0" w:line="240" w:lineRule="auto"/>
        <w:jc w:val="both"/>
        <w:rPr>
          <w:rFonts w:ascii="Times New Roman" w:hAnsi="Times New Roman"/>
          <w:b/>
        </w:rPr>
      </w:pPr>
    </w:p>
    <w:p w14:paraId="6B02031E" w14:textId="77777777" w:rsidR="00743F38" w:rsidRDefault="00743F38" w:rsidP="00743F38">
      <w:pPr>
        <w:autoSpaceDE w:val="0"/>
        <w:autoSpaceDN w:val="0"/>
        <w:adjustRightInd w:val="0"/>
        <w:spacing w:after="0" w:line="240" w:lineRule="auto"/>
        <w:jc w:val="both"/>
        <w:rPr>
          <w:rFonts w:ascii="Times New Roman" w:hAnsi="Times New Roman"/>
          <w:b/>
        </w:rPr>
      </w:pPr>
      <w:r>
        <w:rPr>
          <w:rFonts w:ascii="Times New Roman" w:hAnsi="Times New Roman"/>
          <w:b/>
        </w:rPr>
        <w:t>INSTITUCIONALIZAÇÃO DA CITAAC</w:t>
      </w:r>
    </w:p>
    <w:p w14:paraId="473E7847" w14:textId="77777777" w:rsidR="00743F38" w:rsidRDefault="00743F38" w:rsidP="00743F38">
      <w:pPr>
        <w:autoSpaceDE w:val="0"/>
        <w:autoSpaceDN w:val="0"/>
        <w:adjustRightInd w:val="0"/>
        <w:spacing w:after="0" w:line="240" w:lineRule="auto"/>
        <w:jc w:val="both"/>
        <w:rPr>
          <w:rFonts w:ascii="Times New Roman" w:hAnsi="Times New Roman"/>
          <w:b/>
        </w:rPr>
      </w:pPr>
    </w:p>
    <w:p w14:paraId="429928AA" w14:textId="77777777" w:rsidR="00743F38" w:rsidRDefault="00743F38" w:rsidP="00743F38">
      <w:pPr>
        <w:autoSpaceDE w:val="0"/>
        <w:autoSpaceDN w:val="0"/>
        <w:adjustRightInd w:val="0"/>
        <w:spacing w:after="0" w:line="240" w:lineRule="auto"/>
        <w:jc w:val="both"/>
        <w:rPr>
          <w:rFonts w:ascii="Times New Roman" w:hAnsi="Times New Roman"/>
        </w:rPr>
      </w:pPr>
    </w:p>
    <w:p w14:paraId="08B9D8AE" w14:textId="77777777" w:rsidR="00743F38" w:rsidRDefault="00743F38" w:rsidP="00743F38">
      <w:pPr>
        <w:autoSpaceDE w:val="0"/>
        <w:autoSpaceDN w:val="0"/>
        <w:adjustRightInd w:val="0"/>
        <w:spacing w:after="0" w:line="240" w:lineRule="auto"/>
        <w:jc w:val="both"/>
        <w:rPr>
          <w:rFonts w:ascii="Times New Roman" w:eastAsia="Times New Roman" w:hAnsi="Times New Roman"/>
        </w:rPr>
      </w:pPr>
      <w:r>
        <w:rPr>
          <w:rFonts w:ascii="Times New Roman" w:hAnsi="Times New Roman"/>
        </w:rPr>
        <w:t xml:space="preserve">Considerando as recomendações anteriores das reuniões dos Estados Partes na CITAAC, os Estados membros da OEA solicitaram à Secretaria-Geral da OEA que tomasse as medidas adequadas para a criação e a definição de uma secretaria técnica para a CITAAC, com vistas a apoiar os Estados membros na implementação da Convenção (parágrafo 94 da resolução AG/RES. 2945 (XLIX-O/19). </w:t>
      </w:r>
    </w:p>
    <w:p w14:paraId="5CBA334C" w14:textId="77777777" w:rsidR="00743F38" w:rsidRDefault="00743F38" w:rsidP="00743F38">
      <w:pPr>
        <w:autoSpaceDE w:val="0"/>
        <w:autoSpaceDN w:val="0"/>
        <w:adjustRightInd w:val="0"/>
        <w:spacing w:after="0" w:line="240" w:lineRule="auto"/>
        <w:ind w:firstLine="720"/>
        <w:jc w:val="both"/>
        <w:rPr>
          <w:rFonts w:ascii="Times New Roman" w:eastAsia="Times New Roman" w:hAnsi="Times New Roman"/>
        </w:rPr>
      </w:pPr>
    </w:p>
    <w:p w14:paraId="6E4ECB44" w14:textId="77777777" w:rsidR="00743F38" w:rsidRDefault="00743F38" w:rsidP="00743F38">
      <w:pPr>
        <w:spacing w:after="0" w:line="240" w:lineRule="auto"/>
        <w:jc w:val="both"/>
        <w:rPr>
          <w:rFonts w:ascii="Times New Roman" w:eastAsia="Times New Roman" w:hAnsi="Times New Roman"/>
        </w:rPr>
      </w:pPr>
      <w:r>
        <w:rPr>
          <w:rFonts w:ascii="Times New Roman" w:hAnsi="Times New Roman"/>
        </w:rPr>
        <w:t>Com base nesse mandato, o Departamento de Segurança Pública da Secretaria de Segurança Multidimensional da OEA (DSP/OEA), com o apoio da Junta Interamericana de Defesa, elaborou dois documentos que permitiriam a institucionalização da CITAAC:</w:t>
      </w:r>
    </w:p>
    <w:p w14:paraId="5FD8D5AE" w14:textId="77777777" w:rsidR="00743F38" w:rsidRDefault="00743F38" w:rsidP="00743F38">
      <w:pPr>
        <w:spacing w:after="0" w:line="240" w:lineRule="auto"/>
        <w:jc w:val="both"/>
        <w:rPr>
          <w:rFonts w:ascii="Times New Roman" w:eastAsia="Times New Roman" w:hAnsi="Times New Roman"/>
        </w:rPr>
      </w:pPr>
    </w:p>
    <w:p w14:paraId="1C8A564B" w14:textId="77777777" w:rsidR="00743F38" w:rsidRDefault="00743F38" w:rsidP="00743F38">
      <w:pPr>
        <w:pStyle w:val="ListParagraph"/>
        <w:numPr>
          <w:ilvl w:val="0"/>
          <w:numId w:val="42"/>
        </w:numPr>
        <w:spacing w:after="0" w:line="240" w:lineRule="auto"/>
        <w:jc w:val="both"/>
        <w:rPr>
          <w:rFonts w:ascii="Times New Roman" w:eastAsia="Times New Roman" w:hAnsi="Times New Roman"/>
        </w:rPr>
      </w:pPr>
      <w:r>
        <w:rPr>
          <w:rFonts w:ascii="Times New Roman" w:hAnsi="Times New Roman"/>
        </w:rPr>
        <w:t>Projeto de Regulamento da Conferência dos Estados Partes na CITAAC</w:t>
      </w:r>
    </w:p>
    <w:p w14:paraId="021D4C2C" w14:textId="77777777" w:rsidR="00743F38" w:rsidRDefault="00743F38" w:rsidP="00743F38">
      <w:pPr>
        <w:pStyle w:val="ListParagraph"/>
        <w:numPr>
          <w:ilvl w:val="0"/>
          <w:numId w:val="42"/>
        </w:numPr>
        <w:spacing w:after="0" w:line="240" w:lineRule="auto"/>
        <w:jc w:val="both"/>
        <w:rPr>
          <w:rFonts w:ascii="Times New Roman" w:eastAsia="Times New Roman" w:hAnsi="Times New Roman"/>
        </w:rPr>
      </w:pPr>
      <w:r>
        <w:rPr>
          <w:rFonts w:ascii="Times New Roman" w:hAnsi="Times New Roman"/>
        </w:rPr>
        <w:t>Projeto de Regulamento da Comissão Consultiva da CITAAC</w:t>
      </w:r>
    </w:p>
    <w:p w14:paraId="38FFEE0E" w14:textId="77777777" w:rsidR="00743F38" w:rsidRDefault="00743F38" w:rsidP="00743F38">
      <w:pPr>
        <w:autoSpaceDE w:val="0"/>
        <w:autoSpaceDN w:val="0"/>
        <w:adjustRightInd w:val="0"/>
        <w:spacing w:after="0" w:line="240" w:lineRule="auto"/>
        <w:jc w:val="both"/>
        <w:rPr>
          <w:rFonts w:ascii="Times New Roman" w:hAnsi="Times New Roman"/>
        </w:rPr>
      </w:pPr>
    </w:p>
    <w:p w14:paraId="4D5C6029" w14:textId="77777777" w:rsidR="00743F38" w:rsidRDefault="00743F38" w:rsidP="00743F38">
      <w:pPr>
        <w:autoSpaceDE w:val="0"/>
        <w:autoSpaceDN w:val="0"/>
        <w:adjustRightInd w:val="0"/>
        <w:spacing w:after="0" w:line="240" w:lineRule="auto"/>
        <w:jc w:val="both"/>
        <w:rPr>
          <w:rFonts w:ascii="Times New Roman" w:hAnsi="Times New Roman"/>
        </w:rPr>
      </w:pPr>
      <w:r>
        <w:rPr>
          <w:rFonts w:ascii="Times New Roman" w:hAnsi="Times New Roman"/>
        </w:rPr>
        <w:t>A elaboração desses documentos foi orientada por uma revisão documental de outras convenções e dos antecedentes da CITAAC, registrada no relatório do DSP/OEA à Comissão de Segurança Hemisférica (CSH) do Conselho Permanente da OEA (documento CP/CSH-1978/20). Os Estados membros da OEA analisaram ambos os documentos e os endossaram para serem submetidos à consideração da Segunda Conferência da CITAAC [parágrafo 80 da AG/RES. 2970 (LI-O/21)].</w:t>
      </w:r>
    </w:p>
    <w:p w14:paraId="6BE1E3E7" w14:textId="77777777" w:rsidR="00743F38" w:rsidRDefault="00743F38" w:rsidP="00743F38">
      <w:pPr>
        <w:autoSpaceDE w:val="0"/>
        <w:autoSpaceDN w:val="0"/>
        <w:adjustRightInd w:val="0"/>
        <w:spacing w:after="0" w:line="240" w:lineRule="auto"/>
        <w:jc w:val="both"/>
        <w:rPr>
          <w:rFonts w:ascii="Times New Roman" w:hAnsi="Times New Roman"/>
        </w:rPr>
      </w:pPr>
    </w:p>
    <w:p w14:paraId="53F0FB0B" w14:textId="77777777" w:rsidR="00743F38" w:rsidRDefault="00743F38" w:rsidP="00743F38">
      <w:pPr>
        <w:autoSpaceDE w:val="0"/>
        <w:autoSpaceDN w:val="0"/>
        <w:adjustRightInd w:val="0"/>
        <w:spacing w:after="0" w:line="240" w:lineRule="auto"/>
        <w:jc w:val="both"/>
        <w:rPr>
          <w:rFonts w:ascii="Times New Roman" w:hAnsi="Times New Roman"/>
        </w:rPr>
      </w:pPr>
      <w:r>
        <w:rPr>
          <w:rFonts w:ascii="Times New Roman" w:hAnsi="Times New Roman"/>
        </w:rPr>
        <w:t xml:space="preserve">Como tal, espera-se que na Segunda Conferência os Estados Partes considerem a aprovação dos documentos para institucionalizar a Secretaria Técnica da CITAAC como um mecanismo eficaz para aumentar a operacionalidade da Convenção e assistir os Estados Partes na implementação de suas disposições. </w:t>
      </w:r>
    </w:p>
    <w:p w14:paraId="5EDBC503" w14:textId="77777777" w:rsidR="00743F38" w:rsidRDefault="00743F38" w:rsidP="00743F38">
      <w:pPr>
        <w:autoSpaceDE w:val="0"/>
        <w:autoSpaceDN w:val="0"/>
        <w:adjustRightInd w:val="0"/>
        <w:spacing w:after="0" w:line="240" w:lineRule="auto"/>
        <w:jc w:val="both"/>
        <w:rPr>
          <w:rFonts w:ascii="Times New Roman" w:hAnsi="Times New Roman"/>
          <w:b/>
        </w:rPr>
      </w:pPr>
    </w:p>
    <w:p w14:paraId="3021F323" w14:textId="77777777" w:rsidR="00743F38" w:rsidRDefault="00743F38" w:rsidP="00743F38">
      <w:pPr>
        <w:autoSpaceDE w:val="0"/>
        <w:autoSpaceDN w:val="0"/>
        <w:adjustRightInd w:val="0"/>
        <w:spacing w:after="0" w:line="240" w:lineRule="auto"/>
        <w:jc w:val="both"/>
        <w:rPr>
          <w:rFonts w:ascii="Times New Roman" w:hAnsi="Times New Roman"/>
          <w:b/>
        </w:rPr>
      </w:pPr>
    </w:p>
    <w:p w14:paraId="21794089" w14:textId="77777777" w:rsidR="00743F38" w:rsidRDefault="00743F38" w:rsidP="00743F38">
      <w:pPr>
        <w:autoSpaceDE w:val="0"/>
        <w:autoSpaceDN w:val="0"/>
        <w:adjustRightInd w:val="0"/>
        <w:spacing w:after="0" w:line="240" w:lineRule="auto"/>
        <w:jc w:val="both"/>
        <w:rPr>
          <w:rFonts w:ascii="Times New Roman" w:hAnsi="Times New Roman"/>
          <w:b/>
        </w:rPr>
      </w:pPr>
    </w:p>
    <w:p w14:paraId="43AD91CC" w14:textId="77777777" w:rsidR="00743F38" w:rsidRDefault="00743F38" w:rsidP="00743F38">
      <w:pPr>
        <w:autoSpaceDE w:val="0"/>
        <w:autoSpaceDN w:val="0"/>
        <w:adjustRightInd w:val="0"/>
        <w:spacing w:after="0" w:line="240" w:lineRule="auto"/>
        <w:jc w:val="both"/>
        <w:rPr>
          <w:rFonts w:ascii="Times New Roman" w:hAnsi="Times New Roman"/>
          <w:b/>
        </w:rPr>
      </w:pPr>
      <w:r>
        <w:rPr>
          <w:rFonts w:ascii="Times New Roman" w:hAnsi="Times New Roman"/>
          <w:b/>
        </w:rPr>
        <w:t>PAINÉIS</w:t>
      </w:r>
    </w:p>
    <w:p w14:paraId="74BF2AA1" w14:textId="77777777" w:rsidR="00743F38" w:rsidRDefault="00743F38" w:rsidP="00743F38">
      <w:pPr>
        <w:spacing w:after="0" w:line="240" w:lineRule="auto"/>
        <w:jc w:val="both"/>
        <w:rPr>
          <w:rFonts w:ascii="Times New Roman" w:hAnsi="Times New Roman"/>
          <w:b/>
        </w:rPr>
      </w:pPr>
    </w:p>
    <w:p w14:paraId="64D3556D" w14:textId="77777777" w:rsidR="00743F38" w:rsidRDefault="00743F38" w:rsidP="00743F38">
      <w:pPr>
        <w:spacing w:after="0" w:line="240" w:lineRule="auto"/>
        <w:jc w:val="both"/>
        <w:rPr>
          <w:rFonts w:ascii="Times New Roman" w:hAnsi="Times New Roman"/>
        </w:rPr>
      </w:pPr>
      <w:r>
        <w:rPr>
          <w:rFonts w:ascii="Times New Roman" w:hAnsi="Times New Roman"/>
        </w:rPr>
        <w:t>Haverá dois painéis temáticos e um painel técnico na Conferência. Os Estados Partes interessados em participar como oradores sobre um ou mais temas estão convidados a entrar em contato com o Departamento de Segurança Pública da OEA.</w:t>
      </w:r>
    </w:p>
    <w:p w14:paraId="1A812904" w14:textId="77777777" w:rsidR="00743F38" w:rsidRDefault="00743F38" w:rsidP="00743F38">
      <w:pPr>
        <w:spacing w:after="0" w:line="240" w:lineRule="auto"/>
        <w:jc w:val="both"/>
        <w:rPr>
          <w:rFonts w:ascii="Times New Roman" w:hAnsi="Times New Roman"/>
          <w:b/>
        </w:rPr>
      </w:pPr>
    </w:p>
    <w:p w14:paraId="680F3FF0" w14:textId="77777777" w:rsidR="00743F38" w:rsidRDefault="00743F38" w:rsidP="00743F38">
      <w:pPr>
        <w:spacing w:after="0" w:line="240" w:lineRule="auto"/>
        <w:jc w:val="both"/>
        <w:rPr>
          <w:rFonts w:ascii="Times New Roman" w:hAnsi="Times New Roman"/>
          <w:b/>
        </w:rPr>
      </w:pPr>
      <w:r>
        <w:rPr>
          <w:rFonts w:ascii="Times New Roman" w:hAnsi="Times New Roman"/>
          <w:b/>
        </w:rPr>
        <w:t>PRIMEIRO TEMA. A relevância do enfoque regional e as sinergias com outras convenções</w:t>
      </w:r>
    </w:p>
    <w:p w14:paraId="2C14D0F3" w14:textId="77777777" w:rsidR="00743F38" w:rsidRDefault="00743F38" w:rsidP="00743F38">
      <w:pPr>
        <w:spacing w:line="240" w:lineRule="auto"/>
        <w:contextualSpacing/>
        <w:rPr>
          <w:rFonts w:ascii="Times New Roman" w:eastAsia="SimSun" w:hAnsi="Times New Roman"/>
          <w:lang w:eastAsia="es-MX"/>
        </w:rPr>
      </w:pPr>
    </w:p>
    <w:p w14:paraId="35A0D04C" w14:textId="77777777" w:rsidR="00743F38" w:rsidRDefault="00743F38" w:rsidP="00743F38">
      <w:pPr>
        <w:spacing w:line="240" w:lineRule="auto"/>
        <w:contextualSpacing/>
        <w:jc w:val="both"/>
        <w:rPr>
          <w:rFonts w:ascii="Times New Roman" w:eastAsia="SimSun" w:hAnsi="Times New Roman"/>
        </w:rPr>
      </w:pPr>
      <w:r>
        <w:rPr>
          <w:rFonts w:ascii="Times New Roman" w:hAnsi="Times New Roman"/>
        </w:rPr>
        <w:lastRenderedPageBreak/>
        <w:t xml:space="preserve">O primeiro painel da Conferência busca promover um diálogo aberto sobre a relevância da CITAAC, como ferramenta regional, e sua complementaridade com as outras convenções e mecanismos existentes na matéria. Serão consideradas as lições aprendidas e os processos de colaboração que poderiam ser estabelecidos para aumentar o cumprimento de todos esses instrumentos. </w:t>
      </w:r>
    </w:p>
    <w:p w14:paraId="7563BB2A" w14:textId="77777777" w:rsidR="00743F38" w:rsidRDefault="00743F38" w:rsidP="00743F38">
      <w:pPr>
        <w:spacing w:line="240" w:lineRule="auto"/>
        <w:contextualSpacing/>
        <w:jc w:val="both"/>
        <w:rPr>
          <w:rFonts w:ascii="Times New Roman" w:eastAsia="SimSun" w:hAnsi="Times New Roman"/>
          <w:lang w:eastAsia="es-MX"/>
        </w:rPr>
      </w:pPr>
    </w:p>
    <w:p w14:paraId="0E102602" w14:textId="77777777" w:rsidR="00743F38" w:rsidRDefault="00743F38" w:rsidP="00743F38">
      <w:pPr>
        <w:spacing w:line="240" w:lineRule="auto"/>
        <w:contextualSpacing/>
        <w:jc w:val="both"/>
        <w:rPr>
          <w:rFonts w:ascii="Times New Roman" w:eastAsia="SimSun" w:hAnsi="Times New Roman"/>
        </w:rPr>
      </w:pPr>
      <w:r>
        <w:rPr>
          <w:rFonts w:ascii="Times New Roman" w:hAnsi="Times New Roman"/>
        </w:rPr>
        <w:t>Particularmente, no nível das Nações Unidas, dois instrumentos principais promovem a transparência nas transferências de armas convencionais:</w:t>
      </w:r>
    </w:p>
    <w:p w14:paraId="1C8ED5FF" w14:textId="77777777" w:rsidR="00743F38" w:rsidRDefault="00743F38" w:rsidP="00743F38">
      <w:pPr>
        <w:pStyle w:val="ListParagraph"/>
        <w:numPr>
          <w:ilvl w:val="0"/>
          <w:numId w:val="44"/>
        </w:numPr>
        <w:spacing w:after="160" w:line="240" w:lineRule="auto"/>
        <w:jc w:val="both"/>
        <w:rPr>
          <w:rFonts w:ascii="Times New Roman" w:hAnsi="Times New Roman"/>
        </w:rPr>
      </w:pPr>
      <w:r>
        <w:rPr>
          <w:rFonts w:ascii="Times New Roman" w:hAnsi="Times New Roman"/>
        </w:rPr>
        <w:t>Registro de Armas Convencionais das Nações Unidas (UNROCA): o UNROCA foi criado em 1991 pela Assembleia Geral das Nações Unidas. Trata-se de um mecanismo para apresentação anual de relatórios por meio do qual os governos compartilham informações sobre transferências de armas em que tenham estado envolvidos no ano anterior. São dois os tipos de relatórios: um se refere a transferências em sete categorias pré-definidas de armas pesadas e uma de armas pequenas (“7+1”), e o outro contém informações adicionais sobre antecedentes, como os estoques atuais de armas e as armas adquiridas por meio da produção nacional;</w:t>
      </w:r>
    </w:p>
    <w:p w14:paraId="2EB4651D" w14:textId="77777777" w:rsidR="00743F38" w:rsidRDefault="00743F38" w:rsidP="00743F38">
      <w:pPr>
        <w:pStyle w:val="ListParagraph"/>
        <w:spacing w:after="160" w:line="240" w:lineRule="auto"/>
        <w:jc w:val="both"/>
        <w:rPr>
          <w:rFonts w:ascii="Times New Roman" w:hAnsi="Times New Roman"/>
        </w:rPr>
      </w:pPr>
    </w:p>
    <w:p w14:paraId="5997DC54" w14:textId="77777777" w:rsidR="00743F38" w:rsidRDefault="00743F38" w:rsidP="00743F38">
      <w:pPr>
        <w:pStyle w:val="ListParagraph"/>
        <w:numPr>
          <w:ilvl w:val="0"/>
          <w:numId w:val="44"/>
        </w:numPr>
        <w:spacing w:after="160" w:line="240" w:lineRule="auto"/>
        <w:jc w:val="both"/>
        <w:rPr>
          <w:rFonts w:ascii="Times New Roman" w:hAnsi="Times New Roman"/>
        </w:rPr>
      </w:pPr>
      <w:r>
        <w:rPr>
          <w:rFonts w:ascii="Times New Roman" w:hAnsi="Times New Roman"/>
        </w:rPr>
        <w:t xml:space="preserve">Tratado sobre o Comércio de Armas (TCA): o TCA é um tratado internacional que entrou em vigor em 2014 a fim de regular o comércio internacional de armas convencionais e prevenir e erradicar o comércio ilícito e o desvio de armas convencionais, mediante o estabelecimento de normas internacionais que regem as transferências de armas, incluindo a apresentação de relatórios anuais. Dos 17 Estados Partes na CITAAC, 14 ratificaram o TCA. </w:t>
      </w:r>
    </w:p>
    <w:p w14:paraId="31EC77B4" w14:textId="77777777" w:rsidR="00743F38" w:rsidRDefault="00743F38" w:rsidP="00743F38">
      <w:pPr>
        <w:spacing w:line="240" w:lineRule="auto"/>
        <w:contextualSpacing/>
        <w:jc w:val="both"/>
        <w:rPr>
          <w:rFonts w:ascii="Times New Roman" w:eastAsia="SimSun" w:hAnsi="Times New Roman"/>
        </w:rPr>
      </w:pPr>
      <w:r>
        <w:rPr>
          <w:rFonts w:ascii="Times New Roman" w:hAnsi="Times New Roman"/>
        </w:rPr>
        <w:t xml:space="preserve">Representantes desses órgãos serão convidados a participar do painel para apresentar a situação dos instrumentos e dos relatórios apresentados, a fim de encontrar estratégias comuns para colaborar e apoiar os países. No painel também se examinariam outras parcerias entre convenções regionais em outras partes do mundo e o sistema universal como modelos que a CITAAC poderia seguir. </w:t>
      </w:r>
    </w:p>
    <w:p w14:paraId="57B91186" w14:textId="77777777" w:rsidR="00743F38" w:rsidRDefault="00743F38" w:rsidP="00743F38">
      <w:pPr>
        <w:spacing w:line="240" w:lineRule="auto"/>
        <w:contextualSpacing/>
        <w:jc w:val="both"/>
        <w:rPr>
          <w:rFonts w:ascii="Times New Roman" w:eastAsia="SimSun" w:hAnsi="Times New Roman"/>
          <w:lang w:eastAsia="es-MX"/>
        </w:rPr>
      </w:pPr>
    </w:p>
    <w:p w14:paraId="71E2396A" w14:textId="77777777" w:rsidR="00743F38" w:rsidRDefault="00743F38" w:rsidP="00743F38">
      <w:pPr>
        <w:spacing w:line="240" w:lineRule="auto"/>
        <w:contextualSpacing/>
        <w:jc w:val="both"/>
        <w:rPr>
          <w:rFonts w:ascii="Times New Roman" w:eastAsia="SimSun" w:hAnsi="Times New Roman"/>
        </w:rPr>
      </w:pPr>
      <w:r>
        <w:rPr>
          <w:rFonts w:ascii="Times New Roman" w:hAnsi="Times New Roman"/>
        </w:rPr>
        <w:t xml:space="preserve">Cada painelista terá doze (12) minutos para sua intervenção, seguidos de vinte (20) minutos de diálogo com os representantes dos Estados Partes e outros participantes presentes na reunião. </w:t>
      </w:r>
    </w:p>
    <w:p w14:paraId="0EC17B64" w14:textId="77777777" w:rsidR="00743F38" w:rsidRDefault="00743F38" w:rsidP="00743F38">
      <w:pPr>
        <w:spacing w:line="240" w:lineRule="auto"/>
        <w:contextualSpacing/>
        <w:jc w:val="both"/>
        <w:rPr>
          <w:rFonts w:ascii="Times New Roman" w:eastAsia="SimSun" w:hAnsi="Times New Roman"/>
          <w:b/>
          <w:lang w:eastAsia="es-MX"/>
        </w:rPr>
      </w:pPr>
    </w:p>
    <w:p w14:paraId="2FA763C0" w14:textId="77777777" w:rsidR="00743F38" w:rsidRDefault="00743F38" w:rsidP="00743F38">
      <w:pPr>
        <w:spacing w:after="0" w:line="240" w:lineRule="auto"/>
        <w:jc w:val="both"/>
        <w:rPr>
          <w:rFonts w:ascii="Times New Roman" w:hAnsi="Times New Roman"/>
          <w:b/>
          <w:bCs/>
        </w:rPr>
      </w:pPr>
      <w:r>
        <w:rPr>
          <w:rFonts w:ascii="Times New Roman" w:hAnsi="Times New Roman"/>
          <w:b/>
        </w:rPr>
        <w:t>SEGUNDO TEMA. Medidas adicionais de transparência e a relevância da CITAAC no Sistema Interamericano</w:t>
      </w:r>
    </w:p>
    <w:p w14:paraId="43AA8DF9" w14:textId="77777777" w:rsidR="00743F38" w:rsidRDefault="00743F38" w:rsidP="00743F38">
      <w:pPr>
        <w:spacing w:after="0" w:line="240" w:lineRule="auto"/>
        <w:jc w:val="both"/>
        <w:rPr>
          <w:rFonts w:ascii="Times New Roman" w:hAnsi="Times New Roman"/>
          <w:b/>
          <w:bCs/>
        </w:rPr>
      </w:pPr>
    </w:p>
    <w:p w14:paraId="01155F67" w14:textId="77777777" w:rsidR="00743F38" w:rsidRDefault="00743F38" w:rsidP="00743F38">
      <w:pPr>
        <w:spacing w:line="240" w:lineRule="auto"/>
        <w:contextualSpacing/>
        <w:jc w:val="both"/>
        <w:rPr>
          <w:rFonts w:ascii="Times New Roman" w:eastAsia="SimSun" w:hAnsi="Times New Roman"/>
        </w:rPr>
      </w:pPr>
      <w:r>
        <w:rPr>
          <w:rFonts w:ascii="Times New Roman" w:hAnsi="Times New Roman"/>
        </w:rPr>
        <w:t>O segundo painel temático considerará a inter-relação entre a CITAAC e as medidas de fortalecimento da confiança e da segurança. No Sistema Interamericano, a lista consolidada de Medidas de Fortalecimento da Confiança e da Segurança, aprovada pela Assembleia Geral, contém duas medidas altamente correlacionadas com a Convenção:</w:t>
      </w:r>
    </w:p>
    <w:p w14:paraId="2BF9B302" w14:textId="77777777" w:rsidR="00743F38" w:rsidRDefault="00743F38" w:rsidP="00743F38">
      <w:pPr>
        <w:pStyle w:val="ListParagraph"/>
        <w:numPr>
          <w:ilvl w:val="0"/>
          <w:numId w:val="44"/>
        </w:numPr>
        <w:spacing w:after="160" w:line="240" w:lineRule="auto"/>
        <w:jc w:val="both"/>
        <w:rPr>
          <w:rFonts w:ascii="Times New Roman" w:hAnsi="Times New Roman"/>
        </w:rPr>
      </w:pPr>
      <w:r>
        <w:rPr>
          <w:rFonts w:ascii="Times New Roman" w:hAnsi="Times New Roman"/>
        </w:rPr>
        <w:t>Medida 7: Participar do Registro das Nações Unidas de Armas Convencionais, incluindo o fornecimento e o intercâmbio de informações sobre a produção nacional de armas convencionais</w:t>
      </w:r>
    </w:p>
    <w:p w14:paraId="25551D3C" w14:textId="77777777" w:rsidR="00743F38" w:rsidRDefault="00743F38" w:rsidP="00743F38">
      <w:pPr>
        <w:pStyle w:val="ListParagraph"/>
        <w:numPr>
          <w:ilvl w:val="0"/>
          <w:numId w:val="44"/>
        </w:numPr>
        <w:spacing w:after="160" w:line="240" w:lineRule="auto"/>
        <w:jc w:val="both"/>
        <w:rPr>
          <w:rFonts w:ascii="Times New Roman" w:hAnsi="Times New Roman"/>
        </w:rPr>
      </w:pPr>
      <w:r>
        <w:rPr>
          <w:rFonts w:ascii="Times New Roman" w:hAnsi="Times New Roman"/>
        </w:rPr>
        <w:t xml:space="preserve">Medida 22: Assinar, ratificar e implementar a Convenção Interamericana sobre Transparência nas Aquisições de Armas Convencionais (CITAAC). </w:t>
      </w:r>
    </w:p>
    <w:p w14:paraId="4D4F4D0B" w14:textId="77777777" w:rsidR="00743F38" w:rsidRDefault="00743F38" w:rsidP="00743F38">
      <w:pPr>
        <w:spacing w:after="0" w:line="240" w:lineRule="auto"/>
        <w:jc w:val="both"/>
        <w:rPr>
          <w:rFonts w:ascii="Times New Roman" w:eastAsia="SimSun" w:hAnsi="Times New Roman"/>
        </w:rPr>
      </w:pPr>
      <w:r>
        <w:rPr>
          <w:rFonts w:ascii="Times New Roman" w:hAnsi="Times New Roman"/>
        </w:rPr>
        <w:t xml:space="preserve">Nesse sentido, os painelistas discutirão os vínculos da CITAAC e a transparência, a fim de oferecer ideias para o diálogo dos Estados Partes sobre medidas adicionais de transparência, considerando o artigo VIII da Convenção. </w:t>
      </w:r>
    </w:p>
    <w:p w14:paraId="764B70B4" w14:textId="77777777" w:rsidR="00743F38" w:rsidRDefault="00743F38" w:rsidP="00743F38">
      <w:pPr>
        <w:spacing w:after="0" w:line="240" w:lineRule="auto"/>
        <w:jc w:val="both"/>
        <w:rPr>
          <w:rFonts w:ascii="Times New Roman" w:eastAsia="SimSun" w:hAnsi="Times New Roman"/>
          <w:lang w:eastAsia="es-MX"/>
        </w:rPr>
      </w:pPr>
    </w:p>
    <w:p w14:paraId="472F997C" w14:textId="77777777" w:rsidR="00743F38" w:rsidRDefault="00743F38" w:rsidP="00743F38">
      <w:pPr>
        <w:spacing w:after="0" w:line="240" w:lineRule="auto"/>
        <w:jc w:val="both"/>
        <w:rPr>
          <w:rFonts w:ascii="Times New Roman" w:eastAsia="SimSun" w:hAnsi="Times New Roman"/>
        </w:rPr>
      </w:pPr>
      <w:r>
        <w:rPr>
          <w:rFonts w:ascii="Times New Roman" w:hAnsi="Times New Roman"/>
        </w:rPr>
        <w:lastRenderedPageBreak/>
        <w:t>Nesse painel também se examinará a complementaridade da CITAAC e outras convenções do Sistema Interamericano, particularmente a Convenção Interamericana contra a Fabricação e o Tráfico Ilícitos de Armas de Fogo, Munições, Explosivos e Outros Materiais Correlatos (CIFTA).</w:t>
      </w:r>
    </w:p>
    <w:p w14:paraId="081FF9B3" w14:textId="77777777" w:rsidR="00743F38" w:rsidRDefault="00743F38" w:rsidP="00743F38">
      <w:pPr>
        <w:spacing w:after="0" w:line="240" w:lineRule="auto"/>
        <w:jc w:val="both"/>
        <w:rPr>
          <w:rFonts w:ascii="Times New Roman" w:eastAsia="SimSun" w:hAnsi="Times New Roman"/>
          <w:lang w:eastAsia="es-MX"/>
        </w:rPr>
      </w:pPr>
    </w:p>
    <w:p w14:paraId="4DBAFEB9" w14:textId="77777777" w:rsidR="00743F38" w:rsidRDefault="00743F38" w:rsidP="00743F38">
      <w:pPr>
        <w:spacing w:after="0" w:line="240" w:lineRule="auto"/>
        <w:jc w:val="both"/>
        <w:rPr>
          <w:rFonts w:ascii="Times New Roman" w:hAnsi="Times New Roman"/>
        </w:rPr>
      </w:pPr>
      <w:r>
        <w:rPr>
          <w:rFonts w:ascii="Times New Roman" w:hAnsi="Times New Roman"/>
        </w:rPr>
        <w:t>Cada painelista terá dez (10) minutos para sua intervenção, seguidos de quinze (15) minutos de diálogo com os representantes dos Estados Partes presentes na reunião.</w:t>
      </w:r>
    </w:p>
    <w:p w14:paraId="19CAEFFA" w14:textId="77777777" w:rsidR="00743F38" w:rsidRDefault="00743F38" w:rsidP="00743F38">
      <w:pPr>
        <w:spacing w:after="0" w:line="240" w:lineRule="auto"/>
        <w:jc w:val="both"/>
        <w:rPr>
          <w:rFonts w:ascii="Times New Roman" w:hAnsi="Times New Roman"/>
          <w:bCs/>
        </w:rPr>
      </w:pPr>
    </w:p>
    <w:p w14:paraId="19650B76" w14:textId="77777777" w:rsidR="00743F38" w:rsidRDefault="00743F38" w:rsidP="00743F38">
      <w:pPr>
        <w:spacing w:after="0" w:line="240" w:lineRule="auto"/>
        <w:jc w:val="both"/>
        <w:rPr>
          <w:rFonts w:ascii="Times New Roman" w:hAnsi="Times New Roman"/>
          <w:b/>
        </w:rPr>
      </w:pPr>
      <w:r>
        <w:rPr>
          <w:rFonts w:ascii="Times New Roman" w:hAnsi="Times New Roman"/>
          <w:b/>
        </w:rPr>
        <w:t>TERCEIRO TEMA. Desafios e oportunidades com a apresentação de relatórios</w:t>
      </w:r>
    </w:p>
    <w:p w14:paraId="547565D6" w14:textId="77777777" w:rsidR="00743F38" w:rsidRDefault="00743F38" w:rsidP="00743F38">
      <w:pPr>
        <w:spacing w:after="0" w:line="240" w:lineRule="auto"/>
        <w:jc w:val="both"/>
        <w:rPr>
          <w:rFonts w:ascii="Times New Roman" w:hAnsi="Times New Roman"/>
          <w:highlight w:val="yellow"/>
        </w:rPr>
      </w:pPr>
    </w:p>
    <w:p w14:paraId="36D0B6E2" w14:textId="77777777" w:rsidR="00743F38" w:rsidRDefault="00743F38" w:rsidP="00743F38">
      <w:pPr>
        <w:autoSpaceDE w:val="0"/>
        <w:autoSpaceDN w:val="0"/>
        <w:adjustRightInd w:val="0"/>
        <w:spacing w:after="0" w:line="240" w:lineRule="auto"/>
        <w:jc w:val="both"/>
        <w:rPr>
          <w:rFonts w:ascii="Times New Roman" w:eastAsia="SimSun" w:hAnsi="Times New Roman"/>
        </w:rPr>
      </w:pPr>
      <w:r>
        <w:rPr>
          <w:rFonts w:ascii="Times New Roman" w:hAnsi="Times New Roman"/>
        </w:rPr>
        <w:t>O terceiro painel é de natureza técnica e operacional. Sua finalidade é promover um diálogo aberto sobre os desafios e oportunidades relacionadas com os relatórios anuais da CITAAC. A apresentação de relatórios à CITAAC diminuiu com o tempo. Essa questão persistente já foi tratada anteriormente nas outras reuniões dos Estados Partes, nas quais se formularam as seguintes sugestões:</w:t>
      </w:r>
    </w:p>
    <w:p w14:paraId="0004C469" w14:textId="77777777" w:rsidR="00743F38" w:rsidRDefault="00743F38" w:rsidP="00743F38">
      <w:pPr>
        <w:autoSpaceDE w:val="0"/>
        <w:autoSpaceDN w:val="0"/>
        <w:adjustRightInd w:val="0"/>
        <w:spacing w:after="0" w:line="240" w:lineRule="auto"/>
        <w:jc w:val="both"/>
        <w:rPr>
          <w:rFonts w:ascii="Times New Roman" w:eastAsia="SimSun" w:hAnsi="Times New Roman"/>
          <w:lang w:eastAsia="es-MX"/>
        </w:rPr>
      </w:pPr>
    </w:p>
    <w:p w14:paraId="51EFAE7C" w14:textId="77777777" w:rsidR="00743F38" w:rsidRDefault="00743F38" w:rsidP="00743F38">
      <w:pPr>
        <w:pStyle w:val="ListParagraph"/>
        <w:numPr>
          <w:ilvl w:val="0"/>
          <w:numId w:val="44"/>
        </w:numPr>
        <w:autoSpaceDE w:val="0"/>
        <w:autoSpaceDN w:val="0"/>
        <w:adjustRightInd w:val="0"/>
        <w:spacing w:after="0" w:line="240" w:lineRule="auto"/>
        <w:jc w:val="both"/>
        <w:rPr>
          <w:rFonts w:ascii="Times New Roman" w:hAnsi="Times New Roman"/>
        </w:rPr>
      </w:pPr>
      <w:r>
        <w:rPr>
          <w:rFonts w:ascii="Times New Roman" w:hAnsi="Times New Roman"/>
        </w:rPr>
        <w:t>designar pontos de contato nacionais encarregados da apresentação dos relatórios;</w:t>
      </w:r>
    </w:p>
    <w:p w14:paraId="7305A9AE" w14:textId="77777777" w:rsidR="00743F38" w:rsidRDefault="00743F38" w:rsidP="00743F38">
      <w:pPr>
        <w:pStyle w:val="ListParagraph"/>
        <w:numPr>
          <w:ilvl w:val="0"/>
          <w:numId w:val="44"/>
        </w:numPr>
        <w:autoSpaceDE w:val="0"/>
        <w:autoSpaceDN w:val="0"/>
        <w:adjustRightInd w:val="0"/>
        <w:spacing w:after="0" w:line="240" w:lineRule="auto"/>
        <w:jc w:val="both"/>
        <w:rPr>
          <w:rFonts w:ascii="Times New Roman" w:hAnsi="Times New Roman"/>
        </w:rPr>
      </w:pPr>
      <w:r>
        <w:rPr>
          <w:rFonts w:ascii="Times New Roman" w:hAnsi="Times New Roman"/>
        </w:rPr>
        <w:t>estabelecer uma base eletrônica de dados para facilitar a apresentação dos relatórios e o acesso aos dados consolidados sobre as transferências;</w:t>
      </w:r>
    </w:p>
    <w:p w14:paraId="3B4B6FB9" w14:textId="77777777" w:rsidR="00743F38" w:rsidRDefault="00743F38" w:rsidP="00743F38">
      <w:pPr>
        <w:pStyle w:val="ListParagraph"/>
        <w:numPr>
          <w:ilvl w:val="0"/>
          <w:numId w:val="44"/>
        </w:numPr>
        <w:autoSpaceDE w:val="0"/>
        <w:autoSpaceDN w:val="0"/>
        <w:adjustRightInd w:val="0"/>
        <w:spacing w:after="0" w:line="240" w:lineRule="auto"/>
        <w:jc w:val="both"/>
        <w:rPr>
          <w:rFonts w:ascii="Times New Roman" w:hAnsi="Times New Roman"/>
        </w:rPr>
      </w:pPr>
      <w:r>
        <w:rPr>
          <w:rFonts w:ascii="Times New Roman" w:hAnsi="Times New Roman"/>
        </w:rPr>
        <w:t>oferecer oficinas de sensibilização aos países;</w:t>
      </w:r>
    </w:p>
    <w:p w14:paraId="5809DB41" w14:textId="77777777" w:rsidR="00743F38" w:rsidRDefault="00743F38" w:rsidP="00743F38">
      <w:pPr>
        <w:pStyle w:val="ListParagraph"/>
        <w:numPr>
          <w:ilvl w:val="0"/>
          <w:numId w:val="44"/>
        </w:numPr>
        <w:autoSpaceDE w:val="0"/>
        <w:autoSpaceDN w:val="0"/>
        <w:adjustRightInd w:val="0"/>
        <w:spacing w:after="0" w:line="240" w:lineRule="auto"/>
        <w:jc w:val="both"/>
        <w:rPr>
          <w:rFonts w:ascii="Times New Roman" w:hAnsi="Times New Roman"/>
        </w:rPr>
      </w:pPr>
      <w:r>
        <w:rPr>
          <w:rFonts w:ascii="Times New Roman" w:hAnsi="Times New Roman"/>
        </w:rPr>
        <w:t>integrar os relatórios da CITAAC aos do sistema da ONU (por exemplo, enviar à OEA uma cópia dos relatórios do UNROCA);</w:t>
      </w:r>
    </w:p>
    <w:p w14:paraId="0D2D3EA8" w14:textId="77777777" w:rsidR="00743F38" w:rsidRDefault="00743F38" w:rsidP="00743F38">
      <w:pPr>
        <w:pStyle w:val="ListParagraph"/>
        <w:numPr>
          <w:ilvl w:val="0"/>
          <w:numId w:val="44"/>
        </w:numPr>
        <w:autoSpaceDE w:val="0"/>
        <w:autoSpaceDN w:val="0"/>
        <w:adjustRightInd w:val="0"/>
        <w:spacing w:after="0" w:line="240" w:lineRule="auto"/>
        <w:jc w:val="both"/>
        <w:rPr>
          <w:rFonts w:ascii="Times New Roman" w:hAnsi="Times New Roman"/>
        </w:rPr>
      </w:pPr>
      <w:r>
        <w:rPr>
          <w:rFonts w:ascii="Times New Roman" w:hAnsi="Times New Roman"/>
        </w:rPr>
        <w:t xml:space="preserve">eliminar a apresentação de relatórios. </w:t>
      </w:r>
    </w:p>
    <w:p w14:paraId="1BC9780B" w14:textId="77777777" w:rsidR="00743F38" w:rsidRDefault="00743F38" w:rsidP="00743F38">
      <w:pPr>
        <w:autoSpaceDE w:val="0"/>
        <w:autoSpaceDN w:val="0"/>
        <w:adjustRightInd w:val="0"/>
        <w:spacing w:after="0" w:line="240" w:lineRule="auto"/>
        <w:jc w:val="both"/>
        <w:rPr>
          <w:rFonts w:ascii="Times New Roman" w:hAnsi="Times New Roman"/>
        </w:rPr>
      </w:pPr>
    </w:p>
    <w:p w14:paraId="1B0EFCA4" w14:textId="77777777" w:rsidR="00743F38" w:rsidRDefault="00743F38" w:rsidP="00743F38">
      <w:pPr>
        <w:autoSpaceDE w:val="0"/>
        <w:autoSpaceDN w:val="0"/>
        <w:adjustRightInd w:val="0"/>
        <w:spacing w:after="0" w:line="240" w:lineRule="auto"/>
        <w:jc w:val="both"/>
        <w:rPr>
          <w:rFonts w:ascii="Times New Roman" w:eastAsia="SimSun" w:hAnsi="Times New Roman"/>
        </w:rPr>
      </w:pPr>
      <w:r>
        <w:rPr>
          <w:rFonts w:ascii="Times New Roman" w:hAnsi="Times New Roman"/>
        </w:rPr>
        <w:t xml:space="preserve">A fim de oferecer ideias para o diálogo dos Estados Partes, a Secretaria-Geral da OEA fará uma apresentação inicial sobre a história dos relatórios, com uma análise comparativa com os outros relatórios existentes sobre a matéria. Também haverá peritos dos países que se referirão às boas práticas empregadas para cumprir com o requisito relativo aos relatórios. </w:t>
      </w:r>
    </w:p>
    <w:p w14:paraId="28FECD5C" w14:textId="77777777" w:rsidR="00743F38" w:rsidRDefault="00743F38" w:rsidP="00743F38">
      <w:pPr>
        <w:autoSpaceDE w:val="0"/>
        <w:autoSpaceDN w:val="0"/>
        <w:adjustRightInd w:val="0"/>
        <w:spacing w:after="0" w:line="240" w:lineRule="auto"/>
        <w:jc w:val="both"/>
        <w:rPr>
          <w:rFonts w:ascii="Times New Roman" w:eastAsia="SimSun" w:hAnsi="Times New Roman"/>
          <w:lang w:eastAsia="es-MX"/>
        </w:rPr>
      </w:pPr>
    </w:p>
    <w:p w14:paraId="52191B96" w14:textId="77777777" w:rsidR="00743F38" w:rsidRDefault="00743F38" w:rsidP="00743F38">
      <w:pPr>
        <w:spacing w:after="0" w:line="240" w:lineRule="auto"/>
        <w:jc w:val="both"/>
        <w:rPr>
          <w:rFonts w:ascii="Times New Roman" w:eastAsia="SimSun" w:hAnsi="Times New Roman"/>
        </w:rPr>
      </w:pPr>
      <w:r>
        <w:rPr>
          <w:rFonts w:ascii="Times New Roman" w:hAnsi="Times New Roman"/>
        </w:rPr>
        <w:t xml:space="preserve">Cada painelista terá dez (10) minutos para sua intervenção, seguidos de vinte (20) minutos de diálogo com os representantes dos Estados Partes presentes na reunião, com o propósito de identificar soluções comuns e estratégias práticas que a Secretaria Técnica possa utilizar para incentivar a apresentação dos relatórios. </w:t>
      </w:r>
    </w:p>
    <w:p w14:paraId="2844292D" w14:textId="77777777" w:rsidR="00743F38" w:rsidRDefault="00743F38" w:rsidP="00743F38">
      <w:pPr>
        <w:spacing w:after="0" w:line="240" w:lineRule="auto"/>
        <w:jc w:val="both"/>
        <w:rPr>
          <w:rFonts w:ascii="Times New Roman" w:eastAsia="SimSun" w:hAnsi="Times New Roman"/>
          <w:lang w:eastAsia="es-MX"/>
        </w:rPr>
      </w:pPr>
    </w:p>
    <w:p w14:paraId="59EC7B76" w14:textId="667E2505" w:rsidR="00743F38" w:rsidRDefault="00743F38" w:rsidP="00743F38">
      <w:pPr>
        <w:spacing w:line="240" w:lineRule="auto"/>
        <w:rPr>
          <w:rFonts w:ascii="Times New Roman" w:eastAsia="SimSun" w:hAnsi="Times New Roman"/>
        </w:rPr>
      </w:pPr>
      <w:r>
        <w:rPr>
          <w:noProof/>
        </w:rPr>
        <mc:AlternateContent>
          <mc:Choice Requires="wps">
            <w:drawing>
              <wp:anchor distT="0" distB="0" distL="114300" distR="114300" simplePos="0" relativeHeight="251659264" behindDoc="0" locked="1" layoutInCell="1" allowOverlap="1" wp14:anchorId="667F4EEE" wp14:editId="1D4E78D4">
                <wp:simplePos x="0" y="0"/>
                <wp:positionH relativeFrom="column">
                  <wp:posOffset>-91440</wp:posOffset>
                </wp:positionH>
                <wp:positionV relativeFrom="page">
                  <wp:posOffset>9144000</wp:posOffset>
                </wp:positionV>
                <wp:extent cx="338328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3D03E70A" w14:textId="6B6EC1D2" w:rsidR="00743F38" w:rsidRDefault="00743F38" w:rsidP="00743F38">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DPASP00133P05</w:t>
                            </w:r>
                            <w:r>
                              <w:rPr>
                                <w:rFonts w:ascii="Times New Roman" w:hAnsi="Times New Roman"/>
                                <w:sz w:val="18"/>
                              </w:rPr>
                              <w:fldChar w:fldCharType="end"/>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67F4EEE" id="_x0000_t202" coordsize="21600,21600" o:spt="202" path="m,l,21600r21600,l21600,xe">
                <v:stroke joinstyle="miter"/>
                <v:path gradientshapeok="t" o:connecttype="rect"/>
              </v:shapetype>
              <v:shape id="Text Box 1" o:spid="_x0000_s1026" type="#_x0000_t202" style="position:absolute;margin-left:-7.2pt;margin-top:10in;width:266.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" filled="f" stroked="f">
                <v:stroke joinstyle="round"/>
                <v:textbox>
                  <w:txbxContent>
                    <w:p w14:paraId="3D03E70A" w14:textId="6B6EC1D2" w:rsidR="00743F38" w:rsidRDefault="00743F38" w:rsidP="00743F38">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DPASP00133P05</w:t>
                      </w:r>
                      <w:r>
                        <w:rPr>
                          <w:rFonts w:ascii="Times New Roman" w:hAnsi="Times New Roman"/>
                          <w:sz w:val="18"/>
                        </w:rPr>
                        <w:fldChar w:fldCharType="end"/>
                      </w:r>
                    </w:p>
                  </w:txbxContent>
                </v:textbox>
                <w10:wrap anchory="page"/>
                <w10:anchorlock/>
              </v:shape>
            </w:pict>
          </mc:Fallback>
        </mc:AlternateContent>
      </w:r>
    </w:p>
    <w:p w14:paraId="5C640326" w14:textId="348B7E76" w:rsidR="008174E6" w:rsidRPr="00743F38" w:rsidRDefault="008174E6" w:rsidP="00743F38"/>
    <w:sectPr w:rsidR="008174E6" w:rsidRPr="00743F38" w:rsidSect="00C51618">
      <w:headerReference w:type="default" r:id="rId11"/>
      <w:pgSz w:w="12240" w:h="15840" w:code="1"/>
      <w:pgMar w:top="2160" w:right="1570" w:bottom="1296"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43372" w14:textId="77777777" w:rsidR="00216CF3" w:rsidRDefault="00216CF3" w:rsidP="006070A3">
      <w:pPr>
        <w:spacing w:after="0" w:line="240" w:lineRule="auto"/>
      </w:pPr>
      <w:r>
        <w:separator/>
      </w:r>
    </w:p>
  </w:endnote>
  <w:endnote w:type="continuationSeparator" w:id="0">
    <w:p w14:paraId="251AC96D" w14:textId="77777777" w:rsidR="00216CF3" w:rsidRDefault="00216CF3" w:rsidP="00607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Sans">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07638" w14:textId="77777777" w:rsidR="00216CF3" w:rsidRDefault="00216CF3" w:rsidP="006070A3">
      <w:pPr>
        <w:spacing w:after="0" w:line="240" w:lineRule="auto"/>
      </w:pPr>
      <w:r>
        <w:separator/>
      </w:r>
    </w:p>
  </w:footnote>
  <w:footnote w:type="continuationSeparator" w:id="0">
    <w:p w14:paraId="254B05D5" w14:textId="77777777" w:rsidR="00216CF3" w:rsidRDefault="00216CF3" w:rsidP="00607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FCBF6" w14:textId="77777777" w:rsidR="00574BC8" w:rsidRPr="00AC4321" w:rsidRDefault="00574BC8">
    <w:pPr>
      <w:pStyle w:val="Header"/>
      <w:jc w:val="center"/>
      <w:rPr>
        <w:rFonts w:ascii="Times New Roman" w:hAnsi="Times New Roman"/>
      </w:rPr>
    </w:pPr>
    <w:r>
      <w:rPr>
        <w:rFonts w:ascii="Times New Roman" w:hAnsi="Times New Roman"/>
      </w:rPr>
      <w:t xml:space="preserve">- </w:t>
    </w:r>
    <w:r w:rsidRPr="00AC4321">
      <w:rPr>
        <w:rFonts w:ascii="Times New Roman" w:hAnsi="Times New Roman"/>
      </w:rPr>
      <w:fldChar w:fldCharType="begin"/>
    </w:r>
    <w:r w:rsidRPr="00AC4321">
      <w:rPr>
        <w:rFonts w:ascii="Times New Roman" w:hAnsi="Times New Roman"/>
      </w:rPr>
      <w:instrText xml:space="preserve"> PAGE   \* MERGEFORMAT </w:instrText>
    </w:r>
    <w:r w:rsidRPr="00AC4321">
      <w:rPr>
        <w:rFonts w:ascii="Times New Roman" w:hAnsi="Times New Roman"/>
      </w:rPr>
      <w:fldChar w:fldCharType="separate"/>
    </w:r>
    <w:r w:rsidR="0044271B">
      <w:rPr>
        <w:rFonts w:ascii="Times New Roman" w:hAnsi="Times New Roman"/>
      </w:rPr>
      <w:t>2</w:t>
    </w:r>
    <w:r w:rsidRPr="00AC4321">
      <w:rPr>
        <w:rFonts w:ascii="Times New Roman" w:hAnsi="Times New Roman"/>
      </w:rPr>
      <w:fldChar w:fldCharType="end"/>
    </w:r>
    <w:r>
      <w:rPr>
        <w:rFonts w:ascii="Times New Roman" w:hAnsi="Times New Roman"/>
      </w:rPr>
      <w:t xml:space="preserve"> -</w:t>
    </w:r>
  </w:p>
  <w:p w14:paraId="46F080FF" w14:textId="77777777" w:rsidR="00574BC8" w:rsidRDefault="00574B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181F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452A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618D03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2457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D34ED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EC7F6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14FE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08011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2A44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AE8C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42A3B"/>
    <w:multiLevelType w:val="hybridMultilevel"/>
    <w:tmpl w:val="E22426C2"/>
    <w:lvl w:ilvl="0" w:tplc="FFFFFFFF">
      <w:start w:val="1"/>
      <w:numFmt w:val="upperRoman"/>
      <w:lvlText w:val="%1."/>
      <w:lvlJc w:val="left"/>
      <w:pPr>
        <w:ind w:left="1080" w:hanging="72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072B3033"/>
    <w:multiLevelType w:val="hybridMultilevel"/>
    <w:tmpl w:val="15E0A552"/>
    <w:lvl w:ilvl="0" w:tplc="1968F99C">
      <w:start w:val="1"/>
      <w:numFmt w:val="bullet"/>
      <w:lvlText w:val="-"/>
      <w:lvlJc w:val="left"/>
      <w:pPr>
        <w:ind w:left="1440" w:hanging="360"/>
      </w:pPr>
      <w:rPr>
        <w:rFonts w:ascii="Times New Roman" w:eastAsia="Times New Roman" w:hAnsi="Times New Roman"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0B3D5578"/>
    <w:multiLevelType w:val="hybridMultilevel"/>
    <w:tmpl w:val="DD0E06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5B18A0"/>
    <w:multiLevelType w:val="hybridMultilevel"/>
    <w:tmpl w:val="602C0EE2"/>
    <w:lvl w:ilvl="0" w:tplc="3546451A">
      <w:start w:val="3"/>
      <w:numFmt w:val="bullet"/>
      <w:lvlText w:val="-"/>
      <w:lvlJc w:val="left"/>
      <w:pPr>
        <w:ind w:left="1080" w:hanging="360"/>
      </w:pPr>
      <w:rPr>
        <w:rFonts w:ascii="Times New Roman" w:eastAsia="Batang" w:hAnsi="Times New Roman"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0F393E29"/>
    <w:multiLevelType w:val="hybridMultilevel"/>
    <w:tmpl w:val="5024ECFC"/>
    <w:lvl w:ilvl="0" w:tplc="04090001">
      <w:start w:val="1"/>
      <w:numFmt w:val="bullet"/>
      <w:lvlText w:val=""/>
      <w:lvlJc w:val="left"/>
      <w:pPr>
        <w:ind w:left="720" w:hanging="360"/>
      </w:pPr>
      <w:rPr>
        <w:rFonts w:ascii="Symbol" w:hAnsi="Symbol" w:hint="default"/>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5" w15:restartNumberingAfterBreak="0">
    <w:nsid w:val="15D12203"/>
    <w:multiLevelType w:val="hybridMultilevel"/>
    <w:tmpl w:val="D772DCF0"/>
    <w:lvl w:ilvl="0" w:tplc="74E60E44">
      <w:start w:val="1"/>
      <w:numFmt w:val="decimal"/>
      <w:lvlText w:val="%1."/>
      <w:lvlJc w:val="left"/>
      <w:pPr>
        <w:ind w:left="72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58680A"/>
    <w:multiLevelType w:val="hybridMultilevel"/>
    <w:tmpl w:val="D52C9ABC"/>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D2429F6"/>
    <w:multiLevelType w:val="hybridMultilevel"/>
    <w:tmpl w:val="00EA70F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237D3911"/>
    <w:multiLevelType w:val="hybridMultilevel"/>
    <w:tmpl w:val="F66409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ABA4AA2"/>
    <w:multiLevelType w:val="hybridMultilevel"/>
    <w:tmpl w:val="E5E416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D80EFC"/>
    <w:multiLevelType w:val="hybridMultilevel"/>
    <w:tmpl w:val="331ACF86"/>
    <w:lvl w:ilvl="0" w:tplc="FFFFFFFF">
      <w:start w:val="1"/>
      <w:numFmt w:val="decimal"/>
      <w:lvlText w:val="%1."/>
      <w:lvlJc w:val="left"/>
      <w:pPr>
        <w:tabs>
          <w:tab w:val="num" w:pos="735"/>
        </w:tabs>
        <w:ind w:left="735" w:hanging="37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ECC0363"/>
    <w:multiLevelType w:val="multilevel"/>
    <w:tmpl w:val="38F0B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9A261E"/>
    <w:multiLevelType w:val="hybridMultilevel"/>
    <w:tmpl w:val="90268A04"/>
    <w:lvl w:ilvl="0" w:tplc="153C1310">
      <w:start w:val="3"/>
      <w:numFmt w:val="bullet"/>
      <w:lvlText w:val="-"/>
      <w:lvlJc w:val="left"/>
      <w:pPr>
        <w:ind w:left="1068" w:hanging="360"/>
      </w:pPr>
      <w:rPr>
        <w:rFonts w:ascii="Times New Roman" w:eastAsia="Times New Roman" w:hAnsi="Times New Roman"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36F337CE"/>
    <w:multiLevelType w:val="multilevel"/>
    <w:tmpl w:val="4700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D4213E"/>
    <w:multiLevelType w:val="hybridMultilevel"/>
    <w:tmpl w:val="52224022"/>
    <w:lvl w:ilvl="0" w:tplc="6B7E491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EC3A82"/>
    <w:multiLevelType w:val="hybridMultilevel"/>
    <w:tmpl w:val="BEEAC3E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6" w15:restartNumberingAfterBreak="0">
    <w:nsid w:val="45477235"/>
    <w:multiLevelType w:val="hybridMultilevel"/>
    <w:tmpl w:val="7800260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15:restartNumberingAfterBreak="0">
    <w:nsid w:val="4B0D6B56"/>
    <w:multiLevelType w:val="hybridMultilevel"/>
    <w:tmpl w:val="670CCE0A"/>
    <w:lvl w:ilvl="0" w:tplc="FFFFFFFF">
      <w:start w:val="1"/>
      <w:numFmt w:val="decimal"/>
      <w:lvlText w:val="%1."/>
      <w:lvlJc w:val="left"/>
      <w:pPr>
        <w:ind w:left="720" w:hanging="360"/>
      </w:pPr>
      <w:rPr>
        <w:rFonts w:cs="Times New Roman"/>
        <w:b w:val="0"/>
        <w:b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8" w15:restartNumberingAfterBreak="0">
    <w:nsid w:val="4C2A216F"/>
    <w:multiLevelType w:val="hybridMultilevel"/>
    <w:tmpl w:val="75E8E6BC"/>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9" w15:restartNumberingAfterBreak="0">
    <w:nsid w:val="578A0328"/>
    <w:multiLevelType w:val="hybridMultilevel"/>
    <w:tmpl w:val="8730BC9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3341BD4"/>
    <w:multiLevelType w:val="hybridMultilevel"/>
    <w:tmpl w:val="94945EAC"/>
    <w:lvl w:ilvl="0" w:tplc="595C71B8">
      <w:numFmt w:val="bullet"/>
      <w:lvlText w:val="-"/>
      <w:lvlJc w:val="left"/>
      <w:pPr>
        <w:ind w:left="720" w:hanging="360"/>
      </w:pPr>
      <w:rPr>
        <w:rFonts w:ascii="Century Gothic" w:eastAsia="Times New Roman" w:hAnsi="Century Gothic" w:cs="Open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B93739"/>
    <w:multiLevelType w:val="hybridMultilevel"/>
    <w:tmpl w:val="E9D8A7A2"/>
    <w:lvl w:ilvl="0" w:tplc="B05AF858">
      <w:start w:val="1"/>
      <w:numFmt w:val="upperRoman"/>
      <w:lvlText w:val="%1."/>
      <w:lvlJc w:val="left"/>
      <w:pPr>
        <w:ind w:left="1080" w:hanging="72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2" w15:restartNumberingAfterBreak="0">
    <w:nsid w:val="76A31738"/>
    <w:multiLevelType w:val="hybridMultilevel"/>
    <w:tmpl w:val="064E47AE"/>
    <w:lvl w:ilvl="0" w:tplc="595C71B8">
      <w:numFmt w:val="bullet"/>
      <w:lvlText w:val="-"/>
      <w:lvlJc w:val="left"/>
      <w:pPr>
        <w:ind w:left="720" w:hanging="360"/>
      </w:pPr>
      <w:rPr>
        <w:rFonts w:ascii="Century Gothic" w:eastAsia="Times New Roman" w:hAnsi="Century Gothic" w:cs="OpenSan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8CE5A8F"/>
    <w:multiLevelType w:val="hybridMultilevel"/>
    <w:tmpl w:val="D10687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95D36CE"/>
    <w:multiLevelType w:val="hybridMultilevel"/>
    <w:tmpl w:val="459CE0E6"/>
    <w:lvl w:ilvl="0" w:tplc="3AFA09E8">
      <w:start w:val="1"/>
      <w:numFmt w:val="lowerRoman"/>
      <w:lvlText w:val="(%1)"/>
      <w:lvlJc w:val="left"/>
      <w:pPr>
        <w:ind w:left="2136" w:hanging="72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35" w15:restartNumberingAfterBreak="0">
    <w:nsid w:val="7BC61B26"/>
    <w:multiLevelType w:val="multilevel"/>
    <w:tmpl w:val="600E7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C322F1"/>
    <w:multiLevelType w:val="hybridMultilevel"/>
    <w:tmpl w:val="089A5426"/>
    <w:lvl w:ilvl="0" w:tplc="97EEEBF8">
      <w:start w:val="1"/>
      <w:numFmt w:val="lowerRoman"/>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7750907">
    <w:abstractNumId w:val="10"/>
  </w:num>
  <w:num w:numId="2" w16cid:durableId="1686134308">
    <w:abstractNumId w:val="31"/>
  </w:num>
  <w:num w:numId="3" w16cid:durableId="1651473253">
    <w:abstractNumId w:val="23"/>
  </w:num>
  <w:num w:numId="4" w16cid:durableId="16637770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9913100">
    <w:abstractNumId w:val="25"/>
  </w:num>
  <w:num w:numId="6" w16cid:durableId="1594390142">
    <w:abstractNumId w:val="24"/>
  </w:num>
  <w:num w:numId="7" w16cid:durableId="1835562427">
    <w:abstractNumId w:val="17"/>
  </w:num>
  <w:num w:numId="8" w16cid:durableId="938635646">
    <w:abstractNumId w:val="26"/>
  </w:num>
  <w:num w:numId="9" w16cid:durableId="1366981575">
    <w:abstractNumId w:val="12"/>
  </w:num>
  <w:num w:numId="10" w16cid:durableId="1088189127">
    <w:abstractNumId w:val="21"/>
  </w:num>
  <w:num w:numId="11" w16cid:durableId="1267425833">
    <w:abstractNumId w:val="35"/>
  </w:num>
  <w:num w:numId="12" w16cid:durableId="1316689122">
    <w:abstractNumId w:val="28"/>
  </w:num>
  <w:num w:numId="13" w16cid:durableId="12343131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8549282">
    <w:abstractNumId w:val="14"/>
  </w:num>
  <w:num w:numId="15" w16cid:durableId="243416142">
    <w:abstractNumId w:val="9"/>
  </w:num>
  <w:num w:numId="16" w16cid:durableId="1248072853">
    <w:abstractNumId w:val="7"/>
  </w:num>
  <w:num w:numId="17" w16cid:durableId="466121407">
    <w:abstractNumId w:val="6"/>
  </w:num>
  <w:num w:numId="18" w16cid:durableId="1625774117">
    <w:abstractNumId w:val="5"/>
  </w:num>
  <w:num w:numId="19" w16cid:durableId="557470530">
    <w:abstractNumId w:val="4"/>
  </w:num>
  <w:num w:numId="20" w16cid:durableId="597951898">
    <w:abstractNumId w:val="8"/>
  </w:num>
  <w:num w:numId="21" w16cid:durableId="124280821">
    <w:abstractNumId w:val="3"/>
  </w:num>
  <w:num w:numId="22" w16cid:durableId="1057318308">
    <w:abstractNumId w:val="2"/>
  </w:num>
  <w:num w:numId="23" w16cid:durableId="299766412">
    <w:abstractNumId w:val="1"/>
  </w:num>
  <w:num w:numId="24" w16cid:durableId="313919575">
    <w:abstractNumId w:val="0"/>
  </w:num>
  <w:num w:numId="25" w16cid:durableId="1990135766">
    <w:abstractNumId w:val="20"/>
  </w:num>
  <w:num w:numId="26" w16cid:durableId="2055035892">
    <w:abstractNumId w:val="29"/>
  </w:num>
  <w:num w:numId="27" w16cid:durableId="765224055">
    <w:abstractNumId w:val="32"/>
  </w:num>
  <w:num w:numId="28" w16cid:durableId="1175655947">
    <w:abstractNumId w:val="36"/>
  </w:num>
  <w:num w:numId="29" w16cid:durableId="794911127">
    <w:abstractNumId w:val="30"/>
  </w:num>
  <w:num w:numId="30" w16cid:durableId="604001631">
    <w:abstractNumId w:val="34"/>
  </w:num>
  <w:num w:numId="31" w16cid:durableId="1674092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89154119">
    <w:abstractNumId w:val="32"/>
  </w:num>
  <w:num w:numId="33" w16cid:durableId="321660265">
    <w:abstractNumId w:val="30"/>
  </w:num>
  <w:num w:numId="34" w16cid:durableId="20837920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4532515">
    <w:abstractNumId w:val="33"/>
  </w:num>
  <w:num w:numId="36" w16cid:durableId="731999371">
    <w:abstractNumId w:val="18"/>
  </w:num>
  <w:num w:numId="37" w16cid:durableId="8221786">
    <w:abstractNumId w:val="16"/>
  </w:num>
  <w:num w:numId="38" w16cid:durableId="1582136319">
    <w:abstractNumId w:val="13"/>
  </w:num>
  <w:num w:numId="39" w16cid:durableId="896016023">
    <w:abstractNumId w:val="22"/>
  </w:num>
  <w:num w:numId="40" w16cid:durableId="1548302004">
    <w:abstractNumId w:val="19"/>
  </w:num>
  <w:num w:numId="41" w16cid:durableId="823622798">
    <w:abstractNumId w:val="11"/>
  </w:num>
  <w:num w:numId="42" w16cid:durableId="156925436">
    <w:abstractNumId w:val="22"/>
    <w:lvlOverride w:ilvl="0"/>
    <w:lvlOverride w:ilvl="1"/>
    <w:lvlOverride w:ilvl="2"/>
    <w:lvlOverride w:ilvl="3"/>
    <w:lvlOverride w:ilvl="4"/>
    <w:lvlOverride w:ilvl="5"/>
    <w:lvlOverride w:ilvl="6"/>
    <w:lvlOverride w:ilvl="7"/>
    <w:lvlOverride w:ilvl="8"/>
  </w:num>
  <w:num w:numId="43" w16cid:durableId="1755012348">
    <w:abstractNumId w:val="13"/>
    <w:lvlOverride w:ilvl="0"/>
    <w:lvlOverride w:ilvl="1"/>
    <w:lvlOverride w:ilvl="2"/>
    <w:lvlOverride w:ilvl="3"/>
    <w:lvlOverride w:ilvl="4"/>
    <w:lvlOverride w:ilvl="5"/>
    <w:lvlOverride w:ilvl="6"/>
    <w:lvlOverride w:ilvl="7"/>
    <w:lvlOverride w:ilvl="8"/>
  </w:num>
  <w:num w:numId="44" w16cid:durableId="2067071608">
    <w:abstractNumId w:val="3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OwtLQ0MDYBEkCgpKMUnFpcnJmfB1JgUgsAuo7gSSwAAAA="/>
  </w:docVars>
  <w:rsids>
    <w:rsidRoot w:val="00711AA0"/>
    <w:rsid w:val="00001C8D"/>
    <w:rsid w:val="0000254A"/>
    <w:rsid w:val="000221C2"/>
    <w:rsid w:val="000244EF"/>
    <w:rsid w:val="00025357"/>
    <w:rsid w:val="00025F7B"/>
    <w:rsid w:val="000306CB"/>
    <w:rsid w:val="00031CC3"/>
    <w:rsid w:val="000325B4"/>
    <w:rsid w:val="0003324D"/>
    <w:rsid w:val="00042B7E"/>
    <w:rsid w:val="00052063"/>
    <w:rsid w:val="00056EE7"/>
    <w:rsid w:val="000579C2"/>
    <w:rsid w:val="0007600A"/>
    <w:rsid w:val="00085219"/>
    <w:rsid w:val="00090DF2"/>
    <w:rsid w:val="00095C17"/>
    <w:rsid w:val="000A1810"/>
    <w:rsid w:val="000A29E5"/>
    <w:rsid w:val="000A3436"/>
    <w:rsid w:val="000A6122"/>
    <w:rsid w:val="000A64AA"/>
    <w:rsid w:val="000A72D1"/>
    <w:rsid w:val="000B0303"/>
    <w:rsid w:val="000C1C8C"/>
    <w:rsid w:val="000C2CE2"/>
    <w:rsid w:val="000C41A9"/>
    <w:rsid w:val="000C72FD"/>
    <w:rsid w:val="000D065D"/>
    <w:rsid w:val="000D7367"/>
    <w:rsid w:val="000E15D6"/>
    <w:rsid w:val="000E1EEF"/>
    <w:rsid w:val="000F3748"/>
    <w:rsid w:val="00100773"/>
    <w:rsid w:val="00102ABF"/>
    <w:rsid w:val="00112D79"/>
    <w:rsid w:val="001357F9"/>
    <w:rsid w:val="00137F88"/>
    <w:rsid w:val="00144C6A"/>
    <w:rsid w:val="00152219"/>
    <w:rsid w:val="00156171"/>
    <w:rsid w:val="00156B6F"/>
    <w:rsid w:val="001661C6"/>
    <w:rsid w:val="00170A4F"/>
    <w:rsid w:val="001834E8"/>
    <w:rsid w:val="00192C2A"/>
    <w:rsid w:val="001A1C2D"/>
    <w:rsid w:val="001A317B"/>
    <w:rsid w:val="001A49A3"/>
    <w:rsid w:val="001A63E1"/>
    <w:rsid w:val="001B38EE"/>
    <w:rsid w:val="001D64F3"/>
    <w:rsid w:val="001F343E"/>
    <w:rsid w:val="00214582"/>
    <w:rsid w:val="002162E3"/>
    <w:rsid w:val="00216CF3"/>
    <w:rsid w:val="00216E07"/>
    <w:rsid w:val="00223878"/>
    <w:rsid w:val="00224C75"/>
    <w:rsid w:val="002329F8"/>
    <w:rsid w:val="002330FB"/>
    <w:rsid w:val="00245875"/>
    <w:rsid w:val="00245FCA"/>
    <w:rsid w:val="00247512"/>
    <w:rsid w:val="00247C4B"/>
    <w:rsid w:val="0025364F"/>
    <w:rsid w:val="00256109"/>
    <w:rsid w:val="002572C7"/>
    <w:rsid w:val="002615FE"/>
    <w:rsid w:val="0026479F"/>
    <w:rsid w:val="00266E5D"/>
    <w:rsid w:val="00277681"/>
    <w:rsid w:val="00282639"/>
    <w:rsid w:val="002870A3"/>
    <w:rsid w:val="0029431C"/>
    <w:rsid w:val="00294BAB"/>
    <w:rsid w:val="00295914"/>
    <w:rsid w:val="002A1EC2"/>
    <w:rsid w:val="002A78AD"/>
    <w:rsid w:val="002B0499"/>
    <w:rsid w:val="002B6B3D"/>
    <w:rsid w:val="002C6227"/>
    <w:rsid w:val="002C669C"/>
    <w:rsid w:val="002D39EF"/>
    <w:rsid w:val="002D3CE8"/>
    <w:rsid w:val="002E3E1D"/>
    <w:rsid w:val="003006AE"/>
    <w:rsid w:val="003037EE"/>
    <w:rsid w:val="00330C5C"/>
    <w:rsid w:val="003355AB"/>
    <w:rsid w:val="003401CB"/>
    <w:rsid w:val="00343CCF"/>
    <w:rsid w:val="00345863"/>
    <w:rsid w:val="003471FB"/>
    <w:rsid w:val="00356CF5"/>
    <w:rsid w:val="00363489"/>
    <w:rsid w:val="00367196"/>
    <w:rsid w:val="00367964"/>
    <w:rsid w:val="00371914"/>
    <w:rsid w:val="00382590"/>
    <w:rsid w:val="00387627"/>
    <w:rsid w:val="003916F5"/>
    <w:rsid w:val="00391832"/>
    <w:rsid w:val="00396835"/>
    <w:rsid w:val="003A24CA"/>
    <w:rsid w:val="003C0FD2"/>
    <w:rsid w:val="003C26F7"/>
    <w:rsid w:val="003C3C26"/>
    <w:rsid w:val="003C7F39"/>
    <w:rsid w:val="003D4A90"/>
    <w:rsid w:val="003D6646"/>
    <w:rsid w:val="003F1E30"/>
    <w:rsid w:val="00404591"/>
    <w:rsid w:val="00410885"/>
    <w:rsid w:val="00410AE4"/>
    <w:rsid w:val="00433AFA"/>
    <w:rsid w:val="00434560"/>
    <w:rsid w:val="0044271B"/>
    <w:rsid w:val="00445A82"/>
    <w:rsid w:val="00450ABE"/>
    <w:rsid w:val="00453E1B"/>
    <w:rsid w:val="004603C3"/>
    <w:rsid w:val="00470248"/>
    <w:rsid w:val="00472759"/>
    <w:rsid w:val="004913BC"/>
    <w:rsid w:val="00491829"/>
    <w:rsid w:val="00492D6A"/>
    <w:rsid w:val="00497338"/>
    <w:rsid w:val="004A2764"/>
    <w:rsid w:val="004A2BE4"/>
    <w:rsid w:val="004A7E4D"/>
    <w:rsid w:val="004B624C"/>
    <w:rsid w:val="004C3D29"/>
    <w:rsid w:val="004D5F6F"/>
    <w:rsid w:val="004E4F1B"/>
    <w:rsid w:val="004F2002"/>
    <w:rsid w:val="004F7C7F"/>
    <w:rsid w:val="0050702E"/>
    <w:rsid w:val="00510263"/>
    <w:rsid w:val="00513F78"/>
    <w:rsid w:val="0052474D"/>
    <w:rsid w:val="005248B6"/>
    <w:rsid w:val="00524A5F"/>
    <w:rsid w:val="005353EB"/>
    <w:rsid w:val="00536311"/>
    <w:rsid w:val="00540B0D"/>
    <w:rsid w:val="005460F5"/>
    <w:rsid w:val="0057358A"/>
    <w:rsid w:val="00573BC8"/>
    <w:rsid w:val="00574BC8"/>
    <w:rsid w:val="005801FA"/>
    <w:rsid w:val="005813A1"/>
    <w:rsid w:val="0058452D"/>
    <w:rsid w:val="00595566"/>
    <w:rsid w:val="0059790C"/>
    <w:rsid w:val="005A5A85"/>
    <w:rsid w:val="005B36B4"/>
    <w:rsid w:val="005B57AD"/>
    <w:rsid w:val="005C1459"/>
    <w:rsid w:val="005C76EF"/>
    <w:rsid w:val="005F07C5"/>
    <w:rsid w:val="005F3081"/>
    <w:rsid w:val="006070A3"/>
    <w:rsid w:val="00613C7B"/>
    <w:rsid w:val="00624475"/>
    <w:rsid w:val="00626BAE"/>
    <w:rsid w:val="00631F9F"/>
    <w:rsid w:val="00645E93"/>
    <w:rsid w:val="0066376B"/>
    <w:rsid w:val="0069639D"/>
    <w:rsid w:val="006C21BE"/>
    <w:rsid w:val="006C7C1D"/>
    <w:rsid w:val="006F5F9D"/>
    <w:rsid w:val="007021DA"/>
    <w:rsid w:val="0071083B"/>
    <w:rsid w:val="00710EF6"/>
    <w:rsid w:val="00711AA0"/>
    <w:rsid w:val="007125C9"/>
    <w:rsid w:val="0071759D"/>
    <w:rsid w:val="00723770"/>
    <w:rsid w:val="00726B14"/>
    <w:rsid w:val="00733A02"/>
    <w:rsid w:val="00734F80"/>
    <w:rsid w:val="007372A2"/>
    <w:rsid w:val="00743F38"/>
    <w:rsid w:val="00747980"/>
    <w:rsid w:val="00754096"/>
    <w:rsid w:val="00763EE1"/>
    <w:rsid w:val="0076608C"/>
    <w:rsid w:val="0077754B"/>
    <w:rsid w:val="0078321B"/>
    <w:rsid w:val="007840C1"/>
    <w:rsid w:val="0078537C"/>
    <w:rsid w:val="007A07D2"/>
    <w:rsid w:val="007A0926"/>
    <w:rsid w:val="007B0E73"/>
    <w:rsid w:val="007B0FE7"/>
    <w:rsid w:val="007B6AC9"/>
    <w:rsid w:val="007C1751"/>
    <w:rsid w:val="007C4EBC"/>
    <w:rsid w:val="007C516C"/>
    <w:rsid w:val="007D5E1A"/>
    <w:rsid w:val="007E0DE9"/>
    <w:rsid w:val="007E10C6"/>
    <w:rsid w:val="007E482E"/>
    <w:rsid w:val="007E5DE1"/>
    <w:rsid w:val="007F0E31"/>
    <w:rsid w:val="007F4F7D"/>
    <w:rsid w:val="00801D8A"/>
    <w:rsid w:val="00805868"/>
    <w:rsid w:val="00807677"/>
    <w:rsid w:val="008109FD"/>
    <w:rsid w:val="008174E6"/>
    <w:rsid w:val="0082166A"/>
    <w:rsid w:val="00821FB1"/>
    <w:rsid w:val="00822505"/>
    <w:rsid w:val="00833049"/>
    <w:rsid w:val="00833BFE"/>
    <w:rsid w:val="00851C41"/>
    <w:rsid w:val="00856F94"/>
    <w:rsid w:val="00881250"/>
    <w:rsid w:val="00886D6B"/>
    <w:rsid w:val="00887C44"/>
    <w:rsid w:val="00895058"/>
    <w:rsid w:val="008A6EF2"/>
    <w:rsid w:val="008A7065"/>
    <w:rsid w:val="008A756B"/>
    <w:rsid w:val="008C053A"/>
    <w:rsid w:val="008C2593"/>
    <w:rsid w:val="008C60D8"/>
    <w:rsid w:val="008D3A64"/>
    <w:rsid w:val="008D5238"/>
    <w:rsid w:val="008D5633"/>
    <w:rsid w:val="008F0FCE"/>
    <w:rsid w:val="009009AF"/>
    <w:rsid w:val="00903D0B"/>
    <w:rsid w:val="0090628A"/>
    <w:rsid w:val="00923F29"/>
    <w:rsid w:val="00936F18"/>
    <w:rsid w:val="009427D6"/>
    <w:rsid w:val="00946A75"/>
    <w:rsid w:val="0095633C"/>
    <w:rsid w:val="00963720"/>
    <w:rsid w:val="00982A11"/>
    <w:rsid w:val="00986241"/>
    <w:rsid w:val="00994F80"/>
    <w:rsid w:val="009A0231"/>
    <w:rsid w:val="009A250D"/>
    <w:rsid w:val="009A40B4"/>
    <w:rsid w:val="009B7847"/>
    <w:rsid w:val="009C1BE7"/>
    <w:rsid w:val="009C320B"/>
    <w:rsid w:val="009D7AB8"/>
    <w:rsid w:val="009E11C0"/>
    <w:rsid w:val="009F4AE0"/>
    <w:rsid w:val="009F614D"/>
    <w:rsid w:val="00A02143"/>
    <w:rsid w:val="00A06AB9"/>
    <w:rsid w:val="00A140A9"/>
    <w:rsid w:val="00A276C3"/>
    <w:rsid w:val="00A33B9D"/>
    <w:rsid w:val="00A46D33"/>
    <w:rsid w:val="00A549E1"/>
    <w:rsid w:val="00A554B6"/>
    <w:rsid w:val="00A65192"/>
    <w:rsid w:val="00A71DC6"/>
    <w:rsid w:val="00A75E05"/>
    <w:rsid w:val="00A90611"/>
    <w:rsid w:val="00A92F7B"/>
    <w:rsid w:val="00A938D3"/>
    <w:rsid w:val="00AA06D1"/>
    <w:rsid w:val="00AA390D"/>
    <w:rsid w:val="00AC4321"/>
    <w:rsid w:val="00AC56B1"/>
    <w:rsid w:val="00AC6B4B"/>
    <w:rsid w:val="00AD137C"/>
    <w:rsid w:val="00AD717F"/>
    <w:rsid w:val="00AE0412"/>
    <w:rsid w:val="00AE3134"/>
    <w:rsid w:val="00B071CC"/>
    <w:rsid w:val="00B1102B"/>
    <w:rsid w:val="00B16701"/>
    <w:rsid w:val="00B172D0"/>
    <w:rsid w:val="00B24C1B"/>
    <w:rsid w:val="00B25B99"/>
    <w:rsid w:val="00B30CBB"/>
    <w:rsid w:val="00B31DA6"/>
    <w:rsid w:val="00B32CDE"/>
    <w:rsid w:val="00B45511"/>
    <w:rsid w:val="00B50058"/>
    <w:rsid w:val="00B51A37"/>
    <w:rsid w:val="00B553C4"/>
    <w:rsid w:val="00B7041B"/>
    <w:rsid w:val="00B71472"/>
    <w:rsid w:val="00B715D1"/>
    <w:rsid w:val="00B71699"/>
    <w:rsid w:val="00B747A8"/>
    <w:rsid w:val="00B76C5B"/>
    <w:rsid w:val="00B7710C"/>
    <w:rsid w:val="00B83D83"/>
    <w:rsid w:val="00B86CE1"/>
    <w:rsid w:val="00B924AF"/>
    <w:rsid w:val="00B95D02"/>
    <w:rsid w:val="00BA2978"/>
    <w:rsid w:val="00BB0377"/>
    <w:rsid w:val="00BB08BA"/>
    <w:rsid w:val="00BB2060"/>
    <w:rsid w:val="00BB4816"/>
    <w:rsid w:val="00BB5BA7"/>
    <w:rsid w:val="00BC757C"/>
    <w:rsid w:val="00BD3650"/>
    <w:rsid w:val="00BD3E99"/>
    <w:rsid w:val="00BE1479"/>
    <w:rsid w:val="00BF164F"/>
    <w:rsid w:val="00BF7FDB"/>
    <w:rsid w:val="00C04885"/>
    <w:rsid w:val="00C05E07"/>
    <w:rsid w:val="00C174BE"/>
    <w:rsid w:val="00C23E3A"/>
    <w:rsid w:val="00C33EF8"/>
    <w:rsid w:val="00C36087"/>
    <w:rsid w:val="00C51618"/>
    <w:rsid w:val="00C5461D"/>
    <w:rsid w:val="00C561FB"/>
    <w:rsid w:val="00C622A8"/>
    <w:rsid w:val="00C84171"/>
    <w:rsid w:val="00C84F28"/>
    <w:rsid w:val="00C85267"/>
    <w:rsid w:val="00C9380F"/>
    <w:rsid w:val="00C948AF"/>
    <w:rsid w:val="00CA00D2"/>
    <w:rsid w:val="00CA1F77"/>
    <w:rsid w:val="00CA325E"/>
    <w:rsid w:val="00CB465F"/>
    <w:rsid w:val="00CC3B51"/>
    <w:rsid w:val="00CF33F6"/>
    <w:rsid w:val="00CF6D51"/>
    <w:rsid w:val="00D01539"/>
    <w:rsid w:val="00D0274D"/>
    <w:rsid w:val="00D032EE"/>
    <w:rsid w:val="00D056BD"/>
    <w:rsid w:val="00D205FB"/>
    <w:rsid w:val="00D27F6F"/>
    <w:rsid w:val="00D32E1E"/>
    <w:rsid w:val="00D5592F"/>
    <w:rsid w:val="00D60A49"/>
    <w:rsid w:val="00D64B13"/>
    <w:rsid w:val="00D744BB"/>
    <w:rsid w:val="00D820CE"/>
    <w:rsid w:val="00D87453"/>
    <w:rsid w:val="00DC40C6"/>
    <w:rsid w:val="00DD4EB9"/>
    <w:rsid w:val="00DD7175"/>
    <w:rsid w:val="00DE271F"/>
    <w:rsid w:val="00DE3A3A"/>
    <w:rsid w:val="00E01006"/>
    <w:rsid w:val="00E13225"/>
    <w:rsid w:val="00E15C6A"/>
    <w:rsid w:val="00E22C7C"/>
    <w:rsid w:val="00E25258"/>
    <w:rsid w:val="00E265B3"/>
    <w:rsid w:val="00E374DB"/>
    <w:rsid w:val="00E47DF9"/>
    <w:rsid w:val="00E579BA"/>
    <w:rsid w:val="00E62E3E"/>
    <w:rsid w:val="00E657D3"/>
    <w:rsid w:val="00E87706"/>
    <w:rsid w:val="00E90DBE"/>
    <w:rsid w:val="00EA2D3D"/>
    <w:rsid w:val="00EC15FE"/>
    <w:rsid w:val="00EC5C47"/>
    <w:rsid w:val="00EC5C6A"/>
    <w:rsid w:val="00ED294E"/>
    <w:rsid w:val="00ED61A8"/>
    <w:rsid w:val="00EE1530"/>
    <w:rsid w:val="00EE3599"/>
    <w:rsid w:val="00EE7210"/>
    <w:rsid w:val="00EF7A23"/>
    <w:rsid w:val="00F02D92"/>
    <w:rsid w:val="00F268DD"/>
    <w:rsid w:val="00F26E3D"/>
    <w:rsid w:val="00F30115"/>
    <w:rsid w:val="00F3336F"/>
    <w:rsid w:val="00F40483"/>
    <w:rsid w:val="00F41936"/>
    <w:rsid w:val="00F4373A"/>
    <w:rsid w:val="00F43A70"/>
    <w:rsid w:val="00F46AF4"/>
    <w:rsid w:val="00F56CA8"/>
    <w:rsid w:val="00F61E3C"/>
    <w:rsid w:val="00F640A3"/>
    <w:rsid w:val="00F75108"/>
    <w:rsid w:val="00F81FB3"/>
    <w:rsid w:val="00F8386D"/>
    <w:rsid w:val="00F87763"/>
    <w:rsid w:val="00F9117B"/>
    <w:rsid w:val="00F960EF"/>
    <w:rsid w:val="00FA3AF4"/>
    <w:rsid w:val="00FB4C80"/>
    <w:rsid w:val="00FC2D69"/>
    <w:rsid w:val="00FC388A"/>
    <w:rsid w:val="00FC4B11"/>
    <w:rsid w:val="00FC55D0"/>
    <w:rsid w:val="00FD323C"/>
    <w:rsid w:val="00FD73DB"/>
    <w:rsid w:val="00FE4D69"/>
    <w:rsid w:val="00FF2EFA"/>
    <w:rsid w:val="00FF4BD7"/>
    <w:rsid w:val="00FF6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0757FAF"/>
  <w15:docId w15:val="{4F5FA9CB-46A6-4BCA-AC85-F0EDE859B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Batang" w:hAnsi="Calibri"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aliases w:val="Heading 1 Char Char,Heading 1 Char1,Heading 1 Char1 Car"/>
    <w:basedOn w:val="Normal"/>
    <w:next w:val="Normal"/>
    <w:link w:val="Heading1Char"/>
    <w:qFormat/>
    <w:rsid w:val="000A72D1"/>
    <w:pPr>
      <w:keepNext/>
      <w:snapToGrid w:val="0"/>
      <w:spacing w:before="240" w:after="60" w:line="240" w:lineRule="auto"/>
      <w:outlineLvl w:val="0"/>
    </w:pPr>
    <w:rPr>
      <w:rFonts w:ascii="Arial" w:eastAsia="Times New Roman" w:hAnsi="Arial" w:cs="Arial"/>
      <w:kern w:val="32"/>
      <w:sz w:val="32"/>
      <w:szCs w:val="32"/>
    </w:rPr>
  </w:style>
  <w:style w:type="paragraph" w:styleId="Heading2">
    <w:name w:val="heading 2"/>
    <w:basedOn w:val="Normal"/>
    <w:next w:val="Normal"/>
    <w:link w:val="Heading2Char"/>
    <w:uiPriority w:val="9"/>
    <w:qFormat/>
    <w:rsid w:val="00EC5C6A"/>
    <w:pPr>
      <w:keepNext/>
      <w:keepLines/>
      <w:spacing w:before="200" w:after="0"/>
      <w:outlineLvl w:val="1"/>
    </w:pPr>
    <w:rPr>
      <w:rFonts w:ascii="Cambria" w:eastAsia="MS Gothic"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6070A3"/>
    <w:pPr>
      <w:spacing w:before="100" w:beforeAutospacing="1" w:after="100" w:afterAutospacing="1" w:line="240" w:lineRule="auto"/>
    </w:pPr>
    <w:rPr>
      <w:rFonts w:ascii="Times New Roman" w:eastAsia="Times New Roman" w:hAnsi="Times New Roman"/>
      <w:sz w:val="24"/>
      <w:szCs w:val="24"/>
    </w:rPr>
  </w:style>
  <w:style w:type="paragraph" w:customStyle="1" w:styleId="CPClassification">
    <w:name w:val="CP Classification"/>
    <w:basedOn w:val="Normal"/>
    <w:rsid w:val="006070A3"/>
    <w:pPr>
      <w:tabs>
        <w:tab w:val="center" w:pos="2160"/>
        <w:tab w:val="left" w:pos="7200"/>
      </w:tabs>
      <w:spacing w:after="0" w:line="240" w:lineRule="auto"/>
      <w:ind w:left="7200" w:right="-360"/>
      <w:jc w:val="both"/>
    </w:pPr>
    <w:rPr>
      <w:rFonts w:ascii="Times New Roman" w:eastAsia="Times New Roman" w:hAnsi="Times New Roman"/>
      <w:szCs w:val="20"/>
    </w:rPr>
  </w:style>
  <w:style w:type="character" w:customStyle="1" w:styleId="NormalWebChar">
    <w:name w:val="Normal (Web) Char"/>
    <w:link w:val="NormalWeb"/>
    <w:rsid w:val="006070A3"/>
    <w:rPr>
      <w:rFonts w:ascii="Times New Roman" w:eastAsia="Times New Roman" w:hAnsi="Times New Roman" w:cs="Times New Roman"/>
      <w:sz w:val="24"/>
      <w:szCs w:val="24"/>
      <w:lang w:val="pt-BR"/>
    </w:rPr>
  </w:style>
  <w:style w:type="paragraph" w:styleId="Header">
    <w:name w:val="header"/>
    <w:aliases w:val="encabezado"/>
    <w:basedOn w:val="Normal"/>
    <w:link w:val="HeaderChar"/>
    <w:uiPriority w:val="99"/>
    <w:unhideWhenUsed/>
    <w:rsid w:val="006070A3"/>
    <w:pPr>
      <w:tabs>
        <w:tab w:val="center" w:pos="4419"/>
        <w:tab w:val="right" w:pos="8838"/>
      </w:tabs>
      <w:spacing w:after="0" w:line="240" w:lineRule="auto"/>
    </w:pPr>
  </w:style>
  <w:style w:type="character" w:customStyle="1" w:styleId="HeaderChar">
    <w:name w:val="Header Char"/>
    <w:aliases w:val="encabezado Char"/>
    <w:basedOn w:val="DefaultParagraphFont"/>
    <w:link w:val="Header"/>
    <w:uiPriority w:val="99"/>
    <w:rsid w:val="006070A3"/>
  </w:style>
  <w:style w:type="paragraph" w:styleId="Footer">
    <w:name w:val="footer"/>
    <w:basedOn w:val="Normal"/>
    <w:link w:val="FooterChar"/>
    <w:uiPriority w:val="99"/>
    <w:unhideWhenUsed/>
    <w:rsid w:val="006070A3"/>
    <w:pPr>
      <w:tabs>
        <w:tab w:val="center" w:pos="4419"/>
        <w:tab w:val="right" w:pos="8838"/>
      </w:tabs>
      <w:spacing w:after="0" w:line="240" w:lineRule="auto"/>
    </w:pPr>
  </w:style>
  <w:style w:type="character" w:customStyle="1" w:styleId="FooterChar">
    <w:name w:val="Footer Char"/>
    <w:basedOn w:val="DefaultParagraphFont"/>
    <w:link w:val="Footer"/>
    <w:uiPriority w:val="99"/>
    <w:rsid w:val="006070A3"/>
  </w:style>
  <w:style w:type="paragraph" w:customStyle="1" w:styleId="Prrafodelista1">
    <w:name w:val="Párrafo de lista1"/>
    <w:basedOn w:val="Normal"/>
    <w:uiPriority w:val="34"/>
    <w:qFormat/>
    <w:rsid w:val="006070A3"/>
    <w:pPr>
      <w:ind w:left="720"/>
      <w:contextualSpacing/>
    </w:pPr>
  </w:style>
  <w:style w:type="paragraph" w:customStyle="1" w:styleId="Heading">
    <w:name w:val="Heading"/>
    <w:basedOn w:val="Normal"/>
    <w:rsid w:val="006070A3"/>
    <w:pPr>
      <w:tabs>
        <w:tab w:val="center" w:pos="2160"/>
        <w:tab w:val="left" w:pos="7200"/>
      </w:tabs>
      <w:spacing w:after="0" w:line="240" w:lineRule="auto"/>
    </w:pPr>
    <w:rPr>
      <w:rFonts w:ascii="Times New Roman" w:eastAsia="SimSun" w:hAnsi="Times New Roman"/>
      <w:szCs w:val="20"/>
      <w:lang w:eastAsia="zh-CN"/>
    </w:rPr>
  </w:style>
  <w:style w:type="paragraph" w:customStyle="1" w:styleId="Indenthangi">
    <w:name w:val="Indent hangi"/>
    <w:rsid w:val="006070A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snapToGrid w:val="0"/>
      <w:sz w:val="22"/>
      <w:szCs w:val="22"/>
    </w:rPr>
  </w:style>
  <w:style w:type="character" w:customStyle="1" w:styleId="Heading1Char">
    <w:name w:val="Heading 1 Char"/>
    <w:aliases w:val="Heading 1 Char Char Char,Heading 1 Char1 Char,Heading 1 Char1 Car Char"/>
    <w:link w:val="Heading1"/>
    <w:rsid w:val="000A72D1"/>
    <w:rPr>
      <w:rFonts w:ascii="Arial" w:eastAsia="Times New Roman" w:hAnsi="Arial" w:cs="Arial"/>
      <w:kern w:val="32"/>
      <w:sz w:val="32"/>
      <w:szCs w:val="32"/>
      <w:lang w:val="pt-BR"/>
    </w:rPr>
  </w:style>
  <w:style w:type="character" w:styleId="Hyperlink">
    <w:name w:val="Hyperlink"/>
    <w:uiPriority w:val="99"/>
    <w:semiHidden/>
    <w:unhideWhenUsed/>
    <w:rsid w:val="00A02143"/>
    <w:rPr>
      <w:strike w:val="0"/>
      <w:dstrike w:val="0"/>
      <w:color w:val="0000FF"/>
      <w:u w:val="none"/>
      <w:effect w:val="none"/>
    </w:rPr>
  </w:style>
  <w:style w:type="paragraph" w:styleId="FootnoteText">
    <w:name w:val="footnote text"/>
    <w:basedOn w:val="Normal"/>
    <w:link w:val="FootnoteTextChar"/>
    <w:uiPriority w:val="99"/>
    <w:semiHidden/>
    <w:unhideWhenUsed/>
    <w:rsid w:val="007A07D2"/>
    <w:pPr>
      <w:spacing w:after="0" w:line="240" w:lineRule="auto"/>
    </w:pPr>
    <w:rPr>
      <w:sz w:val="20"/>
      <w:szCs w:val="20"/>
    </w:rPr>
  </w:style>
  <w:style w:type="character" w:customStyle="1" w:styleId="FootnoteTextChar">
    <w:name w:val="Footnote Text Char"/>
    <w:link w:val="FootnoteText"/>
    <w:uiPriority w:val="99"/>
    <w:semiHidden/>
    <w:rsid w:val="007A07D2"/>
    <w:rPr>
      <w:sz w:val="20"/>
      <w:szCs w:val="20"/>
    </w:rPr>
  </w:style>
  <w:style w:type="character" w:styleId="FootnoteReference">
    <w:name w:val="footnote reference"/>
    <w:uiPriority w:val="99"/>
    <w:semiHidden/>
    <w:unhideWhenUsed/>
    <w:rsid w:val="007A07D2"/>
    <w:rPr>
      <w:vertAlign w:val="superscript"/>
    </w:rPr>
  </w:style>
  <w:style w:type="paragraph" w:customStyle="1" w:styleId="msonormalcxspmiddle">
    <w:name w:val="msonormalcxspmiddle"/>
    <w:basedOn w:val="Normal"/>
    <w:rsid w:val="00D205FB"/>
    <w:pPr>
      <w:spacing w:before="100" w:beforeAutospacing="1" w:after="100" w:afterAutospacing="1" w:line="240" w:lineRule="auto"/>
    </w:pPr>
    <w:rPr>
      <w:rFonts w:ascii="Times New Roman" w:eastAsia="Times New Roman" w:hAnsi="Times New Roman"/>
      <w:sz w:val="24"/>
      <w:szCs w:val="24"/>
    </w:rPr>
  </w:style>
  <w:style w:type="paragraph" w:customStyle="1" w:styleId="Style2">
    <w:name w:val="Style2"/>
    <w:basedOn w:val="Heading2"/>
    <w:link w:val="Style2Char"/>
    <w:autoRedefine/>
    <w:rsid w:val="00EC5C6A"/>
    <w:pPr>
      <w:keepLines w:val="0"/>
      <w:spacing w:before="0" w:line="240" w:lineRule="auto"/>
      <w:jc w:val="center"/>
    </w:pPr>
    <w:rPr>
      <w:rFonts w:ascii="Times New Roman" w:eastAsia="Times New Roman" w:hAnsi="Times New Roman" w:cs="Arial"/>
      <w:b w:val="0"/>
      <w:bCs w:val="0"/>
      <w:iCs/>
      <w:caps/>
      <w:noProof/>
      <w:snapToGrid w:val="0"/>
      <w:color w:val="auto"/>
      <w:kern w:val="32"/>
      <w:sz w:val="22"/>
      <w:szCs w:val="22"/>
    </w:rPr>
  </w:style>
  <w:style w:type="character" w:customStyle="1" w:styleId="Style2Char">
    <w:name w:val="Style2 Char"/>
    <w:link w:val="Style2"/>
    <w:locked/>
    <w:rsid w:val="00EC5C6A"/>
    <w:rPr>
      <w:rFonts w:ascii="Times New Roman" w:eastAsia="Times New Roman" w:hAnsi="Times New Roman" w:cs="Arial"/>
      <w:iCs/>
      <w:caps/>
      <w:noProof/>
      <w:snapToGrid w:val="0"/>
      <w:kern w:val="32"/>
      <w:lang w:val="pt-BR"/>
    </w:rPr>
  </w:style>
  <w:style w:type="character" w:customStyle="1" w:styleId="Heading2Char">
    <w:name w:val="Heading 2 Char"/>
    <w:link w:val="Heading2"/>
    <w:uiPriority w:val="9"/>
    <w:semiHidden/>
    <w:rsid w:val="00EC5C6A"/>
    <w:rPr>
      <w:rFonts w:ascii="Cambria" w:eastAsia="MS Gothic" w:hAnsi="Cambria" w:cs="Times New Roman"/>
      <w:b/>
      <w:bCs/>
      <w:color w:val="4F81BD"/>
      <w:sz w:val="26"/>
      <w:szCs w:val="26"/>
    </w:rPr>
  </w:style>
  <w:style w:type="paragraph" w:styleId="BalloonText">
    <w:name w:val="Balloon Text"/>
    <w:basedOn w:val="Normal"/>
    <w:semiHidden/>
    <w:rsid w:val="007F0E31"/>
    <w:rPr>
      <w:rFonts w:ascii="Tahoma" w:hAnsi="Tahoma" w:cs="Tahoma"/>
      <w:sz w:val="16"/>
      <w:szCs w:val="16"/>
    </w:rPr>
  </w:style>
  <w:style w:type="paragraph" w:customStyle="1" w:styleId="CharCharCharChar">
    <w:name w:val="Char Char Char Char"/>
    <w:basedOn w:val="Normal"/>
    <w:rsid w:val="009A40B4"/>
    <w:pPr>
      <w:tabs>
        <w:tab w:val="left" w:pos="540"/>
        <w:tab w:val="left" w:pos="1260"/>
        <w:tab w:val="left" w:pos="1800"/>
      </w:tabs>
      <w:spacing w:before="240" w:after="160" w:line="240" w:lineRule="exact"/>
    </w:pPr>
    <w:rPr>
      <w:rFonts w:ascii="Verdana" w:eastAsia="Times New Roman" w:hAnsi="Verdana"/>
      <w:sz w:val="24"/>
      <w:szCs w:val="20"/>
    </w:rPr>
  </w:style>
  <w:style w:type="paragraph" w:customStyle="1" w:styleId="Char">
    <w:name w:val="Char"/>
    <w:basedOn w:val="Normal"/>
    <w:rsid w:val="009A40B4"/>
    <w:pPr>
      <w:tabs>
        <w:tab w:val="left" w:pos="540"/>
        <w:tab w:val="left" w:pos="1260"/>
        <w:tab w:val="left" w:pos="1800"/>
      </w:tabs>
      <w:spacing w:before="240" w:after="160" w:line="240" w:lineRule="exact"/>
    </w:pPr>
    <w:rPr>
      <w:rFonts w:ascii="Verdana" w:eastAsia="Times New Roman" w:hAnsi="Verdana"/>
      <w:sz w:val="24"/>
      <w:szCs w:val="20"/>
    </w:rPr>
  </w:style>
  <w:style w:type="paragraph" w:styleId="EndnoteText">
    <w:name w:val="endnote text"/>
    <w:basedOn w:val="Normal"/>
    <w:link w:val="EndnoteTextChar"/>
    <w:uiPriority w:val="99"/>
    <w:semiHidden/>
    <w:unhideWhenUsed/>
    <w:rsid w:val="00445A82"/>
    <w:rPr>
      <w:sz w:val="20"/>
      <w:szCs w:val="20"/>
    </w:rPr>
  </w:style>
  <w:style w:type="character" w:customStyle="1" w:styleId="EndnoteTextChar">
    <w:name w:val="Endnote Text Char"/>
    <w:link w:val="EndnoteText"/>
    <w:uiPriority w:val="99"/>
    <w:semiHidden/>
    <w:rsid w:val="00445A82"/>
    <w:rPr>
      <w:lang w:eastAsia="en-US"/>
    </w:rPr>
  </w:style>
  <w:style w:type="character" w:styleId="EndnoteReference">
    <w:name w:val="endnote reference"/>
    <w:uiPriority w:val="99"/>
    <w:semiHidden/>
    <w:unhideWhenUsed/>
    <w:rsid w:val="00445A82"/>
    <w:rPr>
      <w:vertAlign w:val="superscript"/>
    </w:rPr>
  </w:style>
  <w:style w:type="character" w:styleId="CommentReference">
    <w:name w:val="annotation reference"/>
    <w:semiHidden/>
    <w:rsid w:val="00851C41"/>
    <w:rPr>
      <w:sz w:val="16"/>
      <w:szCs w:val="16"/>
    </w:rPr>
  </w:style>
  <w:style w:type="paragraph" w:styleId="CommentText">
    <w:name w:val="annotation text"/>
    <w:basedOn w:val="Normal"/>
    <w:semiHidden/>
    <w:rsid w:val="00851C41"/>
    <w:rPr>
      <w:sz w:val="20"/>
      <w:szCs w:val="20"/>
    </w:rPr>
  </w:style>
  <w:style w:type="paragraph" w:styleId="CommentSubject">
    <w:name w:val="annotation subject"/>
    <w:basedOn w:val="CommentText"/>
    <w:next w:val="CommentText"/>
    <w:semiHidden/>
    <w:rsid w:val="00851C41"/>
    <w:rPr>
      <w:b/>
      <w:bCs/>
    </w:rPr>
  </w:style>
  <w:style w:type="paragraph" w:styleId="BodyText">
    <w:name w:val="Body Text"/>
    <w:basedOn w:val="Normal"/>
    <w:rsid w:val="00BA2978"/>
    <w:pPr>
      <w:spacing w:after="120"/>
    </w:pPr>
  </w:style>
  <w:style w:type="paragraph" w:styleId="PlainText">
    <w:name w:val="Plain Text"/>
    <w:basedOn w:val="Normal"/>
    <w:unhideWhenUsed/>
    <w:rsid w:val="00805868"/>
    <w:pPr>
      <w:spacing w:after="0" w:line="240" w:lineRule="auto"/>
    </w:pPr>
    <w:rPr>
      <w:rFonts w:ascii="Consolas" w:eastAsia="Calibri" w:hAnsi="Consolas"/>
      <w:sz w:val="21"/>
      <w:szCs w:val="21"/>
      <w:lang w:eastAsia="x-none"/>
    </w:rPr>
  </w:style>
  <w:style w:type="paragraph" w:styleId="ListParagraph">
    <w:name w:val="List Paragraph"/>
    <w:aliases w:val="Dot pt,No Spacing1,List Paragraph Char Char Char,Indicator Text,Numbered Para 1,Colorful List - Accent 11,Bullet 1,F5 List Paragraph,Bullet Points,Normal Fv,viñetas,List Paragraph2,MAIN CONTENT,3,List Paragraph1,Figuras"/>
    <w:basedOn w:val="Normal"/>
    <w:link w:val="ListParagraphChar"/>
    <w:uiPriority w:val="34"/>
    <w:qFormat/>
    <w:rsid w:val="00B071CC"/>
    <w:pPr>
      <w:ind w:left="720"/>
      <w:contextualSpacing/>
    </w:pPr>
    <w:rPr>
      <w:rFonts w:eastAsia="SimSun"/>
      <w:lang w:eastAsia="es-MX"/>
    </w:rPr>
  </w:style>
  <w:style w:type="character" w:customStyle="1" w:styleId="ListParagraphChar">
    <w:name w:val="List Paragraph Char"/>
    <w:aliases w:val="Dot pt Char,No Spacing1 Char,List Paragraph Char Char Char Char,Indicator Text Char,Numbered Para 1 Char,Colorful List - Accent 11 Char,Bullet 1 Char,F5 List Paragraph Char,Bullet Points Char,Normal Fv Char,viñetas Char,3 Char"/>
    <w:link w:val="ListParagraph"/>
    <w:uiPriority w:val="34"/>
    <w:qFormat/>
    <w:rsid w:val="00B071CC"/>
    <w:rPr>
      <w:rFonts w:eastAsia="SimSun"/>
      <w:sz w:val="22"/>
      <w:szCs w:val="22"/>
      <w:lang w:val="pt-BR" w:eastAsia="es-MX"/>
    </w:rPr>
  </w:style>
  <w:style w:type="paragraph" w:customStyle="1" w:styleId="horario">
    <w:name w:val="horario"/>
    <w:basedOn w:val="Normal"/>
    <w:rsid w:val="00295914"/>
    <w:pPr>
      <w:spacing w:before="100" w:beforeAutospacing="1" w:after="100" w:afterAutospacing="1" w:line="240" w:lineRule="auto"/>
    </w:pPr>
    <w:rPr>
      <w:rFonts w:ascii="Times New Roman" w:eastAsiaTheme="minorHAnsi" w:hAnsi="Times New Roman"/>
      <w:sz w:val="24"/>
      <w:szCs w:val="24"/>
    </w:rPr>
  </w:style>
  <w:style w:type="character" w:styleId="Emphasis">
    <w:name w:val="Emphasis"/>
    <w:basedOn w:val="DefaultParagraphFont"/>
    <w:uiPriority w:val="20"/>
    <w:qFormat/>
    <w:rsid w:val="000E1E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468360">
      <w:bodyDiv w:val="1"/>
      <w:marLeft w:val="0"/>
      <w:marRight w:val="0"/>
      <w:marTop w:val="0"/>
      <w:marBottom w:val="0"/>
      <w:divBdr>
        <w:top w:val="none" w:sz="0" w:space="0" w:color="auto"/>
        <w:left w:val="none" w:sz="0" w:space="0" w:color="auto"/>
        <w:bottom w:val="none" w:sz="0" w:space="0" w:color="auto"/>
        <w:right w:val="none" w:sz="0" w:space="0" w:color="auto"/>
      </w:divBdr>
    </w:div>
    <w:div w:id="336663065">
      <w:bodyDiv w:val="1"/>
      <w:marLeft w:val="0"/>
      <w:marRight w:val="0"/>
      <w:marTop w:val="0"/>
      <w:marBottom w:val="0"/>
      <w:divBdr>
        <w:top w:val="none" w:sz="0" w:space="0" w:color="auto"/>
        <w:left w:val="none" w:sz="0" w:space="0" w:color="auto"/>
        <w:bottom w:val="none" w:sz="0" w:space="0" w:color="auto"/>
        <w:right w:val="none" w:sz="0" w:space="0" w:color="auto"/>
      </w:divBdr>
    </w:div>
    <w:div w:id="441806439">
      <w:bodyDiv w:val="1"/>
      <w:marLeft w:val="0"/>
      <w:marRight w:val="0"/>
      <w:marTop w:val="75"/>
      <w:marBottom w:val="0"/>
      <w:divBdr>
        <w:top w:val="none" w:sz="0" w:space="0" w:color="auto"/>
        <w:left w:val="none" w:sz="0" w:space="0" w:color="auto"/>
        <w:bottom w:val="none" w:sz="0" w:space="0" w:color="auto"/>
        <w:right w:val="none" w:sz="0" w:space="0" w:color="auto"/>
      </w:divBdr>
      <w:divsChild>
        <w:div w:id="1677534955">
          <w:marLeft w:val="0"/>
          <w:marRight w:val="0"/>
          <w:marTop w:val="0"/>
          <w:marBottom w:val="0"/>
          <w:divBdr>
            <w:top w:val="none" w:sz="0" w:space="0" w:color="auto"/>
            <w:left w:val="none" w:sz="0" w:space="0" w:color="auto"/>
            <w:bottom w:val="none" w:sz="0" w:space="0" w:color="auto"/>
            <w:right w:val="none" w:sz="0" w:space="0" w:color="auto"/>
          </w:divBdr>
        </w:div>
      </w:divsChild>
    </w:div>
    <w:div w:id="740060332">
      <w:bodyDiv w:val="1"/>
      <w:marLeft w:val="0"/>
      <w:marRight w:val="0"/>
      <w:marTop w:val="0"/>
      <w:marBottom w:val="0"/>
      <w:divBdr>
        <w:top w:val="none" w:sz="0" w:space="0" w:color="auto"/>
        <w:left w:val="none" w:sz="0" w:space="0" w:color="auto"/>
        <w:bottom w:val="none" w:sz="0" w:space="0" w:color="auto"/>
        <w:right w:val="none" w:sz="0" w:space="0" w:color="auto"/>
      </w:divBdr>
    </w:div>
    <w:div w:id="774833296">
      <w:bodyDiv w:val="1"/>
      <w:marLeft w:val="0"/>
      <w:marRight w:val="0"/>
      <w:marTop w:val="0"/>
      <w:marBottom w:val="0"/>
      <w:divBdr>
        <w:top w:val="none" w:sz="0" w:space="0" w:color="auto"/>
        <w:left w:val="none" w:sz="0" w:space="0" w:color="auto"/>
        <w:bottom w:val="none" w:sz="0" w:space="0" w:color="auto"/>
        <w:right w:val="none" w:sz="0" w:space="0" w:color="auto"/>
      </w:divBdr>
    </w:div>
    <w:div w:id="976568450">
      <w:bodyDiv w:val="1"/>
      <w:marLeft w:val="0"/>
      <w:marRight w:val="0"/>
      <w:marTop w:val="0"/>
      <w:marBottom w:val="0"/>
      <w:divBdr>
        <w:top w:val="none" w:sz="0" w:space="0" w:color="auto"/>
        <w:left w:val="none" w:sz="0" w:space="0" w:color="auto"/>
        <w:bottom w:val="none" w:sz="0" w:space="0" w:color="auto"/>
        <w:right w:val="none" w:sz="0" w:space="0" w:color="auto"/>
      </w:divBdr>
    </w:div>
    <w:div w:id="1222063365">
      <w:bodyDiv w:val="1"/>
      <w:marLeft w:val="0"/>
      <w:marRight w:val="0"/>
      <w:marTop w:val="0"/>
      <w:marBottom w:val="0"/>
      <w:divBdr>
        <w:top w:val="none" w:sz="0" w:space="0" w:color="auto"/>
        <w:left w:val="none" w:sz="0" w:space="0" w:color="auto"/>
        <w:bottom w:val="none" w:sz="0" w:space="0" w:color="auto"/>
        <w:right w:val="none" w:sz="0" w:space="0" w:color="auto"/>
      </w:divBdr>
    </w:div>
    <w:div w:id="1369839472">
      <w:bodyDiv w:val="1"/>
      <w:marLeft w:val="0"/>
      <w:marRight w:val="0"/>
      <w:marTop w:val="0"/>
      <w:marBottom w:val="0"/>
      <w:divBdr>
        <w:top w:val="none" w:sz="0" w:space="0" w:color="auto"/>
        <w:left w:val="none" w:sz="0" w:space="0" w:color="auto"/>
        <w:bottom w:val="none" w:sz="0" w:space="0" w:color="auto"/>
        <w:right w:val="none" w:sz="0" w:space="0" w:color="auto"/>
      </w:divBdr>
    </w:div>
    <w:div w:id="1490171181">
      <w:bodyDiv w:val="1"/>
      <w:marLeft w:val="0"/>
      <w:marRight w:val="0"/>
      <w:marTop w:val="0"/>
      <w:marBottom w:val="0"/>
      <w:divBdr>
        <w:top w:val="none" w:sz="0" w:space="0" w:color="auto"/>
        <w:left w:val="none" w:sz="0" w:space="0" w:color="auto"/>
        <w:bottom w:val="none" w:sz="0" w:space="0" w:color="auto"/>
        <w:right w:val="none" w:sz="0" w:space="0" w:color="auto"/>
      </w:divBdr>
    </w:div>
    <w:div w:id="1506242555">
      <w:bodyDiv w:val="1"/>
      <w:marLeft w:val="0"/>
      <w:marRight w:val="0"/>
      <w:marTop w:val="0"/>
      <w:marBottom w:val="0"/>
      <w:divBdr>
        <w:top w:val="none" w:sz="0" w:space="0" w:color="auto"/>
        <w:left w:val="none" w:sz="0" w:space="0" w:color="auto"/>
        <w:bottom w:val="none" w:sz="0" w:space="0" w:color="auto"/>
        <w:right w:val="none" w:sz="0" w:space="0" w:color="auto"/>
      </w:divBdr>
    </w:div>
    <w:div w:id="1651713272">
      <w:bodyDiv w:val="1"/>
      <w:marLeft w:val="0"/>
      <w:marRight w:val="0"/>
      <w:marTop w:val="75"/>
      <w:marBottom w:val="0"/>
      <w:divBdr>
        <w:top w:val="none" w:sz="0" w:space="0" w:color="auto"/>
        <w:left w:val="none" w:sz="0" w:space="0" w:color="auto"/>
        <w:bottom w:val="none" w:sz="0" w:space="0" w:color="auto"/>
        <w:right w:val="none" w:sz="0" w:space="0" w:color="auto"/>
      </w:divBdr>
      <w:divsChild>
        <w:div w:id="1946420942">
          <w:marLeft w:val="0"/>
          <w:marRight w:val="0"/>
          <w:marTop w:val="0"/>
          <w:marBottom w:val="0"/>
          <w:divBdr>
            <w:top w:val="none" w:sz="0" w:space="0" w:color="auto"/>
            <w:left w:val="none" w:sz="0" w:space="0" w:color="auto"/>
            <w:bottom w:val="none" w:sz="0" w:space="0" w:color="auto"/>
            <w:right w:val="none" w:sz="0" w:space="0" w:color="auto"/>
          </w:divBdr>
        </w:div>
      </w:divsChild>
    </w:div>
    <w:div w:id="1719276998">
      <w:bodyDiv w:val="1"/>
      <w:marLeft w:val="0"/>
      <w:marRight w:val="0"/>
      <w:marTop w:val="0"/>
      <w:marBottom w:val="0"/>
      <w:divBdr>
        <w:top w:val="none" w:sz="0" w:space="0" w:color="auto"/>
        <w:left w:val="none" w:sz="0" w:space="0" w:color="auto"/>
        <w:bottom w:val="none" w:sz="0" w:space="0" w:color="auto"/>
        <w:right w:val="none" w:sz="0" w:space="0" w:color="auto"/>
      </w:divBdr>
    </w:div>
    <w:div w:id="1721589382">
      <w:bodyDiv w:val="1"/>
      <w:marLeft w:val="0"/>
      <w:marRight w:val="0"/>
      <w:marTop w:val="0"/>
      <w:marBottom w:val="0"/>
      <w:divBdr>
        <w:top w:val="none" w:sz="0" w:space="0" w:color="auto"/>
        <w:left w:val="none" w:sz="0" w:space="0" w:color="auto"/>
        <w:bottom w:val="none" w:sz="0" w:space="0" w:color="auto"/>
        <w:right w:val="none" w:sz="0" w:space="0" w:color="auto"/>
      </w:divBdr>
    </w:div>
    <w:div w:id="2070571016">
      <w:bodyDiv w:val="1"/>
      <w:marLeft w:val="0"/>
      <w:marRight w:val="0"/>
      <w:marTop w:val="0"/>
      <w:marBottom w:val="0"/>
      <w:divBdr>
        <w:top w:val="none" w:sz="0" w:space="0" w:color="auto"/>
        <w:left w:val="none" w:sz="0" w:space="0" w:color="auto"/>
        <w:bottom w:val="none" w:sz="0" w:space="0" w:color="auto"/>
        <w:right w:val="none" w:sz="0" w:space="0" w:color="auto"/>
      </w:divBdr>
    </w:div>
    <w:div w:id="2084063990">
      <w:bodyDiv w:val="1"/>
      <w:marLeft w:val="0"/>
      <w:marRight w:val="0"/>
      <w:marTop w:val="0"/>
      <w:marBottom w:val="0"/>
      <w:divBdr>
        <w:top w:val="none" w:sz="0" w:space="0" w:color="auto"/>
        <w:left w:val="none" w:sz="0" w:space="0" w:color="auto"/>
        <w:bottom w:val="none" w:sz="0" w:space="0" w:color="auto"/>
        <w:right w:val="none" w:sz="0" w:space="0" w:color="auto"/>
      </w:divBdr>
    </w:div>
    <w:div w:id="2094429882">
      <w:bodyDiv w:val="1"/>
      <w:marLeft w:val="0"/>
      <w:marRight w:val="0"/>
      <w:marTop w:val="0"/>
      <w:marBottom w:val="0"/>
      <w:divBdr>
        <w:top w:val="none" w:sz="0" w:space="0" w:color="auto"/>
        <w:left w:val="none" w:sz="0" w:space="0" w:color="auto"/>
        <w:bottom w:val="none" w:sz="0" w:space="0" w:color="auto"/>
        <w:right w:val="none" w:sz="0" w:space="0" w:color="auto"/>
      </w:divBdr>
    </w:div>
    <w:div w:id="214041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035A163BC0046A41C2EBE1E58AFFF" ma:contentTypeVersion="1" ma:contentTypeDescription="Create a new document." ma:contentTypeScope="" ma:versionID="413af19bcb59ebd614d4f80392d470c1">
  <xsd:schema xmlns:xsd="http://www.w3.org/2001/XMLSchema" xmlns:xs="http://www.w3.org/2001/XMLSchema" xmlns:p="http://schemas.microsoft.com/office/2006/metadata/properties" xmlns:ns2="89f4cd83-a2d3-4405-9b45-6aff5241ff81" targetNamespace="http://schemas.microsoft.com/office/2006/metadata/properties" ma:root="true" ma:fieldsID="4b0342c81372e05998e770e64ad0cf8c" ns2:_="">
    <xsd:import namespace="89f4cd83-a2d3-4405-9b45-6aff5241ff8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4cd83-a2d3-4405-9b45-6aff5241ff8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9BC5F-7294-443F-BBD7-761C1783B696}">
  <ds:schemaRefs>
    <ds:schemaRef ds:uri="http://schemas.microsoft.com/sharepoint/v3/contenttype/forms"/>
  </ds:schemaRefs>
</ds:datastoreItem>
</file>

<file path=customXml/itemProps2.xml><?xml version="1.0" encoding="utf-8"?>
<ds:datastoreItem xmlns:ds="http://schemas.openxmlformats.org/officeDocument/2006/customXml" ds:itemID="{85A76E65-E618-4215-A782-C247498BC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4cd83-a2d3-4405-9b45-6aff5241f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E1C21C-61F5-4164-8693-00938F9415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E10A8A-D66A-4681-97B3-FD9B75691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5</Pages>
  <Words>1903</Words>
  <Characters>10849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PLAN DE TRABAJO</vt:lpstr>
    </vt:vector>
  </TitlesOfParts>
  <Company>Microsoft</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TRABAJO</dc:title>
  <dc:creator>MPCOEA</dc:creator>
  <cp:lastModifiedBy>Lobaton, Ursula</cp:lastModifiedBy>
  <cp:revision>11</cp:revision>
  <cp:lastPrinted>2013-08-05T22:05:00Z</cp:lastPrinted>
  <dcterms:created xsi:type="dcterms:W3CDTF">2022-04-06T19:04:00Z</dcterms:created>
  <dcterms:modified xsi:type="dcterms:W3CDTF">2022-04-12T20:45:00Z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0x01010076D035A163BC0046A41C2EBE1E58AFFF</vt:lpwstr>
  </property>
</Properties>
</file>