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13CCDA28" w:rsidR="003F62F8" w:rsidRPr="00CC289A" w:rsidRDefault="001E055F" w:rsidP="00CC289A">
      <w:pPr>
        <w:tabs>
          <w:tab w:val="left" w:pos="6660"/>
        </w:tabs>
        <w:jc w:val="both"/>
        <w:rPr>
          <w:sz w:val="22"/>
          <w:szCs w:val="22"/>
          <w:lang w:val="pt-BR"/>
        </w:rPr>
      </w:pPr>
      <w:r w:rsidRPr="00CC289A">
        <w:rPr>
          <w:b/>
          <w:bCs/>
          <w:caps/>
          <w:sz w:val="22"/>
          <w:szCs w:val="22"/>
          <w:lang w:val="pt-BR"/>
        </w:rPr>
        <w:t>Sexta Reunião de Ministros</w:t>
      </w:r>
      <w:r w:rsidRPr="00CC289A">
        <w:rPr>
          <w:b/>
          <w:bCs/>
          <w:sz w:val="22"/>
          <w:szCs w:val="22"/>
          <w:lang w:val="pt-BR"/>
        </w:rPr>
        <w:t xml:space="preserve"> </w:t>
      </w:r>
      <w:r w:rsidRPr="00CC289A">
        <w:rPr>
          <w:b/>
          <w:bCs/>
          <w:caps/>
          <w:sz w:val="22"/>
          <w:szCs w:val="22"/>
          <w:lang w:val="pt-BR"/>
        </w:rPr>
        <w:t>e Altas Autoridades</w:t>
      </w:r>
      <w:r w:rsidR="008C6517" w:rsidRPr="00CC289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CC289A">
        <w:rPr>
          <w:b/>
          <w:sz w:val="22"/>
          <w:szCs w:val="22"/>
          <w:lang w:val="pt-BR"/>
        </w:rPr>
        <w:t xml:space="preserve"> </w:t>
      </w:r>
      <w:r w:rsidR="0034560B" w:rsidRPr="00CC289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CC289A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CC289A">
        <w:rPr>
          <w:snapToGrid w:val="0"/>
          <w:sz w:val="22"/>
          <w:szCs w:val="22"/>
          <w:lang w:val="pt-BR"/>
        </w:rPr>
        <w:t>OEA/Ser.K/</w:t>
      </w:r>
      <w:r w:rsidRPr="00CC289A">
        <w:rPr>
          <w:snapToGrid w:val="0"/>
          <w:sz w:val="22"/>
          <w:szCs w:val="22"/>
          <w:lang w:val="pt-BR"/>
        </w:rPr>
        <w:t>XV</w:t>
      </w:r>
      <w:r w:rsidR="008C6517" w:rsidRPr="00CC289A">
        <w:rPr>
          <w:snapToGrid w:val="0"/>
          <w:sz w:val="22"/>
          <w:szCs w:val="22"/>
          <w:lang w:val="pt-BR"/>
        </w:rPr>
        <w:t>II</w:t>
      </w:r>
      <w:r w:rsidR="003F62F8" w:rsidRPr="00CC289A">
        <w:rPr>
          <w:snapToGrid w:val="0"/>
          <w:sz w:val="22"/>
          <w:szCs w:val="22"/>
          <w:lang w:val="pt-BR"/>
        </w:rPr>
        <w:t>I.</w:t>
      </w:r>
      <w:r w:rsidR="008C6517" w:rsidRPr="00CC289A">
        <w:rPr>
          <w:snapToGrid w:val="0"/>
          <w:sz w:val="22"/>
          <w:szCs w:val="22"/>
          <w:lang w:val="pt-BR"/>
        </w:rPr>
        <w:t>6</w:t>
      </w:r>
    </w:p>
    <w:p w14:paraId="75BE0785" w14:textId="50DAAE4E" w:rsidR="001E055F" w:rsidRPr="00CC289A" w:rsidRDefault="001E055F" w:rsidP="00CC289A">
      <w:pPr>
        <w:tabs>
          <w:tab w:val="left" w:pos="6660"/>
        </w:tabs>
        <w:ind w:right="-569"/>
        <w:rPr>
          <w:snapToGrid w:val="0"/>
          <w:sz w:val="22"/>
          <w:szCs w:val="22"/>
          <w:lang w:val="pt-BR"/>
        </w:rPr>
      </w:pPr>
      <w:r w:rsidRPr="00CC289A">
        <w:rPr>
          <w:b/>
          <w:bCs/>
          <w:caps/>
          <w:sz w:val="22"/>
          <w:szCs w:val="22"/>
          <w:lang w:val="pt-BR"/>
        </w:rPr>
        <w:t>de Ciência e Tecnologia</w:t>
      </w:r>
      <w:r w:rsidRPr="00CC289A">
        <w:rPr>
          <w:b/>
          <w:bCs/>
          <w:caps/>
          <w:sz w:val="22"/>
          <w:szCs w:val="22"/>
          <w:lang w:val="pt-BR"/>
        </w:rPr>
        <w:tab/>
      </w:r>
      <w:r w:rsidR="003F62F8" w:rsidRPr="00CC289A">
        <w:rPr>
          <w:bCs/>
          <w:sz w:val="22"/>
          <w:szCs w:val="22"/>
          <w:lang w:val="pt-BR"/>
        </w:rPr>
        <w:t>CIDI/</w:t>
      </w:r>
      <w:r w:rsidRPr="00CC289A">
        <w:rPr>
          <w:bCs/>
          <w:sz w:val="22"/>
          <w:szCs w:val="22"/>
          <w:lang w:val="pt-BR"/>
        </w:rPr>
        <w:t>REMCYT-</w:t>
      </w:r>
      <w:r w:rsidR="00D802CE" w:rsidRPr="00CC289A">
        <w:rPr>
          <w:bCs/>
          <w:snapToGrid w:val="0"/>
          <w:sz w:val="22"/>
          <w:szCs w:val="22"/>
          <w:lang w:val="pt-BR"/>
        </w:rPr>
        <w:t>V</w:t>
      </w:r>
      <w:r w:rsidR="00CC3A77">
        <w:rPr>
          <w:bCs/>
          <w:snapToGrid w:val="0"/>
          <w:sz w:val="22"/>
          <w:szCs w:val="22"/>
          <w:lang w:val="pt-BR"/>
        </w:rPr>
        <w:t>I</w:t>
      </w:r>
      <w:r w:rsidR="003F62F8" w:rsidRPr="00CC289A">
        <w:rPr>
          <w:bCs/>
          <w:snapToGrid w:val="0"/>
          <w:sz w:val="22"/>
          <w:szCs w:val="22"/>
          <w:lang w:val="pt-BR"/>
        </w:rPr>
        <w:t>/</w:t>
      </w:r>
      <w:r w:rsidR="00E506E0" w:rsidRPr="00CC289A">
        <w:rPr>
          <w:bCs/>
          <w:snapToGrid w:val="0"/>
          <w:sz w:val="22"/>
          <w:szCs w:val="22"/>
          <w:lang w:val="pt-BR"/>
        </w:rPr>
        <w:t>doc.</w:t>
      </w:r>
      <w:r w:rsidR="00CC289A" w:rsidRPr="00CC289A">
        <w:rPr>
          <w:bCs/>
          <w:snapToGrid w:val="0"/>
          <w:sz w:val="22"/>
          <w:szCs w:val="22"/>
          <w:lang w:val="pt-BR"/>
        </w:rPr>
        <w:t xml:space="preserve"> 2</w:t>
      </w:r>
      <w:r w:rsidR="003F62F8" w:rsidRPr="00CC289A">
        <w:rPr>
          <w:bCs/>
          <w:snapToGrid w:val="0"/>
          <w:sz w:val="22"/>
          <w:szCs w:val="22"/>
          <w:lang w:val="pt-BR"/>
        </w:rPr>
        <w:t>/</w:t>
      </w:r>
      <w:r w:rsidR="00502A58" w:rsidRPr="00CC289A">
        <w:rPr>
          <w:snapToGrid w:val="0"/>
          <w:sz w:val="22"/>
          <w:szCs w:val="22"/>
          <w:lang w:val="pt-BR"/>
        </w:rPr>
        <w:t>2</w:t>
      </w:r>
      <w:r w:rsidRPr="00CC289A">
        <w:rPr>
          <w:snapToGrid w:val="0"/>
          <w:sz w:val="22"/>
          <w:szCs w:val="22"/>
          <w:lang w:val="pt-BR"/>
        </w:rPr>
        <w:t>1</w:t>
      </w:r>
      <w:r w:rsidR="000407ED">
        <w:rPr>
          <w:snapToGrid w:val="0"/>
          <w:sz w:val="22"/>
          <w:szCs w:val="22"/>
          <w:lang w:val="pt-BR"/>
        </w:rPr>
        <w:t xml:space="preserve"> rev.1</w:t>
      </w:r>
    </w:p>
    <w:p w14:paraId="3B7EC06A" w14:textId="44A394CF" w:rsidR="003F62F8" w:rsidRPr="00CC289A" w:rsidRDefault="00300B82" w:rsidP="00CC289A">
      <w:pPr>
        <w:tabs>
          <w:tab w:val="left" w:pos="6660"/>
        </w:tabs>
        <w:ind w:right="-569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1E055F" w:rsidRPr="00CC289A">
        <w:rPr>
          <w:sz w:val="22"/>
          <w:szCs w:val="22"/>
          <w:lang w:val="pt-BR"/>
        </w:rPr>
        <w:t xml:space="preserve">7 </w:t>
      </w:r>
      <w:r>
        <w:rPr>
          <w:sz w:val="22"/>
          <w:szCs w:val="22"/>
          <w:lang w:val="pt-BR"/>
        </w:rPr>
        <w:t>a</w:t>
      </w:r>
      <w:r w:rsidR="001E055F" w:rsidRPr="00CC289A">
        <w:rPr>
          <w:sz w:val="22"/>
          <w:szCs w:val="22"/>
          <w:lang w:val="pt-BR"/>
        </w:rPr>
        <w:t xml:space="preserve"> 8 </w:t>
      </w:r>
      <w:r w:rsidR="00D802CE" w:rsidRPr="00CC289A">
        <w:rPr>
          <w:sz w:val="22"/>
          <w:szCs w:val="22"/>
          <w:lang w:val="pt-BR"/>
        </w:rPr>
        <w:t xml:space="preserve">de </w:t>
      </w:r>
      <w:r w:rsidR="001E055F" w:rsidRPr="00CC289A">
        <w:rPr>
          <w:sz w:val="22"/>
          <w:szCs w:val="22"/>
          <w:lang w:val="pt-BR"/>
        </w:rPr>
        <w:t>dezembro</w:t>
      </w:r>
      <w:r w:rsidR="00D802CE" w:rsidRPr="00CC289A">
        <w:rPr>
          <w:sz w:val="22"/>
          <w:szCs w:val="22"/>
          <w:lang w:val="pt-BR"/>
        </w:rPr>
        <w:t xml:space="preserve"> de 2021</w:t>
      </w:r>
      <w:r w:rsidR="003F62F8" w:rsidRPr="00CC289A">
        <w:rPr>
          <w:b/>
          <w:bCs/>
          <w:snapToGrid w:val="0"/>
          <w:sz w:val="22"/>
          <w:szCs w:val="22"/>
          <w:lang w:val="pt-BR"/>
        </w:rPr>
        <w:tab/>
      </w:r>
      <w:r w:rsidR="000407ED">
        <w:rPr>
          <w:snapToGrid w:val="0"/>
          <w:sz w:val="22"/>
          <w:szCs w:val="22"/>
          <w:lang w:val="pt-BR"/>
        </w:rPr>
        <w:t>7</w:t>
      </w:r>
      <w:r w:rsidR="001E055F" w:rsidRPr="00CC289A">
        <w:rPr>
          <w:snapToGrid w:val="0"/>
          <w:sz w:val="22"/>
          <w:szCs w:val="22"/>
          <w:lang w:val="pt-BR"/>
        </w:rPr>
        <w:t xml:space="preserve"> </w:t>
      </w:r>
      <w:r w:rsidR="000407ED">
        <w:rPr>
          <w:snapToGrid w:val="0"/>
          <w:sz w:val="22"/>
          <w:szCs w:val="22"/>
          <w:lang w:val="pt-BR"/>
        </w:rPr>
        <w:t>dez</w:t>
      </w:r>
      <w:r w:rsidR="001E055F" w:rsidRPr="00CC289A">
        <w:rPr>
          <w:snapToGrid w:val="0"/>
          <w:sz w:val="22"/>
          <w:szCs w:val="22"/>
          <w:lang w:val="pt-BR"/>
        </w:rPr>
        <w:t>embro</w:t>
      </w:r>
      <w:r w:rsidR="00E506E0" w:rsidRPr="00CC289A">
        <w:rPr>
          <w:snapToGrid w:val="0"/>
          <w:sz w:val="22"/>
          <w:szCs w:val="22"/>
          <w:lang w:val="pt-BR"/>
        </w:rPr>
        <w:t xml:space="preserve"> </w:t>
      </w:r>
      <w:r w:rsidR="00502A58" w:rsidRPr="00CC289A">
        <w:rPr>
          <w:snapToGrid w:val="0"/>
          <w:sz w:val="22"/>
          <w:szCs w:val="22"/>
          <w:lang w:val="pt-BR"/>
        </w:rPr>
        <w:t>2021</w:t>
      </w:r>
    </w:p>
    <w:p w14:paraId="08A86F03" w14:textId="2A49B9A1" w:rsidR="00502A58" w:rsidRPr="00CC289A" w:rsidRDefault="00502A58" w:rsidP="00CC289A">
      <w:pPr>
        <w:tabs>
          <w:tab w:val="left" w:pos="666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CC289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CC289A">
        <w:rPr>
          <w:color w:val="000000"/>
          <w:sz w:val="22"/>
          <w:szCs w:val="22"/>
          <w:lang w:val="pt-BR"/>
        </w:rPr>
        <w:t>Estados Unidos da América</w:t>
      </w:r>
      <w:r w:rsidRPr="00CC289A">
        <w:rPr>
          <w:color w:val="000000"/>
          <w:sz w:val="22"/>
          <w:szCs w:val="22"/>
          <w:lang w:val="pt-BR"/>
        </w:rPr>
        <w:tab/>
      </w:r>
      <w:r w:rsidRPr="00CC289A">
        <w:rPr>
          <w:sz w:val="22"/>
          <w:szCs w:val="22"/>
          <w:lang w:val="pt-BR"/>
        </w:rPr>
        <w:t xml:space="preserve">Original: </w:t>
      </w:r>
      <w:r w:rsidR="007F7D4B" w:rsidRPr="00CC289A">
        <w:rPr>
          <w:sz w:val="22"/>
          <w:szCs w:val="22"/>
          <w:lang w:val="pt-BR"/>
        </w:rPr>
        <w:t xml:space="preserve">inglês </w:t>
      </w:r>
    </w:p>
    <w:p w14:paraId="40B78B06" w14:textId="77777777" w:rsidR="003F62F8" w:rsidRPr="00CC289A" w:rsidRDefault="00502A58" w:rsidP="00CC289A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CC289A">
        <w:rPr>
          <w:color w:val="000000"/>
          <w:sz w:val="22"/>
          <w:szCs w:val="22"/>
          <w:lang w:val="pt-BR"/>
        </w:rPr>
        <w:t>VIRTUAL</w:t>
      </w:r>
      <w:r w:rsidR="003F62F8" w:rsidRPr="00CC289A">
        <w:rPr>
          <w:sz w:val="22"/>
          <w:szCs w:val="22"/>
          <w:lang w:val="pt-BR"/>
        </w:rPr>
        <w:tab/>
      </w:r>
    </w:p>
    <w:p w14:paraId="5C5D4337" w14:textId="77777777" w:rsidR="00032517" w:rsidRPr="00CC289A" w:rsidRDefault="00032517" w:rsidP="00CC289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AD1B14C" w14:textId="77777777" w:rsidR="008C6517" w:rsidRPr="00CC289A" w:rsidRDefault="008C6517" w:rsidP="00CC289A">
      <w:pPr>
        <w:rPr>
          <w:sz w:val="22"/>
          <w:szCs w:val="22"/>
          <w:lang w:val="pt-BR"/>
        </w:rPr>
      </w:pPr>
    </w:p>
    <w:p w14:paraId="2B15015A" w14:textId="26FD4D8D" w:rsidR="007F7D4B" w:rsidRPr="00CC289A" w:rsidRDefault="007F7D4B" w:rsidP="00CC289A">
      <w:pPr>
        <w:ind w:left="1440" w:hanging="720"/>
        <w:rPr>
          <w:sz w:val="22"/>
          <w:szCs w:val="22"/>
          <w:lang w:val="pt-BR"/>
        </w:rPr>
      </w:pPr>
      <w:r w:rsidRPr="00CC28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E1B46F" wp14:editId="70D3DEE3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A51E" w14:textId="77777777" w:rsidR="007F7D4B" w:rsidRPr="00EA0B17" w:rsidRDefault="007F7D4B" w:rsidP="007F7D4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1B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4pt;margin-top:751.2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Hv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PXDIe/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6CF5A51E" w14:textId="77777777" w:rsidR="007F7D4B" w:rsidRPr="00EA0B17" w:rsidRDefault="007F7D4B" w:rsidP="007F7D4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360E8F" w14:textId="5290B146" w:rsidR="00CC289A" w:rsidRPr="000407ED" w:rsidRDefault="00CC289A" w:rsidP="00CC289A">
      <w:pPr>
        <w:jc w:val="center"/>
        <w:outlineLvl w:val="0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AGENDA ANOTADA </w:t>
      </w:r>
    </w:p>
    <w:p w14:paraId="13D98368" w14:textId="77777777" w:rsidR="00CC289A" w:rsidRPr="000407ED" w:rsidRDefault="00CC289A" w:rsidP="00CC289A">
      <w:pPr>
        <w:rPr>
          <w:sz w:val="22"/>
          <w:szCs w:val="22"/>
          <w:lang w:val="pt-BR"/>
        </w:rPr>
      </w:pPr>
    </w:p>
    <w:p w14:paraId="0D4A616B" w14:textId="77777777" w:rsidR="00CC289A" w:rsidRPr="000407ED" w:rsidRDefault="00CC289A" w:rsidP="00CC289A">
      <w:pPr>
        <w:jc w:val="center"/>
        <w:outlineLvl w:val="0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“Aproveitando o poder da ciência e das tecnologias transformadoras</w:t>
      </w:r>
    </w:p>
    <w:p w14:paraId="79880C86" w14:textId="77777777" w:rsidR="00CC289A" w:rsidRPr="000407ED" w:rsidRDefault="00CC289A" w:rsidP="00CC289A">
      <w:pPr>
        <w:jc w:val="center"/>
        <w:outlineLvl w:val="0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para impulsionar as nossas comunidades rumo ao futuro”</w:t>
      </w:r>
    </w:p>
    <w:p w14:paraId="73557BE5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317EECEA" w14:textId="34C8AACA" w:rsidR="00CC289A" w:rsidRDefault="000407ED" w:rsidP="000407ED">
      <w:pPr>
        <w:jc w:val="center"/>
        <w:rPr>
          <w:sz w:val="22"/>
          <w:szCs w:val="22"/>
          <w:lang w:val="pt-BR"/>
        </w:rPr>
      </w:pPr>
      <w:r>
        <w:rPr>
          <w:sz w:val="22"/>
          <w:szCs w:val="20"/>
          <w:lang w:val="pt-BR"/>
        </w:rPr>
        <w:t>(Aprovada durante na primeira sessão plenária realizada em 7 de dezembro de 2021)</w:t>
      </w:r>
    </w:p>
    <w:p w14:paraId="10BC34E0" w14:textId="77777777" w:rsidR="000407ED" w:rsidRPr="000407ED" w:rsidRDefault="000407ED" w:rsidP="00CC289A">
      <w:pPr>
        <w:jc w:val="both"/>
        <w:rPr>
          <w:sz w:val="22"/>
          <w:szCs w:val="22"/>
          <w:lang w:val="pt-BR"/>
        </w:rPr>
      </w:pPr>
    </w:p>
    <w:p w14:paraId="6D53960F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3AB0C179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ANTECEDENTES</w:t>
      </w:r>
    </w:p>
    <w:p w14:paraId="29FB1AE5" w14:textId="77777777" w:rsidR="00CC289A" w:rsidRPr="000407ED" w:rsidRDefault="00CC289A" w:rsidP="00CC289A">
      <w:pPr>
        <w:jc w:val="both"/>
        <w:rPr>
          <w:rFonts w:eastAsia="SimSun"/>
          <w:color w:val="000000"/>
          <w:sz w:val="22"/>
          <w:szCs w:val="22"/>
          <w:shd w:val="clear" w:color="auto" w:fill="FFFFFF"/>
          <w:lang w:val="pt-BR"/>
        </w:rPr>
      </w:pPr>
    </w:p>
    <w:p w14:paraId="2143982A" w14:textId="77777777" w:rsidR="00CC289A" w:rsidRPr="000407ED" w:rsidRDefault="00CC289A" w:rsidP="00CC289A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Todos os Estados membros da Organização dos Estados Americanos (OEA) foram afetados de maneira significativa pelos impactos sociais econômicos e ambientais da pandemia de covid-19. </w:t>
      </w:r>
    </w:p>
    <w:p w14:paraId="393135FC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FF0DD43" w14:textId="77777777" w:rsidR="00CC289A" w:rsidRPr="000407ED" w:rsidRDefault="00CC289A" w:rsidP="00CC289A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A Sexta Reunião de Ministros e Altas Autoridades de Ciência e Tecnologia (VI REMCYT) REMCYT envolverá os Estados membros na promoção do potencial da ciência, da tecnologia e da inovação, para fazer frente aos imperativos do desenvolvimento nas Américas, inclusive aqueles que surjam como consequência da covid -19. As sessões se centrarão em como a ciência e a tecnologia podem ser usadas para acelerar a recuperação pós-covid, com ênfase nas prioridades, boas práticas e soluções viáveis que possam ser adotadas pelos Estados membros em seu processo de recuperação. </w:t>
      </w:r>
    </w:p>
    <w:p w14:paraId="46652F94" w14:textId="77777777" w:rsidR="00CC289A" w:rsidRPr="000407ED" w:rsidRDefault="00CC289A" w:rsidP="00CC289A">
      <w:pPr>
        <w:tabs>
          <w:tab w:val="left" w:pos="720"/>
          <w:tab w:val="left" w:pos="1440"/>
        </w:tabs>
        <w:rPr>
          <w:sz w:val="22"/>
          <w:szCs w:val="22"/>
          <w:lang w:val="pt-BR"/>
        </w:rPr>
      </w:pPr>
    </w:p>
    <w:p w14:paraId="32DF0B3F" w14:textId="77777777" w:rsidR="00CC289A" w:rsidRPr="000407ED" w:rsidRDefault="00CC289A" w:rsidP="00CC289A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Os Estados membros serão convidados a oferecer ideias para a implementação e contribuições específicas, como passos e medidas para fazer avançar a participação hemisférica e assegurar compromissos de cooperação e parcerias na VI REMCYT. Dentre as questões para orientação dos Estados membros destacam-se: 1) Quais as principais lacunas ou desafios para seu país? 2) Que subsídios ou enfoques específicos seu país pode sugerir para dar andamento a ações nessa área? 3) Que ofertas de cooperação/experiência seu país pode proporcionar para implementar essas propostas?</w:t>
      </w:r>
    </w:p>
    <w:p w14:paraId="31BF387E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0FE713FE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ab/>
        <w:t xml:space="preserve">Os Ministros e Altas Autoridades trabalharão pela aprovação da Declaração da </w:t>
      </w:r>
      <w:r w:rsidRPr="000407ED">
        <w:rPr>
          <w:rFonts w:eastAsia="SimSun"/>
          <w:color w:val="000000"/>
          <w:sz w:val="22"/>
          <w:szCs w:val="22"/>
          <w:shd w:val="clear" w:color="auto" w:fill="FFFFFF"/>
          <w:lang w:val="pt-BR"/>
        </w:rPr>
        <w:t xml:space="preserve">Jamaica, com foco nas prioridades fundamentais para a cooperação e recomendações regionais a serem apresentadas ao processo de Cúpulas, que reunirá os Chefes de Estado nos Estados Unidos no verão de 2022. </w:t>
      </w:r>
    </w:p>
    <w:p w14:paraId="2EF69F10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4640ED99" w14:textId="77777777" w:rsidR="00CC289A" w:rsidRPr="000407ED" w:rsidRDefault="00CC289A" w:rsidP="00CC289A">
      <w:pPr>
        <w:tabs>
          <w:tab w:val="left" w:pos="720"/>
          <w:tab w:val="num" w:pos="4320"/>
        </w:tabs>
        <w:ind w:left="720" w:hanging="720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1. </w:t>
      </w:r>
      <w:r w:rsidRPr="000407ED">
        <w:rPr>
          <w:sz w:val="22"/>
          <w:szCs w:val="22"/>
          <w:lang w:val="pt-BR"/>
        </w:rPr>
        <w:tab/>
        <w:t>Ciência e tecnologia para construir resiliência no âmbito do desenvolvimento sustentável e da recuperação pós-covid-19</w:t>
      </w:r>
    </w:p>
    <w:p w14:paraId="43E7D6AE" w14:textId="77777777" w:rsidR="00CC289A" w:rsidRPr="000407ED" w:rsidRDefault="00CC289A" w:rsidP="00CC289A">
      <w:pPr>
        <w:tabs>
          <w:tab w:val="num" w:pos="4320"/>
        </w:tabs>
        <w:rPr>
          <w:sz w:val="22"/>
          <w:szCs w:val="22"/>
          <w:lang w:val="pt-BR"/>
        </w:rPr>
      </w:pPr>
    </w:p>
    <w:p w14:paraId="3023B1B8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ab/>
        <w:t xml:space="preserve">Nesse tema, a VI REMCYT oferecerá a oportunidade de explorar várias tecnologias e competências orientadas por dados, que possam ser mobilizadas para enfrentar os atuais desafios enfrentados pela região, no que se refere à redução de efeitos de desastres, além da adaptação e respostas a esses fenômenos. As atuais tecnologias e enfoques serão mostradas aos Estados membros, para que considerem sua implementação, dependendo das realidades e prioridades nacionais. Os Estados membros </w:t>
      </w:r>
      <w:r w:rsidRPr="000407ED">
        <w:rPr>
          <w:sz w:val="22"/>
          <w:szCs w:val="22"/>
          <w:lang w:val="pt-BR"/>
        </w:rPr>
        <w:lastRenderedPageBreak/>
        <w:t>terão a oportunidade de dividir boas práticas, identificar as principais necessidades e explorar a viabilidade de numerosas soluções e ofertas de cooperação de parceiros e outros Estados membros.</w:t>
      </w:r>
    </w:p>
    <w:p w14:paraId="6465B7E2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2D4C435A" w14:textId="77777777" w:rsidR="00CC289A" w:rsidRPr="000407ED" w:rsidRDefault="00CC289A" w:rsidP="00CC289A">
      <w:pPr>
        <w:tabs>
          <w:tab w:val="left" w:pos="720"/>
          <w:tab w:val="num" w:pos="1440"/>
          <w:tab w:val="num" w:pos="4320"/>
        </w:tabs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2. </w:t>
      </w:r>
      <w:r w:rsidRPr="000407ED">
        <w:rPr>
          <w:sz w:val="22"/>
          <w:szCs w:val="22"/>
          <w:lang w:val="pt-BR"/>
        </w:rPr>
        <w:tab/>
        <w:t xml:space="preserve">Juventude: Melhorando as habilidades e preparação para a indústria 4.0 </w:t>
      </w:r>
    </w:p>
    <w:p w14:paraId="61C09CE6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35500F27" w14:textId="77777777" w:rsidR="00CC289A" w:rsidRPr="000407ED" w:rsidRDefault="00CC289A" w:rsidP="00CC289A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0407ED">
        <w:rPr>
          <w:rFonts w:eastAsia="Calibri"/>
          <w:sz w:val="22"/>
          <w:szCs w:val="22"/>
          <w:lang w:val="pt-BR"/>
        </w:rPr>
        <w:t xml:space="preserve">A pandemia de covid-19, a consequente aceleração da economia digital e a remodelagem das cadeias globais de valor salientaram a necessidade de que os Estados membros da OEA enfrentem as lacunas de competência e a preparação de sua força de trabalho para colher os benefícios da economia guiada pela inovação. A pandemia teve como consequência mais pobreza e desigualdade bem como menores oportunidades de mobilidade social. As mulheres, as minorias e os trabalhadores sem capacitação em setores relacionados a serviços, como o turismo e o entretenimento, além das ocupações com altas taxas de informalidade, foram especialmente impactadas. A crise também aprofundou os desafios relacionados à participação produtiva dos jovens no mercado de trabalho, e seus principais efeitos foram a perda de empregos e a retirada da força de trabalho jovem para a inatividade. Por outro lado, as indústrias, os empreendedores e os trabalhadores conectados à inovação e à economia digital, do </w:t>
      </w:r>
      <w:r w:rsidRPr="000407ED">
        <w:rPr>
          <w:rFonts w:eastAsia="Calibri"/>
          <w:i/>
          <w:iCs/>
          <w:sz w:val="22"/>
          <w:szCs w:val="22"/>
          <w:lang w:val="pt-BR"/>
        </w:rPr>
        <w:t>software</w:t>
      </w:r>
      <w:r w:rsidRPr="000407ED">
        <w:rPr>
          <w:rFonts w:eastAsia="Calibri"/>
          <w:sz w:val="22"/>
          <w:szCs w:val="22"/>
          <w:lang w:val="pt-BR"/>
        </w:rPr>
        <w:t xml:space="preserve">, comércio eletrônico, engenharia, telecomunicações e biotecnologia à pesquisa e desenvolvimento, entre outros setores, experimentaram crescimento e expandiram oportunidades e soluções para atender às necessidades mais imediatas dos países. </w:t>
      </w:r>
    </w:p>
    <w:p w14:paraId="5B621EB6" w14:textId="77777777" w:rsidR="00CC289A" w:rsidRPr="000407ED" w:rsidRDefault="00CC289A" w:rsidP="00CC289A">
      <w:pPr>
        <w:jc w:val="both"/>
        <w:rPr>
          <w:rFonts w:eastAsia="Calibri"/>
          <w:sz w:val="22"/>
          <w:szCs w:val="22"/>
          <w:lang w:val="pt-BR"/>
        </w:rPr>
      </w:pPr>
    </w:p>
    <w:p w14:paraId="5E411A43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Na fase de recuperação pós-pandemia, a participação do jovem no mercado de trabalho formal dependerá, em parte, de que tenham desenvolvido competências e capacidade crítica para buscar oportunidades de emprego e empreendedorismo na ciência e nas tecnologias transformadoras (frequentemente citadas como tecnologias da Indústria 4.0), tais como novos materiais, inteligência artificial, </w:t>
      </w:r>
      <w:r w:rsidRPr="000407ED">
        <w:rPr>
          <w:i/>
          <w:iCs/>
          <w:sz w:val="22"/>
          <w:szCs w:val="22"/>
          <w:lang w:val="pt-BR"/>
        </w:rPr>
        <w:t>big data</w:t>
      </w:r>
      <w:r w:rsidRPr="000407ED">
        <w:rPr>
          <w:sz w:val="22"/>
          <w:szCs w:val="22"/>
          <w:lang w:val="pt-BR"/>
        </w:rPr>
        <w:t xml:space="preserve">, computação quântica, edição de genoma, robótica e </w:t>
      </w:r>
      <w:r w:rsidRPr="000407ED">
        <w:rPr>
          <w:i/>
          <w:iCs/>
          <w:sz w:val="22"/>
          <w:szCs w:val="22"/>
          <w:lang w:val="pt-BR"/>
        </w:rPr>
        <w:t>blockchain</w:t>
      </w:r>
      <w:r w:rsidRPr="000407ED">
        <w:rPr>
          <w:sz w:val="22"/>
          <w:szCs w:val="22"/>
          <w:lang w:val="pt-BR"/>
        </w:rPr>
        <w:t>. A eliminação da lacuna de competências possibilitará aos Estados membros da OEA colher os benefícios das novas tecnologias, melhorar a produtividade, contribuir para taxas mais altas de crescimento e reduzir a pobreza.</w:t>
      </w:r>
    </w:p>
    <w:p w14:paraId="029956A2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4F9D339B" w14:textId="632A0C89" w:rsidR="00CC289A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A Sexta Reunião de Ministros e Altas Autoridades de Ciência e Tecnologia (VI REMCYT) será uma oportunidade para apresentar e buscar parcerias para o desenvolvimento de uma “Academia Jovem das Américas para a Ciência e as Tecnologias Transformadoras”, valendo-se dos recursos existentes e ofertas de parceiros, para proporcionar treinamento </w:t>
      </w:r>
      <w:r w:rsidRPr="000407ED">
        <w:rPr>
          <w:i/>
          <w:iCs/>
          <w:sz w:val="22"/>
          <w:szCs w:val="22"/>
          <w:lang w:val="pt-BR"/>
        </w:rPr>
        <w:t>online</w:t>
      </w:r>
      <w:r w:rsidRPr="000407ED">
        <w:rPr>
          <w:sz w:val="22"/>
          <w:szCs w:val="22"/>
          <w:lang w:val="pt-BR"/>
        </w:rPr>
        <w:t>, aprendizagem dinâmica, laboratórios de treinamento remoto, tutoria e experiências práticas para os jovens das Américas. Os resultados incluem opções para a oferta de certificação, treinamento e outras qualificações, com vistas a equipar os jovens com as competências e credenciais necessárias para atuar nos empregos do futuro e em um ambiente estimulado pelas tecnologias transformadoras. O foco será o desenvolvimento da força de trabalho e dos empreendedores para a Indústria 4.0 e nichos estratégicos para que os Estados membros da OEA diversifiquem suas economias e construam resiliência.</w:t>
      </w:r>
    </w:p>
    <w:p w14:paraId="5F2FD2D0" w14:textId="77777777" w:rsidR="00D20F16" w:rsidRPr="000407ED" w:rsidRDefault="00D20F16" w:rsidP="00CC289A">
      <w:pPr>
        <w:ind w:firstLine="720"/>
        <w:jc w:val="both"/>
        <w:rPr>
          <w:sz w:val="22"/>
          <w:szCs w:val="22"/>
          <w:lang w:val="pt-BR"/>
        </w:rPr>
      </w:pPr>
    </w:p>
    <w:p w14:paraId="7233D2B7" w14:textId="77777777" w:rsidR="00CC289A" w:rsidRPr="000407ED" w:rsidRDefault="00CC289A" w:rsidP="00CC289A">
      <w:pPr>
        <w:ind w:left="720" w:hanging="720"/>
        <w:contextualSpacing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3. </w:t>
      </w:r>
      <w:r w:rsidRPr="000407ED">
        <w:rPr>
          <w:sz w:val="22"/>
          <w:szCs w:val="22"/>
          <w:lang w:val="pt-BR"/>
        </w:rPr>
        <w:tab/>
        <w:t xml:space="preserve">Ciência, tecnologia, inovação (CTI) e empreendimento para reduzir o hiato digital e promover a inclusão de mulheres e meninas, comunidades rurais e indígenas e outras populações em situações de vulnerabilidade </w:t>
      </w:r>
    </w:p>
    <w:p w14:paraId="4927B0C3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12B51377" w14:textId="77777777" w:rsidR="00CC289A" w:rsidRPr="000407ED" w:rsidRDefault="00CC289A" w:rsidP="00CC289A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0407ED">
        <w:rPr>
          <w:rFonts w:eastAsia="Calibri"/>
          <w:sz w:val="22"/>
          <w:szCs w:val="22"/>
          <w:lang w:val="pt-BR"/>
        </w:rPr>
        <w:t>De acordo com o Índice Global de Desigualdade de Gênero do Fórum Econômico Mundial (FEM)</w:t>
      </w:r>
      <w:r w:rsidRPr="000407ED">
        <w:rPr>
          <w:sz w:val="22"/>
          <w:szCs w:val="22"/>
          <w:lang w:val="pt-BR"/>
        </w:rPr>
        <w:t>,</w:t>
      </w:r>
      <w:r w:rsidRPr="000407ED">
        <w:rPr>
          <w:rStyle w:val="FootnoteReference"/>
          <w:color w:val="141414"/>
          <w:sz w:val="22"/>
          <w:szCs w:val="22"/>
          <w:u w:val="single"/>
        </w:rPr>
        <w:footnoteReference w:id="2"/>
      </w:r>
      <w:r w:rsidRPr="000407ED">
        <w:rPr>
          <w:color w:val="141414"/>
          <w:sz w:val="22"/>
          <w:szCs w:val="22"/>
          <w:vertAlign w:val="superscript"/>
          <w:lang w:val="pt-BR"/>
        </w:rPr>
        <w:t>/</w:t>
      </w:r>
      <w:r w:rsidRPr="000407ED">
        <w:rPr>
          <w:color w:val="141414"/>
          <w:sz w:val="22"/>
          <w:szCs w:val="22"/>
          <w:lang w:val="pt-BR"/>
        </w:rPr>
        <w:t xml:space="preserve"> a pandemia de covid</w:t>
      </w:r>
      <w:r w:rsidRPr="000407ED">
        <w:rPr>
          <w:rFonts w:eastAsia="Calibri"/>
          <w:sz w:val="22"/>
          <w:szCs w:val="22"/>
          <w:lang w:val="pt-BR"/>
        </w:rPr>
        <w:t xml:space="preserve">-19 aumentou o tempo estimado para a eliminação do hiato de gênero no </w:t>
      </w:r>
      <w:r w:rsidRPr="000407ED">
        <w:rPr>
          <w:rFonts w:eastAsia="Calibri"/>
          <w:sz w:val="22"/>
          <w:szCs w:val="22"/>
          <w:lang w:val="pt-BR"/>
        </w:rPr>
        <w:lastRenderedPageBreak/>
        <w:t>mundo em 36 anos (agora calculado em até 135,6 anos). Relatório do FEM documenta que a pandemia e as subsequentes restrições e perdas de atividade econômica impactaram as mulheres mais intensamente do que os homens. Os domicílios de baixa renda e as comunidades carentes enfrentaram mais privações e incertezas financeiras, sanitárias, de aprendizagem, sociais e emocionais. As perdas de emprego foram especialmente pronunciadas entre as minorias e as mães que trabalham. Em todo o mundo em desenvolvimento, especificamente, coube às mulheres o ônus da maior parte dos desafios da pandemia, em percentagem desproporcional.</w:t>
      </w:r>
      <w:r w:rsidRPr="000407ED">
        <w:rPr>
          <w:rStyle w:val="FootnoteReference"/>
          <w:rFonts w:eastAsia="Calibri"/>
          <w:sz w:val="22"/>
          <w:szCs w:val="22"/>
          <w:u w:val="single"/>
        </w:rPr>
        <w:footnoteReference w:id="3"/>
      </w:r>
      <w:r w:rsidRPr="000407ED">
        <w:rPr>
          <w:rFonts w:eastAsia="Calibri"/>
          <w:sz w:val="22"/>
          <w:szCs w:val="22"/>
          <w:vertAlign w:val="superscript"/>
          <w:lang w:val="pt-BR"/>
        </w:rPr>
        <w:t>/</w:t>
      </w:r>
    </w:p>
    <w:p w14:paraId="47B881EA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0C5CC501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A aceleração da economia digital e do comércio eletrônico reforçou a necessidade do desenvolvimento de competências e treinamento em setores e tecnologias guiados pela inovação. Esses setores têm o potencial de criar oportunidades compatíveis com os empregos do futuro e de contribuir para a maior autonomia econômica, sobretudo para as mulheres. O acesso a competências relacionadas a tecnologias transformadoras pode, desse modo, se tornar um meio importante de assegurar que as mulheres, as empresas por elas dirigidas e as populações em situação vulnerável não sejam excluídas das oportunidades de expansão da economia digital pós-covid.</w:t>
      </w:r>
    </w:p>
    <w:p w14:paraId="5DFE666B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03ABF369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Um percentual significativo de mulheres (51,8%) está atualmente empregada em setores menos capacitados e de baixa produtividade, como os relacionados a cuidados, educação, saúde e assistência social, o emprego doméstico, o comércio tradicional, a manufatura leve e a agricultura rural, que podem ser mais vulneráveis a mudanças rápidas em tecnologia. Embora as mulheres da região apresentem taxas mais altas de matrícula no terceiro grau, respondem apenas por aproximadamente 34,5% das graduações em STEM.</w:t>
      </w:r>
      <w:r w:rsidRPr="000407ED">
        <w:rPr>
          <w:rStyle w:val="FootnoteReference"/>
          <w:sz w:val="22"/>
          <w:szCs w:val="22"/>
          <w:u w:val="single"/>
        </w:rPr>
        <w:footnoteReference w:id="4"/>
      </w:r>
      <w:r w:rsidRPr="000407ED">
        <w:rPr>
          <w:sz w:val="22"/>
          <w:szCs w:val="22"/>
          <w:vertAlign w:val="superscript"/>
          <w:lang w:val="pt-BR"/>
        </w:rPr>
        <w:t>/</w:t>
      </w:r>
      <w:r w:rsidRPr="000407ED">
        <w:rPr>
          <w:sz w:val="22"/>
          <w:szCs w:val="22"/>
          <w:lang w:val="pt-BR"/>
        </w:rPr>
        <w:t xml:space="preserve"> </w:t>
      </w:r>
    </w:p>
    <w:p w14:paraId="76A5C321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503BCDD6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Do mesmo modo, as mulheres são hoje sub-representadas em setores relacionados às tecnologias e competências transformadoras associadas a esses campos. Na computação em nuvem, as mulheres constituem 14% da força de trabalho; na engenharia, 20%; e em dados e inteligência artificial, 32%. As mulheres também experimentam uma lacuna de gênero maior quando buscam a transição de emprego nesses campos. Na computação em nuvem a diferença na mudança de emprego é de 58%; em engenharia a lacuna é de 42%; e em desenvolvimento de produto, de 19%.</w:t>
      </w:r>
      <w:r w:rsidRPr="000407ED">
        <w:rPr>
          <w:rStyle w:val="FootnoteReference"/>
          <w:sz w:val="22"/>
          <w:szCs w:val="22"/>
          <w:u w:val="single"/>
        </w:rPr>
        <w:footnoteReference w:id="5"/>
      </w:r>
      <w:r w:rsidRPr="000407ED">
        <w:rPr>
          <w:sz w:val="22"/>
          <w:szCs w:val="22"/>
          <w:vertAlign w:val="superscript"/>
          <w:lang w:val="pt-BR"/>
        </w:rPr>
        <w:t>/</w:t>
      </w:r>
    </w:p>
    <w:p w14:paraId="21546688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3DEE3670" w14:textId="77777777" w:rsidR="00CC289A" w:rsidRPr="000407ED" w:rsidRDefault="00CC289A" w:rsidP="00CC289A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É necessário que se avance em iniciativas concretas e viáveis para melhorar o acesso e a liderança da mulher e das comunidades com oportunidades limitadas em educação em STEM e carreiras em ciência e inovação, para enfrentar algumas das desigualdades correntes na força de trabalho, que afetam a mobilidade econômica e a igualdade de gênero nos campos da ciência e da tecnologia nas Américas. A Sexta VI possibilitará que os Estados membros da OEA partilhem boas práticas e estabeleçam cooperação para implementar </w:t>
      </w:r>
      <w:r w:rsidRPr="000407ED">
        <w:rPr>
          <w:rFonts w:eastAsia="Calibri"/>
          <w:sz w:val="22"/>
          <w:szCs w:val="22"/>
          <w:lang w:val="pt-BR"/>
        </w:rPr>
        <w:t xml:space="preserve">políticas e programas específicos, a fim de enfrentar as atuais lacunas e desigualdades que afetam parte da população e das comunidades. </w:t>
      </w:r>
    </w:p>
    <w:p w14:paraId="76AB4804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23F6BFC9" w14:textId="77777777" w:rsidR="00CC289A" w:rsidRPr="000407ED" w:rsidRDefault="00CC289A" w:rsidP="00CC289A">
      <w:pPr>
        <w:tabs>
          <w:tab w:val="left" w:pos="720"/>
          <w:tab w:val="num" w:pos="1440"/>
          <w:tab w:val="num" w:pos="4320"/>
        </w:tabs>
        <w:ind w:left="72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4.</w:t>
      </w:r>
      <w:r w:rsidRPr="000407ED">
        <w:rPr>
          <w:sz w:val="22"/>
          <w:szCs w:val="22"/>
          <w:lang w:val="pt-BR"/>
        </w:rPr>
        <w:tab/>
        <w:t>Colaboração pública-privada-academia efetiva para melhorar a competitividade e a qualidade de vida</w:t>
      </w:r>
    </w:p>
    <w:p w14:paraId="4C283F16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F090A41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ab/>
        <w:t xml:space="preserve">Os desafios da pandemia de covid e as restrições orçamentárias subsequentes exigirão maior criatividade e enfoques engenhosos para responder à necessidade de desenvolver, adotar e distribuir as soluções guiadas por ciência e tecnologia para fazer frente aos imperativos do desenvolvimento e realizar </w:t>
      </w:r>
      <w:r w:rsidRPr="000407ED">
        <w:rPr>
          <w:sz w:val="22"/>
          <w:szCs w:val="22"/>
          <w:lang w:val="pt-BR"/>
        </w:rPr>
        <w:lastRenderedPageBreak/>
        <w:t>ações para a recuperação pós-covid em todos os Estados membros. Os esforços coordenados dos governos, do setor privado, das universidades, das PMEs e dos ecossistemas empresariais para agregar iniciativas e recursos farão diferença significativa.</w:t>
      </w:r>
    </w:p>
    <w:p w14:paraId="58DB4298" w14:textId="77777777" w:rsidR="00CC289A" w:rsidRPr="000407ED" w:rsidRDefault="00CC289A" w:rsidP="00CC289A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="Calibri"/>
          <w:sz w:val="22"/>
          <w:szCs w:val="22"/>
          <w:lang w:val="pt-BR"/>
        </w:rPr>
      </w:pPr>
    </w:p>
    <w:p w14:paraId="6E969908" w14:textId="77777777" w:rsidR="00CC289A" w:rsidRPr="000407ED" w:rsidRDefault="00CC289A" w:rsidP="00CC289A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val="pt-BR"/>
        </w:rPr>
      </w:pPr>
      <w:bookmarkStart w:id="0" w:name="_Hlk77271019"/>
      <w:r w:rsidRPr="000407ED">
        <w:rPr>
          <w:rFonts w:eastAsia="Calibri"/>
          <w:sz w:val="22"/>
          <w:szCs w:val="22"/>
          <w:lang w:val="pt-BR"/>
        </w:rPr>
        <w:tab/>
        <w:t>Há uma indústria de capital empresarial incipiente e inovadora em desenvolvimento nas Américas. Alguns atores novos, em colaboração com os atuais investidores ou programas inovadores liderados pelo governo, resultaram na bem-sucedida criação de novos mecanismos de financiamento e oportunidades de parceria. A disponibilidade de fontes diversas, inclusivas e acessíveis de financiamento é essencial para que as empresas iniciantes, as PMEs e as grandes companhias desenvolvam soluções e empresas guiadas pela inovação que possam complementar as ações governamentais para resolver desafios críticos.</w:t>
      </w:r>
    </w:p>
    <w:bookmarkEnd w:id="0"/>
    <w:p w14:paraId="2279C39D" w14:textId="77777777" w:rsidR="00CC289A" w:rsidRPr="000407ED" w:rsidRDefault="00CC289A" w:rsidP="00CC289A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="Calibri"/>
          <w:sz w:val="22"/>
          <w:szCs w:val="22"/>
          <w:lang w:val="pt-BR"/>
        </w:rPr>
      </w:pPr>
      <w:r w:rsidRPr="000407ED">
        <w:rPr>
          <w:rFonts w:eastAsia="Calibri"/>
          <w:sz w:val="22"/>
          <w:szCs w:val="22"/>
          <w:lang w:val="pt-BR"/>
        </w:rPr>
        <w:t>.</w:t>
      </w:r>
    </w:p>
    <w:p w14:paraId="345233AE" w14:textId="77777777" w:rsidR="00CC289A" w:rsidRPr="000407ED" w:rsidRDefault="00CC289A" w:rsidP="00CC289A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val="pt-BR"/>
        </w:rPr>
      </w:pPr>
      <w:bookmarkStart w:id="1" w:name="_Hlk77271427"/>
      <w:r w:rsidRPr="000407ED">
        <w:rPr>
          <w:rFonts w:eastAsia="Calibri"/>
          <w:sz w:val="22"/>
          <w:szCs w:val="22"/>
          <w:lang w:val="pt-BR"/>
        </w:rPr>
        <w:tab/>
        <w:t>A Sexta REMCYT oferecerá oportunidade para que os Estados membros dividam experiências, boas práticas e ofertas de colaboração sobre mecanismos inovadores de financiamento do desenvolvimento de inovação e empresas, a fim de melhorar a inclusão e a diversidade de fontes e beneficiários. A reunião apresentará exemplos de sistemas criativos para expandir a inclusão financeira para a inovação e de enfoques guiados pela tecnologia para ampliar a disponibilidade de capital e chegar a diferentes regiões de um país. Além disso, será uma oportunidade para identificar as lacunas e necessidades dos Estados membros e da perspectiva do setor privado, dos empreendedores e das instituições financeiras. O foco serão as ofertas de colaboração e iniciativas de cooperação para apoiar os Estados membros para que se valham dos recursos e das parcerias disponíveis no HUB de Comercialização e Transferência de Tecnologia da COMCYT.</w:t>
      </w:r>
    </w:p>
    <w:bookmarkEnd w:id="1"/>
    <w:p w14:paraId="5095654A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0E5BA1E0" w14:textId="77777777" w:rsidR="00CC289A" w:rsidRPr="000407ED" w:rsidRDefault="00CC289A" w:rsidP="00CC289A">
      <w:pPr>
        <w:ind w:left="720" w:hanging="720"/>
        <w:contextualSpacing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5. </w:t>
      </w:r>
      <w:r w:rsidRPr="000407ED">
        <w:rPr>
          <w:sz w:val="22"/>
          <w:szCs w:val="22"/>
          <w:lang w:val="pt-BR"/>
        </w:rPr>
        <w:tab/>
        <w:t>Igualdade de condições para a participação ativa na economia global das micro, pequenas e médias empresas (MPMEs) por meio da CTI</w:t>
      </w:r>
    </w:p>
    <w:p w14:paraId="6C5DC79E" w14:textId="77777777" w:rsidR="00CC289A" w:rsidRPr="000407ED" w:rsidRDefault="00CC289A" w:rsidP="00CC289A">
      <w:pPr>
        <w:contextualSpacing/>
        <w:jc w:val="both"/>
        <w:rPr>
          <w:color w:val="000000"/>
          <w:sz w:val="22"/>
          <w:szCs w:val="22"/>
          <w:lang w:val="pt-BR"/>
        </w:rPr>
      </w:pPr>
    </w:p>
    <w:p w14:paraId="64BFEFE8" w14:textId="77777777" w:rsidR="00CC289A" w:rsidRPr="000407ED" w:rsidRDefault="00CC289A" w:rsidP="00CC289A">
      <w:pPr>
        <w:ind w:firstLine="720"/>
        <w:contextualSpacing/>
        <w:jc w:val="both"/>
        <w:rPr>
          <w:color w:val="000000"/>
          <w:sz w:val="22"/>
          <w:szCs w:val="22"/>
          <w:lang w:val="pt-BR"/>
        </w:rPr>
      </w:pPr>
      <w:r w:rsidRPr="000407ED">
        <w:rPr>
          <w:color w:val="000000"/>
          <w:sz w:val="22"/>
          <w:szCs w:val="22"/>
          <w:lang w:val="pt-BR"/>
        </w:rPr>
        <w:t xml:space="preserve">As MPMEs representam mais de 95% do setor produtivo da América Latina e do Caribe (LAC). Estima-se que 2,7 milhões de pequenas empresas formais encerraram suas atividades em 2020, o que significa 21% das MPMEs fechadas, representando a perda de mais de 8,5 milhões de empregos. Já que mais de 60% das MPMEs são informais na região da LAC, o verdadeiro impacto da pandemia nesse setor foi muito mais significativo. A Sexta REMCYT oferecerá aos Estados membros a oportunidade de dividir experiências e boas práticas sobre como a CTI pode contribuir para aumentar a disponibilidade de ferramentas e recursos para a transição das MPMEs para o ambiente empresarial digital e reconstruir e diversificar as cadeias regional de valor, considerando as lições aprendidas na pandemia. Os Estados membros também considerarão como continuar a desenvolver as estruturas necessárias para acelerar o acesso à inovação, à tecnologia e a competências empresariais para novos modelos de desenvolvimento empresarial em apoio às MPMEs. </w:t>
      </w:r>
    </w:p>
    <w:p w14:paraId="32638CB2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30195458" w14:textId="77777777" w:rsidR="00CC289A" w:rsidRPr="000407ED" w:rsidRDefault="00CC289A" w:rsidP="00CC289A">
      <w:pPr>
        <w:tabs>
          <w:tab w:val="left" w:pos="720"/>
          <w:tab w:val="num" w:pos="1440"/>
          <w:tab w:val="num" w:pos="4320"/>
        </w:tabs>
        <w:ind w:left="720" w:hanging="720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6. </w:t>
      </w:r>
      <w:r w:rsidRPr="000407ED">
        <w:rPr>
          <w:sz w:val="22"/>
          <w:szCs w:val="22"/>
          <w:lang w:val="pt-BR"/>
        </w:rPr>
        <w:tab/>
        <w:t>Prospectiva tecnológica como contribuição para a tomada de decisões de política pública (Prospecta Américas)</w:t>
      </w:r>
    </w:p>
    <w:p w14:paraId="56C578FA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70BEF3D2" w14:textId="77777777" w:rsidR="00CC289A" w:rsidRPr="000407ED" w:rsidRDefault="00CC289A" w:rsidP="00CC289A">
      <w:pPr>
        <w:tabs>
          <w:tab w:val="num" w:pos="1080"/>
          <w:tab w:val="num" w:pos="4320"/>
        </w:tabs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ab/>
        <w:t xml:space="preserve">O objetivo da Prospecta Américas, um esforço regional conduzido pela COMCYT, consiste em melhorar a apropriação social do conhecimento de tecnologias transformadoras e construir uma plataforma virtual de colaboração regional no contexto da OEA, além de formular um programa regional em perspectiva tecnológica para tecnologias transformadoras de ponta, a saber, </w:t>
      </w:r>
      <w:r w:rsidRPr="000407ED">
        <w:rPr>
          <w:i/>
          <w:iCs/>
          <w:sz w:val="22"/>
          <w:szCs w:val="22"/>
          <w:lang w:val="pt-BR"/>
        </w:rPr>
        <w:t>big data</w:t>
      </w:r>
      <w:r w:rsidRPr="000407ED">
        <w:rPr>
          <w:sz w:val="22"/>
          <w:szCs w:val="22"/>
          <w:lang w:val="pt-BR"/>
        </w:rPr>
        <w:t xml:space="preserve">; robótica; </w:t>
      </w:r>
      <w:r w:rsidRPr="000407ED">
        <w:rPr>
          <w:i/>
          <w:iCs/>
          <w:sz w:val="22"/>
          <w:szCs w:val="22"/>
          <w:lang w:val="pt-BR"/>
        </w:rPr>
        <w:t>blockchain</w:t>
      </w:r>
      <w:r w:rsidRPr="000407ED">
        <w:rPr>
          <w:sz w:val="22"/>
          <w:szCs w:val="22"/>
          <w:lang w:val="pt-BR"/>
        </w:rPr>
        <w:t>, realidade virtual/aumentada; inteligência artificial; computação quântica; biologia sintética</w:t>
      </w:r>
      <w:r w:rsidRPr="000407ED">
        <w:rPr>
          <w:rFonts w:eastAsia="Calibri"/>
          <w:sz w:val="22"/>
          <w:szCs w:val="22"/>
          <w:lang w:val="pt-BR"/>
        </w:rPr>
        <w:t>-edição de genomas</w:t>
      </w:r>
      <w:r w:rsidRPr="000407ED">
        <w:rPr>
          <w:sz w:val="22"/>
          <w:szCs w:val="22"/>
          <w:lang w:val="pt-BR"/>
        </w:rPr>
        <w:t>; engenharia biomédica; manufatura aditiva e novos materiais nanoestruturados, e avaliar seus possíveis impactos econômicos, sociais e ambientais nas Américas.</w:t>
      </w:r>
    </w:p>
    <w:p w14:paraId="689CB9CB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5F90A059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lastRenderedPageBreak/>
        <w:t xml:space="preserve">A Sexta REMCYT terá como base as recomendações acordadas pela COMCYT quanto à perspectiva tecnológica e à Prospecta Américas, a fim de: </w:t>
      </w:r>
    </w:p>
    <w:p w14:paraId="4A645CFC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0750038C" w14:textId="77777777" w:rsidR="00CC289A" w:rsidRPr="000407ED" w:rsidRDefault="00CC289A" w:rsidP="00CC289A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a) </w:t>
      </w:r>
      <w:r w:rsidRPr="000407ED">
        <w:rPr>
          <w:sz w:val="22"/>
          <w:szCs w:val="22"/>
          <w:lang w:val="pt-BR"/>
        </w:rPr>
        <w:tab/>
        <w:t xml:space="preserve">continuar fortalecendo a rede regional de especialistas em perspectiva tecnológica, com vistas ao intercâmbio de boas práticas; </w:t>
      </w:r>
    </w:p>
    <w:p w14:paraId="23A4B6BA" w14:textId="77777777" w:rsidR="00CC289A" w:rsidRPr="000407ED" w:rsidRDefault="00CC289A" w:rsidP="00CC289A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b) </w:t>
      </w:r>
      <w:r w:rsidRPr="000407ED">
        <w:rPr>
          <w:sz w:val="22"/>
          <w:szCs w:val="22"/>
          <w:lang w:val="pt-BR"/>
        </w:rPr>
        <w:tab/>
        <w:t xml:space="preserve">identificar e apoiar as necessidades e nichos de capacitação e treinamento nas tecnologias transformadoras de ponta nos Estados membros da OEA; </w:t>
      </w:r>
    </w:p>
    <w:p w14:paraId="0102BF23" w14:textId="77777777" w:rsidR="00CC289A" w:rsidRPr="000407ED" w:rsidRDefault="00CC289A" w:rsidP="00CC289A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c) </w:t>
      </w:r>
      <w:r w:rsidRPr="000407ED">
        <w:rPr>
          <w:sz w:val="22"/>
          <w:szCs w:val="22"/>
          <w:lang w:val="pt-BR"/>
        </w:rPr>
        <w:tab/>
        <w:t xml:space="preserve">buscar oportunidades de prestar assistência técnica e liderar projetos colaborativos conjuntos nas tecnologias transformadoras de ponta; </w:t>
      </w:r>
    </w:p>
    <w:p w14:paraId="616B52B7" w14:textId="77777777" w:rsidR="00CC289A" w:rsidRPr="000407ED" w:rsidRDefault="00CC289A" w:rsidP="00CC289A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d) </w:t>
      </w:r>
      <w:r w:rsidRPr="000407ED">
        <w:rPr>
          <w:sz w:val="22"/>
          <w:szCs w:val="22"/>
          <w:lang w:val="pt-BR"/>
        </w:rPr>
        <w:tab/>
        <w:t xml:space="preserve">manter o Seminário Prospecta Américas como evento regular e promover um rodízio em diferentes países sede nas Américas; e </w:t>
      </w:r>
    </w:p>
    <w:p w14:paraId="6D512EBD" w14:textId="77777777" w:rsidR="00CC289A" w:rsidRPr="000407ED" w:rsidRDefault="00CC289A" w:rsidP="00CC289A">
      <w:pPr>
        <w:ind w:left="1440" w:hanging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e) </w:t>
      </w:r>
      <w:r w:rsidRPr="000407ED">
        <w:rPr>
          <w:sz w:val="22"/>
          <w:szCs w:val="22"/>
          <w:lang w:val="pt-BR"/>
        </w:rPr>
        <w:tab/>
        <w:t>lançar uma rede de Centros Interamericanos de Excelência em Perspectiva Tecnológica em cada uma das tecnologias transformadoras de ponta, com foco nas áreas de especialização, interesse e competências correntes nos Estados membros da OEA. Os centros se dedicarão a conduzir estudos, mapear tendências e competências, identificar e implementar linhas específicas de pesquisa, enfrentar os desafios estratégicos das Américas, encontrar soluções para os problemas cotidianos por meio de tecnologia avançada e reunir conhecimento comum, recursos de múltiplos interessados dos Estados membros da OEA, inclusive governos, universidades e centros de pesquisa, o setor privado e as ONGs.</w:t>
      </w:r>
    </w:p>
    <w:p w14:paraId="5E7B026B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3018A328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bookmarkStart w:id="2" w:name="_Hlk83227092"/>
      <w:r w:rsidRPr="000407ED">
        <w:rPr>
          <w:sz w:val="22"/>
          <w:szCs w:val="22"/>
          <w:lang w:val="pt-BR"/>
        </w:rPr>
        <w:t xml:space="preserve">7. </w:t>
      </w:r>
      <w:r w:rsidRPr="000407ED">
        <w:rPr>
          <w:sz w:val="22"/>
          <w:szCs w:val="22"/>
          <w:lang w:val="pt-BR"/>
        </w:rPr>
        <w:tab/>
      </w:r>
      <w:bookmarkEnd w:id="2"/>
      <w:r w:rsidRPr="000407ED">
        <w:rPr>
          <w:sz w:val="22"/>
          <w:szCs w:val="22"/>
          <w:lang w:val="pt-BR"/>
        </w:rPr>
        <w:t>Ciência para a tomada de decisõe</w:t>
      </w:r>
    </w:p>
    <w:p w14:paraId="3C37F8AB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4A4B885E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Os efeitos da covid -19, a ruptura das cadeias globais de valor e a escassez de bens e serviços essenciais, necessários para atenuar a crise sanitária, econômica e social, salientaram a importância da aceleração da distribuição dos recursos disponíveis por meio da ciência, da tecnologia e da inovação. O alcance global da pandemia também destacou a necessidade da cooperação internacional, de múltiplos interessados e interdisciplinar, com vistas à identificação e à implementação de soluções eficazes. </w:t>
      </w:r>
    </w:p>
    <w:p w14:paraId="4EBB6C98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0741D305" w14:textId="77777777" w:rsidR="00CC289A" w:rsidRPr="000407ED" w:rsidRDefault="00CC289A" w:rsidP="00CC289A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Em seus esforços por se preparar para as futuras emergências globais e por fazer frente aos principais imperativos relativos ao desenvolvimento </w:t>
      </w:r>
      <w:r w:rsidRPr="000407ED">
        <w:rPr>
          <w:color w:val="000000"/>
          <w:sz w:val="22"/>
          <w:szCs w:val="22"/>
          <w:lang w:val="pt-BR"/>
        </w:rPr>
        <w:t xml:space="preserve">integral das Américas, como a segurança alimentar, a redução dos efeitos de desastres e a preparação para enfrentá-los, a mudança do clima, a educação e as lacunas sociais e tecnológicas, a região poderia se beneficiar do uso da pesquisa colaborativa em ciência e tecnologia, bem como de dados, ao orientar o planejamento e a tomada de decisão. O compartilhamento de insumos guiados por dados entre os Estados membros, para a tomada de decisão, pode se tornar uma fonte importante de resiliência. </w:t>
      </w:r>
    </w:p>
    <w:p w14:paraId="03492B74" w14:textId="77777777" w:rsidR="00CC289A" w:rsidRPr="000407ED" w:rsidRDefault="00CC289A" w:rsidP="00CC289A">
      <w:pPr>
        <w:jc w:val="both"/>
        <w:rPr>
          <w:rFonts w:cs="Calibri"/>
          <w:color w:val="323232"/>
          <w:sz w:val="22"/>
          <w:szCs w:val="22"/>
          <w:shd w:val="clear" w:color="auto" w:fill="FFFFFF"/>
          <w:lang w:val="pt-BR"/>
        </w:rPr>
      </w:pPr>
    </w:p>
    <w:p w14:paraId="2914C34E" w14:textId="77777777" w:rsidR="00CC289A" w:rsidRPr="000407ED" w:rsidRDefault="00CC289A" w:rsidP="00CC289A">
      <w:pPr>
        <w:ind w:firstLine="720"/>
        <w:jc w:val="both"/>
        <w:rPr>
          <w:rFonts w:cs="Calibri"/>
          <w:color w:val="323232"/>
          <w:sz w:val="22"/>
          <w:szCs w:val="22"/>
          <w:shd w:val="clear" w:color="auto" w:fill="FFFFFF"/>
          <w:lang w:val="pt-BR"/>
        </w:rPr>
      </w:pPr>
      <w:r w:rsidRPr="000407ED">
        <w:rPr>
          <w:color w:val="323232"/>
          <w:sz w:val="22"/>
          <w:szCs w:val="22"/>
          <w:shd w:val="clear" w:color="auto" w:fill="FFFFFF"/>
          <w:lang w:val="pt-BR"/>
        </w:rPr>
        <w:t>Com base nas lições aprendidas na pandemia, surge a oportunidade de empreender um esforço hemisférico por promover o uso de conhecimento científico nos Estados membros da OEA, com vistas à criação de inteligência coletiva e à disponibilização de dados abertos, recursos e outras ferramentas, a fim de possibilitar que os governos e as partes interessadas da comunidade de ciência e tecnologia personalizem as fontes de dados e as metodologias, conduzam pesquisas e distribuam ferramentas e soluções adaptadas para atender a sua própria realidade e necessidades</w:t>
      </w:r>
      <w:r w:rsidRPr="000407ED">
        <w:rPr>
          <w:rFonts w:cs="Calibri"/>
          <w:color w:val="323232"/>
          <w:sz w:val="22"/>
          <w:szCs w:val="22"/>
          <w:shd w:val="clear" w:color="auto" w:fill="FFFFFF"/>
          <w:lang w:val="pt-BR"/>
        </w:rPr>
        <w:t>.</w:t>
      </w:r>
    </w:p>
    <w:p w14:paraId="1C9549BA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63A2C81" w14:textId="77777777" w:rsidR="00CC289A" w:rsidRPr="000407ED" w:rsidRDefault="00CC289A" w:rsidP="00CC289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ab/>
        <w:t xml:space="preserve">A Sexta REMCYT salientará os esforços por fazer avançar a Tomada de Decisão Guiada por Dados nas Américas e o uso da pesquisa e desenvolvimento (P&amp;D) na abordagem dos desafios do desenvolvimento integral. A Reunião Ministerial oferecerá aos Estados membros a oportunidade de partilhar alguns dos modelos e resultados de iniciativas para avançar a ciência e os enfoques guiados por </w:t>
      </w:r>
      <w:r w:rsidRPr="000407ED">
        <w:rPr>
          <w:sz w:val="22"/>
          <w:szCs w:val="22"/>
          <w:lang w:val="pt-BR"/>
        </w:rPr>
        <w:lastRenderedPageBreak/>
        <w:t xml:space="preserve">dados para a tomada de decisão e identificar as lacunas ou necessidades em diferentes áreas do desenvolvimento em que os Estados se beneficiariam da ciência e de insumos guiados por dados para a tomada de decisão. </w:t>
      </w:r>
    </w:p>
    <w:p w14:paraId="20CA12BA" w14:textId="77777777" w:rsidR="00CC289A" w:rsidRPr="000407ED" w:rsidRDefault="00CC289A" w:rsidP="00CC289A">
      <w:pPr>
        <w:tabs>
          <w:tab w:val="num" w:pos="1080"/>
          <w:tab w:val="num" w:pos="4320"/>
        </w:tabs>
        <w:rPr>
          <w:sz w:val="22"/>
          <w:szCs w:val="22"/>
          <w:lang w:val="pt-BR"/>
        </w:rPr>
      </w:pPr>
    </w:p>
    <w:p w14:paraId="033D3673" w14:textId="77777777" w:rsidR="00CC289A" w:rsidRPr="000407ED" w:rsidRDefault="00CC289A" w:rsidP="00CC289A">
      <w:pPr>
        <w:pStyle w:val="ListaColorida-nfase11"/>
        <w:ind w:hanging="720"/>
        <w:contextualSpacing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8.</w:t>
      </w:r>
      <w:r w:rsidRPr="000407ED">
        <w:rPr>
          <w:sz w:val="22"/>
          <w:szCs w:val="22"/>
          <w:lang w:val="pt-BR"/>
        </w:rPr>
        <w:tab/>
        <w:t>Consideração e aprovação do projeto de Declaração da Jamaica e recomendações à Cúpula das Américas</w:t>
      </w:r>
    </w:p>
    <w:p w14:paraId="5E5E9B30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 xml:space="preserve">Os Ministros e Altas Autoridades discutirão e considerarão a aprovação da Declaração da Jamaica. </w:t>
      </w:r>
    </w:p>
    <w:p w14:paraId="6E74703B" w14:textId="77777777" w:rsidR="00CC289A" w:rsidRPr="000407ED" w:rsidRDefault="00CC289A" w:rsidP="00CC289A">
      <w:pPr>
        <w:jc w:val="both"/>
        <w:rPr>
          <w:sz w:val="22"/>
          <w:szCs w:val="22"/>
          <w:lang w:val="pt-BR"/>
        </w:rPr>
      </w:pPr>
    </w:p>
    <w:p w14:paraId="04027894" w14:textId="77777777" w:rsidR="00CC289A" w:rsidRPr="000407ED" w:rsidRDefault="00CC289A" w:rsidP="00CC289A">
      <w:pPr>
        <w:ind w:firstLine="720"/>
        <w:jc w:val="both"/>
        <w:rPr>
          <w:sz w:val="22"/>
          <w:szCs w:val="22"/>
          <w:lang w:val="pt-BR"/>
        </w:rPr>
      </w:pPr>
      <w:r w:rsidRPr="000407ED">
        <w:rPr>
          <w:sz w:val="22"/>
          <w:szCs w:val="22"/>
          <w:lang w:val="pt-BR"/>
        </w:rPr>
        <w:t>O processo que conduz à Cúpula das Américas oferecerá aos Ministros e Altas Autoridades responsáveis por ciência e tecnologia a oportunidade de salientar a importância da ciência, da tecnologia e da inovação e, por extensão, das tecnologias transformadoras como elementos essenciais no aumento do desenvolvimento econômico e de oferecer orientação sobre o tema. As conclusões da Sexta Reunião Ministerial e da Declaração da Jamaica serão fundamentais na elaboração das recomendações a serem submetidas à consideração dos Chefes de Estado e de Governo na Cúpula das Américas</w:t>
      </w:r>
      <w:r w:rsidRPr="000407ED">
        <w:rPr>
          <w:rFonts w:eastAsia="SimSun"/>
          <w:color w:val="000000"/>
          <w:sz w:val="22"/>
          <w:szCs w:val="22"/>
          <w:shd w:val="clear" w:color="auto" w:fill="FFFFFF"/>
          <w:lang w:val="pt-BR"/>
        </w:rPr>
        <w:t>, a ser realizada nos Estados Unidos no verão de 2022.</w:t>
      </w:r>
    </w:p>
    <w:p w14:paraId="6DD88407" w14:textId="77777777" w:rsidR="00CC289A" w:rsidRPr="00CC289A" w:rsidRDefault="00CC289A" w:rsidP="00CC289A">
      <w:pPr>
        <w:jc w:val="both"/>
        <w:rPr>
          <w:sz w:val="22"/>
          <w:szCs w:val="22"/>
          <w:lang w:val="pt-BR"/>
        </w:rPr>
      </w:pPr>
    </w:p>
    <w:p w14:paraId="264DFE93" w14:textId="77777777" w:rsidR="00CC289A" w:rsidRPr="00CC289A" w:rsidRDefault="00CC289A" w:rsidP="00CC289A">
      <w:pPr>
        <w:jc w:val="both"/>
        <w:rPr>
          <w:sz w:val="22"/>
          <w:szCs w:val="22"/>
          <w:lang w:val="pt-BR"/>
        </w:rPr>
      </w:pPr>
    </w:p>
    <w:p w14:paraId="192C14F6" w14:textId="77777777" w:rsidR="00CC289A" w:rsidRPr="00CC289A" w:rsidRDefault="00CC289A" w:rsidP="00CC289A">
      <w:pPr>
        <w:jc w:val="both"/>
        <w:rPr>
          <w:sz w:val="22"/>
          <w:szCs w:val="22"/>
          <w:lang w:val="pt-BR"/>
        </w:rPr>
      </w:pPr>
    </w:p>
    <w:p w14:paraId="4B2CE6C0" w14:textId="77777777" w:rsidR="00CC289A" w:rsidRPr="00CC289A" w:rsidRDefault="00CC289A" w:rsidP="00CC289A">
      <w:pPr>
        <w:jc w:val="center"/>
        <w:rPr>
          <w:b/>
          <w:bCs/>
          <w:sz w:val="22"/>
          <w:szCs w:val="22"/>
          <w:lang w:val="pt-BR"/>
        </w:rPr>
      </w:pPr>
    </w:p>
    <w:p w14:paraId="149D353C" w14:textId="4DDA7450" w:rsidR="00CC289A" w:rsidRPr="00CC289A" w:rsidRDefault="00CC289A" w:rsidP="00CC289A">
      <w:pPr>
        <w:ind w:left="1440"/>
        <w:contextualSpacing/>
        <w:rPr>
          <w:sz w:val="22"/>
          <w:szCs w:val="22"/>
          <w:lang w:val="pt-BR"/>
        </w:rPr>
      </w:pPr>
    </w:p>
    <w:p w14:paraId="02C03647" w14:textId="7496C584" w:rsidR="008C6517" w:rsidRPr="00CC289A" w:rsidRDefault="009162BD" w:rsidP="00CC289A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7244BD1" wp14:editId="596A92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B8DF2D" w14:textId="55601C49" w:rsidR="009162BD" w:rsidRPr="009162BD" w:rsidRDefault="009162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20F16">
                              <w:rPr>
                                <w:noProof/>
                                <w:sz w:val="18"/>
                              </w:rPr>
                              <w:t>CIDCT00104P01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4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EB8DF2D" w14:textId="55601C49" w:rsidR="009162BD" w:rsidRPr="009162BD" w:rsidRDefault="009162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20F16">
                        <w:rPr>
                          <w:noProof/>
                          <w:sz w:val="18"/>
                        </w:rPr>
                        <w:t>CIDCT00104P01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CC289A" w:rsidSect="000407ED">
      <w:headerReference w:type="even" r:id="rId13"/>
      <w:headerReference w:type="default" r:id="rId14"/>
      <w:headerReference w:type="first" r:id="rId15"/>
      <w:pgSz w:w="12240" w:h="15840" w:code="1"/>
      <w:pgMar w:top="2160" w:right="126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F27" w14:textId="77777777" w:rsidR="00C86810" w:rsidRPr="006C7BB6" w:rsidRDefault="00C8681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2893269" w14:textId="77777777" w:rsidR="00C86810" w:rsidRPr="006C7BB6" w:rsidRDefault="00C8681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071026D6" w14:textId="77777777" w:rsidR="00C86810" w:rsidRDefault="00C86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4D6A" w14:textId="77777777" w:rsidR="00C86810" w:rsidRPr="006C7BB6" w:rsidRDefault="00C8681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5F50793A" w14:textId="77777777" w:rsidR="00C86810" w:rsidRPr="006C7BB6" w:rsidRDefault="00C8681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2D72A341" w14:textId="77777777" w:rsidR="00C86810" w:rsidRDefault="00C86810"/>
  </w:footnote>
  <w:footnote w:id="2">
    <w:p w14:paraId="00BA0C50" w14:textId="77777777" w:rsidR="00CC289A" w:rsidRPr="00CC289A" w:rsidRDefault="00CC289A" w:rsidP="00CC289A">
      <w:pPr>
        <w:pStyle w:val="FootnoteText"/>
        <w:tabs>
          <w:tab w:val="left" w:pos="720"/>
        </w:tabs>
        <w:ind w:left="720" w:hanging="360"/>
        <w:jc w:val="both"/>
        <w:rPr>
          <w:lang w:val="pt-BR"/>
        </w:rPr>
      </w:pPr>
      <w:r w:rsidRPr="00CC289A">
        <w:rPr>
          <w:rStyle w:val="FootnoteReference"/>
          <w:vertAlign w:val="baseline"/>
        </w:rPr>
        <w:footnoteRef/>
      </w:r>
      <w:r w:rsidRPr="00CC289A">
        <w:rPr>
          <w:lang w:val="pt-BR"/>
        </w:rPr>
        <w:t>.</w:t>
      </w:r>
      <w:r w:rsidRPr="00CC289A">
        <w:rPr>
          <w:lang w:val="pt-BR"/>
        </w:rPr>
        <w:tab/>
        <w:t>O Índice Global</w:t>
      </w:r>
      <w:r w:rsidRPr="00CC289A">
        <w:rPr>
          <w:rFonts w:eastAsia="Calibri"/>
          <w:bCs/>
          <w:sz w:val="22"/>
          <w:szCs w:val="22"/>
          <w:lang w:val="pt-BR"/>
        </w:rPr>
        <w:t xml:space="preserve"> </w:t>
      </w:r>
      <w:r w:rsidRPr="00CC289A">
        <w:rPr>
          <w:lang w:val="pt-BR"/>
        </w:rPr>
        <w:t>de Desigualdade de Gênero</w:t>
      </w:r>
      <w:r w:rsidRPr="00CC289A">
        <w:rPr>
          <w:rFonts w:eastAsia="Calibri"/>
          <w:bCs/>
          <w:sz w:val="22"/>
          <w:szCs w:val="22"/>
          <w:lang w:val="pt-BR"/>
        </w:rPr>
        <w:t xml:space="preserve"> </w:t>
      </w:r>
      <w:r w:rsidRPr="00CC289A">
        <w:rPr>
          <w:lang w:val="pt-BR"/>
        </w:rPr>
        <w:t>do FEM estabelece uma classificação global de países e uma estrutura de quatro dimensões (Participação Econômica e Oportunidade</w:t>
      </w:r>
      <w:r w:rsidRPr="00CC289A">
        <w:rPr>
          <w:color w:val="141414"/>
          <w:lang w:val="pt-BR"/>
        </w:rPr>
        <w:t>, Acesso à Educação, Saúde e Sobrevivência e Participação Política)</w:t>
      </w:r>
      <w:r w:rsidRPr="00CC289A">
        <w:rPr>
          <w:lang w:val="pt-BR"/>
        </w:rPr>
        <w:t xml:space="preserve"> para avaliar a dimensão das disparidades de gênero globais, regionais e nacionais. Disponível em: </w:t>
      </w:r>
      <w:hyperlink r:id="rId1" w:history="1">
        <w:r w:rsidRPr="00CC289A">
          <w:rPr>
            <w:rStyle w:val="Hyperlink"/>
            <w:rFonts w:eastAsiaTheme="minorHAnsi"/>
            <w:lang w:val="pt-BR"/>
          </w:rPr>
          <w:t>http://www3.weforum.org/docs/WEF_GGGR_2021.pdf</w:t>
        </w:r>
      </w:hyperlink>
    </w:p>
  </w:footnote>
  <w:footnote w:id="3">
    <w:p w14:paraId="7C76F78E" w14:textId="77777777" w:rsidR="00CC289A" w:rsidRPr="00CC289A" w:rsidRDefault="00CC289A" w:rsidP="00CC289A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CC289A">
        <w:rPr>
          <w:rStyle w:val="FootnoteReference"/>
          <w:vertAlign w:val="baseline"/>
        </w:rPr>
        <w:footnoteRef/>
      </w:r>
      <w:r w:rsidRPr="00CC289A">
        <w:rPr>
          <w:lang w:val="pt-BR"/>
        </w:rPr>
        <w:t>.</w:t>
      </w:r>
      <w:r w:rsidRPr="00CC289A">
        <w:rPr>
          <w:lang w:val="pt-BR"/>
        </w:rPr>
        <w:tab/>
        <w:t xml:space="preserve">Instituto Global McKinsey, março de 2021. </w:t>
      </w:r>
    </w:p>
  </w:footnote>
  <w:footnote w:id="4">
    <w:p w14:paraId="7B040004" w14:textId="77777777" w:rsidR="00CC289A" w:rsidRPr="00CC289A" w:rsidRDefault="00CC289A" w:rsidP="00CC289A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CC289A">
        <w:rPr>
          <w:rStyle w:val="FootnoteReference"/>
          <w:vertAlign w:val="baseline"/>
        </w:rPr>
        <w:footnoteRef/>
      </w:r>
      <w:r w:rsidRPr="00CC289A">
        <w:rPr>
          <w:lang w:val="pt-BR"/>
        </w:rPr>
        <w:t>.</w:t>
      </w:r>
      <w:r w:rsidRPr="00CC289A">
        <w:rPr>
          <w:lang w:val="pt-BR"/>
        </w:rPr>
        <w:tab/>
        <w:t xml:space="preserve">CEPAL, Nações Unidas, Panorama Social da América </w:t>
      </w:r>
      <w:r w:rsidRPr="00CC289A">
        <w:rPr>
          <w:lang w:val="pt-BR"/>
        </w:rPr>
        <w:t xml:space="preserve">Latina 2018 (Feb. </w:t>
      </w:r>
      <w:r w:rsidRPr="00CC289A">
        <w:rPr>
          <w:lang w:val="pt-BR"/>
        </w:rPr>
        <w:t xml:space="preserve">2019), disponível em: </w:t>
      </w:r>
      <w:hyperlink r:id="rId2" w:history="1">
        <w:r w:rsidRPr="00CC289A">
          <w:rPr>
            <w:rStyle w:val="Hyperlink"/>
            <w:rFonts w:eastAsiaTheme="minorHAnsi"/>
            <w:lang w:val="pt-BR"/>
          </w:rPr>
          <w:t>https://repositorio.cepal.org/bitstream/handle/11362/44396/4/S1900050_en.pdf</w:t>
        </w:r>
      </w:hyperlink>
      <w:r w:rsidRPr="00CC289A">
        <w:rPr>
          <w:rStyle w:val="Hyperlink"/>
          <w:rFonts w:eastAsiaTheme="minorHAnsi"/>
          <w:lang w:val="pt-BR"/>
        </w:rPr>
        <w:t>.</w:t>
      </w:r>
    </w:p>
  </w:footnote>
  <w:footnote w:id="5">
    <w:p w14:paraId="63818160" w14:textId="77777777" w:rsidR="00CC289A" w:rsidRPr="00CC289A" w:rsidRDefault="00CC289A" w:rsidP="00CC289A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CC289A">
        <w:rPr>
          <w:rStyle w:val="FootnoteReference"/>
          <w:vertAlign w:val="baseline"/>
        </w:rPr>
        <w:footnoteRef/>
      </w:r>
      <w:r w:rsidRPr="00CC289A">
        <w:rPr>
          <w:lang w:val="pt-BR"/>
        </w:rPr>
        <w:t xml:space="preserve"> </w:t>
      </w:r>
      <w:r w:rsidRPr="00CC289A">
        <w:rPr>
          <w:lang w:val="pt-BR"/>
        </w:rPr>
        <w:t>.</w:t>
      </w:r>
      <w:r w:rsidRPr="00CC289A">
        <w:rPr>
          <w:lang w:val="pt-BR"/>
        </w:rPr>
        <w:tab/>
      </w:r>
      <w:hyperlink r:id="rId3" w:history="1">
        <w:r w:rsidRPr="00CC289A">
          <w:rPr>
            <w:rStyle w:val="Hyperlink"/>
            <w:rFonts w:eastAsiaTheme="minorHAnsi"/>
            <w:lang w:val="pt-BR"/>
          </w:rPr>
          <w:t>http://www3.weforum.org/docs/WEF_GGGR_2021.pdf</w:t>
        </w:r>
      </w:hyperlink>
      <w:r w:rsidRPr="00CC289A">
        <w:rPr>
          <w:rStyle w:val="Hyperlink"/>
          <w:rFonts w:eastAsiaTheme="minorHAnsi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07ED"/>
    <w:rsid w:val="00046967"/>
    <w:rsid w:val="000504CA"/>
    <w:rsid w:val="00056FC0"/>
    <w:rsid w:val="000643F2"/>
    <w:rsid w:val="00066557"/>
    <w:rsid w:val="00066D21"/>
    <w:rsid w:val="00071E1C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055F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0B82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3A3A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7F7D4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2BD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86810"/>
    <w:rsid w:val="00C94E64"/>
    <w:rsid w:val="00C9584E"/>
    <w:rsid w:val="00CA0390"/>
    <w:rsid w:val="00CA1C13"/>
    <w:rsid w:val="00CB0B2C"/>
    <w:rsid w:val="00CB16CD"/>
    <w:rsid w:val="00CB351F"/>
    <w:rsid w:val="00CB40B7"/>
    <w:rsid w:val="00CC289A"/>
    <w:rsid w:val="00CC3188"/>
    <w:rsid w:val="00CC3A3D"/>
    <w:rsid w:val="00CC3A77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0F16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0A98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aliases w:val="footnote text"/>
    <w:basedOn w:val="Normal"/>
    <w:link w:val="FootnoteTextChar"/>
    <w:uiPriority w:val="99"/>
    <w:rsid w:val="004E02F6"/>
    <w:rPr>
      <w:sz w:val="20"/>
      <w:szCs w:val="20"/>
      <w:lang w:eastAsia="x-none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CC289A"/>
    <w:pPr>
      <w:spacing w:before="100" w:beforeAutospacing="1" w:after="100" w:afterAutospacing="1"/>
    </w:pPr>
    <w:rPr>
      <w:lang w:val="en-US"/>
    </w:rPr>
  </w:style>
  <w:style w:type="paragraph" w:customStyle="1" w:styleId="ListaColorida-nfase11">
    <w:name w:val="Lista Colorida - Ênfase 11"/>
    <w:basedOn w:val="Normal"/>
    <w:uiPriority w:val="34"/>
    <w:qFormat/>
    <w:rsid w:val="00CC289A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weforum.org/docs/WEF_GGGR_2021.pdf" TargetMode="External"/><Relationship Id="rId2" Type="http://schemas.openxmlformats.org/officeDocument/2006/relationships/hyperlink" Target="https://repositorio.cepal.org/bitstream/handle/11362/44396/4/S1900050_en.pdf" TargetMode="External"/><Relationship Id="rId1" Type="http://schemas.openxmlformats.org/officeDocument/2006/relationships/hyperlink" Target="http://www3.weforum.org/docs/WEF_GGGR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2689</Words>
  <Characters>15169</Characters>
  <Application>Microsoft Office Word</Application>
  <DocSecurity>0</DocSecurity>
  <Lines>329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2021-12-08T16:57:00Z</dcterms:created>
  <dcterms:modified xsi:type="dcterms:W3CDTF">2021-12-08T17:01:00Z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