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6928" w14:textId="77777777" w:rsidR="001E6B0B" w:rsidRDefault="001E6B0B" w:rsidP="00BE5622">
      <w:pPr>
        <w:tabs>
          <w:tab w:val="left" w:pos="7200"/>
        </w:tabs>
        <w:ind w:left="-180" w:right="-299"/>
        <w:jc w:val="both"/>
        <w:rPr>
          <w:b/>
          <w:bCs/>
          <w:sz w:val="22"/>
          <w:szCs w:val="22"/>
          <w:lang w:val="fr-FR"/>
        </w:rPr>
      </w:pPr>
    </w:p>
    <w:p w14:paraId="45526D8E" w14:textId="2DE658BC" w:rsidR="001E6B0B" w:rsidRPr="001E6B0B" w:rsidRDefault="00F4213B" w:rsidP="00BE5622">
      <w:pPr>
        <w:tabs>
          <w:tab w:val="left" w:pos="7200"/>
        </w:tabs>
        <w:ind w:left="-180" w:right="-299"/>
        <w:jc w:val="both"/>
        <w:rPr>
          <w:sz w:val="22"/>
          <w:szCs w:val="22"/>
          <w:lang w:val="fr-FR"/>
        </w:rPr>
      </w:pPr>
      <w:r w:rsidRPr="001E6B0B">
        <w:rPr>
          <w:b/>
          <w:noProof/>
          <w:sz w:val="22"/>
          <w:szCs w:val="22"/>
          <w:lang w:val="fr-FR"/>
        </w:rPr>
        <w:drawing>
          <wp:anchor distT="0" distB="0" distL="114300" distR="114300" simplePos="0" relativeHeight="251658240" behindDoc="0" locked="0" layoutInCell="1" allowOverlap="1" wp14:anchorId="6CFEC099" wp14:editId="4033B4B9">
            <wp:simplePos x="0" y="0"/>
            <wp:positionH relativeFrom="column">
              <wp:posOffset>-421641</wp:posOffset>
            </wp:positionH>
            <wp:positionV relativeFrom="paragraph">
              <wp:posOffset>-933450</wp:posOffset>
            </wp:positionV>
            <wp:extent cx="866775" cy="84391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43915"/>
                    </a:xfrm>
                    <a:prstGeom prst="rect">
                      <a:avLst/>
                    </a:prstGeom>
                    <a:noFill/>
                  </pic:spPr>
                </pic:pic>
              </a:graphicData>
            </a:graphic>
            <wp14:sizeRelH relativeFrom="page">
              <wp14:pctWidth>0</wp14:pctWidth>
            </wp14:sizeRelH>
            <wp14:sizeRelV relativeFrom="page">
              <wp14:pctHeight>0</wp14:pctHeight>
            </wp14:sizeRelV>
          </wp:anchor>
        </w:drawing>
      </w:r>
      <w:r w:rsidR="0034560B" w:rsidRPr="001E6B0B">
        <w:rPr>
          <w:b/>
          <w:noProof/>
          <w:sz w:val="22"/>
          <w:szCs w:val="22"/>
          <w:lang w:val="fr-FR"/>
        </w:rPr>
        <w:drawing>
          <wp:anchor distT="0" distB="0" distL="114300" distR="114300" simplePos="0" relativeHeight="251658241" behindDoc="0" locked="0" layoutInCell="1" allowOverlap="1" wp14:anchorId="07F74794" wp14:editId="1E3FA2C1">
            <wp:simplePos x="0" y="0"/>
            <wp:positionH relativeFrom="page">
              <wp:posOffset>6336665</wp:posOffset>
            </wp:positionH>
            <wp:positionV relativeFrom="page">
              <wp:posOffset>571500</wp:posOffset>
            </wp:positionV>
            <wp:extent cx="951230" cy="6680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pic:spPr>
                </pic:pic>
              </a:graphicData>
            </a:graphic>
            <wp14:sizeRelH relativeFrom="page">
              <wp14:pctWidth>0</wp14:pctWidth>
            </wp14:sizeRelH>
            <wp14:sizeRelV relativeFrom="page">
              <wp14:pctHeight>0</wp14:pctHeight>
            </wp14:sizeRelV>
          </wp:anchor>
        </w:drawing>
      </w:r>
      <w:r w:rsidR="001E6B0B" w:rsidRPr="001E6B0B">
        <w:rPr>
          <w:b/>
          <w:sz w:val="22"/>
          <w:szCs w:val="22"/>
          <w:lang w:val="fr-CA"/>
        </w:rPr>
        <w:t>SIXIÈME RÉUNION DES MINISTRES ET HAUTS FONCTIONNAIRES</w:t>
      </w:r>
      <w:r w:rsidR="001E6B0B" w:rsidRPr="001E6B0B">
        <w:rPr>
          <w:snapToGrid w:val="0"/>
          <w:sz w:val="22"/>
          <w:szCs w:val="22"/>
          <w:lang w:val="fr-FR"/>
        </w:rPr>
        <w:t xml:space="preserve"> </w:t>
      </w:r>
      <w:r w:rsidR="001E6B0B">
        <w:rPr>
          <w:snapToGrid w:val="0"/>
          <w:sz w:val="22"/>
          <w:szCs w:val="22"/>
          <w:lang w:val="fr-FR"/>
        </w:rPr>
        <w:tab/>
      </w:r>
      <w:r w:rsidR="001E6B0B" w:rsidRPr="001E6B0B">
        <w:rPr>
          <w:snapToGrid w:val="0"/>
          <w:sz w:val="22"/>
          <w:szCs w:val="22"/>
          <w:lang w:val="fr-FR"/>
        </w:rPr>
        <w:t>OEA/</w:t>
      </w:r>
      <w:proofErr w:type="spellStart"/>
      <w:r w:rsidR="001E6B0B" w:rsidRPr="001E6B0B">
        <w:rPr>
          <w:snapToGrid w:val="0"/>
          <w:sz w:val="22"/>
          <w:szCs w:val="22"/>
          <w:lang w:val="fr-FR"/>
        </w:rPr>
        <w:t>Ser.K</w:t>
      </w:r>
      <w:proofErr w:type="spellEnd"/>
      <w:r w:rsidR="001E6B0B" w:rsidRPr="001E6B0B">
        <w:rPr>
          <w:snapToGrid w:val="0"/>
          <w:sz w:val="22"/>
          <w:szCs w:val="22"/>
          <w:lang w:val="fr-FR"/>
        </w:rPr>
        <w:t>/VIII.6</w:t>
      </w:r>
    </w:p>
    <w:p w14:paraId="73AE2FB6" w14:textId="68986EC3" w:rsidR="001E6B0B" w:rsidRDefault="001E6B0B" w:rsidP="00BE5622">
      <w:pPr>
        <w:tabs>
          <w:tab w:val="left" w:pos="7200"/>
        </w:tabs>
        <w:ind w:left="-270" w:right="-1109" w:firstLine="90"/>
        <w:jc w:val="both"/>
        <w:rPr>
          <w:sz w:val="22"/>
          <w:szCs w:val="22"/>
          <w:lang w:val="fr-CA"/>
        </w:rPr>
      </w:pPr>
      <w:r w:rsidRPr="001E6B0B">
        <w:rPr>
          <w:b/>
          <w:sz w:val="22"/>
          <w:szCs w:val="22"/>
          <w:lang w:val="fr-CA"/>
        </w:rPr>
        <w:t>CHARGÉS DE LA SCIENCE ET DE LA TECHNOLOGIE</w:t>
      </w:r>
      <w:r w:rsidR="00F4213B" w:rsidRPr="001E6B0B">
        <w:rPr>
          <w:rFonts w:eastAsia="SimSun"/>
          <w:b/>
          <w:sz w:val="22"/>
          <w:szCs w:val="22"/>
          <w:lang w:val="fr-FR"/>
        </w:rPr>
        <w:tab/>
      </w:r>
      <w:r w:rsidR="00F4213B" w:rsidRPr="001E6B0B">
        <w:rPr>
          <w:sz w:val="22"/>
          <w:szCs w:val="22"/>
          <w:lang w:val="fr-CA"/>
        </w:rPr>
        <w:t>CIDI/</w:t>
      </w:r>
      <w:r w:rsidRPr="001E6B0B">
        <w:rPr>
          <w:sz w:val="22"/>
          <w:szCs w:val="22"/>
          <w:lang w:val="fr-CA"/>
        </w:rPr>
        <w:t>REMCYT-</w:t>
      </w:r>
      <w:r w:rsidR="00F4213B" w:rsidRPr="001E6B0B">
        <w:rPr>
          <w:sz w:val="22"/>
          <w:szCs w:val="22"/>
          <w:lang w:val="fr-CA"/>
        </w:rPr>
        <w:t>V</w:t>
      </w:r>
      <w:r w:rsidRPr="001E6B0B">
        <w:rPr>
          <w:sz w:val="22"/>
          <w:szCs w:val="22"/>
          <w:lang w:val="fr-CA"/>
        </w:rPr>
        <w:t>I</w:t>
      </w:r>
      <w:r w:rsidR="00F4213B" w:rsidRPr="001E6B0B">
        <w:rPr>
          <w:sz w:val="22"/>
          <w:szCs w:val="22"/>
          <w:lang w:val="fr-CA"/>
        </w:rPr>
        <w:t>/doc.</w:t>
      </w:r>
      <w:r w:rsidRPr="001E6B0B">
        <w:rPr>
          <w:sz w:val="22"/>
          <w:szCs w:val="22"/>
          <w:lang w:val="fr-CA"/>
        </w:rPr>
        <w:t xml:space="preserve"> </w:t>
      </w:r>
      <w:r w:rsidR="003119B2">
        <w:rPr>
          <w:sz w:val="22"/>
          <w:szCs w:val="22"/>
          <w:lang w:val="fr-CA"/>
        </w:rPr>
        <w:t>5</w:t>
      </w:r>
      <w:r w:rsidR="00F4213B" w:rsidRPr="001E6B0B">
        <w:rPr>
          <w:sz w:val="22"/>
          <w:szCs w:val="22"/>
          <w:lang w:val="fr-CA"/>
        </w:rPr>
        <w:t>/21</w:t>
      </w:r>
    </w:p>
    <w:p w14:paraId="39689010" w14:textId="6BA96D7B" w:rsidR="00F4213B" w:rsidRPr="001E6B0B" w:rsidRDefault="00376F17" w:rsidP="00BE5622">
      <w:pPr>
        <w:tabs>
          <w:tab w:val="left" w:pos="7200"/>
        </w:tabs>
        <w:ind w:left="-270" w:right="-1109" w:firstLine="90"/>
        <w:jc w:val="both"/>
        <w:rPr>
          <w:sz w:val="22"/>
          <w:szCs w:val="22"/>
          <w:lang w:val="fr-CA"/>
        </w:rPr>
      </w:pPr>
      <w:r>
        <w:rPr>
          <w:sz w:val="22"/>
          <w:szCs w:val="22"/>
          <w:lang w:val="fr-CA"/>
        </w:rPr>
        <w:t xml:space="preserve">Du </w:t>
      </w:r>
      <w:r w:rsidR="001E6B0B" w:rsidRPr="001E6B0B">
        <w:rPr>
          <w:sz w:val="22"/>
          <w:szCs w:val="22"/>
          <w:lang w:val="fr-CA"/>
        </w:rPr>
        <w:t xml:space="preserve">7 </w:t>
      </w:r>
      <w:r>
        <w:rPr>
          <w:sz w:val="22"/>
          <w:szCs w:val="22"/>
          <w:lang w:val="fr-CA"/>
        </w:rPr>
        <w:t>au</w:t>
      </w:r>
      <w:r w:rsidR="001E6B0B" w:rsidRPr="001E6B0B">
        <w:rPr>
          <w:sz w:val="22"/>
          <w:szCs w:val="22"/>
          <w:lang w:val="fr-CA"/>
        </w:rPr>
        <w:t xml:space="preserve"> 8 décembre 2021</w:t>
      </w:r>
      <w:r w:rsidR="001E6B0B">
        <w:rPr>
          <w:sz w:val="22"/>
          <w:szCs w:val="22"/>
          <w:lang w:val="fr-CA"/>
        </w:rPr>
        <w:tab/>
      </w:r>
      <w:r w:rsidR="003119B2">
        <w:rPr>
          <w:sz w:val="22"/>
          <w:szCs w:val="22"/>
          <w:lang w:val="fr-CA"/>
        </w:rPr>
        <w:t>3</w:t>
      </w:r>
      <w:r w:rsidR="00552B7D" w:rsidRPr="001E6B0B">
        <w:rPr>
          <w:color w:val="000000"/>
          <w:sz w:val="22"/>
          <w:szCs w:val="22"/>
          <w:lang w:val="fr-FR"/>
        </w:rPr>
        <w:t xml:space="preserve"> </w:t>
      </w:r>
      <w:proofErr w:type="spellStart"/>
      <w:r w:rsidR="003119B2" w:rsidRPr="00281504">
        <w:rPr>
          <w:snapToGrid w:val="0"/>
          <w:sz w:val="22"/>
          <w:szCs w:val="22"/>
        </w:rPr>
        <w:t>décembre</w:t>
      </w:r>
      <w:proofErr w:type="spellEnd"/>
      <w:r w:rsidR="003119B2" w:rsidRPr="00281504">
        <w:rPr>
          <w:snapToGrid w:val="0"/>
          <w:sz w:val="22"/>
          <w:szCs w:val="22"/>
        </w:rPr>
        <w:t xml:space="preserve"> 2021</w:t>
      </w:r>
    </w:p>
    <w:p w14:paraId="5746B112" w14:textId="4B504399" w:rsidR="00F4213B" w:rsidRPr="001E6B0B" w:rsidRDefault="00E2133B" w:rsidP="00BE5622">
      <w:pPr>
        <w:tabs>
          <w:tab w:val="left" w:pos="7200"/>
        </w:tabs>
        <w:ind w:hanging="180"/>
        <w:jc w:val="both"/>
        <w:rPr>
          <w:sz w:val="22"/>
          <w:szCs w:val="22"/>
          <w:lang w:val="fr-CA"/>
        </w:rPr>
      </w:pPr>
      <w:r w:rsidRPr="001E6B0B">
        <w:rPr>
          <w:color w:val="000000"/>
          <w:sz w:val="22"/>
          <w:szCs w:val="22"/>
          <w:lang w:val="fr-FR"/>
        </w:rPr>
        <w:t xml:space="preserve">Washington, D.C. </w:t>
      </w:r>
      <w:r w:rsidR="00CA7D88" w:rsidRPr="001E6B0B">
        <w:rPr>
          <w:color w:val="000000"/>
          <w:sz w:val="22"/>
          <w:szCs w:val="22"/>
          <w:lang w:val="fr-FR"/>
        </w:rPr>
        <w:t>(</w:t>
      </w:r>
      <w:r w:rsidRPr="001E6B0B">
        <w:rPr>
          <w:color w:val="000000"/>
          <w:sz w:val="22"/>
          <w:szCs w:val="22"/>
          <w:lang w:val="fr-FR"/>
        </w:rPr>
        <w:t>États-Unis d'Amérique</w:t>
      </w:r>
      <w:r w:rsidR="00CA7D88" w:rsidRPr="001E6B0B">
        <w:rPr>
          <w:color w:val="000000"/>
          <w:sz w:val="22"/>
          <w:szCs w:val="22"/>
          <w:lang w:val="fr-FR"/>
        </w:rPr>
        <w:t>)</w:t>
      </w:r>
      <w:r w:rsidR="00F4213B" w:rsidRPr="001E6B0B">
        <w:rPr>
          <w:sz w:val="22"/>
          <w:szCs w:val="22"/>
          <w:lang w:val="fr-FR"/>
        </w:rPr>
        <w:tab/>
      </w:r>
      <w:proofErr w:type="gramStart"/>
      <w:r w:rsidR="00F4213B" w:rsidRPr="001E6B0B">
        <w:rPr>
          <w:sz w:val="22"/>
          <w:szCs w:val="22"/>
          <w:lang w:val="fr-FR"/>
        </w:rPr>
        <w:t>Original:</w:t>
      </w:r>
      <w:proofErr w:type="gramEnd"/>
      <w:r w:rsidR="00F4213B" w:rsidRPr="001E6B0B">
        <w:rPr>
          <w:sz w:val="22"/>
          <w:szCs w:val="22"/>
          <w:lang w:val="fr-FR"/>
        </w:rPr>
        <w:t xml:space="preserve"> </w:t>
      </w:r>
      <w:r w:rsidR="001E6B0B" w:rsidRPr="001E6B0B">
        <w:rPr>
          <w:sz w:val="22"/>
          <w:szCs w:val="22"/>
          <w:lang w:val="fr-CA"/>
        </w:rPr>
        <w:t>anglais</w:t>
      </w:r>
    </w:p>
    <w:p w14:paraId="64922357" w14:textId="2E39A2D4" w:rsidR="00F4213B" w:rsidRPr="001E6B0B" w:rsidRDefault="00F4213B" w:rsidP="00BE5622">
      <w:pPr>
        <w:tabs>
          <w:tab w:val="left" w:pos="6480"/>
          <w:tab w:val="left" w:pos="7290"/>
        </w:tabs>
        <w:ind w:hanging="180"/>
        <w:jc w:val="both"/>
        <w:rPr>
          <w:color w:val="000000"/>
          <w:sz w:val="22"/>
          <w:szCs w:val="22"/>
          <w:lang w:val="fr-FR"/>
        </w:rPr>
      </w:pPr>
      <w:r w:rsidRPr="001E6B0B">
        <w:rPr>
          <w:color w:val="000000"/>
          <w:sz w:val="22"/>
          <w:szCs w:val="22"/>
          <w:lang w:val="fr-FR"/>
        </w:rPr>
        <w:t>VIRTUEL</w:t>
      </w:r>
      <w:r w:rsidRPr="001E6B0B">
        <w:rPr>
          <w:color w:val="000000"/>
          <w:sz w:val="22"/>
          <w:szCs w:val="22"/>
          <w:lang w:val="fr-FR"/>
        </w:rPr>
        <w:tab/>
      </w:r>
      <w:r w:rsidRPr="001E6B0B">
        <w:rPr>
          <w:color w:val="000000"/>
          <w:sz w:val="22"/>
          <w:szCs w:val="22"/>
          <w:lang w:val="fr-FR"/>
        </w:rPr>
        <w:tab/>
      </w:r>
    </w:p>
    <w:p w14:paraId="497A852F" w14:textId="77777777" w:rsidR="00032517" w:rsidRPr="001E6B0B" w:rsidRDefault="00032517" w:rsidP="00BE5622">
      <w:pPr>
        <w:pBdr>
          <w:bottom w:val="single" w:sz="12" w:space="1" w:color="auto"/>
        </w:pBdr>
        <w:tabs>
          <w:tab w:val="left" w:pos="6030"/>
          <w:tab w:val="left" w:pos="6210"/>
        </w:tabs>
        <w:ind w:right="-389"/>
        <w:rPr>
          <w:sz w:val="22"/>
          <w:szCs w:val="22"/>
          <w:lang w:val="fr-FR"/>
        </w:rPr>
      </w:pPr>
    </w:p>
    <w:p w14:paraId="64E03D80" w14:textId="4B7252D0" w:rsidR="00F4213B" w:rsidRDefault="00F4213B" w:rsidP="00BE5622">
      <w:pPr>
        <w:rPr>
          <w:sz w:val="22"/>
          <w:szCs w:val="22"/>
          <w:lang w:val="fr-CA"/>
        </w:rPr>
      </w:pPr>
    </w:p>
    <w:p w14:paraId="7BDFE13B" w14:textId="77777777" w:rsidR="00376F17" w:rsidRPr="00376F17" w:rsidRDefault="00376F17" w:rsidP="00BE5622">
      <w:pPr>
        <w:rPr>
          <w:sz w:val="22"/>
          <w:szCs w:val="22"/>
          <w:lang w:val="fr-CA"/>
        </w:rPr>
      </w:pPr>
    </w:p>
    <w:p w14:paraId="0F252BDC" w14:textId="77777777" w:rsidR="003119B2" w:rsidRPr="00281504" w:rsidRDefault="003119B2" w:rsidP="003119B2">
      <w:pPr>
        <w:tabs>
          <w:tab w:val="left" w:pos="6750"/>
        </w:tabs>
        <w:jc w:val="center"/>
        <w:rPr>
          <w:snapToGrid w:val="0"/>
          <w:sz w:val="22"/>
          <w:szCs w:val="22"/>
        </w:rPr>
      </w:pPr>
    </w:p>
    <w:p w14:paraId="201050C5" w14:textId="77777777" w:rsidR="003119B2" w:rsidRPr="00281504" w:rsidRDefault="003119B2" w:rsidP="003119B2">
      <w:pPr>
        <w:tabs>
          <w:tab w:val="left" w:pos="6750"/>
        </w:tabs>
        <w:jc w:val="center"/>
        <w:rPr>
          <w:snapToGrid w:val="0"/>
          <w:sz w:val="22"/>
          <w:szCs w:val="22"/>
        </w:rPr>
      </w:pPr>
    </w:p>
    <w:p w14:paraId="2CF751BC" w14:textId="77777777" w:rsidR="003119B2" w:rsidRPr="00281504" w:rsidRDefault="003119B2" w:rsidP="003119B2">
      <w:pPr>
        <w:tabs>
          <w:tab w:val="left" w:pos="6750"/>
        </w:tabs>
        <w:jc w:val="center"/>
        <w:rPr>
          <w:snapToGrid w:val="0"/>
          <w:sz w:val="22"/>
          <w:szCs w:val="22"/>
        </w:rPr>
      </w:pPr>
    </w:p>
    <w:p w14:paraId="27076DAB" w14:textId="77777777" w:rsidR="003119B2" w:rsidRPr="00281504" w:rsidRDefault="003119B2" w:rsidP="003119B2">
      <w:pPr>
        <w:tabs>
          <w:tab w:val="left" w:pos="6750"/>
        </w:tabs>
        <w:jc w:val="center"/>
        <w:rPr>
          <w:snapToGrid w:val="0"/>
          <w:sz w:val="22"/>
          <w:szCs w:val="22"/>
        </w:rPr>
      </w:pPr>
    </w:p>
    <w:p w14:paraId="630700D3" w14:textId="77777777" w:rsidR="003119B2" w:rsidRPr="00281504" w:rsidRDefault="003119B2" w:rsidP="003119B2">
      <w:pPr>
        <w:tabs>
          <w:tab w:val="left" w:pos="6750"/>
        </w:tabs>
        <w:jc w:val="center"/>
        <w:rPr>
          <w:snapToGrid w:val="0"/>
          <w:sz w:val="22"/>
          <w:szCs w:val="22"/>
        </w:rPr>
      </w:pPr>
    </w:p>
    <w:p w14:paraId="1EB79857" w14:textId="77777777" w:rsidR="003119B2" w:rsidRPr="00281504" w:rsidRDefault="003119B2" w:rsidP="003119B2">
      <w:pPr>
        <w:tabs>
          <w:tab w:val="left" w:pos="6750"/>
        </w:tabs>
        <w:jc w:val="center"/>
        <w:rPr>
          <w:snapToGrid w:val="0"/>
          <w:sz w:val="22"/>
          <w:szCs w:val="22"/>
        </w:rPr>
      </w:pPr>
    </w:p>
    <w:p w14:paraId="045BF47C" w14:textId="77777777" w:rsidR="003119B2" w:rsidRPr="00281504" w:rsidRDefault="003119B2" w:rsidP="003119B2">
      <w:pPr>
        <w:tabs>
          <w:tab w:val="left" w:pos="6750"/>
        </w:tabs>
        <w:jc w:val="center"/>
        <w:rPr>
          <w:snapToGrid w:val="0"/>
          <w:sz w:val="22"/>
          <w:szCs w:val="22"/>
        </w:rPr>
      </w:pPr>
    </w:p>
    <w:p w14:paraId="56BEF956" w14:textId="77777777" w:rsidR="003119B2" w:rsidRPr="00281504" w:rsidRDefault="003119B2" w:rsidP="003119B2">
      <w:pPr>
        <w:tabs>
          <w:tab w:val="left" w:pos="6750"/>
        </w:tabs>
        <w:jc w:val="center"/>
        <w:rPr>
          <w:snapToGrid w:val="0"/>
          <w:sz w:val="22"/>
          <w:szCs w:val="22"/>
        </w:rPr>
      </w:pPr>
    </w:p>
    <w:p w14:paraId="148D2E33" w14:textId="77777777" w:rsidR="003119B2" w:rsidRPr="00281504" w:rsidRDefault="003119B2" w:rsidP="003119B2">
      <w:pPr>
        <w:tabs>
          <w:tab w:val="left" w:pos="6750"/>
        </w:tabs>
        <w:jc w:val="center"/>
        <w:rPr>
          <w:snapToGrid w:val="0"/>
          <w:sz w:val="22"/>
          <w:szCs w:val="22"/>
        </w:rPr>
      </w:pPr>
    </w:p>
    <w:p w14:paraId="07320611" w14:textId="77777777" w:rsidR="003119B2" w:rsidRPr="00281504" w:rsidRDefault="003119B2" w:rsidP="003119B2">
      <w:pPr>
        <w:tabs>
          <w:tab w:val="left" w:pos="6750"/>
        </w:tabs>
        <w:jc w:val="center"/>
        <w:rPr>
          <w:snapToGrid w:val="0"/>
          <w:sz w:val="22"/>
          <w:szCs w:val="22"/>
        </w:rPr>
      </w:pPr>
    </w:p>
    <w:p w14:paraId="251F5BBF" w14:textId="77777777" w:rsidR="003119B2" w:rsidRPr="00281504" w:rsidRDefault="003119B2" w:rsidP="003119B2">
      <w:pPr>
        <w:tabs>
          <w:tab w:val="left" w:pos="6750"/>
        </w:tabs>
        <w:jc w:val="center"/>
        <w:rPr>
          <w:snapToGrid w:val="0"/>
          <w:sz w:val="22"/>
          <w:szCs w:val="22"/>
        </w:rPr>
      </w:pPr>
    </w:p>
    <w:p w14:paraId="3F0F7040" w14:textId="18451037" w:rsidR="003119B2" w:rsidRPr="003119B2" w:rsidRDefault="003119B2" w:rsidP="003119B2">
      <w:pPr>
        <w:pStyle w:val="BodyText"/>
        <w:tabs>
          <w:tab w:val="left" w:pos="0"/>
        </w:tabs>
        <w:jc w:val="center"/>
        <w:rPr>
          <w:b/>
          <w:bCs/>
          <w:szCs w:val="22"/>
          <w:lang w:val="fr-CA"/>
        </w:rPr>
      </w:pPr>
      <w:r w:rsidRPr="003119B2">
        <w:rPr>
          <w:b/>
          <w:bCs/>
          <w:szCs w:val="22"/>
          <w:lang w:val="fr-CA"/>
        </w:rPr>
        <w:t xml:space="preserve">RAPPORT </w:t>
      </w:r>
      <w:proofErr w:type="gramStart"/>
      <w:r w:rsidRPr="003119B2">
        <w:rPr>
          <w:b/>
          <w:bCs/>
          <w:szCs w:val="22"/>
          <w:lang w:val="fr-CA"/>
        </w:rPr>
        <w:t>D'ACTIVITÉ  EN</w:t>
      </w:r>
      <w:proofErr w:type="gramEnd"/>
      <w:r w:rsidRPr="003119B2">
        <w:rPr>
          <w:b/>
          <w:bCs/>
          <w:szCs w:val="22"/>
          <w:lang w:val="fr-CA"/>
        </w:rPr>
        <w:t xml:space="preserve"> MATIÈRE DE SCIENCE ET TECHNOLOGIE</w:t>
      </w:r>
    </w:p>
    <w:p w14:paraId="4E521420" w14:textId="77777777" w:rsidR="003119B2" w:rsidRPr="003119B2" w:rsidRDefault="003119B2" w:rsidP="003119B2">
      <w:pPr>
        <w:tabs>
          <w:tab w:val="left" w:pos="6750"/>
        </w:tabs>
        <w:jc w:val="both"/>
        <w:rPr>
          <w:snapToGrid w:val="0"/>
          <w:sz w:val="22"/>
          <w:szCs w:val="22"/>
          <w:lang w:val="fr-CA"/>
        </w:rPr>
      </w:pPr>
    </w:p>
    <w:p w14:paraId="3DDAF767" w14:textId="77777777" w:rsidR="003119B2" w:rsidRPr="003119B2" w:rsidRDefault="003119B2" w:rsidP="003119B2">
      <w:pPr>
        <w:autoSpaceDE w:val="0"/>
        <w:autoSpaceDN w:val="0"/>
        <w:adjustRightInd w:val="0"/>
        <w:jc w:val="center"/>
        <w:rPr>
          <w:iCs/>
          <w:snapToGrid w:val="0"/>
          <w:sz w:val="22"/>
          <w:szCs w:val="22"/>
          <w:lang w:val="fr-CA"/>
        </w:rPr>
      </w:pPr>
      <w:r w:rsidRPr="003119B2">
        <w:rPr>
          <w:snapToGrid w:val="0"/>
          <w:sz w:val="22"/>
          <w:szCs w:val="22"/>
          <w:lang w:val="fr-CA"/>
        </w:rPr>
        <w:t xml:space="preserve">(Élaboré par la Section de la compétitivité, de l'innovation et de la technologie du </w:t>
      </w:r>
    </w:p>
    <w:p w14:paraId="1451F3DA" w14:textId="77777777" w:rsidR="003119B2" w:rsidRPr="003119B2" w:rsidRDefault="003119B2" w:rsidP="003119B2">
      <w:pPr>
        <w:autoSpaceDE w:val="0"/>
        <w:autoSpaceDN w:val="0"/>
        <w:adjustRightInd w:val="0"/>
        <w:jc w:val="center"/>
        <w:rPr>
          <w:iCs/>
          <w:snapToGrid w:val="0"/>
          <w:sz w:val="22"/>
          <w:szCs w:val="22"/>
          <w:lang w:val="fr-CA"/>
        </w:rPr>
      </w:pPr>
      <w:r w:rsidRPr="003119B2">
        <w:rPr>
          <w:snapToGrid w:val="0"/>
          <w:sz w:val="22"/>
          <w:szCs w:val="22"/>
          <w:lang w:val="fr-CA"/>
        </w:rPr>
        <w:t>Département du développement économique)</w:t>
      </w:r>
    </w:p>
    <w:p w14:paraId="2704A5F9" w14:textId="77777777" w:rsidR="003119B2" w:rsidRPr="003119B2" w:rsidRDefault="003119B2" w:rsidP="003119B2">
      <w:pPr>
        <w:tabs>
          <w:tab w:val="left" w:pos="6750"/>
        </w:tabs>
        <w:jc w:val="both"/>
        <w:rPr>
          <w:snapToGrid w:val="0"/>
          <w:sz w:val="22"/>
          <w:szCs w:val="22"/>
          <w:lang w:val="fr-CA"/>
        </w:rPr>
      </w:pPr>
    </w:p>
    <w:p w14:paraId="786008A3" w14:textId="77777777" w:rsidR="003119B2" w:rsidRPr="003119B2" w:rsidRDefault="003119B2" w:rsidP="003119B2">
      <w:pPr>
        <w:tabs>
          <w:tab w:val="left" w:pos="5159"/>
        </w:tabs>
        <w:jc w:val="both"/>
        <w:rPr>
          <w:snapToGrid w:val="0"/>
          <w:sz w:val="22"/>
          <w:szCs w:val="22"/>
          <w:lang w:val="fr-CA"/>
        </w:rPr>
      </w:pPr>
    </w:p>
    <w:p w14:paraId="1738447C" w14:textId="77777777" w:rsidR="003119B2" w:rsidRPr="003119B2" w:rsidRDefault="003119B2" w:rsidP="003119B2">
      <w:pPr>
        <w:tabs>
          <w:tab w:val="left" w:pos="6750"/>
        </w:tabs>
        <w:jc w:val="both"/>
        <w:rPr>
          <w:b/>
          <w:snapToGrid w:val="0"/>
          <w:sz w:val="22"/>
          <w:szCs w:val="22"/>
          <w:lang w:val="fr-CA"/>
        </w:rPr>
      </w:pPr>
    </w:p>
    <w:p w14:paraId="64A818D8" w14:textId="77777777" w:rsidR="003119B2" w:rsidRPr="003119B2" w:rsidRDefault="003119B2" w:rsidP="003119B2">
      <w:pPr>
        <w:pStyle w:val="BodyText"/>
        <w:tabs>
          <w:tab w:val="left" w:pos="0"/>
        </w:tabs>
        <w:rPr>
          <w:szCs w:val="22"/>
          <w:lang w:val="fr-CA"/>
        </w:rPr>
        <w:sectPr w:rsidR="003119B2" w:rsidRPr="003119B2" w:rsidSect="003119B2">
          <w:headerReference w:type="even" r:id="rId13"/>
          <w:headerReference w:type="default" r:id="rId14"/>
          <w:headerReference w:type="first" r:id="rId15"/>
          <w:pgSz w:w="12240" w:h="15840" w:code="1"/>
          <w:pgMar w:top="2160" w:right="1570" w:bottom="1296" w:left="1699" w:header="1296" w:footer="1296" w:gutter="0"/>
          <w:pgNumType w:start="1"/>
          <w:cols w:space="720"/>
          <w:titlePg/>
        </w:sectPr>
      </w:pPr>
    </w:p>
    <w:p w14:paraId="1FCE0178" w14:textId="7C41C8DA" w:rsidR="003119B2" w:rsidRPr="003119B2" w:rsidRDefault="003119B2" w:rsidP="003119B2">
      <w:pPr>
        <w:pStyle w:val="BodyText"/>
        <w:tabs>
          <w:tab w:val="left" w:pos="0"/>
        </w:tabs>
        <w:jc w:val="center"/>
        <w:rPr>
          <w:b/>
          <w:bCs/>
          <w:szCs w:val="22"/>
          <w:lang w:val="fr-CA"/>
        </w:rPr>
      </w:pPr>
      <w:r w:rsidRPr="003119B2">
        <w:rPr>
          <w:b/>
          <w:bCs/>
          <w:szCs w:val="22"/>
          <w:lang w:val="fr-CA"/>
        </w:rPr>
        <w:lastRenderedPageBreak/>
        <w:t>RAPPORT D'ACTIVITÉ EN MATIÈRE DE SCIENCE ET TECHNOLOGIE</w:t>
      </w:r>
    </w:p>
    <w:p w14:paraId="3D1B1AC2" w14:textId="77777777" w:rsidR="003119B2" w:rsidRPr="003119B2" w:rsidRDefault="003119B2" w:rsidP="003119B2">
      <w:pPr>
        <w:tabs>
          <w:tab w:val="left" w:pos="6750"/>
        </w:tabs>
        <w:jc w:val="center"/>
        <w:rPr>
          <w:snapToGrid w:val="0"/>
          <w:sz w:val="22"/>
          <w:szCs w:val="22"/>
          <w:lang w:val="fr-CA"/>
        </w:rPr>
      </w:pPr>
    </w:p>
    <w:p w14:paraId="53DE46DD" w14:textId="02C35F6D" w:rsidR="003119B2" w:rsidRPr="003119B2" w:rsidRDefault="003119B2" w:rsidP="003119B2">
      <w:pPr>
        <w:autoSpaceDE w:val="0"/>
        <w:autoSpaceDN w:val="0"/>
        <w:adjustRightInd w:val="0"/>
        <w:jc w:val="center"/>
        <w:rPr>
          <w:iCs/>
          <w:snapToGrid w:val="0"/>
          <w:sz w:val="22"/>
          <w:szCs w:val="22"/>
          <w:lang w:val="fr-CA"/>
        </w:rPr>
      </w:pPr>
      <w:r w:rsidRPr="003119B2">
        <w:rPr>
          <w:snapToGrid w:val="0"/>
          <w:sz w:val="22"/>
          <w:szCs w:val="22"/>
          <w:lang w:val="fr-CA"/>
        </w:rPr>
        <w:t>(Élaboré par la Section de la compétitivité, de l'innovation et de la technologie du</w:t>
      </w:r>
    </w:p>
    <w:p w14:paraId="11516394" w14:textId="77777777" w:rsidR="003119B2" w:rsidRPr="003119B2" w:rsidRDefault="003119B2" w:rsidP="003119B2">
      <w:pPr>
        <w:autoSpaceDE w:val="0"/>
        <w:autoSpaceDN w:val="0"/>
        <w:adjustRightInd w:val="0"/>
        <w:jc w:val="center"/>
        <w:rPr>
          <w:iCs/>
          <w:snapToGrid w:val="0"/>
          <w:sz w:val="22"/>
          <w:szCs w:val="22"/>
          <w:lang w:val="fr-CA"/>
        </w:rPr>
      </w:pPr>
      <w:r w:rsidRPr="003119B2">
        <w:rPr>
          <w:snapToGrid w:val="0"/>
          <w:sz w:val="22"/>
          <w:szCs w:val="22"/>
          <w:lang w:val="fr-CA"/>
        </w:rPr>
        <w:t>Département du développement économique)</w:t>
      </w:r>
    </w:p>
    <w:p w14:paraId="7A65EFB1" w14:textId="77777777" w:rsidR="003119B2" w:rsidRPr="003119B2" w:rsidRDefault="003119B2" w:rsidP="003119B2">
      <w:pPr>
        <w:autoSpaceDE w:val="0"/>
        <w:autoSpaceDN w:val="0"/>
        <w:adjustRightInd w:val="0"/>
        <w:rPr>
          <w:iCs/>
          <w:snapToGrid w:val="0"/>
          <w:sz w:val="22"/>
          <w:szCs w:val="22"/>
          <w:lang w:val="fr-CA"/>
        </w:rPr>
      </w:pPr>
    </w:p>
    <w:p w14:paraId="33A94BB8" w14:textId="77777777" w:rsidR="003119B2" w:rsidRPr="003119B2" w:rsidRDefault="003119B2" w:rsidP="003119B2">
      <w:pPr>
        <w:tabs>
          <w:tab w:val="left" w:pos="6750"/>
        </w:tabs>
        <w:jc w:val="both"/>
        <w:rPr>
          <w:b/>
          <w:snapToGrid w:val="0"/>
          <w:sz w:val="22"/>
          <w:szCs w:val="22"/>
          <w:lang w:val="fr-CA"/>
        </w:rPr>
      </w:pPr>
    </w:p>
    <w:p w14:paraId="00CA9369" w14:textId="77777777" w:rsidR="003119B2" w:rsidRPr="003119B2" w:rsidRDefault="003119B2" w:rsidP="003119B2">
      <w:pPr>
        <w:pStyle w:val="ListParagraph"/>
        <w:tabs>
          <w:tab w:val="left" w:pos="6750"/>
        </w:tabs>
        <w:ind w:left="0"/>
        <w:jc w:val="both"/>
        <w:rPr>
          <w:snapToGrid w:val="0"/>
          <w:sz w:val="22"/>
          <w:szCs w:val="22"/>
          <w:lang w:val="fr-CA"/>
        </w:rPr>
      </w:pPr>
      <w:r w:rsidRPr="003119B2">
        <w:rPr>
          <w:snapToGrid w:val="0"/>
          <w:sz w:val="22"/>
          <w:szCs w:val="22"/>
          <w:lang w:val="fr-CA"/>
        </w:rPr>
        <w:t>INTRODUCTION</w:t>
      </w:r>
    </w:p>
    <w:p w14:paraId="7685D425" w14:textId="77777777" w:rsidR="003119B2" w:rsidRPr="003119B2" w:rsidRDefault="003119B2" w:rsidP="003119B2">
      <w:pPr>
        <w:tabs>
          <w:tab w:val="left" w:pos="360"/>
          <w:tab w:val="left" w:pos="6750"/>
        </w:tabs>
        <w:jc w:val="both"/>
        <w:rPr>
          <w:b/>
          <w:snapToGrid w:val="0"/>
          <w:sz w:val="22"/>
          <w:szCs w:val="22"/>
          <w:lang w:val="fr-CA"/>
        </w:rPr>
      </w:pPr>
    </w:p>
    <w:p w14:paraId="072887B5" w14:textId="77777777" w:rsidR="003119B2" w:rsidRPr="003119B2" w:rsidRDefault="003119B2" w:rsidP="003119B2">
      <w:pPr>
        <w:tabs>
          <w:tab w:val="left" w:pos="720"/>
          <w:tab w:val="left" w:pos="6750"/>
        </w:tabs>
        <w:jc w:val="both"/>
        <w:rPr>
          <w:snapToGrid w:val="0"/>
          <w:sz w:val="22"/>
          <w:szCs w:val="22"/>
          <w:lang w:val="fr-CA"/>
        </w:rPr>
      </w:pPr>
      <w:r w:rsidRPr="003119B2">
        <w:rPr>
          <w:sz w:val="22"/>
          <w:szCs w:val="22"/>
          <w:lang w:val="fr-CA"/>
        </w:rPr>
        <w:tab/>
        <w:t>Le présent rapport du Secrétariat général porte sur les activités entreprises depuis la Cinquième Réunion des ministres et hauts fonctionnaires chargés de la science et de la technologie qui s'est tenue à Medellín, en Colombie, les 2 et 3 novembre 2017, conformément au Plan de travail 2018-2020 de la Commission interaméricaine de la science et de la technologie (COMCYT) pour la mise en œuvre des mandats ministériels convenus par les membres du bureau de la COMCYT lors de sa réunion de planification tenue les 21 et 22 mai 2018 et présenté au Conseil interaméricain pour le développement intégré (CIDI), par l'intermédiaire de sa Commission sur les politiques de partenariat pour le développement, le 8 novembre 2018, afin de recevoir les réactions de tous les États membres ainsi que de favoriser la coordination entre les différents processus ministériels. Le rapport comprend également une section sur les dialogues de la COMCYT entrepris pour aider les États membres dans leur réponse à la pandémie de COVID-19 par l'utilisation de la science, de la technologie et de l'innovation.</w:t>
      </w:r>
    </w:p>
    <w:p w14:paraId="38EAD7F0" w14:textId="77777777" w:rsidR="003119B2" w:rsidRPr="003119B2" w:rsidRDefault="003119B2" w:rsidP="003119B2">
      <w:pPr>
        <w:jc w:val="both"/>
        <w:rPr>
          <w:rFonts w:eastAsia="Calibri"/>
          <w:bCs/>
          <w:sz w:val="22"/>
          <w:szCs w:val="22"/>
          <w:highlight w:val="yellow"/>
          <w:lang w:val="fr-CA"/>
        </w:rPr>
      </w:pPr>
    </w:p>
    <w:p w14:paraId="246AD9F9" w14:textId="77777777" w:rsidR="003119B2" w:rsidRPr="003119B2" w:rsidRDefault="003119B2" w:rsidP="003119B2">
      <w:pPr>
        <w:pStyle w:val="ListParagraph"/>
        <w:tabs>
          <w:tab w:val="left" w:pos="6750"/>
        </w:tabs>
        <w:ind w:left="0"/>
        <w:jc w:val="both"/>
        <w:rPr>
          <w:snapToGrid w:val="0"/>
          <w:sz w:val="22"/>
          <w:szCs w:val="22"/>
          <w:lang w:val="fr-CA"/>
        </w:rPr>
      </w:pPr>
      <w:r w:rsidRPr="003119B2">
        <w:rPr>
          <w:snapToGrid w:val="0"/>
          <w:sz w:val="22"/>
          <w:szCs w:val="22"/>
          <w:lang w:val="fr-CA"/>
        </w:rPr>
        <w:t>CONTEXTE</w:t>
      </w:r>
    </w:p>
    <w:p w14:paraId="3238D962" w14:textId="77777777" w:rsidR="003119B2" w:rsidRPr="003119B2" w:rsidRDefault="003119B2" w:rsidP="003119B2">
      <w:pPr>
        <w:pStyle w:val="ListParagraph"/>
        <w:ind w:left="0" w:firstLine="720"/>
        <w:contextualSpacing/>
        <w:jc w:val="both"/>
        <w:rPr>
          <w:sz w:val="22"/>
          <w:szCs w:val="22"/>
          <w:lang w:val="fr-CA"/>
        </w:rPr>
      </w:pPr>
    </w:p>
    <w:p w14:paraId="49F859B8" w14:textId="77777777" w:rsidR="003119B2" w:rsidRPr="003119B2" w:rsidRDefault="003119B2" w:rsidP="003119B2">
      <w:pPr>
        <w:pStyle w:val="ListParagraph"/>
        <w:ind w:left="0" w:firstLine="720"/>
        <w:contextualSpacing/>
        <w:jc w:val="both"/>
        <w:rPr>
          <w:sz w:val="22"/>
          <w:szCs w:val="22"/>
          <w:lang w:val="fr-CA"/>
        </w:rPr>
      </w:pPr>
      <w:r w:rsidRPr="003119B2">
        <w:rPr>
          <w:sz w:val="22"/>
          <w:szCs w:val="22"/>
          <w:lang w:val="fr-CA"/>
        </w:rPr>
        <w:t xml:space="preserve">Lors de la Cinquième Réunion des ministres et hauts fonctionnaires chargés de la science et de la technologie, les autorités ont adopté la </w:t>
      </w:r>
      <w:r w:rsidR="0047382B">
        <w:fldChar w:fldCharType="begin"/>
      </w:r>
      <w:r w:rsidR="0047382B" w:rsidRPr="0047382B">
        <w:rPr>
          <w:lang w:val="fr-CA"/>
        </w:rPr>
        <w:instrText xml:space="preserve"> HYPERLINK "http://scm.oas.org/IDMS/Redir</w:instrText>
      </w:r>
      <w:r w:rsidR="0047382B" w:rsidRPr="0047382B">
        <w:rPr>
          <w:lang w:val="fr-CA"/>
        </w:rPr>
        <w:instrText xml:space="preserve">ectpage.aspx?class=XVIII.5%20CIDI/REMCYT-V/dec%20&amp;classNum=1&amp;lang=f" </w:instrText>
      </w:r>
      <w:r w:rsidR="0047382B">
        <w:fldChar w:fldCharType="separate"/>
      </w:r>
      <w:r w:rsidRPr="003119B2">
        <w:rPr>
          <w:rStyle w:val="Hyperlink"/>
          <w:sz w:val="22"/>
          <w:szCs w:val="22"/>
          <w:lang w:val="fr-CA"/>
        </w:rPr>
        <w:t>Déclaration de Medellín</w:t>
      </w:r>
      <w:r w:rsidR="0047382B">
        <w:rPr>
          <w:rStyle w:val="Hyperlink"/>
          <w:sz w:val="22"/>
          <w:szCs w:val="22"/>
          <w:lang w:val="fr-CA"/>
        </w:rPr>
        <w:fldChar w:fldCharType="end"/>
      </w:r>
      <w:r w:rsidRPr="003119B2">
        <w:rPr>
          <w:rStyle w:val="Hyperlink"/>
          <w:sz w:val="22"/>
          <w:szCs w:val="22"/>
          <w:lang w:val="fr-CA"/>
        </w:rPr>
        <w:t> :</w:t>
      </w:r>
      <w:r w:rsidRPr="003119B2">
        <w:rPr>
          <w:b/>
          <w:bCs/>
          <w:sz w:val="22"/>
          <w:szCs w:val="22"/>
          <w:lang w:val="fr-CA"/>
        </w:rPr>
        <w:t xml:space="preserve"> « La science, la technologie et l’innovation en tant que piliers de la transformation dans les Amériques »</w:t>
      </w:r>
      <w:r w:rsidRPr="003119B2">
        <w:rPr>
          <w:sz w:val="22"/>
          <w:szCs w:val="22"/>
          <w:lang w:val="fr-CA"/>
        </w:rPr>
        <w:t>, dans lequel sont réaffirmées la structure, la composition et la méthodologie des quatre (4) groupes de travail de la COMCYT (Groupe de travail 1 sur l'innovation, Groupe de travail 2 sur l'éducation en ingénierie, Groupe de travail 3 sur l'infrastructure nationale de la qualité, et Groupe de travail 4 sur le développement technologique). La déclaration a également élargi la portée de leurs actions en incluant les thèmes transversaux suivants :</w:t>
      </w:r>
    </w:p>
    <w:p w14:paraId="5796CEDE" w14:textId="77777777" w:rsidR="003119B2" w:rsidRPr="003119B2" w:rsidRDefault="003119B2" w:rsidP="003119B2">
      <w:pPr>
        <w:pStyle w:val="ListParagraph"/>
        <w:ind w:left="0" w:firstLine="720"/>
        <w:contextualSpacing/>
        <w:jc w:val="both"/>
        <w:rPr>
          <w:sz w:val="22"/>
          <w:szCs w:val="22"/>
          <w:lang w:val="fr-CA"/>
        </w:rPr>
      </w:pPr>
    </w:p>
    <w:p w14:paraId="4F8B117C" w14:textId="77777777" w:rsidR="003119B2" w:rsidRPr="003119B2" w:rsidRDefault="003119B2" w:rsidP="003119B2">
      <w:pPr>
        <w:numPr>
          <w:ilvl w:val="0"/>
          <w:numId w:val="6"/>
        </w:numPr>
        <w:ind w:left="1440" w:hanging="720"/>
        <w:jc w:val="both"/>
        <w:rPr>
          <w:sz w:val="22"/>
          <w:szCs w:val="22"/>
          <w:lang w:val="fr-CA"/>
        </w:rPr>
      </w:pPr>
      <w:r w:rsidRPr="003119B2">
        <w:rPr>
          <w:sz w:val="22"/>
          <w:szCs w:val="22"/>
          <w:lang w:val="fr-CA"/>
        </w:rPr>
        <w:t>Les technologies transformatrices : Intégrer l'échange, entre les États membres, de bonnes pratiques sur la valeur et l'impact des technologies transformatrices, afin de répondre aux principaux défis et impératifs de la région ;</w:t>
      </w:r>
    </w:p>
    <w:p w14:paraId="252A9F09" w14:textId="77777777" w:rsidR="003119B2" w:rsidRPr="003119B2" w:rsidRDefault="003119B2" w:rsidP="003119B2">
      <w:pPr>
        <w:ind w:left="1440" w:hanging="720"/>
        <w:jc w:val="both"/>
        <w:rPr>
          <w:sz w:val="22"/>
          <w:szCs w:val="22"/>
          <w:lang w:val="fr-CA"/>
        </w:rPr>
      </w:pPr>
    </w:p>
    <w:p w14:paraId="6F23DFB4" w14:textId="77777777" w:rsidR="003119B2" w:rsidRPr="003119B2" w:rsidRDefault="003119B2" w:rsidP="003119B2">
      <w:pPr>
        <w:numPr>
          <w:ilvl w:val="0"/>
          <w:numId w:val="6"/>
        </w:numPr>
        <w:ind w:left="1440" w:hanging="720"/>
        <w:jc w:val="both"/>
        <w:rPr>
          <w:sz w:val="22"/>
          <w:szCs w:val="22"/>
          <w:lang w:val="fr-CA"/>
        </w:rPr>
      </w:pPr>
      <w:r w:rsidRPr="003119B2">
        <w:rPr>
          <w:sz w:val="22"/>
          <w:szCs w:val="22"/>
          <w:lang w:val="fr-CA"/>
        </w:rPr>
        <w:t>L'intégration des femmes et des filles, et d'autres populations en situation de vulnérabilité, dans les domaines de la science, de la technologie et de l'innovation : Améliorer leurs possibilités d'apprentissage, accroître leur engagement dans la vie civique et politique, encourager leur insertion dans le marché du travail, et favoriser leur participation aux processus de transformation sociale induits par les progrès scientifiques et technologiques ;</w:t>
      </w:r>
    </w:p>
    <w:p w14:paraId="4E49E883" w14:textId="77777777" w:rsidR="003119B2" w:rsidRPr="003119B2" w:rsidRDefault="003119B2" w:rsidP="003119B2">
      <w:pPr>
        <w:ind w:left="1440" w:hanging="720"/>
        <w:jc w:val="both"/>
        <w:rPr>
          <w:sz w:val="22"/>
          <w:szCs w:val="22"/>
          <w:lang w:val="fr-CA"/>
        </w:rPr>
      </w:pPr>
    </w:p>
    <w:p w14:paraId="0469C7A1" w14:textId="77777777" w:rsidR="003119B2" w:rsidRPr="003119B2" w:rsidRDefault="003119B2" w:rsidP="003119B2">
      <w:pPr>
        <w:numPr>
          <w:ilvl w:val="0"/>
          <w:numId w:val="6"/>
        </w:numPr>
        <w:ind w:left="1440" w:hanging="720"/>
        <w:jc w:val="both"/>
        <w:rPr>
          <w:sz w:val="22"/>
          <w:szCs w:val="22"/>
          <w:lang w:val="fr-CA"/>
        </w:rPr>
      </w:pPr>
      <w:r w:rsidRPr="003119B2">
        <w:rPr>
          <w:sz w:val="22"/>
          <w:szCs w:val="22"/>
          <w:lang w:val="fr-CA"/>
        </w:rPr>
        <w:t>La collaboration multisectorielle entre les gouvernements, le secteur privé, les établissements d'enseignement supérieur, la société civile et d'autres acteurs sociaux, afin d’élaborer des politiques et des programmes de coopération régionale efficaces et à fort impact.</w:t>
      </w:r>
    </w:p>
    <w:p w14:paraId="691C1D63" w14:textId="77777777" w:rsidR="003119B2" w:rsidRPr="003119B2" w:rsidRDefault="003119B2" w:rsidP="003119B2">
      <w:pPr>
        <w:jc w:val="both"/>
        <w:rPr>
          <w:color w:val="171717"/>
          <w:sz w:val="22"/>
          <w:szCs w:val="22"/>
          <w:lang w:val="fr-CA"/>
        </w:rPr>
      </w:pPr>
    </w:p>
    <w:p w14:paraId="76A05E1D" w14:textId="77777777" w:rsidR="003119B2" w:rsidRPr="003119B2" w:rsidRDefault="003119B2" w:rsidP="003119B2">
      <w:pPr>
        <w:ind w:firstLine="720"/>
        <w:jc w:val="both"/>
        <w:rPr>
          <w:sz w:val="22"/>
          <w:szCs w:val="22"/>
          <w:lang w:val="fr-CA"/>
        </w:rPr>
      </w:pPr>
      <w:r w:rsidRPr="003119B2">
        <w:rPr>
          <w:sz w:val="22"/>
          <w:szCs w:val="22"/>
          <w:lang w:val="fr-CA"/>
        </w:rPr>
        <w:lastRenderedPageBreak/>
        <w:t xml:space="preserve">Un autre résultat important de la réunion des ministres a été l'élection du bureau de la COMCYT et des coordinateurs des quatre (4) groupes de travail : </w:t>
      </w:r>
    </w:p>
    <w:p w14:paraId="0147881C" w14:textId="77777777" w:rsidR="003119B2" w:rsidRPr="003119B2" w:rsidRDefault="003119B2" w:rsidP="003119B2">
      <w:pPr>
        <w:jc w:val="both"/>
        <w:rPr>
          <w:sz w:val="22"/>
          <w:szCs w:val="22"/>
          <w:lang w:val="fr-CA"/>
        </w:rPr>
      </w:pPr>
    </w:p>
    <w:p w14:paraId="303D3A2B" w14:textId="77777777" w:rsidR="003119B2" w:rsidRPr="003119B2" w:rsidRDefault="003119B2" w:rsidP="003119B2">
      <w:pPr>
        <w:tabs>
          <w:tab w:val="left" w:pos="7380"/>
        </w:tabs>
        <w:ind w:left="720"/>
        <w:jc w:val="both"/>
        <w:rPr>
          <w:color w:val="171717"/>
          <w:sz w:val="22"/>
          <w:szCs w:val="22"/>
          <w:u w:val="single"/>
          <w:lang w:val="fr-CA"/>
        </w:rPr>
      </w:pPr>
      <w:r w:rsidRPr="003119B2">
        <w:rPr>
          <w:color w:val="171717"/>
          <w:sz w:val="22"/>
          <w:szCs w:val="22"/>
          <w:u w:val="single"/>
          <w:lang w:val="fr-CA"/>
        </w:rPr>
        <w:t>BUREAU DE LA COMCYT :</w:t>
      </w:r>
    </w:p>
    <w:p w14:paraId="37ED4C9A" w14:textId="77777777" w:rsidR="003119B2" w:rsidRPr="003119B2" w:rsidRDefault="003119B2" w:rsidP="003119B2">
      <w:pPr>
        <w:tabs>
          <w:tab w:val="left" w:pos="7380"/>
        </w:tabs>
        <w:ind w:left="720"/>
        <w:jc w:val="both"/>
        <w:rPr>
          <w:bCs/>
          <w:color w:val="171717"/>
          <w:sz w:val="22"/>
          <w:szCs w:val="22"/>
          <w:u w:val="single"/>
          <w:lang w:val="fr-CA"/>
        </w:rPr>
      </w:pPr>
    </w:p>
    <w:p w14:paraId="25A09224" w14:textId="77777777" w:rsidR="003119B2" w:rsidRPr="003119B2" w:rsidRDefault="003119B2" w:rsidP="003119B2">
      <w:pPr>
        <w:tabs>
          <w:tab w:val="left" w:pos="7380"/>
        </w:tabs>
        <w:ind w:left="720"/>
        <w:jc w:val="both"/>
        <w:rPr>
          <w:bCs/>
          <w:color w:val="171717"/>
          <w:sz w:val="22"/>
          <w:szCs w:val="22"/>
          <w:u w:val="single"/>
          <w:lang w:val="fr-CA"/>
        </w:rPr>
      </w:pPr>
      <w:r w:rsidRPr="003119B2">
        <w:rPr>
          <w:color w:val="171717"/>
          <w:sz w:val="22"/>
          <w:szCs w:val="22"/>
          <w:lang w:val="fr-CA"/>
        </w:rPr>
        <w:t xml:space="preserve">Président : COLOMBIE, </w:t>
      </w:r>
      <w:proofErr w:type="gramStart"/>
      <w:r w:rsidRPr="003119B2">
        <w:rPr>
          <w:color w:val="171717"/>
          <w:sz w:val="22"/>
          <w:szCs w:val="22"/>
          <w:lang w:val="fr-CA"/>
        </w:rPr>
        <w:t>Ministère de la science</w:t>
      </w:r>
      <w:proofErr w:type="gramEnd"/>
      <w:r w:rsidRPr="003119B2">
        <w:rPr>
          <w:color w:val="171717"/>
          <w:sz w:val="22"/>
          <w:szCs w:val="22"/>
          <w:lang w:val="fr-CA"/>
        </w:rPr>
        <w:t>, de la technologie et de l'innovation (MINCIENCIAS)</w:t>
      </w:r>
    </w:p>
    <w:p w14:paraId="1C133750" w14:textId="77777777" w:rsidR="003119B2" w:rsidRPr="003119B2" w:rsidRDefault="003119B2" w:rsidP="003119B2">
      <w:pPr>
        <w:tabs>
          <w:tab w:val="left" w:pos="7380"/>
        </w:tabs>
        <w:ind w:left="720"/>
        <w:jc w:val="both"/>
        <w:rPr>
          <w:bCs/>
          <w:color w:val="171717"/>
          <w:sz w:val="22"/>
          <w:szCs w:val="22"/>
          <w:lang w:val="fr-CA"/>
        </w:rPr>
      </w:pPr>
      <w:r w:rsidRPr="003119B2">
        <w:rPr>
          <w:color w:val="171717"/>
          <w:sz w:val="22"/>
          <w:szCs w:val="22"/>
          <w:lang w:val="fr-CA"/>
        </w:rPr>
        <w:t xml:space="preserve">Premier Vice-président : JAMAÏQUE, </w:t>
      </w:r>
      <w:proofErr w:type="gramStart"/>
      <w:r w:rsidRPr="003119B2">
        <w:rPr>
          <w:color w:val="171717"/>
          <w:sz w:val="22"/>
          <w:szCs w:val="22"/>
          <w:lang w:val="fr-CA"/>
        </w:rPr>
        <w:t>Ministère de la science</w:t>
      </w:r>
      <w:proofErr w:type="gramEnd"/>
      <w:r w:rsidRPr="003119B2">
        <w:rPr>
          <w:color w:val="171717"/>
          <w:sz w:val="22"/>
          <w:szCs w:val="22"/>
          <w:lang w:val="fr-CA"/>
        </w:rPr>
        <w:t>, de l'énergie et de la technologie (MSET)</w:t>
      </w:r>
    </w:p>
    <w:p w14:paraId="283DAF70" w14:textId="77777777" w:rsidR="003119B2" w:rsidRPr="003119B2" w:rsidRDefault="003119B2" w:rsidP="003119B2">
      <w:pPr>
        <w:tabs>
          <w:tab w:val="left" w:pos="7380"/>
        </w:tabs>
        <w:ind w:left="720"/>
        <w:rPr>
          <w:bCs/>
          <w:color w:val="171717"/>
          <w:sz w:val="22"/>
          <w:szCs w:val="22"/>
          <w:lang w:val="fr-CA"/>
        </w:rPr>
      </w:pPr>
      <w:r w:rsidRPr="003119B2">
        <w:rPr>
          <w:color w:val="171717"/>
          <w:sz w:val="22"/>
          <w:szCs w:val="22"/>
          <w:lang w:val="fr-CA"/>
        </w:rPr>
        <w:t>Deuxième Vice-président : PÉROU, Conseil national de la science, de la technologie et de l'innovation technologique (CONCYTEC)</w:t>
      </w:r>
    </w:p>
    <w:p w14:paraId="61801814" w14:textId="77777777" w:rsidR="003119B2" w:rsidRPr="003119B2" w:rsidRDefault="003119B2" w:rsidP="003119B2">
      <w:pPr>
        <w:tabs>
          <w:tab w:val="left" w:pos="7380"/>
        </w:tabs>
        <w:ind w:left="720"/>
        <w:rPr>
          <w:bCs/>
          <w:color w:val="171717"/>
          <w:sz w:val="22"/>
          <w:szCs w:val="22"/>
          <w:lang w:val="fr-CA"/>
        </w:rPr>
      </w:pPr>
    </w:p>
    <w:p w14:paraId="0A28A08B" w14:textId="77777777" w:rsidR="003119B2" w:rsidRPr="003119B2" w:rsidRDefault="003119B2" w:rsidP="003119B2">
      <w:pPr>
        <w:ind w:left="720"/>
        <w:jc w:val="both"/>
        <w:rPr>
          <w:color w:val="171717"/>
          <w:sz w:val="22"/>
          <w:szCs w:val="22"/>
          <w:lang w:val="fr-CA"/>
        </w:rPr>
      </w:pPr>
      <w:r w:rsidRPr="003119B2">
        <w:rPr>
          <w:color w:val="171717"/>
          <w:sz w:val="22"/>
          <w:szCs w:val="22"/>
          <w:u w:val="single"/>
          <w:lang w:val="fr-CA"/>
        </w:rPr>
        <w:t>Groupe de travail 1 sur l'innovation :</w:t>
      </w:r>
      <w:r w:rsidRPr="003119B2">
        <w:rPr>
          <w:color w:val="171717"/>
          <w:sz w:val="22"/>
          <w:szCs w:val="22"/>
          <w:lang w:val="fr-CA"/>
        </w:rPr>
        <w:t xml:space="preserve"> </w:t>
      </w:r>
    </w:p>
    <w:p w14:paraId="53A3AFD7" w14:textId="77777777" w:rsidR="003119B2" w:rsidRPr="003119B2" w:rsidRDefault="003119B2" w:rsidP="003119B2">
      <w:pPr>
        <w:ind w:left="720"/>
        <w:jc w:val="both"/>
        <w:rPr>
          <w:bCs/>
          <w:color w:val="171717"/>
          <w:sz w:val="22"/>
          <w:szCs w:val="22"/>
          <w:lang w:val="fr-CA"/>
        </w:rPr>
      </w:pPr>
    </w:p>
    <w:p w14:paraId="499D9F8D" w14:textId="77777777" w:rsidR="003119B2" w:rsidRPr="003119B2" w:rsidRDefault="003119B2" w:rsidP="003119B2">
      <w:pPr>
        <w:ind w:left="720"/>
        <w:jc w:val="both"/>
        <w:rPr>
          <w:bCs/>
          <w:color w:val="171717"/>
          <w:sz w:val="22"/>
          <w:szCs w:val="22"/>
          <w:lang w:val="fr-CA"/>
        </w:rPr>
      </w:pPr>
      <w:r w:rsidRPr="003119B2">
        <w:rPr>
          <w:color w:val="171717"/>
          <w:sz w:val="22"/>
          <w:szCs w:val="22"/>
          <w:lang w:val="fr-CA"/>
        </w:rPr>
        <w:t>Président : MEXIQUE, Conseil national de la science et de la technologie (CONACYT)</w:t>
      </w:r>
    </w:p>
    <w:p w14:paraId="3EFEB2E6" w14:textId="77777777" w:rsidR="003119B2" w:rsidRPr="003119B2" w:rsidRDefault="003119B2" w:rsidP="003119B2">
      <w:pPr>
        <w:ind w:left="720"/>
        <w:jc w:val="both"/>
        <w:rPr>
          <w:bCs/>
          <w:color w:val="171717"/>
          <w:sz w:val="22"/>
          <w:szCs w:val="22"/>
          <w:lang w:val="fr-CA"/>
        </w:rPr>
      </w:pPr>
      <w:r w:rsidRPr="003119B2">
        <w:rPr>
          <w:color w:val="171717"/>
          <w:sz w:val="22"/>
          <w:szCs w:val="22"/>
          <w:lang w:val="fr-CA"/>
        </w:rPr>
        <w:t xml:space="preserve">Vice-président : COSTA RICA, </w:t>
      </w:r>
      <w:proofErr w:type="gramStart"/>
      <w:r w:rsidRPr="003119B2">
        <w:rPr>
          <w:color w:val="171717"/>
          <w:sz w:val="22"/>
          <w:szCs w:val="22"/>
          <w:lang w:val="fr-CA"/>
        </w:rPr>
        <w:t>Ministère de la science</w:t>
      </w:r>
      <w:proofErr w:type="gramEnd"/>
      <w:r w:rsidRPr="003119B2">
        <w:rPr>
          <w:color w:val="171717"/>
          <w:sz w:val="22"/>
          <w:szCs w:val="22"/>
          <w:lang w:val="fr-CA"/>
        </w:rPr>
        <w:t>, de la technologie et des télécommunications (MICITT)</w:t>
      </w:r>
    </w:p>
    <w:p w14:paraId="4C21F0C1" w14:textId="77777777" w:rsidR="003119B2" w:rsidRPr="003119B2" w:rsidRDefault="003119B2" w:rsidP="003119B2">
      <w:pPr>
        <w:ind w:left="720"/>
        <w:jc w:val="both"/>
        <w:rPr>
          <w:bCs/>
          <w:color w:val="171717"/>
          <w:sz w:val="22"/>
          <w:szCs w:val="22"/>
          <w:lang w:val="fr-CA"/>
        </w:rPr>
      </w:pPr>
    </w:p>
    <w:p w14:paraId="4D1DF5BA" w14:textId="77777777" w:rsidR="003119B2" w:rsidRPr="003119B2" w:rsidRDefault="003119B2" w:rsidP="003119B2">
      <w:pPr>
        <w:ind w:left="720"/>
        <w:jc w:val="both"/>
        <w:rPr>
          <w:color w:val="171717"/>
          <w:sz w:val="22"/>
          <w:szCs w:val="22"/>
          <w:lang w:val="fr-CA"/>
        </w:rPr>
      </w:pPr>
      <w:r w:rsidRPr="003119B2">
        <w:rPr>
          <w:color w:val="171717"/>
          <w:sz w:val="22"/>
          <w:szCs w:val="22"/>
          <w:u w:val="single"/>
          <w:lang w:val="fr-CA"/>
        </w:rPr>
        <w:t>Groupe de travail 2 sur la formation et l'éducation des ressources humaines en ingénierie :</w:t>
      </w:r>
      <w:r w:rsidRPr="003119B2">
        <w:rPr>
          <w:color w:val="171717"/>
          <w:sz w:val="22"/>
          <w:szCs w:val="22"/>
          <w:lang w:val="fr-CA"/>
        </w:rPr>
        <w:t xml:space="preserve"> </w:t>
      </w:r>
    </w:p>
    <w:p w14:paraId="1168C3B4" w14:textId="77777777" w:rsidR="003119B2" w:rsidRPr="003119B2" w:rsidRDefault="003119B2" w:rsidP="003119B2">
      <w:pPr>
        <w:ind w:left="720"/>
        <w:jc w:val="both"/>
        <w:rPr>
          <w:bCs/>
          <w:color w:val="171717"/>
          <w:sz w:val="22"/>
          <w:szCs w:val="22"/>
          <w:lang w:val="fr-CA"/>
        </w:rPr>
      </w:pPr>
    </w:p>
    <w:p w14:paraId="7B288FC7" w14:textId="77777777" w:rsidR="003119B2" w:rsidRPr="003119B2" w:rsidRDefault="003119B2" w:rsidP="003119B2">
      <w:pPr>
        <w:ind w:left="720"/>
        <w:jc w:val="both"/>
        <w:rPr>
          <w:bCs/>
          <w:color w:val="171717"/>
          <w:sz w:val="22"/>
          <w:szCs w:val="22"/>
          <w:lang w:val="fr-CA"/>
        </w:rPr>
      </w:pPr>
      <w:r w:rsidRPr="003119B2">
        <w:rPr>
          <w:color w:val="171717"/>
          <w:sz w:val="22"/>
          <w:szCs w:val="22"/>
          <w:lang w:val="fr-CA"/>
        </w:rPr>
        <w:t xml:space="preserve">Président : ARGENTINE, </w:t>
      </w:r>
      <w:proofErr w:type="gramStart"/>
      <w:r w:rsidRPr="003119B2">
        <w:rPr>
          <w:color w:val="171717"/>
          <w:sz w:val="22"/>
          <w:szCs w:val="22"/>
          <w:lang w:val="fr-CA"/>
        </w:rPr>
        <w:t>Ministère de la science</w:t>
      </w:r>
      <w:proofErr w:type="gramEnd"/>
      <w:r w:rsidRPr="003119B2">
        <w:rPr>
          <w:color w:val="171717"/>
          <w:sz w:val="22"/>
          <w:szCs w:val="22"/>
          <w:lang w:val="fr-CA"/>
        </w:rPr>
        <w:t>, de la technologie et de l'innovation productive (MINCYT)</w:t>
      </w:r>
    </w:p>
    <w:p w14:paraId="5E20B8C2" w14:textId="77777777" w:rsidR="003119B2" w:rsidRPr="003119B2" w:rsidRDefault="003119B2" w:rsidP="003119B2">
      <w:pPr>
        <w:ind w:left="720"/>
        <w:jc w:val="both"/>
        <w:rPr>
          <w:bCs/>
          <w:color w:val="171717"/>
          <w:sz w:val="22"/>
          <w:szCs w:val="22"/>
          <w:lang w:val="fr-CA"/>
        </w:rPr>
      </w:pPr>
      <w:r w:rsidRPr="003119B2">
        <w:rPr>
          <w:color w:val="171717"/>
          <w:sz w:val="22"/>
          <w:szCs w:val="22"/>
          <w:lang w:val="fr-CA"/>
        </w:rPr>
        <w:t>Vice-président : NICARAGUA, Conseil de la science et de la technologie du Nicaragua (CONICYT)</w:t>
      </w:r>
    </w:p>
    <w:p w14:paraId="285CC0DF" w14:textId="77777777" w:rsidR="003119B2" w:rsidRPr="003119B2" w:rsidRDefault="003119B2" w:rsidP="003119B2">
      <w:pPr>
        <w:ind w:left="720"/>
        <w:jc w:val="both"/>
        <w:rPr>
          <w:bCs/>
          <w:color w:val="171717"/>
          <w:sz w:val="22"/>
          <w:szCs w:val="22"/>
          <w:lang w:val="fr-CA"/>
        </w:rPr>
      </w:pPr>
    </w:p>
    <w:p w14:paraId="095FEF0D" w14:textId="77777777" w:rsidR="003119B2" w:rsidRPr="003119B2" w:rsidRDefault="003119B2" w:rsidP="003119B2">
      <w:pPr>
        <w:ind w:left="720"/>
        <w:jc w:val="both"/>
        <w:rPr>
          <w:color w:val="171717"/>
          <w:sz w:val="22"/>
          <w:szCs w:val="22"/>
          <w:lang w:val="fr-CA"/>
        </w:rPr>
      </w:pPr>
      <w:r w:rsidRPr="003119B2">
        <w:rPr>
          <w:color w:val="171717"/>
          <w:sz w:val="22"/>
          <w:szCs w:val="22"/>
          <w:u w:val="single"/>
          <w:lang w:val="fr-CA"/>
        </w:rPr>
        <w:t>Groupe de travail 3 sur l'infrastructure nationale de la qualité :</w:t>
      </w:r>
      <w:r w:rsidRPr="003119B2">
        <w:rPr>
          <w:color w:val="171717"/>
          <w:sz w:val="22"/>
          <w:szCs w:val="22"/>
          <w:lang w:val="fr-CA"/>
        </w:rPr>
        <w:t xml:space="preserve"> </w:t>
      </w:r>
    </w:p>
    <w:p w14:paraId="40627680" w14:textId="77777777" w:rsidR="003119B2" w:rsidRPr="003119B2" w:rsidRDefault="003119B2" w:rsidP="003119B2">
      <w:pPr>
        <w:ind w:left="720"/>
        <w:jc w:val="both"/>
        <w:rPr>
          <w:bCs/>
          <w:color w:val="171717"/>
          <w:sz w:val="22"/>
          <w:szCs w:val="22"/>
          <w:lang w:val="fr-CA"/>
        </w:rPr>
      </w:pPr>
    </w:p>
    <w:p w14:paraId="1C68EFDB" w14:textId="77777777" w:rsidR="003119B2" w:rsidRPr="003119B2" w:rsidRDefault="003119B2" w:rsidP="003119B2">
      <w:pPr>
        <w:ind w:left="720"/>
        <w:jc w:val="both"/>
        <w:rPr>
          <w:bCs/>
          <w:color w:val="171717"/>
          <w:sz w:val="22"/>
          <w:szCs w:val="22"/>
          <w:lang w:val="fr-CA"/>
        </w:rPr>
      </w:pPr>
      <w:r w:rsidRPr="003119B2">
        <w:rPr>
          <w:color w:val="171717"/>
          <w:sz w:val="22"/>
          <w:szCs w:val="22"/>
          <w:lang w:val="fr-CA"/>
        </w:rPr>
        <w:t>Président : CANADA, Conseil national de recherches du Canada (CNRC)</w:t>
      </w:r>
    </w:p>
    <w:p w14:paraId="00C678DB" w14:textId="77777777" w:rsidR="003119B2" w:rsidRPr="003119B2" w:rsidRDefault="003119B2" w:rsidP="003119B2">
      <w:pPr>
        <w:ind w:left="720"/>
        <w:jc w:val="both"/>
        <w:rPr>
          <w:bCs/>
          <w:color w:val="171717"/>
          <w:sz w:val="22"/>
          <w:szCs w:val="22"/>
          <w:lang w:val="fr-CA"/>
        </w:rPr>
      </w:pPr>
      <w:r w:rsidRPr="003119B2">
        <w:rPr>
          <w:color w:val="171717"/>
          <w:sz w:val="22"/>
          <w:szCs w:val="22"/>
          <w:lang w:val="fr-CA"/>
        </w:rPr>
        <w:t xml:space="preserve">Premier Vice-président : ÉTATS-UNIS, National Institute of Standards and </w:t>
      </w:r>
      <w:proofErr w:type="spellStart"/>
      <w:r w:rsidRPr="003119B2">
        <w:rPr>
          <w:color w:val="171717"/>
          <w:sz w:val="22"/>
          <w:szCs w:val="22"/>
          <w:lang w:val="fr-CA"/>
        </w:rPr>
        <w:t>Technology</w:t>
      </w:r>
      <w:proofErr w:type="spellEnd"/>
      <w:r w:rsidRPr="003119B2">
        <w:rPr>
          <w:color w:val="171717"/>
          <w:sz w:val="22"/>
          <w:szCs w:val="22"/>
          <w:lang w:val="fr-CA"/>
        </w:rPr>
        <w:t xml:space="preserve"> (NIST)</w:t>
      </w:r>
    </w:p>
    <w:p w14:paraId="59172A4C" w14:textId="77777777" w:rsidR="003119B2" w:rsidRPr="003119B2" w:rsidRDefault="003119B2" w:rsidP="003119B2">
      <w:pPr>
        <w:ind w:left="720"/>
        <w:jc w:val="both"/>
        <w:rPr>
          <w:bCs/>
          <w:color w:val="171717"/>
          <w:sz w:val="22"/>
          <w:szCs w:val="22"/>
          <w:lang w:val="fr-CA"/>
        </w:rPr>
      </w:pPr>
      <w:r w:rsidRPr="003119B2">
        <w:rPr>
          <w:color w:val="171717"/>
          <w:sz w:val="22"/>
          <w:szCs w:val="22"/>
          <w:lang w:val="fr-CA"/>
        </w:rPr>
        <w:t xml:space="preserve">Deuxième Vice-président : PARAGUAY, Conseil national de la science et de la technologie (CONACYT) </w:t>
      </w:r>
    </w:p>
    <w:p w14:paraId="68BE7D0D" w14:textId="77777777" w:rsidR="003119B2" w:rsidRPr="003119B2" w:rsidRDefault="003119B2" w:rsidP="003119B2">
      <w:pPr>
        <w:ind w:left="720"/>
        <w:jc w:val="both"/>
        <w:rPr>
          <w:bCs/>
          <w:color w:val="171717"/>
          <w:sz w:val="22"/>
          <w:szCs w:val="22"/>
          <w:lang w:val="fr-CA"/>
        </w:rPr>
      </w:pPr>
    </w:p>
    <w:p w14:paraId="6ED0400D" w14:textId="77777777" w:rsidR="003119B2" w:rsidRPr="003119B2" w:rsidRDefault="003119B2" w:rsidP="003119B2">
      <w:pPr>
        <w:ind w:left="720"/>
        <w:jc w:val="both"/>
        <w:rPr>
          <w:color w:val="171717"/>
          <w:sz w:val="22"/>
          <w:szCs w:val="22"/>
          <w:lang w:val="fr-CA"/>
        </w:rPr>
      </w:pPr>
      <w:r w:rsidRPr="003119B2">
        <w:rPr>
          <w:color w:val="171717"/>
          <w:sz w:val="22"/>
          <w:szCs w:val="22"/>
          <w:u w:val="single"/>
          <w:lang w:val="fr-CA"/>
        </w:rPr>
        <w:t>Groupe de travail 4 sur le développement technologique :</w:t>
      </w:r>
      <w:r w:rsidRPr="003119B2">
        <w:rPr>
          <w:color w:val="171717"/>
          <w:sz w:val="22"/>
          <w:szCs w:val="22"/>
          <w:lang w:val="fr-CA"/>
        </w:rPr>
        <w:t xml:space="preserve"> </w:t>
      </w:r>
    </w:p>
    <w:p w14:paraId="463614E1" w14:textId="77777777" w:rsidR="003119B2" w:rsidRPr="003119B2" w:rsidRDefault="003119B2" w:rsidP="003119B2">
      <w:pPr>
        <w:ind w:left="720"/>
        <w:jc w:val="both"/>
        <w:rPr>
          <w:bCs/>
          <w:color w:val="171717"/>
          <w:sz w:val="22"/>
          <w:szCs w:val="22"/>
          <w:lang w:val="fr-CA"/>
        </w:rPr>
      </w:pPr>
    </w:p>
    <w:p w14:paraId="23CBD3C8" w14:textId="77777777" w:rsidR="003119B2" w:rsidRPr="003119B2" w:rsidRDefault="003119B2" w:rsidP="003119B2">
      <w:pPr>
        <w:ind w:left="720"/>
        <w:jc w:val="both"/>
        <w:rPr>
          <w:bCs/>
          <w:color w:val="171717"/>
          <w:sz w:val="22"/>
          <w:szCs w:val="22"/>
          <w:lang w:val="fr-CA"/>
        </w:rPr>
      </w:pPr>
      <w:r w:rsidRPr="003119B2">
        <w:rPr>
          <w:color w:val="171717"/>
          <w:sz w:val="22"/>
          <w:szCs w:val="22"/>
          <w:lang w:val="fr-CA"/>
        </w:rPr>
        <w:t>Président : GUATEMALA, Secrétariat national de la science et de la technologie (SENACYT)</w:t>
      </w:r>
    </w:p>
    <w:p w14:paraId="5D88638A" w14:textId="77777777" w:rsidR="003119B2" w:rsidRPr="003119B2" w:rsidRDefault="003119B2" w:rsidP="003119B2">
      <w:pPr>
        <w:ind w:left="720"/>
        <w:jc w:val="both"/>
        <w:rPr>
          <w:bCs/>
          <w:color w:val="171717"/>
          <w:sz w:val="22"/>
          <w:szCs w:val="22"/>
          <w:lang w:val="fr-CA"/>
        </w:rPr>
      </w:pPr>
      <w:r w:rsidRPr="003119B2">
        <w:rPr>
          <w:color w:val="171717"/>
          <w:sz w:val="22"/>
          <w:szCs w:val="22"/>
          <w:lang w:val="fr-CA"/>
        </w:rPr>
        <w:t>Vice-président : CHILI, Société de développement de la production (CORFO)</w:t>
      </w:r>
    </w:p>
    <w:p w14:paraId="545F94B3" w14:textId="77777777" w:rsidR="003119B2" w:rsidRPr="003119B2" w:rsidRDefault="003119B2" w:rsidP="003119B2">
      <w:pPr>
        <w:pStyle w:val="ListParagraph"/>
        <w:tabs>
          <w:tab w:val="left" w:pos="7380"/>
        </w:tabs>
        <w:ind w:left="0"/>
        <w:contextualSpacing/>
        <w:jc w:val="both"/>
        <w:rPr>
          <w:color w:val="000000"/>
          <w:sz w:val="22"/>
          <w:szCs w:val="22"/>
          <w:lang w:val="fr-CA" w:eastAsia="es-CR"/>
        </w:rPr>
      </w:pPr>
    </w:p>
    <w:p w14:paraId="71D8829F" w14:textId="77777777" w:rsidR="003119B2" w:rsidRPr="003119B2" w:rsidRDefault="003119B2" w:rsidP="003119B2">
      <w:pPr>
        <w:pStyle w:val="ListParagraph"/>
        <w:ind w:left="0" w:firstLine="720"/>
        <w:contextualSpacing/>
        <w:jc w:val="both"/>
        <w:rPr>
          <w:color w:val="000000"/>
          <w:sz w:val="22"/>
          <w:szCs w:val="22"/>
          <w:lang w:val="fr-CA"/>
        </w:rPr>
      </w:pPr>
      <w:r w:rsidRPr="003119B2">
        <w:rPr>
          <w:sz w:val="22"/>
          <w:szCs w:val="22"/>
          <w:lang w:val="fr-CA"/>
        </w:rPr>
        <w:t>À la suite de</w:t>
      </w:r>
      <w:r w:rsidRPr="003119B2">
        <w:rPr>
          <w:color w:val="000000"/>
          <w:sz w:val="22"/>
          <w:szCs w:val="22"/>
          <w:lang w:val="fr-CA"/>
        </w:rPr>
        <w:t xml:space="preserve"> la réunion des ministres, une réunion de planification du bureau de la COMCYT s'est tenue au siège du Secrétariat de l'OEA à Washington, D.C., les 21 et 22 mai 2018, au cours de laquelle le bureau a convenu d’un </w:t>
      </w:r>
      <w:r w:rsidR="0047382B">
        <w:fldChar w:fldCharType="begin"/>
      </w:r>
      <w:r w:rsidR="0047382B" w:rsidRPr="0047382B">
        <w:rPr>
          <w:lang w:val="fr-CA"/>
        </w:rPr>
        <w:instrText xml:space="preserve"> HYPERLINK "http://scm.oas.org/IDMS/Redir</w:instrText>
      </w:r>
      <w:r w:rsidR="0047382B" w:rsidRPr="0047382B">
        <w:rPr>
          <w:lang w:val="fr-CA"/>
        </w:rPr>
        <w:instrText xml:space="preserve">ectpage.aspx?class=XIII.3/CIDI/COMCYT/RPA.doc%20&amp;classNum=4&amp;lang=e" </w:instrText>
      </w:r>
      <w:r w:rsidR="0047382B">
        <w:fldChar w:fldCharType="separate"/>
      </w:r>
      <w:r w:rsidRPr="003119B2">
        <w:rPr>
          <w:rStyle w:val="Hyperlink"/>
          <w:sz w:val="22"/>
          <w:szCs w:val="22"/>
          <w:lang w:val="fr-CA"/>
        </w:rPr>
        <w:t>Plan de travail de la COMCYT 2018-2020</w:t>
      </w:r>
      <w:r w:rsidR="0047382B">
        <w:rPr>
          <w:rStyle w:val="Hyperlink"/>
          <w:sz w:val="22"/>
          <w:szCs w:val="22"/>
          <w:lang w:val="fr-CA"/>
        </w:rPr>
        <w:fldChar w:fldCharType="end"/>
      </w:r>
      <w:r w:rsidRPr="003119B2">
        <w:rPr>
          <w:color w:val="000000"/>
          <w:sz w:val="22"/>
          <w:szCs w:val="22"/>
          <w:lang w:val="fr-CA"/>
        </w:rPr>
        <w:t xml:space="preserve"> et d’une feuille de route pour les trois prochaines années, comprenant des activités spécifiques, les dates, les lieux, les sources de financement ainsi que des indicateurs destinés à mesurer les progrès accomplis et les résultats obtenus, afin de s’acquitter des mandats établis dans la </w:t>
      </w:r>
      <w:r w:rsidRPr="003119B2">
        <w:rPr>
          <w:b/>
          <w:bCs/>
          <w:iCs/>
          <w:color w:val="000000"/>
          <w:sz w:val="22"/>
          <w:szCs w:val="22"/>
          <w:lang w:val="fr-CA"/>
        </w:rPr>
        <w:t>Déclaration de Medellín</w:t>
      </w:r>
      <w:r w:rsidRPr="003119B2">
        <w:rPr>
          <w:iCs/>
          <w:color w:val="000000"/>
          <w:sz w:val="22"/>
          <w:szCs w:val="22"/>
          <w:lang w:val="fr-CA"/>
        </w:rPr>
        <w:t>.</w:t>
      </w:r>
      <w:r w:rsidRPr="003119B2">
        <w:rPr>
          <w:color w:val="000000"/>
          <w:sz w:val="22"/>
          <w:szCs w:val="22"/>
          <w:lang w:val="fr-CA"/>
        </w:rPr>
        <w:t xml:space="preserve"> Le plan de travail de la COMCYT a été présenté au CIDI, par l'intermédiaire de sa </w:t>
      </w:r>
      <w:r w:rsidRPr="003119B2">
        <w:rPr>
          <w:color w:val="000000" w:themeColor="text1"/>
          <w:sz w:val="22"/>
          <w:szCs w:val="22"/>
          <w:lang w:val="fr-CA"/>
        </w:rPr>
        <w:t>Commission sur les politiques de partenariat pour le développement</w:t>
      </w:r>
      <w:r w:rsidRPr="003119B2">
        <w:rPr>
          <w:color w:val="000000"/>
          <w:sz w:val="22"/>
          <w:szCs w:val="22"/>
          <w:lang w:val="fr-CA"/>
        </w:rPr>
        <w:t>, le 8 novembre 2018, afin de recevoir les commentaires de tous les États membres ainsi que de favoriser la coordination entre les différents processus ministériels.</w:t>
      </w:r>
    </w:p>
    <w:p w14:paraId="1A1807AC" w14:textId="77777777" w:rsidR="003119B2" w:rsidRPr="003119B2" w:rsidRDefault="003119B2" w:rsidP="003119B2">
      <w:pPr>
        <w:pStyle w:val="ListParagraph"/>
        <w:ind w:left="0"/>
        <w:jc w:val="both"/>
        <w:rPr>
          <w:color w:val="171717"/>
          <w:sz w:val="22"/>
          <w:szCs w:val="22"/>
          <w:lang w:val="fr-CA"/>
        </w:rPr>
      </w:pPr>
    </w:p>
    <w:p w14:paraId="26EB1958" w14:textId="77777777" w:rsidR="003119B2" w:rsidRPr="003119B2" w:rsidRDefault="003119B2" w:rsidP="003119B2">
      <w:pPr>
        <w:pStyle w:val="ListParagraph"/>
        <w:ind w:left="0" w:firstLine="720"/>
        <w:contextualSpacing/>
        <w:jc w:val="both"/>
        <w:rPr>
          <w:color w:val="171717"/>
          <w:sz w:val="22"/>
          <w:szCs w:val="22"/>
          <w:lang w:val="fr-CA"/>
        </w:rPr>
      </w:pPr>
      <w:r w:rsidRPr="003119B2">
        <w:rPr>
          <w:color w:val="171717"/>
          <w:sz w:val="22"/>
          <w:szCs w:val="22"/>
          <w:lang w:val="fr-CA"/>
        </w:rPr>
        <w:lastRenderedPageBreak/>
        <w:t xml:space="preserve">En ce qui concerne les </w:t>
      </w:r>
      <w:r w:rsidRPr="003119B2">
        <w:rPr>
          <w:color w:val="171717"/>
          <w:sz w:val="22"/>
          <w:szCs w:val="22"/>
          <w:u w:val="single"/>
          <w:lang w:val="fr-CA"/>
        </w:rPr>
        <w:t>réunions des autorités de haut niveau</w:t>
      </w:r>
      <w:r w:rsidRPr="003119B2">
        <w:rPr>
          <w:color w:val="171717"/>
          <w:sz w:val="22"/>
          <w:szCs w:val="22"/>
          <w:lang w:val="fr-CA"/>
        </w:rPr>
        <w:t xml:space="preserve">, le plan de travail a prévu la tenue d'une réunion de la COMCYT au second semestre de 2019, d’une réunion préparatoire pour la réunion des ministres, et de la Sixième Réunion des ministres et hauts fonctionnaires chargés de la science et de la technologie dans les Amériques, prévue à l’origine en 2020 en Jamaïque et reportée à 2021 en raison de la pandémie de COVID-19. </w:t>
      </w:r>
    </w:p>
    <w:p w14:paraId="2437FFDD" w14:textId="77777777" w:rsidR="003119B2" w:rsidRPr="003119B2" w:rsidRDefault="003119B2" w:rsidP="003119B2">
      <w:pPr>
        <w:pStyle w:val="ListParagraph"/>
        <w:ind w:left="0" w:firstLine="720"/>
        <w:contextualSpacing/>
        <w:jc w:val="both"/>
        <w:rPr>
          <w:color w:val="171717"/>
          <w:sz w:val="22"/>
          <w:szCs w:val="22"/>
          <w:lang w:val="fr-CA"/>
        </w:rPr>
      </w:pPr>
    </w:p>
    <w:p w14:paraId="135F9249" w14:textId="77777777" w:rsidR="003119B2" w:rsidRPr="003119B2" w:rsidRDefault="003119B2" w:rsidP="003119B2">
      <w:pPr>
        <w:ind w:firstLine="720"/>
        <w:rPr>
          <w:color w:val="171717"/>
          <w:sz w:val="22"/>
          <w:szCs w:val="22"/>
          <w:lang w:val="fr-CA"/>
        </w:rPr>
      </w:pPr>
      <w:r w:rsidRPr="003119B2">
        <w:rPr>
          <w:color w:val="171717"/>
          <w:sz w:val="22"/>
          <w:szCs w:val="22"/>
          <w:lang w:val="fr-CA"/>
        </w:rPr>
        <w:t xml:space="preserve">En ce qui concerne les </w:t>
      </w:r>
      <w:r w:rsidRPr="003119B2">
        <w:rPr>
          <w:color w:val="171717"/>
          <w:sz w:val="22"/>
          <w:szCs w:val="22"/>
          <w:u w:val="single"/>
          <w:lang w:val="fr-CA"/>
        </w:rPr>
        <w:t>groupes de travail</w:t>
      </w:r>
      <w:r w:rsidRPr="003119B2">
        <w:rPr>
          <w:color w:val="171717"/>
          <w:sz w:val="22"/>
          <w:szCs w:val="22"/>
          <w:lang w:val="fr-CA"/>
        </w:rPr>
        <w:t xml:space="preserve">, le plan de travail a prévu : </w:t>
      </w:r>
    </w:p>
    <w:p w14:paraId="547BBB8E" w14:textId="77777777" w:rsidR="003119B2" w:rsidRPr="003119B2" w:rsidRDefault="003119B2" w:rsidP="003119B2">
      <w:pPr>
        <w:rPr>
          <w:color w:val="171717"/>
          <w:sz w:val="22"/>
          <w:szCs w:val="22"/>
          <w:lang w:val="fr-CA"/>
        </w:rPr>
      </w:pPr>
    </w:p>
    <w:p w14:paraId="29D729E7" w14:textId="77777777" w:rsidR="003119B2" w:rsidRPr="003119B2" w:rsidRDefault="003119B2" w:rsidP="003119B2">
      <w:pPr>
        <w:pStyle w:val="ListParagraph"/>
        <w:numPr>
          <w:ilvl w:val="0"/>
          <w:numId w:val="9"/>
        </w:numPr>
        <w:ind w:left="1440" w:hanging="720"/>
        <w:contextualSpacing/>
        <w:jc w:val="both"/>
        <w:rPr>
          <w:color w:val="171717"/>
          <w:sz w:val="22"/>
          <w:szCs w:val="22"/>
          <w:lang w:val="fr-CA"/>
        </w:rPr>
      </w:pPr>
      <w:r w:rsidRPr="003119B2">
        <w:rPr>
          <w:color w:val="171717"/>
          <w:sz w:val="22"/>
          <w:szCs w:val="22"/>
          <w:lang w:val="fr-CA"/>
        </w:rPr>
        <w:t>Que le Groupe de travail 1 continue de soutenir l'échange de données d’expériences concernant les technologies transformatrices et l'industrie 4.0 dans les Amériques ;</w:t>
      </w:r>
    </w:p>
    <w:p w14:paraId="3E6F4B4D" w14:textId="77777777" w:rsidR="003119B2" w:rsidRPr="003119B2" w:rsidRDefault="003119B2" w:rsidP="003119B2">
      <w:pPr>
        <w:pStyle w:val="ListParagraph"/>
        <w:numPr>
          <w:ilvl w:val="0"/>
          <w:numId w:val="9"/>
        </w:numPr>
        <w:ind w:left="1440" w:hanging="720"/>
        <w:contextualSpacing/>
        <w:jc w:val="both"/>
        <w:rPr>
          <w:color w:val="171717"/>
          <w:sz w:val="22"/>
          <w:szCs w:val="22"/>
          <w:lang w:val="fr-CA"/>
        </w:rPr>
      </w:pPr>
      <w:r w:rsidRPr="003119B2">
        <w:rPr>
          <w:color w:val="171717"/>
          <w:sz w:val="22"/>
          <w:szCs w:val="22"/>
          <w:lang w:val="fr-CA"/>
        </w:rPr>
        <w:t>Que le Groupe de travail 2 continue à promouvoir une éducation et une formation intégrales en ingénierie pour les étudiants du premier cycle et des cycles supérieurs, ainsi qu’une reconnaissance mutuelle entre les établissements d'enseignement en matière d'ingénierie afin de faciliter les échanges, les bourses et les stages ;</w:t>
      </w:r>
    </w:p>
    <w:p w14:paraId="4EA88E48" w14:textId="77777777" w:rsidR="003119B2" w:rsidRPr="003119B2" w:rsidRDefault="003119B2" w:rsidP="003119B2">
      <w:pPr>
        <w:pStyle w:val="ListParagraph"/>
        <w:numPr>
          <w:ilvl w:val="0"/>
          <w:numId w:val="9"/>
        </w:numPr>
        <w:ind w:left="1440" w:hanging="720"/>
        <w:contextualSpacing/>
        <w:jc w:val="both"/>
        <w:rPr>
          <w:color w:val="171717"/>
          <w:sz w:val="22"/>
          <w:szCs w:val="22"/>
          <w:lang w:val="fr-CA"/>
        </w:rPr>
      </w:pPr>
      <w:r w:rsidRPr="003119B2">
        <w:rPr>
          <w:color w:val="171717"/>
          <w:sz w:val="22"/>
          <w:szCs w:val="22"/>
          <w:lang w:val="fr-CA"/>
        </w:rPr>
        <w:t>Que le Groupe de travail 3 continue à sensibiliser des acteurs nouveaux et divers à la question de l'infrastructure nationale de la qualité (INQ), y compris les possibilités d'activités futures avec le Réseau interaméricain de compétitivité (RIAC) ;</w:t>
      </w:r>
    </w:p>
    <w:p w14:paraId="33673AAC" w14:textId="77777777" w:rsidR="003119B2" w:rsidRPr="003119B2" w:rsidRDefault="003119B2" w:rsidP="003119B2">
      <w:pPr>
        <w:pStyle w:val="ListParagraph"/>
        <w:numPr>
          <w:ilvl w:val="0"/>
          <w:numId w:val="9"/>
        </w:numPr>
        <w:ind w:left="1440" w:hanging="720"/>
        <w:contextualSpacing/>
        <w:jc w:val="both"/>
        <w:rPr>
          <w:color w:val="171717"/>
          <w:sz w:val="22"/>
          <w:szCs w:val="22"/>
          <w:lang w:val="fr-CA"/>
        </w:rPr>
      </w:pPr>
      <w:r w:rsidRPr="003119B2">
        <w:rPr>
          <w:sz w:val="22"/>
          <w:szCs w:val="22"/>
          <w:lang w:val="fr-CA"/>
        </w:rPr>
        <w:t>Que le</w:t>
      </w:r>
      <w:r w:rsidRPr="003119B2">
        <w:rPr>
          <w:color w:val="171717"/>
          <w:sz w:val="22"/>
          <w:szCs w:val="22"/>
          <w:lang w:val="fr-CA"/>
        </w:rPr>
        <w:t xml:space="preserve"> Groupe de travail 4 poursuive la mise en œuvre de l’atelier « HUB » de commercialisation et de transfert de technologies afin d'aider les professionnels, les entrepreneurs et les universitaires à faire passer </w:t>
      </w:r>
      <w:r w:rsidRPr="003119B2">
        <w:rPr>
          <w:sz w:val="22"/>
          <w:szCs w:val="22"/>
          <w:lang w:val="fr-CA"/>
        </w:rPr>
        <w:t>leurs solutions, produits et services du stade de l’idée à celui de marché.</w:t>
      </w:r>
    </w:p>
    <w:p w14:paraId="1A429C26" w14:textId="77777777" w:rsidR="003119B2" w:rsidRPr="003119B2" w:rsidRDefault="003119B2" w:rsidP="003119B2">
      <w:pPr>
        <w:pStyle w:val="ListParagraph"/>
        <w:ind w:left="1080"/>
        <w:contextualSpacing/>
        <w:jc w:val="both"/>
        <w:rPr>
          <w:color w:val="171717"/>
          <w:sz w:val="22"/>
          <w:szCs w:val="22"/>
          <w:lang w:val="fr-CA"/>
        </w:rPr>
      </w:pPr>
      <w:r w:rsidRPr="003119B2">
        <w:rPr>
          <w:color w:val="171717"/>
          <w:sz w:val="22"/>
          <w:szCs w:val="22"/>
          <w:lang w:val="fr-CA"/>
        </w:rPr>
        <w:t xml:space="preserve"> </w:t>
      </w:r>
    </w:p>
    <w:p w14:paraId="086D121C" w14:textId="77777777" w:rsidR="003119B2" w:rsidRPr="003119B2" w:rsidRDefault="003119B2" w:rsidP="003119B2">
      <w:pPr>
        <w:pStyle w:val="ListParagraph"/>
        <w:ind w:left="0" w:firstLine="720"/>
        <w:contextualSpacing/>
        <w:jc w:val="both"/>
        <w:rPr>
          <w:color w:val="171717"/>
          <w:sz w:val="22"/>
          <w:szCs w:val="22"/>
          <w:lang w:val="fr-CA"/>
        </w:rPr>
      </w:pPr>
      <w:r w:rsidRPr="003119B2">
        <w:rPr>
          <w:color w:val="171717"/>
          <w:sz w:val="22"/>
          <w:szCs w:val="22"/>
          <w:lang w:val="fr-CA"/>
        </w:rPr>
        <w:t xml:space="preserve">Le plan a également intégré deux </w:t>
      </w:r>
      <w:r w:rsidRPr="003119B2">
        <w:rPr>
          <w:color w:val="171717"/>
          <w:sz w:val="22"/>
          <w:szCs w:val="22"/>
          <w:u w:val="single"/>
          <w:lang w:val="fr-CA"/>
        </w:rPr>
        <w:t>activités transversales</w:t>
      </w:r>
      <w:r w:rsidRPr="003119B2">
        <w:rPr>
          <w:color w:val="171717"/>
          <w:sz w:val="22"/>
          <w:szCs w:val="22"/>
          <w:lang w:val="fr-CA"/>
        </w:rPr>
        <w:t xml:space="preserve"> revêtant un grand intérêt pour la COMCYT, à savoir : </w:t>
      </w:r>
    </w:p>
    <w:p w14:paraId="5B5C6767" w14:textId="77777777" w:rsidR="003119B2" w:rsidRPr="003119B2" w:rsidRDefault="003119B2" w:rsidP="003119B2">
      <w:pPr>
        <w:pStyle w:val="ListParagraph"/>
        <w:rPr>
          <w:color w:val="171717"/>
          <w:sz w:val="22"/>
          <w:szCs w:val="22"/>
          <w:lang w:val="fr-CA"/>
        </w:rPr>
      </w:pPr>
    </w:p>
    <w:p w14:paraId="02F7D335" w14:textId="77777777" w:rsidR="003119B2" w:rsidRPr="003119B2" w:rsidRDefault="003119B2" w:rsidP="003119B2">
      <w:pPr>
        <w:pStyle w:val="ListParagraph"/>
        <w:numPr>
          <w:ilvl w:val="0"/>
          <w:numId w:val="7"/>
        </w:numPr>
        <w:ind w:left="1440" w:hanging="720"/>
        <w:contextualSpacing/>
        <w:jc w:val="both"/>
        <w:rPr>
          <w:color w:val="171717"/>
          <w:sz w:val="22"/>
          <w:szCs w:val="22"/>
          <w:lang w:val="fr-CA"/>
        </w:rPr>
      </w:pPr>
      <w:r w:rsidRPr="003119B2">
        <w:rPr>
          <w:color w:val="171717"/>
          <w:sz w:val="22"/>
          <w:szCs w:val="22"/>
          <w:lang w:val="fr-CA"/>
        </w:rPr>
        <w:t xml:space="preserve">La création d'un groupe virtuel d'experts en prospective technologique, afin de mettre en commun les capacités existantes et les bonnes pratiques en matière de technologies transformatrices entre les gouvernements, le secteur privé et les universités intéressés par une collaboration dans ce domaine. </w:t>
      </w:r>
    </w:p>
    <w:p w14:paraId="786E443C" w14:textId="77777777" w:rsidR="003119B2" w:rsidRPr="003119B2" w:rsidRDefault="003119B2" w:rsidP="003119B2">
      <w:pPr>
        <w:pStyle w:val="ListParagraph"/>
        <w:numPr>
          <w:ilvl w:val="0"/>
          <w:numId w:val="7"/>
        </w:numPr>
        <w:ind w:left="1440" w:hanging="720"/>
        <w:contextualSpacing/>
        <w:jc w:val="both"/>
        <w:rPr>
          <w:sz w:val="22"/>
          <w:szCs w:val="22"/>
          <w:lang w:val="fr-CA"/>
        </w:rPr>
      </w:pPr>
      <w:r w:rsidRPr="003119B2">
        <w:rPr>
          <w:color w:val="171717"/>
          <w:sz w:val="22"/>
          <w:szCs w:val="22"/>
          <w:lang w:val="fr-CA"/>
        </w:rPr>
        <w:t xml:space="preserve">L'échange de bonnes pratiques en matière d'équité et de parité hommes-femmes dans le domaine </w:t>
      </w:r>
      <w:proofErr w:type="gramStart"/>
      <w:r w:rsidRPr="003119B2">
        <w:rPr>
          <w:color w:val="171717"/>
          <w:sz w:val="22"/>
          <w:szCs w:val="22"/>
          <w:lang w:val="fr-CA"/>
        </w:rPr>
        <w:t>de la sciences</w:t>
      </w:r>
      <w:proofErr w:type="gramEnd"/>
      <w:r w:rsidRPr="003119B2">
        <w:rPr>
          <w:color w:val="171717"/>
          <w:sz w:val="22"/>
          <w:szCs w:val="22"/>
          <w:lang w:val="fr-CA"/>
        </w:rPr>
        <w:t xml:space="preserve">, de la technologie et de l'ingénierie (STEM), afin d'identifier des mécanismes permettant d'encourager la participation des femmes à la recherche scientifique, de promouvoir leur insertion sur le marché du travail et de leur permettre d'accéder à des postes de direction et de décision dans les domaines scientifiques et technologiques. </w:t>
      </w:r>
    </w:p>
    <w:p w14:paraId="393CA38B" w14:textId="77777777" w:rsidR="003119B2" w:rsidRPr="003119B2" w:rsidRDefault="003119B2" w:rsidP="003119B2">
      <w:pPr>
        <w:tabs>
          <w:tab w:val="left" w:pos="540"/>
          <w:tab w:val="left" w:pos="1080"/>
          <w:tab w:val="left" w:pos="1170"/>
          <w:tab w:val="left" w:pos="1350"/>
        </w:tabs>
        <w:contextualSpacing/>
        <w:jc w:val="both"/>
        <w:rPr>
          <w:sz w:val="22"/>
          <w:szCs w:val="22"/>
          <w:lang w:val="fr-CA"/>
        </w:rPr>
      </w:pPr>
    </w:p>
    <w:p w14:paraId="665ACBB5" w14:textId="77777777" w:rsidR="003119B2" w:rsidRPr="003119B2" w:rsidRDefault="003119B2" w:rsidP="003119B2">
      <w:pPr>
        <w:rPr>
          <w:color w:val="171717"/>
          <w:sz w:val="22"/>
          <w:szCs w:val="22"/>
          <w:lang w:val="fr-CA"/>
        </w:rPr>
      </w:pPr>
      <w:r w:rsidRPr="003119B2">
        <w:rPr>
          <w:color w:val="171717"/>
          <w:sz w:val="22"/>
          <w:szCs w:val="22"/>
          <w:lang w:val="fr-CA"/>
        </w:rPr>
        <w:t>MISE EN ŒUVRE DE LA DÉCLARATION DES MINISTRES</w:t>
      </w:r>
    </w:p>
    <w:p w14:paraId="4445D225" w14:textId="77777777" w:rsidR="003119B2" w:rsidRPr="003119B2" w:rsidRDefault="003119B2" w:rsidP="003119B2">
      <w:pPr>
        <w:jc w:val="both"/>
        <w:rPr>
          <w:color w:val="171717"/>
          <w:sz w:val="22"/>
          <w:szCs w:val="22"/>
          <w:lang w:val="fr-CA"/>
        </w:rPr>
      </w:pPr>
    </w:p>
    <w:p w14:paraId="459BA4CA" w14:textId="77777777" w:rsidR="003119B2" w:rsidRPr="003119B2" w:rsidRDefault="003119B2" w:rsidP="003119B2">
      <w:pPr>
        <w:ind w:firstLine="720"/>
        <w:jc w:val="both"/>
        <w:rPr>
          <w:sz w:val="22"/>
          <w:szCs w:val="22"/>
          <w:lang w:val="fr-CA"/>
        </w:rPr>
      </w:pPr>
      <w:r w:rsidRPr="003119B2">
        <w:rPr>
          <w:color w:val="171717"/>
          <w:sz w:val="22"/>
          <w:szCs w:val="22"/>
          <w:lang w:val="fr-CA"/>
        </w:rPr>
        <w:t>Une description des</w:t>
      </w:r>
      <w:r w:rsidRPr="003119B2">
        <w:rPr>
          <w:sz w:val="22"/>
          <w:szCs w:val="22"/>
          <w:lang w:val="fr-CA"/>
        </w:rPr>
        <w:t xml:space="preserve"> principales réunions, programmes et activités préparés et/ou en cours de mise en œuvre dans le cadre de la </w:t>
      </w:r>
      <w:r w:rsidRPr="003119B2">
        <w:rPr>
          <w:i/>
          <w:sz w:val="22"/>
          <w:szCs w:val="22"/>
          <w:lang w:val="fr-CA"/>
        </w:rPr>
        <w:t>Déclaration de Medellin</w:t>
      </w:r>
      <w:r w:rsidRPr="003119B2">
        <w:rPr>
          <w:sz w:val="22"/>
          <w:szCs w:val="22"/>
          <w:lang w:val="fr-CA"/>
        </w:rPr>
        <w:t xml:space="preserve"> et du Plan de travail 2018-2021 de la COMCYT figure ci-après.</w:t>
      </w:r>
    </w:p>
    <w:p w14:paraId="7F0DC0EE" w14:textId="77777777" w:rsidR="003119B2" w:rsidRPr="003119B2" w:rsidRDefault="003119B2" w:rsidP="003119B2">
      <w:pPr>
        <w:jc w:val="both"/>
        <w:rPr>
          <w:sz w:val="22"/>
          <w:szCs w:val="22"/>
          <w:lang w:val="fr-CA"/>
        </w:rPr>
      </w:pPr>
    </w:p>
    <w:p w14:paraId="4DAF6BB6" w14:textId="77777777" w:rsidR="003119B2" w:rsidRPr="003119B2" w:rsidRDefault="003119B2" w:rsidP="003119B2">
      <w:pPr>
        <w:pStyle w:val="ListParagraph"/>
        <w:numPr>
          <w:ilvl w:val="0"/>
          <w:numId w:val="10"/>
        </w:numPr>
        <w:ind w:hanging="720"/>
        <w:jc w:val="both"/>
        <w:rPr>
          <w:b/>
          <w:bCs/>
          <w:sz w:val="22"/>
          <w:szCs w:val="22"/>
          <w:u w:val="single"/>
          <w:lang w:val="fr-CA"/>
        </w:rPr>
      </w:pPr>
      <w:r w:rsidRPr="003119B2">
        <w:rPr>
          <w:b/>
          <w:sz w:val="22"/>
          <w:szCs w:val="22"/>
          <w:u w:val="single"/>
          <w:lang w:val="fr-CA"/>
        </w:rPr>
        <w:t>Réunions des autorités de haut niveau</w:t>
      </w:r>
    </w:p>
    <w:p w14:paraId="5DC40BB1" w14:textId="77777777" w:rsidR="003119B2" w:rsidRPr="003119B2" w:rsidRDefault="003119B2" w:rsidP="003119B2">
      <w:pPr>
        <w:rPr>
          <w:color w:val="171717"/>
          <w:sz w:val="22"/>
          <w:szCs w:val="22"/>
          <w:lang w:val="fr-CA"/>
        </w:rPr>
      </w:pPr>
    </w:p>
    <w:p w14:paraId="450178B1" w14:textId="77777777" w:rsidR="003119B2" w:rsidRPr="00281504" w:rsidRDefault="003119B2" w:rsidP="003119B2">
      <w:pPr>
        <w:pStyle w:val="ListParagraph"/>
        <w:numPr>
          <w:ilvl w:val="0"/>
          <w:numId w:val="11"/>
        </w:numPr>
        <w:tabs>
          <w:tab w:val="left" w:pos="1440"/>
        </w:tabs>
        <w:ind w:left="1440" w:hanging="720"/>
        <w:jc w:val="both"/>
        <w:rPr>
          <w:color w:val="171717"/>
          <w:sz w:val="22"/>
          <w:szCs w:val="22"/>
          <w:u w:val="single"/>
        </w:rPr>
      </w:pPr>
      <w:proofErr w:type="spellStart"/>
      <w:r w:rsidRPr="00281504">
        <w:rPr>
          <w:color w:val="171717"/>
          <w:sz w:val="22"/>
          <w:szCs w:val="22"/>
          <w:u w:val="single"/>
        </w:rPr>
        <w:t>Neuvième</w:t>
      </w:r>
      <w:proofErr w:type="spellEnd"/>
      <w:r w:rsidRPr="00281504">
        <w:rPr>
          <w:color w:val="171717"/>
          <w:sz w:val="22"/>
          <w:szCs w:val="22"/>
          <w:u w:val="single"/>
        </w:rPr>
        <w:t xml:space="preserve"> </w:t>
      </w:r>
      <w:proofErr w:type="spellStart"/>
      <w:r w:rsidRPr="00281504">
        <w:rPr>
          <w:color w:val="171717"/>
          <w:sz w:val="22"/>
          <w:szCs w:val="22"/>
          <w:u w:val="single"/>
        </w:rPr>
        <w:t>réunion</w:t>
      </w:r>
      <w:proofErr w:type="spellEnd"/>
      <w:r w:rsidRPr="00281504">
        <w:rPr>
          <w:color w:val="171717"/>
          <w:sz w:val="22"/>
          <w:szCs w:val="22"/>
          <w:u w:val="single"/>
        </w:rPr>
        <w:t xml:space="preserve"> de la COMCYT</w:t>
      </w:r>
    </w:p>
    <w:p w14:paraId="647FEDA6" w14:textId="77777777" w:rsidR="003119B2" w:rsidRPr="00281504" w:rsidRDefault="003119B2" w:rsidP="003119B2">
      <w:pPr>
        <w:tabs>
          <w:tab w:val="left" w:pos="1440"/>
        </w:tabs>
        <w:jc w:val="both"/>
        <w:rPr>
          <w:color w:val="171717"/>
          <w:sz w:val="22"/>
          <w:szCs w:val="22"/>
        </w:rPr>
      </w:pPr>
    </w:p>
    <w:p w14:paraId="1ACCE0DC" w14:textId="77777777" w:rsidR="003119B2" w:rsidRPr="003119B2" w:rsidRDefault="003119B2" w:rsidP="003119B2">
      <w:pPr>
        <w:ind w:left="720"/>
        <w:jc w:val="both"/>
        <w:rPr>
          <w:sz w:val="22"/>
          <w:szCs w:val="22"/>
          <w:lang w:val="fr-CA"/>
        </w:rPr>
      </w:pPr>
      <w:r w:rsidRPr="003119B2">
        <w:rPr>
          <w:sz w:val="22"/>
          <w:szCs w:val="22"/>
          <w:lang w:val="fr-CA"/>
        </w:rPr>
        <w:t xml:space="preserve">La Neuvième Réunion ordinaire de la COMYT s'est tenue au siège de l'OEA, à Washington D.C., les 11 et 12 décembre 2019. La réunion a été présidée par M. Errol Morrison, Directeur </w:t>
      </w:r>
      <w:r w:rsidRPr="003119B2">
        <w:rPr>
          <w:sz w:val="22"/>
          <w:szCs w:val="22"/>
          <w:lang w:val="fr-CA"/>
        </w:rPr>
        <w:lastRenderedPageBreak/>
        <w:t xml:space="preserve">général de la Commission sur la science et la technologie (NCST) de la Jamaïque, en tant que Premier Vice-président de la COMCYT. Soixante-neuf (69) participants ont assisté à la réunion, y compris des autorités venues des capitales, des représentants des missions permanentes de 21 États membres de l'OEA, ainsi que des partenaires stratégiques de la COMCYT issus des secteurs privé et universitaire. </w:t>
      </w:r>
    </w:p>
    <w:p w14:paraId="40DB0C72" w14:textId="77777777" w:rsidR="003119B2" w:rsidRPr="003119B2" w:rsidRDefault="003119B2" w:rsidP="003119B2">
      <w:pPr>
        <w:rPr>
          <w:bCs/>
          <w:sz w:val="22"/>
          <w:szCs w:val="22"/>
          <w:lang w:val="fr-CA"/>
        </w:rPr>
      </w:pPr>
    </w:p>
    <w:p w14:paraId="2E7957EB" w14:textId="77777777" w:rsidR="003119B2" w:rsidRPr="003119B2" w:rsidRDefault="003119B2" w:rsidP="003119B2">
      <w:pPr>
        <w:ind w:left="720"/>
        <w:jc w:val="both"/>
        <w:rPr>
          <w:bCs/>
          <w:sz w:val="22"/>
          <w:szCs w:val="22"/>
          <w:lang w:val="fr-CA"/>
        </w:rPr>
      </w:pPr>
      <w:r w:rsidRPr="003119B2">
        <w:rPr>
          <w:sz w:val="22"/>
          <w:szCs w:val="22"/>
          <w:lang w:val="fr-CA"/>
        </w:rPr>
        <w:t>La réunion a permis d’accomplir ce qui suit : a) évaluer les avancées obtenues dans la mise en œuvre des accords ministériels ; b) partager les bonnes pratiques et les tendances régionales en matière de science et de technologie ; et, c) convenir du thème principal et des sous-thèmes de la Sixième Réunion des ministres et hauts fonctionnaires chargés de la science et de la technologie.</w:t>
      </w:r>
    </w:p>
    <w:p w14:paraId="002E986F" w14:textId="77777777" w:rsidR="003119B2" w:rsidRPr="003119B2" w:rsidRDefault="003119B2" w:rsidP="003119B2">
      <w:pPr>
        <w:tabs>
          <w:tab w:val="left" w:pos="1440"/>
        </w:tabs>
        <w:jc w:val="both"/>
        <w:rPr>
          <w:color w:val="171717"/>
          <w:sz w:val="22"/>
          <w:szCs w:val="22"/>
          <w:lang w:val="fr-CA"/>
        </w:rPr>
      </w:pPr>
    </w:p>
    <w:p w14:paraId="169A876F" w14:textId="77777777" w:rsidR="003119B2" w:rsidRPr="003119B2" w:rsidRDefault="003119B2" w:rsidP="003119B2">
      <w:pPr>
        <w:pStyle w:val="ListParagraph"/>
        <w:numPr>
          <w:ilvl w:val="0"/>
          <w:numId w:val="11"/>
        </w:numPr>
        <w:tabs>
          <w:tab w:val="left" w:pos="1440"/>
        </w:tabs>
        <w:ind w:left="1440" w:hanging="720"/>
        <w:jc w:val="both"/>
        <w:rPr>
          <w:bCs/>
          <w:color w:val="171717"/>
          <w:sz w:val="22"/>
          <w:szCs w:val="22"/>
          <w:lang w:val="fr-CA"/>
        </w:rPr>
      </w:pPr>
      <w:r w:rsidRPr="003119B2">
        <w:rPr>
          <w:color w:val="171717"/>
          <w:sz w:val="22"/>
          <w:szCs w:val="22"/>
          <w:u w:val="single"/>
          <w:lang w:val="fr-CA"/>
        </w:rPr>
        <w:t>Deuxième réunion de planification du bureau de la COMCYT</w:t>
      </w:r>
    </w:p>
    <w:p w14:paraId="414A6E24" w14:textId="77777777" w:rsidR="003119B2" w:rsidRPr="003119B2" w:rsidRDefault="003119B2" w:rsidP="003119B2">
      <w:pPr>
        <w:jc w:val="both"/>
        <w:rPr>
          <w:color w:val="171717"/>
          <w:sz w:val="22"/>
          <w:szCs w:val="22"/>
          <w:lang w:val="fr-CA"/>
        </w:rPr>
      </w:pPr>
    </w:p>
    <w:p w14:paraId="5F70217E" w14:textId="77777777" w:rsidR="003119B2" w:rsidRPr="003119B2" w:rsidRDefault="003119B2" w:rsidP="003119B2">
      <w:pPr>
        <w:ind w:left="720"/>
        <w:jc w:val="both"/>
        <w:rPr>
          <w:sz w:val="22"/>
          <w:szCs w:val="22"/>
          <w:lang w:val="fr-CA"/>
        </w:rPr>
      </w:pPr>
      <w:r w:rsidRPr="003119B2">
        <w:rPr>
          <w:sz w:val="22"/>
          <w:szCs w:val="22"/>
          <w:lang w:val="fr-CA"/>
        </w:rPr>
        <w:t>Compte tenu du report de la Sixième Réunion des ministres et hauts fonctionnaires chargés de la science et de la technologie en raison de la pandémie de COVID-19, une deuxième réunion de planification du bureau de la COMCYT s'est tenue (virtuellement) le 15 juillet 2020, afin d'examiner la prorogation du plan de travail de la COMCYT jusqu'à la fin de 2021. Cette réunion a également été essentielle pour examiner le travail en cours ainsi que le rôle de la COMCYT dans l'atténuation des effets de la pandémie de COVID-19 dans la région. Le bureau a proposé des activités supplémentaires au plan de travail, dans le cadre de la COMCYT, en ce qui concerne particulièrement l'application de la science, de la technologie et de l'innovation dans le cadre de la réponse à la pandémie de COVID-19.</w:t>
      </w:r>
    </w:p>
    <w:p w14:paraId="6BC1B696" w14:textId="77777777" w:rsidR="003119B2" w:rsidRPr="003119B2" w:rsidRDefault="003119B2" w:rsidP="003119B2">
      <w:pPr>
        <w:jc w:val="both"/>
        <w:rPr>
          <w:sz w:val="22"/>
          <w:szCs w:val="22"/>
          <w:lang w:val="fr-CA"/>
        </w:rPr>
      </w:pPr>
    </w:p>
    <w:p w14:paraId="01869434" w14:textId="77777777" w:rsidR="003119B2" w:rsidRPr="003119B2" w:rsidRDefault="003119B2" w:rsidP="003119B2">
      <w:pPr>
        <w:pStyle w:val="ListParagraph"/>
        <w:numPr>
          <w:ilvl w:val="0"/>
          <w:numId w:val="11"/>
        </w:numPr>
        <w:tabs>
          <w:tab w:val="left" w:pos="1440"/>
        </w:tabs>
        <w:ind w:left="1440" w:hanging="720"/>
        <w:jc w:val="both"/>
        <w:rPr>
          <w:bCs/>
          <w:sz w:val="22"/>
          <w:szCs w:val="22"/>
          <w:u w:val="single"/>
          <w:lang w:val="fr-CA"/>
        </w:rPr>
      </w:pPr>
      <w:r w:rsidRPr="003119B2">
        <w:rPr>
          <w:sz w:val="22"/>
          <w:szCs w:val="22"/>
          <w:u w:val="single"/>
          <w:lang w:val="fr-CA"/>
        </w:rPr>
        <w:t xml:space="preserve">Réunion préparatoire de la </w:t>
      </w:r>
      <w:r w:rsidRPr="003119B2">
        <w:rPr>
          <w:color w:val="171717"/>
          <w:sz w:val="22"/>
          <w:szCs w:val="22"/>
          <w:u w:val="single"/>
          <w:lang w:val="fr-CA"/>
        </w:rPr>
        <w:t>Sixième Réunion des ministres et hauts fonctionnaires chargés de la science et de la technologie</w:t>
      </w:r>
    </w:p>
    <w:p w14:paraId="22F03E2C" w14:textId="77777777" w:rsidR="003119B2" w:rsidRPr="003119B2" w:rsidRDefault="003119B2" w:rsidP="003119B2">
      <w:pPr>
        <w:jc w:val="both"/>
        <w:rPr>
          <w:sz w:val="22"/>
          <w:szCs w:val="22"/>
          <w:u w:val="single"/>
          <w:lang w:val="fr-CA"/>
        </w:rPr>
      </w:pPr>
    </w:p>
    <w:p w14:paraId="758DE910" w14:textId="77777777" w:rsidR="003119B2" w:rsidRPr="003119B2" w:rsidRDefault="003119B2" w:rsidP="003119B2">
      <w:pPr>
        <w:pStyle w:val="ListParagraph"/>
        <w:jc w:val="both"/>
        <w:rPr>
          <w:sz w:val="22"/>
          <w:szCs w:val="22"/>
          <w:lang w:val="fr-CA"/>
        </w:rPr>
      </w:pPr>
      <w:r w:rsidRPr="003119B2">
        <w:rPr>
          <w:sz w:val="22"/>
          <w:szCs w:val="22"/>
          <w:lang w:val="fr-CA"/>
        </w:rPr>
        <w:t>La réunion préparatoire de la Sixième Réunion des ministres et hauts fonctionnaires chargés de la science et de la technologie (REMCYT-VI) s'est tenue (virtuellement) le 22 novembre 2021. Les États membres ont négocié et approuvé le projet de Déclaration de la Jamaïque,</w:t>
      </w:r>
      <w:r w:rsidRPr="003119B2">
        <w:rPr>
          <w:i/>
          <w:sz w:val="22"/>
          <w:szCs w:val="22"/>
          <w:lang w:val="fr-CA"/>
        </w:rPr>
        <w:t xml:space="preserve"> </w:t>
      </w:r>
      <w:r w:rsidRPr="003119B2">
        <w:rPr>
          <w:b/>
          <w:bCs/>
          <w:iCs/>
          <w:sz w:val="22"/>
          <w:szCs w:val="22"/>
          <w:lang w:val="fr-CA"/>
        </w:rPr>
        <w:t>« Mobiliser la puissance de la science et des technologies transformatrices pour faire avancer nos communautés »</w:t>
      </w:r>
      <w:r w:rsidRPr="003119B2">
        <w:rPr>
          <w:sz w:val="22"/>
          <w:szCs w:val="22"/>
          <w:lang w:val="fr-CA"/>
        </w:rPr>
        <w:t>, qui sera adopté à la REMCYT-VI. La réunion préparatoire a été présidée par M</w:t>
      </w:r>
      <w:r w:rsidRPr="003119B2">
        <w:rPr>
          <w:sz w:val="22"/>
          <w:szCs w:val="22"/>
          <w:vertAlign w:val="superscript"/>
          <w:lang w:val="fr-CA"/>
        </w:rPr>
        <w:t>me</w:t>
      </w:r>
      <w:r w:rsidRPr="003119B2">
        <w:rPr>
          <w:sz w:val="22"/>
          <w:szCs w:val="22"/>
          <w:lang w:val="fr-CA"/>
        </w:rPr>
        <w:t xml:space="preserve"> </w:t>
      </w:r>
      <w:proofErr w:type="spellStart"/>
      <w:r w:rsidRPr="003119B2">
        <w:rPr>
          <w:sz w:val="22"/>
          <w:szCs w:val="22"/>
          <w:lang w:val="fr-CA"/>
        </w:rPr>
        <w:t>Wahkeen</w:t>
      </w:r>
      <w:proofErr w:type="spellEnd"/>
      <w:r w:rsidRPr="003119B2">
        <w:rPr>
          <w:sz w:val="22"/>
          <w:szCs w:val="22"/>
          <w:lang w:val="fr-CA"/>
        </w:rPr>
        <w:t xml:space="preserve"> Murray, Directrice générale technique du ministère jamaïcain de la science, de l'énergie et de la technologie et a enregistré la participation de 19 délégations. </w:t>
      </w:r>
    </w:p>
    <w:p w14:paraId="6032F04D" w14:textId="77777777" w:rsidR="003119B2" w:rsidRPr="003119B2" w:rsidRDefault="003119B2" w:rsidP="003119B2">
      <w:pPr>
        <w:jc w:val="both"/>
        <w:rPr>
          <w:sz w:val="22"/>
          <w:szCs w:val="22"/>
          <w:lang w:val="fr-CA"/>
        </w:rPr>
      </w:pPr>
    </w:p>
    <w:p w14:paraId="1D39A858" w14:textId="77777777" w:rsidR="003119B2" w:rsidRPr="003119B2" w:rsidRDefault="003119B2" w:rsidP="003119B2">
      <w:pPr>
        <w:pStyle w:val="ListParagraph"/>
        <w:numPr>
          <w:ilvl w:val="0"/>
          <w:numId w:val="11"/>
        </w:numPr>
        <w:tabs>
          <w:tab w:val="left" w:pos="1440"/>
        </w:tabs>
        <w:ind w:left="1440" w:hanging="720"/>
        <w:jc w:val="both"/>
        <w:rPr>
          <w:color w:val="171717"/>
          <w:sz w:val="22"/>
          <w:szCs w:val="22"/>
          <w:lang w:val="fr-CA"/>
        </w:rPr>
      </w:pPr>
      <w:r w:rsidRPr="003119B2">
        <w:rPr>
          <w:color w:val="171717"/>
          <w:sz w:val="22"/>
          <w:szCs w:val="22"/>
          <w:u w:val="single"/>
          <w:lang w:val="fr-CA"/>
        </w:rPr>
        <w:t xml:space="preserve">Sixième Réunion des ministres et hauts fonctionnaires chargés de la science et de la technologie </w:t>
      </w:r>
    </w:p>
    <w:p w14:paraId="47FC00CD" w14:textId="77777777" w:rsidR="003119B2" w:rsidRPr="003119B2" w:rsidRDefault="003119B2" w:rsidP="003119B2">
      <w:pPr>
        <w:pStyle w:val="ListParagraph"/>
        <w:ind w:left="0"/>
        <w:jc w:val="both"/>
        <w:rPr>
          <w:color w:val="171717"/>
          <w:sz w:val="22"/>
          <w:szCs w:val="22"/>
          <w:lang w:val="fr-CA"/>
        </w:rPr>
      </w:pPr>
    </w:p>
    <w:p w14:paraId="29B7813B" w14:textId="77777777" w:rsidR="003119B2" w:rsidRPr="003119B2" w:rsidRDefault="003119B2" w:rsidP="003119B2">
      <w:pPr>
        <w:tabs>
          <w:tab w:val="left" w:pos="1440"/>
        </w:tabs>
        <w:ind w:left="720"/>
        <w:jc w:val="both"/>
        <w:rPr>
          <w:b/>
          <w:bCs/>
          <w:iCs/>
          <w:color w:val="171717"/>
          <w:sz w:val="22"/>
          <w:szCs w:val="22"/>
          <w:lang w:val="fr-CA"/>
        </w:rPr>
      </w:pPr>
      <w:r w:rsidRPr="003119B2">
        <w:rPr>
          <w:color w:val="171717"/>
          <w:sz w:val="22"/>
          <w:szCs w:val="22"/>
          <w:lang w:val="fr-CA"/>
        </w:rPr>
        <w:t xml:space="preserve">Le 27 avril 2021, le Conseil interaméricain pour le développement intégré (CIDI) a approuvé la résolution convoquant la Sixième Réunion des ministres et hauts fonctionnaires chargés de la science et de la technologie (REMCYT-VI), prévue pour le 7 décembre 2021. Le Gouvernement de la Jamaïque, par l'intermédiaire de sa Mission permanente près l'OEA, a présenté au CIDI, le 26 octobre 2021, un projet de résolution visant à modifier la date de la REMCYT-VI, qui se tiendra en format virtuel les 7 et 8 décembre 2021, sur le thème </w:t>
      </w:r>
      <w:r w:rsidRPr="003119B2">
        <w:rPr>
          <w:b/>
          <w:bCs/>
          <w:iCs/>
          <w:sz w:val="22"/>
          <w:szCs w:val="22"/>
          <w:lang w:val="fr-CA"/>
        </w:rPr>
        <w:t>« Mobiliser la puissance de la science et des technologies transformatrices pour faire avancer nos communautés ».</w:t>
      </w:r>
    </w:p>
    <w:p w14:paraId="7FE57638" w14:textId="77777777" w:rsidR="003119B2" w:rsidRPr="003119B2" w:rsidRDefault="003119B2" w:rsidP="003119B2">
      <w:pPr>
        <w:tabs>
          <w:tab w:val="left" w:pos="1440"/>
        </w:tabs>
        <w:jc w:val="both"/>
        <w:rPr>
          <w:color w:val="171717"/>
          <w:sz w:val="22"/>
          <w:szCs w:val="22"/>
          <w:lang w:val="fr-CA"/>
        </w:rPr>
      </w:pPr>
    </w:p>
    <w:p w14:paraId="20F52E9E" w14:textId="77777777" w:rsidR="003119B2" w:rsidRPr="003119B2" w:rsidRDefault="003119B2" w:rsidP="003119B2">
      <w:pPr>
        <w:tabs>
          <w:tab w:val="left" w:pos="1440"/>
        </w:tabs>
        <w:ind w:left="720"/>
        <w:jc w:val="both"/>
        <w:rPr>
          <w:color w:val="171717"/>
          <w:sz w:val="22"/>
          <w:szCs w:val="22"/>
          <w:lang w:val="fr-CA"/>
        </w:rPr>
      </w:pPr>
      <w:r w:rsidRPr="003119B2">
        <w:rPr>
          <w:color w:val="171717"/>
          <w:sz w:val="22"/>
          <w:szCs w:val="22"/>
          <w:lang w:val="fr-CA"/>
        </w:rPr>
        <w:t xml:space="preserve">L'objectif de la REMCYT-VI sera de permettre aux ministres et hauts fonctionnaires de faire progresser un programme d’action en matière de coopération continentale dans les domaines de </w:t>
      </w:r>
      <w:r w:rsidRPr="003119B2">
        <w:rPr>
          <w:color w:val="171717"/>
          <w:sz w:val="22"/>
          <w:szCs w:val="22"/>
          <w:lang w:val="fr-CA"/>
        </w:rPr>
        <w:lastRenderedPageBreak/>
        <w:t xml:space="preserve">la science et de la technologie, dans le cadre du projet de </w:t>
      </w:r>
      <w:r w:rsidRPr="003119B2">
        <w:rPr>
          <w:iCs/>
          <w:color w:val="171717"/>
          <w:sz w:val="22"/>
          <w:szCs w:val="22"/>
          <w:lang w:val="fr-CA"/>
        </w:rPr>
        <w:t xml:space="preserve">Déclaration de la Jamaïque, et </w:t>
      </w:r>
      <w:r w:rsidRPr="003119B2">
        <w:rPr>
          <w:color w:val="171717"/>
          <w:sz w:val="22"/>
          <w:szCs w:val="22"/>
          <w:lang w:val="fr-CA"/>
        </w:rPr>
        <w:t xml:space="preserve">d'engager une discussion sur des projets régionaux concrets et à fort impact, afin de soutenir le relèvement face à la pandémie de COVID-19 dans les États membres en s’appuyant sur les technologies transformatrices. </w:t>
      </w:r>
    </w:p>
    <w:p w14:paraId="790A2901" w14:textId="77777777" w:rsidR="003119B2" w:rsidRPr="003119B2" w:rsidRDefault="003119B2" w:rsidP="003119B2">
      <w:pPr>
        <w:tabs>
          <w:tab w:val="left" w:pos="1440"/>
        </w:tabs>
        <w:jc w:val="both"/>
        <w:rPr>
          <w:color w:val="171717"/>
          <w:sz w:val="22"/>
          <w:szCs w:val="22"/>
          <w:lang w:val="fr-CA"/>
        </w:rPr>
      </w:pPr>
    </w:p>
    <w:p w14:paraId="15D401C1" w14:textId="77777777" w:rsidR="003119B2" w:rsidRPr="003119B2" w:rsidRDefault="003119B2" w:rsidP="003119B2">
      <w:pPr>
        <w:pStyle w:val="ListParagraph"/>
        <w:numPr>
          <w:ilvl w:val="0"/>
          <w:numId w:val="10"/>
        </w:numPr>
        <w:tabs>
          <w:tab w:val="left" w:pos="1440"/>
        </w:tabs>
        <w:ind w:hanging="720"/>
        <w:contextualSpacing/>
        <w:jc w:val="both"/>
        <w:rPr>
          <w:b/>
          <w:color w:val="171717"/>
          <w:sz w:val="22"/>
          <w:szCs w:val="22"/>
          <w:u w:val="single"/>
          <w:lang w:val="fr-CA"/>
        </w:rPr>
      </w:pPr>
      <w:r w:rsidRPr="003119B2">
        <w:rPr>
          <w:b/>
          <w:color w:val="171717"/>
          <w:sz w:val="22"/>
          <w:szCs w:val="22"/>
          <w:u w:val="single"/>
          <w:lang w:val="fr-CA"/>
        </w:rPr>
        <w:t>Dialogues des ministres sur le thème « La science, la technologie et l'innovation pour atténuer les effets de la COVID-19 : Bonnes pratiques des États membres et des partenaires de la COMCYT »</w:t>
      </w:r>
    </w:p>
    <w:p w14:paraId="0153FC4B" w14:textId="77777777" w:rsidR="003119B2" w:rsidRPr="003119B2" w:rsidRDefault="003119B2" w:rsidP="003119B2">
      <w:pPr>
        <w:tabs>
          <w:tab w:val="left" w:pos="1440"/>
        </w:tabs>
        <w:ind w:left="720"/>
        <w:jc w:val="both"/>
        <w:rPr>
          <w:sz w:val="22"/>
          <w:szCs w:val="22"/>
          <w:lang w:val="fr-CA"/>
        </w:rPr>
      </w:pPr>
    </w:p>
    <w:p w14:paraId="0E027F0C" w14:textId="77777777" w:rsidR="003119B2" w:rsidRPr="003119B2" w:rsidRDefault="003119B2" w:rsidP="003119B2">
      <w:pPr>
        <w:tabs>
          <w:tab w:val="left" w:pos="1440"/>
        </w:tabs>
        <w:ind w:left="720"/>
        <w:jc w:val="both"/>
        <w:rPr>
          <w:sz w:val="22"/>
          <w:szCs w:val="22"/>
          <w:lang w:val="fr-CA"/>
        </w:rPr>
      </w:pPr>
      <w:r w:rsidRPr="003119B2">
        <w:rPr>
          <w:sz w:val="22"/>
          <w:szCs w:val="22"/>
          <w:lang w:val="fr-CA"/>
        </w:rPr>
        <w:t>Dans le but de soutenir les États membres de l'OEA pendant la passe difficile causée par la pandémie de COVID-19, le secrétariat technique de la COMCYT a organisé deux dialogues virtuels de haut niveau sur le thème « </w:t>
      </w:r>
      <w:r w:rsidRPr="003119B2">
        <w:rPr>
          <w:b/>
          <w:bCs/>
          <w:sz w:val="22"/>
          <w:szCs w:val="22"/>
          <w:lang w:val="fr-CA"/>
        </w:rPr>
        <w:t>La Science, la technologie et l’innovation pour atténuer les effets de la COVID-19 : Bonnes pratiques des États membres et des partenaires de la COMCYT »</w:t>
      </w:r>
      <w:r w:rsidRPr="003119B2">
        <w:rPr>
          <w:sz w:val="22"/>
          <w:szCs w:val="22"/>
          <w:lang w:val="fr-CA"/>
        </w:rPr>
        <w:t xml:space="preserve">, au cours desquels les ministres et hauts fonctionnaires chargés de la science, de la technologie et de l'innovation du Brésil, du Chili, de la Colombie, du Costa Rica, de la Jamaïque, du Mexique et du Pérou ont partagé plus de 15 bonnes pratiques et stratégies nationales en matière de science, de technologie et d'innovation (STI) visant à faire face aux incidences sociales et économiques de la COVID-19. Ces dialogues ont eu lieu respectivement le 29 avril 2020 et le 22 mai 2020 et ont attiré plus de 750 participants de 26 pays, y compris des autorités et fonctionnaires de haut rang, des partenaires stratégiques de la COMCYT, et des membres des missions permanentes près l'OEA. </w:t>
      </w:r>
    </w:p>
    <w:p w14:paraId="10D0B2E0" w14:textId="77777777" w:rsidR="003119B2" w:rsidRPr="003119B2" w:rsidRDefault="003119B2" w:rsidP="003119B2">
      <w:pPr>
        <w:tabs>
          <w:tab w:val="left" w:pos="1440"/>
        </w:tabs>
        <w:jc w:val="both"/>
        <w:rPr>
          <w:sz w:val="22"/>
          <w:szCs w:val="22"/>
          <w:lang w:val="fr-CA"/>
        </w:rPr>
      </w:pPr>
    </w:p>
    <w:p w14:paraId="316AED3E" w14:textId="77777777" w:rsidR="003119B2" w:rsidRPr="00281504" w:rsidRDefault="003119B2" w:rsidP="003119B2">
      <w:pPr>
        <w:pStyle w:val="ListParagraph"/>
        <w:numPr>
          <w:ilvl w:val="0"/>
          <w:numId w:val="10"/>
        </w:numPr>
        <w:tabs>
          <w:tab w:val="left" w:pos="1440"/>
        </w:tabs>
        <w:ind w:hanging="720"/>
        <w:jc w:val="both"/>
        <w:rPr>
          <w:b/>
          <w:bCs/>
          <w:color w:val="171717"/>
          <w:sz w:val="22"/>
          <w:szCs w:val="22"/>
          <w:u w:val="single"/>
        </w:rPr>
      </w:pPr>
      <w:proofErr w:type="spellStart"/>
      <w:r w:rsidRPr="00281504">
        <w:rPr>
          <w:b/>
          <w:color w:val="171717"/>
          <w:sz w:val="22"/>
          <w:szCs w:val="22"/>
          <w:u w:val="single"/>
        </w:rPr>
        <w:t>Réunions</w:t>
      </w:r>
      <w:proofErr w:type="spellEnd"/>
      <w:r w:rsidRPr="00281504">
        <w:rPr>
          <w:b/>
          <w:color w:val="171717"/>
          <w:sz w:val="22"/>
          <w:szCs w:val="22"/>
          <w:u w:val="single"/>
        </w:rPr>
        <w:t xml:space="preserve"> </w:t>
      </w:r>
      <w:proofErr w:type="spellStart"/>
      <w:r w:rsidRPr="00281504">
        <w:rPr>
          <w:b/>
          <w:color w:val="171717"/>
          <w:sz w:val="22"/>
          <w:szCs w:val="22"/>
          <w:u w:val="single"/>
        </w:rPr>
        <w:t>thématiques</w:t>
      </w:r>
      <w:proofErr w:type="spellEnd"/>
      <w:r w:rsidRPr="00281504">
        <w:rPr>
          <w:b/>
          <w:color w:val="171717"/>
          <w:sz w:val="22"/>
          <w:szCs w:val="22"/>
          <w:u w:val="single"/>
        </w:rPr>
        <w:t xml:space="preserve"> de la COMCYT </w:t>
      </w:r>
    </w:p>
    <w:p w14:paraId="6E1C25A5" w14:textId="77777777" w:rsidR="003119B2" w:rsidRPr="00281504" w:rsidRDefault="003119B2" w:rsidP="003119B2">
      <w:pPr>
        <w:rPr>
          <w:color w:val="171717"/>
          <w:sz w:val="22"/>
          <w:szCs w:val="22"/>
        </w:rPr>
      </w:pPr>
    </w:p>
    <w:p w14:paraId="48DD2363" w14:textId="77777777" w:rsidR="003119B2" w:rsidRPr="003119B2" w:rsidRDefault="003119B2" w:rsidP="003119B2">
      <w:pPr>
        <w:pStyle w:val="ListParagraph"/>
        <w:contextualSpacing/>
        <w:jc w:val="both"/>
        <w:rPr>
          <w:color w:val="000000"/>
          <w:sz w:val="22"/>
          <w:szCs w:val="22"/>
          <w:lang w:val="fr-CA"/>
        </w:rPr>
      </w:pPr>
      <w:bookmarkStart w:id="0" w:name="_Hlk85391140"/>
      <w:r w:rsidRPr="003119B2">
        <w:rPr>
          <w:color w:val="000000"/>
          <w:sz w:val="22"/>
          <w:szCs w:val="22"/>
          <w:lang w:val="fr-CA"/>
        </w:rPr>
        <w:t>Forte du succès des dialogues de 2020, la COMCYT a tenu six réunions thématiques supplémentaires (en mode virtuel), entre avril et juin 2021, sur des thèmes revêtant un intérêt particulier pour les États membres.</w:t>
      </w:r>
    </w:p>
    <w:p w14:paraId="66A37989" w14:textId="77777777" w:rsidR="003119B2" w:rsidRPr="003119B2" w:rsidRDefault="003119B2" w:rsidP="003119B2">
      <w:pPr>
        <w:pStyle w:val="ListParagraph"/>
        <w:contextualSpacing/>
        <w:jc w:val="both"/>
        <w:rPr>
          <w:color w:val="000000"/>
          <w:sz w:val="22"/>
          <w:szCs w:val="22"/>
          <w:lang w:val="fr-CA"/>
        </w:rPr>
      </w:pPr>
    </w:p>
    <w:p w14:paraId="287A5E2E" w14:textId="77777777" w:rsidR="003119B2" w:rsidRPr="003119B2" w:rsidRDefault="003119B2" w:rsidP="003119B2">
      <w:pPr>
        <w:pStyle w:val="ListParagraph"/>
        <w:contextualSpacing/>
        <w:jc w:val="both"/>
        <w:rPr>
          <w:color w:val="000000"/>
          <w:sz w:val="22"/>
          <w:szCs w:val="22"/>
          <w:lang w:val="fr-CA"/>
        </w:rPr>
      </w:pPr>
      <w:r w:rsidRPr="003119B2">
        <w:rPr>
          <w:color w:val="000000"/>
          <w:sz w:val="22"/>
          <w:szCs w:val="22"/>
          <w:lang w:val="fr-CA"/>
        </w:rPr>
        <w:t xml:space="preserve">Au total, plus de 50 bonnes pratiques et données d’expériences ont été partagées avec plus de 500 participants connectés depuis 24 pays. Les questions abordées ont été les suivantes : </w:t>
      </w:r>
    </w:p>
    <w:p w14:paraId="797BC347" w14:textId="77777777" w:rsidR="003119B2" w:rsidRPr="003119B2" w:rsidRDefault="003119B2" w:rsidP="003119B2">
      <w:pPr>
        <w:pStyle w:val="ListParagraph"/>
        <w:contextualSpacing/>
        <w:jc w:val="both"/>
        <w:rPr>
          <w:color w:val="000000"/>
          <w:sz w:val="22"/>
          <w:szCs w:val="22"/>
          <w:lang w:val="fr-CA"/>
        </w:rPr>
      </w:pPr>
    </w:p>
    <w:p w14:paraId="1BFF8051" w14:textId="77777777" w:rsidR="003119B2" w:rsidRPr="003119B2" w:rsidRDefault="003119B2" w:rsidP="003119B2">
      <w:pPr>
        <w:pStyle w:val="ListParagraph"/>
        <w:ind w:left="1440" w:hanging="720"/>
        <w:contextualSpacing/>
        <w:jc w:val="both"/>
        <w:rPr>
          <w:color w:val="000000"/>
          <w:sz w:val="22"/>
          <w:szCs w:val="22"/>
          <w:lang w:val="fr-CA"/>
        </w:rPr>
      </w:pPr>
      <w:r w:rsidRPr="003119B2">
        <w:rPr>
          <w:color w:val="000000"/>
          <w:sz w:val="22"/>
          <w:szCs w:val="22"/>
          <w:lang w:val="fr-CA"/>
        </w:rPr>
        <w:t>a)</w:t>
      </w:r>
      <w:r w:rsidRPr="003119B2">
        <w:rPr>
          <w:color w:val="000000"/>
          <w:sz w:val="22"/>
          <w:szCs w:val="22"/>
          <w:lang w:val="fr-CA"/>
        </w:rPr>
        <w:tab/>
        <w:t xml:space="preserve"> L’innovation et l’entrepreneuriat dans les Amériques (22 avril 2021)</w:t>
      </w:r>
    </w:p>
    <w:p w14:paraId="33EA7147" w14:textId="77777777" w:rsidR="003119B2" w:rsidRPr="003119B2" w:rsidRDefault="003119B2" w:rsidP="003119B2">
      <w:pPr>
        <w:pStyle w:val="ListParagraph"/>
        <w:ind w:left="1440" w:hanging="720"/>
        <w:contextualSpacing/>
        <w:jc w:val="both"/>
        <w:rPr>
          <w:color w:val="000000"/>
          <w:sz w:val="22"/>
          <w:szCs w:val="22"/>
          <w:lang w:val="fr-CA"/>
        </w:rPr>
      </w:pPr>
      <w:r w:rsidRPr="003119B2">
        <w:rPr>
          <w:color w:val="000000"/>
          <w:sz w:val="22"/>
          <w:szCs w:val="22"/>
          <w:lang w:val="fr-CA"/>
        </w:rPr>
        <w:t xml:space="preserve">b) </w:t>
      </w:r>
      <w:r w:rsidRPr="003119B2">
        <w:rPr>
          <w:color w:val="000000"/>
          <w:sz w:val="22"/>
          <w:szCs w:val="22"/>
          <w:lang w:val="fr-CA"/>
        </w:rPr>
        <w:tab/>
        <w:t>Les politiques en matière d'intelligence artificielle dans les Amériques (29 avril 2021)</w:t>
      </w:r>
    </w:p>
    <w:p w14:paraId="44088011" w14:textId="77777777" w:rsidR="003119B2" w:rsidRPr="003119B2" w:rsidRDefault="003119B2" w:rsidP="003119B2">
      <w:pPr>
        <w:pStyle w:val="ListParagraph"/>
        <w:ind w:left="1440" w:hanging="720"/>
        <w:contextualSpacing/>
        <w:jc w:val="both"/>
        <w:rPr>
          <w:color w:val="000000"/>
          <w:sz w:val="22"/>
          <w:szCs w:val="22"/>
          <w:lang w:val="fr-CA"/>
        </w:rPr>
      </w:pPr>
      <w:r w:rsidRPr="003119B2">
        <w:rPr>
          <w:color w:val="000000"/>
          <w:sz w:val="22"/>
          <w:szCs w:val="22"/>
          <w:lang w:val="fr-CA"/>
        </w:rPr>
        <w:t xml:space="preserve">c) </w:t>
      </w:r>
      <w:r w:rsidRPr="003119B2">
        <w:rPr>
          <w:color w:val="000000"/>
          <w:sz w:val="22"/>
          <w:szCs w:val="22"/>
          <w:lang w:val="fr-CA"/>
        </w:rPr>
        <w:tab/>
        <w:t>L’innovation inclusive et les femmes dans le domaine de la science, de la technologie, de l'ingénierie et des mathématiques (STEM) (6 mai 2021)</w:t>
      </w:r>
    </w:p>
    <w:p w14:paraId="1525ECC3" w14:textId="77777777" w:rsidR="003119B2" w:rsidRPr="003119B2" w:rsidRDefault="003119B2" w:rsidP="003119B2">
      <w:pPr>
        <w:pStyle w:val="ListParagraph"/>
        <w:ind w:left="1440" w:hanging="720"/>
        <w:contextualSpacing/>
        <w:jc w:val="both"/>
        <w:rPr>
          <w:color w:val="000000"/>
          <w:sz w:val="22"/>
          <w:szCs w:val="22"/>
          <w:lang w:val="fr-CA"/>
        </w:rPr>
      </w:pPr>
      <w:r w:rsidRPr="003119B2">
        <w:rPr>
          <w:color w:val="000000"/>
          <w:sz w:val="22"/>
          <w:szCs w:val="22"/>
          <w:lang w:val="fr-CA"/>
        </w:rPr>
        <w:t xml:space="preserve">d) </w:t>
      </w:r>
      <w:r w:rsidRPr="003119B2">
        <w:rPr>
          <w:color w:val="000000"/>
          <w:sz w:val="22"/>
          <w:szCs w:val="22"/>
          <w:lang w:val="fr-CA"/>
        </w:rPr>
        <w:tab/>
        <w:t>L’ingénierie à impact (20 mai 2021)</w:t>
      </w:r>
    </w:p>
    <w:p w14:paraId="6AF8AD7C" w14:textId="77777777" w:rsidR="003119B2" w:rsidRPr="003119B2" w:rsidRDefault="003119B2" w:rsidP="003119B2">
      <w:pPr>
        <w:pStyle w:val="ListParagraph"/>
        <w:ind w:left="1440" w:hanging="720"/>
        <w:contextualSpacing/>
        <w:jc w:val="both"/>
        <w:rPr>
          <w:color w:val="000000"/>
          <w:sz w:val="22"/>
          <w:szCs w:val="22"/>
          <w:lang w:val="fr-CA"/>
        </w:rPr>
      </w:pPr>
      <w:r w:rsidRPr="003119B2">
        <w:rPr>
          <w:color w:val="000000"/>
          <w:sz w:val="22"/>
          <w:szCs w:val="22"/>
          <w:lang w:val="fr-CA"/>
        </w:rPr>
        <w:t xml:space="preserve">e) </w:t>
      </w:r>
      <w:r w:rsidRPr="003119B2">
        <w:rPr>
          <w:color w:val="000000"/>
          <w:sz w:val="22"/>
          <w:szCs w:val="22"/>
          <w:lang w:val="fr-CA"/>
        </w:rPr>
        <w:tab/>
        <w:t>L'infrastructure nationale de la qualité en tant que pilier du développement durable (27 mai 2021)</w:t>
      </w:r>
    </w:p>
    <w:p w14:paraId="6124542C" w14:textId="77777777" w:rsidR="003119B2" w:rsidRPr="003119B2" w:rsidRDefault="003119B2" w:rsidP="003119B2">
      <w:pPr>
        <w:pStyle w:val="ListParagraph"/>
        <w:ind w:left="1440" w:hanging="720"/>
        <w:contextualSpacing/>
        <w:jc w:val="both"/>
        <w:rPr>
          <w:color w:val="000000"/>
          <w:sz w:val="22"/>
          <w:szCs w:val="22"/>
          <w:lang w:val="fr-CA"/>
        </w:rPr>
      </w:pPr>
      <w:r w:rsidRPr="003119B2">
        <w:rPr>
          <w:color w:val="000000"/>
          <w:sz w:val="22"/>
          <w:szCs w:val="22"/>
          <w:lang w:val="fr-CA"/>
        </w:rPr>
        <w:t xml:space="preserve">f) </w:t>
      </w:r>
      <w:r w:rsidRPr="003119B2">
        <w:rPr>
          <w:color w:val="000000"/>
          <w:sz w:val="22"/>
          <w:szCs w:val="22"/>
          <w:lang w:val="fr-CA"/>
        </w:rPr>
        <w:tab/>
        <w:t>La bioéconomie : Partage des bonnes pratiques et des priorités</w:t>
      </w:r>
      <w:bookmarkEnd w:id="0"/>
      <w:r w:rsidRPr="003119B2">
        <w:rPr>
          <w:color w:val="000000"/>
          <w:sz w:val="22"/>
          <w:szCs w:val="22"/>
          <w:lang w:val="fr-CA"/>
        </w:rPr>
        <w:t xml:space="preserve"> (3 juin 2021)</w:t>
      </w:r>
    </w:p>
    <w:p w14:paraId="49BE0C00" w14:textId="77777777" w:rsidR="003119B2" w:rsidRPr="003119B2" w:rsidRDefault="003119B2" w:rsidP="003119B2">
      <w:pPr>
        <w:tabs>
          <w:tab w:val="left" w:pos="1440"/>
        </w:tabs>
        <w:jc w:val="both"/>
        <w:rPr>
          <w:sz w:val="22"/>
          <w:szCs w:val="22"/>
          <w:lang w:val="fr-CA"/>
        </w:rPr>
      </w:pPr>
    </w:p>
    <w:p w14:paraId="1ADF4B0C" w14:textId="77777777" w:rsidR="003119B2" w:rsidRPr="003119B2" w:rsidRDefault="003119B2" w:rsidP="003119B2">
      <w:pPr>
        <w:pStyle w:val="ListParagraph"/>
        <w:numPr>
          <w:ilvl w:val="0"/>
          <w:numId w:val="10"/>
        </w:numPr>
        <w:tabs>
          <w:tab w:val="left" w:pos="1440"/>
        </w:tabs>
        <w:ind w:hanging="720"/>
        <w:jc w:val="both"/>
        <w:rPr>
          <w:b/>
          <w:bCs/>
          <w:color w:val="171717"/>
          <w:sz w:val="22"/>
          <w:szCs w:val="22"/>
          <w:u w:val="single"/>
          <w:lang w:val="fr-CA"/>
        </w:rPr>
      </w:pPr>
      <w:r w:rsidRPr="003119B2">
        <w:rPr>
          <w:b/>
          <w:color w:val="171717"/>
          <w:sz w:val="22"/>
          <w:szCs w:val="22"/>
          <w:u w:val="single"/>
          <w:lang w:val="fr-CA"/>
        </w:rPr>
        <w:t>Groupes de travail de la COMCYT</w:t>
      </w:r>
    </w:p>
    <w:p w14:paraId="034EC62F" w14:textId="77777777" w:rsidR="003119B2" w:rsidRPr="003119B2" w:rsidRDefault="003119B2" w:rsidP="003119B2">
      <w:pPr>
        <w:tabs>
          <w:tab w:val="left" w:pos="1440"/>
        </w:tabs>
        <w:ind w:left="720"/>
        <w:jc w:val="both"/>
        <w:rPr>
          <w:color w:val="171717"/>
          <w:sz w:val="22"/>
          <w:szCs w:val="22"/>
          <w:lang w:val="fr-CA"/>
        </w:rPr>
      </w:pPr>
    </w:p>
    <w:p w14:paraId="00159CBF" w14:textId="77777777" w:rsidR="003119B2" w:rsidRPr="003119B2" w:rsidRDefault="003119B2" w:rsidP="003119B2">
      <w:pPr>
        <w:tabs>
          <w:tab w:val="left" w:pos="1440"/>
        </w:tabs>
        <w:ind w:left="720"/>
        <w:jc w:val="both"/>
        <w:rPr>
          <w:color w:val="171717"/>
          <w:sz w:val="22"/>
          <w:szCs w:val="22"/>
          <w:lang w:val="fr-CA"/>
        </w:rPr>
      </w:pPr>
      <w:r w:rsidRPr="003119B2">
        <w:rPr>
          <w:color w:val="171717"/>
          <w:sz w:val="22"/>
          <w:szCs w:val="22"/>
          <w:lang w:val="fr-CA"/>
        </w:rPr>
        <w:t>Depuis 2018, les quatre (4) groupes de travail ont organisé plus de 45 vidéoconférences, webinaires, tables rondes et sessions de formation, contribuant ainsi à l'échange de données d'expériences entre les membres de la COMCYT et ses partenaires stratégiques, ainsi que les professionnels de la région.</w:t>
      </w:r>
    </w:p>
    <w:p w14:paraId="582AEA2F" w14:textId="77777777" w:rsidR="003119B2" w:rsidRPr="003119B2" w:rsidRDefault="003119B2" w:rsidP="003119B2">
      <w:pPr>
        <w:jc w:val="both"/>
        <w:rPr>
          <w:color w:val="171717"/>
          <w:sz w:val="22"/>
          <w:szCs w:val="22"/>
          <w:lang w:val="fr-CA"/>
        </w:rPr>
      </w:pPr>
    </w:p>
    <w:p w14:paraId="0166F0A7" w14:textId="77777777" w:rsidR="003119B2" w:rsidRPr="00281504" w:rsidRDefault="003119B2" w:rsidP="003119B2">
      <w:pPr>
        <w:pStyle w:val="ListParagraph"/>
        <w:keepNext/>
        <w:numPr>
          <w:ilvl w:val="0"/>
          <w:numId w:val="12"/>
        </w:numPr>
        <w:tabs>
          <w:tab w:val="left" w:pos="720"/>
          <w:tab w:val="left" w:pos="1440"/>
        </w:tabs>
        <w:ind w:left="1440" w:hanging="720"/>
        <w:jc w:val="both"/>
        <w:rPr>
          <w:color w:val="171717"/>
          <w:sz w:val="22"/>
          <w:szCs w:val="22"/>
          <w:u w:val="single"/>
        </w:rPr>
      </w:pPr>
      <w:proofErr w:type="spellStart"/>
      <w:r w:rsidRPr="00281504">
        <w:rPr>
          <w:color w:val="171717"/>
          <w:sz w:val="22"/>
          <w:szCs w:val="22"/>
          <w:u w:val="single"/>
        </w:rPr>
        <w:lastRenderedPageBreak/>
        <w:t>Groupe</w:t>
      </w:r>
      <w:proofErr w:type="spellEnd"/>
      <w:r w:rsidRPr="00281504">
        <w:rPr>
          <w:color w:val="171717"/>
          <w:sz w:val="22"/>
          <w:szCs w:val="22"/>
          <w:u w:val="single"/>
        </w:rPr>
        <w:t xml:space="preserve"> de </w:t>
      </w:r>
      <w:proofErr w:type="spellStart"/>
      <w:r w:rsidRPr="00281504">
        <w:rPr>
          <w:color w:val="171717"/>
          <w:sz w:val="22"/>
          <w:szCs w:val="22"/>
          <w:u w:val="single"/>
        </w:rPr>
        <w:t>travail</w:t>
      </w:r>
      <w:proofErr w:type="spellEnd"/>
      <w:r w:rsidRPr="00281504">
        <w:rPr>
          <w:color w:val="171717"/>
          <w:sz w:val="22"/>
          <w:szCs w:val="22"/>
          <w:u w:val="single"/>
        </w:rPr>
        <w:t xml:space="preserve"> 1 sur </w:t>
      </w:r>
      <w:proofErr w:type="spellStart"/>
      <w:r w:rsidRPr="00281504">
        <w:rPr>
          <w:color w:val="171717"/>
          <w:sz w:val="22"/>
          <w:szCs w:val="22"/>
          <w:u w:val="single"/>
        </w:rPr>
        <w:t>l'innovation</w:t>
      </w:r>
      <w:proofErr w:type="spellEnd"/>
    </w:p>
    <w:p w14:paraId="652AE891" w14:textId="77777777" w:rsidR="003119B2" w:rsidRPr="00281504" w:rsidRDefault="003119B2" w:rsidP="003119B2">
      <w:pPr>
        <w:keepNext/>
        <w:tabs>
          <w:tab w:val="left" w:pos="1440"/>
        </w:tabs>
        <w:jc w:val="both"/>
        <w:rPr>
          <w:color w:val="171717"/>
          <w:sz w:val="22"/>
          <w:szCs w:val="22"/>
        </w:rPr>
      </w:pPr>
    </w:p>
    <w:p w14:paraId="3A2901D5" w14:textId="77777777" w:rsidR="003119B2" w:rsidRPr="003119B2" w:rsidRDefault="003119B2" w:rsidP="003119B2">
      <w:pPr>
        <w:ind w:left="720"/>
        <w:contextualSpacing/>
        <w:jc w:val="both"/>
        <w:rPr>
          <w:sz w:val="22"/>
          <w:szCs w:val="22"/>
          <w:lang w:val="fr-CA"/>
        </w:rPr>
      </w:pPr>
      <w:r w:rsidRPr="003119B2">
        <w:rPr>
          <w:sz w:val="22"/>
          <w:szCs w:val="22"/>
          <w:lang w:val="fr-CA"/>
        </w:rPr>
        <w:t>Dans le cadre du Groupe de travail 1, les membres de la COMCYT et les partenaires stratégiques ont échangé de bonnes pratiques en matière d'innovation et de R&amp;D dans divers secteurs, y compris les transports, l'énergie, l'agriculture et la santé. Au nombre des principaux sujets de discussion ont figuré l'utilisation et les applications de la fabrication avancée, l'impression 3D, la robotique, les mégadonnées, l'intelligence artificielle (IA), l'apprentissage automatique et la chaîne de bloc, entre autres. Des sessions spéciales sur le</w:t>
      </w:r>
      <w:r w:rsidRPr="003119B2">
        <w:rPr>
          <w:b/>
          <w:bCs/>
          <w:sz w:val="22"/>
          <w:szCs w:val="22"/>
          <w:lang w:val="fr-CA"/>
        </w:rPr>
        <w:t xml:space="preserve"> financement de l'innovation</w:t>
      </w:r>
      <w:r w:rsidRPr="003119B2">
        <w:rPr>
          <w:sz w:val="22"/>
          <w:szCs w:val="22"/>
          <w:lang w:val="fr-CA"/>
        </w:rPr>
        <w:t xml:space="preserve"> ont également été tenues dans le cadre de la Semaine de l'innovation organisée par le Pérou, le 21 juin 2021, ainsi que dans le cadre du Conseil interaméricain pour le développement intégré (CIDI), le 30 novembre 2021.</w:t>
      </w:r>
    </w:p>
    <w:p w14:paraId="523810AF" w14:textId="77777777" w:rsidR="003119B2" w:rsidRPr="003119B2" w:rsidRDefault="003119B2" w:rsidP="003119B2">
      <w:pPr>
        <w:contextualSpacing/>
        <w:jc w:val="both"/>
        <w:rPr>
          <w:sz w:val="22"/>
          <w:szCs w:val="22"/>
          <w:lang w:val="fr-CA"/>
        </w:rPr>
      </w:pPr>
    </w:p>
    <w:p w14:paraId="4BE4EE47" w14:textId="77777777" w:rsidR="003119B2" w:rsidRPr="003119B2" w:rsidRDefault="003119B2" w:rsidP="003119B2">
      <w:pPr>
        <w:pStyle w:val="ListParagraph"/>
        <w:numPr>
          <w:ilvl w:val="0"/>
          <w:numId w:val="12"/>
        </w:numPr>
        <w:ind w:left="1440" w:hanging="720"/>
        <w:contextualSpacing/>
        <w:jc w:val="both"/>
        <w:rPr>
          <w:sz w:val="22"/>
          <w:szCs w:val="22"/>
          <w:u w:val="single"/>
          <w:lang w:val="fr-CA"/>
        </w:rPr>
      </w:pPr>
      <w:r w:rsidRPr="003119B2">
        <w:rPr>
          <w:sz w:val="22"/>
          <w:szCs w:val="22"/>
          <w:u w:val="single"/>
          <w:lang w:val="fr-CA"/>
        </w:rPr>
        <w:t xml:space="preserve">Groupe de travail 2 sur l'infrastructure nationale de la qualité : </w:t>
      </w:r>
    </w:p>
    <w:p w14:paraId="2895F86E" w14:textId="77777777" w:rsidR="003119B2" w:rsidRPr="003119B2" w:rsidRDefault="003119B2" w:rsidP="003119B2">
      <w:pPr>
        <w:pStyle w:val="ListParagraph"/>
        <w:ind w:left="0"/>
        <w:contextualSpacing/>
        <w:jc w:val="both"/>
        <w:rPr>
          <w:sz w:val="22"/>
          <w:szCs w:val="22"/>
          <w:lang w:val="fr-CA"/>
        </w:rPr>
      </w:pPr>
    </w:p>
    <w:p w14:paraId="1C685740" w14:textId="77777777" w:rsidR="003119B2" w:rsidRPr="003119B2" w:rsidRDefault="003119B2" w:rsidP="003119B2">
      <w:pPr>
        <w:pStyle w:val="ListParagraph"/>
        <w:contextualSpacing/>
        <w:jc w:val="both"/>
        <w:rPr>
          <w:sz w:val="22"/>
          <w:szCs w:val="22"/>
          <w:lang w:val="fr-CA"/>
        </w:rPr>
      </w:pPr>
      <w:r w:rsidRPr="003119B2">
        <w:rPr>
          <w:sz w:val="22"/>
          <w:szCs w:val="22"/>
          <w:lang w:val="fr-CA"/>
        </w:rPr>
        <w:t xml:space="preserve">Dans le cadre des activités du Groupe de travail 2 sur l'enseignement de l'ingénierie, le secrétariat technique de la COMCYT a activement participé à quatre forums régionaux de dialogue sur l'enseignement de l'ingénierie et a présenté des exposés dans le cadre de ces forums, qui sont les suivants : a) la Conférence annuelle du Consortium latino-américain et caraïbe des institutions d'ingénierie (LACCEI) et le Sommet de l’ingénierie pour les Amériques, tenus à Lima (Pérou) en juin 2018, à Montego Bay (Jamaïque) en juillet 2019, à Buenos Aires (Argentine)  en mode virtuel en juillet 2020, et en juillet 2021 ; b) l'Assemblée générale de l’Union panaméricaine des sociétés d'ingénieurs (UPADI), qui s'est tenue à Carthagène (Colombie), en octobre 2018, et à Santa Cruz (Bolivie), en 2019 ; c) le Forum mondial de l’éducation en ingénierie (WEEF) qui s'est tenu à Albuquerque au Nouveau-Mexique, en novembre 2018, et en format virtuel en 2020 et 2021 ; d) la Réunion internationale sur l’éducation  en ingénierie organisée par l’Association colombienne des facultés d’ingénierie (ACOFI), qui s'est tenue à Carthagène (Colombie), en septembre 2019 et septembre 2021. Ces réunions annuelles ont permis d'échanger de bonnes pratiques et ont offert des possibilités de réseautage et de formation dans le domaine de l’éducation en ingénierie à plus de 9000 professionnels et étudiants en ingénierie dans les Amériques. </w:t>
      </w:r>
    </w:p>
    <w:p w14:paraId="69E7EA12" w14:textId="77777777" w:rsidR="003119B2" w:rsidRPr="003119B2" w:rsidRDefault="003119B2" w:rsidP="003119B2">
      <w:pPr>
        <w:pStyle w:val="ListParagraph"/>
        <w:tabs>
          <w:tab w:val="left" w:pos="540"/>
        </w:tabs>
        <w:ind w:left="0"/>
        <w:contextualSpacing/>
        <w:jc w:val="both"/>
        <w:rPr>
          <w:sz w:val="22"/>
          <w:szCs w:val="22"/>
          <w:lang w:val="fr-CA"/>
        </w:rPr>
      </w:pPr>
    </w:p>
    <w:p w14:paraId="010B9ABF" w14:textId="77777777" w:rsidR="003119B2" w:rsidRPr="003119B2" w:rsidRDefault="003119B2" w:rsidP="003119B2">
      <w:pPr>
        <w:pStyle w:val="ListParagraph"/>
        <w:numPr>
          <w:ilvl w:val="0"/>
          <w:numId w:val="12"/>
        </w:numPr>
        <w:tabs>
          <w:tab w:val="left" w:pos="540"/>
        </w:tabs>
        <w:ind w:left="1440" w:hanging="720"/>
        <w:jc w:val="both"/>
        <w:rPr>
          <w:sz w:val="22"/>
          <w:szCs w:val="22"/>
          <w:u w:val="single"/>
          <w:lang w:val="fr-CA"/>
        </w:rPr>
      </w:pPr>
      <w:r w:rsidRPr="003119B2">
        <w:rPr>
          <w:sz w:val="22"/>
          <w:szCs w:val="22"/>
          <w:u w:val="single"/>
          <w:lang w:val="fr-CA"/>
        </w:rPr>
        <w:t xml:space="preserve">Groupe de travail 3 sur l'infrastructure nationale de la qualité </w:t>
      </w:r>
    </w:p>
    <w:p w14:paraId="353C3B93" w14:textId="77777777" w:rsidR="003119B2" w:rsidRPr="003119B2" w:rsidRDefault="003119B2" w:rsidP="003119B2">
      <w:pPr>
        <w:pStyle w:val="ListParagraph"/>
        <w:ind w:left="0"/>
        <w:jc w:val="both"/>
        <w:rPr>
          <w:sz w:val="22"/>
          <w:szCs w:val="22"/>
          <w:lang w:val="fr-CA"/>
        </w:rPr>
      </w:pPr>
    </w:p>
    <w:p w14:paraId="62C633FE" w14:textId="77777777" w:rsidR="003119B2" w:rsidRPr="003119B2" w:rsidRDefault="003119B2" w:rsidP="003119B2">
      <w:pPr>
        <w:tabs>
          <w:tab w:val="left" w:pos="540"/>
        </w:tabs>
        <w:ind w:left="720"/>
        <w:jc w:val="both"/>
        <w:rPr>
          <w:sz w:val="22"/>
          <w:szCs w:val="22"/>
          <w:lang w:val="fr-CA"/>
        </w:rPr>
      </w:pPr>
      <w:r w:rsidRPr="003119B2">
        <w:rPr>
          <w:sz w:val="22"/>
          <w:szCs w:val="22"/>
          <w:lang w:val="fr-CA"/>
        </w:rPr>
        <w:t xml:space="preserve">Dans le cadre du Groupe de travail 3, le secrétariat technique de la COMCYT a participé à l'assemblée générale du Système interaméricain de métrologie (SIM), qui s'est tenue le 28 septembre 2018, au National Institute of Standards and </w:t>
      </w:r>
      <w:proofErr w:type="spellStart"/>
      <w:r w:rsidRPr="003119B2">
        <w:rPr>
          <w:sz w:val="22"/>
          <w:szCs w:val="22"/>
          <w:lang w:val="fr-CA"/>
        </w:rPr>
        <w:t>Technology</w:t>
      </w:r>
      <w:proofErr w:type="spellEnd"/>
      <w:r w:rsidRPr="003119B2">
        <w:rPr>
          <w:sz w:val="22"/>
          <w:szCs w:val="22"/>
          <w:lang w:val="fr-CA"/>
        </w:rPr>
        <w:t xml:space="preserve"> (NIST), à Gaithersburg dans l’État du Maryland, ainsi que virtuellement les 20 novembre 2020 et 12 novembre 2021. Le secrétariat technique a présenté un rapport sur l'état d’avancement des activités menées dans le domaine de l'infrastructure nationale de la qualité, y compris la représentation du SIM par le Centre national de métrologie du Panama (CENAMEP) au Neuvième Échange pour la compétitivité des Amériques (ACE) du Réseau interaméricain de compétitivité (RIAC), ainsi que l'échange de bonnes pratiques en matière d’infrastructure nationale de la qualité (INQ) dans le cadre des dialogues de la COMCYT, qui a mis en évidence le travail de nos partenaires en Uruguay, en Jamaïque et à Sainte-Lucie.</w:t>
      </w:r>
    </w:p>
    <w:p w14:paraId="68C58873" w14:textId="77777777" w:rsidR="003119B2" w:rsidRPr="003119B2" w:rsidRDefault="003119B2" w:rsidP="003119B2">
      <w:pPr>
        <w:tabs>
          <w:tab w:val="left" w:pos="540"/>
        </w:tabs>
        <w:jc w:val="both"/>
        <w:rPr>
          <w:sz w:val="22"/>
          <w:szCs w:val="22"/>
          <w:lang w:val="fr-CA"/>
        </w:rPr>
      </w:pPr>
    </w:p>
    <w:p w14:paraId="7D109EF5" w14:textId="77777777" w:rsidR="003119B2" w:rsidRPr="003119B2" w:rsidRDefault="003119B2" w:rsidP="003119B2">
      <w:pPr>
        <w:tabs>
          <w:tab w:val="left" w:pos="540"/>
        </w:tabs>
        <w:ind w:left="720"/>
        <w:jc w:val="both"/>
        <w:rPr>
          <w:sz w:val="22"/>
          <w:szCs w:val="22"/>
          <w:lang w:val="fr-CA"/>
        </w:rPr>
      </w:pPr>
      <w:r w:rsidRPr="003119B2">
        <w:rPr>
          <w:sz w:val="22"/>
          <w:szCs w:val="22"/>
          <w:lang w:val="fr-CA"/>
        </w:rPr>
        <w:t xml:space="preserve">En outre, dans le cadre du Groupe de travail 3, une prorogation de l'accord conclu entre l'OEA et le Gouvernement allemand par l'intermédiaire de son institut national de métrologie (PTB) a été signée, afin de fournir une assistance technique d’une valeur de plus de 2 millions d'euros </w:t>
      </w:r>
      <w:r w:rsidRPr="003119B2">
        <w:rPr>
          <w:sz w:val="22"/>
          <w:szCs w:val="22"/>
          <w:lang w:val="fr-CA"/>
        </w:rPr>
        <w:lastRenderedPageBreak/>
        <w:t xml:space="preserve">aux bureaux nationaux de métrologie des États membres de l'OEA pour des projets multilatéraux liés à la biodiversité et à l'économie circulaire. </w:t>
      </w:r>
    </w:p>
    <w:p w14:paraId="01AF0E86" w14:textId="77777777" w:rsidR="003119B2" w:rsidRPr="003119B2" w:rsidRDefault="003119B2" w:rsidP="003119B2">
      <w:pPr>
        <w:tabs>
          <w:tab w:val="left" w:pos="540"/>
        </w:tabs>
        <w:jc w:val="both"/>
        <w:rPr>
          <w:sz w:val="22"/>
          <w:szCs w:val="22"/>
          <w:lang w:val="fr-CA"/>
        </w:rPr>
      </w:pPr>
    </w:p>
    <w:p w14:paraId="33CCE55A" w14:textId="77777777" w:rsidR="003119B2" w:rsidRPr="003119B2" w:rsidRDefault="003119B2" w:rsidP="003119B2">
      <w:pPr>
        <w:pStyle w:val="ListParagraph"/>
        <w:numPr>
          <w:ilvl w:val="0"/>
          <w:numId w:val="12"/>
        </w:numPr>
        <w:tabs>
          <w:tab w:val="left" w:pos="540"/>
        </w:tabs>
        <w:ind w:left="1440" w:hanging="720"/>
        <w:jc w:val="both"/>
        <w:rPr>
          <w:sz w:val="22"/>
          <w:szCs w:val="22"/>
          <w:u w:val="single"/>
          <w:lang w:val="fr-CA"/>
        </w:rPr>
      </w:pPr>
      <w:r w:rsidRPr="003119B2">
        <w:rPr>
          <w:sz w:val="22"/>
          <w:szCs w:val="22"/>
          <w:u w:val="single"/>
          <w:lang w:val="fr-CA"/>
        </w:rPr>
        <w:t xml:space="preserve">Groupe de travail 4 sur le développement technologique </w:t>
      </w:r>
    </w:p>
    <w:p w14:paraId="568769CA" w14:textId="77777777" w:rsidR="003119B2" w:rsidRPr="003119B2" w:rsidRDefault="003119B2" w:rsidP="003119B2">
      <w:pPr>
        <w:tabs>
          <w:tab w:val="left" w:pos="540"/>
        </w:tabs>
        <w:ind w:left="540" w:hanging="270"/>
        <w:jc w:val="both"/>
        <w:rPr>
          <w:sz w:val="22"/>
          <w:szCs w:val="22"/>
          <w:lang w:val="fr-CA"/>
        </w:rPr>
      </w:pPr>
    </w:p>
    <w:p w14:paraId="23F24ECA" w14:textId="77777777" w:rsidR="003119B2" w:rsidRPr="003119B2" w:rsidRDefault="003119B2" w:rsidP="003119B2">
      <w:pPr>
        <w:tabs>
          <w:tab w:val="left" w:pos="540"/>
        </w:tabs>
        <w:ind w:left="720"/>
        <w:jc w:val="both"/>
        <w:rPr>
          <w:sz w:val="22"/>
          <w:szCs w:val="22"/>
          <w:lang w:val="fr-CA"/>
        </w:rPr>
      </w:pPr>
      <w:r w:rsidRPr="003119B2">
        <w:rPr>
          <w:sz w:val="22"/>
          <w:szCs w:val="22"/>
          <w:lang w:val="fr-CA"/>
        </w:rPr>
        <w:t>Dans le cadre du Groupe de travail 4 de la COMCYT, quatre éditions de l’atelier « HUB de transfert et commercialisation de technologies pour les Amériques » ont été tenues aux lieux et dates ci-après:</w:t>
      </w:r>
    </w:p>
    <w:p w14:paraId="21C55E25" w14:textId="77777777" w:rsidR="003119B2" w:rsidRPr="003119B2" w:rsidRDefault="003119B2" w:rsidP="003119B2">
      <w:pPr>
        <w:tabs>
          <w:tab w:val="left" w:pos="540"/>
        </w:tabs>
        <w:ind w:left="720"/>
        <w:jc w:val="both"/>
        <w:rPr>
          <w:sz w:val="22"/>
          <w:szCs w:val="22"/>
          <w:lang w:val="fr-CA"/>
        </w:rPr>
      </w:pPr>
    </w:p>
    <w:p w14:paraId="2BB98536" w14:textId="77777777" w:rsidR="003119B2" w:rsidRPr="003119B2" w:rsidRDefault="003119B2" w:rsidP="003119B2">
      <w:pPr>
        <w:pStyle w:val="ListParagraph"/>
        <w:numPr>
          <w:ilvl w:val="0"/>
          <w:numId w:val="13"/>
        </w:numPr>
        <w:tabs>
          <w:tab w:val="left" w:pos="540"/>
        </w:tabs>
        <w:ind w:left="1440" w:hanging="720"/>
        <w:jc w:val="both"/>
        <w:rPr>
          <w:sz w:val="22"/>
          <w:szCs w:val="22"/>
          <w:lang w:val="fr-CA"/>
        </w:rPr>
      </w:pPr>
      <w:r w:rsidRPr="003119B2">
        <w:rPr>
          <w:sz w:val="22"/>
          <w:szCs w:val="22"/>
          <w:lang w:val="fr-CA"/>
        </w:rPr>
        <w:t>Santiago (Chili), du 27 août au 7 septembre 2018</w:t>
      </w:r>
    </w:p>
    <w:p w14:paraId="0738454F" w14:textId="77777777" w:rsidR="003119B2" w:rsidRPr="003119B2" w:rsidRDefault="003119B2" w:rsidP="003119B2">
      <w:pPr>
        <w:pStyle w:val="ListParagraph"/>
        <w:numPr>
          <w:ilvl w:val="0"/>
          <w:numId w:val="13"/>
        </w:numPr>
        <w:tabs>
          <w:tab w:val="left" w:pos="540"/>
        </w:tabs>
        <w:ind w:left="1440" w:hanging="720"/>
        <w:jc w:val="both"/>
        <w:rPr>
          <w:sz w:val="22"/>
          <w:szCs w:val="22"/>
          <w:lang w:val="fr-CA"/>
        </w:rPr>
      </w:pPr>
      <w:r w:rsidRPr="003119B2">
        <w:rPr>
          <w:sz w:val="22"/>
          <w:szCs w:val="22"/>
          <w:lang w:val="fr-CA"/>
        </w:rPr>
        <w:t>Panama (République du Panama), du 6 au 11 mai 2019</w:t>
      </w:r>
    </w:p>
    <w:p w14:paraId="14C78F44" w14:textId="77777777" w:rsidR="003119B2" w:rsidRPr="003119B2" w:rsidRDefault="003119B2" w:rsidP="003119B2">
      <w:pPr>
        <w:pStyle w:val="ListParagraph"/>
        <w:numPr>
          <w:ilvl w:val="0"/>
          <w:numId w:val="13"/>
        </w:numPr>
        <w:tabs>
          <w:tab w:val="left" w:pos="540"/>
        </w:tabs>
        <w:ind w:left="1440" w:hanging="720"/>
        <w:jc w:val="both"/>
        <w:rPr>
          <w:sz w:val="22"/>
          <w:szCs w:val="22"/>
          <w:lang w:val="fr-CA"/>
        </w:rPr>
      </w:pPr>
      <w:r w:rsidRPr="003119B2">
        <w:rPr>
          <w:sz w:val="22"/>
          <w:szCs w:val="22"/>
          <w:lang w:val="fr-CA"/>
        </w:rPr>
        <w:t>Barranquilla (Colombie), du 12 au 22 novembre 2019</w:t>
      </w:r>
    </w:p>
    <w:p w14:paraId="46CFD395" w14:textId="77777777" w:rsidR="003119B2" w:rsidRPr="00281504" w:rsidRDefault="003119B2" w:rsidP="003119B2">
      <w:pPr>
        <w:pStyle w:val="ListParagraph"/>
        <w:numPr>
          <w:ilvl w:val="0"/>
          <w:numId w:val="13"/>
        </w:numPr>
        <w:tabs>
          <w:tab w:val="left" w:pos="540"/>
        </w:tabs>
        <w:ind w:left="1440" w:hanging="720"/>
        <w:jc w:val="both"/>
        <w:rPr>
          <w:sz w:val="22"/>
          <w:szCs w:val="22"/>
        </w:rPr>
      </w:pPr>
      <w:r w:rsidRPr="00281504">
        <w:rPr>
          <w:sz w:val="22"/>
          <w:szCs w:val="22"/>
        </w:rPr>
        <w:t xml:space="preserve">Dominique, du 5 </w:t>
      </w:r>
      <w:proofErr w:type="spellStart"/>
      <w:r w:rsidRPr="00281504">
        <w:rPr>
          <w:sz w:val="22"/>
          <w:szCs w:val="22"/>
        </w:rPr>
        <w:t>au</w:t>
      </w:r>
      <w:proofErr w:type="spellEnd"/>
      <w:r w:rsidRPr="00281504">
        <w:rPr>
          <w:sz w:val="22"/>
          <w:szCs w:val="22"/>
        </w:rPr>
        <w:t xml:space="preserve"> 9 </w:t>
      </w:r>
      <w:proofErr w:type="spellStart"/>
      <w:r w:rsidRPr="00281504">
        <w:rPr>
          <w:sz w:val="22"/>
          <w:szCs w:val="22"/>
        </w:rPr>
        <w:t>octobre</w:t>
      </w:r>
      <w:proofErr w:type="spellEnd"/>
      <w:r w:rsidRPr="00281504">
        <w:rPr>
          <w:sz w:val="22"/>
          <w:szCs w:val="22"/>
        </w:rPr>
        <w:t xml:space="preserve"> 2020</w:t>
      </w:r>
    </w:p>
    <w:p w14:paraId="2DF4D798" w14:textId="77777777" w:rsidR="003119B2" w:rsidRPr="00281504" w:rsidRDefault="003119B2" w:rsidP="003119B2">
      <w:pPr>
        <w:tabs>
          <w:tab w:val="left" w:pos="540"/>
        </w:tabs>
        <w:ind w:left="1440" w:hanging="720"/>
        <w:jc w:val="both"/>
        <w:rPr>
          <w:sz w:val="22"/>
          <w:szCs w:val="22"/>
        </w:rPr>
      </w:pPr>
    </w:p>
    <w:p w14:paraId="24FF9B3E" w14:textId="77777777" w:rsidR="003119B2" w:rsidRPr="003119B2" w:rsidRDefault="003119B2" w:rsidP="003119B2">
      <w:pPr>
        <w:tabs>
          <w:tab w:val="left" w:pos="540"/>
        </w:tabs>
        <w:ind w:left="720"/>
        <w:jc w:val="both"/>
        <w:rPr>
          <w:sz w:val="22"/>
          <w:szCs w:val="22"/>
          <w:lang w:val="fr-CA"/>
        </w:rPr>
      </w:pPr>
      <w:r w:rsidRPr="003119B2">
        <w:rPr>
          <w:color w:val="171717"/>
          <w:sz w:val="22"/>
          <w:szCs w:val="22"/>
          <w:lang w:val="fr-CA"/>
        </w:rPr>
        <w:t>Entre</w:t>
      </w:r>
      <w:r w:rsidRPr="003119B2">
        <w:rPr>
          <w:sz w:val="22"/>
          <w:szCs w:val="22"/>
          <w:lang w:val="fr-CA"/>
        </w:rPr>
        <w:t xml:space="preserve"> 2018 et 2020, le secrétariat technique a reçu et examiné plus de 480 requêtes de 21 pays concernant l’atelier (toutes éditions confondues) demandant à bénéficier d’une formation, d’un encadrement, ainsi que d’un soutien visant à accélérer le passage de leurs technologies, solutions, produits ou services de la phase de l'idée à celle du marché. Aujourd'hui, </w:t>
      </w:r>
      <w:r w:rsidRPr="003119B2">
        <w:rPr>
          <w:color w:val="171717"/>
          <w:sz w:val="22"/>
          <w:szCs w:val="22"/>
          <w:lang w:val="fr-CA"/>
        </w:rPr>
        <w:t>le HUB dispose d’un réseau de plus de 380 diplômés de 21 pays des Amériques, qui entretiennent un contact régulier et ont exprimé le souhait de continuer à apprendre, à collaborer et à bénéficier de possibilités d’encadrement ainsi que de plus amples conseils en matière d'accélération technologique.</w:t>
      </w:r>
    </w:p>
    <w:p w14:paraId="7CF355C3" w14:textId="77777777" w:rsidR="003119B2" w:rsidRPr="003119B2" w:rsidRDefault="003119B2" w:rsidP="003119B2">
      <w:pPr>
        <w:tabs>
          <w:tab w:val="left" w:pos="1440"/>
        </w:tabs>
        <w:ind w:left="720"/>
        <w:jc w:val="both"/>
        <w:rPr>
          <w:color w:val="171717"/>
          <w:sz w:val="22"/>
          <w:szCs w:val="22"/>
          <w:lang w:val="fr-CA"/>
        </w:rPr>
      </w:pPr>
    </w:p>
    <w:p w14:paraId="1E2E1B8B" w14:textId="77777777" w:rsidR="003119B2" w:rsidRPr="003119B2" w:rsidRDefault="003119B2" w:rsidP="003119B2">
      <w:pPr>
        <w:ind w:left="720"/>
        <w:contextualSpacing/>
        <w:jc w:val="both"/>
        <w:rPr>
          <w:color w:val="000000"/>
          <w:sz w:val="22"/>
          <w:szCs w:val="22"/>
          <w:lang w:val="fr-CA"/>
        </w:rPr>
      </w:pPr>
      <w:r w:rsidRPr="003119B2">
        <w:rPr>
          <w:color w:val="000000"/>
          <w:sz w:val="22"/>
          <w:szCs w:val="22"/>
          <w:lang w:val="fr-CA"/>
        </w:rPr>
        <w:t xml:space="preserve">L'un des points forts de l’atelier HUB a été sa transition vers un </w:t>
      </w:r>
      <w:r w:rsidRPr="003119B2">
        <w:rPr>
          <w:color w:val="000000"/>
          <w:sz w:val="22"/>
          <w:szCs w:val="22"/>
          <w:u w:val="single"/>
          <w:lang w:val="fr-CA"/>
        </w:rPr>
        <w:t>format virtuel</w:t>
      </w:r>
      <w:r w:rsidRPr="003119B2">
        <w:rPr>
          <w:color w:val="000000"/>
          <w:sz w:val="22"/>
          <w:szCs w:val="22"/>
          <w:lang w:val="fr-CA"/>
        </w:rPr>
        <w:t xml:space="preserve"> dans le contexte de la pandémie COVID-19 afin de soutenir 35 entrepreneurs en Dominique et de les aider à étendre la portée de leurs interventions pendant la pandémie. </w:t>
      </w:r>
    </w:p>
    <w:p w14:paraId="69E36727" w14:textId="77777777" w:rsidR="003119B2" w:rsidRPr="003119B2" w:rsidRDefault="003119B2" w:rsidP="003119B2">
      <w:pPr>
        <w:tabs>
          <w:tab w:val="left" w:pos="1440"/>
        </w:tabs>
        <w:jc w:val="both"/>
        <w:rPr>
          <w:b/>
          <w:bCs/>
          <w:color w:val="171717"/>
          <w:sz w:val="22"/>
          <w:szCs w:val="22"/>
          <w:u w:val="single"/>
          <w:lang w:val="fr-CA"/>
        </w:rPr>
      </w:pPr>
    </w:p>
    <w:p w14:paraId="53F94432" w14:textId="77777777" w:rsidR="003119B2" w:rsidRPr="003119B2" w:rsidRDefault="003119B2" w:rsidP="003119B2">
      <w:pPr>
        <w:pStyle w:val="ListParagraph"/>
        <w:numPr>
          <w:ilvl w:val="0"/>
          <w:numId w:val="10"/>
        </w:numPr>
        <w:tabs>
          <w:tab w:val="left" w:pos="1440"/>
        </w:tabs>
        <w:ind w:hanging="720"/>
        <w:jc w:val="both"/>
        <w:rPr>
          <w:b/>
          <w:bCs/>
          <w:color w:val="171717"/>
          <w:sz w:val="22"/>
          <w:szCs w:val="22"/>
          <w:u w:val="single"/>
          <w:lang w:val="fr-CA"/>
        </w:rPr>
      </w:pPr>
      <w:r w:rsidRPr="003119B2">
        <w:rPr>
          <w:b/>
          <w:color w:val="171717"/>
          <w:sz w:val="22"/>
          <w:szCs w:val="22"/>
          <w:u w:val="single"/>
          <w:lang w:val="fr-CA"/>
        </w:rPr>
        <w:t xml:space="preserve">Le programme HUB de transfert et de commercialisation des technologies pour les Amériques et la plateforme d’encadrement « COMUNITT » </w:t>
      </w:r>
    </w:p>
    <w:p w14:paraId="1CBA03C3" w14:textId="77777777" w:rsidR="003119B2" w:rsidRPr="003119B2" w:rsidRDefault="003119B2" w:rsidP="003119B2">
      <w:pPr>
        <w:tabs>
          <w:tab w:val="left" w:pos="1440"/>
        </w:tabs>
        <w:jc w:val="both"/>
        <w:rPr>
          <w:color w:val="171717"/>
          <w:sz w:val="22"/>
          <w:szCs w:val="22"/>
          <w:lang w:val="fr-CA"/>
        </w:rPr>
      </w:pPr>
    </w:p>
    <w:p w14:paraId="272F2243" w14:textId="77777777" w:rsidR="003119B2" w:rsidRPr="003119B2" w:rsidRDefault="003119B2" w:rsidP="003119B2">
      <w:pPr>
        <w:tabs>
          <w:tab w:val="left" w:pos="720"/>
        </w:tabs>
        <w:ind w:left="720"/>
        <w:jc w:val="both"/>
        <w:rPr>
          <w:color w:val="171717"/>
          <w:sz w:val="22"/>
          <w:szCs w:val="22"/>
          <w:lang w:val="fr-CA"/>
        </w:rPr>
      </w:pPr>
      <w:r w:rsidRPr="003119B2">
        <w:rPr>
          <w:color w:val="171717"/>
          <w:sz w:val="22"/>
          <w:szCs w:val="22"/>
          <w:lang w:val="fr-CA"/>
        </w:rPr>
        <w:t>Pendant la pandémie, le secrétariat technique a concentré ses efforts sur le développement de deux (2) plateformes virtuelles d’encadrement destiné à compléter le programme HUB, dont l'une est appelée « COMUNITT », en collaboration avec l'Université de Californie à Riverside, et l'autre, « COMCYT Central », avec la participation de mentors issus de toute la région. Ensemble, ces plateformes proposent des forums, des articles de référence et d'autres outils, des possibilités de formation, et l'accès à des mentors pour des consultations ciblées, afin d'accélérer les technologies prometteuses tout en contribuant à la diversification des économies de la région.</w:t>
      </w:r>
    </w:p>
    <w:p w14:paraId="564236AF" w14:textId="77777777" w:rsidR="003119B2" w:rsidRPr="003119B2" w:rsidRDefault="003119B2" w:rsidP="003119B2">
      <w:pPr>
        <w:tabs>
          <w:tab w:val="left" w:pos="1440"/>
        </w:tabs>
        <w:ind w:left="1440" w:hanging="720"/>
        <w:jc w:val="both"/>
        <w:rPr>
          <w:color w:val="000000"/>
          <w:sz w:val="22"/>
          <w:szCs w:val="22"/>
          <w:lang w:val="fr-CA"/>
        </w:rPr>
      </w:pPr>
    </w:p>
    <w:p w14:paraId="4538C951" w14:textId="77777777" w:rsidR="003119B2" w:rsidRPr="003119B2" w:rsidRDefault="003119B2" w:rsidP="003119B2">
      <w:pPr>
        <w:tabs>
          <w:tab w:val="left" w:pos="720"/>
        </w:tabs>
        <w:ind w:left="720"/>
        <w:jc w:val="both"/>
        <w:rPr>
          <w:color w:val="171717"/>
          <w:sz w:val="22"/>
          <w:szCs w:val="22"/>
          <w:lang w:val="fr-CA"/>
        </w:rPr>
      </w:pPr>
      <w:r w:rsidRPr="003119B2">
        <w:rPr>
          <w:color w:val="171717"/>
          <w:sz w:val="22"/>
          <w:szCs w:val="22"/>
          <w:lang w:val="fr-CA"/>
        </w:rPr>
        <w:t xml:space="preserve">Les deux plateformes ont été lancées le 21 juin 2021 dans le cadre de la semaine nationale de l'innovation du Pérou, organisée par le Conseil national de la science, de la technologie et de l'innovation du Pérou (CONCYTEC). Le lancement a enregistré la participation de 45 institutions du Pérou et d'autres pays. </w:t>
      </w:r>
    </w:p>
    <w:p w14:paraId="2E8FF7ED" w14:textId="77777777" w:rsidR="003119B2" w:rsidRPr="003119B2" w:rsidRDefault="003119B2" w:rsidP="003119B2">
      <w:pPr>
        <w:tabs>
          <w:tab w:val="left" w:pos="1440"/>
        </w:tabs>
        <w:jc w:val="both"/>
        <w:rPr>
          <w:color w:val="171717"/>
          <w:sz w:val="22"/>
          <w:szCs w:val="22"/>
          <w:lang w:val="fr-CA"/>
        </w:rPr>
      </w:pPr>
    </w:p>
    <w:p w14:paraId="64270E38" w14:textId="77777777" w:rsidR="003119B2" w:rsidRPr="003119B2" w:rsidRDefault="003119B2" w:rsidP="003119B2">
      <w:pPr>
        <w:pStyle w:val="ListParagraph"/>
        <w:keepNext/>
        <w:numPr>
          <w:ilvl w:val="0"/>
          <w:numId w:val="10"/>
        </w:numPr>
        <w:tabs>
          <w:tab w:val="left" w:pos="1440"/>
        </w:tabs>
        <w:ind w:hanging="720"/>
        <w:jc w:val="both"/>
        <w:rPr>
          <w:b/>
          <w:bCs/>
          <w:color w:val="171717"/>
          <w:sz w:val="22"/>
          <w:szCs w:val="22"/>
          <w:u w:val="single"/>
          <w:lang w:val="fr-CA"/>
        </w:rPr>
      </w:pPr>
      <w:r w:rsidRPr="003119B2">
        <w:rPr>
          <w:b/>
          <w:color w:val="171717"/>
          <w:sz w:val="22"/>
          <w:szCs w:val="22"/>
          <w:u w:val="single"/>
          <w:lang w:val="fr-CA"/>
        </w:rPr>
        <w:t xml:space="preserve">Échange de données d'expériences en matière de prospective technologique : Prospecta </w:t>
      </w:r>
      <w:proofErr w:type="spellStart"/>
      <w:r w:rsidRPr="003119B2">
        <w:rPr>
          <w:b/>
          <w:color w:val="171717"/>
          <w:sz w:val="22"/>
          <w:szCs w:val="22"/>
          <w:u w:val="single"/>
          <w:lang w:val="fr-CA"/>
        </w:rPr>
        <w:t>Americas</w:t>
      </w:r>
      <w:proofErr w:type="spellEnd"/>
      <w:r w:rsidRPr="003119B2">
        <w:rPr>
          <w:b/>
          <w:color w:val="171717"/>
          <w:sz w:val="22"/>
          <w:szCs w:val="22"/>
          <w:u w:val="single"/>
          <w:lang w:val="fr-CA"/>
        </w:rPr>
        <w:t xml:space="preserve"> et le réseau des centres d'excellence sur les technologies transformatrices pour les Amériques</w:t>
      </w:r>
    </w:p>
    <w:p w14:paraId="4959735A" w14:textId="77777777" w:rsidR="003119B2" w:rsidRPr="003119B2" w:rsidRDefault="003119B2" w:rsidP="003119B2">
      <w:pPr>
        <w:keepNext/>
        <w:tabs>
          <w:tab w:val="left" w:pos="540"/>
          <w:tab w:val="left" w:pos="1440"/>
        </w:tabs>
        <w:jc w:val="both"/>
        <w:rPr>
          <w:sz w:val="22"/>
          <w:szCs w:val="22"/>
          <w:lang w:val="fr-CA"/>
        </w:rPr>
      </w:pPr>
    </w:p>
    <w:p w14:paraId="07AB2AF3" w14:textId="77777777" w:rsidR="003119B2" w:rsidRPr="00281504" w:rsidRDefault="003119B2" w:rsidP="003119B2">
      <w:pPr>
        <w:pStyle w:val="ListParagraph"/>
        <w:numPr>
          <w:ilvl w:val="0"/>
          <w:numId w:val="14"/>
        </w:numPr>
        <w:tabs>
          <w:tab w:val="left" w:pos="540"/>
          <w:tab w:val="left" w:pos="1440"/>
        </w:tabs>
        <w:ind w:left="1440" w:hanging="720"/>
        <w:jc w:val="both"/>
        <w:rPr>
          <w:sz w:val="22"/>
          <w:szCs w:val="22"/>
          <w:u w:val="single"/>
        </w:rPr>
      </w:pPr>
      <w:proofErr w:type="spellStart"/>
      <w:r w:rsidRPr="00281504">
        <w:rPr>
          <w:sz w:val="22"/>
          <w:szCs w:val="22"/>
          <w:u w:val="single"/>
        </w:rPr>
        <w:t>Séminaires</w:t>
      </w:r>
      <w:proofErr w:type="spellEnd"/>
      <w:r w:rsidRPr="00281504">
        <w:rPr>
          <w:sz w:val="22"/>
          <w:szCs w:val="22"/>
          <w:u w:val="single"/>
        </w:rPr>
        <w:t xml:space="preserve"> </w:t>
      </w:r>
      <w:proofErr w:type="spellStart"/>
      <w:r w:rsidRPr="00281504">
        <w:rPr>
          <w:sz w:val="22"/>
          <w:szCs w:val="22"/>
          <w:u w:val="single"/>
        </w:rPr>
        <w:t>internationaux</w:t>
      </w:r>
      <w:proofErr w:type="spellEnd"/>
      <w:r w:rsidRPr="00281504">
        <w:rPr>
          <w:sz w:val="22"/>
          <w:szCs w:val="22"/>
          <w:u w:val="single"/>
        </w:rPr>
        <w:t xml:space="preserve"> </w:t>
      </w:r>
    </w:p>
    <w:p w14:paraId="4C9B6B4B" w14:textId="77777777" w:rsidR="003119B2" w:rsidRPr="00281504" w:rsidRDefault="003119B2" w:rsidP="003119B2">
      <w:pPr>
        <w:pStyle w:val="ListParagraph"/>
        <w:ind w:left="0"/>
        <w:jc w:val="both"/>
        <w:rPr>
          <w:sz w:val="22"/>
          <w:szCs w:val="22"/>
        </w:rPr>
      </w:pPr>
    </w:p>
    <w:p w14:paraId="016FECE0" w14:textId="77777777" w:rsidR="003119B2" w:rsidRPr="003119B2" w:rsidRDefault="003119B2" w:rsidP="003119B2">
      <w:pPr>
        <w:tabs>
          <w:tab w:val="left" w:pos="540"/>
          <w:tab w:val="left" w:pos="1440"/>
        </w:tabs>
        <w:ind w:left="720"/>
        <w:jc w:val="both"/>
        <w:rPr>
          <w:sz w:val="22"/>
          <w:szCs w:val="22"/>
          <w:lang w:val="fr-CA"/>
        </w:rPr>
      </w:pPr>
      <w:r w:rsidRPr="003119B2">
        <w:rPr>
          <w:sz w:val="22"/>
          <w:szCs w:val="22"/>
          <w:lang w:val="fr-CA"/>
        </w:rPr>
        <w:t xml:space="preserve">Les 24 et 25 octobre 2019, Lima (Pérou) a accueilli Prospecta </w:t>
      </w:r>
      <w:proofErr w:type="spellStart"/>
      <w:r w:rsidRPr="003119B2">
        <w:rPr>
          <w:sz w:val="22"/>
          <w:szCs w:val="22"/>
          <w:lang w:val="fr-CA"/>
        </w:rPr>
        <w:t>Americas</w:t>
      </w:r>
      <w:proofErr w:type="spellEnd"/>
      <w:r w:rsidRPr="003119B2">
        <w:rPr>
          <w:sz w:val="22"/>
          <w:szCs w:val="22"/>
          <w:lang w:val="fr-CA"/>
        </w:rPr>
        <w:t xml:space="preserve">, le premier séminaire international en matière de prospective technologique pour les Amériques. Le programme a enregistré l’inscription de 1 200 participants, qui ont assisté à l'événement en personne, et plus de 25 000 personnes se sont connectées via </w:t>
      </w:r>
      <w:proofErr w:type="spellStart"/>
      <w:r w:rsidRPr="003119B2">
        <w:rPr>
          <w:sz w:val="22"/>
          <w:szCs w:val="22"/>
          <w:lang w:val="fr-CA"/>
        </w:rPr>
        <w:t>webémissions</w:t>
      </w:r>
      <w:proofErr w:type="spellEnd"/>
      <w:r w:rsidRPr="003119B2">
        <w:rPr>
          <w:sz w:val="22"/>
          <w:szCs w:val="22"/>
          <w:lang w:val="fr-CA"/>
        </w:rPr>
        <w:t xml:space="preserve"> en direct. L'événement visait à renforcer l'appropriation sociale des connaissances dans les domaines de 10 technologies transformatrices, à savoir les mégadonnées, la robotique, la chaîne de blocs, la réalité virtuelle, l'intelligence artificielle, l'informatique quantique, l'édition de gènes, le génie biomédical, la fabrication additive 3D et 4D, et les nouveaux matériaux </w:t>
      </w:r>
      <w:proofErr w:type="spellStart"/>
      <w:r w:rsidRPr="003119B2">
        <w:rPr>
          <w:sz w:val="22"/>
          <w:szCs w:val="22"/>
          <w:lang w:val="fr-CA"/>
        </w:rPr>
        <w:t>nanostructurés</w:t>
      </w:r>
      <w:proofErr w:type="spellEnd"/>
      <w:r w:rsidRPr="003119B2">
        <w:rPr>
          <w:sz w:val="22"/>
          <w:szCs w:val="22"/>
          <w:lang w:val="fr-CA"/>
        </w:rPr>
        <w:t>, ainsi qu’à évaluer les possibilités qu’offrent ces technologies sur le plan social et économique dans les Amériques.</w:t>
      </w:r>
    </w:p>
    <w:p w14:paraId="3DDEEB92" w14:textId="77777777" w:rsidR="003119B2" w:rsidRPr="003119B2" w:rsidRDefault="003119B2" w:rsidP="003119B2">
      <w:pPr>
        <w:tabs>
          <w:tab w:val="left" w:pos="540"/>
          <w:tab w:val="left" w:pos="1440"/>
        </w:tabs>
        <w:ind w:left="720"/>
        <w:jc w:val="both"/>
        <w:rPr>
          <w:sz w:val="22"/>
          <w:szCs w:val="22"/>
          <w:lang w:val="fr-CA"/>
        </w:rPr>
      </w:pPr>
    </w:p>
    <w:p w14:paraId="2C002199" w14:textId="77777777" w:rsidR="003119B2" w:rsidRPr="003119B2" w:rsidRDefault="003119B2" w:rsidP="003119B2">
      <w:pPr>
        <w:tabs>
          <w:tab w:val="left" w:pos="540"/>
          <w:tab w:val="left" w:pos="1440"/>
        </w:tabs>
        <w:ind w:left="720"/>
        <w:jc w:val="both"/>
        <w:rPr>
          <w:sz w:val="22"/>
          <w:szCs w:val="22"/>
          <w:lang w:val="fr-CA"/>
        </w:rPr>
      </w:pPr>
      <w:r w:rsidRPr="003119B2">
        <w:rPr>
          <w:sz w:val="22"/>
          <w:szCs w:val="22"/>
          <w:lang w:val="fr-CA"/>
        </w:rPr>
        <w:t xml:space="preserve">À la suite du Séminaire, l'État d'Hidalgo (Mexique), avec le soutien de la Mission permanente du Mexique près l'OEA, a proposé d'accueillir la deuxième édition du séminaire à Pachuca (initialement prévue les 23 et 24 septembre 2020). Cependant, en raison de la pandémie de COVID-19, le gouvernement d'Hidalgo, le Secrétariat aux relations extérieures du Mexique, le CONACYT et la Mission permanente du Mexique, soutenus par le secrétariat technique, ont réalisé une édition virtuelle de Prospecta </w:t>
      </w:r>
      <w:proofErr w:type="spellStart"/>
      <w:r w:rsidRPr="003119B2">
        <w:rPr>
          <w:sz w:val="22"/>
          <w:szCs w:val="22"/>
          <w:lang w:val="fr-CA"/>
        </w:rPr>
        <w:t>Americas</w:t>
      </w:r>
      <w:proofErr w:type="spellEnd"/>
      <w:r w:rsidRPr="003119B2">
        <w:rPr>
          <w:sz w:val="22"/>
          <w:szCs w:val="22"/>
          <w:lang w:val="fr-CA"/>
        </w:rPr>
        <w:t xml:space="preserve"> en novembre 2020 sur le thème de la </w:t>
      </w:r>
      <w:r w:rsidRPr="003119B2">
        <w:rPr>
          <w:b/>
          <w:bCs/>
          <w:iCs/>
          <w:sz w:val="22"/>
          <w:szCs w:val="22"/>
          <w:lang w:val="fr-CA"/>
        </w:rPr>
        <w:t>Prospective technologique dans les Amériques :  Les défis d'une nouvelle réalité,</w:t>
      </w:r>
      <w:r w:rsidRPr="003119B2">
        <w:rPr>
          <w:sz w:val="22"/>
          <w:szCs w:val="22"/>
          <w:lang w:val="fr-CA"/>
        </w:rPr>
        <w:t xml:space="preserve"> ainsi que deux sessions stratégiques sur la chaîne de blocs et l'intelligence artificielle, les 27 et 28 octobre 2021. Les deux événements ont enregistré plus de 5 000 consultations dans l’ensemble de la région.</w:t>
      </w:r>
    </w:p>
    <w:p w14:paraId="1C15BC8E" w14:textId="77777777" w:rsidR="003119B2" w:rsidRPr="003119B2" w:rsidRDefault="003119B2" w:rsidP="003119B2">
      <w:pPr>
        <w:tabs>
          <w:tab w:val="left" w:pos="540"/>
          <w:tab w:val="left" w:pos="1440"/>
        </w:tabs>
        <w:ind w:left="720"/>
        <w:jc w:val="both"/>
        <w:rPr>
          <w:sz w:val="22"/>
          <w:szCs w:val="22"/>
          <w:lang w:val="fr-CA"/>
        </w:rPr>
      </w:pPr>
    </w:p>
    <w:p w14:paraId="08EF627D" w14:textId="77777777" w:rsidR="003119B2" w:rsidRPr="003119B2" w:rsidRDefault="003119B2" w:rsidP="003119B2">
      <w:pPr>
        <w:pStyle w:val="ListParagraph"/>
        <w:jc w:val="both"/>
        <w:rPr>
          <w:color w:val="000000"/>
          <w:sz w:val="22"/>
          <w:szCs w:val="22"/>
          <w:lang w:val="fr-CA"/>
        </w:rPr>
      </w:pPr>
      <w:r w:rsidRPr="003119B2">
        <w:rPr>
          <w:color w:val="000000"/>
          <w:sz w:val="22"/>
          <w:szCs w:val="22"/>
          <w:lang w:val="fr-CA"/>
        </w:rPr>
        <w:t xml:space="preserve">En outre, dans le cadre de l'initiative Prospecta </w:t>
      </w:r>
      <w:proofErr w:type="spellStart"/>
      <w:r w:rsidRPr="003119B2">
        <w:rPr>
          <w:color w:val="000000"/>
          <w:sz w:val="22"/>
          <w:szCs w:val="22"/>
          <w:lang w:val="fr-CA"/>
        </w:rPr>
        <w:t>Americas</w:t>
      </w:r>
      <w:proofErr w:type="spellEnd"/>
      <w:r w:rsidRPr="003119B2">
        <w:rPr>
          <w:color w:val="000000"/>
          <w:sz w:val="22"/>
          <w:szCs w:val="22"/>
          <w:lang w:val="fr-CA"/>
        </w:rPr>
        <w:t>, deux (2) études régionales de prospective technologique ont été lancées, en collaboration avec le Ministère colombien de la science, de la technologie et de l’innovation (</w:t>
      </w:r>
      <w:proofErr w:type="spellStart"/>
      <w:r w:rsidRPr="003119B2">
        <w:rPr>
          <w:color w:val="000000"/>
          <w:sz w:val="22"/>
          <w:szCs w:val="22"/>
          <w:lang w:val="fr-CA"/>
        </w:rPr>
        <w:t>Minciencias</w:t>
      </w:r>
      <w:proofErr w:type="spellEnd"/>
      <w:r w:rsidRPr="003119B2">
        <w:rPr>
          <w:color w:val="000000"/>
          <w:sz w:val="22"/>
          <w:szCs w:val="22"/>
          <w:lang w:val="fr-CA"/>
        </w:rPr>
        <w:t xml:space="preserve">), dont l'une porte sur l'avenir du travail en Amérique latine, dirigée par le centre de réflexion stratégique et de prospective de </w:t>
      </w:r>
      <w:proofErr w:type="spellStart"/>
      <w:r w:rsidRPr="003119B2">
        <w:rPr>
          <w:color w:val="000000"/>
          <w:sz w:val="22"/>
          <w:szCs w:val="22"/>
          <w:lang w:val="fr-CA"/>
        </w:rPr>
        <w:t>Universidad</w:t>
      </w:r>
      <w:proofErr w:type="spellEnd"/>
      <w:r w:rsidRPr="003119B2">
        <w:rPr>
          <w:color w:val="000000"/>
          <w:sz w:val="22"/>
          <w:szCs w:val="22"/>
          <w:lang w:val="fr-CA"/>
        </w:rPr>
        <w:t xml:space="preserve"> </w:t>
      </w:r>
      <w:proofErr w:type="spellStart"/>
      <w:r w:rsidRPr="003119B2">
        <w:rPr>
          <w:color w:val="000000"/>
          <w:sz w:val="22"/>
          <w:szCs w:val="22"/>
          <w:lang w:val="fr-CA"/>
        </w:rPr>
        <w:t>Externado</w:t>
      </w:r>
      <w:proofErr w:type="spellEnd"/>
      <w:r w:rsidRPr="003119B2">
        <w:rPr>
          <w:color w:val="000000"/>
          <w:sz w:val="22"/>
          <w:szCs w:val="22"/>
          <w:lang w:val="fr-CA"/>
        </w:rPr>
        <w:t xml:space="preserve"> de Colombia, et l'autre, sur la prospective dans le secteur agroalimentaire en Amérique latine et dans les Caraïbes, dirigée par le réseau ouvert de prospective et l'innovation du Programme ibéro-américain sur la science et la technologie pour le développement (CYTED).</w:t>
      </w:r>
    </w:p>
    <w:p w14:paraId="62A21326" w14:textId="77777777" w:rsidR="003119B2" w:rsidRPr="003119B2" w:rsidRDefault="003119B2" w:rsidP="003119B2">
      <w:pPr>
        <w:pStyle w:val="ListParagraph"/>
        <w:rPr>
          <w:color w:val="000000"/>
          <w:sz w:val="22"/>
          <w:szCs w:val="22"/>
          <w:lang w:val="fr-CA"/>
        </w:rPr>
      </w:pPr>
    </w:p>
    <w:p w14:paraId="7EC58C6A" w14:textId="77777777" w:rsidR="003119B2" w:rsidRPr="003119B2" w:rsidRDefault="003119B2" w:rsidP="003119B2">
      <w:pPr>
        <w:pStyle w:val="ListParagraph"/>
        <w:jc w:val="both"/>
        <w:rPr>
          <w:color w:val="000000"/>
          <w:sz w:val="22"/>
          <w:szCs w:val="22"/>
          <w:lang w:val="fr-CA"/>
        </w:rPr>
      </w:pPr>
      <w:r w:rsidRPr="003119B2">
        <w:rPr>
          <w:color w:val="000000"/>
          <w:sz w:val="22"/>
          <w:szCs w:val="22"/>
          <w:lang w:val="fr-CA"/>
        </w:rPr>
        <w:t xml:space="preserve">Il convient également de mentionner que dans le cadre de Prospecta </w:t>
      </w:r>
      <w:proofErr w:type="spellStart"/>
      <w:r w:rsidRPr="003119B2">
        <w:rPr>
          <w:color w:val="000000"/>
          <w:sz w:val="22"/>
          <w:szCs w:val="22"/>
          <w:lang w:val="fr-CA"/>
        </w:rPr>
        <w:t>Americas</w:t>
      </w:r>
      <w:proofErr w:type="spellEnd"/>
      <w:r w:rsidRPr="003119B2">
        <w:rPr>
          <w:color w:val="000000"/>
          <w:sz w:val="22"/>
          <w:szCs w:val="22"/>
          <w:lang w:val="fr-CA"/>
        </w:rPr>
        <w:t>, deux (2) webinaires sur les neurosciences et la technologie ont été organisés en collaboration avec CONCYTEC et l'Université scientifique du Sud (Pérou), en octobre 2020, afin de discuter des avancées rapides, des évolutions à venir ainsi que de l'impact des neurosciences dans les Amériques.</w:t>
      </w:r>
    </w:p>
    <w:p w14:paraId="7BA8C91F" w14:textId="77777777" w:rsidR="003119B2" w:rsidRPr="003119B2" w:rsidRDefault="003119B2" w:rsidP="003119B2">
      <w:pPr>
        <w:tabs>
          <w:tab w:val="left" w:pos="540"/>
          <w:tab w:val="left" w:pos="1440"/>
        </w:tabs>
        <w:jc w:val="both"/>
        <w:rPr>
          <w:sz w:val="22"/>
          <w:szCs w:val="22"/>
          <w:lang w:val="fr-CA"/>
        </w:rPr>
      </w:pPr>
    </w:p>
    <w:p w14:paraId="1538ABF7" w14:textId="77777777" w:rsidR="003119B2" w:rsidRPr="00281504" w:rsidRDefault="003119B2" w:rsidP="003119B2">
      <w:pPr>
        <w:pStyle w:val="ListParagraph"/>
        <w:numPr>
          <w:ilvl w:val="0"/>
          <w:numId w:val="14"/>
        </w:numPr>
        <w:tabs>
          <w:tab w:val="left" w:pos="540"/>
          <w:tab w:val="left" w:pos="1440"/>
        </w:tabs>
        <w:ind w:left="1440" w:hanging="720"/>
        <w:jc w:val="both"/>
        <w:rPr>
          <w:sz w:val="22"/>
          <w:szCs w:val="22"/>
          <w:u w:val="single"/>
        </w:rPr>
      </w:pPr>
      <w:r w:rsidRPr="00281504">
        <w:rPr>
          <w:sz w:val="22"/>
          <w:szCs w:val="22"/>
          <w:u w:val="single"/>
        </w:rPr>
        <w:t xml:space="preserve">Centres </w:t>
      </w:r>
      <w:proofErr w:type="spellStart"/>
      <w:r w:rsidRPr="00281504">
        <w:rPr>
          <w:sz w:val="22"/>
          <w:szCs w:val="22"/>
          <w:u w:val="single"/>
        </w:rPr>
        <w:t>d'excellence</w:t>
      </w:r>
      <w:proofErr w:type="spellEnd"/>
      <w:r w:rsidRPr="00281504">
        <w:rPr>
          <w:sz w:val="22"/>
          <w:szCs w:val="22"/>
          <w:u w:val="single"/>
        </w:rPr>
        <w:t xml:space="preserve"> </w:t>
      </w:r>
    </w:p>
    <w:p w14:paraId="3A29E664" w14:textId="77777777" w:rsidR="003119B2" w:rsidRPr="00281504" w:rsidRDefault="003119B2" w:rsidP="003119B2">
      <w:pPr>
        <w:tabs>
          <w:tab w:val="left" w:pos="540"/>
          <w:tab w:val="left" w:pos="1440"/>
        </w:tabs>
        <w:ind w:left="720"/>
        <w:jc w:val="both"/>
        <w:rPr>
          <w:sz w:val="22"/>
          <w:szCs w:val="22"/>
        </w:rPr>
      </w:pPr>
    </w:p>
    <w:p w14:paraId="747864FD" w14:textId="77777777" w:rsidR="003119B2" w:rsidRPr="003119B2" w:rsidRDefault="003119B2" w:rsidP="003119B2">
      <w:pPr>
        <w:tabs>
          <w:tab w:val="left" w:pos="540"/>
          <w:tab w:val="left" w:pos="1440"/>
        </w:tabs>
        <w:ind w:left="720"/>
        <w:jc w:val="both"/>
        <w:rPr>
          <w:sz w:val="22"/>
          <w:szCs w:val="22"/>
          <w:lang w:val="fr-CA"/>
        </w:rPr>
      </w:pPr>
      <w:r w:rsidRPr="003119B2">
        <w:rPr>
          <w:sz w:val="22"/>
          <w:szCs w:val="22"/>
          <w:lang w:val="fr-CA"/>
        </w:rPr>
        <w:t xml:space="preserve">En outre, dans le cadre de Prospecta Amériques, une proposition visant à lancer des centres d'excellence de Prospecta </w:t>
      </w:r>
      <w:proofErr w:type="spellStart"/>
      <w:r w:rsidRPr="003119B2">
        <w:rPr>
          <w:sz w:val="22"/>
          <w:szCs w:val="22"/>
          <w:lang w:val="fr-CA"/>
        </w:rPr>
        <w:t>Americas</w:t>
      </w:r>
      <w:proofErr w:type="spellEnd"/>
      <w:r w:rsidRPr="003119B2">
        <w:rPr>
          <w:sz w:val="22"/>
          <w:szCs w:val="22"/>
          <w:lang w:val="fr-CA"/>
        </w:rPr>
        <w:t xml:space="preserve"> (un centre pour chacune des 10 technologies transformatrices) a été formulée. Les centres s’appuieront sur les infrastructures de R&amp;D existantes dans les États membres de l'OEA (par exemple, les universités) ainsi que sur les priorités nationales des pays qui proposent de les accueillir. L'objectif de ce réseau de centres d'excellence sera de renforcer les capacités, de fournir une assistance technique, et de diriger des projets de recherche et des études prospectives sur les effets que ces technologies auront dans la région, y compris sur le marché du travail. Il est prévu que les deux premiers centres d'excellence soient lancés le 7 décembre 2021, dans le cadre de la réunion des ministres. Il s’agit d’un centre </w:t>
      </w:r>
      <w:r w:rsidRPr="003119B2">
        <w:rPr>
          <w:sz w:val="22"/>
          <w:szCs w:val="22"/>
          <w:lang w:val="fr-CA"/>
        </w:rPr>
        <w:lastRenderedPageBreak/>
        <w:t>sur la chaîne de blocs dans l’État d’Hidalgo (Mexique) et d’un centre sur la robotique et l'intelligence artificielle à Barranquilla (Colombie).</w:t>
      </w:r>
    </w:p>
    <w:p w14:paraId="49C735DF" w14:textId="77777777" w:rsidR="003119B2" w:rsidRPr="003119B2" w:rsidRDefault="003119B2" w:rsidP="003119B2">
      <w:pPr>
        <w:tabs>
          <w:tab w:val="left" w:pos="1440"/>
        </w:tabs>
        <w:jc w:val="both"/>
        <w:rPr>
          <w:color w:val="171717"/>
          <w:sz w:val="22"/>
          <w:szCs w:val="22"/>
          <w:lang w:val="fr-CA"/>
        </w:rPr>
      </w:pPr>
    </w:p>
    <w:p w14:paraId="7A6A7E81" w14:textId="77777777" w:rsidR="003119B2" w:rsidRPr="003119B2" w:rsidRDefault="003119B2" w:rsidP="003119B2">
      <w:pPr>
        <w:pStyle w:val="ListParagraph"/>
        <w:numPr>
          <w:ilvl w:val="0"/>
          <w:numId w:val="10"/>
        </w:numPr>
        <w:tabs>
          <w:tab w:val="left" w:pos="1440"/>
        </w:tabs>
        <w:ind w:hanging="720"/>
        <w:jc w:val="both"/>
        <w:rPr>
          <w:b/>
          <w:bCs/>
          <w:color w:val="171717"/>
          <w:sz w:val="22"/>
          <w:szCs w:val="22"/>
          <w:u w:val="single"/>
          <w:lang w:val="fr-CA"/>
        </w:rPr>
      </w:pPr>
      <w:r w:rsidRPr="003119B2">
        <w:rPr>
          <w:b/>
          <w:color w:val="171717"/>
          <w:sz w:val="22"/>
          <w:szCs w:val="22"/>
          <w:u w:val="single"/>
          <w:lang w:val="fr-CA"/>
        </w:rPr>
        <w:t>Thème transversal : L'inclusion des femmes et des filles, et d'autres populations en situation de vulnérabilité, dans les domaines de la science, de la technologie et de l'innovation</w:t>
      </w:r>
    </w:p>
    <w:p w14:paraId="62841A8A" w14:textId="77777777" w:rsidR="003119B2" w:rsidRPr="003119B2" w:rsidRDefault="003119B2" w:rsidP="003119B2">
      <w:pPr>
        <w:tabs>
          <w:tab w:val="left" w:pos="1440"/>
        </w:tabs>
        <w:ind w:left="720"/>
        <w:jc w:val="both"/>
        <w:rPr>
          <w:sz w:val="22"/>
          <w:szCs w:val="22"/>
          <w:lang w:val="fr-CA"/>
        </w:rPr>
      </w:pPr>
    </w:p>
    <w:p w14:paraId="00FB0DC2" w14:textId="77777777" w:rsidR="003119B2" w:rsidRPr="003119B2" w:rsidRDefault="003119B2" w:rsidP="003119B2">
      <w:pPr>
        <w:tabs>
          <w:tab w:val="left" w:pos="1440"/>
        </w:tabs>
        <w:ind w:firstLine="720"/>
        <w:jc w:val="both"/>
        <w:rPr>
          <w:sz w:val="22"/>
          <w:szCs w:val="22"/>
          <w:lang w:val="fr-CA"/>
        </w:rPr>
      </w:pPr>
      <w:r w:rsidRPr="003119B2">
        <w:rPr>
          <w:sz w:val="22"/>
          <w:szCs w:val="22"/>
          <w:lang w:val="fr-CA"/>
        </w:rPr>
        <w:t xml:space="preserve">L'un des thèmes de collaboration transversaux dans le cadre de la COMCYT a été l'inclusion et l'égalité des chances en matière de science, de technologie et d'innovation. En tant que tel, un grand nombre d'activités a été prévu pour soutenir cet effort, y compris, mais sans s'y limiter, les suivantes : </w:t>
      </w:r>
    </w:p>
    <w:p w14:paraId="3A4B74FD" w14:textId="77777777" w:rsidR="003119B2" w:rsidRPr="003119B2" w:rsidRDefault="003119B2" w:rsidP="003119B2">
      <w:pPr>
        <w:tabs>
          <w:tab w:val="left" w:pos="1440"/>
        </w:tabs>
        <w:ind w:left="720"/>
        <w:jc w:val="both"/>
        <w:rPr>
          <w:sz w:val="22"/>
          <w:szCs w:val="22"/>
          <w:lang w:val="fr-CA"/>
        </w:rPr>
      </w:pPr>
    </w:p>
    <w:p w14:paraId="7BD3D983" w14:textId="77777777" w:rsidR="003119B2" w:rsidRPr="003119B2" w:rsidRDefault="003119B2" w:rsidP="003119B2">
      <w:pPr>
        <w:pStyle w:val="ListParagraph"/>
        <w:numPr>
          <w:ilvl w:val="0"/>
          <w:numId w:val="8"/>
        </w:numPr>
        <w:ind w:left="1080"/>
        <w:contextualSpacing/>
        <w:jc w:val="both"/>
        <w:rPr>
          <w:sz w:val="22"/>
          <w:szCs w:val="22"/>
          <w:lang w:val="fr-CA"/>
        </w:rPr>
      </w:pPr>
      <w:r w:rsidRPr="003119B2">
        <w:rPr>
          <w:sz w:val="22"/>
          <w:szCs w:val="22"/>
          <w:lang w:val="fr-CA"/>
        </w:rPr>
        <w:t>En mai 2018, COLCIENCIAS Colombie (devenu à présent MINCIENCIAS), a organisé un atelier sur le thème « </w:t>
      </w:r>
      <w:r w:rsidRPr="003119B2">
        <w:rPr>
          <w:b/>
          <w:bCs/>
          <w:iCs/>
          <w:sz w:val="22"/>
          <w:szCs w:val="22"/>
          <w:lang w:val="fr-CA"/>
        </w:rPr>
        <w:t>Vers la promotion de la participation des femmes à la recherche scientifique en Amérique latine »,</w:t>
      </w:r>
      <w:r w:rsidRPr="003119B2">
        <w:rPr>
          <w:sz w:val="22"/>
          <w:szCs w:val="22"/>
          <w:lang w:val="fr-CA"/>
        </w:rPr>
        <w:t xml:space="preserve"> à Bogota, en collaboration avec l'Observatoire colombien de la science et de la technologie (OCYT) et le Centre de recherches pour le développement international du Canada (CRDI), afin de mettre en place  un espace de partage de connaissances et d'expériences, de concertation et d'apprentissage, sur la participation des femmes à la recherche scientifique en Amérique latine.</w:t>
      </w:r>
    </w:p>
    <w:p w14:paraId="094C6676" w14:textId="77777777" w:rsidR="003119B2" w:rsidRPr="003119B2" w:rsidRDefault="003119B2" w:rsidP="003119B2">
      <w:pPr>
        <w:pStyle w:val="ListParagraph"/>
        <w:tabs>
          <w:tab w:val="left" w:pos="540"/>
        </w:tabs>
        <w:contextualSpacing/>
        <w:jc w:val="both"/>
        <w:rPr>
          <w:sz w:val="22"/>
          <w:szCs w:val="22"/>
          <w:lang w:val="fr-CA"/>
        </w:rPr>
      </w:pPr>
    </w:p>
    <w:p w14:paraId="530377AF" w14:textId="77777777" w:rsidR="003119B2" w:rsidRPr="003119B2" w:rsidRDefault="003119B2" w:rsidP="003119B2">
      <w:pPr>
        <w:pStyle w:val="ListParagraph"/>
        <w:numPr>
          <w:ilvl w:val="0"/>
          <w:numId w:val="8"/>
        </w:numPr>
        <w:ind w:left="1080"/>
        <w:contextualSpacing/>
        <w:jc w:val="both"/>
        <w:rPr>
          <w:sz w:val="22"/>
          <w:szCs w:val="22"/>
          <w:lang w:val="fr-CA"/>
        </w:rPr>
      </w:pPr>
      <w:r w:rsidRPr="003119B2">
        <w:rPr>
          <w:sz w:val="22"/>
          <w:szCs w:val="22"/>
          <w:lang w:val="fr-CA"/>
        </w:rPr>
        <w:t xml:space="preserve">Le 19 septembre 2019, le secrétariat technique de la COMCYT a également organisé une vidéoconférence sur la question de l'équité et de la parité hommes-femmes en matière de STEM à l’intention des membres et partenaires stratégiques de la COMCYT, au cours de laquelle 21 intervenants de 12 pays ont partagé leurs expériences et bonnes pratiques en matière d'inclusion et d'égalité. </w:t>
      </w:r>
    </w:p>
    <w:p w14:paraId="471364F7" w14:textId="77777777" w:rsidR="003119B2" w:rsidRPr="003119B2" w:rsidRDefault="003119B2" w:rsidP="003119B2">
      <w:pPr>
        <w:pStyle w:val="ListParagraph"/>
        <w:rPr>
          <w:sz w:val="22"/>
          <w:szCs w:val="22"/>
          <w:lang w:val="fr-CA"/>
        </w:rPr>
      </w:pPr>
    </w:p>
    <w:p w14:paraId="4E154341" w14:textId="77777777" w:rsidR="003119B2" w:rsidRPr="003119B2" w:rsidRDefault="003119B2" w:rsidP="003119B2">
      <w:pPr>
        <w:pStyle w:val="ListParagraph"/>
        <w:numPr>
          <w:ilvl w:val="0"/>
          <w:numId w:val="8"/>
        </w:numPr>
        <w:ind w:left="1080"/>
        <w:contextualSpacing/>
        <w:jc w:val="both"/>
        <w:rPr>
          <w:sz w:val="22"/>
          <w:szCs w:val="22"/>
          <w:lang w:val="fr-CA"/>
        </w:rPr>
      </w:pPr>
      <w:r w:rsidRPr="003119B2">
        <w:rPr>
          <w:sz w:val="22"/>
          <w:szCs w:val="22"/>
          <w:lang w:val="fr-CA"/>
        </w:rPr>
        <w:t>Lors de la Neuvième Réunion de la COMCYT, qui s'est tenue à Washington, D.C., un groupe de discussion a été organisé sur le thème « </w:t>
      </w:r>
      <w:r w:rsidRPr="003119B2">
        <w:rPr>
          <w:b/>
          <w:bCs/>
          <w:iCs/>
          <w:sz w:val="22"/>
          <w:szCs w:val="22"/>
          <w:lang w:val="fr-CA"/>
        </w:rPr>
        <w:t xml:space="preserve">L'innovation inclusive : Expériences régionales et projets de collaboration ayant un impact social dans le domaine de la science et de la technologie », </w:t>
      </w:r>
      <w:r w:rsidRPr="003119B2">
        <w:rPr>
          <w:sz w:val="22"/>
          <w:szCs w:val="22"/>
          <w:lang w:val="fr-CA"/>
        </w:rPr>
        <w:t xml:space="preserve">avec la participation d’Anima, un projet de baccalauréat technologique de l'Uruguay, et de l’initiative Implication des communautés autochtones (ICA) de MITACS (Canada).  En outre, une table ronde sur le thème des technologies transformatrices et le rôle des femmes dans l'industrie 4.0 a également eu lieu, au cours de laquelle des représentants de l'université de Georgetown (États-Unis) et du Conseil mondial des doyens des sciences de l’ingénieur (GEDC - Global Engineering </w:t>
      </w:r>
      <w:proofErr w:type="spellStart"/>
      <w:r w:rsidRPr="003119B2">
        <w:rPr>
          <w:sz w:val="22"/>
          <w:szCs w:val="22"/>
          <w:lang w:val="fr-CA"/>
        </w:rPr>
        <w:t>Dean’s</w:t>
      </w:r>
      <w:proofErr w:type="spellEnd"/>
      <w:r w:rsidRPr="003119B2">
        <w:rPr>
          <w:sz w:val="22"/>
          <w:szCs w:val="22"/>
          <w:lang w:val="fr-CA"/>
        </w:rPr>
        <w:t xml:space="preserve"> Council) ont présenté des exposés.</w:t>
      </w:r>
    </w:p>
    <w:p w14:paraId="20C1E131" w14:textId="77777777" w:rsidR="003119B2" w:rsidRPr="003119B2" w:rsidRDefault="003119B2" w:rsidP="003119B2">
      <w:pPr>
        <w:tabs>
          <w:tab w:val="left" w:pos="1440"/>
        </w:tabs>
        <w:jc w:val="both"/>
        <w:rPr>
          <w:sz w:val="22"/>
          <w:szCs w:val="22"/>
          <w:lang w:val="fr-CA"/>
        </w:rPr>
      </w:pPr>
    </w:p>
    <w:p w14:paraId="48E8E0B4" w14:textId="77777777" w:rsidR="003119B2" w:rsidRPr="003119B2" w:rsidRDefault="003119B2" w:rsidP="003119B2">
      <w:pPr>
        <w:pStyle w:val="ListParagraph"/>
        <w:numPr>
          <w:ilvl w:val="0"/>
          <w:numId w:val="8"/>
        </w:numPr>
        <w:ind w:left="1080"/>
        <w:contextualSpacing/>
        <w:jc w:val="both"/>
        <w:rPr>
          <w:sz w:val="22"/>
          <w:szCs w:val="22"/>
          <w:lang w:val="fr-CA"/>
        </w:rPr>
      </w:pPr>
      <w:r w:rsidRPr="003119B2">
        <w:rPr>
          <w:sz w:val="22"/>
          <w:szCs w:val="22"/>
          <w:lang w:val="fr-CA"/>
        </w:rPr>
        <w:t>Une autre initiative récente en matière de parité hommes-femmes dans le domaine des STEM concerne le lancement de la chaire régionale Matilda sur les femmes dans le domaine de l'ingénierie dans les Amériques, qui vise à reconnaître et à mettre en valeur les contributions sociales, scientifiques et intellectuelles des femmes en matière de STEM. La Chaire compte actuellement 102 membres issus de 46 institutions de 8 pays de la région. En 2020, le secrétariat technique de la COMCYT a contribué à la publication « </w:t>
      </w:r>
      <w:r w:rsidRPr="003119B2">
        <w:rPr>
          <w:b/>
          <w:bCs/>
          <w:sz w:val="22"/>
          <w:szCs w:val="22"/>
          <w:lang w:val="fr-CA"/>
        </w:rPr>
        <w:t xml:space="preserve">Matilda et les femmes dans le domaine de l'ingénierie en Amérique latine » </w:t>
      </w:r>
      <w:r w:rsidRPr="003119B2">
        <w:rPr>
          <w:sz w:val="22"/>
          <w:szCs w:val="22"/>
          <w:lang w:val="fr-CA"/>
        </w:rPr>
        <w:t>(deuxième édition), laquelle présente les histoires de 44 femmes issues de 10 pays d'Amérique latine qui ont décidé de poursuivre des carrières dans les STEM. La publication a été lancée virtuellement le 6 juin 2020 et a enregistré la connexion de plus de 5 300 participants.</w:t>
      </w:r>
    </w:p>
    <w:p w14:paraId="2901334E" w14:textId="77777777" w:rsidR="003119B2" w:rsidRPr="003119B2" w:rsidRDefault="003119B2" w:rsidP="003119B2">
      <w:pPr>
        <w:tabs>
          <w:tab w:val="left" w:pos="1440"/>
        </w:tabs>
        <w:jc w:val="both"/>
        <w:rPr>
          <w:sz w:val="22"/>
          <w:szCs w:val="22"/>
          <w:lang w:val="fr-CA"/>
        </w:rPr>
      </w:pPr>
    </w:p>
    <w:p w14:paraId="2E1A0FFA" w14:textId="77777777" w:rsidR="003119B2" w:rsidRPr="00281504" w:rsidRDefault="003119B2" w:rsidP="003119B2">
      <w:pPr>
        <w:pStyle w:val="ListParagraph"/>
        <w:numPr>
          <w:ilvl w:val="0"/>
          <w:numId w:val="10"/>
        </w:numPr>
        <w:tabs>
          <w:tab w:val="left" w:pos="1440"/>
        </w:tabs>
        <w:ind w:hanging="720"/>
        <w:jc w:val="both"/>
        <w:rPr>
          <w:b/>
          <w:bCs/>
          <w:sz w:val="22"/>
          <w:szCs w:val="22"/>
          <w:u w:val="single"/>
        </w:rPr>
      </w:pPr>
      <w:proofErr w:type="spellStart"/>
      <w:r w:rsidRPr="00281504">
        <w:rPr>
          <w:b/>
          <w:sz w:val="22"/>
          <w:szCs w:val="22"/>
          <w:u w:val="single"/>
        </w:rPr>
        <w:t>Sensibilisation</w:t>
      </w:r>
      <w:proofErr w:type="spellEnd"/>
    </w:p>
    <w:p w14:paraId="38E3BF17" w14:textId="77777777" w:rsidR="003119B2" w:rsidRPr="00281504" w:rsidRDefault="003119B2" w:rsidP="003119B2">
      <w:pPr>
        <w:tabs>
          <w:tab w:val="left" w:pos="540"/>
        </w:tabs>
        <w:contextualSpacing/>
        <w:jc w:val="both"/>
        <w:rPr>
          <w:sz w:val="22"/>
          <w:szCs w:val="22"/>
        </w:rPr>
      </w:pPr>
    </w:p>
    <w:p w14:paraId="1426A3F5" w14:textId="77777777" w:rsidR="003119B2" w:rsidRPr="003119B2" w:rsidRDefault="003119B2" w:rsidP="003119B2">
      <w:pPr>
        <w:pStyle w:val="ListParagraph"/>
        <w:tabs>
          <w:tab w:val="left" w:pos="720"/>
        </w:tabs>
        <w:ind w:left="630"/>
        <w:contextualSpacing/>
        <w:jc w:val="both"/>
        <w:rPr>
          <w:sz w:val="22"/>
          <w:szCs w:val="22"/>
          <w:lang w:val="fr-CA"/>
        </w:rPr>
      </w:pPr>
      <w:r w:rsidRPr="003119B2">
        <w:rPr>
          <w:sz w:val="22"/>
          <w:szCs w:val="22"/>
          <w:lang w:val="fr-CA"/>
        </w:rPr>
        <w:t>Enfin, le secrétariat technique a le plaisir d'annoncer l'intégration de nouveaux partenaires stratégiques dans les groupes de travail de la COMCYT :</w:t>
      </w:r>
    </w:p>
    <w:p w14:paraId="296CB63D" w14:textId="77777777" w:rsidR="003119B2" w:rsidRPr="003119B2" w:rsidRDefault="003119B2" w:rsidP="003119B2">
      <w:pPr>
        <w:pStyle w:val="ListParagraph"/>
        <w:tabs>
          <w:tab w:val="left" w:pos="720"/>
        </w:tabs>
        <w:ind w:left="810" w:hanging="180"/>
        <w:contextualSpacing/>
        <w:jc w:val="both"/>
        <w:rPr>
          <w:sz w:val="22"/>
          <w:szCs w:val="22"/>
          <w:lang w:val="fr-CA"/>
        </w:rPr>
      </w:pPr>
    </w:p>
    <w:p w14:paraId="4A97F988" w14:textId="77777777" w:rsidR="003119B2" w:rsidRPr="003119B2" w:rsidRDefault="003119B2" w:rsidP="003119B2">
      <w:pPr>
        <w:pStyle w:val="ListParagraph"/>
        <w:ind w:left="1440" w:hanging="720"/>
        <w:contextualSpacing/>
        <w:jc w:val="both"/>
        <w:rPr>
          <w:sz w:val="22"/>
          <w:szCs w:val="22"/>
          <w:lang w:val="fr-CA"/>
        </w:rPr>
      </w:pPr>
      <w:r w:rsidRPr="003119B2">
        <w:rPr>
          <w:sz w:val="22"/>
          <w:szCs w:val="22"/>
          <w:lang w:val="fr-CA"/>
        </w:rPr>
        <w:t xml:space="preserve">- </w:t>
      </w:r>
      <w:r w:rsidRPr="003119B2">
        <w:rPr>
          <w:sz w:val="22"/>
          <w:szCs w:val="22"/>
          <w:lang w:val="fr-CA"/>
        </w:rPr>
        <w:tab/>
        <w:t xml:space="preserve">Le Conseil fédéral des doyens d'ingénierie de la République d'Argentine (CONFEDI) dans le groupe de travail 2 </w:t>
      </w:r>
    </w:p>
    <w:p w14:paraId="434CB929" w14:textId="77777777" w:rsidR="003119B2" w:rsidRPr="003119B2" w:rsidRDefault="003119B2" w:rsidP="003119B2">
      <w:pPr>
        <w:pStyle w:val="ListParagraph"/>
        <w:contextualSpacing/>
        <w:jc w:val="both"/>
        <w:rPr>
          <w:sz w:val="22"/>
          <w:szCs w:val="22"/>
          <w:lang w:val="fr-CA"/>
        </w:rPr>
      </w:pPr>
      <w:r w:rsidRPr="003119B2">
        <w:rPr>
          <w:sz w:val="22"/>
          <w:szCs w:val="22"/>
          <w:lang w:val="fr-CA"/>
        </w:rPr>
        <w:t xml:space="preserve">- </w:t>
      </w:r>
      <w:r w:rsidRPr="003119B2">
        <w:rPr>
          <w:sz w:val="22"/>
          <w:szCs w:val="22"/>
          <w:lang w:val="fr-CA"/>
        </w:rPr>
        <w:tab/>
      </w:r>
      <w:proofErr w:type="spellStart"/>
      <w:r w:rsidRPr="003119B2">
        <w:rPr>
          <w:sz w:val="22"/>
          <w:szCs w:val="22"/>
          <w:lang w:val="fr-CA"/>
        </w:rPr>
        <w:t>Universidad</w:t>
      </w:r>
      <w:proofErr w:type="spellEnd"/>
      <w:r w:rsidRPr="003119B2">
        <w:rPr>
          <w:sz w:val="22"/>
          <w:szCs w:val="22"/>
          <w:lang w:val="fr-CA"/>
        </w:rPr>
        <w:t xml:space="preserve"> de </w:t>
      </w:r>
      <w:proofErr w:type="spellStart"/>
      <w:r w:rsidRPr="003119B2">
        <w:rPr>
          <w:sz w:val="22"/>
          <w:szCs w:val="22"/>
          <w:lang w:val="fr-CA"/>
        </w:rPr>
        <w:t>Desarrollo</w:t>
      </w:r>
      <w:proofErr w:type="spellEnd"/>
      <w:r w:rsidRPr="003119B2">
        <w:rPr>
          <w:sz w:val="22"/>
          <w:szCs w:val="22"/>
          <w:lang w:val="fr-CA"/>
        </w:rPr>
        <w:t xml:space="preserve"> à Santiago (Chili) dans le groupe de travail 4</w:t>
      </w:r>
    </w:p>
    <w:p w14:paraId="7168432B" w14:textId="77777777" w:rsidR="003119B2" w:rsidRPr="003119B2" w:rsidRDefault="003119B2" w:rsidP="003119B2">
      <w:pPr>
        <w:pStyle w:val="ListParagraph"/>
        <w:ind w:left="1440" w:hanging="720"/>
        <w:contextualSpacing/>
        <w:jc w:val="both"/>
        <w:rPr>
          <w:sz w:val="22"/>
          <w:szCs w:val="22"/>
          <w:lang w:val="fr-CA"/>
        </w:rPr>
      </w:pPr>
      <w:r w:rsidRPr="003119B2">
        <w:rPr>
          <w:sz w:val="22"/>
          <w:szCs w:val="22"/>
          <w:lang w:val="fr-CA"/>
        </w:rPr>
        <w:t xml:space="preserve">- </w:t>
      </w:r>
      <w:r w:rsidRPr="003119B2">
        <w:rPr>
          <w:sz w:val="22"/>
          <w:szCs w:val="22"/>
          <w:lang w:val="fr-CA"/>
        </w:rPr>
        <w:tab/>
        <w:t xml:space="preserve">Société </w:t>
      </w:r>
      <w:proofErr w:type="spellStart"/>
      <w:r w:rsidRPr="003119B2">
        <w:rPr>
          <w:sz w:val="22"/>
          <w:szCs w:val="22"/>
          <w:lang w:val="fr-CA"/>
        </w:rPr>
        <w:t>Cientech</w:t>
      </w:r>
      <w:proofErr w:type="spellEnd"/>
      <w:r w:rsidRPr="003119B2">
        <w:rPr>
          <w:sz w:val="22"/>
          <w:szCs w:val="22"/>
          <w:lang w:val="fr-CA"/>
        </w:rPr>
        <w:t xml:space="preserve">, centre de transfert de connaissances et d’innovation, sis à Barranquilla (Colombie), dans les groupes de travail 1 et 4 </w:t>
      </w:r>
    </w:p>
    <w:p w14:paraId="47E5AA54" w14:textId="77777777" w:rsidR="003119B2" w:rsidRPr="003119B2" w:rsidRDefault="003119B2" w:rsidP="003119B2">
      <w:pPr>
        <w:pStyle w:val="ListParagraph"/>
        <w:ind w:left="1440" w:hanging="720"/>
        <w:contextualSpacing/>
        <w:jc w:val="both"/>
        <w:rPr>
          <w:sz w:val="22"/>
          <w:szCs w:val="22"/>
          <w:lang w:val="fr-CA"/>
        </w:rPr>
      </w:pPr>
      <w:r w:rsidRPr="003119B2">
        <w:rPr>
          <w:sz w:val="22"/>
          <w:szCs w:val="22"/>
          <w:lang w:val="fr-CA"/>
        </w:rPr>
        <w:t xml:space="preserve">- </w:t>
      </w:r>
      <w:r w:rsidRPr="003119B2">
        <w:rPr>
          <w:sz w:val="22"/>
          <w:szCs w:val="22"/>
          <w:lang w:val="fr-CA"/>
        </w:rPr>
        <w:tab/>
      </w:r>
      <w:proofErr w:type="spellStart"/>
      <w:r w:rsidRPr="003119B2">
        <w:rPr>
          <w:sz w:val="22"/>
          <w:szCs w:val="22"/>
          <w:lang w:val="fr-CA"/>
        </w:rPr>
        <w:t>Reddi</w:t>
      </w:r>
      <w:proofErr w:type="spellEnd"/>
      <w:r w:rsidRPr="003119B2">
        <w:rPr>
          <w:sz w:val="22"/>
          <w:szCs w:val="22"/>
          <w:lang w:val="fr-CA"/>
        </w:rPr>
        <w:t>, Agence de développement technologique, sis à Cali (Colombie), dans le groupe de travail 4</w:t>
      </w:r>
    </w:p>
    <w:p w14:paraId="50C42CF6" w14:textId="77777777" w:rsidR="003119B2" w:rsidRPr="003119B2" w:rsidRDefault="003119B2" w:rsidP="003119B2">
      <w:pPr>
        <w:pStyle w:val="ListParagraph"/>
        <w:ind w:left="1440" w:hanging="720"/>
        <w:contextualSpacing/>
        <w:jc w:val="both"/>
        <w:rPr>
          <w:sz w:val="22"/>
          <w:szCs w:val="22"/>
          <w:lang w:val="fr-CA"/>
        </w:rPr>
      </w:pPr>
      <w:r w:rsidRPr="003119B2">
        <w:rPr>
          <w:sz w:val="22"/>
          <w:szCs w:val="22"/>
          <w:lang w:val="fr-CA"/>
        </w:rPr>
        <w:t xml:space="preserve">- </w:t>
      </w:r>
      <w:r w:rsidRPr="003119B2">
        <w:rPr>
          <w:sz w:val="22"/>
          <w:szCs w:val="22"/>
          <w:lang w:val="fr-CA"/>
        </w:rPr>
        <w:tab/>
        <w:t xml:space="preserve">École d'ingénieurs de l'Université de </w:t>
      </w:r>
      <w:proofErr w:type="spellStart"/>
      <w:r w:rsidRPr="003119B2">
        <w:rPr>
          <w:sz w:val="22"/>
          <w:szCs w:val="22"/>
          <w:lang w:val="fr-CA"/>
        </w:rPr>
        <w:t>Turabo</w:t>
      </w:r>
      <w:proofErr w:type="spellEnd"/>
      <w:r w:rsidRPr="003119B2">
        <w:rPr>
          <w:sz w:val="22"/>
          <w:szCs w:val="22"/>
          <w:lang w:val="fr-CA"/>
        </w:rPr>
        <w:t>, sis à Porto Rico, dans le groupe de travail 2</w:t>
      </w:r>
    </w:p>
    <w:p w14:paraId="10FDA80C" w14:textId="77777777" w:rsidR="003119B2" w:rsidRPr="003119B2" w:rsidRDefault="003119B2" w:rsidP="003119B2">
      <w:pPr>
        <w:pStyle w:val="ListParagraph"/>
        <w:contextualSpacing/>
        <w:jc w:val="both"/>
        <w:rPr>
          <w:sz w:val="22"/>
          <w:szCs w:val="22"/>
          <w:lang w:val="fr-CA"/>
        </w:rPr>
      </w:pPr>
      <w:r w:rsidRPr="003119B2">
        <w:rPr>
          <w:sz w:val="22"/>
          <w:szCs w:val="22"/>
          <w:lang w:val="fr-CA"/>
        </w:rPr>
        <w:t xml:space="preserve">- </w:t>
      </w:r>
      <w:r w:rsidRPr="003119B2">
        <w:rPr>
          <w:sz w:val="22"/>
          <w:szCs w:val="22"/>
          <w:lang w:val="fr-CA"/>
        </w:rPr>
        <w:tab/>
        <w:t>TECSUP Université polytechnique du Pérou dans le groupe de travail 2</w:t>
      </w:r>
    </w:p>
    <w:p w14:paraId="6E247D31" w14:textId="77777777" w:rsidR="003119B2" w:rsidRPr="003119B2" w:rsidRDefault="003119B2" w:rsidP="003119B2">
      <w:pPr>
        <w:pStyle w:val="ListParagraph"/>
        <w:contextualSpacing/>
        <w:jc w:val="both"/>
        <w:rPr>
          <w:sz w:val="22"/>
          <w:szCs w:val="22"/>
          <w:lang w:val="fr-CA"/>
        </w:rPr>
      </w:pPr>
      <w:r w:rsidRPr="003119B2">
        <w:rPr>
          <w:sz w:val="22"/>
          <w:szCs w:val="22"/>
          <w:lang w:val="fr-CA"/>
        </w:rPr>
        <w:t xml:space="preserve">- </w:t>
      </w:r>
      <w:r w:rsidRPr="003119B2">
        <w:rPr>
          <w:sz w:val="22"/>
          <w:szCs w:val="22"/>
          <w:lang w:val="fr-CA"/>
        </w:rPr>
        <w:tab/>
        <w:t xml:space="preserve">Illinois Institute of </w:t>
      </w:r>
      <w:proofErr w:type="spellStart"/>
      <w:r w:rsidRPr="003119B2">
        <w:rPr>
          <w:sz w:val="22"/>
          <w:szCs w:val="22"/>
          <w:lang w:val="fr-CA"/>
        </w:rPr>
        <w:t>Technology</w:t>
      </w:r>
      <w:proofErr w:type="spellEnd"/>
      <w:r w:rsidRPr="003119B2">
        <w:rPr>
          <w:sz w:val="22"/>
          <w:szCs w:val="22"/>
          <w:lang w:val="fr-CA"/>
        </w:rPr>
        <w:t xml:space="preserve"> dans les groupes de travail 1, 2 et 4</w:t>
      </w:r>
    </w:p>
    <w:p w14:paraId="08E3C0C8" w14:textId="77777777" w:rsidR="003119B2" w:rsidRPr="003119B2" w:rsidRDefault="003119B2" w:rsidP="003119B2">
      <w:pPr>
        <w:pStyle w:val="ListParagraph"/>
        <w:contextualSpacing/>
        <w:jc w:val="both"/>
        <w:rPr>
          <w:sz w:val="22"/>
          <w:szCs w:val="22"/>
          <w:lang w:val="fr-CA"/>
        </w:rPr>
      </w:pPr>
      <w:r w:rsidRPr="003119B2">
        <w:rPr>
          <w:sz w:val="22"/>
          <w:szCs w:val="22"/>
          <w:lang w:val="fr-CA"/>
        </w:rPr>
        <w:t xml:space="preserve">- </w:t>
      </w:r>
      <w:r w:rsidRPr="003119B2">
        <w:rPr>
          <w:sz w:val="22"/>
          <w:szCs w:val="22"/>
          <w:lang w:val="fr-CA"/>
        </w:rPr>
        <w:tab/>
        <w:t>CEDIA Équateur dans le groupe de travail 4</w:t>
      </w:r>
    </w:p>
    <w:p w14:paraId="2467756D" w14:textId="77777777" w:rsidR="003119B2" w:rsidRPr="003119B2" w:rsidRDefault="003119B2" w:rsidP="003119B2">
      <w:pPr>
        <w:jc w:val="both"/>
        <w:rPr>
          <w:rFonts w:eastAsia="Calibri"/>
          <w:bCs/>
          <w:sz w:val="22"/>
          <w:szCs w:val="22"/>
          <w:highlight w:val="yellow"/>
          <w:lang w:val="fr-CA"/>
        </w:rPr>
      </w:pPr>
    </w:p>
    <w:p w14:paraId="195FA0EE" w14:textId="495F9FF9" w:rsidR="00F4213B" w:rsidRDefault="0047382B" w:rsidP="00BE5622">
      <w:pPr>
        <w:ind w:right="-2"/>
        <w:rPr>
          <w:b/>
          <w:bCs/>
          <w:sz w:val="22"/>
          <w:szCs w:val="22"/>
          <w:lang w:val="fr-CA"/>
        </w:rPr>
      </w:pPr>
      <w:r>
        <w:rPr>
          <w:b/>
          <w:bCs/>
          <w:noProof/>
          <w:sz w:val="22"/>
          <w:szCs w:val="22"/>
          <w:lang w:val="fr-CA"/>
        </w:rPr>
        <mc:AlternateContent>
          <mc:Choice Requires="wps">
            <w:drawing>
              <wp:anchor distT="0" distB="0" distL="114300" distR="114300" simplePos="0" relativeHeight="251659265" behindDoc="0" locked="1" layoutInCell="1" allowOverlap="1" wp14:anchorId="7488F024" wp14:editId="1FA494CE">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6F795C4" w14:textId="4F2A3980" w:rsidR="0047382B" w:rsidRPr="0047382B" w:rsidRDefault="0047382B">
                            <w:pPr>
                              <w:rPr>
                                <w:sz w:val="18"/>
                              </w:rPr>
                            </w:pPr>
                            <w:r>
                              <w:rPr>
                                <w:sz w:val="18"/>
                              </w:rPr>
                              <w:fldChar w:fldCharType="begin"/>
                            </w:r>
                            <w:r>
                              <w:rPr>
                                <w:sz w:val="18"/>
                              </w:rPr>
                              <w:instrText xml:space="preserve"> FILENAME  \* MERGEFORMAT </w:instrText>
                            </w:r>
                            <w:r>
                              <w:rPr>
                                <w:sz w:val="18"/>
                              </w:rPr>
                              <w:fldChar w:fldCharType="separate"/>
                            </w:r>
                            <w:r>
                              <w:rPr>
                                <w:noProof/>
                                <w:sz w:val="18"/>
                              </w:rPr>
                              <w:t>CIDCT00100F01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88F024"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5;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46F795C4" w14:textId="4F2A3980" w:rsidR="0047382B" w:rsidRPr="0047382B" w:rsidRDefault="0047382B">
                      <w:pPr>
                        <w:rPr>
                          <w:sz w:val="18"/>
                        </w:rPr>
                      </w:pPr>
                      <w:r>
                        <w:rPr>
                          <w:sz w:val="18"/>
                        </w:rPr>
                        <w:fldChar w:fldCharType="begin"/>
                      </w:r>
                      <w:r>
                        <w:rPr>
                          <w:sz w:val="18"/>
                        </w:rPr>
                        <w:instrText xml:space="preserve"> FILENAME  \* MERGEFORMAT </w:instrText>
                      </w:r>
                      <w:r>
                        <w:rPr>
                          <w:sz w:val="18"/>
                        </w:rPr>
                        <w:fldChar w:fldCharType="separate"/>
                      </w:r>
                      <w:r>
                        <w:rPr>
                          <w:noProof/>
                          <w:sz w:val="18"/>
                        </w:rPr>
                        <w:t>CIDCT00100F01</w:t>
                      </w:r>
                      <w:r>
                        <w:rPr>
                          <w:sz w:val="18"/>
                        </w:rPr>
                        <w:fldChar w:fldCharType="end"/>
                      </w:r>
                    </w:p>
                  </w:txbxContent>
                </v:textbox>
                <w10:wrap anchory="page"/>
                <w10:anchorlock/>
              </v:shape>
            </w:pict>
          </mc:Fallback>
        </mc:AlternateContent>
      </w:r>
    </w:p>
    <w:sectPr w:rsidR="00F4213B" w:rsidSect="00F4213B">
      <w:headerReference w:type="even" r:id="rId16"/>
      <w:headerReference w:type="default" r:id="rId17"/>
      <w:headerReference w:type="first" r:id="rId18"/>
      <w:pgSz w:w="12240" w:h="15840" w:code="1"/>
      <w:pgMar w:top="2160" w:right="144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8785" w14:textId="77777777" w:rsidR="009E737D" w:rsidRPr="006C7BB6" w:rsidRDefault="009E737D">
      <w:pPr>
        <w:rPr>
          <w:noProof/>
          <w:lang w:val="en-US"/>
        </w:rPr>
      </w:pPr>
      <w:r w:rsidRPr="006C7BB6">
        <w:rPr>
          <w:noProof/>
          <w:lang w:val="en-US"/>
        </w:rPr>
        <w:separator/>
      </w:r>
    </w:p>
  </w:endnote>
  <w:endnote w:type="continuationSeparator" w:id="0">
    <w:p w14:paraId="3679F8F6" w14:textId="77777777" w:rsidR="009E737D" w:rsidRPr="006C7BB6" w:rsidRDefault="009E737D">
      <w:pPr>
        <w:rPr>
          <w:noProof/>
          <w:lang w:val="en-US"/>
        </w:rPr>
      </w:pPr>
      <w:r w:rsidRPr="006C7BB6">
        <w:rPr>
          <w:noProof/>
          <w:lang w:val="en-US"/>
        </w:rPr>
        <w:continuationSeparator/>
      </w:r>
    </w:p>
  </w:endnote>
  <w:endnote w:type="continuationNotice" w:id="1">
    <w:p w14:paraId="37C80ED0" w14:textId="77777777" w:rsidR="009E737D" w:rsidRDefault="009E7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6A118" w14:textId="77777777" w:rsidR="009E737D" w:rsidRPr="006C7BB6" w:rsidRDefault="009E737D">
      <w:pPr>
        <w:rPr>
          <w:noProof/>
          <w:lang w:val="en-US"/>
        </w:rPr>
      </w:pPr>
      <w:r w:rsidRPr="006C7BB6">
        <w:rPr>
          <w:noProof/>
          <w:lang w:val="en-US"/>
        </w:rPr>
        <w:separator/>
      </w:r>
    </w:p>
  </w:footnote>
  <w:footnote w:type="continuationSeparator" w:id="0">
    <w:p w14:paraId="709819DC" w14:textId="77777777" w:rsidR="009E737D" w:rsidRPr="006C7BB6" w:rsidRDefault="009E737D">
      <w:pPr>
        <w:rPr>
          <w:noProof/>
          <w:lang w:val="en-US"/>
        </w:rPr>
      </w:pPr>
      <w:r w:rsidRPr="006C7BB6">
        <w:rPr>
          <w:noProof/>
          <w:lang w:val="en-US"/>
        </w:rPr>
        <w:continuationSeparator/>
      </w:r>
    </w:p>
  </w:footnote>
  <w:footnote w:type="continuationNotice" w:id="1">
    <w:p w14:paraId="267B161D" w14:textId="77777777" w:rsidR="009E737D" w:rsidRDefault="009E73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9884" w14:textId="77777777" w:rsidR="003119B2" w:rsidRDefault="003119B2" w:rsidP="004E1B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D7FCA3" w14:textId="77777777" w:rsidR="003119B2" w:rsidRDefault="00311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C36B" w14:textId="77777777" w:rsidR="003119B2" w:rsidRPr="002D3FFB" w:rsidRDefault="003119B2" w:rsidP="004E1B3B">
    <w:pPr>
      <w:pStyle w:val="Header"/>
      <w:jc w:val="center"/>
      <w:rPr>
        <w:sz w:val="22"/>
        <w:szCs w:val="22"/>
      </w:rPr>
    </w:pPr>
    <w:r w:rsidRPr="002D3FFB">
      <w:rPr>
        <w:sz w:val="22"/>
        <w:szCs w:val="22"/>
      </w:rPr>
      <w:t xml:space="preserve">- </w:t>
    </w:r>
    <w:r w:rsidRPr="002D3FFB">
      <w:rPr>
        <w:rStyle w:val="PageNumber"/>
        <w:sz w:val="22"/>
        <w:szCs w:val="22"/>
      </w:rPr>
      <w:fldChar w:fldCharType="begin"/>
    </w:r>
    <w:r w:rsidRPr="002D3FFB">
      <w:rPr>
        <w:rStyle w:val="PageNumber"/>
        <w:sz w:val="22"/>
        <w:szCs w:val="22"/>
      </w:rPr>
      <w:instrText xml:space="preserve"> PAGE </w:instrText>
    </w:r>
    <w:r w:rsidRPr="002D3FFB">
      <w:rPr>
        <w:rStyle w:val="PageNumber"/>
        <w:sz w:val="22"/>
        <w:szCs w:val="22"/>
      </w:rPr>
      <w:fldChar w:fldCharType="separate"/>
    </w:r>
    <w:r w:rsidRPr="002D3FFB">
      <w:rPr>
        <w:rStyle w:val="PageNumber"/>
        <w:sz w:val="22"/>
        <w:szCs w:val="22"/>
      </w:rPr>
      <w:t>5</w:t>
    </w:r>
    <w:r w:rsidRPr="002D3FFB">
      <w:rPr>
        <w:rStyle w:val="PageNumber"/>
        <w:sz w:val="22"/>
        <w:szCs w:val="22"/>
      </w:rPr>
      <w:fldChar w:fldCharType="end"/>
    </w:r>
    <w:r w:rsidRPr="002D3FFB">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1405" w14:textId="7637261B" w:rsidR="003119B2" w:rsidRDefault="003119B2" w:rsidP="004E1B3B">
    <w:pPr>
      <w:pStyle w:val="Header"/>
    </w:pPr>
    <w:r>
      <w:rPr>
        <w:noProof/>
      </w:rPr>
      <mc:AlternateContent>
        <mc:Choice Requires="wps">
          <w:drawing>
            <wp:anchor distT="0" distB="0" distL="114300" distR="114300" simplePos="0" relativeHeight="251660288" behindDoc="0" locked="0" layoutInCell="1" allowOverlap="1" wp14:anchorId="3657F7A0" wp14:editId="67C3933C">
              <wp:simplePos x="0" y="0"/>
              <wp:positionH relativeFrom="column">
                <wp:posOffset>503555</wp:posOffset>
              </wp:positionH>
              <wp:positionV relativeFrom="paragraph">
                <wp:posOffset>-394473</wp:posOffset>
              </wp:positionV>
              <wp:extent cx="4663440" cy="863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095FD" w14:textId="77777777" w:rsidR="003119B2" w:rsidRPr="003119B2" w:rsidRDefault="003119B2" w:rsidP="004E1B3B">
                          <w:pPr>
                            <w:pStyle w:val="Header"/>
                            <w:tabs>
                              <w:tab w:val="left" w:pos="900"/>
                            </w:tabs>
                            <w:spacing w:line="0" w:lineRule="atLeast"/>
                            <w:jc w:val="center"/>
                            <w:rPr>
                              <w:b/>
                              <w:sz w:val="28"/>
                              <w:lang w:val="fr-CA"/>
                            </w:rPr>
                          </w:pPr>
                          <w:r w:rsidRPr="003119B2">
                            <w:rPr>
                              <w:b/>
                              <w:sz w:val="28"/>
                              <w:lang w:val="fr-CA"/>
                            </w:rPr>
                            <w:t>ORGANISATION DES ÉTATS AMÉRICAINS</w:t>
                          </w:r>
                        </w:p>
                        <w:p w14:paraId="0756D804" w14:textId="77777777" w:rsidR="003119B2" w:rsidRPr="003119B2" w:rsidRDefault="003119B2" w:rsidP="004E1B3B">
                          <w:pPr>
                            <w:pStyle w:val="Header"/>
                            <w:tabs>
                              <w:tab w:val="left" w:pos="900"/>
                            </w:tabs>
                            <w:spacing w:line="0" w:lineRule="atLeast"/>
                            <w:jc w:val="center"/>
                            <w:rPr>
                              <w:sz w:val="22"/>
                              <w:szCs w:val="22"/>
                              <w:lang w:val="fr-CA"/>
                            </w:rPr>
                          </w:pPr>
                          <w:r w:rsidRPr="003119B2">
                            <w:rPr>
                              <w:sz w:val="22"/>
                              <w:lang w:val="fr-CA"/>
                            </w:rPr>
                            <w:t>Conseil interaméricain pour le développement intégré</w:t>
                          </w:r>
                        </w:p>
                        <w:p w14:paraId="29A9C169" w14:textId="77777777" w:rsidR="003119B2" w:rsidRPr="00D45B7E" w:rsidRDefault="003119B2" w:rsidP="004E1B3B">
                          <w:pPr>
                            <w:pStyle w:val="Header"/>
                            <w:tabs>
                              <w:tab w:val="left" w:pos="900"/>
                            </w:tabs>
                            <w:spacing w:line="0" w:lineRule="atLeast"/>
                            <w:jc w:val="center"/>
                            <w:rPr>
                              <w:sz w:val="22"/>
                              <w:szCs w:val="22"/>
                            </w:rPr>
                          </w:pPr>
                          <w:r>
                            <w:rPr>
                              <w:sz w:val="22"/>
                            </w:rPr>
                            <w:t>(CIDI)</w:t>
                          </w:r>
                        </w:p>
                        <w:p w14:paraId="706D9635" w14:textId="77777777" w:rsidR="003119B2" w:rsidRPr="009E107E" w:rsidRDefault="003119B2" w:rsidP="004E1B3B">
                          <w:pPr>
                            <w:pStyle w:val="Header"/>
                            <w:tabs>
                              <w:tab w:val="left" w:pos="900"/>
                            </w:tabs>
                            <w:spacing w:line="0" w:lineRule="atLeast"/>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7F7A0" id="_x0000_t202" coordsize="21600,21600" o:spt="202" path="m,l,21600r21600,l21600,xe">
              <v:stroke joinstyle="miter"/>
              <v:path gradientshapeok="t" o:connecttype="rect"/>
            </v:shapetype>
            <v:shape id="Text Box 3" o:spid="_x0000_s1027" type="#_x0000_t202" style="position:absolute;margin-left:39.65pt;margin-top:-31.05pt;width:367.2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" stroked="f">
              <v:textbox>
                <w:txbxContent>
                  <w:p w14:paraId="301095FD" w14:textId="77777777" w:rsidR="003119B2" w:rsidRPr="003119B2" w:rsidRDefault="003119B2" w:rsidP="004E1B3B">
                    <w:pPr>
                      <w:pStyle w:val="Header"/>
                      <w:tabs>
                        <w:tab w:val="left" w:pos="900"/>
                      </w:tabs>
                      <w:spacing w:line="0" w:lineRule="atLeast"/>
                      <w:jc w:val="center"/>
                      <w:rPr>
                        <w:b/>
                        <w:sz w:val="28"/>
                        <w:lang w:val="fr-CA"/>
                      </w:rPr>
                    </w:pPr>
                    <w:r w:rsidRPr="003119B2">
                      <w:rPr>
                        <w:b/>
                        <w:sz w:val="28"/>
                        <w:lang w:val="fr-CA"/>
                      </w:rPr>
                      <w:t>ORGANISATION DES ÉTATS AMÉRICAINS</w:t>
                    </w:r>
                  </w:p>
                  <w:p w14:paraId="0756D804" w14:textId="77777777" w:rsidR="003119B2" w:rsidRPr="003119B2" w:rsidRDefault="003119B2" w:rsidP="004E1B3B">
                    <w:pPr>
                      <w:pStyle w:val="Header"/>
                      <w:tabs>
                        <w:tab w:val="left" w:pos="900"/>
                      </w:tabs>
                      <w:spacing w:line="0" w:lineRule="atLeast"/>
                      <w:jc w:val="center"/>
                      <w:rPr>
                        <w:sz w:val="22"/>
                        <w:szCs w:val="22"/>
                        <w:lang w:val="fr-CA"/>
                      </w:rPr>
                    </w:pPr>
                    <w:r w:rsidRPr="003119B2">
                      <w:rPr>
                        <w:sz w:val="22"/>
                        <w:lang w:val="fr-CA"/>
                      </w:rPr>
                      <w:t>Conseil interaméricain pour le développement intégré</w:t>
                    </w:r>
                  </w:p>
                  <w:p w14:paraId="29A9C169" w14:textId="77777777" w:rsidR="003119B2" w:rsidRPr="00D45B7E" w:rsidRDefault="003119B2" w:rsidP="004E1B3B">
                    <w:pPr>
                      <w:pStyle w:val="Header"/>
                      <w:tabs>
                        <w:tab w:val="left" w:pos="900"/>
                      </w:tabs>
                      <w:spacing w:line="0" w:lineRule="atLeast"/>
                      <w:jc w:val="center"/>
                      <w:rPr>
                        <w:sz w:val="22"/>
                        <w:szCs w:val="22"/>
                      </w:rPr>
                    </w:pPr>
                    <w:r>
                      <w:rPr>
                        <w:sz w:val="22"/>
                      </w:rPr>
                      <w:t>(CIDI)</w:t>
                    </w:r>
                  </w:p>
                  <w:p w14:paraId="706D9635" w14:textId="77777777" w:rsidR="003119B2" w:rsidRPr="009E107E" w:rsidRDefault="003119B2" w:rsidP="004E1B3B">
                    <w:pPr>
                      <w:pStyle w:val="Header"/>
                      <w:tabs>
                        <w:tab w:val="left" w:pos="900"/>
                      </w:tabs>
                      <w:spacing w:line="0" w:lineRule="atLeast"/>
                      <w:jc w:val="center"/>
                      <w:rPr>
                        <w:b/>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C0B9958" wp14:editId="0E9F81D9">
              <wp:simplePos x="0" y="0"/>
              <wp:positionH relativeFrom="column">
                <wp:posOffset>5080000</wp:posOffset>
              </wp:positionH>
              <wp:positionV relativeFrom="paragraph">
                <wp:posOffset>-35560</wp:posOffset>
              </wp:positionV>
              <wp:extent cx="1287780" cy="8623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7F4ADF" w14:textId="77777777" w:rsidR="003119B2" w:rsidRDefault="003119B2" w:rsidP="004E1B3B">
                          <w:pPr>
                            <w:ind w:right="-1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B9958" id="Text Box 4" o:spid="_x0000_s1028" type="#_x0000_t202" style="position:absolute;margin-left:400pt;margin-top:-2.8pt;width:101.4pt;height:6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" stroked="f">
              <v:textbox>
                <w:txbxContent>
                  <w:p w14:paraId="257F4ADF" w14:textId="77777777" w:rsidR="003119B2" w:rsidRDefault="003119B2" w:rsidP="004E1B3B">
                    <w:pPr>
                      <w:ind w:right="-130"/>
                    </w:pPr>
                  </w:p>
                </w:txbxContent>
              </v:textbox>
            </v:shape>
          </w:pict>
        </mc:Fallback>
      </mc:AlternateContent>
    </w:r>
  </w:p>
  <w:p w14:paraId="6B4DA9BA" w14:textId="77777777" w:rsidR="003119B2" w:rsidRDefault="003119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0F41" w14:textId="77777777" w:rsidR="00270DD4" w:rsidRDefault="00E2133B">
    <w:pPr>
      <w:pStyle w:val="Header"/>
      <w:framePr w:wrap="around" w:vAnchor="text" w:hAnchor="margin" w:xAlign="center" w:y="1"/>
      <w:rPr>
        <w:rStyle w:val="PageNumber"/>
        <w:noProof/>
      </w:rPr>
    </w:pPr>
    <w:r w:rsidRPr="006C7BB6">
      <w:rPr>
        <w:rStyle w:val="PageNumber"/>
        <w:noProof/>
      </w:rPr>
      <w:fldChar w:fldCharType="begin"/>
    </w:r>
    <w:r w:rsidRPr="006C7BB6">
      <w:rPr>
        <w:rStyle w:val="PageNumber"/>
        <w:noProof/>
      </w:rPr>
      <w:instrText xml:space="preserve">PAGE  </w:instrText>
    </w:r>
    <w:r w:rsidRPr="006C7BB6">
      <w:rPr>
        <w:rStyle w:val="PageNumber"/>
        <w:noProof/>
      </w:rPr>
      <w:fldChar w:fldCharType="separate"/>
    </w:r>
    <w:r w:rsidRPr="006C7BB6">
      <w:rPr>
        <w:rStyle w:val="PageNumber"/>
        <w:noProof/>
      </w:rPr>
      <w:t>2</w:t>
    </w:r>
    <w:r w:rsidRPr="006C7BB6">
      <w:rPr>
        <w:rStyle w:val="PageNumber"/>
        <w:noProof/>
      </w:rPr>
      <w:fldChar w:fldCharType="end"/>
    </w:r>
  </w:p>
  <w:p w14:paraId="4F8E1E28" w14:textId="77777777" w:rsidR="00DF6174" w:rsidRPr="006C7BB6" w:rsidRDefault="00DF6174">
    <w:pPr>
      <w:pStyle w:val="Header"/>
      <w:rPr>
        <w:noProo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97CC" w14:textId="67834638" w:rsidR="00EF589B" w:rsidRDefault="00EF589B">
    <w:pPr>
      <w:pStyle w:val="Header"/>
      <w:jc w:val="center"/>
    </w:pPr>
    <w:r>
      <w:t xml:space="preserve">- </w:t>
    </w:r>
    <w:sdt>
      <w:sdtPr>
        <w:id w:val="711659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8ECA" w14:textId="07845F1E" w:rsidR="00270DD4" w:rsidRDefault="00270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B95"/>
    <w:multiLevelType w:val="hybridMultilevel"/>
    <w:tmpl w:val="FD38D4A4"/>
    <w:lvl w:ilvl="0" w:tplc="1A64F09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5464D0"/>
    <w:multiLevelType w:val="hybridMultilevel"/>
    <w:tmpl w:val="76D0848C"/>
    <w:lvl w:ilvl="0" w:tplc="DFAECE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A44DF5"/>
    <w:multiLevelType w:val="hybridMultilevel"/>
    <w:tmpl w:val="9610849E"/>
    <w:lvl w:ilvl="0" w:tplc="2380323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DC745F3"/>
    <w:multiLevelType w:val="hybridMultilevel"/>
    <w:tmpl w:val="69FC6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44D59"/>
    <w:multiLevelType w:val="hybridMultilevel"/>
    <w:tmpl w:val="6F6E54D8"/>
    <w:lvl w:ilvl="0" w:tplc="02EEA0FC">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15:restartNumberingAfterBreak="0">
    <w:nsid w:val="51950928"/>
    <w:multiLevelType w:val="hybridMultilevel"/>
    <w:tmpl w:val="5AFE3944"/>
    <w:lvl w:ilvl="0" w:tplc="04090017">
      <w:start w:val="1"/>
      <w:numFmt w:val="lowerLetter"/>
      <w:lvlText w:val="%1)"/>
      <w:lvlJc w:val="left"/>
      <w:pPr>
        <w:ind w:left="56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92065D6"/>
    <w:multiLevelType w:val="hybridMultilevel"/>
    <w:tmpl w:val="6D6C5D44"/>
    <w:lvl w:ilvl="0" w:tplc="86527F6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5B6E4440"/>
    <w:multiLevelType w:val="hybridMultilevel"/>
    <w:tmpl w:val="D5A47192"/>
    <w:lvl w:ilvl="0" w:tplc="6E16C632">
      <w:start w:val="1"/>
      <w:numFmt w:val="lowerLetter"/>
      <w:lvlText w:val="%1)"/>
      <w:lvlJc w:val="left"/>
      <w:pPr>
        <w:ind w:left="1080" w:hanging="360"/>
      </w:pPr>
      <w:rPr>
        <w:rFonts w:ascii="Times New Roman" w:eastAsia="Times New Roman" w:hAnsi="Times New Roman" w:cs="Times New Roman"/>
        <w:b w:val="0"/>
        <w:bCs/>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71FC1EA1"/>
    <w:multiLevelType w:val="hybridMultilevel"/>
    <w:tmpl w:val="3D30E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6E54A1"/>
    <w:multiLevelType w:val="hybridMultilevel"/>
    <w:tmpl w:val="01FA250E"/>
    <w:lvl w:ilvl="0" w:tplc="A7C8171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7BB941C8"/>
    <w:multiLevelType w:val="hybridMultilevel"/>
    <w:tmpl w:val="D182F60C"/>
    <w:lvl w:ilvl="0" w:tplc="BC2EA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3D448F"/>
    <w:multiLevelType w:val="hybridMultilevel"/>
    <w:tmpl w:val="C9B47460"/>
    <w:lvl w:ilvl="0" w:tplc="5202948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7"/>
  </w:num>
  <w:num w:numId="8">
    <w:abstractNumId w:val="12"/>
  </w:num>
  <w:num w:numId="9">
    <w:abstractNumId w:val="8"/>
  </w:num>
  <w:num w:numId="10">
    <w:abstractNumId w:val="9"/>
  </w:num>
  <w:num w:numId="11">
    <w:abstractNumId w:val="5"/>
  </w:num>
  <w:num w:numId="12">
    <w:abstractNumId w:val="11"/>
  </w:num>
  <w:num w:numId="13">
    <w:abstractNumId w:val="0"/>
  </w:num>
  <w:num w:numId="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FE"/>
    <w:rsid w:val="000012AA"/>
    <w:rsid w:val="00002AFF"/>
    <w:rsid w:val="00005EBE"/>
    <w:rsid w:val="000114F4"/>
    <w:rsid w:val="00011902"/>
    <w:rsid w:val="00011C81"/>
    <w:rsid w:val="00022E7A"/>
    <w:rsid w:val="00023199"/>
    <w:rsid w:val="00025D2E"/>
    <w:rsid w:val="000273FB"/>
    <w:rsid w:val="00031F3B"/>
    <w:rsid w:val="00032517"/>
    <w:rsid w:val="00033455"/>
    <w:rsid w:val="00035DBA"/>
    <w:rsid w:val="00040A03"/>
    <w:rsid w:val="00043856"/>
    <w:rsid w:val="00046967"/>
    <w:rsid w:val="000504CA"/>
    <w:rsid w:val="00054752"/>
    <w:rsid w:val="00056FC0"/>
    <w:rsid w:val="000643F2"/>
    <w:rsid w:val="00066D21"/>
    <w:rsid w:val="00076DDC"/>
    <w:rsid w:val="00086848"/>
    <w:rsid w:val="00090A74"/>
    <w:rsid w:val="00090F71"/>
    <w:rsid w:val="000918FC"/>
    <w:rsid w:val="00093648"/>
    <w:rsid w:val="00093C1A"/>
    <w:rsid w:val="000A301E"/>
    <w:rsid w:val="000B04A4"/>
    <w:rsid w:val="000B2539"/>
    <w:rsid w:val="000B3E3C"/>
    <w:rsid w:val="000B597F"/>
    <w:rsid w:val="000B7729"/>
    <w:rsid w:val="000C36EB"/>
    <w:rsid w:val="000C4607"/>
    <w:rsid w:val="000C5359"/>
    <w:rsid w:val="000C78FE"/>
    <w:rsid w:val="000D24C6"/>
    <w:rsid w:val="000D53D0"/>
    <w:rsid w:val="000E22A5"/>
    <w:rsid w:val="000E28CA"/>
    <w:rsid w:val="000E2D16"/>
    <w:rsid w:val="000E4AF0"/>
    <w:rsid w:val="000F11AE"/>
    <w:rsid w:val="000F2F24"/>
    <w:rsid w:val="000F668F"/>
    <w:rsid w:val="000F7ECE"/>
    <w:rsid w:val="00100348"/>
    <w:rsid w:val="0010038D"/>
    <w:rsid w:val="00104126"/>
    <w:rsid w:val="0011347F"/>
    <w:rsid w:val="00115989"/>
    <w:rsid w:val="00116FA7"/>
    <w:rsid w:val="00120783"/>
    <w:rsid w:val="0012523A"/>
    <w:rsid w:val="00125FF5"/>
    <w:rsid w:val="0012643F"/>
    <w:rsid w:val="001265D9"/>
    <w:rsid w:val="00127033"/>
    <w:rsid w:val="001279DA"/>
    <w:rsid w:val="00130AC3"/>
    <w:rsid w:val="001318E7"/>
    <w:rsid w:val="001344F4"/>
    <w:rsid w:val="0014278F"/>
    <w:rsid w:val="00144F57"/>
    <w:rsid w:val="00145B28"/>
    <w:rsid w:val="00147330"/>
    <w:rsid w:val="00147E30"/>
    <w:rsid w:val="0015030C"/>
    <w:rsid w:val="0015052F"/>
    <w:rsid w:val="001534D9"/>
    <w:rsid w:val="00155249"/>
    <w:rsid w:val="00157625"/>
    <w:rsid w:val="001606D2"/>
    <w:rsid w:val="001611C9"/>
    <w:rsid w:val="00161D86"/>
    <w:rsid w:val="00166D6C"/>
    <w:rsid w:val="001672B4"/>
    <w:rsid w:val="00167780"/>
    <w:rsid w:val="00171A25"/>
    <w:rsid w:val="0017730F"/>
    <w:rsid w:val="00182732"/>
    <w:rsid w:val="00193085"/>
    <w:rsid w:val="00193B87"/>
    <w:rsid w:val="00195DF7"/>
    <w:rsid w:val="001972B8"/>
    <w:rsid w:val="001A424F"/>
    <w:rsid w:val="001B1726"/>
    <w:rsid w:val="001B1EB5"/>
    <w:rsid w:val="001B3F07"/>
    <w:rsid w:val="001C491A"/>
    <w:rsid w:val="001C4E4C"/>
    <w:rsid w:val="001C6619"/>
    <w:rsid w:val="001C6AB0"/>
    <w:rsid w:val="001D1A87"/>
    <w:rsid w:val="001D2C2A"/>
    <w:rsid w:val="001D405A"/>
    <w:rsid w:val="001E4377"/>
    <w:rsid w:val="001E6B0B"/>
    <w:rsid w:val="001E775C"/>
    <w:rsid w:val="001F3715"/>
    <w:rsid w:val="001F4177"/>
    <w:rsid w:val="001F5904"/>
    <w:rsid w:val="001F662C"/>
    <w:rsid w:val="00204692"/>
    <w:rsid w:val="00206705"/>
    <w:rsid w:val="00207CAE"/>
    <w:rsid w:val="00212DBE"/>
    <w:rsid w:val="00213456"/>
    <w:rsid w:val="00214E69"/>
    <w:rsid w:val="0021628F"/>
    <w:rsid w:val="002228F2"/>
    <w:rsid w:val="00222E1A"/>
    <w:rsid w:val="0022378D"/>
    <w:rsid w:val="0022432A"/>
    <w:rsid w:val="0022681D"/>
    <w:rsid w:val="0022756F"/>
    <w:rsid w:val="00234792"/>
    <w:rsid w:val="00234863"/>
    <w:rsid w:val="00235395"/>
    <w:rsid w:val="00235F02"/>
    <w:rsid w:val="00236AAF"/>
    <w:rsid w:val="002412AE"/>
    <w:rsid w:val="00245DFC"/>
    <w:rsid w:val="002462CD"/>
    <w:rsid w:val="002466E6"/>
    <w:rsid w:val="0025416C"/>
    <w:rsid w:val="00254500"/>
    <w:rsid w:val="00254974"/>
    <w:rsid w:val="00254A21"/>
    <w:rsid w:val="00254DC2"/>
    <w:rsid w:val="00255A56"/>
    <w:rsid w:val="0026224E"/>
    <w:rsid w:val="00262418"/>
    <w:rsid w:val="00264A46"/>
    <w:rsid w:val="002664C8"/>
    <w:rsid w:val="00267C47"/>
    <w:rsid w:val="00270DD4"/>
    <w:rsid w:val="002749D0"/>
    <w:rsid w:val="00284353"/>
    <w:rsid w:val="00286BE1"/>
    <w:rsid w:val="0028787A"/>
    <w:rsid w:val="00291220"/>
    <w:rsid w:val="00291F22"/>
    <w:rsid w:val="00292CEF"/>
    <w:rsid w:val="00292D9D"/>
    <w:rsid w:val="002979D5"/>
    <w:rsid w:val="002A4FBD"/>
    <w:rsid w:val="002A6313"/>
    <w:rsid w:val="002B1863"/>
    <w:rsid w:val="002B18B9"/>
    <w:rsid w:val="002B26FC"/>
    <w:rsid w:val="002C4AD7"/>
    <w:rsid w:val="002C4C5A"/>
    <w:rsid w:val="002C4D86"/>
    <w:rsid w:val="002C61D3"/>
    <w:rsid w:val="002C7D76"/>
    <w:rsid w:val="002D1E41"/>
    <w:rsid w:val="002D616E"/>
    <w:rsid w:val="002D6E29"/>
    <w:rsid w:val="002E1FFD"/>
    <w:rsid w:val="002E3770"/>
    <w:rsid w:val="002E620E"/>
    <w:rsid w:val="002F1817"/>
    <w:rsid w:val="002F3903"/>
    <w:rsid w:val="002F398B"/>
    <w:rsid w:val="002F50CF"/>
    <w:rsid w:val="00300AE6"/>
    <w:rsid w:val="00306C66"/>
    <w:rsid w:val="003119B2"/>
    <w:rsid w:val="00312FBE"/>
    <w:rsid w:val="0031623E"/>
    <w:rsid w:val="003178A5"/>
    <w:rsid w:val="00320F95"/>
    <w:rsid w:val="003212C7"/>
    <w:rsid w:val="0032218F"/>
    <w:rsid w:val="003222F7"/>
    <w:rsid w:val="003235D2"/>
    <w:rsid w:val="003274E6"/>
    <w:rsid w:val="0033273A"/>
    <w:rsid w:val="0033585D"/>
    <w:rsid w:val="003378A3"/>
    <w:rsid w:val="0034257C"/>
    <w:rsid w:val="00343E2F"/>
    <w:rsid w:val="0034560B"/>
    <w:rsid w:val="00351391"/>
    <w:rsid w:val="00353391"/>
    <w:rsid w:val="00353396"/>
    <w:rsid w:val="00355583"/>
    <w:rsid w:val="003576CF"/>
    <w:rsid w:val="00360C4C"/>
    <w:rsid w:val="00363577"/>
    <w:rsid w:val="00370462"/>
    <w:rsid w:val="00372EA9"/>
    <w:rsid w:val="00375FCD"/>
    <w:rsid w:val="00376F17"/>
    <w:rsid w:val="00382EBC"/>
    <w:rsid w:val="00391D08"/>
    <w:rsid w:val="0039233C"/>
    <w:rsid w:val="003A0BB5"/>
    <w:rsid w:val="003A13F2"/>
    <w:rsid w:val="003A70A0"/>
    <w:rsid w:val="003B1635"/>
    <w:rsid w:val="003B1939"/>
    <w:rsid w:val="003B4374"/>
    <w:rsid w:val="003B4E79"/>
    <w:rsid w:val="003B758C"/>
    <w:rsid w:val="003C1F35"/>
    <w:rsid w:val="003C44FE"/>
    <w:rsid w:val="003C67FB"/>
    <w:rsid w:val="003D00B6"/>
    <w:rsid w:val="003D207D"/>
    <w:rsid w:val="003E128B"/>
    <w:rsid w:val="003E19AE"/>
    <w:rsid w:val="003E558A"/>
    <w:rsid w:val="003E7F0E"/>
    <w:rsid w:val="003F0763"/>
    <w:rsid w:val="003F13A8"/>
    <w:rsid w:val="003F4959"/>
    <w:rsid w:val="003F62F8"/>
    <w:rsid w:val="004041B1"/>
    <w:rsid w:val="00404B49"/>
    <w:rsid w:val="004052AD"/>
    <w:rsid w:val="0041150B"/>
    <w:rsid w:val="00413456"/>
    <w:rsid w:val="004142B0"/>
    <w:rsid w:val="00415922"/>
    <w:rsid w:val="00416648"/>
    <w:rsid w:val="00421045"/>
    <w:rsid w:val="00421666"/>
    <w:rsid w:val="00424738"/>
    <w:rsid w:val="004249F9"/>
    <w:rsid w:val="00424E0A"/>
    <w:rsid w:val="00425F68"/>
    <w:rsid w:val="00430FA2"/>
    <w:rsid w:val="004310D1"/>
    <w:rsid w:val="00431CA7"/>
    <w:rsid w:val="00435515"/>
    <w:rsid w:val="00441371"/>
    <w:rsid w:val="00443818"/>
    <w:rsid w:val="004473A2"/>
    <w:rsid w:val="00450E1A"/>
    <w:rsid w:val="00452726"/>
    <w:rsid w:val="00454036"/>
    <w:rsid w:val="00456745"/>
    <w:rsid w:val="00456E9C"/>
    <w:rsid w:val="00460529"/>
    <w:rsid w:val="00470CFE"/>
    <w:rsid w:val="0047283F"/>
    <w:rsid w:val="0047308E"/>
    <w:rsid w:val="0047382B"/>
    <w:rsid w:val="0047754C"/>
    <w:rsid w:val="00477E83"/>
    <w:rsid w:val="00480400"/>
    <w:rsid w:val="00486513"/>
    <w:rsid w:val="004866C5"/>
    <w:rsid w:val="00491252"/>
    <w:rsid w:val="00493290"/>
    <w:rsid w:val="004936D5"/>
    <w:rsid w:val="004955BA"/>
    <w:rsid w:val="00496662"/>
    <w:rsid w:val="004967FA"/>
    <w:rsid w:val="004979BD"/>
    <w:rsid w:val="004A0D31"/>
    <w:rsid w:val="004B0E25"/>
    <w:rsid w:val="004B1ED8"/>
    <w:rsid w:val="004B759A"/>
    <w:rsid w:val="004C6DD7"/>
    <w:rsid w:val="004D1BB8"/>
    <w:rsid w:val="004D37E9"/>
    <w:rsid w:val="004D421B"/>
    <w:rsid w:val="004D624E"/>
    <w:rsid w:val="004D67DE"/>
    <w:rsid w:val="004D7308"/>
    <w:rsid w:val="004D74A5"/>
    <w:rsid w:val="004E3220"/>
    <w:rsid w:val="004E4356"/>
    <w:rsid w:val="004F1813"/>
    <w:rsid w:val="004F68BC"/>
    <w:rsid w:val="004F6AAE"/>
    <w:rsid w:val="0050183D"/>
    <w:rsid w:val="00502A58"/>
    <w:rsid w:val="00504C90"/>
    <w:rsid w:val="00510921"/>
    <w:rsid w:val="0051160A"/>
    <w:rsid w:val="00513F80"/>
    <w:rsid w:val="00515224"/>
    <w:rsid w:val="005170C6"/>
    <w:rsid w:val="005201AD"/>
    <w:rsid w:val="0053138E"/>
    <w:rsid w:val="00532C24"/>
    <w:rsid w:val="00533563"/>
    <w:rsid w:val="00537210"/>
    <w:rsid w:val="00537531"/>
    <w:rsid w:val="00537BE7"/>
    <w:rsid w:val="005400F9"/>
    <w:rsid w:val="00542AF9"/>
    <w:rsid w:val="005439D8"/>
    <w:rsid w:val="005467BF"/>
    <w:rsid w:val="0055020E"/>
    <w:rsid w:val="00552B7D"/>
    <w:rsid w:val="005553B8"/>
    <w:rsid w:val="00557169"/>
    <w:rsid w:val="00565464"/>
    <w:rsid w:val="00566320"/>
    <w:rsid w:val="00566A74"/>
    <w:rsid w:val="00567D8F"/>
    <w:rsid w:val="00570529"/>
    <w:rsid w:val="0057613D"/>
    <w:rsid w:val="005778A5"/>
    <w:rsid w:val="00580904"/>
    <w:rsid w:val="00582344"/>
    <w:rsid w:val="00583193"/>
    <w:rsid w:val="00585347"/>
    <w:rsid w:val="0058696C"/>
    <w:rsid w:val="00593F29"/>
    <w:rsid w:val="00595E36"/>
    <w:rsid w:val="00597863"/>
    <w:rsid w:val="005A1C25"/>
    <w:rsid w:val="005A4074"/>
    <w:rsid w:val="005A41FB"/>
    <w:rsid w:val="005A51B6"/>
    <w:rsid w:val="005B5774"/>
    <w:rsid w:val="005B7891"/>
    <w:rsid w:val="005C21D4"/>
    <w:rsid w:val="005D080D"/>
    <w:rsid w:val="005D17EC"/>
    <w:rsid w:val="005D3FA4"/>
    <w:rsid w:val="005E1248"/>
    <w:rsid w:val="005E48A4"/>
    <w:rsid w:val="005E4EB5"/>
    <w:rsid w:val="005F0A78"/>
    <w:rsid w:val="005F79AC"/>
    <w:rsid w:val="00601234"/>
    <w:rsid w:val="0060457F"/>
    <w:rsid w:val="006103B7"/>
    <w:rsid w:val="0061620C"/>
    <w:rsid w:val="006169E9"/>
    <w:rsid w:val="0062010A"/>
    <w:rsid w:val="00620687"/>
    <w:rsid w:val="00621D00"/>
    <w:rsid w:val="00623405"/>
    <w:rsid w:val="00624DF8"/>
    <w:rsid w:val="006251E9"/>
    <w:rsid w:val="0063309C"/>
    <w:rsid w:val="00635931"/>
    <w:rsid w:val="006368B4"/>
    <w:rsid w:val="00641E3A"/>
    <w:rsid w:val="006449E8"/>
    <w:rsid w:val="00645E02"/>
    <w:rsid w:val="0064633F"/>
    <w:rsid w:val="0066306C"/>
    <w:rsid w:val="00663572"/>
    <w:rsid w:val="006652AF"/>
    <w:rsid w:val="00666288"/>
    <w:rsid w:val="0067263A"/>
    <w:rsid w:val="00681A03"/>
    <w:rsid w:val="00683040"/>
    <w:rsid w:val="00684FB5"/>
    <w:rsid w:val="00685F77"/>
    <w:rsid w:val="00686938"/>
    <w:rsid w:val="00687A40"/>
    <w:rsid w:val="0069060D"/>
    <w:rsid w:val="0069374C"/>
    <w:rsid w:val="0069623E"/>
    <w:rsid w:val="00696FCD"/>
    <w:rsid w:val="00697498"/>
    <w:rsid w:val="006A36B6"/>
    <w:rsid w:val="006A43AD"/>
    <w:rsid w:val="006A4871"/>
    <w:rsid w:val="006A5604"/>
    <w:rsid w:val="006A5764"/>
    <w:rsid w:val="006A709F"/>
    <w:rsid w:val="006B6EEB"/>
    <w:rsid w:val="006C3D51"/>
    <w:rsid w:val="006D2322"/>
    <w:rsid w:val="006D460A"/>
    <w:rsid w:val="006D5DAB"/>
    <w:rsid w:val="006E056C"/>
    <w:rsid w:val="006E4C70"/>
    <w:rsid w:val="006F18EF"/>
    <w:rsid w:val="006F21CF"/>
    <w:rsid w:val="006F743C"/>
    <w:rsid w:val="00701885"/>
    <w:rsid w:val="00705465"/>
    <w:rsid w:val="007120CB"/>
    <w:rsid w:val="00712BE1"/>
    <w:rsid w:val="00714F3E"/>
    <w:rsid w:val="00715378"/>
    <w:rsid w:val="00717E46"/>
    <w:rsid w:val="00725D99"/>
    <w:rsid w:val="00731536"/>
    <w:rsid w:val="007325EE"/>
    <w:rsid w:val="00733EF1"/>
    <w:rsid w:val="00734957"/>
    <w:rsid w:val="00735238"/>
    <w:rsid w:val="007418A8"/>
    <w:rsid w:val="0074319D"/>
    <w:rsid w:val="00743BED"/>
    <w:rsid w:val="00743D75"/>
    <w:rsid w:val="0074463B"/>
    <w:rsid w:val="007459D5"/>
    <w:rsid w:val="007478E0"/>
    <w:rsid w:val="0075038B"/>
    <w:rsid w:val="00751FD3"/>
    <w:rsid w:val="007522E4"/>
    <w:rsid w:val="00752646"/>
    <w:rsid w:val="00752B20"/>
    <w:rsid w:val="00753F08"/>
    <w:rsid w:val="00761733"/>
    <w:rsid w:val="00761C49"/>
    <w:rsid w:val="0076230B"/>
    <w:rsid w:val="00764324"/>
    <w:rsid w:val="0076479F"/>
    <w:rsid w:val="00765332"/>
    <w:rsid w:val="00765FDC"/>
    <w:rsid w:val="00766BF2"/>
    <w:rsid w:val="007675E9"/>
    <w:rsid w:val="00774004"/>
    <w:rsid w:val="00776C40"/>
    <w:rsid w:val="00777697"/>
    <w:rsid w:val="00777967"/>
    <w:rsid w:val="007841F6"/>
    <w:rsid w:val="007851B3"/>
    <w:rsid w:val="00786F13"/>
    <w:rsid w:val="00791690"/>
    <w:rsid w:val="007A0625"/>
    <w:rsid w:val="007A13E5"/>
    <w:rsid w:val="007A2CF5"/>
    <w:rsid w:val="007A33F8"/>
    <w:rsid w:val="007B03B3"/>
    <w:rsid w:val="007B2529"/>
    <w:rsid w:val="007B32B3"/>
    <w:rsid w:val="007B7099"/>
    <w:rsid w:val="007B74EC"/>
    <w:rsid w:val="007B7D07"/>
    <w:rsid w:val="007C0AB3"/>
    <w:rsid w:val="007C0F61"/>
    <w:rsid w:val="007C4ED2"/>
    <w:rsid w:val="007C6068"/>
    <w:rsid w:val="007D1C88"/>
    <w:rsid w:val="007D67E2"/>
    <w:rsid w:val="007D73E1"/>
    <w:rsid w:val="007D7C9B"/>
    <w:rsid w:val="007E090D"/>
    <w:rsid w:val="007E2024"/>
    <w:rsid w:val="007E24B0"/>
    <w:rsid w:val="007E428C"/>
    <w:rsid w:val="007F1964"/>
    <w:rsid w:val="007F363B"/>
    <w:rsid w:val="007F55E1"/>
    <w:rsid w:val="007F5691"/>
    <w:rsid w:val="007F6D6B"/>
    <w:rsid w:val="00804982"/>
    <w:rsid w:val="00810E00"/>
    <w:rsid w:val="00810F08"/>
    <w:rsid w:val="00812B21"/>
    <w:rsid w:val="008142A3"/>
    <w:rsid w:val="0081453F"/>
    <w:rsid w:val="00814A71"/>
    <w:rsid w:val="00821935"/>
    <w:rsid w:val="0083113E"/>
    <w:rsid w:val="00832C9F"/>
    <w:rsid w:val="008415F4"/>
    <w:rsid w:val="008416C1"/>
    <w:rsid w:val="0084707F"/>
    <w:rsid w:val="0085414F"/>
    <w:rsid w:val="00855EE1"/>
    <w:rsid w:val="008566B2"/>
    <w:rsid w:val="008649BF"/>
    <w:rsid w:val="00867038"/>
    <w:rsid w:val="00874E25"/>
    <w:rsid w:val="00881959"/>
    <w:rsid w:val="00881CD2"/>
    <w:rsid w:val="008823DE"/>
    <w:rsid w:val="0088274A"/>
    <w:rsid w:val="00885D1C"/>
    <w:rsid w:val="00886E51"/>
    <w:rsid w:val="0088711B"/>
    <w:rsid w:val="00891024"/>
    <w:rsid w:val="008927E9"/>
    <w:rsid w:val="00893797"/>
    <w:rsid w:val="008937A7"/>
    <w:rsid w:val="008938F6"/>
    <w:rsid w:val="0089440E"/>
    <w:rsid w:val="00895AF1"/>
    <w:rsid w:val="008966E7"/>
    <w:rsid w:val="008A2528"/>
    <w:rsid w:val="008A5524"/>
    <w:rsid w:val="008A5A20"/>
    <w:rsid w:val="008B0259"/>
    <w:rsid w:val="008B0759"/>
    <w:rsid w:val="008B07FE"/>
    <w:rsid w:val="008B477A"/>
    <w:rsid w:val="008B54F3"/>
    <w:rsid w:val="008B5855"/>
    <w:rsid w:val="008C04B2"/>
    <w:rsid w:val="008C243A"/>
    <w:rsid w:val="008C32A2"/>
    <w:rsid w:val="008C5213"/>
    <w:rsid w:val="008D114E"/>
    <w:rsid w:val="008D225C"/>
    <w:rsid w:val="008D43A0"/>
    <w:rsid w:val="008D4BF1"/>
    <w:rsid w:val="008E1B91"/>
    <w:rsid w:val="008E44EC"/>
    <w:rsid w:val="008E6AF4"/>
    <w:rsid w:val="008E6EC4"/>
    <w:rsid w:val="008F0275"/>
    <w:rsid w:val="008F5357"/>
    <w:rsid w:val="008F572A"/>
    <w:rsid w:val="00901449"/>
    <w:rsid w:val="0090419F"/>
    <w:rsid w:val="009046F9"/>
    <w:rsid w:val="0090660B"/>
    <w:rsid w:val="009072E3"/>
    <w:rsid w:val="00907F58"/>
    <w:rsid w:val="00911176"/>
    <w:rsid w:val="00912962"/>
    <w:rsid w:val="00913394"/>
    <w:rsid w:val="00913696"/>
    <w:rsid w:val="00915228"/>
    <w:rsid w:val="0091525B"/>
    <w:rsid w:val="009167F6"/>
    <w:rsid w:val="009177A5"/>
    <w:rsid w:val="009236C8"/>
    <w:rsid w:val="009245D9"/>
    <w:rsid w:val="00925AEE"/>
    <w:rsid w:val="00933CEC"/>
    <w:rsid w:val="00935AA5"/>
    <w:rsid w:val="009418BF"/>
    <w:rsid w:val="00947A14"/>
    <w:rsid w:val="00947C4B"/>
    <w:rsid w:val="0095296E"/>
    <w:rsid w:val="0095462E"/>
    <w:rsid w:val="009610A2"/>
    <w:rsid w:val="00961F33"/>
    <w:rsid w:val="009624B3"/>
    <w:rsid w:val="0096452B"/>
    <w:rsid w:val="00970355"/>
    <w:rsid w:val="00974DA6"/>
    <w:rsid w:val="00982CAC"/>
    <w:rsid w:val="0098308F"/>
    <w:rsid w:val="00985258"/>
    <w:rsid w:val="0098592A"/>
    <w:rsid w:val="00990754"/>
    <w:rsid w:val="00990E4E"/>
    <w:rsid w:val="00991D39"/>
    <w:rsid w:val="009938E9"/>
    <w:rsid w:val="009954BA"/>
    <w:rsid w:val="009A022B"/>
    <w:rsid w:val="009A2ECB"/>
    <w:rsid w:val="009A67B1"/>
    <w:rsid w:val="009A6F44"/>
    <w:rsid w:val="009B3939"/>
    <w:rsid w:val="009B684E"/>
    <w:rsid w:val="009C389C"/>
    <w:rsid w:val="009D0A3E"/>
    <w:rsid w:val="009D17B1"/>
    <w:rsid w:val="009D75E4"/>
    <w:rsid w:val="009D7A34"/>
    <w:rsid w:val="009E0BF4"/>
    <w:rsid w:val="009E1750"/>
    <w:rsid w:val="009E18D0"/>
    <w:rsid w:val="009E2626"/>
    <w:rsid w:val="009E2A4A"/>
    <w:rsid w:val="009E2FC2"/>
    <w:rsid w:val="009E404A"/>
    <w:rsid w:val="009E4F35"/>
    <w:rsid w:val="009E5AC2"/>
    <w:rsid w:val="009E5AD0"/>
    <w:rsid w:val="009E737D"/>
    <w:rsid w:val="009E7A58"/>
    <w:rsid w:val="009F1E27"/>
    <w:rsid w:val="009F204C"/>
    <w:rsid w:val="009F545A"/>
    <w:rsid w:val="009F586E"/>
    <w:rsid w:val="00A1323E"/>
    <w:rsid w:val="00A1324D"/>
    <w:rsid w:val="00A14678"/>
    <w:rsid w:val="00A2269C"/>
    <w:rsid w:val="00A30EDE"/>
    <w:rsid w:val="00A31C7D"/>
    <w:rsid w:val="00A330F0"/>
    <w:rsid w:val="00A34BFE"/>
    <w:rsid w:val="00A4177C"/>
    <w:rsid w:val="00A4208D"/>
    <w:rsid w:val="00A43407"/>
    <w:rsid w:val="00A43C7E"/>
    <w:rsid w:val="00A537F9"/>
    <w:rsid w:val="00A5422D"/>
    <w:rsid w:val="00A559E3"/>
    <w:rsid w:val="00A57903"/>
    <w:rsid w:val="00A620E9"/>
    <w:rsid w:val="00A63784"/>
    <w:rsid w:val="00A64D35"/>
    <w:rsid w:val="00A65CA2"/>
    <w:rsid w:val="00A751E7"/>
    <w:rsid w:val="00A77352"/>
    <w:rsid w:val="00A81985"/>
    <w:rsid w:val="00A82F01"/>
    <w:rsid w:val="00A8669B"/>
    <w:rsid w:val="00A87A3F"/>
    <w:rsid w:val="00A90FC2"/>
    <w:rsid w:val="00A91100"/>
    <w:rsid w:val="00AA418A"/>
    <w:rsid w:val="00AB0D6D"/>
    <w:rsid w:val="00AB49CC"/>
    <w:rsid w:val="00AB5B54"/>
    <w:rsid w:val="00AB5BAF"/>
    <w:rsid w:val="00AD0E5F"/>
    <w:rsid w:val="00AD458D"/>
    <w:rsid w:val="00AD49E7"/>
    <w:rsid w:val="00AE10A3"/>
    <w:rsid w:val="00AE423F"/>
    <w:rsid w:val="00AF1E3B"/>
    <w:rsid w:val="00AF3BBA"/>
    <w:rsid w:val="00AF667B"/>
    <w:rsid w:val="00B0108C"/>
    <w:rsid w:val="00B05740"/>
    <w:rsid w:val="00B11CDF"/>
    <w:rsid w:val="00B21383"/>
    <w:rsid w:val="00B21DC0"/>
    <w:rsid w:val="00B2769F"/>
    <w:rsid w:val="00B3052C"/>
    <w:rsid w:val="00B30CB6"/>
    <w:rsid w:val="00B33CB3"/>
    <w:rsid w:val="00B34D5C"/>
    <w:rsid w:val="00B37F55"/>
    <w:rsid w:val="00B45FCF"/>
    <w:rsid w:val="00B4722D"/>
    <w:rsid w:val="00B5061C"/>
    <w:rsid w:val="00B50C8C"/>
    <w:rsid w:val="00B572ED"/>
    <w:rsid w:val="00B65394"/>
    <w:rsid w:val="00B65CA1"/>
    <w:rsid w:val="00B6610C"/>
    <w:rsid w:val="00B727C2"/>
    <w:rsid w:val="00B767CA"/>
    <w:rsid w:val="00B812D6"/>
    <w:rsid w:val="00B8415B"/>
    <w:rsid w:val="00B85693"/>
    <w:rsid w:val="00B86A7B"/>
    <w:rsid w:val="00B87AF3"/>
    <w:rsid w:val="00B91215"/>
    <w:rsid w:val="00B957D8"/>
    <w:rsid w:val="00B96972"/>
    <w:rsid w:val="00BA1188"/>
    <w:rsid w:val="00BA1B45"/>
    <w:rsid w:val="00BB54B6"/>
    <w:rsid w:val="00BB7D19"/>
    <w:rsid w:val="00BC37D8"/>
    <w:rsid w:val="00BC46A2"/>
    <w:rsid w:val="00BC58FD"/>
    <w:rsid w:val="00BD163D"/>
    <w:rsid w:val="00BD2688"/>
    <w:rsid w:val="00BD4FD2"/>
    <w:rsid w:val="00BE1079"/>
    <w:rsid w:val="00BE273F"/>
    <w:rsid w:val="00BE5622"/>
    <w:rsid w:val="00BE5704"/>
    <w:rsid w:val="00BF0205"/>
    <w:rsid w:val="00BF0D7B"/>
    <w:rsid w:val="00BF3438"/>
    <w:rsid w:val="00C035D2"/>
    <w:rsid w:val="00C1237E"/>
    <w:rsid w:val="00C12996"/>
    <w:rsid w:val="00C20B48"/>
    <w:rsid w:val="00C210F0"/>
    <w:rsid w:val="00C24508"/>
    <w:rsid w:val="00C260E4"/>
    <w:rsid w:val="00C30D95"/>
    <w:rsid w:val="00C35C27"/>
    <w:rsid w:val="00C405D2"/>
    <w:rsid w:val="00C45E94"/>
    <w:rsid w:val="00C470EF"/>
    <w:rsid w:val="00C500C1"/>
    <w:rsid w:val="00C517C0"/>
    <w:rsid w:val="00C521FB"/>
    <w:rsid w:val="00C64665"/>
    <w:rsid w:val="00C64E07"/>
    <w:rsid w:val="00C65CB9"/>
    <w:rsid w:val="00C6653E"/>
    <w:rsid w:val="00C72479"/>
    <w:rsid w:val="00C737E1"/>
    <w:rsid w:val="00C75B4A"/>
    <w:rsid w:val="00C7668A"/>
    <w:rsid w:val="00C76890"/>
    <w:rsid w:val="00C874F4"/>
    <w:rsid w:val="00C9584E"/>
    <w:rsid w:val="00CA0390"/>
    <w:rsid w:val="00CA1C13"/>
    <w:rsid w:val="00CA7D88"/>
    <w:rsid w:val="00CB0B2C"/>
    <w:rsid w:val="00CB16CD"/>
    <w:rsid w:val="00CB351F"/>
    <w:rsid w:val="00CB40B7"/>
    <w:rsid w:val="00CC003C"/>
    <w:rsid w:val="00CC274E"/>
    <w:rsid w:val="00CC3A3D"/>
    <w:rsid w:val="00CC5553"/>
    <w:rsid w:val="00CD1412"/>
    <w:rsid w:val="00CD4726"/>
    <w:rsid w:val="00CD50D2"/>
    <w:rsid w:val="00CD5127"/>
    <w:rsid w:val="00CD654A"/>
    <w:rsid w:val="00CD6DAB"/>
    <w:rsid w:val="00CE1799"/>
    <w:rsid w:val="00CE6A62"/>
    <w:rsid w:val="00CF17E1"/>
    <w:rsid w:val="00CF1EEF"/>
    <w:rsid w:val="00CF2FA1"/>
    <w:rsid w:val="00D0319F"/>
    <w:rsid w:val="00D1102D"/>
    <w:rsid w:val="00D15203"/>
    <w:rsid w:val="00D152A1"/>
    <w:rsid w:val="00D16A48"/>
    <w:rsid w:val="00D201F9"/>
    <w:rsid w:val="00D265DA"/>
    <w:rsid w:val="00D33782"/>
    <w:rsid w:val="00D33996"/>
    <w:rsid w:val="00D454DD"/>
    <w:rsid w:val="00D50B0D"/>
    <w:rsid w:val="00D52FDB"/>
    <w:rsid w:val="00D54F58"/>
    <w:rsid w:val="00D606F4"/>
    <w:rsid w:val="00D7019B"/>
    <w:rsid w:val="00D704C0"/>
    <w:rsid w:val="00D7321D"/>
    <w:rsid w:val="00D75A96"/>
    <w:rsid w:val="00D81FC1"/>
    <w:rsid w:val="00D83E08"/>
    <w:rsid w:val="00D85B9A"/>
    <w:rsid w:val="00D8609F"/>
    <w:rsid w:val="00D87A8D"/>
    <w:rsid w:val="00DA0AF3"/>
    <w:rsid w:val="00DA1224"/>
    <w:rsid w:val="00DA1EE0"/>
    <w:rsid w:val="00DA3CFD"/>
    <w:rsid w:val="00DA5F12"/>
    <w:rsid w:val="00DA6DA2"/>
    <w:rsid w:val="00DB0026"/>
    <w:rsid w:val="00DB13FF"/>
    <w:rsid w:val="00DB2FAF"/>
    <w:rsid w:val="00DB3F0D"/>
    <w:rsid w:val="00DB4269"/>
    <w:rsid w:val="00DB4FEC"/>
    <w:rsid w:val="00DC45A4"/>
    <w:rsid w:val="00DC7FA8"/>
    <w:rsid w:val="00DD218A"/>
    <w:rsid w:val="00DE372F"/>
    <w:rsid w:val="00DE42B7"/>
    <w:rsid w:val="00DE6C1E"/>
    <w:rsid w:val="00DE6F95"/>
    <w:rsid w:val="00DF0D1A"/>
    <w:rsid w:val="00DF173B"/>
    <w:rsid w:val="00DF2DB4"/>
    <w:rsid w:val="00DF49B5"/>
    <w:rsid w:val="00DF5825"/>
    <w:rsid w:val="00DF60E1"/>
    <w:rsid w:val="00DF6174"/>
    <w:rsid w:val="00E007A3"/>
    <w:rsid w:val="00E029FF"/>
    <w:rsid w:val="00E03023"/>
    <w:rsid w:val="00E04A3B"/>
    <w:rsid w:val="00E051E0"/>
    <w:rsid w:val="00E11067"/>
    <w:rsid w:val="00E12FDB"/>
    <w:rsid w:val="00E130A5"/>
    <w:rsid w:val="00E15718"/>
    <w:rsid w:val="00E20286"/>
    <w:rsid w:val="00E2133B"/>
    <w:rsid w:val="00E217B6"/>
    <w:rsid w:val="00E27ECA"/>
    <w:rsid w:val="00E312B2"/>
    <w:rsid w:val="00E34A2F"/>
    <w:rsid w:val="00E35492"/>
    <w:rsid w:val="00E41A7B"/>
    <w:rsid w:val="00E4245B"/>
    <w:rsid w:val="00E43658"/>
    <w:rsid w:val="00E43F9F"/>
    <w:rsid w:val="00E4472E"/>
    <w:rsid w:val="00E46FE8"/>
    <w:rsid w:val="00E506E0"/>
    <w:rsid w:val="00E544A2"/>
    <w:rsid w:val="00E54E98"/>
    <w:rsid w:val="00E54EBF"/>
    <w:rsid w:val="00E55441"/>
    <w:rsid w:val="00E57302"/>
    <w:rsid w:val="00E6491E"/>
    <w:rsid w:val="00E64EA4"/>
    <w:rsid w:val="00E67A5D"/>
    <w:rsid w:val="00E74A41"/>
    <w:rsid w:val="00E80809"/>
    <w:rsid w:val="00E83C78"/>
    <w:rsid w:val="00E8739C"/>
    <w:rsid w:val="00E927DD"/>
    <w:rsid w:val="00EA2336"/>
    <w:rsid w:val="00EA470A"/>
    <w:rsid w:val="00EA487A"/>
    <w:rsid w:val="00EB0209"/>
    <w:rsid w:val="00EB0FA0"/>
    <w:rsid w:val="00EB1CFE"/>
    <w:rsid w:val="00EB3F3C"/>
    <w:rsid w:val="00EB7FE6"/>
    <w:rsid w:val="00EC5D37"/>
    <w:rsid w:val="00ED7479"/>
    <w:rsid w:val="00EE1649"/>
    <w:rsid w:val="00EE40C6"/>
    <w:rsid w:val="00EE4229"/>
    <w:rsid w:val="00EE69C8"/>
    <w:rsid w:val="00EE74C1"/>
    <w:rsid w:val="00EE7763"/>
    <w:rsid w:val="00EE787A"/>
    <w:rsid w:val="00EE7ABD"/>
    <w:rsid w:val="00EF118C"/>
    <w:rsid w:val="00EF589B"/>
    <w:rsid w:val="00F02B97"/>
    <w:rsid w:val="00F048F3"/>
    <w:rsid w:val="00F058DF"/>
    <w:rsid w:val="00F24B0D"/>
    <w:rsid w:val="00F25C84"/>
    <w:rsid w:val="00F31B31"/>
    <w:rsid w:val="00F36356"/>
    <w:rsid w:val="00F36D25"/>
    <w:rsid w:val="00F4213B"/>
    <w:rsid w:val="00F45D3F"/>
    <w:rsid w:val="00F538A1"/>
    <w:rsid w:val="00F558E5"/>
    <w:rsid w:val="00F56831"/>
    <w:rsid w:val="00F62BDC"/>
    <w:rsid w:val="00F66AD8"/>
    <w:rsid w:val="00F67343"/>
    <w:rsid w:val="00F67D05"/>
    <w:rsid w:val="00F75C30"/>
    <w:rsid w:val="00F827BC"/>
    <w:rsid w:val="00F84BA0"/>
    <w:rsid w:val="00F85466"/>
    <w:rsid w:val="00F911BA"/>
    <w:rsid w:val="00F91960"/>
    <w:rsid w:val="00F932D0"/>
    <w:rsid w:val="00F93D19"/>
    <w:rsid w:val="00F96021"/>
    <w:rsid w:val="00F96078"/>
    <w:rsid w:val="00F976FB"/>
    <w:rsid w:val="00FA0A7C"/>
    <w:rsid w:val="00FA19F1"/>
    <w:rsid w:val="00FA1B3F"/>
    <w:rsid w:val="00FA54A0"/>
    <w:rsid w:val="00FA5A45"/>
    <w:rsid w:val="00FA7749"/>
    <w:rsid w:val="00FB315F"/>
    <w:rsid w:val="00FB4566"/>
    <w:rsid w:val="00FB4D59"/>
    <w:rsid w:val="00FB7F96"/>
    <w:rsid w:val="00FC72EB"/>
    <w:rsid w:val="00FD0695"/>
    <w:rsid w:val="00FD2DFA"/>
    <w:rsid w:val="00FD5027"/>
    <w:rsid w:val="00FD5427"/>
    <w:rsid w:val="00FE592D"/>
    <w:rsid w:val="00FF12E6"/>
    <w:rsid w:val="00FF1A82"/>
    <w:rsid w:val="00FF2D11"/>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9018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ECA"/>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0CFE"/>
    <w:pPr>
      <w:tabs>
        <w:tab w:val="center" w:pos="4320"/>
        <w:tab w:val="right" w:pos="8640"/>
      </w:tabs>
      <w:ind w:right="-900"/>
    </w:pPr>
    <w:rPr>
      <w:szCs w:val="20"/>
      <w:lang w:val="en-US"/>
    </w:rPr>
  </w:style>
  <w:style w:type="character" w:customStyle="1" w:styleId="HeaderChar">
    <w:name w:val="Header Char"/>
    <w:link w:val="Header"/>
    <w:uiPriority w:val="99"/>
    <w:locked/>
    <w:rsid w:val="00470CFE"/>
    <w:rPr>
      <w:sz w:val="24"/>
      <w:lang w:val="en-US" w:eastAsia="en-US" w:bidi="ar-SA"/>
    </w:rPr>
  </w:style>
  <w:style w:type="paragraph" w:styleId="Footer">
    <w:name w:val="footer"/>
    <w:basedOn w:val="Normal"/>
    <w:link w:val="FooterChar"/>
    <w:rsid w:val="00470CFE"/>
    <w:pPr>
      <w:tabs>
        <w:tab w:val="center" w:pos="4320"/>
        <w:tab w:val="right" w:pos="8640"/>
      </w:tabs>
    </w:pPr>
    <w:rPr>
      <w:lang w:val="en-GB"/>
    </w:rPr>
  </w:style>
  <w:style w:type="character" w:customStyle="1" w:styleId="FooterChar">
    <w:name w:val="Footer Char"/>
    <w:link w:val="Footer"/>
    <w:semiHidden/>
    <w:locked/>
    <w:rsid w:val="00470CFE"/>
    <w:rPr>
      <w:sz w:val="24"/>
      <w:szCs w:val="24"/>
      <w:lang w:val="en-GB" w:eastAsia="en-US" w:bidi="ar-SA"/>
    </w:rPr>
  </w:style>
  <w:style w:type="character" w:styleId="PageNumber">
    <w:name w:val="page number"/>
    <w:rsid w:val="00470CFE"/>
    <w:rPr>
      <w:rFonts w:cs="Times New Roman"/>
    </w:rPr>
  </w:style>
  <w:style w:type="paragraph" w:customStyle="1" w:styleId="ColorfulList-Accent11">
    <w:name w:val="Colorful List - Accent 11"/>
    <w:basedOn w:val="Normal"/>
    <w:uiPriority w:val="34"/>
    <w:qFormat/>
    <w:rsid w:val="00470CFE"/>
    <w:pPr>
      <w:ind w:left="720"/>
      <w:contextualSpacing/>
    </w:pPr>
  </w:style>
  <w:style w:type="paragraph" w:styleId="FootnoteText">
    <w:name w:val="footnote text"/>
    <w:basedOn w:val="Normal"/>
    <w:link w:val="FootnoteTextChar"/>
    <w:rsid w:val="004E02F6"/>
    <w:rPr>
      <w:sz w:val="20"/>
      <w:szCs w:val="20"/>
      <w:lang w:eastAsia="x-none"/>
    </w:rPr>
  </w:style>
  <w:style w:type="character" w:styleId="FootnoteReference">
    <w:name w:val="footnote reference"/>
    <w:rsid w:val="004E02F6"/>
    <w:rPr>
      <w:vertAlign w:val="superscript"/>
    </w:rPr>
  </w:style>
  <w:style w:type="paragraph" w:styleId="BalloonText">
    <w:name w:val="Balloon Text"/>
    <w:basedOn w:val="Normal"/>
    <w:semiHidden/>
    <w:rsid w:val="00C40887"/>
    <w:rPr>
      <w:rFonts w:ascii="Tahoma" w:hAnsi="Tahoma" w:cs="Tahoma"/>
      <w:sz w:val="16"/>
      <w:szCs w:val="16"/>
    </w:rPr>
  </w:style>
  <w:style w:type="paragraph" w:customStyle="1" w:styleId="Prrafodelista1">
    <w:name w:val="Párrafo de lista1"/>
    <w:basedOn w:val="Normal"/>
    <w:rsid w:val="000B6E38"/>
    <w:pPr>
      <w:ind w:left="720"/>
      <w:contextualSpacing/>
    </w:pPr>
    <w:rPr>
      <w:lang w:val="en-US"/>
    </w:rPr>
  </w:style>
  <w:style w:type="paragraph" w:styleId="CommentText">
    <w:name w:val="annotation text"/>
    <w:basedOn w:val="Normal"/>
    <w:link w:val="CommentTextChar"/>
    <w:semiHidden/>
    <w:rsid w:val="000B6E38"/>
    <w:rPr>
      <w:sz w:val="20"/>
      <w:szCs w:val="20"/>
    </w:rPr>
  </w:style>
  <w:style w:type="paragraph" w:styleId="BodyTextIndent3">
    <w:name w:val="Body Text Indent 3"/>
    <w:basedOn w:val="Normal"/>
    <w:rsid w:val="0041419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ind w:left="360"/>
      <w:jc w:val="both"/>
    </w:pPr>
    <w:rPr>
      <w:rFonts w:ascii="CG Times" w:hAnsi="CG Times"/>
      <w:sz w:val="16"/>
      <w:szCs w:val="16"/>
    </w:rPr>
  </w:style>
  <w:style w:type="character" w:styleId="CommentReference">
    <w:name w:val="annotation reference"/>
    <w:semiHidden/>
    <w:rsid w:val="006623C0"/>
    <w:rPr>
      <w:sz w:val="16"/>
      <w:szCs w:val="16"/>
    </w:rPr>
  </w:style>
  <w:style w:type="character" w:customStyle="1" w:styleId="CommentTextChar">
    <w:name w:val="Comment Text Char"/>
    <w:link w:val="CommentText"/>
    <w:semiHidden/>
    <w:locked/>
    <w:rsid w:val="003752F5"/>
    <w:rPr>
      <w:lang w:val="es-ES" w:eastAsia="en-US" w:bidi="ar-SA"/>
    </w:rPr>
  </w:style>
  <w:style w:type="character" w:customStyle="1" w:styleId="FootnoteTextChar">
    <w:name w:val="Footnote Text Char"/>
    <w:link w:val="FootnoteText"/>
    <w:rsid w:val="00626AB2"/>
    <w:rPr>
      <w:lang w:val="es-ES"/>
    </w:rPr>
  </w:style>
  <w:style w:type="paragraph" w:styleId="ListParagraph">
    <w:name w:val="List Paragraph"/>
    <w:basedOn w:val="Normal"/>
    <w:link w:val="ListParagraphChar"/>
    <w:uiPriority w:val="34"/>
    <w:qFormat/>
    <w:rsid w:val="003A13F2"/>
    <w:pPr>
      <w:ind w:left="720"/>
    </w:pPr>
  </w:style>
  <w:style w:type="paragraph" w:styleId="CommentSubject">
    <w:name w:val="annotation subject"/>
    <w:basedOn w:val="CommentText"/>
    <w:next w:val="CommentText"/>
    <w:link w:val="CommentSubjectChar"/>
    <w:rsid w:val="00E35492"/>
    <w:rPr>
      <w:b/>
      <w:bCs/>
    </w:rPr>
  </w:style>
  <w:style w:type="character" w:customStyle="1" w:styleId="CommentSubjectChar">
    <w:name w:val="Comment Subject Char"/>
    <w:link w:val="CommentSubject"/>
    <w:rsid w:val="00E35492"/>
    <w:rPr>
      <w:b/>
      <w:bCs/>
      <w:lang w:val="es-ES" w:eastAsia="en-US" w:bidi="ar-SA"/>
    </w:rPr>
  </w:style>
  <w:style w:type="character" w:styleId="Hyperlink">
    <w:name w:val="Hyperlink"/>
    <w:uiPriority w:val="99"/>
    <w:unhideWhenUsed/>
    <w:rsid w:val="006C3D51"/>
    <w:rPr>
      <w:strike w:val="0"/>
      <w:dstrike w:val="0"/>
      <w:color w:val="0D499C"/>
      <w:u w:val="none"/>
      <w:effect w:val="none"/>
    </w:rPr>
  </w:style>
  <w:style w:type="character" w:customStyle="1" w:styleId="normaltextrun">
    <w:name w:val="normaltextrun"/>
    <w:basedOn w:val="DefaultParagraphFont"/>
    <w:rsid w:val="00933CEC"/>
  </w:style>
  <w:style w:type="character" w:customStyle="1" w:styleId="tabchar">
    <w:name w:val="tabchar"/>
    <w:basedOn w:val="DefaultParagraphFont"/>
    <w:rsid w:val="00933CEC"/>
  </w:style>
  <w:style w:type="character" w:customStyle="1" w:styleId="eop">
    <w:name w:val="eop"/>
    <w:basedOn w:val="DefaultParagraphFont"/>
    <w:rsid w:val="00A91100"/>
  </w:style>
  <w:style w:type="paragraph" w:styleId="Revision">
    <w:name w:val="Revision"/>
    <w:hidden/>
    <w:uiPriority w:val="99"/>
    <w:semiHidden/>
    <w:rsid w:val="0010038D"/>
    <w:rPr>
      <w:sz w:val="24"/>
      <w:szCs w:val="24"/>
      <w:lang w:val="es-ES"/>
    </w:rPr>
  </w:style>
  <w:style w:type="character" w:customStyle="1" w:styleId="longtext">
    <w:name w:val="long_text"/>
    <w:basedOn w:val="DefaultParagraphFont"/>
    <w:rsid w:val="001E6B0B"/>
  </w:style>
  <w:style w:type="paragraph" w:styleId="BodyText">
    <w:name w:val="Body Text"/>
    <w:basedOn w:val="Normal"/>
    <w:link w:val="BodyTextChar"/>
    <w:rsid w:val="003119B2"/>
    <w:pPr>
      <w:spacing w:after="120"/>
    </w:pPr>
  </w:style>
  <w:style w:type="character" w:customStyle="1" w:styleId="BodyTextChar">
    <w:name w:val="Body Text Char"/>
    <w:basedOn w:val="DefaultParagraphFont"/>
    <w:link w:val="BodyText"/>
    <w:rsid w:val="003119B2"/>
    <w:rPr>
      <w:sz w:val="24"/>
      <w:szCs w:val="24"/>
      <w:lang w:val="es-ES"/>
    </w:rPr>
  </w:style>
  <w:style w:type="character" w:customStyle="1" w:styleId="ListParagraphChar">
    <w:name w:val="List Paragraph Char"/>
    <w:link w:val="ListParagraph"/>
    <w:uiPriority w:val="34"/>
    <w:locked/>
    <w:rsid w:val="003119B2"/>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4960">
      <w:bodyDiv w:val="1"/>
      <w:marLeft w:val="0"/>
      <w:marRight w:val="0"/>
      <w:marTop w:val="0"/>
      <w:marBottom w:val="0"/>
      <w:divBdr>
        <w:top w:val="none" w:sz="0" w:space="0" w:color="auto"/>
        <w:left w:val="none" w:sz="0" w:space="0" w:color="auto"/>
        <w:bottom w:val="none" w:sz="0" w:space="0" w:color="auto"/>
        <w:right w:val="none" w:sz="0" w:space="0" w:color="auto"/>
      </w:divBdr>
    </w:div>
    <w:div w:id="610556879">
      <w:bodyDiv w:val="1"/>
      <w:marLeft w:val="0"/>
      <w:marRight w:val="0"/>
      <w:marTop w:val="0"/>
      <w:marBottom w:val="0"/>
      <w:divBdr>
        <w:top w:val="none" w:sz="0" w:space="0" w:color="auto"/>
        <w:left w:val="none" w:sz="0" w:space="0" w:color="auto"/>
        <w:bottom w:val="none" w:sz="0" w:space="0" w:color="auto"/>
        <w:right w:val="none" w:sz="0" w:space="0" w:color="auto"/>
      </w:divBdr>
    </w:div>
    <w:div w:id="746342784">
      <w:bodyDiv w:val="1"/>
      <w:marLeft w:val="0"/>
      <w:marRight w:val="0"/>
      <w:marTop w:val="0"/>
      <w:marBottom w:val="0"/>
      <w:divBdr>
        <w:top w:val="none" w:sz="0" w:space="0" w:color="auto"/>
        <w:left w:val="none" w:sz="0" w:space="0" w:color="auto"/>
        <w:bottom w:val="none" w:sz="0" w:space="0" w:color="auto"/>
        <w:right w:val="none" w:sz="0" w:space="0" w:color="auto"/>
      </w:divBdr>
    </w:div>
    <w:div w:id="758477657">
      <w:bodyDiv w:val="1"/>
      <w:marLeft w:val="0"/>
      <w:marRight w:val="0"/>
      <w:marTop w:val="0"/>
      <w:marBottom w:val="0"/>
      <w:divBdr>
        <w:top w:val="none" w:sz="0" w:space="0" w:color="auto"/>
        <w:left w:val="none" w:sz="0" w:space="0" w:color="auto"/>
        <w:bottom w:val="none" w:sz="0" w:space="0" w:color="auto"/>
        <w:right w:val="none" w:sz="0" w:space="0" w:color="auto"/>
      </w:divBdr>
    </w:div>
    <w:div w:id="800877679">
      <w:bodyDiv w:val="1"/>
      <w:marLeft w:val="0"/>
      <w:marRight w:val="0"/>
      <w:marTop w:val="0"/>
      <w:marBottom w:val="0"/>
      <w:divBdr>
        <w:top w:val="none" w:sz="0" w:space="0" w:color="auto"/>
        <w:left w:val="none" w:sz="0" w:space="0" w:color="auto"/>
        <w:bottom w:val="none" w:sz="0" w:space="0" w:color="auto"/>
        <w:right w:val="none" w:sz="0" w:space="0" w:color="auto"/>
      </w:divBdr>
    </w:div>
    <w:div w:id="1041593686">
      <w:bodyDiv w:val="1"/>
      <w:marLeft w:val="0"/>
      <w:marRight w:val="0"/>
      <w:marTop w:val="0"/>
      <w:marBottom w:val="0"/>
      <w:divBdr>
        <w:top w:val="none" w:sz="0" w:space="0" w:color="auto"/>
        <w:left w:val="none" w:sz="0" w:space="0" w:color="auto"/>
        <w:bottom w:val="none" w:sz="0" w:space="0" w:color="auto"/>
        <w:right w:val="none" w:sz="0" w:space="0" w:color="auto"/>
      </w:divBdr>
      <w:divsChild>
        <w:div w:id="245498109">
          <w:marLeft w:val="0"/>
          <w:marRight w:val="0"/>
          <w:marTop w:val="0"/>
          <w:marBottom w:val="0"/>
          <w:divBdr>
            <w:top w:val="none" w:sz="0" w:space="0" w:color="auto"/>
            <w:left w:val="none" w:sz="0" w:space="0" w:color="auto"/>
            <w:bottom w:val="none" w:sz="0" w:space="0" w:color="auto"/>
            <w:right w:val="none" w:sz="0" w:space="0" w:color="auto"/>
          </w:divBdr>
        </w:div>
        <w:div w:id="429542612">
          <w:marLeft w:val="0"/>
          <w:marRight w:val="0"/>
          <w:marTop w:val="0"/>
          <w:marBottom w:val="0"/>
          <w:divBdr>
            <w:top w:val="none" w:sz="0" w:space="0" w:color="auto"/>
            <w:left w:val="none" w:sz="0" w:space="0" w:color="auto"/>
            <w:bottom w:val="none" w:sz="0" w:space="0" w:color="auto"/>
            <w:right w:val="none" w:sz="0" w:space="0" w:color="auto"/>
          </w:divBdr>
        </w:div>
        <w:div w:id="1145975292">
          <w:marLeft w:val="0"/>
          <w:marRight w:val="0"/>
          <w:marTop w:val="0"/>
          <w:marBottom w:val="0"/>
          <w:divBdr>
            <w:top w:val="none" w:sz="0" w:space="0" w:color="auto"/>
            <w:left w:val="none" w:sz="0" w:space="0" w:color="auto"/>
            <w:bottom w:val="none" w:sz="0" w:space="0" w:color="auto"/>
            <w:right w:val="none" w:sz="0" w:space="0" w:color="auto"/>
          </w:divBdr>
        </w:div>
        <w:div w:id="1473713217">
          <w:marLeft w:val="0"/>
          <w:marRight w:val="0"/>
          <w:marTop w:val="0"/>
          <w:marBottom w:val="0"/>
          <w:divBdr>
            <w:top w:val="none" w:sz="0" w:space="0" w:color="auto"/>
            <w:left w:val="none" w:sz="0" w:space="0" w:color="auto"/>
            <w:bottom w:val="none" w:sz="0" w:space="0" w:color="auto"/>
            <w:right w:val="none" w:sz="0" w:space="0" w:color="auto"/>
          </w:divBdr>
        </w:div>
        <w:div w:id="1840729332">
          <w:marLeft w:val="0"/>
          <w:marRight w:val="0"/>
          <w:marTop w:val="0"/>
          <w:marBottom w:val="0"/>
          <w:divBdr>
            <w:top w:val="none" w:sz="0" w:space="0" w:color="auto"/>
            <w:left w:val="none" w:sz="0" w:space="0" w:color="auto"/>
            <w:bottom w:val="none" w:sz="0" w:space="0" w:color="auto"/>
            <w:right w:val="none" w:sz="0" w:space="0" w:color="auto"/>
          </w:divBdr>
        </w:div>
        <w:div w:id="2056393411">
          <w:marLeft w:val="0"/>
          <w:marRight w:val="0"/>
          <w:marTop w:val="0"/>
          <w:marBottom w:val="0"/>
          <w:divBdr>
            <w:top w:val="none" w:sz="0" w:space="0" w:color="auto"/>
            <w:left w:val="none" w:sz="0" w:space="0" w:color="auto"/>
            <w:bottom w:val="none" w:sz="0" w:space="0" w:color="auto"/>
            <w:right w:val="none" w:sz="0" w:space="0" w:color="auto"/>
          </w:divBdr>
        </w:div>
      </w:divsChild>
    </w:div>
    <w:div w:id="1724255793">
      <w:bodyDiv w:val="1"/>
      <w:marLeft w:val="0"/>
      <w:marRight w:val="0"/>
      <w:marTop w:val="0"/>
      <w:marBottom w:val="0"/>
      <w:divBdr>
        <w:top w:val="none" w:sz="0" w:space="0" w:color="auto"/>
        <w:left w:val="none" w:sz="0" w:space="0" w:color="auto"/>
        <w:bottom w:val="none" w:sz="0" w:space="0" w:color="auto"/>
        <w:right w:val="none" w:sz="0" w:space="0" w:color="auto"/>
      </w:divBdr>
    </w:div>
    <w:div w:id="2121334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4C177-F14D-4445-B9D4-296BA2E184E5}">
  <ds:schemaRefs>
    <ds:schemaRef ds:uri="http://schemas.microsoft.com/sharepoint/v3/contenttype/forms"/>
  </ds:schemaRefs>
</ds:datastoreItem>
</file>

<file path=customXml/itemProps2.xml><?xml version="1.0" encoding="utf-8"?>
<ds:datastoreItem xmlns:ds="http://schemas.openxmlformats.org/officeDocument/2006/customXml" ds:itemID="{6058BF02-D829-4E07-A8B0-AC6F0979128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6ACBC97-DB38-4436-8E2D-F8AC1268C378}">
  <ds:schemaRefs>
    <ds:schemaRef ds:uri="http://schemas.openxmlformats.org/officeDocument/2006/bibliography"/>
  </ds:schemaRefs>
</ds:datastoreItem>
</file>

<file path=customXml/itemProps4.xml><?xml version="1.0" encoding="utf-8"?>
<ds:datastoreItem xmlns:ds="http://schemas.openxmlformats.org/officeDocument/2006/customXml" ds:itemID="{790355F9-72A7-4E04-B76D-69CE4D6F1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4402</Words>
  <Characters>25092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SECOND TECHNICAL PREPARATORY MEETING</vt:lpstr>
    </vt:vector>
  </TitlesOfParts>
  <LinksUpToDate>false</LinksUpToDate>
  <CharactersWithSpaces>29436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TECHNICAL PREPARATORY MEETING</dc:title>
  <dc:subject/>
  <dc:creator/>
  <cp:keywords/>
  <cp:lastModifiedBy/>
  <cp:revision>1</cp:revision>
  <cp:lastPrinted>1900-01-01T10:30:00Z</cp:lastPrinted>
  <dcterms:created xsi:type="dcterms:W3CDTF">2021-12-09T17:43:00Z</dcterms:created>
  <dcterms:modified xsi:type="dcterms:W3CDTF">2021-12-09T17:43:00Z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