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40E3D98C" w:rsidR="003F62F8" w:rsidRPr="00E857DA" w:rsidRDefault="006522D4" w:rsidP="006522D4">
      <w:pPr>
        <w:tabs>
          <w:tab w:val="left" w:pos="6840"/>
        </w:tabs>
        <w:ind w:hanging="90"/>
        <w:jc w:val="both"/>
        <w:rPr>
          <w:sz w:val="22"/>
          <w:szCs w:val="22"/>
          <w:lang w:val="pt-BR"/>
        </w:rPr>
      </w:pPr>
      <w:r>
        <w:rPr>
          <w:b/>
          <w:bCs/>
          <w:sz w:val="22"/>
          <w:szCs w:val="20"/>
          <w:lang w:val="pt-BR"/>
        </w:rPr>
        <w:t xml:space="preserve">NONA </w:t>
      </w:r>
      <w:r w:rsidR="00270ED8" w:rsidRPr="00270ED8">
        <w:rPr>
          <w:b/>
          <w:bCs/>
          <w:sz w:val="22"/>
          <w:szCs w:val="20"/>
          <w:lang w:val="pt-BR"/>
        </w:rPr>
        <w:t xml:space="preserve">REUNIÃO INTERAMERICANA </w:t>
      </w:r>
      <w:r w:rsidR="008C6517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0"/>
          <w:lang w:val="pt-BR"/>
        </w:rPr>
        <w:t xml:space="preserve">DE MINISTROS </w:t>
      </w:r>
      <w:r w:rsidR="008C6517" w:rsidRPr="008C6517">
        <w:rPr>
          <w:b/>
          <w:sz w:val="22"/>
          <w:szCs w:val="22"/>
          <w:lang w:val="pt-BR"/>
        </w:rPr>
        <w:t xml:space="preserve"> </w:t>
      </w:r>
      <w:r w:rsidR="0034560B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E857DA">
        <w:rPr>
          <w:snapToGrid w:val="0"/>
          <w:sz w:val="22"/>
          <w:szCs w:val="22"/>
          <w:lang w:val="pt-BR"/>
        </w:rPr>
        <w:t>OEA/Ser.</w:t>
      </w:r>
      <w:r>
        <w:rPr>
          <w:snapToGrid w:val="0"/>
          <w:sz w:val="22"/>
          <w:szCs w:val="22"/>
          <w:lang w:val="pt-BR"/>
        </w:rPr>
        <w:t xml:space="preserve"> </w:t>
      </w:r>
      <w:r w:rsidR="003F62F8" w:rsidRPr="00E857DA">
        <w:rPr>
          <w:snapToGrid w:val="0"/>
          <w:sz w:val="22"/>
          <w:szCs w:val="22"/>
          <w:lang w:val="pt-BR"/>
        </w:rPr>
        <w:t>K/</w:t>
      </w:r>
      <w:r>
        <w:rPr>
          <w:snapToGrid w:val="0"/>
          <w:sz w:val="22"/>
          <w:szCs w:val="22"/>
          <w:lang w:val="pt-BR"/>
        </w:rPr>
        <w:t>XXVII.9</w:t>
      </w:r>
    </w:p>
    <w:p w14:paraId="36F3A146" w14:textId="6DC65F19" w:rsidR="00D16A48" w:rsidRPr="00270ED8" w:rsidRDefault="006522D4" w:rsidP="00BB7EB1">
      <w:pPr>
        <w:tabs>
          <w:tab w:val="left" w:pos="6840"/>
        </w:tabs>
        <w:ind w:right="-839" w:hanging="90"/>
        <w:rPr>
          <w:b/>
          <w:bCs/>
          <w:sz w:val="22"/>
          <w:szCs w:val="22"/>
          <w:lang w:val="pt-BR"/>
        </w:rPr>
      </w:pPr>
      <w:r w:rsidRPr="006522D4">
        <w:rPr>
          <w:b/>
          <w:bCs/>
          <w:sz w:val="22"/>
          <w:szCs w:val="22"/>
          <w:lang w:val="pt-BR"/>
        </w:rPr>
        <w:t>E MÁXIMAS AUTORIDADES DA CULTURA</w:t>
      </w:r>
      <w:r w:rsidRPr="00270ED8">
        <w:rPr>
          <w:bCs/>
          <w:sz w:val="22"/>
          <w:szCs w:val="22"/>
          <w:lang w:val="pt-BR"/>
        </w:rPr>
        <w:t xml:space="preserve"> </w:t>
      </w:r>
      <w:r>
        <w:rPr>
          <w:bCs/>
          <w:sz w:val="22"/>
          <w:szCs w:val="22"/>
          <w:lang w:val="pt-BR"/>
        </w:rPr>
        <w:tab/>
      </w:r>
      <w:r w:rsidR="003F62F8" w:rsidRPr="00270ED8">
        <w:rPr>
          <w:bCs/>
          <w:sz w:val="22"/>
          <w:szCs w:val="22"/>
          <w:lang w:val="pt-BR"/>
        </w:rPr>
        <w:t>CIDI/</w:t>
      </w:r>
      <w:r w:rsidR="00270ED8" w:rsidRPr="00270ED8">
        <w:rPr>
          <w:bCs/>
          <w:sz w:val="22"/>
          <w:szCs w:val="22"/>
          <w:lang w:val="pt-BR"/>
        </w:rPr>
        <w:t>R</w:t>
      </w:r>
      <w:r>
        <w:rPr>
          <w:bCs/>
          <w:sz w:val="22"/>
          <w:szCs w:val="22"/>
          <w:lang w:val="pt-BR"/>
        </w:rPr>
        <w:t>EMIC-IX</w:t>
      </w:r>
      <w:r w:rsidR="00270ED8" w:rsidRPr="00270ED8">
        <w:rPr>
          <w:bCs/>
          <w:sz w:val="22"/>
          <w:szCs w:val="22"/>
          <w:lang w:val="pt-BR"/>
        </w:rPr>
        <w:t>/</w:t>
      </w:r>
      <w:r w:rsidR="00E506E0" w:rsidRPr="00270ED8">
        <w:rPr>
          <w:bCs/>
          <w:snapToGrid w:val="0"/>
          <w:sz w:val="22"/>
          <w:szCs w:val="22"/>
          <w:lang w:val="pt-BR"/>
        </w:rPr>
        <w:t>doc.</w:t>
      </w:r>
      <w:r w:rsidR="00A04884">
        <w:rPr>
          <w:bCs/>
          <w:snapToGrid w:val="0"/>
          <w:sz w:val="22"/>
          <w:szCs w:val="22"/>
          <w:lang w:val="pt-BR"/>
        </w:rPr>
        <w:t xml:space="preserve"> </w:t>
      </w:r>
      <w:r w:rsidR="001637F7">
        <w:rPr>
          <w:bCs/>
          <w:snapToGrid w:val="0"/>
          <w:sz w:val="22"/>
          <w:szCs w:val="22"/>
          <w:lang w:val="pt-BR"/>
        </w:rPr>
        <w:t>2</w:t>
      </w:r>
      <w:r>
        <w:rPr>
          <w:bCs/>
          <w:snapToGrid w:val="0"/>
          <w:sz w:val="22"/>
          <w:szCs w:val="22"/>
          <w:lang w:val="pt-BR"/>
        </w:rPr>
        <w:t>/</w:t>
      </w:r>
      <w:r w:rsidR="00502A58" w:rsidRPr="00270ED8">
        <w:rPr>
          <w:bCs/>
          <w:snapToGrid w:val="0"/>
          <w:sz w:val="22"/>
          <w:szCs w:val="22"/>
          <w:lang w:val="pt-BR"/>
        </w:rPr>
        <w:t>2</w:t>
      </w:r>
      <w:r w:rsidR="00270ED8" w:rsidRPr="00270ED8">
        <w:rPr>
          <w:bCs/>
          <w:snapToGrid w:val="0"/>
          <w:sz w:val="22"/>
          <w:szCs w:val="22"/>
          <w:lang w:val="pt-BR"/>
        </w:rPr>
        <w:t>2</w:t>
      </w:r>
      <w:r w:rsidR="000B340F">
        <w:rPr>
          <w:snapToGrid w:val="0"/>
          <w:sz w:val="22"/>
          <w:szCs w:val="22"/>
          <w:lang w:val="pt-BR"/>
        </w:rPr>
        <w:t xml:space="preserve"> </w:t>
      </w:r>
      <w:r w:rsidR="00BB7EB1">
        <w:rPr>
          <w:snapToGrid w:val="0"/>
          <w:sz w:val="22"/>
          <w:szCs w:val="22"/>
          <w:lang w:val="pt-BR"/>
        </w:rPr>
        <w:t>rev.1</w:t>
      </w:r>
    </w:p>
    <w:p w14:paraId="3B7EC06A" w14:textId="50EE55CB" w:rsidR="003F62F8" w:rsidRPr="00E857DA" w:rsidRDefault="00E26C84" w:rsidP="006522D4">
      <w:pPr>
        <w:tabs>
          <w:tab w:val="left" w:pos="6840"/>
        </w:tabs>
        <w:ind w:left="-270" w:right="-1109" w:firstLine="180"/>
        <w:jc w:val="both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</w:t>
      </w:r>
      <w:r w:rsidR="006522D4">
        <w:rPr>
          <w:sz w:val="22"/>
          <w:szCs w:val="22"/>
          <w:lang w:val="pt-BR"/>
        </w:rPr>
        <w:t>27</w:t>
      </w:r>
      <w:r w:rsidR="00270ED8" w:rsidRPr="00270ED8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 w:rsidR="00270ED8" w:rsidRPr="00270ED8">
        <w:rPr>
          <w:sz w:val="22"/>
          <w:szCs w:val="22"/>
          <w:lang w:val="pt-BR"/>
        </w:rPr>
        <w:t xml:space="preserve"> </w:t>
      </w:r>
      <w:r w:rsidR="006522D4">
        <w:rPr>
          <w:sz w:val="22"/>
          <w:szCs w:val="22"/>
          <w:lang w:val="pt-BR"/>
        </w:rPr>
        <w:t>28</w:t>
      </w:r>
      <w:r w:rsidR="00270ED8" w:rsidRPr="00270ED8">
        <w:rPr>
          <w:sz w:val="22"/>
          <w:szCs w:val="22"/>
          <w:lang w:val="pt-BR"/>
        </w:rPr>
        <w:t xml:space="preserve"> de </w:t>
      </w:r>
      <w:r w:rsidR="006522D4">
        <w:rPr>
          <w:sz w:val="22"/>
          <w:szCs w:val="22"/>
          <w:lang w:val="pt-BR"/>
        </w:rPr>
        <w:t>outubro</w:t>
      </w:r>
      <w:r w:rsidR="00270ED8" w:rsidRPr="00270ED8">
        <w:rPr>
          <w:sz w:val="22"/>
          <w:szCs w:val="22"/>
          <w:lang w:val="pt-BR"/>
        </w:rPr>
        <w:t xml:space="preserve"> de 2022</w:t>
      </w:r>
      <w:r w:rsidR="003F62F8" w:rsidRPr="00E857DA">
        <w:rPr>
          <w:b/>
          <w:bCs/>
          <w:snapToGrid w:val="0"/>
          <w:sz w:val="22"/>
          <w:szCs w:val="22"/>
          <w:lang w:val="pt-BR"/>
        </w:rPr>
        <w:tab/>
      </w:r>
      <w:r w:rsidR="00BB7EB1">
        <w:rPr>
          <w:snapToGrid w:val="0"/>
          <w:sz w:val="22"/>
          <w:szCs w:val="22"/>
          <w:lang w:val="pt-BR"/>
        </w:rPr>
        <w:t>27</w:t>
      </w:r>
      <w:r w:rsidR="00A04884">
        <w:rPr>
          <w:snapToGrid w:val="0"/>
          <w:sz w:val="22"/>
          <w:szCs w:val="22"/>
          <w:lang w:val="pt-BR"/>
        </w:rPr>
        <w:t xml:space="preserve"> </w:t>
      </w:r>
      <w:r w:rsidR="000B340F">
        <w:rPr>
          <w:snapToGrid w:val="0"/>
          <w:sz w:val="22"/>
          <w:szCs w:val="22"/>
          <w:lang w:val="pt-BR"/>
        </w:rPr>
        <w:t>outubro</w:t>
      </w:r>
      <w:r w:rsidR="00E506E0" w:rsidRPr="008C6517">
        <w:rPr>
          <w:snapToGrid w:val="0"/>
          <w:sz w:val="22"/>
          <w:szCs w:val="22"/>
          <w:lang w:val="pt-BR"/>
        </w:rPr>
        <w:t xml:space="preserve"> </w:t>
      </w:r>
      <w:r w:rsidR="00502A58" w:rsidRPr="008C6517">
        <w:rPr>
          <w:snapToGrid w:val="0"/>
          <w:sz w:val="22"/>
          <w:szCs w:val="22"/>
          <w:lang w:val="pt-BR"/>
        </w:rPr>
        <w:t>202</w:t>
      </w:r>
      <w:r w:rsidR="00270ED8">
        <w:rPr>
          <w:snapToGrid w:val="0"/>
          <w:sz w:val="22"/>
          <w:szCs w:val="22"/>
          <w:lang w:val="pt-BR"/>
        </w:rPr>
        <w:t>2</w:t>
      </w:r>
    </w:p>
    <w:p w14:paraId="08A86F03" w14:textId="69DA34FD" w:rsidR="00502A58" w:rsidRPr="00E857DA" w:rsidRDefault="006522D4" w:rsidP="006522D4">
      <w:pPr>
        <w:tabs>
          <w:tab w:val="left" w:pos="6840"/>
        </w:tabs>
        <w:ind w:left="-270" w:firstLine="18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Antigua Guatemala, Guatemala</w:t>
      </w:r>
      <w:r w:rsidR="00502A58" w:rsidRPr="00E857DA">
        <w:rPr>
          <w:color w:val="000000"/>
          <w:sz w:val="22"/>
          <w:szCs w:val="22"/>
          <w:lang w:val="pt-BR"/>
        </w:rPr>
        <w:tab/>
      </w:r>
      <w:r w:rsidR="00502A58" w:rsidRPr="00E857DA">
        <w:rPr>
          <w:sz w:val="22"/>
          <w:szCs w:val="22"/>
          <w:lang w:val="pt-BR"/>
        </w:rPr>
        <w:t xml:space="preserve">Original: </w:t>
      </w:r>
      <w:r w:rsidR="00E857DA" w:rsidRPr="00E857DA">
        <w:rPr>
          <w:sz w:val="22"/>
          <w:szCs w:val="22"/>
          <w:lang w:val="pt-BR"/>
        </w:rPr>
        <w:t>espanhol</w:t>
      </w:r>
    </w:p>
    <w:p w14:paraId="5C5D4337" w14:textId="77777777" w:rsidR="00032517" w:rsidRPr="00E857DA" w:rsidRDefault="00032517" w:rsidP="0098592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46C0127" w14:textId="7ED51504" w:rsidR="008C6517" w:rsidRPr="001637F7" w:rsidRDefault="008C6517" w:rsidP="000B340F">
      <w:pPr>
        <w:rPr>
          <w:bCs/>
          <w:sz w:val="22"/>
          <w:szCs w:val="22"/>
          <w:lang w:val="pt-BR"/>
        </w:rPr>
      </w:pPr>
    </w:p>
    <w:p w14:paraId="2C1FA822" w14:textId="0F89D00C" w:rsidR="001637F7" w:rsidRPr="001637F7" w:rsidRDefault="001637F7" w:rsidP="001637F7">
      <w:pPr>
        <w:jc w:val="center"/>
        <w:outlineLvl w:val="0"/>
        <w:rPr>
          <w:bCs/>
          <w:sz w:val="22"/>
          <w:szCs w:val="22"/>
          <w:lang w:val="pt-BR"/>
        </w:rPr>
      </w:pPr>
      <w:r w:rsidRPr="001637F7">
        <w:rPr>
          <w:bCs/>
          <w:snapToGrid w:val="0"/>
          <w:sz w:val="22"/>
          <w:szCs w:val="22"/>
          <w:lang w:val="pt-BR"/>
        </w:rPr>
        <w:t xml:space="preserve">AGENDA ANOTADA </w:t>
      </w:r>
    </w:p>
    <w:p w14:paraId="5581E104" w14:textId="77777777" w:rsidR="001637F7" w:rsidRPr="001637F7" w:rsidRDefault="001637F7" w:rsidP="001637F7">
      <w:pPr>
        <w:tabs>
          <w:tab w:val="left" w:pos="720"/>
          <w:tab w:val="center" w:pos="4320"/>
          <w:tab w:val="right" w:pos="8640"/>
        </w:tabs>
        <w:rPr>
          <w:bCs/>
          <w:sz w:val="22"/>
          <w:szCs w:val="22"/>
          <w:lang w:val="pt-BR"/>
        </w:rPr>
      </w:pPr>
    </w:p>
    <w:p w14:paraId="72A226EC" w14:textId="77777777" w:rsidR="001637F7" w:rsidRPr="001637F7" w:rsidRDefault="001637F7" w:rsidP="001637F7">
      <w:pPr>
        <w:jc w:val="center"/>
        <w:rPr>
          <w:bCs/>
          <w:sz w:val="22"/>
          <w:szCs w:val="22"/>
          <w:lang w:val="pt-BR"/>
        </w:rPr>
      </w:pPr>
      <w:r w:rsidRPr="001637F7">
        <w:rPr>
          <w:bCs/>
          <w:sz w:val="22"/>
          <w:szCs w:val="22"/>
          <w:lang w:val="pt-BR"/>
        </w:rPr>
        <w:t>“Tecnologia, criatividade e inovação como oportunidade para o desenvolvimento</w:t>
      </w:r>
    </w:p>
    <w:p w14:paraId="51BC2F15" w14:textId="77777777" w:rsidR="001637F7" w:rsidRPr="001637F7" w:rsidRDefault="001637F7" w:rsidP="001637F7">
      <w:pPr>
        <w:jc w:val="center"/>
        <w:rPr>
          <w:bCs/>
          <w:sz w:val="22"/>
          <w:szCs w:val="22"/>
          <w:lang w:val="pt-BR"/>
        </w:rPr>
      </w:pPr>
      <w:r w:rsidRPr="001637F7">
        <w:rPr>
          <w:bCs/>
          <w:sz w:val="22"/>
          <w:szCs w:val="22"/>
          <w:lang w:val="pt-BR"/>
        </w:rPr>
        <w:t>e o fortalecimento da cultura”</w:t>
      </w:r>
    </w:p>
    <w:p w14:paraId="3B672281" w14:textId="77777777" w:rsidR="001637F7" w:rsidRPr="001637F7" w:rsidRDefault="001637F7" w:rsidP="001637F7">
      <w:pPr>
        <w:tabs>
          <w:tab w:val="left" w:pos="2160"/>
        </w:tabs>
        <w:jc w:val="center"/>
        <w:rPr>
          <w:sz w:val="22"/>
          <w:szCs w:val="22"/>
          <w:lang w:val="pt-BR"/>
        </w:rPr>
      </w:pPr>
    </w:p>
    <w:p w14:paraId="28B2EE45" w14:textId="77777777" w:rsidR="00BB7EB1" w:rsidRPr="005463BA" w:rsidRDefault="00BB7EB1" w:rsidP="00BB7EB1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pt-BR"/>
        </w:rPr>
      </w:pPr>
      <w:r w:rsidRPr="005463BA">
        <w:rPr>
          <w:sz w:val="22"/>
          <w:szCs w:val="22"/>
          <w:lang w:val="pt-BR"/>
        </w:rPr>
        <w:t>(Aprovado na primeira sessão plenária)</w:t>
      </w:r>
    </w:p>
    <w:p w14:paraId="60C929B1" w14:textId="77777777" w:rsidR="001637F7" w:rsidRPr="001637F7" w:rsidRDefault="001637F7" w:rsidP="001637F7">
      <w:pPr>
        <w:tabs>
          <w:tab w:val="left" w:pos="900"/>
        </w:tabs>
        <w:jc w:val="both"/>
        <w:rPr>
          <w:sz w:val="22"/>
          <w:szCs w:val="22"/>
          <w:lang w:val="pt-BR"/>
        </w:rPr>
      </w:pPr>
    </w:p>
    <w:p w14:paraId="2051636A" w14:textId="77777777" w:rsidR="001637F7" w:rsidRPr="001637F7" w:rsidRDefault="001637F7" w:rsidP="001637F7">
      <w:pPr>
        <w:tabs>
          <w:tab w:val="left" w:pos="900"/>
        </w:tabs>
        <w:jc w:val="both"/>
        <w:rPr>
          <w:bCs/>
          <w:iCs/>
          <w:sz w:val="22"/>
          <w:szCs w:val="22"/>
          <w:lang w:val="pt-BR"/>
        </w:rPr>
      </w:pPr>
    </w:p>
    <w:p w14:paraId="6D5F9380" w14:textId="77777777" w:rsidR="001637F7" w:rsidRPr="001637F7" w:rsidRDefault="001637F7" w:rsidP="001637F7">
      <w:pPr>
        <w:numPr>
          <w:ilvl w:val="0"/>
          <w:numId w:val="13"/>
        </w:numPr>
        <w:ind w:left="1440" w:hanging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1637F7">
        <w:rPr>
          <w:rFonts w:eastAsia="Calibri"/>
          <w:bCs/>
          <w:iCs/>
          <w:sz w:val="22"/>
          <w:szCs w:val="22"/>
          <w:lang w:val="pt-BR"/>
        </w:rPr>
        <w:t>ANTECEDENTES</w:t>
      </w:r>
    </w:p>
    <w:p w14:paraId="06AA85F9" w14:textId="77777777" w:rsidR="001637F7" w:rsidRPr="001637F7" w:rsidRDefault="001637F7" w:rsidP="001637F7">
      <w:pPr>
        <w:tabs>
          <w:tab w:val="left" w:pos="900"/>
        </w:tabs>
        <w:jc w:val="both"/>
        <w:rPr>
          <w:bCs/>
          <w:iCs/>
          <w:sz w:val="22"/>
          <w:szCs w:val="22"/>
          <w:lang w:val="pt-BR"/>
        </w:rPr>
      </w:pPr>
    </w:p>
    <w:p w14:paraId="56E2474B" w14:textId="77777777" w:rsidR="001637F7" w:rsidRPr="001637F7" w:rsidRDefault="001637F7" w:rsidP="001637F7">
      <w:pPr>
        <w:ind w:firstLine="720"/>
        <w:jc w:val="both"/>
        <w:rPr>
          <w:bCs/>
          <w:iCs/>
          <w:sz w:val="22"/>
          <w:szCs w:val="22"/>
          <w:lang w:val="pt-BR"/>
        </w:rPr>
      </w:pPr>
      <w:r w:rsidRPr="001637F7">
        <w:rPr>
          <w:bCs/>
          <w:iCs/>
          <w:sz w:val="22"/>
          <w:szCs w:val="22"/>
          <w:lang w:val="pt-BR"/>
        </w:rPr>
        <w:t>A pandemia de COVID 19 impactou severamente muitos dos principais setores e motores da atividade econômica em países de todas as regiões. O impacto sobre a cultura e as indústrias criativas foi particularmente devastador. Isso é especialmente evidente em atividades realizadas em espaços ou lugares específicos, como teatro, música ao vivo, festivais, cinemas e museus. A UNESCO estima que uma contração de US$ 750 bilhões no valor adicionado bruto das indústrias culturais e criativas foi experimentada globalmente em 2020, o que representa uma reversão dramática na capacidade dessas indústrias de gerarem bens culturais, econômicos e sociais para o desenvolvimento sustentável.</w:t>
      </w:r>
      <w:r w:rsidRPr="001637F7">
        <w:rPr>
          <w:bCs/>
          <w:iCs/>
          <w:sz w:val="22"/>
          <w:szCs w:val="22"/>
          <w:u w:val="single"/>
          <w:vertAlign w:val="superscript"/>
          <w:lang w:val="pt-BR"/>
        </w:rPr>
        <w:footnoteReference w:id="2"/>
      </w:r>
      <w:r w:rsidRPr="001637F7">
        <w:rPr>
          <w:bCs/>
          <w:iCs/>
          <w:sz w:val="22"/>
          <w:szCs w:val="22"/>
          <w:vertAlign w:val="superscript"/>
          <w:lang w:val="pt-BR"/>
        </w:rPr>
        <w:t xml:space="preserve">/ </w:t>
      </w:r>
    </w:p>
    <w:p w14:paraId="41D5FE09" w14:textId="77777777" w:rsidR="001637F7" w:rsidRPr="001637F7" w:rsidRDefault="001637F7" w:rsidP="001637F7">
      <w:pPr>
        <w:tabs>
          <w:tab w:val="left" w:pos="900"/>
        </w:tabs>
        <w:jc w:val="both"/>
        <w:rPr>
          <w:bCs/>
          <w:iCs/>
          <w:sz w:val="22"/>
          <w:szCs w:val="22"/>
          <w:lang w:val="pt-BR"/>
        </w:rPr>
      </w:pPr>
    </w:p>
    <w:p w14:paraId="497F676D" w14:textId="77777777" w:rsidR="001637F7" w:rsidRPr="001637F7" w:rsidRDefault="001637F7" w:rsidP="001637F7">
      <w:pPr>
        <w:ind w:firstLine="720"/>
        <w:jc w:val="both"/>
        <w:rPr>
          <w:bCs/>
          <w:iCs/>
          <w:sz w:val="22"/>
          <w:szCs w:val="22"/>
          <w:lang w:val="pt-BR"/>
        </w:rPr>
      </w:pPr>
      <w:r w:rsidRPr="001637F7">
        <w:rPr>
          <w:bCs/>
          <w:iCs/>
          <w:sz w:val="22"/>
          <w:szCs w:val="22"/>
          <w:lang w:val="pt-BR"/>
        </w:rPr>
        <w:t>A Nona Reunião Interamericana de Ministros e Máximas Autoridades de Cultura será realizada após essa queda e num momento em que alguns países já começaram a remover muitas das medidas adotadas durante a pandemia que impediam as atividades realizadas num espaço ou lugar específico e afetaram os meios de subsistência tradicionais de artistas e outros praticantes culturais.</w:t>
      </w:r>
    </w:p>
    <w:p w14:paraId="37AF975E" w14:textId="77777777" w:rsidR="001637F7" w:rsidRPr="001637F7" w:rsidRDefault="001637F7" w:rsidP="001637F7">
      <w:pPr>
        <w:jc w:val="both"/>
        <w:rPr>
          <w:bCs/>
          <w:iCs/>
          <w:sz w:val="22"/>
          <w:szCs w:val="22"/>
          <w:lang w:val="pt-BR"/>
        </w:rPr>
      </w:pPr>
    </w:p>
    <w:p w14:paraId="664EB1A9" w14:textId="77777777" w:rsidR="001637F7" w:rsidRPr="001637F7" w:rsidRDefault="001637F7" w:rsidP="001637F7">
      <w:pPr>
        <w:ind w:firstLine="720"/>
        <w:jc w:val="both"/>
        <w:rPr>
          <w:bCs/>
          <w:iCs/>
          <w:sz w:val="22"/>
          <w:szCs w:val="22"/>
          <w:lang w:val="pt-BR"/>
        </w:rPr>
      </w:pPr>
      <w:r w:rsidRPr="001637F7">
        <w:rPr>
          <w:bCs/>
          <w:iCs/>
          <w:sz w:val="22"/>
          <w:szCs w:val="22"/>
          <w:lang w:val="pt-BR"/>
        </w:rPr>
        <w:t>A Nona Reunião Interamericana de Ministros e Máximas Autoridades de Cultura oferece aos Estados membros da OEA a oportunidade de explorar como os artistas e praticantes culturais conseguiram manter seus meios de subsistência durante esse período, inclusive sua adaptação a novas circunstâncias, uso de ferramentas tecnológicas e apoio do governo. E, o que talvez seja mais importante, a reunião permitirá uma discussão do papel potencial da tecnologia, criatividade e inovação no fortalecimento da cultura e expressão artística no futuro. Essas discussões incluiriam o compartilhamento de informações e experiências sobre como as tecnologias</w:t>
      </w:r>
      <w:r w:rsidRPr="001637F7">
        <w:rPr>
          <w:b/>
          <w:bCs/>
          <w:iCs/>
          <w:sz w:val="22"/>
          <w:szCs w:val="22"/>
          <w:lang w:val="pt-BR"/>
        </w:rPr>
        <w:t xml:space="preserve"> </w:t>
      </w:r>
      <w:r w:rsidRPr="001637F7">
        <w:rPr>
          <w:iCs/>
          <w:sz w:val="22"/>
          <w:szCs w:val="22"/>
          <w:lang w:val="pt-BR"/>
        </w:rPr>
        <w:t>têm sido usadas</w:t>
      </w:r>
      <w:r w:rsidRPr="001637F7">
        <w:rPr>
          <w:b/>
          <w:bCs/>
          <w:iCs/>
          <w:sz w:val="22"/>
          <w:szCs w:val="22"/>
          <w:lang w:val="pt-BR"/>
        </w:rPr>
        <w:t xml:space="preserve"> </w:t>
      </w:r>
      <w:r w:rsidRPr="001637F7">
        <w:rPr>
          <w:iCs/>
          <w:sz w:val="22"/>
          <w:szCs w:val="22"/>
          <w:lang w:val="pt-BR"/>
        </w:rPr>
        <w:t xml:space="preserve">nos esforços de coleta, preservação e divulgação das artes e do patrimônio </w:t>
      </w:r>
      <w:r w:rsidRPr="001637F7">
        <w:rPr>
          <w:bCs/>
          <w:iCs/>
          <w:sz w:val="22"/>
          <w:szCs w:val="22"/>
          <w:lang w:val="pt-BR"/>
        </w:rPr>
        <w:t>cultural e como fortalecer o patrimônio tangível e intangível mediante a inovação e uso de novas tecnologias.</w:t>
      </w:r>
    </w:p>
    <w:p w14:paraId="3411F615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301A5766" w14:textId="77777777" w:rsidR="001637F7" w:rsidRPr="001637F7" w:rsidRDefault="001637F7" w:rsidP="001637F7">
      <w:pPr>
        <w:ind w:left="720"/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B.</w:t>
      </w:r>
      <w:r w:rsidRPr="001637F7">
        <w:rPr>
          <w:sz w:val="22"/>
          <w:szCs w:val="22"/>
          <w:lang w:val="pt-BR"/>
        </w:rPr>
        <w:tab/>
        <w:t>TEMAS PROPOSTOS PARA DISCUSSÃO</w:t>
      </w:r>
    </w:p>
    <w:p w14:paraId="7D97C0BD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41CA06F3" w14:textId="77777777" w:rsidR="001637F7" w:rsidRPr="001637F7" w:rsidRDefault="001637F7" w:rsidP="001637F7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 xml:space="preserve">Na Sexta Reunião Ordinária da Comissão Interamericana de Cultura (CIC) realizada virtualmente em 27 de abril de 2021, a Comissão recebeu uma apresentação dos hospedeiros da </w:t>
      </w:r>
      <w:r w:rsidRPr="001637F7">
        <w:rPr>
          <w:bCs/>
          <w:iCs/>
          <w:sz w:val="22"/>
          <w:szCs w:val="22"/>
          <w:lang w:val="pt-BR"/>
        </w:rPr>
        <w:t>Nona Reunião Interamericana de Ministros e Máximas Autoridades de Cultura</w:t>
      </w:r>
      <w:r w:rsidRPr="001637F7">
        <w:rPr>
          <w:sz w:val="22"/>
          <w:szCs w:val="22"/>
          <w:lang w:val="pt-BR"/>
        </w:rPr>
        <w:t xml:space="preserve"> durante a qual propuseram o seguinte tema para essa reunião: “</w:t>
      </w:r>
      <w:r w:rsidRPr="001637F7">
        <w:rPr>
          <w:bCs/>
          <w:snapToGrid w:val="0"/>
          <w:sz w:val="22"/>
          <w:szCs w:val="22"/>
          <w:lang w:val="pt-BR"/>
        </w:rPr>
        <w:t xml:space="preserve">Tecnologia, criatividade e inovação como oportunidade para o </w:t>
      </w:r>
      <w:r w:rsidRPr="001637F7">
        <w:rPr>
          <w:bCs/>
          <w:snapToGrid w:val="0"/>
          <w:sz w:val="22"/>
          <w:szCs w:val="22"/>
          <w:lang w:val="pt-BR"/>
        </w:rPr>
        <w:lastRenderedPageBreak/>
        <w:t>desenvolvimento e fortalecimento da cultura</w:t>
      </w:r>
      <w:r w:rsidRPr="001637F7">
        <w:rPr>
          <w:sz w:val="22"/>
          <w:szCs w:val="22"/>
          <w:lang w:val="pt-BR"/>
        </w:rPr>
        <w:t xml:space="preserve">”. Também se destacaram os seguintes quatro subtemas a serem incluídos: </w:t>
      </w:r>
    </w:p>
    <w:p w14:paraId="7E796E84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1391C0C8" w14:textId="77777777" w:rsidR="001637F7" w:rsidRPr="001637F7" w:rsidRDefault="001637F7" w:rsidP="001637F7">
      <w:pPr>
        <w:numPr>
          <w:ilvl w:val="0"/>
          <w:numId w:val="14"/>
        </w:numPr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 xml:space="preserve">Metodologias e políticas para promover a gestão e consumo das artes e da literatura </w:t>
      </w:r>
    </w:p>
    <w:p w14:paraId="599D71D3" w14:textId="77777777" w:rsidR="001637F7" w:rsidRPr="001637F7" w:rsidRDefault="001637F7" w:rsidP="001637F7">
      <w:pPr>
        <w:numPr>
          <w:ilvl w:val="0"/>
          <w:numId w:val="14"/>
        </w:numPr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A economia e as indústrias criativas</w:t>
      </w:r>
    </w:p>
    <w:p w14:paraId="08249C33" w14:textId="77777777" w:rsidR="001637F7" w:rsidRPr="001637F7" w:rsidRDefault="001637F7" w:rsidP="001637F7">
      <w:pPr>
        <w:numPr>
          <w:ilvl w:val="0"/>
          <w:numId w:val="14"/>
        </w:numPr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Modelos de pesquisa para o desenvolvimento cultural</w:t>
      </w:r>
    </w:p>
    <w:p w14:paraId="7F88FD42" w14:textId="77777777" w:rsidR="001637F7" w:rsidRPr="001637F7" w:rsidRDefault="001637F7" w:rsidP="001637F7">
      <w:pPr>
        <w:numPr>
          <w:ilvl w:val="0"/>
          <w:numId w:val="14"/>
        </w:numPr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Fortalecimento do patrimônio e das expressões culturais</w:t>
      </w:r>
    </w:p>
    <w:p w14:paraId="4568B7AD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5D5B347F" w14:textId="77777777" w:rsidR="001637F7" w:rsidRPr="001637F7" w:rsidRDefault="001637F7" w:rsidP="001637F7">
      <w:pPr>
        <w:ind w:firstLine="720"/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 xml:space="preserve">A Secretaria Técnica da CIC subsequentemente recebeu comentários dos Estados membros sobre os temas e subtemas propostos para a reunião. Para acomodar esses comentários, além de facilitar uma discussão mais ágil dessas questões durante a reunião, os quatro subtemas foram condensados em três, com a discussão sobre “Modelos de pesquisa para o desenvolvimento cultural” incluída no subtema “Metodologias e políticas para promover a gestão e consumo das artes e da literatura”. Com o tema original, os três subtemas a serem discutidos na </w:t>
      </w:r>
      <w:r w:rsidRPr="001637F7">
        <w:rPr>
          <w:bCs/>
          <w:iCs/>
          <w:sz w:val="22"/>
          <w:szCs w:val="22"/>
          <w:lang w:val="pt-BR"/>
        </w:rPr>
        <w:t>Nona Reunião Interamericana de Ministros e Máximas Autoridades de Cultura</w:t>
      </w:r>
      <w:r w:rsidRPr="001637F7">
        <w:rPr>
          <w:sz w:val="22"/>
          <w:szCs w:val="22"/>
          <w:lang w:val="pt-BR"/>
        </w:rPr>
        <w:t xml:space="preserve"> são os seguintes:</w:t>
      </w:r>
    </w:p>
    <w:p w14:paraId="0EF9E560" w14:textId="77777777" w:rsidR="001637F7" w:rsidRPr="001637F7" w:rsidRDefault="001637F7" w:rsidP="001637F7">
      <w:pPr>
        <w:ind w:left="720"/>
        <w:jc w:val="both"/>
        <w:rPr>
          <w:sz w:val="22"/>
          <w:szCs w:val="22"/>
          <w:lang w:val="pt-BR"/>
        </w:rPr>
      </w:pPr>
    </w:p>
    <w:p w14:paraId="23E1434F" w14:textId="77777777" w:rsidR="001637F7" w:rsidRPr="001637F7" w:rsidRDefault="001637F7" w:rsidP="001637F7">
      <w:pPr>
        <w:numPr>
          <w:ilvl w:val="0"/>
          <w:numId w:val="14"/>
        </w:numPr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 xml:space="preserve">Metodologias e políticas para promover a gestão e consumo das artes e da literatura </w:t>
      </w:r>
    </w:p>
    <w:p w14:paraId="13DFE05B" w14:textId="77777777" w:rsidR="001637F7" w:rsidRPr="001637F7" w:rsidRDefault="001637F7" w:rsidP="001637F7">
      <w:pPr>
        <w:numPr>
          <w:ilvl w:val="0"/>
          <w:numId w:val="14"/>
        </w:numPr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A economia e as indústrias culturais e criativas</w:t>
      </w:r>
    </w:p>
    <w:p w14:paraId="0EAEAE72" w14:textId="77777777" w:rsidR="001637F7" w:rsidRPr="001637F7" w:rsidRDefault="001637F7" w:rsidP="001637F7">
      <w:pPr>
        <w:numPr>
          <w:ilvl w:val="0"/>
          <w:numId w:val="14"/>
        </w:numPr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Fortalecimento do patrimônio e das expressões culturais</w:t>
      </w:r>
    </w:p>
    <w:p w14:paraId="5E670568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31475740" w14:textId="77777777" w:rsidR="001637F7" w:rsidRPr="001637F7" w:rsidRDefault="001637F7" w:rsidP="001637F7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 xml:space="preserve">O primeiro subtema, </w:t>
      </w:r>
      <w:r w:rsidRPr="001637F7">
        <w:rPr>
          <w:rFonts w:eastAsia="Calibri"/>
          <w:b/>
          <w:bCs/>
          <w:sz w:val="22"/>
          <w:szCs w:val="22"/>
          <w:lang w:val="pt-BR"/>
        </w:rPr>
        <w:t>Metodologias e políticas para promover a gestão e consumo das artes e da literatura,</w:t>
      </w:r>
      <w:r w:rsidRPr="001637F7">
        <w:rPr>
          <w:rFonts w:eastAsia="Calibri"/>
          <w:sz w:val="22"/>
          <w:szCs w:val="22"/>
          <w:lang w:val="pt-BR"/>
        </w:rPr>
        <w:t xml:space="preserve"> reconhece que uma das consequências da pandemia foi o uso crescente de tecnologias digitais por profissionais da cultura e consumidores de bens culturais e criativos. Artistas, criadores e outros profissionais culturais tiveram que explorar as oportunidades oferecidas pela tecnologia para produzir conteúdo digital em novos formatos consumíveis e se conectar com públicos e novos consumidores de bens culturais e criativos de novas maneiras. Entretanto, surgiram desafios relacionados, entre outros fatores, com a exclusão digital, uso desigual por parte dos praticantes culturais e disponibilidade de tecnologia nos países e regiões. Isso implica a necessidade de discutir as metodologias e políticas de promoção da tecnologia na gestão, produção e consumo de arte, literatura e outros bens culturais e criativos. </w:t>
      </w:r>
    </w:p>
    <w:p w14:paraId="18EAFE61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0A2D97B3" w14:textId="77777777" w:rsidR="001637F7" w:rsidRPr="001637F7" w:rsidRDefault="001637F7" w:rsidP="001637F7">
      <w:pPr>
        <w:ind w:firstLine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 xml:space="preserve">A </w:t>
      </w:r>
      <w:r w:rsidRPr="001637F7">
        <w:rPr>
          <w:rFonts w:eastAsia="Calibri"/>
          <w:bCs/>
          <w:iCs/>
          <w:sz w:val="22"/>
          <w:szCs w:val="22"/>
          <w:lang w:val="pt-BR"/>
        </w:rPr>
        <w:t>Nona Reunião Interamericana de Ministros e Máximas Autoridades de Cultura</w:t>
      </w:r>
      <w:r w:rsidRPr="001637F7">
        <w:rPr>
          <w:rFonts w:eastAsia="Calibri"/>
          <w:sz w:val="22"/>
          <w:szCs w:val="22"/>
          <w:lang w:val="pt-BR"/>
        </w:rPr>
        <w:t xml:space="preserve"> proporcionará um fórum para discussões sobre fortalecimento do treinamento de artistas profissionais para integrar tecnologia que apoie a monetização e maximize a divulgação e consumo de bens culturais. Nessas discussões serão compartilhadas informações sobre modelos de pesquisa do desenvolvimento cultural, incluindo, entre outros, o uso de tecnologia para gerar pesquisa e bens culturais focados no patrimônio cultural pré-colombiano, indígena e afrodescendente, estratégias digitais para promover o consumo de arte e cultura e promover obras literárias e outras atividades artísticas usando tecnologia. Além disso, a discussão proporcionaria a oportunidade de manter conversações sobre o uso das tecnologias atuais e futuras para incluir exemplos do uso de realidade virtual, realidade aumentada e tokens não fungíveis</w:t>
      </w:r>
      <w:r w:rsidRPr="001637F7">
        <w:rPr>
          <w:rFonts w:eastAsia="Calibri"/>
          <w:sz w:val="22"/>
          <w:szCs w:val="22"/>
          <w:u w:val="single"/>
          <w:vertAlign w:val="superscript"/>
          <w:lang w:val="pt-BR"/>
        </w:rPr>
        <w:footnoteReference w:id="3"/>
      </w:r>
      <w:r w:rsidRPr="001637F7">
        <w:rPr>
          <w:rFonts w:eastAsia="Calibri"/>
          <w:sz w:val="22"/>
          <w:szCs w:val="22"/>
          <w:vertAlign w:val="superscript"/>
          <w:lang w:val="pt-BR"/>
        </w:rPr>
        <w:t>/</w:t>
      </w:r>
      <w:r w:rsidRPr="001637F7">
        <w:rPr>
          <w:rFonts w:eastAsia="Calibri"/>
          <w:sz w:val="22"/>
          <w:szCs w:val="22"/>
          <w:lang w:val="pt-BR"/>
        </w:rPr>
        <w:t>, e o papel das autoridades culturais no apoio à sua difusão nas indústrias culturais e criativas.</w:t>
      </w:r>
    </w:p>
    <w:p w14:paraId="122153F2" w14:textId="77777777" w:rsidR="001637F7" w:rsidRPr="001637F7" w:rsidRDefault="001637F7" w:rsidP="001637F7">
      <w:pPr>
        <w:jc w:val="both"/>
        <w:rPr>
          <w:rFonts w:eastAsia="Calibri"/>
          <w:sz w:val="22"/>
          <w:szCs w:val="22"/>
          <w:lang w:val="pt-BR"/>
        </w:rPr>
      </w:pPr>
    </w:p>
    <w:p w14:paraId="239E1AF2" w14:textId="77777777" w:rsidR="001637F7" w:rsidRPr="001637F7" w:rsidRDefault="001637F7" w:rsidP="001637F7">
      <w:pPr>
        <w:tabs>
          <w:tab w:val="left" w:pos="720"/>
        </w:tabs>
        <w:ind w:firstLine="720"/>
        <w:jc w:val="both"/>
        <w:rPr>
          <w:rFonts w:eastAsia="Calibri"/>
          <w:sz w:val="22"/>
          <w:szCs w:val="22"/>
          <w:lang w:val="pt-BR"/>
        </w:rPr>
      </w:pPr>
      <w:bookmarkStart w:id="0" w:name="_Hlk104406476"/>
      <w:r w:rsidRPr="001637F7">
        <w:rPr>
          <w:rFonts w:eastAsia="Calibri"/>
          <w:sz w:val="22"/>
          <w:szCs w:val="22"/>
          <w:lang w:val="pt-BR"/>
        </w:rPr>
        <w:lastRenderedPageBreak/>
        <w:t xml:space="preserve">O segundo subtema, </w:t>
      </w:r>
      <w:r w:rsidRPr="001637F7">
        <w:rPr>
          <w:rFonts w:eastAsia="Calibri"/>
          <w:b/>
          <w:bCs/>
          <w:sz w:val="22"/>
          <w:szCs w:val="22"/>
          <w:lang w:val="pt-BR"/>
        </w:rPr>
        <w:t xml:space="preserve">A economia e as indústrias culturais e criativas, </w:t>
      </w:r>
      <w:r w:rsidRPr="001637F7">
        <w:rPr>
          <w:rFonts w:eastAsia="Calibri"/>
          <w:sz w:val="22"/>
          <w:szCs w:val="22"/>
          <w:lang w:val="pt-BR"/>
        </w:rPr>
        <w:t>reconhece que as indústrias culturais e criativas nas Américas que foram adversamente impactadas pela pandemia de COVID-19 em sua maioria são compostas de micro, pequenas e médias empresas (MPME), artistas individuais, criadores e outros pequenos produtores de artigos e serviços culturais. Embora alguns possam ter sobrevivido à pior fase da pandemia, mediante a adoção e uso de ferramentas de tecnologia e apoio dos governos e autoridades culturais, outros continuam a lutar ou abandonaram essas indústrias e buscam outras oportunidades econômicas. Ao mesmo tempo, as indústrias criativas nas Américas ainda não concretizaram todo o seu potencial e contribuição econômica, inclusive o empoderamento das mulheres nas indústrias culturais e nas artes. Nessas circunstâncias será importante promover a reativação das indústrias culturais e criativas e o apoio às MPME no setor cultural e desenvolver empresas na economia criativa</w:t>
      </w:r>
      <w:bookmarkEnd w:id="0"/>
      <w:r w:rsidRPr="001637F7">
        <w:rPr>
          <w:rFonts w:eastAsia="Calibri"/>
          <w:sz w:val="22"/>
          <w:szCs w:val="22"/>
          <w:lang w:val="pt-BR"/>
        </w:rPr>
        <w:t>.</w:t>
      </w:r>
      <w:bookmarkStart w:id="1" w:name="_Hlk104406602"/>
    </w:p>
    <w:p w14:paraId="037C79F4" w14:textId="77777777" w:rsidR="001637F7" w:rsidRPr="001637F7" w:rsidRDefault="001637F7" w:rsidP="001637F7">
      <w:pPr>
        <w:jc w:val="both"/>
        <w:rPr>
          <w:rFonts w:eastAsia="Calibri"/>
          <w:sz w:val="22"/>
          <w:szCs w:val="22"/>
          <w:lang w:val="pt-BR"/>
        </w:rPr>
      </w:pPr>
    </w:p>
    <w:p w14:paraId="595F366B" w14:textId="77777777" w:rsidR="001637F7" w:rsidRPr="001637F7" w:rsidRDefault="001637F7" w:rsidP="001637F7">
      <w:pPr>
        <w:ind w:firstLine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 xml:space="preserve">A </w:t>
      </w:r>
      <w:r w:rsidRPr="001637F7">
        <w:rPr>
          <w:rFonts w:eastAsia="Calibri"/>
          <w:bCs/>
          <w:iCs/>
          <w:sz w:val="22"/>
          <w:szCs w:val="22"/>
          <w:lang w:val="pt-BR"/>
        </w:rPr>
        <w:t>Nona Reunião Interamericana de Ministros e Máximas Autoridades de Cultura</w:t>
      </w:r>
      <w:r w:rsidRPr="001637F7">
        <w:rPr>
          <w:rFonts w:eastAsia="Calibri"/>
          <w:sz w:val="22"/>
          <w:szCs w:val="22"/>
          <w:lang w:val="pt-BR"/>
        </w:rPr>
        <w:t xml:space="preserve"> permitirá que os Estados membros compartilhem suas experiências no tocante aos esforços para desenvolver empresários e negócios criativos. Isso incluiria, entre outros, modelos de incubadoras e aceleradoras de empresas, usando tecnologia como base para maximizar a divulgação, desenvolvendo habilidades técnicas e fortalecimento da capacidade, como pressupostos centrais para reativação do setor, particularmente nas indústrias culturais e artísticas da região. As reflexões do Fórum Mondiacult serão levadas em consideração nas intervenções. A Reunião também incluirá uma discussão sobre políticas e programas fiscais e outros tipos de apoio financeiro </w:t>
      </w:r>
      <w:bookmarkEnd w:id="1"/>
      <w:r w:rsidRPr="001637F7">
        <w:rPr>
          <w:rFonts w:eastAsia="Calibri"/>
          <w:sz w:val="22"/>
          <w:szCs w:val="22"/>
          <w:lang w:val="pt-BR"/>
        </w:rPr>
        <w:t xml:space="preserve">para indústrias culturais e criativas afetadas pela pandemia, bem como formas de fortalecer a medição da contribuição econômica dessas indústrias por meio de ferramentas como as contas satélites de cultura. </w:t>
      </w:r>
    </w:p>
    <w:p w14:paraId="34B78A3A" w14:textId="77777777" w:rsidR="001637F7" w:rsidRPr="001637F7" w:rsidRDefault="001637F7" w:rsidP="001637F7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003EA75E" w14:textId="77777777" w:rsidR="001637F7" w:rsidRPr="001637F7" w:rsidRDefault="001637F7" w:rsidP="001637F7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 xml:space="preserve">O terceiro subtema, </w:t>
      </w:r>
      <w:r w:rsidRPr="001637F7">
        <w:rPr>
          <w:rFonts w:eastAsia="Calibri"/>
          <w:b/>
          <w:bCs/>
          <w:sz w:val="22"/>
          <w:szCs w:val="22"/>
          <w:lang w:val="pt-BR"/>
        </w:rPr>
        <w:t xml:space="preserve">Fortalecimento do patrimônio e das expressões culturais, </w:t>
      </w:r>
      <w:r w:rsidRPr="001637F7">
        <w:rPr>
          <w:rFonts w:eastAsia="Calibri"/>
          <w:sz w:val="22"/>
          <w:szCs w:val="22"/>
          <w:lang w:val="pt-BR"/>
        </w:rPr>
        <w:t>procura facilitar a discussão entre ministros sobre como as ferramentas de tecnologia têm sido usadas para fortalecer o patrimônio e as expressões culturais nas Américas. Reconhece que as tecnologias</w:t>
      </w:r>
      <w:r w:rsidRPr="001637F7">
        <w:rPr>
          <w:rFonts w:eastAsia="Calibri"/>
          <w:b/>
          <w:bCs/>
          <w:sz w:val="22"/>
          <w:szCs w:val="22"/>
          <w:lang w:val="pt-BR"/>
        </w:rPr>
        <w:t xml:space="preserve"> </w:t>
      </w:r>
      <w:r w:rsidRPr="001637F7">
        <w:rPr>
          <w:rFonts w:eastAsia="Calibri"/>
          <w:sz w:val="22"/>
          <w:szCs w:val="22"/>
          <w:lang w:val="pt-BR"/>
        </w:rPr>
        <w:t>digitais da</w:t>
      </w:r>
      <w:r w:rsidRPr="001637F7">
        <w:rPr>
          <w:rFonts w:eastAsia="Calibri"/>
          <w:b/>
          <w:bCs/>
          <w:sz w:val="22"/>
          <w:szCs w:val="22"/>
          <w:lang w:val="pt-BR"/>
        </w:rPr>
        <w:t xml:space="preserve"> </w:t>
      </w:r>
      <w:r w:rsidRPr="001637F7">
        <w:rPr>
          <w:rFonts w:eastAsia="Calibri"/>
          <w:sz w:val="22"/>
          <w:szCs w:val="22"/>
          <w:lang w:val="pt-BR"/>
        </w:rPr>
        <w:t xml:space="preserve">informação e comunicação estão sendo cada vez mais usadas globalmente na coleta, preservação e divulgação do patrimônio artístico e cultural. Isso inclui, por exemplo, configuração em 3D de artefatos antigos ou aplicação de realidade aumentada para suplementar a percepção de ambientes reais, inclusive o patrimônio cultural. </w:t>
      </w:r>
    </w:p>
    <w:p w14:paraId="7EA781E2" w14:textId="77777777" w:rsidR="001637F7" w:rsidRPr="001637F7" w:rsidRDefault="001637F7" w:rsidP="001637F7">
      <w:pPr>
        <w:jc w:val="both"/>
        <w:rPr>
          <w:rFonts w:eastAsia="Calibri"/>
          <w:sz w:val="22"/>
          <w:szCs w:val="22"/>
          <w:lang w:val="pt-BR"/>
        </w:rPr>
      </w:pPr>
    </w:p>
    <w:p w14:paraId="7B2EB8E8" w14:textId="77777777" w:rsidR="001637F7" w:rsidRPr="001637F7" w:rsidRDefault="001637F7" w:rsidP="001637F7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 xml:space="preserve">Do mesmo modo, durante a Terceira Fase do projeto “Melhoria do Marco para Desenvolvimento de uma Economia do Patrimônio no Caribe,” foram estabelecidos registros ou inventários nacionais de patrimônio cultural em dois Estados membros para a documentação desse patrimônio, de modo que os países possam saber a localização do patrimônio e dispor de informação histórica sobre o mesmo usando ARCHES, uma plataforma de software geoespacial de código aberto para inventário e gestão do patrimônio cultural desenvolvida pelo </w:t>
      </w:r>
      <w:r w:rsidRPr="001637F7">
        <w:rPr>
          <w:rFonts w:eastAsia="Calibri"/>
          <w:i/>
          <w:iCs/>
          <w:sz w:val="22"/>
          <w:szCs w:val="22"/>
          <w:lang w:val="pt-BR"/>
        </w:rPr>
        <w:t>World Monuments Fund</w:t>
      </w:r>
      <w:r w:rsidRPr="001637F7">
        <w:rPr>
          <w:rFonts w:eastAsia="Calibri"/>
          <w:sz w:val="22"/>
          <w:szCs w:val="22"/>
          <w:lang w:val="pt-BR"/>
        </w:rPr>
        <w:t xml:space="preserve"> e pelo </w:t>
      </w:r>
      <w:r w:rsidRPr="001637F7">
        <w:rPr>
          <w:rFonts w:eastAsia="Calibri"/>
          <w:i/>
          <w:iCs/>
          <w:sz w:val="22"/>
          <w:szCs w:val="22"/>
          <w:lang w:val="pt-BR"/>
        </w:rPr>
        <w:t>Getty Conservation Institute</w:t>
      </w:r>
      <w:r w:rsidRPr="001637F7">
        <w:rPr>
          <w:rFonts w:eastAsia="Calibri"/>
          <w:sz w:val="22"/>
          <w:szCs w:val="22"/>
          <w:lang w:val="pt-BR"/>
        </w:rPr>
        <w:t>.</w:t>
      </w:r>
    </w:p>
    <w:p w14:paraId="4A78839B" w14:textId="77777777" w:rsidR="001637F7" w:rsidRPr="001637F7" w:rsidRDefault="001637F7" w:rsidP="001637F7">
      <w:pPr>
        <w:jc w:val="both"/>
        <w:rPr>
          <w:rFonts w:eastAsia="Calibri"/>
          <w:sz w:val="22"/>
          <w:szCs w:val="22"/>
          <w:lang w:val="pt-BR"/>
        </w:rPr>
      </w:pPr>
    </w:p>
    <w:p w14:paraId="0C5DBDBC" w14:textId="77777777" w:rsidR="001637F7" w:rsidRPr="001637F7" w:rsidRDefault="001637F7" w:rsidP="001637F7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 xml:space="preserve">A </w:t>
      </w:r>
      <w:r w:rsidRPr="001637F7">
        <w:rPr>
          <w:rFonts w:eastAsia="Calibri"/>
          <w:bCs/>
          <w:iCs/>
          <w:sz w:val="22"/>
          <w:szCs w:val="22"/>
          <w:lang w:val="pt-BR"/>
        </w:rPr>
        <w:t>Nona Reunião Interamericana de Ministros e Máximas Autoridades de Cultura</w:t>
      </w:r>
      <w:r w:rsidRPr="001637F7">
        <w:rPr>
          <w:rFonts w:eastAsia="Calibri"/>
          <w:sz w:val="22"/>
          <w:szCs w:val="22"/>
          <w:lang w:val="pt-BR"/>
        </w:rPr>
        <w:t xml:space="preserve"> compartilhará exemplos do uso de tecnologias para trabalho, conhecimento e preservação do patrimônio cultural nos Estados membros da OEA. A Reunião também discutirá como fortalecer o patrimônio tangível e intangível mediante inovação e uso de novas tecnologias para divulgação e prática e como reconhecer e socializar a contribuição do patrimônio cultural indígena, afrodescendente e de outras comunidades locais, e expressões culturais das Américas utilizando tecnologias digitais da informação e comunicação. </w:t>
      </w:r>
    </w:p>
    <w:p w14:paraId="03448268" w14:textId="6362352B" w:rsidR="001637F7" w:rsidRDefault="001637F7" w:rsidP="001637F7">
      <w:pPr>
        <w:jc w:val="both"/>
        <w:rPr>
          <w:rFonts w:eastAsia="Calibri"/>
          <w:sz w:val="22"/>
          <w:szCs w:val="22"/>
          <w:lang w:val="pt-BR"/>
        </w:rPr>
      </w:pPr>
    </w:p>
    <w:p w14:paraId="499EA7A9" w14:textId="77777777" w:rsidR="001637F7" w:rsidRPr="001637F7" w:rsidRDefault="001637F7" w:rsidP="001637F7">
      <w:pPr>
        <w:jc w:val="both"/>
        <w:rPr>
          <w:rFonts w:eastAsia="Calibri"/>
          <w:sz w:val="22"/>
          <w:szCs w:val="22"/>
          <w:lang w:val="pt-BR"/>
        </w:rPr>
      </w:pPr>
    </w:p>
    <w:p w14:paraId="764B9097" w14:textId="77777777" w:rsidR="001637F7" w:rsidRPr="001637F7" w:rsidRDefault="001637F7" w:rsidP="001637F7">
      <w:pPr>
        <w:ind w:left="72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lastRenderedPageBreak/>
        <w:t>Outros temas a serem abordados na reunião:</w:t>
      </w:r>
    </w:p>
    <w:p w14:paraId="4BF6F5A1" w14:textId="77777777" w:rsidR="001637F7" w:rsidRPr="001637F7" w:rsidRDefault="001637F7" w:rsidP="001637F7">
      <w:pPr>
        <w:ind w:left="720"/>
        <w:jc w:val="both"/>
        <w:rPr>
          <w:rFonts w:eastAsia="Calibri"/>
          <w:sz w:val="22"/>
          <w:szCs w:val="22"/>
          <w:lang w:val="pt-BR"/>
        </w:rPr>
      </w:pPr>
    </w:p>
    <w:p w14:paraId="5C3A0D4F" w14:textId="77777777" w:rsidR="001637F7" w:rsidRPr="001637F7" w:rsidRDefault="001637F7" w:rsidP="001637F7">
      <w:pPr>
        <w:spacing w:line="256" w:lineRule="auto"/>
        <w:ind w:left="720"/>
        <w:contextualSpacing/>
        <w:jc w:val="both"/>
        <w:rPr>
          <w:b/>
          <w:sz w:val="22"/>
          <w:szCs w:val="22"/>
          <w:lang w:val="pt-BR"/>
        </w:rPr>
      </w:pPr>
      <w:r w:rsidRPr="001637F7">
        <w:rPr>
          <w:b/>
          <w:sz w:val="22"/>
          <w:szCs w:val="22"/>
          <w:lang w:val="pt-BR"/>
        </w:rPr>
        <w:t>Recebimento de oferecimentos de sede para a Décima Reunião Interamericana de Ministros e Máximas Autoridades de Cultura</w:t>
      </w:r>
    </w:p>
    <w:p w14:paraId="3A1D7826" w14:textId="77777777" w:rsidR="001637F7" w:rsidRPr="001637F7" w:rsidRDefault="001637F7" w:rsidP="001637F7">
      <w:pPr>
        <w:ind w:left="720"/>
        <w:jc w:val="both"/>
        <w:rPr>
          <w:sz w:val="22"/>
          <w:szCs w:val="22"/>
          <w:lang w:val="pt-BR"/>
        </w:rPr>
      </w:pPr>
    </w:p>
    <w:p w14:paraId="17972B97" w14:textId="77777777" w:rsidR="001637F7" w:rsidRPr="001637F7" w:rsidRDefault="001637F7" w:rsidP="001637F7">
      <w:pPr>
        <w:ind w:left="720" w:firstLine="720"/>
        <w:jc w:val="both"/>
        <w:rPr>
          <w:rFonts w:eastAsia="Malgun Gothic"/>
          <w:sz w:val="22"/>
          <w:szCs w:val="22"/>
          <w:lang w:val="pt-BR"/>
        </w:rPr>
      </w:pPr>
      <w:r w:rsidRPr="001637F7">
        <w:rPr>
          <w:rFonts w:eastAsia="Malgun Gothic"/>
          <w:sz w:val="22"/>
          <w:szCs w:val="22"/>
          <w:lang w:val="pt-BR"/>
        </w:rPr>
        <w:t>Em conformidade com os anexos das Diretrizes Gerais para os Processos Setoriais de Nível Ministerial no Âmbito do Conselho Interamericano de Desenvolvimento Integral (CIDI), o Estado membro interessado em sediar uma reunião ministerial deve anunciar sua intenção na reunião ministerial anterior, a fim de integrar a Troika (ver CIDI/doc.228/17 add. 1, item 10) e participar do processo e atividades ministeriais em preparação para a próxima reunião.</w:t>
      </w:r>
    </w:p>
    <w:p w14:paraId="1D6FF4E8" w14:textId="77777777" w:rsidR="001637F7" w:rsidRPr="001637F7" w:rsidRDefault="001637F7" w:rsidP="001637F7">
      <w:pPr>
        <w:ind w:left="720"/>
        <w:jc w:val="both"/>
        <w:rPr>
          <w:rFonts w:eastAsia="Calibri"/>
          <w:sz w:val="22"/>
          <w:szCs w:val="22"/>
          <w:lang w:val="pt-BR"/>
        </w:rPr>
      </w:pPr>
    </w:p>
    <w:p w14:paraId="6B1332D5" w14:textId="77777777" w:rsidR="001637F7" w:rsidRPr="001637F7" w:rsidRDefault="001637F7" w:rsidP="001637F7">
      <w:pPr>
        <w:ind w:left="720"/>
        <w:jc w:val="both"/>
        <w:rPr>
          <w:b/>
          <w:bCs/>
          <w:iCs/>
          <w:sz w:val="22"/>
          <w:szCs w:val="22"/>
          <w:lang w:val="pt-BR"/>
        </w:rPr>
      </w:pPr>
      <w:r w:rsidRPr="001637F7">
        <w:rPr>
          <w:b/>
          <w:bCs/>
          <w:sz w:val="22"/>
          <w:szCs w:val="22"/>
          <w:lang w:val="pt-BR"/>
        </w:rPr>
        <w:t xml:space="preserve">Eleição de autoridades da Comissão Interamericana de Cultura </w:t>
      </w:r>
    </w:p>
    <w:p w14:paraId="5A920B51" w14:textId="77777777" w:rsidR="001637F7" w:rsidRPr="001637F7" w:rsidRDefault="001637F7" w:rsidP="001637F7">
      <w:pPr>
        <w:ind w:left="720"/>
        <w:jc w:val="both"/>
        <w:rPr>
          <w:rFonts w:eastAsia="Calibri"/>
          <w:b/>
          <w:bCs/>
          <w:iCs/>
          <w:sz w:val="22"/>
          <w:szCs w:val="22"/>
          <w:lang w:val="pt-BR"/>
        </w:rPr>
      </w:pPr>
    </w:p>
    <w:p w14:paraId="2FC8F8AB" w14:textId="77777777" w:rsidR="001637F7" w:rsidRPr="001637F7" w:rsidRDefault="001637F7" w:rsidP="001637F7">
      <w:pPr>
        <w:ind w:left="720" w:firstLine="72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>Serão eleitas as pessoas para ocupar a Presidência e duas Vice-Presidências da Comissão Interamericana de Cultura.</w:t>
      </w:r>
    </w:p>
    <w:p w14:paraId="4BF89495" w14:textId="77777777" w:rsidR="001637F7" w:rsidRPr="001637F7" w:rsidRDefault="001637F7" w:rsidP="001637F7">
      <w:pPr>
        <w:ind w:left="720"/>
        <w:jc w:val="both"/>
        <w:rPr>
          <w:rFonts w:eastAsia="Calibri"/>
          <w:sz w:val="22"/>
          <w:szCs w:val="22"/>
          <w:lang w:val="pt-BR"/>
        </w:rPr>
      </w:pPr>
    </w:p>
    <w:p w14:paraId="1A68F784" w14:textId="77777777" w:rsidR="001637F7" w:rsidRPr="001637F7" w:rsidRDefault="001637F7" w:rsidP="001637F7">
      <w:pPr>
        <w:ind w:left="720" w:firstLine="720"/>
        <w:jc w:val="both"/>
        <w:rPr>
          <w:rFonts w:eastAsia="Calibri"/>
          <w:spacing w:val="-2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 xml:space="preserve">Art. 4 do Regulamento das Comissões Interamericanas do CIDI (CIDI/doc.259/18): </w:t>
      </w:r>
      <w:r w:rsidRPr="001637F7">
        <w:rPr>
          <w:rFonts w:eastAsia="Calibri"/>
          <w:spacing w:val="-2"/>
          <w:sz w:val="22"/>
          <w:szCs w:val="22"/>
          <w:lang w:val="pt-BR"/>
        </w:rPr>
        <w:t xml:space="preserve">Cada Comissão Interamericana do CIDI elegerá um presidente e dois vice-presidentes que exercerão suas funções por três anos, ou até a reunião ordinária seguinte da Comissão. Seu mandato terá início na data em que tenham sido eleitos e se estenderá até a eleição de seus sucessores. Caso a Comissão não se reúna nesse período, as eleições poderão ser realizadas no âmbito das reuniões ordinárias do CIDI ou da reunião de ministros e/ou altas autoridades do respectivo setor, uma vez que o tema tenha sido incluído na agenda da reunião. A eleição se dará pelo voto afirmativo da maioria dos Estados membros. </w:t>
      </w:r>
    </w:p>
    <w:p w14:paraId="47EC3F32" w14:textId="77777777" w:rsidR="001637F7" w:rsidRPr="001637F7" w:rsidRDefault="001637F7" w:rsidP="001637F7">
      <w:pPr>
        <w:jc w:val="both"/>
        <w:rPr>
          <w:b/>
          <w:bCs/>
          <w:iCs/>
          <w:sz w:val="22"/>
          <w:szCs w:val="22"/>
          <w:lang w:val="pt-BR"/>
        </w:rPr>
      </w:pPr>
    </w:p>
    <w:p w14:paraId="4D413C80" w14:textId="77777777" w:rsidR="001637F7" w:rsidRPr="001637F7" w:rsidRDefault="001637F7" w:rsidP="001637F7">
      <w:pPr>
        <w:ind w:firstLine="720"/>
        <w:jc w:val="both"/>
        <w:rPr>
          <w:b/>
          <w:bCs/>
          <w:iCs/>
          <w:sz w:val="22"/>
          <w:szCs w:val="22"/>
          <w:lang w:val="pt-BR"/>
        </w:rPr>
      </w:pPr>
      <w:r w:rsidRPr="001637F7">
        <w:rPr>
          <w:b/>
          <w:bCs/>
          <w:sz w:val="22"/>
          <w:szCs w:val="22"/>
          <w:lang w:val="pt-BR"/>
        </w:rPr>
        <w:t>Consideração e aprovação do projeto de Declaração e do projeto de Plano de Ação</w:t>
      </w:r>
    </w:p>
    <w:p w14:paraId="5ABAE473" w14:textId="77777777" w:rsidR="001637F7" w:rsidRPr="001637F7" w:rsidRDefault="001637F7" w:rsidP="001637F7">
      <w:pPr>
        <w:jc w:val="both"/>
        <w:rPr>
          <w:rFonts w:eastAsia="Calibri"/>
          <w:iCs/>
          <w:sz w:val="22"/>
          <w:szCs w:val="22"/>
          <w:lang w:val="pt-BR"/>
        </w:rPr>
      </w:pPr>
    </w:p>
    <w:p w14:paraId="4EDAE379" w14:textId="77777777" w:rsidR="001637F7" w:rsidRPr="001637F7" w:rsidRDefault="001637F7" w:rsidP="001637F7">
      <w:pPr>
        <w:ind w:left="72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>O projeto de Declaração e o projeto de Plano de Ação serão considerados para aprovação.</w:t>
      </w:r>
    </w:p>
    <w:p w14:paraId="3E556EAD" w14:textId="77777777" w:rsidR="001637F7" w:rsidRPr="001637F7" w:rsidRDefault="001637F7" w:rsidP="001637F7">
      <w:pPr>
        <w:jc w:val="both"/>
        <w:rPr>
          <w:rFonts w:eastAsia="Calibri"/>
          <w:iCs/>
          <w:sz w:val="22"/>
          <w:szCs w:val="22"/>
          <w:lang w:val="pt-BR"/>
        </w:rPr>
      </w:pPr>
    </w:p>
    <w:p w14:paraId="6E83B4E4" w14:textId="77777777" w:rsidR="001637F7" w:rsidRPr="001637F7" w:rsidRDefault="001637F7" w:rsidP="001637F7">
      <w:pPr>
        <w:ind w:firstLine="720"/>
        <w:jc w:val="both"/>
        <w:rPr>
          <w:b/>
          <w:bCs/>
          <w:sz w:val="22"/>
          <w:szCs w:val="22"/>
          <w:lang w:val="pt-BR"/>
        </w:rPr>
      </w:pPr>
      <w:r w:rsidRPr="001637F7">
        <w:rPr>
          <w:b/>
          <w:bCs/>
          <w:sz w:val="22"/>
          <w:szCs w:val="22"/>
          <w:lang w:val="pt-BR"/>
        </w:rPr>
        <w:t>Outros assuntos</w:t>
      </w:r>
    </w:p>
    <w:p w14:paraId="4DBF8B0F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48469E95" w14:textId="77777777" w:rsidR="001637F7" w:rsidRPr="001637F7" w:rsidRDefault="001637F7" w:rsidP="001637F7">
      <w:pPr>
        <w:ind w:left="1440" w:hanging="720"/>
        <w:jc w:val="both"/>
        <w:rPr>
          <w:b/>
          <w:bCs/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C.</w:t>
      </w:r>
      <w:r w:rsidRPr="001637F7">
        <w:rPr>
          <w:sz w:val="22"/>
          <w:szCs w:val="22"/>
          <w:lang w:val="pt-BR"/>
        </w:rPr>
        <w:tab/>
        <w:t>OBJETIVOS DA REUNIÃO</w:t>
      </w:r>
    </w:p>
    <w:p w14:paraId="583E95B1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74017FCA" w14:textId="77777777" w:rsidR="001637F7" w:rsidRPr="001637F7" w:rsidRDefault="001637F7" w:rsidP="001637F7">
      <w:pPr>
        <w:numPr>
          <w:ilvl w:val="0"/>
          <w:numId w:val="11"/>
        </w:numPr>
        <w:ind w:left="216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iCs/>
          <w:sz w:val="22"/>
          <w:szCs w:val="22"/>
          <w:lang w:val="pt-BR"/>
        </w:rPr>
        <w:t>Discutir o papel potencial da tecnologia, criatividade e inovação no fortalecimento da cultura e expressão artística</w:t>
      </w:r>
    </w:p>
    <w:p w14:paraId="78905613" w14:textId="77777777" w:rsidR="001637F7" w:rsidRPr="001637F7" w:rsidRDefault="001637F7" w:rsidP="001637F7">
      <w:pPr>
        <w:numPr>
          <w:ilvl w:val="0"/>
          <w:numId w:val="11"/>
        </w:numPr>
        <w:ind w:left="216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>Discutir políticas e ações para promover a tecnologia na gestão, produção e consumo de arte, literatura e outros bens culturais e criativos.</w:t>
      </w:r>
    </w:p>
    <w:p w14:paraId="5443141B" w14:textId="77777777" w:rsidR="001637F7" w:rsidRPr="001637F7" w:rsidRDefault="001637F7" w:rsidP="001637F7">
      <w:pPr>
        <w:numPr>
          <w:ilvl w:val="0"/>
          <w:numId w:val="11"/>
        </w:numPr>
        <w:ind w:left="2160"/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Permitir que os Estados membros compartilhem suas experiências no tocante aos esforços para promover e desenvolver empresários e negócios criativos e aumentar a contribuição das indústrias criativas à economia.</w:t>
      </w:r>
    </w:p>
    <w:p w14:paraId="0FB7F452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1F24A8E9" w14:textId="77777777" w:rsidR="001637F7" w:rsidRPr="001637F7" w:rsidRDefault="001637F7" w:rsidP="001637F7">
      <w:pPr>
        <w:ind w:left="1440" w:hanging="720"/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D.</w:t>
      </w:r>
      <w:r w:rsidRPr="001637F7">
        <w:rPr>
          <w:sz w:val="22"/>
          <w:szCs w:val="22"/>
          <w:lang w:val="pt-BR"/>
        </w:rPr>
        <w:tab/>
        <w:t>RESULTADOS ESPERADOS DA REUNIÃO</w:t>
      </w:r>
    </w:p>
    <w:p w14:paraId="5C70B22F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6A70901C" w14:textId="77777777" w:rsidR="001637F7" w:rsidRPr="001637F7" w:rsidRDefault="001637F7" w:rsidP="001637F7">
      <w:pPr>
        <w:numPr>
          <w:ilvl w:val="0"/>
          <w:numId w:val="12"/>
        </w:numPr>
        <w:ind w:left="2160" w:hanging="720"/>
        <w:jc w:val="both"/>
        <w:rPr>
          <w:rFonts w:eastAsia="Calibri"/>
          <w:sz w:val="22"/>
          <w:szCs w:val="22"/>
          <w:lang w:val="pt-BR"/>
        </w:rPr>
      </w:pPr>
      <w:r w:rsidRPr="001637F7">
        <w:rPr>
          <w:rFonts w:eastAsia="Calibri"/>
          <w:sz w:val="22"/>
          <w:szCs w:val="22"/>
          <w:lang w:val="pt-BR"/>
        </w:rPr>
        <w:t>Melhoria do diálogo e cooperação regional sobre cultura e desenvolvimento nas Américas.</w:t>
      </w:r>
    </w:p>
    <w:p w14:paraId="7B55769B" w14:textId="77777777" w:rsidR="001637F7" w:rsidRPr="001637F7" w:rsidRDefault="001637F7" w:rsidP="001637F7">
      <w:pPr>
        <w:numPr>
          <w:ilvl w:val="0"/>
          <w:numId w:val="12"/>
        </w:numPr>
        <w:ind w:left="2160" w:hanging="720"/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Alcançar acordos para apoiar a adoção de políticas que incorporem tecnologia, criatividade e inovação no desenvolvimento e fortalecimento da cultura nas Américas.</w:t>
      </w:r>
    </w:p>
    <w:p w14:paraId="18B422DB" w14:textId="77777777" w:rsidR="001637F7" w:rsidRPr="001637F7" w:rsidRDefault="001637F7" w:rsidP="001637F7">
      <w:pPr>
        <w:numPr>
          <w:ilvl w:val="0"/>
          <w:numId w:val="12"/>
        </w:numPr>
        <w:ind w:left="2160" w:hanging="720"/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lastRenderedPageBreak/>
        <w:t xml:space="preserve">Aprovar o projeto de Declaração e o projeto de Plano de Ação da </w:t>
      </w:r>
      <w:r w:rsidRPr="001637F7">
        <w:rPr>
          <w:bCs/>
          <w:iCs/>
          <w:sz w:val="22"/>
          <w:szCs w:val="22"/>
          <w:lang w:val="pt-BR"/>
        </w:rPr>
        <w:t>Nona Reunião Interamericana de Ministros e Máximas Autoridades de Cultura</w:t>
      </w:r>
      <w:r w:rsidRPr="001637F7">
        <w:rPr>
          <w:sz w:val="22"/>
          <w:szCs w:val="22"/>
          <w:lang w:val="pt-BR"/>
        </w:rPr>
        <w:t xml:space="preserve">. </w:t>
      </w:r>
    </w:p>
    <w:p w14:paraId="51A9D97D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7C097782" w14:textId="77777777" w:rsidR="001637F7" w:rsidRPr="001637F7" w:rsidRDefault="001637F7" w:rsidP="001637F7">
      <w:pPr>
        <w:ind w:left="1440" w:hanging="720"/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E.</w:t>
      </w:r>
      <w:r w:rsidRPr="001637F7">
        <w:rPr>
          <w:sz w:val="22"/>
          <w:szCs w:val="22"/>
          <w:lang w:val="pt-BR"/>
        </w:rPr>
        <w:tab/>
        <w:t>ESTRUTURA DA REUNIÃO</w:t>
      </w:r>
    </w:p>
    <w:p w14:paraId="123AB409" w14:textId="77777777" w:rsidR="001637F7" w:rsidRPr="001637F7" w:rsidRDefault="001637F7" w:rsidP="001637F7">
      <w:pPr>
        <w:jc w:val="both"/>
        <w:rPr>
          <w:sz w:val="22"/>
          <w:szCs w:val="22"/>
          <w:lang w:val="pt-BR"/>
        </w:rPr>
      </w:pPr>
    </w:p>
    <w:p w14:paraId="71196FD8" w14:textId="3EB5CF81" w:rsidR="001637F7" w:rsidRPr="001637F7" w:rsidRDefault="001637F7" w:rsidP="001637F7">
      <w:pPr>
        <w:ind w:firstLine="720"/>
        <w:jc w:val="both"/>
        <w:rPr>
          <w:sz w:val="22"/>
          <w:szCs w:val="22"/>
          <w:lang w:val="pt-BR"/>
        </w:rPr>
      </w:pPr>
      <w:r w:rsidRPr="001637F7">
        <w:rPr>
          <w:sz w:val="22"/>
          <w:szCs w:val="22"/>
          <w:lang w:val="pt-BR"/>
        </w:rPr>
        <w:t>A Reunião oferecerá aos Estados membros um fórum para compartilhar experiências e servirá para promover o diálogo entre ministros e máximas autoridades de cultura. Cada uma das sessões plenárias será dedicada a um dos subtemas da reunião e incluirá apresentações escritas, orais e visuais por ministros, altas autoridades de cultura e seus representantes. Em circunstâncias extraordinárias as apresentações podem incluir a presença de especialistas, se for considerado necessário para melhorar o diálogo. Após as apresentações de cada subtema, os ministros terão tempo suficiente — ao menos quarenta e cinco (45) minutos — para manter discussões aprofundadas e apresentar outras considerações, compartilhar as experiências de cada país ou mesmo sugerir opções de políticas para a área em questão.</w:t>
      </w:r>
    </w:p>
    <w:p w14:paraId="0D4E34EE" w14:textId="396D3C2B" w:rsidR="006522D4" w:rsidRPr="006522D4" w:rsidRDefault="009819C4" w:rsidP="006522D4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AA028E" wp14:editId="4B0F4F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173816" w14:textId="6C0B1617" w:rsidR="009819C4" w:rsidRPr="009819C4" w:rsidRDefault="009819C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9042F">
                              <w:rPr>
                                <w:noProof/>
                                <w:sz w:val="18"/>
                              </w:rPr>
                              <w:t>CIDUL00171P01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A0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9173816" w14:textId="6C0B1617" w:rsidR="009819C4" w:rsidRPr="009819C4" w:rsidRDefault="009819C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9042F">
                        <w:rPr>
                          <w:noProof/>
                          <w:sz w:val="18"/>
                        </w:rPr>
                        <w:t>CIDUL00171P01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522D4" w:rsidRPr="006522D4" w:rsidSect="00D16A48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A265" w14:textId="77777777" w:rsidR="004965D8" w:rsidRPr="006C7BB6" w:rsidRDefault="004965D8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030D77CF" w14:textId="77777777" w:rsidR="004965D8" w:rsidRPr="006C7BB6" w:rsidRDefault="004965D8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145378B7" w14:textId="77777777" w:rsidR="004965D8" w:rsidRDefault="00496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3235" w14:textId="77777777" w:rsidR="004965D8" w:rsidRPr="006C7BB6" w:rsidRDefault="004965D8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01500D13" w14:textId="77777777" w:rsidR="004965D8" w:rsidRPr="006C7BB6" w:rsidRDefault="004965D8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1532B270" w14:textId="77777777" w:rsidR="004965D8" w:rsidRDefault="004965D8"/>
  </w:footnote>
  <w:footnote w:id="2">
    <w:p w14:paraId="25A0A4B7" w14:textId="77777777" w:rsidR="001637F7" w:rsidRPr="004C0326" w:rsidRDefault="001637F7" w:rsidP="001637F7">
      <w:pPr>
        <w:pStyle w:val="FootnoteText"/>
        <w:ind w:left="810" w:hanging="450"/>
        <w:jc w:val="both"/>
        <w:rPr>
          <w:noProof/>
          <w:lang w:val="en-US"/>
        </w:rPr>
      </w:pPr>
      <w:r w:rsidRPr="001637F7">
        <w:rPr>
          <w:rStyle w:val="FootnoteReference"/>
          <w:vertAlign w:val="baseline"/>
        </w:rPr>
        <w:footnoteRef/>
      </w:r>
      <w:r w:rsidRPr="001637F7">
        <w:rPr>
          <w:lang w:val="en-US"/>
        </w:rPr>
        <w:t>.</w:t>
      </w:r>
      <w:r w:rsidRPr="001637F7">
        <w:rPr>
          <w:lang w:val="en-US"/>
        </w:rPr>
        <w:tab/>
      </w:r>
      <w:r w:rsidRPr="004C0326">
        <w:rPr>
          <w:noProof/>
          <w:lang w:val="en-US"/>
        </w:rPr>
        <w:t>New UNESCO Economic Impact Outlook on the Creative Industries, disponível em: https://en.unesco.org/creativity/news/new-unesco-economic-impact-outlook-creative-industries</w:t>
      </w:r>
    </w:p>
  </w:footnote>
  <w:footnote w:id="3">
    <w:p w14:paraId="1EDBCEDC" w14:textId="77777777" w:rsidR="001637F7" w:rsidRPr="001637F7" w:rsidRDefault="001637F7" w:rsidP="001637F7">
      <w:pPr>
        <w:pStyle w:val="FootnoteText"/>
        <w:ind w:left="720" w:hanging="360"/>
        <w:jc w:val="both"/>
        <w:rPr>
          <w:noProof/>
          <w:lang w:val="pt-BR"/>
        </w:rPr>
      </w:pPr>
      <w:r w:rsidRPr="001637F7">
        <w:rPr>
          <w:rStyle w:val="FootnoteReference"/>
          <w:noProof/>
          <w:vertAlign w:val="baseline"/>
        </w:rPr>
        <w:footnoteRef/>
      </w:r>
      <w:r w:rsidRPr="001637F7">
        <w:rPr>
          <w:noProof/>
          <w:lang w:val="pt-BR"/>
        </w:rPr>
        <w:t>.</w:t>
      </w:r>
      <w:r w:rsidRPr="001637F7">
        <w:rPr>
          <w:noProof/>
          <w:lang w:val="pt-BR"/>
        </w:rPr>
        <w:tab/>
        <w:t xml:space="preserve">Um token não fungível é um ativo digital que representa objetos do mundo real, como arte, música, itens de jogos e vídeos. </w:t>
      </w:r>
      <w:r w:rsidRPr="001637F7">
        <w:rPr>
          <w:noProof/>
          <w:lang w:val="pt-BR"/>
        </w:rPr>
        <w:t>São comprados e vendidos online, frequentemente com </w:t>
      </w:r>
      <w:hyperlink r:id="rId1" w:history="1">
        <w:r w:rsidRPr="004C0326">
          <w:rPr>
            <w:rStyle w:val="Hyperlink"/>
            <w:noProof/>
            <w:lang w:val="pt-BR"/>
          </w:rPr>
          <w:t>criptomoedas</w:t>
        </w:r>
      </w:hyperlink>
      <w:r w:rsidRPr="001637F7">
        <w:rPr>
          <w:noProof/>
          <w:lang w:val="pt-BR"/>
        </w:rPr>
        <w:t xml:space="preserve">, e geralmente são codificados com o mesmo software de muitas criptomoedas. Veja Forbes Advisor, abril de 2022, </w:t>
      </w:r>
      <w:r w:rsidR="0099042F">
        <w:fldChar w:fldCharType="begin"/>
      </w:r>
      <w:r w:rsidR="0099042F" w:rsidRPr="00BB7EB1">
        <w:rPr>
          <w:lang w:val="pt-BR"/>
        </w:rPr>
        <w:instrText>HYPERLINK "https://www.forbes.com/advisor/investing/cryptocurrency/nft-non-fungible-token/"</w:instrText>
      </w:r>
      <w:r w:rsidR="0099042F">
        <w:fldChar w:fldCharType="separate"/>
      </w:r>
      <w:r w:rsidRPr="004C0326">
        <w:rPr>
          <w:rStyle w:val="Hyperlink"/>
          <w:noProof/>
          <w:lang w:val="pt-BR"/>
        </w:rPr>
        <w:t>https://www.forbes.com/advisor/investing/cryptocurrency/nft-non-fungible-token/</w:t>
      </w:r>
      <w:r w:rsidR="0099042F">
        <w:rPr>
          <w:rStyle w:val="Hyperlink"/>
          <w:noProof/>
          <w:lang w:val="pt-BR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ÇÃO DOS ESTADOS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AMERICAN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270ED8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Conselho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4D804490" w14:textId="2B8F877F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ÇÃO DOS ESTADOS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AMERICAN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OS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270ED8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Conselho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Inter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merican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BFD"/>
    <w:multiLevelType w:val="hybridMultilevel"/>
    <w:tmpl w:val="9C0E348E"/>
    <w:lvl w:ilvl="0" w:tplc="7AFC8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0347F"/>
    <w:multiLevelType w:val="hybridMultilevel"/>
    <w:tmpl w:val="36141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94E55"/>
    <w:multiLevelType w:val="hybridMultilevel"/>
    <w:tmpl w:val="1CD8D666"/>
    <w:lvl w:ilvl="0" w:tplc="7F00987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A18DC"/>
    <w:multiLevelType w:val="multilevel"/>
    <w:tmpl w:val="A854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03F08"/>
    <w:multiLevelType w:val="hybridMultilevel"/>
    <w:tmpl w:val="18C23DAE"/>
    <w:lvl w:ilvl="0" w:tplc="C79AF986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B2EED"/>
    <w:multiLevelType w:val="hybridMultilevel"/>
    <w:tmpl w:val="FC921F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A4B2A"/>
    <w:multiLevelType w:val="hybridMultilevel"/>
    <w:tmpl w:val="18385C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683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AA4DA4"/>
    <w:multiLevelType w:val="multilevel"/>
    <w:tmpl w:val="CA4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8447143">
    <w:abstractNumId w:val="4"/>
  </w:num>
  <w:num w:numId="2" w16cid:durableId="895505548">
    <w:abstractNumId w:val="11"/>
  </w:num>
  <w:num w:numId="3" w16cid:durableId="37552799">
    <w:abstractNumId w:val="5"/>
  </w:num>
  <w:num w:numId="4" w16cid:durableId="10588248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503001">
    <w:abstractNumId w:val="8"/>
  </w:num>
  <w:num w:numId="6" w16cid:durableId="1739934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633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32110">
    <w:abstractNumId w:val="9"/>
  </w:num>
  <w:num w:numId="9" w16cid:durableId="184053993">
    <w:abstractNumId w:val="10"/>
  </w:num>
  <w:num w:numId="10" w16cid:durableId="173303600">
    <w:abstractNumId w:val="3"/>
  </w:num>
  <w:num w:numId="11" w16cid:durableId="829295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7344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0214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51171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40F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37F7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0ED8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65756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5D8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522D4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C5AF5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18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C77CD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1A19"/>
    <w:rsid w:val="00974DA6"/>
    <w:rsid w:val="009819C4"/>
    <w:rsid w:val="0098308F"/>
    <w:rsid w:val="00985258"/>
    <w:rsid w:val="0098592A"/>
    <w:rsid w:val="0099042F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04884"/>
    <w:rsid w:val="00A1323E"/>
    <w:rsid w:val="00A1324D"/>
    <w:rsid w:val="00A2269C"/>
    <w:rsid w:val="00A26138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E461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2B70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B7EB1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6C84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5816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C7864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bes.com/advisor/investing/cryptocurrency/what-is-cryptocurr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10901</Characters>
  <Application>Microsoft Office Word</Application>
  <DocSecurity>0</DocSecurity>
  <Lines>191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2022-11-01T20:45:00Z</dcterms:created>
  <dcterms:modified xsi:type="dcterms:W3CDTF">2022-11-01T20:45:00Z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