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329E" w14:textId="77777777" w:rsidR="001D4404" w:rsidRPr="00DE1784" w:rsidRDefault="001D4404" w:rsidP="001D4404">
      <w:pPr>
        <w:tabs>
          <w:tab w:val="left" w:pos="720"/>
          <w:tab w:val="left" w:pos="1890"/>
          <w:tab w:val="left" w:pos="6840"/>
          <w:tab w:val="left" w:pos="7200"/>
        </w:tabs>
        <w:ind w:left="360" w:hanging="450"/>
        <w:jc w:val="both"/>
        <w:rPr>
          <w:sz w:val="22"/>
          <w:szCs w:val="22"/>
          <w:lang w:val="en-US"/>
        </w:rPr>
      </w:pPr>
      <w:r w:rsidRPr="00DE1784">
        <w:rPr>
          <w:b/>
          <w:bCs/>
          <w:sz w:val="22"/>
          <w:szCs w:val="22"/>
          <w:lang w:val="en-US"/>
        </w:rPr>
        <w:t>NINTH INTER-AMERICAN MEETING OF MINISTERS OF</w:t>
      </w:r>
      <w:r w:rsidRPr="00DE1784">
        <w:rPr>
          <w:b/>
          <w:bCs/>
          <w:sz w:val="22"/>
          <w:szCs w:val="22"/>
          <w:lang w:val="en-US"/>
        </w:rPr>
        <w:tab/>
      </w:r>
      <w:r w:rsidRPr="00DE1784">
        <w:rPr>
          <w:snapToGrid w:val="0"/>
          <w:sz w:val="22"/>
          <w:szCs w:val="22"/>
          <w:lang w:val="en-US"/>
        </w:rPr>
        <w:t>OEA/Ser. K/XXVII.9</w:t>
      </w:r>
    </w:p>
    <w:p w14:paraId="68DBB6C8" w14:textId="2F5DE627" w:rsidR="001D4404" w:rsidRPr="00DE1784" w:rsidRDefault="001D4404" w:rsidP="001D4404">
      <w:pPr>
        <w:tabs>
          <w:tab w:val="left" w:pos="720"/>
          <w:tab w:val="left" w:pos="1890"/>
          <w:tab w:val="left" w:pos="6840"/>
        </w:tabs>
        <w:ind w:left="360" w:right="-1109" w:hanging="450"/>
        <w:jc w:val="both"/>
        <w:rPr>
          <w:bCs/>
          <w:snapToGrid w:val="0"/>
          <w:sz w:val="22"/>
          <w:szCs w:val="22"/>
          <w:lang w:val="en-US"/>
        </w:rPr>
      </w:pPr>
      <w:r w:rsidRPr="00DE1784">
        <w:rPr>
          <w:b/>
          <w:bCs/>
          <w:sz w:val="22"/>
          <w:szCs w:val="22"/>
          <w:lang w:val="en-US"/>
        </w:rPr>
        <w:t>CULTURE AND HIGHEST APPROPRIATE AUTHORITIES</w:t>
      </w:r>
      <w:r w:rsidRPr="00DE1784">
        <w:rPr>
          <w:b/>
          <w:bCs/>
          <w:sz w:val="22"/>
          <w:szCs w:val="22"/>
          <w:lang w:val="en-US"/>
        </w:rPr>
        <w:tab/>
      </w:r>
      <w:r w:rsidRPr="00DE1784">
        <w:rPr>
          <w:bCs/>
          <w:sz w:val="22"/>
          <w:szCs w:val="22"/>
          <w:lang w:val="en-US"/>
        </w:rPr>
        <w:t xml:space="preserve">CIDI/REMIC-IX/doc. </w:t>
      </w:r>
      <w:r w:rsidR="00BB04F6">
        <w:rPr>
          <w:bCs/>
          <w:sz w:val="22"/>
          <w:szCs w:val="22"/>
          <w:lang w:val="en-US"/>
        </w:rPr>
        <w:t>8</w:t>
      </w:r>
      <w:r w:rsidRPr="00DE1784">
        <w:rPr>
          <w:bCs/>
          <w:snapToGrid w:val="0"/>
          <w:sz w:val="22"/>
          <w:szCs w:val="22"/>
          <w:lang w:val="en-US"/>
        </w:rPr>
        <w:t>/22</w:t>
      </w:r>
      <w:r w:rsidR="004811FE">
        <w:rPr>
          <w:bCs/>
          <w:snapToGrid w:val="0"/>
          <w:sz w:val="22"/>
          <w:szCs w:val="22"/>
          <w:lang w:val="en-US"/>
        </w:rPr>
        <w:t xml:space="preserve"> rev.1</w:t>
      </w:r>
    </w:p>
    <w:p w14:paraId="4FFFF943" w14:textId="2E79EE12" w:rsidR="001D4404" w:rsidRPr="00DE1784" w:rsidRDefault="001D4404" w:rsidP="001D4404">
      <w:pPr>
        <w:tabs>
          <w:tab w:val="left" w:pos="720"/>
          <w:tab w:val="left" w:pos="1890"/>
          <w:tab w:val="left" w:pos="6840"/>
        </w:tabs>
        <w:ind w:left="360" w:right="-1109" w:hanging="450"/>
        <w:jc w:val="both"/>
        <w:rPr>
          <w:snapToGrid w:val="0"/>
          <w:sz w:val="22"/>
          <w:szCs w:val="22"/>
          <w:lang w:val="en-US"/>
        </w:rPr>
      </w:pPr>
      <w:r w:rsidRPr="00DE1784">
        <w:rPr>
          <w:sz w:val="22"/>
          <w:szCs w:val="22"/>
          <w:lang w:val="en-US"/>
        </w:rPr>
        <w:t xml:space="preserve">October </w:t>
      </w:r>
      <w:r w:rsidR="004811FE">
        <w:rPr>
          <w:sz w:val="22"/>
          <w:szCs w:val="22"/>
          <w:lang w:val="en-US"/>
        </w:rPr>
        <w:t>2</w:t>
      </w:r>
      <w:r w:rsidRPr="00DE1784">
        <w:rPr>
          <w:sz w:val="22"/>
          <w:szCs w:val="22"/>
          <w:lang w:val="en-US"/>
        </w:rPr>
        <w:t xml:space="preserve">7 to </w:t>
      </w:r>
      <w:r w:rsidR="004811FE">
        <w:rPr>
          <w:sz w:val="22"/>
          <w:szCs w:val="22"/>
          <w:lang w:val="en-US"/>
        </w:rPr>
        <w:t>2</w:t>
      </w:r>
      <w:r w:rsidRPr="00DE1784">
        <w:rPr>
          <w:sz w:val="22"/>
          <w:szCs w:val="22"/>
          <w:lang w:val="en-US"/>
        </w:rPr>
        <w:t>8, 2022</w:t>
      </w:r>
      <w:r w:rsidRPr="00DE1784">
        <w:rPr>
          <w:b/>
          <w:bCs/>
          <w:snapToGrid w:val="0"/>
          <w:sz w:val="22"/>
          <w:szCs w:val="22"/>
          <w:lang w:val="en-US"/>
        </w:rPr>
        <w:tab/>
      </w:r>
      <w:r w:rsidR="004811FE">
        <w:rPr>
          <w:snapToGrid w:val="0"/>
          <w:sz w:val="22"/>
          <w:szCs w:val="22"/>
          <w:lang w:val="en-US"/>
        </w:rPr>
        <w:t>2</w:t>
      </w:r>
      <w:r w:rsidR="00357A3C">
        <w:rPr>
          <w:snapToGrid w:val="0"/>
          <w:sz w:val="22"/>
          <w:szCs w:val="22"/>
          <w:lang w:val="en-US"/>
        </w:rPr>
        <w:t>8</w:t>
      </w:r>
      <w:r w:rsidRPr="00DE1784">
        <w:rPr>
          <w:snapToGrid w:val="0"/>
          <w:sz w:val="22"/>
          <w:szCs w:val="22"/>
          <w:lang w:val="en-US"/>
        </w:rPr>
        <w:t xml:space="preserve"> October 2022</w:t>
      </w:r>
    </w:p>
    <w:p w14:paraId="2A0A5AAE" w14:textId="77777777" w:rsidR="001D4404" w:rsidRPr="00DE1784" w:rsidRDefault="001D4404" w:rsidP="001D4404">
      <w:pPr>
        <w:tabs>
          <w:tab w:val="left" w:pos="720"/>
          <w:tab w:val="left" w:pos="1890"/>
          <w:tab w:val="left" w:pos="6840"/>
        </w:tabs>
        <w:ind w:left="360" w:right="-119" w:hanging="450"/>
        <w:jc w:val="both"/>
        <w:rPr>
          <w:sz w:val="22"/>
          <w:szCs w:val="22"/>
          <w:lang w:val="en-US"/>
        </w:rPr>
      </w:pPr>
      <w:r w:rsidRPr="00DE1784">
        <w:rPr>
          <w:color w:val="000000"/>
          <w:sz w:val="22"/>
          <w:szCs w:val="22"/>
          <w:lang w:val="en-US"/>
        </w:rPr>
        <w:t>Antigua Guatemala, Guatemala</w:t>
      </w:r>
      <w:r w:rsidRPr="00DE1784">
        <w:rPr>
          <w:color w:val="000000"/>
          <w:sz w:val="22"/>
          <w:szCs w:val="22"/>
          <w:lang w:val="en-US"/>
        </w:rPr>
        <w:tab/>
      </w:r>
      <w:r w:rsidRPr="00DE1784">
        <w:rPr>
          <w:sz w:val="22"/>
          <w:szCs w:val="22"/>
          <w:lang w:val="en-US"/>
        </w:rPr>
        <w:t xml:space="preserve">Original: </w:t>
      </w:r>
      <w:r w:rsidRPr="00293AAB">
        <w:rPr>
          <w:lang w:val="en-US"/>
        </w:rPr>
        <w:t>English/Spanish</w:t>
      </w:r>
    </w:p>
    <w:p w14:paraId="70A9DC67" w14:textId="6E008066" w:rsidR="003C6D69" w:rsidRPr="00DF39D0" w:rsidRDefault="003C6D69" w:rsidP="00576899">
      <w:pPr>
        <w:pBdr>
          <w:bottom w:val="single" w:sz="12" w:space="1" w:color="auto"/>
        </w:pBdr>
        <w:tabs>
          <w:tab w:val="left" w:pos="7200"/>
        </w:tabs>
        <w:ind w:right="-389"/>
        <w:rPr>
          <w:sz w:val="22"/>
          <w:szCs w:val="22"/>
          <w:lang w:val="en-US"/>
        </w:rPr>
      </w:pPr>
    </w:p>
    <w:p w14:paraId="59C99E33" w14:textId="78389405" w:rsidR="004043A2" w:rsidRPr="00DF39D0" w:rsidRDefault="004043A2" w:rsidP="00576899">
      <w:pPr>
        <w:tabs>
          <w:tab w:val="left" w:pos="7200"/>
        </w:tabs>
        <w:ind w:right="-1080"/>
        <w:rPr>
          <w:sz w:val="22"/>
          <w:szCs w:val="22"/>
          <w:lang w:val="en-US"/>
        </w:rPr>
      </w:pPr>
    </w:p>
    <w:p w14:paraId="61820CCC" w14:textId="025ADE83" w:rsidR="00BF50FE" w:rsidRPr="00BF50FE" w:rsidRDefault="00BF50FE" w:rsidP="00BF50FE">
      <w:pPr>
        <w:ind w:right="-158"/>
        <w:jc w:val="center"/>
        <w:rPr>
          <w:sz w:val="22"/>
          <w:szCs w:val="22"/>
          <w:lang w:val="en-US"/>
        </w:rPr>
      </w:pPr>
      <w:r w:rsidRPr="00DF39D0">
        <w:rPr>
          <w:sz w:val="22"/>
          <w:szCs w:val="22"/>
          <w:lang w:val="en-US"/>
        </w:rPr>
        <w:t>PLAN OF ACTION OF ANTIGUA GUATEMALA</w:t>
      </w:r>
    </w:p>
    <w:p w14:paraId="5531CCBE" w14:textId="77777777" w:rsidR="00BF50FE" w:rsidRPr="00BF50FE" w:rsidRDefault="00BF50FE" w:rsidP="00BF50FE">
      <w:pPr>
        <w:jc w:val="both"/>
        <w:rPr>
          <w:sz w:val="22"/>
          <w:szCs w:val="22"/>
          <w:lang w:val="en-US"/>
        </w:rPr>
      </w:pPr>
    </w:p>
    <w:p w14:paraId="6D4C88BE" w14:textId="77777777" w:rsidR="00BF50FE" w:rsidRPr="00BF50FE" w:rsidRDefault="00BF50FE" w:rsidP="00BF50FE">
      <w:pPr>
        <w:jc w:val="center"/>
        <w:rPr>
          <w:sz w:val="22"/>
          <w:szCs w:val="22"/>
          <w:lang w:val="en-US"/>
        </w:rPr>
      </w:pPr>
      <w:r w:rsidRPr="00BF50FE">
        <w:rPr>
          <w:sz w:val="22"/>
          <w:szCs w:val="22"/>
          <w:lang w:val="en-US"/>
        </w:rPr>
        <w:t xml:space="preserve">“Technology, creativity, and innovation </w:t>
      </w:r>
      <w:r w:rsidRPr="00BF50FE">
        <w:rPr>
          <w:sz w:val="22"/>
          <w:szCs w:val="22"/>
          <w:lang w:val="en-US"/>
        </w:rPr>
        <w:br/>
        <w:t>as an opportunity for developing and strengthening culture”</w:t>
      </w:r>
    </w:p>
    <w:p w14:paraId="2C26C2F5" w14:textId="77777777" w:rsidR="00BF50FE" w:rsidRPr="00BF50FE" w:rsidRDefault="00BF50FE" w:rsidP="00BF50FE">
      <w:pPr>
        <w:jc w:val="both"/>
        <w:rPr>
          <w:sz w:val="22"/>
          <w:szCs w:val="22"/>
          <w:lang w:val="en-US"/>
        </w:rPr>
      </w:pPr>
    </w:p>
    <w:p w14:paraId="32442E76" w14:textId="6A01274E" w:rsidR="00DF39D0" w:rsidRDefault="004811FE" w:rsidP="004811FE">
      <w:pPr>
        <w:jc w:val="center"/>
        <w:rPr>
          <w:sz w:val="22"/>
          <w:szCs w:val="22"/>
          <w:lang w:val="en-US"/>
        </w:rPr>
      </w:pPr>
      <w:r w:rsidRPr="004811FE">
        <w:rPr>
          <w:sz w:val="22"/>
          <w:szCs w:val="22"/>
          <w:lang w:val="en-US"/>
        </w:rPr>
        <w:t>(Adopted at the eighth plenary session and subject to review by the Style Committee)</w:t>
      </w:r>
    </w:p>
    <w:p w14:paraId="7D103B9F" w14:textId="494DDE16" w:rsidR="00DF39D0" w:rsidRDefault="00DF39D0" w:rsidP="00BF50FE">
      <w:pPr>
        <w:jc w:val="both"/>
        <w:rPr>
          <w:sz w:val="22"/>
          <w:szCs w:val="22"/>
          <w:lang w:val="en-US"/>
        </w:rPr>
      </w:pPr>
    </w:p>
    <w:p w14:paraId="4B4DCA68" w14:textId="77777777" w:rsidR="004811FE" w:rsidRPr="00BF50FE" w:rsidRDefault="004811FE" w:rsidP="00BF50FE">
      <w:pPr>
        <w:jc w:val="both"/>
        <w:rPr>
          <w:sz w:val="22"/>
          <w:szCs w:val="22"/>
          <w:lang w:val="en-US"/>
        </w:rPr>
      </w:pPr>
    </w:p>
    <w:p w14:paraId="59CCF974" w14:textId="77777777" w:rsidR="00BF50FE" w:rsidRPr="006D7A16" w:rsidRDefault="00BF50FE" w:rsidP="00BF50FE">
      <w:pPr>
        <w:pStyle w:val="ListParagraph"/>
        <w:numPr>
          <w:ilvl w:val="0"/>
          <w:numId w:val="36"/>
        </w:numPr>
        <w:ind w:left="720" w:hanging="720"/>
        <w:jc w:val="both"/>
        <w:rPr>
          <w:sz w:val="22"/>
          <w:szCs w:val="22"/>
        </w:rPr>
      </w:pPr>
      <w:r w:rsidRPr="006D7A16">
        <w:rPr>
          <w:sz w:val="22"/>
          <w:szCs w:val="22"/>
        </w:rPr>
        <w:t>BACKGROUND</w:t>
      </w:r>
    </w:p>
    <w:p w14:paraId="278AC9B5" w14:textId="77777777" w:rsidR="00BF50FE" w:rsidRPr="006D7A16" w:rsidRDefault="00BF50FE" w:rsidP="00BF50FE">
      <w:pPr>
        <w:jc w:val="both"/>
        <w:rPr>
          <w:sz w:val="22"/>
          <w:szCs w:val="22"/>
        </w:rPr>
      </w:pPr>
    </w:p>
    <w:p w14:paraId="1268F42E" w14:textId="77777777" w:rsidR="00BF50FE" w:rsidRPr="00BF50FE" w:rsidRDefault="00BF50FE" w:rsidP="00BF50FE">
      <w:pPr>
        <w:ind w:firstLine="720"/>
        <w:jc w:val="both"/>
        <w:rPr>
          <w:sz w:val="22"/>
          <w:szCs w:val="22"/>
          <w:lang w:val="en-US"/>
        </w:rPr>
      </w:pPr>
      <w:r w:rsidRPr="00BF50FE">
        <w:rPr>
          <w:sz w:val="22"/>
          <w:szCs w:val="22"/>
          <w:lang w:val="en-US"/>
        </w:rPr>
        <w:t>1.</w:t>
      </w:r>
      <w:r w:rsidRPr="00BF50FE">
        <w:rPr>
          <w:sz w:val="22"/>
          <w:szCs w:val="22"/>
          <w:lang w:val="en-US"/>
        </w:rPr>
        <w:tab/>
        <w:t>The purpose of this Plan of Action is the implementation of the Declaration of Antigua Guatemala, “Technology, Creativity, and Innovation as an Opportunity for Developing and Strengthening Culture,” in the recognition that the COVID-19 pandemic has severely affected many of the key sectors and drivers of economic activity in countries around the world, and that its impact on the cultural and creative industries has been particularly devastating.</w:t>
      </w:r>
    </w:p>
    <w:p w14:paraId="5F6C50DE" w14:textId="77777777" w:rsidR="00BF50FE" w:rsidRPr="00BF50FE" w:rsidRDefault="00BF50FE" w:rsidP="00BF50FE">
      <w:pPr>
        <w:ind w:firstLine="720"/>
        <w:jc w:val="both"/>
        <w:rPr>
          <w:sz w:val="22"/>
          <w:szCs w:val="22"/>
          <w:lang w:val="en-US"/>
        </w:rPr>
      </w:pPr>
    </w:p>
    <w:p w14:paraId="59672B6A" w14:textId="77777777" w:rsidR="00BF50FE" w:rsidRPr="00BF50FE" w:rsidRDefault="00BF50FE" w:rsidP="00BF50FE">
      <w:pPr>
        <w:ind w:firstLine="720"/>
        <w:jc w:val="both"/>
        <w:rPr>
          <w:sz w:val="22"/>
          <w:szCs w:val="22"/>
          <w:lang w:val="en-US"/>
        </w:rPr>
      </w:pPr>
      <w:r w:rsidRPr="00BF50FE">
        <w:rPr>
          <w:sz w:val="22"/>
          <w:szCs w:val="22"/>
          <w:lang w:val="en-US"/>
        </w:rPr>
        <w:t>2.</w:t>
      </w:r>
      <w:r w:rsidRPr="00BF50FE">
        <w:rPr>
          <w:sz w:val="22"/>
          <w:szCs w:val="22"/>
          <w:lang w:val="en-US"/>
        </w:rPr>
        <w:tab/>
        <w:t>This Plan of Action will guide the implementation of the priorities set out in the Declaration of Antigua Guatemala “Technology, Creativity, and Innovation as an Opportunity for Developing and Strengthening Culture”. It is also part of the member states’ joint efforts to address culture’s contribution to the fulfillment of the 2030 Agenda for Sustainable Development.</w:t>
      </w:r>
    </w:p>
    <w:p w14:paraId="65F96862" w14:textId="77777777" w:rsidR="00BF50FE" w:rsidRPr="00BF50FE" w:rsidRDefault="00BF50FE" w:rsidP="00BF50FE">
      <w:pPr>
        <w:jc w:val="both"/>
        <w:rPr>
          <w:sz w:val="22"/>
          <w:szCs w:val="22"/>
          <w:lang w:val="en-US"/>
        </w:rPr>
      </w:pPr>
    </w:p>
    <w:p w14:paraId="2C266081" w14:textId="77777777" w:rsidR="00BF50FE" w:rsidRPr="00BF50FE" w:rsidRDefault="00BF50FE" w:rsidP="00BF50FE">
      <w:pPr>
        <w:ind w:firstLine="720"/>
        <w:jc w:val="both"/>
        <w:rPr>
          <w:sz w:val="22"/>
          <w:szCs w:val="22"/>
          <w:lang w:val="en-US"/>
        </w:rPr>
      </w:pPr>
      <w:r w:rsidRPr="00BF50FE">
        <w:rPr>
          <w:sz w:val="22"/>
          <w:szCs w:val="22"/>
          <w:lang w:val="en-US"/>
        </w:rPr>
        <w:t>3.</w:t>
      </w:r>
      <w:r w:rsidRPr="00BF50FE">
        <w:rPr>
          <w:sz w:val="22"/>
          <w:szCs w:val="22"/>
          <w:lang w:val="en-US"/>
        </w:rPr>
        <w:tab/>
        <w:t>The Plan of Action takes into account the “General Guidelines for Sectoral Ministerial Processes within the framework of the Inter-American Council for Integral Development (CIDI),” document (CIDI/doc.228/17), adopted by the General Assembly of the Organization of American States (OAS) in 2017, and the “Rules of Procedure for Sectoral and Specialized Meetings of Ministers and/or High Authorities of the Inter-American Council for Integral Development,” document (CIDI/doc.258/18), adopted by the OAS General Assembly in 2018.</w:t>
      </w:r>
    </w:p>
    <w:p w14:paraId="5750F3BA" w14:textId="77777777" w:rsidR="00BF50FE" w:rsidRPr="00BF50FE" w:rsidRDefault="00BF50FE" w:rsidP="00BF50FE">
      <w:pPr>
        <w:jc w:val="both"/>
        <w:rPr>
          <w:sz w:val="22"/>
          <w:szCs w:val="22"/>
          <w:lang w:val="en-US"/>
        </w:rPr>
      </w:pPr>
    </w:p>
    <w:p w14:paraId="57A30F9E" w14:textId="77777777" w:rsidR="00BF50FE" w:rsidRPr="006D7A16" w:rsidRDefault="00BF50FE" w:rsidP="00BF50FE">
      <w:pPr>
        <w:pStyle w:val="ListParagraph"/>
        <w:numPr>
          <w:ilvl w:val="0"/>
          <w:numId w:val="36"/>
        </w:numPr>
        <w:ind w:left="720" w:hanging="720"/>
        <w:jc w:val="both"/>
        <w:rPr>
          <w:sz w:val="22"/>
          <w:szCs w:val="22"/>
        </w:rPr>
      </w:pPr>
      <w:r w:rsidRPr="006D7A16">
        <w:rPr>
          <w:sz w:val="22"/>
          <w:szCs w:val="22"/>
        </w:rPr>
        <w:t>RESOURCES</w:t>
      </w:r>
    </w:p>
    <w:p w14:paraId="259B1391" w14:textId="77777777" w:rsidR="00BF50FE" w:rsidRPr="006D7A16" w:rsidRDefault="00BF50FE" w:rsidP="00BF50FE">
      <w:pPr>
        <w:jc w:val="both"/>
        <w:rPr>
          <w:sz w:val="22"/>
          <w:szCs w:val="22"/>
        </w:rPr>
      </w:pPr>
    </w:p>
    <w:p w14:paraId="494A5C1F" w14:textId="77777777" w:rsidR="00BF50FE" w:rsidRPr="00BF50FE" w:rsidRDefault="00BF50FE" w:rsidP="00BF50FE">
      <w:pPr>
        <w:tabs>
          <w:tab w:val="left" w:pos="1440"/>
        </w:tabs>
        <w:ind w:firstLine="720"/>
        <w:jc w:val="both"/>
        <w:rPr>
          <w:sz w:val="22"/>
          <w:szCs w:val="22"/>
          <w:lang w:val="en-US"/>
        </w:rPr>
      </w:pPr>
      <w:r w:rsidRPr="00BF50FE">
        <w:rPr>
          <w:sz w:val="22"/>
          <w:szCs w:val="22"/>
          <w:lang w:val="en-US"/>
        </w:rPr>
        <w:t xml:space="preserve">4. </w:t>
      </w:r>
      <w:r w:rsidRPr="00BF50FE">
        <w:rPr>
          <w:sz w:val="22"/>
          <w:szCs w:val="22"/>
          <w:lang w:val="en-US"/>
        </w:rPr>
        <w:tab/>
        <w:t xml:space="preserve">Member states shall assign appropriate and available economic, technical, and logistical resources for the implementation of this Plan of Action, according to their available budget. </w:t>
      </w:r>
    </w:p>
    <w:p w14:paraId="1CBCAB54" w14:textId="77777777" w:rsidR="00BF50FE" w:rsidRPr="00BF50FE" w:rsidRDefault="00BF50FE" w:rsidP="00BF50FE">
      <w:pPr>
        <w:jc w:val="both"/>
        <w:rPr>
          <w:sz w:val="22"/>
          <w:szCs w:val="22"/>
          <w:lang w:val="en-US"/>
        </w:rPr>
      </w:pPr>
    </w:p>
    <w:p w14:paraId="0D058039" w14:textId="77777777" w:rsidR="00BF50FE" w:rsidRPr="006D7A16" w:rsidRDefault="00BF50FE" w:rsidP="00BF50FE">
      <w:pPr>
        <w:pStyle w:val="ListParagraph"/>
        <w:keepNext/>
        <w:numPr>
          <w:ilvl w:val="0"/>
          <w:numId w:val="37"/>
        </w:numPr>
        <w:ind w:left="720" w:hanging="720"/>
        <w:jc w:val="both"/>
        <w:rPr>
          <w:sz w:val="22"/>
          <w:szCs w:val="22"/>
        </w:rPr>
      </w:pPr>
      <w:r w:rsidRPr="006D7A16">
        <w:rPr>
          <w:sz w:val="22"/>
          <w:szCs w:val="22"/>
        </w:rPr>
        <w:t>WORKING GROUPS</w:t>
      </w:r>
    </w:p>
    <w:p w14:paraId="2714C1DB" w14:textId="77777777" w:rsidR="00BF50FE" w:rsidRPr="006D7A16" w:rsidRDefault="00BF50FE" w:rsidP="00BF50FE">
      <w:pPr>
        <w:keepNext/>
        <w:jc w:val="both"/>
        <w:rPr>
          <w:sz w:val="22"/>
          <w:szCs w:val="22"/>
        </w:rPr>
      </w:pPr>
    </w:p>
    <w:p w14:paraId="625DBC68" w14:textId="77777777" w:rsidR="00BF50FE" w:rsidRPr="00BF50FE" w:rsidRDefault="00BF50FE" w:rsidP="00BF50FE">
      <w:pPr>
        <w:ind w:firstLine="720"/>
        <w:jc w:val="both"/>
        <w:rPr>
          <w:sz w:val="22"/>
          <w:szCs w:val="22"/>
          <w:lang w:val="en-US"/>
        </w:rPr>
      </w:pPr>
      <w:r w:rsidRPr="00BF50FE">
        <w:rPr>
          <w:sz w:val="22"/>
          <w:szCs w:val="22"/>
          <w:lang w:val="en-US"/>
        </w:rPr>
        <w:t>5.</w:t>
      </w:r>
      <w:r w:rsidRPr="00BF50FE">
        <w:rPr>
          <w:sz w:val="22"/>
          <w:szCs w:val="22"/>
          <w:lang w:val="en-US"/>
        </w:rPr>
        <w:tab/>
        <w:t>In line with the Declaration of Antigua Guatemala, this Plan of Action covers the following working groups:</w:t>
      </w:r>
    </w:p>
    <w:p w14:paraId="4111D76B" w14:textId="77777777" w:rsidR="00BF50FE" w:rsidRPr="00BF50FE" w:rsidRDefault="00BF50FE" w:rsidP="00BF50FE">
      <w:pPr>
        <w:jc w:val="both"/>
        <w:rPr>
          <w:sz w:val="22"/>
          <w:szCs w:val="22"/>
          <w:lang w:val="en-US"/>
        </w:rPr>
      </w:pPr>
    </w:p>
    <w:p w14:paraId="64820474" w14:textId="77777777" w:rsidR="00BF50FE" w:rsidRPr="00BF50FE" w:rsidRDefault="00BF50FE" w:rsidP="00DF39D0">
      <w:pPr>
        <w:pStyle w:val="ListParagraph"/>
        <w:numPr>
          <w:ilvl w:val="0"/>
          <w:numId w:val="38"/>
        </w:numPr>
        <w:ind w:left="2160"/>
        <w:jc w:val="both"/>
        <w:rPr>
          <w:sz w:val="22"/>
          <w:szCs w:val="22"/>
          <w:lang w:val="en-US"/>
        </w:rPr>
      </w:pPr>
      <w:r w:rsidRPr="00BF50FE">
        <w:rPr>
          <w:sz w:val="22"/>
          <w:szCs w:val="22"/>
          <w:lang w:val="en-US"/>
        </w:rPr>
        <w:t xml:space="preserve">Methodologies </w:t>
      </w:r>
      <w:r w:rsidRPr="00BF50FE">
        <w:rPr>
          <w:color w:val="000000"/>
          <w:sz w:val="22"/>
          <w:szCs w:val="22"/>
          <w:lang w:val="en-US"/>
        </w:rPr>
        <w:t xml:space="preserve">and Policies </w:t>
      </w:r>
      <w:r w:rsidRPr="00BF50FE">
        <w:rPr>
          <w:sz w:val="22"/>
          <w:szCs w:val="22"/>
          <w:lang w:val="en-US"/>
        </w:rPr>
        <w:t xml:space="preserve">for Promoting the </w:t>
      </w:r>
      <w:r w:rsidRPr="00BF50FE">
        <w:rPr>
          <w:color w:val="000000"/>
          <w:sz w:val="22"/>
          <w:szCs w:val="22"/>
          <w:lang w:val="en-US"/>
        </w:rPr>
        <w:t>Management and Consumption of Cultural Goods and Services in the Digital Environment</w:t>
      </w:r>
    </w:p>
    <w:p w14:paraId="6AF1B526" w14:textId="77777777" w:rsidR="00BF50FE" w:rsidRPr="00BF50FE" w:rsidRDefault="00BF50FE" w:rsidP="00DF39D0">
      <w:pPr>
        <w:pStyle w:val="ListParagraph"/>
        <w:numPr>
          <w:ilvl w:val="0"/>
          <w:numId w:val="38"/>
        </w:numPr>
        <w:ind w:left="2160"/>
        <w:jc w:val="both"/>
        <w:rPr>
          <w:sz w:val="22"/>
          <w:szCs w:val="22"/>
          <w:lang w:val="en-US"/>
        </w:rPr>
      </w:pPr>
      <w:r w:rsidRPr="00BF50FE">
        <w:rPr>
          <w:sz w:val="22"/>
          <w:szCs w:val="22"/>
          <w:lang w:val="en-US"/>
        </w:rPr>
        <w:t>The Economy and Cultural and Creative Industries</w:t>
      </w:r>
    </w:p>
    <w:p w14:paraId="55BF58EE" w14:textId="77777777" w:rsidR="00BF50FE" w:rsidRPr="00BF50FE" w:rsidRDefault="00BF50FE" w:rsidP="00DF39D0">
      <w:pPr>
        <w:pStyle w:val="ListParagraph"/>
        <w:numPr>
          <w:ilvl w:val="0"/>
          <w:numId w:val="38"/>
        </w:numPr>
        <w:ind w:left="2160"/>
        <w:jc w:val="both"/>
        <w:rPr>
          <w:sz w:val="22"/>
          <w:szCs w:val="22"/>
          <w:lang w:val="en-US"/>
        </w:rPr>
      </w:pPr>
      <w:r w:rsidRPr="00BF50FE">
        <w:rPr>
          <w:sz w:val="22"/>
          <w:szCs w:val="22"/>
          <w:lang w:val="en-US"/>
        </w:rPr>
        <w:lastRenderedPageBreak/>
        <w:t>Collection, Protection, Preservation, Valuing and Safeguarding of Cultural Heritage, Cultural and Artistic Expressions, and Traditional and Ancestral Knowledge</w:t>
      </w:r>
    </w:p>
    <w:p w14:paraId="28C3927B" w14:textId="77777777" w:rsidR="00BF50FE" w:rsidRPr="00BF50FE" w:rsidRDefault="00BF50FE" w:rsidP="00BF50FE">
      <w:pPr>
        <w:jc w:val="both"/>
        <w:rPr>
          <w:sz w:val="22"/>
          <w:szCs w:val="22"/>
          <w:lang w:val="en-US"/>
        </w:rPr>
      </w:pPr>
    </w:p>
    <w:p w14:paraId="71D7415C" w14:textId="77777777" w:rsidR="00BF50FE" w:rsidRPr="00BF50FE" w:rsidRDefault="00BF50FE" w:rsidP="00BF50FE">
      <w:pPr>
        <w:ind w:firstLine="720"/>
        <w:jc w:val="both"/>
        <w:rPr>
          <w:sz w:val="22"/>
          <w:szCs w:val="22"/>
          <w:lang w:val="en-US"/>
        </w:rPr>
      </w:pPr>
      <w:r w:rsidRPr="00BF50FE">
        <w:rPr>
          <w:sz w:val="22"/>
          <w:szCs w:val="22"/>
          <w:lang w:val="en-US"/>
        </w:rPr>
        <w:t>6.</w:t>
      </w:r>
      <w:r w:rsidRPr="00BF50FE">
        <w:rPr>
          <w:sz w:val="22"/>
          <w:szCs w:val="22"/>
          <w:lang w:val="en-US"/>
        </w:rPr>
        <w:tab/>
        <w:t>Each working group (WG) shall have one chair and two vice chairs.</w:t>
      </w:r>
    </w:p>
    <w:p w14:paraId="69F36DF7" w14:textId="77777777" w:rsidR="00BF50FE" w:rsidRPr="00BF50FE" w:rsidRDefault="00BF50FE" w:rsidP="00BF50FE">
      <w:pPr>
        <w:jc w:val="both"/>
        <w:rPr>
          <w:sz w:val="22"/>
          <w:szCs w:val="22"/>
          <w:lang w:val="en-US"/>
        </w:rPr>
      </w:pPr>
    </w:p>
    <w:p w14:paraId="3ACE8D33" w14:textId="77777777" w:rsidR="00BF50FE" w:rsidRPr="00BF50FE" w:rsidRDefault="00BF50FE" w:rsidP="00BF50FE">
      <w:pPr>
        <w:ind w:firstLine="720"/>
        <w:jc w:val="both"/>
        <w:rPr>
          <w:sz w:val="22"/>
          <w:szCs w:val="22"/>
          <w:lang w:val="en-US"/>
        </w:rPr>
      </w:pPr>
      <w:r w:rsidRPr="00BF50FE">
        <w:rPr>
          <w:sz w:val="22"/>
          <w:szCs w:val="22"/>
          <w:lang w:val="en-US"/>
        </w:rPr>
        <w:t>7.</w:t>
      </w:r>
      <w:r w:rsidRPr="00BF50FE">
        <w:rPr>
          <w:sz w:val="22"/>
          <w:szCs w:val="22"/>
          <w:lang w:val="en-US"/>
        </w:rPr>
        <w:tab/>
        <w:t xml:space="preserve">Chairs will coordinate their groups </w:t>
      </w:r>
      <w:proofErr w:type="gramStart"/>
      <w:r w:rsidRPr="00BF50FE">
        <w:rPr>
          <w:sz w:val="22"/>
          <w:szCs w:val="22"/>
          <w:lang w:val="en-US"/>
        </w:rPr>
        <w:t>in order to</w:t>
      </w:r>
      <w:proofErr w:type="gramEnd"/>
      <w:r w:rsidRPr="00BF50FE">
        <w:rPr>
          <w:sz w:val="22"/>
          <w:szCs w:val="22"/>
          <w:lang w:val="en-US"/>
        </w:rPr>
        <w:t>:</w:t>
      </w:r>
    </w:p>
    <w:p w14:paraId="210BA9A8" w14:textId="77777777" w:rsidR="00BF50FE" w:rsidRPr="00BF50FE" w:rsidRDefault="00BF50FE" w:rsidP="00BF50FE">
      <w:pPr>
        <w:jc w:val="both"/>
        <w:rPr>
          <w:sz w:val="22"/>
          <w:szCs w:val="22"/>
          <w:lang w:val="en-US"/>
        </w:rPr>
      </w:pPr>
    </w:p>
    <w:p w14:paraId="57785A7C" w14:textId="77777777" w:rsidR="00BF50FE" w:rsidRPr="00BF50FE" w:rsidRDefault="00BF50FE" w:rsidP="00BF50FE">
      <w:pPr>
        <w:pStyle w:val="ListParagraph"/>
        <w:numPr>
          <w:ilvl w:val="0"/>
          <w:numId w:val="39"/>
        </w:numPr>
        <w:tabs>
          <w:tab w:val="left" w:pos="1440"/>
        </w:tabs>
        <w:ind w:left="1980" w:hanging="540"/>
        <w:jc w:val="both"/>
        <w:rPr>
          <w:sz w:val="22"/>
          <w:szCs w:val="22"/>
          <w:lang w:val="en-US"/>
        </w:rPr>
      </w:pPr>
      <w:r w:rsidRPr="00BF50FE">
        <w:rPr>
          <w:color w:val="000000"/>
          <w:sz w:val="22"/>
          <w:szCs w:val="22"/>
          <w:lang w:val="en-US"/>
        </w:rPr>
        <w:t>Undertake specific activities in accordance with the priorities set at the Ninth Inter-American Meeting of Ministers of Culture and Highest Appropriate Authorities</w:t>
      </w:r>
      <w:r w:rsidRPr="00BF50FE">
        <w:rPr>
          <w:sz w:val="22"/>
          <w:szCs w:val="22"/>
          <w:lang w:val="en-US"/>
        </w:rPr>
        <w:t>.</w:t>
      </w:r>
    </w:p>
    <w:p w14:paraId="3F3439B0" w14:textId="77777777" w:rsidR="00BF50FE" w:rsidRPr="00BF50FE" w:rsidRDefault="00BF50FE" w:rsidP="00BF50FE">
      <w:pPr>
        <w:jc w:val="both"/>
        <w:rPr>
          <w:sz w:val="22"/>
          <w:szCs w:val="22"/>
          <w:lang w:val="en-US"/>
        </w:rPr>
      </w:pPr>
    </w:p>
    <w:p w14:paraId="5195EB54" w14:textId="77777777" w:rsidR="00BF50FE" w:rsidRPr="00BF50FE" w:rsidRDefault="00BF50FE" w:rsidP="00BF50FE">
      <w:pPr>
        <w:pStyle w:val="ListParagraph"/>
        <w:numPr>
          <w:ilvl w:val="0"/>
          <w:numId w:val="39"/>
        </w:numPr>
        <w:tabs>
          <w:tab w:val="left" w:pos="1440"/>
        </w:tabs>
        <w:ind w:left="1980" w:hanging="540"/>
        <w:jc w:val="both"/>
        <w:rPr>
          <w:sz w:val="22"/>
          <w:szCs w:val="22"/>
          <w:lang w:val="en-US"/>
        </w:rPr>
      </w:pPr>
      <w:r w:rsidRPr="00BF50FE">
        <w:rPr>
          <w:color w:val="000000"/>
          <w:sz w:val="22"/>
          <w:szCs w:val="22"/>
          <w:lang w:val="en-US"/>
        </w:rPr>
        <w:t>Facilitate exchanges of experiences and follow up on the implementation of related hemispheric initiatives</w:t>
      </w:r>
      <w:r w:rsidRPr="00BF50FE">
        <w:rPr>
          <w:sz w:val="22"/>
          <w:szCs w:val="22"/>
          <w:lang w:val="en-US"/>
        </w:rPr>
        <w:t>.</w:t>
      </w:r>
    </w:p>
    <w:p w14:paraId="7F71DFE9" w14:textId="77777777" w:rsidR="00BF50FE" w:rsidRPr="00BF50FE" w:rsidRDefault="00BF50FE" w:rsidP="00BF50FE">
      <w:pPr>
        <w:jc w:val="both"/>
        <w:rPr>
          <w:sz w:val="22"/>
          <w:szCs w:val="22"/>
          <w:lang w:val="en-US"/>
        </w:rPr>
      </w:pPr>
    </w:p>
    <w:p w14:paraId="4EA7EB26" w14:textId="77777777" w:rsidR="00BF50FE" w:rsidRPr="00BF50FE" w:rsidRDefault="00BF50FE" w:rsidP="00BF50FE">
      <w:pPr>
        <w:ind w:left="1440" w:hanging="720"/>
        <w:jc w:val="both"/>
        <w:rPr>
          <w:b/>
          <w:bCs/>
          <w:sz w:val="22"/>
          <w:szCs w:val="22"/>
          <w:lang w:val="en-US"/>
        </w:rPr>
      </w:pPr>
      <w:r w:rsidRPr="00BF50FE">
        <w:rPr>
          <w:b/>
          <w:bCs/>
          <w:sz w:val="22"/>
          <w:szCs w:val="22"/>
          <w:lang w:val="en-US"/>
        </w:rPr>
        <w:t>WG 1.</w:t>
      </w:r>
      <w:r w:rsidRPr="00BF50FE">
        <w:rPr>
          <w:b/>
          <w:bCs/>
          <w:sz w:val="22"/>
          <w:szCs w:val="22"/>
          <w:lang w:val="en-US"/>
        </w:rPr>
        <w:tab/>
        <w:t xml:space="preserve">Methodologies </w:t>
      </w:r>
      <w:r w:rsidRPr="00BF50FE">
        <w:rPr>
          <w:b/>
          <w:bCs/>
          <w:color w:val="000000"/>
          <w:sz w:val="22"/>
          <w:szCs w:val="22"/>
          <w:lang w:val="en-US"/>
        </w:rPr>
        <w:t xml:space="preserve">and Policies </w:t>
      </w:r>
      <w:r w:rsidRPr="00BF50FE">
        <w:rPr>
          <w:b/>
          <w:bCs/>
          <w:sz w:val="22"/>
          <w:szCs w:val="22"/>
          <w:lang w:val="en-US"/>
        </w:rPr>
        <w:t xml:space="preserve">for Promoting the </w:t>
      </w:r>
      <w:r w:rsidRPr="00BF50FE">
        <w:rPr>
          <w:b/>
          <w:bCs/>
          <w:color w:val="000000"/>
          <w:sz w:val="22"/>
          <w:szCs w:val="22"/>
          <w:lang w:val="en-US"/>
        </w:rPr>
        <w:t>Management and Consumption of Cultural Goods and Services in the Digital Environment</w:t>
      </w:r>
    </w:p>
    <w:p w14:paraId="1AF4F43D" w14:textId="77777777" w:rsidR="00BF50FE" w:rsidRPr="00BF50FE" w:rsidRDefault="00BF50FE" w:rsidP="00BF50FE">
      <w:pPr>
        <w:jc w:val="both"/>
        <w:rPr>
          <w:b/>
          <w:bCs/>
          <w:sz w:val="22"/>
          <w:szCs w:val="22"/>
          <w:lang w:val="en-US"/>
        </w:rPr>
      </w:pPr>
    </w:p>
    <w:p w14:paraId="424A7D0F" w14:textId="77777777" w:rsidR="00BF50FE" w:rsidRPr="00BF50FE" w:rsidRDefault="00BF50FE" w:rsidP="00BF50FE">
      <w:pPr>
        <w:ind w:firstLine="720"/>
        <w:jc w:val="both"/>
        <w:rPr>
          <w:sz w:val="22"/>
          <w:szCs w:val="22"/>
          <w:lang w:val="en-US"/>
        </w:rPr>
      </w:pPr>
      <w:r w:rsidRPr="00BF50FE">
        <w:rPr>
          <w:sz w:val="22"/>
          <w:szCs w:val="22"/>
          <w:lang w:val="en-US"/>
        </w:rPr>
        <w:t xml:space="preserve">8. </w:t>
      </w:r>
      <w:r w:rsidRPr="00BF50FE">
        <w:rPr>
          <w:sz w:val="22"/>
          <w:szCs w:val="22"/>
          <w:lang w:val="en-US"/>
        </w:rPr>
        <w:tab/>
        <w:t xml:space="preserve">This Working Group is established </w:t>
      </w:r>
      <w:proofErr w:type="gramStart"/>
      <w:r w:rsidRPr="00BF50FE">
        <w:rPr>
          <w:sz w:val="22"/>
          <w:szCs w:val="22"/>
          <w:lang w:val="en-US"/>
        </w:rPr>
        <w:t>on the basis of</w:t>
      </w:r>
      <w:proofErr w:type="gramEnd"/>
      <w:r w:rsidRPr="00BF50FE">
        <w:rPr>
          <w:sz w:val="22"/>
          <w:szCs w:val="22"/>
          <w:lang w:val="en-US"/>
        </w:rPr>
        <w:t xml:space="preserve"> the following elements of the Declaration of Antigua Guatemala:</w:t>
      </w:r>
    </w:p>
    <w:p w14:paraId="3EAC8B6E" w14:textId="77777777" w:rsidR="00BF50FE" w:rsidRPr="00BF50FE" w:rsidRDefault="00BF50FE" w:rsidP="00BF50FE">
      <w:pPr>
        <w:jc w:val="both"/>
        <w:rPr>
          <w:sz w:val="22"/>
          <w:szCs w:val="22"/>
          <w:lang w:val="en-US"/>
        </w:rPr>
      </w:pPr>
    </w:p>
    <w:p w14:paraId="7C6DD2C6" w14:textId="77777777" w:rsidR="00BF50FE" w:rsidRPr="00BF50FE" w:rsidRDefault="00BF50FE" w:rsidP="00DF39D0">
      <w:pPr>
        <w:pStyle w:val="ListParagraph"/>
        <w:numPr>
          <w:ilvl w:val="0"/>
          <w:numId w:val="40"/>
        </w:numPr>
        <w:tabs>
          <w:tab w:val="clear" w:pos="360"/>
        </w:tabs>
        <w:ind w:left="2160" w:hanging="720"/>
        <w:jc w:val="both"/>
        <w:rPr>
          <w:sz w:val="22"/>
          <w:szCs w:val="22"/>
          <w:lang w:val="en-US"/>
        </w:rPr>
      </w:pPr>
      <w:r w:rsidRPr="00BF50FE">
        <w:rPr>
          <w:color w:val="000000"/>
          <w:sz w:val="22"/>
          <w:szCs w:val="22"/>
          <w:lang w:val="en-US"/>
        </w:rPr>
        <w:t xml:space="preserve">One of the consequences of the pandemic has been the increased use of digital technologies by cultural </w:t>
      </w:r>
      <w:r w:rsidRPr="00BF50FE">
        <w:rPr>
          <w:sz w:val="22"/>
          <w:szCs w:val="22"/>
          <w:lang w:val="en-US"/>
        </w:rPr>
        <w:t>stakeholders</w:t>
      </w:r>
      <w:r w:rsidRPr="00BF50FE">
        <w:rPr>
          <w:color w:val="000000"/>
          <w:sz w:val="22"/>
          <w:szCs w:val="22"/>
          <w:lang w:val="en-US"/>
        </w:rPr>
        <w:t xml:space="preserve"> and by consumers of cultural and creative goods and services</w:t>
      </w:r>
      <w:r w:rsidRPr="00BF50FE">
        <w:rPr>
          <w:sz w:val="22"/>
          <w:szCs w:val="22"/>
          <w:lang w:val="en-US"/>
        </w:rPr>
        <w:t>.</w:t>
      </w:r>
    </w:p>
    <w:p w14:paraId="1C3BF1A4" w14:textId="77777777" w:rsidR="00BF50FE" w:rsidRPr="00BF50FE" w:rsidRDefault="00BF50FE" w:rsidP="00DF39D0">
      <w:pPr>
        <w:ind w:left="2160" w:hanging="720"/>
        <w:jc w:val="both"/>
        <w:rPr>
          <w:sz w:val="22"/>
          <w:szCs w:val="22"/>
          <w:lang w:val="en-US"/>
        </w:rPr>
      </w:pPr>
      <w:r w:rsidRPr="00BF50FE">
        <w:rPr>
          <w:sz w:val="22"/>
          <w:szCs w:val="22"/>
          <w:lang w:val="en-US"/>
        </w:rPr>
        <w:t xml:space="preserve"> </w:t>
      </w:r>
    </w:p>
    <w:p w14:paraId="42B1CFDC" w14:textId="77777777" w:rsidR="00BF50FE" w:rsidRPr="00BF50FE" w:rsidRDefault="00BF50FE" w:rsidP="00DF39D0">
      <w:pPr>
        <w:pStyle w:val="ListParagraph"/>
        <w:numPr>
          <w:ilvl w:val="0"/>
          <w:numId w:val="40"/>
        </w:numPr>
        <w:tabs>
          <w:tab w:val="clear" w:pos="360"/>
        </w:tabs>
        <w:ind w:left="2160" w:hanging="720"/>
        <w:jc w:val="both"/>
        <w:rPr>
          <w:sz w:val="22"/>
          <w:szCs w:val="22"/>
          <w:lang w:val="en-US"/>
        </w:rPr>
      </w:pPr>
      <w:r w:rsidRPr="00BF50FE">
        <w:rPr>
          <w:sz w:val="22"/>
          <w:szCs w:val="22"/>
          <w:lang w:val="en-US"/>
        </w:rPr>
        <w:t>A</w:t>
      </w:r>
      <w:r w:rsidRPr="00BF50FE">
        <w:rPr>
          <w:color w:val="000000"/>
          <w:sz w:val="22"/>
          <w:szCs w:val="22"/>
          <w:lang w:val="en-US"/>
        </w:rPr>
        <w:t xml:space="preserve">rtists, creators, and other cultural </w:t>
      </w:r>
      <w:r w:rsidRPr="00BF50FE">
        <w:rPr>
          <w:sz w:val="22"/>
          <w:szCs w:val="22"/>
          <w:lang w:val="en-US"/>
        </w:rPr>
        <w:t>stakeholders</w:t>
      </w:r>
      <w:r w:rsidRPr="00BF50FE">
        <w:rPr>
          <w:color w:val="000000"/>
          <w:sz w:val="22"/>
          <w:szCs w:val="22"/>
          <w:lang w:val="en-US"/>
        </w:rPr>
        <w:t xml:space="preserve"> were challenged to explore the opportunities offered by technology for producing digital content in new formats suitable for consumption and to connect in new ways with audiences and new consumers of cultural and creative goods and services</w:t>
      </w:r>
      <w:r w:rsidRPr="00BF50FE">
        <w:rPr>
          <w:sz w:val="22"/>
          <w:szCs w:val="22"/>
          <w:lang w:val="en-US"/>
        </w:rPr>
        <w:t>.</w:t>
      </w:r>
    </w:p>
    <w:p w14:paraId="3A7FF600" w14:textId="77777777" w:rsidR="00BF50FE" w:rsidRPr="00BF50FE" w:rsidRDefault="00BF50FE" w:rsidP="00DF39D0">
      <w:pPr>
        <w:ind w:left="2160" w:hanging="720"/>
        <w:jc w:val="both"/>
        <w:rPr>
          <w:sz w:val="22"/>
          <w:szCs w:val="22"/>
          <w:lang w:val="en-US"/>
        </w:rPr>
      </w:pPr>
      <w:r w:rsidRPr="00BF50FE">
        <w:rPr>
          <w:sz w:val="22"/>
          <w:szCs w:val="22"/>
          <w:lang w:val="en-US"/>
        </w:rPr>
        <w:t xml:space="preserve"> </w:t>
      </w:r>
    </w:p>
    <w:p w14:paraId="5A0D37FD" w14:textId="77777777" w:rsidR="00BF50FE" w:rsidRPr="00BF50FE" w:rsidRDefault="00BF50FE" w:rsidP="00DF39D0">
      <w:pPr>
        <w:pStyle w:val="ListParagraph"/>
        <w:numPr>
          <w:ilvl w:val="0"/>
          <w:numId w:val="40"/>
        </w:numPr>
        <w:tabs>
          <w:tab w:val="clear" w:pos="360"/>
        </w:tabs>
        <w:ind w:left="2160" w:hanging="720"/>
        <w:jc w:val="both"/>
        <w:rPr>
          <w:sz w:val="22"/>
          <w:szCs w:val="22"/>
          <w:lang w:val="en-US"/>
        </w:rPr>
      </w:pPr>
      <w:r w:rsidRPr="00BF50FE">
        <w:rPr>
          <w:color w:val="000000"/>
          <w:sz w:val="22"/>
          <w:szCs w:val="22"/>
          <w:lang w:val="en-US"/>
        </w:rPr>
        <w:t xml:space="preserve">Difficulties arose on account of such factors as the digital divide and the inequalities that exist in </w:t>
      </w:r>
      <w:r w:rsidRPr="00BF50FE">
        <w:rPr>
          <w:sz w:val="22"/>
          <w:szCs w:val="22"/>
          <w:lang w:val="en-US"/>
        </w:rPr>
        <w:t>digital literacy, as well as,</w:t>
      </w:r>
      <w:r w:rsidRPr="00BF50FE">
        <w:rPr>
          <w:color w:val="000000"/>
          <w:sz w:val="22"/>
          <w:szCs w:val="22"/>
          <w:lang w:val="en-US"/>
        </w:rPr>
        <w:t xml:space="preserve"> </w:t>
      </w:r>
      <w:r w:rsidRPr="00BF50FE">
        <w:rPr>
          <w:sz w:val="22"/>
          <w:szCs w:val="22"/>
          <w:lang w:val="en-US"/>
        </w:rPr>
        <w:t>in</w:t>
      </w:r>
      <w:r w:rsidRPr="00BF50FE">
        <w:rPr>
          <w:color w:val="000000"/>
          <w:sz w:val="22"/>
          <w:szCs w:val="22"/>
          <w:lang w:val="en-US"/>
        </w:rPr>
        <w:t xml:space="preserve"> </w:t>
      </w:r>
      <w:r w:rsidRPr="00BF50FE">
        <w:rPr>
          <w:sz w:val="22"/>
          <w:szCs w:val="22"/>
          <w:lang w:val="en-US"/>
        </w:rPr>
        <w:t xml:space="preserve">access, use, and availability of technology for cultural stakeholders across and within countries and regions. </w:t>
      </w:r>
    </w:p>
    <w:p w14:paraId="4829C485" w14:textId="77777777" w:rsidR="00BF50FE" w:rsidRPr="00BF50FE" w:rsidRDefault="00BF50FE" w:rsidP="00BF50FE">
      <w:pPr>
        <w:jc w:val="both"/>
        <w:rPr>
          <w:sz w:val="22"/>
          <w:szCs w:val="22"/>
          <w:lang w:val="en-US"/>
        </w:rPr>
      </w:pPr>
    </w:p>
    <w:p w14:paraId="0564F378" w14:textId="77777777" w:rsidR="00BF50FE" w:rsidRPr="00BF50FE" w:rsidRDefault="00BF50FE" w:rsidP="00BF50FE">
      <w:pPr>
        <w:ind w:firstLine="720"/>
        <w:jc w:val="both"/>
        <w:rPr>
          <w:sz w:val="22"/>
          <w:szCs w:val="22"/>
          <w:lang w:val="en-US"/>
        </w:rPr>
      </w:pPr>
      <w:r w:rsidRPr="00BF50FE">
        <w:rPr>
          <w:sz w:val="22"/>
          <w:szCs w:val="22"/>
          <w:lang w:val="en-US"/>
        </w:rPr>
        <w:t>9.</w:t>
      </w:r>
      <w:r w:rsidRPr="00BF50FE">
        <w:rPr>
          <w:sz w:val="22"/>
          <w:szCs w:val="22"/>
          <w:lang w:val="en-US"/>
        </w:rPr>
        <w:tab/>
        <w:t>The Working Group will facilitate analyses and exchanges of experiences and will develop recommendations to support member states in their efforts to:</w:t>
      </w:r>
    </w:p>
    <w:p w14:paraId="0CDCEB35" w14:textId="77777777" w:rsidR="00BF50FE" w:rsidRPr="00BF50FE" w:rsidRDefault="00BF50FE" w:rsidP="00BF50FE">
      <w:pPr>
        <w:jc w:val="both"/>
        <w:rPr>
          <w:sz w:val="22"/>
          <w:szCs w:val="22"/>
          <w:lang w:val="en-US"/>
        </w:rPr>
      </w:pPr>
    </w:p>
    <w:p w14:paraId="123814F7" w14:textId="77777777" w:rsidR="00BF50FE" w:rsidRPr="00BF50FE" w:rsidRDefault="00BF50FE" w:rsidP="00DF39D0">
      <w:pPr>
        <w:pStyle w:val="ListParagraph"/>
        <w:numPr>
          <w:ilvl w:val="0"/>
          <w:numId w:val="40"/>
        </w:numPr>
        <w:tabs>
          <w:tab w:val="clear" w:pos="360"/>
        </w:tabs>
        <w:ind w:left="2160" w:hanging="720"/>
        <w:jc w:val="both"/>
        <w:rPr>
          <w:sz w:val="22"/>
          <w:szCs w:val="22"/>
          <w:lang w:val="en-US"/>
        </w:rPr>
      </w:pPr>
      <w:r w:rsidRPr="00BF50FE">
        <w:rPr>
          <w:sz w:val="22"/>
          <w:szCs w:val="22"/>
          <w:lang w:val="en-US"/>
        </w:rPr>
        <w:t>Evaluate and identify</w:t>
      </w:r>
      <w:r w:rsidRPr="00BF50FE">
        <w:rPr>
          <w:color w:val="000000"/>
          <w:sz w:val="22"/>
          <w:szCs w:val="22"/>
          <w:lang w:val="en-US"/>
        </w:rPr>
        <w:t xml:space="preserve"> methodologies and policies for promoting technology in the management, production, and consumption of art, literature, and other cultural and creative goods</w:t>
      </w:r>
      <w:r w:rsidRPr="00BF50FE">
        <w:rPr>
          <w:sz w:val="22"/>
          <w:szCs w:val="22"/>
          <w:lang w:val="en-US"/>
        </w:rPr>
        <w:t xml:space="preserve"> and services.</w:t>
      </w:r>
    </w:p>
    <w:p w14:paraId="0C8910DD" w14:textId="77777777" w:rsidR="00BF50FE" w:rsidRPr="00BF50FE" w:rsidRDefault="00BF50FE" w:rsidP="00DF39D0">
      <w:pPr>
        <w:ind w:left="2160" w:hanging="720"/>
        <w:jc w:val="both"/>
        <w:rPr>
          <w:sz w:val="22"/>
          <w:szCs w:val="22"/>
          <w:lang w:val="en-US"/>
        </w:rPr>
      </w:pPr>
    </w:p>
    <w:p w14:paraId="0158AC8E" w14:textId="77777777" w:rsidR="00BF50FE" w:rsidRPr="00BF50FE" w:rsidRDefault="00BF50FE" w:rsidP="00DF39D0">
      <w:pPr>
        <w:pStyle w:val="ListParagraph"/>
        <w:numPr>
          <w:ilvl w:val="0"/>
          <w:numId w:val="40"/>
        </w:numPr>
        <w:tabs>
          <w:tab w:val="clear" w:pos="360"/>
        </w:tabs>
        <w:ind w:left="2160" w:hanging="720"/>
        <w:jc w:val="both"/>
        <w:rPr>
          <w:sz w:val="22"/>
          <w:szCs w:val="22"/>
          <w:lang w:val="en-US"/>
        </w:rPr>
      </w:pPr>
      <w:r w:rsidRPr="00BF50FE">
        <w:rPr>
          <w:sz w:val="22"/>
          <w:szCs w:val="22"/>
          <w:lang w:val="en-US"/>
        </w:rPr>
        <w:t xml:space="preserve">Strengthen the capacities for cultural stakeholders to integrate technologies that promote, commercialize, and monetize cultural goods and services </w:t>
      </w:r>
      <w:proofErr w:type="gramStart"/>
      <w:r w:rsidRPr="00BF50FE">
        <w:rPr>
          <w:sz w:val="22"/>
          <w:szCs w:val="22"/>
          <w:lang w:val="en-US"/>
        </w:rPr>
        <w:t>in order to</w:t>
      </w:r>
      <w:proofErr w:type="gramEnd"/>
      <w:r w:rsidRPr="00BF50FE">
        <w:rPr>
          <w:sz w:val="22"/>
          <w:szCs w:val="22"/>
          <w:lang w:val="en-US"/>
        </w:rPr>
        <w:t xml:space="preserve"> optimize outreach and their consumption in the market. </w:t>
      </w:r>
    </w:p>
    <w:p w14:paraId="41E074E4" w14:textId="77777777" w:rsidR="00BF50FE" w:rsidRPr="00BF50FE" w:rsidRDefault="00BF50FE" w:rsidP="00DF39D0">
      <w:pPr>
        <w:ind w:left="2160" w:hanging="720"/>
        <w:jc w:val="both"/>
        <w:rPr>
          <w:sz w:val="22"/>
          <w:szCs w:val="22"/>
          <w:lang w:val="en-US"/>
        </w:rPr>
      </w:pPr>
    </w:p>
    <w:p w14:paraId="5AF1163C" w14:textId="77777777" w:rsidR="00BF50FE" w:rsidRPr="00BF50FE" w:rsidRDefault="00BF50FE" w:rsidP="00DF39D0">
      <w:pPr>
        <w:pStyle w:val="ListParagraph"/>
        <w:numPr>
          <w:ilvl w:val="0"/>
          <w:numId w:val="40"/>
        </w:numPr>
        <w:tabs>
          <w:tab w:val="clear" w:pos="360"/>
        </w:tabs>
        <w:ind w:left="2160" w:hanging="720"/>
        <w:jc w:val="both"/>
        <w:rPr>
          <w:sz w:val="22"/>
          <w:szCs w:val="22"/>
          <w:lang w:val="en-US"/>
        </w:rPr>
      </w:pPr>
      <w:r w:rsidRPr="00BF50FE">
        <w:rPr>
          <w:sz w:val="22"/>
          <w:szCs w:val="22"/>
          <w:lang w:val="en-US"/>
        </w:rPr>
        <w:t xml:space="preserve">Present information on cultural development research models, including the use of technology to generate research and cultural goods focused on tangible </w:t>
      </w:r>
      <w:r w:rsidRPr="00BF50FE">
        <w:rPr>
          <w:sz w:val="22"/>
          <w:szCs w:val="22"/>
          <w:lang w:val="en-US"/>
        </w:rPr>
        <w:lastRenderedPageBreak/>
        <w:t xml:space="preserve">and intangible cultural heritage, including pre-Columbian, indigenous, Afro-descendent heritages, highlighting women's cross-cutting contributions; as well as promote digital strategies to increase consumer participation in arts and culture, and other cultural goods and services </w:t>
      </w:r>
      <w:proofErr w:type="gramStart"/>
      <w:r w:rsidRPr="00BF50FE">
        <w:rPr>
          <w:sz w:val="22"/>
          <w:szCs w:val="22"/>
          <w:lang w:val="en-US"/>
        </w:rPr>
        <w:t>through the use of</w:t>
      </w:r>
      <w:proofErr w:type="gramEnd"/>
      <w:r w:rsidRPr="00BF50FE">
        <w:rPr>
          <w:sz w:val="22"/>
          <w:szCs w:val="22"/>
          <w:lang w:val="en-US"/>
        </w:rPr>
        <w:t xml:space="preserve"> technology.</w:t>
      </w:r>
    </w:p>
    <w:p w14:paraId="6DEEE512" w14:textId="77777777" w:rsidR="00BF50FE" w:rsidRPr="00BF50FE" w:rsidRDefault="00BF50FE" w:rsidP="00DF39D0">
      <w:pPr>
        <w:ind w:left="2160" w:hanging="720"/>
        <w:jc w:val="both"/>
        <w:rPr>
          <w:sz w:val="22"/>
          <w:szCs w:val="22"/>
          <w:lang w:val="en-US"/>
        </w:rPr>
      </w:pPr>
      <w:r w:rsidRPr="00BF50FE">
        <w:rPr>
          <w:sz w:val="22"/>
          <w:szCs w:val="22"/>
          <w:lang w:val="en-US"/>
        </w:rPr>
        <w:t xml:space="preserve"> </w:t>
      </w:r>
    </w:p>
    <w:p w14:paraId="00D6C540" w14:textId="77777777" w:rsidR="00BF50FE" w:rsidRPr="00BF50FE" w:rsidRDefault="00BF50FE" w:rsidP="00DF39D0">
      <w:pPr>
        <w:pStyle w:val="ListParagraph"/>
        <w:numPr>
          <w:ilvl w:val="0"/>
          <w:numId w:val="40"/>
        </w:numPr>
        <w:tabs>
          <w:tab w:val="clear" w:pos="360"/>
        </w:tabs>
        <w:ind w:left="2160" w:hanging="720"/>
        <w:jc w:val="both"/>
        <w:rPr>
          <w:sz w:val="22"/>
          <w:szCs w:val="22"/>
          <w:lang w:val="en-US"/>
        </w:rPr>
      </w:pPr>
      <w:r w:rsidRPr="00BF50FE">
        <w:rPr>
          <w:sz w:val="22"/>
          <w:szCs w:val="22"/>
          <w:lang w:val="en-US"/>
        </w:rPr>
        <w:t xml:space="preserve">Promote access to training, and to the use of existing and emerging technologies in the management, dissemination, production and consumption of the arts, and other cultural and creative products and services </w:t>
      </w:r>
      <w:r w:rsidRPr="00BF50FE">
        <w:rPr>
          <w:color w:val="000000"/>
          <w:sz w:val="22"/>
          <w:szCs w:val="22"/>
          <w:lang w:val="en-US"/>
        </w:rPr>
        <w:t>such as virtual reality, augmented reality, and non-fungible tokens,</w:t>
      </w:r>
      <w:r w:rsidRPr="00771325">
        <w:rPr>
          <w:color w:val="000000"/>
          <w:sz w:val="22"/>
          <w:szCs w:val="22"/>
          <w:vertAlign w:val="superscript"/>
        </w:rPr>
        <w:footnoteReference w:id="2"/>
      </w:r>
      <w:r w:rsidRPr="00BF50FE">
        <w:rPr>
          <w:sz w:val="22"/>
          <w:szCs w:val="22"/>
          <w:lang w:val="en-US"/>
        </w:rPr>
        <w:t xml:space="preserve"> in accordance with national legislation, </w:t>
      </w:r>
      <w:r w:rsidRPr="00BF50FE">
        <w:rPr>
          <w:color w:val="000000"/>
          <w:sz w:val="22"/>
          <w:szCs w:val="22"/>
          <w:lang w:val="en-US"/>
        </w:rPr>
        <w:t>and the role of cultural authorities in supporting cultural and creative industries.</w:t>
      </w:r>
    </w:p>
    <w:p w14:paraId="4A59D655" w14:textId="77777777" w:rsidR="00BF50FE" w:rsidRPr="00BF50FE" w:rsidRDefault="00BF50FE" w:rsidP="00BF50FE">
      <w:pPr>
        <w:jc w:val="both"/>
        <w:rPr>
          <w:sz w:val="22"/>
          <w:szCs w:val="22"/>
          <w:lang w:val="en-US"/>
        </w:rPr>
      </w:pPr>
    </w:p>
    <w:p w14:paraId="7380498D" w14:textId="77777777" w:rsidR="00BF50FE" w:rsidRPr="00BF50FE" w:rsidRDefault="00BF50FE" w:rsidP="00BF50FE">
      <w:pPr>
        <w:ind w:left="1440" w:hanging="720"/>
        <w:jc w:val="both"/>
        <w:rPr>
          <w:b/>
          <w:bCs/>
          <w:sz w:val="22"/>
          <w:szCs w:val="22"/>
          <w:lang w:val="en-US"/>
        </w:rPr>
      </w:pPr>
      <w:r w:rsidRPr="00BF50FE">
        <w:rPr>
          <w:b/>
          <w:bCs/>
          <w:sz w:val="22"/>
          <w:szCs w:val="22"/>
          <w:lang w:val="en-US"/>
        </w:rPr>
        <w:t>WG 2.</w:t>
      </w:r>
      <w:r w:rsidRPr="00BF50FE">
        <w:rPr>
          <w:b/>
          <w:bCs/>
          <w:sz w:val="22"/>
          <w:szCs w:val="22"/>
          <w:lang w:val="en-US"/>
        </w:rPr>
        <w:tab/>
      </w:r>
      <w:r w:rsidRPr="00BF50FE">
        <w:rPr>
          <w:b/>
          <w:sz w:val="22"/>
          <w:szCs w:val="22"/>
          <w:lang w:val="en-US"/>
        </w:rPr>
        <w:t>The Economy and Cultural and Creative Industries</w:t>
      </w:r>
    </w:p>
    <w:p w14:paraId="1B92A740" w14:textId="77777777" w:rsidR="00BF50FE" w:rsidRPr="00BF50FE" w:rsidRDefault="00BF50FE" w:rsidP="00BF50FE">
      <w:pPr>
        <w:jc w:val="both"/>
        <w:rPr>
          <w:sz w:val="22"/>
          <w:szCs w:val="22"/>
          <w:lang w:val="en-US"/>
        </w:rPr>
      </w:pPr>
    </w:p>
    <w:p w14:paraId="642713FF" w14:textId="77777777" w:rsidR="00BF50FE" w:rsidRPr="00BF50FE" w:rsidRDefault="00BF50FE" w:rsidP="00BF50FE">
      <w:pPr>
        <w:ind w:firstLine="720"/>
        <w:jc w:val="both"/>
        <w:rPr>
          <w:sz w:val="22"/>
          <w:szCs w:val="22"/>
          <w:lang w:val="en-US"/>
        </w:rPr>
      </w:pPr>
      <w:r w:rsidRPr="00BF50FE">
        <w:rPr>
          <w:sz w:val="22"/>
          <w:szCs w:val="22"/>
          <w:lang w:val="en-US"/>
        </w:rPr>
        <w:t>10.</w:t>
      </w:r>
      <w:r w:rsidRPr="00BF50FE">
        <w:rPr>
          <w:sz w:val="22"/>
          <w:szCs w:val="22"/>
          <w:lang w:val="en-US"/>
        </w:rPr>
        <w:tab/>
        <w:t xml:space="preserve">This Working Group is established </w:t>
      </w:r>
      <w:proofErr w:type="gramStart"/>
      <w:r w:rsidRPr="00BF50FE">
        <w:rPr>
          <w:sz w:val="22"/>
          <w:szCs w:val="22"/>
          <w:lang w:val="en-US"/>
        </w:rPr>
        <w:t>on the basis of</w:t>
      </w:r>
      <w:proofErr w:type="gramEnd"/>
      <w:r w:rsidRPr="00BF50FE">
        <w:rPr>
          <w:sz w:val="22"/>
          <w:szCs w:val="22"/>
          <w:lang w:val="en-US"/>
        </w:rPr>
        <w:t xml:space="preserve"> the following elements of the Declaration of Antigua Guatemala:</w:t>
      </w:r>
    </w:p>
    <w:p w14:paraId="4A36FDFF" w14:textId="77777777" w:rsidR="00BF50FE" w:rsidRPr="00BF50FE" w:rsidRDefault="00BF50FE" w:rsidP="00BF50FE">
      <w:pPr>
        <w:jc w:val="both"/>
        <w:rPr>
          <w:sz w:val="22"/>
          <w:szCs w:val="22"/>
          <w:lang w:val="en-US"/>
        </w:rPr>
      </w:pPr>
    </w:p>
    <w:p w14:paraId="3ABAE9BE"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 xml:space="preserve">The recognition that the cultural and creative industries of the Americas, which were deeply affected by the COVID-19 pandemic, </w:t>
      </w:r>
      <w:r w:rsidRPr="00BF50FE">
        <w:rPr>
          <w:sz w:val="22"/>
          <w:szCs w:val="22"/>
          <w:lang w:val="en-US"/>
        </w:rPr>
        <w:t xml:space="preserve">are to a significant degree comprised of informal, micro, small and medium-sized enterprises, cultural stakeholders, bearers of cultural heritage and other small-sized producers of cultural products and </w:t>
      </w:r>
      <w:proofErr w:type="gramStart"/>
      <w:r w:rsidRPr="00BF50FE">
        <w:rPr>
          <w:sz w:val="22"/>
          <w:szCs w:val="22"/>
          <w:lang w:val="en-US"/>
        </w:rPr>
        <w:t>services..</w:t>
      </w:r>
      <w:proofErr w:type="gramEnd"/>
      <w:r w:rsidRPr="00BF50FE">
        <w:rPr>
          <w:sz w:val="22"/>
          <w:szCs w:val="22"/>
          <w:lang w:val="en-US"/>
        </w:rPr>
        <w:t xml:space="preserve"> </w:t>
      </w:r>
    </w:p>
    <w:p w14:paraId="2FA5EA27" w14:textId="77777777" w:rsidR="00BF50FE" w:rsidRPr="00BF50FE" w:rsidRDefault="00BF50FE" w:rsidP="00DF39D0">
      <w:pPr>
        <w:ind w:left="2160" w:hanging="720"/>
        <w:jc w:val="both"/>
        <w:rPr>
          <w:sz w:val="22"/>
          <w:szCs w:val="22"/>
          <w:lang w:val="en-US"/>
        </w:rPr>
      </w:pPr>
    </w:p>
    <w:p w14:paraId="0B14A2A1"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Some of these creators may have survived the worst of the pandemic through the adoption and use of technological tools and with the support of government and cultural authorities; others continue to struggle or have abandoned these industries to seek out economic opportunities in other sectors.</w:t>
      </w:r>
      <w:r w:rsidRPr="00BF50FE">
        <w:rPr>
          <w:sz w:val="22"/>
          <w:szCs w:val="22"/>
          <w:lang w:val="en-US"/>
        </w:rPr>
        <w:t xml:space="preserve"> </w:t>
      </w:r>
    </w:p>
    <w:p w14:paraId="31AFA067" w14:textId="77777777" w:rsidR="00BF50FE" w:rsidRPr="00BF50FE" w:rsidRDefault="00BF50FE" w:rsidP="00DF39D0">
      <w:pPr>
        <w:ind w:left="2160" w:hanging="720"/>
        <w:jc w:val="both"/>
        <w:rPr>
          <w:sz w:val="22"/>
          <w:szCs w:val="22"/>
          <w:lang w:val="en-US"/>
        </w:rPr>
      </w:pPr>
    </w:p>
    <w:p w14:paraId="39A965D0"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 xml:space="preserve">The creative industries of the Americas have not yet reached their full </w:t>
      </w:r>
      <w:r w:rsidRPr="00BF50FE">
        <w:rPr>
          <w:sz w:val="22"/>
          <w:szCs w:val="22"/>
          <w:lang w:val="en-US"/>
        </w:rPr>
        <w:t>potential or maximum levels of economic contribution, due to the high informality that exists in the cultural and creative sector.</w:t>
      </w:r>
    </w:p>
    <w:p w14:paraId="32B3A099" w14:textId="77777777" w:rsidR="00BF50FE" w:rsidRPr="00BF50FE" w:rsidRDefault="00BF50FE" w:rsidP="00BF50FE">
      <w:pPr>
        <w:jc w:val="both"/>
        <w:rPr>
          <w:sz w:val="22"/>
          <w:szCs w:val="22"/>
          <w:lang w:val="en-US"/>
        </w:rPr>
      </w:pPr>
    </w:p>
    <w:p w14:paraId="3024E4BA" w14:textId="77777777" w:rsidR="00BF50FE" w:rsidRPr="00BF50FE" w:rsidRDefault="00BF50FE" w:rsidP="00BF50FE">
      <w:pPr>
        <w:ind w:firstLine="720"/>
        <w:jc w:val="both"/>
        <w:rPr>
          <w:sz w:val="22"/>
          <w:szCs w:val="22"/>
          <w:lang w:val="en-US"/>
        </w:rPr>
      </w:pPr>
      <w:r w:rsidRPr="00BF50FE">
        <w:rPr>
          <w:sz w:val="22"/>
          <w:szCs w:val="22"/>
          <w:lang w:val="en-US"/>
        </w:rPr>
        <w:t>11.</w:t>
      </w:r>
      <w:r w:rsidRPr="00BF50FE">
        <w:rPr>
          <w:sz w:val="22"/>
          <w:szCs w:val="22"/>
          <w:lang w:val="en-US"/>
        </w:rPr>
        <w:tab/>
        <w:t>The Working Group will facilitate analyses and exchanges of experiences and will develop recommendations to support member states in their efforts to and exchanges of experiences and will develop recommendations to support member states in their efforts to:</w:t>
      </w:r>
    </w:p>
    <w:p w14:paraId="12677091" w14:textId="77777777" w:rsidR="00BF50FE" w:rsidRPr="00BF50FE" w:rsidRDefault="00BF50FE" w:rsidP="00BF50FE">
      <w:pPr>
        <w:jc w:val="both"/>
        <w:rPr>
          <w:sz w:val="22"/>
          <w:szCs w:val="22"/>
          <w:lang w:val="en-US"/>
        </w:rPr>
      </w:pPr>
    </w:p>
    <w:p w14:paraId="2556189C"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lang w:val="en-US"/>
        </w:rPr>
        <w:t xml:space="preserve">Promote culture as a mechanism for the social and economic development of local communities and regions through the reactivation and revitalization of cultural and creative industries, as well as support for MSMEs, cultural artists and stakeholders, and to promote the formalization of cultural and artistic </w:t>
      </w:r>
      <w:r w:rsidRPr="00BF50FE">
        <w:rPr>
          <w:sz w:val="22"/>
          <w:szCs w:val="22"/>
          <w:lang w:val="en-US"/>
        </w:rPr>
        <w:lastRenderedPageBreak/>
        <w:t>enterprises and initiatives, and nurture and promote creative economy enterprises.</w:t>
      </w:r>
      <w:bookmarkStart w:id="0" w:name="_Hlk104406602"/>
    </w:p>
    <w:p w14:paraId="72FAD968" w14:textId="77777777" w:rsidR="00BF50FE" w:rsidRPr="00BF50FE" w:rsidRDefault="00BF50FE" w:rsidP="00DF39D0">
      <w:pPr>
        <w:ind w:left="2160" w:hanging="720"/>
        <w:jc w:val="both"/>
        <w:rPr>
          <w:sz w:val="22"/>
          <w:szCs w:val="22"/>
          <w:lang w:val="en-US"/>
        </w:rPr>
      </w:pPr>
    </w:p>
    <w:p w14:paraId="1C736897"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lang w:val="en-US"/>
        </w:rPr>
        <w:t xml:space="preserve">Share </w:t>
      </w:r>
      <w:r w:rsidRPr="00BF50FE">
        <w:rPr>
          <w:color w:val="000000"/>
          <w:sz w:val="22"/>
          <w:szCs w:val="22"/>
          <w:lang w:val="en-US"/>
        </w:rPr>
        <w:t>experiences among member states</w:t>
      </w:r>
      <w:r w:rsidRPr="00BF50FE">
        <w:rPr>
          <w:sz w:val="22"/>
          <w:szCs w:val="22"/>
          <w:lang w:val="en-US"/>
        </w:rPr>
        <w:t xml:space="preserve"> </w:t>
      </w:r>
      <w:proofErr w:type="gramStart"/>
      <w:r w:rsidRPr="00BF50FE">
        <w:rPr>
          <w:sz w:val="22"/>
          <w:szCs w:val="22"/>
          <w:lang w:val="en-US"/>
        </w:rPr>
        <w:t>in order</w:t>
      </w:r>
      <w:r w:rsidRPr="00BF50FE">
        <w:rPr>
          <w:color w:val="000000"/>
          <w:sz w:val="22"/>
          <w:szCs w:val="22"/>
          <w:lang w:val="en-US"/>
        </w:rPr>
        <w:t xml:space="preserve"> to</w:t>
      </w:r>
      <w:proofErr w:type="gramEnd"/>
      <w:r w:rsidRPr="00BF50FE">
        <w:rPr>
          <w:color w:val="000000"/>
          <w:sz w:val="22"/>
          <w:szCs w:val="22"/>
          <w:lang w:val="en-US"/>
        </w:rPr>
        <w:t xml:space="preserve"> nurture and develop creative businesses and entrepreneurs, including, business incubators and accelerators and the use of technology as a basis for maximizing outreach, the development of technical skills, </w:t>
      </w:r>
      <w:r w:rsidRPr="00BF50FE">
        <w:rPr>
          <w:sz w:val="22"/>
          <w:szCs w:val="22"/>
          <w:lang w:val="en-US"/>
        </w:rPr>
        <w:t xml:space="preserve">and capacity building, as key principles for reactivating and revitalizing </w:t>
      </w:r>
      <w:r w:rsidRPr="00BF50FE">
        <w:rPr>
          <w:color w:val="000000"/>
          <w:sz w:val="22"/>
          <w:szCs w:val="22"/>
          <w:lang w:val="en-US"/>
        </w:rPr>
        <w:t>the sector, especially the cultural industries and the arts in the region</w:t>
      </w:r>
      <w:r w:rsidRPr="00BF50FE">
        <w:rPr>
          <w:sz w:val="22"/>
          <w:szCs w:val="22"/>
          <w:lang w:val="en-US"/>
        </w:rPr>
        <w:t xml:space="preserve">. </w:t>
      </w:r>
    </w:p>
    <w:p w14:paraId="12801B6F" w14:textId="77777777" w:rsidR="00BF50FE" w:rsidRPr="00BF50FE" w:rsidRDefault="00BF50FE" w:rsidP="00DF39D0">
      <w:pPr>
        <w:ind w:left="2160" w:hanging="720"/>
        <w:jc w:val="both"/>
        <w:rPr>
          <w:sz w:val="22"/>
          <w:szCs w:val="22"/>
          <w:lang w:val="en-US"/>
        </w:rPr>
      </w:pPr>
    </w:p>
    <w:p w14:paraId="57A93C1A"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lang w:val="en-US"/>
        </w:rPr>
        <w:t>E</w:t>
      </w:r>
      <w:bookmarkEnd w:id="0"/>
      <w:r w:rsidRPr="00BF50FE">
        <w:rPr>
          <w:color w:val="000000"/>
          <w:sz w:val="22"/>
          <w:szCs w:val="22"/>
          <w:lang w:val="en-US"/>
        </w:rPr>
        <w:t xml:space="preserve">xamine fiscal and other financial support policies and programs for creative industries affected by the pandemic, and </w:t>
      </w:r>
      <w:r w:rsidRPr="00BF50FE">
        <w:rPr>
          <w:sz w:val="22"/>
          <w:szCs w:val="22"/>
          <w:lang w:val="en-US"/>
        </w:rPr>
        <w:t xml:space="preserve">endeavor to improve the measurement of creative industries economic contributions in cultural satellite accounts and national budgets. </w:t>
      </w:r>
    </w:p>
    <w:p w14:paraId="127395ED" w14:textId="77777777" w:rsidR="00BF50FE" w:rsidRPr="00BF50FE" w:rsidRDefault="00BF50FE" w:rsidP="00DF39D0">
      <w:pPr>
        <w:ind w:left="2160" w:hanging="720"/>
        <w:jc w:val="both"/>
        <w:rPr>
          <w:sz w:val="22"/>
          <w:szCs w:val="22"/>
          <w:lang w:val="en-US"/>
        </w:rPr>
      </w:pPr>
    </w:p>
    <w:p w14:paraId="774B6ED3"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lang w:val="en-US"/>
        </w:rPr>
        <w:t>Support member states in the management and implementation of a dashboard where statistical indicators of the cultural and creative economy could be viewed, including that of satellite accounts.</w:t>
      </w:r>
    </w:p>
    <w:p w14:paraId="23E78AAB" w14:textId="77777777" w:rsidR="00BF50FE" w:rsidRPr="00BF50FE" w:rsidRDefault="00BF50FE" w:rsidP="00BF50FE">
      <w:pPr>
        <w:pStyle w:val="ListParagraph"/>
        <w:rPr>
          <w:sz w:val="22"/>
          <w:szCs w:val="22"/>
          <w:lang w:val="en-US"/>
        </w:rPr>
      </w:pPr>
    </w:p>
    <w:p w14:paraId="04BF78E6"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 xml:space="preserve">Support the strengthening of member states’ capacities </w:t>
      </w:r>
      <w:proofErr w:type="gramStart"/>
      <w:r w:rsidRPr="00BF50FE">
        <w:rPr>
          <w:color w:val="000000"/>
          <w:sz w:val="22"/>
          <w:szCs w:val="22"/>
          <w:lang w:val="en-US"/>
        </w:rPr>
        <w:t>in the area of</w:t>
      </w:r>
      <w:proofErr w:type="gramEnd"/>
      <w:r w:rsidRPr="00BF50FE">
        <w:rPr>
          <w:color w:val="000000"/>
          <w:sz w:val="22"/>
          <w:szCs w:val="22"/>
          <w:lang w:val="en-US"/>
        </w:rPr>
        <w:t xml:space="preserve"> cultural satellite accounts, including harmonizing methodologies, identifying the sectors to be measured, exchanging information, and undertaking </w:t>
      </w:r>
      <w:r w:rsidRPr="00BF50FE">
        <w:rPr>
          <w:sz w:val="22"/>
          <w:szCs w:val="22"/>
          <w:lang w:val="en-US"/>
        </w:rPr>
        <w:t>measurements and comparisons among different countries, minimally with the indicators of cultural GDP and cultural employment.</w:t>
      </w:r>
    </w:p>
    <w:p w14:paraId="408DBA90" w14:textId="77777777" w:rsidR="00BF50FE" w:rsidRPr="00BF50FE" w:rsidRDefault="00BF50FE" w:rsidP="00BF50FE">
      <w:pPr>
        <w:jc w:val="both"/>
        <w:rPr>
          <w:sz w:val="22"/>
          <w:szCs w:val="22"/>
          <w:lang w:val="en-US"/>
        </w:rPr>
      </w:pPr>
    </w:p>
    <w:p w14:paraId="183B0A32" w14:textId="77777777" w:rsidR="00BF50FE" w:rsidRPr="00BF50FE" w:rsidRDefault="00BF50FE" w:rsidP="00BF50FE">
      <w:pPr>
        <w:ind w:left="1440" w:hanging="720"/>
        <w:jc w:val="both"/>
        <w:rPr>
          <w:b/>
          <w:bCs/>
          <w:sz w:val="22"/>
          <w:szCs w:val="22"/>
          <w:lang w:val="en-US"/>
        </w:rPr>
      </w:pPr>
      <w:r w:rsidRPr="00BF50FE">
        <w:rPr>
          <w:b/>
          <w:bCs/>
          <w:sz w:val="22"/>
          <w:szCs w:val="22"/>
          <w:lang w:val="en-US"/>
        </w:rPr>
        <w:t>WG 3.</w:t>
      </w:r>
      <w:r w:rsidRPr="00BF50FE">
        <w:rPr>
          <w:b/>
          <w:bCs/>
          <w:sz w:val="22"/>
          <w:szCs w:val="22"/>
          <w:lang w:val="en-US"/>
        </w:rPr>
        <w:tab/>
        <w:t>Collection, Protection, Preservation, Valuing and Safeguarding of Cultural Heritage, Cultural and Artistic Expressions, and Traditional and Ancestral Knowledge</w:t>
      </w:r>
    </w:p>
    <w:p w14:paraId="2C02D883" w14:textId="77777777" w:rsidR="00BF50FE" w:rsidRPr="00BF50FE" w:rsidRDefault="00BF50FE" w:rsidP="00BF50FE">
      <w:pPr>
        <w:jc w:val="both"/>
        <w:rPr>
          <w:sz w:val="22"/>
          <w:szCs w:val="22"/>
          <w:lang w:val="en-US"/>
        </w:rPr>
      </w:pPr>
    </w:p>
    <w:p w14:paraId="0438E3D9" w14:textId="77777777" w:rsidR="00BF50FE" w:rsidRPr="00BF50FE" w:rsidRDefault="00BF50FE" w:rsidP="00BF50FE">
      <w:pPr>
        <w:ind w:firstLine="720"/>
        <w:jc w:val="both"/>
        <w:rPr>
          <w:sz w:val="22"/>
          <w:szCs w:val="22"/>
          <w:lang w:val="en-US"/>
        </w:rPr>
      </w:pPr>
      <w:r w:rsidRPr="00BF50FE">
        <w:rPr>
          <w:sz w:val="22"/>
          <w:szCs w:val="22"/>
          <w:lang w:val="en-US"/>
        </w:rPr>
        <w:t>12.</w:t>
      </w:r>
      <w:r w:rsidRPr="00BF50FE">
        <w:rPr>
          <w:sz w:val="22"/>
          <w:szCs w:val="22"/>
          <w:lang w:val="en-US"/>
        </w:rPr>
        <w:tab/>
        <w:t xml:space="preserve">This Working Group is established </w:t>
      </w:r>
      <w:proofErr w:type="gramStart"/>
      <w:r w:rsidRPr="00BF50FE">
        <w:rPr>
          <w:sz w:val="22"/>
          <w:szCs w:val="22"/>
          <w:lang w:val="en-US"/>
        </w:rPr>
        <w:t>on the basis of</w:t>
      </w:r>
      <w:proofErr w:type="gramEnd"/>
      <w:r w:rsidRPr="00BF50FE">
        <w:rPr>
          <w:sz w:val="22"/>
          <w:szCs w:val="22"/>
          <w:lang w:val="en-US"/>
        </w:rPr>
        <w:t xml:space="preserve"> the following elements of the Declaration of Antigua Guatemala:</w:t>
      </w:r>
    </w:p>
    <w:p w14:paraId="1589AF89" w14:textId="77777777" w:rsidR="00BF50FE" w:rsidRPr="00BF50FE" w:rsidRDefault="00BF50FE" w:rsidP="00BF50FE">
      <w:pPr>
        <w:jc w:val="both"/>
        <w:rPr>
          <w:sz w:val="22"/>
          <w:szCs w:val="22"/>
          <w:lang w:val="en-US"/>
        </w:rPr>
      </w:pPr>
    </w:p>
    <w:p w14:paraId="5E1FDAFB"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lang w:val="en-US"/>
        </w:rPr>
        <w:t xml:space="preserve">The importance of facilitating dialogue among ministries and secretariats on how technological tools have been and can be used to strengthen </w:t>
      </w:r>
      <w:r w:rsidRPr="00BF50FE">
        <w:rPr>
          <w:color w:val="000000"/>
          <w:sz w:val="22"/>
          <w:szCs w:val="22"/>
          <w:lang w:val="en-US"/>
        </w:rPr>
        <w:t>heritage and cultural expressions in the Americas</w:t>
      </w:r>
      <w:r w:rsidRPr="00BF50FE">
        <w:rPr>
          <w:sz w:val="22"/>
          <w:szCs w:val="22"/>
          <w:lang w:val="en-US"/>
        </w:rPr>
        <w:t xml:space="preserve">. </w:t>
      </w:r>
    </w:p>
    <w:p w14:paraId="0720C294" w14:textId="77777777" w:rsidR="00BF50FE" w:rsidRPr="00BF50FE" w:rsidRDefault="00BF50FE" w:rsidP="00DF39D0">
      <w:pPr>
        <w:ind w:left="2160" w:hanging="720"/>
        <w:jc w:val="both"/>
        <w:rPr>
          <w:sz w:val="22"/>
          <w:szCs w:val="22"/>
          <w:lang w:val="en-US"/>
        </w:rPr>
      </w:pPr>
    </w:p>
    <w:p w14:paraId="0ED550C1"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lang w:val="en-US"/>
        </w:rPr>
        <w:t>The need to promote and strengthen the knowledge and capabilities of artists</w:t>
      </w:r>
      <w:r w:rsidRPr="00BF50FE">
        <w:rPr>
          <w:bCs/>
          <w:sz w:val="22"/>
          <w:szCs w:val="22"/>
          <w:lang w:val="en-US"/>
        </w:rPr>
        <w:t>, creatives, and other cultural stakeholders,</w:t>
      </w:r>
      <w:r w:rsidRPr="00BF50FE">
        <w:rPr>
          <w:sz w:val="22"/>
          <w:szCs w:val="22"/>
          <w:lang w:val="en-US"/>
        </w:rPr>
        <w:t xml:space="preserve"> and promote their formalization, </w:t>
      </w:r>
      <w:proofErr w:type="gramStart"/>
      <w:r w:rsidRPr="00BF50FE">
        <w:rPr>
          <w:sz w:val="22"/>
          <w:szCs w:val="22"/>
          <w:lang w:val="en-US"/>
        </w:rPr>
        <w:t>as a means to</w:t>
      </w:r>
      <w:proofErr w:type="gramEnd"/>
      <w:r w:rsidRPr="00BF50FE">
        <w:rPr>
          <w:sz w:val="22"/>
          <w:szCs w:val="22"/>
          <w:lang w:val="en-US"/>
        </w:rPr>
        <w:t xml:space="preserve"> advance access to new and better educational and employment opportunities.</w:t>
      </w:r>
    </w:p>
    <w:p w14:paraId="2887BD4D" w14:textId="77777777" w:rsidR="00BF50FE" w:rsidRPr="00BF50FE" w:rsidRDefault="00BF50FE" w:rsidP="00BF50FE">
      <w:pPr>
        <w:pStyle w:val="ListParagraph"/>
        <w:rPr>
          <w:sz w:val="22"/>
          <w:szCs w:val="22"/>
          <w:lang w:val="en-US"/>
        </w:rPr>
      </w:pPr>
    </w:p>
    <w:p w14:paraId="7A760DDC"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lang w:val="en-US"/>
        </w:rPr>
        <w:t>To work for the improvement of</w:t>
      </w:r>
      <w:r w:rsidRPr="00BF50FE">
        <w:rPr>
          <w:color w:val="FF0000"/>
          <w:sz w:val="22"/>
          <w:szCs w:val="22"/>
          <w:lang w:val="en-US"/>
        </w:rPr>
        <w:t xml:space="preserve"> </w:t>
      </w:r>
      <w:r w:rsidRPr="00BF50FE">
        <w:rPr>
          <w:sz w:val="22"/>
          <w:szCs w:val="22"/>
          <w:lang w:val="en-US"/>
        </w:rPr>
        <w:t>the condition of cultural stakeholders and promote their social and economic security, through the execution and implementation of public policies and regulations that guarantee their fundamental rights and freedoms.</w:t>
      </w:r>
    </w:p>
    <w:p w14:paraId="1DFE976D" w14:textId="77777777" w:rsidR="00BF50FE" w:rsidRPr="00BF50FE" w:rsidRDefault="00BF50FE" w:rsidP="00DF39D0">
      <w:pPr>
        <w:pStyle w:val="ListParagraph"/>
        <w:ind w:left="2160" w:hanging="720"/>
        <w:rPr>
          <w:sz w:val="22"/>
          <w:szCs w:val="22"/>
          <w:lang w:val="en-US"/>
        </w:rPr>
      </w:pPr>
    </w:p>
    <w:p w14:paraId="4B03F6A8"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 xml:space="preserve">Information, communications, and digital technologies are increasingly being used worldwide to gather, preserve, and disseminate efforts in the field of arts </w:t>
      </w:r>
      <w:r w:rsidRPr="00BF50FE">
        <w:rPr>
          <w:color w:val="000000"/>
          <w:sz w:val="22"/>
          <w:szCs w:val="22"/>
          <w:lang w:val="en-US"/>
        </w:rPr>
        <w:lastRenderedPageBreak/>
        <w:t>and cultural heritage; for example, the three-dimensional modeling of ancient artifacts or the use of augmented reality to complement the perception of real-world environments, including heritage sites.</w:t>
      </w:r>
      <w:r w:rsidRPr="00BF50FE">
        <w:rPr>
          <w:sz w:val="22"/>
          <w:szCs w:val="22"/>
          <w:lang w:val="en-US"/>
        </w:rPr>
        <w:t xml:space="preserve">  </w:t>
      </w:r>
    </w:p>
    <w:p w14:paraId="721A5E80" w14:textId="77777777" w:rsidR="00BF50FE" w:rsidRPr="00BF50FE" w:rsidRDefault="00BF50FE" w:rsidP="00BF50FE">
      <w:pPr>
        <w:jc w:val="both"/>
        <w:rPr>
          <w:sz w:val="22"/>
          <w:szCs w:val="22"/>
          <w:lang w:val="en-US"/>
        </w:rPr>
      </w:pPr>
    </w:p>
    <w:p w14:paraId="78A83BAC" w14:textId="77777777" w:rsidR="00BF50FE" w:rsidRPr="00BF50FE" w:rsidRDefault="00BF50FE" w:rsidP="00BF50FE">
      <w:pPr>
        <w:ind w:firstLine="720"/>
        <w:jc w:val="both"/>
        <w:rPr>
          <w:sz w:val="22"/>
          <w:szCs w:val="22"/>
          <w:lang w:val="en-US"/>
        </w:rPr>
      </w:pPr>
      <w:r w:rsidRPr="00BF50FE">
        <w:rPr>
          <w:sz w:val="22"/>
          <w:szCs w:val="22"/>
          <w:lang w:val="en-US"/>
        </w:rPr>
        <w:t>13.</w:t>
      </w:r>
      <w:r w:rsidRPr="00BF50FE">
        <w:rPr>
          <w:sz w:val="22"/>
          <w:szCs w:val="22"/>
          <w:lang w:val="en-US"/>
        </w:rPr>
        <w:tab/>
        <w:t>The Working Group will facilitate analyses and exchanges of experiences and will develop recommendations to support member states in their efforts to:</w:t>
      </w:r>
    </w:p>
    <w:p w14:paraId="69063A54" w14:textId="77777777" w:rsidR="00BF50FE" w:rsidRPr="00BF50FE" w:rsidRDefault="00BF50FE" w:rsidP="00BF50FE">
      <w:pPr>
        <w:jc w:val="both"/>
        <w:rPr>
          <w:sz w:val="22"/>
          <w:szCs w:val="22"/>
          <w:lang w:val="en-US"/>
        </w:rPr>
      </w:pPr>
    </w:p>
    <w:p w14:paraId="2EF8AAAB"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Provide examples of the use of technologies for cultural heritage work, awareness, and conservation in OAS member states</w:t>
      </w:r>
      <w:r w:rsidRPr="00BF50FE">
        <w:rPr>
          <w:sz w:val="22"/>
          <w:szCs w:val="22"/>
          <w:lang w:val="en-US"/>
        </w:rPr>
        <w:t xml:space="preserve">. </w:t>
      </w:r>
    </w:p>
    <w:p w14:paraId="14B82928" w14:textId="77777777" w:rsidR="00BF50FE" w:rsidRPr="00BF50FE" w:rsidRDefault="00BF50FE" w:rsidP="00DF39D0">
      <w:pPr>
        <w:ind w:left="2160" w:hanging="720"/>
        <w:jc w:val="both"/>
        <w:rPr>
          <w:sz w:val="22"/>
          <w:szCs w:val="22"/>
          <w:lang w:val="en-US"/>
        </w:rPr>
      </w:pPr>
    </w:p>
    <w:p w14:paraId="780F9E7F"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 xml:space="preserve">Strengthen </w:t>
      </w:r>
      <w:r w:rsidRPr="00BF50FE">
        <w:rPr>
          <w:sz w:val="22"/>
          <w:szCs w:val="22"/>
          <w:lang w:val="en-US"/>
        </w:rPr>
        <w:t xml:space="preserve">dissemination and civic appreciation of their </w:t>
      </w:r>
      <w:r w:rsidRPr="00BF50FE">
        <w:rPr>
          <w:color w:val="000000"/>
          <w:sz w:val="22"/>
          <w:szCs w:val="22"/>
          <w:lang w:val="en-US"/>
        </w:rPr>
        <w:t xml:space="preserve">tangible and intangible </w:t>
      </w:r>
      <w:r w:rsidRPr="00BF50FE">
        <w:rPr>
          <w:sz w:val="22"/>
          <w:szCs w:val="22"/>
          <w:lang w:val="en-US"/>
        </w:rPr>
        <w:t xml:space="preserve">cultural </w:t>
      </w:r>
      <w:r w:rsidRPr="00BF50FE">
        <w:rPr>
          <w:color w:val="000000"/>
          <w:sz w:val="22"/>
          <w:szCs w:val="22"/>
          <w:lang w:val="en-US"/>
        </w:rPr>
        <w:t>heritage through innovation and the use of new technologies</w:t>
      </w:r>
      <w:r w:rsidRPr="00BF50FE">
        <w:rPr>
          <w:sz w:val="22"/>
          <w:szCs w:val="22"/>
          <w:lang w:val="en-US"/>
        </w:rPr>
        <w:t xml:space="preserve">. </w:t>
      </w:r>
    </w:p>
    <w:p w14:paraId="0A406C78" w14:textId="77777777" w:rsidR="00BF50FE" w:rsidRPr="00BF50FE" w:rsidRDefault="00BF50FE" w:rsidP="00DF39D0">
      <w:pPr>
        <w:ind w:left="2160" w:hanging="720"/>
        <w:jc w:val="both"/>
        <w:rPr>
          <w:sz w:val="22"/>
          <w:szCs w:val="22"/>
          <w:lang w:val="en-US"/>
        </w:rPr>
      </w:pPr>
    </w:p>
    <w:p w14:paraId="648DF4A9" w14:textId="77777777" w:rsidR="00BF50FE" w:rsidRPr="00BF50FE" w:rsidRDefault="00BF50FE" w:rsidP="00DF39D0">
      <w:pPr>
        <w:pStyle w:val="ListParagraph"/>
        <w:numPr>
          <w:ilvl w:val="0"/>
          <w:numId w:val="40"/>
        </w:numPr>
        <w:ind w:left="2160" w:hanging="720"/>
        <w:jc w:val="both"/>
        <w:rPr>
          <w:sz w:val="22"/>
          <w:szCs w:val="22"/>
          <w:lang w:val="en-US"/>
        </w:rPr>
      </w:pPr>
      <w:r w:rsidRPr="00BF50FE">
        <w:rPr>
          <w:color w:val="000000"/>
          <w:sz w:val="22"/>
          <w:szCs w:val="22"/>
          <w:lang w:val="en-US"/>
        </w:rPr>
        <w:t>Recognize</w:t>
      </w:r>
      <w:r w:rsidRPr="00BF50FE">
        <w:rPr>
          <w:sz w:val="22"/>
          <w:szCs w:val="22"/>
          <w:lang w:val="en-US"/>
        </w:rPr>
        <w:t xml:space="preserve"> </w:t>
      </w:r>
      <w:r w:rsidRPr="00BF50FE">
        <w:rPr>
          <w:color w:val="000000"/>
          <w:sz w:val="22"/>
          <w:szCs w:val="22"/>
          <w:lang w:val="en-US"/>
        </w:rPr>
        <w:t xml:space="preserve">the contribution of </w:t>
      </w:r>
      <w:r w:rsidRPr="00BF50FE">
        <w:rPr>
          <w:sz w:val="22"/>
          <w:szCs w:val="22"/>
          <w:lang w:val="en-US"/>
        </w:rPr>
        <w:t>indigenous and Afro-descendent peoples and other bearers of cultural heritage of the Americas through the promotion of their</w:t>
      </w:r>
      <w:r w:rsidRPr="00BF50FE">
        <w:rPr>
          <w:color w:val="000000"/>
          <w:sz w:val="22"/>
          <w:szCs w:val="22"/>
          <w:lang w:val="en-US"/>
        </w:rPr>
        <w:t xml:space="preserve"> cultural expressions </w:t>
      </w:r>
      <w:proofErr w:type="gramStart"/>
      <w:r w:rsidRPr="00BF50FE">
        <w:rPr>
          <w:sz w:val="22"/>
          <w:szCs w:val="22"/>
          <w:lang w:val="en-US"/>
        </w:rPr>
        <w:t>through the use of</w:t>
      </w:r>
      <w:proofErr w:type="gramEnd"/>
      <w:r w:rsidRPr="00BF50FE">
        <w:rPr>
          <w:sz w:val="22"/>
          <w:szCs w:val="22"/>
          <w:lang w:val="en-US"/>
        </w:rPr>
        <w:t xml:space="preserve"> digital technologies, in order to promote the circulation of cultural goods and services for social economic and environmental sustainability. </w:t>
      </w:r>
    </w:p>
    <w:p w14:paraId="34EFD2A8" w14:textId="77777777" w:rsidR="00BF50FE" w:rsidRPr="00BF50FE" w:rsidRDefault="00BF50FE" w:rsidP="00DF39D0">
      <w:pPr>
        <w:pStyle w:val="ListParagraph"/>
        <w:ind w:left="2160" w:hanging="720"/>
        <w:rPr>
          <w:sz w:val="22"/>
          <w:szCs w:val="22"/>
          <w:lang w:val="en-US"/>
        </w:rPr>
      </w:pPr>
    </w:p>
    <w:p w14:paraId="6F715A02" w14:textId="77777777" w:rsidR="00BF50FE" w:rsidRPr="00BF50FE" w:rsidRDefault="00BF50FE" w:rsidP="00DF39D0">
      <w:pPr>
        <w:pStyle w:val="ListParagraph"/>
        <w:numPr>
          <w:ilvl w:val="0"/>
          <w:numId w:val="40"/>
        </w:numPr>
        <w:ind w:left="2160" w:hanging="720"/>
        <w:jc w:val="both"/>
        <w:rPr>
          <w:sz w:val="22"/>
          <w:szCs w:val="22"/>
          <w:lang w:val="en-US"/>
        </w:rPr>
      </w:pPr>
      <w:r w:rsidRPr="00BF50FE">
        <w:rPr>
          <w:sz w:val="22"/>
          <w:szCs w:val="22"/>
          <w:bdr w:val="none" w:sz="0" w:space="0" w:color="auto" w:frame="1"/>
          <w:shd w:val="clear" w:color="auto" w:fill="FFFFFF"/>
          <w:lang w:val="en-US"/>
        </w:rPr>
        <w:t>Identify and adopt effective measures that encourage the use of technology to appropriately and respectfully promote and protect cultural and artistic heritage, and traditional and ancestral knowledge, leveraging the use of protection mechanisms in accordance with national legislation.</w:t>
      </w:r>
    </w:p>
    <w:p w14:paraId="6A96FCE7" w14:textId="77777777" w:rsidR="00BF50FE" w:rsidRPr="00BF50FE" w:rsidRDefault="00BF50FE" w:rsidP="00BF50FE">
      <w:pPr>
        <w:jc w:val="both"/>
        <w:rPr>
          <w:sz w:val="22"/>
          <w:szCs w:val="22"/>
          <w:lang w:val="en-US"/>
        </w:rPr>
      </w:pPr>
    </w:p>
    <w:p w14:paraId="3D7125A0" w14:textId="77777777" w:rsidR="00BF50FE" w:rsidRPr="006D7A16" w:rsidRDefault="00BF50FE" w:rsidP="00BF50FE">
      <w:pPr>
        <w:pStyle w:val="ListParagraph"/>
        <w:numPr>
          <w:ilvl w:val="0"/>
          <w:numId w:val="37"/>
        </w:numPr>
        <w:ind w:left="720" w:hanging="720"/>
        <w:jc w:val="both"/>
        <w:rPr>
          <w:sz w:val="22"/>
          <w:szCs w:val="22"/>
        </w:rPr>
      </w:pPr>
      <w:r w:rsidRPr="006D7A16">
        <w:rPr>
          <w:sz w:val="22"/>
          <w:szCs w:val="22"/>
        </w:rPr>
        <w:t>MONITORING, EVALUATION, AND REPORTING</w:t>
      </w:r>
    </w:p>
    <w:p w14:paraId="38BD40B2" w14:textId="77777777" w:rsidR="00BF50FE" w:rsidRPr="006D7A16" w:rsidRDefault="00BF50FE" w:rsidP="00BF50FE">
      <w:pPr>
        <w:jc w:val="both"/>
        <w:rPr>
          <w:sz w:val="22"/>
          <w:szCs w:val="22"/>
        </w:rPr>
      </w:pPr>
    </w:p>
    <w:p w14:paraId="4F67B0C6" w14:textId="77777777" w:rsidR="00BF50FE" w:rsidRPr="00BF50FE" w:rsidRDefault="00BF50FE" w:rsidP="00BF50FE">
      <w:pPr>
        <w:ind w:firstLine="720"/>
        <w:jc w:val="both"/>
        <w:rPr>
          <w:sz w:val="22"/>
          <w:szCs w:val="22"/>
          <w:lang w:val="en-US"/>
        </w:rPr>
      </w:pPr>
      <w:r w:rsidRPr="00BF50FE">
        <w:rPr>
          <w:sz w:val="22"/>
          <w:szCs w:val="22"/>
          <w:lang w:val="en-US"/>
        </w:rPr>
        <w:t>14.</w:t>
      </w:r>
      <w:r w:rsidRPr="00BF50FE">
        <w:rPr>
          <w:sz w:val="22"/>
          <w:szCs w:val="22"/>
          <w:lang w:val="en-US"/>
        </w:rPr>
        <w:tab/>
        <w:t>The authorities of the Inter-American Committee on Culture (CIC), together with the Troika (the current, former, and future chairs of the Inter-American Meeting of Ministers of Culture and Highest Appropriate Authorities), will hold a planning meeting to define a work plan for the implementation of this Plan of Action. That work plan will include at least one meeting of the CIC prior to the Tenth Inter-American Meeting of Ministers of Culture and Highest Appropriate Authorities.</w:t>
      </w:r>
    </w:p>
    <w:p w14:paraId="57F57A0A" w14:textId="77777777" w:rsidR="00BF50FE" w:rsidRPr="00BF50FE" w:rsidRDefault="00BF50FE" w:rsidP="00BF50FE">
      <w:pPr>
        <w:jc w:val="both"/>
        <w:rPr>
          <w:sz w:val="22"/>
          <w:szCs w:val="22"/>
          <w:lang w:val="en-US"/>
        </w:rPr>
      </w:pPr>
    </w:p>
    <w:p w14:paraId="7F57B0DD" w14:textId="77777777" w:rsidR="00BF50FE" w:rsidRPr="00BF50FE" w:rsidRDefault="00BF50FE" w:rsidP="00BF50FE">
      <w:pPr>
        <w:ind w:firstLine="720"/>
        <w:jc w:val="both"/>
        <w:rPr>
          <w:sz w:val="22"/>
          <w:szCs w:val="22"/>
          <w:lang w:val="en-US"/>
        </w:rPr>
      </w:pPr>
      <w:r w:rsidRPr="00BF50FE">
        <w:rPr>
          <w:sz w:val="22"/>
          <w:szCs w:val="22"/>
          <w:lang w:val="en-US"/>
        </w:rPr>
        <w:t>15.</w:t>
      </w:r>
      <w:r w:rsidRPr="00BF50FE">
        <w:rPr>
          <w:sz w:val="22"/>
          <w:szCs w:val="22"/>
          <w:lang w:val="en-US"/>
        </w:rPr>
        <w:tab/>
        <w:t>Invite member states to participate actively in CIC initiatives.</w:t>
      </w:r>
    </w:p>
    <w:p w14:paraId="62290951" w14:textId="77777777" w:rsidR="00BF50FE" w:rsidRPr="00BF50FE" w:rsidRDefault="00BF50FE" w:rsidP="00BF50FE">
      <w:pPr>
        <w:jc w:val="both"/>
        <w:rPr>
          <w:sz w:val="22"/>
          <w:szCs w:val="22"/>
          <w:lang w:val="en-US"/>
        </w:rPr>
      </w:pPr>
    </w:p>
    <w:p w14:paraId="5B574C27" w14:textId="77777777" w:rsidR="00BF50FE" w:rsidRPr="00BF50FE" w:rsidRDefault="00BF50FE" w:rsidP="00BF50FE">
      <w:pPr>
        <w:ind w:firstLine="720"/>
        <w:jc w:val="both"/>
        <w:rPr>
          <w:sz w:val="22"/>
          <w:szCs w:val="22"/>
          <w:lang w:val="en-US"/>
        </w:rPr>
      </w:pPr>
      <w:r w:rsidRPr="00BF50FE">
        <w:rPr>
          <w:sz w:val="22"/>
          <w:szCs w:val="22"/>
          <w:lang w:val="en-US"/>
        </w:rPr>
        <w:t>16.</w:t>
      </w:r>
      <w:r w:rsidRPr="00BF50FE">
        <w:rPr>
          <w:sz w:val="22"/>
          <w:szCs w:val="22"/>
          <w:lang w:val="en-US"/>
        </w:rPr>
        <w:tab/>
        <w:t>Urge the Executive Secretariat for Integral Development, as the CIC Technical Secretariat, to continue facilitating communication among the working groups, supporting the implementation of projects and collaboration efforts, and convening and organizing videoconferences and on-site meeting.</w:t>
      </w:r>
    </w:p>
    <w:p w14:paraId="3F116B4E" w14:textId="77777777" w:rsidR="00BF50FE" w:rsidRPr="00BF50FE" w:rsidRDefault="00BF50FE" w:rsidP="00BF50FE">
      <w:pPr>
        <w:jc w:val="both"/>
        <w:rPr>
          <w:sz w:val="22"/>
          <w:szCs w:val="22"/>
          <w:lang w:val="en-US"/>
        </w:rPr>
      </w:pPr>
    </w:p>
    <w:p w14:paraId="1A4E61D6" w14:textId="77777777" w:rsidR="00BF50FE" w:rsidRPr="00BF50FE" w:rsidRDefault="00BF50FE" w:rsidP="00BF50FE">
      <w:pPr>
        <w:ind w:firstLine="720"/>
        <w:jc w:val="both"/>
        <w:rPr>
          <w:sz w:val="22"/>
          <w:szCs w:val="22"/>
          <w:lang w:val="en-US"/>
        </w:rPr>
      </w:pPr>
      <w:r w:rsidRPr="00BF50FE">
        <w:rPr>
          <w:sz w:val="22"/>
          <w:szCs w:val="22"/>
          <w:lang w:val="en-US"/>
        </w:rPr>
        <w:t>17.</w:t>
      </w:r>
      <w:r w:rsidRPr="00BF50FE">
        <w:rPr>
          <w:sz w:val="22"/>
          <w:szCs w:val="22"/>
          <w:lang w:val="en-US"/>
        </w:rPr>
        <w:tab/>
        <w:t>Reiterate that the implementation of this Plan of Action will be led by the authorities of the CIC, together with the Troika (the current, former, and future chairs of the Inter-American Meeting of Ministers of Culture and Highest Appropriate Authorities), with the support of the Technical Secretariat. The CIC Chair will report on the follow-up of actions at its regular and special meetings and at the next Inter-American Meeting of Ministers of Culture and Highest Appropriate Authorities.</w:t>
      </w:r>
    </w:p>
    <w:p w14:paraId="62C53A6E" w14:textId="0DB8BFE3" w:rsidR="00BF50FE" w:rsidRDefault="00A12C69" w:rsidP="00576899">
      <w:pPr>
        <w:tabs>
          <w:tab w:val="left" w:pos="7200"/>
        </w:tabs>
        <w:ind w:right="-108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03A6219D" wp14:editId="02D29B9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C52245E" w14:textId="6EA52E74" w:rsidR="00A12C69" w:rsidRPr="00A12C69" w:rsidRDefault="00A12C69">
                            <w:pPr>
                              <w:rPr>
                                <w:sz w:val="18"/>
                              </w:rPr>
                            </w:pPr>
                            <w:r>
                              <w:rPr>
                                <w:sz w:val="18"/>
                              </w:rPr>
                              <w:fldChar w:fldCharType="begin"/>
                            </w:r>
                            <w:r>
                              <w:rPr>
                                <w:sz w:val="18"/>
                              </w:rPr>
                              <w:instrText xml:space="preserve"> FILENAME  \* MERGEFORMAT </w:instrText>
                            </w:r>
                            <w:r>
                              <w:rPr>
                                <w:sz w:val="18"/>
                              </w:rPr>
                              <w:fldChar w:fldCharType="separate"/>
                            </w:r>
                            <w:r w:rsidR="00357A3C">
                              <w:rPr>
                                <w:noProof/>
                                <w:sz w:val="18"/>
                              </w:rPr>
                              <w:t>CIDUL00166E01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A6219D"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C52245E" w14:textId="6EA52E74" w:rsidR="00A12C69" w:rsidRPr="00A12C69" w:rsidRDefault="00A12C69">
                      <w:pPr>
                        <w:rPr>
                          <w:sz w:val="18"/>
                        </w:rPr>
                      </w:pPr>
                      <w:r>
                        <w:rPr>
                          <w:sz w:val="18"/>
                        </w:rPr>
                        <w:fldChar w:fldCharType="begin"/>
                      </w:r>
                      <w:r>
                        <w:rPr>
                          <w:sz w:val="18"/>
                        </w:rPr>
                        <w:instrText xml:space="preserve"> FILENAME  \* MERGEFORMAT </w:instrText>
                      </w:r>
                      <w:r>
                        <w:rPr>
                          <w:sz w:val="18"/>
                        </w:rPr>
                        <w:fldChar w:fldCharType="separate"/>
                      </w:r>
                      <w:r w:rsidR="00357A3C">
                        <w:rPr>
                          <w:noProof/>
                          <w:sz w:val="18"/>
                        </w:rPr>
                        <w:t>CIDUL00166E01</w:t>
                      </w:r>
                      <w:r>
                        <w:rPr>
                          <w:sz w:val="18"/>
                        </w:rPr>
                        <w:fldChar w:fldCharType="end"/>
                      </w:r>
                    </w:p>
                  </w:txbxContent>
                </v:textbox>
                <w10:wrap anchory="page"/>
                <w10:anchorlock/>
              </v:shape>
            </w:pict>
          </mc:Fallback>
        </mc:AlternateContent>
      </w:r>
    </w:p>
    <w:sectPr w:rsidR="00BF50FE" w:rsidSect="00AD256D">
      <w:headerReference w:type="default" r:id="rId11"/>
      <w:headerReference w:type="first" r:id="rId12"/>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89EA" w14:textId="77777777" w:rsidR="00FC756F" w:rsidRDefault="00FC756F" w:rsidP="004043A2">
      <w:r>
        <w:separator/>
      </w:r>
    </w:p>
  </w:endnote>
  <w:endnote w:type="continuationSeparator" w:id="0">
    <w:p w14:paraId="55442FEA" w14:textId="77777777" w:rsidR="00FC756F" w:rsidRDefault="00FC756F" w:rsidP="004043A2">
      <w:r>
        <w:continuationSeparator/>
      </w:r>
    </w:p>
  </w:endnote>
  <w:endnote w:type="continuationNotice" w:id="1">
    <w:p w14:paraId="75619EE9" w14:textId="77777777" w:rsidR="00FC756F" w:rsidRDefault="00FC7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5ADC" w14:textId="77777777" w:rsidR="00FC756F" w:rsidRDefault="00FC756F" w:rsidP="004043A2">
      <w:r>
        <w:separator/>
      </w:r>
    </w:p>
  </w:footnote>
  <w:footnote w:type="continuationSeparator" w:id="0">
    <w:p w14:paraId="179802C5" w14:textId="77777777" w:rsidR="00FC756F" w:rsidRDefault="00FC756F" w:rsidP="004043A2">
      <w:r>
        <w:continuationSeparator/>
      </w:r>
    </w:p>
  </w:footnote>
  <w:footnote w:type="continuationNotice" w:id="1">
    <w:p w14:paraId="7C135A23" w14:textId="77777777" w:rsidR="00FC756F" w:rsidRDefault="00FC756F"/>
  </w:footnote>
  <w:footnote w:id="2">
    <w:p w14:paraId="1136D547" w14:textId="77777777" w:rsidR="00BF50FE" w:rsidRPr="00BF50FE" w:rsidRDefault="00BF50FE" w:rsidP="00BF50FE">
      <w:pPr>
        <w:ind w:left="720" w:hanging="360"/>
        <w:jc w:val="both"/>
        <w:rPr>
          <w:color w:val="000000"/>
          <w:lang w:val="en-US"/>
        </w:rPr>
      </w:pPr>
      <w:r w:rsidRPr="00A84D8C">
        <w:rPr>
          <w:rStyle w:val="FootnoteReference"/>
          <w:vertAlign w:val="baseline"/>
        </w:rPr>
        <w:footnoteRef/>
      </w:r>
      <w:r w:rsidRPr="00A84D8C">
        <w:rPr>
          <w:color w:val="000000"/>
          <w:lang w:val="en-US"/>
        </w:rPr>
        <w:t>.</w:t>
      </w:r>
      <w:r w:rsidRPr="00BF50FE">
        <w:rPr>
          <w:color w:val="000000"/>
          <w:lang w:val="en-US"/>
        </w:rPr>
        <w:tab/>
        <w:t xml:space="preserve">A non-fungible token (NFT) is a digital asset that represents real-world objects, such as works of art and music, videos, and video game items. NFTs are bought and sold online, often in exchange for </w:t>
      </w:r>
      <w:hyperlink r:id="rId1">
        <w:r w:rsidRPr="00BF50FE">
          <w:rPr>
            <w:color w:val="0000FF"/>
            <w:u w:val="single"/>
            <w:lang w:val="en-US"/>
          </w:rPr>
          <w:t>cryptocurrencies</w:t>
        </w:r>
      </w:hyperlink>
      <w:r w:rsidRPr="00BF50FE">
        <w:rPr>
          <w:color w:val="000000"/>
          <w:lang w:val="en-US"/>
        </w:rPr>
        <w:t xml:space="preserve">, and are usually encoded with the same underlying software as many cryptocurrencies. </w:t>
      </w:r>
    </w:p>
    <w:p w14:paraId="7FA0C2D4" w14:textId="77777777" w:rsidR="00BF50FE" w:rsidRPr="00BF50FE" w:rsidRDefault="00BF50FE" w:rsidP="00BF50FE">
      <w:pPr>
        <w:ind w:left="720" w:hanging="360"/>
        <w:jc w:val="both"/>
        <w:rPr>
          <w:color w:val="000000"/>
          <w:lang w:val="en-US"/>
        </w:rPr>
      </w:pPr>
      <w:r w:rsidRPr="00BF50FE">
        <w:rPr>
          <w:color w:val="000000"/>
          <w:lang w:val="en-US"/>
        </w:rPr>
        <w:tab/>
        <w:t xml:space="preserve">See </w:t>
      </w:r>
      <w:r w:rsidRPr="00BF50FE">
        <w:rPr>
          <w:i/>
          <w:color w:val="000000"/>
          <w:lang w:val="en-US"/>
        </w:rPr>
        <w:t>Forbes Advisor</w:t>
      </w:r>
      <w:r w:rsidRPr="00BF50FE">
        <w:rPr>
          <w:color w:val="000000"/>
          <w:lang w:val="en-US"/>
        </w:rPr>
        <w:t xml:space="preserve">, April 2022, </w:t>
      </w:r>
      <w:hyperlink r:id="rId2">
        <w:r w:rsidRPr="00BF50FE">
          <w:rPr>
            <w:color w:val="0000FF"/>
            <w:u w:val="single"/>
            <w:lang w:val="en-US"/>
          </w:rPr>
          <w:t>https://www.forbes.com/advisor/investing/cryptocurrency/nft-non-fungible-token/</w:t>
        </w:r>
      </w:hyperlink>
      <w:r w:rsidRPr="00BF50FE">
        <w:rPr>
          <w:color w:val="0000FF"/>
          <w:u w:val="singl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37B26CC6">
              <wp:simplePos x="0" y="0"/>
              <wp:positionH relativeFrom="column">
                <wp:posOffset>439834</wp:posOffset>
              </wp:positionH>
              <wp:positionV relativeFrom="paragraph">
                <wp:posOffset>-345882</wp:posOffset>
              </wp:positionV>
              <wp:extent cx="4728845" cy="684254"/>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4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1D4404" w:rsidRDefault="003643AA" w:rsidP="00387D8A">
                          <w:pPr>
                            <w:pStyle w:val="Header"/>
                            <w:tabs>
                              <w:tab w:val="left" w:pos="900"/>
                            </w:tabs>
                            <w:spacing w:line="0" w:lineRule="atLeast"/>
                            <w:jc w:val="center"/>
                            <w:rPr>
                              <w:rFonts w:ascii="Garamond" w:hAnsi="Garamond"/>
                              <w:b/>
                              <w:sz w:val="28"/>
                              <w:szCs w:val="28"/>
                              <w:lang w:val="en-US"/>
                            </w:rPr>
                          </w:pPr>
                          <w:r w:rsidRPr="001D4404">
                            <w:rPr>
                              <w:rFonts w:ascii="Garamond" w:hAnsi="Garamond"/>
                              <w:b/>
                              <w:sz w:val="28"/>
                              <w:szCs w:val="28"/>
                              <w:lang w:val="en-US"/>
                            </w:rPr>
                            <w:t>O</w:t>
                          </w:r>
                          <w:r w:rsidR="004043A2" w:rsidRPr="001D4404">
                            <w:rPr>
                              <w:rFonts w:ascii="Garamond" w:hAnsi="Garamond"/>
                              <w:b/>
                              <w:sz w:val="28"/>
                              <w:szCs w:val="28"/>
                              <w:lang w:val="en-US"/>
                            </w:rPr>
                            <w:t xml:space="preserve">RGANIZATION OF AMERICAN STATES </w:t>
                          </w:r>
                        </w:p>
                        <w:p w14:paraId="37D01F7D" w14:textId="129A222B" w:rsidR="00387D8A" w:rsidRPr="001D4404" w:rsidRDefault="004043A2" w:rsidP="00387D8A">
                          <w:pPr>
                            <w:pStyle w:val="Header"/>
                            <w:tabs>
                              <w:tab w:val="left" w:pos="900"/>
                            </w:tabs>
                            <w:spacing w:line="0" w:lineRule="atLeast"/>
                            <w:jc w:val="center"/>
                            <w:rPr>
                              <w:rFonts w:ascii="Garamond" w:hAnsi="Garamond"/>
                              <w:b/>
                              <w:sz w:val="28"/>
                              <w:szCs w:val="28"/>
                              <w:lang w:val="en-US"/>
                            </w:rPr>
                          </w:pPr>
                          <w:r w:rsidRPr="001D4404">
                            <w:rPr>
                              <w:rFonts w:ascii="Garamond" w:hAnsi="Garamond"/>
                              <w:b/>
                              <w:sz w:val="28"/>
                              <w:szCs w:val="28"/>
                              <w:lang w:val="en-US"/>
                            </w:rPr>
                            <w:t>Inter-American Council for Integral Development</w:t>
                          </w:r>
                        </w:p>
                        <w:p w14:paraId="4654E25D" w14:textId="77777777" w:rsidR="00387D8A" w:rsidRPr="001D4404" w:rsidRDefault="003643AA" w:rsidP="00387D8A">
                          <w:pPr>
                            <w:pStyle w:val="Header"/>
                            <w:tabs>
                              <w:tab w:val="left" w:pos="900"/>
                            </w:tabs>
                            <w:spacing w:line="0" w:lineRule="atLeast"/>
                            <w:jc w:val="center"/>
                            <w:rPr>
                              <w:rFonts w:ascii="Garamond" w:hAnsi="Garamond"/>
                              <w:b/>
                              <w:sz w:val="28"/>
                              <w:szCs w:val="28"/>
                            </w:rPr>
                          </w:pPr>
                          <w:r w:rsidRPr="001D4404">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65pt;margin-top:-27.25pt;width:372.35pt;height:5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" stroked="f">
              <v:textbox>
                <w:txbxContent>
                  <w:p w14:paraId="476CE669" w14:textId="3F520DAE" w:rsidR="00387D8A" w:rsidRPr="001D4404" w:rsidRDefault="003643AA" w:rsidP="00387D8A">
                    <w:pPr>
                      <w:pStyle w:val="Header"/>
                      <w:tabs>
                        <w:tab w:val="left" w:pos="900"/>
                      </w:tabs>
                      <w:spacing w:line="0" w:lineRule="atLeast"/>
                      <w:jc w:val="center"/>
                      <w:rPr>
                        <w:rFonts w:ascii="Garamond" w:hAnsi="Garamond"/>
                        <w:b/>
                        <w:sz w:val="28"/>
                        <w:szCs w:val="28"/>
                        <w:lang w:val="en-US"/>
                      </w:rPr>
                    </w:pPr>
                    <w:r w:rsidRPr="001D4404">
                      <w:rPr>
                        <w:rFonts w:ascii="Garamond" w:hAnsi="Garamond"/>
                        <w:b/>
                        <w:sz w:val="28"/>
                        <w:szCs w:val="28"/>
                        <w:lang w:val="en-US"/>
                      </w:rPr>
                      <w:t>O</w:t>
                    </w:r>
                    <w:r w:rsidR="004043A2" w:rsidRPr="001D4404">
                      <w:rPr>
                        <w:rFonts w:ascii="Garamond" w:hAnsi="Garamond"/>
                        <w:b/>
                        <w:sz w:val="28"/>
                        <w:szCs w:val="28"/>
                        <w:lang w:val="en-US"/>
                      </w:rPr>
                      <w:t xml:space="preserve">RGANIZATION OF AMERICAN STATES </w:t>
                    </w:r>
                  </w:p>
                  <w:p w14:paraId="37D01F7D" w14:textId="129A222B" w:rsidR="00387D8A" w:rsidRPr="001D4404" w:rsidRDefault="004043A2" w:rsidP="00387D8A">
                    <w:pPr>
                      <w:pStyle w:val="Header"/>
                      <w:tabs>
                        <w:tab w:val="left" w:pos="900"/>
                      </w:tabs>
                      <w:spacing w:line="0" w:lineRule="atLeast"/>
                      <w:jc w:val="center"/>
                      <w:rPr>
                        <w:rFonts w:ascii="Garamond" w:hAnsi="Garamond"/>
                        <w:b/>
                        <w:sz w:val="28"/>
                        <w:szCs w:val="28"/>
                        <w:lang w:val="en-US"/>
                      </w:rPr>
                    </w:pPr>
                    <w:r w:rsidRPr="001D4404">
                      <w:rPr>
                        <w:rFonts w:ascii="Garamond" w:hAnsi="Garamond"/>
                        <w:b/>
                        <w:sz w:val="28"/>
                        <w:szCs w:val="28"/>
                        <w:lang w:val="en-US"/>
                      </w:rPr>
                      <w:t>Inter-American Council for Integral Development</w:t>
                    </w:r>
                  </w:p>
                  <w:p w14:paraId="4654E25D" w14:textId="77777777" w:rsidR="00387D8A" w:rsidRPr="001D4404" w:rsidRDefault="003643AA" w:rsidP="00387D8A">
                    <w:pPr>
                      <w:pStyle w:val="Header"/>
                      <w:tabs>
                        <w:tab w:val="left" w:pos="900"/>
                      </w:tabs>
                      <w:spacing w:line="0" w:lineRule="atLeast"/>
                      <w:jc w:val="center"/>
                      <w:rPr>
                        <w:rFonts w:ascii="Garamond" w:hAnsi="Garamond"/>
                        <w:b/>
                        <w:sz w:val="28"/>
                        <w:szCs w:val="28"/>
                      </w:rPr>
                    </w:pPr>
                    <w:r w:rsidRPr="001D4404">
                      <w:rPr>
                        <w:rFonts w:ascii="Garamond" w:hAnsi="Garamond"/>
                        <w:b/>
                        <w:sz w:val="28"/>
                        <w:szCs w:val="28"/>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07426"/>
    <w:multiLevelType w:val="hybridMultilevel"/>
    <w:tmpl w:val="03FE71EC"/>
    <w:lvl w:ilvl="0" w:tplc="D7149EFE">
      <w:start w:val="1"/>
      <w:numFmt w:val="lowerLetter"/>
      <w:lvlText w:val="%1."/>
      <w:lvlJc w:val="left"/>
      <w:pPr>
        <w:ind w:left="450" w:hanging="360"/>
      </w:pPr>
      <w:rPr>
        <w:rFonts w:hint="default"/>
        <w:vanish w:val="0"/>
      </w:rPr>
    </w:lvl>
    <w:lvl w:ilvl="1" w:tplc="4E24495E">
      <w:start w:val="1"/>
      <w:numFmt w:val="lowerLetter"/>
      <w:lvlText w:val="%2."/>
      <w:lvlJc w:val="left"/>
      <w:pPr>
        <w:ind w:left="1170" w:hanging="360"/>
      </w:pPr>
    </w:lvl>
    <w:lvl w:ilvl="2" w:tplc="267828CA">
      <w:start w:val="1"/>
      <w:numFmt w:val="lowerRoman"/>
      <w:lvlText w:val="%3."/>
      <w:lvlJc w:val="right"/>
      <w:pPr>
        <w:ind w:left="1890" w:hanging="180"/>
      </w:pPr>
    </w:lvl>
    <w:lvl w:ilvl="3" w:tplc="2C4242FA">
      <w:start w:val="1"/>
      <w:numFmt w:val="decimal"/>
      <w:lvlText w:val="%4."/>
      <w:lvlJc w:val="left"/>
      <w:pPr>
        <w:ind w:left="2610" w:hanging="360"/>
      </w:pPr>
    </w:lvl>
    <w:lvl w:ilvl="4" w:tplc="C4520304">
      <w:start w:val="1"/>
      <w:numFmt w:val="lowerLetter"/>
      <w:lvlText w:val="%5."/>
      <w:lvlJc w:val="left"/>
      <w:pPr>
        <w:ind w:left="3330" w:hanging="360"/>
      </w:pPr>
    </w:lvl>
    <w:lvl w:ilvl="5" w:tplc="06343A24">
      <w:start w:val="1"/>
      <w:numFmt w:val="lowerRoman"/>
      <w:lvlText w:val="%6."/>
      <w:lvlJc w:val="right"/>
      <w:pPr>
        <w:ind w:left="4050" w:hanging="180"/>
      </w:pPr>
    </w:lvl>
    <w:lvl w:ilvl="6" w:tplc="DB96B22A">
      <w:start w:val="1"/>
      <w:numFmt w:val="decimal"/>
      <w:lvlText w:val="%7."/>
      <w:lvlJc w:val="left"/>
      <w:pPr>
        <w:ind w:left="4770" w:hanging="360"/>
      </w:pPr>
    </w:lvl>
    <w:lvl w:ilvl="7" w:tplc="6C427C04">
      <w:start w:val="1"/>
      <w:numFmt w:val="lowerLetter"/>
      <w:lvlText w:val="%8."/>
      <w:lvlJc w:val="left"/>
      <w:pPr>
        <w:ind w:left="5490" w:hanging="360"/>
      </w:pPr>
    </w:lvl>
    <w:lvl w:ilvl="8" w:tplc="0EAC31A2">
      <w:start w:val="1"/>
      <w:numFmt w:val="lowerRoman"/>
      <w:lvlText w:val="%9."/>
      <w:lvlJc w:val="right"/>
      <w:pPr>
        <w:ind w:left="6210" w:hanging="180"/>
      </w:pPr>
    </w:lvl>
  </w:abstractNum>
  <w:abstractNum w:abstractNumId="2"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026BFD"/>
    <w:multiLevelType w:val="hybridMultilevel"/>
    <w:tmpl w:val="9C0E348E"/>
    <w:lvl w:ilvl="0" w:tplc="7AFC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BF2484"/>
    <w:multiLevelType w:val="hybridMultilevel"/>
    <w:tmpl w:val="42B68DEE"/>
    <w:lvl w:ilvl="0" w:tplc="8AFA152C">
      <w:start w:val="3"/>
      <w:numFmt w:val="upperLetter"/>
      <w:lvlText w:val="%1."/>
      <w:lvlJc w:val="left"/>
      <w:pPr>
        <w:ind w:left="1080" w:hanging="360"/>
      </w:pPr>
      <w:rPr>
        <w:rFonts w:hint="default"/>
        <w:vanish w:val="0"/>
      </w:rPr>
    </w:lvl>
    <w:lvl w:ilvl="1" w:tplc="68BEB93A">
      <w:start w:val="1"/>
      <w:numFmt w:val="lowerLetter"/>
      <w:lvlText w:val="%2."/>
      <w:lvlJc w:val="left"/>
      <w:pPr>
        <w:ind w:left="1800" w:hanging="360"/>
      </w:pPr>
    </w:lvl>
    <w:lvl w:ilvl="2" w:tplc="9536B15A">
      <w:start w:val="1"/>
      <w:numFmt w:val="lowerRoman"/>
      <w:lvlText w:val="%3."/>
      <w:lvlJc w:val="right"/>
      <w:pPr>
        <w:ind w:left="2520" w:hanging="180"/>
      </w:pPr>
    </w:lvl>
    <w:lvl w:ilvl="3" w:tplc="4DECEA24">
      <w:start w:val="1"/>
      <w:numFmt w:val="decimal"/>
      <w:lvlText w:val="%4."/>
      <w:lvlJc w:val="left"/>
      <w:pPr>
        <w:ind w:left="3240" w:hanging="360"/>
      </w:pPr>
    </w:lvl>
    <w:lvl w:ilvl="4" w:tplc="EE8C0E2C">
      <w:start w:val="1"/>
      <w:numFmt w:val="lowerLetter"/>
      <w:lvlText w:val="%5."/>
      <w:lvlJc w:val="left"/>
      <w:pPr>
        <w:ind w:left="3960" w:hanging="360"/>
      </w:pPr>
    </w:lvl>
    <w:lvl w:ilvl="5" w:tplc="FB1ACE96">
      <w:start w:val="1"/>
      <w:numFmt w:val="lowerRoman"/>
      <w:lvlText w:val="%6."/>
      <w:lvlJc w:val="right"/>
      <w:pPr>
        <w:ind w:left="4680" w:hanging="180"/>
      </w:pPr>
    </w:lvl>
    <w:lvl w:ilvl="6" w:tplc="DBC4994A">
      <w:start w:val="1"/>
      <w:numFmt w:val="decimal"/>
      <w:lvlText w:val="%7."/>
      <w:lvlJc w:val="left"/>
      <w:pPr>
        <w:ind w:left="5400" w:hanging="360"/>
      </w:pPr>
    </w:lvl>
    <w:lvl w:ilvl="7" w:tplc="3C866ED6">
      <w:start w:val="1"/>
      <w:numFmt w:val="lowerLetter"/>
      <w:lvlText w:val="%8."/>
      <w:lvlJc w:val="left"/>
      <w:pPr>
        <w:ind w:left="6120" w:hanging="360"/>
      </w:pPr>
    </w:lvl>
    <w:lvl w:ilvl="8" w:tplc="69BE2538">
      <w:start w:val="1"/>
      <w:numFmt w:val="lowerRoman"/>
      <w:lvlText w:val="%9."/>
      <w:lvlJc w:val="right"/>
      <w:pPr>
        <w:ind w:left="6840" w:hanging="180"/>
      </w:pPr>
    </w:lvl>
  </w:abstractNum>
  <w:abstractNum w:abstractNumId="8"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11"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3"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200369"/>
    <w:multiLevelType w:val="hybridMultilevel"/>
    <w:tmpl w:val="D9C03282"/>
    <w:lvl w:ilvl="0" w:tplc="AB0A43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6"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5218"/>
    <w:multiLevelType w:val="hybridMultilevel"/>
    <w:tmpl w:val="58BA5BE0"/>
    <w:lvl w:ilvl="0" w:tplc="04C8DAFE">
      <w:start w:val="1"/>
      <w:numFmt w:val="upperLetter"/>
      <w:lvlText w:val="%1."/>
      <w:lvlJc w:val="left"/>
      <w:pPr>
        <w:ind w:left="1080" w:hanging="360"/>
      </w:pPr>
      <w:rPr>
        <w:rFonts w:hint="default"/>
        <w:vanish w:val="0"/>
      </w:rPr>
    </w:lvl>
    <w:lvl w:ilvl="1" w:tplc="8B3290DA">
      <w:start w:val="1"/>
      <w:numFmt w:val="lowerLetter"/>
      <w:lvlText w:val="%2."/>
      <w:lvlJc w:val="left"/>
      <w:pPr>
        <w:ind w:left="1800" w:hanging="360"/>
      </w:pPr>
    </w:lvl>
    <w:lvl w:ilvl="2" w:tplc="6B866B60">
      <w:start w:val="1"/>
      <w:numFmt w:val="lowerRoman"/>
      <w:lvlText w:val="%3."/>
      <w:lvlJc w:val="right"/>
      <w:pPr>
        <w:ind w:left="2520" w:hanging="180"/>
      </w:pPr>
    </w:lvl>
    <w:lvl w:ilvl="3" w:tplc="D1AAF432">
      <w:start w:val="1"/>
      <w:numFmt w:val="decimal"/>
      <w:lvlText w:val="%4."/>
      <w:lvlJc w:val="left"/>
      <w:pPr>
        <w:ind w:left="3240" w:hanging="360"/>
      </w:pPr>
    </w:lvl>
    <w:lvl w:ilvl="4" w:tplc="E5F20CC0">
      <w:start w:val="1"/>
      <w:numFmt w:val="lowerLetter"/>
      <w:lvlText w:val="%5."/>
      <w:lvlJc w:val="left"/>
      <w:pPr>
        <w:ind w:left="3960" w:hanging="360"/>
      </w:pPr>
    </w:lvl>
    <w:lvl w:ilvl="5" w:tplc="9A24FA26">
      <w:start w:val="1"/>
      <w:numFmt w:val="lowerRoman"/>
      <w:lvlText w:val="%6."/>
      <w:lvlJc w:val="right"/>
      <w:pPr>
        <w:ind w:left="4680" w:hanging="180"/>
      </w:pPr>
    </w:lvl>
    <w:lvl w:ilvl="6" w:tplc="0DA0F668">
      <w:start w:val="1"/>
      <w:numFmt w:val="decimal"/>
      <w:lvlText w:val="%7."/>
      <w:lvlJc w:val="left"/>
      <w:pPr>
        <w:ind w:left="5400" w:hanging="360"/>
      </w:pPr>
    </w:lvl>
    <w:lvl w:ilvl="7" w:tplc="8DAC77DC">
      <w:start w:val="1"/>
      <w:numFmt w:val="lowerLetter"/>
      <w:lvlText w:val="%8."/>
      <w:lvlJc w:val="left"/>
      <w:pPr>
        <w:ind w:left="6120" w:hanging="360"/>
      </w:pPr>
    </w:lvl>
    <w:lvl w:ilvl="8" w:tplc="AAE6E3B2">
      <w:start w:val="1"/>
      <w:numFmt w:val="lowerRoman"/>
      <w:lvlText w:val="%9."/>
      <w:lvlJc w:val="right"/>
      <w:pPr>
        <w:ind w:left="6840" w:hanging="180"/>
      </w:pPr>
    </w:lvl>
  </w:abstractNum>
  <w:abstractNum w:abstractNumId="20"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5"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31"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3852E0"/>
    <w:multiLevelType w:val="hybridMultilevel"/>
    <w:tmpl w:val="5B74F508"/>
    <w:lvl w:ilvl="0" w:tplc="B6F6A1A4">
      <w:start w:val="18"/>
      <w:numFmt w:val="bullet"/>
      <w:lvlText w:val="‒"/>
      <w:lvlJc w:val="left"/>
      <w:pPr>
        <w:tabs>
          <w:tab w:val="num" w:pos="360"/>
        </w:tabs>
        <w:ind w:left="1080" w:hanging="360"/>
      </w:pPr>
      <w:rPr>
        <w:rFonts w:ascii="Calibri" w:eastAsia="Times New Roman" w:hAnsi="Calibri" w:hint="default"/>
        <w:vanish w:val="0"/>
        <w:color w:val="auto"/>
      </w:rPr>
    </w:lvl>
    <w:lvl w:ilvl="1" w:tplc="A23C60D8">
      <w:start w:val="1"/>
      <w:numFmt w:val="bullet"/>
      <w:lvlText w:val="o"/>
      <w:lvlJc w:val="left"/>
      <w:pPr>
        <w:ind w:left="1800" w:hanging="360"/>
      </w:pPr>
      <w:rPr>
        <w:rFonts w:ascii="Courier New" w:hAnsi="Courier New" w:cs="Courier New" w:hint="default"/>
      </w:rPr>
    </w:lvl>
    <w:lvl w:ilvl="2" w:tplc="BB0C5F28">
      <w:start w:val="1"/>
      <w:numFmt w:val="bullet"/>
      <w:lvlText w:val=""/>
      <w:lvlJc w:val="left"/>
      <w:pPr>
        <w:ind w:left="2520" w:hanging="360"/>
      </w:pPr>
      <w:rPr>
        <w:rFonts w:ascii="Wingdings" w:hAnsi="Wingdings" w:cs="Wingdings" w:hint="default"/>
      </w:rPr>
    </w:lvl>
    <w:lvl w:ilvl="3" w:tplc="ECAC0C8C">
      <w:start w:val="1"/>
      <w:numFmt w:val="bullet"/>
      <w:lvlText w:val=""/>
      <w:lvlJc w:val="left"/>
      <w:pPr>
        <w:ind w:left="3240" w:hanging="360"/>
      </w:pPr>
      <w:rPr>
        <w:rFonts w:ascii="Symbol" w:hAnsi="Symbol" w:cs="Symbol" w:hint="default"/>
      </w:rPr>
    </w:lvl>
    <w:lvl w:ilvl="4" w:tplc="AEDC9A0A">
      <w:start w:val="1"/>
      <w:numFmt w:val="bullet"/>
      <w:lvlText w:val="o"/>
      <w:lvlJc w:val="left"/>
      <w:pPr>
        <w:ind w:left="3960" w:hanging="360"/>
      </w:pPr>
      <w:rPr>
        <w:rFonts w:ascii="Courier New" w:hAnsi="Courier New" w:cs="Courier New" w:hint="default"/>
      </w:rPr>
    </w:lvl>
    <w:lvl w:ilvl="5" w:tplc="0BC60400">
      <w:start w:val="1"/>
      <w:numFmt w:val="bullet"/>
      <w:lvlText w:val=""/>
      <w:lvlJc w:val="left"/>
      <w:pPr>
        <w:ind w:left="4680" w:hanging="360"/>
      </w:pPr>
      <w:rPr>
        <w:rFonts w:ascii="Wingdings" w:hAnsi="Wingdings" w:cs="Wingdings" w:hint="default"/>
      </w:rPr>
    </w:lvl>
    <w:lvl w:ilvl="6" w:tplc="B9EACEBC">
      <w:start w:val="1"/>
      <w:numFmt w:val="bullet"/>
      <w:lvlText w:val=""/>
      <w:lvlJc w:val="left"/>
      <w:pPr>
        <w:ind w:left="5400" w:hanging="360"/>
      </w:pPr>
      <w:rPr>
        <w:rFonts w:ascii="Symbol" w:hAnsi="Symbol" w:cs="Symbol" w:hint="default"/>
      </w:rPr>
    </w:lvl>
    <w:lvl w:ilvl="7" w:tplc="78CE0D04">
      <w:start w:val="1"/>
      <w:numFmt w:val="bullet"/>
      <w:lvlText w:val="o"/>
      <w:lvlJc w:val="left"/>
      <w:pPr>
        <w:ind w:left="6120" w:hanging="360"/>
      </w:pPr>
      <w:rPr>
        <w:rFonts w:ascii="Courier New" w:hAnsi="Courier New" w:cs="Courier New" w:hint="default"/>
      </w:rPr>
    </w:lvl>
    <w:lvl w:ilvl="8" w:tplc="9984DB3A">
      <w:start w:val="1"/>
      <w:numFmt w:val="bullet"/>
      <w:lvlText w:val=""/>
      <w:lvlJc w:val="left"/>
      <w:pPr>
        <w:ind w:left="6840" w:hanging="360"/>
      </w:pPr>
      <w:rPr>
        <w:rFonts w:ascii="Wingdings" w:hAnsi="Wingdings" w:cs="Wingdings" w:hint="default"/>
      </w:rPr>
    </w:lvl>
  </w:abstractNum>
  <w:abstractNum w:abstractNumId="36"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25152"/>
    <w:multiLevelType w:val="hybridMultilevel"/>
    <w:tmpl w:val="F70C4E8A"/>
    <w:lvl w:ilvl="0" w:tplc="7688A74A">
      <w:start w:val="1"/>
      <w:numFmt w:val="lowerRoman"/>
      <w:lvlText w:val="%1."/>
      <w:lvlJc w:val="left"/>
      <w:pPr>
        <w:ind w:left="1080" w:hanging="720"/>
      </w:pPr>
      <w:rPr>
        <w:rFonts w:hint="default"/>
        <w:vanish w:val="0"/>
      </w:rPr>
    </w:lvl>
    <w:lvl w:ilvl="1" w:tplc="0E06701A">
      <w:start w:val="1"/>
      <w:numFmt w:val="lowerLetter"/>
      <w:lvlText w:val="%2."/>
      <w:lvlJc w:val="left"/>
      <w:pPr>
        <w:ind w:left="1440" w:hanging="360"/>
      </w:pPr>
    </w:lvl>
    <w:lvl w:ilvl="2" w:tplc="02860A8C">
      <w:start w:val="1"/>
      <w:numFmt w:val="lowerRoman"/>
      <w:lvlText w:val="%3."/>
      <w:lvlJc w:val="right"/>
      <w:pPr>
        <w:ind w:left="2160" w:hanging="180"/>
      </w:pPr>
    </w:lvl>
    <w:lvl w:ilvl="3" w:tplc="0EBA63F8">
      <w:start w:val="1"/>
      <w:numFmt w:val="decimal"/>
      <w:lvlText w:val="%4."/>
      <w:lvlJc w:val="left"/>
      <w:pPr>
        <w:ind w:left="2880" w:hanging="360"/>
      </w:pPr>
    </w:lvl>
    <w:lvl w:ilvl="4" w:tplc="760C0912">
      <w:start w:val="1"/>
      <w:numFmt w:val="lowerLetter"/>
      <w:lvlText w:val="%5."/>
      <w:lvlJc w:val="left"/>
      <w:pPr>
        <w:ind w:left="3600" w:hanging="360"/>
      </w:pPr>
    </w:lvl>
    <w:lvl w:ilvl="5" w:tplc="72B05CEE">
      <w:start w:val="1"/>
      <w:numFmt w:val="lowerRoman"/>
      <w:lvlText w:val="%6."/>
      <w:lvlJc w:val="right"/>
      <w:pPr>
        <w:ind w:left="4320" w:hanging="180"/>
      </w:pPr>
    </w:lvl>
    <w:lvl w:ilvl="6" w:tplc="A6D2528C">
      <w:start w:val="1"/>
      <w:numFmt w:val="decimal"/>
      <w:lvlText w:val="%7."/>
      <w:lvlJc w:val="left"/>
      <w:pPr>
        <w:ind w:left="5040" w:hanging="360"/>
      </w:pPr>
    </w:lvl>
    <w:lvl w:ilvl="7" w:tplc="47BC78EA">
      <w:start w:val="1"/>
      <w:numFmt w:val="lowerLetter"/>
      <w:lvlText w:val="%8."/>
      <w:lvlJc w:val="left"/>
      <w:pPr>
        <w:ind w:left="5760" w:hanging="360"/>
      </w:pPr>
    </w:lvl>
    <w:lvl w:ilvl="8" w:tplc="30489218">
      <w:start w:val="1"/>
      <w:numFmt w:val="lowerRoman"/>
      <w:lvlText w:val="%9."/>
      <w:lvlJc w:val="right"/>
      <w:pPr>
        <w:ind w:left="6480" w:hanging="180"/>
      </w:pPr>
    </w:lvl>
  </w:abstractNum>
  <w:num w:numId="1" w16cid:durableId="595672869">
    <w:abstractNumId w:val="23"/>
  </w:num>
  <w:num w:numId="2" w16cid:durableId="1611205976">
    <w:abstractNumId w:val="34"/>
  </w:num>
  <w:num w:numId="3" w16cid:durableId="317422033">
    <w:abstractNumId w:val="21"/>
  </w:num>
  <w:num w:numId="4" w16cid:durableId="1289437677">
    <w:abstractNumId w:val="37"/>
  </w:num>
  <w:num w:numId="5" w16cid:durableId="550773382">
    <w:abstractNumId w:val="18"/>
  </w:num>
  <w:num w:numId="6" w16cid:durableId="1533495938">
    <w:abstractNumId w:val="3"/>
  </w:num>
  <w:num w:numId="7" w16cid:durableId="2058163223">
    <w:abstractNumId w:val="36"/>
  </w:num>
  <w:num w:numId="8" w16cid:durableId="629289516">
    <w:abstractNumId w:val="8"/>
  </w:num>
  <w:num w:numId="9" w16cid:durableId="476261908">
    <w:abstractNumId w:val="9"/>
  </w:num>
  <w:num w:numId="10" w16cid:durableId="1903711231">
    <w:abstractNumId w:val="26"/>
  </w:num>
  <w:num w:numId="11" w16cid:durableId="1562863345">
    <w:abstractNumId w:val="0"/>
  </w:num>
  <w:num w:numId="12" w16cid:durableId="1518881867">
    <w:abstractNumId w:val="2"/>
  </w:num>
  <w:num w:numId="13" w16cid:durableId="538323596">
    <w:abstractNumId w:val="22"/>
  </w:num>
  <w:num w:numId="14" w16cid:durableId="1887643164">
    <w:abstractNumId w:val="11"/>
  </w:num>
  <w:num w:numId="15" w16cid:durableId="354115072">
    <w:abstractNumId w:val="16"/>
  </w:num>
  <w:num w:numId="16" w16cid:durableId="72970289">
    <w:abstractNumId w:val="17"/>
  </w:num>
  <w:num w:numId="17" w16cid:durableId="481190973">
    <w:abstractNumId w:val="24"/>
  </w:num>
  <w:num w:numId="18" w16cid:durableId="870873988">
    <w:abstractNumId w:val="12"/>
  </w:num>
  <w:num w:numId="19" w16cid:durableId="870650201">
    <w:abstractNumId w:val="29"/>
  </w:num>
  <w:num w:numId="20" w16cid:durableId="705763843">
    <w:abstractNumId w:val="33"/>
  </w:num>
  <w:num w:numId="21" w16cid:durableId="109906155">
    <w:abstractNumId w:val="13"/>
  </w:num>
  <w:num w:numId="22" w16cid:durableId="1320379201">
    <w:abstractNumId w:val="10"/>
  </w:num>
  <w:num w:numId="23" w16cid:durableId="1100490774">
    <w:abstractNumId w:val="15"/>
  </w:num>
  <w:num w:numId="24" w16cid:durableId="1502773010">
    <w:abstractNumId w:val="30"/>
  </w:num>
  <w:num w:numId="25" w16cid:durableId="56905996">
    <w:abstractNumId w:val="27"/>
  </w:num>
  <w:num w:numId="26" w16cid:durableId="109519550">
    <w:abstractNumId w:val="23"/>
  </w:num>
  <w:num w:numId="27" w16cid:durableId="883448199">
    <w:abstractNumId w:val="31"/>
  </w:num>
  <w:num w:numId="28" w16cid:durableId="766996053">
    <w:abstractNumId w:val="20"/>
  </w:num>
  <w:num w:numId="29" w16cid:durableId="11944643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801785">
    <w:abstractNumId w:val="14"/>
  </w:num>
  <w:num w:numId="31" w16cid:durableId="676466211">
    <w:abstractNumId w:val="5"/>
  </w:num>
  <w:num w:numId="32" w16cid:durableId="1529023723">
    <w:abstractNumId w:val="4"/>
  </w:num>
  <w:num w:numId="33" w16cid:durableId="8292959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344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8123448">
    <w:abstractNumId w:val="28"/>
  </w:num>
  <w:num w:numId="36" w16cid:durableId="501894071">
    <w:abstractNumId w:val="19"/>
  </w:num>
  <w:num w:numId="37" w16cid:durableId="1841003326">
    <w:abstractNumId w:val="7"/>
  </w:num>
  <w:num w:numId="38" w16cid:durableId="1029793574">
    <w:abstractNumId w:val="38"/>
  </w:num>
  <w:num w:numId="39" w16cid:durableId="1710956748">
    <w:abstractNumId w:val="1"/>
  </w:num>
  <w:num w:numId="40" w16cid:durableId="20572416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3666F"/>
    <w:rsid w:val="000433EC"/>
    <w:rsid w:val="00043540"/>
    <w:rsid w:val="00045702"/>
    <w:rsid w:val="00064ABB"/>
    <w:rsid w:val="00066D0C"/>
    <w:rsid w:val="000673A2"/>
    <w:rsid w:val="00067C55"/>
    <w:rsid w:val="00071EE5"/>
    <w:rsid w:val="000746C9"/>
    <w:rsid w:val="00077B85"/>
    <w:rsid w:val="00092A61"/>
    <w:rsid w:val="00095663"/>
    <w:rsid w:val="00097E94"/>
    <w:rsid w:val="000A0A91"/>
    <w:rsid w:val="000A203B"/>
    <w:rsid w:val="000A2EB1"/>
    <w:rsid w:val="000A494D"/>
    <w:rsid w:val="000A5063"/>
    <w:rsid w:val="000B0C5D"/>
    <w:rsid w:val="000B2D2A"/>
    <w:rsid w:val="000B3FBA"/>
    <w:rsid w:val="000B4043"/>
    <w:rsid w:val="000D2F82"/>
    <w:rsid w:val="000E3A82"/>
    <w:rsid w:val="000F0FA3"/>
    <w:rsid w:val="00106275"/>
    <w:rsid w:val="001070BB"/>
    <w:rsid w:val="00120056"/>
    <w:rsid w:val="00127947"/>
    <w:rsid w:val="001356E4"/>
    <w:rsid w:val="00143D1D"/>
    <w:rsid w:val="00144A83"/>
    <w:rsid w:val="00146E65"/>
    <w:rsid w:val="0014711F"/>
    <w:rsid w:val="00150D2A"/>
    <w:rsid w:val="001536DC"/>
    <w:rsid w:val="00161648"/>
    <w:rsid w:val="00175F01"/>
    <w:rsid w:val="001774D9"/>
    <w:rsid w:val="00181A0F"/>
    <w:rsid w:val="001845A4"/>
    <w:rsid w:val="001944F4"/>
    <w:rsid w:val="00197967"/>
    <w:rsid w:val="001A3BA0"/>
    <w:rsid w:val="001B5210"/>
    <w:rsid w:val="001D4404"/>
    <w:rsid w:val="001E141F"/>
    <w:rsid w:val="001E6611"/>
    <w:rsid w:val="001E796B"/>
    <w:rsid w:val="001F10B2"/>
    <w:rsid w:val="001F48F4"/>
    <w:rsid w:val="00204D57"/>
    <w:rsid w:val="00205ECA"/>
    <w:rsid w:val="002118CE"/>
    <w:rsid w:val="002149E4"/>
    <w:rsid w:val="00234AB9"/>
    <w:rsid w:val="00235ADB"/>
    <w:rsid w:val="00240533"/>
    <w:rsid w:val="002444D8"/>
    <w:rsid w:val="00245E9F"/>
    <w:rsid w:val="002470A8"/>
    <w:rsid w:val="00250507"/>
    <w:rsid w:val="00253172"/>
    <w:rsid w:val="00255D44"/>
    <w:rsid w:val="00263CAD"/>
    <w:rsid w:val="0027041A"/>
    <w:rsid w:val="002731C2"/>
    <w:rsid w:val="002742A6"/>
    <w:rsid w:val="00281F0D"/>
    <w:rsid w:val="00294484"/>
    <w:rsid w:val="0029461A"/>
    <w:rsid w:val="0029595F"/>
    <w:rsid w:val="00297101"/>
    <w:rsid w:val="002A4827"/>
    <w:rsid w:val="002B52D4"/>
    <w:rsid w:val="002B5E43"/>
    <w:rsid w:val="002B613E"/>
    <w:rsid w:val="002C5252"/>
    <w:rsid w:val="002E5D95"/>
    <w:rsid w:val="002E7723"/>
    <w:rsid w:val="002E77FC"/>
    <w:rsid w:val="002F6FAA"/>
    <w:rsid w:val="00306330"/>
    <w:rsid w:val="00307582"/>
    <w:rsid w:val="00307671"/>
    <w:rsid w:val="00315C7E"/>
    <w:rsid w:val="0032573B"/>
    <w:rsid w:val="00325964"/>
    <w:rsid w:val="00335BDF"/>
    <w:rsid w:val="003411D5"/>
    <w:rsid w:val="0034329B"/>
    <w:rsid w:val="0035352F"/>
    <w:rsid w:val="00357A3C"/>
    <w:rsid w:val="003643AA"/>
    <w:rsid w:val="00365BAB"/>
    <w:rsid w:val="003670B0"/>
    <w:rsid w:val="00372BF7"/>
    <w:rsid w:val="00373AB1"/>
    <w:rsid w:val="0038034D"/>
    <w:rsid w:val="00380D1A"/>
    <w:rsid w:val="003873DE"/>
    <w:rsid w:val="00387D8A"/>
    <w:rsid w:val="0039067B"/>
    <w:rsid w:val="003906B7"/>
    <w:rsid w:val="003971E2"/>
    <w:rsid w:val="003A708F"/>
    <w:rsid w:val="003B4161"/>
    <w:rsid w:val="003C3361"/>
    <w:rsid w:val="003C6D69"/>
    <w:rsid w:val="003E170F"/>
    <w:rsid w:val="00404336"/>
    <w:rsid w:val="004043A2"/>
    <w:rsid w:val="004055D7"/>
    <w:rsid w:val="00406F3D"/>
    <w:rsid w:val="00407A19"/>
    <w:rsid w:val="00407BFC"/>
    <w:rsid w:val="00407FBB"/>
    <w:rsid w:val="00413A82"/>
    <w:rsid w:val="00426C71"/>
    <w:rsid w:val="00432868"/>
    <w:rsid w:val="004468A5"/>
    <w:rsid w:val="00450361"/>
    <w:rsid w:val="004541EB"/>
    <w:rsid w:val="00457ECB"/>
    <w:rsid w:val="00470C55"/>
    <w:rsid w:val="004811FE"/>
    <w:rsid w:val="00482AC0"/>
    <w:rsid w:val="0048309B"/>
    <w:rsid w:val="00484FC0"/>
    <w:rsid w:val="004908CB"/>
    <w:rsid w:val="004954A1"/>
    <w:rsid w:val="004C032B"/>
    <w:rsid w:val="004C26CB"/>
    <w:rsid w:val="004D13BE"/>
    <w:rsid w:val="004D7D45"/>
    <w:rsid w:val="004E211D"/>
    <w:rsid w:val="004E23AF"/>
    <w:rsid w:val="004E41A9"/>
    <w:rsid w:val="004F29A2"/>
    <w:rsid w:val="004F3663"/>
    <w:rsid w:val="00502F83"/>
    <w:rsid w:val="005072FE"/>
    <w:rsid w:val="00512FB1"/>
    <w:rsid w:val="00523CCC"/>
    <w:rsid w:val="0053344B"/>
    <w:rsid w:val="00540D55"/>
    <w:rsid w:val="00541E2F"/>
    <w:rsid w:val="00546BC5"/>
    <w:rsid w:val="00555842"/>
    <w:rsid w:val="0055701E"/>
    <w:rsid w:val="00557517"/>
    <w:rsid w:val="005628FD"/>
    <w:rsid w:val="00562DC6"/>
    <w:rsid w:val="00563CA4"/>
    <w:rsid w:val="00564733"/>
    <w:rsid w:val="00565CB6"/>
    <w:rsid w:val="005729AA"/>
    <w:rsid w:val="00576899"/>
    <w:rsid w:val="00576B94"/>
    <w:rsid w:val="0058531E"/>
    <w:rsid w:val="00585A36"/>
    <w:rsid w:val="005868B0"/>
    <w:rsid w:val="005A3A42"/>
    <w:rsid w:val="005C3A80"/>
    <w:rsid w:val="005C7E62"/>
    <w:rsid w:val="005D3718"/>
    <w:rsid w:val="005D4F3B"/>
    <w:rsid w:val="005E3461"/>
    <w:rsid w:val="005F1B2D"/>
    <w:rsid w:val="005F2FD0"/>
    <w:rsid w:val="005F5EEF"/>
    <w:rsid w:val="006135E1"/>
    <w:rsid w:val="00613661"/>
    <w:rsid w:val="00615AB0"/>
    <w:rsid w:val="00615B34"/>
    <w:rsid w:val="00620BCC"/>
    <w:rsid w:val="00634DEA"/>
    <w:rsid w:val="00636D8D"/>
    <w:rsid w:val="006525CC"/>
    <w:rsid w:val="00654681"/>
    <w:rsid w:val="00661420"/>
    <w:rsid w:val="00670D0B"/>
    <w:rsid w:val="00675C1F"/>
    <w:rsid w:val="00683091"/>
    <w:rsid w:val="006A574B"/>
    <w:rsid w:val="006A58A1"/>
    <w:rsid w:val="006A6FE5"/>
    <w:rsid w:val="006B3565"/>
    <w:rsid w:val="006B4484"/>
    <w:rsid w:val="006C0C76"/>
    <w:rsid w:val="006C7F3C"/>
    <w:rsid w:val="006D0BF0"/>
    <w:rsid w:val="006D1E45"/>
    <w:rsid w:val="006E4B72"/>
    <w:rsid w:val="006F47DD"/>
    <w:rsid w:val="00704581"/>
    <w:rsid w:val="00705BF2"/>
    <w:rsid w:val="007068F9"/>
    <w:rsid w:val="00706E8B"/>
    <w:rsid w:val="00715811"/>
    <w:rsid w:val="00715C1A"/>
    <w:rsid w:val="00725B4B"/>
    <w:rsid w:val="00726F7B"/>
    <w:rsid w:val="00731A07"/>
    <w:rsid w:val="00736BE6"/>
    <w:rsid w:val="007409BA"/>
    <w:rsid w:val="00742623"/>
    <w:rsid w:val="00742891"/>
    <w:rsid w:val="007439A7"/>
    <w:rsid w:val="00750432"/>
    <w:rsid w:val="00753DF0"/>
    <w:rsid w:val="007547D9"/>
    <w:rsid w:val="00761A54"/>
    <w:rsid w:val="00773B90"/>
    <w:rsid w:val="00777743"/>
    <w:rsid w:val="00782F49"/>
    <w:rsid w:val="007946CA"/>
    <w:rsid w:val="007C72F4"/>
    <w:rsid w:val="007D63B5"/>
    <w:rsid w:val="007E16ED"/>
    <w:rsid w:val="007E4F45"/>
    <w:rsid w:val="007F0FE9"/>
    <w:rsid w:val="00803244"/>
    <w:rsid w:val="00810FEE"/>
    <w:rsid w:val="00817174"/>
    <w:rsid w:val="008172F7"/>
    <w:rsid w:val="00834BF2"/>
    <w:rsid w:val="00834D05"/>
    <w:rsid w:val="008360F1"/>
    <w:rsid w:val="008525D0"/>
    <w:rsid w:val="00852D30"/>
    <w:rsid w:val="00853FBC"/>
    <w:rsid w:val="008566EF"/>
    <w:rsid w:val="0085696D"/>
    <w:rsid w:val="008603AB"/>
    <w:rsid w:val="0086321D"/>
    <w:rsid w:val="00864AE6"/>
    <w:rsid w:val="0086605A"/>
    <w:rsid w:val="008859BB"/>
    <w:rsid w:val="00890DCA"/>
    <w:rsid w:val="0089157C"/>
    <w:rsid w:val="00895B89"/>
    <w:rsid w:val="008966FE"/>
    <w:rsid w:val="008B42C1"/>
    <w:rsid w:val="008B67B5"/>
    <w:rsid w:val="008B7463"/>
    <w:rsid w:val="008C6800"/>
    <w:rsid w:val="008D3251"/>
    <w:rsid w:val="008F3A2F"/>
    <w:rsid w:val="00905990"/>
    <w:rsid w:val="00921CF5"/>
    <w:rsid w:val="00923D57"/>
    <w:rsid w:val="0092485E"/>
    <w:rsid w:val="009349F0"/>
    <w:rsid w:val="00941195"/>
    <w:rsid w:val="00942C0B"/>
    <w:rsid w:val="0094518A"/>
    <w:rsid w:val="00946D3F"/>
    <w:rsid w:val="00953A8A"/>
    <w:rsid w:val="00956146"/>
    <w:rsid w:val="00962185"/>
    <w:rsid w:val="0097224E"/>
    <w:rsid w:val="009756AC"/>
    <w:rsid w:val="00975F86"/>
    <w:rsid w:val="00976BC5"/>
    <w:rsid w:val="00983818"/>
    <w:rsid w:val="00987BEC"/>
    <w:rsid w:val="00990786"/>
    <w:rsid w:val="00994973"/>
    <w:rsid w:val="009B08DB"/>
    <w:rsid w:val="009B2D78"/>
    <w:rsid w:val="009B4639"/>
    <w:rsid w:val="009C4A99"/>
    <w:rsid w:val="009C5F30"/>
    <w:rsid w:val="009D0E22"/>
    <w:rsid w:val="009D2A00"/>
    <w:rsid w:val="009E1BE0"/>
    <w:rsid w:val="009E4B9C"/>
    <w:rsid w:val="009E5688"/>
    <w:rsid w:val="009F032B"/>
    <w:rsid w:val="009F6B5F"/>
    <w:rsid w:val="00A01FD3"/>
    <w:rsid w:val="00A11B43"/>
    <w:rsid w:val="00A11F70"/>
    <w:rsid w:val="00A12C69"/>
    <w:rsid w:val="00A205B0"/>
    <w:rsid w:val="00A2456F"/>
    <w:rsid w:val="00A368B3"/>
    <w:rsid w:val="00A4058B"/>
    <w:rsid w:val="00A41D8A"/>
    <w:rsid w:val="00A450E7"/>
    <w:rsid w:val="00A4770F"/>
    <w:rsid w:val="00A555C3"/>
    <w:rsid w:val="00A61B5C"/>
    <w:rsid w:val="00A7007F"/>
    <w:rsid w:val="00A83473"/>
    <w:rsid w:val="00A84D8C"/>
    <w:rsid w:val="00A850CE"/>
    <w:rsid w:val="00AA159C"/>
    <w:rsid w:val="00AA20F0"/>
    <w:rsid w:val="00AA237E"/>
    <w:rsid w:val="00AA50DE"/>
    <w:rsid w:val="00AB37EA"/>
    <w:rsid w:val="00AB5701"/>
    <w:rsid w:val="00AC2859"/>
    <w:rsid w:val="00AD087D"/>
    <w:rsid w:val="00AD256D"/>
    <w:rsid w:val="00AD38E1"/>
    <w:rsid w:val="00AE31CE"/>
    <w:rsid w:val="00AF0687"/>
    <w:rsid w:val="00AF6AC5"/>
    <w:rsid w:val="00AF7622"/>
    <w:rsid w:val="00B0399D"/>
    <w:rsid w:val="00B2503B"/>
    <w:rsid w:val="00B325A5"/>
    <w:rsid w:val="00B35607"/>
    <w:rsid w:val="00B36EBF"/>
    <w:rsid w:val="00B4214F"/>
    <w:rsid w:val="00B450B7"/>
    <w:rsid w:val="00B477B0"/>
    <w:rsid w:val="00B50166"/>
    <w:rsid w:val="00B504CE"/>
    <w:rsid w:val="00B52573"/>
    <w:rsid w:val="00B538BA"/>
    <w:rsid w:val="00B561C8"/>
    <w:rsid w:val="00B603F0"/>
    <w:rsid w:val="00B62DD7"/>
    <w:rsid w:val="00B74082"/>
    <w:rsid w:val="00B776D1"/>
    <w:rsid w:val="00B77EFF"/>
    <w:rsid w:val="00B83111"/>
    <w:rsid w:val="00B964C5"/>
    <w:rsid w:val="00BA16AB"/>
    <w:rsid w:val="00BA1707"/>
    <w:rsid w:val="00BB04F6"/>
    <w:rsid w:val="00BB072D"/>
    <w:rsid w:val="00BB5623"/>
    <w:rsid w:val="00BC1B92"/>
    <w:rsid w:val="00BC6D4A"/>
    <w:rsid w:val="00BC6E21"/>
    <w:rsid w:val="00BD19CB"/>
    <w:rsid w:val="00BD1DCB"/>
    <w:rsid w:val="00BD263A"/>
    <w:rsid w:val="00BD328A"/>
    <w:rsid w:val="00BE7725"/>
    <w:rsid w:val="00BF4632"/>
    <w:rsid w:val="00BF50FE"/>
    <w:rsid w:val="00C01545"/>
    <w:rsid w:val="00C02871"/>
    <w:rsid w:val="00C067D9"/>
    <w:rsid w:val="00C074FE"/>
    <w:rsid w:val="00C126BA"/>
    <w:rsid w:val="00C15F5D"/>
    <w:rsid w:val="00C16FCB"/>
    <w:rsid w:val="00C17F8B"/>
    <w:rsid w:val="00C27A85"/>
    <w:rsid w:val="00C518D2"/>
    <w:rsid w:val="00C54A17"/>
    <w:rsid w:val="00C64063"/>
    <w:rsid w:val="00C641C2"/>
    <w:rsid w:val="00C677BB"/>
    <w:rsid w:val="00C70C78"/>
    <w:rsid w:val="00C71E0F"/>
    <w:rsid w:val="00C72879"/>
    <w:rsid w:val="00C73BA5"/>
    <w:rsid w:val="00C77C4C"/>
    <w:rsid w:val="00C8093A"/>
    <w:rsid w:val="00C82E16"/>
    <w:rsid w:val="00C96256"/>
    <w:rsid w:val="00CB78CF"/>
    <w:rsid w:val="00CC5B06"/>
    <w:rsid w:val="00CF4E26"/>
    <w:rsid w:val="00CF7A22"/>
    <w:rsid w:val="00CF7C45"/>
    <w:rsid w:val="00D050BC"/>
    <w:rsid w:val="00D12AEA"/>
    <w:rsid w:val="00D16E8D"/>
    <w:rsid w:val="00D20D16"/>
    <w:rsid w:val="00D3458F"/>
    <w:rsid w:val="00D37813"/>
    <w:rsid w:val="00D4056E"/>
    <w:rsid w:val="00D41AC5"/>
    <w:rsid w:val="00D45623"/>
    <w:rsid w:val="00D45B1F"/>
    <w:rsid w:val="00D46992"/>
    <w:rsid w:val="00D840CD"/>
    <w:rsid w:val="00DB2ADA"/>
    <w:rsid w:val="00DB5DBA"/>
    <w:rsid w:val="00DD3C02"/>
    <w:rsid w:val="00DD70EA"/>
    <w:rsid w:val="00DE7EA4"/>
    <w:rsid w:val="00DF0C16"/>
    <w:rsid w:val="00DF1355"/>
    <w:rsid w:val="00DF39D0"/>
    <w:rsid w:val="00DF3CD1"/>
    <w:rsid w:val="00E04463"/>
    <w:rsid w:val="00E0494C"/>
    <w:rsid w:val="00E0533C"/>
    <w:rsid w:val="00E106A5"/>
    <w:rsid w:val="00E16032"/>
    <w:rsid w:val="00E2114D"/>
    <w:rsid w:val="00E33644"/>
    <w:rsid w:val="00E46AB9"/>
    <w:rsid w:val="00E55B98"/>
    <w:rsid w:val="00E624B5"/>
    <w:rsid w:val="00E73B00"/>
    <w:rsid w:val="00E76537"/>
    <w:rsid w:val="00E779BD"/>
    <w:rsid w:val="00E90951"/>
    <w:rsid w:val="00E9777C"/>
    <w:rsid w:val="00EA0807"/>
    <w:rsid w:val="00EA7D2D"/>
    <w:rsid w:val="00EB0EDC"/>
    <w:rsid w:val="00EC568A"/>
    <w:rsid w:val="00ED4286"/>
    <w:rsid w:val="00EE6940"/>
    <w:rsid w:val="00EF1972"/>
    <w:rsid w:val="00F052B5"/>
    <w:rsid w:val="00F075F1"/>
    <w:rsid w:val="00F15174"/>
    <w:rsid w:val="00F30B9F"/>
    <w:rsid w:val="00F3705D"/>
    <w:rsid w:val="00F425E6"/>
    <w:rsid w:val="00F50157"/>
    <w:rsid w:val="00F50DFC"/>
    <w:rsid w:val="00F52F41"/>
    <w:rsid w:val="00F5493F"/>
    <w:rsid w:val="00F578FD"/>
    <w:rsid w:val="00F71588"/>
    <w:rsid w:val="00F74A49"/>
    <w:rsid w:val="00F803E8"/>
    <w:rsid w:val="00F80A54"/>
    <w:rsid w:val="00F8747C"/>
    <w:rsid w:val="00F9023E"/>
    <w:rsid w:val="00F959E0"/>
    <w:rsid w:val="00FA32E2"/>
    <w:rsid w:val="00FB55C9"/>
    <w:rsid w:val="00FB61C3"/>
    <w:rsid w:val="00FB6686"/>
    <w:rsid w:val="00FC52C7"/>
    <w:rsid w:val="00FC756F"/>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rsid w:val="004043A2"/>
  </w:style>
  <w:style w:type="character" w:customStyle="1" w:styleId="FootnoteTextChar">
    <w:name w:val="Footnote Text Char"/>
    <w:basedOn w:val="DefaultParagraphFont"/>
    <w:link w:val="FootnoteText"/>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aliases w:val="Fundamentacion,Bulleted List,SubPárrafo de lista"/>
    <w:basedOn w:val="Normal"/>
    <w:link w:val="ListParagraphChar"/>
    <w:uiPriority w:val="99"/>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aliases w:val="Fundamentacion Char,Bulleted List Char,SubPárrafo de lista Char"/>
    <w:basedOn w:val="DefaultParagraphFont"/>
    <w:link w:val="ListParagraph"/>
    <w:uiPriority w:val="99"/>
    <w:qFormat/>
    <w:locked/>
    <w:rsid w:val="00EE6940"/>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058">
      <w:bodyDiv w:val="1"/>
      <w:marLeft w:val="0"/>
      <w:marRight w:val="0"/>
      <w:marTop w:val="0"/>
      <w:marBottom w:val="0"/>
      <w:divBdr>
        <w:top w:val="none" w:sz="0" w:space="0" w:color="auto"/>
        <w:left w:val="none" w:sz="0" w:space="0" w:color="auto"/>
        <w:bottom w:val="none" w:sz="0" w:space="0" w:color="auto"/>
        <w:right w:val="none" w:sz="0" w:space="0" w:color="auto"/>
      </w:divBdr>
    </w:div>
    <w:div w:id="1569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4.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10175</Characters>
  <Application>Microsoft Office Word</Application>
  <DocSecurity>0</DocSecurity>
  <Lines>226</Lines>
  <Paragraphs>82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PRELIMINARY DRAFT ANNOTATED AGENDA</vt:lpstr>
      <vt:lpstr>NINTH INTER-AMERICAN MEETING OF MINISTERS</vt:lpstr>
      <vt:lpstr>OF CULTURE AND HIGHEST APPROPRIATE AUTHORITIES</vt:lpstr>
      <vt:lpstr>“Technology, Creativity, and Innovation as an Opportunity for the Development an</vt:lpstr>
      <vt:lpstr>/</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3</cp:revision>
  <dcterms:created xsi:type="dcterms:W3CDTF">2022-10-28T22:04:00Z</dcterms:created>
  <dcterms:modified xsi:type="dcterms:W3CDTF">2022-10-28T22:04:00Z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