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00B4" w14:textId="77777777" w:rsidR="00471059" w:rsidRPr="00471059" w:rsidRDefault="00A60EA7" w:rsidP="00471059">
      <w:pPr>
        <w:tabs>
          <w:tab w:val="left" w:pos="7200"/>
        </w:tabs>
        <w:spacing w:after="0" w:line="240" w:lineRule="auto"/>
        <w:ind w:right="-1109"/>
        <w:rPr>
          <w:rFonts w:ascii="Times New Roman" w:hAnsi="Times New Roman"/>
          <w:lang w:val="en-US"/>
        </w:rPr>
      </w:pPr>
      <w:bookmarkStart w:id="0" w:name="_Hlk137746207"/>
      <w:bookmarkStart w:id="1" w:name="_Toc453352513"/>
      <w:bookmarkStart w:id="2" w:name="_Toc453355255"/>
      <w:bookmarkStart w:id="3" w:name="_Toc453852633"/>
      <w:bookmarkStart w:id="4" w:name="_Toc476309201"/>
      <w:r>
        <w:rPr>
          <w:rFonts w:ascii="Times New Roman" w:hAnsi="Times New Roman"/>
          <w:noProof/>
        </w:rPr>
        <w:object w:dxaOrig="1440" w:dyaOrig="1440" w14:anchorId="1AFA0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3.85pt;margin-top:57.6pt;width:320.05pt;height:28.05pt;z-index:-251657728;mso-wrap-edited:f;mso-position-vertical-relative:page" wrapcoords="3572 1580 2041 2634 170 7376 170 11590 2381 19493 5272 20020 11055 20020 17008 20020 21260 12117 21600 4215 18709 2107 9524 1580 3572 1580" o:allowincell="f" fillcolor="window">
            <v:imagedata r:id="rId8" o:title=""/>
            <w10:wrap type="square" anchory="page"/>
          </v:shape>
          <o:OLEObject Type="Embed" ProgID="Word.Picture.8" ShapeID="_x0000_s2051" DrawAspect="Content" ObjectID="_1748370038" r:id="rId9"/>
        </w:object>
      </w:r>
      <w:r w:rsidR="00471059" w:rsidRPr="00471059">
        <w:rPr>
          <w:rFonts w:ascii="Times New Roman" w:hAnsi="Times New Roman"/>
          <w:lang w:val="en-US"/>
        </w:rPr>
        <w:t>FIFTY-THIRD REGULAR SESSION</w:t>
      </w:r>
      <w:r w:rsidR="00471059" w:rsidRPr="00471059">
        <w:rPr>
          <w:rFonts w:ascii="Times New Roman" w:hAnsi="Times New Roman"/>
          <w:lang w:val="en-US"/>
        </w:rPr>
        <w:tab/>
        <w:t>OEA/</w:t>
      </w:r>
      <w:proofErr w:type="spellStart"/>
      <w:r w:rsidR="00471059" w:rsidRPr="00471059">
        <w:rPr>
          <w:rFonts w:ascii="Times New Roman" w:hAnsi="Times New Roman"/>
          <w:lang w:val="en-US"/>
        </w:rPr>
        <w:t>Ser.P</w:t>
      </w:r>
      <w:proofErr w:type="spellEnd"/>
    </w:p>
    <w:p w14:paraId="2CDDAA78" w14:textId="7257F516" w:rsidR="00471059" w:rsidRPr="00471059" w:rsidRDefault="00471059" w:rsidP="00471059">
      <w:pPr>
        <w:tabs>
          <w:tab w:val="left" w:pos="7200"/>
          <w:tab w:val="left" w:pos="7560"/>
        </w:tabs>
        <w:spacing w:after="0" w:line="240" w:lineRule="auto"/>
        <w:ind w:right="-1469"/>
        <w:rPr>
          <w:rFonts w:ascii="Times New Roman" w:hAnsi="Times New Roman"/>
          <w:lang w:val="en-US"/>
        </w:rPr>
      </w:pPr>
      <w:r w:rsidRPr="00471059">
        <w:rPr>
          <w:rFonts w:ascii="Times New Roman" w:hAnsi="Times New Roman"/>
          <w:lang w:val="en-US"/>
        </w:rPr>
        <w:t>June 21 to 23, 2023</w:t>
      </w:r>
      <w:r w:rsidRPr="00471059">
        <w:rPr>
          <w:rFonts w:ascii="Times New Roman" w:hAnsi="Times New Roman"/>
          <w:lang w:val="en-US"/>
        </w:rPr>
        <w:tab/>
        <w:t>AG/doc.58</w:t>
      </w:r>
      <w:r>
        <w:rPr>
          <w:rFonts w:ascii="Times New Roman" w:hAnsi="Times New Roman"/>
          <w:lang w:val="en-US"/>
        </w:rPr>
        <w:t>09</w:t>
      </w:r>
      <w:r w:rsidRPr="00471059">
        <w:rPr>
          <w:rFonts w:ascii="Times New Roman" w:hAnsi="Times New Roman"/>
          <w:lang w:val="en-US"/>
        </w:rPr>
        <w:t>/23</w:t>
      </w:r>
    </w:p>
    <w:p w14:paraId="4EE19675" w14:textId="77777777" w:rsidR="00471059" w:rsidRPr="00471059" w:rsidRDefault="00471059" w:rsidP="00471059">
      <w:pPr>
        <w:tabs>
          <w:tab w:val="left" w:pos="7200"/>
          <w:tab w:val="left" w:pos="7560"/>
        </w:tabs>
        <w:spacing w:after="0" w:line="240" w:lineRule="auto"/>
        <w:ind w:right="-1109"/>
        <w:rPr>
          <w:rFonts w:ascii="Times New Roman" w:hAnsi="Times New Roman"/>
          <w:lang w:val="en-US"/>
        </w:rPr>
      </w:pPr>
      <w:r w:rsidRPr="00471059">
        <w:rPr>
          <w:rFonts w:ascii="Times New Roman" w:hAnsi="Times New Roman"/>
          <w:lang w:val="en-US"/>
        </w:rPr>
        <w:t>Washington, D.C.</w:t>
      </w:r>
      <w:r w:rsidRPr="00471059">
        <w:rPr>
          <w:rFonts w:ascii="Times New Roman" w:hAnsi="Times New Roman"/>
          <w:lang w:val="en-US"/>
        </w:rPr>
        <w:tab/>
        <w:t>15 June 2023</w:t>
      </w:r>
    </w:p>
    <w:p w14:paraId="3F55F0AD" w14:textId="59DFAF73" w:rsidR="00471059" w:rsidRPr="00471059" w:rsidRDefault="00471059" w:rsidP="00471059">
      <w:pPr>
        <w:tabs>
          <w:tab w:val="left" w:pos="7200"/>
          <w:tab w:val="left" w:pos="7560"/>
        </w:tabs>
        <w:spacing w:after="0" w:line="240" w:lineRule="auto"/>
        <w:ind w:right="-1109"/>
        <w:rPr>
          <w:rFonts w:ascii="Times New Roman" w:hAnsi="Times New Roman"/>
          <w:lang w:val="en-US"/>
        </w:rPr>
      </w:pPr>
      <w:r w:rsidRPr="00471059">
        <w:rPr>
          <w:rFonts w:ascii="Times New Roman" w:hAnsi="Times New Roman"/>
          <w:lang w:val="en-US"/>
        </w:rPr>
        <w:tab/>
        <w:t>Original: Spanish</w:t>
      </w:r>
      <w:r w:rsidRPr="007739D6">
        <w:rPr>
          <w:rFonts w:ascii="Times New Roman" w:hAnsi="Times New Roman"/>
          <w:lang w:val="en-US"/>
        </w:rPr>
        <w:t>/English</w:t>
      </w:r>
    </w:p>
    <w:p w14:paraId="5EFF0572" w14:textId="77777777" w:rsidR="00471059" w:rsidRPr="00471059" w:rsidRDefault="00471059" w:rsidP="00471059">
      <w:pPr>
        <w:tabs>
          <w:tab w:val="left" w:pos="7200"/>
        </w:tabs>
        <w:spacing w:after="0" w:line="240" w:lineRule="auto"/>
        <w:rPr>
          <w:rFonts w:ascii="Times New Roman" w:hAnsi="Times New Roman"/>
          <w:lang w:val="en-US"/>
        </w:rPr>
      </w:pPr>
    </w:p>
    <w:p w14:paraId="7880D621" w14:textId="5BF60ED5" w:rsidR="00471059" w:rsidRPr="00471059" w:rsidRDefault="00471059" w:rsidP="00471059">
      <w:pPr>
        <w:tabs>
          <w:tab w:val="left" w:pos="7200"/>
        </w:tabs>
        <w:spacing w:after="0" w:line="240" w:lineRule="auto"/>
        <w:ind w:right="-659" w:firstLine="7200"/>
        <w:rPr>
          <w:rFonts w:ascii="Times New Roman" w:hAnsi="Times New Roman"/>
          <w:u w:val="single"/>
          <w:lang w:val="en-US"/>
        </w:rPr>
      </w:pPr>
      <w:r w:rsidRPr="00471059">
        <w:rPr>
          <w:rFonts w:ascii="Times New Roman" w:hAnsi="Times New Roman"/>
          <w:u w:val="single"/>
          <w:lang w:val="en-US"/>
        </w:rPr>
        <w:t>Item 14 on the agenda</w:t>
      </w:r>
    </w:p>
    <w:bookmarkEnd w:id="0"/>
    <w:p w14:paraId="28CAB481" w14:textId="77777777" w:rsidR="00C71871" w:rsidRPr="00AE5712" w:rsidRDefault="00C71871" w:rsidP="007739D6">
      <w:pPr>
        <w:widowControl w:val="0"/>
        <w:tabs>
          <w:tab w:val="left" w:pos="720"/>
        </w:tabs>
        <w:snapToGrid w:val="0"/>
        <w:spacing w:after="0" w:line="240" w:lineRule="auto"/>
        <w:ind w:right="61"/>
        <w:jc w:val="center"/>
        <w:rPr>
          <w:rFonts w:ascii="Times New Roman" w:eastAsia="Times New Roman" w:hAnsi="Times New Roman"/>
          <w:bCs/>
          <w:snapToGrid w:val="0"/>
          <w:lang w:val="en-US"/>
        </w:rPr>
      </w:pPr>
    </w:p>
    <w:p w14:paraId="7F8FD975" w14:textId="77777777" w:rsidR="008C2FD1" w:rsidRDefault="008C2FD1" w:rsidP="007739D6">
      <w:pPr>
        <w:tabs>
          <w:tab w:val="left" w:pos="5110"/>
        </w:tabs>
        <w:spacing w:after="0" w:line="240" w:lineRule="auto"/>
        <w:rPr>
          <w:rFonts w:ascii="Times New Roman" w:hAnsi="Times New Roman"/>
          <w:lang w:val="en-US"/>
        </w:rPr>
      </w:pPr>
      <w:bookmarkStart w:id="5" w:name="_Toc56187502"/>
      <w:bookmarkEnd w:id="1"/>
      <w:bookmarkEnd w:id="2"/>
      <w:bookmarkEnd w:id="3"/>
      <w:bookmarkEnd w:id="4"/>
    </w:p>
    <w:bookmarkEnd w:id="5"/>
    <w:p w14:paraId="6259F6BA" w14:textId="77777777" w:rsidR="007739D6" w:rsidRPr="00B940A2" w:rsidRDefault="007739D6" w:rsidP="007739D6">
      <w:pPr>
        <w:pStyle w:val="Default"/>
        <w:jc w:val="center"/>
        <w:rPr>
          <w:rFonts w:eastAsia="Arial Unicode MS"/>
          <w:color w:val="auto"/>
          <w:sz w:val="22"/>
          <w:szCs w:val="22"/>
          <w:lang w:val="en-US"/>
        </w:rPr>
      </w:pPr>
      <w:r w:rsidRPr="00B940A2">
        <w:rPr>
          <w:rFonts w:eastAsia="Arial Unicode MS"/>
          <w:color w:val="auto"/>
          <w:sz w:val="22"/>
          <w:szCs w:val="22"/>
          <w:lang w:val="en-US"/>
        </w:rPr>
        <w:t xml:space="preserve">DRAFT RESOLUTION </w:t>
      </w:r>
    </w:p>
    <w:p w14:paraId="305B2B91" w14:textId="77777777" w:rsidR="007739D6" w:rsidRPr="00B940A2" w:rsidRDefault="007739D6" w:rsidP="007739D6">
      <w:pPr>
        <w:pStyle w:val="Default"/>
        <w:jc w:val="center"/>
        <w:rPr>
          <w:rFonts w:eastAsia="Arial Unicode MS"/>
          <w:color w:val="auto"/>
          <w:sz w:val="22"/>
          <w:szCs w:val="22"/>
          <w:lang w:val="en-US"/>
        </w:rPr>
      </w:pPr>
    </w:p>
    <w:p w14:paraId="34A32607" w14:textId="77777777" w:rsidR="007739D6" w:rsidRPr="00B940A2" w:rsidRDefault="007739D6" w:rsidP="007739D6">
      <w:pPr>
        <w:pStyle w:val="Default"/>
        <w:jc w:val="center"/>
        <w:rPr>
          <w:rFonts w:eastAsia="Arial Unicode MS"/>
          <w:color w:val="auto"/>
          <w:sz w:val="22"/>
          <w:szCs w:val="22"/>
          <w:lang w:val="en-US"/>
        </w:rPr>
      </w:pPr>
      <w:r w:rsidRPr="00B940A2">
        <w:rPr>
          <w:rFonts w:eastAsia="Arial Unicode MS"/>
          <w:color w:val="auto"/>
          <w:sz w:val="22"/>
          <w:szCs w:val="22"/>
          <w:lang w:val="en-US"/>
        </w:rPr>
        <w:t>INTERNATIONAL LAW</w:t>
      </w:r>
    </w:p>
    <w:p w14:paraId="71F6B7E7" w14:textId="77777777" w:rsidR="007739D6" w:rsidRPr="00B940A2" w:rsidRDefault="007739D6" w:rsidP="007739D6">
      <w:pPr>
        <w:pStyle w:val="Default"/>
        <w:jc w:val="center"/>
        <w:rPr>
          <w:rFonts w:eastAsia="Arial Unicode MS"/>
          <w:color w:val="auto"/>
          <w:sz w:val="22"/>
          <w:szCs w:val="22"/>
          <w:lang w:val="en-US"/>
        </w:rPr>
      </w:pPr>
    </w:p>
    <w:p w14:paraId="20F9FF33" w14:textId="34450368" w:rsidR="007739D6" w:rsidRPr="00B940A2" w:rsidRDefault="007739D6" w:rsidP="007739D6">
      <w:pPr>
        <w:pStyle w:val="Default"/>
        <w:jc w:val="center"/>
        <w:rPr>
          <w:rFonts w:eastAsia="Arial Unicode MS"/>
          <w:color w:val="auto"/>
          <w:sz w:val="22"/>
          <w:szCs w:val="22"/>
          <w:lang w:val="en-US"/>
        </w:rPr>
      </w:pPr>
      <w:r w:rsidRPr="00B940A2">
        <w:rPr>
          <w:rFonts w:eastAsia="Arial Unicode MS"/>
          <w:color w:val="auto"/>
          <w:sz w:val="22"/>
          <w:szCs w:val="22"/>
          <w:lang w:val="en-US"/>
        </w:rPr>
        <w:t>(</w:t>
      </w:r>
      <w:r w:rsidRPr="007739D6">
        <w:rPr>
          <w:rStyle w:val="normaltextrun"/>
          <w:sz w:val="22"/>
          <w:szCs w:val="22"/>
          <w:bdr w:val="none" w:sz="0" w:space="0" w:color="auto" w:frame="1"/>
          <w:lang w:val="en-US"/>
        </w:rPr>
        <w:t xml:space="preserve">Agreed upon by the Permanent Council at its regular meeting held on June 15, 2023, </w:t>
      </w:r>
      <w:r w:rsidR="00471059">
        <w:rPr>
          <w:rStyle w:val="normaltextrun"/>
          <w:sz w:val="22"/>
          <w:szCs w:val="22"/>
          <w:bdr w:val="none" w:sz="0" w:space="0" w:color="auto" w:frame="1"/>
          <w:lang w:val="en-US"/>
        </w:rPr>
        <w:br/>
      </w:r>
      <w:r w:rsidRPr="007739D6">
        <w:rPr>
          <w:rStyle w:val="normaltextrun"/>
          <w:sz w:val="22"/>
          <w:szCs w:val="22"/>
          <w:bdr w:val="none" w:sz="0" w:space="0" w:color="auto" w:frame="1"/>
          <w:lang w:val="en-US"/>
        </w:rPr>
        <w:t>and referred to the Plenary of the General Assembly for consideration</w:t>
      </w:r>
      <w:r w:rsidRPr="00B940A2">
        <w:rPr>
          <w:rFonts w:eastAsia="Arial Unicode MS"/>
          <w:color w:val="auto"/>
          <w:sz w:val="22"/>
          <w:szCs w:val="22"/>
          <w:lang w:val="en-US"/>
        </w:rPr>
        <w:t>)</w:t>
      </w:r>
      <w:r w:rsidRPr="00B940A2" w:rsidDel="00403486">
        <w:rPr>
          <w:rStyle w:val="FootnoteReference"/>
          <w:rFonts w:eastAsia="Arial Unicode MS"/>
          <w:sz w:val="22"/>
          <w:szCs w:val="22"/>
          <w:u w:val="single"/>
          <w:vertAlign w:val="superscript"/>
          <w:lang w:val="en-US"/>
        </w:rPr>
        <w:t xml:space="preserve"> </w:t>
      </w:r>
    </w:p>
    <w:p w14:paraId="0840BCE2" w14:textId="77777777" w:rsidR="00092A78" w:rsidRPr="00B940A2" w:rsidRDefault="00092A78" w:rsidP="007739D6">
      <w:pPr>
        <w:spacing w:after="0" w:line="240" w:lineRule="auto"/>
        <w:jc w:val="both"/>
        <w:rPr>
          <w:rFonts w:ascii="Times New Roman" w:eastAsia="Times New Roman" w:hAnsi="Times New Roman"/>
          <w:lang w:val="en-US"/>
        </w:rPr>
      </w:pPr>
    </w:p>
    <w:p w14:paraId="369AEBE4" w14:textId="77777777" w:rsidR="00092A78" w:rsidRPr="00B940A2" w:rsidRDefault="00092A78" w:rsidP="007739D6">
      <w:pPr>
        <w:spacing w:after="0" w:line="240" w:lineRule="auto"/>
        <w:jc w:val="both"/>
        <w:rPr>
          <w:rFonts w:ascii="Times New Roman" w:hAnsi="Times New Roman"/>
          <w:bCs/>
          <w:lang w:val="en-US"/>
        </w:rPr>
      </w:pPr>
    </w:p>
    <w:p w14:paraId="70584FBC" w14:textId="77777777" w:rsidR="00092A78" w:rsidRPr="00B940A2" w:rsidRDefault="00092A78" w:rsidP="007739D6">
      <w:pPr>
        <w:spacing w:after="0" w:line="240" w:lineRule="auto"/>
        <w:jc w:val="both"/>
        <w:rPr>
          <w:rFonts w:ascii="Times New Roman" w:hAnsi="Times New Roman"/>
          <w:bCs/>
          <w:lang w:val="en-US"/>
        </w:rPr>
      </w:pPr>
      <w:r w:rsidRPr="00B940A2">
        <w:rPr>
          <w:rFonts w:ascii="Times New Roman" w:hAnsi="Times New Roman"/>
          <w:lang w:val="en-US"/>
        </w:rPr>
        <w:tab/>
        <w:t>THE GENERAL ASSEMBLY,</w:t>
      </w:r>
    </w:p>
    <w:p w14:paraId="06F7CB33" w14:textId="77777777" w:rsidR="00092A78" w:rsidRPr="00B940A2" w:rsidRDefault="00092A78" w:rsidP="007739D6">
      <w:pPr>
        <w:spacing w:after="0" w:line="240" w:lineRule="auto"/>
        <w:jc w:val="both"/>
        <w:rPr>
          <w:rFonts w:ascii="Times New Roman" w:hAnsi="Times New Roman"/>
          <w:bCs/>
          <w:lang w:val="en-US"/>
        </w:rPr>
      </w:pPr>
    </w:p>
    <w:p w14:paraId="6B3B0638" w14:textId="0C86E7DD" w:rsidR="00092A78" w:rsidRPr="00B940A2" w:rsidRDefault="00092A78" w:rsidP="007739D6">
      <w:pPr>
        <w:spacing w:after="0" w:line="240" w:lineRule="auto"/>
        <w:ind w:firstLine="720"/>
        <w:jc w:val="both"/>
        <w:rPr>
          <w:rFonts w:ascii="Times New Roman" w:eastAsia="Times New Roman" w:hAnsi="Times New Roman"/>
          <w:b/>
          <w:bCs/>
          <w:lang w:val="en-US"/>
        </w:rPr>
      </w:pPr>
      <w:r w:rsidRPr="00B940A2">
        <w:rPr>
          <w:rFonts w:ascii="Times New Roman" w:eastAsia="Times New Roman" w:hAnsi="Times New Roman"/>
          <w:lang w:val="en-US"/>
        </w:rPr>
        <w:t>RECALLING resolution AG/RES. 2990 (LII-O/22) adopted on October 7, 2022 and all previous resolutions adopted on this subject; and</w:t>
      </w:r>
      <w:r w:rsidR="006405A5" w:rsidRPr="00B940A2">
        <w:rPr>
          <w:rFonts w:ascii="Times New Roman" w:eastAsia="Times New Roman" w:hAnsi="Times New Roman"/>
          <w:lang w:val="en-US"/>
        </w:rPr>
        <w:t xml:space="preserve"> </w:t>
      </w:r>
    </w:p>
    <w:p w14:paraId="526A7001" w14:textId="77777777" w:rsidR="00092A78" w:rsidRPr="00B940A2" w:rsidRDefault="00092A78" w:rsidP="007739D6">
      <w:pPr>
        <w:spacing w:after="0" w:line="240" w:lineRule="auto"/>
        <w:jc w:val="both"/>
        <w:rPr>
          <w:rFonts w:ascii="Times New Roman" w:hAnsi="Times New Roman"/>
          <w:bCs/>
          <w:lang w:val="en-US"/>
        </w:rPr>
      </w:pPr>
    </w:p>
    <w:p w14:paraId="5857B24D" w14:textId="4F33DD67" w:rsidR="00092A78" w:rsidRPr="00B940A2" w:rsidRDefault="00092A78" w:rsidP="007739D6">
      <w:pPr>
        <w:spacing w:after="0" w:line="240" w:lineRule="auto"/>
        <w:jc w:val="both"/>
        <w:rPr>
          <w:rFonts w:ascii="Times New Roman" w:eastAsia="Times New Roman" w:hAnsi="Times New Roman"/>
          <w:bCs/>
          <w:lang w:val="en-US"/>
        </w:rPr>
      </w:pPr>
      <w:r w:rsidRPr="00B940A2">
        <w:rPr>
          <w:rFonts w:ascii="Times New Roman" w:hAnsi="Times New Roman"/>
          <w:lang w:val="en-US"/>
        </w:rPr>
        <w:tab/>
        <w:t xml:space="preserve">HAVING SEEN the </w:t>
      </w:r>
      <w:r w:rsidR="0018655B" w:rsidRPr="00B940A2">
        <w:rPr>
          <w:rFonts w:ascii="Times New Roman" w:hAnsi="Times New Roman"/>
          <w:lang w:val="en-US"/>
        </w:rPr>
        <w:t>“</w:t>
      </w:r>
      <w:r w:rsidRPr="00B940A2">
        <w:rPr>
          <w:rFonts w:ascii="Times New Roman" w:hAnsi="Times New Roman"/>
          <w:lang w:val="en-US"/>
        </w:rPr>
        <w:t>Annual Report of the Permanent Council to the General Assembly,</w:t>
      </w:r>
      <w:r w:rsidR="0018655B" w:rsidRPr="00B940A2">
        <w:rPr>
          <w:rFonts w:ascii="Times New Roman" w:hAnsi="Times New Roman"/>
          <w:lang w:val="en-US"/>
        </w:rPr>
        <w:t>”</w:t>
      </w:r>
      <w:r w:rsidRPr="00B940A2">
        <w:rPr>
          <w:rFonts w:ascii="Times New Roman" w:hAnsi="Times New Roman"/>
          <w:lang w:val="en-US"/>
        </w:rPr>
        <w:t xml:space="preserve"> in particular the section on the activities of the Committee on Juridical and Political Affairs (CAJP),</w:t>
      </w:r>
      <w:r w:rsidR="006405A5" w:rsidRPr="00B940A2">
        <w:rPr>
          <w:rFonts w:ascii="Times New Roman" w:hAnsi="Times New Roman"/>
          <w:lang w:val="en-US"/>
        </w:rPr>
        <w:t xml:space="preserve"> </w:t>
      </w:r>
    </w:p>
    <w:p w14:paraId="376008F1" w14:textId="77777777" w:rsidR="00092A78" w:rsidRPr="00B940A2" w:rsidRDefault="00092A78" w:rsidP="007739D6">
      <w:pPr>
        <w:spacing w:after="0" w:line="240" w:lineRule="auto"/>
        <w:jc w:val="both"/>
        <w:rPr>
          <w:rFonts w:ascii="Times New Roman" w:eastAsia="Times New Roman" w:hAnsi="Times New Roman"/>
          <w:lang w:val="en-US"/>
        </w:rPr>
      </w:pPr>
    </w:p>
    <w:p w14:paraId="7A43DEA3" w14:textId="66C6C010" w:rsidR="00092A78" w:rsidRPr="00B940A2" w:rsidRDefault="00092A78" w:rsidP="007739D6">
      <w:pPr>
        <w:spacing w:after="0" w:line="240" w:lineRule="auto"/>
        <w:ind w:right="-29"/>
        <w:jc w:val="both"/>
        <w:rPr>
          <w:rFonts w:ascii="Times New Roman" w:eastAsia="Times New Roman" w:hAnsi="Times New Roman"/>
          <w:lang w:val="en-US"/>
        </w:rPr>
      </w:pPr>
      <w:r w:rsidRPr="00B940A2">
        <w:rPr>
          <w:rFonts w:ascii="Times New Roman" w:eastAsia="Times New Roman" w:hAnsi="Times New Roman"/>
          <w:lang w:val="en-US"/>
        </w:rPr>
        <w:tab/>
        <w:t>CONSIDERING the decision of the member states to hold the fifty-third regular session of the General Assembly of the Organization of American States in Washington, D.C., from June 21 to 23, 2023, with the object of restoring the cycle of holding the General Assembly in the second quarter each year;</w:t>
      </w:r>
      <w:r w:rsidR="006405A5" w:rsidRPr="00B940A2">
        <w:rPr>
          <w:rFonts w:ascii="Times New Roman" w:eastAsia="Times New Roman" w:hAnsi="Times New Roman"/>
          <w:lang w:val="en-US"/>
        </w:rPr>
        <w:t xml:space="preserve"> </w:t>
      </w:r>
    </w:p>
    <w:p w14:paraId="41E7A37C" w14:textId="77777777" w:rsidR="00092A78" w:rsidRPr="00B940A2" w:rsidRDefault="00092A78" w:rsidP="007739D6">
      <w:pPr>
        <w:spacing w:after="0" w:line="240" w:lineRule="auto"/>
        <w:jc w:val="both"/>
        <w:rPr>
          <w:rFonts w:ascii="Times New Roman" w:eastAsia="Times New Roman" w:hAnsi="Times New Roman"/>
          <w:lang w:val="en-US"/>
        </w:rPr>
      </w:pPr>
    </w:p>
    <w:p w14:paraId="6E779686" w14:textId="77777777" w:rsidR="00092A78" w:rsidRPr="00B940A2" w:rsidRDefault="00092A78" w:rsidP="007739D6">
      <w:pPr>
        <w:spacing w:after="0" w:line="240" w:lineRule="auto"/>
        <w:jc w:val="both"/>
        <w:rPr>
          <w:rFonts w:ascii="Times New Roman" w:eastAsia="Times New Roman" w:hAnsi="Times New Roman"/>
          <w:bCs/>
        </w:rPr>
      </w:pPr>
      <w:r w:rsidRPr="00B940A2">
        <w:rPr>
          <w:rFonts w:ascii="Times New Roman" w:eastAsia="Times New Roman" w:hAnsi="Times New Roman"/>
          <w:lang w:val="en-US"/>
        </w:rPr>
        <w:t>RESOLVES:</w:t>
      </w:r>
    </w:p>
    <w:p w14:paraId="03AA633A" w14:textId="77777777" w:rsidR="00557A9C" w:rsidRPr="00B940A2" w:rsidRDefault="00557A9C" w:rsidP="007739D6">
      <w:pPr>
        <w:spacing w:after="0" w:line="240" w:lineRule="auto"/>
        <w:jc w:val="both"/>
        <w:rPr>
          <w:rFonts w:ascii="Times New Roman" w:eastAsia="Times New Roman" w:hAnsi="Times New Roman"/>
          <w:bCs/>
          <w:lang w:val="en-US"/>
        </w:rPr>
      </w:pPr>
    </w:p>
    <w:p w14:paraId="4C389798" w14:textId="51F705C9" w:rsidR="00092A78" w:rsidRPr="00B940A2" w:rsidRDefault="00092A78" w:rsidP="007739D6">
      <w:pPr>
        <w:numPr>
          <w:ilvl w:val="0"/>
          <w:numId w:val="5"/>
        </w:numPr>
        <w:spacing w:after="0" w:line="240" w:lineRule="auto"/>
        <w:ind w:left="0" w:firstLine="720"/>
        <w:contextualSpacing/>
        <w:jc w:val="both"/>
        <w:rPr>
          <w:rFonts w:ascii="Times New Roman" w:eastAsia="Times New Roman" w:hAnsi="Times New Roman"/>
          <w:lang w:val="en-US"/>
        </w:rPr>
      </w:pPr>
      <w:r w:rsidRPr="00B940A2">
        <w:rPr>
          <w:rFonts w:ascii="Times New Roman" w:eastAsia="Times New Roman" w:hAnsi="Times New Roman"/>
          <w:lang w:val="en-US"/>
        </w:rPr>
        <w:t>To urge member states and the Permanent Council, through the Committee on Juridical and Political Affairs, to continue contributing to the achievement of the objectives established in the area of international law.</w:t>
      </w:r>
      <w:r w:rsidR="0010053F" w:rsidRPr="00B940A2">
        <w:rPr>
          <w:rFonts w:ascii="Times New Roman" w:eastAsia="Times New Roman" w:hAnsi="Times New Roman"/>
          <w:lang w:val="en-US"/>
        </w:rPr>
        <w:t xml:space="preserve"> </w:t>
      </w:r>
    </w:p>
    <w:p w14:paraId="2E341594" w14:textId="77777777" w:rsidR="00557A9C" w:rsidRPr="00B940A2" w:rsidRDefault="00557A9C" w:rsidP="007739D6">
      <w:pPr>
        <w:spacing w:after="0" w:line="240" w:lineRule="auto"/>
        <w:jc w:val="both"/>
        <w:rPr>
          <w:rFonts w:ascii="Times New Roman" w:eastAsia="Times New Roman" w:hAnsi="Times New Roman"/>
          <w:lang w:val="en-US"/>
        </w:rPr>
      </w:pPr>
    </w:p>
    <w:p w14:paraId="091DE525" w14:textId="33CD67AA" w:rsidR="00092A78" w:rsidRPr="00B940A2" w:rsidRDefault="00092A78" w:rsidP="007739D6">
      <w:pPr>
        <w:numPr>
          <w:ilvl w:val="0"/>
          <w:numId w:val="5"/>
        </w:numPr>
        <w:spacing w:after="0" w:line="240" w:lineRule="auto"/>
        <w:ind w:left="0" w:firstLine="720"/>
        <w:contextualSpacing/>
        <w:jc w:val="both"/>
        <w:rPr>
          <w:rFonts w:ascii="Times New Roman" w:eastAsia="Times New Roman" w:hAnsi="Times New Roman"/>
          <w:lang w:val="en-US"/>
        </w:rPr>
      </w:pPr>
      <w:r w:rsidRPr="00B940A2">
        <w:rPr>
          <w:rFonts w:ascii="Times New Roman" w:eastAsia="Times New Roman" w:hAnsi="Times New Roman"/>
          <w:lang w:val="en-US"/>
        </w:rPr>
        <w:t>To reaffirm as current and consider automatically renewed the General Assembly mandates in the area of international law that could not be implemented prior to the fifty-third regular session of the General Assembly, and to instruct the General Secretariat and the other organs covered by Article 53 of the Charter of the Organization of American States to continue working on their implementation, unless determined otherwise by a specific resolution.</w:t>
      </w:r>
      <w:r w:rsidR="0010053F" w:rsidRPr="00B940A2">
        <w:rPr>
          <w:rFonts w:ascii="Times New Roman" w:eastAsia="Times New Roman" w:hAnsi="Times New Roman"/>
          <w:lang w:val="en-US"/>
        </w:rPr>
        <w:t xml:space="preserve"> </w:t>
      </w:r>
    </w:p>
    <w:p w14:paraId="5AEC626E" w14:textId="77777777" w:rsidR="00092A78" w:rsidRPr="00B940A2" w:rsidRDefault="00092A78" w:rsidP="007739D6">
      <w:pPr>
        <w:spacing w:after="0" w:line="240" w:lineRule="auto"/>
        <w:jc w:val="both"/>
        <w:rPr>
          <w:rFonts w:ascii="Times New Roman" w:hAnsi="Times New Roman"/>
          <w:bCs/>
          <w:lang w:val="en-US"/>
        </w:rPr>
      </w:pPr>
    </w:p>
    <w:p w14:paraId="3988F353" w14:textId="623A0C1C" w:rsidR="00092A78" w:rsidRPr="00B940A2" w:rsidRDefault="00092A78" w:rsidP="007739D6">
      <w:pPr>
        <w:numPr>
          <w:ilvl w:val="0"/>
          <w:numId w:val="5"/>
        </w:numPr>
        <w:spacing w:after="0" w:line="240" w:lineRule="auto"/>
        <w:ind w:left="0" w:firstLine="720"/>
        <w:contextualSpacing/>
        <w:jc w:val="both"/>
        <w:rPr>
          <w:rFonts w:ascii="Times New Roman" w:eastAsia="Times New Roman" w:hAnsi="Times New Roman"/>
          <w:lang w:val="en-US"/>
        </w:rPr>
      </w:pPr>
      <w:r w:rsidRPr="00B940A2">
        <w:rPr>
          <w:rFonts w:ascii="Times New Roman" w:eastAsia="Times New Roman" w:hAnsi="Times New Roman"/>
          <w:lang w:val="en-US"/>
        </w:rPr>
        <w:t>To request the Committee on Juridical and Political Affairs to report, through the Permanent Council, to the General Assembly at its fifty-fourth regular session on the implementation of this resolution.</w:t>
      </w:r>
      <w:r w:rsidR="0010053F" w:rsidRPr="00B940A2">
        <w:rPr>
          <w:rFonts w:ascii="Times New Roman" w:eastAsia="Times New Roman" w:hAnsi="Times New Roman"/>
          <w:lang w:val="en-US"/>
        </w:rPr>
        <w:t xml:space="preserve"> </w:t>
      </w:r>
    </w:p>
    <w:p w14:paraId="0E2EFFFB" w14:textId="77777777" w:rsidR="00D61DA5" w:rsidRPr="00B940A2" w:rsidRDefault="00D61DA5" w:rsidP="007739D6">
      <w:pPr>
        <w:pStyle w:val="ListParagraph"/>
        <w:spacing w:after="0" w:line="240" w:lineRule="auto"/>
        <w:rPr>
          <w:rFonts w:ascii="Times New Roman" w:eastAsia="Times New Roman" w:hAnsi="Times New Roman"/>
          <w:lang w:val="en-US"/>
        </w:rPr>
      </w:pPr>
    </w:p>
    <w:p w14:paraId="62666B4B" w14:textId="77777777" w:rsidR="00D61DA5" w:rsidRPr="00B940A2" w:rsidRDefault="00D61DA5" w:rsidP="007739D6">
      <w:pPr>
        <w:spacing w:after="0" w:line="240" w:lineRule="auto"/>
        <w:contextualSpacing/>
        <w:jc w:val="both"/>
        <w:rPr>
          <w:rFonts w:ascii="Times New Roman" w:eastAsia="Times New Roman" w:hAnsi="Times New Roman"/>
          <w:lang w:val="en-US"/>
        </w:rPr>
      </w:pPr>
    </w:p>
    <w:p w14:paraId="265AF29B" w14:textId="77777777" w:rsidR="00471059" w:rsidRDefault="00471059">
      <w:pPr>
        <w:spacing w:after="0" w:line="240" w:lineRule="auto"/>
        <w:rPr>
          <w:rFonts w:ascii="Times New Roman" w:eastAsia="Times New Roman" w:hAnsi="Times New Roman"/>
          <w:lang w:val="en-US"/>
        </w:rPr>
      </w:pPr>
      <w:r>
        <w:rPr>
          <w:rFonts w:ascii="Times New Roman" w:eastAsia="Times New Roman" w:hAnsi="Times New Roman"/>
          <w:lang w:val="en-US"/>
        </w:rPr>
        <w:br w:type="page"/>
      </w:r>
    </w:p>
    <w:p w14:paraId="45439EB1" w14:textId="7B37CA5B" w:rsidR="00092A78" w:rsidRPr="00B940A2" w:rsidRDefault="00092A78" w:rsidP="007739D6">
      <w:pPr>
        <w:numPr>
          <w:ilvl w:val="0"/>
          <w:numId w:val="16"/>
        </w:numPr>
        <w:spacing w:after="0" w:line="240" w:lineRule="auto"/>
        <w:ind w:left="720"/>
        <w:jc w:val="both"/>
        <w:rPr>
          <w:rFonts w:ascii="Times New Roman" w:eastAsia="Times New Roman" w:hAnsi="Times New Roman"/>
          <w:lang w:val="en-US"/>
        </w:rPr>
      </w:pPr>
      <w:r w:rsidRPr="00B940A2">
        <w:rPr>
          <w:rFonts w:ascii="Times New Roman" w:eastAsia="Times New Roman" w:hAnsi="Times New Roman"/>
          <w:lang w:val="en-US"/>
        </w:rPr>
        <w:lastRenderedPageBreak/>
        <w:t>ACTIVITIES OF THE COMMITTEE ON JURIDICAL AND POLITICAL AFFAIRS</w:t>
      </w:r>
    </w:p>
    <w:p w14:paraId="4E2BCC22" w14:textId="77777777" w:rsidR="00092A78" w:rsidRPr="00B940A2" w:rsidRDefault="00092A78" w:rsidP="007739D6">
      <w:pPr>
        <w:spacing w:after="0" w:line="240" w:lineRule="auto"/>
        <w:jc w:val="both"/>
        <w:rPr>
          <w:rFonts w:ascii="Times New Roman" w:eastAsia="Times New Roman" w:hAnsi="Times New Roman"/>
          <w:lang w:val="en-US"/>
        </w:rPr>
      </w:pPr>
    </w:p>
    <w:p w14:paraId="01431A68" w14:textId="6F4FF1B5" w:rsidR="00092A78" w:rsidRPr="00B940A2" w:rsidRDefault="00092A78" w:rsidP="007739D6">
      <w:pPr>
        <w:numPr>
          <w:ilvl w:val="0"/>
          <w:numId w:val="17"/>
        </w:numPr>
        <w:spacing w:after="0" w:line="240" w:lineRule="auto"/>
        <w:ind w:hanging="720"/>
        <w:contextualSpacing/>
        <w:jc w:val="both"/>
        <w:rPr>
          <w:rFonts w:ascii="Times New Roman" w:hAnsi="Times New Roman"/>
          <w:u w:val="single"/>
          <w:lang w:val="en-US"/>
        </w:rPr>
      </w:pPr>
      <w:r w:rsidRPr="00B940A2">
        <w:rPr>
          <w:rFonts w:ascii="Times New Roman" w:hAnsi="Times New Roman"/>
          <w:u w:val="single"/>
          <w:lang w:val="en-US"/>
        </w:rPr>
        <w:t>Inter-American Program for the Development of International Law</w:t>
      </w:r>
      <w:r w:rsidR="0069542F" w:rsidRPr="00B940A2">
        <w:rPr>
          <w:rFonts w:ascii="Times New Roman" w:hAnsi="Times New Roman"/>
          <w:lang w:val="en-US"/>
        </w:rPr>
        <w:t xml:space="preserve"> </w:t>
      </w:r>
    </w:p>
    <w:p w14:paraId="0658CA65" w14:textId="77777777" w:rsidR="00092A78" w:rsidRPr="00B940A2" w:rsidRDefault="00092A78" w:rsidP="007739D6">
      <w:pPr>
        <w:spacing w:after="0" w:line="240" w:lineRule="auto"/>
        <w:jc w:val="both"/>
        <w:rPr>
          <w:rFonts w:ascii="Times New Roman" w:eastAsia="Times New Roman" w:hAnsi="Times New Roman"/>
          <w:color w:val="000000"/>
          <w:u w:val="single"/>
          <w:lang w:val="en-US"/>
        </w:rPr>
      </w:pPr>
    </w:p>
    <w:p w14:paraId="17594A87" w14:textId="17411483" w:rsidR="00092A78" w:rsidRPr="00B940A2" w:rsidRDefault="00092A78" w:rsidP="007739D6">
      <w:pPr>
        <w:spacing w:after="0" w:line="240" w:lineRule="auto"/>
        <w:jc w:val="both"/>
        <w:rPr>
          <w:rFonts w:ascii="Times New Roman" w:eastAsia="Times New Roman" w:hAnsi="Times New Roman"/>
          <w:color w:val="000000"/>
          <w:lang w:val="en-US"/>
        </w:rPr>
      </w:pPr>
      <w:r w:rsidRPr="00B940A2">
        <w:rPr>
          <w:rFonts w:ascii="Times New Roman" w:eastAsia="Times New Roman" w:hAnsi="Times New Roman"/>
          <w:color w:val="000000"/>
          <w:lang w:val="en-US"/>
        </w:rPr>
        <w:tab/>
        <w:t>TAKING INTO ACCOUNT that artificial intelligence has been thrust headlong into people</w:t>
      </w:r>
      <w:r w:rsidR="0018655B" w:rsidRPr="00B940A2">
        <w:rPr>
          <w:rFonts w:ascii="Times New Roman" w:eastAsia="Times New Roman" w:hAnsi="Times New Roman"/>
          <w:color w:val="000000"/>
          <w:lang w:val="en-US"/>
        </w:rPr>
        <w:t>’</w:t>
      </w:r>
      <w:r w:rsidRPr="00B940A2">
        <w:rPr>
          <w:rFonts w:ascii="Times New Roman" w:eastAsia="Times New Roman" w:hAnsi="Times New Roman"/>
          <w:color w:val="000000"/>
          <w:lang w:val="en-US"/>
        </w:rPr>
        <w:t>s daily lives, generating the concern, as expressed by different social actors, to have in place regulations enabling the benefits and development possibilities of this technology to be leveraged, while mitigating the risks and biases inherent to machine-learning algorithms; and highlighting the importance of international law in developing principles and standards that strengthen the efforts of States to implement regulations of this kind at the domestic level; </w:t>
      </w:r>
    </w:p>
    <w:p w14:paraId="1FB3E673" w14:textId="77777777" w:rsidR="00471059" w:rsidRDefault="00471059" w:rsidP="007739D6">
      <w:pPr>
        <w:keepNext/>
        <w:spacing w:after="0" w:line="240" w:lineRule="auto"/>
        <w:jc w:val="both"/>
        <w:rPr>
          <w:rFonts w:ascii="Times New Roman" w:eastAsia="Times New Roman" w:hAnsi="Times New Roman"/>
          <w:lang w:val="en-US"/>
        </w:rPr>
      </w:pPr>
    </w:p>
    <w:p w14:paraId="538ACB02" w14:textId="0A19ED5E" w:rsidR="00092A78" w:rsidRPr="00B940A2" w:rsidRDefault="009A5E25" w:rsidP="007739D6">
      <w:pPr>
        <w:keepNext/>
        <w:spacing w:after="0" w:line="240" w:lineRule="auto"/>
        <w:jc w:val="both"/>
        <w:rPr>
          <w:rFonts w:ascii="Times New Roman" w:eastAsia="Times New Roman" w:hAnsi="Times New Roman"/>
        </w:rPr>
      </w:pPr>
      <w:r w:rsidRPr="00B940A2">
        <w:rPr>
          <w:rFonts w:ascii="Times New Roman" w:eastAsia="Times New Roman" w:hAnsi="Times New Roman"/>
          <w:lang w:val="en-US"/>
        </w:rPr>
        <w:t>RESOLVES:</w:t>
      </w:r>
    </w:p>
    <w:p w14:paraId="0E9AF3BB" w14:textId="77777777" w:rsidR="00092A78" w:rsidRPr="00B940A2" w:rsidRDefault="00092A78" w:rsidP="007739D6">
      <w:pPr>
        <w:keepNext/>
        <w:spacing w:after="0" w:line="240" w:lineRule="auto"/>
        <w:jc w:val="both"/>
        <w:rPr>
          <w:rFonts w:ascii="Times New Roman" w:eastAsia="Times New Roman" w:hAnsi="Times New Roman"/>
          <w:bCs/>
        </w:rPr>
      </w:pPr>
    </w:p>
    <w:p w14:paraId="698504E7" w14:textId="7CCD2CE5" w:rsidR="00092A78" w:rsidRPr="00B940A2" w:rsidRDefault="00092A78" w:rsidP="007739D6">
      <w:pPr>
        <w:numPr>
          <w:ilvl w:val="0"/>
          <w:numId w:val="10"/>
        </w:numPr>
        <w:spacing w:after="0" w:line="240" w:lineRule="auto"/>
        <w:ind w:left="0" w:firstLine="720"/>
        <w:contextualSpacing/>
        <w:jc w:val="both"/>
        <w:rPr>
          <w:rFonts w:ascii="Times New Roman" w:hAnsi="Times New Roman"/>
          <w:lang w:val="en-US"/>
        </w:rPr>
      </w:pPr>
      <w:r w:rsidRPr="00B940A2">
        <w:rPr>
          <w:rFonts w:ascii="Times New Roman" w:hAnsi="Times New Roman"/>
          <w:lang w:val="en-US"/>
        </w:rPr>
        <w:t>To express its appreciation to the Department of International Law for its efforts in the promotion and dissemination of international and inter-American law and to request that it continue to implement the actions contained in the Inter-American Program for the Development of International Law and present a report on its activities to the Committee on Juridical and Political Affairs (CAJP); and to request the Permanent Council to organize a meeting similar to the one it held in 2022 to mark the twenty-fifth anniversary of the Program, so that member states can continue to have a space to discuss activities that they consider priorities within the Program</w:t>
      </w:r>
      <w:r w:rsidR="0018655B" w:rsidRPr="00B940A2">
        <w:rPr>
          <w:rFonts w:ascii="Times New Roman" w:hAnsi="Times New Roman"/>
          <w:lang w:val="en-US"/>
        </w:rPr>
        <w:t>’</w:t>
      </w:r>
      <w:r w:rsidRPr="00B940A2">
        <w:rPr>
          <w:rFonts w:ascii="Times New Roman" w:hAnsi="Times New Roman"/>
          <w:lang w:val="en-US"/>
        </w:rPr>
        <w:t>s framework.</w:t>
      </w:r>
    </w:p>
    <w:p w14:paraId="2F1A060F" w14:textId="77777777" w:rsidR="00092A78" w:rsidRPr="00B940A2" w:rsidRDefault="00092A78" w:rsidP="007739D6">
      <w:pPr>
        <w:spacing w:after="0" w:line="240" w:lineRule="auto"/>
        <w:jc w:val="both"/>
        <w:rPr>
          <w:rFonts w:ascii="Times New Roman" w:hAnsi="Times New Roman"/>
          <w:lang w:val="en-US"/>
        </w:rPr>
      </w:pPr>
    </w:p>
    <w:p w14:paraId="146735C2" w14:textId="77777777" w:rsidR="00092A78" w:rsidRPr="00B940A2" w:rsidRDefault="00092A78" w:rsidP="007739D6">
      <w:pPr>
        <w:numPr>
          <w:ilvl w:val="0"/>
          <w:numId w:val="10"/>
        </w:numPr>
        <w:spacing w:after="0" w:line="240" w:lineRule="auto"/>
        <w:ind w:left="0" w:firstLine="720"/>
        <w:contextualSpacing/>
        <w:jc w:val="both"/>
        <w:rPr>
          <w:rFonts w:ascii="Times New Roman" w:hAnsi="Times New Roman"/>
          <w:lang w:val="en-US"/>
        </w:rPr>
      </w:pPr>
      <w:r w:rsidRPr="00B940A2">
        <w:rPr>
          <w:rFonts w:ascii="Times New Roman" w:hAnsi="Times New Roman"/>
          <w:lang w:val="en-US"/>
        </w:rPr>
        <w:t>To request the Department of International Law to continue organizing analytical activities on topics that require examination from an international law standpoint, including legal implications of the use of artificial intelligence, so that the staff of permanent missions, public officials in member states, and the staff of the General Secretariat have the appropriate tools to address those topics in a timely fashion, in an informed manner, and from a comprehensive perspective, as well as seeking the collaboration from professionals and entities with expertise in that regard.</w:t>
      </w:r>
    </w:p>
    <w:p w14:paraId="2FACF504" w14:textId="77777777" w:rsidR="00092A78" w:rsidRPr="00B940A2" w:rsidRDefault="00092A78" w:rsidP="007739D6">
      <w:pPr>
        <w:spacing w:after="0" w:line="240" w:lineRule="auto"/>
        <w:jc w:val="both"/>
        <w:rPr>
          <w:rFonts w:ascii="Times New Roman" w:eastAsia="Times New Roman" w:hAnsi="Times New Roman"/>
          <w:color w:val="000000"/>
          <w:u w:val="single"/>
          <w:lang w:val="en-US"/>
        </w:rPr>
      </w:pPr>
    </w:p>
    <w:p w14:paraId="70665D8F" w14:textId="54FC0C7F" w:rsidR="00092A78" w:rsidRPr="00B940A2" w:rsidRDefault="00092A78" w:rsidP="007739D6">
      <w:pPr>
        <w:numPr>
          <w:ilvl w:val="0"/>
          <w:numId w:val="17"/>
        </w:numPr>
        <w:spacing w:after="0" w:line="240" w:lineRule="auto"/>
        <w:ind w:hanging="720"/>
        <w:contextualSpacing/>
        <w:jc w:val="both"/>
        <w:rPr>
          <w:rFonts w:ascii="Times New Roman" w:hAnsi="Times New Roman"/>
          <w:u w:val="single"/>
          <w:lang w:val="en-US"/>
        </w:rPr>
      </w:pPr>
      <w:bookmarkStart w:id="6" w:name="_Toc86404160"/>
      <w:r w:rsidRPr="00B940A2">
        <w:rPr>
          <w:rFonts w:ascii="Times New Roman" w:hAnsi="Times New Roman"/>
          <w:u w:val="single"/>
          <w:lang w:val="en-US"/>
        </w:rPr>
        <w:t>Inter-American Juridical Committee</w:t>
      </w:r>
      <w:bookmarkEnd w:id="6"/>
      <w:r w:rsidR="0069542F" w:rsidRPr="00B940A2">
        <w:rPr>
          <w:rFonts w:ascii="Times New Roman" w:hAnsi="Times New Roman"/>
          <w:lang w:val="en-US"/>
        </w:rPr>
        <w:t xml:space="preserve"> </w:t>
      </w:r>
    </w:p>
    <w:p w14:paraId="2220209A" w14:textId="77777777" w:rsidR="00092A78" w:rsidRPr="00B940A2" w:rsidRDefault="00092A78" w:rsidP="007739D6">
      <w:pPr>
        <w:spacing w:after="0" w:line="240" w:lineRule="auto"/>
        <w:jc w:val="both"/>
        <w:rPr>
          <w:rFonts w:ascii="Times New Roman" w:eastAsia="Times New Roman" w:hAnsi="Times New Roman"/>
          <w:color w:val="000000"/>
          <w:u w:val="single"/>
          <w:lang w:val="en-US"/>
        </w:rPr>
      </w:pPr>
    </w:p>
    <w:p w14:paraId="458F6BEB" w14:textId="04F93F44" w:rsidR="00092A78" w:rsidRPr="00B940A2" w:rsidRDefault="00092A78" w:rsidP="007739D6">
      <w:pPr>
        <w:spacing w:after="0" w:line="240" w:lineRule="auto"/>
        <w:ind w:firstLine="720"/>
        <w:jc w:val="both"/>
        <w:rPr>
          <w:rFonts w:ascii="Times New Roman" w:eastAsia="Times New Roman" w:hAnsi="Times New Roman"/>
          <w:lang w:val="en-US"/>
        </w:rPr>
      </w:pPr>
      <w:r w:rsidRPr="00B940A2">
        <w:rPr>
          <w:rFonts w:ascii="Times New Roman" w:hAnsi="Times New Roman"/>
          <w:lang w:val="en-US"/>
        </w:rPr>
        <w:t xml:space="preserve">CONSIDERING the observations and recommendations of the member states on the Annual Report of the Inter-American Juridical Committee, contained in document </w:t>
      </w:r>
      <w:hyperlink r:id="rId10" w:history="1">
        <w:r w:rsidRPr="00B940A2">
          <w:rPr>
            <w:rFonts w:ascii="Times New Roman" w:hAnsi="Times New Roman"/>
            <w:color w:val="0000FF"/>
            <w:u w:val="single"/>
            <w:lang w:val="en-US"/>
          </w:rPr>
          <w:t>CP/CAJP-3733/23 corr. 1</w:t>
        </w:r>
      </w:hyperlink>
      <w:r w:rsidRPr="00B940A2">
        <w:rPr>
          <w:rFonts w:ascii="Times New Roman" w:hAnsi="Times New Roman"/>
          <w:lang w:val="en-US"/>
        </w:rPr>
        <w:t xml:space="preserve"> of July 20, 2023;</w:t>
      </w:r>
    </w:p>
    <w:p w14:paraId="2A2BE426" w14:textId="77777777" w:rsidR="00092A78" w:rsidRPr="00B940A2" w:rsidRDefault="00092A78" w:rsidP="007739D6">
      <w:pPr>
        <w:spacing w:after="0" w:line="240" w:lineRule="auto"/>
        <w:jc w:val="both"/>
        <w:rPr>
          <w:rFonts w:ascii="Times New Roman" w:eastAsia="Times New Roman" w:hAnsi="Times New Roman"/>
          <w:color w:val="000000"/>
          <w:u w:val="single"/>
          <w:lang w:val="en-US"/>
        </w:rPr>
      </w:pPr>
    </w:p>
    <w:p w14:paraId="70DC4E1C" w14:textId="77777777" w:rsidR="00092A78" w:rsidRPr="00B940A2" w:rsidRDefault="00092A78" w:rsidP="007739D6">
      <w:pPr>
        <w:spacing w:after="0" w:line="240" w:lineRule="auto"/>
        <w:jc w:val="both"/>
        <w:rPr>
          <w:rFonts w:ascii="Times New Roman" w:eastAsia="Times New Roman" w:hAnsi="Times New Roman"/>
        </w:rPr>
      </w:pPr>
      <w:r w:rsidRPr="00B940A2">
        <w:rPr>
          <w:rFonts w:ascii="Times New Roman" w:eastAsia="Times New Roman" w:hAnsi="Times New Roman"/>
          <w:lang w:val="en-US"/>
        </w:rPr>
        <w:t>RESOLVES:</w:t>
      </w:r>
    </w:p>
    <w:p w14:paraId="4EAD6CE0" w14:textId="77777777" w:rsidR="00092A78" w:rsidRPr="00B940A2" w:rsidRDefault="00092A78" w:rsidP="007739D6">
      <w:pPr>
        <w:spacing w:after="0" w:line="240" w:lineRule="auto"/>
        <w:jc w:val="both"/>
        <w:rPr>
          <w:rFonts w:ascii="Times New Roman" w:eastAsia="Times New Roman" w:hAnsi="Times New Roman"/>
        </w:rPr>
      </w:pPr>
    </w:p>
    <w:p w14:paraId="6E36AC02" w14:textId="42FF3211" w:rsidR="00092A78" w:rsidRPr="00B940A2" w:rsidRDefault="00092A78" w:rsidP="007739D6">
      <w:pPr>
        <w:numPr>
          <w:ilvl w:val="0"/>
          <w:numId w:val="12"/>
        </w:numPr>
        <w:spacing w:after="0" w:line="240" w:lineRule="auto"/>
        <w:ind w:left="0" w:firstLine="720"/>
        <w:contextualSpacing/>
        <w:jc w:val="both"/>
        <w:rPr>
          <w:rFonts w:ascii="Times New Roman" w:hAnsi="Times New Roman"/>
          <w:lang w:val="en-US"/>
        </w:rPr>
      </w:pPr>
      <w:r w:rsidRPr="00B940A2">
        <w:rPr>
          <w:rFonts w:ascii="Times New Roman" w:hAnsi="Times New Roman"/>
          <w:lang w:val="en-US"/>
        </w:rPr>
        <w:t>To recognize the latest contributions of the Inter-American Juridical Committee (CJI) to international law, namely, the Report on Compulsory Primary Education [document CJI/doc.690/23 rev. 1]; the Declaration of Inter-American Principles on the Legal Framework for the Creation, Operation, Financing, and Dissolution of Non-profit Civil Entities [document CJI/RES.</w:t>
      </w:r>
      <w:r w:rsidR="00895DEC" w:rsidRPr="00B940A2">
        <w:rPr>
          <w:rFonts w:ascii="Times New Roman" w:hAnsi="Times New Roman"/>
          <w:lang w:val="en-US"/>
        </w:rPr>
        <w:t xml:space="preserve"> </w:t>
      </w:r>
      <w:r w:rsidRPr="00B940A2">
        <w:rPr>
          <w:rFonts w:ascii="Times New Roman" w:hAnsi="Times New Roman"/>
          <w:lang w:val="en-US"/>
        </w:rPr>
        <w:t>282 (CII-O/23 corr. 2)]; the Declaration of Inter-American Principles on Neuroscience, Neurotechnologies, and Human Rights [document CJI/RES.</w:t>
      </w:r>
      <w:r w:rsidR="00895DEC" w:rsidRPr="00B940A2">
        <w:rPr>
          <w:rFonts w:ascii="Times New Roman" w:hAnsi="Times New Roman"/>
          <w:lang w:val="en-US"/>
        </w:rPr>
        <w:t xml:space="preserve"> </w:t>
      </w:r>
      <w:r w:rsidRPr="00B940A2">
        <w:rPr>
          <w:rFonts w:ascii="Times New Roman" w:hAnsi="Times New Roman"/>
          <w:lang w:val="en-US"/>
        </w:rPr>
        <w:t xml:space="preserve">281 (CII-O/23 corr. 1)]; the Second Report on International Law Applicable to Cyberspace [document CJI/doc.671/22 rev. 2 corr. 1]; and the Declaration on the inviolability of diplomatic premises as a principle of international relations and its relationship to the concept of diplomatic asylum [document CJI/DEC.03 (CI-O/22)]; to instruct the Committee on Juridical and Political Affairs of the Permanent Council to give them due consideration; and to request that the Department of International Law, as its technical secretariat, continue to disseminate these </w:t>
      </w:r>
      <w:r w:rsidRPr="00B940A2">
        <w:rPr>
          <w:rFonts w:ascii="Times New Roman" w:hAnsi="Times New Roman"/>
          <w:lang w:val="en-US"/>
        </w:rPr>
        <w:lastRenderedPageBreak/>
        <w:t>documents and those pertaining to other topics on its work agenda as widely as possible, including through virtual media.</w:t>
      </w:r>
    </w:p>
    <w:p w14:paraId="4271B260" w14:textId="77777777" w:rsidR="00092A78" w:rsidRPr="00B940A2" w:rsidRDefault="00092A78" w:rsidP="007739D6">
      <w:pPr>
        <w:spacing w:after="0" w:line="240" w:lineRule="auto"/>
        <w:jc w:val="both"/>
        <w:rPr>
          <w:rFonts w:ascii="Times New Roman" w:eastAsia="Times New Roman" w:hAnsi="Times New Roman"/>
          <w:lang w:val="en-US"/>
        </w:rPr>
      </w:pPr>
    </w:p>
    <w:p w14:paraId="1ED4EB36" w14:textId="64783DE6" w:rsidR="00092A78" w:rsidRPr="00B940A2" w:rsidRDefault="00092A78" w:rsidP="007739D6">
      <w:pPr>
        <w:numPr>
          <w:ilvl w:val="0"/>
          <w:numId w:val="12"/>
        </w:numPr>
        <w:snapToGrid w:val="0"/>
        <w:spacing w:after="0" w:line="240" w:lineRule="auto"/>
        <w:ind w:left="0" w:firstLine="720"/>
        <w:contextualSpacing/>
        <w:jc w:val="both"/>
        <w:rPr>
          <w:rFonts w:ascii="Times New Roman" w:hAnsi="Times New Roman"/>
          <w:lang w:val="en-US"/>
        </w:rPr>
      </w:pPr>
      <w:r w:rsidRPr="00B940A2">
        <w:rPr>
          <w:rFonts w:ascii="Times New Roman" w:hAnsi="Times New Roman"/>
          <w:lang w:val="en-US"/>
        </w:rPr>
        <w:t>To request the Inter-American Juridical Committee to expand the content of the 2020 Inter-American Model Law 2.0 on Access to Public Information to include issues that could not be considered at the time, such as access to public information held by the judiciary,</w:t>
      </w:r>
      <w:r w:rsidR="009D71E3" w:rsidRPr="00B940A2">
        <w:rPr>
          <w:rFonts w:ascii="Times New Roman" w:hAnsi="Times New Roman"/>
          <w:lang w:val="en-US"/>
        </w:rPr>
        <w:t xml:space="preserve"> </w:t>
      </w:r>
      <w:r w:rsidR="00DC30A7" w:rsidRPr="00B940A2">
        <w:rPr>
          <w:rFonts w:ascii="Times New Roman" w:hAnsi="Times New Roman"/>
          <w:lang w:val="en-US"/>
        </w:rPr>
        <w:t xml:space="preserve">considering the provisions of the internal legislation of each State, </w:t>
      </w:r>
      <w:r w:rsidRPr="00B940A2">
        <w:rPr>
          <w:rFonts w:ascii="Times New Roman" w:hAnsi="Times New Roman"/>
          <w:lang w:val="en-US"/>
        </w:rPr>
        <w:t>as well as those it deems most appropriate, in order to continue strengthening access to public information in the region.</w:t>
      </w:r>
      <w:r w:rsidR="004F1CCD" w:rsidRPr="00B940A2">
        <w:rPr>
          <w:rFonts w:ascii="Times New Roman" w:hAnsi="Times New Roman"/>
          <w:lang w:val="en-US"/>
        </w:rPr>
        <w:t xml:space="preserve"> </w:t>
      </w:r>
      <w:r w:rsidR="009D71E3" w:rsidRPr="00B940A2">
        <w:rPr>
          <w:rFonts w:ascii="Times New Roman" w:hAnsi="Times New Roman"/>
          <w:b/>
          <w:bCs/>
          <w:lang w:val="en-US"/>
        </w:rPr>
        <w:t xml:space="preserve"> </w:t>
      </w:r>
    </w:p>
    <w:p w14:paraId="308AE7A6" w14:textId="77777777" w:rsidR="00DA057F" w:rsidRPr="00B940A2" w:rsidRDefault="00DA057F" w:rsidP="007739D6">
      <w:pPr>
        <w:spacing w:after="0" w:line="240" w:lineRule="auto"/>
        <w:rPr>
          <w:rFonts w:ascii="Times New Roman" w:hAnsi="Times New Roman"/>
          <w:u w:val="single"/>
          <w:lang w:val="en-US"/>
        </w:rPr>
      </w:pPr>
      <w:bookmarkStart w:id="7" w:name="_Hlk111182824"/>
    </w:p>
    <w:p w14:paraId="475C9EFF" w14:textId="518CF301" w:rsidR="00092A78" w:rsidRPr="00B940A2" w:rsidRDefault="00092A78" w:rsidP="007739D6">
      <w:pPr>
        <w:keepNext/>
        <w:numPr>
          <w:ilvl w:val="0"/>
          <w:numId w:val="17"/>
        </w:numPr>
        <w:spacing w:after="0" w:line="240" w:lineRule="auto"/>
        <w:ind w:hanging="720"/>
        <w:contextualSpacing/>
        <w:jc w:val="both"/>
        <w:rPr>
          <w:rFonts w:ascii="Times New Roman" w:eastAsia="Times New Roman" w:hAnsi="Times New Roman"/>
          <w:u w:val="single"/>
          <w:lang w:val="en-US"/>
        </w:rPr>
      </w:pPr>
      <w:r w:rsidRPr="00B940A2">
        <w:rPr>
          <w:rFonts w:ascii="Times New Roman" w:hAnsi="Times New Roman"/>
          <w:u w:val="single"/>
          <w:lang w:val="en-US"/>
        </w:rPr>
        <w:t>International legal framework for</w:t>
      </w:r>
      <w:r w:rsidR="00054A67" w:rsidRPr="00B940A2">
        <w:rPr>
          <w:rFonts w:ascii="Times New Roman" w:hAnsi="Times New Roman"/>
          <w:u w:val="single"/>
          <w:lang w:val="en-US"/>
        </w:rPr>
        <w:t xml:space="preserve"> </w:t>
      </w:r>
      <w:r w:rsidRPr="00B940A2">
        <w:rPr>
          <w:rFonts w:ascii="Times New Roman" w:hAnsi="Times New Roman"/>
          <w:u w:val="single"/>
          <w:lang w:val="en-US"/>
        </w:rPr>
        <w:t xml:space="preserve">arms and ammunition </w:t>
      </w:r>
      <w:r w:rsidR="00E933D7" w:rsidRPr="00B940A2">
        <w:rPr>
          <w:rFonts w:ascii="Times New Roman" w:hAnsi="Times New Roman"/>
          <w:u w:val="single"/>
          <w:lang w:val="en-US"/>
        </w:rPr>
        <w:t xml:space="preserve">manufacturing, </w:t>
      </w:r>
      <w:proofErr w:type="gramStart"/>
      <w:r w:rsidR="00E933D7" w:rsidRPr="00B940A2">
        <w:rPr>
          <w:rFonts w:ascii="Times New Roman" w:hAnsi="Times New Roman"/>
          <w:u w:val="single"/>
          <w:lang w:val="en-US"/>
        </w:rPr>
        <w:t>distribution</w:t>
      </w:r>
      <w:proofErr w:type="gramEnd"/>
      <w:r w:rsidR="00E933D7" w:rsidRPr="00B940A2">
        <w:rPr>
          <w:rFonts w:ascii="Times New Roman" w:hAnsi="Times New Roman"/>
          <w:u w:val="single"/>
          <w:lang w:val="en-US"/>
        </w:rPr>
        <w:t xml:space="preserve"> and marketing </w:t>
      </w:r>
      <w:r w:rsidRPr="00B940A2">
        <w:rPr>
          <w:rFonts w:ascii="Times New Roman" w:hAnsi="Times New Roman"/>
          <w:u w:val="single"/>
          <w:lang w:val="en-US"/>
        </w:rPr>
        <w:t>companies</w:t>
      </w:r>
      <w:r w:rsidR="00405E89" w:rsidRPr="00B940A2">
        <w:rPr>
          <w:rFonts w:ascii="Times New Roman" w:hAnsi="Times New Roman"/>
          <w:u w:val="single"/>
          <w:lang w:val="en-US"/>
        </w:rPr>
        <w:t xml:space="preserve"> </w:t>
      </w:r>
      <w:r w:rsidR="00405E89" w:rsidRPr="00B940A2">
        <w:rPr>
          <w:rStyle w:val="FootnoteReference"/>
          <w:rFonts w:ascii="Times New Roman" w:hAnsi="Times New Roman"/>
          <w:b/>
          <w:bCs/>
          <w:u w:val="single"/>
          <w:vertAlign w:val="superscript"/>
          <w:lang w:val="en-US"/>
        </w:rPr>
        <w:footnoteReference w:id="2"/>
      </w:r>
      <w:r w:rsidR="00405E89" w:rsidRPr="00B940A2">
        <w:rPr>
          <w:rFonts w:ascii="Times New Roman" w:hAnsi="Times New Roman"/>
          <w:b/>
          <w:bCs/>
          <w:u w:val="single"/>
          <w:vertAlign w:val="superscript"/>
          <w:lang w:val="en-US"/>
        </w:rPr>
        <w:t>/</w:t>
      </w:r>
    </w:p>
    <w:bookmarkEnd w:id="7"/>
    <w:p w14:paraId="4CE7DEF1" w14:textId="77777777" w:rsidR="004229E0" w:rsidRPr="00B940A2" w:rsidRDefault="004229E0" w:rsidP="007739D6">
      <w:pPr>
        <w:spacing w:after="0" w:line="240" w:lineRule="auto"/>
        <w:ind w:firstLine="720"/>
        <w:jc w:val="both"/>
        <w:rPr>
          <w:rFonts w:ascii="Times New Roman" w:hAnsi="Times New Roman"/>
          <w:noProof/>
          <w:lang w:val="en-US"/>
        </w:rPr>
      </w:pPr>
    </w:p>
    <w:p w14:paraId="5D0AC53D" w14:textId="60A16714" w:rsidR="00092A78" w:rsidRPr="00B940A2" w:rsidRDefault="00092A78" w:rsidP="007739D6">
      <w:pPr>
        <w:spacing w:after="0" w:line="240" w:lineRule="auto"/>
        <w:ind w:firstLine="720"/>
        <w:jc w:val="both"/>
        <w:rPr>
          <w:rFonts w:ascii="Times New Roman" w:eastAsia="Times New Roman" w:hAnsi="Times New Roman"/>
          <w:b/>
          <w:bCs/>
          <w:noProof/>
          <w:lang w:val="en-US"/>
        </w:rPr>
      </w:pPr>
      <w:r w:rsidRPr="00B940A2">
        <w:rPr>
          <w:rFonts w:ascii="Times New Roman" w:hAnsi="Times New Roman"/>
          <w:noProof/>
          <w:lang w:val="en-US"/>
        </w:rPr>
        <w:t>TAKING NOTE of the results of the meeting held by the Permanent Council to reflect on the promotion and protection of human rights and the role of arms companies</w:t>
      </w:r>
      <w:r w:rsidRPr="00B940A2">
        <w:rPr>
          <w:rFonts w:ascii="Times New Roman" w:hAnsi="Times New Roman"/>
          <w:lang w:val="en-US"/>
        </w:rPr>
        <w:t>;</w:t>
      </w:r>
      <w:r w:rsidR="00F22BE1" w:rsidRPr="00B940A2">
        <w:rPr>
          <w:rFonts w:ascii="Times New Roman" w:hAnsi="Times New Roman"/>
          <w:lang w:val="en-US"/>
        </w:rPr>
        <w:t xml:space="preserve"> </w:t>
      </w:r>
    </w:p>
    <w:p w14:paraId="4104DCFD" w14:textId="77777777" w:rsidR="004F19F0" w:rsidRPr="00B940A2" w:rsidRDefault="004F19F0" w:rsidP="007739D6">
      <w:pPr>
        <w:spacing w:after="0" w:line="240" w:lineRule="auto"/>
        <w:ind w:firstLine="90"/>
        <w:jc w:val="both"/>
        <w:rPr>
          <w:rFonts w:ascii="Times New Roman" w:hAnsi="Times New Roman"/>
          <w:noProof/>
          <w:lang w:val="en-US"/>
        </w:rPr>
      </w:pPr>
    </w:p>
    <w:p w14:paraId="34024963" w14:textId="0F5B7A43" w:rsidR="00092A78" w:rsidRPr="00B940A2" w:rsidRDefault="00092A78" w:rsidP="007739D6">
      <w:pPr>
        <w:spacing w:after="0" w:line="240" w:lineRule="auto"/>
        <w:ind w:firstLine="720"/>
        <w:jc w:val="both"/>
        <w:rPr>
          <w:rFonts w:ascii="Times New Roman" w:hAnsi="Times New Roman"/>
          <w:noProof/>
          <w:lang w:val="en-US"/>
        </w:rPr>
      </w:pPr>
      <w:r w:rsidRPr="00B940A2">
        <w:rPr>
          <w:rFonts w:ascii="Times New Roman" w:hAnsi="Times New Roman"/>
          <w:noProof/>
          <w:lang w:val="en-US"/>
        </w:rPr>
        <w:t xml:space="preserve">RECOGNIZING that arms and ammunition manufacturers, distributors, and </w:t>
      </w:r>
      <w:r w:rsidR="00825FC3" w:rsidRPr="00B940A2">
        <w:rPr>
          <w:rFonts w:ascii="Times New Roman" w:hAnsi="Times New Roman"/>
          <w:noProof/>
          <w:lang w:val="en-US"/>
        </w:rPr>
        <w:t>marketers</w:t>
      </w:r>
      <w:r w:rsidRPr="00B940A2">
        <w:rPr>
          <w:rFonts w:ascii="Times New Roman" w:hAnsi="Times New Roman"/>
          <w:noProof/>
          <w:lang w:val="en-US"/>
        </w:rPr>
        <w:t xml:space="preserve">, by defining the capabilities of weapons, their modifiability, portability, assembly, and commercial practices for their sale play an important </w:t>
      </w:r>
      <w:r w:rsidR="00895DEC" w:rsidRPr="00B940A2">
        <w:rPr>
          <w:rFonts w:ascii="Times New Roman" w:hAnsi="Times New Roman"/>
          <w:noProof/>
          <w:lang w:val="en-US"/>
        </w:rPr>
        <w:t xml:space="preserve">role </w:t>
      </w:r>
      <w:r w:rsidRPr="00B940A2">
        <w:rPr>
          <w:rFonts w:ascii="Times New Roman" w:hAnsi="Times New Roman"/>
          <w:noProof/>
          <w:lang w:val="en-US"/>
        </w:rPr>
        <w:t xml:space="preserve">in the prevention of armed violence and human rights violations </w:t>
      </w:r>
      <w:bookmarkStart w:id="8" w:name="_Hlk136349347"/>
      <w:r w:rsidR="00D83F8F" w:rsidRPr="00B940A2">
        <w:rPr>
          <w:rFonts w:ascii="Times New Roman" w:hAnsi="Times New Roman"/>
          <w:noProof/>
          <w:lang w:val="en-US"/>
        </w:rPr>
        <w:t>and abuses and</w:t>
      </w:r>
      <w:bookmarkEnd w:id="8"/>
      <w:r w:rsidR="00D83F8F" w:rsidRPr="00B940A2">
        <w:rPr>
          <w:rFonts w:ascii="Times New Roman" w:hAnsi="Times New Roman"/>
          <w:noProof/>
          <w:lang w:val="en-US"/>
        </w:rPr>
        <w:t xml:space="preserve"> </w:t>
      </w:r>
      <w:r w:rsidRPr="00B940A2">
        <w:rPr>
          <w:rFonts w:ascii="Times New Roman" w:hAnsi="Times New Roman"/>
          <w:noProof/>
          <w:lang w:val="en-US"/>
        </w:rPr>
        <w:t>should  act with due diligence;</w:t>
      </w:r>
      <w:r w:rsidR="0018655B" w:rsidRPr="00B940A2">
        <w:rPr>
          <w:rFonts w:ascii="Times New Roman" w:hAnsi="Times New Roman"/>
          <w:noProof/>
          <w:lang w:val="en-US"/>
        </w:rPr>
        <w:t xml:space="preserve"> </w:t>
      </w:r>
    </w:p>
    <w:p w14:paraId="56C61ACE" w14:textId="77777777" w:rsidR="00092A78" w:rsidRPr="00B940A2" w:rsidRDefault="00092A78" w:rsidP="007739D6">
      <w:pPr>
        <w:spacing w:after="0" w:line="240" w:lineRule="auto"/>
        <w:jc w:val="both"/>
        <w:rPr>
          <w:rFonts w:ascii="Times New Roman" w:eastAsia="Times New Roman" w:hAnsi="Times New Roman"/>
          <w:noProof/>
          <w:lang w:val="en-US"/>
        </w:rPr>
      </w:pPr>
    </w:p>
    <w:p w14:paraId="08FF2CE4" w14:textId="785559A2" w:rsidR="00092A78" w:rsidRPr="00B940A2" w:rsidRDefault="00092A78" w:rsidP="007739D6">
      <w:pPr>
        <w:spacing w:after="0" w:line="240" w:lineRule="auto"/>
        <w:ind w:firstLine="720"/>
        <w:jc w:val="both"/>
        <w:rPr>
          <w:rFonts w:ascii="Times New Roman" w:hAnsi="Times New Roman"/>
          <w:b/>
          <w:bCs/>
          <w:noProof/>
          <w:lang w:val="en-US"/>
        </w:rPr>
      </w:pPr>
      <w:r w:rsidRPr="00B940A2">
        <w:rPr>
          <w:rFonts w:ascii="Times New Roman" w:hAnsi="Times New Roman"/>
          <w:noProof/>
          <w:lang w:val="en-US"/>
        </w:rPr>
        <w:t xml:space="preserve">UNDERSCORING the role of civil society </w:t>
      </w:r>
      <w:r w:rsidR="002D453A" w:rsidRPr="00B940A2">
        <w:rPr>
          <w:rFonts w:ascii="Times New Roman" w:hAnsi="Times New Roman"/>
          <w:noProof/>
          <w:lang w:val="en-US"/>
        </w:rPr>
        <w:t xml:space="preserve">, </w:t>
      </w:r>
      <w:r w:rsidR="00DC1A0F" w:rsidRPr="00B940A2">
        <w:rPr>
          <w:rFonts w:ascii="Times New Roman" w:hAnsi="Times New Roman"/>
          <w:noProof/>
          <w:lang w:val="en-US"/>
        </w:rPr>
        <w:t xml:space="preserve">and especially of </w:t>
      </w:r>
      <w:r w:rsidR="002D453A" w:rsidRPr="00B940A2">
        <w:rPr>
          <w:rFonts w:ascii="Times New Roman" w:hAnsi="Times New Roman"/>
          <w:noProof/>
          <w:lang w:val="en-US"/>
        </w:rPr>
        <w:t xml:space="preserve">human rights defenders, </w:t>
      </w:r>
      <w:r w:rsidRPr="00B940A2">
        <w:rPr>
          <w:rFonts w:ascii="Times New Roman" w:hAnsi="Times New Roman"/>
          <w:noProof/>
          <w:lang w:val="en-US"/>
        </w:rPr>
        <w:t>and other social actors in defending people adversely affected by human rights violations</w:t>
      </w:r>
      <w:bookmarkStart w:id="9" w:name="_Hlk136349444"/>
      <w:r w:rsidR="00D83F8F" w:rsidRPr="00B940A2">
        <w:rPr>
          <w:rFonts w:ascii="Times New Roman" w:hAnsi="Times New Roman"/>
          <w:noProof/>
          <w:lang w:val="en-US"/>
        </w:rPr>
        <w:t xml:space="preserve"> </w:t>
      </w:r>
      <w:bookmarkEnd w:id="9"/>
      <w:r w:rsidR="00D83F8F" w:rsidRPr="00B940A2">
        <w:rPr>
          <w:rFonts w:ascii="Times New Roman" w:hAnsi="Times New Roman"/>
          <w:noProof/>
          <w:lang w:val="en-US"/>
        </w:rPr>
        <w:t>and abuses</w:t>
      </w:r>
      <w:r w:rsidRPr="00B940A2">
        <w:rPr>
          <w:rFonts w:ascii="Times New Roman" w:hAnsi="Times New Roman"/>
          <w:noProof/>
          <w:lang w:val="en-US"/>
        </w:rPr>
        <w:t xml:space="preserve">, </w:t>
      </w:r>
      <w:r w:rsidR="008252C2" w:rsidRPr="00B940A2">
        <w:rPr>
          <w:rFonts w:ascii="Times New Roman" w:hAnsi="Times New Roman"/>
          <w:noProof/>
          <w:lang w:val="en-US"/>
        </w:rPr>
        <w:t xml:space="preserve">particularly </w:t>
      </w:r>
      <w:r w:rsidRPr="00B940A2">
        <w:rPr>
          <w:rFonts w:ascii="Times New Roman" w:hAnsi="Times New Roman"/>
          <w:noProof/>
          <w:lang w:val="en-US"/>
        </w:rPr>
        <w:t>of the right to life,</w:t>
      </w:r>
      <w:r w:rsidR="005C4600" w:rsidRPr="00B940A2">
        <w:rPr>
          <w:rFonts w:ascii="Times New Roman" w:hAnsi="Times New Roman"/>
          <w:b/>
          <w:bCs/>
          <w:noProof/>
          <w:lang w:val="en-US"/>
        </w:rPr>
        <w:t xml:space="preserve"> </w:t>
      </w:r>
    </w:p>
    <w:p w14:paraId="4069CCBE" w14:textId="77777777" w:rsidR="00092A78" w:rsidRPr="00B940A2" w:rsidRDefault="00092A78" w:rsidP="007739D6">
      <w:pPr>
        <w:spacing w:after="0" w:line="240" w:lineRule="auto"/>
        <w:jc w:val="both"/>
        <w:rPr>
          <w:rFonts w:ascii="Times New Roman" w:hAnsi="Times New Roman"/>
          <w:noProof/>
          <w:lang w:val="en-US"/>
        </w:rPr>
      </w:pPr>
    </w:p>
    <w:p w14:paraId="35E06B6B" w14:textId="6D74C3B6" w:rsidR="00092A78" w:rsidRPr="00B940A2" w:rsidRDefault="0082439B" w:rsidP="007739D6">
      <w:pPr>
        <w:spacing w:after="0" w:line="240" w:lineRule="auto"/>
        <w:ind w:firstLine="720"/>
        <w:jc w:val="both"/>
        <w:rPr>
          <w:rFonts w:ascii="Times New Roman" w:hAnsi="Times New Roman"/>
          <w:noProof/>
          <w:lang w:val="en-US"/>
        </w:rPr>
      </w:pPr>
      <w:r w:rsidRPr="00B940A2">
        <w:rPr>
          <w:rFonts w:ascii="Times New Roman" w:hAnsi="Times New Roman"/>
          <w:noProof/>
          <w:lang w:val="en-US"/>
        </w:rPr>
        <w:t xml:space="preserve">TAKING NOTE OF </w:t>
      </w:r>
      <w:r w:rsidR="00092A78" w:rsidRPr="00B940A2">
        <w:rPr>
          <w:rFonts w:ascii="Times New Roman" w:hAnsi="Times New Roman"/>
          <w:noProof/>
          <w:lang w:val="en-US"/>
        </w:rPr>
        <w:t xml:space="preserve">the attention given by the Inter-American Juridical Committee to the topic </w:t>
      </w:r>
      <w:r w:rsidR="0018655B" w:rsidRPr="00B940A2">
        <w:rPr>
          <w:rFonts w:ascii="Times New Roman" w:hAnsi="Times New Roman"/>
          <w:i/>
          <w:iCs/>
          <w:lang w:val="en-US"/>
        </w:rPr>
        <w:t>“</w:t>
      </w:r>
      <w:r w:rsidR="00092A78" w:rsidRPr="00B940A2">
        <w:rPr>
          <w:rFonts w:ascii="Times New Roman" w:hAnsi="Times New Roman"/>
          <w:i/>
          <w:iCs/>
          <w:lang w:val="en-US"/>
        </w:rPr>
        <w:t>responsibility of arms production and trading companies in the area of human rights</w:t>
      </w:r>
      <w:r w:rsidR="0018655B" w:rsidRPr="00B940A2">
        <w:rPr>
          <w:rFonts w:ascii="Times New Roman" w:hAnsi="Times New Roman"/>
          <w:i/>
          <w:iCs/>
          <w:lang w:val="en-US"/>
        </w:rPr>
        <w:t>”</w:t>
      </w:r>
      <w:r w:rsidR="00092A78" w:rsidRPr="00B940A2">
        <w:rPr>
          <w:rFonts w:ascii="Times New Roman" w:hAnsi="Times New Roman"/>
          <w:noProof/>
          <w:lang w:val="en-US"/>
        </w:rPr>
        <w:t xml:space="preserve"> by the Inter-American Juridical Committee.</w:t>
      </w:r>
      <w:r w:rsidR="00550BDC" w:rsidRPr="00B940A2">
        <w:rPr>
          <w:rFonts w:ascii="Times New Roman" w:hAnsi="Times New Roman"/>
          <w:noProof/>
          <w:lang w:val="en-US"/>
        </w:rPr>
        <w:t xml:space="preserve"> </w:t>
      </w:r>
    </w:p>
    <w:p w14:paraId="7D85ABE7" w14:textId="77777777" w:rsidR="00092A78" w:rsidRPr="00B940A2" w:rsidRDefault="00092A78" w:rsidP="007739D6">
      <w:pPr>
        <w:spacing w:after="0" w:line="240" w:lineRule="auto"/>
        <w:jc w:val="both"/>
        <w:rPr>
          <w:rFonts w:ascii="Times New Roman" w:hAnsi="Times New Roman"/>
          <w:noProof/>
          <w:lang w:val="en-US"/>
        </w:rPr>
      </w:pPr>
    </w:p>
    <w:p w14:paraId="5F0F7039" w14:textId="25243B86" w:rsidR="00D83F8F" w:rsidRPr="00B940A2" w:rsidRDefault="00D83F8F" w:rsidP="007739D6">
      <w:pPr>
        <w:spacing w:after="0" w:line="240" w:lineRule="auto"/>
        <w:ind w:firstLine="720"/>
        <w:jc w:val="both"/>
        <w:rPr>
          <w:rFonts w:ascii="Times New Roman" w:eastAsia="Times New Roman" w:hAnsi="Times New Roman"/>
          <w:noProof/>
          <w:lang w:val="en-US"/>
        </w:rPr>
      </w:pPr>
      <w:r w:rsidRPr="00B940A2">
        <w:rPr>
          <w:rFonts w:ascii="Times New Roman" w:eastAsia="Times New Roman" w:hAnsi="Times New Roman"/>
          <w:noProof/>
          <w:lang w:val="en-US"/>
        </w:rPr>
        <w:t>RECALLING the UN Guiding Principles on Business and Human Rights and its “Protect, Respect, and Remedy” framework,</w:t>
      </w:r>
      <w:r w:rsidR="00D023F8" w:rsidRPr="00B940A2">
        <w:rPr>
          <w:rFonts w:ascii="Times New Roman" w:eastAsia="Times New Roman" w:hAnsi="Times New Roman"/>
          <w:noProof/>
          <w:lang w:val="en-US"/>
        </w:rPr>
        <w:t xml:space="preserve"> </w:t>
      </w:r>
    </w:p>
    <w:p w14:paraId="0FFEA192" w14:textId="77777777" w:rsidR="00D83F8F" w:rsidRPr="00B940A2" w:rsidRDefault="00D83F8F" w:rsidP="007739D6">
      <w:pPr>
        <w:spacing w:after="0" w:line="240" w:lineRule="auto"/>
        <w:jc w:val="both"/>
        <w:rPr>
          <w:rFonts w:ascii="Times New Roman" w:eastAsia="Times New Roman" w:hAnsi="Times New Roman"/>
          <w:noProof/>
          <w:lang w:val="en-US"/>
        </w:rPr>
      </w:pPr>
    </w:p>
    <w:p w14:paraId="0C20BA6D" w14:textId="360E563F" w:rsidR="00092A78" w:rsidRPr="00B940A2" w:rsidRDefault="00092A78" w:rsidP="007739D6">
      <w:pPr>
        <w:spacing w:after="0" w:line="240" w:lineRule="auto"/>
        <w:jc w:val="both"/>
        <w:rPr>
          <w:rFonts w:ascii="Times New Roman" w:eastAsia="Times New Roman" w:hAnsi="Times New Roman"/>
          <w:noProof/>
          <w:lang w:val="en-US"/>
        </w:rPr>
      </w:pPr>
      <w:r w:rsidRPr="00B940A2">
        <w:rPr>
          <w:rFonts w:ascii="Times New Roman" w:eastAsia="Times New Roman" w:hAnsi="Times New Roman"/>
          <w:noProof/>
          <w:lang w:val="en-US"/>
        </w:rPr>
        <w:t>RESOLVES:</w:t>
      </w:r>
    </w:p>
    <w:p w14:paraId="5E9CA4AA" w14:textId="77777777" w:rsidR="00092A78" w:rsidRPr="00B940A2" w:rsidRDefault="00092A78" w:rsidP="007739D6">
      <w:pPr>
        <w:spacing w:after="0" w:line="240" w:lineRule="auto"/>
        <w:jc w:val="both"/>
        <w:rPr>
          <w:rFonts w:ascii="Times New Roman" w:eastAsia="Times New Roman" w:hAnsi="Times New Roman"/>
          <w:noProof/>
          <w:lang w:val="en-US"/>
        </w:rPr>
      </w:pPr>
    </w:p>
    <w:p w14:paraId="02AA4CF3" w14:textId="4624D7BB" w:rsidR="005F477A" w:rsidRPr="00B940A2" w:rsidRDefault="005F477A" w:rsidP="007739D6">
      <w:pPr>
        <w:numPr>
          <w:ilvl w:val="0"/>
          <w:numId w:val="18"/>
        </w:numPr>
        <w:spacing w:after="0" w:line="240" w:lineRule="auto"/>
        <w:ind w:left="0" w:firstLine="720"/>
        <w:contextualSpacing/>
        <w:jc w:val="both"/>
        <w:rPr>
          <w:rFonts w:ascii="Times New Roman" w:hAnsi="Times New Roman"/>
          <w:b/>
          <w:bCs/>
          <w:noProof/>
          <w:lang w:val="en-US"/>
        </w:rPr>
      </w:pPr>
      <w:r w:rsidRPr="00B940A2">
        <w:rPr>
          <w:rFonts w:ascii="Times New Roman" w:hAnsi="Times New Roman"/>
          <w:noProof/>
          <w:lang w:val="en-US"/>
        </w:rPr>
        <w:t>To recall the importance of further discussions on the responsibility of</w:t>
      </w:r>
      <w:r w:rsidR="00B059A7" w:rsidRPr="00B940A2">
        <w:rPr>
          <w:rFonts w:ascii="Times New Roman" w:hAnsi="Times New Roman"/>
          <w:noProof/>
          <w:lang w:val="en-US"/>
        </w:rPr>
        <w:t xml:space="preserve"> companies that</w:t>
      </w:r>
      <w:r w:rsidRPr="00B940A2">
        <w:rPr>
          <w:rFonts w:ascii="Times New Roman" w:hAnsi="Times New Roman"/>
          <w:noProof/>
          <w:lang w:val="en-US"/>
        </w:rPr>
        <w:t xml:space="preserve"> manufactu</w:t>
      </w:r>
      <w:r w:rsidR="00B059A7" w:rsidRPr="00B940A2">
        <w:rPr>
          <w:rFonts w:ascii="Times New Roman" w:hAnsi="Times New Roman"/>
          <w:noProof/>
          <w:lang w:val="en-US"/>
        </w:rPr>
        <w:t>e</w:t>
      </w:r>
      <w:r w:rsidR="004F5D7A" w:rsidRPr="00B940A2">
        <w:rPr>
          <w:rFonts w:ascii="Times New Roman" w:hAnsi="Times New Roman"/>
          <w:noProof/>
          <w:lang w:val="en-US"/>
        </w:rPr>
        <w:t xml:space="preserve">, distribute and market </w:t>
      </w:r>
      <w:r w:rsidRPr="00B940A2">
        <w:rPr>
          <w:rFonts w:ascii="Times New Roman" w:hAnsi="Times New Roman"/>
          <w:noProof/>
          <w:lang w:val="en-US"/>
        </w:rPr>
        <w:t xml:space="preserve"> </w:t>
      </w:r>
      <w:r w:rsidR="00A65F7A" w:rsidRPr="00B940A2">
        <w:rPr>
          <w:rFonts w:ascii="Times New Roman" w:hAnsi="Times New Roman"/>
          <w:noProof/>
          <w:lang w:val="en-US"/>
        </w:rPr>
        <w:t xml:space="preserve">arms </w:t>
      </w:r>
      <w:r w:rsidRPr="00B940A2">
        <w:rPr>
          <w:rFonts w:ascii="Times New Roman" w:hAnsi="Times New Roman"/>
          <w:noProof/>
          <w:lang w:val="en-US"/>
        </w:rPr>
        <w:t>to respect human rights and, therefore, to invite member states to discuss the issue within the relevant bodies.</w:t>
      </w:r>
      <w:r w:rsidR="004F5D7A" w:rsidRPr="00B940A2">
        <w:rPr>
          <w:rFonts w:ascii="Times New Roman" w:hAnsi="Times New Roman"/>
          <w:b/>
          <w:bCs/>
          <w:noProof/>
          <w:lang w:val="en-US"/>
        </w:rPr>
        <w:t xml:space="preserve"> </w:t>
      </w:r>
    </w:p>
    <w:p w14:paraId="5EC20697" w14:textId="77777777" w:rsidR="002F567E" w:rsidRPr="00B940A2" w:rsidRDefault="002F567E" w:rsidP="007739D6">
      <w:pPr>
        <w:spacing w:after="0" w:line="240" w:lineRule="auto"/>
        <w:contextualSpacing/>
        <w:jc w:val="both"/>
        <w:rPr>
          <w:rFonts w:ascii="Times New Roman" w:hAnsi="Times New Roman"/>
          <w:noProof/>
          <w:lang w:val="en-US"/>
        </w:rPr>
      </w:pPr>
    </w:p>
    <w:p w14:paraId="50FF749A" w14:textId="65DFA8A0" w:rsidR="00DC1DB7" w:rsidRPr="00B940A2" w:rsidRDefault="00092A78" w:rsidP="007739D6">
      <w:pPr>
        <w:numPr>
          <w:ilvl w:val="0"/>
          <w:numId w:val="18"/>
        </w:numPr>
        <w:spacing w:after="0" w:line="240" w:lineRule="auto"/>
        <w:ind w:left="0" w:firstLine="720"/>
        <w:contextualSpacing/>
        <w:jc w:val="both"/>
        <w:rPr>
          <w:rFonts w:ascii="Times New Roman" w:hAnsi="Times New Roman"/>
          <w:noProof/>
          <w:lang w:val="en-US"/>
        </w:rPr>
      </w:pPr>
      <w:r w:rsidRPr="00B940A2">
        <w:rPr>
          <w:rFonts w:ascii="Times New Roman" w:hAnsi="Times New Roman"/>
          <w:noProof/>
          <w:lang w:val="en-US"/>
        </w:rPr>
        <w:t xml:space="preserve">To request the rapporteur of the </w:t>
      </w:r>
      <w:r w:rsidRPr="00B940A2">
        <w:rPr>
          <w:rFonts w:ascii="Times New Roman" w:hAnsi="Times New Roman"/>
          <w:lang w:val="en-US"/>
        </w:rPr>
        <w:t xml:space="preserve">Inter-American Juridical Committee on the topic </w:t>
      </w:r>
      <w:r w:rsidR="0018655B" w:rsidRPr="00B940A2">
        <w:rPr>
          <w:rFonts w:ascii="Times New Roman" w:hAnsi="Times New Roman"/>
          <w:lang w:val="en-US"/>
        </w:rPr>
        <w:t>“</w:t>
      </w:r>
      <w:r w:rsidRPr="00B940A2">
        <w:rPr>
          <w:rFonts w:ascii="Times New Roman" w:hAnsi="Times New Roman"/>
          <w:i/>
          <w:iCs/>
          <w:lang w:val="en-US"/>
        </w:rPr>
        <w:t>responsibility of arms production and trading companies in the area of human rights,</w:t>
      </w:r>
      <w:r w:rsidR="0018655B" w:rsidRPr="00B940A2">
        <w:rPr>
          <w:rFonts w:ascii="Times New Roman" w:hAnsi="Times New Roman"/>
          <w:i/>
          <w:iCs/>
          <w:lang w:val="en-US"/>
        </w:rPr>
        <w:t>”</w:t>
      </w:r>
      <w:r w:rsidRPr="00B940A2">
        <w:rPr>
          <w:rFonts w:ascii="Times New Roman" w:hAnsi="Times New Roman"/>
          <w:lang w:val="en-US"/>
        </w:rPr>
        <w:t xml:space="preserve"> to enrich his work with an analysis of the due diligence that</w:t>
      </w:r>
      <w:r w:rsidR="002D6C57" w:rsidRPr="00B940A2">
        <w:rPr>
          <w:rFonts w:ascii="Times New Roman" w:hAnsi="Times New Roman"/>
          <w:b/>
          <w:bCs/>
          <w:lang w:val="en-US"/>
        </w:rPr>
        <w:t xml:space="preserve"> </w:t>
      </w:r>
      <w:r w:rsidR="00DC23E3" w:rsidRPr="00B940A2">
        <w:rPr>
          <w:rFonts w:ascii="Times New Roman" w:hAnsi="Times New Roman"/>
          <w:lang w:val="en-US"/>
        </w:rPr>
        <w:t xml:space="preserve">production, distribution and trading </w:t>
      </w:r>
      <w:r w:rsidRPr="00B940A2">
        <w:rPr>
          <w:rFonts w:ascii="Times New Roman" w:hAnsi="Times New Roman"/>
          <w:lang w:val="en-US"/>
        </w:rPr>
        <w:t xml:space="preserve">companies should </w:t>
      </w:r>
      <w:r w:rsidR="0018655B" w:rsidRPr="00B940A2">
        <w:rPr>
          <w:rFonts w:ascii="Times New Roman" w:hAnsi="Times New Roman"/>
          <w:lang w:val="en-US"/>
        </w:rPr>
        <w:t>exercise</w:t>
      </w:r>
      <w:r w:rsidRPr="00B940A2">
        <w:rPr>
          <w:rFonts w:ascii="Times New Roman" w:hAnsi="Times New Roman"/>
          <w:lang w:val="en-US"/>
        </w:rPr>
        <w:t xml:space="preserve">, as well as </w:t>
      </w:r>
      <w:r w:rsidR="00107B36" w:rsidRPr="00B940A2">
        <w:rPr>
          <w:rFonts w:ascii="Times New Roman" w:hAnsi="Times New Roman"/>
          <w:lang w:val="en-US"/>
        </w:rPr>
        <w:t xml:space="preserve">actions and </w:t>
      </w:r>
      <w:r w:rsidRPr="00B940A2">
        <w:rPr>
          <w:rFonts w:ascii="Times New Roman" w:hAnsi="Times New Roman"/>
          <w:lang w:val="en-US"/>
        </w:rPr>
        <w:t xml:space="preserve">steps that States should take to </w:t>
      </w:r>
      <w:r w:rsidR="00D83F8F" w:rsidRPr="00B940A2">
        <w:rPr>
          <w:rFonts w:ascii="Times New Roman" w:hAnsi="Times New Roman"/>
          <w:noProof/>
          <w:lang w:val="en-US"/>
        </w:rPr>
        <w:t>promote</w:t>
      </w:r>
      <w:r w:rsidR="002D453A" w:rsidRPr="00B940A2">
        <w:rPr>
          <w:rFonts w:ascii="Times New Roman" w:hAnsi="Times New Roman"/>
          <w:noProof/>
          <w:lang w:val="en-US"/>
        </w:rPr>
        <w:t xml:space="preserve"> </w:t>
      </w:r>
      <w:r w:rsidRPr="00B940A2">
        <w:rPr>
          <w:rFonts w:ascii="Times New Roman" w:hAnsi="Times New Roman"/>
          <w:lang w:val="en-US"/>
        </w:rPr>
        <w:t>access to justice in the event of non-performance of due diligence measures;</w:t>
      </w:r>
      <w:r w:rsidR="00F57B5D" w:rsidRPr="00B940A2">
        <w:rPr>
          <w:rFonts w:ascii="Times New Roman" w:hAnsi="Times New Roman"/>
          <w:lang w:val="en-US"/>
        </w:rPr>
        <w:t xml:space="preserve"> </w:t>
      </w:r>
    </w:p>
    <w:p w14:paraId="73291AC6" w14:textId="77777777" w:rsidR="00DC1DB7" w:rsidRPr="00B940A2" w:rsidRDefault="00DC1DB7" w:rsidP="007739D6">
      <w:pPr>
        <w:pStyle w:val="ListParagraph"/>
        <w:spacing w:after="0" w:line="240" w:lineRule="auto"/>
        <w:rPr>
          <w:rFonts w:ascii="Times New Roman" w:hAnsi="Times New Roman"/>
          <w:noProof/>
          <w:lang w:val="en-US"/>
        </w:rPr>
      </w:pPr>
    </w:p>
    <w:p w14:paraId="26574502" w14:textId="244CB0A8" w:rsidR="00F57B5D" w:rsidRPr="00B940A2" w:rsidRDefault="00092A78" w:rsidP="007739D6">
      <w:pPr>
        <w:numPr>
          <w:ilvl w:val="0"/>
          <w:numId w:val="18"/>
        </w:numPr>
        <w:spacing w:after="0" w:line="240" w:lineRule="auto"/>
        <w:ind w:left="0" w:firstLine="720"/>
        <w:contextualSpacing/>
        <w:jc w:val="both"/>
        <w:rPr>
          <w:rFonts w:ascii="Times New Roman" w:hAnsi="Times New Roman"/>
          <w:noProof/>
          <w:lang w:val="en-US"/>
        </w:rPr>
      </w:pPr>
      <w:r w:rsidRPr="00B940A2">
        <w:rPr>
          <w:rFonts w:ascii="Times New Roman" w:hAnsi="Times New Roman"/>
          <w:noProof/>
          <w:lang w:val="en-US"/>
        </w:rPr>
        <w:t>To request the Department of International Law, in order to strengthen the study on the responsibility of arms</w:t>
      </w:r>
      <w:r w:rsidR="00BF75FD" w:rsidRPr="00B940A2">
        <w:rPr>
          <w:rFonts w:ascii="Times New Roman" w:hAnsi="Times New Roman"/>
          <w:noProof/>
          <w:lang w:val="en-US"/>
        </w:rPr>
        <w:t xml:space="preserve"> and ammunitions</w:t>
      </w:r>
      <w:r w:rsidRPr="00B940A2">
        <w:rPr>
          <w:rFonts w:ascii="Times New Roman" w:hAnsi="Times New Roman"/>
          <w:noProof/>
          <w:lang w:val="en-US"/>
        </w:rPr>
        <w:t xml:space="preserve"> production</w:t>
      </w:r>
      <w:r w:rsidR="00BF75FD" w:rsidRPr="00B940A2">
        <w:rPr>
          <w:rFonts w:ascii="Times New Roman" w:hAnsi="Times New Roman"/>
          <w:noProof/>
          <w:lang w:val="en-US"/>
        </w:rPr>
        <w:t xml:space="preserve">, distribution </w:t>
      </w:r>
      <w:r w:rsidRPr="00B940A2">
        <w:rPr>
          <w:rFonts w:ascii="Times New Roman" w:hAnsi="Times New Roman"/>
          <w:noProof/>
          <w:lang w:val="en-US"/>
        </w:rPr>
        <w:t xml:space="preserve">and marketing companies, to </w:t>
      </w:r>
      <w:r w:rsidRPr="00B940A2">
        <w:rPr>
          <w:rFonts w:ascii="Times New Roman" w:hAnsi="Times New Roman"/>
          <w:noProof/>
          <w:lang w:val="en-US"/>
        </w:rPr>
        <w:lastRenderedPageBreak/>
        <w:t>promote the widest dissemination and reflection on the subject,</w:t>
      </w:r>
      <w:r w:rsidR="006035A0" w:rsidRPr="00B940A2">
        <w:rPr>
          <w:rFonts w:ascii="Times New Roman" w:hAnsi="Times New Roman"/>
          <w:noProof/>
          <w:lang w:val="en-US"/>
        </w:rPr>
        <w:t xml:space="preserve"> </w:t>
      </w:r>
      <w:r w:rsidRPr="00B940A2">
        <w:rPr>
          <w:rFonts w:ascii="Times New Roman" w:hAnsi="Times New Roman"/>
          <w:noProof/>
          <w:lang w:val="en-US"/>
        </w:rPr>
        <w:t>including the Advisory Opinion requested from the Inter-American Court of Human Rights on the activities of private companies and their effects on human rights</w:t>
      </w:r>
      <w:r w:rsidR="000E0A75" w:rsidRPr="00B940A2">
        <w:rPr>
          <w:rFonts w:ascii="Times New Roman" w:hAnsi="Times New Roman"/>
          <w:noProof/>
          <w:lang w:val="en-US"/>
        </w:rPr>
        <w:t>, when issued by the Court</w:t>
      </w:r>
      <w:r w:rsidRPr="00B940A2">
        <w:rPr>
          <w:rFonts w:ascii="Times New Roman" w:hAnsi="Times New Roman"/>
          <w:noProof/>
          <w:lang w:val="en-US"/>
        </w:rPr>
        <w:t>.</w:t>
      </w:r>
      <w:r w:rsidR="00F57B5D" w:rsidRPr="00B940A2">
        <w:rPr>
          <w:rFonts w:ascii="Times New Roman" w:hAnsi="Times New Roman"/>
          <w:noProof/>
          <w:lang w:val="en-US"/>
        </w:rPr>
        <w:t xml:space="preserve"> </w:t>
      </w:r>
    </w:p>
    <w:p w14:paraId="19612E54" w14:textId="77777777" w:rsidR="00DC1DB7" w:rsidRPr="00B940A2" w:rsidRDefault="00DC1DB7" w:rsidP="007739D6">
      <w:pPr>
        <w:spacing w:after="0" w:line="240" w:lineRule="auto"/>
        <w:contextualSpacing/>
        <w:jc w:val="both"/>
        <w:rPr>
          <w:rFonts w:ascii="Times New Roman" w:hAnsi="Times New Roman"/>
          <w:noProof/>
          <w:lang w:val="en-US"/>
        </w:rPr>
      </w:pPr>
    </w:p>
    <w:p w14:paraId="0CFA3920" w14:textId="2FACC20C" w:rsidR="00092A78" w:rsidRPr="00B940A2" w:rsidRDefault="00092A78" w:rsidP="007739D6">
      <w:pPr>
        <w:numPr>
          <w:ilvl w:val="0"/>
          <w:numId w:val="17"/>
        </w:numPr>
        <w:spacing w:after="0" w:line="240" w:lineRule="auto"/>
        <w:ind w:hanging="720"/>
        <w:contextualSpacing/>
        <w:jc w:val="both"/>
        <w:rPr>
          <w:rFonts w:ascii="Times New Roman" w:eastAsia="Times New Roman" w:hAnsi="Times New Roman"/>
          <w:u w:val="single"/>
          <w:lang w:val="en-US"/>
        </w:rPr>
      </w:pPr>
      <w:r w:rsidRPr="00B940A2">
        <w:rPr>
          <w:rFonts w:ascii="Times New Roman" w:hAnsi="Times New Roman"/>
          <w:u w:val="single"/>
          <w:lang w:val="en-US"/>
        </w:rPr>
        <w:t>Use of international law for strengthening the OAS</w:t>
      </w:r>
    </w:p>
    <w:p w14:paraId="766E397E" w14:textId="77777777" w:rsidR="00092A78" w:rsidRPr="00B940A2" w:rsidRDefault="00092A78" w:rsidP="007739D6">
      <w:pPr>
        <w:spacing w:after="0" w:line="240" w:lineRule="auto"/>
        <w:jc w:val="both"/>
        <w:rPr>
          <w:rFonts w:ascii="Times New Roman" w:eastAsia="Times New Roman" w:hAnsi="Times New Roman"/>
          <w:noProof/>
          <w:lang w:val="en-US"/>
        </w:rPr>
      </w:pPr>
    </w:p>
    <w:p w14:paraId="7DA091CD" w14:textId="66E83DC7" w:rsidR="00092A78" w:rsidRPr="00B940A2" w:rsidRDefault="00092A78" w:rsidP="007739D6">
      <w:pPr>
        <w:spacing w:after="0" w:line="240" w:lineRule="auto"/>
        <w:ind w:firstLine="720"/>
        <w:jc w:val="both"/>
        <w:rPr>
          <w:rFonts w:ascii="Times New Roman" w:eastAsia="Times New Roman" w:hAnsi="Times New Roman"/>
          <w:color w:val="000000"/>
          <w:u w:val="single"/>
          <w:lang w:val="en-US"/>
        </w:rPr>
      </w:pPr>
      <w:r w:rsidRPr="00B940A2">
        <w:rPr>
          <w:rFonts w:ascii="Times New Roman" w:eastAsia="Times New Roman" w:hAnsi="Times New Roman"/>
          <w:noProof/>
          <w:lang w:val="en-US"/>
        </w:rPr>
        <w:t>TAKING NOTE of the meeting held by the Permanent Council to reflect collectively on the principles of international law on which the inter-American system is founded, as the normative framework that governs the work of the Organization of American States;</w:t>
      </w:r>
      <w:r w:rsidR="00743BBF" w:rsidRPr="00B940A2">
        <w:rPr>
          <w:rFonts w:ascii="Times New Roman" w:eastAsia="Times New Roman" w:hAnsi="Times New Roman"/>
          <w:noProof/>
          <w:lang w:val="en-US"/>
        </w:rPr>
        <w:t xml:space="preserve"> </w:t>
      </w:r>
    </w:p>
    <w:p w14:paraId="55F2DE86" w14:textId="41A75B77" w:rsidR="00092A78" w:rsidRPr="00B940A2" w:rsidRDefault="00092A78" w:rsidP="007739D6">
      <w:pPr>
        <w:spacing w:after="0" w:line="240" w:lineRule="auto"/>
        <w:jc w:val="both"/>
        <w:rPr>
          <w:rFonts w:ascii="Times New Roman" w:eastAsia="Times New Roman" w:hAnsi="Times New Roman"/>
          <w:color w:val="000000"/>
          <w:lang w:val="en-US"/>
        </w:rPr>
      </w:pPr>
      <w:r w:rsidRPr="00B940A2">
        <w:rPr>
          <w:rFonts w:ascii="Times New Roman" w:eastAsia="Times New Roman" w:hAnsi="Times New Roman"/>
          <w:color w:val="000000"/>
          <w:lang w:val="en-US"/>
        </w:rPr>
        <w:tab/>
        <w:t xml:space="preserve">RECOGNIZING the work of the Inter-American Commission on Human Rights and the Inter-American Court of Human Rights for the observance, promotion, and protection of human rights in the region; </w:t>
      </w:r>
    </w:p>
    <w:p w14:paraId="614F9424" w14:textId="77777777" w:rsidR="00092A78" w:rsidRPr="00B940A2" w:rsidRDefault="00092A78" w:rsidP="007739D6">
      <w:pPr>
        <w:spacing w:after="0" w:line="240" w:lineRule="auto"/>
        <w:jc w:val="both"/>
        <w:rPr>
          <w:rFonts w:ascii="Times New Roman" w:eastAsia="Times New Roman" w:hAnsi="Times New Roman"/>
          <w:color w:val="000000"/>
          <w:lang w:val="en-US"/>
        </w:rPr>
      </w:pPr>
    </w:p>
    <w:p w14:paraId="44F324A3" w14:textId="77D50FE6" w:rsidR="00092A78" w:rsidRPr="00B940A2" w:rsidRDefault="00092A78" w:rsidP="007739D6">
      <w:pPr>
        <w:spacing w:after="0" w:line="240" w:lineRule="auto"/>
        <w:jc w:val="both"/>
        <w:rPr>
          <w:rFonts w:ascii="Times New Roman" w:eastAsia="Times New Roman" w:hAnsi="Times New Roman"/>
          <w:color w:val="000000"/>
          <w:lang w:val="en-US"/>
        </w:rPr>
      </w:pPr>
      <w:r w:rsidRPr="00B940A2">
        <w:rPr>
          <w:rFonts w:ascii="Times New Roman" w:eastAsia="Times New Roman" w:hAnsi="Times New Roman"/>
          <w:color w:val="000000"/>
          <w:lang w:val="en-US"/>
        </w:rPr>
        <w:tab/>
        <w:t>AWARE of the importance of the inter-American human rights system for strengthening the capacity of member states to meet their human rights obligations;</w:t>
      </w:r>
      <w:r w:rsidR="00AA4E71" w:rsidRPr="00B940A2">
        <w:rPr>
          <w:rFonts w:ascii="Times New Roman" w:eastAsia="Times New Roman" w:hAnsi="Times New Roman"/>
          <w:color w:val="000000"/>
          <w:lang w:val="en-US"/>
        </w:rPr>
        <w:t xml:space="preserve"> </w:t>
      </w:r>
    </w:p>
    <w:p w14:paraId="3ED148D9" w14:textId="77777777" w:rsidR="00092A78" w:rsidRPr="00B940A2" w:rsidRDefault="00092A78" w:rsidP="007739D6">
      <w:pPr>
        <w:spacing w:after="0" w:line="240" w:lineRule="auto"/>
        <w:jc w:val="both"/>
        <w:rPr>
          <w:rFonts w:ascii="Times New Roman" w:eastAsia="Times New Roman" w:hAnsi="Times New Roman"/>
          <w:color w:val="000000"/>
          <w:lang w:val="en-US"/>
        </w:rPr>
      </w:pPr>
    </w:p>
    <w:p w14:paraId="7DE4792E" w14:textId="38D6E6ED" w:rsidR="00092A78" w:rsidRPr="00B940A2" w:rsidRDefault="00092A78" w:rsidP="007739D6">
      <w:pPr>
        <w:spacing w:after="0" w:line="240" w:lineRule="auto"/>
        <w:jc w:val="both"/>
        <w:rPr>
          <w:rFonts w:ascii="Times New Roman" w:eastAsia="Times New Roman" w:hAnsi="Times New Roman"/>
          <w:color w:val="000000"/>
          <w:lang w:val="en-US"/>
        </w:rPr>
      </w:pPr>
      <w:r w:rsidRPr="00B940A2">
        <w:rPr>
          <w:rFonts w:ascii="Times New Roman" w:eastAsia="Times New Roman" w:hAnsi="Times New Roman"/>
          <w:color w:val="000000"/>
          <w:lang w:val="en-US"/>
        </w:rPr>
        <w:tab/>
        <w:t>EMPHASIZING that the Inter-American Court of Human Rights is one of three regional human rights tribunals exercising contentious and advisory functions for the States that accept its jurisdiction;</w:t>
      </w:r>
      <w:r w:rsidR="00B763C0" w:rsidRPr="00B940A2">
        <w:rPr>
          <w:rFonts w:ascii="Times New Roman" w:eastAsia="Times New Roman" w:hAnsi="Times New Roman"/>
          <w:color w:val="000000"/>
          <w:lang w:val="en-US"/>
        </w:rPr>
        <w:t xml:space="preserve"> </w:t>
      </w:r>
    </w:p>
    <w:p w14:paraId="6BAF6C93" w14:textId="237EDDCD" w:rsidR="002D453A" w:rsidRPr="00B940A2" w:rsidRDefault="002D453A" w:rsidP="007739D6">
      <w:pPr>
        <w:spacing w:after="0" w:line="240" w:lineRule="auto"/>
        <w:jc w:val="both"/>
        <w:rPr>
          <w:rFonts w:ascii="Times New Roman" w:eastAsia="Times New Roman" w:hAnsi="Times New Roman"/>
          <w:color w:val="000000"/>
          <w:lang w:val="en-US"/>
        </w:rPr>
      </w:pPr>
    </w:p>
    <w:p w14:paraId="1FBC2312" w14:textId="27DA6682" w:rsidR="00F21B33" w:rsidRPr="00B940A2" w:rsidRDefault="009D5F1E" w:rsidP="007739D6">
      <w:pPr>
        <w:spacing w:after="0" w:line="240" w:lineRule="auto"/>
        <w:ind w:left="90" w:firstLine="630"/>
        <w:jc w:val="both"/>
        <w:rPr>
          <w:rFonts w:ascii="Times New Roman" w:eastAsia="Times New Roman" w:hAnsi="Times New Roman"/>
          <w:color w:val="000000"/>
          <w:lang w:val="en-US"/>
        </w:rPr>
      </w:pPr>
      <w:r w:rsidRPr="00B940A2">
        <w:rPr>
          <w:rFonts w:ascii="Times New Roman" w:eastAsia="Times New Roman" w:hAnsi="Times New Roman"/>
          <w:color w:val="000000"/>
          <w:lang w:val="en-US"/>
        </w:rPr>
        <w:t>UNDERLINING that, as a court of law, the case law of the Inter-American Court of Human Rights is binding upon States that have accepted its jurisdiction</w:t>
      </w:r>
      <w:r w:rsidR="0001123C" w:rsidRPr="00B940A2">
        <w:rPr>
          <w:rFonts w:ascii="Times New Roman" w:eastAsia="Times New Roman" w:hAnsi="Times New Roman"/>
          <w:color w:val="000000"/>
          <w:lang w:val="en-US"/>
        </w:rPr>
        <w:t xml:space="preserve"> as stipulated in article 68.1 of the American Convention on Human Rights</w:t>
      </w:r>
      <w:r w:rsidRPr="00B940A2">
        <w:rPr>
          <w:rFonts w:ascii="Times New Roman" w:eastAsia="Times New Roman" w:hAnsi="Times New Roman"/>
          <w:color w:val="000000"/>
          <w:lang w:val="en-US"/>
        </w:rPr>
        <w:t xml:space="preserve"> and stands as an ancillary source of international law;</w:t>
      </w:r>
      <w:r w:rsidR="00CC5CC3" w:rsidRPr="00B940A2">
        <w:rPr>
          <w:rFonts w:ascii="Times New Roman" w:eastAsia="Times New Roman" w:hAnsi="Times New Roman"/>
          <w:color w:val="000000"/>
          <w:lang w:val="en-US"/>
        </w:rPr>
        <w:t xml:space="preserve"> </w:t>
      </w:r>
    </w:p>
    <w:p w14:paraId="6D8A3B2F" w14:textId="77777777" w:rsidR="00D8085A" w:rsidRPr="00B940A2" w:rsidRDefault="00D8085A" w:rsidP="007739D6">
      <w:pPr>
        <w:spacing w:after="0" w:line="240" w:lineRule="auto"/>
        <w:jc w:val="both"/>
        <w:rPr>
          <w:rFonts w:ascii="Times New Roman" w:eastAsia="Times New Roman" w:hAnsi="Times New Roman"/>
          <w:color w:val="000000"/>
          <w:lang w:val="en-US"/>
        </w:rPr>
      </w:pPr>
    </w:p>
    <w:p w14:paraId="0E1945F6" w14:textId="27A12EB9" w:rsidR="00F21B33" w:rsidRPr="00B940A2" w:rsidRDefault="00092A78" w:rsidP="007739D6">
      <w:pPr>
        <w:spacing w:after="0" w:line="240" w:lineRule="auto"/>
        <w:jc w:val="both"/>
        <w:rPr>
          <w:rFonts w:ascii="Times New Roman" w:eastAsia="Times New Roman" w:hAnsi="Times New Roman"/>
          <w:color w:val="000000"/>
          <w:lang w:val="en-US"/>
        </w:rPr>
      </w:pPr>
      <w:r w:rsidRPr="00B940A2">
        <w:rPr>
          <w:rFonts w:ascii="Times New Roman" w:eastAsia="Times New Roman" w:hAnsi="Times New Roman"/>
          <w:color w:val="000000"/>
          <w:lang w:val="en-US"/>
        </w:rPr>
        <w:t>RESOLVES:</w:t>
      </w:r>
    </w:p>
    <w:p w14:paraId="7A673D98" w14:textId="77777777" w:rsidR="00D8085A" w:rsidRPr="00B940A2" w:rsidRDefault="00D8085A" w:rsidP="007739D6">
      <w:pPr>
        <w:spacing w:after="0" w:line="240" w:lineRule="auto"/>
        <w:jc w:val="both"/>
        <w:rPr>
          <w:rFonts w:ascii="Times New Roman" w:eastAsia="Times New Roman" w:hAnsi="Times New Roman"/>
          <w:color w:val="000000"/>
        </w:rPr>
      </w:pPr>
    </w:p>
    <w:p w14:paraId="2E9681FB" w14:textId="597350B6" w:rsidR="00092A78" w:rsidRPr="00B940A2" w:rsidRDefault="00092A78" w:rsidP="007739D6">
      <w:pPr>
        <w:numPr>
          <w:ilvl w:val="0"/>
          <w:numId w:val="38"/>
        </w:numPr>
        <w:spacing w:after="0" w:line="240" w:lineRule="auto"/>
        <w:ind w:left="0" w:firstLine="720"/>
        <w:contextualSpacing/>
        <w:jc w:val="both"/>
        <w:rPr>
          <w:rFonts w:ascii="Times New Roman" w:hAnsi="Times New Roman"/>
          <w:color w:val="000000"/>
          <w:lang w:val="en-US"/>
        </w:rPr>
      </w:pPr>
      <w:r w:rsidRPr="00B940A2">
        <w:rPr>
          <w:rFonts w:ascii="Times New Roman" w:hAnsi="Times New Roman"/>
          <w:color w:val="000000"/>
          <w:lang w:val="en-US"/>
        </w:rPr>
        <w:t>To acknowledge the contributions of the Inter-American Commission on Human Rights and the Inter-American Court of Human Rights to the strengthening of the rule of law in the region.</w:t>
      </w:r>
      <w:r w:rsidR="0032010D" w:rsidRPr="00B940A2">
        <w:rPr>
          <w:rFonts w:ascii="Times New Roman" w:hAnsi="Times New Roman"/>
          <w:color w:val="000000"/>
          <w:lang w:val="en-US"/>
        </w:rPr>
        <w:t xml:space="preserve"> </w:t>
      </w:r>
    </w:p>
    <w:p w14:paraId="5F053D2B" w14:textId="77777777" w:rsidR="00092A78" w:rsidRPr="00B940A2" w:rsidRDefault="00092A78" w:rsidP="007739D6">
      <w:pPr>
        <w:spacing w:after="0" w:line="240" w:lineRule="auto"/>
        <w:jc w:val="both"/>
        <w:rPr>
          <w:rFonts w:ascii="Times New Roman" w:hAnsi="Times New Roman"/>
          <w:color w:val="000000"/>
          <w:lang w:val="en-US"/>
        </w:rPr>
      </w:pPr>
    </w:p>
    <w:p w14:paraId="6708834B" w14:textId="1FBABC23" w:rsidR="00092A78" w:rsidRPr="00B940A2" w:rsidRDefault="00092A78" w:rsidP="007739D6">
      <w:pPr>
        <w:numPr>
          <w:ilvl w:val="0"/>
          <w:numId w:val="38"/>
        </w:numPr>
        <w:spacing w:after="0" w:line="240" w:lineRule="auto"/>
        <w:ind w:left="0" w:firstLine="720"/>
        <w:contextualSpacing/>
        <w:jc w:val="both"/>
        <w:rPr>
          <w:rFonts w:ascii="Times New Roman" w:hAnsi="Times New Roman"/>
          <w:color w:val="000000"/>
          <w:lang w:val="en-US"/>
        </w:rPr>
      </w:pPr>
      <w:r w:rsidRPr="00B940A2">
        <w:rPr>
          <w:rFonts w:ascii="Times New Roman" w:hAnsi="Times New Roman"/>
          <w:color w:val="000000"/>
          <w:lang w:val="en-US"/>
        </w:rPr>
        <w:t xml:space="preserve">To request the Committee on Juridical and Political Affairs to hold a meeting to discuss, from an international-law perspective, the practices and experiences of </w:t>
      </w:r>
      <w:r w:rsidR="009D5F1E" w:rsidRPr="00B940A2">
        <w:rPr>
          <w:rFonts w:ascii="Times New Roman" w:hAnsi="Times New Roman"/>
          <w:color w:val="000000"/>
          <w:lang w:val="en-US"/>
        </w:rPr>
        <w:t xml:space="preserve">Member </w:t>
      </w:r>
      <w:r w:rsidRPr="00B940A2">
        <w:rPr>
          <w:rFonts w:ascii="Times New Roman" w:hAnsi="Times New Roman"/>
          <w:color w:val="000000"/>
          <w:lang w:val="en-US"/>
        </w:rPr>
        <w:t>States in proceedings before the Inter-American Commission on Human Rights and the Inter-American Court of Human Rights.</w:t>
      </w:r>
      <w:r w:rsidR="0032010D" w:rsidRPr="00B940A2">
        <w:rPr>
          <w:rFonts w:ascii="Times New Roman" w:hAnsi="Times New Roman"/>
          <w:color w:val="000000"/>
          <w:lang w:val="en-US"/>
        </w:rPr>
        <w:t xml:space="preserve"> </w:t>
      </w:r>
    </w:p>
    <w:p w14:paraId="4CA1CAEF" w14:textId="77777777" w:rsidR="00092A78" w:rsidRPr="00B940A2" w:rsidRDefault="00092A78" w:rsidP="007739D6">
      <w:pPr>
        <w:spacing w:after="0" w:line="240" w:lineRule="auto"/>
        <w:jc w:val="both"/>
        <w:rPr>
          <w:rFonts w:ascii="Times New Roman" w:hAnsi="Times New Roman"/>
          <w:color w:val="000000"/>
          <w:lang w:val="en-US"/>
        </w:rPr>
      </w:pPr>
    </w:p>
    <w:p w14:paraId="75F301DF" w14:textId="2D5E2183" w:rsidR="00092A78" w:rsidRPr="00B940A2" w:rsidRDefault="00092A78" w:rsidP="007739D6">
      <w:pPr>
        <w:numPr>
          <w:ilvl w:val="0"/>
          <w:numId w:val="38"/>
        </w:numPr>
        <w:spacing w:after="0" w:line="240" w:lineRule="auto"/>
        <w:ind w:left="0" w:firstLine="720"/>
        <w:contextualSpacing/>
        <w:jc w:val="both"/>
        <w:rPr>
          <w:rFonts w:ascii="Times New Roman" w:hAnsi="Times New Roman"/>
          <w:color w:val="000000"/>
          <w:lang w:val="en-US"/>
        </w:rPr>
      </w:pPr>
      <w:r w:rsidRPr="00B940A2">
        <w:rPr>
          <w:rFonts w:ascii="Times New Roman" w:hAnsi="Times New Roman"/>
          <w:color w:val="000000"/>
          <w:lang w:val="en-US"/>
        </w:rPr>
        <w:t xml:space="preserve">To request that the Joint Meeting with Legal Advisors to Ministries of Foreign Affairs, organized every two years by the Inter-American Juridical Committee, include this topic in its discussions. </w:t>
      </w:r>
    </w:p>
    <w:p w14:paraId="06EF7BA9" w14:textId="77777777" w:rsidR="0000183F" w:rsidRPr="00B940A2" w:rsidRDefault="0000183F" w:rsidP="007739D6">
      <w:pPr>
        <w:spacing w:after="0" w:line="240" w:lineRule="auto"/>
        <w:jc w:val="both"/>
        <w:rPr>
          <w:rFonts w:ascii="Times New Roman" w:eastAsia="Times New Roman" w:hAnsi="Times New Roman"/>
          <w:color w:val="000000"/>
          <w:u w:val="single"/>
          <w:lang w:val="en-US"/>
        </w:rPr>
      </w:pPr>
    </w:p>
    <w:p w14:paraId="1F3D703F" w14:textId="78BBE19A" w:rsidR="00092A78" w:rsidRPr="00B940A2" w:rsidRDefault="00092A78" w:rsidP="007739D6">
      <w:pPr>
        <w:numPr>
          <w:ilvl w:val="0"/>
          <w:numId w:val="17"/>
        </w:numPr>
        <w:spacing w:after="0" w:line="240" w:lineRule="auto"/>
        <w:ind w:hanging="720"/>
        <w:contextualSpacing/>
        <w:jc w:val="both"/>
        <w:rPr>
          <w:rFonts w:ascii="Times New Roman" w:hAnsi="Times New Roman"/>
          <w:u w:val="single"/>
          <w:lang w:val="en-US"/>
        </w:rPr>
      </w:pPr>
      <w:r w:rsidRPr="00B940A2">
        <w:rPr>
          <w:rFonts w:ascii="Times New Roman" w:hAnsi="Times New Roman"/>
          <w:u w:val="single"/>
          <w:lang w:val="en-US"/>
        </w:rPr>
        <w:t>Promotion of and respect for international humanitarian law</w:t>
      </w:r>
      <w:r w:rsidRPr="00B940A2">
        <w:rPr>
          <w:rFonts w:ascii="Times New Roman" w:hAnsi="Times New Roman"/>
          <w:lang w:val="en-US"/>
        </w:rPr>
        <w:t xml:space="preserve"> </w:t>
      </w:r>
      <w:r w:rsidR="00B24190" w:rsidRPr="00B940A2">
        <w:rPr>
          <w:rFonts w:ascii="Times New Roman" w:hAnsi="Times New Roman"/>
          <w:lang w:val="en-US"/>
        </w:rPr>
        <w:t xml:space="preserve"> </w:t>
      </w:r>
      <w:r w:rsidR="00405E89" w:rsidRPr="00B940A2">
        <w:rPr>
          <w:rStyle w:val="FootnoteReference"/>
          <w:rFonts w:ascii="Times New Roman" w:hAnsi="Times New Roman"/>
          <w:b/>
          <w:bCs/>
          <w:u w:val="single"/>
          <w:vertAlign w:val="superscript"/>
          <w:lang w:val="en-US"/>
        </w:rPr>
        <w:footnoteReference w:id="3"/>
      </w:r>
      <w:r w:rsidR="00405E89" w:rsidRPr="00B940A2">
        <w:rPr>
          <w:rFonts w:ascii="Times New Roman" w:hAnsi="Times New Roman"/>
          <w:b/>
          <w:bCs/>
          <w:vertAlign w:val="superscript"/>
          <w:lang w:val="en-US"/>
        </w:rPr>
        <w:t>/</w:t>
      </w:r>
    </w:p>
    <w:p w14:paraId="1307ED77" w14:textId="77777777" w:rsidR="00092A78" w:rsidRPr="00B940A2" w:rsidRDefault="00092A78" w:rsidP="007739D6">
      <w:pPr>
        <w:spacing w:after="0" w:line="240" w:lineRule="auto"/>
        <w:contextualSpacing/>
        <w:jc w:val="both"/>
        <w:rPr>
          <w:rFonts w:ascii="Times New Roman" w:hAnsi="Times New Roman"/>
          <w:noProof/>
          <w:u w:val="single"/>
          <w:lang w:val="en-US"/>
        </w:rPr>
      </w:pPr>
    </w:p>
    <w:p w14:paraId="322DBA22" w14:textId="3A841179" w:rsidR="00092A78" w:rsidRPr="00B940A2" w:rsidRDefault="00092A78" w:rsidP="007739D6">
      <w:pPr>
        <w:spacing w:after="0" w:line="240" w:lineRule="auto"/>
        <w:ind w:firstLine="720"/>
        <w:jc w:val="both"/>
        <w:rPr>
          <w:rFonts w:ascii="Times New Roman" w:eastAsia="Times New Roman" w:hAnsi="Times New Roman"/>
          <w:lang w:val="en-US"/>
        </w:rPr>
      </w:pPr>
      <w:r w:rsidRPr="00B940A2">
        <w:rPr>
          <w:rFonts w:ascii="Times New Roman" w:hAnsi="Times New Roman"/>
          <w:noProof/>
          <w:color w:val="000000"/>
          <w:lang w:val="en-US"/>
        </w:rPr>
        <w:t>RECOGNIZING that</w:t>
      </w:r>
      <w:r w:rsidR="00053876" w:rsidRPr="00B940A2">
        <w:rPr>
          <w:rFonts w:ascii="Times New Roman" w:hAnsi="Times New Roman"/>
          <w:noProof/>
          <w:color w:val="000000"/>
          <w:lang w:val="en-US"/>
        </w:rPr>
        <w:t xml:space="preserve"> new applications of </w:t>
      </w:r>
      <w:r w:rsidRPr="00B940A2">
        <w:rPr>
          <w:rFonts w:ascii="Times New Roman" w:hAnsi="Times New Roman"/>
          <w:lang w:val="en-US"/>
        </w:rPr>
        <w:t>emerging technologies, such as</w:t>
      </w:r>
      <w:r w:rsidR="00053876" w:rsidRPr="00B940A2">
        <w:rPr>
          <w:rFonts w:ascii="Times New Roman" w:hAnsi="Times New Roman"/>
          <w:lang w:val="en-US"/>
        </w:rPr>
        <w:t xml:space="preserve"> those in </w:t>
      </w:r>
      <w:r w:rsidRPr="00B940A2">
        <w:rPr>
          <w:rFonts w:ascii="Times New Roman" w:hAnsi="Times New Roman"/>
          <w:lang w:val="en-US"/>
        </w:rPr>
        <w:t xml:space="preserve">autonomous weapons, </w:t>
      </w:r>
      <w:r w:rsidR="00053876" w:rsidRPr="00B940A2">
        <w:rPr>
          <w:rFonts w:ascii="Times New Roman" w:hAnsi="Times New Roman"/>
          <w:lang w:val="en-US"/>
        </w:rPr>
        <w:t>may</w:t>
      </w:r>
      <w:r w:rsidR="00A9086C" w:rsidRPr="00B940A2">
        <w:rPr>
          <w:rFonts w:ascii="Times New Roman" w:hAnsi="Times New Roman"/>
          <w:lang w:val="en-US"/>
        </w:rPr>
        <w:t xml:space="preserve"> </w:t>
      </w:r>
      <w:r w:rsidRPr="00B940A2">
        <w:rPr>
          <w:rFonts w:ascii="Times New Roman" w:hAnsi="Times New Roman"/>
          <w:lang w:val="en-US"/>
        </w:rPr>
        <w:t xml:space="preserve">pose concrete challenges to international peace and security, and raise new questions about the role of human beings in </w:t>
      </w:r>
      <w:r w:rsidR="00B0202F" w:rsidRPr="00B940A2">
        <w:rPr>
          <w:rFonts w:ascii="Times New Roman" w:hAnsi="Times New Roman"/>
          <w:lang w:val="en-US"/>
        </w:rPr>
        <w:t>armed conflicts</w:t>
      </w:r>
      <w:r w:rsidRPr="00B940A2">
        <w:rPr>
          <w:rFonts w:ascii="Times New Roman" w:hAnsi="Times New Roman"/>
          <w:lang w:val="en-US"/>
        </w:rPr>
        <w:t xml:space="preserve">. </w:t>
      </w:r>
    </w:p>
    <w:p w14:paraId="1F4A8445" w14:textId="77777777" w:rsidR="00092A78" w:rsidRPr="00B940A2" w:rsidRDefault="00092A78" w:rsidP="007739D6">
      <w:pPr>
        <w:spacing w:after="0" w:line="240" w:lineRule="auto"/>
        <w:jc w:val="both"/>
        <w:rPr>
          <w:rFonts w:ascii="Times New Roman" w:eastAsia="Times New Roman" w:hAnsi="Times New Roman"/>
          <w:lang w:val="en-US"/>
        </w:rPr>
      </w:pPr>
    </w:p>
    <w:p w14:paraId="08C0FD59" w14:textId="4C4A96C0" w:rsidR="00092A78" w:rsidRPr="00B940A2" w:rsidRDefault="00092A78" w:rsidP="007739D6">
      <w:pPr>
        <w:spacing w:after="0" w:line="240" w:lineRule="auto"/>
        <w:ind w:firstLine="720"/>
        <w:jc w:val="both"/>
        <w:rPr>
          <w:rFonts w:ascii="Times New Roman" w:eastAsia="Times New Roman" w:hAnsi="Times New Roman"/>
          <w:lang w:val="en-US"/>
        </w:rPr>
      </w:pPr>
      <w:r w:rsidRPr="00B940A2">
        <w:rPr>
          <w:rFonts w:ascii="Times New Roman" w:eastAsia="Times New Roman" w:hAnsi="Times New Roman"/>
          <w:lang w:val="en-US"/>
        </w:rPr>
        <w:lastRenderedPageBreak/>
        <w:t xml:space="preserve">EXPRESSING CONCERN about the </w:t>
      </w:r>
      <w:r w:rsidR="00053876" w:rsidRPr="00B940A2">
        <w:rPr>
          <w:rFonts w:ascii="Times New Roman" w:eastAsia="Times New Roman" w:hAnsi="Times New Roman"/>
          <w:lang w:val="en-US"/>
        </w:rPr>
        <w:t xml:space="preserve">risk that </w:t>
      </w:r>
      <w:r w:rsidRPr="00B940A2">
        <w:rPr>
          <w:rFonts w:ascii="Times New Roman" w:eastAsia="Times New Roman" w:hAnsi="Times New Roman"/>
          <w:lang w:val="en-US"/>
        </w:rPr>
        <w:t xml:space="preserve">autonomous weapons systems </w:t>
      </w:r>
      <w:r w:rsidR="00053876" w:rsidRPr="00B940A2">
        <w:rPr>
          <w:rFonts w:ascii="Times New Roman" w:eastAsia="Times New Roman" w:hAnsi="Times New Roman"/>
          <w:lang w:val="en-US"/>
        </w:rPr>
        <w:t>will not be used in compliance with international</w:t>
      </w:r>
      <w:r w:rsidR="00BD006F" w:rsidRPr="00B940A2">
        <w:rPr>
          <w:rFonts w:ascii="Times New Roman" w:eastAsia="Times New Roman" w:hAnsi="Times New Roman"/>
          <w:lang w:val="en-US"/>
        </w:rPr>
        <w:t xml:space="preserve"> law, </w:t>
      </w:r>
      <w:r w:rsidR="00935330" w:rsidRPr="00B940A2">
        <w:rPr>
          <w:rFonts w:ascii="Times New Roman" w:eastAsia="Times New Roman" w:hAnsi="Times New Roman"/>
          <w:lang w:val="en-US"/>
        </w:rPr>
        <w:t>particularly</w:t>
      </w:r>
      <w:r w:rsidR="00BD006F" w:rsidRPr="00B940A2">
        <w:rPr>
          <w:rFonts w:ascii="Times New Roman" w:eastAsia="Times New Roman" w:hAnsi="Times New Roman"/>
          <w:lang w:val="en-US"/>
        </w:rPr>
        <w:t xml:space="preserve"> with</w:t>
      </w:r>
      <w:r w:rsidR="0084586B" w:rsidRPr="00B940A2">
        <w:rPr>
          <w:rFonts w:ascii="Times New Roman" w:eastAsia="Times New Roman" w:hAnsi="Times New Roman"/>
          <w:lang w:val="en-US"/>
        </w:rPr>
        <w:t xml:space="preserve"> the</w:t>
      </w:r>
      <w:r w:rsidR="00BD006F" w:rsidRPr="00B940A2">
        <w:rPr>
          <w:rFonts w:ascii="Times New Roman" w:eastAsia="Times New Roman" w:hAnsi="Times New Roman"/>
          <w:lang w:val="en-US"/>
        </w:rPr>
        <w:t xml:space="preserve"> r</w:t>
      </w:r>
      <w:r w:rsidR="003464E5" w:rsidRPr="00B940A2">
        <w:rPr>
          <w:rFonts w:ascii="Times New Roman" w:eastAsia="Times New Roman" w:hAnsi="Times New Roman"/>
          <w:lang w:val="en-US"/>
        </w:rPr>
        <w:t>egulations and principles of international</w:t>
      </w:r>
      <w:r w:rsidR="00053876" w:rsidRPr="00B940A2">
        <w:rPr>
          <w:rFonts w:ascii="Times New Roman" w:eastAsia="Times New Roman" w:hAnsi="Times New Roman"/>
          <w:lang w:val="en-US"/>
        </w:rPr>
        <w:t xml:space="preserve"> humanitarian law, </w:t>
      </w:r>
      <w:r w:rsidR="00064566" w:rsidRPr="00B940A2">
        <w:rPr>
          <w:rFonts w:ascii="Times New Roman" w:eastAsia="Times New Roman" w:hAnsi="Times New Roman"/>
          <w:lang w:val="en-US"/>
        </w:rPr>
        <w:t>such as</w:t>
      </w:r>
      <w:r w:rsidR="00053876" w:rsidRPr="00B940A2">
        <w:rPr>
          <w:rFonts w:ascii="Times New Roman" w:eastAsia="Times New Roman" w:hAnsi="Times New Roman"/>
          <w:lang w:val="en-US"/>
        </w:rPr>
        <w:t xml:space="preserve"> distinction, proportionality, and precautions in attack, </w:t>
      </w:r>
      <w:r w:rsidRPr="00B940A2">
        <w:rPr>
          <w:rFonts w:ascii="Times New Roman" w:eastAsia="Times New Roman" w:hAnsi="Times New Roman"/>
          <w:lang w:val="en-US"/>
        </w:rPr>
        <w:t xml:space="preserve">in armed conflict, and </w:t>
      </w:r>
      <w:r w:rsidR="00053876" w:rsidRPr="00B940A2">
        <w:rPr>
          <w:rFonts w:ascii="Times New Roman" w:eastAsia="Times New Roman" w:hAnsi="Times New Roman"/>
          <w:lang w:val="en-US"/>
        </w:rPr>
        <w:t xml:space="preserve">the risk </w:t>
      </w:r>
      <w:r w:rsidRPr="00B940A2">
        <w:rPr>
          <w:rFonts w:ascii="Times New Roman" w:eastAsia="Times New Roman" w:hAnsi="Times New Roman"/>
          <w:lang w:val="en-US"/>
        </w:rPr>
        <w:t xml:space="preserve">that </w:t>
      </w:r>
      <w:r w:rsidR="00053876" w:rsidRPr="00B940A2">
        <w:rPr>
          <w:rFonts w:ascii="Times New Roman" w:eastAsia="Times New Roman" w:hAnsi="Times New Roman"/>
          <w:lang w:val="en-US"/>
        </w:rPr>
        <w:t xml:space="preserve">new technologies could be used to </w:t>
      </w:r>
      <w:r w:rsidRPr="00B940A2">
        <w:rPr>
          <w:rFonts w:ascii="Times New Roman" w:eastAsia="Times New Roman" w:hAnsi="Times New Roman"/>
          <w:lang w:val="en-US"/>
        </w:rPr>
        <w:t>exacerbate discrimination against certain already vulnerable groups</w:t>
      </w:r>
      <w:r w:rsidR="00053876" w:rsidRPr="00B940A2">
        <w:rPr>
          <w:rFonts w:ascii="Times New Roman" w:eastAsia="Times New Roman" w:hAnsi="Times New Roman"/>
          <w:lang w:val="en-US"/>
        </w:rPr>
        <w:t>, including</w:t>
      </w:r>
      <w:r w:rsidRPr="00B940A2">
        <w:rPr>
          <w:rFonts w:ascii="Times New Roman" w:eastAsia="Times New Roman" w:hAnsi="Times New Roman"/>
          <w:lang w:val="en-US"/>
        </w:rPr>
        <w:t xml:space="preserve"> biases with regard to disability, race, gender, age, and other </w:t>
      </w:r>
      <w:r w:rsidR="00607C23" w:rsidRPr="00B940A2">
        <w:rPr>
          <w:rFonts w:ascii="Times New Roman" w:eastAsia="Times New Roman" w:hAnsi="Times New Roman"/>
          <w:lang w:val="en-US"/>
        </w:rPr>
        <w:t xml:space="preserve">similar </w:t>
      </w:r>
      <w:r w:rsidRPr="00B940A2">
        <w:rPr>
          <w:rFonts w:ascii="Times New Roman" w:eastAsia="Times New Roman" w:hAnsi="Times New Roman"/>
          <w:lang w:val="en-US"/>
        </w:rPr>
        <w:t>factors.</w:t>
      </w:r>
      <w:r w:rsidR="00A9086C" w:rsidRPr="00B940A2">
        <w:rPr>
          <w:rFonts w:ascii="Times New Roman" w:eastAsia="Times New Roman" w:hAnsi="Times New Roman"/>
          <w:lang w:val="en-US"/>
        </w:rPr>
        <w:t xml:space="preserve"> </w:t>
      </w:r>
    </w:p>
    <w:p w14:paraId="6EC3EE3C" w14:textId="77777777" w:rsidR="00092A78" w:rsidRPr="00B940A2" w:rsidRDefault="00092A78" w:rsidP="007739D6">
      <w:pPr>
        <w:spacing w:after="0" w:line="240" w:lineRule="auto"/>
        <w:jc w:val="both"/>
        <w:rPr>
          <w:rFonts w:ascii="Times New Roman" w:eastAsia="Times New Roman" w:hAnsi="Times New Roman"/>
          <w:lang w:val="en-US"/>
        </w:rPr>
      </w:pPr>
    </w:p>
    <w:p w14:paraId="21237539" w14:textId="1BDD7307" w:rsidR="00092A78" w:rsidRPr="00B940A2" w:rsidRDefault="00092A78" w:rsidP="007739D6">
      <w:pPr>
        <w:spacing w:after="0" w:line="240" w:lineRule="auto"/>
        <w:ind w:firstLine="720"/>
        <w:jc w:val="both"/>
        <w:rPr>
          <w:rFonts w:ascii="Times New Roman" w:eastAsia="Times New Roman" w:hAnsi="Times New Roman"/>
          <w:lang w:val="en-US"/>
        </w:rPr>
      </w:pPr>
      <w:r w:rsidRPr="00B940A2">
        <w:rPr>
          <w:rFonts w:ascii="Times New Roman" w:eastAsia="Times New Roman" w:hAnsi="Times New Roman"/>
          <w:lang w:val="en-US"/>
        </w:rPr>
        <w:t xml:space="preserve">EMPHASIZING the need to maintain meaningful human control </w:t>
      </w:r>
      <w:r w:rsidR="00971ACC" w:rsidRPr="00B940A2">
        <w:rPr>
          <w:rFonts w:ascii="Times New Roman" w:eastAsia="Times New Roman" w:hAnsi="Times New Roman"/>
          <w:lang w:val="en-US"/>
        </w:rPr>
        <w:t xml:space="preserve">in the use of autonomous weapons systems </w:t>
      </w:r>
      <w:r w:rsidRPr="00B940A2">
        <w:rPr>
          <w:rFonts w:ascii="Times New Roman" w:eastAsia="Times New Roman" w:hAnsi="Times New Roman"/>
          <w:lang w:val="en-US"/>
        </w:rPr>
        <w:t xml:space="preserve">to </w:t>
      </w:r>
      <w:r w:rsidR="00607C23" w:rsidRPr="00B940A2">
        <w:rPr>
          <w:rFonts w:ascii="Times New Roman" w:eastAsia="Times New Roman" w:hAnsi="Times New Roman"/>
          <w:lang w:val="en-US"/>
        </w:rPr>
        <w:t>uphold compliance with international law, in particular international humanitarian law,</w:t>
      </w:r>
      <w:r w:rsidR="00607C23" w:rsidRPr="00B940A2">
        <w:rPr>
          <w:rFonts w:ascii="Times New Roman" w:eastAsia="Times New Roman" w:hAnsi="Times New Roman"/>
          <w:b/>
          <w:bCs/>
          <w:lang w:val="en-US"/>
        </w:rPr>
        <w:t xml:space="preserve"> </w:t>
      </w:r>
      <w:r w:rsidR="00607C23" w:rsidRPr="00B940A2">
        <w:rPr>
          <w:rFonts w:ascii="Times New Roman" w:eastAsia="Times New Roman" w:hAnsi="Times New Roman"/>
          <w:lang w:val="en-US"/>
        </w:rPr>
        <w:t>including the principles and requirements</w:t>
      </w:r>
      <w:r w:rsidR="00971ACC" w:rsidRPr="00B940A2">
        <w:rPr>
          <w:rFonts w:ascii="Times New Roman" w:eastAsia="Times New Roman" w:hAnsi="Times New Roman"/>
          <w:lang w:val="en-US"/>
        </w:rPr>
        <w:t xml:space="preserve"> </w:t>
      </w:r>
      <w:r w:rsidR="00607C23" w:rsidRPr="00B940A2">
        <w:rPr>
          <w:rFonts w:ascii="Times New Roman" w:eastAsia="Times New Roman" w:hAnsi="Times New Roman"/>
          <w:lang w:val="en-US"/>
        </w:rPr>
        <w:t>of distinction, proportionality and precautions in attack,</w:t>
      </w:r>
      <w:r w:rsidR="00B74173" w:rsidRPr="00B940A2">
        <w:rPr>
          <w:rFonts w:ascii="Times New Roman" w:eastAsia="Times New Roman" w:hAnsi="Times New Roman"/>
          <w:b/>
          <w:bCs/>
          <w:lang w:val="en-US"/>
        </w:rPr>
        <w:t xml:space="preserve"> </w:t>
      </w:r>
      <w:r w:rsidR="00607C23" w:rsidRPr="00B940A2">
        <w:rPr>
          <w:rFonts w:ascii="Times New Roman" w:eastAsia="Times New Roman" w:hAnsi="Times New Roman"/>
          <w:lang w:val="en-US"/>
        </w:rPr>
        <w:t xml:space="preserve">as well as the importance of </w:t>
      </w:r>
      <w:r w:rsidRPr="00B940A2">
        <w:rPr>
          <w:rFonts w:ascii="Times New Roman" w:eastAsia="Times New Roman" w:hAnsi="Times New Roman"/>
          <w:lang w:val="en-US"/>
        </w:rPr>
        <w:t>avoid</w:t>
      </w:r>
      <w:r w:rsidR="00607C23" w:rsidRPr="00B940A2">
        <w:rPr>
          <w:rFonts w:ascii="Times New Roman" w:eastAsia="Times New Roman" w:hAnsi="Times New Roman"/>
          <w:lang w:val="en-US"/>
        </w:rPr>
        <w:t>ing</w:t>
      </w:r>
      <w:r w:rsidRPr="00B940A2">
        <w:rPr>
          <w:rFonts w:ascii="Times New Roman" w:eastAsia="Times New Roman" w:hAnsi="Times New Roman"/>
          <w:lang w:val="en-US"/>
        </w:rPr>
        <w:t xml:space="preserve"> further dehumanization of </w:t>
      </w:r>
      <w:r w:rsidR="00EF2DA5" w:rsidRPr="00B940A2">
        <w:rPr>
          <w:rFonts w:ascii="Times New Roman" w:eastAsia="Times New Roman" w:hAnsi="Times New Roman"/>
          <w:lang w:val="en-US"/>
        </w:rPr>
        <w:t>armed conflicts</w:t>
      </w:r>
      <w:r w:rsidR="00AA3621" w:rsidRPr="00B940A2">
        <w:rPr>
          <w:rFonts w:ascii="Times New Roman" w:eastAsia="Times New Roman" w:hAnsi="Times New Roman"/>
          <w:lang w:val="en-US"/>
        </w:rPr>
        <w:t>,</w:t>
      </w:r>
      <w:r w:rsidRPr="00B940A2">
        <w:rPr>
          <w:rFonts w:ascii="Times New Roman" w:eastAsia="Times New Roman" w:hAnsi="Times New Roman"/>
          <w:lang w:val="en-US"/>
        </w:rPr>
        <w:t xml:space="preserve"> and ensur</w:t>
      </w:r>
      <w:r w:rsidR="00607C23" w:rsidRPr="00B940A2">
        <w:rPr>
          <w:rFonts w:ascii="Times New Roman" w:eastAsia="Times New Roman" w:hAnsi="Times New Roman"/>
          <w:lang w:val="en-US"/>
        </w:rPr>
        <w:t>ing</w:t>
      </w:r>
      <w:r w:rsidRPr="00B940A2">
        <w:rPr>
          <w:rFonts w:ascii="Times New Roman" w:eastAsia="Times New Roman" w:hAnsi="Times New Roman"/>
          <w:lang w:val="en-US"/>
        </w:rPr>
        <w:t xml:space="preserve"> </w:t>
      </w:r>
      <w:r w:rsidR="00943B87" w:rsidRPr="00B940A2">
        <w:rPr>
          <w:rFonts w:ascii="Times New Roman" w:eastAsia="Times New Roman" w:hAnsi="Times New Roman"/>
          <w:lang w:val="en-US"/>
        </w:rPr>
        <w:t xml:space="preserve">individual </w:t>
      </w:r>
      <w:r w:rsidRPr="00B940A2">
        <w:rPr>
          <w:rFonts w:ascii="Times New Roman" w:eastAsia="Times New Roman" w:hAnsi="Times New Roman"/>
          <w:lang w:val="en-US"/>
        </w:rPr>
        <w:t>accountability and state responsibility.</w:t>
      </w:r>
      <w:r w:rsidR="00D14F0D" w:rsidRPr="00B940A2">
        <w:rPr>
          <w:rFonts w:ascii="Times New Roman" w:eastAsia="Times New Roman" w:hAnsi="Times New Roman"/>
          <w:b/>
          <w:bCs/>
          <w:lang w:val="en-US"/>
        </w:rPr>
        <w:t xml:space="preserve"> </w:t>
      </w:r>
    </w:p>
    <w:p w14:paraId="6854CAF2" w14:textId="45944271" w:rsidR="00092A78" w:rsidRPr="00B940A2" w:rsidRDefault="00092A78" w:rsidP="007739D6">
      <w:pPr>
        <w:spacing w:after="0" w:line="240" w:lineRule="auto"/>
        <w:jc w:val="both"/>
        <w:rPr>
          <w:rFonts w:ascii="Times New Roman" w:eastAsia="Times New Roman" w:hAnsi="Times New Roman"/>
          <w:color w:val="000000"/>
          <w:lang w:val="en-US"/>
        </w:rPr>
      </w:pPr>
    </w:p>
    <w:p w14:paraId="42AC0D24" w14:textId="36A6B511" w:rsidR="00E640A2" w:rsidRPr="00B940A2" w:rsidRDefault="00D84A2F" w:rsidP="007739D6">
      <w:pPr>
        <w:spacing w:after="0" w:line="240" w:lineRule="auto"/>
        <w:ind w:firstLine="720"/>
        <w:jc w:val="both"/>
        <w:rPr>
          <w:rFonts w:ascii="Times New Roman" w:eastAsia="Times New Roman" w:hAnsi="Times New Roman"/>
          <w:b/>
          <w:bCs/>
          <w:color w:val="000000"/>
          <w:lang w:val="en-US"/>
        </w:rPr>
      </w:pPr>
      <w:r w:rsidRPr="00B940A2">
        <w:rPr>
          <w:rFonts w:ascii="Times New Roman" w:eastAsia="Times New Roman" w:hAnsi="Times New Roman"/>
          <w:color w:val="000000"/>
          <w:lang w:val="en-US"/>
        </w:rPr>
        <w:t xml:space="preserve">RECALLING </w:t>
      </w:r>
      <w:r w:rsidR="00E640A2" w:rsidRPr="00B940A2">
        <w:rPr>
          <w:rFonts w:ascii="Times New Roman" w:eastAsia="Times New Roman" w:hAnsi="Times New Roman"/>
          <w:color w:val="000000"/>
          <w:lang w:val="en-US"/>
        </w:rPr>
        <w:t>the obligation to determine whether the study,</w:t>
      </w:r>
      <w:r w:rsidR="009356E2" w:rsidRPr="00B940A2">
        <w:rPr>
          <w:rFonts w:ascii="Times New Roman" w:eastAsia="Times New Roman" w:hAnsi="Times New Roman"/>
          <w:color w:val="000000"/>
          <w:lang w:val="en-US"/>
        </w:rPr>
        <w:t xml:space="preserve"> </w:t>
      </w:r>
      <w:r w:rsidR="00BF4760" w:rsidRPr="00B940A2">
        <w:rPr>
          <w:rFonts w:ascii="Times New Roman" w:eastAsia="Times New Roman" w:hAnsi="Times New Roman"/>
          <w:color w:val="000000"/>
          <w:lang w:val="en-US"/>
        </w:rPr>
        <w:t>development, acquisition</w:t>
      </w:r>
      <w:r w:rsidR="00E640A2" w:rsidRPr="00B940A2">
        <w:rPr>
          <w:rFonts w:ascii="Times New Roman" w:eastAsia="Times New Roman" w:hAnsi="Times New Roman"/>
          <w:color w:val="000000"/>
          <w:lang w:val="en-US"/>
        </w:rPr>
        <w:t xml:space="preserve">, or adoption of a new weapon, means, or method of warfare, as well as its use, in certain or in all circumstances, </w:t>
      </w:r>
      <w:r w:rsidR="006B5E82" w:rsidRPr="00B940A2">
        <w:rPr>
          <w:rFonts w:ascii="Times New Roman" w:eastAsia="Times New Roman" w:hAnsi="Times New Roman"/>
          <w:color w:val="000000"/>
          <w:lang w:val="en-US"/>
        </w:rPr>
        <w:t>are</w:t>
      </w:r>
      <w:r w:rsidR="00E640A2" w:rsidRPr="00B940A2">
        <w:rPr>
          <w:rFonts w:ascii="Times New Roman" w:eastAsia="Times New Roman" w:hAnsi="Times New Roman"/>
          <w:color w:val="000000"/>
          <w:lang w:val="en-US"/>
        </w:rPr>
        <w:t xml:space="preserve"> prohibited by any norm of international law applicable to States Party, based on article 36 of Additional Protocol I (1977) of the Geneva Conventions of 1949.</w:t>
      </w:r>
      <w:r w:rsidR="00805110" w:rsidRPr="00B940A2">
        <w:rPr>
          <w:rFonts w:ascii="Times New Roman" w:eastAsia="Times New Roman" w:hAnsi="Times New Roman"/>
          <w:color w:val="000000"/>
          <w:lang w:val="en-US"/>
        </w:rPr>
        <w:t xml:space="preserve"> </w:t>
      </w:r>
    </w:p>
    <w:p w14:paraId="5FC7F6B1" w14:textId="77777777" w:rsidR="00E640A2" w:rsidRPr="00B940A2" w:rsidRDefault="00E640A2" w:rsidP="007739D6">
      <w:pPr>
        <w:spacing w:after="0" w:line="240" w:lineRule="auto"/>
        <w:jc w:val="both"/>
        <w:rPr>
          <w:rFonts w:ascii="Times New Roman" w:eastAsia="Times New Roman" w:hAnsi="Times New Roman"/>
          <w:color w:val="000000"/>
          <w:lang w:val="en-US"/>
        </w:rPr>
      </w:pPr>
    </w:p>
    <w:p w14:paraId="17FA8B72" w14:textId="12813A72" w:rsidR="00092A78" w:rsidRPr="00B940A2" w:rsidRDefault="00092A78" w:rsidP="007739D6">
      <w:pPr>
        <w:spacing w:after="0" w:line="240" w:lineRule="auto"/>
        <w:jc w:val="both"/>
        <w:rPr>
          <w:rFonts w:ascii="Times New Roman" w:eastAsia="Times New Roman" w:hAnsi="Times New Roman"/>
          <w:lang w:val="en-US"/>
        </w:rPr>
      </w:pPr>
      <w:r w:rsidRPr="00B940A2">
        <w:rPr>
          <w:rFonts w:ascii="Times New Roman" w:eastAsia="Times New Roman" w:hAnsi="Times New Roman"/>
          <w:lang w:val="en-US"/>
        </w:rPr>
        <w:tab/>
      </w:r>
      <w:r w:rsidR="00AC1DC6" w:rsidRPr="00B940A2">
        <w:rPr>
          <w:rFonts w:ascii="Times New Roman" w:eastAsia="Times New Roman" w:hAnsi="Times New Roman"/>
          <w:lang w:val="en-US"/>
        </w:rPr>
        <w:t xml:space="preserve"> </w:t>
      </w:r>
      <w:r w:rsidR="005F477A" w:rsidRPr="00B940A2">
        <w:rPr>
          <w:rFonts w:ascii="Times New Roman" w:eastAsia="Times New Roman" w:hAnsi="Times New Roman"/>
          <w:lang w:val="en-US"/>
        </w:rPr>
        <w:t>HIGHLIGHTING</w:t>
      </w:r>
      <w:r w:rsidRPr="00B940A2">
        <w:rPr>
          <w:rFonts w:ascii="Times New Roman" w:eastAsia="Times New Roman" w:hAnsi="Times New Roman"/>
          <w:lang w:val="en-US"/>
        </w:rPr>
        <w:t xml:space="preserve"> the work of the Group of Governmental Experts on </w:t>
      </w:r>
      <w:r w:rsidR="00607C23" w:rsidRPr="00B940A2">
        <w:rPr>
          <w:rFonts w:ascii="Times New Roman" w:eastAsia="Times New Roman" w:hAnsi="Times New Roman"/>
          <w:lang w:val="en-US"/>
        </w:rPr>
        <w:t xml:space="preserve">Emerging Technologies in the Area of </w:t>
      </w:r>
      <w:r w:rsidRPr="00B940A2">
        <w:rPr>
          <w:rFonts w:ascii="Times New Roman" w:eastAsia="Times New Roman" w:hAnsi="Times New Roman"/>
          <w:lang w:val="en-US"/>
        </w:rPr>
        <w:t>Lethal Autonomous Weapons Systems (GGE LAWS) of the Convention on Certain Conventional Weapons (CCCW)</w:t>
      </w:r>
      <w:r w:rsidR="005F477A" w:rsidRPr="00B940A2">
        <w:rPr>
          <w:rFonts w:ascii="Times New Roman" w:eastAsia="Times New Roman" w:hAnsi="Times New Roman"/>
          <w:lang w:val="en-US"/>
        </w:rPr>
        <w:t>, an appropriate forum for in-depth debate on the subject, and where the first draft of Protocol VI to the CCCW on Lethal Autonomous Weapons Systems was presented in 2022</w:t>
      </w:r>
      <w:r w:rsidRPr="00B940A2">
        <w:rPr>
          <w:rFonts w:ascii="Times New Roman" w:eastAsia="Times New Roman" w:hAnsi="Times New Roman"/>
          <w:lang w:val="en-US"/>
        </w:rPr>
        <w:t>;</w:t>
      </w:r>
      <w:r w:rsidR="00D7163A" w:rsidRPr="00B940A2">
        <w:rPr>
          <w:rFonts w:ascii="Times New Roman" w:eastAsia="Times New Roman" w:hAnsi="Times New Roman"/>
          <w:lang w:val="en-US"/>
        </w:rPr>
        <w:t xml:space="preserve"> </w:t>
      </w:r>
    </w:p>
    <w:p w14:paraId="01C44C9D" w14:textId="77777777" w:rsidR="00092A78" w:rsidRPr="00B940A2" w:rsidRDefault="00092A78" w:rsidP="007739D6">
      <w:pPr>
        <w:spacing w:after="0" w:line="240" w:lineRule="auto"/>
        <w:jc w:val="both"/>
        <w:rPr>
          <w:rFonts w:ascii="Times New Roman" w:eastAsia="Times New Roman" w:hAnsi="Times New Roman"/>
          <w:color w:val="000000"/>
          <w:lang w:val="en-US"/>
        </w:rPr>
      </w:pPr>
    </w:p>
    <w:p w14:paraId="62BBDF5A" w14:textId="5CFD70D7" w:rsidR="00092A78" w:rsidRPr="00B940A2" w:rsidRDefault="00092A78" w:rsidP="007739D6">
      <w:pPr>
        <w:spacing w:after="0" w:line="240" w:lineRule="auto"/>
        <w:jc w:val="both"/>
        <w:rPr>
          <w:rFonts w:ascii="Times New Roman" w:eastAsia="Times New Roman" w:hAnsi="Times New Roman"/>
          <w:color w:val="000000"/>
          <w:lang w:val="en-US"/>
        </w:rPr>
      </w:pPr>
      <w:r w:rsidRPr="00B940A2">
        <w:rPr>
          <w:rFonts w:ascii="Times New Roman" w:eastAsia="Times New Roman" w:hAnsi="Times New Roman"/>
          <w:color w:val="000000"/>
          <w:lang w:val="en-US"/>
        </w:rPr>
        <w:tab/>
        <w:t xml:space="preserve">TAKING NOTE of the work carried out in the framework of the Regional Conference on the Social and Humanitarian Impact of Autonomous Weapons, held in San José, Costa Rica on February 23 and 24, 2022, and the Belen Communiqué adopted; </w:t>
      </w:r>
    </w:p>
    <w:p w14:paraId="5C746201" w14:textId="77777777" w:rsidR="00092A78" w:rsidRPr="00B940A2" w:rsidRDefault="00092A78" w:rsidP="007739D6">
      <w:pPr>
        <w:spacing w:after="0" w:line="240" w:lineRule="auto"/>
        <w:jc w:val="both"/>
        <w:rPr>
          <w:rFonts w:ascii="Times New Roman" w:eastAsia="Times New Roman" w:hAnsi="Times New Roman"/>
          <w:color w:val="000000"/>
          <w:lang w:val="en-US"/>
        </w:rPr>
      </w:pPr>
    </w:p>
    <w:p w14:paraId="77E096D4" w14:textId="77777777" w:rsidR="00092A78" w:rsidRPr="00B940A2" w:rsidRDefault="00092A78" w:rsidP="007739D6">
      <w:pPr>
        <w:spacing w:after="0" w:line="240" w:lineRule="auto"/>
        <w:jc w:val="both"/>
        <w:rPr>
          <w:rFonts w:ascii="Times New Roman" w:eastAsia="Times New Roman" w:hAnsi="Times New Roman"/>
          <w:color w:val="000000"/>
        </w:rPr>
      </w:pPr>
      <w:r w:rsidRPr="00B940A2">
        <w:rPr>
          <w:rFonts w:ascii="Times New Roman" w:eastAsia="Times New Roman" w:hAnsi="Times New Roman"/>
          <w:color w:val="000000"/>
          <w:lang w:val="en-US"/>
        </w:rPr>
        <w:t>RESOLVES:</w:t>
      </w:r>
    </w:p>
    <w:p w14:paraId="7E073461" w14:textId="77777777" w:rsidR="00092A78" w:rsidRPr="00B940A2" w:rsidRDefault="00092A78" w:rsidP="007739D6">
      <w:pPr>
        <w:spacing w:after="0" w:line="240" w:lineRule="auto"/>
        <w:jc w:val="both"/>
        <w:rPr>
          <w:rFonts w:ascii="Times New Roman" w:eastAsia="Times New Roman" w:hAnsi="Times New Roman"/>
          <w:color w:val="000000"/>
        </w:rPr>
      </w:pPr>
    </w:p>
    <w:p w14:paraId="757166B2" w14:textId="25EFB0EB" w:rsidR="00092A78" w:rsidRPr="00B940A2" w:rsidRDefault="00092A78" w:rsidP="007739D6">
      <w:pPr>
        <w:numPr>
          <w:ilvl w:val="0"/>
          <w:numId w:val="39"/>
        </w:numPr>
        <w:spacing w:after="0" w:line="240" w:lineRule="auto"/>
        <w:ind w:left="0" w:firstLine="720"/>
        <w:contextualSpacing/>
        <w:jc w:val="both"/>
        <w:rPr>
          <w:rFonts w:ascii="Times New Roman" w:hAnsi="Times New Roman"/>
          <w:color w:val="000000"/>
          <w:lang w:val="en-US"/>
        </w:rPr>
      </w:pPr>
      <w:r w:rsidRPr="00B940A2">
        <w:rPr>
          <w:rFonts w:ascii="Times New Roman" w:hAnsi="Times New Roman"/>
          <w:color w:val="000000"/>
          <w:lang w:val="en-US"/>
        </w:rPr>
        <w:t xml:space="preserve">To encourage </w:t>
      </w:r>
      <w:r w:rsidR="00754863" w:rsidRPr="00B940A2">
        <w:rPr>
          <w:rFonts w:ascii="Times New Roman" w:hAnsi="Times New Roman"/>
          <w:color w:val="000000"/>
          <w:lang w:val="en-US"/>
        </w:rPr>
        <w:t xml:space="preserve">Member States </w:t>
      </w:r>
      <w:r w:rsidRPr="00B940A2">
        <w:rPr>
          <w:rFonts w:ascii="Times New Roman" w:hAnsi="Times New Roman"/>
          <w:color w:val="000000"/>
          <w:lang w:val="en-US"/>
        </w:rPr>
        <w:t xml:space="preserve">to contribute to discussions </w:t>
      </w:r>
      <w:r w:rsidR="0096652C">
        <w:rPr>
          <w:rFonts w:ascii="Times New Roman" w:hAnsi="Times New Roman"/>
          <w:color w:val="000000"/>
          <w:lang w:val="en-US"/>
        </w:rPr>
        <w:t xml:space="preserve">on </w:t>
      </w:r>
      <w:r w:rsidR="00607C23" w:rsidRPr="00B940A2">
        <w:rPr>
          <w:rFonts w:ascii="Times New Roman" w:hAnsi="Times New Roman"/>
          <w:color w:val="000000"/>
          <w:lang w:val="en-US"/>
        </w:rPr>
        <w:t xml:space="preserve">emerging technologies and </w:t>
      </w:r>
      <w:r w:rsidRPr="00B940A2">
        <w:rPr>
          <w:rFonts w:ascii="Times New Roman" w:hAnsi="Times New Roman"/>
          <w:color w:val="000000"/>
          <w:lang w:val="en-US"/>
        </w:rPr>
        <w:t>on autonomous weapons systems.</w:t>
      </w:r>
      <w:r w:rsidR="00D7163A" w:rsidRPr="00B940A2">
        <w:rPr>
          <w:rFonts w:ascii="Times New Roman" w:hAnsi="Times New Roman"/>
          <w:color w:val="000000"/>
          <w:lang w:val="en-US"/>
        </w:rPr>
        <w:t xml:space="preserve"> </w:t>
      </w:r>
    </w:p>
    <w:p w14:paraId="1A7DA571" w14:textId="77777777" w:rsidR="00092A78" w:rsidRPr="00B940A2" w:rsidRDefault="00092A78" w:rsidP="007739D6">
      <w:pPr>
        <w:spacing w:after="0" w:line="240" w:lineRule="auto"/>
        <w:jc w:val="both"/>
        <w:rPr>
          <w:rFonts w:ascii="Times New Roman" w:hAnsi="Times New Roman"/>
          <w:color w:val="000000"/>
          <w:lang w:val="en-US"/>
        </w:rPr>
      </w:pPr>
    </w:p>
    <w:p w14:paraId="01866B4E" w14:textId="199281A0" w:rsidR="00F21B33" w:rsidRPr="00B940A2" w:rsidRDefault="00092A78" w:rsidP="007739D6">
      <w:pPr>
        <w:numPr>
          <w:ilvl w:val="0"/>
          <w:numId w:val="39"/>
        </w:numPr>
        <w:spacing w:after="0" w:line="240" w:lineRule="auto"/>
        <w:ind w:left="0" w:firstLine="720"/>
        <w:contextualSpacing/>
        <w:jc w:val="both"/>
        <w:rPr>
          <w:rFonts w:ascii="Times New Roman" w:hAnsi="Times New Roman"/>
          <w:color w:val="000000"/>
          <w:lang w:val="en-US"/>
        </w:rPr>
      </w:pPr>
      <w:r w:rsidRPr="00B940A2">
        <w:rPr>
          <w:rFonts w:ascii="Times New Roman" w:hAnsi="Times New Roman"/>
          <w:color w:val="000000"/>
          <w:lang w:val="en-US"/>
        </w:rPr>
        <w:t>To request the Committee on Juridical and Political Affairs and the Committee on Hemispheric Security to</w:t>
      </w:r>
      <w:r w:rsidR="00AB76EA" w:rsidRPr="00B940A2">
        <w:rPr>
          <w:rFonts w:ascii="Times New Roman" w:hAnsi="Times New Roman"/>
          <w:color w:val="000000"/>
          <w:lang w:val="en-US"/>
        </w:rPr>
        <w:t xml:space="preserve">, before the </w:t>
      </w:r>
      <w:r w:rsidR="001E1E9F" w:rsidRPr="00B940A2">
        <w:rPr>
          <w:rFonts w:ascii="Times New Roman" w:hAnsi="Times New Roman"/>
          <w:color w:val="000000"/>
          <w:lang w:val="en-US"/>
        </w:rPr>
        <w:t>fifty-fourth</w:t>
      </w:r>
      <w:r w:rsidR="00AB76EA" w:rsidRPr="00B940A2">
        <w:rPr>
          <w:rFonts w:ascii="Times New Roman" w:hAnsi="Times New Roman"/>
          <w:color w:val="000000"/>
          <w:lang w:val="en-US"/>
        </w:rPr>
        <w:t xml:space="preserve"> </w:t>
      </w:r>
      <w:r w:rsidR="001E1E9F" w:rsidRPr="00B940A2">
        <w:rPr>
          <w:rFonts w:ascii="Times New Roman" w:hAnsi="Times New Roman"/>
          <w:color w:val="000000"/>
          <w:lang w:val="en-US"/>
        </w:rPr>
        <w:t>r</w:t>
      </w:r>
      <w:r w:rsidR="00F85797" w:rsidRPr="00B940A2">
        <w:rPr>
          <w:rFonts w:ascii="Times New Roman" w:hAnsi="Times New Roman"/>
          <w:color w:val="000000"/>
          <w:lang w:val="en-US"/>
        </w:rPr>
        <w:t xml:space="preserve">egular </w:t>
      </w:r>
      <w:r w:rsidR="001E1E9F" w:rsidRPr="00B940A2">
        <w:rPr>
          <w:rFonts w:ascii="Times New Roman" w:hAnsi="Times New Roman"/>
          <w:color w:val="000000"/>
          <w:lang w:val="en-US"/>
        </w:rPr>
        <w:t>s</w:t>
      </w:r>
      <w:r w:rsidR="00F85797" w:rsidRPr="00B940A2">
        <w:rPr>
          <w:rFonts w:ascii="Times New Roman" w:hAnsi="Times New Roman"/>
          <w:color w:val="000000"/>
          <w:lang w:val="en-US"/>
        </w:rPr>
        <w:t xml:space="preserve">ession of the General Assembly, </w:t>
      </w:r>
      <w:r w:rsidRPr="00B940A2">
        <w:rPr>
          <w:rFonts w:ascii="Times New Roman" w:hAnsi="Times New Roman"/>
          <w:color w:val="000000"/>
          <w:lang w:val="en-US"/>
        </w:rPr>
        <w:t xml:space="preserve">hold a </w:t>
      </w:r>
      <w:r w:rsidRPr="00B940A2">
        <w:rPr>
          <w:rFonts w:ascii="Times New Roman" w:hAnsi="Times New Roman"/>
          <w:color w:val="000000" w:themeColor="text1"/>
          <w:lang w:val="en-US"/>
        </w:rPr>
        <w:t>joint meeting to consider the challenges posed by</w:t>
      </w:r>
      <w:r w:rsidR="00177A4E" w:rsidRPr="00B940A2">
        <w:rPr>
          <w:rFonts w:ascii="Times New Roman" w:eastAsia="Times New Roman" w:hAnsi="Times New Roman"/>
          <w:color w:val="000000" w:themeColor="text1"/>
          <w:kern w:val="2"/>
          <w:lang w:val="en-US"/>
          <w14:ligatures w14:val="standardContextual"/>
        </w:rPr>
        <w:t xml:space="preserve"> emerging technologies and</w:t>
      </w:r>
      <w:r w:rsidRPr="00B940A2">
        <w:rPr>
          <w:rFonts w:ascii="Times New Roman" w:hAnsi="Times New Roman"/>
          <w:color w:val="000000" w:themeColor="text1"/>
          <w:lang w:val="en-US"/>
        </w:rPr>
        <w:t xml:space="preserve"> autonomous </w:t>
      </w:r>
      <w:r w:rsidRPr="00B940A2">
        <w:rPr>
          <w:rFonts w:ascii="Times New Roman" w:hAnsi="Times New Roman"/>
          <w:color w:val="000000"/>
          <w:lang w:val="en-US"/>
        </w:rPr>
        <w:t xml:space="preserve">weapons systems </w:t>
      </w:r>
      <w:r w:rsidR="00177A4E" w:rsidRPr="00B940A2">
        <w:rPr>
          <w:rFonts w:ascii="Times New Roman" w:hAnsi="Times New Roman"/>
          <w:color w:val="000000"/>
          <w:lang w:val="en-US"/>
        </w:rPr>
        <w:t xml:space="preserve">in terms of </w:t>
      </w:r>
      <w:r w:rsidRPr="00B940A2">
        <w:rPr>
          <w:rFonts w:ascii="Times New Roman" w:hAnsi="Times New Roman"/>
          <w:color w:val="000000"/>
          <w:lang w:val="en-US"/>
        </w:rPr>
        <w:t xml:space="preserve">compliance with international </w:t>
      </w:r>
      <w:r w:rsidR="001B6892" w:rsidRPr="00B940A2">
        <w:rPr>
          <w:rFonts w:ascii="Times New Roman" w:hAnsi="Times New Roman"/>
          <w:color w:val="000000"/>
          <w:lang w:val="en-US"/>
        </w:rPr>
        <w:t>law, inclu</w:t>
      </w:r>
      <w:r w:rsidR="008449EF" w:rsidRPr="00B940A2">
        <w:rPr>
          <w:rFonts w:ascii="Times New Roman" w:hAnsi="Times New Roman"/>
          <w:color w:val="000000"/>
          <w:lang w:val="en-US"/>
        </w:rPr>
        <w:t xml:space="preserve">ding </w:t>
      </w:r>
      <w:r w:rsidR="007A4276" w:rsidRPr="00B940A2">
        <w:rPr>
          <w:rFonts w:ascii="Times New Roman" w:hAnsi="Times New Roman"/>
          <w:color w:val="000000"/>
          <w:lang w:val="en-US"/>
        </w:rPr>
        <w:t xml:space="preserve">international </w:t>
      </w:r>
      <w:r w:rsidRPr="00B940A2">
        <w:rPr>
          <w:rFonts w:ascii="Times New Roman" w:hAnsi="Times New Roman"/>
          <w:color w:val="000000"/>
          <w:lang w:val="en-US"/>
        </w:rPr>
        <w:t>humanitarian law, and to request the Department of International Law to prepare a report on the outcomes of that meeting.</w:t>
      </w:r>
      <w:r w:rsidR="0054614D" w:rsidRPr="00B940A2">
        <w:rPr>
          <w:rFonts w:ascii="Times New Roman" w:hAnsi="Times New Roman"/>
          <w:color w:val="000000"/>
          <w:lang w:val="en-US"/>
        </w:rPr>
        <w:t xml:space="preserve"> </w:t>
      </w:r>
    </w:p>
    <w:p w14:paraId="5756EAD2" w14:textId="77777777" w:rsidR="00F21B33" w:rsidRPr="00B940A2" w:rsidRDefault="00F21B33" w:rsidP="007739D6">
      <w:pPr>
        <w:spacing w:after="0" w:line="240" w:lineRule="auto"/>
        <w:jc w:val="both"/>
        <w:rPr>
          <w:rFonts w:ascii="Times New Roman" w:eastAsia="Times New Roman" w:hAnsi="Times New Roman"/>
          <w:bCs/>
          <w:lang w:val="en-US"/>
        </w:rPr>
      </w:pPr>
    </w:p>
    <w:p w14:paraId="409E21D6" w14:textId="02D8300F" w:rsidR="00092A78" w:rsidRPr="00B940A2" w:rsidRDefault="00092A78" w:rsidP="007739D6">
      <w:pPr>
        <w:numPr>
          <w:ilvl w:val="0"/>
          <w:numId w:val="17"/>
        </w:numPr>
        <w:spacing w:after="0" w:line="240" w:lineRule="auto"/>
        <w:ind w:hanging="720"/>
        <w:contextualSpacing/>
        <w:jc w:val="both"/>
        <w:rPr>
          <w:rFonts w:ascii="Times New Roman" w:eastAsia="Times New Roman" w:hAnsi="Times New Roman"/>
          <w:noProof/>
          <w:u w:val="single"/>
          <w:lang w:val="en-US"/>
        </w:rPr>
      </w:pPr>
      <w:r w:rsidRPr="00B940A2">
        <w:rPr>
          <w:rFonts w:ascii="Times New Roman" w:hAnsi="Times New Roman"/>
          <w:u w:val="single"/>
          <w:lang w:val="en-US"/>
        </w:rPr>
        <w:t>Promotion of the International Criminal Court</w:t>
      </w:r>
      <w:r w:rsidR="00405E89" w:rsidRPr="007739D6">
        <w:rPr>
          <w:rFonts w:ascii="Times New Roman" w:hAnsi="Times New Roman"/>
          <w:lang w:val="en-US"/>
        </w:rPr>
        <w:t xml:space="preserve"> </w:t>
      </w:r>
      <w:r w:rsidR="00405E89" w:rsidRPr="00B940A2">
        <w:rPr>
          <w:rStyle w:val="FootnoteReference"/>
          <w:rFonts w:ascii="Times New Roman" w:hAnsi="Times New Roman"/>
          <w:b/>
          <w:bCs/>
          <w:u w:val="single"/>
          <w:vertAlign w:val="superscript"/>
          <w:lang w:val="en-US"/>
        </w:rPr>
        <w:footnoteReference w:id="4"/>
      </w:r>
      <w:r w:rsidR="00405E89" w:rsidRPr="00B940A2">
        <w:rPr>
          <w:rFonts w:ascii="Times New Roman" w:hAnsi="Times New Roman"/>
          <w:b/>
          <w:bCs/>
          <w:u w:val="single"/>
          <w:vertAlign w:val="superscript"/>
          <w:lang w:val="en-US"/>
        </w:rPr>
        <w:t>/</w:t>
      </w:r>
    </w:p>
    <w:p w14:paraId="48AC473D" w14:textId="639C2543" w:rsidR="00F86CD6" w:rsidRPr="00B940A2" w:rsidRDefault="00F86CD6" w:rsidP="007739D6">
      <w:pPr>
        <w:spacing w:after="0" w:line="240" w:lineRule="auto"/>
        <w:ind w:firstLine="720"/>
        <w:jc w:val="both"/>
        <w:rPr>
          <w:rFonts w:ascii="Times New Roman" w:eastAsia="Times New Roman" w:hAnsi="Times New Roman"/>
          <w:b/>
          <w:bCs/>
          <w:lang w:val="en-US"/>
        </w:rPr>
      </w:pPr>
    </w:p>
    <w:p w14:paraId="058DBB98" w14:textId="77777777" w:rsidR="00F86CD6" w:rsidRPr="00B940A2" w:rsidRDefault="00F86CD6" w:rsidP="007739D6">
      <w:pPr>
        <w:spacing w:after="0" w:line="240" w:lineRule="auto"/>
        <w:jc w:val="both"/>
        <w:rPr>
          <w:rFonts w:ascii="Times New Roman" w:eastAsia="Times New Roman" w:hAnsi="Times New Roman"/>
          <w:lang w:val="en-US"/>
        </w:rPr>
      </w:pPr>
    </w:p>
    <w:p w14:paraId="3E4314A8" w14:textId="7F26FF42" w:rsidR="00092A78" w:rsidRPr="00B940A2" w:rsidRDefault="00092A78" w:rsidP="007739D6">
      <w:pPr>
        <w:spacing w:after="0" w:line="240" w:lineRule="auto"/>
        <w:jc w:val="both"/>
        <w:rPr>
          <w:rFonts w:ascii="Times New Roman" w:eastAsia="Times New Roman" w:hAnsi="Times New Roman"/>
          <w:lang w:val="en-US"/>
        </w:rPr>
      </w:pPr>
      <w:r w:rsidRPr="00B940A2">
        <w:rPr>
          <w:rFonts w:ascii="Times New Roman" w:eastAsia="Times New Roman" w:hAnsi="Times New Roman"/>
          <w:lang w:val="en-US"/>
        </w:rPr>
        <w:lastRenderedPageBreak/>
        <w:tab/>
        <w:t xml:space="preserve">RECOGNIZING the work of the International Criminal Court in the investigation and prosecution of those responsible for the most serious crimes </w:t>
      </w:r>
      <w:r w:rsidR="00177A4E" w:rsidRPr="00B940A2">
        <w:rPr>
          <w:rFonts w:ascii="Times New Roman" w:eastAsia="Times New Roman" w:hAnsi="Times New Roman"/>
          <w:lang w:val="en-US"/>
        </w:rPr>
        <w:t xml:space="preserve">of concern to </w:t>
      </w:r>
      <w:r w:rsidRPr="00B940A2">
        <w:rPr>
          <w:rFonts w:ascii="Times New Roman" w:eastAsia="Times New Roman" w:hAnsi="Times New Roman"/>
          <w:lang w:val="en-US"/>
        </w:rPr>
        <w:t>the international community, such as genocide, crimes against humanity, war crimes, and the crime of aggression;</w:t>
      </w:r>
      <w:r w:rsidR="00CF4416" w:rsidRPr="00B940A2">
        <w:rPr>
          <w:rFonts w:ascii="Times New Roman" w:eastAsia="Times New Roman" w:hAnsi="Times New Roman"/>
          <w:lang w:val="en-US"/>
        </w:rPr>
        <w:t xml:space="preserve"> </w:t>
      </w:r>
    </w:p>
    <w:p w14:paraId="2E7C3EA9" w14:textId="77777777" w:rsidR="00092A78" w:rsidRPr="00B940A2" w:rsidRDefault="00092A78" w:rsidP="007739D6">
      <w:pPr>
        <w:spacing w:after="0" w:line="240" w:lineRule="auto"/>
        <w:jc w:val="both"/>
        <w:rPr>
          <w:rFonts w:ascii="Times New Roman" w:eastAsia="Times New Roman" w:hAnsi="Times New Roman"/>
          <w:lang w:val="en-US"/>
        </w:rPr>
      </w:pPr>
    </w:p>
    <w:p w14:paraId="6F7C93C3" w14:textId="688B4D10" w:rsidR="00092A78" w:rsidRPr="00B940A2" w:rsidRDefault="00092A78" w:rsidP="007739D6">
      <w:pPr>
        <w:spacing w:after="0" w:line="240" w:lineRule="auto"/>
        <w:jc w:val="both"/>
        <w:rPr>
          <w:rFonts w:ascii="Times New Roman" w:eastAsia="Times New Roman" w:hAnsi="Times New Roman"/>
          <w:b/>
          <w:bCs/>
          <w:lang w:val="en-US"/>
        </w:rPr>
      </w:pPr>
      <w:r w:rsidRPr="00B940A2">
        <w:rPr>
          <w:rFonts w:ascii="Times New Roman" w:eastAsia="Times New Roman" w:hAnsi="Times New Roman"/>
          <w:lang w:val="en-US"/>
        </w:rPr>
        <w:tab/>
        <w:t>MINDFUL of the importance of cooperation from states and international and regional organizations for the effective functioning of the International Criminal Court;</w:t>
      </w:r>
      <w:r w:rsidR="004312F6" w:rsidRPr="00B940A2">
        <w:rPr>
          <w:rFonts w:ascii="Times New Roman" w:eastAsia="Times New Roman" w:hAnsi="Times New Roman"/>
          <w:lang w:val="en-US"/>
        </w:rPr>
        <w:t xml:space="preserve"> </w:t>
      </w:r>
    </w:p>
    <w:p w14:paraId="01474F38" w14:textId="77777777" w:rsidR="005F477A" w:rsidRPr="00B940A2" w:rsidRDefault="005F477A" w:rsidP="007739D6">
      <w:pPr>
        <w:spacing w:after="0" w:line="240" w:lineRule="auto"/>
        <w:jc w:val="both"/>
        <w:rPr>
          <w:rFonts w:ascii="Times New Roman" w:eastAsia="Times New Roman" w:hAnsi="Times New Roman"/>
          <w:lang w:val="en-US"/>
        </w:rPr>
      </w:pPr>
    </w:p>
    <w:p w14:paraId="694ED90D" w14:textId="436D2F12" w:rsidR="00092A78" w:rsidRPr="00B940A2" w:rsidRDefault="00092A78" w:rsidP="007739D6">
      <w:pPr>
        <w:spacing w:after="0" w:line="240" w:lineRule="auto"/>
        <w:jc w:val="both"/>
        <w:rPr>
          <w:rFonts w:ascii="Times New Roman" w:eastAsia="Times New Roman" w:hAnsi="Times New Roman"/>
          <w:lang w:val="en-US"/>
        </w:rPr>
      </w:pPr>
      <w:r w:rsidRPr="00B940A2">
        <w:rPr>
          <w:rFonts w:ascii="Times New Roman" w:eastAsia="Times New Roman" w:hAnsi="Times New Roman"/>
          <w:lang w:val="en-US"/>
        </w:rPr>
        <w:tab/>
        <w:t xml:space="preserve">REITERATING its commitment to uphold and defend the principles and values enshrined in the Rome Statute, and to preserve its integrity </w:t>
      </w:r>
      <w:r w:rsidR="00040A3D" w:rsidRPr="00B940A2">
        <w:rPr>
          <w:rFonts w:ascii="Times New Roman" w:eastAsia="Times New Roman" w:hAnsi="Times New Roman"/>
          <w:lang w:val="en-US"/>
        </w:rPr>
        <w:t>in the face of</w:t>
      </w:r>
      <w:r w:rsidRPr="00B940A2">
        <w:rPr>
          <w:rFonts w:ascii="Times New Roman" w:eastAsia="Times New Roman" w:hAnsi="Times New Roman"/>
          <w:lang w:val="en-US"/>
        </w:rPr>
        <w:t xml:space="preserve"> threats against the Court, its officials, and those who work with it, and the importance that the Court have the full support of </w:t>
      </w:r>
      <w:r w:rsidR="00A9086C" w:rsidRPr="00B940A2">
        <w:rPr>
          <w:rFonts w:ascii="Times New Roman" w:eastAsia="Times New Roman" w:hAnsi="Times New Roman"/>
          <w:lang w:val="en-US"/>
        </w:rPr>
        <w:t xml:space="preserve">the OAS Member </w:t>
      </w:r>
      <w:r w:rsidRPr="00B940A2">
        <w:rPr>
          <w:rFonts w:ascii="Times New Roman" w:eastAsia="Times New Roman" w:hAnsi="Times New Roman"/>
          <w:lang w:val="en-US"/>
        </w:rPr>
        <w:t>States in order to fulfill its mandate;</w:t>
      </w:r>
      <w:r w:rsidR="00CF4416" w:rsidRPr="00B940A2">
        <w:rPr>
          <w:rFonts w:ascii="Times New Roman" w:eastAsia="Times New Roman" w:hAnsi="Times New Roman"/>
          <w:lang w:val="en-US"/>
        </w:rPr>
        <w:t xml:space="preserve"> </w:t>
      </w:r>
    </w:p>
    <w:p w14:paraId="6C688CA8" w14:textId="77777777" w:rsidR="00471059" w:rsidRDefault="00092A78" w:rsidP="007739D6">
      <w:pPr>
        <w:spacing w:after="0" w:line="240" w:lineRule="auto"/>
        <w:jc w:val="both"/>
        <w:rPr>
          <w:rFonts w:ascii="Times New Roman" w:eastAsia="Times New Roman" w:hAnsi="Times New Roman"/>
          <w:lang w:val="en-US"/>
        </w:rPr>
      </w:pPr>
      <w:r w:rsidRPr="00B940A2">
        <w:rPr>
          <w:rFonts w:ascii="Times New Roman" w:eastAsia="Times New Roman" w:hAnsi="Times New Roman"/>
          <w:lang w:val="en-US"/>
        </w:rPr>
        <w:tab/>
      </w:r>
    </w:p>
    <w:p w14:paraId="736B437C" w14:textId="79AFE81D" w:rsidR="00092A78" w:rsidRPr="00B940A2" w:rsidRDefault="00092A78" w:rsidP="00471059">
      <w:pPr>
        <w:spacing w:after="0" w:line="240" w:lineRule="auto"/>
        <w:ind w:firstLine="720"/>
        <w:jc w:val="both"/>
        <w:rPr>
          <w:rFonts w:ascii="Times New Roman" w:eastAsia="Times New Roman" w:hAnsi="Times New Roman"/>
          <w:lang w:val="en-US"/>
        </w:rPr>
      </w:pPr>
      <w:r w:rsidRPr="00B940A2">
        <w:rPr>
          <w:rFonts w:ascii="Times New Roman" w:eastAsia="Times New Roman" w:hAnsi="Times New Roman"/>
          <w:lang w:val="en-US"/>
        </w:rPr>
        <w:t>TAKING NOTE of the outcomes of the technical working meeting to strengthen cooperation with the International Criminal Court held on June 16, 2022,</w:t>
      </w:r>
      <w:r w:rsidR="00156D8F" w:rsidRPr="00B940A2">
        <w:rPr>
          <w:rFonts w:ascii="Times New Roman" w:eastAsia="Times New Roman" w:hAnsi="Times New Roman"/>
          <w:lang w:val="en-US"/>
        </w:rPr>
        <w:t xml:space="preserve"> </w:t>
      </w:r>
    </w:p>
    <w:p w14:paraId="5EF54F84" w14:textId="77777777" w:rsidR="00471059" w:rsidRDefault="00471059" w:rsidP="007739D6">
      <w:pPr>
        <w:spacing w:after="0" w:line="240" w:lineRule="auto"/>
        <w:jc w:val="both"/>
        <w:rPr>
          <w:rFonts w:ascii="Times New Roman" w:eastAsia="Times New Roman" w:hAnsi="Times New Roman"/>
          <w:lang w:val="en-US"/>
        </w:rPr>
      </w:pPr>
    </w:p>
    <w:p w14:paraId="6E03B6F8" w14:textId="01E8E712" w:rsidR="00092A78" w:rsidRPr="00B940A2" w:rsidRDefault="00092A78" w:rsidP="007739D6">
      <w:pPr>
        <w:spacing w:after="0" w:line="240" w:lineRule="auto"/>
        <w:jc w:val="both"/>
        <w:rPr>
          <w:rFonts w:ascii="Times New Roman" w:eastAsia="Times New Roman" w:hAnsi="Times New Roman"/>
        </w:rPr>
      </w:pPr>
      <w:r w:rsidRPr="00B940A2">
        <w:rPr>
          <w:rFonts w:ascii="Times New Roman" w:eastAsia="Times New Roman" w:hAnsi="Times New Roman"/>
          <w:lang w:val="en-US"/>
        </w:rPr>
        <w:t>RESOLVES:</w:t>
      </w:r>
    </w:p>
    <w:p w14:paraId="1F8F3784" w14:textId="77777777" w:rsidR="00092A78" w:rsidRPr="00B940A2" w:rsidRDefault="00092A78" w:rsidP="007739D6">
      <w:pPr>
        <w:spacing w:after="0" w:line="240" w:lineRule="auto"/>
        <w:jc w:val="both"/>
        <w:rPr>
          <w:rFonts w:ascii="Times New Roman" w:eastAsia="Times New Roman" w:hAnsi="Times New Roman"/>
        </w:rPr>
      </w:pPr>
    </w:p>
    <w:p w14:paraId="54517A53" w14:textId="717946B3" w:rsidR="00092A78" w:rsidRPr="00B940A2" w:rsidRDefault="00092A78" w:rsidP="007739D6">
      <w:pPr>
        <w:numPr>
          <w:ilvl w:val="0"/>
          <w:numId w:val="37"/>
        </w:numPr>
        <w:spacing w:after="0" w:line="240" w:lineRule="auto"/>
        <w:ind w:left="0" w:firstLine="720"/>
        <w:contextualSpacing/>
        <w:jc w:val="both"/>
        <w:rPr>
          <w:rFonts w:ascii="Times New Roman" w:hAnsi="Times New Roman"/>
          <w:bCs/>
          <w:lang w:val="en-US"/>
        </w:rPr>
      </w:pPr>
      <w:r w:rsidRPr="00B940A2">
        <w:rPr>
          <w:rFonts w:ascii="Times New Roman" w:hAnsi="Times New Roman"/>
          <w:lang w:val="en-US"/>
        </w:rPr>
        <w:t>To reiterate its support for the International Criminal Court (ICC), which acts in favor of the common commitment to combat impunity for the most serious crimes of concern to the international community, in accordance with the Rome Statute,</w:t>
      </w:r>
      <w:bookmarkStart w:id="10" w:name="_Hlk136423749"/>
      <w:r w:rsidR="00A9086C" w:rsidRPr="00B940A2">
        <w:rPr>
          <w:rFonts w:ascii="Times New Roman" w:hAnsi="Times New Roman"/>
          <w:lang w:val="en-US"/>
        </w:rPr>
        <w:t xml:space="preserve"> </w:t>
      </w:r>
      <w:bookmarkEnd w:id="10"/>
      <w:r w:rsidR="00A9086C" w:rsidRPr="00B940A2">
        <w:rPr>
          <w:rFonts w:ascii="Times New Roman" w:hAnsi="Times New Roman"/>
          <w:lang w:val="en-US"/>
        </w:rPr>
        <w:t xml:space="preserve">in a </w:t>
      </w:r>
      <w:r w:rsidRPr="00B940A2">
        <w:rPr>
          <w:rFonts w:ascii="Times New Roman" w:hAnsi="Times New Roman"/>
          <w:lang w:val="en-US"/>
        </w:rPr>
        <w:t xml:space="preserve">complementary </w:t>
      </w:r>
      <w:r w:rsidR="002E0F71" w:rsidRPr="00B940A2">
        <w:rPr>
          <w:rFonts w:ascii="Times New Roman" w:hAnsi="Times New Roman"/>
          <w:lang w:val="en-US"/>
        </w:rPr>
        <w:t xml:space="preserve">manner </w:t>
      </w:r>
      <w:r w:rsidRPr="00B940A2">
        <w:rPr>
          <w:rFonts w:ascii="Times New Roman" w:hAnsi="Times New Roman"/>
          <w:lang w:val="en-US"/>
        </w:rPr>
        <w:t>to domestic criminal jurisdictions.</w:t>
      </w:r>
      <w:r w:rsidR="001D5132" w:rsidRPr="00B940A2">
        <w:rPr>
          <w:rFonts w:ascii="Times New Roman" w:hAnsi="Times New Roman"/>
          <w:lang w:val="en-US"/>
        </w:rPr>
        <w:t xml:space="preserve"> </w:t>
      </w:r>
    </w:p>
    <w:p w14:paraId="54CEA4E8" w14:textId="77777777" w:rsidR="00092A78" w:rsidRPr="00B940A2" w:rsidRDefault="00092A78" w:rsidP="007739D6">
      <w:pPr>
        <w:spacing w:after="0" w:line="240" w:lineRule="auto"/>
        <w:jc w:val="both"/>
        <w:rPr>
          <w:rFonts w:ascii="Times New Roman" w:hAnsi="Times New Roman"/>
          <w:bCs/>
          <w:lang w:val="en-US"/>
        </w:rPr>
      </w:pPr>
    </w:p>
    <w:p w14:paraId="1699418F" w14:textId="68EB6E0C" w:rsidR="00092A78" w:rsidRPr="00B940A2" w:rsidRDefault="00092A78" w:rsidP="007739D6">
      <w:pPr>
        <w:numPr>
          <w:ilvl w:val="0"/>
          <w:numId w:val="37"/>
        </w:numPr>
        <w:spacing w:after="0" w:line="240" w:lineRule="auto"/>
        <w:ind w:left="0" w:firstLine="720"/>
        <w:contextualSpacing/>
        <w:jc w:val="both"/>
        <w:rPr>
          <w:rFonts w:ascii="Times New Roman" w:hAnsi="Times New Roman"/>
          <w:bCs/>
          <w:lang w:val="en-US"/>
        </w:rPr>
      </w:pPr>
      <w:r w:rsidRPr="00B940A2">
        <w:rPr>
          <w:rFonts w:ascii="Times New Roman" w:hAnsi="Times New Roman"/>
          <w:lang w:val="en-US"/>
        </w:rPr>
        <w:t xml:space="preserve">To encourage member states that are </w:t>
      </w:r>
      <w:r w:rsidR="00603A97" w:rsidRPr="00B940A2">
        <w:rPr>
          <w:rFonts w:ascii="Times New Roman" w:hAnsi="Times New Roman"/>
          <w:lang w:val="en-US"/>
        </w:rPr>
        <w:t xml:space="preserve">neither </w:t>
      </w:r>
      <w:r w:rsidRPr="00B940A2">
        <w:rPr>
          <w:rFonts w:ascii="Times New Roman" w:hAnsi="Times New Roman"/>
          <w:lang w:val="en-US"/>
        </w:rPr>
        <w:t xml:space="preserve">party to the Rome Statute of the International Criminal Court </w:t>
      </w:r>
      <w:r w:rsidR="00D24CBF" w:rsidRPr="00B940A2">
        <w:rPr>
          <w:rFonts w:ascii="Times New Roman" w:hAnsi="Times New Roman"/>
          <w:lang w:val="en-US"/>
        </w:rPr>
        <w:t xml:space="preserve">nor </w:t>
      </w:r>
      <w:r w:rsidR="00F67124" w:rsidRPr="00B940A2">
        <w:rPr>
          <w:rFonts w:ascii="Times New Roman" w:hAnsi="Times New Roman"/>
          <w:lang w:val="en-US"/>
        </w:rPr>
        <w:t>to</w:t>
      </w:r>
      <w:r w:rsidR="00FD25DC" w:rsidRPr="00B940A2">
        <w:rPr>
          <w:rFonts w:ascii="Times New Roman" w:hAnsi="Times New Roman"/>
          <w:lang w:val="en-US"/>
        </w:rPr>
        <w:t xml:space="preserve"> </w:t>
      </w:r>
      <w:r w:rsidRPr="00B940A2">
        <w:rPr>
          <w:rFonts w:ascii="Times New Roman" w:hAnsi="Times New Roman"/>
          <w:lang w:val="en-US"/>
        </w:rPr>
        <w:t>its agreement on privileges and immunities to consider ratifying or acceding to it.</w:t>
      </w:r>
      <w:r w:rsidR="001D5132" w:rsidRPr="00B940A2">
        <w:rPr>
          <w:rFonts w:ascii="Times New Roman" w:hAnsi="Times New Roman"/>
          <w:lang w:val="en-US"/>
        </w:rPr>
        <w:t xml:space="preserve"> </w:t>
      </w:r>
    </w:p>
    <w:p w14:paraId="5680C16F" w14:textId="77777777" w:rsidR="002E0F71" w:rsidRPr="00B940A2" w:rsidRDefault="002E0F71" w:rsidP="007739D6">
      <w:pPr>
        <w:spacing w:after="0" w:line="240" w:lineRule="auto"/>
        <w:contextualSpacing/>
        <w:jc w:val="both"/>
        <w:rPr>
          <w:rFonts w:ascii="Times New Roman" w:hAnsi="Times New Roman"/>
          <w:bCs/>
          <w:lang w:val="en-US"/>
        </w:rPr>
      </w:pPr>
    </w:p>
    <w:p w14:paraId="6148F7F9" w14:textId="2483A5CD" w:rsidR="00092A78" w:rsidRPr="00B940A2" w:rsidRDefault="00092A78" w:rsidP="007739D6">
      <w:pPr>
        <w:numPr>
          <w:ilvl w:val="0"/>
          <w:numId w:val="37"/>
        </w:numPr>
        <w:spacing w:after="0" w:line="240" w:lineRule="auto"/>
        <w:ind w:left="0" w:firstLine="720"/>
        <w:contextualSpacing/>
        <w:jc w:val="both"/>
        <w:rPr>
          <w:rFonts w:ascii="Times New Roman" w:hAnsi="Times New Roman"/>
          <w:bCs/>
          <w:lang w:val="en-US"/>
        </w:rPr>
      </w:pPr>
      <w:r w:rsidRPr="00B940A2">
        <w:rPr>
          <w:rFonts w:ascii="Times New Roman" w:hAnsi="Times New Roman"/>
          <w:lang w:val="en-US"/>
        </w:rPr>
        <w:t>Call upon member states that are party to the Rome Statute to strengthen cooperation and assistance with the International Criminal Court in accordance with their international obligations.</w:t>
      </w:r>
      <w:r w:rsidR="00587EEC" w:rsidRPr="00B940A2">
        <w:rPr>
          <w:rFonts w:ascii="Times New Roman" w:hAnsi="Times New Roman"/>
          <w:lang w:val="en-US"/>
        </w:rPr>
        <w:t xml:space="preserve"> </w:t>
      </w:r>
    </w:p>
    <w:p w14:paraId="5B204676" w14:textId="77777777" w:rsidR="0000183F" w:rsidRPr="00B940A2" w:rsidRDefault="0000183F" w:rsidP="007739D6">
      <w:pPr>
        <w:spacing w:after="0" w:line="240" w:lineRule="auto"/>
        <w:contextualSpacing/>
        <w:jc w:val="both"/>
        <w:rPr>
          <w:rFonts w:ascii="Times New Roman" w:hAnsi="Times New Roman"/>
          <w:bCs/>
          <w:lang w:val="en-US"/>
        </w:rPr>
      </w:pPr>
    </w:p>
    <w:p w14:paraId="475E012B" w14:textId="2C15C4F0" w:rsidR="00092A78" w:rsidRPr="00B940A2" w:rsidRDefault="00092A78" w:rsidP="007739D6">
      <w:pPr>
        <w:numPr>
          <w:ilvl w:val="0"/>
          <w:numId w:val="17"/>
        </w:numPr>
        <w:spacing w:after="0" w:line="240" w:lineRule="auto"/>
        <w:ind w:hanging="720"/>
        <w:contextualSpacing/>
        <w:jc w:val="both"/>
        <w:rPr>
          <w:rFonts w:ascii="Times New Roman" w:hAnsi="Times New Roman"/>
          <w:u w:val="single"/>
          <w:lang w:val="en-US"/>
        </w:rPr>
      </w:pPr>
      <w:r w:rsidRPr="00B940A2">
        <w:rPr>
          <w:rFonts w:ascii="Times New Roman" w:hAnsi="Times New Roman"/>
          <w:u w:val="single"/>
          <w:lang w:val="en-US"/>
        </w:rPr>
        <w:t>The Law of the Sea</w:t>
      </w:r>
      <w:r w:rsidRPr="00B940A2">
        <w:rPr>
          <w:rFonts w:ascii="Times New Roman" w:hAnsi="Times New Roman"/>
          <w:lang w:val="en-US"/>
        </w:rPr>
        <w:t xml:space="preserve"> </w:t>
      </w:r>
    </w:p>
    <w:p w14:paraId="7C5FB62B" w14:textId="77777777" w:rsidR="00092A78" w:rsidRPr="00B940A2" w:rsidRDefault="00092A78" w:rsidP="007739D6">
      <w:pPr>
        <w:spacing w:after="0" w:line="240" w:lineRule="auto"/>
        <w:jc w:val="both"/>
        <w:rPr>
          <w:rFonts w:ascii="Times New Roman" w:eastAsia="Times New Roman" w:hAnsi="Times New Roman"/>
          <w:color w:val="000000"/>
          <w:u w:val="single"/>
          <w:lang w:val="en-US"/>
        </w:rPr>
      </w:pPr>
    </w:p>
    <w:p w14:paraId="7EDC90DE" w14:textId="4B778A95" w:rsidR="00092A78" w:rsidRPr="00B940A2" w:rsidRDefault="00092A78" w:rsidP="007739D6">
      <w:pPr>
        <w:spacing w:after="0" w:line="240" w:lineRule="auto"/>
        <w:ind w:left="720" w:hanging="720"/>
        <w:jc w:val="both"/>
        <w:rPr>
          <w:rFonts w:ascii="Times New Roman" w:eastAsia="Times New Roman" w:hAnsi="Times New Roman"/>
          <w:color w:val="000000"/>
          <w:u w:val="single"/>
          <w:lang w:val="en-US"/>
        </w:rPr>
      </w:pPr>
      <w:r w:rsidRPr="00B940A2">
        <w:rPr>
          <w:rFonts w:ascii="Times New Roman" w:eastAsia="Times New Roman" w:hAnsi="Times New Roman"/>
          <w:color w:val="000000"/>
          <w:lang w:val="en-US"/>
        </w:rPr>
        <w:tab/>
        <w:t>A.</w:t>
      </w:r>
      <w:r w:rsidRPr="00B940A2">
        <w:rPr>
          <w:rFonts w:ascii="Times New Roman" w:eastAsia="Times New Roman" w:hAnsi="Times New Roman"/>
          <w:color w:val="000000"/>
          <w:lang w:val="en-US"/>
        </w:rPr>
        <w:tab/>
      </w:r>
      <w:r w:rsidRPr="00B940A2">
        <w:rPr>
          <w:rFonts w:ascii="Times New Roman" w:eastAsia="Times New Roman" w:hAnsi="Times New Roman"/>
          <w:color w:val="000000"/>
          <w:u w:val="single"/>
          <w:lang w:val="en-US"/>
        </w:rPr>
        <w:t>Sea-level rise in relation to international law</w:t>
      </w:r>
      <w:r w:rsidR="00B7028C" w:rsidRPr="00B940A2">
        <w:rPr>
          <w:rFonts w:ascii="Times New Roman" w:eastAsia="Times New Roman" w:hAnsi="Times New Roman"/>
          <w:color w:val="000000"/>
          <w:lang w:val="en-US"/>
        </w:rPr>
        <w:t xml:space="preserve"> </w:t>
      </w:r>
    </w:p>
    <w:p w14:paraId="6EAEA196" w14:textId="77777777" w:rsidR="00092A78" w:rsidRPr="00B940A2" w:rsidRDefault="00092A78" w:rsidP="007739D6">
      <w:pPr>
        <w:spacing w:after="0" w:line="240" w:lineRule="auto"/>
        <w:jc w:val="both"/>
        <w:rPr>
          <w:rFonts w:ascii="Times New Roman" w:eastAsia="Times New Roman" w:hAnsi="Times New Roman"/>
          <w:color w:val="000000"/>
          <w:u w:val="single"/>
          <w:lang w:val="en-US"/>
        </w:rPr>
      </w:pPr>
    </w:p>
    <w:p w14:paraId="3C79EAF5" w14:textId="2F39F757" w:rsidR="00092A78" w:rsidRPr="00B940A2" w:rsidRDefault="00092A78" w:rsidP="007739D6">
      <w:pPr>
        <w:spacing w:after="0" w:line="240" w:lineRule="auto"/>
        <w:jc w:val="both"/>
        <w:rPr>
          <w:rFonts w:ascii="Times New Roman" w:eastAsia="Times New Roman" w:hAnsi="Times New Roman"/>
          <w:color w:val="000000"/>
          <w:lang w:val="en-US"/>
        </w:rPr>
      </w:pPr>
      <w:r w:rsidRPr="00B940A2">
        <w:rPr>
          <w:rFonts w:ascii="Times New Roman" w:eastAsia="Times New Roman" w:hAnsi="Times New Roman"/>
          <w:color w:val="000000"/>
          <w:lang w:val="en-US"/>
        </w:rPr>
        <w:tab/>
        <w:t>TAKING NOTE of the results of the special meeting of the Committee on Juridical and Political Affairs on the consequences and legal implications of sea-level rise on May 4, 2023, which considered the particular challenges facing the region in relation to the potential consequences of sea-level rise and its legal implications, and examined the response and adaptation measures that member states of the Organization have implemented.</w:t>
      </w:r>
    </w:p>
    <w:p w14:paraId="12F5980E" w14:textId="77777777" w:rsidR="00CC2D43" w:rsidRPr="00B940A2" w:rsidRDefault="00CC2D43" w:rsidP="007739D6">
      <w:pPr>
        <w:keepNext/>
        <w:spacing w:after="0" w:line="240" w:lineRule="auto"/>
        <w:jc w:val="both"/>
        <w:rPr>
          <w:rFonts w:ascii="Times New Roman" w:eastAsia="Times New Roman" w:hAnsi="Times New Roman"/>
          <w:color w:val="000000"/>
          <w:lang w:val="en-US"/>
        </w:rPr>
      </w:pPr>
    </w:p>
    <w:p w14:paraId="6A850016" w14:textId="0CC59519" w:rsidR="00092A78" w:rsidRPr="00B940A2" w:rsidRDefault="00092A78" w:rsidP="007739D6">
      <w:pPr>
        <w:keepNext/>
        <w:spacing w:after="0" w:line="240" w:lineRule="auto"/>
        <w:jc w:val="both"/>
        <w:rPr>
          <w:rFonts w:ascii="Times New Roman" w:eastAsia="Times New Roman" w:hAnsi="Times New Roman"/>
          <w:color w:val="000000"/>
        </w:rPr>
      </w:pPr>
      <w:r w:rsidRPr="00B940A2">
        <w:rPr>
          <w:rFonts w:ascii="Times New Roman" w:eastAsia="Times New Roman" w:hAnsi="Times New Roman"/>
          <w:color w:val="000000"/>
          <w:lang w:val="en-US"/>
        </w:rPr>
        <w:t>RESOLVES:</w:t>
      </w:r>
    </w:p>
    <w:p w14:paraId="0B614980" w14:textId="77777777" w:rsidR="00092A78" w:rsidRPr="00B940A2" w:rsidRDefault="00092A78" w:rsidP="007739D6">
      <w:pPr>
        <w:keepNext/>
        <w:spacing w:after="0" w:line="240" w:lineRule="auto"/>
        <w:jc w:val="both"/>
        <w:rPr>
          <w:rFonts w:ascii="Times New Roman" w:eastAsia="Times New Roman" w:hAnsi="Times New Roman"/>
          <w:color w:val="000000"/>
        </w:rPr>
      </w:pPr>
    </w:p>
    <w:p w14:paraId="2C2DBE1E" w14:textId="77777777" w:rsidR="00A8324A" w:rsidRPr="00B940A2" w:rsidRDefault="006E05A3" w:rsidP="007739D6">
      <w:pPr>
        <w:numPr>
          <w:ilvl w:val="0"/>
          <w:numId w:val="41"/>
        </w:numPr>
        <w:spacing w:after="0" w:line="240" w:lineRule="auto"/>
        <w:ind w:left="0" w:firstLine="720"/>
        <w:contextualSpacing/>
        <w:jc w:val="both"/>
        <w:rPr>
          <w:rFonts w:ascii="Times New Roman" w:hAnsi="Times New Roman"/>
          <w:color w:val="000000"/>
          <w:lang w:val="en-US"/>
        </w:rPr>
      </w:pPr>
      <w:r w:rsidRPr="00B940A2">
        <w:rPr>
          <w:rFonts w:ascii="Times New Roman" w:hAnsi="Times New Roman"/>
          <w:noProof/>
        </w:rPr>
        <w:drawing>
          <wp:anchor distT="0" distB="0" distL="114300" distR="114300" simplePos="0" relativeHeight="251656704" behindDoc="0" locked="0" layoutInCell="1" allowOverlap="1" wp14:anchorId="2F8E9D44" wp14:editId="337D8887">
            <wp:simplePos x="0" y="0"/>
            <wp:positionH relativeFrom="column">
              <wp:posOffset>5263515</wp:posOffset>
            </wp:positionH>
            <wp:positionV relativeFrom="paragraph">
              <wp:posOffset>7155815</wp:posOffset>
            </wp:positionV>
            <wp:extent cx="720000" cy="720000"/>
            <wp:effectExtent l="0" t="0" r="4445" b="4445"/>
            <wp:wrapNone/>
            <wp:docPr id="475591692" name="Picture 1" descr="A picture containing pattern, square, pixel,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591692" name="Picture 1" descr="A picture containing pattern, square, pixel, crossword puzz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2A78" w:rsidRPr="00B940A2">
        <w:rPr>
          <w:rFonts w:ascii="Times New Roman" w:hAnsi="Times New Roman"/>
          <w:color w:val="000000"/>
          <w:lang w:val="en-US"/>
        </w:rPr>
        <w:t>To request the Permanent Council to hold a special meeting to foster an exchange on possible challenges that the region may face with respect to the consequences of sea-level rise and its legal ramifications, including the legal implications for maritime borders, food security, and human displacement as a result of sea level rise, in order to identify the main challenges for the member states of the Organization.</w:t>
      </w:r>
      <w:r w:rsidRPr="00B940A2">
        <w:rPr>
          <w:rFonts w:ascii="Times New Roman" w:hAnsi="Times New Roman"/>
          <w:lang w:val="en-US"/>
        </w:rPr>
        <w:t xml:space="preserve"> </w:t>
      </w:r>
    </w:p>
    <w:p w14:paraId="1D2B6C12" w14:textId="77777777" w:rsidR="00D8085A" w:rsidRPr="00B940A2" w:rsidRDefault="00D8085A" w:rsidP="007739D6">
      <w:pPr>
        <w:spacing w:after="0" w:line="240" w:lineRule="auto"/>
        <w:contextualSpacing/>
        <w:jc w:val="both"/>
        <w:rPr>
          <w:rFonts w:ascii="Times New Roman" w:hAnsi="Times New Roman"/>
          <w:lang w:val="en-US"/>
        </w:rPr>
      </w:pPr>
    </w:p>
    <w:p w14:paraId="09B6ED94" w14:textId="440C65C6" w:rsidR="001B0EB3" w:rsidRPr="00B940A2" w:rsidRDefault="00F63374" w:rsidP="007739D6">
      <w:pPr>
        <w:numPr>
          <w:ilvl w:val="0"/>
          <w:numId w:val="17"/>
        </w:numPr>
        <w:spacing w:after="0" w:line="240" w:lineRule="auto"/>
        <w:ind w:hanging="720"/>
        <w:contextualSpacing/>
        <w:jc w:val="both"/>
        <w:rPr>
          <w:rFonts w:ascii="Times New Roman" w:hAnsi="Times New Roman"/>
          <w:lang w:val="en-US"/>
        </w:rPr>
      </w:pPr>
      <w:r w:rsidRPr="00B940A2">
        <w:rPr>
          <w:rFonts w:ascii="Times New Roman" w:hAnsi="Times New Roman"/>
          <w:u w:val="single"/>
          <w:lang w:val="en-US"/>
        </w:rPr>
        <w:lastRenderedPageBreak/>
        <w:t>Centenary of the Treaty to Avoid or Prevent Conflicts between the American States (</w:t>
      </w:r>
      <w:r w:rsidR="0024567C" w:rsidRPr="00B940A2">
        <w:rPr>
          <w:rFonts w:ascii="Times New Roman" w:hAnsi="Times New Roman"/>
          <w:u w:val="single"/>
          <w:lang w:val="en-US"/>
        </w:rPr>
        <w:t>“</w:t>
      </w:r>
      <w:r w:rsidRPr="00B940A2">
        <w:rPr>
          <w:rFonts w:ascii="Times New Roman" w:hAnsi="Times New Roman"/>
          <w:u w:val="single"/>
          <w:lang w:val="en-US"/>
        </w:rPr>
        <w:t>Gondra Treaty</w:t>
      </w:r>
      <w:r w:rsidR="0024567C" w:rsidRPr="00B940A2">
        <w:rPr>
          <w:rFonts w:ascii="Times New Roman" w:hAnsi="Times New Roman"/>
          <w:u w:val="single"/>
          <w:lang w:val="en-US"/>
        </w:rPr>
        <w:t>”</w:t>
      </w:r>
      <w:r w:rsidRPr="00B940A2">
        <w:rPr>
          <w:rFonts w:ascii="Times New Roman" w:hAnsi="Times New Roman"/>
          <w:lang w:val="en-US"/>
        </w:rPr>
        <w:t>)</w:t>
      </w:r>
      <w:r w:rsidR="001B0EB3" w:rsidRPr="00B940A2">
        <w:rPr>
          <w:rFonts w:ascii="Times New Roman" w:hAnsi="Times New Roman"/>
          <w:lang w:val="en-US"/>
        </w:rPr>
        <w:t xml:space="preserve"> </w:t>
      </w:r>
    </w:p>
    <w:p w14:paraId="211E4C84" w14:textId="77777777" w:rsidR="001B0EB3" w:rsidRPr="00B940A2" w:rsidRDefault="001B0EB3" w:rsidP="007739D6">
      <w:pPr>
        <w:spacing w:after="0" w:line="240" w:lineRule="auto"/>
        <w:contextualSpacing/>
        <w:jc w:val="both"/>
        <w:rPr>
          <w:rFonts w:ascii="Times New Roman" w:hAnsi="Times New Roman"/>
          <w:lang w:val="en-US"/>
        </w:rPr>
      </w:pPr>
    </w:p>
    <w:p w14:paraId="222FE5E2" w14:textId="031BA8E3" w:rsidR="001B0EB3" w:rsidRPr="00B940A2" w:rsidRDefault="001B0EB3" w:rsidP="007739D6">
      <w:pPr>
        <w:spacing w:after="0" w:line="240" w:lineRule="auto"/>
        <w:ind w:firstLine="720"/>
        <w:jc w:val="both"/>
        <w:rPr>
          <w:rFonts w:ascii="Times New Roman" w:eastAsiaTheme="minorHAnsi" w:hAnsi="Times New Roman"/>
          <w:lang w:val="en-US"/>
        </w:rPr>
      </w:pPr>
      <w:r w:rsidRPr="00B940A2">
        <w:rPr>
          <w:rFonts w:ascii="Times New Roman" w:eastAsiaTheme="minorHAnsi" w:hAnsi="Times New Roman"/>
          <w:lang w:val="en-US"/>
        </w:rPr>
        <w:t xml:space="preserve">CONSIDERING that May 3, 2023, marked the one hundredth anniversary of the adoption of the Treaty to Avoid or Prevent Conflicts between the American States, also known as the “Gondra Treaty” in recognition of one of its proponents, Mr. Manuel Gondra, a Paraguayan national, </w:t>
      </w:r>
    </w:p>
    <w:p w14:paraId="2292CABF" w14:textId="77777777" w:rsidR="001B0EB3" w:rsidRPr="00B940A2" w:rsidRDefault="001B0EB3" w:rsidP="007739D6">
      <w:pPr>
        <w:spacing w:after="0" w:line="240" w:lineRule="auto"/>
        <w:jc w:val="both"/>
        <w:rPr>
          <w:rFonts w:ascii="Times New Roman" w:eastAsiaTheme="minorHAnsi" w:hAnsi="Times New Roman"/>
          <w:lang w:val="en-US"/>
        </w:rPr>
      </w:pPr>
    </w:p>
    <w:p w14:paraId="7478CB57" w14:textId="75EA34C4" w:rsidR="001B0EB3" w:rsidRPr="00B940A2" w:rsidRDefault="001B0EB3" w:rsidP="007739D6">
      <w:pPr>
        <w:spacing w:after="0" w:line="240" w:lineRule="auto"/>
        <w:jc w:val="both"/>
        <w:rPr>
          <w:rFonts w:ascii="Times New Roman" w:eastAsiaTheme="minorHAnsi" w:hAnsi="Times New Roman"/>
        </w:rPr>
      </w:pPr>
      <w:r w:rsidRPr="00B940A2">
        <w:rPr>
          <w:rFonts w:ascii="Times New Roman" w:eastAsiaTheme="minorHAnsi" w:hAnsi="Times New Roman"/>
          <w:lang w:val="en-US"/>
        </w:rPr>
        <w:t>RESOLVES:</w:t>
      </w:r>
    </w:p>
    <w:p w14:paraId="591DAD28" w14:textId="77777777" w:rsidR="001B0EB3" w:rsidRPr="00B940A2" w:rsidRDefault="001B0EB3" w:rsidP="007739D6">
      <w:pPr>
        <w:pStyle w:val="ListParagraph"/>
        <w:spacing w:after="0" w:line="240" w:lineRule="auto"/>
        <w:ind w:left="0"/>
        <w:jc w:val="both"/>
        <w:rPr>
          <w:rFonts w:ascii="Times New Roman" w:eastAsiaTheme="minorHAnsi" w:hAnsi="Times New Roman"/>
        </w:rPr>
      </w:pPr>
    </w:p>
    <w:p w14:paraId="3570287D" w14:textId="369CF202" w:rsidR="001B0EB3" w:rsidRPr="00B940A2" w:rsidRDefault="001B0EB3" w:rsidP="007739D6">
      <w:pPr>
        <w:numPr>
          <w:ilvl w:val="0"/>
          <w:numId w:val="43"/>
        </w:numPr>
        <w:spacing w:after="0" w:line="240" w:lineRule="auto"/>
        <w:ind w:left="0" w:firstLine="720"/>
        <w:contextualSpacing/>
        <w:jc w:val="both"/>
        <w:rPr>
          <w:rFonts w:ascii="Times New Roman" w:eastAsiaTheme="minorHAnsi" w:hAnsi="Times New Roman"/>
          <w:lang w:val="en-US"/>
        </w:rPr>
      </w:pPr>
      <w:r w:rsidRPr="00B940A2">
        <w:rPr>
          <w:rFonts w:ascii="Times New Roman" w:eastAsiaTheme="minorHAnsi" w:hAnsi="Times New Roman"/>
          <w:lang w:val="en-US"/>
        </w:rPr>
        <w:t xml:space="preserve">To celebrate with </w:t>
      </w:r>
      <w:r w:rsidRPr="00B940A2">
        <w:rPr>
          <w:rFonts w:ascii="Times New Roman" w:hAnsi="Times New Roman"/>
          <w:color w:val="000000"/>
          <w:lang w:val="en-US"/>
        </w:rPr>
        <w:t>satisfaction</w:t>
      </w:r>
      <w:r w:rsidRPr="00B940A2">
        <w:rPr>
          <w:rFonts w:ascii="Times New Roman" w:eastAsiaTheme="minorHAnsi" w:hAnsi="Times New Roman"/>
          <w:lang w:val="en-US"/>
        </w:rPr>
        <w:t xml:space="preserve"> the centenary of the adoption of the Treaty to Avoid or Prevent Conflicts between the American States (“Gondra Treaty”) signed at the Fifth International Conference of American States, held in Santiago, Chile, from March 25 to May 3, 1923.</w:t>
      </w:r>
    </w:p>
    <w:p w14:paraId="3DFD131D" w14:textId="77777777" w:rsidR="00AE5712" w:rsidRPr="00B940A2" w:rsidRDefault="00AE5712" w:rsidP="007739D6">
      <w:pPr>
        <w:spacing w:after="0" w:line="240" w:lineRule="auto"/>
        <w:contextualSpacing/>
        <w:jc w:val="both"/>
        <w:rPr>
          <w:rFonts w:ascii="Times New Roman" w:eastAsiaTheme="minorHAnsi" w:hAnsi="Times New Roman"/>
          <w:lang w:val="en-US"/>
        </w:rPr>
      </w:pPr>
    </w:p>
    <w:p w14:paraId="2ACE189B" w14:textId="33E3095F" w:rsidR="001B0EB3" w:rsidRPr="00AE5712" w:rsidRDefault="001B0EB3" w:rsidP="007739D6">
      <w:pPr>
        <w:numPr>
          <w:ilvl w:val="0"/>
          <w:numId w:val="43"/>
        </w:numPr>
        <w:spacing w:after="0" w:line="240" w:lineRule="auto"/>
        <w:ind w:left="0" w:firstLine="720"/>
        <w:contextualSpacing/>
        <w:jc w:val="both"/>
        <w:rPr>
          <w:rFonts w:ascii="Times New Roman" w:eastAsiaTheme="minorHAnsi" w:hAnsi="Times New Roman"/>
          <w:lang w:val="en-US"/>
        </w:rPr>
      </w:pPr>
      <w:r w:rsidRPr="00B940A2">
        <w:rPr>
          <w:rFonts w:ascii="Times New Roman" w:eastAsiaTheme="minorHAnsi" w:hAnsi="Times New Roman"/>
          <w:lang w:val="en-US"/>
        </w:rPr>
        <w:t>To recognize the historical importance for international law of the Gondra Treaty, considered the first regional instrument on peaceful settlement of international disputes, in the construction of the inter-American legal framework in that regard.</w:t>
      </w:r>
    </w:p>
    <w:p w14:paraId="3442B10D" w14:textId="77777777" w:rsidR="007739D6" w:rsidRDefault="007739D6" w:rsidP="007739D6">
      <w:pPr>
        <w:spacing w:after="0" w:line="240" w:lineRule="auto"/>
        <w:contextualSpacing/>
        <w:jc w:val="both"/>
        <w:rPr>
          <w:rFonts w:ascii="Times New Roman" w:hAnsi="Times New Roman"/>
          <w:lang w:val="en-US"/>
        </w:rPr>
      </w:pPr>
    </w:p>
    <w:p w14:paraId="73E8F119" w14:textId="77777777" w:rsidR="007739D6" w:rsidRDefault="007739D6">
      <w:pPr>
        <w:spacing w:after="0" w:line="240" w:lineRule="auto"/>
        <w:rPr>
          <w:rFonts w:ascii="Times New Roman" w:hAnsi="Times New Roman"/>
          <w:lang w:val="en-US"/>
        </w:rPr>
      </w:pPr>
      <w:r>
        <w:rPr>
          <w:rFonts w:ascii="Times New Roman" w:hAnsi="Times New Roman"/>
          <w:lang w:val="en-US"/>
        </w:rPr>
        <w:br w:type="page"/>
      </w:r>
    </w:p>
    <w:p w14:paraId="0322045E" w14:textId="7378C88C" w:rsidR="00B3454B" w:rsidRPr="007739D6" w:rsidRDefault="007F7882" w:rsidP="007739D6">
      <w:pPr>
        <w:spacing w:after="0" w:line="240" w:lineRule="auto"/>
        <w:contextualSpacing/>
        <w:jc w:val="center"/>
        <w:rPr>
          <w:rFonts w:ascii="Times New Roman" w:hAnsi="Times New Roman"/>
          <w:sz w:val="20"/>
          <w:szCs w:val="20"/>
          <w:lang w:val="en-US"/>
        </w:rPr>
      </w:pPr>
      <w:r w:rsidRPr="007739D6">
        <w:rPr>
          <w:rFonts w:ascii="Times New Roman" w:hAnsi="Times New Roman"/>
          <w:noProof/>
          <w:sz w:val="20"/>
          <w:szCs w:val="20"/>
          <w:lang w:val="en-US"/>
        </w:rPr>
        <w:lastRenderedPageBreak/>
        <mc:AlternateContent>
          <mc:Choice Requires="wps">
            <w:drawing>
              <wp:anchor distT="0" distB="0" distL="114300" distR="114300" simplePos="0" relativeHeight="251657728" behindDoc="0" locked="1" layoutInCell="1" allowOverlap="1" wp14:anchorId="30EFD8C8" wp14:editId="7BB29366">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B779DBF" w14:textId="5FF274D4" w:rsidR="007F7882" w:rsidRPr="00B940A2" w:rsidRDefault="007739D6">
                            <w:pPr>
                              <w:rPr>
                                <w:rFonts w:ascii="Times New Roman" w:hAnsi="Times New Roman"/>
                                <w:sz w:val="18"/>
                                <w:lang w:val="en-US"/>
                              </w:rPr>
                            </w:pPr>
                            <w:r>
                              <w:rPr>
                                <w:rFonts w:ascii="Times New Roman" w:hAnsi="Times New Roman"/>
                                <w:sz w:val="18"/>
                                <w:lang w:val="en-US"/>
                              </w:rPr>
                              <w:fldChar w:fldCharType="begin"/>
                            </w:r>
                            <w:r>
                              <w:rPr>
                                <w:rFonts w:ascii="Times New Roman" w:hAnsi="Times New Roman"/>
                                <w:sz w:val="18"/>
                                <w:lang w:val="en-US"/>
                              </w:rPr>
                              <w:instrText xml:space="preserve"> FILENAME \* MERGEFORMAT </w:instrText>
                            </w:r>
                            <w:r>
                              <w:rPr>
                                <w:rFonts w:ascii="Times New Roman" w:hAnsi="Times New Roman"/>
                                <w:sz w:val="18"/>
                                <w:lang w:val="en-US"/>
                              </w:rPr>
                              <w:fldChar w:fldCharType="separate"/>
                            </w:r>
                            <w:r w:rsidR="00471059">
                              <w:rPr>
                                <w:rFonts w:ascii="Times New Roman" w:hAnsi="Times New Roman"/>
                                <w:noProof/>
                                <w:sz w:val="18"/>
                                <w:lang w:val="en-US"/>
                              </w:rPr>
                              <w:t>AG08789E01</w:t>
                            </w:r>
                            <w:r>
                              <w:rPr>
                                <w:rFonts w:ascii="Times New Roman" w:hAnsi="Times New Roman"/>
                                <w:sz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EFD8C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77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7B779DBF" w14:textId="5FF274D4" w:rsidR="007F7882" w:rsidRPr="00B940A2" w:rsidRDefault="007739D6">
                      <w:pPr>
                        <w:rPr>
                          <w:rFonts w:ascii="Times New Roman" w:hAnsi="Times New Roman"/>
                          <w:sz w:val="18"/>
                          <w:lang w:val="en-US"/>
                        </w:rPr>
                      </w:pPr>
                      <w:r>
                        <w:rPr>
                          <w:rFonts w:ascii="Times New Roman" w:hAnsi="Times New Roman"/>
                          <w:sz w:val="18"/>
                          <w:lang w:val="en-US"/>
                        </w:rPr>
                        <w:fldChar w:fldCharType="begin"/>
                      </w:r>
                      <w:r>
                        <w:rPr>
                          <w:rFonts w:ascii="Times New Roman" w:hAnsi="Times New Roman"/>
                          <w:sz w:val="18"/>
                          <w:lang w:val="en-US"/>
                        </w:rPr>
                        <w:instrText xml:space="preserve"> FILENAME \* MERGEFORMAT </w:instrText>
                      </w:r>
                      <w:r>
                        <w:rPr>
                          <w:rFonts w:ascii="Times New Roman" w:hAnsi="Times New Roman"/>
                          <w:sz w:val="18"/>
                          <w:lang w:val="en-US"/>
                        </w:rPr>
                        <w:fldChar w:fldCharType="separate"/>
                      </w:r>
                      <w:r w:rsidR="00471059">
                        <w:rPr>
                          <w:rFonts w:ascii="Times New Roman" w:hAnsi="Times New Roman"/>
                          <w:noProof/>
                          <w:sz w:val="18"/>
                          <w:lang w:val="en-US"/>
                        </w:rPr>
                        <w:t>AG08789E01</w:t>
                      </w:r>
                      <w:r>
                        <w:rPr>
                          <w:rFonts w:ascii="Times New Roman" w:hAnsi="Times New Roman"/>
                          <w:sz w:val="18"/>
                          <w:lang w:val="en-US"/>
                        </w:rPr>
                        <w:fldChar w:fldCharType="end"/>
                      </w:r>
                    </w:p>
                  </w:txbxContent>
                </v:textbox>
                <w10:wrap anchory="page"/>
                <w10:anchorlock/>
              </v:shape>
            </w:pict>
          </mc:Fallback>
        </mc:AlternateContent>
      </w:r>
      <w:r w:rsidR="007739D6" w:rsidRPr="007739D6">
        <w:rPr>
          <w:rFonts w:ascii="Times New Roman" w:hAnsi="Times New Roman"/>
          <w:sz w:val="20"/>
          <w:szCs w:val="20"/>
          <w:lang w:val="en-US"/>
        </w:rPr>
        <w:t>FOOTNOTES</w:t>
      </w:r>
    </w:p>
    <w:p w14:paraId="35625A1C" w14:textId="77777777" w:rsidR="007739D6" w:rsidRPr="007739D6" w:rsidRDefault="007739D6" w:rsidP="007739D6">
      <w:pPr>
        <w:spacing w:after="0" w:line="240" w:lineRule="auto"/>
        <w:contextualSpacing/>
        <w:jc w:val="center"/>
        <w:rPr>
          <w:rFonts w:ascii="Times New Roman" w:hAnsi="Times New Roman"/>
          <w:sz w:val="20"/>
          <w:szCs w:val="20"/>
          <w:lang w:val="en-US"/>
        </w:rPr>
      </w:pPr>
    </w:p>
    <w:p w14:paraId="4781D1D2" w14:textId="7495760F" w:rsidR="007739D6" w:rsidRPr="007739D6" w:rsidRDefault="007739D6" w:rsidP="007739D6">
      <w:pPr>
        <w:spacing w:after="0" w:line="240" w:lineRule="auto"/>
        <w:contextualSpacing/>
        <w:jc w:val="both"/>
        <w:rPr>
          <w:rFonts w:ascii="Times New Roman" w:hAnsi="Times New Roman"/>
          <w:sz w:val="20"/>
          <w:szCs w:val="20"/>
          <w:lang w:val="en-US"/>
        </w:rPr>
      </w:pPr>
    </w:p>
    <w:p w14:paraId="789A71C7" w14:textId="7538127B" w:rsidR="007739D6" w:rsidRPr="007739D6" w:rsidRDefault="007739D6" w:rsidP="007739D6">
      <w:pPr>
        <w:spacing w:after="0" w:line="240" w:lineRule="auto"/>
        <w:contextualSpacing/>
        <w:jc w:val="both"/>
        <w:rPr>
          <w:rFonts w:ascii="Times New Roman" w:hAnsi="Times New Roman"/>
          <w:sz w:val="20"/>
          <w:szCs w:val="20"/>
          <w:lang w:val="en-US"/>
        </w:rPr>
      </w:pPr>
      <w:r w:rsidRPr="007739D6">
        <w:rPr>
          <w:rFonts w:ascii="Times New Roman" w:hAnsi="Times New Roman"/>
          <w:sz w:val="20"/>
          <w:szCs w:val="20"/>
          <w:lang w:val="en-US"/>
        </w:rPr>
        <w:tab/>
        <w:t>1.</w:t>
      </w:r>
      <w:r w:rsidRPr="007739D6">
        <w:rPr>
          <w:rFonts w:ascii="Times New Roman" w:hAnsi="Times New Roman"/>
          <w:sz w:val="20"/>
          <w:szCs w:val="20"/>
          <w:lang w:val="en-US"/>
        </w:rPr>
        <w:tab/>
        <w:t>… every nation faces and a challenge we can all work together to overcome. It is important to note that obligations arising under international law generally apply to States and not to non-state actors such as individuals or business enterprises.  The actions by private actors as a general matter in and of themselves do not constitute violations of international human rights law.  In addition, the United States is unaware of any existing advisory opinion that meets the description in the text, nor is it clear that any such opinion would be within the advisory jurisdiction of the Inter-American Court of Human Rights.  Moreover, to the extent that the text refers to a request currently pending before the Inter-American Court of Human Rights, the United States would note that the Inter-American Court has not yet ruled on the jurisdiction and admissibility of that request.  The United States considers it inappropriate and inconsistent with the roles of the political and judicial organs of the inter-American system for the General Assembly to presuppose the outcome of the Inter-American Court of Human Rights' analysis of both the technical criteria for jurisdiction and admissibility as well as Court's own discretionary powers to decide whether to render an advisory opinion concerning any given request.  Therefore, the United States interprets the resolution as requesting the Department of International Law to reflect on any future action by the Inter-American Court of Human Rights and to defer decision on any dissemination of any document it might produce to a further resolution of the appropriate OAS political organ. We encourage all states to cooperate closely to stem illicit trafficking of firearms in the region.</w:t>
      </w:r>
    </w:p>
    <w:p w14:paraId="445B56DC" w14:textId="77777777" w:rsidR="007739D6" w:rsidRPr="007739D6" w:rsidRDefault="007739D6" w:rsidP="007739D6">
      <w:pPr>
        <w:spacing w:after="0" w:line="240" w:lineRule="auto"/>
        <w:contextualSpacing/>
        <w:jc w:val="both"/>
        <w:rPr>
          <w:rFonts w:ascii="Times New Roman" w:hAnsi="Times New Roman"/>
          <w:sz w:val="20"/>
          <w:szCs w:val="20"/>
          <w:lang w:val="en-US"/>
        </w:rPr>
      </w:pPr>
    </w:p>
    <w:p w14:paraId="544771F7" w14:textId="282FA987" w:rsidR="007739D6" w:rsidRPr="007739D6" w:rsidRDefault="007739D6" w:rsidP="007739D6">
      <w:pPr>
        <w:spacing w:after="0" w:line="240" w:lineRule="auto"/>
        <w:contextualSpacing/>
        <w:jc w:val="both"/>
        <w:rPr>
          <w:rFonts w:ascii="Times New Roman" w:hAnsi="Times New Roman"/>
          <w:sz w:val="20"/>
          <w:szCs w:val="20"/>
          <w:lang w:val="en-US"/>
        </w:rPr>
      </w:pPr>
      <w:r w:rsidRPr="007739D6">
        <w:rPr>
          <w:rFonts w:ascii="Times New Roman" w:hAnsi="Times New Roman"/>
          <w:sz w:val="20"/>
          <w:szCs w:val="20"/>
          <w:lang w:val="en-US"/>
        </w:rPr>
        <w:tab/>
        <w:t>2.</w:t>
      </w:r>
      <w:r w:rsidRPr="007739D6">
        <w:rPr>
          <w:rFonts w:ascii="Times New Roman" w:hAnsi="Times New Roman"/>
          <w:sz w:val="20"/>
          <w:szCs w:val="20"/>
          <w:lang w:val="en-US"/>
        </w:rPr>
        <w:tab/>
        <w:t>… Governmental Experts (GGE) on Emerging Technologies in the Area of Lethal Autonomous Weapons Systems (LAWS) is the appropriate multilateral forum for discussions on autonomous weapons, as demonstrated by the GGE’s extensive work and the robust, cross-regional participation of States and civil society in the LAWS GGE.  The United States appreciates the focus of this resolution on international humanitarian law (IHL)—in particular the principles and requirements of distinction, proportionality, and precautions in attack.  This focus reflects the work of the LAWS GGE, which affirmed by consensus, inter alia, in its 2023 report, “[c]ontrol with regard to weapon systems based on emerging technologies in the area of LAWS is needed to uphold compliance with international law, in particular IHL, including the principles and requirements of distinction, proportionality and precautions in attack.”  Although the LAWS GGE has extensively discussed the term “meaningful human control”, the GGE has not found consensus on it.  This term is not a requirement or standard under existing IHL.  For reasons that the United States has explained in the LAWS GGE, which other States have supported, we oppose the reference to this term in this resolution.  In addition, although the United States appreciates the preambular paragraph highlighting the work of the LAWS GGE, the United States does not support the reference in that paragraph to a proposal submitted to the GGE regarding a draft CCW Protocol VI.  This proposal did not gain the consensus of the GGE and other proposals that have been submitted to the GGE, such as the proposal submitted by Australia, Canada, Japan, the Republic of Korea, Poland, the United Kingdom, and the United States, are not reflected in this paragraph, which does not accurately portray the GGE’s work.  The United States also opposes the preambular paragraph related to Article 36 of the 1977 Additional Protocol I to the 1949 Geneva Conventions because this paragraph does not accurately reflect the requirements of Article 36 for States Parties to Additional Protocol I.  Finally, with respect to the second operative paragraph, the United States reiterates that IHL should be the focus of this meeting.</w:t>
      </w:r>
    </w:p>
    <w:p w14:paraId="587A09C1" w14:textId="66EA9D81" w:rsidR="007739D6" w:rsidRPr="007739D6" w:rsidRDefault="007739D6" w:rsidP="007739D6">
      <w:pPr>
        <w:spacing w:after="0" w:line="240" w:lineRule="auto"/>
        <w:contextualSpacing/>
        <w:jc w:val="both"/>
        <w:rPr>
          <w:rFonts w:ascii="Times New Roman" w:hAnsi="Times New Roman"/>
          <w:sz w:val="20"/>
          <w:szCs w:val="20"/>
          <w:lang w:val="en-US"/>
        </w:rPr>
      </w:pPr>
    </w:p>
    <w:p w14:paraId="43D75895" w14:textId="5457378A" w:rsidR="007739D6" w:rsidRPr="007739D6" w:rsidRDefault="00A60EA7" w:rsidP="007739D6">
      <w:pPr>
        <w:spacing w:after="0" w:line="240" w:lineRule="auto"/>
        <w:contextualSpacing/>
        <w:jc w:val="both"/>
        <w:rPr>
          <w:rFonts w:ascii="Times New Roman" w:hAnsi="Times New Roman"/>
          <w:sz w:val="20"/>
          <w:szCs w:val="20"/>
          <w:lang w:val="en-US"/>
        </w:rPr>
      </w:pPr>
      <w:r>
        <w:rPr>
          <w:noProof/>
        </w:rPr>
        <w:drawing>
          <wp:anchor distT="0" distB="0" distL="114300" distR="114300" simplePos="0" relativeHeight="251659776" behindDoc="0" locked="0" layoutInCell="1" allowOverlap="1" wp14:anchorId="2217807A" wp14:editId="30FA9E2C">
            <wp:simplePos x="0" y="0"/>
            <wp:positionH relativeFrom="column">
              <wp:posOffset>4855210</wp:posOffset>
            </wp:positionH>
            <wp:positionV relativeFrom="page">
              <wp:posOffset>8524875</wp:posOffset>
            </wp:positionV>
            <wp:extent cx="719455" cy="719455"/>
            <wp:effectExtent l="0" t="0" r="4445" b="4445"/>
            <wp:wrapNone/>
            <wp:docPr id="1574271508" name="Picture 1" descr="A picture containing pattern, square, pix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271508" name="Picture 1" descr="A picture containing pattern, square, pixel&#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9D6" w:rsidRPr="007739D6">
        <w:rPr>
          <w:rFonts w:ascii="Times New Roman" w:hAnsi="Times New Roman"/>
          <w:sz w:val="20"/>
          <w:szCs w:val="20"/>
          <w:lang w:val="en-US"/>
        </w:rPr>
        <w:tab/>
        <w:t>3.</w:t>
      </w:r>
      <w:r w:rsidR="007739D6" w:rsidRPr="007739D6">
        <w:rPr>
          <w:rFonts w:ascii="Times New Roman" w:hAnsi="Times New Roman"/>
          <w:sz w:val="20"/>
          <w:szCs w:val="20"/>
          <w:lang w:val="en-US"/>
        </w:rPr>
        <w:tab/>
        <w:t>…</w:t>
      </w:r>
      <w:r w:rsidR="007739D6" w:rsidRPr="007739D6">
        <w:rPr>
          <w:rFonts w:ascii="Times New Roman" w:eastAsia="Times New Roman" w:hAnsi="Times New Roman"/>
          <w:sz w:val="20"/>
          <w:szCs w:val="20"/>
          <w:lang w:val="en-US"/>
        </w:rPr>
        <w:t xml:space="preserve"> to humanity.  The United States recognizes that the International Criminal Court can play a meaningful role in bringing those responsible for the worst atrocities to justice. To that end, we have provided - and continue to provide - specific support to the ICC in connection with certain investigations and prosecutions, consistent with U.S. law and policy. The United States understands that any OAS support rendered to the ICC would be drawn from specific-fund contributions rather than the OAS regular budget.</w:t>
      </w:r>
      <w:r w:rsidRPr="00A60EA7">
        <w:rPr>
          <w:lang w:val="en-US"/>
        </w:rPr>
        <w:t xml:space="preserve"> </w:t>
      </w:r>
    </w:p>
    <w:sectPr w:rsidR="007739D6" w:rsidRPr="007739D6" w:rsidSect="00991BF1">
      <w:headerReference w:type="default" r:id="rId13"/>
      <w:headerReference w:type="first" r:id="rId14"/>
      <w:type w:val="oddPage"/>
      <w:pgSz w:w="12242" w:h="15842"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48FE" w14:textId="77777777" w:rsidR="0015625B" w:rsidRDefault="0015625B" w:rsidP="00592DA1">
      <w:pPr>
        <w:spacing w:after="0" w:line="240" w:lineRule="auto"/>
      </w:pPr>
      <w:r>
        <w:separator/>
      </w:r>
    </w:p>
  </w:endnote>
  <w:endnote w:type="continuationSeparator" w:id="0">
    <w:p w14:paraId="3A690B1E" w14:textId="77777777" w:rsidR="0015625B" w:rsidRDefault="0015625B" w:rsidP="00592DA1">
      <w:pPr>
        <w:spacing w:after="0" w:line="240" w:lineRule="auto"/>
      </w:pPr>
      <w:r>
        <w:continuationSeparator/>
      </w:r>
    </w:p>
  </w:endnote>
  <w:endnote w:type="continuationNotice" w:id="1">
    <w:p w14:paraId="20D70E14" w14:textId="77777777" w:rsidR="0015625B" w:rsidRDefault="001562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99CB" w14:textId="77777777" w:rsidR="0015625B" w:rsidRDefault="0015625B" w:rsidP="00592DA1">
      <w:pPr>
        <w:spacing w:after="0" w:line="240" w:lineRule="auto"/>
      </w:pPr>
      <w:r>
        <w:separator/>
      </w:r>
    </w:p>
  </w:footnote>
  <w:footnote w:type="continuationSeparator" w:id="0">
    <w:p w14:paraId="3B8E79F8" w14:textId="77777777" w:rsidR="0015625B" w:rsidRDefault="0015625B" w:rsidP="00592DA1">
      <w:pPr>
        <w:spacing w:after="0" w:line="240" w:lineRule="auto"/>
      </w:pPr>
      <w:r>
        <w:continuationSeparator/>
      </w:r>
    </w:p>
  </w:footnote>
  <w:footnote w:type="continuationNotice" w:id="1">
    <w:p w14:paraId="227B54F0" w14:textId="77777777" w:rsidR="0015625B" w:rsidRDefault="0015625B">
      <w:pPr>
        <w:spacing w:after="0" w:line="240" w:lineRule="auto"/>
      </w:pPr>
    </w:p>
  </w:footnote>
  <w:footnote w:id="2">
    <w:p w14:paraId="41FBB3C5" w14:textId="4CC1BDE1" w:rsidR="00405E89" w:rsidRPr="00B940A2" w:rsidRDefault="00405E89" w:rsidP="00B940A2">
      <w:pPr>
        <w:pStyle w:val="FootnoteText"/>
        <w:ind w:left="851" w:hanging="425"/>
        <w:jc w:val="both"/>
        <w:rPr>
          <w:rFonts w:ascii="Times New Roman" w:hAnsi="Times New Roman"/>
          <w:lang w:val="en-US"/>
        </w:rPr>
      </w:pPr>
      <w:r w:rsidRPr="00B940A2">
        <w:rPr>
          <w:rStyle w:val="FootnoteReference"/>
          <w:rFonts w:ascii="Times New Roman" w:hAnsi="Times New Roman"/>
        </w:rPr>
        <w:footnoteRef/>
      </w:r>
      <w:r w:rsidR="00B940A2">
        <w:rPr>
          <w:rFonts w:ascii="Times New Roman" w:hAnsi="Times New Roman"/>
          <w:lang w:val="en-US"/>
        </w:rPr>
        <w:t>.</w:t>
      </w:r>
      <w:r w:rsidRPr="00B940A2">
        <w:rPr>
          <w:rFonts w:ascii="Times New Roman" w:hAnsi="Times New Roman"/>
          <w:lang w:val="en-US"/>
        </w:rPr>
        <w:t xml:space="preserve"> </w:t>
      </w:r>
      <w:r w:rsidR="00B940A2">
        <w:rPr>
          <w:rFonts w:ascii="Times New Roman" w:hAnsi="Times New Roman"/>
          <w:lang w:val="en-US"/>
        </w:rPr>
        <w:tab/>
      </w:r>
      <w:r w:rsidRPr="00B940A2">
        <w:rPr>
          <w:rFonts w:ascii="Times New Roman" w:hAnsi="Times New Roman"/>
          <w:lang w:val="en-US"/>
        </w:rPr>
        <w:t>Promoting and advancing respect for human rights and fundamental freedoms is a top priority for the United States.  Combatting insecurity and protecting human rights for all are challenges</w:t>
      </w:r>
      <w:r w:rsidR="007739D6">
        <w:rPr>
          <w:rFonts w:ascii="Times New Roman" w:hAnsi="Times New Roman"/>
          <w:lang w:val="en-US"/>
        </w:rPr>
        <w:t>…</w:t>
      </w:r>
      <w:r w:rsidRPr="00B940A2">
        <w:rPr>
          <w:rFonts w:ascii="Times New Roman" w:hAnsi="Times New Roman"/>
          <w:lang w:val="en-US"/>
        </w:rPr>
        <w:t xml:space="preserve"> </w:t>
      </w:r>
    </w:p>
  </w:footnote>
  <w:footnote w:id="3">
    <w:p w14:paraId="78B605AC" w14:textId="34AB181A" w:rsidR="00405E89" w:rsidRPr="00B940A2" w:rsidRDefault="00405E89" w:rsidP="00B940A2">
      <w:pPr>
        <w:pStyle w:val="FootnoteText"/>
        <w:ind w:left="851" w:hanging="567"/>
        <w:jc w:val="both"/>
        <w:rPr>
          <w:rFonts w:ascii="Times New Roman" w:hAnsi="Times New Roman"/>
          <w:lang w:val="en-US"/>
        </w:rPr>
      </w:pPr>
      <w:r w:rsidRPr="00B940A2">
        <w:rPr>
          <w:rStyle w:val="FootnoteReference"/>
          <w:rFonts w:ascii="Times New Roman" w:hAnsi="Times New Roman"/>
        </w:rPr>
        <w:footnoteRef/>
      </w:r>
      <w:r w:rsidR="00B940A2">
        <w:rPr>
          <w:rFonts w:ascii="Times New Roman" w:hAnsi="Times New Roman"/>
          <w:lang w:val="en-US"/>
        </w:rPr>
        <w:t>.</w:t>
      </w:r>
      <w:r w:rsidR="00B940A2">
        <w:rPr>
          <w:rFonts w:ascii="Times New Roman" w:hAnsi="Times New Roman"/>
          <w:lang w:val="en-US"/>
        </w:rPr>
        <w:tab/>
      </w:r>
      <w:r w:rsidRPr="00B940A2">
        <w:rPr>
          <w:rFonts w:ascii="Times New Roman" w:hAnsi="Times New Roman"/>
          <w:lang w:val="en-US"/>
        </w:rPr>
        <w:t>The United States does not support section v. for the reasons stated in this footnote.  The United States believes that the Convention on Certain Conventional Weapons (CCW) Group of</w:t>
      </w:r>
      <w:r w:rsidR="007739D6">
        <w:rPr>
          <w:rFonts w:ascii="Times New Roman" w:hAnsi="Times New Roman"/>
          <w:lang w:val="en-US"/>
        </w:rPr>
        <w:t>…</w:t>
      </w:r>
      <w:r w:rsidRPr="00B940A2">
        <w:rPr>
          <w:rFonts w:ascii="Times New Roman" w:hAnsi="Times New Roman"/>
          <w:lang w:val="en-US"/>
        </w:rPr>
        <w:t xml:space="preserve">   </w:t>
      </w:r>
    </w:p>
  </w:footnote>
  <w:footnote w:id="4">
    <w:p w14:paraId="4BB2798E" w14:textId="0F277BE8" w:rsidR="00405E89" w:rsidRPr="00B940A2" w:rsidRDefault="00405E89" w:rsidP="00B940A2">
      <w:pPr>
        <w:spacing w:before="100" w:beforeAutospacing="1" w:after="100" w:afterAutospacing="1" w:line="240" w:lineRule="auto"/>
        <w:ind w:left="851" w:hanging="567"/>
        <w:jc w:val="both"/>
        <w:rPr>
          <w:lang w:val="en-US"/>
        </w:rPr>
      </w:pPr>
      <w:r w:rsidRPr="00B940A2">
        <w:rPr>
          <w:rStyle w:val="FootnoteReference"/>
          <w:rFonts w:ascii="Times New Roman" w:hAnsi="Times New Roman"/>
          <w:sz w:val="20"/>
          <w:szCs w:val="20"/>
        </w:rPr>
        <w:footnoteRef/>
      </w:r>
      <w:r w:rsidR="00B940A2">
        <w:rPr>
          <w:rFonts w:ascii="Times New Roman" w:hAnsi="Times New Roman"/>
          <w:sz w:val="20"/>
          <w:szCs w:val="20"/>
          <w:lang w:val="en-US"/>
        </w:rPr>
        <w:t>.</w:t>
      </w:r>
      <w:r w:rsidRPr="00B940A2">
        <w:rPr>
          <w:rFonts w:ascii="Times New Roman" w:hAnsi="Times New Roman"/>
          <w:sz w:val="20"/>
          <w:szCs w:val="20"/>
          <w:lang w:val="en-US"/>
        </w:rPr>
        <w:t xml:space="preserve"> </w:t>
      </w:r>
      <w:r w:rsidR="00B940A2">
        <w:rPr>
          <w:rFonts w:ascii="Times New Roman" w:hAnsi="Times New Roman"/>
          <w:sz w:val="20"/>
          <w:szCs w:val="20"/>
          <w:lang w:val="en-US"/>
        </w:rPr>
        <w:tab/>
      </w:r>
      <w:r w:rsidRPr="00B940A2">
        <w:rPr>
          <w:rFonts w:ascii="Times New Roman" w:eastAsia="Times New Roman" w:hAnsi="Times New Roman"/>
          <w:sz w:val="20"/>
          <w:szCs w:val="20"/>
          <w:lang w:val="en-US"/>
        </w:rPr>
        <w:t xml:space="preserve">Although the United States is not a party to the Rome Statute, we underscore our firm and deep commitment to justice and accountability, particularly for the worst crimes known </w:t>
      </w:r>
      <w:r w:rsidR="007739D6">
        <w:rPr>
          <w:rFonts w:ascii="Times New Roman" w:eastAsia="Times New Roman" w:hAnsi="Times New Roman"/>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970240446"/>
      <w:docPartObj>
        <w:docPartGallery w:val="Page Numbers (Top of Page)"/>
        <w:docPartUnique/>
      </w:docPartObj>
    </w:sdtPr>
    <w:sdtEndPr>
      <w:rPr>
        <w:noProof/>
      </w:rPr>
    </w:sdtEndPr>
    <w:sdtContent>
      <w:p w14:paraId="41E094FD" w14:textId="77777777" w:rsidR="008C2FD1" w:rsidRPr="003F339B" w:rsidRDefault="008C2FD1">
        <w:pPr>
          <w:pStyle w:val="Header"/>
          <w:jc w:val="center"/>
          <w:rPr>
            <w:rFonts w:ascii="Times New Roman" w:hAnsi="Times New Roman"/>
          </w:rPr>
        </w:pPr>
        <w:r>
          <w:rPr>
            <w:rFonts w:ascii="Times New Roman" w:hAnsi="Times New Roman"/>
            <w:lang w:val="en-US"/>
          </w:rPr>
          <w:t xml:space="preserve">- </w:t>
        </w:r>
        <w:r>
          <w:rPr>
            <w:rFonts w:ascii="Times New Roman" w:hAnsi="Times New Roman"/>
            <w:lang w:val="en-US"/>
          </w:rPr>
          <w:fldChar w:fldCharType="begin"/>
        </w:r>
        <w:r>
          <w:rPr>
            <w:rFonts w:ascii="Times New Roman" w:hAnsi="Times New Roman"/>
            <w:lang w:val="en-US"/>
          </w:rPr>
          <w:instrText xml:space="preserve"> PAGE   \* MERGEFORMAT </w:instrText>
        </w:r>
        <w:r>
          <w:rPr>
            <w:rFonts w:ascii="Times New Roman" w:hAnsi="Times New Roman"/>
            <w:lang w:val="en-US"/>
          </w:rPr>
          <w:fldChar w:fldCharType="separate"/>
        </w:r>
        <w:r>
          <w:rPr>
            <w:rFonts w:ascii="Times New Roman" w:hAnsi="Times New Roman"/>
            <w:noProof/>
            <w:lang w:val="en-US"/>
          </w:rPr>
          <w:t>17</w:t>
        </w:r>
        <w:r>
          <w:rPr>
            <w:rFonts w:ascii="Times New Roman" w:hAnsi="Times New Roman"/>
            <w:noProof/>
            <w:lang w:val="en-US"/>
          </w:rPr>
          <w:fldChar w:fldCharType="end"/>
        </w:r>
        <w:r>
          <w:rPr>
            <w:rFonts w:ascii="Times New Roman" w:hAnsi="Times New Roman"/>
            <w:noProof/>
            <w:lang w:val="en-US"/>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2422" w14:textId="77777777" w:rsidR="00C63BEF" w:rsidRDefault="00C63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67A"/>
    <w:multiLevelType w:val="hybridMultilevel"/>
    <w:tmpl w:val="9766B8E0"/>
    <w:lvl w:ilvl="0" w:tplc="B44EB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36699"/>
    <w:multiLevelType w:val="hybridMultilevel"/>
    <w:tmpl w:val="9A506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CB2176"/>
    <w:multiLevelType w:val="hybridMultilevel"/>
    <w:tmpl w:val="7E8AFCD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70C0959"/>
    <w:multiLevelType w:val="hybridMultilevel"/>
    <w:tmpl w:val="49744806"/>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D44B6C"/>
    <w:multiLevelType w:val="hybridMultilevel"/>
    <w:tmpl w:val="A8D0C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A24768"/>
    <w:multiLevelType w:val="multilevel"/>
    <w:tmpl w:val="6C2A2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D4055"/>
    <w:multiLevelType w:val="hybridMultilevel"/>
    <w:tmpl w:val="6BBED138"/>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423D25"/>
    <w:multiLevelType w:val="hybridMultilevel"/>
    <w:tmpl w:val="FBA0C326"/>
    <w:lvl w:ilvl="0" w:tplc="705E4636">
      <w:start w:val="6"/>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0E52022D"/>
    <w:multiLevelType w:val="multilevel"/>
    <w:tmpl w:val="16EA6948"/>
    <w:lvl w:ilvl="0">
      <w:start w:val="1"/>
      <w:numFmt w:val="decimal"/>
      <w:lvlText w:val="%1."/>
      <w:lvlJc w:val="left"/>
      <w:pPr>
        <w:ind w:left="450" w:hanging="360"/>
      </w:pPr>
      <w:rPr>
        <w:rFonts w:ascii="Times New Roman" w:eastAsia="Times New Roman" w:hAnsi="Times New Roman" w:cs="Times New Roman"/>
        <w:vanish w:val="0"/>
        <w:color w:val="000000"/>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9" w15:restartNumberingAfterBreak="0">
    <w:nsid w:val="11ED6C4E"/>
    <w:multiLevelType w:val="hybridMultilevel"/>
    <w:tmpl w:val="9A5062A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1" w15:restartNumberingAfterBreak="0">
    <w:nsid w:val="1F7620D8"/>
    <w:multiLevelType w:val="hybridMultilevel"/>
    <w:tmpl w:val="9A5062A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FC45AD8"/>
    <w:multiLevelType w:val="hybridMultilevel"/>
    <w:tmpl w:val="09FA21F0"/>
    <w:lvl w:ilvl="0" w:tplc="AA8C6B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441AB1"/>
    <w:multiLevelType w:val="hybridMultilevel"/>
    <w:tmpl w:val="5038D9F0"/>
    <w:lvl w:ilvl="0" w:tplc="0409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3C1606"/>
    <w:multiLevelType w:val="hybridMultilevel"/>
    <w:tmpl w:val="23EEA348"/>
    <w:lvl w:ilvl="0" w:tplc="FFFFFFFF">
      <w:start w:val="1"/>
      <w:numFmt w:val="decimal"/>
      <w:lvlText w:val="%1."/>
      <w:lvlJc w:val="left"/>
      <w:pPr>
        <w:ind w:left="2160" w:hanging="360"/>
      </w:pPr>
    </w:lvl>
    <w:lvl w:ilvl="1" w:tplc="B44EB214">
      <w:start w:val="1"/>
      <w:numFmt w:val="decimal"/>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09474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4E10709"/>
    <w:multiLevelType w:val="hybridMultilevel"/>
    <w:tmpl w:val="5F0EFEEA"/>
    <w:lvl w:ilvl="0" w:tplc="E7240286">
      <w:start w:val="1"/>
      <w:numFmt w:val="lowerRoman"/>
      <w:lvlText w:val="%1."/>
      <w:lvlJc w:val="left"/>
      <w:pPr>
        <w:ind w:left="720" w:hanging="360"/>
      </w:pPr>
      <w:rPr>
        <w:rFonts w:hint="default"/>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7F588F"/>
    <w:multiLevelType w:val="hybridMultilevel"/>
    <w:tmpl w:val="15D6F8FA"/>
    <w:lvl w:ilvl="0" w:tplc="04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2AB81686"/>
    <w:multiLevelType w:val="hybridMultilevel"/>
    <w:tmpl w:val="A2B46ABA"/>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FD02DF"/>
    <w:multiLevelType w:val="hybridMultilevel"/>
    <w:tmpl w:val="8CE4777C"/>
    <w:lvl w:ilvl="0" w:tplc="080A000F">
      <w:start w:val="1"/>
      <w:numFmt w:val="decimal"/>
      <w:lvlText w:val="%1."/>
      <w:lvlJc w:val="left"/>
      <w:pPr>
        <w:ind w:left="3141" w:hanging="360"/>
      </w:pPr>
    </w:lvl>
    <w:lvl w:ilvl="1" w:tplc="080A0019" w:tentative="1">
      <w:start w:val="1"/>
      <w:numFmt w:val="lowerLetter"/>
      <w:lvlText w:val="%2."/>
      <w:lvlJc w:val="left"/>
      <w:pPr>
        <w:ind w:left="3861" w:hanging="360"/>
      </w:pPr>
    </w:lvl>
    <w:lvl w:ilvl="2" w:tplc="080A001B" w:tentative="1">
      <w:start w:val="1"/>
      <w:numFmt w:val="lowerRoman"/>
      <w:lvlText w:val="%3."/>
      <w:lvlJc w:val="right"/>
      <w:pPr>
        <w:ind w:left="4581" w:hanging="180"/>
      </w:pPr>
    </w:lvl>
    <w:lvl w:ilvl="3" w:tplc="080A000F" w:tentative="1">
      <w:start w:val="1"/>
      <w:numFmt w:val="decimal"/>
      <w:lvlText w:val="%4."/>
      <w:lvlJc w:val="left"/>
      <w:pPr>
        <w:ind w:left="5301" w:hanging="360"/>
      </w:pPr>
    </w:lvl>
    <w:lvl w:ilvl="4" w:tplc="080A0019" w:tentative="1">
      <w:start w:val="1"/>
      <w:numFmt w:val="lowerLetter"/>
      <w:lvlText w:val="%5."/>
      <w:lvlJc w:val="left"/>
      <w:pPr>
        <w:ind w:left="6021" w:hanging="360"/>
      </w:pPr>
    </w:lvl>
    <w:lvl w:ilvl="5" w:tplc="080A001B" w:tentative="1">
      <w:start w:val="1"/>
      <w:numFmt w:val="lowerRoman"/>
      <w:lvlText w:val="%6."/>
      <w:lvlJc w:val="right"/>
      <w:pPr>
        <w:ind w:left="6741" w:hanging="180"/>
      </w:pPr>
    </w:lvl>
    <w:lvl w:ilvl="6" w:tplc="080A000F" w:tentative="1">
      <w:start w:val="1"/>
      <w:numFmt w:val="decimal"/>
      <w:lvlText w:val="%7."/>
      <w:lvlJc w:val="left"/>
      <w:pPr>
        <w:ind w:left="7461" w:hanging="360"/>
      </w:pPr>
    </w:lvl>
    <w:lvl w:ilvl="7" w:tplc="080A0019" w:tentative="1">
      <w:start w:val="1"/>
      <w:numFmt w:val="lowerLetter"/>
      <w:lvlText w:val="%8."/>
      <w:lvlJc w:val="left"/>
      <w:pPr>
        <w:ind w:left="8181" w:hanging="360"/>
      </w:pPr>
    </w:lvl>
    <w:lvl w:ilvl="8" w:tplc="080A001B" w:tentative="1">
      <w:start w:val="1"/>
      <w:numFmt w:val="lowerRoman"/>
      <w:lvlText w:val="%9."/>
      <w:lvlJc w:val="right"/>
      <w:pPr>
        <w:ind w:left="8901" w:hanging="180"/>
      </w:pPr>
    </w:lvl>
  </w:abstractNum>
  <w:abstractNum w:abstractNumId="21" w15:restartNumberingAfterBreak="0">
    <w:nsid w:val="35716593"/>
    <w:multiLevelType w:val="hybridMultilevel"/>
    <w:tmpl w:val="7E8AFCD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3B834316"/>
    <w:multiLevelType w:val="hybridMultilevel"/>
    <w:tmpl w:val="9A5062A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3F822188"/>
    <w:multiLevelType w:val="hybridMultilevel"/>
    <w:tmpl w:val="9A5062A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335191A"/>
    <w:multiLevelType w:val="hybridMultilevel"/>
    <w:tmpl w:val="73EA7C92"/>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B4385B"/>
    <w:multiLevelType w:val="hybridMultilevel"/>
    <w:tmpl w:val="7A3E19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3A127A"/>
    <w:multiLevelType w:val="hybridMultilevel"/>
    <w:tmpl w:val="E8BA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074ABE"/>
    <w:multiLevelType w:val="multilevel"/>
    <w:tmpl w:val="49744806"/>
    <w:lvl w:ilvl="0">
      <w:start w:val="1"/>
      <w:numFmt w:val="decimal"/>
      <w:lvlText w:val="%1."/>
      <w:lvlJc w:val="left"/>
      <w:pPr>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1A3201F"/>
    <w:multiLevelType w:val="hybridMultilevel"/>
    <w:tmpl w:val="D5B04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CD2853"/>
    <w:multiLevelType w:val="hybridMultilevel"/>
    <w:tmpl w:val="371C9DFE"/>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9F4911"/>
    <w:multiLevelType w:val="hybridMultilevel"/>
    <w:tmpl w:val="4E0EF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9C4861"/>
    <w:multiLevelType w:val="hybridMultilevel"/>
    <w:tmpl w:val="7B1668C4"/>
    <w:lvl w:ilvl="0" w:tplc="9F38C220">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BC71A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B36FEE"/>
    <w:multiLevelType w:val="hybridMultilevel"/>
    <w:tmpl w:val="ED3827B0"/>
    <w:lvl w:ilvl="0" w:tplc="0EB8EAEA">
      <w:start w:val="1"/>
      <w:numFmt w:val="lowerRoman"/>
      <w:lvlText w:val="%1."/>
      <w:lvlJc w:val="left"/>
      <w:pPr>
        <w:ind w:left="1350" w:hanging="720"/>
      </w:pPr>
      <w:rPr>
        <w:rFonts w:hint="default"/>
        <w:b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C4A13"/>
    <w:multiLevelType w:val="hybridMultilevel"/>
    <w:tmpl w:val="7E8AFCD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7A56638"/>
    <w:multiLevelType w:val="hybridMultilevel"/>
    <w:tmpl w:val="8BC4410A"/>
    <w:lvl w:ilvl="0" w:tplc="B03C9D82">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C85AF8"/>
    <w:multiLevelType w:val="multilevel"/>
    <w:tmpl w:val="629207A2"/>
    <w:lvl w:ilvl="0">
      <w:start w:val="1"/>
      <w:numFmt w:val="decimal"/>
      <w:lvlText w:val="%1."/>
      <w:lvlJc w:val="left"/>
      <w:pPr>
        <w:ind w:left="1440" w:hanging="72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6D3A253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63004D"/>
    <w:multiLevelType w:val="hybridMultilevel"/>
    <w:tmpl w:val="4E0EF2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68B78B3"/>
    <w:multiLevelType w:val="multilevel"/>
    <w:tmpl w:val="49744806"/>
    <w:lvl w:ilvl="0">
      <w:start w:val="1"/>
      <w:numFmt w:val="decimal"/>
      <w:lvlText w:val="%1."/>
      <w:lvlJc w:val="left"/>
      <w:pPr>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CCA3169"/>
    <w:multiLevelType w:val="hybridMultilevel"/>
    <w:tmpl w:val="98068B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0D5AD7"/>
    <w:multiLevelType w:val="hybridMultilevel"/>
    <w:tmpl w:val="15D6F8FA"/>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451044784">
    <w:abstractNumId w:val="28"/>
  </w:num>
  <w:num w:numId="2" w16cid:durableId="1237351425">
    <w:abstractNumId w:val="4"/>
  </w:num>
  <w:num w:numId="3" w16cid:durableId="220485027">
    <w:abstractNumId w:val="8"/>
  </w:num>
  <w:num w:numId="4" w16cid:durableId="316687177">
    <w:abstractNumId w:val="35"/>
  </w:num>
  <w:num w:numId="5" w16cid:durableId="1966502858">
    <w:abstractNumId w:val="29"/>
  </w:num>
  <w:num w:numId="6" w16cid:durableId="243422483">
    <w:abstractNumId w:val="6"/>
  </w:num>
  <w:num w:numId="7" w16cid:durableId="25255310">
    <w:abstractNumId w:val="19"/>
  </w:num>
  <w:num w:numId="8" w16cid:durableId="304548207">
    <w:abstractNumId w:val="24"/>
  </w:num>
  <w:num w:numId="9" w16cid:durableId="712390953">
    <w:abstractNumId w:val="30"/>
  </w:num>
  <w:num w:numId="10" w16cid:durableId="297078096">
    <w:abstractNumId w:val="14"/>
  </w:num>
  <w:num w:numId="11" w16cid:durableId="487981942">
    <w:abstractNumId w:val="39"/>
  </w:num>
  <w:num w:numId="12" w16cid:durableId="1375152934">
    <w:abstractNumId w:val="31"/>
  </w:num>
  <w:num w:numId="13" w16cid:durableId="2091390612">
    <w:abstractNumId w:val="16"/>
  </w:num>
  <w:num w:numId="14" w16cid:durableId="91168081">
    <w:abstractNumId w:val="34"/>
  </w:num>
  <w:num w:numId="15" w16cid:durableId="582682798">
    <w:abstractNumId w:val="13"/>
  </w:num>
  <w:num w:numId="16" w16cid:durableId="19817036">
    <w:abstractNumId w:val="10"/>
  </w:num>
  <w:num w:numId="17" w16cid:durableId="1761175324">
    <w:abstractNumId w:val="17"/>
  </w:num>
  <w:num w:numId="18" w16cid:durableId="237521227">
    <w:abstractNumId w:val="33"/>
  </w:num>
  <w:num w:numId="19" w16cid:durableId="1005060849">
    <w:abstractNumId w:val="37"/>
  </w:num>
  <w:num w:numId="20" w16cid:durableId="1604998687">
    <w:abstractNumId w:val="27"/>
  </w:num>
  <w:num w:numId="21" w16cid:durableId="1857575175">
    <w:abstractNumId w:val="18"/>
  </w:num>
  <w:num w:numId="22" w16cid:durableId="1905674349">
    <w:abstractNumId w:val="38"/>
  </w:num>
  <w:num w:numId="23" w16cid:durableId="799693093">
    <w:abstractNumId w:val="20"/>
  </w:num>
  <w:num w:numId="24" w16cid:durableId="1750955660">
    <w:abstractNumId w:val="43"/>
  </w:num>
  <w:num w:numId="25" w16cid:durableId="1515608123">
    <w:abstractNumId w:val="1"/>
  </w:num>
  <w:num w:numId="26" w16cid:durableId="2135633426">
    <w:abstractNumId w:val="23"/>
  </w:num>
  <w:num w:numId="27" w16cid:durableId="1283268128">
    <w:abstractNumId w:val="9"/>
  </w:num>
  <w:num w:numId="28" w16cid:durableId="1723824804">
    <w:abstractNumId w:val="11"/>
  </w:num>
  <w:num w:numId="29" w16cid:durableId="1172839058">
    <w:abstractNumId w:val="36"/>
  </w:num>
  <w:num w:numId="30" w16cid:durableId="2085561857">
    <w:abstractNumId w:val="21"/>
  </w:num>
  <w:num w:numId="31" w16cid:durableId="92240356">
    <w:abstractNumId w:val="2"/>
  </w:num>
  <w:num w:numId="32" w16cid:durableId="1994260489">
    <w:abstractNumId w:val="15"/>
  </w:num>
  <w:num w:numId="33" w16cid:durableId="1940673236">
    <w:abstractNumId w:val="0"/>
  </w:num>
  <w:num w:numId="34" w16cid:durableId="1273585445">
    <w:abstractNumId w:val="3"/>
  </w:num>
  <w:num w:numId="35" w16cid:durableId="1576474581">
    <w:abstractNumId w:val="22"/>
  </w:num>
  <w:num w:numId="36" w16cid:durableId="889880411">
    <w:abstractNumId w:val="41"/>
  </w:num>
  <w:num w:numId="37" w16cid:durableId="667906289">
    <w:abstractNumId w:val="12"/>
  </w:num>
  <w:num w:numId="38" w16cid:durableId="468480015">
    <w:abstractNumId w:val="25"/>
  </w:num>
  <w:num w:numId="39" w16cid:durableId="1253857229">
    <w:abstractNumId w:val="42"/>
  </w:num>
  <w:num w:numId="40" w16cid:durableId="595791412">
    <w:abstractNumId w:val="7"/>
  </w:num>
  <w:num w:numId="41" w16cid:durableId="521556202">
    <w:abstractNumId w:val="32"/>
  </w:num>
  <w:num w:numId="42" w16cid:durableId="1744376374">
    <w:abstractNumId w:val="26"/>
  </w:num>
  <w:num w:numId="43" w16cid:durableId="1019358805">
    <w:abstractNumId w:val="40"/>
  </w:num>
  <w:num w:numId="44" w16cid:durableId="170294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A1"/>
    <w:rsid w:val="0000183F"/>
    <w:rsid w:val="00003BF4"/>
    <w:rsid w:val="00006538"/>
    <w:rsid w:val="00007801"/>
    <w:rsid w:val="00010EB0"/>
    <w:rsid w:val="0001123C"/>
    <w:rsid w:val="00011DC6"/>
    <w:rsid w:val="00012BCD"/>
    <w:rsid w:val="00020C74"/>
    <w:rsid w:val="0002176F"/>
    <w:rsid w:val="00022C78"/>
    <w:rsid w:val="00022E4E"/>
    <w:rsid w:val="00023A3C"/>
    <w:rsid w:val="00026429"/>
    <w:rsid w:val="00032ECC"/>
    <w:rsid w:val="0003434E"/>
    <w:rsid w:val="00040A3D"/>
    <w:rsid w:val="00042D5D"/>
    <w:rsid w:val="00043FA4"/>
    <w:rsid w:val="000448E3"/>
    <w:rsid w:val="00053876"/>
    <w:rsid w:val="00054A67"/>
    <w:rsid w:val="000562D6"/>
    <w:rsid w:val="00061433"/>
    <w:rsid w:val="00064566"/>
    <w:rsid w:val="00066988"/>
    <w:rsid w:val="00072A07"/>
    <w:rsid w:val="000730F6"/>
    <w:rsid w:val="00075130"/>
    <w:rsid w:val="000762D0"/>
    <w:rsid w:val="00077DA5"/>
    <w:rsid w:val="00081549"/>
    <w:rsid w:val="00085013"/>
    <w:rsid w:val="000869A1"/>
    <w:rsid w:val="00091A9B"/>
    <w:rsid w:val="00092A78"/>
    <w:rsid w:val="00094C1D"/>
    <w:rsid w:val="00095AB5"/>
    <w:rsid w:val="000972C4"/>
    <w:rsid w:val="00097F29"/>
    <w:rsid w:val="000A1241"/>
    <w:rsid w:val="000A27F6"/>
    <w:rsid w:val="000B0E6E"/>
    <w:rsid w:val="000B1ADC"/>
    <w:rsid w:val="000B4F97"/>
    <w:rsid w:val="000B6460"/>
    <w:rsid w:val="000C2593"/>
    <w:rsid w:val="000C3F4C"/>
    <w:rsid w:val="000C79AE"/>
    <w:rsid w:val="000C7B5D"/>
    <w:rsid w:val="000D52D2"/>
    <w:rsid w:val="000E0A75"/>
    <w:rsid w:val="000E1416"/>
    <w:rsid w:val="000E3BC4"/>
    <w:rsid w:val="000E41AD"/>
    <w:rsid w:val="000E4949"/>
    <w:rsid w:val="000F0135"/>
    <w:rsid w:val="000F01AA"/>
    <w:rsid w:val="000F0CB5"/>
    <w:rsid w:val="000F3394"/>
    <w:rsid w:val="00100144"/>
    <w:rsid w:val="0010053F"/>
    <w:rsid w:val="00100906"/>
    <w:rsid w:val="0010493D"/>
    <w:rsid w:val="00106152"/>
    <w:rsid w:val="00106C95"/>
    <w:rsid w:val="00107B36"/>
    <w:rsid w:val="00107D2A"/>
    <w:rsid w:val="0011063D"/>
    <w:rsid w:val="00112FF6"/>
    <w:rsid w:val="0011724E"/>
    <w:rsid w:val="001210C1"/>
    <w:rsid w:val="001221B6"/>
    <w:rsid w:val="001240FC"/>
    <w:rsid w:val="00126E4E"/>
    <w:rsid w:val="00133D0B"/>
    <w:rsid w:val="00134A76"/>
    <w:rsid w:val="001372D7"/>
    <w:rsid w:val="001403CB"/>
    <w:rsid w:val="0014221B"/>
    <w:rsid w:val="00143B3E"/>
    <w:rsid w:val="00144C07"/>
    <w:rsid w:val="0015625B"/>
    <w:rsid w:val="00156D8F"/>
    <w:rsid w:val="0015705F"/>
    <w:rsid w:val="00161F79"/>
    <w:rsid w:val="001662F1"/>
    <w:rsid w:val="0017233F"/>
    <w:rsid w:val="00177018"/>
    <w:rsid w:val="00177A4E"/>
    <w:rsid w:val="001847F9"/>
    <w:rsid w:val="0018655B"/>
    <w:rsid w:val="00186C83"/>
    <w:rsid w:val="0019015E"/>
    <w:rsid w:val="00192E2C"/>
    <w:rsid w:val="00197FCB"/>
    <w:rsid w:val="001A0C54"/>
    <w:rsid w:val="001A1EAA"/>
    <w:rsid w:val="001A2015"/>
    <w:rsid w:val="001A50FD"/>
    <w:rsid w:val="001B0845"/>
    <w:rsid w:val="001B0EB3"/>
    <w:rsid w:val="001B1A19"/>
    <w:rsid w:val="001B352A"/>
    <w:rsid w:val="001B47A8"/>
    <w:rsid w:val="001B4ADC"/>
    <w:rsid w:val="001B6892"/>
    <w:rsid w:val="001C1101"/>
    <w:rsid w:val="001C68C3"/>
    <w:rsid w:val="001D27D4"/>
    <w:rsid w:val="001D5132"/>
    <w:rsid w:val="001D656E"/>
    <w:rsid w:val="001E1E9F"/>
    <w:rsid w:val="001E4B55"/>
    <w:rsid w:val="001E5E14"/>
    <w:rsid w:val="001E660A"/>
    <w:rsid w:val="001E6E8F"/>
    <w:rsid w:val="001F4465"/>
    <w:rsid w:val="00201129"/>
    <w:rsid w:val="0020134A"/>
    <w:rsid w:val="00201B99"/>
    <w:rsid w:val="00215F10"/>
    <w:rsid w:val="00220634"/>
    <w:rsid w:val="00221066"/>
    <w:rsid w:val="00222448"/>
    <w:rsid w:val="00223C84"/>
    <w:rsid w:val="00225272"/>
    <w:rsid w:val="00227B17"/>
    <w:rsid w:val="00231285"/>
    <w:rsid w:val="00232A33"/>
    <w:rsid w:val="002334B3"/>
    <w:rsid w:val="00233BD6"/>
    <w:rsid w:val="00234D38"/>
    <w:rsid w:val="00236805"/>
    <w:rsid w:val="0023743A"/>
    <w:rsid w:val="00240ED5"/>
    <w:rsid w:val="00245292"/>
    <w:rsid w:val="00245397"/>
    <w:rsid w:val="0024567C"/>
    <w:rsid w:val="00245FD1"/>
    <w:rsid w:val="002476A1"/>
    <w:rsid w:val="0025114C"/>
    <w:rsid w:val="0025217C"/>
    <w:rsid w:val="00252C7C"/>
    <w:rsid w:val="002632A3"/>
    <w:rsid w:val="00263C6B"/>
    <w:rsid w:val="0027296F"/>
    <w:rsid w:val="0027368A"/>
    <w:rsid w:val="002766FC"/>
    <w:rsid w:val="00280F52"/>
    <w:rsid w:val="002872F0"/>
    <w:rsid w:val="00290A15"/>
    <w:rsid w:val="0029487C"/>
    <w:rsid w:val="00296477"/>
    <w:rsid w:val="00297B4C"/>
    <w:rsid w:val="002A09D7"/>
    <w:rsid w:val="002A3546"/>
    <w:rsid w:val="002B300A"/>
    <w:rsid w:val="002C0FE7"/>
    <w:rsid w:val="002C1310"/>
    <w:rsid w:val="002C1CA9"/>
    <w:rsid w:val="002C35FD"/>
    <w:rsid w:val="002D36FF"/>
    <w:rsid w:val="002D453A"/>
    <w:rsid w:val="002D4821"/>
    <w:rsid w:val="002D6C57"/>
    <w:rsid w:val="002E0F71"/>
    <w:rsid w:val="002E45C9"/>
    <w:rsid w:val="002E4687"/>
    <w:rsid w:val="002E47D1"/>
    <w:rsid w:val="002E61CF"/>
    <w:rsid w:val="002F1464"/>
    <w:rsid w:val="002F2BD3"/>
    <w:rsid w:val="002F567E"/>
    <w:rsid w:val="002F71C6"/>
    <w:rsid w:val="00305DB7"/>
    <w:rsid w:val="003069CC"/>
    <w:rsid w:val="00313D4A"/>
    <w:rsid w:val="00315E6E"/>
    <w:rsid w:val="00317A61"/>
    <w:rsid w:val="0032010D"/>
    <w:rsid w:val="0032039F"/>
    <w:rsid w:val="00330C16"/>
    <w:rsid w:val="00332000"/>
    <w:rsid w:val="00342512"/>
    <w:rsid w:val="00342CFC"/>
    <w:rsid w:val="003464E5"/>
    <w:rsid w:val="00347646"/>
    <w:rsid w:val="00350116"/>
    <w:rsid w:val="00350DEF"/>
    <w:rsid w:val="00351966"/>
    <w:rsid w:val="003519E9"/>
    <w:rsid w:val="003624CE"/>
    <w:rsid w:val="00370DCE"/>
    <w:rsid w:val="00384152"/>
    <w:rsid w:val="00385D87"/>
    <w:rsid w:val="00392D05"/>
    <w:rsid w:val="00393A9E"/>
    <w:rsid w:val="003964D1"/>
    <w:rsid w:val="003C071A"/>
    <w:rsid w:val="003D77F2"/>
    <w:rsid w:val="003E17C4"/>
    <w:rsid w:val="003E7077"/>
    <w:rsid w:val="003F1B01"/>
    <w:rsid w:val="003F339B"/>
    <w:rsid w:val="003F49FB"/>
    <w:rsid w:val="003F5D51"/>
    <w:rsid w:val="00400441"/>
    <w:rsid w:val="00400A98"/>
    <w:rsid w:val="00403486"/>
    <w:rsid w:val="00405E89"/>
    <w:rsid w:val="004130AE"/>
    <w:rsid w:val="004138C0"/>
    <w:rsid w:val="00414211"/>
    <w:rsid w:val="00415817"/>
    <w:rsid w:val="004229E0"/>
    <w:rsid w:val="00423FD9"/>
    <w:rsid w:val="004312F6"/>
    <w:rsid w:val="00431F65"/>
    <w:rsid w:val="00433A1A"/>
    <w:rsid w:val="00447DBE"/>
    <w:rsid w:val="004557EA"/>
    <w:rsid w:val="0046352C"/>
    <w:rsid w:val="00471059"/>
    <w:rsid w:val="004717F3"/>
    <w:rsid w:val="0047367F"/>
    <w:rsid w:val="004744FC"/>
    <w:rsid w:val="00474705"/>
    <w:rsid w:val="004777CE"/>
    <w:rsid w:val="00481C98"/>
    <w:rsid w:val="004850B0"/>
    <w:rsid w:val="004906BD"/>
    <w:rsid w:val="004907B7"/>
    <w:rsid w:val="00490D43"/>
    <w:rsid w:val="00490E93"/>
    <w:rsid w:val="004927CC"/>
    <w:rsid w:val="00495D65"/>
    <w:rsid w:val="00496170"/>
    <w:rsid w:val="004A0ED6"/>
    <w:rsid w:val="004A546E"/>
    <w:rsid w:val="004B12A7"/>
    <w:rsid w:val="004B2B3C"/>
    <w:rsid w:val="004C4608"/>
    <w:rsid w:val="004C6DA9"/>
    <w:rsid w:val="004C7C67"/>
    <w:rsid w:val="004D01B7"/>
    <w:rsid w:val="004D246E"/>
    <w:rsid w:val="004D592C"/>
    <w:rsid w:val="004D79AD"/>
    <w:rsid w:val="004E08D4"/>
    <w:rsid w:val="004E1257"/>
    <w:rsid w:val="004E18E0"/>
    <w:rsid w:val="004E5E89"/>
    <w:rsid w:val="004F0BA0"/>
    <w:rsid w:val="004F11B7"/>
    <w:rsid w:val="004F19F0"/>
    <w:rsid w:val="004F1CCD"/>
    <w:rsid w:val="004F5D7A"/>
    <w:rsid w:val="004F7D44"/>
    <w:rsid w:val="00514E98"/>
    <w:rsid w:val="00522EFC"/>
    <w:rsid w:val="0052549F"/>
    <w:rsid w:val="005261EB"/>
    <w:rsid w:val="00526A1F"/>
    <w:rsid w:val="00527A40"/>
    <w:rsid w:val="0053414F"/>
    <w:rsid w:val="00541CEF"/>
    <w:rsid w:val="00542061"/>
    <w:rsid w:val="00543D37"/>
    <w:rsid w:val="0054614D"/>
    <w:rsid w:val="0054696B"/>
    <w:rsid w:val="005504D6"/>
    <w:rsid w:val="00550BDC"/>
    <w:rsid w:val="00551C57"/>
    <w:rsid w:val="00552107"/>
    <w:rsid w:val="00552F63"/>
    <w:rsid w:val="005555AE"/>
    <w:rsid w:val="00557A9C"/>
    <w:rsid w:val="00557EF5"/>
    <w:rsid w:val="00560454"/>
    <w:rsid w:val="0056066B"/>
    <w:rsid w:val="00562749"/>
    <w:rsid w:val="00566DB6"/>
    <w:rsid w:val="00571365"/>
    <w:rsid w:val="005738D2"/>
    <w:rsid w:val="005807FA"/>
    <w:rsid w:val="00581168"/>
    <w:rsid w:val="00582569"/>
    <w:rsid w:val="005843E0"/>
    <w:rsid w:val="00584C0F"/>
    <w:rsid w:val="0058716E"/>
    <w:rsid w:val="00587EEC"/>
    <w:rsid w:val="005904DC"/>
    <w:rsid w:val="00592DA1"/>
    <w:rsid w:val="005A06C1"/>
    <w:rsid w:val="005A1416"/>
    <w:rsid w:val="005B426C"/>
    <w:rsid w:val="005B4688"/>
    <w:rsid w:val="005B4883"/>
    <w:rsid w:val="005B4AC1"/>
    <w:rsid w:val="005C4600"/>
    <w:rsid w:val="005D0431"/>
    <w:rsid w:val="005D38D0"/>
    <w:rsid w:val="005D6978"/>
    <w:rsid w:val="005D7E5D"/>
    <w:rsid w:val="005E26E5"/>
    <w:rsid w:val="005E6D5E"/>
    <w:rsid w:val="005F0218"/>
    <w:rsid w:val="005F3642"/>
    <w:rsid w:val="005F3831"/>
    <w:rsid w:val="005F477A"/>
    <w:rsid w:val="00601088"/>
    <w:rsid w:val="006035A0"/>
    <w:rsid w:val="00603A97"/>
    <w:rsid w:val="00607C23"/>
    <w:rsid w:val="0061488F"/>
    <w:rsid w:val="0061714A"/>
    <w:rsid w:val="00621257"/>
    <w:rsid w:val="00621283"/>
    <w:rsid w:val="0062443A"/>
    <w:rsid w:val="0062458D"/>
    <w:rsid w:val="006405A5"/>
    <w:rsid w:val="00641CB7"/>
    <w:rsid w:val="0064349C"/>
    <w:rsid w:val="006525C2"/>
    <w:rsid w:val="006533D8"/>
    <w:rsid w:val="00653DFA"/>
    <w:rsid w:val="00674AA5"/>
    <w:rsid w:val="00677F74"/>
    <w:rsid w:val="00686AD5"/>
    <w:rsid w:val="00691B42"/>
    <w:rsid w:val="006937C1"/>
    <w:rsid w:val="0069542F"/>
    <w:rsid w:val="0069550C"/>
    <w:rsid w:val="006A54B7"/>
    <w:rsid w:val="006A6467"/>
    <w:rsid w:val="006B5E82"/>
    <w:rsid w:val="006B7BAC"/>
    <w:rsid w:val="006C0EEE"/>
    <w:rsid w:val="006C1A9F"/>
    <w:rsid w:val="006C1CB0"/>
    <w:rsid w:val="006C4B49"/>
    <w:rsid w:val="006C5C2A"/>
    <w:rsid w:val="006C62E0"/>
    <w:rsid w:val="006D7E81"/>
    <w:rsid w:val="006E05A3"/>
    <w:rsid w:val="006E0816"/>
    <w:rsid w:val="006E612E"/>
    <w:rsid w:val="006E6207"/>
    <w:rsid w:val="006E7CCE"/>
    <w:rsid w:val="006F5B02"/>
    <w:rsid w:val="00702F45"/>
    <w:rsid w:val="0070418B"/>
    <w:rsid w:val="00717178"/>
    <w:rsid w:val="00721AA9"/>
    <w:rsid w:val="0072298D"/>
    <w:rsid w:val="00723D54"/>
    <w:rsid w:val="00730407"/>
    <w:rsid w:val="00732D14"/>
    <w:rsid w:val="0073542E"/>
    <w:rsid w:val="00736F9C"/>
    <w:rsid w:val="00743BBF"/>
    <w:rsid w:val="00754863"/>
    <w:rsid w:val="0075568B"/>
    <w:rsid w:val="00755BE0"/>
    <w:rsid w:val="00771C59"/>
    <w:rsid w:val="007739D6"/>
    <w:rsid w:val="007767C1"/>
    <w:rsid w:val="00780A6B"/>
    <w:rsid w:val="00783065"/>
    <w:rsid w:val="00784A51"/>
    <w:rsid w:val="007A1282"/>
    <w:rsid w:val="007A23DC"/>
    <w:rsid w:val="007A382F"/>
    <w:rsid w:val="007A4276"/>
    <w:rsid w:val="007A5721"/>
    <w:rsid w:val="007A68BF"/>
    <w:rsid w:val="007B07CC"/>
    <w:rsid w:val="007B373B"/>
    <w:rsid w:val="007C1F14"/>
    <w:rsid w:val="007C707D"/>
    <w:rsid w:val="007D488A"/>
    <w:rsid w:val="007D5FD1"/>
    <w:rsid w:val="007E34C4"/>
    <w:rsid w:val="007E4A78"/>
    <w:rsid w:val="007F1860"/>
    <w:rsid w:val="007F2DC9"/>
    <w:rsid w:val="007F58D5"/>
    <w:rsid w:val="007F68E5"/>
    <w:rsid w:val="007F7882"/>
    <w:rsid w:val="00801CE4"/>
    <w:rsid w:val="008023FF"/>
    <w:rsid w:val="0080367E"/>
    <w:rsid w:val="00805110"/>
    <w:rsid w:val="00810A1E"/>
    <w:rsid w:val="00813D51"/>
    <w:rsid w:val="00813E31"/>
    <w:rsid w:val="008155D0"/>
    <w:rsid w:val="008201E0"/>
    <w:rsid w:val="0082283C"/>
    <w:rsid w:val="0082439B"/>
    <w:rsid w:val="008252C2"/>
    <w:rsid w:val="00825FC3"/>
    <w:rsid w:val="00826F7F"/>
    <w:rsid w:val="008309FC"/>
    <w:rsid w:val="0083118B"/>
    <w:rsid w:val="008324D6"/>
    <w:rsid w:val="00832F0A"/>
    <w:rsid w:val="008345D6"/>
    <w:rsid w:val="00834BBB"/>
    <w:rsid w:val="0083664F"/>
    <w:rsid w:val="00836ECC"/>
    <w:rsid w:val="008449EF"/>
    <w:rsid w:val="0084586B"/>
    <w:rsid w:val="00847A11"/>
    <w:rsid w:val="00847BAD"/>
    <w:rsid w:val="00847F55"/>
    <w:rsid w:val="0085076D"/>
    <w:rsid w:val="00860A27"/>
    <w:rsid w:val="008723CE"/>
    <w:rsid w:val="008767B3"/>
    <w:rsid w:val="0088286A"/>
    <w:rsid w:val="00884F84"/>
    <w:rsid w:val="00887085"/>
    <w:rsid w:val="00890CB4"/>
    <w:rsid w:val="00893461"/>
    <w:rsid w:val="008944B5"/>
    <w:rsid w:val="00895DEC"/>
    <w:rsid w:val="0089655C"/>
    <w:rsid w:val="008A1F81"/>
    <w:rsid w:val="008A364E"/>
    <w:rsid w:val="008A78A3"/>
    <w:rsid w:val="008B04D1"/>
    <w:rsid w:val="008B4029"/>
    <w:rsid w:val="008B6084"/>
    <w:rsid w:val="008C2FD1"/>
    <w:rsid w:val="008C542A"/>
    <w:rsid w:val="008C7354"/>
    <w:rsid w:val="008D1206"/>
    <w:rsid w:val="008D6502"/>
    <w:rsid w:val="008D7DEF"/>
    <w:rsid w:val="008E0A10"/>
    <w:rsid w:val="008E10B1"/>
    <w:rsid w:val="008E3C68"/>
    <w:rsid w:val="008F50AA"/>
    <w:rsid w:val="008F6BFC"/>
    <w:rsid w:val="0091116A"/>
    <w:rsid w:val="009130ED"/>
    <w:rsid w:val="00914CF9"/>
    <w:rsid w:val="00916CAA"/>
    <w:rsid w:val="00917CE2"/>
    <w:rsid w:val="00931AF7"/>
    <w:rsid w:val="00935330"/>
    <w:rsid w:val="009356E2"/>
    <w:rsid w:val="009421B2"/>
    <w:rsid w:val="00942888"/>
    <w:rsid w:val="00943A81"/>
    <w:rsid w:val="00943B87"/>
    <w:rsid w:val="00943CF2"/>
    <w:rsid w:val="00946A68"/>
    <w:rsid w:val="00953013"/>
    <w:rsid w:val="0096652C"/>
    <w:rsid w:val="00971ACC"/>
    <w:rsid w:val="0097541B"/>
    <w:rsid w:val="00976AFA"/>
    <w:rsid w:val="00990EE7"/>
    <w:rsid w:val="00991BF1"/>
    <w:rsid w:val="009928DD"/>
    <w:rsid w:val="00992B0B"/>
    <w:rsid w:val="0099341A"/>
    <w:rsid w:val="00993B5D"/>
    <w:rsid w:val="00994A9C"/>
    <w:rsid w:val="00994B42"/>
    <w:rsid w:val="009A2BE4"/>
    <w:rsid w:val="009A5E25"/>
    <w:rsid w:val="009B5B5F"/>
    <w:rsid w:val="009C072E"/>
    <w:rsid w:val="009C7EFD"/>
    <w:rsid w:val="009D39D2"/>
    <w:rsid w:val="009D3A66"/>
    <w:rsid w:val="009D4AB9"/>
    <w:rsid w:val="009D5F1E"/>
    <w:rsid w:val="009D633F"/>
    <w:rsid w:val="009D71E3"/>
    <w:rsid w:val="009E0BF7"/>
    <w:rsid w:val="009E2637"/>
    <w:rsid w:val="009E513F"/>
    <w:rsid w:val="009F6AAC"/>
    <w:rsid w:val="009F6FC6"/>
    <w:rsid w:val="00A000A6"/>
    <w:rsid w:val="00A01454"/>
    <w:rsid w:val="00A02CE5"/>
    <w:rsid w:val="00A039D3"/>
    <w:rsid w:val="00A03F99"/>
    <w:rsid w:val="00A10116"/>
    <w:rsid w:val="00A1311B"/>
    <w:rsid w:val="00A13283"/>
    <w:rsid w:val="00A1346D"/>
    <w:rsid w:val="00A14151"/>
    <w:rsid w:val="00A16289"/>
    <w:rsid w:val="00A20233"/>
    <w:rsid w:val="00A230FB"/>
    <w:rsid w:val="00A3100E"/>
    <w:rsid w:val="00A31219"/>
    <w:rsid w:val="00A3385F"/>
    <w:rsid w:val="00A41470"/>
    <w:rsid w:val="00A4255D"/>
    <w:rsid w:val="00A43941"/>
    <w:rsid w:val="00A43958"/>
    <w:rsid w:val="00A475D0"/>
    <w:rsid w:val="00A507FF"/>
    <w:rsid w:val="00A52E95"/>
    <w:rsid w:val="00A52F41"/>
    <w:rsid w:val="00A54EDC"/>
    <w:rsid w:val="00A60EA7"/>
    <w:rsid w:val="00A62925"/>
    <w:rsid w:val="00A62B24"/>
    <w:rsid w:val="00A65F7A"/>
    <w:rsid w:val="00A71B2C"/>
    <w:rsid w:val="00A8324A"/>
    <w:rsid w:val="00A87148"/>
    <w:rsid w:val="00A87C33"/>
    <w:rsid w:val="00A87C90"/>
    <w:rsid w:val="00A9086C"/>
    <w:rsid w:val="00A92334"/>
    <w:rsid w:val="00A95009"/>
    <w:rsid w:val="00A96F39"/>
    <w:rsid w:val="00A97C59"/>
    <w:rsid w:val="00AA3621"/>
    <w:rsid w:val="00AA4E71"/>
    <w:rsid w:val="00AB1FB3"/>
    <w:rsid w:val="00AB3E35"/>
    <w:rsid w:val="00AB4CFF"/>
    <w:rsid w:val="00AB4E36"/>
    <w:rsid w:val="00AB76EA"/>
    <w:rsid w:val="00AC1DC6"/>
    <w:rsid w:val="00AC466E"/>
    <w:rsid w:val="00AC79A2"/>
    <w:rsid w:val="00AD4BB8"/>
    <w:rsid w:val="00AE02F0"/>
    <w:rsid w:val="00AE1CED"/>
    <w:rsid w:val="00AE3293"/>
    <w:rsid w:val="00AE44AE"/>
    <w:rsid w:val="00AE4D90"/>
    <w:rsid w:val="00AE5712"/>
    <w:rsid w:val="00AE5759"/>
    <w:rsid w:val="00AF0E63"/>
    <w:rsid w:val="00AF3846"/>
    <w:rsid w:val="00B0202F"/>
    <w:rsid w:val="00B02A43"/>
    <w:rsid w:val="00B043E5"/>
    <w:rsid w:val="00B04862"/>
    <w:rsid w:val="00B059A7"/>
    <w:rsid w:val="00B13BB4"/>
    <w:rsid w:val="00B154DB"/>
    <w:rsid w:val="00B17260"/>
    <w:rsid w:val="00B24190"/>
    <w:rsid w:val="00B259ED"/>
    <w:rsid w:val="00B2615D"/>
    <w:rsid w:val="00B3454B"/>
    <w:rsid w:val="00B34BD4"/>
    <w:rsid w:val="00B35969"/>
    <w:rsid w:val="00B4062C"/>
    <w:rsid w:val="00B41EA9"/>
    <w:rsid w:val="00B47D85"/>
    <w:rsid w:val="00B53310"/>
    <w:rsid w:val="00B5391E"/>
    <w:rsid w:val="00B54049"/>
    <w:rsid w:val="00B55369"/>
    <w:rsid w:val="00B55F82"/>
    <w:rsid w:val="00B56E8A"/>
    <w:rsid w:val="00B578D9"/>
    <w:rsid w:val="00B6006C"/>
    <w:rsid w:val="00B7028C"/>
    <w:rsid w:val="00B70822"/>
    <w:rsid w:val="00B72B80"/>
    <w:rsid w:val="00B74173"/>
    <w:rsid w:val="00B75366"/>
    <w:rsid w:val="00B763C0"/>
    <w:rsid w:val="00B801A3"/>
    <w:rsid w:val="00B80351"/>
    <w:rsid w:val="00B81191"/>
    <w:rsid w:val="00B81D65"/>
    <w:rsid w:val="00B87645"/>
    <w:rsid w:val="00B877DE"/>
    <w:rsid w:val="00B90235"/>
    <w:rsid w:val="00B940A2"/>
    <w:rsid w:val="00B9602B"/>
    <w:rsid w:val="00B96F0D"/>
    <w:rsid w:val="00BA0667"/>
    <w:rsid w:val="00BA080F"/>
    <w:rsid w:val="00BA2895"/>
    <w:rsid w:val="00BA52BD"/>
    <w:rsid w:val="00BB0E26"/>
    <w:rsid w:val="00BB0E73"/>
    <w:rsid w:val="00BB1D93"/>
    <w:rsid w:val="00BB3671"/>
    <w:rsid w:val="00BB4806"/>
    <w:rsid w:val="00BB65E0"/>
    <w:rsid w:val="00BC30AF"/>
    <w:rsid w:val="00BC39B8"/>
    <w:rsid w:val="00BD006F"/>
    <w:rsid w:val="00BD12F9"/>
    <w:rsid w:val="00BD4E4C"/>
    <w:rsid w:val="00BD50F7"/>
    <w:rsid w:val="00BD5AD4"/>
    <w:rsid w:val="00BD5B45"/>
    <w:rsid w:val="00BD6994"/>
    <w:rsid w:val="00BD69EA"/>
    <w:rsid w:val="00BD6B54"/>
    <w:rsid w:val="00BE4689"/>
    <w:rsid w:val="00BE71AC"/>
    <w:rsid w:val="00BF3DAA"/>
    <w:rsid w:val="00BF4760"/>
    <w:rsid w:val="00BF75FD"/>
    <w:rsid w:val="00BF7770"/>
    <w:rsid w:val="00C07C61"/>
    <w:rsid w:val="00C11402"/>
    <w:rsid w:val="00C14556"/>
    <w:rsid w:val="00C32762"/>
    <w:rsid w:val="00C364F7"/>
    <w:rsid w:val="00C37931"/>
    <w:rsid w:val="00C407CA"/>
    <w:rsid w:val="00C44EE0"/>
    <w:rsid w:val="00C51D78"/>
    <w:rsid w:val="00C54AD2"/>
    <w:rsid w:val="00C56D84"/>
    <w:rsid w:val="00C60358"/>
    <w:rsid w:val="00C61CBE"/>
    <w:rsid w:val="00C61EA5"/>
    <w:rsid w:val="00C62A42"/>
    <w:rsid w:val="00C63BEF"/>
    <w:rsid w:val="00C65CAA"/>
    <w:rsid w:val="00C67D80"/>
    <w:rsid w:val="00C71871"/>
    <w:rsid w:val="00C71943"/>
    <w:rsid w:val="00C734A9"/>
    <w:rsid w:val="00C746C4"/>
    <w:rsid w:val="00C826A1"/>
    <w:rsid w:val="00C87074"/>
    <w:rsid w:val="00CA05AA"/>
    <w:rsid w:val="00CA1362"/>
    <w:rsid w:val="00CB058D"/>
    <w:rsid w:val="00CB20B2"/>
    <w:rsid w:val="00CB2D35"/>
    <w:rsid w:val="00CB3031"/>
    <w:rsid w:val="00CB4B88"/>
    <w:rsid w:val="00CB542F"/>
    <w:rsid w:val="00CC2D43"/>
    <w:rsid w:val="00CC30B6"/>
    <w:rsid w:val="00CC5CC3"/>
    <w:rsid w:val="00CC7F01"/>
    <w:rsid w:val="00CE243F"/>
    <w:rsid w:val="00CE59CF"/>
    <w:rsid w:val="00CF180F"/>
    <w:rsid w:val="00CF244D"/>
    <w:rsid w:val="00CF4416"/>
    <w:rsid w:val="00CF5F85"/>
    <w:rsid w:val="00D0183D"/>
    <w:rsid w:val="00D023F8"/>
    <w:rsid w:val="00D02B40"/>
    <w:rsid w:val="00D06E43"/>
    <w:rsid w:val="00D077EA"/>
    <w:rsid w:val="00D14F0D"/>
    <w:rsid w:val="00D16ECD"/>
    <w:rsid w:val="00D17877"/>
    <w:rsid w:val="00D22168"/>
    <w:rsid w:val="00D24CBF"/>
    <w:rsid w:val="00D26982"/>
    <w:rsid w:val="00D30362"/>
    <w:rsid w:val="00D306DE"/>
    <w:rsid w:val="00D32C44"/>
    <w:rsid w:val="00D3345A"/>
    <w:rsid w:val="00D3538C"/>
    <w:rsid w:val="00D36110"/>
    <w:rsid w:val="00D4750D"/>
    <w:rsid w:val="00D506F3"/>
    <w:rsid w:val="00D549C3"/>
    <w:rsid w:val="00D54BCE"/>
    <w:rsid w:val="00D61A21"/>
    <w:rsid w:val="00D61DA5"/>
    <w:rsid w:val="00D67462"/>
    <w:rsid w:val="00D7163A"/>
    <w:rsid w:val="00D8085A"/>
    <w:rsid w:val="00D8231B"/>
    <w:rsid w:val="00D83BD4"/>
    <w:rsid w:val="00D83F8F"/>
    <w:rsid w:val="00D84A2F"/>
    <w:rsid w:val="00D94482"/>
    <w:rsid w:val="00D948FC"/>
    <w:rsid w:val="00D9569F"/>
    <w:rsid w:val="00DA00D0"/>
    <w:rsid w:val="00DA057F"/>
    <w:rsid w:val="00DA7663"/>
    <w:rsid w:val="00DC0665"/>
    <w:rsid w:val="00DC0AEB"/>
    <w:rsid w:val="00DC1A0F"/>
    <w:rsid w:val="00DC1DB7"/>
    <w:rsid w:val="00DC23E3"/>
    <w:rsid w:val="00DC30A7"/>
    <w:rsid w:val="00DC5A8B"/>
    <w:rsid w:val="00DC7DC4"/>
    <w:rsid w:val="00DD235D"/>
    <w:rsid w:val="00DD374A"/>
    <w:rsid w:val="00DD3D80"/>
    <w:rsid w:val="00DD4BC6"/>
    <w:rsid w:val="00DD5539"/>
    <w:rsid w:val="00DD6D72"/>
    <w:rsid w:val="00DE05A7"/>
    <w:rsid w:val="00DE0F22"/>
    <w:rsid w:val="00DE1138"/>
    <w:rsid w:val="00DF128C"/>
    <w:rsid w:val="00DF3200"/>
    <w:rsid w:val="00DF5D5D"/>
    <w:rsid w:val="00DF789B"/>
    <w:rsid w:val="00E03A2A"/>
    <w:rsid w:val="00E0427A"/>
    <w:rsid w:val="00E12095"/>
    <w:rsid w:val="00E128E8"/>
    <w:rsid w:val="00E20365"/>
    <w:rsid w:val="00E20500"/>
    <w:rsid w:val="00E214F5"/>
    <w:rsid w:val="00E23963"/>
    <w:rsid w:val="00E23BFC"/>
    <w:rsid w:val="00E27582"/>
    <w:rsid w:val="00E30205"/>
    <w:rsid w:val="00E30513"/>
    <w:rsid w:val="00E33B93"/>
    <w:rsid w:val="00E363D3"/>
    <w:rsid w:val="00E4046B"/>
    <w:rsid w:val="00E45881"/>
    <w:rsid w:val="00E46962"/>
    <w:rsid w:val="00E53384"/>
    <w:rsid w:val="00E551FD"/>
    <w:rsid w:val="00E57C81"/>
    <w:rsid w:val="00E63BED"/>
    <w:rsid w:val="00E640A2"/>
    <w:rsid w:val="00E641C7"/>
    <w:rsid w:val="00E6431D"/>
    <w:rsid w:val="00E66996"/>
    <w:rsid w:val="00E73228"/>
    <w:rsid w:val="00E75D65"/>
    <w:rsid w:val="00E77B6D"/>
    <w:rsid w:val="00E80C7C"/>
    <w:rsid w:val="00E83CF5"/>
    <w:rsid w:val="00E907E5"/>
    <w:rsid w:val="00E933D7"/>
    <w:rsid w:val="00E93833"/>
    <w:rsid w:val="00E95B60"/>
    <w:rsid w:val="00EA43C3"/>
    <w:rsid w:val="00EA69C1"/>
    <w:rsid w:val="00EB0A4C"/>
    <w:rsid w:val="00EB17C2"/>
    <w:rsid w:val="00EC12DD"/>
    <w:rsid w:val="00EC2A5B"/>
    <w:rsid w:val="00ED218A"/>
    <w:rsid w:val="00ED2486"/>
    <w:rsid w:val="00ED25CC"/>
    <w:rsid w:val="00ED2E46"/>
    <w:rsid w:val="00EE35B0"/>
    <w:rsid w:val="00EF201F"/>
    <w:rsid w:val="00EF2DA5"/>
    <w:rsid w:val="00EF378B"/>
    <w:rsid w:val="00EF6D17"/>
    <w:rsid w:val="00F00982"/>
    <w:rsid w:val="00F0292B"/>
    <w:rsid w:val="00F07341"/>
    <w:rsid w:val="00F10239"/>
    <w:rsid w:val="00F13A1B"/>
    <w:rsid w:val="00F15AA9"/>
    <w:rsid w:val="00F17843"/>
    <w:rsid w:val="00F21B33"/>
    <w:rsid w:val="00F21CD1"/>
    <w:rsid w:val="00F22BE1"/>
    <w:rsid w:val="00F236CB"/>
    <w:rsid w:val="00F23FB0"/>
    <w:rsid w:val="00F31909"/>
    <w:rsid w:val="00F33211"/>
    <w:rsid w:val="00F350F6"/>
    <w:rsid w:val="00F37DA3"/>
    <w:rsid w:val="00F41206"/>
    <w:rsid w:val="00F47EA1"/>
    <w:rsid w:val="00F51EB7"/>
    <w:rsid w:val="00F533FC"/>
    <w:rsid w:val="00F536E9"/>
    <w:rsid w:val="00F538BC"/>
    <w:rsid w:val="00F53AA1"/>
    <w:rsid w:val="00F57B5D"/>
    <w:rsid w:val="00F61E09"/>
    <w:rsid w:val="00F63374"/>
    <w:rsid w:val="00F64B44"/>
    <w:rsid w:val="00F669B5"/>
    <w:rsid w:val="00F67124"/>
    <w:rsid w:val="00F675FD"/>
    <w:rsid w:val="00F72ABD"/>
    <w:rsid w:val="00F85797"/>
    <w:rsid w:val="00F86CD6"/>
    <w:rsid w:val="00F90467"/>
    <w:rsid w:val="00FA2C84"/>
    <w:rsid w:val="00FA3904"/>
    <w:rsid w:val="00FA680C"/>
    <w:rsid w:val="00FA6FBF"/>
    <w:rsid w:val="00FB16C1"/>
    <w:rsid w:val="00FB1F47"/>
    <w:rsid w:val="00FB2F74"/>
    <w:rsid w:val="00FB39A5"/>
    <w:rsid w:val="00FB76EC"/>
    <w:rsid w:val="00FC071C"/>
    <w:rsid w:val="00FC5FFA"/>
    <w:rsid w:val="00FC689A"/>
    <w:rsid w:val="00FC7E9A"/>
    <w:rsid w:val="00FD1AB7"/>
    <w:rsid w:val="00FD25DC"/>
    <w:rsid w:val="00FD2B6C"/>
    <w:rsid w:val="00FD3D07"/>
    <w:rsid w:val="00FE311D"/>
    <w:rsid w:val="00FE607E"/>
    <w:rsid w:val="00FF05AA"/>
    <w:rsid w:val="00FF1AE5"/>
    <w:rsid w:val="00FF26F4"/>
    <w:rsid w:val="00FF319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288C1E7"/>
  <w15:chartTrackingRefBased/>
  <w15:docId w15:val="{B9A199F9-1014-46C7-8672-2CFBE2F1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EB"/>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2DA1"/>
    <w:rPr>
      <w:sz w:val="20"/>
      <w:szCs w:val="20"/>
    </w:rPr>
  </w:style>
  <w:style w:type="character" w:customStyle="1" w:styleId="FootnoteTextChar">
    <w:name w:val="Footnote Text Char"/>
    <w:link w:val="FootnoteText"/>
    <w:uiPriority w:val="99"/>
    <w:semiHidden/>
    <w:rsid w:val="00592DA1"/>
    <w:rPr>
      <w:lang w:eastAsia="en-US"/>
    </w:rPr>
  </w:style>
  <w:style w:type="character" w:styleId="FootnoteReference">
    <w:name w:val="footnote reference"/>
    <w:rsid w:val="00592DA1"/>
    <w:rPr>
      <w:color w:val="auto"/>
      <w:vertAlign w:val="baseline"/>
    </w:rPr>
  </w:style>
  <w:style w:type="paragraph" w:styleId="BalloonText">
    <w:name w:val="Balloon Text"/>
    <w:basedOn w:val="Normal"/>
    <w:link w:val="BalloonTextChar"/>
    <w:uiPriority w:val="99"/>
    <w:semiHidden/>
    <w:unhideWhenUsed/>
    <w:rsid w:val="002511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114C"/>
    <w:rPr>
      <w:rFonts w:ascii="Tahoma" w:hAnsi="Tahoma" w:cs="Tahoma"/>
      <w:sz w:val="16"/>
      <w:szCs w:val="16"/>
      <w:lang w:eastAsia="en-US"/>
    </w:rPr>
  </w:style>
  <w:style w:type="paragraph" w:styleId="ListParagraph">
    <w:name w:val="List Paragraph"/>
    <w:basedOn w:val="Normal"/>
    <w:uiPriority w:val="34"/>
    <w:qFormat/>
    <w:rsid w:val="00D506F3"/>
    <w:pPr>
      <w:ind w:left="720"/>
    </w:pPr>
  </w:style>
  <w:style w:type="paragraph" w:styleId="Header">
    <w:name w:val="header"/>
    <w:basedOn w:val="Normal"/>
    <w:link w:val="HeaderChar"/>
    <w:uiPriority w:val="99"/>
    <w:unhideWhenUsed/>
    <w:rsid w:val="00077DA5"/>
    <w:pPr>
      <w:tabs>
        <w:tab w:val="center" w:pos="4680"/>
        <w:tab w:val="right" w:pos="9360"/>
      </w:tabs>
    </w:pPr>
  </w:style>
  <w:style w:type="character" w:customStyle="1" w:styleId="HeaderChar">
    <w:name w:val="Header Char"/>
    <w:link w:val="Header"/>
    <w:uiPriority w:val="99"/>
    <w:rsid w:val="00077DA5"/>
    <w:rPr>
      <w:sz w:val="22"/>
      <w:szCs w:val="22"/>
      <w:lang w:val="es-ES"/>
    </w:rPr>
  </w:style>
  <w:style w:type="paragraph" w:styleId="Footer">
    <w:name w:val="footer"/>
    <w:basedOn w:val="Normal"/>
    <w:link w:val="FooterChar"/>
    <w:uiPriority w:val="99"/>
    <w:unhideWhenUsed/>
    <w:rsid w:val="00077DA5"/>
    <w:pPr>
      <w:tabs>
        <w:tab w:val="center" w:pos="4680"/>
        <w:tab w:val="right" w:pos="9360"/>
      </w:tabs>
    </w:pPr>
  </w:style>
  <w:style w:type="character" w:customStyle="1" w:styleId="FooterChar">
    <w:name w:val="Footer Char"/>
    <w:link w:val="Footer"/>
    <w:uiPriority w:val="99"/>
    <w:rsid w:val="00077DA5"/>
    <w:rPr>
      <w:sz w:val="22"/>
      <w:szCs w:val="22"/>
      <w:lang w:val="es-ES"/>
    </w:rPr>
  </w:style>
  <w:style w:type="character" w:styleId="Hyperlink">
    <w:name w:val="Hyperlink"/>
    <w:uiPriority w:val="99"/>
    <w:unhideWhenUsed/>
    <w:rsid w:val="00916CAA"/>
    <w:rPr>
      <w:color w:val="0563C1"/>
      <w:u w:val="single"/>
    </w:rPr>
  </w:style>
  <w:style w:type="character" w:styleId="FollowedHyperlink">
    <w:name w:val="FollowedHyperlink"/>
    <w:uiPriority w:val="99"/>
    <w:semiHidden/>
    <w:unhideWhenUsed/>
    <w:rsid w:val="00385D87"/>
    <w:rPr>
      <w:color w:val="954F72"/>
      <w:u w:val="single"/>
    </w:rPr>
  </w:style>
  <w:style w:type="paragraph" w:styleId="NormalWeb">
    <w:name w:val="Normal (Web)"/>
    <w:basedOn w:val="Normal"/>
    <w:uiPriority w:val="99"/>
    <w:unhideWhenUsed/>
    <w:rsid w:val="00061433"/>
    <w:pPr>
      <w:spacing w:before="100" w:beforeAutospacing="1" w:after="100" w:afterAutospacing="1" w:line="240" w:lineRule="auto"/>
    </w:pPr>
    <w:rPr>
      <w:rFonts w:ascii="Times New Roman" w:hAnsi="Times New Roman"/>
      <w:sz w:val="24"/>
      <w:szCs w:val="24"/>
      <w:lang w:val="en-US"/>
    </w:rPr>
  </w:style>
  <w:style w:type="paragraph" w:customStyle="1" w:styleId="wordsection1">
    <w:name w:val="wordsection1"/>
    <w:basedOn w:val="Normal"/>
    <w:uiPriority w:val="99"/>
    <w:rsid w:val="004906BD"/>
    <w:pPr>
      <w:spacing w:before="100" w:beforeAutospacing="1" w:after="100" w:afterAutospacing="1" w:line="240" w:lineRule="auto"/>
    </w:pPr>
    <w:rPr>
      <w:rFonts w:ascii="Times New Roman" w:hAnsi="Times New Roman"/>
      <w:sz w:val="24"/>
      <w:szCs w:val="24"/>
      <w:lang w:val="es-MX" w:eastAsia="es-MX"/>
    </w:rPr>
  </w:style>
  <w:style w:type="paragraph" w:customStyle="1" w:styleId="Default">
    <w:name w:val="Default"/>
    <w:rsid w:val="004906BD"/>
    <w:pPr>
      <w:autoSpaceDE w:val="0"/>
      <w:autoSpaceDN w:val="0"/>
      <w:adjustRightInd w:val="0"/>
    </w:pPr>
    <w:rPr>
      <w:rFonts w:ascii="Times New Roman" w:hAnsi="Times New Roman"/>
      <w:color w:val="000000"/>
      <w:sz w:val="24"/>
      <w:szCs w:val="24"/>
      <w:lang w:val="es-MX" w:eastAsia="es-MX"/>
    </w:rPr>
  </w:style>
  <w:style w:type="paragraph" w:styleId="Revision">
    <w:name w:val="Revision"/>
    <w:hidden/>
    <w:uiPriority w:val="99"/>
    <w:semiHidden/>
    <w:rsid w:val="00DE05A7"/>
    <w:rPr>
      <w:sz w:val="22"/>
      <w:szCs w:val="22"/>
      <w:lang w:val="es-ES"/>
    </w:rPr>
  </w:style>
  <w:style w:type="character" w:styleId="CommentReference">
    <w:name w:val="annotation reference"/>
    <w:basedOn w:val="DefaultParagraphFont"/>
    <w:uiPriority w:val="99"/>
    <w:semiHidden/>
    <w:unhideWhenUsed/>
    <w:rsid w:val="00C62A42"/>
    <w:rPr>
      <w:sz w:val="16"/>
      <w:szCs w:val="16"/>
    </w:rPr>
  </w:style>
  <w:style w:type="paragraph" w:styleId="CommentText">
    <w:name w:val="annotation text"/>
    <w:basedOn w:val="Normal"/>
    <w:link w:val="CommentTextChar"/>
    <w:uiPriority w:val="99"/>
    <w:unhideWhenUsed/>
    <w:rsid w:val="00C62A42"/>
    <w:pPr>
      <w:spacing w:line="240" w:lineRule="auto"/>
    </w:pPr>
    <w:rPr>
      <w:sz w:val="20"/>
      <w:szCs w:val="20"/>
    </w:rPr>
  </w:style>
  <w:style w:type="character" w:customStyle="1" w:styleId="CommentTextChar">
    <w:name w:val="Comment Text Char"/>
    <w:basedOn w:val="DefaultParagraphFont"/>
    <w:link w:val="CommentText"/>
    <w:uiPriority w:val="99"/>
    <w:rsid w:val="00C62A42"/>
    <w:rPr>
      <w:lang w:val="es-ES"/>
    </w:rPr>
  </w:style>
  <w:style w:type="paragraph" w:styleId="CommentSubject">
    <w:name w:val="annotation subject"/>
    <w:basedOn w:val="CommentText"/>
    <w:next w:val="CommentText"/>
    <w:link w:val="CommentSubjectChar"/>
    <w:uiPriority w:val="99"/>
    <w:semiHidden/>
    <w:unhideWhenUsed/>
    <w:rsid w:val="00C62A42"/>
    <w:rPr>
      <w:b/>
      <w:bCs/>
    </w:rPr>
  </w:style>
  <w:style w:type="character" w:customStyle="1" w:styleId="CommentSubjectChar">
    <w:name w:val="Comment Subject Char"/>
    <w:basedOn w:val="CommentTextChar"/>
    <w:link w:val="CommentSubject"/>
    <w:uiPriority w:val="99"/>
    <w:semiHidden/>
    <w:rsid w:val="00C62A42"/>
    <w:rPr>
      <w:b/>
      <w:bCs/>
      <w:lang w:val="es-ES"/>
    </w:rPr>
  </w:style>
  <w:style w:type="character" w:customStyle="1" w:styleId="normaltextrun">
    <w:name w:val="normaltextrun"/>
    <w:basedOn w:val="DefaultParagraphFont"/>
    <w:rsid w:val="007739D6"/>
  </w:style>
  <w:style w:type="paragraph" w:customStyle="1" w:styleId="CPClassification">
    <w:name w:val="CP Classification"/>
    <w:basedOn w:val="Normal"/>
    <w:uiPriority w:val="99"/>
    <w:rsid w:val="007739D6"/>
    <w:pPr>
      <w:tabs>
        <w:tab w:val="center" w:pos="2160"/>
        <w:tab w:val="left" w:pos="7200"/>
      </w:tabs>
      <w:spacing w:after="0" w:line="240" w:lineRule="auto"/>
      <w:ind w:left="7200" w:right="-360"/>
      <w:jc w:val="both"/>
    </w:pPr>
    <w:rPr>
      <w:rFonts w:ascii="Times New Roman" w:eastAsia="Times New Roman" w:hAnsi="Times New Roman"/>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260">
      <w:bodyDiv w:val="1"/>
      <w:marLeft w:val="0"/>
      <w:marRight w:val="0"/>
      <w:marTop w:val="0"/>
      <w:marBottom w:val="0"/>
      <w:divBdr>
        <w:top w:val="none" w:sz="0" w:space="0" w:color="auto"/>
        <w:left w:val="none" w:sz="0" w:space="0" w:color="auto"/>
        <w:bottom w:val="none" w:sz="0" w:space="0" w:color="auto"/>
        <w:right w:val="none" w:sz="0" w:space="0" w:color="auto"/>
      </w:divBdr>
    </w:div>
    <w:div w:id="320475749">
      <w:bodyDiv w:val="1"/>
      <w:marLeft w:val="0"/>
      <w:marRight w:val="0"/>
      <w:marTop w:val="0"/>
      <w:marBottom w:val="0"/>
      <w:divBdr>
        <w:top w:val="none" w:sz="0" w:space="0" w:color="auto"/>
        <w:left w:val="none" w:sz="0" w:space="0" w:color="auto"/>
        <w:bottom w:val="none" w:sz="0" w:space="0" w:color="auto"/>
        <w:right w:val="none" w:sz="0" w:space="0" w:color="auto"/>
      </w:divBdr>
    </w:div>
    <w:div w:id="617225473">
      <w:bodyDiv w:val="1"/>
      <w:marLeft w:val="0"/>
      <w:marRight w:val="0"/>
      <w:marTop w:val="0"/>
      <w:marBottom w:val="0"/>
      <w:divBdr>
        <w:top w:val="none" w:sz="0" w:space="0" w:color="auto"/>
        <w:left w:val="none" w:sz="0" w:space="0" w:color="auto"/>
        <w:bottom w:val="none" w:sz="0" w:space="0" w:color="auto"/>
        <w:right w:val="none" w:sz="0" w:space="0" w:color="auto"/>
      </w:divBdr>
    </w:div>
    <w:div w:id="670526890">
      <w:bodyDiv w:val="1"/>
      <w:marLeft w:val="0"/>
      <w:marRight w:val="0"/>
      <w:marTop w:val="0"/>
      <w:marBottom w:val="0"/>
      <w:divBdr>
        <w:top w:val="none" w:sz="0" w:space="0" w:color="auto"/>
        <w:left w:val="none" w:sz="0" w:space="0" w:color="auto"/>
        <w:bottom w:val="none" w:sz="0" w:space="0" w:color="auto"/>
        <w:right w:val="none" w:sz="0" w:space="0" w:color="auto"/>
      </w:divBdr>
    </w:div>
    <w:div w:id="885875708">
      <w:bodyDiv w:val="1"/>
      <w:marLeft w:val="0"/>
      <w:marRight w:val="0"/>
      <w:marTop w:val="0"/>
      <w:marBottom w:val="0"/>
      <w:divBdr>
        <w:top w:val="none" w:sz="0" w:space="0" w:color="auto"/>
        <w:left w:val="none" w:sz="0" w:space="0" w:color="auto"/>
        <w:bottom w:val="none" w:sz="0" w:space="0" w:color="auto"/>
        <w:right w:val="none" w:sz="0" w:space="0" w:color="auto"/>
      </w:divBdr>
    </w:div>
    <w:div w:id="908853504">
      <w:bodyDiv w:val="1"/>
      <w:marLeft w:val="0"/>
      <w:marRight w:val="0"/>
      <w:marTop w:val="0"/>
      <w:marBottom w:val="0"/>
      <w:divBdr>
        <w:top w:val="none" w:sz="0" w:space="0" w:color="auto"/>
        <w:left w:val="none" w:sz="0" w:space="0" w:color="auto"/>
        <w:bottom w:val="none" w:sz="0" w:space="0" w:color="auto"/>
        <w:right w:val="none" w:sz="0" w:space="0" w:color="auto"/>
      </w:divBdr>
    </w:div>
    <w:div w:id="944112135">
      <w:bodyDiv w:val="1"/>
      <w:marLeft w:val="0"/>
      <w:marRight w:val="0"/>
      <w:marTop w:val="0"/>
      <w:marBottom w:val="0"/>
      <w:divBdr>
        <w:top w:val="none" w:sz="0" w:space="0" w:color="auto"/>
        <w:left w:val="none" w:sz="0" w:space="0" w:color="auto"/>
        <w:bottom w:val="none" w:sz="0" w:space="0" w:color="auto"/>
        <w:right w:val="none" w:sz="0" w:space="0" w:color="auto"/>
      </w:divBdr>
    </w:div>
    <w:div w:id="1333727601">
      <w:bodyDiv w:val="1"/>
      <w:marLeft w:val="0"/>
      <w:marRight w:val="0"/>
      <w:marTop w:val="0"/>
      <w:marBottom w:val="0"/>
      <w:divBdr>
        <w:top w:val="none" w:sz="0" w:space="0" w:color="auto"/>
        <w:left w:val="none" w:sz="0" w:space="0" w:color="auto"/>
        <w:bottom w:val="none" w:sz="0" w:space="0" w:color="auto"/>
        <w:right w:val="none" w:sz="0" w:space="0" w:color="auto"/>
      </w:divBdr>
    </w:div>
    <w:div w:id="1426875679">
      <w:bodyDiv w:val="1"/>
      <w:marLeft w:val="0"/>
      <w:marRight w:val="0"/>
      <w:marTop w:val="0"/>
      <w:marBottom w:val="0"/>
      <w:divBdr>
        <w:top w:val="none" w:sz="0" w:space="0" w:color="auto"/>
        <w:left w:val="none" w:sz="0" w:space="0" w:color="auto"/>
        <w:bottom w:val="none" w:sz="0" w:space="0" w:color="auto"/>
        <w:right w:val="none" w:sz="0" w:space="0" w:color="auto"/>
      </w:divBdr>
    </w:div>
    <w:div w:id="1745755996">
      <w:bodyDiv w:val="1"/>
      <w:marLeft w:val="0"/>
      <w:marRight w:val="0"/>
      <w:marTop w:val="0"/>
      <w:marBottom w:val="0"/>
      <w:divBdr>
        <w:top w:val="none" w:sz="0" w:space="0" w:color="auto"/>
        <w:left w:val="none" w:sz="0" w:space="0" w:color="auto"/>
        <w:bottom w:val="none" w:sz="0" w:space="0" w:color="auto"/>
        <w:right w:val="none" w:sz="0" w:space="0" w:color="auto"/>
      </w:divBdr>
    </w:div>
    <w:div w:id="17501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m.oas.org/IDMS/Redirectpage.aspx?class=CP/CAJP&amp;classNum=3733&amp;lang=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0A51E-4E2C-4B52-B4A8-4A536B53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3210</Words>
  <Characters>17656</Characters>
  <Application>Microsoft Office Word</Application>
  <DocSecurity>0</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Mayorga, Georgina</dc:creator>
  <cp:keywords/>
  <cp:lastModifiedBy>Loredo, Carmen</cp:lastModifiedBy>
  <cp:revision>4</cp:revision>
  <cp:lastPrinted>2022-09-08T16:20:00Z</cp:lastPrinted>
  <dcterms:created xsi:type="dcterms:W3CDTF">2023-06-16T01:29:00Z</dcterms:created>
  <dcterms:modified xsi:type="dcterms:W3CDTF">2023-06-16T01:34:00Z</dcterms:modified>
</cp:coreProperties>
</file>