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EA7A" w14:textId="77777777" w:rsidR="000C74DB" w:rsidRPr="000C74DB" w:rsidRDefault="00E77CDF" w:rsidP="000C74DB">
      <w:pPr>
        <w:pStyle w:val="CPClassification"/>
        <w:tabs>
          <w:tab w:val="left" w:pos="5400"/>
        </w:tabs>
        <w:contextualSpacing/>
        <w:rPr>
          <w:lang w:val="es-US"/>
        </w:rPr>
      </w:pPr>
      <w:r>
        <w:rPr>
          <w:lang w:val="es-ES"/>
        </w:rPr>
        <w:object w:dxaOrig="1440" w:dyaOrig="1440" w14:anchorId="2B0DD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4pt;margin-top:-44.65pt;width:320.05pt;height:28.05pt;z-index:251661824;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2050" DrawAspect="Content" ObjectID="_1714375140" r:id="rId8"/>
        </w:object>
      </w:r>
      <w:r w:rsidR="000C74DB" w:rsidRPr="000C74DB">
        <w:rPr>
          <w:lang w:val="es-US"/>
        </w:rPr>
        <w:t>OEA/</w:t>
      </w:r>
      <w:proofErr w:type="spellStart"/>
      <w:r w:rsidR="000C74DB" w:rsidRPr="000C74DB">
        <w:rPr>
          <w:lang w:val="es-US"/>
        </w:rPr>
        <w:t>Ser.G</w:t>
      </w:r>
      <w:proofErr w:type="spellEnd"/>
    </w:p>
    <w:p w14:paraId="7E29FA59" w14:textId="55DB7E1F" w:rsidR="000C74DB" w:rsidRPr="000C74DB" w:rsidRDefault="000C74DB" w:rsidP="000C74DB">
      <w:pPr>
        <w:ind w:left="7200" w:right="-1289"/>
        <w:contextualSpacing/>
        <w:rPr>
          <w:rFonts w:ascii="Times New Roman" w:hAnsi="Times New Roman"/>
          <w:lang w:val="es-US"/>
        </w:rPr>
      </w:pPr>
      <w:r w:rsidRPr="000C74DB">
        <w:rPr>
          <w:rFonts w:ascii="Times New Roman" w:hAnsi="Times New Roman"/>
          <w:lang w:val="es-US"/>
        </w:rPr>
        <w:t>CP/RES. 1199 (2378/22)</w:t>
      </w:r>
    </w:p>
    <w:p w14:paraId="2B7612BB" w14:textId="77777777" w:rsidR="000C74DB" w:rsidRPr="000C74DB" w:rsidRDefault="000C74DB" w:rsidP="000C74DB">
      <w:pPr>
        <w:ind w:left="7200" w:right="-1289"/>
        <w:contextualSpacing/>
        <w:rPr>
          <w:rFonts w:ascii="Times New Roman" w:hAnsi="Times New Roman"/>
          <w:lang w:val="es-US"/>
        </w:rPr>
      </w:pPr>
      <w:r w:rsidRPr="000C74DB">
        <w:rPr>
          <w:rFonts w:ascii="Times New Roman" w:hAnsi="Times New Roman"/>
          <w:lang w:val="es-US"/>
        </w:rPr>
        <w:t>18 mayo 2022</w:t>
      </w:r>
    </w:p>
    <w:p w14:paraId="6BB96713" w14:textId="71E915B2" w:rsidR="000C74DB" w:rsidRPr="000C74DB" w:rsidRDefault="000C74DB" w:rsidP="000C74DB">
      <w:pPr>
        <w:ind w:left="7200" w:right="-749"/>
        <w:contextualSpacing/>
        <w:rPr>
          <w:rFonts w:ascii="Times New Roman" w:hAnsi="Times New Roman"/>
          <w:lang w:val="es-US"/>
        </w:rPr>
      </w:pPr>
      <w:r w:rsidRPr="000C74DB">
        <w:rPr>
          <w:rFonts w:ascii="Times New Roman" w:hAnsi="Times New Roman"/>
          <w:lang w:val="es-US"/>
        </w:rPr>
        <w:t xml:space="preserve">Original: </w:t>
      </w:r>
      <w:r w:rsidR="00ED5BD2">
        <w:rPr>
          <w:rFonts w:ascii="Times New Roman" w:hAnsi="Times New Roman"/>
          <w:lang w:val="es-US"/>
        </w:rPr>
        <w:t>inglés</w:t>
      </w:r>
    </w:p>
    <w:p w14:paraId="42B42742" w14:textId="77777777" w:rsidR="000C74DB" w:rsidRPr="000C74DB" w:rsidRDefault="000C74DB" w:rsidP="000C74DB">
      <w:pPr>
        <w:ind w:right="-749"/>
        <w:contextualSpacing/>
        <w:rPr>
          <w:rFonts w:ascii="Times New Roman" w:hAnsi="Times New Roman"/>
          <w:lang w:val="es-US"/>
        </w:rPr>
      </w:pPr>
    </w:p>
    <w:p w14:paraId="1452E36C" w14:textId="77777777" w:rsidR="000C74DB" w:rsidRPr="000C74DB" w:rsidRDefault="000C74DB" w:rsidP="000C74DB">
      <w:pPr>
        <w:ind w:right="-749"/>
        <w:contextualSpacing/>
        <w:rPr>
          <w:rFonts w:ascii="Times New Roman" w:hAnsi="Times New Roman"/>
          <w:lang w:val="es-US"/>
        </w:rPr>
      </w:pPr>
    </w:p>
    <w:p w14:paraId="4AEB74E9" w14:textId="77777777" w:rsidR="000C74DB" w:rsidRPr="000C74DB" w:rsidRDefault="000C74DB" w:rsidP="000C74DB">
      <w:pPr>
        <w:ind w:right="-749"/>
        <w:contextualSpacing/>
        <w:rPr>
          <w:rFonts w:ascii="Times New Roman" w:hAnsi="Times New Roman"/>
          <w:lang w:val="es-US"/>
        </w:rPr>
      </w:pPr>
    </w:p>
    <w:p w14:paraId="45F0DDD8" w14:textId="023715E3" w:rsidR="000C74DB" w:rsidRPr="000C74DB" w:rsidRDefault="000C74DB" w:rsidP="000C74DB">
      <w:pPr>
        <w:ind w:right="-29"/>
        <w:contextualSpacing/>
        <w:jc w:val="center"/>
        <w:rPr>
          <w:rFonts w:ascii="Times New Roman" w:hAnsi="Times New Roman"/>
          <w:lang w:val="es-MX"/>
        </w:rPr>
      </w:pPr>
      <w:r w:rsidRPr="000C74DB">
        <w:rPr>
          <w:rFonts w:ascii="Times New Roman" w:hAnsi="Times New Roman"/>
          <w:lang w:val="es-US"/>
        </w:rPr>
        <w:t>CP/RES. 1199 (2378/22)</w:t>
      </w:r>
    </w:p>
    <w:p w14:paraId="447B8115" w14:textId="77777777" w:rsidR="000C74DB" w:rsidRPr="000C74DB" w:rsidRDefault="000C74DB" w:rsidP="000C74DB">
      <w:pPr>
        <w:ind w:right="-29"/>
        <w:rPr>
          <w:rFonts w:ascii="Times New Roman" w:hAnsi="Times New Roman"/>
          <w:lang w:val="es-MX"/>
        </w:rPr>
      </w:pPr>
    </w:p>
    <w:p w14:paraId="56265841" w14:textId="77777777" w:rsidR="000C74DB" w:rsidRPr="000C74DB" w:rsidRDefault="000C74DB" w:rsidP="000C74DB">
      <w:pPr>
        <w:widowControl/>
        <w:tabs>
          <w:tab w:val="clear" w:pos="720"/>
          <w:tab w:val="clear" w:pos="2160"/>
        </w:tabs>
        <w:ind w:right="-29"/>
        <w:jc w:val="center"/>
        <w:rPr>
          <w:rFonts w:ascii="Times New Roman" w:hAnsi="Times New Roman"/>
          <w:color w:val="000000"/>
          <w:szCs w:val="22"/>
          <w:lang w:val="es"/>
        </w:rPr>
      </w:pPr>
      <w:r w:rsidRPr="000C74DB">
        <w:rPr>
          <w:rFonts w:ascii="Times New Roman" w:hAnsi="Times New Roman"/>
          <w:color w:val="000000"/>
          <w:szCs w:val="22"/>
        </w:rPr>
        <w:t xml:space="preserve">CONCLUSIÓN DEL </w:t>
      </w:r>
      <w:r w:rsidRPr="000C74DB">
        <w:rPr>
          <w:rFonts w:ascii="Times New Roman" w:hAnsi="Times New Roman"/>
          <w:color w:val="000000"/>
          <w:szCs w:val="22"/>
          <w:lang w:val="es"/>
        </w:rPr>
        <w:t>PROYECTO DE TECNOLOGÍA ERP</w:t>
      </w:r>
    </w:p>
    <w:p w14:paraId="181499DF" w14:textId="77777777" w:rsidR="000C74DB" w:rsidRPr="000C74DB" w:rsidRDefault="000C74DB" w:rsidP="000C74DB">
      <w:pPr>
        <w:widowControl/>
        <w:tabs>
          <w:tab w:val="clear" w:pos="720"/>
          <w:tab w:val="clear" w:pos="2160"/>
        </w:tabs>
        <w:ind w:right="-29"/>
        <w:jc w:val="center"/>
        <w:rPr>
          <w:rFonts w:ascii="Times New Roman" w:hAnsi="Times New Roman"/>
          <w:color w:val="000000"/>
          <w:szCs w:val="22"/>
        </w:rPr>
      </w:pPr>
      <w:r w:rsidRPr="000C74DB">
        <w:rPr>
          <w:rFonts w:ascii="Times New Roman" w:hAnsi="Times New Roman"/>
          <w:color w:val="000000"/>
          <w:szCs w:val="22"/>
        </w:rPr>
        <w:t>“PROGRAMA DE MODERNIZACIÓN DE LA PLATAFORMA DE GESTIÓN</w:t>
      </w:r>
    </w:p>
    <w:p w14:paraId="695FB4D5" w14:textId="77777777" w:rsidR="000C74DB" w:rsidRPr="000C74DB" w:rsidRDefault="000C74DB" w:rsidP="000C74DB">
      <w:pPr>
        <w:widowControl/>
        <w:tabs>
          <w:tab w:val="clear" w:pos="720"/>
          <w:tab w:val="clear" w:pos="2160"/>
        </w:tabs>
        <w:ind w:right="-29"/>
        <w:jc w:val="center"/>
        <w:rPr>
          <w:rFonts w:ascii="Times New Roman" w:hAnsi="Times New Roman"/>
          <w:color w:val="000000"/>
          <w:szCs w:val="22"/>
        </w:rPr>
      </w:pPr>
      <w:r w:rsidRPr="000C74DB">
        <w:rPr>
          <w:rFonts w:ascii="Times New Roman" w:hAnsi="Times New Roman"/>
          <w:color w:val="000000"/>
          <w:szCs w:val="22"/>
        </w:rPr>
        <w:t>ERP/OASCORE” CON RECURSOS DEL FONDO DE TECNOLOGÍA</w:t>
      </w:r>
    </w:p>
    <w:p w14:paraId="0362293C" w14:textId="77777777" w:rsidR="000C74DB" w:rsidRPr="000C74DB" w:rsidRDefault="000C74DB" w:rsidP="000C74DB">
      <w:pPr>
        <w:ind w:right="-29"/>
        <w:jc w:val="center"/>
        <w:rPr>
          <w:rFonts w:ascii="Times New Roman" w:hAnsi="Times New Roman"/>
        </w:rPr>
      </w:pPr>
    </w:p>
    <w:p w14:paraId="67D48988" w14:textId="77777777" w:rsidR="000C74DB" w:rsidRPr="000C74DB" w:rsidRDefault="000C74DB" w:rsidP="000C74DB">
      <w:pPr>
        <w:ind w:right="-29"/>
        <w:jc w:val="center"/>
        <w:rPr>
          <w:rFonts w:ascii="Times New Roman" w:hAnsi="Times New Roman"/>
          <w:lang w:val="es-MX"/>
        </w:rPr>
      </w:pPr>
      <w:r w:rsidRPr="000C74DB">
        <w:rPr>
          <w:rFonts w:ascii="Times New Roman" w:hAnsi="Times New Roman"/>
          <w:lang w:val="es-MX"/>
        </w:rPr>
        <w:t>(</w:t>
      </w:r>
      <w:r w:rsidRPr="000C74DB">
        <w:rPr>
          <w:rFonts w:ascii="Times New Roman" w:hAnsi="Times New Roman"/>
          <w:lang w:val="es-ES_tradnl"/>
        </w:rPr>
        <w:t>Aprobada por el Consejo Permanente en la sesión ordinaria celebrada el 18 de mayo de 2022</w:t>
      </w:r>
      <w:r w:rsidRPr="000C74DB">
        <w:rPr>
          <w:rFonts w:ascii="Times New Roman" w:hAnsi="Times New Roman"/>
          <w:lang w:val="es-MX"/>
        </w:rPr>
        <w:t>)</w:t>
      </w:r>
    </w:p>
    <w:p w14:paraId="71B53DFD" w14:textId="77777777" w:rsidR="00144BC8" w:rsidRPr="000C74DB" w:rsidRDefault="00144BC8" w:rsidP="000C74DB">
      <w:pPr>
        <w:widowControl/>
        <w:tabs>
          <w:tab w:val="clear" w:pos="720"/>
          <w:tab w:val="clear" w:pos="2160"/>
        </w:tabs>
        <w:ind w:right="-29"/>
        <w:rPr>
          <w:rFonts w:ascii="Times New Roman" w:hAnsi="Times New Roman"/>
          <w:color w:val="000000"/>
          <w:szCs w:val="22"/>
          <w:lang w:val="es-MX"/>
        </w:rPr>
      </w:pPr>
    </w:p>
    <w:p w14:paraId="71B53E01" w14:textId="77777777" w:rsidR="00144BC8" w:rsidRPr="000C74DB" w:rsidRDefault="00144BC8" w:rsidP="000C74DB">
      <w:pPr>
        <w:widowControl/>
        <w:rPr>
          <w:rFonts w:ascii="Times New Roman" w:hAnsi="Times New Roman"/>
          <w:color w:val="000000"/>
          <w:szCs w:val="22"/>
        </w:rPr>
      </w:pPr>
    </w:p>
    <w:p w14:paraId="71B53E03" w14:textId="550C3EA6" w:rsidR="00144BC8" w:rsidRPr="000C74DB" w:rsidRDefault="004E774B" w:rsidP="000C74DB">
      <w:pPr>
        <w:widowControl/>
        <w:ind w:firstLine="720"/>
        <w:rPr>
          <w:rFonts w:ascii="Times New Roman" w:hAnsi="Times New Roman"/>
          <w:color w:val="000000"/>
          <w:szCs w:val="22"/>
        </w:rPr>
      </w:pPr>
      <w:r w:rsidRPr="000C74DB">
        <w:rPr>
          <w:rFonts w:ascii="Times New Roman" w:hAnsi="Times New Roman"/>
          <w:color w:val="000000"/>
          <w:szCs w:val="22"/>
          <w:lang w:val="es"/>
        </w:rPr>
        <w:t>EL CONSEJO PERMANENTE DE LA ORGANIZACIÓN DE LOS ESTADOS</w:t>
      </w:r>
      <w:r w:rsidR="000C74DB">
        <w:rPr>
          <w:rFonts w:ascii="Times New Roman" w:hAnsi="Times New Roman"/>
          <w:color w:val="000000"/>
          <w:szCs w:val="22"/>
          <w:lang w:val="es"/>
        </w:rPr>
        <w:t xml:space="preserve"> </w:t>
      </w:r>
      <w:r w:rsidRPr="000C74DB">
        <w:rPr>
          <w:rFonts w:ascii="Times New Roman" w:hAnsi="Times New Roman"/>
          <w:color w:val="000000"/>
          <w:szCs w:val="22"/>
          <w:lang w:val="es"/>
        </w:rPr>
        <w:t>AMERICANOS</w:t>
      </w:r>
      <w:r w:rsidR="00144BC8" w:rsidRPr="000C74DB">
        <w:rPr>
          <w:rFonts w:ascii="Times New Roman" w:hAnsi="Times New Roman"/>
          <w:color w:val="000000"/>
          <w:szCs w:val="22"/>
        </w:rPr>
        <w:t>,</w:t>
      </w:r>
    </w:p>
    <w:p w14:paraId="71B53E04" w14:textId="77777777" w:rsidR="00144BC8" w:rsidRPr="000C74DB" w:rsidRDefault="00144BC8" w:rsidP="000C74DB">
      <w:pPr>
        <w:widowControl/>
        <w:rPr>
          <w:rFonts w:ascii="Times New Roman" w:hAnsi="Times New Roman"/>
          <w:color w:val="000000"/>
          <w:szCs w:val="22"/>
        </w:rPr>
      </w:pPr>
    </w:p>
    <w:p w14:paraId="71B53E05" w14:textId="16052FA9" w:rsidR="00144BC8" w:rsidRPr="000C74DB" w:rsidRDefault="00144BC8" w:rsidP="000C74DB">
      <w:pPr>
        <w:widowControl/>
        <w:rPr>
          <w:rFonts w:ascii="Times New Roman" w:hAnsi="Times New Roman"/>
          <w:color w:val="000000"/>
          <w:szCs w:val="22"/>
        </w:rPr>
      </w:pPr>
      <w:r w:rsidRPr="000C74DB">
        <w:rPr>
          <w:rFonts w:ascii="Times New Roman" w:hAnsi="Times New Roman"/>
          <w:color w:val="000000"/>
          <w:szCs w:val="22"/>
        </w:rPr>
        <w:t>CONSIDER</w:t>
      </w:r>
      <w:r w:rsidR="004E774B" w:rsidRPr="000C74DB">
        <w:rPr>
          <w:rFonts w:ascii="Times New Roman" w:hAnsi="Times New Roman"/>
          <w:color w:val="000000"/>
          <w:szCs w:val="22"/>
        </w:rPr>
        <w:t>ANDO</w:t>
      </w:r>
      <w:r w:rsidRPr="000C74DB">
        <w:rPr>
          <w:rFonts w:ascii="Times New Roman" w:hAnsi="Times New Roman"/>
          <w:color w:val="000000"/>
          <w:szCs w:val="22"/>
        </w:rPr>
        <w:t>:</w:t>
      </w:r>
    </w:p>
    <w:p w14:paraId="71B53E06" w14:textId="77777777" w:rsidR="00144BC8" w:rsidRPr="000C74DB" w:rsidRDefault="00144BC8" w:rsidP="000C74DB">
      <w:pPr>
        <w:widowControl/>
        <w:rPr>
          <w:rFonts w:ascii="Times New Roman" w:hAnsi="Times New Roman"/>
          <w:color w:val="000000"/>
          <w:szCs w:val="22"/>
        </w:rPr>
      </w:pPr>
    </w:p>
    <w:p w14:paraId="71B53E07" w14:textId="71047633" w:rsidR="00144BC8" w:rsidRPr="000C74DB" w:rsidRDefault="00144BC8" w:rsidP="000C74DB">
      <w:pPr>
        <w:widowControl/>
        <w:rPr>
          <w:rFonts w:ascii="Times New Roman" w:hAnsi="Times New Roman"/>
          <w:color w:val="000000"/>
        </w:rPr>
      </w:pPr>
      <w:r w:rsidRPr="000C74DB">
        <w:rPr>
          <w:rFonts w:ascii="Times New Roman" w:hAnsi="Times New Roman"/>
          <w:color w:val="000000"/>
          <w:szCs w:val="22"/>
        </w:rPr>
        <w:tab/>
      </w:r>
      <w:r w:rsidR="004E774B" w:rsidRPr="000C74DB">
        <w:rPr>
          <w:rFonts w:ascii="Times New Roman" w:hAnsi="Times New Roman"/>
          <w:color w:val="000000"/>
        </w:rPr>
        <w:t>Que el Consejo Permanente, mediante la resolución</w:t>
      </w:r>
      <w:r w:rsidRPr="000C74DB">
        <w:rPr>
          <w:rFonts w:ascii="Times New Roman" w:hAnsi="Times New Roman"/>
          <w:color w:val="000000"/>
        </w:rPr>
        <w:t xml:space="preserve"> CP/RES. 1100 (2160/18)</w:t>
      </w:r>
      <w:r w:rsidR="004E774B" w:rsidRPr="000C74DB">
        <w:rPr>
          <w:rFonts w:ascii="Times New Roman" w:hAnsi="Times New Roman"/>
          <w:color w:val="000000"/>
        </w:rPr>
        <w:t xml:space="preserve">, del </w:t>
      </w:r>
      <w:r w:rsidRPr="000C74DB">
        <w:rPr>
          <w:rFonts w:ascii="Times New Roman" w:hAnsi="Times New Roman"/>
          <w:color w:val="000000"/>
        </w:rPr>
        <w:t>14</w:t>
      </w:r>
      <w:r w:rsidR="004E774B" w:rsidRPr="000C74DB">
        <w:rPr>
          <w:rFonts w:ascii="Times New Roman" w:hAnsi="Times New Roman"/>
          <w:color w:val="000000"/>
        </w:rPr>
        <w:t xml:space="preserve"> de mayo de</w:t>
      </w:r>
      <w:r w:rsidRPr="000C74DB">
        <w:rPr>
          <w:rFonts w:ascii="Times New Roman" w:hAnsi="Times New Roman"/>
          <w:color w:val="000000"/>
        </w:rPr>
        <w:t xml:space="preserve"> 2018, </w:t>
      </w:r>
      <w:r w:rsidR="004E774B" w:rsidRPr="000C74DB">
        <w:rPr>
          <w:rFonts w:ascii="Times New Roman" w:hAnsi="Times New Roman"/>
          <w:color w:val="000000"/>
        </w:rPr>
        <w:t xml:space="preserve">aprobó una apropiación extraordinaria de </w:t>
      </w:r>
      <w:r w:rsidRPr="000C74DB">
        <w:rPr>
          <w:rFonts w:ascii="Times New Roman" w:hAnsi="Times New Roman"/>
          <w:color w:val="000000"/>
        </w:rPr>
        <w:t>US$5</w:t>
      </w:r>
      <w:r w:rsidR="004E774B" w:rsidRPr="000C74DB">
        <w:rPr>
          <w:rFonts w:ascii="Times New Roman" w:hAnsi="Times New Roman"/>
          <w:color w:val="000000"/>
        </w:rPr>
        <w:t>,</w:t>
      </w:r>
      <w:r w:rsidRPr="000C74DB">
        <w:rPr>
          <w:rFonts w:ascii="Times New Roman" w:hAnsi="Times New Roman"/>
          <w:color w:val="000000"/>
        </w:rPr>
        <w:t>2 mill</w:t>
      </w:r>
      <w:r w:rsidR="004E774B" w:rsidRPr="000C74DB">
        <w:rPr>
          <w:rFonts w:ascii="Times New Roman" w:hAnsi="Times New Roman"/>
          <w:color w:val="000000"/>
        </w:rPr>
        <w:t>ones</w:t>
      </w:r>
      <w:r w:rsidRPr="000C74DB">
        <w:rPr>
          <w:rFonts w:ascii="Times New Roman" w:hAnsi="Times New Roman"/>
          <w:color w:val="000000"/>
        </w:rPr>
        <w:t xml:space="preserve">, </w:t>
      </w:r>
      <w:r w:rsidR="004E774B" w:rsidRPr="000C74DB">
        <w:rPr>
          <w:rFonts w:ascii="Times New Roman" w:hAnsi="Times New Roman"/>
          <w:color w:val="000000"/>
        </w:rPr>
        <w:t xml:space="preserve">financiada por medio del </w:t>
      </w:r>
      <w:proofErr w:type="spellStart"/>
      <w:r w:rsidR="004E774B" w:rsidRPr="000C74DB">
        <w:rPr>
          <w:rFonts w:ascii="Times New Roman" w:hAnsi="Times New Roman"/>
          <w:color w:val="000000"/>
        </w:rPr>
        <w:t>Subfondo</w:t>
      </w:r>
      <w:proofErr w:type="spellEnd"/>
      <w:r w:rsidR="004E774B" w:rsidRPr="000C74DB">
        <w:rPr>
          <w:rFonts w:ascii="Times New Roman" w:hAnsi="Times New Roman"/>
          <w:color w:val="000000"/>
        </w:rPr>
        <w:t xml:space="preserve"> de Reserva del Fondo de Recuperación de Costos Indirectos (SRRCI), para ejecutar el Proyecto de Tecnología “ERP”, que debía ejecutarse en un plazo de dieciocho meses a partir de 2018</w:t>
      </w:r>
      <w:r w:rsidRPr="000C74DB">
        <w:rPr>
          <w:rFonts w:ascii="Times New Roman" w:hAnsi="Times New Roman"/>
          <w:color w:val="000000"/>
        </w:rPr>
        <w:t>;</w:t>
      </w:r>
    </w:p>
    <w:p w14:paraId="56515B6B" w14:textId="0A2CFE14" w:rsidR="00B16D1D" w:rsidRPr="000C74DB" w:rsidRDefault="00B16D1D" w:rsidP="000C74DB">
      <w:pPr>
        <w:widowControl/>
        <w:rPr>
          <w:rFonts w:ascii="Times New Roman" w:hAnsi="Times New Roman"/>
          <w:color w:val="000000"/>
          <w:szCs w:val="22"/>
        </w:rPr>
      </w:pPr>
    </w:p>
    <w:p w14:paraId="7B1BEF72" w14:textId="49BA9DB3" w:rsidR="00B16D1D" w:rsidRPr="000C74DB" w:rsidRDefault="00B16D1D" w:rsidP="000C74DB">
      <w:pPr>
        <w:widowControl/>
        <w:rPr>
          <w:rFonts w:ascii="Times New Roman" w:hAnsi="Times New Roman"/>
          <w:color w:val="000000"/>
        </w:rPr>
      </w:pPr>
      <w:r w:rsidRPr="000C74DB">
        <w:rPr>
          <w:rFonts w:ascii="Times New Roman" w:hAnsi="Times New Roman"/>
          <w:color w:val="000000"/>
          <w:szCs w:val="22"/>
        </w:rPr>
        <w:tab/>
      </w:r>
      <w:r w:rsidR="004E774B" w:rsidRPr="000C74DB">
        <w:rPr>
          <w:rFonts w:ascii="Times New Roman" w:hAnsi="Times New Roman"/>
          <w:color w:val="000000"/>
        </w:rPr>
        <w:t>Que el Consejo Permanente, mediante la resolución</w:t>
      </w:r>
      <w:r w:rsidR="005675AC" w:rsidRPr="000C74DB">
        <w:rPr>
          <w:rFonts w:ascii="Times New Roman" w:hAnsi="Times New Roman"/>
          <w:color w:val="000000"/>
        </w:rPr>
        <w:t xml:space="preserve"> CP/RES. 1155 (2290/20)</w:t>
      </w:r>
      <w:r w:rsidR="004E774B" w:rsidRPr="000C74DB">
        <w:rPr>
          <w:rFonts w:ascii="Times New Roman" w:hAnsi="Times New Roman"/>
          <w:color w:val="000000"/>
        </w:rPr>
        <w:t xml:space="preserve">, del </w:t>
      </w:r>
      <w:r w:rsidR="005675AC" w:rsidRPr="000C74DB">
        <w:rPr>
          <w:rFonts w:ascii="Times New Roman" w:hAnsi="Times New Roman"/>
          <w:color w:val="000000"/>
        </w:rPr>
        <w:t>24</w:t>
      </w:r>
      <w:r w:rsidR="004E774B" w:rsidRPr="000C74DB">
        <w:rPr>
          <w:rFonts w:ascii="Times New Roman" w:hAnsi="Times New Roman"/>
          <w:color w:val="000000"/>
        </w:rPr>
        <w:t xml:space="preserve"> de junio de </w:t>
      </w:r>
      <w:r w:rsidR="005675AC" w:rsidRPr="000C74DB">
        <w:rPr>
          <w:rFonts w:ascii="Times New Roman" w:hAnsi="Times New Roman"/>
          <w:color w:val="000000"/>
        </w:rPr>
        <w:t xml:space="preserve">2020, </w:t>
      </w:r>
      <w:r w:rsidR="004E774B" w:rsidRPr="000C74DB">
        <w:rPr>
          <w:rFonts w:ascii="Times New Roman" w:hAnsi="Times New Roman"/>
          <w:color w:val="000000"/>
        </w:rPr>
        <w:t>aprobó una apropiación extraordinaria de</w:t>
      </w:r>
      <w:r w:rsidR="005675AC" w:rsidRPr="000C74DB">
        <w:rPr>
          <w:rFonts w:ascii="Times New Roman" w:hAnsi="Times New Roman"/>
          <w:color w:val="000000"/>
        </w:rPr>
        <w:t xml:space="preserve"> </w:t>
      </w:r>
      <w:r w:rsidR="003D0520" w:rsidRPr="000C74DB">
        <w:rPr>
          <w:rFonts w:ascii="Times New Roman" w:hAnsi="Times New Roman"/>
          <w:color w:val="000000"/>
        </w:rPr>
        <w:t>US$1</w:t>
      </w:r>
      <w:r w:rsidR="004E774B" w:rsidRPr="000C74DB">
        <w:rPr>
          <w:rFonts w:ascii="Times New Roman" w:hAnsi="Times New Roman"/>
          <w:color w:val="000000"/>
        </w:rPr>
        <w:t>,</w:t>
      </w:r>
      <w:r w:rsidR="003D0520" w:rsidRPr="000C74DB">
        <w:rPr>
          <w:rFonts w:ascii="Times New Roman" w:hAnsi="Times New Roman"/>
          <w:color w:val="000000"/>
        </w:rPr>
        <w:t>7 mill</w:t>
      </w:r>
      <w:r w:rsidR="004E774B" w:rsidRPr="000C74DB">
        <w:rPr>
          <w:rFonts w:ascii="Times New Roman" w:hAnsi="Times New Roman"/>
          <w:color w:val="000000"/>
        </w:rPr>
        <w:t xml:space="preserve">ones para la continuación y conclusión del </w:t>
      </w:r>
      <w:r w:rsidR="004E774B" w:rsidRPr="000C74DB">
        <w:rPr>
          <w:rFonts w:ascii="Times New Roman" w:hAnsi="Times New Roman"/>
          <w:color w:val="000000"/>
          <w:lang w:val="es"/>
        </w:rPr>
        <w:t>Proyecto de Tecnología ERP, siguiendo la opción tres</w:t>
      </w:r>
      <w:r w:rsidR="00BA5FDC" w:rsidRPr="000C74DB">
        <w:rPr>
          <w:rFonts w:ascii="Times New Roman" w:hAnsi="Times New Roman"/>
          <w:color w:val="000000"/>
        </w:rPr>
        <w:t xml:space="preserve"> (document</w:t>
      </w:r>
      <w:r w:rsidR="004E774B" w:rsidRPr="000C74DB">
        <w:rPr>
          <w:rFonts w:ascii="Times New Roman" w:hAnsi="Times New Roman"/>
          <w:color w:val="000000"/>
        </w:rPr>
        <w:t>o</w:t>
      </w:r>
      <w:r w:rsidR="00BA5FDC" w:rsidRPr="000C74DB">
        <w:rPr>
          <w:rFonts w:ascii="Times New Roman" w:hAnsi="Times New Roman"/>
          <w:color w:val="000000"/>
        </w:rPr>
        <w:t> </w:t>
      </w:r>
      <w:hyperlink r:id="rId9" w:history="1">
        <w:r w:rsidR="00BA5FDC" w:rsidRPr="000C74DB">
          <w:rPr>
            <w:rStyle w:val="Hyperlink"/>
            <w:rFonts w:ascii="Times New Roman" w:hAnsi="Times New Roman"/>
          </w:rPr>
          <w:t>CP/CAAP-3663/20</w:t>
        </w:r>
      </w:hyperlink>
      <w:r w:rsidR="00BA5FDC" w:rsidRPr="000C74DB">
        <w:rPr>
          <w:rFonts w:ascii="Times New Roman" w:hAnsi="Times New Roman"/>
          <w:color w:val="000000"/>
        </w:rPr>
        <w:t>),</w:t>
      </w:r>
      <w:r w:rsidR="003D0520" w:rsidRPr="000C74DB">
        <w:rPr>
          <w:rFonts w:ascii="Times New Roman" w:hAnsi="Times New Roman"/>
          <w:color w:val="000000"/>
        </w:rPr>
        <w:t xml:space="preserve"> </w:t>
      </w:r>
      <w:r w:rsidR="004E774B" w:rsidRPr="000C74DB">
        <w:rPr>
          <w:rFonts w:ascii="Times New Roman" w:hAnsi="Times New Roman"/>
          <w:color w:val="000000"/>
          <w:lang w:val="es"/>
        </w:rPr>
        <w:t>que se financiará con recursos del SRRCI</w:t>
      </w:r>
      <w:r w:rsidR="00283B28" w:rsidRPr="000C74DB">
        <w:rPr>
          <w:rFonts w:ascii="Times New Roman" w:hAnsi="Times New Roman"/>
          <w:color w:val="000000"/>
        </w:rPr>
        <w:t>;</w:t>
      </w:r>
      <w:r w:rsidR="002365F5" w:rsidRPr="000C74DB">
        <w:rPr>
          <w:rFonts w:ascii="Times New Roman" w:hAnsi="Times New Roman"/>
          <w:color w:val="000000"/>
        </w:rPr>
        <w:t xml:space="preserve"> </w:t>
      </w:r>
    </w:p>
    <w:p w14:paraId="52F2C8AD" w14:textId="77777777" w:rsidR="00B75236" w:rsidRPr="000C74DB" w:rsidRDefault="00B75236" w:rsidP="000C74DB">
      <w:pPr>
        <w:widowControl/>
        <w:rPr>
          <w:rFonts w:ascii="Times New Roman" w:hAnsi="Times New Roman"/>
          <w:color w:val="000000"/>
          <w:szCs w:val="22"/>
        </w:rPr>
      </w:pPr>
    </w:p>
    <w:p w14:paraId="4AF5159E" w14:textId="6A8D53E4" w:rsidR="00425D28" w:rsidRPr="000C74DB" w:rsidRDefault="004E774B" w:rsidP="000C74DB">
      <w:pPr>
        <w:widowControl/>
        <w:ind w:firstLine="720"/>
        <w:rPr>
          <w:rFonts w:ascii="Times New Roman" w:hAnsi="Times New Roman"/>
          <w:color w:val="000000" w:themeColor="text1"/>
          <w:szCs w:val="22"/>
        </w:rPr>
      </w:pPr>
      <w:r w:rsidRPr="000C74DB">
        <w:rPr>
          <w:rFonts w:ascii="Times New Roman" w:hAnsi="Times New Roman"/>
          <w:color w:val="000000" w:themeColor="text1"/>
        </w:rPr>
        <w:t>Que</w:t>
      </w:r>
      <w:r w:rsidR="00F70490" w:rsidRPr="000C74DB">
        <w:rPr>
          <w:rFonts w:ascii="Times New Roman" w:hAnsi="Times New Roman"/>
          <w:color w:val="000000" w:themeColor="text1"/>
        </w:rPr>
        <w:t>,</w:t>
      </w:r>
      <w:r w:rsidRPr="000C74DB">
        <w:rPr>
          <w:rFonts w:ascii="Times New Roman" w:hAnsi="Times New Roman"/>
          <w:color w:val="000000" w:themeColor="text1"/>
        </w:rPr>
        <w:t xml:space="preserve"> el </w:t>
      </w:r>
      <w:r w:rsidR="00425D28" w:rsidRPr="000C74DB">
        <w:rPr>
          <w:rFonts w:ascii="Times New Roman" w:hAnsi="Times New Roman"/>
          <w:color w:val="000000" w:themeColor="text1"/>
        </w:rPr>
        <w:t>28</w:t>
      </w:r>
      <w:r w:rsidRPr="000C74DB">
        <w:rPr>
          <w:rFonts w:ascii="Times New Roman" w:hAnsi="Times New Roman"/>
          <w:color w:val="000000" w:themeColor="text1"/>
        </w:rPr>
        <w:t xml:space="preserve"> de febrero de</w:t>
      </w:r>
      <w:r w:rsidR="00425D28" w:rsidRPr="000C74DB">
        <w:rPr>
          <w:rFonts w:ascii="Times New Roman" w:hAnsi="Times New Roman"/>
          <w:color w:val="000000" w:themeColor="text1"/>
        </w:rPr>
        <w:t xml:space="preserve"> 2022, </w:t>
      </w:r>
      <w:r w:rsidR="00F70490" w:rsidRPr="000C74DB">
        <w:rPr>
          <w:rFonts w:ascii="Times New Roman" w:hAnsi="Times New Roman"/>
          <w:color w:val="000000" w:themeColor="text1"/>
        </w:rPr>
        <w:t xml:space="preserve">la Secretaría </w:t>
      </w:r>
      <w:r w:rsidR="00425D28" w:rsidRPr="000C74DB">
        <w:rPr>
          <w:rFonts w:ascii="Times New Roman" w:hAnsi="Times New Roman"/>
          <w:color w:val="000000" w:themeColor="text1"/>
        </w:rPr>
        <w:t>General</w:t>
      </w:r>
      <w:r w:rsidR="00F70490" w:rsidRPr="000C74DB">
        <w:rPr>
          <w:rFonts w:ascii="Times New Roman" w:hAnsi="Times New Roman"/>
          <w:color w:val="000000" w:themeColor="text1"/>
        </w:rPr>
        <w:t xml:space="preserve">, por medio de la </w:t>
      </w:r>
      <w:r w:rsidR="00425D28" w:rsidRPr="000C74DB">
        <w:rPr>
          <w:rFonts w:ascii="Times New Roman" w:hAnsi="Times New Roman"/>
          <w:color w:val="000000" w:themeColor="text1"/>
        </w:rPr>
        <w:t>Secretar</w:t>
      </w:r>
      <w:r w:rsidR="00F70490" w:rsidRPr="000C74DB">
        <w:rPr>
          <w:rFonts w:ascii="Times New Roman" w:hAnsi="Times New Roman"/>
          <w:color w:val="000000" w:themeColor="text1"/>
        </w:rPr>
        <w:t xml:space="preserve">ía de Administración y Finanzas </w:t>
      </w:r>
      <w:r w:rsidR="00425D28" w:rsidRPr="000C74DB">
        <w:rPr>
          <w:rFonts w:ascii="Times New Roman" w:hAnsi="Times New Roman"/>
          <w:color w:val="000000" w:themeColor="text1"/>
        </w:rPr>
        <w:t>(SAF),</w:t>
      </w:r>
      <w:r w:rsidR="00E75AD2" w:rsidRPr="000C74DB">
        <w:rPr>
          <w:rFonts w:ascii="Times New Roman" w:hAnsi="Times New Roman"/>
          <w:color w:val="000000" w:themeColor="text1"/>
        </w:rPr>
        <w:t xml:space="preserve"> </w:t>
      </w:r>
      <w:r w:rsidR="00F70490" w:rsidRPr="000C74DB">
        <w:rPr>
          <w:rFonts w:ascii="Times New Roman" w:hAnsi="Times New Roman"/>
          <w:color w:val="000000" w:themeColor="text1"/>
        </w:rPr>
        <w:t>presentó a la</w:t>
      </w:r>
      <w:r w:rsidR="00923A9E" w:rsidRPr="000C74DB">
        <w:rPr>
          <w:rFonts w:ascii="Times New Roman" w:hAnsi="Times New Roman"/>
          <w:color w:val="000000" w:themeColor="text1"/>
          <w:szCs w:val="22"/>
        </w:rPr>
        <w:t xml:space="preserve"> CAAP </w:t>
      </w:r>
      <w:r w:rsidR="00F70490" w:rsidRPr="000C74DB">
        <w:rPr>
          <w:rFonts w:ascii="Times New Roman" w:hAnsi="Times New Roman"/>
          <w:color w:val="000000" w:themeColor="text1"/>
          <w:szCs w:val="22"/>
        </w:rPr>
        <w:t xml:space="preserve">un informe de </w:t>
      </w:r>
      <w:r w:rsidR="00142F4C" w:rsidRPr="000C74DB">
        <w:rPr>
          <w:rFonts w:ascii="Times New Roman" w:hAnsi="Times New Roman"/>
          <w:color w:val="000000" w:themeColor="text1"/>
          <w:szCs w:val="22"/>
        </w:rPr>
        <w:t xml:space="preserve">actualización </w:t>
      </w:r>
      <w:r w:rsidR="00F70490" w:rsidRPr="000C74DB">
        <w:rPr>
          <w:rFonts w:ascii="Times New Roman" w:hAnsi="Times New Roman"/>
          <w:color w:val="000000" w:themeColor="text1"/>
          <w:szCs w:val="22"/>
        </w:rPr>
        <w:t xml:space="preserve">mensual </w:t>
      </w:r>
      <w:r w:rsidR="0039299C" w:rsidRPr="000C74DB">
        <w:rPr>
          <w:rFonts w:ascii="Times New Roman" w:hAnsi="Times New Roman"/>
          <w:color w:val="000000" w:themeColor="text1"/>
          <w:szCs w:val="22"/>
        </w:rPr>
        <w:t>(</w:t>
      </w:r>
      <w:r w:rsidR="00587AB5" w:rsidRPr="000C74DB">
        <w:rPr>
          <w:rFonts w:ascii="Times New Roman" w:hAnsi="Times New Roman"/>
          <w:color w:val="000000" w:themeColor="text1"/>
          <w:szCs w:val="22"/>
        </w:rPr>
        <w:t xml:space="preserve">documento </w:t>
      </w:r>
      <w:hyperlink r:id="rId10" w:history="1">
        <w:r w:rsidR="00587AB5" w:rsidRPr="000C74DB">
          <w:rPr>
            <w:rStyle w:val="Hyperlink"/>
            <w:rFonts w:ascii="Times New Roman" w:hAnsi="Times New Roman"/>
            <w:szCs w:val="22"/>
          </w:rPr>
          <w:t>CP/CAAP-3811/22</w:t>
        </w:r>
      </w:hyperlink>
      <w:r w:rsidR="0444176E" w:rsidRPr="000C74DB">
        <w:rPr>
          <w:rFonts w:ascii="Times New Roman" w:hAnsi="Times New Roman"/>
          <w:color w:val="000000" w:themeColor="text1"/>
          <w:szCs w:val="22"/>
        </w:rPr>
        <w:t xml:space="preserve">) </w:t>
      </w:r>
      <w:r w:rsidR="00071D2F" w:rsidRPr="000C74DB">
        <w:rPr>
          <w:rFonts w:ascii="Times New Roman" w:hAnsi="Times New Roman"/>
          <w:color w:val="000000" w:themeColor="text1"/>
          <w:szCs w:val="22"/>
        </w:rPr>
        <w:t xml:space="preserve">sobre el </w:t>
      </w:r>
      <w:r w:rsidR="00F70490" w:rsidRPr="000C74DB">
        <w:rPr>
          <w:rFonts w:ascii="Times New Roman" w:hAnsi="Times New Roman"/>
          <w:color w:val="000000" w:themeColor="text1"/>
          <w:szCs w:val="22"/>
        </w:rPr>
        <w:t xml:space="preserve">Programa de Modernización </w:t>
      </w:r>
      <w:r w:rsidR="00142F4C" w:rsidRPr="000C74DB">
        <w:rPr>
          <w:rFonts w:ascii="Times New Roman" w:hAnsi="Times New Roman"/>
          <w:color w:val="000000" w:themeColor="text1"/>
          <w:szCs w:val="22"/>
        </w:rPr>
        <w:t xml:space="preserve">de la Plataforma </w:t>
      </w:r>
      <w:r w:rsidR="00605FF9" w:rsidRPr="000C74DB">
        <w:rPr>
          <w:rFonts w:ascii="Times New Roman" w:hAnsi="Times New Roman"/>
          <w:color w:val="000000" w:themeColor="text1"/>
          <w:szCs w:val="22"/>
        </w:rPr>
        <w:t xml:space="preserve">de Gestión </w:t>
      </w:r>
      <w:r w:rsidR="00CF057B" w:rsidRPr="000C74DB">
        <w:rPr>
          <w:rFonts w:ascii="Times New Roman" w:hAnsi="Times New Roman"/>
          <w:color w:val="000000" w:themeColor="text1"/>
          <w:szCs w:val="22"/>
        </w:rPr>
        <w:t xml:space="preserve">OASCORE </w:t>
      </w:r>
      <w:r w:rsidR="00A418C1" w:rsidRPr="000C74DB">
        <w:rPr>
          <w:rFonts w:ascii="Times New Roman" w:hAnsi="Times New Roman"/>
          <w:color w:val="000000" w:themeColor="text1"/>
          <w:szCs w:val="22"/>
        </w:rPr>
        <w:t>(</w:t>
      </w:r>
      <w:r w:rsidR="00142F4C" w:rsidRPr="000C74DB">
        <w:rPr>
          <w:rFonts w:ascii="Times New Roman" w:hAnsi="Times New Roman"/>
          <w:color w:val="000000" w:themeColor="text1"/>
          <w:szCs w:val="22"/>
        </w:rPr>
        <w:t xml:space="preserve">antes conocido como </w:t>
      </w:r>
      <w:r w:rsidR="00A418C1" w:rsidRPr="000C74DB">
        <w:rPr>
          <w:rFonts w:ascii="Times New Roman" w:hAnsi="Times New Roman"/>
          <w:color w:val="000000" w:themeColor="text1"/>
          <w:szCs w:val="22"/>
        </w:rPr>
        <w:t>“</w:t>
      </w:r>
      <w:r w:rsidR="00F70490" w:rsidRPr="000C74DB">
        <w:rPr>
          <w:rFonts w:ascii="Times New Roman" w:hAnsi="Times New Roman"/>
          <w:color w:val="000000" w:themeColor="text1"/>
          <w:szCs w:val="22"/>
          <w:lang w:val="es"/>
        </w:rPr>
        <w:t>Proyecto de Tecnología ERP</w:t>
      </w:r>
      <w:r w:rsidR="00901F97" w:rsidRPr="000C74DB">
        <w:rPr>
          <w:rFonts w:ascii="Times New Roman" w:hAnsi="Times New Roman"/>
          <w:color w:val="000000" w:themeColor="text1"/>
          <w:szCs w:val="22"/>
        </w:rPr>
        <w:t>”);</w:t>
      </w:r>
      <w:r w:rsidR="009F4D89" w:rsidRPr="000C74DB">
        <w:rPr>
          <w:rFonts w:ascii="Times New Roman" w:hAnsi="Times New Roman"/>
          <w:color w:val="000000" w:themeColor="text1"/>
          <w:szCs w:val="22"/>
        </w:rPr>
        <w:t xml:space="preserve"> </w:t>
      </w:r>
    </w:p>
    <w:p w14:paraId="3DF12021" w14:textId="2546B226" w:rsidR="0444176E" w:rsidRPr="000C74DB" w:rsidRDefault="0444176E" w:rsidP="000C74DB">
      <w:pPr>
        <w:widowControl/>
        <w:rPr>
          <w:rFonts w:ascii="Times New Roman" w:hAnsi="Times New Roman"/>
          <w:color w:val="000000" w:themeColor="text1"/>
          <w:szCs w:val="22"/>
        </w:rPr>
      </w:pPr>
    </w:p>
    <w:p w14:paraId="76C9B7A1" w14:textId="3A82EE7B" w:rsidR="00DC386C" w:rsidRPr="000C74DB" w:rsidRDefault="00142F4C" w:rsidP="000C74DB">
      <w:pPr>
        <w:widowControl/>
        <w:ind w:firstLine="720"/>
        <w:rPr>
          <w:rFonts w:ascii="Times New Roman" w:hAnsi="Times New Roman"/>
          <w:color w:val="000000" w:themeColor="text1"/>
        </w:rPr>
      </w:pPr>
      <w:r w:rsidRPr="000C74DB">
        <w:rPr>
          <w:rFonts w:ascii="Times New Roman" w:hAnsi="Times New Roman"/>
          <w:color w:val="000000" w:themeColor="text1"/>
        </w:rPr>
        <w:t xml:space="preserve">Que, en </w:t>
      </w:r>
      <w:r w:rsidR="00605FF9" w:rsidRPr="000C74DB">
        <w:rPr>
          <w:rFonts w:ascii="Times New Roman" w:hAnsi="Times New Roman"/>
          <w:color w:val="000000" w:themeColor="text1"/>
        </w:rPr>
        <w:t>dicho informe</w:t>
      </w:r>
      <w:r w:rsidR="00587AB5" w:rsidRPr="000C74DB">
        <w:rPr>
          <w:rFonts w:ascii="Times New Roman" w:hAnsi="Times New Roman"/>
          <w:color w:val="000000" w:themeColor="text1"/>
        </w:rPr>
        <w:t xml:space="preserve"> </w:t>
      </w:r>
      <w:hyperlink r:id="rId11" w:history="1">
        <w:r w:rsidR="00587AB5" w:rsidRPr="000C74DB">
          <w:rPr>
            <w:rStyle w:val="Hyperlink"/>
            <w:rFonts w:ascii="Times New Roman" w:hAnsi="Times New Roman"/>
            <w:szCs w:val="22"/>
          </w:rPr>
          <w:t>CP/CAAP-3811/22</w:t>
        </w:r>
      </w:hyperlink>
      <w:r w:rsidR="00B977AC" w:rsidRPr="000C74DB">
        <w:rPr>
          <w:rFonts w:ascii="Times New Roman" w:hAnsi="Times New Roman"/>
          <w:color w:val="000000" w:themeColor="text1"/>
        </w:rPr>
        <w:t>,</w:t>
      </w:r>
      <w:r w:rsidR="00D2271C" w:rsidRPr="000C74DB">
        <w:rPr>
          <w:rFonts w:ascii="Times New Roman" w:hAnsi="Times New Roman"/>
          <w:color w:val="000000" w:themeColor="text1"/>
        </w:rPr>
        <w:t xml:space="preserve"> </w:t>
      </w:r>
      <w:r w:rsidRPr="000C74DB">
        <w:rPr>
          <w:rFonts w:ascii="Times New Roman" w:hAnsi="Times New Roman"/>
          <w:color w:val="000000" w:themeColor="text1"/>
        </w:rPr>
        <w:t>la Secretaría de Administración y Finanzas</w:t>
      </w:r>
      <w:r w:rsidR="00F50DB1" w:rsidRPr="000C74DB">
        <w:rPr>
          <w:rFonts w:ascii="Times New Roman" w:hAnsi="Times New Roman"/>
          <w:color w:val="000000" w:themeColor="text1"/>
        </w:rPr>
        <w:t xml:space="preserve"> </w:t>
      </w:r>
      <w:r w:rsidRPr="000C74DB">
        <w:rPr>
          <w:rFonts w:ascii="Times New Roman" w:hAnsi="Times New Roman"/>
          <w:color w:val="000000" w:themeColor="text1"/>
        </w:rPr>
        <w:t>señaló los obstáculos encontrados durante la ejecución del programa con el contratista de integración de sistemas seleccionado por concurso</w:t>
      </w:r>
      <w:r w:rsidR="00605FF9" w:rsidRPr="000C74DB">
        <w:rPr>
          <w:rFonts w:ascii="Times New Roman" w:hAnsi="Times New Roman"/>
          <w:color w:val="000000" w:themeColor="text1"/>
        </w:rPr>
        <w:t>;</w:t>
      </w:r>
      <w:r w:rsidRPr="000C74DB">
        <w:rPr>
          <w:rFonts w:ascii="Times New Roman" w:hAnsi="Times New Roman"/>
          <w:color w:val="000000" w:themeColor="text1"/>
        </w:rPr>
        <w:t xml:space="preserve"> </w:t>
      </w:r>
      <w:r w:rsidR="00605FF9" w:rsidRPr="000C74DB">
        <w:rPr>
          <w:rFonts w:ascii="Times New Roman" w:hAnsi="Times New Roman"/>
          <w:color w:val="000000" w:themeColor="text1"/>
        </w:rPr>
        <w:t>explicó</w:t>
      </w:r>
      <w:r w:rsidRPr="000C74DB">
        <w:rPr>
          <w:rFonts w:ascii="Times New Roman" w:hAnsi="Times New Roman"/>
          <w:color w:val="000000" w:themeColor="text1"/>
        </w:rPr>
        <w:t xml:space="preserve"> a los Estados Miembros que el Programa </w:t>
      </w:r>
      <w:r w:rsidR="00E07A82" w:rsidRPr="000C74DB">
        <w:rPr>
          <w:rFonts w:ascii="Times New Roman" w:hAnsi="Times New Roman"/>
          <w:color w:val="000000" w:themeColor="text1"/>
        </w:rPr>
        <w:t>OASCORE</w:t>
      </w:r>
      <w:r w:rsidRPr="000C74DB">
        <w:rPr>
          <w:rFonts w:ascii="Times New Roman" w:hAnsi="Times New Roman"/>
          <w:color w:val="000000" w:themeColor="text1"/>
        </w:rPr>
        <w:t>,</w:t>
      </w:r>
      <w:r w:rsidR="00E07A82" w:rsidRPr="000C74DB">
        <w:rPr>
          <w:rFonts w:ascii="Times New Roman" w:hAnsi="Times New Roman"/>
          <w:color w:val="000000" w:themeColor="text1"/>
        </w:rPr>
        <w:t xml:space="preserve"> </w:t>
      </w:r>
      <w:r w:rsidRPr="000C74DB">
        <w:rPr>
          <w:rFonts w:ascii="Times New Roman" w:hAnsi="Times New Roman"/>
          <w:color w:val="000000" w:themeColor="text1"/>
        </w:rPr>
        <w:t xml:space="preserve">tal como había sido definido y programado, no comenzaría a funcionar en la fecha prevista de julio de </w:t>
      </w:r>
      <w:r w:rsidR="00414619" w:rsidRPr="000C74DB">
        <w:rPr>
          <w:rFonts w:ascii="Times New Roman" w:hAnsi="Times New Roman"/>
          <w:color w:val="000000" w:themeColor="text1"/>
        </w:rPr>
        <w:t>2022</w:t>
      </w:r>
      <w:r w:rsidRPr="000C74DB">
        <w:rPr>
          <w:rFonts w:ascii="Times New Roman" w:hAnsi="Times New Roman"/>
          <w:color w:val="000000" w:themeColor="text1"/>
        </w:rPr>
        <w:t>, y solicitó un plazo de tres meses para redefinir el enfoque de la implementación a fin de separar los componentes del programa y, de esa forma</w:t>
      </w:r>
      <w:r w:rsidR="00605FF9" w:rsidRPr="000C74DB">
        <w:rPr>
          <w:rFonts w:ascii="Times New Roman" w:hAnsi="Times New Roman"/>
          <w:color w:val="000000" w:themeColor="text1"/>
        </w:rPr>
        <w:t>,</w:t>
      </w:r>
      <w:r w:rsidRPr="000C74DB">
        <w:rPr>
          <w:rFonts w:ascii="Times New Roman" w:hAnsi="Times New Roman"/>
          <w:color w:val="000000" w:themeColor="text1"/>
        </w:rPr>
        <w:t xml:space="preserve"> concluirlo dentro de un nuevo plazo</w:t>
      </w:r>
      <w:r w:rsidR="000B5538" w:rsidRPr="000C74DB">
        <w:rPr>
          <w:rFonts w:ascii="Times New Roman" w:hAnsi="Times New Roman"/>
          <w:color w:val="000000" w:themeColor="text1"/>
        </w:rPr>
        <w:t>; </w:t>
      </w:r>
    </w:p>
    <w:p w14:paraId="71B53E15" w14:textId="77777777" w:rsidR="00144BC8" w:rsidRPr="000C74DB" w:rsidRDefault="00144BC8" w:rsidP="000C74DB">
      <w:pPr>
        <w:widowControl/>
        <w:rPr>
          <w:rFonts w:ascii="Times New Roman" w:hAnsi="Times New Roman"/>
          <w:color w:val="000000"/>
          <w:szCs w:val="22"/>
        </w:rPr>
      </w:pPr>
    </w:p>
    <w:p w14:paraId="71B53E1A" w14:textId="713B9A7B" w:rsidR="00144BC8" w:rsidRPr="000C74DB" w:rsidRDefault="00142F4C" w:rsidP="000C74DB">
      <w:pPr>
        <w:widowControl/>
        <w:ind w:firstLine="720"/>
        <w:rPr>
          <w:rFonts w:ascii="Times New Roman" w:hAnsi="Times New Roman"/>
          <w:color w:val="000000"/>
          <w:szCs w:val="22"/>
        </w:rPr>
      </w:pPr>
      <w:r w:rsidRPr="000C74DB">
        <w:rPr>
          <w:rFonts w:ascii="Times New Roman" w:hAnsi="Times New Roman"/>
          <w:color w:val="000000"/>
          <w:szCs w:val="22"/>
        </w:rPr>
        <w:t>Que los recursos del SRRCI asignados al</w:t>
      </w:r>
      <w:r w:rsidR="003D1F52" w:rsidRPr="000C74DB">
        <w:rPr>
          <w:rFonts w:ascii="Times New Roman" w:hAnsi="Times New Roman"/>
          <w:color w:val="000000"/>
          <w:szCs w:val="22"/>
        </w:rPr>
        <w:t xml:space="preserve"> </w:t>
      </w:r>
      <w:r w:rsidRPr="000C74DB">
        <w:rPr>
          <w:rFonts w:ascii="Times New Roman" w:hAnsi="Times New Roman"/>
          <w:color w:val="000000"/>
          <w:szCs w:val="22"/>
          <w:lang w:val="es"/>
        </w:rPr>
        <w:t>Proyecto de Tecnología</w:t>
      </w:r>
      <w:r w:rsidR="00255CDC" w:rsidRPr="000C74DB">
        <w:rPr>
          <w:rFonts w:ascii="Times New Roman" w:hAnsi="Times New Roman"/>
          <w:color w:val="000000"/>
          <w:szCs w:val="22"/>
        </w:rPr>
        <w:t xml:space="preserve"> </w:t>
      </w:r>
      <w:r w:rsidR="00071D2F" w:rsidRPr="000C74DB">
        <w:rPr>
          <w:rFonts w:ascii="Times New Roman" w:hAnsi="Times New Roman"/>
          <w:color w:val="000000"/>
          <w:szCs w:val="22"/>
        </w:rPr>
        <w:t xml:space="preserve">en el Fondo de Tecnología de conformidad con las resoluciones </w:t>
      </w:r>
      <w:r w:rsidR="006B2A43" w:rsidRPr="000C74DB">
        <w:rPr>
          <w:rFonts w:ascii="Times New Roman" w:hAnsi="Times New Roman"/>
          <w:color w:val="000000"/>
          <w:szCs w:val="22"/>
        </w:rPr>
        <w:t xml:space="preserve">CP/RES. 1100 (2160/18) </w:t>
      </w:r>
      <w:r w:rsidR="00071D2F" w:rsidRPr="000C74DB">
        <w:rPr>
          <w:rFonts w:ascii="Times New Roman" w:hAnsi="Times New Roman"/>
          <w:color w:val="000000"/>
          <w:szCs w:val="22"/>
        </w:rPr>
        <w:t>y</w:t>
      </w:r>
      <w:r w:rsidR="006B2A43" w:rsidRPr="000C74DB">
        <w:rPr>
          <w:rFonts w:ascii="Times New Roman" w:hAnsi="Times New Roman"/>
          <w:color w:val="000000"/>
          <w:szCs w:val="22"/>
        </w:rPr>
        <w:t xml:space="preserve"> CP/RES. 1155 (2290/20) </w:t>
      </w:r>
      <w:r w:rsidR="00071D2F" w:rsidRPr="000C74DB">
        <w:rPr>
          <w:rFonts w:ascii="Times New Roman" w:hAnsi="Times New Roman"/>
          <w:color w:val="000000"/>
          <w:szCs w:val="22"/>
        </w:rPr>
        <w:t xml:space="preserve">son suficientes por el momento para llevar a cabo el Programa </w:t>
      </w:r>
      <w:r w:rsidR="00C95FFA" w:rsidRPr="000C74DB">
        <w:rPr>
          <w:rFonts w:ascii="Times New Roman" w:hAnsi="Times New Roman"/>
          <w:color w:val="000000"/>
          <w:szCs w:val="22"/>
        </w:rPr>
        <w:t xml:space="preserve">OASCORE </w:t>
      </w:r>
      <w:r w:rsidR="00071D2F" w:rsidRPr="000C74DB">
        <w:rPr>
          <w:rFonts w:ascii="Times New Roman" w:hAnsi="Times New Roman"/>
          <w:color w:val="000000"/>
          <w:szCs w:val="22"/>
        </w:rPr>
        <w:t xml:space="preserve">tal como ha sido propuesto por la </w:t>
      </w:r>
      <w:r w:rsidR="00071D2F" w:rsidRPr="000C74DB">
        <w:rPr>
          <w:rFonts w:ascii="Times New Roman" w:hAnsi="Times New Roman"/>
          <w:color w:val="000000" w:themeColor="text1"/>
        </w:rPr>
        <w:t>Secretaría de Administración y Finanzas</w:t>
      </w:r>
      <w:r w:rsidR="00C95FFA" w:rsidRPr="000C74DB">
        <w:rPr>
          <w:rFonts w:ascii="Times New Roman" w:hAnsi="Times New Roman"/>
          <w:color w:val="000000"/>
          <w:szCs w:val="22"/>
        </w:rPr>
        <w:t xml:space="preserve"> (document</w:t>
      </w:r>
      <w:r w:rsidR="00071D2F" w:rsidRPr="000C74DB">
        <w:rPr>
          <w:rFonts w:ascii="Times New Roman" w:hAnsi="Times New Roman"/>
          <w:color w:val="000000"/>
          <w:szCs w:val="22"/>
        </w:rPr>
        <w:t>o</w:t>
      </w:r>
      <w:r w:rsidR="00C95FFA" w:rsidRPr="000C74DB">
        <w:rPr>
          <w:rFonts w:ascii="Times New Roman" w:hAnsi="Times New Roman"/>
          <w:color w:val="000000"/>
          <w:szCs w:val="22"/>
        </w:rPr>
        <w:t xml:space="preserve"> </w:t>
      </w:r>
      <w:hyperlink r:id="rId12" w:history="1">
        <w:r w:rsidR="00587AB5" w:rsidRPr="000C74DB">
          <w:rPr>
            <w:rStyle w:val="Hyperlink"/>
            <w:rFonts w:ascii="Times New Roman" w:hAnsi="Times New Roman"/>
          </w:rPr>
          <w:t>CP/CAAP-3663/20</w:t>
        </w:r>
      </w:hyperlink>
      <w:r w:rsidR="00C95FFA" w:rsidRPr="000C74DB">
        <w:rPr>
          <w:rFonts w:ascii="Times New Roman" w:hAnsi="Times New Roman"/>
          <w:color w:val="000000"/>
          <w:szCs w:val="22"/>
        </w:rPr>
        <w:t>)</w:t>
      </w:r>
      <w:r w:rsidR="00144BC8" w:rsidRPr="000C74DB">
        <w:rPr>
          <w:rFonts w:ascii="Times New Roman" w:hAnsi="Times New Roman"/>
          <w:color w:val="000000"/>
          <w:szCs w:val="22"/>
        </w:rPr>
        <w:t xml:space="preserve">; </w:t>
      </w:r>
      <w:r w:rsidR="00071D2F" w:rsidRPr="000C74DB">
        <w:rPr>
          <w:rFonts w:ascii="Times New Roman" w:hAnsi="Times New Roman"/>
          <w:color w:val="000000"/>
          <w:szCs w:val="22"/>
        </w:rPr>
        <w:t>y</w:t>
      </w:r>
    </w:p>
    <w:p w14:paraId="71B53E1C" w14:textId="6C1BBF5E" w:rsidR="00144BC8" w:rsidRPr="000C74DB" w:rsidRDefault="00071D2F" w:rsidP="000C74DB">
      <w:pPr>
        <w:widowControl/>
        <w:ind w:firstLine="720"/>
        <w:rPr>
          <w:rFonts w:ascii="Times New Roman" w:hAnsi="Times New Roman"/>
          <w:color w:val="000000"/>
          <w:szCs w:val="22"/>
        </w:rPr>
      </w:pPr>
      <w:r w:rsidRPr="000C74DB">
        <w:rPr>
          <w:rFonts w:ascii="Times New Roman" w:hAnsi="Times New Roman"/>
          <w:color w:val="000000"/>
          <w:szCs w:val="22"/>
        </w:rPr>
        <w:lastRenderedPageBreak/>
        <w:t xml:space="preserve">Que, de acuerdo con el artículo </w:t>
      </w:r>
      <w:r w:rsidR="00144BC8" w:rsidRPr="000C74DB">
        <w:rPr>
          <w:rFonts w:ascii="Times New Roman" w:hAnsi="Times New Roman"/>
          <w:color w:val="000000"/>
          <w:szCs w:val="22"/>
        </w:rPr>
        <w:t>91</w:t>
      </w:r>
      <w:r w:rsidRPr="000C74DB">
        <w:rPr>
          <w:rFonts w:ascii="Times New Roman" w:hAnsi="Times New Roman"/>
          <w:color w:val="000000"/>
          <w:szCs w:val="22"/>
        </w:rPr>
        <w:t>.</w:t>
      </w:r>
      <w:r w:rsidR="00144BC8" w:rsidRPr="000C74DB">
        <w:rPr>
          <w:rFonts w:ascii="Times New Roman" w:hAnsi="Times New Roman"/>
          <w:color w:val="000000"/>
          <w:szCs w:val="22"/>
        </w:rPr>
        <w:t xml:space="preserve">b </w:t>
      </w:r>
      <w:r w:rsidRPr="000C74DB">
        <w:rPr>
          <w:rFonts w:ascii="Times New Roman" w:hAnsi="Times New Roman"/>
          <w:color w:val="000000"/>
          <w:szCs w:val="22"/>
        </w:rPr>
        <w:t>de la Carta de la OEA</w:t>
      </w:r>
      <w:r w:rsidR="00144BC8" w:rsidRPr="000C74DB">
        <w:rPr>
          <w:rFonts w:ascii="Times New Roman" w:hAnsi="Times New Roman"/>
          <w:color w:val="000000"/>
          <w:szCs w:val="22"/>
        </w:rPr>
        <w:t xml:space="preserve">, </w:t>
      </w:r>
      <w:r w:rsidRPr="000C74DB">
        <w:rPr>
          <w:rFonts w:ascii="Times New Roman" w:hAnsi="Times New Roman"/>
          <w:color w:val="000000"/>
          <w:szCs w:val="22"/>
        </w:rPr>
        <w:t>corresponde al Consejo</w:t>
      </w:r>
      <w:r w:rsidR="00144BC8" w:rsidRPr="000C74DB">
        <w:rPr>
          <w:rFonts w:ascii="Times New Roman" w:hAnsi="Times New Roman"/>
          <w:color w:val="000000"/>
          <w:szCs w:val="22"/>
        </w:rPr>
        <w:t xml:space="preserve"> Permanent</w:t>
      </w:r>
      <w:r w:rsidRPr="000C74DB">
        <w:rPr>
          <w:rFonts w:ascii="Times New Roman" w:hAnsi="Times New Roman"/>
          <w:color w:val="000000"/>
          <w:szCs w:val="22"/>
        </w:rPr>
        <w:t>e</w:t>
      </w:r>
      <w:r w:rsidR="00144BC8" w:rsidRPr="000C74DB">
        <w:rPr>
          <w:rFonts w:ascii="Times New Roman" w:hAnsi="Times New Roman"/>
          <w:color w:val="000000"/>
          <w:szCs w:val="22"/>
        </w:rPr>
        <w:t xml:space="preserve"> </w:t>
      </w:r>
      <w:r w:rsidRPr="000C74DB">
        <w:rPr>
          <w:rFonts w:ascii="Times New Roman" w:hAnsi="Times New Roman"/>
          <w:color w:val="000000"/>
          <w:szCs w:val="22"/>
        </w:rPr>
        <w:t>“</w:t>
      </w:r>
      <w:r w:rsidRPr="000C74DB">
        <w:rPr>
          <w:rFonts w:ascii="Times New Roman" w:hAnsi="Times New Roman"/>
          <w:color w:val="000000"/>
          <w:szCs w:val="22"/>
          <w:lang w:val="es-AR"/>
        </w:rPr>
        <w:t>[v]</w:t>
      </w:r>
      <w:proofErr w:type="spellStart"/>
      <w:r w:rsidRPr="000C74DB">
        <w:rPr>
          <w:rFonts w:ascii="Times New Roman" w:hAnsi="Times New Roman"/>
          <w:color w:val="000000"/>
          <w:szCs w:val="22"/>
        </w:rPr>
        <w:t>elar</w:t>
      </w:r>
      <w:proofErr w:type="spellEnd"/>
      <w:r w:rsidRPr="000C74DB">
        <w:rPr>
          <w:rFonts w:ascii="Times New Roman" w:hAnsi="Times New Roman"/>
          <w:color w:val="000000"/>
          <w:szCs w:val="22"/>
        </w:rPr>
        <w:t xml:space="preserve"> por la observancia de las normas que regulan el funcionamiento de la Secretaría General y, cuando la Asamblea General no estuviere reunida, adoptar las disposiciones de índole reglamentaria que habiliten a la Secretaría General para cumplir sus funciones administrativas”,</w:t>
      </w:r>
    </w:p>
    <w:p w14:paraId="71B53E1D" w14:textId="77777777" w:rsidR="00144BC8" w:rsidRPr="000C74DB" w:rsidRDefault="00144BC8" w:rsidP="000C74DB">
      <w:pPr>
        <w:widowControl/>
        <w:rPr>
          <w:rFonts w:ascii="Times New Roman" w:hAnsi="Times New Roman"/>
          <w:color w:val="000000"/>
          <w:szCs w:val="22"/>
        </w:rPr>
      </w:pPr>
    </w:p>
    <w:p w14:paraId="71B53E1E" w14:textId="5F39C7F5" w:rsidR="00144BC8" w:rsidRPr="000C74DB" w:rsidRDefault="4FB4CCEA" w:rsidP="000C74DB">
      <w:pPr>
        <w:widowControl/>
        <w:rPr>
          <w:rFonts w:ascii="Times New Roman" w:hAnsi="Times New Roman"/>
          <w:color w:val="000000"/>
        </w:rPr>
      </w:pPr>
      <w:r w:rsidRPr="000C74DB">
        <w:rPr>
          <w:rFonts w:ascii="Times New Roman" w:hAnsi="Times New Roman"/>
          <w:color w:val="000000" w:themeColor="text1"/>
        </w:rPr>
        <w:t>RES</w:t>
      </w:r>
      <w:r w:rsidR="00071D2F" w:rsidRPr="000C74DB">
        <w:rPr>
          <w:rFonts w:ascii="Times New Roman" w:hAnsi="Times New Roman"/>
          <w:color w:val="000000" w:themeColor="text1"/>
        </w:rPr>
        <w:t>UELVE</w:t>
      </w:r>
      <w:r w:rsidRPr="000C74DB">
        <w:rPr>
          <w:rFonts w:ascii="Times New Roman" w:hAnsi="Times New Roman"/>
          <w:color w:val="000000" w:themeColor="text1"/>
        </w:rPr>
        <w:t>:</w:t>
      </w:r>
    </w:p>
    <w:p w14:paraId="71B53E1F" w14:textId="77777777" w:rsidR="00144BC8" w:rsidRPr="000C74DB" w:rsidRDefault="00144BC8" w:rsidP="000C74DB">
      <w:pPr>
        <w:widowControl/>
        <w:textAlignment w:val="baseline"/>
        <w:rPr>
          <w:rFonts w:ascii="Times New Roman" w:hAnsi="Times New Roman"/>
          <w:color w:val="000000"/>
          <w:szCs w:val="22"/>
        </w:rPr>
      </w:pPr>
    </w:p>
    <w:p w14:paraId="4F49985C" w14:textId="62E6A4EE" w:rsidR="00CE5A20" w:rsidRPr="000C74DB" w:rsidRDefault="00453653" w:rsidP="000C74DB">
      <w:pPr>
        <w:widowControl/>
        <w:rPr>
          <w:rFonts w:ascii="Times New Roman" w:hAnsi="Times New Roman"/>
        </w:rPr>
      </w:pPr>
      <w:r w:rsidRPr="000C74DB">
        <w:rPr>
          <w:rFonts w:ascii="Times New Roman" w:hAnsi="Times New Roman"/>
          <w:color w:val="242424"/>
        </w:rPr>
        <w:tab/>
      </w:r>
      <w:r w:rsidR="797AFC72" w:rsidRPr="000C74DB">
        <w:rPr>
          <w:rFonts w:ascii="Times New Roman" w:hAnsi="Times New Roman"/>
          <w:color w:val="242424"/>
        </w:rPr>
        <w:t>1.</w:t>
      </w:r>
      <w:r w:rsidRPr="000C74DB">
        <w:rPr>
          <w:rFonts w:ascii="Times New Roman" w:hAnsi="Times New Roman"/>
          <w:color w:val="242424"/>
        </w:rPr>
        <w:tab/>
      </w:r>
      <w:r w:rsidR="00071D2F" w:rsidRPr="000C74DB">
        <w:rPr>
          <w:rFonts w:ascii="Times New Roman" w:hAnsi="Times New Roman"/>
          <w:color w:val="242424"/>
        </w:rPr>
        <w:t>Autorizar a la Secretaría General</w:t>
      </w:r>
      <w:r w:rsidR="797AFC72" w:rsidRPr="000C74DB">
        <w:rPr>
          <w:rFonts w:ascii="Times New Roman" w:hAnsi="Times New Roman"/>
          <w:color w:val="242424"/>
        </w:rPr>
        <w:t xml:space="preserve"> </w:t>
      </w:r>
      <w:r w:rsidR="00D36B20" w:rsidRPr="000C74DB">
        <w:rPr>
          <w:rFonts w:ascii="Times New Roman" w:hAnsi="Times New Roman"/>
          <w:color w:val="242424"/>
        </w:rPr>
        <w:t xml:space="preserve">a separar los componentes del </w:t>
      </w:r>
      <w:r w:rsidR="00071D2F" w:rsidRPr="000C74DB">
        <w:rPr>
          <w:rFonts w:ascii="Times New Roman" w:hAnsi="Times New Roman"/>
          <w:color w:val="242424"/>
        </w:rPr>
        <w:t xml:space="preserve">Programa de Modernización de la Plataforma </w:t>
      </w:r>
      <w:r w:rsidR="009F4D89" w:rsidRPr="000C74DB">
        <w:rPr>
          <w:rFonts w:ascii="Times New Roman" w:hAnsi="Times New Roman"/>
          <w:color w:val="242424"/>
        </w:rPr>
        <w:t xml:space="preserve">de Gestión </w:t>
      </w:r>
      <w:r w:rsidR="00071D2F" w:rsidRPr="000C74DB">
        <w:rPr>
          <w:rFonts w:ascii="Times New Roman" w:hAnsi="Times New Roman"/>
          <w:color w:val="242424"/>
        </w:rPr>
        <w:t>OASCORE</w:t>
      </w:r>
      <w:r w:rsidR="797AFC72" w:rsidRPr="000C74DB">
        <w:rPr>
          <w:rFonts w:ascii="Times New Roman" w:hAnsi="Times New Roman"/>
          <w:color w:val="242424"/>
        </w:rPr>
        <w:t xml:space="preserve"> </w:t>
      </w:r>
      <w:r w:rsidR="00B35B9B" w:rsidRPr="000C74DB">
        <w:rPr>
          <w:rFonts w:ascii="Times New Roman" w:hAnsi="Times New Roman"/>
          <w:color w:val="242424"/>
        </w:rPr>
        <w:t xml:space="preserve">(Nómina, Finanzas básicas/ Adquisiciones/Activos fijos, Capital Humano y Portal de Autoservicio para Empleados) </w:t>
      </w:r>
      <w:r w:rsidR="00D36B20" w:rsidRPr="000C74DB">
        <w:rPr>
          <w:rFonts w:ascii="Times New Roman" w:hAnsi="Times New Roman"/>
          <w:color w:val="242424"/>
        </w:rPr>
        <w:t xml:space="preserve">y a </w:t>
      </w:r>
      <w:r w:rsidR="00501CAF" w:rsidRPr="000C74DB">
        <w:rPr>
          <w:rFonts w:ascii="Times New Roman" w:hAnsi="Times New Roman"/>
          <w:color w:val="242424"/>
        </w:rPr>
        <w:t>readquirir su ejecución por proveedores internos o externos de conformidad con las normas y los procedimientos de la</w:t>
      </w:r>
      <w:r w:rsidR="797AFC72" w:rsidRPr="000C74DB">
        <w:rPr>
          <w:rFonts w:ascii="Times New Roman" w:hAnsi="Times New Roman"/>
          <w:color w:val="242424"/>
        </w:rPr>
        <w:t xml:space="preserve"> </w:t>
      </w:r>
      <w:r w:rsidR="00071D2F" w:rsidRPr="000C74DB">
        <w:rPr>
          <w:rFonts w:ascii="Times New Roman" w:hAnsi="Times New Roman"/>
          <w:color w:val="242424"/>
        </w:rPr>
        <w:t>Secretaría General</w:t>
      </w:r>
      <w:r w:rsidR="00C1486B" w:rsidRPr="000C74DB">
        <w:rPr>
          <w:rFonts w:ascii="Times New Roman" w:hAnsi="Times New Roman"/>
          <w:color w:val="242424"/>
        </w:rPr>
        <w:t>.</w:t>
      </w:r>
    </w:p>
    <w:p w14:paraId="4A572694" w14:textId="77777777" w:rsidR="00CE5A20" w:rsidRPr="000C74DB" w:rsidRDefault="00CE5A20" w:rsidP="000C74DB">
      <w:pPr>
        <w:widowControl/>
        <w:rPr>
          <w:rFonts w:ascii="Times New Roman" w:hAnsi="Times New Roman"/>
        </w:rPr>
      </w:pPr>
    </w:p>
    <w:p w14:paraId="3DA52063" w14:textId="37395901" w:rsidR="00CE5A20" w:rsidRPr="000C74DB" w:rsidRDefault="00453653" w:rsidP="000C74DB">
      <w:pPr>
        <w:widowControl/>
        <w:rPr>
          <w:rFonts w:ascii="Times New Roman" w:hAnsi="Times New Roman"/>
        </w:rPr>
      </w:pPr>
      <w:r w:rsidRPr="000C74DB">
        <w:rPr>
          <w:rFonts w:ascii="Times New Roman" w:hAnsi="Times New Roman"/>
        </w:rPr>
        <w:tab/>
      </w:r>
      <w:r w:rsidR="797AFC72" w:rsidRPr="000C74DB">
        <w:rPr>
          <w:rFonts w:ascii="Times New Roman" w:hAnsi="Times New Roman"/>
        </w:rPr>
        <w:t>2</w:t>
      </w:r>
      <w:r w:rsidR="797AFC72" w:rsidRPr="000C74DB">
        <w:rPr>
          <w:rFonts w:ascii="Times New Roman" w:hAnsi="Times New Roman"/>
          <w:color w:val="242424"/>
        </w:rPr>
        <w:t>.</w:t>
      </w:r>
      <w:r w:rsidRPr="000C74DB">
        <w:rPr>
          <w:rFonts w:ascii="Times New Roman" w:hAnsi="Times New Roman"/>
          <w:color w:val="242424"/>
        </w:rPr>
        <w:tab/>
      </w:r>
      <w:r w:rsidR="00B044D7" w:rsidRPr="000C74DB">
        <w:rPr>
          <w:rFonts w:ascii="Times New Roman" w:hAnsi="Times New Roman"/>
          <w:color w:val="242424"/>
        </w:rPr>
        <w:t xml:space="preserve">Encomendar </w:t>
      </w:r>
      <w:r w:rsidR="00501CAF" w:rsidRPr="000C74DB">
        <w:rPr>
          <w:rFonts w:ascii="Times New Roman" w:hAnsi="Times New Roman"/>
          <w:color w:val="242424"/>
        </w:rPr>
        <w:t xml:space="preserve">a la </w:t>
      </w:r>
      <w:r w:rsidR="00071D2F" w:rsidRPr="000C74DB">
        <w:rPr>
          <w:rFonts w:ascii="Times New Roman" w:hAnsi="Times New Roman"/>
          <w:color w:val="242424"/>
        </w:rPr>
        <w:t>Secretaría General</w:t>
      </w:r>
      <w:r w:rsidR="797AFC72" w:rsidRPr="000C74DB">
        <w:rPr>
          <w:rFonts w:ascii="Times New Roman" w:hAnsi="Times New Roman"/>
          <w:color w:val="242424"/>
        </w:rPr>
        <w:t xml:space="preserve"> </w:t>
      </w:r>
      <w:r w:rsidR="00501CAF" w:rsidRPr="000C74DB">
        <w:rPr>
          <w:rFonts w:ascii="Times New Roman" w:hAnsi="Times New Roman"/>
          <w:color w:val="242424"/>
        </w:rPr>
        <w:t xml:space="preserve">que </w:t>
      </w:r>
      <w:r w:rsidR="797AFC72" w:rsidRPr="000C74DB">
        <w:rPr>
          <w:rFonts w:ascii="Times New Roman" w:hAnsi="Times New Roman"/>
          <w:color w:val="242424"/>
        </w:rPr>
        <w:t>present</w:t>
      </w:r>
      <w:r w:rsidR="00501CAF" w:rsidRPr="000C74DB">
        <w:rPr>
          <w:rFonts w:ascii="Times New Roman" w:hAnsi="Times New Roman"/>
          <w:color w:val="242424"/>
        </w:rPr>
        <w:t>e</w:t>
      </w:r>
      <w:r w:rsidR="797AFC72" w:rsidRPr="000C74DB">
        <w:rPr>
          <w:rFonts w:ascii="Times New Roman" w:hAnsi="Times New Roman"/>
          <w:color w:val="242424"/>
        </w:rPr>
        <w:t xml:space="preserve">, </w:t>
      </w:r>
      <w:r w:rsidR="00B101DB" w:rsidRPr="000C74DB">
        <w:rPr>
          <w:rFonts w:ascii="Times New Roman" w:hAnsi="Times New Roman"/>
          <w:color w:val="242424"/>
        </w:rPr>
        <w:t xml:space="preserve">a más tardar en </w:t>
      </w:r>
      <w:r w:rsidR="00501CAF" w:rsidRPr="000C74DB">
        <w:rPr>
          <w:rFonts w:ascii="Times New Roman" w:hAnsi="Times New Roman"/>
          <w:color w:val="242424"/>
        </w:rPr>
        <w:t>septiembre de</w:t>
      </w:r>
      <w:r w:rsidR="797AFC72" w:rsidRPr="000C74DB">
        <w:rPr>
          <w:rFonts w:ascii="Times New Roman" w:hAnsi="Times New Roman"/>
          <w:color w:val="242424"/>
        </w:rPr>
        <w:t xml:space="preserve"> 2022, </w:t>
      </w:r>
      <w:r w:rsidR="00501CAF" w:rsidRPr="000C74DB">
        <w:rPr>
          <w:rFonts w:ascii="Times New Roman" w:hAnsi="Times New Roman"/>
          <w:color w:val="242424"/>
        </w:rPr>
        <w:t>un plan de ejecución de alto nivel para cada componente del Programa</w:t>
      </w:r>
      <w:r w:rsidR="797AFC72" w:rsidRPr="000C74DB">
        <w:rPr>
          <w:rFonts w:ascii="Times New Roman" w:hAnsi="Times New Roman"/>
          <w:color w:val="242424"/>
        </w:rPr>
        <w:t xml:space="preserve"> OASCORE</w:t>
      </w:r>
      <w:r w:rsidR="00501CAF" w:rsidRPr="000C74DB">
        <w:rPr>
          <w:rFonts w:ascii="Times New Roman" w:hAnsi="Times New Roman"/>
          <w:color w:val="242424"/>
        </w:rPr>
        <w:t xml:space="preserve">, en el que se indique en </w:t>
      </w:r>
      <w:r w:rsidR="797AFC72" w:rsidRPr="000C74DB">
        <w:rPr>
          <w:rFonts w:ascii="Times New Roman" w:hAnsi="Times New Roman"/>
          <w:color w:val="242424"/>
        </w:rPr>
        <w:t>particular</w:t>
      </w:r>
      <w:r w:rsidR="00501CAF" w:rsidRPr="000C74DB">
        <w:rPr>
          <w:rFonts w:ascii="Times New Roman" w:hAnsi="Times New Roman"/>
          <w:color w:val="242424"/>
        </w:rPr>
        <w:t xml:space="preserve"> qué componentes se </w:t>
      </w:r>
      <w:r w:rsidR="00A670BD" w:rsidRPr="000C74DB">
        <w:rPr>
          <w:rFonts w:ascii="Times New Roman" w:hAnsi="Times New Roman"/>
          <w:color w:val="242424"/>
        </w:rPr>
        <w:t xml:space="preserve">adquirirán de proveedores internos y cuáles de proveedores externos, y que, en el segundo caso, se </w:t>
      </w:r>
      <w:r w:rsidR="00605FF9" w:rsidRPr="000C74DB">
        <w:rPr>
          <w:rFonts w:ascii="Times New Roman" w:hAnsi="Times New Roman"/>
          <w:color w:val="242424"/>
        </w:rPr>
        <w:t xml:space="preserve">especifique </w:t>
      </w:r>
      <w:r w:rsidR="00A670BD" w:rsidRPr="000C74DB">
        <w:rPr>
          <w:rFonts w:ascii="Times New Roman" w:hAnsi="Times New Roman"/>
          <w:color w:val="242424"/>
        </w:rPr>
        <w:t>el nombre de los proveedores externos y se presente un informe del proceso de selección</w:t>
      </w:r>
      <w:r w:rsidR="00C1486B" w:rsidRPr="000C74DB">
        <w:rPr>
          <w:rFonts w:ascii="Times New Roman" w:hAnsi="Times New Roman"/>
          <w:color w:val="242424"/>
        </w:rPr>
        <w:t>.</w:t>
      </w:r>
    </w:p>
    <w:p w14:paraId="295A769F" w14:textId="77777777" w:rsidR="00CE5A20" w:rsidRPr="000C74DB" w:rsidRDefault="00CE5A20" w:rsidP="000C74DB">
      <w:pPr>
        <w:widowControl/>
        <w:rPr>
          <w:rFonts w:ascii="Times New Roman" w:hAnsi="Times New Roman"/>
        </w:rPr>
      </w:pPr>
    </w:p>
    <w:p w14:paraId="627A3468" w14:textId="3649D5E1" w:rsidR="00CE5A20" w:rsidRPr="000C74DB" w:rsidRDefault="00453653" w:rsidP="000C74DB">
      <w:pPr>
        <w:widowControl/>
        <w:rPr>
          <w:rFonts w:ascii="Times New Roman" w:hAnsi="Times New Roman"/>
        </w:rPr>
      </w:pPr>
      <w:r w:rsidRPr="000C74DB">
        <w:rPr>
          <w:rFonts w:ascii="Times New Roman" w:hAnsi="Times New Roman"/>
        </w:rPr>
        <w:tab/>
      </w:r>
      <w:r w:rsidR="797AFC72" w:rsidRPr="000C74DB">
        <w:rPr>
          <w:rFonts w:ascii="Times New Roman" w:hAnsi="Times New Roman"/>
        </w:rPr>
        <w:t>3</w:t>
      </w:r>
      <w:r w:rsidR="797AFC72" w:rsidRPr="000C74DB">
        <w:rPr>
          <w:rFonts w:ascii="Times New Roman" w:hAnsi="Times New Roman"/>
          <w:color w:val="242424"/>
        </w:rPr>
        <w:t>.</w:t>
      </w:r>
      <w:r w:rsidRPr="000C74DB">
        <w:rPr>
          <w:rFonts w:ascii="Times New Roman" w:hAnsi="Times New Roman"/>
          <w:color w:val="242424"/>
        </w:rPr>
        <w:tab/>
      </w:r>
      <w:r w:rsidR="00A670BD" w:rsidRPr="000C74DB">
        <w:rPr>
          <w:rFonts w:ascii="Times New Roman" w:hAnsi="Times New Roman"/>
          <w:color w:val="242424"/>
        </w:rPr>
        <w:t xml:space="preserve">Autorizar una prórroga del uso de los recursos del </w:t>
      </w:r>
      <w:r w:rsidR="00071D2F" w:rsidRPr="000C74DB">
        <w:rPr>
          <w:rFonts w:ascii="Times New Roman" w:hAnsi="Times New Roman"/>
          <w:color w:val="242424"/>
        </w:rPr>
        <w:t>Fondo de Tecnología</w:t>
      </w:r>
      <w:r w:rsidR="797AFC72" w:rsidRPr="000C74DB">
        <w:rPr>
          <w:rFonts w:ascii="Times New Roman" w:hAnsi="Times New Roman"/>
          <w:color w:val="242424"/>
        </w:rPr>
        <w:t xml:space="preserve"> </w:t>
      </w:r>
      <w:r w:rsidR="00A670BD" w:rsidRPr="000C74DB">
        <w:rPr>
          <w:rFonts w:ascii="Times New Roman" w:hAnsi="Times New Roman"/>
          <w:color w:val="242424"/>
        </w:rPr>
        <w:t xml:space="preserve">hasta fines de septiembre de </w:t>
      </w:r>
      <w:r w:rsidR="797AFC72" w:rsidRPr="000C74DB">
        <w:rPr>
          <w:rFonts w:ascii="Times New Roman" w:hAnsi="Times New Roman"/>
          <w:color w:val="242424"/>
        </w:rPr>
        <w:t xml:space="preserve">2022, </w:t>
      </w:r>
      <w:r w:rsidR="00A670BD" w:rsidRPr="000C74DB">
        <w:rPr>
          <w:rFonts w:ascii="Times New Roman" w:hAnsi="Times New Roman"/>
          <w:color w:val="242424"/>
        </w:rPr>
        <w:t xml:space="preserve">después de lo cual la disponibilidad de ese Fondo se prorrogará hasta fines de diciembre de </w:t>
      </w:r>
      <w:r w:rsidR="797AFC72" w:rsidRPr="000C74DB">
        <w:rPr>
          <w:rFonts w:ascii="Times New Roman" w:hAnsi="Times New Roman"/>
          <w:color w:val="242424"/>
        </w:rPr>
        <w:t xml:space="preserve">2023 </w:t>
      </w:r>
      <w:r w:rsidR="00A670BD" w:rsidRPr="000C74DB">
        <w:rPr>
          <w:rFonts w:ascii="Times New Roman" w:hAnsi="Times New Roman"/>
          <w:color w:val="242424"/>
        </w:rPr>
        <w:t xml:space="preserve">para cubrir el costo de los componentes del programa cuyos planes de ejecución se hayan presentado en su totalidad a la </w:t>
      </w:r>
      <w:r w:rsidR="000C74DB">
        <w:rPr>
          <w:rFonts w:ascii="Times New Roman" w:hAnsi="Times New Roman"/>
          <w:color w:val="242424"/>
        </w:rPr>
        <w:t>Comisión de Asuntos Administrativos y Presupuestarios (CAAP)</w:t>
      </w:r>
      <w:r w:rsidR="797AFC72" w:rsidRPr="000C74DB">
        <w:rPr>
          <w:rFonts w:ascii="Times New Roman" w:hAnsi="Times New Roman"/>
          <w:color w:val="242424"/>
        </w:rPr>
        <w:t xml:space="preserve"> </w:t>
      </w:r>
      <w:r w:rsidR="00A670BD" w:rsidRPr="000C74DB">
        <w:rPr>
          <w:rFonts w:ascii="Times New Roman" w:hAnsi="Times New Roman"/>
          <w:color w:val="242424"/>
        </w:rPr>
        <w:t>antes de fines de septiembre de</w:t>
      </w:r>
      <w:r w:rsidR="797AFC72" w:rsidRPr="000C74DB">
        <w:rPr>
          <w:rFonts w:ascii="Times New Roman" w:hAnsi="Times New Roman"/>
          <w:color w:val="242424"/>
        </w:rPr>
        <w:t xml:space="preserve"> 2022</w:t>
      </w:r>
      <w:r w:rsidR="00C1486B" w:rsidRPr="000C74DB">
        <w:rPr>
          <w:rFonts w:ascii="Times New Roman" w:hAnsi="Times New Roman"/>
          <w:color w:val="242424"/>
        </w:rPr>
        <w:t>.</w:t>
      </w:r>
    </w:p>
    <w:p w14:paraId="4E9A2A8E" w14:textId="77777777" w:rsidR="00CE5A20" w:rsidRPr="000C74DB" w:rsidRDefault="00CE5A20" w:rsidP="000C74DB">
      <w:pPr>
        <w:widowControl/>
        <w:rPr>
          <w:rFonts w:ascii="Times New Roman" w:hAnsi="Times New Roman"/>
        </w:rPr>
      </w:pPr>
    </w:p>
    <w:p w14:paraId="06128F99" w14:textId="1FF6B241" w:rsidR="797AFC72" w:rsidRPr="000C74DB" w:rsidRDefault="00453653" w:rsidP="000C74DB">
      <w:pPr>
        <w:widowControl/>
        <w:rPr>
          <w:rFonts w:ascii="Times New Roman" w:hAnsi="Times New Roman"/>
          <w:color w:val="242424"/>
        </w:rPr>
      </w:pPr>
      <w:r w:rsidRPr="000C74DB">
        <w:rPr>
          <w:rFonts w:ascii="Times New Roman" w:hAnsi="Times New Roman"/>
        </w:rPr>
        <w:tab/>
      </w:r>
      <w:r w:rsidR="797AFC72" w:rsidRPr="000C74DB">
        <w:rPr>
          <w:rFonts w:ascii="Times New Roman" w:hAnsi="Times New Roman"/>
        </w:rPr>
        <w:t>4</w:t>
      </w:r>
      <w:r w:rsidR="797AFC72" w:rsidRPr="000C74DB">
        <w:rPr>
          <w:rFonts w:ascii="Times New Roman" w:hAnsi="Times New Roman"/>
          <w:color w:val="242424"/>
        </w:rPr>
        <w:t>.</w:t>
      </w:r>
      <w:r w:rsidRPr="000C74DB">
        <w:rPr>
          <w:rFonts w:ascii="Times New Roman" w:hAnsi="Times New Roman"/>
          <w:color w:val="242424"/>
        </w:rPr>
        <w:tab/>
      </w:r>
      <w:r w:rsidR="00B044D7" w:rsidRPr="000C74DB">
        <w:rPr>
          <w:rFonts w:ascii="Times New Roman" w:hAnsi="Times New Roman"/>
          <w:color w:val="242424"/>
        </w:rPr>
        <w:t xml:space="preserve">Dar instrucciones a la </w:t>
      </w:r>
      <w:r w:rsidR="00071D2F" w:rsidRPr="000C74DB">
        <w:rPr>
          <w:rFonts w:ascii="Times New Roman" w:hAnsi="Times New Roman"/>
          <w:color w:val="242424"/>
        </w:rPr>
        <w:t>Secretaría General</w:t>
      </w:r>
      <w:r w:rsidR="797AFC72" w:rsidRPr="000C74DB">
        <w:rPr>
          <w:rFonts w:ascii="Times New Roman" w:hAnsi="Times New Roman"/>
          <w:color w:val="242424"/>
        </w:rPr>
        <w:t xml:space="preserve"> </w:t>
      </w:r>
      <w:r w:rsidR="00B044D7" w:rsidRPr="000C74DB">
        <w:rPr>
          <w:rFonts w:ascii="Times New Roman" w:hAnsi="Times New Roman"/>
          <w:color w:val="242424"/>
        </w:rPr>
        <w:t xml:space="preserve">para que los recursos del </w:t>
      </w:r>
      <w:r w:rsidR="00071D2F" w:rsidRPr="000C74DB">
        <w:rPr>
          <w:rFonts w:ascii="Times New Roman" w:hAnsi="Times New Roman"/>
          <w:color w:val="242424"/>
        </w:rPr>
        <w:t>Fondo de Tecnología</w:t>
      </w:r>
      <w:r w:rsidR="797AFC72" w:rsidRPr="000C74DB">
        <w:rPr>
          <w:rFonts w:ascii="Times New Roman" w:hAnsi="Times New Roman"/>
          <w:color w:val="242424"/>
        </w:rPr>
        <w:t xml:space="preserve"> </w:t>
      </w:r>
      <w:r w:rsidR="00B044D7" w:rsidRPr="000C74DB">
        <w:rPr>
          <w:rFonts w:ascii="Times New Roman" w:hAnsi="Times New Roman"/>
          <w:color w:val="242424"/>
        </w:rPr>
        <w:t xml:space="preserve">que no se usen en la ejecución del </w:t>
      </w:r>
      <w:r w:rsidR="00071D2F" w:rsidRPr="000C74DB">
        <w:rPr>
          <w:rFonts w:ascii="Times New Roman" w:hAnsi="Times New Roman"/>
          <w:color w:val="242424"/>
        </w:rPr>
        <w:t xml:space="preserve">Programa de Modernización de la Plataforma </w:t>
      </w:r>
      <w:r w:rsidR="009F4D89" w:rsidRPr="000C74DB">
        <w:rPr>
          <w:rFonts w:ascii="Times New Roman" w:hAnsi="Times New Roman"/>
          <w:color w:val="242424"/>
        </w:rPr>
        <w:t xml:space="preserve">de Gestión </w:t>
      </w:r>
      <w:r w:rsidR="00071D2F" w:rsidRPr="000C74DB">
        <w:rPr>
          <w:rFonts w:ascii="Times New Roman" w:hAnsi="Times New Roman"/>
          <w:color w:val="242424"/>
        </w:rPr>
        <w:t>OASCORE</w:t>
      </w:r>
      <w:r w:rsidR="00CE5A20" w:rsidRPr="000C74DB">
        <w:rPr>
          <w:rFonts w:ascii="Times New Roman" w:hAnsi="Times New Roman"/>
          <w:color w:val="242424"/>
        </w:rPr>
        <w:t xml:space="preserve"> </w:t>
      </w:r>
      <w:r w:rsidR="00B044D7" w:rsidRPr="000C74DB">
        <w:rPr>
          <w:rFonts w:ascii="Times New Roman" w:hAnsi="Times New Roman"/>
          <w:color w:val="242424"/>
        </w:rPr>
        <w:t>se reembolsen a</w:t>
      </w:r>
      <w:r w:rsidR="00071D2F" w:rsidRPr="000C74DB">
        <w:rPr>
          <w:rFonts w:ascii="Times New Roman" w:hAnsi="Times New Roman"/>
          <w:color w:val="242424"/>
        </w:rPr>
        <w:t xml:space="preserve">l </w:t>
      </w:r>
      <w:proofErr w:type="spellStart"/>
      <w:r w:rsidR="000C74DB" w:rsidRPr="000C74DB">
        <w:rPr>
          <w:rFonts w:ascii="Times New Roman" w:hAnsi="Times New Roman"/>
          <w:color w:val="000000"/>
        </w:rPr>
        <w:t>Subfondo</w:t>
      </w:r>
      <w:proofErr w:type="spellEnd"/>
      <w:r w:rsidR="000C74DB" w:rsidRPr="000C74DB">
        <w:rPr>
          <w:rFonts w:ascii="Times New Roman" w:hAnsi="Times New Roman"/>
          <w:color w:val="000000"/>
        </w:rPr>
        <w:t xml:space="preserve"> de Reserva del Fondo de Recuperación de Costos Indirectos (SRRCI</w:t>
      </w:r>
      <w:r w:rsidR="000C74DB">
        <w:rPr>
          <w:rFonts w:ascii="Times New Roman" w:hAnsi="Times New Roman"/>
          <w:color w:val="000000"/>
        </w:rPr>
        <w:t>)</w:t>
      </w:r>
      <w:r w:rsidR="00CE5A20" w:rsidRPr="000C74DB">
        <w:rPr>
          <w:rFonts w:ascii="Times New Roman" w:hAnsi="Times New Roman"/>
          <w:color w:val="242424"/>
        </w:rPr>
        <w:t>.</w:t>
      </w:r>
      <w:r w:rsidR="00FC6EE7" w:rsidRPr="000C74DB">
        <w:rPr>
          <w:rFonts w:ascii="Times New Roman" w:hAnsi="Times New Roman"/>
        </w:rPr>
        <w:t xml:space="preserve"> </w:t>
      </w:r>
      <w:r w:rsidR="00844500">
        <w:rPr>
          <w:rFonts w:ascii="Times New Roman" w:hAnsi="Times New Roman"/>
          <w:noProof/>
          <w:color w:val="242424"/>
        </w:rPr>
        <mc:AlternateContent>
          <mc:Choice Requires="wps">
            <w:drawing>
              <wp:anchor distT="0" distB="0" distL="114300" distR="114300" simplePos="0" relativeHeight="251662848" behindDoc="0" locked="1" layoutInCell="1" allowOverlap="1" wp14:anchorId="56213A7C" wp14:editId="39A27B8A">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FD90003" w14:textId="4B6AAFCC" w:rsidR="00844500" w:rsidRPr="00844500" w:rsidRDefault="0084450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77CDF">
                              <w:rPr>
                                <w:rFonts w:ascii="Times New Roman" w:hAnsi="Times New Roman"/>
                                <w:noProof/>
                                <w:sz w:val="18"/>
                              </w:rPr>
                              <w:t>CP45961S01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213A7C"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FD90003" w14:textId="4B6AAFCC" w:rsidR="00844500" w:rsidRPr="00844500" w:rsidRDefault="0084450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77CDF">
                        <w:rPr>
                          <w:rFonts w:ascii="Times New Roman" w:hAnsi="Times New Roman"/>
                          <w:noProof/>
                          <w:sz w:val="18"/>
                        </w:rPr>
                        <w:t>CP45961S01</w:t>
                      </w:r>
                      <w:r>
                        <w:rPr>
                          <w:rFonts w:ascii="Times New Roman" w:hAnsi="Times New Roman"/>
                          <w:sz w:val="18"/>
                        </w:rPr>
                        <w:fldChar w:fldCharType="end"/>
                      </w:r>
                    </w:p>
                  </w:txbxContent>
                </v:textbox>
                <w10:wrap anchory="page"/>
                <w10:anchorlock/>
              </v:shape>
            </w:pict>
          </mc:Fallback>
        </mc:AlternateContent>
      </w:r>
    </w:p>
    <w:sectPr w:rsidR="797AFC72" w:rsidRPr="000C74DB" w:rsidSect="00772535">
      <w:headerReference w:type="default" r:id="rId13"/>
      <w:footerReference w:type="default" r:id="rId14"/>
      <w:headerReference w:type="first" r:id="rId15"/>
      <w:endnotePr>
        <w:numFmt w:val="decimal"/>
      </w:endnotePr>
      <w:type w:val="oddPage"/>
      <w:pgSz w:w="12240" w:h="15840" w:code="1"/>
      <w:pgMar w:top="2160" w:right="1571" w:bottom="129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D5D3" w14:textId="77777777" w:rsidR="00BB0028" w:rsidRDefault="00BB0028">
      <w:pPr>
        <w:spacing w:line="20" w:lineRule="exact"/>
      </w:pPr>
    </w:p>
  </w:endnote>
  <w:endnote w:type="continuationSeparator" w:id="0">
    <w:p w14:paraId="589DADB1" w14:textId="77777777" w:rsidR="00BB0028" w:rsidRDefault="00BB0028">
      <w:r>
        <w:t xml:space="preserve"> </w:t>
      </w:r>
    </w:p>
  </w:endnote>
  <w:endnote w:type="continuationNotice" w:id="1">
    <w:p w14:paraId="5FB8B0AA" w14:textId="77777777" w:rsidR="00BB0028" w:rsidRDefault="00BB00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3D0" w14:textId="7AE6E9CB" w:rsidR="00844500" w:rsidRDefault="00844500">
    <w:pPr>
      <w:pStyle w:val="Footer"/>
    </w:pPr>
    <w:r>
      <w:rPr>
        <w:noProof/>
      </w:rPr>
      <w:drawing>
        <wp:anchor distT="0" distB="0" distL="114300" distR="114300" simplePos="0" relativeHeight="251658240" behindDoc="0" locked="0" layoutInCell="1" allowOverlap="1" wp14:anchorId="684EFDC6" wp14:editId="7C65688C">
          <wp:simplePos x="0" y="0"/>
          <wp:positionH relativeFrom="margin">
            <wp:align>right</wp:align>
          </wp:positionH>
          <wp:positionV relativeFrom="paragraph">
            <wp:posOffset>-548005</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F124" w14:textId="77777777" w:rsidR="00BB0028" w:rsidRDefault="00BB0028">
      <w:r>
        <w:separator/>
      </w:r>
    </w:p>
  </w:footnote>
  <w:footnote w:type="continuationSeparator" w:id="0">
    <w:p w14:paraId="3D5CD24B" w14:textId="77777777" w:rsidR="00BB0028" w:rsidRDefault="00BB0028">
      <w:r>
        <w:continuationSeparator/>
      </w:r>
    </w:p>
  </w:footnote>
  <w:footnote w:type="continuationNotice" w:id="1">
    <w:p w14:paraId="65DE006D" w14:textId="77777777" w:rsidR="00BB0028" w:rsidRDefault="00BB0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511569"/>
      <w:docPartObj>
        <w:docPartGallery w:val="Page Numbers (Top of Page)"/>
        <w:docPartUnique/>
      </w:docPartObj>
    </w:sdtPr>
    <w:sdtEndPr>
      <w:rPr>
        <w:noProof/>
      </w:rPr>
    </w:sdtEndPr>
    <w:sdtContent>
      <w:p w14:paraId="40DAEC28" w14:textId="66E9AAE7" w:rsidR="00FC6EE7" w:rsidRDefault="00FC6EE7">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2BC4ED9D" w14:textId="77777777" w:rsidR="00FC6EE7" w:rsidRDefault="00FC6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3E39" w14:textId="77777777" w:rsidR="009F4D89" w:rsidRDefault="009F4D89">
    <w:pPr>
      <w:pStyle w:val="Header"/>
      <w:jc w:val="center"/>
    </w:pPr>
  </w:p>
  <w:p w14:paraId="71B53E3A" w14:textId="77777777" w:rsidR="009F4D89" w:rsidRDefault="009F4D89">
    <w:pPr>
      <w:pStyle w:val="Header"/>
      <w:jc w:val="center"/>
    </w:pPr>
  </w:p>
  <w:p w14:paraId="71B53E3B" w14:textId="77777777" w:rsidR="009F4D89" w:rsidRDefault="009F4D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A64B7"/>
    <w:multiLevelType w:val="multilevel"/>
    <w:tmpl w:val="F9E0A9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3ED124DA"/>
    <w:multiLevelType w:val="hybridMultilevel"/>
    <w:tmpl w:val="0114A610"/>
    <w:lvl w:ilvl="0" w:tplc="48DC9898">
      <w:start w:val="1"/>
      <w:numFmt w:val="decimal"/>
      <w:lvlText w:val="%1."/>
      <w:lvlJc w:val="left"/>
      <w:pPr>
        <w:ind w:left="720" w:hanging="360"/>
      </w:pPr>
    </w:lvl>
    <w:lvl w:ilvl="1" w:tplc="7984492E">
      <w:start w:val="1"/>
      <w:numFmt w:val="decimal"/>
      <w:lvlText w:val="%2."/>
      <w:lvlJc w:val="left"/>
      <w:pPr>
        <w:ind w:left="1440" w:hanging="360"/>
      </w:pPr>
    </w:lvl>
    <w:lvl w:ilvl="2" w:tplc="B9AEFD8A">
      <w:start w:val="1"/>
      <w:numFmt w:val="lowerRoman"/>
      <w:lvlText w:val="%3."/>
      <w:lvlJc w:val="right"/>
      <w:pPr>
        <w:ind w:left="2160" w:hanging="180"/>
      </w:pPr>
    </w:lvl>
    <w:lvl w:ilvl="3" w:tplc="486247EA">
      <w:start w:val="1"/>
      <w:numFmt w:val="decimal"/>
      <w:lvlText w:val="%4."/>
      <w:lvlJc w:val="left"/>
      <w:pPr>
        <w:ind w:left="2880" w:hanging="360"/>
      </w:pPr>
    </w:lvl>
    <w:lvl w:ilvl="4" w:tplc="50923F6E">
      <w:start w:val="1"/>
      <w:numFmt w:val="lowerLetter"/>
      <w:lvlText w:val="%5."/>
      <w:lvlJc w:val="left"/>
      <w:pPr>
        <w:ind w:left="3600" w:hanging="360"/>
      </w:pPr>
    </w:lvl>
    <w:lvl w:ilvl="5" w:tplc="D6F298C6">
      <w:start w:val="1"/>
      <w:numFmt w:val="lowerRoman"/>
      <w:lvlText w:val="%6."/>
      <w:lvlJc w:val="right"/>
      <w:pPr>
        <w:ind w:left="4320" w:hanging="180"/>
      </w:pPr>
    </w:lvl>
    <w:lvl w:ilvl="6" w:tplc="663097E6">
      <w:start w:val="1"/>
      <w:numFmt w:val="decimal"/>
      <w:lvlText w:val="%7."/>
      <w:lvlJc w:val="left"/>
      <w:pPr>
        <w:ind w:left="5040" w:hanging="360"/>
      </w:pPr>
    </w:lvl>
    <w:lvl w:ilvl="7" w:tplc="EF426054">
      <w:start w:val="1"/>
      <w:numFmt w:val="lowerLetter"/>
      <w:lvlText w:val="%8."/>
      <w:lvlJc w:val="left"/>
      <w:pPr>
        <w:ind w:left="5760" w:hanging="360"/>
      </w:pPr>
    </w:lvl>
    <w:lvl w:ilvl="8" w:tplc="E7F8AC9A">
      <w:start w:val="1"/>
      <w:numFmt w:val="lowerRoman"/>
      <w:lvlText w:val="%9."/>
      <w:lvlJc w:val="right"/>
      <w:pPr>
        <w:ind w:left="6480" w:hanging="180"/>
      </w:pPr>
    </w:lvl>
  </w:abstractNum>
  <w:abstractNum w:abstractNumId="2" w15:restartNumberingAfterBreak="0">
    <w:nsid w:val="50575E01"/>
    <w:multiLevelType w:val="multilevel"/>
    <w:tmpl w:val="4B9899A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6634094">
    <w:abstractNumId w:val="1"/>
  </w:num>
  <w:num w:numId="2" w16cid:durableId="1737435012">
    <w:abstractNumId w:val="2"/>
  </w:num>
  <w:num w:numId="3" w16cid:durableId="209061156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00354"/>
    <w:rsid w:val="00011DEB"/>
    <w:rsid w:val="00031491"/>
    <w:rsid w:val="00061364"/>
    <w:rsid w:val="00062AE4"/>
    <w:rsid w:val="00071D2F"/>
    <w:rsid w:val="000816A0"/>
    <w:rsid w:val="0009562A"/>
    <w:rsid w:val="00097E27"/>
    <w:rsid w:val="000B5538"/>
    <w:rsid w:val="000B5844"/>
    <w:rsid w:val="000B6137"/>
    <w:rsid w:val="000C2847"/>
    <w:rsid w:val="000C3A52"/>
    <w:rsid w:val="000C62F9"/>
    <w:rsid w:val="000C71CF"/>
    <w:rsid w:val="000C74DB"/>
    <w:rsid w:val="000F1D37"/>
    <w:rsid w:val="0010137A"/>
    <w:rsid w:val="0013335B"/>
    <w:rsid w:val="00133C0A"/>
    <w:rsid w:val="00134283"/>
    <w:rsid w:val="00140D5F"/>
    <w:rsid w:val="00142F4C"/>
    <w:rsid w:val="0014315A"/>
    <w:rsid w:val="00144BC8"/>
    <w:rsid w:val="00163623"/>
    <w:rsid w:val="00163F85"/>
    <w:rsid w:val="001739A5"/>
    <w:rsid w:val="0017415B"/>
    <w:rsid w:val="0017714C"/>
    <w:rsid w:val="001A2F2D"/>
    <w:rsid w:val="001C5337"/>
    <w:rsid w:val="001C5772"/>
    <w:rsid w:val="001D1F95"/>
    <w:rsid w:val="001D2BF0"/>
    <w:rsid w:val="001D3232"/>
    <w:rsid w:val="001F0ACB"/>
    <w:rsid w:val="001F22FF"/>
    <w:rsid w:val="001F62DD"/>
    <w:rsid w:val="002002EB"/>
    <w:rsid w:val="0020687F"/>
    <w:rsid w:val="0021327D"/>
    <w:rsid w:val="002273FB"/>
    <w:rsid w:val="002329ED"/>
    <w:rsid w:val="002365F5"/>
    <w:rsid w:val="00255CDC"/>
    <w:rsid w:val="00257DC5"/>
    <w:rsid w:val="00273ACE"/>
    <w:rsid w:val="002839C6"/>
    <w:rsid w:val="00283B28"/>
    <w:rsid w:val="0028721F"/>
    <w:rsid w:val="00290139"/>
    <w:rsid w:val="00290D64"/>
    <w:rsid w:val="00291AE5"/>
    <w:rsid w:val="00294B6C"/>
    <w:rsid w:val="002958D2"/>
    <w:rsid w:val="002A52EA"/>
    <w:rsid w:val="002A57E2"/>
    <w:rsid w:val="002B7FDC"/>
    <w:rsid w:val="002C0F2D"/>
    <w:rsid w:val="002D4DBB"/>
    <w:rsid w:val="002E6A0D"/>
    <w:rsid w:val="002F2FB4"/>
    <w:rsid w:val="002F342A"/>
    <w:rsid w:val="002F54CD"/>
    <w:rsid w:val="003030CA"/>
    <w:rsid w:val="00324CA5"/>
    <w:rsid w:val="00333DFB"/>
    <w:rsid w:val="0033507B"/>
    <w:rsid w:val="003351AD"/>
    <w:rsid w:val="00350CEF"/>
    <w:rsid w:val="00366257"/>
    <w:rsid w:val="003725EB"/>
    <w:rsid w:val="0037553A"/>
    <w:rsid w:val="0039299C"/>
    <w:rsid w:val="00392EC8"/>
    <w:rsid w:val="003937E5"/>
    <w:rsid w:val="003A2F86"/>
    <w:rsid w:val="003A78FA"/>
    <w:rsid w:val="003B734A"/>
    <w:rsid w:val="003D0520"/>
    <w:rsid w:val="003D0814"/>
    <w:rsid w:val="003D1F52"/>
    <w:rsid w:val="003D2D05"/>
    <w:rsid w:val="003F3BE5"/>
    <w:rsid w:val="00414619"/>
    <w:rsid w:val="00416B99"/>
    <w:rsid w:val="00424490"/>
    <w:rsid w:val="00425861"/>
    <w:rsid w:val="00425D28"/>
    <w:rsid w:val="004333FD"/>
    <w:rsid w:val="004349D9"/>
    <w:rsid w:val="00437671"/>
    <w:rsid w:val="004429A4"/>
    <w:rsid w:val="0044574A"/>
    <w:rsid w:val="0045230F"/>
    <w:rsid w:val="00453653"/>
    <w:rsid w:val="00467CAD"/>
    <w:rsid w:val="00477811"/>
    <w:rsid w:val="00484EAB"/>
    <w:rsid w:val="004A0378"/>
    <w:rsid w:val="004B0243"/>
    <w:rsid w:val="004B07D4"/>
    <w:rsid w:val="004C2514"/>
    <w:rsid w:val="004C482C"/>
    <w:rsid w:val="004C6CC9"/>
    <w:rsid w:val="004E774B"/>
    <w:rsid w:val="004F7123"/>
    <w:rsid w:val="00501CAF"/>
    <w:rsid w:val="00504D79"/>
    <w:rsid w:val="005074F2"/>
    <w:rsid w:val="00513985"/>
    <w:rsid w:val="00517172"/>
    <w:rsid w:val="005366D8"/>
    <w:rsid w:val="0054102B"/>
    <w:rsid w:val="00544B94"/>
    <w:rsid w:val="0056128E"/>
    <w:rsid w:val="00565EB7"/>
    <w:rsid w:val="005675AC"/>
    <w:rsid w:val="005740C5"/>
    <w:rsid w:val="00575058"/>
    <w:rsid w:val="00580650"/>
    <w:rsid w:val="00580FA6"/>
    <w:rsid w:val="00581154"/>
    <w:rsid w:val="00586DFF"/>
    <w:rsid w:val="00587AB5"/>
    <w:rsid w:val="00590FB1"/>
    <w:rsid w:val="00592AC4"/>
    <w:rsid w:val="005A7398"/>
    <w:rsid w:val="005D7AA7"/>
    <w:rsid w:val="005F4C31"/>
    <w:rsid w:val="005F643F"/>
    <w:rsid w:val="006004BA"/>
    <w:rsid w:val="00605FF9"/>
    <w:rsid w:val="00627504"/>
    <w:rsid w:val="00632E16"/>
    <w:rsid w:val="00651250"/>
    <w:rsid w:val="006658D2"/>
    <w:rsid w:val="0067459C"/>
    <w:rsid w:val="0068413B"/>
    <w:rsid w:val="00695C07"/>
    <w:rsid w:val="00697624"/>
    <w:rsid w:val="006A32FF"/>
    <w:rsid w:val="006A3A5F"/>
    <w:rsid w:val="006A7373"/>
    <w:rsid w:val="006B2A43"/>
    <w:rsid w:val="006C4673"/>
    <w:rsid w:val="006C70A7"/>
    <w:rsid w:val="006C72CB"/>
    <w:rsid w:val="006D2BBA"/>
    <w:rsid w:val="007472CB"/>
    <w:rsid w:val="0076681B"/>
    <w:rsid w:val="00772535"/>
    <w:rsid w:val="007817FB"/>
    <w:rsid w:val="00781C94"/>
    <w:rsid w:val="00784149"/>
    <w:rsid w:val="00790DF3"/>
    <w:rsid w:val="00796864"/>
    <w:rsid w:val="007C21AB"/>
    <w:rsid w:val="007C6C92"/>
    <w:rsid w:val="007D03BE"/>
    <w:rsid w:val="007E3CD9"/>
    <w:rsid w:val="007F372B"/>
    <w:rsid w:val="007F4703"/>
    <w:rsid w:val="007F68AB"/>
    <w:rsid w:val="0081096A"/>
    <w:rsid w:val="00827D9D"/>
    <w:rsid w:val="0083235B"/>
    <w:rsid w:val="00834446"/>
    <w:rsid w:val="008410D2"/>
    <w:rsid w:val="00844500"/>
    <w:rsid w:val="0085222C"/>
    <w:rsid w:val="00855379"/>
    <w:rsid w:val="00877108"/>
    <w:rsid w:val="00882B5C"/>
    <w:rsid w:val="00896A67"/>
    <w:rsid w:val="008A66AE"/>
    <w:rsid w:val="008A7356"/>
    <w:rsid w:val="008B5BEC"/>
    <w:rsid w:val="008C139B"/>
    <w:rsid w:val="008C4A37"/>
    <w:rsid w:val="008C75CB"/>
    <w:rsid w:val="008D05B9"/>
    <w:rsid w:val="008D44B7"/>
    <w:rsid w:val="008D5B25"/>
    <w:rsid w:val="008E13FC"/>
    <w:rsid w:val="00901F97"/>
    <w:rsid w:val="00907909"/>
    <w:rsid w:val="00923A9E"/>
    <w:rsid w:val="00930E09"/>
    <w:rsid w:val="00941DE0"/>
    <w:rsid w:val="009464E6"/>
    <w:rsid w:val="00946787"/>
    <w:rsid w:val="0097639B"/>
    <w:rsid w:val="00982D9B"/>
    <w:rsid w:val="00990FD8"/>
    <w:rsid w:val="00991101"/>
    <w:rsid w:val="00992064"/>
    <w:rsid w:val="009B7995"/>
    <w:rsid w:val="009C5E1B"/>
    <w:rsid w:val="009D655D"/>
    <w:rsid w:val="009E188E"/>
    <w:rsid w:val="009E676E"/>
    <w:rsid w:val="009F4D89"/>
    <w:rsid w:val="00A2006D"/>
    <w:rsid w:val="00A2379C"/>
    <w:rsid w:val="00A36484"/>
    <w:rsid w:val="00A411B9"/>
    <w:rsid w:val="00A418C1"/>
    <w:rsid w:val="00A46DC3"/>
    <w:rsid w:val="00A4779C"/>
    <w:rsid w:val="00A501DA"/>
    <w:rsid w:val="00A51ED3"/>
    <w:rsid w:val="00A527EA"/>
    <w:rsid w:val="00A556DA"/>
    <w:rsid w:val="00A670BD"/>
    <w:rsid w:val="00A812CB"/>
    <w:rsid w:val="00A94136"/>
    <w:rsid w:val="00A95976"/>
    <w:rsid w:val="00AA4E4C"/>
    <w:rsid w:val="00AA60AB"/>
    <w:rsid w:val="00AC6416"/>
    <w:rsid w:val="00AF4179"/>
    <w:rsid w:val="00AF4D49"/>
    <w:rsid w:val="00B03193"/>
    <w:rsid w:val="00B044D7"/>
    <w:rsid w:val="00B055AD"/>
    <w:rsid w:val="00B101DB"/>
    <w:rsid w:val="00B13C26"/>
    <w:rsid w:val="00B15D4D"/>
    <w:rsid w:val="00B16D1D"/>
    <w:rsid w:val="00B27570"/>
    <w:rsid w:val="00B35B9B"/>
    <w:rsid w:val="00B42074"/>
    <w:rsid w:val="00B464A0"/>
    <w:rsid w:val="00B473D9"/>
    <w:rsid w:val="00B54E83"/>
    <w:rsid w:val="00B75236"/>
    <w:rsid w:val="00B75D57"/>
    <w:rsid w:val="00B81729"/>
    <w:rsid w:val="00B81F3E"/>
    <w:rsid w:val="00B83B18"/>
    <w:rsid w:val="00B91C2A"/>
    <w:rsid w:val="00B977AC"/>
    <w:rsid w:val="00BA5FDC"/>
    <w:rsid w:val="00BB0028"/>
    <w:rsid w:val="00BB0BBD"/>
    <w:rsid w:val="00BD3209"/>
    <w:rsid w:val="00BF1146"/>
    <w:rsid w:val="00BF1564"/>
    <w:rsid w:val="00C04BEA"/>
    <w:rsid w:val="00C05B1D"/>
    <w:rsid w:val="00C1486B"/>
    <w:rsid w:val="00C17C6B"/>
    <w:rsid w:val="00C241FD"/>
    <w:rsid w:val="00C3175C"/>
    <w:rsid w:val="00C358AE"/>
    <w:rsid w:val="00C37720"/>
    <w:rsid w:val="00C445E2"/>
    <w:rsid w:val="00C46E9F"/>
    <w:rsid w:val="00C51750"/>
    <w:rsid w:val="00C604A2"/>
    <w:rsid w:val="00C65889"/>
    <w:rsid w:val="00C723C9"/>
    <w:rsid w:val="00C72E1A"/>
    <w:rsid w:val="00C82B8A"/>
    <w:rsid w:val="00C907ED"/>
    <w:rsid w:val="00C91F8A"/>
    <w:rsid w:val="00C95FFA"/>
    <w:rsid w:val="00CA596A"/>
    <w:rsid w:val="00CB46A4"/>
    <w:rsid w:val="00CD59D7"/>
    <w:rsid w:val="00CE0A0B"/>
    <w:rsid w:val="00CE5A20"/>
    <w:rsid w:val="00CF057B"/>
    <w:rsid w:val="00D002D6"/>
    <w:rsid w:val="00D1619C"/>
    <w:rsid w:val="00D2271C"/>
    <w:rsid w:val="00D26677"/>
    <w:rsid w:val="00D36B20"/>
    <w:rsid w:val="00D515FE"/>
    <w:rsid w:val="00D6137A"/>
    <w:rsid w:val="00D6356F"/>
    <w:rsid w:val="00D66802"/>
    <w:rsid w:val="00D7290D"/>
    <w:rsid w:val="00D76F87"/>
    <w:rsid w:val="00D84E8F"/>
    <w:rsid w:val="00D95BD7"/>
    <w:rsid w:val="00D96D1C"/>
    <w:rsid w:val="00D97DB0"/>
    <w:rsid w:val="00DA1A8E"/>
    <w:rsid w:val="00DA45DD"/>
    <w:rsid w:val="00DB327B"/>
    <w:rsid w:val="00DC386C"/>
    <w:rsid w:val="00DD1754"/>
    <w:rsid w:val="00DD3BBB"/>
    <w:rsid w:val="00DD6920"/>
    <w:rsid w:val="00DF7614"/>
    <w:rsid w:val="00E01987"/>
    <w:rsid w:val="00E047E4"/>
    <w:rsid w:val="00E07A82"/>
    <w:rsid w:val="00E101A5"/>
    <w:rsid w:val="00E14389"/>
    <w:rsid w:val="00E16C4C"/>
    <w:rsid w:val="00E31F8A"/>
    <w:rsid w:val="00E35340"/>
    <w:rsid w:val="00E43B49"/>
    <w:rsid w:val="00E5064B"/>
    <w:rsid w:val="00E75AD2"/>
    <w:rsid w:val="00E77CDF"/>
    <w:rsid w:val="00E83642"/>
    <w:rsid w:val="00E861F7"/>
    <w:rsid w:val="00E876DD"/>
    <w:rsid w:val="00E879A4"/>
    <w:rsid w:val="00E95421"/>
    <w:rsid w:val="00EB15B1"/>
    <w:rsid w:val="00ED2CE7"/>
    <w:rsid w:val="00ED4E73"/>
    <w:rsid w:val="00ED5BD2"/>
    <w:rsid w:val="00EE2894"/>
    <w:rsid w:val="00EE2919"/>
    <w:rsid w:val="00EE353F"/>
    <w:rsid w:val="00EE664E"/>
    <w:rsid w:val="00EF05D6"/>
    <w:rsid w:val="00F03323"/>
    <w:rsid w:val="00F1001A"/>
    <w:rsid w:val="00F138F8"/>
    <w:rsid w:val="00F16792"/>
    <w:rsid w:val="00F21BE2"/>
    <w:rsid w:val="00F30A3B"/>
    <w:rsid w:val="00F33765"/>
    <w:rsid w:val="00F50DB1"/>
    <w:rsid w:val="00F50F01"/>
    <w:rsid w:val="00F547C2"/>
    <w:rsid w:val="00F70490"/>
    <w:rsid w:val="00F71FD1"/>
    <w:rsid w:val="00F72446"/>
    <w:rsid w:val="00F80CF4"/>
    <w:rsid w:val="00FA4267"/>
    <w:rsid w:val="00FA508E"/>
    <w:rsid w:val="00FB28E1"/>
    <w:rsid w:val="00FB78CE"/>
    <w:rsid w:val="00FC6EE7"/>
    <w:rsid w:val="00FF1522"/>
    <w:rsid w:val="00FF44A9"/>
    <w:rsid w:val="0444176E"/>
    <w:rsid w:val="0D429358"/>
    <w:rsid w:val="0E3F073F"/>
    <w:rsid w:val="0F61F2C3"/>
    <w:rsid w:val="122227DE"/>
    <w:rsid w:val="13C27356"/>
    <w:rsid w:val="160F3E8E"/>
    <w:rsid w:val="16AC6698"/>
    <w:rsid w:val="16F1BC12"/>
    <w:rsid w:val="1A295CD4"/>
    <w:rsid w:val="1D9B2653"/>
    <w:rsid w:val="1E589D78"/>
    <w:rsid w:val="1E71745C"/>
    <w:rsid w:val="20661BC8"/>
    <w:rsid w:val="207F75FB"/>
    <w:rsid w:val="20A468CD"/>
    <w:rsid w:val="20DA0F8E"/>
    <w:rsid w:val="24981EF3"/>
    <w:rsid w:val="2A265841"/>
    <w:rsid w:val="2BC228A2"/>
    <w:rsid w:val="2CDAC9BB"/>
    <w:rsid w:val="2D5DF903"/>
    <w:rsid w:val="2EF9C964"/>
    <w:rsid w:val="3A2B4134"/>
    <w:rsid w:val="3B3C0973"/>
    <w:rsid w:val="3CD7D9D4"/>
    <w:rsid w:val="3FEA87C4"/>
    <w:rsid w:val="4010CEC2"/>
    <w:rsid w:val="429EF93E"/>
    <w:rsid w:val="438D49CD"/>
    <w:rsid w:val="47726A61"/>
    <w:rsid w:val="481A8C7B"/>
    <w:rsid w:val="4A658888"/>
    <w:rsid w:val="4AC1B39A"/>
    <w:rsid w:val="4C4B6B2A"/>
    <w:rsid w:val="4FB4CCEA"/>
    <w:rsid w:val="4FEF3EE1"/>
    <w:rsid w:val="518B0F42"/>
    <w:rsid w:val="54C2E1DA"/>
    <w:rsid w:val="5677DA98"/>
    <w:rsid w:val="593A8795"/>
    <w:rsid w:val="5C42EB9D"/>
    <w:rsid w:val="5DFFBD35"/>
    <w:rsid w:val="5E0DF8B8"/>
    <w:rsid w:val="5E82EC7D"/>
    <w:rsid w:val="62B22D21"/>
    <w:rsid w:val="63909547"/>
    <w:rsid w:val="6439503C"/>
    <w:rsid w:val="644DFD82"/>
    <w:rsid w:val="674ABCED"/>
    <w:rsid w:val="679BB2A1"/>
    <w:rsid w:val="6A91C786"/>
    <w:rsid w:val="6B1A2F62"/>
    <w:rsid w:val="6B5034AE"/>
    <w:rsid w:val="6D5A7E5F"/>
    <w:rsid w:val="7201D274"/>
    <w:rsid w:val="72281C57"/>
    <w:rsid w:val="73A2EB81"/>
    <w:rsid w:val="75C9C404"/>
    <w:rsid w:val="76DA8C43"/>
    <w:rsid w:val="77399A19"/>
    <w:rsid w:val="797AFC72"/>
    <w:rsid w:val="7A79CA71"/>
    <w:rsid w:val="7B7C13B9"/>
    <w:rsid w:val="7DD64757"/>
    <w:rsid w:val="7EC898DC"/>
    <w:rsid w:val="7F56967A"/>
    <w:rsid w:val="7F959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B53DF4"/>
  <w15:docId w15:val="{084C8DC2-681A-4815-8D72-785857BB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uiPriority w:val="34"/>
    <w:qFormat/>
    <w:rsid w:val="00144BC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Times New Roman" w:hAnsi="Times New Roman"/>
      <w:sz w:val="24"/>
      <w:szCs w:val="24"/>
      <w:lang w:eastAsia="es-ES_tradnl"/>
    </w:rPr>
  </w:style>
  <w:style w:type="character" w:customStyle="1" w:styleId="HeaderChar">
    <w:name w:val="Header Char"/>
    <w:basedOn w:val="DefaultParagraphFont"/>
    <w:link w:val="Header"/>
    <w:uiPriority w:val="99"/>
    <w:rsid w:val="00144BC8"/>
    <w:rPr>
      <w:rFonts w:ascii="CG Times" w:hAnsi="CG Times"/>
      <w:sz w:val="22"/>
      <w:lang w:val="es-ES"/>
    </w:rPr>
  </w:style>
  <w:style w:type="character" w:styleId="CommentReference">
    <w:name w:val="annotation reference"/>
    <w:basedOn w:val="DefaultParagraphFont"/>
    <w:uiPriority w:val="99"/>
    <w:semiHidden/>
    <w:unhideWhenUsed/>
    <w:rsid w:val="00D6137A"/>
    <w:rPr>
      <w:sz w:val="16"/>
      <w:szCs w:val="16"/>
    </w:rPr>
  </w:style>
  <w:style w:type="paragraph" w:styleId="CommentText">
    <w:name w:val="annotation text"/>
    <w:basedOn w:val="Normal"/>
    <w:link w:val="CommentTextChar"/>
    <w:uiPriority w:val="99"/>
    <w:unhideWhenUsed/>
    <w:rsid w:val="00D6137A"/>
    <w:rPr>
      <w:sz w:val="20"/>
    </w:rPr>
  </w:style>
  <w:style w:type="character" w:customStyle="1" w:styleId="CommentTextChar">
    <w:name w:val="Comment Text Char"/>
    <w:basedOn w:val="DefaultParagraphFont"/>
    <w:link w:val="CommentText"/>
    <w:uiPriority w:val="99"/>
    <w:rsid w:val="00D6137A"/>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6137A"/>
    <w:rPr>
      <w:b/>
      <w:bCs/>
    </w:rPr>
  </w:style>
  <w:style w:type="character" w:customStyle="1" w:styleId="CommentSubjectChar">
    <w:name w:val="Comment Subject Char"/>
    <w:basedOn w:val="CommentTextChar"/>
    <w:link w:val="CommentSubject"/>
    <w:uiPriority w:val="99"/>
    <w:semiHidden/>
    <w:rsid w:val="00D6137A"/>
    <w:rPr>
      <w:rFonts w:ascii="CG Times" w:hAnsi="CG Times"/>
      <w:b/>
      <w:bCs/>
      <w:lang w:val="es-ES"/>
    </w:rPr>
  </w:style>
  <w:style w:type="paragraph" w:styleId="Revision">
    <w:name w:val="Revision"/>
    <w:hidden/>
    <w:uiPriority w:val="99"/>
    <w:semiHidden/>
    <w:rsid w:val="00855379"/>
    <w:rPr>
      <w:rFonts w:ascii="CG Times" w:hAnsi="CG Times"/>
      <w:sz w:val="22"/>
      <w:lang w:val="es-ES"/>
    </w:rPr>
  </w:style>
  <w:style w:type="paragraph" w:styleId="BalloonText">
    <w:name w:val="Balloon Text"/>
    <w:basedOn w:val="Normal"/>
    <w:link w:val="BalloonTextChar"/>
    <w:uiPriority w:val="99"/>
    <w:semiHidden/>
    <w:unhideWhenUsed/>
    <w:rsid w:val="00C72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1A"/>
    <w:rPr>
      <w:rFonts w:ascii="Segoe UI" w:hAnsi="Segoe UI" w:cs="Segoe UI"/>
      <w:sz w:val="18"/>
      <w:szCs w:val="18"/>
      <w:lang w:val="es-ES"/>
    </w:rPr>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587AB5"/>
    <w:rPr>
      <w:color w:val="0000FF" w:themeColor="hyperlink"/>
      <w:u w:val="single"/>
    </w:rPr>
  </w:style>
  <w:style w:type="character" w:styleId="UnresolvedMention">
    <w:name w:val="Unresolved Mention"/>
    <w:basedOn w:val="DefaultParagraphFont"/>
    <w:uiPriority w:val="99"/>
    <w:semiHidden/>
    <w:unhideWhenUsed/>
    <w:rsid w:val="00587AB5"/>
    <w:rPr>
      <w:color w:val="605E5C"/>
      <w:shd w:val="clear" w:color="auto" w:fill="E1DFDD"/>
    </w:rPr>
  </w:style>
  <w:style w:type="character" w:styleId="FollowedHyperlink">
    <w:name w:val="FollowedHyperlink"/>
    <w:basedOn w:val="DefaultParagraphFont"/>
    <w:uiPriority w:val="99"/>
    <w:semiHidden/>
    <w:unhideWhenUsed/>
    <w:rsid w:val="00587AB5"/>
    <w:rPr>
      <w:color w:val="800080" w:themeColor="followedHyperlink"/>
      <w:u w:val="single"/>
    </w:rPr>
  </w:style>
  <w:style w:type="character" w:customStyle="1" w:styleId="FooterChar">
    <w:name w:val="Footer Char"/>
    <w:basedOn w:val="DefaultParagraphFont"/>
    <w:link w:val="Footer"/>
    <w:uiPriority w:val="99"/>
    <w:rsid w:val="00FC6EE7"/>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9165">
      <w:bodyDiv w:val="1"/>
      <w:marLeft w:val="0"/>
      <w:marRight w:val="0"/>
      <w:marTop w:val="0"/>
      <w:marBottom w:val="0"/>
      <w:divBdr>
        <w:top w:val="none" w:sz="0" w:space="0" w:color="auto"/>
        <w:left w:val="none" w:sz="0" w:space="0" w:color="auto"/>
        <w:bottom w:val="none" w:sz="0" w:space="0" w:color="auto"/>
        <w:right w:val="none" w:sz="0" w:space="0" w:color="auto"/>
      </w:divBdr>
    </w:div>
    <w:div w:id="359013650">
      <w:bodyDiv w:val="1"/>
      <w:marLeft w:val="0"/>
      <w:marRight w:val="0"/>
      <w:marTop w:val="0"/>
      <w:marBottom w:val="0"/>
      <w:divBdr>
        <w:top w:val="none" w:sz="0" w:space="0" w:color="auto"/>
        <w:left w:val="none" w:sz="0" w:space="0" w:color="auto"/>
        <w:bottom w:val="none" w:sz="0" w:space="0" w:color="auto"/>
        <w:right w:val="none" w:sz="0" w:space="0" w:color="auto"/>
      </w:divBdr>
    </w:div>
    <w:div w:id="1225220734">
      <w:bodyDiv w:val="1"/>
      <w:marLeft w:val="0"/>
      <w:marRight w:val="0"/>
      <w:marTop w:val="0"/>
      <w:marBottom w:val="0"/>
      <w:divBdr>
        <w:top w:val="none" w:sz="0" w:space="0" w:color="auto"/>
        <w:left w:val="none" w:sz="0" w:space="0" w:color="auto"/>
        <w:bottom w:val="none" w:sz="0" w:space="0" w:color="auto"/>
        <w:right w:val="none" w:sz="0" w:space="0" w:color="auto"/>
      </w:divBdr>
    </w:div>
    <w:div w:id="20307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cm.oas.org/IDMS/Redirectpage.aspx?class=CP/CAAP&amp;classNum=3663&amp;lan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CP/CAAP&amp;classNum=3811&amp;lang=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m.oas.org/IDMS/Redirectpage.aspx?class=CP/CAAP&amp;classNum=3811&amp;lang=S" TargetMode="External"/><Relationship Id="rId4" Type="http://schemas.openxmlformats.org/officeDocument/2006/relationships/webSettings" Target="webSettings.xml"/><Relationship Id="rId9" Type="http://schemas.openxmlformats.org/officeDocument/2006/relationships/hyperlink" Target="http://scm.oas.org/IDMS/Redirectpage.aspx?class=CP/CAAP&amp;classNum=3663&amp;lang=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CE350BB5-F0C4-4DD4-B151-8E3E84FC1237}">
    <t:Anchor>
      <t:Comment id="97029451"/>
    </t:Anchor>
    <t:History>
      <t:Event id="{601BF6ED-1946-41EC-8E0B-EEDBD4CDA8D9}" time="2022-05-10T02:34:25.229Z">
        <t:Attribution userId="S::avanjani@oas.org::8506c319-f820-4f30-abcf-8f2e1d406904" userProvider="AD" userName="Vanjani, Andrew"/>
        <t:Anchor>
          <t:Comment id="97029451"/>
        </t:Anchor>
        <t:Create/>
      </t:Event>
      <t:Event id="{6DC0823A-8F80-4B54-AF13-F0C77AD1D054}" time="2022-05-10T02:34:25.229Z">
        <t:Attribution userId="S::avanjani@oas.org::8506c319-f820-4f30-abcf-8f2e1d406904" userProvider="AD" userName="Vanjani, Andrew"/>
        <t:Anchor>
          <t:Comment id="97029451"/>
        </t:Anchor>
        <t:Assign userId="S::AGrahammer@oas.org::a242a338-6859-4f20-a635-18def8f1c49f" userProvider="AD" userName="Grahammer, Alex"/>
      </t:Event>
      <t:Event id="{86795B2F-C541-49E0-A777-0BEA9CC35996}" time="2022-05-10T02:34:25.229Z">
        <t:Attribution userId="S::avanjani@oas.org::8506c319-f820-4f30-abcf-8f2e1d406904" userProvider="AD" userName="Vanjani, Andrew"/>
        <t:Anchor>
          <t:Comment id="97029451"/>
        </t:Anchor>
        <t:SetTitle title="@Anania, Jay @Grahammer, Alex - I am OK with this recommendation from Brazil, though would want to include language based on your comment during the meeting to allow the SAF to seek an exception, in accordance to the GS/OAS rules to sole-source to a …"/>
      </t:Event>
    </t:History>
  </t:Task>
  <t:Task id="{D070350C-2566-4094-A240-E6831CD3CF06}">
    <t:Anchor>
      <t:Comment id="1034121329"/>
    </t:Anchor>
    <t:History>
      <t:Event id="{CACC25D1-2325-4090-A5DC-5369E6CC7FA4}" time="2022-05-10T02:31:44.647Z">
        <t:Attribution userId="S::avanjani@oas.org::8506c319-f820-4f30-abcf-8f2e1d406904" userProvider="AD" userName="Vanjani, Andrew"/>
        <t:Anchor>
          <t:Comment id="1034121329"/>
        </t:Anchor>
        <t:Create/>
      </t:Event>
      <t:Event id="{0FC9D719-73A8-44D0-88A1-C73485EC15C3}" time="2022-05-10T02:31:44.647Z">
        <t:Attribution userId="S::avanjani@oas.org::8506c319-f820-4f30-abcf-8f2e1d406904" userProvider="AD" userName="Vanjani, Andrew"/>
        <t:Anchor>
          <t:Comment id="1034121329"/>
        </t:Anchor>
        <t:Assign userId="S::MCossio@oas.org::7510c4d5-aa91-4243-a45e-cf4ba2e77f56" userProvider="AD" userName="Cossio, Melissa"/>
      </t:Event>
      <t:Event id="{CE83342A-BFB0-4182-A4C9-5CA4A5FB251F}" time="2022-05-10T02:31:44.647Z">
        <t:Attribution userId="S::avanjani@oas.org::8506c319-f820-4f30-abcf-8f2e1d406904" userProvider="AD" userName="Vanjani, Andrew"/>
        <t:Anchor>
          <t:Comment id="1034121329"/>
        </t:Anchor>
        <t:SetTitle title="@Cossio, Melissa - Brazil has requested legal review, mainly on points 2 and 4. I made some changes from Brazil's last upd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3</cp:revision>
  <cp:lastPrinted>1998-03-30T17:02:00Z</cp:lastPrinted>
  <dcterms:created xsi:type="dcterms:W3CDTF">2022-05-18T14:30:00Z</dcterms:created>
  <dcterms:modified xsi:type="dcterms:W3CDTF">2022-05-18T14:30:00Z</dcterms:modified>
</cp:coreProperties>
</file>