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8A4CC" w14:textId="77777777" w:rsidR="00537F67" w:rsidRPr="00537F67" w:rsidRDefault="00AB3C97" w:rsidP="00537F67">
      <w:pPr>
        <w:tabs>
          <w:tab w:val="left" w:pos="7200"/>
        </w:tabs>
        <w:spacing w:after="0" w:line="240" w:lineRule="auto"/>
        <w:ind w:right="-1109"/>
        <w:rPr>
          <w:rFonts w:ascii="Times New Roman" w:hAnsi="Times New Roman"/>
          <w:lang w:val="es-MX"/>
        </w:rPr>
      </w:pPr>
      <w:r>
        <w:rPr>
          <w:rFonts w:ascii="Times New Roman" w:hAnsi="Times New Roman"/>
          <w:lang w:val="es-MX"/>
        </w:rPr>
        <w:object w:dxaOrig="1440" w:dyaOrig="1440" w14:anchorId="62D0CF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8.75pt;margin-top:-55.3pt;width:320.05pt;height:28.05pt;z-index:251664384;mso-wrap-edited:f" wrapcoords="3572 1580 2041 2634 170 7376 170 11590 2381 19493 5272 20020 11055 20020 17008 20020 21260 12117 21600 4215 18709 2107 9524 1580 3572 1580" o:allowincell="f" fillcolor="window">
            <v:imagedata r:id="rId11" o:title=""/>
          </v:shape>
          <o:OLEObject Type="Embed" ProgID="Word.Picture.8" ShapeID="_x0000_s2051" DrawAspect="Content" ObjectID="_1748367391" r:id="rId12"/>
        </w:object>
      </w:r>
      <w:r w:rsidR="00537F67" w:rsidRPr="00537F67">
        <w:rPr>
          <w:rFonts w:ascii="Times New Roman" w:hAnsi="Times New Roman"/>
          <w:lang w:val="es-MX"/>
        </w:rPr>
        <w:t>QUINCUAGÉSIMO TERCER PERÍODO ORDINARIO DE SESIONES</w:t>
      </w:r>
      <w:r w:rsidR="00537F67" w:rsidRPr="00537F67">
        <w:rPr>
          <w:rFonts w:ascii="Times New Roman" w:hAnsi="Times New Roman"/>
          <w:lang w:val="es-MX"/>
        </w:rPr>
        <w:tab/>
        <w:t>OEA/</w:t>
      </w:r>
      <w:proofErr w:type="spellStart"/>
      <w:r w:rsidR="00537F67" w:rsidRPr="00537F67">
        <w:rPr>
          <w:rFonts w:ascii="Times New Roman" w:hAnsi="Times New Roman"/>
          <w:lang w:val="es-MX"/>
        </w:rPr>
        <w:t>Ser.P</w:t>
      </w:r>
      <w:proofErr w:type="spellEnd"/>
    </w:p>
    <w:p w14:paraId="79471B72" w14:textId="47931E33" w:rsidR="00537F67" w:rsidRPr="00537F67" w:rsidRDefault="00537F67" w:rsidP="00537F67">
      <w:pPr>
        <w:tabs>
          <w:tab w:val="left" w:pos="7200"/>
        </w:tabs>
        <w:spacing w:after="0" w:line="240" w:lineRule="auto"/>
        <w:ind w:right="-1469"/>
        <w:rPr>
          <w:rFonts w:ascii="Times New Roman" w:hAnsi="Times New Roman"/>
          <w:lang w:val="es-MX"/>
        </w:rPr>
      </w:pPr>
      <w:r w:rsidRPr="00537F67">
        <w:rPr>
          <w:rFonts w:ascii="Times New Roman" w:hAnsi="Times New Roman"/>
          <w:lang w:val="es-MX"/>
        </w:rPr>
        <w:t>Del 21 al 23 de junio de 2023</w:t>
      </w:r>
      <w:r w:rsidRPr="00537F67">
        <w:rPr>
          <w:rFonts w:ascii="Times New Roman" w:hAnsi="Times New Roman"/>
          <w:lang w:val="es-MX"/>
        </w:rPr>
        <w:tab/>
        <w:t>AG/doc.58</w:t>
      </w:r>
      <w:r>
        <w:rPr>
          <w:rFonts w:ascii="Times New Roman" w:hAnsi="Times New Roman"/>
          <w:lang w:val="es-MX"/>
        </w:rPr>
        <w:t>06</w:t>
      </w:r>
      <w:r w:rsidRPr="00537F67">
        <w:rPr>
          <w:rFonts w:ascii="Times New Roman" w:hAnsi="Times New Roman"/>
          <w:lang w:val="es-MX"/>
        </w:rPr>
        <w:t>/23</w:t>
      </w:r>
    </w:p>
    <w:p w14:paraId="37F4E691" w14:textId="77777777" w:rsidR="00537F67" w:rsidRPr="00537F67" w:rsidRDefault="00537F67" w:rsidP="00537F67">
      <w:pPr>
        <w:tabs>
          <w:tab w:val="left" w:pos="7200"/>
        </w:tabs>
        <w:spacing w:after="0" w:line="240" w:lineRule="auto"/>
        <w:ind w:right="-1469"/>
        <w:rPr>
          <w:rFonts w:ascii="Times New Roman" w:hAnsi="Times New Roman"/>
          <w:lang w:val="es-MX"/>
        </w:rPr>
      </w:pPr>
      <w:r w:rsidRPr="00537F67">
        <w:rPr>
          <w:rFonts w:ascii="Times New Roman" w:hAnsi="Times New Roman"/>
          <w:lang w:val="es-MX"/>
        </w:rPr>
        <w:t xml:space="preserve">Washington, DC </w:t>
      </w:r>
      <w:r w:rsidRPr="00537F67">
        <w:rPr>
          <w:rFonts w:ascii="Times New Roman" w:hAnsi="Times New Roman"/>
          <w:lang w:val="es-MX"/>
        </w:rPr>
        <w:tab/>
        <w:t>15 junio 2023</w:t>
      </w:r>
    </w:p>
    <w:p w14:paraId="493E0FC8" w14:textId="77777777" w:rsidR="00537F67" w:rsidRPr="00537F67" w:rsidRDefault="00537F67" w:rsidP="00537F67">
      <w:pPr>
        <w:tabs>
          <w:tab w:val="left" w:pos="7200"/>
        </w:tabs>
        <w:spacing w:after="0" w:line="240" w:lineRule="auto"/>
        <w:ind w:right="-1469"/>
        <w:rPr>
          <w:rFonts w:ascii="Times New Roman" w:hAnsi="Times New Roman"/>
          <w:lang w:val="es-MX"/>
        </w:rPr>
      </w:pPr>
      <w:r w:rsidRPr="00537F67">
        <w:rPr>
          <w:rFonts w:ascii="Times New Roman" w:hAnsi="Times New Roman"/>
          <w:lang w:val="es-MX"/>
        </w:rPr>
        <w:tab/>
        <w:t>Original: español</w:t>
      </w:r>
    </w:p>
    <w:p w14:paraId="6CF053F4" w14:textId="77777777" w:rsidR="00537F67" w:rsidRPr="00537F67" w:rsidRDefault="00537F67" w:rsidP="00537F67">
      <w:pPr>
        <w:tabs>
          <w:tab w:val="left" w:pos="7200"/>
        </w:tabs>
        <w:spacing w:after="0" w:line="240" w:lineRule="auto"/>
        <w:rPr>
          <w:rFonts w:ascii="Times New Roman" w:hAnsi="Times New Roman"/>
          <w:lang w:val="es-MX"/>
        </w:rPr>
      </w:pPr>
    </w:p>
    <w:p w14:paraId="5AD1B1D9" w14:textId="0C390E43" w:rsidR="00537F67" w:rsidRPr="00537F67" w:rsidRDefault="00537F67" w:rsidP="00537F67">
      <w:pPr>
        <w:tabs>
          <w:tab w:val="left" w:pos="7200"/>
        </w:tabs>
        <w:spacing w:after="0" w:line="240" w:lineRule="auto"/>
        <w:ind w:right="-749" w:firstLine="7200"/>
        <w:rPr>
          <w:rFonts w:ascii="Times New Roman" w:hAnsi="Times New Roman"/>
          <w:u w:val="single"/>
          <w:lang w:val="es-AR"/>
        </w:rPr>
      </w:pPr>
      <w:r w:rsidRPr="00537F67">
        <w:rPr>
          <w:rFonts w:ascii="Times New Roman" w:hAnsi="Times New Roman"/>
          <w:u w:val="single"/>
        </w:rPr>
        <w:t>Punto</w:t>
      </w:r>
      <w:r>
        <w:rPr>
          <w:rFonts w:ascii="Times New Roman" w:hAnsi="Times New Roman"/>
          <w:u w:val="single"/>
        </w:rPr>
        <w:t>s 17 y 18</w:t>
      </w:r>
      <w:r w:rsidRPr="00537F67">
        <w:rPr>
          <w:rFonts w:ascii="Times New Roman" w:hAnsi="Times New Roman"/>
          <w:u w:val="single"/>
        </w:rPr>
        <w:t xml:space="preserve"> del temario</w:t>
      </w:r>
    </w:p>
    <w:p w14:paraId="39A0B590" w14:textId="77777777" w:rsidR="00537F67" w:rsidRPr="00537F67" w:rsidRDefault="00537F67" w:rsidP="00537F67">
      <w:pPr>
        <w:tabs>
          <w:tab w:val="left" w:pos="7200"/>
        </w:tabs>
        <w:spacing w:after="0" w:line="240" w:lineRule="auto"/>
        <w:jc w:val="center"/>
        <w:rPr>
          <w:rFonts w:ascii="Times New Roman" w:hAnsi="Times New Roman"/>
          <w:b/>
          <w:bCs/>
          <w:lang w:val="es-US"/>
        </w:rPr>
      </w:pPr>
    </w:p>
    <w:p w14:paraId="2A4D916C" w14:textId="77777777" w:rsidR="009B595D" w:rsidRPr="00537F67" w:rsidRDefault="009B595D" w:rsidP="007E0383">
      <w:pPr>
        <w:shd w:val="clear" w:color="auto" w:fill="FFFFFF"/>
        <w:spacing w:after="0" w:line="240" w:lineRule="auto"/>
        <w:jc w:val="center"/>
        <w:rPr>
          <w:snapToGrid/>
          <w:color w:val="000000"/>
          <w:lang w:val="es-US"/>
        </w:rPr>
      </w:pPr>
    </w:p>
    <w:p w14:paraId="5E155D23" w14:textId="2D65C558" w:rsidR="003355C3" w:rsidRPr="007E0383" w:rsidRDefault="003355C3" w:rsidP="007E0383">
      <w:pPr>
        <w:shd w:val="clear" w:color="auto" w:fill="FFFFFF"/>
        <w:spacing w:after="0" w:line="240" w:lineRule="auto"/>
        <w:jc w:val="center"/>
        <w:rPr>
          <w:rFonts w:ascii="Times New Roman" w:hAnsi="Times New Roman"/>
          <w:snapToGrid/>
          <w:color w:val="000000"/>
        </w:rPr>
      </w:pPr>
      <w:r w:rsidRPr="007E0383">
        <w:rPr>
          <w:rFonts w:ascii="Times New Roman" w:hAnsi="Times New Roman"/>
          <w:snapToGrid/>
          <w:color w:val="000000"/>
        </w:rPr>
        <w:t xml:space="preserve">PROYECTO DE RESOLUCIÓN </w:t>
      </w:r>
    </w:p>
    <w:p w14:paraId="74A2E932" w14:textId="77777777" w:rsidR="003355C3" w:rsidRPr="007E0383" w:rsidRDefault="003355C3" w:rsidP="007E0383">
      <w:pPr>
        <w:shd w:val="clear" w:color="auto" w:fill="FFFFFF"/>
        <w:spacing w:after="0" w:line="240" w:lineRule="auto"/>
        <w:rPr>
          <w:rFonts w:ascii="Times New Roman" w:eastAsia="Calibri" w:hAnsi="Times New Roman"/>
          <w:noProof/>
          <w:snapToGrid/>
          <w:color w:val="000000"/>
          <w:lang w:eastAsia="en-US"/>
        </w:rPr>
      </w:pPr>
    </w:p>
    <w:p w14:paraId="28D90911" w14:textId="486FC529" w:rsidR="003355C3" w:rsidRPr="007E0383" w:rsidRDefault="003355C3" w:rsidP="007E0383">
      <w:pPr>
        <w:shd w:val="clear" w:color="auto" w:fill="FFFFFF"/>
        <w:spacing w:after="0" w:line="240" w:lineRule="auto"/>
        <w:jc w:val="center"/>
        <w:rPr>
          <w:rFonts w:ascii="Times New Roman" w:eastAsia="Calibri" w:hAnsi="Times New Roman"/>
          <w:noProof/>
          <w:snapToGrid/>
          <w:color w:val="000000"/>
        </w:rPr>
      </w:pPr>
      <w:r w:rsidRPr="007E0383">
        <w:rPr>
          <w:rFonts w:ascii="Times New Roman" w:hAnsi="Times New Roman"/>
          <w:snapToGrid/>
          <w:color w:val="000000"/>
        </w:rPr>
        <w:t xml:space="preserve">AUMENTO Y FORTALECIMIENTO DE LA PARTICIPACIÓN DE LA SOCIEDAD CIVIL Y LOS ACTORES SOCIALES EN LAS ACTIVIDADES DE LA ORGANIZACIÓN DE LOS ESTADOS AMERICANOS Y EN EL PROCESO DE CUMBRES DE LAS AMÉRICAS; Y APOYO Y SEGUIMIENTO AL PROCESO DE CUMBRE DE LAS AMÉRICAS </w:t>
      </w:r>
    </w:p>
    <w:p w14:paraId="293DAC37" w14:textId="77777777" w:rsidR="003355C3" w:rsidRPr="007E0383" w:rsidRDefault="003355C3" w:rsidP="007E0383">
      <w:pPr>
        <w:shd w:val="clear" w:color="auto" w:fill="FFFFFF"/>
        <w:spacing w:after="0" w:line="240" w:lineRule="auto"/>
        <w:rPr>
          <w:rFonts w:ascii="Times New Roman" w:eastAsia="Calibri" w:hAnsi="Times New Roman"/>
          <w:noProof/>
          <w:snapToGrid/>
          <w:color w:val="000000"/>
          <w:lang w:eastAsia="en-US"/>
        </w:rPr>
      </w:pPr>
    </w:p>
    <w:p w14:paraId="3E04880E" w14:textId="27C7E8C9" w:rsidR="003355C3" w:rsidRPr="007E0383" w:rsidRDefault="003355C3" w:rsidP="007E0383">
      <w:pPr>
        <w:shd w:val="clear" w:color="auto" w:fill="FFFFFF"/>
        <w:spacing w:after="0" w:line="240" w:lineRule="auto"/>
        <w:jc w:val="center"/>
        <w:rPr>
          <w:rFonts w:ascii="Times New Roman" w:eastAsia="Calibri" w:hAnsi="Times New Roman"/>
          <w:noProof/>
          <w:snapToGrid/>
          <w:color w:val="000000"/>
        </w:rPr>
      </w:pPr>
      <w:r w:rsidRPr="007E0383">
        <w:rPr>
          <w:rFonts w:ascii="Times New Roman" w:hAnsi="Times New Roman"/>
          <w:snapToGrid/>
          <w:color w:val="000000"/>
        </w:rPr>
        <w:t>(</w:t>
      </w:r>
      <w:r w:rsidR="007E0383" w:rsidRPr="007E0383">
        <w:rPr>
          <w:rStyle w:val="normaltextrun"/>
          <w:rFonts w:ascii="Times New Roman" w:hAnsi="Times New Roman"/>
          <w:color w:val="000000"/>
          <w:bdr w:val="none" w:sz="0" w:space="0" w:color="auto" w:frame="1"/>
          <w:lang w:val="es-US"/>
        </w:rPr>
        <w:t>Acordado por el Consejo Permanente en la sesión ordinaria celebrada el 15 de junio de 2023 y remitido al Plenario de la Asamblea General para su consideración</w:t>
      </w:r>
      <w:r w:rsidRPr="007E0383">
        <w:rPr>
          <w:rFonts w:ascii="Times New Roman" w:hAnsi="Times New Roman"/>
          <w:snapToGrid/>
          <w:color w:val="000000"/>
        </w:rPr>
        <w:t>)</w:t>
      </w:r>
    </w:p>
    <w:p w14:paraId="4EE46544" w14:textId="1E5AB55C" w:rsidR="003355C3" w:rsidRPr="007E0383" w:rsidRDefault="003355C3" w:rsidP="007E0383">
      <w:pPr>
        <w:shd w:val="clear" w:color="auto" w:fill="FFFFFF"/>
        <w:spacing w:after="0" w:line="240" w:lineRule="auto"/>
        <w:rPr>
          <w:rFonts w:ascii="Times New Roman" w:hAnsi="Times New Roman"/>
          <w:snapToGrid/>
          <w:color w:val="000000"/>
        </w:rPr>
      </w:pPr>
    </w:p>
    <w:p w14:paraId="18EC50B5" w14:textId="77777777" w:rsidR="00DA5EC3" w:rsidRPr="003355C3" w:rsidRDefault="00DA5EC3" w:rsidP="007E0383">
      <w:pPr>
        <w:shd w:val="clear" w:color="auto" w:fill="FFFFFF"/>
        <w:spacing w:after="0" w:line="240" w:lineRule="auto"/>
        <w:rPr>
          <w:rFonts w:ascii="Times New Roman" w:eastAsia="Calibri" w:hAnsi="Times New Roman"/>
          <w:noProof/>
          <w:snapToGrid/>
          <w:color w:val="000000"/>
        </w:rPr>
      </w:pPr>
    </w:p>
    <w:p w14:paraId="2B0DB5ED" w14:textId="7ABD94C6" w:rsidR="003355C3" w:rsidRPr="003355C3" w:rsidRDefault="003355C3" w:rsidP="007E0383">
      <w:pPr>
        <w:shd w:val="clear" w:color="auto" w:fill="FFFFFF"/>
        <w:spacing w:after="0" w:line="240" w:lineRule="auto"/>
        <w:ind w:firstLine="720"/>
        <w:jc w:val="both"/>
        <w:rPr>
          <w:rFonts w:ascii="Times New Roman" w:eastAsia="Calibri" w:hAnsi="Times New Roman"/>
          <w:noProof/>
          <w:snapToGrid/>
          <w:color w:val="000000"/>
        </w:rPr>
      </w:pPr>
      <w:r>
        <w:rPr>
          <w:rFonts w:ascii="Times New Roman" w:hAnsi="Times New Roman"/>
          <w:snapToGrid/>
          <w:color w:val="000000"/>
        </w:rPr>
        <w:t xml:space="preserve">LA ASAMBLEA GENERAL, </w:t>
      </w:r>
    </w:p>
    <w:p w14:paraId="4808FEDE" w14:textId="10AD74B9" w:rsidR="003355C3" w:rsidRPr="003355C3" w:rsidRDefault="003355C3" w:rsidP="007E0383">
      <w:pPr>
        <w:shd w:val="clear" w:color="auto" w:fill="FFFFFF"/>
        <w:spacing w:after="0" w:line="240" w:lineRule="auto"/>
        <w:jc w:val="both"/>
        <w:rPr>
          <w:rFonts w:ascii="Times New Roman" w:eastAsia="Calibri" w:hAnsi="Times New Roman"/>
          <w:noProof/>
          <w:snapToGrid/>
          <w:color w:val="000000"/>
        </w:rPr>
      </w:pPr>
      <w:r>
        <w:rPr>
          <w:rFonts w:ascii="Times New Roman" w:hAnsi="Times New Roman"/>
          <w:snapToGrid/>
          <w:color w:val="000000"/>
        </w:rPr>
        <w:t xml:space="preserve"> </w:t>
      </w:r>
    </w:p>
    <w:p w14:paraId="1C266637" w14:textId="7C8673A4" w:rsidR="003355C3" w:rsidRPr="003355C3" w:rsidRDefault="003355C3" w:rsidP="007E0383">
      <w:pPr>
        <w:shd w:val="clear" w:color="auto" w:fill="FFFFFF"/>
        <w:spacing w:after="0" w:line="240" w:lineRule="auto"/>
        <w:ind w:firstLine="720"/>
        <w:jc w:val="both"/>
        <w:rPr>
          <w:rFonts w:ascii="Times New Roman" w:eastAsia="Calibri" w:hAnsi="Times New Roman"/>
          <w:noProof/>
          <w:snapToGrid/>
        </w:rPr>
      </w:pPr>
      <w:r>
        <w:rPr>
          <w:rFonts w:ascii="Times New Roman" w:hAnsi="Times New Roman"/>
          <w:snapToGrid/>
          <w:color w:val="000000"/>
        </w:rPr>
        <w:t xml:space="preserve">CONSIDERANDO la decisión de los Estados Miembros de celebrar el quincuagésimo tercer período ordinario de sesiones de la Asamblea General de la Organización de los Estados Americanos en Washington, D. C., del 21 al 23 de junio de 2023, con el objetivo de restablecer el ciclo de celebración de la Asamblea en el segundo trimestre de cada año, </w:t>
      </w:r>
    </w:p>
    <w:p w14:paraId="082BFE1C" w14:textId="622B9031" w:rsidR="003355C3" w:rsidRPr="003355C3" w:rsidRDefault="003355C3" w:rsidP="007E0383">
      <w:pPr>
        <w:shd w:val="clear" w:color="auto" w:fill="FFFFFF"/>
        <w:spacing w:after="0" w:line="240" w:lineRule="auto"/>
        <w:jc w:val="both"/>
        <w:rPr>
          <w:rFonts w:ascii="Times New Roman" w:eastAsia="Calibri" w:hAnsi="Times New Roman"/>
          <w:noProof/>
          <w:snapToGrid/>
          <w:color w:val="000000"/>
        </w:rPr>
      </w:pPr>
      <w:r>
        <w:rPr>
          <w:rFonts w:ascii="Times New Roman" w:hAnsi="Times New Roman"/>
          <w:snapToGrid/>
          <w:color w:val="000000"/>
        </w:rPr>
        <w:t xml:space="preserve"> </w:t>
      </w:r>
    </w:p>
    <w:p w14:paraId="1AC03F82" w14:textId="1F1CD88E" w:rsidR="003355C3" w:rsidRPr="003355C3" w:rsidRDefault="003355C3" w:rsidP="007E0383">
      <w:pPr>
        <w:shd w:val="clear" w:color="auto" w:fill="FFFFFF"/>
        <w:spacing w:after="0" w:line="240" w:lineRule="auto"/>
        <w:jc w:val="both"/>
        <w:rPr>
          <w:rFonts w:ascii="Times New Roman" w:eastAsia="Calibri" w:hAnsi="Times New Roman"/>
          <w:noProof/>
          <w:snapToGrid/>
          <w:color w:val="000000"/>
        </w:rPr>
      </w:pPr>
      <w:r>
        <w:rPr>
          <w:rFonts w:ascii="Times New Roman" w:hAnsi="Times New Roman"/>
          <w:snapToGrid/>
          <w:color w:val="000000"/>
        </w:rPr>
        <w:t xml:space="preserve">RESUELVE: </w:t>
      </w:r>
    </w:p>
    <w:p w14:paraId="5C510EB4" w14:textId="62626302" w:rsidR="003355C3" w:rsidRPr="003355C3" w:rsidRDefault="003355C3" w:rsidP="007E0383">
      <w:pPr>
        <w:shd w:val="clear" w:color="auto" w:fill="FFFFFF"/>
        <w:spacing w:after="0" w:line="240" w:lineRule="auto"/>
        <w:jc w:val="both"/>
        <w:rPr>
          <w:rFonts w:ascii="Times New Roman" w:eastAsia="Calibri" w:hAnsi="Times New Roman"/>
          <w:noProof/>
          <w:snapToGrid/>
          <w:color w:val="000000"/>
        </w:rPr>
      </w:pPr>
      <w:r>
        <w:rPr>
          <w:rFonts w:ascii="Times New Roman" w:hAnsi="Times New Roman"/>
          <w:snapToGrid/>
          <w:color w:val="000000"/>
        </w:rPr>
        <w:t xml:space="preserve"> </w:t>
      </w:r>
    </w:p>
    <w:p w14:paraId="2CADFD3D" w14:textId="47BF1092" w:rsidR="003355C3" w:rsidRPr="003355C3" w:rsidRDefault="003355C3" w:rsidP="007E0383">
      <w:pPr>
        <w:numPr>
          <w:ilvl w:val="0"/>
          <w:numId w:val="8"/>
        </w:numPr>
        <w:tabs>
          <w:tab w:val="clear" w:pos="720"/>
        </w:tabs>
        <w:spacing w:after="0" w:line="240" w:lineRule="auto"/>
        <w:ind w:left="0" w:firstLine="720"/>
        <w:jc w:val="both"/>
        <w:rPr>
          <w:rFonts w:ascii="Times New Roman" w:hAnsi="Times New Roman"/>
          <w:noProof/>
          <w:snapToGrid/>
          <w:color w:val="000000"/>
        </w:rPr>
      </w:pPr>
      <w:r>
        <w:rPr>
          <w:rFonts w:ascii="Times New Roman" w:hAnsi="Times New Roman"/>
          <w:snapToGrid/>
          <w:color w:val="000000"/>
        </w:rPr>
        <w:t xml:space="preserve">Renovar todas las secciones de las resoluciones AG/RES. 2983, </w:t>
      </w:r>
      <w:r w:rsidR="00476C31">
        <w:rPr>
          <w:rFonts w:ascii="Times New Roman" w:hAnsi="Times New Roman"/>
          <w:snapToGrid/>
          <w:color w:val="000000"/>
        </w:rPr>
        <w:t>“</w:t>
      </w:r>
      <w:r>
        <w:rPr>
          <w:rFonts w:ascii="Times New Roman" w:hAnsi="Times New Roman"/>
          <w:snapToGrid/>
          <w:color w:val="000000"/>
        </w:rPr>
        <w:t>Aumento y fortalecimiento de la participación de la sociedad civil y los actores sociales en las actividades de la Organización de los Estados Americanos y en el proceso de Cumbres de las Américas</w:t>
      </w:r>
      <w:r w:rsidR="00476C31">
        <w:rPr>
          <w:rFonts w:ascii="Times New Roman" w:hAnsi="Times New Roman"/>
          <w:snapToGrid/>
          <w:color w:val="000000"/>
        </w:rPr>
        <w:t>”</w:t>
      </w:r>
      <w:r>
        <w:rPr>
          <w:rFonts w:ascii="Times New Roman" w:hAnsi="Times New Roman"/>
          <w:snapToGrid/>
          <w:color w:val="000000"/>
        </w:rPr>
        <w:t xml:space="preserve">, y AG/RES. 2984 (LII-O/22), </w:t>
      </w:r>
      <w:r w:rsidR="00476C31">
        <w:rPr>
          <w:rFonts w:ascii="Times New Roman" w:hAnsi="Times New Roman"/>
          <w:snapToGrid/>
          <w:color w:val="000000"/>
        </w:rPr>
        <w:t>“</w:t>
      </w:r>
      <w:r>
        <w:rPr>
          <w:rFonts w:ascii="Times New Roman" w:hAnsi="Times New Roman"/>
          <w:snapToGrid/>
          <w:color w:val="000000"/>
        </w:rPr>
        <w:t>Apoyo y seguimiento del proceso de Cumbres de las Américas</w:t>
      </w:r>
      <w:r w:rsidR="00476C31">
        <w:rPr>
          <w:rFonts w:ascii="Times New Roman" w:hAnsi="Times New Roman"/>
          <w:snapToGrid/>
          <w:color w:val="000000"/>
        </w:rPr>
        <w:t>”</w:t>
      </w:r>
      <w:r>
        <w:rPr>
          <w:rFonts w:ascii="Times New Roman" w:hAnsi="Times New Roman"/>
          <w:snapToGrid/>
          <w:color w:val="000000"/>
        </w:rPr>
        <w:t xml:space="preserve">. </w:t>
      </w:r>
    </w:p>
    <w:p w14:paraId="29D8CB94" w14:textId="67BF39AF" w:rsidR="003355C3" w:rsidRPr="003355C3" w:rsidRDefault="003355C3" w:rsidP="007E0383">
      <w:pPr>
        <w:shd w:val="clear" w:color="auto" w:fill="FFFFFF"/>
        <w:spacing w:after="0" w:line="240" w:lineRule="auto"/>
        <w:jc w:val="both"/>
        <w:rPr>
          <w:rFonts w:ascii="Times New Roman" w:eastAsia="Calibri" w:hAnsi="Times New Roman"/>
          <w:noProof/>
          <w:snapToGrid/>
          <w:color w:val="000000"/>
        </w:rPr>
      </w:pPr>
      <w:r>
        <w:rPr>
          <w:rFonts w:ascii="Times New Roman" w:hAnsi="Times New Roman"/>
          <w:snapToGrid/>
          <w:color w:val="000000"/>
        </w:rPr>
        <w:t xml:space="preserve"> </w:t>
      </w:r>
    </w:p>
    <w:p w14:paraId="7D06AC00" w14:textId="0A0B64BC" w:rsidR="003355C3" w:rsidRPr="003355C3" w:rsidRDefault="003355C3" w:rsidP="007E0383">
      <w:pPr>
        <w:numPr>
          <w:ilvl w:val="0"/>
          <w:numId w:val="8"/>
        </w:numPr>
        <w:tabs>
          <w:tab w:val="clear" w:pos="720"/>
        </w:tabs>
        <w:spacing w:after="0" w:line="240" w:lineRule="auto"/>
        <w:ind w:left="0" w:firstLine="720"/>
        <w:jc w:val="both"/>
        <w:rPr>
          <w:rFonts w:ascii="Times New Roman" w:hAnsi="Times New Roman"/>
          <w:noProof/>
          <w:snapToGrid/>
          <w:color w:val="000000"/>
        </w:rPr>
      </w:pPr>
      <w:r>
        <w:rPr>
          <w:rFonts w:ascii="Times New Roman" w:hAnsi="Times New Roman"/>
          <w:snapToGrid/>
          <w:color w:val="000000"/>
        </w:rPr>
        <w:t xml:space="preserve">Ambas adoptadas en el quincuagésimo segundo período ordinario de sesiones de la Asamblea General, con excepción de las actividades realizadas antes del quincuagésimo tercer período ordinario de sesiones y las que sigue realizando la Secretaría de la OEA en relación con la sociedad civil, los actores sociales y el proceso de Cumbres de las Américas. </w:t>
      </w:r>
    </w:p>
    <w:p w14:paraId="040187E5" w14:textId="70C0B1A9" w:rsidR="003355C3" w:rsidRPr="003355C3" w:rsidRDefault="003355C3" w:rsidP="007E0383">
      <w:pPr>
        <w:shd w:val="clear" w:color="auto" w:fill="FFFFFF"/>
        <w:spacing w:after="0" w:line="240" w:lineRule="auto"/>
        <w:jc w:val="both"/>
        <w:rPr>
          <w:rFonts w:ascii="Times New Roman" w:eastAsia="Calibri" w:hAnsi="Times New Roman"/>
          <w:noProof/>
          <w:snapToGrid/>
          <w:color w:val="000000"/>
        </w:rPr>
      </w:pPr>
      <w:r>
        <w:rPr>
          <w:rFonts w:ascii="Times New Roman" w:hAnsi="Times New Roman"/>
          <w:snapToGrid/>
          <w:color w:val="000000"/>
        </w:rPr>
        <w:t xml:space="preserve"> </w:t>
      </w:r>
    </w:p>
    <w:p w14:paraId="49C71476" w14:textId="528E2DA9" w:rsidR="003355C3" w:rsidRPr="003355C3" w:rsidRDefault="003355C3" w:rsidP="007E0383">
      <w:pPr>
        <w:numPr>
          <w:ilvl w:val="0"/>
          <w:numId w:val="8"/>
        </w:numPr>
        <w:tabs>
          <w:tab w:val="clear" w:pos="720"/>
        </w:tabs>
        <w:spacing w:after="0" w:line="240" w:lineRule="auto"/>
        <w:ind w:left="0" w:firstLine="720"/>
        <w:jc w:val="both"/>
        <w:rPr>
          <w:rFonts w:ascii="Times New Roman" w:hAnsi="Times New Roman"/>
          <w:noProof/>
          <w:snapToGrid/>
          <w:color w:val="000000"/>
        </w:rPr>
      </w:pPr>
      <w:r>
        <w:rPr>
          <w:rFonts w:ascii="Times New Roman" w:hAnsi="Times New Roman"/>
          <w:snapToGrid/>
          <w:color w:val="000000"/>
        </w:rPr>
        <w:t>Considerar la implementación —antes del quincuagésimo cuarto período ordinario de sesiones de la Asamblea General— la realización de las actividades aprobadas en el quincuagésimo segundo período ordinario de sesiones y que no hayan sido realizadas plenamente antes del quincuagésimo tercer período ordinario de sesiones.</w:t>
      </w:r>
      <w:r>
        <w:rPr>
          <w:rFonts w:ascii="Times New Roman" w:hAnsi="Times New Roman"/>
          <w:b/>
          <w:snapToGrid/>
          <w:color w:val="000000"/>
        </w:rPr>
        <w:t xml:space="preserve"> </w:t>
      </w:r>
    </w:p>
    <w:p w14:paraId="7568DC83" w14:textId="00202A97" w:rsidR="003355C3" w:rsidRPr="003355C3" w:rsidRDefault="003355C3" w:rsidP="007E0383">
      <w:pPr>
        <w:shd w:val="clear" w:color="auto" w:fill="FFFFFF"/>
        <w:spacing w:after="0" w:line="240" w:lineRule="auto"/>
        <w:jc w:val="both"/>
        <w:rPr>
          <w:rFonts w:ascii="Times New Roman" w:eastAsia="Calibri" w:hAnsi="Times New Roman"/>
          <w:noProof/>
          <w:snapToGrid/>
          <w:color w:val="000000"/>
        </w:rPr>
      </w:pPr>
      <w:r>
        <w:rPr>
          <w:rFonts w:ascii="Times New Roman" w:hAnsi="Times New Roman"/>
          <w:snapToGrid/>
          <w:color w:val="000000"/>
        </w:rPr>
        <w:t xml:space="preserve"> </w:t>
      </w:r>
    </w:p>
    <w:p w14:paraId="52E09223" w14:textId="5F997F94" w:rsidR="003355C3" w:rsidRPr="003355C3" w:rsidRDefault="003355C3" w:rsidP="007E0383">
      <w:pPr>
        <w:numPr>
          <w:ilvl w:val="0"/>
          <w:numId w:val="8"/>
        </w:numPr>
        <w:tabs>
          <w:tab w:val="clear" w:pos="720"/>
        </w:tabs>
        <w:spacing w:after="0" w:line="240" w:lineRule="auto"/>
        <w:ind w:left="0" w:firstLine="720"/>
        <w:jc w:val="both"/>
        <w:rPr>
          <w:rFonts w:ascii="Times New Roman" w:hAnsi="Times New Roman"/>
          <w:noProof/>
          <w:snapToGrid/>
          <w:color w:val="000000"/>
        </w:rPr>
      </w:pPr>
      <w:r>
        <w:rPr>
          <w:rFonts w:ascii="Times New Roman" w:hAnsi="Times New Roman"/>
          <w:snapToGrid/>
          <w:color w:val="000000"/>
        </w:rPr>
        <w:t xml:space="preserve">Actualizar, con ese fin, las secciones de las resoluciones AG/RES. 2983 (LII-O/22) y AG/RES. 2984 (LII-O/22) reafirmando aquellos mandatos que requieren una acción posterior, como sigue: </w:t>
      </w:r>
    </w:p>
    <w:p w14:paraId="0C532EFF" w14:textId="4F517568" w:rsidR="003355C3" w:rsidRPr="003355C3" w:rsidRDefault="003355C3" w:rsidP="007E0383">
      <w:pPr>
        <w:shd w:val="clear" w:color="auto" w:fill="FFFFFF"/>
        <w:spacing w:after="0" w:line="240" w:lineRule="auto"/>
        <w:jc w:val="both"/>
        <w:rPr>
          <w:rFonts w:ascii="Times New Roman" w:eastAsia="Calibri" w:hAnsi="Times New Roman"/>
          <w:noProof/>
          <w:snapToGrid/>
          <w:color w:val="000000"/>
        </w:rPr>
      </w:pPr>
      <w:r>
        <w:rPr>
          <w:rFonts w:ascii="Times New Roman" w:hAnsi="Times New Roman"/>
          <w:snapToGrid/>
          <w:color w:val="000000"/>
        </w:rPr>
        <w:t xml:space="preserve"> </w:t>
      </w:r>
    </w:p>
    <w:p w14:paraId="6E3E9DCA" w14:textId="76512B20" w:rsidR="003355C3" w:rsidRPr="003355C3" w:rsidRDefault="003355C3" w:rsidP="007E0383">
      <w:pPr>
        <w:numPr>
          <w:ilvl w:val="0"/>
          <w:numId w:val="12"/>
        </w:numPr>
        <w:tabs>
          <w:tab w:val="clear" w:pos="1080"/>
        </w:tabs>
        <w:spacing w:after="0" w:line="240" w:lineRule="auto"/>
        <w:ind w:left="1440" w:hanging="720"/>
        <w:jc w:val="both"/>
        <w:rPr>
          <w:rFonts w:ascii="Times New Roman" w:hAnsi="Times New Roman"/>
          <w:noProof/>
          <w:snapToGrid/>
          <w:color w:val="000000"/>
        </w:rPr>
      </w:pPr>
      <w:r>
        <w:rPr>
          <w:rFonts w:ascii="Times New Roman" w:hAnsi="Times New Roman"/>
          <w:snapToGrid/>
          <w:color w:val="000000"/>
        </w:rPr>
        <w:lastRenderedPageBreak/>
        <w:t xml:space="preserve">Alentar a todos los Estados Miembros, observadores permanentes y otros donantes, según se define en el artículo 74 de las Normas Generales para el Funcionamiento de la Secretaría General y demás normas y reglamentos de la Organización, a que consideren contribuir al Fondo Específico para Financiar la Participación de las Organizaciones de la Sociedad Civil en las Actividades de la OEA y en el proceso de Cumbres de las Américas, creado mediante la resolución CP/RES. 864 (1413/04), a fin de mantener y promover la participación eficaz de organizaciones de la sociedad civil y otros actores sociales en las actividades de la Organización, de conformidad con las metas establecidas por la Asamblea General y por los Jefes de Estado y de Gobierno en el proceso de Cumbres de las Américas, incluido el Diálogo de los Jefes de Delegación, el Secretario General y los representantes de las organizaciones de la sociedad civil. </w:t>
      </w:r>
    </w:p>
    <w:p w14:paraId="73382E37" w14:textId="77777777" w:rsidR="003355C3" w:rsidRPr="003355C3" w:rsidRDefault="003355C3" w:rsidP="007E0383">
      <w:pPr>
        <w:spacing w:after="0" w:line="240" w:lineRule="auto"/>
        <w:ind w:left="1440"/>
        <w:jc w:val="both"/>
        <w:rPr>
          <w:rFonts w:ascii="Times New Roman" w:hAnsi="Times New Roman"/>
          <w:noProof/>
          <w:snapToGrid/>
          <w:color w:val="000000"/>
          <w:lang w:eastAsia="en-US"/>
        </w:rPr>
      </w:pPr>
    </w:p>
    <w:p w14:paraId="4D51DA1B" w14:textId="02CC6E59" w:rsidR="003355C3" w:rsidRPr="003355C3" w:rsidRDefault="003355C3" w:rsidP="007E0383">
      <w:pPr>
        <w:numPr>
          <w:ilvl w:val="0"/>
          <w:numId w:val="12"/>
        </w:numPr>
        <w:tabs>
          <w:tab w:val="clear" w:pos="1080"/>
        </w:tabs>
        <w:spacing w:after="0" w:line="240" w:lineRule="auto"/>
        <w:ind w:left="1440" w:hanging="720"/>
        <w:jc w:val="both"/>
        <w:rPr>
          <w:rFonts w:ascii="Times New Roman" w:hAnsi="Times New Roman"/>
          <w:noProof/>
          <w:snapToGrid/>
          <w:color w:val="000000"/>
        </w:rPr>
      </w:pPr>
      <w:r>
        <w:rPr>
          <w:rFonts w:ascii="Times New Roman" w:hAnsi="Times New Roman"/>
          <w:snapToGrid/>
          <w:color w:val="000000"/>
        </w:rPr>
        <w:t xml:space="preserve">Encomendar a la Secretaría General que identifique los recursos humanos necesarios a fin de dar cumplimiento a los mandatos encomendados por los Estados Miembros con respecto a la Sección de Relaciones con la Sociedad Civil de la Secretaría de Acceso a Derechos y Equidad, particularmente para que pueda coordinar eficazmente los esfuerzos encaminados a promover, aumentar y fortalecer la participación de la sociedad civil en las actividades que realizan todas las áreas de la Organización. </w:t>
      </w:r>
    </w:p>
    <w:p w14:paraId="58292DD3" w14:textId="77777777" w:rsidR="003355C3" w:rsidRPr="003355C3" w:rsidRDefault="003355C3" w:rsidP="007E0383">
      <w:pPr>
        <w:spacing w:after="0" w:line="240" w:lineRule="auto"/>
        <w:ind w:left="1440"/>
        <w:jc w:val="both"/>
        <w:rPr>
          <w:rFonts w:ascii="Times New Roman" w:hAnsi="Times New Roman"/>
          <w:noProof/>
          <w:snapToGrid/>
          <w:color w:val="000000"/>
          <w:lang w:eastAsia="en-US"/>
        </w:rPr>
      </w:pPr>
    </w:p>
    <w:p w14:paraId="3ECFE6B2" w14:textId="348A6B24" w:rsidR="003355C3" w:rsidRPr="003355C3" w:rsidRDefault="003355C3" w:rsidP="007E0383">
      <w:pPr>
        <w:numPr>
          <w:ilvl w:val="0"/>
          <w:numId w:val="12"/>
        </w:numPr>
        <w:tabs>
          <w:tab w:val="clear" w:pos="1080"/>
        </w:tabs>
        <w:spacing w:after="0" w:line="240" w:lineRule="auto"/>
        <w:ind w:left="1440" w:hanging="720"/>
        <w:jc w:val="both"/>
        <w:rPr>
          <w:rFonts w:ascii="Times New Roman" w:hAnsi="Times New Roman"/>
          <w:noProof/>
          <w:snapToGrid/>
          <w:color w:val="000000"/>
        </w:rPr>
      </w:pPr>
      <w:r>
        <w:rPr>
          <w:rFonts w:ascii="Times New Roman" w:hAnsi="Times New Roman"/>
          <w:snapToGrid/>
          <w:color w:val="000000"/>
        </w:rPr>
        <w:t xml:space="preserve">Involucrar a la Sección de Relaciones con la Sociedad Civil de la Secretaría de Acceso a Derechos y Equidad de la OEA en todas las actividades de seguimiento del Proceso de Cumbres de las Américas </w:t>
      </w:r>
      <w:r w:rsidR="00CF6845">
        <w:rPr>
          <w:rFonts w:ascii="Times New Roman" w:hAnsi="Times New Roman"/>
          <w:snapToGrid/>
          <w:color w:val="000000"/>
        </w:rPr>
        <w:t>que incluyan a la sociedad civi</w:t>
      </w:r>
      <w:r w:rsidR="00CB0269">
        <w:rPr>
          <w:rFonts w:ascii="Times New Roman" w:hAnsi="Times New Roman"/>
          <w:snapToGrid/>
          <w:color w:val="000000"/>
        </w:rPr>
        <w:t>l</w:t>
      </w:r>
      <w:r w:rsidRPr="00BB1CC7">
        <w:rPr>
          <w:rFonts w:ascii="Times New Roman" w:hAnsi="Times New Roman"/>
          <w:snapToGrid/>
          <w:color w:val="000000"/>
        </w:rPr>
        <w:t>, en coordinación con la Secretaría de Cumbres,</w:t>
      </w:r>
      <w:r>
        <w:rPr>
          <w:rFonts w:ascii="Times New Roman" w:hAnsi="Times New Roman"/>
          <w:snapToGrid/>
          <w:color w:val="000000"/>
        </w:rPr>
        <w:t xml:space="preserve"> manteniendo informados debidamente a los Estados Miembros.</w:t>
      </w:r>
    </w:p>
    <w:p w14:paraId="48D21BD9" w14:textId="1741BF7D" w:rsidR="003355C3" w:rsidRPr="003355C3" w:rsidRDefault="003355C3" w:rsidP="007E0383">
      <w:pPr>
        <w:spacing w:after="0" w:line="240" w:lineRule="auto"/>
        <w:ind w:left="1440"/>
        <w:jc w:val="both"/>
        <w:rPr>
          <w:rFonts w:ascii="Times New Roman" w:hAnsi="Times New Roman"/>
          <w:noProof/>
          <w:snapToGrid/>
          <w:color w:val="000000"/>
          <w:lang w:eastAsia="en-US"/>
        </w:rPr>
      </w:pPr>
    </w:p>
    <w:p w14:paraId="3F831DDD" w14:textId="0C55F694" w:rsidR="003355C3" w:rsidRPr="003355C3" w:rsidRDefault="003355C3" w:rsidP="007E0383">
      <w:pPr>
        <w:numPr>
          <w:ilvl w:val="0"/>
          <w:numId w:val="12"/>
        </w:numPr>
        <w:tabs>
          <w:tab w:val="clear" w:pos="1080"/>
        </w:tabs>
        <w:spacing w:after="0" w:line="240" w:lineRule="auto"/>
        <w:ind w:left="1440" w:hanging="720"/>
        <w:jc w:val="both"/>
        <w:rPr>
          <w:rFonts w:ascii="Times New Roman" w:hAnsi="Times New Roman"/>
          <w:noProof/>
          <w:snapToGrid/>
          <w:color w:val="000000"/>
        </w:rPr>
      </w:pPr>
      <w:r>
        <w:rPr>
          <w:rFonts w:ascii="Times New Roman" w:hAnsi="Times New Roman"/>
          <w:snapToGrid/>
          <w:color w:val="000000"/>
        </w:rPr>
        <w:t xml:space="preserve">Encomendar a la Secretaría General que, en su calidad de Presidente del Grupo de Trabajo Conjunto de Cumbres (GTCC), que lleve a cabo, por lo menos una vez al año, una reunión de los jefes de instituciones, con la finalidad de examinar los avances logrados y planificar actividades conjuntas, y que informe al respecto a la Comisión sobre Gestión de Cumbres Interamericanas y Participación de la Sociedad Civil en las Actividades de la OEA y al Grupo de Revisión de la Implementación de Cumbres (GRIC). </w:t>
      </w:r>
    </w:p>
    <w:p w14:paraId="241D6C72" w14:textId="2ACE8A16" w:rsidR="003355C3" w:rsidRPr="003355C3" w:rsidRDefault="003355C3" w:rsidP="007E0383">
      <w:pPr>
        <w:shd w:val="clear" w:color="auto" w:fill="FFFFFF"/>
        <w:spacing w:after="0" w:line="240" w:lineRule="auto"/>
        <w:jc w:val="both"/>
        <w:rPr>
          <w:rFonts w:ascii="Times New Roman" w:eastAsia="Calibri" w:hAnsi="Times New Roman"/>
          <w:noProof/>
          <w:snapToGrid/>
          <w:color w:val="000000"/>
        </w:rPr>
      </w:pPr>
      <w:r>
        <w:rPr>
          <w:rFonts w:ascii="Times New Roman" w:hAnsi="Times New Roman"/>
          <w:snapToGrid/>
          <w:color w:val="000000"/>
        </w:rPr>
        <w:t xml:space="preserve"> </w:t>
      </w:r>
    </w:p>
    <w:p w14:paraId="17D61DFE" w14:textId="4BF0CE93" w:rsidR="003355C3" w:rsidRDefault="003355C3" w:rsidP="007E0383">
      <w:pPr>
        <w:numPr>
          <w:ilvl w:val="0"/>
          <w:numId w:val="8"/>
        </w:numPr>
        <w:tabs>
          <w:tab w:val="clear" w:pos="720"/>
        </w:tabs>
        <w:spacing w:after="0" w:line="240" w:lineRule="auto"/>
        <w:ind w:left="0" w:firstLine="720"/>
        <w:jc w:val="both"/>
        <w:rPr>
          <w:rFonts w:ascii="Times New Roman" w:hAnsi="Times New Roman"/>
          <w:noProof/>
          <w:snapToGrid/>
          <w:color w:val="000000"/>
        </w:rPr>
      </w:pPr>
      <w:r>
        <w:rPr>
          <w:rFonts w:ascii="Times New Roman" w:hAnsi="Times New Roman"/>
          <w:snapToGrid/>
          <w:color w:val="000000"/>
        </w:rPr>
        <w:t xml:space="preserve">Solicitar a la Comisión sobre Gestión de Cumbres Interamericanas y Participación de la Sociedad Civil en las Actividades de la OEA que, por conducto del Consejo Permanente, informe a la Asamblea General, en su quincuagésimo cuarto período ordinario de sesiones, sobre la implementación de la presente resolución. </w:t>
      </w:r>
    </w:p>
    <w:p w14:paraId="0FA2884E" w14:textId="437C18C3" w:rsidR="002B4EFC" w:rsidRDefault="002B4EFC" w:rsidP="007E0383">
      <w:pPr>
        <w:spacing w:after="0" w:line="240" w:lineRule="auto"/>
        <w:ind w:left="720"/>
        <w:jc w:val="both"/>
        <w:rPr>
          <w:rFonts w:ascii="Times New Roman" w:hAnsi="Times New Roman"/>
          <w:noProof/>
          <w:snapToGrid/>
          <w:color w:val="000000"/>
        </w:rPr>
      </w:pPr>
    </w:p>
    <w:p w14:paraId="3FE6088D" w14:textId="163AD279" w:rsidR="002B4EFC" w:rsidRPr="007D634E" w:rsidRDefault="00AB3C97" w:rsidP="007E0383">
      <w:pPr>
        <w:numPr>
          <w:ilvl w:val="0"/>
          <w:numId w:val="8"/>
        </w:numPr>
        <w:tabs>
          <w:tab w:val="clear" w:pos="720"/>
        </w:tabs>
        <w:spacing w:after="0" w:line="240" w:lineRule="auto"/>
        <w:ind w:left="0" w:firstLine="720"/>
        <w:jc w:val="both"/>
        <w:rPr>
          <w:rFonts w:ascii="Times New Roman" w:hAnsi="Times New Roman"/>
          <w:noProof/>
          <w:snapToGrid/>
          <w:color w:val="000000"/>
        </w:rPr>
      </w:pPr>
      <w:r>
        <w:rPr>
          <w:noProof/>
        </w:rPr>
        <w:drawing>
          <wp:anchor distT="0" distB="0" distL="114300" distR="114300" simplePos="0" relativeHeight="251665408" behindDoc="0" locked="0" layoutInCell="1" allowOverlap="1" wp14:anchorId="120923C1" wp14:editId="70D59876">
            <wp:simplePos x="0" y="0"/>
            <wp:positionH relativeFrom="column">
              <wp:posOffset>5073015</wp:posOffset>
            </wp:positionH>
            <wp:positionV relativeFrom="page">
              <wp:posOffset>8743950</wp:posOffset>
            </wp:positionV>
            <wp:extent cx="719455" cy="719455"/>
            <wp:effectExtent l="0" t="0" r="4445" b="4445"/>
            <wp:wrapNone/>
            <wp:docPr id="1971326710" name="Picture 1" descr="A qr code with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326710" name="Picture 1" descr="A qr code with a white background&#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4EFC" w:rsidRPr="007E0383">
        <w:rPr>
          <w:rFonts w:ascii="Times New Roman" w:hAnsi="Times New Roman"/>
          <w:noProof/>
          <w:snapToGrid/>
          <w:color w:val="000000"/>
        </w:rPr>
        <w:t>Saludar el acuerdo de cooperación suscrito entre la Secretaría General de la OEA y el Ministerio de Relaciones Exteriores del Perú para la cesión de la administración del software que contiene la plataforma y contenidos del Mecanismo de Seguimiento e Implementación del Compromiso de Lima, lo que permitirá asegurar la continuidad de la gestión de este mecanismo, facilitar su acceso a todos los ciudadanos de la región y promover iniciativas de cooperación regional para la prevención y lucha contra la corrupción, basadas en los mandatos establecidos en el Compromiso de Lima: “Gobernabilidad democrática frente a la corrupción.</w:t>
      </w:r>
    </w:p>
    <w:p w14:paraId="1C8D357A" w14:textId="1587CFC7" w:rsidR="002B4EFC" w:rsidRPr="003355C3" w:rsidRDefault="002B4EFC" w:rsidP="007E0383">
      <w:pPr>
        <w:spacing w:after="0" w:line="240" w:lineRule="auto"/>
        <w:ind w:left="720"/>
        <w:jc w:val="both"/>
        <w:rPr>
          <w:rFonts w:ascii="Times New Roman" w:hAnsi="Times New Roman"/>
          <w:noProof/>
          <w:snapToGrid/>
          <w:color w:val="000000"/>
        </w:rPr>
      </w:pPr>
    </w:p>
    <w:p w14:paraId="4CFFDD87" w14:textId="23CE676F" w:rsidR="003355C3" w:rsidRPr="00DA5EC3" w:rsidRDefault="003355C3" w:rsidP="007E0383">
      <w:pPr>
        <w:shd w:val="clear" w:color="auto" w:fill="FFFFFF"/>
        <w:spacing w:after="0" w:line="240" w:lineRule="auto"/>
        <w:jc w:val="both"/>
        <w:rPr>
          <w:rFonts w:ascii="Times New Roman" w:eastAsia="Calibri" w:hAnsi="Times New Roman"/>
          <w:noProof/>
          <w:snapToGrid/>
          <w:color w:val="000000"/>
        </w:rPr>
      </w:pPr>
      <w:r>
        <w:rPr>
          <w:rFonts w:ascii="Times New Roman" w:hAnsi="Times New Roman"/>
          <w:snapToGrid/>
          <w:color w:val="000000"/>
        </w:rPr>
        <w:t xml:space="preserve"> </w:t>
      </w:r>
      <w:r w:rsidR="00A47803">
        <w:rPr>
          <w:rFonts w:ascii="Times New Roman" w:eastAsia="Calibri" w:hAnsi="Times New Roman"/>
          <w:noProof/>
          <w:snapToGrid/>
          <w:color w:val="000000"/>
        </w:rPr>
        <mc:AlternateContent>
          <mc:Choice Requires="wps">
            <w:drawing>
              <wp:anchor distT="0" distB="0" distL="118745" distR="118745" simplePos="0" relativeHeight="251662336" behindDoc="0" locked="1" layoutInCell="1" allowOverlap="1" wp14:anchorId="190D4CC0" wp14:editId="4062C333">
                <wp:simplePos x="0" y="0"/>
                <wp:positionH relativeFrom="margin">
                  <wp:align>left</wp:align>
                </wp:positionH>
                <wp:positionV relativeFrom="bottomMargin">
                  <wp:posOffset>-62230</wp:posOffset>
                </wp:positionV>
                <wp:extent cx="3383280" cy="228600"/>
                <wp:effectExtent l="0" t="0" r="0" b="0"/>
                <wp:wrapNone/>
                <wp:docPr id="191062995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CA1E9F7" w14:textId="3D489023" w:rsidR="00A47803" w:rsidRPr="00A47803" w:rsidRDefault="00A4780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537F67">
                              <w:rPr>
                                <w:rFonts w:ascii="Times New Roman" w:hAnsi="Times New Roman"/>
                                <w:noProof/>
                                <w:sz w:val="18"/>
                              </w:rPr>
                              <w:t>AG08786S01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0D4CC0" id="_x0000_t202" coordsize="21600,21600" o:spt="202" path="m,l,21600r21600,l21600,xe">
                <v:stroke joinstyle="miter"/>
                <v:path gradientshapeok="t" o:connecttype="rect"/>
              </v:shapetype>
              <v:shape id="Text Box 1" o:spid="_x0000_s1026" type="#_x0000_t202" style="position:absolute;left:0;text-align:left;margin-left:0;margin-top:-4.9pt;width:266.4pt;height:18pt;z-index:251662336;visibility:visible;mso-wrap-style:square;mso-height-percent:0;mso-wrap-distance-left:9.35pt;mso-wrap-distance-top:0;mso-wrap-distance-right:9.35pt;mso-wrap-distance-bottom:0;mso-position-horizontal:left;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" filled="f" stroked="f">
                <v:stroke joinstyle="round"/>
                <v:textbox>
                  <w:txbxContent>
                    <w:p w14:paraId="5CA1E9F7" w14:textId="3D489023" w:rsidR="00A47803" w:rsidRPr="00A47803" w:rsidRDefault="00A4780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537F67">
                        <w:rPr>
                          <w:rFonts w:ascii="Times New Roman" w:hAnsi="Times New Roman"/>
                          <w:noProof/>
                          <w:sz w:val="18"/>
                        </w:rPr>
                        <w:t>AG08786S01</w:t>
                      </w:r>
                      <w:r>
                        <w:rPr>
                          <w:rFonts w:ascii="Times New Roman" w:hAnsi="Times New Roman"/>
                          <w:sz w:val="18"/>
                        </w:rPr>
                        <w:fldChar w:fldCharType="end"/>
                      </w:r>
                    </w:p>
                  </w:txbxContent>
                </v:textbox>
                <w10:wrap anchorx="margin" anchory="margin"/>
                <w10:anchorlock/>
              </v:shape>
            </w:pict>
          </mc:Fallback>
        </mc:AlternateContent>
      </w:r>
    </w:p>
    <w:sectPr w:rsidR="003355C3" w:rsidRPr="00DA5EC3" w:rsidSect="007E0383">
      <w:headerReference w:type="even" r:id="rId14"/>
      <w:headerReference w:type="default" r:id="rId15"/>
      <w:footerReference w:type="default" r:id="rId16"/>
      <w:type w:val="oddPage"/>
      <w:pgSz w:w="12240" w:h="15840" w:code="1"/>
      <w:pgMar w:top="2160" w:right="1571" w:bottom="1298"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BEF8B" w14:textId="77777777" w:rsidR="00760BD6" w:rsidRPr="003355C3" w:rsidRDefault="00760BD6">
      <w:pPr>
        <w:spacing w:after="0" w:line="240" w:lineRule="auto"/>
        <w:rPr>
          <w:noProof/>
        </w:rPr>
      </w:pPr>
      <w:r w:rsidRPr="003355C3">
        <w:rPr>
          <w:noProof/>
        </w:rPr>
        <w:separator/>
      </w:r>
    </w:p>
  </w:endnote>
  <w:endnote w:type="continuationSeparator" w:id="0">
    <w:p w14:paraId="2FE88089" w14:textId="77777777" w:rsidR="00760BD6" w:rsidRPr="003355C3" w:rsidRDefault="00760BD6">
      <w:pPr>
        <w:spacing w:after="0" w:line="240" w:lineRule="auto"/>
        <w:rPr>
          <w:noProof/>
        </w:rPr>
      </w:pPr>
      <w:r w:rsidRPr="003355C3">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837D" w14:textId="4888C930" w:rsidR="00AE2EED" w:rsidRPr="003355C3" w:rsidRDefault="007D52C2">
    <w:pPr>
      <w:pStyle w:val="Footer"/>
      <w:rPr>
        <w:rFonts w:ascii="Times New Roman" w:hAnsi="Times New Roman"/>
        <w:noProof/>
        <w:sz w:val="18"/>
        <w:szCs w:val="18"/>
      </w:rPr>
    </w:pPr>
    <w:r>
      <w:rPr>
        <w:rFonts w:ascii="Times New Roman" w:hAnsi="Times New Roman"/>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3AE88" w14:textId="77777777" w:rsidR="00760BD6" w:rsidRPr="003355C3" w:rsidRDefault="00760BD6">
      <w:pPr>
        <w:spacing w:after="0" w:line="240" w:lineRule="auto"/>
        <w:rPr>
          <w:noProof/>
        </w:rPr>
      </w:pPr>
      <w:r w:rsidRPr="003355C3">
        <w:rPr>
          <w:noProof/>
        </w:rPr>
        <w:separator/>
      </w:r>
    </w:p>
  </w:footnote>
  <w:footnote w:type="continuationSeparator" w:id="0">
    <w:p w14:paraId="6D2EA05E" w14:textId="77777777" w:rsidR="00760BD6" w:rsidRPr="003355C3" w:rsidRDefault="00760BD6">
      <w:pPr>
        <w:spacing w:after="0" w:line="240" w:lineRule="auto"/>
        <w:rPr>
          <w:noProof/>
        </w:rPr>
      </w:pPr>
      <w:r w:rsidRPr="003355C3">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8A69" w14:textId="77777777" w:rsidR="00082C81" w:rsidRPr="003355C3" w:rsidRDefault="00082C81" w:rsidP="00625365">
    <w:pPr>
      <w:pStyle w:val="Header"/>
      <w:framePr w:wrap="around" w:vAnchor="text" w:hAnchor="margin" w:xAlign="center" w:y="1"/>
      <w:rPr>
        <w:rStyle w:val="PageNumber"/>
        <w:noProof/>
      </w:rPr>
    </w:pPr>
    <w:r w:rsidRPr="003355C3">
      <w:rPr>
        <w:rStyle w:val="PageNumber"/>
      </w:rPr>
      <w:fldChar w:fldCharType="begin"/>
    </w:r>
    <w:r w:rsidRPr="003355C3">
      <w:rPr>
        <w:rStyle w:val="PageNumber"/>
      </w:rPr>
      <w:instrText xml:space="preserve">PAGE  </w:instrText>
    </w:r>
    <w:r w:rsidRPr="003355C3">
      <w:rPr>
        <w:rStyle w:val="PageNumber"/>
      </w:rPr>
      <w:fldChar w:fldCharType="end"/>
    </w:r>
  </w:p>
  <w:p w14:paraId="246DB30A" w14:textId="77777777" w:rsidR="00082C81" w:rsidRPr="003355C3" w:rsidRDefault="00082C81">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C0F3" w14:textId="247DA102" w:rsidR="00082C81" w:rsidRPr="003355C3" w:rsidRDefault="00082C81" w:rsidP="00934567">
    <w:pPr>
      <w:pStyle w:val="Header"/>
      <w:spacing w:after="0" w:line="240" w:lineRule="auto"/>
      <w:jc w:val="center"/>
      <w:rPr>
        <w:rFonts w:ascii="Times New Roman" w:hAnsi="Times New Roman"/>
        <w:noProof/>
      </w:rPr>
    </w:pPr>
    <w:r>
      <w:rPr>
        <w:rFonts w:ascii="Times New Roman" w:hAnsi="Times New Roman"/>
      </w:rPr>
      <w:t xml:space="preserve">- </w:t>
    </w:r>
    <w:r w:rsidRPr="003355C3">
      <w:rPr>
        <w:rStyle w:val="PageNumber"/>
        <w:rFonts w:ascii="Times New Roman" w:hAnsi="Times New Roman"/>
      </w:rPr>
      <w:fldChar w:fldCharType="begin"/>
    </w:r>
    <w:r w:rsidRPr="003355C3">
      <w:rPr>
        <w:rStyle w:val="PageNumber"/>
        <w:rFonts w:ascii="Times New Roman" w:hAnsi="Times New Roman"/>
      </w:rPr>
      <w:instrText xml:space="preserve"> PAGE </w:instrText>
    </w:r>
    <w:r w:rsidRPr="003355C3">
      <w:rPr>
        <w:rStyle w:val="PageNumber"/>
        <w:rFonts w:ascii="Times New Roman" w:hAnsi="Times New Roman"/>
      </w:rPr>
      <w:fldChar w:fldCharType="separate"/>
    </w:r>
    <w:r w:rsidR="00075A8D" w:rsidRPr="003355C3">
      <w:rPr>
        <w:rStyle w:val="PageNumber"/>
        <w:rFonts w:ascii="Times New Roman" w:hAnsi="Times New Roman"/>
      </w:rPr>
      <w:t>2</w:t>
    </w:r>
    <w:r w:rsidRPr="003355C3">
      <w:rPr>
        <w:rStyle w:val="PageNumber"/>
        <w:rFonts w:ascii="Times New Roman" w:hAnsi="Times New Roman"/>
      </w:rPr>
      <w:fldChar w:fldCharType="end"/>
    </w:r>
    <w:r>
      <w:rPr>
        <w:rStyle w:val="PageNumbe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6307"/>
    <w:multiLevelType w:val="multilevel"/>
    <w:tmpl w:val="BC045DF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AC23401"/>
    <w:multiLevelType w:val="hybridMultilevel"/>
    <w:tmpl w:val="84B828BC"/>
    <w:lvl w:ilvl="0" w:tplc="45320E8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072517"/>
    <w:multiLevelType w:val="hybridMultilevel"/>
    <w:tmpl w:val="4F609F14"/>
    <w:lvl w:ilvl="0" w:tplc="FFFFFFFF">
      <w:start w:val="1"/>
      <w:numFmt w:val="decimal"/>
      <w:lvlText w:val="%1."/>
      <w:lvlJc w:val="left"/>
      <w:pPr>
        <w:ind w:left="720" w:hanging="360"/>
      </w:pPr>
      <w:rPr>
        <w:rFonts w:ascii="Times New Roman" w:hAnsi="Times New Roman" w:hint="default"/>
        <w:sz w:val="22"/>
        <w:szCs w:val="22"/>
      </w:rPr>
    </w:lvl>
    <w:lvl w:ilvl="1" w:tplc="1E1A33A2">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C428B800">
      <w:start w:val="1"/>
      <w:numFmt w:val="decimal"/>
      <w:lvlText w:val="%4."/>
      <w:lvlJc w:val="left"/>
      <w:pPr>
        <w:ind w:left="2880" w:hanging="360"/>
      </w:pPr>
    </w:lvl>
    <w:lvl w:ilvl="4" w:tplc="58D41CF6" w:tentative="1">
      <w:start w:val="1"/>
      <w:numFmt w:val="lowerLetter"/>
      <w:lvlText w:val="%5."/>
      <w:lvlJc w:val="left"/>
      <w:pPr>
        <w:ind w:left="3600" w:hanging="360"/>
      </w:pPr>
    </w:lvl>
    <w:lvl w:ilvl="5" w:tplc="4B14A7D2" w:tentative="1">
      <w:start w:val="1"/>
      <w:numFmt w:val="lowerRoman"/>
      <w:lvlText w:val="%6."/>
      <w:lvlJc w:val="right"/>
      <w:pPr>
        <w:ind w:left="4320" w:hanging="180"/>
      </w:pPr>
    </w:lvl>
    <w:lvl w:ilvl="6" w:tplc="A6349A26" w:tentative="1">
      <w:start w:val="1"/>
      <w:numFmt w:val="decimal"/>
      <w:lvlText w:val="%7."/>
      <w:lvlJc w:val="left"/>
      <w:pPr>
        <w:ind w:left="5040" w:hanging="360"/>
      </w:pPr>
    </w:lvl>
    <w:lvl w:ilvl="7" w:tplc="2B501B8C" w:tentative="1">
      <w:start w:val="1"/>
      <w:numFmt w:val="lowerLetter"/>
      <w:lvlText w:val="%8."/>
      <w:lvlJc w:val="left"/>
      <w:pPr>
        <w:ind w:left="5760" w:hanging="360"/>
      </w:pPr>
    </w:lvl>
    <w:lvl w:ilvl="8" w:tplc="4A0E64BE" w:tentative="1">
      <w:start w:val="1"/>
      <w:numFmt w:val="lowerRoman"/>
      <w:lvlText w:val="%9."/>
      <w:lvlJc w:val="right"/>
      <w:pPr>
        <w:ind w:left="6480" w:hanging="180"/>
      </w:pPr>
    </w:lvl>
  </w:abstractNum>
  <w:abstractNum w:abstractNumId="3" w15:restartNumberingAfterBreak="0">
    <w:nsid w:val="23703D6B"/>
    <w:multiLevelType w:val="hybridMultilevel"/>
    <w:tmpl w:val="D2AA7C22"/>
    <w:lvl w:ilvl="0" w:tplc="0409000F">
      <w:start w:val="1"/>
      <w:numFmt w:val="decimal"/>
      <w:lvlText w:val="%1."/>
      <w:lvlJc w:val="left"/>
      <w:pPr>
        <w:ind w:left="15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54979"/>
    <w:multiLevelType w:val="hybridMultilevel"/>
    <w:tmpl w:val="67823B6A"/>
    <w:lvl w:ilvl="0" w:tplc="FFFFFFFF">
      <w:start w:val="1"/>
      <w:numFmt w:val="lowerLetter"/>
      <w:lvlText w:val="%1."/>
      <w:lvlJc w:val="left"/>
      <w:pPr>
        <w:ind w:left="5040" w:hanging="180"/>
      </w:pPr>
      <w:rPr>
        <w:rFonts w:hint="default"/>
      </w:rPr>
    </w:lvl>
    <w:lvl w:ilvl="1" w:tplc="FFFFFFFF">
      <w:start w:val="1"/>
      <w:numFmt w:val="bullet"/>
      <w:lvlText w:val="o"/>
      <w:lvlJc w:val="left"/>
      <w:pPr>
        <w:ind w:left="1440" w:hanging="360"/>
      </w:pPr>
      <w:rPr>
        <w:rFonts w:ascii="Courier New" w:hAnsi="Courier New" w:cs="Courier New" w:hint="default"/>
      </w:rPr>
    </w:lvl>
    <w:lvl w:ilvl="2" w:tplc="A802EC66">
      <w:start w:val="1"/>
      <w:numFmt w:val="lowerRoman"/>
      <w:lvlText w:val="%3."/>
      <w:lvlJc w:val="left"/>
      <w:pPr>
        <w:ind w:left="2160" w:hanging="18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ADB3BB7"/>
    <w:multiLevelType w:val="hybridMultilevel"/>
    <w:tmpl w:val="4DC4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E2005"/>
    <w:multiLevelType w:val="multilevel"/>
    <w:tmpl w:val="097E798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5066238B"/>
    <w:multiLevelType w:val="hybridMultilevel"/>
    <w:tmpl w:val="9F0E615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CFF651F"/>
    <w:multiLevelType w:val="multilevel"/>
    <w:tmpl w:val="4888046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7BE4333"/>
    <w:multiLevelType w:val="multilevel"/>
    <w:tmpl w:val="6F5ED9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8CA4EE2"/>
    <w:multiLevelType w:val="multilevel"/>
    <w:tmpl w:val="1516471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9443599"/>
    <w:multiLevelType w:val="hybridMultilevel"/>
    <w:tmpl w:val="08B41FB6"/>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E9477C4"/>
    <w:multiLevelType w:val="multilevel"/>
    <w:tmpl w:val="C596B6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27044772">
    <w:abstractNumId w:val="2"/>
  </w:num>
  <w:num w:numId="2" w16cid:durableId="1517574937">
    <w:abstractNumId w:val="4"/>
  </w:num>
  <w:num w:numId="3" w16cid:durableId="1172334372">
    <w:abstractNumId w:val="5"/>
  </w:num>
  <w:num w:numId="4" w16cid:durableId="1250851541">
    <w:abstractNumId w:val="3"/>
  </w:num>
  <w:num w:numId="5" w16cid:durableId="1261522679">
    <w:abstractNumId w:val="1"/>
  </w:num>
  <w:num w:numId="6" w16cid:durableId="231894387">
    <w:abstractNumId w:val="7"/>
  </w:num>
  <w:num w:numId="7" w16cid:durableId="604654230">
    <w:abstractNumId w:val="11"/>
  </w:num>
  <w:num w:numId="8" w16cid:durableId="1476027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93972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299180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601957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9116322">
    <w:abstractNumId w:val="6"/>
  </w:num>
  <w:num w:numId="13" w16cid:durableId="74260286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B7"/>
    <w:rsid w:val="00001E19"/>
    <w:rsid w:val="00006C4A"/>
    <w:rsid w:val="0001354E"/>
    <w:rsid w:val="0001404B"/>
    <w:rsid w:val="00021037"/>
    <w:rsid w:val="0002109A"/>
    <w:rsid w:val="000239F6"/>
    <w:rsid w:val="00023B72"/>
    <w:rsid w:val="00023D37"/>
    <w:rsid w:val="00024134"/>
    <w:rsid w:val="00024F94"/>
    <w:rsid w:val="000253CC"/>
    <w:rsid w:val="00025611"/>
    <w:rsid w:val="00032DC9"/>
    <w:rsid w:val="0003373E"/>
    <w:rsid w:val="000360A8"/>
    <w:rsid w:val="00036552"/>
    <w:rsid w:val="00037AB7"/>
    <w:rsid w:val="000411F5"/>
    <w:rsid w:val="00044F0F"/>
    <w:rsid w:val="000465BA"/>
    <w:rsid w:val="000467BA"/>
    <w:rsid w:val="000507CD"/>
    <w:rsid w:val="000510B0"/>
    <w:rsid w:val="0005360E"/>
    <w:rsid w:val="00054115"/>
    <w:rsid w:val="00057066"/>
    <w:rsid w:val="00060290"/>
    <w:rsid w:val="00065894"/>
    <w:rsid w:val="00065F66"/>
    <w:rsid w:val="000668E2"/>
    <w:rsid w:val="00066936"/>
    <w:rsid w:val="00066A47"/>
    <w:rsid w:val="000715EF"/>
    <w:rsid w:val="00075980"/>
    <w:rsid w:val="00075A8D"/>
    <w:rsid w:val="00081392"/>
    <w:rsid w:val="00082C81"/>
    <w:rsid w:val="00085784"/>
    <w:rsid w:val="000944EB"/>
    <w:rsid w:val="00094624"/>
    <w:rsid w:val="00097EB1"/>
    <w:rsid w:val="000A313E"/>
    <w:rsid w:val="000A48D3"/>
    <w:rsid w:val="000A6533"/>
    <w:rsid w:val="000B1CD0"/>
    <w:rsid w:val="000B543C"/>
    <w:rsid w:val="000B5568"/>
    <w:rsid w:val="000C3FAB"/>
    <w:rsid w:val="000C6E4D"/>
    <w:rsid w:val="000D0FFF"/>
    <w:rsid w:val="000D10ED"/>
    <w:rsid w:val="000D207D"/>
    <w:rsid w:val="000D472C"/>
    <w:rsid w:val="000E1A55"/>
    <w:rsid w:val="000E2BB6"/>
    <w:rsid w:val="000F21BA"/>
    <w:rsid w:val="000F24C0"/>
    <w:rsid w:val="000F42B1"/>
    <w:rsid w:val="000F4836"/>
    <w:rsid w:val="000F5D6E"/>
    <w:rsid w:val="00100173"/>
    <w:rsid w:val="001009D8"/>
    <w:rsid w:val="00100CFD"/>
    <w:rsid w:val="00103AD1"/>
    <w:rsid w:val="001048BD"/>
    <w:rsid w:val="001065AB"/>
    <w:rsid w:val="00110A82"/>
    <w:rsid w:val="00111951"/>
    <w:rsid w:val="00117DA1"/>
    <w:rsid w:val="00123837"/>
    <w:rsid w:val="00124B47"/>
    <w:rsid w:val="00125C2B"/>
    <w:rsid w:val="00140F58"/>
    <w:rsid w:val="00147516"/>
    <w:rsid w:val="00152C74"/>
    <w:rsid w:val="00152F76"/>
    <w:rsid w:val="001533C4"/>
    <w:rsid w:val="0015484E"/>
    <w:rsid w:val="00154ECC"/>
    <w:rsid w:val="00157910"/>
    <w:rsid w:val="001619BA"/>
    <w:rsid w:val="001662EE"/>
    <w:rsid w:val="001718C5"/>
    <w:rsid w:val="001756DC"/>
    <w:rsid w:val="00175CA3"/>
    <w:rsid w:val="001764D7"/>
    <w:rsid w:val="00177A79"/>
    <w:rsid w:val="0018141D"/>
    <w:rsid w:val="00181E14"/>
    <w:rsid w:val="00183159"/>
    <w:rsid w:val="0018350F"/>
    <w:rsid w:val="00190DC8"/>
    <w:rsid w:val="001912B2"/>
    <w:rsid w:val="001914A2"/>
    <w:rsid w:val="001922BC"/>
    <w:rsid w:val="0019239E"/>
    <w:rsid w:val="00193B45"/>
    <w:rsid w:val="001960A0"/>
    <w:rsid w:val="001A01BF"/>
    <w:rsid w:val="001A055B"/>
    <w:rsid w:val="001A366B"/>
    <w:rsid w:val="001B21F0"/>
    <w:rsid w:val="001B3E02"/>
    <w:rsid w:val="001C0BD2"/>
    <w:rsid w:val="001C15D3"/>
    <w:rsid w:val="001C2B49"/>
    <w:rsid w:val="001C423C"/>
    <w:rsid w:val="001C564C"/>
    <w:rsid w:val="001C5A23"/>
    <w:rsid w:val="001C6856"/>
    <w:rsid w:val="001D03FD"/>
    <w:rsid w:val="001D3A21"/>
    <w:rsid w:val="001D4C45"/>
    <w:rsid w:val="001D6868"/>
    <w:rsid w:val="001E06E9"/>
    <w:rsid w:val="001E195D"/>
    <w:rsid w:val="001E51EB"/>
    <w:rsid w:val="001F0660"/>
    <w:rsid w:val="001F2CC3"/>
    <w:rsid w:val="001F35DC"/>
    <w:rsid w:val="001F3CD5"/>
    <w:rsid w:val="001F726B"/>
    <w:rsid w:val="001F79C9"/>
    <w:rsid w:val="00200EF1"/>
    <w:rsid w:val="002059C9"/>
    <w:rsid w:val="002124B3"/>
    <w:rsid w:val="00212AFF"/>
    <w:rsid w:val="00213249"/>
    <w:rsid w:val="00216EA1"/>
    <w:rsid w:val="00217A77"/>
    <w:rsid w:val="002231F7"/>
    <w:rsid w:val="00231CC5"/>
    <w:rsid w:val="00233A54"/>
    <w:rsid w:val="002365D1"/>
    <w:rsid w:val="002373BF"/>
    <w:rsid w:val="00237481"/>
    <w:rsid w:val="00237B39"/>
    <w:rsid w:val="002418D0"/>
    <w:rsid w:val="0024355C"/>
    <w:rsid w:val="00244C31"/>
    <w:rsid w:val="00245C3E"/>
    <w:rsid w:val="00254C05"/>
    <w:rsid w:val="00256A9D"/>
    <w:rsid w:val="002612AD"/>
    <w:rsid w:val="00264183"/>
    <w:rsid w:val="002671C2"/>
    <w:rsid w:val="002709B9"/>
    <w:rsid w:val="0027339E"/>
    <w:rsid w:val="00274C74"/>
    <w:rsid w:val="00276B87"/>
    <w:rsid w:val="002773C9"/>
    <w:rsid w:val="002774CE"/>
    <w:rsid w:val="002807F6"/>
    <w:rsid w:val="0028285C"/>
    <w:rsid w:val="00282E6C"/>
    <w:rsid w:val="002831CD"/>
    <w:rsid w:val="00287114"/>
    <w:rsid w:val="002936CA"/>
    <w:rsid w:val="002948CB"/>
    <w:rsid w:val="00294FA6"/>
    <w:rsid w:val="002A0069"/>
    <w:rsid w:val="002B3A47"/>
    <w:rsid w:val="002B4EFC"/>
    <w:rsid w:val="002C0B09"/>
    <w:rsid w:val="002C2084"/>
    <w:rsid w:val="002C76FA"/>
    <w:rsid w:val="002D1348"/>
    <w:rsid w:val="002D196D"/>
    <w:rsid w:val="002E16C6"/>
    <w:rsid w:val="002E3FE8"/>
    <w:rsid w:val="002E60F4"/>
    <w:rsid w:val="002E6AAD"/>
    <w:rsid w:val="002F0301"/>
    <w:rsid w:val="002F422D"/>
    <w:rsid w:val="002F5D21"/>
    <w:rsid w:val="003000B0"/>
    <w:rsid w:val="00300207"/>
    <w:rsid w:val="00300712"/>
    <w:rsid w:val="00306D44"/>
    <w:rsid w:val="00307407"/>
    <w:rsid w:val="00312245"/>
    <w:rsid w:val="00314C15"/>
    <w:rsid w:val="00315EDE"/>
    <w:rsid w:val="00324410"/>
    <w:rsid w:val="003250BF"/>
    <w:rsid w:val="0032523D"/>
    <w:rsid w:val="00332B82"/>
    <w:rsid w:val="003335D9"/>
    <w:rsid w:val="003355C3"/>
    <w:rsid w:val="00343ACD"/>
    <w:rsid w:val="00344315"/>
    <w:rsid w:val="00344D13"/>
    <w:rsid w:val="00344E3F"/>
    <w:rsid w:val="00345D80"/>
    <w:rsid w:val="0034705D"/>
    <w:rsid w:val="0034767C"/>
    <w:rsid w:val="003517D7"/>
    <w:rsid w:val="00351F22"/>
    <w:rsid w:val="00355116"/>
    <w:rsid w:val="00355933"/>
    <w:rsid w:val="00360624"/>
    <w:rsid w:val="00363F2C"/>
    <w:rsid w:val="00370E7C"/>
    <w:rsid w:val="00372157"/>
    <w:rsid w:val="0037379D"/>
    <w:rsid w:val="00377066"/>
    <w:rsid w:val="00377419"/>
    <w:rsid w:val="00380E80"/>
    <w:rsid w:val="00381241"/>
    <w:rsid w:val="003818D1"/>
    <w:rsid w:val="00382658"/>
    <w:rsid w:val="00383EB7"/>
    <w:rsid w:val="003849C0"/>
    <w:rsid w:val="003868C3"/>
    <w:rsid w:val="00390C45"/>
    <w:rsid w:val="003910AA"/>
    <w:rsid w:val="00391314"/>
    <w:rsid w:val="00391A8F"/>
    <w:rsid w:val="003928FF"/>
    <w:rsid w:val="00392EA7"/>
    <w:rsid w:val="003938EE"/>
    <w:rsid w:val="00394EAA"/>
    <w:rsid w:val="00396495"/>
    <w:rsid w:val="003975B6"/>
    <w:rsid w:val="00397981"/>
    <w:rsid w:val="003A0312"/>
    <w:rsid w:val="003A168B"/>
    <w:rsid w:val="003A19DD"/>
    <w:rsid w:val="003A20FD"/>
    <w:rsid w:val="003A444D"/>
    <w:rsid w:val="003A5FDC"/>
    <w:rsid w:val="003B3D57"/>
    <w:rsid w:val="003C000B"/>
    <w:rsid w:val="003C0B9E"/>
    <w:rsid w:val="003C24E1"/>
    <w:rsid w:val="003C4171"/>
    <w:rsid w:val="003C41AE"/>
    <w:rsid w:val="003C48A2"/>
    <w:rsid w:val="003C4B67"/>
    <w:rsid w:val="003C5D55"/>
    <w:rsid w:val="003C7F71"/>
    <w:rsid w:val="003D1405"/>
    <w:rsid w:val="003D248C"/>
    <w:rsid w:val="003D26F5"/>
    <w:rsid w:val="003D6839"/>
    <w:rsid w:val="003E731A"/>
    <w:rsid w:val="003E792A"/>
    <w:rsid w:val="003F4BCA"/>
    <w:rsid w:val="004007D3"/>
    <w:rsid w:val="00402A38"/>
    <w:rsid w:val="00402C2B"/>
    <w:rsid w:val="00405DB2"/>
    <w:rsid w:val="0040637A"/>
    <w:rsid w:val="00406D29"/>
    <w:rsid w:val="00407656"/>
    <w:rsid w:val="00407AE3"/>
    <w:rsid w:val="00415E8F"/>
    <w:rsid w:val="0041779E"/>
    <w:rsid w:val="00420F57"/>
    <w:rsid w:val="004210F3"/>
    <w:rsid w:val="00422355"/>
    <w:rsid w:val="0042452B"/>
    <w:rsid w:val="00425ACA"/>
    <w:rsid w:val="004260F4"/>
    <w:rsid w:val="00426AD2"/>
    <w:rsid w:val="00432477"/>
    <w:rsid w:val="00432DFE"/>
    <w:rsid w:val="00433A0B"/>
    <w:rsid w:val="004417E5"/>
    <w:rsid w:val="00442DE2"/>
    <w:rsid w:val="004438DF"/>
    <w:rsid w:val="004463EB"/>
    <w:rsid w:val="00452AB1"/>
    <w:rsid w:val="004540D5"/>
    <w:rsid w:val="00467468"/>
    <w:rsid w:val="004702CB"/>
    <w:rsid w:val="00471F38"/>
    <w:rsid w:val="00474F1D"/>
    <w:rsid w:val="00475ADA"/>
    <w:rsid w:val="004765EF"/>
    <w:rsid w:val="004768E7"/>
    <w:rsid w:val="00476C31"/>
    <w:rsid w:val="00476C33"/>
    <w:rsid w:val="0047717D"/>
    <w:rsid w:val="004824FA"/>
    <w:rsid w:val="0048432F"/>
    <w:rsid w:val="00490676"/>
    <w:rsid w:val="00490A8C"/>
    <w:rsid w:val="00493B3D"/>
    <w:rsid w:val="0049536B"/>
    <w:rsid w:val="00496322"/>
    <w:rsid w:val="004977BD"/>
    <w:rsid w:val="004A69F9"/>
    <w:rsid w:val="004B3ECE"/>
    <w:rsid w:val="004B7D5C"/>
    <w:rsid w:val="004C34CD"/>
    <w:rsid w:val="004C358B"/>
    <w:rsid w:val="004C47EB"/>
    <w:rsid w:val="004C6F2E"/>
    <w:rsid w:val="004D1102"/>
    <w:rsid w:val="004D1353"/>
    <w:rsid w:val="004D4A5E"/>
    <w:rsid w:val="004E7398"/>
    <w:rsid w:val="004F128B"/>
    <w:rsid w:val="004F2094"/>
    <w:rsid w:val="004F699F"/>
    <w:rsid w:val="004F6B23"/>
    <w:rsid w:val="004F7105"/>
    <w:rsid w:val="0050009F"/>
    <w:rsid w:val="00501801"/>
    <w:rsid w:val="00503B15"/>
    <w:rsid w:val="00506228"/>
    <w:rsid w:val="00507941"/>
    <w:rsid w:val="00523766"/>
    <w:rsid w:val="00527023"/>
    <w:rsid w:val="00532357"/>
    <w:rsid w:val="00537F67"/>
    <w:rsid w:val="00542DC2"/>
    <w:rsid w:val="00551696"/>
    <w:rsid w:val="005516C7"/>
    <w:rsid w:val="005516E1"/>
    <w:rsid w:val="005533EE"/>
    <w:rsid w:val="00554EB7"/>
    <w:rsid w:val="00555D09"/>
    <w:rsid w:val="00556330"/>
    <w:rsid w:val="00560387"/>
    <w:rsid w:val="005608D8"/>
    <w:rsid w:val="005620AE"/>
    <w:rsid w:val="00583904"/>
    <w:rsid w:val="00584059"/>
    <w:rsid w:val="00585720"/>
    <w:rsid w:val="005870C3"/>
    <w:rsid w:val="005900C3"/>
    <w:rsid w:val="00591106"/>
    <w:rsid w:val="00593AF0"/>
    <w:rsid w:val="00595408"/>
    <w:rsid w:val="005A10FE"/>
    <w:rsid w:val="005A7C57"/>
    <w:rsid w:val="005A7FA2"/>
    <w:rsid w:val="005B4EB1"/>
    <w:rsid w:val="005C672D"/>
    <w:rsid w:val="005C7C5D"/>
    <w:rsid w:val="005D0027"/>
    <w:rsid w:val="005D08A8"/>
    <w:rsid w:val="005D1437"/>
    <w:rsid w:val="005D1B79"/>
    <w:rsid w:val="005D3681"/>
    <w:rsid w:val="005D5CC8"/>
    <w:rsid w:val="005D7057"/>
    <w:rsid w:val="005D7A45"/>
    <w:rsid w:val="005D7F50"/>
    <w:rsid w:val="005E0675"/>
    <w:rsid w:val="005E1580"/>
    <w:rsid w:val="005E24FA"/>
    <w:rsid w:val="005E3254"/>
    <w:rsid w:val="005E36AA"/>
    <w:rsid w:val="005E3D9D"/>
    <w:rsid w:val="005E4005"/>
    <w:rsid w:val="005E62F9"/>
    <w:rsid w:val="005E70AA"/>
    <w:rsid w:val="005F0E01"/>
    <w:rsid w:val="005F1C97"/>
    <w:rsid w:val="005F574A"/>
    <w:rsid w:val="005F7328"/>
    <w:rsid w:val="0060143F"/>
    <w:rsid w:val="00602833"/>
    <w:rsid w:val="00613608"/>
    <w:rsid w:val="00613AC5"/>
    <w:rsid w:val="006220A2"/>
    <w:rsid w:val="0062270F"/>
    <w:rsid w:val="00624066"/>
    <w:rsid w:val="00624132"/>
    <w:rsid w:val="00625365"/>
    <w:rsid w:val="00626763"/>
    <w:rsid w:val="00627449"/>
    <w:rsid w:val="0063093E"/>
    <w:rsid w:val="00632421"/>
    <w:rsid w:val="006360F9"/>
    <w:rsid w:val="00637924"/>
    <w:rsid w:val="00637CEC"/>
    <w:rsid w:val="00643672"/>
    <w:rsid w:val="006440AB"/>
    <w:rsid w:val="00644CFD"/>
    <w:rsid w:val="00645FA5"/>
    <w:rsid w:val="006461C5"/>
    <w:rsid w:val="00646DD0"/>
    <w:rsid w:val="00647A12"/>
    <w:rsid w:val="00652626"/>
    <w:rsid w:val="0065488B"/>
    <w:rsid w:val="00660D1B"/>
    <w:rsid w:val="00664505"/>
    <w:rsid w:val="00666ADD"/>
    <w:rsid w:val="00666B98"/>
    <w:rsid w:val="006675BB"/>
    <w:rsid w:val="00667672"/>
    <w:rsid w:val="006712EC"/>
    <w:rsid w:val="00674740"/>
    <w:rsid w:val="00676154"/>
    <w:rsid w:val="00676ED1"/>
    <w:rsid w:val="006813A2"/>
    <w:rsid w:val="00683455"/>
    <w:rsid w:val="00685B9B"/>
    <w:rsid w:val="00687D81"/>
    <w:rsid w:val="00690211"/>
    <w:rsid w:val="00693130"/>
    <w:rsid w:val="0069674C"/>
    <w:rsid w:val="00697379"/>
    <w:rsid w:val="006A32CB"/>
    <w:rsid w:val="006A7EF4"/>
    <w:rsid w:val="006B0D94"/>
    <w:rsid w:val="006B101D"/>
    <w:rsid w:val="006B58C6"/>
    <w:rsid w:val="006B5BC1"/>
    <w:rsid w:val="006B7894"/>
    <w:rsid w:val="006C1ACF"/>
    <w:rsid w:val="006C33C9"/>
    <w:rsid w:val="006C4A29"/>
    <w:rsid w:val="006C7CC8"/>
    <w:rsid w:val="006D1163"/>
    <w:rsid w:val="006D2D3C"/>
    <w:rsid w:val="006E011E"/>
    <w:rsid w:val="006E0468"/>
    <w:rsid w:val="006E22C0"/>
    <w:rsid w:val="006E280F"/>
    <w:rsid w:val="006F146E"/>
    <w:rsid w:val="006F2284"/>
    <w:rsid w:val="006F269D"/>
    <w:rsid w:val="006F48E1"/>
    <w:rsid w:val="006F55F2"/>
    <w:rsid w:val="006F5B22"/>
    <w:rsid w:val="006F6575"/>
    <w:rsid w:val="00703520"/>
    <w:rsid w:val="007042D5"/>
    <w:rsid w:val="00706AE3"/>
    <w:rsid w:val="0070749A"/>
    <w:rsid w:val="00707FF6"/>
    <w:rsid w:val="0071256A"/>
    <w:rsid w:val="00714D65"/>
    <w:rsid w:val="0072415C"/>
    <w:rsid w:val="007260E0"/>
    <w:rsid w:val="00732F7F"/>
    <w:rsid w:val="00733A20"/>
    <w:rsid w:val="00734CFD"/>
    <w:rsid w:val="00747856"/>
    <w:rsid w:val="00752374"/>
    <w:rsid w:val="00753474"/>
    <w:rsid w:val="007551FB"/>
    <w:rsid w:val="00757B98"/>
    <w:rsid w:val="00760BD6"/>
    <w:rsid w:val="00764620"/>
    <w:rsid w:val="00765BFF"/>
    <w:rsid w:val="00772320"/>
    <w:rsid w:val="00772CD7"/>
    <w:rsid w:val="0077330B"/>
    <w:rsid w:val="00775D86"/>
    <w:rsid w:val="00783611"/>
    <w:rsid w:val="00783791"/>
    <w:rsid w:val="00783806"/>
    <w:rsid w:val="00787196"/>
    <w:rsid w:val="007943F0"/>
    <w:rsid w:val="007956F5"/>
    <w:rsid w:val="00795832"/>
    <w:rsid w:val="00795EB1"/>
    <w:rsid w:val="007966F2"/>
    <w:rsid w:val="007A0332"/>
    <w:rsid w:val="007A1F16"/>
    <w:rsid w:val="007A3FC1"/>
    <w:rsid w:val="007A4E3C"/>
    <w:rsid w:val="007B2247"/>
    <w:rsid w:val="007B288F"/>
    <w:rsid w:val="007B2D94"/>
    <w:rsid w:val="007B30DE"/>
    <w:rsid w:val="007B6A6D"/>
    <w:rsid w:val="007B7B94"/>
    <w:rsid w:val="007C28D4"/>
    <w:rsid w:val="007C4015"/>
    <w:rsid w:val="007C4FCE"/>
    <w:rsid w:val="007C5F18"/>
    <w:rsid w:val="007C635A"/>
    <w:rsid w:val="007C723A"/>
    <w:rsid w:val="007D1C86"/>
    <w:rsid w:val="007D2751"/>
    <w:rsid w:val="007D3494"/>
    <w:rsid w:val="007D52C2"/>
    <w:rsid w:val="007D6002"/>
    <w:rsid w:val="007D634E"/>
    <w:rsid w:val="007D7697"/>
    <w:rsid w:val="007E0383"/>
    <w:rsid w:val="007E1F52"/>
    <w:rsid w:val="007E50E8"/>
    <w:rsid w:val="007E5D4F"/>
    <w:rsid w:val="007F221F"/>
    <w:rsid w:val="007F2F14"/>
    <w:rsid w:val="007F54D8"/>
    <w:rsid w:val="0080158D"/>
    <w:rsid w:val="00802C37"/>
    <w:rsid w:val="00802D70"/>
    <w:rsid w:val="00804AB0"/>
    <w:rsid w:val="008050CC"/>
    <w:rsid w:val="00810B96"/>
    <w:rsid w:val="00813017"/>
    <w:rsid w:val="00815D9B"/>
    <w:rsid w:val="00816CBE"/>
    <w:rsid w:val="00822F7A"/>
    <w:rsid w:val="008261A9"/>
    <w:rsid w:val="00830059"/>
    <w:rsid w:val="00833614"/>
    <w:rsid w:val="00836E1F"/>
    <w:rsid w:val="008413CE"/>
    <w:rsid w:val="00842CDD"/>
    <w:rsid w:val="00844784"/>
    <w:rsid w:val="00844CF4"/>
    <w:rsid w:val="00845D85"/>
    <w:rsid w:val="00851144"/>
    <w:rsid w:val="008519EA"/>
    <w:rsid w:val="00851F92"/>
    <w:rsid w:val="00864C99"/>
    <w:rsid w:val="0087013A"/>
    <w:rsid w:val="008733C3"/>
    <w:rsid w:val="00873C7D"/>
    <w:rsid w:val="00880849"/>
    <w:rsid w:val="00884A2C"/>
    <w:rsid w:val="00884D36"/>
    <w:rsid w:val="00890EDD"/>
    <w:rsid w:val="008A2329"/>
    <w:rsid w:val="008B1573"/>
    <w:rsid w:val="008B195C"/>
    <w:rsid w:val="008B2408"/>
    <w:rsid w:val="008B2C8F"/>
    <w:rsid w:val="008B42B9"/>
    <w:rsid w:val="008B7DC9"/>
    <w:rsid w:val="008C2B1A"/>
    <w:rsid w:val="008C2F3C"/>
    <w:rsid w:val="008C3B04"/>
    <w:rsid w:val="008D1406"/>
    <w:rsid w:val="008E0F31"/>
    <w:rsid w:val="008E17C8"/>
    <w:rsid w:val="008E7290"/>
    <w:rsid w:val="008F2A9D"/>
    <w:rsid w:val="008F322C"/>
    <w:rsid w:val="008F568A"/>
    <w:rsid w:val="009023E8"/>
    <w:rsid w:val="009038D9"/>
    <w:rsid w:val="00906547"/>
    <w:rsid w:val="00913F30"/>
    <w:rsid w:val="0091535F"/>
    <w:rsid w:val="009165F9"/>
    <w:rsid w:val="00917FBE"/>
    <w:rsid w:val="00920535"/>
    <w:rsid w:val="0092462E"/>
    <w:rsid w:val="00924858"/>
    <w:rsid w:val="009249E8"/>
    <w:rsid w:val="00927AA7"/>
    <w:rsid w:val="00930618"/>
    <w:rsid w:val="0093131A"/>
    <w:rsid w:val="00931F97"/>
    <w:rsid w:val="0093303A"/>
    <w:rsid w:val="00934567"/>
    <w:rsid w:val="00936AD4"/>
    <w:rsid w:val="00941735"/>
    <w:rsid w:val="0094292C"/>
    <w:rsid w:val="0094417A"/>
    <w:rsid w:val="00945F48"/>
    <w:rsid w:val="00947071"/>
    <w:rsid w:val="0095039F"/>
    <w:rsid w:val="0095141B"/>
    <w:rsid w:val="0095296E"/>
    <w:rsid w:val="00955F16"/>
    <w:rsid w:val="00957A3A"/>
    <w:rsid w:val="00957E1C"/>
    <w:rsid w:val="00961262"/>
    <w:rsid w:val="00965908"/>
    <w:rsid w:val="0097150E"/>
    <w:rsid w:val="0097485D"/>
    <w:rsid w:val="0097563D"/>
    <w:rsid w:val="00975A73"/>
    <w:rsid w:val="009806DA"/>
    <w:rsid w:val="00981DBB"/>
    <w:rsid w:val="00983C94"/>
    <w:rsid w:val="0098435F"/>
    <w:rsid w:val="00984924"/>
    <w:rsid w:val="009905EF"/>
    <w:rsid w:val="009917AD"/>
    <w:rsid w:val="009918C8"/>
    <w:rsid w:val="00991EE4"/>
    <w:rsid w:val="0099484A"/>
    <w:rsid w:val="009954A2"/>
    <w:rsid w:val="009A04DD"/>
    <w:rsid w:val="009A2026"/>
    <w:rsid w:val="009A47B0"/>
    <w:rsid w:val="009A7947"/>
    <w:rsid w:val="009B3A89"/>
    <w:rsid w:val="009B4A3F"/>
    <w:rsid w:val="009B595D"/>
    <w:rsid w:val="009B63DD"/>
    <w:rsid w:val="009C5861"/>
    <w:rsid w:val="009D087A"/>
    <w:rsid w:val="009D0D13"/>
    <w:rsid w:val="009D11DB"/>
    <w:rsid w:val="009D6F4A"/>
    <w:rsid w:val="009E08DA"/>
    <w:rsid w:val="009E240E"/>
    <w:rsid w:val="009E3386"/>
    <w:rsid w:val="009E48BA"/>
    <w:rsid w:val="009E4E98"/>
    <w:rsid w:val="009E647C"/>
    <w:rsid w:val="009E7D4E"/>
    <w:rsid w:val="009F0376"/>
    <w:rsid w:val="009F5059"/>
    <w:rsid w:val="00A00401"/>
    <w:rsid w:val="00A0563C"/>
    <w:rsid w:val="00A07E88"/>
    <w:rsid w:val="00A10199"/>
    <w:rsid w:val="00A102ED"/>
    <w:rsid w:val="00A16939"/>
    <w:rsid w:val="00A179CC"/>
    <w:rsid w:val="00A244E7"/>
    <w:rsid w:val="00A24622"/>
    <w:rsid w:val="00A24EAF"/>
    <w:rsid w:val="00A300E1"/>
    <w:rsid w:val="00A328C1"/>
    <w:rsid w:val="00A35713"/>
    <w:rsid w:val="00A363A7"/>
    <w:rsid w:val="00A364A9"/>
    <w:rsid w:val="00A40A7A"/>
    <w:rsid w:val="00A41ADB"/>
    <w:rsid w:val="00A42ADB"/>
    <w:rsid w:val="00A4646C"/>
    <w:rsid w:val="00A47803"/>
    <w:rsid w:val="00A52642"/>
    <w:rsid w:val="00A572B6"/>
    <w:rsid w:val="00A5739F"/>
    <w:rsid w:val="00A64757"/>
    <w:rsid w:val="00A64E57"/>
    <w:rsid w:val="00A66BC9"/>
    <w:rsid w:val="00A8216A"/>
    <w:rsid w:val="00A859A5"/>
    <w:rsid w:val="00A85CF3"/>
    <w:rsid w:val="00A91472"/>
    <w:rsid w:val="00A929AB"/>
    <w:rsid w:val="00A937FA"/>
    <w:rsid w:val="00A9462A"/>
    <w:rsid w:val="00A946CE"/>
    <w:rsid w:val="00AA054C"/>
    <w:rsid w:val="00AA1B61"/>
    <w:rsid w:val="00AA2F14"/>
    <w:rsid w:val="00AA5A79"/>
    <w:rsid w:val="00AB0574"/>
    <w:rsid w:val="00AB3C97"/>
    <w:rsid w:val="00AB63B0"/>
    <w:rsid w:val="00AB7ED1"/>
    <w:rsid w:val="00AC01AE"/>
    <w:rsid w:val="00AC0929"/>
    <w:rsid w:val="00AC133E"/>
    <w:rsid w:val="00AC6625"/>
    <w:rsid w:val="00AC6DA8"/>
    <w:rsid w:val="00AC7004"/>
    <w:rsid w:val="00AD2B3B"/>
    <w:rsid w:val="00AD2CE0"/>
    <w:rsid w:val="00AD4515"/>
    <w:rsid w:val="00AE1E46"/>
    <w:rsid w:val="00AE2EED"/>
    <w:rsid w:val="00AE537C"/>
    <w:rsid w:val="00AE57B8"/>
    <w:rsid w:val="00AE69B2"/>
    <w:rsid w:val="00AE6BD2"/>
    <w:rsid w:val="00AF1852"/>
    <w:rsid w:val="00AF339E"/>
    <w:rsid w:val="00AF34DA"/>
    <w:rsid w:val="00AF3D72"/>
    <w:rsid w:val="00AF5032"/>
    <w:rsid w:val="00B0184D"/>
    <w:rsid w:val="00B0411D"/>
    <w:rsid w:val="00B14851"/>
    <w:rsid w:val="00B20625"/>
    <w:rsid w:val="00B213AC"/>
    <w:rsid w:val="00B23105"/>
    <w:rsid w:val="00B248D8"/>
    <w:rsid w:val="00B26E71"/>
    <w:rsid w:val="00B3229A"/>
    <w:rsid w:val="00B34811"/>
    <w:rsid w:val="00B3725A"/>
    <w:rsid w:val="00B37265"/>
    <w:rsid w:val="00B459FB"/>
    <w:rsid w:val="00B6061C"/>
    <w:rsid w:val="00B618A3"/>
    <w:rsid w:val="00B64FBC"/>
    <w:rsid w:val="00B67D5E"/>
    <w:rsid w:val="00B8004D"/>
    <w:rsid w:val="00B801EC"/>
    <w:rsid w:val="00B80D8E"/>
    <w:rsid w:val="00B80F99"/>
    <w:rsid w:val="00B81103"/>
    <w:rsid w:val="00B84DC4"/>
    <w:rsid w:val="00B90690"/>
    <w:rsid w:val="00B93F45"/>
    <w:rsid w:val="00B96731"/>
    <w:rsid w:val="00B96F65"/>
    <w:rsid w:val="00B97B85"/>
    <w:rsid w:val="00BA0BD4"/>
    <w:rsid w:val="00BB0A4D"/>
    <w:rsid w:val="00BB1CC7"/>
    <w:rsid w:val="00BB358E"/>
    <w:rsid w:val="00BB5B48"/>
    <w:rsid w:val="00BC04B3"/>
    <w:rsid w:val="00BC4A93"/>
    <w:rsid w:val="00BC5AD6"/>
    <w:rsid w:val="00BC6E60"/>
    <w:rsid w:val="00BD19C7"/>
    <w:rsid w:val="00BD2111"/>
    <w:rsid w:val="00BD68BB"/>
    <w:rsid w:val="00BD742C"/>
    <w:rsid w:val="00BE25AF"/>
    <w:rsid w:val="00BE2972"/>
    <w:rsid w:val="00BE7AA6"/>
    <w:rsid w:val="00BF2910"/>
    <w:rsid w:val="00BF6E1F"/>
    <w:rsid w:val="00BF7183"/>
    <w:rsid w:val="00C02D07"/>
    <w:rsid w:val="00C075FD"/>
    <w:rsid w:val="00C10926"/>
    <w:rsid w:val="00C16BAE"/>
    <w:rsid w:val="00C23CAC"/>
    <w:rsid w:val="00C24CDF"/>
    <w:rsid w:val="00C26B0C"/>
    <w:rsid w:val="00C30359"/>
    <w:rsid w:val="00C34D5E"/>
    <w:rsid w:val="00C3768D"/>
    <w:rsid w:val="00C42F01"/>
    <w:rsid w:val="00C45C5A"/>
    <w:rsid w:val="00C462BF"/>
    <w:rsid w:val="00C470D5"/>
    <w:rsid w:val="00C5006C"/>
    <w:rsid w:val="00C51D47"/>
    <w:rsid w:val="00C52346"/>
    <w:rsid w:val="00C53083"/>
    <w:rsid w:val="00C61373"/>
    <w:rsid w:val="00C61CB5"/>
    <w:rsid w:val="00C640DC"/>
    <w:rsid w:val="00C67294"/>
    <w:rsid w:val="00C70A2D"/>
    <w:rsid w:val="00C72B53"/>
    <w:rsid w:val="00C73AE5"/>
    <w:rsid w:val="00C75A07"/>
    <w:rsid w:val="00C76FC6"/>
    <w:rsid w:val="00C81ADE"/>
    <w:rsid w:val="00C81C15"/>
    <w:rsid w:val="00C863EA"/>
    <w:rsid w:val="00C8731D"/>
    <w:rsid w:val="00C87F35"/>
    <w:rsid w:val="00C926FF"/>
    <w:rsid w:val="00C944A7"/>
    <w:rsid w:val="00C96B16"/>
    <w:rsid w:val="00C9787C"/>
    <w:rsid w:val="00C979C3"/>
    <w:rsid w:val="00CA58DA"/>
    <w:rsid w:val="00CB0269"/>
    <w:rsid w:val="00CB0D39"/>
    <w:rsid w:val="00CB14E5"/>
    <w:rsid w:val="00CB412A"/>
    <w:rsid w:val="00CB6E19"/>
    <w:rsid w:val="00CC2465"/>
    <w:rsid w:val="00CC2ABF"/>
    <w:rsid w:val="00CC5C4A"/>
    <w:rsid w:val="00CC64D3"/>
    <w:rsid w:val="00CD059B"/>
    <w:rsid w:val="00CD1845"/>
    <w:rsid w:val="00CD4514"/>
    <w:rsid w:val="00CE0174"/>
    <w:rsid w:val="00CE176F"/>
    <w:rsid w:val="00CE3FD9"/>
    <w:rsid w:val="00CF0167"/>
    <w:rsid w:val="00CF0986"/>
    <w:rsid w:val="00CF1FC9"/>
    <w:rsid w:val="00CF6845"/>
    <w:rsid w:val="00CF70DA"/>
    <w:rsid w:val="00D006B5"/>
    <w:rsid w:val="00D06A0B"/>
    <w:rsid w:val="00D06D22"/>
    <w:rsid w:val="00D077E7"/>
    <w:rsid w:val="00D077E9"/>
    <w:rsid w:val="00D07979"/>
    <w:rsid w:val="00D13583"/>
    <w:rsid w:val="00D143FA"/>
    <w:rsid w:val="00D17060"/>
    <w:rsid w:val="00D20490"/>
    <w:rsid w:val="00D20C7D"/>
    <w:rsid w:val="00D228A7"/>
    <w:rsid w:val="00D256FE"/>
    <w:rsid w:val="00D27DF3"/>
    <w:rsid w:val="00D30973"/>
    <w:rsid w:val="00D30F98"/>
    <w:rsid w:val="00D330C0"/>
    <w:rsid w:val="00D361A9"/>
    <w:rsid w:val="00D4390B"/>
    <w:rsid w:val="00D43E40"/>
    <w:rsid w:val="00D46D2A"/>
    <w:rsid w:val="00D473AC"/>
    <w:rsid w:val="00D51773"/>
    <w:rsid w:val="00D53CB4"/>
    <w:rsid w:val="00D5641E"/>
    <w:rsid w:val="00D573CE"/>
    <w:rsid w:val="00D57476"/>
    <w:rsid w:val="00D6262A"/>
    <w:rsid w:val="00D6297B"/>
    <w:rsid w:val="00D650EF"/>
    <w:rsid w:val="00D72AF2"/>
    <w:rsid w:val="00D83DC7"/>
    <w:rsid w:val="00D9241E"/>
    <w:rsid w:val="00D925CA"/>
    <w:rsid w:val="00D92F33"/>
    <w:rsid w:val="00D93635"/>
    <w:rsid w:val="00D95F75"/>
    <w:rsid w:val="00D96092"/>
    <w:rsid w:val="00DA29BB"/>
    <w:rsid w:val="00DA5EC3"/>
    <w:rsid w:val="00DA6959"/>
    <w:rsid w:val="00DB1FB7"/>
    <w:rsid w:val="00DB2803"/>
    <w:rsid w:val="00DB4D45"/>
    <w:rsid w:val="00DB5D02"/>
    <w:rsid w:val="00DB686F"/>
    <w:rsid w:val="00DC1E65"/>
    <w:rsid w:val="00DC486B"/>
    <w:rsid w:val="00DC5F88"/>
    <w:rsid w:val="00DD008E"/>
    <w:rsid w:val="00DD0CED"/>
    <w:rsid w:val="00DD3F00"/>
    <w:rsid w:val="00DD4340"/>
    <w:rsid w:val="00DD7C73"/>
    <w:rsid w:val="00DE17C8"/>
    <w:rsid w:val="00DE3809"/>
    <w:rsid w:val="00DE43C5"/>
    <w:rsid w:val="00DE4488"/>
    <w:rsid w:val="00DE462B"/>
    <w:rsid w:val="00DE4D98"/>
    <w:rsid w:val="00DE57A9"/>
    <w:rsid w:val="00DE70CD"/>
    <w:rsid w:val="00DF1A11"/>
    <w:rsid w:val="00DF2DBF"/>
    <w:rsid w:val="00DF398E"/>
    <w:rsid w:val="00E029B5"/>
    <w:rsid w:val="00E03EE0"/>
    <w:rsid w:val="00E04752"/>
    <w:rsid w:val="00E105F5"/>
    <w:rsid w:val="00E1653B"/>
    <w:rsid w:val="00E200BE"/>
    <w:rsid w:val="00E22685"/>
    <w:rsid w:val="00E2385C"/>
    <w:rsid w:val="00E267A8"/>
    <w:rsid w:val="00E275D2"/>
    <w:rsid w:val="00E2788B"/>
    <w:rsid w:val="00E320CE"/>
    <w:rsid w:val="00E4270C"/>
    <w:rsid w:val="00E4718C"/>
    <w:rsid w:val="00E508A9"/>
    <w:rsid w:val="00E527C6"/>
    <w:rsid w:val="00E547C9"/>
    <w:rsid w:val="00E54BBB"/>
    <w:rsid w:val="00E55ED3"/>
    <w:rsid w:val="00E60DDA"/>
    <w:rsid w:val="00E61FB3"/>
    <w:rsid w:val="00E63D73"/>
    <w:rsid w:val="00E645CD"/>
    <w:rsid w:val="00E67705"/>
    <w:rsid w:val="00E70F60"/>
    <w:rsid w:val="00E76447"/>
    <w:rsid w:val="00E7656B"/>
    <w:rsid w:val="00E7691E"/>
    <w:rsid w:val="00E77C0E"/>
    <w:rsid w:val="00E80EF1"/>
    <w:rsid w:val="00E839DE"/>
    <w:rsid w:val="00E86571"/>
    <w:rsid w:val="00E913EC"/>
    <w:rsid w:val="00E95BFB"/>
    <w:rsid w:val="00EB123B"/>
    <w:rsid w:val="00EB1F67"/>
    <w:rsid w:val="00EB7DA3"/>
    <w:rsid w:val="00EC073E"/>
    <w:rsid w:val="00ED041E"/>
    <w:rsid w:val="00ED1645"/>
    <w:rsid w:val="00ED2D0A"/>
    <w:rsid w:val="00ED3F34"/>
    <w:rsid w:val="00ED41DC"/>
    <w:rsid w:val="00ED70E1"/>
    <w:rsid w:val="00EE0460"/>
    <w:rsid w:val="00EE5A02"/>
    <w:rsid w:val="00EE5B2C"/>
    <w:rsid w:val="00EF2957"/>
    <w:rsid w:val="00F02D8D"/>
    <w:rsid w:val="00F04138"/>
    <w:rsid w:val="00F04BFF"/>
    <w:rsid w:val="00F05C6D"/>
    <w:rsid w:val="00F06F1E"/>
    <w:rsid w:val="00F107D8"/>
    <w:rsid w:val="00F10E49"/>
    <w:rsid w:val="00F11CFF"/>
    <w:rsid w:val="00F128A1"/>
    <w:rsid w:val="00F2353B"/>
    <w:rsid w:val="00F24EB7"/>
    <w:rsid w:val="00F257BA"/>
    <w:rsid w:val="00F267EB"/>
    <w:rsid w:val="00F2765D"/>
    <w:rsid w:val="00F33029"/>
    <w:rsid w:val="00F3315B"/>
    <w:rsid w:val="00F33615"/>
    <w:rsid w:val="00F36980"/>
    <w:rsid w:val="00F4284C"/>
    <w:rsid w:val="00F444D9"/>
    <w:rsid w:val="00F46AF8"/>
    <w:rsid w:val="00F53244"/>
    <w:rsid w:val="00F53EEB"/>
    <w:rsid w:val="00F56C14"/>
    <w:rsid w:val="00F63B92"/>
    <w:rsid w:val="00F67181"/>
    <w:rsid w:val="00F67424"/>
    <w:rsid w:val="00F75469"/>
    <w:rsid w:val="00F77726"/>
    <w:rsid w:val="00F82321"/>
    <w:rsid w:val="00F85851"/>
    <w:rsid w:val="00F87411"/>
    <w:rsid w:val="00F87F16"/>
    <w:rsid w:val="00F92990"/>
    <w:rsid w:val="00F95B51"/>
    <w:rsid w:val="00F96B21"/>
    <w:rsid w:val="00F97DB7"/>
    <w:rsid w:val="00FA4ED4"/>
    <w:rsid w:val="00FA719A"/>
    <w:rsid w:val="00FB0DD2"/>
    <w:rsid w:val="00FB301A"/>
    <w:rsid w:val="00FB4013"/>
    <w:rsid w:val="00FB6359"/>
    <w:rsid w:val="00FB6D84"/>
    <w:rsid w:val="00FC5AA7"/>
    <w:rsid w:val="00FC61DB"/>
    <w:rsid w:val="00FC69FE"/>
    <w:rsid w:val="00FC6CAB"/>
    <w:rsid w:val="00FD0805"/>
    <w:rsid w:val="00FD28D4"/>
    <w:rsid w:val="00FE1548"/>
    <w:rsid w:val="00FE2A7C"/>
    <w:rsid w:val="00FE48FF"/>
    <w:rsid w:val="00FF45E5"/>
    <w:rsid w:val="00FF50ED"/>
    <w:rsid w:val="00FF6629"/>
    <w:rsid w:val="2203BCCD"/>
    <w:rsid w:val="2DB2CDC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A9935AA"/>
  <w15:chartTrackingRefBased/>
  <w15:docId w15:val="{CC64CA35-D930-4A81-9DA5-55585D0A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037"/>
    <w:pPr>
      <w:spacing w:after="200" w:line="276" w:lineRule="auto"/>
    </w:pPr>
    <w:rPr>
      <w:rFonts w:ascii="Calibri" w:hAnsi="Calibri"/>
      <w:snapToGrid w:val="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ppercase">
    <w:name w:val="Title Uppercase"/>
    <w:basedOn w:val="Normal"/>
    <w:rsid w:val="00037AB7"/>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SimSun" w:hAnsi="Times New Roman"/>
      <w:szCs w:val="20"/>
    </w:rPr>
  </w:style>
  <w:style w:type="paragraph" w:styleId="FootnoteText">
    <w:name w:val="footnote text"/>
    <w:basedOn w:val="Normal"/>
    <w:semiHidden/>
    <w:rsid w:val="00037AB7"/>
    <w:rPr>
      <w:sz w:val="20"/>
      <w:szCs w:val="20"/>
    </w:rPr>
  </w:style>
  <w:style w:type="character" w:styleId="FootnoteReference">
    <w:name w:val="footnote reference"/>
    <w:semiHidden/>
    <w:rsid w:val="00037AB7"/>
    <w:rPr>
      <w:vertAlign w:val="superscript"/>
    </w:rPr>
  </w:style>
  <w:style w:type="paragraph" w:customStyle="1" w:styleId="Default">
    <w:name w:val="Default"/>
    <w:rsid w:val="00037AB7"/>
    <w:pPr>
      <w:autoSpaceDE w:val="0"/>
      <w:autoSpaceDN w:val="0"/>
      <w:adjustRightInd w:val="0"/>
    </w:pPr>
    <w:rPr>
      <w:rFonts w:ascii="Calibri" w:eastAsia="SimSun" w:hAnsi="Calibri" w:cs="Calibri"/>
      <w:snapToGrid w:val="0"/>
      <w:color w:val="000000"/>
      <w:sz w:val="24"/>
      <w:szCs w:val="24"/>
      <w:lang w:eastAsia="zh-CN"/>
    </w:rPr>
  </w:style>
  <w:style w:type="character" w:styleId="Hyperlink">
    <w:name w:val="Hyperlink"/>
    <w:rsid w:val="00037AB7"/>
    <w:rPr>
      <w:color w:val="0000FF"/>
      <w:u w:val="none"/>
      <w:effect w:val="none"/>
    </w:rPr>
  </w:style>
  <w:style w:type="paragraph" w:styleId="Header">
    <w:name w:val="header"/>
    <w:basedOn w:val="Normal"/>
    <w:rsid w:val="00934567"/>
    <w:pPr>
      <w:tabs>
        <w:tab w:val="center" w:pos="4320"/>
        <w:tab w:val="right" w:pos="8640"/>
      </w:tabs>
    </w:pPr>
  </w:style>
  <w:style w:type="paragraph" w:styleId="Footer">
    <w:name w:val="footer"/>
    <w:basedOn w:val="Normal"/>
    <w:rsid w:val="00934567"/>
    <w:pPr>
      <w:tabs>
        <w:tab w:val="center" w:pos="4320"/>
        <w:tab w:val="right" w:pos="8640"/>
      </w:tabs>
    </w:pPr>
  </w:style>
  <w:style w:type="character" w:styleId="PageNumber">
    <w:name w:val="page number"/>
    <w:basedOn w:val="DefaultParagraphFont"/>
    <w:rsid w:val="00934567"/>
  </w:style>
  <w:style w:type="paragraph" w:customStyle="1" w:styleId="section1">
    <w:name w:val="section1"/>
    <w:basedOn w:val="Normal"/>
    <w:uiPriority w:val="99"/>
    <w:rsid w:val="00A64757"/>
    <w:pPr>
      <w:spacing w:before="100" w:beforeAutospacing="1" w:after="100" w:afterAutospacing="1" w:line="240" w:lineRule="auto"/>
    </w:pPr>
    <w:rPr>
      <w:rFonts w:ascii="Times New Roman" w:eastAsia="MS Mincho" w:hAnsi="Times New Roman"/>
      <w:snapToGrid/>
      <w:sz w:val="24"/>
      <w:szCs w:val="24"/>
      <w:lang w:eastAsia="ja-JP"/>
    </w:rPr>
  </w:style>
  <w:style w:type="paragraph" w:styleId="PlainText">
    <w:name w:val="Plain Text"/>
    <w:basedOn w:val="Normal"/>
    <w:link w:val="PlainTextChar1"/>
    <w:uiPriority w:val="99"/>
    <w:rsid w:val="004D1102"/>
    <w:pPr>
      <w:spacing w:after="0" w:line="240" w:lineRule="auto"/>
    </w:pPr>
    <w:rPr>
      <w:snapToGrid/>
      <w:lang w:eastAsia="en-US"/>
    </w:rPr>
  </w:style>
  <w:style w:type="character" w:styleId="CommentReference">
    <w:name w:val="annotation reference"/>
    <w:semiHidden/>
    <w:rsid w:val="004D1102"/>
    <w:rPr>
      <w:sz w:val="16"/>
      <w:szCs w:val="16"/>
    </w:rPr>
  </w:style>
  <w:style w:type="paragraph" w:styleId="CommentText">
    <w:name w:val="annotation text"/>
    <w:basedOn w:val="Normal"/>
    <w:semiHidden/>
    <w:rsid w:val="004D1102"/>
    <w:rPr>
      <w:sz w:val="20"/>
      <w:szCs w:val="20"/>
    </w:rPr>
  </w:style>
  <w:style w:type="paragraph" w:styleId="CommentSubject">
    <w:name w:val="annotation subject"/>
    <w:basedOn w:val="CommentText"/>
    <w:next w:val="CommentText"/>
    <w:semiHidden/>
    <w:rsid w:val="004D1102"/>
    <w:rPr>
      <w:b/>
      <w:bCs/>
    </w:rPr>
  </w:style>
  <w:style w:type="paragraph" w:styleId="BalloonText">
    <w:name w:val="Balloon Text"/>
    <w:basedOn w:val="Normal"/>
    <w:semiHidden/>
    <w:rsid w:val="004D1102"/>
    <w:rPr>
      <w:rFonts w:ascii="Tahoma" w:hAnsi="Tahoma" w:cs="Tahoma"/>
      <w:sz w:val="16"/>
      <w:szCs w:val="16"/>
    </w:rPr>
  </w:style>
  <w:style w:type="character" w:styleId="FollowedHyperlink">
    <w:name w:val="FollowedHyperlink"/>
    <w:rsid w:val="00493B3D"/>
    <w:rPr>
      <w:color w:val="800080"/>
      <w:u w:val="single"/>
    </w:rPr>
  </w:style>
  <w:style w:type="character" w:customStyle="1" w:styleId="PlainTextChar1">
    <w:name w:val="Plain Text Char1"/>
    <w:link w:val="PlainText"/>
    <w:rsid w:val="0062270F"/>
    <w:rPr>
      <w:rFonts w:ascii="Calibri" w:hAnsi="Calibri"/>
      <w:sz w:val="22"/>
      <w:szCs w:val="22"/>
      <w:lang w:val="es-ES" w:eastAsia="en-US" w:bidi="ar-SA"/>
    </w:rPr>
  </w:style>
  <w:style w:type="paragraph" w:styleId="Title">
    <w:name w:val="Title"/>
    <w:basedOn w:val="Normal"/>
    <w:link w:val="TitleChar"/>
    <w:qFormat/>
    <w:rsid w:val="009E3386"/>
    <w:pPr>
      <w:spacing w:after="0" w:line="240" w:lineRule="auto"/>
      <w:jc w:val="center"/>
    </w:pPr>
    <w:rPr>
      <w:rFonts w:ascii="Times New Roman" w:hAnsi="Times New Roman"/>
      <w:b/>
      <w:bCs/>
      <w:snapToGrid/>
      <w:sz w:val="24"/>
      <w:szCs w:val="24"/>
      <w:lang w:eastAsia="pt-BR"/>
    </w:rPr>
  </w:style>
  <w:style w:type="character" w:customStyle="1" w:styleId="TitleChar">
    <w:name w:val="Title Char"/>
    <w:link w:val="Title"/>
    <w:rsid w:val="009E3386"/>
    <w:rPr>
      <w:b/>
      <w:bCs/>
      <w:sz w:val="24"/>
      <w:szCs w:val="24"/>
      <w:lang w:val="es-ES" w:eastAsia="pt-BR" w:bidi="ar-SA"/>
    </w:rPr>
  </w:style>
  <w:style w:type="character" w:customStyle="1" w:styleId="CharChar4">
    <w:name w:val="Char Char4"/>
    <w:rsid w:val="009E3386"/>
    <w:rPr>
      <w:b/>
      <w:sz w:val="24"/>
      <w:lang w:val="es-ES" w:eastAsia="en-US" w:bidi="ar-SA"/>
    </w:rPr>
  </w:style>
  <w:style w:type="character" w:customStyle="1" w:styleId="PlainTextChar">
    <w:name w:val="Plain Text Char"/>
    <w:uiPriority w:val="99"/>
    <w:rsid w:val="00474F1D"/>
    <w:rPr>
      <w:rFonts w:ascii="Consolas" w:hAnsi="Consolas"/>
      <w:lang w:bidi="ar-SA"/>
    </w:rPr>
  </w:style>
  <w:style w:type="paragraph" w:styleId="ListParagraph">
    <w:name w:val="List Paragraph"/>
    <w:basedOn w:val="Normal"/>
    <w:link w:val="ListParagraphChar"/>
    <w:uiPriority w:val="34"/>
    <w:qFormat/>
    <w:rsid w:val="00065894"/>
    <w:pPr>
      <w:ind w:left="720"/>
    </w:pPr>
  </w:style>
  <w:style w:type="paragraph" w:styleId="Revision">
    <w:name w:val="Revision"/>
    <w:hidden/>
    <w:uiPriority w:val="99"/>
    <w:semiHidden/>
    <w:rsid w:val="00844784"/>
    <w:rPr>
      <w:rFonts w:ascii="Calibri" w:hAnsi="Calibri"/>
      <w:snapToGrid w:val="0"/>
      <w:sz w:val="22"/>
      <w:szCs w:val="22"/>
      <w:lang w:eastAsia="zh-CN"/>
    </w:rPr>
  </w:style>
  <w:style w:type="paragraph" w:styleId="NormalWeb">
    <w:name w:val="Normal (Web)"/>
    <w:basedOn w:val="Normal"/>
    <w:uiPriority w:val="99"/>
    <w:unhideWhenUsed/>
    <w:rsid w:val="00D30973"/>
    <w:pPr>
      <w:spacing w:before="100" w:beforeAutospacing="1" w:after="100" w:afterAutospacing="1" w:line="240" w:lineRule="auto"/>
    </w:pPr>
    <w:rPr>
      <w:rFonts w:eastAsiaTheme="minorHAnsi" w:cs="Calibri"/>
      <w:snapToGrid/>
      <w:lang w:eastAsia="es-US"/>
    </w:rPr>
  </w:style>
  <w:style w:type="character" w:customStyle="1" w:styleId="ListParagraphChar">
    <w:name w:val="List Paragraph Char"/>
    <w:link w:val="ListParagraph"/>
    <w:qFormat/>
    <w:locked/>
    <w:rsid w:val="003C41AE"/>
    <w:rPr>
      <w:rFonts w:ascii="Calibri" w:hAnsi="Calibri"/>
      <w:snapToGrid w:val="0"/>
      <w:sz w:val="22"/>
      <w:szCs w:val="22"/>
      <w:lang w:eastAsia="zh-CN"/>
    </w:rPr>
  </w:style>
  <w:style w:type="character" w:styleId="UnresolvedMention">
    <w:name w:val="Unresolved Mention"/>
    <w:basedOn w:val="DefaultParagraphFont"/>
    <w:uiPriority w:val="99"/>
    <w:semiHidden/>
    <w:unhideWhenUsed/>
    <w:rsid w:val="002C2084"/>
    <w:rPr>
      <w:color w:val="605E5C"/>
      <w:shd w:val="clear" w:color="auto" w:fill="E1DFDD"/>
    </w:rPr>
  </w:style>
  <w:style w:type="character" w:customStyle="1" w:styleId="xelementtoproof">
    <w:name w:val="x_elementtoproof"/>
    <w:basedOn w:val="DefaultParagraphFont"/>
    <w:rsid w:val="008733C3"/>
  </w:style>
  <w:style w:type="character" w:customStyle="1" w:styleId="markj2w1miq40">
    <w:name w:val="markj2w1miq40"/>
    <w:basedOn w:val="DefaultParagraphFont"/>
    <w:rsid w:val="008733C3"/>
  </w:style>
  <w:style w:type="character" w:customStyle="1" w:styleId="normaltextrun">
    <w:name w:val="normaltextrun"/>
    <w:basedOn w:val="DefaultParagraphFont"/>
    <w:rsid w:val="007E0383"/>
  </w:style>
  <w:style w:type="paragraph" w:customStyle="1" w:styleId="CPClassification">
    <w:name w:val="CP Classification"/>
    <w:basedOn w:val="Normal"/>
    <w:uiPriority w:val="99"/>
    <w:rsid w:val="007E0383"/>
    <w:pPr>
      <w:tabs>
        <w:tab w:val="center" w:pos="2160"/>
        <w:tab w:val="left" w:pos="7200"/>
      </w:tabs>
      <w:spacing w:after="0" w:line="240" w:lineRule="auto"/>
      <w:ind w:left="7200" w:right="-360"/>
      <w:jc w:val="both"/>
    </w:pPr>
    <w:rPr>
      <w:rFonts w:ascii="Times New Roman" w:hAnsi="Times New Roman"/>
      <w:snapToGrid/>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5731">
      <w:bodyDiv w:val="1"/>
      <w:marLeft w:val="0"/>
      <w:marRight w:val="0"/>
      <w:marTop w:val="0"/>
      <w:marBottom w:val="0"/>
      <w:divBdr>
        <w:top w:val="none" w:sz="0" w:space="0" w:color="auto"/>
        <w:left w:val="none" w:sz="0" w:space="0" w:color="auto"/>
        <w:bottom w:val="none" w:sz="0" w:space="0" w:color="auto"/>
        <w:right w:val="none" w:sz="0" w:space="0" w:color="auto"/>
      </w:divBdr>
    </w:div>
    <w:div w:id="103423713">
      <w:bodyDiv w:val="1"/>
      <w:marLeft w:val="0"/>
      <w:marRight w:val="0"/>
      <w:marTop w:val="0"/>
      <w:marBottom w:val="0"/>
      <w:divBdr>
        <w:top w:val="none" w:sz="0" w:space="0" w:color="auto"/>
        <w:left w:val="none" w:sz="0" w:space="0" w:color="auto"/>
        <w:bottom w:val="none" w:sz="0" w:space="0" w:color="auto"/>
        <w:right w:val="none" w:sz="0" w:space="0" w:color="auto"/>
      </w:divBdr>
    </w:div>
    <w:div w:id="193470919">
      <w:bodyDiv w:val="1"/>
      <w:marLeft w:val="0"/>
      <w:marRight w:val="0"/>
      <w:marTop w:val="0"/>
      <w:marBottom w:val="0"/>
      <w:divBdr>
        <w:top w:val="none" w:sz="0" w:space="0" w:color="auto"/>
        <w:left w:val="none" w:sz="0" w:space="0" w:color="auto"/>
        <w:bottom w:val="none" w:sz="0" w:space="0" w:color="auto"/>
        <w:right w:val="none" w:sz="0" w:space="0" w:color="auto"/>
      </w:divBdr>
    </w:div>
    <w:div w:id="221448816">
      <w:bodyDiv w:val="1"/>
      <w:marLeft w:val="0"/>
      <w:marRight w:val="0"/>
      <w:marTop w:val="0"/>
      <w:marBottom w:val="0"/>
      <w:divBdr>
        <w:top w:val="none" w:sz="0" w:space="0" w:color="auto"/>
        <w:left w:val="none" w:sz="0" w:space="0" w:color="auto"/>
        <w:bottom w:val="none" w:sz="0" w:space="0" w:color="auto"/>
        <w:right w:val="none" w:sz="0" w:space="0" w:color="auto"/>
      </w:divBdr>
    </w:div>
    <w:div w:id="398358309">
      <w:bodyDiv w:val="1"/>
      <w:marLeft w:val="0"/>
      <w:marRight w:val="0"/>
      <w:marTop w:val="0"/>
      <w:marBottom w:val="0"/>
      <w:divBdr>
        <w:top w:val="none" w:sz="0" w:space="0" w:color="auto"/>
        <w:left w:val="none" w:sz="0" w:space="0" w:color="auto"/>
        <w:bottom w:val="none" w:sz="0" w:space="0" w:color="auto"/>
        <w:right w:val="none" w:sz="0" w:space="0" w:color="auto"/>
      </w:divBdr>
    </w:div>
    <w:div w:id="428042865">
      <w:bodyDiv w:val="1"/>
      <w:marLeft w:val="0"/>
      <w:marRight w:val="0"/>
      <w:marTop w:val="0"/>
      <w:marBottom w:val="0"/>
      <w:divBdr>
        <w:top w:val="none" w:sz="0" w:space="0" w:color="auto"/>
        <w:left w:val="none" w:sz="0" w:space="0" w:color="auto"/>
        <w:bottom w:val="none" w:sz="0" w:space="0" w:color="auto"/>
        <w:right w:val="none" w:sz="0" w:space="0" w:color="auto"/>
      </w:divBdr>
    </w:div>
    <w:div w:id="429931398">
      <w:bodyDiv w:val="1"/>
      <w:marLeft w:val="0"/>
      <w:marRight w:val="0"/>
      <w:marTop w:val="0"/>
      <w:marBottom w:val="0"/>
      <w:divBdr>
        <w:top w:val="none" w:sz="0" w:space="0" w:color="auto"/>
        <w:left w:val="none" w:sz="0" w:space="0" w:color="auto"/>
        <w:bottom w:val="none" w:sz="0" w:space="0" w:color="auto"/>
        <w:right w:val="none" w:sz="0" w:space="0" w:color="auto"/>
      </w:divBdr>
    </w:div>
    <w:div w:id="505052409">
      <w:bodyDiv w:val="1"/>
      <w:marLeft w:val="0"/>
      <w:marRight w:val="0"/>
      <w:marTop w:val="0"/>
      <w:marBottom w:val="0"/>
      <w:divBdr>
        <w:top w:val="none" w:sz="0" w:space="0" w:color="auto"/>
        <w:left w:val="none" w:sz="0" w:space="0" w:color="auto"/>
        <w:bottom w:val="none" w:sz="0" w:space="0" w:color="auto"/>
        <w:right w:val="none" w:sz="0" w:space="0" w:color="auto"/>
      </w:divBdr>
    </w:div>
    <w:div w:id="721562965">
      <w:bodyDiv w:val="1"/>
      <w:marLeft w:val="0"/>
      <w:marRight w:val="0"/>
      <w:marTop w:val="0"/>
      <w:marBottom w:val="0"/>
      <w:divBdr>
        <w:top w:val="none" w:sz="0" w:space="0" w:color="auto"/>
        <w:left w:val="none" w:sz="0" w:space="0" w:color="auto"/>
        <w:bottom w:val="none" w:sz="0" w:space="0" w:color="auto"/>
        <w:right w:val="none" w:sz="0" w:space="0" w:color="auto"/>
      </w:divBdr>
    </w:div>
    <w:div w:id="727922213">
      <w:bodyDiv w:val="1"/>
      <w:marLeft w:val="0"/>
      <w:marRight w:val="0"/>
      <w:marTop w:val="0"/>
      <w:marBottom w:val="0"/>
      <w:divBdr>
        <w:top w:val="none" w:sz="0" w:space="0" w:color="auto"/>
        <w:left w:val="none" w:sz="0" w:space="0" w:color="auto"/>
        <w:bottom w:val="none" w:sz="0" w:space="0" w:color="auto"/>
        <w:right w:val="none" w:sz="0" w:space="0" w:color="auto"/>
      </w:divBdr>
    </w:div>
    <w:div w:id="733770700">
      <w:bodyDiv w:val="1"/>
      <w:marLeft w:val="0"/>
      <w:marRight w:val="0"/>
      <w:marTop w:val="0"/>
      <w:marBottom w:val="0"/>
      <w:divBdr>
        <w:top w:val="none" w:sz="0" w:space="0" w:color="auto"/>
        <w:left w:val="none" w:sz="0" w:space="0" w:color="auto"/>
        <w:bottom w:val="none" w:sz="0" w:space="0" w:color="auto"/>
        <w:right w:val="none" w:sz="0" w:space="0" w:color="auto"/>
      </w:divBdr>
    </w:div>
    <w:div w:id="936447140">
      <w:bodyDiv w:val="1"/>
      <w:marLeft w:val="0"/>
      <w:marRight w:val="0"/>
      <w:marTop w:val="0"/>
      <w:marBottom w:val="0"/>
      <w:divBdr>
        <w:top w:val="none" w:sz="0" w:space="0" w:color="auto"/>
        <w:left w:val="none" w:sz="0" w:space="0" w:color="auto"/>
        <w:bottom w:val="none" w:sz="0" w:space="0" w:color="auto"/>
        <w:right w:val="none" w:sz="0" w:space="0" w:color="auto"/>
      </w:divBdr>
    </w:div>
    <w:div w:id="990596401">
      <w:bodyDiv w:val="1"/>
      <w:marLeft w:val="0"/>
      <w:marRight w:val="0"/>
      <w:marTop w:val="0"/>
      <w:marBottom w:val="0"/>
      <w:divBdr>
        <w:top w:val="none" w:sz="0" w:space="0" w:color="auto"/>
        <w:left w:val="none" w:sz="0" w:space="0" w:color="auto"/>
        <w:bottom w:val="none" w:sz="0" w:space="0" w:color="auto"/>
        <w:right w:val="none" w:sz="0" w:space="0" w:color="auto"/>
      </w:divBdr>
    </w:div>
    <w:div w:id="1005741213">
      <w:bodyDiv w:val="1"/>
      <w:marLeft w:val="0"/>
      <w:marRight w:val="0"/>
      <w:marTop w:val="0"/>
      <w:marBottom w:val="0"/>
      <w:divBdr>
        <w:top w:val="none" w:sz="0" w:space="0" w:color="auto"/>
        <w:left w:val="none" w:sz="0" w:space="0" w:color="auto"/>
        <w:bottom w:val="none" w:sz="0" w:space="0" w:color="auto"/>
        <w:right w:val="none" w:sz="0" w:space="0" w:color="auto"/>
      </w:divBdr>
    </w:div>
    <w:div w:id="1034694611">
      <w:bodyDiv w:val="1"/>
      <w:marLeft w:val="0"/>
      <w:marRight w:val="0"/>
      <w:marTop w:val="0"/>
      <w:marBottom w:val="0"/>
      <w:divBdr>
        <w:top w:val="none" w:sz="0" w:space="0" w:color="auto"/>
        <w:left w:val="none" w:sz="0" w:space="0" w:color="auto"/>
        <w:bottom w:val="none" w:sz="0" w:space="0" w:color="auto"/>
        <w:right w:val="none" w:sz="0" w:space="0" w:color="auto"/>
      </w:divBdr>
    </w:div>
    <w:div w:id="1068305581">
      <w:bodyDiv w:val="1"/>
      <w:marLeft w:val="0"/>
      <w:marRight w:val="0"/>
      <w:marTop w:val="0"/>
      <w:marBottom w:val="0"/>
      <w:divBdr>
        <w:top w:val="none" w:sz="0" w:space="0" w:color="auto"/>
        <w:left w:val="none" w:sz="0" w:space="0" w:color="auto"/>
        <w:bottom w:val="none" w:sz="0" w:space="0" w:color="auto"/>
        <w:right w:val="none" w:sz="0" w:space="0" w:color="auto"/>
      </w:divBdr>
    </w:div>
    <w:div w:id="1078206362">
      <w:bodyDiv w:val="1"/>
      <w:marLeft w:val="0"/>
      <w:marRight w:val="0"/>
      <w:marTop w:val="0"/>
      <w:marBottom w:val="0"/>
      <w:divBdr>
        <w:top w:val="none" w:sz="0" w:space="0" w:color="auto"/>
        <w:left w:val="none" w:sz="0" w:space="0" w:color="auto"/>
        <w:bottom w:val="none" w:sz="0" w:space="0" w:color="auto"/>
        <w:right w:val="none" w:sz="0" w:space="0" w:color="auto"/>
      </w:divBdr>
    </w:div>
    <w:div w:id="1240671491">
      <w:bodyDiv w:val="1"/>
      <w:marLeft w:val="0"/>
      <w:marRight w:val="0"/>
      <w:marTop w:val="0"/>
      <w:marBottom w:val="0"/>
      <w:divBdr>
        <w:top w:val="none" w:sz="0" w:space="0" w:color="auto"/>
        <w:left w:val="none" w:sz="0" w:space="0" w:color="auto"/>
        <w:bottom w:val="none" w:sz="0" w:space="0" w:color="auto"/>
        <w:right w:val="none" w:sz="0" w:space="0" w:color="auto"/>
      </w:divBdr>
    </w:div>
    <w:div w:id="1290818943">
      <w:bodyDiv w:val="1"/>
      <w:marLeft w:val="0"/>
      <w:marRight w:val="0"/>
      <w:marTop w:val="0"/>
      <w:marBottom w:val="0"/>
      <w:divBdr>
        <w:top w:val="none" w:sz="0" w:space="0" w:color="auto"/>
        <w:left w:val="none" w:sz="0" w:space="0" w:color="auto"/>
        <w:bottom w:val="none" w:sz="0" w:space="0" w:color="auto"/>
        <w:right w:val="none" w:sz="0" w:space="0" w:color="auto"/>
      </w:divBdr>
    </w:div>
    <w:div w:id="1350334217">
      <w:bodyDiv w:val="1"/>
      <w:marLeft w:val="0"/>
      <w:marRight w:val="0"/>
      <w:marTop w:val="0"/>
      <w:marBottom w:val="0"/>
      <w:divBdr>
        <w:top w:val="none" w:sz="0" w:space="0" w:color="auto"/>
        <w:left w:val="none" w:sz="0" w:space="0" w:color="auto"/>
        <w:bottom w:val="none" w:sz="0" w:space="0" w:color="auto"/>
        <w:right w:val="none" w:sz="0" w:space="0" w:color="auto"/>
      </w:divBdr>
    </w:div>
    <w:div w:id="1377505264">
      <w:bodyDiv w:val="1"/>
      <w:marLeft w:val="0"/>
      <w:marRight w:val="0"/>
      <w:marTop w:val="0"/>
      <w:marBottom w:val="0"/>
      <w:divBdr>
        <w:top w:val="none" w:sz="0" w:space="0" w:color="auto"/>
        <w:left w:val="none" w:sz="0" w:space="0" w:color="auto"/>
        <w:bottom w:val="none" w:sz="0" w:space="0" w:color="auto"/>
        <w:right w:val="none" w:sz="0" w:space="0" w:color="auto"/>
      </w:divBdr>
    </w:div>
    <w:div w:id="1386292779">
      <w:bodyDiv w:val="1"/>
      <w:marLeft w:val="0"/>
      <w:marRight w:val="0"/>
      <w:marTop w:val="0"/>
      <w:marBottom w:val="0"/>
      <w:divBdr>
        <w:top w:val="none" w:sz="0" w:space="0" w:color="auto"/>
        <w:left w:val="none" w:sz="0" w:space="0" w:color="auto"/>
        <w:bottom w:val="none" w:sz="0" w:space="0" w:color="auto"/>
        <w:right w:val="none" w:sz="0" w:space="0" w:color="auto"/>
      </w:divBdr>
    </w:div>
    <w:div w:id="1645087112">
      <w:bodyDiv w:val="1"/>
      <w:marLeft w:val="0"/>
      <w:marRight w:val="0"/>
      <w:marTop w:val="0"/>
      <w:marBottom w:val="0"/>
      <w:divBdr>
        <w:top w:val="none" w:sz="0" w:space="0" w:color="auto"/>
        <w:left w:val="none" w:sz="0" w:space="0" w:color="auto"/>
        <w:bottom w:val="none" w:sz="0" w:space="0" w:color="auto"/>
        <w:right w:val="none" w:sz="0" w:space="0" w:color="auto"/>
      </w:divBdr>
    </w:div>
    <w:div w:id="1680429036">
      <w:bodyDiv w:val="1"/>
      <w:marLeft w:val="0"/>
      <w:marRight w:val="0"/>
      <w:marTop w:val="0"/>
      <w:marBottom w:val="0"/>
      <w:divBdr>
        <w:top w:val="none" w:sz="0" w:space="0" w:color="auto"/>
        <w:left w:val="none" w:sz="0" w:space="0" w:color="auto"/>
        <w:bottom w:val="none" w:sz="0" w:space="0" w:color="auto"/>
        <w:right w:val="none" w:sz="0" w:space="0" w:color="auto"/>
      </w:divBdr>
    </w:div>
    <w:div w:id="1725254398">
      <w:bodyDiv w:val="1"/>
      <w:marLeft w:val="0"/>
      <w:marRight w:val="0"/>
      <w:marTop w:val="0"/>
      <w:marBottom w:val="0"/>
      <w:divBdr>
        <w:top w:val="none" w:sz="0" w:space="0" w:color="auto"/>
        <w:left w:val="none" w:sz="0" w:space="0" w:color="auto"/>
        <w:bottom w:val="none" w:sz="0" w:space="0" w:color="auto"/>
        <w:right w:val="none" w:sz="0" w:space="0" w:color="auto"/>
      </w:divBdr>
    </w:div>
    <w:div w:id="2006779149">
      <w:bodyDiv w:val="1"/>
      <w:marLeft w:val="0"/>
      <w:marRight w:val="0"/>
      <w:marTop w:val="0"/>
      <w:marBottom w:val="0"/>
      <w:divBdr>
        <w:top w:val="none" w:sz="0" w:space="0" w:color="auto"/>
        <w:left w:val="none" w:sz="0" w:space="0" w:color="auto"/>
        <w:bottom w:val="none" w:sz="0" w:space="0" w:color="auto"/>
        <w:right w:val="none" w:sz="0" w:space="0" w:color="auto"/>
      </w:divBdr>
    </w:div>
    <w:div w:id="204636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60b63027-c5b0-4e47-92e8-730b2c44b12e">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9CAFD4D4EB88419B665887B23926AA" ma:contentTypeVersion="7" ma:contentTypeDescription="Create a new document." ma:contentTypeScope="" ma:versionID="f1254c09780912eee5c4619d15cec37e">
  <xsd:schema xmlns:xsd="http://www.w3.org/2001/XMLSchema" xmlns:xs="http://www.w3.org/2001/XMLSchema" xmlns:p="http://schemas.microsoft.com/office/2006/metadata/properties" xmlns:ns3="60b63027-c5b0-4e47-92e8-730b2c44b12e" xmlns:ns4="623bdb57-3bb3-412d-b219-85cba31f782a" targetNamespace="http://schemas.microsoft.com/office/2006/metadata/properties" ma:root="true" ma:fieldsID="38e070e8c4a99d6eb9bab04d720bf444" ns3:_="" ns4:_="">
    <xsd:import namespace="60b63027-c5b0-4e47-92e8-730b2c44b12e"/>
    <xsd:import namespace="623bdb57-3bb3-412d-b219-85cba31f78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63027-c5b0-4e47-92e8-730b2c44b1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3bdb57-3bb3-412d-b219-85cba31f78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821525-58C8-4F7C-AC50-40828B8858AA}">
  <ds:schemaRefs>
    <ds:schemaRef ds:uri="http://schemas.openxmlformats.org/officeDocument/2006/bibliography"/>
  </ds:schemaRefs>
</ds:datastoreItem>
</file>

<file path=customXml/itemProps2.xml><?xml version="1.0" encoding="utf-8"?>
<ds:datastoreItem xmlns:ds="http://schemas.openxmlformats.org/officeDocument/2006/customXml" ds:itemID="{42AF896C-630C-4246-8BBE-D16A0276AC26}">
  <ds:schemaRefs>
    <ds:schemaRef ds:uri="http://schemas.microsoft.com/office/2006/metadata/properties"/>
    <ds:schemaRef ds:uri="http://schemas.microsoft.com/office/infopath/2007/PartnerControls"/>
    <ds:schemaRef ds:uri="60b63027-c5b0-4e47-92e8-730b2c44b12e"/>
  </ds:schemaRefs>
</ds:datastoreItem>
</file>

<file path=customXml/itemProps3.xml><?xml version="1.0" encoding="utf-8"?>
<ds:datastoreItem xmlns:ds="http://schemas.openxmlformats.org/officeDocument/2006/customXml" ds:itemID="{F04D04B8-7C9F-49E1-9996-B77BAB347853}">
  <ds:schemaRefs>
    <ds:schemaRef ds:uri="http://schemas.microsoft.com/sharepoint/v3/contenttype/forms"/>
  </ds:schemaRefs>
</ds:datastoreItem>
</file>

<file path=customXml/itemProps4.xml><?xml version="1.0" encoding="utf-8"?>
<ds:datastoreItem xmlns:ds="http://schemas.openxmlformats.org/officeDocument/2006/customXml" ds:itemID="{BE5487B7-CF62-44FA-823E-C3FFE9C27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63027-c5b0-4e47-92e8-730b2c44b12e"/>
    <ds:schemaRef ds:uri="623bdb57-3bb3-412d-b219-85cba31f7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838</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Aristizabal, Alejandro</dc:creator>
  <cp:keywords/>
  <cp:lastModifiedBy>Loredo, Carmen</cp:lastModifiedBy>
  <cp:revision>4</cp:revision>
  <cp:lastPrinted>2018-12-06T20:28:00Z</cp:lastPrinted>
  <dcterms:created xsi:type="dcterms:W3CDTF">2023-06-16T00:25:00Z</dcterms:created>
  <dcterms:modified xsi:type="dcterms:W3CDTF">2023-06-16T00:50:00Z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0x010100969CAFD4D4EB88419B665887B23926AA</vt:lpwstr>
  </property>
</Properties>
</file>