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777D" w14:textId="78FA22E9" w:rsidR="00F0080B" w:rsidRPr="00600FD5" w:rsidRDefault="00016AEE" w:rsidP="00F0080B">
      <w:pPr>
        <w:ind w:right="-1109"/>
        <w:rPr>
          <w:rFonts w:ascii="Times New Roman" w:hAnsi="Times New Roman"/>
          <w:szCs w:val="22"/>
          <w:lang w:val="es-MX"/>
        </w:rPr>
      </w:pPr>
      <w:bookmarkStart w:id="0" w:name="_Toc422324703"/>
      <w:r>
        <w:rPr>
          <w:rFonts w:ascii="Times New Roman" w:hAnsi="Times New Roman"/>
          <w:szCs w:val="22"/>
          <w:lang w:val="es-MX"/>
        </w:rPr>
        <w:object w:dxaOrig="1440" w:dyaOrig="1440" w14:anchorId="0A568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8.75pt;margin-top:-55.3pt;width:320.05pt;height:28.05pt;z-index:25166438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748602494" r:id="rId9"/>
        </w:object>
      </w:r>
      <w:r w:rsidR="00F0080B" w:rsidRPr="00600FD5">
        <w:rPr>
          <w:rFonts w:ascii="Times New Roman" w:hAnsi="Times New Roman"/>
          <w:szCs w:val="22"/>
          <w:lang w:val="es-MX"/>
        </w:rPr>
        <w:t>QUINCUAGÉSIMO</w:t>
      </w:r>
      <w:r w:rsidR="00F0080B">
        <w:rPr>
          <w:rFonts w:ascii="Times New Roman" w:hAnsi="Times New Roman"/>
          <w:szCs w:val="22"/>
          <w:lang w:val="es-MX"/>
        </w:rPr>
        <w:t xml:space="preserve"> TERCER</w:t>
      </w:r>
      <w:r w:rsidR="00F0080B" w:rsidRPr="00600FD5">
        <w:rPr>
          <w:rFonts w:ascii="Times New Roman" w:hAnsi="Times New Roman"/>
          <w:szCs w:val="22"/>
          <w:lang w:val="es-MX"/>
        </w:rPr>
        <w:t xml:space="preserve"> PERÍODO ORDINARIO DE SESIONES</w:t>
      </w:r>
      <w:r w:rsidR="00F0080B" w:rsidRPr="00600FD5">
        <w:rPr>
          <w:rFonts w:ascii="Times New Roman" w:hAnsi="Times New Roman"/>
          <w:szCs w:val="22"/>
          <w:lang w:val="es-MX"/>
        </w:rPr>
        <w:tab/>
        <w:t>OEA/Ser.P</w:t>
      </w:r>
    </w:p>
    <w:p w14:paraId="3845DBB7" w14:textId="066EC913" w:rsidR="00F0080B" w:rsidRPr="00600FD5" w:rsidRDefault="00F0080B" w:rsidP="00F0080B">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sidRPr="00600FD5">
        <w:rPr>
          <w:rFonts w:ascii="Times New Roman" w:hAnsi="Times New Roman"/>
          <w:szCs w:val="22"/>
          <w:lang w:val="es-MX"/>
        </w:rPr>
        <w:t xml:space="preserve">Del </w:t>
      </w:r>
      <w:r>
        <w:rPr>
          <w:rFonts w:ascii="Times New Roman" w:hAnsi="Times New Roman"/>
          <w:szCs w:val="22"/>
          <w:lang w:val="es-MX"/>
        </w:rPr>
        <w:t>21</w:t>
      </w:r>
      <w:r w:rsidRPr="00600FD5">
        <w:rPr>
          <w:rFonts w:ascii="Times New Roman" w:hAnsi="Times New Roman"/>
          <w:szCs w:val="22"/>
          <w:lang w:val="es-MX"/>
        </w:rPr>
        <w:t xml:space="preserve"> al </w:t>
      </w:r>
      <w:r>
        <w:rPr>
          <w:rFonts w:ascii="Times New Roman" w:hAnsi="Times New Roman"/>
          <w:szCs w:val="22"/>
          <w:lang w:val="es-MX"/>
        </w:rPr>
        <w:t>23</w:t>
      </w:r>
      <w:r w:rsidRPr="00600FD5">
        <w:rPr>
          <w:rFonts w:ascii="Times New Roman" w:hAnsi="Times New Roman"/>
          <w:szCs w:val="22"/>
          <w:lang w:val="es-MX"/>
        </w:rPr>
        <w:t xml:space="preserve"> de </w:t>
      </w:r>
      <w:r>
        <w:rPr>
          <w:rFonts w:ascii="Times New Roman" w:hAnsi="Times New Roman"/>
          <w:szCs w:val="22"/>
          <w:lang w:val="es-MX"/>
        </w:rPr>
        <w:t xml:space="preserve">junio </w:t>
      </w:r>
      <w:r w:rsidRPr="00600FD5">
        <w:rPr>
          <w:rFonts w:ascii="Times New Roman" w:hAnsi="Times New Roman"/>
          <w:szCs w:val="22"/>
          <w:lang w:val="es-MX"/>
        </w:rPr>
        <w:t xml:space="preserve">de </w:t>
      </w:r>
      <w:r>
        <w:rPr>
          <w:rFonts w:ascii="Times New Roman" w:hAnsi="Times New Roman"/>
          <w:szCs w:val="22"/>
          <w:lang w:val="es-MX"/>
        </w:rPr>
        <w:t>2023</w:t>
      </w:r>
      <w:r w:rsidRPr="00600FD5">
        <w:rPr>
          <w:rFonts w:ascii="Times New Roman" w:hAnsi="Times New Roman"/>
          <w:szCs w:val="22"/>
          <w:lang w:val="es-MX"/>
        </w:rPr>
        <w:tab/>
        <w:t>AG/doc.</w:t>
      </w:r>
      <w:r>
        <w:rPr>
          <w:rFonts w:ascii="Times New Roman" w:hAnsi="Times New Roman"/>
          <w:szCs w:val="22"/>
          <w:lang w:val="es-MX"/>
        </w:rPr>
        <w:t>5807</w:t>
      </w:r>
      <w:r w:rsidRPr="00496D97">
        <w:rPr>
          <w:rFonts w:ascii="Times New Roman" w:hAnsi="Times New Roman"/>
          <w:szCs w:val="22"/>
          <w:lang w:val="es-MX"/>
        </w:rPr>
        <w:t>/</w:t>
      </w:r>
      <w:r>
        <w:rPr>
          <w:rFonts w:ascii="Times New Roman" w:hAnsi="Times New Roman"/>
          <w:szCs w:val="22"/>
          <w:lang w:val="es-MX"/>
        </w:rPr>
        <w:t>23</w:t>
      </w:r>
      <w:r w:rsidR="00016AEE">
        <w:rPr>
          <w:rFonts w:ascii="Times New Roman" w:hAnsi="Times New Roman"/>
          <w:szCs w:val="22"/>
          <w:lang w:val="es-MX"/>
        </w:rPr>
        <w:t xml:space="preserve"> corr. 1</w:t>
      </w:r>
    </w:p>
    <w:p w14:paraId="6B0AC522" w14:textId="0EC45293" w:rsidR="00F0080B" w:rsidRPr="00600FD5" w:rsidRDefault="00F0080B" w:rsidP="00F0080B">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Pr>
          <w:rFonts w:ascii="Times New Roman" w:hAnsi="Times New Roman"/>
          <w:szCs w:val="22"/>
          <w:lang w:val="es-MX"/>
        </w:rPr>
        <w:t>Washington, DC</w:t>
      </w:r>
      <w:r w:rsidRPr="00600FD5">
        <w:rPr>
          <w:rFonts w:ascii="Times New Roman" w:hAnsi="Times New Roman"/>
          <w:szCs w:val="22"/>
          <w:lang w:val="es-MX"/>
        </w:rPr>
        <w:t xml:space="preserve"> </w:t>
      </w:r>
      <w:r w:rsidRPr="00600FD5">
        <w:rPr>
          <w:rFonts w:ascii="Times New Roman" w:hAnsi="Times New Roman"/>
          <w:szCs w:val="22"/>
          <w:lang w:val="es-MX"/>
        </w:rPr>
        <w:tab/>
      </w:r>
      <w:r>
        <w:rPr>
          <w:rFonts w:ascii="Times New Roman" w:hAnsi="Times New Roman"/>
          <w:szCs w:val="22"/>
          <w:lang w:val="es-MX"/>
        </w:rPr>
        <w:t>1</w:t>
      </w:r>
      <w:r w:rsidR="00016AEE">
        <w:rPr>
          <w:rFonts w:ascii="Times New Roman" w:hAnsi="Times New Roman"/>
          <w:szCs w:val="22"/>
          <w:lang w:val="es-MX"/>
        </w:rPr>
        <w:t>8</w:t>
      </w:r>
      <w:r>
        <w:rPr>
          <w:rFonts w:ascii="Times New Roman" w:hAnsi="Times New Roman"/>
          <w:szCs w:val="22"/>
          <w:lang w:val="es-MX"/>
        </w:rPr>
        <w:t xml:space="preserve"> junio </w:t>
      </w:r>
      <w:r w:rsidRPr="00600FD5">
        <w:rPr>
          <w:rFonts w:ascii="Times New Roman" w:hAnsi="Times New Roman"/>
          <w:szCs w:val="22"/>
          <w:lang w:val="es-MX"/>
        </w:rPr>
        <w:t>202</w:t>
      </w:r>
      <w:r>
        <w:rPr>
          <w:rFonts w:ascii="Times New Roman" w:hAnsi="Times New Roman"/>
          <w:szCs w:val="22"/>
          <w:lang w:val="es-MX"/>
        </w:rPr>
        <w:t>3</w:t>
      </w:r>
    </w:p>
    <w:p w14:paraId="17399866" w14:textId="4F722B96" w:rsidR="00F0080B" w:rsidRPr="00600FD5" w:rsidRDefault="00F0080B" w:rsidP="00F0080B">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sidRPr="00600FD5">
        <w:rPr>
          <w:rFonts w:ascii="Times New Roman" w:hAnsi="Times New Roman"/>
          <w:szCs w:val="22"/>
          <w:lang w:val="es-MX"/>
        </w:rPr>
        <w:tab/>
        <w:t>Original: español</w:t>
      </w:r>
    </w:p>
    <w:p w14:paraId="17983C07" w14:textId="77777777" w:rsidR="00F0080B" w:rsidRDefault="00F0080B" w:rsidP="00F0080B">
      <w:pPr>
        <w:rPr>
          <w:rFonts w:ascii="Times New Roman" w:hAnsi="Times New Roman"/>
          <w:szCs w:val="22"/>
          <w:lang w:val="es-MX"/>
        </w:rPr>
      </w:pPr>
    </w:p>
    <w:p w14:paraId="46438A25" w14:textId="3C354A84" w:rsidR="00F0080B" w:rsidRDefault="00F0080B" w:rsidP="00F0080B">
      <w:pPr>
        <w:tabs>
          <w:tab w:val="clear" w:pos="720"/>
          <w:tab w:val="clear" w:pos="1440"/>
          <w:tab w:val="clear" w:pos="2160"/>
          <w:tab w:val="clear" w:pos="2880"/>
          <w:tab w:val="clear" w:pos="3600"/>
          <w:tab w:val="clear" w:pos="4320"/>
          <w:tab w:val="clear" w:pos="5760"/>
          <w:tab w:val="clear" w:pos="6480"/>
          <w:tab w:val="clear" w:pos="7200"/>
          <w:tab w:val="clear" w:pos="7920"/>
        </w:tabs>
        <w:ind w:right="-749" w:firstLine="7200"/>
        <w:rPr>
          <w:rFonts w:ascii="Times New Roman" w:hAnsi="Times New Roman"/>
          <w:szCs w:val="22"/>
          <w:u w:val="single"/>
          <w:lang w:val="es-AR"/>
        </w:rPr>
      </w:pPr>
      <w:r>
        <w:rPr>
          <w:szCs w:val="22"/>
          <w:u w:val="single"/>
        </w:rPr>
        <w:t>Punto 12 del temario</w:t>
      </w:r>
    </w:p>
    <w:p w14:paraId="4934100E" w14:textId="77777777" w:rsidR="003C0BDF" w:rsidRPr="00AF4C22" w:rsidRDefault="003C0BDF"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Times New Roman" w:hAnsi="Times New Roman"/>
          <w:szCs w:val="22"/>
          <w:lang w:val="es-CO" w:eastAsia="es-ES"/>
        </w:rPr>
      </w:pPr>
    </w:p>
    <w:p w14:paraId="6D58B356" w14:textId="77777777" w:rsidR="003C0BDF" w:rsidRPr="00AF4C22" w:rsidRDefault="003C0BDF"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Times New Roman" w:hAnsi="Times New Roman"/>
          <w:szCs w:val="22"/>
          <w:lang w:val="es-CO" w:eastAsia="es-ES"/>
        </w:rPr>
      </w:pPr>
    </w:p>
    <w:p w14:paraId="100FA61E" w14:textId="77777777" w:rsidR="00AF4C22" w:rsidRPr="00AF4C22" w:rsidRDefault="00AF4C22"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Arial Unicode MS" w:hAnsi="Times New Roman"/>
          <w:szCs w:val="22"/>
          <w:lang w:eastAsia="es-MX"/>
        </w:rPr>
      </w:pPr>
      <w:r w:rsidRPr="00AF4C22">
        <w:rPr>
          <w:rFonts w:ascii="Times New Roman" w:eastAsia="Arial Unicode MS" w:hAnsi="Times New Roman"/>
          <w:szCs w:val="22"/>
          <w:lang w:eastAsia="es-MX"/>
        </w:rPr>
        <w:t>PROYECTO DE RESOLUCIÓN</w:t>
      </w:r>
    </w:p>
    <w:p w14:paraId="43648505" w14:textId="79860703" w:rsidR="00AF4C22" w:rsidRPr="00AF4C22" w:rsidRDefault="00AF4C22"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Arial Unicode MS" w:hAnsi="Times New Roman"/>
          <w:szCs w:val="22"/>
          <w:lang w:eastAsia="es-MX"/>
        </w:rPr>
      </w:pPr>
    </w:p>
    <w:p w14:paraId="024FEC88" w14:textId="57E171E4" w:rsidR="00AF4C22" w:rsidRPr="00AF4C22" w:rsidRDefault="00AF4C22"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Arial Unicode MS" w:hAnsi="Times New Roman"/>
          <w:szCs w:val="22"/>
          <w:lang w:eastAsia="es-MX"/>
        </w:rPr>
      </w:pPr>
      <w:r w:rsidRPr="00AF4C22">
        <w:rPr>
          <w:rFonts w:ascii="Times New Roman" w:eastAsia="Arial Unicode MS" w:hAnsi="Times New Roman"/>
          <w:szCs w:val="22"/>
          <w:lang w:eastAsia="es-MX"/>
        </w:rPr>
        <w:t xml:space="preserve">PROMOCIÓN Y PROTECCIÓN DE DERECHOS HUMANOS </w:t>
      </w:r>
    </w:p>
    <w:p w14:paraId="4F31DD78" w14:textId="77777777" w:rsidR="00AF4C22" w:rsidRPr="00AF4C22" w:rsidRDefault="00AF4C22"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Arial Unicode MS" w:hAnsi="Times New Roman"/>
          <w:szCs w:val="22"/>
          <w:lang w:eastAsia="es-MX"/>
        </w:rPr>
      </w:pPr>
    </w:p>
    <w:p w14:paraId="470A2A0D" w14:textId="77777777" w:rsidR="00AF4C22" w:rsidRPr="00AF4C22" w:rsidRDefault="00AF4C22"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Arial Unicode MS" w:hAnsi="Times New Roman"/>
          <w:szCs w:val="22"/>
          <w:lang w:eastAsia="es-MX"/>
        </w:rPr>
      </w:pPr>
      <w:r w:rsidRPr="00AF4C22">
        <w:rPr>
          <w:rFonts w:ascii="Times New Roman" w:eastAsia="Arial Unicode MS" w:hAnsi="Times New Roman"/>
          <w:szCs w:val="22"/>
          <w:lang w:eastAsia="es-MX"/>
        </w:rPr>
        <w:t>(</w:t>
      </w:r>
      <w:r w:rsidRPr="00AF4C22">
        <w:rPr>
          <w:rStyle w:val="normaltextrun"/>
          <w:rFonts w:ascii="Times New Roman" w:hAnsi="Times New Roman"/>
          <w:color w:val="000000"/>
          <w:szCs w:val="22"/>
          <w:bdr w:val="none" w:sz="0" w:space="0" w:color="auto" w:frame="1"/>
          <w:lang w:val="es-US"/>
        </w:rPr>
        <w:t>Acordado por el Consejo Permanente en la sesión ordinaria celebrada el 15 de junio de 2023 y remitido al Plenario de la Asamblea General para su consideración</w:t>
      </w:r>
      <w:r w:rsidRPr="00AF4C22">
        <w:rPr>
          <w:rFonts w:ascii="Times New Roman" w:eastAsia="Arial Unicode MS" w:hAnsi="Times New Roman"/>
          <w:szCs w:val="22"/>
          <w:lang w:eastAsia="es-MX"/>
        </w:rPr>
        <w:t>)</w:t>
      </w:r>
    </w:p>
    <w:p w14:paraId="41058F6D" w14:textId="77777777" w:rsidR="00C16E23" w:rsidRPr="00AF4C22" w:rsidRDefault="00C16E23"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Arial Unicode MS" w:hAnsi="Times New Roman"/>
          <w:szCs w:val="22"/>
          <w:lang w:eastAsia="es-MX"/>
        </w:rPr>
      </w:pPr>
    </w:p>
    <w:p w14:paraId="5D4988BC" w14:textId="77777777" w:rsidR="00C16E23" w:rsidRPr="00AF4C22" w:rsidRDefault="00C16E23"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0DC51D5" w14:textId="788E4E3E" w:rsidR="00C16E23" w:rsidRPr="00AF4C22" w:rsidRDefault="00C16E23"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Calibri" w:hAnsi="Times New Roman"/>
          <w:szCs w:val="22"/>
          <w:lang w:eastAsia="en-US"/>
        </w:rPr>
      </w:pPr>
      <w:r w:rsidRPr="00AF4C22">
        <w:rPr>
          <w:rFonts w:ascii="Times New Roman" w:eastAsia="Calibri" w:hAnsi="Times New Roman"/>
          <w:szCs w:val="22"/>
          <w:lang w:eastAsia="en-US"/>
        </w:rPr>
        <w:t>LA ASAMBLEA GENERAL,</w:t>
      </w:r>
    </w:p>
    <w:p w14:paraId="2F3C3BBC" w14:textId="77777777" w:rsidR="00C16E23" w:rsidRPr="00AF4C22" w:rsidRDefault="00C16E23"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en-US"/>
        </w:rPr>
      </w:pPr>
    </w:p>
    <w:p w14:paraId="34CC6F98" w14:textId="26B87BCD" w:rsidR="00C16E23" w:rsidRPr="00AF4C22" w:rsidRDefault="00C16E23"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n-US"/>
        </w:rPr>
      </w:pPr>
      <w:r w:rsidRPr="00AF4C22">
        <w:rPr>
          <w:rFonts w:ascii="Times New Roman" w:eastAsia="Calibri" w:hAnsi="Times New Roman"/>
          <w:szCs w:val="22"/>
          <w:lang w:eastAsia="en-US"/>
        </w:rPr>
        <w:t>CONSIDERANDO la decisión de los Estados Miembros de celebrar el 53º período ordinario de sesiones de la Asamblea General de la Organización de los Estados Americanos, en Washington, D.C., del 21 al 23 de junio de 2023, con el objetivo de restablecer el ciclo de celebración de la Asamblea en el segundo trimestre de cada año,</w:t>
      </w:r>
      <w:r w:rsidR="00785C9F" w:rsidRPr="00AF4C22">
        <w:rPr>
          <w:rFonts w:ascii="Times New Roman" w:eastAsia="Calibri" w:hAnsi="Times New Roman"/>
          <w:szCs w:val="22"/>
          <w:lang w:eastAsia="en-US"/>
        </w:rPr>
        <w:t xml:space="preserve"> </w:t>
      </w:r>
    </w:p>
    <w:p w14:paraId="21E1DAF5" w14:textId="32CE2DAA" w:rsidR="00C16E23" w:rsidRPr="00AF4C22" w:rsidRDefault="00C16E23"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djustRightInd w:val="0"/>
        <w:jc w:val="left"/>
        <w:rPr>
          <w:rFonts w:ascii="Times New Roman" w:eastAsia="Calibri" w:hAnsi="Times New Roman"/>
          <w:szCs w:val="22"/>
          <w:lang w:val="es-CO" w:eastAsia="en-US"/>
        </w:rPr>
      </w:pPr>
    </w:p>
    <w:p w14:paraId="7099C071" w14:textId="77777777" w:rsidR="00C16E23" w:rsidRPr="00AF4C22" w:rsidRDefault="00C16E23"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djustRightInd w:val="0"/>
        <w:jc w:val="left"/>
        <w:rPr>
          <w:rFonts w:ascii="Times New Roman" w:eastAsia="Calibri" w:hAnsi="Times New Roman"/>
          <w:szCs w:val="22"/>
          <w:lang w:val="es-CO" w:eastAsia="en-US"/>
        </w:rPr>
      </w:pPr>
      <w:r w:rsidRPr="00AF4C22">
        <w:rPr>
          <w:rFonts w:ascii="Times New Roman" w:eastAsia="Calibri" w:hAnsi="Times New Roman"/>
          <w:szCs w:val="22"/>
          <w:lang w:val="es-CO" w:eastAsia="en-US"/>
        </w:rPr>
        <w:t>RESUELVE:</w:t>
      </w:r>
    </w:p>
    <w:p w14:paraId="64CF88AB" w14:textId="77777777" w:rsidR="00C16E23" w:rsidRPr="00AF4C22" w:rsidRDefault="00C16E23" w:rsidP="00AF4C22">
      <w:pPr>
        <w:rPr>
          <w:rFonts w:ascii="Times New Roman" w:eastAsia="Calibri" w:hAnsi="Times New Roman"/>
          <w:szCs w:val="22"/>
          <w:lang w:eastAsia="en-US"/>
        </w:rPr>
      </w:pPr>
    </w:p>
    <w:p w14:paraId="66F44995" w14:textId="6BCA5756" w:rsidR="00C16E23" w:rsidRPr="00AF4C22" w:rsidRDefault="00C16E23" w:rsidP="00AF4C22">
      <w:pPr>
        <w:pStyle w:val="ListParagraph"/>
        <w:numPr>
          <w:ilvl w:val="0"/>
          <w:numId w:val="18"/>
        </w:numPr>
        <w:ind w:left="0" w:firstLine="720"/>
        <w:jc w:val="both"/>
        <w:rPr>
          <w:sz w:val="22"/>
          <w:szCs w:val="22"/>
          <w:lang w:val="es-CO"/>
        </w:rPr>
      </w:pPr>
      <w:r w:rsidRPr="00AF4C22">
        <w:rPr>
          <w:rFonts w:eastAsia="Calibri"/>
          <w:sz w:val="22"/>
          <w:szCs w:val="22"/>
          <w:lang w:val="es-CO"/>
        </w:rPr>
        <w:t xml:space="preserve">Renovar todas las secciones de la Resolución AG/RES. 2991 (LII-O/22), Promoción y Protección de Derechos Humanos </w:t>
      </w:r>
      <w:r w:rsidR="00FC7835" w:rsidRPr="00AF4C22">
        <w:rPr>
          <w:rFonts w:eastAsia="Calibri"/>
          <w:sz w:val="22"/>
          <w:szCs w:val="22"/>
          <w:lang w:val="es-CO"/>
        </w:rPr>
        <w:t>e</w:t>
      </w:r>
      <w:r w:rsidR="00A53D67" w:rsidRPr="00AF4C22">
        <w:rPr>
          <w:rFonts w:eastAsia="Calibri"/>
          <w:sz w:val="22"/>
          <w:szCs w:val="22"/>
          <w:lang w:val="es-CO"/>
        </w:rPr>
        <w:t>xactamente como fue</w:t>
      </w:r>
      <w:r w:rsidR="00C922A3" w:rsidRPr="00AF4C22">
        <w:rPr>
          <w:rFonts w:eastAsia="Calibri"/>
          <w:sz w:val="22"/>
          <w:szCs w:val="22"/>
          <w:lang w:val="es-CO"/>
        </w:rPr>
        <w:t>ron</w:t>
      </w:r>
      <w:r w:rsidR="00A53D67" w:rsidRPr="00AF4C22">
        <w:rPr>
          <w:rFonts w:eastAsia="Calibri"/>
          <w:sz w:val="22"/>
          <w:szCs w:val="22"/>
          <w:lang w:val="es-CO"/>
        </w:rPr>
        <w:t xml:space="preserve"> </w:t>
      </w:r>
      <w:r w:rsidRPr="00AF4C22">
        <w:rPr>
          <w:rFonts w:eastAsia="Calibri"/>
          <w:sz w:val="22"/>
          <w:szCs w:val="22"/>
          <w:lang w:val="es-CO"/>
        </w:rPr>
        <w:t>aprobada</w:t>
      </w:r>
      <w:r w:rsidR="00C922A3" w:rsidRPr="00AF4C22">
        <w:rPr>
          <w:rFonts w:eastAsia="Calibri"/>
          <w:sz w:val="22"/>
          <w:szCs w:val="22"/>
          <w:lang w:val="es-CO"/>
        </w:rPr>
        <w:t>s</w:t>
      </w:r>
      <w:r w:rsidRPr="00AF4C22">
        <w:rPr>
          <w:rFonts w:eastAsia="Calibri"/>
          <w:sz w:val="22"/>
          <w:szCs w:val="22"/>
          <w:lang w:val="es-CO"/>
        </w:rPr>
        <w:t xml:space="preserve"> por la Asamblea General en su 52°</w:t>
      </w:r>
      <w:r w:rsidRPr="00AF4C22">
        <w:rPr>
          <w:sz w:val="22"/>
          <w:szCs w:val="22"/>
          <w:lang w:val="es-CO"/>
        </w:rPr>
        <w:t xml:space="preserve"> </w:t>
      </w:r>
      <w:r w:rsidRPr="00AF4C22">
        <w:rPr>
          <w:rFonts w:eastAsia="Calibri"/>
          <w:sz w:val="22"/>
          <w:szCs w:val="22"/>
          <w:lang w:val="es-CO"/>
        </w:rPr>
        <w:t xml:space="preserve">período ordinario de sesiones, con excepción de las actividades ejecutadas antes del 53º período ordinario de sesiones de la Asamblea General enumeradas en el </w:t>
      </w:r>
      <w:r w:rsidRPr="00AF4C22">
        <w:rPr>
          <w:rFonts w:eastAsia="Calibri"/>
          <w:b/>
          <w:bCs/>
          <w:sz w:val="22"/>
          <w:szCs w:val="22"/>
          <w:lang w:val="es-CO"/>
        </w:rPr>
        <w:t>Anexo A.</w:t>
      </w:r>
      <w:r w:rsidR="00785C9F" w:rsidRPr="00AF4C22">
        <w:rPr>
          <w:rFonts w:eastAsia="Calibri"/>
          <w:b/>
          <w:bCs/>
          <w:sz w:val="22"/>
          <w:szCs w:val="22"/>
          <w:lang w:val="es-CO"/>
        </w:rPr>
        <w:t xml:space="preserve"> </w:t>
      </w:r>
      <w:r w:rsidR="00BF4CF1" w:rsidRPr="00AF4C22">
        <w:rPr>
          <w:rFonts w:eastAsia="Calibri"/>
          <w:b/>
          <w:bCs/>
          <w:sz w:val="22"/>
          <w:szCs w:val="22"/>
          <w:lang w:val="es-CO"/>
        </w:rPr>
        <w:t xml:space="preserve"> </w:t>
      </w:r>
    </w:p>
    <w:p w14:paraId="63F7A4AD" w14:textId="7E54CCA5" w:rsidR="00C16E23" w:rsidRPr="00AF4C22" w:rsidRDefault="00C16E23" w:rsidP="00AF4C22">
      <w:pPr>
        <w:pStyle w:val="ListParagraph"/>
        <w:ind w:left="0" w:firstLine="720"/>
        <w:jc w:val="both"/>
        <w:rPr>
          <w:sz w:val="22"/>
          <w:szCs w:val="22"/>
          <w:lang w:val="es-CO"/>
        </w:rPr>
      </w:pPr>
    </w:p>
    <w:p w14:paraId="44D66C86" w14:textId="24419E6C" w:rsidR="00C16E23" w:rsidRPr="00AF4C22" w:rsidRDefault="00C16E23" w:rsidP="00AF4C22">
      <w:pPr>
        <w:pStyle w:val="ListParagraph"/>
        <w:numPr>
          <w:ilvl w:val="0"/>
          <w:numId w:val="18"/>
        </w:numPr>
        <w:ind w:left="0" w:firstLine="720"/>
        <w:jc w:val="both"/>
        <w:rPr>
          <w:sz w:val="22"/>
          <w:szCs w:val="22"/>
          <w:lang w:val="es-CO"/>
        </w:rPr>
      </w:pPr>
      <w:r w:rsidRPr="00AF4C22">
        <w:rPr>
          <w:rFonts w:eastAsia="Calibri"/>
          <w:sz w:val="22"/>
          <w:szCs w:val="22"/>
          <w:lang w:val="es-CO"/>
        </w:rPr>
        <w:t xml:space="preserve">Ejecutar, antes del 54ª período ordinario de sesiones de la Asamblea General, las actividades asignadas por el 52º período ordinario de sesiones de la Asamblea General no ejecutadas antes del 53º período ordinario de sesiones de la Asamblea General, enumeradas en el </w:t>
      </w:r>
      <w:r w:rsidRPr="00AF4C22">
        <w:rPr>
          <w:rFonts w:eastAsia="Calibri"/>
          <w:b/>
          <w:bCs/>
          <w:sz w:val="22"/>
          <w:szCs w:val="22"/>
          <w:lang w:val="es-CO"/>
        </w:rPr>
        <w:t>Anexo B.</w:t>
      </w:r>
      <w:r w:rsidR="00785C9F" w:rsidRPr="00AF4C22">
        <w:rPr>
          <w:rFonts w:eastAsia="Calibri"/>
          <w:b/>
          <w:bCs/>
          <w:sz w:val="22"/>
          <w:szCs w:val="22"/>
          <w:lang w:val="es-CO"/>
        </w:rPr>
        <w:t xml:space="preserve"> </w:t>
      </w:r>
    </w:p>
    <w:p w14:paraId="6A43FFA8" w14:textId="77777777" w:rsidR="00C16E23" w:rsidRPr="00AF4C22" w:rsidRDefault="00C16E23" w:rsidP="00AF4C22">
      <w:pPr>
        <w:ind w:firstLine="720"/>
        <w:rPr>
          <w:rFonts w:ascii="Times New Roman" w:hAnsi="Times New Roman"/>
          <w:szCs w:val="22"/>
          <w:lang w:val="es-CO"/>
        </w:rPr>
      </w:pPr>
    </w:p>
    <w:p w14:paraId="614932C3" w14:textId="04675DB2" w:rsidR="00C16E23" w:rsidRPr="00AF4C22" w:rsidRDefault="00C16E23" w:rsidP="00AF4C22">
      <w:pPr>
        <w:pStyle w:val="ListParagraph"/>
        <w:numPr>
          <w:ilvl w:val="0"/>
          <w:numId w:val="18"/>
        </w:numPr>
        <w:ind w:left="0" w:firstLine="720"/>
        <w:jc w:val="both"/>
        <w:rPr>
          <w:sz w:val="22"/>
          <w:szCs w:val="22"/>
          <w:lang w:val="es-CO"/>
        </w:rPr>
      </w:pPr>
      <w:r w:rsidRPr="00AF4C22">
        <w:rPr>
          <w:rFonts w:eastAsia="Calibri"/>
          <w:sz w:val="22"/>
          <w:szCs w:val="22"/>
          <w:lang w:val="es-CO"/>
        </w:rPr>
        <w:t>Actualizar las secciones de la resolución AG/RES. 2991 (LII-O/22) e incorporar nuevas secciones, de la siguiente manera:</w:t>
      </w:r>
      <w:r w:rsidR="00785C9F" w:rsidRPr="00AF4C22">
        <w:rPr>
          <w:rFonts w:eastAsia="Calibri"/>
          <w:sz w:val="22"/>
          <w:szCs w:val="22"/>
          <w:lang w:val="es-CO"/>
        </w:rPr>
        <w:t xml:space="preserve"> </w:t>
      </w:r>
    </w:p>
    <w:p w14:paraId="69B5AFD3" w14:textId="4DE0B959" w:rsidR="000D3468" w:rsidRPr="00AF4C22" w:rsidRDefault="000D3468" w:rsidP="00AF4C22">
      <w:pPr>
        <w:rPr>
          <w:rFonts w:ascii="Times New Roman" w:hAnsi="Times New Roman"/>
          <w:szCs w:val="22"/>
          <w:lang w:val="es-CO"/>
        </w:rPr>
      </w:pPr>
    </w:p>
    <w:p w14:paraId="355BFAF6" w14:textId="114714D1" w:rsidR="001C42E4" w:rsidRPr="00AF4C22" w:rsidRDefault="001C42E4"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Cs/>
          <w:szCs w:val="22"/>
          <w:lang w:val="es-CO" w:eastAsia="en-US"/>
        </w:rPr>
      </w:pPr>
    </w:p>
    <w:p w14:paraId="504B599E" w14:textId="45DAD43A" w:rsidR="000D3468" w:rsidRPr="00AF4C22" w:rsidRDefault="000D3468" w:rsidP="00AF4C22">
      <w:pPr>
        <w:pStyle w:val="ListParagraph"/>
        <w:numPr>
          <w:ilvl w:val="0"/>
          <w:numId w:val="19"/>
        </w:numPr>
        <w:ind w:left="374" w:hanging="187"/>
        <w:rPr>
          <w:rFonts w:eastAsia="Times New Roman"/>
          <w:bCs/>
          <w:sz w:val="22"/>
          <w:szCs w:val="22"/>
          <w:lang w:val="es-CO"/>
        </w:rPr>
      </w:pPr>
      <w:r w:rsidRPr="00AF4C22">
        <w:rPr>
          <w:rFonts w:eastAsia="Times New Roman"/>
          <w:bCs/>
          <w:sz w:val="22"/>
          <w:szCs w:val="22"/>
          <w:lang w:val="es-CO"/>
        </w:rPr>
        <w:t>DERECHOS DE LAS NIÑAS, NIÑOS Y ADOLESCENTES</w:t>
      </w:r>
    </w:p>
    <w:p w14:paraId="7A776F5E" w14:textId="77777777" w:rsidR="000D3468" w:rsidRPr="00AF4C22" w:rsidRDefault="000D3468" w:rsidP="00AF4C22">
      <w:pPr>
        <w:rPr>
          <w:rFonts w:ascii="Times New Roman" w:eastAsia="Times New Roman" w:hAnsi="Times New Roman"/>
          <w:szCs w:val="22"/>
          <w:lang w:val="es-UY" w:eastAsia="en-US"/>
        </w:rPr>
      </w:pPr>
    </w:p>
    <w:p w14:paraId="52F866BB" w14:textId="0C821B95" w:rsidR="000D3468" w:rsidRPr="00AF4C22" w:rsidRDefault="004A606A" w:rsidP="00AF4C22">
      <w:pPr>
        <w:ind w:firstLine="720"/>
        <w:rPr>
          <w:rFonts w:ascii="Times New Roman" w:eastAsia="Times New Roman" w:hAnsi="Times New Roman"/>
          <w:szCs w:val="22"/>
          <w:lang w:eastAsia="en-US"/>
        </w:rPr>
      </w:pPr>
      <w:r w:rsidRPr="00AF4C22">
        <w:rPr>
          <w:rFonts w:ascii="Times New Roman" w:eastAsia="Times New Roman" w:hAnsi="Times New Roman"/>
          <w:szCs w:val="22"/>
          <w:lang w:val="es-UY" w:eastAsia="en-US"/>
        </w:rPr>
        <w:t>1</w:t>
      </w:r>
      <w:r w:rsidR="000D3468" w:rsidRPr="00AF4C22">
        <w:rPr>
          <w:rFonts w:ascii="Times New Roman" w:eastAsia="Times New Roman" w:hAnsi="Times New Roman"/>
          <w:szCs w:val="22"/>
          <w:lang w:val="es-UY" w:eastAsia="en-US"/>
        </w:rPr>
        <w:t xml:space="preserve">. </w:t>
      </w:r>
      <w:r w:rsidR="000D3468" w:rsidRPr="00AF4C22">
        <w:rPr>
          <w:rFonts w:ascii="Times New Roman" w:eastAsia="Times New Roman" w:hAnsi="Times New Roman"/>
          <w:szCs w:val="22"/>
          <w:lang w:val="es-UY" w:eastAsia="en-US"/>
        </w:rPr>
        <w:tab/>
        <w:t xml:space="preserve">Reconocer las actividades del </w:t>
      </w:r>
      <w:r w:rsidR="00533AC4" w:rsidRPr="00AF4C22">
        <w:rPr>
          <w:rFonts w:ascii="Times New Roman" w:eastAsia="Times New Roman" w:hAnsi="Times New Roman"/>
          <w:szCs w:val="22"/>
          <w:lang w:val="es-UY" w:eastAsia="en-US"/>
        </w:rPr>
        <w:t>Instituto Interamericano del Niño (</w:t>
      </w:r>
      <w:r w:rsidR="000D3468" w:rsidRPr="00AF4C22">
        <w:rPr>
          <w:rFonts w:ascii="Times New Roman" w:eastAsia="Times New Roman" w:hAnsi="Times New Roman"/>
          <w:szCs w:val="22"/>
          <w:lang w:val="es-UY" w:eastAsia="en-US"/>
        </w:rPr>
        <w:t>IIN</w:t>
      </w:r>
      <w:r w:rsidR="00533AC4" w:rsidRPr="00AF4C22">
        <w:rPr>
          <w:rFonts w:ascii="Times New Roman" w:eastAsia="Times New Roman" w:hAnsi="Times New Roman"/>
          <w:szCs w:val="22"/>
          <w:lang w:val="es-UY" w:eastAsia="en-US"/>
        </w:rPr>
        <w:t>)</w:t>
      </w:r>
      <w:r w:rsidR="000D3468" w:rsidRPr="00AF4C22">
        <w:rPr>
          <w:rFonts w:ascii="Times New Roman" w:eastAsia="Times New Roman" w:hAnsi="Times New Roman"/>
          <w:szCs w:val="22"/>
          <w:lang w:val="es-UY" w:eastAsia="en-US"/>
        </w:rPr>
        <w:t>, en especial las acciones de formación de los recursos humanos para las políticas de protección de los derechos de las niñas, los niños y adolescentes, realizadas a través del Programa Interamericano de Capacitación (PIC) así como la instauración de diversos Grupos de Trabajo y Redes de Niñas, Niños y Adolescentes, con los recursos existentes, y la labor que se desarrolla en forma continua para la definición de los lineamientos estratégicos y las metodologías innovadoras en su funcionamiento.</w:t>
      </w:r>
      <w:r w:rsidR="000D3468" w:rsidRPr="00AF4C22">
        <w:rPr>
          <w:rFonts w:ascii="Times New Roman" w:eastAsia="Times New Roman" w:hAnsi="Times New Roman"/>
          <w:szCs w:val="22"/>
          <w:lang w:eastAsia="en-US"/>
        </w:rPr>
        <w:t xml:space="preserve"> </w:t>
      </w:r>
      <w:bookmarkStart w:id="1" w:name="_Hlk135988493"/>
    </w:p>
    <w:bookmarkEnd w:id="1"/>
    <w:p w14:paraId="4CA7E608" w14:textId="77777777" w:rsidR="00972C89" w:rsidRDefault="00972C89" w:rsidP="00AF4C22">
      <w:pPr>
        <w:ind w:firstLine="720"/>
        <w:rPr>
          <w:rFonts w:ascii="Times New Roman" w:eastAsia="Times New Roman" w:hAnsi="Times New Roman"/>
          <w:szCs w:val="22"/>
          <w:lang w:val="es-UY" w:eastAsia="en-US"/>
        </w:rPr>
      </w:pPr>
    </w:p>
    <w:p w14:paraId="2712D60A" w14:textId="77777777" w:rsidR="00F0080B" w:rsidRPr="00AF4C22" w:rsidRDefault="00F0080B" w:rsidP="00AF4C22">
      <w:pPr>
        <w:ind w:firstLine="720"/>
        <w:rPr>
          <w:rFonts w:ascii="Times New Roman" w:eastAsia="Times New Roman" w:hAnsi="Times New Roman"/>
          <w:szCs w:val="22"/>
          <w:lang w:val="es-UY" w:eastAsia="en-US"/>
        </w:rPr>
      </w:pPr>
    </w:p>
    <w:p w14:paraId="3F5E83B9" w14:textId="7668D328" w:rsidR="00A774DA" w:rsidRPr="00AF4C22" w:rsidRDefault="00296E13" w:rsidP="00AF4C22">
      <w:pPr>
        <w:ind w:firstLine="720"/>
        <w:rPr>
          <w:rFonts w:ascii="Times New Roman" w:eastAsia="Times New Roman" w:hAnsi="Times New Roman"/>
          <w:szCs w:val="22"/>
          <w:lang w:eastAsia="en-US"/>
        </w:rPr>
      </w:pPr>
      <w:r w:rsidRPr="00AF4C22">
        <w:rPr>
          <w:rFonts w:ascii="Times New Roman" w:eastAsia="Times New Roman" w:hAnsi="Times New Roman"/>
          <w:szCs w:val="22"/>
          <w:lang w:val="es-UY" w:eastAsia="en-US"/>
        </w:rPr>
        <w:lastRenderedPageBreak/>
        <w:t>2.</w:t>
      </w:r>
      <w:r w:rsidRPr="00AF4C22">
        <w:rPr>
          <w:rFonts w:ascii="Times New Roman" w:eastAsia="Times New Roman" w:hAnsi="Times New Roman"/>
          <w:szCs w:val="22"/>
          <w:lang w:val="es-UY" w:eastAsia="en-US"/>
        </w:rPr>
        <w:tab/>
      </w:r>
      <w:r w:rsidR="00C14799" w:rsidRPr="00AF4C22">
        <w:rPr>
          <w:rFonts w:ascii="Times New Roman" w:eastAsia="Times New Roman" w:hAnsi="Times New Roman"/>
          <w:szCs w:val="22"/>
          <w:lang w:val="es-UY" w:eastAsia="en-US"/>
        </w:rPr>
        <w:t>Encomendar al IIN</w:t>
      </w:r>
      <w:r w:rsidR="00EA7030" w:rsidRPr="00AF4C22">
        <w:rPr>
          <w:rFonts w:ascii="Times New Roman" w:eastAsia="Times New Roman" w:hAnsi="Times New Roman"/>
          <w:szCs w:val="22"/>
          <w:lang w:val="es-UY" w:eastAsia="en-US"/>
        </w:rPr>
        <w:t xml:space="preserve"> que</w:t>
      </w:r>
      <w:r w:rsidR="00C14799" w:rsidRPr="00AF4C22">
        <w:rPr>
          <w:rFonts w:ascii="Times New Roman" w:eastAsia="Times New Roman" w:hAnsi="Times New Roman"/>
          <w:szCs w:val="22"/>
          <w:lang w:val="es-UY" w:eastAsia="en-US"/>
        </w:rPr>
        <w:t>, con los recursos existentes, considere avanzar</w:t>
      </w:r>
      <w:r w:rsidR="00EA7030" w:rsidRPr="00AF4C22">
        <w:rPr>
          <w:rFonts w:ascii="Times New Roman" w:eastAsia="Times New Roman" w:hAnsi="Times New Roman"/>
          <w:szCs w:val="22"/>
          <w:lang w:val="es-UY" w:eastAsia="en-US"/>
        </w:rPr>
        <w:t xml:space="preserve"> en</w:t>
      </w:r>
      <w:r w:rsidR="000D3468" w:rsidRPr="00AF4C22">
        <w:rPr>
          <w:rFonts w:ascii="Times New Roman" w:eastAsia="Times New Roman" w:hAnsi="Times New Roman"/>
          <w:color w:val="2E74B5" w:themeColor="accent5" w:themeShade="BF"/>
          <w:szCs w:val="22"/>
          <w:lang w:val="es-UY" w:eastAsia="en-US"/>
        </w:rPr>
        <w:t xml:space="preserve"> </w:t>
      </w:r>
      <w:r w:rsidR="000D3468" w:rsidRPr="00AF4C22">
        <w:rPr>
          <w:rFonts w:ascii="Times New Roman" w:eastAsia="Times New Roman" w:hAnsi="Times New Roman"/>
          <w:szCs w:val="22"/>
          <w:lang w:val="es-UY" w:eastAsia="en-US"/>
        </w:rPr>
        <w:t>la implementación de las recomendaciones del diagnóstico hemisférico en materia de prevención, erradicación y sanción del abuso y toda forma de violencia contra la niñez y la adolescencia presentado por el IIN en el año 2022</w:t>
      </w:r>
      <w:r w:rsidR="00822E8B" w:rsidRPr="00AF4C22">
        <w:rPr>
          <w:rFonts w:ascii="Times New Roman" w:eastAsia="Times New Roman" w:hAnsi="Times New Roman"/>
          <w:szCs w:val="22"/>
          <w:lang w:val="es-UY" w:eastAsia="en-US"/>
        </w:rPr>
        <w:t xml:space="preserve">, en coordinación con los </w:t>
      </w:r>
      <w:r w:rsidR="00C57D50" w:rsidRPr="00AF4C22">
        <w:rPr>
          <w:rFonts w:ascii="Times New Roman" w:eastAsia="Times New Roman" w:hAnsi="Times New Roman"/>
          <w:szCs w:val="22"/>
          <w:lang w:val="es-UY" w:eastAsia="en-US"/>
        </w:rPr>
        <w:t xml:space="preserve">Estados </w:t>
      </w:r>
      <w:r w:rsidR="00822E8B" w:rsidRPr="00AF4C22">
        <w:rPr>
          <w:rFonts w:ascii="Times New Roman" w:eastAsia="Times New Roman" w:hAnsi="Times New Roman"/>
          <w:szCs w:val="22"/>
          <w:lang w:val="es-UY" w:eastAsia="en-US"/>
        </w:rPr>
        <w:t>Miembros</w:t>
      </w:r>
      <w:r w:rsidR="000D3468" w:rsidRPr="00AF4C22">
        <w:rPr>
          <w:rFonts w:ascii="Times New Roman" w:eastAsia="Times New Roman" w:hAnsi="Times New Roman"/>
          <w:szCs w:val="22"/>
          <w:lang w:val="es-UY" w:eastAsia="en-US"/>
        </w:rPr>
        <w:t>.</w:t>
      </w:r>
      <w:r w:rsidR="00A774DA" w:rsidRPr="00AF4C22">
        <w:rPr>
          <w:rFonts w:ascii="Times New Roman" w:eastAsia="Times New Roman" w:hAnsi="Times New Roman"/>
          <w:b/>
          <w:bCs/>
          <w:szCs w:val="22"/>
          <w:lang w:val="es-UY" w:eastAsia="en-US"/>
        </w:rPr>
        <w:t xml:space="preserve"> </w:t>
      </w:r>
    </w:p>
    <w:p w14:paraId="05114916" w14:textId="27F0228E" w:rsidR="00C16E23" w:rsidRPr="00AF4C22" w:rsidRDefault="00C16E23" w:rsidP="00AF4C22">
      <w:pPr>
        <w:ind w:firstLine="720"/>
        <w:rPr>
          <w:rFonts w:ascii="Times New Roman" w:eastAsia="Times New Roman" w:hAnsi="Times New Roman"/>
          <w:szCs w:val="22"/>
          <w:lang w:val="es-UY" w:eastAsia="en-US"/>
        </w:rPr>
      </w:pPr>
    </w:p>
    <w:p w14:paraId="18AE41B2" w14:textId="77777777" w:rsidR="000D3468" w:rsidRPr="00AF4C22" w:rsidRDefault="000D3468" w:rsidP="00AF4C22">
      <w:pPr>
        <w:rPr>
          <w:rFonts w:ascii="Times New Roman" w:hAnsi="Times New Roman"/>
          <w:szCs w:val="22"/>
          <w:lang w:val="es-CO"/>
        </w:rPr>
      </w:pPr>
    </w:p>
    <w:p w14:paraId="56E24046" w14:textId="48A55738" w:rsidR="000D3468" w:rsidRPr="00AF4C22" w:rsidRDefault="000D3468" w:rsidP="00AF4C22">
      <w:pPr>
        <w:pStyle w:val="ListParagraph"/>
        <w:numPr>
          <w:ilvl w:val="0"/>
          <w:numId w:val="19"/>
        </w:numPr>
        <w:ind w:left="374" w:hanging="187"/>
        <w:jc w:val="both"/>
        <w:rPr>
          <w:rFonts w:eastAsia="Times New Roman"/>
          <w:bCs/>
          <w:sz w:val="22"/>
          <w:szCs w:val="22"/>
          <w:lang w:val="es-UY"/>
        </w:rPr>
      </w:pPr>
      <w:r w:rsidRPr="00AF4C22">
        <w:rPr>
          <w:rFonts w:eastAsia="Times New Roman"/>
          <w:bCs/>
          <w:sz w:val="22"/>
          <w:szCs w:val="22"/>
          <w:lang w:val="es-CO"/>
        </w:rPr>
        <w:t>PRINCIPIOS SOBRE ENTREVISTAS EFECTIVAS PARA INVESTIGACIÓN Y RECOPILACIÓN DE INFORMACIÓN Y EL ROL DE LA DEFENSA PÚBLICA OFICIAL</w:t>
      </w:r>
      <w:r w:rsidRPr="00AF4C22">
        <w:rPr>
          <w:rFonts w:eastAsia="Times New Roman"/>
          <w:bCs/>
          <w:sz w:val="22"/>
          <w:szCs w:val="22"/>
          <w:lang w:val="es-UY"/>
        </w:rPr>
        <w:t xml:space="preserve"> </w:t>
      </w:r>
      <w:r w:rsidR="001A6EC3" w:rsidRPr="00AF4C22">
        <w:rPr>
          <w:rFonts w:eastAsia="Times New Roman"/>
          <w:b/>
          <w:sz w:val="22"/>
          <w:szCs w:val="22"/>
          <w:highlight w:val="lightGray"/>
          <w:lang w:val="es-CO"/>
        </w:rPr>
        <w:t>(EEUU presentará nota de pie de página)</w:t>
      </w:r>
    </w:p>
    <w:p w14:paraId="40C8A4AE" w14:textId="77777777" w:rsidR="000D3468" w:rsidRPr="00AF4C22" w:rsidRDefault="000D3468" w:rsidP="00AF4C22">
      <w:pPr>
        <w:widowControl/>
        <w:tabs>
          <w:tab w:val="clear" w:pos="720"/>
        </w:tabs>
        <w:ind w:firstLine="720"/>
        <w:contextualSpacing/>
        <w:rPr>
          <w:rFonts w:ascii="Times New Roman" w:eastAsia="Times New Roman" w:hAnsi="Times New Roman"/>
          <w:szCs w:val="22"/>
          <w:lang w:val="es-UY" w:eastAsia="en-US"/>
        </w:rPr>
      </w:pPr>
    </w:p>
    <w:p w14:paraId="6C628C96" w14:textId="77777777" w:rsidR="000D3468" w:rsidRPr="00AF4C22" w:rsidRDefault="000D3468" w:rsidP="00AF4C22">
      <w:pPr>
        <w:widowControl/>
        <w:tabs>
          <w:tab w:val="clear" w:pos="720"/>
        </w:tabs>
        <w:ind w:firstLine="720"/>
        <w:contextualSpacing/>
        <w:rPr>
          <w:rFonts w:ascii="Times New Roman" w:eastAsia="Times New Roman" w:hAnsi="Times New Roman"/>
          <w:szCs w:val="22"/>
          <w:lang w:val="es-UY" w:eastAsia="en-US"/>
        </w:rPr>
      </w:pPr>
      <w:r w:rsidRPr="00AF4C22">
        <w:rPr>
          <w:rFonts w:ascii="Times New Roman" w:eastAsia="Times New Roman" w:hAnsi="Times New Roman"/>
          <w:szCs w:val="22"/>
          <w:lang w:val="es-UY" w:eastAsia="en-US"/>
        </w:rPr>
        <w:t>En seguimiento de las secciones ii. y v., de la resolución AG/RES. 2991 (LII-O/22) “Promoción y Protección de Derechos Humanos”:</w:t>
      </w:r>
    </w:p>
    <w:p w14:paraId="1BB84D7B" w14:textId="77777777" w:rsidR="000D3468" w:rsidRPr="00AF4C22" w:rsidRDefault="000D3468" w:rsidP="00AF4C22">
      <w:pPr>
        <w:widowControl/>
        <w:tabs>
          <w:tab w:val="clear" w:pos="720"/>
        </w:tabs>
        <w:ind w:firstLine="720"/>
        <w:contextualSpacing/>
        <w:rPr>
          <w:rFonts w:ascii="Times New Roman" w:eastAsia="Times New Roman" w:hAnsi="Times New Roman"/>
          <w:szCs w:val="22"/>
          <w:lang w:val="es-UY" w:eastAsia="en-US"/>
        </w:rPr>
      </w:pPr>
    </w:p>
    <w:p w14:paraId="03639006" w14:textId="2E798FEE" w:rsidR="001A33CD" w:rsidRPr="00AF4C22" w:rsidRDefault="001A6EC3"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UY" w:eastAsia="en-US"/>
        </w:rPr>
      </w:pPr>
      <w:r w:rsidRPr="00AF4C22">
        <w:rPr>
          <w:rFonts w:ascii="Times New Roman" w:eastAsia="Times New Roman" w:hAnsi="Times New Roman"/>
          <w:szCs w:val="22"/>
          <w:lang w:val="es-UY" w:eastAsia="en-US"/>
        </w:rPr>
        <w:t>1.</w:t>
      </w:r>
      <w:r w:rsidRPr="00AF4C22">
        <w:rPr>
          <w:rFonts w:ascii="Times New Roman" w:eastAsia="Times New Roman" w:hAnsi="Times New Roman"/>
          <w:szCs w:val="22"/>
          <w:lang w:val="es-UY" w:eastAsia="en-US"/>
        </w:rPr>
        <w:tab/>
      </w:r>
      <w:r w:rsidR="00FA0E17" w:rsidRPr="00AF4C22">
        <w:rPr>
          <w:rFonts w:ascii="Times New Roman" w:eastAsia="Times New Roman" w:hAnsi="Times New Roman"/>
          <w:szCs w:val="22"/>
          <w:lang w:val="es-UY" w:eastAsia="en-US"/>
        </w:rPr>
        <w:t xml:space="preserve">Afirmar la importancia que los “Principios sobre Entrevistas Efectivas para Investigación y Recopilación de Información” tienen para las entidades públicas competentes que ejecutan interrogatorios y entrevistas para obtener confesiones y para el servicio de asistencia jurídica gratuita prestada por las Defensorías Públicas Oficiales de las Américas; alentando a dichas instituciones, en el marco de su autonomía e independencia, a implementar protocolos internos de actuación que adopten los Principios en el desarrollo de sus tareas cotidianas, difundirlos y capacitarse en la materia; así como a trabajar por el desarrollo de un marco normativo para realizar entrevistas efectivas que eviten </w:t>
      </w:r>
      <w:r w:rsidR="00C70F26" w:rsidRPr="00AF4C22">
        <w:rPr>
          <w:rFonts w:ascii="Times New Roman" w:eastAsia="Times New Roman" w:hAnsi="Times New Roman"/>
          <w:szCs w:val="22"/>
          <w:lang w:val="es-UY" w:eastAsia="en-US"/>
        </w:rPr>
        <w:t xml:space="preserve">las violaciones y  </w:t>
      </w:r>
      <w:r w:rsidR="00FA0E17" w:rsidRPr="00AF4C22">
        <w:rPr>
          <w:rFonts w:ascii="Times New Roman" w:eastAsia="Times New Roman" w:hAnsi="Times New Roman"/>
          <w:szCs w:val="22"/>
          <w:lang w:val="es-UY" w:eastAsia="en-US"/>
        </w:rPr>
        <w:t>los abusos a los derechos humanos, en concreto para evitar la tortura y otros tratos crueles, inhumanos y degradantes o castigos, que incluyan a la defensa pública desde el inicio mismo del procedimiento y en todas las etapas del proceso.</w:t>
      </w:r>
      <w:r w:rsidR="00821624" w:rsidRPr="00AF4C22">
        <w:rPr>
          <w:rFonts w:ascii="Times New Roman" w:eastAsia="Times New Roman" w:hAnsi="Times New Roman"/>
          <w:szCs w:val="22"/>
          <w:lang w:val="es-UY" w:eastAsia="en-US"/>
        </w:rPr>
        <w:t xml:space="preserve"> </w:t>
      </w:r>
    </w:p>
    <w:p w14:paraId="6DF40026" w14:textId="77777777" w:rsidR="00776D49" w:rsidRPr="00AF4C22" w:rsidRDefault="00776D4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UY" w:eastAsia="en-US"/>
        </w:rPr>
      </w:pPr>
    </w:p>
    <w:p w14:paraId="1F11A65C" w14:textId="7FFD4DE7" w:rsidR="000D3468" w:rsidRPr="00AF4C22" w:rsidRDefault="00776D4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UY" w:eastAsia="en-US"/>
        </w:rPr>
      </w:pPr>
      <w:r w:rsidRPr="00AF4C22">
        <w:rPr>
          <w:rFonts w:ascii="Times New Roman" w:eastAsia="Times New Roman" w:hAnsi="Times New Roman"/>
          <w:szCs w:val="22"/>
          <w:lang w:val="es-UY" w:eastAsia="en-US"/>
        </w:rPr>
        <w:t>2.</w:t>
      </w:r>
      <w:r w:rsidRPr="00AF4C22">
        <w:rPr>
          <w:rFonts w:ascii="Times New Roman" w:eastAsia="Times New Roman" w:hAnsi="Times New Roman"/>
          <w:szCs w:val="22"/>
          <w:lang w:val="es-UY" w:eastAsia="en-US"/>
        </w:rPr>
        <w:tab/>
      </w:r>
      <w:r w:rsidR="000D3468" w:rsidRPr="00AF4C22">
        <w:rPr>
          <w:rFonts w:ascii="Times New Roman" w:eastAsia="Times New Roman" w:hAnsi="Times New Roman"/>
          <w:szCs w:val="22"/>
          <w:lang w:val="es-UY" w:eastAsia="en-US"/>
        </w:rPr>
        <w:t xml:space="preserve">Solicitar a la Comisión de Asuntos Jurídicos y Políticos (CAJP) que celebre una sesión extraordinaria en el primer trimestre de 2024 sobre “Principios sobre Entrevistas Efectivas para Investigación y Recopilación de Información y el rol de la defensa pública oficial”, con el fin de promover el intercambio de experiencias y buenas prácticas destinadas a garantizar salvaguardias jurídicas y procesales en el desarrollo de las entrevistas, con la presencia de los Estados Miembros y sus respectivas instituciones públicas oficiales de asistencia jurídica, de integrantes de la </w:t>
      </w:r>
      <w:r w:rsidR="000E4CA2" w:rsidRPr="00AF4C22">
        <w:rPr>
          <w:rFonts w:ascii="Times New Roman" w:eastAsia="Times New Roman" w:hAnsi="Times New Roman"/>
          <w:szCs w:val="22"/>
          <w:lang w:val="es-UY" w:eastAsia="en-US"/>
        </w:rPr>
        <w:t xml:space="preserve">Asociación Interamericana de Defensorías </w:t>
      </w:r>
      <w:r w:rsidR="0012330E" w:rsidRPr="00AF4C22">
        <w:rPr>
          <w:rFonts w:ascii="Times New Roman" w:eastAsia="Times New Roman" w:hAnsi="Times New Roman"/>
          <w:szCs w:val="22"/>
          <w:lang w:val="es-UY" w:eastAsia="en-US"/>
        </w:rPr>
        <w:t>Públicas</w:t>
      </w:r>
      <w:r w:rsidR="000E4CA2" w:rsidRPr="00AF4C22">
        <w:rPr>
          <w:rFonts w:ascii="Times New Roman" w:eastAsia="Times New Roman" w:hAnsi="Times New Roman"/>
          <w:szCs w:val="22"/>
          <w:lang w:val="es-UY" w:eastAsia="en-US"/>
        </w:rPr>
        <w:t xml:space="preserve"> (</w:t>
      </w:r>
      <w:r w:rsidR="000D3468" w:rsidRPr="00AF4C22">
        <w:rPr>
          <w:rFonts w:ascii="Times New Roman" w:eastAsia="Times New Roman" w:hAnsi="Times New Roman"/>
          <w:szCs w:val="22"/>
          <w:lang w:val="es-UY" w:eastAsia="en-US"/>
        </w:rPr>
        <w:t>AIDEF</w:t>
      </w:r>
      <w:r w:rsidR="000E4CA2" w:rsidRPr="00AF4C22">
        <w:rPr>
          <w:rFonts w:ascii="Times New Roman" w:eastAsia="Times New Roman" w:hAnsi="Times New Roman"/>
          <w:szCs w:val="22"/>
          <w:lang w:val="es-UY" w:eastAsia="en-US"/>
        </w:rPr>
        <w:t>)</w:t>
      </w:r>
      <w:r w:rsidR="000D3468" w:rsidRPr="00AF4C22">
        <w:rPr>
          <w:rFonts w:ascii="Times New Roman" w:eastAsia="Times New Roman" w:hAnsi="Times New Roman"/>
          <w:szCs w:val="22"/>
          <w:lang w:val="es-UY" w:eastAsia="en-US"/>
        </w:rPr>
        <w:t xml:space="preserve"> –cuya asistencia estará garantizada por esa organización-, expertos del sector académico y de la sociedad civil, </w:t>
      </w:r>
      <w:r w:rsidR="00806DF9" w:rsidRPr="00AF4C22">
        <w:rPr>
          <w:rFonts w:ascii="Times New Roman" w:eastAsia="Times New Roman" w:hAnsi="Times New Roman"/>
          <w:szCs w:val="22"/>
          <w:lang w:val="es-UY" w:eastAsia="en-US"/>
        </w:rPr>
        <w:t>incluyendo las organizaciones de derechos de las mujeres</w:t>
      </w:r>
      <w:r w:rsidR="00F0589E" w:rsidRPr="00AF4C22">
        <w:rPr>
          <w:rFonts w:ascii="Times New Roman" w:eastAsia="Times New Roman" w:hAnsi="Times New Roman"/>
          <w:szCs w:val="22"/>
          <w:lang w:val="es-UY" w:eastAsia="en-US"/>
        </w:rPr>
        <w:t>,</w:t>
      </w:r>
      <w:r w:rsidR="00806DF9" w:rsidRPr="00AF4C22">
        <w:rPr>
          <w:rFonts w:ascii="Times New Roman" w:eastAsia="Times New Roman" w:hAnsi="Times New Roman"/>
          <w:szCs w:val="22"/>
          <w:lang w:val="es-UY" w:eastAsia="en-US"/>
        </w:rPr>
        <w:t xml:space="preserve"> </w:t>
      </w:r>
      <w:r w:rsidR="000D3468" w:rsidRPr="00AF4C22">
        <w:rPr>
          <w:rFonts w:ascii="Times New Roman" w:eastAsia="Times New Roman" w:hAnsi="Times New Roman"/>
          <w:szCs w:val="22"/>
          <w:lang w:val="es-UY" w:eastAsia="en-US"/>
        </w:rPr>
        <w:t>así como de organizaciones internacionales.</w:t>
      </w:r>
      <w:r w:rsidR="008C59F6" w:rsidRPr="00AF4C22">
        <w:rPr>
          <w:rFonts w:ascii="Times New Roman" w:eastAsia="Times New Roman" w:hAnsi="Times New Roman"/>
          <w:szCs w:val="22"/>
          <w:lang w:val="es-UY" w:eastAsia="en-US"/>
        </w:rPr>
        <w:t xml:space="preserve"> </w:t>
      </w:r>
    </w:p>
    <w:p w14:paraId="3034D31C" w14:textId="0902E4C2" w:rsidR="00047667" w:rsidRPr="00AF4C22" w:rsidRDefault="00047667" w:rsidP="00AF4C22">
      <w:pPr>
        <w:rPr>
          <w:rFonts w:ascii="Times New Roman" w:hAnsi="Times New Roman"/>
          <w:szCs w:val="22"/>
          <w:lang w:val="es-CO"/>
        </w:rPr>
      </w:pPr>
    </w:p>
    <w:p w14:paraId="09B67A2B" w14:textId="61723FD5" w:rsidR="006A41D4" w:rsidRPr="00AF4C22" w:rsidRDefault="006A41D4" w:rsidP="00AF4C22">
      <w:pPr>
        <w:rPr>
          <w:rFonts w:ascii="Times New Roman" w:hAnsi="Times New Roman"/>
          <w:szCs w:val="22"/>
          <w:lang w:val="es-CO"/>
        </w:rPr>
      </w:pPr>
    </w:p>
    <w:p w14:paraId="28330917" w14:textId="399FD2C0" w:rsidR="00EC2BED" w:rsidRPr="00AF4C22" w:rsidRDefault="000D3468" w:rsidP="00AF4C22">
      <w:pPr>
        <w:pStyle w:val="ListParagraph"/>
        <w:numPr>
          <w:ilvl w:val="0"/>
          <w:numId w:val="19"/>
        </w:numPr>
        <w:ind w:left="360" w:hanging="187"/>
        <w:rPr>
          <w:rFonts w:eastAsia="Calibri"/>
          <w:sz w:val="22"/>
          <w:szCs w:val="22"/>
          <w:lang w:val="es-CL"/>
        </w:rPr>
      </w:pPr>
      <w:r w:rsidRPr="00AF4C22">
        <w:rPr>
          <w:rFonts w:eastAsia="Arial Unicode MS"/>
          <w:sz w:val="22"/>
          <w:szCs w:val="22"/>
          <w:lang w:val="es-CO" w:eastAsia="es-MX"/>
        </w:rPr>
        <w:t xml:space="preserve">DERECHOS </w:t>
      </w:r>
      <w:r w:rsidRPr="00AF4C22">
        <w:rPr>
          <w:rFonts w:eastAsia="Calibri"/>
          <w:sz w:val="22"/>
          <w:szCs w:val="22"/>
          <w:lang w:val="es-CO" w:eastAsia="es-MX"/>
        </w:rPr>
        <w:t>HUMANOS</w:t>
      </w:r>
      <w:r w:rsidRPr="00AF4C22">
        <w:rPr>
          <w:rFonts w:eastAsia="Arial Unicode MS"/>
          <w:sz w:val="22"/>
          <w:szCs w:val="22"/>
          <w:lang w:val="es-CO" w:eastAsia="es-MX"/>
        </w:rPr>
        <w:t xml:space="preserve"> Y MEDIO AMBIENTE </w:t>
      </w:r>
      <w:r w:rsidR="00EC2BED" w:rsidRPr="00AF4C22">
        <w:rPr>
          <w:rFonts w:eastAsia="Times New Roman"/>
          <w:b/>
          <w:bCs/>
          <w:sz w:val="22"/>
          <w:szCs w:val="22"/>
          <w:highlight w:val="lightGray"/>
          <w:lang w:val="es-UY"/>
        </w:rPr>
        <w:t>(EEUU presentara nota de pie de página)</w:t>
      </w:r>
    </w:p>
    <w:p w14:paraId="3D2290CD" w14:textId="77777777" w:rsidR="000D3468" w:rsidRPr="00AF4C22" w:rsidRDefault="000D3468"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CL" w:eastAsia="en-US"/>
        </w:rPr>
      </w:pPr>
    </w:p>
    <w:p w14:paraId="672889CA" w14:textId="77777777" w:rsidR="000D3468" w:rsidRPr="00AF4C22" w:rsidRDefault="000D3468"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L" w:eastAsia="en-US"/>
        </w:rPr>
      </w:pPr>
      <w:r w:rsidRPr="00AF4C22">
        <w:rPr>
          <w:rFonts w:ascii="Times New Roman" w:eastAsia="Calibri" w:hAnsi="Times New Roman"/>
          <w:szCs w:val="22"/>
          <w:lang w:val="es-CL" w:eastAsia="en-US"/>
        </w:rPr>
        <w:t>En complemento a la sección xvi. de la resolución AG/RES. 2991 (LII-O/22) “Promoción y Protección de Derechos Humanos”:</w:t>
      </w:r>
    </w:p>
    <w:p w14:paraId="08D870C1" w14:textId="77777777" w:rsidR="000D3468" w:rsidRPr="00AF4C22" w:rsidRDefault="000D3468"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L" w:eastAsia="en-US"/>
        </w:rPr>
      </w:pPr>
    </w:p>
    <w:p w14:paraId="726A54D5" w14:textId="1BED1B4E" w:rsidR="000D3468" w:rsidRPr="00AF4C22" w:rsidRDefault="000D3468" w:rsidP="00AF4C22">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L" w:eastAsia="en-US"/>
        </w:rPr>
      </w:pPr>
      <w:r w:rsidRPr="00AF4C22">
        <w:rPr>
          <w:rFonts w:ascii="Times New Roman" w:eastAsia="Calibri" w:hAnsi="Times New Roman"/>
          <w:szCs w:val="22"/>
          <w:lang w:val="es-CL" w:eastAsia="en-US"/>
        </w:rPr>
        <w:t>Invitar a los Estados Miembros a remitir observaciones y opiniones escritas en el marco de la solicitud de opinión consultiva sobre “Emergencia Climática y Derechos Humanos” presentada ante la Corte Interamericana de Derechos Humanos por parte de la República de Chile y la República de Colombia.</w:t>
      </w:r>
      <w:r w:rsidR="009411FA" w:rsidRPr="00AF4C22">
        <w:rPr>
          <w:rFonts w:ascii="Times New Roman" w:eastAsia="Calibri" w:hAnsi="Times New Roman"/>
          <w:szCs w:val="22"/>
          <w:lang w:val="es-CL" w:eastAsia="en-US"/>
        </w:rPr>
        <w:t xml:space="preserve"> </w:t>
      </w:r>
    </w:p>
    <w:p w14:paraId="74455C79" w14:textId="77777777" w:rsidR="000D3468" w:rsidRPr="00AF4C22" w:rsidRDefault="000D3468"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L" w:eastAsia="en-US"/>
        </w:rPr>
      </w:pPr>
    </w:p>
    <w:p w14:paraId="23F979C8" w14:textId="723D2D44" w:rsidR="000D3468" w:rsidRPr="00AF4C22" w:rsidRDefault="0062233F" w:rsidP="00AF4C22">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L" w:eastAsia="en-US"/>
        </w:rPr>
      </w:pPr>
      <w:r w:rsidRPr="00AF4C22">
        <w:rPr>
          <w:rFonts w:ascii="Times New Roman" w:eastAsia="Calibri" w:hAnsi="Times New Roman"/>
          <w:szCs w:val="22"/>
          <w:lang w:val="es-CL" w:eastAsia="en-US"/>
        </w:rPr>
        <w:t xml:space="preserve">Invitar </w:t>
      </w:r>
      <w:r w:rsidR="000D3468" w:rsidRPr="00AF4C22">
        <w:rPr>
          <w:rFonts w:ascii="Times New Roman" w:eastAsia="Calibri" w:hAnsi="Times New Roman"/>
          <w:szCs w:val="22"/>
          <w:lang w:val="es-CL" w:eastAsia="en-US"/>
        </w:rPr>
        <w:t>a los Estados Miembros a suscribir y ratificar,</w:t>
      </w:r>
      <w:r w:rsidR="003043D6" w:rsidRPr="00AF4C22">
        <w:rPr>
          <w:rFonts w:ascii="Times New Roman" w:eastAsia="Calibri" w:hAnsi="Times New Roman"/>
          <w:szCs w:val="22"/>
          <w:lang w:val="es-CL" w:eastAsia="en-US"/>
        </w:rPr>
        <w:t xml:space="preserve"> de conformidad a su ordenamiento </w:t>
      </w:r>
      <w:r w:rsidR="00533E20" w:rsidRPr="00AF4C22">
        <w:rPr>
          <w:rFonts w:ascii="Times New Roman" w:eastAsia="Calibri" w:hAnsi="Times New Roman"/>
          <w:szCs w:val="22"/>
          <w:lang w:val="es-CL" w:eastAsia="en-US"/>
        </w:rPr>
        <w:t>jurídico,</w:t>
      </w:r>
      <w:r w:rsidR="000D3468" w:rsidRPr="00AF4C22">
        <w:rPr>
          <w:rFonts w:ascii="Times New Roman" w:eastAsia="Calibri" w:hAnsi="Times New Roman"/>
          <w:szCs w:val="22"/>
          <w:lang w:val="es-CL" w:eastAsia="en-US"/>
        </w:rPr>
        <w:t xml:space="preserve"> en el menor plazo posible, el Tratado relativo a la Conservación y el Uso Sostenible de la Diversidad Biológica Marina de las Zonas Situadas fuera de la Jurisdicción (BBNJ).</w:t>
      </w:r>
      <w:r w:rsidR="009411FA" w:rsidRPr="00AF4C22">
        <w:rPr>
          <w:rFonts w:ascii="Times New Roman" w:eastAsia="Calibri" w:hAnsi="Times New Roman"/>
          <w:szCs w:val="22"/>
          <w:lang w:val="es-CL" w:eastAsia="en-US"/>
        </w:rPr>
        <w:t xml:space="preserve">  </w:t>
      </w:r>
    </w:p>
    <w:p w14:paraId="757A1291" w14:textId="2FFE70CE" w:rsidR="000D3468" w:rsidRPr="00AF4C22" w:rsidRDefault="000D3468" w:rsidP="00AF4C22">
      <w:pPr>
        <w:pStyle w:val="ListParagraph"/>
        <w:numPr>
          <w:ilvl w:val="0"/>
          <w:numId w:val="19"/>
        </w:numPr>
        <w:ind w:left="374" w:hanging="187"/>
        <w:jc w:val="both"/>
        <w:rPr>
          <w:rFonts w:eastAsia="Calibri"/>
          <w:sz w:val="22"/>
          <w:szCs w:val="22"/>
          <w:lang w:val="es-CL"/>
        </w:rPr>
      </w:pPr>
      <w:r w:rsidRPr="00AF4C22">
        <w:rPr>
          <w:rFonts w:eastAsia="Calibri"/>
          <w:sz w:val="22"/>
          <w:szCs w:val="22"/>
          <w:lang w:val="es-CO" w:eastAsia="es-MX"/>
        </w:rPr>
        <w:lastRenderedPageBreak/>
        <w:t>FORTALECIMIENTO</w:t>
      </w:r>
      <w:r w:rsidRPr="00AF4C22">
        <w:rPr>
          <w:rFonts w:eastAsia="Arial Unicode MS"/>
          <w:sz w:val="22"/>
          <w:szCs w:val="22"/>
          <w:lang w:val="es-CO" w:eastAsia="es-MX"/>
        </w:rPr>
        <w:t xml:space="preserve"> DEL MECANISMO DE SEGUIMIENTO PARA LA IMPLEMENTACIÓN DEL PROTOCOLO DE SAN SALVADOR</w:t>
      </w:r>
    </w:p>
    <w:p w14:paraId="4A8E134E" w14:textId="77777777" w:rsidR="000D3468" w:rsidRPr="00AF4C22" w:rsidRDefault="000D3468"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eastAsia="es-ES"/>
        </w:rPr>
      </w:pPr>
    </w:p>
    <w:p w14:paraId="478763EA" w14:textId="77777777" w:rsidR="000D3468" w:rsidRPr="00AF4C22" w:rsidRDefault="000D3468"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eastAsia="es-ES"/>
        </w:rPr>
      </w:pPr>
      <w:r w:rsidRPr="00AF4C22">
        <w:rPr>
          <w:rFonts w:ascii="Times New Roman" w:eastAsia="Times New Roman" w:hAnsi="Times New Roman"/>
          <w:szCs w:val="22"/>
          <w:lang w:eastAsia="es-ES"/>
        </w:rPr>
        <w:t>En seguimiento de la sección viii. de la Resolución “Promoción y Protección de Derechos Humanos” AG/RES. 2991 (LII-O/22):</w:t>
      </w:r>
    </w:p>
    <w:p w14:paraId="3010D3E9" w14:textId="77777777" w:rsidR="000D3468" w:rsidRPr="00AF4C22" w:rsidRDefault="000D3468"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eastAsia="es-ES"/>
        </w:rPr>
      </w:pPr>
    </w:p>
    <w:p w14:paraId="109E6B90" w14:textId="0E728AA9" w:rsidR="000D3468" w:rsidRDefault="000D3468" w:rsidP="00AF4C22">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es-MX" w:eastAsia="es-MX"/>
        </w:rPr>
      </w:pPr>
      <w:r w:rsidRPr="00AF4C22">
        <w:rPr>
          <w:rFonts w:ascii="Times New Roman" w:eastAsia="Times New Roman" w:hAnsi="Times New Roman"/>
          <w:szCs w:val="22"/>
          <w:lang w:val="es-MX" w:eastAsia="es-MX"/>
        </w:rPr>
        <w:t xml:space="preserve">Alentar a los Estados Parte a presentar postulantes para las vacantes en el Grupo, tanto la actual como la que se abrirá en agosto de 2023, e invitar al </w:t>
      </w:r>
      <w:r w:rsidR="00FA6ED0" w:rsidRPr="00AF4C22">
        <w:rPr>
          <w:rFonts w:ascii="Times New Roman" w:eastAsia="Times New Roman" w:hAnsi="Times New Roman"/>
          <w:szCs w:val="22"/>
          <w:lang w:val="es-MX" w:eastAsia="es-MX"/>
        </w:rPr>
        <w:t>Grupo de Trabajo</w:t>
      </w:r>
      <w:r w:rsidR="00656E0F" w:rsidRPr="00AF4C22">
        <w:rPr>
          <w:rFonts w:ascii="Times New Roman" w:eastAsia="Times New Roman" w:hAnsi="Times New Roman"/>
          <w:szCs w:val="22"/>
          <w:lang w:val="es-MX" w:eastAsia="es-MX"/>
        </w:rPr>
        <w:t xml:space="preserve"> del Protocolo de San Salvador (</w:t>
      </w:r>
      <w:r w:rsidRPr="00AF4C22">
        <w:rPr>
          <w:rFonts w:ascii="Times New Roman" w:eastAsia="Times New Roman" w:hAnsi="Times New Roman"/>
          <w:szCs w:val="22"/>
          <w:lang w:val="es-MX" w:eastAsia="es-MX"/>
        </w:rPr>
        <w:t>GTPSS</w:t>
      </w:r>
      <w:r w:rsidR="00656E0F" w:rsidRPr="00AF4C22">
        <w:rPr>
          <w:rFonts w:ascii="Times New Roman" w:eastAsia="Times New Roman" w:hAnsi="Times New Roman"/>
          <w:szCs w:val="22"/>
          <w:lang w:val="es-MX" w:eastAsia="es-MX"/>
        </w:rPr>
        <w:t>)</w:t>
      </w:r>
      <w:r w:rsidRPr="00AF4C22">
        <w:rPr>
          <w:rFonts w:ascii="Times New Roman" w:eastAsia="Times New Roman" w:hAnsi="Times New Roman"/>
          <w:szCs w:val="22"/>
          <w:lang w:val="es-MX" w:eastAsia="es-MX"/>
        </w:rPr>
        <w:t>, en su nueva composición que incluye a expertas y expertos recientemente designados, a mantener una reunión con los Estados a fin de intercambiar puntos de vista sobre prioridades, plan de trabajo, y restricciones existentes.</w:t>
      </w:r>
      <w:r w:rsidR="008663B2" w:rsidRPr="00AF4C22">
        <w:rPr>
          <w:rFonts w:ascii="Times New Roman" w:eastAsia="Times New Roman" w:hAnsi="Times New Roman"/>
          <w:szCs w:val="22"/>
          <w:lang w:val="es-MX" w:eastAsia="es-MX"/>
        </w:rPr>
        <w:t xml:space="preserve"> </w:t>
      </w:r>
    </w:p>
    <w:p w14:paraId="7D25687D" w14:textId="77777777" w:rsidR="00AF4C22" w:rsidRPr="00AF4C22" w:rsidRDefault="00AF4C22"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rPr>
          <w:rFonts w:ascii="Times New Roman" w:eastAsia="Times New Roman" w:hAnsi="Times New Roman"/>
          <w:szCs w:val="22"/>
          <w:lang w:val="es-MX" w:eastAsia="es-MX"/>
        </w:rPr>
      </w:pPr>
    </w:p>
    <w:p w14:paraId="635BE71F" w14:textId="1F267321" w:rsidR="000D3468" w:rsidRPr="00AF4C22" w:rsidRDefault="000D3468" w:rsidP="00AF4C22">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es-UY" w:eastAsia="es-ES"/>
        </w:rPr>
      </w:pPr>
      <w:r w:rsidRPr="00AF4C22">
        <w:rPr>
          <w:rFonts w:ascii="Times New Roman" w:eastAsia="Times New Roman" w:hAnsi="Times New Roman"/>
          <w:szCs w:val="22"/>
          <w:lang w:val="es-MX" w:eastAsia="es-ES"/>
        </w:rPr>
        <w:t xml:space="preserve">Invitar a los Estados Miembros, observadores permanentes, y otros actores interesados a </w:t>
      </w:r>
      <w:r w:rsidRPr="00AF4C22">
        <w:rPr>
          <w:rFonts w:ascii="Times New Roman" w:eastAsia="Times New Roman" w:hAnsi="Times New Roman"/>
          <w:szCs w:val="22"/>
          <w:lang w:val="es-MX" w:eastAsia="es-MX"/>
        </w:rPr>
        <w:t>contribuir</w:t>
      </w:r>
      <w:r w:rsidRPr="00AF4C22">
        <w:rPr>
          <w:rFonts w:ascii="Times New Roman" w:eastAsia="Times New Roman" w:hAnsi="Times New Roman"/>
          <w:szCs w:val="22"/>
          <w:lang w:val="es-MX" w:eastAsia="es-ES"/>
        </w:rPr>
        <w:t xml:space="preserve"> al Fondo Específico para el GTPSS, y hacer un llamamiento a los Estados Parte a que consideren acoger en sus países las reuniones del Grupo de Trabajo como una forma de apoyar y difundir su labor.</w:t>
      </w:r>
    </w:p>
    <w:p w14:paraId="31341B20" w14:textId="37015BAA" w:rsidR="001C42E4" w:rsidRPr="00AF4C22" w:rsidRDefault="001C42E4"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rPr>
          <w:rFonts w:ascii="Times New Roman" w:eastAsia="Times New Roman" w:hAnsi="Times New Roman"/>
          <w:szCs w:val="22"/>
          <w:lang w:val="es-UY" w:eastAsia="es-ES"/>
        </w:rPr>
      </w:pPr>
    </w:p>
    <w:p w14:paraId="4A2655B5" w14:textId="77777777" w:rsidR="001C42E4" w:rsidRPr="00AF4C22" w:rsidRDefault="001C42E4"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rPr>
          <w:rFonts w:ascii="Times New Roman" w:eastAsia="Times New Roman" w:hAnsi="Times New Roman"/>
          <w:szCs w:val="22"/>
          <w:lang w:val="es-UY" w:eastAsia="es-ES"/>
        </w:rPr>
      </w:pPr>
    </w:p>
    <w:p w14:paraId="687740E9" w14:textId="12D96EF9" w:rsidR="00F3782D" w:rsidRPr="00AF4C22" w:rsidRDefault="00F3782D" w:rsidP="00AF4C22">
      <w:pPr>
        <w:pStyle w:val="ListParagraph"/>
        <w:numPr>
          <w:ilvl w:val="0"/>
          <w:numId w:val="19"/>
        </w:numPr>
        <w:ind w:left="374" w:hanging="187"/>
        <w:rPr>
          <w:rFonts w:eastAsia="Times New Roman"/>
          <w:sz w:val="22"/>
          <w:szCs w:val="22"/>
          <w:lang w:val="es-UY" w:eastAsia="es-ES"/>
        </w:rPr>
      </w:pPr>
      <w:r w:rsidRPr="00AF4C22">
        <w:rPr>
          <w:rFonts w:eastAsia="Calibri"/>
          <w:sz w:val="22"/>
          <w:szCs w:val="22"/>
          <w:lang w:val="es-CO" w:eastAsia="es-MX"/>
        </w:rPr>
        <w:t>FORTALECIMIENTO</w:t>
      </w:r>
      <w:r w:rsidRPr="00AF4C22">
        <w:rPr>
          <w:rFonts w:eastAsia="Arial Unicode MS"/>
          <w:sz w:val="22"/>
          <w:szCs w:val="22"/>
          <w:lang w:val="es-CO" w:eastAsia="es-MX"/>
        </w:rPr>
        <w:t xml:space="preserve"> DEL MECANISMO DE SEGUIMIENTO DE LA IMPLEMENTACIÓN DE LA CONVENCIÓN DE BELÉM DO PARÁ (MESECVI)</w:t>
      </w:r>
      <w:r w:rsidR="001C3B65" w:rsidRPr="00AF4C22" w:rsidDel="001C3B65">
        <w:rPr>
          <w:rFonts w:eastAsia="Arial Unicode MS"/>
          <w:sz w:val="22"/>
          <w:szCs w:val="22"/>
          <w:lang w:val="es-CO" w:eastAsia="es-MX"/>
        </w:rPr>
        <w:t xml:space="preserve"> </w:t>
      </w:r>
    </w:p>
    <w:p w14:paraId="294C1507" w14:textId="77777777" w:rsidR="00F3782D" w:rsidRPr="00AF4C22" w:rsidRDefault="00F3782D" w:rsidP="00AF4C22">
      <w:pPr>
        <w:rPr>
          <w:rFonts w:ascii="Times New Roman" w:eastAsia="Calibri" w:hAnsi="Times New Roman"/>
          <w:szCs w:val="22"/>
          <w:lang w:val="es-CL" w:eastAsia="en-US"/>
        </w:rPr>
      </w:pPr>
    </w:p>
    <w:p w14:paraId="66CF86C8" w14:textId="211B8C3C" w:rsidR="00F3782D" w:rsidRPr="00AF4C22" w:rsidRDefault="00F3782D" w:rsidP="00AF4C22">
      <w:pPr>
        <w:rPr>
          <w:rFonts w:ascii="Times New Roman" w:eastAsia="Calibri" w:hAnsi="Times New Roman"/>
          <w:szCs w:val="22"/>
          <w:lang w:val="es-CL" w:eastAsia="en-US"/>
        </w:rPr>
      </w:pPr>
      <w:r w:rsidRPr="00AF4C22">
        <w:rPr>
          <w:rFonts w:ascii="Times New Roman" w:eastAsia="Calibri" w:hAnsi="Times New Roman"/>
          <w:szCs w:val="22"/>
          <w:lang w:val="es-CL" w:eastAsia="en-US"/>
        </w:rPr>
        <w:tab/>
        <w:t>Exhortar a los Estados Parte, a los Estados Miembros de la OEA que aún no han ratificado la Convención, a los Estados Observadores Permanentes, así como a otros donantes, a realizar contribuciones voluntarias al fondo específico dedicado a financiar las actividades del Mecanismo, incluyendo ofrecimientos para organizar y ser sede de las reuniones de sus órganos</w:t>
      </w:r>
    </w:p>
    <w:p w14:paraId="57E94569" w14:textId="2F2B7CE4" w:rsidR="000D3468" w:rsidRPr="00AF4C22" w:rsidRDefault="000D3468" w:rsidP="00AF4C22">
      <w:pPr>
        <w:rPr>
          <w:rFonts w:ascii="Times New Roman" w:hAnsi="Times New Roman"/>
          <w:szCs w:val="22"/>
          <w:lang w:val="es-CO"/>
        </w:rPr>
      </w:pPr>
    </w:p>
    <w:p w14:paraId="3262F073" w14:textId="77777777" w:rsidR="006A41D4" w:rsidRPr="00AF4C22" w:rsidRDefault="006A41D4" w:rsidP="00AF4C22">
      <w:pPr>
        <w:rPr>
          <w:rFonts w:ascii="Times New Roman" w:hAnsi="Times New Roman"/>
          <w:szCs w:val="22"/>
          <w:lang w:val="es-CO"/>
        </w:rPr>
      </w:pPr>
    </w:p>
    <w:p w14:paraId="3CCD7648" w14:textId="50BA94F7" w:rsidR="00F3782D" w:rsidRPr="00AF4C22" w:rsidRDefault="00F3782D" w:rsidP="00AF4C22">
      <w:pPr>
        <w:pStyle w:val="ListParagraph"/>
        <w:numPr>
          <w:ilvl w:val="0"/>
          <w:numId w:val="19"/>
        </w:numPr>
        <w:ind w:left="374" w:hanging="187"/>
        <w:jc w:val="both"/>
        <w:rPr>
          <w:rFonts w:eastAsia="Calibri"/>
          <w:kern w:val="2"/>
          <w:sz w:val="22"/>
          <w:szCs w:val="22"/>
          <w:lang w:val="es-CO"/>
          <w14:ligatures w14:val="standardContextual"/>
        </w:rPr>
      </w:pPr>
      <w:r w:rsidRPr="00AF4C22">
        <w:rPr>
          <w:rFonts w:eastAsia="Arial Unicode MS"/>
          <w:sz w:val="22"/>
          <w:szCs w:val="22"/>
          <w:lang w:val="es-CO" w:eastAsia="es-MX"/>
        </w:rPr>
        <w:t>PROGRAMA</w:t>
      </w:r>
      <w:r w:rsidRPr="00AF4C22">
        <w:rPr>
          <w:rFonts w:eastAsia="Calibri"/>
          <w:kern w:val="2"/>
          <w:sz w:val="22"/>
          <w:szCs w:val="22"/>
          <w:lang w:val="es-CO"/>
          <w14:ligatures w14:val="standardContextual"/>
        </w:rPr>
        <w:t xml:space="preserve"> DE ACCIÓN PARA EL DECENIO DE LAS AMÉRICAS POR LOS DERECHOS Y LA DIGNIDAD DE LAS PERSONAS CON DISCAPACIDAD 2016-2026 (PAD) Y APOYO AL COMITÉ PARA LA ELIMINACIÓN DE TODAS LAS FORMAS DE DISCRIMINACIÓN CONTRA LAS PERSONAS CON DISCAPACIDAD</w:t>
      </w:r>
    </w:p>
    <w:p w14:paraId="313F8990" w14:textId="77777777" w:rsidR="00F3782D" w:rsidRPr="00AF4C22" w:rsidRDefault="00F3782D" w:rsidP="00AF4C22">
      <w:pPr>
        <w:rPr>
          <w:rFonts w:ascii="Times New Roman" w:eastAsia="Calibri" w:hAnsi="Times New Roman"/>
          <w:b/>
          <w:bCs/>
          <w:kern w:val="2"/>
          <w:szCs w:val="22"/>
          <w:lang w:eastAsia="en-US"/>
          <w14:ligatures w14:val="standardContextual"/>
        </w:rPr>
      </w:pPr>
    </w:p>
    <w:p w14:paraId="6D8D383F" w14:textId="31E16719" w:rsidR="00F3782D" w:rsidRPr="00AF4C22" w:rsidRDefault="00F3782D"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5610"/>
        </w:tabs>
        <w:jc w:val="left"/>
        <w:rPr>
          <w:rFonts w:ascii="Times New Roman" w:eastAsia="Calibri" w:hAnsi="Times New Roman"/>
          <w:szCs w:val="22"/>
          <w:lang w:val="es-CL" w:eastAsia="en-US"/>
        </w:rPr>
      </w:pPr>
      <w:r w:rsidRPr="00AF4C22">
        <w:rPr>
          <w:rFonts w:ascii="Times New Roman" w:eastAsia="Calibri" w:hAnsi="Times New Roman"/>
          <w:szCs w:val="22"/>
          <w:lang w:val="es-CL" w:eastAsia="en-US"/>
        </w:rPr>
        <w:t>RESUELVE</w:t>
      </w:r>
      <w:r w:rsidR="006A41D4" w:rsidRPr="00AF4C22">
        <w:rPr>
          <w:rFonts w:ascii="Times New Roman" w:eastAsia="Calibri" w:hAnsi="Times New Roman"/>
          <w:szCs w:val="22"/>
          <w:lang w:val="es-CL" w:eastAsia="en-US"/>
        </w:rPr>
        <w:t>:</w:t>
      </w:r>
    </w:p>
    <w:p w14:paraId="5DB3A80B" w14:textId="77777777" w:rsidR="00F3782D" w:rsidRPr="00AF4C22" w:rsidRDefault="00F3782D" w:rsidP="00AF4C22">
      <w:pPr>
        <w:rPr>
          <w:rFonts w:ascii="Times New Roman" w:eastAsia="Calibri" w:hAnsi="Times New Roman"/>
          <w:szCs w:val="22"/>
          <w:lang w:val="es-CL" w:eastAsia="en-US"/>
        </w:rPr>
      </w:pPr>
    </w:p>
    <w:p w14:paraId="5042A236" w14:textId="38DFAC12" w:rsidR="00F3782D" w:rsidRPr="00AF4C22" w:rsidRDefault="00F3782D" w:rsidP="00AF4C22">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b/>
          <w:bCs/>
          <w:kern w:val="2"/>
          <w:szCs w:val="22"/>
          <w:lang w:val="es-CL" w:eastAsia="en-US"/>
          <w14:ligatures w14:val="standardContextual"/>
        </w:rPr>
      </w:pPr>
      <w:r w:rsidRPr="00AF4C22">
        <w:rPr>
          <w:rFonts w:ascii="Times New Roman" w:eastAsia="Calibri" w:hAnsi="Times New Roman"/>
          <w:szCs w:val="22"/>
          <w:lang w:val="es-CL" w:eastAsia="en-US"/>
        </w:rPr>
        <w:t xml:space="preserve">Alentar a los Estados miembros de la OEA: i) </w:t>
      </w:r>
      <w:r w:rsidRPr="00AF4C22">
        <w:rPr>
          <w:rFonts w:ascii="Times New Roman" w:eastAsia="Calibri" w:hAnsi="Times New Roman"/>
          <w:szCs w:val="22"/>
          <w:lang w:val="es-US" w:eastAsia="en-US"/>
        </w:rPr>
        <w:t xml:space="preserve">a presentar en tiempo y forma informes sobre la materia en el año 2023, como el Cuarto Informe Nacional sobre la Implementación de la </w:t>
      </w:r>
      <w:r w:rsidRPr="00AF4C22">
        <w:rPr>
          <w:rFonts w:ascii="Times New Roman" w:eastAsia="Calibri" w:hAnsi="Times New Roman"/>
          <w:bCs/>
          <w:szCs w:val="22"/>
          <w:lang w:val="es-US" w:eastAsia="en-US"/>
        </w:rPr>
        <w:t>Convención Interamericana para la Eliminación de todas las Formas de Discriminación contra las Personas con Discapacidad (CIADDIS)</w:t>
      </w:r>
      <w:r w:rsidRPr="00AF4C22">
        <w:rPr>
          <w:rFonts w:ascii="Times New Roman" w:eastAsia="Calibri" w:hAnsi="Times New Roman"/>
          <w:szCs w:val="22"/>
          <w:lang w:val="es-US" w:eastAsia="en-US"/>
        </w:rPr>
        <w:t xml:space="preserve"> y el </w:t>
      </w:r>
      <w:r w:rsidRPr="00AF4C22">
        <w:rPr>
          <w:rFonts w:ascii="Times New Roman" w:eastAsia="Calibri" w:hAnsi="Times New Roman"/>
          <w:szCs w:val="22"/>
          <w:shd w:val="clear" w:color="auto" w:fill="FFFFFF"/>
          <w:lang w:val="es-CL" w:eastAsia="en-US"/>
        </w:rPr>
        <w:t>Programa de Acción para el Decenio de las Américas por los Derechos y la Dignidad de las Personas con Discapacidad (</w:t>
      </w:r>
      <w:r w:rsidRPr="00AF4C22">
        <w:rPr>
          <w:rFonts w:ascii="Times New Roman" w:eastAsia="Calibri" w:hAnsi="Times New Roman"/>
          <w:szCs w:val="22"/>
          <w:lang w:val="es-US" w:eastAsia="en-US"/>
        </w:rPr>
        <w:t xml:space="preserve">PAD) en el caso de los Estados parte de la Convención; o en el marco del Programa de Acción-PAD para los Estados miembros que no son parte de aquella; </w:t>
      </w:r>
      <w:r w:rsidRPr="00AF4C22">
        <w:rPr>
          <w:rFonts w:ascii="Times New Roman" w:eastAsia="Calibri" w:hAnsi="Times New Roman"/>
          <w:szCs w:val="22"/>
          <w:lang w:val="es-CL" w:eastAsia="en-US"/>
        </w:rPr>
        <w:t>ii)</w:t>
      </w:r>
      <w:r w:rsidRPr="00AF4C22">
        <w:rPr>
          <w:rFonts w:ascii="Times New Roman" w:eastAsia="Calibri" w:hAnsi="Times New Roman"/>
          <w:szCs w:val="22"/>
          <w:shd w:val="clear" w:color="auto" w:fill="FFFFFF"/>
          <w:lang w:val="es-CL" w:eastAsia="en-US"/>
        </w:rPr>
        <w:t>; a que incluyan a las personas con discapacidad</w:t>
      </w:r>
      <w:r w:rsidR="009E0D8C" w:rsidRPr="00AF4C22">
        <w:rPr>
          <w:rFonts w:ascii="Times New Roman" w:eastAsia="Calibri" w:hAnsi="Times New Roman"/>
          <w:szCs w:val="22"/>
          <w:shd w:val="clear" w:color="auto" w:fill="FFFFFF"/>
          <w:lang w:val="es-CL" w:eastAsia="en-US"/>
        </w:rPr>
        <w:t xml:space="preserve"> </w:t>
      </w:r>
      <w:r w:rsidR="008A6C40" w:rsidRPr="00AF4C22">
        <w:rPr>
          <w:rFonts w:ascii="Times New Roman" w:eastAsia="Calibri" w:hAnsi="Times New Roman"/>
          <w:szCs w:val="22"/>
          <w:shd w:val="clear" w:color="auto" w:fill="FFFFFF"/>
          <w:lang w:val="es-CL" w:eastAsia="en-US"/>
        </w:rPr>
        <w:t xml:space="preserve">considerando a los </w:t>
      </w:r>
      <w:r w:rsidR="00063764" w:rsidRPr="00AF4C22">
        <w:rPr>
          <w:rFonts w:ascii="Times New Roman" w:eastAsia="Calibri" w:hAnsi="Times New Roman"/>
          <w:szCs w:val="22"/>
          <w:shd w:val="clear" w:color="auto" w:fill="FFFFFF"/>
          <w:lang w:val="es-CL" w:eastAsia="en-US"/>
        </w:rPr>
        <w:t xml:space="preserve">niños, niñas y adolescentes y mujeres con discapacidad </w:t>
      </w:r>
      <w:r w:rsidR="005A7126" w:rsidRPr="00AF4C22">
        <w:rPr>
          <w:rFonts w:ascii="Times New Roman" w:eastAsia="Calibri" w:hAnsi="Times New Roman"/>
          <w:szCs w:val="22"/>
          <w:shd w:val="clear" w:color="auto" w:fill="FFFFFF"/>
          <w:lang w:val="es-CL" w:eastAsia="en-US"/>
        </w:rPr>
        <w:t xml:space="preserve"> </w:t>
      </w:r>
      <w:r w:rsidRPr="00AF4C22">
        <w:rPr>
          <w:rFonts w:ascii="Times New Roman" w:eastAsia="Calibri" w:hAnsi="Times New Roman"/>
          <w:szCs w:val="22"/>
          <w:shd w:val="clear" w:color="auto" w:fill="FFFFFF"/>
          <w:lang w:val="es-CL" w:eastAsia="en-US"/>
        </w:rPr>
        <w:t xml:space="preserve">y sus familias </w:t>
      </w:r>
      <w:r w:rsidR="00136F5F" w:rsidRPr="00AF4C22">
        <w:rPr>
          <w:rFonts w:ascii="Times New Roman" w:eastAsia="Calibri" w:hAnsi="Times New Roman"/>
          <w:szCs w:val="22"/>
          <w:shd w:val="clear" w:color="auto" w:fill="FFFFFF"/>
          <w:lang w:val="es-CL" w:eastAsia="en-US"/>
        </w:rPr>
        <w:t>así como a organizaciones de personas con discap</w:t>
      </w:r>
      <w:r w:rsidR="00AC04B3" w:rsidRPr="00AF4C22">
        <w:rPr>
          <w:rFonts w:ascii="Times New Roman" w:eastAsia="Calibri" w:hAnsi="Times New Roman"/>
          <w:szCs w:val="22"/>
          <w:shd w:val="clear" w:color="auto" w:fill="FFFFFF"/>
          <w:lang w:val="es-CL" w:eastAsia="en-US"/>
        </w:rPr>
        <w:t>a</w:t>
      </w:r>
      <w:r w:rsidR="00136F5F" w:rsidRPr="00AF4C22">
        <w:rPr>
          <w:rFonts w:ascii="Times New Roman" w:eastAsia="Calibri" w:hAnsi="Times New Roman"/>
          <w:szCs w:val="22"/>
          <w:shd w:val="clear" w:color="auto" w:fill="FFFFFF"/>
          <w:lang w:val="es-CL" w:eastAsia="en-US"/>
        </w:rPr>
        <w:t>cidades</w:t>
      </w:r>
      <w:r w:rsidR="000358E5" w:rsidRPr="00AF4C22">
        <w:rPr>
          <w:rFonts w:ascii="Times New Roman" w:eastAsia="Calibri" w:hAnsi="Times New Roman"/>
          <w:szCs w:val="22"/>
          <w:shd w:val="clear" w:color="auto" w:fill="FFFFFF"/>
          <w:lang w:val="es-CL" w:eastAsia="en-US"/>
        </w:rPr>
        <w:t xml:space="preserve"> </w:t>
      </w:r>
      <w:r w:rsidRPr="00AF4C22">
        <w:rPr>
          <w:rFonts w:ascii="Times New Roman" w:eastAsia="Calibri" w:hAnsi="Times New Roman"/>
          <w:szCs w:val="22"/>
          <w:shd w:val="clear" w:color="auto" w:fill="FFFFFF"/>
          <w:lang w:val="es-CL" w:eastAsia="en-US"/>
        </w:rPr>
        <w:t>en los procesos de consulta para la formulación de políticas públicas para incorporar su perspectiva de forma transversal; y (iii) a realizar acciones que permitan fortalecer el respeto y la garantía de los derechos de las personas con discapacidad, a través de la toma de conciencia sobre sus capacidades y aportaciones a la sociedad y de la lucha contra los estereotipos, prejuicios y prácticas nocivas</w:t>
      </w:r>
      <w:r w:rsidR="00806DF9" w:rsidRPr="00AF4C22">
        <w:rPr>
          <w:rFonts w:ascii="Times New Roman" w:eastAsia="Calibri" w:hAnsi="Times New Roman"/>
          <w:szCs w:val="22"/>
          <w:shd w:val="clear" w:color="auto" w:fill="FFFFFF"/>
          <w:lang w:val="es-CL" w:eastAsia="en-US"/>
        </w:rPr>
        <w:t>, incluyendo la violencia basada en género</w:t>
      </w:r>
      <w:r w:rsidRPr="00AF4C22">
        <w:rPr>
          <w:rFonts w:ascii="Times New Roman" w:eastAsia="Calibri" w:hAnsi="Times New Roman"/>
          <w:color w:val="2E74B5" w:themeColor="accent5" w:themeShade="BF"/>
          <w:szCs w:val="22"/>
          <w:shd w:val="clear" w:color="auto" w:fill="FFFFFF"/>
          <w:lang w:val="es-CL" w:eastAsia="en-US"/>
        </w:rPr>
        <w:t xml:space="preserve"> </w:t>
      </w:r>
      <w:r w:rsidRPr="00AF4C22">
        <w:rPr>
          <w:rFonts w:ascii="Times New Roman" w:eastAsia="Calibri" w:hAnsi="Times New Roman"/>
          <w:szCs w:val="22"/>
          <w:shd w:val="clear" w:color="auto" w:fill="FFFFFF"/>
          <w:lang w:val="es-CL" w:eastAsia="en-US"/>
        </w:rPr>
        <w:t>respecto de las mismas, en todos los ámbitos de la vida.</w:t>
      </w:r>
      <w:r w:rsidR="001C2136" w:rsidRPr="00AF4C22">
        <w:rPr>
          <w:rFonts w:ascii="Times New Roman" w:eastAsia="Calibri" w:hAnsi="Times New Roman"/>
          <w:szCs w:val="22"/>
          <w:shd w:val="clear" w:color="auto" w:fill="FFFFFF"/>
          <w:lang w:val="es-CL" w:eastAsia="en-US"/>
        </w:rPr>
        <w:t xml:space="preserve"> </w:t>
      </w:r>
    </w:p>
    <w:p w14:paraId="4A0DB7AD" w14:textId="45A07085" w:rsidR="00F3782D" w:rsidRPr="00AF4C22" w:rsidRDefault="00F3782D" w:rsidP="002000A7">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CO"/>
        </w:rPr>
      </w:pPr>
      <w:r w:rsidRPr="00AF4C22">
        <w:rPr>
          <w:rFonts w:ascii="Times New Roman" w:eastAsia="Calibri" w:hAnsi="Times New Roman"/>
          <w:szCs w:val="22"/>
          <w:lang w:val="es-US" w:eastAsia="en-US"/>
        </w:rPr>
        <w:lastRenderedPageBreak/>
        <w:t xml:space="preserve">Reiterar la </w:t>
      </w:r>
      <w:r w:rsidRPr="00AF4C22">
        <w:rPr>
          <w:rFonts w:ascii="Times New Roman" w:eastAsia="Calibri" w:hAnsi="Times New Roman"/>
          <w:szCs w:val="22"/>
          <w:shd w:val="clear" w:color="auto" w:fill="FFFFFF"/>
          <w:lang w:val="es-CL" w:eastAsia="en-US"/>
        </w:rPr>
        <w:t>importancia</w:t>
      </w:r>
      <w:r w:rsidRPr="00AF4C22">
        <w:rPr>
          <w:rFonts w:ascii="Times New Roman" w:eastAsia="Calibri" w:hAnsi="Times New Roman"/>
          <w:szCs w:val="22"/>
          <w:lang w:val="es-US" w:eastAsia="en-US"/>
        </w:rPr>
        <w:t xml:space="preserve"> de efectuar</w:t>
      </w:r>
      <w:r w:rsidRPr="00AF4C22">
        <w:rPr>
          <w:rFonts w:ascii="Times New Roman" w:eastAsia="Calibri" w:hAnsi="Times New Roman"/>
          <w:strike/>
          <w:szCs w:val="22"/>
          <w:lang w:val="es-US" w:eastAsia="en-US"/>
        </w:rPr>
        <w:t xml:space="preserve"> </w:t>
      </w:r>
      <w:r w:rsidRPr="00AF4C22">
        <w:rPr>
          <w:rFonts w:ascii="Times New Roman" w:eastAsia="Calibri" w:hAnsi="Times New Roman"/>
          <w:szCs w:val="22"/>
          <w:lang w:val="es-US" w:eastAsia="en-US"/>
        </w:rPr>
        <w:t xml:space="preserve">contribuciones voluntarias al Fondo Específico para el Comité </w:t>
      </w:r>
      <w:r w:rsidRPr="00AF4C22">
        <w:rPr>
          <w:rFonts w:ascii="Times New Roman" w:eastAsia="Calibri" w:hAnsi="Times New Roman"/>
          <w:szCs w:val="22"/>
          <w:shd w:val="clear" w:color="auto" w:fill="FFFFFF"/>
          <w:lang w:val="es-CL" w:eastAsia="en-US"/>
        </w:rPr>
        <w:t>para</w:t>
      </w:r>
      <w:r w:rsidRPr="00AF4C22">
        <w:rPr>
          <w:rFonts w:ascii="Times New Roman" w:eastAsia="Calibri" w:hAnsi="Times New Roman"/>
          <w:szCs w:val="22"/>
          <w:lang w:val="es-US" w:eastAsia="en-US"/>
        </w:rPr>
        <w:t xml:space="preserve"> la Eliminación de Todas las Formas de Discriminación contra las Personas con Discapacidad (CEDDIS) [CP/RES. 947 (1683/09)], y del Fondo Específico del Grupo Mixto para el Seguimiento del PAD, creados con el fin de asegurar la sostenibilidad de ambas instancias o, en su defecto, realizar contribuciones en especie como el ofrecimiento de sede para las reuniones de dichas instancias, y felicitar la consecución exitosa de la decimotercera reunión del CEDDIS celebrada en Panamá en mayo de este año con el apoyo del Departamento de Inclusión Social y la Secretaría Nacional de Discapacidad de Panamá. </w:t>
      </w:r>
    </w:p>
    <w:p w14:paraId="7C1090FA" w14:textId="77777777" w:rsidR="006A41D4" w:rsidRPr="00AF4C22" w:rsidRDefault="006A41D4" w:rsidP="00AF4C22">
      <w:pPr>
        <w:rPr>
          <w:rFonts w:ascii="Times New Roman" w:hAnsi="Times New Roman"/>
          <w:szCs w:val="22"/>
          <w:lang w:val="es-CO"/>
        </w:rPr>
      </w:pPr>
    </w:p>
    <w:p w14:paraId="2E82F7D4" w14:textId="72937B67" w:rsidR="00F3782D" w:rsidRPr="00AF4C22" w:rsidRDefault="00F3782D" w:rsidP="00AF4C22">
      <w:pPr>
        <w:pStyle w:val="ListParagraph"/>
        <w:numPr>
          <w:ilvl w:val="0"/>
          <w:numId w:val="19"/>
        </w:numPr>
        <w:ind w:left="374" w:hanging="187"/>
        <w:jc w:val="both"/>
        <w:rPr>
          <w:rFonts w:eastAsia="Calibri"/>
          <w:sz w:val="22"/>
          <w:szCs w:val="22"/>
          <w:lang w:val="es-US"/>
        </w:rPr>
      </w:pPr>
      <w:r w:rsidRPr="00AF4C22">
        <w:rPr>
          <w:rFonts w:eastAsia="Calibri"/>
          <w:sz w:val="22"/>
          <w:szCs w:val="22"/>
          <w:lang w:val="es-CO" w:eastAsia="es-MX"/>
        </w:rPr>
        <w:t>LIBERTAD DE EXPRESIÓN Y PERIODISMO EN LAS AMÉRICAS</w:t>
      </w:r>
      <w:r w:rsidRPr="00AF4C22">
        <w:rPr>
          <w:rFonts w:eastAsia="Calibri"/>
          <w:sz w:val="22"/>
          <w:szCs w:val="22"/>
          <w:lang w:val="es-US"/>
        </w:rPr>
        <w:t xml:space="preserve"> </w:t>
      </w:r>
    </w:p>
    <w:p w14:paraId="05508CBD" w14:textId="77777777" w:rsidR="00F3782D" w:rsidRPr="00AF4C22" w:rsidRDefault="00F3782D"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5610"/>
        </w:tabs>
        <w:jc w:val="left"/>
        <w:rPr>
          <w:rFonts w:ascii="Times New Roman" w:eastAsia="Calibri" w:hAnsi="Times New Roman"/>
          <w:szCs w:val="22"/>
          <w:lang w:eastAsia="es-MX"/>
        </w:rPr>
      </w:pPr>
    </w:p>
    <w:p w14:paraId="7E33E0A2" w14:textId="0FEAEF98" w:rsidR="00F3782D" w:rsidRPr="00AF4C22" w:rsidRDefault="00F3782D"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5610"/>
        </w:tabs>
        <w:jc w:val="left"/>
        <w:rPr>
          <w:rFonts w:ascii="Times New Roman" w:eastAsia="Calibri" w:hAnsi="Times New Roman"/>
          <w:szCs w:val="22"/>
          <w:lang w:eastAsia="es-MX"/>
        </w:rPr>
      </w:pPr>
      <w:r w:rsidRPr="00AF4C22">
        <w:rPr>
          <w:rFonts w:ascii="Times New Roman" w:eastAsia="Calibri" w:hAnsi="Times New Roman"/>
          <w:szCs w:val="22"/>
          <w:lang w:eastAsia="es-MX"/>
        </w:rPr>
        <w:t>RESUELVE</w:t>
      </w:r>
      <w:r w:rsidR="006A41D4" w:rsidRPr="00AF4C22">
        <w:rPr>
          <w:rFonts w:ascii="Times New Roman" w:eastAsia="Calibri" w:hAnsi="Times New Roman"/>
          <w:szCs w:val="22"/>
          <w:lang w:eastAsia="es-MX"/>
        </w:rPr>
        <w:t>:</w:t>
      </w:r>
    </w:p>
    <w:p w14:paraId="273DACFA" w14:textId="77777777" w:rsidR="00F3782D" w:rsidRPr="00AF4C22" w:rsidRDefault="00F3782D"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5610"/>
        </w:tabs>
        <w:jc w:val="left"/>
        <w:rPr>
          <w:rFonts w:ascii="Times New Roman" w:eastAsia="Calibri" w:hAnsi="Times New Roman"/>
          <w:szCs w:val="22"/>
          <w:lang w:val="es-CL" w:eastAsia="en-US"/>
        </w:rPr>
      </w:pPr>
    </w:p>
    <w:p w14:paraId="0421ABB2" w14:textId="37098319" w:rsidR="00F3782D" w:rsidRPr="00AF4C22" w:rsidRDefault="00F3782D" w:rsidP="00AF4C2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L" w:eastAsia="en-US"/>
        </w:rPr>
      </w:pPr>
      <w:r w:rsidRPr="00AF4C22">
        <w:rPr>
          <w:rFonts w:ascii="Times New Roman" w:eastAsia="Calibri" w:hAnsi="Times New Roman"/>
          <w:szCs w:val="22"/>
          <w:lang w:val="es-CL" w:eastAsia="en-US"/>
        </w:rPr>
        <w:t xml:space="preserve">Solicitar a la Relatoría Especial para la Libertad de Expresión de la CIDH que, con los recursos disponibles elabore un informe que compile las prácticas de los Estados Miembros en materia de desconcentración y pluralidad de medios, moderación de contenidos, y acciones contra los discursos de odio en los medios, el cual deberá ser presentado previo al quincuagésimo cuarto período ordinario de sesiones de la Asamblea General. </w:t>
      </w:r>
    </w:p>
    <w:p w14:paraId="1AC479F9" w14:textId="77777777" w:rsidR="00F3782D" w:rsidRPr="00AF4C22" w:rsidRDefault="00F3782D"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L" w:eastAsia="en-US"/>
        </w:rPr>
      </w:pPr>
    </w:p>
    <w:p w14:paraId="7E8802AC" w14:textId="4CBE0C92" w:rsidR="00F3782D" w:rsidRPr="00AF4C22" w:rsidRDefault="00F3782D" w:rsidP="00AF4C2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US" w:eastAsia="en-US"/>
        </w:rPr>
      </w:pPr>
      <w:r w:rsidRPr="00AF4C22">
        <w:rPr>
          <w:rFonts w:ascii="Times New Roman" w:eastAsia="Calibri" w:hAnsi="Times New Roman"/>
          <w:szCs w:val="22"/>
          <w:lang w:val="es-CL" w:eastAsia="en-US"/>
        </w:rPr>
        <w:t xml:space="preserve">Alentar a los Estados Miembros de la Organización de los Estados Americanos a </w:t>
      </w:r>
      <w:r w:rsidR="00035D40" w:rsidRPr="00AF4C22">
        <w:rPr>
          <w:rFonts w:ascii="Times New Roman" w:eastAsia="Calibri" w:hAnsi="Times New Roman"/>
          <w:szCs w:val="22"/>
          <w:lang w:val="es-CL" w:eastAsia="en-US"/>
        </w:rPr>
        <w:t xml:space="preserve">continuar con el desarrollo de acciones </w:t>
      </w:r>
      <w:r w:rsidRPr="00AF4C22">
        <w:rPr>
          <w:rFonts w:ascii="Times New Roman" w:eastAsia="Calibri" w:hAnsi="Times New Roman"/>
          <w:szCs w:val="22"/>
          <w:lang w:val="es-CL" w:eastAsia="en-US"/>
        </w:rPr>
        <w:t>que contribuyan decididamente a la prevención de</w:t>
      </w:r>
      <w:r w:rsidRPr="00AF4C22">
        <w:rPr>
          <w:rFonts w:ascii="Times New Roman" w:eastAsia="Calibri" w:hAnsi="Times New Roman"/>
          <w:szCs w:val="22"/>
          <w:lang w:val="es-US" w:eastAsia="en-US"/>
        </w:rPr>
        <w:t xml:space="preserve"> violencias contra periodistas,</w:t>
      </w:r>
      <w:r w:rsidR="009E0D8C" w:rsidRPr="00AF4C22">
        <w:rPr>
          <w:rFonts w:ascii="Times New Roman" w:eastAsia="Calibri" w:hAnsi="Times New Roman"/>
          <w:szCs w:val="22"/>
          <w:lang w:val="es-US" w:eastAsia="en-US"/>
        </w:rPr>
        <w:t xml:space="preserve"> </w:t>
      </w:r>
      <w:r w:rsidR="00806DF9" w:rsidRPr="00AF4C22">
        <w:rPr>
          <w:rFonts w:ascii="Times New Roman" w:eastAsia="Calibri" w:hAnsi="Times New Roman"/>
          <w:szCs w:val="22"/>
          <w:lang w:val="es-US" w:eastAsia="en-US"/>
        </w:rPr>
        <w:t xml:space="preserve">especialmente las mujeres periodistas, </w:t>
      </w:r>
      <w:r w:rsidRPr="00AF4C22">
        <w:rPr>
          <w:rFonts w:ascii="Times New Roman" w:eastAsia="Calibri" w:hAnsi="Times New Roman"/>
          <w:szCs w:val="22"/>
          <w:lang w:val="es-US" w:eastAsia="en-US"/>
        </w:rPr>
        <w:t xml:space="preserve">aumenten los esfuerzos en su protección, generen las condiciones para erradicar la impunidad de crímenes contra la prensa, y </w:t>
      </w:r>
      <w:r w:rsidR="009B334B" w:rsidRPr="00AF4C22">
        <w:rPr>
          <w:rFonts w:ascii="Times New Roman" w:eastAsia="Calibri" w:hAnsi="Times New Roman"/>
          <w:szCs w:val="22"/>
          <w:lang w:val="es-US" w:eastAsia="en-US"/>
        </w:rPr>
        <w:t xml:space="preserve">de conformidad con el Estatuto y Reglamento de la </w:t>
      </w:r>
      <w:r w:rsidR="00070670" w:rsidRPr="00AF4C22">
        <w:rPr>
          <w:rFonts w:ascii="Times New Roman" w:eastAsia="Calibri" w:hAnsi="Times New Roman"/>
          <w:szCs w:val="22"/>
          <w:lang w:val="es-US" w:eastAsia="en-US"/>
        </w:rPr>
        <w:t>Comisión Interamericana de Derechos Humanos</w:t>
      </w:r>
      <w:r w:rsidR="00070670" w:rsidRPr="00AF4C22">
        <w:rPr>
          <w:rFonts w:ascii="Times New Roman" w:eastAsia="Calibri" w:hAnsi="Times New Roman"/>
          <w:b/>
          <w:bCs/>
          <w:szCs w:val="22"/>
          <w:lang w:val="es-US" w:eastAsia="en-US"/>
        </w:rPr>
        <w:t xml:space="preserve"> </w:t>
      </w:r>
      <w:r w:rsidRPr="00AF4C22">
        <w:rPr>
          <w:rFonts w:ascii="Times New Roman" w:eastAsia="Calibri" w:hAnsi="Times New Roman"/>
          <w:szCs w:val="22"/>
          <w:lang w:val="es-US" w:eastAsia="en-US"/>
        </w:rPr>
        <w:t xml:space="preserve">faciliten que la Relatoría Especial para la Libertad de Expresión pueda recabar </w:t>
      </w:r>
      <w:r w:rsidR="00AF19AE" w:rsidRPr="00AF4C22">
        <w:rPr>
          <w:rFonts w:ascii="Times New Roman" w:eastAsia="Calibri" w:hAnsi="Times New Roman"/>
          <w:i/>
          <w:iCs/>
          <w:szCs w:val="22"/>
          <w:lang w:val="es-US" w:eastAsia="en-US"/>
        </w:rPr>
        <w:t>in situ</w:t>
      </w:r>
      <w:r w:rsidR="00AF19AE" w:rsidRPr="00AF4C22">
        <w:rPr>
          <w:rFonts w:ascii="Times New Roman" w:eastAsia="Calibri" w:hAnsi="Times New Roman"/>
          <w:szCs w:val="22"/>
          <w:lang w:val="es-US" w:eastAsia="en-US"/>
        </w:rPr>
        <w:t xml:space="preserve"> </w:t>
      </w:r>
      <w:r w:rsidR="00FE3AE5" w:rsidRPr="00AF4C22">
        <w:rPr>
          <w:rFonts w:ascii="Times New Roman" w:eastAsia="Calibri" w:hAnsi="Times New Roman"/>
          <w:szCs w:val="22"/>
          <w:lang w:val="es-US" w:eastAsia="en-US"/>
        </w:rPr>
        <w:t xml:space="preserve"> </w:t>
      </w:r>
      <w:r w:rsidRPr="00AF4C22">
        <w:rPr>
          <w:rFonts w:ascii="Times New Roman" w:eastAsia="Calibri" w:hAnsi="Times New Roman"/>
          <w:szCs w:val="22"/>
          <w:lang w:val="es-US" w:eastAsia="en-US"/>
        </w:rPr>
        <w:t xml:space="preserve">toda la información necesaria para que el Sistema Interamericano pueda analizar </w:t>
      </w:r>
      <w:r w:rsidR="00451308" w:rsidRPr="00AF4C22">
        <w:rPr>
          <w:rFonts w:ascii="Times New Roman" w:eastAsia="Calibri" w:hAnsi="Times New Roman"/>
          <w:szCs w:val="22"/>
          <w:lang w:val="es-US" w:eastAsia="en-US"/>
        </w:rPr>
        <w:t xml:space="preserve">objetiva e </w:t>
      </w:r>
      <w:r w:rsidRPr="00AF4C22">
        <w:rPr>
          <w:rFonts w:ascii="Times New Roman" w:eastAsia="Calibri" w:hAnsi="Times New Roman"/>
          <w:szCs w:val="22"/>
          <w:lang w:val="es-US" w:eastAsia="en-US"/>
        </w:rPr>
        <w:t>imparcialmente el alcance de los reportes sobre libertad de expresión y de prensa en el hemisferio.</w:t>
      </w:r>
      <w:r w:rsidR="0086452B" w:rsidRPr="00D16341">
        <w:rPr>
          <w:rStyle w:val="FootnoteReference"/>
          <w:rFonts w:ascii="Times New Roman" w:eastAsia="Calibri" w:hAnsi="Times New Roman"/>
          <w:b/>
          <w:bCs/>
          <w:szCs w:val="22"/>
          <w:u w:val="single"/>
          <w:lang w:val="es-US"/>
        </w:rPr>
        <w:footnoteReference w:id="1"/>
      </w:r>
      <w:r w:rsidR="0086452B" w:rsidRPr="00D16341">
        <w:rPr>
          <w:rFonts w:ascii="Times New Roman" w:eastAsia="Calibri" w:hAnsi="Times New Roman"/>
          <w:b/>
          <w:bCs/>
          <w:szCs w:val="22"/>
          <w:vertAlign w:val="superscript"/>
          <w:lang w:val="es-US"/>
        </w:rPr>
        <w:t>/</w:t>
      </w:r>
    </w:p>
    <w:p w14:paraId="0A8622D4" w14:textId="4A34492E" w:rsidR="00F3782D" w:rsidRPr="00AF4C22" w:rsidRDefault="00F3782D" w:rsidP="00AF4C22">
      <w:pPr>
        <w:rPr>
          <w:rFonts w:ascii="Times New Roman" w:hAnsi="Times New Roman"/>
          <w:szCs w:val="22"/>
          <w:lang w:val="es-US"/>
        </w:rPr>
      </w:pPr>
    </w:p>
    <w:p w14:paraId="52E83756" w14:textId="77777777" w:rsidR="006A41D4" w:rsidRPr="00AF4C22" w:rsidRDefault="006A41D4" w:rsidP="00AF4C22">
      <w:pPr>
        <w:rPr>
          <w:rFonts w:ascii="Times New Roman" w:hAnsi="Times New Roman"/>
          <w:szCs w:val="22"/>
          <w:lang w:val="es-US"/>
        </w:rPr>
      </w:pPr>
    </w:p>
    <w:p w14:paraId="76AF64AE" w14:textId="4A42A370" w:rsidR="00081DBE" w:rsidRPr="00AF4C22" w:rsidRDefault="00081DBE" w:rsidP="00AF4C22">
      <w:pPr>
        <w:pStyle w:val="ListParagraph"/>
        <w:numPr>
          <w:ilvl w:val="0"/>
          <w:numId w:val="19"/>
        </w:numPr>
        <w:ind w:left="374" w:firstLine="76"/>
        <w:rPr>
          <w:rFonts w:eastAsia="Calibri"/>
          <w:sz w:val="22"/>
          <w:szCs w:val="22"/>
          <w:lang w:val="es-CO" w:eastAsia="es-MX"/>
        </w:rPr>
      </w:pPr>
      <w:r w:rsidRPr="00AF4C22">
        <w:rPr>
          <w:rFonts w:eastAsia="Calibri"/>
          <w:sz w:val="22"/>
          <w:szCs w:val="22"/>
          <w:lang w:val="es-CO" w:eastAsia="es-MX"/>
        </w:rPr>
        <w:t>DERECHOS HUMANOS DE LAS PERSONAS MAYORES</w:t>
      </w:r>
    </w:p>
    <w:p w14:paraId="41B65727" w14:textId="77777777" w:rsidR="00081DBE" w:rsidRPr="00AF4C22" w:rsidRDefault="00081DBE"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szCs w:val="22"/>
          <w:lang w:eastAsia="es-ES"/>
        </w:rPr>
      </w:pPr>
    </w:p>
    <w:p w14:paraId="58D0FE91" w14:textId="77777777" w:rsidR="00081DBE" w:rsidRPr="00AF4C22" w:rsidRDefault="00081DBE"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eastAsia="es-ES"/>
        </w:rPr>
      </w:pPr>
      <w:r w:rsidRPr="00AF4C22">
        <w:rPr>
          <w:rFonts w:ascii="Times New Roman" w:eastAsia="Times New Roman" w:hAnsi="Times New Roman"/>
          <w:szCs w:val="22"/>
          <w:lang w:eastAsia="es-ES"/>
        </w:rPr>
        <w:t>En seguimiento de la sección x de la Resolución “Promoción y Protección de Derechos Humanos” -AG/RES. 2991 (LII-O/22)-:</w:t>
      </w:r>
    </w:p>
    <w:p w14:paraId="0C2127E7" w14:textId="77777777" w:rsidR="00CA0757" w:rsidRPr="00AF4C22" w:rsidRDefault="00CA0757"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eastAsia="es-ES"/>
        </w:rPr>
      </w:pPr>
    </w:p>
    <w:p w14:paraId="245C7393" w14:textId="5BF9D051" w:rsidR="00081DBE" w:rsidRPr="00AF4C22" w:rsidRDefault="00081DBE" w:rsidP="00AF4C22">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es-UY" w:eastAsia="es-ES"/>
        </w:rPr>
      </w:pPr>
      <w:r w:rsidRPr="00AF4C22">
        <w:rPr>
          <w:rFonts w:ascii="Times New Roman" w:eastAsia="Times New Roman" w:hAnsi="Times New Roman"/>
          <w:szCs w:val="22"/>
          <w:lang w:eastAsia="es-ES"/>
        </w:rPr>
        <w:t>Felicitar a México, por haber depositado el instrumento de adhesión a la Convención Interamericana sobre la Protección de los Derechos Humanos de las Personas Mayores, con lo cual se alcanzaron los 10 Estados Parte requeridos para la puesta en funcionamiento del Mecanismo de Seguimiento, así como a Suriname, por ser el último país en depositar su instrumento de adhesión a esta Convención.</w:t>
      </w:r>
      <w:r w:rsidR="00AA02BF" w:rsidRPr="00AF4C22">
        <w:rPr>
          <w:rFonts w:ascii="Times New Roman" w:eastAsia="Times New Roman" w:hAnsi="Times New Roman"/>
          <w:szCs w:val="22"/>
          <w:lang w:eastAsia="es-ES"/>
        </w:rPr>
        <w:t xml:space="preserve"> </w:t>
      </w:r>
    </w:p>
    <w:p w14:paraId="09CA822E" w14:textId="77777777" w:rsidR="00081DBE" w:rsidRPr="00AF4C22" w:rsidRDefault="00081DBE"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rPr>
          <w:rFonts w:ascii="Times New Roman" w:eastAsia="Times New Roman" w:hAnsi="Times New Roman"/>
          <w:szCs w:val="22"/>
          <w:lang w:val="es-UY" w:eastAsia="es-ES"/>
        </w:rPr>
      </w:pPr>
    </w:p>
    <w:p w14:paraId="38F0E5E5" w14:textId="19B991FE" w:rsidR="00081DBE" w:rsidRPr="00AF4C22" w:rsidRDefault="00081DBE" w:rsidP="00AF4C22">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es-UY" w:eastAsia="es-ES"/>
        </w:rPr>
      </w:pPr>
      <w:r w:rsidRPr="00AF4C22">
        <w:rPr>
          <w:rFonts w:ascii="Times New Roman" w:eastAsia="Times New Roman" w:hAnsi="Times New Roman"/>
          <w:szCs w:val="22"/>
          <w:lang w:eastAsia="es-ES"/>
        </w:rPr>
        <w:t>Solicitar a la Secretaría General convocar a la primera Conferencia de los Estados Parte y del Comité de Expertos del Mecanismo de Seguimiento de la Convención, y a los Estados Parte avanzar en la designación de Expertos para el mencionado Comité.</w:t>
      </w:r>
      <w:r w:rsidR="00AA02BF" w:rsidRPr="00AF4C22">
        <w:rPr>
          <w:rFonts w:ascii="Times New Roman" w:hAnsi="Times New Roman"/>
          <w:szCs w:val="22"/>
        </w:rPr>
        <w:t xml:space="preserve"> </w:t>
      </w:r>
    </w:p>
    <w:p w14:paraId="3BAD4704" w14:textId="7828FCF7" w:rsidR="00F3782D" w:rsidRPr="00AF4C22" w:rsidRDefault="00F3782D" w:rsidP="00AF4C22">
      <w:pPr>
        <w:rPr>
          <w:rFonts w:ascii="Times New Roman" w:hAnsi="Times New Roman"/>
          <w:szCs w:val="22"/>
          <w:lang w:val="es-UY"/>
        </w:rPr>
      </w:pPr>
    </w:p>
    <w:p w14:paraId="3E0C07DD" w14:textId="77777777" w:rsidR="00D16341" w:rsidRDefault="00D1634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es-CO" w:eastAsia="es-MX"/>
        </w:rPr>
      </w:pPr>
      <w:r>
        <w:rPr>
          <w:rFonts w:eastAsia="Calibri"/>
          <w:szCs w:val="22"/>
          <w:lang w:val="es-CO" w:eastAsia="es-MX"/>
        </w:rPr>
        <w:lastRenderedPageBreak/>
        <w:br w:type="page"/>
      </w:r>
    </w:p>
    <w:p w14:paraId="35980266" w14:textId="2B823A87" w:rsidR="00047667" w:rsidRPr="00AF4C22" w:rsidRDefault="00047667" w:rsidP="00AF4C22">
      <w:pPr>
        <w:pStyle w:val="ListParagraph"/>
        <w:numPr>
          <w:ilvl w:val="0"/>
          <w:numId w:val="19"/>
        </w:numPr>
        <w:ind w:left="374" w:hanging="187"/>
        <w:rPr>
          <w:rFonts w:eastAsia="Calibri"/>
          <w:b/>
          <w:bCs/>
          <w:sz w:val="22"/>
          <w:szCs w:val="22"/>
          <w:lang w:val="es-US"/>
        </w:rPr>
      </w:pPr>
      <w:r w:rsidRPr="00AF4C22">
        <w:rPr>
          <w:rFonts w:eastAsia="Calibri"/>
          <w:sz w:val="22"/>
          <w:szCs w:val="22"/>
          <w:lang w:val="es-CO" w:eastAsia="es-MX"/>
        </w:rPr>
        <w:t>PROMOCIÓN</w:t>
      </w:r>
      <w:r w:rsidRPr="00AF4C22">
        <w:rPr>
          <w:rFonts w:eastAsia="Calibri"/>
          <w:sz w:val="22"/>
          <w:szCs w:val="22"/>
          <w:lang w:val="es-US"/>
        </w:rPr>
        <w:t xml:space="preserve"> Y PROTECCIÓN DE LOS DERECHOS HUMANOS EN LÍNEA </w:t>
      </w:r>
    </w:p>
    <w:p w14:paraId="24C106AE" w14:textId="77777777" w:rsidR="00D75239" w:rsidRPr="00AF4C22" w:rsidRDefault="00D75239" w:rsidP="00AF4C22">
      <w:pPr>
        <w:rPr>
          <w:rFonts w:ascii="Times New Roman" w:hAnsi="Times New Roman"/>
          <w:kern w:val="2"/>
          <w:szCs w:val="22"/>
          <w14:ligatures w14:val="standardContextual"/>
        </w:rPr>
      </w:pPr>
    </w:p>
    <w:p w14:paraId="1C2A144F" w14:textId="09430D95" w:rsidR="00D75239" w:rsidRPr="00AF4C22" w:rsidRDefault="00D75239" w:rsidP="00AF4C22">
      <w:pPr>
        <w:ind w:firstLine="720"/>
        <w:rPr>
          <w:rFonts w:ascii="Times New Roman" w:hAnsi="Times New Roman"/>
          <w:kern w:val="2"/>
          <w:szCs w:val="22"/>
          <w14:ligatures w14:val="standardContextual"/>
        </w:rPr>
      </w:pPr>
      <w:r w:rsidRPr="00AF4C22">
        <w:rPr>
          <w:rFonts w:ascii="Times New Roman" w:hAnsi="Times New Roman"/>
          <w:kern w:val="2"/>
          <w:szCs w:val="22"/>
          <w14:ligatures w14:val="standardContextual"/>
        </w:rPr>
        <w:t xml:space="preserve">Recordando que el Relator Especial para la Libertad de Expresión presentó, de conformidad con el documento CP/CAJP-3734/23, la versión preliminar del “Informe sobre la inclusión, la apropiación digital y la gobernabilidad del contenido”, preparado en respuesta a la resolución AG/RES. 2991 (LII-O/22), </w:t>
      </w:r>
    </w:p>
    <w:p w14:paraId="083DC4A9" w14:textId="77777777" w:rsidR="009C7ABF" w:rsidRPr="00AF4C22" w:rsidRDefault="009C7ABF"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14:ligatures w14:val="standardContextual"/>
        </w:rPr>
      </w:pPr>
    </w:p>
    <w:p w14:paraId="33CE28EC" w14:textId="395836DE" w:rsidR="00D75239" w:rsidRPr="00AF4C22" w:rsidRDefault="00D7523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14:ligatures w14:val="standardContextual"/>
        </w:rPr>
      </w:pPr>
      <w:r w:rsidRPr="00AF4C22">
        <w:rPr>
          <w:rFonts w:ascii="Times New Roman" w:hAnsi="Times New Roman"/>
          <w:kern w:val="2"/>
          <w:szCs w:val="22"/>
          <w14:ligatures w14:val="standardContextual"/>
        </w:rPr>
        <w:t>RESUELVE:</w:t>
      </w:r>
    </w:p>
    <w:p w14:paraId="0704B89C" w14:textId="77777777" w:rsidR="00D75239" w:rsidRPr="00AF4C22" w:rsidRDefault="00D75239" w:rsidP="00AF4C22">
      <w:pPr>
        <w:rPr>
          <w:rFonts w:ascii="Times New Roman" w:hAnsi="Times New Roman"/>
          <w:kern w:val="2"/>
          <w:szCs w:val="22"/>
          <w14:ligatures w14:val="standardContextual"/>
        </w:rPr>
      </w:pPr>
    </w:p>
    <w:p w14:paraId="5B2AE81A" w14:textId="6C6CD462" w:rsidR="00D75239" w:rsidRPr="00AF4C22" w:rsidRDefault="00D75239" w:rsidP="00AF4C22">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kern w:val="2"/>
          <w:szCs w:val="22"/>
          <w14:ligatures w14:val="standardContextual"/>
        </w:rPr>
      </w:pPr>
      <w:r w:rsidRPr="00AF4C22">
        <w:rPr>
          <w:rFonts w:ascii="Times New Roman" w:hAnsi="Times New Roman"/>
          <w:kern w:val="2"/>
          <w:szCs w:val="22"/>
          <w14:ligatures w14:val="standardContextual"/>
        </w:rPr>
        <w:t>Solicitar que el Relator Especial para la Libertad de Expresión incorpore los aportes pertinentes recibidos de los Estados Miembros en la versión preliminar del “Informe sobre la inclusión, la apropiación digital y la gobernabilidad del contenido” y que dialogue con otros órganos pertinentes de la Secretaría General de la OEA para finalizar el informe.</w:t>
      </w:r>
      <w:r w:rsidR="00901F47" w:rsidRPr="00AF4C22">
        <w:rPr>
          <w:rFonts w:ascii="Times New Roman" w:hAnsi="Times New Roman"/>
          <w:b/>
          <w:bCs/>
          <w:kern w:val="2"/>
          <w:szCs w:val="22"/>
          <w14:ligatures w14:val="standardContextual"/>
        </w:rPr>
        <w:t xml:space="preserve"> </w:t>
      </w:r>
    </w:p>
    <w:p w14:paraId="7F6FC568" w14:textId="2E3E49C9" w:rsidR="00BA3384" w:rsidRPr="00AF4C22" w:rsidRDefault="00BA3384"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14:ligatures w14:val="standardContextual"/>
        </w:rPr>
      </w:pPr>
    </w:p>
    <w:p w14:paraId="465FAE9D" w14:textId="261CA9D7" w:rsidR="00D75239" w:rsidRPr="00AF4C22" w:rsidRDefault="00D75239" w:rsidP="00AF4C22">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kern w:val="2"/>
          <w:szCs w:val="22"/>
          <w14:ligatures w14:val="standardContextual"/>
        </w:rPr>
      </w:pPr>
      <w:r w:rsidRPr="00AF4C22">
        <w:rPr>
          <w:rFonts w:ascii="Times New Roman" w:hAnsi="Times New Roman"/>
          <w:kern w:val="2"/>
          <w:szCs w:val="22"/>
          <w14:ligatures w14:val="standardContextual"/>
        </w:rPr>
        <w:t>Encomendar al Relator Especial para la Libertad de Expresión que presente a la Asamblea General la versión final del informe, aprobada por la Comisión Interamericana de Derechos Humanos (CIDH), antes del período ordinario de sesiones de la Asamblea de 2024.</w:t>
      </w:r>
      <w:r w:rsidR="00901F47" w:rsidRPr="00AF4C22">
        <w:rPr>
          <w:rFonts w:ascii="Times New Roman" w:hAnsi="Times New Roman"/>
          <w:b/>
          <w:bCs/>
          <w:kern w:val="2"/>
          <w:szCs w:val="22"/>
          <w14:ligatures w14:val="standardContextual"/>
        </w:rPr>
        <w:t xml:space="preserve"> </w:t>
      </w:r>
    </w:p>
    <w:p w14:paraId="154D3FBA" w14:textId="77777777" w:rsidR="00CB452C" w:rsidRPr="00AF4C22" w:rsidRDefault="00CB452C" w:rsidP="00AF4C22">
      <w:pPr>
        <w:ind w:firstLine="720"/>
        <w:rPr>
          <w:rFonts w:ascii="Times New Roman" w:hAnsi="Times New Roman"/>
          <w:kern w:val="2"/>
          <w:szCs w:val="22"/>
          <w14:ligatures w14:val="standardContextual"/>
        </w:rPr>
      </w:pPr>
    </w:p>
    <w:p w14:paraId="430D4A77" w14:textId="77777777" w:rsidR="00BA3384" w:rsidRPr="00AF4C22" w:rsidRDefault="00BA3384" w:rsidP="00AF4C22">
      <w:pPr>
        <w:ind w:firstLine="720"/>
        <w:rPr>
          <w:rFonts w:ascii="Times New Roman" w:eastAsia="Calibri" w:hAnsi="Times New Roman"/>
          <w:szCs w:val="22"/>
          <w:lang w:val="es-CO" w:eastAsia="es-MX"/>
        </w:rPr>
      </w:pPr>
    </w:p>
    <w:p w14:paraId="6A19D347" w14:textId="50254F14" w:rsidR="00047667" w:rsidRPr="00AF4C22" w:rsidRDefault="00047667" w:rsidP="00AF4C22">
      <w:pPr>
        <w:pStyle w:val="ListParagraph"/>
        <w:numPr>
          <w:ilvl w:val="0"/>
          <w:numId w:val="19"/>
        </w:numPr>
        <w:ind w:left="374" w:hanging="187"/>
        <w:rPr>
          <w:rFonts w:eastAsia="Calibri"/>
          <w:color w:val="0000FF"/>
          <w:sz w:val="22"/>
          <w:szCs w:val="22"/>
          <w:lang w:val="es-US"/>
        </w:rPr>
      </w:pPr>
      <w:r w:rsidRPr="00AF4C22">
        <w:rPr>
          <w:rFonts w:eastAsia="Calibri"/>
          <w:sz w:val="22"/>
          <w:szCs w:val="22"/>
          <w:lang w:val="es-CO" w:eastAsia="es-MX"/>
        </w:rPr>
        <w:t>ERRADICACIÓN</w:t>
      </w:r>
      <w:r w:rsidRPr="00AF4C22">
        <w:rPr>
          <w:rFonts w:eastAsia="Calibri"/>
          <w:sz w:val="22"/>
          <w:szCs w:val="22"/>
          <w:lang w:val="es-US"/>
        </w:rPr>
        <w:t xml:space="preserve"> DE LA APATRIDIA EN LAS AMÉRICAS</w:t>
      </w:r>
    </w:p>
    <w:p w14:paraId="17BF3CDC" w14:textId="77777777" w:rsidR="00D75239" w:rsidRPr="00AF4C22" w:rsidRDefault="00D75239" w:rsidP="00AF4C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Y" w:eastAsia="en-US"/>
        </w:rPr>
      </w:pPr>
    </w:p>
    <w:p w14:paraId="1E8E8C3B" w14:textId="77777777" w:rsidR="00D75239" w:rsidRPr="00AF4C22" w:rsidRDefault="00D75239" w:rsidP="00AF4C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Y" w:eastAsia="en-US"/>
        </w:rPr>
      </w:pPr>
      <w:r w:rsidRPr="00AF4C22">
        <w:rPr>
          <w:rFonts w:ascii="Times New Roman" w:eastAsia="Times New Roman" w:hAnsi="Times New Roman"/>
          <w:szCs w:val="22"/>
          <w:lang w:val="es-UY" w:eastAsia="en-US"/>
        </w:rPr>
        <w:t>RESUELVE:</w:t>
      </w:r>
    </w:p>
    <w:p w14:paraId="5DA671C6" w14:textId="77777777" w:rsidR="00D75239" w:rsidRPr="00AF4C22" w:rsidRDefault="00D75239" w:rsidP="00AF4C2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UY" w:eastAsia="en-US"/>
        </w:rPr>
      </w:pPr>
    </w:p>
    <w:p w14:paraId="55679790" w14:textId="34AC68DC" w:rsidR="00D75239" w:rsidRPr="00AF4C22" w:rsidRDefault="00D75239" w:rsidP="00AF4C22">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UY" w:eastAsia="en-US"/>
        </w:rPr>
      </w:pPr>
      <w:r w:rsidRPr="00AF4C22">
        <w:rPr>
          <w:rFonts w:ascii="Times New Roman" w:eastAsia="Times New Roman" w:hAnsi="Times New Roman"/>
          <w:szCs w:val="22"/>
          <w:lang w:val="es-UY" w:eastAsia="en-US"/>
        </w:rPr>
        <w:t>Instar a los Estados a que participen activamente en el próximo Foro Mundial sobre los Refugiados, presentando nuevos compromisos relacionados con la prevención y erradicación de la apatridia y continuar, según proceda, con el cumplimento de los compromisos anteriormente adquiridos sobre la materia.</w:t>
      </w:r>
      <w:r w:rsidR="00617E6E" w:rsidRPr="00AF4C22">
        <w:rPr>
          <w:rFonts w:ascii="Times New Roman" w:eastAsia="Times New Roman" w:hAnsi="Times New Roman"/>
          <w:szCs w:val="22"/>
          <w:lang w:val="es-UY" w:eastAsia="en-US"/>
        </w:rPr>
        <w:t xml:space="preserve"> </w:t>
      </w:r>
    </w:p>
    <w:p w14:paraId="022E58F7" w14:textId="77777777" w:rsidR="00D75239" w:rsidRPr="00AF4C22" w:rsidRDefault="00D75239" w:rsidP="00AF4C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Y" w:eastAsia="en-US"/>
        </w:rPr>
      </w:pPr>
      <w:r w:rsidRPr="00AF4C22">
        <w:rPr>
          <w:rFonts w:ascii="Times New Roman" w:eastAsia="Times New Roman" w:hAnsi="Times New Roman"/>
          <w:szCs w:val="22"/>
          <w:lang w:val="es-UY" w:eastAsia="en-US"/>
        </w:rPr>
        <w:t xml:space="preserve"> </w:t>
      </w:r>
    </w:p>
    <w:p w14:paraId="556473BB" w14:textId="1E5235BF" w:rsidR="00047667" w:rsidRPr="00AF4C22" w:rsidRDefault="00D75239" w:rsidP="00E32E1E">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UY"/>
        </w:rPr>
      </w:pPr>
      <w:r w:rsidRPr="00AF4C22">
        <w:rPr>
          <w:rFonts w:ascii="Times New Roman" w:eastAsia="Times New Roman" w:hAnsi="Times New Roman"/>
          <w:szCs w:val="22"/>
          <w:lang w:val="es-UY" w:eastAsia="en-US"/>
        </w:rPr>
        <w:t>Instar a todos los Estados de la región a que respeten el derecho internacional y regional</w:t>
      </w:r>
      <w:r w:rsidR="001820F6" w:rsidRPr="00AF4C22">
        <w:rPr>
          <w:rFonts w:ascii="Times New Roman" w:eastAsia="Times New Roman" w:hAnsi="Times New Roman"/>
          <w:b/>
          <w:bCs/>
          <w:szCs w:val="22"/>
          <w:lang w:val="es-UY" w:eastAsia="en-US"/>
        </w:rPr>
        <w:t xml:space="preserve"> </w:t>
      </w:r>
      <w:r w:rsidRPr="00AF4C22">
        <w:rPr>
          <w:rFonts w:ascii="Times New Roman" w:eastAsia="Times New Roman" w:hAnsi="Times New Roman"/>
          <w:szCs w:val="22"/>
          <w:lang w:val="es-UY" w:eastAsia="en-US"/>
        </w:rPr>
        <w:t xml:space="preserve">de los derechos humanos, principalmente </w:t>
      </w:r>
      <w:r w:rsidR="00C165EF" w:rsidRPr="00AF4C22">
        <w:rPr>
          <w:rFonts w:ascii="Times New Roman" w:eastAsia="Times New Roman" w:hAnsi="Times New Roman"/>
          <w:szCs w:val="22"/>
          <w:lang w:val="es-UY" w:eastAsia="en-US"/>
        </w:rPr>
        <w:t>las</w:t>
      </w:r>
      <w:r w:rsidR="002E24AD" w:rsidRPr="00AF4C22">
        <w:rPr>
          <w:rFonts w:ascii="Times New Roman" w:eastAsia="Times New Roman" w:hAnsi="Times New Roman"/>
          <w:szCs w:val="22"/>
          <w:lang w:val="es-UY" w:eastAsia="en-US"/>
        </w:rPr>
        <w:t xml:space="preserve"> disposiciones relacionadas </w:t>
      </w:r>
      <w:r w:rsidR="00230ABC" w:rsidRPr="00AF4C22">
        <w:rPr>
          <w:rFonts w:ascii="Times New Roman" w:eastAsia="Times New Roman" w:hAnsi="Times New Roman"/>
          <w:szCs w:val="22"/>
          <w:lang w:val="es-UY" w:eastAsia="en-US"/>
        </w:rPr>
        <w:t xml:space="preserve">con </w:t>
      </w:r>
      <w:r w:rsidRPr="00AF4C22">
        <w:rPr>
          <w:rFonts w:ascii="Times New Roman" w:eastAsia="Times New Roman" w:hAnsi="Times New Roman"/>
          <w:szCs w:val="22"/>
          <w:lang w:val="es-UY" w:eastAsia="en-US"/>
        </w:rPr>
        <w:t>la prohibición de la privación arbitraria y no ajustada a derecho de la nacionalidad.</w:t>
      </w:r>
      <w:r w:rsidR="00617E6E" w:rsidRPr="00AF4C22">
        <w:rPr>
          <w:rFonts w:ascii="Times New Roman" w:eastAsia="Times New Roman" w:hAnsi="Times New Roman"/>
          <w:szCs w:val="22"/>
          <w:lang w:val="es-UY" w:eastAsia="en-US"/>
        </w:rPr>
        <w:t xml:space="preserve"> </w:t>
      </w:r>
    </w:p>
    <w:p w14:paraId="651F1340" w14:textId="77777777" w:rsidR="006A41D4" w:rsidRPr="00AF4C22" w:rsidRDefault="006A41D4" w:rsidP="00AF4C22">
      <w:pPr>
        <w:rPr>
          <w:rFonts w:ascii="Times New Roman" w:hAnsi="Times New Roman"/>
          <w:szCs w:val="22"/>
          <w:lang w:val="es-UY"/>
        </w:rPr>
      </w:pPr>
    </w:p>
    <w:p w14:paraId="5A635720" w14:textId="4CE3E491" w:rsidR="00047667" w:rsidRPr="00AF4C22" w:rsidRDefault="00047667" w:rsidP="00AF4C22">
      <w:pPr>
        <w:pStyle w:val="ListParagraph"/>
        <w:numPr>
          <w:ilvl w:val="0"/>
          <w:numId w:val="19"/>
        </w:numPr>
        <w:ind w:left="374" w:hanging="187"/>
        <w:rPr>
          <w:rFonts w:eastAsia="Calibri"/>
          <w:b/>
          <w:bCs/>
          <w:sz w:val="22"/>
          <w:szCs w:val="22"/>
          <w:lang w:val="es-US"/>
        </w:rPr>
      </w:pPr>
      <w:r w:rsidRPr="00AF4C22">
        <w:rPr>
          <w:rFonts w:eastAsia="Calibri"/>
          <w:sz w:val="22"/>
          <w:szCs w:val="22"/>
          <w:lang w:val="es-CO" w:eastAsia="es-MX"/>
        </w:rPr>
        <w:t>REGISTRO</w:t>
      </w:r>
      <w:r w:rsidRPr="00AF4C22">
        <w:rPr>
          <w:rFonts w:eastAsia="Calibri"/>
          <w:sz w:val="22"/>
          <w:szCs w:val="22"/>
          <w:lang w:val="es-US"/>
        </w:rPr>
        <w:t xml:space="preserve"> CIVIL UNIVERSAL Y DERECHO A LA IDENTIDAD </w:t>
      </w:r>
      <w:r w:rsidR="00617E6E" w:rsidRPr="00AF4C22">
        <w:rPr>
          <w:rFonts w:eastAsia="Calibri"/>
          <w:b/>
          <w:bCs/>
          <w:sz w:val="22"/>
          <w:szCs w:val="22"/>
          <w:lang w:val="es-US"/>
        </w:rPr>
        <w:t>(</w:t>
      </w:r>
      <w:r w:rsidR="00617E6E" w:rsidRPr="00AF4C22">
        <w:rPr>
          <w:rFonts w:eastAsia="Calibri"/>
          <w:b/>
          <w:bCs/>
          <w:sz w:val="22"/>
          <w:szCs w:val="22"/>
          <w:highlight w:val="lightGray"/>
          <w:lang w:val="es-US"/>
        </w:rPr>
        <w:t>EEUU</w:t>
      </w:r>
      <w:r w:rsidR="000A08A3" w:rsidRPr="00AF4C22">
        <w:rPr>
          <w:rFonts w:eastAsia="Calibri"/>
          <w:b/>
          <w:bCs/>
          <w:sz w:val="22"/>
          <w:szCs w:val="22"/>
          <w:highlight w:val="lightGray"/>
          <w:lang w:val="es-US"/>
        </w:rPr>
        <w:t xml:space="preserve"> presentará nota de pie de página</w:t>
      </w:r>
      <w:r w:rsidR="00617E6E" w:rsidRPr="00AF4C22">
        <w:rPr>
          <w:rFonts w:eastAsia="Calibri"/>
          <w:b/>
          <w:bCs/>
          <w:sz w:val="22"/>
          <w:szCs w:val="22"/>
          <w:lang w:val="es-US"/>
        </w:rPr>
        <w:t>)</w:t>
      </w:r>
    </w:p>
    <w:p w14:paraId="62E9CE9C" w14:textId="77777777" w:rsidR="006A41D4" w:rsidRPr="00AF4C22" w:rsidRDefault="006A41D4" w:rsidP="00AF4C22">
      <w:pPr>
        <w:pStyle w:val="ListParagraph"/>
        <w:rPr>
          <w:rFonts w:eastAsia="Times New Roman"/>
          <w:sz w:val="22"/>
          <w:szCs w:val="22"/>
          <w:lang w:val="es-US"/>
        </w:rPr>
      </w:pPr>
    </w:p>
    <w:p w14:paraId="18155769" w14:textId="32903FBC" w:rsidR="00D75239" w:rsidRPr="00AF4C22" w:rsidRDefault="00D75239" w:rsidP="00AF4C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Y" w:eastAsia="en-US"/>
        </w:rPr>
      </w:pPr>
      <w:r w:rsidRPr="00AF4C22">
        <w:rPr>
          <w:rFonts w:ascii="Times New Roman" w:eastAsia="Times New Roman" w:hAnsi="Times New Roman"/>
          <w:szCs w:val="22"/>
          <w:lang w:val="es-UY" w:eastAsia="en-US"/>
        </w:rPr>
        <w:t>RESUELVE:</w:t>
      </w:r>
    </w:p>
    <w:p w14:paraId="34FB45A2" w14:textId="77777777" w:rsidR="00EB08F7" w:rsidRPr="00AF4C22" w:rsidRDefault="00EB08F7" w:rsidP="00AF4C22">
      <w:pPr>
        <w:rPr>
          <w:rFonts w:ascii="Times New Roman" w:eastAsia="Calibri" w:hAnsi="Times New Roman"/>
          <w:szCs w:val="22"/>
          <w:lang w:val="es-US"/>
        </w:rPr>
      </w:pPr>
    </w:p>
    <w:p w14:paraId="562BE000" w14:textId="65857FBA" w:rsidR="00CE6BA7" w:rsidRPr="00AF4C22" w:rsidRDefault="00EB08F7" w:rsidP="00AF4C22">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F4C22">
        <w:rPr>
          <w:rFonts w:ascii="Times New Roman" w:eastAsia="Calibri" w:hAnsi="Times New Roman"/>
          <w:szCs w:val="22"/>
          <w:lang w:val="es-MX" w:eastAsia="en-US"/>
        </w:rPr>
        <w:t>Encomendar a la Secretaría General que, a través de su Programa de Universalización de la Identidad Civil en las Américas y del Consejo Latinoamericano y del Caribe de Registro Civil, Identidad y Estadísticas Vitales, continúe brindando apoyo a los Estados Miembros que lo soliciten para el fortalecimiento de sus sistemas de registro civil, a efectos de promover la protección y garantía del derecho a la identidad del registro universal de nacimientos, defunciones y demás actos y hechos relativos al estado civil, así como la interconexión entre los sistemas de registro y los sistemas de identidad nacional, con el fin de asegurar una identidad legal para todas las personas y, con ello, fortalecer la protección de los derechos humanos, especialmente los de todos los miembros de las poblaciones en condiciones de vulnerabilidad, desplazadas y/o históricamente discriminadas, previniendo y erradicando la apatridia y permitiendo un acceso universal y equitativo a servicios públicos esenciales.</w:t>
      </w:r>
      <w:r w:rsidR="00617E6E" w:rsidRPr="00AF4C22">
        <w:rPr>
          <w:rFonts w:ascii="Times New Roman" w:eastAsia="Calibri" w:hAnsi="Times New Roman"/>
          <w:szCs w:val="22"/>
          <w:lang w:val="es-MX" w:eastAsia="en-US"/>
        </w:rPr>
        <w:t xml:space="preserve"> </w:t>
      </w:r>
      <w:r w:rsidR="00CE6BA7" w:rsidRPr="00AF4C22">
        <w:rPr>
          <w:rFonts w:ascii="Times New Roman" w:eastAsia="Calibri" w:hAnsi="Times New Roman"/>
          <w:szCs w:val="22"/>
          <w:lang w:val="es-CO" w:eastAsia="es-MX"/>
        </w:rPr>
        <w:br w:type="page"/>
      </w:r>
    </w:p>
    <w:p w14:paraId="5C47FC21" w14:textId="7FB176EA" w:rsidR="00047667" w:rsidRPr="00AF4C22" w:rsidRDefault="00047667" w:rsidP="00AF4C22">
      <w:pPr>
        <w:pStyle w:val="ListParagraph"/>
        <w:numPr>
          <w:ilvl w:val="0"/>
          <w:numId w:val="19"/>
        </w:numPr>
        <w:ind w:left="374" w:hanging="187"/>
        <w:rPr>
          <w:rFonts w:eastAsia="Calibri"/>
          <w:sz w:val="22"/>
          <w:szCs w:val="22"/>
          <w:lang w:val="es-US"/>
        </w:rPr>
      </w:pPr>
      <w:r w:rsidRPr="00AF4C22">
        <w:rPr>
          <w:rFonts w:eastAsia="Calibri"/>
          <w:sz w:val="22"/>
          <w:szCs w:val="22"/>
          <w:lang w:val="es-CO" w:eastAsia="es-MX"/>
        </w:rPr>
        <w:lastRenderedPageBreak/>
        <w:t>DEFENSORAS</w:t>
      </w:r>
      <w:r w:rsidRPr="00AF4C22">
        <w:rPr>
          <w:rFonts w:eastAsia="Calibri"/>
          <w:sz w:val="22"/>
          <w:szCs w:val="22"/>
          <w:lang w:val="es-US"/>
        </w:rPr>
        <w:t xml:space="preserve"> Y DEFENSORES DE DERECHOS HUMANOS</w:t>
      </w:r>
    </w:p>
    <w:p w14:paraId="13FC9C9A" w14:textId="77777777" w:rsidR="00047667" w:rsidRPr="00AF4C22" w:rsidRDefault="00047667" w:rsidP="00AF4C22">
      <w:pPr>
        <w:pStyle w:val="ListParagraph"/>
        <w:rPr>
          <w:rFonts w:eastAsia="Calibri"/>
          <w:sz w:val="22"/>
          <w:szCs w:val="22"/>
          <w:lang w:val="es-US"/>
        </w:rPr>
      </w:pPr>
    </w:p>
    <w:p w14:paraId="21A74E40" w14:textId="77777777" w:rsidR="00D75239" w:rsidRPr="00AF4C22" w:rsidRDefault="00D7523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Y" w:eastAsia="en-US"/>
        </w:rPr>
      </w:pPr>
      <w:r w:rsidRPr="00AF4C22">
        <w:rPr>
          <w:rFonts w:ascii="Times New Roman" w:eastAsia="Times New Roman" w:hAnsi="Times New Roman"/>
          <w:szCs w:val="22"/>
          <w:lang w:val="es-UY" w:eastAsia="en-US"/>
        </w:rPr>
        <w:t>RESUELVE:</w:t>
      </w:r>
    </w:p>
    <w:p w14:paraId="2A71B09D" w14:textId="77777777" w:rsidR="00D75239" w:rsidRPr="00AF4C22" w:rsidRDefault="00D75239" w:rsidP="00AF4C22">
      <w:pPr>
        <w:pStyle w:val="ListParagraph"/>
        <w:rPr>
          <w:rFonts w:eastAsia="Times New Roman"/>
          <w:sz w:val="22"/>
          <w:szCs w:val="22"/>
          <w:lang w:val="es-UY"/>
        </w:rPr>
      </w:pPr>
    </w:p>
    <w:p w14:paraId="669135D3" w14:textId="4D81ECAB" w:rsidR="00D75239" w:rsidRPr="00AF4C22" w:rsidRDefault="00D75239" w:rsidP="00AF4C22">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Calibri" w:hAnsi="Times New Roman"/>
          <w:bCs/>
          <w:kern w:val="2"/>
          <w:szCs w:val="22"/>
          <w:lang w:val="es-MX" w:eastAsia="en-US"/>
        </w:rPr>
      </w:pPr>
      <w:r w:rsidRPr="00AF4C22">
        <w:rPr>
          <w:rFonts w:ascii="Times New Roman" w:eastAsia="Calibri" w:hAnsi="Times New Roman"/>
          <w:kern w:val="2"/>
          <w:szCs w:val="22"/>
          <w:lang w:val="es-MX" w:eastAsia="en-US"/>
        </w:rPr>
        <w:t>Instar a los Estados Miembros a que adopten las medidas necesarias para crear las condiciones sociales, económicas</w:t>
      </w:r>
      <w:r w:rsidR="009E0D8C" w:rsidRPr="00AF4C22">
        <w:rPr>
          <w:rFonts w:ascii="Times New Roman" w:eastAsia="Calibri" w:hAnsi="Times New Roman"/>
          <w:kern w:val="2"/>
          <w:szCs w:val="22"/>
          <w:lang w:val="es-MX" w:eastAsia="en-US"/>
        </w:rPr>
        <w:t xml:space="preserve"> y</w:t>
      </w:r>
      <w:r w:rsidRPr="00AF4C22">
        <w:rPr>
          <w:rFonts w:ascii="Times New Roman" w:eastAsia="Calibri" w:hAnsi="Times New Roman"/>
          <w:kern w:val="2"/>
          <w:szCs w:val="22"/>
          <w:lang w:val="es-MX" w:eastAsia="en-US"/>
        </w:rPr>
        <w:t xml:space="preserve"> políticas para que las personas defensoras de derechos humanos</w:t>
      </w:r>
      <w:r w:rsidR="00806DF9" w:rsidRPr="00AF4C22">
        <w:rPr>
          <w:rFonts w:ascii="Times New Roman" w:eastAsia="Calibri" w:hAnsi="Times New Roman"/>
          <w:b/>
          <w:bCs/>
          <w:kern w:val="2"/>
          <w:szCs w:val="22"/>
          <w:lang w:val="es-MX" w:eastAsia="en-US"/>
        </w:rPr>
        <w:t xml:space="preserve">, </w:t>
      </w:r>
      <w:r w:rsidR="00806DF9" w:rsidRPr="00AF4C22">
        <w:rPr>
          <w:rFonts w:ascii="Times New Roman" w:eastAsia="Calibri" w:hAnsi="Times New Roman"/>
          <w:kern w:val="2"/>
          <w:szCs w:val="22"/>
          <w:lang w:val="es-MX" w:eastAsia="en-US"/>
        </w:rPr>
        <w:t xml:space="preserve">incluyendo aquellos individuos que enfrentan riesgos particulares como las mujeres defensoras de derechos humanos,  </w:t>
      </w:r>
      <w:r w:rsidRPr="00AF4C22">
        <w:rPr>
          <w:rFonts w:ascii="Times New Roman" w:eastAsia="Calibri" w:hAnsi="Times New Roman"/>
          <w:kern w:val="2"/>
          <w:szCs w:val="22"/>
          <w:lang w:val="es-MX" w:eastAsia="en-US"/>
        </w:rPr>
        <w:t>puedan ejercer libremente su labor y a que incorporen una perspectiva integral de protección, incluidas protecciones diferenciadas y colectivas, y la interseccionalidad, entendido como la interconexión de formas múltiples y compuestas de discriminación, exclusión y desigualdad sobre la protección de las personas defensoras de derechos humanos,</w:t>
      </w:r>
      <w:r w:rsidR="00806DF9" w:rsidRPr="00AF4C22">
        <w:rPr>
          <w:rFonts w:ascii="Times New Roman" w:hAnsi="Times New Roman"/>
          <w:szCs w:val="22"/>
        </w:rPr>
        <w:t xml:space="preserve"> </w:t>
      </w:r>
      <w:r w:rsidR="00806DF9" w:rsidRPr="00AF4C22">
        <w:rPr>
          <w:rFonts w:ascii="Times New Roman" w:eastAsia="Calibri" w:hAnsi="Times New Roman"/>
          <w:kern w:val="2"/>
          <w:szCs w:val="22"/>
          <w:lang w:val="es-MX" w:eastAsia="en-US"/>
        </w:rPr>
        <w:t>incluyendo las mujeres defensoras de derechos humanos,</w:t>
      </w:r>
      <w:r w:rsidR="009E0D8C" w:rsidRPr="00AF4C22">
        <w:rPr>
          <w:rFonts w:ascii="Times New Roman" w:eastAsia="Calibri" w:hAnsi="Times New Roman"/>
          <w:kern w:val="2"/>
          <w:szCs w:val="22"/>
          <w:lang w:val="es-MX" w:eastAsia="en-US"/>
        </w:rPr>
        <w:t xml:space="preserve"> </w:t>
      </w:r>
      <w:r w:rsidRPr="00AF4C22">
        <w:rPr>
          <w:rFonts w:ascii="Times New Roman" w:eastAsia="Calibri" w:hAnsi="Times New Roman"/>
          <w:kern w:val="2"/>
          <w:szCs w:val="22"/>
          <w:lang w:val="es-MX" w:eastAsia="en-US"/>
        </w:rPr>
        <w:t xml:space="preserve"> las personas comunicadoras y </w:t>
      </w:r>
      <w:r w:rsidR="00A62115" w:rsidRPr="00AF4C22">
        <w:rPr>
          <w:rFonts w:ascii="Times New Roman" w:eastAsia="Calibri" w:hAnsi="Times New Roman"/>
          <w:kern w:val="2"/>
          <w:szCs w:val="22"/>
          <w:lang w:val="es-MX" w:eastAsia="en-US"/>
        </w:rPr>
        <w:t xml:space="preserve">los </w:t>
      </w:r>
      <w:r w:rsidR="007E22D3" w:rsidRPr="00AF4C22">
        <w:rPr>
          <w:rFonts w:ascii="Times New Roman" w:eastAsia="Calibri" w:hAnsi="Times New Roman"/>
          <w:kern w:val="2"/>
          <w:szCs w:val="22"/>
          <w:lang w:val="es-MX" w:eastAsia="en-US"/>
        </w:rPr>
        <w:t xml:space="preserve">defensores </w:t>
      </w:r>
      <w:r w:rsidR="00E7253C" w:rsidRPr="00AF4C22">
        <w:rPr>
          <w:rFonts w:ascii="Times New Roman" w:eastAsia="Calibri" w:hAnsi="Times New Roman"/>
          <w:kern w:val="2"/>
          <w:szCs w:val="22"/>
          <w:lang w:val="es-MX" w:eastAsia="en-US"/>
        </w:rPr>
        <w:t xml:space="preserve">del medio ambiente </w:t>
      </w:r>
      <w:r w:rsidRPr="00AF4C22">
        <w:rPr>
          <w:rFonts w:ascii="Times New Roman" w:eastAsia="Calibri" w:hAnsi="Times New Roman"/>
          <w:kern w:val="2"/>
          <w:szCs w:val="22"/>
          <w:lang w:val="es-MX" w:eastAsia="en-US"/>
        </w:rPr>
        <w:t xml:space="preserve"> así como sus familiares y la creación de un ambiente propicio para la defensa de </w:t>
      </w:r>
      <w:r w:rsidR="009E0D8C" w:rsidRPr="00AF4C22">
        <w:rPr>
          <w:rFonts w:ascii="Times New Roman" w:eastAsia="Calibri" w:hAnsi="Times New Roman"/>
          <w:kern w:val="2"/>
          <w:szCs w:val="22"/>
          <w:lang w:val="es-MX" w:eastAsia="en-US"/>
        </w:rPr>
        <w:t xml:space="preserve"> </w:t>
      </w:r>
      <w:r w:rsidR="00806DF9" w:rsidRPr="00AF4C22">
        <w:rPr>
          <w:rFonts w:ascii="Times New Roman" w:eastAsia="Calibri" w:hAnsi="Times New Roman"/>
          <w:kern w:val="2"/>
          <w:szCs w:val="22"/>
          <w:lang w:val="es-MX" w:eastAsia="en-US"/>
        </w:rPr>
        <w:t xml:space="preserve">todos </w:t>
      </w:r>
      <w:r w:rsidRPr="00AF4C22">
        <w:rPr>
          <w:rFonts w:ascii="Times New Roman" w:eastAsia="Calibri" w:hAnsi="Times New Roman"/>
          <w:kern w:val="2"/>
          <w:szCs w:val="22"/>
          <w:lang w:val="es-MX" w:eastAsia="en-US"/>
        </w:rPr>
        <w:t>los derechos humanos, otorgando las garantías jurídicas necesarias para que toda persona, individual o colectivamente, pueda disfrutar de todos sus derechos y libertades, sin ningún tipo de discriminación, en especial de quienes defienden y ejercen los derechos a la libertad de expresión, de asociación y de reunión pacífica en contextos donde se cometen violaciones a los derechos humanos.</w:t>
      </w:r>
    </w:p>
    <w:p w14:paraId="6BCAC1BB" w14:textId="77777777" w:rsidR="00D75239" w:rsidRPr="00AF4C22" w:rsidRDefault="00D7523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UY" w:eastAsia="en-US"/>
        </w:rPr>
      </w:pPr>
      <w:r w:rsidRPr="00AF4C22">
        <w:rPr>
          <w:rFonts w:ascii="Times New Roman" w:eastAsia="Times New Roman" w:hAnsi="Times New Roman"/>
          <w:szCs w:val="22"/>
          <w:lang w:val="es-UY" w:eastAsia="en-US"/>
        </w:rPr>
        <w:t> </w:t>
      </w:r>
    </w:p>
    <w:p w14:paraId="57471F41" w14:textId="2EF89F1C" w:rsidR="00FE39EC" w:rsidRPr="00AF4C22" w:rsidRDefault="005047A7" w:rsidP="00235EFD">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Calibri" w:hAnsi="Times New Roman"/>
          <w:szCs w:val="22"/>
          <w:lang w:val="es-UY"/>
        </w:rPr>
      </w:pPr>
      <w:r w:rsidRPr="00AF4C22">
        <w:rPr>
          <w:rFonts w:ascii="Times New Roman" w:eastAsia="Times New Roman" w:hAnsi="Times New Roman"/>
          <w:szCs w:val="22"/>
          <w:lang w:eastAsia="en-US"/>
        </w:rPr>
        <w:t xml:space="preserve">Urgir a los estados a responder </w:t>
      </w:r>
      <w:r w:rsidR="00BC6364" w:rsidRPr="00AF4C22">
        <w:rPr>
          <w:rFonts w:ascii="Times New Roman" w:eastAsia="Times New Roman" w:hAnsi="Times New Roman"/>
          <w:szCs w:val="22"/>
          <w:lang w:eastAsia="en-US"/>
        </w:rPr>
        <w:t>efectivamente</w:t>
      </w:r>
      <w:r w:rsidR="009D2F46" w:rsidRPr="00AF4C22">
        <w:rPr>
          <w:rFonts w:ascii="Times New Roman" w:eastAsia="Times New Roman" w:hAnsi="Times New Roman"/>
          <w:szCs w:val="22"/>
          <w:lang w:eastAsia="en-US"/>
        </w:rPr>
        <w:t xml:space="preserve"> a </w:t>
      </w:r>
      <w:r w:rsidR="00D75239" w:rsidRPr="00AF4C22">
        <w:rPr>
          <w:rFonts w:ascii="Times New Roman" w:eastAsia="Times New Roman" w:hAnsi="Times New Roman"/>
          <w:szCs w:val="22"/>
          <w:lang w:eastAsia="en-US"/>
        </w:rPr>
        <w:t xml:space="preserve">la situación </w:t>
      </w:r>
      <w:r w:rsidR="00806DF9" w:rsidRPr="00AF4C22">
        <w:rPr>
          <w:rFonts w:ascii="Times New Roman" w:eastAsia="Times New Roman" w:hAnsi="Times New Roman"/>
          <w:szCs w:val="22"/>
          <w:lang w:eastAsia="en-US"/>
        </w:rPr>
        <w:t xml:space="preserve">particular </w:t>
      </w:r>
      <w:r w:rsidR="00D75239" w:rsidRPr="00AF4C22">
        <w:rPr>
          <w:rFonts w:ascii="Times New Roman" w:eastAsia="Times New Roman" w:hAnsi="Times New Roman"/>
          <w:szCs w:val="22"/>
          <w:lang w:eastAsia="en-US"/>
        </w:rPr>
        <w:t>de las</w:t>
      </w:r>
      <w:r w:rsidR="00D75239" w:rsidRPr="00AF4C22">
        <w:rPr>
          <w:rFonts w:ascii="Times New Roman" w:eastAsia="Times New Roman" w:hAnsi="Times New Roman"/>
          <w:color w:val="FF0000"/>
          <w:szCs w:val="22"/>
          <w:lang w:eastAsia="en-US"/>
        </w:rPr>
        <w:t xml:space="preserve"> </w:t>
      </w:r>
      <w:r w:rsidR="004A0D1E" w:rsidRPr="00AF4C22">
        <w:rPr>
          <w:rFonts w:ascii="Times New Roman" w:eastAsia="Times New Roman" w:hAnsi="Times New Roman"/>
          <w:szCs w:val="22"/>
          <w:lang w:eastAsia="en-US"/>
        </w:rPr>
        <w:t>mujeres</w:t>
      </w:r>
      <w:r w:rsidR="00D75239" w:rsidRPr="00AF4C22">
        <w:rPr>
          <w:rFonts w:ascii="Times New Roman" w:eastAsia="Times New Roman" w:hAnsi="Times New Roman"/>
          <w:szCs w:val="22"/>
          <w:lang w:eastAsia="en-US"/>
        </w:rPr>
        <w:t xml:space="preserve"> defensoras </w:t>
      </w:r>
      <w:r w:rsidR="004E4E7D" w:rsidRPr="00AF4C22">
        <w:rPr>
          <w:rFonts w:ascii="Times New Roman" w:eastAsia="Times New Roman" w:hAnsi="Times New Roman"/>
          <w:szCs w:val="22"/>
          <w:lang w:eastAsia="en-US"/>
        </w:rPr>
        <w:t>de derechos humanos</w:t>
      </w:r>
      <w:r w:rsidR="00633EDD" w:rsidRPr="00AF4C22">
        <w:rPr>
          <w:rFonts w:ascii="Times New Roman" w:eastAsia="Times New Roman" w:hAnsi="Times New Roman"/>
          <w:szCs w:val="22"/>
          <w:lang w:eastAsia="en-US"/>
        </w:rPr>
        <w:t xml:space="preserve">, </w:t>
      </w:r>
      <w:r w:rsidR="00001140" w:rsidRPr="00AF4C22">
        <w:rPr>
          <w:rFonts w:ascii="Times New Roman" w:eastAsia="Times New Roman" w:hAnsi="Times New Roman"/>
          <w:szCs w:val="22"/>
          <w:lang w:eastAsia="en-US"/>
        </w:rPr>
        <w:t xml:space="preserve">así como las mujeres </w:t>
      </w:r>
      <w:r w:rsidR="00633EDD" w:rsidRPr="00AF4C22">
        <w:rPr>
          <w:rFonts w:ascii="Times New Roman" w:eastAsia="Times New Roman" w:hAnsi="Times New Roman"/>
          <w:szCs w:val="22"/>
          <w:lang w:eastAsia="en-US"/>
        </w:rPr>
        <w:t xml:space="preserve">defensoras </w:t>
      </w:r>
      <w:r w:rsidR="00D75239" w:rsidRPr="00AF4C22">
        <w:rPr>
          <w:rFonts w:ascii="Times New Roman" w:eastAsia="Times New Roman" w:hAnsi="Times New Roman"/>
          <w:szCs w:val="22"/>
          <w:lang w:eastAsia="en-US"/>
        </w:rPr>
        <w:t>del medio ambiente</w:t>
      </w:r>
      <w:r w:rsidR="000E1AF0" w:rsidRPr="00AF4C22">
        <w:rPr>
          <w:rFonts w:ascii="Times New Roman" w:eastAsia="Times New Roman" w:hAnsi="Times New Roman"/>
          <w:szCs w:val="22"/>
          <w:lang w:eastAsia="en-US"/>
        </w:rPr>
        <w:t>,</w:t>
      </w:r>
      <w:r w:rsidR="00D75239" w:rsidRPr="00AF4C22">
        <w:rPr>
          <w:rFonts w:ascii="Times New Roman" w:eastAsia="Times New Roman" w:hAnsi="Times New Roman"/>
          <w:szCs w:val="22"/>
          <w:lang w:eastAsia="en-US"/>
        </w:rPr>
        <w:t xml:space="preserve"> quienes </w:t>
      </w:r>
      <w:r w:rsidR="000E1AF0" w:rsidRPr="00AF4C22">
        <w:rPr>
          <w:rFonts w:ascii="Times New Roman" w:eastAsia="Times New Roman" w:hAnsi="Times New Roman"/>
          <w:szCs w:val="22"/>
          <w:lang w:eastAsia="en-US"/>
        </w:rPr>
        <w:t xml:space="preserve">lamentablemente </w:t>
      </w:r>
      <w:r w:rsidR="00D75239" w:rsidRPr="00AF4C22">
        <w:rPr>
          <w:rFonts w:ascii="Times New Roman" w:eastAsia="Times New Roman" w:hAnsi="Times New Roman"/>
          <w:szCs w:val="22"/>
          <w:lang w:eastAsia="en-US"/>
        </w:rPr>
        <w:t xml:space="preserve">corren riesgos específicos por razones de género, </w:t>
      </w:r>
      <w:r w:rsidR="003A7096" w:rsidRPr="00AF4C22">
        <w:rPr>
          <w:rFonts w:ascii="Times New Roman" w:eastAsia="Times New Roman" w:hAnsi="Times New Roman"/>
          <w:szCs w:val="22"/>
          <w:lang w:eastAsia="en-US"/>
        </w:rPr>
        <w:t xml:space="preserve">incluida </w:t>
      </w:r>
      <w:r w:rsidR="00E12C58" w:rsidRPr="00AF4C22">
        <w:rPr>
          <w:rFonts w:ascii="Times New Roman" w:eastAsia="Times New Roman" w:hAnsi="Times New Roman"/>
          <w:szCs w:val="22"/>
          <w:lang w:eastAsia="en-US"/>
        </w:rPr>
        <w:t>violencia sexual y</w:t>
      </w:r>
      <w:r w:rsidR="00465BF8" w:rsidRPr="00AF4C22">
        <w:rPr>
          <w:rFonts w:ascii="Times New Roman" w:eastAsia="Times New Roman" w:hAnsi="Times New Roman"/>
          <w:szCs w:val="22"/>
          <w:lang w:eastAsia="en-US"/>
        </w:rPr>
        <w:t xml:space="preserve"> </w:t>
      </w:r>
      <w:r w:rsidR="00D75239" w:rsidRPr="00AF4C22">
        <w:rPr>
          <w:rFonts w:ascii="Times New Roman" w:eastAsia="Times New Roman" w:hAnsi="Times New Roman"/>
          <w:szCs w:val="22"/>
          <w:lang w:eastAsia="en-US"/>
        </w:rPr>
        <w:t>la violencia basada en género.</w:t>
      </w:r>
      <w:r w:rsidR="00D93FEF" w:rsidRPr="00AF4C22">
        <w:rPr>
          <w:rFonts w:ascii="Times New Roman" w:hAnsi="Times New Roman"/>
          <w:szCs w:val="22"/>
        </w:rPr>
        <w:t xml:space="preserve"> </w:t>
      </w:r>
    </w:p>
    <w:p w14:paraId="1924B592" w14:textId="77777777" w:rsidR="006A41D4" w:rsidRPr="00AF4C22" w:rsidRDefault="006A41D4" w:rsidP="00AF4C22">
      <w:pPr>
        <w:rPr>
          <w:rFonts w:ascii="Times New Roman" w:eastAsia="Calibri" w:hAnsi="Times New Roman"/>
          <w:szCs w:val="22"/>
          <w:lang w:val="es-UY"/>
        </w:rPr>
      </w:pPr>
    </w:p>
    <w:p w14:paraId="79987488" w14:textId="6FD8B6EE" w:rsidR="00047667" w:rsidRPr="00AF4C22" w:rsidRDefault="00047667" w:rsidP="00AF4C22">
      <w:pPr>
        <w:pStyle w:val="ListParagraph"/>
        <w:numPr>
          <w:ilvl w:val="0"/>
          <w:numId w:val="19"/>
        </w:numPr>
        <w:ind w:left="630" w:hanging="180"/>
        <w:rPr>
          <w:rFonts w:eastAsia="Calibri"/>
          <w:sz w:val="22"/>
          <w:szCs w:val="22"/>
          <w:lang w:val="es-US"/>
        </w:rPr>
      </w:pPr>
      <w:r w:rsidRPr="00AF4C22">
        <w:rPr>
          <w:rFonts w:eastAsia="Calibri"/>
          <w:sz w:val="22"/>
          <w:szCs w:val="22"/>
          <w:lang w:val="es-US"/>
        </w:rPr>
        <w:t xml:space="preserve">DERECHOS HUMANOS Y PERSONAS QUE VIVEN CON UNA ENFERMEDAD RARA Y SUS FAMILIAS </w:t>
      </w:r>
      <w:r w:rsidR="00BF6611" w:rsidRPr="00AF4C22">
        <w:rPr>
          <w:rStyle w:val="FootnoteReference"/>
          <w:rFonts w:eastAsia="Calibri"/>
          <w:sz w:val="22"/>
          <w:szCs w:val="22"/>
        </w:rPr>
        <w:footnoteReference w:id="2"/>
      </w:r>
      <w:r w:rsidR="00BF6611" w:rsidRPr="00AF4C22">
        <w:rPr>
          <w:rFonts w:eastAsia="Calibri"/>
          <w:sz w:val="22"/>
          <w:szCs w:val="22"/>
          <w:vertAlign w:val="superscript"/>
          <w:lang w:val="es-US"/>
        </w:rPr>
        <w:t>/</w:t>
      </w:r>
      <w:r w:rsidR="00BF6611" w:rsidRPr="00AF4C22">
        <w:rPr>
          <w:rFonts w:eastAsia="Calibri"/>
          <w:b/>
          <w:bCs/>
          <w:sz w:val="22"/>
          <w:szCs w:val="22"/>
          <w:vertAlign w:val="superscript"/>
          <w:lang w:val="es-CO"/>
        </w:rPr>
        <w:t>/</w:t>
      </w:r>
    </w:p>
    <w:p w14:paraId="47AD51A6" w14:textId="77777777" w:rsidR="00D75239" w:rsidRPr="00AF4C22" w:rsidRDefault="00D75239" w:rsidP="00AF4C22">
      <w:pPr>
        <w:rPr>
          <w:rFonts w:ascii="Times New Roman" w:hAnsi="Times New Roman"/>
          <w:szCs w:val="22"/>
          <w:lang w:val="es-CL"/>
        </w:rPr>
      </w:pPr>
    </w:p>
    <w:p w14:paraId="15749BEB" w14:textId="5FB19B16" w:rsidR="0082595D" w:rsidRPr="00AF4C22" w:rsidRDefault="007A57B7" w:rsidP="00AF4C22">
      <w:pPr>
        <w:rPr>
          <w:rFonts w:ascii="Times New Roman" w:hAnsi="Times New Roman"/>
          <w:szCs w:val="22"/>
          <w:lang w:val="es-CL"/>
        </w:rPr>
      </w:pPr>
      <w:r w:rsidRPr="00AF4C22">
        <w:rPr>
          <w:rFonts w:ascii="Times New Roman" w:hAnsi="Times New Roman"/>
          <w:szCs w:val="22"/>
          <w:lang w:val="es-CL"/>
        </w:rPr>
        <w:tab/>
      </w:r>
      <w:r w:rsidR="0082595D" w:rsidRPr="00AF4C22">
        <w:rPr>
          <w:rFonts w:ascii="Times New Roman" w:hAnsi="Times New Roman"/>
          <w:szCs w:val="22"/>
          <w:lang w:val="es-CL"/>
        </w:rPr>
        <w:t>Encomendar al Consejo Permanente que, con los recursos existentes y en colaboración con el Departamento de Inclusión Social, incluya en su programa de trabajo la conmemoración del día internacional de personas con enfermedades raras como uno de los puntos de agenda de su sesión ordinaria más cercana al 28 de febrero de cada año; utilizando un enfoque de derechos humanos y con perspectiva de género.</w:t>
      </w:r>
      <w:r w:rsidR="009D2DE8" w:rsidRPr="00AF4C22">
        <w:rPr>
          <w:rFonts w:ascii="Times New Roman" w:hAnsi="Times New Roman"/>
          <w:b/>
          <w:bCs/>
          <w:szCs w:val="22"/>
          <w:lang w:val="es-CL"/>
        </w:rPr>
        <w:t xml:space="preserve"> </w:t>
      </w:r>
    </w:p>
    <w:p w14:paraId="358E41DD" w14:textId="77777777" w:rsidR="0082595D" w:rsidRPr="00AF4C22" w:rsidRDefault="0082595D"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CO" w:eastAsia="en-US"/>
        </w:rPr>
      </w:pPr>
    </w:p>
    <w:p w14:paraId="30434C53" w14:textId="06AD3786" w:rsidR="00CB452C" w:rsidRPr="00AF4C22" w:rsidRDefault="000169EA" w:rsidP="00AF4C22">
      <w:pPr>
        <w:rPr>
          <w:rFonts w:ascii="Times New Roman" w:eastAsia="Calibri" w:hAnsi="Times New Roman"/>
          <w:b/>
          <w:bCs/>
          <w:szCs w:val="22"/>
          <w:lang w:val="es-CL" w:eastAsia="en-US"/>
        </w:rPr>
      </w:pPr>
      <w:r w:rsidRPr="00AF4C22">
        <w:rPr>
          <w:rFonts w:ascii="Times New Roman" w:eastAsia="Calibri" w:hAnsi="Times New Roman"/>
          <w:szCs w:val="22"/>
          <w:lang w:val="es-CL" w:eastAsia="en-US"/>
        </w:rPr>
        <w:tab/>
      </w:r>
    </w:p>
    <w:p w14:paraId="5E3B63F5" w14:textId="77777777" w:rsidR="002F762E" w:rsidRPr="00AF4C22" w:rsidRDefault="002F762E"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CL" w:eastAsia="en-US"/>
        </w:rPr>
      </w:pPr>
    </w:p>
    <w:p w14:paraId="5D80726E" w14:textId="21CCE43A" w:rsidR="00047667" w:rsidRPr="00AF4C22" w:rsidRDefault="00047667" w:rsidP="00AF4C22">
      <w:pPr>
        <w:pStyle w:val="ListParagraph"/>
        <w:numPr>
          <w:ilvl w:val="0"/>
          <w:numId w:val="19"/>
        </w:numPr>
        <w:ind w:left="630" w:hanging="180"/>
        <w:rPr>
          <w:rFonts w:eastAsia="Calibri"/>
          <w:sz w:val="22"/>
          <w:szCs w:val="22"/>
          <w:lang w:val="es-US"/>
        </w:rPr>
      </w:pPr>
      <w:r w:rsidRPr="00AF4C22">
        <w:rPr>
          <w:rFonts w:eastAsia="Calibri"/>
          <w:sz w:val="22"/>
          <w:szCs w:val="22"/>
          <w:lang w:val="es-US"/>
        </w:rPr>
        <w:t>PROTECCIÓN DE LOS SOLICITANTES DEL RECONOCIMIENTO DE LA CONDICIÓN DE REFUGIADO Y REFUGIADOS EN LAS AMÉRICAS</w:t>
      </w:r>
    </w:p>
    <w:p w14:paraId="2A4FD9A3" w14:textId="77777777" w:rsidR="00047667" w:rsidRPr="00AF4C22" w:rsidRDefault="00047667" w:rsidP="00AF4C22">
      <w:pPr>
        <w:pStyle w:val="ListParagraph"/>
        <w:rPr>
          <w:rFonts w:eastAsia="Calibri"/>
          <w:sz w:val="22"/>
          <w:szCs w:val="22"/>
          <w:lang w:val="es-US"/>
        </w:rPr>
      </w:pPr>
    </w:p>
    <w:p w14:paraId="31CE7B75" w14:textId="77777777" w:rsidR="00D75239" w:rsidRPr="00AF4C22" w:rsidRDefault="00D7523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eastAsia="es-ES"/>
        </w:rPr>
      </w:pPr>
      <w:r w:rsidRPr="00AF4C22">
        <w:rPr>
          <w:rFonts w:ascii="Times New Roman" w:eastAsia="Times New Roman" w:hAnsi="Times New Roman"/>
          <w:szCs w:val="22"/>
          <w:lang w:eastAsia="es-ES"/>
        </w:rPr>
        <w:t>En seguimiento de la sección ix de la Resolución “Promoción y Protección de Derechos Humanos” -AG/RES. 2991 (LII-O/22)-:</w:t>
      </w:r>
    </w:p>
    <w:p w14:paraId="59631683" w14:textId="77777777" w:rsidR="00D75239" w:rsidRPr="00AF4C22" w:rsidRDefault="00D7523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eastAsia="es-ES"/>
        </w:rPr>
      </w:pPr>
    </w:p>
    <w:p w14:paraId="496385B8" w14:textId="3BE48855" w:rsidR="00D75239" w:rsidRPr="00AF4C22" w:rsidRDefault="00D75239" w:rsidP="00AF4C22">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eastAsia="es-ES"/>
        </w:rPr>
      </w:pPr>
      <w:r w:rsidRPr="00AF4C22">
        <w:rPr>
          <w:rFonts w:ascii="Times New Roman" w:eastAsia="Times New Roman" w:hAnsi="Times New Roman"/>
          <w:szCs w:val="22"/>
          <w:lang w:eastAsia="es-ES"/>
        </w:rPr>
        <w:t>Instar a los Estados que participen activamente en el próximo Foro Mundial sobre los Refugiados, a celebrarse en diciembre del 2023, reafirmando el compromiso de la región con los Objetivos del Pacto Mundial de Refugiados, así como las recomendaciones salientes de la primera Reunión del Funcionariado de Alto Nivel celebrada en el 2021, presentando nuevos compromisos políticos y continuar según proceda con el cumplimento de los compromisos anteriormente adquiridos sobre la materia.</w:t>
      </w:r>
      <w:r w:rsidR="00547B5D" w:rsidRPr="00AF4C22">
        <w:rPr>
          <w:rFonts w:ascii="Times New Roman" w:hAnsi="Times New Roman"/>
          <w:szCs w:val="22"/>
        </w:rPr>
        <w:t xml:space="preserve"> </w:t>
      </w:r>
    </w:p>
    <w:p w14:paraId="49C2F04F" w14:textId="494EF91A" w:rsidR="00D75239" w:rsidRPr="00AF4C22" w:rsidRDefault="00D75239" w:rsidP="00AF4C22">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es-UY" w:eastAsia="es-ES"/>
        </w:rPr>
      </w:pPr>
      <w:r w:rsidRPr="00AF4C22">
        <w:rPr>
          <w:rFonts w:ascii="Times New Roman" w:eastAsia="Times New Roman" w:hAnsi="Times New Roman"/>
          <w:szCs w:val="22"/>
          <w:lang w:eastAsia="es-ES"/>
        </w:rPr>
        <w:lastRenderedPageBreak/>
        <w:t xml:space="preserve">Alentar a los </w:t>
      </w:r>
      <w:r w:rsidR="00DA6786" w:rsidRPr="00AF4C22">
        <w:rPr>
          <w:rFonts w:ascii="Times New Roman" w:eastAsia="Times New Roman" w:hAnsi="Times New Roman"/>
          <w:szCs w:val="22"/>
          <w:lang w:eastAsia="es-ES"/>
        </w:rPr>
        <w:t>Estados</w:t>
      </w:r>
      <w:r w:rsidRPr="00AF4C22">
        <w:rPr>
          <w:rFonts w:ascii="Times New Roman" w:eastAsia="Times New Roman" w:hAnsi="Times New Roman"/>
          <w:szCs w:val="22"/>
          <w:lang w:eastAsia="es-ES"/>
        </w:rPr>
        <w:t xml:space="preserve">, en seguimiento al Foro, a conmemorar los 40 años de la Declaración de Cartagena en el 2024, </w:t>
      </w:r>
      <w:r w:rsidR="000B4A89" w:rsidRPr="00AF4C22">
        <w:rPr>
          <w:rFonts w:ascii="Times New Roman" w:eastAsia="Times New Roman" w:hAnsi="Times New Roman"/>
          <w:szCs w:val="22"/>
          <w:lang w:eastAsia="es-ES"/>
        </w:rPr>
        <w:t xml:space="preserve">avanzando en un abordaje de </w:t>
      </w:r>
      <w:r w:rsidRPr="00AF4C22">
        <w:rPr>
          <w:rFonts w:ascii="Times New Roman" w:eastAsia="Times New Roman" w:hAnsi="Times New Roman"/>
          <w:szCs w:val="22"/>
          <w:lang w:eastAsia="es-ES"/>
        </w:rPr>
        <w:t>los desafíos contemporáneos del desplazamiento y promover soluciones innovadoras con un espíritu de solidaridad, cooperación y responsabilidad compartida.</w:t>
      </w:r>
      <w:r w:rsidR="001F0282" w:rsidRPr="00AF4C22">
        <w:rPr>
          <w:rFonts w:ascii="Times New Roman" w:hAnsi="Times New Roman"/>
          <w:szCs w:val="22"/>
        </w:rPr>
        <w:t xml:space="preserve"> </w:t>
      </w:r>
    </w:p>
    <w:p w14:paraId="4D936328" w14:textId="64C9B39E" w:rsidR="00047667" w:rsidRPr="00AF4C22" w:rsidRDefault="00047667" w:rsidP="00AF4C22">
      <w:pPr>
        <w:pStyle w:val="ListParagraph"/>
        <w:ind w:left="374"/>
        <w:rPr>
          <w:rFonts w:eastAsia="Calibri"/>
          <w:sz w:val="22"/>
          <w:szCs w:val="22"/>
          <w:lang w:val="es-UY"/>
        </w:rPr>
      </w:pPr>
    </w:p>
    <w:p w14:paraId="28FC98F4" w14:textId="77777777" w:rsidR="00BA3384" w:rsidRPr="00AF4C22" w:rsidRDefault="00BA3384" w:rsidP="00AF4C22">
      <w:pPr>
        <w:pStyle w:val="ListParagraph"/>
        <w:ind w:left="374"/>
        <w:rPr>
          <w:rFonts w:eastAsia="Calibri"/>
          <w:sz w:val="22"/>
          <w:szCs w:val="22"/>
          <w:lang w:val="es-UY"/>
        </w:rPr>
      </w:pPr>
    </w:p>
    <w:p w14:paraId="49FF6EA0" w14:textId="3B06D2FC" w:rsidR="00047667" w:rsidRPr="00AF4C22" w:rsidRDefault="00047667" w:rsidP="00AF4C22">
      <w:pPr>
        <w:pStyle w:val="ListParagraph"/>
        <w:numPr>
          <w:ilvl w:val="0"/>
          <w:numId w:val="19"/>
        </w:numPr>
        <w:ind w:left="374" w:hanging="14"/>
        <w:rPr>
          <w:rFonts w:eastAsia="Calibri"/>
          <w:sz w:val="22"/>
          <w:szCs w:val="22"/>
          <w:lang w:val="es-US"/>
        </w:rPr>
      </w:pPr>
      <w:r w:rsidRPr="00AF4C22">
        <w:rPr>
          <w:rFonts w:eastAsia="Calibri"/>
          <w:sz w:val="22"/>
          <w:szCs w:val="22"/>
          <w:lang w:val="es-US"/>
        </w:rPr>
        <w:t>DERECHOS HUMANOS Y PREVENCIÓN DE LA DISCRIMINACIÓN Y LA VIOLENCIA CONTRA LAS PERSONAS LGB</w:t>
      </w:r>
      <w:r w:rsidR="00AC70CA" w:rsidRPr="00AF4C22">
        <w:rPr>
          <w:rFonts w:eastAsia="Calibri"/>
          <w:sz w:val="22"/>
          <w:szCs w:val="22"/>
          <w:lang w:val="es-US"/>
        </w:rPr>
        <w:t>T</w:t>
      </w:r>
      <w:r w:rsidRPr="00AF4C22">
        <w:rPr>
          <w:rFonts w:eastAsia="Calibri"/>
          <w:sz w:val="22"/>
          <w:szCs w:val="22"/>
          <w:lang w:val="es-US"/>
        </w:rPr>
        <w:t xml:space="preserve">I </w:t>
      </w:r>
      <w:r w:rsidR="0086452B">
        <w:rPr>
          <w:rFonts w:eastAsia="Calibri"/>
          <w:sz w:val="22"/>
          <w:szCs w:val="22"/>
          <w:lang w:val="es-US"/>
        </w:rPr>
        <w:t xml:space="preserve"> </w:t>
      </w:r>
      <w:r w:rsidR="001C3B65" w:rsidRPr="00AF4C22">
        <w:rPr>
          <w:rFonts w:eastAsia="Calibri"/>
          <w:b/>
          <w:bCs/>
          <w:sz w:val="22"/>
          <w:szCs w:val="22"/>
          <w:lang w:val="es-US"/>
        </w:rPr>
        <w:t>(</w:t>
      </w:r>
      <w:r w:rsidR="00737282" w:rsidRPr="00AF4C22">
        <w:rPr>
          <w:rFonts w:eastAsia="Calibri"/>
          <w:b/>
          <w:bCs/>
          <w:sz w:val="22"/>
          <w:szCs w:val="22"/>
          <w:highlight w:val="lightGray"/>
          <w:lang w:val="es-US"/>
        </w:rPr>
        <w:t>TT</w:t>
      </w:r>
      <w:r w:rsidR="007D5EC6" w:rsidRPr="00AF4C22">
        <w:rPr>
          <w:rFonts w:eastAsia="Calibri"/>
          <w:b/>
          <w:bCs/>
          <w:sz w:val="22"/>
          <w:szCs w:val="22"/>
          <w:highlight w:val="lightGray"/>
          <w:lang w:val="es-US"/>
        </w:rPr>
        <w:t>: posible nota de pie de página</w:t>
      </w:r>
      <w:r w:rsidR="007D5EC6" w:rsidRPr="00AF4C22">
        <w:rPr>
          <w:rFonts w:eastAsia="Calibri"/>
          <w:b/>
          <w:bCs/>
          <w:sz w:val="22"/>
          <w:szCs w:val="22"/>
          <w:lang w:val="es-US"/>
        </w:rPr>
        <w:t>)</w:t>
      </w:r>
      <w:r w:rsidR="007925DB" w:rsidRPr="00AF4C22">
        <w:rPr>
          <w:rFonts w:eastAsia="Calibri"/>
          <w:b/>
          <w:bCs/>
          <w:sz w:val="22"/>
          <w:szCs w:val="22"/>
          <w:lang w:val="es-US"/>
        </w:rPr>
        <w:t xml:space="preserve"> (</w:t>
      </w:r>
      <w:r w:rsidR="007925DB" w:rsidRPr="00AF4C22">
        <w:rPr>
          <w:rFonts w:eastAsia="Calibri"/>
          <w:b/>
          <w:bCs/>
          <w:sz w:val="22"/>
          <w:szCs w:val="22"/>
          <w:highlight w:val="lightGray"/>
          <w:lang w:val="es-US"/>
        </w:rPr>
        <w:t>PAR+GUA+SVG</w:t>
      </w:r>
      <w:r w:rsidR="004B4F0D" w:rsidRPr="00AF4C22">
        <w:rPr>
          <w:rFonts w:eastAsia="Calibri"/>
          <w:b/>
          <w:bCs/>
          <w:sz w:val="22"/>
          <w:szCs w:val="22"/>
          <w:highlight w:val="lightGray"/>
          <w:lang w:val="es-US"/>
        </w:rPr>
        <w:t>+STL</w:t>
      </w:r>
      <w:r w:rsidR="001923B9" w:rsidRPr="00AF4C22">
        <w:rPr>
          <w:rFonts w:eastAsia="Calibri"/>
          <w:b/>
          <w:bCs/>
          <w:sz w:val="22"/>
          <w:szCs w:val="22"/>
          <w:highlight w:val="lightGray"/>
          <w:lang w:val="es-US"/>
        </w:rPr>
        <w:t>+PER</w:t>
      </w:r>
      <w:r w:rsidR="00E74758" w:rsidRPr="00AF4C22">
        <w:rPr>
          <w:rFonts w:eastAsia="Calibri"/>
          <w:b/>
          <w:bCs/>
          <w:sz w:val="22"/>
          <w:szCs w:val="22"/>
          <w:highlight w:val="lightGray"/>
          <w:lang w:val="es-US"/>
        </w:rPr>
        <w:t>+JAM</w:t>
      </w:r>
      <w:r w:rsidR="007925DB" w:rsidRPr="00AF4C22">
        <w:rPr>
          <w:rFonts w:eastAsia="Calibri"/>
          <w:b/>
          <w:bCs/>
          <w:sz w:val="22"/>
          <w:szCs w:val="22"/>
          <w:highlight w:val="lightGray"/>
          <w:lang w:val="es-US"/>
        </w:rPr>
        <w:t>: confirman que presentarán nota de pie de página</w:t>
      </w:r>
      <w:r w:rsidR="007925DB" w:rsidRPr="00AF4C22">
        <w:rPr>
          <w:rFonts w:eastAsia="Calibri"/>
          <w:b/>
          <w:bCs/>
          <w:sz w:val="22"/>
          <w:szCs w:val="22"/>
          <w:lang w:val="es-US"/>
        </w:rPr>
        <w:t>)</w:t>
      </w:r>
    </w:p>
    <w:p w14:paraId="53AF5C84" w14:textId="77777777" w:rsidR="00D75239" w:rsidRPr="00AF4C22" w:rsidRDefault="00D75239" w:rsidP="00AF4C22">
      <w:pPr>
        <w:tabs>
          <w:tab w:val="left" w:pos="5610"/>
        </w:tabs>
        <w:rPr>
          <w:rFonts w:ascii="Times New Roman" w:hAnsi="Times New Roman"/>
          <w:szCs w:val="22"/>
          <w:lang w:val="es-US" w:eastAsia="es-MX"/>
        </w:rPr>
      </w:pPr>
    </w:p>
    <w:p w14:paraId="23CC8545" w14:textId="0028C54A" w:rsidR="00D75239" w:rsidRPr="00AF4C22" w:rsidRDefault="006A41D4" w:rsidP="00AF4C22">
      <w:pPr>
        <w:tabs>
          <w:tab w:val="left" w:pos="5610"/>
        </w:tabs>
        <w:rPr>
          <w:rFonts w:ascii="Times New Roman" w:hAnsi="Times New Roman"/>
          <w:szCs w:val="22"/>
          <w:lang w:eastAsia="es-MX"/>
        </w:rPr>
      </w:pPr>
      <w:r w:rsidRPr="00AF4C22">
        <w:rPr>
          <w:rFonts w:ascii="Times New Roman" w:hAnsi="Times New Roman"/>
          <w:szCs w:val="22"/>
          <w:lang w:eastAsia="es-MX"/>
        </w:rPr>
        <w:t>RESUELVE:</w:t>
      </w:r>
    </w:p>
    <w:p w14:paraId="7A254204" w14:textId="77777777" w:rsidR="00FF7601" w:rsidRPr="00AF4C22" w:rsidRDefault="00FF7601" w:rsidP="00AF4C22">
      <w:pPr>
        <w:tabs>
          <w:tab w:val="left" w:pos="5610"/>
        </w:tabs>
        <w:rPr>
          <w:rFonts w:ascii="Times New Roman" w:hAnsi="Times New Roman"/>
          <w:szCs w:val="22"/>
          <w:lang w:val="es-CL"/>
        </w:rPr>
      </w:pPr>
    </w:p>
    <w:p w14:paraId="7F38931A" w14:textId="05ED60F5" w:rsidR="00D75239" w:rsidRPr="00AF4C22" w:rsidRDefault="00D75239" w:rsidP="00AF4C22">
      <w:pPr>
        <w:pStyle w:val="ListParagraph"/>
        <w:numPr>
          <w:ilvl w:val="0"/>
          <w:numId w:val="46"/>
        </w:numPr>
        <w:ind w:left="0" w:firstLine="720"/>
        <w:jc w:val="both"/>
        <w:rPr>
          <w:sz w:val="22"/>
          <w:szCs w:val="22"/>
          <w:lang w:val="es-CL"/>
        </w:rPr>
      </w:pPr>
      <w:r w:rsidRPr="00AF4C22">
        <w:rPr>
          <w:sz w:val="22"/>
          <w:szCs w:val="22"/>
          <w:lang w:val="es-CL"/>
        </w:rPr>
        <w:t xml:space="preserve">Alentar a los Estados Miembros a reconocer que las personas LGBTI también se enfrentan a múltiples </w:t>
      </w:r>
      <w:r w:rsidR="00A86E7D" w:rsidRPr="00AF4C22">
        <w:rPr>
          <w:sz w:val="22"/>
          <w:szCs w:val="22"/>
          <w:lang w:val="es-CL"/>
        </w:rPr>
        <w:t>y diferenciadas</w:t>
      </w:r>
      <w:r w:rsidR="00933947" w:rsidRPr="00AF4C22">
        <w:rPr>
          <w:sz w:val="22"/>
          <w:szCs w:val="22"/>
          <w:lang w:val="es-CL"/>
        </w:rPr>
        <w:t xml:space="preserve"> </w:t>
      </w:r>
      <w:r w:rsidRPr="00AF4C22">
        <w:rPr>
          <w:sz w:val="22"/>
          <w:szCs w:val="22"/>
          <w:lang w:val="es-CL"/>
        </w:rPr>
        <w:t xml:space="preserve">formas de </w:t>
      </w:r>
      <w:r w:rsidR="00933947" w:rsidRPr="00AF4C22">
        <w:rPr>
          <w:sz w:val="22"/>
          <w:szCs w:val="22"/>
          <w:lang w:val="es-CL"/>
        </w:rPr>
        <w:t>violencia</w:t>
      </w:r>
      <w:r w:rsidR="00774FA6" w:rsidRPr="00AF4C22">
        <w:rPr>
          <w:sz w:val="22"/>
          <w:szCs w:val="22"/>
          <w:lang w:val="es-CL"/>
        </w:rPr>
        <w:t xml:space="preserve"> </w:t>
      </w:r>
      <w:r w:rsidRPr="00AF4C22">
        <w:rPr>
          <w:sz w:val="22"/>
          <w:szCs w:val="22"/>
          <w:lang w:val="es-CL"/>
        </w:rPr>
        <w:t>basadas en su orientación sexual, identidad y/o expresión de género y características sexuales, raza, etnia discapacidad, edad y clase social, lo que conduce a formas agravadas de exclusión y violencia en las esferas pública y privada y afecta aún más a la plena garantía de sus derechos</w:t>
      </w:r>
      <w:r w:rsidR="00AF4C22">
        <w:rPr>
          <w:sz w:val="22"/>
          <w:szCs w:val="22"/>
          <w:lang w:val="es-CL"/>
        </w:rPr>
        <w:t>.</w:t>
      </w:r>
    </w:p>
    <w:p w14:paraId="34F1780E" w14:textId="77777777" w:rsidR="00AF4C22" w:rsidRPr="00AF4C22" w:rsidRDefault="00AF4C22" w:rsidP="00AF4C22">
      <w:pPr>
        <w:pStyle w:val="ListParagraph"/>
        <w:jc w:val="both"/>
        <w:rPr>
          <w:sz w:val="22"/>
          <w:szCs w:val="22"/>
          <w:lang w:val="es-CL"/>
        </w:rPr>
      </w:pPr>
    </w:p>
    <w:p w14:paraId="38703CB0" w14:textId="520AD40A" w:rsidR="00D75239" w:rsidRPr="00AF4C22" w:rsidRDefault="00D75239" w:rsidP="00AF4C22">
      <w:pPr>
        <w:pStyle w:val="ListParagraph"/>
        <w:numPr>
          <w:ilvl w:val="0"/>
          <w:numId w:val="46"/>
        </w:numPr>
        <w:ind w:left="0" w:firstLine="720"/>
        <w:jc w:val="both"/>
        <w:rPr>
          <w:b/>
          <w:bCs/>
          <w:sz w:val="22"/>
          <w:szCs w:val="22"/>
          <w:lang w:val="es-CL"/>
        </w:rPr>
      </w:pPr>
      <w:r w:rsidRPr="00AF4C22">
        <w:rPr>
          <w:sz w:val="22"/>
          <w:szCs w:val="22"/>
          <w:lang w:val="es-CL"/>
        </w:rPr>
        <w:t xml:space="preserve">Instar a los Estados Miembros a: i) que utilicen mecanismos institucionales, robustezcan el plexo de derechos en igualdad y desarrollen políticas públicas en torno a la violencia hacia personas </w:t>
      </w:r>
      <w:r w:rsidR="00933947" w:rsidRPr="00AF4C22">
        <w:rPr>
          <w:sz w:val="22"/>
          <w:szCs w:val="22"/>
          <w:lang w:val="es-CL"/>
        </w:rPr>
        <w:t>trans</w:t>
      </w:r>
      <w:r w:rsidRPr="00AF4C22">
        <w:rPr>
          <w:sz w:val="22"/>
          <w:szCs w:val="22"/>
          <w:lang w:val="es-CL"/>
        </w:rPr>
        <w:t xml:space="preserve">, en particular mujeres </w:t>
      </w:r>
      <w:r w:rsidR="00933947" w:rsidRPr="00AF4C22">
        <w:rPr>
          <w:sz w:val="22"/>
          <w:szCs w:val="22"/>
          <w:lang w:val="es-CL"/>
        </w:rPr>
        <w:t>trans</w:t>
      </w:r>
      <w:r w:rsidRPr="00AF4C22">
        <w:rPr>
          <w:sz w:val="22"/>
          <w:szCs w:val="22"/>
          <w:lang w:val="es-CL"/>
        </w:rPr>
        <w:t>, haciendo hincapié en los crímenes por prejuicios y discriminación, a fin de garantizar y respetar la igualdad ante la ley, así como promover el acceso de las personas trans al pleno disfrute de todos los derechos humanos; ii) a reconocer las múltiples e interrelacionadas formas de discriminación contra las mujeres LBT</w:t>
      </w:r>
      <w:r w:rsidR="00427312" w:rsidRPr="00AF4C22">
        <w:rPr>
          <w:sz w:val="22"/>
          <w:szCs w:val="22"/>
          <w:lang w:val="es-CL"/>
        </w:rPr>
        <w:t>Q</w:t>
      </w:r>
      <w:r w:rsidRPr="00AF4C22">
        <w:rPr>
          <w:sz w:val="22"/>
          <w:szCs w:val="22"/>
          <w:lang w:val="es-CL"/>
        </w:rPr>
        <w:t xml:space="preserve">I, promulgar leyes y políticas para prevenir la violencia de género y promover la igualdad de género, </w:t>
      </w:r>
      <w:r w:rsidR="002139DC" w:rsidRPr="00AF4C22">
        <w:rPr>
          <w:sz w:val="22"/>
          <w:szCs w:val="22"/>
          <w:lang w:val="es-CL"/>
        </w:rPr>
        <w:t xml:space="preserve">desglosar los datos sobre violencia </w:t>
      </w:r>
      <w:r w:rsidR="00427312" w:rsidRPr="00AF4C22">
        <w:rPr>
          <w:sz w:val="22"/>
          <w:szCs w:val="22"/>
          <w:lang w:val="es-CL"/>
        </w:rPr>
        <w:t>LBTQI</w:t>
      </w:r>
      <w:r w:rsidR="002139DC" w:rsidRPr="00AF4C22">
        <w:rPr>
          <w:sz w:val="22"/>
          <w:szCs w:val="22"/>
          <w:lang w:val="es-CL"/>
        </w:rPr>
        <w:t xml:space="preserve"> </w:t>
      </w:r>
      <w:r w:rsidRPr="00AF4C22">
        <w:rPr>
          <w:sz w:val="22"/>
          <w:szCs w:val="22"/>
          <w:lang w:val="es-CL"/>
        </w:rPr>
        <w:t xml:space="preserve">y animar a los Estados miembros a aplicar políticas públicas para prevenir, castigar y erradicar la discriminación y la violencia contra las mujeres </w:t>
      </w:r>
      <w:r w:rsidR="00993A66" w:rsidRPr="00AF4C22">
        <w:rPr>
          <w:sz w:val="22"/>
          <w:szCs w:val="22"/>
          <w:lang w:val="es-CL"/>
        </w:rPr>
        <w:t>LBTQI</w:t>
      </w:r>
      <w:r w:rsidRPr="00AF4C22">
        <w:rPr>
          <w:sz w:val="22"/>
          <w:szCs w:val="22"/>
          <w:lang w:val="es-CL"/>
        </w:rPr>
        <w:t xml:space="preserve">; iii) a reivindicar el respeto a la diversidad sexual </w:t>
      </w:r>
      <w:r w:rsidR="004E4DDB" w:rsidRPr="00AF4C22">
        <w:rPr>
          <w:color w:val="2E74B5" w:themeColor="accent5" w:themeShade="BF"/>
          <w:sz w:val="22"/>
          <w:szCs w:val="22"/>
          <w:lang w:val="es-CL"/>
        </w:rPr>
        <w:t xml:space="preserve"> </w:t>
      </w:r>
      <w:r w:rsidRPr="00AF4C22">
        <w:rPr>
          <w:sz w:val="22"/>
          <w:szCs w:val="22"/>
          <w:lang w:val="es-CL"/>
        </w:rPr>
        <w:t xml:space="preserve">en las zonas rurales y costeras, </w:t>
      </w:r>
      <w:r w:rsidR="00AE3164" w:rsidRPr="00AF4C22">
        <w:rPr>
          <w:sz w:val="22"/>
          <w:szCs w:val="22"/>
          <w:lang w:val="es-CL"/>
        </w:rPr>
        <w:t>entre otras</w:t>
      </w:r>
      <w:r w:rsidR="00774FA6" w:rsidRPr="00AF4C22">
        <w:rPr>
          <w:sz w:val="22"/>
          <w:szCs w:val="22"/>
          <w:lang w:val="es-CL"/>
        </w:rPr>
        <w:t xml:space="preserve"> </w:t>
      </w:r>
      <w:r w:rsidRPr="00AF4C22">
        <w:rPr>
          <w:sz w:val="22"/>
          <w:szCs w:val="22"/>
          <w:lang w:val="es-CL"/>
        </w:rPr>
        <w:t xml:space="preserve">y promover políticas o actividades para generar un entorno social favorable con espacios seguros y libres para que las personas </w:t>
      </w:r>
      <w:r w:rsidR="00427312" w:rsidRPr="00AF4C22">
        <w:rPr>
          <w:sz w:val="22"/>
          <w:szCs w:val="22"/>
          <w:lang w:val="es-CL"/>
        </w:rPr>
        <w:t>L</w:t>
      </w:r>
      <w:r w:rsidR="00CB01AE" w:rsidRPr="00AF4C22">
        <w:rPr>
          <w:sz w:val="22"/>
          <w:szCs w:val="22"/>
          <w:lang w:val="es-CL"/>
        </w:rPr>
        <w:t>G</w:t>
      </w:r>
      <w:r w:rsidR="00427312" w:rsidRPr="00AF4C22">
        <w:rPr>
          <w:sz w:val="22"/>
          <w:szCs w:val="22"/>
          <w:lang w:val="es-CL"/>
        </w:rPr>
        <w:t>BTI</w:t>
      </w:r>
      <w:r w:rsidR="00427312" w:rsidRPr="00AF4C22" w:rsidDel="00427312">
        <w:rPr>
          <w:sz w:val="22"/>
          <w:szCs w:val="22"/>
          <w:lang w:val="es-CL"/>
        </w:rPr>
        <w:t xml:space="preserve"> </w:t>
      </w:r>
      <w:r w:rsidRPr="00AF4C22">
        <w:rPr>
          <w:sz w:val="22"/>
          <w:szCs w:val="22"/>
          <w:lang w:val="es-CL"/>
        </w:rPr>
        <w:t xml:space="preserve"> que habitan en las mismas puedan desarrollarse, </w:t>
      </w:r>
      <w:r w:rsidR="002139DC" w:rsidRPr="00AF4C22">
        <w:rPr>
          <w:sz w:val="22"/>
          <w:szCs w:val="22"/>
          <w:lang w:val="es-CL"/>
        </w:rPr>
        <w:t xml:space="preserve">formar sus familias </w:t>
      </w:r>
      <w:r w:rsidR="0064502E" w:rsidRPr="00AF4C22">
        <w:rPr>
          <w:sz w:val="22"/>
          <w:szCs w:val="22"/>
          <w:lang w:val="es-CL"/>
        </w:rPr>
        <w:t xml:space="preserve"> </w:t>
      </w:r>
      <w:r w:rsidRPr="00AF4C22">
        <w:rPr>
          <w:sz w:val="22"/>
          <w:szCs w:val="22"/>
          <w:lang w:val="es-CL"/>
        </w:rPr>
        <w:t xml:space="preserve">sin miedo a la discriminación, exclusión y vulnerabilidad. </w:t>
      </w:r>
      <w:r w:rsidR="0086452B" w:rsidRPr="007D0AC7">
        <w:rPr>
          <w:rStyle w:val="FootnoteReference"/>
          <w:rFonts w:eastAsia="Calibri"/>
          <w:b/>
          <w:bCs/>
          <w:sz w:val="22"/>
          <w:szCs w:val="22"/>
          <w:lang w:val="es-US"/>
        </w:rPr>
        <w:footnoteReference w:id="3"/>
      </w:r>
      <w:r w:rsidR="0086452B" w:rsidRPr="007D0AC7">
        <w:rPr>
          <w:rFonts w:eastAsia="Calibri"/>
          <w:b/>
          <w:bCs/>
          <w:sz w:val="22"/>
          <w:szCs w:val="22"/>
          <w:vertAlign w:val="superscript"/>
          <w:lang w:val="es-US"/>
        </w:rPr>
        <w:t>/</w:t>
      </w:r>
      <w:r w:rsidR="00883AAD" w:rsidRPr="00AF4C22">
        <w:rPr>
          <w:b/>
          <w:bCs/>
          <w:sz w:val="22"/>
          <w:szCs w:val="22"/>
          <w:lang w:val="es-CL"/>
        </w:rPr>
        <w:t xml:space="preserve"> </w:t>
      </w:r>
    </w:p>
    <w:p w14:paraId="5543C662" w14:textId="77777777" w:rsidR="00DF0BA4" w:rsidRPr="00AF4C22" w:rsidRDefault="00DF0BA4" w:rsidP="00AF4C22">
      <w:pPr>
        <w:pStyle w:val="ListParagraph"/>
        <w:rPr>
          <w:b/>
          <w:bCs/>
          <w:sz w:val="22"/>
          <w:szCs w:val="22"/>
          <w:lang w:val="es-CL"/>
        </w:rPr>
      </w:pPr>
    </w:p>
    <w:p w14:paraId="1BD86C16" w14:textId="77777777" w:rsidR="00DF0BA4" w:rsidRPr="00AF4C22" w:rsidRDefault="00DF0BA4" w:rsidP="00AF4C22">
      <w:pPr>
        <w:pStyle w:val="ListParagraph"/>
        <w:jc w:val="both"/>
        <w:rPr>
          <w:b/>
          <w:bCs/>
          <w:sz w:val="22"/>
          <w:szCs w:val="22"/>
          <w:lang w:val="es-CL"/>
        </w:rPr>
      </w:pPr>
    </w:p>
    <w:p w14:paraId="74169281" w14:textId="5CA08C46" w:rsidR="00047667" w:rsidRPr="00AF4C22" w:rsidRDefault="00047667" w:rsidP="00AF4C22">
      <w:pPr>
        <w:pStyle w:val="ListParagraph"/>
        <w:numPr>
          <w:ilvl w:val="0"/>
          <w:numId w:val="19"/>
        </w:numPr>
        <w:ind w:left="374" w:hanging="187"/>
        <w:rPr>
          <w:rFonts w:eastAsia="Calibri"/>
          <w:sz w:val="22"/>
          <w:szCs w:val="22"/>
          <w:lang w:val="es-US"/>
        </w:rPr>
      </w:pPr>
      <w:r w:rsidRPr="00AF4C22">
        <w:rPr>
          <w:rFonts w:eastAsia="Calibri"/>
          <w:sz w:val="22"/>
          <w:szCs w:val="22"/>
          <w:lang w:val="es-US"/>
        </w:rPr>
        <w:t xml:space="preserve">SEGUIMIENTO A LA IMPLEMENTACIÓN DE LA DECLARACIÓN AMERICANA SOBRE LOS DERECHOS DE LOS PUEBLOS INDÍGENAS Y DEL PLAN DE ACCIÓN SOBRE LA DECLARACIÓN AMERICANA SOBRE LOS DERECHOS DE LOS PUEBLOS INDÍGENAS (2022-2026) </w:t>
      </w:r>
      <w:r w:rsidR="00FA2DE4" w:rsidRPr="00AF4C22">
        <w:rPr>
          <w:rFonts w:eastAsia="Calibri"/>
          <w:b/>
          <w:bCs/>
          <w:sz w:val="22"/>
          <w:szCs w:val="22"/>
          <w:highlight w:val="lightGray"/>
          <w:lang w:val="es-US"/>
        </w:rPr>
        <w:t>(EEUU</w:t>
      </w:r>
      <w:r w:rsidR="005539BC" w:rsidRPr="00AF4C22">
        <w:rPr>
          <w:rFonts w:eastAsia="Calibri"/>
          <w:b/>
          <w:bCs/>
          <w:sz w:val="22"/>
          <w:szCs w:val="22"/>
          <w:highlight w:val="lightGray"/>
          <w:lang w:val="es-US"/>
        </w:rPr>
        <w:t>: presentará nota de pie de página</w:t>
      </w:r>
      <w:r w:rsidR="00FA2DE4" w:rsidRPr="00AF4C22">
        <w:rPr>
          <w:rFonts w:eastAsia="Calibri"/>
          <w:b/>
          <w:bCs/>
          <w:sz w:val="22"/>
          <w:szCs w:val="22"/>
          <w:highlight w:val="lightGray"/>
          <w:lang w:val="es-US"/>
        </w:rPr>
        <w:t>)</w:t>
      </w:r>
    </w:p>
    <w:p w14:paraId="14CA3413" w14:textId="77777777" w:rsidR="006809C8" w:rsidRPr="00AF4C22" w:rsidRDefault="006809C8"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eastAsia="es-MX"/>
        </w:rPr>
      </w:pPr>
    </w:p>
    <w:p w14:paraId="16188E18" w14:textId="56D8DBD5" w:rsidR="00D75239" w:rsidRPr="00AF4C22" w:rsidRDefault="0062449E"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eastAsia="es-MX"/>
        </w:rPr>
      </w:pPr>
      <w:r w:rsidRPr="00AF4C22">
        <w:rPr>
          <w:rFonts w:ascii="Times New Roman" w:eastAsia="Calibri" w:hAnsi="Times New Roman"/>
          <w:szCs w:val="22"/>
          <w:lang w:eastAsia="es-MX"/>
        </w:rPr>
        <w:t xml:space="preserve">ACOGIENDO CON BENEPLÁCITO </w:t>
      </w:r>
      <w:r w:rsidR="00D75239" w:rsidRPr="00AF4C22">
        <w:rPr>
          <w:rFonts w:ascii="Times New Roman" w:eastAsia="Calibri" w:hAnsi="Times New Roman"/>
          <w:szCs w:val="22"/>
          <w:lang w:eastAsia="es-MX"/>
        </w:rPr>
        <w:t xml:space="preserve">la Primera Reunión Interamericana sobre la Implementación de la Declaración Americana sobre los Derechos de los Pueblos Indígenas -DADIN-, que contó con las máximas autoridades encargadas de las políticas para los </w:t>
      </w:r>
      <w:r w:rsidR="004E4DDB" w:rsidRPr="00AF4C22">
        <w:rPr>
          <w:rFonts w:ascii="Times New Roman" w:eastAsia="Calibri" w:hAnsi="Times New Roman"/>
          <w:color w:val="2E74B5" w:themeColor="accent5" w:themeShade="BF"/>
          <w:szCs w:val="22"/>
          <w:lang w:eastAsia="es-MX"/>
        </w:rPr>
        <w:t xml:space="preserve"> </w:t>
      </w:r>
      <w:r w:rsidR="004E4DDB" w:rsidRPr="00AF4C22">
        <w:rPr>
          <w:rFonts w:ascii="Times New Roman" w:eastAsia="Calibri" w:hAnsi="Times New Roman"/>
          <w:szCs w:val="22"/>
          <w:lang w:eastAsia="es-MX"/>
        </w:rPr>
        <w:t>P</w:t>
      </w:r>
      <w:r w:rsidR="00D75239" w:rsidRPr="00AF4C22">
        <w:rPr>
          <w:rFonts w:ascii="Times New Roman" w:eastAsia="Calibri" w:hAnsi="Times New Roman"/>
          <w:szCs w:val="22"/>
          <w:lang w:eastAsia="es-MX"/>
        </w:rPr>
        <w:t xml:space="preserve">ueblos </w:t>
      </w:r>
      <w:r w:rsidR="004E4DDB" w:rsidRPr="00AF4C22">
        <w:rPr>
          <w:rFonts w:ascii="Times New Roman" w:eastAsia="Calibri" w:hAnsi="Times New Roman"/>
          <w:szCs w:val="22"/>
          <w:lang w:eastAsia="es-MX"/>
        </w:rPr>
        <w:t>I</w:t>
      </w:r>
      <w:r w:rsidR="00D75239" w:rsidRPr="00AF4C22">
        <w:rPr>
          <w:rFonts w:ascii="Times New Roman" w:eastAsia="Calibri" w:hAnsi="Times New Roman"/>
          <w:szCs w:val="22"/>
          <w:lang w:eastAsia="es-MX"/>
        </w:rPr>
        <w:t xml:space="preserve">ndígenas y representantes de los </w:t>
      </w:r>
      <w:r w:rsidR="004E4DDB" w:rsidRPr="00AF4C22">
        <w:rPr>
          <w:rFonts w:ascii="Times New Roman" w:eastAsia="Calibri" w:hAnsi="Times New Roman"/>
          <w:szCs w:val="22"/>
          <w:lang w:eastAsia="es-MX"/>
        </w:rPr>
        <w:t>Pueblos Indígenas</w:t>
      </w:r>
      <w:r w:rsidR="00D75239" w:rsidRPr="00AF4C22">
        <w:rPr>
          <w:rFonts w:ascii="Times New Roman" w:eastAsia="Calibri" w:hAnsi="Times New Roman"/>
          <w:szCs w:val="22"/>
          <w:lang w:eastAsia="es-MX"/>
        </w:rPr>
        <w:t>, del 20 al 22 de marzo de 2023, en la ciudad de Antigua, Guatemala del cual emanó el Documento de Consenso sobre la creación del Grupo de Trabajo para la implementación del Plan de Acción de dicha Declaración.</w:t>
      </w:r>
      <w:r w:rsidR="00B37FF3" w:rsidRPr="00AF4C22">
        <w:rPr>
          <w:rFonts w:ascii="Times New Roman" w:hAnsi="Times New Roman"/>
          <w:szCs w:val="22"/>
        </w:rPr>
        <w:t xml:space="preserve"> </w:t>
      </w:r>
    </w:p>
    <w:p w14:paraId="48B5BAB4" w14:textId="68BBE4FE" w:rsidR="00D75239" w:rsidRPr="00AF4C22" w:rsidRDefault="00D7523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es-MX"/>
        </w:rPr>
      </w:pPr>
      <w:r w:rsidRPr="00AF4C22">
        <w:rPr>
          <w:rFonts w:ascii="Times New Roman" w:eastAsia="Calibri" w:hAnsi="Times New Roman"/>
          <w:szCs w:val="22"/>
          <w:lang w:eastAsia="es-MX"/>
        </w:rPr>
        <w:t>RESUELVE:</w:t>
      </w:r>
    </w:p>
    <w:p w14:paraId="7EC87556" w14:textId="77777777" w:rsidR="00D75239" w:rsidRPr="00AF4C22" w:rsidRDefault="00D7523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eastAsia="es-MX"/>
        </w:rPr>
      </w:pPr>
    </w:p>
    <w:p w14:paraId="6B4A5E4C" w14:textId="2E264851" w:rsidR="00D75239" w:rsidRPr="00AF4C22" w:rsidRDefault="006A41D4" w:rsidP="00AF4C22">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eastAsia="es-MX"/>
        </w:rPr>
      </w:pPr>
      <w:r w:rsidRPr="00AF4C22">
        <w:rPr>
          <w:rFonts w:ascii="Times New Roman" w:eastAsia="Calibri" w:hAnsi="Times New Roman"/>
          <w:szCs w:val="22"/>
          <w:lang w:eastAsia="es-MX"/>
        </w:rPr>
        <w:t xml:space="preserve">Establecer </w:t>
      </w:r>
      <w:r w:rsidR="00D75239" w:rsidRPr="00AF4C22">
        <w:rPr>
          <w:rFonts w:ascii="Times New Roman" w:eastAsia="Calibri" w:hAnsi="Times New Roman"/>
          <w:szCs w:val="22"/>
          <w:lang w:eastAsia="es-MX"/>
        </w:rPr>
        <w:t xml:space="preserve">el Grupo de Trabajo de Seguimiento a la Implementación de la Declaración Americana sobre los Derechos de los Pueblos Indígenas -DADIN-, de conformidad con el Documento de Consenso sobre la creación del Grupo de Trabajo para la implementación del Plan de Acción de dicha Declaración acordado durante la Primera Reunión Interamericana sobre la Implementación de la DADIN, que contó con las máximas autoridades encargadas de las políticas para los </w:t>
      </w:r>
      <w:r w:rsidR="004E4DDB" w:rsidRPr="00AF4C22">
        <w:rPr>
          <w:rFonts w:ascii="Times New Roman" w:eastAsia="Calibri" w:hAnsi="Times New Roman"/>
          <w:szCs w:val="22"/>
          <w:lang w:eastAsia="es-MX"/>
        </w:rPr>
        <w:t xml:space="preserve"> Pueblos Indígenas </w:t>
      </w:r>
      <w:r w:rsidR="00D75239" w:rsidRPr="00AF4C22">
        <w:rPr>
          <w:rFonts w:ascii="Times New Roman" w:eastAsia="Calibri" w:hAnsi="Times New Roman"/>
          <w:szCs w:val="22"/>
          <w:lang w:eastAsia="es-MX"/>
        </w:rPr>
        <w:t xml:space="preserve">y representantes de los </w:t>
      </w:r>
      <w:r w:rsidR="004E4DDB" w:rsidRPr="00AF4C22">
        <w:rPr>
          <w:rFonts w:ascii="Times New Roman" w:eastAsia="Calibri" w:hAnsi="Times New Roman"/>
          <w:szCs w:val="22"/>
          <w:lang w:eastAsia="es-MX"/>
        </w:rPr>
        <w:t xml:space="preserve"> Pueblos Indígenas</w:t>
      </w:r>
      <w:r w:rsidR="00D75239" w:rsidRPr="00AF4C22">
        <w:rPr>
          <w:rFonts w:ascii="Times New Roman" w:eastAsia="Calibri" w:hAnsi="Times New Roman"/>
          <w:szCs w:val="22"/>
          <w:lang w:eastAsia="es-MX"/>
        </w:rPr>
        <w:t>, del 20 al 22 de marzo de 2023, en la ciudad de Antigua, Guatemala.</w:t>
      </w:r>
      <w:r w:rsidR="000C7BC1" w:rsidRPr="00AF4C22">
        <w:rPr>
          <w:rFonts w:ascii="Times New Roman" w:hAnsi="Times New Roman"/>
          <w:szCs w:val="22"/>
        </w:rPr>
        <w:t xml:space="preserve"> </w:t>
      </w:r>
    </w:p>
    <w:p w14:paraId="4F69EFED" w14:textId="77777777" w:rsidR="00AF4C22" w:rsidRPr="00AF4C22" w:rsidRDefault="00AF4C22"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eastAsia="es-MX"/>
        </w:rPr>
      </w:pPr>
    </w:p>
    <w:p w14:paraId="57E8894B" w14:textId="0DB11083" w:rsidR="00D75239" w:rsidRPr="00AF4C22" w:rsidRDefault="006A41D4" w:rsidP="00AF4C22">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eastAsia="es-MX"/>
        </w:rPr>
      </w:pPr>
      <w:r w:rsidRPr="00AF4C22">
        <w:rPr>
          <w:rFonts w:ascii="Times New Roman" w:eastAsia="Calibri" w:hAnsi="Times New Roman"/>
          <w:szCs w:val="22"/>
          <w:lang w:eastAsia="es-MX"/>
        </w:rPr>
        <w:t xml:space="preserve">Instar </w:t>
      </w:r>
      <w:r w:rsidR="00D75239" w:rsidRPr="00AF4C22">
        <w:rPr>
          <w:rFonts w:ascii="Times New Roman" w:eastAsia="Calibri" w:hAnsi="Times New Roman"/>
          <w:szCs w:val="22"/>
          <w:lang w:eastAsia="es-MX"/>
        </w:rPr>
        <w:t xml:space="preserve">a los Estados </w:t>
      </w:r>
      <w:r w:rsidR="005A60E9" w:rsidRPr="00AF4C22">
        <w:rPr>
          <w:rFonts w:ascii="Times New Roman" w:eastAsia="Calibri" w:hAnsi="Times New Roman"/>
          <w:szCs w:val="22"/>
          <w:lang w:eastAsia="es-MX"/>
        </w:rPr>
        <w:t>que se han sumado al co</w:t>
      </w:r>
      <w:r w:rsidR="00285D10" w:rsidRPr="00AF4C22">
        <w:rPr>
          <w:rFonts w:ascii="Times New Roman" w:eastAsia="Calibri" w:hAnsi="Times New Roman"/>
          <w:szCs w:val="22"/>
          <w:lang w:eastAsia="es-MX"/>
        </w:rPr>
        <w:t xml:space="preserve">nsenso de la adopción de la </w:t>
      </w:r>
      <w:r w:rsidR="00D75239" w:rsidRPr="00AF4C22">
        <w:rPr>
          <w:rFonts w:ascii="Times New Roman" w:eastAsia="Calibri" w:hAnsi="Times New Roman"/>
          <w:szCs w:val="22"/>
          <w:lang w:eastAsia="es-MX"/>
        </w:rPr>
        <w:t xml:space="preserve">DADIN a presentar candidaturas de expertos al más alto nivel, y </w:t>
      </w:r>
      <w:r w:rsidR="006809C8" w:rsidRPr="00AF4C22">
        <w:rPr>
          <w:rFonts w:ascii="Times New Roman" w:eastAsia="Calibri" w:hAnsi="Times New Roman"/>
          <w:szCs w:val="22"/>
          <w:lang w:eastAsia="es-MX"/>
        </w:rPr>
        <w:t>encomendar</w:t>
      </w:r>
      <w:r w:rsidR="00D75239" w:rsidRPr="00AF4C22">
        <w:rPr>
          <w:rFonts w:ascii="Times New Roman" w:eastAsia="Calibri" w:hAnsi="Times New Roman"/>
          <w:szCs w:val="22"/>
          <w:lang w:eastAsia="es-MX"/>
        </w:rPr>
        <w:t xml:space="preserve"> a la Secretaría de Acceso a Derechos y Equidad a convocar a la presentación de candidaturas de las organizaciones legítimas de los </w:t>
      </w:r>
      <w:r w:rsidR="004E4DDB" w:rsidRPr="00AF4C22">
        <w:rPr>
          <w:rFonts w:ascii="Times New Roman" w:eastAsia="Calibri" w:hAnsi="Times New Roman"/>
          <w:szCs w:val="22"/>
          <w:lang w:eastAsia="es-MX"/>
        </w:rPr>
        <w:t>Pueblos Indígenas</w:t>
      </w:r>
      <w:r w:rsidR="00D75239" w:rsidRPr="00AF4C22">
        <w:rPr>
          <w:rFonts w:ascii="Times New Roman" w:eastAsia="Calibri" w:hAnsi="Times New Roman"/>
          <w:szCs w:val="22"/>
          <w:lang w:eastAsia="es-MX"/>
        </w:rPr>
        <w:t xml:space="preserve">, con la finalidad de realizar la elección y nombramientos respectivos para integrar, en observancia de los criterios de representación geográfica y cultural, igualdad de género, representación intergeneracional y pertenencia a </w:t>
      </w:r>
      <w:r w:rsidR="004E4DDB" w:rsidRPr="00AF4C22">
        <w:rPr>
          <w:rFonts w:ascii="Times New Roman" w:eastAsia="Calibri" w:hAnsi="Times New Roman"/>
          <w:szCs w:val="22"/>
          <w:lang w:eastAsia="es-MX"/>
        </w:rPr>
        <w:t>Pueblos Indígenas</w:t>
      </w:r>
      <w:r w:rsidR="00D75239" w:rsidRPr="00AF4C22">
        <w:rPr>
          <w:rFonts w:ascii="Times New Roman" w:eastAsia="Calibri" w:hAnsi="Times New Roman"/>
          <w:szCs w:val="22"/>
          <w:lang w:eastAsia="es-MX"/>
        </w:rPr>
        <w:t>, el Grupo de Trabajo referido; e INVITAR a los Estados que aún no lo han hecho, a considerar sumarse a la DADIN.</w:t>
      </w:r>
      <w:r w:rsidR="000C7BC1" w:rsidRPr="00AF4C22">
        <w:rPr>
          <w:rFonts w:ascii="Times New Roman" w:hAnsi="Times New Roman"/>
          <w:szCs w:val="22"/>
        </w:rPr>
        <w:t xml:space="preserve"> </w:t>
      </w:r>
    </w:p>
    <w:p w14:paraId="0EE7DAF7" w14:textId="77777777" w:rsidR="00D75239" w:rsidRPr="00AF4C22" w:rsidRDefault="00D7523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eastAsia="es-MX"/>
        </w:rPr>
      </w:pPr>
    </w:p>
    <w:p w14:paraId="6FC7EB9A" w14:textId="5CD33732" w:rsidR="00D75239" w:rsidRPr="00AF4C22" w:rsidRDefault="006A41D4" w:rsidP="00AF4C22">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eastAsia="es-MX"/>
        </w:rPr>
      </w:pPr>
      <w:r w:rsidRPr="00AF4C22">
        <w:rPr>
          <w:rFonts w:ascii="Times New Roman" w:eastAsia="Calibri" w:hAnsi="Times New Roman"/>
          <w:szCs w:val="22"/>
          <w:lang w:eastAsia="es-MX"/>
        </w:rPr>
        <w:t xml:space="preserve">Invitar </w:t>
      </w:r>
      <w:r w:rsidR="00D75239" w:rsidRPr="00AF4C22">
        <w:rPr>
          <w:rFonts w:ascii="Times New Roman" w:eastAsia="Calibri" w:hAnsi="Times New Roman"/>
          <w:szCs w:val="22"/>
          <w:lang w:eastAsia="es-MX"/>
        </w:rPr>
        <w:t xml:space="preserve">a todos los Estados Miembros, observadores permanentes, así como a otros donantes, a que contribuyan al Fondo voluntario de contribuciones específicas para la implementación de la Declaración Americana sobre los Derechos de los Pueblos Indígenas y del Plan de Acción sobre la Declaración Americana sobre los Derechos de los Pueblos Indígenas (2022-2026). </w:t>
      </w:r>
    </w:p>
    <w:p w14:paraId="37C30F12" w14:textId="77777777" w:rsidR="00C21DFF" w:rsidRPr="00AF4C22" w:rsidRDefault="00C21DFF"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MX"/>
        </w:rPr>
      </w:pPr>
    </w:p>
    <w:p w14:paraId="014F0524" w14:textId="2DF96F8D" w:rsidR="00D75239" w:rsidRPr="00AF4C22" w:rsidRDefault="006A41D4" w:rsidP="00AF4C22">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eastAsia="es-MX"/>
        </w:rPr>
      </w:pPr>
      <w:r w:rsidRPr="00AF4C22">
        <w:rPr>
          <w:rFonts w:ascii="Times New Roman" w:eastAsia="Calibri" w:hAnsi="Times New Roman"/>
          <w:szCs w:val="22"/>
          <w:lang w:eastAsia="es-MX"/>
        </w:rPr>
        <w:t xml:space="preserve">Instar </w:t>
      </w:r>
      <w:r w:rsidR="00D75239" w:rsidRPr="00AF4C22">
        <w:rPr>
          <w:rFonts w:ascii="Times New Roman" w:eastAsia="Calibri" w:hAnsi="Times New Roman"/>
          <w:szCs w:val="22"/>
          <w:lang w:eastAsia="es-MX"/>
        </w:rPr>
        <w:t xml:space="preserve">a la Secretaría General a promover la transparencia financiera y la rendición de cuentas del Grupo de Trabajo, mediante la presentación ante el Consejo Permanente de un presupuesto anual y de un informe del ejercicio del gasto al final de cada periodo, especificando los montos requeridos, las fuentes de financiamiento obtenidas por dicho Grupo y el ejercicio de recursos para cubrir al personal de apoyo técnico, los costos de reuniones virtuales y presenciales; las traducciones de los documentos e interpretaciones; la Plataforma Interamericana sobre la Implementación de la DADIN; y cualquier otro aspecto relevante. </w:t>
      </w:r>
    </w:p>
    <w:p w14:paraId="70DE2DA9" w14:textId="77777777" w:rsidR="001E2667" w:rsidRPr="00F0080B" w:rsidRDefault="001E2667" w:rsidP="00AF4C22">
      <w:pPr>
        <w:pStyle w:val="ListParagraph"/>
        <w:rPr>
          <w:rFonts w:eastAsia="Calibri"/>
          <w:sz w:val="22"/>
          <w:szCs w:val="22"/>
          <w:lang w:val="es-AR" w:eastAsia="es-MX"/>
        </w:rPr>
      </w:pPr>
    </w:p>
    <w:p w14:paraId="231B7EDA" w14:textId="77777777" w:rsidR="001E2667" w:rsidRPr="00AF4C22" w:rsidRDefault="001E2667"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eastAsia="es-MX"/>
        </w:rPr>
      </w:pPr>
    </w:p>
    <w:p w14:paraId="448ABEA2" w14:textId="0F4C3CA1" w:rsidR="00047667" w:rsidRPr="00AF4C22" w:rsidRDefault="001C42E4" w:rsidP="00AF4C22">
      <w:pPr>
        <w:pStyle w:val="ListParagraph"/>
        <w:numPr>
          <w:ilvl w:val="0"/>
          <w:numId w:val="19"/>
        </w:numPr>
        <w:ind w:left="540" w:firstLine="0"/>
        <w:jc w:val="both"/>
        <w:rPr>
          <w:sz w:val="22"/>
          <w:szCs w:val="22"/>
          <w:lang w:val="es-US"/>
        </w:rPr>
      </w:pPr>
      <w:r w:rsidRPr="00AF4C22">
        <w:rPr>
          <w:sz w:val="22"/>
          <w:szCs w:val="22"/>
          <w:lang w:val="es-US"/>
        </w:rPr>
        <w:t xml:space="preserve"> </w:t>
      </w:r>
      <w:r w:rsidR="00047667" w:rsidRPr="00AF4C22">
        <w:rPr>
          <w:sz w:val="22"/>
          <w:szCs w:val="22"/>
          <w:lang w:val="es-US"/>
        </w:rPr>
        <w:t xml:space="preserve">LA PROTECCIÓN DEL CONSUMIDOR EN LAS AMÉRICAS </w:t>
      </w:r>
    </w:p>
    <w:p w14:paraId="067CA2D0" w14:textId="77777777" w:rsidR="00D75239" w:rsidRPr="00AF4C22" w:rsidRDefault="00D75239" w:rsidP="00AF4C22">
      <w:pPr>
        <w:ind w:left="360"/>
        <w:jc w:val="center"/>
        <w:rPr>
          <w:rFonts w:ascii="Times New Roman" w:hAnsi="Times New Roman"/>
          <w:szCs w:val="22"/>
          <w:shd w:val="clear" w:color="auto" w:fill="FFFFFF"/>
          <w:lang w:val="es-CO"/>
        </w:rPr>
      </w:pPr>
    </w:p>
    <w:p w14:paraId="767EBEBB" w14:textId="55394DC3" w:rsidR="00D75239" w:rsidRPr="00AF4C22" w:rsidRDefault="00D75239" w:rsidP="00AF4C22">
      <w:pPr>
        <w:widowControl/>
        <w:ind w:left="86" w:firstLine="634"/>
        <w:rPr>
          <w:rFonts w:ascii="Times New Roman" w:hAnsi="Times New Roman"/>
          <w:szCs w:val="22"/>
          <w:shd w:val="clear" w:color="auto" w:fill="FFFFFF"/>
          <w:lang w:val="es-CO"/>
        </w:rPr>
      </w:pPr>
      <w:r w:rsidRPr="00AF4C22">
        <w:rPr>
          <w:rFonts w:ascii="Times New Roman" w:hAnsi="Times New Roman"/>
          <w:szCs w:val="22"/>
          <w:shd w:val="clear" w:color="auto" w:fill="FFFFFF"/>
          <w:lang w:val="es-CO"/>
        </w:rPr>
        <w:t>Invitar a los no miembros a que se sumen a la Red de Consumo Seguro y Salud de la OEA (RCSS) e instar a los Estados miembros de la RCSS y Estados observadores a contribuir al fondo voluntario para garantizar la sostenibilidad de los trabajos de la RCSS.</w:t>
      </w:r>
      <w:r w:rsidR="004248C1" w:rsidRPr="00AF4C22">
        <w:rPr>
          <w:rFonts w:ascii="Times New Roman" w:hAnsi="Times New Roman"/>
          <w:szCs w:val="22"/>
        </w:rPr>
        <w:t xml:space="preserve"> </w:t>
      </w:r>
    </w:p>
    <w:p w14:paraId="3C867DE7" w14:textId="1E5C4F0F" w:rsidR="00CE6BA7" w:rsidRDefault="00CE6BA7"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US" w:eastAsia="en-US"/>
        </w:rPr>
      </w:pPr>
    </w:p>
    <w:p w14:paraId="228229AC" w14:textId="77777777" w:rsidR="00F0080B" w:rsidRPr="00AF4C22" w:rsidRDefault="00F0080B"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US" w:eastAsia="en-US"/>
        </w:rPr>
      </w:pPr>
    </w:p>
    <w:p w14:paraId="537E3381" w14:textId="12690E01" w:rsidR="00150931" w:rsidRPr="00AF4C22" w:rsidRDefault="00150931" w:rsidP="00AF4C22">
      <w:pPr>
        <w:pStyle w:val="ListParagraph"/>
        <w:numPr>
          <w:ilvl w:val="0"/>
          <w:numId w:val="19"/>
        </w:numPr>
        <w:ind w:left="540" w:firstLine="0"/>
        <w:jc w:val="both"/>
        <w:rPr>
          <w:rFonts w:eastAsia="Calibri"/>
          <w:bCs/>
          <w:sz w:val="22"/>
          <w:szCs w:val="22"/>
          <w:lang w:val="es-CO"/>
        </w:rPr>
      </w:pPr>
      <w:r w:rsidRPr="00AF4C22">
        <w:rPr>
          <w:rFonts w:eastAsia="Calibri"/>
          <w:sz w:val="22"/>
          <w:szCs w:val="22"/>
          <w:lang w:val="es-US"/>
        </w:rPr>
        <w:t>OBSERVACIONES Y RECOMENDACIONES A LOS INFORMES ANUALES 2022 DE LA COMISIÓN INTERAMERICANA DE DERECHOS HUMANOS Y DE LA CORTE INTERAMERICANA DE DERECHOS HUMANOS</w:t>
      </w:r>
    </w:p>
    <w:p w14:paraId="68373A70" w14:textId="77777777" w:rsidR="00150931" w:rsidRPr="00AF4C22" w:rsidRDefault="00150931" w:rsidP="00AF4C22">
      <w:pPr>
        <w:pStyle w:val="ListParagraph"/>
        <w:ind w:left="540"/>
        <w:jc w:val="both"/>
        <w:rPr>
          <w:rFonts w:eastAsia="Calibri"/>
          <w:bCs/>
          <w:sz w:val="22"/>
          <w:szCs w:val="22"/>
          <w:lang w:val="es-CO"/>
        </w:rPr>
      </w:pPr>
    </w:p>
    <w:p w14:paraId="0AE32B8A" w14:textId="0974FDBF" w:rsidR="00150931" w:rsidRPr="00AF4C22" w:rsidRDefault="00150931" w:rsidP="00AF4C22">
      <w:pPr>
        <w:rPr>
          <w:rFonts w:ascii="Times New Roman" w:eastAsia="Calibri" w:hAnsi="Times New Roman"/>
          <w:bCs/>
          <w:szCs w:val="22"/>
          <w:lang w:val="es-CO"/>
        </w:rPr>
      </w:pPr>
      <w:r w:rsidRPr="00AF4C22">
        <w:rPr>
          <w:rFonts w:ascii="Times New Roman" w:eastAsia="Calibri" w:hAnsi="Times New Roman"/>
          <w:bCs/>
          <w:szCs w:val="22"/>
          <w:lang w:val="es-CO"/>
        </w:rPr>
        <w:t>RESUELVE:</w:t>
      </w:r>
    </w:p>
    <w:p w14:paraId="480A0062" w14:textId="77777777" w:rsidR="00150931" w:rsidRPr="00AF4C22" w:rsidRDefault="00150931"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n-US"/>
        </w:rPr>
      </w:pPr>
    </w:p>
    <w:p w14:paraId="42BD92BB" w14:textId="4F47011A" w:rsidR="00150931" w:rsidRPr="00AF4C22" w:rsidRDefault="00150931"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n-US"/>
        </w:rPr>
      </w:pPr>
      <w:r w:rsidRPr="00AF4C22">
        <w:rPr>
          <w:rFonts w:ascii="Times New Roman" w:eastAsia="Calibri" w:hAnsi="Times New Roman"/>
          <w:szCs w:val="22"/>
          <w:lang w:eastAsia="en-US"/>
        </w:rPr>
        <w:t>1.</w:t>
      </w:r>
      <w:r w:rsidRPr="00AF4C22">
        <w:rPr>
          <w:rFonts w:ascii="Times New Roman" w:eastAsia="Calibri" w:hAnsi="Times New Roman"/>
          <w:szCs w:val="22"/>
          <w:lang w:eastAsia="en-US"/>
        </w:rPr>
        <w:tab/>
        <w:t>Reafirmar el compromiso de los Estados Miembros con el sistema interamericano de protección de derechos humanos.</w:t>
      </w:r>
      <w:r w:rsidR="00F07F07" w:rsidRPr="00AF4C22">
        <w:rPr>
          <w:rFonts w:ascii="Times New Roman" w:eastAsia="Calibri" w:hAnsi="Times New Roman"/>
          <w:szCs w:val="22"/>
          <w:lang w:eastAsia="en-US"/>
        </w:rPr>
        <w:t xml:space="preserve"> </w:t>
      </w:r>
    </w:p>
    <w:p w14:paraId="7DB2F5AF" w14:textId="77777777" w:rsidR="00150931" w:rsidRPr="00AF4C22" w:rsidRDefault="00150931"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n-US"/>
        </w:rPr>
      </w:pPr>
    </w:p>
    <w:p w14:paraId="55882E0A" w14:textId="5603EE31" w:rsidR="00150931" w:rsidRPr="00AF4C22" w:rsidRDefault="00150931"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n-US"/>
        </w:rPr>
      </w:pPr>
      <w:r w:rsidRPr="00AF4C22">
        <w:rPr>
          <w:rFonts w:ascii="Times New Roman" w:eastAsia="Calibri" w:hAnsi="Times New Roman"/>
          <w:szCs w:val="22"/>
          <w:lang w:eastAsia="en-US"/>
        </w:rPr>
        <w:lastRenderedPageBreak/>
        <w:t>2.</w:t>
      </w:r>
      <w:r w:rsidRPr="00AF4C22">
        <w:rPr>
          <w:rFonts w:ascii="Times New Roman" w:eastAsia="Calibri" w:hAnsi="Times New Roman"/>
          <w:szCs w:val="22"/>
          <w:lang w:eastAsia="en-US"/>
        </w:rPr>
        <w:tab/>
        <w:t>Instar a los Estados Miembros que aún no lo han hecho, a que consideren firmar, ratificar o adherirse a todos los instrumentos interamericanos de derechos humanos, en particular la Convención Americana sobre Derechos Humanos</w:t>
      </w:r>
      <w:r w:rsidR="00AF4C22">
        <w:rPr>
          <w:rFonts w:ascii="Times New Roman" w:eastAsia="Calibri" w:hAnsi="Times New Roman"/>
          <w:szCs w:val="22"/>
          <w:lang w:eastAsia="en-US"/>
        </w:rPr>
        <w:t>.</w:t>
      </w:r>
      <w:r w:rsidR="00F07F07" w:rsidRPr="00AF4C22">
        <w:rPr>
          <w:rFonts w:ascii="Times New Roman" w:eastAsia="Calibri" w:hAnsi="Times New Roman"/>
          <w:szCs w:val="22"/>
          <w:lang w:eastAsia="en-US"/>
        </w:rPr>
        <w:t xml:space="preserve"> </w:t>
      </w:r>
    </w:p>
    <w:p w14:paraId="645B0C06" w14:textId="77777777" w:rsidR="00150931" w:rsidRPr="00AF4C22" w:rsidRDefault="00150931"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n-US"/>
        </w:rPr>
      </w:pPr>
    </w:p>
    <w:p w14:paraId="13E92C95" w14:textId="6FD5A756" w:rsidR="00150931" w:rsidRPr="00AF4C22" w:rsidRDefault="00150931"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n-US"/>
        </w:rPr>
      </w:pPr>
      <w:r w:rsidRPr="00AF4C22">
        <w:rPr>
          <w:rFonts w:ascii="Times New Roman" w:eastAsia="Calibri" w:hAnsi="Times New Roman"/>
          <w:szCs w:val="22"/>
          <w:lang w:eastAsia="en-US"/>
        </w:rPr>
        <w:t>3.</w:t>
      </w:r>
      <w:r w:rsidRPr="00AF4C22">
        <w:rPr>
          <w:rFonts w:ascii="Times New Roman" w:eastAsia="Calibri" w:hAnsi="Times New Roman"/>
          <w:szCs w:val="22"/>
          <w:lang w:eastAsia="en-US"/>
        </w:rPr>
        <w:tab/>
        <w:t>Reafirmar la importancia de que el presupuesto de la Organización mantenga una asignación financiera sostenible que permita a la CIDH y la Corte Interamericana de Derechos Humanos cumplir todos sus mandatos y continuar con su trabajo.</w:t>
      </w:r>
      <w:r w:rsidR="00F07F07" w:rsidRPr="00AF4C22">
        <w:rPr>
          <w:rFonts w:ascii="Times New Roman" w:eastAsia="Calibri" w:hAnsi="Times New Roman"/>
          <w:szCs w:val="22"/>
          <w:lang w:eastAsia="en-US"/>
        </w:rPr>
        <w:t xml:space="preserve"> </w:t>
      </w:r>
    </w:p>
    <w:p w14:paraId="28BA6F04" w14:textId="77777777" w:rsidR="00393F69" w:rsidRPr="00AF4C22" w:rsidRDefault="00393F6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en-US"/>
        </w:rPr>
      </w:pPr>
    </w:p>
    <w:p w14:paraId="379F42A2" w14:textId="77777777" w:rsidR="00393F69" w:rsidRPr="00AF4C22" w:rsidRDefault="00393F6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en-US"/>
        </w:rPr>
      </w:pPr>
    </w:p>
    <w:p w14:paraId="0B4DCCE9" w14:textId="706254C2" w:rsidR="00393F69" w:rsidRPr="00AF4C22" w:rsidRDefault="00393F69" w:rsidP="00AF4C22">
      <w:pPr>
        <w:pStyle w:val="ListParagraph"/>
        <w:numPr>
          <w:ilvl w:val="0"/>
          <w:numId w:val="19"/>
        </w:numPr>
        <w:ind w:left="540" w:firstLine="0"/>
        <w:jc w:val="both"/>
        <w:rPr>
          <w:rFonts w:eastAsia="Calibri"/>
          <w:sz w:val="22"/>
          <w:szCs w:val="22"/>
          <w:lang w:val="es-US"/>
        </w:rPr>
      </w:pPr>
      <w:r w:rsidRPr="00AF4C22">
        <w:rPr>
          <w:rFonts w:eastAsia="Calibri"/>
          <w:sz w:val="22"/>
          <w:szCs w:val="22"/>
          <w:lang w:val="es-US"/>
        </w:rPr>
        <w:t xml:space="preserve">  SITUACIÓN DE LAS PERSONAS AFRODESCENDIENTES EN EL HEMISFERIO Y RACISMO </w:t>
      </w:r>
      <w:r w:rsidR="00F86637" w:rsidRPr="00AF4C22">
        <w:rPr>
          <w:rFonts w:eastAsia="Calibri"/>
          <w:b/>
          <w:bCs/>
          <w:sz w:val="22"/>
          <w:szCs w:val="22"/>
          <w:lang w:val="es-US"/>
        </w:rPr>
        <w:t>(</w:t>
      </w:r>
      <w:r w:rsidR="00F86637" w:rsidRPr="00AF4C22">
        <w:rPr>
          <w:rFonts w:eastAsia="Calibri"/>
          <w:b/>
          <w:bCs/>
          <w:sz w:val="22"/>
          <w:szCs w:val="22"/>
          <w:highlight w:val="lightGray"/>
          <w:lang w:val="es-US"/>
        </w:rPr>
        <w:t xml:space="preserve">EEUU: </w:t>
      </w:r>
      <w:r w:rsidR="00DD1524" w:rsidRPr="00AF4C22">
        <w:rPr>
          <w:rFonts w:eastAsia="Calibri"/>
          <w:b/>
          <w:bCs/>
          <w:sz w:val="22"/>
          <w:szCs w:val="22"/>
          <w:highlight w:val="lightGray"/>
          <w:lang w:val="es-US"/>
        </w:rPr>
        <w:t>presentará</w:t>
      </w:r>
      <w:r w:rsidR="00F86637" w:rsidRPr="00AF4C22">
        <w:rPr>
          <w:rFonts w:eastAsia="Calibri"/>
          <w:b/>
          <w:bCs/>
          <w:sz w:val="22"/>
          <w:szCs w:val="22"/>
          <w:highlight w:val="lightGray"/>
          <w:lang w:val="es-US"/>
        </w:rPr>
        <w:t xml:space="preserve"> nota de pie de </w:t>
      </w:r>
      <w:r w:rsidR="00CA3F30" w:rsidRPr="00AF4C22">
        <w:rPr>
          <w:rFonts w:eastAsia="Calibri"/>
          <w:b/>
          <w:bCs/>
          <w:sz w:val="22"/>
          <w:szCs w:val="22"/>
          <w:highlight w:val="lightGray"/>
          <w:lang w:val="es-US"/>
        </w:rPr>
        <w:t>página</w:t>
      </w:r>
      <w:r w:rsidR="00DD1524" w:rsidRPr="00AF4C22">
        <w:rPr>
          <w:rFonts w:eastAsia="Calibri"/>
          <w:b/>
          <w:bCs/>
          <w:sz w:val="22"/>
          <w:szCs w:val="22"/>
          <w:lang w:val="es-US"/>
        </w:rPr>
        <w:t>)</w:t>
      </w:r>
    </w:p>
    <w:p w14:paraId="45671F27" w14:textId="77777777" w:rsidR="007D5500" w:rsidRPr="00AF4C22" w:rsidRDefault="007D5500"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US" w:eastAsia="en-US"/>
        </w:rPr>
      </w:pPr>
    </w:p>
    <w:p w14:paraId="0E63A33C" w14:textId="77777777" w:rsidR="00393F69" w:rsidRPr="00AF4C22" w:rsidRDefault="00393F6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n-US"/>
        </w:rPr>
      </w:pPr>
      <w:r w:rsidRPr="00AF4C22">
        <w:rPr>
          <w:rFonts w:ascii="Times New Roman" w:eastAsia="Calibri" w:hAnsi="Times New Roman"/>
          <w:szCs w:val="22"/>
          <w:lang w:eastAsia="en-US"/>
        </w:rPr>
        <w:t>RESUELVE:</w:t>
      </w:r>
    </w:p>
    <w:p w14:paraId="4A383FA8" w14:textId="77777777" w:rsidR="00AA3554" w:rsidRPr="00AF4C22" w:rsidRDefault="00AA3554"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n-US"/>
        </w:rPr>
      </w:pPr>
    </w:p>
    <w:p w14:paraId="21E7C194" w14:textId="3F5220CF" w:rsidR="00393F69" w:rsidRDefault="00393F69" w:rsidP="00AF4C22">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b/>
          <w:bCs/>
          <w:szCs w:val="22"/>
          <w:lang w:eastAsia="en-US"/>
        </w:rPr>
      </w:pPr>
      <w:r w:rsidRPr="00AF4C22">
        <w:rPr>
          <w:rFonts w:ascii="Times New Roman" w:eastAsia="Calibri" w:hAnsi="Times New Roman"/>
          <w:szCs w:val="22"/>
          <w:lang w:eastAsia="en-US"/>
        </w:rPr>
        <w:t>Instar a los Estados Miembros a que continúen promoviendo los procesos de generación de datos estadísticos desagregados incorporando la perspectiva de género</w:t>
      </w:r>
      <w:r w:rsidR="006A71DA" w:rsidRPr="00AF4C22">
        <w:rPr>
          <w:rFonts w:ascii="Times New Roman" w:eastAsia="Calibri" w:hAnsi="Times New Roman"/>
          <w:szCs w:val="22"/>
          <w:lang w:eastAsia="en-US"/>
        </w:rPr>
        <w:t>,</w:t>
      </w:r>
      <w:r w:rsidR="00594DD8" w:rsidRPr="00AF4C22">
        <w:rPr>
          <w:rFonts w:ascii="Times New Roman" w:eastAsia="Calibri" w:hAnsi="Times New Roman"/>
          <w:szCs w:val="22"/>
          <w:lang w:eastAsia="en-US"/>
        </w:rPr>
        <w:t xml:space="preserve"> </w:t>
      </w:r>
      <w:r w:rsidR="006A71DA" w:rsidRPr="00AF4C22">
        <w:rPr>
          <w:rFonts w:ascii="Times New Roman" w:eastAsia="Calibri" w:hAnsi="Times New Roman"/>
          <w:szCs w:val="22"/>
          <w:lang w:eastAsia="en-US"/>
        </w:rPr>
        <w:t>etaria</w:t>
      </w:r>
      <w:r w:rsidRPr="00AF4C22">
        <w:rPr>
          <w:rFonts w:ascii="Times New Roman" w:eastAsia="Calibri" w:hAnsi="Times New Roman"/>
          <w:szCs w:val="22"/>
          <w:lang w:eastAsia="en-US"/>
        </w:rPr>
        <w:t xml:space="preserve">, y la dimensión de interseccionalidad  </w:t>
      </w:r>
      <w:r w:rsidR="00966E9F" w:rsidRPr="00AF4C22">
        <w:rPr>
          <w:rFonts w:ascii="Times New Roman" w:eastAsia="Calibri" w:hAnsi="Times New Roman"/>
          <w:szCs w:val="22"/>
          <w:lang w:eastAsia="en-US"/>
        </w:rPr>
        <w:t xml:space="preserve"> </w:t>
      </w:r>
      <w:r w:rsidRPr="00AF4C22">
        <w:rPr>
          <w:rFonts w:ascii="Times New Roman" w:eastAsia="Calibri" w:hAnsi="Times New Roman"/>
          <w:szCs w:val="22"/>
          <w:lang w:eastAsia="en-US"/>
        </w:rPr>
        <w:t>en la elaboración e implementación de políticas públicas focalizadas e integrales que atiendan las graves desigualdades en materia laboral, de salud, vivienda, acceso a la justicia y educación que afectan a las y los afrodescendientes, con el propósito de enfrentar las desigualdades conexas, y sistemáticas, así como las causas estructurales del racismo sistémico, teniendo presente, con incrementada atención, los desafíos económicos y sociales que se avizoran en el contexto de la postpandemia y la necesidad de garantizar condiciones de vida dignas, y promoviendo y respetando los principios de igualdad y no discriminación.</w:t>
      </w:r>
      <w:r w:rsidR="00202460" w:rsidRPr="00AF4C22">
        <w:rPr>
          <w:rFonts w:ascii="Times New Roman" w:hAnsi="Times New Roman"/>
          <w:szCs w:val="22"/>
        </w:rPr>
        <w:t xml:space="preserve"> </w:t>
      </w:r>
    </w:p>
    <w:p w14:paraId="6F9B9939" w14:textId="77777777" w:rsidR="00AF4C22" w:rsidRPr="00AF4C22" w:rsidRDefault="00AF4C22"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b/>
          <w:bCs/>
          <w:szCs w:val="22"/>
          <w:lang w:eastAsia="en-US"/>
        </w:rPr>
      </w:pPr>
    </w:p>
    <w:p w14:paraId="4AEAEF61" w14:textId="109C95F6" w:rsidR="004C3739" w:rsidRPr="00AF4C22" w:rsidRDefault="00393F69" w:rsidP="00AF4C22">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eastAsia="en-US"/>
        </w:rPr>
      </w:pPr>
      <w:r w:rsidRPr="00AF4C22">
        <w:rPr>
          <w:rFonts w:ascii="Times New Roman" w:eastAsia="Calibri" w:hAnsi="Times New Roman"/>
          <w:szCs w:val="22"/>
          <w:lang w:eastAsia="en-US"/>
        </w:rPr>
        <w:t xml:space="preserve">Realizar en el marco de la CAJP una sesión especial con participación de expertos regionales y de los Estados miembros sobre una cooperación regional más eficaz para avanzar en el reconocimiento, protección y promoción de los derechos de los pueblos afrodescendientes, </w:t>
      </w:r>
      <w:r w:rsidR="00843673" w:rsidRPr="00AF4C22">
        <w:rPr>
          <w:rFonts w:ascii="Times New Roman" w:eastAsia="Calibri" w:hAnsi="Times New Roman"/>
          <w:szCs w:val="22"/>
          <w:lang w:eastAsia="en-US"/>
        </w:rPr>
        <w:t xml:space="preserve">incluidas </w:t>
      </w:r>
      <w:r w:rsidR="002C4247" w:rsidRPr="00AF4C22">
        <w:rPr>
          <w:rFonts w:ascii="Times New Roman" w:eastAsia="Calibri" w:hAnsi="Times New Roman"/>
          <w:szCs w:val="22"/>
          <w:lang w:eastAsia="en-US"/>
        </w:rPr>
        <w:t>todas las mujeres y niñas afrodescendientes</w:t>
      </w:r>
      <w:r w:rsidRPr="00AF4C22">
        <w:rPr>
          <w:rFonts w:ascii="Times New Roman" w:eastAsia="Calibri" w:hAnsi="Times New Roman"/>
          <w:szCs w:val="22"/>
          <w:lang w:eastAsia="en-US"/>
        </w:rPr>
        <w:t xml:space="preserve">, </w:t>
      </w:r>
      <w:r w:rsidR="00C752FF" w:rsidRPr="00AF4C22">
        <w:rPr>
          <w:rFonts w:ascii="Times New Roman" w:eastAsia="Calibri" w:hAnsi="Times New Roman"/>
          <w:szCs w:val="22"/>
          <w:lang w:eastAsia="en-US"/>
        </w:rPr>
        <w:t xml:space="preserve">y particularmente </w:t>
      </w:r>
      <w:r w:rsidRPr="00AF4C22">
        <w:rPr>
          <w:rFonts w:ascii="Times New Roman" w:eastAsia="Calibri" w:hAnsi="Times New Roman"/>
          <w:szCs w:val="22"/>
          <w:lang w:eastAsia="en-US"/>
        </w:rPr>
        <w:t xml:space="preserve">la conveniencia de adoptar una Declaración sobre la promoción, la protección y el pleno respeto de los derechos humanos de los afrodescendientes en las Américas, que refrende el compromiso político de los Estados miembros con ocasión de la finalización del PLAN DE ACCIÓN DEL DECENIO DE LAS Y LOS AFRODESCENDIENTES EN LAS AMÉRICAS (2016-2025). </w:t>
      </w:r>
    </w:p>
    <w:p w14:paraId="7507B1E6" w14:textId="77777777" w:rsidR="00F0080B" w:rsidRDefault="00F0080B" w:rsidP="00AF4C22">
      <w:pPr>
        <w:tabs>
          <w:tab w:val="clear" w:pos="720"/>
        </w:tabs>
        <w:ind w:left="1170" w:hanging="1170"/>
        <w:rPr>
          <w:rFonts w:ascii="Times New Roman" w:eastAsia="Calibri" w:hAnsi="Times New Roman"/>
          <w:szCs w:val="22"/>
          <w:lang w:eastAsia="en-US"/>
        </w:rPr>
      </w:pPr>
    </w:p>
    <w:p w14:paraId="25FFE147" w14:textId="77777777" w:rsidR="00F0080B" w:rsidRDefault="00F0080B" w:rsidP="00AF4C22">
      <w:pPr>
        <w:tabs>
          <w:tab w:val="clear" w:pos="720"/>
        </w:tabs>
        <w:ind w:left="1170" w:hanging="1170"/>
        <w:rPr>
          <w:rFonts w:ascii="Times New Roman" w:eastAsia="Calibri" w:hAnsi="Times New Roman"/>
          <w:szCs w:val="22"/>
          <w:lang w:eastAsia="en-US"/>
        </w:rPr>
      </w:pPr>
    </w:p>
    <w:p w14:paraId="556253D0" w14:textId="4340BF83" w:rsidR="00044797" w:rsidRPr="00AF4C22" w:rsidRDefault="00332BE2" w:rsidP="00AF4C22">
      <w:pPr>
        <w:tabs>
          <w:tab w:val="clear" w:pos="720"/>
        </w:tabs>
        <w:ind w:left="1170" w:hanging="1170"/>
        <w:rPr>
          <w:rFonts w:ascii="Times New Roman" w:eastAsia="Times New Roman" w:hAnsi="Times New Roman"/>
          <w:szCs w:val="22"/>
          <w:lang w:val="es-US" w:eastAsia="en-US"/>
        </w:rPr>
      </w:pPr>
      <w:r w:rsidRPr="00AF4C22">
        <w:rPr>
          <w:rFonts w:ascii="Times New Roman" w:eastAsia="Calibri" w:hAnsi="Times New Roman"/>
          <w:szCs w:val="22"/>
          <w:lang w:eastAsia="en-US"/>
        </w:rPr>
        <w:t>Sección</w:t>
      </w:r>
      <w:r w:rsidR="004C3739" w:rsidRPr="00AF4C22">
        <w:rPr>
          <w:rFonts w:ascii="Times New Roman" w:eastAsia="Calibri" w:hAnsi="Times New Roman"/>
          <w:szCs w:val="22"/>
          <w:lang w:eastAsia="en-US"/>
        </w:rPr>
        <w:t xml:space="preserve"> xx. </w:t>
      </w:r>
      <w:r w:rsidR="005251F0" w:rsidRPr="00AF4C22">
        <w:rPr>
          <w:rFonts w:ascii="Times New Roman" w:eastAsia="Calibri" w:hAnsi="Times New Roman"/>
          <w:szCs w:val="22"/>
          <w:lang w:eastAsia="en-US"/>
        </w:rPr>
        <w:t>PARIDAD DE GÉNERO Y REPRESENTATIVIDAD GEOGRÁFICA Y DE LOS DIFERENTES SISTEMAS JURÍDICOS, EN LA COMISIÓN INTERAMERICANA DE DERECHOS HUMANOS Y LA CORTE INTERAMERICANA DE DERECHOS HUMANOS</w:t>
      </w:r>
      <w:r w:rsidR="00BD0B80" w:rsidRPr="00AF4C22">
        <w:rPr>
          <w:rFonts w:ascii="Times New Roman" w:eastAsia="Calibri" w:hAnsi="Times New Roman"/>
          <w:szCs w:val="22"/>
          <w:lang w:eastAsia="en-US"/>
        </w:rPr>
        <w:t xml:space="preserve"> </w:t>
      </w:r>
      <w:r w:rsidR="004C3C72" w:rsidRPr="00AF4C22">
        <w:rPr>
          <w:rFonts w:ascii="Times New Roman" w:eastAsia="Calibri" w:hAnsi="Times New Roman"/>
          <w:szCs w:val="22"/>
          <w:lang w:eastAsia="en-US"/>
        </w:rPr>
        <w:t xml:space="preserve"> </w:t>
      </w:r>
    </w:p>
    <w:p w14:paraId="147DFCF4" w14:textId="38364774" w:rsidR="004C3739" w:rsidRPr="00AF4C22" w:rsidRDefault="004C3739"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US" w:eastAsia="en-US"/>
        </w:rPr>
      </w:pPr>
    </w:p>
    <w:p w14:paraId="5D4B4253" w14:textId="7D90AE15" w:rsidR="002256C0" w:rsidRPr="00AF4C22" w:rsidRDefault="002256C0"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szCs w:val="22"/>
          <w:lang w:eastAsia="en-US"/>
        </w:rPr>
      </w:pPr>
      <w:r w:rsidRPr="00AF4C22">
        <w:rPr>
          <w:rFonts w:ascii="Times New Roman" w:eastAsia="Times New Roman" w:hAnsi="Times New Roman"/>
          <w:color w:val="000000"/>
          <w:szCs w:val="22"/>
          <w:lang w:eastAsia="en-US"/>
        </w:rPr>
        <w:t xml:space="preserve">Solicitar a la Comisión de Asuntos Jurídicos y Políticos que intensifique su labor sobre este tema en el plan de trabajo 2023-2024, basándose en las observaciones del informe elaborado por la Comisión Interamericana de Mujeres titulado "Buenas prácticas para consolidar la paridad de género y una distribución geográfica equitativa, así como de los diferentes sistemas jurídicos en la Corte y Comisión Interamericana de Derechos Humanos". Esto debería incluir, dentro de los recursos existentes, la celebración de una sesión con los Estados Miembros, la sociedad civil, con inclusión de organizaciones de mujeres, el mundo académico, la Comisión Interamericana de Mujeres y las entidades pertinentes de la OEA durante el primer semestre del plan de trabajo de la CAJP para examinar el seguimiento de las recomendaciones del informe y continuar el intercambio de mejores </w:t>
      </w:r>
      <w:r w:rsidRPr="00AF4C22">
        <w:rPr>
          <w:rFonts w:ascii="Times New Roman" w:eastAsia="Times New Roman" w:hAnsi="Times New Roman"/>
          <w:color w:val="000000"/>
          <w:szCs w:val="22"/>
          <w:lang w:eastAsia="en-US"/>
        </w:rPr>
        <w:lastRenderedPageBreak/>
        <w:t>prácticas sobre el proceso de selección de candidatas a la CIDH y a la Corte Interamericana de Derechos Humanos.</w:t>
      </w:r>
      <w:r w:rsidR="00C72CDE" w:rsidRPr="00AF4C22">
        <w:rPr>
          <w:rFonts w:ascii="Times New Roman" w:eastAsia="Times New Roman" w:hAnsi="Times New Roman"/>
          <w:color w:val="000000"/>
          <w:szCs w:val="22"/>
          <w:lang w:eastAsia="en-US"/>
        </w:rPr>
        <w:t xml:space="preserve"> </w:t>
      </w:r>
    </w:p>
    <w:p w14:paraId="3DB426CB" w14:textId="77777777" w:rsidR="002256C0" w:rsidRPr="00AF4C22" w:rsidRDefault="002256C0"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n-US"/>
        </w:rPr>
      </w:pPr>
    </w:p>
    <w:p w14:paraId="4479CE15" w14:textId="0B771F17" w:rsidR="00F0080B" w:rsidRDefault="00F0080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eastAsia="en-US"/>
        </w:rPr>
      </w:pPr>
      <w:r>
        <w:rPr>
          <w:rFonts w:ascii="Times New Roman" w:eastAsia="Calibri" w:hAnsi="Times New Roman"/>
          <w:szCs w:val="22"/>
          <w:lang w:eastAsia="en-US"/>
        </w:rPr>
        <w:br w:type="page"/>
      </w:r>
    </w:p>
    <w:p w14:paraId="73F06B73" w14:textId="77777777" w:rsidR="001C42E4" w:rsidRPr="00AF4C22" w:rsidRDefault="001C42E4"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en-US"/>
        </w:rPr>
      </w:pPr>
    </w:p>
    <w:p w14:paraId="6AB4CE79" w14:textId="32734D5F" w:rsidR="00C16E23" w:rsidRPr="00AF4C22" w:rsidRDefault="00C16E23" w:rsidP="00AF4C22">
      <w:pPr>
        <w:pStyle w:val="ListParagraph"/>
        <w:numPr>
          <w:ilvl w:val="0"/>
          <w:numId w:val="18"/>
        </w:numPr>
        <w:ind w:left="0" w:firstLine="720"/>
        <w:jc w:val="both"/>
        <w:rPr>
          <w:rFonts w:eastAsia="Calibri"/>
          <w:b/>
          <w:bCs/>
          <w:sz w:val="22"/>
          <w:szCs w:val="22"/>
          <w:lang w:val="es-AR"/>
        </w:rPr>
      </w:pPr>
      <w:r w:rsidRPr="00AF4C22">
        <w:rPr>
          <w:rFonts w:eastAsia="Calibri"/>
          <w:sz w:val="22"/>
          <w:szCs w:val="22"/>
          <w:lang w:val="es-CO"/>
        </w:rPr>
        <w:t>Solicitar a la Comisión de Asuntos Jurídicos y Políticos, a través del Consejo Permanente, que informe a la Asamblea General, en su 54º</w:t>
      </w:r>
      <w:r w:rsidRPr="00AF4C22">
        <w:rPr>
          <w:sz w:val="22"/>
          <w:szCs w:val="22"/>
          <w:lang w:val="es-CO"/>
        </w:rPr>
        <w:t xml:space="preserve"> </w:t>
      </w:r>
      <w:r w:rsidRPr="00AF4C22">
        <w:rPr>
          <w:rFonts w:eastAsia="Calibri"/>
          <w:sz w:val="22"/>
          <w:szCs w:val="22"/>
          <w:lang w:val="es-CO"/>
        </w:rPr>
        <w:t xml:space="preserve">período ordinario de sesiones, sobre la aplicación de esta resolución. </w:t>
      </w:r>
      <w:bookmarkEnd w:id="0"/>
    </w:p>
    <w:p w14:paraId="420BC148" w14:textId="77777777" w:rsidR="001C42E4" w:rsidRPr="00AF4C22" w:rsidRDefault="001C42E4"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bCs/>
          <w:szCs w:val="22"/>
          <w:lang w:val="es-PE" w:eastAsia="en-US"/>
        </w:rPr>
      </w:pPr>
      <w:r w:rsidRPr="00AF4C22">
        <w:rPr>
          <w:rFonts w:ascii="Times New Roman" w:eastAsia="Calibri" w:hAnsi="Times New Roman"/>
          <w:b/>
          <w:bCs/>
          <w:szCs w:val="22"/>
          <w:lang w:val="es-PE"/>
        </w:rPr>
        <w:br w:type="page"/>
      </w:r>
    </w:p>
    <w:p w14:paraId="5630D48E" w14:textId="7DB273A7" w:rsidR="00C16E23" w:rsidRPr="00F0080B" w:rsidRDefault="00C16E23" w:rsidP="00AF4C22">
      <w:pPr>
        <w:pStyle w:val="ListParagraph"/>
        <w:ind w:left="0" w:firstLine="90"/>
        <w:jc w:val="center"/>
        <w:rPr>
          <w:rFonts w:eastAsia="Calibri"/>
          <w:b/>
          <w:bCs/>
          <w:sz w:val="22"/>
          <w:szCs w:val="22"/>
          <w:lang w:val="es-AR"/>
        </w:rPr>
      </w:pPr>
      <w:r w:rsidRPr="00F0080B">
        <w:rPr>
          <w:rFonts w:eastAsia="Calibri"/>
          <w:b/>
          <w:bCs/>
          <w:sz w:val="22"/>
          <w:szCs w:val="22"/>
          <w:lang w:val="es-AR"/>
        </w:rPr>
        <w:lastRenderedPageBreak/>
        <w:t>ANEXO A</w:t>
      </w:r>
    </w:p>
    <w:p w14:paraId="2B64A60B" w14:textId="77777777" w:rsidR="00C16E23" w:rsidRPr="00F0080B" w:rsidRDefault="00C16E23" w:rsidP="00AF4C22">
      <w:pPr>
        <w:pStyle w:val="ListParagraph"/>
        <w:ind w:left="0"/>
        <w:jc w:val="center"/>
        <w:rPr>
          <w:rFonts w:eastAsia="Calibri"/>
          <w:b/>
          <w:bCs/>
          <w:sz w:val="22"/>
          <w:szCs w:val="22"/>
          <w:lang w:val="es-AR"/>
        </w:rPr>
      </w:pPr>
    </w:p>
    <w:p w14:paraId="1E513D94" w14:textId="41DEFF9C" w:rsidR="00780638" w:rsidRPr="00AF4C22" w:rsidRDefault="00780638" w:rsidP="00AF4C22">
      <w:pPr>
        <w:pStyle w:val="ListParagraph"/>
        <w:ind w:left="0"/>
        <w:jc w:val="center"/>
        <w:rPr>
          <w:rFonts w:eastAsia="Calibri"/>
          <w:b/>
          <w:bCs/>
          <w:sz w:val="22"/>
          <w:szCs w:val="22"/>
          <w:lang w:val="es-CO"/>
        </w:rPr>
      </w:pPr>
      <w:r w:rsidRPr="00AF4C22">
        <w:rPr>
          <w:rFonts w:eastAsia="Calibri"/>
          <w:b/>
          <w:bCs/>
          <w:sz w:val="22"/>
          <w:szCs w:val="22"/>
          <w:lang w:val="es-CO"/>
        </w:rPr>
        <w:t xml:space="preserve">Lista de mandatos </w:t>
      </w:r>
      <w:r w:rsidR="00C16E23" w:rsidRPr="00AF4C22">
        <w:rPr>
          <w:rFonts w:eastAsia="Calibri"/>
          <w:b/>
          <w:bCs/>
          <w:sz w:val="22"/>
          <w:szCs w:val="22"/>
          <w:lang w:val="es-CO"/>
        </w:rPr>
        <w:t xml:space="preserve">de la </w:t>
      </w:r>
      <w:r w:rsidR="00017656" w:rsidRPr="00AF4C22">
        <w:rPr>
          <w:rFonts w:eastAsia="Calibri"/>
          <w:b/>
          <w:bCs/>
          <w:sz w:val="22"/>
          <w:szCs w:val="22"/>
          <w:lang w:val="es-CO"/>
        </w:rPr>
        <w:t>resolución</w:t>
      </w:r>
      <w:r w:rsidR="00C16E23" w:rsidRPr="00AF4C22">
        <w:rPr>
          <w:rFonts w:eastAsia="Calibri"/>
          <w:b/>
          <w:bCs/>
          <w:sz w:val="22"/>
          <w:szCs w:val="22"/>
          <w:lang w:val="es-CO"/>
        </w:rPr>
        <w:t xml:space="preserve"> AG/RES. 2991 (LII</w:t>
      </w:r>
      <w:r w:rsidR="002C0A99" w:rsidRPr="00AF4C22">
        <w:rPr>
          <w:rFonts w:eastAsia="Calibri"/>
          <w:b/>
          <w:bCs/>
          <w:sz w:val="22"/>
          <w:szCs w:val="22"/>
          <w:lang w:val="es-CO"/>
        </w:rPr>
        <w:t>-O/</w:t>
      </w:r>
      <w:r w:rsidR="00C16E23" w:rsidRPr="00AF4C22">
        <w:rPr>
          <w:rFonts w:eastAsia="Calibri"/>
          <w:b/>
          <w:bCs/>
          <w:sz w:val="22"/>
          <w:szCs w:val="22"/>
          <w:lang w:val="es-CO"/>
        </w:rPr>
        <w:t xml:space="preserve">23) </w:t>
      </w:r>
      <w:r w:rsidRPr="00AF4C22">
        <w:rPr>
          <w:rFonts w:eastAsia="Calibri"/>
          <w:b/>
          <w:bCs/>
          <w:sz w:val="22"/>
          <w:szCs w:val="22"/>
          <w:lang w:val="es-CO"/>
        </w:rPr>
        <w:t>implementados</w:t>
      </w:r>
      <w:r w:rsidR="00C16E23" w:rsidRPr="00AF4C22">
        <w:rPr>
          <w:rFonts w:eastAsia="Calibri"/>
          <w:b/>
          <w:bCs/>
          <w:sz w:val="22"/>
          <w:szCs w:val="22"/>
          <w:lang w:val="es-CO"/>
        </w:rPr>
        <w:t xml:space="preserve"> antes del 53 período ordinario de sesiones</w:t>
      </w:r>
      <w:r w:rsidR="00017656" w:rsidRPr="00AF4C22">
        <w:rPr>
          <w:rFonts w:eastAsia="Calibri"/>
          <w:b/>
          <w:bCs/>
          <w:sz w:val="22"/>
          <w:szCs w:val="22"/>
          <w:lang w:val="es-CO"/>
        </w:rPr>
        <w:t xml:space="preserve"> de la Asamblea General</w:t>
      </w:r>
    </w:p>
    <w:p w14:paraId="42D883D4" w14:textId="77777777" w:rsidR="00C16E23" w:rsidRPr="00AF4C22" w:rsidRDefault="00C16E23" w:rsidP="00AF4C22">
      <w:pPr>
        <w:pStyle w:val="ListParagraph"/>
        <w:rPr>
          <w:rFonts w:eastAsia="Calibri"/>
          <w:b/>
          <w:bCs/>
          <w:sz w:val="22"/>
          <w:szCs w:val="22"/>
          <w:lang w:val="es-CO"/>
        </w:rPr>
      </w:pPr>
    </w:p>
    <w:p w14:paraId="2E74C071" w14:textId="1757A5F0" w:rsidR="00680F00" w:rsidRPr="00AF4C22" w:rsidRDefault="00680F00" w:rsidP="00AF4C22">
      <w:pPr>
        <w:pStyle w:val="ListParagraph"/>
        <w:numPr>
          <w:ilvl w:val="0"/>
          <w:numId w:val="13"/>
        </w:numPr>
        <w:ind w:left="720"/>
        <w:jc w:val="both"/>
        <w:rPr>
          <w:rFonts w:eastAsia="Arial Unicode MS"/>
          <w:sz w:val="22"/>
          <w:szCs w:val="22"/>
          <w:u w:val="single"/>
          <w:lang w:val="es-MX"/>
        </w:rPr>
      </w:pPr>
      <w:r w:rsidRPr="00AF4C22">
        <w:rPr>
          <w:sz w:val="22"/>
          <w:szCs w:val="22"/>
          <w:u w:val="single"/>
          <w:lang w:val="es-CO"/>
        </w:rPr>
        <w:t>Sección iv. Salud</w:t>
      </w:r>
      <w:r w:rsidRPr="00AF4C22">
        <w:rPr>
          <w:rFonts w:eastAsia="Times New Roman"/>
          <w:sz w:val="22"/>
          <w:szCs w:val="22"/>
          <w:u w:val="single"/>
          <w:lang w:val="es-MX"/>
        </w:rPr>
        <w:t xml:space="preserve"> mental y privación de la libertad. La labor de la defensa pública oficial autónoma</w:t>
      </w:r>
    </w:p>
    <w:p w14:paraId="4F488D45" w14:textId="77777777" w:rsidR="00680F00" w:rsidRPr="00AF4C22" w:rsidRDefault="00680F00"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Arial Unicode MS" w:hAnsi="Times New Roman"/>
          <w:szCs w:val="22"/>
          <w:u w:val="single"/>
          <w:lang w:val="es-MX" w:eastAsia="en-US"/>
        </w:rPr>
      </w:pPr>
    </w:p>
    <w:p w14:paraId="6543C544" w14:textId="40669297" w:rsidR="00680F00" w:rsidRPr="00AF4C22" w:rsidRDefault="00D75239" w:rsidP="00AF4C22">
      <w:pPr>
        <w:pStyle w:val="ListParagraph"/>
        <w:ind w:left="1080" w:hanging="360"/>
        <w:contextualSpacing/>
        <w:jc w:val="both"/>
        <w:rPr>
          <w:rFonts w:eastAsia="Times New Roman"/>
          <w:sz w:val="22"/>
          <w:szCs w:val="22"/>
          <w:lang w:val="es-MX"/>
        </w:rPr>
      </w:pPr>
      <w:r w:rsidRPr="00AF4C22">
        <w:rPr>
          <w:rFonts w:eastAsia="Times New Roman"/>
          <w:sz w:val="22"/>
          <w:szCs w:val="22"/>
          <w:u w:color="242424"/>
          <w:lang w:val="es-MX"/>
        </w:rPr>
        <w:t>6.</w:t>
      </w:r>
      <w:r w:rsidRPr="00AF4C22">
        <w:rPr>
          <w:rFonts w:eastAsia="Times New Roman"/>
          <w:sz w:val="22"/>
          <w:szCs w:val="22"/>
          <w:u w:color="242424"/>
          <w:lang w:val="es-MX"/>
        </w:rPr>
        <w:tab/>
        <w:t>Solicitar al Consejo Permanente que instruya a la Comisión de Asuntos Jurídicos y Políticos (CAJP) que incluya en su plan de trabajo antes del quincuagésimo tercer período ordinario de sesiones de la Asamblea General el siguiente tema de esta resolución, con el fin de promover el intercambio de experiencias y buenas prácticas: “Salud mental y privación de la libertad. La labor de la defensa pública oficial autónoma”; que en el primer trimestre de 2023 lleve a cabo una décima primera sesión extraordinaria sobre las buenas prácticas destinadas a garantizar el acceso a la justicia de las personas usuarias de servicios de salud mental que realiza cada institución de defensa pública oficial de la región, con la presencia de los Estados Miembros y sus respectivas instituciones públicas oficiales de asistencia jurídica, de integrantes de la Asociación Interamericana de Defensorías Públicas (AIDEF), expertos del sector académico y de la sociedad civil, incluso organizaciones de mujeres, así como de las organizaciones internacionales. La asistencia de los miembros de la AIDEF estará garantizada por esa organización.</w:t>
      </w:r>
    </w:p>
    <w:p w14:paraId="324CC0EF" w14:textId="77777777" w:rsidR="00D75239" w:rsidRPr="00AF4C22" w:rsidRDefault="00D75239" w:rsidP="00AF4C22">
      <w:pPr>
        <w:pStyle w:val="ListParagraph"/>
        <w:ind w:left="1080"/>
        <w:contextualSpacing/>
        <w:jc w:val="both"/>
        <w:rPr>
          <w:rFonts w:eastAsia="Times New Roman"/>
          <w:b/>
          <w:sz w:val="22"/>
          <w:szCs w:val="22"/>
          <w:lang w:val="es-CO"/>
        </w:rPr>
      </w:pPr>
    </w:p>
    <w:p w14:paraId="5B3F923F" w14:textId="790E3D26" w:rsidR="00680F00" w:rsidRPr="00AF4C22" w:rsidRDefault="00680F00" w:rsidP="00AF4C22">
      <w:pPr>
        <w:pStyle w:val="ListParagraph"/>
        <w:ind w:left="1080"/>
        <w:contextualSpacing/>
        <w:jc w:val="both"/>
        <w:rPr>
          <w:rFonts w:eastAsia="Times New Roman"/>
          <w:sz w:val="22"/>
          <w:szCs w:val="22"/>
          <w:lang w:val="es-CO"/>
        </w:rPr>
      </w:pPr>
      <w:r w:rsidRPr="00AF4C22">
        <w:rPr>
          <w:rFonts w:eastAsia="Times New Roman"/>
          <w:b/>
          <w:sz w:val="22"/>
          <w:szCs w:val="22"/>
          <w:lang w:val="es-CO"/>
        </w:rPr>
        <w:t xml:space="preserve">Nota: sesión extraordinaria </w:t>
      </w:r>
      <w:r w:rsidR="00341B9C" w:rsidRPr="00AF4C22">
        <w:rPr>
          <w:rFonts w:eastAsia="Times New Roman"/>
          <w:b/>
          <w:sz w:val="22"/>
          <w:szCs w:val="22"/>
          <w:lang w:val="es-CO"/>
        </w:rPr>
        <w:t xml:space="preserve">de la CAJP </w:t>
      </w:r>
      <w:r w:rsidRPr="00AF4C22">
        <w:rPr>
          <w:rFonts w:eastAsia="Times New Roman"/>
          <w:b/>
          <w:sz w:val="22"/>
          <w:szCs w:val="22"/>
          <w:lang w:val="es-CO"/>
        </w:rPr>
        <w:t>llevada a cabo el 27 de abril de 2023</w:t>
      </w:r>
    </w:p>
    <w:p w14:paraId="2B856368" w14:textId="77777777" w:rsidR="00680F00" w:rsidRPr="00AF4C22" w:rsidRDefault="00680F00" w:rsidP="00AF4C22">
      <w:pPr>
        <w:pStyle w:val="ListParagraph"/>
        <w:rPr>
          <w:rFonts w:eastAsia="Calibri"/>
          <w:b/>
          <w:bCs/>
          <w:sz w:val="22"/>
          <w:szCs w:val="22"/>
          <w:lang w:val="es-CO"/>
        </w:rPr>
      </w:pPr>
    </w:p>
    <w:p w14:paraId="56D6BD89" w14:textId="218A0DA2" w:rsidR="00680F00" w:rsidRPr="00AF4C22" w:rsidRDefault="00341B9C" w:rsidP="00AF4C22">
      <w:pPr>
        <w:pStyle w:val="ListParagraph"/>
        <w:numPr>
          <w:ilvl w:val="0"/>
          <w:numId w:val="13"/>
        </w:numPr>
        <w:ind w:left="720"/>
        <w:jc w:val="both"/>
        <w:rPr>
          <w:rFonts w:eastAsia="Arial Unicode MS"/>
          <w:sz w:val="22"/>
          <w:szCs w:val="22"/>
          <w:u w:val="single"/>
          <w:lang w:val="es-MX"/>
        </w:rPr>
      </w:pPr>
      <w:r w:rsidRPr="00AF4C22">
        <w:rPr>
          <w:sz w:val="22"/>
          <w:szCs w:val="22"/>
          <w:u w:val="single"/>
          <w:lang w:val="es-CO"/>
        </w:rPr>
        <w:t xml:space="preserve">Sección vi. </w:t>
      </w:r>
      <w:r w:rsidR="00680F00" w:rsidRPr="00AF4C22">
        <w:rPr>
          <w:sz w:val="22"/>
          <w:szCs w:val="22"/>
          <w:u w:val="single"/>
          <w:lang w:val="es-CO"/>
        </w:rPr>
        <w:t>Libertad</w:t>
      </w:r>
      <w:r w:rsidR="00680F00" w:rsidRPr="00AF4C22">
        <w:rPr>
          <w:rFonts w:eastAsia="Times New Roman"/>
          <w:sz w:val="22"/>
          <w:szCs w:val="22"/>
          <w:u w:val="single"/>
          <w:lang w:val="es-MX"/>
        </w:rPr>
        <w:t xml:space="preserve"> de Expresión y Periodismo en las Américas </w:t>
      </w:r>
    </w:p>
    <w:p w14:paraId="4FB6965B" w14:textId="77777777" w:rsidR="00680F00" w:rsidRPr="00AF4C22" w:rsidRDefault="00680F00" w:rsidP="00AF4C22">
      <w:pPr>
        <w:pStyle w:val="ListParagraph"/>
        <w:jc w:val="both"/>
        <w:rPr>
          <w:rFonts w:eastAsia="Arial Unicode MS"/>
          <w:sz w:val="22"/>
          <w:szCs w:val="22"/>
          <w:u w:val="single"/>
          <w:lang w:val="es-MX"/>
        </w:rPr>
      </w:pPr>
    </w:p>
    <w:p w14:paraId="1C23A3B2" w14:textId="28AB9ECA" w:rsidR="00341B9C" w:rsidRPr="00AF4C22" w:rsidRDefault="00D75239" w:rsidP="00AF4C22">
      <w:pPr>
        <w:pStyle w:val="ListParagraph"/>
        <w:ind w:left="1080" w:hanging="360"/>
        <w:contextualSpacing/>
        <w:jc w:val="both"/>
        <w:rPr>
          <w:rFonts w:eastAsia="Times New Roman"/>
          <w:b/>
          <w:sz w:val="22"/>
          <w:szCs w:val="22"/>
          <w:lang w:val="es-CO"/>
        </w:rPr>
      </w:pPr>
      <w:r w:rsidRPr="00AF4C22">
        <w:rPr>
          <w:rFonts w:eastAsia="Times New Roman"/>
          <w:sz w:val="22"/>
          <w:szCs w:val="22"/>
          <w:shd w:val="clear" w:color="auto" w:fill="FFFFFF"/>
          <w:lang w:val="es-MX"/>
        </w:rPr>
        <w:t>4.</w:t>
      </w:r>
      <w:r w:rsidRPr="00AF4C22">
        <w:rPr>
          <w:rFonts w:eastAsia="Times New Roman"/>
          <w:sz w:val="22"/>
          <w:szCs w:val="22"/>
          <w:shd w:val="clear" w:color="auto" w:fill="FFFFFF"/>
          <w:lang w:val="es-MX"/>
        </w:rPr>
        <w:tab/>
        <w:t>Solicitar a la CAJP que, con los recursos existentes, celebre una “sesión extraordinaria para que en consulta con los Estados reflexione colectivamente, comparta lecciones aprendidas e intercambie buenas prácticas en materia de derecho a la libertad de expresión y el periodismo en las Américas” y que presente los resultados alcanzados en dicha sesión al Consejo Permanente, previo al quincuagésimo tercer período ordinario de sesiones de la Asamblea General.</w:t>
      </w:r>
    </w:p>
    <w:p w14:paraId="409BFC8A" w14:textId="77777777" w:rsidR="002C0A99" w:rsidRPr="00AF4C22" w:rsidRDefault="002C0A99" w:rsidP="00AF4C22">
      <w:pPr>
        <w:pStyle w:val="ListParagraph"/>
        <w:ind w:left="1080"/>
        <w:contextualSpacing/>
        <w:jc w:val="both"/>
        <w:rPr>
          <w:rFonts w:eastAsia="Times New Roman"/>
          <w:b/>
          <w:sz w:val="22"/>
          <w:szCs w:val="22"/>
          <w:lang w:val="es-CO"/>
        </w:rPr>
      </w:pPr>
    </w:p>
    <w:p w14:paraId="27784D2E" w14:textId="195DDAB4" w:rsidR="00341B9C" w:rsidRPr="00AF4C22" w:rsidRDefault="00341B9C" w:rsidP="00AF4C22">
      <w:pPr>
        <w:pStyle w:val="ListParagraph"/>
        <w:ind w:left="1080"/>
        <w:contextualSpacing/>
        <w:jc w:val="both"/>
        <w:rPr>
          <w:rFonts w:eastAsia="Times New Roman"/>
          <w:b/>
          <w:sz w:val="22"/>
          <w:szCs w:val="22"/>
          <w:lang w:val="es-CO"/>
        </w:rPr>
      </w:pPr>
      <w:r w:rsidRPr="00AF4C22">
        <w:rPr>
          <w:rFonts w:eastAsia="Times New Roman"/>
          <w:b/>
          <w:sz w:val="22"/>
          <w:szCs w:val="22"/>
          <w:lang w:val="es-CO"/>
        </w:rPr>
        <w:t>Nota: sesión extraordinaria de la CAJP llevada a cabo el 18 de mayo de 2023</w:t>
      </w:r>
    </w:p>
    <w:p w14:paraId="309ECBE4" w14:textId="77777777" w:rsidR="00453981" w:rsidRPr="00AF4C22" w:rsidRDefault="00453981" w:rsidP="00AF4C22">
      <w:pPr>
        <w:contextualSpacing/>
        <w:rPr>
          <w:rFonts w:ascii="Times New Roman" w:eastAsia="Times New Roman" w:hAnsi="Times New Roman"/>
          <w:szCs w:val="22"/>
          <w:lang w:val="es-CO"/>
        </w:rPr>
      </w:pPr>
    </w:p>
    <w:p w14:paraId="25DD1129" w14:textId="45F52F05" w:rsidR="00341B9C" w:rsidRPr="00AF4C22" w:rsidRDefault="00341B9C" w:rsidP="00AF4C22">
      <w:pPr>
        <w:pStyle w:val="ListParagraph"/>
        <w:numPr>
          <w:ilvl w:val="0"/>
          <w:numId w:val="13"/>
        </w:numPr>
        <w:ind w:left="720"/>
        <w:jc w:val="both"/>
        <w:rPr>
          <w:rFonts w:eastAsia="Arial Unicode MS"/>
          <w:sz w:val="22"/>
          <w:szCs w:val="22"/>
          <w:u w:val="single"/>
          <w:lang w:val="es-MX"/>
        </w:rPr>
      </w:pPr>
      <w:r w:rsidRPr="00AF4C22">
        <w:rPr>
          <w:sz w:val="22"/>
          <w:szCs w:val="22"/>
          <w:u w:val="single"/>
          <w:lang w:val="es-CO"/>
        </w:rPr>
        <w:t>Sección</w:t>
      </w:r>
      <w:r w:rsidRPr="00AF4C22">
        <w:rPr>
          <w:rFonts w:eastAsia="Times New Roman"/>
          <w:sz w:val="22"/>
          <w:szCs w:val="22"/>
          <w:u w:val="single"/>
          <w:lang w:val="es-MX"/>
        </w:rPr>
        <w:t xml:space="preserve"> xii. Promoción de la Convención Interamericana contra el Racismo, la Discriminación Racial y Formas Conexas de Intolerancia y el combate a la discriminación de todo tipo</w:t>
      </w:r>
    </w:p>
    <w:p w14:paraId="2CE82BCF" w14:textId="77777777" w:rsidR="00341B9C" w:rsidRPr="00AF4C22" w:rsidRDefault="00341B9C"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US"/>
        </w:rPr>
      </w:pPr>
    </w:p>
    <w:p w14:paraId="0F3861A9" w14:textId="00C37B04" w:rsidR="00D75239" w:rsidRPr="00AF4C22" w:rsidRDefault="00D75239" w:rsidP="00AF4C22">
      <w:pPr>
        <w:pStyle w:val="ListParagraph"/>
        <w:numPr>
          <w:ilvl w:val="0"/>
          <w:numId w:val="48"/>
        </w:numPr>
        <w:ind w:left="1080"/>
        <w:contextualSpacing/>
        <w:jc w:val="both"/>
        <w:rPr>
          <w:rFonts w:eastAsia="Times New Roman"/>
          <w:sz w:val="22"/>
          <w:szCs w:val="22"/>
          <w:lang w:val="es-MX"/>
        </w:rPr>
      </w:pPr>
      <w:r w:rsidRPr="00AF4C22">
        <w:rPr>
          <w:rFonts w:eastAsia="Times New Roman"/>
          <w:sz w:val="22"/>
          <w:szCs w:val="22"/>
          <w:lang w:val="es-MX"/>
        </w:rPr>
        <w:t>Solicitar al Consejo Permanente que, con los recursos existentes, organice una sesión de seguimiento encaminada a recoger los aportes de los Estados Miembros para contrarrestar la intolerancia y la discriminación en la región.</w:t>
      </w:r>
    </w:p>
    <w:p w14:paraId="3C1F6BBD" w14:textId="55393879" w:rsidR="00341B9C" w:rsidRPr="00AF4C22" w:rsidRDefault="00341B9C" w:rsidP="00AF4C22">
      <w:pPr>
        <w:pStyle w:val="ListParagraph"/>
        <w:ind w:left="1080"/>
        <w:contextualSpacing/>
        <w:jc w:val="both"/>
        <w:rPr>
          <w:rFonts w:eastAsia="Times New Roman"/>
          <w:sz w:val="22"/>
          <w:szCs w:val="22"/>
          <w:lang w:val="es-MX"/>
        </w:rPr>
      </w:pPr>
      <w:r w:rsidRPr="00AF4C22">
        <w:rPr>
          <w:rFonts w:eastAsia="Times New Roman"/>
          <w:sz w:val="22"/>
          <w:szCs w:val="22"/>
          <w:lang w:val="es-MX"/>
        </w:rPr>
        <w:tab/>
      </w:r>
      <w:r w:rsidRPr="00AF4C22">
        <w:rPr>
          <w:rFonts w:eastAsia="Times New Roman"/>
          <w:sz w:val="22"/>
          <w:szCs w:val="22"/>
          <w:lang w:val="es-MX"/>
        </w:rPr>
        <w:tab/>
      </w:r>
    </w:p>
    <w:p w14:paraId="03D6A141" w14:textId="4E362DC7" w:rsidR="00341B9C" w:rsidRPr="00AF4C22" w:rsidRDefault="00341B9C" w:rsidP="00AF4C22">
      <w:pPr>
        <w:pStyle w:val="ListParagraph"/>
        <w:ind w:left="1080"/>
        <w:contextualSpacing/>
        <w:jc w:val="both"/>
        <w:rPr>
          <w:rFonts w:eastAsia="Times New Roman"/>
          <w:b/>
          <w:sz w:val="22"/>
          <w:szCs w:val="22"/>
          <w:lang w:val="es-CO"/>
        </w:rPr>
      </w:pPr>
      <w:r w:rsidRPr="00AF4C22">
        <w:rPr>
          <w:rFonts w:eastAsia="Times New Roman"/>
          <w:b/>
          <w:sz w:val="22"/>
          <w:szCs w:val="22"/>
          <w:lang w:val="es-CO"/>
        </w:rPr>
        <w:t xml:space="preserve">Nota: sesión extraordinaria del Consejo Permanente llevada a cabo el </w:t>
      </w:r>
      <w:r w:rsidR="00E6071D" w:rsidRPr="00AF4C22">
        <w:rPr>
          <w:rFonts w:eastAsia="Times New Roman"/>
          <w:b/>
          <w:sz w:val="22"/>
          <w:szCs w:val="22"/>
          <w:lang w:val="es-CO"/>
        </w:rPr>
        <w:t>29 de marzo de 2023</w:t>
      </w:r>
    </w:p>
    <w:p w14:paraId="6E4AC93A" w14:textId="37777EAE" w:rsidR="00341B9C" w:rsidRPr="00AF4C22" w:rsidRDefault="00341B9C" w:rsidP="00AF4C22">
      <w:pPr>
        <w:pStyle w:val="ListParagraph"/>
        <w:numPr>
          <w:ilvl w:val="0"/>
          <w:numId w:val="13"/>
        </w:numPr>
        <w:ind w:left="720"/>
        <w:jc w:val="both"/>
        <w:rPr>
          <w:rFonts w:eastAsia="Times New Roman"/>
          <w:sz w:val="22"/>
          <w:szCs w:val="22"/>
          <w:u w:val="single"/>
          <w:lang w:val="es-MX"/>
        </w:rPr>
      </w:pPr>
      <w:r w:rsidRPr="00AF4C22">
        <w:rPr>
          <w:sz w:val="22"/>
          <w:szCs w:val="22"/>
          <w:u w:val="single"/>
          <w:lang w:val="es-CO"/>
        </w:rPr>
        <w:t>Sección xix. Derechos</w:t>
      </w:r>
      <w:r w:rsidRPr="00AF4C22">
        <w:rPr>
          <w:rFonts w:eastAsia="Times New Roman"/>
          <w:sz w:val="22"/>
          <w:szCs w:val="22"/>
          <w:u w:val="single"/>
          <w:lang w:val="es-MX"/>
        </w:rPr>
        <w:t xml:space="preserve"> humanos y prevención de la discriminación y la violencia contra personas LGBTI </w:t>
      </w:r>
    </w:p>
    <w:p w14:paraId="2BC4B095" w14:textId="77777777" w:rsidR="00341B9C" w:rsidRPr="00AF4C22" w:rsidRDefault="00341B9C" w:rsidP="00AF4C22">
      <w:pPr>
        <w:pStyle w:val="ListParagraph"/>
        <w:jc w:val="both"/>
        <w:rPr>
          <w:rFonts w:eastAsia="Times New Roman"/>
          <w:sz w:val="22"/>
          <w:szCs w:val="22"/>
          <w:u w:val="single"/>
          <w:lang w:val="es-MX"/>
        </w:rPr>
      </w:pPr>
    </w:p>
    <w:p w14:paraId="139B33B2" w14:textId="37C64698" w:rsidR="00341B9C" w:rsidRPr="00AF4C22" w:rsidRDefault="003E617D" w:rsidP="00AF4C22">
      <w:pPr>
        <w:pStyle w:val="ListParagraph"/>
        <w:ind w:left="1080" w:hanging="360"/>
        <w:contextualSpacing/>
        <w:jc w:val="both"/>
        <w:rPr>
          <w:rFonts w:eastAsia="Times New Roman"/>
          <w:b/>
          <w:sz w:val="22"/>
          <w:szCs w:val="22"/>
          <w:lang w:val="es-CO"/>
        </w:rPr>
      </w:pPr>
      <w:r w:rsidRPr="00AF4C22">
        <w:rPr>
          <w:rFonts w:eastAsia="Times New Roman"/>
          <w:sz w:val="22"/>
          <w:szCs w:val="22"/>
          <w:lang w:val="es-MX"/>
        </w:rPr>
        <w:lastRenderedPageBreak/>
        <w:t>8.</w:t>
      </w:r>
      <w:r w:rsidRPr="00AF4C22">
        <w:rPr>
          <w:rFonts w:eastAsia="Times New Roman"/>
          <w:sz w:val="22"/>
          <w:szCs w:val="22"/>
          <w:lang w:val="es-MX"/>
        </w:rPr>
        <w:tab/>
        <w:t>Encomendar al Consejo Permanente que organice, en función de los recursos existentes y en coordinación con la SADyE y la sociedad civil, una sesión extraordinaria sobre “Derechos humanos y prevención de la discriminación y la violencia contra las personas LGBTI en las Américas”, con especial atención en el acceso al mercado laboral en el contexto de la crisis económica producto de la pandemia de COVID-19 y otros factores, y del proceso de recuperación.</w:t>
      </w:r>
    </w:p>
    <w:p w14:paraId="0052DDBB" w14:textId="77777777" w:rsidR="00F721E0" w:rsidRPr="00AF4C22" w:rsidRDefault="00F721E0" w:rsidP="00AF4C22">
      <w:pPr>
        <w:pStyle w:val="ListParagraph"/>
        <w:ind w:left="1080"/>
        <w:contextualSpacing/>
        <w:jc w:val="both"/>
        <w:rPr>
          <w:rFonts w:eastAsia="Times New Roman"/>
          <w:b/>
          <w:sz w:val="22"/>
          <w:szCs w:val="22"/>
          <w:lang w:val="es-CO"/>
        </w:rPr>
      </w:pPr>
    </w:p>
    <w:p w14:paraId="56754D23" w14:textId="0198B3C1" w:rsidR="00341B9C" w:rsidRPr="00AF4C22" w:rsidRDefault="00341B9C" w:rsidP="00AF4C22">
      <w:pPr>
        <w:pStyle w:val="ListParagraph"/>
        <w:ind w:left="1080"/>
        <w:contextualSpacing/>
        <w:jc w:val="both"/>
        <w:rPr>
          <w:rFonts w:eastAsia="Times New Roman"/>
          <w:b/>
          <w:sz w:val="22"/>
          <w:szCs w:val="22"/>
          <w:lang w:val="es-CO"/>
        </w:rPr>
      </w:pPr>
      <w:r w:rsidRPr="00AF4C22">
        <w:rPr>
          <w:rFonts w:eastAsia="Times New Roman"/>
          <w:b/>
          <w:sz w:val="22"/>
          <w:szCs w:val="22"/>
          <w:lang w:val="es-CO"/>
        </w:rPr>
        <w:t xml:space="preserve">Nota: sesión extraordinaria del Consejo Permanente llevada a cabo el </w:t>
      </w:r>
      <w:r w:rsidR="005A315A" w:rsidRPr="00AF4C22">
        <w:rPr>
          <w:rFonts w:eastAsia="Times New Roman"/>
          <w:b/>
          <w:sz w:val="22"/>
          <w:szCs w:val="22"/>
          <w:lang w:val="es-CO"/>
        </w:rPr>
        <w:t>25 de noviembre de 2022</w:t>
      </w:r>
    </w:p>
    <w:p w14:paraId="4E66885E" w14:textId="77777777" w:rsidR="00341B9C" w:rsidRPr="00AF4C22" w:rsidRDefault="00341B9C" w:rsidP="00AF4C22">
      <w:pPr>
        <w:pStyle w:val="ListParagraph"/>
        <w:ind w:left="1080"/>
        <w:contextualSpacing/>
        <w:jc w:val="both"/>
        <w:rPr>
          <w:rFonts w:eastAsia="Times New Roman"/>
          <w:b/>
          <w:sz w:val="22"/>
          <w:szCs w:val="22"/>
          <w:lang w:val="es-CO"/>
        </w:rPr>
      </w:pPr>
    </w:p>
    <w:p w14:paraId="4E4401C2" w14:textId="2A7578C8" w:rsidR="00765EC2" w:rsidRPr="00AF4C22" w:rsidRDefault="00765EC2" w:rsidP="00AF4C22">
      <w:pPr>
        <w:pStyle w:val="ListParagraph"/>
        <w:numPr>
          <w:ilvl w:val="0"/>
          <w:numId w:val="13"/>
        </w:numPr>
        <w:ind w:left="720"/>
        <w:jc w:val="both"/>
        <w:rPr>
          <w:sz w:val="22"/>
          <w:szCs w:val="22"/>
          <w:u w:val="single"/>
          <w:lang w:val="es-CO"/>
        </w:rPr>
      </w:pPr>
      <w:r w:rsidRPr="00AF4C22">
        <w:rPr>
          <w:sz w:val="22"/>
          <w:szCs w:val="22"/>
          <w:u w:val="single"/>
          <w:lang w:val="es-CO"/>
        </w:rPr>
        <w:t xml:space="preserve">Sección xxvi. Paridad de género y representatividad geográfica y de los diferentes sistemas jurídicos, en la Comisión Interamericana de Derechos Humanos y la Corte Interamericana de Derechos Humanos </w:t>
      </w:r>
    </w:p>
    <w:p w14:paraId="22043CE1" w14:textId="77777777" w:rsidR="00765EC2" w:rsidRPr="00AF4C22" w:rsidRDefault="00765EC2"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lang w:val="es-AR" w:eastAsia="en-US"/>
        </w:rPr>
      </w:pPr>
    </w:p>
    <w:p w14:paraId="572B9F10" w14:textId="5FC8BD17" w:rsidR="00C16E23" w:rsidRPr="00AF4C22" w:rsidRDefault="003E617D" w:rsidP="00AF4C22">
      <w:pPr>
        <w:pStyle w:val="ListParagraph"/>
        <w:ind w:left="1080" w:hanging="360"/>
        <w:contextualSpacing/>
        <w:jc w:val="both"/>
        <w:rPr>
          <w:rFonts w:eastAsia="Times New Roman"/>
          <w:sz w:val="22"/>
          <w:szCs w:val="22"/>
          <w:lang w:val="es-CO"/>
        </w:rPr>
      </w:pPr>
      <w:r w:rsidRPr="00AF4C22">
        <w:rPr>
          <w:rFonts w:eastAsia="Times New Roman"/>
          <w:sz w:val="22"/>
          <w:szCs w:val="22"/>
          <w:lang w:val="es-CO"/>
        </w:rPr>
        <w:t>5.</w:t>
      </w:r>
      <w:r w:rsidRPr="00AF4C22">
        <w:rPr>
          <w:rFonts w:eastAsia="Times New Roman"/>
          <w:sz w:val="22"/>
          <w:szCs w:val="22"/>
          <w:lang w:val="es-CO"/>
        </w:rPr>
        <w:tab/>
        <w:t>Encomendar a la CAJP que continúe intensificando su trabajo en este tema, incluyendo en su programa de trabajo 2022-2023 la celebración de una sesión de seguimiento en la que los Estados Miembros, expertos y expertas y la sociedad civil, incluso las organizaciones de mujeres, compartan buenas prácticas en procesos de nominación y selección de personas candidatas a los órganos del sistema interamericano de derechos humanos, e incluyendo información sobre procedimientos, políticas a nivel nacional, así como las buenas prácticas de otros organismos de derechos humanos, con miras a desarrollar un informe con recomendaciones para promover la paridad de género, la igualdad de género y la no discriminación y el equilibrio entre las diferentes regiones y sistemas jurídicos del Hemisferio en la CIDH y la Corte Interamericana de Derechos Humanos, que será presentado durante la 53 Asamblea General; y solicitar a la CIM que elabore, con base en esa reunión y recabando de manera inclusiva todas las opiniones y participaciones, un informe con recomendaciones a ser presentado durante la 53 Asamblea General, que incluya información sobre procedimientos, políticas nacionales, así como buenas prácticas existentes.</w:t>
      </w:r>
    </w:p>
    <w:p w14:paraId="61A0C62B" w14:textId="77777777" w:rsidR="00E6071D" w:rsidRPr="00AF4C22" w:rsidRDefault="00E6071D" w:rsidP="00AF4C22">
      <w:pPr>
        <w:pStyle w:val="ListParagraph"/>
        <w:ind w:left="1080"/>
        <w:contextualSpacing/>
        <w:jc w:val="both"/>
        <w:rPr>
          <w:rFonts w:eastAsia="Times New Roman"/>
          <w:b/>
          <w:sz w:val="22"/>
          <w:szCs w:val="22"/>
          <w:lang w:val="es-CO"/>
        </w:rPr>
      </w:pPr>
    </w:p>
    <w:p w14:paraId="2C6E3543" w14:textId="77777777" w:rsidR="0084032A" w:rsidRPr="00AF4C22" w:rsidRDefault="00765EC2" w:rsidP="00AF4C22">
      <w:pPr>
        <w:pStyle w:val="ListParagraph"/>
        <w:ind w:left="1080"/>
        <w:contextualSpacing/>
        <w:jc w:val="both"/>
        <w:rPr>
          <w:rFonts w:eastAsia="Times New Roman"/>
          <w:b/>
          <w:sz w:val="22"/>
          <w:szCs w:val="22"/>
          <w:lang w:val="es-CO"/>
        </w:rPr>
      </w:pPr>
      <w:r w:rsidRPr="00AF4C22">
        <w:rPr>
          <w:rFonts w:eastAsia="Times New Roman"/>
          <w:b/>
          <w:sz w:val="22"/>
          <w:szCs w:val="22"/>
          <w:lang w:val="es-CO"/>
        </w:rPr>
        <w:t xml:space="preserve">Nota: </w:t>
      </w:r>
      <w:r w:rsidR="00680F00" w:rsidRPr="00AF4C22">
        <w:rPr>
          <w:rFonts w:eastAsia="Times New Roman"/>
          <w:b/>
          <w:sz w:val="22"/>
          <w:szCs w:val="22"/>
          <w:lang w:val="es-CO"/>
        </w:rPr>
        <w:t>sesión extraordinaria</w:t>
      </w:r>
      <w:r w:rsidRPr="00AF4C22">
        <w:rPr>
          <w:rFonts w:eastAsia="Times New Roman"/>
          <w:b/>
          <w:sz w:val="22"/>
          <w:szCs w:val="22"/>
          <w:lang w:val="es-CO"/>
        </w:rPr>
        <w:t xml:space="preserve"> </w:t>
      </w:r>
      <w:r w:rsidR="00341B9C" w:rsidRPr="00AF4C22">
        <w:rPr>
          <w:rFonts w:eastAsia="Times New Roman"/>
          <w:b/>
          <w:sz w:val="22"/>
          <w:szCs w:val="22"/>
          <w:lang w:val="es-CO"/>
        </w:rPr>
        <w:t xml:space="preserve">de la CAJP </w:t>
      </w:r>
      <w:r w:rsidRPr="00AF4C22">
        <w:rPr>
          <w:rFonts w:eastAsia="Times New Roman"/>
          <w:b/>
          <w:sz w:val="22"/>
          <w:szCs w:val="22"/>
          <w:lang w:val="es-CO"/>
        </w:rPr>
        <w:t>llevad</w:t>
      </w:r>
      <w:r w:rsidR="00680F00" w:rsidRPr="00AF4C22">
        <w:rPr>
          <w:rFonts w:eastAsia="Times New Roman"/>
          <w:b/>
          <w:sz w:val="22"/>
          <w:szCs w:val="22"/>
          <w:lang w:val="es-CO"/>
        </w:rPr>
        <w:t>a</w:t>
      </w:r>
      <w:r w:rsidRPr="00AF4C22">
        <w:rPr>
          <w:rFonts w:eastAsia="Times New Roman"/>
          <w:b/>
          <w:sz w:val="22"/>
          <w:szCs w:val="22"/>
          <w:lang w:val="es-CO"/>
        </w:rPr>
        <w:t xml:space="preserve"> a cabo el 15 de marzo de 2023</w:t>
      </w:r>
    </w:p>
    <w:p w14:paraId="1A5202DD" w14:textId="31FC0590" w:rsidR="001C42E4" w:rsidRPr="00AF4C22" w:rsidRDefault="001C42E4" w:rsidP="00AF4C22">
      <w:pPr>
        <w:pStyle w:val="ListParagraph"/>
        <w:ind w:left="1080"/>
        <w:contextualSpacing/>
        <w:jc w:val="both"/>
        <w:rPr>
          <w:rFonts w:eastAsia="Calibri"/>
          <w:b/>
          <w:sz w:val="22"/>
          <w:szCs w:val="22"/>
          <w:lang w:val="es-CO"/>
        </w:rPr>
      </w:pPr>
      <w:r w:rsidRPr="00AF4C22">
        <w:rPr>
          <w:rFonts w:eastAsia="Calibri"/>
          <w:b/>
          <w:sz w:val="22"/>
          <w:szCs w:val="22"/>
          <w:lang w:val="es-CO"/>
        </w:rPr>
        <w:br w:type="page"/>
      </w:r>
    </w:p>
    <w:p w14:paraId="0C87EB1C" w14:textId="511128AB" w:rsidR="00C16E23" w:rsidRPr="00AF4C22" w:rsidRDefault="00C16E23"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szCs w:val="22"/>
          <w:lang w:eastAsia="en-US"/>
        </w:rPr>
      </w:pPr>
      <w:r w:rsidRPr="00AF4C22">
        <w:rPr>
          <w:rFonts w:ascii="Times New Roman" w:eastAsia="Calibri" w:hAnsi="Times New Roman"/>
          <w:b/>
          <w:szCs w:val="22"/>
          <w:lang w:eastAsia="en-US"/>
        </w:rPr>
        <w:lastRenderedPageBreak/>
        <w:t>ANEXO B</w:t>
      </w:r>
    </w:p>
    <w:p w14:paraId="18465CD9" w14:textId="0FE3D76B" w:rsidR="00756D23" w:rsidRPr="00AF4C22" w:rsidRDefault="00756D23"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szCs w:val="22"/>
          <w:lang w:eastAsia="en-US"/>
        </w:rPr>
      </w:pPr>
      <w:r w:rsidRPr="00AF4C22">
        <w:rPr>
          <w:rFonts w:ascii="Times New Roman" w:eastAsia="Calibri" w:hAnsi="Times New Roman"/>
          <w:b/>
          <w:szCs w:val="22"/>
          <w:lang w:eastAsia="en-US"/>
        </w:rPr>
        <w:t>Actividades asignadas por la 52ª sesión ordinaria de la Asamblea General, no ejecutadas antes de la 53º</w:t>
      </w:r>
      <w:r w:rsidRPr="00AF4C22">
        <w:rPr>
          <w:rFonts w:ascii="Times New Roman" w:hAnsi="Times New Roman"/>
          <w:szCs w:val="22"/>
        </w:rPr>
        <w:t xml:space="preserve"> </w:t>
      </w:r>
      <w:r w:rsidRPr="00AF4C22">
        <w:rPr>
          <w:rFonts w:ascii="Times New Roman" w:eastAsia="Calibri" w:hAnsi="Times New Roman"/>
          <w:b/>
          <w:szCs w:val="22"/>
          <w:lang w:eastAsia="en-US"/>
        </w:rPr>
        <w:t>período ordinario</w:t>
      </w:r>
    </w:p>
    <w:p w14:paraId="32CBEAE7" w14:textId="77777777" w:rsidR="001C42E4" w:rsidRPr="00AF4C22" w:rsidRDefault="001C42E4"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szCs w:val="22"/>
          <w:lang w:eastAsia="en-US"/>
        </w:rPr>
      </w:pPr>
    </w:p>
    <w:p w14:paraId="79A6084C" w14:textId="0EBB80E2" w:rsidR="00756D23" w:rsidRPr="00AF4C22" w:rsidRDefault="00C16E23" w:rsidP="00AF4C22">
      <w:pPr>
        <w:pStyle w:val="ListParagraph"/>
        <w:numPr>
          <w:ilvl w:val="0"/>
          <w:numId w:val="13"/>
        </w:numPr>
        <w:ind w:left="720"/>
        <w:jc w:val="both"/>
        <w:rPr>
          <w:bCs/>
          <w:sz w:val="22"/>
          <w:szCs w:val="22"/>
          <w:u w:val="single"/>
          <w:lang w:val="es-UY"/>
        </w:rPr>
      </w:pPr>
      <w:r w:rsidRPr="00AF4C22">
        <w:rPr>
          <w:bCs/>
          <w:sz w:val="22"/>
          <w:szCs w:val="22"/>
          <w:u w:val="single"/>
          <w:lang w:val="es-UY"/>
        </w:rPr>
        <w:t xml:space="preserve">Sección vii. </w:t>
      </w:r>
      <w:r w:rsidR="00756D23" w:rsidRPr="00AF4C22">
        <w:rPr>
          <w:bCs/>
          <w:sz w:val="22"/>
          <w:szCs w:val="22"/>
          <w:u w:val="single"/>
          <w:lang w:val="es-UY"/>
        </w:rPr>
        <w:t xml:space="preserve">El </w:t>
      </w:r>
      <w:r w:rsidR="00756D23" w:rsidRPr="00AF4C22">
        <w:rPr>
          <w:sz w:val="22"/>
          <w:szCs w:val="22"/>
          <w:u w:val="single"/>
          <w:lang w:val="es-CO"/>
        </w:rPr>
        <w:t>poder</w:t>
      </w:r>
      <w:r w:rsidR="00756D23" w:rsidRPr="00AF4C22">
        <w:rPr>
          <w:bCs/>
          <w:sz w:val="22"/>
          <w:szCs w:val="22"/>
          <w:u w:val="single"/>
          <w:lang w:val="es-UY"/>
        </w:rPr>
        <w:t xml:space="preserve"> de la inclusión y las ventajas de la diversidad</w:t>
      </w:r>
    </w:p>
    <w:p w14:paraId="75DAFF35" w14:textId="3642E01F" w:rsidR="002858C6" w:rsidRPr="00AF4C22" w:rsidRDefault="002858C6"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szCs w:val="22"/>
          <w:lang w:val="es-UY" w:eastAsia="en-US"/>
        </w:rPr>
      </w:pPr>
    </w:p>
    <w:p w14:paraId="457BEC15" w14:textId="2657336F" w:rsidR="00453981" w:rsidRPr="00AF4C22" w:rsidRDefault="003E617D"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hanging="360"/>
        <w:rPr>
          <w:rFonts w:ascii="Times New Roman" w:hAnsi="Times New Roman"/>
          <w:b/>
          <w:bCs/>
          <w:szCs w:val="22"/>
          <w:lang w:val="es-MX"/>
        </w:rPr>
      </w:pPr>
      <w:r w:rsidRPr="00AF4C22">
        <w:rPr>
          <w:rFonts w:ascii="Times New Roman" w:hAnsi="Times New Roman"/>
          <w:szCs w:val="22"/>
          <w:lang w:val="es-AR" w:eastAsia="en-CA"/>
        </w:rPr>
        <w:t>6.</w:t>
      </w:r>
      <w:r w:rsidRPr="00AF4C22">
        <w:rPr>
          <w:rFonts w:ascii="Times New Roman" w:hAnsi="Times New Roman"/>
          <w:szCs w:val="22"/>
          <w:lang w:val="es-AR" w:eastAsia="en-CA"/>
        </w:rPr>
        <w:tab/>
        <w:t>Solicitar a la CAJP que, con los recursos existentes y en coordinación con la Secretaría de Acceso a Derechos y Equidad (SADyE), la SEDI, y la Subcomisión de Políticas de Cooperación Solidaria para el Desarrollo, organice una sesión extraordinaria en la que los Estados Miembros puedan dialogar con expertos, compartir lecciones aprendidas e intercambiar buenas prácticas para impulsar los objetivos de la presente resolución, con especial énfasis en los aspectos identificados en el párrafo operativo 5 inmediatamente anterior, y que la CAJP presente los resultados alcanzados en dicha sesión al Consejo Permanente antes del quincuagésimo tercer período ordinario de sesiones de la Asamblea General.</w:t>
      </w:r>
      <w:r w:rsidR="009372EA" w:rsidRPr="00AF4C22">
        <w:rPr>
          <w:rFonts w:ascii="Times New Roman" w:hAnsi="Times New Roman"/>
          <w:b/>
          <w:szCs w:val="22"/>
          <w:lang w:val="es-MX"/>
        </w:rPr>
        <w:t>Solicitud de posposición para el s</w:t>
      </w:r>
      <w:r w:rsidR="00453981" w:rsidRPr="00AF4C22">
        <w:rPr>
          <w:rFonts w:ascii="Times New Roman" w:hAnsi="Times New Roman"/>
          <w:b/>
          <w:szCs w:val="22"/>
          <w:lang w:val="es-MX"/>
        </w:rPr>
        <w:t xml:space="preserve">egundo </w:t>
      </w:r>
      <w:r w:rsidR="009372EA" w:rsidRPr="00AF4C22">
        <w:rPr>
          <w:rFonts w:ascii="Times New Roman" w:hAnsi="Times New Roman"/>
          <w:b/>
          <w:szCs w:val="22"/>
          <w:lang w:val="es-MX"/>
        </w:rPr>
        <w:t>s</w:t>
      </w:r>
      <w:r w:rsidR="00453981" w:rsidRPr="00AF4C22">
        <w:rPr>
          <w:rFonts w:ascii="Times New Roman" w:hAnsi="Times New Roman"/>
          <w:b/>
          <w:szCs w:val="22"/>
          <w:lang w:val="es-MX"/>
        </w:rPr>
        <w:t>emestre de 2023</w:t>
      </w:r>
      <w:r w:rsidR="009372EA" w:rsidRPr="00AF4C22">
        <w:rPr>
          <w:rFonts w:ascii="Times New Roman" w:hAnsi="Times New Roman"/>
          <w:b/>
          <w:szCs w:val="22"/>
          <w:lang w:val="es-MX"/>
        </w:rPr>
        <w:t xml:space="preserve">: </w:t>
      </w:r>
      <w:r w:rsidR="00453981" w:rsidRPr="00AF4C22">
        <w:rPr>
          <w:rFonts w:ascii="Times New Roman" w:hAnsi="Times New Roman"/>
          <w:b/>
          <w:szCs w:val="22"/>
          <w:lang w:val="es-MX"/>
        </w:rPr>
        <w:t xml:space="preserve">véase la nota verbal de las Misiones Permanentes de Canadá y Panamá </w:t>
      </w:r>
      <w:r w:rsidR="009372EA" w:rsidRPr="00AF4C22">
        <w:rPr>
          <w:rFonts w:ascii="Times New Roman" w:hAnsi="Times New Roman"/>
          <w:b/>
          <w:szCs w:val="22"/>
          <w:lang w:val="es-MX"/>
        </w:rPr>
        <w:t xml:space="preserve">- </w:t>
      </w:r>
      <w:hyperlink r:id="rId10" w:history="1">
        <w:r w:rsidR="00453981" w:rsidRPr="00AF4C22">
          <w:rPr>
            <w:rFonts w:ascii="Times New Roman" w:hAnsi="Times New Roman"/>
            <w:b/>
            <w:szCs w:val="22"/>
            <w:u w:val="single"/>
            <w:lang w:val="es-MX"/>
          </w:rPr>
          <w:t>CP/CAJP/INF-1014/23</w:t>
        </w:r>
      </w:hyperlink>
    </w:p>
    <w:p w14:paraId="00D0ACDE" w14:textId="77777777" w:rsidR="00A56FA8" w:rsidRPr="00AF4C22" w:rsidRDefault="00A56FA8"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s-MX"/>
        </w:rPr>
      </w:pPr>
    </w:p>
    <w:p w14:paraId="168A4345" w14:textId="77777777" w:rsidR="00A56FA8" w:rsidRPr="00AF4C22" w:rsidRDefault="00A56FA8" w:rsidP="00AF4C22">
      <w:pPr>
        <w:pStyle w:val="ListParagraph"/>
        <w:numPr>
          <w:ilvl w:val="0"/>
          <w:numId w:val="13"/>
        </w:numPr>
        <w:ind w:left="720"/>
        <w:jc w:val="both"/>
        <w:rPr>
          <w:rFonts w:eastAsia="Arial Unicode MS"/>
          <w:sz w:val="22"/>
          <w:szCs w:val="22"/>
          <w:u w:val="single"/>
          <w:lang w:val="es-MX"/>
        </w:rPr>
      </w:pPr>
      <w:r w:rsidRPr="00AF4C22">
        <w:rPr>
          <w:rFonts w:eastAsia="Times New Roman"/>
          <w:sz w:val="22"/>
          <w:szCs w:val="22"/>
          <w:u w:val="single"/>
          <w:lang w:val="es-MX"/>
        </w:rPr>
        <w:t>Sección xvi. Derechos humanos y medio ambiente</w:t>
      </w:r>
    </w:p>
    <w:p w14:paraId="51437805" w14:textId="77777777" w:rsidR="00A56FA8" w:rsidRPr="00AF4C22" w:rsidRDefault="00A56FA8" w:rsidP="00AF4C22">
      <w:pPr>
        <w:pStyle w:val="ListParagraph"/>
        <w:jc w:val="both"/>
        <w:rPr>
          <w:rFonts w:eastAsia="Arial Unicode MS"/>
          <w:sz w:val="22"/>
          <w:szCs w:val="22"/>
          <w:u w:val="single"/>
          <w:lang w:val="es-MX"/>
        </w:rPr>
      </w:pPr>
    </w:p>
    <w:p w14:paraId="24603C5F" w14:textId="77777777" w:rsidR="00A56FA8" w:rsidRPr="00AF4C22" w:rsidRDefault="00A56FA8" w:rsidP="00AF4C22">
      <w:pPr>
        <w:pStyle w:val="ListParagraph"/>
        <w:ind w:left="1080" w:hanging="360"/>
        <w:contextualSpacing/>
        <w:jc w:val="both"/>
        <w:rPr>
          <w:rFonts w:eastAsia="Calibri"/>
          <w:b/>
          <w:bCs/>
          <w:sz w:val="22"/>
          <w:szCs w:val="22"/>
          <w:lang w:val="es-MX"/>
        </w:rPr>
      </w:pPr>
      <w:r w:rsidRPr="00AF4C22">
        <w:rPr>
          <w:rFonts w:eastAsia="Times New Roman"/>
          <w:sz w:val="22"/>
          <w:szCs w:val="22"/>
          <w:lang w:val="es-MX"/>
        </w:rPr>
        <w:t>2.</w:t>
      </w:r>
      <w:r w:rsidRPr="00AF4C22">
        <w:rPr>
          <w:rFonts w:eastAsia="Times New Roman"/>
          <w:sz w:val="22"/>
          <w:szCs w:val="22"/>
          <w:lang w:val="es-MX"/>
        </w:rPr>
        <w:tab/>
        <w:t>Instruir al Consejo Permanente que incluya en una de sus sesiones ordinarias el tema del acceso a la información, la participación pública y el acceso a la justicia en asuntos ambientales en América Latina y el Caribe, a la que se invite a la Comisión Interamericana de Derechos Humanos (CIDH), a su Relatoría Especial sobre los Derechos Económicos, Sociales, Culturales y Ambientales, y al Grupo de Trabajo del Protocolo de San Salvador, para que brinden un informe sobre el estado de situación de este tema en América Latina y el Caribe.</w:t>
      </w:r>
    </w:p>
    <w:p w14:paraId="1AF8D936" w14:textId="77777777" w:rsidR="00A56FA8" w:rsidRPr="00AF4C22" w:rsidRDefault="00A56FA8" w:rsidP="00AF4C22">
      <w:pPr>
        <w:pStyle w:val="ListParagraph"/>
        <w:ind w:left="1080"/>
        <w:contextualSpacing/>
        <w:jc w:val="both"/>
        <w:rPr>
          <w:rFonts w:eastAsia="Times New Roman"/>
          <w:b/>
          <w:sz w:val="22"/>
          <w:szCs w:val="22"/>
          <w:lang w:val="es-MX"/>
        </w:rPr>
      </w:pPr>
    </w:p>
    <w:p w14:paraId="57B1B825" w14:textId="52F35BEC" w:rsidR="00A56FA8" w:rsidRPr="00AF4C22" w:rsidRDefault="00A56FA8" w:rsidP="00AF4C22">
      <w:pPr>
        <w:pStyle w:val="ListParagraph"/>
        <w:ind w:left="1080"/>
        <w:contextualSpacing/>
        <w:jc w:val="both"/>
        <w:rPr>
          <w:rFonts w:eastAsia="Times New Roman"/>
          <w:b/>
          <w:sz w:val="22"/>
          <w:szCs w:val="22"/>
          <w:lang w:val="es-CO"/>
        </w:rPr>
      </w:pPr>
      <w:r w:rsidRPr="00AF4C22">
        <w:rPr>
          <w:rFonts w:eastAsia="Times New Roman"/>
          <w:b/>
          <w:sz w:val="22"/>
          <w:szCs w:val="22"/>
          <w:lang w:val="es-CO"/>
        </w:rPr>
        <w:t xml:space="preserve">Nota: sesión extraordinaria del Consejo Permanente </w:t>
      </w:r>
      <w:r w:rsidR="009411FA" w:rsidRPr="00AF4C22">
        <w:rPr>
          <w:rFonts w:eastAsia="Times New Roman"/>
          <w:b/>
          <w:sz w:val="22"/>
          <w:szCs w:val="22"/>
          <w:lang w:val="es-CO"/>
        </w:rPr>
        <w:t>pendiente</w:t>
      </w:r>
    </w:p>
    <w:p w14:paraId="53C9A869" w14:textId="77777777" w:rsidR="00A56FA8" w:rsidRPr="00AF4C22" w:rsidRDefault="00A56FA8"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s-CO"/>
        </w:rPr>
      </w:pPr>
    </w:p>
    <w:p w14:paraId="525348F3" w14:textId="77777777" w:rsidR="00453981" w:rsidRPr="00AF4C22" w:rsidRDefault="00453981" w:rsidP="00AF4C22">
      <w:pPr>
        <w:pStyle w:val="ListParagraph"/>
        <w:numPr>
          <w:ilvl w:val="0"/>
          <w:numId w:val="13"/>
        </w:numPr>
        <w:ind w:left="720"/>
        <w:jc w:val="both"/>
        <w:rPr>
          <w:rFonts w:eastAsia="Times New Roman"/>
          <w:sz w:val="22"/>
          <w:szCs w:val="22"/>
          <w:u w:val="single"/>
          <w:lang w:val="es-MX"/>
        </w:rPr>
      </w:pPr>
      <w:r w:rsidRPr="00AF4C22">
        <w:rPr>
          <w:sz w:val="22"/>
          <w:szCs w:val="22"/>
          <w:u w:val="single"/>
          <w:lang w:val="es-CO"/>
        </w:rPr>
        <w:t>Sección xix. Derechos</w:t>
      </w:r>
      <w:r w:rsidRPr="00AF4C22">
        <w:rPr>
          <w:rFonts w:eastAsia="Times New Roman"/>
          <w:sz w:val="22"/>
          <w:szCs w:val="22"/>
          <w:u w:val="single"/>
          <w:lang w:val="es-MX"/>
        </w:rPr>
        <w:t xml:space="preserve"> humanos y prevención de la discriminación y la violencia contra personas LGBTI </w:t>
      </w:r>
    </w:p>
    <w:p w14:paraId="26270F37" w14:textId="77777777" w:rsidR="00453981" w:rsidRPr="00AF4C22" w:rsidRDefault="00453981" w:rsidP="00AF4C22">
      <w:pPr>
        <w:pStyle w:val="ListParagraph"/>
        <w:jc w:val="both"/>
        <w:rPr>
          <w:rFonts w:eastAsia="Times New Roman"/>
          <w:sz w:val="22"/>
          <w:szCs w:val="22"/>
          <w:u w:val="single"/>
          <w:lang w:val="es-MX"/>
        </w:rPr>
      </w:pPr>
    </w:p>
    <w:p w14:paraId="7EF8498E" w14:textId="40119173" w:rsidR="00453981" w:rsidRPr="00AF4C22" w:rsidRDefault="003E617D" w:rsidP="00AF4C22">
      <w:pPr>
        <w:pStyle w:val="ListParagraph"/>
        <w:ind w:left="1080" w:hanging="360"/>
        <w:contextualSpacing/>
        <w:jc w:val="both"/>
        <w:rPr>
          <w:rFonts w:eastAsia="Times New Roman"/>
          <w:b/>
          <w:bCs/>
          <w:sz w:val="22"/>
          <w:szCs w:val="22"/>
          <w:lang w:val="es-MX"/>
        </w:rPr>
      </w:pPr>
      <w:r w:rsidRPr="00AF4C22">
        <w:rPr>
          <w:rFonts w:eastAsia="Times New Roman"/>
          <w:sz w:val="22"/>
          <w:szCs w:val="22"/>
          <w:lang w:val="es-MX"/>
        </w:rPr>
        <w:t>9.</w:t>
      </w:r>
      <w:r w:rsidRPr="00AF4C22">
        <w:rPr>
          <w:rFonts w:eastAsia="Times New Roman"/>
          <w:sz w:val="22"/>
          <w:szCs w:val="22"/>
          <w:lang w:val="es-MX"/>
        </w:rPr>
        <w:tab/>
        <w:t>Solicitar a la CIDH, en función de su disponibilidad de recursos, un reporte de seguimiento sobre el informe “Violencia contra las personas LGBTI” de 2015 y que, en colaboración con otras instancias y agencias, como la Organización Panamericana de la Salud, que también informe sobre la discriminación médica y las prácticas médicas degradantes, especialmente en relación con las personas intersex, y un reporte sobre la práctica de las denominadas “terapias de conversión” en la región.</w:t>
      </w:r>
    </w:p>
    <w:p w14:paraId="03809E06" w14:textId="77777777" w:rsidR="004670E4" w:rsidRPr="00AF4C22" w:rsidRDefault="004670E4" w:rsidP="00AF4C22">
      <w:pPr>
        <w:pStyle w:val="ListParagraph"/>
        <w:ind w:left="1080"/>
        <w:contextualSpacing/>
        <w:jc w:val="both"/>
        <w:rPr>
          <w:rFonts w:eastAsia="Times New Roman"/>
          <w:b/>
          <w:sz w:val="22"/>
          <w:szCs w:val="22"/>
          <w:lang w:val="es-MX"/>
        </w:rPr>
      </w:pPr>
    </w:p>
    <w:p w14:paraId="6EA62CD9" w14:textId="30ECB24A" w:rsidR="00453981" w:rsidRPr="00AF4C22" w:rsidRDefault="00453981" w:rsidP="00AF4C22">
      <w:pPr>
        <w:pStyle w:val="ListParagraph"/>
        <w:ind w:left="1080"/>
        <w:contextualSpacing/>
        <w:jc w:val="both"/>
        <w:rPr>
          <w:rFonts w:eastAsia="Times New Roman"/>
          <w:b/>
          <w:sz w:val="22"/>
          <w:szCs w:val="22"/>
          <w:lang w:val="es-MX"/>
        </w:rPr>
      </w:pPr>
      <w:r w:rsidRPr="00AF4C22">
        <w:rPr>
          <w:rFonts w:eastAsia="Times New Roman"/>
          <w:b/>
          <w:sz w:val="22"/>
          <w:szCs w:val="22"/>
          <w:lang w:val="es-MX"/>
        </w:rPr>
        <w:t>Nota: informe temático/especial pendiente</w:t>
      </w:r>
    </w:p>
    <w:p w14:paraId="17D70CB1" w14:textId="77777777" w:rsidR="00453981" w:rsidRPr="00AF4C22" w:rsidRDefault="00453981" w:rsidP="00AF4C22">
      <w:pPr>
        <w:pStyle w:val="ListParagraph"/>
        <w:ind w:left="1080"/>
        <w:contextualSpacing/>
        <w:jc w:val="both"/>
        <w:rPr>
          <w:rFonts w:eastAsia="Times New Roman"/>
          <w:b/>
          <w:bCs/>
          <w:sz w:val="22"/>
          <w:szCs w:val="22"/>
          <w:lang w:val="es-MX"/>
        </w:rPr>
      </w:pPr>
    </w:p>
    <w:p w14:paraId="6F5BEDA4" w14:textId="6D5EC435" w:rsidR="00453981" w:rsidRPr="00AF4C22" w:rsidRDefault="00453981" w:rsidP="00AF4C22">
      <w:pPr>
        <w:pStyle w:val="ListParagraph"/>
        <w:numPr>
          <w:ilvl w:val="0"/>
          <w:numId w:val="13"/>
        </w:numPr>
        <w:ind w:left="720"/>
        <w:jc w:val="both"/>
        <w:rPr>
          <w:rFonts w:eastAsia="Arial Unicode MS"/>
          <w:sz w:val="22"/>
          <w:szCs w:val="22"/>
          <w:u w:val="single"/>
          <w:lang w:val="es-MX"/>
        </w:rPr>
      </w:pPr>
      <w:r w:rsidRPr="00AF4C22">
        <w:rPr>
          <w:rFonts w:eastAsia="Times New Roman"/>
          <w:sz w:val="22"/>
          <w:szCs w:val="22"/>
          <w:u w:val="single"/>
          <w:lang w:val="es-MX"/>
        </w:rPr>
        <w:t xml:space="preserve">Sección xx. Promoción y </w:t>
      </w:r>
      <w:r w:rsidRPr="00AF4C22">
        <w:rPr>
          <w:sz w:val="22"/>
          <w:szCs w:val="22"/>
          <w:u w:val="single"/>
          <w:lang w:val="es-CO"/>
        </w:rPr>
        <w:t>protección</w:t>
      </w:r>
      <w:r w:rsidRPr="00AF4C22">
        <w:rPr>
          <w:rFonts w:eastAsia="Times New Roman"/>
          <w:sz w:val="22"/>
          <w:szCs w:val="22"/>
          <w:u w:val="single"/>
          <w:lang w:val="es-MX"/>
        </w:rPr>
        <w:t xml:space="preserve"> de los derechos humanos en línea</w:t>
      </w:r>
    </w:p>
    <w:p w14:paraId="204B234A" w14:textId="77777777" w:rsidR="00453981" w:rsidRPr="00AF4C22" w:rsidRDefault="00453981" w:rsidP="00AF4C22">
      <w:pPr>
        <w:pStyle w:val="ListParagraph"/>
        <w:jc w:val="both"/>
        <w:rPr>
          <w:rFonts w:eastAsia="Arial Unicode MS"/>
          <w:sz w:val="22"/>
          <w:szCs w:val="22"/>
          <w:u w:val="single"/>
          <w:lang w:val="es-MX"/>
        </w:rPr>
      </w:pPr>
    </w:p>
    <w:p w14:paraId="0FA19221" w14:textId="47B0F534" w:rsidR="00453981" w:rsidRPr="00AF4C22" w:rsidRDefault="003E617D" w:rsidP="00AF4C22">
      <w:pPr>
        <w:pStyle w:val="ListParagraph"/>
        <w:ind w:left="1080" w:hanging="360"/>
        <w:contextualSpacing/>
        <w:jc w:val="both"/>
        <w:rPr>
          <w:rFonts w:eastAsia="Times New Roman"/>
          <w:b/>
          <w:bCs/>
          <w:sz w:val="22"/>
          <w:szCs w:val="22"/>
          <w:lang w:val="es-MX"/>
        </w:rPr>
      </w:pPr>
      <w:r w:rsidRPr="00AF4C22">
        <w:rPr>
          <w:rFonts w:eastAsia="Times New Roman"/>
          <w:sz w:val="22"/>
          <w:szCs w:val="22"/>
          <w:lang w:val="es-MX"/>
        </w:rPr>
        <w:t>9.</w:t>
      </w:r>
      <w:r w:rsidRPr="00AF4C22">
        <w:rPr>
          <w:rFonts w:eastAsia="Times New Roman"/>
          <w:sz w:val="22"/>
          <w:szCs w:val="22"/>
          <w:lang w:val="es-MX"/>
        </w:rPr>
        <w:tab/>
        <w:t xml:space="preserve">Solicitar que el Relator Especial para la Libertad de Expresión de la CIDH prepare, con los recursos existentes y teniendo en cuenta las contribuciones de diversas partes interesadas y titulares de derechos, como los Estados, el sector privado, el sector académico, la sociedad civil y la comunidad técnica— un informe interamericano sobre normas internacionales, desafíos y mejores prácticas en materia de accesibilidad e </w:t>
      </w:r>
      <w:r w:rsidRPr="00AF4C22">
        <w:rPr>
          <w:rFonts w:eastAsia="Times New Roman"/>
          <w:sz w:val="22"/>
          <w:szCs w:val="22"/>
          <w:lang w:val="es-MX"/>
        </w:rPr>
        <w:lastRenderedPageBreak/>
        <w:t>inclusión digital, con un componente de alfabetización sobre habilidades cívicas digitales y moderación de contenido en línea, a fin de asegurar y promover el acceso libre y equitativo a Internet y a nuevas tecnologías de la información y la comunicación, así como su uso y apropiación por todas las personas, de acuerdo con las obligaciones y normas.</w:t>
      </w:r>
    </w:p>
    <w:p w14:paraId="550A1816" w14:textId="77777777" w:rsidR="00650411" w:rsidRPr="00AF4C22" w:rsidRDefault="00650411" w:rsidP="00AF4C22">
      <w:pPr>
        <w:pStyle w:val="ListParagraph"/>
        <w:ind w:left="1080"/>
        <w:contextualSpacing/>
        <w:jc w:val="both"/>
        <w:rPr>
          <w:rFonts w:eastAsia="Times New Roman"/>
          <w:b/>
          <w:sz w:val="22"/>
          <w:szCs w:val="22"/>
          <w:lang w:val="es-MX"/>
        </w:rPr>
      </w:pPr>
    </w:p>
    <w:p w14:paraId="654F32A8" w14:textId="2DEF6BDF" w:rsidR="00453981" w:rsidRPr="00AF4C22" w:rsidRDefault="00453981" w:rsidP="00AF4C22">
      <w:pPr>
        <w:pStyle w:val="ListParagraph"/>
        <w:ind w:left="1080"/>
        <w:contextualSpacing/>
        <w:jc w:val="both"/>
        <w:rPr>
          <w:rFonts w:eastAsia="Times New Roman"/>
          <w:b/>
          <w:sz w:val="22"/>
          <w:szCs w:val="22"/>
          <w:lang w:val="es-MX"/>
        </w:rPr>
      </w:pPr>
      <w:r w:rsidRPr="00AF4C22">
        <w:rPr>
          <w:rFonts w:eastAsia="Times New Roman"/>
          <w:b/>
          <w:sz w:val="22"/>
          <w:szCs w:val="22"/>
          <w:lang w:val="es-MX"/>
        </w:rPr>
        <w:t>Nota: informe temático/especial pendiente</w:t>
      </w:r>
    </w:p>
    <w:p w14:paraId="7B81ABB5" w14:textId="4BD3C9C1" w:rsidR="001C42E4" w:rsidRPr="00AF4C22" w:rsidRDefault="001C42E4"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u w:val="single"/>
          <w:lang w:val="es-MX" w:eastAsia="en-US"/>
        </w:rPr>
      </w:pPr>
    </w:p>
    <w:p w14:paraId="300EA164" w14:textId="57448A7C" w:rsidR="00453981" w:rsidRPr="00AF4C22" w:rsidRDefault="00453981" w:rsidP="00AF4C22">
      <w:pPr>
        <w:pStyle w:val="ListParagraph"/>
        <w:numPr>
          <w:ilvl w:val="0"/>
          <w:numId w:val="13"/>
        </w:numPr>
        <w:ind w:left="720"/>
        <w:jc w:val="both"/>
        <w:rPr>
          <w:rFonts w:eastAsia="Arial Unicode MS"/>
          <w:sz w:val="22"/>
          <w:szCs w:val="22"/>
          <w:u w:val="single"/>
          <w:lang w:val="es-MX"/>
        </w:rPr>
      </w:pPr>
      <w:r w:rsidRPr="00AF4C22">
        <w:rPr>
          <w:rFonts w:eastAsia="Times New Roman"/>
          <w:sz w:val="22"/>
          <w:szCs w:val="22"/>
          <w:u w:val="single"/>
          <w:lang w:val="es-MX"/>
        </w:rPr>
        <w:t>Sección xxv. Refuerzo de la protección y promoción del derecho a la libertad de conciencia y religión o creencia</w:t>
      </w:r>
    </w:p>
    <w:p w14:paraId="3C5250EB" w14:textId="77777777" w:rsidR="00453981" w:rsidRPr="00AF4C22" w:rsidRDefault="00453981"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s-MX" w:eastAsia="en-US"/>
        </w:rPr>
      </w:pPr>
    </w:p>
    <w:p w14:paraId="00947FDC" w14:textId="4D56EC67" w:rsidR="00453981" w:rsidRPr="00AF4C22" w:rsidRDefault="003E617D" w:rsidP="00AF4C22">
      <w:pPr>
        <w:pStyle w:val="ListParagraph"/>
        <w:ind w:left="1080" w:hanging="360"/>
        <w:contextualSpacing/>
        <w:jc w:val="both"/>
        <w:rPr>
          <w:rFonts w:eastAsia="Times New Roman"/>
          <w:b/>
          <w:sz w:val="22"/>
          <w:szCs w:val="22"/>
          <w:lang w:val="es-MX"/>
        </w:rPr>
      </w:pPr>
      <w:r w:rsidRPr="00AF4C22">
        <w:rPr>
          <w:rFonts w:eastAsia="Times New Roman"/>
          <w:sz w:val="22"/>
          <w:szCs w:val="22"/>
          <w:lang w:val="es-MX"/>
        </w:rPr>
        <w:t>1.</w:t>
      </w:r>
      <w:r w:rsidRPr="00AF4C22">
        <w:rPr>
          <w:rFonts w:eastAsia="Times New Roman"/>
          <w:sz w:val="22"/>
          <w:szCs w:val="22"/>
          <w:lang w:val="es-MX"/>
        </w:rPr>
        <w:tab/>
        <w:t>Solicitar a la CIDH que, una vez concluido, presente ante el Consejo Permanente su estudio sobre el derecho a la libertad de conciencia y religión o creencia.</w:t>
      </w:r>
    </w:p>
    <w:p w14:paraId="10CAF1D7" w14:textId="77777777" w:rsidR="003E617D" w:rsidRPr="00AF4C22" w:rsidRDefault="003E617D" w:rsidP="00AF4C22">
      <w:pPr>
        <w:pStyle w:val="ListParagraph"/>
        <w:ind w:left="1080"/>
        <w:contextualSpacing/>
        <w:jc w:val="both"/>
        <w:rPr>
          <w:rFonts w:eastAsia="Times New Roman"/>
          <w:b/>
          <w:sz w:val="22"/>
          <w:szCs w:val="22"/>
          <w:lang w:val="es-MX"/>
        </w:rPr>
      </w:pPr>
    </w:p>
    <w:p w14:paraId="1F9A25DD" w14:textId="6BAE1790" w:rsidR="00453981" w:rsidRPr="00AF4C22" w:rsidRDefault="00453981" w:rsidP="00AF4C22">
      <w:pPr>
        <w:pStyle w:val="ListParagraph"/>
        <w:ind w:left="1080"/>
        <w:contextualSpacing/>
        <w:jc w:val="both"/>
        <w:rPr>
          <w:rFonts w:eastAsia="Times New Roman"/>
          <w:b/>
          <w:sz w:val="22"/>
          <w:szCs w:val="22"/>
          <w:lang w:val="es-MX"/>
        </w:rPr>
      </w:pPr>
      <w:r w:rsidRPr="00AF4C22">
        <w:rPr>
          <w:rFonts w:eastAsia="Times New Roman"/>
          <w:b/>
          <w:sz w:val="22"/>
          <w:szCs w:val="22"/>
          <w:lang w:val="es-MX"/>
        </w:rPr>
        <w:t>Nota: informe temático/especial pendiente</w:t>
      </w:r>
    </w:p>
    <w:p w14:paraId="04AE6324" w14:textId="77777777" w:rsidR="00453981" w:rsidRPr="00AF4C22" w:rsidRDefault="00453981" w:rsidP="00AF4C22">
      <w:pPr>
        <w:pStyle w:val="ListParagraph"/>
        <w:ind w:left="1080"/>
        <w:contextualSpacing/>
        <w:jc w:val="both"/>
        <w:rPr>
          <w:rFonts w:eastAsia="Times New Roman"/>
          <w:b/>
          <w:sz w:val="22"/>
          <w:szCs w:val="22"/>
          <w:lang w:val="es-MX"/>
        </w:rPr>
      </w:pPr>
    </w:p>
    <w:p w14:paraId="38B39A78" w14:textId="77777777" w:rsidR="00453981" w:rsidRPr="00AF4C22" w:rsidRDefault="00453981" w:rsidP="00AF4C22">
      <w:pPr>
        <w:pStyle w:val="ListParagraph"/>
        <w:numPr>
          <w:ilvl w:val="0"/>
          <w:numId w:val="13"/>
        </w:numPr>
        <w:ind w:left="720"/>
        <w:jc w:val="both"/>
        <w:rPr>
          <w:sz w:val="22"/>
          <w:szCs w:val="22"/>
          <w:u w:val="single"/>
          <w:lang w:val="es-CO"/>
        </w:rPr>
      </w:pPr>
      <w:r w:rsidRPr="00AF4C22">
        <w:rPr>
          <w:sz w:val="22"/>
          <w:szCs w:val="22"/>
          <w:u w:val="single"/>
          <w:lang w:val="es-CO"/>
        </w:rPr>
        <w:t xml:space="preserve">Sección xxvi. Paridad de género y representatividad geográfica y de los diferentes sistemas jurídicos, en la Comisión Interamericana de Derechos Humanos y la Corte Interamericana de Derechos Humanos </w:t>
      </w:r>
    </w:p>
    <w:p w14:paraId="5D39D18C" w14:textId="77777777" w:rsidR="00453981" w:rsidRPr="00AF4C22" w:rsidRDefault="00453981"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lang w:val="es-AR" w:eastAsia="en-US"/>
        </w:rPr>
      </w:pPr>
    </w:p>
    <w:p w14:paraId="4E61ED44" w14:textId="3469061C" w:rsidR="00453981" w:rsidRPr="00AF4C22" w:rsidRDefault="003E617D" w:rsidP="00AF4C22">
      <w:pPr>
        <w:pStyle w:val="ListParagraph"/>
        <w:ind w:left="1080" w:hanging="360"/>
        <w:contextualSpacing/>
        <w:jc w:val="both"/>
        <w:rPr>
          <w:rFonts w:eastAsia="Times New Roman"/>
          <w:sz w:val="22"/>
          <w:szCs w:val="22"/>
          <w:lang w:val="es-CO"/>
        </w:rPr>
      </w:pPr>
      <w:r w:rsidRPr="00AF4C22">
        <w:rPr>
          <w:rFonts w:eastAsia="Times New Roman"/>
          <w:sz w:val="22"/>
          <w:szCs w:val="22"/>
          <w:lang w:val="es-CO"/>
        </w:rPr>
        <w:t>5.</w:t>
      </w:r>
      <w:r w:rsidRPr="00AF4C22">
        <w:rPr>
          <w:rFonts w:eastAsia="Times New Roman"/>
          <w:sz w:val="22"/>
          <w:szCs w:val="22"/>
          <w:lang w:val="es-CO"/>
        </w:rPr>
        <w:tab/>
        <w:t>Encomendar a la CAJP que continúe intensificando su trabajo en este tema, incluyendo en su programa de trabajo 2022-2023 la celebración de una sesión de seguimiento en la que los Estados Miembros, expertos y expertas y la sociedad civil, incluso las organizaciones de mujeres, compartan buenas prácticas en procesos de nominación y selección de personas candidatas a los órganos del sistema interamericano de derechos humanos, e incluyendo información sobre procedimientos, políticas a nivel nacional, así como las buenas prácticas de otros organismos de derechos humanos, con miras a desarrollar un informe con recomendaciones para promover la paridad de género, la igualdad de género y la no discriminación y el equilibrio entre las diferentes regiones y sistemas jurídicos del Hemisferio en la CIDH y la Corte Interamericana de Derechos Humanos, que será presentado durante la 53 Asamblea General; y solicitar a la CIM que elabore, con base en esa reunión y recabando de manera inclusiva todas las opiniones y participaciones, un informe con recomendaciones a ser presentado durante la 53 Asamblea General, que incluya información sobre procedimientos, políticas nacionales, así como buenas prácticas existentes.</w:t>
      </w:r>
    </w:p>
    <w:p w14:paraId="485E6FB9" w14:textId="77777777" w:rsidR="003E617D" w:rsidRPr="00AF4C22" w:rsidRDefault="003E617D" w:rsidP="00AF4C22">
      <w:pPr>
        <w:pStyle w:val="ListParagraph"/>
        <w:ind w:left="1080"/>
        <w:contextualSpacing/>
        <w:jc w:val="both"/>
        <w:rPr>
          <w:rFonts w:eastAsia="Times New Roman"/>
          <w:b/>
          <w:sz w:val="22"/>
          <w:szCs w:val="22"/>
          <w:lang w:val="es-MX"/>
        </w:rPr>
      </w:pPr>
    </w:p>
    <w:p w14:paraId="3AEDA4C9" w14:textId="1920393D" w:rsidR="00453981" w:rsidRPr="00AF4C22" w:rsidRDefault="00453981" w:rsidP="00AF4C22">
      <w:pPr>
        <w:pStyle w:val="ListParagraph"/>
        <w:ind w:left="1080"/>
        <w:contextualSpacing/>
        <w:jc w:val="both"/>
        <w:rPr>
          <w:rFonts w:eastAsia="Times New Roman"/>
          <w:b/>
          <w:sz w:val="22"/>
          <w:szCs w:val="22"/>
          <w:lang w:val="es-MX"/>
        </w:rPr>
      </w:pPr>
      <w:r w:rsidRPr="00AF4C22">
        <w:rPr>
          <w:rFonts w:eastAsia="Times New Roman"/>
          <w:b/>
          <w:sz w:val="22"/>
          <w:szCs w:val="22"/>
          <w:lang w:val="es-MX"/>
        </w:rPr>
        <w:t xml:space="preserve">Nota: informe </w:t>
      </w:r>
      <w:r w:rsidR="003E617D" w:rsidRPr="00AF4C22">
        <w:rPr>
          <w:rFonts w:eastAsia="Times New Roman"/>
          <w:b/>
          <w:sz w:val="22"/>
          <w:szCs w:val="22"/>
          <w:lang w:val="es-MX"/>
        </w:rPr>
        <w:t xml:space="preserve">final </w:t>
      </w:r>
      <w:r w:rsidRPr="00AF4C22">
        <w:rPr>
          <w:rFonts w:eastAsia="Times New Roman"/>
          <w:b/>
          <w:sz w:val="22"/>
          <w:szCs w:val="22"/>
          <w:lang w:val="es-MX"/>
        </w:rPr>
        <w:t>pendiente</w:t>
      </w:r>
    </w:p>
    <w:p w14:paraId="5EE14E98" w14:textId="733B6009" w:rsidR="00F0080B" w:rsidRDefault="00F0080B" w:rsidP="00AF4C2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jc w:val="left"/>
        <w:rPr>
          <w:rFonts w:ascii="Times New Roman" w:eastAsia="Calibri" w:hAnsi="Times New Roman"/>
          <w:bCs/>
          <w:szCs w:val="22"/>
          <w:lang w:val="es-AR" w:eastAsia="en-US"/>
        </w:rPr>
      </w:pPr>
    </w:p>
    <w:p w14:paraId="24A9662D" w14:textId="6CE0AB6E" w:rsidR="00F0080B" w:rsidRPr="00045A46" w:rsidRDefault="00F0080B" w:rsidP="00045A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 w:val="20"/>
          <w:lang w:val="es-AR" w:eastAsia="en-US"/>
        </w:rPr>
      </w:pPr>
      <w:r>
        <w:rPr>
          <w:rFonts w:ascii="Times New Roman" w:eastAsia="Calibri" w:hAnsi="Times New Roman"/>
          <w:bCs/>
          <w:szCs w:val="22"/>
          <w:lang w:val="es-AR" w:eastAsia="en-US"/>
        </w:rPr>
        <w:br w:type="page"/>
      </w:r>
      <w:r w:rsidRPr="00045A46">
        <w:rPr>
          <w:rFonts w:ascii="Times New Roman" w:eastAsia="Calibri" w:hAnsi="Times New Roman"/>
          <w:bCs/>
          <w:sz w:val="20"/>
          <w:lang w:val="es-AR" w:eastAsia="en-US"/>
        </w:rPr>
        <w:lastRenderedPageBreak/>
        <w:t>NOTAS A PIE DE PÁGINA</w:t>
      </w:r>
    </w:p>
    <w:p w14:paraId="41895207" w14:textId="77777777" w:rsidR="00F0080B" w:rsidRDefault="00F0080B" w:rsidP="00045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 w:val="20"/>
          <w:lang w:val="es-AR" w:eastAsia="en-US"/>
        </w:rPr>
      </w:pPr>
    </w:p>
    <w:p w14:paraId="21E062BE" w14:textId="77777777" w:rsidR="00045A46" w:rsidRPr="00045A46" w:rsidRDefault="00045A46" w:rsidP="00045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 w:val="20"/>
          <w:lang w:val="es-AR" w:eastAsia="en-US"/>
        </w:rPr>
      </w:pPr>
    </w:p>
    <w:p w14:paraId="59A6DA25" w14:textId="5B86ADFC" w:rsidR="00D16341" w:rsidRPr="00045A46" w:rsidRDefault="00D16341" w:rsidP="00045A46">
      <w:pPr>
        <w:pStyle w:val="NormalWeb"/>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sz w:val="20"/>
          <w:szCs w:val="20"/>
        </w:rPr>
      </w:pPr>
      <w:r w:rsidRPr="00045A46">
        <w:rPr>
          <w:rFonts w:eastAsia="Times New Roman"/>
          <w:color w:val="000000"/>
          <w:sz w:val="20"/>
          <w:szCs w:val="20"/>
          <w:lang w:val="es-ES_tradnl" w:eastAsia="es-ES"/>
        </w:rPr>
        <w:t>…</w:t>
      </w:r>
      <w:r w:rsidRPr="00045A46">
        <w:rPr>
          <w:rFonts w:eastAsia="Times New Roman"/>
          <w:color w:val="000000"/>
          <w:sz w:val="20"/>
          <w:szCs w:val="20"/>
          <w:lang w:val="es-ES_tradnl" w:eastAsia="es-ES"/>
        </w:rPr>
        <w:t>del Estado de derecho.</w:t>
      </w:r>
    </w:p>
    <w:p w14:paraId="710B904F" w14:textId="77777777" w:rsidR="00D16341" w:rsidRPr="00045A46" w:rsidRDefault="00D16341" w:rsidP="00045A46">
      <w:pPr>
        <w:rPr>
          <w:rFonts w:ascii="Times New Roman" w:eastAsia="Times New Roman" w:hAnsi="Times New Roman"/>
          <w:color w:val="000000"/>
          <w:sz w:val="20"/>
          <w:lang w:val="es-ES_tradnl" w:eastAsia="es-ES"/>
        </w:rPr>
      </w:pPr>
    </w:p>
    <w:p w14:paraId="63AC22DB" w14:textId="77777777" w:rsidR="00D16341" w:rsidRPr="00045A46" w:rsidRDefault="00D16341" w:rsidP="00045A46">
      <w:pPr>
        <w:ind w:firstLine="720"/>
        <w:rPr>
          <w:rFonts w:ascii="Times New Roman" w:eastAsia="Times New Roman" w:hAnsi="Times New Roman"/>
          <w:color w:val="000000"/>
          <w:sz w:val="20"/>
          <w:lang w:val="es-ES_tradnl" w:eastAsia="es-ES"/>
        </w:rPr>
      </w:pPr>
      <w:r w:rsidRPr="00045A46">
        <w:rPr>
          <w:rFonts w:ascii="Times New Roman" w:eastAsia="Times New Roman" w:hAnsi="Times New Roman"/>
          <w:color w:val="000000"/>
          <w:sz w:val="20"/>
          <w:lang w:val="es-ES_tradnl" w:eastAsia="es-ES"/>
        </w:rPr>
        <w:t>Para El Salvador, todos los órganos y organismos del Sistema Interamericano desempeñan un rol fundamental y complementario en cumplimiento de los propósitos y principios de la Carta de la Organización de los Estados Americanos.</w:t>
      </w:r>
    </w:p>
    <w:p w14:paraId="5DC204A6" w14:textId="77777777" w:rsidR="00D16341" w:rsidRPr="00045A46" w:rsidRDefault="00D16341" w:rsidP="00045A46">
      <w:pPr>
        <w:ind w:firstLine="720"/>
        <w:rPr>
          <w:rFonts w:ascii="Times New Roman" w:eastAsia="Times New Roman" w:hAnsi="Times New Roman"/>
          <w:color w:val="000000"/>
          <w:sz w:val="20"/>
          <w:lang w:val="es-ES_tradnl" w:eastAsia="es-ES"/>
        </w:rPr>
      </w:pPr>
    </w:p>
    <w:p w14:paraId="77392D04" w14:textId="77777777" w:rsidR="00D16341" w:rsidRPr="00045A46" w:rsidRDefault="00D16341" w:rsidP="00045A46">
      <w:pPr>
        <w:ind w:firstLine="720"/>
        <w:rPr>
          <w:rFonts w:ascii="Times New Roman" w:eastAsia="Times New Roman" w:hAnsi="Times New Roman"/>
          <w:color w:val="000000"/>
          <w:sz w:val="20"/>
          <w:lang w:val="es-ES_tradnl" w:eastAsia="es-ES"/>
        </w:rPr>
      </w:pPr>
      <w:r w:rsidRPr="00045A46">
        <w:rPr>
          <w:rFonts w:ascii="Times New Roman" w:eastAsia="Times New Roman" w:hAnsi="Times New Roman"/>
          <w:color w:val="000000"/>
          <w:sz w:val="20"/>
          <w:lang w:val="es-ES_tradnl" w:eastAsia="es-ES"/>
        </w:rPr>
        <w:t>Toda Relatoría bajo el Sistema Interamericano de Derechos Humanos, sin distinción, individualización, ni privilegio alguno, está llamada a dar fiel cumplimiento a la directiva 1/19 sobre el desempeño de las actividades y de las funciones previstas en los mandatos de las relatorías especiales de la CIDH.</w:t>
      </w:r>
    </w:p>
    <w:p w14:paraId="1CD2AF96" w14:textId="77777777" w:rsidR="00D16341" w:rsidRPr="00045A46" w:rsidRDefault="00D16341" w:rsidP="00045A46">
      <w:pPr>
        <w:ind w:firstLine="720"/>
        <w:rPr>
          <w:rFonts w:ascii="Times New Roman" w:eastAsia="Times New Roman" w:hAnsi="Times New Roman"/>
          <w:color w:val="000000"/>
          <w:sz w:val="20"/>
          <w:lang w:val="es-ES_tradnl" w:eastAsia="es-ES"/>
        </w:rPr>
      </w:pPr>
    </w:p>
    <w:p w14:paraId="023A78B4" w14:textId="6E967350" w:rsidR="00F0080B" w:rsidRPr="00045A46" w:rsidRDefault="00F0080B" w:rsidP="00045A46">
      <w:pPr>
        <w:pStyle w:val="ListParagraph"/>
        <w:numPr>
          <w:ilvl w:val="0"/>
          <w:numId w:val="54"/>
        </w:numPr>
        <w:ind w:left="0" w:firstLine="720"/>
        <w:jc w:val="both"/>
        <w:rPr>
          <w:rFonts w:eastAsia="Calibri"/>
          <w:bCs/>
          <w:sz w:val="20"/>
          <w:szCs w:val="20"/>
          <w:lang w:val="es-AR"/>
        </w:rPr>
      </w:pPr>
      <w:r w:rsidRPr="00045A46">
        <w:rPr>
          <w:rFonts w:eastAsia="Calibri"/>
          <w:bCs/>
          <w:sz w:val="20"/>
          <w:szCs w:val="20"/>
          <w:lang w:val="es-AR"/>
        </w:rPr>
        <w:t>…</w:t>
      </w:r>
      <w:r w:rsidRPr="00045A46">
        <w:rPr>
          <w:sz w:val="20"/>
          <w:szCs w:val="20"/>
          <w:lang w:val="es-AR"/>
        </w:rPr>
        <w:t xml:space="preserve"> enfermedad rara separa a este grupo de la comunidad de discapacitados en general y da a entender que las personas con discapacidades derivadas de enfermedades raras no forman parte de la comunidad de discapacitados.  Además, esto puede propiciar que otros grupos busquen resoluciones o políticas únicas similares, lo que erosiona aún más las protecciones existentes que están lejos de aplicarse.</w:t>
      </w:r>
    </w:p>
    <w:p w14:paraId="7A56D24A" w14:textId="77777777" w:rsidR="00045A46" w:rsidRPr="00045A46" w:rsidRDefault="00045A46" w:rsidP="00045A46">
      <w:pPr>
        <w:pStyle w:val="ListParagraph"/>
        <w:jc w:val="both"/>
        <w:rPr>
          <w:rFonts w:eastAsia="Calibri"/>
          <w:bCs/>
          <w:sz w:val="20"/>
          <w:szCs w:val="20"/>
          <w:lang w:val="es-AR"/>
        </w:rPr>
      </w:pPr>
    </w:p>
    <w:p w14:paraId="4D59BB2F" w14:textId="395BCEB5" w:rsidR="00045A46" w:rsidRPr="00045A46" w:rsidRDefault="00045A46" w:rsidP="00045A46">
      <w:pPr>
        <w:pStyle w:val="ListParagraph"/>
        <w:numPr>
          <w:ilvl w:val="0"/>
          <w:numId w:val="54"/>
        </w:numPr>
        <w:ind w:left="0" w:firstLine="720"/>
        <w:jc w:val="both"/>
        <w:rPr>
          <w:rFonts w:eastAsia="Calibri"/>
          <w:bCs/>
          <w:sz w:val="20"/>
          <w:szCs w:val="20"/>
          <w:lang w:val="es-AR"/>
        </w:rPr>
      </w:pPr>
      <w:r w:rsidRPr="00045A46">
        <w:rPr>
          <w:rFonts w:eastAsia="Calibri"/>
          <w:bCs/>
          <w:sz w:val="20"/>
          <w:szCs w:val="20"/>
          <w:lang w:val="es-AR"/>
        </w:rPr>
        <w:t>…</w:t>
      </w:r>
      <w:r w:rsidRPr="00045A46">
        <w:rPr>
          <w:rFonts w:eastAsia="Calibri"/>
          <w:bCs/>
          <w:sz w:val="20"/>
          <w:szCs w:val="20"/>
          <w:lang w:val="es-AR"/>
        </w:rPr>
        <w:t xml:space="preserve">en materia de derechos humanos. </w:t>
      </w:r>
    </w:p>
    <w:p w14:paraId="066ED6C4" w14:textId="77777777" w:rsidR="00045A46" w:rsidRPr="00045A46" w:rsidRDefault="00045A46" w:rsidP="00045A46">
      <w:pPr>
        <w:ind w:firstLine="720"/>
        <w:rPr>
          <w:rFonts w:ascii="Times New Roman" w:eastAsia="Times New Roman" w:hAnsi="Times New Roman"/>
          <w:color w:val="000000"/>
          <w:sz w:val="20"/>
          <w:lang w:val="es-ES_tradnl" w:eastAsia="es-ES"/>
        </w:rPr>
      </w:pPr>
    </w:p>
    <w:p w14:paraId="6531C4C3" w14:textId="77777777" w:rsidR="00045A46" w:rsidRPr="00045A46" w:rsidRDefault="00045A46" w:rsidP="00045A46">
      <w:pPr>
        <w:ind w:firstLine="720"/>
        <w:rPr>
          <w:rFonts w:ascii="Times New Roman" w:eastAsia="Times New Roman" w:hAnsi="Times New Roman"/>
          <w:color w:val="000000"/>
          <w:sz w:val="20"/>
          <w:lang w:val="es-ES_tradnl" w:eastAsia="es-ES"/>
        </w:rPr>
      </w:pPr>
      <w:r w:rsidRPr="00045A46">
        <w:rPr>
          <w:rFonts w:ascii="Times New Roman" w:eastAsia="Times New Roman" w:hAnsi="Times New Roman"/>
          <w:color w:val="000000"/>
          <w:sz w:val="20"/>
          <w:lang w:val="es-ES_tradnl" w:eastAsia="es-ES"/>
        </w:rPr>
        <w:t xml:space="preserve">El Salvador establece reserva a cualquier interpretación o aplicación de los términos contenidos en esta Resolución que, por su naturaleza y alcance, riñan con principios Constitucionales y del ordenamiento jurídico interno. Asimismo, aquellos que, en el ámbito legal, no sean acordes a políticas públicas orientadas a favorecer a las grandes mayorías, o que tiendan a modificar lenguaje acordado en tratados internacionales ratificados por el país. </w:t>
      </w:r>
    </w:p>
    <w:p w14:paraId="41566972" w14:textId="77777777" w:rsidR="00045A46" w:rsidRPr="00045A46" w:rsidRDefault="00045A46" w:rsidP="00045A46">
      <w:pPr>
        <w:ind w:firstLine="720"/>
        <w:rPr>
          <w:rFonts w:ascii="Times New Roman" w:eastAsia="Times New Roman" w:hAnsi="Times New Roman"/>
          <w:color w:val="000000"/>
          <w:sz w:val="20"/>
          <w:lang w:val="es-ES_tradnl" w:eastAsia="es-ES"/>
        </w:rPr>
      </w:pPr>
    </w:p>
    <w:p w14:paraId="2B1816E1" w14:textId="77777777" w:rsidR="00045A46" w:rsidRPr="00045A46" w:rsidRDefault="00045A46" w:rsidP="00045A46">
      <w:pPr>
        <w:ind w:firstLine="720"/>
        <w:rPr>
          <w:rFonts w:ascii="Times New Roman" w:eastAsia="Times New Roman" w:hAnsi="Times New Roman"/>
          <w:color w:val="000000"/>
          <w:sz w:val="20"/>
          <w:lang w:val="es-ES_tradnl" w:eastAsia="es-ES"/>
        </w:rPr>
      </w:pPr>
      <w:r w:rsidRPr="00045A46">
        <w:rPr>
          <w:rFonts w:ascii="Times New Roman" w:eastAsia="Times New Roman" w:hAnsi="Times New Roman"/>
          <w:color w:val="000000"/>
          <w:sz w:val="20"/>
          <w:lang w:val="es-ES_tradnl" w:eastAsia="es-ES"/>
        </w:rPr>
        <w:t xml:space="preserve">El Salvador ratifica su compromiso con la plena aplicación del principio Constitucional de Igualdad y no Discriminación de las personas y el cumplimiento de las obligaciones derivadas en este principio aplicables a la legislación nacional. </w:t>
      </w:r>
    </w:p>
    <w:p w14:paraId="56326EC2" w14:textId="77777777" w:rsidR="00045A46" w:rsidRPr="00045A46" w:rsidRDefault="00045A46" w:rsidP="00045A46">
      <w:pPr>
        <w:ind w:firstLine="720"/>
        <w:rPr>
          <w:rFonts w:ascii="Times New Roman" w:eastAsia="Times New Roman" w:hAnsi="Times New Roman"/>
          <w:color w:val="000000"/>
          <w:sz w:val="20"/>
          <w:lang w:val="es-ES_tradnl" w:eastAsia="es-ES"/>
        </w:rPr>
      </w:pPr>
    </w:p>
    <w:p w14:paraId="67CFEB15" w14:textId="77777777" w:rsidR="00045A46" w:rsidRPr="00045A46" w:rsidRDefault="00045A46" w:rsidP="00045A46">
      <w:pPr>
        <w:ind w:firstLine="720"/>
        <w:rPr>
          <w:rFonts w:ascii="Times New Roman" w:eastAsia="Times New Roman" w:hAnsi="Times New Roman"/>
          <w:color w:val="000000"/>
          <w:sz w:val="20"/>
          <w:lang w:val="es-ES_tradnl" w:eastAsia="es-ES"/>
        </w:rPr>
      </w:pPr>
      <w:r w:rsidRPr="00045A46">
        <w:rPr>
          <w:rFonts w:ascii="Times New Roman" w:eastAsia="Times New Roman" w:hAnsi="Times New Roman"/>
          <w:color w:val="000000"/>
          <w:sz w:val="20"/>
          <w:lang w:val="es-ES_tradnl" w:eastAsia="es-ES"/>
        </w:rPr>
        <w:t>Asimismo, reafirma su responsabilidad de continuar trabajando de manera articulada, para transformar patrones socioculturales que generan violencia, desigualdad y discriminación, en todos los ámbitos.</w:t>
      </w:r>
    </w:p>
    <w:p w14:paraId="7DB3C39A" w14:textId="77777777" w:rsidR="00F0080B" w:rsidRPr="00045A46" w:rsidRDefault="00F0080B" w:rsidP="00045A46">
      <w:pPr>
        <w:ind w:firstLine="720"/>
        <w:rPr>
          <w:rFonts w:ascii="Times New Roman" w:eastAsia="Times New Roman" w:hAnsi="Times New Roman"/>
          <w:color w:val="000000"/>
          <w:sz w:val="20"/>
          <w:lang w:val="es-ES_tradnl" w:eastAsia="es-ES"/>
        </w:rPr>
      </w:pPr>
    </w:p>
    <w:p w14:paraId="3A93FEE7" w14:textId="77777777" w:rsidR="00F0080B" w:rsidRPr="00045A46" w:rsidRDefault="00F0080B" w:rsidP="00045A46">
      <w:pPr>
        <w:ind w:firstLine="720"/>
        <w:rPr>
          <w:rFonts w:ascii="Times New Roman" w:eastAsia="Times New Roman" w:hAnsi="Times New Roman"/>
          <w:color w:val="000000"/>
          <w:sz w:val="20"/>
          <w:lang w:val="es-ES_tradnl" w:eastAsia="es-ES"/>
        </w:rPr>
      </w:pPr>
    </w:p>
    <w:p w14:paraId="4B123E68" w14:textId="7707C669" w:rsidR="00F0080B" w:rsidRPr="00045A46" w:rsidRDefault="00F75C24" w:rsidP="00045A46">
      <w:pPr>
        <w:ind w:firstLine="720"/>
        <w:rPr>
          <w:rFonts w:eastAsia="Times New Roman"/>
          <w:color w:val="000000"/>
          <w:sz w:val="20"/>
          <w:lang w:val="es-ES_tradnl" w:eastAsia="es-ES"/>
        </w:rPr>
      </w:pPr>
      <w:r w:rsidRPr="00045A46">
        <w:rPr>
          <w:rFonts w:eastAsia="Times New Roman"/>
          <w:color w:val="000000"/>
          <w:sz w:val="20"/>
          <w:lang w:val="es-ES_tradnl" w:eastAsia="es-ES"/>
        </w:rPr>
        <w:drawing>
          <wp:anchor distT="0" distB="0" distL="114300" distR="114300" simplePos="0" relativeHeight="251668480" behindDoc="0" locked="0" layoutInCell="1" allowOverlap="1" wp14:anchorId="0053A9E7" wp14:editId="6C02963A">
            <wp:simplePos x="0" y="0"/>
            <wp:positionH relativeFrom="column">
              <wp:posOffset>5273040</wp:posOffset>
            </wp:positionH>
            <wp:positionV relativeFrom="page">
              <wp:posOffset>9074309</wp:posOffset>
            </wp:positionV>
            <wp:extent cx="719455" cy="719455"/>
            <wp:effectExtent l="0" t="0" r="4445" b="4445"/>
            <wp:wrapNone/>
            <wp:docPr id="121873244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732445" name="Picture 1" descr="A qr code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80B" w:rsidRPr="00045A46">
        <w:rPr>
          <w:rFonts w:eastAsia="Times New Roman"/>
          <w:color w:val="000000"/>
          <w:sz w:val="20"/>
          <w:lang w:val="es-ES_tradnl" w:eastAsia="es-ES"/>
        </w:rPr>
        <mc:AlternateContent>
          <mc:Choice Requires="wps">
            <w:drawing>
              <wp:anchor distT="0" distB="0" distL="118745" distR="118745" simplePos="0" relativeHeight="251666432" behindDoc="0" locked="1" layoutInCell="1" allowOverlap="1" wp14:anchorId="75AE3025" wp14:editId="30F4F53C">
                <wp:simplePos x="0" y="0"/>
                <wp:positionH relativeFrom="margin">
                  <wp:align>left</wp:align>
                </wp:positionH>
                <wp:positionV relativeFrom="margin">
                  <wp:posOffset>8009890</wp:posOffset>
                </wp:positionV>
                <wp:extent cx="3383280" cy="228600"/>
                <wp:effectExtent l="0" t="0" r="0" b="0"/>
                <wp:wrapNone/>
                <wp:docPr id="7908303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5F0EBBC" w14:textId="133FCCEA" w:rsidR="00F0080B" w:rsidRPr="008620A7" w:rsidRDefault="00F0080B" w:rsidP="00F0080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F5701">
                              <w:rPr>
                                <w:rFonts w:ascii="Times New Roman" w:hAnsi="Times New Roman"/>
                                <w:noProof/>
                                <w:sz w:val="18"/>
                              </w:rPr>
                              <w:t>AG08809S01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AE3025" id="_x0000_t202" coordsize="21600,21600" o:spt="202" path="m,l,21600r21600,l21600,xe">
                <v:stroke joinstyle="miter"/>
                <v:path gradientshapeok="t" o:connecttype="rect"/>
              </v:shapetype>
              <v:shape id="Text Box 1" o:spid="_x0000_s1026" type="#_x0000_t202" style="position:absolute;left:0;text-align:left;margin-left:0;margin-top:630.7pt;width:266.4pt;height:18pt;z-index:251666432;visibility:visible;mso-wrap-style:square;mso-height-percent:0;mso-wrap-distance-left:9.35pt;mso-wrap-distance-top:0;mso-wrap-distance-right:9.35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" filled="f" stroked="f">
                <v:stroke joinstyle="round"/>
                <v:textbox>
                  <w:txbxContent>
                    <w:p w14:paraId="15F0EBBC" w14:textId="133FCCEA" w:rsidR="00F0080B" w:rsidRPr="008620A7" w:rsidRDefault="00F0080B" w:rsidP="00F0080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F5701">
                        <w:rPr>
                          <w:rFonts w:ascii="Times New Roman" w:hAnsi="Times New Roman"/>
                          <w:noProof/>
                          <w:sz w:val="18"/>
                        </w:rPr>
                        <w:t>AG08809S01</w:t>
                      </w:r>
                      <w:r>
                        <w:rPr>
                          <w:rFonts w:ascii="Times New Roman" w:hAnsi="Times New Roman"/>
                          <w:sz w:val="18"/>
                        </w:rPr>
                        <w:fldChar w:fldCharType="end"/>
                      </w:r>
                    </w:p>
                  </w:txbxContent>
                </v:textbox>
                <w10:wrap anchorx="margin" anchory="margin"/>
                <w10:anchorlock/>
              </v:shape>
            </w:pict>
          </mc:Fallback>
        </mc:AlternateContent>
      </w:r>
    </w:p>
    <w:sectPr w:rsidR="00F0080B" w:rsidRPr="00045A46" w:rsidSect="00431B17">
      <w:headerReference w:type="default" r:id="rId12"/>
      <w:type w:val="oddPage"/>
      <w:pgSz w:w="12240" w:h="15840" w:code="1"/>
      <w:pgMar w:top="2160" w:right="1571" w:bottom="1298" w:left="1701"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529E" w14:textId="77777777" w:rsidR="00FC5B22" w:rsidRDefault="00FC5B22" w:rsidP="00431B17">
      <w:r>
        <w:separator/>
      </w:r>
    </w:p>
  </w:endnote>
  <w:endnote w:type="continuationSeparator" w:id="0">
    <w:p w14:paraId="0A42FB35" w14:textId="77777777" w:rsidR="00FC5B22" w:rsidRDefault="00FC5B22" w:rsidP="0043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BEBC" w14:textId="77777777" w:rsidR="00FC5B22" w:rsidRDefault="00FC5B22" w:rsidP="00431B17">
      <w:r>
        <w:separator/>
      </w:r>
    </w:p>
  </w:footnote>
  <w:footnote w:type="continuationSeparator" w:id="0">
    <w:p w14:paraId="5CC9DFA4" w14:textId="77777777" w:rsidR="00FC5B22" w:rsidRDefault="00FC5B22" w:rsidP="00431B17">
      <w:r>
        <w:continuationSeparator/>
      </w:r>
    </w:p>
  </w:footnote>
  <w:footnote w:id="1">
    <w:p w14:paraId="13315F78" w14:textId="3A856BB8" w:rsidR="0086452B" w:rsidRPr="00D16341" w:rsidRDefault="0086452B" w:rsidP="00D16341">
      <w:pPr>
        <w:pStyle w:val="NormalWeb"/>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textAlignment w:val="baseline"/>
        <w:rPr>
          <w:rFonts w:eastAsia="Times New Roman"/>
          <w:color w:val="000000"/>
          <w:sz w:val="20"/>
          <w:szCs w:val="20"/>
          <w:lang w:val="es-ES_tradnl" w:eastAsia="es-ES"/>
        </w:rPr>
      </w:pPr>
      <w:r w:rsidRPr="00D16341">
        <w:rPr>
          <w:rStyle w:val="FootnoteReference"/>
          <w:sz w:val="20"/>
          <w:szCs w:val="20"/>
          <w:vertAlign w:val="baseline"/>
        </w:rPr>
        <w:footnoteRef/>
      </w:r>
      <w:r w:rsidR="00D16341" w:rsidRPr="00D16341">
        <w:rPr>
          <w:sz w:val="20"/>
          <w:szCs w:val="20"/>
        </w:rPr>
        <w:t>.</w:t>
      </w:r>
      <w:r w:rsidR="00D16341" w:rsidRPr="00D16341">
        <w:rPr>
          <w:sz w:val="20"/>
          <w:szCs w:val="20"/>
        </w:rPr>
        <w:tab/>
      </w:r>
      <w:r w:rsidRPr="00D16341">
        <w:rPr>
          <w:rFonts w:eastAsia="Times New Roman"/>
          <w:color w:val="000000"/>
          <w:sz w:val="20"/>
          <w:szCs w:val="20"/>
          <w:lang w:val="es-ES_tradnl" w:eastAsia="es-ES"/>
        </w:rPr>
        <w:t>La República de El Salvador reafirma su compromiso con el derecho a la libertad de expresión, el cual, contribuye al fortalecimiento de una sociedad democrática y a la consolidación</w:t>
      </w:r>
      <w:r w:rsidR="00D16341" w:rsidRPr="00D16341">
        <w:rPr>
          <w:rFonts w:eastAsia="Times New Roman"/>
          <w:color w:val="000000"/>
          <w:sz w:val="20"/>
          <w:szCs w:val="20"/>
          <w:lang w:val="es-ES_tradnl" w:eastAsia="es-ES"/>
        </w:rPr>
        <w:t>…</w:t>
      </w:r>
      <w:r w:rsidRPr="00D16341">
        <w:rPr>
          <w:rFonts w:eastAsia="Times New Roman"/>
          <w:color w:val="000000"/>
          <w:sz w:val="20"/>
          <w:szCs w:val="20"/>
          <w:lang w:val="es-ES_tradnl" w:eastAsia="es-ES"/>
        </w:rPr>
        <w:t xml:space="preserve"> </w:t>
      </w:r>
    </w:p>
  </w:footnote>
  <w:footnote w:id="2">
    <w:p w14:paraId="67A3E9A3" w14:textId="418A2FF0" w:rsidR="00BF6611" w:rsidRPr="00060369" w:rsidRDefault="008620A7" w:rsidP="008620A7">
      <w:pPr>
        <w:pStyle w:val="FootnoteText"/>
        <w:tabs>
          <w:tab w:val="clear" w:pos="720"/>
          <w:tab w:val="left" w:pos="426"/>
        </w:tabs>
        <w:ind w:left="851" w:hanging="993"/>
        <w:rPr>
          <w:lang w:val="es-PE"/>
        </w:rPr>
      </w:pPr>
      <w:r w:rsidRPr="00D16341">
        <w:rPr>
          <w:rFonts w:ascii="Times New Roman" w:hAnsi="Times New Roman"/>
          <w:lang w:val="es-CO"/>
        </w:rPr>
        <w:tab/>
      </w:r>
      <w:r w:rsidR="00BF6611" w:rsidRPr="008620A7">
        <w:rPr>
          <w:rStyle w:val="FootnoteReference"/>
          <w:rFonts w:ascii="Times New Roman" w:hAnsi="Times New Roman"/>
          <w:vertAlign w:val="baseline"/>
        </w:rPr>
        <w:footnoteRef/>
      </w:r>
      <w:r w:rsidRPr="00060369">
        <w:rPr>
          <w:rFonts w:ascii="Times New Roman" w:hAnsi="Times New Roman"/>
          <w:lang w:val="es-PE"/>
        </w:rPr>
        <w:t>.</w:t>
      </w:r>
      <w:r w:rsidR="00BF6611" w:rsidRPr="00060369">
        <w:rPr>
          <w:lang w:val="es-PE"/>
        </w:rPr>
        <w:t xml:space="preserve"> </w:t>
      </w:r>
      <w:r w:rsidRPr="00060369">
        <w:rPr>
          <w:lang w:val="es-PE"/>
        </w:rPr>
        <w:tab/>
      </w:r>
      <w:r w:rsidR="00060369">
        <w:rPr>
          <w:rFonts w:ascii="Times New Roman" w:hAnsi="Times New Roman"/>
        </w:rPr>
        <w:t xml:space="preserve">Estados Unidos no apoya declaraciones ni resoluciones que destaquen en concreto una discapacidad en particular.  La conmemoración de un día específico dedicado a las personas con una </w:t>
      </w:r>
    </w:p>
  </w:footnote>
  <w:footnote w:id="3">
    <w:p w14:paraId="555ADEFE" w14:textId="0070B6E5" w:rsidR="0086452B" w:rsidRPr="007D0AC7" w:rsidRDefault="0086452B" w:rsidP="00045A46">
      <w:pPr>
        <w:pStyle w:val="NormalWeb"/>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textAlignment w:val="baseline"/>
        <w:rPr>
          <w:rFonts w:eastAsia="Times New Roman"/>
          <w:color w:val="000000"/>
          <w:sz w:val="20"/>
          <w:lang w:val="es-ES_tradnl" w:eastAsia="es-ES"/>
        </w:rPr>
      </w:pPr>
      <w:r w:rsidRPr="00D16341">
        <w:rPr>
          <w:rStyle w:val="FootnoteReference"/>
          <w:sz w:val="20"/>
          <w:szCs w:val="20"/>
          <w:vertAlign w:val="baseline"/>
        </w:rPr>
        <w:footnoteRef/>
      </w:r>
      <w:r w:rsidR="00D16341">
        <w:rPr>
          <w:sz w:val="20"/>
          <w:szCs w:val="20"/>
        </w:rPr>
        <w:t>.</w:t>
      </w:r>
      <w:r w:rsidR="00D16341">
        <w:rPr>
          <w:sz w:val="20"/>
          <w:szCs w:val="20"/>
        </w:rPr>
        <w:tab/>
      </w:r>
      <w:r w:rsidRPr="00D16341">
        <w:rPr>
          <w:rFonts w:eastAsia="Times New Roman"/>
          <w:color w:val="000000"/>
          <w:sz w:val="20"/>
          <w:szCs w:val="20"/>
          <w:lang w:val="es-ES_tradnl" w:eastAsia="es-ES"/>
        </w:rPr>
        <w:t>La República de El Salvador reafirma su firme voluntad con el cumplimiento de sus obligaciones y compromisos adquiridos, tanto a nivel del sistema interamericano como universal,</w:t>
      </w:r>
      <w:r w:rsidR="00045A46">
        <w:rPr>
          <w:rFonts w:eastAsia="Times New Roman"/>
          <w:color w:val="000000"/>
          <w:sz w:val="20"/>
          <w:szCs w:val="20"/>
          <w:lang w:val="es-ES_tradnl" w:eastAsia="es-ES"/>
        </w:rPr>
        <w:t>…</w:t>
      </w:r>
      <w:r w:rsidRPr="00D16341">
        <w:rPr>
          <w:rFonts w:eastAsia="Times New Roman"/>
          <w:color w:val="000000"/>
          <w:sz w:val="20"/>
          <w:szCs w:val="20"/>
          <w:lang w:val="es-ES_tradnl" w:eastAsia="es-ES"/>
        </w:rPr>
        <w:t xml:space="preserve"> </w:t>
      </w:r>
    </w:p>
    <w:p w14:paraId="1A299D61" w14:textId="77777777" w:rsidR="0086452B" w:rsidRPr="0086452B" w:rsidRDefault="0086452B" w:rsidP="008645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Bembo Std" w:eastAsia="Calibri" w:hAnsi="Bembo Std" w:cs="Calibri"/>
          <w:b/>
          <w:bCs/>
          <w:sz w:val="24"/>
          <w:szCs w:val="24"/>
          <w:lang w:val="es-ES_tradnl" w:eastAsia="en-US"/>
        </w:rPr>
      </w:pPr>
    </w:p>
    <w:p w14:paraId="49874351" w14:textId="77777777" w:rsidR="0086452B" w:rsidRPr="007D0AC7" w:rsidRDefault="0086452B" w:rsidP="0086452B">
      <w:pPr>
        <w:pStyle w:val="FootnoteText"/>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869075"/>
      <w:docPartObj>
        <w:docPartGallery w:val="Page Numbers (Top of Page)"/>
        <w:docPartUnique/>
      </w:docPartObj>
    </w:sdtPr>
    <w:sdtEndPr>
      <w:rPr>
        <w:noProof/>
      </w:rPr>
    </w:sdtEndPr>
    <w:sdtContent>
      <w:p w14:paraId="52B7E6A5" w14:textId="3191B202" w:rsidR="00431B17" w:rsidRDefault="00431B17">
        <w:pPr>
          <w:pStyle w:val="Header"/>
          <w:jc w:val="center"/>
        </w:pPr>
        <w:r>
          <w:fldChar w:fldCharType="begin"/>
        </w:r>
        <w:r>
          <w:instrText xml:space="preserve"> PAGE   \* MERGEFORMAT </w:instrText>
        </w:r>
        <w:r>
          <w:fldChar w:fldCharType="separate"/>
        </w:r>
        <w:r w:rsidR="001E20C0">
          <w:rPr>
            <w:noProof/>
          </w:rPr>
          <w:t>- 2 -</w:t>
        </w:r>
        <w:r>
          <w:rPr>
            <w:noProof/>
          </w:rPr>
          <w:fldChar w:fldCharType="end"/>
        </w:r>
      </w:p>
    </w:sdtContent>
  </w:sdt>
  <w:p w14:paraId="741822FA" w14:textId="77777777" w:rsidR="00431B17" w:rsidRDefault="0043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341"/>
    <w:multiLevelType w:val="hybridMultilevel"/>
    <w:tmpl w:val="A02A0F84"/>
    <w:lvl w:ilvl="0" w:tplc="9F6C8D5C">
      <w:start w:val="7"/>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F542D"/>
    <w:multiLevelType w:val="hybridMultilevel"/>
    <w:tmpl w:val="2286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76A56"/>
    <w:multiLevelType w:val="hybridMultilevel"/>
    <w:tmpl w:val="728A7FDC"/>
    <w:lvl w:ilvl="0" w:tplc="7BF26DB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F92"/>
    <w:multiLevelType w:val="hybridMultilevel"/>
    <w:tmpl w:val="EFAAD2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8F2DCB"/>
    <w:multiLevelType w:val="hybridMultilevel"/>
    <w:tmpl w:val="01264846"/>
    <w:lvl w:ilvl="0" w:tplc="A18CF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59C7"/>
    <w:multiLevelType w:val="hybridMultilevel"/>
    <w:tmpl w:val="9050BAC2"/>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0484969"/>
    <w:multiLevelType w:val="hybridMultilevel"/>
    <w:tmpl w:val="F9A83208"/>
    <w:lvl w:ilvl="0" w:tplc="FD9E497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44A3F"/>
    <w:multiLevelType w:val="hybridMultilevel"/>
    <w:tmpl w:val="885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B4298"/>
    <w:multiLevelType w:val="hybridMultilevel"/>
    <w:tmpl w:val="0E169DB8"/>
    <w:lvl w:ilvl="0" w:tplc="0772120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E3886"/>
    <w:multiLevelType w:val="hybridMultilevel"/>
    <w:tmpl w:val="E9062C1E"/>
    <w:lvl w:ilvl="0" w:tplc="A7DA04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60E11"/>
    <w:multiLevelType w:val="hybridMultilevel"/>
    <w:tmpl w:val="A8C4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93430"/>
    <w:multiLevelType w:val="hybridMultilevel"/>
    <w:tmpl w:val="393E4FF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CA3378"/>
    <w:multiLevelType w:val="hybridMultilevel"/>
    <w:tmpl w:val="A5DE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21482"/>
    <w:multiLevelType w:val="hybridMultilevel"/>
    <w:tmpl w:val="CD7E1064"/>
    <w:lvl w:ilvl="0" w:tplc="0409000F">
      <w:start w:val="1"/>
      <w:numFmt w:val="decimal"/>
      <w:lvlText w:val="%1."/>
      <w:lvlJc w:val="left"/>
      <w:pPr>
        <w:ind w:left="1411" w:hanging="705"/>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14" w15:restartNumberingAfterBreak="0">
    <w:nsid w:val="2C3475E8"/>
    <w:multiLevelType w:val="hybridMultilevel"/>
    <w:tmpl w:val="77AC71BC"/>
    <w:lvl w:ilvl="0" w:tplc="6FF81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1A6C2F"/>
    <w:multiLevelType w:val="hybridMultilevel"/>
    <w:tmpl w:val="D4A087AA"/>
    <w:lvl w:ilvl="0" w:tplc="37922CF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4D4875"/>
    <w:multiLevelType w:val="hybridMultilevel"/>
    <w:tmpl w:val="D8C8FC56"/>
    <w:lvl w:ilvl="0" w:tplc="29726210">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E2449"/>
    <w:multiLevelType w:val="hybridMultilevel"/>
    <w:tmpl w:val="9280CE30"/>
    <w:lvl w:ilvl="0" w:tplc="9F54C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B1331"/>
    <w:multiLevelType w:val="hybridMultilevel"/>
    <w:tmpl w:val="F312BB86"/>
    <w:lvl w:ilvl="0" w:tplc="C588ABB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D25072"/>
    <w:multiLevelType w:val="hybridMultilevel"/>
    <w:tmpl w:val="BAAE4B8C"/>
    <w:lvl w:ilvl="0" w:tplc="BF0E30B0">
      <w:start w:val="9"/>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82431"/>
    <w:multiLevelType w:val="hybridMultilevel"/>
    <w:tmpl w:val="B4F0F91A"/>
    <w:lvl w:ilvl="0" w:tplc="9E48DC52">
      <w:start w:val="7"/>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0240D"/>
    <w:multiLevelType w:val="hybridMultilevel"/>
    <w:tmpl w:val="9E941890"/>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DD0186C"/>
    <w:multiLevelType w:val="hybridMultilevel"/>
    <w:tmpl w:val="5F26C90A"/>
    <w:lvl w:ilvl="0" w:tplc="72A465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80376"/>
    <w:multiLevelType w:val="hybridMultilevel"/>
    <w:tmpl w:val="C93E05A4"/>
    <w:lvl w:ilvl="0" w:tplc="7DAE243E">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7D5DB3"/>
    <w:multiLevelType w:val="hybridMultilevel"/>
    <w:tmpl w:val="3ADEA04C"/>
    <w:lvl w:ilvl="0" w:tplc="B4E2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153898"/>
    <w:multiLevelType w:val="hybridMultilevel"/>
    <w:tmpl w:val="DC9E14BA"/>
    <w:lvl w:ilvl="0" w:tplc="46A48C5C">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E6846"/>
    <w:multiLevelType w:val="hybridMultilevel"/>
    <w:tmpl w:val="5F26C90A"/>
    <w:lvl w:ilvl="0" w:tplc="FFFFFFFF">
      <w:start w:val="5"/>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614A93"/>
    <w:multiLevelType w:val="hybridMultilevel"/>
    <w:tmpl w:val="80E2BC52"/>
    <w:lvl w:ilvl="0" w:tplc="0409000F">
      <w:start w:val="1"/>
      <w:numFmt w:val="decimal"/>
      <w:lvlText w:val="%1."/>
      <w:lvlJc w:val="left"/>
      <w:pPr>
        <w:ind w:left="2132" w:hanging="360"/>
      </w:pPr>
      <w:rPr>
        <w:rFonts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28" w15:restartNumberingAfterBreak="0">
    <w:nsid w:val="4E5C5495"/>
    <w:multiLevelType w:val="hybridMultilevel"/>
    <w:tmpl w:val="4B184ABC"/>
    <w:lvl w:ilvl="0" w:tplc="6DA0269A">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CA64F2"/>
    <w:multiLevelType w:val="hybridMultilevel"/>
    <w:tmpl w:val="1C08BE14"/>
    <w:lvl w:ilvl="0" w:tplc="BC1886F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E3277C"/>
    <w:multiLevelType w:val="hybridMultilevel"/>
    <w:tmpl w:val="C4441CEE"/>
    <w:lvl w:ilvl="0" w:tplc="29C8498A">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27106A0"/>
    <w:multiLevelType w:val="hybridMultilevel"/>
    <w:tmpl w:val="3B16318C"/>
    <w:lvl w:ilvl="0" w:tplc="132CF266">
      <w:start w:val="1"/>
      <w:numFmt w:val="lowerRoman"/>
      <w:lvlText w:val="%1."/>
      <w:lvlJc w:val="left"/>
      <w:pPr>
        <w:ind w:left="720" w:hanging="360"/>
      </w:pPr>
      <w:rPr>
        <w:rFonts w:cs="Times New Roman" w:hint="default"/>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32" w15:restartNumberingAfterBreak="0">
    <w:nsid w:val="54A21483"/>
    <w:multiLevelType w:val="hybridMultilevel"/>
    <w:tmpl w:val="2B083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013A1A"/>
    <w:multiLevelType w:val="hybridMultilevel"/>
    <w:tmpl w:val="D4A087AA"/>
    <w:lvl w:ilvl="0" w:tplc="FFFFFFFF">
      <w:start w:val="3"/>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0EA31A6"/>
    <w:multiLevelType w:val="hybridMultilevel"/>
    <w:tmpl w:val="0120A432"/>
    <w:lvl w:ilvl="0" w:tplc="FE7A3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6A3801"/>
    <w:multiLevelType w:val="hybridMultilevel"/>
    <w:tmpl w:val="3CD4EB3E"/>
    <w:lvl w:ilvl="0" w:tplc="268896A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5FF2412"/>
    <w:multiLevelType w:val="hybridMultilevel"/>
    <w:tmpl w:val="0F048296"/>
    <w:lvl w:ilvl="0" w:tplc="4644EB46">
      <w:start w:val="1"/>
      <w:numFmt w:val="decimal"/>
      <w:lvlText w:val="%1."/>
      <w:lvlJc w:val="left"/>
      <w:pPr>
        <w:ind w:left="900" w:hanging="360"/>
      </w:pPr>
      <w:rPr>
        <w:rFonts w:cs="Times New Roman" w:hint="default"/>
        <w:b w:val="0"/>
        <w:bCs w:val="0"/>
      </w:rPr>
    </w:lvl>
    <w:lvl w:ilvl="1" w:tplc="280A0019" w:tentative="1">
      <w:start w:val="1"/>
      <w:numFmt w:val="lowerLetter"/>
      <w:lvlText w:val="%2."/>
      <w:lvlJc w:val="left"/>
      <w:pPr>
        <w:ind w:left="1620" w:hanging="360"/>
      </w:pPr>
      <w:rPr>
        <w:rFonts w:cs="Times New Roman"/>
      </w:rPr>
    </w:lvl>
    <w:lvl w:ilvl="2" w:tplc="280A001B" w:tentative="1">
      <w:start w:val="1"/>
      <w:numFmt w:val="lowerRoman"/>
      <w:lvlText w:val="%3."/>
      <w:lvlJc w:val="right"/>
      <w:pPr>
        <w:ind w:left="2340" w:hanging="180"/>
      </w:pPr>
      <w:rPr>
        <w:rFonts w:cs="Times New Roman"/>
      </w:rPr>
    </w:lvl>
    <w:lvl w:ilvl="3" w:tplc="280A000F" w:tentative="1">
      <w:start w:val="1"/>
      <w:numFmt w:val="decimal"/>
      <w:lvlText w:val="%4."/>
      <w:lvlJc w:val="left"/>
      <w:pPr>
        <w:ind w:left="3060" w:hanging="360"/>
      </w:pPr>
      <w:rPr>
        <w:rFonts w:cs="Times New Roman"/>
      </w:rPr>
    </w:lvl>
    <w:lvl w:ilvl="4" w:tplc="280A0019" w:tentative="1">
      <w:start w:val="1"/>
      <w:numFmt w:val="lowerLetter"/>
      <w:lvlText w:val="%5."/>
      <w:lvlJc w:val="left"/>
      <w:pPr>
        <w:ind w:left="3780" w:hanging="360"/>
      </w:pPr>
      <w:rPr>
        <w:rFonts w:cs="Times New Roman"/>
      </w:rPr>
    </w:lvl>
    <w:lvl w:ilvl="5" w:tplc="280A001B" w:tentative="1">
      <w:start w:val="1"/>
      <w:numFmt w:val="lowerRoman"/>
      <w:lvlText w:val="%6."/>
      <w:lvlJc w:val="right"/>
      <w:pPr>
        <w:ind w:left="4500" w:hanging="180"/>
      </w:pPr>
      <w:rPr>
        <w:rFonts w:cs="Times New Roman"/>
      </w:rPr>
    </w:lvl>
    <w:lvl w:ilvl="6" w:tplc="280A000F" w:tentative="1">
      <w:start w:val="1"/>
      <w:numFmt w:val="decimal"/>
      <w:lvlText w:val="%7."/>
      <w:lvlJc w:val="left"/>
      <w:pPr>
        <w:ind w:left="5220" w:hanging="360"/>
      </w:pPr>
      <w:rPr>
        <w:rFonts w:cs="Times New Roman"/>
      </w:rPr>
    </w:lvl>
    <w:lvl w:ilvl="7" w:tplc="280A0019" w:tentative="1">
      <w:start w:val="1"/>
      <w:numFmt w:val="lowerLetter"/>
      <w:lvlText w:val="%8."/>
      <w:lvlJc w:val="left"/>
      <w:pPr>
        <w:ind w:left="5940" w:hanging="360"/>
      </w:pPr>
      <w:rPr>
        <w:rFonts w:cs="Times New Roman"/>
      </w:rPr>
    </w:lvl>
    <w:lvl w:ilvl="8" w:tplc="280A001B" w:tentative="1">
      <w:start w:val="1"/>
      <w:numFmt w:val="lowerRoman"/>
      <w:lvlText w:val="%9."/>
      <w:lvlJc w:val="right"/>
      <w:pPr>
        <w:ind w:left="6660" w:hanging="180"/>
      </w:pPr>
      <w:rPr>
        <w:rFonts w:cs="Times New Roman"/>
      </w:rPr>
    </w:lvl>
  </w:abstractNum>
  <w:abstractNum w:abstractNumId="38" w15:restartNumberingAfterBreak="0">
    <w:nsid w:val="66297731"/>
    <w:multiLevelType w:val="hybridMultilevel"/>
    <w:tmpl w:val="A83ED3EA"/>
    <w:lvl w:ilvl="0" w:tplc="B4A816E4">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35AD5"/>
    <w:multiLevelType w:val="hybridMultilevel"/>
    <w:tmpl w:val="C7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B52E0"/>
    <w:multiLevelType w:val="hybridMultilevel"/>
    <w:tmpl w:val="40881A92"/>
    <w:lvl w:ilvl="0" w:tplc="DDB8815A">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F502B"/>
    <w:multiLevelType w:val="hybridMultilevel"/>
    <w:tmpl w:val="84F65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2001D8"/>
    <w:multiLevelType w:val="hybridMultilevel"/>
    <w:tmpl w:val="5F26C90A"/>
    <w:lvl w:ilvl="0" w:tplc="FFFFFFFF">
      <w:start w:val="5"/>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9C1B9C"/>
    <w:multiLevelType w:val="hybridMultilevel"/>
    <w:tmpl w:val="91AC20FE"/>
    <w:lvl w:ilvl="0" w:tplc="3A68EFE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E1BA5"/>
    <w:multiLevelType w:val="hybridMultilevel"/>
    <w:tmpl w:val="E28A7778"/>
    <w:lvl w:ilvl="0" w:tplc="A41AE8C8">
      <w:start w:val="1"/>
      <w:numFmt w:val="upperRoman"/>
      <w:lvlText w:val="%1."/>
      <w:lvlJc w:val="right"/>
      <w:pPr>
        <w:ind w:left="10440" w:hanging="360"/>
      </w:pPr>
      <w:rPr>
        <w:b w:val="0"/>
        <w:bCs w:val="0"/>
        <w:color w:val="auto"/>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5" w15:restartNumberingAfterBreak="0">
    <w:nsid w:val="712D2221"/>
    <w:multiLevelType w:val="hybridMultilevel"/>
    <w:tmpl w:val="1F0C7CE4"/>
    <w:lvl w:ilvl="0" w:tplc="028E57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AE4767"/>
    <w:multiLevelType w:val="hybridMultilevel"/>
    <w:tmpl w:val="0B841092"/>
    <w:lvl w:ilvl="0" w:tplc="DBB0710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633818"/>
    <w:multiLevelType w:val="hybridMultilevel"/>
    <w:tmpl w:val="B812FC14"/>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7FE23BE"/>
    <w:multiLevelType w:val="hybridMultilevel"/>
    <w:tmpl w:val="F364CB32"/>
    <w:lvl w:ilvl="0" w:tplc="809080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70366A"/>
    <w:multiLevelType w:val="hybridMultilevel"/>
    <w:tmpl w:val="9F983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8A643D9"/>
    <w:multiLevelType w:val="hybridMultilevel"/>
    <w:tmpl w:val="FC60A87E"/>
    <w:lvl w:ilvl="0" w:tplc="7F3A6EE4">
      <w:start w:val="8"/>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B30C1C"/>
    <w:multiLevelType w:val="hybridMultilevel"/>
    <w:tmpl w:val="71FC30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7BB76965"/>
    <w:multiLevelType w:val="hybridMultilevel"/>
    <w:tmpl w:val="71D09B60"/>
    <w:lvl w:ilvl="0" w:tplc="1B9EFFD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BD868B9"/>
    <w:multiLevelType w:val="hybridMultilevel"/>
    <w:tmpl w:val="80E2BC52"/>
    <w:lvl w:ilvl="0" w:tplc="FFFFFFFF">
      <w:start w:val="1"/>
      <w:numFmt w:val="decimal"/>
      <w:lvlText w:val="%1."/>
      <w:lvlJc w:val="left"/>
      <w:pPr>
        <w:ind w:left="2132" w:hanging="360"/>
      </w:pPr>
      <w:rPr>
        <w:rFonts w:hint="default"/>
      </w:rPr>
    </w:lvl>
    <w:lvl w:ilvl="1" w:tplc="FFFFFFFF" w:tentative="1">
      <w:start w:val="1"/>
      <w:numFmt w:val="lowerLetter"/>
      <w:lvlText w:val="%2."/>
      <w:lvlJc w:val="left"/>
      <w:pPr>
        <w:ind w:left="2852" w:hanging="360"/>
      </w:pPr>
    </w:lvl>
    <w:lvl w:ilvl="2" w:tplc="FFFFFFFF" w:tentative="1">
      <w:start w:val="1"/>
      <w:numFmt w:val="lowerRoman"/>
      <w:lvlText w:val="%3."/>
      <w:lvlJc w:val="right"/>
      <w:pPr>
        <w:ind w:left="3572" w:hanging="180"/>
      </w:pPr>
    </w:lvl>
    <w:lvl w:ilvl="3" w:tplc="FFFFFFFF" w:tentative="1">
      <w:start w:val="1"/>
      <w:numFmt w:val="decimal"/>
      <w:lvlText w:val="%4."/>
      <w:lvlJc w:val="left"/>
      <w:pPr>
        <w:ind w:left="4292" w:hanging="360"/>
      </w:pPr>
    </w:lvl>
    <w:lvl w:ilvl="4" w:tplc="FFFFFFFF" w:tentative="1">
      <w:start w:val="1"/>
      <w:numFmt w:val="lowerLetter"/>
      <w:lvlText w:val="%5."/>
      <w:lvlJc w:val="left"/>
      <w:pPr>
        <w:ind w:left="5012" w:hanging="360"/>
      </w:pPr>
    </w:lvl>
    <w:lvl w:ilvl="5" w:tplc="FFFFFFFF" w:tentative="1">
      <w:start w:val="1"/>
      <w:numFmt w:val="lowerRoman"/>
      <w:lvlText w:val="%6."/>
      <w:lvlJc w:val="right"/>
      <w:pPr>
        <w:ind w:left="5732" w:hanging="180"/>
      </w:pPr>
    </w:lvl>
    <w:lvl w:ilvl="6" w:tplc="FFFFFFFF" w:tentative="1">
      <w:start w:val="1"/>
      <w:numFmt w:val="decimal"/>
      <w:lvlText w:val="%7."/>
      <w:lvlJc w:val="left"/>
      <w:pPr>
        <w:ind w:left="6452" w:hanging="360"/>
      </w:pPr>
    </w:lvl>
    <w:lvl w:ilvl="7" w:tplc="FFFFFFFF" w:tentative="1">
      <w:start w:val="1"/>
      <w:numFmt w:val="lowerLetter"/>
      <w:lvlText w:val="%8."/>
      <w:lvlJc w:val="left"/>
      <w:pPr>
        <w:ind w:left="7172" w:hanging="360"/>
      </w:pPr>
    </w:lvl>
    <w:lvl w:ilvl="8" w:tplc="FFFFFFFF" w:tentative="1">
      <w:start w:val="1"/>
      <w:numFmt w:val="lowerRoman"/>
      <w:lvlText w:val="%9."/>
      <w:lvlJc w:val="right"/>
      <w:pPr>
        <w:ind w:left="7892" w:hanging="180"/>
      </w:pPr>
    </w:lvl>
  </w:abstractNum>
  <w:abstractNum w:abstractNumId="54" w15:restartNumberingAfterBreak="0">
    <w:nsid w:val="7E846182"/>
    <w:multiLevelType w:val="hybridMultilevel"/>
    <w:tmpl w:val="DA48BDB4"/>
    <w:lvl w:ilvl="0" w:tplc="13608972">
      <w:start w:val="6"/>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56161158">
    <w:abstractNumId w:val="21"/>
  </w:num>
  <w:num w:numId="2" w16cid:durableId="1338655221">
    <w:abstractNumId w:val="3"/>
  </w:num>
  <w:num w:numId="3" w16cid:durableId="106508069">
    <w:abstractNumId w:val="30"/>
  </w:num>
  <w:num w:numId="4" w16cid:durableId="592475387">
    <w:abstractNumId w:val="11"/>
  </w:num>
  <w:num w:numId="5" w16cid:durableId="764376448">
    <w:abstractNumId w:val="18"/>
  </w:num>
  <w:num w:numId="6" w16cid:durableId="611941497">
    <w:abstractNumId w:val="0"/>
  </w:num>
  <w:num w:numId="7" w16cid:durableId="1039236046">
    <w:abstractNumId w:val="31"/>
  </w:num>
  <w:num w:numId="8" w16cid:durableId="1932395833">
    <w:abstractNumId w:val="20"/>
  </w:num>
  <w:num w:numId="9" w16cid:durableId="1299870943">
    <w:abstractNumId w:val="37"/>
  </w:num>
  <w:num w:numId="10" w16cid:durableId="381095401">
    <w:abstractNumId w:val="54"/>
  </w:num>
  <w:num w:numId="11" w16cid:durableId="16932586">
    <w:abstractNumId w:val="51"/>
  </w:num>
  <w:num w:numId="12" w16cid:durableId="1101487860">
    <w:abstractNumId w:val="48"/>
  </w:num>
  <w:num w:numId="13" w16cid:durableId="2133479245">
    <w:abstractNumId w:val="1"/>
  </w:num>
  <w:num w:numId="14" w16cid:durableId="1351564422">
    <w:abstractNumId w:val="36"/>
  </w:num>
  <w:num w:numId="15" w16cid:durableId="600141783">
    <w:abstractNumId w:val="22"/>
  </w:num>
  <w:num w:numId="16" w16cid:durableId="1617911063">
    <w:abstractNumId w:val="42"/>
  </w:num>
  <w:num w:numId="17" w16cid:durableId="75712179">
    <w:abstractNumId w:val="26"/>
  </w:num>
  <w:num w:numId="18" w16cid:durableId="2054385054">
    <w:abstractNumId w:val="10"/>
  </w:num>
  <w:num w:numId="19" w16cid:durableId="1085028248">
    <w:abstractNumId w:val="44"/>
  </w:num>
  <w:num w:numId="20" w16cid:durableId="1484814737">
    <w:abstractNumId w:val="34"/>
  </w:num>
  <w:num w:numId="21" w16cid:durableId="1937707656">
    <w:abstractNumId w:val="13"/>
  </w:num>
  <w:num w:numId="22" w16cid:durableId="1563715036">
    <w:abstractNumId w:val="7"/>
  </w:num>
  <w:num w:numId="23" w16cid:durableId="2099058773">
    <w:abstractNumId w:val="43"/>
  </w:num>
  <w:num w:numId="24" w16cid:durableId="142429364">
    <w:abstractNumId w:val="41"/>
  </w:num>
  <w:num w:numId="25" w16cid:durableId="1400207373">
    <w:abstractNumId w:val="6"/>
  </w:num>
  <w:num w:numId="26" w16cid:durableId="12612297">
    <w:abstractNumId w:val="45"/>
  </w:num>
  <w:num w:numId="27" w16cid:durableId="1293949996">
    <w:abstractNumId w:val="2"/>
  </w:num>
  <w:num w:numId="28" w16cid:durableId="1381519596">
    <w:abstractNumId w:val="23"/>
  </w:num>
  <w:num w:numId="29" w16cid:durableId="745610116">
    <w:abstractNumId w:val="28"/>
  </w:num>
  <w:num w:numId="30" w16cid:durableId="2123573853">
    <w:abstractNumId w:val="4"/>
  </w:num>
  <w:num w:numId="31" w16cid:durableId="1967660927">
    <w:abstractNumId w:val="46"/>
  </w:num>
  <w:num w:numId="32" w16cid:durableId="385447872">
    <w:abstractNumId w:val="50"/>
  </w:num>
  <w:num w:numId="33" w16cid:durableId="2019959295">
    <w:abstractNumId w:val="40"/>
  </w:num>
  <w:num w:numId="34" w16cid:durableId="453065459">
    <w:abstractNumId w:val="16"/>
  </w:num>
  <w:num w:numId="35" w16cid:durableId="2027243143">
    <w:abstractNumId w:val="19"/>
  </w:num>
  <w:num w:numId="36" w16cid:durableId="175197700">
    <w:abstractNumId w:val="25"/>
  </w:num>
  <w:num w:numId="37" w16cid:durableId="1190265954">
    <w:abstractNumId w:val="17"/>
  </w:num>
  <w:num w:numId="38" w16cid:durableId="1351225535">
    <w:abstractNumId w:val="8"/>
  </w:num>
  <w:num w:numId="39" w16cid:durableId="1454329730">
    <w:abstractNumId w:val="38"/>
  </w:num>
  <w:num w:numId="40" w16cid:durableId="453715112">
    <w:abstractNumId w:val="27"/>
  </w:num>
  <w:num w:numId="41" w16cid:durableId="1477917202">
    <w:abstractNumId w:val="35"/>
  </w:num>
  <w:num w:numId="42" w16cid:durableId="1236163527">
    <w:abstractNumId w:val="24"/>
  </w:num>
  <w:num w:numId="43" w16cid:durableId="1459369772">
    <w:abstractNumId w:val="49"/>
  </w:num>
  <w:num w:numId="44" w16cid:durableId="532420063">
    <w:abstractNumId w:val="15"/>
  </w:num>
  <w:num w:numId="45" w16cid:durableId="1914848543">
    <w:abstractNumId w:val="39"/>
  </w:num>
  <w:num w:numId="46" w16cid:durableId="465850970">
    <w:abstractNumId w:val="52"/>
  </w:num>
  <w:num w:numId="47" w16cid:durableId="337003216">
    <w:abstractNumId w:val="32"/>
  </w:num>
  <w:num w:numId="48" w16cid:durableId="1977444306">
    <w:abstractNumId w:val="14"/>
  </w:num>
  <w:num w:numId="49" w16cid:durableId="845905553">
    <w:abstractNumId w:val="47"/>
  </w:num>
  <w:num w:numId="50" w16cid:durableId="1602452390">
    <w:abstractNumId w:val="29"/>
  </w:num>
  <w:num w:numId="51" w16cid:durableId="1606377392">
    <w:abstractNumId w:val="5"/>
  </w:num>
  <w:num w:numId="52" w16cid:durableId="1188522145">
    <w:abstractNumId w:val="33"/>
  </w:num>
  <w:num w:numId="53" w16cid:durableId="1327827208">
    <w:abstractNumId w:val="53"/>
  </w:num>
  <w:num w:numId="54" w16cid:durableId="1952322736">
    <w:abstractNumId w:val="9"/>
  </w:num>
  <w:num w:numId="55" w16cid:durableId="149233586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3C"/>
    <w:rsid w:val="00001140"/>
    <w:rsid w:val="00014FAA"/>
    <w:rsid w:val="000166FB"/>
    <w:rsid w:val="000169EA"/>
    <w:rsid w:val="00016AEE"/>
    <w:rsid w:val="00016B0D"/>
    <w:rsid w:val="00017656"/>
    <w:rsid w:val="00020659"/>
    <w:rsid w:val="000268CC"/>
    <w:rsid w:val="0003182D"/>
    <w:rsid w:val="000358E5"/>
    <w:rsid w:val="0003595B"/>
    <w:rsid w:val="00035D40"/>
    <w:rsid w:val="00036542"/>
    <w:rsid w:val="00040E24"/>
    <w:rsid w:val="0004373A"/>
    <w:rsid w:val="00044797"/>
    <w:rsid w:val="00045A46"/>
    <w:rsid w:val="00047667"/>
    <w:rsid w:val="00053066"/>
    <w:rsid w:val="00054D24"/>
    <w:rsid w:val="00054E01"/>
    <w:rsid w:val="00055B98"/>
    <w:rsid w:val="00060369"/>
    <w:rsid w:val="000614CF"/>
    <w:rsid w:val="00063764"/>
    <w:rsid w:val="00064126"/>
    <w:rsid w:val="00064E59"/>
    <w:rsid w:val="00065669"/>
    <w:rsid w:val="00070670"/>
    <w:rsid w:val="00074B93"/>
    <w:rsid w:val="0008191C"/>
    <w:rsid w:val="00081DBE"/>
    <w:rsid w:val="0009178D"/>
    <w:rsid w:val="00092220"/>
    <w:rsid w:val="00092E7A"/>
    <w:rsid w:val="00095F2B"/>
    <w:rsid w:val="00097621"/>
    <w:rsid w:val="000A08A3"/>
    <w:rsid w:val="000A28FC"/>
    <w:rsid w:val="000B30BF"/>
    <w:rsid w:val="000B4A89"/>
    <w:rsid w:val="000B5549"/>
    <w:rsid w:val="000B7E7D"/>
    <w:rsid w:val="000C3ACA"/>
    <w:rsid w:val="000C6155"/>
    <w:rsid w:val="000C7BC1"/>
    <w:rsid w:val="000C7F3E"/>
    <w:rsid w:val="000D2798"/>
    <w:rsid w:val="000D30D7"/>
    <w:rsid w:val="000D3468"/>
    <w:rsid w:val="000E077A"/>
    <w:rsid w:val="000E1AF0"/>
    <w:rsid w:val="000E2423"/>
    <w:rsid w:val="000E3069"/>
    <w:rsid w:val="000E4CA2"/>
    <w:rsid w:val="000F1FBA"/>
    <w:rsid w:val="00105FBA"/>
    <w:rsid w:val="00112E67"/>
    <w:rsid w:val="00116833"/>
    <w:rsid w:val="001169EE"/>
    <w:rsid w:val="00116D7F"/>
    <w:rsid w:val="00117936"/>
    <w:rsid w:val="00120C3F"/>
    <w:rsid w:val="00122CE0"/>
    <w:rsid w:val="00122DCE"/>
    <w:rsid w:val="0012330E"/>
    <w:rsid w:val="00136F5F"/>
    <w:rsid w:val="00140035"/>
    <w:rsid w:val="001431AD"/>
    <w:rsid w:val="00150931"/>
    <w:rsid w:val="001710E5"/>
    <w:rsid w:val="00171125"/>
    <w:rsid w:val="00171970"/>
    <w:rsid w:val="001750CA"/>
    <w:rsid w:val="00175193"/>
    <w:rsid w:val="001763D7"/>
    <w:rsid w:val="00180E99"/>
    <w:rsid w:val="001820F6"/>
    <w:rsid w:val="00182591"/>
    <w:rsid w:val="0018383A"/>
    <w:rsid w:val="001859EC"/>
    <w:rsid w:val="0018745D"/>
    <w:rsid w:val="00191CDD"/>
    <w:rsid w:val="001923B9"/>
    <w:rsid w:val="001A33CD"/>
    <w:rsid w:val="001A6EC3"/>
    <w:rsid w:val="001B203E"/>
    <w:rsid w:val="001B266B"/>
    <w:rsid w:val="001B363B"/>
    <w:rsid w:val="001B490C"/>
    <w:rsid w:val="001C000A"/>
    <w:rsid w:val="001C00D9"/>
    <w:rsid w:val="001C2136"/>
    <w:rsid w:val="001C2386"/>
    <w:rsid w:val="001C3B65"/>
    <w:rsid w:val="001C42E4"/>
    <w:rsid w:val="001C6FC7"/>
    <w:rsid w:val="001D0B0B"/>
    <w:rsid w:val="001D1954"/>
    <w:rsid w:val="001D43E3"/>
    <w:rsid w:val="001E1AFC"/>
    <w:rsid w:val="001E20C0"/>
    <w:rsid w:val="001E2630"/>
    <w:rsid w:val="001E2667"/>
    <w:rsid w:val="001F0282"/>
    <w:rsid w:val="001F0D18"/>
    <w:rsid w:val="001F34B8"/>
    <w:rsid w:val="001F5E35"/>
    <w:rsid w:val="001F77C6"/>
    <w:rsid w:val="00202460"/>
    <w:rsid w:val="002047F8"/>
    <w:rsid w:val="00213911"/>
    <w:rsid w:val="002139DC"/>
    <w:rsid w:val="00215A82"/>
    <w:rsid w:val="00224381"/>
    <w:rsid w:val="002256C0"/>
    <w:rsid w:val="002304C5"/>
    <w:rsid w:val="00230ABC"/>
    <w:rsid w:val="00241DED"/>
    <w:rsid w:val="00246E3B"/>
    <w:rsid w:val="002518E5"/>
    <w:rsid w:val="0025618F"/>
    <w:rsid w:val="002602EF"/>
    <w:rsid w:val="00264CF0"/>
    <w:rsid w:val="00264E54"/>
    <w:rsid w:val="00265C6A"/>
    <w:rsid w:val="00274DC3"/>
    <w:rsid w:val="002758F2"/>
    <w:rsid w:val="002858C6"/>
    <w:rsid w:val="00285D10"/>
    <w:rsid w:val="00285F87"/>
    <w:rsid w:val="00287CD6"/>
    <w:rsid w:val="00287FA6"/>
    <w:rsid w:val="0029105D"/>
    <w:rsid w:val="00294E2B"/>
    <w:rsid w:val="00296E13"/>
    <w:rsid w:val="002B0236"/>
    <w:rsid w:val="002B3FE0"/>
    <w:rsid w:val="002B68BD"/>
    <w:rsid w:val="002C0A99"/>
    <w:rsid w:val="002C4247"/>
    <w:rsid w:val="002C5844"/>
    <w:rsid w:val="002D2C15"/>
    <w:rsid w:val="002D66A4"/>
    <w:rsid w:val="002D6E18"/>
    <w:rsid w:val="002D766E"/>
    <w:rsid w:val="002E14FD"/>
    <w:rsid w:val="002E24AD"/>
    <w:rsid w:val="002E73D9"/>
    <w:rsid w:val="002F355D"/>
    <w:rsid w:val="002F762E"/>
    <w:rsid w:val="00302FB4"/>
    <w:rsid w:val="003043D6"/>
    <w:rsid w:val="0030712F"/>
    <w:rsid w:val="0031246B"/>
    <w:rsid w:val="00320BC7"/>
    <w:rsid w:val="003246D7"/>
    <w:rsid w:val="003257DE"/>
    <w:rsid w:val="00325D33"/>
    <w:rsid w:val="00326BE6"/>
    <w:rsid w:val="0033133D"/>
    <w:rsid w:val="00332BE2"/>
    <w:rsid w:val="00333A3C"/>
    <w:rsid w:val="00335D50"/>
    <w:rsid w:val="00341B9C"/>
    <w:rsid w:val="00344C01"/>
    <w:rsid w:val="00345ED8"/>
    <w:rsid w:val="00352F54"/>
    <w:rsid w:val="00353D7D"/>
    <w:rsid w:val="00370CCB"/>
    <w:rsid w:val="00370E5C"/>
    <w:rsid w:val="00375FC6"/>
    <w:rsid w:val="0037799C"/>
    <w:rsid w:val="00377A75"/>
    <w:rsid w:val="00381232"/>
    <w:rsid w:val="00390AB1"/>
    <w:rsid w:val="00393F69"/>
    <w:rsid w:val="003A13F7"/>
    <w:rsid w:val="003A5F6A"/>
    <w:rsid w:val="003A7096"/>
    <w:rsid w:val="003B014F"/>
    <w:rsid w:val="003B16EB"/>
    <w:rsid w:val="003B44D5"/>
    <w:rsid w:val="003B59F3"/>
    <w:rsid w:val="003B5F6D"/>
    <w:rsid w:val="003C0809"/>
    <w:rsid w:val="003C0BDF"/>
    <w:rsid w:val="003D1AEF"/>
    <w:rsid w:val="003D576B"/>
    <w:rsid w:val="003D7BD0"/>
    <w:rsid w:val="003E28D4"/>
    <w:rsid w:val="003E617D"/>
    <w:rsid w:val="003E6880"/>
    <w:rsid w:val="003F555B"/>
    <w:rsid w:val="00411369"/>
    <w:rsid w:val="004120A4"/>
    <w:rsid w:val="004211B3"/>
    <w:rsid w:val="004212C3"/>
    <w:rsid w:val="004248C1"/>
    <w:rsid w:val="00427312"/>
    <w:rsid w:val="004311A3"/>
    <w:rsid w:val="00431B17"/>
    <w:rsid w:val="00434256"/>
    <w:rsid w:val="00434DD5"/>
    <w:rsid w:val="004416FD"/>
    <w:rsid w:val="00441D21"/>
    <w:rsid w:val="00445DD3"/>
    <w:rsid w:val="00451308"/>
    <w:rsid w:val="004515D2"/>
    <w:rsid w:val="00451C1D"/>
    <w:rsid w:val="00453981"/>
    <w:rsid w:val="00454792"/>
    <w:rsid w:val="00461837"/>
    <w:rsid w:val="00465BF8"/>
    <w:rsid w:val="004670E4"/>
    <w:rsid w:val="00475A46"/>
    <w:rsid w:val="00484B50"/>
    <w:rsid w:val="00492FB3"/>
    <w:rsid w:val="004948D9"/>
    <w:rsid w:val="00494C2F"/>
    <w:rsid w:val="00495270"/>
    <w:rsid w:val="00496F2C"/>
    <w:rsid w:val="004A0D1E"/>
    <w:rsid w:val="004A414F"/>
    <w:rsid w:val="004A4A0F"/>
    <w:rsid w:val="004A606A"/>
    <w:rsid w:val="004A7A4F"/>
    <w:rsid w:val="004B06C1"/>
    <w:rsid w:val="004B4F0D"/>
    <w:rsid w:val="004C3739"/>
    <w:rsid w:val="004C3C72"/>
    <w:rsid w:val="004C58B2"/>
    <w:rsid w:val="004C760F"/>
    <w:rsid w:val="004D250E"/>
    <w:rsid w:val="004E4DDB"/>
    <w:rsid w:val="004E4E7D"/>
    <w:rsid w:val="004E7F0D"/>
    <w:rsid w:val="004F51BC"/>
    <w:rsid w:val="005047A7"/>
    <w:rsid w:val="00504D78"/>
    <w:rsid w:val="00513818"/>
    <w:rsid w:val="005243A0"/>
    <w:rsid w:val="005251F0"/>
    <w:rsid w:val="00526563"/>
    <w:rsid w:val="00527055"/>
    <w:rsid w:val="00527BC5"/>
    <w:rsid w:val="00533AC4"/>
    <w:rsid w:val="00533E20"/>
    <w:rsid w:val="005372E1"/>
    <w:rsid w:val="00547B5D"/>
    <w:rsid w:val="005511E0"/>
    <w:rsid w:val="00552102"/>
    <w:rsid w:val="005539BC"/>
    <w:rsid w:val="00553D54"/>
    <w:rsid w:val="005570AC"/>
    <w:rsid w:val="005577C9"/>
    <w:rsid w:val="00566C55"/>
    <w:rsid w:val="00567D9C"/>
    <w:rsid w:val="0057267B"/>
    <w:rsid w:val="00585161"/>
    <w:rsid w:val="0058548F"/>
    <w:rsid w:val="00586D05"/>
    <w:rsid w:val="0059126D"/>
    <w:rsid w:val="00591300"/>
    <w:rsid w:val="00594DD8"/>
    <w:rsid w:val="00594F9C"/>
    <w:rsid w:val="00597278"/>
    <w:rsid w:val="005A315A"/>
    <w:rsid w:val="005A60E9"/>
    <w:rsid w:val="005A7126"/>
    <w:rsid w:val="005C2918"/>
    <w:rsid w:val="005C6251"/>
    <w:rsid w:val="005D07F8"/>
    <w:rsid w:val="005D124A"/>
    <w:rsid w:val="005D4CBA"/>
    <w:rsid w:val="005D5D74"/>
    <w:rsid w:val="005E2D99"/>
    <w:rsid w:val="005E3E1D"/>
    <w:rsid w:val="005F0F74"/>
    <w:rsid w:val="005F1089"/>
    <w:rsid w:val="005F6B8E"/>
    <w:rsid w:val="0060157F"/>
    <w:rsid w:val="00610EB1"/>
    <w:rsid w:val="00613AB5"/>
    <w:rsid w:val="00613FA1"/>
    <w:rsid w:val="00615920"/>
    <w:rsid w:val="00617E6E"/>
    <w:rsid w:val="0062233F"/>
    <w:rsid w:val="0062449E"/>
    <w:rsid w:val="00624B97"/>
    <w:rsid w:val="0063272A"/>
    <w:rsid w:val="00633EDD"/>
    <w:rsid w:val="006375BC"/>
    <w:rsid w:val="00640EC0"/>
    <w:rsid w:val="00642807"/>
    <w:rsid w:val="00644245"/>
    <w:rsid w:val="0064502E"/>
    <w:rsid w:val="00645BF9"/>
    <w:rsid w:val="00646417"/>
    <w:rsid w:val="00650411"/>
    <w:rsid w:val="006506EC"/>
    <w:rsid w:val="006542C8"/>
    <w:rsid w:val="0065641C"/>
    <w:rsid w:val="00656E0F"/>
    <w:rsid w:val="00664869"/>
    <w:rsid w:val="00671CA9"/>
    <w:rsid w:val="006808CC"/>
    <w:rsid w:val="006809C8"/>
    <w:rsid w:val="00680F00"/>
    <w:rsid w:val="006875EA"/>
    <w:rsid w:val="006921EE"/>
    <w:rsid w:val="0069322E"/>
    <w:rsid w:val="006934C6"/>
    <w:rsid w:val="00694B86"/>
    <w:rsid w:val="006970CB"/>
    <w:rsid w:val="006A41D4"/>
    <w:rsid w:val="006A4977"/>
    <w:rsid w:val="006A6089"/>
    <w:rsid w:val="006A71DA"/>
    <w:rsid w:val="006B2AEF"/>
    <w:rsid w:val="006B2C42"/>
    <w:rsid w:val="006B38CE"/>
    <w:rsid w:val="006B3FCF"/>
    <w:rsid w:val="006C140D"/>
    <w:rsid w:val="006C45BC"/>
    <w:rsid w:val="006C7AE2"/>
    <w:rsid w:val="006E2CD4"/>
    <w:rsid w:val="006E5330"/>
    <w:rsid w:val="006F3055"/>
    <w:rsid w:val="006F689E"/>
    <w:rsid w:val="0070010D"/>
    <w:rsid w:val="00705FF3"/>
    <w:rsid w:val="00706636"/>
    <w:rsid w:val="00712D61"/>
    <w:rsid w:val="007141D1"/>
    <w:rsid w:val="007207D5"/>
    <w:rsid w:val="00720AD7"/>
    <w:rsid w:val="00721DA2"/>
    <w:rsid w:val="00722BF7"/>
    <w:rsid w:val="007245A3"/>
    <w:rsid w:val="00724FEE"/>
    <w:rsid w:val="00726244"/>
    <w:rsid w:val="007267D1"/>
    <w:rsid w:val="0072684A"/>
    <w:rsid w:val="00732B34"/>
    <w:rsid w:val="00732F29"/>
    <w:rsid w:val="00734F07"/>
    <w:rsid w:val="00737282"/>
    <w:rsid w:val="0074375D"/>
    <w:rsid w:val="00745A7B"/>
    <w:rsid w:val="00745FC9"/>
    <w:rsid w:val="00751310"/>
    <w:rsid w:val="00756A71"/>
    <w:rsid w:val="00756D23"/>
    <w:rsid w:val="007604BF"/>
    <w:rsid w:val="00761EE2"/>
    <w:rsid w:val="00762753"/>
    <w:rsid w:val="00764771"/>
    <w:rsid w:val="00765EC2"/>
    <w:rsid w:val="00771B46"/>
    <w:rsid w:val="00774FA6"/>
    <w:rsid w:val="00775E3B"/>
    <w:rsid w:val="007765B1"/>
    <w:rsid w:val="00776D49"/>
    <w:rsid w:val="00780638"/>
    <w:rsid w:val="00785C9F"/>
    <w:rsid w:val="007912B5"/>
    <w:rsid w:val="007925DB"/>
    <w:rsid w:val="00794A1D"/>
    <w:rsid w:val="007951EA"/>
    <w:rsid w:val="007A55E3"/>
    <w:rsid w:val="007A57B7"/>
    <w:rsid w:val="007A6701"/>
    <w:rsid w:val="007B10D7"/>
    <w:rsid w:val="007C0A5A"/>
    <w:rsid w:val="007C3FD5"/>
    <w:rsid w:val="007C77CF"/>
    <w:rsid w:val="007D07FD"/>
    <w:rsid w:val="007D5500"/>
    <w:rsid w:val="007D5EC6"/>
    <w:rsid w:val="007D67A8"/>
    <w:rsid w:val="007E2257"/>
    <w:rsid w:val="007E22D3"/>
    <w:rsid w:val="007F2FA2"/>
    <w:rsid w:val="00802050"/>
    <w:rsid w:val="00802980"/>
    <w:rsid w:val="00806DF9"/>
    <w:rsid w:val="00810D65"/>
    <w:rsid w:val="00817380"/>
    <w:rsid w:val="00821624"/>
    <w:rsid w:val="00821923"/>
    <w:rsid w:val="00822E8B"/>
    <w:rsid w:val="00824397"/>
    <w:rsid w:val="0082595D"/>
    <w:rsid w:val="00826CF3"/>
    <w:rsid w:val="008365B1"/>
    <w:rsid w:val="0084032A"/>
    <w:rsid w:val="00843673"/>
    <w:rsid w:val="0085341E"/>
    <w:rsid w:val="0085660E"/>
    <w:rsid w:val="00857CBE"/>
    <w:rsid w:val="008620A7"/>
    <w:rsid w:val="0086452B"/>
    <w:rsid w:val="00865515"/>
    <w:rsid w:val="008663B2"/>
    <w:rsid w:val="00866E78"/>
    <w:rsid w:val="008679C0"/>
    <w:rsid w:val="00870AA2"/>
    <w:rsid w:val="00870F33"/>
    <w:rsid w:val="0087114A"/>
    <w:rsid w:val="00874948"/>
    <w:rsid w:val="00880239"/>
    <w:rsid w:val="00880903"/>
    <w:rsid w:val="00883AAD"/>
    <w:rsid w:val="0088559A"/>
    <w:rsid w:val="00885F5F"/>
    <w:rsid w:val="00886261"/>
    <w:rsid w:val="00893B6A"/>
    <w:rsid w:val="008A5179"/>
    <w:rsid w:val="008A6B06"/>
    <w:rsid w:val="008A6B1A"/>
    <w:rsid w:val="008A6C40"/>
    <w:rsid w:val="008A6E42"/>
    <w:rsid w:val="008B0479"/>
    <w:rsid w:val="008B05CE"/>
    <w:rsid w:val="008B3155"/>
    <w:rsid w:val="008B3D02"/>
    <w:rsid w:val="008B4210"/>
    <w:rsid w:val="008C59F6"/>
    <w:rsid w:val="008C5F09"/>
    <w:rsid w:val="008C7C1D"/>
    <w:rsid w:val="008D1132"/>
    <w:rsid w:val="008E16B1"/>
    <w:rsid w:val="008E31EA"/>
    <w:rsid w:val="008F2B8A"/>
    <w:rsid w:val="0090070A"/>
    <w:rsid w:val="00901F47"/>
    <w:rsid w:val="00906CDE"/>
    <w:rsid w:val="00920EB7"/>
    <w:rsid w:val="00923AA7"/>
    <w:rsid w:val="0092773D"/>
    <w:rsid w:val="00933947"/>
    <w:rsid w:val="00933FD8"/>
    <w:rsid w:val="00936827"/>
    <w:rsid w:val="009372EA"/>
    <w:rsid w:val="009411FA"/>
    <w:rsid w:val="009418A8"/>
    <w:rsid w:val="0094598A"/>
    <w:rsid w:val="00950777"/>
    <w:rsid w:val="00960A55"/>
    <w:rsid w:val="00964D66"/>
    <w:rsid w:val="00966E9F"/>
    <w:rsid w:val="009676F0"/>
    <w:rsid w:val="00972C89"/>
    <w:rsid w:val="009748E1"/>
    <w:rsid w:val="00977299"/>
    <w:rsid w:val="00977DCD"/>
    <w:rsid w:val="00980CF8"/>
    <w:rsid w:val="00991100"/>
    <w:rsid w:val="00991A10"/>
    <w:rsid w:val="009932CD"/>
    <w:rsid w:val="00993A66"/>
    <w:rsid w:val="00996289"/>
    <w:rsid w:val="009A27E8"/>
    <w:rsid w:val="009A6BA5"/>
    <w:rsid w:val="009B334B"/>
    <w:rsid w:val="009B64ED"/>
    <w:rsid w:val="009C520F"/>
    <w:rsid w:val="009C7ABF"/>
    <w:rsid w:val="009D2DE8"/>
    <w:rsid w:val="009D2F46"/>
    <w:rsid w:val="009D308E"/>
    <w:rsid w:val="009D428C"/>
    <w:rsid w:val="009D5069"/>
    <w:rsid w:val="009D576C"/>
    <w:rsid w:val="009D71DB"/>
    <w:rsid w:val="009D77D6"/>
    <w:rsid w:val="009E0D8C"/>
    <w:rsid w:val="009E1C0C"/>
    <w:rsid w:val="009E5A45"/>
    <w:rsid w:val="009F0338"/>
    <w:rsid w:val="009F18D2"/>
    <w:rsid w:val="009F3B18"/>
    <w:rsid w:val="009F537F"/>
    <w:rsid w:val="009F717B"/>
    <w:rsid w:val="009F7C95"/>
    <w:rsid w:val="00A01AAE"/>
    <w:rsid w:val="00A028F8"/>
    <w:rsid w:val="00A0513F"/>
    <w:rsid w:val="00A067A7"/>
    <w:rsid w:val="00A0730D"/>
    <w:rsid w:val="00A14C1C"/>
    <w:rsid w:val="00A178F9"/>
    <w:rsid w:val="00A22D28"/>
    <w:rsid w:val="00A2390E"/>
    <w:rsid w:val="00A26B94"/>
    <w:rsid w:val="00A3269E"/>
    <w:rsid w:val="00A3474C"/>
    <w:rsid w:val="00A362AF"/>
    <w:rsid w:val="00A53D67"/>
    <w:rsid w:val="00A56FA8"/>
    <w:rsid w:val="00A62115"/>
    <w:rsid w:val="00A640E4"/>
    <w:rsid w:val="00A66BD7"/>
    <w:rsid w:val="00A774DA"/>
    <w:rsid w:val="00A77BF3"/>
    <w:rsid w:val="00A80A85"/>
    <w:rsid w:val="00A82E76"/>
    <w:rsid w:val="00A84334"/>
    <w:rsid w:val="00A86E7D"/>
    <w:rsid w:val="00AA02BF"/>
    <w:rsid w:val="00AA2AC2"/>
    <w:rsid w:val="00AA3554"/>
    <w:rsid w:val="00AA45AB"/>
    <w:rsid w:val="00AA647E"/>
    <w:rsid w:val="00AB4144"/>
    <w:rsid w:val="00AC04B3"/>
    <w:rsid w:val="00AC1CE8"/>
    <w:rsid w:val="00AC70CA"/>
    <w:rsid w:val="00AD001A"/>
    <w:rsid w:val="00AD0B03"/>
    <w:rsid w:val="00AD2A7C"/>
    <w:rsid w:val="00AE3164"/>
    <w:rsid w:val="00AE346E"/>
    <w:rsid w:val="00AF19AE"/>
    <w:rsid w:val="00AF2116"/>
    <w:rsid w:val="00AF219A"/>
    <w:rsid w:val="00AF4C22"/>
    <w:rsid w:val="00AF719E"/>
    <w:rsid w:val="00B01D87"/>
    <w:rsid w:val="00B0573A"/>
    <w:rsid w:val="00B13993"/>
    <w:rsid w:val="00B14DDC"/>
    <w:rsid w:val="00B1680C"/>
    <w:rsid w:val="00B24851"/>
    <w:rsid w:val="00B24E33"/>
    <w:rsid w:val="00B33304"/>
    <w:rsid w:val="00B37FF3"/>
    <w:rsid w:val="00B523E3"/>
    <w:rsid w:val="00B52C3C"/>
    <w:rsid w:val="00B55F10"/>
    <w:rsid w:val="00B63858"/>
    <w:rsid w:val="00B67305"/>
    <w:rsid w:val="00B7128E"/>
    <w:rsid w:val="00B7171C"/>
    <w:rsid w:val="00B71C0E"/>
    <w:rsid w:val="00B736F2"/>
    <w:rsid w:val="00B74382"/>
    <w:rsid w:val="00B8339F"/>
    <w:rsid w:val="00B842BC"/>
    <w:rsid w:val="00B85EA4"/>
    <w:rsid w:val="00B87418"/>
    <w:rsid w:val="00BA3384"/>
    <w:rsid w:val="00BA3934"/>
    <w:rsid w:val="00BA454C"/>
    <w:rsid w:val="00BA4B6A"/>
    <w:rsid w:val="00BA56EF"/>
    <w:rsid w:val="00BA5E70"/>
    <w:rsid w:val="00BA6F34"/>
    <w:rsid w:val="00BB68B9"/>
    <w:rsid w:val="00BC2937"/>
    <w:rsid w:val="00BC6364"/>
    <w:rsid w:val="00BD0946"/>
    <w:rsid w:val="00BD0B80"/>
    <w:rsid w:val="00BD4228"/>
    <w:rsid w:val="00BD660B"/>
    <w:rsid w:val="00BD7C9D"/>
    <w:rsid w:val="00BE2BB7"/>
    <w:rsid w:val="00BE5679"/>
    <w:rsid w:val="00BF03CE"/>
    <w:rsid w:val="00BF4CF1"/>
    <w:rsid w:val="00BF6611"/>
    <w:rsid w:val="00C01536"/>
    <w:rsid w:val="00C052EE"/>
    <w:rsid w:val="00C06E6C"/>
    <w:rsid w:val="00C11A34"/>
    <w:rsid w:val="00C14799"/>
    <w:rsid w:val="00C165EF"/>
    <w:rsid w:val="00C16690"/>
    <w:rsid w:val="00C16E23"/>
    <w:rsid w:val="00C21DFF"/>
    <w:rsid w:val="00C22DE7"/>
    <w:rsid w:val="00C25109"/>
    <w:rsid w:val="00C270DC"/>
    <w:rsid w:val="00C35902"/>
    <w:rsid w:val="00C35A1E"/>
    <w:rsid w:val="00C36961"/>
    <w:rsid w:val="00C37758"/>
    <w:rsid w:val="00C50AAE"/>
    <w:rsid w:val="00C57D50"/>
    <w:rsid w:val="00C60829"/>
    <w:rsid w:val="00C62C0E"/>
    <w:rsid w:val="00C63EA9"/>
    <w:rsid w:val="00C643AB"/>
    <w:rsid w:val="00C65CE7"/>
    <w:rsid w:val="00C70F26"/>
    <w:rsid w:val="00C72CDE"/>
    <w:rsid w:val="00C752FF"/>
    <w:rsid w:val="00C824E2"/>
    <w:rsid w:val="00C8545E"/>
    <w:rsid w:val="00C85944"/>
    <w:rsid w:val="00C922A3"/>
    <w:rsid w:val="00CA0757"/>
    <w:rsid w:val="00CA0C76"/>
    <w:rsid w:val="00CA38AE"/>
    <w:rsid w:val="00CA3F30"/>
    <w:rsid w:val="00CA4FE9"/>
    <w:rsid w:val="00CB01AE"/>
    <w:rsid w:val="00CB452C"/>
    <w:rsid w:val="00CB7CD0"/>
    <w:rsid w:val="00CC02E7"/>
    <w:rsid w:val="00CC6045"/>
    <w:rsid w:val="00CD0653"/>
    <w:rsid w:val="00CD4CF9"/>
    <w:rsid w:val="00CD53A3"/>
    <w:rsid w:val="00CD577E"/>
    <w:rsid w:val="00CE217E"/>
    <w:rsid w:val="00CE6ABC"/>
    <w:rsid w:val="00CE6BA7"/>
    <w:rsid w:val="00CF1E60"/>
    <w:rsid w:val="00CF6D9E"/>
    <w:rsid w:val="00CF6F4D"/>
    <w:rsid w:val="00D002F8"/>
    <w:rsid w:val="00D0031C"/>
    <w:rsid w:val="00D05F43"/>
    <w:rsid w:val="00D06061"/>
    <w:rsid w:val="00D06A97"/>
    <w:rsid w:val="00D12A71"/>
    <w:rsid w:val="00D13E2D"/>
    <w:rsid w:val="00D16341"/>
    <w:rsid w:val="00D172C8"/>
    <w:rsid w:val="00D17A7A"/>
    <w:rsid w:val="00D22FEB"/>
    <w:rsid w:val="00D30EAD"/>
    <w:rsid w:val="00D404A9"/>
    <w:rsid w:val="00D55B30"/>
    <w:rsid w:val="00D56E57"/>
    <w:rsid w:val="00D63F44"/>
    <w:rsid w:val="00D641B8"/>
    <w:rsid w:val="00D7228D"/>
    <w:rsid w:val="00D7289F"/>
    <w:rsid w:val="00D72D2C"/>
    <w:rsid w:val="00D75239"/>
    <w:rsid w:val="00D8367D"/>
    <w:rsid w:val="00D83B44"/>
    <w:rsid w:val="00D93FEF"/>
    <w:rsid w:val="00D97FEA"/>
    <w:rsid w:val="00DA447E"/>
    <w:rsid w:val="00DA57F0"/>
    <w:rsid w:val="00DA6786"/>
    <w:rsid w:val="00DA757F"/>
    <w:rsid w:val="00DB18F1"/>
    <w:rsid w:val="00DB2FCC"/>
    <w:rsid w:val="00DB3549"/>
    <w:rsid w:val="00DB630B"/>
    <w:rsid w:val="00DB7BC0"/>
    <w:rsid w:val="00DC0F05"/>
    <w:rsid w:val="00DC1080"/>
    <w:rsid w:val="00DC1355"/>
    <w:rsid w:val="00DC4CD8"/>
    <w:rsid w:val="00DC5BDA"/>
    <w:rsid w:val="00DD1524"/>
    <w:rsid w:val="00DD255D"/>
    <w:rsid w:val="00DD4403"/>
    <w:rsid w:val="00DD4FB7"/>
    <w:rsid w:val="00DD5B67"/>
    <w:rsid w:val="00DD5D19"/>
    <w:rsid w:val="00DD7061"/>
    <w:rsid w:val="00DE7459"/>
    <w:rsid w:val="00DF0BA4"/>
    <w:rsid w:val="00DF25ED"/>
    <w:rsid w:val="00DF53BC"/>
    <w:rsid w:val="00DF5E93"/>
    <w:rsid w:val="00DF7B04"/>
    <w:rsid w:val="00E073C9"/>
    <w:rsid w:val="00E0748D"/>
    <w:rsid w:val="00E11557"/>
    <w:rsid w:val="00E12C58"/>
    <w:rsid w:val="00E138FB"/>
    <w:rsid w:val="00E15451"/>
    <w:rsid w:val="00E16A97"/>
    <w:rsid w:val="00E16F99"/>
    <w:rsid w:val="00E24970"/>
    <w:rsid w:val="00E32767"/>
    <w:rsid w:val="00E462B2"/>
    <w:rsid w:val="00E463F7"/>
    <w:rsid w:val="00E50B03"/>
    <w:rsid w:val="00E520EA"/>
    <w:rsid w:val="00E55645"/>
    <w:rsid w:val="00E6071D"/>
    <w:rsid w:val="00E641AE"/>
    <w:rsid w:val="00E65D39"/>
    <w:rsid w:val="00E72171"/>
    <w:rsid w:val="00E724E7"/>
    <w:rsid w:val="00E7253C"/>
    <w:rsid w:val="00E74758"/>
    <w:rsid w:val="00E766D0"/>
    <w:rsid w:val="00E77B5A"/>
    <w:rsid w:val="00E8552D"/>
    <w:rsid w:val="00E876FE"/>
    <w:rsid w:val="00E94FE3"/>
    <w:rsid w:val="00EA3AE9"/>
    <w:rsid w:val="00EA7030"/>
    <w:rsid w:val="00EB08F7"/>
    <w:rsid w:val="00EB11DD"/>
    <w:rsid w:val="00EB5E72"/>
    <w:rsid w:val="00EB5E98"/>
    <w:rsid w:val="00EC2996"/>
    <w:rsid w:val="00EC2BED"/>
    <w:rsid w:val="00EC46A0"/>
    <w:rsid w:val="00ED1DCA"/>
    <w:rsid w:val="00ED5BD0"/>
    <w:rsid w:val="00EE42F6"/>
    <w:rsid w:val="00EE6370"/>
    <w:rsid w:val="00EE7EA4"/>
    <w:rsid w:val="00EF23CD"/>
    <w:rsid w:val="00EF3C33"/>
    <w:rsid w:val="00EF5701"/>
    <w:rsid w:val="00F0080B"/>
    <w:rsid w:val="00F0589E"/>
    <w:rsid w:val="00F07F07"/>
    <w:rsid w:val="00F16F4E"/>
    <w:rsid w:val="00F215E3"/>
    <w:rsid w:val="00F22ACA"/>
    <w:rsid w:val="00F2305C"/>
    <w:rsid w:val="00F24141"/>
    <w:rsid w:val="00F27F36"/>
    <w:rsid w:val="00F31088"/>
    <w:rsid w:val="00F3692A"/>
    <w:rsid w:val="00F3782D"/>
    <w:rsid w:val="00F45E01"/>
    <w:rsid w:val="00F70371"/>
    <w:rsid w:val="00F71FF5"/>
    <w:rsid w:val="00F721E0"/>
    <w:rsid w:val="00F753D4"/>
    <w:rsid w:val="00F75C24"/>
    <w:rsid w:val="00F806B6"/>
    <w:rsid w:val="00F85EF4"/>
    <w:rsid w:val="00F86637"/>
    <w:rsid w:val="00F86D07"/>
    <w:rsid w:val="00F91E81"/>
    <w:rsid w:val="00F936D8"/>
    <w:rsid w:val="00FA0E17"/>
    <w:rsid w:val="00FA2DE4"/>
    <w:rsid w:val="00FA4E8D"/>
    <w:rsid w:val="00FA6ED0"/>
    <w:rsid w:val="00FB0DF4"/>
    <w:rsid w:val="00FB32D3"/>
    <w:rsid w:val="00FC0280"/>
    <w:rsid w:val="00FC0D3B"/>
    <w:rsid w:val="00FC5B22"/>
    <w:rsid w:val="00FC70F6"/>
    <w:rsid w:val="00FC7835"/>
    <w:rsid w:val="00FD32E2"/>
    <w:rsid w:val="00FE012D"/>
    <w:rsid w:val="00FE39EC"/>
    <w:rsid w:val="00FE3AE5"/>
    <w:rsid w:val="00FF175D"/>
    <w:rsid w:val="00FF24A0"/>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CA9E31E"/>
  <w15:docId w15:val="{C96AE770-6D21-4F2E-BDB7-5D8AAB37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3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ES" w:eastAsia="es-ES_tradnl"/>
    </w:rPr>
  </w:style>
  <w:style w:type="paragraph" w:styleId="Heading2">
    <w:name w:val="heading 2"/>
    <w:basedOn w:val="Normal"/>
    <w:next w:val="Normal"/>
    <w:link w:val="Heading2Char"/>
    <w:qFormat/>
    <w:rsid w:val="00B52C3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2C3C"/>
    <w:rPr>
      <w:rFonts w:ascii="Arial" w:eastAsia="MS Mincho" w:hAnsi="Arial" w:cs="Arial"/>
      <w:b/>
      <w:bCs/>
      <w:i/>
      <w:iCs/>
      <w:sz w:val="28"/>
      <w:szCs w:val="28"/>
      <w:lang w:val="es-ES" w:eastAsia="es-ES_tradnl"/>
    </w:rPr>
  </w:style>
  <w:style w:type="paragraph" w:styleId="ListParagraph">
    <w:name w:val="List Paragraph"/>
    <w:basedOn w:val="Normal"/>
    <w:link w:val="ListParagraphChar"/>
    <w:uiPriority w:val="34"/>
    <w:qFormat/>
    <w:rsid w:val="00B52C3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val="en-US" w:eastAsia="en-US"/>
    </w:rPr>
  </w:style>
  <w:style w:type="paragraph" w:styleId="Revision">
    <w:name w:val="Revision"/>
    <w:hidden/>
    <w:uiPriority w:val="99"/>
    <w:semiHidden/>
    <w:rsid w:val="00CF1E60"/>
    <w:pPr>
      <w:spacing w:after="0" w:line="240" w:lineRule="auto"/>
    </w:pPr>
    <w:rPr>
      <w:rFonts w:ascii="CG Times" w:eastAsia="MS Mincho" w:hAnsi="CG Times" w:cs="Times New Roman"/>
      <w:szCs w:val="20"/>
      <w:lang w:val="es-ES" w:eastAsia="es-ES_tradnl"/>
    </w:rPr>
  </w:style>
  <w:style w:type="table" w:styleId="TableGrid">
    <w:name w:val="Table Grid"/>
    <w:basedOn w:val="TableNormal"/>
    <w:uiPriority w:val="39"/>
    <w:rsid w:val="002858C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B17"/>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431B17"/>
    <w:rPr>
      <w:rFonts w:ascii="CG Times" w:eastAsia="MS Mincho" w:hAnsi="CG Times" w:cs="Times New Roman"/>
      <w:szCs w:val="20"/>
      <w:lang w:val="es-ES" w:eastAsia="es-ES_tradnl"/>
    </w:rPr>
  </w:style>
  <w:style w:type="paragraph" w:styleId="Footer">
    <w:name w:val="footer"/>
    <w:basedOn w:val="Normal"/>
    <w:link w:val="FooterChar"/>
    <w:uiPriority w:val="99"/>
    <w:unhideWhenUsed/>
    <w:rsid w:val="00431B17"/>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431B17"/>
    <w:rPr>
      <w:rFonts w:ascii="CG Times" w:eastAsia="MS Mincho" w:hAnsi="CG Times" w:cs="Times New Roman"/>
      <w:szCs w:val="20"/>
      <w:lang w:val="es-ES" w:eastAsia="es-ES_tradnl"/>
    </w:rPr>
  </w:style>
  <w:style w:type="character" w:customStyle="1" w:styleId="ListParagraphChar">
    <w:name w:val="List Paragraph Char"/>
    <w:link w:val="ListParagraph"/>
    <w:qFormat/>
    <w:rsid w:val="0030712F"/>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1E20C0"/>
    <w:rPr>
      <w:rFonts w:ascii="Tahoma" w:hAnsi="Tahoma" w:cs="Tahoma"/>
      <w:sz w:val="16"/>
      <w:szCs w:val="16"/>
    </w:rPr>
  </w:style>
  <w:style w:type="character" w:customStyle="1" w:styleId="BalloonTextChar">
    <w:name w:val="Balloon Text Char"/>
    <w:basedOn w:val="DefaultParagraphFont"/>
    <w:link w:val="BalloonText"/>
    <w:uiPriority w:val="99"/>
    <w:semiHidden/>
    <w:rsid w:val="001E20C0"/>
    <w:rPr>
      <w:rFonts w:ascii="Tahoma" w:eastAsia="MS Mincho" w:hAnsi="Tahoma" w:cs="Tahoma"/>
      <w:sz w:val="16"/>
      <w:szCs w:val="16"/>
      <w:lang w:val="es-ES" w:eastAsia="es-ES_tradnl"/>
    </w:rPr>
  </w:style>
  <w:style w:type="paragraph" w:styleId="FootnoteText">
    <w:name w:val="footnote text"/>
    <w:basedOn w:val="Normal"/>
    <w:link w:val="FootnoteTextChar"/>
    <w:uiPriority w:val="99"/>
    <w:unhideWhenUsed/>
    <w:rsid w:val="000A28FC"/>
    <w:rPr>
      <w:sz w:val="20"/>
    </w:rPr>
  </w:style>
  <w:style w:type="character" w:customStyle="1" w:styleId="FootnoteTextChar">
    <w:name w:val="Footnote Text Char"/>
    <w:basedOn w:val="DefaultParagraphFont"/>
    <w:link w:val="FootnoteText"/>
    <w:uiPriority w:val="99"/>
    <w:rsid w:val="000A28FC"/>
    <w:rPr>
      <w:rFonts w:ascii="CG Times" w:eastAsia="MS Mincho" w:hAnsi="CG Times" w:cs="Times New Roman"/>
      <w:sz w:val="20"/>
      <w:szCs w:val="20"/>
      <w:lang w:val="es-ES" w:eastAsia="es-ES_tradnl"/>
    </w:rPr>
  </w:style>
  <w:style w:type="character" w:styleId="FootnoteReference">
    <w:name w:val="footnote reference"/>
    <w:basedOn w:val="DefaultParagraphFont"/>
    <w:uiPriority w:val="99"/>
    <w:semiHidden/>
    <w:unhideWhenUsed/>
    <w:rsid w:val="000A28FC"/>
    <w:rPr>
      <w:vertAlign w:val="superscript"/>
    </w:rPr>
  </w:style>
  <w:style w:type="paragraph" w:customStyle="1" w:styleId="Default">
    <w:name w:val="Default"/>
    <w:rsid w:val="000D3468"/>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paragraph" w:customStyle="1" w:styleId="CPClassification">
    <w:name w:val="CP Classification"/>
    <w:basedOn w:val="Normal"/>
    <w:uiPriority w:val="99"/>
    <w:rsid w:val="00AF4C22"/>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eastAsia="Times New Roman" w:hAnsi="Times New Roman"/>
      <w:szCs w:val="22"/>
      <w:lang w:val="en-US" w:eastAsia="es-ES"/>
    </w:rPr>
  </w:style>
  <w:style w:type="character" w:customStyle="1" w:styleId="normaltextrun">
    <w:name w:val="normaltextrun"/>
    <w:basedOn w:val="DefaultParagraphFont"/>
    <w:rsid w:val="00AF4C22"/>
  </w:style>
  <w:style w:type="paragraph" w:styleId="NormalWeb">
    <w:name w:val="Normal (Web)"/>
    <w:basedOn w:val="Normal"/>
    <w:uiPriority w:val="99"/>
    <w:unhideWhenUsed/>
    <w:rsid w:val="008645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795">
      <w:bodyDiv w:val="1"/>
      <w:marLeft w:val="0"/>
      <w:marRight w:val="0"/>
      <w:marTop w:val="0"/>
      <w:marBottom w:val="0"/>
      <w:divBdr>
        <w:top w:val="none" w:sz="0" w:space="0" w:color="auto"/>
        <w:left w:val="none" w:sz="0" w:space="0" w:color="auto"/>
        <w:bottom w:val="none" w:sz="0" w:space="0" w:color="auto"/>
        <w:right w:val="none" w:sz="0" w:space="0" w:color="auto"/>
      </w:divBdr>
    </w:div>
    <w:div w:id="317807954">
      <w:bodyDiv w:val="1"/>
      <w:marLeft w:val="0"/>
      <w:marRight w:val="0"/>
      <w:marTop w:val="0"/>
      <w:marBottom w:val="0"/>
      <w:divBdr>
        <w:top w:val="none" w:sz="0" w:space="0" w:color="auto"/>
        <w:left w:val="none" w:sz="0" w:space="0" w:color="auto"/>
        <w:bottom w:val="none" w:sz="0" w:space="0" w:color="auto"/>
        <w:right w:val="none" w:sz="0" w:space="0" w:color="auto"/>
      </w:divBdr>
      <w:divsChild>
        <w:div w:id="1385329009">
          <w:marLeft w:val="0"/>
          <w:marRight w:val="0"/>
          <w:marTop w:val="0"/>
          <w:marBottom w:val="0"/>
          <w:divBdr>
            <w:top w:val="none" w:sz="0" w:space="0" w:color="auto"/>
            <w:left w:val="none" w:sz="0" w:space="0" w:color="auto"/>
            <w:bottom w:val="none" w:sz="0" w:space="0" w:color="auto"/>
            <w:right w:val="none" w:sz="0" w:space="0" w:color="auto"/>
          </w:divBdr>
        </w:div>
        <w:div w:id="743769946">
          <w:marLeft w:val="0"/>
          <w:marRight w:val="0"/>
          <w:marTop w:val="0"/>
          <w:marBottom w:val="0"/>
          <w:divBdr>
            <w:top w:val="none" w:sz="0" w:space="0" w:color="auto"/>
            <w:left w:val="none" w:sz="0" w:space="0" w:color="auto"/>
            <w:bottom w:val="none" w:sz="0" w:space="0" w:color="auto"/>
            <w:right w:val="none" w:sz="0" w:space="0" w:color="auto"/>
          </w:divBdr>
          <w:divsChild>
            <w:div w:id="1594438986">
              <w:marLeft w:val="0"/>
              <w:marRight w:val="165"/>
              <w:marTop w:val="150"/>
              <w:marBottom w:val="0"/>
              <w:divBdr>
                <w:top w:val="none" w:sz="0" w:space="0" w:color="auto"/>
                <w:left w:val="none" w:sz="0" w:space="0" w:color="auto"/>
                <w:bottom w:val="none" w:sz="0" w:space="0" w:color="auto"/>
                <w:right w:val="none" w:sz="0" w:space="0" w:color="auto"/>
              </w:divBdr>
              <w:divsChild>
                <w:div w:id="349264681">
                  <w:marLeft w:val="0"/>
                  <w:marRight w:val="0"/>
                  <w:marTop w:val="0"/>
                  <w:marBottom w:val="0"/>
                  <w:divBdr>
                    <w:top w:val="none" w:sz="0" w:space="0" w:color="auto"/>
                    <w:left w:val="none" w:sz="0" w:space="0" w:color="auto"/>
                    <w:bottom w:val="none" w:sz="0" w:space="0" w:color="auto"/>
                    <w:right w:val="none" w:sz="0" w:space="0" w:color="auto"/>
                  </w:divBdr>
                  <w:divsChild>
                    <w:div w:id="892742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472061">
      <w:bodyDiv w:val="1"/>
      <w:marLeft w:val="0"/>
      <w:marRight w:val="0"/>
      <w:marTop w:val="0"/>
      <w:marBottom w:val="0"/>
      <w:divBdr>
        <w:top w:val="none" w:sz="0" w:space="0" w:color="auto"/>
        <w:left w:val="none" w:sz="0" w:space="0" w:color="auto"/>
        <w:bottom w:val="none" w:sz="0" w:space="0" w:color="auto"/>
        <w:right w:val="none" w:sz="0" w:space="0" w:color="auto"/>
      </w:divBdr>
    </w:div>
    <w:div w:id="423577254">
      <w:bodyDiv w:val="1"/>
      <w:marLeft w:val="0"/>
      <w:marRight w:val="0"/>
      <w:marTop w:val="0"/>
      <w:marBottom w:val="0"/>
      <w:divBdr>
        <w:top w:val="none" w:sz="0" w:space="0" w:color="auto"/>
        <w:left w:val="none" w:sz="0" w:space="0" w:color="auto"/>
        <w:bottom w:val="none" w:sz="0" w:space="0" w:color="auto"/>
        <w:right w:val="none" w:sz="0" w:space="0" w:color="auto"/>
      </w:divBdr>
    </w:div>
    <w:div w:id="431971638">
      <w:bodyDiv w:val="1"/>
      <w:marLeft w:val="0"/>
      <w:marRight w:val="0"/>
      <w:marTop w:val="0"/>
      <w:marBottom w:val="0"/>
      <w:divBdr>
        <w:top w:val="none" w:sz="0" w:space="0" w:color="auto"/>
        <w:left w:val="none" w:sz="0" w:space="0" w:color="auto"/>
        <w:bottom w:val="none" w:sz="0" w:space="0" w:color="auto"/>
        <w:right w:val="none" w:sz="0" w:space="0" w:color="auto"/>
      </w:divBdr>
    </w:div>
    <w:div w:id="758986184">
      <w:bodyDiv w:val="1"/>
      <w:marLeft w:val="0"/>
      <w:marRight w:val="0"/>
      <w:marTop w:val="0"/>
      <w:marBottom w:val="0"/>
      <w:divBdr>
        <w:top w:val="none" w:sz="0" w:space="0" w:color="auto"/>
        <w:left w:val="none" w:sz="0" w:space="0" w:color="auto"/>
        <w:bottom w:val="none" w:sz="0" w:space="0" w:color="auto"/>
        <w:right w:val="none" w:sz="0" w:space="0" w:color="auto"/>
      </w:divBdr>
    </w:div>
    <w:div w:id="772896816">
      <w:bodyDiv w:val="1"/>
      <w:marLeft w:val="0"/>
      <w:marRight w:val="0"/>
      <w:marTop w:val="0"/>
      <w:marBottom w:val="0"/>
      <w:divBdr>
        <w:top w:val="none" w:sz="0" w:space="0" w:color="auto"/>
        <w:left w:val="none" w:sz="0" w:space="0" w:color="auto"/>
        <w:bottom w:val="none" w:sz="0" w:space="0" w:color="auto"/>
        <w:right w:val="none" w:sz="0" w:space="0" w:color="auto"/>
      </w:divBdr>
    </w:div>
    <w:div w:id="1018235305">
      <w:bodyDiv w:val="1"/>
      <w:marLeft w:val="0"/>
      <w:marRight w:val="0"/>
      <w:marTop w:val="0"/>
      <w:marBottom w:val="0"/>
      <w:divBdr>
        <w:top w:val="none" w:sz="0" w:space="0" w:color="auto"/>
        <w:left w:val="none" w:sz="0" w:space="0" w:color="auto"/>
        <w:bottom w:val="none" w:sz="0" w:space="0" w:color="auto"/>
        <w:right w:val="none" w:sz="0" w:space="0" w:color="auto"/>
      </w:divBdr>
    </w:div>
    <w:div w:id="1355883968">
      <w:bodyDiv w:val="1"/>
      <w:marLeft w:val="0"/>
      <w:marRight w:val="0"/>
      <w:marTop w:val="0"/>
      <w:marBottom w:val="0"/>
      <w:divBdr>
        <w:top w:val="none" w:sz="0" w:space="0" w:color="auto"/>
        <w:left w:val="none" w:sz="0" w:space="0" w:color="auto"/>
        <w:bottom w:val="none" w:sz="0" w:space="0" w:color="auto"/>
        <w:right w:val="none" w:sz="0" w:space="0" w:color="auto"/>
      </w:divBdr>
    </w:div>
    <w:div w:id="1379160019">
      <w:bodyDiv w:val="1"/>
      <w:marLeft w:val="0"/>
      <w:marRight w:val="0"/>
      <w:marTop w:val="0"/>
      <w:marBottom w:val="0"/>
      <w:divBdr>
        <w:top w:val="none" w:sz="0" w:space="0" w:color="auto"/>
        <w:left w:val="none" w:sz="0" w:space="0" w:color="auto"/>
        <w:bottom w:val="none" w:sz="0" w:space="0" w:color="auto"/>
        <w:right w:val="none" w:sz="0" w:space="0" w:color="auto"/>
      </w:divBdr>
    </w:div>
    <w:div w:id="1388719784">
      <w:bodyDiv w:val="1"/>
      <w:marLeft w:val="0"/>
      <w:marRight w:val="0"/>
      <w:marTop w:val="0"/>
      <w:marBottom w:val="0"/>
      <w:divBdr>
        <w:top w:val="none" w:sz="0" w:space="0" w:color="auto"/>
        <w:left w:val="none" w:sz="0" w:space="0" w:color="auto"/>
        <w:bottom w:val="none" w:sz="0" w:space="0" w:color="auto"/>
        <w:right w:val="none" w:sz="0" w:space="0" w:color="auto"/>
      </w:divBdr>
      <w:divsChild>
        <w:div w:id="520314246">
          <w:marLeft w:val="0"/>
          <w:marRight w:val="0"/>
          <w:marTop w:val="0"/>
          <w:marBottom w:val="0"/>
          <w:divBdr>
            <w:top w:val="none" w:sz="0" w:space="0" w:color="auto"/>
            <w:left w:val="none" w:sz="0" w:space="0" w:color="auto"/>
            <w:bottom w:val="none" w:sz="0" w:space="0" w:color="auto"/>
            <w:right w:val="none" w:sz="0" w:space="0" w:color="auto"/>
          </w:divBdr>
        </w:div>
        <w:div w:id="1654942680">
          <w:marLeft w:val="0"/>
          <w:marRight w:val="0"/>
          <w:marTop w:val="0"/>
          <w:marBottom w:val="0"/>
          <w:divBdr>
            <w:top w:val="none" w:sz="0" w:space="0" w:color="auto"/>
            <w:left w:val="none" w:sz="0" w:space="0" w:color="auto"/>
            <w:bottom w:val="none" w:sz="0" w:space="0" w:color="auto"/>
            <w:right w:val="none" w:sz="0" w:space="0" w:color="auto"/>
          </w:divBdr>
          <w:divsChild>
            <w:div w:id="1606380390">
              <w:marLeft w:val="0"/>
              <w:marRight w:val="165"/>
              <w:marTop w:val="150"/>
              <w:marBottom w:val="0"/>
              <w:divBdr>
                <w:top w:val="none" w:sz="0" w:space="0" w:color="auto"/>
                <w:left w:val="none" w:sz="0" w:space="0" w:color="auto"/>
                <w:bottom w:val="none" w:sz="0" w:space="0" w:color="auto"/>
                <w:right w:val="none" w:sz="0" w:space="0" w:color="auto"/>
              </w:divBdr>
              <w:divsChild>
                <w:div w:id="1406997975">
                  <w:marLeft w:val="0"/>
                  <w:marRight w:val="0"/>
                  <w:marTop w:val="0"/>
                  <w:marBottom w:val="0"/>
                  <w:divBdr>
                    <w:top w:val="none" w:sz="0" w:space="0" w:color="auto"/>
                    <w:left w:val="none" w:sz="0" w:space="0" w:color="auto"/>
                    <w:bottom w:val="none" w:sz="0" w:space="0" w:color="auto"/>
                    <w:right w:val="none" w:sz="0" w:space="0" w:color="auto"/>
                  </w:divBdr>
                  <w:divsChild>
                    <w:div w:id="3260620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5800">
      <w:bodyDiv w:val="1"/>
      <w:marLeft w:val="0"/>
      <w:marRight w:val="0"/>
      <w:marTop w:val="0"/>
      <w:marBottom w:val="0"/>
      <w:divBdr>
        <w:top w:val="none" w:sz="0" w:space="0" w:color="auto"/>
        <w:left w:val="none" w:sz="0" w:space="0" w:color="auto"/>
        <w:bottom w:val="none" w:sz="0" w:space="0" w:color="auto"/>
        <w:right w:val="none" w:sz="0" w:space="0" w:color="auto"/>
      </w:divBdr>
    </w:div>
    <w:div w:id="1544555692">
      <w:bodyDiv w:val="1"/>
      <w:marLeft w:val="0"/>
      <w:marRight w:val="0"/>
      <w:marTop w:val="0"/>
      <w:marBottom w:val="0"/>
      <w:divBdr>
        <w:top w:val="none" w:sz="0" w:space="0" w:color="auto"/>
        <w:left w:val="none" w:sz="0" w:space="0" w:color="auto"/>
        <w:bottom w:val="none" w:sz="0" w:space="0" w:color="auto"/>
        <w:right w:val="none" w:sz="0" w:space="0" w:color="auto"/>
      </w:divBdr>
    </w:div>
    <w:div w:id="1561672981">
      <w:bodyDiv w:val="1"/>
      <w:marLeft w:val="0"/>
      <w:marRight w:val="0"/>
      <w:marTop w:val="0"/>
      <w:marBottom w:val="0"/>
      <w:divBdr>
        <w:top w:val="none" w:sz="0" w:space="0" w:color="auto"/>
        <w:left w:val="none" w:sz="0" w:space="0" w:color="auto"/>
        <w:bottom w:val="none" w:sz="0" w:space="0" w:color="auto"/>
        <w:right w:val="none" w:sz="0" w:space="0" w:color="auto"/>
      </w:divBdr>
    </w:div>
    <w:div w:id="1950892172">
      <w:bodyDiv w:val="1"/>
      <w:marLeft w:val="0"/>
      <w:marRight w:val="0"/>
      <w:marTop w:val="0"/>
      <w:marBottom w:val="0"/>
      <w:divBdr>
        <w:top w:val="none" w:sz="0" w:space="0" w:color="auto"/>
        <w:left w:val="none" w:sz="0" w:space="0" w:color="auto"/>
        <w:bottom w:val="none" w:sz="0" w:space="0" w:color="auto"/>
        <w:right w:val="none" w:sz="0" w:space="0" w:color="auto"/>
      </w:divBdr>
    </w:div>
    <w:div w:id="1973706627">
      <w:bodyDiv w:val="1"/>
      <w:marLeft w:val="0"/>
      <w:marRight w:val="0"/>
      <w:marTop w:val="0"/>
      <w:marBottom w:val="0"/>
      <w:divBdr>
        <w:top w:val="none" w:sz="0" w:space="0" w:color="auto"/>
        <w:left w:val="none" w:sz="0" w:space="0" w:color="auto"/>
        <w:bottom w:val="none" w:sz="0" w:space="0" w:color="auto"/>
        <w:right w:val="none" w:sz="0" w:space="0" w:color="auto"/>
      </w:divBdr>
      <w:divsChild>
        <w:div w:id="1162424675">
          <w:marLeft w:val="0"/>
          <w:marRight w:val="0"/>
          <w:marTop w:val="0"/>
          <w:marBottom w:val="0"/>
          <w:divBdr>
            <w:top w:val="none" w:sz="0" w:space="0" w:color="auto"/>
            <w:left w:val="none" w:sz="0" w:space="0" w:color="auto"/>
            <w:bottom w:val="none" w:sz="0" w:space="0" w:color="auto"/>
            <w:right w:val="none" w:sz="0" w:space="0" w:color="auto"/>
          </w:divBdr>
        </w:div>
        <w:div w:id="1140079430">
          <w:marLeft w:val="0"/>
          <w:marRight w:val="0"/>
          <w:marTop w:val="0"/>
          <w:marBottom w:val="0"/>
          <w:divBdr>
            <w:top w:val="none" w:sz="0" w:space="0" w:color="auto"/>
            <w:left w:val="none" w:sz="0" w:space="0" w:color="auto"/>
            <w:bottom w:val="none" w:sz="0" w:space="0" w:color="auto"/>
            <w:right w:val="none" w:sz="0" w:space="0" w:color="auto"/>
          </w:divBdr>
          <w:divsChild>
            <w:div w:id="542982623">
              <w:marLeft w:val="0"/>
              <w:marRight w:val="165"/>
              <w:marTop w:val="150"/>
              <w:marBottom w:val="0"/>
              <w:divBdr>
                <w:top w:val="none" w:sz="0" w:space="0" w:color="auto"/>
                <w:left w:val="none" w:sz="0" w:space="0" w:color="auto"/>
                <w:bottom w:val="none" w:sz="0" w:space="0" w:color="auto"/>
                <w:right w:val="none" w:sz="0" w:space="0" w:color="auto"/>
              </w:divBdr>
              <w:divsChild>
                <w:div w:id="1634753697">
                  <w:marLeft w:val="0"/>
                  <w:marRight w:val="0"/>
                  <w:marTop w:val="0"/>
                  <w:marBottom w:val="0"/>
                  <w:divBdr>
                    <w:top w:val="none" w:sz="0" w:space="0" w:color="auto"/>
                    <w:left w:val="none" w:sz="0" w:space="0" w:color="auto"/>
                    <w:bottom w:val="none" w:sz="0" w:space="0" w:color="auto"/>
                    <w:right w:val="none" w:sz="0" w:space="0" w:color="auto"/>
                  </w:divBdr>
                  <w:divsChild>
                    <w:div w:id="801265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cm.oas.org/doc_public/spanish/HIST_23/CP47277S07.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9A46-B39A-4EBE-AE76-2F449770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5620</Words>
  <Characters>32037</Characters>
  <Application>Microsoft Office Word</Application>
  <DocSecurity>0</DocSecurity>
  <Lines>266</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Negro, Dante</dc:creator>
  <cp:lastModifiedBy>Mayorga, Georgina</cp:lastModifiedBy>
  <cp:revision>5</cp:revision>
  <dcterms:created xsi:type="dcterms:W3CDTF">2023-06-18T18:07:00Z</dcterms:created>
  <dcterms:modified xsi:type="dcterms:W3CDTF">2023-06-18T18:08:00Z</dcterms:modified>
</cp:coreProperties>
</file>