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49AD" w14:textId="77777777" w:rsidR="00952CA3" w:rsidRPr="00952CA3" w:rsidRDefault="004C529B" w:rsidP="00952CA3">
      <w:pPr>
        <w:pStyle w:val="TitleUppercase"/>
        <w:tabs>
          <w:tab w:val="clear" w:pos="720"/>
          <w:tab w:val="clear" w:pos="1440"/>
          <w:tab w:val="clear" w:pos="2160"/>
          <w:tab w:val="clear" w:pos="2880"/>
          <w:tab w:val="clear" w:pos="7200"/>
          <w:tab w:val="left" w:pos="6840"/>
        </w:tabs>
        <w:ind w:right="-389"/>
        <w:jc w:val="left"/>
        <w:rPr>
          <w:szCs w:val="22"/>
          <w:lang w:val="es-US"/>
        </w:rPr>
      </w:pPr>
      <w:r>
        <w:rPr>
          <w:szCs w:val="22"/>
        </w:rPr>
        <w:object w:dxaOrig="1440" w:dyaOrig="1440" w14:anchorId="53C02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5pt;margin-top:-46.95pt;width:320.05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47080509" r:id="rId9"/>
        </w:object>
      </w:r>
      <w:r w:rsidR="00952CA3" w:rsidRPr="00952CA3">
        <w:rPr>
          <w:szCs w:val="22"/>
          <w:lang w:val="es-US"/>
        </w:rPr>
        <w:tab/>
        <w:t>OEA/</w:t>
      </w:r>
      <w:proofErr w:type="spellStart"/>
      <w:r w:rsidR="00952CA3" w:rsidRPr="00952CA3">
        <w:rPr>
          <w:szCs w:val="22"/>
          <w:lang w:val="es-US"/>
        </w:rPr>
        <w:t>Ser.G</w:t>
      </w:r>
      <w:proofErr w:type="spellEnd"/>
      <w:r w:rsidR="00952CA3" w:rsidRPr="00952CA3">
        <w:rPr>
          <w:szCs w:val="22"/>
          <w:lang w:val="es-US"/>
        </w:rPr>
        <w:t>.</w:t>
      </w:r>
    </w:p>
    <w:p w14:paraId="16D03DFA" w14:textId="718FB129" w:rsidR="00952CA3" w:rsidRPr="00952CA3" w:rsidRDefault="00952CA3" w:rsidP="00952CA3">
      <w:pPr>
        <w:pStyle w:val="TitleUppercase"/>
        <w:tabs>
          <w:tab w:val="clear" w:pos="720"/>
          <w:tab w:val="clear" w:pos="1440"/>
          <w:tab w:val="clear" w:pos="2160"/>
          <w:tab w:val="clear" w:pos="2880"/>
          <w:tab w:val="clear" w:pos="7200"/>
          <w:tab w:val="left" w:pos="6840"/>
        </w:tabs>
        <w:ind w:right="-572"/>
        <w:jc w:val="left"/>
        <w:rPr>
          <w:szCs w:val="22"/>
          <w:lang w:val="es-US"/>
        </w:rPr>
      </w:pPr>
      <w:r w:rsidRPr="00952CA3">
        <w:rPr>
          <w:szCs w:val="22"/>
          <w:lang w:val="es-US"/>
        </w:rPr>
        <w:tab/>
        <w:t>CP/RES. 1225 (2434/23)</w:t>
      </w:r>
    </w:p>
    <w:p w14:paraId="4DE66847" w14:textId="47D7208B" w:rsidR="00952CA3" w:rsidRPr="00952CA3" w:rsidRDefault="00952CA3" w:rsidP="00952CA3">
      <w:pPr>
        <w:pStyle w:val="TitleUppercase"/>
        <w:tabs>
          <w:tab w:val="clear" w:pos="720"/>
          <w:tab w:val="clear" w:pos="1440"/>
          <w:tab w:val="clear" w:pos="2160"/>
          <w:tab w:val="clear" w:pos="2880"/>
          <w:tab w:val="clear" w:pos="7200"/>
          <w:tab w:val="left" w:pos="6840"/>
        </w:tabs>
        <w:ind w:right="-572"/>
        <w:jc w:val="left"/>
        <w:rPr>
          <w:szCs w:val="22"/>
          <w:lang w:val="es-AR"/>
        </w:rPr>
      </w:pPr>
      <w:r w:rsidRPr="00952CA3">
        <w:rPr>
          <w:szCs w:val="22"/>
          <w:lang w:val="es-US"/>
        </w:rPr>
        <w:tab/>
      </w:r>
      <w:r w:rsidRPr="00952CA3">
        <w:rPr>
          <w:szCs w:val="22"/>
          <w:lang w:val="es-AR"/>
        </w:rPr>
        <w:t>31 mayo 2023</w:t>
      </w:r>
    </w:p>
    <w:p w14:paraId="1B3B3813" w14:textId="77777777" w:rsidR="00952CA3" w:rsidRPr="00952CA3" w:rsidRDefault="00952CA3" w:rsidP="00952CA3">
      <w:pPr>
        <w:pStyle w:val="TitleUppercase"/>
        <w:tabs>
          <w:tab w:val="clear" w:pos="720"/>
          <w:tab w:val="clear" w:pos="1440"/>
          <w:tab w:val="clear" w:pos="2160"/>
          <w:tab w:val="clear" w:pos="2880"/>
          <w:tab w:val="clear" w:pos="7200"/>
          <w:tab w:val="left" w:pos="6840"/>
        </w:tabs>
        <w:ind w:right="-389"/>
        <w:jc w:val="left"/>
        <w:rPr>
          <w:szCs w:val="22"/>
          <w:lang w:val="es-US"/>
        </w:rPr>
      </w:pPr>
      <w:r w:rsidRPr="00952CA3">
        <w:rPr>
          <w:szCs w:val="22"/>
          <w:lang w:val="es-AR"/>
        </w:rPr>
        <w:tab/>
      </w:r>
      <w:r w:rsidRPr="00952CA3">
        <w:rPr>
          <w:szCs w:val="22"/>
          <w:lang w:val="es-US"/>
        </w:rPr>
        <w:t>Original: español</w:t>
      </w:r>
    </w:p>
    <w:p w14:paraId="49E2E0EE" w14:textId="77777777" w:rsidR="00952CA3" w:rsidRPr="00952CA3" w:rsidRDefault="00952CA3" w:rsidP="00952CA3">
      <w:pPr>
        <w:tabs>
          <w:tab w:val="left" w:pos="720"/>
          <w:tab w:val="left" w:pos="1440"/>
          <w:tab w:val="left" w:pos="2160"/>
          <w:tab w:val="left" w:pos="2880"/>
          <w:tab w:val="left" w:pos="7200"/>
          <w:tab w:val="left" w:pos="7920"/>
          <w:tab w:val="left" w:pos="8640"/>
        </w:tabs>
        <w:jc w:val="center"/>
      </w:pPr>
    </w:p>
    <w:p w14:paraId="1FDBF4DD" w14:textId="77777777" w:rsidR="00952CA3" w:rsidRPr="00952CA3" w:rsidRDefault="00952CA3" w:rsidP="00952CA3">
      <w:pPr>
        <w:tabs>
          <w:tab w:val="left" w:pos="720"/>
          <w:tab w:val="left" w:pos="1440"/>
          <w:tab w:val="left" w:pos="2160"/>
          <w:tab w:val="left" w:pos="2880"/>
          <w:tab w:val="left" w:pos="7200"/>
          <w:tab w:val="left" w:pos="7920"/>
          <w:tab w:val="left" w:pos="8640"/>
        </w:tabs>
        <w:jc w:val="center"/>
      </w:pPr>
    </w:p>
    <w:p w14:paraId="544D7310" w14:textId="77777777" w:rsidR="00952CA3" w:rsidRPr="00952CA3" w:rsidRDefault="00952CA3" w:rsidP="00952CA3">
      <w:pPr>
        <w:tabs>
          <w:tab w:val="left" w:pos="720"/>
          <w:tab w:val="left" w:pos="1440"/>
          <w:tab w:val="left" w:pos="2160"/>
          <w:tab w:val="left" w:pos="2880"/>
          <w:tab w:val="left" w:pos="7200"/>
          <w:tab w:val="left" w:pos="7920"/>
          <w:tab w:val="left" w:pos="8640"/>
        </w:tabs>
        <w:jc w:val="center"/>
      </w:pPr>
    </w:p>
    <w:p w14:paraId="602D15EA" w14:textId="560E9160" w:rsidR="00952CA3" w:rsidRPr="00952CA3" w:rsidRDefault="00952CA3" w:rsidP="00952CA3">
      <w:pPr>
        <w:tabs>
          <w:tab w:val="left" w:pos="720"/>
          <w:tab w:val="left" w:pos="1440"/>
          <w:tab w:val="left" w:pos="2160"/>
          <w:tab w:val="left" w:pos="2880"/>
          <w:tab w:val="left" w:pos="7200"/>
          <w:tab w:val="left" w:pos="7920"/>
          <w:tab w:val="left" w:pos="8640"/>
        </w:tabs>
        <w:jc w:val="center"/>
      </w:pPr>
      <w:r w:rsidRPr="00952CA3">
        <w:t>CP/RES. 1225 (2434/23)</w:t>
      </w:r>
    </w:p>
    <w:p w14:paraId="247D1EF2" w14:textId="77777777" w:rsidR="00673FF7" w:rsidRPr="00952CA3" w:rsidRDefault="00673FF7" w:rsidP="00952CA3">
      <w:pPr>
        <w:pStyle w:val="Heading1"/>
        <w:spacing w:before="0"/>
        <w:ind w:left="0" w:right="61"/>
        <w:rPr>
          <w:b w:val="0"/>
          <w:bCs w:val="0"/>
        </w:rPr>
      </w:pPr>
    </w:p>
    <w:p w14:paraId="247D1EF3" w14:textId="77777777" w:rsidR="00673FF7" w:rsidRPr="00952CA3" w:rsidRDefault="00C35C13" w:rsidP="00952CA3">
      <w:pPr>
        <w:pStyle w:val="Heading1"/>
        <w:spacing w:before="0"/>
        <w:ind w:left="0" w:right="61"/>
        <w:rPr>
          <w:b w:val="0"/>
          <w:bCs w:val="0"/>
        </w:rPr>
      </w:pPr>
      <w:r w:rsidRPr="00952CA3">
        <w:rPr>
          <w:b w:val="0"/>
          <w:bCs w:val="0"/>
        </w:rPr>
        <w:t>FINANCIAMIENTO DEL PROGRAMA-PRESUPUESTO DE LA ORGANIZACIÓN PARA 2024</w:t>
      </w:r>
    </w:p>
    <w:p w14:paraId="247D1EF4" w14:textId="77777777" w:rsidR="00673FF7" w:rsidRPr="00952CA3" w:rsidRDefault="00673FF7" w:rsidP="00952CA3">
      <w:pPr>
        <w:pStyle w:val="Heading1"/>
        <w:spacing w:before="0"/>
        <w:ind w:left="0" w:right="61"/>
        <w:rPr>
          <w:b w:val="0"/>
          <w:bCs w:val="0"/>
        </w:rPr>
      </w:pPr>
    </w:p>
    <w:p w14:paraId="247D1EF6" w14:textId="4B837F99" w:rsidR="00673FF7" w:rsidRPr="00952CA3" w:rsidRDefault="00C35C13" w:rsidP="00952CA3">
      <w:pPr>
        <w:pStyle w:val="Heading1"/>
        <w:spacing w:before="0"/>
        <w:ind w:left="0" w:right="61"/>
        <w:rPr>
          <w:b w:val="0"/>
          <w:bCs w:val="0"/>
        </w:rPr>
      </w:pPr>
      <w:r w:rsidRPr="00952CA3">
        <w:rPr>
          <w:b w:val="0"/>
          <w:bCs w:val="0"/>
        </w:rPr>
        <w:t>(</w:t>
      </w:r>
      <w:r w:rsidR="00952CA3" w:rsidRPr="00952CA3">
        <w:rPr>
          <w:b w:val="0"/>
          <w:bCs w:val="0"/>
          <w:shd w:val="clear" w:color="auto" w:fill="FFFFFF"/>
        </w:rPr>
        <w:t xml:space="preserve">Aprobada por el Consejo Permanente en la sesión ordinaria celebrada el </w:t>
      </w:r>
      <w:r w:rsidR="00952CA3">
        <w:rPr>
          <w:b w:val="0"/>
          <w:bCs w:val="0"/>
          <w:shd w:val="clear" w:color="auto" w:fill="FFFFFF"/>
        </w:rPr>
        <w:t>31</w:t>
      </w:r>
      <w:r w:rsidR="00952CA3" w:rsidRPr="00952CA3">
        <w:rPr>
          <w:b w:val="0"/>
          <w:bCs w:val="0"/>
          <w:shd w:val="clear" w:color="auto" w:fill="FFFFFF"/>
        </w:rPr>
        <w:t xml:space="preserve"> de mayo de 2023</w:t>
      </w:r>
      <w:r w:rsidRPr="00952CA3">
        <w:rPr>
          <w:b w:val="0"/>
          <w:bCs w:val="0"/>
        </w:rPr>
        <w:t>)</w:t>
      </w:r>
    </w:p>
    <w:p w14:paraId="247D1EF7" w14:textId="77777777" w:rsidR="00673FF7" w:rsidRPr="00952CA3" w:rsidRDefault="00673FF7" w:rsidP="00952CA3">
      <w:pPr>
        <w:pStyle w:val="Heading1"/>
        <w:spacing w:before="0"/>
        <w:ind w:left="0" w:right="61"/>
        <w:rPr>
          <w:b w:val="0"/>
          <w:bCs w:val="0"/>
        </w:rPr>
      </w:pPr>
    </w:p>
    <w:p w14:paraId="247D1EF8" w14:textId="77777777" w:rsidR="00673FF7" w:rsidRPr="00952CA3" w:rsidRDefault="00673FF7" w:rsidP="00952CA3">
      <w:pPr>
        <w:pStyle w:val="BodyText"/>
      </w:pPr>
    </w:p>
    <w:p w14:paraId="247D1EF9" w14:textId="7581DF2A" w:rsidR="00673FF7" w:rsidRPr="00952CA3" w:rsidRDefault="00C35C13" w:rsidP="00E7728C">
      <w:pPr>
        <w:pStyle w:val="Heading1"/>
        <w:spacing w:before="0"/>
        <w:ind w:left="0" w:firstLine="720"/>
        <w:jc w:val="both"/>
        <w:rPr>
          <w:b w:val="0"/>
          <w:bCs w:val="0"/>
        </w:rPr>
      </w:pPr>
      <w:r w:rsidRPr="00952CA3">
        <w:rPr>
          <w:b w:val="0"/>
          <w:bCs w:val="0"/>
        </w:rPr>
        <w:t>EL</w:t>
      </w:r>
      <w:r w:rsidRPr="00952CA3">
        <w:rPr>
          <w:b w:val="0"/>
          <w:bCs w:val="0"/>
          <w:spacing w:val="-5"/>
        </w:rPr>
        <w:t xml:space="preserve"> </w:t>
      </w:r>
      <w:r w:rsidRPr="00952CA3">
        <w:rPr>
          <w:b w:val="0"/>
          <w:bCs w:val="0"/>
        </w:rPr>
        <w:t>CONSEJO</w:t>
      </w:r>
      <w:r w:rsidRPr="00952CA3">
        <w:rPr>
          <w:b w:val="0"/>
          <w:bCs w:val="0"/>
          <w:spacing w:val="-2"/>
        </w:rPr>
        <w:t xml:space="preserve"> PERMANENTE</w:t>
      </w:r>
      <w:r w:rsidR="00952CA3" w:rsidRPr="00952CA3">
        <w:rPr>
          <w:b w:val="0"/>
          <w:bCs w:val="0"/>
          <w:spacing w:val="-2"/>
        </w:rPr>
        <w:t xml:space="preserve"> DE LA ORGANIZACIÓN DE LOS ESTADOS AMERICANOS,</w:t>
      </w:r>
    </w:p>
    <w:p w14:paraId="247D1EFA" w14:textId="7F22F510" w:rsidR="00673FF7" w:rsidRPr="00952CA3" w:rsidRDefault="00E7728C" w:rsidP="00952CA3">
      <w:pPr>
        <w:pStyle w:val="BodyText"/>
      </w:pPr>
      <w:r>
        <w:tab/>
      </w:r>
    </w:p>
    <w:p w14:paraId="247D1EFB" w14:textId="77777777" w:rsidR="00673FF7" w:rsidRPr="00952CA3" w:rsidRDefault="00C35C13" w:rsidP="00E7728C">
      <w:pPr>
        <w:pStyle w:val="BodyText"/>
      </w:pPr>
      <w:r w:rsidRPr="00952CA3">
        <w:t>TENIENDO</w:t>
      </w:r>
      <w:r w:rsidRPr="00952CA3">
        <w:rPr>
          <w:spacing w:val="-6"/>
        </w:rPr>
        <w:t xml:space="preserve"> </w:t>
      </w:r>
      <w:r w:rsidRPr="00952CA3">
        <w:t>EN</w:t>
      </w:r>
      <w:r w:rsidRPr="00952CA3">
        <w:rPr>
          <w:spacing w:val="-5"/>
        </w:rPr>
        <w:t xml:space="preserve"> </w:t>
      </w:r>
      <w:r w:rsidRPr="00952CA3">
        <w:rPr>
          <w:spacing w:val="-2"/>
        </w:rPr>
        <w:t>CUENTA:</w:t>
      </w:r>
    </w:p>
    <w:p w14:paraId="247D1EFC" w14:textId="77777777" w:rsidR="00673FF7" w:rsidRPr="00952CA3" w:rsidRDefault="00673FF7" w:rsidP="00952CA3">
      <w:pPr>
        <w:pStyle w:val="BodyText"/>
      </w:pPr>
    </w:p>
    <w:p w14:paraId="247D1EFD" w14:textId="160ED0A5" w:rsidR="00673FF7" w:rsidRPr="00952CA3" w:rsidRDefault="00C35C13" w:rsidP="00E7728C">
      <w:pPr>
        <w:pStyle w:val="BodyText"/>
        <w:ind w:right="104" w:firstLine="720"/>
        <w:jc w:val="both"/>
      </w:pPr>
      <w:r w:rsidRPr="00952CA3">
        <w:t>Que, de conformidad con los artículos 54</w:t>
      </w:r>
      <w:r w:rsidR="00D27F09">
        <w:t xml:space="preserve"> </w:t>
      </w:r>
      <w:r w:rsidRPr="00952CA3">
        <w:t>(e) y 55 de la Carta de la Organización de los Estados Americanos</w:t>
      </w:r>
      <w:r w:rsidR="00D27F09">
        <w:t xml:space="preserve"> (OEA)</w:t>
      </w:r>
      <w:r w:rsidRPr="00952CA3">
        <w:t xml:space="preserve">, la Asamblea General aprueba el programa-presupuesto de la Organización y establece las bases para fijar la cuota con que debe contribuir cada uno de los Gobiernos al sostenimiento de la Organización, </w:t>
      </w:r>
      <w:r w:rsidR="00734DA9">
        <w:t xml:space="preserve">y </w:t>
      </w:r>
      <w:r w:rsidRPr="00952CA3">
        <w:t>tomando en cuenta la capacidad de pago de los respectivos países</w:t>
      </w:r>
      <w:r w:rsidRPr="00952CA3">
        <w:rPr>
          <w:spacing w:val="40"/>
        </w:rPr>
        <w:t xml:space="preserve"> </w:t>
      </w:r>
      <w:r w:rsidRPr="00952CA3">
        <w:t xml:space="preserve">y la determinación de éstos de contribuir en forma equitativa; </w:t>
      </w:r>
    </w:p>
    <w:p w14:paraId="247D1EFE" w14:textId="77777777" w:rsidR="00673FF7" w:rsidRPr="00952CA3" w:rsidRDefault="00673FF7" w:rsidP="00952CA3">
      <w:pPr>
        <w:pStyle w:val="BodyText"/>
      </w:pPr>
    </w:p>
    <w:p w14:paraId="247D1EFF" w14:textId="77777777" w:rsidR="00673FF7" w:rsidRPr="00952CA3" w:rsidRDefault="00C35C13" w:rsidP="00E7728C">
      <w:pPr>
        <w:pStyle w:val="BodyText"/>
        <w:ind w:right="105" w:firstLine="720"/>
        <w:jc w:val="both"/>
      </w:pPr>
      <w:r w:rsidRPr="00952CA3">
        <w:t>Que la Asamblea General, en su trigésimo período ordinario de sesiones, mediante la resolución AG/RES. 1757 (XXX-O/00), aprobó las medidas destinadas a alentar el pago oportuno de las cuotas, y que desde entonces ha modificado estas medidas de conformidad con las resoluciones AG/RES. 2157 (XXXV-O/05) y AG/RES. 1 (XLII-E/11) rev. 1;</w:t>
      </w:r>
    </w:p>
    <w:p w14:paraId="247D1F00" w14:textId="77777777" w:rsidR="00673FF7" w:rsidRPr="00952CA3" w:rsidRDefault="00673FF7" w:rsidP="00952CA3">
      <w:pPr>
        <w:pStyle w:val="BodyText"/>
      </w:pPr>
    </w:p>
    <w:p w14:paraId="247D1F01" w14:textId="660FA9C2" w:rsidR="00673FF7" w:rsidRPr="00952CA3" w:rsidRDefault="00C35C13" w:rsidP="00E7728C">
      <w:pPr>
        <w:pStyle w:val="BodyText"/>
        <w:ind w:right="103" w:firstLine="720"/>
        <w:jc w:val="both"/>
      </w:pPr>
      <w:r w:rsidRPr="00952CA3">
        <w:t>Que la Asamblea General, en su trigésimo cuarto período extraordinario de sesiones, mediante la resolución AG/RES. 1 (XXXIV-E/07) rev. 1, aprobó la metodología para el cálculo de la escala de cuotas para el financiamiento del Fondo Regular de la Organización, la</w:t>
      </w:r>
      <w:r w:rsidRPr="00952CA3">
        <w:rPr>
          <w:spacing w:val="-1"/>
        </w:rPr>
        <w:t xml:space="preserve"> </w:t>
      </w:r>
      <w:r w:rsidRPr="00952CA3">
        <w:t xml:space="preserve">cual fue modificada por medio de la resolución CP/RES. 1103 (2168/18) </w:t>
      </w:r>
      <w:r w:rsidR="00952CA3" w:rsidRPr="00952CA3">
        <w:t>ad-referéndum</w:t>
      </w:r>
      <w:r w:rsidRPr="00952CA3">
        <w:t xml:space="preserve"> de la Asamblea General;</w:t>
      </w:r>
    </w:p>
    <w:p w14:paraId="247D1F02" w14:textId="77777777" w:rsidR="00673FF7" w:rsidRPr="00952CA3" w:rsidRDefault="00673FF7" w:rsidP="00952CA3">
      <w:pPr>
        <w:pStyle w:val="BodyText"/>
      </w:pPr>
    </w:p>
    <w:p w14:paraId="247D1F03" w14:textId="69D8C86C" w:rsidR="00673FF7" w:rsidRPr="00952CA3" w:rsidRDefault="00C35C13" w:rsidP="00E7728C">
      <w:pPr>
        <w:pStyle w:val="BodyText"/>
        <w:ind w:right="105" w:firstLine="720"/>
        <w:jc w:val="both"/>
      </w:pPr>
      <w:r w:rsidRPr="00952CA3">
        <w:t>Que de conformidad con el artículo 86 de las Normas Generales para el Funcionamiento de</w:t>
      </w:r>
      <w:r w:rsidRPr="00952CA3">
        <w:rPr>
          <w:spacing w:val="80"/>
        </w:rPr>
        <w:t xml:space="preserve"> </w:t>
      </w:r>
      <w:r w:rsidRPr="00952CA3">
        <w:t xml:space="preserve">la Secretaría General de la </w:t>
      </w:r>
      <w:r w:rsidR="00D27F09">
        <w:t>OEA</w:t>
      </w:r>
      <w:r w:rsidRPr="00952CA3">
        <w:t xml:space="preserve">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w:t>
      </w:r>
    </w:p>
    <w:p w14:paraId="479700A8" w14:textId="77777777" w:rsidR="00220E6B" w:rsidRPr="00952CA3" w:rsidRDefault="00220E6B" w:rsidP="00952CA3">
      <w:pPr>
        <w:pStyle w:val="BodyText"/>
        <w:ind w:left="459" w:right="104" w:firstLine="719"/>
        <w:jc w:val="both"/>
      </w:pPr>
    </w:p>
    <w:p w14:paraId="247D1F08" w14:textId="4EDA9F57" w:rsidR="00673FF7" w:rsidRPr="00952CA3" w:rsidRDefault="00C35C13" w:rsidP="00E7728C">
      <w:pPr>
        <w:pStyle w:val="BodyText"/>
        <w:ind w:right="104" w:firstLine="720"/>
        <w:jc w:val="both"/>
      </w:pPr>
      <w:r w:rsidRPr="00952CA3">
        <w:t>Que</w:t>
      </w:r>
      <w:r w:rsidRPr="00952CA3">
        <w:rPr>
          <w:spacing w:val="-1"/>
        </w:rPr>
        <w:t xml:space="preserve"> </w:t>
      </w:r>
      <w:r w:rsidRPr="00952CA3">
        <w:t>el</w:t>
      </w:r>
      <w:r w:rsidRPr="00952CA3">
        <w:rPr>
          <w:spacing w:val="-2"/>
        </w:rPr>
        <w:t xml:space="preserve"> </w:t>
      </w:r>
      <w:r w:rsidRPr="00952CA3">
        <w:t>financiamiento</w:t>
      </w:r>
      <w:r w:rsidRPr="00952CA3">
        <w:rPr>
          <w:spacing w:val="-4"/>
        </w:rPr>
        <w:t xml:space="preserve"> </w:t>
      </w:r>
      <w:r w:rsidRPr="00952CA3">
        <w:t>del programa-presupuesto</w:t>
      </w:r>
      <w:r w:rsidRPr="00952CA3">
        <w:rPr>
          <w:spacing w:val="-4"/>
        </w:rPr>
        <w:t xml:space="preserve"> </w:t>
      </w:r>
      <w:r w:rsidRPr="00952CA3">
        <w:t>incluye</w:t>
      </w:r>
      <w:r w:rsidRPr="00952CA3">
        <w:rPr>
          <w:spacing w:val="-1"/>
        </w:rPr>
        <w:t xml:space="preserve"> </w:t>
      </w:r>
      <w:r w:rsidRPr="00952CA3">
        <w:t>los</w:t>
      </w:r>
      <w:r w:rsidRPr="00952CA3">
        <w:rPr>
          <w:spacing w:val="-3"/>
        </w:rPr>
        <w:t xml:space="preserve"> </w:t>
      </w:r>
      <w:r w:rsidRPr="00952CA3">
        <w:t>ingresos</w:t>
      </w:r>
      <w:r w:rsidRPr="00952CA3">
        <w:rPr>
          <w:spacing w:val="-3"/>
        </w:rPr>
        <w:t xml:space="preserve"> </w:t>
      </w:r>
      <w:r w:rsidRPr="00952CA3">
        <w:t>por</w:t>
      </w:r>
      <w:r w:rsidRPr="00952CA3">
        <w:rPr>
          <w:spacing w:val="-2"/>
        </w:rPr>
        <w:t xml:space="preserve"> </w:t>
      </w:r>
      <w:r w:rsidRPr="00952CA3">
        <w:t>concepto</w:t>
      </w:r>
      <w:r w:rsidRPr="00952CA3">
        <w:rPr>
          <w:spacing w:val="-1"/>
        </w:rPr>
        <w:t xml:space="preserve"> </w:t>
      </w:r>
      <w:r w:rsidRPr="00952CA3">
        <w:t>de</w:t>
      </w:r>
      <w:r w:rsidRPr="00952CA3">
        <w:rPr>
          <w:spacing w:val="-3"/>
        </w:rPr>
        <w:t xml:space="preserve"> </w:t>
      </w:r>
      <w:r w:rsidRPr="00952CA3">
        <w:t>cuotas, ingresos por concepto de intereses y reembolsos, y otros ingresos, de conformidad con el capítulo IV de las Normas Generales;</w:t>
      </w:r>
    </w:p>
    <w:p w14:paraId="247D1F09" w14:textId="77777777" w:rsidR="00673FF7" w:rsidRPr="00952CA3" w:rsidRDefault="00673FF7" w:rsidP="00952CA3">
      <w:pPr>
        <w:pStyle w:val="BodyText"/>
      </w:pPr>
    </w:p>
    <w:p w14:paraId="397D30DB" w14:textId="77777777" w:rsidR="00E7728C" w:rsidRDefault="00E7728C" w:rsidP="00E7728C">
      <w:pPr>
        <w:pStyle w:val="BodyText"/>
        <w:ind w:right="108" w:firstLine="720"/>
        <w:jc w:val="both"/>
      </w:pPr>
    </w:p>
    <w:p w14:paraId="237676B8" w14:textId="77777777" w:rsidR="00E7728C" w:rsidRDefault="00E7728C" w:rsidP="00E7728C">
      <w:pPr>
        <w:pStyle w:val="BodyText"/>
        <w:ind w:right="108" w:firstLine="720"/>
        <w:jc w:val="both"/>
      </w:pPr>
    </w:p>
    <w:p w14:paraId="057BF2EC" w14:textId="12C8266A" w:rsidR="00E7728C" w:rsidRDefault="00C35C13" w:rsidP="00E7728C">
      <w:pPr>
        <w:pStyle w:val="BodyText"/>
        <w:ind w:right="108" w:firstLine="720"/>
        <w:jc w:val="both"/>
      </w:pPr>
      <w:r w:rsidRPr="00952CA3">
        <w:lastRenderedPageBreak/>
        <w:t xml:space="preserve">Que es necesario establecer el nivel global presupuestario y las fuentes de financiamiento para el programa-presupuesto de 2024, que será aprobado </w:t>
      </w:r>
      <w:r w:rsidR="00734DA9" w:rsidRPr="00952CA3">
        <w:t xml:space="preserve">en </w:t>
      </w:r>
      <w:r w:rsidR="00734DA9">
        <w:t xml:space="preserve">el quincuagésimo tercer </w:t>
      </w:r>
      <w:r w:rsidR="00734DA9" w:rsidRPr="00952CA3">
        <w:t xml:space="preserve">período ordinario de sesiones </w:t>
      </w:r>
      <w:r w:rsidRPr="00952CA3">
        <w:t>la Asamblea General;</w:t>
      </w:r>
    </w:p>
    <w:p w14:paraId="1BCFC71F" w14:textId="77777777" w:rsidR="00E7728C" w:rsidRDefault="00E7728C" w:rsidP="00E7728C">
      <w:pPr>
        <w:pStyle w:val="BodyText"/>
        <w:ind w:right="108" w:firstLine="720"/>
        <w:jc w:val="both"/>
      </w:pPr>
    </w:p>
    <w:p w14:paraId="247D1F0C" w14:textId="2AEB3151" w:rsidR="00673FF7" w:rsidRPr="00952CA3" w:rsidRDefault="00C35C13" w:rsidP="00E7728C">
      <w:pPr>
        <w:pStyle w:val="BodyText"/>
        <w:ind w:right="108" w:firstLine="720"/>
        <w:jc w:val="both"/>
      </w:pPr>
      <w:r w:rsidRPr="00952CA3">
        <w:t>Que, de acuerdo con el artículo 78(b) de las Normas Generales, con el fin de asegurar el normal y continuo funcionamiento financiero de la Secretaría General, el Subfondo de Reserva del Fondo Regular debe corresponder al 30</w:t>
      </w:r>
      <w:r w:rsidRPr="00952CA3">
        <w:rPr>
          <w:spacing w:val="-13"/>
        </w:rPr>
        <w:t xml:space="preserve"> </w:t>
      </w:r>
      <w:r w:rsidRPr="00952CA3">
        <w:t>% del total de las cuotas anuales de los Estados Miembros;</w:t>
      </w:r>
    </w:p>
    <w:p w14:paraId="247D1F0D" w14:textId="77777777" w:rsidR="00673FF7" w:rsidRPr="00952CA3" w:rsidRDefault="00673FF7" w:rsidP="00952CA3">
      <w:pPr>
        <w:pStyle w:val="BodyText"/>
      </w:pPr>
    </w:p>
    <w:p w14:paraId="247D1F0E" w14:textId="17CBBA0D" w:rsidR="00673FF7" w:rsidRPr="00952CA3" w:rsidRDefault="00C35C13" w:rsidP="00E7728C">
      <w:pPr>
        <w:pStyle w:val="BodyText"/>
        <w:ind w:right="107" w:firstLine="720"/>
        <w:jc w:val="both"/>
      </w:pPr>
      <w:r w:rsidRPr="00952CA3">
        <w:t xml:space="preserve">Que </w:t>
      </w:r>
      <w:r w:rsidR="00734DA9">
        <w:t xml:space="preserve">el </w:t>
      </w:r>
      <w:proofErr w:type="spellStart"/>
      <w:r w:rsidR="00734DA9">
        <w:t>Sub</w:t>
      </w:r>
      <w:r w:rsidRPr="00952CA3">
        <w:t>fondo</w:t>
      </w:r>
      <w:proofErr w:type="spellEnd"/>
      <w:r w:rsidRPr="00952CA3">
        <w:t xml:space="preserve"> </w:t>
      </w:r>
      <w:r w:rsidR="00734DA9">
        <w:t xml:space="preserve">de Reserva del Fondo Regular </w:t>
      </w:r>
      <w:r w:rsidRPr="00952CA3">
        <w:t xml:space="preserve">no cuenta con recursos suficientes para cumplir su propósito </w:t>
      </w:r>
      <w:r w:rsidR="00734DA9" w:rsidRPr="00952CA3">
        <w:t>y,</w:t>
      </w:r>
      <w:r w:rsidRPr="00952CA3">
        <w:t xml:space="preserve"> por lo tanto, es recomendable que se realicen esfuerzos para aumentar dichas reservas; </w:t>
      </w:r>
      <w:r w:rsidR="00734DA9" w:rsidRPr="00952CA3">
        <w:t>como,</w:t>
      </w:r>
      <w:r w:rsidRPr="00952CA3">
        <w:t xml:space="preserve"> por ejemplo, establecer, a priori, el límite de gastos del Fondo Regular en un nivel inferior al total bruto de las cuotas; y</w:t>
      </w:r>
    </w:p>
    <w:p w14:paraId="4B618266" w14:textId="77777777" w:rsidR="00E7728C" w:rsidRDefault="00E7728C" w:rsidP="00E7728C">
      <w:pPr>
        <w:pStyle w:val="BodyText"/>
        <w:ind w:right="103"/>
        <w:jc w:val="both"/>
      </w:pPr>
    </w:p>
    <w:p w14:paraId="247D1F10" w14:textId="12B52BE4" w:rsidR="00673FF7" w:rsidRPr="00952CA3" w:rsidRDefault="00C35C13" w:rsidP="00E7728C">
      <w:pPr>
        <w:pStyle w:val="BodyText"/>
        <w:ind w:right="103" w:firstLine="720"/>
        <w:jc w:val="both"/>
      </w:pPr>
      <w:r w:rsidRPr="00952CA3">
        <w:t>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w:t>
      </w:r>
    </w:p>
    <w:p w14:paraId="247D1F11" w14:textId="77777777" w:rsidR="00673FF7" w:rsidRPr="00952CA3" w:rsidRDefault="00673FF7" w:rsidP="00952CA3">
      <w:pPr>
        <w:pStyle w:val="BodyText"/>
      </w:pPr>
    </w:p>
    <w:p w14:paraId="247D1F12" w14:textId="77777777" w:rsidR="00673FF7" w:rsidRPr="00952CA3" w:rsidRDefault="00C35C13" w:rsidP="00E7728C">
      <w:pPr>
        <w:pStyle w:val="BodyText"/>
      </w:pPr>
      <w:r w:rsidRPr="00952CA3">
        <w:rPr>
          <w:spacing w:val="-2"/>
        </w:rPr>
        <w:t>RESUELVE:</w:t>
      </w:r>
    </w:p>
    <w:p w14:paraId="247D1F13" w14:textId="77777777" w:rsidR="00673FF7" w:rsidRPr="00952CA3" w:rsidRDefault="00673FF7" w:rsidP="00952CA3">
      <w:pPr>
        <w:pStyle w:val="BodyText"/>
      </w:pPr>
    </w:p>
    <w:p w14:paraId="09382BD1" w14:textId="77777777" w:rsidR="00E7728C" w:rsidRDefault="00E7728C" w:rsidP="00E7728C">
      <w:pPr>
        <w:tabs>
          <w:tab w:val="left" w:pos="720"/>
          <w:tab w:val="left" w:pos="1440"/>
        </w:tabs>
        <w:ind w:right="101"/>
        <w:jc w:val="both"/>
      </w:pPr>
      <w:r>
        <w:tab/>
        <w:t xml:space="preserve">1. </w:t>
      </w:r>
      <w:r>
        <w:tab/>
      </w:r>
      <w:r w:rsidR="00C35C13" w:rsidRPr="00952CA3">
        <w:t>Fijar las cuotas con las que</w:t>
      </w:r>
      <w:r w:rsidR="00C35C13" w:rsidRPr="00E7728C">
        <w:rPr>
          <w:spacing w:val="-2"/>
        </w:rPr>
        <w:t xml:space="preserve"> </w:t>
      </w:r>
      <w:r w:rsidR="00C35C13" w:rsidRPr="00952CA3">
        <w:t>los Estados Miembros financiarán el Fondo Regular de la Organización para 2024 y la contribución para el reembolso de impuestos sobre la renta, de conformidad con la metodología adoptada mediante las resoluciones AG/RES. 1 (XXXIV-E/07) rev. 1, AG/RES. 41 (I-O/71) y AG/RES. 1 (LIII-E/18), aprobadas por la Asamblea General, y CP/RES. 1103</w:t>
      </w:r>
      <w:r w:rsidR="00C35C13" w:rsidRPr="00E7728C">
        <w:rPr>
          <w:spacing w:val="-2"/>
        </w:rPr>
        <w:t xml:space="preserve"> </w:t>
      </w:r>
      <w:r w:rsidR="00C35C13" w:rsidRPr="00952CA3">
        <w:t>(2168/18)</w:t>
      </w:r>
      <w:r w:rsidR="00C35C13" w:rsidRPr="00E7728C">
        <w:rPr>
          <w:spacing w:val="-2"/>
        </w:rPr>
        <w:t xml:space="preserve"> </w:t>
      </w:r>
      <w:r w:rsidR="00C35C13" w:rsidRPr="00952CA3">
        <w:t>aprobada</w:t>
      </w:r>
      <w:r w:rsidR="00C35C13" w:rsidRPr="00E7728C">
        <w:rPr>
          <w:spacing w:val="-2"/>
        </w:rPr>
        <w:t xml:space="preserve"> </w:t>
      </w:r>
      <w:r w:rsidR="00C35C13" w:rsidRPr="00952CA3">
        <w:t>por</w:t>
      </w:r>
      <w:r w:rsidR="00C35C13" w:rsidRPr="00E7728C">
        <w:rPr>
          <w:spacing w:val="-2"/>
        </w:rPr>
        <w:t xml:space="preserve"> </w:t>
      </w:r>
      <w:r w:rsidR="00C35C13" w:rsidRPr="00952CA3">
        <w:t>el</w:t>
      </w:r>
      <w:r w:rsidR="00C35C13" w:rsidRPr="00E7728C">
        <w:rPr>
          <w:spacing w:val="-1"/>
        </w:rPr>
        <w:t xml:space="preserve"> </w:t>
      </w:r>
      <w:r w:rsidR="00C35C13" w:rsidRPr="00952CA3">
        <w:t>Consejo</w:t>
      </w:r>
      <w:r w:rsidR="00C35C13" w:rsidRPr="00E7728C">
        <w:rPr>
          <w:spacing w:val="-2"/>
        </w:rPr>
        <w:t xml:space="preserve"> </w:t>
      </w:r>
      <w:r w:rsidR="00C35C13" w:rsidRPr="00952CA3">
        <w:t>Permanente,</w:t>
      </w:r>
      <w:r w:rsidR="00C35C13" w:rsidRPr="00E7728C">
        <w:rPr>
          <w:spacing w:val="-4"/>
        </w:rPr>
        <w:t xml:space="preserve"> </w:t>
      </w:r>
      <w:r w:rsidR="00C35C13" w:rsidRPr="00952CA3">
        <w:t>utilizando</w:t>
      </w:r>
      <w:r w:rsidR="00C35C13" w:rsidRPr="00E7728C">
        <w:rPr>
          <w:spacing w:val="-5"/>
        </w:rPr>
        <w:t xml:space="preserve"> </w:t>
      </w:r>
      <w:r w:rsidR="00C35C13" w:rsidRPr="00952CA3">
        <w:t>la</w:t>
      </w:r>
      <w:r w:rsidR="00C35C13" w:rsidRPr="00E7728C">
        <w:rPr>
          <w:spacing w:val="-2"/>
        </w:rPr>
        <w:t xml:space="preserve"> </w:t>
      </w:r>
      <w:r w:rsidR="00C35C13" w:rsidRPr="00952CA3">
        <w:t>escala</w:t>
      </w:r>
      <w:r w:rsidR="00C35C13" w:rsidRPr="00E7728C">
        <w:rPr>
          <w:spacing w:val="-2"/>
        </w:rPr>
        <w:t xml:space="preserve"> </w:t>
      </w:r>
      <w:r w:rsidR="00C35C13" w:rsidRPr="00952CA3">
        <w:t>y</w:t>
      </w:r>
      <w:r w:rsidR="00C35C13" w:rsidRPr="00E7728C">
        <w:rPr>
          <w:spacing w:val="-2"/>
        </w:rPr>
        <w:t xml:space="preserve"> </w:t>
      </w:r>
      <w:r w:rsidR="00C35C13" w:rsidRPr="00952CA3">
        <w:t>las</w:t>
      </w:r>
      <w:r w:rsidR="00C35C13" w:rsidRPr="00E7728C">
        <w:rPr>
          <w:spacing w:val="-2"/>
        </w:rPr>
        <w:t xml:space="preserve"> </w:t>
      </w:r>
      <w:r w:rsidR="00C35C13" w:rsidRPr="00952CA3">
        <w:t>cantidades</w:t>
      </w:r>
      <w:r w:rsidR="00C35C13" w:rsidRPr="00E7728C">
        <w:rPr>
          <w:spacing w:val="-2"/>
        </w:rPr>
        <w:t xml:space="preserve"> </w:t>
      </w:r>
      <w:r w:rsidR="00C35C13" w:rsidRPr="00952CA3">
        <w:t>que</w:t>
      </w:r>
      <w:r w:rsidR="00C35C13" w:rsidRPr="00E7728C">
        <w:rPr>
          <w:spacing w:val="-2"/>
        </w:rPr>
        <w:t xml:space="preserve"> </w:t>
      </w:r>
      <w:r w:rsidR="00C35C13" w:rsidRPr="00952CA3">
        <w:t>figuran en</w:t>
      </w:r>
      <w:r w:rsidR="00C35C13" w:rsidRPr="00E7728C">
        <w:rPr>
          <w:spacing w:val="30"/>
        </w:rPr>
        <w:t xml:space="preserve"> </w:t>
      </w:r>
      <w:r w:rsidR="00C35C13" w:rsidRPr="00952CA3">
        <w:t>el</w:t>
      </w:r>
      <w:r w:rsidR="00C35C13" w:rsidRPr="00E7728C">
        <w:rPr>
          <w:spacing w:val="31"/>
        </w:rPr>
        <w:t xml:space="preserve"> </w:t>
      </w:r>
      <w:r w:rsidR="00C35C13" w:rsidRPr="00952CA3">
        <w:t>anexo</w:t>
      </w:r>
      <w:r w:rsidR="00C35C13" w:rsidRPr="00E7728C">
        <w:rPr>
          <w:spacing w:val="30"/>
        </w:rPr>
        <w:t xml:space="preserve"> </w:t>
      </w:r>
      <w:r w:rsidR="00C35C13" w:rsidRPr="00952CA3">
        <w:t>I,</w:t>
      </w:r>
      <w:r w:rsidR="00C35C13" w:rsidRPr="00E7728C">
        <w:rPr>
          <w:spacing w:val="30"/>
        </w:rPr>
        <w:t xml:space="preserve"> </w:t>
      </w:r>
      <w:r w:rsidR="00C35C13" w:rsidRPr="00952CA3">
        <w:t>“Asignación</w:t>
      </w:r>
      <w:r w:rsidR="00C35C13" w:rsidRPr="00E7728C">
        <w:rPr>
          <w:spacing w:val="30"/>
        </w:rPr>
        <w:t xml:space="preserve"> </w:t>
      </w:r>
      <w:r w:rsidR="00C35C13" w:rsidRPr="00952CA3">
        <w:t>de</w:t>
      </w:r>
      <w:r w:rsidR="00C35C13" w:rsidRPr="00E7728C">
        <w:rPr>
          <w:spacing w:val="30"/>
        </w:rPr>
        <w:t xml:space="preserve"> </w:t>
      </w:r>
      <w:r w:rsidR="00C35C13" w:rsidRPr="00952CA3">
        <w:t>cuotas</w:t>
      </w:r>
      <w:r w:rsidR="00C35C13" w:rsidRPr="00E7728C">
        <w:rPr>
          <w:spacing w:val="30"/>
        </w:rPr>
        <w:t xml:space="preserve"> </w:t>
      </w:r>
      <w:r w:rsidR="00C35C13" w:rsidRPr="00952CA3">
        <w:t>para</w:t>
      </w:r>
      <w:r w:rsidR="00C35C13" w:rsidRPr="00E7728C">
        <w:rPr>
          <w:spacing w:val="30"/>
        </w:rPr>
        <w:t xml:space="preserve"> </w:t>
      </w:r>
      <w:r w:rsidR="00C35C13" w:rsidRPr="00952CA3">
        <w:t>el</w:t>
      </w:r>
      <w:r w:rsidR="00C35C13" w:rsidRPr="00E7728C">
        <w:rPr>
          <w:spacing w:val="31"/>
        </w:rPr>
        <w:t xml:space="preserve"> </w:t>
      </w:r>
      <w:r w:rsidR="00C35C13" w:rsidRPr="00952CA3">
        <w:t>Fondo</w:t>
      </w:r>
      <w:r w:rsidR="00C35C13" w:rsidRPr="00E7728C">
        <w:rPr>
          <w:spacing w:val="28"/>
        </w:rPr>
        <w:t xml:space="preserve"> </w:t>
      </w:r>
      <w:r w:rsidR="00C35C13" w:rsidRPr="00952CA3">
        <w:t>Regular</w:t>
      </w:r>
      <w:r w:rsidR="00C35C13" w:rsidRPr="00E7728C">
        <w:rPr>
          <w:spacing w:val="31"/>
        </w:rPr>
        <w:t xml:space="preserve"> </w:t>
      </w:r>
      <w:r w:rsidR="00C35C13" w:rsidRPr="00952CA3">
        <w:t>2024”,</w:t>
      </w:r>
      <w:r w:rsidR="00C35C13" w:rsidRPr="00E7728C">
        <w:rPr>
          <w:spacing w:val="30"/>
        </w:rPr>
        <w:t xml:space="preserve"> </w:t>
      </w:r>
      <w:r w:rsidR="00C35C13" w:rsidRPr="00952CA3">
        <w:t>y</w:t>
      </w:r>
      <w:r w:rsidR="00C35C13" w:rsidRPr="00E7728C">
        <w:rPr>
          <w:spacing w:val="30"/>
        </w:rPr>
        <w:t xml:space="preserve"> </w:t>
      </w:r>
      <w:r w:rsidR="00C35C13" w:rsidRPr="00952CA3">
        <w:t>que</w:t>
      </w:r>
      <w:r w:rsidR="00C35C13" w:rsidRPr="00E7728C">
        <w:rPr>
          <w:spacing w:val="31"/>
        </w:rPr>
        <w:t xml:space="preserve"> </w:t>
      </w:r>
      <w:r w:rsidR="00C35C13" w:rsidRPr="00952CA3">
        <w:t>dicha</w:t>
      </w:r>
      <w:r w:rsidR="00C35C13" w:rsidRPr="00E7728C">
        <w:rPr>
          <w:spacing w:val="30"/>
        </w:rPr>
        <w:t xml:space="preserve"> </w:t>
      </w:r>
      <w:r w:rsidR="00C35C13" w:rsidRPr="00952CA3">
        <w:t>escala</w:t>
      </w:r>
      <w:r w:rsidR="00C35C13" w:rsidRPr="00E7728C">
        <w:rPr>
          <w:spacing w:val="30"/>
        </w:rPr>
        <w:t xml:space="preserve"> </w:t>
      </w:r>
      <w:r w:rsidR="00C35C13" w:rsidRPr="00952CA3">
        <w:t>de</w:t>
      </w:r>
      <w:r w:rsidR="00C35C13" w:rsidRPr="00E7728C">
        <w:rPr>
          <w:spacing w:val="30"/>
        </w:rPr>
        <w:t xml:space="preserve"> </w:t>
      </w:r>
      <w:r w:rsidR="00C35C13" w:rsidRPr="00952CA3">
        <w:t>cuotas</w:t>
      </w:r>
      <w:r w:rsidR="00E82272" w:rsidRPr="00952CA3">
        <w:t xml:space="preserve"> </w:t>
      </w:r>
      <w:r w:rsidR="00C35C13" w:rsidRPr="00952CA3">
        <w:t>estará</w:t>
      </w:r>
      <w:r w:rsidR="00C35C13" w:rsidRPr="00E7728C">
        <w:rPr>
          <w:spacing w:val="26"/>
        </w:rPr>
        <w:t xml:space="preserve"> </w:t>
      </w:r>
      <w:r w:rsidR="00C35C13" w:rsidRPr="00952CA3">
        <w:t>vigente</w:t>
      </w:r>
      <w:r w:rsidR="00C35C13" w:rsidRPr="00E7728C">
        <w:rPr>
          <w:spacing w:val="26"/>
        </w:rPr>
        <w:t xml:space="preserve"> </w:t>
      </w:r>
      <w:r w:rsidR="00C35C13" w:rsidRPr="00952CA3">
        <w:t>para 2024-2025,</w:t>
      </w:r>
      <w:r w:rsidR="00C35C13" w:rsidRPr="00E7728C">
        <w:rPr>
          <w:spacing w:val="25"/>
        </w:rPr>
        <w:t xml:space="preserve"> </w:t>
      </w:r>
      <w:r w:rsidR="00C35C13" w:rsidRPr="00952CA3">
        <w:t>modificando</w:t>
      </w:r>
      <w:r w:rsidR="00C35C13" w:rsidRPr="00E7728C">
        <w:rPr>
          <w:spacing w:val="27"/>
        </w:rPr>
        <w:t xml:space="preserve"> </w:t>
      </w:r>
      <w:r w:rsidR="00C35C13" w:rsidRPr="00952CA3">
        <w:t>así</w:t>
      </w:r>
      <w:r w:rsidR="00C35C13" w:rsidRPr="00E7728C">
        <w:rPr>
          <w:spacing w:val="25"/>
        </w:rPr>
        <w:t xml:space="preserve"> </w:t>
      </w:r>
      <w:r w:rsidR="00C35C13" w:rsidRPr="00952CA3">
        <w:t>temporalmente el</w:t>
      </w:r>
      <w:r w:rsidR="00C35C13" w:rsidRPr="00E7728C">
        <w:rPr>
          <w:spacing w:val="26"/>
        </w:rPr>
        <w:t xml:space="preserve"> </w:t>
      </w:r>
      <w:r w:rsidR="00C35C13" w:rsidRPr="00952CA3">
        <w:t>ajuste trianual</w:t>
      </w:r>
      <w:r w:rsidR="00C35C13" w:rsidRPr="00E7728C">
        <w:rPr>
          <w:spacing w:val="26"/>
        </w:rPr>
        <w:t xml:space="preserve"> </w:t>
      </w:r>
      <w:r w:rsidR="00C35C13" w:rsidRPr="00952CA3">
        <w:t>que</w:t>
      </w:r>
      <w:r w:rsidR="00C35C13" w:rsidRPr="00E7728C">
        <w:rPr>
          <w:spacing w:val="26"/>
        </w:rPr>
        <w:t xml:space="preserve"> </w:t>
      </w:r>
      <w:r w:rsidR="00C35C13" w:rsidRPr="00952CA3">
        <w:t>la</w:t>
      </w:r>
      <w:r w:rsidR="00C35C13" w:rsidRPr="00E7728C">
        <w:rPr>
          <w:spacing w:val="26"/>
        </w:rPr>
        <w:t xml:space="preserve"> </w:t>
      </w:r>
      <w:r w:rsidR="00C35C13" w:rsidRPr="00952CA3">
        <w:t>resolución prevé, tal como se refleja en el anexo II.</w:t>
      </w:r>
    </w:p>
    <w:p w14:paraId="700EB84E" w14:textId="77777777" w:rsidR="00E7728C" w:rsidRDefault="00E7728C" w:rsidP="00E7728C">
      <w:pPr>
        <w:tabs>
          <w:tab w:val="left" w:pos="720"/>
          <w:tab w:val="left" w:pos="1440"/>
        </w:tabs>
        <w:ind w:right="101"/>
        <w:jc w:val="both"/>
      </w:pPr>
    </w:p>
    <w:p w14:paraId="247D1F1A" w14:textId="4036E485" w:rsidR="00673FF7" w:rsidRPr="00952CA3" w:rsidRDefault="00E7728C" w:rsidP="00E7728C">
      <w:pPr>
        <w:tabs>
          <w:tab w:val="left" w:pos="720"/>
          <w:tab w:val="left" w:pos="1440"/>
        </w:tabs>
        <w:ind w:right="101"/>
        <w:jc w:val="both"/>
      </w:pPr>
      <w:r>
        <w:tab/>
        <w:t>2.</w:t>
      </w:r>
      <w:r>
        <w:tab/>
      </w:r>
      <w:r w:rsidR="00C35C13" w:rsidRPr="00952CA3">
        <w:t>Establecer el nivel global presupuestario del programa-presupuesto del Fondo Regular para 2024, incluido el ajuste por costo de vida e inflación, en US$</w:t>
      </w:r>
      <w:r w:rsidR="000725E9">
        <w:t xml:space="preserve"> </w:t>
      </w:r>
      <w:r w:rsidR="00C35C13" w:rsidRPr="00952CA3">
        <w:t>92</w:t>
      </w:r>
      <w:r w:rsidR="000725E9">
        <w:t>,</w:t>
      </w:r>
      <w:r w:rsidR="00C35C13" w:rsidRPr="00952CA3">
        <w:t>102</w:t>
      </w:r>
      <w:r w:rsidR="000725E9">
        <w:t>,</w:t>
      </w:r>
      <w:r w:rsidR="00C35C13" w:rsidRPr="00952CA3">
        <w:t>614, y financiarlo de la siguiente manera:</w:t>
      </w:r>
    </w:p>
    <w:p w14:paraId="247D1F1B" w14:textId="77777777" w:rsidR="00673FF7" w:rsidRPr="00952CA3" w:rsidRDefault="00673FF7" w:rsidP="00952CA3">
      <w:pPr>
        <w:pStyle w:val="BodyText"/>
      </w:pPr>
    </w:p>
    <w:p w14:paraId="247D1F1C" w14:textId="14BF7D28" w:rsidR="00673FF7" w:rsidRPr="00952CA3" w:rsidRDefault="00C35C13" w:rsidP="00E7728C">
      <w:pPr>
        <w:pStyle w:val="ListParagraph"/>
        <w:numPr>
          <w:ilvl w:val="1"/>
          <w:numId w:val="1"/>
        </w:numPr>
        <w:tabs>
          <w:tab w:val="left" w:pos="2160"/>
        </w:tabs>
        <w:ind w:left="2160" w:right="106"/>
      </w:pPr>
      <w:r w:rsidRPr="00952CA3">
        <w:t>Contribuciones netas de los Estados Miembros por US$</w:t>
      </w:r>
      <w:r w:rsidR="000725E9">
        <w:t xml:space="preserve"> </w:t>
      </w:r>
      <w:r w:rsidRPr="00952CA3">
        <w:t>91</w:t>
      </w:r>
      <w:r w:rsidR="000725E9">
        <w:t>,</w:t>
      </w:r>
      <w:r w:rsidRPr="00952CA3">
        <w:t>612</w:t>
      </w:r>
      <w:r w:rsidR="000725E9">
        <w:t>,</w:t>
      </w:r>
      <w:r w:rsidRPr="00952CA3">
        <w:t>614, por concepto de pagos de cuotas al Fondo Regular, asignadas como sigue:</w:t>
      </w:r>
    </w:p>
    <w:p w14:paraId="247D1F1D" w14:textId="77777777" w:rsidR="00673FF7" w:rsidRPr="00952CA3" w:rsidRDefault="00673FF7" w:rsidP="00952CA3">
      <w:pPr>
        <w:pStyle w:val="BodyText"/>
      </w:pPr>
    </w:p>
    <w:p w14:paraId="247D1F1E" w14:textId="6CA912A2" w:rsidR="00673FF7" w:rsidRPr="00952CA3" w:rsidRDefault="00C35C13" w:rsidP="00E7728C">
      <w:pPr>
        <w:pStyle w:val="ListParagraph"/>
        <w:numPr>
          <w:ilvl w:val="2"/>
          <w:numId w:val="1"/>
        </w:numPr>
        <w:tabs>
          <w:tab w:val="left" w:pos="2880"/>
        </w:tabs>
        <w:ind w:left="2880" w:right="105" w:hanging="720"/>
      </w:pPr>
      <w:r w:rsidRPr="00952CA3">
        <w:t>Un total bruto de cuotas de US$</w:t>
      </w:r>
      <w:r w:rsidR="000725E9">
        <w:t xml:space="preserve"> </w:t>
      </w:r>
      <w:r w:rsidRPr="00952CA3">
        <w:t>92</w:t>
      </w:r>
      <w:r w:rsidR="000725E9">
        <w:t>,</w:t>
      </w:r>
      <w:r w:rsidRPr="00952CA3">
        <w:t>100</w:t>
      </w:r>
      <w:r w:rsidR="000725E9">
        <w:t>,</w:t>
      </w:r>
      <w:r w:rsidRPr="00952CA3">
        <w:t>000, asignadas de conformidad con la metodología para el cálculo de la escala de cuotas vigente.</w:t>
      </w:r>
    </w:p>
    <w:p w14:paraId="247D1F1F" w14:textId="77777777" w:rsidR="00673FF7" w:rsidRPr="00952CA3" w:rsidRDefault="00673FF7" w:rsidP="00E7728C">
      <w:pPr>
        <w:pStyle w:val="BodyText"/>
        <w:tabs>
          <w:tab w:val="left" w:pos="2880"/>
        </w:tabs>
        <w:ind w:left="2880" w:hanging="720"/>
      </w:pPr>
    </w:p>
    <w:p w14:paraId="0CFA84D7" w14:textId="1EA419FE" w:rsidR="00E82272" w:rsidRDefault="00C35C13" w:rsidP="00E7728C">
      <w:pPr>
        <w:pStyle w:val="ListParagraph"/>
        <w:numPr>
          <w:ilvl w:val="2"/>
          <w:numId w:val="1"/>
        </w:numPr>
        <w:tabs>
          <w:tab w:val="left" w:pos="2880"/>
        </w:tabs>
        <w:ind w:left="2880" w:right="101" w:hanging="720"/>
      </w:pPr>
      <w:r w:rsidRPr="00952CA3">
        <w:t>Una reducción de US$</w:t>
      </w:r>
      <w:r w:rsidR="000725E9">
        <w:t xml:space="preserve"> </w:t>
      </w:r>
      <w:r w:rsidRPr="00952CA3">
        <w:t>487</w:t>
      </w:r>
      <w:r w:rsidR="000725E9">
        <w:t>,</w:t>
      </w:r>
      <w:r w:rsidRPr="00952CA3">
        <w:t>386 proveniente de los descuentos por pago oportuno, conforme a las medidas destinadas a fomentar el pago oportuno de las cuotas, previstas en la resolución AG/RES. 1757 (XXX-O/00) y modificadas en las resoluciones AG/RES. 2157 (XXXV-O/05) y AG/RES. 1 (XLII-E/11) rev. 1.</w:t>
      </w:r>
    </w:p>
    <w:p w14:paraId="27F0E12D" w14:textId="77777777" w:rsidR="00734DA9" w:rsidRDefault="00734DA9" w:rsidP="00734DA9">
      <w:pPr>
        <w:pStyle w:val="ListParagraph"/>
      </w:pPr>
    </w:p>
    <w:p w14:paraId="247D1F22" w14:textId="6C832F40" w:rsidR="00673FF7" w:rsidRPr="00952CA3" w:rsidRDefault="00C35C13" w:rsidP="00E7728C">
      <w:pPr>
        <w:pStyle w:val="ListParagraph"/>
        <w:numPr>
          <w:ilvl w:val="1"/>
          <w:numId w:val="1"/>
        </w:numPr>
        <w:tabs>
          <w:tab w:val="left" w:pos="2160"/>
        </w:tabs>
        <w:ind w:left="2160" w:right="106"/>
      </w:pPr>
      <w:r w:rsidRPr="00952CA3">
        <w:t>Ingresos de US$</w:t>
      </w:r>
      <w:r w:rsidR="000725E9">
        <w:t xml:space="preserve"> </w:t>
      </w:r>
      <w:r w:rsidRPr="00952CA3">
        <w:t xml:space="preserve">490,000 por concepto de intereses y reembolsos y otros ingresos, de conformidad con el artículo 78 de las Normas Generales. </w:t>
      </w:r>
    </w:p>
    <w:p w14:paraId="247D1F23" w14:textId="77777777" w:rsidR="00673FF7" w:rsidRPr="00952CA3" w:rsidRDefault="00673FF7" w:rsidP="00952CA3">
      <w:pPr>
        <w:pStyle w:val="BodyText"/>
      </w:pPr>
    </w:p>
    <w:p w14:paraId="51ADBC7A" w14:textId="77777777" w:rsidR="00E7728C" w:rsidRDefault="00E7728C" w:rsidP="00E7728C">
      <w:pPr>
        <w:tabs>
          <w:tab w:val="left" w:pos="720"/>
          <w:tab w:val="left" w:pos="1440"/>
        </w:tabs>
        <w:ind w:right="101"/>
        <w:jc w:val="both"/>
      </w:pPr>
      <w:r>
        <w:lastRenderedPageBreak/>
        <w:tab/>
        <w:t>3.</w:t>
      </w:r>
      <w:r>
        <w:tab/>
      </w:r>
      <w:r w:rsidR="00C35C13" w:rsidRPr="00952CA3">
        <w:t>Establecer el nivel de gastos del Fondo Regular para 2024 en US$</w:t>
      </w:r>
      <w:r w:rsidR="000725E9">
        <w:t xml:space="preserve"> </w:t>
      </w:r>
      <w:r w:rsidR="00C35C13" w:rsidRPr="00952CA3">
        <w:t>90</w:t>
      </w:r>
      <w:r w:rsidR="000725E9">
        <w:t>,</w:t>
      </w:r>
      <w:r w:rsidR="00C35C13" w:rsidRPr="00952CA3">
        <w:t>403</w:t>
      </w:r>
      <w:r w:rsidR="000725E9">
        <w:t>,</w:t>
      </w:r>
      <w:r w:rsidR="00C35C13" w:rsidRPr="00952CA3">
        <w:t>700.</w:t>
      </w:r>
    </w:p>
    <w:p w14:paraId="21370130" w14:textId="77777777" w:rsidR="00E7728C" w:rsidRDefault="00E7728C" w:rsidP="00E7728C">
      <w:pPr>
        <w:tabs>
          <w:tab w:val="left" w:pos="720"/>
          <w:tab w:val="left" w:pos="1440"/>
        </w:tabs>
        <w:ind w:right="101"/>
        <w:jc w:val="both"/>
      </w:pPr>
    </w:p>
    <w:p w14:paraId="247D1F27" w14:textId="07970EB4" w:rsidR="00673FF7" w:rsidRPr="00952CA3" w:rsidRDefault="00E7728C" w:rsidP="00E7728C">
      <w:pPr>
        <w:tabs>
          <w:tab w:val="left" w:pos="720"/>
          <w:tab w:val="left" w:pos="1440"/>
        </w:tabs>
        <w:ind w:right="101"/>
        <w:jc w:val="both"/>
      </w:pPr>
      <w:r>
        <w:tab/>
        <w:t>4.</w:t>
      </w:r>
      <w:r>
        <w:tab/>
      </w:r>
      <w:r w:rsidR="00C35C13" w:rsidRPr="00952CA3">
        <w:t xml:space="preserve">Encomendar al Secretario General que haga los ajustes, reducciones y reorganizaciones que sean necesarios para cumplir con el nivel de gastos del Fondo Regular para 2024 así como con lo dispuesto en esta resolución, conforme al marco jurídico de la Secretaría General y en línea con los principios de austeridad, eficacia, rendición de cuentas, eficiencia, transparencia y prudencia. </w:t>
      </w:r>
    </w:p>
    <w:p w14:paraId="247D1F28" w14:textId="77777777" w:rsidR="00673FF7" w:rsidRPr="00952CA3" w:rsidRDefault="00673FF7" w:rsidP="00952CA3">
      <w:pPr>
        <w:pStyle w:val="BodyText"/>
      </w:pPr>
    </w:p>
    <w:p w14:paraId="247D1F29" w14:textId="7738FE05" w:rsidR="00673FF7" w:rsidRPr="00952CA3" w:rsidRDefault="00E7728C" w:rsidP="00E7728C">
      <w:pPr>
        <w:tabs>
          <w:tab w:val="left" w:pos="720"/>
          <w:tab w:val="left" w:pos="1440"/>
        </w:tabs>
        <w:ind w:right="101"/>
        <w:jc w:val="both"/>
      </w:pPr>
      <w:r>
        <w:tab/>
        <w:t>5.</w:t>
      </w:r>
      <w:r>
        <w:tab/>
      </w:r>
      <w:r w:rsidR="00C35C13" w:rsidRPr="00952CA3">
        <w:t>Autorizar a la Secretaría General a que en el ejercicio fiscal 2024 utilice, en calidad de préstamo interno, hasta un 30% de las cuotas anuales (US$</w:t>
      </w:r>
      <w:r w:rsidR="000725E9">
        <w:t xml:space="preserve"> </w:t>
      </w:r>
      <w:r w:rsidR="00C35C13" w:rsidRPr="00952CA3">
        <w:t xml:space="preserve">27,6 millones) del Fondo de Tesorería, que le permita hacer frente a los gastos corrientes ya presupuestados del Fondo Regular correspondientes al ejercicio fiscal 2024. No se originarán intereses por el uso temporal de estos recursos. La Secretaría General deberá reembolsar, sin demora, el saldo del préstamo interno de los recursos utilizados del Fondo de Tesorería en el ejercicio fiscal 2024, tan pronto se vayan recibiendo en el Fondo Regular las cuotas de los Estados Miembros. La Secretaría General comunicará por escrito al Consejo Permanente cada vez que se haga uso de los recursos del Fondo de Tesorería y presentará a la </w:t>
      </w:r>
      <w:r w:rsidR="000725E9">
        <w:rPr>
          <w:spacing w:val="-2"/>
        </w:rPr>
        <w:t xml:space="preserve">Comisión de Asuntos Administrativos y Presupuestarios (CAAP) </w:t>
      </w:r>
      <w:r w:rsidR="00C35C13" w:rsidRPr="00952CA3">
        <w:t>informes mensuales sobre el estado de dicho fondo.</w:t>
      </w:r>
    </w:p>
    <w:p w14:paraId="247D1F2A" w14:textId="77777777" w:rsidR="00673FF7" w:rsidRPr="00952CA3" w:rsidRDefault="00673FF7" w:rsidP="00952CA3">
      <w:pPr>
        <w:pStyle w:val="BodyText"/>
      </w:pPr>
    </w:p>
    <w:p w14:paraId="247D1F2B" w14:textId="10AB2B71" w:rsidR="00673FF7" w:rsidRPr="00952CA3" w:rsidRDefault="00E7728C" w:rsidP="00E7728C">
      <w:pPr>
        <w:tabs>
          <w:tab w:val="left" w:pos="720"/>
          <w:tab w:val="left" w:pos="1440"/>
        </w:tabs>
        <w:ind w:right="101"/>
        <w:jc w:val="both"/>
      </w:pPr>
      <w:r>
        <w:tab/>
        <w:t>6.</w:t>
      </w:r>
      <w:r>
        <w:tab/>
      </w:r>
      <w:r w:rsidR="00C35C13" w:rsidRPr="00952CA3">
        <w:t>Fijar el límite general de gastos de la cuenta del Fondo de Recuperación de Costos Indirectos en US$</w:t>
      </w:r>
      <w:r w:rsidR="000725E9">
        <w:t xml:space="preserve"> </w:t>
      </w:r>
      <w:r w:rsidR="00C35C13" w:rsidRPr="00952CA3">
        <w:t>6</w:t>
      </w:r>
      <w:r w:rsidR="000725E9">
        <w:t>,</w:t>
      </w:r>
      <w:r w:rsidR="00C35C13" w:rsidRPr="00952CA3">
        <w:t>941</w:t>
      </w:r>
      <w:r w:rsidR="000725E9">
        <w:t>,</w:t>
      </w:r>
      <w:r w:rsidR="00C35C13" w:rsidRPr="00952CA3">
        <w:t>000, de conformidad con las Normas Generales.</w:t>
      </w:r>
    </w:p>
    <w:p w14:paraId="247D1F2C" w14:textId="77777777" w:rsidR="00673FF7" w:rsidRPr="00952CA3" w:rsidRDefault="00673FF7" w:rsidP="00952CA3">
      <w:pPr>
        <w:pStyle w:val="BodyText"/>
      </w:pPr>
    </w:p>
    <w:p w14:paraId="247D1F2D" w14:textId="22F88CA1" w:rsidR="00673FF7" w:rsidRPr="00952CA3" w:rsidRDefault="00E7728C" w:rsidP="00E7728C">
      <w:pPr>
        <w:tabs>
          <w:tab w:val="left" w:pos="720"/>
          <w:tab w:val="left" w:pos="1440"/>
        </w:tabs>
        <w:ind w:right="101"/>
        <w:jc w:val="both"/>
      </w:pPr>
      <w:r>
        <w:tab/>
        <w:t>7.</w:t>
      </w:r>
      <w:r>
        <w:tab/>
      </w:r>
      <w:r w:rsidR="00C35C13" w:rsidRPr="00952CA3">
        <w:t>Establecer como cifra tentativa del nivel global presupuestario para 2025 en US$</w:t>
      </w:r>
      <w:r w:rsidR="000725E9">
        <w:t xml:space="preserve"> </w:t>
      </w:r>
      <w:r w:rsidR="00C35C13" w:rsidRPr="00952CA3">
        <w:t>92</w:t>
      </w:r>
      <w:r w:rsidR="000725E9">
        <w:t>,</w:t>
      </w:r>
      <w:r w:rsidR="00C35C13" w:rsidRPr="00952CA3">
        <w:t>102</w:t>
      </w:r>
      <w:r w:rsidR="000725E9">
        <w:t>,</w:t>
      </w:r>
      <w:r w:rsidR="00C35C13" w:rsidRPr="00952CA3">
        <w:t>614.</w:t>
      </w:r>
    </w:p>
    <w:p w14:paraId="247D1F2E" w14:textId="77777777" w:rsidR="00673FF7" w:rsidRPr="00952CA3" w:rsidRDefault="00673FF7" w:rsidP="00952CA3">
      <w:pPr>
        <w:pStyle w:val="BodyText"/>
      </w:pPr>
    </w:p>
    <w:p w14:paraId="38CFE748" w14:textId="77777777" w:rsidR="00E7728C" w:rsidRDefault="00E7728C" w:rsidP="00E7728C">
      <w:pPr>
        <w:tabs>
          <w:tab w:val="left" w:pos="720"/>
          <w:tab w:val="left" w:pos="1440"/>
        </w:tabs>
        <w:ind w:right="101"/>
        <w:jc w:val="both"/>
      </w:pPr>
      <w:r>
        <w:tab/>
        <w:t>8.</w:t>
      </w:r>
      <w:r>
        <w:tab/>
      </w:r>
      <w:r w:rsidR="00C35C13" w:rsidRPr="00952CA3">
        <w:t>Autorizar a la Secretaría General a que utilice hasta US$</w:t>
      </w:r>
      <w:r w:rsidR="000725E9">
        <w:t xml:space="preserve"> </w:t>
      </w:r>
      <w:r w:rsidR="00C35C13" w:rsidRPr="00952CA3">
        <w:t>1,800,000 para financiar</w:t>
      </w:r>
      <w:r w:rsidR="00C35C13" w:rsidRPr="00952CA3">
        <w:rPr>
          <w:spacing w:val="40"/>
        </w:rPr>
        <w:t xml:space="preserve"> </w:t>
      </w:r>
      <w:r w:rsidR="00C35C13" w:rsidRPr="00952CA3">
        <w:t xml:space="preserve">los siguientes proyectos, e instruir a la Secretaría General para que los recursos procedentes de esta asignación que no se utilicen para la ejecución de proyectos aquí detallados sean reembolsados al </w:t>
      </w:r>
      <w:proofErr w:type="spellStart"/>
      <w:r w:rsidR="000725E9" w:rsidRPr="000725E9">
        <w:t>Subfondo</w:t>
      </w:r>
      <w:proofErr w:type="spellEnd"/>
      <w:r w:rsidR="000725E9" w:rsidRPr="000725E9">
        <w:t xml:space="preserve"> de Reserva para la Recuperación de Costos Indirectos (</w:t>
      </w:r>
      <w:r w:rsidR="00C35C13" w:rsidRPr="000725E9">
        <w:t>SRRCI</w:t>
      </w:r>
      <w:r w:rsidR="000725E9" w:rsidRPr="000725E9">
        <w:t>):</w:t>
      </w:r>
    </w:p>
    <w:p w14:paraId="672CF985" w14:textId="77777777" w:rsidR="00E7728C" w:rsidRDefault="00E7728C" w:rsidP="00E7728C">
      <w:pPr>
        <w:tabs>
          <w:tab w:val="left" w:pos="720"/>
          <w:tab w:val="left" w:pos="1440"/>
        </w:tabs>
        <w:ind w:right="101"/>
        <w:jc w:val="both"/>
      </w:pPr>
    </w:p>
    <w:p w14:paraId="72BD4FB3" w14:textId="77777777" w:rsidR="00E7728C" w:rsidRPr="00E7728C" w:rsidRDefault="00C35C13" w:rsidP="00E7728C">
      <w:pPr>
        <w:pStyle w:val="ListParagraph"/>
        <w:numPr>
          <w:ilvl w:val="0"/>
          <w:numId w:val="2"/>
        </w:numPr>
        <w:tabs>
          <w:tab w:val="left" w:pos="720"/>
          <w:tab w:val="left" w:pos="1440"/>
        </w:tabs>
        <w:ind w:right="101"/>
      </w:pPr>
      <w:r w:rsidRPr="00952CA3">
        <w:t>Hasta</w:t>
      </w:r>
      <w:r w:rsidRPr="00E7728C">
        <w:rPr>
          <w:spacing w:val="-5"/>
        </w:rPr>
        <w:t xml:space="preserve"> </w:t>
      </w:r>
      <w:r w:rsidRPr="00952CA3">
        <w:t>US$</w:t>
      </w:r>
      <w:r w:rsidRPr="00E7728C">
        <w:rPr>
          <w:spacing w:val="-6"/>
        </w:rPr>
        <w:t xml:space="preserve"> </w:t>
      </w:r>
      <w:r w:rsidRPr="00952CA3">
        <w:t>1</w:t>
      </w:r>
      <w:r w:rsidR="000725E9">
        <w:t>,</w:t>
      </w:r>
      <w:r w:rsidRPr="00952CA3">
        <w:t>000</w:t>
      </w:r>
      <w:r w:rsidR="000725E9">
        <w:t>,</w:t>
      </w:r>
      <w:r w:rsidRPr="00952CA3">
        <w:t>000</w:t>
      </w:r>
      <w:r w:rsidRPr="00E7728C">
        <w:rPr>
          <w:spacing w:val="-3"/>
        </w:rPr>
        <w:t xml:space="preserve"> </w:t>
      </w:r>
      <w:r w:rsidRPr="00952CA3">
        <w:t>para</w:t>
      </w:r>
      <w:r w:rsidRPr="00E7728C">
        <w:rPr>
          <w:spacing w:val="-5"/>
        </w:rPr>
        <w:t xml:space="preserve"> </w:t>
      </w:r>
      <w:r w:rsidRPr="00952CA3">
        <w:t>financiar</w:t>
      </w:r>
      <w:r w:rsidRPr="00E7728C">
        <w:rPr>
          <w:spacing w:val="-3"/>
        </w:rPr>
        <w:t xml:space="preserve"> </w:t>
      </w:r>
      <w:r w:rsidRPr="00952CA3">
        <w:t>una</w:t>
      </w:r>
      <w:r w:rsidRPr="00E7728C">
        <w:rPr>
          <w:spacing w:val="-3"/>
        </w:rPr>
        <w:t xml:space="preserve"> </w:t>
      </w:r>
      <w:r w:rsidRPr="00952CA3">
        <w:t>evaluación</w:t>
      </w:r>
      <w:r w:rsidRPr="00E7728C">
        <w:rPr>
          <w:spacing w:val="-3"/>
        </w:rPr>
        <w:t xml:space="preserve"> </w:t>
      </w:r>
      <w:r w:rsidRPr="00952CA3">
        <w:t>externa</w:t>
      </w:r>
      <w:r w:rsidRPr="00E7728C">
        <w:rPr>
          <w:spacing w:val="-5"/>
        </w:rPr>
        <w:t xml:space="preserve"> </w:t>
      </w:r>
      <w:r w:rsidRPr="00952CA3">
        <w:t>por</w:t>
      </w:r>
      <w:r w:rsidRPr="00E7728C">
        <w:rPr>
          <w:spacing w:val="-3"/>
        </w:rPr>
        <w:t xml:space="preserve"> </w:t>
      </w:r>
      <w:r w:rsidRPr="00952CA3">
        <w:t>un</w:t>
      </w:r>
      <w:r w:rsidRPr="00E7728C">
        <w:rPr>
          <w:spacing w:val="-2"/>
        </w:rPr>
        <w:t xml:space="preserve"> tercero.</w:t>
      </w:r>
    </w:p>
    <w:p w14:paraId="7614781C" w14:textId="77777777" w:rsidR="00E7728C" w:rsidRDefault="00C35C13" w:rsidP="00E7728C">
      <w:pPr>
        <w:pStyle w:val="ListParagraph"/>
        <w:numPr>
          <w:ilvl w:val="0"/>
          <w:numId w:val="2"/>
        </w:numPr>
        <w:tabs>
          <w:tab w:val="left" w:pos="720"/>
          <w:tab w:val="left" w:pos="1440"/>
        </w:tabs>
        <w:ind w:right="101"/>
      </w:pPr>
      <w:r w:rsidRPr="00952CA3">
        <w:t>Hasta US$</w:t>
      </w:r>
      <w:r w:rsidR="00D27F09">
        <w:t xml:space="preserve"> </w:t>
      </w:r>
      <w:r w:rsidRPr="00952CA3">
        <w:t>300</w:t>
      </w:r>
      <w:r w:rsidR="000725E9">
        <w:t>,</w:t>
      </w:r>
      <w:r w:rsidRPr="00952CA3">
        <w:t>000 para financiar una evaluación externa del Acuerdo de Pilares de</w:t>
      </w:r>
      <w:r w:rsidRPr="00E7728C">
        <w:rPr>
          <w:spacing w:val="40"/>
        </w:rPr>
        <w:t xml:space="preserve"> </w:t>
      </w:r>
      <w:r w:rsidRPr="00952CA3">
        <w:t>la UE.</w:t>
      </w:r>
    </w:p>
    <w:p w14:paraId="247D1F35" w14:textId="41CD2515" w:rsidR="00673FF7" w:rsidRPr="00952CA3" w:rsidRDefault="00C35C13" w:rsidP="00E7728C">
      <w:pPr>
        <w:pStyle w:val="ListParagraph"/>
        <w:numPr>
          <w:ilvl w:val="0"/>
          <w:numId w:val="2"/>
        </w:numPr>
        <w:tabs>
          <w:tab w:val="left" w:pos="720"/>
          <w:tab w:val="left" w:pos="1440"/>
        </w:tabs>
        <w:ind w:right="101"/>
      </w:pPr>
      <w:r w:rsidRPr="00952CA3">
        <w:t>Hasta</w:t>
      </w:r>
      <w:r w:rsidRPr="00E7728C">
        <w:rPr>
          <w:spacing w:val="40"/>
        </w:rPr>
        <w:t xml:space="preserve"> </w:t>
      </w:r>
      <w:r w:rsidRPr="00952CA3">
        <w:t>US$</w:t>
      </w:r>
      <w:r w:rsidR="00D27F09">
        <w:t xml:space="preserve"> </w:t>
      </w:r>
      <w:r w:rsidRPr="00952CA3">
        <w:t>500</w:t>
      </w:r>
      <w:r w:rsidR="000725E9">
        <w:t>,</w:t>
      </w:r>
      <w:r w:rsidRPr="00952CA3">
        <w:t>000</w:t>
      </w:r>
      <w:r w:rsidRPr="00E7728C">
        <w:rPr>
          <w:spacing w:val="40"/>
        </w:rPr>
        <w:t xml:space="preserve"> </w:t>
      </w:r>
      <w:r w:rsidRPr="00952CA3">
        <w:t>para</w:t>
      </w:r>
      <w:r w:rsidRPr="00E7728C">
        <w:rPr>
          <w:spacing w:val="40"/>
        </w:rPr>
        <w:t xml:space="preserve"> </w:t>
      </w:r>
      <w:r w:rsidRPr="00952CA3">
        <w:t>financiar</w:t>
      </w:r>
      <w:r w:rsidRPr="00E7728C">
        <w:rPr>
          <w:spacing w:val="40"/>
        </w:rPr>
        <w:t xml:space="preserve"> </w:t>
      </w:r>
      <w:r w:rsidRPr="00952CA3">
        <w:t>una</w:t>
      </w:r>
      <w:r w:rsidRPr="00E7728C">
        <w:rPr>
          <w:spacing w:val="40"/>
        </w:rPr>
        <w:t xml:space="preserve"> </w:t>
      </w:r>
      <w:r w:rsidRPr="00952CA3">
        <w:t>mejora</w:t>
      </w:r>
      <w:r w:rsidRPr="00E7728C">
        <w:rPr>
          <w:spacing w:val="40"/>
        </w:rPr>
        <w:t xml:space="preserve"> </w:t>
      </w:r>
      <w:r w:rsidRPr="00952CA3">
        <w:t>a</w:t>
      </w:r>
      <w:r w:rsidRPr="00E7728C">
        <w:rPr>
          <w:spacing w:val="40"/>
        </w:rPr>
        <w:t xml:space="preserve"> </w:t>
      </w:r>
      <w:r w:rsidRPr="00952CA3">
        <w:t>la</w:t>
      </w:r>
      <w:r w:rsidRPr="00E7728C">
        <w:rPr>
          <w:spacing w:val="40"/>
        </w:rPr>
        <w:t xml:space="preserve"> </w:t>
      </w:r>
      <w:r w:rsidRPr="00952CA3">
        <w:t>supervisión</w:t>
      </w:r>
      <w:r w:rsidRPr="00E7728C">
        <w:rPr>
          <w:spacing w:val="40"/>
        </w:rPr>
        <w:t xml:space="preserve"> </w:t>
      </w:r>
      <w:r w:rsidRPr="00952CA3">
        <w:t>de</w:t>
      </w:r>
      <w:r w:rsidRPr="00E7728C">
        <w:rPr>
          <w:spacing w:val="40"/>
        </w:rPr>
        <w:t xml:space="preserve"> </w:t>
      </w:r>
      <w:r w:rsidRPr="00952CA3">
        <w:t>la</w:t>
      </w:r>
      <w:r w:rsidRPr="00E7728C">
        <w:rPr>
          <w:spacing w:val="40"/>
        </w:rPr>
        <w:t xml:space="preserve"> </w:t>
      </w:r>
      <w:r w:rsidRPr="00952CA3">
        <w:t>gestión</w:t>
      </w:r>
      <w:r w:rsidRPr="00E7728C">
        <w:rPr>
          <w:spacing w:val="40"/>
        </w:rPr>
        <w:t xml:space="preserve"> </w:t>
      </w:r>
      <w:r w:rsidRPr="00952CA3">
        <w:t xml:space="preserve">de </w:t>
      </w:r>
      <w:r w:rsidRPr="00E7728C">
        <w:rPr>
          <w:spacing w:val="-2"/>
        </w:rPr>
        <w:t>programas</w:t>
      </w:r>
      <w:r w:rsidR="00D27F09" w:rsidRPr="00E7728C">
        <w:rPr>
          <w:spacing w:val="-2"/>
        </w:rPr>
        <w:t>, de conformidad con los parámetros que serán aprobados por la CAAP.</w:t>
      </w:r>
    </w:p>
    <w:p w14:paraId="55394BDF" w14:textId="77777777" w:rsidR="00673FF7" w:rsidRPr="00952CA3" w:rsidRDefault="00673FF7" w:rsidP="00952CA3"/>
    <w:p w14:paraId="04EAAE4F" w14:textId="77777777" w:rsidR="00E82272" w:rsidRPr="00952CA3" w:rsidRDefault="00E82272" w:rsidP="00952CA3"/>
    <w:p w14:paraId="247D1F38" w14:textId="77777777" w:rsidR="00673FF7" w:rsidRPr="00952CA3" w:rsidRDefault="00673FF7" w:rsidP="00952CA3">
      <w:pPr>
        <w:pStyle w:val="BodyText"/>
      </w:pPr>
    </w:p>
    <w:p w14:paraId="247D1F39" w14:textId="77777777" w:rsidR="00673FF7" w:rsidRPr="00952CA3" w:rsidRDefault="00C35C13" w:rsidP="00952CA3">
      <w:pPr>
        <w:pStyle w:val="BodyText"/>
        <w:ind w:left="110"/>
      </w:pPr>
      <w:r w:rsidRPr="00952CA3">
        <w:rPr>
          <w:noProof/>
        </w:rPr>
        <w:drawing>
          <wp:inline distT="0" distB="0" distL="0" distR="0" wp14:anchorId="247D1F3E" wp14:editId="247D1F3F">
            <wp:extent cx="5869414" cy="72734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869414" cy="7273480"/>
                    </a:xfrm>
                    <a:prstGeom prst="rect">
                      <a:avLst/>
                    </a:prstGeom>
                  </pic:spPr>
                </pic:pic>
              </a:graphicData>
            </a:graphic>
          </wp:inline>
        </w:drawing>
      </w:r>
    </w:p>
    <w:p w14:paraId="247D1F3A" w14:textId="77777777" w:rsidR="00673FF7" w:rsidRPr="00952CA3" w:rsidRDefault="00673FF7" w:rsidP="00952CA3">
      <w:pPr>
        <w:sectPr w:rsidR="00673FF7" w:rsidRPr="00952CA3" w:rsidSect="00D44E93">
          <w:headerReference w:type="default" r:id="rId11"/>
          <w:pgSz w:w="12240" w:h="15840"/>
          <w:pgMar w:top="2160" w:right="1570" w:bottom="1296" w:left="1699" w:header="720" w:footer="0" w:gutter="0"/>
          <w:pgNumType w:fmt="numberInDash"/>
          <w:cols w:space="720"/>
          <w:titlePg/>
          <w:docGrid w:linePitch="299"/>
        </w:sectPr>
      </w:pPr>
    </w:p>
    <w:p w14:paraId="247D1F3D" w14:textId="2F15EE90" w:rsidR="00673FF7" w:rsidRPr="00952CA3" w:rsidRDefault="007476D3" w:rsidP="00952CA3">
      <w:pPr>
        <w:pStyle w:val="BodyText"/>
        <w:ind w:left="2002"/>
      </w:pPr>
      <w:r>
        <w:rPr>
          <w:noProof/>
        </w:rPr>
        <w:drawing>
          <wp:anchor distT="0" distB="0" distL="114300" distR="114300" simplePos="0" relativeHeight="251660288" behindDoc="0" locked="0" layoutInCell="1" allowOverlap="1" wp14:anchorId="00F062D3" wp14:editId="1E8F283F">
            <wp:simplePos x="0" y="0"/>
            <wp:positionH relativeFrom="column">
              <wp:posOffset>5297170</wp:posOffset>
            </wp:positionH>
            <wp:positionV relativeFrom="page">
              <wp:posOffset>9040495</wp:posOffset>
            </wp:positionV>
            <wp:extent cx="713105"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C13" w:rsidRPr="00952CA3">
        <w:rPr>
          <w:noProof/>
        </w:rPr>
        <w:drawing>
          <wp:inline distT="0" distB="0" distL="0" distR="0" wp14:anchorId="247D1F40" wp14:editId="3E624155">
            <wp:extent cx="3737572" cy="781440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737572" cy="7814405"/>
                    </a:xfrm>
                    <a:prstGeom prst="rect">
                      <a:avLst/>
                    </a:prstGeom>
                  </pic:spPr>
                </pic:pic>
              </a:graphicData>
            </a:graphic>
          </wp:inline>
        </w:drawing>
      </w:r>
      <w:r>
        <w:rPr>
          <w:noProof/>
        </w:rPr>
        <mc:AlternateContent>
          <mc:Choice Requires="wps">
            <w:drawing>
              <wp:anchor distT="0" distB="0" distL="114300" distR="114300" simplePos="0" relativeHeight="251661312" behindDoc="0" locked="1" layoutInCell="1" allowOverlap="1" wp14:anchorId="776DD34A" wp14:editId="4487733F">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FA68A9B" w14:textId="7D0F082D" w:rsidR="007476D3" w:rsidRPr="007476D3" w:rsidRDefault="007476D3">
                            <w:pPr>
                              <w:rPr>
                                <w:sz w:val="18"/>
                              </w:rPr>
                            </w:pPr>
                            <w:r>
                              <w:rPr>
                                <w:sz w:val="18"/>
                              </w:rPr>
                              <w:fldChar w:fldCharType="begin"/>
                            </w:r>
                            <w:r>
                              <w:rPr>
                                <w:sz w:val="18"/>
                              </w:rPr>
                              <w:instrText xml:space="preserve"> FILENAME  \* MERGEFORMAT </w:instrText>
                            </w:r>
                            <w:r>
                              <w:rPr>
                                <w:sz w:val="18"/>
                              </w:rPr>
                              <w:fldChar w:fldCharType="separate"/>
                            </w:r>
                            <w:r w:rsidR="004C529B">
                              <w:rPr>
                                <w:noProof/>
                                <w:sz w:val="18"/>
                              </w:rPr>
                              <w:t>CP47933S01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DD34A"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FA68A9B" w14:textId="7D0F082D" w:rsidR="007476D3" w:rsidRPr="007476D3" w:rsidRDefault="007476D3">
                      <w:pPr>
                        <w:rPr>
                          <w:sz w:val="18"/>
                        </w:rPr>
                      </w:pPr>
                      <w:r>
                        <w:rPr>
                          <w:sz w:val="18"/>
                        </w:rPr>
                        <w:fldChar w:fldCharType="begin"/>
                      </w:r>
                      <w:r>
                        <w:rPr>
                          <w:sz w:val="18"/>
                        </w:rPr>
                        <w:instrText xml:space="preserve"> FILENAME  \* MERGEFORMAT </w:instrText>
                      </w:r>
                      <w:r>
                        <w:rPr>
                          <w:sz w:val="18"/>
                        </w:rPr>
                        <w:fldChar w:fldCharType="separate"/>
                      </w:r>
                      <w:r w:rsidR="004C529B">
                        <w:rPr>
                          <w:noProof/>
                          <w:sz w:val="18"/>
                        </w:rPr>
                        <w:t>CP47933S01</w:t>
                      </w:r>
                      <w:r>
                        <w:rPr>
                          <w:sz w:val="18"/>
                        </w:rPr>
                        <w:fldChar w:fldCharType="end"/>
                      </w:r>
                    </w:p>
                  </w:txbxContent>
                </v:textbox>
                <w10:wrap anchory="page"/>
                <w10:anchorlock/>
              </v:shape>
            </w:pict>
          </mc:Fallback>
        </mc:AlternateContent>
      </w:r>
    </w:p>
    <w:sectPr w:rsidR="00673FF7" w:rsidRPr="00952CA3">
      <w:pgSz w:w="12240" w:h="15840"/>
      <w:pgMar w:top="1820" w:right="1460" w:bottom="280" w:left="124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1F47" w14:textId="77777777" w:rsidR="0053082E" w:rsidRDefault="00C35C13">
      <w:r>
        <w:separator/>
      </w:r>
    </w:p>
  </w:endnote>
  <w:endnote w:type="continuationSeparator" w:id="0">
    <w:p w14:paraId="247D1F49" w14:textId="77777777" w:rsidR="0053082E" w:rsidRDefault="00C3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1F43" w14:textId="77777777" w:rsidR="0053082E" w:rsidRDefault="00C35C13">
      <w:r>
        <w:separator/>
      </w:r>
    </w:p>
  </w:footnote>
  <w:footnote w:type="continuationSeparator" w:id="0">
    <w:p w14:paraId="247D1F45" w14:textId="77777777" w:rsidR="0053082E" w:rsidRDefault="00C3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305983"/>
      <w:docPartObj>
        <w:docPartGallery w:val="Page Numbers (Top of Page)"/>
        <w:docPartUnique/>
      </w:docPartObj>
    </w:sdtPr>
    <w:sdtEndPr>
      <w:rPr>
        <w:noProof/>
      </w:rPr>
    </w:sdtEndPr>
    <w:sdtContent>
      <w:p w14:paraId="1C4D6BA6" w14:textId="0B97D10D" w:rsidR="00D44E93" w:rsidRDefault="00D44E9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7D1F42" w14:textId="65194FF6" w:rsidR="00673FF7" w:rsidRDefault="00673FF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0CC"/>
    <w:multiLevelType w:val="hybridMultilevel"/>
    <w:tmpl w:val="CD4C7546"/>
    <w:lvl w:ilvl="0" w:tplc="AC4682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171DAE"/>
    <w:multiLevelType w:val="hybridMultilevel"/>
    <w:tmpl w:val="AC04A328"/>
    <w:lvl w:ilvl="0" w:tplc="D1E4B5A4">
      <w:start w:val="1"/>
      <w:numFmt w:val="decimal"/>
      <w:lvlText w:val="%1."/>
      <w:lvlJc w:val="left"/>
      <w:pPr>
        <w:ind w:left="459" w:hanging="720"/>
      </w:pPr>
      <w:rPr>
        <w:rFonts w:ascii="Times New Roman" w:eastAsia="Times New Roman" w:hAnsi="Times New Roman" w:cs="Times New Roman" w:hint="default"/>
        <w:b w:val="0"/>
        <w:bCs w:val="0"/>
        <w:i w:val="0"/>
        <w:iCs w:val="0"/>
        <w:w w:val="100"/>
        <w:sz w:val="22"/>
        <w:szCs w:val="22"/>
        <w:lang w:val="es-ES" w:eastAsia="en-US" w:bidi="ar-SA"/>
      </w:rPr>
    </w:lvl>
    <w:lvl w:ilvl="1" w:tplc="FBFCB6A8">
      <w:start w:val="1"/>
      <w:numFmt w:val="lowerLetter"/>
      <w:lvlText w:val="%2."/>
      <w:lvlJc w:val="left"/>
      <w:pPr>
        <w:ind w:left="2619" w:hanging="720"/>
      </w:pPr>
      <w:rPr>
        <w:rFonts w:ascii="Times New Roman" w:eastAsia="Times New Roman" w:hAnsi="Times New Roman" w:cs="Times New Roman" w:hint="default"/>
        <w:b w:val="0"/>
        <w:bCs w:val="0"/>
        <w:i w:val="0"/>
        <w:iCs w:val="0"/>
        <w:w w:val="100"/>
        <w:sz w:val="22"/>
        <w:szCs w:val="22"/>
        <w:lang w:val="es-ES" w:eastAsia="en-US" w:bidi="ar-SA"/>
      </w:rPr>
    </w:lvl>
    <w:lvl w:ilvl="2" w:tplc="BF22F88C">
      <w:start w:val="1"/>
      <w:numFmt w:val="lowerRoman"/>
      <w:lvlText w:val="%3."/>
      <w:lvlJc w:val="left"/>
      <w:pPr>
        <w:ind w:left="3340" w:hanging="721"/>
      </w:pPr>
      <w:rPr>
        <w:rFonts w:ascii="Times New Roman" w:eastAsia="Times New Roman" w:hAnsi="Times New Roman" w:cs="Times New Roman" w:hint="default"/>
        <w:b w:val="0"/>
        <w:bCs w:val="0"/>
        <w:i w:val="0"/>
        <w:iCs w:val="0"/>
        <w:spacing w:val="0"/>
        <w:w w:val="100"/>
        <w:sz w:val="22"/>
        <w:szCs w:val="22"/>
        <w:lang w:val="es-ES" w:eastAsia="en-US" w:bidi="ar-SA"/>
      </w:rPr>
    </w:lvl>
    <w:lvl w:ilvl="3" w:tplc="BD282F74">
      <w:numFmt w:val="bullet"/>
      <w:lvlText w:val="•"/>
      <w:lvlJc w:val="left"/>
      <w:pPr>
        <w:ind w:left="3340" w:hanging="721"/>
      </w:pPr>
      <w:rPr>
        <w:rFonts w:hint="default"/>
        <w:lang w:val="es-ES" w:eastAsia="en-US" w:bidi="ar-SA"/>
      </w:rPr>
    </w:lvl>
    <w:lvl w:ilvl="4" w:tplc="E82A2114">
      <w:numFmt w:val="bullet"/>
      <w:lvlText w:val="•"/>
      <w:lvlJc w:val="left"/>
      <w:pPr>
        <w:ind w:left="4225" w:hanging="721"/>
      </w:pPr>
      <w:rPr>
        <w:rFonts w:hint="default"/>
        <w:lang w:val="es-ES" w:eastAsia="en-US" w:bidi="ar-SA"/>
      </w:rPr>
    </w:lvl>
    <w:lvl w:ilvl="5" w:tplc="41F25368">
      <w:numFmt w:val="bullet"/>
      <w:lvlText w:val="•"/>
      <w:lvlJc w:val="left"/>
      <w:pPr>
        <w:ind w:left="5111" w:hanging="721"/>
      </w:pPr>
      <w:rPr>
        <w:rFonts w:hint="default"/>
        <w:lang w:val="es-ES" w:eastAsia="en-US" w:bidi="ar-SA"/>
      </w:rPr>
    </w:lvl>
    <w:lvl w:ilvl="6" w:tplc="48C64C26">
      <w:numFmt w:val="bullet"/>
      <w:lvlText w:val="•"/>
      <w:lvlJc w:val="left"/>
      <w:pPr>
        <w:ind w:left="5997" w:hanging="721"/>
      </w:pPr>
      <w:rPr>
        <w:rFonts w:hint="default"/>
        <w:lang w:val="es-ES" w:eastAsia="en-US" w:bidi="ar-SA"/>
      </w:rPr>
    </w:lvl>
    <w:lvl w:ilvl="7" w:tplc="BFF812DA">
      <w:numFmt w:val="bullet"/>
      <w:lvlText w:val="•"/>
      <w:lvlJc w:val="left"/>
      <w:pPr>
        <w:ind w:left="6882" w:hanging="721"/>
      </w:pPr>
      <w:rPr>
        <w:rFonts w:hint="default"/>
        <w:lang w:val="es-ES" w:eastAsia="en-US" w:bidi="ar-SA"/>
      </w:rPr>
    </w:lvl>
    <w:lvl w:ilvl="8" w:tplc="8798701E">
      <w:numFmt w:val="bullet"/>
      <w:lvlText w:val="•"/>
      <w:lvlJc w:val="left"/>
      <w:pPr>
        <w:ind w:left="7768" w:hanging="721"/>
      </w:pPr>
      <w:rPr>
        <w:rFonts w:hint="default"/>
        <w:lang w:val="es-ES" w:eastAsia="en-US" w:bidi="ar-SA"/>
      </w:rPr>
    </w:lvl>
  </w:abstractNum>
  <w:num w:numId="1" w16cid:durableId="1043755342">
    <w:abstractNumId w:val="1"/>
  </w:num>
  <w:num w:numId="2" w16cid:durableId="178515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F7"/>
    <w:rsid w:val="000725E9"/>
    <w:rsid w:val="00220E6B"/>
    <w:rsid w:val="00326C64"/>
    <w:rsid w:val="004C529B"/>
    <w:rsid w:val="0053082E"/>
    <w:rsid w:val="005C23E9"/>
    <w:rsid w:val="00602AE6"/>
    <w:rsid w:val="00673FF7"/>
    <w:rsid w:val="00734DA9"/>
    <w:rsid w:val="007476D3"/>
    <w:rsid w:val="00952CA3"/>
    <w:rsid w:val="00C35C13"/>
    <w:rsid w:val="00D27F09"/>
    <w:rsid w:val="00D44E93"/>
    <w:rsid w:val="00DB3F48"/>
    <w:rsid w:val="00DF5F4C"/>
    <w:rsid w:val="00E7728C"/>
    <w:rsid w:val="00E8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7D1EF0"/>
  <w15:docId w15:val="{ED061B46-E837-4653-B4C1-7F7FD82B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Heading1">
    <w:name w:val="heading 1"/>
    <w:basedOn w:val="Normal"/>
    <w:uiPriority w:val="9"/>
    <w:qFormat/>
    <w:pPr>
      <w:spacing w:before="1"/>
      <w:ind w:left="87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59" w:right="104"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5C13"/>
    <w:pPr>
      <w:tabs>
        <w:tab w:val="center" w:pos="4680"/>
        <w:tab w:val="right" w:pos="9360"/>
      </w:tabs>
    </w:pPr>
  </w:style>
  <w:style w:type="character" w:customStyle="1" w:styleId="HeaderChar">
    <w:name w:val="Header Char"/>
    <w:basedOn w:val="DefaultParagraphFont"/>
    <w:link w:val="Header"/>
    <w:uiPriority w:val="99"/>
    <w:rsid w:val="00C35C13"/>
    <w:rPr>
      <w:rFonts w:ascii="Times New Roman" w:eastAsia="Times New Roman" w:hAnsi="Times New Roman" w:cs="Times New Roman"/>
      <w:lang w:val="es-ES"/>
    </w:rPr>
  </w:style>
  <w:style w:type="paragraph" w:styleId="Footer">
    <w:name w:val="footer"/>
    <w:basedOn w:val="Normal"/>
    <w:link w:val="FooterChar"/>
    <w:uiPriority w:val="99"/>
    <w:unhideWhenUsed/>
    <w:rsid w:val="00C35C13"/>
    <w:pPr>
      <w:tabs>
        <w:tab w:val="center" w:pos="4680"/>
        <w:tab w:val="right" w:pos="9360"/>
      </w:tabs>
    </w:pPr>
  </w:style>
  <w:style w:type="character" w:customStyle="1" w:styleId="FooterChar">
    <w:name w:val="Footer Char"/>
    <w:basedOn w:val="DefaultParagraphFont"/>
    <w:link w:val="Footer"/>
    <w:uiPriority w:val="99"/>
    <w:rsid w:val="00C35C13"/>
    <w:rPr>
      <w:rFonts w:ascii="Times New Roman" w:eastAsia="Times New Roman" w:hAnsi="Times New Roman" w:cs="Times New Roman"/>
      <w:lang w:val="es-ES"/>
    </w:rPr>
  </w:style>
  <w:style w:type="paragraph" w:customStyle="1" w:styleId="TitleUppercase">
    <w:name w:val="Title Uppercase"/>
    <w:basedOn w:val="Normal"/>
    <w:rsid w:val="00952CA3"/>
    <w:pPr>
      <w:widowControl/>
      <w:tabs>
        <w:tab w:val="left" w:pos="720"/>
        <w:tab w:val="left" w:pos="1440"/>
        <w:tab w:val="left" w:pos="2160"/>
        <w:tab w:val="left" w:pos="2880"/>
        <w:tab w:val="left" w:pos="7200"/>
        <w:tab w:val="left" w:pos="7920"/>
        <w:tab w:val="left" w:pos="8640"/>
      </w:tabs>
      <w:autoSpaceDE/>
      <w:autoSpaceDN/>
      <w:jc w:val="center"/>
    </w:pPr>
    <w:rPr>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DEAE-392F-4714-A7A9-E60BE5A8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Ileana</dc:creator>
  <cp:lastModifiedBy>Mayorga, Georgina</cp:lastModifiedBy>
  <cp:revision>3</cp:revision>
  <dcterms:created xsi:type="dcterms:W3CDTF">2023-06-01T03:17:00Z</dcterms:created>
  <dcterms:modified xsi:type="dcterms:W3CDTF">2023-06-01T03:17:00Z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for Microsoft 365</vt:lpwstr>
  </property>
  <property fmtid="{D5CDD505-2E9C-101B-9397-08002B2CF9AE}" pid="4" name="LastSaved">
    <vt:filetime>2023-05-31T00:00:00Z</vt:filetime>
  </property>
  <property fmtid="{D5CDD505-2E9C-101B-9397-08002B2CF9AE}" pid="5" name="Producer">
    <vt:lpwstr>Microsoft® Word for Microsoft 365</vt:lpwstr>
  </property>
  <property fmtid="{D5CDD505-2E9C-101B-9397-08002B2CF9AE}" pid="6" name="GrammarlyDocumentId">
    <vt:lpwstr>54d9890dae5c1dfd8bf85c0d77bdfaf8e75e341c6e8d9d35a9ae7b9230d136e7</vt:lpwstr>
  </property>
</Properties>
</file>